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0AE2F" w14:textId="77777777" w:rsidR="005F1C1D" w:rsidRDefault="005F1C1D">
      <w:pPr>
        <w:spacing w:line="259" w:lineRule="auto"/>
      </w:pPr>
    </w:p>
    <w:p w14:paraId="448F66DA" w14:textId="43B1D48C" w:rsidR="007C52CE" w:rsidRDefault="007C52CE" w:rsidP="007C52CE">
      <w:pPr>
        <w:spacing w:after="0" w:line="240" w:lineRule="auto"/>
        <w:rPr>
          <w:noProof/>
        </w:rPr>
      </w:pPr>
      <w:bookmarkStart w:id="0" w:name="_Hlk109120768"/>
      <w:bookmarkEnd w:id="0"/>
      <w:r>
        <w:rPr>
          <w:noProof/>
        </w:rPr>
        <w:drawing>
          <wp:inline distT="0" distB="0" distL="0" distR="0" wp14:anchorId="2379D726" wp14:editId="143F8DB2">
            <wp:extent cx="1744959" cy="791570"/>
            <wp:effectExtent l="0" t="0" r="825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6673" cy="805957"/>
                    </a:xfrm>
                    <a:prstGeom prst="rect">
                      <a:avLst/>
                    </a:prstGeom>
                    <a:noFill/>
                    <a:ln>
                      <a:noFill/>
                    </a:ln>
                  </pic:spPr>
                </pic:pic>
              </a:graphicData>
            </a:graphic>
          </wp:inline>
        </w:drawing>
      </w:r>
      <w:r>
        <w:rPr>
          <w:rFonts w:eastAsia="MS Mincho" w:cs="Times New Roman"/>
          <w:szCs w:val="24"/>
        </w:rPr>
        <w:tab/>
      </w:r>
      <w:r>
        <w:rPr>
          <w:rFonts w:eastAsia="MS Mincho" w:cs="Times New Roman"/>
          <w:szCs w:val="24"/>
        </w:rPr>
        <w:tab/>
      </w:r>
      <w:r>
        <w:rPr>
          <w:rFonts w:eastAsia="MS Mincho" w:cs="Times New Roman"/>
          <w:szCs w:val="24"/>
        </w:rPr>
        <w:tab/>
      </w:r>
      <w:r>
        <w:rPr>
          <w:noProof/>
        </w:rPr>
        <w:t xml:space="preserve">               </w:t>
      </w:r>
      <w:r>
        <w:rPr>
          <w:noProof/>
        </w:rPr>
        <w:drawing>
          <wp:inline distT="0" distB="0" distL="0" distR="0" wp14:anchorId="652BA4AD" wp14:editId="565977D5">
            <wp:extent cx="2251881" cy="526642"/>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8181" cy="532793"/>
                    </a:xfrm>
                    <a:prstGeom prst="rect">
                      <a:avLst/>
                    </a:prstGeom>
                    <a:noFill/>
                    <a:ln>
                      <a:noFill/>
                    </a:ln>
                  </pic:spPr>
                </pic:pic>
              </a:graphicData>
            </a:graphic>
          </wp:inline>
        </w:drawing>
      </w:r>
    </w:p>
    <w:p w14:paraId="4C698B8B" w14:textId="77777777" w:rsidR="007C52CE" w:rsidRDefault="007C52CE" w:rsidP="007C52CE">
      <w:pPr>
        <w:spacing w:after="0" w:line="240" w:lineRule="auto"/>
        <w:rPr>
          <w:rFonts w:eastAsia="MS Mincho" w:cs="Times New Roman"/>
          <w:szCs w:val="24"/>
        </w:rPr>
      </w:pPr>
    </w:p>
    <w:p w14:paraId="081B1EE1" w14:textId="77777777" w:rsidR="007C52CE" w:rsidRPr="005057C1" w:rsidRDefault="007C52CE" w:rsidP="007C52CE">
      <w:pPr>
        <w:spacing w:after="0" w:line="240" w:lineRule="auto"/>
        <w:rPr>
          <w:rFonts w:eastAsia="MS Mincho" w:cs="Times New Roman"/>
          <w:szCs w:val="24"/>
        </w:rPr>
      </w:pPr>
      <w:r w:rsidRPr="005057C1">
        <w:rPr>
          <w:rFonts w:eastAsia="MS Mincho" w:cs="Times New Roman"/>
          <w:noProof/>
          <w:sz w:val="4"/>
          <w:szCs w:val="24"/>
        </w:rPr>
        <mc:AlternateContent>
          <mc:Choice Requires="wpg">
            <w:drawing>
              <wp:inline distT="0" distB="0" distL="0" distR="0" wp14:anchorId="4157114D" wp14:editId="443F9888">
                <wp:extent cx="5943600" cy="28036"/>
                <wp:effectExtent l="0" t="0" r="19050" b="10160"/>
                <wp:docPr id="688" name="Group 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8036"/>
                          <a:chOff x="0" y="0"/>
                          <a:chExt cx="9540" cy="45"/>
                        </a:xfrm>
                      </wpg:grpSpPr>
                      <wps:wsp>
                        <wps:cNvPr id="691" name="Line 32"/>
                        <wps:cNvCnPr>
                          <a:cxnSpLocks noChangeShapeType="1"/>
                        </wps:cNvCnPr>
                        <wps:spPr bwMode="auto">
                          <a:xfrm>
                            <a:off x="0" y="23"/>
                            <a:ext cx="95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68A4FB" id="Group 688" o:spid="_x0000_s1026" style="width:468pt;height:2.2pt;mso-position-horizontal-relative:char;mso-position-vertical-relative:line" coordsize="95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">
                <v:line id="Line 32" o:spid="_x0000_s1027" style="position:absolute;visibility:visible;mso-wrap-style:square" from="0,23" to="954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" strokeweight="2.25pt"/>
                <w10:anchorlock/>
              </v:group>
            </w:pict>
          </mc:Fallback>
        </mc:AlternateContent>
      </w:r>
    </w:p>
    <w:p w14:paraId="137C46E1" w14:textId="77777777" w:rsidR="007C52CE" w:rsidRPr="005057C1" w:rsidRDefault="007C52CE" w:rsidP="007C52CE">
      <w:pPr>
        <w:spacing w:after="0" w:line="240" w:lineRule="auto"/>
        <w:rPr>
          <w:rFonts w:eastAsia="MS Mincho" w:cs="Times New Roman"/>
          <w:szCs w:val="24"/>
        </w:rPr>
      </w:pPr>
    </w:p>
    <w:p w14:paraId="21B7CE80" w14:textId="77777777" w:rsidR="007C52CE" w:rsidRPr="005057C1" w:rsidRDefault="007C52CE" w:rsidP="007C52CE">
      <w:pPr>
        <w:spacing w:after="0" w:line="240" w:lineRule="auto"/>
        <w:jc w:val="right"/>
        <w:rPr>
          <w:rFonts w:eastAsia="MS Mincho" w:cs="Times New Roman"/>
          <w:b/>
          <w:smallCaps/>
          <w:sz w:val="28"/>
          <w:szCs w:val="24"/>
        </w:rPr>
      </w:pPr>
      <w:r w:rsidRPr="005057C1">
        <w:rPr>
          <w:rFonts w:eastAsia="MS Mincho" w:cs="Times New Roman"/>
          <w:b/>
          <w:smallCaps/>
          <w:sz w:val="28"/>
          <w:szCs w:val="24"/>
        </w:rPr>
        <w:t>Preliminary Regulatory Impact Analysis</w:t>
      </w:r>
    </w:p>
    <w:p w14:paraId="7BE1A9CB" w14:textId="77777777" w:rsidR="005F1C1D" w:rsidRPr="005057C1" w:rsidRDefault="005F1C1D" w:rsidP="005F1C1D">
      <w:pPr>
        <w:spacing w:after="0" w:line="360" w:lineRule="auto"/>
        <w:rPr>
          <w:rFonts w:eastAsia="MS Mincho" w:cs="Times New Roman"/>
          <w:szCs w:val="24"/>
        </w:rPr>
      </w:pPr>
    </w:p>
    <w:p w14:paraId="1B3BD30D" w14:textId="77777777" w:rsidR="005F1C1D" w:rsidRDefault="005F1C1D" w:rsidP="005F1C1D">
      <w:pPr>
        <w:spacing w:after="0" w:line="360" w:lineRule="auto"/>
        <w:rPr>
          <w:rFonts w:eastAsia="MS Mincho" w:cs="Times New Roman"/>
          <w:szCs w:val="24"/>
        </w:rPr>
      </w:pPr>
    </w:p>
    <w:p w14:paraId="611C4867" w14:textId="77777777" w:rsidR="005F1C1D" w:rsidRPr="005057C1" w:rsidRDefault="005F1C1D" w:rsidP="005F1C1D">
      <w:pPr>
        <w:spacing w:after="0" w:line="360" w:lineRule="auto"/>
        <w:rPr>
          <w:rFonts w:eastAsia="MS Mincho" w:cs="Times New Roman"/>
          <w:szCs w:val="24"/>
        </w:rPr>
      </w:pPr>
    </w:p>
    <w:p w14:paraId="1512777B" w14:textId="77777777" w:rsidR="00372974" w:rsidRPr="00372974" w:rsidRDefault="000F5B51" w:rsidP="0093458D">
      <w:pPr>
        <w:spacing w:after="0" w:line="360" w:lineRule="auto"/>
        <w:jc w:val="center"/>
        <w:rPr>
          <w:rFonts w:eastAsia="MS Mincho" w:cs="Times New Roman"/>
          <w:b/>
          <w:sz w:val="60"/>
          <w:szCs w:val="24"/>
        </w:rPr>
      </w:pPr>
      <w:r w:rsidRPr="00372974">
        <w:rPr>
          <w:rFonts w:eastAsia="MS Mincho" w:cs="Times New Roman"/>
          <w:b/>
          <w:sz w:val="60"/>
          <w:szCs w:val="24"/>
        </w:rPr>
        <w:t>FMVSS No. 208</w:t>
      </w:r>
    </w:p>
    <w:p w14:paraId="007E57EB" w14:textId="77777777" w:rsidR="005F1C1D" w:rsidRPr="005057C1" w:rsidRDefault="000F5B51" w:rsidP="0093458D">
      <w:pPr>
        <w:spacing w:after="0" w:line="360" w:lineRule="auto"/>
        <w:jc w:val="center"/>
        <w:rPr>
          <w:rFonts w:eastAsia="MS Mincho" w:cs="Times New Roman"/>
          <w:szCs w:val="24"/>
        </w:rPr>
      </w:pPr>
      <w:r w:rsidRPr="00372974">
        <w:rPr>
          <w:rFonts w:eastAsia="MS Mincho" w:cs="Times New Roman"/>
          <w:b/>
          <w:sz w:val="60"/>
          <w:szCs w:val="24"/>
        </w:rPr>
        <w:t>Occupant Crash Protection, Seat Belt Warning Systems (SBWS)</w:t>
      </w:r>
    </w:p>
    <w:p w14:paraId="09FF889F" w14:textId="77777777" w:rsidR="005F1C1D" w:rsidRPr="005057C1" w:rsidRDefault="005F1C1D" w:rsidP="005F1C1D">
      <w:pPr>
        <w:spacing w:after="0" w:line="360" w:lineRule="auto"/>
        <w:rPr>
          <w:rFonts w:eastAsia="MS Mincho" w:cs="Times New Roman"/>
          <w:szCs w:val="24"/>
        </w:rPr>
      </w:pPr>
    </w:p>
    <w:p w14:paraId="2B2902B9" w14:textId="77777777" w:rsidR="005F1C1D" w:rsidRPr="005057C1" w:rsidRDefault="005F1C1D" w:rsidP="005F1C1D">
      <w:pPr>
        <w:spacing w:after="0" w:line="360" w:lineRule="auto"/>
        <w:rPr>
          <w:rFonts w:eastAsia="MS Mincho" w:cs="Times New Roman"/>
          <w:szCs w:val="24"/>
        </w:rPr>
      </w:pPr>
    </w:p>
    <w:p w14:paraId="5F5A32B5" w14:textId="77777777" w:rsidR="005F1C1D" w:rsidRPr="005057C1" w:rsidRDefault="005F1C1D" w:rsidP="005F1C1D">
      <w:pPr>
        <w:spacing w:after="0" w:line="360" w:lineRule="auto"/>
        <w:rPr>
          <w:rFonts w:eastAsia="MS Mincho" w:cs="Times New Roman"/>
          <w:szCs w:val="24"/>
        </w:rPr>
      </w:pPr>
    </w:p>
    <w:p w14:paraId="2258347E" w14:textId="77777777" w:rsidR="005F1C1D" w:rsidRPr="005057C1" w:rsidRDefault="000F5B51" w:rsidP="005F1C1D">
      <w:pPr>
        <w:spacing w:after="0" w:line="360" w:lineRule="auto"/>
        <w:jc w:val="center"/>
        <w:rPr>
          <w:rFonts w:eastAsia="MS Mincho" w:cs="Times New Roman"/>
          <w:i/>
          <w:sz w:val="32"/>
          <w:szCs w:val="24"/>
        </w:rPr>
      </w:pPr>
      <w:r w:rsidRPr="005057C1">
        <w:rPr>
          <w:rFonts w:eastAsia="MS Mincho" w:cs="Times New Roman"/>
          <w:i/>
          <w:sz w:val="32"/>
          <w:szCs w:val="24"/>
        </w:rPr>
        <w:t>Office of Regulatory Analysis and Evaluation</w:t>
      </w:r>
    </w:p>
    <w:p w14:paraId="2CE282C4" w14:textId="77777777" w:rsidR="005F1C1D" w:rsidRPr="005057C1" w:rsidRDefault="000F5B51" w:rsidP="005F1C1D">
      <w:pPr>
        <w:spacing w:after="0" w:line="360" w:lineRule="auto"/>
        <w:jc w:val="center"/>
        <w:rPr>
          <w:rFonts w:eastAsia="MS Mincho" w:cs="Times New Roman"/>
          <w:i/>
          <w:sz w:val="32"/>
          <w:szCs w:val="24"/>
        </w:rPr>
      </w:pPr>
      <w:r w:rsidRPr="005057C1">
        <w:rPr>
          <w:rFonts w:eastAsia="MS Mincho" w:cs="Times New Roman"/>
          <w:i/>
          <w:sz w:val="32"/>
          <w:szCs w:val="24"/>
        </w:rPr>
        <w:t>NCSA</w:t>
      </w:r>
    </w:p>
    <w:p w14:paraId="08BF6D80" w14:textId="64E12147" w:rsidR="005F1C1D" w:rsidRPr="005057C1" w:rsidRDefault="00496220" w:rsidP="005F1C1D">
      <w:pPr>
        <w:spacing w:after="0" w:line="360" w:lineRule="auto"/>
        <w:jc w:val="center"/>
        <w:rPr>
          <w:rFonts w:eastAsia="MS Mincho" w:cs="Times New Roman"/>
          <w:i/>
          <w:sz w:val="28"/>
          <w:szCs w:val="28"/>
        </w:rPr>
      </w:pPr>
      <w:r>
        <w:rPr>
          <w:rFonts w:eastAsia="MS Mincho" w:cs="Times New Roman"/>
          <w:i/>
          <w:sz w:val="28"/>
          <w:szCs w:val="28"/>
        </w:rPr>
        <w:t>August</w:t>
      </w:r>
      <w:r w:rsidR="000F5B51">
        <w:rPr>
          <w:rFonts w:eastAsia="MS Mincho" w:cs="Times New Roman"/>
          <w:i/>
          <w:sz w:val="28"/>
          <w:szCs w:val="28"/>
        </w:rPr>
        <w:t xml:space="preserve"> 2023</w:t>
      </w:r>
      <w:r w:rsidR="000F5B51" w:rsidRPr="005057C1">
        <w:rPr>
          <w:rFonts w:eastAsia="MS Mincho" w:cs="Times New Roman"/>
          <w:i/>
          <w:sz w:val="28"/>
          <w:szCs w:val="28"/>
        </w:rPr>
        <w:br w:type="page"/>
      </w:r>
    </w:p>
    <w:sdt>
      <w:sdtPr>
        <w:rPr>
          <w:rFonts w:ascii="Times New Roman" w:eastAsiaTheme="minorHAnsi" w:hAnsi="Times New Roman" w:cstheme="minorBidi"/>
          <w:b w:val="0"/>
          <w:bCs w:val="0"/>
          <w:color w:val="2F5496" w:themeColor="accent1" w:themeShade="BF"/>
          <w:kern w:val="0"/>
          <w:sz w:val="24"/>
          <w:szCs w:val="22"/>
        </w:rPr>
        <w:id w:val="618497316"/>
        <w:docPartObj>
          <w:docPartGallery w:val="Table of Contents"/>
          <w:docPartUnique/>
        </w:docPartObj>
      </w:sdtPr>
      <w:sdtEndPr>
        <w:rPr>
          <w:rFonts w:eastAsia="Times New Roman" w:cs="Times New Roman"/>
          <w:color w:val="auto"/>
          <w:szCs w:val="24"/>
        </w:rPr>
      </w:sdtEndPr>
      <w:sdtContent>
        <w:p w14:paraId="32D8883D" w14:textId="77777777" w:rsidR="00B55ABE" w:rsidRPr="0093458D" w:rsidRDefault="000F5B51" w:rsidP="0093458D">
          <w:pPr>
            <w:pStyle w:val="TOCHeading"/>
            <w:jc w:val="center"/>
            <w:rPr>
              <w:rStyle w:val="Heading1aExecSummaryChar"/>
              <w:b/>
              <w:bCs/>
              <w:sz w:val="32"/>
              <w:szCs w:val="32"/>
            </w:rPr>
          </w:pPr>
          <w:r w:rsidRPr="0093458D">
            <w:rPr>
              <w:rStyle w:val="Heading1aExecSummaryChar"/>
              <w:b/>
              <w:bCs/>
              <w:sz w:val="32"/>
              <w:szCs w:val="32"/>
            </w:rPr>
            <w:t>Table of Contents</w:t>
          </w:r>
        </w:p>
        <w:p w14:paraId="4A53F9CA" w14:textId="137A4768" w:rsidR="00DA62F1" w:rsidRDefault="000F5B51">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42902959" w:history="1">
            <w:r w:rsidR="00DA62F1" w:rsidRPr="001A08F2">
              <w:rPr>
                <w:rStyle w:val="Hyperlink"/>
                <w:rFonts w:eastAsiaTheme="majorEastAsia"/>
                <w:noProof/>
              </w:rPr>
              <w:t>List of Abbreviations</w:t>
            </w:r>
            <w:r w:rsidR="00DA62F1">
              <w:rPr>
                <w:noProof/>
                <w:webHidden/>
              </w:rPr>
              <w:tab/>
            </w:r>
            <w:r w:rsidR="00DA62F1">
              <w:rPr>
                <w:noProof/>
                <w:webHidden/>
              </w:rPr>
              <w:fldChar w:fldCharType="begin"/>
            </w:r>
            <w:r w:rsidR="00DA62F1">
              <w:rPr>
                <w:noProof/>
                <w:webHidden/>
              </w:rPr>
              <w:instrText xml:space="preserve"> PAGEREF _Toc142902959 \h </w:instrText>
            </w:r>
            <w:r w:rsidR="00DA62F1">
              <w:rPr>
                <w:noProof/>
                <w:webHidden/>
              </w:rPr>
            </w:r>
            <w:r w:rsidR="00DA62F1">
              <w:rPr>
                <w:noProof/>
                <w:webHidden/>
              </w:rPr>
              <w:fldChar w:fldCharType="separate"/>
            </w:r>
            <w:r w:rsidR="00A65CB3">
              <w:rPr>
                <w:noProof/>
                <w:webHidden/>
              </w:rPr>
              <w:t>4</w:t>
            </w:r>
            <w:r w:rsidR="00DA62F1">
              <w:rPr>
                <w:noProof/>
                <w:webHidden/>
              </w:rPr>
              <w:fldChar w:fldCharType="end"/>
            </w:r>
          </w:hyperlink>
        </w:p>
        <w:p w14:paraId="12A28983" w14:textId="73F53F31" w:rsidR="00DA62F1" w:rsidRDefault="001809B4">
          <w:pPr>
            <w:pStyle w:val="TOC1"/>
            <w:rPr>
              <w:rFonts w:asciiTheme="minorHAnsi" w:eastAsiaTheme="minorEastAsia" w:hAnsiTheme="minorHAnsi" w:cstheme="minorBidi"/>
              <w:noProof/>
              <w:sz w:val="22"/>
              <w:szCs w:val="22"/>
            </w:rPr>
          </w:pPr>
          <w:hyperlink w:anchor="_Toc142902960" w:history="1">
            <w:r w:rsidR="00DA62F1" w:rsidRPr="001A08F2">
              <w:rPr>
                <w:rStyle w:val="Hyperlink"/>
                <w:b/>
                <w:bCs/>
                <w:noProof/>
              </w:rPr>
              <w:t>Executive Summary</w:t>
            </w:r>
            <w:r w:rsidR="00DA62F1">
              <w:rPr>
                <w:noProof/>
                <w:webHidden/>
              </w:rPr>
              <w:tab/>
            </w:r>
            <w:r w:rsidR="00DA62F1">
              <w:rPr>
                <w:noProof/>
                <w:webHidden/>
              </w:rPr>
              <w:fldChar w:fldCharType="begin"/>
            </w:r>
            <w:r w:rsidR="00DA62F1">
              <w:rPr>
                <w:noProof/>
                <w:webHidden/>
              </w:rPr>
              <w:instrText xml:space="preserve"> PAGEREF _Toc142902960 \h </w:instrText>
            </w:r>
            <w:r w:rsidR="00DA62F1">
              <w:rPr>
                <w:noProof/>
                <w:webHidden/>
              </w:rPr>
            </w:r>
            <w:r w:rsidR="00DA62F1">
              <w:rPr>
                <w:noProof/>
                <w:webHidden/>
              </w:rPr>
              <w:fldChar w:fldCharType="separate"/>
            </w:r>
            <w:r w:rsidR="00A65CB3">
              <w:rPr>
                <w:noProof/>
                <w:webHidden/>
              </w:rPr>
              <w:t>5</w:t>
            </w:r>
            <w:r w:rsidR="00DA62F1">
              <w:rPr>
                <w:noProof/>
                <w:webHidden/>
              </w:rPr>
              <w:fldChar w:fldCharType="end"/>
            </w:r>
          </w:hyperlink>
        </w:p>
        <w:p w14:paraId="008212E0" w14:textId="121F6C49" w:rsidR="00DA62F1" w:rsidRDefault="001809B4">
          <w:pPr>
            <w:pStyle w:val="TOC1"/>
            <w:rPr>
              <w:rFonts w:asciiTheme="minorHAnsi" w:eastAsiaTheme="minorEastAsia" w:hAnsiTheme="minorHAnsi" w:cstheme="minorBidi"/>
              <w:noProof/>
              <w:sz w:val="22"/>
              <w:szCs w:val="22"/>
            </w:rPr>
          </w:pPr>
          <w:hyperlink w:anchor="_Toc142902961" w:history="1">
            <w:r w:rsidR="00DA62F1" w:rsidRPr="001A08F2">
              <w:rPr>
                <w:rStyle w:val="Hyperlink"/>
                <w:rFonts w:eastAsiaTheme="majorEastAsia"/>
                <w:noProof/>
              </w:rPr>
              <w:t>1</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Introduction</w:t>
            </w:r>
            <w:r w:rsidR="00DA62F1">
              <w:rPr>
                <w:noProof/>
                <w:webHidden/>
              </w:rPr>
              <w:tab/>
            </w:r>
            <w:r w:rsidR="00DA62F1">
              <w:rPr>
                <w:noProof/>
                <w:webHidden/>
              </w:rPr>
              <w:fldChar w:fldCharType="begin"/>
            </w:r>
            <w:r w:rsidR="00DA62F1">
              <w:rPr>
                <w:noProof/>
                <w:webHidden/>
              </w:rPr>
              <w:instrText xml:space="preserve"> PAGEREF _Toc142902961 \h </w:instrText>
            </w:r>
            <w:r w:rsidR="00DA62F1">
              <w:rPr>
                <w:noProof/>
                <w:webHidden/>
              </w:rPr>
            </w:r>
            <w:r w:rsidR="00DA62F1">
              <w:rPr>
                <w:noProof/>
                <w:webHidden/>
              </w:rPr>
              <w:fldChar w:fldCharType="separate"/>
            </w:r>
            <w:r w:rsidR="00A65CB3">
              <w:rPr>
                <w:noProof/>
                <w:webHidden/>
              </w:rPr>
              <w:t>12</w:t>
            </w:r>
            <w:r w:rsidR="00DA62F1">
              <w:rPr>
                <w:noProof/>
                <w:webHidden/>
              </w:rPr>
              <w:fldChar w:fldCharType="end"/>
            </w:r>
          </w:hyperlink>
        </w:p>
        <w:p w14:paraId="191ADC44" w14:textId="79120C66" w:rsidR="00DA62F1" w:rsidRDefault="001809B4">
          <w:pPr>
            <w:pStyle w:val="TOC1"/>
            <w:rPr>
              <w:rFonts w:asciiTheme="minorHAnsi" w:eastAsiaTheme="minorEastAsia" w:hAnsiTheme="minorHAnsi" w:cstheme="minorBidi"/>
              <w:noProof/>
              <w:sz w:val="22"/>
              <w:szCs w:val="22"/>
            </w:rPr>
          </w:pPr>
          <w:hyperlink w:anchor="_Toc142902962" w:history="1">
            <w:r w:rsidR="00DA62F1" w:rsidRPr="001A08F2">
              <w:rPr>
                <w:rStyle w:val="Hyperlink"/>
                <w:rFonts w:eastAsiaTheme="majorEastAsia"/>
                <w:noProof/>
              </w:rPr>
              <w:t>2</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Background</w:t>
            </w:r>
            <w:r w:rsidR="00DA62F1">
              <w:rPr>
                <w:noProof/>
                <w:webHidden/>
              </w:rPr>
              <w:tab/>
            </w:r>
            <w:r w:rsidR="00DA62F1">
              <w:rPr>
                <w:noProof/>
                <w:webHidden/>
              </w:rPr>
              <w:fldChar w:fldCharType="begin"/>
            </w:r>
            <w:r w:rsidR="00DA62F1">
              <w:rPr>
                <w:noProof/>
                <w:webHidden/>
              </w:rPr>
              <w:instrText xml:space="preserve"> PAGEREF _Toc142902962 \h </w:instrText>
            </w:r>
            <w:r w:rsidR="00DA62F1">
              <w:rPr>
                <w:noProof/>
                <w:webHidden/>
              </w:rPr>
            </w:r>
            <w:r w:rsidR="00DA62F1">
              <w:rPr>
                <w:noProof/>
                <w:webHidden/>
              </w:rPr>
              <w:fldChar w:fldCharType="separate"/>
            </w:r>
            <w:r w:rsidR="00A65CB3">
              <w:rPr>
                <w:noProof/>
                <w:webHidden/>
              </w:rPr>
              <w:t>19</w:t>
            </w:r>
            <w:r w:rsidR="00DA62F1">
              <w:rPr>
                <w:noProof/>
                <w:webHidden/>
              </w:rPr>
              <w:fldChar w:fldCharType="end"/>
            </w:r>
          </w:hyperlink>
        </w:p>
        <w:p w14:paraId="3680DBB8" w14:textId="7949B40A" w:rsidR="00DA62F1" w:rsidRDefault="001809B4">
          <w:pPr>
            <w:pStyle w:val="TOC2"/>
            <w:tabs>
              <w:tab w:val="left" w:pos="1100"/>
            </w:tabs>
            <w:rPr>
              <w:rFonts w:asciiTheme="minorHAnsi" w:eastAsiaTheme="minorEastAsia" w:hAnsiTheme="minorHAnsi" w:cstheme="minorBidi"/>
              <w:noProof/>
              <w:sz w:val="22"/>
              <w:szCs w:val="22"/>
            </w:rPr>
          </w:pPr>
          <w:hyperlink w:anchor="_Toc142902963" w:history="1">
            <w:r w:rsidR="00DA62F1" w:rsidRPr="001A08F2">
              <w:rPr>
                <w:rStyle w:val="Hyperlink"/>
                <w:rFonts w:eastAsiaTheme="majorEastAsia"/>
                <w:noProof/>
              </w:rPr>
              <w:t>2.1</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Regulatory History of Interlock and Seat Belt Warnings</w:t>
            </w:r>
            <w:r w:rsidR="00DA62F1">
              <w:rPr>
                <w:noProof/>
                <w:webHidden/>
              </w:rPr>
              <w:tab/>
            </w:r>
            <w:r w:rsidR="00DA62F1">
              <w:rPr>
                <w:noProof/>
                <w:webHidden/>
              </w:rPr>
              <w:fldChar w:fldCharType="begin"/>
            </w:r>
            <w:r w:rsidR="00DA62F1">
              <w:rPr>
                <w:noProof/>
                <w:webHidden/>
              </w:rPr>
              <w:instrText xml:space="preserve"> PAGEREF _Toc142902963 \h </w:instrText>
            </w:r>
            <w:r w:rsidR="00DA62F1">
              <w:rPr>
                <w:noProof/>
                <w:webHidden/>
              </w:rPr>
            </w:r>
            <w:r w:rsidR="00DA62F1">
              <w:rPr>
                <w:noProof/>
                <w:webHidden/>
              </w:rPr>
              <w:fldChar w:fldCharType="separate"/>
            </w:r>
            <w:r w:rsidR="00A65CB3">
              <w:rPr>
                <w:noProof/>
                <w:webHidden/>
              </w:rPr>
              <w:t>19</w:t>
            </w:r>
            <w:r w:rsidR="00DA62F1">
              <w:rPr>
                <w:noProof/>
                <w:webHidden/>
              </w:rPr>
              <w:fldChar w:fldCharType="end"/>
            </w:r>
          </w:hyperlink>
        </w:p>
        <w:p w14:paraId="0879FDF9" w14:textId="054A0EDF" w:rsidR="00DA62F1" w:rsidRDefault="001809B4">
          <w:pPr>
            <w:pStyle w:val="TOC2"/>
            <w:tabs>
              <w:tab w:val="left" w:pos="1100"/>
            </w:tabs>
            <w:rPr>
              <w:rFonts w:asciiTheme="minorHAnsi" w:eastAsiaTheme="minorEastAsia" w:hAnsiTheme="minorHAnsi" w:cstheme="minorBidi"/>
              <w:noProof/>
              <w:sz w:val="22"/>
              <w:szCs w:val="22"/>
            </w:rPr>
          </w:pPr>
          <w:hyperlink w:anchor="_Toc142902964" w:history="1">
            <w:r w:rsidR="00DA62F1" w:rsidRPr="001A08F2">
              <w:rPr>
                <w:rStyle w:val="Hyperlink"/>
                <w:rFonts w:eastAsiaTheme="majorEastAsia"/>
                <w:noProof/>
              </w:rPr>
              <w:t>2.2</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NHTSA Research and other Agency Efforts</w:t>
            </w:r>
            <w:r w:rsidR="00DA62F1">
              <w:rPr>
                <w:noProof/>
                <w:webHidden/>
              </w:rPr>
              <w:tab/>
            </w:r>
            <w:r w:rsidR="00DA62F1">
              <w:rPr>
                <w:noProof/>
                <w:webHidden/>
              </w:rPr>
              <w:fldChar w:fldCharType="begin"/>
            </w:r>
            <w:r w:rsidR="00DA62F1">
              <w:rPr>
                <w:noProof/>
                <w:webHidden/>
              </w:rPr>
              <w:instrText xml:space="preserve"> PAGEREF _Toc142902964 \h </w:instrText>
            </w:r>
            <w:r w:rsidR="00DA62F1">
              <w:rPr>
                <w:noProof/>
                <w:webHidden/>
              </w:rPr>
            </w:r>
            <w:r w:rsidR="00DA62F1">
              <w:rPr>
                <w:noProof/>
                <w:webHidden/>
              </w:rPr>
              <w:fldChar w:fldCharType="separate"/>
            </w:r>
            <w:r w:rsidR="00A65CB3">
              <w:rPr>
                <w:noProof/>
                <w:webHidden/>
              </w:rPr>
              <w:t>20</w:t>
            </w:r>
            <w:r w:rsidR="00DA62F1">
              <w:rPr>
                <w:noProof/>
                <w:webHidden/>
              </w:rPr>
              <w:fldChar w:fldCharType="end"/>
            </w:r>
          </w:hyperlink>
        </w:p>
        <w:p w14:paraId="4B10E644" w14:textId="1A0E82BB" w:rsidR="00DA62F1" w:rsidRDefault="001809B4">
          <w:pPr>
            <w:pStyle w:val="TOC2"/>
            <w:tabs>
              <w:tab w:val="left" w:pos="1100"/>
            </w:tabs>
            <w:rPr>
              <w:rFonts w:asciiTheme="minorHAnsi" w:eastAsiaTheme="minorEastAsia" w:hAnsiTheme="minorHAnsi" w:cstheme="minorBidi"/>
              <w:noProof/>
              <w:sz w:val="22"/>
              <w:szCs w:val="22"/>
            </w:rPr>
          </w:pPr>
          <w:hyperlink w:anchor="_Toc142902965" w:history="1">
            <w:r w:rsidR="00DA62F1" w:rsidRPr="001A08F2">
              <w:rPr>
                <w:rStyle w:val="Hyperlink"/>
                <w:rFonts w:eastAsiaTheme="majorEastAsia"/>
                <w:noProof/>
              </w:rPr>
              <w:t>2.3</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External Research</w:t>
            </w:r>
            <w:r w:rsidR="00DA62F1">
              <w:rPr>
                <w:noProof/>
                <w:webHidden/>
              </w:rPr>
              <w:tab/>
            </w:r>
            <w:r w:rsidR="00DA62F1">
              <w:rPr>
                <w:noProof/>
                <w:webHidden/>
              </w:rPr>
              <w:fldChar w:fldCharType="begin"/>
            </w:r>
            <w:r w:rsidR="00DA62F1">
              <w:rPr>
                <w:noProof/>
                <w:webHidden/>
              </w:rPr>
              <w:instrText xml:space="preserve"> PAGEREF _Toc142902965 \h </w:instrText>
            </w:r>
            <w:r w:rsidR="00DA62F1">
              <w:rPr>
                <w:noProof/>
                <w:webHidden/>
              </w:rPr>
            </w:r>
            <w:r w:rsidR="00DA62F1">
              <w:rPr>
                <w:noProof/>
                <w:webHidden/>
              </w:rPr>
              <w:fldChar w:fldCharType="separate"/>
            </w:r>
            <w:r w:rsidR="00A65CB3">
              <w:rPr>
                <w:noProof/>
                <w:webHidden/>
              </w:rPr>
              <w:t>23</w:t>
            </w:r>
            <w:r w:rsidR="00DA62F1">
              <w:rPr>
                <w:noProof/>
                <w:webHidden/>
              </w:rPr>
              <w:fldChar w:fldCharType="end"/>
            </w:r>
          </w:hyperlink>
        </w:p>
        <w:p w14:paraId="625E8A01" w14:textId="2E1AB08D" w:rsidR="00DA62F1" w:rsidRDefault="001809B4">
          <w:pPr>
            <w:pStyle w:val="TOC2"/>
            <w:tabs>
              <w:tab w:val="left" w:pos="1100"/>
            </w:tabs>
            <w:rPr>
              <w:rFonts w:asciiTheme="minorHAnsi" w:eastAsiaTheme="minorEastAsia" w:hAnsiTheme="minorHAnsi" w:cstheme="minorBidi"/>
              <w:noProof/>
              <w:sz w:val="22"/>
              <w:szCs w:val="22"/>
            </w:rPr>
          </w:pPr>
          <w:hyperlink w:anchor="_Toc142902966" w:history="1">
            <w:r w:rsidR="00DA62F1" w:rsidRPr="001A08F2">
              <w:rPr>
                <w:rStyle w:val="Hyperlink"/>
                <w:noProof/>
              </w:rPr>
              <w:t>2.4</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Summary of Research Findings</w:t>
            </w:r>
            <w:r w:rsidR="00DA62F1">
              <w:rPr>
                <w:noProof/>
                <w:webHidden/>
              </w:rPr>
              <w:tab/>
            </w:r>
            <w:r w:rsidR="00DA62F1">
              <w:rPr>
                <w:noProof/>
                <w:webHidden/>
              </w:rPr>
              <w:fldChar w:fldCharType="begin"/>
            </w:r>
            <w:r w:rsidR="00DA62F1">
              <w:rPr>
                <w:noProof/>
                <w:webHidden/>
              </w:rPr>
              <w:instrText xml:space="preserve"> PAGEREF _Toc142902966 \h </w:instrText>
            </w:r>
            <w:r w:rsidR="00DA62F1">
              <w:rPr>
                <w:noProof/>
                <w:webHidden/>
              </w:rPr>
            </w:r>
            <w:r w:rsidR="00DA62F1">
              <w:rPr>
                <w:noProof/>
                <w:webHidden/>
              </w:rPr>
              <w:fldChar w:fldCharType="separate"/>
            </w:r>
            <w:r w:rsidR="00A65CB3">
              <w:rPr>
                <w:noProof/>
                <w:webHidden/>
              </w:rPr>
              <w:t>27</w:t>
            </w:r>
            <w:r w:rsidR="00DA62F1">
              <w:rPr>
                <w:noProof/>
                <w:webHidden/>
              </w:rPr>
              <w:fldChar w:fldCharType="end"/>
            </w:r>
          </w:hyperlink>
        </w:p>
        <w:p w14:paraId="5FE13741" w14:textId="355A5B58" w:rsidR="00DA62F1" w:rsidRDefault="001809B4">
          <w:pPr>
            <w:pStyle w:val="TOC1"/>
            <w:rPr>
              <w:rFonts w:asciiTheme="minorHAnsi" w:eastAsiaTheme="minorEastAsia" w:hAnsiTheme="minorHAnsi" w:cstheme="minorBidi"/>
              <w:noProof/>
              <w:sz w:val="22"/>
              <w:szCs w:val="22"/>
            </w:rPr>
          </w:pPr>
          <w:hyperlink w:anchor="_Toc142902967" w:history="1">
            <w:r w:rsidR="00DA62F1" w:rsidRPr="001A08F2">
              <w:rPr>
                <w:rStyle w:val="Hyperlink"/>
                <w:rFonts w:eastAsiaTheme="majorEastAsia"/>
                <w:noProof/>
              </w:rPr>
              <w:t>3</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Target Population</w:t>
            </w:r>
            <w:r w:rsidR="00DA62F1">
              <w:rPr>
                <w:noProof/>
                <w:webHidden/>
              </w:rPr>
              <w:tab/>
            </w:r>
            <w:r w:rsidR="00DA62F1">
              <w:rPr>
                <w:noProof/>
                <w:webHidden/>
              </w:rPr>
              <w:fldChar w:fldCharType="begin"/>
            </w:r>
            <w:r w:rsidR="00DA62F1">
              <w:rPr>
                <w:noProof/>
                <w:webHidden/>
              </w:rPr>
              <w:instrText xml:space="preserve"> PAGEREF _Toc142902967 \h </w:instrText>
            </w:r>
            <w:r w:rsidR="00DA62F1">
              <w:rPr>
                <w:noProof/>
                <w:webHidden/>
              </w:rPr>
            </w:r>
            <w:r w:rsidR="00DA62F1">
              <w:rPr>
                <w:noProof/>
                <w:webHidden/>
              </w:rPr>
              <w:fldChar w:fldCharType="separate"/>
            </w:r>
            <w:r w:rsidR="00A65CB3">
              <w:rPr>
                <w:noProof/>
                <w:webHidden/>
              </w:rPr>
              <w:t>27</w:t>
            </w:r>
            <w:r w:rsidR="00DA62F1">
              <w:rPr>
                <w:noProof/>
                <w:webHidden/>
              </w:rPr>
              <w:fldChar w:fldCharType="end"/>
            </w:r>
          </w:hyperlink>
        </w:p>
        <w:p w14:paraId="5E11B238" w14:textId="4CD00920" w:rsidR="00DA62F1" w:rsidRDefault="001809B4">
          <w:pPr>
            <w:pStyle w:val="TOC2"/>
            <w:tabs>
              <w:tab w:val="left" w:pos="1100"/>
            </w:tabs>
            <w:rPr>
              <w:rFonts w:asciiTheme="minorHAnsi" w:eastAsiaTheme="minorEastAsia" w:hAnsiTheme="minorHAnsi" w:cstheme="minorBidi"/>
              <w:noProof/>
              <w:sz w:val="22"/>
              <w:szCs w:val="22"/>
            </w:rPr>
          </w:pPr>
          <w:hyperlink w:anchor="_Toc142902968" w:history="1">
            <w:r w:rsidR="00DA62F1" w:rsidRPr="001A08F2">
              <w:rPr>
                <w:rStyle w:val="Hyperlink"/>
                <w:rFonts w:eastAsiaTheme="majorEastAsia"/>
                <w:noProof/>
              </w:rPr>
              <w:t>3.1</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Rear Seat Occupants</w:t>
            </w:r>
            <w:r w:rsidR="00DA62F1">
              <w:rPr>
                <w:noProof/>
                <w:webHidden/>
              </w:rPr>
              <w:tab/>
            </w:r>
            <w:r w:rsidR="00DA62F1">
              <w:rPr>
                <w:noProof/>
                <w:webHidden/>
              </w:rPr>
              <w:fldChar w:fldCharType="begin"/>
            </w:r>
            <w:r w:rsidR="00DA62F1">
              <w:rPr>
                <w:noProof/>
                <w:webHidden/>
              </w:rPr>
              <w:instrText xml:space="preserve"> PAGEREF _Toc142902968 \h </w:instrText>
            </w:r>
            <w:r w:rsidR="00DA62F1">
              <w:rPr>
                <w:noProof/>
                <w:webHidden/>
              </w:rPr>
            </w:r>
            <w:r w:rsidR="00DA62F1">
              <w:rPr>
                <w:noProof/>
                <w:webHidden/>
              </w:rPr>
              <w:fldChar w:fldCharType="separate"/>
            </w:r>
            <w:r w:rsidR="00A65CB3">
              <w:rPr>
                <w:noProof/>
                <w:webHidden/>
              </w:rPr>
              <w:t>28</w:t>
            </w:r>
            <w:r w:rsidR="00DA62F1">
              <w:rPr>
                <w:noProof/>
                <w:webHidden/>
              </w:rPr>
              <w:fldChar w:fldCharType="end"/>
            </w:r>
          </w:hyperlink>
        </w:p>
        <w:p w14:paraId="67EF06FA" w14:textId="2AD3D67C" w:rsidR="00DA62F1" w:rsidRDefault="001809B4">
          <w:pPr>
            <w:pStyle w:val="TOC3"/>
            <w:rPr>
              <w:rFonts w:asciiTheme="minorHAnsi" w:eastAsiaTheme="minorEastAsia" w:hAnsiTheme="minorHAnsi" w:cstheme="minorBidi"/>
              <w:noProof/>
              <w:sz w:val="22"/>
              <w:szCs w:val="22"/>
            </w:rPr>
          </w:pPr>
          <w:hyperlink w:anchor="_Toc142902969" w:history="1">
            <w:r w:rsidR="00DA62F1" w:rsidRPr="001A08F2">
              <w:rPr>
                <w:rStyle w:val="Hyperlink"/>
                <w:rFonts w:eastAsiaTheme="majorEastAsia"/>
                <w:noProof/>
              </w:rPr>
              <w:t>3.1.1</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Adjustments to Target Population</w:t>
            </w:r>
            <w:r w:rsidR="00DA62F1">
              <w:rPr>
                <w:noProof/>
                <w:webHidden/>
              </w:rPr>
              <w:tab/>
            </w:r>
            <w:r w:rsidR="00DA62F1">
              <w:rPr>
                <w:noProof/>
                <w:webHidden/>
              </w:rPr>
              <w:fldChar w:fldCharType="begin"/>
            </w:r>
            <w:r w:rsidR="00DA62F1">
              <w:rPr>
                <w:noProof/>
                <w:webHidden/>
              </w:rPr>
              <w:instrText xml:space="preserve"> PAGEREF _Toc142902969 \h </w:instrText>
            </w:r>
            <w:r w:rsidR="00DA62F1">
              <w:rPr>
                <w:noProof/>
                <w:webHidden/>
              </w:rPr>
            </w:r>
            <w:r w:rsidR="00DA62F1">
              <w:rPr>
                <w:noProof/>
                <w:webHidden/>
              </w:rPr>
              <w:fldChar w:fldCharType="separate"/>
            </w:r>
            <w:r w:rsidR="00A65CB3">
              <w:rPr>
                <w:noProof/>
                <w:webHidden/>
              </w:rPr>
              <w:t>28</w:t>
            </w:r>
            <w:r w:rsidR="00DA62F1">
              <w:rPr>
                <w:noProof/>
                <w:webHidden/>
              </w:rPr>
              <w:fldChar w:fldCharType="end"/>
            </w:r>
          </w:hyperlink>
        </w:p>
        <w:p w14:paraId="57EB8F98" w14:textId="4B08E2A2" w:rsidR="00DA62F1" w:rsidRDefault="001809B4">
          <w:pPr>
            <w:pStyle w:val="TOC3"/>
            <w:rPr>
              <w:rFonts w:asciiTheme="minorHAnsi" w:eastAsiaTheme="minorEastAsia" w:hAnsiTheme="minorHAnsi" w:cstheme="minorBidi"/>
              <w:noProof/>
              <w:sz w:val="22"/>
              <w:szCs w:val="22"/>
            </w:rPr>
          </w:pPr>
          <w:hyperlink w:anchor="_Toc142902970" w:history="1">
            <w:r w:rsidR="00DA62F1" w:rsidRPr="001A08F2">
              <w:rPr>
                <w:rStyle w:val="Hyperlink"/>
                <w:rFonts w:eastAsiaTheme="majorEastAsia"/>
                <w:noProof/>
              </w:rPr>
              <w:t>3.1.2</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Adjusted Target Population</w:t>
            </w:r>
            <w:r w:rsidR="00DA62F1">
              <w:rPr>
                <w:noProof/>
                <w:webHidden/>
              </w:rPr>
              <w:tab/>
            </w:r>
            <w:r w:rsidR="00DA62F1">
              <w:rPr>
                <w:noProof/>
                <w:webHidden/>
              </w:rPr>
              <w:fldChar w:fldCharType="begin"/>
            </w:r>
            <w:r w:rsidR="00DA62F1">
              <w:rPr>
                <w:noProof/>
                <w:webHidden/>
              </w:rPr>
              <w:instrText xml:space="preserve"> PAGEREF _Toc142902970 \h </w:instrText>
            </w:r>
            <w:r w:rsidR="00DA62F1">
              <w:rPr>
                <w:noProof/>
                <w:webHidden/>
              </w:rPr>
            </w:r>
            <w:r w:rsidR="00DA62F1">
              <w:rPr>
                <w:noProof/>
                <w:webHidden/>
              </w:rPr>
              <w:fldChar w:fldCharType="separate"/>
            </w:r>
            <w:r w:rsidR="00A65CB3">
              <w:rPr>
                <w:noProof/>
                <w:webHidden/>
              </w:rPr>
              <w:t>36</w:t>
            </w:r>
            <w:r w:rsidR="00DA62F1">
              <w:rPr>
                <w:noProof/>
                <w:webHidden/>
              </w:rPr>
              <w:fldChar w:fldCharType="end"/>
            </w:r>
          </w:hyperlink>
        </w:p>
        <w:p w14:paraId="02F08DD8" w14:textId="12C6F800" w:rsidR="00DA62F1" w:rsidRDefault="001809B4">
          <w:pPr>
            <w:pStyle w:val="TOC2"/>
            <w:tabs>
              <w:tab w:val="left" w:pos="1100"/>
            </w:tabs>
            <w:rPr>
              <w:rFonts w:asciiTheme="minorHAnsi" w:eastAsiaTheme="minorEastAsia" w:hAnsiTheme="minorHAnsi" w:cstheme="minorBidi"/>
              <w:noProof/>
              <w:sz w:val="22"/>
              <w:szCs w:val="22"/>
            </w:rPr>
          </w:pPr>
          <w:hyperlink w:anchor="_Toc142902971" w:history="1">
            <w:r w:rsidR="00DA62F1" w:rsidRPr="001A08F2">
              <w:rPr>
                <w:rStyle w:val="Hyperlink"/>
                <w:rFonts w:eastAsiaTheme="majorEastAsia"/>
                <w:noProof/>
              </w:rPr>
              <w:t>3.2</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Front Seat Occupants</w:t>
            </w:r>
            <w:r w:rsidR="00DA62F1">
              <w:rPr>
                <w:noProof/>
                <w:webHidden/>
              </w:rPr>
              <w:tab/>
            </w:r>
            <w:r w:rsidR="00DA62F1">
              <w:rPr>
                <w:noProof/>
                <w:webHidden/>
              </w:rPr>
              <w:fldChar w:fldCharType="begin"/>
            </w:r>
            <w:r w:rsidR="00DA62F1">
              <w:rPr>
                <w:noProof/>
                <w:webHidden/>
              </w:rPr>
              <w:instrText xml:space="preserve"> PAGEREF _Toc142902971 \h </w:instrText>
            </w:r>
            <w:r w:rsidR="00DA62F1">
              <w:rPr>
                <w:noProof/>
                <w:webHidden/>
              </w:rPr>
            </w:r>
            <w:r w:rsidR="00DA62F1">
              <w:rPr>
                <w:noProof/>
                <w:webHidden/>
              </w:rPr>
              <w:fldChar w:fldCharType="separate"/>
            </w:r>
            <w:r w:rsidR="00A65CB3">
              <w:rPr>
                <w:noProof/>
                <w:webHidden/>
              </w:rPr>
              <w:t>38</w:t>
            </w:r>
            <w:r w:rsidR="00DA62F1">
              <w:rPr>
                <w:noProof/>
                <w:webHidden/>
              </w:rPr>
              <w:fldChar w:fldCharType="end"/>
            </w:r>
          </w:hyperlink>
        </w:p>
        <w:p w14:paraId="617E3FDA" w14:textId="7CF2353D" w:rsidR="00DA62F1" w:rsidRDefault="001809B4">
          <w:pPr>
            <w:pStyle w:val="TOC3"/>
            <w:rPr>
              <w:rFonts w:asciiTheme="minorHAnsi" w:eastAsiaTheme="minorEastAsia" w:hAnsiTheme="minorHAnsi" w:cstheme="minorBidi"/>
              <w:noProof/>
              <w:sz w:val="22"/>
              <w:szCs w:val="22"/>
            </w:rPr>
          </w:pPr>
          <w:hyperlink w:anchor="_Toc142902972" w:history="1">
            <w:r w:rsidR="00DA62F1" w:rsidRPr="001A08F2">
              <w:rPr>
                <w:rStyle w:val="Hyperlink"/>
                <w:rFonts w:eastAsiaTheme="majorEastAsia"/>
                <w:noProof/>
              </w:rPr>
              <w:t>3.2.1</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Adjusted Target Population</w:t>
            </w:r>
            <w:r w:rsidR="00DA62F1">
              <w:rPr>
                <w:noProof/>
                <w:webHidden/>
              </w:rPr>
              <w:tab/>
            </w:r>
            <w:r w:rsidR="00DA62F1">
              <w:rPr>
                <w:noProof/>
                <w:webHidden/>
              </w:rPr>
              <w:fldChar w:fldCharType="begin"/>
            </w:r>
            <w:r w:rsidR="00DA62F1">
              <w:rPr>
                <w:noProof/>
                <w:webHidden/>
              </w:rPr>
              <w:instrText xml:space="preserve"> PAGEREF _Toc142902972 \h </w:instrText>
            </w:r>
            <w:r w:rsidR="00DA62F1">
              <w:rPr>
                <w:noProof/>
                <w:webHidden/>
              </w:rPr>
            </w:r>
            <w:r w:rsidR="00DA62F1">
              <w:rPr>
                <w:noProof/>
                <w:webHidden/>
              </w:rPr>
              <w:fldChar w:fldCharType="separate"/>
            </w:r>
            <w:r w:rsidR="00A65CB3">
              <w:rPr>
                <w:noProof/>
                <w:webHidden/>
              </w:rPr>
              <w:t>39</w:t>
            </w:r>
            <w:r w:rsidR="00DA62F1">
              <w:rPr>
                <w:noProof/>
                <w:webHidden/>
              </w:rPr>
              <w:fldChar w:fldCharType="end"/>
            </w:r>
          </w:hyperlink>
        </w:p>
        <w:p w14:paraId="43648ABB" w14:textId="31127ACF" w:rsidR="00DA62F1" w:rsidRDefault="001809B4">
          <w:pPr>
            <w:pStyle w:val="TOC1"/>
            <w:rPr>
              <w:rFonts w:asciiTheme="minorHAnsi" w:eastAsiaTheme="minorEastAsia" w:hAnsiTheme="minorHAnsi" w:cstheme="minorBidi"/>
              <w:noProof/>
              <w:sz w:val="22"/>
              <w:szCs w:val="22"/>
            </w:rPr>
          </w:pPr>
          <w:hyperlink w:anchor="_Toc142902973" w:history="1">
            <w:r w:rsidR="00DA62F1" w:rsidRPr="001A08F2">
              <w:rPr>
                <w:rStyle w:val="Hyperlink"/>
                <w:rFonts w:eastAsiaTheme="majorEastAsia"/>
                <w:noProof/>
              </w:rPr>
              <w:t>4</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Effectiveness</w:t>
            </w:r>
            <w:r w:rsidR="00DA62F1">
              <w:rPr>
                <w:noProof/>
                <w:webHidden/>
              </w:rPr>
              <w:tab/>
            </w:r>
            <w:r w:rsidR="00DA62F1">
              <w:rPr>
                <w:noProof/>
                <w:webHidden/>
              </w:rPr>
              <w:fldChar w:fldCharType="begin"/>
            </w:r>
            <w:r w:rsidR="00DA62F1">
              <w:rPr>
                <w:noProof/>
                <w:webHidden/>
              </w:rPr>
              <w:instrText xml:space="preserve"> PAGEREF _Toc142902973 \h </w:instrText>
            </w:r>
            <w:r w:rsidR="00DA62F1">
              <w:rPr>
                <w:noProof/>
                <w:webHidden/>
              </w:rPr>
            </w:r>
            <w:r w:rsidR="00DA62F1">
              <w:rPr>
                <w:noProof/>
                <w:webHidden/>
              </w:rPr>
              <w:fldChar w:fldCharType="separate"/>
            </w:r>
            <w:r w:rsidR="00A65CB3">
              <w:rPr>
                <w:noProof/>
                <w:webHidden/>
              </w:rPr>
              <w:t>43</w:t>
            </w:r>
            <w:r w:rsidR="00DA62F1">
              <w:rPr>
                <w:noProof/>
                <w:webHidden/>
              </w:rPr>
              <w:fldChar w:fldCharType="end"/>
            </w:r>
          </w:hyperlink>
        </w:p>
        <w:p w14:paraId="032AEE12" w14:textId="2EF11B34" w:rsidR="00DA62F1" w:rsidRDefault="001809B4">
          <w:pPr>
            <w:pStyle w:val="TOC2"/>
            <w:tabs>
              <w:tab w:val="left" w:pos="1100"/>
            </w:tabs>
            <w:rPr>
              <w:rFonts w:asciiTheme="minorHAnsi" w:eastAsiaTheme="minorEastAsia" w:hAnsiTheme="minorHAnsi" w:cstheme="minorBidi"/>
              <w:noProof/>
              <w:sz w:val="22"/>
              <w:szCs w:val="22"/>
            </w:rPr>
          </w:pPr>
          <w:hyperlink w:anchor="_Toc142902974" w:history="1">
            <w:r w:rsidR="00DA62F1" w:rsidRPr="001A08F2">
              <w:rPr>
                <w:rStyle w:val="Hyperlink"/>
                <w:rFonts w:eastAsiaTheme="majorEastAsia"/>
                <w:noProof/>
              </w:rPr>
              <w:t>4.1</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Seat Belt Effectiveness</w:t>
            </w:r>
            <w:r w:rsidR="00DA62F1">
              <w:rPr>
                <w:noProof/>
                <w:webHidden/>
              </w:rPr>
              <w:tab/>
            </w:r>
            <w:r w:rsidR="00DA62F1">
              <w:rPr>
                <w:noProof/>
                <w:webHidden/>
              </w:rPr>
              <w:fldChar w:fldCharType="begin"/>
            </w:r>
            <w:r w:rsidR="00DA62F1">
              <w:rPr>
                <w:noProof/>
                <w:webHidden/>
              </w:rPr>
              <w:instrText xml:space="preserve"> PAGEREF _Toc142902974 \h </w:instrText>
            </w:r>
            <w:r w:rsidR="00DA62F1">
              <w:rPr>
                <w:noProof/>
                <w:webHidden/>
              </w:rPr>
            </w:r>
            <w:r w:rsidR="00DA62F1">
              <w:rPr>
                <w:noProof/>
                <w:webHidden/>
              </w:rPr>
              <w:fldChar w:fldCharType="separate"/>
            </w:r>
            <w:r w:rsidR="00A65CB3">
              <w:rPr>
                <w:noProof/>
                <w:webHidden/>
              </w:rPr>
              <w:t>44</w:t>
            </w:r>
            <w:r w:rsidR="00DA62F1">
              <w:rPr>
                <w:noProof/>
                <w:webHidden/>
              </w:rPr>
              <w:fldChar w:fldCharType="end"/>
            </w:r>
          </w:hyperlink>
        </w:p>
        <w:p w14:paraId="20FBDC9E" w14:textId="7FD985A9" w:rsidR="00DA62F1" w:rsidRDefault="001809B4">
          <w:pPr>
            <w:pStyle w:val="TOC2"/>
            <w:tabs>
              <w:tab w:val="left" w:pos="1100"/>
            </w:tabs>
            <w:rPr>
              <w:rFonts w:asciiTheme="minorHAnsi" w:eastAsiaTheme="minorEastAsia" w:hAnsiTheme="minorHAnsi" w:cstheme="minorBidi"/>
              <w:noProof/>
              <w:sz w:val="22"/>
              <w:szCs w:val="22"/>
            </w:rPr>
          </w:pPr>
          <w:hyperlink w:anchor="_Toc142902975" w:history="1">
            <w:r w:rsidR="00DA62F1" w:rsidRPr="001A08F2">
              <w:rPr>
                <w:rStyle w:val="Hyperlink"/>
                <w:rFonts w:eastAsiaTheme="majorEastAsia"/>
                <w:noProof/>
              </w:rPr>
              <w:t>4.2</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Effect of SBWS on Rear Occupant</w:t>
            </w:r>
            <w:r w:rsidR="00DA62F1">
              <w:rPr>
                <w:noProof/>
                <w:webHidden/>
              </w:rPr>
              <w:tab/>
            </w:r>
            <w:r w:rsidR="00DA62F1">
              <w:rPr>
                <w:noProof/>
                <w:webHidden/>
              </w:rPr>
              <w:fldChar w:fldCharType="begin"/>
            </w:r>
            <w:r w:rsidR="00DA62F1">
              <w:rPr>
                <w:noProof/>
                <w:webHidden/>
              </w:rPr>
              <w:instrText xml:space="preserve"> PAGEREF _Toc142902975 \h </w:instrText>
            </w:r>
            <w:r w:rsidR="00DA62F1">
              <w:rPr>
                <w:noProof/>
                <w:webHidden/>
              </w:rPr>
            </w:r>
            <w:r w:rsidR="00DA62F1">
              <w:rPr>
                <w:noProof/>
                <w:webHidden/>
              </w:rPr>
              <w:fldChar w:fldCharType="separate"/>
            </w:r>
            <w:r w:rsidR="00A65CB3">
              <w:rPr>
                <w:noProof/>
                <w:webHidden/>
              </w:rPr>
              <w:t>46</w:t>
            </w:r>
            <w:r w:rsidR="00DA62F1">
              <w:rPr>
                <w:noProof/>
                <w:webHidden/>
              </w:rPr>
              <w:fldChar w:fldCharType="end"/>
            </w:r>
          </w:hyperlink>
        </w:p>
        <w:p w14:paraId="794B5617" w14:textId="5914F917" w:rsidR="00DA62F1" w:rsidRDefault="001809B4">
          <w:pPr>
            <w:pStyle w:val="TOC3"/>
            <w:rPr>
              <w:rFonts w:asciiTheme="minorHAnsi" w:eastAsiaTheme="minorEastAsia" w:hAnsiTheme="minorHAnsi" w:cstheme="minorBidi"/>
              <w:noProof/>
              <w:sz w:val="22"/>
              <w:szCs w:val="22"/>
            </w:rPr>
          </w:pPr>
          <w:hyperlink w:anchor="_Toc142902976" w:history="1">
            <w:r w:rsidR="00DA62F1" w:rsidRPr="001A08F2">
              <w:rPr>
                <w:rStyle w:val="Hyperlink"/>
                <w:rFonts w:eastAsiaTheme="majorEastAsia"/>
                <w:noProof/>
              </w:rPr>
              <w:t>4.2.1</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Impact of SBWS</w:t>
            </w:r>
            <w:r w:rsidR="00DA62F1">
              <w:rPr>
                <w:noProof/>
                <w:webHidden/>
              </w:rPr>
              <w:tab/>
            </w:r>
            <w:r w:rsidR="00DA62F1">
              <w:rPr>
                <w:noProof/>
                <w:webHidden/>
              </w:rPr>
              <w:fldChar w:fldCharType="begin"/>
            </w:r>
            <w:r w:rsidR="00DA62F1">
              <w:rPr>
                <w:noProof/>
                <w:webHidden/>
              </w:rPr>
              <w:instrText xml:space="preserve"> PAGEREF _Toc142902976 \h </w:instrText>
            </w:r>
            <w:r w:rsidR="00DA62F1">
              <w:rPr>
                <w:noProof/>
                <w:webHidden/>
              </w:rPr>
            </w:r>
            <w:r w:rsidR="00DA62F1">
              <w:rPr>
                <w:noProof/>
                <w:webHidden/>
              </w:rPr>
              <w:fldChar w:fldCharType="separate"/>
            </w:r>
            <w:r w:rsidR="00A65CB3">
              <w:rPr>
                <w:noProof/>
                <w:webHidden/>
              </w:rPr>
              <w:t>46</w:t>
            </w:r>
            <w:r w:rsidR="00DA62F1">
              <w:rPr>
                <w:noProof/>
                <w:webHidden/>
              </w:rPr>
              <w:fldChar w:fldCharType="end"/>
            </w:r>
          </w:hyperlink>
        </w:p>
        <w:p w14:paraId="5A32A624" w14:textId="12AAE946" w:rsidR="00DA62F1" w:rsidRDefault="001809B4">
          <w:pPr>
            <w:pStyle w:val="TOC3"/>
            <w:rPr>
              <w:rFonts w:asciiTheme="minorHAnsi" w:eastAsiaTheme="minorEastAsia" w:hAnsiTheme="minorHAnsi" w:cstheme="minorBidi"/>
              <w:noProof/>
              <w:sz w:val="22"/>
              <w:szCs w:val="22"/>
            </w:rPr>
          </w:pPr>
          <w:hyperlink w:anchor="_Toc142902977" w:history="1">
            <w:r w:rsidR="00DA62F1" w:rsidRPr="001A08F2">
              <w:rPr>
                <w:rStyle w:val="Hyperlink"/>
                <w:rFonts w:eastAsiaTheme="majorEastAsia"/>
                <w:noProof/>
              </w:rPr>
              <w:t>4.2.2</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Resulting Increase on Seat Belt Use Rates</w:t>
            </w:r>
            <w:r w:rsidR="00DA62F1">
              <w:rPr>
                <w:noProof/>
                <w:webHidden/>
              </w:rPr>
              <w:tab/>
            </w:r>
            <w:r w:rsidR="00DA62F1">
              <w:rPr>
                <w:noProof/>
                <w:webHidden/>
              </w:rPr>
              <w:fldChar w:fldCharType="begin"/>
            </w:r>
            <w:r w:rsidR="00DA62F1">
              <w:rPr>
                <w:noProof/>
                <w:webHidden/>
              </w:rPr>
              <w:instrText xml:space="preserve"> PAGEREF _Toc142902977 \h </w:instrText>
            </w:r>
            <w:r w:rsidR="00DA62F1">
              <w:rPr>
                <w:noProof/>
                <w:webHidden/>
              </w:rPr>
            </w:r>
            <w:r w:rsidR="00DA62F1">
              <w:rPr>
                <w:noProof/>
                <w:webHidden/>
              </w:rPr>
              <w:fldChar w:fldCharType="separate"/>
            </w:r>
            <w:r w:rsidR="00A65CB3">
              <w:rPr>
                <w:noProof/>
                <w:webHidden/>
              </w:rPr>
              <w:t>50</w:t>
            </w:r>
            <w:r w:rsidR="00DA62F1">
              <w:rPr>
                <w:noProof/>
                <w:webHidden/>
              </w:rPr>
              <w:fldChar w:fldCharType="end"/>
            </w:r>
          </w:hyperlink>
        </w:p>
        <w:p w14:paraId="641CA198" w14:textId="13843957" w:rsidR="00DA62F1" w:rsidRDefault="001809B4">
          <w:pPr>
            <w:pStyle w:val="TOC2"/>
            <w:tabs>
              <w:tab w:val="left" w:pos="1100"/>
            </w:tabs>
            <w:rPr>
              <w:rFonts w:asciiTheme="minorHAnsi" w:eastAsiaTheme="minorEastAsia" w:hAnsiTheme="minorHAnsi" w:cstheme="minorBidi"/>
              <w:noProof/>
              <w:sz w:val="22"/>
              <w:szCs w:val="22"/>
            </w:rPr>
          </w:pPr>
          <w:hyperlink w:anchor="_Toc142902978" w:history="1">
            <w:r w:rsidR="00DA62F1" w:rsidRPr="001A08F2">
              <w:rPr>
                <w:rStyle w:val="Hyperlink"/>
                <w:rFonts w:eastAsiaTheme="majorEastAsia"/>
                <w:noProof/>
              </w:rPr>
              <w:t>4.3</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Effect of Indefinite Warning on Drivers and Right Front Passengers</w:t>
            </w:r>
            <w:r w:rsidR="00DA62F1">
              <w:rPr>
                <w:noProof/>
                <w:webHidden/>
              </w:rPr>
              <w:tab/>
            </w:r>
            <w:r w:rsidR="00DA62F1">
              <w:rPr>
                <w:noProof/>
                <w:webHidden/>
              </w:rPr>
              <w:fldChar w:fldCharType="begin"/>
            </w:r>
            <w:r w:rsidR="00DA62F1">
              <w:rPr>
                <w:noProof/>
                <w:webHidden/>
              </w:rPr>
              <w:instrText xml:space="preserve"> PAGEREF _Toc142902978 \h </w:instrText>
            </w:r>
            <w:r w:rsidR="00DA62F1">
              <w:rPr>
                <w:noProof/>
                <w:webHidden/>
              </w:rPr>
            </w:r>
            <w:r w:rsidR="00DA62F1">
              <w:rPr>
                <w:noProof/>
                <w:webHidden/>
              </w:rPr>
              <w:fldChar w:fldCharType="separate"/>
            </w:r>
            <w:r w:rsidR="00A65CB3">
              <w:rPr>
                <w:noProof/>
                <w:webHidden/>
              </w:rPr>
              <w:t>54</w:t>
            </w:r>
            <w:r w:rsidR="00DA62F1">
              <w:rPr>
                <w:noProof/>
                <w:webHidden/>
              </w:rPr>
              <w:fldChar w:fldCharType="end"/>
            </w:r>
          </w:hyperlink>
        </w:p>
        <w:p w14:paraId="3970415A" w14:textId="3F996791" w:rsidR="00DA62F1" w:rsidRDefault="001809B4">
          <w:pPr>
            <w:pStyle w:val="TOC3"/>
            <w:rPr>
              <w:rFonts w:asciiTheme="minorHAnsi" w:eastAsiaTheme="minorEastAsia" w:hAnsiTheme="minorHAnsi" w:cstheme="minorBidi"/>
              <w:noProof/>
              <w:sz w:val="22"/>
              <w:szCs w:val="22"/>
            </w:rPr>
          </w:pPr>
          <w:hyperlink w:anchor="_Toc142902979" w:history="1">
            <w:r w:rsidR="00DA62F1" w:rsidRPr="001A08F2">
              <w:rPr>
                <w:rStyle w:val="Hyperlink"/>
                <w:rFonts w:eastAsiaTheme="majorEastAsia"/>
                <w:noProof/>
              </w:rPr>
              <w:t>4.3.1</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Seat Belt Use</w:t>
            </w:r>
            <w:r w:rsidR="00DA62F1">
              <w:rPr>
                <w:noProof/>
                <w:webHidden/>
              </w:rPr>
              <w:tab/>
            </w:r>
            <w:r w:rsidR="00DA62F1">
              <w:rPr>
                <w:noProof/>
                <w:webHidden/>
              </w:rPr>
              <w:fldChar w:fldCharType="begin"/>
            </w:r>
            <w:r w:rsidR="00DA62F1">
              <w:rPr>
                <w:noProof/>
                <w:webHidden/>
              </w:rPr>
              <w:instrText xml:space="preserve"> PAGEREF _Toc142902979 \h </w:instrText>
            </w:r>
            <w:r w:rsidR="00DA62F1">
              <w:rPr>
                <w:noProof/>
                <w:webHidden/>
              </w:rPr>
            </w:r>
            <w:r w:rsidR="00DA62F1">
              <w:rPr>
                <w:noProof/>
                <w:webHidden/>
              </w:rPr>
              <w:fldChar w:fldCharType="separate"/>
            </w:r>
            <w:r w:rsidR="00A65CB3">
              <w:rPr>
                <w:noProof/>
                <w:webHidden/>
              </w:rPr>
              <w:t>55</w:t>
            </w:r>
            <w:r w:rsidR="00DA62F1">
              <w:rPr>
                <w:noProof/>
                <w:webHidden/>
              </w:rPr>
              <w:fldChar w:fldCharType="end"/>
            </w:r>
          </w:hyperlink>
        </w:p>
        <w:p w14:paraId="2287DA36" w14:textId="1FE9365D" w:rsidR="00DA62F1" w:rsidRDefault="001809B4">
          <w:pPr>
            <w:pStyle w:val="TOC3"/>
            <w:rPr>
              <w:rFonts w:asciiTheme="minorHAnsi" w:eastAsiaTheme="minorEastAsia" w:hAnsiTheme="minorHAnsi" w:cstheme="minorBidi"/>
              <w:noProof/>
              <w:sz w:val="22"/>
              <w:szCs w:val="22"/>
            </w:rPr>
          </w:pPr>
          <w:hyperlink w:anchor="_Toc142902980" w:history="1">
            <w:r w:rsidR="00DA62F1" w:rsidRPr="001A08F2">
              <w:rPr>
                <w:rStyle w:val="Hyperlink"/>
                <w:rFonts w:eastAsiaTheme="majorEastAsia"/>
                <w:noProof/>
              </w:rPr>
              <w:t>4.3.2</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Impact on Seat Belt Use</w:t>
            </w:r>
            <w:r w:rsidR="00DA62F1">
              <w:rPr>
                <w:noProof/>
                <w:webHidden/>
              </w:rPr>
              <w:tab/>
            </w:r>
            <w:r w:rsidR="00DA62F1">
              <w:rPr>
                <w:noProof/>
                <w:webHidden/>
              </w:rPr>
              <w:fldChar w:fldCharType="begin"/>
            </w:r>
            <w:r w:rsidR="00DA62F1">
              <w:rPr>
                <w:noProof/>
                <w:webHidden/>
              </w:rPr>
              <w:instrText xml:space="preserve"> PAGEREF _Toc142902980 \h </w:instrText>
            </w:r>
            <w:r w:rsidR="00DA62F1">
              <w:rPr>
                <w:noProof/>
                <w:webHidden/>
              </w:rPr>
            </w:r>
            <w:r w:rsidR="00DA62F1">
              <w:rPr>
                <w:noProof/>
                <w:webHidden/>
              </w:rPr>
              <w:fldChar w:fldCharType="separate"/>
            </w:r>
            <w:r w:rsidR="00A65CB3">
              <w:rPr>
                <w:noProof/>
                <w:webHidden/>
              </w:rPr>
              <w:t>57</w:t>
            </w:r>
            <w:r w:rsidR="00DA62F1">
              <w:rPr>
                <w:noProof/>
                <w:webHidden/>
              </w:rPr>
              <w:fldChar w:fldCharType="end"/>
            </w:r>
          </w:hyperlink>
        </w:p>
        <w:p w14:paraId="50CB0C27" w14:textId="6F0BE0B2" w:rsidR="00DA62F1" w:rsidRDefault="001809B4">
          <w:pPr>
            <w:pStyle w:val="TOC3"/>
            <w:rPr>
              <w:rFonts w:asciiTheme="minorHAnsi" w:eastAsiaTheme="minorEastAsia" w:hAnsiTheme="minorHAnsi" w:cstheme="minorBidi"/>
              <w:noProof/>
              <w:sz w:val="22"/>
              <w:szCs w:val="22"/>
            </w:rPr>
          </w:pPr>
          <w:hyperlink w:anchor="_Toc142902981" w:history="1">
            <w:r w:rsidR="00DA62F1" w:rsidRPr="001A08F2">
              <w:rPr>
                <w:rStyle w:val="Hyperlink"/>
                <w:rFonts w:eastAsiaTheme="majorEastAsia"/>
                <w:noProof/>
              </w:rPr>
              <w:t>4.3.3</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Resulting Increase on Seat Belt Use Rates</w:t>
            </w:r>
            <w:r w:rsidR="00DA62F1">
              <w:rPr>
                <w:noProof/>
                <w:webHidden/>
              </w:rPr>
              <w:tab/>
            </w:r>
            <w:r w:rsidR="00DA62F1">
              <w:rPr>
                <w:noProof/>
                <w:webHidden/>
              </w:rPr>
              <w:fldChar w:fldCharType="begin"/>
            </w:r>
            <w:r w:rsidR="00DA62F1">
              <w:rPr>
                <w:noProof/>
                <w:webHidden/>
              </w:rPr>
              <w:instrText xml:space="preserve"> PAGEREF _Toc142902981 \h </w:instrText>
            </w:r>
            <w:r w:rsidR="00DA62F1">
              <w:rPr>
                <w:noProof/>
                <w:webHidden/>
              </w:rPr>
            </w:r>
            <w:r w:rsidR="00DA62F1">
              <w:rPr>
                <w:noProof/>
                <w:webHidden/>
              </w:rPr>
              <w:fldChar w:fldCharType="separate"/>
            </w:r>
            <w:r w:rsidR="00A65CB3">
              <w:rPr>
                <w:noProof/>
                <w:webHidden/>
              </w:rPr>
              <w:t>64</w:t>
            </w:r>
            <w:r w:rsidR="00DA62F1">
              <w:rPr>
                <w:noProof/>
                <w:webHidden/>
              </w:rPr>
              <w:fldChar w:fldCharType="end"/>
            </w:r>
          </w:hyperlink>
        </w:p>
        <w:p w14:paraId="189E1966" w14:textId="6FA1C01A" w:rsidR="00DA62F1" w:rsidRDefault="001809B4">
          <w:pPr>
            <w:pStyle w:val="TOC1"/>
            <w:rPr>
              <w:rFonts w:asciiTheme="minorHAnsi" w:eastAsiaTheme="minorEastAsia" w:hAnsiTheme="minorHAnsi" w:cstheme="minorBidi"/>
              <w:noProof/>
              <w:sz w:val="22"/>
              <w:szCs w:val="22"/>
            </w:rPr>
          </w:pPr>
          <w:hyperlink w:anchor="_Toc142902982" w:history="1">
            <w:r w:rsidR="00DA62F1" w:rsidRPr="001A08F2">
              <w:rPr>
                <w:rStyle w:val="Hyperlink"/>
                <w:rFonts w:eastAsiaTheme="majorEastAsia"/>
                <w:noProof/>
              </w:rPr>
              <w:t>5</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Benefits</w:t>
            </w:r>
            <w:r w:rsidR="00DA62F1">
              <w:rPr>
                <w:noProof/>
                <w:webHidden/>
              </w:rPr>
              <w:tab/>
            </w:r>
            <w:r w:rsidR="00DA62F1">
              <w:rPr>
                <w:noProof/>
                <w:webHidden/>
              </w:rPr>
              <w:fldChar w:fldCharType="begin"/>
            </w:r>
            <w:r w:rsidR="00DA62F1">
              <w:rPr>
                <w:noProof/>
                <w:webHidden/>
              </w:rPr>
              <w:instrText xml:space="preserve"> PAGEREF _Toc142902982 \h </w:instrText>
            </w:r>
            <w:r w:rsidR="00DA62F1">
              <w:rPr>
                <w:noProof/>
                <w:webHidden/>
              </w:rPr>
            </w:r>
            <w:r w:rsidR="00DA62F1">
              <w:rPr>
                <w:noProof/>
                <w:webHidden/>
              </w:rPr>
              <w:fldChar w:fldCharType="separate"/>
            </w:r>
            <w:r w:rsidR="00A65CB3">
              <w:rPr>
                <w:noProof/>
                <w:webHidden/>
              </w:rPr>
              <w:t>65</w:t>
            </w:r>
            <w:r w:rsidR="00DA62F1">
              <w:rPr>
                <w:noProof/>
                <w:webHidden/>
              </w:rPr>
              <w:fldChar w:fldCharType="end"/>
            </w:r>
          </w:hyperlink>
        </w:p>
        <w:p w14:paraId="044120BF" w14:textId="407A2055" w:rsidR="00DA62F1" w:rsidRDefault="001809B4">
          <w:pPr>
            <w:pStyle w:val="TOC2"/>
            <w:tabs>
              <w:tab w:val="left" w:pos="1100"/>
            </w:tabs>
            <w:rPr>
              <w:rFonts w:asciiTheme="minorHAnsi" w:eastAsiaTheme="minorEastAsia" w:hAnsiTheme="minorHAnsi" w:cstheme="minorBidi"/>
              <w:noProof/>
              <w:sz w:val="22"/>
              <w:szCs w:val="22"/>
            </w:rPr>
          </w:pPr>
          <w:hyperlink w:anchor="_Toc142902983" w:history="1">
            <w:r w:rsidR="00DA62F1" w:rsidRPr="001A08F2">
              <w:rPr>
                <w:rStyle w:val="Hyperlink"/>
                <w:rFonts w:eastAsiaTheme="majorEastAsia"/>
                <w:noProof/>
              </w:rPr>
              <w:t>5.1</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SBWS for Rear Seat Occupants</w:t>
            </w:r>
            <w:r w:rsidR="00DA62F1">
              <w:rPr>
                <w:noProof/>
                <w:webHidden/>
              </w:rPr>
              <w:tab/>
            </w:r>
            <w:r w:rsidR="00DA62F1">
              <w:rPr>
                <w:noProof/>
                <w:webHidden/>
              </w:rPr>
              <w:fldChar w:fldCharType="begin"/>
            </w:r>
            <w:r w:rsidR="00DA62F1">
              <w:rPr>
                <w:noProof/>
                <w:webHidden/>
              </w:rPr>
              <w:instrText xml:space="preserve"> PAGEREF _Toc142902983 \h </w:instrText>
            </w:r>
            <w:r w:rsidR="00DA62F1">
              <w:rPr>
                <w:noProof/>
                <w:webHidden/>
              </w:rPr>
            </w:r>
            <w:r w:rsidR="00DA62F1">
              <w:rPr>
                <w:noProof/>
                <w:webHidden/>
              </w:rPr>
              <w:fldChar w:fldCharType="separate"/>
            </w:r>
            <w:r w:rsidR="00A65CB3">
              <w:rPr>
                <w:noProof/>
                <w:webHidden/>
              </w:rPr>
              <w:t>66</w:t>
            </w:r>
            <w:r w:rsidR="00DA62F1">
              <w:rPr>
                <w:noProof/>
                <w:webHidden/>
              </w:rPr>
              <w:fldChar w:fldCharType="end"/>
            </w:r>
          </w:hyperlink>
        </w:p>
        <w:p w14:paraId="5191E5D3" w14:textId="6B6009D0" w:rsidR="00DA62F1" w:rsidRDefault="001809B4">
          <w:pPr>
            <w:pStyle w:val="TOC2"/>
            <w:tabs>
              <w:tab w:val="left" w:pos="1100"/>
            </w:tabs>
            <w:rPr>
              <w:rFonts w:asciiTheme="minorHAnsi" w:eastAsiaTheme="minorEastAsia" w:hAnsiTheme="minorHAnsi" w:cstheme="minorBidi"/>
              <w:noProof/>
              <w:sz w:val="22"/>
              <w:szCs w:val="22"/>
            </w:rPr>
          </w:pPr>
          <w:hyperlink w:anchor="_Toc142902984" w:history="1">
            <w:r w:rsidR="00DA62F1" w:rsidRPr="001A08F2">
              <w:rPr>
                <w:rStyle w:val="Hyperlink"/>
                <w:rFonts w:eastAsiaTheme="majorEastAsia"/>
                <w:noProof/>
              </w:rPr>
              <w:t>5.2</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Indefinite Warning for Front Seat Occupants</w:t>
            </w:r>
            <w:r w:rsidR="00DA62F1">
              <w:rPr>
                <w:noProof/>
                <w:webHidden/>
              </w:rPr>
              <w:tab/>
            </w:r>
            <w:r w:rsidR="00DA62F1">
              <w:rPr>
                <w:noProof/>
                <w:webHidden/>
              </w:rPr>
              <w:fldChar w:fldCharType="begin"/>
            </w:r>
            <w:r w:rsidR="00DA62F1">
              <w:rPr>
                <w:noProof/>
                <w:webHidden/>
              </w:rPr>
              <w:instrText xml:space="preserve"> PAGEREF _Toc142902984 \h </w:instrText>
            </w:r>
            <w:r w:rsidR="00DA62F1">
              <w:rPr>
                <w:noProof/>
                <w:webHidden/>
              </w:rPr>
            </w:r>
            <w:r w:rsidR="00DA62F1">
              <w:rPr>
                <w:noProof/>
                <w:webHidden/>
              </w:rPr>
              <w:fldChar w:fldCharType="separate"/>
            </w:r>
            <w:r w:rsidR="00A65CB3">
              <w:rPr>
                <w:noProof/>
                <w:webHidden/>
              </w:rPr>
              <w:t>74</w:t>
            </w:r>
            <w:r w:rsidR="00DA62F1">
              <w:rPr>
                <w:noProof/>
                <w:webHidden/>
              </w:rPr>
              <w:fldChar w:fldCharType="end"/>
            </w:r>
          </w:hyperlink>
        </w:p>
        <w:p w14:paraId="652AB075" w14:textId="7198E3EB" w:rsidR="00DA62F1" w:rsidRDefault="001809B4">
          <w:pPr>
            <w:pStyle w:val="TOC2"/>
            <w:tabs>
              <w:tab w:val="left" w:pos="1100"/>
            </w:tabs>
            <w:rPr>
              <w:rFonts w:asciiTheme="minorHAnsi" w:eastAsiaTheme="minorEastAsia" w:hAnsiTheme="minorHAnsi" w:cstheme="minorBidi"/>
              <w:noProof/>
              <w:sz w:val="22"/>
              <w:szCs w:val="22"/>
            </w:rPr>
          </w:pPr>
          <w:hyperlink w:anchor="_Toc142902985" w:history="1">
            <w:r w:rsidR="00DA62F1" w:rsidRPr="001A08F2">
              <w:rPr>
                <w:rStyle w:val="Hyperlink"/>
                <w:rFonts w:eastAsiaTheme="majorEastAsia"/>
                <w:noProof/>
              </w:rPr>
              <w:t>5.3</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Change of Status Warning</w:t>
            </w:r>
            <w:r w:rsidR="00DA62F1">
              <w:rPr>
                <w:noProof/>
                <w:webHidden/>
              </w:rPr>
              <w:tab/>
            </w:r>
            <w:r w:rsidR="00DA62F1">
              <w:rPr>
                <w:noProof/>
                <w:webHidden/>
              </w:rPr>
              <w:fldChar w:fldCharType="begin"/>
            </w:r>
            <w:r w:rsidR="00DA62F1">
              <w:rPr>
                <w:noProof/>
                <w:webHidden/>
              </w:rPr>
              <w:instrText xml:space="preserve"> PAGEREF _Toc142902985 \h </w:instrText>
            </w:r>
            <w:r w:rsidR="00DA62F1">
              <w:rPr>
                <w:noProof/>
                <w:webHidden/>
              </w:rPr>
            </w:r>
            <w:r w:rsidR="00DA62F1">
              <w:rPr>
                <w:noProof/>
                <w:webHidden/>
              </w:rPr>
              <w:fldChar w:fldCharType="separate"/>
            </w:r>
            <w:r w:rsidR="00A65CB3">
              <w:rPr>
                <w:noProof/>
                <w:webHidden/>
              </w:rPr>
              <w:t>90</w:t>
            </w:r>
            <w:r w:rsidR="00DA62F1">
              <w:rPr>
                <w:noProof/>
                <w:webHidden/>
              </w:rPr>
              <w:fldChar w:fldCharType="end"/>
            </w:r>
          </w:hyperlink>
        </w:p>
        <w:p w14:paraId="31C06C6B" w14:textId="1204A8A2" w:rsidR="00DA62F1" w:rsidRDefault="001809B4">
          <w:pPr>
            <w:pStyle w:val="TOC2"/>
            <w:tabs>
              <w:tab w:val="left" w:pos="1100"/>
            </w:tabs>
            <w:rPr>
              <w:rFonts w:asciiTheme="minorHAnsi" w:eastAsiaTheme="minorEastAsia" w:hAnsiTheme="minorHAnsi" w:cstheme="minorBidi"/>
              <w:noProof/>
              <w:sz w:val="22"/>
              <w:szCs w:val="22"/>
            </w:rPr>
          </w:pPr>
          <w:hyperlink w:anchor="_Toc142902986" w:history="1">
            <w:r w:rsidR="00DA62F1" w:rsidRPr="001A08F2">
              <w:rPr>
                <w:rStyle w:val="Hyperlink"/>
                <w:rFonts w:eastAsiaTheme="majorEastAsia"/>
                <w:noProof/>
              </w:rPr>
              <w:t>5.4</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Unquantified Benefits/Alternate Uses</w:t>
            </w:r>
            <w:r w:rsidR="00DA62F1">
              <w:rPr>
                <w:noProof/>
                <w:webHidden/>
              </w:rPr>
              <w:tab/>
            </w:r>
            <w:r w:rsidR="00DA62F1">
              <w:rPr>
                <w:noProof/>
                <w:webHidden/>
              </w:rPr>
              <w:fldChar w:fldCharType="begin"/>
            </w:r>
            <w:r w:rsidR="00DA62F1">
              <w:rPr>
                <w:noProof/>
                <w:webHidden/>
              </w:rPr>
              <w:instrText xml:space="preserve"> PAGEREF _Toc142902986 \h </w:instrText>
            </w:r>
            <w:r w:rsidR="00DA62F1">
              <w:rPr>
                <w:noProof/>
                <w:webHidden/>
              </w:rPr>
            </w:r>
            <w:r w:rsidR="00DA62F1">
              <w:rPr>
                <w:noProof/>
                <w:webHidden/>
              </w:rPr>
              <w:fldChar w:fldCharType="separate"/>
            </w:r>
            <w:r w:rsidR="00A65CB3">
              <w:rPr>
                <w:noProof/>
                <w:webHidden/>
              </w:rPr>
              <w:t>91</w:t>
            </w:r>
            <w:r w:rsidR="00DA62F1">
              <w:rPr>
                <w:noProof/>
                <w:webHidden/>
              </w:rPr>
              <w:fldChar w:fldCharType="end"/>
            </w:r>
          </w:hyperlink>
        </w:p>
        <w:p w14:paraId="3E0C1EA3" w14:textId="61994A98" w:rsidR="00DA62F1" w:rsidRDefault="001809B4">
          <w:pPr>
            <w:pStyle w:val="TOC2"/>
            <w:tabs>
              <w:tab w:val="left" w:pos="1100"/>
            </w:tabs>
            <w:rPr>
              <w:rFonts w:asciiTheme="minorHAnsi" w:eastAsiaTheme="minorEastAsia" w:hAnsiTheme="minorHAnsi" w:cstheme="minorBidi"/>
              <w:noProof/>
              <w:sz w:val="22"/>
              <w:szCs w:val="22"/>
            </w:rPr>
          </w:pPr>
          <w:hyperlink w:anchor="_Toc142902987" w:history="1">
            <w:r w:rsidR="00DA62F1" w:rsidRPr="001A08F2">
              <w:rPr>
                <w:rStyle w:val="Hyperlink"/>
                <w:rFonts w:eastAsiaTheme="majorEastAsia"/>
                <w:noProof/>
              </w:rPr>
              <w:t>5.5</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Summary of Benefits</w:t>
            </w:r>
            <w:r w:rsidR="00DA62F1">
              <w:rPr>
                <w:noProof/>
                <w:webHidden/>
              </w:rPr>
              <w:tab/>
            </w:r>
            <w:r w:rsidR="00DA62F1">
              <w:rPr>
                <w:noProof/>
                <w:webHidden/>
              </w:rPr>
              <w:fldChar w:fldCharType="begin"/>
            </w:r>
            <w:r w:rsidR="00DA62F1">
              <w:rPr>
                <w:noProof/>
                <w:webHidden/>
              </w:rPr>
              <w:instrText xml:space="preserve"> PAGEREF _Toc142902987 \h </w:instrText>
            </w:r>
            <w:r w:rsidR="00DA62F1">
              <w:rPr>
                <w:noProof/>
                <w:webHidden/>
              </w:rPr>
            </w:r>
            <w:r w:rsidR="00DA62F1">
              <w:rPr>
                <w:noProof/>
                <w:webHidden/>
              </w:rPr>
              <w:fldChar w:fldCharType="separate"/>
            </w:r>
            <w:r w:rsidR="00A65CB3">
              <w:rPr>
                <w:noProof/>
                <w:webHidden/>
              </w:rPr>
              <w:t>92</w:t>
            </w:r>
            <w:r w:rsidR="00DA62F1">
              <w:rPr>
                <w:noProof/>
                <w:webHidden/>
              </w:rPr>
              <w:fldChar w:fldCharType="end"/>
            </w:r>
          </w:hyperlink>
        </w:p>
        <w:p w14:paraId="72001DEA" w14:textId="43B88A10" w:rsidR="00DA62F1" w:rsidRDefault="001809B4">
          <w:pPr>
            <w:pStyle w:val="TOC1"/>
            <w:rPr>
              <w:rFonts w:asciiTheme="minorHAnsi" w:eastAsiaTheme="minorEastAsia" w:hAnsiTheme="minorHAnsi" w:cstheme="minorBidi"/>
              <w:noProof/>
              <w:sz w:val="22"/>
              <w:szCs w:val="22"/>
            </w:rPr>
          </w:pPr>
          <w:hyperlink w:anchor="_Toc142902988" w:history="1">
            <w:r w:rsidR="00DA62F1" w:rsidRPr="001A08F2">
              <w:rPr>
                <w:rStyle w:val="Hyperlink"/>
                <w:rFonts w:eastAsiaTheme="majorEastAsia"/>
                <w:noProof/>
              </w:rPr>
              <w:t>6</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Costs</w:t>
            </w:r>
            <w:r w:rsidR="00DA62F1">
              <w:rPr>
                <w:noProof/>
                <w:webHidden/>
              </w:rPr>
              <w:tab/>
            </w:r>
            <w:r w:rsidR="00DA62F1">
              <w:rPr>
                <w:noProof/>
                <w:webHidden/>
              </w:rPr>
              <w:fldChar w:fldCharType="begin"/>
            </w:r>
            <w:r w:rsidR="00DA62F1">
              <w:rPr>
                <w:noProof/>
                <w:webHidden/>
              </w:rPr>
              <w:instrText xml:space="preserve"> PAGEREF _Toc142902988 \h </w:instrText>
            </w:r>
            <w:r w:rsidR="00DA62F1">
              <w:rPr>
                <w:noProof/>
                <w:webHidden/>
              </w:rPr>
            </w:r>
            <w:r w:rsidR="00DA62F1">
              <w:rPr>
                <w:noProof/>
                <w:webHidden/>
              </w:rPr>
              <w:fldChar w:fldCharType="separate"/>
            </w:r>
            <w:r w:rsidR="00A65CB3">
              <w:rPr>
                <w:noProof/>
                <w:webHidden/>
              </w:rPr>
              <w:t>93</w:t>
            </w:r>
            <w:r w:rsidR="00DA62F1">
              <w:rPr>
                <w:noProof/>
                <w:webHidden/>
              </w:rPr>
              <w:fldChar w:fldCharType="end"/>
            </w:r>
          </w:hyperlink>
        </w:p>
        <w:p w14:paraId="09889DE3" w14:textId="1082CFDB" w:rsidR="00DA62F1" w:rsidRDefault="001809B4">
          <w:pPr>
            <w:pStyle w:val="TOC2"/>
            <w:tabs>
              <w:tab w:val="left" w:pos="1100"/>
            </w:tabs>
            <w:rPr>
              <w:rFonts w:asciiTheme="minorHAnsi" w:eastAsiaTheme="minorEastAsia" w:hAnsiTheme="minorHAnsi" w:cstheme="minorBidi"/>
              <w:noProof/>
              <w:sz w:val="22"/>
              <w:szCs w:val="22"/>
            </w:rPr>
          </w:pPr>
          <w:hyperlink w:anchor="_Toc142902989" w:history="1">
            <w:r w:rsidR="00DA62F1" w:rsidRPr="001A08F2">
              <w:rPr>
                <w:rStyle w:val="Hyperlink"/>
                <w:rFonts w:eastAsiaTheme="majorEastAsia"/>
                <w:noProof/>
              </w:rPr>
              <w:t>6.1</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SBWS for Rear Seat Occupants</w:t>
            </w:r>
            <w:r w:rsidR="00DA62F1">
              <w:rPr>
                <w:noProof/>
                <w:webHidden/>
              </w:rPr>
              <w:tab/>
            </w:r>
            <w:r w:rsidR="00DA62F1">
              <w:rPr>
                <w:noProof/>
                <w:webHidden/>
              </w:rPr>
              <w:fldChar w:fldCharType="begin"/>
            </w:r>
            <w:r w:rsidR="00DA62F1">
              <w:rPr>
                <w:noProof/>
                <w:webHidden/>
              </w:rPr>
              <w:instrText xml:space="preserve"> PAGEREF _Toc142902989 \h </w:instrText>
            </w:r>
            <w:r w:rsidR="00DA62F1">
              <w:rPr>
                <w:noProof/>
                <w:webHidden/>
              </w:rPr>
            </w:r>
            <w:r w:rsidR="00DA62F1">
              <w:rPr>
                <w:noProof/>
                <w:webHidden/>
              </w:rPr>
              <w:fldChar w:fldCharType="separate"/>
            </w:r>
            <w:r w:rsidR="00A65CB3">
              <w:rPr>
                <w:noProof/>
                <w:webHidden/>
              </w:rPr>
              <w:t>93</w:t>
            </w:r>
            <w:r w:rsidR="00DA62F1">
              <w:rPr>
                <w:noProof/>
                <w:webHidden/>
              </w:rPr>
              <w:fldChar w:fldCharType="end"/>
            </w:r>
          </w:hyperlink>
        </w:p>
        <w:p w14:paraId="591DB4F3" w14:textId="36EB624C" w:rsidR="00DA62F1" w:rsidRDefault="001809B4">
          <w:pPr>
            <w:pStyle w:val="TOC2"/>
            <w:tabs>
              <w:tab w:val="left" w:pos="1100"/>
            </w:tabs>
            <w:rPr>
              <w:rFonts w:asciiTheme="minorHAnsi" w:eastAsiaTheme="minorEastAsia" w:hAnsiTheme="minorHAnsi" w:cstheme="minorBidi"/>
              <w:noProof/>
              <w:sz w:val="22"/>
              <w:szCs w:val="22"/>
            </w:rPr>
          </w:pPr>
          <w:hyperlink w:anchor="_Toc142902990" w:history="1">
            <w:r w:rsidR="00DA62F1" w:rsidRPr="001A08F2">
              <w:rPr>
                <w:rStyle w:val="Hyperlink"/>
                <w:rFonts w:eastAsiaTheme="majorEastAsia"/>
                <w:noProof/>
              </w:rPr>
              <w:t>6.2</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Indefinite Warning for Front Seat Occupants</w:t>
            </w:r>
            <w:r w:rsidR="00DA62F1">
              <w:rPr>
                <w:noProof/>
                <w:webHidden/>
              </w:rPr>
              <w:tab/>
            </w:r>
            <w:r w:rsidR="00DA62F1">
              <w:rPr>
                <w:noProof/>
                <w:webHidden/>
              </w:rPr>
              <w:fldChar w:fldCharType="begin"/>
            </w:r>
            <w:r w:rsidR="00DA62F1">
              <w:rPr>
                <w:noProof/>
                <w:webHidden/>
              </w:rPr>
              <w:instrText xml:space="preserve"> PAGEREF _Toc142902990 \h </w:instrText>
            </w:r>
            <w:r w:rsidR="00DA62F1">
              <w:rPr>
                <w:noProof/>
                <w:webHidden/>
              </w:rPr>
            </w:r>
            <w:r w:rsidR="00DA62F1">
              <w:rPr>
                <w:noProof/>
                <w:webHidden/>
              </w:rPr>
              <w:fldChar w:fldCharType="separate"/>
            </w:r>
            <w:r w:rsidR="00A65CB3">
              <w:rPr>
                <w:noProof/>
                <w:webHidden/>
              </w:rPr>
              <w:t>95</w:t>
            </w:r>
            <w:r w:rsidR="00DA62F1">
              <w:rPr>
                <w:noProof/>
                <w:webHidden/>
              </w:rPr>
              <w:fldChar w:fldCharType="end"/>
            </w:r>
          </w:hyperlink>
        </w:p>
        <w:p w14:paraId="63B3C3EA" w14:textId="0CFC6CCB" w:rsidR="00DA62F1" w:rsidRDefault="001809B4">
          <w:pPr>
            <w:pStyle w:val="TOC2"/>
            <w:tabs>
              <w:tab w:val="left" w:pos="1100"/>
            </w:tabs>
            <w:rPr>
              <w:rFonts w:asciiTheme="minorHAnsi" w:eastAsiaTheme="minorEastAsia" w:hAnsiTheme="minorHAnsi" w:cstheme="minorBidi"/>
              <w:noProof/>
              <w:sz w:val="22"/>
              <w:szCs w:val="22"/>
            </w:rPr>
          </w:pPr>
          <w:hyperlink w:anchor="_Toc142902991" w:history="1">
            <w:r w:rsidR="00DA62F1" w:rsidRPr="001A08F2">
              <w:rPr>
                <w:rStyle w:val="Hyperlink"/>
                <w:rFonts w:eastAsiaTheme="majorEastAsia"/>
                <w:noProof/>
              </w:rPr>
              <w:t>6.3</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Summary</w:t>
            </w:r>
            <w:r w:rsidR="00DA62F1">
              <w:rPr>
                <w:noProof/>
                <w:webHidden/>
              </w:rPr>
              <w:tab/>
            </w:r>
            <w:r w:rsidR="00DA62F1">
              <w:rPr>
                <w:noProof/>
                <w:webHidden/>
              </w:rPr>
              <w:fldChar w:fldCharType="begin"/>
            </w:r>
            <w:r w:rsidR="00DA62F1">
              <w:rPr>
                <w:noProof/>
                <w:webHidden/>
              </w:rPr>
              <w:instrText xml:space="preserve"> PAGEREF _Toc142902991 \h </w:instrText>
            </w:r>
            <w:r w:rsidR="00DA62F1">
              <w:rPr>
                <w:noProof/>
                <w:webHidden/>
              </w:rPr>
            </w:r>
            <w:r w:rsidR="00DA62F1">
              <w:rPr>
                <w:noProof/>
                <w:webHidden/>
              </w:rPr>
              <w:fldChar w:fldCharType="separate"/>
            </w:r>
            <w:r w:rsidR="00A65CB3">
              <w:rPr>
                <w:noProof/>
                <w:webHidden/>
              </w:rPr>
              <w:t>97</w:t>
            </w:r>
            <w:r w:rsidR="00DA62F1">
              <w:rPr>
                <w:noProof/>
                <w:webHidden/>
              </w:rPr>
              <w:fldChar w:fldCharType="end"/>
            </w:r>
          </w:hyperlink>
        </w:p>
        <w:p w14:paraId="026FC898" w14:textId="03491FBE" w:rsidR="00DA62F1" w:rsidRDefault="001809B4">
          <w:pPr>
            <w:pStyle w:val="TOC1"/>
            <w:rPr>
              <w:rFonts w:asciiTheme="minorHAnsi" w:eastAsiaTheme="minorEastAsia" w:hAnsiTheme="minorHAnsi" w:cstheme="minorBidi"/>
              <w:noProof/>
              <w:sz w:val="22"/>
              <w:szCs w:val="22"/>
            </w:rPr>
          </w:pPr>
          <w:hyperlink w:anchor="_Toc142902992" w:history="1">
            <w:r w:rsidR="00DA62F1" w:rsidRPr="001A08F2">
              <w:rPr>
                <w:rStyle w:val="Hyperlink"/>
                <w:rFonts w:eastAsiaTheme="majorEastAsia"/>
                <w:noProof/>
              </w:rPr>
              <w:t>7</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Lead Time</w:t>
            </w:r>
            <w:r w:rsidR="00DA62F1">
              <w:rPr>
                <w:noProof/>
                <w:webHidden/>
              </w:rPr>
              <w:tab/>
            </w:r>
            <w:r w:rsidR="00DA62F1">
              <w:rPr>
                <w:noProof/>
                <w:webHidden/>
              </w:rPr>
              <w:fldChar w:fldCharType="begin"/>
            </w:r>
            <w:r w:rsidR="00DA62F1">
              <w:rPr>
                <w:noProof/>
                <w:webHidden/>
              </w:rPr>
              <w:instrText xml:space="preserve"> PAGEREF _Toc142902992 \h </w:instrText>
            </w:r>
            <w:r w:rsidR="00DA62F1">
              <w:rPr>
                <w:noProof/>
                <w:webHidden/>
              </w:rPr>
            </w:r>
            <w:r w:rsidR="00DA62F1">
              <w:rPr>
                <w:noProof/>
                <w:webHidden/>
              </w:rPr>
              <w:fldChar w:fldCharType="separate"/>
            </w:r>
            <w:r w:rsidR="00A65CB3">
              <w:rPr>
                <w:noProof/>
                <w:webHidden/>
              </w:rPr>
              <w:t>97</w:t>
            </w:r>
            <w:r w:rsidR="00DA62F1">
              <w:rPr>
                <w:noProof/>
                <w:webHidden/>
              </w:rPr>
              <w:fldChar w:fldCharType="end"/>
            </w:r>
          </w:hyperlink>
        </w:p>
        <w:p w14:paraId="156F27DE" w14:textId="48C0BDF7" w:rsidR="00DA62F1" w:rsidRDefault="001809B4">
          <w:pPr>
            <w:pStyle w:val="TOC1"/>
            <w:rPr>
              <w:rFonts w:asciiTheme="minorHAnsi" w:eastAsiaTheme="minorEastAsia" w:hAnsiTheme="minorHAnsi" w:cstheme="minorBidi"/>
              <w:noProof/>
              <w:sz w:val="22"/>
              <w:szCs w:val="22"/>
            </w:rPr>
          </w:pPr>
          <w:hyperlink w:anchor="_Toc142902993" w:history="1">
            <w:r w:rsidR="00DA62F1" w:rsidRPr="001A08F2">
              <w:rPr>
                <w:rStyle w:val="Hyperlink"/>
                <w:rFonts w:eastAsiaTheme="majorEastAsia"/>
                <w:noProof/>
              </w:rPr>
              <w:t>8</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Cost-Effectiveness and Net Benefits</w:t>
            </w:r>
            <w:r w:rsidR="00DA62F1">
              <w:rPr>
                <w:noProof/>
                <w:webHidden/>
              </w:rPr>
              <w:tab/>
            </w:r>
            <w:r w:rsidR="00DA62F1">
              <w:rPr>
                <w:noProof/>
                <w:webHidden/>
              </w:rPr>
              <w:fldChar w:fldCharType="begin"/>
            </w:r>
            <w:r w:rsidR="00DA62F1">
              <w:rPr>
                <w:noProof/>
                <w:webHidden/>
              </w:rPr>
              <w:instrText xml:space="preserve"> PAGEREF _Toc142902993 \h </w:instrText>
            </w:r>
            <w:r w:rsidR="00DA62F1">
              <w:rPr>
                <w:noProof/>
                <w:webHidden/>
              </w:rPr>
            </w:r>
            <w:r w:rsidR="00DA62F1">
              <w:rPr>
                <w:noProof/>
                <w:webHidden/>
              </w:rPr>
              <w:fldChar w:fldCharType="separate"/>
            </w:r>
            <w:r w:rsidR="00A65CB3">
              <w:rPr>
                <w:noProof/>
                <w:webHidden/>
              </w:rPr>
              <w:t>99</w:t>
            </w:r>
            <w:r w:rsidR="00DA62F1">
              <w:rPr>
                <w:noProof/>
                <w:webHidden/>
              </w:rPr>
              <w:fldChar w:fldCharType="end"/>
            </w:r>
          </w:hyperlink>
        </w:p>
        <w:p w14:paraId="64592F6A" w14:textId="50C042A6" w:rsidR="00DA62F1" w:rsidRDefault="001809B4">
          <w:pPr>
            <w:pStyle w:val="TOC2"/>
            <w:tabs>
              <w:tab w:val="left" w:pos="1100"/>
            </w:tabs>
            <w:rPr>
              <w:rFonts w:asciiTheme="minorHAnsi" w:eastAsiaTheme="minorEastAsia" w:hAnsiTheme="minorHAnsi" w:cstheme="minorBidi"/>
              <w:noProof/>
              <w:sz w:val="22"/>
              <w:szCs w:val="22"/>
            </w:rPr>
          </w:pPr>
          <w:hyperlink w:anchor="_Toc142902994" w:history="1">
            <w:r w:rsidR="00DA62F1" w:rsidRPr="001A08F2">
              <w:rPr>
                <w:rStyle w:val="Hyperlink"/>
                <w:rFonts w:eastAsiaTheme="majorEastAsia"/>
                <w:noProof/>
              </w:rPr>
              <w:t>8.1</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Cost-Effectiveness</w:t>
            </w:r>
            <w:r w:rsidR="00DA62F1">
              <w:rPr>
                <w:noProof/>
                <w:webHidden/>
              </w:rPr>
              <w:tab/>
            </w:r>
            <w:r w:rsidR="00DA62F1">
              <w:rPr>
                <w:noProof/>
                <w:webHidden/>
              </w:rPr>
              <w:fldChar w:fldCharType="begin"/>
            </w:r>
            <w:r w:rsidR="00DA62F1">
              <w:rPr>
                <w:noProof/>
                <w:webHidden/>
              </w:rPr>
              <w:instrText xml:space="preserve"> PAGEREF _Toc142902994 \h </w:instrText>
            </w:r>
            <w:r w:rsidR="00DA62F1">
              <w:rPr>
                <w:noProof/>
                <w:webHidden/>
              </w:rPr>
            </w:r>
            <w:r w:rsidR="00DA62F1">
              <w:rPr>
                <w:noProof/>
                <w:webHidden/>
              </w:rPr>
              <w:fldChar w:fldCharType="separate"/>
            </w:r>
            <w:r w:rsidR="00A65CB3">
              <w:rPr>
                <w:noProof/>
                <w:webHidden/>
              </w:rPr>
              <w:t>101</w:t>
            </w:r>
            <w:r w:rsidR="00DA62F1">
              <w:rPr>
                <w:noProof/>
                <w:webHidden/>
              </w:rPr>
              <w:fldChar w:fldCharType="end"/>
            </w:r>
          </w:hyperlink>
        </w:p>
        <w:p w14:paraId="4C7CD617" w14:textId="2A833969" w:rsidR="00DA62F1" w:rsidRDefault="001809B4">
          <w:pPr>
            <w:pStyle w:val="TOC2"/>
            <w:tabs>
              <w:tab w:val="left" w:pos="1100"/>
            </w:tabs>
            <w:rPr>
              <w:rFonts w:asciiTheme="minorHAnsi" w:eastAsiaTheme="minorEastAsia" w:hAnsiTheme="minorHAnsi" w:cstheme="minorBidi"/>
              <w:noProof/>
              <w:sz w:val="22"/>
              <w:szCs w:val="22"/>
            </w:rPr>
          </w:pPr>
          <w:hyperlink w:anchor="_Toc142902995" w:history="1">
            <w:r w:rsidR="00DA62F1" w:rsidRPr="001A08F2">
              <w:rPr>
                <w:rStyle w:val="Hyperlink"/>
                <w:rFonts w:eastAsiaTheme="majorEastAsia"/>
                <w:noProof/>
              </w:rPr>
              <w:t>8.2</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Net Benefits</w:t>
            </w:r>
            <w:r w:rsidR="00DA62F1">
              <w:rPr>
                <w:noProof/>
                <w:webHidden/>
              </w:rPr>
              <w:tab/>
            </w:r>
            <w:r w:rsidR="00DA62F1">
              <w:rPr>
                <w:noProof/>
                <w:webHidden/>
              </w:rPr>
              <w:fldChar w:fldCharType="begin"/>
            </w:r>
            <w:r w:rsidR="00DA62F1">
              <w:rPr>
                <w:noProof/>
                <w:webHidden/>
              </w:rPr>
              <w:instrText xml:space="preserve"> PAGEREF _Toc142902995 \h </w:instrText>
            </w:r>
            <w:r w:rsidR="00DA62F1">
              <w:rPr>
                <w:noProof/>
                <w:webHidden/>
              </w:rPr>
            </w:r>
            <w:r w:rsidR="00DA62F1">
              <w:rPr>
                <w:noProof/>
                <w:webHidden/>
              </w:rPr>
              <w:fldChar w:fldCharType="separate"/>
            </w:r>
            <w:r w:rsidR="00A65CB3">
              <w:rPr>
                <w:noProof/>
                <w:webHidden/>
              </w:rPr>
              <w:t>108</w:t>
            </w:r>
            <w:r w:rsidR="00DA62F1">
              <w:rPr>
                <w:noProof/>
                <w:webHidden/>
              </w:rPr>
              <w:fldChar w:fldCharType="end"/>
            </w:r>
          </w:hyperlink>
        </w:p>
        <w:p w14:paraId="6C2E0F5D" w14:textId="7BE0B670" w:rsidR="00DA62F1" w:rsidRDefault="001809B4">
          <w:pPr>
            <w:pStyle w:val="TOC2"/>
            <w:tabs>
              <w:tab w:val="left" w:pos="1100"/>
            </w:tabs>
            <w:rPr>
              <w:rFonts w:asciiTheme="minorHAnsi" w:eastAsiaTheme="minorEastAsia" w:hAnsiTheme="minorHAnsi" w:cstheme="minorBidi"/>
              <w:noProof/>
              <w:sz w:val="22"/>
              <w:szCs w:val="22"/>
            </w:rPr>
          </w:pPr>
          <w:hyperlink w:anchor="_Toc142902996" w:history="1">
            <w:r w:rsidR="00DA62F1" w:rsidRPr="001A08F2">
              <w:rPr>
                <w:rStyle w:val="Hyperlink"/>
                <w:rFonts w:eastAsiaTheme="majorEastAsia"/>
                <w:noProof/>
              </w:rPr>
              <w:t>8.3</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Summary</w:t>
            </w:r>
            <w:r w:rsidR="00DA62F1">
              <w:rPr>
                <w:noProof/>
                <w:webHidden/>
              </w:rPr>
              <w:tab/>
            </w:r>
            <w:r w:rsidR="00DA62F1">
              <w:rPr>
                <w:noProof/>
                <w:webHidden/>
              </w:rPr>
              <w:fldChar w:fldCharType="begin"/>
            </w:r>
            <w:r w:rsidR="00DA62F1">
              <w:rPr>
                <w:noProof/>
                <w:webHidden/>
              </w:rPr>
              <w:instrText xml:space="preserve"> PAGEREF _Toc142902996 \h </w:instrText>
            </w:r>
            <w:r w:rsidR="00DA62F1">
              <w:rPr>
                <w:noProof/>
                <w:webHidden/>
              </w:rPr>
            </w:r>
            <w:r w:rsidR="00DA62F1">
              <w:rPr>
                <w:noProof/>
                <w:webHidden/>
              </w:rPr>
              <w:fldChar w:fldCharType="separate"/>
            </w:r>
            <w:r w:rsidR="00A65CB3">
              <w:rPr>
                <w:noProof/>
                <w:webHidden/>
              </w:rPr>
              <w:t>114</w:t>
            </w:r>
            <w:r w:rsidR="00DA62F1">
              <w:rPr>
                <w:noProof/>
                <w:webHidden/>
              </w:rPr>
              <w:fldChar w:fldCharType="end"/>
            </w:r>
          </w:hyperlink>
        </w:p>
        <w:p w14:paraId="3E1048EA" w14:textId="567773D0" w:rsidR="00DA62F1" w:rsidRDefault="001809B4">
          <w:pPr>
            <w:pStyle w:val="TOC1"/>
            <w:rPr>
              <w:rFonts w:asciiTheme="minorHAnsi" w:eastAsiaTheme="minorEastAsia" w:hAnsiTheme="minorHAnsi" w:cstheme="minorBidi"/>
              <w:noProof/>
              <w:sz w:val="22"/>
              <w:szCs w:val="22"/>
            </w:rPr>
          </w:pPr>
          <w:hyperlink w:anchor="_Toc142902997" w:history="1">
            <w:r w:rsidR="00DA62F1" w:rsidRPr="001A08F2">
              <w:rPr>
                <w:rStyle w:val="Hyperlink"/>
                <w:rFonts w:eastAsiaTheme="majorEastAsia"/>
                <w:noProof/>
              </w:rPr>
              <w:t>9</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Sensitivity Analysis</w:t>
            </w:r>
            <w:r w:rsidR="00DA62F1">
              <w:rPr>
                <w:noProof/>
                <w:webHidden/>
              </w:rPr>
              <w:tab/>
            </w:r>
            <w:r w:rsidR="00DA62F1">
              <w:rPr>
                <w:noProof/>
                <w:webHidden/>
              </w:rPr>
              <w:fldChar w:fldCharType="begin"/>
            </w:r>
            <w:r w:rsidR="00DA62F1">
              <w:rPr>
                <w:noProof/>
                <w:webHidden/>
              </w:rPr>
              <w:instrText xml:space="preserve"> PAGEREF _Toc142902997 \h </w:instrText>
            </w:r>
            <w:r w:rsidR="00DA62F1">
              <w:rPr>
                <w:noProof/>
                <w:webHidden/>
              </w:rPr>
            </w:r>
            <w:r w:rsidR="00DA62F1">
              <w:rPr>
                <w:noProof/>
                <w:webHidden/>
              </w:rPr>
              <w:fldChar w:fldCharType="separate"/>
            </w:r>
            <w:r w:rsidR="00A65CB3">
              <w:rPr>
                <w:noProof/>
                <w:webHidden/>
              </w:rPr>
              <w:t>114</w:t>
            </w:r>
            <w:r w:rsidR="00DA62F1">
              <w:rPr>
                <w:noProof/>
                <w:webHidden/>
              </w:rPr>
              <w:fldChar w:fldCharType="end"/>
            </w:r>
          </w:hyperlink>
        </w:p>
        <w:p w14:paraId="11CA02AA" w14:textId="650F4B80" w:rsidR="00DA62F1" w:rsidRDefault="001809B4">
          <w:pPr>
            <w:pStyle w:val="TOC2"/>
            <w:tabs>
              <w:tab w:val="left" w:pos="1100"/>
            </w:tabs>
            <w:rPr>
              <w:rFonts w:asciiTheme="minorHAnsi" w:eastAsiaTheme="minorEastAsia" w:hAnsiTheme="minorHAnsi" w:cstheme="minorBidi"/>
              <w:noProof/>
              <w:sz w:val="22"/>
              <w:szCs w:val="22"/>
            </w:rPr>
          </w:pPr>
          <w:hyperlink w:anchor="_Toc142902998" w:history="1">
            <w:r w:rsidR="00DA62F1" w:rsidRPr="001A08F2">
              <w:rPr>
                <w:rStyle w:val="Hyperlink"/>
                <w:rFonts w:eastAsiaTheme="majorEastAsia"/>
                <w:noProof/>
              </w:rPr>
              <w:t>9.1</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Increase in Rear Occupant Seat Belt Usage</w:t>
            </w:r>
            <w:r w:rsidR="00DA62F1">
              <w:rPr>
                <w:noProof/>
                <w:webHidden/>
              </w:rPr>
              <w:tab/>
            </w:r>
            <w:r w:rsidR="00DA62F1">
              <w:rPr>
                <w:noProof/>
                <w:webHidden/>
              </w:rPr>
              <w:fldChar w:fldCharType="begin"/>
            </w:r>
            <w:r w:rsidR="00DA62F1">
              <w:rPr>
                <w:noProof/>
                <w:webHidden/>
              </w:rPr>
              <w:instrText xml:space="preserve"> PAGEREF _Toc142902998 \h </w:instrText>
            </w:r>
            <w:r w:rsidR="00DA62F1">
              <w:rPr>
                <w:noProof/>
                <w:webHidden/>
              </w:rPr>
            </w:r>
            <w:r w:rsidR="00DA62F1">
              <w:rPr>
                <w:noProof/>
                <w:webHidden/>
              </w:rPr>
              <w:fldChar w:fldCharType="separate"/>
            </w:r>
            <w:r w:rsidR="00A65CB3">
              <w:rPr>
                <w:noProof/>
                <w:webHidden/>
              </w:rPr>
              <w:t>115</w:t>
            </w:r>
            <w:r w:rsidR="00DA62F1">
              <w:rPr>
                <w:noProof/>
                <w:webHidden/>
              </w:rPr>
              <w:fldChar w:fldCharType="end"/>
            </w:r>
          </w:hyperlink>
        </w:p>
        <w:p w14:paraId="0DD4FC71" w14:textId="517B4D30" w:rsidR="00DA62F1" w:rsidRDefault="001809B4">
          <w:pPr>
            <w:pStyle w:val="TOC3"/>
            <w:rPr>
              <w:rFonts w:asciiTheme="minorHAnsi" w:eastAsiaTheme="minorEastAsia" w:hAnsiTheme="minorHAnsi" w:cstheme="minorBidi"/>
              <w:noProof/>
              <w:sz w:val="22"/>
              <w:szCs w:val="22"/>
            </w:rPr>
          </w:pPr>
          <w:hyperlink w:anchor="_Toc142902999" w:history="1">
            <w:r w:rsidR="00DA62F1" w:rsidRPr="001A08F2">
              <w:rPr>
                <w:rStyle w:val="Hyperlink"/>
                <w:rFonts w:eastAsiaTheme="majorEastAsia"/>
                <w:noProof/>
              </w:rPr>
              <w:t>9.1.1</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Rear Seat Occupants Age 11+</w:t>
            </w:r>
            <w:r w:rsidR="00DA62F1">
              <w:rPr>
                <w:noProof/>
                <w:webHidden/>
              </w:rPr>
              <w:tab/>
            </w:r>
            <w:r w:rsidR="00DA62F1">
              <w:rPr>
                <w:noProof/>
                <w:webHidden/>
              </w:rPr>
              <w:fldChar w:fldCharType="begin"/>
            </w:r>
            <w:r w:rsidR="00DA62F1">
              <w:rPr>
                <w:noProof/>
                <w:webHidden/>
              </w:rPr>
              <w:instrText xml:space="preserve"> PAGEREF _Toc142902999 \h </w:instrText>
            </w:r>
            <w:r w:rsidR="00DA62F1">
              <w:rPr>
                <w:noProof/>
                <w:webHidden/>
              </w:rPr>
            </w:r>
            <w:r w:rsidR="00DA62F1">
              <w:rPr>
                <w:noProof/>
                <w:webHidden/>
              </w:rPr>
              <w:fldChar w:fldCharType="separate"/>
            </w:r>
            <w:r w:rsidR="00A65CB3">
              <w:rPr>
                <w:noProof/>
                <w:webHidden/>
              </w:rPr>
              <w:t>115</w:t>
            </w:r>
            <w:r w:rsidR="00DA62F1">
              <w:rPr>
                <w:noProof/>
                <w:webHidden/>
              </w:rPr>
              <w:fldChar w:fldCharType="end"/>
            </w:r>
          </w:hyperlink>
        </w:p>
        <w:p w14:paraId="3EE535DF" w14:textId="60845FA2" w:rsidR="00DA62F1" w:rsidRDefault="001809B4">
          <w:pPr>
            <w:pStyle w:val="TOC3"/>
            <w:rPr>
              <w:rFonts w:asciiTheme="minorHAnsi" w:eastAsiaTheme="minorEastAsia" w:hAnsiTheme="minorHAnsi" w:cstheme="minorBidi"/>
              <w:noProof/>
              <w:sz w:val="22"/>
              <w:szCs w:val="22"/>
            </w:rPr>
          </w:pPr>
          <w:hyperlink w:anchor="_Toc142903000" w:history="1">
            <w:r w:rsidR="00DA62F1" w:rsidRPr="001A08F2">
              <w:rPr>
                <w:rStyle w:val="Hyperlink"/>
                <w:rFonts w:eastAsiaTheme="majorEastAsia"/>
                <w:noProof/>
              </w:rPr>
              <w:t>9.1.2</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Rear Seat Occupants Age 6 to 10</w:t>
            </w:r>
            <w:r w:rsidR="00DA62F1">
              <w:rPr>
                <w:noProof/>
                <w:webHidden/>
              </w:rPr>
              <w:tab/>
            </w:r>
            <w:r w:rsidR="00DA62F1">
              <w:rPr>
                <w:noProof/>
                <w:webHidden/>
              </w:rPr>
              <w:fldChar w:fldCharType="begin"/>
            </w:r>
            <w:r w:rsidR="00DA62F1">
              <w:rPr>
                <w:noProof/>
                <w:webHidden/>
              </w:rPr>
              <w:instrText xml:space="preserve"> PAGEREF _Toc142903000 \h </w:instrText>
            </w:r>
            <w:r w:rsidR="00DA62F1">
              <w:rPr>
                <w:noProof/>
                <w:webHidden/>
              </w:rPr>
            </w:r>
            <w:r w:rsidR="00DA62F1">
              <w:rPr>
                <w:noProof/>
                <w:webHidden/>
              </w:rPr>
              <w:fldChar w:fldCharType="separate"/>
            </w:r>
            <w:r w:rsidR="00A65CB3">
              <w:rPr>
                <w:noProof/>
                <w:webHidden/>
              </w:rPr>
              <w:t>117</w:t>
            </w:r>
            <w:r w:rsidR="00DA62F1">
              <w:rPr>
                <w:noProof/>
                <w:webHidden/>
              </w:rPr>
              <w:fldChar w:fldCharType="end"/>
            </w:r>
          </w:hyperlink>
        </w:p>
        <w:p w14:paraId="7A50760A" w14:textId="6232AF66" w:rsidR="00DA62F1" w:rsidRDefault="001809B4">
          <w:pPr>
            <w:pStyle w:val="TOC3"/>
            <w:rPr>
              <w:rFonts w:asciiTheme="minorHAnsi" w:eastAsiaTheme="minorEastAsia" w:hAnsiTheme="minorHAnsi" w:cstheme="minorBidi"/>
              <w:noProof/>
              <w:sz w:val="22"/>
              <w:szCs w:val="22"/>
            </w:rPr>
          </w:pPr>
          <w:hyperlink w:anchor="_Toc142903001" w:history="1">
            <w:r w:rsidR="00DA62F1" w:rsidRPr="001A08F2">
              <w:rPr>
                <w:rStyle w:val="Hyperlink"/>
                <w:rFonts w:eastAsiaTheme="majorEastAsia"/>
                <w:noProof/>
              </w:rPr>
              <w:t>9.1.3</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Comparison to Main Analysis</w:t>
            </w:r>
            <w:r w:rsidR="00DA62F1">
              <w:rPr>
                <w:noProof/>
                <w:webHidden/>
              </w:rPr>
              <w:tab/>
            </w:r>
            <w:r w:rsidR="00DA62F1">
              <w:rPr>
                <w:noProof/>
                <w:webHidden/>
              </w:rPr>
              <w:fldChar w:fldCharType="begin"/>
            </w:r>
            <w:r w:rsidR="00DA62F1">
              <w:rPr>
                <w:noProof/>
                <w:webHidden/>
              </w:rPr>
              <w:instrText xml:space="preserve"> PAGEREF _Toc142903001 \h </w:instrText>
            </w:r>
            <w:r w:rsidR="00DA62F1">
              <w:rPr>
                <w:noProof/>
                <w:webHidden/>
              </w:rPr>
            </w:r>
            <w:r w:rsidR="00DA62F1">
              <w:rPr>
                <w:noProof/>
                <w:webHidden/>
              </w:rPr>
              <w:fldChar w:fldCharType="separate"/>
            </w:r>
            <w:r w:rsidR="00A65CB3">
              <w:rPr>
                <w:noProof/>
                <w:webHidden/>
              </w:rPr>
              <w:t>119</w:t>
            </w:r>
            <w:r w:rsidR="00DA62F1">
              <w:rPr>
                <w:noProof/>
                <w:webHidden/>
              </w:rPr>
              <w:fldChar w:fldCharType="end"/>
            </w:r>
          </w:hyperlink>
        </w:p>
        <w:p w14:paraId="7BCD4927" w14:textId="39DBE80F" w:rsidR="00DA62F1" w:rsidRDefault="001809B4">
          <w:pPr>
            <w:pStyle w:val="TOC2"/>
            <w:tabs>
              <w:tab w:val="left" w:pos="1100"/>
            </w:tabs>
            <w:rPr>
              <w:rFonts w:asciiTheme="minorHAnsi" w:eastAsiaTheme="minorEastAsia" w:hAnsiTheme="minorHAnsi" w:cstheme="minorBidi"/>
              <w:noProof/>
              <w:sz w:val="22"/>
              <w:szCs w:val="22"/>
            </w:rPr>
          </w:pPr>
          <w:hyperlink w:anchor="_Toc142903002" w:history="1">
            <w:r w:rsidR="00DA62F1" w:rsidRPr="001A08F2">
              <w:rPr>
                <w:rStyle w:val="Hyperlink"/>
                <w:rFonts w:eastAsiaTheme="majorEastAsia"/>
                <w:noProof/>
              </w:rPr>
              <w:t>9.2</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Balance Point Analysis</w:t>
            </w:r>
            <w:r w:rsidR="00DA62F1">
              <w:rPr>
                <w:noProof/>
                <w:webHidden/>
              </w:rPr>
              <w:tab/>
            </w:r>
            <w:r w:rsidR="00DA62F1">
              <w:rPr>
                <w:noProof/>
                <w:webHidden/>
              </w:rPr>
              <w:fldChar w:fldCharType="begin"/>
            </w:r>
            <w:r w:rsidR="00DA62F1">
              <w:rPr>
                <w:noProof/>
                <w:webHidden/>
              </w:rPr>
              <w:instrText xml:space="preserve"> PAGEREF _Toc142903002 \h </w:instrText>
            </w:r>
            <w:r w:rsidR="00DA62F1">
              <w:rPr>
                <w:noProof/>
                <w:webHidden/>
              </w:rPr>
            </w:r>
            <w:r w:rsidR="00DA62F1">
              <w:rPr>
                <w:noProof/>
                <w:webHidden/>
              </w:rPr>
              <w:fldChar w:fldCharType="separate"/>
            </w:r>
            <w:r w:rsidR="00A65CB3">
              <w:rPr>
                <w:noProof/>
                <w:webHidden/>
              </w:rPr>
              <w:t>120</w:t>
            </w:r>
            <w:r w:rsidR="00DA62F1">
              <w:rPr>
                <w:noProof/>
                <w:webHidden/>
              </w:rPr>
              <w:fldChar w:fldCharType="end"/>
            </w:r>
          </w:hyperlink>
        </w:p>
        <w:p w14:paraId="0D7C5030" w14:textId="0C9D0CAC" w:rsidR="00DA62F1" w:rsidRDefault="001809B4">
          <w:pPr>
            <w:pStyle w:val="TOC1"/>
            <w:rPr>
              <w:rFonts w:asciiTheme="minorHAnsi" w:eastAsiaTheme="minorEastAsia" w:hAnsiTheme="minorHAnsi" w:cstheme="minorBidi"/>
              <w:noProof/>
              <w:sz w:val="22"/>
              <w:szCs w:val="22"/>
            </w:rPr>
          </w:pPr>
          <w:hyperlink w:anchor="_Toc142903003" w:history="1">
            <w:r w:rsidR="00DA62F1" w:rsidRPr="001A08F2">
              <w:rPr>
                <w:rStyle w:val="Hyperlink"/>
                <w:rFonts w:eastAsiaTheme="majorEastAsia"/>
                <w:noProof/>
              </w:rPr>
              <w:t>10</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Regulatory Alternatives</w:t>
            </w:r>
            <w:r w:rsidR="00DA62F1">
              <w:rPr>
                <w:noProof/>
                <w:webHidden/>
              </w:rPr>
              <w:tab/>
            </w:r>
            <w:r w:rsidR="00DA62F1">
              <w:rPr>
                <w:noProof/>
                <w:webHidden/>
              </w:rPr>
              <w:fldChar w:fldCharType="begin"/>
            </w:r>
            <w:r w:rsidR="00DA62F1">
              <w:rPr>
                <w:noProof/>
                <w:webHidden/>
              </w:rPr>
              <w:instrText xml:space="preserve"> PAGEREF _Toc142903003 \h </w:instrText>
            </w:r>
            <w:r w:rsidR="00DA62F1">
              <w:rPr>
                <w:noProof/>
                <w:webHidden/>
              </w:rPr>
            </w:r>
            <w:r w:rsidR="00DA62F1">
              <w:rPr>
                <w:noProof/>
                <w:webHidden/>
              </w:rPr>
              <w:fldChar w:fldCharType="separate"/>
            </w:r>
            <w:r w:rsidR="00A65CB3">
              <w:rPr>
                <w:noProof/>
                <w:webHidden/>
              </w:rPr>
              <w:t>121</w:t>
            </w:r>
            <w:r w:rsidR="00DA62F1">
              <w:rPr>
                <w:noProof/>
                <w:webHidden/>
              </w:rPr>
              <w:fldChar w:fldCharType="end"/>
            </w:r>
          </w:hyperlink>
        </w:p>
        <w:p w14:paraId="751CEE04" w14:textId="7AB3B6E4" w:rsidR="00DA62F1" w:rsidRDefault="001809B4">
          <w:pPr>
            <w:pStyle w:val="TOC2"/>
            <w:tabs>
              <w:tab w:val="left" w:pos="1100"/>
            </w:tabs>
            <w:rPr>
              <w:rFonts w:asciiTheme="minorHAnsi" w:eastAsiaTheme="minorEastAsia" w:hAnsiTheme="minorHAnsi" w:cstheme="minorBidi"/>
              <w:noProof/>
              <w:sz w:val="22"/>
              <w:szCs w:val="22"/>
            </w:rPr>
          </w:pPr>
          <w:hyperlink w:anchor="_Toc142903004" w:history="1">
            <w:r w:rsidR="00DA62F1" w:rsidRPr="001A08F2">
              <w:rPr>
                <w:rStyle w:val="Hyperlink"/>
                <w:rFonts w:eastAsiaTheme="majorEastAsia"/>
                <w:noProof/>
              </w:rPr>
              <w:t>10.1</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Requiring Occupant Detection for Rear Seat Belt Warning System</w:t>
            </w:r>
            <w:r w:rsidR="00DA62F1">
              <w:rPr>
                <w:noProof/>
                <w:webHidden/>
              </w:rPr>
              <w:tab/>
            </w:r>
            <w:r w:rsidR="00DA62F1">
              <w:rPr>
                <w:noProof/>
                <w:webHidden/>
              </w:rPr>
              <w:fldChar w:fldCharType="begin"/>
            </w:r>
            <w:r w:rsidR="00DA62F1">
              <w:rPr>
                <w:noProof/>
                <w:webHidden/>
              </w:rPr>
              <w:instrText xml:space="preserve"> PAGEREF _Toc142903004 \h </w:instrText>
            </w:r>
            <w:r w:rsidR="00DA62F1">
              <w:rPr>
                <w:noProof/>
                <w:webHidden/>
              </w:rPr>
            </w:r>
            <w:r w:rsidR="00DA62F1">
              <w:rPr>
                <w:noProof/>
                <w:webHidden/>
              </w:rPr>
              <w:fldChar w:fldCharType="separate"/>
            </w:r>
            <w:r w:rsidR="00A65CB3">
              <w:rPr>
                <w:noProof/>
                <w:webHidden/>
              </w:rPr>
              <w:t>121</w:t>
            </w:r>
            <w:r w:rsidR="00DA62F1">
              <w:rPr>
                <w:noProof/>
                <w:webHidden/>
              </w:rPr>
              <w:fldChar w:fldCharType="end"/>
            </w:r>
          </w:hyperlink>
        </w:p>
        <w:p w14:paraId="71E41293" w14:textId="4838DE9B" w:rsidR="00DA62F1" w:rsidRDefault="001809B4">
          <w:pPr>
            <w:pStyle w:val="TOC2"/>
            <w:tabs>
              <w:tab w:val="left" w:pos="1100"/>
            </w:tabs>
            <w:rPr>
              <w:rFonts w:asciiTheme="minorHAnsi" w:eastAsiaTheme="minorEastAsia" w:hAnsiTheme="minorHAnsi" w:cstheme="minorBidi"/>
              <w:noProof/>
              <w:sz w:val="22"/>
              <w:szCs w:val="22"/>
            </w:rPr>
          </w:pPr>
          <w:hyperlink w:anchor="_Toc142903005" w:history="1">
            <w:r w:rsidR="00DA62F1" w:rsidRPr="001A08F2">
              <w:rPr>
                <w:rStyle w:val="Hyperlink"/>
                <w:rFonts w:eastAsiaTheme="majorEastAsia"/>
                <w:noProof/>
              </w:rPr>
              <w:t>10.2</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Front Center Seat SBWS</w:t>
            </w:r>
            <w:r w:rsidR="00DA62F1">
              <w:rPr>
                <w:noProof/>
                <w:webHidden/>
              </w:rPr>
              <w:tab/>
            </w:r>
            <w:r w:rsidR="00DA62F1">
              <w:rPr>
                <w:noProof/>
                <w:webHidden/>
              </w:rPr>
              <w:fldChar w:fldCharType="begin"/>
            </w:r>
            <w:r w:rsidR="00DA62F1">
              <w:rPr>
                <w:noProof/>
                <w:webHidden/>
              </w:rPr>
              <w:instrText xml:space="preserve"> PAGEREF _Toc142903005 \h </w:instrText>
            </w:r>
            <w:r w:rsidR="00DA62F1">
              <w:rPr>
                <w:noProof/>
                <w:webHidden/>
              </w:rPr>
            </w:r>
            <w:r w:rsidR="00DA62F1">
              <w:rPr>
                <w:noProof/>
                <w:webHidden/>
              </w:rPr>
              <w:fldChar w:fldCharType="separate"/>
            </w:r>
            <w:r w:rsidR="00A65CB3">
              <w:rPr>
                <w:noProof/>
                <w:webHidden/>
              </w:rPr>
              <w:t>124</w:t>
            </w:r>
            <w:r w:rsidR="00DA62F1">
              <w:rPr>
                <w:noProof/>
                <w:webHidden/>
              </w:rPr>
              <w:fldChar w:fldCharType="end"/>
            </w:r>
          </w:hyperlink>
        </w:p>
        <w:p w14:paraId="55A98CCF" w14:textId="223C91CD" w:rsidR="00DA62F1" w:rsidRDefault="001809B4">
          <w:pPr>
            <w:pStyle w:val="TOC2"/>
            <w:tabs>
              <w:tab w:val="left" w:pos="1100"/>
            </w:tabs>
            <w:rPr>
              <w:rFonts w:asciiTheme="minorHAnsi" w:eastAsiaTheme="minorEastAsia" w:hAnsiTheme="minorHAnsi" w:cstheme="minorBidi"/>
              <w:noProof/>
              <w:sz w:val="22"/>
              <w:szCs w:val="22"/>
            </w:rPr>
          </w:pPr>
          <w:hyperlink w:anchor="_Toc142903006" w:history="1">
            <w:r w:rsidR="00DA62F1" w:rsidRPr="001A08F2">
              <w:rPr>
                <w:rStyle w:val="Hyperlink"/>
                <w:rFonts w:eastAsiaTheme="majorEastAsia"/>
                <w:noProof/>
              </w:rPr>
              <w:t>10.3</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90-Second Warning for Front Seat Occupants</w:t>
            </w:r>
            <w:r w:rsidR="00DA62F1">
              <w:rPr>
                <w:noProof/>
                <w:webHidden/>
              </w:rPr>
              <w:tab/>
            </w:r>
            <w:r w:rsidR="00DA62F1">
              <w:rPr>
                <w:noProof/>
                <w:webHidden/>
              </w:rPr>
              <w:fldChar w:fldCharType="begin"/>
            </w:r>
            <w:r w:rsidR="00DA62F1">
              <w:rPr>
                <w:noProof/>
                <w:webHidden/>
              </w:rPr>
              <w:instrText xml:space="preserve"> PAGEREF _Toc142903006 \h </w:instrText>
            </w:r>
            <w:r w:rsidR="00DA62F1">
              <w:rPr>
                <w:noProof/>
                <w:webHidden/>
              </w:rPr>
            </w:r>
            <w:r w:rsidR="00DA62F1">
              <w:rPr>
                <w:noProof/>
                <w:webHidden/>
              </w:rPr>
              <w:fldChar w:fldCharType="separate"/>
            </w:r>
            <w:r w:rsidR="00A65CB3">
              <w:rPr>
                <w:noProof/>
                <w:webHidden/>
              </w:rPr>
              <w:t>132</w:t>
            </w:r>
            <w:r w:rsidR="00DA62F1">
              <w:rPr>
                <w:noProof/>
                <w:webHidden/>
              </w:rPr>
              <w:fldChar w:fldCharType="end"/>
            </w:r>
          </w:hyperlink>
        </w:p>
        <w:p w14:paraId="648BC155" w14:textId="3667F1F0" w:rsidR="00DA62F1" w:rsidRDefault="001809B4">
          <w:pPr>
            <w:pStyle w:val="TOC2"/>
            <w:tabs>
              <w:tab w:val="left" w:pos="1100"/>
            </w:tabs>
            <w:rPr>
              <w:rFonts w:asciiTheme="minorHAnsi" w:eastAsiaTheme="minorEastAsia" w:hAnsiTheme="minorHAnsi" w:cstheme="minorBidi"/>
              <w:noProof/>
              <w:sz w:val="22"/>
              <w:szCs w:val="22"/>
            </w:rPr>
          </w:pPr>
          <w:hyperlink w:anchor="_Toc142903007" w:history="1">
            <w:r w:rsidR="00DA62F1" w:rsidRPr="001A08F2">
              <w:rPr>
                <w:rStyle w:val="Hyperlink"/>
                <w:rFonts w:eastAsiaTheme="majorEastAsia"/>
                <w:noProof/>
              </w:rPr>
              <w:t>10.4</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Summary of Regulatory Alternatives</w:t>
            </w:r>
            <w:r w:rsidR="00DA62F1">
              <w:rPr>
                <w:noProof/>
                <w:webHidden/>
              </w:rPr>
              <w:tab/>
            </w:r>
            <w:r w:rsidR="00DA62F1">
              <w:rPr>
                <w:noProof/>
                <w:webHidden/>
              </w:rPr>
              <w:fldChar w:fldCharType="begin"/>
            </w:r>
            <w:r w:rsidR="00DA62F1">
              <w:rPr>
                <w:noProof/>
                <w:webHidden/>
              </w:rPr>
              <w:instrText xml:space="preserve"> PAGEREF _Toc142903007 \h </w:instrText>
            </w:r>
            <w:r w:rsidR="00DA62F1">
              <w:rPr>
                <w:noProof/>
                <w:webHidden/>
              </w:rPr>
            </w:r>
            <w:r w:rsidR="00DA62F1">
              <w:rPr>
                <w:noProof/>
                <w:webHidden/>
              </w:rPr>
              <w:fldChar w:fldCharType="separate"/>
            </w:r>
            <w:r w:rsidR="00A65CB3">
              <w:rPr>
                <w:noProof/>
                <w:webHidden/>
              </w:rPr>
              <w:t>136</w:t>
            </w:r>
            <w:r w:rsidR="00DA62F1">
              <w:rPr>
                <w:noProof/>
                <w:webHidden/>
              </w:rPr>
              <w:fldChar w:fldCharType="end"/>
            </w:r>
          </w:hyperlink>
        </w:p>
        <w:p w14:paraId="6084B571" w14:textId="7CD4F5AC" w:rsidR="00DA62F1" w:rsidRDefault="001809B4">
          <w:pPr>
            <w:pStyle w:val="TOC2"/>
            <w:tabs>
              <w:tab w:val="left" w:pos="1100"/>
            </w:tabs>
            <w:rPr>
              <w:rFonts w:asciiTheme="minorHAnsi" w:eastAsiaTheme="minorEastAsia" w:hAnsiTheme="minorHAnsi" w:cstheme="minorBidi"/>
              <w:noProof/>
              <w:sz w:val="22"/>
              <w:szCs w:val="22"/>
            </w:rPr>
          </w:pPr>
          <w:hyperlink w:anchor="_Toc142903008" w:history="1">
            <w:r w:rsidR="00DA62F1" w:rsidRPr="001A08F2">
              <w:rPr>
                <w:rStyle w:val="Hyperlink"/>
                <w:rFonts w:eastAsiaTheme="majorEastAsia"/>
                <w:noProof/>
              </w:rPr>
              <w:t>10.5</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Non-regulatory Alternatives</w:t>
            </w:r>
            <w:r w:rsidR="00DA62F1">
              <w:rPr>
                <w:noProof/>
                <w:webHidden/>
              </w:rPr>
              <w:tab/>
            </w:r>
            <w:r w:rsidR="00DA62F1">
              <w:rPr>
                <w:noProof/>
                <w:webHidden/>
              </w:rPr>
              <w:fldChar w:fldCharType="begin"/>
            </w:r>
            <w:r w:rsidR="00DA62F1">
              <w:rPr>
                <w:noProof/>
                <w:webHidden/>
              </w:rPr>
              <w:instrText xml:space="preserve"> PAGEREF _Toc142903008 \h </w:instrText>
            </w:r>
            <w:r w:rsidR="00DA62F1">
              <w:rPr>
                <w:noProof/>
                <w:webHidden/>
              </w:rPr>
            </w:r>
            <w:r w:rsidR="00DA62F1">
              <w:rPr>
                <w:noProof/>
                <w:webHidden/>
              </w:rPr>
              <w:fldChar w:fldCharType="separate"/>
            </w:r>
            <w:r w:rsidR="00A65CB3">
              <w:rPr>
                <w:noProof/>
                <w:webHidden/>
              </w:rPr>
              <w:t>137</w:t>
            </w:r>
            <w:r w:rsidR="00DA62F1">
              <w:rPr>
                <w:noProof/>
                <w:webHidden/>
              </w:rPr>
              <w:fldChar w:fldCharType="end"/>
            </w:r>
          </w:hyperlink>
        </w:p>
        <w:p w14:paraId="5E31888A" w14:textId="3DC83E84" w:rsidR="00DA62F1" w:rsidRDefault="001809B4">
          <w:pPr>
            <w:pStyle w:val="TOC1"/>
            <w:rPr>
              <w:rFonts w:asciiTheme="minorHAnsi" w:eastAsiaTheme="minorEastAsia" w:hAnsiTheme="minorHAnsi" w:cstheme="minorBidi"/>
              <w:noProof/>
              <w:sz w:val="22"/>
              <w:szCs w:val="22"/>
            </w:rPr>
          </w:pPr>
          <w:hyperlink w:anchor="_Toc142903009" w:history="1">
            <w:r w:rsidR="00DA62F1" w:rsidRPr="001A08F2">
              <w:rPr>
                <w:rStyle w:val="Hyperlink"/>
                <w:rFonts w:eastAsiaTheme="majorEastAsia"/>
                <w:noProof/>
              </w:rPr>
              <w:t>11</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Initial Regulatory Flexibility Act and Unfunded Mandates Reform Act Analyses</w:t>
            </w:r>
            <w:r w:rsidR="00DA62F1">
              <w:rPr>
                <w:noProof/>
                <w:webHidden/>
              </w:rPr>
              <w:tab/>
            </w:r>
            <w:r w:rsidR="00DA62F1">
              <w:rPr>
                <w:noProof/>
                <w:webHidden/>
              </w:rPr>
              <w:fldChar w:fldCharType="begin"/>
            </w:r>
            <w:r w:rsidR="00DA62F1">
              <w:rPr>
                <w:noProof/>
                <w:webHidden/>
              </w:rPr>
              <w:instrText xml:space="preserve"> PAGEREF _Toc142903009 \h </w:instrText>
            </w:r>
            <w:r w:rsidR="00DA62F1">
              <w:rPr>
                <w:noProof/>
                <w:webHidden/>
              </w:rPr>
            </w:r>
            <w:r w:rsidR="00DA62F1">
              <w:rPr>
                <w:noProof/>
                <w:webHidden/>
              </w:rPr>
              <w:fldChar w:fldCharType="separate"/>
            </w:r>
            <w:r w:rsidR="00A65CB3">
              <w:rPr>
                <w:noProof/>
                <w:webHidden/>
              </w:rPr>
              <w:t>137</w:t>
            </w:r>
            <w:r w:rsidR="00DA62F1">
              <w:rPr>
                <w:noProof/>
                <w:webHidden/>
              </w:rPr>
              <w:fldChar w:fldCharType="end"/>
            </w:r>
          </w:hyperlink>
        </w:p>
        <w:p w14:paraId="2D5003D4" w14:textId="6466B0E5" w:rsidR="00DA62F1" w:rsidRDefault="001809B4">
          <w:pPr>
            <w:pStyle w:val="TOC2"/>
            <w:tabs>
              <w:tab w:val="left" w:pos="1100"/>
            </w:tabs>
            <w:rPr>
              <w:rFonts w:asciiTheme="minorHAnsi" w:eastAsiaTheme="minorEastAsia" w:hAnsiTheme="minorHAnsi" w:cstheme="minorBidi"/>
              <w:noProof/>
              <w:sz w:val="22"/>
              <w:szCs w:val="22"/>
            </w:rPr>
          </w:pPr>
          <w:hyperlink w:anchor="_Toc142903010" w:history="1">
            <w:r w:rsidR="00DA62F1" w:rsidRPr="001A08F2">
              <w:rPr>
                <w:rStyle w:val="Hyperlink"/>
                <w:rFonts w:eastAsiaTheme="majorEastAsia"/>
                <w:noProof/>
              </w:rPr>
              <w:t>11.1</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Regulatory Flexibility Act</w:t>
            </w:r>
            <w:r w:rsidR="00DA62F1">
              <w:rPr>
                <w:noProof/>
                <w:webHidden/>
              </w:rPr>
              <w:tab/>
            </w:r>
            <w:r w:rsidR="00DA62F1">
              <w:rPr>
                <w:noProof/>
                <w:webHidden/>
              </w:rPr>
              <w:fldChar w:fldCharType="begin"/>
            </w:r>
            <w:r w:rsidR="00DA62F1">
              <w:rPr>
                <w:noProof/>
                <w:webHidden/>
              </w:rPr>
              <w:instrText xml:space="preserve"> PAGEREF _Toc142903010 \h </w:instrText>
            </w:r>
            <w:r w:rsidR="00DA62F1">
              <w:rPr>
                <w:noProof/>
                <w:webHidden/>
              </w:rPr>
            </w:r>
            <w:r w:rsidR="00DA62F1">
              <w:rPr>
                <w:noProof/>
                <w:webHidden/>
              </w:rPr>
              <w:fldChar w:fldCharType="separate"/>
            </w:r>
            <w:r w:rsidR="00A65CB3">
              <w:rPr>
                <w:noProof/>
                <w:webHidden/>
              </w:rPr>
              <w:t>137</w:t>
            </w:r>
            <w:r w:rsidR="00DA62F1">
              <w:rPr>
                <w:noProof/>
                <w:webHidden/>
              </w:rPr>
              <w:fldChar w:fldCharType="end"/>
            </w:r>
          </w:hyperlink>
        </w:p>
        <w:p w14:paraId="71AFB2DB" w14:textId="73A68B19" w:rsidR="00DA62F1" w:rsidRDefault="001809B4">
          <w:pPr>
            <w:pStyle w:val="TOC2"/>
            <w:tabs>
              <w:tab w:val="left" w:pos="1100"/>
            </w:tabs>
            <w:rPr>
              <w:rFonts w:asciiTheme="minorHAnsi" w:eastAsiaTheme="minorEastAsia" w:hAnsiTheme="minorHAnsi" w:cstheme="minorBidi"/>
              <w:noProof/>
              <w:sz w:val="22"/>
              <w:szCs w:val="22"/>
            </w:rPr>
          </w:pPr>
          <w:hyperlink w:anchor="_Toc142903011" w:history="1">
            <w:r w:rsidR="00DA62F1" w:rsidRPr="001A08F2">
              <w:rPr>
                <w:rStyle w:val="Hyperlink"/>
                <w:rFonts w:eastAsiaTheme="majorEastAsia"/>
                <w:noProof/>
              </w:rPr>
              <w:t>11.2</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Unfunded Mandates Reform Act</w:t>
            </w:r>
            <w:r w:rsidR="00DA62F1">
              <w:rPr>
                <w:noProof/>
                <w:webHidden/>
              </w:rPr>
              <w:tab/>
            </w:r>
            <w:r w:rsidR="00DA62F1">
              <w:rPr>
                <w:noProof/>
                <w:webHidden/>
              </w:rPr>
              <w:fldChar w:fldCharType="begin"/>
            </w:r>
            <w:r w:rsidR="00DA62F1">
              <w:rPr>
                <w:noProof/>
                <w:webHidden/>
              </w:rPr>
              <w:instrText xml:space="preserve"> PAGEREF _Toc142903011 \h </w:instrText>
            </w:r>
            <w:r w:rsidR="00DA62F1">
              <w:rPr>
                <w:noProof/>
                <w:webHidden/>
              </w:rPr>
            </w:r>
            <w:r w:rsidR="00DA62F1">
              <w:rPr>
                <w:noProof/>
                <w:webHidden/>
              </w:rPr>
              <w:fldChar w:fldCharType="separate"/>
            </w:r>
            <w:r w:rsidR="00A65CB3">
              <w:rPr>
                <w:noProof/>
                <w:webHidden/>
              </w:rPr>
              <w:t>146</w:t>
            </w:r>
            <w:r w:rsidR="00DA62F1">
              <w:rPr>
                <w:noProof/>
                <w:webHidden/>
              </w:rPr>
              <w:fldChar w:fldCharType="end"/>
            </w:r>
          </w:hyperlink>
        </w:p>
        <w:p w14:paraId="7C6D6966" w14:textId="6043125F" w:rsidR="00DA62F1" w:rsidRDefault="001809B4">
          <w:pPr>
            <w:pStyle w:val="TOC1"/>
            <w:rPr>
              <w:rFonts w:asciiTheme="minorHAnsi" w:eastAsiaTheme="minorEastAsia" w:hAnsiTheme="minorHAnsi" w:cstheme="minorBidi"/>
              <w:noProof/>
              <w:sz w:val="22"/>
              <w:szCs w:val="22"/>
            </w:rPr>
          </w:pPr>
          <w:hyperlink w:anchor="_Toc142903012" w:history="1">
            <w:r w:rsidR="00DA62F1" w:rsidRPr="001A08F2">
              <w:rPr>
                <w:rStyle w:val="Hyperlink"/>
                <w:rFonts w:eastAsiaTheme="majorEastAsia"/>
                <w:noProof/>
              </w:rPr>
              <w:t>12</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Appendix</w:t>
            </w:r>
            <w:r w:rsidR="00DA62F1">
              <w:rPr>
                <w:noProof/>
                <w:webHidden/>
              </w:rPr>
              <w:tab/>
            </w:r>
            <w:r w:rsidR="00DA62F1">
              <w:rPr>
                <w:noProof/>
                <w:webHidden/>
              </w:rPr>
              <w:fldChar w:fldCharType="begin"/>
            </w:r>
            <w:r w:rsidR="00DA62F1">
              <w:rPr>
                <w:noProof/>
                <w:webHidden/>
              </w:rPr>
              <w:instrText xml:space="preserve"> PAGEREF _Toc142903012 \h </w:instrText>
            </w:r>
            <w:r w:rsidR="00DA62F1">
              <w:rPr>
                <w:noProof/>
                <w:webHidden/>
              </w:rPr>
            </w:r>
            <w:r w:rsidR="00DA62F1">
              <w:rPr>
                <w:noProof/>
                <w:webHidden/>
              </w:rPr>
              <w:fldChar w:fldCharType="separate"/>
            </w:r>
            <w:r w:rsidR="00A65CB3">
              <w:rPr>
                <w:noProof/>
                <w:webHidden/>
              </w:rPr>
              <w:t>148</w:t>
            </w:r>
            <w:r w:rsidR="00DA62F1">
              <w:rPr>
                <w:noProof/>
                <w:webHidden/>
              </w:rPr>
              <w:fldChar w:fldCharType="end"/>
            </w:r>
          </w:hyperlink>
        </w:p>
        <w:p w14:paraId="0C71795A" w14:textId="01AC7CEA" w:rsidR="00DA62F1" w:rsidRDefault="001809B4">
          <w:pPr>
            <w:pStyle w:val="TOC2"/>
            <w:tabs>
              <w:tab w:val="left" w:pos="1100"/>
            </w:tabs>
            <w:rPr>
              <w:rFonts w:asciiTheme="minorHAnsi" w:eastAsiaTheme="minorEastAsia" w:hAnsiTheme="minorHAnsi" w:cstheme="minorBidi"/>
              <w:noProof/>
              <w:sz w:val="22"/>
              <w:szCs w:val="22"/>
            </w:rPr>
          </w:pPr>
          <w:hyperlink w:anchor="_Toc142903013" w:history="1">
            <w:r w:rsidR="00DA62F1" w:rsidRPr="001A08F2">
              <w:rPr>
                <w:rStyle w:val="Hyperlink"/>
                <w:rFonts w:eastAsiaTheme="majorEastAsia"/>
                <w:noProof/>
              </w:rPr>
              <w:t>12.1</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Appendix A</w:t>
            </w:r>
            <w:r w:rsidR="00DA62F1">
              <w:rPr>
                <w:noProof/>
                <w:webHidden/>
              </w:rPr>
              <w:tab/>
            </w:r>
            <w:r w:rsidR="00DA62F1">
              <w:rPr>
                <w:noProof/>
                <w:webHidden/>
              </w:rPr>
              <w:fldChar w:fldCharType="begin"/>
            </w:r>
            <w:r w:rsidR="00DA62F1">
              <w:rPr>
                <w:noProof/>
                <w:webHidden/>
              </w:rPr>
              <w:instrText xml:space="preserve"> PAGEREF _Toc142903013 \h </w:instrText>
            </w:r>
            <w:r w:rsidR="00DA62F1">
              <w:rPr>
                <w:noProof/>
                <w:webHidden/>
              </w:rPr>
            </w:r>
            <w:r w:rsidR="00DA62F1">
              <w:rPr>
                <w:noProof/>
                <w:webHidden/>
              </w:rPr>
              <w:fldChar w:fldCharType="separate"/>
            </w:r>
            <w:r w:rsidR="00A65CB3">
              <w:rPr>
                <w:noProof/>
                <w:webHidden/>
              </w:rPr>
              <w:t>148</w:t>
            </w:r>
            <w:r w:rsidR="00DA62F1">
              <w:rPr>
                <w:noProof/>
                <w:webHidden/>
              </w:rPr>
              <w:fldChar w:fldCharType="end"/>
            </w:r>
          </w:hyperlink>
        </w:p>
        <w:p w14:paraId="78491894" w14:textId="3B96F8BC" w:rsidR="00DA62F1" w:rsidRDefault="001809B4">
          <w:pPr>
            <w:pStyle w:val="TOC2"/>
            <w:tabs>
              <w:tab w:val="left" w:pos="1100"/>
            </w:tabs>
            <w:rPr>
              <w:rFonts w:asciiTheme="minorHAnsi" w:eastAsiaTheme="minorEastAsia" w:hAnsiTheme="minorHAnsi" w:cstheme="minorBidi"/>
              <w:noProof/>
              <w:sz w:val="22"/>
              <w:szCs w:val="22"/>
            </w:rPr>
          </w:pPr>
          <w:hyperlink w:anchor="_Toc142903014" w:history="1">
            <w:r w:rsidR="00DA62F1" w:rsidRPr="001A08F2">
              <w:rPr>
                <w:rStyle w:val="Hyperlink"/>
                <w:rFonts w:eastAsiaTheme="majorEastAsia"/>
                <w:noProof/>
              </w:rPr>
              <w:t>12.2</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Appendix B</w:t>
            </w:r>
            <w:r w:rsidR="00DA62F1">
              <w:rPr>
                <w:noProof/>
                <w:webHidden/>
              </w:rPr>
              <w:tab/>
            </w:r>
            <w:r w:rsidR="00DA62F1">
              <w:rPr>
                <w:noProof/>
                <w:webHidden/>
              </w:rPr>
              <w:fldChar w:fldCharType="begin"/>
            </w:r>
            <w:r w:rsidR="00DA62F1">
              <w:rPr>
                <w:noProof/>
                <w:webHidden/>
              </w:rPr>
              <w:instrText xml:space="preserve"> PAGEREF _Toc142903014 \h </w:instrText>
            </w:r>
            <w:r w:rsidR="00DA62F1">
              <w:rPr>
                <w:noProof/>
                <w:webHidden/>
              </w:rPr>
            </w:r>
            <w:r w:rsidR="00DA62F1">
              <w:rPr>
                <w:noProof/>
                <w:webHidden/>
              </w:rPr>
              <w:fldChar w:fldCharType="separate"/>
            </w:r>
            <w:r w:rsidR="00A65CB3">
              <w:rPr>
                <w:noProof/>
                <w:webHidden/>
              </w:rPr>
              <w:t>152</w:t>
            </w:r>
            <w:r w:rsidR="00DA62F1">
              <w:rPr>
                <w:noProof/>
                <w:webHidden/>
              </w:rPr>
              <w:fldChar w:fldCharType="end"/>
            </w:r>
          </w:hyperlink>
        </w:p>
        <w:p w14:paraId="2740F063" w14:textId="559240FE" w:rsidR="00DA62F1" w:rsidRDefault="001809B4">
          <w:pPr>
            <w:pStyle w:val="TOC2"/>
            <w:tabs>
              <w:tab w:val="left" w:pos="1100"/>
            </w:tabs>
            <w:rPr>
              <w:rFonts w:asciiTheme="minorHAnsi" w:eastAsiaTheme="minorEastAsia" w:hAnsiTheme="minorHAnsi" w:cstheme="minorBidi"/>
              <w:noProof/>
              <w:sz w:val="22"/>
              <w:szCs w:val="22"/>
            </w:rPr>
          </w:pPr>
          <w:hyperlink w:anchor="_Toc142903015" w:history="1">
            <w:r w:rsidR="00DA62F1" w:rsidRPr="001A08F2">
              <w:rPr>
                <w:rStyle w:val="Hyperlink"/>
                <w:rFonts w:eastAsiaTheme="majorEastAsia"/>
                <w:noProof/>
              </w:rPr>
              <w:t>12.3</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Appendix C</w:t>
            </w:r>
            <w:r w:rsidR="00DA62F1">
              <w:rPr>
                <w:noProof/>
                <w:webHidden/>
              </w:rPr>
              <w:tab/>
            </w:r>
            <w:r w:rsidR="00DA62F1">
              <w:rPr>
                <w:noProof/>
                <w:webHidden/>
              </w:rPr>
              <w:fldChar w:fldCharType="begin"/>
            </w:r>
            <w:r w:rsidR="00DA62F1">
              <w:rPr>
                <w:noProof/>
                <w:webHidden/>
              </w:rPr>
              <w:instrText xml:space="preserve"> PAGEREF _Toc142903015 \h </w:instrText>
            </w:r>
            <w:r w:rsidR="00DA62F1">
              <w:rPr>
                <w:noProof/>
                <w:webHidden/>
              </w:rPr>
            </w:r>
            <w:r w:rsidR="00DA62F1">
              <w:rPr>
                <w:noProof/>
                <w:webHidden/>
              </w:rPr>
              <w:fldChar w:fldCharType="separate"/>
            </w:r>
            <w:r w:rsidR="00A65CB3">
              <w:rPr>
                <w:noProof/>
                <w:webHidden/>
              </w:rPr>
              <w:t>153</w:t>
            </w:r>
            <w:r w:rsidR="00DA62F1">
              <w:rPr>
                <w:noProof/>
                <w:webHidden/>
              </w:rPr>
              <w:fldChar w:fldCharType="end"/>
            </w:r>
          </w:hyperlink>
        </w:p>
        <w:p w14:paraId="0152BAF1" w14:textId="733579A7" w:rsidR="00DA62F1" w:rsidRDefault="001809B4">
          <w:pPr>
            <w:pStyle w:val="TOC2"/>
            <w:tabs>
              <w:tab w:val="left" w:pos="1100"/>
            </w:tabs>
            <w:rPr>
              <w:rFonts w:asciiTheme="minorHAnsi" w:eastAsiaTheme="minorEastAsia" w:hAnsiTheme="minorHAnsi" w:cstheme="minorBidi"/>
              <w:noProof/>
              <w:sz w:val="22"/>
              <w:szCs w:val="22"/>
            </w:rPr>
          </w:pPr>
          <w:hyperlink w:anchor="_Toc142903016" w:history="1">
            <w:r w:rsidR="00DA62F1" w:rsidRPr="001A08F2">
              <w:rPr>
                <w:rStyle w:val="Hyperlink"/>
                <w:rFonts w:eastAsiaTheme="majorEastAsia"/>
                <w:noProof/>
              </w:rPr>
              <w:t>12.4</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Appendix D</w:t>
            </w:r>
            <w:r w:rsidR="00DA62F1">
              <w:rPr>
                <w:noProof/>
                <w:webHidden/>
              </w:rPr>
              <w:tab/>
            </w:r>
            <w:r w:rsidR="00DA62F1">
              <w:rPr>
                <w:noProof/>
                <w:webHidden/>
              </w:rPr>
              <w:fldChar w:fldCharType="begin"/>
            </w:r>
            <w:r w:rsidR="00DA62F1">
              <w:rPr>
                <w:noProof/>
                <w:webHidden/>
              </w:rPr>
              <w:instrText xml:space="preserve"> PAGEREF _Toc142903016 \h </w:instrText>
            </w:r>
            <w:r w:rsidR="00DA62F1">
              <w:rPr>
                <w:noProof/>
                <w:webHidden/>
              </w:rPr>
            </w:r>
            <w:r w:rsidR="00DA62F1">
              <w:rPr>
                <w:noProof/>
                <w:webHidden/>
              </w:rPr>
              <w:fldChar w:fldCharType="separate"/>
            </w:r>
            <w:r w:rsidR="00A65CB3">
              <w:rPr>
                <w:noProof/>
                <w:webHidden/>
              </w:rPr>
              <w:t>170</w:t>
            </w:r>
            <w:r w:rsidR="00DA62F1">
              <w:rPr>
                <w:noProof/>
                <w:webHidden/>
              </w:rPr>
              <w:fldChar w:fldCharType="end"/>
            </w:r>
          </w:hyperlink>
        </w:p>
        <w:p w14:paraId="5DDA7322" w14:textId="541F2127" w:rsidR="00DA62F1" w:rsidRDefault="001809B4">
          <w:pPr>
            <w:pStyle w:val="TOC2"/>
            <w:tabs>
              <w:tab w:val="left" w:pos="1100"/>
            </w:tabs>
            <w:rPr>
              <w:rFonts w:asciiTheme="minorHAnsi" w:eastAsiaTheme="minorEastAsia" w:hAnsiTheme="minorHAnsi" w:cstheme="minorBidi"/>
              <w:noProof/>
              <w:sz w:val="22"/>
              <w:szCs w:val="22"/>
            </w:rPr>
          </w:pPr>
          <w:hyperlink w:anchor="_Toc142903017" w:history="1">
            <w:r w:rsidR="00DA62F1" w:rsidRPr="001A08F2">
              <w:rPr>
                <w:rStyle w:val="Hyperlink"/>
                <w:rFonts w:eastAsiaTheme="majorEastAsia"/>
                <w:noProof/>
              </w:rPr>
              <w:t>12.5</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Appendix E</w:t>
            </w:r>
            <w:r w:rsidR="00DA62F1">
              <w:rPr>
                <w:noProof/>
                <w:webHidden/>
              </w:rPr>
              <w:tab/>
            </w:r>
            <w:r w:rsidR="00DA62F1">
              <w:rPr>
                <w:noProof/>
                <w:webHidden/>
              </w:rPr>
              <w:fldChar w:fldCharType="begin"/>
            </w:r>
            <w:r w:rsidR="00DA62F1">
              <w:rPr>
                <w:noProof/>
                <w:webHidden/>
              </w:rPr>
              <w:instrText xml:space="preserve"> PAGEREF _Toc142903017 \h </w:instrText>
            </w:r>
            <w:r w:rsidR="00DA62F1">
              <w:rPr>
                <w:noProof/>
                <w:webHidden/>
              </w:rPr>
            </w:r>
            <w:r w:rsidR="00DA62F1">
              <w:rPr>
                <w:noProof/>
                <w:webHidden/>
              </w:rPr>
              <w:fldChar w:fldCharType="separate"/>
            </w:r>
            <w:r w:rsidR="00A65CB3">
              <w:rPr>
                <w:noProof/>
                <w:webHidden/>
              </w:rPr>
              <w:t>173</w:t>
            </w:r>
            <w:r w:rsidR="00DA62F1">
              <w:rPr>
                <w:noProof/>
                <w:webHidden/>
              </w:rPr>
              <w:fldChar w:fldCharType="end"/>
            </w:r>
          </w:hyperlink>
        </w:p>
        <w:p w14:paraId="207FD96A" w14:textId="60257979" w:rsidR="00DA62F1" w:rsidRDefault="001809B4">
          <w:pPr>
            <w:pStyle w:val="TOC2"/>
            <w:tabs>
              <w:tab w:val="left" w:pos="1100"/>
            </w:tabs>
            <w:rPr>
              <w:rFonts w:asciiTheme="minorHAnsi" w:eastAsiaTheme="minorEastAsia" w:hAnsiTheme="minorHAnsi" w:cstheme="minorBidi"/>
              <w:noProof/>
              <w:sz w:val="22"/>
              <w:szCs w:val="22"/>
            </w:rPr>
          </w:pPr>
          <w:hyperlink w:anchor="_Toc142903018" w:history="1">
            <w:r w:rsidR="00DA62F1" w:rsidRPr="001A08F2">
              <w:rPr>
                <w:rStyle w:val="Hyperlink"/>
                <w:rFonts w:eastAsiaTheme="majorEastAsia"/>
                <w:noProof/>
              </w:rPr>
              <w:t>12.6</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Appendix F</w:t>
            </w:r>
            <w:r w:rsidR="00DA62F1">
              <w:rPr>
                <w:noProof/>
                <w:webHidden/>
              </w:rPr>
              <w:tab/>
            </w:r>
            <w:r w:rsidR="00DA62F1">
              <w:rPr>
                <w:noProof/>
                <w:webHidden/>
              </w:rPr>
              <w:fldChar w:fldCharType="begin"/>
            </w:r>
            <w:r w:rsidR="00DA62F1">
              <w:rPr>
                <w:noProof/>
                <w:webHidden/>
              </w:rPr>
              <w:instrText xml:space="preserve"> PAGEREF _Toc142903018 \h </w:instrText>
            </w:r>
            <w:r w:rsidR="00DA62F1">
              <w:rPr>
                <w:noProof/>
                <w:webHidden/>
              </w:rPr>
            </w:r>
            <w:r w:rsidR="00DA62F1">
              <w:rPr>
                <w:noProof/>
                <w:webHidden/>
              </w:rPr>
              <w:fldChar w:fldCharType="separate"/>
            </w:r>
            <w:r w:rsidR="00A65CB3">
              <w:rPr>
                <w:noProof/>
                <w:webHidden/>
              </w:rPr>
              <w:t>177</w:t>
            </w:r>
            <w:r w:rsidR="00DA62F1">
              <w:rPr>
                <w:noProof/>
                <w:webHidden/>
              </w:rPr>
              <w:fldChar w:fldCharType="end"/>
            </w:r>
          </w:hyperlink>
        </w:p>
        <w:p w14:paraId="63C47253" w14:textId="7E192C26" w:rsidR="00DA62F1" w:rsidRDefault="001809B4">
          <w:pPr>
            <w:pStyle w:val="TOC2"/>
            <w:tabs>
              <w:tab w:val="left" w:pos="1100"/>
            </w:tabs>
            <w:rPr>
              <w:rFonts w:asciiTheme="minorHAnsi" w:eastAsiaTheme="minorEastAsia" w:hAnsiTheme="minorHAnsi" w:cstheme="minorBidi"/>
              <w:noProof/>
              <w:sz w:val="22"/>
              <w:szCs w:val="22"/>
            </w:rPr>
          </w:pPr>
          <w:hyperlink w:anchor="_Toc142903019" w:history="1">
            <w:r w:rsidR="00DA62F1" w:rsidRPr="001A08F2">
              <w:rPr>
                <w:rStyle w:val="Hyperlink"/>
                <w:rFonts w:eastAsiaTheme="majorEastAsia"/>
                <w:noProof/>
              </w:rPr>
              <w:t>12.7</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Appendix G</w:t>
            </w:r>
            <w:r w:rsidR="00DA62F1">
              <w:rPr>
                <w:noProof/>
                <w:webHidden/>
              </w:rPr>
              <w:tab/>
            </w:r>
            <w:r w:rsidR="00DA62F1">
              <w:rPr>
                <w:noProof/>
                <w:webHidden/>
              </w:rPr>
              <w:fldChar w:fldCharType="begin"/>
            </w:r>
            <w:r w:rsidR="00DA62F1">
              <w:rPr>
                <w:noProof/>
                <w:webHidden/>
              </w:rPr>
              <w:instrText xml:space="preserve"> PAGEREF _Toc142903019 \h </w:instrText>
            </w:r>
            <w:r w:rsidR="00DA62F1">
              <w:rPr>
                <w:noProof/>
                <w:webHidden/>
              </w:rPr>
            </w:r>
            <w:r w:rsidR="00DA62F1">
              <w:rPr>
                <w:noProof/>
                <w:webHidden/>
              </w:rPr>
              <w:fldChar w:fldCharType="separate"/>
            </w:r>
            <w:r w:rsidR="00A65CB3">
              <w:rPr>
                <w:noProof/>
                <w:webHidden/>
              </w:rPr>
              <w:t>184</w:t>
            </w:r>
            <w:r w:rsidR="00DA62F1">
              <w:rPr>
                <w:noProof/>
                <w:webHidden/>
              </w:rPr>
              <w:fldChar w:fldCharType="end"/>
            </w:r>
          </w:hyperlink>
        </w:p>
        <w:p w14:paraId="0262CA8D" w14:textId="2080CB8D" w:rsidR="00DA62F1" w:rsidRDefault="001809B4">
          <w:pPr>
            <w:pStyle w:val="TOC2"/>
            <w:tabs>
              <w:tab w:val="left" w:pos="1100"/>
            </w:tabs>
            <w:rPr>
              <w:rFonts w:asciiTheme="minorHAnsi" w:eastAsiaTheme="minorEastAsia" w:hAnsiTheme="minorHAnsi" w:cstheme="minorBidi"/>
              <w:noProof/>
              <w:sz w:val="22"/>
              <w:szCs w:val="22"/>
            </w:rPr>
          </w:pPr>
          <w:hyperlink w:anchor="_Toc142903020" w:history="1">
            <w:r w:rsidR="00DA62F1" w:rsidRPr="001A08F2">
              <w:rPr>
                <w:rStyle w:val="Hyperlink"/>
                <w:rFonts w:eastAsiaTheme="majorEastAsia"/>
                <w:noProof/>
              </w:rPr>
              <w:t>12.8</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Appendix H</w:t>
            </w:r>
            <w:r w:rsidR="00DA62F1">
              <w:rPr>
                <w:noProof/>
                <w:webHidden/>
              </w:rPr>
              <w:tab/>
            </w:r>
            <w:r w:rsidR="00DA62F1">
              <w:rPr>
                <w:noProof/>
                <w:webHidden/>
              </w:rPr>
              <w:fldChar w:fldCharType="begin"/>
            </w:r>
            <w:r w:rsidR="00DA62F1">
              <w:rPr>
                <w:noProof/>
                <w:webHidden/>
              </w:rPr>
              <w:instrText xml:space="preserve"> PAGEREF _Toc142903020 \h </w:instrText>
            </w:r>
            <w:r w:rsidR="00DA62F1">
              <w:rPr>
                <w:noProof/>
                <w:webHidden/>
              </w:rPr>
            </w:r>
            <w:r w:rsidR="00DA62F1">
              <w:rPr>
                <w:noProof/>
                <w:webHidden/>
              </w:rPr>
              <w:fldChar w:fldCharType="separate"/>
            </w:r>
            <w:r w:rsidR="00A65CB3">
              <w:rPr>
                <w:noProof/>
                <w:webHidden/>
              </w:rPr>
              <w:t>186</w:t>
            </w:r>
            <w:r w:rsidR="00DA62F1">
              <w:rPr>
                <w:noProof/>
                <w:webHidden/>
              </w:rPr>
              <w:fldChar w:fldCharType="end"/>
            </w:r>
          </w:hyperlink>
        </w:p>
        <w:p w14:paraId="23012205" w14:textId="0D271D59" w:rsidR="00DA62F1" w:rsidRDefault="001809B4">
          <w:pPr>
            <w:pStyle w:val="TOC2"/>
            <w:tabs>
              <w:tab w:val="left" w:pos="1100"/>
            </w:tabs>
            <w:rPr>
              <w:rFonts w:asciiTheme="minorHAnsi" w:eastAsiaTheme="minorEastAsia" w:hAnsiTheme="minorHAnsi" w:cstheme="minorBidi"/>
              <w:noProof/>
              <w:sz w:val="22"/>
              <w:szCs w:val="22"/>
            </w:rPr>
          </w:pPr>
          <w:hyperlink w:anchor="_Toc142903021" w:history="1">
            <w:r w:rsidR="00DA62F1" w:rsidRPr="001A08F2">
              <w:rPr>
                <w:rStyle w:val="Hyperlink"/>
                <w:rFonts w:eastAsiaTheme="majorEastAsia"/>
                <w:noProof/>
              </w:rPr>
              <w:t>12.9</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Appendix I</w:t>
            </w:r>
            <w:r w:rsidR="00DA62F1">
              <w:rPr>
                <w:noProof/>
                <w:webHidden/>
              </w:rPr>
              <w:tab/>
            </w:r>
            <w:r w:rsidR="00DA62F1">
              <w:rPr>
                <w:noProof/>
                <w:webHidden/>
              </w:rPr>
              <w:fldChar w:fldCharType="begin"/>
            </w:r>
            <w:r w:rsidR="00DA62F1">
              <w:rPr>
                <w:noProof/>
                <w:webHidden/>
              </w:rPr>
              <w:instrText xml:space="preserve"> PAGEREF _Toc142903021 \h </w:instrText>
            </w:r>
            <w:r w:rsidR="00DA62F1">
              <w:rPr>
                <w:noProof/>
                <w:webHidden/>
              </w:rPr>
            </w:r>
            <w:r w:rsidR="00DA62F1">
              <w:rPr>
                <w:noProof/>
                <w:webHidden/>
              </w:rPr>
              <w:fldChar w:fldCharType="separate"/>
            </w:r>
            <w:r w:rsidR="00A65CB3">
              <w:rPr>
                <w:noProof/>
                <w:webHidden/>
              </w:rPr>
              <w:t>198</w:t>
            </w:r>
            <w:r w:rsidR="00DA62F1">
              <w:rPr>
                <w:noProof/>
                <w:webHidden/>
              </w:rPr>
              <w:fldChar w:fldCharType="end"/>
            </w:r>
          </w:hyperlink>
        </w:p>
        <w:p w14:paraId="7D82E664" w14:textId="2874BC9B" w:rsidR="00DA62F1" w:rsidRDefault="001809B4">
          <w:pPr>
            <w:pStyle w:val="TOC2"/>
            <w:tabs>
              <w:tab w:val="left" w:pos="1320"/>
            </w:tabs>
            <w:rPr>
              <w:rFonts w:asciiTheme="minorHAnsi" w:eastAsiaTheme="minorEastAsia" w:hAnsiTheme="minorHAnsi" w:cstheme="minorBidi"/>
              <w:noProof/>
              <w:sz w:val="22"/>
              <w:szCs w:val="22"/>
            </w:rPr>
          </w:pPr>
          <w:hyperlink w:anchor="_Toc142903022" w:history="1">
            <w:r w:rsidR="00DA62F1" w:rsidRPr="001A08F2">
              <w:rPr>
                <w:rStyle w:val="Hyperlink"/>
                <w:rFonts w:eastAsiaTheme="majorEastAsia"/>
                <w:noProof/>
              </w:rPr>
              <w:t>12.10</w:t>
            </w:r>
            <w:r w:rsidR="00DA62F1">
              <w:rPr>
                <w:rFonts w:asciiTheme="minorHAnsi" w:eastAsiaTheme="minorEastAsia" w:hAnsiTheme="minorHAnsi" w:cstheme="minorBidi"/>
                <w:noProof/>
                <w:sz w:val="22"/>
                <w:szCs w:val="22"/>
              </w:rPr>
              <w:tab/>
            </w:r>
            <w:r w:rsidR="00DA62F1" w:rsidRPr="001A08F2">
              <w:rPr>
                <w:rStyle w:val="Hyperlink"/>
                <w:rFonts w:eastAsiaTheme="majorEastAsia"/>
                <w:noProof/>
              </w:rPr>
              <w:t>Appendix J</w:t>
            </w:r>
            <w:r w:rsidR="00DA62F1">
              <w:rPr>
                <w:noProof/>
                <w:webHidden/>
              </w:rPr>
              <w:tab/>
            </w:r>
            <w:r w:rsidR="00DA62F1">
              <w:rPr>
                <w:noProof/>
                <w:webHidden/>
              </w:rPr>
              <w:fldChar w:fldCharType="begin"/>
            </w:r>
            <w:r w:rsidR="00DA62F1">
              <w:rPr>
                <w:noProof/>
                <w:webHidden/>
              </w:rPr>
              <w:instrText xml:space="preserve"> PAGEREF _Toc142903022 \h </w:instrText>
            </w:r>
            <w:r w:rsidR="00DA62F1">
              <w:rPr>
                <w:noProof/>
                <w:webHidden/>
              </w:rPr>
            </w:r>
            <w:r w:rsidR="00DA62F1">
              <w:rPr>
                <w:noProof/>
                <w:webHidden/>
              </w:rPr>
              <w:fldChar w:fldCharType="separate"/>
            </w:r>
            <w:r w:rsidR="00A65CB3">
              <w:rPr>
                <w:noProof/>
                <w:webHidden/>
              </w:rPr>
              <w:t>200</w:t>
            </w:r>
            <w:r w:rsidR="00DA62F1">
              <w:rPr>
                <w:noProof/>
                <w:webHidden/>
              </w:rPr>
              <w:fldChar w:fldCharType="end"/>
            </w:r>
          </w:hyperlink>
        </w:p>
        <w:p w14:paraId="68AC3B4C" w14:textId="21CD9399" w:rsidR="00460C7F" w:rsidRDefault="000F5B51" w:rsidP="006D1562">
          <w:pPr>
            <w:pStyle w:val="TOC2"/>
            <w:tabs>
              <w:tab w:val="left" w:pos="1100"/>
            </w:tabs>
          </w:pPr>
          <w:r>
            <w:rPr>
              <w:b/>
              <w:bCs/>
              <w:noProof/>
            </w:rPr>
            <w:fldChar w:fldCharType="end"/>
          </w:r>
        </w:p>
      </w:sdtContent>
    </w:sdt>
    <w:p w14:paraId="326BC1BB" w14:textId="77777777" w:rsidR="005D5164" w:rsidRPr="0093458D" w:rsidRDefault="000F5B51">
      <w:pPr>
        <w:pStyle w:val="Heading1aExecSummary"/>
        <w:jc w:val="center"/>
        <w:rPr>
          <w:rFonts w:eastAsiaTheme="minorHAnsi"/>
          <w:sz w:val="24"/>
          <w:szCs w:val="22"/>
        </w:rPr>
      </w:pPr>
      <w:r w:rsidRPr="004559B2">
        <w:br w:type="page"/>
      </w:r>
      <w:bookmarkStart w:id="1" w:name="_Toc142902959"/>
      <w:r w:rsidRPr="004559B2">
        <w:lastRenderedPageBreak/>
        <w:t>List</w:t>
      </w:r>
      <w:r w:rsidR="001E0ACF" w:rsidRPr="004559B2">
        <w:t xml:space="preserve"> of A</w:t>
      </w:r>
      <w:r w:rsidR="000D0AD3" w:rsidRPr="004559B2">
        <w:t>bbreviations</w:t>
      </w:r>
      <w:bookmarkEnd w:id="1"/>
    </w:p>
    <w:p w14:paraId="6AF3E4B8" w14:textId="77777777" w:rsidR="008745FC" w:rsidRDefault="000F5B51" w:rsidP="0093458D">
      <w:pPr>
        <w:spacing w:after="0" w:line="276" w:lineRule="auto"/>
        <w:rPr>
          <w:rFonts w:eastAsia="Times New Roman" w:cs="Times New Roman"/>
          <w:szCs w:val="24"/>
        </w:rPr>
      </w:pPr>
      <w:r>
        <w:rPr>
          <w:rFonts w:cs="Times New Roman"/>
          <w:szCs w:val="24"/>
        </w:rPr>
        <w:t>ATS</w:t>
      </w:r>
      <w:r>
        <w:rPr>
          <w:rFonts w:cs="Times New Roman"/>
          <w:szCs w:val="24"/>
        </w:rPr>
        <w:tab/>
      </w:r>
      <w:r>
        <w:rPr>
          <w:rFonts w:cs="Times New Roman"/>
          <w:szCs w:val="24"/>
        </w:rPr>
        <w:tab/>
      </w:r>
      <w:r w:rsidRPr="00664F73">
        <w:rPr>
          <w:rFonts w:eastAsia="Times New Roman" w:cs="Times New Roman"/>
          <w:szCs w:val="24"/>
        </w:rPr>
        <w:t>American Travel Survey</w:t>
      </w:r>
    </w:p>
    <w:p w14:paraId="299A531E" w14:textId="77777777" w:rsidR="00E90939" w:rsidRDefault="000F5B51" w:rsidP="0093458D">
      <w:pPr>
        <w:spacing w:after="0" w:line="276" w:lineRule="auto"/>
        <w:rPr>
          <w:rFonts w:cs="Times New Roman"/>
          <w:szCs w:val="24"/>
        </w:rPr>
      </w:pPr>
      <w:r>
        <w:rPr>
          <w:rFonts w:cs="Times New Roman"/>
          <w:szCs w:val="24"/>
        </w:rPr>
        <w:t>CDS</w:t>
      </w:r>
      <w:r>
        <w:rPr>
          <w:rFonts w:cs="Times New Roman"/>
          <w:szCs w:val="24"/>
        </w:rPr>
        <w:tab/>
      </w:r>
      <w:r>
        <w:rPr>
          <w:rFonts w:cs="Times New Roman"/>
          <w:szCs w:val="24"/>
        </w:rPr>
        <w:tab/>
      </w:r>
      <w:r w:rsidRPr="00BE6F43">
        <w:rPr>
          <w:rFonts w:eastAsia="Times New Roman" w:cs="Times New Roman"/>
          <w:szCs w:val="24"/>
        </w:rPr>
        <w:t>Crashworthiness Data System</w:t>
      </w:r>
    </w:p>
    <w:p w14:paraId="34D49788" w14:textId="3CCD6AE7" w:rsidR="006F72BC" w:rsidRDefault="006F72BC" w:rsidP="0093458D">
      <w:pPr>
        <w:spacing w:after="0" w:line="276" w:lineRule="auto"/>
        <w:rPr>
          <w:rFonts w:eastAsia="Times New Roman" w:cs="Times New Roman"/>
          <w:szCs w:val="24"/>
        </w:rPr>
      </w:pPr>
      <w:r>
        <w:rPr>
          <w:rFonts w:eastAsia="Times New Roman" w:cs="Times New Roman"/>
          <w:szCs w:val="24"/>
        </w:rPr>
        <w:t>CRS</w:t>
      </w:r>
      <w:r>
        <w:rPr>
          <w:rFonts w:eastAsia="Times New Roman" w:cs="Times New Roman"/>
          <w:szCs w:val="24"/>
        </w:rPr>
        <w:tab/>
      </w:r>
      <w:r>
        <w:rPr>
          <w:rFonts w:eastAsia="Times New Roman" w:cs="Times New Roman"/>
          <w:szCs w:val="24"/>
        </w:rPr>
        <w:tab/>
      </w:r>
      <w:r w:rsidRPr="006F72BC">
        <w:rPr>
          <w:rFonts w:eastAsia="Times New Roman" w:cs="Times New Roman"/>
          <w:szCs w:val="24"/>
        </w:rPr>
        <w:t>Child Restraint System</w:t>
      </w:r>
    </w:p>
    <w:p w14:paraId="20736B82" w14:textId="584A48B8" w:rsidR="005302B6" w:rsidRDefault="000F5B51" w:rsidP="0093458D">
      <w:pPr>
        <w:spacing w:after="0" w:line="276" w:lineRule="auto"/>
        <w:rPr>
          <w:rFonts w:cs="Times New Roman"/>
          <w:szCs w:val="24"/>
        </w:rPr>
      </w:pPr>
      <w:r>
        <w:rPr>
          <w:rFonts w:eastAsia="Times New Roman" w:cs="Times New Roman"/>
          <w:szCs w:val="24"/>
        </w:rPr>
        <w:t>DOE</w:t>
      </w:r>
      <w:r>
        <w:rPr>
          <w:rFonts w:eastAsia="Times New Roman" w:cs="Times New Roman"/>
          <w:szCs w:val="24"/>
        </w:rPr>
        <w:tab/>
      </w:r>
      <w:r>
        <w:rPr>
          <w:rFonts w:eastAsia="Times New Roman" w:cs="Times New Roman"/>
          <w:szCs w:val="24"/>
        </w:rPr>
        <w:tab/>
      </w:r>
      <w:r w:rsidRPr="00664F73">
        <w:rPr>
          <w:rFonts w:eastAsia="Times New Roman" w:cs="Times New Roman"/>
          <w:szCs w:val="24"/>
        </w:rPr>
        <w:t>Department of Energy</w:t>
      </w:r>
    </w:p>
    <w:p w14:paraId="06F02A41" w14:textId="77777777" w:rsidR="005302B6" w:rsidRDefault="000F5B51" w:rsidP="0093458D">
      <w:pPr>
        <w:spacing w:after="0" w:line="276" w:lineRule="auto"/>
        <w:rPr>
          <w:rFonts w:cs="Times New Roman"/>
          <w:szCs w:val="24"/>
        </w:rPr>
      </w:pPr>
      <w:r>
        <w:rPr>
          <w:rFonts w:cs="Times New Roman"/>
          <w:szCs w:val="24"/>
        </w:rPr>
        <w:t>DOT</w:t>
      </w:r>
      <w:r>
        <w:rPr>
          <w:rFonts w:cs="Times New Roman"/>
          <w:szCs w:val="24"/>
        </w:rPr>
        <w:tab/>
      </w:r>
      <w:r>
        <w:rPr>
          <w:rFonts w:cs="Times New Roman"/>
          <w:szCs w:val="24"/>
        </w:rPr>
        <w:tab/>
        <w:t>Department of Transportation</w:t>
      </w:r>
    </w:p>
    <w:p w14:paraId="4691B2CA" w14:textId="77777777" w:rsidR="008E2C05" w:rsidRDefault="000F5B51" w:rsidP="0093458D">
      <w:pPr>
        <w:spacing w:after="0" w:line="276" w:lineRule="auto"/>
        <w:rPr>
          <w:rFonts w:cs="Times New Roman"/>
          <w:szCs w:val="24"/>
        </w:rPr>
      </w:pPr>
      <w:r>
        <w:rPr>
          <w:rFonts w:cs="Times New Roman"/>
          <w:szCs w:val="24"/>
        </w:rPr>
        <w:t>EIA</w:t>
      </w:r>
      <w:r>
        <w:rPr>
          <w:rFonts w:cs="Times New Roman"/>
          <w:szCs w:val="24"/>
        </w:rPr>
        <w:tab/>
      </w:r>
      <w:r>
        <w:rPr>
          <w:rFonts w:cs="Times New Roman"/>
          <w:szCs w:val="24"/>
        </w:rPr>
        <w:tab/>
      </w:r>
      <w:r w:rsidRPr="00664F73">
        <w:rPr>
          <w:rFonts w:eastAsia="Times New Roman" w:cs="Times New Roman"/>
          <w:szCs w:val="24"/>
        </w:rPr>
        <w:t>Energy Information Administration</w:t>
      </w:r>
      <w:r w:rsidR="003B1274">
        <w:rPr>
          <w:rFonts w:cs="Times New Roman"/>
          <w:szCs w:val="24"/>
        </w:rPr>
        <w:br/>
        <w:t>ELS</w:t>
      </w:r>
      <w:r w:rsidR="00002FFC">
        <w:rPr>
          <w:rFonts w:cs="Times New Roman"/>
          <w:szCs w:val="24"/>
        </w:rPr>
        <w:tab/>
      </w:r>
      <w:r w:rsidR="00002FFC">
        <w:rPr>
          <w:rFonts w:cs="Times New Roman"/>
          <w:szCs w:val="24"/>
        </w:rPr>
        <w:tab/>
        <w:t>Equivalent Lives Saved</w:t>
      </w:r>
    </w:p>
    <w:p w14:paraId="5E84CB8B" w14:textId="77777777" w:rsidR="003921FD" w:rsidRDefault="000F5B51" w:rsidP="0093458D">
      <w:pPr>
        <w:spacing w:after="0" w:line="276" w:lineRule="auto"/>
        <w:rPr>
          <w:rFonts w:cs="Times New Roman"/>
          <w:szCs w:val="24"/>
        </w:rPr>
      </w:pPr>
      <w:r>
        <w:rPr>
          <w:rFonts w:cs="Times New Roman"/>
          <w:szCs w:val="24"/>
        </w:rPr>
        <w:t>ESC</w:t>
      </w:r>
      <w:r>
        <w:rPr>
          <w:rFonts w:cs="Times New Roman"/>
          <w:szCs w:val="24"/>
        </w:rPr>
        <w:tab/>
      </w:r>
      <w:r>
        <w:rPr>
          <w:rFonts w:cs="Times New Roman"/>
          <w:szCs w:val="24"/>
        </w:rPr>
        <w:tab/>
        <w:t>Electronic Stability Control</w:t>
      </w:r>
    </w:p>
    <w:p w14:paraId="27817D5F" w14:textId="77777777" w:rsidR="0076628D" w:rsidRDefault="000F5B51" w:rsidP="0093458D">
      <w:pPr>
        <w:spacing w:after="0" w:line="276" w:lineRule="auto"/>
      </w:pPr>
      <w:r>
        <w:rPr>
          <w:rFonts w:cs="Times New Roman"/>
          <w:szCs w:val="24"/>
        </w:rPr>
        <w:t>FARS</w:t>
      </w:r>
      <w:r>
        <w:rPr>
          <w:rFonts w:cs="Times New Roman"/>
          <w:szCs w:val="24"/>
        </w:rPr>
        <w:tab/>
      </w:r>
      <w:r>
        <w:rPr>
          <w:rFonts w:cs="Times New Roman"/>
          <w:szCs w:val="24"/>
        </w:rPr>
        <w:tab/>
      </w:r>
      <w:r>
        <w:t>Fatality Analysis Reporting System</w:t>
      </w:r>
    </w:p>
    <w:p w14:paraId="2DB3723D" w14:textId="77777777" w:rsidR="008E2C05" w:rsidRDefault="000F5B51" w:rsidP="0093458D">
      <w:pPr>
        <w:spacing w:after="0" w:line="276" w:lineRule="auto"/>
        <w:rPr>
          <w:rFonts w:cs="Times New Roman"/>
          <w:szCs w:val="24"/>
        </w:rPr>
      </w:pPr>
      <w:r>
        <w:rPr>
          <w:rFonts w:cs="Times New Roman"/>
          <w:szCs w:val="24"/>
        </w:rPr>
        <w:t>FHWA</w:t>
      </w:r>
      <w:r>
        <w:rPr>
          <w:rFonts w:cs="Times New Roman"/>
          <w:szCs w:val="24"/>
        </w:rPr>
        <w:tab/>
      </w:r>
      <w:r>
        <w:rPr>
          <w:rFonts w:cs="Times New Roman"/>
          <w:szCs w:val="24"/>
        </w:rPr>
        <w:tab/>
        <w:t>Federal Highway Administration</w:t>
      </w:r>
    </w:p>
    <w:p w14:paraId="583267FF" w14:textId="77777777" w:rsidR="00890EB2" w:rsidRDefault="000F5B51" w:rsidP="0093458D">
      <w:pPr>
        <w:spacing w:after="0" w:line="276" w:lineRule="auto"/>
        <w:rPr>
          <w:rFonts w:cs="Times New Roman"/>
          <w:szCs w:val="24"/>
        </w:rPr>
      </w:pPr>
      <w:r>
        <w:rPr>
          <w:rFonts w:cs="Times New Roman"/>
          <w:szCs w:val="24"/>
        </w:rPr>
        <w:t>FMVSS</w:t>
      </w:r>
      <w:r>
        <w:rPr>
          <w:rFonts w:cs="Times New Roman"/>
          <w:szCs w:val="24"/>
        </w:rPr>
        <w:tab/>
        <w:t>Federal Motor Vehicle Safety Standard</w:t>
      </w:r>
    </w:p>
    <w:p w14:paraId="20CC99AD" w14:textId="77777777" w:rsidR="009D2052" w:rsidRDefault="000F5B51" w:rsidP="0093458D">
      <w:pPr>
        <w:spacing w:after="0" w:line="276" w:lineRule="auto"/>
        <w:rPr>
          <w:rFonts w:cs="Times New Roman"/>
          <w:szCs w:val="24"/>
        </w:rPr>
      </w:pPr>
      <w:r>
        <w:rPr>
          <w:rFonts w:cs="Times New Roman"/>
          <w:szCs w:val="24"/>
        </w:rPr>
        <w:t>FRIA</w:t>
      </w:r>
      <w:r>
        <w:rPr>
          <w:rFonts w:cs="Times New Roman"/>
          <w:szCs w:val="24"/>
        </w:rPr>
        <w:tab/>
      </w:r>
      <w:r>
        <w:rPr>
          <w:rFonts w:cs="Times New Roman"/>
          <w:szCs w:val="24"/>
        </w:rPr>
        <w:tab/>
        <w:t>Final Regul</w:t>
      </w:r>
      <w:r w:rsidR="00496381">
        <w:rPr>
          <w:rFonts w:cs="Times New Roman"/>
          <w:szCs w:val="24"/>
        </w:rPr>
        <w:t>atory Impact Analysis</w:t>
      </w:r>
    </w:p>
    <w:p w14:paraId="643034DF" w14:textId="77777777" w:rsidR="000E5671" w:rsidRDefault="000F5B51" w:rsidP="00D33F48">
      <w:pPr>
        <w:spacing w:after="0" w:line="276" w:lineRule="auto"/>
        <w:rPr>
          <w:rFonts w:cs="Times New Roman"/>
          <w:szCs w:val="24"/>
        </w:rPr>
      </w:pPr>
      <w:r>
        <w:rPr>
          <w:rFonts w:cs="Times New Roman"/>
          <w:szCs w:val="24"/>
        </w:rPr>
        <w:t>GM</w:t>
      </w:r>
      <w:r>
        <w:rPr>
          <w:rFonts w:cs="Times New Roman"/>
          <w:szCs w:val="24"/>
        </w:rPr>
        <w:tab/>
      </w:r>
      <w:r>
        <w:rPr>
          <w:rFonts w:cs="Times New Roman"/>
          <w:szCs w:val="24"/>
        </w:rPr>
        <w:tab/>
        <w:t>General Motors</w:t>
      </w:r>
    </w:p>
    <w:p w14:paraId="2869439A" w14:textId="77777777" w:rsidR="009E3DC0" w:rsidRDefault="000F5B51" w:rsidP="0093458D">
      <w:pPr>
        <w:spacing w:after="0" w:line="276" w:lineRule="auto"/>
        <w:rPr>
          <w:rFonts w:cs="Times New Roman"/>
          <w:szCs w:val="24"/>
        </w:rPr>
      </w:pPr>
      <w:r>
        <w:rPr>
          <w:rFonts w:cs="Times New Roman"/>
          <w:szCs w:val="24"/>
        </w:rPr>
        <w:t>GVWR</w:t>
      </w:r>
      <w:r>
        <w:rPr>
          <w:rFonts w:cs="Times New Roman"/>
          <w:szCs w:val="24"/>
        </w:rPr>
        <w:tab/>
        <w:t>Gross Vehicle Weight Rating</w:t>
      </w:r>
    </w:p>
    <w:p w14:paraId="695336B2" w14:textId="77777777" w:rsidR="00E90939" w:rsidRDefault="000F5B51" w:rsidP="0093458D">
      <w:pPr>
        <w:spacing w:after="0" w:line="276" w:lineRule="auto"/>
        <w:rPr>
          <w:rFonts w:cs="Times New Roman"/>
          <w:szCs w:val="24"/>
        </w:rPr>
      </w:pPr>
      <w:r>
        <w:rPr>
          <w:rFonts w:cs="Times New Roman"/>
          <w:szCs w:val="24"/>
        </w:rPr>
        <w:t>IIHS</w:t>
      </w:r>
      <w:r>
        <w:rPr>
          <w:rFonts w:cs="Times New Roman"/>
          <w:szCs w:val="24"/>
        </w:rPr>
        <w:tab/>
      </w:r>
      <w:r>
        <w:rPr>
          <w:rFonts w:cs="Times New Roman"/>
          <w:szCs w:val="24"/>
        </w:rPr>
        <w:tab/>
      </w:r>
      <w:r w:rsidRPr="0080267B">
        <w:rPr>
          <w:rFonts w:eastAsia="Times New Roman" w:cs="Times New Roman"/>
          <w:szCs w:val="24"/>
        </w:rPr>
        <w:t>Insurance Institute for Highway Safety</w:t>
      </w:r>
    </w:p>
    <w:p w14:paraId="38663D01" w14:textId="77777777" w:rsidR="00345399" w:rsidRDefault="000F5B51" w:rsidP="0093458D">
      <w:pPr>
        <w:spacing w:after="0" w:line="276" w:lineRule="auto"/>
        <w:rPr>
          <w:rFonts w:cs="Times New Roman"/>
          <w:szCs w:val="24"/>
        </w:rPr>
      </w:pPr>
      <w:r w:rsidRPr="00A46477">
        <w:rPr>
          <w:rFonts w:eastAsia="Times New Roman" w:cs="Times New Roman"/>
          <w:iCs/>
          <w:szCs w:val="20"/>
        </w:rPr>
        <w:t>IVD</w:t>
      </w:r>
      <w:r>
        <w:rPr>
          <w:rFonts w:eastAsia="Times New Roman" w:cs="Times New Roman"/>
          <w:iCs/>
          <w:szCs w:val="20"/>
        </w:rPr>
        <w:tab/>
      </w:r>
      <w:r>
        <w:rPr>
          <w:rFonts w:eastAsia="Times New Roman" w:cs="Times New Roman"/>
          <w:iCs/>
          <w:szCs w:val="20"/>
        </w:rPr>
        <w:tab/>
        <w:t>I</w:t>
      </w:r>
      <w:r w:rsidRPr="00A46477">
        <w:rPr>
          <w:rFonts w:eastAsia="Times New Roman" w:cs="Times New Roman"/>
          <w:iCs/>
          <w:szCs w:val="20"/>
        </w:rPr>
        <w:t xml:space="preserve">ncomplete </w:t>
      </w:r>
      <w:r>
        <w:rPr>
          <w:rFonts w:eastAsia="Times New Roman" w:cs="Times New Roman"/>
          <w:iCs/>
          <w:szCs w:val="20"/>
        </w:rPr>
        <w:t>V</w:t>
      </w:r>
      <w:r w:rsidRPr="00A46477">
        <w:rPr>
          <w:rFonts w:eastAsia="Times New Roman" w:cs="Times New Roman"/>
          <w:iCs/>
          <w:szCs w:val="20"/>
        </w:rPr>
        <w:t xml:space="preserve">ehicle </w:t>
      </w:r>
      <w:r>
        <w:rPr>
          <w:rFonts w:eastAsia="Times New Roman" w:cs="Times New Roman"/>
          <w:iCs/>
          <w:szCs w:val="20"/>
        </w:rPr>
        <w:t>D</w:t>
      </w:r>
      <w:r w:rsidRPr="00A46477">
        <w:rPr>
          <w:rFonts w:eastAsia="Times New Roman" w:cs="Times New Roman"/>
          <w:iCs/>
          <w:szCs w:val="20"/>
        </w:rPr>
        <w:t>ocument</w:t>
      </w:r>
    </w:p>
    <w:p w14:paraId="453F303F" w14:textId="77777777" w:rsidR="00383D53" w:rsidRDefault="000F5B51" w:rsidP="0093458D">
      <w:pPr>
        <w:spacing w:after="0" w:line="276" w:lineRule="auto"/>
        <w:rPr>
          <w:rFonts w:cs="Times New Roman"/>
          <w:szCs w:val="24"/>
        </w:rPr>
      </w:pPr>
      <w:r>
        <w:rPr>
          <w:rFonts w:cs="Times New Roman"/>
          <w:szCs w:val="24"/>
        </w:rPr>
        <w:t>LTV</w:t>
      </w:r>
      <w:r>
        <w:rPr>
          <w:rFonts w:cs="Times New Roman"/>
          <w:szCs w:val="24"/>
        </w:rPr>
        <w:tab/>
      </w:r>
      <w:r>
        <w:rPr>
          <w:rFonts w:cs="Times New Roman"/>
          <w:szCs w:val="24"/>
        </w:rPr>
        <w:tab/>
        <w:t>Light Trucks and Vans</w:t>
      </w:r>
    </w:p>
    <w:p w14:paraId="242AB568" w14:textId="77777777" w:rsidR="000D576D" w:rsidRDefault="000F5B51" w:rsidP="0093458D">
      <w:pPr>
        <w:spacing w:after="0" w:line="276" w:lineRule="auto"/>
        <w:rPr>
          <w:rFonts w:cs="Times New Roman"/>
          <w:szCs w:val="24"/>
        </w:rPr>
      </w:pPr>
      <w:r>
        <w:rPr>
          <w:rFonts w:cs="Times New Roman"/>
          <w:szCs w:val="24"/>
        </w:rPr>
        <w:t>MAIS</w:t>
      </w:r>
      <w:r w:rsidR="006A2BD4">
        <w:rPr>
          <w:rFonts w:cs="Times New Roman"/>
          <w:szCs w:val="24"/>
        </w:rPr>
        <w:tab/>
      </w:r>
      <w:r w:rsidR="006A2BD4">
        <w:rPr>
          <w:rFonts w:cs="Times New Roman"/>
          <w:szCs w:val="24"/>
        </w:rPr>
        <w:tab/>
      </w:r>
      <w:r w:rsidR="006A2BD4" w:rsidRPr="006A2BD4">
        <w:rPr>
          <w:rFonts w:cs="Times New Roman"/>
          <w:szCs w:val="24"/>
        </w:rPr>
        <w:t>Maximum Abbreviated Injury Scale</w:t>
      </w:r>
    </w:p>
    <w:p w14:paraId="157E2C6D" w14:textId="77777777" w:rsidR="000B4268" w:rsidRDefault="000F5B51" w:rsidP="0093458D">
      <w:pPr>
        <w:spacing w:after="0" w:line="276" w:lineRule="auto"/>
        <w:rPr>
          <w:rFonts w:eastAsia="Times New Roman" w:cs="Times New Roman"/>
          <w:szCs w:val="24"/>
        </w:rPr>
      </w:pPr>
      <w:r>
        <w:rPr>
          <w:rFonts w:cs="Times New Roman"/>
          <w:szCs w:val="24"/>
        </w:rPr>
        <w:t>MAP-21</w:t>
      </w:r>
      <w:r>
        <w:rPr>
          <w:rFonts w:cs="Times New Roman"/>
          <w:szCs w:val="24"/>
        </w:rPr>
        <w:tab/>
      </w:r>
      <w:r w:rsidRPr="0080267B">
        <w:rPr>
          <w:rFonts w:eastAsia="Times New Roman" w:cs="Times New Roman"/>
          <w:szCs w:val="24"/>
        </w:rPr>
        <w:t>Moving Ahead for Progress in the 21st Century Act</w:t>
      </w:r>
      <w:r>
        <w:rPr>
          <w:rFonts w:eastAsia="Times New Roman" w:cs="Times New Roman"/>
          <w:szCs w:val="24"/>
        </w:rPr>
        <w:t>, P.L. 112-141</w:t>
      </w:r>
    </w:p>
    <w:p w14:paraId="247B1CAE" w14:textId="77777777" w:rsidR="00CE4B65" w:rsidRDefault="000F5B51" w:rsidP="0093458D">
      <w:pPr>
        <w:spacing w:after="0" w:line="276" w:lineRule="auto"/>
        <w:rPr>
          <w:rFonts w:cs="Times New Roman"/>
          <w:szCs w:val="24"/>
        </w:rPr>
      </w:pPr>
      <w:r>
        <w:rPr>
          <w:rFonts w:cs="Times New Roman"/>
          <w:szCs w:val="24"/>
        </w:rPr>
        <w:t xml:space="preserve">MEPS-HC </w:t>
      </w:r>
      <w:r>
        <w:rPr>
          <w:rFonts w:cs="Times New Roman"/>
          <w:szCs w:val="24"/>
        </w:rPr>
        <w:tab/>
      </w:r>
      <w:r w:rsidRPr="000E5B4B">
        <w:rPr>
          <w:rFonts w:cs="Times New Roman"/>
          <w:szCs w:val="24"/>
        </w:rPr>
        <w:t>Medical Expenditure Panel Survey Household and Medical Provider Components</w:t>
      </w:r>
    </w:p>
    <w:p w14:paraId="2207F2D7" w14:textId="77777777" w:rsidR="00085AC9" w:rsidRDefault="000F5B51" w:rsidP="0093458D">
      <w:pPr>
        <w:spacing w:after="0" w:line="276" w:lineRule="auto"/>
        <w:rPr>
          <w:rFonts w:cs="Times New Roman"/>
          <w:szCs w:val="24"/>
        </w:rPr>
      </w:pPr>
      <w:r>
        <w:rPr>
          <w:rFonts w:cs="Times New Roman"/>
          <w:szCs w:val="24"/>
        </w:rPr>
        <w:t>MY</w:t>
      </w:r>
      <w:r>
        <w:rPr>
          <w:rFonts w:cs="Times New Roman"/>
          <w:szCs w:val="24"/>
        </w:rPr>
        <w:tab/>
      </w:r>
      <w:r>
        <w:rPr>
          <w:rFonts w:cs="Times New Roman"/>
          <w:szCs w:val="24"/>
        </w:rPr>
        <w:tab/>
        <w:t>Model Year</w:t>
      </w:r>
    </w:p>
    <w:p w14:paraId="25FBDB5A" w14:textId="77777777" w:rsidR="00216187" w:rsidRDefault="000F5B51" w:rsidP="0093458D">
      <w:pPr>
        <w:spacing w:after="0" w:line="276" w:lineRule="auto"/>
        <w:rPr>
          <w:rFonts w:cs="Times New Roman"/>
          <w:szCs w:val="24"/>
        </w:rPr>
      </w:pPr>
      <w:r>
        <w:rPr>
          <w:rFonts w:cs="Times New Roman"/>
          <w:szCs w:val="24"/>
        </w:rPr>
        <w:t>NASS</w:t>
      </w:r>
      <w:r>
        <w:rPr>
          <w:rFonts w:cs="Times New Roman"/>
          <w:szCs w:val="24"/>
        </w:rPr>
        <w:tab/>
      </w:r>
      <w:r>
        <w:rPr>
          <w:rFonts w:cs="Times New Roman"/>
          <w:szCs w:val="24"/>
        </w:rPr>
        <w:tab/>
      </w:r>
      <w:r w:rsidRPr="00BE6F43">
        <w:rPr>
          <w:rFonts w:eastAsia="Times New Roman" w:cs="Times New Roman"/>
          <w:szCs w:val="24"/>
        </w:rPr>
        <w:t>National Automotive Sampling System</w:t>
      </w:r>
    </w:p>
    <w:p w14:paraId="4A1ADCD8" w14:textId="77777777" w:rsidR="00C565C2" w:rsidRDefault="000F5B51" w:rsidP="0093458D">
      <w:pPr>
        <w:spacing w:after="0" w:line="276" w:lineRule="auto"/>
        <w:rPr>
          <w:rFonts w:cs="Times New Roman"/>
          <w:szCs w:val="24"/>
        </w:rPr>
      </w:pPr>
      <w:r>
        <w:rPr>
          <w:rFonts w:cs="Times New Roman"/>
          <w:szCs w:val="24"/>
        </w:rPr>
        <w:t>NCAP</w:t>
      </w:r>
      <w:r>
        <w:rPr>
          <w:rFonts w:cs="Times New Roman"/>
          <w:szCs w:val="24"/>
        </w:rPr>
        <w:tab/>
      </w:r>
      <w:r>
        <w:rPr>
          <w:rFonts w:cs="Times New Roman"/>
          <w:szCs w:val="24"/>
        </w:rPr>
        <w:tab/>
        <w:t>New Car Assessment Program</w:t>
      </w:r>
    </w:p>
    <w:p w14:paraId="03971972" w14:textId="77777777" w:rsidR="00633CA5" w:rsidRDefault="000F5B51" w:rsidP="0093458D">
      <w:pPr>
        <w:spacing w:after="0" w:line="276" w:lineRule="auto"/>
        <w:rPr>
          <w:rFonts w:cs="Times New Roman"/>
          <w:szCs w:val="24"/>
        </w:rPr>
      </w:pPr>
      <w:r>
        <w:rPr>
          <w:rFonts w:cs="Times New Roman"/>
          <w:szCs w:val="24"/>
        </w:rPr>
        <w:t>NHTS</w:t>
      </w:r>
      <w:r>
        <w:rPr>
          <w:rFonts w:cs="Times New Roman"/>
          <w:szCs w:val="24"/>
        </w:rPr>
        <w:tab/>
      </w:r>
      <w:r>
        <w:rPr>
          <w:rFonts w:cs="Times New Roman"/>
          <w:szCs w:val="24"/>
        </w:rPr>
        <w:tab/>
      </w:r>
      <w:r w:rsidRPr="00664F73">
        <w:rPr>
          <w:rFonts w:eastAsia="Times New Roman" w:cs="Times New Roman"/>
          <w:szCs w:val="24"/>
        </w:rPr>
        <w:t>National Household Travel Survey</w:t>
      </w:r>
    </w:p>
    <w:p w14:paraId="56B7EF1F" w14:textId="77777777" w:rsidR="00290324" w:rsidRDefault="000F5B51" w:rsidP="0093458D">
      <w:pPr>
        <w:spacing w:after="0" w:line="276" w:lineRule="auto"/>
      </w:pPr>
      <w:r>
        <w:t>NHTSA</w:t>
      </w:r>
      <w:r w:rsidR="003A5ED1">
        <w:tab/>
        <w:t>National Highway Tr</w:t>
      </w:r>
      <w:r w:rsidR="0051419C">
        <w:t>affic Safety Administration</w:t>
      </w:r>
    </w:p>
    <w:p w14:paraId="695D67C1" w14:textId="77777777" w:rsidR="003C3426" w:rsidRDefault="000F5B51" w:rsidP="0093458D">
      <w:pPr>
        <w:spacing w:after="0" w:line="276" w:lineRule="auto"/>
      </w:pPr>
      <w:r>
        <w:t>NOPUS</w:t>
      </w:r>
      <w:r>
        <w:tab/>
      </w:r>
      <w:r w:rsidRPr="000F2445">
        <w:rPr>
          <w:rFonts w:cs="Times New Roman"/>
          <w:szCs w:val="24"/>
        </w:rPr>
        <w:t>National Occupant Protection Use Surveys</w:t>
      </w:r>
    </w:p>
    <w:p w14:paraId="1F57ACF0" w14:textId="03B76B79" w:rsidR="00CB5D61" w:rsidRDefault="00CB5D61" w:rsidP="0093458D">
      <w:pPr>
        <w:spacing w:after="0" w:line="276" w:lineRule="auto"/>
      </w:pPr>
      <w:r>
        <w:t>NPRM</w:t>
      </w:r>
      <w:r>
        <w:tab/>
      </w:r>
      <w:r>
        <w:tab/>
        <w:t>Notice of Proposed Rulemaking</w:t>
      </w:r>
    </w:p>
    <w:p w14:paraId="3F623BBE" w14:textId="295AE6DE" w:rsidR="008745FC" w:rsidRDefault="000F5B51" w:rsidP="0093458D">
      <w:pPr>
        <w:spacing w:after="0" w:line="276" w:lineRule="auto"/>
      </w:pPr>
      <w:r>
        <w:t>NPTS</w:t>
      </w:r>
      <w:r>
        <w:tab/>
      </w:r>
      <w:r>
        <w:tab/>
      </w:r>
      <w:r w:rsidRPr="00664F73">
        <w:rPr>
          <w:rFonts w:eastAsia="Times New Roman" w:cs="Times New Roman"/>
          <w:szCs w:val="24"/>
        </w:rPr>
        <w:t>Nationwide</w:t>
      </w:r>
      <w:r>
        <w:rPr>
          <w:rFonts w:eastAsia="Times New Roman" w:cs="Times New Roman"/>
          <w:szCs w:val="24"/>
        </w:rPr>
        <w:t xml:space="preserve"> </w:t>
      </w:r>
      <w:r w:rsidRPr="00664F73">
        <w:rPr>
          <w:rFonts w:eastAsia="Times New Roman" w:cs="Times New Roman"/>
          <w:szCs w:val="24"/>
        </w:rPr>
        <w:t>Personal</w:t>
      </w:r>
      <w:r>
        <w:rPr>
          <w:rFonts w:eastAsia="Times New Roman" w:cs="Times New Roman"/>
          <w:szCs w:val="24"/>
        </w:rPr>
        <w:t xml:space="preserve"> </w:t>
      </w:r>
      <w:r w:rsidRPr="00664F73">
        <w:rPr>
          <w:rFonts w:eastAsia="Times New Roman" w:cs="Times New Roman"/>
          <w:szCs w:val="24"/>
        </w:rPr>
        <w:t>Transportation Survey</w:t>
      </w:r>
    </w:p>
    <w:p w14:paraId="369ABFB1" w14:textId="77777777" w:rsidR="00513623" w:rsidRDefault="000F5B51" w:rsidP="0093458D">
      <w:pPr>
        <w:spacing w:after="0" w:line="276" w:lineRule="auto"/>
      </w:pPr>
      <w:r>
        <w:t>NVPP</w:t>
      </w:r>
      <w:r>
        <w:tab/>
      </w:r>
      <w:r>
        <w:tab/>
      </w:r>
      <w:r w:rsidRPr="00664F73">
        <w:rPr>
          <w:rFonts w:eastAsia="Times New Roman" w:cs="Times New Roman"/>
          <w:szCs w:val="24"/>
        </w:rPr>
        <w:t>National Vehicle</w:t>
      </w:r>
      <w:r>
        <w:rPr>
          <w:rFonts w:eastAsia="Times New Roman" w:cs="Times New Roman"/>
          <w:szCs w:val="24"/>
        </w:rPr>
        <w:t xml:space="preserve"> </w:t>
      </w:r>
      <w:r w:rsidRPr="00664F73">
        <w:rPr>
          <w:rFonts w:eastAsia="Times New Roman" w:cs="Times New Roman"/>
          <w:szCs w:val="24"/>
        </w:rPr>
        <w:t>Population Profile</w:t>
      </w:r>
    </w:p>
    <w:p w14:paraId="69B8B0B5" w14:textId="77777777" w:rsidR="000A120B" w:rsidRDefault="000F5B51" w:rsidP="0093458D">
      <w:pPr>
        <w:spacing w:after="0" w:line="276" w:lineRule="auto"/>
        <w:rPr>
          <w:rFonts w:cs="Times New Roman"/>
          <w:szCs w:val="24"/>
        </w:rPr>
      </w:pPr>
      <w:r>
        <w:rPr>
          <w:rFonts w:cs="Times New Roman"/>
          <w:szCs w:val="24"/>
        </w:rPr>
        <w:t>OMB</w:t>
      </w:r>
      <w:r>
        <w:rPr>
          <w:rFonts w:cs="Times New Roman"/>
          <w:szCs w:val="24"/>
        </w:rPr>
        <w:tab/>
      </w:r>
      <w:r>
        <w:rPr>
          <w:rFonts w:cs="Times New Roman"/>
          <w:szCs w:val="24"/>
        </w:rPr>
        <w:tab/>
        <w:t>Office of Management and Budget</w:t>
      </w:r>
    </w:p>
    <w:p w14:paraId="6D5FED90" w14:textId="77777777" w:rsidR="00972AB7" w:rsidRDefault="000F5B51" w:rsidP="0093458D">
      <w:pPr>
        <w:spacing w:after="0" w:line="276" w:lineRule="auto"/>
        <w:rPr>
          <w:rFonts w:cs="Times New Roman"/>
          <w:szCs w:val="24"/>
        </w:rPr>
      </w:pPr>
      <w:r>
        <w:rPr>
          <w:rFonts w:cs="Times New Roman"/>
          <w:szCs w:val="24"/>
        </w:rPr>
        <w:t>PC</w:t>
      </w:r>
      <w:r>
        <w:rPr>
          <w:rFonts w:cs="Times New Roman"/>
          <w:szCs w:val="24"/>
        </w:rPr>
        <w:tab/>
      </w:r>
      <w:r>
        <w:rPr>
          <w:rFonts w:cs="Times New Roman"/>
          <w:szCs w:val="24"/>
        </w:rPr>
        <w:tab/>
        <w:t>Passenger Car</w:t>
      </w:r>
    </w:p>
    <w:p w14:paraId="1429970A" w14:textId="77777777" w:rsidR="00877AA3" w:rsidRDefault="000F5B51" w:rsidP="0093458D">
      <w:pPr>
        <w:spacing w:after="0" w:line="276" w:lineRule="auto"/>
        <w:rPr>
          <w:rFonts w:cs="Times New Roman"/>
          <w:szCs w:val="24"/>
        </w:rPr>
      </w:pPr>
      <w:r>
        <w:rPr>
          <w:rFonts w:cs="Times New Roman"/>
          <w:szCs w:val="24"/>
        </w:rPr>
        <w:t>PRIA</w:t>
      </w:r>
      <w:r>
        <w:rPr>
          <w:rFonts w:cs="Times New Roman"/>
          <w:szCs w:val="24"/>
        </w:rPr>
        <w:tab/>
      </w:r>
      <w:r>
        <w:rPr>
          <w:rFonts w:cs="Times New Roman"/>
          <w:szCs w:val="24"/>
        </w:rPr>
        <w:tab/>
        <w:t>Preliminary Regulatory Impact Analysis</w:t>
      </w:r>
    </w:p>
    <w:p w14:paraId="1A941980" w14:textId="77777777" w:rsidR="008A7ABD" w:rsidRDefault="000F5B51" w:rsidP="0093458D">
      <w:pPr>
        <w:spacing w:after="0" w:line="276" w:lineRule="auto"/>
        <w:rPr>
          <w:rFonts w:cs="Times New Roman"/>
          <w:szCs w:val="24"/>
        </w:rPr>
      </w:pPr>
      <w:r w:rsidRPr="004D2232">
        <w:t>PVH</w:t>
      </w:r>
      <w:r>
        <w:t xml:space="preserve"> </w:t>
      </w:r>
      <w:r>
        <w:tab/>
      </w:r>
      <w:r>
        <w:tab/>
        <w:t>P</w:t>
      </w:r>
      <w:r w:rsidRPr="004D2232">
        <w:t xml:space="preserve">ediatric </w:t>
      </w:r>
      <w:r>
        <w:t>V</w:t>
      </w:r>
      <w:r w:rsidRPr="004D2232">
        <w:t xml:space="preserve">ehicular </w:t>
      </w:r>
      <w:r>
        <w:t>H</w:t>
      </w:r>
      <w:r w:rsidRPr="004D2232">
        <w:t xml:space="preserve">yperthermia </w:t>
      </w:r>
    </w:p>
    <w:p w14:paraId="3EA30630" w14:textId="77777777" w:rsidR="002C1AFE" w:rsidRDefault="000F5B51" w:rsidP="0093458D">
      <w:pPr>
        <w:spacing w:after="0" w:line="276" w:lineRule="auto"/>
        <w:rPr>
          <w:rFonts w:cs="Times New Roman"/>
          <w:szCs w:val="24"/>
        </w:rPr>
      </w:pPr>
      <w:r>
        <w:rPr>
          <w:rFonts w:cs="Times New Roman"/>
          <w:szCs w:val="24"/>
        </w:rPr>
        <w:t>QALY</w:t>
      </w:r>
      <w:r>
        <w:rPr>
          <w:rFonts w:cs="Times New Roman"/>
          <w:szCs w:val="24"/>
        </w:rPr>
        <w:tab/>
      </w:r>
      <w:r>
        <w:rPr>
          <w:rFonts w:cs="Times New Roman"/>
          <w:szCs w:val="24"/>
        </w:rPr>
        <w:tab/>
        <w:t>Quality-Adjusted Life-Year</w:t>
      </w:r>
    </w:p>
    <w:p w14:paraId="0F312C3E" w14:textId="77777777" w:rsidR="002C1AFE" w:rsidRDefault="000F5B51" w:rsidP="0093458D">
      <w:pPr>
        <w:spacing w:after="0" w:line="276" w:lineRule="auto"/>
        <w:rPr>
          <w:rFonts w:cs="Times New Roman"/>
          <w:szCs w:val="24"/>
        </w:rPr>
      </w:pPr>
      <w:r>
        <w:rPr>
          <w:rFonts w:cs="Times New Roman"/>
          <w:szCs w:val="24"/>
        </w:rPr>
        <w:t>RFA</w:t>
      </w:r>
      <w:r>
        <w:rPr>
          <w:rFonts w:cs="Times New Roman"/>
          <w:szCs w:val="24"/>
        </w:rPr>
        <w:tab/>
      </w:r>
      <w:r>
        <w:rPr>
          <w:rFonts w:cs="Times New Roman"/>
          <w:szCs w:val="24"/>
        </w:rPr>
        <w:tab/>
        <w:t>Regulatory Flexibility Analysis</w:t>
      </w:r>
    </w:p>
    <w:p w14:paraId="6C7B00F7" w14:textId="77777777" w:rsidR="005302B6" w:rsidRDefault="000F5B51" w:rsidP="0093458D">
      <w:pPr>
        <w:spacing w:after="0" w:line="276" w:lineRule="auto"/>
        <w:rPr>
          <w:rFonts w:cs="Times New Roman"/>
          <w:szCs w:val="24"/>
        </w:rPr>
      </w:pPr>
      <w:r>
        <w:rPr>
          <w:rFonts w:cs="Times New Roman"/>
          <w:szCs w:val="24"/>
        </w:rPr>
        <w:t>RTECS</w:t>
      </w:r>
      <w:r>
        <w:rPr>
          <w:rFonts w:cs="Times New Roman"/>
          <w:szCs w:val="24"/>
        </w:rPr>
        <w:tab/>
      </w:r>
      <w:r w:rsidRPr="00664F73">
        <w:rPr>
          <w:rFonts w:eastAsia="Times New Roman" w:cs="Times New Roman"/>
          <w:szCs w:val="24"/>
        </w:rPr>
        <w:t>Residential Transportation Energy Consumption Survey</w:t>
      </w:r>
    </w:p>
    <w:p w14:paraId="45E0F7A5" w14:textId="77777777" w:rsidR="006526C9" w:rsidRDefault="000F5B51" w:rsidP="0093458D">
      <w:pPr>
        <w:spacing w:after="0" w:line="276" w:lineRule="auto"/>
        <w:rPr>
          <w:rFonts w:cs="Times New Roman"/>
          <w:szCs w:val="24"/>
        </w:rPr>
      </w:pPr>
      <w:r>
        <w:rPr>
          <w:rFonts w:cs="Times New Roman"/>
          <w:szCs w:val="24"/>
        </w:rPr>
        <w:t>SBWS</w:t>
      </w:r>
      <w:r>
        <w:rPr>
          <w:rFonts w:cs="Times New Roman"/>
          <w:szCs w:val="24"/>
        </w:rPr>
        <w:tab/>
      </w:r>
      <w:r>
        <w:rPr>
          <w:rFonts w:cs="Times New Roman"/>
          <w:szCs w:val="24"/>
        </w:rPr>
        <w:tab/>
        <w:t>Seat Belt Warning System</w:t>
      </w:r>
    </w:p>
    <w:p w14:paraId="62894EC7" w14:textId="77777777" w:rsidR="00606F60" w:rsidRDefault="000F5B51" w:rsidP="0093458D">
      <w:pPr>
        <w:spacing w:after="0" w:line="276" w:lineRule="auto"/>
        <w:rPr>
          <w:rFonts w:cs="Times New Roman"/>
          <w:szCs w:val="24"/>
        </w:rPr>
      </w:pPr>
      <w:r>
        <w:rPr>
          <w:rFonts w:cs="Times New Roman"/>
          <w:szCs w:val="24"/>
        </w:rPr>
        <w:t>VMT</w:t>
      </w:r>
      <w:r>
        <w:rPr>
          <w:rFonts w:cs="Times New Roman"/>
          <w:szCs w:val="24"/>
        </w:rPr>
        <w:tab/>
      </w:r>
      <w:r>
        <w:rPr>
          <w:rFonts w:cs="Times New Roman"/>
          <w:szCs w:val="24"/>
        </w:rPr>
        <w:tab/>
        <w:t>Vehicle Miles Traveled</w:t>
      </w:r>
    </w:p>
    <w:p w14:paraId="42050FE8" w14:textId="7FDBBB9D" w:rsidR="008745FC" w:rsidRPr="0093458D" w:rsidRDefault="000F5B51" w:rsidP="00CB5D61">
      <w:pPr>
        <w:spacing w:after="0" w:line="276" w:lineRule="auto"/>
        <w:rPr>
          <w:rFonts w:eastAsia="Times New Roman"/>
          <w:b/>
          <w:bCs/>
        </w:rPr>
      </w:pPr>
      <w:r>
        <w:rPr>
          <w:rFonts w:cs="Times New Roman"/>
          <w:szCs w:val="24"/>
        </w:rPr>
        <w:t>VSL</w:t>
      </w:r>
      <w:r>
        <w:rPr>
          <w:rFonts w:cs="Times New Roman"/>
          <w:szCs w:val="24"/>
        </w:rPr>
        <w:tab/>
      </w:r>
      <w:r>
        <w:rPr>
          <w:rFonts w:cs="Times New Roman"/>
          <w:szCs w:val="24"/>
        </w:rPr>
        <w:tab/>
        <w:t>Value of a Statistical Life</w:t>
      </w:r>
    </w:p>
    <w:p w14:paraId="57400581" w14:textId="77777777" w:rsidR="00464F90" w:rsidRPr="0093458D" w:rsidRDefault="000F5B51" w:rsidP="0093458D">
      <w:pPr>
        <w:pStyle w:val="Heading1"/>
        <w:numPr>
          <w:ilvl w:val="0"/>
          <w:numId w:val="0"/>
        </w:numPr>
        <w:spacing w:before="0" w:line="240" w:lineRule="auto"/>
        <w:ind w:left="432"/>
        <w:jc w:val="center"/>
        <w:rPr>
          <w:rFonts w:eastAsia="Times New Roman"/>
          <w:b/>
          <w:bCs/>
          <w:sz w:val="28"/>
          <w:szCs w:val="28"/>
        </w:rPr>
      </w:pPr>
      <w:bookmarkStart w:id="2" w:name="_Ref126041408"/>
      <w:bookmarkStart w:id="3" w:name="_Toc142902960"/>
      <w:r w:rsidRPr="0093458D">
        <w:rPr>
          <w:rFonts w:eastAsia="Times New Roman"/>
          <w:b/>
          <w:bCs/>
          <w:sz w:val="28"/>
          <w:szCs w:val="28"/>
        </w:rPr>
        <w:lastRenderedPageBreak/>
        <w:t>Executive Summary</w:t>
      </w:r>
      <w:bookmarkEnd w:id="2"/>
      <w:bookmarkEnd w:id="3"/>
    </w:p>
    <w:p w14:paraId="2FC749EA" w14:textId="77777777" w:rsidR="004224E5" w:rsidRDefault="000F5B51" w:rsidP="00464F90">
      <w:pPr>
        <w:spacing w:after="0"/>
        <w:rPr>
          <w:rFonts w:eastAsia="Calibri" w:cs="Times New Roman"/>
          <w:szCs w:val="24"/>
        </w:rPr>
      </w:pPr>
      <w:r w:rsidRPr="002310B0">
        <w:rPr>
          <w:rFonts w:eastAsia="Times New Roman" w:cs="Times New Roman"/>
          <w:szCs w:val="24"/>
        </w:rPr>
        <w:t>This Preliminary Regulatory Impact Analysis (PRIA) presents the benefits and costs associate</w:t>
      </w:r>
      <w:r>
        <w:rPr>
          <w:rFonts w:eastAsia="Times New Roman" w:cs="Times New Roman"/>
          <w:szCs w:val="24"/>
        </w:rPr>
        <w:t>d with the</w:t>
      </w:r>
      <w:r w:rsidRPr="00C83861">
        <w:rPr>
          <w:rFonts w:eastAsia="Calibri" w:cs="Times New Roman"/>
          <w:szCs w:val="24"/>
        </w:rPr>
        <w:t xml:space="preserve"> propos</w:t>
      </w:r>
      <w:r>
        <w:rPr>
          <w:rFonts w:eastAsia="Calibri" w:cs="Times New Roman"/>
          <w:szCs w:val="24"/>
        </w:rPr>
        <w:t xml:space="preserve">ed </w:t>
      </w:r>
      <w:r w:rsidR="001A2765">
        <w:rPr>
          <w:rFonts w:eastAsia="Calibri" w:cs="Times New Roman"/>
          <w:szCs w:val="24"/>
        </w:rPr>
        <w:t>amendments to</w:t>
      </w:r>
      <w:r>
        <w:rPr>
          <w:rFonts w:eastAsia="Calibri" w:cs="Times New Roman"/>
          <w:szCs w:val="24"/>
        </w:rPr>
        <w:t xml:space="preserve"> </w:t>
      </w:r>
      <w:r w:rsidRPr="00404ACC">
        <w:rPr>
          <w:rFonts w:eastAsia="Calibri" w:cs="Times New Roman"/>
          <w:szCs w:val="24"/>
        </w:rPr>
        <w:t>the existing seat belt warning provisions in</w:t>
      </w:r>
      <w:r>
        <w:rPr>
          <w:rFonts w:eastAsia="Calibri" w:cs="Times New Roman"/>
          <w:szCs w:val="24"/>
        </w:rPr>
        <w:t xml:space="preserve"> the Federal Motor Vehicle Safety Standard (</w:t>
      </w:r>
      <w:r w:rsidRPr="00404ACC">
        <w:rPr>
          <w:rFonts w:eastAsia="Calibri" w:cs="Times New Roman"/>
          <w:szCs w:val="24"/>
        </w:rPr>
        <w:t>FMVSS</w:t>
      </w:r>
      <w:r>
        <w:rPr>
          <w:rFonts w:eastAsia="Calibri" w:cs="Times New Roman"/>
          <w:szCs w:val="24"/>
        </w:rPr>
        <w:t>)</w:t>
      </w:r>
      <w:r w:rsidRPr="00404ACC">
        <w:rPr>
          <w:rFonts w:eastAsia="Calibri" w:cs="Times New Roman"/>
          <w:szCs w:val="24"/>
        </w:rPr>
        <w:t xml:space="preserve"> No. 208</w:t>
      </w:r>
      <w:r w:rsidRPr="00213C4E">
        <w:rPr>
          <w:rFonts w:eastAsia="Calibri" w:cs="Times New Roman"/>
          <w:szCs w:val="24"/>
        </w:rPr>
        <w:t>, “Occupant crash protection.”</w:t>
      </w:r>
      <w:r w:rsidRPr="00E93865">
        <w:rPr>
          <w:rFonts w:eastAsia="Calibri" w:cs="Times New Roman"/>
          <w:szCs w:val="24"/>
        </w:rPr>
        <w:t xml:space="preserve"> </w:t>
      </w:r>
    </w:p>
    <w:p w14:paraId="6D0D8B6D" w14:textId="50D0F1CD" w:rsidR="004224E5" w:rsidRDefault="004224E5" w:rsidP="00FE74E2">
      <w:pPr>
        <w:spacing w:after="0"/>
        <w:rPr>
          <w:rFonts w:eastAsia="Calibri" w:cs="Times New Roman"/>
          <w:szCs w:val="24"/>
        </w:rPr>
      </w:pPr>
      <w:r w:rsidRPr="004224E5">
        <w:rPr>
          <w:rFonts w:eastAsia="Calibri" w:cs="Times New Roman"/>
          <w:szCs w:val="24"/>
        </w:rPr>
        <w:t>The impacts of the proposed rule have been examined under Executive Order 12866, Executive Order 13563, Executive Order 14904, the Regulatory Flexibility Act (5 U.S.C. 601-612), the Congressional Review Act/Small Businesses Regulatory Enforcement Fairness Act (5 U.S.C. 801, Pub. L. 104-121), and the Unfunded Mandates Reform Act of 1995 (Pub. L. 104-4). Executive Orders 12866, 13563, and 14094 direct us to assess all benefits, costs, and transfers of available regulatory alternatives and, when regulation is necessary, to select regulatory approaches that maximize net benefits (including potential economic, environmental, public health and safety, and other advantages; distributive impacts; and equity). A regulatory action is significant under Section 3(f)(1) of Executive Order 12866 (as amended by E.O. 14094) if the action has “an annual effect on the economy of $200 million or more (adjusted every 3 years by the Administrator of the Office of Information and Regulatory Affairs (OIRA) for changes in gross domestic product); or adversely affect in a material way the economy, a sector of the economy, productivity, competition, jobs, the environment, public health or safety, or State, local, territorial, or tribal governments or communities.”  OIRA has determined that this proposed rule is a significant regulatory action under Executive Order 12866 Section 3(f)(1).</w:t>
      </w:r>
    </w:p>
    <w:p w14:paraId="4E2017FB" w14:textId="57951D71" w:rsidR="00464F90" w:rsidRDefault="000F5B51" w:rsidP="00464F90">
      <w:pPr>
        <w:spacing w:after="0"/>
        <w:rPr>
          <w:rFonts w:eastAsia="Calibri" w:cs="Times New Roman"/>
          <w:szCs w:val="24"/>
        </w:rPr>
      </w:pPr>
      <w:r w:rsidRPr="008264A7">
        <w:rPr>
          <w:rFonts w:eastAsia="Calibri" w:cs="Times New Roman"/>
          <w:color w:val="000000"/>
          <w:szCs w:val="24"/>
        </w:rPr>
        <w:t>The proposed r</w:t>
      </w:r>
      <w:r>
        <w:rPr>
          <w:rFonts w:eastAsia="Calibri" w:cs="Times New Roman"/>
          <w:color w:val="000000"/>
          <w:szCs w:val="24"/>
        </w:rPr>
        <w:t>equirements would apply to</w:t>
      </w:r>
      <w:r w:rsidR="005F214F">
        <w:rPr>
          <w:rFonts w:eastAsia="Calibri" w:cs="Times New Roman"/>
          <w:color w:val="000000"/>
          <w:szCs w:val="24"/>
        </w:rPr>
        <w:t xml:space="preserve"> newly manufactured</w:t>
      </w:r>
      <w:r>
        <w:rPr>
          <w:rFonts w:eastAsia="Calibri" w:cs="Times New Roman"/>
          <w:color w:val="000000"/>
          <w:szCs w:val="24"/>
        </w:rPr>
        <w:t xml:space="preserve"> </w:t>
      </w:r>
      <w:r w:rsidRPr="008264A7">
        <w:rPr>
          <w:rFonts w:eastAsia="Calibri" w:cs="Times New Roman"/>
          <w:color w:val="000000"/>
          <w:szCs w:val="24"/>
        </w:rPr>
        <w:t>passenger cars</w:t>
      </w:r>
      <w:r>
        <w:rPr>
          <w:rFonts w:eastAsia="Calibri" w:cs="Times New Roman"/>
          <w:color w:val="000000"/>
          <w:szCs w:val="24"/>
        </w:rPr>
        <w:t xml:space="preserve"> (PC)</w:t>
      </w:r>
      <w:r w:rsidRPr="008264A7">
        <w:rPr>
          <w:rFonts w:eastAsia="Calibri" w:cs="Times New Roman"/>
          <w:color w:val="000000"/>
          <w:szCs w:val="24"/>
        </w:rPr>
        <w:t xml:space="preserve">, multipurpose passenger vehicles, trucks, and buses with a </w:t>
      </w:r>
      <w:r>
        <w:rPr>
          <w:rFonts w:eastAsia="Calibri" w:cs="Times New Roman"/>
          <w:color w:val="000000"/>
          <w:szCs w:val="24"/>
        </w:rPr>
        <w:t>Gross Vehicle Weight Rating (</w:t>
      </w:r>
      <w:r w:rsidRPr="008264A7">
        <w:rPr>
          <w:rFonts w:eastAsia="Calibri" w:cs="Times New Roman"/>
          <w:color w:val="000000"/>
          <w:szCs w:val="24"/>
        </w:rPr>
        <w:t>GVWR</w:t>
      </w:r>
      <w:r>
        <w:rPr>
          <w:rFonts w:eastAsia="Calibri" w:cs="Times New Roman"/>
          <w:color w:val="000000"/>
          <w:szCs w:val="24"/>
        </w:rPr>
        <w:t>)</w:t>
      </w:r>
      <w:r w:rsidRPr="008264A7">
        <w:rPr>
          <w:rFonts w:eastAsia="Calibri" w:cs="Times New Roman"/>
          <w:color w:val="000000"/>
          <w:szCs w:val="24"/>
        </w:rPr>
        <w:t xml:space="preserve"> of</w:t>
      </w:r>
      <w:r>
        <w:rPr>
          <w:rFonts w:eastAsia="Calibri" w:cs="Times New Roman"/>
          <w:color w:val="000000"/>
          <w:szCs w:val="24"/>
        </w:rPr>
        <w:t xml:space="preserve"> 4,536 kg (10,000 lbs.) or less, with limited exemptions for certain specified types of vehicles</w:t>
      </w:r>
      <w:r w:rsidR="001F2F92">
        <w:rPr>
          <w:rFonts w:eastAsia="Calibri" w:cs="Times New Roman"/>
          <w:color w:val="000000"/>
          <w:szCs w:val="24"/>
        </w:rPr>
        <w:t xml:space="preserve">. </w:t>
      </w:r>
    </w:p>
    <w:p w14:paraId="4044C429" w14:textId="77777777" w:rsidR="00464F90" w:rsidRDefault="000F5B51" w:rsidP="0EFE6C3A">
      <w:pPr>
        <w:spacing w:after="0"/>
        <w:rPr>
          <w:rFonts w:eastAsia="Calibri" w:cs="Times New Roman"/>
        </w:rPr>
      </w:pPr>
      <w:r w:rsidRPr="0EFE6C3A">
        <w:rPr>
          <w:rFonts w:eastAsia="Calibri" w:cs="Times New Roman"/>
        </w:rPr>
        <w:lastRenderedPageBreak/>
        <w:t>The National Highway Traffic</w:t>
      </w:r>
      <w:r w:rsidR="0016710F" w:rsidRPr="0EFE6C3A">
        <w:rPr>
          <w:rFonts w:eastAsia="Calibri" w:cs="Times New Roman"/>
        </w:rPr>
        <w:t xml:space="preserve"> Safety</w:t>
      </w:r>
      <w:r w:rsidRPr="0EFE6C3A">
        <w:rPr>
          <w:rFonts w:eastAsia="Calibri" w:cs="Times New Roman"/>
        </w:rPr>
        <w:t xml:space="preserve"> Administration’s (NHTSA) proposal </w:t>
      </w:r>
      <w:r w:rsidR="00067B18" w:rsidRPr="0EFE6C3A">
        <w:rPr>
          <w:rFonts w:eastAsia="Calibri" w:cs="Times New Roman"/>
        </w:rPr>
        <w:t xml:space="preserve">includes </w:t>
      </w:r>
      <w:r w:rsidRPr="0EFE6C3A">
        <w:rPr>
          <w:rFonts w:eastAsia="Calibri" w:cs="Times New Roman"/>
        </w:rPr>
        <w:t>three elements</w:t>
      </w:r>
      <w:r w:rsidR="001F2F92">
        <w:rPr>
          <w:rFonts w:eastAsia="Calibri" w:cs="Times New Roman"/>
        </w:rPr>
        <w:t xml:space="preserve">. </w:t>
      </w:r>
      <w:r w:rsidRPr="0EFE6C3A">
        <w:rPr>
          <w:rFonts w:eastAsia="Calibri" w:cs="Times New Roman"/>
        </w:rPr>
        <w:t>First, NHTSA is proposing to</w:t>
      </w:r>
      <w:r w:rsidR="00C0638F" w:rsidRPr="0EFE6C3A">
        <w:rPr>
          <w:rFonts w:eastAsia="Calibri" w:cs="Times New Roman"/>
        </w:rPr>
        <w:t xml:space="preserve"> </w:t>
      </w:r>
      <w:r w:rsidRPr="0EFE6C3A">
        <w:rPr>
          <w:rFonts w:eastAsia="Calibri" w:cs="Times New Roman"/>
        </w:rPr>
        <w:t>require a visual seat belt warning</w:t>
      </w:r>
      <w:r w:rsidR="00850714" w:rsidRPr="0EFE6C3A">
        <w:rPr>
          <w:rFonts w:eastAsia="Calibri" w:cs="Times New Roman"/>
        </w:rPr>
        <w:t xml:space="preserve"> system (SBWS)</w:t>
      </w:r>
      <w:r w:rsidRPr="0EFE6C3A">
        <w:rPr>
          <w:rFonts w:eastAsia="Calibri" w:cs="Times New Roman"/>
        </w:rPr>
        <w:t xml:space="preserve"> to alert the</w:t>
      </w:r>
      <w:r w:rsidR="003B37F3" w:rsidRPr="0EFE6C3A">
        <w:rPr>
          <w:rFonts w:eastAsia="Calibri" w:cs="Times New Roman"/>
        </w:rPr>
        <w:t xml:space="preserve"> </w:t>
      </w:r>
      <w:r w:rsidR="00A86275" w:rsidRPr="0EFE6C3A">
        <w:rPr>
          <w:rFonts w:eastAsia="Calibri" w:cs="Times New Roman"/>
        </w:rPr>
        <w:t xml:space="preserve">driver </w:t>
      </w:r>
      <w:r w:rsidR="003B37F3" w:rsidRPr="0EFE6C3A">
        <w:rPr>
          <w:rFonts w:eastAsia="Calibri" w:cs="Times New Roman"/>
        </w:rPr>
        <w:t xml:space="preserve">in regard to the status of </w:t>
      </w:r>
      <w:r w:rsidR="00BB340F" w:rsidRPr="0EFE6C3A">
        <w:rPr>
          <w:rFonts w:eastAsia="Calibri" w:cs="Times New Roman"/>
        </w:rPr>
        <w:t>the seat belts for rear seat occupants</w:t>
      </w:r>
      <w:r w:rsidR="00A86275" w:rsidRPr="0EFE6C3A">
        <w:rPr>
          <w:rFonts w:eastAsia="Calibri" w:cs="Times New Roman"/>
        </w:rPr>
        <w:t xml:space="preserve"> upon vehicle start up</w:t>
      </w:r>
      <w:r w:rsidRPr="0EFE6C3A">
        <w:rPr>
          <w:rFonts w:eastAsia="Calibri" w:cs="Times New Roman"/>
        </w:rPr>
        <w:t xml:space="preserve">. Second, NHTSA is proposing to require a </w:t>
      </w:r>
      <w:r w:rsidR="009D78AA" w:rsidRPr="0EFE6C3A">
        <w:rPr>
          <w:rFonts w:eastAsia="Calibri" w:cs="Times New Roman"/>
        </w:rPr>
        <w:t>SBWS</w:t>
      </w:r>
      <w:r w:rsidRPr="0EFE6C3A">
        <w:rPr>
          <w:rFonts w:eastAsia="Calibri" w:cs="Times New Roman"/>
        </w:rPr>
        <w:t xml:space="preserve"> with an indefinite warning period for front </w:t>
      </w:r>
      <w:r w:rsidR="00590407" w:rsidRPr="0EFE6C3A">
        <w:rPr>
          <w:rFonts w:eastAsia="Calibri" w:cs="Times New Roman"/>
        </w:rPr>
        <w:t xml:space="preserve">outboard </w:t>
      </w:r>
      <w:r w:rsidR="006D399A" w:rsidRPr="0EFE6C3A">
        <w:rPr>
          <w:rFonts w:eastAsia="Calibri" w:cs="Times New Roman"/>
        </w:rPr>
        <w:t xml:space="preserve">seat </w:t>
      </w:r>
      <w:r w:rsidRPr="0EFE6C3A">
        <w:rPr>
          <w:rFonts w:eastAsia="Calibri" w:cs="Times New Roman"/>
        </w:rPr>
        <w:t>occupants</w:t>
      </w:r>
      <w:r w:rsidR="001F2F92">
        <w:rPr>
          <w:rFonts w:eastAsia="Calibri" w:cs="Times New Roman"/>
        </w:rPr>
        <w:t xml:space="preserve">. </w:t>
      </w:r>
      <w:r w:rsidRPr="0EFE6C3A">
        <w:rPr>
          <w:rFonts w:eastAsia="Calibri" w:cs="Times New Roman"/>
        </w:rPr>
        <w:t xml:space="preserve">Third, NHTSA is also proposing to require an audiovisual warning whenever a fastened front </w:t>
      </w:r>
      <w:r w:rsidR="02AFFE2E" w:rsidRPr="0EFE6C3A">
        <w:rPr>
          <w:rFonts w:eastAsia="Calibri" w:cs="Times New Roman"/>
        </w:rPr>
        <w:t xml:space="preserve">outboard </w:t>
      </w:r>
      <w:r w:rsidRPr="0EFE6C3A">
        <w:rPr>
          <w:rFonts w:eastAsia="Calibri" w:cs="Times New Roman"/>
        </w:rPr>
        <w:t xml:space="preserve">or rear seat </w:t>
      </w:r>
      <w:r w:rsidR="006D399A" w:rsidRPr="0EFE6C3A">
        <w:rPr>
          <w:rFonts w:eastAsia="Calibri" w:cs="Times New Roman"/>
        </w:rPr>
        <w:t>occupant</w:t>
      </w:r>
      <w:r w:rsidR="0038297D" w:rsidRPr="0EFE6C3A">
        <w:rPr>
          <w:rFonts w:eastAsia="Calibri" w:cs="Times New Roman"/>
        </w:rPr>
        <w:t>’</w:t>
      </w:r>
      <w:r w:rsidR="006D399A" w:rsidRPr="0EFE6C3A">
        <w:rPr>
          <w:rFonts w:eastAsia="Calibri" w:cs="Times New Roman"/>
        </w:rPr>
        <w:t xml:space="preserve">s seat </w:t>
      </w:r>
      <w:r w:rsidRPr="0EFE6C3A">
        <w:rPr>
          <w:rFonts w:eastAsia="Calibri" w:cs="Times New Roman"/>
        </w:rPr>
        <w:t>belt becomes unfastened while the vehicle's ignition switch is in the “on” or “start” position and the vehicle’s transmission selector is in a forward or reverse gear</w:t>
      </w:r>
      <w:r w:rsidR="001F2F92">
        <w:rPr>
          <w:rFonts w:eastAsia="Calibri" w:cs="Times New Roman"/>
        </w:rPr>
        <w:t xml:space="preserve">. </w:t>
      </w:r>
    </w:p>
    <w:p w14:paraId="292639C7" w14:textId="77777777" w:rsidR="00F45378" w:rsidRDefault="000F5B51" w:rsidP="00F45378">
      <w:pPr>
        <w:spacing w:after="0"/>
        <w:rPr>
          <w:rFonts w:cs="Times New Roman"/>
          <w:szCs w:val="24"/>
        </w:rPr>
      </w:pPr>
      <w:r>
        <w:rPr>
          <w:rFonts w:eastAsia="Calibri" w:cs="Times New Roman"/>
          <w:szCs w:val="24"/>
        </w:rPr>
        <w:t xml:space="preserve">As seat belts are critical to vehicle occupant safety, the requirements specified in the proposed rule aim </w:t>
      </w:r>
      <w:r w:rsidR="002A44DA">
        <w:rPr>
          <w:rFonts w:eastAsia="Calibri" w:cs="Times New Roman"/>
          <w:szCs w:val="24"/>
        </w:rPr>
        <w:t>to</w:t>
      </w:r>
      <w:r w:rsidR="001C0F40">
        <w:rPr>
          <w:rFonts w:eastAsia="Calibri" w:cs="Times New Roman"/>
          <w:szCs w:val="24"/>
        </w:rPr>
        <w:t xml:space="preserve"> </w:t>
      </w:r>
      <w:r w:rsidR="002A44DA">
        <w:rPr>
          <w:rFonts w:eastAsia="Calibri" w:cs="Times New Roman"/>
          <w:szCs w:val="24"/>
        </w:rPr>
        <w:t>increase</w:t>
      </w:r>
      <w:r w:rsidR="001C0F40">
        <w:rPr>
          <w:rFonts w:eastAsia="Calibri" w:cs="Times New Roman"/>
          <w:szCs w:val="24"/>
        </w:rPr>
        <w:t xml:space="preserve"> seat belt use </w:t>
      </w:r>
      <w:r w:rsidR="002A44DA">
        <w:rPr>
          <w:rFonts w:eastAsia="Calibri" w:cs="Times New Roman"/>
          <w:szCs w:val="24"/>
        </w:rPr>
        <w:t>for both front and rear seat occupants</w:t>
      </w:r>
      <w:r>
        <w:rPr>
          <w:rFonts w:eastAsia="Calibri" w:cs="Times New Roman"/>
          <w:szCs w:val="24"/>
        </w:rPr>
        <w:t>.</w:t>
      </w:r>
      <w:r w:rsidR="0038297D">
        <w:rPr>
          <w:rFonts w:eastAsia="Calibri" w:cs="Times New Roman"/>
          <w:szCs w:val="24"/>
        </w:rPr>
        <w:t xml:space="preserve"> It is important to note that</w:t>
      </w:r>
      <w:r>
        <w:rPr>
          <w:rFonts w:eastAsia="Calibri" w:cs="Times New Roman"/>
          <w:szCs w:val="24"/>
        </w:rPr>
        <w:t xml:space="preserve"> the incremental benefits </w:t>
      </w:r>
      <w:r w:rsidR="006623C3">
        <w:rPr>
          <w:rFonts w:eastAsia="Calibri" w:cs="Times New Roman"/>
          <w:szCs w:val="24"/>
        </w:rPr>
        <w:t xml:space="preserve">resulting from </w:t>
      </w:r>
      <w:r>
        <w:rPr>
          <w:rFonts w:eastAsia="Calibri" w:cs="Times New Roman"/>
          <w:szCs w:val="24"/>
        </w:rPr>
        <w:t xml:space="preserve">the proposed rule stem not from the </w:t>
      </w:r>
      <w:r w:rsidR="00C20D41">
        <w:rPr>
          <w:rFonts w:eastAsia="Calibri" w:cs="Times New Roman"/>
          <w:szCs w:val="24"/>
        </w:rPr>
        <w:t>SBWS’s</w:t>
      </w:r>
      <w:r>
        <w:rPr>
          <w:rFonts w:eastAsia="Calibri" w:cs="Times New Roman"/>
          <w:szCs w:val="24"/>
        </w:rPr>
        <w:t xml:space="preserve"> function itself, </w:t>
      </w:r>
      <w:r w:rsidR="004D24B1">
        <w:rPr>
          <w:rFonts w:eastAsia="Calibri" w:cs="Times New Roman"/>
          <w:szCs w:val="24"/>
        </w:rPr>
        <w:t>but instead result from the increase in seat belt use brought about by the SBWS</w:t>
      </w:r>
      <w:r>
        <w:t xml:space="preserve">. </w:t>
      </w:r>
      <w:r>
        <w:rPr>
          <w:rFonts w:eastAsia="Calibri" w:cs="Times New Roman"/>
          <w:szCs w:val="24"/>
        </w:rPr>
        <w:t>Therefore, t</w:t>
      </w:r>
      <w:r>
        <w:t>he incremental benefits associated with the proposed rule are comprised of the fatalities and</w:t>
      </w:r>
      <w:r w:rsidR="00890C2D">
        <w:t xml:space="preserve"> non-fatal</w:t>
      </w:r>
      <w:r>
        <w:t xml:space="preserve"> injuries prevented as a result of the increase in seat belt use</w:t>
      </w:r>
      <w:r w:rsidR="00BB0E55">
        <w:t xml:space="preserve"> from the SBWS</w:t>
      </w:r>
      <w:r>
        <w:t xml:space="preserve"> relative to seat belt use under the baseline.</w:t>
      </w:r>
    </w:p>
    <w:p w14:paraId="3A835BD0" w14:textId="519FEDC3" w:rsidR="00464F90" w:rsidRDefault="000F5B51" w:rsidP="00464F90">
      <w:pPr>
        <w:spacing w:after="0"/>
        <w:rPr>
          <w:rFonts w:cs="Times New Roman"/>
          <w:szCs w:val="24"/>
        </w:rPr>
      </w:pPr>
      <w:r>
        <w:t>To estimate the incremental benefits and costs associated with the proposed rule, this analysis f</w:t>
      </w:r>
      <w:r w:rsidR="00301483">
        <w:t>i</w:t>
      </w:r>
      <w:r>
        <w:t>r</w:t>
      </w:r>
      <w:r w:rsidR="00301483">
        <w:t>st</w:t>
      </w:r>
      <w:r>
        <w:t xml:space="preserve"> establishes a baseline for seat belt us</w:t>
      </w:r>
      <w:r w:rsidR="007433B4">
        <w:t>e</w:t>
      </w:r>
      <w:r w:rsidR="00250D7A">
        <w:t xml:space="preserve"> based on the observed seat belt use rates for each seating position</w:t>
      </w:r>
      <w:r>
        <w:t>.</w:t>
      </w:r>
      <w:r w:rsidR="00F663F3">
        <w:t xml:space="preserve"> Furthermore, </w:t>
      </w:r>
      <w:r w:rsidR="00F663F3">
        <w:rPr>
          <w:rFonts w:cs="Times New Roman"/>
          <w:szCs w:val="24"/>
        </w:rPr>
        <w:t xml:space="preserve">as seat belt use in </w:t>
      </w:r>
      <w:r w:rsidR="00915504" w:rsidRPr="00915504">
        <w:rPr>
          <w:rFonts w:cs="Times New Roman"/>
          <w:szCs w:val="24"/>
        </w:rPr>
        <w:t xml:space="preserve">potentially </w:t>
      </w:r>
      <w:r w:rsidR="00F663F3">
        <w:rPr>
          <w:rFonts w:cs="Times New Roman"/>
          <w:szCs w:val="24"/>
        </w:rPr>
        <w:t xml:space="preserve">fatal crashes is lower than overall use, this </w:t>
      </w:r>
      <w:r w:rsidR="00AF3755">
        <w:rPr>
          <w:rFonts w:cs="Times New Roman"/>
          <w:szCs w:val="24"/>
        </w:rPr>
        <w:t>analysis also establishes</w:t>
      </w:r>
      <w:r w:rsidR="00842E3E">
        <w:rPr>
          <w:rFonts w:cs="Times New Roman"/>
          <w:szCs w:val="24"/>
        </w:rPr>
        <w:t xml:space="preserve"> a baseline for</w:t>
      </w:r>
      <w:r w:rsidR="00AF3755">
        <w:rPr>
          <w:rFonts w:cs="Times New Roman"/>
          <w:szCs w:val="24"/>
        </w:rPr>
        <w:t xml:space="preserve"> seat belt use in</w:t>
      </w:r>
      <w:r w:rsidR="00915504" w:rsidRPr="00915504">
        <w:t xml:space="preserve"> </w:t>
      </w:r>
      <w:r w:rsidR="00915504" w:rsidRPr="00915504">
        <w:rPr>
          <w:rFonts w:cs="Times New Roman"/>
          <w:szCs w:val="24"/>
        </w:rPr>
        <w:t>potentially</w:t>
      </w:r>
      <w:r w:rsidR="00AF3755">
        <w:rPr>
          <w:rFonts w:cs="Times New Roman"/>
          <w:szCs w:val="24"/>
        </w:rPr>
        <w:t xml:space="preserve"> fatal crashe</w:t>
      </w:r>
      <w:r w:rsidR="00DE0390">
        <w:rPr>
          <w:rFonts w:cs="Times New Roman"/>
          <w:szCs w:val="24"/>
        </w:rPr>
        <w:t>s based on the observed seat belt use rate</w:t>
      </w:r>
      <w:r w:rsidR="008A02A6">
        <w:rPr>
          <w:rFonts w:cs="Times New Roman"/>
          <w:szCs w:val="24"/>
        </w:rPr>
        <w:t>s</w:t>
      </w:r>
      <w:r w:rsidR="00DE0390">
        <w:rPr>
          <w:rFonts w:cs="Times New Roman"/>
          <w:szCs w:val="24"/>
        </w:rPr>
        <w:t>.</w:t>
      </w:r>
      <w:r w:rsidR="00E73023">
        <w:t xml:space="preserve"> </w:t>
      </w:r>
      <w:r w:rsidR="00AA2516">
        <w:t>I</w:t>
      </w:r>
      <w:r w:rsidR="00E73023">
        <w:t>n establishing the base</w:t>
      </w:r>
      <w:r w:rsidR="00C51CF7">
        <w:t>line,</w:t>
      </w:r>
      <w:r>
        <w:t xml:space="preserve"> </w:t>
      </w:r>
      <w:r w:rsidR="00250D7A">
        <w:t>this analysis</w:t>
      </w:r>
      <w:r>
        <w:t xml:space="preserve"> </w:t>
      </w:r>
      <w:r w:rsidR="00F5652D">
        <w:t xml:space="preserve">also </w:t>
      </w:r>
      <w:r w:rsidR="00384F83">
        <w:t xml:space="preserve">accounts </w:t>
      </w:r>
      <w:r>
        <w:t xml:space="preserve">for </w:t>
      </w:r>
      <w:r w:rsidR="0025544D">
        <w:t>the</w:t>
      </w:r>
      <w:r w:rsidR="00445F57">
        <w:t xml:space="preserve"> percentage of new </w:t>
      </w:r>
      <w:r w:rsidR="00BC7B08">
        <w:t xml:space="preserve">light </w:t>
      </w:r>
      <w:r w:rsidR="00445F57">
        <w:t xml:space="preserve">vehicles in the fleet that include SBWS by seating position. </w:t>
      </w:r>
      <w:r w:rsidR="00AD01A2">
        <w:t>W</w:t>
      </w:r>
      <w:r w:rsidR="00BA73A6">
        <w:t>hen establishing the baseline</w:t>
      </w:r>
      <w:r w:rsidR="00C51CF7">
        <w:t xml:space="preserve"> for the SBWS for front seat occupants,</w:t>
      </w:r>
      <w:r w:rsidR="00445F57">
        <w:t xml:space="preserve"> this </w:t>
      </w:r>
      <w:r w:rsidR="00250D7A">
        <w:t>analysis</w:t>
      </w:r>
      <w:r w:rsidR="00445F57">
        <w:t xml:space="preserve"> accounts</w:t>
      </w:r>
      <w:r w:rsidR="00BA73A6">
        <w:t xml:space="preserve"> for the</w:t>
      </w:r>
      <w:r w:rsidR="00903352">
        <w:t xml:space="preserve"> </w:t>
      </w:r>
      <w:r w:rsidR="00BA73A6">
        <w:lastRenderedPageBreak/>
        <w:t>distribution of SBWS already installed in light vehicles</w:t>
      </w:r>
      <w:r w:rsidR="00445F57">
        <w:t xml:space="preserve"> </w:t>
      </w:r>
      <w:r w:rsidR="00BA73A6">
        <w:t>including those that</w:t>
      </w:r>
      <w:r w:rsidR="0025544D">
        <w:t xml:space="preserve"> provide</w:t>
      </w:r>
      <w:r w:rsidR="00F75BC2">
        <w:t xml:space="preserve"> a</w:t>
      </w:r>
      <w:r>
        <w:t xml:space="preserve"> </w:t>
      </w:r>
      <w:r w:rsidR="0025544D">
        <w:rPr>
          <w:rFonts w:cs="Times New Roman"/>
          <w:szCs w:val="24"/>
        </w:rPr>
        <w:t>s</w:t>
      </w:r>
      <w:r>
        <w:rPr>
          <w:rFonts w:cs="Times New Roman"/>
          <w:szCs w:val="24"/>
        </w:rPr>
        <w:t>even</w:t>
      </w:r>
      <w:r w:rsidRPr="004A0E46">
        <w:rPr>
          <w:rFonts w:cs="Times New Roman"/>
          <w:szCs w:val="24"/>
        </w:rPr>
        <w:t>-second</w:t>
      </w:r>
      <w:r w:rsidR="0025544D">
        <w:rPr>
          <w:rFonts w:cs="Times New Roman"/>
          <w:szCs w:val="24"/>
        </w:rPr>
        <w:t xml:space="preserve">, 90-second, </w:t>
      </w:r>
      <w:r w:rsidR="00BC7B08">
        <w:rPr>
          <w:rFonts w:cs="Times New Roman"/>
          <w:szCs w:val="24"/>
        </w:rPr>
        <w:t>and</w:t>
      </w:r>
      <w:r w:rsidR="0025544D">
        <w:rPr>
          <w:rFonts w:cs="Times New Roman"/>
          <w:szCs w:val="24"/>
        </w:rPr>
        <w:t xml:space="preserve"> indefinite </w:t>
      </w:r>
      <w:r w:rsidRPr="004A0E46">
        <w:rPr>
          <w:rFonts w:cs="Times New Roman"/>
          <w:szCs w:val="24"/>
        </w:rPr>
        <w:t xml:space="preserve">audible </w:t>
      </w:r>
      <w:r w:rsidR="005813B0">
        <w:rPr>
          <w:rFonts w:cs="Times New Roman"/>
          <w:szCs w:val="24"/>
        </w:rPr>
        <w:t>warning</w:t>
      </w:r>
      <w:r>
        <w:rPr>
          <w:rFonts w:cs="Times New Roman"/>
          <w:szCs w:val="24"/>
        </w:rPr>
        <w:t xml:space="preserve">. </w:t>
      </w:r>
    </w:p>
    <w:p w14:paraId="5C661034" w14:textId="10DFBFE7" w:rsidR="008C0E50" w:rsidRDefault="000F5B51" w:rsidP="00464F90">
      <w:pPr>
        <w:spacing w:after="0"/>
      </w:pPr>
      <w:r>
        <w:rPr>
          <w:rFonts w:cs="Times New Roman"/>
          <w:szCs w:val="24"/>
        </w:rPr>
        <w:fldChar w:fldCharType="begin"/>
      </w:r>
      <w:r>
        <w:rPr>
          <w:rFonts w:cs="Times New Roman"/>
          <w:szCs w:val="24"/>
        </w:rPr>
        <w:instrText xml:space="preserve"> REF _Ref125459612 \h </w:instrText>
      </w:r>
      <w:r>
        <w:rPr>
          <w:rFonts w:cs="Times New Roman"/>
          <w:szCs w:val="24"/>
        </w:rPr>
      </w:r>
      <w:r>
        <w:rPr>
          <w:rFonts w:cs="Times New Roman"/>
          <w:szCs w:val="24"/>
        </w:rPr>
        <w:fldChar w:fldCharType="separate"/>
      </w:r>
      <w:r w:rsidR="00A65CB3">
        <w:t xml:space="preserve">Table </w:t>
      </w:r>
      <w:r w:rsidR="00A65CB3">
        <w:rPr>
          <w:noProof/>
        </w:rPr>
        <w:t>1</w:t>
      </w:r>
      <w:r>
        <w:rPr>
          <w:rFonts w:cs="Times New Roman"/>
          <w:szCs w:val="24"/>
        </w:rPr>
        <w:fldChar w:fldCharType="end"/>
      </w:r>
      <w:r>
        <w:rPr>
          <w:rFonts w:cs="Times New Roman"/>
          <w:szCs w:val="24"/>
        </w:rPr>
        <w:t xml:space="preserve"> presents a summary of the annual</w:t>
      </w:r>
      <w:r w:rsidR="00880AAE">
        <w:rPr>
          <w:rFonts w:cs="Times New Roman"/>
          <w:szCs w:val="24"/>
        </w:rPr>
        <w:t xml:space="preserve"> incremental </w:t>
      </w:r>
      <w:r>
        <w:rPr>
          <w:rFonts w:cs="Times New Roman"/>
          <w:szCs w:val="24"/>
        </w:rPr>
        <w:t xml:space="preserve">benefits associated with the proposed rule by </w:t>
      </w:r>
      <w:r>
        <w:t xml:space="preserve">seating position. </w:t>
      </w:r>
      <w:r w:rsidR="00BC7B08">
        <w:t xml:space="preserve">Due to uncertainty, this analysis estimated a </w:t>
      </w:r>
      <w:r w:rsidR="006A0C8D">
        <w:t xml:space="preserve">lower (Lo) and </w:t>
      </w:r>
      <w:r w:rsidR="00BC7B08">
        <w:t>higher (Hi) increase in seat belt use for rear seat occupants</w:t>
      </w:r>
      <w:r w:rsidR="006A0C8D">
        <w:t xml:space="preserve"> as a result of the SBWS</w:t>
      </w:r>
      <w:r w:rsidR="00BC7B08">
        <w:t xml:space="preserve">. </w:t>
      </w:r>
      <w:r w:rsidR="00BA4B1C">
        <w:t xml:space="preserve">Therefore, when presenting benefits measures for rear-seat occupants or the proposed rule as a whole, this analysis presents </w:t>
      </w:r>
      <w:r w:rsidR="004933FB">
        <w:t>benefits</w:t>
      </w:r>
      <w:r w:rsidR="00D91A49">
        <w:t xml:space="preserve"> resulting from</w:t>
      </w:r>
      <w:r w:rsidR="004933FB">
        <w:t xml:space="preserve"> both the Lo and Hi </w:t>
      </w:r>
      <w:r w:rsidR="002827F1">
        <w:t>increase in seat belt use</w:t>
      </w:r>
      <w:r w:rsidR="004933FB">
        <w:t xml:space="preserve">. </w:t>
      </w:r>
    </w:p>
    <w:p w14:paraId="0D7BD99A" w14:textId="10D12239" w:rsidR="00B87B60" w:rsidRDefault="000F5B51" w:rsidP="00464F90">
      <w:pPr>
        <w:spacing w:after="0"/>
        <w:rPr>
          <w:rFonts w:cs="Times New Roman"/>
          <w:szCs w:val="24"/>
        </w:rPr>
      </w:pPr>
      <w:r w:rsidRPr="005F0E59">
        <w:rPr>
          <w:rFonts w:eastAsia="Times New Roman" w:cs="Times New Roman"/>
        </w:rPr>
        <w:t>Overall, the proposed rule would prevent approximately 100</w:t>
      </w:r>
      <w:r w:rsidR="004933FB" w:rsidRPr="005F0E59">
        <w:rPr>
          <w:rFonts w:eastAsia="Times New Roman" w:cs="Times New Roman"/>
        </w:rPr>
        <w:t xml:space="preserve"> fatalities in the Lo case</w:t>
      </w:r>
      <w:r w:rsidRPr="005F0E59">
        <w:rPr>
          <w:rFonts w:eastAsia="Times New Roman" w:cs="Times New Roman"/>
        </w:rPr>
        <w:t xml:space="preserve"> </w:t>
      </w:r>
      <w:r w:rsidR="009A3EC7" w:rsidRPr="005F0E59">
        <w:rPr>
          <w:rFonts w:eastAsia="Times New Roman" w:cs="Times New Roman"/>
        </w:rPr>
        <w:t>and</w:t>
      </w:r>
      <w:r w:rsidRPr="005F0E59">
        <w:rPr>
          <w:rFonts w:eastAsia="Times New Roman" w:cs="Times New Roman"/>
        </w:rPr>
        <w:t xml:space="preserve"> 111 fatalities</w:t>
      </w:r>
      <w:r w:rsidR="004933FB" w:rsidRPr="005F0E59">
        <w:rPr>
          <w:rFonts w:eastAsia="Times New Roman" w:cs="Times New Roman"/>
        </w:rPr>
        <w:t xml:space="preserve"> in the Hi </w:t>
      </w:r>
      <w:r w:rsidR="000E59DC" w:rsidRPr="005F0E59">
        <w:rPr>
          <w:rFonts w:eastAsia="Times New Roman" w:cs="Times New Roman"/>
        </w:rPr>
        <w:t>c</w:t>
      </w:r>
      <w:r w:rsidR="004933FB" w:rsidRPr="005F0E59">
        <w:rPr>
          <w:rFonts w:eastAsia="Times New Roman" w:cs="Times New Roman"/>
        </w:rPr>
        <w:t>ase</w:t>
      </w:r>
      <w:r w:rsidR="005B45B2" w:rsidRPr="005F0E59">
        <w:rPr>
          <w:rFonts w:eastAsia="Times New Roman" w:cs="Times New Roman"/>
        </w:rPr>
        <w:t>,</w:t>
      </w:r>
      <w:r w:rsidR="00103D16" w:rsidRPr="005F0E59">
        <w:rPr>
          <w:rFonts w:eastAsia="Times New Roman" w:cs="Times New Roman"/>
        </w:rPr>
        <w:t xml:space="preserve"> annually</w:t>
      </w:r>
      <w:r w:rsidR="004933FB" w:rsidRPr="005F0E59">
        <w:rPr>
          <w:rFonts w:eastAsia="Times New Roman" w:cs="Times New Roman"/>
        </w:rPr>
        <w:t xml:space="preserve">. </w:t>
      </w:r>
      <w:r w:rsidR="008E1BAE" w:rsidRPr="005F0E59">
        <w:rPr>
          <w:rFonts w:eastAsia="Times New Roman" w:cs="Times New Roman"/>
        </w:rPr>
        <w:t xml:space="preserve">Additionally, the proposed rule would prevent a total of </w:t>
      </w:r>
      <w:r w:rsidRPr="005F0E59">
        <w:rPr>
          <w:rFonts w:eastAsia="Times New Roman" w:cs="Times New Roman"/>
        </w:rPr>
        <w:t>2</w:t>
      </w:r>
      <w:r w:rsidR="00297032" w:rsidRPr="005F0E59">
        <w:rPr>
          <w:rFonts w:eastAsia="Times New Roman" w:cs="Times New Roman"/>
        </w:rPr>
        <w:t>86</w:t>
      </w:r>
      <w:r w:rsidR="008E1BAE" w:rsidRPr="005F0E59">
        <w:rPr>
          <w:rFonts w:eastAsia="Times New Roman" w:cs="Times New Roman"/>
        </w:rPr>
        <w:t xml:space="preserve"> non-fatal injuries in the Lo case and </w:t>
      </w:r>
      <w:r w:rsidRPr="005F0E59">
        <w:rPr>
          <w:rFonts w:eastAsia="Times New Roman" w:cs="Times New Roman"/>
        </w:rPr>
        <w:t>3</w:t>
      </w:r>
      <w:r w:rsidR="00297032" w:rsidRPr="005F0E59">
        <w:rPr>
          <w:rFonts w:eastAsia="Times New Roman" w:cs="Times New Roman"/>
        </w:rPr>
        <w:t>23</w:t>
      </w:r>
      <w:r w:rsidRPr="005F0E59">
        <w:rPr>
          <w:rFonts w:eastAsia="Times New Roman" w:cs="Times New Roman"/>
        </w:rPr>
        <w:t xml:space="preserve"> non-fatal injuries</w:t>
      </w:r>
      <w:r w:rsidR="008E1BAE" w:rsidRPr="005F0E59">
        <w:rPr>
          <w:rFonts w:eastAsia="Times New Roman" w:cs="Times New Roman"/>
        </w:rPr>
        <w:t xml:space="preserve"> in the Hi case</w:t>
      </w:r>
      <w:r w:rsidR="002D63E0" w:rsidRPr="005F0E59">
        <w:rPr>
          <w:rFonts w:eastAsia="Times New Roman" w:cs="Times New Roman"/>
        </w:rPr>
        <w:t>,</w:t>
      </w:r>
      <w:r w:rsidRPr="005F0E59">
        <w:rPr>
          <w:rFonts w:eastAsia="Times New Roman" w:cs="Times New Roman"/>
        </w:rPr>
        <w:t xml:space="preserve"> annually</w:t>
      </w:r>
      <w:r w:rsidR="001F2F92" w:rsidRPr="005F0E59">
        <w:rPr>
          <w:rFonts w:eastAsia="Times New Roman" w:cs="Times New Roman"/>
        </w:rPr>
        <w:t xml:space="preserve">. </w:t>
      </w:r>
      <w:r w:rsidRPr="005F0E59">
        <w:rPr>
          <w:rFonts w:eastAsia="Times New Roman" w:cs="Times New Roman"/>
        </w:rPr>
        <w:t xml:space="preserve">When taking into account the Lo and Hi cases, the requirements specified in the proposed rule for SBWS for rear seat occupants would prevent 22 </w:t>
      </w:r>
      <w:r w:rsidR="00103D16" w:rsidRPr="005F0E59">
        <w:rPr>
          <w:rFonts w:eastAsia="Times New Roman" w:cs="Times New Roman"/>
        </w:rPr>
        <w:t>and</w:t>
      </w:r>
      <w:r w:rsidRPr="005F0E59">
        <w:rPr>
          <w:rFonts w:eastAsia="Times New Roman" w:cs="Times New Roman"/>
        </w:rPr>
        <w:t xml:space="preserve"> 34 fatalities and 75 </w:t>
      </w:r>
      <w:r w:rsidR="00103D16" w:rsidRPr="005F0E59">
        <w:rPr>
          <w:rFonts w:eastAsia="Times New Roman" w:cs="Times New Roman"/>
        </w:rPr>
        <w:t>and</w:t>
      </w:r>
      <w:r w:rsidRPr="005F0E59">
        <w:rPr>
          <w:rFonts w:eastAsia="Times New Roman" w:cs="Times New Roman"/>
        </w:rPr>
        <w:t xml:space="preserve"> 112 non-fatal injuries</w:t>
      </w:r>
      <w:r w:rsidR="00103D16" w:rsidRPr="005F0E59">
        <w:rPr>
          <w:rFonts w:eastAsia="Times New Roman" w:cs="Times New Roman"/>
        </w:rPr>
        <w:t>,</w:t>
      </w:r>
      <w:r w:rsidRPr="005F0E59">
        <w:rPr>
          <w:rFonts w:eastAsia="Times New Roman" w:cs="Times New Roman"/>
        </w:rPr>
        <w:t xml:space="preserve"> </w:t>
      </w:r>
      <w:r w:rsidR="00103D16" w:rsidRPr="005F0E59">
        <w:rPr>
          <w:rFonts w:eastAsia="Times New Roman" w:cs="Times New Roman"/>
        </w:rPr>
        <w:t>respectively</w:t>
      </w:r>
      <w:r w:rsidRPr="005F0E59">
        <w:rPr>
          <w:rFonts w:eastAsia="Times New Roman" w:cs="Times New Roman"/>
        </w:rPr>
        <w:t xml:space="preserve">. The requirements for the indefinite warning for front seat occupants would prevent 77 fatalities and </w:t>
      </w:r>
      <w:r w:rsidR="00041991" w:rsidRPr="005F0E59">
        <w:rPr>
          <w:rFonts w:eastAsia="Times New Roman" w:cs="Times New Roman"/>
        </w:rPr>
        <w:t>211</w:t>
      </w:r>
      <w:r w:rsidRPr="005F0E59">
        <w:rPr>
          <w:rFonts w:eastAsia="Times New Roman" w:cs="Times New Roman"/>
        </w:rPr>
        <w:t xml:space="preserve"> non-fatal injuries</w:t>
      </w:r>
      <w:r w:rsidR="00BC4F79" w:rsidRPr="005F0E59">
        <w:rPr>
          <w:rFonts w:eastAsia="Times New Roman" w:cs="Times New Roman"/>
        </w:rPr>
        <w:t>,</w:t>
      </w:r>
      <w:r w:rsidRPr="005F0E59">
        <w:rPr>
          <w:rFonts w:eastAsia="Times New Roman" w:cs="Times New Roman"/>
        </w:rPr>
        <w:t xml:space="preserve"> annually.</w:t>
      </w:r>
    </w:p>
    <w:p w14:paraId="6357ADA7" w14:textId="657733BD" w:rsidR="00464F90" w:rsidRDefault="000F5B51" w:rsidP="00464F90">
      <w:pPr>
        <w:pStyle w:val="Caption"/>
        <w:rPr>
          <w:rFonts w:cs="Times New Roman"/>
          <w:szCs w:val="24"/>
        </w:rPr>
      </w:pPr>
      <w:bookmarkStart w:id="4" w:name="_Ref125459612"/>
      <w:r>
        <w:t xml:space="preserve">Table </w:t>
      </w:r>
      <w:r w:rsidR="00115BAB">
        <w:fldChar w:fldCharType="begin"/>
      </w:r>
      <w:r>
        <w:instrText xml:space="preserve"> SEQ Table \* ARABIC </w:instrText>
      </w:r>
      <w:r w:rsidR="00115BAB">
        <w:fldChar w:fldCharType="separate"/>
      </w:r>
      <w:r w:rsidR="00A65CB3">
        <w:rPr>
          <w:noProof/>
        </w:rPr>
        <w:t>1</w:t>
      </w:r>
      <w:r w:rsidR="00115BAB">
        <w:rPr>
          <w:noProof/>
        </w:rPr>
        <w:fldChar w:fldCharType="end"/>
      </w:r>
      <w:bookmarkEnd w:id="4"/>
      <w:r>
        <w:t>: Summary of Annual Benefits</w:t>
      </w:r>
    </w:p>
    <w:tbl>
      <w:tblPr>
        <w:tblW w:w="8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1168"/>
        <w:gridCol w:w="2450"/>
        <w:gridCol w:w="2450"/>
      </w:tblGrid>
      <w:tr w:rsidR="00A15C2C" w14:paraId="2CABB859" w14:textId="77777777" w:rsidTr="006133A7">
        <w:trPr>
          <w:cantSplit/>
          <w:trHeight w:val="431"/>
          <w:jc w:val="center"/>
        </w:trPr>
        <w:tc>
          <w:tcPr>
            <w:tcW w:w="3145" w:type="dxa"/>
            <w:gridSpan w:val="2"/>
            <w:vMerge w:val="restart"/>
            <w:shd w:val="clear" w:color="auto" w:fill="D9D9D9" w:themeFill="background1" w:themeFillShade="D9"/>
            <w:vAlign w:val="center"/>
          </w:tcPr>
          <w:p w14:paraId="35ADCF2A" w14:textId="77777777" w:rsidR="006133A7" w:rsidRDefault="000F5B51" w:rsidP="00D07617">
            <w:pPr>
              <w:spacing w:after="0" w:line="240" w:lineRule="auto"/>
              <w:contextualSpacing/>
              <w:rPr>
                <w:rFonts w:eastAsia="Times New Roman" w:cs="Times New Roman"/>
                <w:b/>
                <w:bCs/>
                <w:color w:val="000000"/>
                <w:szCs w:val="24"/>
              </w:rPr>
            </w:pPr>
            <w:r>
              <w:rPr>
                <w:rFonts w:eastAsia="Times New Roman" w:cs="Times New Roman"/>
                <w:b/>
                <w:bCs/>
                <w:color w:val="000000"/>
                <w:szCs w:val="24"/>
              </w:rPr>
              <w:t>Category</w:t>
            </w:r>
          </w:p>
        </w:tc>
        <w:tc>
          <w:tcPr>
            <w:tcW w:w="4900" w:type="dxa"/>
            <w:gridSpan w:val="2"/>
            <w:shd w:val="clear" w:color="auto" w:fill="D9D9D9" w:themeFill="background1" w:themeFillShade="D9"/>
            <w:vAlign w:val="center"/>
          </w:tcPr>
          <w:p w14:paraId="67F13C85" w14:textId="77777777" w:rsidR="006133A7" w:rsidRPr="00C72F49" w:rsidRDefault="000F5B51" w:rsidP="00D07617">
            <w:pPr>
              <w:spacing w:after="0" w:line="240" w:lineRule="auto"/>
              <w:contextualSpacing/>
              <w:jc w:val="center"/>
              <w:rPr>
                <w:rFonts w:eastAsia="Times New Roman" w:cs="Times New Roman"/>
                <w:b/>
                <w:bCs/>
                <w:color w:val="000000"/>
                <w:szCs w:val="24"/>
              </w:rPr>
            </w:pPr>
            <w:r>
              <w:rPr>
                <w:rFonts w:eastAsia="Times New Roman" w:cs="Times New Roman"/>
                <w:b/>
                <w:bCs/>
                <w:color w:val="000000"/>
                <w:szCs w:val="24"/>
              </w:rPr>
              <w:t>Annual Benefits (Number Prevented)</w:t>
            </w:r>
          </w:p>
        </w:tc>
      </w:tr>
      <w:tr w:rsidR="00A15C2C" w14:paraId="7B7AB2A7" w14:textId="77777777" w:rsidTr="006133A7">
        <w:trPr>
          <w:cantSplit/>
          <w:trHeight w:val="98"/>
          <w:jc w:val="center"/>
        </w:trPr>
        <w:tc>
          <w:tcPr>
            <w:tcW w:w="3145" w:type="dxa"/>
            <w:gridSpan w:val="2"/>
            <w:vMerge/>
            <w:shd w:val="clear" w:color="auto" w:fill="D9D9D9" w:themeFill="background1" w:themeFillShade="D9"/>
            <w:vAlign w:val="center"/>
          </w:tcPr>
          <w:p w14:paraId="52CBF5BD" w14:textId="77777777" w:rsidR="006133A7" w:rsidRPr="00E41B81" w:rsidRDefault="006133A7" w:rsidP="00D07617">
            <w:pPr>
              <w:spacing w:after="0" w:line="240" w:lineRule="auto"/>
              <w:contextualSpacing/>
              <w:rPr>
                <w:rFonts w:eastAsia="Times New Roman" w:cs="Times New Roman"/>
                <w:b/>
                <w:bCs/>
                <w:color w:val="000000"/>
                <w:szCs w:val="24"/>
              </w:rPr>
            </w:pPr>
          </w:p>
        </w:tc>
        <w:tc>
          <w:tcPr>
            <w:tcW w:w="2450" w:type="dxa"/>
            <w:shd w:val="clear" w:color="auto" w:fill="D9D9D9" w:themeFill="background1" w:themeFillShade="D9"/>
            <w:vAlign w:val="center"/>
          </w:tcPr>
          <w:p w14:paraId="759F3178" w14:textId="77777777" w:rsidR="006133A7" w:rsidRPr="00C72F49" w:rsidRDefault="000F5B51" w:rsidP="00D07617">
            <w:pPr>
              <w:spacing w:after="0" w:line="240" w:lineRule="auto"/>
              <w:contextualSpacing/>
              <w:jc w:val="center"/>
              <w:rPr>
                <w:rFonts w:eastAsia="Times New Roman" w:cs="Times New Roman"/>
                <w:b/>
                <w:bCs/>
                <w:color w:val="000000"/>
                <w:szCs w:val="24"/>
              </w:rPr>
            </w:pPr>
            <w:r w:rsidRPr="00C72F49">
              <w:rPr>
                <w:rFonts w:eastAsia="Times New Roman" w:cs="Times New Roman"/>
                <w:b/>
                <w:bCs/>
                <w:color w:val="000000"/>
                <w:szCs w:val="24"/>
              </w:rPr>
              <w:t>Non-Fatal Injuries</w:t>
            </w:r>
          </w:p>
        </w:tc>
        <w:tc>
          <w:tcPr>
            <w:tcW w:w="2450" w:type="dxa"/>
            <w:shd w:val="clear" w:color="auto" w:fill="D9D9D9" w:themeFill="background1" w:themeFillShade="D9"/>
            <w:vAlign w:val="center"/>
          </w:tcPr>
          <w:p w14:paraId="7739B251" w14:textId="77777777" w:rsidR="006133A7" w:rsidRPr="00C72F49" w:rsidRDefault="000F5B51" w:rsidP="00D07617">
            <w:pPr>
              <w:spacing w:after="0" w:line="240" w:lineRule="auto"/>
              <w:contextualSpacing/>
              <w:jc w:val="center"/>
              <w:rPr>
                <w:rFonts w:eastAsia="Times New Roman" w:cs="Times New Roman"/>
                <w:b/>
                <w:bCs/>
                <w:color w:val="000000"/>
                <w:szCs w:val="24"/>
              </w:rPr>
            </w:pPr>
            <w:r w:rsidRPr="00C72F49">
              <w:rPr>
                <w:rFonts w:eastAsia="Times New Roman" w:cs="Times New Roman"/>
                <w:b/>
                <w:bCs/>
                <w:color w:val="000000"/>
                <w:szCs w:val="24"/>
              </w:rPr>
              <w:t>Fatalities</w:t>
            </w:r>
          </w:p>
        </w:tc>
      </w:tr>
      <w:tr w:rsidR="00A15C2C" w14:paraId="3BA1600E" w14:textId="77777777" w:rsidTr="006133A7">
        <w:trPr>
          <w:trHeight w:val="231"/>
          <w:jc w:val="center"/>
        </w:trPr>
        <w:tc>
          <w:tcPr>
            <w:tcW w:w="1977" w:type="dxa"/>
            <w:vMerge w:val="restart"/>
            <w:vAlign w:val="center"/>
          </w:tcPr>
          <w:p w14:paraId="2D2499CB" w14:textId="77777777" w:rsidR="00AE6E3F" w:rsidRPr="005A2274" w:rsidRDefault="000F5B51" w:rsidP="00687845">
            <w:pPr>
              <w:spacing w:after="0" w:line="240" w:lineRule="auto"/>
              <w:contextualSpacing/>
              <w:rPr>
                <w:rFonts w:eastAsia="Times New Roman" w:cs="Times New Roman"/>
                <w:color w:val="000000"/>
                <w:szCs w:val="24"/>
              </w:rPr>
            </w:pPr>
            <w:bookmarkStart w:id="5" w:name="_Hlk125552318"/>
            <w:r w:rsidRPr="00A57E5E">
              <w:rPr>
                <w:rFonts w:eastAsia="Times New Roman" w:cs="Times New Roman"/>
                <w:color w:val="000000"/>
                <w:szCs w:val="24"/>
              </w:rPr>
              <w:t xml:space="preserve">Rear Seat </w:t>
            </w:r>
            <w:r w:rsidRPr="005A2274">
              <w:rPr>
                <w:rFonts w:eastAsia="Times New Roman" w:cs="Times New Roman"/>
                <w:color w:val="000000"/>
                <w:szCs w:val="24"/>
              </w:rPr>
              <w:t>Occupants</w:t>
            </w:r>
          </w:p>
        </w:tc>
        <w:tc>
          <w:tcPr>
            <w:tcW w:w="1168" w:type="dxa"/>
            <w:vAlign w:val="center"/>
          </w:tcPr>
          <w:p w14:paraId="702CD497" w14:textId="77777777" w:rsidR="00AE6E3F" w:rsidRPr="005A2274" w:rsidRDefault="000F5B51" w:rsidP="00687845">
            <w:pPr>
              <w:spacing w:after="0" w:line="240" w:lineRule="auto"/>
              <w:contextualSpacing/>
              <w:rPr>
                <w:rFonts w:eastAsia="Times New Roman" w:cs="Times New Roman"/>
                <w:color w:val="000000"/>
                <w:szCs w:val="24"/>
              </w:rPr>
            </w:pPr>
            <w:r w:rsidRPr="005A2274">
              <w:rPr>
                <w:rFonts w:eastAsia="Calibri" w:cs="Times New Roman"/>
                <w:color w:val="000000"/>
                <w:szCs w:val="24"/>
              </w:rPr>
              <w:t>Lo</w:t>
            </w:r>
          </w:p>
        </w:tc>
        <w:tc>
          <w:tcPr>
            <w:tcW w:w="2450" w:type="dxa"/>
            <w:vAlign w:val="center"/>
          </w:tcPr>
          <w:p w14:paraId="02E48884" w14:textId="77777777" w:rsidR="00AE6E3F" w:rsidRPr="00C72F49" w:rsidRDefault="000F5B51" w:rsidP="00687845">
            <w:pPr>
              <w:spacing w:after="0" w:line="240" w:lineRule="auto"/>
              <w:contextualSpacing/>
              <w:jc w:val="center"/>
              <w:rPr>
                <w:rFonts w:eastAsia="Times New Roman" w:cs="Times New Roman"/>
                <w:color w:val="000000"/>
                <w:szCs w:val="24"/>
              </w:rPr>
            </w:pPr>
            <w:r>
              <w:rPr>
                <w:rFonts w:eastAsia="Times New Roman" w:cs="Times New Roman"/>
                <w:color w:val="000000"/>
                <w:szCs w:val="24"/>
              </w:rPr>
              <w:t>75</w:t>
            </w:r>
          </w:p>
        </w:tc>
        <w:tc>
          <w:tcPr>
            <w:tcW w:w="2450" w:type="dxa"/>
            <w:vAlign w:val="center"/>
          </w:tcPr>
          <w:p w14:paraId="1455D38C" w14:textId="77777777" w:rsidR="00AE6E3F" w:rsidRPr="0093458D" w:rsidRDefault="000F5B51" w:rsidP="00687845">
            <w:pPr>
              <w:spacing w:after="0" w:line="240" w:lineRule="auto"/>
              <w:contextualSpacing/>
              <w:jc w:val="center"/>
            </w:pPr>
            <w:r>
              <w:t>22</w:t>
            </w:r>
          </w:p>
        </w:tc>
      </w:tr>
      <w:tr w:rsidR="00A15C2C" w14:paraId="46D8C399" w14:textId="77777777" w:rsidTr="006133A7">
        <w:trPr>
          <w:trHeight w:val="231"/>
          <w:jc w:val="center"/>
        </w:trPr>
        <w:tc>
          <w:tcPr>
            <w:tcW w:w="1977" w:type="dxa"/>
            <w:vMerge/>
            <w:vAlign w:val="center"/>
          </w:tcPr>
          <w:p w14:paraId="38EEBA6D" w14:textId="77777777" w:rsidR="00AE6E3F" w:rsidRPr="005A2274" w:rsidRDefault="00AE6E3F" w:rsidP="00687845">
            <w:pPr>
              <w:spacing w:after="0" w:line="240" w:lineRule="auto"/>
              <w:contextualSpacing/>
              <w:rPr>
                <w:rFonts w:eastAsia="Times New Roman" w:cs="Times New Roman"/>
                <w:color w:val="000000"/>
                <w:szCs w:val="24"/>
              </w:rPr>
            </w:pPr>
          </w:p>
        </w:tc>
        <w:tc>
          <w:tcPr>
            <w:tcW w:w="1168" w:type="dxa"/>
            <w:vAlign w:val="center"/>
          </w:tcPr>
          <w:p w14:paraId="3972AA0F" w14:textId="77777777" w:rsidR="00AE6E3F" w:rsidRPr="005A2274" w:rsidRDefault="000F5B51" w:rsidP="00687845">
            <w:pPr>
              <w:spacing w:after="0" w:line="240" w:lineRule="auto"/>
              <w:contextualSpacing/>
              <w:rPr>
                <w:rFonts w:eastAsia="Times New Roman" w:cs="Times New Roman"/>
                <w:color w:val="000000"/>
                <w:szCs w:val="24"/>
              </w:rPr>
            </w:pPr>
            <w:r w:rsidRPr="005A2274">
              <w:rPr>
                <w:rFonts w:eastAsia="Times New Roman" w:cs="Times New Roman"/>
                <w:color w:val="000000"/>
                <w:szCs w:val="24"/>
              </w:rPr>
              <w:t>Hi</w:t>
            </w:r>
          </w:p>
        </w:tc>
        <w:tc>
          <w:tcPr>
            <w:tcW w:w="2450" w:type="dxa"/>
            <w:vAlign w:val="center"/>
          </w:tcPr>
          <w:p w14:paraId="7EF2DFB5" w14:textId="77777777" w:rsidR="00AE6E3F" w:rsidRPr="00C72F49" w:rsidRDefault="000F5B51" w:rsidP="00687845">
            <w:pPr>
              <w:spacing w:after="0" w:line="240" w:lineRule="auto"/>
              <w:contextualSpacing/>
              <w:jc w:val="center"/>
              <w:rPr>
                <w:rFonts w:eastAsia="Times New Roman" w:cs="Times New Roman"/>
                <w:color w:val="000000"/>
                <w:szCs w:val="24"/>
              </w:rPr>
            </w:pPr>
            <w:r>
              <w:rPr>
                <w:rFonts w:eastAsia="Times New Roman" w:cs="Times New Roman"/>
                <w:color w:val="000000"/>
                <w:szCs w:val="24"/>
              </w:rPr>
              <w:t>112</w:t>
            </w:r>
          </w:p>
        </w:tc>
        <w:tc>
          <w:tcPr>
            <w:tcW w:w="2450" w:type="dxa"/>
            <w:vAlign w:val="center"/>
          </w:tcPr>
          <w:p w14:paraId="467D0FED" w14:textId="77777777" w:rsidR="00AE6E3F" w:rsidRPr="0093458D" w:rsidRDefault="000F5B51" w:rsidP="00687845">
            <w:pPr>
              <w:spacing w:after="0" w:line="240" w:lineRule="auto"/>
              <w:contextualSpacing/>
              <w:jc w:val="center"/>
            </w:pPr>
            <w:r>
              <w:t>34</w:t>
            </w:r>
          </w:p>
        </w:tc>
      </w:tr>
      <w:tr w:rsidR="00A15C2C" w14:paraId="2D91B31B" w14:textId="77777777" w:rsidTr="006133A7">
        <w:trPr>
          <w:trHeight w:val="308"/>
          <w:jc w:val="center"/>
        </w:trPr>
        <w:tc>
          <w:tcPr>
            <w:tcW w:w="3145" w:type="dxa"/>
            <w:gridSpan w:val="2"/>
            <w:vAlign w:val="center"/>
          </w:tcPr>
          <w:p w14:paraId="04D4AFE2" w14:textId="77777777" w:rsidR="00D758B9" w:rsidRPr="005A2274" w:rsidRDefault="000F5B51">
            <w:pPr>
              <w:spacing w:after="0" w:line="240" w:lineRule="auto"/>
              <w:contextualSpacing/>
              <w:rPr>
                <w:rFonts w:eastAsia="Times New Roman" w:cs="Times New Roman"/>
                <w:color w:val="000000"/>
                <w:szCs w:val="24"/>
              </w:rPr>
            </w:pPr>
            <w:r w:rsidRPr="00A57E5E">
              <w:rPr>
                <w:rFonts w:eastAsia="Times New Roman" w:cs="Times New Roman"/>
                <w:color w:val="000000"/>
                <w:szCs w:val="24"/>
              </w:rPr>
              <w:t>Front</w:t>
            </w:r>
            <w:r w:rsidRPr="005A2274">
              <w:rPr>
                <w:rFonts w:eastAsia="Times New Roman" w:cs="Times New Roman"/>
                <w:color w:val="000000"/>
                <w:szCs w:val="24"/>
              </w:rPr>
              <w:t xml:space="preserve"> Seat Occupants</w:t>
            </w:r>
          </w:p>
        </w:tc>
        <w:tc>
          <w:tcPr>
            <w:tcW w:w="2450" w:type="dxa"/>
            <w:vAlign w:val="center"/>
          </w:tcPr>
          <w:p w14:paraId="6E6C28C5" w14:textId="421A9303" w:rsidR="00D758B9" w:rsidRPr="00C72F49" w:rsidRDefault="00CF4E66">
            <w:pPr>
              <w:spacing w:after="0" w:line="240" w:lineRule="auto"/>
              <w:contextualSpacing/>
              <w:jc w:val="center"/>
              <w:rPr>
                <w:rFonts w:eastAsia="Times New Roman" w:cs="Times New Roman"/>
                <w:color w:val="000000"/>
                <w:szCs w:val="24"/>
              </w:rPr>
            </w:pPr>
            <w:r>
              <w:rPr>
                <w:rFonts w:eastAsia="Times New Roman" w:cs="Times New Roman"/>
                <w:color w:val="000000"/>
                <w:szCs w:val="24"/>
              </w:rPr>
              <w:t>211</w:t>
            </w:r>
          </w:p>
        </w:tc>
        <w:tc>
          <w:tcPr>
            <w:tcW w:w="2450" w:type="dxa"/>
            <w:vAlign w:val="center"/>
          </w:tcPr>
          <w:p w14:paraId="46650C32" w14:textId="1086BDAC" w:rsidR="00D758B9" w:rsidRPr="00C72F49" w:rsidRDefault="00CF4E66">
            <w:pPr>
              <w:spacing w:after="0" w:line="240" w:lineRule="auto"/>
              <w:contextualSpacing/>
              <w:jc w:val="center"/>
            </w:pPr>
            <w:r>
              <w:t>77</w:t>
            </w:r>
          </w:p>
        </w:tc>
      </w:tr>
      <w:tr w:rsidR="00A15C2C" w14:paraId="4253330E" w14:textId="77777777" w:rsidTr="006133A7">
        <w:trPr>
          <w:trHeight w:val="231"/>
          <w:jc w:val="center"/>
        </w:trPr>
        <w:tc>
          <w:tcPr>
            <w:tcW w:w="1977" w:type="dxa"/>
            <w:vMerge w:val="restart"/>
            <w:vAlign w:val="center"/>
          </w:tcPr>
          <w:p w14:paraId="4990DD96" w14:textId="77777777" w:rsidR="00AE6E3F" w:rsidRPr="0093458D" w:rsidRDefault="000F5B51" w:rsidP="00CA39C9">
            <w:pPr>
              <w:spacing w:after="0" w:line="240" w:lineRule="auto"/>
              <w:contextualSpacing/>
              <w:rPr>
                <w:rFonts w:eastAsia="Times New Roman" w:cs="Times New Roman"/>
                <w:b/>
                <w:bCs/>
                <w:color w:val="000000"/>
                <w:szCs w:val="24"/>
              </w:rPr>
            </w:pPr>
            <w:r w:rsidRPr="0093458D">
              <w:rPr>
                <w:rFonts w:eastAsia="Times New Roman" w:cs="Times New Roman"/>
                <w:b/>
                <w:bCs/>
                <w:color w:val="000000"/>
                <w:szCs w:val="24"/>
              </w:rPr>
              <w:t>Total</w:t>
            </w:r>
          </w:p>
        </w:tc>
        <w:tc>
          <w:tcPr>
            <w:tcW w:w="1168" w:type="dxa"/>
            <w:vAlign w:val="center"/>
          </w:tcPr>
          <w:p w14:paraId="5591A7F8" w14:textId="77777777" w:rsidR="00AE6E3F" w:rsidRDefault="000F5B51" w:rsidP="00CA39C9">
            <w:pPr>
              <w:spacing w:after="0" w:line="240" w:lineRule="auto"/>
              <w:contextualSpacing/>
              <w:rPr>
                <w:rFonts w:eastAsia="Times New Roman" w:cs="Times New Roman"/>
                <w:color w:val="000000"/>
                <w:szCs w:val="24"/>
              </w:rPr>
            </w:pPr>
            <w:r w:rsidRPr="00572735">
              <w:rPr>
                <w:rFonts w:eastAsia="Calibri" w:cs="Times New Roman"/>
                <w:b/>
                <w:bCs/>
                <w:color w:val="000000"/>
                <w:szCs w:val="24"/>
              </w:rPr>
              <w:t>Lo</w:t>
            </w:r>
          </w:p>
        </w:tc>
        <w:tc>
          <w:tcPr>
            <w:tcW w:w="2450" w:type="dxa"/>
            <w:shd w:val="clear" w:color="auto" w:fill="auto"/>
            <w:vAlign w:val="center"/>
          </w:tcPr>
          <w:p w14:paraId="4FE5C530" w14:textId="1C273253" w:rsidR="00AE6E3F" w:rsidRPr="0093458D" w:rsidRDefault="005E36C5" w:rsidP="00CA39C9">
            <w:pPr>
              <w:spacing w:after="0" w:line="240" w:lineRule="auto"/>
              <w:contextualSpacing/>
              <w:jc w:val="center"/>
              <w:rPr>
                <w:rFonts w:eastAsia="Times New Roman" w:cs="Times New Roman"/>
                <w:b/>
                <w:bCs/>
                <w:color w:val="000000"/>
                <w:szCs w:val="24"/>
              </w:rPr>
            </w:pPr>
            <w:r>
              <w:rPr>
                <w:rFonts w:eastAsia="Times New Roman" w:cs="Times New Roman"/>
                <w:b/>
                <w:bCs/>
                <w:color w:val="000000"/>
                <w:szCs w:val="24"/>
              </w:rPr>
              <w:t>286</w:t>
            </w:r>
          </w:p>
        </w:tc>
        <w:tc>
          <w:tcPr>
            <w:tcW w:w="2450" w:type="dxa"/>
            <w:shd w:val="clear" w:color="auto" w:fill="auto"/>
            <w:vAlign w:val="center"/>
          </w:tcPr>
          <w:p w14:paraId="3CCA9216" w14:textId="26C24E87" w:rsidR="00AE6E3F" w:rsidRPr="0093458D" w:rsidRDefault="005E36C5" w:rsidP="00CA39C9">
            <w:pPr>
              <w:spacing w:after="0" w:line="240" w:lineRule="auto"/>
              <w:contextualSpacing/>
              <w:jc w:val="center"/>
              <w:rPr>
                <w:b/>
                <w:bCs/>
              </w:rPr>
            </w:pPr>
            <w:r>
              <w:rPr>
                <w:b/>
                <w:bCs/>
              </w:rPr>
              <w:t>100</w:t>
            </w:r>
          </w:p>
        </w:tc>
      </w:tr>
      <w:tr w:rsidR="00A15C2C" w14:paraId="1C72E62D" w14:textId="77777777" w:rsidTr="006133A7">
        <w:trPr>
          <w:trHeight w:val="231"/>
          <w:jc w:val="center"/>
        </w:trPr>
        <w:tc>
          <w:tcPr>
            <w:tcW w:w="1977" w:type="dxa"/>
            <w:vMerge/>
            <w:tcBorders>
              <w:bottom w:val="single" w:sz="4" w:space="0" w:color="auto"/>
            </w:tcBorders>
            <w:vAlign w:val="center"/>
          </w:tcPr>
          <w:p w14:paraId="0CDA6A7E" w14:textId="77777777" w:rsidR="00AE6E3F" w:rsidRDefault="00AE6E3F" w:rsidP="00CA39C9">
            <w:pPr>
              <w:spacing w:after="0" w:line="240" w:lineRule="auto"/>
              <w:contextualSpacing/>
              <w:rPr>
                <w:rFonts w:eastAsia="Times New Roman" w:cs="Times New Roman"/>
                <w:color w:val="000000"/>
                <w:szCs w:val="24"/>
              </w:rPr>
            </w:pPr>
          </w:p>
        </w:tc>
        <w:tc>
          <w:tcPr>
            <w:tcW w:w="1168" w:type="dxa"/>
            <w:tcBorders>
              <w:bottom w:val="single" w:sz="4" w:space="0" w:color="auto"/>
            </w:tcBorders>
            <w:vAlign w:val="center"/>
          </w:tcPr>
          <w:p w14:paraId="32342569" w14:textId="77777777" w:rsidR="00AE6E3F" w:rsidRDefault="000F5B51" w:rsidP="00CA39C9">
            <w:pPr>
              <w:spacing w:after="0" w:line="240" w:lineRule="auto"/>
              <w:contextualSpacing/>
              <w:rPr>
                <w:rFonts w:eastAsia="Times New Roman" w:cs="Times New Roman"/>
                <w:color w:val="000000"/>
                <w:szCs w:val="24"/>
              </w:rPr>
            </w:pPr>
            <w:r w:rsidRPr="00572735">
              <w:rPr>
                <w:rFonts w:eastAsia="Times New Roman" w:cs="Times New Roman"/>
                <w:b/>
                <w:bCs/>
                <w:color w:val="000000"/>
                <w:szCs w:val="24"/>
              </w:rPr>
              <w:t>Hi</w:t>
            </w:r>
          </w:p>
        </w:tc>
        <w:tc>
          <w:tcPr>
            <w:tcW w:w="2450" w:type="dxa"/>
            <w:tcBorders>
              <w:bottom w:val="single" w:sz="4" w:space="0" w:color="auto"/>
            </w:tcBorders>
            <w:shd w:val="clear" w:color="auto" w:fill="auto"/>
            <w:vAlign w:val="center"/>
          </w:tcPr>
          <w:p w14:paraId="158C0B7B" w14:textId="074B699D" w:rsidR="00AE6E3F" w:rsidRPr="0093458D" w:rsidRDefault="005E36C5" w:rsidP="00CA39C9">
            <w:pPr>
              <w:spacing w:after="0" w:line="240" w:lineRule="auto"/>
              <w:contextualSpacing/>
              <w:jc w:val="center"/>
              <w:rPr>
                <w:rFonts w:eastAsia="Times New Roman" w:cs="Times New Roman"/>
                <w:b/>
                <w:bCs/>
                <w:color w:val="000000"/>
                <w:szCs w:val="24"/>
              </w:rPr>
            </w:pPr>
            <w:r>
              <w:rPr>
                <w:rFonts w:eastAsia="Times New Roman" w:cs="Times New Roman"/>
                <w:b/>
                <w:bCs/>
                <w:color w:val="000000"/>
                <w:szCs w:val="24"/>
              </w:rPr>
              <w:t>323</w:t>
            </w:r>
          </w:p>
        </w:tc>
        <w:tc>
          <w:tcPr>
            <w:tcW w:w="2450" w:type="dxa"/>
            <w:tcBorders>
              <w:bottom w:val="single" w:sz="4" w:space="0" w:color="auto"/>
            </w:tcBorders>
            <w:shd w:val="clear" w:color="auto" w:fill="auto"/>
            <w:vAlign w:val="center"/>
          </w:tcPr>
          <w:p w14:paraId="38A13B76" w14:textId="731F53F8" w:rsidR="00AE6E3F" w:rsidRPr="0093458D" w:rsidRDefault="005E36C5" w:rsidP="00CA39C9">
            <w:pPr>
              <w:spacing w:after="0" w:line="240" w:lineRule="auto"/>
              <w:contextualSpacing/>
              <w:jc w:val="center"/>
              <w:rPr>
                <w:b/>
                <w:bCs/>
              </w:rPr>
            </w:pPr>
            <w:r>
              <w:rPr>
                <w:b/>
                <w:bCs/>
              </w:rPr>
              <w:t>111</w:t>
            </w:r>
          </w:p>
        </w:tc>
      </w:tr>
    </w:tbl>
    <w:bookmarkEnd w:id="5"/>
    <w:p w14:paraId="7EF50AAF" w14:textId="77777777" w:rsidR="00464F90" w:rsidRPr="0093458D" w:rsidRDefault="000F5B51" w:rsidP="00464F90">
      <w:pPr>
        <w:pStyle w:val="NoSpaceTimes"/>
        <w:rPr>
          <w:sz w:val="18"/>
          <w:szCs w:val="18"/>
        </w:rPr>
      </w:pPr>
      <w:r w:rsidRPr="0093458D">
        <w:rPr>
          <w:sz w:val="18"/>
          <w:szCs w:val="18"/>
        </w:rPr>
        <w:t xml:space="preserve">Note: Values may not sum due to rounding. Totals are rounded to the nearest whole number for presentation </w:t>
      </w:r>
      <w:r w:rsidRPr="00C72F49">
        <w:rPr>
          <w:sz w:val="18"/>
          <w:szCs w:val="18"/>
        </w:rPr>
        <w:t>purposes</w:t>
      </w:r>
      <w:r w:rsidRPr="0093458D">
        <w:rPr>
          <w:sz w:val="18"/>
          <w:szCs w:val="18"/>
        </w:rPr>
        <w:t>.</w:t>
      </w:r>
    </w:p>
    <w:p w14:paraId="19A7E093" w14:textId="77777777" w:rsidR="004559B2" w:rsidRDefault="004559B2" w:rsidP="0093458D">
      <w:pPr>
        <w:pStyle w:val="NoSpaceTimes"/>
      </w:pPr>
    </w:p>
    <w:p w14:paraId="585F2AC3" w14:textId="77777777" w:rsidR="004D7DFD" w:rsidRDefault="000F5B51" w:rsidP="0EFE6C3A">
      <w:pPr>
        <w:spacing w:after="0"/>
        <w:rPr>
          <w:rFonts w:eastAsia="Calibri" w:cs="Times New Roman"/>
          <w:szCs w:val="24"/>
        </w:rPr>
      </w:pPr>
      <w:r w:rsidRPr="00876C9D">
        <w:rPr>
          <w:rFonts w:eastAsia="Calibri" w:cs="Times New Roman"/>
          <w:szCs w:val="24"/>
        </w:rPr>
        <w:t xml:space="preserve">The agency is proposing a lead time of </w:t>
      </w:r>
      <w:r>
        <w:rPr>
          <w:rFonts w:eastAsia="Calibri" w:cs="Times New Roman"/>
          <w:szCs w:val="24"/>
        </w:rPr>
        <w:t xml:space="preserve">one year from the first September after the final rule is published for those requirements for front seat occupants and two years from the first September for those requirements for rear seat occupants. </w:t>
      </w:r>
      <w:r w:rsidR="00E855D7">
        <w:rPr>
          <w:rFonts w:eastAsia="Calibri" w:cs="Times New Roman"/>
          <w:szCs w:val="24"/>
        </w:rPr>
        <w:t>Additionally,</w:t>
      </w:r>
      <w:r w:rsidRPr="00876C9D">
        <w:rPr>
          <w:rFonts w:eastAsia="Calibri" w:cs="Times New Roman"/>
          <w:szCs w:val="24"/>
        </w:rPr>
        <w:t xml:space="preserve"> multi-stage manufacturers and alterer</w:t>
      </w:r>
      <w:r w:rsidR="00E855D7">
        <w:rPr>
          <w:rFonts w:eastAsia="Calibri" w:cs="Times New Roman"/>
          <w:szCs w:val="24"/>
        </w:rPr>
        <w:t>s</w:t>
      </w:r>
      <w:r w:rsidRPr="00876C9D">
        <w:rPr>
          <w:rFonts w:eastAsia="Calibri" w:cs="Times New Roman"/>
          <w:szCs w:val="24"/>
        </w:rPr>
        <w:t xml:space="preserve"> are automatically granted an additional year</w:t>
      </w:r>
      <w:r w:rsidR="00E855D7">
        <w:rPr>
          <w:rFonts w:eastAsia="Calibri" w:cs="Times New Roman"/>
          <w:szCs w:val="24"/>
        </w:rPr>
        <w:t xml:space="preserve"> of lead time</w:t>
      </w:r>
      <w:r w:rsidRPr="00876C9D">
        <w:rPr>
          <w:rFonts w:eastAsia="Calibri" w:cs="Times New Roman"/>
          <w:szCs w:val="24"/>
        </w:rPr>
        <w:t>.</w:t>
      </w:r>
      <w:r w:rsidRPr="003A241C">
        <w:rPr>
          <w:rFonts w:eastAsia="Calibri" w:cs="Times New Roman"/>
          <w:szCs w:val="24"/>
        </w:rPr>
        <w:t xml:space="preserve"> </w:t>
      </w:r>
    </w:p>
    <w:p w14:paraId="55F85FFE" w14:textId="7CE911C6" w:rsidR="00CB3DA9" w:rsidRDefault="000F5B51" w:rsidP="0EFE6C3A">
      <w:pPr>
        <w:spacing w:after="0"/>
        <w:rPr>
          <w:rFonts w:eastAsia="Calibri" w:cs="Times New Roman"/>
        </w:rPr>
      </w:pPr>
      <w:r>
        <w:lastRenderedPageBreak/>
        <w:fldChar w:fldCharType="begin"/>
      </w:r>
      <w:r>
        <w:instrText xml:space="preserve"> REF _Ref125460570 \h </w:instrText>
      </w:r>
      <w:r>
        <w:fldChar w:fldCharType="separate"/>
      </w:r>
      <w:r w:rsidR="00A65CB3">
        <w:t xml:space="preserve">Table </w:t>
      </w:r>
      <w:r w:rsidR="00A65CB3">
        <w:rPr>
          <w:noProof/>
        </w:rPr>
        <w:t>2</w:t>
      </w:r>
      <w:r>
        <w:fldChar w:fldCharType="end"/>
      </w:r>
      <w:r>
        <w:t xml:space="preserve"> presents a summary of annual </w:t>
      </w:r>
      <w:r w:rsidR="00A65046">
        <w:t xml:space="preserve">incremental </w:t>
      </w:r>
      <w:r>
        <w:t xml:space="preserve">costs. The </w:t>
      </w:r>
      <w:r w:rsidR="00DD3AFF">
        <w:t xml:space="preserve">annual </w:t>
      </w:r>
      <w:r>
        <w:t xml:space="preserve">incremental costs associated with the proposed rule are the </w:t>
      </w:r>
      <w:r w:rsidRPr="0EFE6C3A">
        <w:rPr>
          <w:rFonts w:eastAsia="Calibri" w:cs="Times New Roman"/>
        </w:rPr>
        <w:t xml:space="preserve">costs associated with </w:t>
      </w:r>
      <w:r w:rsidR="00543B5A">
        <w:rPr>
          <w:rFonts w:eastAsia="Calibri" w:cs="Times New Roman"/>
        </w:rPr>
        <w:t xml:space="preserve">installing </w:t>
      </w:r>
      <w:r w:rsidRPr="0EFE6C3A">
        <w:rPr>
          <w:rFonts w:eastAsia="Calibri" w:cs="Times New Roman"/>
        </w:rPr>
        <w:t xml:space="preserve">the alarm and seat belt buckle sensor hardware. </w:t>
      </w:r>
      <w:r w:rsidR="00543B5A">
        <w:rPr>
          <w:rFonts w:eastAsia="Calibri" w:cs="Times New Roman"/>
        </w:rPr>
        <w:t>These i</w:t>
      </w:r>
      <w:r w:rsidR="00A878B6">
        <w:t xml:space="preserve">ncremental costs </w:t>
      </w:r>
      <w:r w:rsidR="00543B5A">
        <w:t>are</w:t>
      </w:r>
      <w:r w:rsidR="00160FF8">
        <w:t xml:space="preserve"> </w:t>
      </w:r>
      <w:r w:rsidR="00A878B6">
        <w:t>in addition to th</w:t>
      </w:r>
      <w:r w:rsidR="00160FF8">
        <w:t xml:space="preserve">ose incurred </w:t>
      </w:r>
      <w:r w:rsidR="00E91043">
        <w:t>based</w:t>
      </w:r>
      <w:r w:rsidR="00A878B6">
        <w:t xml:space="preserve"> </w:t>
      </w:r>
      <w:r w:rsidR="007C480D">
        <w:t xml:space="preserve">on </w:t>
      </w:r>
      <w:r w:rsidR="2463E103">
        <w:t xml:space="preserve">the </w:t>
      </w:r>
      <w:r w:rsidR="00A878B6">
        <w:t>installation rates established in the baseline.</w:t>
      </w:r>
    </w:p>
    <w:p w14:paraId="3487755B" w14:textId="57405183" w:rsidR="00464F90" w:rsidRDefault="000F5B51" w:rsidP="00464F90">
      <w:pPr>
        <w:spacing w:after="0"/>
        <w:rPr>
          <w:rFonts w:eastAsia="Calibri" w:cs="Times New Roman"/>
          <w:szCs w:val="24"/>
        </w:rPr>
      </w:pPr>
      <w:r>
        <w:rPr>
          <w:rFonts w:eastAsia="Calibri" w:cs="Times New Roman"/>
          <w:szCs w:val="24"/>
        </w:rPr>
        <w:t>For driver seats, no additional hardware would be required to meet the specified requirements. As the changes would be limited to</w:t>
      </w:r>
      <w:r w:rsidR="008D41B0">
        <w:rPr>
          <w:rFonts w:eastAsia="Calibri" w:cs="Times New Roman"/>
          <w:szCs w:val="24"/>
        </w:rPr>
        <w:t xml:space="preserve"> a</w:t>
      </w:r>
      <w:r>
        <w:rPr>
          <w:rFonts w:eastAsia="Calibri" w:cs="Times New Roman"/>
          <w:szCs w:val="24"/>
        </w:rPr>
        <w:t xml:space="preserve"> settings adjustment</w:t>
      </w:r>
      <w:r w:rsidR="00424297">
        <w:rPr>
          <w:rFonts w:eastAsia="Calibri" w:cs="Times New Roman"/>
          <w:szCs w:val="24"/>
        </w:rPr>
        <w:t xml:space="preserve"> or </w:t>
      </w:r>
      <w:r>
        <w:rPr>
          <w:rFonts w:eastAsia="Calibri" w:cs="Times New Roman"/>
          <w:szCs w:val="24"/>
        </w:rPr>
        <w:t xml:space="preserve">reprogramming of the alarm, </w:t>
      </w:r>
      <w:r w:rsidR="003814E0">
        <w:rPr>
          <w:rFonts w:eastAsia="Calibri" w:cs="Times New Roman"/>
          <w:szCs w:val="24"/>
        </w:rPr>
        <w:t>the potential one-time cost for meeting the requirements for drivers seat would be de minim</w:t>
      </w:r>
      <w:r w:rsidR="00DE0BC2">
        <w:rPr>
          <w:rFonts w:eastAsia="Calibri" w:cs="Times New Roman"/>
          <w:szCs w:val="24"/>
        </w:rPr>
        <w:t>is</w:t>
      </w:r>
      <w:r w:rsidR="001F2F92">
        <w:rPr>
          <w:rFonts w:eastAsia="Calibri" w:cs="Times New Roman"/>
          <w:szCs w:val="24"/>
        </w:rPr>
        <w:t xml:space="preserve">. </w:t>
      </w:r>
      <w:r w:rsidR="00CB3DA9">
        <w:rPr>
          <w:rFonts w:eastAsia="Calibri" w:cs="Times New Roman"/>
          <w:szCs w:val="24"/>
        </w:rPr>
        <w:t>For</w:t>
      </w:r>
      <w:r>
        <w:rPr>
          <w:rFonts w:eastAsia="Calibri" w:cs="Times New Roman"/>
          <w:szCs w:val="24"/>
        </w:rPr>
        <w:t xml:space="preserve"> front </w:t>
      </w:r>
      <w:r w:rsidR="000B2484">
        <w:rPr>
          <w:rFonts w:eastAsia="Calibri" w:cs="Times New Roman"/>
          <w:szCs w:val="24"/>
        </w:rPr>
        <w:t xml:space="preserve">outboard </w:t>
      </w:r>
      <w:r w:rsidR="00036A45">
        <w:rPr>
          <w:rFonts w:eastAsia="Calibri" w:cs="Times New Roman"/>
          <w:szCs w:val="24"/>
        </w:rPr>
        <w:t>passenger seat</w:t>
      </w:r>
      <w:r w:rsidR="001E4BD0">
        <w:rPr>
          <w:rFonts w:eastAsia="Calibri" w:cs="Times New Roman"/>
          <w:szCs w:val="24"/>
        </w:rPr>
        <w:t>s</w:t>
      </w:r>
      <w:r>
        <w:rPr>
          <w:rFonts w:eastAsia="Calibri" w:cs="Times New Roman"/>
          <w:szCs w:val="24"/>
        </w:rPr>
        <w:t>, the cost per vehicle is</w:t>
      </w:r>
      <w:r w:rsidRPr="002903EF">
        <w:rPr>
          <w:rFonts w:eastAsia="Calibri" w:cs="Times New Roman"/>
          <w:szCs w:val="24"/>
        </w:rPr>
        <w:t xml:space="preserve"> $2.13 </w:t>
      </w:r>
      <w:r w:rsidR="00AA1F60">
        <w:rPr>
          <w:rFonts w:eastAsia="Calibri" w:cs="Times New Roman"/>
          <w:szCs w:val="24"/>
        </w:rPr>
        <w:t xml:space="preserve">which is applicable to the four percent or 640,000 light vehicles sold annually that are not already equipped with SBWS for front </w:t>
      </w:r>
      <w:r w:rsidR="001E4BD0">
        <w:rPr>
          <w:rFonts w:eastAsia="Calibri" w:cs="Times New Roman"/>
          <w:szCs w:val="24"/>
        </w:rPr>
        <w:t xml:space="preserve">outboard passenger </w:t>
      </w:r>
      <w:r w:rsidR="00AA1F60">
        <w:rPr>
          <w:rFonts w:eastAsia="Calibri" w:cs="Times New Roman"/>
          <w:szCs w:val="24"/>
        </w:rPr>
        <w:t>seat</w:t>
      </w:r>
      <w:r w:rsidR="00D10439">
        <w:rPr>
          <w:rFonts w:eastAsia="Calibri" w:cs="Times New Roman"/>
          <w:szCs w:val="24"/>
        </w:rPr>
        <w:t>s</w:t>
      </w:r>
      <w:r w:rsidR="00AA1F60">
        <w:rPr>
          <w:rFonts w:eastAsia="Calibri" w:cs="Times New Roman"/>
          <w:szCs w:val="24"/>
        </w:rPr>
        <w:t>. F</w:t>
      </w:r>
      <w:r>
        <w:rPr>
          <w:rFonts w:eastAsia="Calibri" w:cs="Times New Roman"/>
          <w:szCs w:val="24"/>
        </w:rPr>
        <w:t>or the rear seat</w:t>
      </w:r>
      <w:r w:rsidR="00730CE8">
        <w:rPr>
          <w:rFonts w:eastAsia="Calibri" w:cs="Times New Roman"/>
          <w:szCs w:val="24"/>
        </w:rPr>
        <w:t>ing</w:t>
      </w:r>
      <w:r>
        <w:rPr>
          <w:rFonts w:eastAsia="Calibri" w:cs="Times New Roman"/>
          <w:szCs w:val="24"/>
        </w:rPr>
        <w:t xml:space="preserve"> </w:t>
      </w:r>
      <w:r w:rsidR="00730CE8">
        <w:rPr>
          <w:rFonts w:eastAsia="Calibri" w:cs="Times New Roman"/>
          <w:szCs w:val="24"/>
        </w:rPr>
        <w:t>positions</w:t>
      </w:r>
      <w:r w:rsidR="00AA1F60">
        <w:rPr>
          <w:rFonts w:eastAsia="Calibri" w:cs="Times New Roman"/>
          <w:szCs w:val="24"/>
        </w:rPr>
        <w:t>,</w:t>
      </w:r>
      <w:r w:rsidR="00D40AB0">
        <w:rPr>
          <w:rFonts w:eastAsia="Calibri" w:cs="Times New Roman"/>
          <w:szCs w:val="24"/>
        </w:rPr>
        <w:t xml:space="preserve"> the cost per vehicle </w:t>
      </w:r>
      <w:r>
        <w:rPr>
          <w:rFonts w:eastAsia="Calibri" w:cs="Times New Roman"/>
          <w:szCs w:val="24"/>
        </w:rPr>
        <w:t xml:space="preserve">is </w:t>
      </w:r>
      <w:r w:rsidRPr="00876C9D">
        <w:rPr>
          <w:rFonts w:eastAsia="Calibri" w:cs="Times New Roman"/>
          <w:szCs w:val="24"/>
        </w:rPr>
        <w:t>$</w:t>
      </w:r>
      <w:r w:rsidRPr="00993575">
        <w:rPr>
          <w:rFonts w:eastAsia="Calibri" w:cs="Times New Roman"/>
          <w:szCs w:val="24"/>
        </w:rPr>
        <w:t>19.59</w:t>
      </w:r>
      <w:r w:rsidR="00AA1F60">
        <w:rPr>
          <w:rFonts w:eastAsia="Calibri" w:cs="Times New Roman"/>
          <w:szCs w:val="24"/>
        </w:rPr>
        <w:t xml:space="preserve"> which is applicable to </w:t>
      </w:r>
      <w:r w:rsidR="00AF1CC5">
        <w:rPr>
          <w:rFonts w:eastAsia="Calibri" w:cs="Times New Roman"/>
          <w:szCs w:val="24"/>
        </w:rPr>
        <w:t>53.1 percent or approximately 8.5 million light vehicles sold annually that are not already equipped with SBWS for rear seat</w:t>
      </w:r>
      <w:r w:rsidR="00730CE8">
        <w:rPr>
          <w:rFonts w:eastAsia="Calibri" w:cs="Times New Roman"/>
          <w:szCs w:val="24"/>
        </w:rPr>
        <w:t>ing position</w:t>
      </w:r>
      <w:r w:rsidR="00AF1CC5">
        <w:rPr>
          <w:rFonts w:eastAsia="Calibri" w:cs="Times New Roman"/>
          <w:szCs w:val="24"/>
        </w:rPr>
        <w:t xml:space="preserve">s. </w:t>
      </w:r>
      <w:r w:rsidR="00AA1F60">
        <w:rPr>
          <w:rFonts w:eastAsia="Calibri" w:cs="Times New Roman"/>
          <w:szCs w:val="24"/>
        </w:rPr>
        <w:t>Summing th</w:t>
      </w:r>
      <w:r w:rsidR="00AF1CC5">
        <w:rPr>
          <w:rFonts w:eastAsia="Calibri" w:cs="Times New Roman"/>
          <w:szCs w:val="24"/>
        </w:rPr>
        <w:t>os</w:t>
      </w:r>
      <w:r w:rsidR="00AA1F60">
        <w:rPr>
          <w:rFonts w:eastAsia="Calibri" w:cs="Times New Roman"/>
          <w:szCs w:val="24"/>
        </w:rPr>
        <w:t>e cost</w:t>
      </w:r>
      <w:r w:rsidR="00AF1CC5">
        <w:rPr>
          <w:rFonts w:eastAsia="Calibri" w:cs="Times New Roman"/>
          <w:szCs w:val="24"/>
        </w:rPr>
        <w:t>s</w:t>
      </w:r>
      <w:r w:rsidR="00AA1F60">
        <w:rPr>
          <w:rFonts w:eastAsia="Calibri" w:cs="Times New Roman"/>
          <w:szCs w:val="24"/>
        </w:rPr>
        <w:t xml:space="preserve"> across seating positions</w:t>
      </w:r>
      <w:r>
        <w:rPr>
          <w:rFonts w:eastAsia="Calibri" w:cs="Times New Roman"/>
          <w:szCs w:val="24"/>
        </w:rPr>
        <w:t>, the total annual cost associated with the proposed rule is approximately $168 million</w:t>
      </w:r>
      <w:r w:rsidR="00424297">
        <w:rPr>
          <w:rFonts w:eastAsia="Calibri" w:cs="Times New Roman"/>
          <w:szCs w:val="24"/>
        </w:rPr>
        <w:t xml:space="preserve"> in 2020 dollars</w:t>
      </w:r>
      <w:r>
        <w:rPr>
          <w:rFonts w:eastAsia="Calibri" w:cs="Times New Roman"/>
          <w:szCs w:val="24"/>
        </w:rPr>
        <w:t>.</w:t>
      </w:r>
    </w:p>
    <w:p w14:paraId="4BADF4FB" w14:textId="225529DF" w:rsidR="00464F90" w:rsidRPr="00876C9D" w:rsidRDefault="000F5B51" w:rsidP="00464F90">
      <w:pPr>
        <w:pStyle w:val="Caption"/>
        <w:rPr>
          <w:rFonts w:eastAsia="Calibri"/>
        </w:rPr>
      </w:pPr>
      <w:bookmarkStart w:id="6" w:name="_Ref125460570"/>
      <w:r>
        <w:t xml:space="preserve">Table </w:t>
      </w:r>
      <w:r w:rsidR="00115BAB">
        <w:fldChar w:fldCharType="begin"/>
      </w:r>
      <w:r>
        <w:instrText xml:space="preserve"> SEQ Table \* ARABIC </w:instrText>
      </w:r>
      <w:r w:rsidR="00115BAB">
        <w:fldChar w:fldCharType="separate"/>
      </w:r>
      <w:r w:rsidR="00A65CB3">
        <w:rPr>
          <w:noProof/>
        </w:rPr>
        <w:t>2</w:t>
      </w:r>
      <w:r w:rsidR="00115BAB">
        <w:rPr>
          <w:noProof/>
        </w:rPr>
        <w:fldChar w:fldCharType="end"/>
      </w:r>
      <w:bookmarkEnd w:id="6"/>
      <w:r>
        <w:t>: Summary of Annual Costs</w:t>
      </w:r>
      <w:r w:rsidR="00764F96">
        <w:t xml:space="preserve"> </w:t>
      </w:r>
    </w:p>
    <w:tbl>
      <w:tblPr>
        <w:tblW w:w="45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680"/>
        <w:gridCol w:w="2037"/>
        <w:gridCol w:w="2637"/>
      </w:tblGrid>
      <w:tr w:rsidR="00A15C2C" w14:paraId="613CA4D9" w14:textId="77777777" w:rsidTr="003F043F">
        <w:trPr>
          <w:trHeight w:val="565"/>
          <w:jc w:val="center"/>
        </w:trPr>
        <w:tc>
          <w:tcPr>
            <w:tcW w:w="1304" w:type="pct"/>
            <w:shd w:val="clear" w:color="auto" w:fill="D9D9D9" w:themeFill="background1" w:themeFillShade="D9"/>
            <w:vAlign w:val="center"/>
          </w:tcPr>
          <w:p w14:paraId="6B9C219D" w14:textId="77777777" w:rsidR="002F1E98" w:rsidRPr="008E0746" w:rsidRDefault="000F5B51" w:rsidP="00D07617">
            <w:pPr>
              <w:spacing w:after="0" w:line="240" w:lineRule="auto"/>
              <w:rPr>
                <w:rFonts w:eastAsia="Times New Roman" w:cs="Times New Roman"/>
                <w:b/>
                <w:bCs/>
                <w:color w:val="000000"/>
                <w:szCs w:val="24"/>
              </w:rPr>
            </w:pPr>
            <w:r w:rsidRPr="008E0746">
              <w:rPr>
                <w:rFonts w:eastAsia="Times New Roman" w:cs="Times New Roman"/>
                <w:b/>
                <w:bCs/>
                <w:color w:val="000000"/>
                <w:szCs w:val="24"/>
              </w:rPr>
              <w:t>Seat</w:t>
            </w:r>
            <w:r w:rsidR="00A30417">
              <w:rPr>
                <w:rFonts w:eastAsia="Times New Roman" w:cs="Times New Roman"/>
                <w:b/>
                <w:bCs/>
                <w:color w:val="000000"/>
                <w:szCs w:val="24"/>
              </w:rPr>
              <w:t>ing Position</w:t>
            </w:r>
          </w:p>
        </w:tc>
        <w:tc>
          <w:tcPr>
            <w:tcW w:w="977" w:type="pct"/>
            <w:shd w:val="clear" w:color="auto" w:fill="D9D9D9" w:themeFill="background1" w:themeFillShade="D9"/>
            <w:vAlign w:val="center"/>
          </w:tcPr>
          <w:p w14:paraId="5FC27B78" w14:textId="77777777" w:rsidR="002F1E98" w:rsidRPr="008E0746" w:rsidRDefault="000F5B51" w:rsidP="00D07617">
            <w:pPr>
              <w:spacing w:after="0" w:line="240" w:lineRule="auto"/>
              <w:jc w:val="center"/>
              <w:rPr>
                <w:rFonts w:eastAsia="Times New Roman" w:cs="Times New Roman"/>
                <w:b/>
                <w:bCs/>
                <w:color w:val="000000"/>
                <w:szCs w:val="24"/>
              </w:rPr>
            </w:pPr>
            <w:r>
              <w:rPr>
                <w:rFonts w:eastAsia="Times New Roman" w:cs="Times New Roman"/>
                <w:b/>
                <w:bCs/>
                <w:color w:val="000000"/>
                <w:szCs w:val="24"/>
              </w:rPr>
              <w:t xml:space="preserve">Per </w:t>
            </w:r>
            <w:r w:rsidRPr="008E0746">
              <w:rPr>
                <w:rFonts w:eastAsia="Times New Roman" w:cs="Times New Roman"/>
                <w:b/>
                <w:bCs/>
                <w:color w:val="000000"/>
                <w:szCs w:val="24"/>
              </w:rPr>
              <w:t xml:space="preserve">Vehicle </w:t>
            </w:r>
            <w:r>
              <w:rPr>
                <w:rFonts w:eastAsia="Times New Roman" w:cs="Times New Roman"/>
                <w:b/>
                <w:bCs/>
                <w:color w:val="000000"/>
                <w:szCs w:val="24"/>
              </w:rPr>
              <w:t>C</w:t>
            </w:r>
            <w:r w:rsidRPr="008E0746">
              <w:rPr>
                <w:rFonts w:eastAsia="Times New Roman" w:cs="Times New Roman"/>
                <w:b/>
                <w:bCs/>
                <w:color w:val="000000"/>
                <w:szCs w:val="24"/>
              </w:rPr>
              <w:t>ost</w:t>
            </w:r>
          </w:p>
        </w:tc>
        <w:tc>
          <w:tcPr>
            <w:tcW w:w="1185" w:type="pct"/>
            <w:shd w:val="clear" w:color="auto" w:fill="D9D9D9" w:themeFill="background1" w:themeFillShade="D9"/>
            <w:vAlign w:val="center"/>
          </w:tcPr>
          <w:p w14:paraId="4307991D" w14:textId="77777777" w:rsidR="002F1E98" w:rsidRPr="008E0746" w:rsidRDefault="000F5B51" w:rsidP="00D07617">
            <w:pPr>
              <w:spacing w:after="0" w:line="240" w:lineRule="auto"/>
              <w:jc w:val="center"/>
              <w:rPr>
                <w:rFonts w:eastAsia="Times New Roman" w:cs="Times New Roman"/>
                <w:b/>
                <w:bCs/>
                <w:color w:val="000000"/>
                <w:szCs w:val="24"/>
              </w:rPr>
            </w:pPr>
            <w:r w:rsidRPr="008E0746">
              <w:rPr>
                <w:rFonts w:eastAsia="Times New Roman" w:cs="Times New Roman"/>
                <w:b/>
                <w:bCs/>
                <w:color w:val="000000"/>
                <w:szCs w:val="24"/>
              </w:rPr>
              <w:t>Affected number of vehicles</w:t>
            </w:r>
          </w:p>
        </w:tc>
        <w:tc>
          <w:tcPr>
            <w:tcW w:w="1534" w:type="pct"/>
            <w:shd w:val="clear" w:color="auto" w:fill="D9D9D9" w:themeFill="background1" w:themeFillShade="D9"/>
            <w:vAlign w:val="center"/>
          </w:tcPr>
          <w:p w14:paraId="1589C44E" w14:textId="77777777" w:rsidR="002F1E98" w:rsidRPr="008E0746" w:rsidRDefault="000F5B51" w:rsidP="00D07617">
            <w:pPr>
              <w:spacing w:after="0" w:line="240" w:lineRule="auto"/>
              <w:jc w:val="center"/>
              <w:rPr>
                <w:rFonts w:eastAsia="Times New Roman" w:cs="Times New Roman"/>
                <w:b/>
                <w:bCs/>
                <w:color w:val="000000"/>
                <w:szCs w:val="24"/>
              </w:rPr>
            </w:pPr>
            <w:r>
              <w:rPr>
                <w:rFonts w:eastAsia="Times New Roman" w:cs="Times New Roman"/>
                <w:b/>
                <w:bCs/>
                <w:color w:val="000000"/>
                <w:szCs w:val="24"/>
              </w:rPr>
              <w:t>Total Cost</w:t>
            </w:r>
          </w:p>
        </w:tc>
      </w:tr>
      <w:tr w:rsidR="00A15C2C" w14:paraId="0519242F" w14:textId="77777777" w:rsidTr="003F043F">
        <w:trPr>
          <w:trHeight w:val="117"/>
          <w:jc w:val="center"/>
        </w:trPr>
        <w:tc>
          <w:tcPr>
            <w:tcW w:w="1304" w:type="pct"/>
            <w:shd w:val="clear" w:color="000000" w:fill="FFFFFF"/>
            <w:vAlign w:val="center"/>
          </w:tcPr>
          <w:p w14:paraId="6E8D01BB" w14:textId="77777777" w:rsidR="00DA4FE5" w:rsidRDefault="000F5B51" w:rsidP="00DA4FE5">
            <w:pPr>
              <w:spacing w:after="0" w:line="240" w:lineRule="auto"/>
              <w:rPr>
                <w:rFonts w:eastAsia="Times New Roman" w:cs="Times New Roman"/>
                <w:color w:val="000000"/>
                <w:szCs w:val="24"/>
              </w:rPr>
            </w:pPr>
            <w:r>
              <w:rPr>
                <w:rFonts w:eastAsia="Times New Roman" w:cs="Times New Roman"/>
                <w:color w:val="000000"/>
                <w:szCs w:val="24"/>
              </w:rPr>
              <w:t>Driver</w:t>
            </w:r>
          </w:p>
        </w:tc>
        <w:tc>
          <w:tcPr>
            <w:tcW w:w="977" w:type="pct"/>
            <w:shd w:val="clear" w:color="000000" w:fill="FFFFFF"/>
            <w:vAlign w:val="center"/>
          </w:tcPr>
          <w:p w14:paraId="3288482A" w14:textId="77777777" w:rsidR="00DA4FE5" w:rsidRPr="00876C9D" w:rsidRDefault="000F5B51" w:rsidP="00DA4FE5">
            <w:pPr>
              <w:spacing w:after="0" w:line="240" w:lineRule="auto"/>
              <w:jc w:val="center"/>
              <w:rPr>
                <w:rFonts w:eastAsia="Times New Roman" w:cs="Times New Roman"/>
                <w:color w:val="000000"/>
                <w:szCs w:val="24"/>
              </w:rPr>
            </w:pPr>
            <w:r>
              <w:rPr>
                <w:rFonts w:eastAsia="Times New Roman" w:cs="Times New Roman"/>
                <w:color w:val="000000"/>
                <w:szCs w:val="24"/>
              </w:rPr>
              <w:t>$0</w:t>
            </w:r>
          </w:p>
        </w:tc>
        <w:tc>
          <w:tcPr>
            <w:tcW w:w="1185" w:type="pct"/>
            <w:shd w:val="clear" w:color="000000" w:fill="FFFFFF"/>
            <w:vAlign w:val="center"/>
          </w:tcPr>
          <w:p w14:paraId="31453605" w14:textId="77777777" w:rsidR="00DA4FE5" w:rsidRPr="00876C9D" w:rsidRDefault="000F5B51" w:rsidP="00DA4FE5">
            <w:pPr>
              <w:spacing w:after="0" w:line="240" w:lineRule="auto"/>
              <w:jc w:val="center"/>
              <w:rPr>
                <w:rFonts w:eastAsia="Times New Roman" w:cs="Times New Roman"/>
                <w:color w:val="000000"/>
                <w:szCs w:val="24"/>
              </w:rPr>
            </w:pPr>
            <w:r>
              <w:rPr>
                <w:rFonts w:eastAsia="Times New Roman" w:cs="Times New Roman"/>
                <w:color w:val="000000"/>
                <w:szCs w:val="24"/>
              </w:rPr>
              <w:t>0</w:t>
            </w:r>
          </w:p>
        </w:tc>
        <w:tc>
          <w:tcPr>
            <w:tcW w:w="1534" w:type="pct"/>
            <w:shd w:val="clear" w:color="000000" w:fill="FFFFFF"/>
            <w:vAlign w:val="center"/>
          </w:tcPr>
          <w:p w14:paraId="47363196" w14:textId="77777777" w:rsidR="00DA4FE5" w:rsidRPr="00876C9D" w:rsidRDefault="000F5B51" w:rsidP="00DA4FE5">
            <w:pPr>
              <w:spacing w:after="0" w:line="240" w:lineRule="auto"/>
              <w:jc w:val="center"/>
              <w:rPr>
                <w:rFonts w:eastAsia="Times New Roman" w:cs="Times New Roman"/>
                <w:color w:val="000000"/>
                <w:szCs w:val="24"/>
              </w:rPr>
            </w:pPr>
            <w:r>
              <w:rPr>
                <w:rFonts w:eastAsia="Times New Roman" w:cs="Times New Roman"/>
                <w:color w:val="000000"/>
                <w:szCs w:val="24"/>
              </w:rPr>
              <w:t>$0</w:t>
            </w:r>
          </w:p>
        </w:tc>
      </w:tr>
      <w:tr w:rsidR="00A15C2C" w14:paraId="060E2B25" w14:textId="77777777" w:rsidTr="003F043F">
        <w:trPr>
          <w:trHeight w:val="117"/>
          <w:jc w:val="center"/>
        </w:trPr>
        <w:tc>
          <w:tcPr>
            <w:tcW w:w="1304" w:type="pct"/>
            <w:shd w:val="clear" w:color="000000" w:fill="FFFFFF"/>
            <w:vAlign w:val="center"/>
          </w:tcPr>
          <w:p w14:paraId="308DC6A3" w14:textId="77777777" w:rsidR="003F043F" w:rsidRDefault="000F5B51" w:rsidP="003F043F">
            <w:pPr>
              <w:spacing w:after="0" w:line="240" w:lineRule="auto"/>
              <w:rPr>
                <w:rFonts w:eastAsia="Times New Roman" w:cs="Times New Roman"/>
                <w:color w:val="000000"/>
                <w:szCs w:val="24"/>
              </w:rPr>
            </w:pPr>
            <w:r>
              <w:rPr>
                <w:rFonts w:eastAsia="Calibri" w:cs="Times New Roman"/>
                <w:color w:val="000000"/>
                <w:szCs w:val="24"/>
              </w:rPr>
              <w:t>Right Front Seat</w:t>
            </w:r>
          </w:p>
        </w:tc>
        <w:tc>
          <w:tcPr>
            <w:tcW w:w="977" w:type="pct"/>
            <w:shd w:val="clear" w:color="000000" w:fill="FFFFFF"/>
            <w:vAlign w:val="center"/>
          </w:tcPr>
          <w:p w14:paraId="4A0A3175" w14:textId="77777777" w:rsidR="003F043F" w:rsidRDefault="000F5B51" w:rsidP="003F043F">
            <w:pPr>
              <w:spacing w:after="0" w:line="240" w:lineRule="auto"/>
              <w:jc w:val="center"/>
              <w:rPr>
                <w:rFonts w:eastAsia="Times New Roman" w:cs="Times New Roman"/>
                <w:color w:val="000000"/>
                <w:szCs w:val="24"/>
              </w:rPr>
            </w:pPr>
            <w:r w:rsidRPr="00DC09BC">
              <w:rPr>
                <w:rFonts w:eastAsia="Calibri" w:cs="Times New Roman"/>
                <w:color w:val="000000"/>
                <w:szCs w:val="24"/>
              </w:rPr>
              <w:t>$2.13</w:t>
            </w:r>
          </w:p>
        </w:tc>
        <w:tc>
          <w:tcPr>
            <w:tcW w:w="1185" w:type="pct"/>
            <w:shd w:val="clear" w:color="000000" w:fill="FFFFFF"/>
            <w:vAlign w:val="center"/>
          </w:tcPr>
          <w:p w14:paraId="041831F8" w14:textId="77777777" w:rsidR="003F043F" w:rsidRDefault="000F5B51" w:rsidP="003F043F">
            <w:pPr>
              <w:spacing w:after="0" w:line="240" w:lineRule="auto"/>
              <w:jc w:val="center"/>
              <w:rPr>
                <w:rFonts w:eastAsia="Times New Roman" w:cs="Times New Roman"/>
                <w:color w:val="000000"/>
                <w:szCs w:val="24"/>
              </w:rPr>
            </w:pPr>
            <w:r>
              <w:rPr>
                <w:rFonts w:eastAsia="Times New Roman" w:cs="Times New Roman"/>
                <w:color w:val="000000"/>
                <w:szCs w:val="24"/>
              </w:rPr>
              <w:t>640,000</w:t>
            </w:r>
          </w:p>
        </w:tc>
        <w:tc>
          <w:tcPr>
            <w:tcW w:w="1534" w:type="pct"/>
            <w:shd w:val="clear" w:color="000000" w:fill="FFFFFF"/>
            <w:vAlign w:val="center"/>
          </w:tcPr>
          <w:p w14:paraId="2F41B01E" w14:textId="77777777" w:rsidR="003F043F" w:rsidRDefault="000F5B51" w:rsidP="003F043F">
            <w:pPr>
              <w:spacing w:after="0" w:line="240" w:lineRule="auto"/>
              <w:jc w:val="center"/>
              <w:rPr>
                <w:rFonts w:eastAsia="Times New Roman" w:cs="Times New Roman"/>
                <w:color w:val="000000"/>
                <w:szCs w:val="24"/>
              </w:rPr>
            </w:pPr>
            <w:r>
              <w:rPr>
                <w:szCs w:val="24"/>
              </w:rPr>
              <w:t>$1,363,200</w:t>
            </w:r>
          </w:p>
        </w:tc>
      </w:tr>
      <w:tr w:rsidR="00A15C2C" w14:paraId="2DAFBBCE" w14:textId="77777777" w:rsidTr="003F043F">
        <w:trPr>
          <w:trHeight w:val="117"/>
          <w:jc w:val="center"/>
        </w:trPr>
        <w:tc>
          <w:tcPr>
            <w:tcW w:w="1304" w:type="pct"/>
            <w:vAlign w:val="center"/>
          </w:tcPr>
          <w:p w14:paraId="6899DF6A" w14:textId="77777777" w:rsidR="00DA4FE5" w:rsidRPr="00876C9D" w:rsidRDefault="000F5B51" w:rsidP="00DA4FE5">
            <w:pPr>
              <w:spacing w:after="0" w:line="240" w:lineRule="auto"/>
              <w:rPr>
                <w:rFonts w:eastAsia="Calibri" w:cs="Times New Roman"/>
                <w:color w:val="000000"/>
                <w:szCs w:val="24"/>
              </w:rPr>
            </w:pPr>
            <w:r>
              <w:rPr>
                <w:rFonts w:eastAsia="Calibri" w:cs="Times New Roman"/>
                <w:color w:val="000000"/>
                <w:szCs w:val="24"/>
              </w:rPr>
              <w:t>Rear</w:t>
            </w:r>
            <w:r w:rsidR="00CC1D42">
              <w:rPr>
                <w:rFonts w:eastAsia="Calibri" w:cs="Times New Roman"/>
                <w:color w:val="000000"/>
                <w:szCs w:val="24"/>
              </w:rPr>
              <w:t xml:space="preserve"> Seat</w:t>
            </w:r>
          </w:p>
        </w:tc>
        <w:tc>
          <w:tcPr>
            <w:tcW w:w="977" w:type="pct"/>
            <w:vAlign w:val="center"/>
          </w:tcPr>
          <w:p w14:paraId="721CCF74" w14:textId="77777777" w:rsidR="00DA4FE5" w:rsidRPr="00876C9D" w:rsidRDefault="000F5B51" w:rsidP="00DA4FE5">
            <w:pPr>
              <w:spacing w:after="0" w:line="240" w:lineRule="auto"/>
              <w:jc w:val="center"/>
              <w:rPr>
                <w:rFonts w:eastAsia="Times New Roman" w:cs="Times New Roman"/>
                <w:color w:val="000000"/>
                <w:szCs w:val="24"/>
              </w:rPr>
            </w:pPr>
            <w:r w:rsidRPr="00993575">
              <w:rPr>
                <w:rFonts w:eastAsia="Calibri" w:cs="Times New Roman"/>
                <w:color w:val="000000"/>
                <w:szCs w:val="24"/>
              </w:rPr>
              <w:t>$19.59</w:t>
            </w:r>
          </w:p>
        </w:tc>
        <w:tc>
          <w:tcPr>
            <w:tcW w:w="1185" w:type="pct"/>
            <w:vAlign w:val="center"/>
          </w:tcPr>
          <w:p w14:paraId="564F8F33" w14:textId="77777777" w:rsidR="00DA4FE5" w:rsidRPr="00876C9D" w:rsidRDefault="000F5B51" w:rsidP="00DA4FE5">
            <w:pPr>
              <w:spacing w:after="0" w:line="240" w:lineRule="auto"/>
              <w:jc w:val="center"/>
              <w:rPr>
                <w:rFonts w:eastAsia="Times New Roman" w:cs="Times New Roman"/>
                <w:color w:val="000000"/>
                <w:szCs w:val="24"/>
              </w:rPr>
            </w:pPr>
            <w:r>
              <w:rPr>
                <w:rFonts w:eastAsia="Times New Roman" w:cs="Times New Roman"/>
                <w:color w:val="000000"/>
                <w:szCs w:val="24"/>
              </w:rPr>
              <w:t>8,496,00</w:t>
            </w:r>
          </w:p>
        </w:tc>
        <w:tc>
          <w:tcPr>
            <w:tcW w:w="1534" w:type="pct"/>
            <w:shd w:val="clear" w:color="auto" w:fill="auto"/>
            <w:vAlign w:val="center"/>
          </w:tcPr>
          <w:p w14:paraId="45356D52" w14:textId="77777777" w:rsidR="00DA4FE5" w:rsidRPr="00876C9D" w:rsidRDefault="000F5B51" w:rsidP="00DA4FE5">
            <w:pPr>
              <w:spacing w:after="0" w:line="240" w:lineRule="auto"/>
              <w:jc w:val="center"/>
              <w:rPr>
                <w:rFonts w:eastAsia="Times New Roman" w:cs="Times New Roman"/>
                <w:color w:val="000000"/>
                <w:szCs w:val="24"/>
              </w:rPr>
            </w:pPr>
            <w:r w:rsidRPr="00CE2168">
              <w:rPr>
                <w:szCs w:val="24"/>
              </w:rPr>
              <w:t>$166</w:t>
            </w:r>
            <w:r>
              <w:rPr>
                <w:szCs w:val="24"/>
              </w:rPr>
              <w:t>,436,640</w:t>
            </w:r>
          </w:p>
        </w:tc>
      </w:tr>
      <w:tr w:rsidR="00A15C2C" w14:paraId="5568D414" w14:textId="77777777" w:rsidTr="005E3D4C">
        <w:trPr>
          <w:trHeight w:val="117"/>
          <w:jc w:val="center"/>
        </w:trPr>
        <w:tc>
          <w:tcPr>
            <w:tcW w:w="2281" w:type="pct"/>
            <w:gridSpan w:val="2"/>
            <w:tcBorders>
              <w:right w:val="single" w:sz="4" w:space="0" w:color="FFFFFF" w:themeColor="background1"/>
            </w:tcBorders>
            <w:vAlign w:val="center"/>
          </w:tcPr>
          <w:p w14:paraId="49C49F95" w14:textId="77777777" w:rsidR="00DA4FE5" w:rsidRPr="0093458D" w:rsidRDefault="000F5B51" w:rsidP="0093458D">
            <w:pPr>
              <w:spacing w:after="0" w:line="240" w:lineRule="auto"/>
              <w:rPr>
                <w:rFonts w:eastAsia="Calibri" w:cs="Times New Roman"/>
                <w:b/>
                <w:bCs/>
                <w:color w:val="000000"/>
                <w:szCs w:val="24"/>
              </w:rPr>
            </w:pPr>
            <w:r w:rsidRPr="0093458D">
              <w:rPr>
                <w:rFonts w:eastAsia="Calibri" w:cs="Times New Roman"/>
                <w:b/>
                <w:bCs/>
                <w:color w:val="000000"/>
                <w:szCs w:val="24"/>
              </w:rPr>
              <w:t>Total Annual Cost</w:t>
            </w:r>
          </w:p>
        </w:tc>
        <w:tc>
          <w:tcPr>
            <w:tcW w:w="1185" w:type="pct"/>
            <w:tcBorders>
              <w:left w:val="single" w:sz="4" w:space="0" w:color="FFFFFF" w:themeColor="background1"/>
              <w:right w:val="single" w:sz="4" w:space="0" w:color="FFFFFF" w:themeColor="background1"/>
            </w:tcBorders>
          </w:tcPr>
          <w:p w14:paraId="172AF77D" w14:textId="77777777" w:rsidR="00DA4FE5" w:rsidRDefault="00DA4FE5" w:rsidP="00DA4FE5">
            <w:pPr>
              <w:spacing w:after="0" w:line="240" w:lineRule="auto"/>
              <w:jc w:val="center"/>
              <w:rPr>
                <w:rFonts w:eastAsia="Times New Roman" w:cs="Times New Roman"/>
                <w:color w:val="000000"/>
                <w:szCs w:val="24"/>
              </w:rPr>
            </w:pPr>
          </w:p>
        </w:tc>
        <w:tc>
          <w:tcPr>
            <w:tcW w:w="1534" w:type="pct"/>
            <w:tcBorders>
              <w:left w:val="single" w:sz="4" w:space="0" w:color="FFFFFF" w:themeColor="background1"/>
            </w:tcBorders>
            <w:shd w:val="clear" w:color="auto" w:fill="auto"/>
            <w:vAlign w:val="center"/>
          </w:tcPr>
          <w:p w14:paraId="66654083" w14:textId="77777777" w:rsidR="00DA4FE5" w:rsidRDefault="000F5B51" w:rsidP="00DA4FE5">
            <w:pPr>
              <w:spacing w:after="0" w:line="240" w:lineRule="auto"/>
              <w:jc w:val="center"/>
              <w:rPr>
                <w:rFonts w:eastAsia="Times New Roman" w:cs="Times New Roman"/>
                <w:color w:val="000000"/>
                <w:szCs w:val="24"/>
              </w:rPr>
            </w:pPr>
            <w:r>
              <w:rPr>
                <w:rFonts w:eastAsia="Times New Roman" w:cs="Times New Roman"/>
                <w:b/>
                <w:bCs/>
                <w:color w:val="000000"/>
                <w:szCs w:val="24"/>
              </w:rPr>
              <w:t>$167,799,840</w:t>
            </w:r>
          </w:p>
        </w:tc>
      </w:tr>
    </w:tbl>
    <w:p w14:paraId="319CF216" w14:textId="77777777" w:rsidR="00464F90" w:rsidRDefault="00464F90" w:rsidP="00464F90">
      <w:pPr>
        <w:pStyle w:val="NoSpaceTimes"/>
      </w:pPr>
    </w:p>
    <w:p w14:paraId="6D000244" w14:textId="78059DEC" w:rsidR="002F17EB" w:rsidRDefault="000F5B51" w:rsidP="00464F90">
      <w:pPr>
        <w:spacing w:after="0"/>
        <w:rPr>
          <w:rFonts w:eastAsia="Calibri" w:cs="Times New Roman"/>
          <w:szCs w:val="24"/>
        </w:rPr>
      </w:pPr>
      <w:r>
        <w:rPr>
          <w:rFonts w:eastAsia="Calibri" w:cs="Times New Roman"/>
          <w:szCs w:val="24"/>
        </w:rPr>
        <w:fldChar w:fldCharType="begin"/>
      </w:r>
      <w:r>
        <w:rPr>
          <w:rFonts w:eastAsia="Calibri" w:cs="Times New Roman"/>
          <w:szCs w:val="24"/>
        </w:rPr>
        <w:instrText xml:space="preserve"> REF _Ref125466673 \h </w:instrText>
      </w:r>
      <w:r>
        <w:rPr>
          <w:rFonts w:eastAsia="Calibri" w:cs="Times New Roman"/>
          <w:szCs w:val="24"/>
        </w:rPr>
      </w:r>
      <w:r>
        <w:rPr>
          <w:rFonts w:eastAsia="Calibri" w:cs="Times New Roman"/>
          <w:szCs w:val="24"/>
        </w:rPr>
        <w:fldChar w:fldCharType="separate"/>
      </w:r>
      <w:r w:rsidR="00A65CB3" w:rsidRPr="005E1E5A">
        <w:rPr>
          <w:rFonts w:eastAsia="Calibri" w:cs="Times New Roman"/>
          <w:szCs w:val="24"/>
        </w:rPr>
        <w:t xml:space="preserve">Table </w:t>
      </w:r>
      <w:r w:rsidR="00A65CB3">
        <w:rPr>
          <w:rFonts w:eastAsia="Calibri" w:cs="Times New Roman"/>
          <w:noProof/>
          <w:szCs w:val="24"/>
        </w:rPr>
        <w:t>3</w:t>
      </w:r>
      <w:r>
        <w:rPr>
          <w:rFonts w:eastAsia="Calibri" w:cs="Times New Roman"/>
          <w:szCs w:val="24"/>
        </w:rPr>
        <w:fldChar w:fldCharType="end"/>
      </w:r>
      <w:r w:rsidR="006F21A3">
        <w:rPr>
          <w:rFonts w:eastAsia="Calibri" w:cs="Times New Roman"/>
          <w:szCs w:val="24"/>
        </w:rPr>
        <w:t xml:space="preserve"> and </w:t>
      </w:r>
      <w:r w:rsidR="006F21A3">
        <w:rPr>
          <w:rFonts w:eastAsia="Calibri" w:cs="Times New Roman"/>
          <w:szCs w:val="24"/>
        </w:rPr>
        <w:fldChar w:fldCharType="begin"/>
      </w:r>
      <w:r w:rsidR="006F21A3">
        <w:rPr>
          <w:rFonts w:eastAsia="Calibri" w:cs="Times New Roman"/>
          <w:szCs w:val="24"/>
        </w:rPr>
        <w:instrText xml:space="preserve"> REF _Ref127435130 \h </w:instrText>
      </w:r>
      <w:r w:rsidR="006F21A3">
        <w:rPr>
          <w:rFonts w:eastAsia="Calibri" w:cs="Times New Roman"/>
          <w:szCs w:val="24"/>
        </w:rPr>
      </w:r>
      <w:r w:rsidR="006F21A3">
        <w:rPr>
          <w:rFonts w:eastAsia="Calibri" w:cs="Times New Roman"/>
          <w:szCs w:val="24"/>
        </w:rPr>
        <w:fldChar w:fldCharType="separate"/>
      </w:r>
      <w:r w:rsidR="00A65CB3">
        <w:t xml:space="preserve">Table </w:t>
      </w:r>
      <w:r w:rsidR="00A65CB3">
        <w:rPr>
          <w:noProof/>
        </w:rPr>
        <w:t>4</w:t>
      </w:r>
      <w:r w:rsidR="006F21A3">
        <w:rPr>
          <w:rFonts w:eastAsia="Calibri" w:cs="Times New Roman"/>
          <w:szCs w:val="24"/>
        </w:rPr>
        <w:fldChar w:fldCharType="end"/>
      </w:r>
      <w:r>
        <w:rPr>
          <w:rFonts w:eastAsia="Calibri" w:cs="Times New Roman"/>
          <w:szCs w:val="24"/>
        </w:rPr>
        <w:t xml:space="preserve"> </w:t>
      </w:r>
      <w:r w:rsidRPr="005E1E5A">
        <w:rPr>
          <w:rFonts w:eastAsia="Calibri" w:cs="Times New Roman"/>
          <w:szCs w:val="24"/>
        </w:rPr>
        <w:t>summarize the findings of the cost-effectiveness and benefit-cost analyses</w:t>
      </w:r>
      <w:r w:rsidR="00372E08">
        <w:rPr>
          <w:rFonts w:eastAsia="Calibri" w:cs="Times New Roman"/>
          <w:szCs w:val="24"/>
        </w:rPr>
        <w:t xml:space="preserve"> for the proposed rule</w:t>
      </w:r>
      <w:r>
        <w:rPr>
          <w:rFonts w:eastAsia="Calibri" w:cs="Times New Roman"/>
          <w:szCs w:val="24"/>
        </w:rPr>
        <w:t xml:space="preserve">. </w:t>
      </w:r>
      <w:r w:rsidRPr="005E1E5A">
        <w:rPr>
          <w:rFonts w:eastAsia="Calibri" w:cs="Times New Roman"/>
          <w:szCs w:val="24"/>
        </w:rPr>
        <w:t xml:space="preserve">Cost-effectiveness and </w:t>
      </w:r>
      <w:r w:rsidR="00D611EE">
        <w:rPr>
          <w:rFonts w:eastAsia="Calibri" w:cs="Times New Roman"/>
          <w:szCs w:val="24"/>
        </w:rPr>
        <w:t>benefit-cost</w:t>
      </w:r>
      <w:r w:rsidRPr="005E1E5A">
        <w:rPr>
          <w:rFonts w:eastAsia="Calibri" w:cs="Times New Roman"/>
          <w:szCs w:val="24"/>
        </w:rPr>
        <w:t xml:space="preserve"> analyses enable decision-makers to compare regulatory alternatives in order to identify those that achieve the most effective use of available resources.</w:t>
      </w:r>
      <w:r w:rsidR="00BB3ED7">
        <w:rPr>
          <w:rFonts w:eastAsia="Calibri" w:cs="Times New Roman"/>
          <w:szCs w:val="24"/>
        </w:rPr>
        <w:t xml:space="preserve"> </w:t>
      </w:r>
      <w:r>
        <w:rPr>
          <w:rFonts w:eastAsia="Calibri" w:cs="Times New Roman"/>
          <w:szCs w:val="24"/>
        </w:rPr>
        <w:t>C</w:t>
      </w:r>
      <w:r w:rsidRPr="005E1E5A">
        <w:rPr>
          <w:rFonts w:eastAsia="Calibri" w:cs="Times New Roman"/>
          <w:szCs w:val="24"/>
        </w:rPr>
        <w:t>ertain calculations require that benefits and costs are represented in commeasurable units</w:t>
      </w:r>
      <w:r w:rsidR="001F2F92">
        <w:rPr>
          <w:rFonts w:eastAsia="Calibri" w:cs="Times New Roman"/>
          <w:szCs w:val="24"/>
        </w:rPr>
        <w:t xml:space="preserve">. </w:t>
      </w:r>
      <w:r>
        <w:rPr>
          <w:rFonts w:eastAsia="Calibri" w:cs="Times New Roman"/>
          <w:szCs w:val="24"/>
        </w:rPr>
        <w:t>Therefore,</w:t>
      </w:r>
      <w:r w:rsidRPr="005E1E5A">
        <w:rPr>
          <w:rFonts w:eastAsia="Calibri" w:cs="Times New Roman"/>
          <w:szCs w:val="24"/>
        </w:rPr>
        <w:t xml:space="preserve"> benefits</w:t>
      </w:r>
      <w:r w:rsidR="00BB3ED7">
        <w:rPr>
          <w:rFonts w:eastAsia="Calibri" w:cs="Times New Roman"/>
          <w:szCs w:val="24"/>
        </w:rPr>
        <w:t xml:space="preserve"> </w:t>
      </w:r>
      <w:r w:rsidRPr="005E1E5A">
        <w:rPr>
          <w:rFonts w:eastAsia="Calibri" w:cs="Times New Roman"/>
          <w:szCs w:val="24"/>
        </w:rPr>
        <w:t xml:space="preserve">which are measured in fatalities and non-fatal injuries </w:t>
      </w:r>
      <w:r w:rsidR="00404E29">
        <w:rPr>
          <w:rFonts w:eastAsia="Calibri" w:cs="Times New Roman"/>
          <w:szCs w:val="24"/>
        </w:rPr>
        <w:lastRenderedPageBreak/>
        <w:t xml:space="preserve">prevented </w:t>
      </w:r>
      <w:r w:rsidRPr="005E1E5A">
        <w:rPr>
          <w:rFonts w:eastAsia="Calibri" w:cs="Times New Roman"/>
          <w:szCs w:val="24"/>
        </w:rPr>
        <w:t>are reflected in equivalent lives saved</w:t>
      </w:r>
      <w:r w:rsidR="00404E29">
        <w:rPr>
          <w:rFonts w:eastAsia="Calibri" w:cs="Times New Roman"/>
          <w:szCs w:val="24"/>
        </w:rPr>
        <w:t xml:space="preserve"> (ELS)</w:t>
      </w:r>
      <w:r w:rsidR="00AC33FB">
        <w:rPr>
          <w:rFonts w:eastAsia="Calibri" w:cs="Times New Roman"/>
          <w:szCs w:val="24"/>
        </w:rPr>
        <w:t xml:space="preserve"> for the cost-effectiveness analysis</w:t>
      </w:r>
      <w:r w:rsidRPr="005E1E5A">
        <w:rPr>
          <w:rFonts w:eastAsia="Calibri" w:cs="Times New Roman"/>
          <w:szCs w:val="24"/>
        </w:rPr>
        <w:t xml:space="preserve"> and translated into monetary value</w:t>
      </w:r>
      <w:r w:rsidR="00AC33FB">
        <w:rPr>
          <w:rFonts w:eastAsia="Calibri" w:cs="Times New Roman"/>
          <w:szCs w:val="24"/>
        </w:rPr>
        <w:t xml:space="preserve"> for the benefit-cost analysis</w:t>
      </w:r>
      <w:r w:rsidRPr="005E1E5A">
        <w:rPr>
          <w:rFonts w:eastAsia="Calibri" w:cs="Times New Roman"/>
          <w:szCs w:val="24"/>
        </w:rPr>
        <w:t xml:space="preserve">. </w:t>
      </w:r>
    </w:p>
    <w:p w14:paraId="3463E776" w14:textId="7DD94DD1" w:rsidR="00464F90" w:rsidRPr="005E1E5A" w:rsidRDefault="000F5B51" w:rsidP="00464F90">
      <w:pPr>
        <w:spacing w:after="0"/>
        <w:rPr>
          <w:rFonts w:eastAsia="Calibri" w:cs="Times New Roman"/>
          <w:szCs w:val="24"/>
        </w:rPr>
      </w:pPr>
      <w:r w:rsidRPr="005E1E5A">
        <w:rPr>
          <w:rFonts w:eastAsia="Calibri" w:cs="Times New Roman"/>
          <w:szCs w:val="24"/>
        </w:rPr>
        <w:t xml:space="preserve">Furthermore, in order to compare benefits and costs, these analyses consider the benefits and costs associated with a specific </w:t>
      </w:r>
      <w:r w:rsidR="00363B42">
        <w:rPr>
          <w:rFonts w:eastAsia="Calibri" w:cs="Times New Roman"/>
          <w:szCs w:val="24"/>
        </w:rPr>
        <w:t>model year (</w:t>
      </w:r>
      <w:r w:rsidRPr="005E1E5A">
        <w:rPr>
          <w:rFonts w:eastAsia="Calibri" w:cs="Times New Roman"/>
          <w:szCs w:val="24"/>
        </w:rPr>
        <w:t>MY</w:t>
      </w:r>
      <w:r w:rsidR="00363B42">
        <w:rPr>
          <w:rFonts w:eastAsia="Calibri" w:cs="Times New Roman"/>
          <w:szCs w:val="24"/>
        </w:rPr>
        <w:t>)</w:t>
      </w:r>
      <w:r w:rsidRPr="005E1E5A">
        <w:rPr>
          <w:rFonts w:eastAsia="Calibri" w:cs="Times New Roman"/>
          <w:szCs w:val="24"/>
        </w:rPr>
        <w:t>. The costs associated with a specific MY are incurred in the year that the vehicle is manufactured, while the benefits associated with the proposed rule occur over the course of the vehicle MY’s lifetime. Benefits occurring over the course of the vehicle MY’s lifetime are discounted in order to compare their present value to the costs incurred in the first year that the vehicle is manufactured. Although the cost-effectiveness and benefit-cost analys</w:t>
      </w:r>
      <w:r w:rsidR="00AC33FB">
        <w:rPr>
          <w:rFonts w:eastAsia="Calibri" w:cs="Times New Roman"/>
          <w:szCs w:val="24"/>
        </w:rPr>
        <w:t>e</w:t>
      </w:r>
      <w:r w:rsidRPr="005E1E5A">
        <w:rPr>
          <w:rFonts w:eastAsia="Calibri" w:cs="Times New Roman"/>
          <w:szCs w:val="24"/>
        </w:rPr>
        <w:t xml:space="preserve">s consider the impacts of the proposed rule specific to a particular MY, the benefits and costs presented in the table also represent the annual benefits and costs when all applicable </w:t>
      </w:r>
      <w:r>
        <w:rPr>
          <w:rFonts w:eastAsia="Calibri" w:cs="Times New Roman"/>
          <w:szCs w:val="24"/>
        </w:rPr>
        <w:t>light</w:t>
      </w:r>
      <w:r w:rsidRPr="005E1E5A">
        <w:rPr>
          <w:rFonts w:eastAsia="Calibri" w:cs="Times New Roman"/>
          <w:szCs w:val="24"/>
        </w:rPr>
        <w:t xml:space="preserve"> vehicles are in compliance with the proposed rule</w:t>
      </w:r>
      <w:r w:rsidR="00090838">
        <w:rPr>
          <w:rFonts w:eastAsia="Calibri" w:cs="Times New Roman"/>
          <w:szCs w:val="24"/>
        </w:rPr>
        <w:t>, which may take several decades</w:t>
      </w:r>
      <w:r w:rsidR="001F2F92">
        <w:rPr>
          <w:rFonts w:eastAsia="Calibri" w:cs="Times New Roman"/>
          <w:szCs w:val="24"/>
        </w:rPr>
        <w:t xml:space="preserve">. </w:t>
      </w:r>
      <w:r>
        <w:rPr>
          <w:rFonts w:eastAsia="Calibri" w:cs="Times New Roman"/>
          <w:szCs w:val="24"/>
        </w:rPr>
        <w:t xml:space="preserve">Lastly, </w:t>
      </w:r>
      <w:r w:rsidR="002B354D">
        <w:rPr>
          <w:rFonts w:eastAsia="Calibri" w:cs="Times New Roman"/>
          <w:szCs w:val="24"/>
        </w:rPr>
        <w:t xml:space="preserve">as this analysis considered a lower and higher estimated increase in seat belt use for rear seat occupants, </w:t>
      </w:r>
      <w:r w:rsidR="00CA62EC">
        <w:rPr>
          <w:rFonts w:eastAsia="Calibri" w:cs="Times New Roman"/>
          <w:szCs w:val="24"/>
        </w:rPr>
        <w:t>both the</w:t>
      </w:r>
      <w:r w:rsidR="003D6732">
        <w:rPr>
          <w:rFonts w:eastAsia="Calibri" w:cs="Times New Roman"/>
          <w:szCs w:val="24"/>
        </w:rPr>
        <w:t xml:space="preserve"> resulting</w:t>
      </w:r>
      <w:r w:rsidR="00CA62EC">
        <w:rPr>
          <w:rFonts w:eastAsia="Calibri" w:cs="Times New Roman"/>
          <w:szCs w:val="24"/>
        </w:rPr>
        <w:t xml:space="preserve"> lower (Lo) and higher (Hi) </w:t>
      </w:r>
      <w:r w:rsidR="003D6732">
        <w:rPr>
          <w:rFonts w:eastAsia="Calibri" w:cs="Times New Roman"/>
          <w:szCs w:val="24"/>
        </w:rPr>
        <w:t xml:space="preserve">benefits </w:t>
      </w:r>
      <w:r w:rsidR="00EA6D25">
        <w:rPr>
          <w:rFonts w:eastAsia="Calibri" w:cs="Times New Roman"/>
          <w:szCs w:val="24"/>
        </w:rPr>
        <w:t xml:space="preserve">estimates </w:t>
      </w:r>
      <w:r w:rsidR="00EB41A6">
        <w:rPr>
          <w:rFonts w:eastAsia="Calibri" w:cs="Times New Roman"/>
          <w:szCs w:val="24"/>
        </w:rPr>
        <w:t xml:space="preserve">are included in the presentation of </w:t>
      </w:r>
      <w:r>
        <w:rPr>
          <w:rFonts w:eastAsia="Calibri" w:cs="Times New Roman"/>
          <w:szCs w:val="24"/>
        </w:rPr>
        <w:t xml:space="preserve">cost-effectiveness and net benefits for </w:t>
      </w:r>
      <w:r w:rsidR="00EB41A6">
        <w:rPr>
          <w:rFonts w:eastAsia="Calibri" w:cs="Times New Roman"/>
          <w:szCs w:val="24"/>
        </w:rPr>
        <w:t xml:space="preserve">both rear seat occupants </w:t>
      </w:r>
      <w:r w:rsidR="00EA6D25">
        <w:rPr>
          <w:rFonts w:eastAsia="Calibri" w:cs="Times New Roman"/>
          <w:szCs w:val="24"/>
        </w:rPr>
        <w:t xml:space="preserve">and the proposed rule as a whole. </w:t>
      </w:r>
    </w:p>
    <w:p w14:paraId="77B35DF9" w14:textId="1F9EA5CE" w:rsidR="006F21A3" w:rsidRDefault="000F5B51" w:rsidP="00464F90">
      <w:pPr>
        <w:spacing w:after="0"/>
        <w:rPr>
          <w:rFonts w:eastAsia="Calibri" w:cs="Times New Roman"/>
          <w:szCs w:val="24"/>
        </w:rPr>
      </w:pPr>
      <w:r w:rsidRPr="001D0BC2">
        <w:rPr>
          <w:rFonts w:eastAsia="Calibri" w:cs="Times New Roman"/>
          <w:szCs w:val="24"/>
        </w:rPr>
        <w:t>When discounted at three percent</w:t>
      </w:r>
      <w:r w:rsidR="00464F90" w:rsidRPr="001D0BC2">
        <w:rPr>
          <w:rFonts w:eastAsia="Calibri" w:cs="Times New Roman"/>
          <w:szCs w:val="24"/>
        </w:rPr>
        <w:t xml:space="preserve">, the cost per equivalent live saved </w:t>
      </w:r>
      <w:r w:rsidR="005349B7" w:rsidRPr="001D0BC2">
        <w:rPr>
          <w:rFonts w:eastAsia="Calibri" w:cs="Times New Roman"/>
          <w:szCs w:val="24"/>
        </w:rPr>
        <w:t>is</w:t>
      </w:r>
      <w:r w:rsidRPr="001D0BC2">
        <w:rPr>
          <w:rFonts w:eastAsia="Calibri" w:cs="Times New Roman"/>
          <w:szCs w:val="24"/>
        </w:rPr>
        <w:t xml:space="preserve"> </w:t>
      </w:r>
      <w:r w:rsidR="0063398A" w:rsidRPr="001D0BC2">
        <w:rPr>
          <w:rFonts w:eastAsia="Calibri" w:cs="Times New Roman"/>
          <w:szCs w:val="24"/>
        </w:rPr>
        <w:t>a</w:t>
      </w:r>
      <w:r w:rsidR="00DB47A9" w:rsidRPr="001D0BC2">
        <w:rPr>
          <w:rFonts w:eastAsia="Calibri" w:cs="Times New Roman"/>
          <w:szCs w:val="24"/>
        </w:rPr>
        <w:t>pproximately</w:t>
      </w:r>
      <w:r w:rsidR="0063398A" w:rsidRPr="001D0BC2">
        <w:rPr>
          <w:rFonts w:eastAsia="Calibri" w:cs="Times New Roman"/>
          <w:szCs w:val="24"/>
        </w:rPr>
        <w:t xml:space="preserve"> $1.7</w:t>
      </w:r>
      <w:r w:rsidR="001A120C" w:rsidRPr="001D0BC2">
        <w:rPr>
          <w:rFonts w:eastAsia="Calibri" w:cs="Times New Roman"/>
          <w:szCs w:val="24"/>
        </w:rPr>
        <w:t>1</w:t>
      </w:r>
      <w:r w:rsidR="0063398A" w:rsidRPr="001D0BC2">
        <w:rPr>
          <w:rFonts w:eastAsia="Calibri" w:cs="Times New Roman"/>
          <w:szCs w:val="24"/>
        </w:rPr>
        <w:t xml:space="preserve"> million and</w:t>
      </w:r>
      <w:r w:rsidR="00DB47A9" w:rsidRPr="001D0BC2">
        <w:rPr>
          <w:rFonts w:eastAsia="Calibri" w:cs="Times New Roman"/>
          <w:szCs w:val="24"/>
        </w:rPr>
        <w:t xml:space="preserve"> $1.5</w:t>
      </w:r>
      <w:r w:rsidR="001A120C" w:rsidRPr="001D0BC2">
        <w:rPr>
          <w:rFonts w:eastAsia="Calibri" w:cs="Times New Roman"/>
          <w:szCs w:val="24"/>
        </w:rPr>
        <w:t>3</w:t>
      </w:r>
      <w:r w:rsidR="00DB47A9" w:rsidRPr="001D0BC2">
        <w:rPr>
          <w:rFonts w:eastAsia="Calibri" w:cs="Times New Roman"/>
          <w:szCs w:val="24"/>
        </w:rPr>
        <w:t xml:space="preserve"> million </w:t>
      </w:r>
      <w:r w:rsidR="0063398A" w:rsidRPr="001D0BC2">
        <w:rPr>
          <w:rFonts w:eastAsia="Calibri" w:cs="Times New Roman"/>
          <w:szCs w:val="24"/>
        </w:rPr>
        <w:t>for the Lo and Hi cases, respectively</w:t>
      </w:r>
      <w:r w:rsidR="00AF7B3D" w:rsidRPr="001D0BC2">
        <w:rPr>
          <w:rFonts w:eastAsia="Calibri" w:cs="Times New Roman"/>
          <w:szCs w:val="24"/>
        </w:rPr>
        <w:t xml:space="preserve">. When discounted at </w:t>
      </w:r>
      <w:r w:rsidR="00AA56B8" w:rsidRPr="001D0BC2">
        <w:rPr>
          <w:rFonts w:eastAsia="Calibri" w:cs="Times New Roman"/>
          <w:szCs w:val="24"/>
        </w:rPr>
        <w:t>seven</w:t>
      </w:r>
      <w:r w:rsidR="00AF7B3D" w:rsidRPr="001D0BC2">
        <w:rPr>
          <w:rFonts w:eastAsia="Calibri" w:cs="Times New Roman"/>
          <w:szCs w:val="24"/>
        </w:rPr>
        <w:t xml:space="preserve"> percent, the cost per equivalent live saved </w:t>
      </w:r>
      <w:r w:rsidR="005349B7" w:rsidRPr="001D0BC2">
        <w:rPr>
          <w:rFonts w:eastAsia="Calibri" w:cs="Times New Roman"/>
          <w:szCs w:val="24"/>
        </w:rPr>
        <w:t>is</w:t>
      </w:r>
      <w:r w:rsidR="00AF7B3D" w:rsidRPr="001D0BC2">
        <w:rPr>
          <w:rFonts w:eastAsia="Calibri" w:cs="Times New Roman"/>
          <w:szCs w:val="24"/>
        </w:rPr>
        <w:t xml:space="preserve"> </w:t>
      </w:r>
      <w:r w:rsidR="0063398A" w:rsidRPr="001D0BC2">
        <w:rPr>
          <w:rFonts w:eastAsia="Calibri" w:cs="Times New Roman"/>
          <w:szCs w:val="24"/>
        </w:rPr>
        <w:t>$2.1</w:t>
      </w:r>
      <w:r w:rsidR="00D800A2" w:rsidRPr="001D0BC2">
        <w:rPr>
          <w:rFonts w:eastAsia="Calibri" w:cs="Times New Roman"/>
          <w:szCs w:val="24"/>
        </w:rPr>
        <w:t>0</w:t>
      </w:r>
      <w:r w:rsidR="0063398A" w:rsidRPr="001D0BC2">
        <w:rPr>
          <w:rFonts w:eastAsia="Calibri" w:cs="Times New Roman"/>
          <w:szCs w:val="24"/>
        </w:rPr>
        <w:t xml:space="preserve"> million and </w:t>
      </w:r>
      <w:r w:rsidR="00AF7B3D" w:rsidRPr="001D0BC2">
        <w:rPr>
          <w:rFonts w:eastAsia="Calibri" w:cs="Times New Roman"/>
          <w:szCs w:val="24"/>
        </w:rPr>
        <w:t>$1.</w:t>
      </w:r>
      <w:r w:rsidR="00723024">
        <w:rPr>
          <w:rFonts w:eastAsia="Calibri" w:cs="Times New Roman"/>
          <w:szCs w:val="24"/>
        </w:rPr>
        <w:t>89</w:t>
      </w:r>
      <w:r w:rsidR="00AF7B3D" w:rsidRPr="001D0BC2">
        <w:rPr>
          <w:rFonts w:eastAsia="Calibri" w:cs="Times New Roman"/>
          <w:szCs w:val="24"/>
        </w:rPr>
        <w:t xml:space="preserve"> million</w:t>
      </w:r>
      <w:r w:rsidR="0063398A" w:rsidRPr="001D0BC2">
        <w:rPr>
          <w:rFonts w:eastAsia="Calibri" w:cs="Times New Roman"/>
          <w:szCs w:val="24"/>
        </w:rPr>
        <w:t xml:space="preserve"> for the Lo and Hi cases, respectively</w:t>
      </w:r>
      <w:r w:rsidR="00AF7B3D" w:rsidRPr="001D0BC2">
        <w:rPr>
          <w:rFonts w:eastAsia="Calibri" w:cs="Times New Roman"/>
          <w:szCs w:val="24"/>
        </w:rPr>
        <w:t>.</w:t>
      </w:r>
      <w:r w:rsidR="006F449D" w:rsidRPr="001D0BC2">
        <w:rPr>
          <w:rFonts w:eastAsia="Calibri" w:cs="Times New Roman"/>
          <w:szCs w:val="24"/>
        </w:rPr>
        <w:t xml:space="preserve"> </w:t>
      </w:r>
      <w:r w:rsidR="00464F90" w:rsidRPr="001D0BC2">
        <w:rPr>
          <w:rFonts w:eastAsia="Calibri" w:cs="Times New Roman"/>
          <w:szCs w:val="24"/>
        </w:rPr>
        <w:t>As the cost per equivalent life saved is less than the comprehensive economic cost of a fatality, the proposed rule is considered to be cost-effective.</w:t>
      </w:r>
      <w:r w:rsidR="00E95066">
        <w:rPr>
          <w:rFonts w:eastAsia="Calibri" w:cs="Times New Roman"/>
          <w:szCs w:val="24"/>
        </w:rPr>
        <w:t xml:space="preserve"> </w:t>
      </w:r>
    </w:p>
    <w:p w14:paraId="21D2843C" w14:textId="77777777" w:rsidR="00725A94" w:rsidRDefault="00725A94" w:rsidP="00464F90">
      <w:pPr>
        <w:spacing w:after="0"/>
        <w:rPr>
          <w:rFonts w:eastAsia="Calibri" w:cs="Times New Roman"/>
          <w:szCs w:val="24"/>
        </w:rPr>
      </w:pPr>
    </w:p>
    <w:p w14:paraId="20275E2A" w14:textId="77777777" w:rsidR="00725A94" w:rsidRDefault="00725A94" w:rsidP="00464F90">
      <w:pPr>
        <w:spacing w:after="0"/>
        <w:rPr>
          <w:rFonts w:eastAsia="Calibri" w:cs="Times New Roman"/>
          <w:szCs w:val="24"/>
        </w:rPr>
      </w:pPr>
    </w:p>
    <w:p w14:paraId="4D014A68" w14:textId="77777777" w:rsidR="00725A94" w:rsidRDefault="00725A94" w:rsidP="00464F90">
      <w:pPr>
        <w:spacing w:after="0"/>
        <w:rPr>
          <w:rFonts w:eastAsia="Calibri" w:cs="Times New Roman"/>
          <w:szCs w:val="24"/>
        </w:rPr>
      </w:pPr>
    </w:p>
    <w:p w14:paraId="37291DEE" w14:textId="69D5BBF6" w:rsidR="006F21A3" w:rsidRDefault="000F5B51" w:rsidP="006F21A3">
      <w:pPr>
        <w:spacing w:after="0" w:line="240" w:lineRule="auto"/>
        <w:jc w:val="center"/>
        <w:rPr>
          <w:rFonts w:eastAsia="Calibri" w:cs="Times New Roman"/>
          <w:szCs w:val="24"/>
        </w:rPr>
      </w:pPr>
      <w:bookmarkStart w:id="7" w:name="_Ref125466673"/>
      <w:r w:rsidRPr="005E1E5A">
        <w:rPr>
          <w:rFonts w:eastAsia="Calibri" w:cs="Times New Roman"/>
          <w:szCs w:val="24"/>
        </w:rPr>
        <w:lastRenderedPageBreak/>
        <w:t xml:space="preserve">Table </w:t>
      </w:r>
      <w:r>
        <w:rPr>
          <w:rFonts w:eastAsia="Calibri" w:cs="Times New Roman"/>
          <w:szCs w:val="24"/>
        </w:rPr>
        <w:fldChar w:fldCharType="begin"/>
      </w:r>
      <w:r>
        <w:rPr>
          <w:rFonts w:eastAsia="Calibri" w:cs="Times New Roman"/>
          <w:szCs w:val="24"/>
        </w:rPr>
        <w:instrText xml:space="preserve"> SEQ Table \* ARABIC </w:instrText>
      </w:r>
      <w:r>
        <w:rPr>
          <w:rFonts w:eastAsia="Calibri" w:cs="Times New Roman"/>
          <w:szCs w:val="24"/>
        </w:rPr>
        <w:fldChar w:fldCharType="separate"/>
      </w:r>
      <w:r w:rsidR="00A65CB3">
        <w:rPr>
          <w:rFonts w:eastAsia="Calibri" w:cs="Times New Roman"/>
          <w:noProof/>
          <w:szCs w:val="24"/>
        </w:rPr>
        <w:t>3</w:t>
      </w:r>
      <w:r>
        <w:rPr>
          <w:rFonts w:eastAsia="Calibri" w:cs="Times New Roman"/>
          <w:szCs w:val="24"/>
        </w:rPr>
        <w:fldChar w:fldCharType="end"/>
      </w:r>
      <w:bookmarkEnd w:id="7"/>
      <w:r w:rsidRPr="005E1E5A">
        <w:rPr>
          <w:rFonts w:eastAsia="Calibri" w:cs="Times New Roman"/>
          <w:szCs w:val="24"/>
        </w:rPr>
        <w:t xml:space="preserve">: Summary of </w:t>
      </w:r>
      <w:r>
        <w:rPr>
          <w:rFonts w:eastAsia="Calibri" w:cs="Times New Roman"/>
          <w:szCs w:val="24"/>
        </w:rPr>
        <w:t>Cost-Effectiveness Analysis</w:t>
      </w:r>
      <w:r w:rsidRPr="005E1E5A">
        <w:rPr>
          <w:rFonts w:eastAsia="Calibri" w:cs="Times New Roman"/>
          <w:szCs w:val="24"/>
        </w:rPr>
        <w:t xml:space="preserve"> </w:t>
      </w:r>
    </w:p>
    <w:tbl>
      <w:tblPr>
        <w:tblStyle w:val="TableGrid"/>
        <w:tblW w:w="9821" w:type="dxa"/>
        <w:tblLayout w:type="fixed"/>
        <w:tblLook w:val="04A0" w:firstRow="1" w:lastRow="0" w:firstColumn="1" w:lastColumn="0" w:noHBand="0" w:noVBand="1"/>
      </w:tblPr>
      <w:tblGrid>
        <w:gridCol w:w="1530"/>
        <w:gridCol w:w="1530"/>
        <w:gridCol w:w="1350"/>
        <w:gridCol w:w="1350"/>
        <w:gridCol w:w="1353"/>
        <w:gridCol w:w="1354"/>
        <w:gridCol w:w="1354"/>
      </w:tblGrid>
      <w:tr w:rsidR="00A15C2C" w14:paraId="0DA534C8" w14:textId="77777777" w:rsidTr="004B5470">
        <w:trPr>
          <w:trHeight w:val="118"/>
        </w:trPr>
        <w:tc>
          <w:tcPr>
            <w:tcW w:w="1530" w:type="dxa"/>
            <w:vMerge w:val="restart"/>
            <w:shd w:val="clear" w:color="auto" w:fill="BFBFBF" w:themeFill="background1" w:themeFillShade="BF"/>
            <w:vAlign w:val="center"/>
          </w:tcPr>
          <w:p w14:paraId="3F6E12B2" w14:textId="77777777" w:rsidR="006F21A3" w:rsidRPr="00085101" w:rsidRDefault="000F5B51" w:rsidP="004B5470">
            <w:pPr>
              <w:spacing w:line="240" w:lineRule="auto"/>
              <w:rPr>
                <w:b/>
                <w:szCs w:val="24"/>
              </w:rPr>
            </w:pPr>
            <w:r w:rsidRPr="00085101">
              <w:rPr>
                <w:b/>
                <w:szCs w:val="24"/>
              </w:rPr>
              <w:t>Category</w:t>
            </w:r>
          </w:p>
        </w:tc>
        <w:tc>
          <w:tcPr>
            <w:tcW w:w="4230" w:type="dxa"/>
            <w:gridSpan w:val="3"/>
            <w:shd w:val="clear" w:color="auto" w:fill="BFBFBF" w:themeFill="background1" w:themeFillShade="BF"/>
            <w:vAlign w:val="center"/>
          </w:tcPr>
          <w:p w14:paraId="7CD00B54" w14:textId="77777777" w:rsidR="006F21A3" w:rsidRPr="00085101" w:rsidRDefault="000F5B51" w:rsidP="004B5470">
            <w:pPr>
              <w:spacing w:line="240" w:lineRule="auto"/>
              <w:jc w:val="center"/>
              <w:rPr>
                <w:b/>
                <w:szCs w:val="24"/>
              </w:rPr>
            </w:pPr>
            <w:r w:rsidRPr="00085101">
              <w:rPr>
                <w:b/>
                <w:szCs w:val="24"/>
              </w:rPr>
              <w:t>Discounted at 3%</w:t>
            </w:r>
          </w:p>
        </w:tc>
        <w:tc>
          <w:tcPr>
            <w:tcW w:w="4061" w:type="dxa"/>
            <w:gridSpan w:val="3"/>
            <w:shd w:val="clear" w:color="auto" w:fill="BFBFBF" w:themeFill="background1" w:themeFillShade="BF"/>
            <w:vAlign w:val="center"/>
          </w:tcPr>
          <w:p w14:paraId="544F9F75" w14:textId="77777777" w:rsidR="006F21A3" w:rsidRPr="00085101" w:rsidRDefault="000F5B51" w:rsidP="004B5470">
            <w:pPr>
              <w:spacing w:line="240" w:lineRule="auto"/>
              <w:jc w:val="center"/>
              <w:rPr>
                <w:b/>
                <w:szCs w:val="24"/>
              </w:rPr>
            </w:pPr>
            <w:r w:rsidRPr="00085101">
              <w:rPr>
                <w:b/>
                <w:szCs w:val="24"/>
              </w:rPr>
              <w:t>Discounted at 7%</w:t>
            </w:r>
          </w:p>
        </w:tc>
      </w:tr>
      <w:tr w:rsidR="00A15C2C" w14:paraId="18C26B20" w14:textId="77777777" w:rsidTr="004B5470">
        <w:trPr>
          <w:trHeight w:val="114"/>
        </w:trPr>
        <w:tc>
          <w:tcPr>
            <w:tcW w:w="1530" w:type="dxa"/>
            <w:vMerge/>
            <w:shd w:val="clear" w:color="auto" w:fill="BFBFBF" w:themeFill="background1" w:themeFillShade="BF"/>
          </w:tcPr>
          <w:p w14:paraId="15E69801" w14:textId="77777777" w:rsidR="006F21A3" w:rsidRPr="005277AA" w:rsidRDefault="006F21A3" w:rsidP="004B5470">
            <w:pPr>
              <w:spacing w:line="240" w:lineRule="auto"/>
              <w:jc w:val="center"/>
              <w:rPr>
                <w:b/>
                <w:szCs w:val="24"/>
              </w:rPr>
            </w:pPr>
          </w:p>
        </w:tc>
        <w:tc>
          <w:tcPr>
            <w:tcW w:w="1530" w:type="dxa"/>
            <w:shd w:val="clear" w:color="auto" w:fill="BFBFBF" w:themeFill="background1" w:themeFillShade="BF"/>
            <w:vAlign w:val="center"/>
          </w:tcPr>
          <w:p w14:paraId="4A620C72" w14:textId="77777777" w:rsidR="006F21A3" w:rsidRPr="005277AA" w:rsidRDefault="000F5B51" w:rsidP="004B5470">
            <w:pPr>
              <w:spacing w:line="240" w:lineRule="auto"/>
              <w:jc w:val="center"/>
              <w:rPr>
                <w:b/>
                <w:szCs w:val="24"/>
              </w:rPr>
            </w:pPr>
            <w:r w:rsidRPr="005277AA">
              <w:rPr>
                <w:b/>
                <w:szCs w:val="24"/>
              </w:rPr>
              <w:t>Equivalent Lives Saved</w:t>
            </w:r>
          </w:p>
        </w:tc>
        <w:tc>
          <w:tcPr>
            <w:tcW w:w="1350" w:type="dxa"/>
            <w:shd w:val="clear" w:color="auto" w:fill="BFBFBF" w:themeFill="background1" w:themeFillShade="BF"/>
            <w:vAlign w:val="center"/>
          </w:tcPr>
          <w:p w14:paraId="6F63D6F3" w14:textId="77777777" w:rsidR="006F21A3" w:rsidRDefault="000F5B51" w:rsidP="004B5470">
            <w:pPr>
              <w:spacing w:line="240" w:lineRule="auto"/>
              <w:jc w:val="center"/>
              <w:rPr>
                <w:rFonts w:cs="Times New Roman"/>
                <w:b/>
                <w:szCs w:val="24"/>
              </w:rPr>
            </w:pPr>
            <w:r w:rsidRPr="005277AA">
              <w:rPr>
                <w:rFonts w:cs="Times New Roman"/>
                <w:b/>
                <w:szCs w:val="24"/>
              </w:rPr>
              <w:t>Cost</w:t>
            </w:r>
          </w:p>
          <w:p w14:paraId="2E844017" w14:textId="11ABE19E" w:rsidR="005F214F" w:rsidRPr="005F214F" w:rsidRDefault="005F214F" w:rsidP="004B5470">
            <w:pPr>
              <w:spacing w:line="240" w:lineRule="auto"/>
              <w:jc w:val="center"/>
              <w:rPr>
                <w:rFonts w:cs="Times New Roman"/>
                <w:b/>
                <w:szCs w:val="24"/>
              </w:rPr>
            </w:pPr>
            <w:r w:rsidRPr="005F214F">
              <w:rPr>
                <w:rFonts w:cs="Times New Roman"/>
                <w:b/>
                <w:szCs w:val="24"/>
              </w:rPr>
              <w:t>(Millions)</w:t>
            </w:r>
          </w:p>
        </w:tc>
        <w:tc>
          <w:tcPr>
            <w:tcW w:w="1350" w:type="dxa"/>
            <w:shd w:val="clear" w:color="auto" w:fill="BFBFBF" w:themeFill="background1" w:themeFillShade="BF"/>
            <w:vAlign w:val="center"/>
          </w:tcPr>
          <w:p w14:paraId="5253D84B" w14:textId="77777777" w:rsidR="006F21A3" w:rsidRDefault="000F5B51" w:rsidP="004B5470">
            <w:pPr>
              <w:spacing w:line="240" w:lineRule="auto"/>
              <w:jc w:val="center"/>
              <w:rPr>
                <w:b/>
                <w:szCs w:val="24"/>
              </w:rPr>
            </w:pPr>
            <w:r w:rsidRPr="005277AA">
              <w:rPr>
                <w:b/>
                <w:szCs w:val="24"/>
              </w:rPr>
              <w:t>Cost per Equivalent Live Saved</w:t>
            </w:r>
          </w:p>
          <w:p w14:paraId="229B818F" w14:textId="2D7D0E4B" w:rsidR="005F214F" w:rsidRPr="005277AA" w:rsidRDefault="005F214F" w:rsidP="004B5470">
            <w:pPr>
              <w:spacing w:line="240" w:lineRule="auto"/>
              <w:jc w:val="center"/>
              <w:rPr>
                <w:rFonts w:cs="Times New Roman"/>
                <w:b/>
                <w:szCs w:val="24"/>
              </w:rPr>
            </w:pPr>
            <w:r w:rsidRPr="005F214F">
              <w:rPr>
                <w:rFonts w:cs="Times New Roman"/>
                <w:b/>
                <w:szCs w:val="24"/>
              </w:rPr>
              <w:t>(Millions)</w:t>
            </w:r>
          </w:p>
        </w:tc>
        <w:tc>
          <w:tcPr>
            <w:tcW w:w="1353" w:type="dxa"/>
            <w:shd w:val="clear" w:color="auto" w:fill="BFBFBF" w:themeFill="background1" w:themeFillShade="BF"/>
            <w:vAlign w:val="center"/>
          </w:tcPr>
          <w:p w14:paraId="42C5FE33" w14:textId="77777777" w:rsidR="006F21A3" w:rsidRPr="005277AA" w:rsidRDefault="000F5B51" w:rsidP="004B5470">
            <w:pPr>
              <w:spacing w:line="240" w:lineRule="auto"/>
              <w:jc w:val="center"/>
              <w:rPr>
                <w:b/>
                <w:szCs w:val="24"/>
              </w:rPr>
            </w:pPr>
            <w:r w:rsidRPr="005277AA">
              <w:rPr>
                <w:b/>
                <w:szCs w:val="24"/>
              </w:rPr>
              <w:t>Equivalent Lives Saved</w:t>
            </w:r>
          </w:p>
        </w:tc>
        <w:tc>
          <w:tcPr>
            <w:tcW w:w="1354" w:type="dxa"/>
            <w:shd w:val="clear" w:color="auto" w:fill="BFBFBF" w:themeFill="background1" w:themeFillShade="BF"/>
            <w:vAlign w:val="center"/>
          </w:tcPr>
          <w:p w14:paraId="7F455EC0" w14:textId="77777777" w:rsidR="006F21A3" w:rsidRDefault="000F5B51" w:rsidP="004B5470">
            <w:pPr>
              <w:spacing w:line="240" w:lineRule="auto"/>
              <w:jc w:val="center"/>
              <w:rPr>
                <w:b/>
                <w:szCs w:val="24"/>
              </w:rPr>
            </w:pPr>
            <w:r w:rsidRPr="005277AA">
              <w:rPr>
                <w:b/>
                <w:szCs w:val="24"/>
              </w:rPr>
              <w:t>Cost</w:t>
            </w:r>
          </w:p>
          <w:p w14:paraId="40B5CDA8" w14:textId="48A6C9A8" w:rsidR="005F214F" w:rsidRPr="005277AA" w:rsidRDefault="005F214F" w:rsidP="004B5470">
            <w:pPr>
              <w:spacing w:line="240" w:lineRule="auto"/>
              <w:jc w:val="center"/>
              <w:rPr>
                <w:b/>
                <w:szCs w:val="24"/>
              </w:rPr>
            </w:pPr>
            <w:r w:rsidRPr="005F214F">
              <w:rPr>
                <w:b/>
                <w:szCs w:val="24"/>
              </w:rPr>
              <w:t>(Millions)</w:t>
            </w:r>
          </w:p>
        </w:tc>
        <w:tc>
          <w:tcPr>
            <w:tcW w:w="1354" w:type="dxa"/>
            <w:shd w:val="clear" w:color="auto" w:fill="BFBFBF" w:themeFill="background1" w:themeFillShade="BF"/>
            <w:vAlign w:val="center"/>
          </w:tcPr>
          <w:p w14:paraId="3F808F9A" w14:textId="77777777" w:rsidR="006F21A3" w:rsidRDefault="000F5B51" w:rsidP="004B5470">
            <w:pPr>
              <w:spacing w:line="240" w:lineRule="auto"/>
              <w:jc w:val="center"/>
              <w:rPr>
                <w:b/>
                <w:szCs w:val="24"/>
              </w:rPr>
            </w:pPr>
            <w:r w:rsidRPr="005277AA">
              <w:rPr>
                <w:b/>
                <w:szCs w:val="24"/>
              </w:rPr>
              <w:t>Cost per Equivalent Live Saved</w:t>
            </w:r>
          </w:p>
          <w:p w14:paraId="199F8BC9" w14:textId="4B1A1E20" w:rsidR="005F214F" w:rsidRPr="005277AA" w:rsidRDefault="005F214F" w:rsidP="004B5470">
            <w:pPr>
              <w:spacing w:line="240" w:lineRule="auto"/>
              <w:jc w:val="center"/>
              <w:rPr>
                <w:b/>
                <w:szCs w:val="24"/>
              </w:rPr>
            </w:pPr>
            <w:r w:rsidRPr="005F214F">
              <w:rPr>
                <w:b/>
                <w:szCs w:val="24"/>
              </w:rPr>
              <w:t>(Millions)</w:t>
            </w:r>
          </w:p>
        </w:tc>
      </w:tr>
      <w:tr w:rsidR="00103AA6" w14:paraId="7FAB6F21" w14:textId="77777777" w:rsidTr="004B5470">
        <w:trPr>
          <w:trHeight w:val="114"/>
        </w:trPr>
        <w:tc>
          <w:tcPr>
            <w:tcW w:w="1530" w:type="dxa"/>
          </w:tcPr>
          <w:p w14:paraId="75945A93" w14:textId="77777777" w:rsidR="00103AA6" w:rsidRPr="00085101" w:rsidRDefault="00103AA6" w:rsidP="00103AA6">
            <w:pPr>
              <w:spacing w:line="240" w:lineRule="auto"/>
              <w:jc w:val="center"/>
              <w:rPr>
                <w:szCs w:val="24"/>
              </w:rPr>
            </w:pPr>
            <w:r w:rsidRPr="00085101">
              <w:rPr>
                <w:szCs w:val="24"/>
              </w:rPr>
              <w:t>Lo</w:t>
            </w:r>
          </w:p>
        </w:tc>
        <w:tc>
          <w:tcPr>
            <w:tcW w:w="1530" w:type="dxa"/>
          </w:tcPr>
          <w:p w14:paraId="5763C332" w14:textId="31D262C7" w:rsidR="00103AA6" w:rsidRPr="00085101" w:rsidRDefault="00103AA6" w:rsidP="00103AA6">
            <w:pPr>
              <w:spacing w:line="240" w:lineRule="auto"/>
              <w:jc w:val="center"/>
              <w:rPr>
                <w:rFonts w:cs="Times New Roman"/>
                <w:szCs w:val="24"/>
              </w:rPr>
            </w:pPr>
            <w:r w:rsidRPr="003E48BD">
              <w:rPr>
                <w:bCs/>
                <w:szCs w:val="24"/>
              </w:rPr>
              <w:t>98.3</w:t>
            </w:r>
          </w:p>
        </w:tc>
        <w:tc>
          <w:tcPr>
            <w:tcW w:w="1350" w:type="dxa"/>
            <w:vMerge w:val="restart"/>
            <w:vAlign w:val="center"/>
          </w:tcPr>
          <w:p w14:paraId="29443081" w14:textId="77777777" w:rsidR="00103AA6" w:rsidRPr="00085101" w:rsidRDefault="00103AA6" w:rsidP="00103AA6">
            <w:pPr>
              <w:spacing w:line="240" w:lineRule="auto"/>
              <w:jc w:val="center"/>
              <w:rPr>
                <w:szCs w:val="24"/>
              </w:rPr>
            </w:pPr>
            <w:r w:rsidRPr="00085101">
              <w:rPr>
                <w:szCs w:val="24"/>
              </w:rPr>
              <w:t>$167.8</w:t>
            </w:r>
          </w:p>
        </w:tc>
        <w:tc>
          <w:tcPr>
            <w:tcW w:w="1350" w:type="dxa"/>
            <w:vAlign w:val="center"/>
          </w:tcPr>
          <w:p w14:paraId="38058873" w14:textId="6F243F89" w:rsidR="00103AA6" w:rsidRPr="00085101" w:rsidRDefault="00103AA6" w:rsidP="00103AA6">
            <w:pPr>
              <w:spacing w:line="240" w:lineRule="auto"/>
              <w:jc w:val="center"/>
              <w:rPr>
                <w:szCs w:val="24"/>
              </w:rPr>
            </w:pPr>
            <w:r w:rsidRPr="003E48BD">
              <w:rPr>
                <w:bCs/>
                <w:szCs w:val="24"/>
              </w:rPr>
              <w:t>$1.71</w:t>
            </w:r>
          </w:p>
        </w:tc>
        <w:tc>
          <w:tcPr>
            <w:tcW w:w="1353" w:type="dxa"/>
            <w:vAlign w:val="center"/>
          </w:tcPr>
          <w:p w14:paraId="47507779" w14:textId="5CA66367" w:rsidR="00103AA6" w:rsidRPr="00085101" w:rsidRDefault="00103AA6" w:rsidP="00103AA6">
            <w:pPr>
              <w:spacing w:line="240" w:lineRule="auto"/>
              <w:jc w:val="center"/>
              <w:rPr>
                <w:szCs w:val="24"/>
              </w:rPr>
            </w:pPr>
            <w:r w:rsidRPr="003E48BD">
              <w:rPr>
                <w:bCs/>
                <w:szCs w:val="24"/>
              </w:rPr>
              <w:t>79.7</w:t>
            </w:r>
          </w:p>
        </w:tc>
        <w:tc>
          <w:tcPr>
            <w:tcW w:w="1354" w:type="dxa"/>
            <w:vMerge w:val="restart"/>
            <w:vAlign w:val="center"/>
          </w:tcPr>
          <w:p w14:paraId="750432AC" w14:textId="77777777" w:rsidR="00103AA6" w:rsidRPr="00085101" w:rsidRDefault="00103AA6" w:rsidP="00103AA6">
            <w:pPr>
              <w:spacing w:line="240" w:lineRule="auto"/>
              <w:jc w:val="center"/>
              <w:rPr>
                <w:szCs w:val="24"/>
              </w:rPr>
            </w:pPr>
            <w:r w:rsidRPr="00085101">
              <w:rPr>
                <w:szCs w:val="24"/>
              </w:rPr>
              <w:t>$167.8</w:t>
            </w:r>
          </w:p>
        </w:tc>
        <w:tc>
          <w:tcPr>
            <w:tcW w:w="1354" w:type="dxa"/>
            <w:vAlign w:val="center"/>
          </w:tcPr>
          <w:p w14:paraId="3D18E8E5" w14:textId="76405156" w:rsidR="00103AA6" w:rsidRPr="00085101" w:rsidRDefault="00103AA6" w:rsidP="00103AA6">
            <w:pPr>
              <w:spacing w:line="240" w:lineRule="auto"/>
              <w:jc w:val="center"/>
              <w:rPr>
                <w:szCs w:val="24"/>
              </w:rPr>
            </w:pPr>
            <w:r w:rsidRPr="003E48BD">
              <w:rPr>
                <w:bCs/>
                <w:szCs w:val="24"/>
              </w:rPr>
              <w:t>$2.10</w:t>
            </w:r>
          </w:p>
        </w:tc>
      </w:tr>
      <w:tr w:rsidR="00103AA6" w14:paraId="11AF3BF3" w14:textId="77777777" w:rsidTr="002827F1">
        <w:trPr>
          <w:trHeight w:val="114"/>
        </w:trPr>
        <w:tc>
          <w:tcPr>
            <w:tcW w:w="1530" w:type="dxa"/>
          </w:tcPr>
          <w:p w14:paraId="6ED3524D" w14:textId="77777777" w:rsidR="00103AA6" w:rsidRPr="00085101" w:rsidRDefault="00103AA6" w:rsidP="00103AA6">
            <w:pPr>
              <w:spacing w:line="240" w:lineRule="auto"/>
              <w:jc w:val="center"/>
              <w:rPr>
                <w:szCs w:val="24"/>
              </w:rPr>
            </w:pPr>
            <w:r w:rsidRPr="00085101">
              <w:rPr>
                <w:szCs w:val="24"/>
              </w:rPr>
              <w:t>Hi</w:t>
            </w:r>
          </w:p>
        </w:tc>
        <w:tc>
          <w:tcPr>
            <w:tcW w:w="1530" w:type="dxa"/>
          </w:tcPr>
          <w:p w14:paraId="3C0943FE" w14:textId="1C7D582A" w:rsidR="00103AA6" w:rsidRPr="00085101" w:rsidRDefault="00103AA6" w:rsidP="00103AA6">
            <w:pPr>
              <w:spacing w:line="240" w:lineRule="auto"/>
              <w:jc w:val="center"/>
              <w:rPr>
                <w:rFonts w:cs="Times New Roman"/>
                <w:szCs w:val="24"/>
              </w:rPr>
            </w:pPr>
            <w:r w:rsidRPr="003E48BD">
              <w:rPr>
                <w:bCs/>
                <w:szCs w:val="24"/>
              </w:rPr>
              <w:t>109.4</w:t>
            </w:r>
          </w:p>
        </w:tc>
        <w:tc>
          <w:tcPr>
            <w:tcW w:w="1350" w:type="dxa"/>
            <w:vMerge/>
            <w:vAlign w:val="center"/>
          </w:tcPr>
          <w:p w14:paraId="4A823007" w14:textId="77777777" w:rsidR="00103AA6" w:rsidRPr="00085101" w:rsidRDefault="00103AA6" w:rsidP="00103AA6">
            <w:pPr>
              <w:spacing w:line="240" w:lineRule="auto"/>
              <w:jc w:val="center"/>
              <w:rPr>
                <w:szCs w:val="24"/>
              </w:rPr>
            </w:pPr>
          </w:p>
        </w:tc>
        <w:tc>
          <w:tcPr>
            <w:tcW w:w="1350" w:type="dxa"/>
            <w:vAlign w:val="center"/>
          </w:tcPr>
          <w:p w14:paraId="7F7964B1" w14:textId="0FAC09EB" w:rsidR="00103AA6" w:rsidRPr="00085101" w:rsidRDefault="00103AA6" w:rsidP="00103AA6">
            <w:pPr>
              <w:spacing w:line="240" w:lineRule="auto"/>
              <w:jc w:val="center"/>
              <w:rPr>
                <w:szCs w:val="24"/>
              </w:rPr>
            </w:pPr>
            <w:r w:rsidRPr="003E48BD">
              <w:rPr>
                <w:bCs/>
                <w:szCs w:val="24"/>
              </w:rPr>
              <w:t>$1.53</w:t>
            </w:r>
          </w:p>
        </w:tc>
        <w:tc>
          <w:tcPr>
            <w:tcW w:w="1353" w:type="dxa"/>
            <w:tcBorders>
              <w:bottom w:val="single" w:sz="4" w:space="0" w:color="auto"/>
            </w:tcBorders>
            <w:vAlign w:val="center"/>
          </w:tcPr>
          <w:p w14:paraId="6F18C692" w14:textId="244B8CAE" w:rsidR="00103AA6" w:rsidRPr="00085101" w:rsidRDefault="00723024" w:rsidP="00103AA6">
            <w:pPr>
              <w:spacing w:line="240" w:lineRule="auto"/>
              <w:jc w:val="center"/>
              <w:rPr>
                <w:szCs w:val="24"/>
              </w:rPr>
            </w:pPr>
            <w:r>
              <w:rPr>
                <w:bCs/>
                <w:szCs w:val="24"/>
              </w:rPr>
              <w:t>88.7</w:t>
            </w:r>
          </w:p>
        </w:tc>
        <w:tc>
          <w:tcPr>
            <w:tcW w:w="1354" w:type="dxa"/>
            <w:vMerge/>
            <w:vAlign w:val="center"/>
          </w:tcPr>
          <w:p w14:paraId="2486BB03" w14:textId="77777777" w:rsidR="00103AA6" w:rsidRPr="00085101" w:rsidRDefault="00103AA6" w:rsidP="00103AA6">
            <w:pPr>
              <w:spacing w:line="240" w:lineRule="auto"/>
              <w:jc w:val="center"/>
              <w:rPr>
                <w:szCs w:val="24"/>
              </w:rPr>
            </w:pPr>
          </w:p>
        </w:tc>
        <w:tc>
          <w:tcPr>
            <w:tcW w:w="1354" w:type="dxa"/>
            <w:vAlign w:val="center"/>
          </w:tcPr>
          <w:p w14:paraId="5FC13230" w14:textId="0160B593" w:rsidR="00103AA6" w:rsidRPr="00085101" w:rsidRDefault="00103AA6" w:rsidP="00103AA6">
            <w:pPr>
              <w:spacing w:line="240" w:lineRule="auto"/>
              <w:jc w:val="center"/>
              <w:rPr>
                <w:szCs w:val="24"/>
              </w:rPr>
            </w:pPr>
            <w:r w:rsidRPr="003E48BD">
              <w:rPr>
                <w:bCs/>
                <w:szCs w:val="24"/>
              </w:rPr>
              <w:t>$1.</w:t>
            </w:r>
            <w:r w:rsidR="00723024">
              <w:rPr>
                <w:bCs/>
                <w:szCs w:val="24"/>
              </w:rPr>
              <w:t>89</w:t>
            </w:r>
          </w:p>
        </w:tc>
      </w:tr>
    </w:tbl>
    <w:p w14:paraId="0A9B8AF5" w14:textId="77777777" w:rsidR="006F21A3" w:rsidRDefault="006F21A3" w:rsidP="006F21A3">
      <w:pPr>
        <w:pStyle w:val="NoSpaceTimes"/>
      </w:pPr>
    </w:p>
    <w:p w14:paraId="0C2E9CE4" w14:textId="2C22C52F" w:rsidR="00464F90" w:rsidRDefault="000F5B51" w:rsidP="00464F90">
      <w:pPr>
        <w:spacing w:after="0"/>
        <w:rPr>
          <w:rFonts w:eastAsia="Calibri" w:cs="Times New Roman"/>
          <w:szCs w:val="24"/>
        </w:rPr>
      </w:pPr>
      <w:r w:rsidRPr="001D0BC2">
        <w:rPr>
          <w:rFonts w:eastAsia="Calibri" w:cs="Times New Roman"/>
          <w:szCs w:val="24"/>
        </w:rPr>
        <w:t xml:space="preserve">When discounted at three precent, net benefits are estimated at </w:t>
      </w:r>
      <w:r w:rsidR="00647C02" w:rsidRPr="001D0BC2">
        <w:rPr>
          <w:rFonts w:eastAsia="Calibri" w:cs="Times New Roman"/>
          <w:szCs w:val="24"/>
        </w:rPr>
        <w:t>approximately $</w:t>
      </w:r>
      <w:r w:rsidR="00D800A2" w:rsidRPr="001D0BC2">
        <w:rPr>
          <w:rFonts w:eastAsia="Calibri" w:cs="Times New Roman"/>
          <w:szCs w:val="24"/>
        </w:rPr>
        <w:t>1.0</w:t>
      </w:r>
      <w:r w:rsidR="00647C02" w:rsidRPr="001D0BC2">
        <w:rPr>
          <w:rFonts w:eastAsia="Calibri" w:cs="Times New Roman"/>
          <w:szCs w:val="24"/>
        </w:rPr>
        <w:t xml:space="preserve"> </w:t>
      </w:r>
      <w:r w:rsidR="00D800A2" w:rsidRPr="001D0BC2">
        <w:rPr>
          <w:rFonts w:eastAsia="Calibri" w:cs="Times New Roman"/>
          <w:szCs w:val="24"/>
        </w:rPr>
        <w:t>b</w:t>
      </w:r>
      <w:r w:rsidR="00647C02" w:rsidRPr="001D0BC2">
        <w:rPr>
          <w:rFonts w:eastAsia="Calibri" w:cs="Times New Roman"/>
          <w:szCs w:val="24"/>
        </w:rPr>
        <w:t>illion and $1.1</w:t>
      </w:r>
      <w:r w:rsidR="00D800A2" w:rsidRPr="001D0BC2">
        <w:rPr>
          <w:rFonts w:eastAsia="Calibri" w:cs="Times New Roman"/>
          <w:szCs w:val="24"/>
        </w:rPr>
        <w:t>4</w:t>
      </w:r>
      <w:r w:rsidR="00647C02" w:rsidRPr="001D0BC2">
        <w:rPr>
          <w:rFonts w:eastAsia="Calibri" w:cs="Times New Roman"/>
          <w:szCs w:val="24"/>
        </w:rPr>
        <w:t xml:space="preserve"> billion for the Lo and Hi cases, respectively. When discounted at seven precent, net benefits are estimated at approximately $</w:t>
      </w:r>
      <w:r w:rsidR="00D800A2" w:rsidRPr="001D0BC2">
        <w:rPr>
          <w:rFonts w:eastAsia="Calibri" w:cs="Times New Roman"/>
          <w:szCs w:val="24"/>
        </w:rPr>
        <w:t>787</w:t>
      </w:r>
      <w:r w:rsidR="00647C02" w:rsidRPr="001D0BC2">
        <w:rPr>
          <w:rFonts w:eastAsia="Calibri" w:cs="Times New Roman"/>
          <w:szCs w:val="24"/>
        </w:rPr>
        <w:t xml:space="preserve"> million and $8</w:t>
      </w:r>
      <w:r w:rsidR="00D800A2" w:rsidRPr="001D0BC2">
        <w:rPr>
          <w:rFonts w:eastAsia="Calibri" w:cs="Times New Roman"/>
          <w:szCs w:val="24"/>
        </w:rPr>
        <w:t>95</w:t>
      </w:r>
      <w:r w:rsidR="00647C02" w:rsidRPr="001D0BC2">
        <w:rPr>
          <w:rFonts w:eastAsia="Calibri" w:cs="Times New Roman"/>
          <w:szCs w:val="24"/>
        </w:rPr>
        <w:t xml:space="preserve"> million for the Lo and Hi cases,</w:t>
      </w:r>
      <w:r w:rsidR="00647C02">
        <w:rPr>
          <w:rFonts w:eastAsia="Calibri" w:cs="Times New Roman"/>
          <w:szCs w:val="24"/>
        </w:rPr>
        <w:t xml:space="preserve"> respectively. </w:t>
      </w:r>
      <w:r w:rsidR="006F449D">
        <w:rPr>
          <w:rFonts w:eastAsia="Calibri" w:cs="Times New Roman"/>
          <w:szCs w:val="24"/>
        </w:rPr>
        <w:t>Positive net benefits</w:t>
      </w:r>
      <w:r>
        <w:rPr>
          <w:rFonts w:eastAsia="Calibri" w:cs="Times New Roman"/>
          <w:szCs w:val="24"/>
        </w:rPr>
        <w:t xml:space="preserve"> indicat</w:t>
      </w:r>
      <w:r w:rsidR="006F449D">
        <w:rPr>
          <w:rFonts w:eastAsia="Calibri" w:cs="Times New Roman"/>
          <w:szCs w:val="24"/>
        </w:rPr>
        <w:t>e</w:t>
      </w:r>
      <w:r>
        <w:rPr>
          <w:rFonts w:eastAsia="Calibri" w:cs="Times New Roman"/>
          <w:szCs w:val="24"/>
        </w:rPr>
        <w:t xml:space="preserve"> that the proposed rule is net beneficial. </w:t>
      </w:r>
    </w:p>
    <w:p w14:paraId="7345A008" w14:textId="3FFD007D" w:rsidR="006F21A3" w:rsidRDefault="000F5B51" w:rsidP="006F21A3">
      <w:pPr>
        <w:pStyle w:val="Caption"/>
      </w:pPr>
      <w:bookmarkStart w:id="8" w:name="_Ref127435130"/>
      <w:r>
        <w:t xml:space="preserve">Table </w:t>
      </w:r>
      <w:r w:rsidR="00115BAB">
        <w:fldChar w:fldCharType="begin"/>
      </w:r>
      <w:r>
        <w:instrText xml:space="preserve"> SEQ Table \* ARABIC </w:instrText>
      </w:r>
      <w:r w:rsidR="00115BAB">
        <w:fldChar w:fldCharType="separate"/>
      </w:r>
      <w:r w:rsidR="00A65CB3">
        <w:rPr>
          <w:noProof/>
        </w:rPr>
        <w:t>4</w:t>
      </w:r>
      <w:r w:rsidR="00115BAB">
        <w:rPr>
          <w:noProof/>
        </w:rPr>
        <w:fldChar w:fldCharType="end"/>
      </w:r>
      <w:bookmarkEnd w:id="8"/>
      <w:r>
        <w:t>: Summary of Benefit-Cost Analysis (Millions)</w:t>
      </w:r>
    </w:p>
    <w:tbl>
      <w:tblPr>
        <w:tblStyle w:val="TableGrid"/>
        <w:tblW w:w="9821" w:type="dxa"/>
        <w:tblLayout w:type="fixed"/>
        <w:tblLook w:val="04A0" w:firstRow="1" w:lastRow="0" w:firstColumn="1" w:lastColumn="0" w:noHBand="0" w:noVBand="1"/>
      </w:tblPr>
      <w:tblGrid>
        <w:gridCol w:w="1530"/>
        <w:gridCol w:w="1530"/>
        <w:gridCol w:w="1350"/>
        <w:gridCol w:w="1350"/>
        <w:gridCol w:w="1353"/>
        <w:gridCol w:w="1354"/>
        <w:gridCol w:w="1354"/>
      </w:tblGrid>
      <w:tr w:rsidR="00A15C2C" w14:paraId="79B39362" w14:textId="77777777" w:rsidTr="00A807D0">
        <w:trPr>
          <w:trHeight w:val="118"/>
        </w:trPr>
        <w:tc>
          <w:tcPr>
            <w:tcW w:w="1530" w:type="dxa"/>
            <w:vMerge w:val="restart"/>
            <w:shd w:val="clear" w:color="auto" w:fill="BFBFBF" w:themeFill="background1" w:themeFillShade="BF"/>
            <w:vAlign w:val="center"/>
          </w:tcPr>
          <w:p w14:paraId="51193E81" w14:textId="77777777" w:rsidR="00C304E4" w:rsidRPr="00085101" w:rsidRDefault="000F5B51" w:rsidP="00A807D0">
            <w:pPr>
              <w:spacing w:line="240" w:lineRule="auto"/>
              <w:rPr>
                <w:b/>
                <w:szCs w:val="24"/>
              </w:rPr>
            </w:pPr>
            <w:r w:rsidRPr="00085101">
              <w:rPr>
                <w:b/>
                <w:szCs w:val="24"/>
              </w:rPr>
              <w:t>Category</w:t>
            </w:r>
          </w:p>
        </w:tc>
        <w:tc>
          <w:tcPr>
            <w:tcW w:w="4230" w:type="dxa"/>
            <w:gridSpan w:val="3"/>
            <w:shd w:val="clear" w:color="auto" w:fill="BFBFBF" w:themeFill="background1" w:themeFillShade="BF"/>
            <w:vAlign w:val="center"/>
          </w:tcPr>
          <w:p w14:paraId="507FAE68" w14:textId="77777777" w:rsidR="00C304E4" w:rsidRPr="00085101" w:rsidRDefault="000F5B51" w:rsidP="00A807D0">
            <w:pPr>
              <w:spacing w:line="240" w:lineRule="auto"/>
              <w:jc w:val="center"/>
              <w:rPr>
                <w:b/>
                <w:szCs w:val="24"/>
              </w:rPr>
            </w:pPr>
            <w:r w:rsidRPr="00085101">
              <w:rPr>
                <w:b/>
                <w:szCs w:val="24"/>
              </w:rPr>
              <w:t>Discounted at 3%</w:t>
            </w:r>
          </w:p>
        </w:tc>
        <w:tc>
          <w:tcPr>
            <w:tcW w:w="4061" w:type="dxa"/>
            <w:gridSpan w:val="3"/>
            <w:shd w:val="clear" w:color="auto" w:fill="BFBFBF" w:themeFill="background1" w:themeFillShade="BF"/>
            <w:vAlign w:val="center"/>
          </w:tcPr>
          <w:p w14:paraId="4D52B9ED" w14:textId="77777777" w:rsidR="00C304E4" w:rsidRPr="00085101" w:rsidRDefault="000F5B51" w:rsidP="00A807D0">
            <w:pPr>
              <w:spacing w:line="240" w:lineRule="auto"/>
              <w:jc w:val="center"/>
              <w:rPr>
                <w:b/>
                <w:szCs w:val="24"/>
              </w:rPr>
            </w:pPr>
            <w:r w:rsidRPr="00085101">
              <w:rPr>
                <w:b/>
                <w:szCs w:val="24"/>
              </w:rPr>
              <w:t>Discounted at 7%</w:t>
            </w:r>
          </w:p>
        </w:tc>
      </w:tr>
      <w:tr w:rsidR="00A15C2C" w14:paraId="0290F38A" w14:textId="77777777" w:rsidTr="00F414FB">
        <w:trPr>
          <w:trHeight w:val="233"/>
        </w:trPr>
        <w:tc>
          <w:tcPr>
            <w:tcW w:w="1530" w:type="dxa"/>
            <w:vMerge/>
            <w:shd w:val="clear" w:color="auto" w:fill="BFBFBF" w:themeFill="background1" w:themeFillShade="BF"/>
          </w:tcPr>
          <w:p w14:paraId="792A1215" w14:textId="77777777" w:rsidR="00651BC4" w:rsidRPr="00085101" w:rsidRDefault="00651BC4" w:rsidP="00651BC4">
            <w:pPr>
              <w:spacing w:line="240" w:lineRule="auto"/>
              <w:jc w:val="center"/>
              <w:rPr>
                <w:b/>
                <w:szCs w:val="24"/>
              </w:rPr>
            </w:pPr>
          </w:p>
        </w:tc>
        <w:tc>
          <w:tcPr>
            <w:tcW w:w="1530" w:type="dxa"/>
            <w:shd w:val="clear" w:color="auto" w:fill="BFBFBF" w:themeFill="background1" w:themeFillShade="BF"/>
            <w:vAlign w:val="center"/>
          </w:tcPr>
          <w:p w14:paraId="5E0496A7" w14:textId="77777777" w:rsidR="00651BC4" w:rsidRPr="00085101" w:rsidRDefault="000F5B51" w:rsidP="00651BC4">
            <w:pPr>
              <w:spacing w:line="240" w:lineRule="auto"/>
              <w:jc w:val="center"/>
              <w:rPr>
                <w:b/>
                <w:szCs w:val="24"/>
              </w:rPr>
            </w:pPr>
            <w:r w:rsidRPr="00085101">
              <w:rPr>
                <w:b/>
                <w:szCs w:val="24"/>
              </w:rPr>
              <w:t>Monetized Benefits</w:t>
            </w:r>
          </w:p>
        </w:tc>
        <w:tc>
          <w:tcPr>
            <w:tcW w:w="1350" w:type="dxa"/>
            <w:shd w:val="clear" w:color="auto" w:fill="BFBFBF" w:themeFill="background1" w:themeFillShade="BF"/>
            <w:vAlign w:val="center"/>
          </w:tcPr>
          <w:p w14:paraId="71147B94" w14:textId="77777777" w:rsidR="00651BC4" w:rsidRPr="00085101" w:rsidRDefault="000F5B51" w:rsidP="00651BC4">
            <w:pPr>
              <w:spacing w:line="240" w:lineRule="auto"/>
              <w:jc w:val="center"/>
              <w:rPr>
                <w:rFonts w:cs="Times New Roman"/>
                <w:b/>
                <w:szCs w:val="24"/>
              </w:rPr>
            </w:pPr>
            <w:r w:rsidRPr="00085101">
              <w:rPr>
                <w:rFonts w:cs="Times New Roman"/>
                <w:b/>
                <w:szCs w:val="24"/>
              </w:rPr>
              <w:t>Cost</w:t>
            </w:r>
          </w:p>
        </w:tc>
        <w:tc>
          <w:tcPr>
            <w:tcW w:w="1350" w:type="dxa"/>
            <w:shd w:val="clear" w:color="auto" w:fill="BFBFBF" w:themeFill="background1" w:themeFillShade="BF"/>
            <w:vAlign w:val="center"/>
          </w:tcPr>
          <w:p w14:paraId="39D5C0B8" w14:textId="77777777" w:rsidR="00651BC4" w:rsidRPr="00085101" w:rsidRDefault="000F5B51" w:rsidP="00651BC4">
            <w:pPr>
              <w:spacing w:line="240" w:lineRule="auto"/>
              <w:jc w:val="center"/>
              <w:rPr>
                <w:rFonts w:cs="Times New Roman"/>
                <w:b/>
                <w:szCs w:val="24"/>
              </w:rPr>
            </w:pPr>
            <w:r w:rsidRPr="00085101">
              <w:rPr>
                <w:b/>
                <w:szCs w:val="24"/>
              </w:rPr>
              <w:t>Net Benefits</w:t>
            </w:r>
          </w:p>
        </w:tc>
        <w:tc>
          <w:tcPr>
            <w:tcW w:w="1353" w:type="dxa"/>
            <w:shd w:val="clear" w:color="auto" w:fill="BFBFBF" w:themeFill="background1" w:themeFillShade="BF"/>
            <w:vAlign w:val="center"/>
          </w:tcPr>
          <w:p w14:paraId="584F38AC" w14:textId="77777777" w:rsidR="00651BC4" w:rsidRPr="00085101" w:rsidRDefault="000F5B51" w:rsidP="00651BC4">
            <w:pPr>
              <w:spacing w:line="240" w:lineRule="auto"/>
              <w:jc w:val="center"/>
              <w:rPr>
                <w:b/>
                <w:szCs w:val="24"/>
              </w:rPr>
            </w:pPr>
            <w:r w:rsidRPr="00085101">
              <w:rPr>
                <w:b/>
                <w:szCs w:val="24"/>
              </w:rPr>
              <w:t>Monetized Benefits</w:t>
            </w:r>
          </w:p>
        </w:tc>
        <w:tc>
          <w:tcPr>
            <w:tcW w:w="1354" w:type="dxa"/>
            <w:shd w:val="clear" w:color="auto" w:fill="BFBFBF" w:themeFill="background1" w:themeFillShade="BF"/>
            <w:vAlign w:val="center"/>
          </w:tcPr>
          <w:p w14:paraId="723DF28D" w14:textId="77777777" w:rsidR="00651BC4" w:rsidRPr="00085101" w:rsidRDefault="000F5B51" w:rsidP="00651BC4">
            <w:pPr>
              <w:spacing w:line="240" w:lineRule="auto"/>
              <w:jc w:val="center"/>
              <w:rPr>
                <w:b/>
                <w:szCs w:val="24"/>
              </w:rPr>
            </w:pPr>
            <w:r w:rsidRPr="00085101">
              <w:rPr>
                <w:rFonts w:cs="Times New Roman"/>
                <w:b/>
                <w:szCs w:val="24"/>
              </w:rPr>
              <w:t>Cost</w:t>
            </w:r>
          </w:p>
        </w:tc>
        <w:tc>
          <w:tcPr>
            <w:tcW w:w="1354" w:type="dxa"/>
            <w:shd w:val="clear" w:color="auto" w:fill="BFBFBF" w:themeFill="background1" w:themeFillShade="BF"/>
            <w:vAlign w:val="center"/>
          </w:tcPr>
          <w:p w14:paraId="4D8F03C8" w14:textId="77777777" w:rsidR="00651BC4" w:rsidRPr="00085101" w:rsidRDefault="000F5B51" w:rsidP="00651BC4">
            <w:pPr>
              <w:spacing w:line="240" w:lineRule="auto"/>
              <w:jc w:val="center"/>
              <w:rPr>
                <w:b/>
                <w:szCs w:val="24"/>
              </w:rPr>
            </w:pPr>
            <w:r w:rsidRPr="00085101">
              <w:rPr>
                <w:b/>
                <w:szCs w:val="24"/>
              </w:rPr>
              <w:t>Net Benefits</w:t>
            </w:r>
          </w:p>
        </w:tc>
      </w:tr>
      <w:tr w:rsidR="000F542B" w14:paraId="719A4A7B" w14:textId="77777777" w:rsidTr="001D0BC2">
        <w:trPr>
          <w:trHeight w:val="242"/>
        </w:trPr>
        <w:tc>
          <w:tcPr>
            <w:tcW w:w="1530" w:type="dxa"/>
          </w:tcPr>
          <w:p w14:paraId="0DDBAD7B" w14:textId="77777777" w:rsidR="000F542B" w:rsidRPr="00085101" w:rsidRDefault="000F542B" w:rsidP="000F542B">
            <w:pPr>
              <w:spacing w:line="240" w:lineRule="auto"/>
              <w:jc w:val="center"/>
              <w:rPr>
                <w:szCs w:val="24"/>
              </w:rPr>
            </w:pPr>
            <w:r w:rsidRPr="00085101">
              <w:rPr>
                <w:szCs w:val="24"/>
              </w:rPr>
              <w:t>Lo</w:t>
            </w:r>
          </w:p>
        </w:tc>
        <w:tc>
          <w:tcPr>
            <w:tcW w:w="1530" w:type="dxa"/>
          </w:tcPr>
          <w:p w14:paraId="3F9B11F1" w14:textId="4CF36CD9" w:rsidR="000F542B" w:rsidRPr="00B8171F" w:rsidRDefault="000F542B" w:rsidP="000F542B">
            <w:pPr>
              <w:spacing w:line="240" w:lineRule="auto"/>
              <w:jc w:val="center"/>
              <w:rPr>
                <w:bCs/>
                <w:szCs w:val="24"/>
              </w:rPr>
            </w:pPr>
            <w:r w:rsidRPr="00C27532">
              <w:rPr>
                <w:rFonts w:cs="Times New Roman"/>
                <w:sz w:val="22"/>
              </w:rPr>
              <w:t>$1,177.9</w:t>
            </w:r>
          </w:p>
        </w:tc>
        <w:tc>
          <w:tcPr>
            <w:tcW w:w="1350" w:type="dxa"/>
            <w:vMerge w:val="restart"/>
            <w:vAlign w:val="center"/>
          </w:tcPr>
          <w:p w14:paraId="3B0C1541" w14:textId="77777777" w:rsidR="000F542B" w:rsidRPr="00085101" w:rsidRDefault="000F542B" w:rsidP="000F542B">
            <w:pPr>
              <w:spacing w:line="240" w:lineRule="auto"/>
              <w:jc w:val="center"/>
              <w:rPr>
                <w:szCs w:val="24"/>
              </w:rPr>
            </w:pPr>
            <w:r w:rsidRPr="00085101">
              <w:rPr>
                <w:rFonts w:eastAsia="Times New Roman" w:cs="Times New Roman"/>
                <w:szCs w:val="24"/>
              </w:rPr>
              <w:t>$167.8</w:t>
            </w:r>
          </w:p>
        </w:tc>
        <w:tc>
          <w:tcPr>
            <w:tcW w:w="1350" w:type="dxa"/>
            <w:vAlign w:val="center"/>
          </w:tcPr>
          <w:p w14:paraId="59983C1F" w14:textId="31A39ED5" w:rsidR="000F542B" w:rsidRPr="00B8171F" w:rsidRDefault="000F542B" w:rsidP="000F542B">
            <w:pPr>
              <w:spacing w:line="240" w:lineRule="auto"/>
              <w:jc w:val="center"/>
              <w:rPr>
                <w:bCs/>
                <w:szCs w:val="24"/>
              </w:rPr>
            </w:pPr>
            <w:r w:rsidRPr="00C27532">
              <w:rPr>
                <w:sz w:val="22"/>
              </w:rPr>
              <w:t>$1,010.0</w:t>
            </w:r>
          </w:p>
        </w:tc>
        <w:tc>
          <w:tcPr>
            <w:tcW w:w="1353" w:type="dxa"/>
            <w:vAlign w:val="center"/>
          </w:tcPr>
          <w:p w14:paraId="4047657A" w14:textId="6D111303" w:rsidR="000F542B" w:rsidRPr="00B8171F" w:rsidRDefault="000F542B" w:rsidP="000F542B">
            <w:pPr>
              <w:spacing w:line="240" w:lineRule="auto"/>
              <w:jc w:val="center"/>
              <w:rPr>
                <w:bCs/>
                <w:szCs w:val="24"/>
              </w:rPr>
            </w:pPr>
            <w:r w:rsidRPr="00C27532">
              <w:rPr>
                <w:sz w:val="22"/>
              </w:rPr>
              <w:t>$955.2</w:t>
            </w:r>
          </w:p>
        </w:tc>
        <w:tc>
          <w:tcPr>
            <w:tcW w:w="1354" w:type="dxa"/>
            <w:vMerge w:val="restart"/>
            <w:vAlign w:val="center"/>
          </w:tcPr>
          <w:p w14:paraId="0E0CC899" w14:textId="77777777" w:rsidR="000F542B" w:rsidRPr="00085101" w:rsidRDefault="000F542B" w:rsidP="000F542B">
            <w:pPr>
              <w:spacing w:line="240" w:lineRule="auto"/>
              <w:jc w:val="center"/>
              <w:rPr>
                <w:szCs w:val="24"/>
              </w:rPr>
            </w:pPr>
            <w:r w:rsidRPr="00085101">
              <w:rPr>
                <w:rFonts w:eastAsia="Times New Roman" w:cs="Times New Roman"/>
                <w:szCs w:val="24"/>
              </w:rPr>
              <w:t>$167.8</w:t>
            </w:r>
          </w:p>
        </w:tc>
        <w:tc>
          <w:tcPr>
            <w:tcW w:w="1354" w:type="dxa"/>
            <w:vAlign w:val="center"/>
          </w:tcPr>
          <w:p w14:paraId="1B784FCE" w14:textId="43135ECA" w:rsidR="000F542B" w:rsidRPr="00B8171F" w:rsidRDefault="000F542B" w:rsidP="000F542B">
            <w:pPr>
              <w:spacing w:line="240" w:lineRule="auto"/>
              <w:jc w:val="center"/>
              <w:rPr>
                <w:bCs/>
                <w:szCs w:val="24"/>
              </w:rPr>
            </w:pPr>
            <w:r w:rsidRPr="00C27532">
              <w:rPr>
                <w:sz w:val="22"/>
              </w:rPr>
              <w:t>$787.4</w:t>
            </w:r>
          </w:p>
        </w:tc>
      </w:tr>
      <w:tr w:rsidR="000F542B" w14:paraId="49490E9C" w14:textId="77777777" w:rsidTr="00ED78C3">
        <w:trPr>
          <w:trHeight w:val="114"/>
        </w:trPr>
        <w:tc>
          <w:tcPr>
            <w:tcW w:w="1530" w:type="dxa"/>
            <w:tcBorders>
              <w:bottom w:val="single" w:sz="4" w:space="0" w:color="auto"/>
            </w:tcBorders>
          </w:tcPr>
          <w:p w14:paraId="472836D0" w14:textId="77777777" w:rsidR="000F542B" w:rsidRPr="00085101" w:rsidRDefault="000F542B" w:rsidP="000F542B">
            <w:pPr>
              <w:spacing w:line="240" w:lineRule="auto"/>
              <w:jc w:val="center"/>
              <w:rPr>
                <w:szCs w:val="24"/>
              </w:rPr>
            </w:pPr>
            <w:r w:rsidRPr="00085101">
              <w:rPr>
                <w:szCs w:val="24"/>
              </w:rPr>
              <w:t>Hi</w:t>
            </w:r>
          </w:p>
        </w:tc>
        <w:tc>
          <w:tcPr>
            <w:tcW w:w="1530" w:type="dxa"/>
            <w:tcBorders>
              <w:bottom w:val="single" w:sz="4" w:space="0" w:color="auto"/>
            </w:tcBorders>
          </w:tcPr>
          <w:p w14:paraId="6CCB9337" w14:textId="5928393B" w:rsidR="000F542B" w:rsidRPr="00B8171F" w:rsidRDefault="000F542B" w:rsidP="000F542B">
            <w:pPr>
              <w:spacing w:line="240" w:lineRule="auto"/>
              <w:jc w:val="center"/>
              <w:rPr>
                <w:bCs/>
                <w:szCs w:val="24"/>
              </w:rPr>
            </w:pPr>
            <w:r w:rsidRPr="00C27532">
              <w:rPr>
                <w:rFonts w:cs="Times New Roman"/>
                <w:sz w:val="22"/>
              </w:rPr>
              <w:t>$1,310.5</w:t>
            </w:r>
          </w:p>
        </w:tc>
        <w:tc>
          <w:tcPr>
            <w:tcW w:w="1350" w:type="dxa"/>
            <w:vMerge/>
            <w:tcBorders>
              <w:bottom w:val="single" w:sz="4" w:space="0" w:color="auto"/>
            </w:tcBorders>
            <w:vAlign w:val="center"/>
          </w:tcPr>
          <w:p w14:paraId="58DB9406" w14:textId="77777777" w:rsidR="000F542B" w:rsidRPr="00085101" w:rsidRDefault="000F542B" w:rsidP="000F542B">
            <w:pPr>
              <w:spacing w:line="240" w:lineRule="auto"/>
              <w:jc w:val="center"/>
              <w:rPr>
                <w:szCs w:val="24"/>
              </w:rPr>
            </w:pPr>
          </w:p>
        </w:tc>
        <w:tc>
          <w:tcPr>
            <w:tcW w:w="1350" w:type="dxa"/>
            <w:tcBorders>
              <w:bottom w:val="single" w:sz="4" w:space="0" w:color="auto"/>
            </w:tcBorders>
            <w:vAlign w:val="center"/>
          </w:tcPr>
          <w:p w14:paraId="7ACA8B82" w14:textId="77288211" w:rsidR="000F542B" w:rsidRPr="00B8171F" w:rsidRDefault="000F542B" w:rsidP="000F542B">
            <w:pPr>
              <w:spacing w:line="240" w:lineRule="auto"/>
              <w:jc w:val="center"/>
              <w:rPr>
                <w:bCs/>
                <w:szCs w:val="24"/>
              </w:rPr>
            </w:pPr>
            <w:r w:rsidRPr="00C27532">
              <w:rPr>
                <w:sz w:val="22"/>
              </w:rPr>
              <w:t>$1,142.7</w:t>
            </w:r>
            <w:r w:rsidRPr="00C27532" w:rsidDel="00DA0182">
              <w:rPr>
                <w:sz w:val="22"/>
              </w:rPr>
              <w:t xml:space="preserve"> </w:t>
            </w:r>
          </w:p>
        </w:tc>
        <w:tc>
          <w:tcPr>
            <w:tcW w:w="1353" w:type="dxa"/>
            <w:tcBorders>
              <w:bottom w:val="single" w:sz="4" w:space="0" w:color="auto"/>
            </w:tcBorders>
            <w:vAlign w:val="center"/>
          </w:tcPr>
          <w:p w14:paraId="4756F88E" w14:textId="6812CD1F" w:rsidR="000F542B" w:rsidRPr="00B8171F" w:rsidRDefault="000F542B" w:rsidP="000F542B">
            <w:pPr>
              <w:spacing w:line="240" w:lineRule="auto"/>
              <w:jc w:val="center"/>
              <w:rPr>
                <w:bCs/>
                <w:szCs w:val="24"/>
              </w:rPr>
            </w:pPr>
            <w:r w:rsidRPr="00C27532">
              <w:rPr>
                <w:sz w:val="22"/>
              </w:rPr>
              <w:t>$1,062.8</w:t>
            </w:r>
          </w:p>
        </w:tc>
        <w:tc>
          <w:tcPr>
            <w:tcW w:w="1354" w:type="dxa"/>
            <w:vMerge/>
            <w:tcBorders>
              <w:bottom w:val="single" w:sz="4" w:space="0" w:color="auto"/>
            </w:tcBorders>
            <w:vAlign w:val="center"/>
          </w:tcPr>
          <w:p w14:paraId="6E8A4303" w14:textId="77777777" w:rsidR="000F542B" w:rsidRPr="00085101" w:rsidRDefault="000F542B" w:rsidP="000F542B">
            <w:pPr>
              <w:spacing w:line="240" w:lineRule="auto"/>
              <w:jc w:val="center"/>
              <w:rPr>
                <w:szCs w:val="24"/>
              </w:rPr>
            </w:pPr>
          </w:p>
        </w:tc>
        <w:tc>
          <w:tcPr>
            <w:tcW w:w="1354" w:type="dxa"/>
            <w:tcBorders>
              <w:bottom w:val="single" w:sz="4" w:space="0" w:color="auto"/>
            </w:tcBorders>
            <w:vAlign w:val="center"/>
          </w:tcPr>
          <w:p w14:paraId="4939CBB7" w14:textId="3453FD59" w:rsidR="000F542B" w:rsidRPr="00B8171F" w:rsidRDefault="000F542B" w:rsidP="000F542B">
            <w:pPr>
              <w:spacing w:line="240" w:lineRule="auto"/>
              <w:jc w:val="center"/>
              <w:rPr>
                <w:bCs/>
                <w:szCs w:val="24"/>
              </w:rPr>
            </w:pPr>
            <w:r w:rsidRPr="00C27532">
              <w:rPr>
                <w:sz w:val="22"/>
              </w:rPr>
              <w:t>$895.0</w:t>
            </w:r>
          </w:p>
        </w:tc>
      </w:tr>
    </w:tbl>
    <w:p w14:paraId="12C25C6D" w14:textId="77777777" w:rsidR="00464F90" w:rsidRDefault="00464F90" w:rsidP="00464F90">
      <w:pPr>
        <w:pStyle w:val="NoSpacing"/>
      </w:pPr>
    </w:p>
    <w:p w14:paraId="45608EB3" w14:textId="77777777" w:rsidR="002C1F54" w:rsidRDefault="000F5B51">
      <w:pPr>
        <w:spacing w:after="0"/>
      </w:pPr>
      <w:r w:rsidRPr="00A57E5E">
        <w:rPr>
          <w:rFonts w:eastAsia="Calibri" w:cs="Times New Roman"/>
          <w:szCs w:val="24"/>
        </w:rPr>
        <w:t>A</w:t>
      </w:r>
      <w:r w:rsidRPr="00307907">
        <w:rPr>
          <w:rFonts w:eastAsia="Calibri" w:cs="Times New Roman"/>
          <w:szCs w:val="24"/>
        </w:rPr>
        <w:t>s the conclusions drawn from this analysis may be impacted by the underlying assumptions, this PRIA includes a sensitivity analysis</w:t>
      </w:r>
      <w:r w:rsidRPr="00307907">
        <w:t xml:space="preserve"> </w:t>
      </w:r>
      <w:r w:rsidRPr="00307907">
        <w:rPr>
          <w:rFonts w:eastAsia="Calibri" w:cs="Times New Roman"/>
          <w:szCs w:val="24"/>
        </w:rPr>
        <w:t>that consider</w:t>
      </w:r>
      <w:r w:rsidR="005349B7">
        <w:rPr>
          <w:rFonts w:eastAsia="Calibri" w:cs="Times New Roman"/>
          <w:szCs w:val="24"/>
        </w:rPr>
        <w:t>s</w:t>
      </w:r>
      <w:r w:rsidRPr="00307907">
        <w:rPr>
          <w:rFonts w:eastAsia="Calibri" w:cs="Times New Roman"/>
          <w:szCs w:val="24"/>
        </w:rPr>
        <w:t xml:space="preserve"> how the cost-effectiveness and net benefits analyses may be impacted based on those assumptions. The sensitivity analysis included in this PRIA examines </w:t>
      </w:r>
      <w:r w:rsidR="00133C99">
        <w:rPr>
          <w:rFonts w:eastAsia="Calibri" w:cs="Times New Roman"/>
          <w:szCs w:val="24"/>
        </w:rPr>
        <w:t xml:space="preserve">alternative values for </w:t>
      </w:r>
      <w:r w:rsidR="005349B7">
        <w:rPr>
          <w:rFonts w:eastAsia="Calibri" w:cs="Times New Roman"/>
          <w:szCs w:val="24"/>
        </w:rPr>
        <w:t xml:space="preserve">the </w:t>
      </w:r>
      <w:r w:rsidR="00883A21">
        <w:rPr>
          <w:rFonts w:eastAsia="Calibri" w:cs="Times New Roman"/>
          <w:szCs w:val="24"/>
        </w:rPr>
        <w:t>increase in seat belt use for rear seat occupants</w:t>
      </w:r>
      <w:r w:rsidRPr="00A57E5E">
        <w:rPr>
          <w:rFonts w:eastAsia="Calibri" w:cs="Times New Roman"/>
          <w:szCs w:val="24"/>
        </w:rPr>
        <w:t>.</w:t>
      </w:r>
      <w:r w:rsidR="00EF6183">
        <w:rPr>
          <w:rFonts w:eastAsia="Calibri" w:cs="Times New Roman"/>
          <w:szCs w:val="24"/>
        </w:rPr>
        <w:t xml:space="preserve"> Furthermore,</w:t>
      </w:r>
      <w:r w:rsidRPr="00A57E5E">
        <w:rPr>
          <w:rFonts w:eastAsia="Calibri" w:cs="Times New Roman"/>
          <w:szCs w:val="24"/>
        </w:rPr>
        <w:t xml:space="preserve"> </w:t>
      </w:r>
      <w:r w:rsidR="00EF6183">
        <w:rPr>
          <w:rFonts w:eastAsia="Calibri" w:cs="Times New Roman"/>
          <w:szCs w:val="24"/>
        </w:rPr>
        <w:t>g</w:t>
      </w:r>
      <w:r w:rsidRPr="00A57E5E">
        <w:rPr>
          <w:rFonts w:eastAsia="Calibri" w:cs="Times New Roman"/>
          <w:szCs w:val="24"/>
        </w:rPr>
        <w:t>iven the un</w:t>
      </w:r>
      <w:r w:rsidRPr="00307907">
        <w:rPr>
          <w:rFonts w:eastAsia="Calibri" w:cs="Times New Roman"/>
          <w:szCs w:val="24"/>
        </w:rPr>
        <w:t xml:space="preserve">certainty of the increase in seat belt usage </w:t>
      </w:r>
      <w:r w:rsidR="00883A21">
        <w:rPr>
          <w:rFonts w:eastAsia="Calibri" w:cs="Times New Roman"/>
          <w:szCs w:val="24"/>
        </w:rPr>
        <w:t>resulting from the proposed rule</w:t>
      </w:r>
      <w:r w:rsidRPr="00307907">
        <w:rPr>
          <w:rFonts w:eastAsia="Calibri" w:cs="Times New Roman"/>
          <w:szCs w:val="24"/>
        </w:rPr>
        <w:t xml:space="preserve">, the sensitivity analysis also includes a balance point analysis </w:t>
      </w:r>
      <w:r w:rsidR="00E03676">
        <w:rPr>
          <w:rFonts w:eastAsia="Calibri" w:cs="Times New Roman"/>
          <w:szCs w:val="24"/>
        </w:rPr>
        <w:t>for both the requirements for</w:t>
      </w:r>
      <w:r w:rsidR="004920E9">
        <w:rPr>
          <w:rFonts w:eastAsia="Calibri" w:cs="Times New Roman"/>
          <w:szCs w:val="24"/>
        </w:rPr>
        <w:t xml:space="preserve"> rear seat and front seat occupants. Each balance point analysis </w:t>
      </w:r>
      <w:r w:rsidRPr="00307907">
        <w:rPr>
          <w:rFonts w:eastAsia="Calibri" w:cs="Times New Roman"/>
          <w:szCs w:val="24"/>
        </w:rPr>
        <w:t>determine</w:t>
      </w:r>
      <w:r w:rsidR="004920E9">
        <w:rPr>
          <w:rFonts w:eastAsia="Calibri" w:cs="Times New Roman"/>
          <w:szCs w:val="24"/>
        </w:rPr>
        <w:t>s</w:t>
      </w:r>
      <w:r w:rsidRPr="00307907">
        <w:rPr>
          <w:rFonts w:eastAsia="Calibri" w:cs="Times New Roman"/>
          <w:szCs w:val="24"/>
        </w:rPr>
        <w:t xml:space="preserve"> the increase in seat belt use at which the costs and benefits associated with the </w:t>
      </w:r>
      <w:r w:rsidR="004920E9">
        <w:rPr>
          <w:rFonts w:eastAsia="Calibri" w:cs="Times New Roman"/>
          <w:szCs w:val="24"/>
        </w:rPr>
        <w:t xml:space="preserve">specific requirements </w:t>
      </w:r>
      <w:r w:rsidRPr="00307907">
        <w:rPr>
          <w:rFonts w:eastAsia="Calibri" w:cs="Times New Roman"/>
          <w:szCs w:val="24"/>
        </w:rPr>
        <w:t>would be equa</w:t>
      </w:r>
      <w:r w:rsidR="004920E9">
        <w:rPr>
          <w:rFonts w:eastAsia="Calibri" w:cs="Times New Roman"/>
          <w:szCs w:val="24"/>
        </w:rPr>
        <w:t>l</w:t>
      </w:r>
      <w:r w:rsidRPr="00A57E5E">
        <w:rPr>
          <w:rFonts w:eastAsia="Calibri" w:cs="Times New Roman"/>
          <w:szCs w:val="24"/>
        </w:rPr>
        <w:t>. Overall, the</w:t>
      </w:r>
      <w:r w:rsidR="00E03676">
        <w:rPr>
          <w:rFonts w:eastAsia="Calibri" w:cs="Times New Roman"/>
          <w:szCs w:val="24"/>
        </w:rPr>
        <w:t xml:space="preserve"> sensitivity analysis</w:t>
      </w:r>
      <w:r w:rsidRPr="00A57E5E">
        <w:rPr>
          <w:rFonts w:eastAsia="Calibri" w:cs="Times New Roman"/>
          <w:szCs w:val="24"/>
        </w:rPr>
        <w:t xml:space="preserve"> lend</w:t>
      </w:r>
      <w:r w:rsidR="00E03676">
        <w:rPr>
          <w:rFonts w:eastAsia="Calibri" w:cs="Times New Roman"/>
          <w:szCs w:val="24"/>
        </w:rPr>
        <w:t>s</w:t>
      </w:r>
      <w:r w:rsidRPr="00A57E5E">
        <w:rPr>
          <w:rFonts w:eastAsia="Calibri" w:cs="Times New Roman"/>
          <w:szCs w:val="24"/>
        </w:rPr>
        <w:t xml:space="preserve"> support to the findings</w:t>
      </w:r>
      <w:r w:rsidR="00E03676">
        <w:rPr>
          <w:rFonts w:eastAsia="Calibri" w:cs="Times New Roman"/>
          <w:szCs w:val="24"/>
        </w:rPr>
        <w:t xml:space="preserve"> in the main analysis</w:t>
      </w:r>
      <w:r w:rsidRPr="00A57E5E">
        <w:rPr>
          <w:rFonts w:eastAsia="Calibri" w:cs="Times New Roman"/>
          <w:szCs w:val="24"/>
        </w:rPr>
        <w:t xml:space="preserve"> </w:t>
      </w:r>
      <w:r w:rsidR="00CD4B1A">
        <w:rPr>
          <w:rFonts w:eastAsia="Calibri" w:cs="Times New Roman"/>
          <w:szCs w:val="24"/>
        </w:rPr>
        <w:t>indicating</w:t>
      </w:r>
      <w:r w:rsidR="00E03676">
        <w:rPr>
          <w:rFonts w:eastAsia="Calibri" w:cs="Times New Roman"/>
          <w:szCs w:val="24"/>
        </w:rPr>
        <w:t xml:space="preserve"> that </w:t>
      </w:r>
      <w:r w:rsidRPr="00A57E5E">
        <w:rPr>
          <w:rFonts w:eastAsia="Calibri" w:cs="Times New Roman"/>
          <w:szCs w:val="24"/>
        </w:rPr>
        <w:t>the proposed rule is cost-effective and net beneficial.</w:t>
      </w:r>
    </w:p>
    <w:p w14:paraId="244F3F59" w14:textId="77777777" w:rsidR="00B2621F" w:rsidRDefault="000F5B51" w:rsidP="0093458D">
      <w:pPr>
        <w:spacing w:after="0"/>
        <w:rPr>
          <w:rFonts w:eastAsia="Times New Roman" w:cs="Times New Roman"/>
          <w:color w:val="000000"/>
          <w:szCs w:val="24"/>
        </w:rPr>
      </w:pPr>
      <w:r w:rsidRPr="00A57E5E">
        <w:lastRenderedPageBreak/>
        <w:t>In specifying the requirements included in the proposed rule, the agency considered other regulatory alternatives.</w:t>
      </w:r>
      <w:r w:rsidR="009D4BC7">
        <w:t xml:space="preserve"> </w:t>
      </w:r>
      <w:r w:rsidR="000F7269">
        <w:t>For rear seating positions, t</w:t>
      </w:r>
      <w:r w:rsidR="000F7269" w:rsidRPr="0000527D">
        <w:rPr>
          <w:rFonts w:cs="Times New Roman"/>
          <w:szCs w:val="24"/>
        </w:rPr>
        <w:t xml:space="preserve">he agency considered </w:t>
      </w:r>
      <w:r w:rsidR="000F7269">
        <w:t>a SBWS</w:t>
      </w:r>
      <w:r w:rsidR="000F7269" w:rsidRPr="00AD4489">
        <w:rPr>
          <w:rFonts w:cs="Times New Roman"/>
          <w:szCs w:val="24"/>
        </w:rPr>
        <w:t xml:space="preserve"> capable of detecting an occupant in a sea</w:t>
      </w:r>
      <w:r w:rsidR="000F7269">
        <w:rPr>
          <w:rFonts w:cs="Times New Roman"/>
          <w:szCs w:val="24"/>
        </w:rPr>
        <w:t xml:space="preserve">t </w:t>
      </w:r>
      <w:r w:rsidR="00786F94">
        <w:rPr>
          <w:rFonts w:eastAsia="Calibri" w:cs="Times New Roman"/>
          <w:szCs w:val="24"/>
        </w:rPr>
        <w:t>and non-regulatory alternatives</w:t>
      </w:r>
      <w:r w:rsidR="000F7269">
        <w:rPr>
          <w:rFonts w:eastAsia="Calibri" w:cs="Times New Roman"/>
          <w:szCs w:val="24"/>
        </w:rPr>
        <w:t>.</w:t>
      </w:r>
      <w:r w:rsidR="000F7269" w:rsidRPr="0000527D">
        <w:rPr>
          <w:rFonts w:eastAsia="Calibri" w:cs="Times New Roman"/>
          <w:szCs w:val="24"/>
        </w:rPr>
        <w:t xml:space="preserve"> </w:t>
      </w:r>
      <w:r w:rsidR="00FE260A">
        <w:t xml:space="preserve">For front seat occupants, the agency </w:t>
      </w:r>
      <w:r w:rsidR="0031422A">
        <w:t xml:space="preserve">considered </w:t>
      </w:r>
      <w:r w:rsidRPr="00AD4489">
        <w:rPr>
          <w:rFonts w:eastAsia="Times New Roman" w:cs="Times New Roman"/>
          <w:color w:val="000000"/>
          <w:szCs w:val="24"/>
        </w:rPr>
        <w:t>requiring a seat belt warning system for the front center seating position</w:t>
      </w:r>
      <w:r w:rsidR="00FE260A">
        <w:rPr>
          <w:rFonts w:eastAsia="Times New Roman" w:cs="Times New Roman"/>
          <w:color w:val="000000"/>
          <w:szCs w:val="24"/>
        </w:rPr>
        <w:t xml:space="preserve"> and </w:t>
      </w:r>
      <w:r w:rsidR="0031422A">
        <w:rPr>
          <w:rFonts w:eastAsia="Times New Roman" w:cs="Times New Roman"/>
          <w:color w:val="000000"/>
          <w:szCs w:val="24"/>
        </w:rPr>
        <w:t xml:space="preserve">also considered </w:t>
      </w:r>
      <w:r w:rsidRPr="0000527D">
        <w:rPr>
          <w:rFonts w:eastAsia="Times New Roman" w:cs="Times New Roman"/>
          <w:color w:val="000000"/>
          <w:szCs w:val="24"/>
        </w:rPr>
        <w:t>requiring a 90-second warning instead of an indefinite warning</w:t>
      </w:r>
      <w:r w:rsidR="001F2F92">
        <w:rPr>
          <w:rFonts w:eastAsia="Times New Roman" w:cs="Times New Roman"/>
          <w:color w:val="000000"/>
          <w:szCs w:val="24"/>
        </w:rPr>
        <w:t xml:space="preserve">. </w:t>
      </w:r>
      <w:r w:rsidR="001034A8" w:rsidRPr="00B1419B">
        <w:rPr>
          <w:rFonts w:cs="Times New Roman"/>
          <w:szCs w:val="24"/>
        </w:rPr>
        <w:t xml:space="preserve">  </w:t>
      </w:r>
    </w:p>
    <w:p w14:paraId="0F3DF667" w14:textId="77777777" w:rsidR="00DD1F03" w:rsidRDefault="000F5B51" w:rsidP="0093458D">
      <w:pPr>
        <w:spacing w:after="0"/>
        <w:rPr>
          <w:rFonts w:asciiTheme="majorHAnsi" w:eastAsiaTheme="majorEastAsia" w:hAnsiTheme="majorHAnsi" w:cstheme="majorBidi"/>
          <w:color w:val="2F5496" w:themeColor="accent1" w:themeShade="BF"/>
          <w:sz w:val="32"/>
          <w:szCs w:val="32"/>
        </w:rPr>
      </w:pPr>
      <w:r w:rsidRPr="0000527D">
        <w:rPr>
          <w:rFonts w:eastAsia="Times New Roman" w:cs="Times New Roman"/>
          <w:color w:val="000000"/>
          <w:szCs w:val="24"/>
        </w:rPr>
        <w:t>Overall, in cases that this analysis was able to quantify the benefits and costs with these regulatory options, it found that the proposed rule was the most cost-effective and net beneficial option.</w:t>
      </w:r>
      <w:r w:rsidRPr="00A57E5E">
        <w:rPr>
          <w:rFonts w:eastAsia="Times New Roman" w:cs="Times New Roman"/>
          <w:color w:val="000000"/>
          <w:szCs w:val="24"/>
        </w:rPr>
        <w:t xml:space="preserve"> However</w:t>
      </w:r>
      <w:r w:rsidRPr="00272829">
        <w:rPr>
          <w:rFonts w:eastAsia="Times New Roman" w:cs="Times New Roman"/>
          <w:color w:val="000000"/>
          <w:szCs w:val="24"/>
        </w:rPr>
        <w:t>, in some cases, the benefits and costs associated with those regulatory options could not be calculated</w:t>
      </w:r>
      <w:r w:rsidR="0031422A">
        <w:rPr>
          <w:rFonts w:eastAsia="Times New Roman" w:cs="Times New Roman"/>
          <w:color w:val="000000"/>
          <w:szCs w:val="24"/>
        </w:rPr>
        <w:t xml:space="preserve">. As a result, </w:t>
      </w:r>
      <w:r w:rsidRPr="00272829">
        <w:rPr>
          <w:rFonts w:eastAsia="Times New Roman" w:cs="Times New Roman"/>
          <w:color w:val="000000"/>
          <w:szCs w:val="24"/>
        </w:rPr>
        <w:t>the agency requests comments on some of the listed regulatory option</w:t>
      </w:r>
      <w:r w:rsidRPr="005D6DE2">
        <w:rPr>
          <w:rFonts w:eastAsia="Times New Roman" w:cs="Times New Roman"/>
          <w:color w:val="000000"/>
          <w:szCs w:val="24"/>
        </w:rPr>
        <w:t>s</w:t>
      </w:r>
      <w:r w:rsidR="0031422A">
        <w:rPr>
          <w:rFonts w:eastAsia="Times New Roman" w:cs="Times New Roman"/>
          <w:color w:val="000000"/>
          <w:szCs w:val="24"/>
        </w:rPr>
        <w:t xml:space="preserve"> for which there were data limitations and uncertainty</w:t>
      </w:r>
      <w:r w:rsidR="001F2F92">
        <w:rPr>
          <w:rFonts w:eastAsia="Times New Roman" w:cs="Times New Roman"/>
          <w:color w:val="000000"/>
          <w:szCs w:val="24"/>
        </w:rPr>
        <w:t xml:space="preserve">. </w:t>
      </w:r>
      <w:r>
        <w:br w:type="page"/>
      </w:r>
    </w:p>
    <w:p w14:paraId="57228251" w14:textId="77777777" w:rsidR="00C34EF4" w:rsidRDefault="000F5B51" w:rsidP="0093458D">
      <w:pPr>
        <w:pStyle w:val="Heading1"/>
        <w:keepNext w:val="0"/>
        <w:keepLines w:val="0"/>
        <w:widowControl w:val="0"/>
        <w:spacing w:before="0" w:line="240" w:lineRule="auto"/>
      </w:pPr>
      <w:bookmarkStart w:id="9" w:name="_Toc142902961"/>
      <w:r>
        <w:lastRenderedPageBreak/>
        <w:t>Introduction</w:t>
      </w:r>
      <w:bookmarkEnd w:id="9"/>
    </w:p>
    <w:p w14:paraId="61EE4068" w14:textId="0BB536B4" w:rsidR="001B13FB" w:rsidRDefault="000F5B51" w:rsidP="001B13FB">
      <w:pPr>
        <w:spacing w:after="0"/>
        <w:rPr>
          <w:rFonts w:eastAsia="Calibri" w:cs="Times New Roman"/>
          <w:color w:val="000000"/>
          <w:szCs w:val="24"/>
        </w:rPr>
      </w:pPr>
      <w:r w:rsidRPr="005057C1">
        <w:rPr>
          <w:rFonts w:cs="Times New Roman"/>
          <w:szCs w:val="24"/>
        </w:rPr>
        <w:t xml:space="preserve">This </w:t>
      </w:r>
      <w:r w:rsidRPr="00FE1B06">
        <w:t>Preliminary Regulatory Impact Analysis (</w:t>
      </w:r>
      <w:r w:rsidRPr="00FE1B06">
        <w:rPr>
          <w:rFonts w:cs="Times New Roman"/>
          <w:szCs w:val="24"/>
        </w:rPr>
        <w:t>PRIA) accompanies</w:t>
      </w:r>
      <w:r w:rsidR="00F51FB5">
        <w:rPr>
          <w:rFonts w:cs="Times New Roman"/>
          <w:szCs w:val="24"/>
        </w:rPr>
        <w:t xml:space="preserve"> the</w:t>
      </w:r>
      <w:r w:rsidRPr="00FE1B06">
        <w:rPr>
          <w:rFonts w:cs="Times New Roman"/>
          <w:szCs w:val="24"/>
        </w:rPr>
        <w:t xml:space="preserve"> National Highway Traffic Safety Administration’s (NHTSA) proposed rule to </w:t>
      </w:r>
      <w:r>
        <w:rPr>
          <w:rFonts w:eastAsia="Calibri" w:cs="Times New Roman"/>
          <w:szCs w:val="24"/>
        </w:rPr>
        <w:t xml:space="preserve">amend </w:t>
      </w:r>
      <w:r w:rsidRPr="00404ACC">
        <w:rPr>
          <w:rFonts w:eastAsia="Calibri" w:cs="Times New Roman"/>
          <w:szCs w:val="24"/>
        </w:rPr>
        <w:t>the existing seat belt warning provisions in</w:t>
      </w:r>
      <w:r>
        <w:rPr>
          <w:rFonts w:eastAsia="Calibri" w:cs="Times New Roman"/>
          <w:szCs w:val="24"/>
        </w:rPr>
        <w:t xml:space="preserve"> the Federal Motor Vehicle Safety Standard (</w:t>
      </w:r>
      <w:r w:rsidRPr="00404ACC">
        <w:rPr>
          <w:rFonts w:eastAsia="Calibri" w:cs="Times New Roman"/>
          <w:szCs w:val="24"/>
        </w:rPr>
        <w:t>FMVSS</w:t>
      </w:r>
      <w:r>
        <w:rPr>
          <w:rFonts w:eastAsia="Calibri" w:cs="Times New Roman"/>
          <w:szCs w:val="24"/>
        </w:rPr>
        <w:t>)</w:t>
      </w:r>
      <w:r w:rsidRPr="00404ACC">
        <w:rPr>
          <w:rFonts w:eastAsia="Calibri" w:cs="Times New Roman"/>
          <w:szCs w:val="24"/>
        </w:rPr>
        <w:t xml:space="preserve"> No. 208</w:t>
      </w:r>
      <w:r w:rsidRPr="00213C4E">
        <w:rPr>
          <w:rFonts w:eastAsia="Calibri" w:cs="Times New Roman"/>
          <w:szCs w:val="24"/>
        </w:rPr>
        <w:t>, “Occupant crash protection.”</w:t>
      </w:r>
      <w:r w:rsidRPr="00E93865">
        <w:rPr>
          <w:rFonts w:eastAsia="Calibri" w:cs="Times New Roman"/>
          <w:szCs w:val="24"/>
        </w:rPr>
        <w:t xml:space="preserve"> </w:t>
      </w:r>
      <w:r w:rsidRPr="008264A7">
        <w:rPr>
          <w:rFonts w:eastAsia="Calibri" w:cs="Times New Roman"/>
          <w:color w:val="000000"/>
          <w:szCs w:val="24"/>
        </w:rPr>
        <w:t>The proposed r</w:t>
      </w:r>
      <w:r>
        <w:rPr>
          <w:rFonts w:eastAsia="Calibri" w:cs="Times New Roman"/>
          <w:color w:val="000000"/>
          <w:szCs w:val="24"/>
        </w:rPr>
        <w:t xml:space="preserve">equirements would apply to </w:t>
      </w:r>
      <w:r w:rsidRPr="008264A7">
        <w:rPr>
          <w:rFonts w:eastAsia="Calibri" w:cs="Times New Roman"/>
          <w:color w:val="000000"/>
          <w:szCs w:val="24"/>
        </w:rPr>
        <w:t>passenger cars</w:t>
      </w:r>
      <w:r>
        <w:rPr>
          <w:rFonts w:eastAsia="Calibri" w:cs="Times New Roman"/>
          <w:color w:val="000000"/>
          <w:szCs w:val="24"/>
        </w:rPr>
        <w:t xml:space="preserve"> (PC)</w:t>
      </w:r>
      <w:r w:rsidRPr="008264A7">
        <w:rPr>
          <w:rFonts w:eastAsia="Calibri" w:cs="Times New Roman"/>
          <w:color w:val="000000"/>
          <w:szCs w:val="24"/>
        </w:rPr>
        <w:t xml:space="preserve">, multipurpose passenger vehicles, trucks, and buses with a </w:t>
      </w:r>
      <w:r>
        <w:rPr>
          <w:rFonts w:eastAsia="Calibri" w:cs="Times New Roman"/>
          <w:color w:val="000000"/>
          <w:szCs w:val="24"/>
        </w:rPr>
        <w:t>Gross Vehicle Weight Rating (</w:t>
      </w:r>
      <w:r w:rsidRPr="008264A7">
        <w:rPr>
          <w:rFonts w:eastAsia="Calibri" w:cs="Times New Roman"/>
          <w:color w:val="000000"/>
          <w:szCs w:val="24"/>
        </w:rPr>
        <w:t>GVWR</w:t>
      </w:r>
      <w:r>
        <w:rPr>
          <w:rFonts w:eastAsia="Calibri" w:cs="Times New Roman"/>
          <w:color w:val="000000"/>
          <w:szCs w:val="24"/>
        </w:rPr>
        <w:t>)</w:t>
      </w:r>
      <w:r w:rsidRPr="008264A7">
        <w:rPr>
          <w:rFonts w:eastAsia="Calibri" w:cs="Times New Roman"/>
          <w:color w:val="000000"/>
          <w:szCs w:val="24"/>
        </w:rPr>
        <w:t xml:space="preserve"> of</w:t>
      </w:r>
      <w:r>
        <w:rPr>
          <w:rFonts w:eastAsia="Calibri" w:cs="Times New Roman"/>
          <w:color w:val="000000"/>
          <w:szCs w:val="24"/>
        </w:rPr>
        <w:t xml:space="preserve"> 4,536 kg (10,000 lbs.) or less, with limited exemptions for certain specified types of vehicles</w:t>
      </w:r>
      <w:r w:rsidR="001141CB">
        <w:rPr>
          <w:rFonts w:eastAsia="Calibri" w:cs="Times New Roman"/>
          <w:color w:val="000000"/>
          <w:szCs w:val="24"/>
        </w:rPr>
        <w:t xml:space="preserve"> including school buses and law</w:t>
      </w:r>
      <w:r w:rsidR="004900AD">
        <w:rPr>
          <w:rFonts w:eastAsia="Calibri" w:cs="Times New Roman"/>
          <w:color w:val="000000"/>
          <w:szCs w:val="24"/>
        </w:rPr>
        <w:t xml:space="preserve"> enforcement vehicles</w:t>
      </w:r>
      <w:r w:rsidR="001F2F92">
        <w:rPr>
          <w:rFonts w:eastAsia="Calibri" w:cs="Times New Roman"/>
          <w:color w:val="000000"/>
          <w:szCs w:val="24"/>
        </w:rPr>
        <w:t xml:space="preserve">. </w:t>
      </w:r>
    </w:p>
    <w:p w14:paraId="0C29AD9A" w14:textId="77777777" w:rsidR="004852DD" w:rsidRDefault="000F5B51" w:rsidP="00632E89">
      <w:pPr>
        <w:widowControl w:val="0"/>
        <w:spacing w:after="0"/>
        <w:rPr>
          <w:rFonts w:eastAsia="Times New Roman" w:cs="Times New Roman"/>
          <w:szCs w:val="24"/>
        </w:rPr>
      </w:pPr>
      <w:r w:rsidRPr="0080267B">
        <w:rPr>
          <w:rFonts w:eastAsia="Times New Roman" w:cs="Times New Roman"/>
          <w:szCs w:val="24"/>
        </w:rPr>
        <w:t xml:space="preserve">Increasing seat belt use is one </w:t>
      </w:r>
      <w:r w:rsidRPr="006002F7">
        <w:rPr>
          <w:rFonts w:eastAsia="Times New Roman" w:cs="Times New Roman"/>
          <w:szCs w:val="24"/>
        </w:rPr>
        <w:t xml:space="preserve">of </w:t>
      </w:r>
      <w:r w:rsidR="001E1D8F">
        <w:rPr>
          <w:rFonts w:eastAsia="Times New Roman" w:cs="Times New Roman"/>
          <w:szCs w:val="24"/>
        </w:rPr>
        <w:t>NHTSA’s</w:t>
      </w:r>
      <w:r w:rsidRPr="006002F7">
        <w:rPr>
          <w:rFonts w:eastAsia="Times New Roman" w:cs="Times New Roman"/>
          <w:szCs w:val="24"/>
        </w:rPr>
        <w:t xml:space="preserve"> highest priorities</w:t>
      </w:r>
      <w:r w:rsidR="001F2F92">
        <w:rPr>
          <w:rFonts w:eastAsia="Times New Roman" w:cs="Times New Roman"/>
          <w:szCs w:val="24"/>
        </w:rPr>
        <w:t xml:space="preserve">. </w:t>
      </w:r>
      <w:r w:rsidR="00B10CBE" w:rsidRPr="006002F7">
        <w:rPr>
          <w:rFonts w:eastAsia="Times New Roman" w:cs="Times New Roman"/>
          <w:szCs w:val="24"/>
        </w:rPr>
        <w:t>When used properly, seat belts can significantly reduce the risk of fatal and serious injuries for front and rear seat occupants.</w:t>
      </w:r>
      <w:r w:rsidR="00CF3207" w:rsidRPr="00CF3207">
        <w:rPr>
          <w:rFonts w:eastAsia="Times New Roman" w:cs="Times New Roman"/>
          <w:szCs w:val="24"/>
        </w:rPr>
        <w:t xml:space="preserve"> </w:t>
      </w:r>
      <w:r w:rsidR="00CF3207" w:rsidRPr="006002F7">
        <w:rPr>
          <w:rFonts w:eastAsia="Times New Roman" w:cs="Times New Roman"/>
          <w:szCs w:val="24"/>
        </w:rPr>
        <w:t>To increase seat belt use in the U</w:t>
      </w:r>
      <w:r w:rsidR="00CF3207">
        <w:rPr>
          <w:rFonts w:eastAsia="Times New Roman" w:cs="Times New Roman"/>
          <w:szCs w:val="24"/>
        </w:rPr>
        <w:t xml:space="preserve">nited </w:t>
      </w:r>
      <w:r w:rsidR="00CF3207" w:rsidRPr="006002F7">
        <w:rPr>
          <w:rFonts w:eastAsia="Times New Roman" w:cs="Times New Roman"/>
          <w:szCs w:val="24"/>
        </w:rPr>
        <w:t>S</w:t>
      </w:r>
      <w:r w:rsidR="00CF3207">
        <w:rPr>
          <w:rFonts w:eastAsia="Times New Roman" w:cs="Times New Roman"/>
          <w:szCs w:val="24"/>
        </w:rPr>
        <w:t>tates</w:t>
      </w:r>
      <w:r w:rsidR="00CF3207" w:rsidRPr="006002F7">
        <w:rPr>
          <w:rFonts w:eastAsia="Times New Roman" w:cs="Times New Roman"/>
          <w:szCs w:val="24"/>
        </w:rPr>
        <w:t>, the agency relie</w:t>
      </w:r>
      <w:r w:rsidR="00CF3207">
        <w:rPr>
          <w:rFonts w:eastAsia="Times New Roman" w:cs="Times New Roman"/>
          <w:szCs w:val="24"/>
        </w:rPr>
        <w:t>s</w:t>
      </w:r>
      <w:r w:rsidR="00CF3207" w:rsidRPr="006002F7">
        <w:rPr>
          <w:rFonts w:eastAsia="Times New Roman" w:cs="Times New Roman"/>
          <w:szCs w:val="24"/>
        </w:rPr>
        <w:t xml:space="preserve"> on an array of programs and initiatives,</w:t>
      </w:r>
      <w:r w:rsidR="00CF3207" w:rsidRPr="0080267B">
        <w:rPr>
          <w:rFonts w:eastAsia="Times New Roman" w:cs="Times New Roman"/>
          <w:szCs w:val="24"/>
        </w:rPr>
        <w:t xml:space="preserve"> such as the Click It or Ticket program and State primary </w:t>
      </w:r>
      <w:r w:rsidR="00CF3207">
        <w:rPr>
          <w:rFonts w:eastAsia="Times New Roman" w:cs="Times New Roman"/>
          <w:szCs w:val="24"/>
        </w:rPr>
        <w:t xml:space="preserve">seat belt </w:t>
      </w:r>
      <w:r w:rsidR="00CF3207" w:rsidRPr="0080267B">
        <w:rPr>
          <w:rFonts w:eastAsia="Times New Roman" w:cs="Times New Roman"/>
          <w:szCs w:val="24"/>
        </w:rPr>
        <w:t>enforcement laws</w:t>
      </w:r>
      <w:r w:rsidR="001F2F92">
        <w:rPr>
          <w:rFonts w:eastAsia="Times New Roman" w:cs="Times New Roman"/>
          <w:szCs w:val="24"/>
        </w:rPr>
        <w:t xml:space="preserve">. </w:t>
      </w:r>
      <w:r w:rsidR="00CF3207" w:rsidRPr="0080267B">
        <w:rPr>
          <w:rFonts w:eastAsia="Times New Roman" w:cs="Times New Roman"/>
          <w:szCs w:val="24"/>
        </w:rPr>
        <w:t xml:space="preserve">The agency has also regulated and researched different types of vehicle-based technologies such as interlocks and </w:t>
      </w:r>
      <w:r w:rsidR="00CF3207" w:rsidRPr="00404ACC">
        <w:rPr>
          <w:rFonts w:eastAsia="Calibri" w:cs="Times New Roman"/>
          <w:szCs w:val="24"/>
        </w:rPr>
        <w:t>seat belt warning</w:t>
      </w:r>
      <w:r w:rsidR="00CF3207">
        <w:rPr>
          <w:rFonts w:eastAsia="Calibri" w:cs="Times New Roman"/>
          <w:szCs w:val="24"/>
        </w:rPr>
        <w:t xml:space="preserve"> systems (SBWS) </w:t>
      </w:r>
      <w:r w:rsidR="00CF3207" w:rsidRPr="0080267B">
        <w:rPr>
          <w:rFonts w:eastAsia="Times New Roman" w:cs="Times New Roman"/>
          <w:szCs w:val="24"/>
        </w:rPr>
        <w:t>for increasing seat belt use.</w:t>
      </w:r>
      <w:r>
        <w:rPr>
          <w:rStyle w:val="FootnoteReference"/>
          <w:rFonts w:eastAsia="Times New Roman" w:cs="Times New Roman"/>
          <w:szCs w:val="24"/>
        </w:rPr>
        <w:footnoteReference w:id="2"/>
      </w:r>
      <w:r w:rsidR="00B10CBE" w:rsidRPr="006002F7">
        <w:rPr>
          <w:rFonts w:eastAsia="Times New Roman" w:cs="Times New Roman"/>
          <w:szCs w:val="24"/>
        </w:rPr>
        <w:t xml:space="preserve">  </w:t>
      </w:r>
      <w:r w:rsidR="00CF3207">
        <w:rPr>
          <w:rFonts w:eastAsia="Times New Roman" w:cs="Times New Roman"/>
          <w:szCs w:val="24"/>
        </w:rPr>
        <w:t>T</w:t>
      </w:r>
      <w:r w:rsidR="00AC217E">
        <w:rPr>
          <w:rFonts w:eastAsia="Calibri" w:cs="Times New Roman"/>
          <w:szCs w:val="24"/>
        </w:rPr>
        <w:t>he requirements specified in the proposed rule aim to fully</w:t>
      </w:r>
      <w:r w:rsidR="00AC217E">
        <w:rPr>
          <w:rFonts w:eastAsia="Times New Roman" w:cs="Times New Roman"/>
          <w:szCs w:val="24"/>
        </w:rPr>
        <w:t xml:space="preserve"> </w:t>
      </w:r>
      <w:r w:rsidR="00AC217E" w:rsidRPr="00C83861">
        <w:rPr>
          <w:rFonts w:eastAsia="Calibri" w:cs="Times New Roman"/>
          <w:szCs w:val="24"/>
        </w:rPr>
        <w:t xml:space="preserve">realize the benefits of </w:t>
      </w:r>
      <w:r w:rsidR="00AC217E">
        <w:rPr>
          <w:rFonts w:eastAsia="Calibri" w:cs="Times New Roman"/>
          <w:szCs w:val="24"/>
        </w:rPr>
        <w:t>seat belts</w:t>
      </w:r>
      <w:r w:rsidR="00CF3207">
        <w:rPr>
          <w:rFonts w:eastAsia="Calibri" w:cs="Times New Roman"/>
          <w:szCs w:val="24"/>
        </w:rPr>
        <w:t xml:space="preserve"> by increasing seat belt use for both rear and front seat occupants</w:t>
      </w:r>
      <w:r w:rsidR="00AC217E">
        <w:rPr>
          <w:rFonts w:eastAsia="Calibri" w:cs="Times New Roman"/>
          <w:szCs w:val="24"/>
        </w:rPr>
        <w:t>.</w:t>
      </w:r>
      <w:r>
        <w:rPr>
          <w:rFonts w:eastAsia="Calibri" w:cs="Times New Roman"/>
          <w:szCs w:val="24"/>
        </w:rPr>
        <w:t xml:space="preserve"> </w:t>
      </w:r>
    </w:p>
    <w:p w14:paraId="35F59BED" w14:textId="6968EDC4" w:rsidR="0051419C" w:rsidRDefault="000F5B51" w:rsidP="001038F8">
      <w:pPr>
        <w:spacing w:after="0"/>
      </w:pPr>
      <w:r>
        <w:t>The requirements in the proposed rule include three elements</w:t>
      </w:r>
      <w:r w:rsidR="001F2F92">
        <w:t xml:space="preserve">. </w:t>
      </w:r>
      <w:r w:rsidR="00DB2BB3">
        <w:t>First, t</w:t>
      </w:r>
      <w:r w:rsidR="00DB2BB3" w:rsidRPr="00181EBE">
        <w:t xml:space="preserve">he agency proposes to require, for the first time, a </w:t>
      </w:r>
      <w:r w:rsidR="006B7146">
        <w:t xml:space="preserve">SBWS </w:t>
      </w:r>
      <w:r w:rsidR="00DB2BB3" w:rsidRPr="00181EBE">
        <w:t>for the rear designated seating positions</w:t>
      </w:r>
      <w:r w:rsidR="001F2F92">
        <w:t>.</w:t>
      </w:r>
      <w:r w:rsidR="00DE66AC">
        <w:t xml:space="preserve"> </w:t>
      </w:r>
      <w:r w:rsidR="00911BD4">
        <w:t xml:space="preserve">Upon start up of the vehicle, this warning would last at least 60 seconds. </w:t>
      </w:r>
      <w:r w:rsidR="001F2F92">
        <w:t xml:space="preserve"> </w:t>
      </w:r>
      <w:r w:rsidR="00DB2BB3">
        <w:t>NHTSA is</w:t>
      </w:r>
      <w:r w:rsidR="00DB2BB3" w:rsidRPr="00181EBE">
        <w:t xml:space="preserve"> propos</w:t>
      </w:r>
      <w:r w:rsidR="00DB2BB3">
        <w:t>ing</w:t>
      </w:r>
      <w:r w:rsidR="00DB2BB3" w:rsidRPr="00181EBE">
        <w:t xml:space="preserve"> three different compliance options for the rear </w:t>
      </w:r>
      <w:r w:rsidR="00EB5C7E">
        <w:t>seat occupant SBWS</w:t>
      </w:r>
      <w:r w:rsidR="001F2F92">
        <w:t xml:space="preserve">. </w:t>
      </w:r>
      <w:r w:rsidR="00DB2BB3" w:rsidRPr="00181EBE">
        <w:t>A manufacturer would have the choice of a warning that indicates (a) the number of rear seat belts that are in use</w:t>
      </w:r>
      <w:r w:rsidR="001038F8">
        <w:t>,</w:t>
      </w:r>
      <w:r w:rsidR="00DB2BB3" w:rsidRPr="00181EBE">
        <w:t xml:space="preserve"> (b) for the occupied rear </w:t>
      </w:r>
      <w:r w:rsidR="00DB2BB3" w:rsidRPr="00181EBE">
        <w:lastRenderedPageBreak/>
        <w:t>seats, how many or which rear seat belts are not in use</w:t>
      </w:r>
      <w:r w:rsidR="001038F8">
        <w:t xml:space="preserve">, </w:t>
      </w:r>
      <w:r w:rsidR="00DB2BB3" w:rsidRPr="00181EBE">
        <w:t>or (c) for the occupied rear seats, how many or which rear seat belts are in use</w:t>
      </w:r>
      <w:r w:rsidR="00DB2BB3">
        <w:t xml:space="preserve"> and not in use</w:t>
      </w:r>
      <w:r w:rsidR="00DB2BB3" w:rsidRPr="00181EBE">
        <w:t xml:space="preserve">. </w:t>
      </w:r>
    </w:p>
    <w:p w14:paraId="2A6BA8AB" w14:textId="77777777" w:rsidR="00DB2BB3" w:rsidRDefault="000F5B51" w:rsidP="00423B03">
      <w:pPr>
        <w:spacing w:after="0"/>
      </w:pPr>
      <w:r>
        <w:t>All three compliance options would require the use of technology to determine whether or not a seat belt was in use</w:t>
      </w:r>
      <w:r w:rsidR="001F2F92">
        <w:t xml:space="preserve">. </w:t>
      </w:r>
      <w:r>
        <w:t xml:space="preserve">NHTSA’s proposal does not mandate </w:t>
      </w:r>
      <w:r w:rsidRPr="0EFE6C3A">
        <w:rPr>
          <w:rFonts w:eastAsia="Times New Roman" w:cs="Times New Roman"/>
        </w:rPr>
        <w:t xml:space="preserve">a particular technology to determine belt use, but </w:t>
      </w:r>
      <w:r w:rsidR="44F60B25" w:rsidRPr="4CA445B8">
        <w:rPr>
          <w:rFonts w:eastAsia="Times New Roman" w:cs="Times New Roman"/>
        </w:rPr>
        <w:t xml:space="preserve">the belt use criteria is based solely on if the belt is fastened so </w:t>
      </w:r>
      <w:r w:rsidRPr="0EFE6C3A">
        <w:rPr>
          <w:rFonts w:eastAsia="Times New Roman" w:cs="Times New Roman"/>
        </w:rPr>
        <w:t>manufacturers would likely meet the proposed requirements with a seat belt buckle sensor</w:t>
      </w:r>
      <w:r w:rsidR="001F2F92">
        <w:rPr>
          <w:rFonts w:eastAsia="Times New Roman" w:cs="Times New Roman"/>
        </w:rPr>
        <w:t xml:space="preserve">. </w:t>
      </w:r>
      <w:r>
        <w:t>Compliance options (b) and (c) would necessitate that the seats be equipped with occupant detection technology</w:t>
      </w:r>
      <w:r w:rsidR="0051419C">
        <w:t>. On the other hand</w:t>
      </w:r>
      <w:r>
        <w:t>, compliance option (a) would not require the use of occupant detection technology</w:t>
      </w:r>
      <w:r w:rsidR="001F2F92">
        <w:t xml:space="preserve">. </w:t>
      </w:r>
      <w:r>
        <w:t>Additional features</w:t>
      </w:r>
      <w:r w:rsidR="00423B03">
        <w:t>, such as a continuous or flashing visual signal visible to the driver,</w:t>
      </w:r>
      <w:r>
        <w:t xml:space="preserve"> would be required for all th</w:t>
      </w:r>
      <w:r w:rsidR="00423B03">
        <w:t>re</w:t>
      </w:r>
      <w:r>
        <w:t>e compliance options.</w:t>
      </w:r>
    </w:p>
    <w:p w14:paraId="7F326C3A" w14:textId="77777777" w:rsidR="00DB2BB3" w:rsidRDefault="000F5B51" w:rsidP="0093458D">
      <w:pPr>
        <w:widowControl w:val="0"/>
        <w:spacing w:after="0"/>
      </w:pPr>
      <w:r>
        <w:t xml:space="preserve">The second element </w:t>
      </w:r>
      <w:r w:rsidR="007D327C">
        <w:t>included in the requirement</w:t>
      </w:r>
      <w:r w:rsidR="00847C00">
        <w:t>s</w:t>
      </w:r>
      <w:r w:rsidR="007D327C">
        <w:t xml:space="preserve"> pertains to </w:t>
      </w:r>
      <w:r w:rsidR="00230B35">
        <w:t xml:space="preserve">front </w:t>
      </w:r>
      <w:r w:rsidR="00453470">
        <w:t xml:space="preserve">outboard </w:t>
      </w:r>
      <w:r w:rsidR="00847C00">
        <w:t xml:space="preserve">seat </w:t>
      </w:r>
      <w:r w:rsidR="00230B35">
        <w:t xml:space="preserve">occupants </w:t>
      </w:r>
      <w:r w:rsidR="00453470">
        <w:t>(</w:t>
      </w:r>
      <w:r w:rsidR="00230B35">
        <w:t>driver</w:t>
      </w:r>
      <w:r w:rsidR="00453470">
        <w:t xml:space="preserve"> and right front passenger)</w:t>
      </w:r>
      <w:r w:rsidR="00230B35">
        <w:t>. F</w:t>
      </w:r>
      <w:r>
        <w:t xml:space="preserve">or </w:t>
      </w:r>
      <w:r w:rsidR="00847C00">
        <w:t xml:space="preserve">front </w:t>
      </w:r>
      <w:r w:rsidR="00924644">
        <w:t xml:space="preserve">outboard </w:t>
      </w:r>
      <w:r w:rsidR="00847C00">
        <w:t>seat occupants</w:t>
      </w:r>
      <w:r>
        <w:t xml:space="preserve">, </w:t>
      </w:r>
      <w:r w:rsidRPr="009A19BB">
        <w:t>the agency proposes to require</w:t>
      </w:r>
      <w:r>
        <w:t xml:space="preserve"> </w:t>
      </w:r>
      <w:r w:rsidRPr="0019383A">
        <w:t>a</w:t>
      </w:r>
      <w:r>
        <w:t xml:space="preserve"> </w:t>
      </w:r>
      <w:r w:rsidR="00847C00">
        <w:t>SBWS</w:t>
      </w:r>
      <w:r>
        <w:t xml:space="preserve"> with an indefinite warning period</w:t>
      </w:r>
      <w:r w:rsidR="00FC7F4A">
        <w:t xml:space="preserve">. That is, the warning </w:t>
      </w:r>
      <w:r w:rsidR="00D446CD">
        <w:t>period would continue</w:t>
      </w:r>
      <w:r>
        <w:t xml:space="preserve"> until </w:t>
      </w:r>
      <w:r w:rsidR="00902C2A">
        <w:t xml:space="preserve">occupants </w:t>
      </w:r>
      <w:r w:rsidR="003C72ED">
        <w:t xml:space="preserve">in the driver and right front seat </w:t>
      </w:r>
      <w:r w:rsidR="00902C2A">
        <w:t>use their seat belts</w:t>
      </w:r>
      <w:r w:rsidR="001F2F92">
        <w:t xml:space="preserve">. </w:t>
      </w:r>
    </w:p>
    <w:p w14:paraId="4C6EF18B" w14:textId="391CA429" w:rsidR="00DB2BB3" w:rsidRDefault="000F5B51" w:rsidP="0093458D">
      <w:pPr>
        <w:widowControl w:val="0"/>
        <w:spacing w:after="0"/>
      </w:pPr>
      <w:r>
        <w:t>The third element included in the r</w:t>
      </w:r>
      <w:r w:rsidR="00C45D7A">
        <w:t>equirements</w:t>
      </w:r>
      <w:r w:rsidR="00203291">
        <w:t xml:space="preserve"> </w:t>
      </w:r>
      <w:r w:rsidR="003C0DFD">
        <w:t>addresses the case in which a fasten</w:t>
      </w:r>
      <w:r w:rsidR="00902C2A">
        <w:t>ed</w:t>
      </w:r>
      <w:r w:rsidR="003C0DFD">
        <w:t xml:space="preserve"> </w:t>
      </w:r>
      <w:r w:rsidR="00DC3718">
        <w:t>front or rear</w:t>
      </w:r>
      <w:r w:rsidR="00F721E1">
        <w:t xml:space="preserve"> seat </w:t>
      </w:r>
      <w:r w:rsidR="009118A6">
        <w:t>occupant’s</w:t>
      </w:r>
      <w:r w:rsidR="00DC3718">
        <w:t xml:space="preserve"> </w:t>
      </w:r>
      <w:r w:rsidR="0067699B">
        <w:t>seat belt becomes unfastened</w:t>
      </w:r>
      <w:r w:rsidR="001F2F92">
        <w:t xml:space="preserve">. </w:t>
      </w:r>
      <w:r w:rsidR="0067699B">
        <w:t>The</w:t>
      </w:r>
      <w:r>
        <w:t xml:space="preserve"> agency is </w:t>
      </w:r>
      <w:r w:rsidRPr="00B821A6">
        <w:t>proposing</w:t>
      </w:r>
      <w:r>
        <w:t xml:space="preserve"> to require</w:t>
      </w:r>
      <w:r w:rsidRPr="00B821A6">
        <w:t xml:space="preserve"> an audiovisual warning whenever a fastened </w:t>
      </w:r>
      <w:r>
        <w:t xml:space="preserve">front or rear </w:t>
      </w:r>
      <w:r w:rsidR="004C616E">
        <w:t xml:space="preserve">seat occupant’s </w:t>
      </w:r>
      <w:r w:rsidRPr="00B821A6">
        <w:t>seat belt becomes unfastened while the vehicle's ignition switch is in the “on” or “start” position and the vehicle’s transmission selector is in a forward or reverse gear.</w:t>
      </w:r>
      <w:r w:rsidR="00157A89">
        <w:t xml:space="preserve"> In response to a change in the </w:t>
      </w:r>
      <w:r w:rsidR="00D35070">
        <w:t>status of a rear seat occupant</w:t>
      </w:r>
      <w:r w:rsidR="00A56199">
        <w:t>,</w:t>
      </w:r>
      <w:r w:rsidR="00D35070">
        <w:t xml:space="preserve"> this warning would </w:t>
      </w:r>
      <w:r w:rsidR="00D1430F">
        <w:t>last for at least 30 seconds and</w:t>
      </w:r>
      <w:r w:rsidR="00A56199">
        <w:t>,</w:t>
      </w:r>
      <w:r w:rsidR="00D1430F">
        <w:t xml:space="preserve"> in the case of a change in status for front seat occupants</w:t>
      </w:r>
      <w:r w:rsidR="00A56199">
        <w:t>,</w:t>
      </w:r>
      <w:r w:rsidR="00D1430F">
        <w:t xml:space="preserve"> the warning would be indefinite. </w:t>
      </w:r>
    </w:p>
    <w:p w14:paraId="1AD2870C" w14:textId="4D80574A" w:rsidR="00FE74E2" w:rsidRPr="00B821A6" w:rsidRDefault="00FE74E2" w:rsidP="00FE74E2">
      <w:pPr>
        <w:spacing w:after="0"/>
      </w:pPr>
      <w:r w:rsidRPr="004251DD">
        <w:t xml:space="preserve">The warnings provided by seat belt warning systems typically consist of visual and/or audible signals.  An optimized warning system balances effectiveness and annoyance, so that the </w:t>
      </w:r>
      <w:r w:rsidRPr="004251DD">
        <w:lastRenderedPageBreak/>
        <w:t>warning is noticeable enough that the occupants will be motivated to fasten their belts, but not so intrusive that an occupant may attempt to circumvent or disable it or the public will not accept it.</w:t>
      </w:r>
      <w:r>
        <w:rPr>
          <w:rStyle w:val="FootnoteReference"/>
        </w:rPr>
        <w:footnoteReference w:id="3"/>
      </w:r>
      <w:r w:rsidRPr="004251DD">
        <w:t xml:space="preserve">  Research by NHTSA and others shows that seat belt warning systems are effective at getting unbuckled occupants to fasten their seat belt.  </w:t>
      </w:r>
      <w:r>
        <w:t>For a more extensive discussion of the warning types, please see the Notice of Proposed Rule Making (NPRM).</w:t>
      </w:r>
    </w:p>
    <w:p w14:paraId="573540BB" w14:textId="77777777" w:rsidR="000E3490" w:rsidRDefault="000F5B51" w:rsidP="00212978">
      <w:pPr>
        <w:widowControl w:val="0"/>
        <w:spacing w:after="0"/>
        <w:rPr>
          <w:rFonts w:cs="Times New Roman"/>
          <w:szCs w:val="24"/>
        </w:rPr>
      </w:pPr>
      <w:r>
        <w:rPr>
          <w:rFonts w:cs="Times New Roman"/>
          <w:szCs w:val="24"/>
        </w:rPr>
        <w:t xml:space="preserve">This PRIA estimates the incremental benefits and costs associated with the proposed rule relative to the baseline. Incremental benefits and costs represent the difference in benefits and costs in the baseline </w:t>
      </w:r>
      <w:r w:rsidR="009F0662">
        <w:rPr>
          <w:rFonts w:cs="Times New Roman"/>
          <w:szCs w:val="24"/>
        </w:rPr>
        <w:t xml:space="preserve">which represents the world </w:t>
      </w:r>
      <w:r w:rsidR="00F721E1">
        <w:rPr>
          <w:rFonts w:cs="Times New Roman"/>
          <w:szCs w:val="24"/>
        </w:rPr>
        <w:t>in absence of</w:t>
      </w:r>
      <w:r w:rsidR="009F0662">
        <w:rPr>
          <w:rFonts w:cs="Times New Roman"/>
          <w:szCs w:val="24"/>
        </w:rPr>
        <w:t xml:space="preserve"> the proposed rule</w:t>
      </w:r>
      <w:r w:rsidR="00844735">
        <w:rPr>
          <w:rFonts w:cs="Times New Roman"/>
          <w:szCs w:val="24"/>
        </w:rPr>
        <w:t xml:space="preserve"> </w:t>
      </w:r>
      <w:r>
        <w:rPr>
          <w:rFonts w:cs="Times New Roman"/>
          <w:szCs w:val="24"/>
        </w:rPr>
        <w:t xml:space="preserve">versus those under the proposed rule. In specifying the baseline, this analysis considers </w:t>
      </w:r>
      <w:r w:rsidR="00A04E01">
        <w:rPr>
          <w:rFonts w:cs="Times New Roman"/>
          <w:szCs w:val="24"/>
        </w:rPr>
        <w:t>the</w:t>
      </w:r>
      <w:r w:rsidR="00844735">
        <w:rPr>
          <w:rFonts w:cs="Times New Roman"/>
          <w:szCs w:val="24"/>
        </w:rPr>
        <w:t xml:space="preserve"> current requirements under FMVSS No. 208 and </w:t>
      </w:r>
      <w:r w:rsidR="00EB00B9">
        <w:rPr>
          <w:rFonts w:cs="Times New Roman"/>
          <w:szCs w:val="24"/>
        </w:rPr>
        <w:t xml:space="preserve">current </w:t>
      </w:r>
      <w:r w:rsidR="00D57D45">
        <w:rPr>
          <w:rFonts w:cs="Times New Roman"/>
          <w:szCs w:val="24"/>
        </w:rPr>
        <w:t>seat belt usage rates.</w:t>
      </w:r>
      <w:r w:rsidR="00212978">
        <w:rPr>
          <w:rFonts w:cs="Times New Roman"/>
          <w:szCs w:val="24"/>
        </w:rPr>
        <w:t xml:space="preserve"> </w:t>
      </w:r>
    </w:p>
    <w:p w14:paraId="107F9157" w14:textId="7D6B0125" w:rsidR="00964A6C" w:rsidRDefault="000F5B51" w:rsidP="0093458D">
      <w:pPr>
        <w:spacing w:after="0"/>
        <w:rPr>
          <w:rFonts w:cs="Times New Roman"/>
          <w:szCs w:val="24"/>
        </w:rPr>
      </w:pPr>
      <w:r>
        <w:rPr>
          <w:rFonts w:cs="Times New Roman"/>
          <w:szCs w:val="24"/>
        </w:rPr>
        <w:fldChar w:fldCharType="begin"/>
      </w:r>
      <w:r>
        <w:rPr>
          <w:rFonts w:cs="Times New Roman"/>
          <w:szCs w:val="24"/>
        </w:rPr>
        <w:instrText xml:space="preserve"> REF _Ref126049012 \h </w:instrText>
      </w:r>
      <w:r>
        <w:rPr>
          <w:rFonts w:cs="Times New Roman"/>
          <w:szCs w:val="24"/>
        </w:rPr>
      </w:r>
      <w:r>
        <w:rPr>
          <w:rFonts w:cs="Times New Roman"/>
          <w:szCs w:val="24"/>
        </w:rPr>
        <w:fldChar w:fldCharType="separate"/>
      </w:r>
      <w:r w:rsidR="00A65CB3">
        <w:t xml:space="preserve">Table </w:t>
      </w:r>
      <w:r w:rsidR="00A65CB3">
        <w:rPr>
          <w:noProof/>
        </w:rPr>
        <w:t>5</w:t>
      </w:r>
      <w:r>
        <w:rPr>
          <w:rFonts w:cs="Times New Roman"/>
          <w:szCs w:val="24"/>
        </w:rPr>
        <w:fldChar w:fldCharType="end"/>
      </w:r>
      <w:r>
        <w:rPr>
          <w:rFonts w:cs="Times New Roman"/>
          <w:szCs w:val="24"/>
        </w:rPr>
        <w:t xml:space="preserve"> </w:t>
      </w:r>
      <w:r w:rsidR="00C21C4F">
        <w:rPr>
          <w:rFonts w:cs="Times New Roman"/>
          <w:szCs w:val="24"/>
        </w:rPr>
        <w:t>presents the</w:t>
      </w:r>
      <w:r w:rsidR="00BD7877">
        <w:rPr>
          <w:rFonts w:cs="Times New Roman"/>
          <w:szCs w:val="24"/>
        </w:rPr>
        <w:t xml:space="preserve"> baseline</w:t>
      </w:r>
      <w:r w:rsidR="00C21C4F">
        <w:rPr>
          <w:rFonts w:cs="Times New Roman"/>
          <w:szCs w:val="24"/>
        </w:rPr>
        <w:t xml:space="preserve"> </w:t>
      </w:r>
      <w:r w:rsidR="00371FBF">
        <w:rPr>
          <w:rFonts w:cs="Times New Roman"/>
          <w:szCs w:val="24"/>
        </w:rPr>
        <w:t xml:space="preserve">seat belt use rates for drivers, right front seat occupants, and rear seat occupants. The table includes the </w:t>
      </w:r>
      <w:r w:rsidR="001B3550">
        <w:rPr>
          <w:rFonts w:cs="Times New Roman"/>
          <w:szCs w:val="24"/>
        </w:rPr>
        <w:t xml:space="preserve">observed seat belt use rates and </w:t>
      </w:r>
      <w:r w:rsidR="00371FBF">
        <w:rPr>
          <w:rFonts w:eastAsia="Times New Roman" w:cs="Times New Roman"/>
          <w:szCs w:val="24"/>
        </w:rPr>
        <w:t xml:space="preserve">estimated </w:t>
      </w:r>
      <w:r w:rsidR="006B1AFC">
        <w:rPr>
          <w:rFonts w:eastAsia="Times New Roman" w:cs="Times New Roman"/>
          <w:szCs w:val="24"/>
        </w:rPr>
        <w:t xml:space="preserve">seat belt </w:t>
      </w:r>
      <w:r w:rsidR="00371FBF">
        <w:rPr>
          <w:rFonts w:eastAsia="Times New Roman" w:cs="Times New Roman"/>
          <w:szCs w:val="24"/>
        </w:rPr>
        <w:t>use rates in</w:t>
      </w:r>
      <w:r w:rsidR="00915504">
        <w:rPr>
          <w:rFonts w:eastAsia="Times New Roman" w:cs="Times New Roman"/>
          <w:szCs w:val="24"/>
        </w:rPr>
        <w:t xml:space="preserve"> </w:t>
      </w:r>
      <w:r w:rsidR="00915504" w:rsidRPr="00915504">
        <w:rPr>
          <w:rFonts w:eastAsia="Times New Roman" w:cs="Times New Roman"/>
          <w:szCs w:val="24"/>
        </w:rPr>
        <w:t>potentially</w:t>
      </w:r>
      <w:r w:rsidR="00371FBF">
        <w:rPr>
          <w:rFonts w:eastAsia="Times New Roman" w:cs="Times New Roman"/>
          <w:szCs w:val="24"/>
        </w:rPr>
        <w:t xml:space="preserve"> fatal crashes </w:t>
      </w:r>
      <w:r w:rsidR="006B1AFC">
        <w:rPr>
          <w:rFonts w:eastAsia="Times New Roman" w:cs="Times New Roman"/>
          <w:szCs w:val="24"/>
        </w:rPr>
        <w:t>based on the</w:t>
      </w:r>
      <w:r w:rsidR="00371FBF">
        <w:rPr>
          <w:rFonts w:eastAsia="Times New Roman" w:cs="Times New Roman"/>
          <w:szCs w:val="24"/>
        </w:rPr>
        <w:t xml:space="preserve"> observed seat belt use rates.</w:t>
      </w:r>
      <w:r w:rsidR="00146D8C">
        <w:rPr>
          <w:rFonts w:cs="Times New Roman"/>
          <w:szCs w:val="24"/>
        </w:rPr>
        <w:t xml:space="preserve"> </w:t>
      </w:r>
      <w:r w:rsidR="00074821">
        <w:rPr>
          <w:rFonts w:cs="Times New Roman"/>
          <w:szCs w:val="24"/>
        </w:rPr>
        <w:t>As those individuals who are most resistant to seat belt use are typically more risk loving than the rest of the population, those individuals are more likely to be involved in serious crashes. Therefore, this analysis considers s</w:t>
      </w:r>
      <w:r w:rsidR="00964A6C">
        <w:rPr>
          <w:rFonts w:cs="Times New Roman"/>
          <w:szCs w:val="24"/>
        </w:rPr>
        <w:t xml:space="preserve">eat belt use rates in potentially fatal crashes </w:t>
      </w:r>
      <w:r w:rsidR="00074821">
        <w:rPr>
          <w:rFonts w:cs="Times New Roman"/>
          <w:szCs w:val="24"/>
        </w:rPr>
        <w:t>rather than just simply taking into account the observed seat belt use rate and live-saved rate.</w:t>
      </w:r>
      <w:r w:rsidR="00074821" w:rsidRPr="00074821">
        <w:rPr>
          <w:rStyle w:val="FootnoteReference"/>
          <w:rFonts w:eastAsia="Times New Roman" w:cs="Times New Roman"/>
          <w:szCs w:val="24"/>
        </w:rPr>
        <w:t xml:space="preserve"> </w:t>
      </w:r>
      <w:r w:rsidR="00074821">
        <w:fldChar w:fldCharType="begin"/>
      </w:r>
      <w:r w:rsidR="00074821">
        <w:rPr>
          <w:rStyle w:val="FootnoteReference"/>
          <w:rFonts w:eastAsia="Times New Roman" w:cs="Times New Roman"/>
          <w:szCs w:val="24"/>
        </w:rPr>
        <w:instrText xml:space="preserve"> NOTEREF _Ref141766460 \h </w:instrText>
      </w:r>
      <w:r w:rsidR="00074821">
        <w:fldChar w:fldCharType="separate"/>
      </w:r>
      <w:r w:rsidR="00A65CB3">
        <w:rPr>
          <w:rStyle w:val="FootnoteReference"/>
          <w:rFonts w:eastAsia="Times New Roman" w:cs="Times New Roman"/>
          <w:szCs w:val="24"/>
        </w:rPr>
        <w:t>3</w:t>
      </w:r>
      <w:r w:rsidR="00074821">
        <w:fldChar w:fldCharType="end"/>
      </w:r>
    </w:p>
    <w:p w14:paraId="504B6A84" w14:textId="4ED65B76" w:rsidR="00EE7246" w:rsidRDefault="009E0728" w:rsidP="0093458D">
      <w:pPr>
        <w:spacing w:after="0"/>
        <w:rPr>
          <w:rFonts w:eastAsia="Times New Roman" w:cs="Times New Roman"/>
          <w:szCs w:val="24"/>
        </w:rPr>
      </w:pPr>
      <w:r>
        <w:rPr>
          <w:rFonts w:cs="Times New Roman"/>
          <w:szCs w:val="24"/>
        </w:rPr>
        <w:t>A</w:t>
      </w:r>
      <w:r w:rsidR="002C180B">
        <w:rPr>
          <w:rFonts w:cs="Times New Roman"/>
          <w:szCs w:val="24"/>
        </w:rPr>
        <w:t>s</w:t>
      </w:r>
      <w:r>
        <w:rPr>
          <w:rFonts w:cs="Times New Roman"/>
          <w:szCs w:val="24"/>
        </w:rPr>
        <w:t xml:space="preserve"> seat belt use </w:t>
      </w:r>
      <w:r w:rsidR="00193C00">
        <w:rPr>
          <w:rFonts w:cs="Times New Roman"/>
          <w:szCs w:val="24"/>
        </w:rPr>
        <w:t>in</w:t>
      </w:r>
      <w:r w:rsidR="00915504">
        <w:rPr>
          <w:rFonts w:cs="Times New Roman"/>
          <w:szCs w:val="24"/>
        </w:rPr>
        <w:t xml:space="preserve"> </w:t>
      </w:r>
      <w:r w:rsidR="00915504" w:rsidRPr="00915504">
        <w:rPr>
          <w:rFonts w:cs="Times New Roman"/>
          <w:szCs w:val="24"/>
        </w:rPr>
        <w:t>potentially</w:t>
      </w:r>
      <w:r w:rsidR="00193C00">
        <w:rPr>
          <w:rFonts w:cs="Times New Roman"/>
          <w:szCs w:val="24"/>
        </w:rPr>
        <w:t xml:space="preserve"> fatal crashes is lower than </w:t>
      </w:r>
      <w:r w:rsidR="00BD7877">
        <w:rPr>
          <w:rFonts w:cs="Times New Roman"/>
          <w:szCs w:val="24"/>
        </w:rPr>
        <w:t xml:space="preserve">the </w:t>
      </w:r>
      <w:r w:rsidR="000E7DE7">
        <w:rPr>
          <w:rFonts w:cs="Times New Roman"/>
          <w:szCs w:val="24"/>
        </w:rPr>
        <w:t xml:space="preserve">observed </w:t>
      </w:r>
      <w:r w:rsidR="00D02DB6">
        <w:rPr>
          <w:rFonts w:cs="Times New Roman"/>
          <w:szCs w:val="24"/>
        </w:rPr>
        <w:t xml:space="preserve">seat belt </w:t>
      </w:r>
      <w:r w:rsidR="000E7DE7">
        <w:rPr>
          <w:rFonts w:cs="Times New Roman"/>
          <w:szCs w:val="24"/>
        </w:rPr>
        <w:t>us</w:t>
      </w:r>
      <w:r w:rsidR="002C180B">
        <w:rPr>
          <w:rFonts w:cs="Times New Roman"/>
          <w:szCs w:val="24"/>
        </w:rPr>
        <w:t>e</w:t>
      </w:r>
      <w:r w:rsidR="00BD7877">
        <w:rPr>
          <w:rFonts w:cs="Times New Roman"/>
          <w:szCs w:val="24"/>
        </w:rPr>
        <w:t xml:space="preserve"> rate</w:t>
      </w:r>
      <w:r w:rsidR="002C180B">
        <w:rPr>
          <w:rFonts w:cs="Times New Roman"/>
          <w:szCs w:val="24"/>
        </w:rPr>
        <w:t xml:space="preserve">, </w:t>
      </w:r>
      <w:r w:rsidR="00E95AC1">
        <w:rPr>
          <w:rFonts w:cs="Times New Roman"/>
          <w:szCs w:val="24"/>
        </w:rPr>
        <w:t xml:space="preserve">this analysis </w:t>
      </w:r>
      <w:r w:rsidR="00E95AC1" w:rsidRPr="00BA0F90">
        <w:rPr>
          <w:rFonts w:cs="Times New Roman"/>
          <w:szCs w:val="24"/>
        </w:rPr>
        <w:t>makes use of</w:t>
      </w:r>
      <w:r w:rsidR="000F5B51" w:rsidRPr="00BA0F90">
        <w:rPr>
          <w:rFonts w:eastAsia="Times New Roman" w:cs="Times New Roman"/>
          <w:szCs w:val="24"/>
        </w:rPr>
        <w:t xml:space="preserve"> a model</w:t>
      </w:r>
      <w:r w:rsidR="005713F1" w:rsidRPr="00BA0F90">
        <w:rPr>
          <w:rFonts w:eastAsia="Times New Roman" w:cs="Times New Roman"/>
          <w:szCs w:val="24"/>
        </w:rPr>
        <w:t xml:space="preserve"> that estimates</w:t>
      </w:r>
      <w:r w:rsidR="00B52E84" w:rsidRPr="00BA0F90">
        <w:rPr>
          <w:rFonts w:eastAsia="Times New Roman" w:cs="Times New Roman"/>
          <w:szCs w:val="24"/>
        </w:rPr>
        <w:t xml:space="preserve"> </w:t>
      </w:r>
      <w:r w:rsidR="00371FBF" w:rsidRPr="00BA0F90">
        <w:rPr>
          <w:rFonts w:eastAsia="Times New Roman" w:cs="Times New Roman"/>
          <w:szCs w:val="24"/>
        </w:rPr>
        <w:t>seat belt use in</w:t>
      </w:r>
      <w:r w:rsidR="00915504">
        <w:rPr>
          <w:rFonts w:eastAsia="Times New Roman" w:cs="Times New Roman"/>
          <w:szCs w:val="24"/>
        </w:rPr>
        <w:t xml:space="preserve"> </w:t>
      </w:r>
      <w:r w:rsidR="00915504" w:rsidRPr="00915504">
        <w:rPr>
          <w:rFonts w:eastAsia="Times New Roman" w:cs="Times New Roman"/>
          <w:szCs w:val="24"/>
        </w:rPr>
        <w:t>potentially</w:t>
      </w:r>
      <w:r w:rsidR="00371FBF" w:rsidRPr="00BA0F90">
        <w:rPr>
          <w:rFonts w:eastAsia="Times New Roman" w:cs="Times New Roman"/>
          <w:szCs w:val="24"/>
        </w:rPr>
        <w:t xml:space="preserve"> </w:t>
      </w:r>
      <w:r w:rsidR="00DE36F7" w:rsidRPr="00BA0F90">
        <w:rPr>
          <w:rFonts w:eastAsia="Times New Roman" w:cs="Times New Roman"/>
          <w:szCs w:val="24"/>
        </w:rPr>
        <w:t>fatal crashes</w:t>
      </w:r>
      <w:r w:rsidR="00B52E84" w:rsidRPr="00BA0F90">
        <w:rPr>
          <w:rFonts w:eastAsia="Times New Roman" w:cs="Times New Roman"/>
          <w:szCs w:val="24"/>
        </w:rPr>
        <w:t xml:space="preserve"> based on </w:t>
      </w:r>
      <w:r w:rsidR="00B52E84" w:rsidRPr="00BA0F90">
        <w:rPr>
          <w:rFonts w:eastAsia="Times New Roman" w:cs="Times New Roman"/>
          <w:szCs w:val="24"/>
        </w:rPr>
        <w:lastRenderedPageBreak/>
        <w:t xml:space="preserve">observed </w:t>
      </w:r>
      <w:r w:rsidR="0048713A" w:rsidRPr="00BA0F90">
        <w:rPr>
          <w:rFonts w:eastAsia="Times New Roman" w:cs="Times New Roman"/>
          <w:szCs w:val="24"/>
        </w:rPr>
        <w:t>seat belt use rates.</w:t>
      </w:r>
      <w:bookmarkStart w:id="10" w:name="_Ref141766460"/>
      <w:r w:rsidR="000F5B51">
        <w:rPr>
          <w:rStyle w:val="FootnoteReference"/>
          <w:rFonts w:eastAsia="Times New Roman" w:cs="Times New Roman"/>
          <w:szCs w:val="24"/>
        </w:rPr>
        <w:footnoteReference w:id="4"/>
      </w:r>
      <w:bookmarkEnd w:id="10"/>
      <w:r w:rsidR="00CC2C8B" w:rsidRPr="00BA0F90">
        <w:rPr>
          <w:rFonts w:eastAsia="Times New Roman" w:cs="Times New Roman"/>
          <w:szCs w:val="24"/>
          <w:vertAlign w:val="superscript"/>
        </w:rPr>
        <w:t xml:space="preserve">, </w:t>
      </w:r>
      <w:r w:rsidR="000F5B51">
        <w:rPr>
          <w:rStyle w:val="FootnoteReference"/>
          <w:rFonts w:eastAsia="Times New Roman" w:cs="Times New Roman"/>
          <w:szCs w:val="24"/>
        </w:rPr>
        <w:footnoteReference w:id="5"/>
      </w:r>
      <w:r w:rsidR="000F5B51" w:rsidRPr="00BA0F90">
        <w:rPr>
          <w:rFonts w:eastAsia="Times New Roman" w:cs="Times New Roman"/>
          <w:szCs w:val="24"/>
        </w:rPr>
        <w:t xml:space="preserve">  </w:t>
      </w:r>
      <w:r w:rsidR="00EE7246">
        <w:rPr>
          <w:rFonts w:eastAsia="Times New Roman" w:cs="Times New Roman"/>
          <w:szCs w:val="24"/>
        </w:rPr>
        <w:t xml:space="preserve">As this analysis was published in 2002, we request comment on the applicability of this model based on potential recent trends in occupant and driver safety risks. </w:t>
      </w:r>
    </w:p>
    <w:p w14:paraId="31011A9B" w14:textId="437A924D" w:rsidR="003731BC" w:rsidRDefault="00BA0F90" w:rsidP="0093458D">
      <w:pPr>
        <w:spacing w:after="0"/>
        <w:rPr>
          <w:rFonts w:eastAsia="Times New Roman" w:cs="Times New Roman"/>
          <w:szCs w:val="24"/>
        </w:rPr>
      </w:pPr>
      <w:r w:rsidRPr="0093458D">
        <w:rPr>
          <w:rFonts w:eastAsia="Times New Roman" w:cs="Times New Roman"/>
          <w:szCs w:val="24"/>
        </w:rPr>
        <w:t xml:space="preserve">Based on an observed use rate of 0.9060, the </w:t>
      </w:r>
      <w:r w:rsidR="00C56B7D">
        <w:rPr>
          <w:rFonts w:eastAsia="Times New Roman" w:cs="Times New Roman"/>
          <w:szCs w:val="24"/>
        </w:rPr>
        <w:t xml:space="preserve">baseline </w:t>
      </w:r>
      <w:r w:rsidRPr="0093458D">
        <w:rPr>
          <w:rFonts w:eastAsia="Times New Roman" w:cs="Times New Roman"/>
          <w:szCs w:val="24"/>
        </w:rPr>
        <w:t xml:space="preserve">seat belt use rate in </w:t>
      </w:r>
      <w:r w:rsidR="00915504" w:rsidRPr="00915504">
        <w:rPr>
          <w:rFonts w:eastAsia="Times New Roman" w:cs="Times New Roman"/>
          <w:szCs w:val="24"/>
        </w:rPr>
        <w:t xml:space="preserve">potentially </w:t>
      </w:r>
      <w:r w:rsidRPr="0093458D">
        <w:rPr>
          <w:rFonts w:eastAsia="Times New Roman" w:cs="Times New Roman"/>
          <w:szCs w:val="24"/>
        </w:rPr>
        <w:t xml:space="preserve">fatal crashes for </w:t>
      </w:r>
      <w:r w:rsidR="00314D8E">
        <w:rPr>
          <w:rFonts w:eastAsia="Times New Roman" w:cs="Times New Roman"/>
          <w:szCs w:val="24"/>
        </w:rPr>
        <w:t>drivers</w:t>
      </w:r>
      <w:r w:rsidRPr="0093458D">
        <w:rPr>
          <w:rFonts w:eastAsia="Times New Roman" w:cs="Times New Roman"/>
          <w:szCs w:val="24"/>
        </w:rPr>
        <w:t xml:space="preserve"> is 0.7842. </w:t>
      </w:r>
      <w:r w:rsidR="008750FC" w:rsidRPr="00BA0F90">
        <w:rPr>
          <w:rFonts w:eastAsia="Times New Roman" w:cs="Times New Roman"/>
          <w:szCs w:val="24"/>
        </w:rPr>
        <w:t>Based on an observed use rate of 0.8541, t</w:t>
      </w:r>
      <w:r w:rsidR="00F00918" w:rsidRPr="00BA0F90">
        <w:rPr>
          <w:rFonts w:eastAsia="Times New Roman" w:cs="Times New Roman"/>
          <w:szCs w:val="24"/>
        </w:rPr>
        <w:t>h</w:t>
      </w:r>
      <w:r w:rsidR="00C902C3" w:rsidRPr="00BA0F90">
        <w:rPr>
          <w:rFonts w:eastAsia="Times New Roman" w:cs="Times New Roman"/>
          <w:szCs w:val="24"/>
        </w:rPr>
        <w:t xml:space="preserve">e </w:t>
      </w:r>
      <w:r w:rsidR="00C56B7D">
        <w:rPr>
          <w:rFonts w:eastAsia="Times New Roman" w:cs="Times New Roman"/>
          <w:szCs w:val="24"/>
        </w:rPr>
        <w:t xml:space="preserve">baseline </w:t>
      </w:r>
      <w:r w:rsidRPr="0093458D">
        <w:rPr>
          <w:rFonts w:eastAsia="Times New Roman" w:cs="Times New Roman"/>
          <w:szCs w:val="24"/>
        </w:rPr>
        <w:t xml:space="preserve">seat belt use rate in </w:t>
      </w:r>
      <w:r w:rsidR="00915504" w:rsidRPr="00915504">
        <w:rPr>
          <w:rFonts w:eastAsia="Times New Roman" w:cs="Times New Roman"/>
          <w:szCs w:val="24"/>
        </w:rPr>
        <w:t xml:space="preserve">potentially </w:t>
      </w:r>
      <w:r w:rsidRPr="0093458D">
        <w:rPr>
          <w:rFonts w:eastAsia="Times New Roman" w:cs="Times New Roman"/>
          <w:szCs w:val="24"/>
        </w:rPr>
        <w:t>fatal crashes</w:t>
      </w:r>
      <w:r w:rsidR="00C902C3" w:rsidRPr="00BA0F90">
        <w:rPr>
          <w:rFonts w:eastAsia="Times New Roman" w:cs="Times New Roman"/>
          <w:szCs w:val="24"/>
        </w:rPr>
        <w:t xml:space="preserve"> for front outb</w:t>
      </w:r>
      <w:r w:rsidR="008750FC" w:rsidRPr="00BA0F90">
        <w:rPr>
          <w:rFonts w:eastAsia="Times New Roman" w:cs="Times New Roman"/>
          <w:szCs w:val="24"/>
        </w:rPr>
        <w:t>oard passengers is 0</w:t>
      </w:r>
      <w:r w:rsidRPr="0093458D">
        <w:rPr>
          <w:rFonts w:eastAsia="Times New Roman" w:cs="Times New Roman"/>
          <w:szCs w:val="24"/>
        </w:rPr>
        <w:t>.</w:t>
      </w:r>
      <w:r w:rsidR="008750FC" w:rsidRPr="00BA0F90">
        <w:rPr>
          <w:rFonts w:eastAsia="Times New Roman" w:cs="Times New Roman"/>
          <w:szCs w:val="24"/>
        </w:rPr>
        <w:t>7183. Based on an observ</w:t>
      </w:r>
      <w:r w:rsidR="001457F4" w:rsidRPr="00BA0F90">
        <w:rPr>
          <w:rFonts w:eastAsia="Times New Roman" w:cs="Times New Roman"/>
          <w:szCs w:val="24"/>
        </w:rPr>
        <w:t>ed rate of 0.9800 and 0.7512, the</w:t>
      </w:r>
      <w:r w:rsidR="00C56B7D">
        <w:rPr>
          <w:rFonts w:eastAsia="Times New Roman" w:cs="Times New Roman"/>
          <w:szCs w:val="24"/>
        </w:rPr>
        <w:t xml:space="preserve"> baseline</w:t>
      </w:r>
      <w:r w:rsidR="001457F4" w:rsidRPr="00BA0F90">
        <w:rPr>
          <w:rFonts w:eastAsia="Times New Roman" w:cs="Times New Roman"/>
          <w:szCs w:val="24"/>
        </w:rPr>
        <w:t xml:space="preserve"> </w:t>
      </w:r>
      <w:r w:rsidRPr="0093458D">
        <w:rPr>
          <w:rFonts w:eastAsia="Times New Roman" w:cs="Times New Roman"/>
          <w:szCs w:val="24"/>
        </w:rPr>
        <w:t xml:space="preserve">seat belt use rate </w:t>
      </w:r>
      <w:r w:rsidR="001457F4" w:rsidRPr="00BA0F90">
        <w:rPr>
          <w:rFonts w:eastAsia="Times New Roman" w:cs="Times New Roman"/>
          <w:szCs w:val="24"/>
        </w:rPr>
        <w:t>for rear-seat passengers age six to ten and 11</w:t>
      </w:r>
      <w:r w:rsidR="00BD7877">
        <w:rPr>
          <w:rFonts w:eastAsia="Times New Roman" w:cs="Times New Roman"/>
          <w:szCs w:val="24"/>
        </w:rPr>
        <w:t xml:space="preserve"> years and</w:t>
      </w:r>
      <w:r w:rsidR="001457F4" w:rsidRPr="00BA0F90">
        <w:rPr>
          <w:rFonts w:eastAsia="Times New Roman" w:cs="Times New Roman"/>
          <w:szCs w:val="24"/>
        </w:rPr>
        <w:t xml:space="preserve"> older</w:t>
      </w:r>
      <w:r w:rsidR="00915504">
        <w:rPr>
          <w:rFonts w:eastAsia="Times New Roman" w:cs="Times New Roman"/>
          <w:szCs w:val="24"/>
        </w:rPr>
        <w:t xml:space="preserve"> in potentially fatal crashes</w:t>
      </w:r>
      <w:r w:rsidR="001457F4" w:rsidRPr="00BA0F90">
        <w:rPr>
          <w:rFonts w:eastAsia="Times New Roman" w:cs="Times New Roman"/>
          <w:szCs w:val="24"/>
        </w:rPr>
        <w:t xml:space="preserve"> is 0.8825 and 0</w:t>
      </w:r>
      <w:r w:rsidR="00540E56" w:rsidRPr="00BA0F90">
        <w:rPr>
          <w:rFonts w:eastAsia="Times New Roman" w:cs="Times New Roman"/>
          <w:szCs w:val="24"/>
        </w:rPr>
        <w:t>.5953, respectively.</w:t>
      </w:r>
    </w:p>
    <w:p w14:paraId="12666987" w14:textId="60CC467B" w:rsidR="000E3490" w:rsidRPr="00D45A69" w:rsidRDefault="000F5B51" w:rsidP="000E3490">
      <w:pPr>
        <w:pStyle w:val="Caption"/>
      </w:pPr>
      <w:bookmarkStart w:id="12" w:name="_Ref126049012"/>
      <w:r>
        <w:t xml:space="preserve">Table </w:t>
      </w:r>
      <w:r w:rsidR="00115BAB">
        <w:fldChar w:fldCharType="begin"/>
      </w:r>
      <w:r>
        <w:instrText xml:space="preserve"> SEQ Table \* ARABIC </w:instrText>
      </w:r>
      <w:r w:rsidR="00115BAB">
        <w:fldChar w:fldCharType="separate"/>
      </w:r>
      <w:r w:rsidR="00A65CB3">
        <w:rPr>
          <w:noProof/>
        </w:rPr>
        <w:t>5</w:t>
      </w:r>
      <w:r w:rsidR="00115BAB">
        <w:rPr>
          <w:noProof/>
        </w:rPr>
        <w:fldChar w:fldCharType="end"/>
      </w:r>
      <w:bookmarkEnd w:id="12"/>
      <w:r>
        <w:t xml:space="preserve">: </w:t>
      </w:r>
      <w:r w:rsidRPr="00696D32">
        <w:t xml:space="preserve">Summary of </w:t>
      </w:r>
      <w:r w:rsidR="004B4B9B">
        <w:t xml:space="preserve">Baseline Seat </w:t>
      </w:r>
      <w:r w:rsidRPr="00696D32">
        <w:t xml:space="preserve">Belt Use </w:t>
      </w:r>
      <w:r w:rsidR="004B4B9B">
        <w:t>Rates</w:t>
      </w:r>
    </w:p>
    <w:tbl>
      <w:tblPr>
        <w:tblW w:w="7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2250"/>
        <w:gridCol w:w="1981"/>
      </w:tblGrid>
      <w:tr w:rsidR="00A15C2C" w14:paraId="69C29EA2" w14:textId="77777777" w:rsidTr="001D0BC2">
        <w:trPr>
          <w:trHeight w:val="264"/>
          <w:jc w:val="center"/>
        </w:trPr>
        <w:tc>
          <w:tcPr>
            <w:tcW w:w="3595" w:type="dxa"/>
            <w:shd w:val="clear" w:color="auto" w:fill="D9D9D9" w:themeFill="background1" w:themeFillShade="D9"/>
            <w:noWrap/>
            <w:vAlign w:val="center"/>
            <w:hideMark/>
          </w:tcPr>
          <w:p w14:paraId="7DEB22E0" w14:textId="77777777" w:rsidR="000E3490" w:rsidRPr="006A00B6" w:rsidRDefault="000F5B51" w:rsidP="00256450">
            <w:pPr>
              <w:spacing w:after="0" w:line="240" w:lineRule="auto"/>
              <w:contextualSpacing/>
              <w:rPr>
                <w:rFonts w:eastAsia="Times New Roman" w:cs="Times New Roman"/>
                <w:b/>
                <w:bCs/>
                <w:szCs w:val="24"/>
              </w:rPr>
            </w:pPr>
            <w:r>
              <w:rPr>
                <w:rFonts w:eastAsia="Times New Roman" w:cs="Times New Roman"/>
                <w:b/>
                <w:bCs/>
                <w:szCs w:val="24"/>
              </w:rPr>
              <w:t>Occupant</w:t>
            </w:r>
          </w:p>
        </w:tc>
        <w:tc>
          <w:tcPr>
            <w:tcW w:w="2250" w:type="dxa"/>
            <w:shd w:val="clear" w:color="auto" w:fill="D9D9D9" w:themeFill="background1" w:themeFillShade="D9"/>
            <w:noWrap/>
            <w:vAlign w:val="center"/>
            <w:hideMark/>
          </w:tcPr>
          <w:p w14:paraId="40A5EC7A" w14:textId="77777777" w:rsidR="00995DB6" w:rsidRPr="006A00B6" w:rsidRDefault="000F5B51" w:rsidP="005F0E59">
            <w:pPr>
              <w:spacing w:after="0" w:line="240" w:lineRule="auto"/>
              <w:contextualSpacing/>
              <w:jc w:val="center"/>
              <w:rPr>
                <w:rFonts w:eastAsia="Times New Roman" w:cs="Times New Roman"/>
                <w:b/>
                <w:bCs/>
                <w:szCs w:val="24"/>
              </w:rPr>
            </w:pPr>
            <w:r w:rsidRPr="006A00B6">
              <w:rPr>
                <w:rFonts w:eastAsia="Times New Roman" w:cs="Times New Roman"/>
                <w:b/>
                <w:bCs/>
                <w:szCs w:val="24"/>
              </w:rPr>
              <w:t>Observed</w:t>
            </w:r>
            <w:r>
              <w:rPr>
                <w:rFonts w:eastAsia="Times New Roman" w:cs="Times New Roman"/>
                <w:b/>
                <w:bCs/>
                <w:szCs w:val="24"/>
              </w:rPr>
              <w:t xml:space="preserve"> Seat</w:t>
            </w:r>
            <w:r w:rsidRPr="006A00B6">
              <w:rPr>
                <w:rFonts w:eastAsia="Times New Roman" w:cs="Times New Roman"/>
                <w:b/>
                <w:bCs/>
                <w:szCs w:val="24"/>
              </w:rPr>
              <w:t xml:space="preserve"> </w:t>
            </w:r>
            <w:r>
              <w:rPr>
                <w:rFonts w:eastAsia="Times New Roman" w:cs="Times New Roman"/>
                <w:b/>
                <w:bCs/>
                <w:szCs w:val="24"/>
              </w:rPr>
              <w:t>B</w:t>
            </w:r>
            <w:r w:rsidRPr="006A00B6">
              <w:rPr>
                <w:rFonts w:eastAsia="Times New Roman" w:cs="Times New Roman"/>
                <w:b/>
                <w:bCs/>
                <w:szCs w:val="24"/>
              </w:rPr>
              <w:t xml:space="preserve">elt </w:t>
            </w:r>
            <w:r>
              <w:rPr>
                <w:rFonts w:eastAsia="Times New Roman" w:cs="Times New Roman"/>
                <w:b/>
                <w:bCs/>
                <w:szCs w:val="24"/>
              </w:rPr>
              <w:t>U</w:t>
            </w:r>
            <w:r w:rsidRPr="006A00B6">
              <w:rPr>
                <w:rFonts w:eastAsia="Times New Roman" w:cs="Times New Roman"/>
                <w:b/>
                <w:bCs/>
                <w:szCs w:val="24"/>
              </w:rPr>
              <w:t>se</w:t>
            </w:r>
            <w:r>
              <w:rPr>
                <w:rFonts w:eastAsia="Times New Roman" w:cs="Times New Roman"/>
                <w:b/>
                <w:bCs/>
                <w:szCs w:val="24"/>
              </w:rPr>
              <w:t xml:space="preserve"> Rate</w:t>
            </w:r>
          </w:p>
        </w:tc>
        <w:tc>
          <w:tcPr>
            <w:tcW w:w="1981" w:type="dxa"/>
            <w:tcBorders>
              <w:bottom w:val="single" w:sz="4" w:space="0" w:color="auto"/>
            </w:tcBorders>
            <w:shd w:val="clear" w:color="auto" w:fill="D9D9D9" w:themeFill="background1" w:themeFillShade="D9"/>
            <w:noWrap/>
            <w:vAlign w:val="bottom"/>
            <w:hideMark/>
          </w:tcPr>
          <w:p w14:paraId="386DDCF6" w14:textId="12F1E259" w:rsidR="000E3490" w:rsidRPr="006A00B6" w:rsidRDefault="000F5B51" w:rsidP="00256450">
            <w:pPr>
              <w:spacing w:after="0" w:line="240" w:lineRule="auto"/>
              <w:contextualSpacing/>
              <w:jc w:val="center"/>
              <w:rPr>
                <w:rFonts w:eastAsia="Times New Roman" w:cs="Times New Roman"/>
                <w:b/>
                <w:bCs/>
                <w:szCs w:val="24"/>
              </w:rPr>
            </w:pPr>
            <w:r>
              <w:rPr>
                <w:rFonts w:eastAsia="Times New Roman" w:cs="Times New Roman"/>
                <w:b/>
                <w:bCs/>
                <w:szCs w:val="24"/>
              </w:rPr>
              <w:t>Seat Belt Use Rate in</w:t>
            </w:r>
            <w:r w:rsidR="00915504">
              <w:rPr>
                <w:rFonts w:eastAsia="Times New Roman" w:cs="Times New Roman"/>
                <w:b/>
                <w:bCs/>
                <w:szCs w:val="24"/>
              </w:rPr>
              <w:t xml:space="preserve"> P</w:t>
            </w:r>
            <w:r w:rsidR="00915504" w:rsidRPr="00915504">
              <w:rPr>
                <w:rFonts w:eastAsia="Times New Roman" w:cs="Times New Roman"/>
                <w:b/>
                <w:bCs/>
                <w:szCs w:val="24"/>
              </w:rPr>
              <w:t>otentially</w:t>
            </w:r>
            <w:r>
              <w:rPr>
                <w:rFonts w:eastAsia="Times New Roman" w:cs="Times New Roman"/>
                <w:b/>
                <w:bCs/>
                <w:szCs w:val="24"/>
              </w:rPr>
              <w:t xml:space="preserve"> Fatal Crashes</w:t>
            </w:r>
          </w:p>
        </w:tc>
      </w:tr>
      <w:tr w:rsidR="00A15C2C" w14:paraId="2CB28E76" w14:textId="77777777" w:rsidTr="0093458D">
        <w:trPr>
          <w:trHeight w:val="264"/>
          <w:jc w:val="center"/>
        </w:trPr>
        <w:tc>
          <w:tcPr>
            <w:tcW w:w="3595" w:type="dxa"/>
            <w:shd w:val="clear" w:color="auto" w:fill="auto"/>
            <w:noWrap/>
            <w:vAlign w:val="center"/>
          </w:tcPr>
          <w:p w14:paraId="6A4CA1D0" w14:textId="77777777" w:rsidR="00371FBF" w:rsidRDefault="000F5B51" w:rsidP="00256450">
            <w:pPr>
              <w:spacing w:after="0" w:line="240" w:lineRule="auto"/>
              <w:contextualSpacing/>
              <w:rPr>
                <w:rFonts w:eastAsia="Times New Roman" w:cs="Times New Roman"/>
                <w:szCs w:val="24"/>
              </w:rPr>
            </w:pPr>
            <w:r>
              <w:rPr>
                <w:rFonts w:eastAsia="Times New Roman" w:cs="Times New Roman"/>
                <w:szCs w:val="24"/>
              </w:rPr>
              <w:t>Driver</w:t>
            </w:r>
          </w:p>
        </w:tc>
        <w:tc>
          <w:tcPr>
            <w:tcW w:w="2250" w:type="dxa"/>
            <w:shd w:val="clear" w:color="auto" w:fill="auto"/>
            <w:noWrap/>
            <w:vAlign w:val="bottom"/>
          </w:tcPr>
          <w:p w14:paraId="18E89729" w14:textId="77777777" w:rsidR="00371FBF" w:rsidRDefault="000F5B51" w:rsidP="00256450">
            <w:pPr>
              <w:spacing w:after="0" w:line="240" w:lineRule="auto"/>
              <w:contextualSpacing/>
              <w:jc w:val="center"/>
              <w:rPr>
                <w:rFonts w:eastAsia="Times New Roman" w:cs="Times New Roman"/>
                <w:szCs w:val="24"/>
              </w:rPr>
            </w:pPr>
            <w:r>
              <w:rPr>
                <w:rFonts w:eastAsia="Times New Roman" w:cs="Times New Roman"/>
                <w:szCs w:val="24"/>
              </w:rPr>
              <w:t>0.9060</w:t>
            </w:r>
          </w:p>
        </w:tc>
        <w:tc>
          <w:tcPr>
            <w:tcW w:w="1981" w:type="dxa"/>
            <w:tcBorders>
              <w:bottom w:val="single" w:sz="4" w:space="0" w:color="auto"/>
            </w:tcBorders>
            <w:shd w:val="clear" w:color="auto" w:fill="auto"/>
            <w:noWrap/>
            <w:vAlign w:val="bottom"/>
          </w:tcPr>
          <w:p w14:paraId="2DFBB745" w14:textId="77777777" w:rsidR="00371FBF" w:rsidRDefault="000F5B51" w:rsidP="00256450">
            <w:pPr>
              <w:spacing w:after="0" w:line="240" w:lineRule="auto"/>
              <w:contextualSpacing/>
              <w:jc w:val="center"/>
              <w:rPr>
                <w:rFonts w:eastAsia="Times New Roman" w:cs="Times New Roman"/>
                <w:szCs w:val="24"/>
              </w:rPr>
            </w:pPr>
            <w:r>
              <w:rPr>
                <w:rFonts w:eastAsia="Times New Roman" w:cs="Times New Roman"/>
                <w:szCs w:val="24"/>
              </w:rPr>
              <w:t>0.7842</w:t>
            </w:r>
          </w:p>
        </w:tc>
      </w:tr>
      <w:tr w:rsidR="00A15C2C" w14:paraId="05725F18" w14:textId="77777777" w:rsidTr="0093458D">
        <w:trPr>
          <w:trHeight w:val="264"/>
          <w:jc w:val="center"/>
        </w:trPr>
        <w:tc>
          <w:tcPr>
            <w:tcW w:w="3595" w:type="dxa"/>
            <w:shd w:val="clear" w:color="auto" w:fill="auto"/>
            <w:noWrap/>
            <w:vAlign w:val="center"/>
          </w:tcPr>
          <w:p w14:paraId="591007C7" w14:textId="77777777" w:rsidR="000E3490" w:rsidRPr="00D45A69" w:rsidRDefault="000F5B51" w:rsidP="00256450">
            <w:pPr>
              <w:spacing w:after="0" w:line="240" w:lineRule="auto"/>
              <w:contextualSpacing/>
              <w:rPr>
                <w:rFonts w:eastAsia="Times New Roman" w:cs="Times New Roman"/>
                <w:szCs w:val="24"/>
              </w:rPr>
            </w:pPr>
            <w:r>
              <w:rPr>
                <w:rFonts w:eastAsia="Times New Roman" w:cs="Times New Roman"/>
                <w:szCs w:val="24"/>
              </w:rPr>
              <w:t>Right Front Seat Occupant</w:t>
            </w:r>
          </w:p>
        </w:tc>
        <w:tc>
          <w:tcPr>
            <w:tcW w:w="2250" w:type="dxa"/>
            <w:shd w:val="clear" w:color="auto" w:fill="auto"/>
            <w:noWrap/>
            <w:vAlign w:val="bottom"/>
          </w:tcPr>
          <w:p w14:paraId="57073F00" w14:textId="77777777" w:rsidR="000E3490" w:rsidRPr="00D45A69" w:rsidRDefault="000F5B51" w:rsidP="00256450">
            <w:pPr>
              <w:spacing w:after="0" w:line="240" w:lineRule="auto"/>
              <w:contextualSpacing/>
              <w:jc w:val="center"/>
              <w:rPr>
                <w:rFonts w:eastAsia="Times New Roman" w:cs="Times New Roman"/>
                <w:szCs w:val="24"/>
              </w:rPr>
            </w:pPr>
            <w:r>
              <w:rPr>
                <w:rFonts w:eastAsia="Times New Roman" w:cs="Times New Roman"/>
                <w:szCs w:val="24"/>
              </w:rPr>
              <w:t>0.8541</w:t>
            </w:r>
          </w:p>
        </w:tc>
        <w:tc>
          <w:tcPr>
            <w:tcW w:w="1981" w:type="dxa"/>
            <w:tcBorders>
              <w:bottom w:val="single" w:sz="4" w:space="0" w:color="auto"/>
            </w:tcBorders>
            <w:shd w:val="clear" w:color="auto" w:fill="auto"/>
            <w:noWrap/>
            <w:vAlign w:val="bottom"/>
          </w:tcPr>
          <w:p w14:paraId="4C08B772" w14:textId="77777777" w:rsidR="000E3490" w:rsidRPr="00D45A69" w:rsidRDefault="000F5B51" w:rsidP="00256450">
            <w:pPr>
              <w:spacing w:after="0" w:line="240" w:lineRule="auto"/>
              <w:contextualSpacing/>
              <w:jc w:val="center"/>
              <w:rPr>
                <w:rFonts w:eastAsia="Times New Roman" w:cs="Times New Roman"/>
                <w:szCs w:val="24"/>
              </w:rPr>
            </w:pPr>
            <w:r>
              <w:rPr>
                <w:rFonts w:eastAsia="Times New Roman" w:cs="Times New Roman"/>
                <w:szCs w:val="24"/>
              </w:rPr>
              <w:t>0.7183</w:t>
            </w:r>
          </w:p>
        </w:tc>
      </w:tr>
      <w:tr w:rsidR="00A15C2C" w14:paraId="407FDADC" w14:textId="77777777" w:rsidTr="0093458D">
        <w:trPr>
          <w:trHeight w:val="264"/>
          <w:jc w:val="center"/>
        </w:trPr>
        <w:tc>
          <w:tcPr>
            <w:tcW w:w="3595" w:type="dxa"/>
            <w:shd w:val="clear" w:color="auto" w:fill="auto"/>
            <w:noWrap/>
            <w:vAlign w:val="center"/>
          </w:tcPr>
          <w:p w14:paraId="0FB6C48F" w14:textId="77777777" w:rsidR="000E3490" w:rsidRPr="00D45A69" w:rsidRDefault="000F5B51" w:rsidP="00256450">
            <w:pPr>
              <w:spacing w:after="0" w:line="240" w:lineRule="auto"/>
              <w:contextualSpacing/>
              <w:rPr>
                <w:rFonts w:cs="Times New Roman"/>
                <w:szCs w:val="24"/>
              </w:rPr>
            </w:pPr>
            <w:r>
              <w:rPr>
                <w:rFonts w:cs="Times New Roman"/>
                <w:szCs w:val="24"/>
              </w:rPr>
              <w:t>Rear Seat</w:t>
            </w:r>
            <w:r w:rsidR="00995DB6">
              <w:rPr>
                <w:rFonts w:cs="Times New Roman"/>
                <w:szCs w:val="24"/>
              </w:rPr>
              <w:t xml:space="preserve"> Occupant</w:t>
            </w:r>
            <w:r>
              <w:rPr>
                <w:rFonts w:cs="Times New Roman"/>
                <w:szCs w:val="24"/>
              </w:rPr>
              <w:t>,</w:t>
            </w:r>
            <w:r w:rsidR="00995DB6">
              <w:rPr>
                <w:rFonts w:cs="Times New Roman"/>
                <w:szCs w:val="24"/>
              </w:rPr>
              <w:t xml:space="preserve"> Ages</w:t>
            </w:r>
            <w:r>
              <w:rPr>
                <w:rFonts w:cs="Times New Roman"/>
                <w:szCs w:val="24"/>
              </w:rPr>
              <w:t xml:space="preserve"> 6 – 10 </w:t>
            </w:r>
          </w:p>
        </w:tc>
        <w:tc>
          <w:tcPr>
            <w:tcW w:w="2250" w:type="dxa"/>
            <w:tcBorders>
              <w:bottom w:val="single" w:sz="4" w:space="0" w:color="auto"/>
            </w:tcBorders>
            <w:shd w:val="clear" w:color="000000" w:fill="auto"/>
            <w:noWrap/>
          </w:tcPr>
          <w:p w14:paraId="719F5533" w14:textId="77777777" w:rsidR="000E3490" w:rsidRPr="00D45A69" w:rsidRDefault="000F5B51" w:rsidP="00256450">
            <w:pPr>
              <w:spacing w:after="0" w:line="240" w:lineRule="auto"/>
              <w:contextualSpacing/>
              <w:jc w:val="center"/>
              <w:rPr>
                <w:rFonts w:cs="Times New Roman"/>
                <w:szCs w:val="24"/>
              </w:rPr>
            </w:pPr>
            <w:r>
              <w:rPr>
                <w:rFonts w:cs="Times New Roman"/>
                <w:szCs w:val="24"/>
              </w:rPr>
              <w:t>0.9800</w:t>
            </w:r>
          </w:p>
        </w:tc>
        <w:tc>
          <w:tcPr>
            <w:tcW w:w="1981" w:type="dxa"/>
            <w:tcBorders>
              <w:bottom w:val="single" w:sz="4" w:space="0" w:color="auto"/>
            </w:tcBorders>
            <w:shd w:val="clear" w:color="000000" w:fill="auto"/>
            <w:noWrap/>
          </w:tcPr>
          <w:p w14:paraId="089468A9" w14:textId="77777777" w:rsidR="000E3490" w:rsidRDefault="000F5B51" w:rsidP="00256450">
            <w:pPr>
              <w:spacing w:after="0" w:line="240" w:lineRule="auto"/>
              <w:contextualSpacing/>
              <w:jc w:val="center"/>
              <w:rPr>
                <w:rFonts w:cs="Times New Roman"/>
                <w:szCs w:val="24"/>
              </w:rPr>
            </w:pPr>
            <w:r>
              <w:rPr>
                <w:rFonts w:cs="Times New Roman"/>
                <w:szCs w:val="24"/>
              </w:rPr>
              <w:t>0.8825</w:t>
            </w:r>
          </w:p>
        </w:tc>
      </w:tr>
      <w:tr w:rsidR="00A15C2C" w14:paraId="0CCE86CD" w14:textId="77777777" w:rsidTr="0093458D">
        <w:trPr>
          <w:trHeight w:val="264"/>
          <w:jc w:val="center"/>
        </w:trPr>
        <w:tc>
          <w:tcPr>
            <w:tcW w:w="3595" w:type="dxa"/>
            <w:shd w:val="clear" w:color="auto" w:fill="auto"/>
            <w:noWrap/>
            <w:vAlign w:val="center"/>
            <w:hideMark/>
          </w:tcPr>
          <w:p w14:paraId="03FBFDFF" w14:textId="77777777" w:rsidR="000E3490" w:rsidRPr="00D45A69" w:rsidRDefault="000F5B51" w:rsidP="00256450">
            <w:pPr>
              <w:spacing w:after="0" w:line="240" w:lineRule="auto"/>
              <w:contextualSpacing/>
              <w:rPr>
                <w:rFonts w:eastAsia="Times New Roman" w:cs="Times New Roman"/>
                <w:szCs w:val="24"/>
              </w:rPr>
            </w:pPr>
            <w:r>
              <w:rPr>
                <w:rFonts w:cs="Times New Roman"/>
                <w:szCs w:val="24"/>
              </w:rPr>
              <w:t>Rear Seat</w:t>
            </w:r>
            <w:r w:rsidR="00995DB6">
              <w:rPr>
                <w:rFonts w:cs="Times New Roman"/>
                <w:szCs w:val="24"/>
              </w:rPr>
              <w:t xml:space="preserve"> Occupant</w:t>
            </w:r>
            <w:r>
              <w:rPr>
                <w:rFonts w:cs="Times New Roman"/>
                <w:szCs w:val="24"/>
              </w:rPr>
              <w:t xml:space="preserve">, Age 11+ </w:t>
            </w:r>
          </w:p>
        </w:tc>
        <w:tc>
          <w:tcPr>
            <w:tcW w:w="2250" w:type="dxa"/>
            <w:tcBorders>
              <w:bottom w:val="single" w:sz="4" w:space="0" w:color="auto"/>
            </w:tcBorders>
            <w:shd w:val="clear" w:color="000000" w:fill="auto"/>
            <w:noWrap/>
            <w:hideMark/>
          </w:tcPr>
          <w:p w14:paraId="754BCB78" w14:textId="77777777" w:rsidR="000E3490" w:rsidRPr="00D45A69" w:rsidRDefault="000F5B51" w:rsidP="00256450">
            <w:pPr>
              <w:spacing w:after="0" w:line="240" w:lineRule="auto"/>
              <w:contextualSpacing/>
              <w:jc w:val="center"/>
              <w:rPr>
                <w:rFonts w:eastAsia="Times New Roman" w:cs="Times New Roman"/>
                <w:szCs w:val="24"/>
              </w:rPr>
            </w:pPr>
            <w:r w:rsidRPr="00D45A69">
              <w:rPr>
                <w:rFonts w:cs="Times New Roman"/>
                <w:szCs w:val="24"/>
              </w:rPr>
              <w:t>0</w:t>
            </w:r>
            <w:r>
              <w:rPr>
                <w:rFonts w:cs="Times New Roman"/>
                <w:szCs w:val="24"/>
              </w:rPr>
              <w:t>.7512</w:t>
            </w:r>
          </w:p>
        </w:tc>
        <w:tc>
          <w:tcPr>
            <w:tcW w:w="1981" w:type="dxa"/>
            <w:tcBorders>
              <w:bottom w:val="single" w:sz="4" w:space="0" w:color="auto"/>
            </w:tcBorders>
            <w:shd w:val="clear" w:color="000000" w:fill="auto"/>
            <w:noWrap/>
            <w:hideMark/>
          </w:tcPr>
          <w:p w14:paraId="77C99E65" w14:textId="77777777" w:rsidR="000E3490" w:rsidRPr="00D45A69" w:rsidRDefault="000F5B51" w:rsidP="00256450">
            <w:pPr>
              <w:spacing w:after="0" w:line="240" w:lineRule="auto"/>
              <w:contextualSpacing/>
              <w:jc w:val="center"/>
              <w:rPr>
                <w:rFonts w:eastAsia="Times New Roman" w:cs="Times New Roman"/>
                <w:bCs/>
                <w:szCs w:val="24"/>
              </w:rPr>
            </w:pPr>
            <w:r>
              <w:rPr>
                <w:rFonts w:cs="Times New Roman"/>
                <w:szCs w:val="24"/>
              </w:rPr>
              <w:t>0.5953</w:t>
            </w:r>
          </w:p>
        </w:tc>
      </w:tr>
    </w:tbl>
    <w:p w14:paraId="6A160E8F" w14:textId="77777777" w:rsidR="000E3490" w:rsidRDefault="000E3490" w:rsidP="0093458D">
      <w:pPr>
        <w:pStyle w:val="NoSpaceTimes"/>
      </w:pPr>
    </w:p>
    <w:p w14:paraId="6B39649B" w14:textId="600025A9" w:rsidR="00504673" w:rsidRDefault="000F5B51" w:rsidP="00504673">
      <w:pPr>
        <w:widowControl w:val="0"/>
        <w:spacing w:after="0"/>
        <w:rPr>
          <w:rFonts w:eastAsia="Times New Roman" w:cs="Times New Roman"/>
          <w:szCs w:val="24"/>
        </w:rPr>
      </w:pPr>
      <w:r>
        <w:rPr>
          <w:rFonts w:cs="Times New Roman"/>
          <w:szCs w:val="24"/>
        </w:rPr>
        <w:t>U</w:t>
      </w:r>
      <w:r w:rsidR="0082202D">
        <w:t xml:space="preserve">nder the baseline, </w:t>
      </w:r>
      <w:r w:rsidR="00625EF9">
        <w:t xml:space="preserve">this analysis makes use </w:t>
      </w:r>
      <w:r w:rsidR="003E76A0">
        <w:t>of the available information to establish the installation rates and types of SBWS already included in the applicable vehicles</w:t>
      </w:r>
      <w:r w:rsidR="00A85D08">
        <w:t xml:space="preserve">. </w:t>
      </w:r>
      <w:r w:rsidR="00A85D08">
        <w:fldChar w:fldCharType="begin"/>
      </w:r>
      <w:r w:rsidR="00A85D08">
        <w:instrText xml:space="preserve"> REF _Ref127368806 \h </w:instrText>
      </w:r>
      <w:r w:rsidR="00A85D08">
        <w:fldChar w:fldCharType="separate"/>
      </w:r>
      <w:r w:rsidR="00A65CB3">
        <w:t xml:space="preserve">Table </w:t>
      </w:r>
      <w:r w:rsidR="00A65CB3">
        <w:rPr>
          <w:noProof/>
        </w:rPr>
        <w:t>6</w:t>
      </w:r>
      <w:r w:rsidR="00A85D08">
        <w:fldChar w:fldCharType="end"/>
      </w:r>
      <w:r w:rsidR="00A85D08">
        <w:t xml:space="preserve"> </w:t>
      </w:r>
      <w:r w:rsidR="003E76A0">
        <w:t xml:space="preserve">presents a summary of the SBWS installation rate in the new </w:t>
      </w:r>
      <w:r w:rsidR="00974E92">
        <w:t xml:space="preserve">vehicle </w:t>
      </w:r>
      <w:r w:rsidR="003E76A0">
        <w:t xml:space="preserve">fleet for both the right front passenger and rear seat occupants. </w:t>
      </w:r>
      <w:r w:rsidR="003E76A0" w:rsidRPr="00993575">
        <w:t xml:space="preserve">Using </w:t>
      </w:r>
      <w:r w:rsidR="005D7E98">
        <w:t>MY2022</w:t>
      </w:r>
      <w:r w:rsidR="003E76A0" w:rsidRPr="00993575">
        <w:t xml:space="preserve"> NCAP </w:t>
      </w:r>
      <w:r w:rsidR="00D035FF">
        <w:t>ma</w:t>
      </w:r>
      <w:r w:rsidR="00E842E9">
        <w:t xml:space="preserve">nufacturer </w:t>
      </w:r>
      <w:r w:rsidR="005D3712">
        <w:t>data</w:t>
      </w:r>
      <w:r w:rsidR="003E76A0" w:rsidRPr="00993575">
        <w:t xml:space="preserve">, </w:t>
      </w:r>
      <w:r w:rsidR="003E76A0">
        <w:t>under the baseline t</w:t>
      </w:r>
      <w:r w:rsidR="003E76A0" w:rsidRPr="00993575">
        <w:t>he rear SBWS installation rate is 46.9</w:t>
      </w:r>
      <w:r w:rsidR="003E76A0">
        <w:t xml:space="preserve"> percent.</w:t>
      </w:r>
      <w:r w:rsidR="00E00137">
        <w:t xml:space="preserve"> Additionally, this analysis also considers that</w:t>
      </w:r>
      <w:r w:rsidR="00A40D1C">
        <w:t xml:space="preserve"> all light vehicles would have SBWS for driver seats and</w:t>
      </w:r>
      <w:r w:rsidR="00E00137">
        <w:t xml:space="preserve"> </w:t>
      </w:r>
      <w:r w:rsidR="00A40D1C">
        <w:t>96</w:t>
      </w:r>
      <w:r>
        <w:t xml:space="preserve"> percent of light vehicles would include SBWS for right front seat passengers. </w:t>
      </w:r>
      <w:r>
        <w:rPr>
          <w:rFonts w:eastAsia="Times New Roman" w:cs="Times New Roman"/>
          <w:szCs w:val="24"/>
        </w:rPr>
        <w:t xml:space="preserve">Therefore, in estimating incremental benefits and costs, </w:t>
      </w:r>
      <w:r>
        <w:rPr>
          <w:rFonts w:eastAsia="Times New Roman" w:cs="Times New Roman"/>
          <w:szCs w:val="24"/>
        </w:rPr>
        <w:lastRenderedPageBreak/>
        <w:t xml:space="preserve">this analysis </w:t>
      </w:r>
      <w:r w:rsidR="00974497">
        <w:rPr>
          <w:rFonts w:eastAsia="Times New Roman" w:cs="Times New Roman"/>
          <w:szCs w:val="24"/>
        </w:rPr>
        <w:t>takes into account the</w:t>
      </w:r>
      <w:r w:rsidR="001C42E2">
        <w:rPr>
          <w:rFonts w:eastAsia="Times New Roman" w:cs="Times New Roman"/>
          <w:szCs w:val="24"/>
        </w:rPr>
        <w:t>se installation rates</w:t>
      </w:r>
      <w:r w:rsidR="00731AB6">
        <w:rPr>
          <w:rFonts w:eastAsia="Times New Roman" w:cs="Times New Roman"/>
          <w:szCs w:val="24"/>
        </w:rPr>
        <w:t xml:space="preserve"> for the specified seating positions.</w:t>
      </w:r>
    </w:p>
    <w:p w14:paraId="13D5744A" w14:textId="593B62A8" w:rsidR="003E76A0" w:rsidRPr="00703F53" w:rsidRDefault="000F5B51" w:rsidP="0093458D">
      <w:pPr>
        <w:pStyle w:val="Caption"/>
        <w:rPr>
          <w:rFonts w:eastAsia="Times New Roman" w:cs="Times New Roman"/>
          <w:szCs w:val="24"/>
        </w:rPr>
      </w:pPr>
      <w:bookmarkStart w:id="13" w:name="_Ref127368806"/>
      <w:r>
        <w:t xml:space="preserve">Table </w:t>
      </w:r>
      <w:r w:rsidR="00115BAB">
        <w:fldChar w:fldCharType="begin"/>
      </w:r>
      <w:r>
        <w:instrText xml:space="preserve"> SEQ Table \* ARABIC </w:instrText>
      </w:r>
      <w:r w:rsidR="00115BAB">
        <w:fldChar w:fldCharType="separate"/>
      </w:r>
      <w:r w:rsidR="00A65CB3">
        <w:rPr>
          <w:noProof/>
        </w:rPr>
        <w:t>6</w:t>
      </w:r>
      <w:r w:rsidR="00115BAB">
        <w:rPr>
          <w:noProof/>
        </w:rPr>
        <w:fldChar w:fldCharType="end"/>
      </w:r>
      <w:bookmarkEnd w:id="13"/>
      <w:r>
        <w:t xml:space="preserve">: </w:t>
      </w:r>
      <w:r w:rsidRPr="00C4528F">
        <w:t xml:space="preserve">Summary of SBWS </w:t>
      </w:r>
      <w:r>
        <w:t>I</w:t>
      </w:r>
      <w:r w:rsidRPr="00C4528F">
        <w:t xml:space="preserve">nstallations in </w:t>
      </w:r>
      <w:r>
        <w:t>N</w:t>
      </w:r>
      <w:r w:rsidRPr="00C4528F">
        <w:t xml:space="preserve">ew </w:t>
      </w:r>
      <w:r>
        <w:t>F</w:t>
      </w:r>
      <w:r w:rsidRPr="00C4528F">
        <w:t>leet</w:t>
      </w:r>
      <w:r w:rsidR="003D6934">
        <w:t xml:space="preserve"> by Seating Position</w:t>
      </w: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477"/>
      </w:tblGrid>
      <w:tr w:rsidR="00A15C2C" w14:paraId="16991F16" w14:textId="77777777" w:rsidTr="0093458D">
        <w:trPr>
          <w:trHeight w:val="264"/>
          <w:jc w:val="center"/>
        </w:trPr>
        <w:tc>
          <w:tcPr>
            <w:tcW w:w="3055" w:type="dxa"/>
            <w:shd w:val="clear" w:color="auto" w:fill="D9D9D9" w:themeFill="background1" w:themeFillShade="D9"/>
            <w:noWrap/>
            <w:vAlign w:val="center"/>
          </w:tcPr>
          <w:p w14:paraId="7EDAF699" w14:textId="77777777" w:rsidR="003E76A0" w:rsidRPr="00A40423" w:rsidRDefault="000F5B51" w:rsidP="00036C09">
            <w:pPr>
              <w:spacing w:after="0" w:line="240" w:lineRule="auto"/>
              <w:contextualSpacing/>
              <w:rPr>
                <w:rFonts w:eastAsia="Times New Roman" w:cs="Times New Roman"/>
                <w:b/>
                <w:bCs/>
                <w:szCs w:val="24"/>
              </w:rPr>
            </w:pPr>
            <w:r>
              <w:rPr>
                <w:rFonts w:eastAsia="Times New Roman" w:cs="Times New Roman"/>
                <w:b/>
                <w:bCs/>
                <w:szCs w:val="24"/>
              </w:rPr>
              <w:t>Seating Position</w:t>
            </w:r>
          </w:p>
        </w:tc>
        <w:tc>
          <w:tcPr>
            <w:tcW w:w="5477" w:type="dxa"/>
            <w:shd w:val="clear" w:color="auto" w:fill="D9D9D9" w:themeFill="background1" w:themeFillShade="D9"/>
            <w:noWrap/>
            <w:vAlign w:val="bottom"/>
          </w:tcPr>
          <w:p w14:paraId="313342DE" w14:textId="152B0611" w:rsidR="003E76A0" w:rsidRPr="00A40423" w:rsidRDefault="000F5B51" w:rsidP="00036C09">
            <w:pPr>
              <w:spacing w:after="0" w:line="240" w:lineRule="auto"/>
              <w:contextualSpacing/>
              <w:jc w:val="center"/>
              <w:rPr>
                <w:rFonts w:eastAsia="Times New Roman" w:cs="Times New Roman"/>
                <w:b/>
                <w:bCs/>
                <w:szCs w:val="24"/>
              </w:rPr>
            </w:pPr>
            <w:r>
              <w:rPr>
                <w:rFonts w:eastAsia="Times New Roman" w:cs="Times New Roman"/>
                <w:b/>
                <w:bCs/>
                <w:szCs w:val="24"/>
              </w:rPr>
              <w:t xml:space="preserve">Percent </w:t>
            </w:r>
            <w:r w:rsidR="00A40D1C">
              <w:rPr>
                <w:rFonts w:eastAsia="Times New Roman" w:cs="Times New Roman"/>
                <w:b/>
                <w:bCs/>
                <w:szCs w:val="24"/>
              </w:rPr>
              <w:t xml:space="preserve">of New Vehicles </w:t>
            </w:r>
            <w:r>
              <w:rPr>
                <w:rFonts w:eastAsia="Times New Roman" w:cs="Times New Roman"/>
                <w:b/>
                <w:bCs/>
                <w:szCs w:val="24"/>
              </w:rPr>
              <w:t>with SBWS</w:t>
            </w:r>
          </w:p>
        </w:tc>
      </w:tr>
      <w:tr w:rsidR="00A15C2C" w14:paraId="0F8EEFE3" w14:textId="77777777" w:rsidTr="0093458D">
        <w:trPr>
          <w:trHeight w:val="264"/>
          <w:jc w:val="center"/>
        </w:trPr>
        <w:tc>
          <w:tcPr>
            <w:tcW w:w="3055" w:type="dxa"/>
            <w:shd w:val="clear" w:color="auto" w:fill="auto"/>
            <w:noWrap/>
            <w:vAlign w:val="center"/>
          </w:tcPr>
          <w:p w14:paraId="0B4A39B4" w14:textId="77777777" w:rsidR="003E76A0" w:rsidRPr="00703F53" w:rsidRDefault="000F5B51" w:rsidP="00036C09">
            <w:pPr>
              <w:spacing w:after="0" w:line="240" w:lineRule="auto"/>
              <w:contextualSpacing/>
              <w:rPr>
                <w:rFonts w:eastAsia="Times New Roman" w:cs="Times New Roman"/>
                <w:szCs w:val="24"/>
              </w:rPr>
            </w:pPr>
            <w:r>
              <w:rPr>
                <w:rFonts w:eastAsia="Times New Roman" w:cs="Times New Roman"/>
                <w:szCs w:val="24"/>
              </w:rPr>
              <w:t>Drivers</w:t>
            </w:r>
          </w:p>
        </w:tc>
        <w:tc>
          <w:tcPr>
            <w:tcW w:w="5477" w:type="dxa"/>
            <w:shd w:val="clear" w:color="auto" w:fill="auto"/>
            <w:noWrap/>
          </w:tcPr>
          <w:p w14:paraId="39947666" w14:textId="77777777" w:rsidR="003E76A0" w:rsidRPr="00CE2168" w:rsidRDefault="000F5B51" w:rsidP="00036C09">
            <w:pPr>
              <w:spacing w:after="0" w:line="240" w:lineRule="auto"/>
              <w:contextualSpacing/>
              <w:jc w:val="center"/>
              <w:rPr>
                <w:rFonts w:eastAsia="Times New Roman" w:cs="Times New Roman"/>
                <w:szCs w:val="24"/>
              </w:rPr>
            </w:pPr>
            <w:r>
              <w:rPr>
                <w:rFonts w:eastAsia="Times New Roman" w:cs="Times New Roman"/>
                <w:szCs w:val="24"/>
              </w:rPr>
              <w:t>100%</w:t>
            </w:r>
          </w:p>
        </w:tc>
      </w:tr>
      <w:tr w:rsidR="00A15C2C" w14:paraId="68BF0A31" w14:textId="77777777" w:rsidTr="0093458D">
        <w:trPr>
          <w:trHeight w:val="264"/>
          <w:jc w:val="center"/>
        </w:trPr>
        <w:tc>
          <w:tcPr>
            <w:tcW w:w="3055" w:type="dxa"/>
            <w:shd w:val="clear" w:color="auto" w:fill="auto"/>
            <w:noWrap/>
            <w:vAlign w:val="center"/>
          </w:tcPr>
          <w:p w14:paraId="7995A038" w14:textId="77777777" w:rsidR="003E76A0" w:rsidRPr="00703F53" w:rsidRDefault="000F5B51" w:rsidP="00036C09">
            <w:pPr>
              <w:spacing w:after="0" w:line="240" w:lineRule="auto"/>
              <w:contextualSpacing/>
              <w:rPr>
                <w:rFonts w:eastAsia="Times New Roman" w:cs="Times New Roman"/>
                <w:szCs w:val="24"/>
              </w:rPr>
            </w:pPr>
            <w:r>
              <w:rPr>
                <w:rFonts w:eastAsia="Times New Roman" w:cs="Times New Roman"/>
                <w:szCs w:val="24"/>
              </w:rPr>
              <w:t>Right Front Seat</w:t>
            </w:r>
          </w:p>
        </w:tc>
        <w:tc>
          <w:tcPr>
            <w:tcW w:w="5477" w:type="dxa"/>
            <w:shd w:val="clear" w:color="auto" w:fill="auto"/>
            <w:noWrap/>
          </w:tcPr>
          <w:p w14:paraId="7C306C7E" w14:textId="77777777" w:rsidR="003E76A0" w:rsidRPr="00CE2168" w:rsidRDefault="000F5B51" w:rsidP="00036C09">
            <w:pPr>
              <w:spacing w:after="0" w:line="240" w:lineRule="auto"/>
              <w:contextualSpacing/>
              <w:jc w:val="center"/>
              <w:rPr>
                <w:rFonts w:eastAsia="Times New Roman" w:cs="Times New Roman"/>
                <w:szCs w:val="24"/>
              </w:rPr>
            </w:pPr>
            <w:r>
              <w:rPr>
                <w:rFonts w:eastAsia="Times New Roman" w:cs="Times New Roman"/>
                <w:szCs w:val="24"/>
              </w:rPr>
              <w:t>96%</w:t>
            </w:r>
          </w:p>
        </w:tc>
      </w:tr>
      <w:tr w:rsidR="00A15C2C" w14:paraId="25F5D5D8" w14:textId="77777777" w:rsidTr="0093458D">
        <w:trPr>
          <w:trHeight w:val="264"/>
          <w:jc w:val="center"/>
        </w:trPr>
        <w:tc>
          <w:tcPr>
            <w:tcW w:w="3055" w:type="dxa"/>
            <w:shd w:val="clear" w:color="auto" w:fill="auto"/>
            <w:noWrap/>
            <w:vAlign w:val="center"/>
          </w:tcPr>
          <w:p w14:paraId="03F6F3B7" w14:textId="77777777" w:rsidR="003E76A0" w:rsidRPr="00703F53" w:rsidRDefault="000F5B51" w:rsidP="00036C09">
            <w:pPr>
              <w:spacing w:after="0" w:line="240" w:lineRule="auto"/>
              <w:rPr>
                <w:rFonts w:eastAsia="Times New Roman" w:cs="Times New Roman"/>
                <w:bCs/>
                <w:szCs w:val="24"/>
              </w:rPr>
            </w:pPr>
            <w:r>
              <w:rPr>
                <w:rFonts w:eastAsia="Times New Roman" w:cs="Times New Roman"/>
                <w:szCs w:val="24"/>
              </w:rPr>
              <w:t>Rear Seats</w:t>
            </w:r>
          </w:p>
        </w:tc>
        <w:tc>
          <w:tcPr>
            <w:tcW w:w="5477" w:type="dxa"/>
            <w:shd w:val="clear" w:color="auto" w:fill="auto"/>
            <w:noWrap/>
          </w:tcPr>
          <w:p w14:paraId="33F054E6" w14:textId="77777777" w:rsidR="003E76A0" w:rsidRPr="00703F53" w:rsidRDefault="000F5B51" w:rsidP="00036C09">
            <w:pPr>
              <w:spacing w:after="0" w:line="240" w:lineRule="auto"/>
              <w:jc w:val="center"/>
              <w:rPr>
                <w:rFonts w:eastAsia="Times New Roman" w:cs="Times New Roman"/>
                <w:szCs w:val="24"/>
              </w:rPr>
            </w:pPr>
            <w:r w:rsidRPr="00CE2168">
              <w:rPr>
                <w:rFonts w:eastAsia="Times New Roman" w:cs="Times New Roman"/>
                <w:bCs/>
                <w:szCs w:val="24"/>
              </w:rPr>
              <w:t>46.9</w:t>
            </w:r>
            <w:r>
              <w:rPr>
                <w:rFonts w:eastAsia="Times New Roman" w:cs="Times New Roman"/>
                <w:bCs/>
                <w:szCs w:val="24"/>
              </w:rPr>
              <w:t>%</w:t>
            </w:r>
          </w:p>
        </w:tc>
      </w:tr>
    </w:tbl>
    <w:p w14:paraId="63199496" w14:textId="77777777" w:rsidR="003E76A0" w:rsidRDefault="003E76A0" w:rsidP="003E76A0">
      <w:pPr>
        <w:pStyle w:val="NoSpaceTimes"/>
      </w:pPr>
    </w:p>
    <w:p w14:paraId="67662584" w14:textId="610D51B6" w:rsidR="006A4D70" w:rsidRDefault="000F5B51" w:rsidP="006A4D70">
      <w:pPr>
        <w:spacing w:after="0"/>
        <w:contextualSpacing/>
        <w:rPr>
          <w:rFonts w:cs="Times New Roman"/>
          <w:szCs w:val="24"/>
        </w:rPr>
      </w:pPr>
      <w:r>
        <w:rPr>
          <w:rFonts w:cs="Times New Roman"/>
          <w:szCs w:val="24"/>
        </w:rPr>
        <w:t xml:space="preserve">For </w:t>
      </w:r>
      <w:r w:rsidRPr="001B4AB0">
        <w:rPr>
          <w:rFonts w:cs="Times New Roman"/>
          <w:szCs w:val="24"/>
        </w:rPr>
        <w:t>incremental</w:t>
      </w:r>
      <w:r>
        <w:rPr>
          <w:rFonts w:cs="Times New Roman"/>
          <w:szCs w:val="24"/>
        </w:rPr>
        <w:t xml:space="preserve"> safety benefits resulting from requiring a 90-second audible warning </w:t>
      </w:r>
      <w:r w:rsidR="009E55E0">
        <w:rPr>
          <w:rFonts w:cs="Times New Roman"/>
          <w:szCs w:val="24"/>
        </w:rPr>
        <w:t xml:space="preserve">or </w:t>
      </w:r>
      <w:r>
        <w:rPr>
          <w:rFonts w:cs="Times New Roman"/>
          <w:szCs w:val="24"/>
        </w:rPr>
        <w:t xml:space="preserve">an indefinite warning, we considered </w:t>
      </w:r>
      <w:r w:rsidRPr="0063760E">
        <w:rPr>
          <w:rFonts w:cs="Times New Roman"/>
          <w:szCs w:val="24"/>
        </w:rPr>
        <w:t xml:space="preserve">the </w:t>
      </w:r>
      <w:r>
        <w:rPr>
          <w:rFonts w:cs="Times New Roman"/>
          <w:szCs w:val="24"/>
        </w:rPr>
        <w:t xml:space="preserve">current </w:t>
      </w:r>
      <w:r w:rsidRPr="0063760E">
        <w:rPr>
          <w:rFonts w:cs="Times New Roman"/>
          <w:szCs w:val="24"/>
        </w:rPr>
        <w:t>market penetration of seat belt warning systems</w:t>
      </w:r>
      <w:r>
        <w:rPr>
          <w:rFonts w:cs="Times New Roman"/>
          <w:szCs w:val="24"/>
        </w:rPr>
        <w:t xml:space="preserve"> to prevent </w:t>
      </w:r>
      <w:r w:rsidRPr="00354EE3">
        <w:rPr>
          <w:rFonts w:cs="Times New Roman"/>
          <w:szCs w:val="24"/>
        </w:rPr>
        <w:t xml:space="preserve">an over-estimation of the </w:t>
      </w:r>
      <w:r>
        <w:rPr>
          <w:rFonts w:cs="Times New Roman"/>
          <w:szCs w:val="24"/>
        </w:rPr>
        <w:t>incremental benefits since certain applicable vehicles are already equipped with either a 90-second or indefinite warning system</w:t>
      </w:r>
      <w:r w:rsidR="001F2F92">
        <w:rPr>
          <w:rFonts w:cs="Times New Roman"/>
          <w:szCs w:val="24"/>
        </w:rPr>
        <w:t xml:space="preserve">. </w:t>
      </w:r>
      <w:r w:rsidRPr="000725EA">
        <w:rPr>
          <w:rFonts w:cs="Times New Roman"/>
          <w:szCs w:val="24"/>
        </w:rPr>
        <w:t xml:space="preserve">For the market penetration rate, the agency has data based on </w:t>
      </w:r>
      <w:r w:rsidR="007A26C2">
        <w:rPr>
          <w:rFonts w:cs="Times New Roman"/>
          <w:szCs w:val="24"/>
        </w:rPr>
        <w:t>manufacturer submitted informatio</w:t>
      </w:r>
      <w:r w:rsidR="00FA4D63">
        <w:rPr>
          <w:rFonts w:cs="Times New Roman"/>
          <w:szCs w:val="24"/>
        </w:rPr>
        <w:t>n</w:t>
      </w:r>
      <w:r w:rsidR="001F2F92">
        <w:rPr>
          <w:rFonts w:cs="Times New Roman"/>
          <w:szCs w:val="24"/>
        </w:rPr>
        <w:t>.</w:t>
      </w:r>
      <w:r w:rsidR="00DE446C">
        <w:rPr>
          <w:rStyle w:val="FootnoteReference"/>
          <w:rFonts w:cs="Times New Roman"/>
          <w:szCs w:val="24"/>
        </w:rPr>
        <w:footnoteReference w:id="6"/>
      </w:r>
      <w:r w:rsidR="001F2F92">
        <w:rPr>
          <w:rFonts w:cs="Times New Roman"/>
          <w:szCs w:val="24"/>
        </w:rPr>
        <w:t xml:space="preserve"> </w:t>
      </w:r>
      <w:r w:rsidR="00CA365C">
        <w:rPr>
          <w:rFonts w:cs="Times New Roman"/>
          <w:szCs w:val="24"/>
        </w:rPr>
        <w:fldChar w:fldCharType="begin"/>
      </w:r>
      <w:r w:rsidR="00CA365C">
        <w:rPr>
          <w:rFonts w:cs="Times New Roman"/>
          <w:szCs w:val="24"/>
        </w:rPr>
        <w:instrText xml:space="preserve"> REF _Ref127941942 \h </w:instrText>
      </w:r>
      <w:r w:rsidR="00CA365C">
        <w:rPr>
          <w:rFonts w:cs="Times New Roman"/>
          <w:szCs w:val="24"/>
        </w:rPr>
      </w:r>
      <w:r w:rsidR="00CA365C">
        <w:rPr>
          <w:rFonts w:cs="Times New Roman"/>
          <w:szCs w:val="24"/>
        </w:rPr>
        <w:fldChar w:fldCharType="separate"/>
      </w:r>
      <w:r w:rsidR="00A65CB3">
        <w:t xml:space="preserve">Figure </w:t>
      </w:r>
      <w:r w:rsidR="00A65CB3">
        <w:rPr>
          <w:noProof/>
        </w:rPr>
        <w:t>1</w:t>
      </w:r>
      <w:r w:rsidR="00CA365C">
        <w:rPr>
          <w:rFonts w:cs="Times New Roman"/>
          <w:szCs w:val="24"/>
        </w:rPr>
        <w:fldChar w:fldCharType="end"/>
      </w:r>
      <w:r w:rsidR="00CA365C">
        <w:rPr>
          <w:rFonts w:cs="Times New Roman"/>
          <w:szCs w:val="24"/>
        </w:rPr>
        <w:t xml:space="preserve"> </w:t>
      </w:r>
      <w:r w:rsidRPr="000725EA">
        <w:rPr>
          <w:rFonts w:cs="Times New Roman"/>
          <w:szCs w:val="24"/>
        </w:rPr>
        <w:t>shows a breakdown of the warning durations for drivers</w:t>
      </w:r>
      <w:r w:rsidR="001F2F92">
        <w:rPr>
          <w:rFonts w:cs="Times New Roman"/>
          <w:szCs w:val="24"/>
        </w:rPr>
        <w:t>.</w:t>
      </w:r>
      <w:r w:rsidR="00046725">
        <w:rPr>
          <w:rStyle w:val="FootnoteReference"/>
          <w:rFonts w:cs="Times New Roman"/>
          <w:szCs w:val="24"/>
        </w:rPr>
        <w:footnoteReference w:id="7"/>
      </w:r>
      <w:r w:rsidR="001F2F92">
        <w:rPr>
          <w:rFonts w:cs="Times New Roman"/>
          <w:szCs w:val="24"/>
        </w:rPr>
        <w:t xml:space="preserve"> </w:t>
      </w:r>
      <w:r w:rsidRPr="000725EA">
        <w:rPr>
          <w:rFonts w:cs="Times New Roman"/>
          <w:szCs w:val="24"/>
        </w:rPr>
        <w:t xml:space="preserve">The plot shows </w:t>
      </w:r>
      <w:r w:rsidR="006B7000">
        <w:rPr>
          <w:rFonts w:cs="Times New Roman"/>
          <w:szCs w:val="24"/>
        </w:rPr>
        <w:t>the</w:t>
      </w:r>
      <w:r w:rsidR="003E2FB8">
        <w:rPr>
          <w:rFonts w:cs="Times New Roman"/>
          <w:szCs w:val="24"/>
        </w:rPr>
        <w:t xml:space="preserve"> </w:t>
      </w:r>
      <w:r w:rsidR="009D7E66">
        <w:rPr>
          <w:rFonts w:cs="Times New Roman"/>
          <w:szCs w:val="24"/>
        </w:rPr>
        <w:t>frequency distribution</w:t>
      </w:r>
      <w:r w:rsidRPr="000725EA">
        <w:rPr>
          <w:rFonts w:cs="Times New Roman"/>
          <w:szCs w:val="24"/>
        </w:rPr>
        <w:t xml:space="preserve"> of the fleet </w:t>
      </w:r>
      <w:r w:rsidR="007B7764">
        <w:rPr>
          <w:rFonts w:cs="Times New Roman"/>
          <w:szCs w:val="24"/>
        </w:rPr>
        <w:t>by the duration of the</w:t>
      </w:r>
      <w:r w:rsidRPr="000725EA">
        <w:rPr>
          <w:rFonts w:cs="Times New Roman"/>
          <w:szCs w:val="24"/>
        </w:rPr>
        <w:t xml:space="preserve"> seat belt warning systems</w:t>
      </w:r>
      <w:r w:rsidR="001F2F92">
        <w:rPr>
          <w:rFonts w:cs="Times New Roman"/>
          <w:szCs w:val="24"/>
        </w:rPr>
        <w:t xml:space="preserve">. </w:t>
      </w:r>
    </w:p>
    <w:p w14:paraId="54BA2FCA" w14:textId="1FBA0B46" w:rsidR="006C4AD3" w:rsidRDefault="000F5B51" w:rsidP="00AE61CF">
      <w:pPr>
        <w:spacing w:after="0"/>
        <w:contextualSpacing/>
        <w:jc w:val="center"/>
        <w:rPr>
          <w:noProof/>
        </w:rPr>
      </w:pPr>
      <w:bookmarkStart w:id="14" w:name="_Ref127941942"/>
      <w:r>
        <w:t xml:space="preserve">Figure </w:t>
      </w:r>
      <w:r w:rsidR="00115BAB">
        <w:fldChar w:fldCharType="begin"/>
      </w:r>
      <w:r>
        <w:instrText xml:space="preserve"> SEQ Figure \* ARABIC </w:instrText>
      </w:r>
      <w:r w:rsidR="00115BAB">
        <w:fldChar w:fldCharType="separate"/>
      </w:r>
      <w:r w:rsidR="00A65CB3">
        <w:rPr>
          <w:noProof/>
        </w:rPr>
        <w:t>1</w:t>
      </w:r>
      <w:r w:rsidR="00115BAB">
        <w:rPr>
          <w:noProof/>
        </w:rPr>
        <w:fldChar w:fldCharType="end"/>
      </w:r>
      <w:bookmarkEnd w:id="14"/>
      <w:r>
        <w:t xml:space="preserve">: </w:t>
      </w:r>
      <w:r>
        <w:rPr>
          <w:noProof/>
        </w:rPr>
        <w:t>Distribution of Vehicle Models by Audible Warning Duration</w:t>
      </w:r>
    </w:p>
    <w:p w14:paraId="05C8355F" w14:textId="77777777" w:rsidR="006A4D70" w:rsidRDefault="000F5B51" w:rsidP="001A6E1C">
      <w:pPr>
        <w:spacing w:after="0"/>
        <w:contextualSpacing/>
        <w:jc w:val="center"/>
      </w:pPr>
      <w:r>
        <w:rPr>
          <w:noProof/>
        </w:rPr>
        <w:drawing>
          <wp:inline distT="0" distB="0" distL="0" distR="0" wp14:anchorId="143D4FC7" wp14:editId="53D8A683">
            <wp:extent cx="4093029" cy="2592252"/>
            <wp:effectExtent l="0" t="0" r="3175" b="0"/>
            <wp:docPr id="1093675941" name="Picture 109367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67594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02549" cy="2598281"/>
                    </a:xfrm>
                    <a:prstGeom prst="rect">
                      <a:avLst/>
                    </a:prstGeom>
                  </pic:spPr>
                </pic:pic>
              </a:graphicData>
            </a:graphic>
          </wp:inline>
        </w:drawing>
      </w:r>
    </w:p>
    <w:p w14:paraId="6CB440F2" w14:textId="524A0120" w:rsidR="006A4D70" w:rsidRDefault="000F5B51" w:rsidP="006A4D70">
      <w:pPr>
        <w:spacing w:after="0"/>
        <w:contextualSpacing/>
        <w:rPr>
          <w:rFonts w:cs="Times New Roman"/>
          <w:szCs w:val="24"/>
        </w:rPr>
      </w:pPr>
      <w:r>
        <w:rPr>
          <w:rFonts w:cs="Times New Roman"/>
          <w:szCs w:val="24"/>
        </w:rPr>
        <w:lastRenderedPageBreak/>
        <w:fldChar w:fldCharType="begin"/>
      </w:r>
      <w:r>
        <w:rPr>
          <w:rFonts w:cs="Times New Roman"/>
          <w:szCs w:val="24"/>
        </w:rPr>
        <w:instrText xml:space="preserve"> REF _Ref127942206 \h </w:instrText>
      </w:r>
      <w:r>
        <w:rPr>
          <w:rFonts w:cs="Times New Roman"/>
          <w:szCs w:val="24"/>
        </w:rPr>
      </w:r>
      <w:r>
        <w:rPr>
          <w:rFonts w:cs="Times New Roman"/>
          <w:szCs w:val="24"/>
        </w:rPr>
        <w:fldChar w:fldCharType="separate"/>
      </w:r>
      <w:r w:rsidR="00A65CB3">
        <w:t xml:space="preserve">Table </w:t>
      </w:r>
      <w:r w:rsidR="00A65CB3">
        <w:rPr>
          <w:noProof/>
        </w:rPr>
        <w:t>7</w:t>
      </w:r>
      <w:r>
        <w:rPr>
          <w:rFonts w:cs="Times New Roman"/>
          <w:szCs w:val="24"/>
        </w:rPr>
        <w:fldChar w:fldCharType="end"/>
      </w:r>
      <w:r>
        <w:rPr>
          <w:rFonts w:cs="Times New Roman"/>
          <w:szCs w:val="24"/>
        </w:rPr>
        <w:t xml:space="preserve"> presents </w:t>
      </w:r>
      <w:r w:rsidR="00A5037C">
        <w:rPr>
          <w:rFonts w:cs="Times New Roman"/>
          <w:szCs w:val="24"/>
        </w:rPr>
        <w:t>vehicle</w:t>
      </w:r>
      <w:r w:rsidR="001A0B78">
        <w:rPr>
          <w:rFonts w:cs="Times New Roman"/>
          <w:szCs w:val="24"/>
        </w:rPr>
        <w:t>s sales and corresponding percentage of sales by warning length. B</w:t>
      </w:r>
      <w:r w:rsidRPr="00E775B1">
        <w:rPr>
          <w:rFonts w:cs="Times New Roman"/>
          <w:szCs w:val="24"/>
        </w:rPr>
        <w:t>ased on the available data,</w:t>
      </w:r>
      <w:r w:rsidR="0068229A">
        <w:rPr>
          <w:rFonts w:cs="Times New Roman"/>
          <w:szCs w:val="24"/>
        </w:rPr>
        <w:t xml:space="preserve"> </w:t>
      </w:r>
      <w:r>
        <w:rPr>
          <w:rFonts w:cs="Times New Roman"/>
          <w:szCs w:val="24"/>
        </w:rPr>
        <w:t xml:space="preserve">a large percentage of </w:t>
      </w:r>
      <w:r w:rsidR="00A020A8">
        <w:rPr>
          <w:rFonts w:cs="Times New Roman"/>
          <w:szCs w:val="24"/>
        </w:rPr>
        <w:t>light</w:t>
      </w:r>
      <w:r>
        <w:rPr>
          <w:rFonts w:cs="Times New Roman"/>
          <w:szCs w:val="24"/>
        </w:rPr>
        <w:t xml:space="preserve"> vehicles are currently equipped with either a 90-second warning system (5.20</w:t>
      </w:r>
      <w:r w:rsidR="0008019C">
        <w:rPr>
          <w:rFonts w:cs="Times New Roman"/>
          <w:szCs w:val="24"/>
        </w:rPr>
        <w:t xml:space="preserve"> percent</w:t>
      </w:r>
      <w:r>
        <w:rPr>
          <w:rFonts w:cs="Times New Roman"/>
          <w:szCs w:val="24"/>
        </w:rPr>
        <w:t>) or a 90+ seconds but not indefinite warning system (79.60</w:t>
      </w:r>
      <w:r w:rsidR="0008019C">
        <w:rPr>
          <w:rFonts w:cs="Times New Roman"/>
          <w:szCs w:val="24"/>
        </w:rPr>
        <w:t xml:space="preserve"> percent</w:t>
      </w:r>
      <w:r>
        <w:rPr>
          <w:rFonts w:cs="Times New Roman"/>
          <w:szCs w:val="24"/>
        </w:rPr>
        <w:t>)</w:t>
      </w:r>
      <w:r w:rsidR="00545C2A">
        <w:rPr>
          <w:rFonts w:cs="Times New Roman"/>
          <w:szCs w:val="24"/>
        </w:rPr>
        <w:t xml:space="preserve">. </w:t>
      </w:r>
    </w:p>
    <w:p w14:paraId="5A2C7009" w14:textId="53E3F3E5" w:rsidR="005B0355" w:rsidRPr="00B55598" w:rsidRDefault="000F5B51" w:rsidP="001A69D6">
      <w:pPr>
        <w:pStyle w:val="Caption"/>
        <w:rPr>
          <w:rFonts w:cs="Times New Roman"/>
          <w:szCs w:val="24"/>
        </w:rPr>
      </w:pPr>
      <w:bookmarkStart w:id="15" w:name="_Ref127942206"/>
      <w:r>
        <w:t xml:space="preserve">Table </w:t>
      </w:r>
      <w:r w:rsidR="00115BAB">
        <w:fldChar w:fldCharType="begin"/>
      </w:r>
      <w:r>
        <w:instrText xml:space="preserve"> SEQ Table \* ARABIC </w:instrText>
      </w:r>
      <w:r w:rsidR="00115BAB">
        <w:fldChar w:fldCharType="separate"/>
      </w:r>
      <w:r w:rsidR="00A65CB3">
        <w:rPr>
          <w:noProof/>
        </w:rPr>
        <w:t>7</w:t>
      </w:r>
      <w:r w:rsidR="00115BAB">
        <w:rPr>
          <w:noProof/>
        </w:rPr>
        <w:fldChar w:fldCharType="end"/>
      </w:r>
      <w:bookmarkEnd w:id="15"/>
      <w:r>
        <w:t xml:space="preserve">: </w:t>
      </w:r>
      <w:r>
        <w:rPr>
          <w:noProof/>
        </w:rPr>
        <w:t>Vehicle Sales by Warning Length for Front Seat Occupants</w:t>
      </w:r>
      <w:r w:rsidR="008B0741">
        <w:rPr>
          <w:noProof/>
        </w:rPr>
        <w:t xml:space="preserve"> for MY 2022</w:t>
      </w: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1620"/>
        <w:gridCol w:w="2250"/>
      </w:tblGrid>
      <w:tr w:rsidR="00A15C2C" w14:paraId="1D84D63F" w14:textId="77777777" w:rsidTr="001A69D6">
        <w:trPr>
          <w:trHeight w:val="290"/>
          <w:jc w:val="center"/>
        </w:trPr>
        <w:tc>
          <w:tcPr>
            <w:tcW w:w="4225" w:type="dxa"/>
            <w:shd w:val="clear" w:color="auto" w:fill="BFBFBF" w:themeFill="background1" w:themeFillShade="BF"/>
            <w:noWrap/>
            <w:vAlign w:val="bottom"/>
            <w:hideMark/>
          </w:tcPr>
          <w:p w14:paraId="75D2E74D" w14:textId="77777777" w:rsidR="006A4D70" w:rsidRPr="001A69D6" w:rsidRDefault="000F5B51" w:rsidP="000B4277">
            <w:pPr>
              <w:spacing w:after="0" w:line="240" w:lineRule="auto"/>
              <w:jc w:val="center"/>
              <w:rPr>
                <w:rFonts w:eastAsia="Times New Roman" w:cs="Times New Roman"/>
                <w:b/>
                <w:bCs/>
                <w:color w:val="000000"/>
                <w:szCs w:val="24"/>
              </w:rPr>
            </w:pPr>
            <w:r w:rsidRPr="001A69D6">
              <w:rPr>
                <w:rFonts w:eastAsia="Times New Roman" w:cs="Times New Roman"/>
                <w:b/>
                <w:bCs/>
                <w:color w:val="000000"/>
                <w:szCs w:val="24"/>
              </w:rPr>
              <w:t>Warning Length, front occupants</w:t>
            </w:r>
          </w:p>
        </w:tc>
        <w:tc>
          <w:tcPr>
            <w:tcW w:w="1620" w:type="dxa"/>
            <w:shd w:val="clear" w:color="auto" w:fill="BFBFBF" w:themeFill="background1" w:themeFillShade="BF"/>
            <w:noWrap/>
            <w:vAlign w:val="center"/>
            <w:hideMark/>
          </w:tcPr>
          <w:p w14:paraId="3700739A" w14:textId="77777777" w:rsidR="006A4D70" w:rsidRPr="001A69D6" w:rsidRDefault="000F5B51" w:rsidP="00873CAE">
            <w:pPr>
              <w:spacing w:after="0" w:line="240" w:lineRule="auto"/>
              <w:jc w:val="center"/>
              <w:rPr>
                <w:rFonts w:eastAsia="Times New Roman" w:cs="Times New Roman"/>
                <w:b/>
                <w:bCs/>
                <w:color w:val="000000"/>
                <w:szCs w:val="24"/>
              </w:rPr>
            </w:pPr>
            <w:r w:rsidRPr="001A69D6">
              <w:rPr>
                <w:rFonts w:eastAsia="Times New Roman" w:cs="Times New Roman"/>
                <w:b/>
                <w:bCs/>
                <w:color w:val="000000"/>
                <w:szCs w:val="24"/>
              </w:rPr>
              <w:t>Sales</w:t>
            </w:r>
          </w:p>
        </w:tc>
        <w:tc>
          <w:tcPr>
            <w:tcW w:w="2250" w:type="dxa"/>
            <w:shd w:val="clear" w:color="auto" w:fill="BFBFBF" w:themeFill="background1" w:themeFillShade="BF"/>
            <w:noWrap/>
            <w:vAlign w:val="center"/>
            <w:hideMark/>
          </w:tcPr>
          <w:p w14:paraId="275FB3E3" w14:textId="77777777" w:rsidR="006A4D70" w:rsidRPr="001A69D6" w:rsidRDefault="000F5B51">
            <w:pPr>
              <w:spacing w:after="0" w:line="240" w:lineRule="auto"/>
              <w:jc w:val="center"/>
              <w:rPr>
                <w:rFonts w:eastAsia="Times New Roman" w:cs="Times New Roman"/>
                <w:b/>
                <w:bCs/>
                <w:color w:val="000000"/>
                <w:szCs w:val="24"/>
              </w:rPr>
            </w:pPr>
            <w:r w:rsidRPr="001A69D6">
              <w:rPr>
                <w:rFonts w:eastAsia="Times New Roman" w:cs="Times New Roman"/>
                <w:b/>
                <w:bCs/>
                <w:color w:val="000000"/>
                <w:szCs w:val="24"/>
              </w:rPr>
              <w:t>Percentage of Sales</w:t>
            </w:r>
          </w:p>
        </w:tc>
      </w:tr>
      <w:tr w:rsidR="00A15C2C" w14:paraId="1E8CCC36" w14:textId="77777777" w:rsidTr="001A69D6">
        <w:trPr>
          <w:trHeight w:val="290"/>
          <w:jc w:val="center"/>
        </w:trPr>
        <w:tc>
          <w:tcPr>
            <w:tcW w:w="4225" w:type="dxa"/>
            <w:shd w:val="clear" w:color="auto" w:fill="auto"/>
            <w:noWrap/>
            <w:vAlign w:val="bottom"/>
            <w:hideMark/>
          </w:tcPr>
          <w:p w14:paraId="0C1BED01" w14:textId="77777777" w:rsidR="006A4D70" w:rsidRPr="007F2304" w:rsidRDefault="000F5B51" w:rsidP="000B4277">
            <w:pPr>
              <w:spacing w:after="0" w:line="240" w:lineRule="auto"/>
              <w:rPr>
                <w:rFonts w:eastAsia="Times New Roman" w:cs="Times New Roman"/>
                <w:color w:val="000000"/>
                <w:szCs w:val="24"/>
              </w:rPr>
            </w:pPr>
            <w:r w:rsidRPr="007F2304">
              <w:rPr>
                <w:rFonts w:eastAsia="Times New Roman" w:cs="Times New Roman"/>
                <w:color w:val="000000"/>
                <w:szCs w:val="24"/>
              </w:rPr>
              <w:t>&lt;90 second warning</w:t>
            </w:r>
          </w:p>
        </w:tc>
        <w:tc>
          <w:tcPr>
            <w:tcW w:w="1620" w:type="dxa"/>
            <w:shd w:val="clear" w:color="auto" w:fill="auto"/>
            <w:noWrap/>
            <w:vAlign w:val="center"/>
            <w:hideMark/>
          </w:tcPr>
          <w:p w14:paraId="26600918" w14:textId="77777777" w:rsidR="006A4D70" w:rsidRPr="007F2304" w:rsidRDefault="000F5B51" w:rsidP="001A69D6">
            <w:pPr>
              <w:spacing w:after="0" w:line="240" w:lineRule="auto"/>
              <w:jc w:val="center"/>
              <w:rPr>
                <w:rFonts w:eastAsia="Times New Roman" w:cs="Times New Roman"/>
                <w:color w:val="000000"/>
                <w:szCs w:val="24"/>
              </w:rPr>
            </w:pPr>
            <w:r w:rsidRPr="007F2304">
              <w:rPr>
                <w:rFonts w:eastAsia="Times New Roman" w:cs="Times New Roman"/>
                <w:color w:val="000000"/>
                <w:szCs w:val="24"/>
              </w:rPr>
              <w:t>1,264,899</w:t>
            </w:r>
          </w:p>
        </w:tc>
        <w:tc>
          <w:tcPr>
            <w:tcW w:w="2250" w:type="dxa"/>
            <w:shd w:val="clear" w:color="auto" w:fill="auto"/>
            <w:noWrap/>
            <w:vAlign w:val="center"/>
            <w:hideMark/>
          </w:tcPr>
          <w:p w14:paraId="4D49AD5E" w14:textId="77777777" w:rsidR="006A4D70" w:rsidRPr="007F2304" w:rsidRDefault="000F5B51" w:rsidP="001A69D6">
            <w:pPr>
              <w:spacing w:after="0" w:line="240" w:lineRule="auto"/>
              <w:jc w:val="center"/>
              <w:rPr>
                <w:rFonts w:eastAsia="Times New Roman" w:cs="Times New Roman"/>
                <w:color w:val="000000"/>
                <w:szCs w:val="24"/>
              </w:rPr>
            </w:pPr>
            <w:r w:rsidRPr="007F2304">
              <w:rPr>
                <w:rFonts w:eastAsia="Times New Roman" w:cs="Times New Roman"/>
                <w:color w:val="000000"/>
                <w:szCs w:val="24"/>
              </w:rPr>
              <w:t>7.60%</w:t>
            </w:r>
          </w:p>
        </w:tc>
      </w:tr>
      <w:tr w:rsidR="00A15C2C" w14:paraId="29465D1E" w14:textId="77777777" w:rsidTr="001A69D6">
        <w:trPr>
          <w:trHeight w:val="290"/>
          <w:jc w:val="center"/>
        </w:trPr>
        <w:tc>
          <w:tcPr>
            <w:tcW w:w="4225" w:type="dxa"/>
            <w:shd w:val="clear" w:color="auto" w:fill="auto"/>
            <w:noWrap/>
            <w:vAlign w:val="bottom"/>
            <w:hideMark/>
          </w:tcPr>
          <w:p w14:paraId="1A82FE06" w14:textId="77777777" w:rsidR="006A4D70" w:rsidRPr="007F2304" w:rsidRDefault="000F5B51" w:rsidP="000B4277">
            <w:pPr>
              <w:spacing w:after="0" w:line="240" w:lineRule="auto"/>
              <w:rPr>
                <w:rFonts w:eastAsia="Times New Roman" w:cs="Times New Roman"/>
                <w:color w:val="000000"/>
                <w:szCs w:val="24"/>
              </w:rPr>
            </w:pPr>
            <w:r w:rsidRPr="007F2304">
              <w:rPr>
                <w:rFonts w:eastAsia="Times New Roman" w:cs="Times New Roman"/>
                <w:color w:val="000000"/>
                <w:szCs w:val="24"/>
              </w:rPr>
              <w:t>90</w:t>
            </w:r>
            <w:r>
              <w:rPr>
                <w:rFonts w:eastAsia="Times New Roman" w:cs="Times New Roman"/>
                <w:color w:val="000000"/>
                <w:szCs w:val="24"/>
              </w:rPr>
              <w:t xml:space="preserve"> </w:t>
            </w:r>
            <w:r w:rsidRPr="007F2304">
              <w:rPr>
                <w:rFonts w:eastAsia="Times New Roman" w:cs="Times New Roman"/>
                <w:color w:val="000000"/>
                <w:szCs w:val="24"/>
              </w:rPr>
              <w:t>second warning</w:t>
            </w:r>
            <w:r>
              <w:rPr>
                <w:rFonts w:eastAsia="Times New Roman" w:cs="Times New Roman"/>
                <w:color w:val="000000"/>
                <w:szCs w:val="24"/>
              </w:rPr>
              <w:t>,</w:t>
            </w:r>
            <w:r w:rsidRPr="007F2304">
              <w:rPr>
                <w:rFonts w:eastAsia="Times New Roman" w:cs="Times New Roman"/>
                <w:color w:val="000000"/>
                <w:szCs w:val="24"/>
              </w:rPr>
              <w:t xml:space="preserve"> exactly</w:t>
            </w:r>
          </w:p>
        </w:tc>
        <w:tc>
          <w:tcPr>
            <w:tcW w:w="1620" w:type="dxa"/>
            <w:shd w:val="clear" w:color="auto" w:fill="auto"/>
            <w:noWrap/>
            <w:vAlign w:val="center"/>
            <w:hideMark/>
          </w:tcPr>
          <w:p w14:paraId="2E57EDD1" w14:textId="77777777" w:rsidR="006A4D70" w:rsidRPr="007F2304" w:rsidRDefault="000F5B51" w:rsidP="001A69D6">
            <w:pPr>
              <w:spacing w:after="0" w:line="240" w:lineRule="auto"/>
              <w:jc w:val="center"/>
              <w:rPr>
                <w:rFonts w:eastAsia="Times New Roman" w:cs="Times New Roman"/>
                <w:color w:val="000000"/>
                <w:szCs w:val="24"/>
              </w:rPr>
            </w:pPr>
            <w:r w:rsidRPr="007F2304">
              <w:rPr>
                <w:rFonts w:eastAsia="Times New Roman" w:cs="Times New Roman"/>
                <w:color w:val="000000"/>
                <w:szCs w:val="24"/>
              </w:rPr>
              <w:t>867,735</w:t>
            </w:r>
          </w:p>
        </w:tc>
        <w:tc>
          <w:tcPr>
            <w:tcW w:w="2250" w:type="dxa"/>
            <w:shd w:val="clear" w:color="auto" w:fill="auto"/>
            <w:noWrap/>
            <w:vAlign w:val="center"/>
            <w:hideMark/>
          </w:tcPr>
          <w:p w14:paraId="7E4B4942" w14:textId="77777777" w:rsidR="006A4D70" w:rsidRPr="007F2304" w:rsidRDefault="000F5B51" w:rsidP="001A69D6">
            <w:pPr>
              <w:spacing w:after="0" w:line="240" w:lineRule="auto"/>
              <w:jc w:val="center"/>
              <w:rPr>
                <w:rFonts w:eastAsia="Times New Roman" w:cs="Times New Roman"/>
                <w:color w:val="000000"/>
                <w:szCs w:val="24"/>
              </w:rPr>
            </w:pPr>
            <w:r w:rsidRPr="007F2304">
              <w:rPr>
                <w:rFonts w:eastAsia="Times New Roman" w:cs="Times New Roman"/>
                <w:color w:val="000000"/>
                <w:szCs w:val="24"/>
              </w:rPr>
              <w:t>5.20%</w:t>
            </w:r>
          </w:p>
        </w:tc>
      </w:tr>
      <w:tr w:rsidR="00A15C2C" w14:paraId="0F52DD41" w14:textId="77777777" w:rsidTr="001A69D6">
        <w:trPr>
          <w:trHeight w:val="290"/>
          <w:jc w:val="center"/>
        </w:trPr>
        <w:tc>
          <w:tcPr>
            <w:tcW w:w="4225" w:type="dxa"/>
            <w:shd w:val="clear" w:color="auto" w:fill="auto"/>
            <w:noWrap/>
            <w:vAlign w:val="bottom"/>
            <w:hideMark/>
          </w:tcPr>
          <w:p w14:paraId="0B6F105C" w14:textId="77777777" w:rsidR="006A4D70" w:rsidRPr="007F2304" w:rsidRDefault="000F5B51" w:rsidP="000B4277">
            <w:pPr>
              <w:spacing w:after="0" w:line="240" w:lineRule="auto"/>
              <w:rPr>
                <w:rFonts w:eastAsia="Times New Roman" w:cs="Times New Roman"/>
                <w:color w:val="000000"/>
                <w:szCs w:val="24"/>
              </w:rPr>
            </w:pPr>
            <w:r w:rsidRPr="007F2304">
              <w:rPr>
                <w:rFonts w:eastAsia="Times New Roman" w:cs="Times New Roman"/>
                <w:color w:val="000000"/>
                <w:szCs w:val="24"/>
              </w:rPr>
              <w:t xml:space="preserve">90+ (but not </w:t>
            </w:r>
            <w:r w:rsidRPr="005D698C">
              <w:rPr>
                <w:rFonts w:eastAsia="Times New Roman" w:cs="Times New Roman"/>
                <w:color w:val="000000"/>
                <w:szCs w:val="24"/>
              </w:rPr>
              <w:t>indefinite</w:t>
            </w:r>
            <w:r w:rsidRPr="007F2304">
              <w:rPr>
                <w:rFonts w:eastAsia="Times New Roman" w:cs="Times New Roman"/>
                <w:color w:val="000000"/>
                <w:szCs w:val="24"/>
              </w:rPr>
              <w:t>)</w:t>
            </w:r>
          </w:p>
        </w:tc>
        <w:tc>
          <w:tcPr>
            <w:tcW w:w="1620" w:type="dxa"/>
            <w:shd w:val="clear" w:color="auto" w:fill="auto"/>
            <w:noWrap/>
            <w:vAlign w:val="center"/>
            <w:hideMark/>
          </w:tcPr>
          <w:p w14:paraId="3ED33F56" w14:textId="77777777" w:rsidR="006A4D70" w:rsidRPr="007F2304" w:rsidRDefault="000F5B51" w:rsidP="001A69D6">
            <w:pPr>
              <w:spacing w:after="0" w:line="240" w:lineRule="auto"/>
              <w:jc w:val="center"/>
              <w:rPr>
                <w:rFonts w:eastAsia="Times New Roman" w:cs="Times New Roman"/>
                <w:color w:val="000000"/>
                <w:szCs w:val="24"/>
              </w:rPr>
            </w:pPr>
            <w:r w:rsidRPr="007F2304">
              <w:rPr>
                <w:rFonts w:eastAsia="Times New Roman" w:cs="Times New Roman"/>
                <w:color w:val="000000"/>
                <w:szCs w:val="24"/>
              </w:rPr>
              <w:t>13,192,857</w:t>
            </w:r>
          </w:p>
        </w:tc>
        <w:tc>
          <w:tcPr>
            <w:tcW w:w="2250" w:type="dxa"/>
            <w:shd w:val="clear" w:color="auto" w:fill="auto"/>
            <w:noWrap/>
            <w:vAlign w:val="center"/>
            <w:hideMark/>
          </w:tcPr>
          <w:p w14:paraId="49319CA2" w14:textId="77777777" w:rsidR="006A4D70" w:rsidRPr="007F2304" w:rsidRDefault="000F5B51" w:rsidP="001A69D6">
            <w:pPr>
              <w:spacing w:after="0" w:line="240" w:lineRule="auto"/>
              <w:jc w:val="center"/>
              <w:rPr>
                <w:rFonts w:eastAsia="Times New Roman" w:cs="Times New Roman"/>
                <w:color w:val="000000"/>
                <w:szCs w:val="24"/>
              </w:rPr>
            </w:pPr>
            <w:r w:rsidRPr="007F2304">
              <w:rPr>
                <w:rFonts w:eastAsia="Times New Roman" w:cs="Times New Roman"/>
                <w:color w:val="000000"/>
                <w:szCs w:val="24"/>
              </w:rPr>
              <w:t>79.60%</w:t>
            </w:r>
          </w:p>
        </w:tc>
      </w:tr>
      <w:tr w:rsidR="00A15C2C" w:rsidRPr="00456782" w14:paraId="32C84E7E" w14:textId="77777777" w:rsidTr="001A69D6">
        <w:trPr>
          <w:trHeight w:val="290"/>
          <w:jc w:val="center"/>
        </w:trPr>
        <w:tc>
          <w:tcPr>
            <w:tcW w:w="4225" w:type="dxa"/>
            <w:shd w:val="clear" w:color="auto" w:fill="auto"/>
            <w:noWrap/>
            <w:vAlign w:val="bottom"/>
            <w:hideMark/>
          </w:tcPr>
          <w:p w14:paraId="78FEB763" w14:textId="0629C3C9" w:rsidR="006A4D70" w:rsidRPr="005F214F" w:rsidRDefault="000F5B51" w:rsidP="005F214F">
            <w:pPr>
              <w:spacing w:after="0" w:line="240" w:lineRule="auto"/>
              <w:ind w:left="720"/>
              <w:rPr>
                <w:rFonts w:eastAsia="Times New Roman" w:cs="Times New Roman"/>
                <w:i/>
                <w:iCs/>
                <w:color w:val="FF0000"/>
                <w:szCs w:val="24"/>
              </w:rPr>
            </w:pPr>
            <w:r w:rsidRPr="005F214F">
              <w:rPr>
                <w:rFonts w:eastAsia="Times New Roman" w:cs="Times New Roman"/>
                <w:i/>
                <w:iCs/>
                <w:szCs w:val="24"/>
              </w:rPr>
              <w:t>90 second and 90+</w:t>
            </w:r>
            <w:r w:rsidR="00456782" w:rsidRPr="005F214F">
              <w:rPr>
                <w:rFonts w:eastAsia="Times New Roman" w:cs="Times New Roman"/>
                <w:i/>
                <w:iCs/>
                <w:szCs w:val="24"/>
              </w:rPr>
              <w:t xml:space="preserve"> combined</w:t>
            </w:r>
            <w:r w:rsidRPr="005F214F">
              <w:rPr>
                <w:rFonts w:eastAsia="Times New Roman" w:cs="Times New Roman"/>
                <w:i/>
                <w:iCs/>
                <w:szCs w:val="24"/>
              </w:rPr>
              <w:t xml:space="preserve"> but not </w:t>
            </w:r>
            <w:r w:rsidR="00456782" w:rsidRPr="005F214F">
              <w:rPr>
                <w:rFonts w:eastAsia="Times New Roman" w:cs="Times New Roman"/>
                <w:i/>
                <w:iCs/>
                <w:szCs w:val="24"/>
              </w:rPr>
              <w:t>including</w:t>
            </w:r>
            <w:r w:rsidR="00C10E31" w:rsidRPr="007D00A2">
              <w:rPr>
                <w:rFonts w:eastAsia="Times New Roman" w:cs="Times New Roman"/>
                <w:i/>
                <w:iCs/>
                <w:szCs w:val="24"/>
              </w:rPr>
              <w:t xml:space="preserve"> &lt;90</w:t>
            </w:r>
            <w:r w:rsidR="00C10E31">
              <w:rPr>
                <w:rFonts w:eastAsia="Times New Roman" w:cs="Times New Roman"/>
                <w:i/>
                <w:iCs/>
                <w:szCs w:val="24"/>
              </w:rPr>
              <w:t xml:space="preserve"> and</w:t>
            </w:r>
            <w:r w:rsidR="00C10E31" w:rsidRPr="007D00A2">
              <w:rPr>
                <w:rFonts w:eastAsia="Times New Roman" w:cs="Times New Roman"/>
                <w:i/>
                <w:iCs/>
                <w:szCs w:val="24"/>
              </w:rPr>
              <w:t xml:space="preserve"> </w:t>
            </w:r>
            <w:r w:rsidRPr="005F214F">
              <w:rPr>
                <w:rFonts w:eastAsia="Times New Roman" w:cs="Times New Roman"/>
                <w:i/>
                <w:iCs/>
                <w:szCs w:val="24"/>
              </w:rPr>
              <w:t>indefinite</w:t>
            </w:r>
            <w:r w:rsidR="00456782" w:rsidRPr="005F214F">
              <w:rPr>
                <w:rFonts w:eastAsia="Times New Roman" w:cs="Times New Roman"/>
                <w:i/>
                <w:iCs/>
                <w:szCs w:val="24"/>
              </w:rPr>
              <w:t xml:space="preserve"> </w:t>
            </w:r>
          </w:p>
        </w:tc>
        <w:tc>
          <w:tcPr>
            <w:tcW w:w="1620" w:type="dxa"/>
            <w:shd w:val="clear" w:color="auto" w:fill="auto"/>
            <w:noWrap/>
            <w:vAlign w:val="center"/>
            <w:hideMark/>
          </w:tcPr>
          <w:p w14:paraId="5ECE5AAE" w14:textId="77777777" w:rsidR="006A4D70" w:rsidRPr="005F214F" w:rsidRDefault="000F5B51" w:rsidP="001A69D6">
            <w:pPr>
              <w:spacing w:after="0" w:line="240" w:lineRule="auto"/>
              <w:jc w:val="center"/>
              <w:rPr>
                <w:rFonts w:eastAsia="Times New Roman" w:cs="Times New Roman"/>
                <w:i/>
                <w:iCs/>
                <w:color w:val="000000"/>
                <w:szCs w:val="24"/>
              </w:rPr>
            </w:pPr>
            <w:r w:rsidRPr="005F214F">
              <w:rPr>
                <w:rFonts w:eastAsia="Times New Roman" w:cs="Times New Roman"/>
                <w:i/>
                <w:iCs/>
                <w:color w:val="000000"/>
                <w:szCs w:val="24"/>
              </w:rPr>
              <w:t>14,060,592</w:t>
            </w:r>
          </w:p>
        </w:tc>
        <w:tc>
          <w:tcPr>
            <w:tcW w:w="2250" w:type="dxa"/>
            <w:shd w:val="clear" w:color="auto" w:fill="auto"/>
            <w:noWrap/>
            <w:vAlign w:val="center"/>
            <w:hideMark/>
          </w:tcPr>
          <w:p w14:paraId="2D79C005" w14:textId="77777777" w:rsidR="006A4D70" w:rsidRPr="005F214F" w:rsidRDefault="000F5B51" w:rsidP="001A69D6">
            <w:pPr>
              <w:spacing w:after="0" w:line="240" w:lineRule="auto"/>
              <w:jc w:val="center"/>
              <w:rPr>
                <w:rFonts w:eastAsia="Times New Roman" w:cs="Times New Roman"/>
                <w:i/>
                <w:iCs/>
                <w:color w:val="000000"/>
                <w:szCs w:val="24"/>
              </w:rPr>
            </w:pPr>
            <w:r w:rsidRPr="005F214F">
              <w:rPr>
                <w:rFonts w:eastAsia="Times New Roman" w:cs="Times New Roman"/>
                <w:i/>
                <w:iCs/>
                <w:color w:val="000000"/>
                <w:szCs w:val="24"/>
              </w:rPr>
              <w:t>84.80%</w:t>
            </w:r>
          </w:p>
        </w:tc>
      </w:tr>
      <w:tr w:rsidR="00A15C2C" w14:paraId="1F5ABEE0" w14:textId="77777777" w:rsidTr="001A69D6">
        <w:trPr>
          <w:trHeight w:val="290"/>
          <w:jc w:val="center"/>
        </w:trPr>
        <w:tc>
          <w:tcPr>
            <w:tcW w:w="4225" w:type="dxa"/>
            <w:shd w:val="clear" w:color="auto" w:fill="auto"/>
            <w:noWrap/>
            <w:vAlign w:val="bottom"/>
            <w:hideMark/>
          </w:tcPr>
          <w:p w14:paraId="497806F9" w14:textId="77777777" w:rsidR="006A4D70" w:rsidRPr="007F2304" w:rsidRDefault="000F5B51" w:rsidP="000B4277">
            <w:pPr>
              <w:spacing w:after="0" w:line="240" w:lineRule="auto"/>
              <w:rPr>
                <w:rFonts w:eastAsia="Times New Roman" w:cs="Times New Roman"/>
                <w:color w:val="000000"/>
                <w:szCs w:val="24"/>
              </w:rPr>
            </w:pPr>
            <w:r>
              <w:rPr>
                <w:rFonts w:eastAsia="Times New Roman" w:cs="Times New Roman"/>
                <w:color w:val="000000"/>
                <w:szCs w:val="24"/>
              </w:rPr>
              <w:t>I</w:t>
            </w:r>
            <w:r w:rsidRPr="007F2304">
              <w:rPr>
                <w:rFonts w:eastAsia="Times New Roman" w:cs="Times New Roman"/>
                <w:color w:val="000000"/>
                <w:szCs w:val="24"/>
              </w:rPr>
              <w:t>ndefinite</w:t>
            </w:r>
          </w:p>
        </w:tc>
        <w:tc>
          <w:tcPr>
            <w:tcW w:w="1620" w:type="dxa"/>
            <w:shd w:val="clear" w:color="auto" w:fill="auto"/>
            <w:noWrap/>
            <w:vAlign w:val="center"/>
            <w:hideMark/>
          </w:tcPr>
          <w:p w14:paraId="1CB05813" w14:textId="77777777" w:rsidR="006A4D70" w:rsidRPr="007F2304" w:rsidRDefault="000F5B51" w:rsidP="001A69D6">
            <w:pPr>
              <w:spacing w:after="0" w:line="240" w:lineRule="auto"/>
              <w:jc w:val="center"/>
              <w:rPr>
                <w:rFonts w:eastAsia="Times New Roman" w:cs="Times New Roman"/>
                <w:color w:val="000000"/>
                <w:szCs w:val="24"/>
              </w:rPr>
            </w:pPr>
            <w:r w:rsidRPr="007F2304">
              <w:rPr>
                <w:rFonts w:eastAsia="Times New Roman" w:cs="Times New Roman"/>
                <w:color w:val="000000"/>
                <w:szCs w:val="24"/>
              </w:rPr>
              <w:t>1,193,758</w:t>
            </w:r>
          </w:p>
        </w:tc>
        <w:tc>
          <w:tcPr>
            <w:tcW w:w="2250" w:type="dxa"/>
            <w:shd w:val="clear" w:color="auto" w:fill="auto"/>
            <w:noWrap/>
            <w:vAlign w:val="center"/>
            <w:hideMark/>
          </w:tcPr>
          <w:p w14:paraId="342F8DAC" w14:textId="77777777" w:rsidR="006A4D70" w:rsidRPr="007F2304" w:rsidRDefault="000F5B51" w:rsidP="001A69D6">
            <w:pPr>
              <w:spacing w:after="0" w:line="240" w:lineRule="auto"/>
              <w:jc w:val="center"/>
              <w:rPr>
                <w:rFonts w:eastAsia="Times New Roman" w:cs="Times New Roman"/>
                <w:color w:val="000000"/>
                <w:szCs w:val="24"/>
              </w:rPr>
            </w:pPr>
            <w:r w:rsidRPr="007F2304">
              <w:rPr>
                <w:rFonts w:eastAsia="Times New Roman" w:cs="Times New Roman"/>
                <w:color w:val="000000"/>
                <w:szCs w:val="24"/>
              </w:rPr>
              <w:t>7.20%</w:t>
            </w:r>
          </w:p>
        </w:tc>
      </w:tr>
      <w:tr w:rsidR="00A15C2C" w14:paraId="3F072734" w14:textId="77777777" w:rsidTr="001A69D6">
        <w:trPr>
          <w:trHeight w:val="290"/>
          <w:jc w:val="center"/>
        </w:trPr>
        <w:tc>
          <w:tcPr>
            <w:tcW w:w="4225" w:type="dxa"/>
            <w:shd w:val="clear" w:color="auto" w:fill="auto"/>
            <w:noWrap/>
            <w:vAlign w:val="bottom"/>
            <w:hideMark/>
          </w:tcPr>
          <w:p w14:paraId="77596479" w14:textId="77777777" w:rsidR="006A4D70" w:rsidRPr="007F2304" w:rsidRDefault="000F5B51" w:rsidP="000B4277">
            <w:pPr>
              <w:spacing w:after="0" w:line="240" w:lineRule="auto"/>
              <w:rPr>
                <w:rFonts w:eastAsia="Times New Roman" w:cs="Times New Roman"/>
                <w:color w:val="000000"/>
                <w:szCs w:val="24"/>
              </w:rPr>
            </w:pPr>
            <w:r w:rsidRPr="005D698C">
              <w:rPr>
                <w:rFonts w:eastAsia="Times New Roman" w:cs="Times New Roman"/>
                <w:color w:val="000000"/>
                <w:szCs w:val="24"/>
              </w:rPr>
              <w:t>U</w:t>
            </w:r>
            <w:r w:rsidRPr="007F2304">
              <w:rPr>
                <w:rFonts w:eastAsia="Times New Roman" w:cs="Times New Roman"/>
                <w:color w:val="000000"/>
                <w:szCs w:val="24"/>
              </w:rPr>
              <w:t>nknown</w:t>
            </w:r>
          </w:p>
        </w:tc>
        <w:tc>
          <w:tcPr>
            <w:tcW w:w="1620" w:type="dxa"/>
            <w:shd w:val="clear" w:color="auto" w:fill="auto"/>
            <w:noWrap/>
            <w:vAlign w:val="center"/>
            <w:hideMark/>
          </w:tcPr>
          <w:p w14:paraId="3B7072A3" w14:textId="77777777" w:rsidR="006A4D70" w:rsidRPr="007F2304" w:rsidRDefault="000F5B51" w:rsidP="001A69D6">
            <w:pPr>
              <w:spacing w:after="0" w:line="240" w:lineRule="auto"/>
              <w:jc w:val="center"/>
              <w:rPr>
                <w:rFonts w:eastAsia="Times New Roman" w:cs="Times New Roman"/>
                <w:color w:val="000000"/>
                <w:szCs w:val="24"/>
              </w:rPr>
            </w:pPr>
            <w:r w:rsidRPr="007F2304">
              <w:rPr>
                <w:rFonts w:eastAsia="Times New Roman" w:cs="Times New Roman"/>
                <w:color w:val="000000"/>
                <w:szCs w:val="24"/>
              </w:rPr>
              <w:t>60,000</w:t>
            </w:r>
          </w:p>
        </w:tc>
        <w:tc>
          <w:tcPr>
            <w:tcW w:w="2250" w:type="dxa"/>
            <w:shd w:val="clear" w:color="auto" w:fill="auto"/>
            <w:noWrap/>
            <w:vAlign w:val="center"/>
            <w:hideMark/>
          </w:tcPr>
          <w:p w14:paraId="63EABAA5" w14:textId="77777777" w:rsidR="006A4D70" w:rsidRPr="007F2304" w:rsidRDefault="000F5B51" w:rsidP="001A69D6">
            <w:pPr>
              <w:spacing w:after="0" w:line="240" w:lineRule="auto"/>
              <w:jc w:val="center"/>
              <w:rPr>
                <w:rFonts w:eastAsia="Times New Roman" w:cs="Times New Roman"/>
                <w:color w:val="000000"/>
                <w:szCs w:val="24"/>
              </w:rPr>
            </w:pPr>
            <w:r w:rsidRPr="007F2304">
              <w:rPr>
                <w:rFonts w:eastAsia="Times New Roman" w:cs="Times New Roman"/>
                <w:color w:val="000000"/>
                <w:szCs w:val="24"/>
              </w:rPr>
              <w:t>0.40%</w:t>
            </w:r>
          </w:p>
        </w:tc>
      </w:tr>
      <w:tr w:rsidR="00456782" w14:paraId="0C803DE8" w14:textId="77777777" w:rsidTr="001A69D6">
        <w:trPr>
          <w:trHeight w:val="290"/>
          <w:jc w:val="center"/>
        </w:trPr>
        <w:tc>
          <w:tcPr>
            <w:tcW w:w="4225" w:type="dxa"/>
            <w:shd w:val="clear" w:color="auto" w:fill="auto"/>
            <w:noWrap/>
            <w:vAlign w:val="bottom"/>
          </w:tcPr>
          <w:p w14:paraId="241C53D2" w14:textId="3D7A55C9" w:rsidR="00456782" w:rsidRPr="005D698C" w:rsidRDefault="00456782" w:rsidP="000B4277">
            <w:pPr>
              <w:spacing w:after="0" w:line="240" w:lineRule="auto"/>
              <w:rPr>
                <w:rFonts w:eastAsia="Times New Roman" w:cs="Times New Roman"/>
                <w:color w:val="000000"/>
                <w:szCs w:val="24"/>
              </w:rPr>
            </w:pPr>
            <w:r>
              <w:rPr>
                <w:rFonts w:eastAsia="Times New Roman" w:cs="Times New Roman"/>
                <w:color w:val="000000"/>
                <w:szCs w:val="24"/>
              </w:rPr>
              <w:t>Total</w:t>
            </w:r>
          </w:p>
        </w:tc>
        <w:tc>
          <w:tcPr>
            <w:tcW w:w="1620" w:type="dxa"/>
            <w:shd w:val="clear" w:color="auto" w:fill="auto"/>
            <w:noWrap/>
            <w:vAlign w:val="center"/>
          </w:tcPr>
          <w:p w14:paraId="6DC8718F" w14:textId="08142DBF" w:rsidR="00456782" w:rsidRPr="007F2304" w:rsidRDefault="00C10E31" w:rsidP="001A69D6">
            <w:pPr>
              <w:spacing w:after="0" w:line="240" w:lineRule="auto"/>
              <w:jc w:val="center"/>
              <w:rPr>
                <w:rFonts w:eastAsia="Times New Roman" w:cs="Times New Roman"/>
                <w:color w:val="000000"/>
                <w:szCs w:val="24"/>
              </w:rPr>
            </w:pPr>
            <w:r>
              <w:rPr>
                <w:rFonts w:eastAsia="Times New Roman" w:cs="Times New Roman"/>
                <w:color w:val="000000"/>
                <w:szCs w:val="24"/>
              </w:rPr>
              <w:t>16,579, 249</w:t>
            </w:r>
          </w:p>
        </w:tc>
        <w:tc>
          <w:tcPr>
            <w:tcW w:w="2250" w:type="dxa"/>
            <w:shd w:val="clear" w:color="auto" w:fill="auto"/>
            <w:noWrap/>
            <w:vAlign w:val="center"/>
          </w:tcPr>
          <w:p w14:paraId="3DB965B9" w14:textId="28304112" w:rsidR="00456782" w:rsidRPr="007F2304" w:rsidRDefault="00456782" w:rsidP="001A69D6">
            <w:pPr>
              <w:spacing w:after="0" w:line="240" w:lineRule="auto"/>
              <w:jc w:val="center"/>
              <w:rPr>
                <w:rFonts w:eastAsia="Times New Roman" w:cs="Times New Roman"/>
                <w:color w:val="000000"/>
                <w:szCs w:val="24"/>
              </w:rPr>
            </w:pPr>
            <w:r>
              <w:rPr>
                <w:rFonts w:eastAsia="Times New Roman" w:cs="Times New Roman"/>
                <w:color w:val="000000"/>
                <w:szCs w:val="24"/>
              </w:rPr>
              <w:t>100%</w:t>
            </w:r>
          </w:p>
        </w:tc>
      </w:tr>
    </w:tbl>
    <w:p w14:paraId="1077D8E0" w14:textId="77777777" w:rsidR="006A4D70" w:rsidRDefault="006A4D70" w:rsidP="001A69D6">
      <w:pPr>
        <w:pStyle w:val="NoSpaceTimes"/>
      </w:pPr>
    </w:p>
    <w:p w14:paraId="60C7BAD3" w14:textId="77777777" w:rsidR="00865A2D" w:rsidRDefault="000F5B51" w:rsidP="00865A2D">
      <w:pPr>
        <w:spacing w:after="0"/>
        <w:contextualSpacing/>
        <w:rPr>
          <w:rFonts w:cs="Times New Roman"/>
          <w:szCs w:val="24"/>
        </w:rPr>
      </w:pPr>
      <w:r>
        <w:rPr>
          <w:rFonts w:cs="Times New Roman"/>
          <w:szCs w:val="24"/>
        </w:rPr>
        <w:t xml:space="preserve">For the analysis, due to limited data, we categorized these four different warning systems based on providing a less than </w:t>
      </w:r>
      <w:r w:rsidRPr="00D8699B">
        <w:rPr>
          <w:rFonts w:cs="Times New Roman"/>
          <w:szCs w:val="24"/>
        </w:rPr>
        <w:t>90 second warning</w:t>
      </w:r>
      <w:r>
        <w:rPr>
          <w:rFonts w:cs="Times New Roman"/>
          <w:szCs w:val="24"/>
        </w:rPr>
        <w:t xml:space="preserve">, </w:t>
      </w:r>
      <w:r w:rsidRPr="00B53A30">
        <w:rPr>
          <w:rFonts w:cs="Times New Roman"/>
          <w:szCs w:val="24"/>
        </w:rPr>
        <w:t xml:space="preserve">90 second and 90+ </w:t>
      </w:r>
      <w:r>
        <w:rPr>
          <w:rFonts w:cs="Times New Roman"/>
          <w:szCs w:val="24"/>
        </w:rPr>
        <w:t xml:space="preserve">seconds </w:t>
      </w:r>
      <w:r w:rsidRPr="00B53A30">
        <w:rPr>
          <w:rFonts w:cs="Times New Roman"/>
          <w:szCs w:val="24"/>
        </w:rPr>
        <w:t>but not indefinite</w:t>
      </w:r>
      <w:r>
        <w:rPr>
          <w:rFonts w:cs="Times New Roman"/>
          <w:szCs w:val="24"/>
        </w:rPr>
        <w:t xml:space="preserve"> warning, and indefinite warning. We make use of the available data to characterize the distribution of these systems in the baseline, as well as characterize the seat belt use for each system by warning duration. </w:t>
      </w:r>
    </w:p>
    <w:p w14:paraId="69572C5B" w14:textId="0DF63479" w:rsidR="00865A2D" w:rsidRDefault="000F5B51" w:rsidP="00865A2D">
      <w:pPr>
        <w:spacing w:after="0"/>
        <w:contextualSpacing/>
        <w:rPr>
          <w:rFonts w:cs="Times New Roman"/>
          <w:szCs w:val="24"/>
        </w:rPr>
      </w:pPr>
      <w:r>
        <w:rPr>
          <w:rFonts w:eastAsia="Times New Roman" w:cs="Times New Roman"/>
          <w:szCs w:val="24"/>
        </w:rPr>
        <w:fldChar w:fldCharType="begin"/>
      </w:r>
      <w:r>
        <w:rPr>
          <w:rFonts w:eastAsia="Times New Roman" w:cs="Times New Roman"/>
          <w:szCs w:val="24"/>
        </w:rPr>
        <w:instrText xml:space="preserve"> REF _Ref128036762 \h </w:instrText>
      </w:r>
      <w:r>
        <w:rPr>
          <w:rFonts w:eastAsia="Times New Roman" w:cs="Times New Roman"/>
          <w:szCs w:val="24"/>
        </w:rPr>
      </w:r>
      <w:r>
        <w:rPr>
          <w:rFonts w:eastAsia="Times New Roman" w:cs="Times New Roman"/>
          <w:szCs w:val="24"/>
        </w:rPr>
        <w:fldChar w:fldCharType="separate"/>
      </w:r>
      <w:r w:rsidR="00A65CB3">
        <w:t xml:space="preserve">Table </w:t>
      </w:r>
      <w:r w:rsidR="00A65CB3">
        <w:rPr>
          <w:noProof/>
        </w:rPr>
        <w:t>8</w:t>
      </w:r>
      <w:r>
        <w:rPr>
          <w:rFonts w:eastAsia="Times New Roman" w:cs="Times New Roman"/>
          <w:szCs w:val="24"/>
        </w:rPr>
        <w:fldChar w:fldCharType="end"/>
      </w:r>
      <w:r>
        <w:rPr>
          <w:rFonts w:eastAsia="Times New Roman" w:cs="Times New Roman"/>
          <w:szCs w:val="24"/>
        </w:rPr>
        <w:t xml:space="preserve"> presents the proportion of light vehicle sales by warning type based on the three groups considered in this analysis. </w:t>
      </w:r>
      <w:r>
        <w:rPr>
          <w:rFonts w:cs="Times New Roman"/>
          <w:szCs w:val="24"/>
        </w:rPr>
        <w:t>Those systems in the “less than 90 second warning” group (Bin No. 1) are later used as a proxy for the system that provides a seven</w:t>
      </w:r>
      <w:r w:rsidRPr="008D6E9C">
        <w:rPr>
          <w:rFonts w:cs="Times New Roman"/>
          <w:szCs w:val="24"/>
        </w:rPr>
        <w:t xml:space="preserve">-second </w:t>
      </w:r>
      <w:r>
        <w:rPr>
          <w:rFonts w:cs="Times New Roman"/>
          <w:szCs w:val="24"/>
        </w:rPr>
        <w:t xml:space="preserve">warning in a study used for the analysis. Additionally, those systems in the “90-second or 90+ but not indefinite warning” group (Bin No. 2) are later used as a proxy for the system that provides a 100-second duration warning in a study used for the analysis. </w:t>
      </w:r>
    </w:p>
    <w:p w14:paraId="504D9AFD" w14:textId="77777777" w:rsidR="00865A2D" w:rsidRDefault="000F5B51" w:rsidP="00865A2D">
      <w:pPr>
        <w:spacing w:after="0"/>
        <w:contextualSpacing/>
        <w:rPr>
          <w:rFonts w:eastAsia="Times New Roman" w:cs="Times New Roman"/>
          <w:szCs w:val="24"/>
        </w:rPr>
      </w:pPr>
      <w:r>
        <w:rPr>
          <w:rFonts w:eastAsia="Times New Roman" w:cs="Times New Roman"/>
          <w:szCs w:val="24"/>
        </w:rPr>
        <w:t xml:space="preserve">Therefore, under the baseline, this analysis establishes that a seven-second duration warning system would fall in Bin No. 1 representing 7.63 percent of vehicles, a 90-second duration warning system would fall in Bin No. 2 representing 85.14 percent of light vehicles, and an </w:t>
      </w:r>
      <w:r>
        <w:rPr>
          <w:rFonts w:eastAsia="Times New Roman" w:cs="Times New Roman"/>
          <w:szCs w:val="24"/>
        </w:rPr>
        <w:lastRenderedPageBreak/>
        <w:t xml:space="preserve">indefinite duration warning system would fall in Bin No. 3 representing 7.23 percent of light vehicles in the new vehicle fleet.  </w:t>
      </w:r>
    </w:p>
    <w:p w14:paraId="45AA7BB6" w14:textId="7CD09A3A" w:rsidR="00604224" w:rsidRDefault="000F5B51" w:rsidP="00604224">
      <w:pPr>
        <w:pStyle w:val="Caption"/>
        <w:rPr>
          <w:rFonts w:eastAsia="Times New Roman" w:cs="Times New Roman"/>
          <w:szCs w:val="24"/>
        </w:rPr>
      </w:pPr>
      <w:bookmarkStart w:id="16" w:name="_Ref128036762"/>
      <w:r>
        <w:t xml:space="preserve">Table </w:t>
      </w:r>
      <w:r w:rsidR="00115BAB">
        <w:fldChar w:fldCharType="begin"/>
      </w:r>
      <w:r>
        <w:instrText xml:space="preserve"> SEQ Table \* ARABIC </w:instrText>
      </w:r>
      <w:r w:rsidR="00115BAB">
        <w:fldChar w:fldCharType="separate"/>
      </w:r>
      <w:r w:rsidR="00A65CB3">
        <w:rPr>
          <w:noProof/>
        </w:rPr>
        <w:t>8</w:t>
      </w:r>
      <w:r w:rsidR="00115BAB">
        <w:rPr>
          <w:noProof/>
        </w:rPr>
        <w:fldChar w:fldCharType="end"/>
      </w:r>
      <w:bookmarkEnd w:id="16"/>
      <w:r>
        <w:t>: Proportion of New Fleet Sales by Warning Type</w:t>
      </w:r>
      <w:r w:rsidR="008B0741">
        <w:t xml:space="preserve"> for MY 2022</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4824"/>
        <w:gridCol w:w="1296"/>
        <w:gridCol w:w="1349"/>
        <w:gridCol w:w="1203"/>
      </w:tblGrid>
      <w:tr w:rsidR="00A15C2C" w14:paraId="7BD84B15" w14:textId="77777777" w:rsidTr="00212AD3">
        <w:trPr>
          <w:trHeight w:val="290"/>
        </w:trPr>
        <w:tc>
          <w:tcPr>
            <w:tcW w:w="812" w:type="dxa"/>
            <w:shd w:val="clear" w:color="auto" w:fill="BFBFBF" w:themeFill="background1" w:themeFillShade="BF"/>
            <w:vAlign w:val="center"/>
          </w:tcPr>
          <w:p w14:paraId="3858D45A" w14:textId="77777777" w:rsidR="006A4D70" w:rsidRPr="00212AD3" w:rsidRDefault="000F5B51" w:rsidP="00212AD3">
            <w:pPr>
              <w:spacing w:after="0" w:line="240" w:lineRule="auto"/>
              <w:rPr>
                <w:rFonts w:eastAsia="Times New Roman" w:cs="Times New Roman"/>
                <w:b/>
                <w:bCs/>
                <w:color w:val="000000"/>
                <w:szCs w:val="24"/>
              </w:rPr>
            </w:pPr>
            <w:r w:rsidRPr="00212AD3">
              <w:rPr>
                <w:rFonts w:eastAsia="Times New Roman" w:cs="Times New Roman"/>
                <w:b/>
                <w:bCs/>
                <w:color w:val="000000"/>
                <w:szCs w:val="24"/>
              </w:rPr>
              <w:t>Bin No.</w:t>
            </w:r>
          </w:p>
        </w:tc>
        <w:tc>
          <w:tcPr>
            <w:tcW w:w="4824" w:type="dxa"/>
            <w:shd w:val="clear" w:color="auto" w:fill="BFBFBF" w:themeFill="background1" w:themeFillShade="BF"/>
            <w:noWrap/>
            <w:vAlign w:val="center"/>
            <w:hideMark/>
          </w:tcPr>
          <w:p w14:paraId="42D7555D" w14:textId="77777777" w:rsidR="006A4D70" w:rsidRPr="00212AD3" w:rsidRDefault="000F5B51" w:rsidP="00873CAE">
            <w:pPr>
              <w:spacing w:after="0" w:line="240" w:lineRule="auto"/>
              <w:jc w:val="center"/>
              <w:rPr>
                <w:rFonts w:eastAsia="Times New Roman" w:cs="Times New Roman"/>
                <w:b/>
                <w:bCs/>
                <w:color w:val="000000"/>
                <w:szCs w:val="24"/>
              </w:rPr>
            </w:pPr>
            <w:r w:rsidRPr="00212AD3">
              <w:rPr>
                <w:rFonts w:eastAsia="Times New Roman" w:cs="Times New Roman"/>
                <w:b/>
                <w:bCs/>
                <w:color w:val="000000"/>
                <w:szCs w:val="24"/>
              </w:rPr>
              <w:t>Warning Length, front occupants</w:t>
            </w:r>
          </w:p>
        </w:tc>
        <w:tc>
          <w:tcPr>
            <w:tcW w:w="1296" w:type="dxa"/>
            <w:shd w:val="clear" w:color="auto" w:fill="BFBFBF" w:themeFill="background1" w:themeFillShade="BF"/>
            <w:noWrap/>
            <w:vAlign w:val="center"/>
            <w:hideMark/>
          </w:tcPr>
          <w:p w14:paraId="59F2B45D" w14:textId="77777777" w:rsidR="006A4D70" w:rsidRPr="00212AD3" w:rsidRDefault="000F5B51">
            <w:pPr>
              <w:spacing w:after="0" w:line="240" w:lineRule="auto"/>
              <w:jc w:val="center"/>
              <w:rPr>
                <w:rFonts w:eastAsia="Times New Roman" w:cs="Times New Roman"/>
                <w:b/>
                <w:bCs/>
                <w:color w:val="000000"/>
                <w:szCs w:val="24"/>
              </w:rPr>
            </w:pPr>
            <w:r w:rsidRPr="00212AD3">
              <w:rPr>
                <w:rFonts w:eastAsia="Times New Roman" w:cs="Times New Roman"/>
                <w:b/>
                <w:bCs/>
                <w:color w:val="000000"/>
                <w:szCs w:val="24"/>
              </w:rPr>
              <w:t>Sales</w:t>
            </w:r>
          </w:p>
        </w:tc>
        <w:tc>
          <w:tcPr>
            <w:tcW w:w="1269" w:type="dxa"/>
            <w:shd w:val="clear" w:color="auto" w:fill="BFBFBF" w:themeFill="background1" w:themeFillShade="BF"/>
            <w:noWrap/>
            <w:vAlign w:val="center"/>
            <w:hideMark/>
          </w:tcPr>
          <w:p w14:paraId="4EFE3CFC" w14:textId="77777777" w:rsidR="006A4D70" w:rsidRPr="00212AD3" w:rsidRDefault="000F5B51">
            <w:pPr>
              <w:spacing w:after="0" w:line="240" w:lineRule="auto"/>
              <w:jc w:val="center"/>
              <w:rPr>
                <w:rFonts w:eastAsia="Times New Roman" w:cs="Times New Roman"/>
                <w:b/>
                <w:bCs/>
                <w:color w:val="000000"/>
                <w:szCs w:val="24"/>
              </w:rPr>
            </w:pPr>
            <w:r w:rsidRPr="00212AD3">
              <w:rPr>
                <w:rFonts w:eastAsia="Times New Roman" w:cs="Times New Roman"/>
                <w:b/>
                <w:bCs/>
                <w:color w:val="000000"/>
                <w:szCs w:val="24"/>
              </w:rPr>
              <w:t>Percentage of Sales</w:t>
            </w:r>
          </w:p>
        </w:tc>
        <w:tc>
          <w:tcPr>
            <w:tcW w:w="1149" w:type="dxa"/>
            <w:shd w:val="clear" w:color="auto" w:fill="BFBFBF" w:themeFill="background1" w:themeFillShade="BF"/>
            <w:vAlign w:val="center"/>
          </w:tcPr>
          <w:p w14:paraId="0A766A4A" w14:textId="77777777" w:rsidR="006A4D70" w:rsidRPr="00212AD3" w:rsidRDefault="000F5B51">
            <w:pPr>
              <w:spacing w:after="0" w:line="240" w:lineRule="auto"/>
              <w:jc w:val="center"/>
              <w:rPr>
                <w:rFonts w:eastAsia="Times New Roman" w:cs="Times New Roman"/>
                <w:b/>
                <w:bCs/>
                <w:color w:val="000000"/>
                <w:szCs w:val="24"/>
              </w:rPr>
            </w:pPr>
            <w:r w:rsidRPr="00212AD3">
              <w:rPr>
                <w:rFonts w:eastAsia="Times New Roman" w:cs="Times New Roman"/>
                <w:b/>
                <w:bCs/>
                <w:color w:val="000000"/>
                <w:szCs w:val="24"/>
              </w:rPr>
              <w:t>Weighted Sales Percent</w:t>
            </w:r>
          </w:p>
        </w:tc>
      </w:tr>
      <w:tr w:rsidR="00A15C2C" w14:paraId="580951F9" w14:textId="77777777" w:rsidTr="00212AD3">
        <w:trPr>
          <w:trHeight w:val="290"/>
        </w:trPr>
        <w:tc>
          <w:tcPr>
            <w:tcW w:w="812" w:type="dxa"/>
            <w:vAlign w:val="center"/>
          </w:tcPr>
          <w:p w14:paraId="33C5594B" w14:textId="77777777" w:rsidR="006A4D70" w:rsidRPr="0005107B" w:rsidRDefault="000F5B51" w:rsidP="00212AD3">
            <w:pPr>
              <w:spacing w:after="0" w:line="240" w:lineRule="auto"/>
              <w:rPr>
                <w:rFonts w:eastAsia="Times New Roman" w:cs="Times New Roman"/>
                <w:color w:val="000000"/>
                <w:szCs w:val="24"/>
              </w:rPr>
            </w:pPr>
            <w:r w:rsidRPr="0005107B">
              <w:rPr>
                <w:rFonts w:eastAsia="Times New Roman" w:cs="Times New Roman"/>
                <w:color w:val="000000"/>
                <w:szCs w:val="24"/>
              </w:rPr>
              <w:t>1</w:t>
            </w:r>
          </w:p>
        </w:tc>
        <w:tc>
          <w:tcPr>
            <w:tcW w:w="4824" w:type="dxa"/>
            <w:shd w:val="clear" w:color="auto" w:fill="auto"/>
            <w:noWrap/>
            <w:vAlign w:val="center"/>
            <w:hideMark/>
          </w:tcPr>
          <w:p w14:paraId="34FF650B" w14:textId="77777777" w:rsidR="006A4D70" w:rsidRPr="0006023A" w:rsidRDefault="000F5B51" w:rsidP="00212AD3">
            <w:pPr>
              <w:spacing w:after="0" w:line="240" w:lineRule="auto"/>
              <w:jc w:val="center"/>
              <w:rPr>
                <w:rFonts w:eastAsia="Times New Roman" w:cs="Times New Roman"/>
                <w:color w:val="000000"/>
                <w:szCs w:val="24"/>
              </w:rPr>
            </w:pPr>
            <w:r w:rsidRPr="0006023A">
              <w:rPr>
                <w:rFonts w:eastAsia="Times New Roman" w:cs="Times New Roman"/>
                <w:color w:val="000000"/>
                <w:szCs w:val="24"/>
              </w:rPr>
              <w:t>&lt;90 second warning</w:t>
            </w:r>
          </w:p>
        </w:tc>
        <w:tc>
          <w:tcPr>
            <w:tcW w:w="1296" w:type="dxa"/>
            <w:shd w:val="clear" w:color="auto" w:fill="auto"/>
            <w:noWrap/>
            <w:vAlign w:val="center"/>
            <w:hideMark/>
          </w:tcPr>
          <w:p w14:paraId="44D425D2" w14:textId="77777777" w:rsidR="006A4D70" w:rsidRPr="0006023A" w:rsidRDefault="000F5B51" w:rsidP="00212AD3">
            <w:pPr>
              <w:spacing w:after="0" w:line="240" w:lineRule="auto"/>
              <w:jc w:val="center"/>
              <w:rPr>
                <w:rFonts w:eastAsia="Times New Roman" w:cs="Times New Roman"/>
                <w:color w:val="000000"/>
                <w:szCs w:val="24"/>
              </w:rPr>
            </w:pPr>
            <w:r w:rsidRPr="0006023A">
              <w:rPr>
                <w:rFonts w:eastAsia="Times New Roman" w:cs="Times New Roman"/>
                <w:color w:val="000000"/>
                <w:szCs w:val="24"/>
              </w:rPr>
              <w:t>1,264,899</w:t>
            </w:r>
          </w:p>
        </w:tc>
        <w:tc>
          <w:tcPr>
            <w:tcW w:w="1269" w:type="dxa"/>
            <w:shd w:val="clear" w:color="auto" w:fill="auto"/>
            <w:noWrap/>
            <w:vAlign w:val="center"/>
            <w:hideMark/>
          </w:tcPr>
          <w:p w14:paraId="19BBC66D" w14:textId="77777777" w:rsidR="006A4D70" w:rsidRPr="0006023A" w:rsidRDefault="000F5B51" w:rsidP="00212AD3">
            <w:pPr>
              <w:spacing w:after="0" w:line="240" w:lineRule="auto"/>
              <w:jc w:val="center"/>
              <w:rPr>
                <w:rFonts w:eastAsia="Times New Roman" w:cs="Times New Roman"/>
                <w:color w:val="000000"/>
                <w:szCs w:val="24"/>
              </w:rPr>
            </w:pPr>
            <w:r w:rsidRPr="0006023A">
              <w:rPr>
                <w:rFonts w:eastAsia="Times New Roman" w:cs="Times New Roman"/>
                <w:color w:val="000000"/>
                <w:szCs w:val="24"/>
              </w:rPr>
              <w:t>7.60%</w:t>
            </w:r>
          </w:p>
        </w:tc>
        <w:tc>
          <w:tcPr>
            <w:tcW w:w="1149" w:type="dxa"/>
            <w:shd w:val="clear" w:color="auto" w:fill="auto"/>
            <w:vAlign w:val="center"/>
          </w:tcPr>
          <w:p w14:paraId="53B814F8" w14:textId="77777777" w:rsidR="006A4D70" w:rsidRPr="0006023A" w:rsidRDefault="000F5B51" w:rsidP="00212AD3">
            <w:pPr>
              <w:spacing w:after="0" w:line="240" w:lineRule="auto"/>
              <w:jc w:val="center"/>
              <w:rPr>
                <w:rFonts w:eastAsia="Times New Roman" w:cs="Times New Roman"/>
                <w:color w:val="000000"/>
                <w:szCs w:val="24"/>
              </w:rPr>
            </w:pPr>
            <w:r>
              <w:rPr>
                <w:rFonts w:eastAsia="Times New Roman" w:cs="Times New Roman"/>
                <w:color w:val="000000"/>
                <w:szCs w:val="24"/>
              </w:rPr>
              <w:t>7.63%</w:t>
            </w:r>
          </w:p>
        </w:tc>
      </w:tr>
      <w:tr w:rsidR="00A15C2C" w14:paraId="1281237D" w14:textId="77777777" w:rsidTr="00212AD3">
        <w:trPr>
          <w:trHeight w:val="290"/>
        </w:trPr>
        <w:tc>
          <w:tcPr>
            <w:tcW w:w="812" w:type="dxa"/>
            <w:vAlign w:val="center"/>
          </w:tcPr>
          <w:p w14:paraId="789A9C2A" w14:textId="77777777" w:rsidR="006A4D70" w:rsidRPr="0005107B" w:rsidRDefault="000F5B51" w:rsidP="00212AD3">
            <w:pPr>
              <w:spacing w:after="0" w:line="240" w:lineRule="auto"/>
              <w:rPr>
                <w:rFonts w:eastAsia="Times New Roman" w:cs="Times New Roman"/>
                <w:szCs w:val="24"/>
              </w:rPr>
            </w:pPr>
            <w:r w:rsidRPr="0005107B">
              <w:rPr>
                <w:rFonts w:eastAsia="Times New Roman" w:cs="Times New Roman"/>
                <w:szCs w:val="24"/>
              </w:rPr>
              <w:t>2</w:t>
            </w:r>
          </w:p>
        </w:tc>
        <w:tc>
          <w:tcPr>
            <w:tcW w:w="4824" w:type="dxa"/>
            <w:shd w:val="clear" w:color="auto" w:fill="auto"/>
            <w:noWrap/>
            <w:vAlign w:val="center"/>
            <w:hideMark/>
          </w:tcPr>
          <w:p w14:paraId="5E65E7E0" w14:textId="77777777" w:rsidR="006A4D70" w:rsidRPr="005F214F" w:rsidRDefault="000F5B51" w:rsidP="00212AD3">
            <w:pPr>
              <w:spacing w:after="0" w:line="240" w:lineRule="auto"/>
              <w:jc w:val="center"/>
              <w:rPr>
                <w:rFonts w:eastAsia="Times New Roman" w:cs="Times New Roman"/>
                <w:color w:val="FF0000"/>
                <w:szCs w:val="24"/>
              </w:rPr>
            </w:pPr>
            <w:r w:rsidRPr="005F214F">
              <w:rPr>
                <w:rFonts w:eastAsia="Times New Roman" w:cs="Times New Roman"/>
                <w:szCs w:val="24"/>
              </w:rPr>
              <w:t>90 second and 90+ seconds but not indefinite</w:t>
            </w:r>
          </w:p>
        </w:tc>
        <w:tc>
          <w:tcPr>
            <w:tcW w:w="1296" w:type="dxa"/>
            <w:shd w:val="clear" w:color="auto" w:fill="auto"/>
            <w:noWrap/>
            <w:vAlign w:val="center"/>
            <w:hideMark/>
          </w:tcPr>
          <w:p w14:paraId="067D5684" w14:textId="77777777" w:rsidR="006A4D70" w:rsidRPr="0006023A" w:rsidRDefault="000F5B51" w:rsidP="00212AD3">
            <w:pPr>
              <w:spacing w:after="0" w:line="240" w:lineRule="auto"/>
              <w:jc w:val="center"/>
              <w:rPr>
                <w:rFonts w:eastAsia="Times New Roman" w:cs="Times New Roman"/>
                <w:color w:val="000000"/>
                <w:szCs w:val="24"/>
              </w:rPr>
            </w:pPr>
            <w:r w:rsidRPr="0006023A">
              <w:rPr>
                <w:rFonts w:eastAsia="Times New Roman" w:cs="Times New Roman"/>
                <w:color w:val="000000"/>
                <w:szCs w:val="24"/>
              </w:rPr>
              <w:t>14,060,592</w:t>
            </w:r>
          </w:p>
        </w:tc>
        <w:tc>
          <w:tcPr>
            <w:tcW w:w="1269" w:type="dxa"/>
            <w:shd w:val="clear" w:color="auto" w:fill="auto"/>
            <w:noWrap/>
            <w:vAlign w:val="center"/>
            <w:hideMark/>
          </w:tcPr>
          <w:p w14:paraId="116CCD23" w14:textId="77777777" w:rsidR="006A4D70" w:rsidRPr="0006023A" w:rsidRDefault="000F5B51" w:rsidP="00212AD3">
            <w:pPr>
              <w:spacing w:after="0" w:line="240" w:lineRule="auto"/>
              <w:jc w:val="center"/>
              <w:rPr>
                <w:rFonts w:eastAsia="Times New Roman" w:cs="Times New Roman"/>
                <w:color w:val="000000"/>
                <w:szCs w:val="24"/>
              </w:rPr>
            </w:pPr>
            <w:r w:rsidRPr="0006023A">
              <w:rPr>
                <w:rFonts w:eastAsia="Times New Roman" w:cs="Times New Roman"/>
                <w:color w:val="000000"/>
                <w:szCs w:val="24"/>
              </w:rPr>
              <w:t>84.80%</w:t>
            </w:r>
          </w:p>
        </w:tc>
        <w:tc>
          <w:tcPr>
            <w:tcW w:w="1149" w:type="dxa"/>
            <w:shd w:val="clear" w:color="auto" w:fill="auto"/>
            <w:vAlign w:val="center"/>
          </w:tcPr>
          <w:p w14:paraId="1606809F" w14:textId="77777777" w:rsidR="006A4D70" w:rsidRPr="0006023A" w:rsidRDefault="000F5B51" w:rsidP="00212AD3">
            <w:pPr>
              <w:spacing w:after="0" w:line="240" w:lineRule="auto"/>
              <w:jc w:val="center"/>
              <w:rPr>
                <w:rFonts w:eastAsia="Times New Roman" w:cs="Times New Roman"/>
                <w:color w:val="000000"/>
                <w:szCs w:val="24"/>
              </w:rPr>
            </w:pPr>
            <w:r>
              <w:rPr>
                <w:rFonts w:eastAsia="Times New Roman" w:cs="Times New Roman"/>
                <w:color w:val="000000"/>
                <w:szCs w:val="24"/>
              </w:rPr>
              <w:t>85.14%</w:t>
            </w:r>
          </w:p>
        </w:tc>
      </w:tr>
      <w:tr w:rsidR="00A15C2C" w14:paraId="7726E7D6" w14:textId="77777777" w:rsidTr="00212AD3">
        <w:trPr>
          <w:trHeight w:val="290"/>
        </w:trPr>
        <w:tc>
          <w:tcPr>
            <w:tcW w:w="812" w:type="dxa"/>
            <w:vAlign w:val="center"/>
          </w:tcPr>
          <w:p w14:paraId="7F3B3013" w14:textId="77777777" w:rsidR="006A4D70" w:rsidRPr="0005107B" w:rsidRDefault="000F5B51" w:rsidP="00212AD3">
            <w:pPr>
              <w:spacing w:after="0" w:line="240" w:lineRule="auto"/>
              <w:rPr>
                <w:rFonts w:eastAsia="Times New Roman" w:cs="Times New Roman"/>
                <w:color w:val="000000"/>
                <w:szCs w:val="24"/>
              </w:rPr>
            </w:pPr>
            <w:r w:rsidRPr="0005107B">
              <w:rPr>
                <w:rFonts w:eastAsia="Times New Roman" w:cs="Times New Roman"/>
                <w:color w:val="000000"/>
                <w:szCs w:val="24"/>
              </w:rPr>
              <w:t>3</w:t>
            </w:r>
          </w:p>
        </w:tc>
        <w:tc>
          <w:tcPr>
            <w:tcW w:w="4824" w:type="dxa"/>
            <w:shd w:val="clear" w:color="auto" w:fill="auto"/>
            <w:noWrap/>
            <w:vAlign w:val="center"/>
            <w:hideMark/>
          </w:tcPr>
          <w:p w14:paraId="1CB0358D" w14:textId="77777777" w:rsidR="006A4D70" w:rsidRPr="0006023A" w:rsidRDefault="000F5B51" w:rsidP="00212AD3">
            <w:pPr>
              <w:spacing w:after="0" w:line="240" w:lineRule="auto"/>
              <w:jc w:val="center"/>
              <w:rPr>
                <w:rFonts w:eastAsia="Times New Roman" w:cs="Times New Roman"/>
                <w:color w:val="000000"/>
                <w:szCs w:val="24"/>
              </w:rPr>
            </w:pPr>
            <w:r>
              <w:rPr>
                <w:rFonts w:eastAsia="Times New Roman" w:cs="Times New Roman"/>
                <w:color w:val="000000"/>
                <w:szCs w:val="24"/>
              </w:rPr>
              <w:t>I</w:t>
            </w:r>
            <w:r w:rsidRPr="0006023A">
              <w:rPr>
                <w:rFonts w:eastAsia="Times New Roman" w:cs="Times New Roman"/>
                <w:color w:val="000000"/>
                <w:szCs w:val="24"/>
              </w:rPr>
              <w:t>ndefinite</w:t>
            </w:r>
          </w:p>
        </w:tc>
        <w:tc>
          <w:tcPr>
            <w:tcW w:w="1296" w:type="dxa"/>
            <w:shd w:val="clear" w:color="auto" w:fill="auto"/>
            <w:noWrap/>
            <w:vAlign w:val="center"/>
            <w:hideMark/>
          </w:tcPr>
          <w:p w14:paraId="2F032463" w14:textId="77777777" w:rsidR="006A4D70" w:rsidRPr="0006023A" w:rsidRDefault="000F5B51" w:rsidP="00212AD3">
            <w:pPr>
              <w:spacing w:after="0" w:line="240" w:lineRule="auto"/>
              <w:jc w:val="center"/>
              <w:rPr>
                <w:rFonts w:eastAsia="Times New Roman" w:cs="Times New Roman"/>
                <w:color w:val="000000"/>
                <w:szCs w:val="24"/>
              </w:rPr>
            </w:pPr>
            <w:r w:rsidRPr="0006023A">
              <w:rPr>
                <w:rFonts w:eastAsia="Times New Roman" w:cs="Times New Roman"/>
                <w:color w:val="000000"/>
                <w:szCs w:val="24"/>
              </w:rPr>
              <w:t>1,193,758</w:t>
            </w:r>
          </w:p>
        </w:tc>
        <w:tc>
          <w:tcPr>
            <w:tcW w:w="1269" w:type="dxa"/>
            <w:shd w:val="clear" w:color="auto" w:fill="auto"/>
            <w:noWrap/>
            <w:vAlign w:val="center"/>
            <w:hideMark/>
          </w:tcPr>
          <w:p w14:paraId="2697AC5A" w14:textId="77777777" w:rsidR="006A4D70" w:rsidRPr="0006023A" w:rsidRDefault="000F5B51" w:rsidP="00212AD3">
            <w:pPr>
              <w:spacing w:after="0" w:line="240" w:lineRule="auto"/>
              <w:jc w:val="center"/>
              <w:rPr>
                <w:rFonts w:eastAsia="Times New Roman" w:cs="Times New Roman"/>
                <w:color w:val="000000"/>
                <w:szCs w:val="24"/>
              </w:rPr>
            </w:pPr>
            <w:r w:rsidRPr="0006023A">
              <w:rPr>
                <w:rFonts w:eastAsia="Times New Roman" w:cs="Times New Roman"/>
                <w:color w:val="000000"/>
                <w:szCs w:val="24"/>
              </w:rPr>
              <w:t>7.20%</w:t>
            </w:r>
          </w:p>
        </w:tc>
        <w:tc>
          <w:tcPr>
            <w:tcW w:w="1149" w:type="dxa"/>
            <w:shd w:val="clear" w:color="auto" w:fill="auto"/>
            <w:vAlign w:val="center"/>
          </w:tcPr>
          <w:p w14:paraId="23BBCFFD" w14:textId="77777777" w:rsidR="006A4D70" w:rsidRPr="0006023A" w:rsidRDefault="000F5B51" w:rsidP="00212AD3">
            <w:pPr>
              <w:spacing w:after="0" w:line="240" w:lineRule="auto"/>
              <w:jc w:val="center"/>
              <w:rPr>
                <w:rFonts w:eastAsia="Times New Roman" w:cs="Times New Roman"/>
                <w:color w:val="000000"/>
                <w:szCs w:val="24"/>
              </w:rPr>
            </w:pPr>
            <w:r>
              <w:rPr>
                <w:rFonts w:eastAsia="Times New Roman" w:cs="Times New Roman"/>
                <w:color w:val="000000"/>
                <w:szCs w:val="24"/>
              </w:rPr>
              <w:t>7.23%</w:t>
            </w:r>
          </w:p>
        </w:tc>
      </w:tr>
      <w:tr w:rsidR="00A15C2C" w14:paraId="025C99A2" w14:textId="77777777" w:rsidTr="00212AD3">
        <w:trPr>
          <w:trHeight w:val="290"/>
        </w:trPr>
        <w:tc>
          <w:tcPr>
            <w:tcW w:w="812" w:type="dxa"/>
            <w:vAlign w:val="center"/>
          </w:tcPr>
          <w:p w14:paraId="2A98EF29" w14:textId="77777777" w:rsidR="006A4D70" w:rsidRPr="0005107B" w:rsidRDefault="006A4D70" w:rsidP="00212AD3">
            <w:pPr>
              <w:spacing w:after="0" w:line="240" w:lineRule="auto"/>
              <w:rPr>
                <w:rFonts w:eastAsia="Times New Roman" w:cs="Times New Roman"/>
                <w:color w:val="000000"/>
                <w:szCs w:val="24"/>
              </w:rPr>
            </w:pPr>
          </w:p>
        </w:tc>
        <w:tc>
          <w:tcPr>
            <w:tcW w:w="4824" w:type="dxa"/>
            <w:shd w:val="clear" w:color="auto" w:fill="auto"/>
            <w:noWrap/>
            <w:vAlign w:val="center"/>
          </w:tcPr>
          <w:p w14:paraId="481BB975" w14:textId="77777777" w:rsidR="006A4D70" w:rsidRPr="00212AD3" w:rsidRDefault="000F5B51" w:rsidP="00212AD3">
            <w:pPr>
              <w:spacing w:after="0" w:line="240" w:lineRule="auto"/>
              <w:jc w:val="center"/>
              <w:rPr>
                <w:rFonts w:eastAsia="Times New Roman" w:cs="Times New Roman"/>
                <w:b/>
                <w:bCs/>
                <w:color w:val="000000"/>
                <w:szCs w:val="24"/>
              </w:rPr>
            </w:pPr>
            <w:r w:rsidRPr="00212AD3">
              <w:rPr>
                <w:rFonts w:eastAsia="Times New Roman" w:cs="Times New Roman"/>
                <w:b/>
                <w:bCs/>
                <w:color w:val="000000"/>
                <w:szCs w:val="24"/>
              </w:rPr>
              <w:t>Total percentage</w:t>
            </w:r>
          </w:p>
        </w:tc>
        <w:tc>
          <w:tcPr>
            <w:tcW w:w="1296" w:type="dxa"/>
            <w:shd w:val="clear" w:color="auto" w:fill="auto"/>
            <w:noWrap/>
            <w:vAlign w:val="center"/>
          </w:tcPr>
          <w:p w14:paraId="6AA694DE" w14:textId="77777777" w:rsidR="006A4D70" w:rsidRPr="0006023A" w:rsidRDefault="006A4D70" w:rsidP="00212AD3">
            <w:pPr>
              <w:spacing w:after="0" w:line="240" w:lineRule="auto"/>
              <w:jc w:val="center"/>
              <w:rPr>
                <w:rFonts w:eastAsia="Times New Roman" w:cs="Times New Roman"/>
                <w:color w:val="000000"/>
                <w:szCs w:val="24"/>
              </w:rPr>
            </w:pPr>
          </w:p>
        </w:tc>
        <w:tc>
          <w:tcPr>
            <w:tcW w:w="1269" w:type="dxa"/>
            <w:shd w:val="clear" w:color="auto" w:fill="auto"/>
            <w:noWrap/>
            <w:vAlign w:val="center"/>
          </w:tcPr>
          <w:p w14:paraId="13AA00E9" w14:textId="77777777" w:rsidR="006A4D70" w:rsidRPr="0006023A" w:rsidRDefault="000F5B51" w:rsidP="00212AD3">
            <w:pPr>
              <w:spacing w:after="0" w:line="240" w:lineRule="auto"/>
              <w:jc w:val="center"/>
              <w:rPr>
                <w:rFonts w:eastAsia="Times New Roman" w:cs="Times New Roman"/>
                <w:color w:val="000000"/>
                <w:szCs w:val="24"/>
              </w:rPr>
            </w:pPr>
            <w:r>
              <w:rPr>
                <w:rFonts w:eastAsia="Times New Roman" w:cs="Times New Roman"/>
                <w:color w:val="000000"/>
                <w:szCs w:val="24"/>
              </w:rPr>
              <w:t>99.6%</w:t>
            </w:r>
          </w:p>
        </w:tc>
        <w:tc>
          <w:tcPr>
            <w:tcW w:w="1149" w:type="dxa"/>
            <w:shd w:val="clear" w:color="auto" w:fill="auto"/>
            <w:vAlign w:val="center"/>
          </w:tcPr>
          <w:p w14:paraId="7BF1B293" w14:textId="77777777" w:rsidR="006A4D70" w:rsidRDefault="000F5B51" w:rsidP="00212AD3">
            <w:pPr>
              <w:spacing w:after="0" w:line="240" w:lineRule="auto"/>
              <w:jc w:val="center"/>
              <w:rPr>
                <w:rFonts w:eastAsia="Times New Roman" w:cs="Times New Roman"/>
                <w:color w:val="000000"/>
                <w:szCs w:val="24"/>
              </w:rPr>
            </w:pPr>
            <w:r>
              <w:rPr>
                <w:rFonts w:eastAsia="Times New Roman" w:cs="Times New Roman"/>
                <w:color w:val="000000"/>
                <w:szCs w:val="24"/>
              </w:rPr>
              <w:t>100%</w:t>
            </w:r>
          </w:p>
        </w:tc>
      </w:tr>
    </w:tbl>
    <w:p w14:paraId="357E8271" w14:textId="77777777" w:rsidR="00020963" w:rsidRDefault="000F5B51" w:rsidP="00556059">
      <w:pPr>
        <w:pStyle w:val="NoSpaceTimes"/>
      </w:pPr>
      <w:r>
        <w:tab/>
      </w:r>
    </w:p>
    <w:p w14:paraId="515EF16F" w14:textId="0B2EEDE2" w:rsidR="008C2826" w:rsidRDefault="000F5B51" w:rsidP="003F3E1D">
      <w:pPr>
        <w:spacing w:after="0"/>
        <w:rPr>
          <w:rFonts w:cs="Times New Roman"/>
          <w:szCs w:val="24"/>
        </w:rPr>
      </w:pPr>
      <w:r>
        <w:rPr>
          <w:rFonts w:cs="Times New Roman"/>
          <w:szCs w:val="24"/>
        </w:rPr>
        <w:t xml:space="preserve">It is important to note that the benefits </w:t>
      </w:r>
      <w:r w:rsidR="007A301C">
        <w:rPr>
          <w:rFonts w:cs="Times New Roman"/>
          <w:szCs w:val="24"/>
        </w:rPr>
        <w:t>associated</w:t>
      </w:r>
      <w:r>
        <w:rPr>
          <w:rFonts w:cs="Times New Roman"/>
          <w:szCs w:val="24"/>
        </w:rPr>
        <w:t xml:space="preserve"> with the proposed rule</w:t>
      </w:r>
      <w:r w:rsidR="007A301C">
        <w:rPr>
          <w:rFonts w:cs="Times New Roman"/>
          <w:szCs w:val="24"/>
        </w:rPr>
        <w:t xml:space="preserve"> are not</w:t>
      </w:r>
      <w:r w:rsidR="004F2F07">
        <w:rPr>
          <w:rFonts w:cs="Times New Roman"/>
          <w:szCs w:val="24"/>
        </w:rPr>
        <w:t xml:space="preserve"> </w:t>
      </w:r>
      <w:r w:rsidR="004F2F07">
        <w:rPr>
          <w:rFonts w:eastAsia="Calibri" w:cs="Times New Roman"/>
          <w:szCs w:val="24"/>
        </w:rPr>
        <w:t xml:space="preserve">from the </w:t>
      </w:r>
      <w:r w:rsidR="00664BB0">
        <w:rPr>
          <w:rFonts w:eastAsia="Calibri" w:cs="Times New Roman"/>
          <w:szCs w:val="24"/>
        </w:rPr>
        <w:t>SBWS</w:t>
      </w:r>
      <w:r w:rsidR="007C0A60">
        <w:rPr>
          <w:rFonts w:eastAsia="Calibri" w:cs="Times New Roman"/>
          <w:szCs w:val="24"/>
        </w:rPr>
        <w:t xml:space="preserve">’s function </w:t>
      </w:r>
      <w:r w:rsidR="004F2F07">
        <w:rPr>
          <w:rFonts w:eastAsia="Calibri" w:cs="Times New Roman"/>
          <w:szCs w:val="24"/>
        </w:rPr>
        <w:t xml:space="preserve">itself, </w:t>
      </w:r>
      <w:r w:rsidR="004F4736">
        <w:rPr>
          <w:rFonts w:eastAsia="Calibri" w:cs="Times New Roman"/>
          <w:szCs w:val="24"/>
        </w:rPr>
        <w:t>but instead result from the increase in seat belt use brought about by the SBWS</w:t>
      </w:r>
      <w:r w:rsidR="004F2F07">
        <w:t>.</w:t>
      </w:r>
      <w:r w:rsidR="009B5199">
        <w:t xml:space="preserve"> </w:t>
      </w:r>
      <w:r w:rsidR="0082202D">
        <w:rPr>
          <w:rFonts w:eastAsia="Calibri" w:cs="Times New Roman"/>
          <w:szCs w:val="24"/>
        </w:rPr>
        <w:t>Therefore, t</w:t>
      </w:r>
      <w:r w:rsidR="0082202D">
        <w:t xml:space="preserve">he incremental benefits associated with the proposed rule are comprised of the </w:t>
      </w:r>
      <w:r w:rsidR="00364AE8">
        <w:t>fatalities</w:t>
      </w:r>
      <w:r w:rsidR="0082202D">
        <w:t xml:space="preserve"> and </w:t>
      </w:r>
      <w:r w:rsidR="00364AE8">
        <w:t xml:space="preserve">non-fatal </w:t>
      </w:r>
      <w:r w:rsidR="0082202D">
        <w:t xml:space="preserve">injuries </w:t>
      </w:r>
      <w:r w:rsidR="00CC3254">
        <w:t xml:space="preserve">that would be </w:t>
      </w:r>
      <w:r w:rsidR="0082202D">
        <w:t xml:space="preserve">prevented as a direct result of the increase in seat belt use </w:t>
      </w:r>
      <w:r w:rsidR="003421E7">
        <w:t xml:space="preserve">from the SBWS </w:t>
      </w:r>
      <w:r w:rsidR="0082202D">
        <w:t>relative to</w:t>
      </w:r>
      <w:r w:rsidR="006D0A0E">
        <w:t xml:space="preserve"> seat belt use under</w:t>
      </w:r>
      <w:r w:rsidR="0082202D">
        <w:t xml:space="preserve"> the baseline.</w:t>
      </w:r>
      <w:r w:rsidR="00364AE8">
        <w:t xml:space="preserve"> Similarly, the incremental costs associated with the proposed rule </w:t>
      </w:r>
      <w:r w:rsidR="00AA0CE3">
        <w:t xml:space="preserve">would be </w:t>
      </w:r>
      <w:r w:rsidR="00364AE8">
        <w:t xml:space="preserve">those </w:t>
      </w:r>
      <w:r w:rsidR="00B34AF0">
        <w:t xml:space="preserve">equipment costs </w:t>
      </w:r>
      <w:r w:rsidR="00364AE8">
        <w:t xml:space="preserve">incurred </w:t>
      </w:r>
      <w:r w:rsidR="00647817">
        <w:t xml:space="preserve">in addition to the types of systems and corresponding installation rates </w:t>
      </w:r>
      <w:r w:rsidR="00A73B83">
        <w:t xml:space="preserve">established in the baseline. </w:t>
      </w:r>
      <w:r w:rsidR="00556059" w:rsidRPr="00FE1B06">
        <w:t xml:space="preserve">Unless specified, all monetary values are </w:t>
      </w:r>
      <w:r w:rsidR="00556059">
        <w:t xml:space="preserve">presented </w:t>
      </w:r>
      <w:r w:rsidR="00556059" w:rsidRPr="00FE1B06">
        <w:t>in 202</w:t>
      </w:r>
      <w:r w:rsidR="00556059">
        <w:t>0</w:t>
      </w:r>
      <w:r w:rsidR="00556059" w:rsidRPr="00FE1B06">
        <w:t xml:space="preserve"> dollars.</w:t>
      </w:r>
      <w:r>
        <w:br/>
      </w:r>
      <w:r>
        <w:rPr>
          <w:rFonts w:cs="Times New Roman"/>
        </w:rPr>
        <w:t>T</w:t>
      </w:r>
      <w:r w:rsidRPr="0062505D">
        <w:rPr>
          <w:rFonts w:cs="Times New Roman"/>
        </w:rPr>
        <w:t>he rest of this document is organized as follows</w:t>
      </w:r>
      <w:r w:rsidR="00581590">
        <w:rPr>
          <w:rFonts w:cs="Times New Roman"/>
        </w:rPr>
        <w:t>: Chapter 2 pro</w:t>
      </w:r>
      <w:r w:rsidR="00F45EC1">
        <w:rPr>
          <w:rFonts w:cs="Times New Roman"/>
        </w:rPr>
        <w:t xml:space="preserve">vides </w:t>
      </w:r>
      <w:r w:rsidR="00A73B83">
        <w:rPr>
          <w:rFonts w:cs="Times New Roman"/>
        </w:rPr>
        <w:t>a summary of the regulatory history and research</w:t>
      </w:r>
      <w:r w:rsidR="00F45EC1">
        <w:rPr>
          <w:rFonts w:cs="Times New Roman"/>
        </w:rPr>
        <w:t>, Chapter 3 presents the target population, Chapter 4 presents the</w:t>
      </w:r>
      <w:r w:rsidR="00446E8C">
        <w:rPr>
          <w:rFonts w:cs="Times New Roman"/>
        </w:rPr>
        <w:t xml:space="preserve"> seat belt effectiveness and the increases in seat belt use for rear and front seat occupants</w:t>
      </w:r>
      <w:r w:rsidR="00F45EC1">
        <w:rPr>
          <w:rFonts w:cs="Times New Roman"/>
        </w:rPr>
        <w:t xml:space="preserve">, Chapter 5 presents the </w:t>
      </w:r>
      <w:r w:rsidR="00C11E93">
        <w:rPr>
          <w:rFonts w:cs="Times New Roman"/>
        </w:rPr>
        <w:t xml:space="preserve">incremental </w:t>
      </w:r>
      <w:r w:rsidR="00F45EC1">
        <w:rPr>
          <w:rFonts w:cs="Times New Roman"/>
        </w:rPr>
        <w:t xml:space="preserve">benefits associated with the proposed rule, Chapter 6 presents the </w:t>
      </w:r>
      <w:r w:rsidR="00C11E93">
        <w:rPr>
          <w:rFonts w:cs="Times New Roman"/>
        </w:rPr>
        <w:t xml:space="preserve">incremental </w:t>
      </w:r>
      <w:r w:rsidR="00F45EC1">
        <w:rPr>
          <w:rFonts w:cs="Times New Roman"/>
        </w:rPr>
        <w:t>costs associated with the proposed rule,  Chapter 7 presents the lead time, Chapter 8 presents the cost-</w:t>
      </w:r>
      <w:r w:rsidR="00144F00">
        <w:rPr>
          <w:rFonts w:cs="Times New Roman"/>
        </w:rPr>
        <w:t>effectiveness</w:t>
      </w:r>
      <w:r w:rsidR="00F45EC1">
        <w:rPr>
          <w:rFonts w:cs="Times New Roman"/>
        </w:rPr>
        <w:t xml:space="preserve"> and net benefits analyses, </w:t>
      </w:r>
      <w:r w:rsidR="002A0C3C">
        <w:rPr>
          <w:rFonts w:cs="Times New Roman"/>
        </w:rPr>
        <w:t xml:space="preserve">Chapter </w:t>
      </w:r>
      <w:r w:rsidR="00FC1D43">
        <w:rPr>
          <w:rFonts w:cs="Times New Roman"/>
        </w:rPr>
        <w:t>9</w:t>
      </w:r>
      <w:r w:rsidR="002A0C3C">
        <w:rPr>
          <w:rFonts w:cs="Times New Roman"/>
        </w:rPr>
        <w:t xml:space="preserve"> presents the sensitivity analysis, </w:t>
      </w:r>
      <w:r w:rsidR="00FC1D43">
        <w:rPr>
          <w:rFonts w:cs="Times New Roman"/>
        </w:rPr>
        <w:t xml:space="preserve">Chapter 10 presents the regulatory alternatives considered for this rulemaking, </w:t>
      </w:r>
      <w:r w:rsidR="00144F00">
        <w:rPr>
          <w:rFonts w:cs="Times New Roman"/>
        </w:rPr>
        <w:t xml:space="preserve">and Chapter 11 presents </w:t>
      </w:r>
      <w:r w:rsidR="003F3E1D">
        <w:rPr>
          <w:rFonts w:cs="Times New Roman"/>
        </w:rPr>
        <w:t>the analyses</w:t>
      </w:r>
      <w:r w:rsidR="003F3E1D" w:rsidRPr="0062505D">
        <w:rPr>
          <w:rFonts w:cs="Times New Roman"/>
          <w:szCs w:val="24"/>
        </w:rPr>
        <w:t xml:space="preserve"> conducted in accordance </w:t>
      </w:r>
      <w:r w:rsidR="003F3E1D" w:rsidRPr="00FE1B06">
        <w:rPr>
          <w:rFonts w:cs="Times New Roman"/>
          <w:szCs w:val="24"/>
        </w:rPr>
        <w:t>with the Regulatory Flexibility Act and Unfunded Mandates Reform Act</w:t>
      </w:r>
      <w:r w:rsidR="003F3E1D" w:rsidRPr="00FE1B06">
        <w:rPr>
          <w:rFonts w:cs="Times New Roman"/>
        </w:rPr>
        <w:t xml:space="preserve">. </w:t>
      </w:r>
    </w:p>
    <w:p w14:paraId="42610BA3" w14:textId="77777777" w:rsidR="00353E56" w:rsidRDefault="000F5B51" w:rsidP="0093458D">
      <w:pPr>
        <w:pStyle w:val="Heading1"/>
        <w:spacing w:line="240" w:lineRule="auto"/>
      </w:pPr>
      <w:bookmarkStart w:id="17" w:name="_Toc127263219"/>
      <w:bookmarkStart w:id="18" w:name="_Toc126127663"/>
      <w:bookmarkStart w:id="19" w:name="_Toc126128045"/>
      <w:bookmarkStart w:id="20" w:name="_Toc126587985"/>
      <w:bookmarkStart w:id="21" w:name="_Toc126909479"/>
      <w:bookmarkStart w:id="22" w:name="_Toc127263220"/>
      <w:bookmarkStart w:id="23" w:name="_Toc126127664"/>
      <w:bookmarkStart w:id="24" w:name="_Toc126128046"/>
      <w:bookmarkStart w:id="25" w:name="_Toc126587986"/>
      <w:bookmarkStart w:id="26" w:name="_Toc126909480"/>
      <w:bookmarkStart w:id="27" w:name="_Toc127263221"/>
      <w:bookmarkStart w:id="28" w:name="_Toc126127665"/>
      <w:bookmarkStart w:id="29" w:name="_Toc126128047"/>
      <w:bookmarkStart w:id="30" w:name="_Toc126587987"/>
      <w:bookmarkStart w:id="31" w:name="_Toc126909481"/>
      <w:bookmarkStart w:id="32" w:name="_Toc127263222"/>
      <w:bookmarkStart w:id="33" w:name="_Toc126127666"/>
      <w:bookmarkStart w:id="34" w:name="_Toc126128048"/>
      <w:bookmarkStart w:id="35" w:name="_Toc126587988"/>
      <w:bookmarkStart w:id="36" w:name="_Toc126909482"/>
      <w:bookmarkStart w:id="37" w:name="_Toc127263223"/>
      <w:bookmarkStart w:id="38" w:name="_Toc126127683"/>
      <w:bookmarkStart w:id="39" w:name="_Toc126128065"/>
      <w:bookmarkStart w:id="40" w:name="_Toc126588005"/>
      <w:bookmarkStart w:id="41" w:name="_Toc126909499"/>
      <w:bookmarkStart w:id="42" w:name="_Toc127263240"/>
      <w:bookmarkStart w:id="43" w:name="_Toc142902962"/>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lastRenderedPageBreak/>
        <w:t>Background</w:t>
      </w:r>
      <w:bookmarkEnd w:id="43"/>
    </w:p>
    <w:p w14:paraId="20083DAA" w14:textId="77777777" w:rsidR="00E25E2F" w:rsidRDefault="000F5B51" w:rsidP="00B87B60">
      <w:pPr>
        <w:spacing w:after="0"/>
        <w:rPr>
          <w:rFonts w:cs="Times New Roman"/>
          <w:sz w:val="28"/>
          <w:szCs w:val="28"/>
        </w:rPr>
      </w:pPr>
      <w:r w:rsidRPr="0EFE6C3A">
        <w:rPr>
          <w:rFonts w:cs="Times New Roman"/>
        </w:rPr>
        <w:t>Th</w:t>
      </w:r>
      <w:r w:rsidR="2D3CA34F" w:rsidRPr="0EFE6C3A">
        <w:rPr>
          <w:rFonts w:cs="Times New Roman"/>
        </w:rPr>
        <w:t>is</w:t>
      </w:r>
      <w:r w:rsidRPr="0EFE6C3A">
        <w:rPr>
          <w:rFonts w:cs="Times New Roman"/>
        </w:rPr>
        <w:t xml:space="preserve"> </w:t>
      </w:r>
      <w:r w:rsidR="0027737C" w:rsidRPr="0EFE6C3A">
        <w:rPr>
          <w:rFonts w:cs="Times New Roman"/>
        </w:rPr>
        <w:t>cha</w:t>
      </w:r>
      <w:r w:rsidR="00707E7A" w:rsidRPr="0EFE6C3A">
        <w:rPr>
          <w:rFonts w:cs="Times New Roman"/>
        </w:rPr>
        <w:t>pter</w:t>
      </w:r>
      <w:r w:rsidRPr="0EFE6C3A">
        <w:rPr>
          <w:rFonts w:cs="Times New Roman"/>
        </w:rPr>
        <w:t xml:space="preserve"> provide</w:t>
      </w:r>
      <w:r w:rsidR="00707E7A" w:rsidRPr="0EFE6C3A">
        <w:rPr>
          <w:rFonts w:cs="Times New Roman"/>
        </w:rPr>
        <w:t>s</w:t>
      </w:r>
      <w:r w:rsidRPr="0EFE6C3A">
        <w:rPr>
          <w:rFonts w:cs="Times New Roman"/>
        </w:rPr>
        <w:t xml:space="preserve"> a summary of the background information leading up to the proposed rule.</w:t>
      </w:r>
      <w:r w:rsidR="00EF1036" w:rsidRPr="0EFE6C3A">
        <w:rPr>
          <w:rFonts w:cs="Times New Roman"/>
        </w:rPr>
        <w:t xml:space="preserve"> </w:t>
      </w:r>
      <w:r w:rsidR="00707E7A" w:rsidRPr="0EFE6C3A">
        <w:rPr>
          <w:rFonts w:cs="Times New Roman"/>
        </w:rPr>
        <w:t>The follow</w:t>
      </w:r>
      <w:r w:rsidR="00E4399B" w:rsidRPr="0EFE6C3A">
        <w:rPr>
          <w:rFonts w:cs="Times New Roman"/>
        </w:rPr>
        <w:t>ing</w:t>
      </w:r>
      <w:r w:rsidR="00707E7A" w:rsidRPr="0EFE6C3A">
        <w:rPr>
          <w:rFonts w:cs="Times New Roman"/>
        </w:rPr>
        <w:t xml:space="preserve"> sections </w:t>
      </w:r>
      <w:r w:rsidR="00BD19CF" w:rsidRPr="0EFE6C3A">
        <w:rPr>
          <w:rFonts w:cs="Times New Roman"/>
        </w:rPr>
        <w:t xml:space="preserve">discuss the regulatory </w:t>
      </w:r>
      <w:r w:rsidR="000A1E2D" w:rsidRPr="0EFE6C3A">
        <w:rPr>
          <w:rFonts w:cs="Times New Roman"/>
        </w:rPr>
        <w:t xml:space="preserve">history, </w:t>
      </w:r>
      <w:r w:rsidR="00870B0B" w:rsidRPr="0EFE6C3A">
        <w:rPr>
          <w:rFonts w:cs="Times New Roman"/>
        </w:rPr>
        <w:t>NHTSA</w:t>
      </w:r>
      <w:r w:rsidR="00B33A39" w:rsidRPr="0EFE6C3A">
        <w:rPr>
          <w:rFonts w:cs="Times New Roman"/>
        </w:rPr>
        <w:t>’</w:t>
      </w:r>
      <w:r w:rsidR="00092496" w:rsidRPr="0EFE6C3A">
        <w:rPr>
          <w:rFonts w:cs="Times New Roman"/>
        </w:rPr>
        <w:t xml:space="preserve">s </w:t>
      </w:r>
      <w:r w:rsidR="004F3F64" w:rsidRPr="0EFE6C3A">
        <w:rPr>
          <w:rFonts w:cs="Times New Roman"/>
        </w:rPr>
        <w:t>research</w:t>
      </w:r>
      <w:r w:rsidR="00346A9D" w:rsidRPr="0EFE6C3A">
        <w:rPr>
          <w:rFonts w:cs="Times New Roman"/>
        </w:rPr>
        <w:t xml:space="preserve"> and efforts, </w:t>
      </w:r>
      <w:r w:rsidR="00676978" w:rsidRPr="0EFE6C3A">
        <w:rPr>
          <w:rFonts w:cs="Times New Roman"/>
        </w:rPr>
        <w:t xml:space="preserve">and external </w:t>
      </w:r>
      <w:r w:rsidR="001F13AA" w:rsidRPr="0EFE6C3A">
        <w:rPr>
          <w:rFonts w:cs="Times New Roman"/>
        </w:rPr>
        <w:t xml:space="preserve">research </w:t>
      </w:r>
      <w:r w:rsidR="00AB478E" w:rsidRPr="0EFE6C3A">
        <w:rPr>
          <w:rFonts w:cs="Times New Roman"/>
        </w:rPr>
        <w:t xml:space="preserve">pertaining to the </w:t>
      </w:r>
      <w:r w:rsidR="00F2433C" w:rsidRPr="0EFE6C3A">
        <w:rPr>
          <w:rFonts w:cs="Times New Roman"/>
        </w:rPr>
        <w:t>proposed rule.</w:t>
      </w:r>
    </w:p>
    <w:p w14:paraId="7732673D" w14:textId="77777777" w:rsidR="00C34EF4" w:rsidRDefault="000F5B51" w:rsidP="0093458D">
      <w:pPr>
        <w:pStyle w:val="Heading2"/>
        <w:keepNext w:val="0"/>
        <w:keepLines w:val="0"/>
        <w:widowControl w:val="0"/>
        <w:spacing w:line="240" w:lineRule="auto"/>
      </w:pPr>
      <w:bookmarkStart w:id="44" w:name="_Toc126127685"/>
      <w:bookmarkStart w:id="45" w:name="_Toc126128067"/>
      <w:bookmarkStart w:id="46" w:name="_Toc126588007"/>
      <w:bookmarkStart w:id="47" w:name="_Toc126909501"/>
      <w:bookmarkStart w:id="48" w:name="_Toc127263242"/>
      <w:bookmarkStart w:id="49" w:name="_Toc142902963"/>
      <w:bookmarkEnd w:id="44"/>
      <w:bookmarkEnd w:id="45"/>
      <w:bookmarkEnd w:id="46"/>
      <w:bookmarkEnd w:id="47"/>
      <w:bookmarkEnd w:id="48"/>
      <w:r>
        <w:t>Regulatory History of Interlock and Seat Belt Warnings</w:t>
      </w:r>
      <w:bookmarkEnd w:id="49"/>
    </w:p>
    <w:p w14:paraId="63AF901C" w14:textId="77777777" w:rsidR="00C34EF4" w:rsidRPr="0080267B" w:rsidRDefault="000F5B51" w:rsidP="00632E89">
      <w:pPr>
        <w:widowControl w:val="0"/>
        <w:spacing w:after="0"/>
        <w:rPr>
          <w:rFonts w:eastAsia="Times New Roman" w:cs="Times New Roman"/>
          <w:szCs w:val="24"/>
        </w:rPr>
      </w:pPr>
      <w:r>
        <w:rPr>
          <w:rFonts w:eastAsia="Times New Roman" w:cs="Times New Roman"/>
          <w:szCs w:val="24"/>
        </w:rPr>
        <w:t>E</w:t>
      </w:r>
      <w:r w:rsidRPr="0080267B">
        <w:rPr>
          <w:rFonts w:eastAsia="Times New Roman" w:cs="Times New Roman"/>
          <w:szCs w:val="24"/>
        </w:rPr>
        <w:t>arly driver seat belt warning systems and seat belt interlocks date back to the 1970s, when seat belt use was only 12 to 15 percent.</w:t>
      </w:r>
      <w:r>
        <w:rPr>
          <w:rFonts w:eastAsia="Times New Roman" w:cs="Times New Roman"/>
          <w:szCs w:val="24"/>
          <w:vertAlign w:val="superscript"/>
        </w:rPr>
        <w:footnoteReference w:id="8"/>
      </w:r>
      <w:r w:rsidRPr="0080267B">
        <w:rPr>
          <w:rFonts w:eastAsia="Times New Roman" w:cs="Times New Roman"/>
          <w:szCs w:val="24"/>
        </w:rPr>
        <w:t xml:space="preserve">  In 1971, NHTSA tried to increase seat belt use by requiring a </w:t>
      </w:r>
      <w:r>
        <w:rPr>
          <w:rFonts w:eastAsia="Times New Roman" w:cs="Times New Roman"/>
          <w:szCs w:val="24"/>
        </w:rPr>
        <w:t>warning</w:t>
      </w:r>
      <w:r w:rsidRPr="0080267B">
        <w:rPr>
          <w:rFonts w:eastAsia="Times New Roman" w:cs="Times New Roman"/>
          <w:szCs w:val="24"/>
        </w:rPr>
        <w:t xml:space="preserve"> for front outboard seating positions in vehicles manufactured after 1972.</w:t>
      </w:r>
      <w:r>
        <w:rPr>
          <w:rFonts w:eastAsia="Times New Roman" w:cs="Times New Roman"/>
          <w:szCs w:val="24"/>
          <w:vertAlign w:val="superscript"/>
        </w:rPr>
        <w:footnoteReference w:id="9"/>
      </w:r>
      <w:r w:rsidRPr="0080267B">
        <w:rPr>
          <w:rFonts w:eastAsia="Times New Roman" w:cs="Times New Roman"/>
          <w:szCs w:val="24"/>
        </w:rPr>
        <w:t xml:space="preserve">  Starting in August 1973, new cars were also required to have interlocks that would not allow a car to be started if the front outboard seat belts were not fastened.</w:t>
      </w:r>
      <w:r>
        <w:rPr>
          <w:rFonts w:eastAsia="Times New Roman" w:cs="Times New Roman"/>
          <w:szCs w:val="24"/>
          <w:vertAlign w:val="superscript"/>
        </w:rPr>
        <w:footnoteReference w:id="10"/>
      </w:r>
      <w:r w:rsidRPr="0080267B">
        <w:rPr>
          <w:rFonts w:eastAsia="Times New Roman" w:cs="Times New Roman"/>
          <w:szCs w:val="24"/>
        </w:rPr>
        <w:t xml:space="preserve">  However, as a result of consumer backlash toward these requirements, Congress adopted a provision, as part of the Motor Vehicle and School Bus Safety Amendments of 1974, prohibiting NHTSA from requiring, or permitting as a compliance option, either ignition interlocks designed to prevent starting or operating a motor vehicle, or audible signals that sounded for a period of more than eight seconds after the ignition was turned to the “start” or “on” position, </w:t>
      </w:r>
      <w:r w:rsidRPr="0080267B">
        <w:rPr>
          <w:rFonts w:eastAsia="Times New Roman" w:cs="Times New Roman"/>
          <w:bCs/>
          <w:szCs w:val="24"/>
        </w:rPr>
        <w:t>if the seat belt was not fastened</w:t>
      </w:r>
      <w:r w:rsidRPr="0080267B">
        <w:rPr>
          <w:rFonts w:eastAsia="Times New Roman" w:cs="Times New Roman"/>
          <w:szCs w:val="24"/>
        </w:rPr>
        <w:t>.</w:t>
      </w:r>
      <w:r>
        <w:rPr>
          <w:rStyle w:val="FootnoteReference"/>
          <w:rFonts w:eastAsia="Times New Roman" w:cs="Times New Roman"/>
          <w:szCs w:val="24"/>
        </w:rPr>
        <w:footnoteReference w:id="11"/>
      </w:r>
      <w:r w:rsidRPr="0080267B">
        <w:rPr>
          <w:rFonts w:eastAsia="Times New Roman" w:cs="Times New Roman"/>
          <w:szCs w:val="24"/>
        </w:rPr>
        <w:t xml:space="preserve">  </w:t>
      </w:r>
    </w:p>
    <w:p w14:paraId="6138733D" w14:textId="77777777" w:rsidR="00C34EF4" w:rsidRPr="00275861" w:rsidRDefault="000F5B51" w:rsidP="0093458D">
      <w:pPr>
        <w:widowControl w:val="0"/>
        <w:spacing w:after="0"/>
        <w:rPr>
          <w:rFonts w:eastAsia="Times New Roman" w:cs="Times New Roman"/>
          <w:szCs w:val="24"/>
        </w:rPr>
      </w:pPr>
      <w:r w:rsidRPr="00275861">
        <w:rPr>
          <w:rFonts w:eastAsia="Times New Roman" w:cs="Times New Roman"/>
          <w:szCs w:val="24"/>
        </w:rPr>
        <w:t>FMVSS No. 208 was ultimately amended to only require that the driver’s seating position be equipped with a SB</w:t>
      </w:r>
      <w:r>
        <w:rPr>
          <w:rFonts w:eastAsia="Times New Roman" w:cs="Times New Roman"/>
          <w:szCs w:val="24"/>
        </w:rPr>
        <w:t>W</w:t>
      </w:r>
      <w:r w:rsidRPr="00275861">
        <w:rPr>
          <w:rFonts w:eastAsia="Times New Roman" w:cs="Times New Roman"/>
          <w:szCs w:val="24"/>
        </w:rPr>
        <w:t xml:space="preserve">S that activates, under circumstances when the driver’s seat belt is not buckled, a continuous or intermittent audible signal for a period of not less than </w:t>
      </w:r>
      <w:r w:rsidR="00D514E0">
        <w:rPr>
          <w:rFonts w:eastAsia="Times New Roman" w:cs="Times New Roman"/>
          <w:szCs w:val="24"/>
        </w:rPr>
        <w:t>four</w:t>
      </w:r>
      <w:r w:rsidRPr="00275861">
        <w:rPr>
          <w:rFonts w:eastAsia="Times New Roman" w:cs="Times New Roman"/>
          <w:szCs w:val="24"/>
        </w:rPr>
        <w:t xml:space="preserve"> seconds and not more than </w:t>
      </w:r>
      <w:r w:rsidR="00D514E0">
        <w:rPr>
          <w:rFonts w:eastAsia="Times New Roman" w:cs="Times New Roman"/>
          <w:szCs w:val="24"/>
        </w:rPr>
        <w:t>eight</w:t>
      </w:r>
      <w:r w:rsidRPr="00275861">
        <w:rPr>
          <w:rFonts w:eastAsia="Times New Roman" w:cs="Times New Roman"/>
          <w:szCs w:val="24"/>
        </w:rPr>
        <w:t xml:space="preserve"> seconds</w:t>
      </w:r>
      <w:r w:rsidR="001F2F92">
        <w:rPr>
          <w:rFonts w:eastAsia="Times New Roman" w:cs="Times New Roman"/>
          <w:szCs w:val="24"/>
        </w:rPr>
        <w:t xml:space="preserve">. </w:t>
      </w:r>
      <w:r w:rsidRPr="00275861">
        <w:rPr>
          <w:rFonts w:eastAsia="Times New Roman" w:cs="Times New Roman"/>
          <w:szCs w:val="24"/>
        </w:rPr>
        <w:t xml:space="preserve">It must also have, depending on which option of </w:t>
      </w:r>
      <w:r>
        <w:rPr>
          <w:rFonts w:eastAsia="Times New Roman" w:cs="Times New Roman"/>
          <w:szCs w:val="24"/>
        </w:rPr>
        <w:t xml:space="preserve">FMVSS No. 208, </w:t>
      </w:r>
      <w:r w:rsidRPr="00275861">
        <w:rPr>
          <w:rFonts w:eastAsia="Times New Roman" w:cs="Times New Roman"/>
          <w:szCs w:val="24"/>
        </w:rPr>
        <w:t xml:space="preserve">S7.3 the manufacturer chooses to comply with, a warning light for not less than 60 seconds after </w:t>
      </w:r>
      <w:r w:rsidRPr="00275861">
        <w:rPr>
          <w:rFonts w:eastAsia="Times New Roman" w:cs="Times New Roman"/>
          <w:szCs w:val="24"/>
        </w:rPr>
        <w:lastRenderedPageBreak/>
        <w:t xml:space="preserve">the ignition switch is turned on or not less than </w:t>
      </w:r>
      <w:r w:rsidR="008D73EE">
        <w:rPr>
          <w:rFonts w:eastAsia="Times New Roman" w:cs="Times New Roman"/>
          <w:szCs w:val="24"/>
        </w:rPr>
        <w:t>four</w:t>
      </w:r>
      <w:r w:rsidRPr="00275861">
        <w:rPr>
          <w:rFonts w:eastAsia="Times New Roman" w:cs="Times New Roman"/>
          <w:szCs w:val="24"/>
        </w:rPr>
        <w:t xml:space="preserve"> seconds and not more than </w:t>
      </w:r>
      <w:r w:rsidR="008D73EE">
        <w:rPr>
          <w:rFonts w:eastAsia="Times New Roman" w:cs="Times New Roman"/>
          <w:szCs w:val="24"/>
        </w:rPr>
        <w:t>eight</w:t>
      </w:r>
      <w:r w:rsidRPr="00275861">
        <w:rPr>
          <w:rFonts w:eastAsia="Times New Roman" w:cs="Times New Roman"/>
          <w:szCs w:val="24"/>
        </w:rPr>
        <w:t xml:space="preserve"> seconds after the ignition switch is turned on (39 FR 42692)</w:t>
      </w:r>
      <w:r w:rsidR="001F2F92">
        <w:rPr>
          <w:rFonts w:eastAsia="Times New Roman" w:cs="Times New Roman"/>
          <w:szCs w:val="24"/>
        </w:rPr>
        <w:t xml:space="preserve">. </w:t>
      </w:r>
    </w:p>
    <w:p w14:paraId="4DA9C8AC" w14:textId="77777777" w:rsidR="00C34EF4" w:rsidRPr="0080267B" w:rsidRDefault="000F5B51" w:rsidP="0093458D">
      <w:pPr>
        <w:widowControl w:val="0"/>
        <w:spacing w:after="0"/>
        <w:rPr>
          <w:rFonts w:eastAsia="Times New Roman" w:cs="Times New Roman"/>
          <w:szCs w:val="24"/>
        </w:rPr>
      </w:pPr>
      <w:r>
        <w:rPr>
          <w:rFonts w:eastAsia="Times New Roman" w:cs="Times New Roman"/>
          <w:szCs w:val="24"/>
        </w:rPr>
        <w:t>T</w:t>
      </w:r>
      <w:r w:rsidRPr="0080267B">
        <w:rPr>
          <w:rFonts w:eastAsia="Times New Roman" w:cs="Times New Roman"/>
          <w:szCs w:val="24"/>
        </w:rPr>
        <w:t>he Moving Ahead for Progress in the 21st Century Act</w:t>
      </w:r>
      <w:r>
        <w:rPr>
          <w:rFonts w:eastAsia="Times New Roman" w:cs="Times New Roman"/>
          <w:szCs w:val="24"/>
        </w:rPr>
        <w:t>, P.L. 112-141</w:t>
      </w:r>
      <w:r w:rsidRPr="0080267B">
        <w:rPr>
          <w:rFonts w:eastAsia="Times New Roman" w:cs="Times New Roman"/>
          <w:szCs w:val="24"/>
        </w:rPr>
        <w:t xml:space="preserve"> (</w:t>
      </w:r>
      <w:r w:rsidRPr="00275861">
        <w:rPr>
          <w:rFonts w:eastAsia="Times New Roman" w:cs="Times New Roman"/>
          <w:szCs w:val="24"/>
        </w:rPr>
        <w:t xml:space="preserve">MAP-21), </w:t>
      </w:r>
      <w:r>
        <w:rPr>
          <w:rFonts w:eastAsia="Times New Roman" w:cs="Times New Roman"/>
          <w:szCs w:val="24"/>
        </w:rPr>
        <w:t>was signed into law on July 6, 2012</w:t>
      </w:r>
      <w:r w:rsidR="001F2F92">
        <w:rPr>
          <w:rFonts w:eastAsia="Times New Roman" w:cs="Times New Roman"/>
          <w:szCs w:val="24"/>
        </w:rPr>
        <w:t xml:space="preserve">. </w:t>
      </w:r>
      <w:r w:rsidRPr="00275861">
        <w:rPr>
          <w:rFonts w:eastAsia="Times New Roman" w:cs="Times New Roman"/>
          <w:szCs w:val="24"/>
        </w:rPr>
        <w:t>MAP-21</w:t>
      </w:r>
      <w:r>
        <w:rPr>
          <w:rFonts w:eastAsia="Times New Roman" w:cs="Times New Roman"/>
          <w:szCs w:val="24"/>
        </w:rPr>
        <w:t xml:space="preserve"> </w:t>
      </w:r>
      <w:r w:rsidRPr="00275861">
        <w:rPr>
          <w:rFonts w:eastAsia="Times New Roman" w:cs="Times New Roman"/>
          <w:szCs w:val="24"/>
        </w:rPr>
        <w:t>§31202 modified 49 U.S.C. § 30124, Nonuse of safety belts, by removing the limit on the duration of the audible signal as well as lifting the restriction from permitting the use of ignition interlocks as a compliance option</w:t>
      </w:r>
      <w:r w:rsidR="001F2F92">
        <w:rPr>
          <w:rFonts w:eastAsia="Times New Roman" w:cs="Times New Roman"/>
          <w:szCs w:val="24"/>
        </w:rPr>
        <w:t xml:space="preserve">. </w:t>
      </w:r>
      <w:r w:rsidRPr="00275861">
        <w:rPr>
          <w:rFonts w:eastAsia="Times New Roman" w:cs="Times New Roman"/>
          <w:szCs w:val="24"/>
        </w:rPr>
        <w:t>In addition, §31503 of the law also requires</w:t>
      </w:r>
      <w:r w:rsidRPr="0080267B">
        <w:rPr>
          <w:rFonts w:eastAsia="Times New Roman" w:cs="Times New Roman"/>
          <w:szCs w:val="24"/>
        </w:rPr>
        <w:t xml:space="preserve"> the agency to initiate a rulemaking proceeding for rear SB</w:t>
      </w:r>
      <w:r>
        <w:rPr>
          <w:rFonts w:eastAsia="Times New Roman" w:cs="Times New Roman"/>
          <w:szCs w:val="24"/>
        </w:rPr>
        <w:t>W</w:t>
      </w:r>
      <w:r w:rsidRPr="0080267B">
        <w:rPr>
          <w:rFonts w:eastAsia="Times New Roman" w:cs="Times New Roman"/>
          <w:szCs w:val="24"/>
        </w:rPr>
        <w:t xml:space="preserve">Ss within two years from the Act’s date of enactment and to issue a final rule or </w:t>
      </w:r>
      <w:r>
        <w:rPr>
          <w:rFonts w:eastAsia="Times New Roman" w:cs="Times New Roman"/>
          <w:szCs w:val="24"/>
        </w:rPr>
        <w:t xml:space="preserve">to </w:t>
      </w:r>
      <w:r w:rsidRPr="0080267B">
        <w:rPr>
          <w:rFonts w:eastAsia="Times New Roman" w:cs="Times New Roman"/>
          <w:szCs w:val="24"/>
        </w:rPr>
        <w:t xml:space="preserve">submit a report if </w:t>
      </w:r>
      <w:r>
        <w:rPr>
          <w:rFonts w:eastAsia="Times New Roman" w:cs="Times New Roman"/>
          <w:szCs w:val="24"/>
        </w:rPr>
        <w:t xml:space="preserve">the rule would not meet the statutory requirements that a </w:t>
      </w:r>
      <w:r w:rsidR="00F51FB5">
        <w:rPr>
          <w:rFonts w:eastAsia="Times New Roman" w:cs="Times New Roman"/>
          <w:szCs w:val="24"/>
        </w:rPr>
        <w:t>f</w:t>
      </w:r>
      <w:r>
        <w:rPr>
          <w:rFonts w:eastAsia="Times New Roman" w:cs="Times New Roman"/>
          <w:szCs w:val="24"/>
        </w:rPr>
        <w:t>ederal motor vehicle safety standard must satisfy,</w:t>
      </w:r>
      <w:r>
        <w:rPr>
          <w:rStyle w:val="FootnoteReference"/>
          <w:rFonts w:eastAsia="Times New Roman" w:cs="Times New Roman"/>
          <w:szCs w:val="24"/>
        </w:rPr>
        <w:footnoteReference w:id="12"/>
      </w:r>
      <w:r>
        <w:rPr>
          <w:rFonts w:eastAsia="Times New Roman" w:cs="Times New Roman"/>
          <w:szCs w:val="24"/>
        </w:rPr>
        <w:t xml:space="preserve"> </w:t>
      </w:r>
      <w:r w:rsidRPr="0080267B">
        <w:rPr>
          <w:rFonts w:eastAsia="Times New Roman" w:cs="Times New Roman"/>
          <w:szCs w:val="24"/>
        </w:rPr>
        <w:t>within three years from the Act’s date of enactment</w:t>
      </w:r>
      <w:r w:rsidR="001F2F92">
        <w:rPr>
          <w:rFonts w:eastAsia="Times New Roman" w:cs="Times New Roman"/>
          <w:szCs w:val="24"/>
        </w:rPr>
        <w:t xml:space="preserve">. </w:t>
      </w:r>
    </w:p>
    <w:p w14:paraId="05843C57" w14:textId="77777777" w:rsidR="00C34EF4" w:rsidRDefault="000F5B51" w:rsidP="0093458D">
      <w:pPr>
        <w:pStyle w:val="Heading2"/>
        <w:keepNext w:val="0"/>
        <w:keepLines w:val="0"/>
        <w:widowControl w:val="0"/>
        <w:spacing w:line="240" w:lineRule="auto"/>
      </w:pPr>
      <w:bookmarkStart w:id="50" w:name="_Toc126588009"/>
      <w:bookmarkStart w:id="51" w:name="_Toc126909503"/>
      <w:bookmarkStart w:id="52" w:name="_Toc127263244"/>
      <w:bookmarkStart w:id="53" w:name="_Ref127276578"/>
      <w:bookmarkStart w:id="54" w:name="_Toc142902964"/>
      <w:bookmarkEnd w:id="50"/>
      <w:bookmarkEnd w:id="51"/>
      <w:bookmarkEnd w:id="52"/>
      <w:r>
        <w:t>NHTSA Research and other Agency Efforts</w:t>
      </w:r>
      <w:bookmarkEnd w:id="53"/>
      <w:bookmarkEnd w:id="54"/>
    </w:p>
    <w:p w14:paraId="3D0B7E84" w14:textId="77777777" w:rsidR="00632E89" w:rsidRPr="0080267B" w:rsidRDefault="000F5B51" w:rsidP="0093458D">
      <w:pPr>
        <w:widowControl w:val="0"/>
        <w:spacing w:after="0"/>
        <w:rPr>
          <w:rFonts w:eastAsia="Times New Roman" w:cs="Times New Roman"/>
          <w:szCs w:val="24"/>
        </w:rPr>
      </w:pPr>
      <w:r>
        <w:rPr>
          <w:rFonts w:eastAsia="Times New Roman" w:cs="Times New Roman"/>
          <w:szCs w:val="24"/>
        </w:rPr>
        <w:t xml:space="preserve">NHTSA has sponsored research to quantify how effective </w:t>
      </w:r>
      <w:r w:rsidR="00923711">
        <w:rPr>
          <w:rFonts w:eastAsia="Times New Roman" w:cs="Times New Roman"/>
          <w:szCs w:val="24"/>
        </w:rPr>
        <w:t>SBWS</w:t>
      </w:r>
      <w:r>
        <w:rPr>
          <w:rFonts w:eastAsia="Times New Roman" w:cs="Times New Roman"/>
          <w:szCs w:val="24"/>
        </w:rPr>
        <w:t xml:space="preserve"> are at getting occupants to use seat belts</w:t>
      </w:r>
      <w:r w:rsidR="001F2F92">
        <w:rPr>
          <w:rFonts w:eastAsia="Times New Roman" w:cs="Times New Roman"/>
          <w:szCs w:val="24"/>
        </w:rPr>
        <w:t xml:space="preserve">. </w:t>
      </w:r>
      <w:r>
        <w:rPr>
          <w:rFonts w:eastAsia="Times New Roman" w:cs="Times New Roman"/>
          <w:szCs w:val="24"/>
        </w:rPr>
        <w:t>In 1976, the agency studied the effectiveness of seat belt warnings</w:t>
      </w:r>
      <w:r w:rsidR="001F2F92">
        <w:rPr>
          <w:rFonts w:eastAsia="Times New Roman" w:cs="Times New Roman"/>
          <w:szCs w:val="24"/>
        </w:rPr>
        <w:t xml:space="preserve">. </w:t>
      </w:r>
      <w:r>
        <w:rPr>
          <w:rFonts w:eastAsia="Times New Roman" w:cs="Times New Roman"/>
          <w:szCs w:val="24"/>
        </w:rPr>
        <w:t>T</w:t>
      </w:r>
      <w:r w:rsidRPr="0080267B">
        <w:rPr>
          <w:rFonts w:eastAsia="Times New Roman" w:cs="Times New Roman"/>
          <w:szCs w:val="24"/>
        </w:rPr>
        <w:t xml:space="preserve">he authors concluded that the </w:t>
      </w:r>
      <w:r w:rsidR="008458E7">
        <w:rPr>
          <w:rFonts w:eastAsia="Times New Roman" w:cs="Times New Roman"/>
          <w:szCs w:val="24"/>
        </w:rPr>
        <w:t>eight</w:t>
      </w:r>
      <w:r w:rsidRPr="0080267B">
        <w:rPr>
          <w:rFonts w:eastAsia="Times New Roman" w:cs="Times New Roman"/>
          <w:szCs w:val="24"/>
        </w:rPr>
        <w:t xml:space="preserve">-second </w:t>
      </w:r>
      <w:r>
        <w:rPr>
          <w:rFonts w:eastAsia="Times New Roman" w:cs="Times New Roman"/>
          <w:szCs w:val="24"/>
        </w:rPr>
        <w:t>warning</w:t>
      </w:r>
      <w:r w:rsidRPr="0080267B">
        <w:rPr>
          <w:rFonts w:eastAsia="Times New Roman" w:cs="Times New Roman"/>
          <w:szCs w:val="24"/>
        </w:rPr>
        <w:t xml:space="preserve"> system required by FMVSS No. 208 was not effective in increasing seat belt use.</w:t>
      </w:r>
      <w:r>
        <w:rPr>
          <w:rFonts w:eastAsia="Times New Roman" w:cs="Times New Roman"/>
          <w:szCs w:val="24"/>
          <w:vertAlign w:val="superscript"/>
        </w:rPr>
        <w:footnoteReference w:id="13"/>
      </w:r>
    </w:p>
    <w:p w14:paraId="7D016E88" w14:textId="5C7C7488" w:rsidR="00632E89" w:rsidRDefault="000F5B51" w:rsidP="0093458D">
      <w:pPr>
        <w:widowControl w:val="0"/>
        <w:spacing w:after="0"/>
        <w:rPr>
          <w:rFonts w:eastAsia="Times New Roman" w:cs="Times New Roman"/>
        </w:rPr>
      </w:pPr>
      <w:r w:rsidRPr="4CA445B8">
        <w:rPr>
          <w:rFonts w:eastAsia="Times New Roman" w:cs="Times New Roman"/>
        </w:rPr>
        <w:t>Since then, NHTSA has sponsored a series of studies on the effectiveness of seat belt warnings.</w:t>
      </w:r>
      <w:r>
        <w:rPr>
          <w:rFonts w:eastAsia="Times New Roman" w:cs="Times New Roman"/>
          <w:vertAlign w:val="superscript"/>
        </w:rPr>
        <w:footnoteReference w:id="14"/>
      </w:r>
      <w:r w:rsidRPr="4CA445B8">
        <w:rPr>
          <w:rFonts w:eastAsia="Times New Roman" w:cs="Times New Roman"/>
        </w:rPr>
        <w:t xml:space="preserve">  </w:t>
      </w:r>
      <w:r w:rsidRPr="4CA445B8">
        <w:rPr>
          <w:rFonts w:eastAsia="Times New Roman" w:cs="Times New Roman"/>
        </w:rPr>
        <w:lastRenderedPageBreak/>
        <w:t>The first phase of study consisted of an observational study</w:t>
      </w:r>
      <w:r w:rsidR="00656523">
        <w:rPr>
          <w:rFonts w:eastAsia="Times New Roman" w:cs="Times New Roman"/>
        </w:rPr>
        <w:t xml:space="preserve"> pub</w:t>
      </w:r>
      <w:r w:rsidR="00927398">
        <w:rPr>
          <w:rFonts w:eastAsia="Times New Roman" w:cs="Times New Roman"/>
        </w:rPr>
        <w:t>lished in 2007. This observational study</w:t>
      </w:r>
      <w:r w:rsidRPr="4CA445B8">
        <w:rPr>
          <w:rFonts w:eastAsia="Times New Roman" w:cs="Times New Roman"/>
        </w:rPr>
        <w:t xml:space="preserve"> of actual vehicles in the field in which the front seat belt use rates in vehicles with an enhanced SBWS were compared to rates in comparable vehicles with only basic SBWS.</w:t>
      </w:r>
      <w:r>
        <w:rPr>
          <w:rStyle w:val="FootnoteReference"/>
          <w:rFonts w:eastAsia="Times New Roman" w:cs="Times New Roman"/>
        </w:rPr>
        <w:footnoteReference w:id="15"/>
      </w:r>
      <w:r w:rsidRPr="4CA445B8">
        <w:rPr>
          <w:rFonts w:eastAsia="Times New Roman" w:cs="Times New Roman"/>
        </w:rPr>
        <w:t xml:space="preserve">  The study looked at 20 different enhanced SBWSs as well as baseline systems that had only a driver’s seat belt warning that did not exceed the FMVSS No. 208 requirements</w:t>
      </w:r>
      <w:r w:rsidR="001F2F92">
        <w:rPr>
          <w:rFonts w:eastAsia="Times New Roman" w:cs="Times New Roman"/>
        </w:rPr>
        <w:t xml:space="preserve">. </w:t>
      </w:r>
      <w:r w:rsidRPr="4CA445B8">
        <w:rPr>
          <w:rFonts w:eastAsia="Times New Roman" w:cs="Times New Roman"/>
        </w:rPr>
        <w:t>Nine of the 20 enhanced SBWSs were driver-only systems</w:t>
      </w:r>
      <w:r w:rsidR="001F2F92">
        <w:rPr>
          <w:rFonts w:eastAsia="Times New Roman" w:cs="Times New Roman"/>
        </w:rPr>
        <w:t xml:space="preserve">. </w:t>
      </w:r>
      <w:r w:rsidRPr="4CA445B8">
        <w:rPr>
          <w:rFonts w:eastAsia="Times New Roman" w:cs="Times New Roman"/>
        </w:rPr>
        <w:t>The enhanced systems studied had a variety of enhanced features</w:t>
      </w:r>
      <w:r w:rsidR="008C418E" w:rsidRPr="4CA445B8">
        <w:rPr>
          <w:rFonts w:eastAsia="Times New Roman" w:cs="Times New Roman"/>
        </w:rPr>
        <w:t xml:space="preserve">. Some of those </w:t>
      </w:r>
      <w:r w:rsidR="00B945DC" w:rsidRPr="4CA445B8">
        <w:rPr>
          <w:rFonts w:eastAsia="Times New Roman" w:cs="Times New Roman"/>
        </w:rPr>
        <w:t>enhanced features</w:t>
      </w:r>
      <w:r w:rsidRPr="4CA445B8">
        <w:rPr>
          <w:rFonts w:eastAsia="Times New Roman" w:cs="Times New Roman"/>
        </w:rPr>
        <w:t xml:space="preserve"> were related to visual feedback, </w:t>
      </w:r>
      <w:r w:rsidR="00B945DC" w:rsidRPr="4CA445B8">
        <w:rPr>
          <w:rFonts w:eastAsia="Times New Roman" w:cs="Times New Roman"/>
        </w:rPr>
        <w:t xml:space="preserve">such as </w:t>
      </w:r>
      <w:r w:rsidRPr="4CA445B8">
        <w:rPr>
          <w:rFonts w:eastAsia="Times New Roman" w:cs="Times New Roman"/>
        </w:rPr>
        <w:t>icons and/or text, and others were related to auditory feedback</w:t>
      </w:r>
      <w:r w:rsidR="001F2F92">
        <w:rPr>
          <w:rFonts w:eastAsia="Times New Roman" w:cs="Times New Roman"/>
        </w:rPr>
        <w:t xml:space="preserve">. </w:t>
      </w:r>
      <w:r w:rsidRPr="4CA445B8">
        <w:rPr>
          <w:rFonts w:eastAsia="Times New Roman" w:cs="Times New Roman"/>
        </w:rPr>
        <w:t>Similar systems were combined into groups when determining effectiveness due to sample size limitations</w:t>
      </w:r>
      <w:r w:rsidR="001F2F92">
        <w:rPr>
          <w:rFonts w:eastAsia="Times New Roman" w:cs="Times New Roman"/>
        </w:rPr>
        <w:t xml:space="preserve">. </w:t>
      </w:r>
      <w:bookmarkStart w:id="55" w:name="_Hlk528217053"/>
      <w:r w:rsidRPr="4CA445B8">
        <w:rPr>
          <w:rFonts w:eastAsia="Times New Roman" w:cs="Times New Roman"/>
        </w:rPr>
        <w:t xml:space="preserve">Combining all the effectiveness estimates for all the enhanced SBWSs studied, it was estimated that these systems were associated with </w:t>
      </w:r>
      <w:bookmarkStart w:id="56" w:name="_Hlk528216710"/>
      <w:r w:rsidRPr="4CA445B8">
        <w:rPr>
          <w:rFonts w:eastAsia="Times New Roman" w:cs="Times New Roman"/>
        </w:rPr>
        <w:t xml:space="preserve">increased front seat belt usage of about </w:t>
      </w:r>
      <w:r w:rsidR="00264DA4" w:rsidRPr="4CA445B8">
        <w:rPr>
          <w:rFonts w:eastAsia="Times New Roman" w:cs="Times New Roman"/>
        </w:rPr>
        <w:t xml:space="preserve">three </w:t>
      </w:r>
      <w:r w:rsidR="00B81088" w:rsidRPr="4CA445B8">
        <w:rPr>
          <w:rFonts w:eastAsia="Times New Roman" w:cs="Times New Roman"/>
        </w:rPr>
        <w:t xml:space="preserve">to </w:t>
      </w:r>
      <w:r w:rsidR="00264DA4" w:rsidRPr="4CA445B8">
        <w:rPr>
          <w:rFonts w:eastAsia="Times New Roman" w:cs="Times New Roman"/>
        </w:rPr>
        <w:t xml:space="preserve">four </w:t>
      </w:r>
      <w:r w:rsidRPr="4CA445B8">
        <w:rPr>
          <w:rFonts w:eastAsia="Times New Roman" w:cs="Times New Roman"/>
        </w:rPr>
        <w:t xml:space="preserve">percentage points </w:t>
      </w:r>
      <w:bookmarkEnd w:id="56"/>
      <w:r w:rsidRPr="4CA445B8">
        <w:rPr>
          <w:rFonts w:eastAsia="Times New Roman" w:cs="Times New Roman"/>
        </w:rPr>
        <w:t>above front seat belt usage rates for vehicles without enhanced SBWSs.</w:t>
      </w:r>
      <w:r>
        <w:rPr>
          <w:rFonts w:eastAsia="Times New Roman" w:cs="Times New Roman"/>
          <w:vertAlign w:val="superscript"/>
        </w:rPr>
        <w:footnoteReference w:id="16"/>
      </w:r>
      <w:r w:rsidRPr="4CA445B8">
        <w:rPr>
          <w:rFonts w:eastAsia="Times New Roman" w:cs="Times New Roman"/>
        </w:rPr>
        <w:t xml:space="preserve">  In other words, when we compared enhanced SBWSs to basic SBWSs, we found enhanced SBWSs increased front seat belt usage by </w:t>
      </w:r>
      <w:r w:rsidR="00B81088" w:rsidRPr="4CA445B8">
        <w:rPr>
          <w:rFonts w:eastAsia="Times New Roman" w:cs="Times New Roman"/>
        </w:rPr>
        <w:t>three</w:t>
      </w:r>
      <w:r w:rsidRPr="4CA445B8">
        <w:rPr>
          <w:rFonts w:eastAsia="Times New Roman" w:cs="Times New Roman"/>
        </w:rPr>
        <w:t xml:space="preserve"> </w:t>
      </w:r>
      <w:r w:rsidR="7EA310A2" w:rsidRPr="4CA445B8">
        <w:rPr>
          <w:rFonts w:eastAsia="Times New Roman" w:cs="Times New Roman"/>
        </w:rPr>
        <w:t xml:space="preserve">to </w:t>
      </w:r>
      <w:r w:rsidR="4D69EB24" w:rsidRPr="4CA445B8">
        <w:rPr>
          <w:rFonts w:eastAsia="Times New Roman" w:cs="Times New Roman"/>
        </w:rPr>
        <w:t xml:space="preserve">four </w:t>
      </w:r>
      <w:r w:rsidRPr="4CA445B8">
        <w:rPr>
          <w:rFonts w:eastAsia="Times New Roman" w:cs="Times New Roman"/>
        </w:rPr>
        <w:t>percentage points</w:t>
      </w:r>
      <w:r w:rsidR="001F2F92">
        <w:rPr>
          <w:rFonts w:eastAsia="Times New Roman" w:cs="Times New Roman"/>
        </w:rPr>
        <w:t xml:space="preserve">. </w:t>
      </w:r>
      <w:bookmarkEnd w:id="55"/>
      <w:r w:rsidRPr="4CA445B8">
        <w:rPr>
          <w:rFonts w:eastAsia="Times New Roman" w:cs="Times New Roman"/>
        </w:rPr>
        <w:t>The systems that achieved the highest percent seat belt usage increases were systems with an enhanced sound and text or icon displays</w:t>
      </w:r>
      <w:r w:rsidR="001F2F92">
        <w:rPr>
          <w:rFonts w:eastAsia="Times New Roman" w:cs="Times New Roman"/>
        </w:rPr>
        <w:t xml:space="preserve">. </w:t>
      </w:r>
    </w:p>
    <w:p w14:paraId="3AFA5CC7" w14:textId="57F90C5E" w:rsidR="00632E89" w:rsidRPr="000C24BA" w:rsidRDefault="000F5B51" w:rsidP="0093458D">
      <w:pPr>
        <w:widowControl w:val="0"/>
        <w:spacing w:after="0"/>
        <w:rPr>
          <w:rFonts w:eastAsia="Times New Roman" w:cs="Times New Roman"/>
          <w:szCs w:val="24"/>
        </w:rPr>
      </w:pPr>
      <w:r w:rsidRPr="00204EF9">
        <w:rPr>
          <w:rFonts w:eastAsia="Times New Roman" w:cs="Times New Roman"/>
          <w:szCs w:val="24"/>
        </w:rPr>
        <w:t xml:space="preserve">The second phase examined which enhanced </w:t>
      </w:r>
      <w:r>
        <w:rPr>
          <w:rFonts w:eastAsia="Times New Roman" w:cs="Times New Roman"/>
          <w:szCs w:val="24"/>
        </w:rPr>
        <w:t>SBWS</w:t>
      </w:r>
      <w:r w:rsidRPr="00204EF9">
        <w:rPr>
          <w:rFonts w:eastAsia="Times New Roman" w:cs="Times New Roman"/>
          <w:szCs w:val="24"/>
        </w:rPr>
        <w:t xml:space="preserve"> characteristics (e.g., visual, auditory, etc.) most influenced effectiveness and acceptance for drivers</w:t>
      </w:r>
      <w:r w:rsidR="001F2F92">
        <w:rPr>
          <w:rFonts w:eastAsia="Times New Roman" w:cs="Times New Roman"/>
          <w:szCs w:val="24"/>
        </w:rPr>
        <w:t xml:space="preserve">. </w:t>
      </w:r>
      <w:r w:rsidRPr="00204EF9">
        <w:rPr>
          <w:rFonts w:eastAsia="Times New Roman" w:cs="Times New Roman"/>
          <w:szCs w:val="24"/>
        </w:rPr>
        <w:t xml:space="preserve">Not surprisingly, this phase found all enhanced </w:t>
      </w:r>
      <w:r>
        <w:rPr>
          <w:rFonts w:eastAsia="Times New Roman" w:cs="Times New Roman"/>
          <w:szCs w:val="24"/>
        </w:rPr>
        <w:t>SBWS</w:t>
      </w:r>
      <w:r w:rsidRPr="00204EF9">
        <w:rPr>
          <w:rFonts w:eastAsia="Times New Roman" w:cs="Times New Roman"/>
          <w:szCs w:val="24"/>
        </w:rPr>
        <w:t xml:space="preserve">s were perceived to be more effective in encouraging seat belt use than the </w:t>
      </w:r>
      <w:r w:rsidRPr="00204EF9">
        <w:rPr>
          <w:rFonts w:eastAsia="Times New Roman" w:cs="Times New Roman"/>
          <w:szCs w:val="24"/>
        </w:rPr>
        <w:lastRenderedPageBreak/>
        <w:t>driver seat belt warning system required by FMVSS No. 208</w:t>
      </w:r>
      <w:r w:rsidR="008C7CAF">
        <w:rPr>
          <w:rFonts w:eastAsia="Times New Roman" w:cs="Times New Roman"/>
          <w:szCs w:val="24"/>
        </w:rPr>
        <w:t>. Furthermore, this phase also found that</w:t>
      </w:r>
      <w:r w:rsidRPr="00204EF9">
        <w:rPr>
          <w:rFonts w:eastAsia="Times New Roman" w:cs="Times New Roman"/>
          <w:szCs w:val="24"/>
        </w:rPr>
        <w:t xml:space="preserve"> there is a strong positive correlation among subjective effectiveness and annoyance</w:t>
      </w:r>
      <w:r w:rsidR="001F2F92">
        <w:rPr>
          <w:rFonts w:eastAsia="Times New Roman" w:cs="Times New Roman"/>
          <w:szCs w:val="24"/>
        </w:rPr>
        <w:t xml:space="preserve">. </w:t>
      </w:r>
      <w:r w:rsidRPr="00204EF9">
        <w:rPr>
          <w:rFonts w:eastAsia="Times New Roman" w:cs="Times New Roman"/>
          <w:szCs w:val="24"/>
        </w:rPr>
        <w:t xml:space="preserve">Therefore, systems with longer complete durations, more aggressive </w:t>
      </w:r>
      <w:r>
        <w:rPr>
          <w:rFonts w:eastAsia="Times New Roman" w:cs="Times New Roman"/>
          <w:szCs w:val="24"/>
        </w:rPr>
        <w:t>warning</w:t>
      </w:r>
      <w:r w:rsidRPr="00204EF9">
        <w:rPr>
          <w:rFonts w:eastAsia="Times New Roman" w:cs="Times New Roman"/>
          <w:szCs w:val="24"/>
        </w:rPr>
        <w:t xml:space="preserve"> displays</w:t>
      </w:r>
      <w:r w:rsidR="004F52EB">
        <w:rPr>
          <w:rFonts w:eastAsia="Times New Roman" w:cs="Times New Roman"/>
          <w:szCs w:val="24"/>
        </w:rPr>
        <w:t>,</w:t>
      </w:r>
      <w:r w:rsidRPr="00204EF9">
        <w:rPr>
          <w:rFonts w:eastAsia="Times New Roman" w:cs="Times New Roman"/>
          <w:szCs w:val="24"/>
        </w:rPr>
        <w:t xml:space="preserve"> and more frequent repetition patterns were perceived to be </w:t>
      </w:r>
      <w:r w:rsidR="004F52EB">
        <w:rPr>
          <w:rFonts w:eastAsia="Times New Roman" w:cs="Times New Roman"/>
          <w:szCs w:val="24"/>
        </w:rPr>
        <w:t>more</w:t>
      </w:r>
      <w:r w:rsidR="004F52EB" w:rsidRPr="00204EF9">
        <w:rPr>
          <w:rFonts w:eastAsia="Times New Roman" w:cs="Times New Roman"/>
          <w:szCs w:val="24"/>
        </w:rPr>
        <w:t xml:space="preserve"> </w:t>
      </w:r>
      <w:r w:rsidRPr="00204EF9">
        <w:rPr>
          <w:rFonts w:eastAsia="Times New Roman" w:cs="Times New Roman"/>
          <w:szCs w:val="24"/>
        </w:rPr>
        <w:t>effective</w:t>
      </w:r>
      <w:r w:rsidR="004F52EB">
        <w:rPr>
          <w:rFonts w:eastAsia="Times New Roman" w:cs="Times New Roman"/>
          <w:szCs w:val="24"/>
        </w:rPr>
        <w:t xml:space="preserve"> relative to those </w:t>
      </w:r>
      <w:r w:rsidR="004F52EB" w:rsidRPr="00204EF9">
        <w:rPr>
          <w:rFonts w:eastAsia="Times New Roman" w:cs="Times New Roman"/>
          <w:szCs w:val="24"/>
        </w:rPr>
        <w:t>that only remain in effect for a limited number of cycles</w:t>
      </w:r>
      <w:r w:rsidR="004F52EB">
        <w:rPr>
          <w:rFonts w:eastAsia="Times New Roman" w:cs="Times New Roman"/>
          <w:szCs w:val="24"/>
        </w:rPr>
        <w:t>, less aggressive warning displays, and less frequency repletion patterns</w:t>
      </w:r>
      <w:r w:rsidR="001F2F92">
        <w:rPr>
          <w:rFonts w:eastAsia="Times New Roman" w:cs="Times New Roman"/>
          <w:szCs w:val="24"/>
        </w:rPr>
        <w:t xml:space="preserve">. </w:t>
      </w:r>
      <w:r w:rsidRPr="00204EF9">
        <w:rPr>
          <w:rFonts w:eastAsia="Times New Roman" w:cs="Times New Roman"/>
          <w:szCs w:val="24"/>
        </w:rPr>
        <w:t xml:space="preserve">However, </w:t>
      </w:r>
      <w:r>
        <w:rPr>
          <w:rFonts w:eastAsia="Times New Roman" w:cs="Times New Roman"/>
          <w:szCs w:val="24"/>
        </w:rPr>
        <w:t>in the second phase of the study</w:t>
      </w:r>
      <w:r w:rsidR="00F12095">
        <w:rPr>
          <w:rFonts w:eastAsia="Times New Roman" w:cs="Times New Roman"/>
          <w:szCs w:val="24"/>
        </w:rPr>
        <w:t>,</w:t>
      </w:r>
      <w:r w:rsidR="00EA4627">
        <w:rPr>
          <w:rFonts w:eastAsia="Times New Roman" w:cs="Times New Roman"/>
          <w:szCs w:val="24"/>
        </w:rPr>
        <w:t xml:space="preserve"> which was published in late 2007</w:t>
      </w:r>
      <w:r>
        <w:rPr>
          <w:rFonts w:eastAsia="Times New Roman" w:cs="Times New Roman"/>
          <w:szCs w:val="24"/>
        </w:rPr>
        <w:t xml:space="preserve">, </w:t>
      </w:r>
      <w:r w:rsidRPr="00204EF9">
        <w:rPr>
          <w:rFonts w:eastAsia="Times New Roman" w:cs="Times New Roman"/>
          <w:szCs w:val="24"/>
        </w:rPr>
        <w:t>no clear consensus existed regarding which systems or displays were most acceptable and the degree to which annoyance was an important attribute of an effective system.</w:t>
      </w:r>
      <w:r>
        <w:rPr>
          <w:rFonts w:eastAsia="Times New Roman" w:cs="Times New Roman"/>
          <w:szCs w:val="24"/>
          <w:vertAlign w:val="superscript"/>
        </w:rPr>
        <w:footnoteReference w:id="17"/>
      </w:r>
      <w:r w:rsidRPr="000C24BA">
        <w:rPr>
          <w:rFonts w:eastAsia="Times New Roman" w:cs="Times New Roman"/>
          <w:szCs w:val="24"/>
        </w:rPr>
        <w:t xml:space="preserve">  </w:t>
      </w:r>
    </w:p>
    <w:p w14:paraId="31C6246C" w14:textId="77777777" w:rsidR="00632E89" w:rsidRPr="0080267B" w:rsidRDefault="000F5B51" w:rsidP="0093458D">
      <w:pPr>
        <w:widowControl w:val="0"/>
        <w:spacing w:after="0"/>
        <w:rPr>
          <w:rFonts w:eastAsia="Times New Roman" w:cs="Times New Roman"/>
          <w:szCs w:val="24"/>
        </w:rPr>
      </w:pPr>
      <w:r w:rsidRPr="00204EF9">
        <w:rPr>
          <w:rFonts w:eastAsia="Times New Roman" w:cs="Times New Roman"/>
          <w:szCs w:val="24"/>
        </w:rPr>
        <w:t xml:space="preserve">The third phase of our research study further analyzed the results of the first and second phases, as well as focused on optimizing the effectiveness and acceptance of enhanced </w:t>
      </w:r>
      <w:r>
        <w:rPr>
          <w:rFonts w:eastAsia="Times New Roman" w:cs="Times New Roman"/>
          <w:szCs w:val="24"/>
        </w:rPr>
        <w:t>SBWS</w:t>
      </w:r>
      <w:r w:rsidRPr="00204EF9">
        <w:rPr>
          <w:rFonts w:eastAsia="Times New Roman" w:cs="Times New Roman"/>
          <w:szCs w:val="24"/>
        </w:rPr>
        <w:t>s</w:t>
      </w:r>
      <w:r w:rsidR="001F2F92">
        <w:rPr>
          <w:rFonts w:eastAsia="Times New Roman" w:cs="Times New Roman"/>
          <w:szCs w:val="24"/>
        </w:rPr>
        <w:t xml:space="preserve">. </w:t>
      </w:r>
      <w:r w:rsidRPr="00204EF9">
        <w:rPr>
          <w:rFonts w:eastAsia="Times New Roman" w:cs="Times New Roman"/>
          <w:szCs w:val="24"/>
        </w:rPr>
        <w:t xml:space="preserve">The study found that there is good agreement between the two studies on the association of a greater likelihood of seat belt use with enhanced </w:t>
      </w:r>
      <w:r>
        <w:rPr>
          <w:rFonts w:eastAsia="Times New Roman" w:cs="Times New Roman"/>
          <w:szCs w:val="24"/>
        </w:rPr>
        <w:t>SBWS</w:t>
      </w:r>
      <w:r w:rsidRPr="00204EF9">
        <w:rPr>
          <w:rFonts w:eastAsia="Times New Roman" w:cs="Times New Roman"/>
          <w:szCs w:val="24"/>
        </w:rPr>
        <w:t>s and the importance of including an auditory component to the system</w:t>
      </w:r>
      <w:r w:rsidR="001F2F92">
        <w:rPr>
          <w:rFonts w:eastAsia="Times New Roman" w:cs="Times New Roman"/>
          <w:szCs w:val="24"/>
        </w:rPr>
        <w:t xml:space="preserve">. </w:t>
      </w:r>
      <w:r w:rsidRPr="00204EF9">
        <w:rPr>
          <w:rFonts w:eastAsia="Times New Roman" w:cs="Times New Roman"/>
          <w:szCs w:val="24"/>
        </w:rPr>
        <w:t xml:space="preserve">Based on the findings of this phase, a set of recommended system characteristics were presented as part of the report, as well as a proposed NCAP rating system for enhanced </w:t>
      </w:r>
      <w:r>
        <w:rPr>
          <w:rFonts w:eastAsia="Times New Roman" w:cs="Times New Roman"/>
          <w:szCs w:val="24"/>
        </w:rPr>
        <w:t>SBWS</w:t>
      </w:r>
      <w:r w:rsidRPr="00204EF9">
        <w:rPr>
          <w:rFonts w:eastAsia="Times New Roman" w:cs="Times New Roman"/>
          <w:szCs w:val="24"/>
        </w:rPr>
        <w:t>s.</w:t>
      </w:r>
      <w:r>
        <w:rPr>
          <w:rFonts w:eastAsia="Times New Roman" w:cs="Times New Roman"/>
          <w:szCs w:val="24"/>
          <w:vertAlign w:val="superscript"/>
        </w:rPr>
        <w:footnoteReference w:id="18"/>
      </w:r>
      <w:r w:rsidRPr="0080267B">
        <w:rPr>
          <w:rFonts w:eastAsia="Times New Roman" w:cs="Times New Roman"/>
          <w:szCs w:val="24"/>
        </w:rPr>
        <w:t xml:space="preserve"> </w:t>
      </w:r>
    </w:p>
    <w:p w14:paraId="19700CD1" w14:textId="57913DF1" w:rsidR="00632E89" w:rsidRDefault="000F5B51" w:rsidP="0093458D">
      <w:pPr>
        <w:widowControl w:val="0"/>
        <w:spacing w:after="0"/>
        <w:rPr>
          <w:rFonts w:eastAsia="Times New Roman" w:cs="Times New Roman"/>
          <w:szCs w:val="24"/>
        </w:rPr>
      </w:pPr>
      <w:r w:rsidRPr="00204EF9">
        <w:rPr>
          <w:rFonts w:eastAsia="Times New Roman" w:cs="Times New Roman"/>
          <w:szCs w:val="24"/>
        </w:rPr>
        <w:t>The final phase</w:t>
      </w:r>
      <w:r w:rsidR="00F12095">
        <w:rPr>
          <w:rFonts w:eastAsia="Times New Roman" w:cs="Times New Roman"/>
          <w:szCs w:val="24"/>
        </w:rPr>
        <w:t>,</w:t>
      </w:r>
      <w:r w:rsidR="003D77DF">
        <w:rPr>
          <w:rFonts w:eastAsia="Times New Roman" w:cs="Times New Roman"/>
          <w:szCs w:val="24"/>
        </w:rPr>
        <w:t xml:space="preserve"> which was published in 2009</w:t>
      </w:r>
      <w:r w:rsidR="00F12095">
        <w:rPr>
          <w:rFonts w:eastAsia="Times New Roman" w:cs="Times New Roman"/>
          <w:szCs w:val="24"/>
        </w:rPr>
        <w:t>,</w:t>
      </w:r>
      <w:r w:rsidRPr="00204EF9">
        <w:rPr>
          <w:rFonts w:eastAsia="Times New Roman" w:cs="Times New Roman"/>
          <w:szCs w:val="24"/>
        </w:rPr>
        <w:t xml:space="preserve"> focused on evaluating the reactions of teenagers and their parents to enhanced </w:t>
      </w:r>
      <w:r>
        <w:rPr>
          <w:rFonts w:eastAsia="Times New Roman" w:cs="Times New Roman"/>
          <w:szCs w:val="24"/>
        </w:rPr>
        <w:t>SBWS</w:t>
      </w:r>
      <w:r w:rsidRPr="00204EF9">
        <w:rPr>
          <w:rFonts w:eastAsia="Times New Roman" w:cs="Times New Roman"/>
          <w:szCs w:val="24"/>
        </w:rPr>
        <w:t>s and developed a set of preliminary recommendations specifically oriented to teenage drivers and their passengers</w:t>
      </w:r>
      <w:r w:rsidR="001F2F92">
        <w:rPr>
          <w:rFonts w:eastAsia="Times New Roman" w:cs="Times New Roman"/>
          <w:szCs w:val="24"/>
        </w:rPr>
        <w:t xml:space="preserve">. </w:t>
      </w:r>
      <w:r w:rsidRPr="00204EF9">
        <w:rPr>
          <w:rFonts w:eastAsia="Times New Roman" w:cs="Times New Roman"/>
          <w:szCs w:val="24"/>
        </w:rPr>
        <w:t>Overall</w:t>
      </w:r>
      <w:r w:rsidR="00BD19BF">
        <w:rPr>
          <w:rFonts w:eastAsia="Times New Roman" w:cs="Times New Roman"/>
          <w:szCs w:val="24"/>
        </w:rPr>
        <w:t>, the</w:t>
      </w:r>
      <w:r w:rsidRPr="00204EF9">
        <w:rPr>
          <w:rFonts w:eastAsia="Times New Roman" w:cs="Times New Roman"/>
          <w:szCs w:val="24"/>
        </w:rPr>
        <w:t xml:space="preserve"> acceptability of the concept of an enhanced </w:t>
      </w:r>
      <w:r>
        <w:rPr>
          <w:rFonts w:eastAsia="Times New Roman" w:cs="Times New Roman"/>
          <w:szCs w:val="24"/>
        </w:rPr>
        <w:t>SBWS</w:t>
      </w:r>
      <w:r w:rsidRPr="00204EF9">
        <w:rPr>
          <w:rFonts w:eastAsia="Times New Roman" w:cs="Times New Roman"/>
          <w:szCs w:val="24"/>
        </w:rPr>
        <w:t xml:space="preserve"> was good for both teens and their parents.</w:t>
      </w:r>
      <w:r>
        <w:rPr>
          <w:rFonts w:eastAsia="Times New Roman" w:cs="Times New Roman"/>
          <w:szCs w:val="24"/>
          <w:vertAlign w:val="superscript"/>
        </w:rPr>
        <w:footnoteReference w:id="19"/>
      </w:r>
      <w:r w:rsidRPr="00204EF9">
        <w:rPr>
          <w:rFonts w:eastAsia="Times New Roman" w:cs="Times New Roman"/>
          <w:szCs w:val="24"/>
        </w:rPr>
        <w:t xml:space="preserve">  As expected, this study also found that effectiveness and annoyance were highly correlated and that visual </w:t>
      </w:r>
      <w:r w:rsidRPr="00204EF9">
        <w:rPr>
          <w:rFonts w:eastAsia="Times New Roman" w:cs="Times New Roman"/>
          <w:szCs w:val="24"/>
        </w:rPr>
        <w:lastRenderedPageBreak/>
        <w:t>warnings are less effective and less annoying than other modalities</w:t>
      </w:r>
      <w:r w:rsidR="001F2F92">
        <w:rPr>
          <w:rFonts w:eastAsia="Times New Roman" w:cs="Times New Roman"/>
          <w:szCs w:val="24"/>
        </w:rPr>
        <w:t xml:space="preserve">. </w:t>
      </w:r>
      <w:r w:rsidRPr="00204EF9">
        <w:rPr>
          <w:rFonts w:eastAsia="Times New Roman" w:cs="Times New Roman"/>
          <w:szCs w:val="24"/>
        </w:rPr>
        <w:t>However, no system or feature emerged as dramatically more effective than would be expected based on its annoyance</w:t>
      </w:r>
      <w:r w:rsidR="001F2F92">
        <w:rPr>
          <w:rFonts w:eastAsia="Times New Roman" w:cs="Times New Roman"/>
          <w:szCs w:val="24"/>
        </w:rPr>
        <w:t xml:space="preserve">. </w:t>
      </w:r>
      <w:r w:rsidRPr="00204EF9">
        <w:rPr>
          <w:rFonts w:eastAsia="Times New Roman" w:cs="Times New Roman"/>
          <w:szCs w:val="24"/>
        </w:rPr>
        <w:t>The study also found that systems or features that perform well for one occupant generally performed well for others because they performed similarly across different demographics (males, females, drivers, passengers, etc.).</w:t>
      </w:r>
      <w:r>
        <w:rPr>
          <w:rFonts w:eastAsia="Times New Roman" w:cs="Times New Roman"/>
          <w:szCs w:val="24"/>
          <w:vertAlign w:val="superscript"/>
        </w:rPr>
        <w:footnoteReference w:id="20"/>
      </w:r>
      <w:r w:rsidRPr="0080267B">
        <w:rPr>
          <w:rFonts w:eastAsia="Times New Roman" w:cs="Times New Roman"/>
          <w:szCs w:val="24"/>
        </w:rPr>
        <w:t xml:space="preserve"> </w:t>
      </w:r>
    </w:p>
    <w:p w14:paraId="7AA86FA2" w14:textId="77777777" w:rsidR="00632E89" w:rsidRPr="00632E89" w:rsidRDefault="000F5B51" w:rsidP="0093458D">
      <w:pPr>
        <w:widowControl w:val="0"/>
        <w:spacing w:after="0"/>
      </w:pPr>
      <w:r>
        <w:rPr>
          <w:rFonts w:eastAsia="Times New Roman" w:cs="Times New Roman"/>
          <w:szCs w:val="24"/>
        </w:rPr>
        <w:t xml:space="preserve">In addition to the research discussed above, </w:t>
      </w:r>
      <w:r w:rsidRPr="00BE6F43">
        <w:rPr>
          <w:rFonts w:eastAsia="Times New Roman" w:cs="Times New Roman"/>
          <w:szCs w:val="24"/>
        </w:rPr>
        <w:t xml:space="preserve">NHTSA conducted an </w:t>
      </w:r>
      <w:r>
        <w:rPr>
          <w:rFonts w:eastAsia="Times New Roman" w:cs="Times New Roman"/>
          <w:szCs w:val="24"/>
        </w:rPr>
        <w:t xml:space="preserve">internal </w:t>
      </w:r>
      <w:r w:rsidRPr="00BE6F43">
        <w:rPr>
          <w:rFonts w:eastAsia="Times New Roman" w:cs="Times New Roman"/>
          <w:szCs w:val="24"/>
        </w:rPr>
        <w:t>analysis of seat belt use data from the National Automotive Sampling System (NASS) Crashworthiness Data System (CDS)</w:t>
      </w:r>
      <w:r>
        <w:rPr>
          <w:rFonts w:eastAsia="Times New Roman" w:cs="Times New Roman"/>
          <w:szCs w:val="24"/>
        </w:rPr>
        <w:t>, 2000 – 2011 crash years,</w:t>
      </w:r>
      <w:r w:rsidRPr="00BE6F43">
        <w:rPr>
          <w:rFonts w:eastAsia="Times New Roman" w:cs="Times New Roman"/>
          <w:szCs w:val="24"/>
        </w:rPr>
        <w:t xml:space="preserve"> </w:t>
      </w:r>
      <w:r w:rsidRPr="00AF5A22">
        <w:rPr>
          <w:rFonts w:eastAsia="Times New Roman" w:cs="Times New Roman"/>
          <w:szCs w:val="24"/>
        </w:rPr>
        <w:t>for front outboard passenger seat occupants</w:t>
      </w:r>
      <w:r w:rsidRPr="00BE6F43">
        <w:rPr>
          <w:rFonts w:eastAsia="Times New Roman" w:cs="Times New Roman"/>
          <w:szCs w:val="24"/>
        </w:rPr>
        <w:t xml:space="preserve"> in MY 2006-2010 </w:t>
      </w:r>
      <w:r>
        <w:rPr>
          <w:rFonts w:eastAsia="Times New Roman" w:cs="Times New Roman"/>
          <w:szCs w:val="24"/>
        </w:rPr>
        <w:t>G</w:t>
      </w:r>
      <w:r w:rsidR="000E5671">
        <w:rPr>
          <w:rFonts w:eastAsia="Times New Roman" w:cs="Times New Roman"/>
          <w:szCs w:val="24"/>
        </w:rPr>
        <w:t xml:space="preserve">eneral </w:t>
      </w:r>
      <w:r>
        <w:rPr>
          <w:rFonts w:eastAsia="Times New Roman" w:cs="Times New Roman"/>
          <w:szCs w:val="24"/>
        </w:rPr>
        <w:t>M</w:t>
      </w:r>
      <w:r w:rsidR="000E5671">
        <w:rPr>
          <w:rFonts w:eastAsia="Times New Roman" w:cs="Times New Roman"/>
          <w:szCs w:val="24"/>
        </w:rPr>
        <w:t>otors (GM)</w:t>
      </w:r>
      <w:r>
        <w:rPr>
          <w:rFonts w:eastAsia="Times New Roman" w:cs="Times New Roman"/>
          <w:szCs w:val="24"/>
        </w:rPr>
        <w:t xml:space="preserve">, Ford and Chrysler </w:t>
      </w:r>
      <w:r w:rsidRPr="00BE6F43">
        <w:rPr>
          <w:rFonts w:eastAsia="Times New Roman" w:cs="Times New Roman"/>
          <w:szCs w:val="24"/>
        </w:rPr>
        <w:t>vehicles</w:t>
      </w:r>
      <w:r>
        <w:rPr>
          <w:rFonts w:eastAsia="Times New Roman" w:cs="Times New Roman"/>
          <w:szCs w:val="24"/>
        </w:rPr>
        <w:t>.</w:t>
      </w:r>
      <w:r>
        <w:rPr>
          <w:rStyle w:val="FootnoteReference"/>
          <w:rFonts w:eastAsia="Times New Roman" w:cs="Times New Roman"/>
          <w:szCs w:val="24"/>
        </w:rPr>
        <w:footnoteReference w:id="21"/>
      </w:r>
      <w:r w:rsidR="00C41808">
        <w:rPr>
          <w:vertAlign w:val="superscript"/>
        </w:rPr>
        <w:t>,</w:t>
      </w:r>
      <w:r w:rsidR="00C063DE">
        <w:rPr>
          <w:vertAlign w:val="superscript"/>
        </w:rPr>
        <w:t xml:space="preserve"> </w:t>
      </w:r>
      <w:r>
        <w:rPr>
          <w:rFonts w:eastAsia="Times New Roman" w:cs="Times New Roman"/>
          <w:szCs w:val="24"/>
          <w:vertAlign w:val="superscript"/>
        </w:rPr>
        <w:footnoteReference w:id="22"/>
      </w:r>
      <w:r w:rsidR="00C063DE">
        <w:rPr>
          <w:rFonts w:eastAsia="Times New Roman" w:cs="Times New Roman"/>
          <w:szCs w:val="24"/>
        </w:rPr>
        <w:t xml:space="preserve">  </w:t>
      </w:r>
      <w:r>
        <w:rPr>
          <w:rFonts w:eastAsia="Times New Roman" w:cs="Times New Roman"/>
          <w:szCs w:val="24"/>
        </w:rPr>
        <w:t xml:space="preserve">The GM and Ford vehicles were equipped </w:t>
      </w:r>
      <w:r w:rsidRPr="00BE6F43">
        <w:rPr>
          <w:rFonts w:eastAsia="Times New Roman" w:cs="Times New Roman"/>
          <w:szCs w:val="24"/>
        </w:rPr>
        <w:t xml:space="preserve">with </w:t>
      </w:r>
      <w:r>
        <w:rPr>
          <w:rFonts w:eastAsia="Times New Roman" w:cs="Times New Roman"/>
          <w:szCs w:val="24"/>
        </w:rPr>
        <w:t xml:space="preserve">enhanced front outboard passenger SBWSs whereas the </w:t>
      </w:r>
      <w:r w:rsidRPr="00BE6F43">
        <w:rPr>
          <w:rFonts w:eastAsia="Times New Roman" w:cs="Times New Roman"/>
          <w:szCs w:val="24"/>
        </w:rPr>
        <w:t>Chrysler</w:t>
      </w:r>
      <w:r>
        <w:rPr>
          <w:rFonts w:eastAsia="Times New Roman" w:cs="Times New Roman"/>
          <w:szCs w:val="24"/>
        </w:rPr>
        <w:t xml:space="preserve"> vehicles were not equipped with a </w:t>
      </w:r>
      <w:r w:rsidRPr="00303A6B">
        <w:rPr>
          <w:rFonts w:eastAsia="Times New Roman" w:cs="Times New Roman"/>
          <w:szCs w:val="24"/>
        </w:rPr>
        <w:t>front outboard passenger SBWS</w:t>
      </w:r>
      <w:r w:rsidR="001F2F92">
        <w:rPr>
          <w:rFonts w:eastAsia="Times New Roman" w:cs="Times New Roman"/>
          <w:szCs w:val="24"/>
        </w:rPr>
        <w:t xml:space="preserve">. </w:t>
      </w:r>
      <w:r>
        <w:rPr>
          <w:rFonts w:eastAsia="Times New Roman" w:cs="Times New Roman"/>
          <w:szCs w:val="24"/>
        </w:rPr>
        <w:t>In the CDS analysis, we</w:t>
      </w:r>
      <w:r w:rsidRPr="009441A3">
        <w:rPr>
          <w:rFonts w:eastAsia="Times New Roman" w:cs="Times New Roman"/>
          <w:szCs w:val="24"/>
        </w:rPr>
        <w:t xml:space="preserve"> found that the seat belt use of front outboard passengers in vehicles without a front passenger </w:t>
      </w:r>
      <w:r>
        <w:rPr>
          <w:rFonts w:eastAsia="Times New Roman" w:cs="Times New Roman"/>
          <w:szCs w:val="24"/>
        </w:rPr>
        <w:t>SBWS</w:t>
      </w:r>
      <w:r w:rsidRPr="009441A3">
        <w:rPr>
          <w:rFonts w:eastAsia="Times New Roman" w:cs="Times New Roman"/>
          <w:szCs w:val="24"/>
        </w:rPr>
        <w:t xml:space="preserve"> was six</w:t>
      </w:r>
      <w:r w:rsidR="00D97825">
        <w:rPr>
          <w:rFonts w:eastAsia="Times New Roman" w:cs="Times New Roman"/>
          <w:szCs w:val="24"/>
        </w:rPr>
        <w:t xml:space="preserve"> </w:t>
      </w:r>
      <w:r w:rsidRPr="009441A3">
        <w:rPr>
          <w:rFonts w:eastAsia="Times New Roman" w:cs="Times New Roman"/>
          <w:szCs w:val="24"/>
        </w:rPr>
        <w:t>percentage points lower than the restraint use of front outboard passengers in vehicles with a</w:t>
      </w:r>
      <w:r>
        <w:rPr>
          <w:rFonts w:eastAsia="Times New Roman" w:cs="Times New Roman"/>
          <w:szCs w:val="24"/>
        </w:rPr>
        <w:t xml:space="preserve">n </w:t>
      </w:r>
      <w:r w:rsidRPr="00A63786">
        <w:rPr>
          <w:rFonts w:eastAsia="Times New Roman" w:cs="Times New Roman"/>
          <w:szCs w:val="24"/>
        </w:rPr>
        <w:t>enhanced</w:t>
      </w:r>
      <w:r w:rsidRPr="009441A3">
        <w:rPr>
          <w:rFonts w:eastAsia="Times New Roman" w:cs="Times New Roman"/>
          <w:szCs w:val="24"/>
        </w:rPr>
        <w:t xml:space="preserve"> </w:t>
      </w:r>
      <w:r>
        <w:rPr>
          <w:rFonts w:eastAsia="Times New Roman" w:cs="Times New Roman"/>
          <w:szCs w:val="24"/>
        </w:rPr>
        <w:t xml:space="preserve">SBWS. </w:t>
      </w:r>
    </w:p>
    <w:p w14:paraId="2ACFA585" w14:textId="77777777" w:rsidR="00C34EF4" w:rsidRDefault="000F5B51" w:rsidP="0093458D">
      <w:pPr>
        <w:pStyle w:val="Heading2"/>
        <w:keepNext w:val="0"/>
        <w:keepLines w:val="0"/>
        <w:widowControl w:val="0"/>
        <w:spacing w:line="240" w:lineRule="auto"/>
      </w:pPr>
      <w:bookmarkStart w:id="57" w:name="_Toc142902965"/>
      <w:r>
        <w:t>External Research</w:t>
      </w:r>
      <w:bookmarkEnd w:id="57"/>
    </w:p>
    <w:p w14:paraId="7B0DA8F8" w14:textId="77777777" w:rsidR="00632E89" w:rsidRPr="0080267B" w:rsidRDefault="000F5B51" w:rsidP="0093458D">
      <w:pPr>
        <w:widowControl w:val="0"/>
        <w:spacing w:after="0"/>
        <w:rPr>
          <w:rFonts w:eastAsia="Times New Roman" w:cs="Times New Roman"/>
          <w:szCs w:val="24"/>
        </w:rPr>
      </w:pPr>
      <w:r w:rsidRPr="0080267B">
        <w:rPr>
          <w:rFonts w:eastAsia="Times New Roman" w:cs="Times New Roman"/>
          <w:szCs w:val="24"/>
        </w:rPr>
        <w:t xml:space="preserve">In the early 1970s, the Insurance Institute for Highway Safety (IIHS) conducted an observational study on driver belt usage to compare the effectiveness of the newly required driver seat belt </w:t>
      </w:r>
      <w:r w:rsidRPr="0080267B">
        <w:rPr>
          <w:rFonts w:eastAsia="Times New Roman" w:cs="Times New Roman"/>
          <w:szCs w:val="24"/>
        </w:rPr>
        <w:lastRenderedPageBreak/>
        <w:t>warning system and the interlock system.</w:t>
      </w:r>
      <w:r>
        <w:rPr>
          <w:rFonts w:eastAsia="Times New Roman" w:cs="Times New Roman"/>
          <w:szCs w:val="24"/>
          <w:vertAlign w:val="superscript"/>
        </w:rPr>
        <w:footnoteReference w:id="23"/>
      </w:r>
      <w:r w:rsidRPr="0080267B">
        <w:rPr>
          <w:rFonts w:eastAsia="Times New Roman" w:cs="Times New Roman"/>
          <w:szCs w:val="24"/>
        </w:rPr>
        <w:t xml:space="preserve">  The report noted that the required </w:t>
      </w:r>
      <w:r>
        <w:rPr>
          <w:rFonts w:eastAsia="Times New Roman" w:cs="Times New Roman"/>
          <w:szCs w:val="24"/>
        </w:rPr>
        <w:t>SBWS</w:t>
      </w:r>
      <w:r w:rsidRPr="0080267B">
        <w:rPr>
          <w:rFonts w:eastAsia="Times New Roman" w:cs="Times New Roman"/>
          <w:szCs w:val="24"/>
        </w:rPr>
        <w:t xml:space="preserve"> resulted in an estimated </w:t>
      </w:r>
      <w:r w:rsidR="00A26AE8">
        <w:rPr>
          <w:rFonts w:eastAsia="Times New Roman" w:cs="Times New Roman"/>
          <w:szCs w:val="24"/>
        </w:rPr>
        <w:t>two to five percent</w:t>
      </w:r>
      <w:r w:rsidRPr="0080267B">
        <w:rPr>
          <w:rFonts w:eastAsia="Times New Roman" w:cs="Times New Roman"/>
          <w:szCs w:val="24"/>
        </w:rPr>
        <w:t xml:space="preserve"> increase in driver’s</w:t>
      </w:r>
      <w:r w:rsidR="00A26AE8">
        <w:rPr>
          <w:rFonts w:eastAsia="Times New Roman" w:cs="Times New Roman"/>
          <w:szCs w:val="24"/>
        </w:rPr>
        <w:t xml:space="preserve"> seat belt</w:t>
      </w:r>
      <w:r w:rsidRPr="0080267B">
        <w:rPr>
          <w:rFonts w:eastAsia="Times New Roman" w:cs="Times New Roman"/>
          <w:szCs w:val="24"/>
        </w:rPr>
        <w:t xml:space="preserve"> usage.</w:t>
      </w:r>
      <w:r>
        <w:rPr>
          <w:rFonts w:eastAsia="Times New Roman" w:cs="Times New Roman"/>
          <w:szCs w:val="24"/>
          <w:vertAlign w:val="superscript"/>
        </w:rPr>
        <w:footnoteReference w:id="24"/>
      </w:r>
      <w:r w:rsidRPr="0080267B">
        <w:rPr>
          <w:rFonts w:eastAsia="Times New Roman" w:cs="Times New Roman"/>
          <w:szCs w:val="24"/>
        </w:rPr>
        <w:t xml:space="preserve">  </w:t>
      </w:r>
    </w:p>
    <w:p w14:paraId="56182123" w14:textId="23790C0B" w:rsidR="00632E89" w:rsidRPr="0080267B" w:rsidRDefault="000F5B51" w:rsidP="0093458D">
      <w:pPr>
        <w:widowControl w:val="0"/>
        <w:spacing w:after="0"/>
        <w:rPr>
          <w:rFonts w:eastAsia="Times New Roman" w:cs="Times New Roman"/>
          <w:szCs w:val="24"/>
        </w:rPr>
      </w:pPr>
      <w:r>
        <w:rPr>
          <w:rFonts w:eastAsia="Times New Roman" w:cs="Times New Roman"/>
          <w:szCs w:val="24"/>
        </w:rPr>
        <w:t>I</w:t>
      </w:r>
      <w:r w:rsidRPr="0080267B">
        <w:rPr>
          <w:rFonts w:eastAsia="Times New Roman" w:cs="Times New Roman"/>
          <w:szCs w:val="24"/>
        </w:rPr>
        <w:t>n 2012, IIHS conducted a national telephone survey of drivers and passengers about seat belt use</w:t>
      </w:r>
      <w:r w:rsidR="001F2F92">
        <w:rPr>
          <w:rFonts w:eastAsia="Times New Roman" w:cs="Times New Roman"/>
          <w:szCs w:val="24"/>
        </w:rPr>
        <w:t xml:space="preserve">. </w:t>
      </w:r>
      <w:r w:rsidRPr="0080267B">
        <w:rPr>
          <w:rFonts w:eastAsia="Times New Roman" w:cs="Times New Roman"/>
          <w:szCs w:val="24"/>
        </w:rPr>
        <w:t xml:space="preserve">Using this survey data, </w:t>
      </w:r>
      <w:r w:rsidR="005255B7">
        <w:rPr>
          <w:rFonts w:eastAsia="Times New Roman" w:cs="Times New Roman"/>
          <w:szCs w:val="24"/>
        </w:rPr>
        <w:t>IIHS</w:t>
      </w:r>
      <w:r w:rsidRPr="0080267B">
        <w:rPr>
          <w:rFonts w:eastAsia="Times New Roman" w:cs="Times New Roman"/>
          <w:szCs w:val="24"/>
        </w:rPr>
        <w:t xml:space="preserve"> proceeded to conduct several studies</w:t>
      </w:r>
      <w:r w:rsidR="001F2F92">
        <w:rPr>
          <w:rFonts w:eastAsia="Times New Roman" w:cs="Times New Roman"/>
          <w:szCs w:val="24"/>
        </w:rPr>
        <w:t xml:space="preserve">. </w:t>
      </w:r>
      <w:r>
        <w:rPr>
          <w:rFonts w:eastAsia="Times New Roman" w:cs="Times New Roman"/>
          <w:szCs w:val="24"/>
        </w:rPr>
        <w:t>One of the studies</w:t>
      </w:r>
      <w:r w:rsidRPr="0080267B">
        <w:rPr>
          <w:rFonts w:eastAsia="Times New Roman" w:cs="Times New Roman"/>
          <w:szCs w:val="24"/>
        </w:rPr>
        <w:t xml:space="preserve"> </w:t>
      </w:r>
      <w:r>
        <w:rPr>
          <w:rFonts w:eastAsia="Times New Roman" w:cs="Times New Roman"/>
          <w:szCs w:val="24"/>
        </w:rPr>
        <w:t>focused on the</w:t>
      </w:r>
      <w:r w:rsidRPr="0080267B">
        <w:rPr>
          <w:rFonts w:eastAsia="Times New Roman" w:cs="Times New Roman"/>
          <w:szCs w:val="24"/>
        </w:rPr>
        <w:t xml:space="preserve"> drivers’ attitudes towards passenger </w:t>
      </w:r>
      <w:r>
        <w:rPr>
          <w:rFonts w:eastAsia="Times New Roman" w:cs="Times New Roman"/>
          <w:szCs w:val="24"/>
        </w:rPr>
        <w:t xml:space="preserve">seat </w:t>
      </w:r>
      <w:r w:rsidRPr="0080267B">
        <w:rPr>
          <w:rFonts w:eastAsia="Times New Roman" w:cs="Times New Roman"/>
          <w:szCs w:val="24"/>
        </w:rPr>
        <w:t xml:space="preserve">belt use and </w:t>
      </w:r>
      <w:r>
        <w:rPr>
          <w:rFonts w:eastAsia="Times New Roman" w:cs="Times New Roman"/>
          <w:szCs w:val="24"/>
        </w:rPr>
        <w:t xml:space="preserve">seat </w:t>
      </w:r>
      <w:r w:rsidRPr="0080267B">
        <w:rPr>
          <w:rFonts w:eastAsia="Times New Roman" w:cs="Times New Roman"/>
          <w:szCs w:val="24"/>
        </w:rPr>
        <w:t xml:space="preserve">belt </w:t>
      </w:r>
      <w:r>
        <w:rPr>
          <w:rFonts w:eastAsia="Times New Roman" w:cs="Times New Roman"/>
          <w:szCs w:val="24"/>
        </w:rPr>
        <w:t>warning</w:t>
      </w:r>
      <w:r w:rsidRPr="0080267B">
        <w:rPr>
          <w:rFonts w:eastAsia="Times New Roman" w:cs="Times New Roman"/>
          <w:szCs w:val="24"/>
        </w:rPr>
        <w:t>s for front passengers and children in back seats.</w:t>
      </w:r>
      <w:r>
        <w:rPr>
          <w:rFonts w:eastAsia="Times New Roman" w:cs="Times New Roman"/>
          <w:szCs w:val="24"/>
          <w:vertAlign w:val="superscript"/>
        </w:rPr>
        <w:footnoteReference w:id="25"/>
      </w:r>
      <w:r w:rsidRPr="0080267B">
        <w:rPr>
          <w:rFonts w:eastAsia="Times New Roman" w:cs="Times New Roman"/>
          <w:szCs w:val="24"/>
        </w:rPr>
        <w:t xml:space="preserve">  This study used the 477 respondents (of the 1,218 surveyed) that were drivers who transport a front-seat passenger at least once a week and 254 were drivers who transport an </w:t>
      </w:r>
      <w:r w:rsidR="005255B7">
        <w:rPr>
          <w:rFonts w:eastAsia="Times New Roman" w:cs="Times New Roman"/>
          <w:szCs w:val="24"/>
        </w:rPr>
        <w:t>eight</w:t>
      </w:r>
      <w:r w:rsidR="005F789C">
        <w:rPr>
          <w:rFonts w:eastAsia="Times New Roman" w:cs="Times New Roman"/>
          <w:szCs w:val="24"/>
        </w:rPr>
        <w:t xml:space="preserve"> </w:t>
      </w:r>
      <w:r w:rsidRPr="0080267B">
        <w:rPr>
          <w:rFonts w:eastAsia="Times New Roman" w:cs="Times New Roman"/>
          <w:szCs w:val="24"/>
        </w:rPr>
        <w:t>to15</w:t>
      </w:r>
      <w:r w:rsidR="005F789C">
        <w:rPr>
          <w:rFonts w:eastAsia="Times New Roman" w:cs="Times New Roman"/>
          <w:szCs w:val="24"/>
        </w:rPr>
        <w:t xml:space="preserve"> </w:t>
      </w:r>
      <w:r w:rsidRPr="0080267B">
        <w:rPr>
          <w:rFonts w:eastAsia="Times New Roman" w:cs="Times New Roman"/>
          <w:szCs w:val="24"/>
        </w:rPr>
        <w:t>year</w:t>
      </w:r>
      <w:r w:rsidR="005F789C">
        <w:rPr>
          <w:rFonts w:eastAsia="Times New Roman" w:cs="Times New Roman"/>
          <w:szCs w:val="24"/>
        </w:rPr>
        <w:t>s</w:t>
      </w:r>
      <w:r w:rsidR="005255B7">
        <w:rPr>
          <w:rFonts w:eastAsia="Times New Roman" w:cs="Times New Roman"/>
          <w:szCs w:val="24"/>
        </w:rPr>
        <w:t xml:space="preserve"> </w:t>
      </w:r>
      <w:r w:rsidRPr="0080267B">
        <w:rPr>
          <w:rFonts w:eastAsia="Times New Roman" w:cs="Times New Roman"/>
          <w:szCs w:val="24"/>
        </w:rPr>
        <w:t>old child in the back seat</w:t>
      </w:r>
      <w:r w:rsidR="001F2F92">
        <w:rPr>
          <w:rFonts w:eastAsia="Times New Roman" w:cs="Times New Roman"/>
          <w:szCs w:val="24"/>
        </w:rPr>
        <w:t xml:space="preserve">. </w:t>
      </w:r>
      <w:r w:rsidRPr="0080267B">
        <w:rPr>
          <w:rFonts w:eastAsia="Times New Roman" w:cs="Times New Roman"/>
          <w:szCs w:val="24"/>
        </w:rPr>
        <w:t xml:space="preserve">The respondents were asked about their attitudes toward seat belt use by their front passengers or rear child passengers and preferences for different passenger </w:t>
      </w:r>
      <w:r>
        <w:rPr>
          <w:rFonts w:eastAsia="Times New Roman" w:cs="Times New Roman"/>
          <w:szCs w:val="24"/>
        </w:rPr>
        <w:t xml:space="preserve">seat </w:t>
      </w:r>
      <w:r w:rsidRPr="0080267B">
        <w:rPr>
          <w:rFonts w:eastAsia="Times New Roman" w:cs="Times New Roman"/>
          <w:szCs w:val="24"/>
        </w:rPr>
        <w:t xml:space="preserve">belt </w:t>
      </w:r>
      <w:r>
        <w:rPr>
          <w:rFonts w:eastAsia="Times New Roman" w:cs="Times New Roman"/>
          <w:szCs w:val="24"/>
        </w:rPr>
        <w:t>warning</w:t>
      </w:r>
      <w:r w:rsidRPr="0080267B">
        <w:rPr>
          <w:rFonts w:eastAsia="Times New Roman" w:cs="Times New Roman"/>
          <w:szCs w:val="24"/>
        </w:rPr>
        <w:t xml:space="preserve"> features</w:t>
      </w:r>
      <w:r w:rsidR="001F2F92">
        <w:rPr>
          <w:rFonts w:eastAsia="Times New Roman" w:cs="Times New Roman"/>
          <w:szCs w:val="24"/>
        </w:rPr>
        <w:t xml:space="preserve">. </w:t>
      </w:r>
      <w:r w:rsidRPr="0080267B">
        <w:rPr>
          <w:rFonts w:eastAsia="Times New Roman" w:cs="Times New Roman"/>
          <w:szCs w:val="24"/>
        </w:rPr>
        <w:t xml:space="preserve">The study found that nearly every driver who transports children in the back seat would encourage their </w:t>
      </w:r>
      <w:r>
        <w:rPr>
          <w:rFonts w:eastAsia="Times New Roman" w:cs="Times New Roman"/>
          <w:szCs w:val="24"/>
        </w:rPr>
        <w:t xml:space="preserve">seat </w:t>
      </w:r>
      <w:r w:rsidRPr="0080267B">
        <w:rPr>
          <w:rFonts w:eastAsia="Times New Roman" w:cs="Times New Roman"/>
          <w:szCs w:val="24"/>
        </w:rPr>
        <w:t xml:space="preserve">belt use, regardless of </w:t>
      </w:r>
      <w:r w:rsidR="001B0B7A">
        <w:rPr>
          <w:rFonts w:eastAsia="Times New Roman" w:cs="Times New Roman"/>
          <w:szCs w:val="24"/>
        </w:rPr>
        <w:t xml:space="preserve">their own seat </w:t>
      </w:r>
      <w:r w:rsidRPr="0080267B">
        <w:rPr>
          <w:rFonts w:eastAsia="Times New Roman" w:cs="Times New Roman"/>
          <w:szCs w:val="24"/>
        </w:rPr>
        <w:t>belt use habits</w:t>
      </w:r>
      <w:r w:rsidR="001F2F92">
        <w:rPr>
          <w:rFonts w:eastAsia="Times New Roman" w:cs="Times New Roman"/>
          <w:szCs w:val="24"/>
        </w:rPr>
        <w:t xml:space="preserve">. </w:t>
      </w:r>
      <w:r w:rsidR="001B0B7A">
        <w:rPr>
          <w:rFonts w:eastAsia="Times New Roman" w:cs="Times New Roman"/>
          <w:szCs w:val="24"/>
        </w:rPr>
        <w:t>Additionally, m</w:t>
      </w:r>
      <w:r w:rsidRPr="0080267B">
        <w:rPr>
          <w:rFonts w:eastAsia="Times New Roman" w:cs="Times New Roman"/>
          <w:szCs w:val="24"/>
        </w:rPr>
        <w:t>ost drivers who transport passengers</w:t>
      </w:r>
      <w:r w:rsidR="001B0B7A">
        <w:rPr>
          <w:rFonts w:eastAsia="Times New Roman" w:cs="Times New Roman"/>
          <w:szCs w:val="24"/>
        </w:rPr>
        <w:t xml:space="preserve"> in the front seat</w:t>
      </w:r>
      <w:r w:rsidRPr="0080267B">
        <w:rPr>
          <w:rFonts w:eastAsia="Times New Roman" w:cs="Times New Roman"/>
          <w:szCs w:val="24"/>
        </w:rPr>
        <w:t xml:space="preserve"> wanted passenger seat belt </w:t>
      </w:r>
      <w:r>
        <w:rPr>
          <w:rFonts w:eastAsia="Times New Roman" w:cs="Times New Roman"/>
          <w:szCs w:val="24"/>
        </w:rPr>
        <w:t>warning</w:t>
      </w:r>
      <w:r w:rsidRPr="0080267B">
        <w:rPr>
          <w:rFonts w:eastAsia="Times New Roman" w:cs="Times New Roman"/>
          <w:szCs w:val="24"/>
        </w:rPr>
        <w:t xml:space="preserve">s to encourage </w:t>
      </w:r>
      <w:r w:rsidR="001B0B7A">
        <w:rPr>
          <w:rFonts w:eastAsia="Times New Roman" w:cs="Times New Roman"/>
          <w:szCs w:val="24"/>
        </w:rPr>
        <w:t xml:space="preserve">their </w:t>
      </w:r>
      <w:r>
        <w:rPr>
          <w:rFonts w:eastAsia="Times New Roman" w:cs="Times New Roman"/>
          <w:szCs w:val="24"/>
        </w:rPr>
        <w:t xml:space="preserve">front </w:t>
      </w:r>
      <w:r w:rsidR="001B0B7A">
        <w:rPr>
          <w:rFonts w:eastAsia="Times New Roman" w:cs="Times New Roman"/>
          <w:szCs w:val="24"/>
        </w:rPr>
        <w:t xml:space="preserve">seat </w:t>
      </w:r>
      <w:r w:rsidRPr="0080267B">
        <w:rPr>
          <w:rFonts w:eastAsia="Times New Roman" w:cs="Times New Roman"/>
          <w:szCs w:val="24"/>
        </w:rPr>
        <w:t>passengers to buckle up</w:t>
      </w:r>
      <w:r w:rsidR="001F2F92">
        <w:rPr>
          <w:rFonts w:eastAsia="Times New Roman" w:cs="Times New Roman"/>
          <w:szCs w:val="24"/>
        </w:rPr>
        <w:t xml:space="preserve">. </w:t>
      </w:r>
      <w:r w:rsidRPr="0080267B">
        <w:rPr>
          <w:rFonts w:eastAsia="Times New Roman" w:cs="Times New Roman"/>
          <w:szCs w:val="24"/>
        </w:rPr>
        <w:t xml:space="preserve">As far as signal characteristics, the study found that front and rear passenger </w:t>
      </w:r>
      <w:r>
        <w:rPr>
          <w:rFonts w:eastAsia="Times New Roman" w:cs="Times New Roman"/>
          <w:szCs w:val="24"/>
        </w:rPr>
        <w:t>warning</w:t>
      </w:r>
      <w:r w:rsidRPr="0080267B">
        <w:rPr>
          <w:rFonts w:eastAsia="Times New Roman" w:cs="Times New Roman"/>
          <w:szCs w:val="24"/>
        </w:rPr>
        <w:t xml:space="preserve"> signals that last indefinitely would be acceptable to most drivers who transport these passengers</w:t>
      </w:r>
      <w:r w:rsidR="00E900F5">
        <w:rPr>
          <w:rFonts w:eastAsia="Times New Roman" w:cs="Times New Roman"/>
          <w:szCs w:val="24"/>
        </w:rPr>
        <w:t>. The study also found that</w:t>
      </w:r>
      <w:r w:rsidRPr="0080267B">
        <w:rPr>
          <w:rFonts w:eastAsia="Times New Roman" w:cs="Times New Roman"/>
          <w:szCs w:val="24"/>
        </w:rPr>
        <w:t xml:space="preserve"> an auditory alert may be especially useful to alert drivers to children unbuckling in the rear seat during a trip</w:t>
      </w:r>
      <w:r w:rsidR="001F2F92">
        <w:rPr>
          <w:rFonts w:eastAsia="Times New Roman" w:cs="Times New Roman"/>
          <w:szCs w:val="24"/>
        </w:rPr>
        <w:t xml:space="preserve">. </w:t>
      </w:r>
    </w:p>
    <w:p w14:paraId="76BC1D0B" w14:textId="77777777" w:rsidR="00632E89" w:rsidRPr="0080267B" w:rsidRDefault="000F5B51" w:rsidP="0093458D">
      <w:pPr>
        <w:widowControl w:val="0"/>
        <w:spacing w:after="0"/>
        <w:rPr>
          <w:rFonts w:eastAsia="Times New Roman" w:cs="Times New Roman"/>
          <w:szCs w:val="24"/>
        </w:rPr>
      </w:pPr>
      <w:r w:rsidRPr="0080267B">
        <w:rPr>
          <w:rFonts w:eastAsia="Times New Roman" w:cs="Times New Roman"/>
          <w:szCs w:val="24"/>
        </w:rPr>
        <w:t xml:space="preserve">In 2012, the Japanese Automobile Manufacturers Association conducted an experimental study </w:t>
      </w:r>
      <w:r w:rsidRPr="0080267B">
        <w:rPr>
          <w:rFonts w:eastAsia="Times New Roman" w:cs="Times New Roman"/>
          <w:szCs w:val="24"/>
        </w:rPr>
        <w:lastRenderedPageBreak/>
        <w:t xml:space="preserve">on the effectiveness of rear </w:t>
      </w:r>
      <w:r>
        <w:rPr>
          <w:rFonts w:eastAsia="Times New Roman" w:cs="Times New Roman"/>
          <w:szCs w:val="24"/>
        </w:rPr>
        <w:t>SBWS</w:t>
      </w:r>
      <w:r w:rsidRPr="0080267B">
        <w:rPr>
          <w:rFonts w:eastAsia="Times New Roman" w:cs="Times New Roman"/>
          <w:szCs w:val="24"/>
        </w:rPr>
        <w:t>s.</w:t>
      </w:r>
      <w:r>
        <w:rPr>
          <w:rFonts w:eastAsia="Times New Roman" w:cs="Times New Roman"/>
          <w:szCs w:val="24"/>
          <w:vertAlign w:val="superscript"/>
        </w:rPr>
        <w:footnoteReference w:id="26"/>
      </w:r>
      <w:r w:rsidRPr="0080267B">
        <w:rPr>
          <w:rFonts w:eastAsia="Times New Roman" w:cs="Times New Roman"/>
          <w:szCs w:val="24"/>
        </w:rPr>
        <w:t xml:space="preserve">  The experiment utilized a vehicle equipped with variations of a </w:t>
      </w:r>
      <w:r w:rsidRPr="003512A8">
        <w:rPr>
          <w:rFonts w:eastAsia="Times New Roman" w:cs="Times New Roman"/>
          <w:szCs w:val="24"/>
        </w:rPr>
        <w:t>rear SBWS</w:t>
      </w:r>
      <w:r w:rsidR="001F2F92">
        <w:rPr>
          <w:rFonts w:eastAsia="Times New Roman" w:cs="Times New Roman"/>
          <w:szCs w:val="24"/>
        </w:rPr>
        <w:t xml:space="preserve">. </w:t>
      </w:r>
      <w:r w:rsidR="00B54D84">
        <w:rPr>
          <w:rFonts w:eastAsia="Times New Roman" w:cs="Times New Roman"/>
          <w:szCs w:val="24"/>
        </w:rPr>
        <w:t xml:space="preserve">In total, </w:t>
      </w:r>
      <w:r w:rsidRPr="0080267B">
        <w:rPr>
          <w:rFonts w:eastAsia="Times New Roman" w:cs="Times New Roman"/>
          <w:szCs w:val="24"/>
        </w:rPr>
        <w:t>the experiment evaluated 11 different types of signals provided to the driver and 14 different types of signals provided to the passenger</w:t>
      </w:r>
      <w:r w:rsidR="001F2F92">
        <w:rPr>
          <w:rFonts w:eastAsia="Times New Roman" w:cs="Times New Roman"/>
          <w:szCs w:val="24"/>
        </w:rPr>
        <w:t xml:space="preserve">. </w:t>
      </w:r>
      <w:r w:rsidRPr="0080267B">
        <w:rPr>
          <w:rFonts w:eastAsia="Times New Roman" w:cs="Times New Roman"/>
          <w:szCs w:val="24"/>
        </w:rPr>
        <w:t xml:space="preserve">The vehicle was driven on a test track and the participants were asked questions to assess the rear </w:t>
      </w:r>
      <w:r>
        <w:rPr>
          <w:rFonts w:eastAsia="Times New Roman" w:cs="Times New Roman"/>
          <w:szCs w:val="24"/>
        </w:rPr>
        <w:t>SBWS</w:t>
      </w:r>
      <w:r w:rsidRPr="0080267B">
        <w:rPr>
          <w:rFonts w:eastAsia="Times New Roman" w:cs="Times New Roman"/>
          <w:szCs w:val="24"/>
        </w:rPr>
        <w:t xml:space="preserve"> as both drivers and rear seat passengers</w:t>
      </w:r>
      <w:r w:rsidR="001F2F92">
        <w:rPr>
          <w:rFonts w:eastAsia="Times New Roman" w:cs="Times New Roman"/>
          <w:szCs w:val="24"/>
        </w:rPr>
        <w:t xml:space="preserve">. </w:t>
      </w:r>
      <w:r w:rsidRPr="0080267B">
        <w:rPr>
          <w:rFonts w:eastAsia="Times New Roman" w:cs="Times New Roman"/>
          <w:szCs w:val="24"/>
        </w:rPr>
        <w:t xml:space="preserve">As a driver, the participant was asked about the likelihood of requesting the rear seat passengers to fasten their seat belts with and without a rear </w:t>
      </w:r>
      <w:r>
        <w:rPr>
          <w:rFonts w:eastAsia="Times New Roman" w:cs="Times New Roman"/>
          <w:szCs w:val="24"/>
        </w:rPr>
        <w:t>SBWS</w:t>
      </w:r>
      <w:r w:rsidR="001F2F92">
        <w:rPr>
          <w:rFonts w:eastAsia="Times New Roman" w:cs="Times New Roman"/>
          <w:szCs w:val="24"/>
        </w:rPr>
        <w:t xml:space="preserve">. </w:t>
      </w:r>
      <w:r w:rsidRPr="0080267B">
        <w:rPr>
          <w:rFonts w:eastAsia="Times New Roman" w:cs="Times New Roman"/>
          <w:szCs w:val="24"/>
        </w:rPr>
        <w:t xml:space="preserve">As a rear seat passenger, the participant was asked about the likelihood of fastening their seat belt and the likelihood of fastening their seat belt upon a request from the driver, both with and without a rear </w:t>
      </w:r>
      <w:r>
        <w:rPr>
          <w:rFonts w:eastAsia="Times New Roman" w:cs="Times New Roman"/>
          <w:szCs w:val="24"/>
        </w:rPr>
        <w:t>SBWS</w:t>
      </w:r>
      <w:r w:rsidR="001F2F92">
        <w:rPr>
          <w:rFonts w:eastAsia="Times New Roman" w:cs="Times New Roman"/>
          <w:szCs w:val="24"/>
        </w:rPr>
        <w:t xml:space="preserve">. </w:t>
      </w:r>
      <w:r w:rsidRPr="0080267B">
        <w:rPr>
          <w:rFonts w:eastAsia="Times New Roman" w:cs="Times New Roman"/>
          <w:szCs w:val="24"/>
        </w:rPr>
        <w:t xml:space="preserve">Participants were asked to respond to the questions based on five ranks of likelihood of taking action </w:t>
      </w:r>
      <w:r w:rsidR="00097E54">
        <w:rPr>
          <w:rFonts w:eastAsia="Times New Roman" w:cs="Times New Roman"/>
          <w:szCs w:val="24"/>
        </w:rPr>
        <w:t>including</w:t>
      </w:r>
      <w:r w:rsidRPr="0080267B">
        <w:rPr>
          <w:rFonts w:eastAsia="Times New Roman" w:cs="Times New Roman"/>
          <w:szCs w:val="24"/>
        </w:rPr>
        <w:t xml:space="preserve"> hardly ever, sometimes, half of the time, generally, </w:t>
      </w:r>
      <w:r w:rsidR="00097E54">
        <w:rPr>
          <w:rFonts w:eastAsia="Times New Roman" w:cs="Times New Roman"/>
          <w:szCs w:val="24"/>
        </w:rPr>
        <w:t xml:space="preserve">and </w:t>
      </w:r>
      <w:r w:rsidRPr="0080267B">
        <w:rPr>
          <w:rFonts w:eastAsia="Times New Roman" w:cs="Times New Roman"/>
          <w:szCs w:val="24"/>
        </w:rPr>
        <w:t>most of the time</w:t>
      </w:r>
      <w:r w:rsidR="001F2F92">
        <w:rPr>
          <w:rFonts w:eastAsia="Times New Roman" w:cs="Times New Roman"/>
          <w:szCs w:val="24"/>
        </w:rPr>
        <w:t xml:space="preserve">. </w:t>
      </w:r>
    </w:p>
    <w:p w14:paraId="29B32D54" w14:textId="77777777" w:rsidR="00227BB6" w:rsidRDefault="000F5B51">
      <w:pPr>
        <w:widowControl w:val="0"/>
        <w:spacing w:after="0"/>
        <w:rPr>
          <w:rFonts w:eastAsia="Times New Roman" w:cs="Times New Roman"/>
          <w:szCs w:val="24"/>
        </w:rPr>
      </w:pPr>
      <w:r w:rsidRPr="0080267B">
        <w:rPr>
          <w:rFonts w:eastAsia="Times New Roman" w:cs="Times New Roman"/>
          <w:szCs w:val="24"/>
        </w:rPr>
        <w:t>The study estimated that there was nearly a 15</w:t>
      </w:r>
      <w:r>
        <w:rPr>
          <w:rFonts w:eastAsia="Times New Roman" w:cs="Times New Roman"/>
          <w:szCs w:val="24"/>
        </w:rPr>
        <w:t xml:space="preserve"> </w:t>
      </w:r>
      <w:r w:rsidR="00097E54">
        <w:rPr>
          <w:rFonts w:eastAsia="Times New Roman" w:cs="Times New Roman"/>
          <w:szCs w:val="24"/>
        </w:rPr>
        <w:t xml:space="preserve">to </w:t>
      </w:r>
      <w:r w:rsidRPr="0080267B">
        <w:rPr>
          <w:rFonts w:eastAsia="Times New Roman" w:cs="Times New Roman"/>
          <w:szCs w:val="24"/>
        </w:rPr>
        <w:t>20</w:t>
      </w:r>
      <w:r w:rsidR="00097E54">
        <w:rPr>
          <w:rFonts w:eastAsia="Times New Roman" w:cs="Times New Roman"/>
          <w:szCs w:val="24"/>
        </w:rPr>
        <w:t xml:space="preserve"> percent</w:t>
      </w:r>
      <w:r w:rsidRPr="0080267B">
        <w:rPr>
          <w:rFonts w:eastAsia="Times New Roman" w:cs="Times New Roman"/>
          <w:szCs w:val="24"/>
        </w:rPr>
        <w:t xml:space="preserve"> increase in the rear passenger </w:t>
      </w:r>
      <w:r>
        <w:rPr>
          <w:rFonts w:eastAsia="Times New Roman" w:cs="Times New Roman"/>
          <w:szCs w:val="24"/>
        </w:rPr>
        <w:t xml:space="preserve">seat </w:t>
      </w:r>
      <w:r w:rsidRPr="0080267B">
        <w:rPr>
          <w:rFonts w:eastAsia="Times New Roman" w:cs="Times New Roman"/>
          <w:szCs w:val="24"/>
        </w:rPr>
        <w:t xml:space="preserve">belt use rate when a visual signal was given only to the driver and </w:t>
      </w:r>
      <w:r>
        <w:rPr>
          <w:rFonts w:eastAsia="Times New Roman" w:cs="Times New Roman"/>
          <w:szCs w:val="24"/>
        </w:rPr>
        <w:t xml:space="preserve">that </w:t>
      </w:r>
      <w:r w:rsidRPr="0080267B">
        <w:rPr>
          <w:rFonts w:eastAsia="Times New Roman" w:cs="Times New Roman"/>
          <w:szCs w:val="24"/>
        </w:rPr>
        <w:t>about a 30</w:t>
      </w:r>
      <w:r w:rsidR="00097E54">
        <w:rPr>
          <w:rFonts w:eastAsia="Times New Roman" w:cs="Times New Roman"/>
          <w:szCs w:val="24"/>
        </w:rPr>
        <w:t xml:space="preserve"> percent</w:t>
      </w:r>
      <w:r w:rsidRPr="0080267B">
        <w:rPr>
          <w:rFonts w:eastAsia="Times New Roman" w:cs="Times New Roman"/>
          <w:szCs w:val="24"/>
        </w:rPr>
        <w:t xml:space="preserve"> increase when two visual signals were given, one to the driver and one to the passenger, or if the visual signal was visible to both</w:t>
      </w:r>
      <w:r w:rsidR="001F2F92">
        <w:rPr>
          <w:rFonts w:eastAsia="Times New Roman" w:cs="Times New Roman"/>
          <w:szCs w:val="24"/>
        </w:rPr>
        <w:t xml:space="preserve">. </w:t>
      </w:r>
      <w:r w:rsidRPr="0080267B">
        <w:rPr>
          <w:rFonts w:eastAsia="Times New Roman" w:cs="Times New Roman"/>
          <w:szCs w:val="24"/>
        </w:rPr>
        <w:t>The study also estimated a 40</w:t>
      </w:r>
      <w:r>
        <w:rPr>
          <w:rFonts w:eastAsia="Times New Roman" w:cs="Times New Roman"/>
          <w:szCs w:val="24"/>
        </w:rPr>
        <w:t xml:space="preserve"> </w:t>
      </w:r>
      <w:r w:rsidR="007A3852">
        <w:rPr>
          <w:rFonts w:eastAsia="Times New Roman" w:cs="Times New Roman"/>
          <w:szCs w:val="24"/>
        </w:rPr>
        <w:t xml:space="preserve">to </w:t>
      </w:r>
      <w:r w:rsidRPr="0080267B">
        <w:rPr>
          <w:rFonts w:eastAsia="Times New Roman" w:cs="Times New Roman"/>
          <w:szCs w:val="24"/>
        </w:rPr>
        <w:t>45</w:t>
      </w:r>
      <w:r w:rsidR="007A3852">
        <w:rPr>
          <w:rFonts w:eastAsia="Times New Roman" w:cs="Times New Roman"/>
          <w:szCs w:val="24"/>
        </w:rPr>
        <w:t xml:space="preserve"> percent</w:t>
      </w:r>
      <w:r w:rsidRPr="0080267B">
        <w:rPr>
          <w:rFonts w:eastAsia="Times New Roman" w:cs="Times New Roman"/>
          <w:szCs w:val="24"/>
        </w:rPr>
        <w:t xml:space="preserve"> increase when a visual-only signal was provided directly in front of the rear seat passenger (back of front seat), or when a visual signal was given only to the driver and an audible signal was provided that could be heard by both the driver and rear seat passenger</w:t>
      </w:r>
      <w:r w:rsidR="001F2F92">
        <w:rPr>
          <w:rFonts w:eastAsia="Times New Roman" w:cs="Times New Roman"/>
          <w:szCs w:val="24"/>
        </w:rPr>
        <w:t xml:space="preserve">. </w:t>
      </w:r>
      <w:r w:rsidRPr="0080267B">
        <w:rPr>
          <w:rFonts w:eastAsia="Times New Roman" w:cs="Times New Roman"/>
          <w:szCs w:val="24"/>
        </w:rPr>
        <w:t>In addition, the study reported that there was an estimated 50</w:t>
      </w:r>
      <w:r>
        <w:rPr>
          <w:rFonts w:eastAsia="Times New Roman" w:cs="Times New Roman"/>
          <w:szCs w:val="24"/>
        </w:rPr>
        <w:t xml:space="preserve"> </w:t>
      </w:r>
      <w:r w:rsidR="007A3852">
        <w:rPr>
          <w:rFonts w:eastAsia="Times New Roman" w:cs="Times New Roman"/>
          <w:szCs w:val="24"/>
        </w:rPr>
        <w:t xml:space="preserve">to </w:t>
      </w:r>
      <w:r w:rsidRPr="0080267B">
        <w:rPr>
          <w:rFonts w:eastAsia="Times New Roman" w:cs="Times New Roman"/>
          <w:szCs w:val="24"/>
        </w:rPr>
        <w:t>59</w:t>
      </w:r>
      <w:r w:rsidR="007A3852">
        <w:rPr>
          <w:rFonts w:eastAsia="Times New Roman" w:cs="Times New Roman"/>
          <w:szCs w:val="24"/>
        </w:rPr>
        <w:t xml:space="preserve"> percent</w:t>
      </w:r>
      <w:r w:rsidRPr="0080267B">
        <w:rPr>
          <w:rFonts w:eastAsia="Times New Roman" w:cs="Times New Roman"/>
          <w:szCs w:val="24"/>
        </w:rPr>
        <w:t xml:space="preserve"> rear seat belt use increase when an audiovisual warning was given to both the driver and rear seat passenger.</w:t>
      </w:r>
      <w:r>
        <w:rPr>
          <w:rFonts w:eastAsia="Times New Roman" w:cs="Times New Roman"/>
          <w:szCs w:val="24"/>
          <w:vertAlign w:val="superscript"/>
        </w:rPr>
        <w:footnoteReference w:id="27"/>
      </w:r>
      <w:r w:rsidRPr="0080267B">
        <w:rPr>
          <w:rFonts w:eastAsia="Times New Roman" w:cs="Times New Roman"/>
          <w:szCs w:val="24"/>
        </w:rPr>
        <w:t xml:space="preserve">  </w:t>
      </w:r>
    </w:p>
    <w:p w14:paraId="59DEAC95" w14:textId="77777777" w:rsidR="00632E89" w:rsidRPr="0080267B" w:rsidRDefault="000F5B51" w:rsidP="0093458D">
      <w:pPr>
        <w:widowControl w:val="0"/>
        <w:spacing w:after="0"/>
        <w:rPr>
          <w:rFonts w:eastAsia="Times New Roman" w:cs="Times New Roman"/>
          <w:szCs w:val="24"/>
        </w:rPr>
      </w:pPr>
      <w:r w:rsidRPr="0080267B">
        <w:rPr>
          <w:rFonts w:eastAsia="Times New Roman" w:cs="Times New Roman"/>
          <w:szCs w:val="24"/>
        </w:rPr>
        <w:t xml:space="preserve">The driver’s request for rear seat passengers to use their belts was evaluated in two different </w:t>
      </w:r>
      <w:r w:rsidRPr="0080267B">
        <w:rPr>
          <w:rFonts w:eastAsia="Times New Roman" w:cs="Times New Roman"/>
          <w:szCs w:val="24"/>
        </w:rPr>
        <w:lastRenderedPageBreak/>
        <w:t>ways</w:t>
      </w:r>
      <w:r w:rsidR="001F2F92">
        <w:rPr>
          <w:rFonts w:eastAsia="Times New Roman" w:cs="Times New Roman"/>
          <w:szCs w:val="24"/>
        </w:rPr>
        <w:t xml:space="preserve">. </w:t>
      </w:r>
      <w:r w:rsidRPr="0080267B">
        <w:rPr>
          <w:rFonts w:eastAsia="Times New Roman" w:cs="Times New Roman"/>
          <w:szCs w:val="24"/>
        </w:rPr>
        <w:t xml:space="preserve">First, the effect of the type of rear </w:t>
      </w:r>
      <w:r>
        <w:rPr>
          <w:rFonts w:eastAsia="Times New Roman" w:cs="Times New Roman"/>
          <w:szCs w:val="24"/>
        </w:rPr>
        <w:t>SBWS</w:t>
      </w:r>
      <w:r w:rsidRPr="0080267B">
        <w:rPr>
          <w:rFonts w:eastAsia="Times New Roman" w:cs="Times New Roman"/>
          <w:szCs w:val="24"/>
        </w:rPr>
        <w:t xml:space="preserve"> on the driver’s motivation to request that rear seat passengers use their seat belt was evaluated</w:t>
      </w:r>
      <w:r w:rsidR="001F2F92">
        <w:rPr>
          <w:rFonts w:eastAsia="Times New Roman" w:cs="Times New Roman"/>
          <w:szCs w:val="24"/>
        </w:rPr>
        <w:t xml:space="preserve">. </w:t>
      </w:r>
      <w:r w:rsidRPr="0080267B">
        <w:rPr>
          <w:rFonts w:eastAsia="Times New Roman" w:cs="Times New Roman"/>
          <w:szCs w:val="24"/>
        </w:rPr>
        <w:t>Second, the effect of the driver’s request on the rear seat passengers was evaluated</w:t>
      </w:r>
      <w:r w:rsidR="001F2F92">
        <w:rPr>
          <w:rFonts w:eastAsia="Times New Roman" w:cs="Times New Roman"/>
          <w:szCs w:val="24"/>
        </w:rPr>
        <w:t xml:space="preserve">. </w:t>
      </w:r>
      <w:r w:rsidRPr="0080267B">
        <w:rPr>
          <w:rFonts w:eastAsia="Times New Roman" w:cs="Times New Roman"/>
          <w:szCs w:val="24"/>
        </w:rPr>
        <w:t xml:space="preserve">Without a rear </w:t>
      </w:r>
      <w:r>
        <w:rPr>
          <w:rFonts w:eastAsia="Times New Roman" w:cs="Times New Roman"/>
          <w:szCs w:val="24"/>
        </w:rPr>
        <w:t>SBWS</w:t>
      </w:r>
      <w:r w:rsidRPr="0080267B">
        <w:rPr>
          <w:rFonts w:eastAsia="Times New Roman" w:cs="Times New Roman"/>
          <w:szCs w:val="24"/>
        </w:rPr>
        <w:t xml:space="preserve"> the estimated percentage of driver requests to the rear seat passenger to use their seat belt was 21</w:t>
      </w:r>
      <w:r w:rsidR="00541FA4">
        <w:rPr>
          <w:rFonts w:eastAsia="Times New Roman" w:cs="Times New Roman"/>
          <w:szCs w:val="24"/>
        </w:rPr>
        <w:t xml:space="preserve"> percent</w:t>
      </w:r>
      <w:r w:rsidR="001F2F92">
        <w:rPr>
          <w:rFonts w:eastAsia="Times New Roman" w:cs="Times New Roman"/>
          <w:szCs w:val="24"/>
        </w:rPr>
        <w:t xml:space="preserve">. </w:t>
      </w:r>
      <w:r w:rsidR="00541FA4">
        <w:rPr>
          <w:rFonts w:eastAsia="Times New Roman" w:cs="Times New Roman"/>
          <w:szCs w:val="24"/>
        </w:rPr>
        <w:t>D</w:t>
      </w:r>
      <w:r w:rsidRPr="0080267B">
        <w:rPr>
          <w:rFonts w:eastAsia="Times New Roman" w:cs="Times New Roman"/>
          <w:szCs w:val="24"/>
        </w:rPr>
        <w:t xml:space="preserve">epending on the type of rear </w:t>
      </w:r>
      <w:r>
        <w:rPr>
          <w:rFonts w:eastAsia="Times New Roman" w:cs="Times New Roman"/>
          <w:szCs w:val="24"/>
        </w:rPr>
        <w:t>SBWS</w:t>
      </w:r>
      <w:r w:rsidRPr="0080267B">
        <w:rPr>
          <w:rFonts w:eastAsia="Times New Roman" w:cs="Times New Roman"/>
          <w:szCs w:val="24"/>
        </w:rPr>
        <w:t>, the estimated percentage of driver requests to rear seat passengers to use their seat belt increased by 24</w:t>
      </w:r>
      <w:r w:rsidR="00541FA4">
        <w:rPr>
          <w:rFonts w:eastAsia="Times New Roman" w:cs="Times New Roman"/>
          <w:szCs w:val="24"/>
        </w:rPr>
        <w:t xml:space="preserve"> to</w:t>
      </w:r>
      <w:r>
        <w:rPr>
          <w:rFonts w:eastAsia="Times New Roman" w:cs="Times New Roman"/>
          <w:szCs w:val="24"/>
        </w:rPr>
        <w:t xml:space="preserve"> </w:t>
      </w:r>
      <w:r w:rsidRPr="0080267B">
        <w:rPr>
          <w:rFonts w:eastAsia="Times New Roman" w:cs="Times New Roman"/>
          <w:szCs w:val="24"/>
        </w:rPr>
        <w:t>67</w:t>
      </w:r>
      <w:r w:rsidR="00541FA4">
        <w:rPr>
          <w:rFonts w:eastAsia="Times New Roman" w:cs="Times New Roman"/>
          <w:szCs w:val="24"/>
        </w:rPr>
        <w:t xml:space="preserve"> precent</w:t>
      </w:r>
      <w:r w:rsidR="001F2F92">
        <w:rPr>
          <w:rFonts w:eastAsia="Times New Roman" w:cs="Times New Roman"/>
          <w:szCs w:val="24"/>
        </w:rPr>
        <w:t xml:space="preserve">. </w:t>
      </w:r>
      <w:r w:rsidRPr="0080267B">
        <w:rPr>
          <w:rFonts w:eastAsia="Times New Roman" w:cs="Times New Roman"/>
          <w:szCs w:val="24"/>
        </w:rPr>
        <w:t xml:space="preserve">Without a rear </w:t>
      </w:r>
      <w:r>
        <w:rPr>
          <w:rFonts w:eastAsia="Times New Roman" w:cs="Times New Roman"/>
          <w:szCs w:val="24"/>
        </w:rPr>
        <w:t>SBWS</w:t>
      </w:r>
      <w:r w:rsidRPr="0080267B">
        <w:rPr>
          <w:rFonts w:eastAsia="Times New Roman" w:cs="Times New Roman"/>
          <w:szCs w:val="24"/>
        </w:rPr>
        <w:t xml:space="preserve"> the estimated percentage of rear seat passengers obeying the driver’s request to fasten their seat belt was 70</w:t>
      </w:r>
      <w:r w:rsidR="00F73DEC">
        <w:rPr>
          <w:rFonts w:eastAsia="Times New Roman" w:cs="Times New Roman"/>
          <w:szCs w:val="24"/>
        </w:rPr>
        <w:t xml:space="preserve"> percent</w:t>
      </w:r>
      <w:r w:rsidR="001F2F92">
        <w:rPr>
          <w:rFonts w:eastAsia="Times New Roman" w:cs="Times New Roman"/>
          <w:szCs w:val="24"/>
        </w:rPr>
        <w:t xml:space="preserve">. </w:t>
      </w:r>
      <w:r w:rsidR="00F73DEC">
        <w:rPr>
          <w:rFonts w:eastAsia="Times New Roman" w:cs="Times New Roman"/>
          <w:szCs w:val="24"/>
        </w:rPr>
        <w:t>D</w:t>
      </w:r>
      <w:r w:rsidRPr="0080267B">
        <w:rPr>
          <w:rFonts w:eastAsia="Times New Roman" w:cs="Times New Roman"/>
          <w:szCs w:val="24"/>
        </w:rPr>
        <w:t xml:space="preserve">epending on the type of rear </w:t>
      </w:r>
      <w:r>
        <w:rPr>
          <w:rFonts w:eastAsia="Times New Roman" w:cs="Times New Roman"/>
          <w:szCs w:val="24"/>
        </w:rPr>
        <w:t>SBWS</w:t>
      </w:r>
      <w:r w:rsidRPr="0080267B">
        <w:rPr>
          <w:rFonts w:eastAsia="Times New Roman" w:cs="Times New Roman"/>
          <w:szCs w:val="24"/>
        </w:rPr>
        <w:t xml:space="preserve">, the estimated percentage of obedience of the rear seat passengers to the driver’s request to fasten their seat belt increased by </w:t>
      </w:r>
      <w:r w:rsidR="00F73DEC">
        <w:rPr>
          <w:rFonts w:eastAsia="Times New Roman" w:cs="Times New Roman"/>
          <w:szCs w:val="24"/>
        </w:rPr>
        <w:t xml:space="preserve">five to </w:t>
      </w:r>
      <w:r w:rsidRPr="0080267B">
        <w:rPr>
          <w:rFonts w:eastAsia="Times New Roman" w:cs="Times New Roman"/>
          <w:szCs w:val="24"/>
        </w:rPr>
        <w:t>21</w:t>
      </w:r>
      <w:r w:rsidR="00F73DEC">
        <w:rPr>
          <w:rFonts w:eastAsia="Times New Roman" w:cs="Times New Roman"/>
          <w:szCs w:val="24"/>
        </w:rPr>
        <w:t xml:space="preserve"> precent</w:t>
      </w:r>
      <w:r w:rsidR="001F2F92">
        <w:rPr>
          <w:rFonts w:eastAsia="Times New Roman" w:cs="Times New Roman"/>
          <w:szCs w:val="24"/>
        </w:rPr>
        <w:t xml:space="preserve">. </w:t>
      </w:r>
      <w:r w:rsidRPr="0080267B">
        <w:rPr>
          <w:rFonts w:eastAsia="Times New Roman" w:cs="Times New Roman"/>
          <w:szCs w:val="24"/>
        </w:rPr>
        <w:t xml:space="preserve">As expected, the systems that provide an audiovisual warning to both the driver and rear seat passenger provided the highest motivation for the driver to make a passenger </w:t>
      </w:r>
      <w:r>
        <w:rPr>
          <w:rFonts w:eastAsia="Times New Roman" w:cs="Times New Roman"/>
          <w:szCs w:val="24"/>
        </w:rPr>
        <w:t xml:space="preserve">seat </w:t>
      </w:r>
      <w:r w:rsidRPr="0080267B">
        <w:rPr>
          <w:rFonts w:eastAsia="Times New Roman" w:cs="Times New Roman"/>
          <w:szCs w:val="24"/>
        </w:rPr>
        <w:t>belt use request and had the highest obedience by rear seat passengers to the driver’s request.</w:t>
      </w:r>
    </w:p>
    <w:p w14:paraId="4E8FAB64" w14:textId="26E46D5E" w:rsidR="00632E89" w:rsidRDefault="000F5B51" w:rsidP="00632E89">
      <w:pPr>
        <w:widowControl w:val="0"/>
        <w:spacing w:after="0"/>
        <w:rPr>
          <w:rFonts w:eastAsia="Times New Roman" w:cs="Times New Roman"/>
        </w:rPr>
      </w:pPr>
      <w:r w:rsidRPr="4CA445B8">
        <w:rPr>
          <w:rFonts w:eastAsia="Times New Roman" w:cs="Times New Roman"/>
        </w:rPr>
        <w:t>In addition, more recently, IIHS conducted an observational study on driver belt usage of a 90-second audible reminder and an indefinite audible reminder when compared to intermittent 7-second audible reminder</w:t>
      </w:r>
      <w:r w:rsidR="004C5067">
        <w:rPr>
          <w:rFonts w:eastAsia="Times New Roman" w:cs="Times New Roman"/>
        </w:rPr>
        <w:t>.</w:t>
      </w:r>
      <w:r>
        <w:rPr>
          <w:rStyle w:val="FootnoteReference"/>
          <w:rFonts w:eastAsia="Times New Roman" w:cs="Times New Roman"/>
        </w:rPr>
        <w:footnoteReference w:id="28"/>
      </w:r>
      <w:r w:rsidR="001F2F92">
        <w:rPr>
          <w:rFonts w:eastAsia="Times New Roman" w:cs="Times New Roman"/>
        </w:rPr>
        <w:t xml:space="preserve"> </w:t>
      </w:r>
      <w:r w:rsidRPr="4CA445B8">
        <w:rPr>
          <w:rFonts w:eastAsia="Times New Roman" w:cs="Times New Roman"/>
        </w:rPr>
        <w:t xml:space="preserve">The study analyzed “forty-nine part-time belt users who had a recent seat belt citation and reported not always using a seat belt drove two vehicles for 1 week each. Thirty-three drove a Chevrolet with three intermittent 7-second audible reminders followed by either a BMW with a </w:t>
      </w:r>
      <w:r w:rsidR="00865A2D">
        <w:rPr>
          <w:rFonts w:eastAsia="Times New Roman" w:cs="Times New Roman"/>
        </w:rPr>
        <w:t>10</w:t>
      </w:r>
      <w:r w:rsidRPr="4CA445B8">
        <w:rPr>
          <w:rFonts w:eastAsia="Times New Roman" w:cs="Times New Roman"/>
        </w:rPr>
        <w:t>0-second audible reminder</w:t>
      </w:r>
      <w:r>
        <w:rPr>
          <w:rStyle w:val="FootnoteReference"/>
          <w:rFonts w:eastAsia="Times New Roman" w:cs="Times New Roman"/>
        </w:rPr>
        <w:footnoteReference w:id="29"/>
      </w:r>
      <w:r w:rsidRPr="4CA445B8">
        <w:rPr>
          <w:rFonts w:eastAsia="Times New Roman" w:cs="Times New Roman"/>
        </w:rPr>
        <w:t xml:space="preserve"> (n=17) or a Subaru with an indefinite audible reminder (n=16).” Further, it found “Relative to the intermittent reminder, seat belt use was significantly increased 30</w:t>
      </w:r>
      <w:r w:rsidR="00865A2D">
        <w:rPr>
          <w:rFonts w:eastAsia="Times New Roman" w:cs="Times New Roman"/>
        </w:rPr>
        <w:t xml:space="preserve"> percent</w:t>
      </w:r>
      <w:r w:rsidRPr="4CA445B8">
        <w:rPr>
          <w:rFonts w:eastAsia="Times New Roman" w:cs="Times New Roman"/>
        </w:rPr>
        <w:t xml:space="preserve"> by the BMW reminder and 34</w:t>
      </w:r>
      <w:r w:rsidR="00865A2D">
        <w:rPr>
          <w:rFonts w:eastAsia="Times New Roman" w:cs="Times New Roman"/>
        </w:rPr>
        <w:t xml:space="preserve"> percent</w:t>
      </w:r>
      <w:r w:rsidRPr="4CA445B8">
        <w:rPr>
          <w:rFonts w:eastAsia="Times New Roman" w:cs="Times New Roman"/>
        </w:rPr>
        <w:t xml:space="preserve"> by the Subaru </w:t>
      </w:r>
      <w:r w:rsidRPr="4CA445B8">
        <w:rPr>
          <w:rFonts w:eastAsia="Times New Roman" w:cs="Times New Roman"/>
        </w:rPr>
        <w:lastRenderedPageBreak/>
        <w:t xml:space="preserve">reminder.”  </w:t>
      </w:r>
    </w:p>
    <w:p w14:paraId="78AEFE4E" w14:textId="77777777" w:rsidR="004871B7" w:rsidRPr="00494B3C" w:rsidRDefault="000F5B51" w:rsidP="0093458D">
      <w:pPr>
        <w:pStyle w:val="Heading2"/>
        <w:keepNext w:val="0"/>
        <w:keepLines w:val="0"/>
        <w:widowControl w:val="0"/>
        <w:spacing w:line="240" w:lineRule="auto"/>
        <w:rPr>
          <w:rFonts w:eastAsia="Times New Roman" w:cs="Times New Roman"/>
          <w:szCs w:val="24"/>
        </w:rPr>
      </w:pPr>
      <w:bookmarkStart w:id="58" w:name="_Toc142902966"/>
      <w:r>
        <w:t xml:space="preserve">Summary of Research </w:t>
      </w:r>
      <w:r w:rsidR="0098714F">
        <w:t>Findings</w:t>
      </w:r>
      <w:bookmarkEnd w:id="58"/>
    </w:p>
    <w:p w14:paraId="3395EAE2" w14:textId="452DFCDA" w:rsidR="00435D89" w:rsidRDefault="000F5B51" w:rsidP="00435D89">
      <w:r w:rsidRPr="5D1E058C">
        <w:t>The previous sections discussed the findings of research conducted by both NHTSA and other external sources</w:t>
      </w:r>
      <w:r w:rsidR="001F2F92">
        <w:t xml:space="preserve">. </w:t>
      </w:r>
      <w:r w:rsidRPr="5D1E058C">
        <w:fldChar w:fldCharType="begin"/>
      </w:r>
      <w:r w:rsidRPr="5D1E058C">
        <w:instrText xml:space="preserve"> REF _Ref127272327 \h </w:instrText>
      </w:r>
      <w:r w:rsidR="00435D89">
        <w:instrText xml:space="preserve"> \* MERGEFORMAT </w:instrText>
      </w:r>
      <w:r w:rsidRPr="5D1E058C">
        <w:fldChar w:fldCharType="separate"/>
      </w:r>
      <w:r w:rsidR="00A65CB3">
        <w:t xml:space="preserve">Table </w:t>
      </w:r>
      <w:r w:rsidR="00A65CB3">
        <w:rPr>
          <w:noProof/>
        </w:rPr>
        <w:t>9</w:t>
      </w:r>
      <w:r w:rsidRPr="5D1E058C">
        <w:fldChar w:fldCharType="end"/>
      </w:r>
      <w:r w:rsidRPr="5D1E058C">
        <w:t xml:space="preserve"> provides a summary of those findings by </w:t>
      </w:r>
      <w:r w:rsidR="00634480" w:rsidRPr="5D1E058C">
        <w:t xml:space="preserve">study indicating the percentage of increase in seat belt use based on the system and seating position of the occupant. These findings are later used in in Chapter </w:t>
      </w:r>
      <w:r w:rsidR="00634480" w:rsidRPr="5D1E058C">
        <w:fldChar w:fldCharType="begin"/>
      </w:r>
      <w:r w:rsidR="00634480" w:rsidRPr="5D1E058C">
        <w:instrText xml:space="preserve"> REF _Ref127268983 \r \h </w:instrText>
      </w:r>
      <w:r w:rsidR="00435D89">
        <w:instrText xml:space="preserve"> \* MERGEFORMAT </w:instrText>
      </w:r>
      <w:r w:rsidR="00634480" w:rsidRPr="5D1E058C">
        <w:fldChar w:fldCharType="separate"/>
      </w:r>
      <w:r w:rsidR="00A65CB3">
        <w:t>4</w:t>
      </w:r>
      <w:r w:rsidR="00634480" w:rsidRPr="5D1E058C">
        <w:fldChar w:fldCharType="end"/>
      </w:r>
      <w:r w:rsidR="00634480" w:rsidRPr="5D1E058C">
        <w:t xml:space="preserve"> of this PRIA when estimating the increase in seat belt use as a result of the proposed rule.</w:t>
      </w:r>
    </w:p>
    <w:p w14:paraId="11D7414D" w14:textId="0282AFFF" w:rsidR="00201E7C" w:rsidRPr="00E8580D" w:rsidRDefault="00634480" w:rsidP="00201E7C">
      <w:pPr>
        <w:pStyle w:val="Caption"/>
      </w:pPr>
      <w:r w:rsidRPr="5D1E058C">
        <w:t xml:space="preserve"> </w:t>
      </w:r>
      <w:bookmarkStart w:id="59" w:name="_Ref127272327"/>
      <w:r w:rsidR="000F5B51">
        <w:t xml:space="preserve">Table </w:t>
      </w:r>
      <w:r w:rsidR="00115BAB">
        <w:fldChar w:fldCharType="begin"/>
      </w:r>
      <w:r w:rsidR="000F5B51">
        <w:instrText xml:space="preserve"> SEQ Table \* ARABIC </w:instrText>
      </w:r>
      <w:r w:rsidR="00115BAB">
        <w:fldChar w:fldCharType="separate"/>
      </w:r>
      <w:r w:rsidR="00A65CB3">
        <w:rPr>
          <w:noProof/>
        </w:rPr>
        <w:t>9</w:t>
      </w:r>
      <w:r w:rsidR="00115BAB">
        <w:rPr>
          <w:noProof/>
        </w:rPr>
        <w:fldChar w:fldCharType="end"/>
      </w:r>
      <w:bookmarkEnd w:id="59"/>
      <w:r w:rsidR="000F5B51">
        <w:t xml:space="preserve">: </w:t>
      </w:r>
      <w:r w:rsidR="000F5B51" w:rsidRPr="000A2F68">
        <w:t>Summary of NHTSA and External Studies</w:t>
      </w:r>
    </w:p>
    <w:tbl>
      <w:tblPr>
        <w:tblW w:w="10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202"/>
        <w:gridCol w:w="2202"/>
        <w:gridCol w:w="2202"/>
        <w:gridCol w:w="1849"/>
      </w:tblGrid>
      <w:tr w:rsidR="00D20651" w14:paraId="028EAECC" w14:textId="77777777" w:rsidTr="00F244CB">
        <w:trPr>
          <w:trHeight w:val="537"/>
          <w:jc w:val="center"/>
        </w:trPr>
        <w:tc>
          <w:tcPr>
            <w:tcW w:w="2308" w:type="dxa"/>
            <w:shd w:val="clear" w:color="auto" w:fill="D9D9D9" w:themeFill="background1" w:themeFillShade="D9"/>
            <w:vAlign w:val="center"/>
            <w:hideMark/>
          </w:tcPr>
          <w:p w14:paraId="09F0D642" w14:textId="77777777" w:rsidR="00D20651" w:rsidRPr="001D6419" w:rsidRDefault="00D20651" w:rsidP="00036C09">
            <w:pPr>
              <w:widowControl w:val="0"/>
              <w:spacing w:after="0" w:line="240" w:lineRule="auto"/>
              <w:contextualSpacing/>
              <w:rPr>
                <w:rFonts w:eastAsia="Times New Roman" w:cs="Times New Roman"/>
                <w:b/>
              </w:rPr>
            </w:pPr>
            <w:r w:rsidRPr="4196D770">
              <w:rPr>
                <w:rFonts w:eastAsia="Times New Roman" w:cs="Times New Roman"/>
                <w:b/>
              </w:rPr>
              <w:t>Source</w:t>
            </w:r>
          </w:p>
        </w:tc>
        <w:tc>
          <w:tcPr>
            <w:tcW w:w="2202" w:type="dxa"/>
            <w:shd w:val="clear" w:color="auto" w:fill="D9D9D9" w:themeFill="background1" w:themeFillShade="D9"/>
            <w:vAlign w:val="center"/>
          </w:tcPr>
          <w:p w14:paraId="4EBCE55C" w14:textId="04CDC143" w:rsidR="00D20651" w:rsidRPr="001D6419" w:rsidRDefault="00D20651" w:rsidP="00D20651">
            <w:pPr>
              <w:widowControl w:val="0"/>
              <w:spacing w:after="0" w:line="240" w:lineRule="auto"/>
              <w:contextualSpacing/>
              <w:jc w:val="center"/>
              <w:rPr>
                <w:rFonts w:eastAsia="Times New Roman" w:cs="Times New Roman"/>
                <w:b/>
                <w:bCs/>
                <w:color w:val="000000"/>
                <w:szCs w:val="24"/>
              </w:rPr>
            </w:pPr>
            <w:r>
              <w:rPr>
                <w:rFonts w:eastAsia="Times New Roman" w:cs="Times New Roman"/>
                <w:b/>
                <w:bCs/>
                <w:color w:val="000000"/>
                <w:szCs w:val="24"/>
              </w:rPr>
              <w:t>Study Type</w:t>
            </w:r>
          </w:p>
        </w:tc>
        <w:tc>
          <w:tcPr>
            <w:tcW w:w="2202" w:type="dxa"/>
            <w:shd w:val="clear" w:color="auto" w:fill="D9D9D9" w:themeFill="background1" w:themeFillShade="D9"/>
            <w:vAlign w:val="center"/>
          </w:tcPr>
          <w:p w14:paraId="775846B0" w14:textId="79445D51" w:rsidR="00D20651" w:rsidRPr="001D6419" w:rsidRDefault="00D20651" w:rsidP="00036C09">
            <w:pPr>
              <w:widowControl w:val="0"/>
              <w:spacing w:after="0" w:line="240" w:lineRule="auto"/>
              <w:contextualSpacing/>
              <w:jc w:val="center"/>
              <w:rPr>
                <w:rFonts w:eastAsia="Times New Roman" w:cs="Times New Roman"/>
                <w:b/>
                <w:bCs/>
                <w:szCs w:val="24"/>
              </w:rPr>
            </w:pPr>
            <w:r w:rsidRPr="001D6419">
              <w:rPr>
                <w:rFonts w:eastAsia="Times New Roman" w:cs="Times New Roman"/>
                <w:b/>
                <w:bCs/>
                <w:color w:val="000000"/>
                <w:szCs w:val="24"/>
              </w:rPr>
              <w:t>Occupant</w:t>
            </w:r>
            <w:r>
              <w:rPr>
                <w:rFonts w:eastAsia="Times New Roman" w:cs="Times New Roman"/>
                <w:b/>
                <w:bCs/>
                <w:color w:val="000000"/>
                <w:szCs w:val="24"/>
              </w:rPr>
              <w:t xml:space="preserve"> Seat Position</w:t>
            </w:r>
          </w:p>
        </w:tc>
        <w:tc>
          <w:tcPr>
            <w:tcW w:w="2202" w:type="dxa"/>
            <w:shd w:val="clear" w:color="auto" w:fill="D9D9D9" w:themeFill="background1" w:themeFillShade="D9"/>
            <w:vAlign w:val="center"/>
            <w:hideMark/>
          </w:tcPr>
          <w:p w14:paraId="109CCE4B" w14:textId="77777777" w:rsidR="00D20651" w:rsidRPr="001D6419" w:rsidRDefault="00D20651" w:rsidP="00036C09">
            <w:pPr>
              <w:widowControl w:val="0"/>
              <w:spacing w:after="0" w:line="240" w:lineRule="auto"/>
              <w:contextualSpacing/>
              <w:jc w:val="center"/>
              <w:rPr>
                <w:rFonts w:eastAsia="Times New Roman" w:cs="Times New Roman"/>
                <w:b/>
                <w:bCs/>
                <w:szCs w:val="24"/>
              </w:rPr>
            </w:pPr>
            <w:r w:rsidRPr="001D6419">
              <w:rPr>
                <w:rFonts w:eastAsia="Times New Roman" w:cs="Times New Roman"/>
                <w:b/>
                <w:bCs/>
                <w:szCs w:val="24"/>
              </w:rPr>
              <w:t>SBRS System Compared</w:t>
            </w:r>
          </w:p>
        </w:tc>
        <w:tc>
          <w:tcPr>
            <w:tcW w:w="1849" w:type="dxa"/>
            <w:shd w:val="clear" w:color="auto" w:fill="D9D9D9" w:themeFill="background1" w:themeFillShade="D9"/>
            <w:noWrap/>
            <w:vAlign w:val="center"/>
            <w:hideMark/>
          </w:tcPr>
          <w:p w14:paraId="6AA2CC90" w14:textId="77777777" w:rsidR="00D20651" w:rsidRPr="001D6419" w:rsidRDefault="00D20651" w:rsidP="00036C09">
            <w:pPr>
              <w:widowControl w:val="0"/>
              <w:spacing w:after="0" w:line="240" w:lineRule="auto"/>
              <w:contextualSpacing/>
              <w:jc w:val="center"/>
              <w:rPr>
                <w:rFonts w:eastAsia="Times New Roman" w:cs="Times New Roman"/>
                <w:b/>
                <w:bCs/>
                <w:color w:val="000000"/>
                <w:szCs w:val="24"/>
              </w:rPr>
            </w:pPr>
            <w:r w:rsidRPr="001D6419">
              <w:rPr>
                <w:rFonts w:eastAsia="Times New Roman" w:cs="Times New Roman"/>
                <w:b/>
                <w:bCs/>
                <w:color w:val="000000"/>
                <w:szCs w:val="24"/>
              </w:rPr>
              <w:t>Percentage Point Increase in Belt Usage</w:t>
            </w:r>
          </w:p>
        </w:tc>
      </w:tr>
      <w:tr w:rsidR="00D20651" w14:paraId="25686FD6" w14:textId="77777777" w:rsidTr="00F244CB">
        <w:trPr>
          <w:trHeight w:val="534"/>
          <w:jc w:val="center"/>
        </w:trPr>
        <w:tc>
          <w:tcPr>
            <w:tcW w:w="2308" w:type="dxa"/>
            <w:shd w:val="clear" w:color="auto" w:fill="auto"/>
            <w:vAlign w:val="center"/>
            <w:hideMark/>
          </w:tcPr>
          <w:p w14:paraId="36D46C9A" w14:textId="0ABE04D0" w:rsidR="00D20651" w:rsidRPr="00303A6B" w:rsidRDefault="00D20651" w:rsidP="00036C09">
            <w:pPr>
              <w:widowControl w:val="0"/>
              <w:spacing w:after="0" w:line="240" w:lineRule="auto"/>
              <w:contextualSpacing/>
              <w:rPr>
                <w:rFonts w:eastAsia="Times New Roman" w:cs="Times New Roman"/>
                <w:szCs w:val="24"/>
              </w:rPr>
            </w:pPr>
            <w:r>
              <w:rPr>
                <w:rFonts w:eastAsia="Times New Roman" w:cs="Times New Roman"/>
                <w:szCs w:val="24"/>
              </w:rPr>
              <w:t xml:space="preserve">NASS-CDS analysis of </w:t>
            </w:r>
            <w:r w:rsidRPr="00303A6B">
              <w:rPr>
                <w:rFonts w:eastAsia="Times New Roman" w:cs="Times New Roman"/>
                <w:szCs w:val="24"/>
              </w:rPr>
              <w:t>GM</w:t>
            </w:r>
            <w:r>
              <w:rPr>
                <w:rFonts w:eastAsia="Times New Roman" w:cs="Times New Roman"/>
                <w:szCs w:val="24"/>
              </w:rPr>
              <w:t xml:space="preserve">, </w:t>
            </w:r>
            <w:r w:rsidRPr="00303A6B">
              <w:rPr>
                <w:rFonts w:eastAsia="Times New Roman" w:cs="Times New Roman"/>
                <w:szCs w:val="24"/>
              </w:rPr>
              <w:t>Ford</w:t>
            </w:r>
            <w:r>
              <w:rPr>
                <w:rFonts w:eastAsia="Times New Roman" w:cs="Times New Roman"/>
                <w:szCs w:val="24"/>
              </w:rPr>
              <w:t xml:space="preserve"> and Chrysler</w:t>
            </w:r>
            <w:r w:rsidR="00CB5D61">
              <w:rPr>
                <w:rFonts w:eastAsia="Times New Roman" w:cs="Times New Roman"/>
                <w:szCs w:val="24"/>
              </w:rPr>
              <w:t xml:space="preserve"> conducted in</w:t>
            </w:r>
            <w:r w:rsidR="002B6591">
              <w:rPr>
                <w:rFonts w:eastAsia="Times New Roman" w:cs="Times New Roman"/>
                <w:szCs w:val="24"/>
              </w:rPr>
              <w:t xml:space="preserve"> 2013</w:t>
            </w:r>
          </w:p>
        </w:tc>
        <w:tc>
          <w:tcPr>
            <w:tcW w:w="2202" w:type="dxa"/>
            <w:vAlign w:val="center"/>
          </w:tcPr>
          <w:p w14:paraId="6C0D4AC0" w14:textId="622C2261" w:rsidR="00D20651" w:rsidRDefault="00F244CB" w:rsidP="00F244CB">
            <w:pPr>
              <w:widowControl w:val="0"/>
              <w:spacing w:after="0" w:line="240" w:lineRule="auto"/>
              <w:contextualSpacing/>
              <w:jc w:val="center"/>
              <w:rPr>
                <w:rFonts w:eastAsia="Times New Roman" w:cs="Times New Roman"/>
                <w:color w:val="000000"/>
                <w:szCs w:val="24"/>
              </w:rPr>
            </w:pPr>
            <w:r>
              <w:rPr>
                <w:rFonts w:eastAsia="Times New Roman" w:cs="Times New Roman"/>
                <w:color w:val="000000"/>
                <w:szCs w:val="24"/>
              </w:rPr>
              <w:t>Observational</w:t>
            </w:r>
          </w:p>
        </w:tc>
        <w:tc>
          <w:tcPr>
            <w:tcW w:w="2202" w:type="dxa"/>
            <w:vAlign w:val="center"/>
          </w:tcPr>
          <w:p w14:paraId="0E571509" w14:textId="2A1112DC" w:rsidR="00D20651" w:rsidRPr="00303A6B" w:rsidRDefault="00D20651" w:rsidP="00036C09">
            <w:pPr>
              <w:widowControl w:val="0"/>
              <w:spacing w:after="0" w:line="240" w:lineRule="auto"/>
              <w:contextualSpacing/>
              <w:jc w:val="center"/>
              <w:rPr>
                <w:rFonts w:eastAsia="Times New Roman" w:cs="Times New Roman"/>
                <w:szCs w:val="24"/>
              </w:rPr>
            </w:pPr>
            <w:r>
              <w:rPr>
                <w:rFonts w:eastAsia="Times New Roman" w:cs="Times New Roman"/>
                <w:color w:val="000000"/>
                <w:szCs w:val="24"/>
              </w:rPr>
              <w:t>F</w:t>
            </w:r>
            <w:r w:rsidRPr="00776DF5">
              <w:rPr>
                <w:rFonts w:eastAsia="Times New Roman" w:cs="Times New Roman"/>
                <w:color w:val="000000"/>
                <w:szCs w:val="24"/>
              </w:rPr>
              <w:t xml:space="preserve">ront </w:t>
            </w:r>
            <w:r>
              <w:rPr>
                <w:rFonts w:eastAsia="Times New Roman" w:cs="Times New Roman"/>
                <w:color w:val="000000"/>
                <w:szCs w:val="24"/>
              </w:rPr>
              <w:t>O</w:t>
            </w:r>
            <w:r w:rsidRPr="00776DF5">
              <w:rPr>
                <w:rFonts w:eastAsia="Times New Roman" w:cs="Times New Roman"/>
                <w:color w:val="000000"/>
                <w:szCs w:val="24"/>
              </w:rPr>
              <w:t xml:space="preserve">utboard </w:t>
            </w:r>
            <w:r>
              <w:rPr>
                <w:rFonts w:eastAsia="Times New Roman" w:cs="Times New Roman"/>
                <w:color w:val="000000"/>
                <w:szCs w:val="24"/>
              </w:rPr>
              <w:t>P</w:t>
            </w:r>
            <w:r w:rsidRPr="00776DF5">
              <w:rPr>
                <w:rFonts w:eastAsia="Times New Roman" w:cs="Times New Roman"/>
                <w:color w:val="000000"/>
                <w:szCs w:val="24"/>
              </w:rPr>
              <w:t>assenger</w:t>
            </w:r>
          </w:p>
        </w:tc>
        <w:tc>
          <w:tcPr>
            <w:tcW w:w="2202" w:type="dxa"/>
            <w:shd w:val="clear" w:color="auto" w:fill="auto"/>
            <w:vAlign w:val="center"/>
            <w:hideMark/>
          </w:tcPr>
          <w:p w14:paraId="3DCEB085" w14:textId="77777777" w:rsidR="00D20651" w:rsidRPr="00303A6B" w:rsidRDefault="00D20651" w:rsidP="00036C09">
            <w:pPr>
              <w:widowControl w:val="0"/>
              <w:spacing w:after="0" w:line="240" w:lineRule="auto"/>
              <w:contextualSpacing/>
              <w:jc w:val="center"/>
              <w:rPr>
                <w:rFonts w:eastAsia="Times New Roman" w:cs="Times New Roman"/>
                <w:szCs w:val="24"/>
              </w:rPr>
            </w:pPr>
            <w:r w:rsidRPr="00303A6B">
              <w:rPr>
                <w:rFonts w:eastAsia="Times New Roman" w:cs="Times New Roman"/>
                <w:szCs w:val="24"/>
              </w:rPr>
              <w:t>No SB</w:t>
            </w:r>
            <w:r>
              <w:rPr>
                <w:rFonts w:eastAsia="Times New Roman" w:cs="Times New Roman"/>
                <w:szCs w:val="24"/>
              </w:rPr>
              <w:t>W</w:t>
            </w:r>
            <w:r w:rsidRPr="00303A6B">
              <w:rPr>
                <w:rFonts w:eastAsia="Times New Roman" w:cs="Times New Roman"/>
                <w:szCs w:val="24"/>
              </w:rPr>
              <w:t>S</w:t>
            </w:r>
            <w:r>
              <w:rPr>
                <w:rFonts w:eastAsia="Times New Roman" w:cs="Times New Roman"/>
                <w:szCs w:val="24"/>
              </w:rPr>
              <w:t xml:space="preserve"> vs.</w:t>
            </w:r>
          </w:p>
          <w:p w14:paraId="3D56A546" w14:textId="77777777" w:rsidR="00D20651" w:rsidRPr="00303A6B" w:rsidRDefault="00D20651" w:rsidP="00036C09">
            <w:pPr>
              <w:widowControl w:val="0"/>
              <w:spacing w:after="0" w:line="240" w:lineRule="auto"/>
              <w:contextualSpacing/>
              <w:jc w:val="center"/>
              <w:rPr>
                <w:rFonts w:eastAsia="Times New Roman" w:cs="Times New Roman"/>
                <w:szCs w:val="24"/>
              </w:rPr>
            </w:pPr>
            <w:r w:rsidRPr="00303A6B">
              <w:rPr>
                <w:rFonts w:eastAsia="Times New Roman" w:cs="Times New Roman"/>
                <w:szCs w:val="24"/>
              </w:rPr>
              <w:t>Enhanced SB</w:t>
            </w:r>
            <w:r>
              <w:rPr>
                <w:rFonts w:eastAsia="Times New Roman" w:cs="Times New Roman"/>
                <w:szCs w:val="24"/>
              </w:rPr>
              <w:t>W</w:t>
            </w:r>
            <w:r w:rsidRPr="00303A6B">
              <w:rPr>
                <w:rFonts w:eastAsia="Times New Roman" w:cs="Times New Roman"/>
                <w:szCs w:val="24"/>
              </w:rPr>
              <w:t>S</w:t>
            </w:r>
            <w:r>
              <w:rPr>
                <w:rFonts w:eastAsia="Times New Roman" w:cs="Times New Roman"/>
                <w:szCs w:val="24"/>
              </w:rPr>
              <w:t>,</w:t>
            </w:r>
            <w:r>
              <w:t xml:space="preserve"> </w:t>
            </w:r>
            <w:r w:rsidRPr="00E45BAD">
              <w:rPr>
                <w:rFonts w:eastAsia="Times New Roman" w:cs="Times New Roman"/>
                <w:szCs w:val="24"/>
              </w:rPr>
              <w:t>front</w:t>
            </w:r>
          </w:p>
        </w:tc>
        <w:tc>
          <w:tcPr>
            <w:tcW w:w="1849" w:type="dxa"/>
            <w:shd w:val="clear" w:color="auto" w:fill="auto"/>
            <w:noWrap/>
            <w:vAlign w:val="center"/>
            <w:hideMark/>
          </w:tcPr>
          <w:p w14:paraId="400F48CB" w14:textId="77777777" w:rsidR="00D20651" w:rsidRPr="00303A6B" w:rsidRDefault="00D20651" w:rsidP="00036C09">
            <w:pPr>
              <w:widowControl w:val="0"/>
              <w:spacing w:after="0" w:line="240" w:lineRule="auto"/>
              <w:contextualSpacing/>
              <w:jc w:val="center"/>
              <w:rPr>
                <w:rFonts w:eastAsia="Times New Roman" w:cs="Times New Roman"/>
                <w:color w:val="000000"/>
                <w:szCs w:val="24"/>
              </w:rPr>
            </w:pPr>
            <w:r w:rsidRPr="00303A6B">
              <w:rPr>
                <w:rFonts w:eastAsia="Times New Roman" w:cs="Times New Roman"/>
                <w:color w:val="000000"/>
                <w:szCs w:val="24"/>
              </w:rPr>
              <w:t>6.0%</w:t>
            </w:r>
          </w:p>
        </w:tc>
      </w:tr>
      <w:tr w:rsidR="00F244CB" w14:paraId="6BF8F44F" w14:textId="77777777" w:rsidTr="00A84209">
        <w:trPr>
          <w:trHeight w:val="419"/>
          <w:jc w:val="center"/>
        </w:trPr>
        <w:tc>
          <w:tcPr>
            <w:tcW w:w="2308" w:type="dxa"/>
            <w:tcBorders>
              <w:bottom w:val="single" w:sz="4" w:space="0" w:color="auto"/>
            </w:tcBorders>
            <w:shd w:val="clear" w:color="auto" w:fill="auto"/>
            <w:vAlign w:val="center"/>
            <w:hideMark/>
          </w:tcPr>
          <w:p w14:paraId="32972149" w14:textId="7AF31F70" w:rsidR="00F244CB" w:rsidRPr="00303A6B" w:rsidRDefault="00F244CB" w:rsidP="00F244CB">
            <w:pPr>
              <w:widowControl w:val="0"/>
              <w:spacing w:after="0" w:line="240" w:lineRule="auto"/>
              <w:contextualSpacing/>
              <w:rPr>
                <w:rFonts w:eastAsia="Times New Roman" w:cs="Times New Roman"/>
                <w:szCs w:val="24"/>
              </w:rPr>
            </w:pPr>
            <w:r w:rsidRPr="00303A6B">
              <w:rPr>
                <w:rFonts w:eastAsia="Times New Roman" w:cs="Times New Roman"/>
                <w:szCs w:val="24"/>
              </w:rPr>
              <w:t xml:space="preserve">NHTSA </w:t>
            </w:r>
            <w:r>
              <w:rPr>
                <w:rFonts w:eastAsia="Times New Roman" w:cs="Times New Roman"/>
                <w:szCs w:val="24"/>
              </w:rPr>
              <w:t xml:space="preserve">Phase I </w:t>
            </w:r>
            <w:r w:rsidRPr="00303A6B">
              <w:rPr>
                <w:rFonts w:eastAsia="Times New Roman" w:cs="Times New Roman"/>
                <w:szCs w:val="24"/>
              </w:rPr>
              <w:t>study</w:t>
            </w:r>
            <w:r w:rsidR="002B6591">
              <w:rPr>
                <w:rFonts w:eastAsia="Times New Roman" w:cs="Times New Roman"/>
                <w:szCs w:val="24"/>
              </w:rPr>
              <w:t xml:space="preserve">, </w:t>
            </w:r>
            <w:r w:rsidR="00EE7246">
              <w:rPr>
                <w:rFonts w:eastAsia="Times New Roman" w:cs="Times New Roman"/>
                <w:szCs w:val="24"/>
              </w:rPr>
              <w:t>2007</w:t>
            </w:r>
          </w:p>
        </w:tc>
        <w:tc>
          <w:tcPr>
            <w:tcW w:w="2202" w:type="dxa"/>
            <w:tcBorders>
              <w:bottom w:val="single" w:sz="4" w:space="0" w:color="auto"/>
            </w:tcBorders>
            <w:vAlign w:val="center"/>
          </w:tcPr>
          <w:p w14:paraId="66AF1F06" w14:textId="6E558563" w:rsidR="00F244CB" w:rsidRDefault="00F244CB" w:rsidP="00A84209">
            <w:pPr>
              <w:widowControl w:val="0"/>
              <w:spacing w:after="0" w:line="240" w:lineRule="auto"/>
              <w:contextualSpacing/>
              <w:jc w:val="center"/>
              <w:rPr>
                <w:rFonts w:eastAsia="Times New Roman" w:cs="Times New Roman"/>
                <w:color w:val="000000"/>
                <w:szCs w:val="24"/>
              </w:rPr>
            </w:pPr>
            <w:r w:rsidRPr="00AF38C5">
              <w:rPr>
                <w:rFonts w:eastAsia="Times New Roman" w:cs="Times New Roman"/>
                <w:color w:val="000000"/>
                <w:szCs w:val="24"/>
              </w:rPr>
              <w:t>Observational</w:t>
            </w:r>
          </w:p>
        </w:tc>
        <w:tc>
          <w:tcPr>
            <w:tcW w:w="2202" w:type="dxa"/>
            <w:tcBorders>
              <w:bottom w:val="single" w:sz="4" w:space="0" w:color="auto"/>
            </w:tcBorders>
            <w:vAlign w:val="center"/>
          </w:tcPr>
          <w:p w14:paraId="6AE4BE5D" w14:textId="3B312041" w:rsidR="00F244CB" w:rsidRPr="00303A6B" w:rsidRDefault="00F244CB" w:rsidP="00F244CB">
            <w:pPr>
              <w:widowControl w:val="0"/>
              <w:spacing w:after="0" w:line="240" w:lineRule="auto"/>
              <w:contextualSpacing/>
              <w:jc w:val="center"/>
              <w:rPr>
                <w:rFonts w:eastAsia="Times New Roman" w:cs="Times New Roman"/>
                <w:szCs w:val="24"/>
              </w:rPr>
            </w:pPr>
            <w:r>
              <w:rPr>
                <w:rFonts w:eastAsia="Times New Roman" w:cs="Times New Roman"/>
                <w:color w:val="000000"/>
                <w:szCs w:val="24"/>
              </w:rPr>
              <w:t>F</w:t>
            </w:r>
            <w:r w:rsidRPr="00776DF5">
              <w:rPr>
                <w:rFonts w:eastAsia="Times New Roman" w:cs="Times New Roman"/>
                <w:color w:val="000000"/>
                <w:szCs w:val="24"/>
              </w:rPr>
              <w:t xml:space="preserve">ront </w:t>
            </w:r>
            <w:r>
              <w:rPr>
                <w:rFonts w:eastAsia="Times New Roman" w:cs="Times New Roman"/>
                <w:color w:val="000000"/>
                <w:szCs w:val="24"/>
              </w:rPr>
              <w:t>S</w:t>
            </w:r>
            <w:r w:rsidRPr="00776DF5">
              <w:rPr>
                <w:rFonts w:eastAsia="Times New Roman" w:cs="Times New Roman"/>
                <w:color w:val="000000"/>
                <w:szCs w:val="24"/>
              </w:rPr>
              <w:t>eat occupants</w:t>
            </w:r>
            <w:r>
              <w:rPr>
                <w:rFonts w:eastAsia="Times New Roman" w:cs="Times New Roman"/>
                <w:color w:val="000000"/>
                <w:szCs w:val="24"/>
              </w:rPr>
              <w:t>:</w:t>
            </w:r>
            <w:r w:rsidRPr="00776DF5">
              <w:rPr>
                <w:rFonts w:eastAsia="Times New Roman" w:cs="Times New Roman"/>
                <w:color w:val="000000"/>
                <w:szCs w:val="24"/>
              </w:rPr>
              <w:t xml:space="preserve"> </w:t>
            </w:r>
            <w:r>
              <w:rPr>
                <w:rFonts w:eastAsia="Times New Roman" w:cs="Times New Roman"/>
                <w:color w:val="000000"/>
                <w:szCs w:val="24"/>
              </w:rPr>
              <w:t>D</w:t>
            </w:r>
            <w:r w:rsidRPr="00776DF5">
              <w:rPr>
                <w:rFonts w:eastAsia="Times New Roman" w:cs="Times New Roman"/>
                <w:color w:val="000000"/>
                <w:szCs w:val="24"/>
              </w:rPr>
              <w:t xml:space="preserve">rivers and </w:t>
            </w:r>
            <w:r>
              <w:rPr>
                <w:rFonts w:eastAsia="Times New Roman" w:cs="Times New Roman"/>
                <w:color w:val="000000"/>
                <w:szCs w:val="24"/>
              </w:rPr>
              <w:t>F</w:t>
            </w:r>
            <w:r w:rsidRPr="00776DF5">
              <w:rPr>
                <w:rFonts w:eastAsia="Times New Roman" w:cs="Times New Roman"/>
                <w:color w:val="000000"/>
                <w:szCs w:val="24"/>
              </w:rPr>
              <w:t xml:space="preserve">ront </w:t>
            </w:r>
            <w:r>
              <w:rPr>
                <w:rFonts w:eastAsia="Times New Roman" w:cs="Times New Roman"/>
                <w:color w:val="000000"/>
                <w:szCs w:val="24"/>
              </w:rPr>
              <w:t>R</w:t>
            </w:r>
            <w:r w:rsidRPr="00776DF5">
              <w:rPr>
                <w:rFonts w:eastAsia="Times New Roman" w:cs="Times New Roman"/>
                <w:color w:val="000000"/>
                <w:szCs w:val="24"/>
              </w:rPr>
              <w:t xml:space="preserve">ight </w:t>
            </w:r>
            <w:r>
              <w:rPr>
                <w:rFonts w:eastAsia="Times New Roman" w:cs="Times New Roman"/>
                <w:color w:val="000000"/>
                <w:szCs w:val="24"/>
              </w:rPr>
              <w:t>P</w:t>
            </w:r>
            <w:r w:rsidRPr="00776DF5">
              <w:rPr>
                <w:rFonts w:eastAsia="Times New Roman" w:cs="Times New Roman"/>
                <w:color w:val="000000"/>
                <w:szCs w:val="24"/>
              </w:rPr>
              <w:t>assengers</w:t>
            </w:r>
          </w:p>
        </w:tc>
        <w:tc>
          <w:tcPr>
            <w:tcW w:w="2202" w:type="dxa"/>
            <w:tcBorders>
              <w:bottom w:val="single" w:sz="4" w:space="0" w:color="auto"/>
            </w:tcBorders>
            <w:shd w:val="clear" w:color="auto" w:fill="auto"/>
            <w:vAlign w:val="center"/>
            <w:hideMark/>
          </w:tcPr>
          <w:p w14:paraId="6467F59C" w14:textId="77777777" w:rsidR="00F244CB" w:rsidRPr="00303A6B" w:rsidRDefault="00F244CB" w:rsidP="00F244CB">
            <w:pPr>
              <w:widowControl w:val="0"/>
              <w:spacing w:after="0" w:line="240" w:lineRule="auto"/>
              <w:contextualSpacing/>
              <w:jc w:val="center"/>
              <w:rPr>
                <w:rFonts w:eastAsia="Times New Roman" w:cs="Times New Roman"/>
                <w:szCs w:val="24"/>
              </w:rPr>
            </w:pPr>
            <w:r w:rsidRPr="00303A6B">
              <w:rPr>
                <w:rFonts w:eastAsia="Times New Roman" w:cs="Times New Roman"/>
                <w:szCs w:val="24"/>
              </w:rPr>
              <w:t>Basic SB</w:t>
            </w:r>
            <w:r>
              <w:rPr>
                <w:rFonts w:eastAsia="Times New Roman" w:cs="Times New Roman"/>
                <w:szCs w:val="24"/>
              </w:rPr>
              <w:t>W</w:t>
            </w:r>
            <w:r w:rsidRPr="00303A6B">
              <w:rPr>
                <w:rFonts w:eastAsia="Times New Roman" w:cs="Times New Roman"/>
                <w:szCs w:val="24"/>
              </w:rPr>
              <w:t>S</w:t>
            </w:r>
            <w:r>
              <w:rPr>
                <w:rFonts w:eastAsia="Times New Roman" w:cs="Times New Roman"/>
                <w:szCs w:val="24"/>
              </w:rPr>
              <w:t xml:space="preserve"> vs.</w:t>
            </w:r>
          </w:p>
          <w:p w14:paraId="03465D62" w14:textId="77777777" w:rsidR="00F244CB" w:rsidRPr="00303A6B" w:rsidRDefault="00F244CB" w:rsidP="00F244CB">
            <w:pPr>
              <w:widowControl w:val="0"/>
              <w:spacing w:after="0" w:line="240" w:lineRule="auto"/>
              <w:contextualSpacing/>
              <w:jc w:val="center"/>
              <w:rPr>
                <w:rFonts w:eastAsia="Times New Roman" w:cs="Times New Roman"/>
                <w:szCs w:val="24"/>
              </w:rPr>
            </w:pPr>
            <w:r w:rsidRPr="00303A6B">
              <w:rPr>
                <w:rFonts w:eastAsia="Times New Roman" w:cs="Times New Roman"/>
                <w:szCs w:val="24"/>
              </w:rPr>
              <w:t>Enhanced SB</w:t>
            </w:r>
            <w:r>
              <w:rPr>
                <w:rFonts w:eastAsia="Times New Roman" w:cs="Times New Roman"/>
                <w:szCs w:val="24"/>
              </w:rPr>
              <w:t>W</w:t>
            </w:r>
            <w:r w:rsidRPr="00303A6B">
              <w:rPr>
                <w:rFonts w:eastAsia="Times New Roman" w:cs="Times New Roman"/>
                <w:szCs w:val="24"/>
              </w:rPr>
              <w:t>S</w:t>
            </w:r>
          </w:p>
        </w:tc>
        <w:tc>
          <w:tcPr>
            <w:tcW w:w="1849" w:type="dxa"/>
            <w:tcBorders>
              <w:bottom w:val="single" w:sz="4" w:space="0" w:color="auto"/>
            </w:tcBorders>
            <w:shd w:val="clear" w:color="auto" w:fill="auto"/>
            <w:noWrap/>
            <w:vAlign w:val="center"/>
            <w:hideMark/>
          </w:tcPr>
          <w:p w14:paraId="3D7927CF" w14:textId="77777777" w:rsidR="00F244CB" w:rsidRPr="00303A6B" w:rsidRDefault="00F244CB" w:rsidP="00F244CB">
            <w:pPr>
              <w:widowControl w:val="0"/>
              <w:spacing w:after="0" w:line="240" w:lineRule="auto"/>
              <w:contextualSpacing/>
              <w:jc w:val="center"/>
              <w:rPr>
                <w:rFonts w:eastAsia="Times New Roman" w:cs="Times New Roman"/>
                <w:color w:val="000000"/>
                <w:szCs w:val="24"/>
              </w:rPr>
            </w:pPr>
            <w:r w:rsidRPr="00303A6B">
              <w:rPr>
                <w:rFonts w:eastAsia="Times New Roman" w:cs="Times New Roman"/>
                <w:color w:val="000000"/>
                <w:szCs w:val="24"/>
              </w:rPr>
              <w:t>3.0%</w:t>
            </w:r>
            <w:r>
              <w:rPr>
                <w:rFonts w:eastAsia="Times New Roman" w:cs="Times New Roman"/>
                <w:color w:val="000000"/>
                <w:szCs w:val="24"/>
              </w:rPr>
              <w:t xml:space="preserve"> to </w:t>
            </w:r>
            <w:r w:rsidRPr="00303A6B">
              <w:rPr>
                <w:rFonts w:eastAsia="Times New Roman" w:cs="Times New Roman"/>
                <w:color w:val="000000"/>
                <w:szCs w:val="24"/>
              </w:rPr>
              <w:t>4.0%</w:t>
            </w:r>
          </w:p>
        </w:tc>
      </w:tr>
      <w:tr w:rsidR="00F244CB" w14:paraId="2A408A14" w14:textId="77777777" w:rsidTr="00A84209">
        <w:trPr>
          <w:trHeight w:val="347"/>
          <w:jc w:val="center"/>
        </w:trPr>
        <w:tc>
          <w:tcPr>
            <w:tcW w:w="2308" w:type="dxa"/>
            <w:shd w:val="clear" w:color="auto" w:fill="auto"/>
            <w:vAlign w:val="center"/>
          </w:tcPr>
          <w:p w14:paraId="48C16FD0" w14:textId="77777777" w:rsidR="00F244CB" w:rsidRPr="00303A6B" w:rsidRDefault="00F244CB" w:rsidP="00F244CB">
            <w:pPr>
              <w:widowControl w:val="0"/>
              <w:spacing w:after="0" w:line="240" w:lineRule="auto"/>
              <w:contextualSpacing/>
              <w:rPr>
                <w:rFonts w:eastAsia="Times New Roman" w:cs="Times New Roman"/>
                <w:szCs w:val="24"/>
              </w:rPr>
            </w:pPr>
            <w:r>
              <w:rPr>
                <w:rFonts w:eastAsia="Times New Roman" w:cs="Times New Roman"/>
                <w:szCs w:val="24"/>
              </w:rPr>
              <w:t>IIHS study, in 1970s</w:t>
            </w:r>
          </w:p>
        </w:tc>
        <w:tc>
          <w:tcPr>
            <w:tcW w:w="2202" w:type="dxa"/>
            <w:vAlign w:val="center"/>
          </w:tcPr>
          <w:p w14:paraId="0C5DFE1D" w14:textId="61EB0898" w:rsidR="00F244CB" w:rsidRDefault="00F244CB" w:rsidP="00A84209">
            <w:pPr>
              <w:widowControl w:val="0"/>
              <w:spacing w:after="0" w:line="240" w:lineRule="auto"/>
              <w:contextualSpacing/>
              <w:jc w:val="center"/>
              <w:rPr>
                <w:rFonts w:eastAsia="Times New Roman" w:cs="Times New Roman"/>
                <w:color w:val="000000"/>
                <w:szCs w:val="24"/>
              </w:rPr>
            </w:pPr>
            <w:r w:rsidRPr="00AF38C5">
              <w:rPr>
                <w:rFonts w:eastAsia="Times New Roman" w:cs="Times New Roman"/>
                <w:color w:val="000000"/>
                <w:szCs w:val="24"/>
              </w:rPr>
              <w:t>Observational</w:t>
            </w:r>
          </w:p>
        </w:tc>
        <w:tc>
          <w:tcPr>
            <w:tcW w:w="2202" w:type="dxa"/>
            <w:vAlign w:val="center"/>
          </w:tcPr>
          <w:p w14:paraId="3FEB54CE" w14:textId="2C59CEC4" w:rsidR="00F244CB" w:rsidRPr="00303A6B" w:rsidRDefault="00F244CB" w:rsidP="00F244CB">
            <w:pPr>
              <w:widowControl w:val="0"/>
              <w:spacing w:after="0" w:line="240" w:lineRule="auto"/>
              <w:contextualSpacing/>
              <w:jc w:val="center"/>
              <w:rPr>
                <w:rFonts w:eastAsia="Times New Roman" w:cs="Times New Roman"/>
                <w:szCs w:val="24"/>
              </w:rPr>
            </w:pPr>
            <w:r>
              <w:rPr>
                <w:rFonts w:eastAsia="Times New Roman" w:cs="Times New Roman"/>
                <w:color w:val="000000"/>
                <w:szCs w:val="24"/>
              </w:rPr>
              <w:t>Driver</w:t>
            </w:r>
          </w:p>
        </w:tc>
        <w:tc>
          <w:tcPr>
            <w:tcW w:w="2202" w:type="dxa"/>
            <w:shd w:val="clear" w:color="auto" w:fill="auto"/>
            <w:vAlign w:val="center"/>
          </w:tcPr>
          <w:p w14:paraId="42213F4C" w14:textId="77777777" w:rsidR="00F244CB" w:rsidRPr="00303A6B" w:rsidRDefault="00F244CB" w:rsidP="00F244CB">
            <w:pPr>
              <w:widowControl w:val="0"/>
              <w:spacing w:after="0" w:line="240" w:lineRule="auto"/>
              <w:contextualSpacing/>
              <w:jc w:val="center"/>
              <w:rPr>
                <w:rFonts w:eastAsia="Times New Roman" w:cs="Times New Roman"/>
                <w:szCs w:val="24"/>
              </w:rPr>
            </w:pPr>
            <w:r w:rsidRPr="00303A6B">
              <w:rPr>
                <w:rFonts w:eastAsia="Times New Roman" w:cs="Times New Roman"/>
                <w:szCs w:val="24"/>
              </w:rPr>
              <w:t>No SB</w:t>
            </w:r>
            <w:r>
              <w:rPr>
                <w:rFonts w:eastAsia="Times New Roman" w:cs="Times New Roman"/>
                <w:szCs w:val="24"/>
              </w:rPr>
              <w:t>W</w:t>
            </w:r>
            <w:r w:rsidRPr="00303A6B">
              <w:rPr>
                <w:rFonts w:eastAsia="Times New Roman" w:cs="Times New Roman"/>
                <w:szCs w:val="24"/>
              </w:rPr>
              <w:t>S</w:t>
            </w:r>
            <w:r>
              <w:rPr>
                <w:rFonts w:eastAsia="Times New Roman" w:cs="Times New Roman"/>
                <w:szCs w:val="24"/>
              </w:rPr>
              <w:t xml:space="preserve"> vs.</w:t>
            </w:r>
          </w:p>
          <w:p w14:paraId="108625FF" w14:textId="77777777" w:rsidR="00F244CB" w:rsidRDefault="00F244CB" w:rsidP="00F244CB">
            <w:pPr>
              <w:widowControl w:val="0"/>
              <w:spacing w:after="0" w:line="240" w:lineRule="auto"/>
              <w:contextualSpacing/>
              <w:jc w:val="center"/>
              <w:rPr>
                <w:rFonts w:eastAsia="Times New Roman" w:cs="Times New Roman"/>
                <w:szCs w:val="24"/>
              </w:rPr>
            </w:pPr>
            <w:r w:rsidRPr="00303A6B">
              <w:rPr>
                <w:rFonts w:eastAsia="Times New Roman" w:cs="Times New Roman"/>
                <w:szCs w:val="24"/>
              </w:rPr>
              <w:t>Basic SB</w:t>
            </w:r>
            <w:r>
              <w:rPr>
                <w:rFonts w:eastAsia="Times New Roman" w:cs="Times New Roman"/>
                <w:szCs w:val="24"/>
              </w:rPr>
              <w:t>W</w:t>
            </w:r>
            <w:r w:rsidRPr="00303A6B">
              <w:rPr>
                <w:rFonts w:eastAsia="Times New Roman" w:cs="Times New Roman"/>
                <w:szCs w:val="24"/>
              </w:rPr>
              <w:t>S</w:t>
            </w:r>
            <w:r>
              <w:rPr>
                <w:rFonts w:eastAsia="Times New Roman" w:cs="Times New Roman"/>
                <w:szCs w:val="24"/>
              </w:rPr>
              <w:t xml:space="preserve"> (estimated)</w:t>
            </w:r>
          </w:p>
        </w:tc>
        <w:tc>
          <w:tcPr>
            <w:tcW w:w="1849" w:type="dxa"/>
            <w:shd w:val="clear" w:color="auto" w:fill="auto"/>
            <w:noWrap/>
            <w:vAlign w:val="center"/>
          </w:tcPr>
          <w:p w14:paraId="056C63E2" w14:textId="77777777" w:rsidR="00F244CB" w:rsidRPr="00303A6B" w:rsidRDefault="00F244CB" w:rsidP="00F244CB">
            <w:pPr>
              <w:widowControl w:val="0"/>
              <w:spacing w:after="0" w:line="240" w:lineRule="auto"/>
              <w:contextualSpacing/>
              <w:jc w:val="center"/>
              <w:rPr>
                <w:rFonts w:eastAsia="Times New Roman" w:cs="Times New Roman"/>
                <w:color w:val="000000"/>
                <w:szCs w:val="24"/>
              </w:rPr>
            </w:pPr>
            <w:r w:rsidRPr="00303A6B">
              <w:rPr>
                <w:rFonts w:eastAsia="Times New Roman" w:cs="Times New Roman"/>
                <w:color w:val="000000"/>
                <w:szCs w:val="24"/>
              </w:rPr>
              <w:t>2.0%</w:t>
            </w:r>
            <w:r>
              <w:rPr>
                <w:rFonts w:eastAsia="Times New Roman" w:cs="Times New Roman"/>
                <w:color w:val="000000"/>
                <w:szCs w:val="24"/>
              </w:rPr>
              <w:t xml:space="preserve"> to 5</w:t>
            </w:r>
            <w:r w:rsidRPr="00303A6B">
              <w:rPr>
                <w:rFonts w:eastAsia="Times New Roman" w:cs="Times New Roman"/>
                <w:color w:val="000000"/>
                <w:szCs w:val="24"/>
              </w:rPr>
              <w:t>.0%</w:t>
            </w:r>
          </w:p>
        </w:tc>
      </w:tr>
      <w:tr w:rsidR="00D20651" w14:paraId="6FFC5025" w14:textId="77777777" w:rsidTr="00A84209">
        <w:trPr>
          <w:trHeight w:val="347"/>
          <w:jc w:val="center"/>
        </w:trPr>
        <w:tc>
          <w:tcPr>
            <w:tcW w:w="2308" w:type="dxa"/>
            <w:shd w:val="clear" w:color="auto" w:fill="auto"/>
            <w:vAlign w:val="center"/>
          </w:tcPr>
          <w:p w14:paraId="08FDE4DB" w14:textId="77777777" w:rsidR="00D20651" w:rsidRPr="00303A6B" w:rsidRDefault="00D20651" w:rsidP="00036C09">
            <w:pPr>
              <w:widowControl w:val="0"/>
              <w:spacing w:after="0" w:line="240" w:lineRule="auto"/>
              <w:contextualSpacing/>
              <w:rPr>
                <w:rFonts w:eastAsia="Times New Roman" w:cs="Times New Roman"/>
                <w:szCs w:val="24"/>
              </w:rPr>
            </w:pPr>
            <w:r w:rsidRPr="001D310A">
              <w:rPr>
                <w:rFonts w:eastAsia="Times New Roman" w:cs="Times New Roman"/>
                <w:szCs w:val="24"/>
              </w:rPr>
              <w:t>Japanese Automobile Manufacturers Association</w:t>
            </w:r>
            <w:r>
              <w:rPr>
                <w:rFonts w:eastAsia="Times New Roman" w:cs="Times New Roman"/>
                <w:szCs w:val="24"/>
              </w:rPr>
              <w:t>, in 2012</w:t>
            </w:r>
          </w:p>
        </w:tc>
        <w:tc>
          <w:tcPr>
            <w:tcW w:w="2202" w:type="dxa"/>
            <w:vAlign w:val="center"/>
          </w:tcPr>
          <w:p w14:paraId="260DE24A" w14:textId="6DFFB20D" w:rsidR="00D20651" w:rsidRDefault="00F244CB" w:rsidP="00A84209">
            <w:pPr>
              <w:widowControl w:val="0"/>
              <w:spacing w:after="0" w:line="240" w:lineRule="auto"/>
              <w:contextualSpacing/>
              <w:jc w:val="center"/>
              <w:rPr>
                <w:rFonts w:eastAsia="Times New Roman" w:cs="Times New Roman"/>
                <w:color w:val="000000"/>
                <w:szCs w:val="24"/>
              </w:rPr>
            </w:pPr>
            <w:r>
              <w:rPr>
                <w:rFonts w:eastAsia="Times New Roman" w:cs="Times New Roman"/>
                <w:color w:val="000000"/>
                <w:szCs w:val="24"/>
              </w:rPr>
              <w:t>Experimental</w:t>
            </w:r>
          </w:p>
        </w:tc>
        <w:tc>
          <w:tcPr>
            <w:tcW w:w="2202" w:type="dxa"/>
            <w:vAlign w:val="center"/>
          </w:tcPr>
          <w:p w14:paraId="0F4152E5" w14:textId="107650FE" w:rsidR="00D20651" w:rsidRPr="00E8706D" w:rsidRDefault="00D20651" w:rsidP="00036C09">
            <w:pPr>
              <w:widowControl w:val="0"/>
              <w:spacing w:after="0" w:line="240" w:lineRule="auto"/>
              <w:contextualSpacing/>
              <w:jc w:val="center"/>
              <w:rPr>
                <w:rFonts w:eastAsia="Times New Roman" w:cs="Times New Roman"/>
                <w:szCs w:val="24"/>
              </w:rPr>
            </w:pPr>
            <w:r>
              <w:rPr>
                <w:rFonts w:eastAsia="Times New Roman" w:cs="Times New Roman"/>
                <w:color w:val="000000"/>
                <w:szCs w:val="24"/>
              </w:rPr>
              <w:t>R</w:t>
            </w:r>
            <w:r w:rsidRPr="00001518">
              <w:rPr>
                <w:rFonts w:eastAsia="Times New Roman" w:cs="Times New Roman"/>
                <w:color w:val="000000"/>
                <w:szCs w:val="24"/>
              </w:rPr>
              <w:t xml:space="preserve">ear </w:t>
            </w:r>
            <w:r>
              <w:rPr>
                <w:rFonts w:eastAsia="Times New Roman" w:cs="Times New Roman"/>
                <w:color w:val="000000"/>
                <w:szCs w:val="24"/>
              </w:rPr>
              <w:t>S</w:t>
            </w:r>
            <w:r w:rsidRPr="00001518">
              <w:rPr>
                <w:rFonts w:eastAsia="Times New Roman" w:cs="Times New Roman"/>
                <w:color w:val="000000"/>
                <w:szCs w:val="24"/>
              </w:rPr>
              <w:t xml:space="preserve">eat </w:t>
            </w:r>
            <w:r>
              <w:rPr>
                <w:rFonts w:eastAsia="Times New Roman" w:cs="Times New Roman"/>
                <w:color w:val="000000"/>
                <w:szCs w:val="24"/>
              </w:rPr>
              <w:t>P</w:t>
            </w:r>
            <w:r w:rsidRPr="00001518">
              <w:rPr>
                <w:rFonts w:eastAsia="Times New Roman" w:cs="Times New Roman"/>
                <w:color w:val="000000"/>
                <w:szCs w:val="24"/>
              </w:rPr>
              <w:t>assengers</w:t>
            </w:r>
          </w:p>
        </w:tc>
        <w:tc>
          <w:tcPr>
            <w:tcW w:w="2202" w:type="dxa"/>
            <w:shd w:val="clear" w:color="auto" w:fill="auto"/>
            <w:vAlign w:val="center"/>
          </w:tcPr>
          <w:p w14:paraId="5815CA8C" w14:textId="77777777" w:rsidR="00D20651" w:rsidRDefault="00D20651" w:rsidP="00036C09">
            <w:pPr>
              <w:widowControl w:val="0"/>
              <w:spacing w:after="0" w:line="240" w:lineRule="auto"/>
              <w:contextualSpacing/>
              <w:jc w:val="center"/>
              <w:rPr>
                <w:rFonts w:eastAsia="Times New Roman" w:cs="Times New Roman"/>
                <w:szCs w:val="24"/>
              </w:rPr>
            </w:pPr>
            <w:r>
              <w:rPr>
                <w:rFonts w:eastAsia="Times New Roman" w:cs="Times New Roman"/>
                <w:szCs w:val="24"/>
              </w:rPr>
              <w:t>Rear SBWS targeted to driver vs. passenger and types of warnings</w:t>
            </w:r>
          </w:p>
        </w:tc>
        <w:tc>
          <w:tcPr>
            <w:tcW w:w="1849" w:type="dxa"/>
            <w:shd w:val="clear" w:color="auto" w:fill="auto"/>
            <w:noWrap/>
            <w:vAlign w:val="center"/>
          </w:tcPr>
          <w:p w14:paraId="57082EE8" w14:textId="77777777" w:rsidR="00D20651" w:rsidRPr="00303A6B" w:rsidRDefault="00D20651" w:rsidP="00036C09">
            <w:pPr>
              <w:widowControl w:val="0"/>
              <w:spacing w:after="0" w:line="240" w:lineRule="auto"/>
              <w:contextualSpacing/>
              <w:jc w:val="center"/>
              <w:rPr>
                <w:rFonts w:eastAsia="Times New Roman" w:cs="Times New Roman"/>
                <w:color w:val="000000"/>
              </w:rPr>
            </w:pPr>
            <w:r w:rsidRPr="4196D770">
              <w:rPr>
                <w:rFonts w:eastAsia="Times New Roman" w:cs="Times New Roman"/>
                <w:color w:val="000000" w:themeColor="text1"/>
              </w:rPr>
              <w:t>3.65% to 15.33%</w:t>
            </w:r>
          </w:p>
        </w:tc>
      </w:tr>
      <w:tr w:rsidR="00D20651" w14:paraId="69EF0FDD" w14:textId="77777777" w:rsidTr="00A84209">
        <w:trPr>
          <w:trHeight w:val="347"/>
          <w:jc w:val="center"/>
        </w:trPr>
        <w:tc>
          <w:tcPr>
            <w:tcW w:w="2308" w:type="dxa"/>
            <w:shd w:val="clear" w:color="auto" w:fill="auto"/>
            <w:vAlign w:val="center"/>
          </w:tcPr>
          <w:p w14:paraId="3D9BA1CA" w14:textId="77777777" w:rsidR="00D20651" w:rsidRPr="001D310A" w:rsidRDefault="00D20651" w:rsidP="00036C09">
            <w:pPr>
              <w:widowControl w:val="0"/>
              <w:spacing w:after="0" w:line="240" w:lineRule="auto"/>
              <w:contextualSpacing/>
              <w:rPr>
                <w:rFonts w:eastAsia="Times New Roman" w:cs="Times New Roman"/>
                <w:szCs w:val="24"/>
              </w:rPr>
            </w:pPr>
            <w:r>
              <w:rPr>
                <w:rFonts w:eastAsia="Times New Roman" w:cs="Times New Roman"/>
                <w:szCs w:val="24"/>
              </w:rPr>
              <w:t>IIHS study, 2019</w:t>
            </w:r>
          </w:p>
        </w:tc>
        <w:tc>
          <w:tcPr>
            <w:tcW w:w="2202" w:type="dxa"/>
            <w:vAlign w:val="center"/>
          </w:tcPr>
          <w:p w14:paraId="1FB683E8" w14:textId="789FD3C3" w:rsidR="00D20651" w:rsidRDefault="00F244CB" w:rsidP="00A84209">
            <w:pPr>
              <w:widowControl w:val="0"/>
              <w:spacing w:after="0" w:line="240" w:lineRule="auto"/>
              <w:contextualSpacing/>
              <w:jc w:val="center"/>
              <w:rPr>
                <w:rFonts w:eastAsia="Times New Roman" w:cs="Times New Roman"/>
                <w:color w:val="000000"/>
                <w:szCs w:val="24"/>
              </w:rPr>
            </w:pPr>
            <w:r w:rsidRPr="00F244CB">
              <w:rPr>
                <w:rFonts w:eastAsia="Times New Roman" w:cs="Times New Roman"/>
                <w:color w:val="000000"/>
                <w:szCs w:val="24"/>
              </w:rPr>
              <w:t>Observational</w:t>
            </w:r>
          </w:p>
        </w:tc>
        <w:tc>
          <w:tcPr>
            <w:tcW w:w="2202" w:type="dxa"/>
            <w:vAlign w:val="center"/>
          </w:tcPr>
          <w:p w14:paraId="169A9016" w14:textId="68F525C2" w:rsidR="00D20651" w:rsidRDefault="00D20651" w:rsidP="00036C09">
            <w:pPr>
              <w:widowControl w:val="0"/>
              <w:spacing w:after="0" w:line="240" w:lineRule="auto"/>
              <w:contextualSpacing/>
              <w:jc w:val="center"/>
              <w:rPr>
                <w:rFonts w:eastAsia="Times New Roman" w:cs="Times New Roman"/>
                <w:color w:val="000000"/>
                <w:szCs w:val="24"/>
              </w:rPr>
            </w:pPr>
            <w:r>
              <w:rPr>
                <w:rFonts w:eastAsia="Times New Roman" w:cs="Times New Roman"/>
                <w:color w:val="000000"/>
                <w:szCs w:val="24"/>
              </w:rPr>
              <w:t>Driver</w:t>
            </w:r>
          </w:p>
        </w:tc>
        <w:tc>
          <w:tcPr>
            <w:tcW w:w="2202" w:type="dxa"/>
            <w:shd w:val="clear" w:color="auto" w:fill="auto"/>
            <w:vAlign w:val="center"/>
          </w:tcPr>
          <w:p w14:paraId="42965D54" w14:textId="77777777" w:rsidR="00D20651" w:rsidRDefault="00D20651" w:rsidP="00036C09">
            <w:pPr>
              <w:widowControl w:val="0"/>
              <w:spacing w:after="0" w:line="240" w:lineRule="auto"/>
              <w:contextualSpacing/>
              <w:jc w:val="center"/>
              <w:rPr>
                <w:rFonts w:eastAsia="Times New Roman" w:cs="Times New Roman"/>
                <w:szCs w:val="24"/>
              </w:rPr>
            </w:pPr>
            <w:r>
              <w:rPr>
                <w:rFonts w:eastAsia="Times New Roman" w:cs="Times New Roman"/>
                <w:szCs w:val="24"/>
              </w:rPr>
              <w:t>7-second, 90-second, and Indefinite Warning SBWS</w:t>
            </w:r>
          </w:p>
        </w:tc>
        <w:tc>
          <w:tcPr>
            <w:tcW w:w="1849" w:type="dxa"/>
            <w:shd w:val="clear" w:color="auto" w:fill="auto"/>
            <w:noWrap/>
            <w:vAlign w:val="center"/>
          </w:tcPr>
          <w:p w14:paraId="1D874858" w14:textId="77777777" w:rsidR="00D20651" w:rsidRPr="4196D770" w:rsidRDefault="00D20651" w:rsidP="00036C09">
            <w:pPr>
              <w:widowControl w:val="0"/>
              <w:spacing w:after="0" w:line="240" w:lineRule="auto"/>
              <w:contextualSpacing/>
              <w:jc w:val="center"/>
              <w:rPr>
                <w:rFonts w:eastAsia="Times New Roman" w:cs="Times New Roman"/>
                <w:color w:val="000000" w:themeColor="text1"/>
              </w:rPr>
            </w:pPr>
            <w:r>
              <w:rPr>
                <w:rFonts w:eastAsia="Times New Roman" w:cs="Times New Roman"/>
                <w:color w:val="000000" w:themeColor="text1"/>
              </w:rPr>
              <w:t>30% to 34%</w:t>
            </w:r>
          </w:p>
        </w:tc>
      </w:tr>
    </w:tbl>
    <w:p w14:paraId="13407E75" w14:textId="77777777" w:rsidR="00201E7C" w:rsidRPr="0093458D" w:rsidRDefault="00201E7C" w:rsidP="0093458D">
      <w:pPr>
        <w:pStyle w:val="NoSpaceTimes"/>
      </w:pPr>
    </w:p>
    <w:p w14:paraId="2C401AEF" w14:textId="77777777" w:rsidR="00E91A24" w:rsidRDefault="000F5B51" w:rsidP="0093458D">
      <w:pPr>
        <w:pStyle w:val="Heading1"/>
        <w:keepNext w:val="0"/>
        <w:keepLines w:val="0"/>
        <w:widowControl w:val="0"/>
        <w:spacing w:before="0" w:line="240" w:lineRule="auto"/>
      </w:pPr>
      <w:bookmarkStart w:id="60" w:name="_Ref128052499"/>
      <w:bookmarkStart w:id="61" w:name="_Toc142902967"/>
      <w:r>
        <w:t>Target Population</w:t>
      </w:r>
      <w:bookmarkEnd w:id="60"/>
      <w:bookmarkEnd w:id="61"/>
    </w:p>
    <w:p w14:paraId="325600CB" w14:textId="77777777" w:rsidR="00807438" w:rsidRDefault="000F5B51" w:rsidP="001F704C">
      <w:pPr>
        <w:spacing w:after="0"/>
      </w:pPr>
      <w:bookmarkStart w:id="62" w:name="_Toc410631963"/>
      <w:r>
        <w:t>This chapter presents the target population potentially address</w:t>
      </w:r>
      <w:r w:rsidR="0096159A">
        <w:t xml:space="preserve">ed by the requirements specified in the proposed rule. </w:t>
      </w:r>
      <w:r w:rsidR="00C927DB">
        <w:t xml:space="preserve">The following sections in this chapter discuss the </w:t>
      </w:r>
      <w:r w:rsidR="00AF2479">
        <w:t xml:space="preserve">target population </w:t>
      </w:r>
      <w:r w:rsidR="00743CF4">
        <w:t>for rear and front seat occupants, respectively.</w:t>
      </w:r>
      <w:r w:rsidR="00E91A24">
        <w:t xml:space="preserve"> </w:t>
      </w:r>
    </w:p>
    <w:p w14:paraId="2869278A" w14:textId="77777777" w:rsidR="00E91A24" w:rsidRDefault="000F5B51" w:rsidP="0093458D">
      <w:pPr>
        <w:pStyle w:val="Heading2"/>
        <w:spacing w:line="240" w:lineRule="auto"/>
      </w:pPr>
      <w:bookmarkStart w:id="63" w:name="_Toc126127690"/>
      <w:bookmarkStart w:id="64" w:name="_Toc126128072"/>
      <w:bookmarkStart w:id="65" w:name="_Toc126588013"/>
      <w:bookmarkStart w:id="66" w:name="_Toc126909507"/>
      <w:bookmarkStart w:id="67" w:name="_Toc127263248"/>
      <w:bookmarkStart w:id="68" w:name="_Toc142902968"/>
      <w:bookmarkEnd w:id="62"/>
      <w:bookmarkEnd w:id="63"/>
      <w:bookmarkEnd w:id="64"/>
      <w:bookmarkEnd w:id="65"/>
      <w:bookmarkEnd w:id="66"/>
      <w:bookmarkEnd w:id="67"/>
      <w:r>
        <w:lastRenderedPageBreak/>
        <w:t>Rear</w:t>
      </w:r>
      <w:r w:rsidR="00D0357E">
        <w:t xml:space="preserve"> Seat</w:t>
      </w:r>
      <w:r>
        <w:t xml:space="preserve"> Occupants</w:t>
      </w:r>
      <w:bookmarkEnd w:id="68"/>
    </w:p>
    <w:p w14:paraId="651EB106" w14:textId="5203E8C7" w:rsidR="008F2C56" w:rsidRDefault="000F5B51">
      <w:bookmarkStart w:id="69" w:name="_Hlk129153514"/>
      <w:r>
        <w:t>This section</w:t>
      </w:r>
      <w:r w:rsidR="00D0419B">
        <w:t xml:space="preserve"> presents the </w:t>
      </w:r>
      <w:r w:rsidR="00FE1A96">
        <w:t xml:space="preserve">target population potentially addressed by </w:t>
      </w:r>
      <w:r w:rsidR="006B5FDF">
        <w:t xml:space="preserve">the proposed rule </w:t>
      </w:r>
      <w:r w:rsidR="00CA62BB">
        <w:t>specific to rear seat occupants</w:t>
      </w:r>
      <w:r w:rsidR="001F2F92">
        <w:t xml:space="preserve">. </w:t>
      </w:r>
      <w:r w:rsidR="00E91A24">
        <w:t>Rear</w:t>
      </w:r>
      <w:r w:rsidR="00C81E6A">
        <w:t xml:space="preserve"> seat </w:t>
      </w:r>
      <w:r w:rsidR="008B4024">
        <w:t>occupant</w:t>
      </w:r>
      <w:r w:rsidR="00E91A24">
        <w:t xml:space="preserve"> data </w:t>
      </w:r>
      <w:r w:rsidR="00FA23BE">
        <w:t>for occupants in the 2</w:t>
      </w:r>
      <w:r w:rsidR="00FA23BE" w:rsidRPr="008C348F">
        <w:rPr>
          <w:vertAlign w:val="superscript"/>
        </w:rPr>
        <w:t>nd</w:t>
      </w:r>
      <w:r w:rsidR="00FA23BE">
        <w:t xml:space="preserve"> through 4</w:t>
      </w:r>
      <w:r w:rsidR="00FA23BE" w:rsidRPr="008C348F">
        <w:rPr>
          <w:vertAlign w:val="superscript"/>
        </w:rPr>
        <w:t>th</w:t>
      </w:r>
      <w:r w:rsidR="00FA23BE">
        <w:t xml:space="preserve"> rows </w:t>
      </w:r>
      <w:r w:rsidR="00E91A24">
        <w:t>were grouped into two</w:t>
      </w:r>
      <w:r w:rsidR="00B83035">
        <w:t xml:space="preserve"> age group</w:t>
      </w:r>
      <w:r w:rsidR="00E91A24">
        <w:t>s</w:t>
      </w:r>
      <w:r w:rsidR="00D401EB">
        <w:t>:</w:t>
      </w:r>
      <w:r w:rsidR="00E91A24">
        <w:t xml:space="preserve"> occupants </w:t>
      </w:r>
      <w:r w:rsidR="00405807">
        <w:t xml:space="preserve">ages </w:t>
      </w:r>
      <w:r w:rsidR="00F23332">
        <w:t xml:space="preserve">six to </w:t>
      </w:r>
      <w:r w:rsidR="00AF78E1">
        <w:t>ten</w:t>
      </w:r>
      <w:r w:rsidR="00E91A24">
        <w:t xml:space="preserve"> years old and 11 years and older </w:t>
      </w:r>
      <w:r w:rsidR="00D401EB">
        <w:t>(</w:t>
      </w:r>
      <w:r w:rsidR="00E91A24">
        <w:t>11+)</w:t>
      </w:r>
      <w:r w:rsidR="00D401EB">
        <w:t>.</w:t>
      </w:r>
      <w:r w:rsidR="00E91A24">
        <w:t xml:space="preserve"> </w:t>
      </w:r>
      <w:bookmarkEnd w:id="69"/>
      <w:r w:rsidRPr="008F2C56">
        <w:t xml:space="preserve">Children under six years old are not part of the target population because NHTSA identifies an age range of </w:t>
      </w:r>
      <w:r w:rsidR="00605C13">
        <w:t>four</w:t>
      </w:r>
      <w:r w:rsidRPr="008F2C56">
        <w:t xml:space="preserve"> </w:t>
      </w:r>
      <w:r w:rsidR="00605C13">
        <w:t>to seven</w:t>
      </w:r>
      <w:r w:rsidRPr="008F2C56">
        <w:t xml:space="preserve"> years old for when a child should transition from a forward-facing </w:t>
      </w:r>
      <w:r w:rsidR="006F72BC">
        <w:t>Child Restraint System (</w:t>
      </w:r>
      <w:r w:rsidRPr="008F2C56">
        <w:t>CRS</w:t>
      </w:r>
      <w:r w:rsidR="006F72BC">
        <w:t>)</w:t>
      </w:r>
      <w:r w:rsidRPr="008F2C56">
        <w:t xml:space="preserve"> to a booster seat; as we explain in the NPRM, children in rear-facing and forward-facing CRSs are not part of the target population because these children are restrained by the CRS harness, not the seat belt.</w:t>
      </w:r>
    </w:p>
    <w:p w14:paraId="657A0F7D" w14:textId="77777777" w:rsidR="007069AA" w:rsidRDefault="000F5B51">
      <w:r>
        <w:t xml:space="preserve">The fatality estimates </w:t>
      </w:r>
      <w:r w:rsidR="00683278">
        <w:t xml:space="preserve">reflect the annual average fatalities based on 2011-2015 </w:t>
      </w:r>
      <w:r w:rsidR="00194ECC" w:rsidRPr="00194ECC">
        <w:t>Fatality Analysis Reporting System</w:t>
      </w:r>
      <w:r w:rsidR="00194ECC">
        <w:t xml:space="preserve"> (</w:t>
      </w:r>
      <w:r w:rsidR="00683278">
        <w:t>FARS</w:t>
      </w:r>
      <w:r w:rsidR="00194ECC">
        <w:t>)</w:t>
      </w:r>
      <w:r w:rsidR="00683278">
        <w:t xml:space="preserve"> data and the non-fatal injury estimates reflect the </w:t>
      </w:r>
      <w:r w:rsidR="00C3794C">
        <w:t>annual average</w:t>
      </w:r>
      <w:r w:rsidR="00BB1DB6">
        <w:t xml:space="preserve"> number of </w:t>
      </w:r>
      <w:r w:rsidR="00394EA9">
        <w:t>people who incurred</w:t>
      </w:r>
      <w:r w:rsidR="00C3794C">
        <w:t xml:space="preserve"> </w:t>
      </w:r>
      <w:r w:rsidR="00D45976">
        <w:t xml:space="preserve">non-fatal injuries by severity on the MAIS scale based on 2011-2015 </w:t>
      </w:r>
      <w:r w:rsidR="00A05FF5" w:rsidRPr="00A05FF5">
        <w:t>NASS/CDS</w:t>
      </w:r>
      <w:r w:rsidR="00D45976">
        <w:t xml:space="preserve"> data.</w:t>
      </w:r>
      <w:r w:rsidR="00CF0BBE">
        <w:t xml:space="preserve"> </w:t>
      </w:r>
      <w:r w:rsidR="00394EA9">
        <w:t>Note this analysis uses the term non-fatal injuries to refer to the number</w:t>
      </w:r>
      <w:r w:rsidR="001C1B04">
        <w:t xml:space="preserve"> people who incurred non-fatal injuries</w:t>
      </w:r>
      <w:r w:rsidR="00A83ABD">
        <w:t xml:space="preserve"> which are presented on the MAIS scale</w:t>
      </w:r>
      <w:r w:rsidR="001C1B04">
        <w:t>.</w:t>
      </w:r>
      <w:bookmarkStart w:id="70" w:name="_Hlk129154268"/>
    </w:p>
    <w:p w14:paraId="16B12639" w14:textId="77777777" w:rsidR="0011234D" w:rsidRDefault="000F5B51">
      <w:r>
        <w:t>As the 2011-2015 NASS/CDS data does not reflect injury data for vehicles older than ten years, we recognize that this data limitation may impact this analysis.  This analysis recognizes that the target population for injuries may be underestimated and, as a result, the benefits calculations that are based on that target population may also be underestimated.</w:t>
      </w:r>
      <w:bookmarkEnd w:id="70"/>
      <w:r>
        <w:t xml:space="preserve"> We request comment on this data limitation in regard to the target population. </w:t>
      </w:r>
    </w:p>
    <w:p w14:paraId="25141D32" w14:textId="77777777" w:rsidR="0011234D" w:rsidRPr="00C17249" w:rsidRDefault="000F5B51" w:rsidP="0093458D">
      <w:pPr>
        <w:pStyle w:val="Heading3"/>
        <w:spacing w:line="240" w:lineRule="auto"/>
      </w:pPr>
      <w:bookmarkStart w:id="71" w:name="_Ref126041418"/>
      <w:bookmarkStart w:id="72" w:name="_Toc142902969"/>
      <w:r w:rsidRPr="00C17249">
        <w:t>Adjustments to Target Population</w:t>
      </w:r>
      <w:bookmarkEnd w:id="71"/>
      <w:bookmarkEnd w:id="72"/>
    </w:p>
    <w:p w14:paraId="0FB0BB64" w14:textId="77777777" w:rsidR="0011234D" w:rsidRDefault="000F5B51" w:rsidP="0011234D">
      <w:pPr>
        <w:rPr>
          <w:rFonts w:eastAsia="Times New Roman" w:cs="Times New Roman"/>
          <w:szCs w:val="24"/>
        </w:rPr>
      </w:pPr>
      <w:r>
        <w:rPr>
          <w:rFonts w:eastAsia="Times New Roman" w:cs="Times New Roman"/>
          <w:szCs w:val="24"/>
        </w:rPr>
        <w:t>The target population w</w:t>
      </w:r>
      <w:r w:rsidR="003434AB">
        <w:rPr>
          <w:rFonts w:eastAsia="Times New Roman" w:cs="Times New Roman"/>
          <w:szCs w:val="24"/>
        </w:rPr>
        <w:t>as</w:t>
      </w:r>
      <w:r>
        <w:rPr>
          <w:rFonts w:eastAsia="Times New Roman" w:cs="Times New Roman"/>
          <w:szCs w:val="24"/>
        </w:rPr>
        <w:t xml:space="preserve"> adjusted to avoid over-estimating </w:t>
      </w:r>
      <w:r w:rsidR="00A04CF8">
        <w:rPr>
          <w:rFonts w:eastAsia="Times New Roman" w:cs="Times New Roman"/>
          <w:szCs w:val="24"/>
        </w:rPr>
        <w:t>benefits associated with the proposed rule</w:t>
      </w:r>
      <w:r>
        <w:rPr>
          <w:rFonts w:eastAsia="Times New Roman" w:cs="Times New Roman"/>
          <w:szCs w:val="24"/>
        </w:rPr>
        <w:t xml:space="preserve">. As the target population is based on 2011-2015 data, this analysis must account </w:t>
      </w:r>
      <w:bookmarkStart w:id="73" w:name="_Hlk129070496"/>
      <w:r>
        <w:rPr>
          <w:rFonts w:eastAsia="Times New Roman" w:cs="Times New Roman"/>
          <w:szCs w:val="24"/>
        </w:rPr>
        <w:t xml:space="preserve">for safety impacts of new required safety technologies </w:t>
      </w:r>
      <w:r w:rsidR="00567891">
        <w:rPr>
          <w:rFonts w:eastAsia="Times New Roman" w:cs="Times New Roman"/>
          <w:szCs w:val="24"/>
        </w:rPr>
        <w:t>that ha</w:t>
      </w:r>
      <w:r w:rsidR="003659F9">
        <w:rPr>
          <w:rFonts w:eastAsia="Times New Roman" w:cs="Times New Roman"/>
          <w:szCs w:val="24"/>
        </w:rPr>
        <w:t>ve</w:t>
      </w:r>
      <w:r w:rsidR="00567891">
        <w:rPr>
          <w:rFonts w:eastAsia="Times New Roman" w:cs="Times New Roman"/>
          <w:szCs w:val="24"/>
        </w:rPr>
        <w:t xml:space="preserve"> </w:t>
      </w:r>
      <w:r>
        <w:rPr>
          <w:rFonts w:eastAsia="Times New Roman" w:cs="Times New Roman"/>
          <w:szCs w:val="24"/>
        </w:rPr>
        <w:t>yet to be applied to the fleet</w:t>
      </w:r>
      <w:r w:rsidR="001F2F92">
        <w:rPr>
          <w:rFonts w:eastAsia="Times New Roman" w:cs="Times New Roman"/>
          <w:szCs w:val="24"/>
        </w:rPr>
        <w:t xml:space="preserve">. </w:t>
      </w:r>
      <w:r>
        <w:rPr>
          <w:rFonts w:eastAsia="Times New Roman" w:cs="Times New Roman"/>
          <w:szCs w:val="24"/>
        </w:rPr>
        <w:t>As those safety technologies would result in fewer crashes and resulting</w:t>
      </w:r>
      <w:r w:rsidR="00A062C9">
        <w:rPr>
          <w:rFonts w:eastAsia="Times New Roman" w:cs="Times New Roman"/>
          <w:szCs w:val="24"/>
        </w:rPr>
        <w:t xml:space="preserve"> non-fatal</w:t>
      </w:r>
      <w:r>
        <w:rPr>
          <w:rFonts w:eastAsia="Times New Roman" w:cs="Times New Roman"/>
          <w:szCs w:val="24"/>
        </w:rPr>
        <w:t xml:space="preserve"> injuries and </w:t>
      </w:r>
      <w:r>
        <w:rPr>
          <w:rFonts w:eastAsia="Times New Roman" w:cs="Times New Roman"/>
          <w:szCs w:val="24"/>
        </w:rPr>
        <w:lastRenderedPageBreak/>
        <w:t>fatalities, the target population considered in this analysis is adjusted to be representative of the crash problem potentially addressed by the proposed rule</w:t>
      </w:r>
      <w:r w:rsidR="001F2F92">
        <w:rPr>
          <w:rFonts w:eastAsia="Times New Roman" w:cs="Times New Roman"/>
          <w:szCs w:val="24"/>
        </w:rPr>
        <w:t xml:space="preserve">. </w:t>
      </w:r>
      <w:r>
        <w:rPr>
          <w:rFonts w:eastAsia="Times New Roman" w:cs="Times New Roman"/>
          <w:szCs w:val="24"/>
        </w:rPr>
        <w:t xml:space="preserve">More specifically, </w:t>
      </w:r>
      <w:r w:rsidRPr="00764E9B">
        <w:rPr>
          <w:rFonts w:eastAsia="Times New Roman" w:cs="Times New Roman"/>
          <w:szCs w:val="24"/>
        </w:rPr>
        <w:t>the target population</w:t>
      </w:r>
      <w:r w:rsidRPr="00382B76">
        <w:t xml:space="preserve"> </w:t>
      </w:r>
      <w:r w:rsidRPr="004720CE">
        <w:rPr>
          <w:rFonts w:cs="Times New Roman"/>
          <w:szCs w:val="24"/>
        </w:rPr>
        <w:t xml:space="preserve">was adjusted </w:t>
      </w:r>
      <w:r>
        <w:rPr>
          <w:rFonts w:cs="Times New Roman"/>
          <w:szCs w:val="24"/>
        </w:rPr>
        <w:t xml:space="preserve">by anticipating </w:t>
      </w:r>
      <w:r w:rsidRPr="004720CE">
        <w:rPr>
          <w:rFonts w:cs="Times New Roman"/>
          <w:szCs w:val="24"/>
        </w:rPr>
        <w:t xml:space="preserve">the potential benefits of </w:t>
      </w:r>
      <w:bookmarkEnd w:id="73"/>
      <w:r w:rsidRPr="004720CE">
        <w:rPr>
          <w:rFonts w:cs="Times New Roman"/>
          <w:szCs w:val="24"/>
        </w:rPr>
        <w:t>Electronic Stability Control (</w:t>
      </w:r>
      <w:r w:rsidRPr="004720CE">
        <w:rPr>
          <w:rFonts w:eastAsia="Times New Roman" w:cs="Times New Roman"/>
          <w:szCs w:val="24"/>
        </w:rPr>
        <w:t>ESC) system</w:t>
      </w:r>
      <w:r>
        <w:rPr>
          <w:rFonts w:eastAsia="Times New Roman" w:cs="Times New Roman"/>
          <w:szCs w:val="24"/>
        </w:rPr>
        <w:t xml:space="preserve"> </w:t>
      </w:r>
      <w:r w:rsidRPr="004720CE">
        <w:rPr>
          <w:rFonts w:eastAsia="Times New Roman" w:cs="Times New Roman"/>
          <w:szCs w:val="24"/>
        </w:rPr>
        <w:t>(FMVSS No. 126),</w:t>
      </w:r>
      <w:r w:rsidRPr="004720CE">
        <w:rPr>
          <w:rFonts w:cs="Times New Roman"/>
          <w:szCs w:val="24"/>
        </w:rPr>
        <w:t xml:space="preserve"> </w:t>
      </w:r>
      <w:r>
        <w:rPr>
          <w:rFonts w:cs="Times New Roman"/>
          <w:szCs w:val="24"/>
        </w:rPr>
        <w:t xml:space="preserve">Side Impact Protection </w:t>
      </w:r>
      <w:r w:rsidRPr="004720CE">
        <w:rPr>
          <w:rFonts w:cs="Times New Roman"/>
          <w:szCs w:val="24"/>
        </w:rPr>
        <w:t>(</w:t>
      </w:r>
      <w:r w:rsidRPr="004720CE">
        <w:rPr>
          <w:rFonts w:eastAsia="Times New Roman" w:cs="Times New Roman"/>
          <w:szCs w:val="24"/>
        </w:rPr>
        <w:t>FMVSS No. 214)</w:t>
      </w:r>
      <w:r>
        <w:rPr>
          <w:rFonts w:eastAsia="Times New Roman" w:cs="Times New Roman"/>
          <w:szCs w:val="24"/>
        </w:rPr>
        <w:t>,</w:t>
      </w:r>
      <w:r w:rsidRPr="004720CE">
        <w:rPr>
          <w:rFonts w:eastAsia="Times New Roman" w:cs="Times New Roman"/>
          <w:szCs w:val="24"/>
        </w:rPr>
        <w:t xml:space="preserve"> Ejection Mitigation (FMVSS N</w:t>
      </w:r>
      <w:r>
        <w:rPr>
          <w:rFonts w:eastAsia="Times New Roman" w:cs="Times New Roman"/>
          <w:szCs w:val="24"/>
        </w:rPr>
        <w:t>o</w:t>
      </w:r>
      <w:r w:rsidRPr="004720CE">
        <w:rPr>
          <w:rFonts w:eastAsia="Times New Roman" w:cs="Times New Roman"/>
          <w:szCs w:val="24"/>
        </w:rPr>
        <w:t>. 226)</w:t>
      </w:r>
      <w:r>
        <w:rPr>
          <w:rFonts w:eastAsia="Times New Roman" w:cs="Times New Roman"/>
          <w:szCs w:val="24"/>
        </w:rPr>
        <w:t>, and Roof Crush Resistance (FMVSS No. 216)</w:t>
      </w:r>
      <w:r w:rsidR="001F2F92">
        <w:rPr>
          <w:rFonts w:eastAsia="Times New Roman" w:cs="Times New Roman"/>
          <w:szCs w:val="24"/>
        </w:rPr>
        <w:t xml:space="preserve">. </w:t>
      </w:r>
      <w:r>
        <w:rPr>
          <w:rFonts w:eastAsia="Times New Roman" w:cs="Times New Roman"/>
          <w:szCs w:val="24"/>
        </w:rPr>
        <w:t>The following sections present the adjustment factors that were applied to the target population to account for those safety technologies.</w:t>
      </w:r>
    </w:p>
    <w:p w14:paraId="0A11B5F6" w14:textId="77777777" w:rsidR="0011234D" w:rsidRDefault="000F5B51" w:rsidP="0093458D">
      <w:pPr>
        <w:pStyle w:val="Heading4"/>
        <w:spacing w:before="0" w:line="240" w:lineRule="auto"/>
      </w:pPr>
      <w:r>
        <w:t>Electronic Stability Control</w:t>
      </w:r>
    </w:p>
    <w:p w14:paraId="647E4E8B" w14:textId="2FC7A2D1" w:rsidR="0011234D" w:rsidRDefault="000F5B51" w:rsidP="0093458D">
      <w:pPr>
        <w:spacing w:after="0"/>
        <w:contextualSpacing/>
        <w:rPr>
          <w:rFonts w:eastAsia="Times New Roman" w:cs="Times New Roman"/>
          <w:szCs w:val="24"/>
        </w:rPr>
      </w:pPr>
      <w:r>
        <w:rPr>
          <w:rFonts w:eastAsia="Times New Roman" w:cs="Times New Roman"/>
          <w:szCs w:val="24"/>
        </w:rPr>
        <w:t>This subsection discusses the adjustment to the target population to account for the safety benefits from electronic stability control (ESC)</w:t>
      </w:r>
      <w:r w:rsidR="001F2F92">
        <w:rPr>
          <w:rFonts w:eastAsia="Times New Roman" w:cs="Times New Roman"/>
          <w:szCs w:val="24"/>
        </w:rPr>
        <w:t xml:space="preserve">. </w:t>
      </w:r>
      <w:r>
        <w:rPr>
          <w:rFonts w:eastAsia="Times New Roman" w:cs="Times New Roman"/>
          <w:szCs w:val="24"/>
        </w:rPr>
        <w:fldChar w:fldCharType="begin"/>
      </w:r>
      <w:r>
        <w:rPr>
          <w:rFonts w:eastAsia="Times New Roman" w:cs="Times New Roman"/>
          <w:szCs w:val="24"/>
        </w:rPr>
        <w:instrText xml:space="preserve"> REF _Ref125969679 \h </w:instrText>
      </w:r>
      <w:r>
        <w:rPr>
          <w:rFonts w:eastAsia="Times New Roman" w:cs="Times New Roman"/>
          <w:szCs w:val="24"/>
        </w:rPr>
      </w:r>
      <w:r>
        <w:rPr>
          <w:rFonts w:eastAsia="Times New Roman" w:cs="Times New Roman"/>
          <w:szCs w:val="24"/>
        </w:rPr>
        <w:fldChar w:fldCharType="separate"/>
      </w:r>
      <w:r w:rsidR="00A65CB3">
        <w:t xml:space="preserve">Table </w:t>
      </w:r>
      <w:r w:rsidR="00A65CB3">
        <w:rPr>
          <w:noProof/>
        </w:rPr>
        <w:t>10</w:t>
      </w:r>
      <w:r>
        <w:rPr>
          <w:rFonts w:eastAsia="Times New Roman" w:cs="Times New Roman"/>
          <w:szCs w:val="24"/>
        </w:rPr>
        <w:fldChar w:fldCharType="end"/>
      </w:r>
      <w:r>
        <w:rPr>
          <w:rFonts w:eastAsia="Times New Roman" w:cs="Times New Roman"/>
          <w:szCs w:val="24"/>
        </w:rPr>
        <w:t xml:space="preserve"> presents ESC effectiveness in rollovers and sales by vehicle type for MY 2011</w:t>
      </w:r>
      <w:r w:rsidR="001F2F92">
        <w:rPr>
          <w:rFonts w:eastAsia="Times New Roman" w:cs="Times New Roman"/>
          <w:szCs w:val="24"/>
        </w:rPr>
        <w:t xml:space="preserve">. </w:t>
      </w:r>
      <w:r w:rsidRPr="00764E9B">
        <w:rPr>
          <w:rFonts w:eastAsia="Times New Roman" w:cs="Times New Roman"/>
          <w:szCs w:val="24"/>
        </w:rPr>
        <w:t>The agency’s real</w:t>
      </w:r>
      <w:r>
        <w:rPr>
          <w:rFonts w:eastAsia="Times New Roman" w:cs="Times New Roman"/>
          <w:szCs w:val="24"/>
        </w:rPr>
        <w:t>-</w:t>
      </w:r>
      <w:r w:rsidRPr="00764E9B">
        <w:rPr>
          <w:rFonts w:eastAsia="Times New Roman" w:cs="Times New Roman"/>
          <w:szCs w:val="24"/>
        </w:rPr>
        <w:t>world crash data show that ESC is highly effective in preventing single vehicle side crashes and rollovers</w:t>
      </w:r>
      <w:r w:rsidR="001F2F92">
        <w:rPr>
          <w:rFonts w:eastAsia="Times New Roman" w:cs="Times New Roman"/>
          <w:szCs w:val="24"/>
        </w:rPr>
        <w:t xml:space="preserve">. </w:t>
      </w:r>
      <w:r>
        <w:rPr>
          <w:rFonts w:eastAsia="Times New Roman" w:cs="Times New Roman"/>
          <w:szCs w:val="24"/>
        </w:rPr>
        <w:t>For rollovers, a</w:t>
      </w:r>
      <w:r w:rsidRPr="00764E9B">
        <w:rPr>
          <w:rFonts w:eastAsia="Times New Roman" w:cs="Times New Roman"/>
          <w:szCs w:val="24"/>
        </w:rPr>
        <w:t xml:space="preserve"> statistical analysis of 1997-2004 FARS data and state data from calendar years 1997-2003 show</w:t>
      </w:r>
      <w:r>
        <w:rPr>
          <w:rFonts w:eastAsia="Times New Roman" w:cs="Times New Roman"/>
          <w:szCs w:val="24"/>
        </w:rPr>
        <w:t>s</w:t>
      </w:r>
      <w:r w:rsidRPr="00764E9B">
        <w:rPr>
          <w:rFonts w:eastAsia="Times New Roman" w:cs="Times New Roman"/>
          <w:szCs w:val="24"/>
        </w:rPr>
        <w:t xml:space="preserve"> that ESC is </w:t>
      </w:r>
      <w:r>
        <w:rPr>
          <w:rFonts w:eastAsia="Times New Roman" w:cs="Times New Roman"/>
          <w:szCs w:val="24"/>
        </w:rPr>
        <w:t xml:space="preserve">between 69 and 88 percent effective </w:t>
      </w:r>
      <w:r w:rsidRPr="00764E9B">
        <w:rPr>
          <w:rFonts w:eastAsia="Times New Roman" w:cs="Times New Roman"/>
          <w:szCs w:val="24"/>
        </w:rPr>
        <w:t>in preventing rollovers</w:t>
      </w:r>
      <w:r>
        <w:rPr>
          <w:rFonts w:eastAsia="Times New Roman" w:cs="Times New Roman"/>
          <w:szCs w:val="24"/>
        </w:rPr>
        <w:t>.</w:t>
      </w:r>
      <w:r>
        <w:rPr>
          <w:rFonts w:eastAsia="Times New Roman" w:cs="Times New Roman"/>
          <w:sz w:val="20"/>
          <w:szCs w:val="20"/>
          <w:vertAlign w:val="superscript"/>
        </w:rPr>
        <w:footnoteReference w:id="30"/>
      </w:r>
      <w:r w:rsidRPr="00764E9B">
        <w:rPr>
          <w:rFonts w:eastAsia="Times New Roman" w:cs="Times New Roman"/>
          <w:szCs w:val="24"/>
        </w:rPr>
        <w:t xml:space="preserve"> </w:t>
      </w:r>
    </w:p>
    <w:p w14:paraId="5C9822D4" w14:textId="18482719" w:rsidR="0011234D" w:rsidRPr="00764E9B" w:rsidRDefault="000F5B51" w:rsidP="0093458D">
      <w:pPr>
        <w:spacing w:after="0" w:line="240" w:lineRule="auto"/>
        <w:contextualSpacing/>
        <w:jc w:val="center"/>
      </w:pPr>
      <w:bookmarkStart w:id="74" w:name="_Ref125969679"/>
      <w:r>
        <w:t xml:space="preserve">Table </w:t>
      </w:r>
      <w:r w:rsidR="00115BAB">
        <w:fldChar w:fldCharType="begin"/>
      </w:r>
      <w:r>
        <w:instrText xml:space="preserve"> SEQ Table \* ARABIC </w:instrText>
      </w:r>
      <w:r w:rsidR="00115BAB">
        <w:fldChar w:fldCharType="separate"/>
      </w:r>
      <w:r w:rsidR="00A65CB3">
        <w:rPr>
          <w:noProof/>
        </w:rPr>
        <w:t>10</w:t>
      </w:r>
      <w:r w:rsidR="00115BAB">
        <w:rPr>
          <w:noProof/>
        </w:rPr>
        <w:fldChar w:fldCharType="end"/>
      </w:r>
      <w:bookmarkEnd w:id="74"/>
      <w:r>
        <w:t xml:space="preserve">: </w:t>
      </w:r>
      <w:r w:rsidRPr="00871B5B">
        <w:t>ESC Effectiveness in Rollovers</w:t>
      </w:r>
      <w:r>
        <w:t xml:space="preserve"> </w:t>
      </w:r>
      <w:r w:rsidRPr="00871B5B">
        <w:t>and MY2011 Sales by Vehicle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0"/>
        <w:gridCol w:w="1850"/>
        <w:gridCol w:w="1909"/>
      </w:tblGrid>
      <w:tr w:rsidR="00A15C2C" w14:paraId="31A4DA18" w14:textId="77777777" w:rsidTr="003C04C4">
        <w:trPr>
          <w:jc w:val="center"/>
        </w:trPr>
        <w:tc>
          <w:tcPr>
            <w:tcW w:w="4180" w:type="dxa"/>
            <w:shd w:val="clear" w:color="auto" w:fill="D9D9D9" w:themeFill="background1" w:themeFillShade="D9"/>
            <w:vAlign w:val="center"/>
          </w:tcPr>
          <w:p w14:paraId="537D1447" w14:textId="77777777" w:rsidR="0011234D" w:rsidRPr="003D4682" w:rsidRDefault="000F5B51" w:rsidP="003C04C4">
            <w:pPr>
              <w:spacing w:after="0" w:line="240" w:lineRule="auto"/>
              <w:contextualSpacing/>
              <w:rPr>
                <w:rFonts w:eastAsia="Times New Roman" w:cs="Times New Roman"/>
                <w:b/>
                <w:bCs/>
                <w:szCs w:val="24"/>
              </w:rPr>
            </w:pPr>
            <w:r w:rsidRPr="003D4682">
              <w:rPr>
                <w:rFonts w:eastAsia="Times New Roman" w:cs="Times New Roman"/>
                <w:b/>
                <w:bCs/>
                <w:szCs w:val="24"/>
              </w:rPr>
              <w:t>Vehicle Type</w:t>
            </w:r>
          </w:p>
        </w:tc>
        <w:tc>
          <w:tcPr>
            <w:tcW w:w="1850" w:type="dxa"/>
            <w:shd w:val="clear" w:color="auto" w:fill="D9D9D9" w:themeFill="background1" w:themeFillShade="D9"/>
            <w:vAlign w:val="center"/>
          </w:tcPr>
          <w:p w14:paraId="007FCBE7" w14:textId="77777777" w:rsidR="0011234D" w:rsidRPr="003D4682" w:rsidRDefault="000F5B51" w:rsidP="003C04C4">
            <w:pPr>
              <w:spacing w:after="0" w:line="240" w:lineRule="auto"/>
              <w:contextualSpacing/>
              <w:jc w:val="center"/>
              <w:rPr>
                <w:rFonts w:eastAsia="Times New Roman" w:cs="Times New Roman"/>
                <w:b/>
                <w:bCs/>
                <w:szCs w:val="24"/>
              </w:rPr>
            </w:pPr>
            <w:r w:rsidRPr="003D4682">
              <w:rPr>
                <w:rFonts w:eastAsia="Times New Roman" w:cs="Times New Roman"/>
                <w:b/>
                <w:bCs/>
                <w:szCs w:val="24"/>
              </w:rPr>
              <w:t>Passenger Cars (PCs)</w:t>
            </w:r>
          </w:p>
        </w:tc>
        <w:tc>
          <w:tcPr>
            <w:tcW w:w="1909" w:type="dxa"/>
            <w:shd w:val="clear" w:color="auto" w:fill="D9D9D9" w:themeFill="background1" w:themeFillShade="D9"/>
            <w:vAlign w:val="center"/>
          </w:tcPr>
          <w:p w14:paraId="41BE03CE" w14:textId="77777777" w:rsidR="0011234D" w:rsidRPr="003D4682" w:rsidRDefault="000F5B51" w:rsidP="003C04C4">
            <w:pPr>
              <w:spacing w:after="0" w:line="240" w:lineRule="auto"/>
              <w:contextualSpacing/>
              <w:jc w:val="center"/>
              <w:rPr>
                <w:rFonts w:eastAsia="Times New Roman" w:cs="Times New Roman"/>
                <w:b/>
                <w:bCs/>
                <w:szCs w:val="24"/>
              </w:rPr>
            </w:pPr>
            <w:r w:rsidRPr="003D4682">
              <w:rPr>
                <w:rFonts w:eastAsia="Times New Roman" w:cs="Times New Roman"/>
                <w:b/>
                <w:bCs/>
                <w:szCs w:val="24"/>
              </w:rPr>
              <w:t>Light Trucks and Vans</w:t>
            </w:r>
            <w:r>
              <w:rPr>
                <w:rStyle w:val="FootnoteReference"/>
                <w:rFonts w:eastAsia="Times New Roman" w:cs="Times New Roman"/>
                <w:b/>
                <w:bCs/>
                <w:szCs w:val="24"/>
              </w:rPr>
              <w:footnoteReference w:id="31"/>
            </w:r>
            <w:r w:rsidRPr="003D4682">
              <w:rPr>
                <w:rFonts w:eastAsia="Times New Roman" w:cs="Times New Roman"/>
                <w:b/>
                <w:bCs/>
                <w:szCs w:val="24"/>
              </w:rPr>
              <w:t xml:space="preserve"> (LTVs)</w:t>
            </w:r>
          </w:p>
        </w:tc>
      </w:tr>
      <w:tr w:rsidR="00A15C2C" w14:paraId="0D815541" w14:textId="77777777" w:rsidTr="003C04C4">
        <w:trPr>
          <w:jc w:val="center"/>
        </w:trPr>
        <w:tc>
          <w:tcPr>
            <w:tcW w:w="4180" w:type="dxa"/>
            <w:vAlign w:val="center"/>
          </w:tcPr>
          <w:p w14:paraId="1C4F8B02" w14:textId="77777777" w:rsidR="0011234D" w:rsidRPr="00764E9B" w:rsidRDefault="000F5B51" w:rsidP="003C04C4">
            <w:pPr>
              <w:spacing w:after="0" w:line="240" w:lineRule="auto"/>
              <w:contextualSpacing/>
              <w:rPr>
                <w:rFonts w:eastAsia="Times New Roman" w:cs="Times New Roman"/>
                <w:szCs w:val="24"/>
              </w:rPr>
            </w:pPr>
            <w:r w:rsidRPr="00764E9B">
              <w:rPr>
                <w:rFonts w:eastAsia="Times New Roman" w:cs="Times New Roman"/>
                <w:szCs w:val="24"/>
              </w:rPr>
              <w:t xml:space="preserve">Fatal Single-vehicle </w:t>
            </w:r>
            <w:r w:rsidR="00214396">
              <w:rPr>
                <w:rFonts w:eastAsia="Times New Roman" w:cs="Times New Roman"/>
                <w:szCs w:val="24"/>
              </w:rPr>
              <w:t>R</w:t>
            </w:r>
            <w:r w:rsidRPr="00764E9B">
              <w:rPr>
                <w:rFonts w:eastAsia="Times New Roman" w:cs="Times New Roman"/>
                <w:szCs w:val="24"/>
              </w:rPr>
              <w:t>ollovers (FARS)</w:t>
            </w:r>
          </w:p>
        </w:tc>
        <w:tc>
          <w:tcPr>
            <w:tcW w:w="1850" w:type="dxa"/>
            <w:vAlign w:val="center"/>
          </w:tcPr>
          <w:p w14:paraId="32949FB9" w14:textId="77777777" w:rsidR="0011234D" w:rsidRPr="00764E9B" w:rsidRDefault="000F5B51" w:rsidP="003C04C4">
            <w:pPr>
              <w:spacing w:after="0" w:line="240" w:lineRule="auto"/>
              <w:contextualSpacing/>
              <w:jc w:val="center"/>
              <w:rPr>
                <w:rFonts w:eastAsia="Times New Roman" w:cs="Times New Roman"/>
                <w:szCs w:val="24"/>
              </w:rPr>
            </w:pPr>
            <w:r w:rsidRPr="00764E9B">
              <w:rPr>
                <w:rFonts w:eastAsia="Times New Roman" w:cs="Times New Roman"/>
                <w:szCs w:val="24"/>
              </w:rPr>
              <w:t>69%</w:t>
            </w:r>
          </w:p>
        </w:tc>
        <w:tc>
          <w:tcPr>
            <w:tcW w:w="1909" w:type="dxa"/>
            <w:vAlign w:val="center"/>
          </w:tcPr>
          <w:p w14:paraId="0AC04770" w14:textId="77777777" w:rsidR="0011234D" w:rsidRPr="00764E9B" w:rsidRDefault="000F5B51" w:rsidP="003C04C4">
            <w:pPr>
              <w:spacing w:after="0" w:line="240" w:lineRule="auto"/>
              <w:contextualSpacing/>
              <w:jc w:val="center"/>
              <w:rPr>
                <w:rFonts w:eastAsia="Times New Roman" w:cs="Times New Roman"/>
                <w:szCs w:val="24"/>
              </w:rPr>
            </w:pPr>
            <w:r w:rsidRPr="00764E9B">
              <w:rPr>
                <w:rFonts w:eastAsia="Times New Roman" w:cs="Times New Roman"/>
                <w:szCs w:val="24"/>
              </w:rPr>
              <w:t>88%</w:t>
            </w:r>
          </w:p>
        </w:tc>
      </w:tr>
      <w:tr w:rsidR="00A15C2C" w14:paraId="72DF775B" w14:textId="77777777" w:rsidTr="003C04C4">
        <w:trPr>
          <w:jc w:val="center"/>
        </w:trPr>
        <w:tc>
          <w:tcPr>
            <w:tcW w:w="4180" w:type="dxa"/>
            <w:vAlign w:val="center"/>
          </w:tcPr>
          <w:p w14:paraId="35B04F9E" w14:textId="77777777" w:rsidR="0011234D" w:rsidRPr="00764E9B" w:rsidRDefault="000F5B51" w:rsidP="003C04C4">
            <w:pPr>
              <w:spacing w:after="0" w:line="240" w:lineRule="auto"/>
              <w:contextualSpacing/>
              <w:rPr>
                <w:rFonts w:eastAsia="Times New Roman" w:cs="Times New Roman"/>
                <w:szCs w:val="24"/>
              </w:rPr>
            </w:pPr>
            <w:r w:rsidRPr="00764E9B">
              <w:rPr>
                <w:rFonts w:eastAsia="Times New Roman" w:cs="Times New Roman"/>
                <w:szCs w:val="24"/>
              </w:rPr>
              <w:t>MY 2011 Projected Percent Sales</w:t>
            </w:r>
          </w:p>
        </w:tc>
        <w:tc>
          <w:tcPr>
            <w:tcW w:w="1850" w:type="dxa"/>
            <w:vAlign w:val="center"/>
          </w:tcPr>
          <w:p w14:paraId="47EB324B" w14:textId="77777777" w:rsidR="0011234D" w:rsidRPr="00764E9B" w:rsidRDefault="000F5B51" w:rsidP="003C04C4">
            <w:pPr>
              <w:spacing w:after="0" w:line="240" w:lineRule="auto"/>
              <w:contextualSpacing/>
              <w:jc w:val="center"/>
              <w:rPr>
                <w:rFonts w:eastAsia="Times New Roman" w:cs="Times New Roman"/>
                <w:szCs w:val="24"/>
              </w:rPr>
            </w:pPr>
            <w:r w:rsidRPr="00764E9B">
              <w:rPr>
                <w:rFonts w:eastAsia="Times New Roman" w:cs="Times New Roman"/>
                <w:szCs w:val="24"/>
              </w:rPr>
              <w:t>4</w:t>
            </w:r>
            <w:r>
              <w:rPr>
                <w:rFonts w:eastAsia="Times New Roman" w:cs="Times New Roman"/>
                <w:szCs w:val="24"/>
              </w:rPr>
              <w:t>4</w:t>
            </w:r>
            <w:r w:rsidRPr="00764E9B">
              <w:rPr>
                <w:rFonts w:eastAsia="Times New Roman" w:cs="Times New Roman"/>
                <w:szCs w:val="24"/>
              </w:rPr>
              <w:t>%</w:t>
            </w:r>
          </w:p>
        </w:tc>
        <w:tc>
          <w:tcPr>
            <w:tcW w:w="1909" w:type="dxa"/>
            <w:vAlign w:val="center"/>
          </w:tcPr>
          <w:p w14:paraId="24F5558B" w14:textId="77777777" w:rsidR="0011234D" w:rsidRPr="00764E9B" w:rsidRDefault="000F5B51" w:rsidP="003C04C4">
            <w:pPr>
              <w:spacing w:after="0" w:line="240" w:lineRule="auto"/>
              <w:contextualSpacing/>
              <w:jc w:val="center"/>
              <w:rPr>
                <w:rFonts w:eastAsia="Times New Roman" w:cs="Times New Roman"/>
                <w:szCs w:val="24"/>
              </w:rPr>
            </w:pPr>
            <w:r w:rsidRPr="00764E9B">
              <w:rPr>
                <w:rFonts w:eastAsia="Times New Roman" w:cs="Times New Roman"/>
                <w:szCs w:val="24"/>
              </w:rPr>
              <w:t>5</w:t>
            </w:r>
            <w:r>
              <w:rPr>
                <w:rFonts w:eastAsia="Times New Roman" w:cs="Times New Roman"/>
                <w:szCs w:val="24"/>
              </w:rPr>
              <w:t>6</w:t>
            </w:r>
            <w:r w:rsidRPr="00764E9B">
              <w:rPr>
                <w:rFonts w:eastAsia="Times New Roman" w:cs="Times New Roman"/>
                <w:szCs w:val="24"/>
              </w:rPr>
              <w:t>%</w:t>
            </w:r>
          </w:p>
        </w:tc>
      </w:tr>
    </w:tbl>
    <w:p w14:paraId="01F2D14D" w14:textId="77777777" w:rsidR="0011234D" w:rsidRPr="00764E9B" w:rsidRDefault="0011234D" w:rsidP="0093458D">
      <w:pPr>
        <w:pStyle w:val="NoSpaceTimes"/>
      </w:pPr>
    </w:p>
    <w:p w14:paraId="5B543889" w14:textId="7906D324" w:rsidR="00982394" w:rsidRDefault="000F5B51" w:rsidP="0011234D">
      <w:pPr>
        <w:spacing w:after="0"/>
        <w:rPr>
          <w:rFonts w:eastAsia="Times New Roman" w:cs="Times New Roman"/>
        </w:rPr>
      </w:pPr>
      <w:r>
        <w:rPr>
          <w:rFonts w:eastAsia="Times New Roman" w:cs="Times New Roman"/>
        </w:rPr>
        <w:fldChar w:fldCharType="begin"/>
      </w:r>
      <w:r w:rsidRPr="4CA445B8">
        <w:rPr>
          <w:rFonts w:eastAsia="Times New Roman" w:cs="Times New Roman"/>
        </w:rPr>
        <w:instrText xml:space="preserve"> REF _Ref125977843 \h </w:instrText>
      </w:r>
      <w:r>
        <w:rPr>
          <w:rFonts w:eastAsia="Times New Roman" w:cs="Times New Roman"/>
        </w:rPr>
      </w:r>
      <w:r>
        <w:rPr>
          <w:rFonts w:eastAsia="Times New Roman" w:cs="Times New Roman"/>
        </w:rPr>
        <w:fldChar w:fldCharType="separate"/>
      </w:r>
      <w:r w:rsidR="00A65CB3" w:rsidRPr="00494B3C">
        <w:t xml:space="preserve">Table </w:t>
      </w:r>
      <w:r w:rsidR="00A65CB3">
        <w:rPr>
          <w:noProof/>
        </w:rPr>
        <w:t>106</w:t>
      </w:r>
      <w:r>
        <w:rPr>
          <w:rFonts w:eastAsia="Times New Roman" w:cs="Times New Roman"/>
          <w:szCs w:val="24"/>
        </w:rPr>
        <w:fldChar w:fldCharType="end"/>
      </w:r>
      <w:r w:rsidR="1E546DD7" w:rsidRPr="4CA445B8">
        <w:rPr>
          <w:rFonts w:eastAsia="Times New Roman" w:cs="Times New Roman"/>
        </w:rPr>
        <w:t xml:space="preserve"> </w:t>
      </w:r>
      <w:r w:rsidR="4429EE6E" w:rsidRPr="4CA445B8">
        <w:rPr>
          <w:rFonts w:eastAsia="Times New Roman" w:cs="Times New Roman"/>
        </w:rPr>
        <w:t>in Appendix C,</w:t>
      </w:r>
      <w:r w:rsidRPr="4CA445B8">
        <w:rPr>
          <w:rFonts w:eastAsia="Times New Roman" w:cs="Times New Roman"/>
        </w:rPr>
        <w:t xml:space="preserve"> presents the actual and estimated installation of ESC from</w:t>
      </w:r>
      <w:r w:rsidRPr="00054E8B">
        <w:t xml:space="preserve"> FMVSS No. 126 ESC Final Regulatory Analysis</w:t>
      </w:r>
      <w:r>
        <w:t xml:space="preserve"> for both PC and</w:t>
      </w:r>
      <w:r w:rsidR="00383D53">
        <w:t xml:space="preserve"> light trucks and vans</w:t>
      </w:r>
      <w:r>
        <w:t xml:space="preserve"> </w:t>
      </w:r>
      <w:r w:rsidR="00383D53">
        <w:t>(</w:t>
      </w:r>
      <w:r>
        <w:t>LTV</w:t>
      </w:r>
      <w:r w:rsidR="00383D53">
        <w:t>)</w:t>
      </w:r>
      <w:r w:rsidR="001F2F92">
        <w:t xml:space="preserve">. </w:t>
      </w:r>
      <w:r w:rsidRPr="4CA445B8">
        <w:rPr>
          <w:rFonts w:eastAsia="Times New Roman" w:cs="Times New Roman"/>
        </w:rPr>
        <w:t xml:space="preserve">Based on </w:t>
      </w:r>
      <w:r w:rsidRPr="4CA445B8">
        <w:rPr>
          <w:rFonts w:eastAsia="Times New Roman" w:cs="Times New Roman"/>
        </w:rPr>
        <w:lastRenderedPageBreak/>
        <w:t>the ESC final rule</w:t>
      </w:r>
      <w:r w:rsidR="00E97BAB" w:rsidRPr="4CA445B8">
        <w:rPr>
          <w:rFonts w:eastAsia="Times New Roman" w:cs="Times New Roman"/>
        </w:rPr>
        <w:t>,</w:t>
      </w:r>
      <w:r>
        <w:rPr>
          <w:rStyle w:val="FootnoteReference"/>
          <w:rFonts w:eastAsia="Times New Roman" w:cs="Times New Roman"/>
        </w:rPr>
        <w:footnoteReference w:id="32"/>
      </w:r>
      <w:r w:rsidRPr="4CA445B8">
        <w:rPr>
          <w:rFonts w:eastAsia="Times New Roman" w:cs="Times New Roman"/>
        </w:rPr>
        <w:t xml:space="preserve"> this analysis assumes that all applicable new vehicles will be equipped with ESC before the proposed rule is effective.</w:t>
      </w:r>
      <w:r>
        <w:rPr>
          <w:rFonts w:eastAsia="Times New Roman" w:cs="Times New Roman"/>
          <w:sz w:val="20"/>
          <w:szCs w:val="20"/>
          <w:vertAlign w:val="superscript"/>
        </w:rPr>
        <w:footnoteReference w:id="33"/>
      </w:r>
    </w:p>
    <w:bookmarkStart w:id="75" w:name="_Ref125977933"/>
    <w:p w14:paraId="4909B723" w14:textId="47974E5C" w:rsidR="0011234D" w:rsidRDefault="000F5B51" w:rsidP="0011234D">
      <w:pPr>
        <w:spacing w:after="0"/>
        <w:rPr>
          <w:rFonts w:eastAsia="Times New Roman" w:cs="Times New Roman"/>
        </w:rPr>
      </w:pPr>
      <w:r w:rsidRPr="4CA445B8">
        <w:rPr>
          <w:rFonts w:eastAsia="Times New Roman" w:cs="Times New Roman"/>
        </w:rPr>
        <w:fldChar w:fldCharType="begin"/>
      </w:r>
      <w:r w:rsidRPr="4CA445B8">
        <w:rPr>
          <w:rFonts w:eastAsia="Times New Roman" w:cs="Times New Roman"/>
        </w:rPr>
        <w:instrText xml:space="preserve"> REF _Ref126313733 \h </w:instrText>
      </w:r>
      <w:r w:rsidRPr="4CA445B8">
        <w:rPr>
          <w:rFonts w:eastAsia="Times New Roman" w:cs="Times New Roman"/>
        </w:rPr>
      </w:r>
      <w:r w:rsidRPr="4CA445B8">
        <w:rPr>
          <w:rFonts w:eastAsia="Times New Roman" w:cs="Times New Roman"/>
        </w:rPr>
        <w:fldChar w:fldCharType="separate"/>
      </w:r>
      <w:r w:rsidR="00A65CB3">
        <w:t xml:space="preserve">Figure </w:t>
      </w:r>
      <w:r w:rsidR="00A65CB3">
        <w:rPr>
          <w:noProof/>
        </w:rPr>
        <w:t>2</w:t>
      </w:r>
      <w:r w:rsidRPr="4CA445B8">
        <w:rPr>
          <w:rFonts w:eastAsia="Times New Roman" w:cs="Times New Roman"/>
        </w:rPr>
        <w:fldChar w:fldCharType="end"/>
      </w:r>
      <w:r w:rsidR="008A535D" w:rsidRPr="4CA445B8">
        <w:rPr>
          <w:rFonts w:eastAsia="Times New Roman" w:cs="Times New Roman"/>
        </w:rPr>
        <w:t xml:space="preserve"> presents the ESC installation rates by MY vehicle</w:t>
      </w:r>
      <w:r w:rsidR="00334A1E" w:rsidRPr="4CA445B8">
        <w:rPr>
          <w:rFonts w:eastAsia="Times New Roman" w:cs="Times New Roman"/>
        </w:rPr>
        <w:t xml:space="preserve"> </w:t>
      </w:r>
      <w:r w:rsidR="00334A1E">
        <w:t xml:space="preserve">(see </w:t>
      </w:r>
      <w:r w:rsidR="00334A1E">
        <w:fldChar w:fldCharType="begin"/>
      </w:r>
      <w:r w:rsidR="00334A1E">
        <w:instrText xml:space="preserve"> REF _Ref125981619 \h </w:instrText>
      </w:r>
      <w:r w:rsidR="00334A1E">
        <w:fldChar w:fldCharType="separate"/>
      </w:r>
      <w:r w:rsidR="00A65CB3">
        <w:t>Appendix C</w:t>
      </w:r>
      <w:r w:rsidR="00334A1E">
        <w:fldChar w:fldCharType="end"/>
      </w:r>
      <w:r w:rsidR="0056012A">
        <w:t xml:space="preserve"> for a detailed presentation of installations rates)</w:t>
      </w:r>
      <w:r w:rsidR="001F2F92">
        <w:rPr>
          <w:rFonts w:eastAsia="Times New Roman" w:cs="Times New Roman"/>
        </w:rPr>
        <w:t xml:space="preserve">. </w:t>
      </w:r>
      <w:r w:rsidRPr="4CA445B8">
        <w:rPr>
          <w:rFonts w:eastAsia="Times New Roman" w:cs="Times New Roman"/>
        </w:rPr>
        <w:t>To adjust the target population to account for the potential benefits from ESC, this analysis</w:t>
      </w:r>
      <w:r w:rsidR="004B417B" w:rsidRPr="4CA445B8">
        <w:rPr>
          <w:rFonts w:eastAsia="Times New Roman" w:cs="Times New Roman"/>
        </w:rPr>
        <w:t xml:space="preserve"> </w:t>
      </w:r>
      <w:r w:rsidRPr="4CA445B8">
        <w:rPr>
          <w:rFonts w:eastAsia="Times New Roman" w:cs="Times New Roman"/>
        </w:rPr>
        <w:t>calculates the percentage of a particular MY of vehicles with ESC on the road by multiplying the exposure proportion columns by the</w:t>
      </w:r>
      <w:r w:rsidR="00EB54FA" w:rsidRPr="4CA445B8">
        <w:rPr>
          <w:rFonts w:eastAsia="Times New Roman" w:cs="Times New Roman"/>
        </w:rPr>
        <w:t xml:space="preserve"> with ESC (</w:t>
      </w:r>
      <w:r w:rsidR="0064493C" w:rsidRPr="4CA445B8">
        <w:rPr>
          <w:rFonts w:eastAsia="Times New Roman" w:cs="Times New Roman"/>
        </w:rPr>
        <w:t>)</w:t>
      </w:r>
      <w:r w:rsidRPr="4CA445B8">
        <w:rPr>
          <w:rFonts w:eastAsia="Times New Roman" w:cs="Times New Roman"/>
        </w:rPr>
        <w:t>, populated with installation rates from Wards.</w:t>
      </w:r>
      <w:r>
        <w:rPr>
          <w:rStyle w:val="FootnoteReference"/>
          <w:rFonts w:eastAsia="Times New Roman" w:cs="Times New Roman"/>
        </w:rPr>
        <w:footnoteReference w:id="34"/>
      </w:r>
      <w:r w:rsidRPr="4CA445B8">
        <w:rPr>
          <w:rFonts w:eastAsia="Times New Roman" w:cs="Times New Roman"/>
        </w:rPr>
        <w:t xml:space="preserve">  </w:t>
      </w:r>
    </w:p>
    <w:p w14:paraId="14C3A29E" w14:textId="68699DC3" w:rsidR="0011234D" w:rsidRDefault="000F5B51" w:rsidP="0011234D">
      <w:pPr>
        <w:pStyle w:val="Caption"/>
        <w:rPr>
          <w:rFonts w:cs="Times New Roman"/>
        </w:rPr>
      </w:pPr>
      <w:bookmarkStart w:id="76" w:name="_Ref126313733"/>
      <w:bookmarkStart w:id="77" w:name="_Ref126313719"/>
      <w:r>
        <w:t xml:space="preserve">Figure </w:t>
      </w:r>
      <w:r w:rsidR="00115BAB">
        <w:fldChar w:fldCharType="begin"/>
      </w:r>
      <w:r>
        <w:instrText xml:space="preserve"> SEQ Figure \* ARABIC </w:instrText>
      </w:r>
      <w:r w:rsidR="00115BAB">
        <w:fldChar w:fldCharType="separate"/>
      </w:r>
      <w:r w:rsidR="00A65CB3">
        <w:rPr>
          <w:noProof/>
        </w:rPr>
        <w:t>2</w:t>
      </w:r>
      <w:r w:rsidR="00115BAB">
        <w:rPr>
          <w:noProof/>
        </w:rPr>
        <w:fldChar w:fldCharType="end"/>
      </w:r>
      <w:bookmarkEnd w:id="75"/>
      <w:bookmarkEnd w:id="76"/>
      <w:r>
        <w:t xml:space="preserve">: </w:t>
      </w:r>
      <w:r w:rsidRPr="00F34A0F">
        <w:t>ESC installation rates by MY vehicle</w:t>
      </w:r>
      <w:bookmarkEnd w:id="77"/>
    </w:p>
    <w:p w14:paraId="798E6163" w14:textId="77777777" w:rsidR="0011234D" w:rsidRPr="002B14AE" w:rsidRDefault="000F5B51" w:rsidP="0011234D">
      <w:pPr>
        <w:spacing w:after="0" w:line="240" w:lineRule="auto"/>
        <w:contextualSpacing/>
        <w:jc w:val="center"/>
        <w:rPr>
          <w:rFonts w:cs="Times New Roman"/>
        </w:rPr>
      </w:pPr>
      <w:r w:rsidRPr="00993575">
        <w:rPr>
          <w:rFonts w:cs="Times New Roman"/>
          <w:noProof/>
        </w:rPr>
        <w:drawing>
          <wp:inline distT="0" distB="0" distL="0" distR="0" wp14:anchorId="65712577" wp14:editId="501C5301">
            <wp:extent cx="5353050" cy="3176588"/>
            <wp:effectExtent l="0" t="0" r="0" b="5080"/>
            <wp:docPr id="6" name="Chart 6">
              <a:extLst xmlns:a="http://schemas.openxmlformats.org/drawingml/2006/main">
                <a:ext uri="{FF2B5EF4-FFF2-40B4-BE49-F238E27FC236}">
                  <a16:creationId xmlns:a16="http://schemas.microsoft.com/office/drawing/2014/main" id="{BF3B86A1-1380-4665-B3E1-79F6AFD6E7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63B0621" w14:textId="77777777" w:rsidR="0011234D" w:rsidRDefault="0011234D" w:rsidP="0011234D">
      <w:pPr>
        <w:pStyle w:val="NoSpaceTimes"/>
      </w:pPr>
    </w:p>
    <w:p w14:paraId="016700E0" w14:textId="59B3A79F" w:rsidR="0011234D" w:rsidRDefault="000F5B51" w:rsidP="0011234D">
      <w:pPr>
        <w:spacing w:after="0"/>
        <w:rPr>
          <w:rFonts w:eastAsia="Times New Roman" w:cs="Times New Roman"/>
          <w:szCs w:val="24"/>
        </w:rPr>
      </w:pPr>
      <w:r>
        <w:rPr>
          <w:rFonts w:eastAsia="Times New Roman" w:cs="Times New Roman"/>
          <w:szCs w:val="24"/>
        </w:rPr>
        <w:fldChar w:fldCharType="begin"/>
      </w:r>
      <w:r>
        <w:rPr>
          <w:rFonts w:eastAsia="Times New Roman" w:cs="Times New Roman"/>
          <w:szCs w:val="24"/>
        </w:rPr>
        <w:instrText xml:space="preserve"> REF _Ref125978257 \h </w:instrText>
      </w:r>
      <w:r>
        <w:rPr>
          <w:rFonts w:eastAsia="Times New Roman" w:cs="Times New Roman"/>
          <w:szCs w:val="24"/>
        </w:rPr>
      </w:r>
      <w:r>
        <w:rPr>
          <w:rFonts w:eastAsia="Times New Roman" w:cs="Times New Roman"/>
          <w:szCs w:val="24"/>
        </w:rPr>
        <w:fldChar w:fldCharType="separate"/>
      </w:r>
      <w:r w:rsidR="00A65CB3">
        <w:t xml:space="preserve">Table </w:t>
      </w:r>
      <w:r w:rsidR="00A65CB3">
        <w:rPr>
          <w:noProof/>
        </w:rPr>
        <w:t>11</w:t>
      </w:r>
      <w:r>
        <w:rPr>
          <w:rFonts w:eastAsia="Times New Roman" w:cs="Times New Roman"/>
          <w:szCs w:val="24"/>
        </w:rPr>
        <w:fldChar w:fldCharType="end"/>
      </w:r>
      <w:r>
        <w:rPr>
          <w:rFonts w:eastAsia="Times New Roman" w:cs="Times New Roman"/>
          <w:szCs w:val="24"/>
        </w:rPr>
        <w:t xml:space="preserve"> presents ESC effectiveness by vehicle type and crash type from the </w:t>
      </w:r>
      <w:r w:rsidR="0003277E">
        <w:rPr>
          <w:rFonts w:eastAsia="Times New Roman" w:cs="Times New Roman"/>
          <w:szCs w:val="24"/>
        </w:rPr>
        <w:t xml:space="preserve">FMVSS No. 126 </w:t>
      </w:r>
      <w:r>
        <w:rPr>
          <w:rFonts w:eastAsia="Times New Roman" w:cs="Times New Roman"/>
          <w:szCs w:val="24"/>
        </w:rPr>
        <w:t>FRIA.</w:t>
      </w:r>
      <w:r>
        <w:rPr>
          <w:rStyle w:val="FootnoteReference"/>
          <w:rFonts w:eastAsia="Times New Roman" w:cs="Times New Roman"/>
          <w:szCs w:val="24"/>
        </w:rPr>
        <w:footnoteReference w:id="35"/>
      </w:r>
      <w:r>
        <w:rPr>
          <w:rFonts w:eastAsia="Times New Roman" w:cs="Times New Roman"/>
          <w:szCs w:val="24"/>
        </w:rPr>
        <w:t xml:space="preserve"> </w:t>
      </w:r>
      <w:r w:rsidR="00CF2392">
        <w:rPr>
          <w:rFonts w:eastAsia="Times New Roman" w:cs="Times New Roman"/>
          <w:szCs w:val="24"/>
        </w:rPr>
        <w:t xml:space="preserve"> </w:t>
      </w:r>
      <w:r>
        <w:rPr>
          <w:rFonts w:eastAsia="Times New Roman" w:cs="Times New Roman"/>
          <w:szCs w:val="24"/>
        </w:rPr>
        <w:t xml:space="preserve">Those effectiveness rates are used to exclude potential ESC benefits from the SBWS </w:t>
      </w:r>
      <w:r>
        <w:rPr>
          <w:rFonts w:eastAsia="Times New Roman" w:cs="Times New Roman"/>
          <w:szCs w:val="24"/>
        </w:rPr>
        <w:lastRenderedPageBreak/>
        <w:t>target population</w:t>
      </w:r>
      <w:r w:rsidR="001F2F92">
        <w:rPr>
          <w:rFonts w:eastAsia="Times New Roman" w:cs="Times New Roman"/>
          <w:szCs w:val="24"/>
        </w:rPr>
        <w:t xml:space="preserve">. </w:t>
      </w:r>
      <w:r>
        <w:rPr>
          <w:rFonts w:eastAsia="Times New Roman" w:cs="Times New Roman"/>
          <w:szCs w:val="24"/>
        </w:rPr>
        <w:t>For both PC and LTV, ESC has an effectiveness rate of 12 percent for side impact crashes. In the case of rollover crashes, ESC has an effectiveness rate of 69 percent for PCs and 88 percent for LTV</w:t>
      </w:r>
      <w:r w:rsidR="00106074">
        <w:rPr>
          <w:rFonts w:eastAsia="Times New Roman" w:cs="Times New Roman"/>
          <w:szCs w:val="24"/>
        </w:rPr>
        <w:t>s</w:t>
      </w:r>
      <w:r>
        <w:rPr>
          <w:rFonts w:eastAsia="Times New Roman" w:cs="Times New Roman"/>
          <w:szCs w:val="24"/>
        </w:rPr>
        <w:t>.</w:t>
      </w:r>
      <w:r w:rsidR="0062740C" w:rsidRPr="0062740C">
        <w:rPr>
          <w:rStyle w:val="FootnoteReference"/>
          <w:b/>
          <w:bCs/>
          <w:szCs w:val="24"/>
        </w:rPr>
        <w:t xml:space="preserve"> </w:t>
      </w:r>
      <w:r>
        <w:rPr>
          <w:rStyle w:val="FootnoteReference"/>
          <w:b/>
          <w:bCs/>
          <w:szCs w:val="24"/>
        </w:rPr>
        <w:footnoteReference w:id="36"/>
      </w:r>
      <w:r>
        <w:rPr>
          <w:rFonts w:eastAsia="Times New Roman" w:cs="Times New Roman"/>
          <w:szCs w:val="24"/>
        </w:rPr>
        <w:t xml:space="preserve"> ESC does not have effectiveness in preventing front or rear impact crashes and, therefore, does not require an adjustment for those types of crashes.</w:t>
      </w:r>
    </w:p>
    <w:p w14:paraId="67993F87" w14:textId="16270483" w:rsidR="0011234D" w:rsidRPr="00881CC5" w:rsidRDefault="000F5B51" w:rsidP="0011234D">
      <w:pPr>
        <w:pStyle w:val="Caption"/>
      </w:pPr>
      <w:bookmarkStart w:id="78" w:name="_Ref125978257"/>
      <w:r>
        <w:t xml:space="preserve">Table </w:t>
      </w:r>
      <w:r w:rsidR="00115BAB">
        <w:fldChar w:fldCharType="begin"/>
      </w:r>
      <w:r>
        <w:instrText xml:space="preserve"> SEQ Table \* ARABIC </w:instrText>
      </w:r>
      <w:r w:rsidR="00115BAB">
        <w:fldChar w:fldCharType="separate"/>
      </w:r>
      <w:r w:rsidR="00A65CB3">
        <w:rPr>
          <w:noProof/>
        </w:rPr>
        <w:t>11</w:t>
      </w:r>
      <w:r w:rsidR="00115BAB">
        <w:rPr>
          <w:noProof/>
        </w:rPr>
        <w:fldChar w:fldCharType="end"/>
      </w:r>
      <w:bookmarkEnd w:id="78"/>
      <w:r>
        <w:t xml:space="preserve">: </w:t>
      </w:r>
      <w:r w:rsidRPr="00C909B8">
        <w:t>Effectiveness of ESC by Vehicle Type and Crash Type</w:t>
      </w:r>
    </w:p>
    <w:tbl>
      <w:tblPr>
        <w:tblW w:w="7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10"/>
        <w:gridCol w:w="1271"/>
        <w:gridCol w:w="1204"/>
        <w:gridCol w:w="1177"/>
        <w:gridCol w:w="1590"/>
      </w:tblGrid>
      <w:tr w:rsidR="00A15C2C" w14:paraId="293171C0" w14:textId="77777777" w:rsidTr="00AA4737">
        <w:trPr>
          <w:trHeight w:val="144"/>
          <w:jc w:val="center"/>
        </w:trPr>
        <w:tc>
          <w:tcPr>
            <w:tcW w:w="2610" w:type="dxa"/>
            <w:vMerge w:val="restart"/>
            <w:shd w:val="clear" w:color="auto" w:fill="BFBFBF" w:themeFill="background1" w:themeFillShade="BF"/>
            <w:noWrap/>
            <w:vAlign w:val="center"/>
          </w:tcPr>
          <w:p w14:paraId="7D271A0C" w14:textId="77777777" w:rsidR="00106074" w:rsidRDefault="000F5B51" w:rsidP="003C04C4">
            <w:pPr>
              <w:pStyle w:val="NoSpacing"/>
              <w:jc w:val="left"/>
              <w:rPr>
                <w:b/>
                <w:bCs/>
                <w:szCs w:val="24"/>
              </w:rPr>
            </w:pPr>
            <w:r>
              <w:rPr>
                <w:b/>
                <w:bCs/>
                <w:szCs w:val="24"/>
              </w:rPr>
              <w:t>Vehicle Type</w:t>
            </w:r>
          </w:p>
        </w:tc>
        <w:tc>
          <w:tcPr>
            <w:tcW w:w="5242" w:type="dxa"/>
            <w:gridSpan w:val="4"/>
            <w:tcBorders>
              <w:top w:val="single" w:sz="6" w:space="0" w:color="auto"/>
            </w:tcBorders>
            <w:shd w:val="clear" w:color="auto" w:fill="BFBFBF" w:themeFill="background1" w:themeFillShade="BF"/>
            <w:noWrap/>
            <w:vAlign w:val="center"/>
          </w:tcPr>
          <w:p w14:paraId="601F3B43" w14:textId="77777777" w:rsidR="00106074" w:rsidRPr="003D4682" w:rsidRDefault="000F5B51" w:rsidP="00494B3C">
            <w:pPr>
              <w:pStyle w:val="NoSpacing"/>
              <w:rPr>
                <w:b/>
                <w:bCs/>
                <w:szCs w:val="24"/>
              </w:rPr>
            </w:pPr>
            <w:r>
              <w:rPr>
                <w:b/>
                <w:bCs/>
                <w:szCs w:val="24"/>
              </w:rPr>
              <w:t>Crash Type</w:t>
            </w:r>
          </w:p>
        </w:tc>
      </w:tr>
      <w:tr w:rsidR="00A15C2C" w14:paraId="4D31C6E8" w14:textId="77777777" w:rsidTr="00AA4737">
        <w:trPr>
          <w:trHeight w:val="144"/>
          <w:jc w:val="center"/>
        </w:trPr>
        <w:tc>
          <w:tcPr>
            <w:tcW w:w="2610" w:type="dxa"/>
            <w:vMerge/>
            <w:shd w:val="clear" w:color="auto" w:fill="BFBFBF" w:themeFill="background1" w:themeFillShade="BF"/>
            <w:noWrap/>
            <w:vAlign w:val="center"/>
            <w:hideMark/>
          </w:tcPr>
          <w:p w14:paraId="68E5A89E" w14:textId="77777777" w:rsidR="00106074" w:rsidRPr="003D4682" w:rsidRDefault="00106074" w:rsidP="003C04C4">
            <w:pPr>
              <w:pStyle w:val="NoSpacing"/>
              <w:jc w:val="left"/>
              <w:rPr>
                <w:b/>
                <w:bCs/>
                <w:szCs w:val="24"/>
              </w:rPr>
            </w:pPr>
          </w:p>
        </w:tc>
        <w:tc>
          <w:tcPr>
            <w:tcW w:w="1271" w:type="dxa"/>
            <w:tcBorders>
              <w:top w:val="single" w:sz="6" w:space="0" w:color="auto"/>
            </w:tcBorders>
            <w:shd w:val="clear" w:color="auto" w:fill="BFBFBF" w:themeFill="background1" w:themeFillShade="BF"/>
            <w:noWrap/>
            <w:vAlign w:val="center"/>
            <w:hideMark/>
          </w:tcPr>
          <w:p w14:paraId="4D829562" w14:textId="77777777" w:rsidR="00106074" w:rsidRPr="003D4682" w:rsidRDefault="000F5B51" w:rsidP="003C04C4">
            <w:pPr>
              <w:pStyle w:val="NoSpacing"/>
              <w:rPr>
                <w:b/>
                <w:bCs/>
                <w:szCs w:val="24"/>
              </w:rPr>
            </w:pPr>
            <w:r w:rsidRPr="003D4682">
              <w:rPr>
                <w:b/>
                <w:bCs/>
                <w:szCs w:val="24"/>
              </w:rPr>
              <w:t>Front</w:t>
            </w:r>
          </w:p>
        </w:tc>
        <w:tc>
          <w:tcPr>
            <w:tcW w:w="1204" w:type="dxa"/>
            <w:tcBorders>
              <w:top w:val="single" w:sz="6" w:space="0" w:color="auto"/>
            </w:tcBorders>
            <w:shd w:val="clear" w:color="auto" w:fill="BFBFBF" w:themeFill="background1" w:themeFillShade="BF"/>
            <w:noWrap/>
            <w:vAlign w:val="center"/>
            <w:hideMark/>
          </w:tcPr>
          <w:p w14:paraId="25A99E3B" w14:textId="77777777" w:rsidR="00106074" w:rsidRPr="003D4682" w:rsidRDefault="000F5B51" w:rsidP="003C04C4">
            <w:pPr>
              <w:pStyle w:val="NoSpacing"/>
              <w:rPr>
                <w:b/>
                <w:bCs/>
                <w:szCs w:val="24"/>
              </w:rPr>
            </w:pPr>
            <w:r w:rsidRPr="003D4682">
              <w:rPr>
                <w:b/>
                <w:bCs/>
                <w:szCs w:val="24"/>
              </w:rPr>
              <w:t>Rear</w:t>
            </w:r>
          </w:p>
        </w:tc>
        <w:tc>
          <w:tcPr>
            <w:tcW w:w="1177" w:type="dxa"/>
            <w:tcBorders>
              <w:top w:val="single" w:sz="6" w:space="0" w:color="auto"/>
            </w:tcBorders>
            <w:shd w:val="clear" w:color="auto" w:fill="BFBFBF" w:themeFill="background1" w:themeFillShade="BF"/>
            <w:noWrap/>
            <w:vAlign w:val="center"/>
            <w:hideMark/>
          </w:tcPr>
          <w:p w14:paraId="7727F7CD" w14:textId="77777777" w:rsidR="00106074" w:rsidRPr="003D4682" w:rsidRDefault="000F5B51" w:rsidP="003C04C4">
            <w:pPr>
              <w:pStyle w:val="NoSpacing"/>
              <w:rPr>
                <w:b/>
                <w:bCs/>
                <w:szCs w:val="24"/>
              </w:rPr>
            </w:pPr>
            <w:r w:rsidRPr="003D4682">
              <w:rPr>
                <w:b/>
                <w:bCs/>
                <w:szCs w:val="24"/>
              </w:rPr>
              <w:t>Side</w:t>
            </w:r>
          </w:p>
        </w:tc>
        <w:tc>
          <w:tcPr>
            <w:tcW w:w="1590" w:type="dxa"/>
            <w:shd w:val="clear" w:color="auto" w:fill="BFBFBF" w:themeFill="background1" w:themeFillShade="BF"/>
            <w:noWrap/>
            <w:vAlign w:val="center"/>
            <w:hideMark/>
          </w:tcPr>
          <w:p w14:paraId="535A606B" w14:textId="77777777" w:rsidR="00106074" w:rsidRPr="003D4682" w:rsidRDefault="000F5B51" w:rsidP="003C04C4">
            <w:pPr>
              <w:pStyle w:val="NoSpacing"/>
              <w:rPr>
                <w:b/>
                <w:bCs/>
                <w:szCs w:val="24"/>
              </w:rPr>
            </w:pPr>
            <w:r w:rsidRPr="003D4682">
              <w:rPr>
                <w:b/>
                <w:bCs/>
                <w:szCs w:val="24"/>
              </w:rPr>
              <w:t>Rollover</w:t>
            </w:r>
          </w:p>
        </w:tc>
      </w:tr>
      <w:tr w:rsidR="00A15C2C" w14:paraId="40FDD48A" w14:textId="77777777" w:rsidTr="003C04C4">
        <w:trPr>
          <w:trHeight w:val="300"/>
          <w:jc w:val="center"/>
        </w:trPr>
        <w:tc>
          <w:tcPr>
            <w:tcW w:w="2610" w:type="dxa"/>
            <w:noWrap/>
            <w:vAlign w:val="center"/>
            <w:hideMark/>
          </w:tcPr>
          <w:p w14:paraId="09A88A8D" w14:textId="77777777" w:rsidR="0011234D" w:rsidRPr="00BA13D0" w:rsidRDefault="000F5B51" w:rsidP="003C04C4">
            <w:pPr>
              <w:pStyle w:val="NoSpacing"/>
              <w:jc w:val="left"/>
              <w:rPr>
                <w:szCs w:val="24"/>
              </w:rPr>
            </w:pPr>
            <w:r w:rsidRPr="00E752A0">
              <w:rPr>
                <w:szCs w:val="24"/>
              </w:rPr>
              <w:t xml:space="preserve">PC </w:t>
            </w:r>
          </w:p>
        </w:tc>
        <w:tc>
          <w:tcPr>
            <w:tcW w:w="0" w:type="auto"/>
            <w:shd w:val="clear" w:color="auto" w:fill="auto"/>
            <w:noWrap/>
            <w:vAlign w:val="center"/>
            <w:hideMark/>
          </w:tcPr>
          <w:p w14:paraId="21D7F5A7" w14:textId="77777777" w:rsidR="0011234D" w:rsidRPr="00BA13D0" w:rsidRDefault="000F5B51" w:rsidP="003C04C4">
            <w:pPr>
              <w:pStyle w:val="NoSpacing"/>
              <w:rPr>
                <w:szCs w:val="24"/>
              </w:rPr>
            </w:pPr>
            <w:r w:rsidRPr="00E752A0">
              <w:rPr>
                <w:szCs w:val="24"/>
              </w:rPr>
              <w:t>0</w:t>
            </w:r>
          </w:p>
        </w:tc>
        <w:tc>
          <w:tcPr>
            <w:tcW w:w="0" w:type="auto"/>
            <w:shd w:val="clear" w:color="auto" w:fill="auto"/>
            <w:noWrap/>
            <w:vAlign w:val="center"/>
            <w:hideMark/>
          </w:tcPr>
          <w:p w14:paraId="74F7C482" w14:textId="77777777" w:rsidR="0011234D" w:rsidRPr="00BA13D0" w:rsidRDefault="000F5B51" w:rsidP="003C04C4">
            <w:pPr>
              <w:pStyle w:val="NoSpacing"/>
              <w:rPr>
                <w:szCs w:val="24"/>
              </w:rPr>
            </w:pPr>
            <w:r w:rsidRPr="00E752A0">
              <w:rPr>
                <w:szCs w:val="24"/>
              </w:rPr>
              <w:t>0</w:t>
            </w:r>
          </w:p>
        </w:tc>
        <w:tc>
          <w:tcPr>
            <w:tcW w:w="0" w:type="auto"/>
            <w:shd w:val="clear" w:color="auto" w:fill="auto"/>
            <w:noWrap/>
            <w:vAlign w:val="center"/>
            <w:hideMark/>
          </w:tcPr>
          <w:p w14:paraId="603A9BF2" w14:textId="77777777" w:rsidR="0011234D" w:rsidRPr="00BA13D0" w:rsidRDefault="000F5B51" w:rsidP="003C04C4">
            <w:pPr>
              <w:pStyle w:val="NoSpacing"/>
              <w:rPr>
                <w:szCs w:val="24"/>
              </w:rPr>
            </w:pPr>
            <w:r w:rsidRPr="00E752A0">
              <w:rPr>
                <w:szCs w:val="24"/>
              </w:rPr>
              <w:t>0.12</w:t>
            </w:r>
          </w:p>
        </w:tc>
        <w:tc>
          <w:tcPr>
            <w:tcW w:w="0" w:type="auto"/>
            <w:shd w:val="clear" w:color="auto" w:fill="auto"/>
            <w:noWrap/>
            <w:vAlign w:val="center"/>
            <w:hideMark/>
          </w:tcPr>
          <w:p w14:paraId="437D8255" w14:textId="77777777" w:rsidR="0011234D" w:rsidRPr="00BA13D0" w:rsidRDefault="000F5B51" w:rsidP="003C04C4">
            <w:pPr>
              <w:pStyle w:val="NoSpacing"/>
              <w:rPr>
                <w:szCs w:val="24"/>
              </w:rPr>
            </w:pPr>
            <w:r w:rsidRPr="00E752A0">
              <w:rPr>
                <w:szCs w:val="24"/>
              </w:rPr>
              <w:t>0.69</w:t>
            </w:r>
          </w:p>
        </w:tc>
      </w:tr>
      <w:tr w:rsidR="00A15C2C" w14:paraId="52EC3217" w14:textId="77777777" w:rsidTr="003C04C4">
        <w:trPr>
          <w:trHeight w:val="300"/>
          <w:jc w:val="center"/>
        </w:trPr>
        <w:tc>
          <w:tcPr>
            <w:tcW w:w="2610" w:type="dxa"/>
            <w:noWrap/>
            <w:vAlign w:val="center"/>
            <w:hideMark/>
          </w:tcPr>
          <w:p w14:paraId="64CF8DEB" w14:textId="77777777" w:rsidR="0011234D" w:rsidRPr="00BA13D0" w:rsidRDefault="000F5B51" w:rsidP="003C04C4">
            <w:pPr>
              <w:pStyle w:val="NoSpacing"/>
              <w:jc w:val="left"/>
              <w:rPr>
                <w:color w:val="000000"/>
                <w:szCs w:val="24"/>
                <w:lang w:eastAsia="ja-JP"/>
              </w:rPr>
            </w:pPr>
            <w:r w:rsidRPr="00E752A0">
              <w:rPr>
                <w:szCs w:val="24"/>
              </w:rPr>
              <w:t xml:space="preserve">LTV </w:t>
            </w:r>
          </w:p>
        </w:tc>
        <w:tc>
          <w:tcPr>
            <w:tcW w:w="0" w:type="auto"/>
            <w:shd w:val="clear" w:color="auto" w:fill="auto"/>
            <w:noWrap/>
            <w:vAlign w:val="center"/>
            <w:hideMark/>
          </w:tcPr>
          <w:p w14:paraId="09845DC5" w14:textId="77777777" w:rsidR="0011234D" w:rsidRPr="00E752A0" w:rsidRDefault="000F5B51" w:rsidP="003C04C4">
            <w:pPr>
              <w:pStyle w:val="NoSpacing"/>
              <w:rPr>
                <w:szCs w:val="24"/>
              </w:rPr>
            </w:pPr>
            <w:r w:rsidRPr="00E752A0">
              <w:rPr>
                <w:szCs w:val="24"/>
              </w:rPr>
              <w:t>0</w:t>
            </w:r>
          </w:p>
        </w:tc>
        <w:tc>
          <w:tcPr>
            <w:tcW w:w="0" w:type="auto"/>
            <w:shd w:val="clear" w:color="auto" w:fill="auto"/>
            <w:noWrap/>
            <w:vAlign w:val="center"/>
            <w:hideMark/>
          </w:tcPr>
          <w:p w14:paraId="360E0989" w14:textId="77777777" w:rsidR="0011234D" w:rsidRPr="00E752A0" w:rsidRDefault="000F5B51" w:rsidP="003C04C4">
            <w:pPr>
              <w:pStyle w:val="NoSpacing"/>
              <w:rPr>
                <w:szCs w:val="24"/>
              </w:rPr>
            </w:pPr>
            <w:r w:rsidRPr="00E752A0">
              <w:rPr>
                <w:szCs w:val="24"/>
              </w:rPr>
              <w:t>0</w:t>
            </w:r>
          </w:p>
        </w:tc>
        <w:tc>
          <w:tcPr>
            <w:tcW w:w="0" w:type="auto"/>
            <w:shd w:val="clear" w:color="auto" w:fill="auto"/>
            <w:noWrap/>
            <w:vAlign w:val="center"/>
            <w:hideMark/>
          </w:tcPr>
          <w:p w14:paraId="5390A4BC" w14:textId="77777777" w:rsidR="0011234D" w:rsidRPr="00E752A0" w:rsidRDefault="000F5B51" w:rsidP="003C04C4">
            <w:pPr>
              <w:pStyle w:val="NoSpacing"/>
              <w:rPr>
                <w:szCs w:val="24"/>
              </w:rPr>
            </w:pPr>
            <w:r w:rsidRPr="00E752A0">
              <w:rPr>
                <w:szCs w:val="24"/>
              </w:rPr>
              <w:t>0.12</w:t>
            </w:r>
          </w:p>
        </w:tc>
        <w:tc>
          <w:tcPr>
            <w:tcW w:w="0" w:type="auto"/>
            <w:shd w:val="clear" w:color="auto" w:fill="auto"/>
            <w:noWrap/>
            <w:vAlign w:val="center"/>
            <w:hideMark/>
          </w:tcPr>
          <w:p w14:paraId="6F0CA393" w14:textId="77777777" w:rsidR="0011234D" w:rsidRPr="00E752A0" w:rsidRDefault="000F5B51" w:rsidP="003C04C4">
            <w:pPr>
              <w:pStyle w:val="NoSpacing"/>
              <w:rPr>
                <w:szCs w:val="24"/>
              </w:rPr>
            </w:pPr>
            <w:r w:rsidRPr="00E752A0">
              <w:rPr>
                <w:szCs w:val="24"/>
              </w:rPr>
              <w:t>0.88</w:t>
            </w:r>
          </w:p>
        </w:tc>
      </w:tr>
    </w:tbl>
    <w:p w14:paraId="4A4A8794" w14:textId="77777777" w:rsidR="0011234D" w:rsidRDefault="0011234D" w:rsidP="0011234D">
      <w:pPr>
        <w:pStyle w:val="NoSpaceTimes"/>
      </w:pPr>
    </w:p>
    <w:p w14:paraId="28400FD6" w14:textId="77777777" w:rsidR="0011234D" w:rsidRPr="005E3D4C" w:rsidRDefault="000F5B51" w:rsidP="0011234D">
      <w:pPr>
        <w:spacing w:after="0"/>
        <w:rPr>
          <w:rFonts w:eastAsia="Times New Roman" w:cs="Times New Roman"/>
          <w:szCs w:val="24"/>
          <w:highlight w:val="yellow"/>
        </w:rPr>
      </w:pPr>
      <w:r>
        <w:rPr>
          <w:rFonts w:eastAsia="Times New Roman" w:cs="Times New Roman"/>
          <w:szCs w:val="24"/>
        </w:rPr>
        <w:t xml:space="preserve">Effectiveness rates are typically used to calculate benefits by multiplying the number of crashes, fatalities, or </w:t>
      </w:r>
      <w:r w:rsidR="00BB4609">
        <w:rPr>
          <w:rFonts w:eastAsia="Times New Roman" w:cs="Times New Roman"/>
          <w:szCs w:val="24"/>
        </w:rPr>
        <w:t xml:space="preserve">non-fatal </w:t>
      </w:r>
      <w:r>
        <w:rPr>
          <w:rFonts w:eastAsia="Times New Roman" w:cs="Times New Roman"/>
          <w:szCs w:val="24"/>
        </w:rPr>
        <w:t>injuries in the target population by the effectiveness rate</w:t>
      </w:r>
      <w:r w:rsidR="001F2F92">
        <w:rPr>
          <w:rFonts w:eastAsia="Times New Roman" w:cs="Times New Roman"/>
          <w:szCs w:val="24"/>
        </w:rPr>
        <w:t xml:space="preserve">. </w:t>
      </w:r>
      <w:r>
        <w:rPr>
          <w:rFonts w:eastAsia="Times New Roman" w:cs="Times New Roman"/>
          <w:szCs w:val="24"/>
        </w:rPr>
        <w:t>The resulting estimate then presents the number of crashes, fatalities, or injuries prevented as a result of the specific countermeasure</w:t>
      </w:r>
      <w:r w:rsidR="001F2F92">
        <w:rPr>
          <w:rFonts w:eastAsia="Times New Roman" w:cs="Times New Roman"/>
          <w:szCs w:val="24"/>
        </w:rPr>
        <w:t xml:space="preserve">. </w:t>
      </w:r>
      <w:r>
        <w:rPr>
          <w:rFonts w:eastAsia="Times New Roman" w:cs="Times New Roman"/>
          <w:szCs w:val="24"/>
        </w:rPr>
        <w:t>For the purpose of this analysis, we make use of the effectiveness rate for ESC to exclude crashes,</w:t>
      </w:r>
      <w:r w:rsidR="00BB4609">
        <w:rPr>
          <w:rFonts w:eastAsia="Times New Roman" w:cs="Times New Roman"/>
          <w:szCs w:val="24"/>
        </w:rPr>
        <w:t xml:space="preserve"> </w:t>
      </w:r>
      <w:r>
        <w:rPr>
          <w:rFonts w:eastAsia="Times New Roman" w:cs="Times New Roman"/>
          <w:szCs w:val="24"/>
        </w:rPr>
        <w:t>fatalities</w:t>
      </w:r>
      <w:r w:rsidR="00BB4609">
        <w:rPr>
          <w:rFonts w:eastAsia="Times New Roman" w:cs="Times New Roman"/>
          <w:szCs w:val="24"/>
        </w:rPr>
        <w:t xml:space="preserve"> and non-fatal injuries</w:t>
      </w:r>
      <w:r>
        <w:rPr>
          <w:rFonts w:eastAsia="Times New Roman" w:cs="Times New Roman"/>
          <w:szCs w:val="24"/>
        </w:rPr>
        <w:t xml:space="preserve"> in the target population that would be prevented as a result of ESC</w:t>
      </w:r>
      <w:r w:rsidR="001F2F92">
        <w:rPr>
          <w:rFonts w:eastAsia="Times New Roman" w:cs="Times New Roman"/>
          <w:szCs w:val="24"/>
        </w:rPr>
        <w:t xml:space="preserve">. </w:t>
      </w:r>
      <w:r>
        <w:rPr>
          <w:rFonts w:eastAsia="Times New Roman" w:cs="Times New Roman"/>
          <w:szCs w:val="24"/>
        </w:rPr>
        <w:t xml:space="preserve">That is, we use that effectiveness rate to account for safety benefits attributed to requirements outside of those specified in this proposed rule in order to avoid double-counting. </w:t>
      </w:r>
    </w:p>
    <w:p w14:paraId="3CAC3AC4" w14:textId="191D23EA" w:rsidR="00934A65" w:rsidRPr="00CB667A" w:rsidRDefault="000F5B51" w:rsidP="005E3D4C">
      <w:pPr>
        <w:spacing w:after="0"/>
      </w:pPr>
      <w:r>
        <w:fldChar w:fldCharType="begin"/>
      </w:r>
      <w:r>
        <w:instrText xml:space="preserve"> REF _Ref125980137 \h </w:instrText>
      </w:r>
      <w:r>
        <w:fldChar w:fldCharType="separate"/>
      </w:r>
      <w:r w:rsidR="00A65CB3">
        <w:t xml:space="preserve">Table </w:t>
      </w:r>
      <w:r w:rsidR="00A65CB3">
        <w:rPr>
          <w:noProof/>
        </w:rPr>
        <w:t>12</w:t>
      </w:r>
      <w:r>
        <w:fldChar w:fldCharType="end"/>
      </w:r>
      <w:r>
        <w:t xml:space="preserve"> presents adjustment factors for ESC specific to vehicle type and crash type (</w:t>
      </w:r>
      <w:r w:rsidR="00DD3C32">
        <w:t xml:space="preserve">see </w:t>
      </w:r>
      <w:r w:rsidR="003E7CBB">
        <w:fldChar w:fldCharType="begin"/>
      </w:r>
      <w:r w:rsidR="003E7CBB">
        <w:instrText xml:space="preserve"> REF _Ref125981619 \h </w:instrText>
      </w:r>
      <w:r w:rsidR="003E7CBB">
        <w:fldChar w:fldCharType="separate"/>
      </w:r>
      <w:r w:rsidR="00A65CB3">
        <w:t>Appendix C</w:t>
      </w:r>
      <w:r w:rsidR="003E7CBB">
        <w:fldChar w:fldCharType="end"/>
      </w:r>
      <w:r w:rsidR="003E7CBB">
        <w:t xml:space="preserve"> for detailed calculations)</w:t>
      </w:r>
      <w:r w:rsidR="001F2F92">
        <w:t xml:space="preserve">. </w:t>
      </w:r>
      <w:r>
        <w:t>For passenger cars, the adjustment factor for ESC for side impact crashes is 0.9930 for side impact crashes and 0.6145 for rollover crashes</w:t>
      </w:r>
      <w:r w:rsidR="001F2F92">
        <w:t xml:space="preserve">. </w:t>
      </w:r>
      <w:r>
        <w:t>For LTVs, the adjustment factor for ESC for side impact crashes is 0.9384 and 0.5482 for rollover crashes</w:t>
      </w:r>
      <w:r w:rsidR="001F2F92">
        <w:t xml:space="preserve">. </w:t>
      </w:r>
      <w:r>
        <w:t xml:space="preserve">As </w:t>
      </w:r>
      <w:r>
        <w:lastRenderedPageBreak/>
        <w:t>ESC is not effective in front or rear impact crashes, there is no adjustment made for those types of crashes, which is represented by an adjustment factor of one.</w:t>
      </w:r>
    </w:p>
    <w:p w14:paraId="3657499F" w14:textId="4776664C" w:rsidR="0011234D" w:rsidRPr="00885DCD" w:rsidRDefault="000F5B51" w:rsidP="0011234D">
      <w:pPr>
        <w:pStyle w:val="Caption"/>
      </w:pPr>
      <w:bookmarkStart w:id="79" w:name="_Ref125980137"/>
      <w:r>
        <w:t xml:space="preserve">Table </w:t>
      </w:r>
      <w:r w:rsidR="00115BAB">
        <w:fldChar w:fldCharType="begin"/>
      </w:r>
      <w:r>
        <w:instrText xml:space="preserve"> SEQ Table \* ARABIC </w:instrText>
      </w:r>
      <w:r w:rsidR="00115BAB">
        <w:fldChar w:fldCharType="separate"/>
      </w:r>
      <w:r w:rsidR="00A65CB3">
        <w:rPr>
          <w:noProof/>
        </w:rPr>
        <w:t>12</w:t>
      </w:r>
      <w:r w:rsidR="00115BAB">
        <w:rPr>
          <w:noProof/>
        </w:rPr>
        <w:fldChar w:fldCharType="end"/>
      </w:r>
      <w:bookmarkEnd w:id="79"/>
      <w:r>
        <w:t xml:space="preserve">: Summary of </w:t>
      </w:r>
      <w:r w:rsidRPr="00B36CF2">
        <w:t xml:space="preserve">ESC Adjustment </w:t>
      </w:r>
      <w:r>
        <w:t>Factors</w:t>
      </w:r>
    </w:p>
    <w:tbl>
      <w:tblPr>
        <w:tblW w:w="0" w:type="auto"/>
        <w:jc w:val="center"/>
        <w:tblLayout w:type="fixed"/>
        <w:tblCellMar>
          <w:left w:w="30" w:type="dxa"/>
          <w:right w:w="30" w:type="dxa"/>
        </w:tblCellMar>
        <w:tblLook w:val="0000" w:firstRow="0" w:lastRow="0" w:firstColumn="0" w:lastColumn="0" w:noHBand="0" w:noVBand="0"/>
      </w:tblPr>
      <w:tblGrid>
        <w:gridCol w:w="2058"/>
        <w:gridCol w:w="1087"/>
        <w:gridCol w:w="1087"/>
        <w:gridCol w:w="1087"/>
        <w:gridCol w:w="1087"/>
      </w:tblGrid>
      <w:tr w:rsidR="00A15C2C" w14:paraId="37E956F7" w14:textId="77777777" w:rsidTr="00AA4737">
        <w:trPr>
          <w:trHeight w:val="287"/>
          <w:jc w:val="center"/>
        </w:trPr>
        <w:tc>
          <w:tcPr>
            <w:tcW w:w="2058" w:type="dxa"/>
            <w:vMerge w:val="restart"/>
            <w:tcBorders>
              <w:top w:val="single" w:sz="6" w:space="0" w:color="333333"/>
              <w:left w:val="single" w:sz="6" w:space="0" w:color="333333"/>
              <w:right w:val="single" w:sz="6" w:space="0" w:color="333333"/>
            </w:tcBorders>
            <w:shd w:val="clear" w:color="auto" w:fill="BFBFBF" w:themeFill="background1" w:themeFillShade="BF"/>
            <w:vAlign w:val="center"/>
          </w:tcPr>
          <w:p w14:paraId="4DB01920" w14:textId="77777777" w:rsidR="0011234D" w:rsidRPr="00CB667A" w:rsidRDefault="000F5B51" w:rsidP="005E3D4C">
            <w:pPr>
              <w:autoSpaceDE w:val="0"/>
              <w:autoSpaceDN w:val="0"/>
              <w:adjustRightInd w:val="0"/>
              <w:spacing w:after="0" w:line="240" w:lineRule="auto"/>
              <w:rPr>
                <w:rFonts w:eastAsia="Times New Roman" w:cs="Times New Roman"/>
                <w:b/>
                <w:szCs w:val="24"/>
              </w:rPr>
            </w:pPr>
            <w:r w:rsidRPr="00CB667A">
              <w:rPr>
                <w:rFonts w:eastAsia="Times New Roman" w:cs="Times New Roman"/>
                <w:b/>
                <w:szCs w:val="24"/>
              </w:rPr>
              <w:t>Vehicle Type</w:t>
            </w:r>
          </w:p>
        </w:tc>
        <w:tc>
          <w:tcPr>
            <w:tcW w:w="4348" w:type="dxa"/>
            <w:gridSpan w:val="4"/>
            <w:tcBorders>
              <w:top w:val="single" w:sz="6" w:space="0" w:color="auto"/>
              <w:left w:val="single" w:sz="6" w:space="0" w:color="333333"/>
              <w:bottom w:val="single" w:sz="6" w:space="0" w:color="auto"/>
              <w:right w:val="single" w:sz="6" w:space="0" w:color="333333"/>
            </w:tcBorders>
            <w:shd w:val="clear" w:color="auto" w:fill="BFBFBF" w:themeFill="background1" w:themeFillShade="BF"/>
            <w:vAlign w:val="center"/>
          </w:tcPr>
          <w:p w14:paraId="77C0BB96" w14:textId="77777777" w:rsidR="0011234D" w:rsidRPr="005E3D4C" w:rsidRDefault="000F5B51" w:rsidP="003C04C4">
            <w:pPr>
              <w:autoSpaceDE w:val="0"/>
              <w:autoSpaceDN w:val="0"/>
              <w:adjustRightInd w:val="0"/>
              <w:spacing w:after="0" w:line="240" w:lineRule="auto"/>
              <w:jc w:val="center"/>
              <w:rPr>
                <w:rFonts w:eastAsia="Times New Roman" w:cs="Times New Roman"/>
                <w:b/>
                <w:bCs/>
                <w:szCs w:val="24"/>
              </w:rPr>
            </w:pPr>
            <w:r w:rsidRPr="005E3D4C">
              <w:rPr>
                <w:rFonts w:eastAsia="Times New Roman" w:cs="Times New Roman"/>
                <w:b/>
                <w:bCs/>
                <w:szCs w:val="24"/>
              </w:rPr>
              <w:t>Crash Type</w:t>
            </w:r>
          </w:p>
        </w:tc>
      </w:tr>
      <w:tr w:rsidR="00A15C2C" w14:paraId="1F2156BD" w14:textId="77777777" w:rsidTr="00AA4737">
        <w:trPr>
          <w:trHeight w:val="287"/>
          <w:jc w:val="center"/>
        </w:trPr>
        <w:tc>
          <w:tcPr>
            <w:tcW w:w="2058" w:type="dxa"/>
            <w:vMerge/>
            <w:tcBorders>
              <w:left w:val="single" w:sz="6" w:space="0" w:color="333333"/>
              <w:bottom w:val="single" w:sz="6" w:space="0" w:color="333333"/>
              <w:right w:val="single" w:sz="6" w:space="0" w:color="333333"/>
            </w:tcBorders>
            <w:shd w:val="clear" w:color="auto" w:fill="BFBFBF" w:themeFill="background1" w:themeFillShade="BF"/>
            <w:vAlign w:val="center"/>
          </w:tcPr>
          <w:p w14:paraId="0DBA03BF" w14:textId="77777777" w:rsidR="0011234D" w:rsidRPr="00CB667A" w:rsidRDefault="0011234D" w:rsidP="005E3D4C">
            <w:pPr>
              <w:autoSpaceDE w:val="0"/>
              <w:autoSpaceDN w:val="0"/>
              <w:adjustRightInd w:val="0"/>
              <w:spacing w:after="0" w:line="240" w:lineRule="auto"/>
              <w:rPr>
                <w:rFonts w:eastAsia="Times New Roman" w:cs="Times New Roman"/>
                <w:b/>
                <w:szCs w:val="24"/>
              </w:rPr>
            </w:pPr>
          </w:p>
        </w:tc>
        <w:tc>
          <w:tcPr>
            <w:tcW w:w="1087" w:type="dxa"/>
            <w:tcBorders>
              <w:top w:val="single" w:sz="6" w:space="0" w:color="auto"/>
              <w:left w:val="single" w:sz="6" w:space="0" w:color="333333"/>
              <w:bottom w:val="single" w:sz="6" w:space="0" w:color="333333"/>
              <w:right w:val="single" w:sz="6" w:space="0" w:color="333333"/>
            </w:tcBorders>
            <w:shd w:val="clear" w:color="auto" w:fill="BFBFBF" w:themeFill="background1" w:themeFillShade="BF"/>
            <w:vAlign w:val="center"/>
          </w:tcPr>
          <w:p w14:paraId="342E6AD6" w14:textId="77777777" w:rsidR="0011234D" w:rsidRPr="005E3D4C" w:rsidRDefault="000F5B51" w:rsidP="003C04C4">
            <w:pPr>
              <w:autoSpaceDE w:val="0"/>
              <w:autoSpaceDN w:val="0"/>
              <w:adjustRightInd w:val="0"/>
              <w:spacing w:after="0" w:line="240" w:lineRule="auto"/>
              <w:jc w:val="center"/>
              <w:rPr>
                <w:rFonts w:eastAsia="Times New Roman" w:cs="Times New Roman"/>
                <w:b/>
                <w:bCs/>
                <w:szCs w:val="24"/>
              </w:rPr>
            </w:pPr>
            <w:r w:rsidRPr="005E3D4C">
              <w:rPr>
                <w:rFonts w:eastAsia="Times New Roman" w:cs="Times New Roman"/>
                <w:b/>
                <w:bCs/>
                <w:szCs w:val="24"/>
              </w:rPr>
              <w:t>Front</w:t>
            </w:r>
          </w:p>
        </w:tc>
        <w:tc>
          <w:tcPr>
            <w:tcW w:w="1087" w:type="dxa"/>
            <w:tcBorders>
              <w:top w:val="single" w:sz="6" w:space="0" w:color="auto"/>
              <w:left w:val="single" w:sz="6" w:space="0" w:color="333333"/>
              <w:bottom w:val="single" w:sz="6" w:space="0" w:color="333333"/>
              <w:right w:val="single" w:sz="6" w:space="0" w:color="333333"/>
            </w:tcBorders>
            <w:shd w:val="clear" w:color="auto" w:fill="BFBFBF" w:themeFill="background1" w:themeFillShade="BF"/>
            <w:vAlign w:val="center"/>
          </w:tcPr>
          <w:p w14:paraId="73C57346" w14:textId="77777777" w:rsidR="0011234D" w:rsidRPr="005E3D4C" w:rsidRDefault="000F5B51" w:rsidP="003C04C4">
            <w:pPr>
              <w:autoSpaceDE w:val="0"/>
              <w:autoSpaceDN w:val="0"/>
              <w:adjustRightInd w:val="0"/>
              <w:spacing w:after="0" w:line="240" w:lineRule="auto"/>
              <w:jc w:val="center"/>
              <w:rPr>
                <w:rFonts w:eastAsia="Times New Roman" w:cs="Times New Roman"/>
                <w:b/>
                <w:bCs/>
                <w:szCs w:val="24"/>
              </w:rPr>
            </w:pPr>
            <w:r w:rsidRPr="005E3D4C">
              <w:rPr>
                <w:rFonts w:eastAsia="Times New Roman" w:cs="Times New Roman"/>
                <w:b/>
                <w:bCs/>
                <w:szCs w:val="24"/>
              </w:rPr>
              <w:t>Rear</w:t>
            </w:r>
          </w:p>
        </w:tc>
        <w:tc>
          <w:tcPr>
            <w:tcW w:w="1087" w:type="dxa"/>
            <w:tcBorders>
              <w:top w:val="single" w:sz="6" w:space="0" w:color="auto"/>
              <w:left w:val="single" w:sz="6" w:space="0" w:color="333333"/>
              <w:bottom w:val="single" w:sz="6" w:space="0" w:color="333333"/>
              <w:right w:val="single" w:sz="6" w:space="0" w:color="333333"/>
            </w:tcBorders>
            <w:shd w:val="clear" w:color="auto" w:fill="BFBFBF" w:themeFill="background1" w:themeFillShade="BF"/>
            <w:vAlign w:val="center"/>
          </w:tcPr>
          <w:p w14:paraId="78E434F8" w14:textId="77777777" w:rsidR="0011234D" w:rsidRPr="005E3D4C" w:rsidRDefault="000F5B51" w:rsidP="003C04C4">
            <w:pPr>
              <w:autoSpaceDE w:val="0"/>
              <w:autoSpaceDN w:val="0"/>
              <w:adjustRightInd w:val="0"/>
              <w:spacing w:after="0" w:line="240" w:lineRule="auto"/>
              <w:jc w:val="center"/>
              <w:rPr>
                <w:rFonts w:eastAsia="Times New Roman" w:cs="Times New Roman"/>
                <w:b/>
                <w:bCs/>
                <w:szCs w:val="24"/>
              </w:rPr>
            </w:pPr>
            <w:r w:rsidRPr="005E3D4C">
              <w:rPr>
                <w:rFonts w:eastAsia="Times New Roman" w:cs="Times New Roman"/>
                <w:b/>
                <w:bCs/>
                <w:szCs w:val="24"/>
              </w:rPr>
              <w:t>Side</w:t>
            </w:r>
          </w:p>
        </w:tc>
        <w:tc>
          <w:tcPr>
            <w:tcW w:w="1087" w:type="dxa"/>
            <w:tcBorders>
              <w:top w:val="single" w:sz="6" w:space="0" w:color="auto"/>
              <w:left w:val="single" w:sz="6" w:space="0" w:color="333333"/>
              <w:bottom w:val="single" w:sz="6" w:space="0" w:color="333333"/>
              <w:right w:val="single" w:sz="6" w:space="0" w:color="333333"/>
            </w:tcBorders>
            <w:shd w:val="clear" w:color="auto" w:fill="BFBFBF" w:themeFill="background1" w:themeFillShade="BF"/>
            <w:vAlign w:val="center"/>
          </w:tcPr>
          <w:p w14:paraId="65D107B3" w14:textId="77777777" w:rsidR="0011234D" w:rsidRPr="005E3D4C" w:rsidRDefault="000F5B51" w:rsidP="003C04C4">
            <w:pPr>
              <w:autoSpaceDE w:val="0"/>
              <w:autoSpaceDN w:val="0"/>
              <w:adjustRightInd w:val="0"/>
              <w:spacing w:after="0" w:line="240" w:lineRule="auto"/>
              <w:jc w:val="center"/>
              <w:rPr>
                <w:rFonts w:cs="Times New Roman"/>
                <w:b/>
                <w:bCs/>
                <w:color w:val="333333"/>
                <w:szCs w:val="24"/>
              </w:rPr>
            </w:pPr>
            <w:r w:rsidRPr="005E3D4C">
              <w:rPr>
                <w:rFonts w:eastAsia="Times New Roman" w:cs="Times New Roman"/>
                <w:b/>
                <w:bCs/>
                <w:szCs w:val="24"/>
              </w:rPr>
              <w:t>Rollove</w:t>
            </w:r>
            <w:r w:rsidRPr="005E3D4C">
              <w:rPr>
                <w:rFonts w:cs="Times New Roman"/>
                <w:b/>
                <w:bCs/>
                <w:color w:val="333333"/>
                <w:szCs w:val="24"/>
              </w:rPr>
              <w:t>r</w:t>
            </w:r>
          </w:p>
        </w:tc>
      </w:tr>
      <w:tr w:rsidR="00A15C2C" w14:paraId="37311C90" w14:textId="77777777" w:rsidTr="003C04C4">
        <w:trPr>
          <w:trHeight w:val="287"/>
          <w:jc w:val="center"/>
        </w:trPr>
        <w:tc>
          <w:tcPr>
            <w:tcW w:w="2058" w:type="dxa"/>
            <w:tcBorders>
              <w:top w:val="single" w:sz="6" w:space="0" w:color="333333"/>
              <w:left w:val="single" w:sz="6" w:space="0" w:color="333333"/>
              <w:bottom w:val="single" w:sz="6" w:space="0" w:color="333333"/>
              <w:right w:val="single" w:sz="6" w:space="0" w:color="333333"/>
            </w:tcBorders>
            <w:shd w:val="clear" w:color="auto" w:fill="FFFFFF" w:themeFill="background1"/>
            <w:vAlign w:val="center"/>
          </w:tcPr>
          <w:p w14:paraId="5D095C09" w14:textId="77777777" w:rsidR="0011234D" w:rsidRPr="005E3D4C" w:rsidRDefault="000F5B51" w:rsidP="005E3D4C">
            <w:pPr>
              <w:spacing w:after="0" w:line="240" w:lineRule="auto"/>
              <w:contextualSpacing/>
              <w:rPr>
                <w:rFonts w:eastAsia="Times New Roman" w:cs="Times New Roman"/>
                <w:szCs w:val="24"/>
              </w:rPr>
            </w:pPr>
            <w:r w:rsidRPr="005E3D4C">
              <w:rPr>
                <w:rFonts w:eastAsia="Times New Roman" w:cs="Times New Roman"/>
                <w:szCs w:val="24"/>
              </w:rPr>
              <w:t>Passenger Cars</w:t>
            </w:r>
          </w:p>
        </w:tc>
        <w:tc>
          <w:tcPr>
            <w:tcW w:w="1087" w:type="dxa"/>
            <w:tcBorders>
              <w:top w:val="single" w:sz="6" w:space="0" w:color="333333"/>
              <w:left w:val="single" w:sz="6" w:space="0" w:color="333333"/>
              <w:bottom w:val="single" w:sz="6" w:space="0" w:color="333333"/>
              <w:right w:val="single" w:sz="6" w:space="0" w:color="333333"/>
            </w:tcBorders>
            <w:shd w:val="clear" w:color="auto" w:fill="FFFFFF" w:themeFill="background1"/>
            <w:vAlign w:val="center"/>
          </w:tcPr>
          <w:p w14:paraId="4B1CBB22" w14:textId="77777777" w:rsidR="0011234D" w:rsidRPr="00B86747" w:rsidRDefault="000F5B51" w:rsidP="003C04C4">
            <w:pPr>
              <w:spacing w:after="0" w:line="240" w:lineRule="auto"/>
              <w:contextualSpacing/>
              <w:jc w:val="center"/>
              <w:rPr>
                <w:rFonts w:eastAsia="Times New Roman" w:cs="Times New Roman"/>
                <w:szCs w:val="24"/>
              </w:rPr>
            </w:pPr>
            <w:r w:rsidRPr="00B86747">
              <w:rPr>
                <w:rFonts w:eastAsia="Times New Roman" w:cs="Times New Roman"/>
                <w:szCs w:val="24"/>
              </w:rPr>
              <w:t>1.0000</w:t>
            </w:r>
          </w:p>
        </w:tc>
        <w:tc>
          <w:tcPr>
            <w:tcW w:w="1087" w:type="dxa"/>
            <w:tcBorders>
              <w:top w:val="single" w:sz="6" w:space="0" w:color="333333"/>
              <w:left w:val="single" w:sz="6" w:space="0" w:color="333333"/>
              <w:bottom w:val="single" w:sz="6" w:space="0" w:color="333333"/>
              <w:right w:val="single" w:sz="6" w:space="0" w:color="333333"/>
            </w:tcBorders>
            <w:shd w:val="clear" w:color="auto" w:fill="FFFFFF" w:themeFill="background1"/>
            <w:vAlign w:val="center"/>
          </w:tcPr>
          <w:p w14:paraId="2843D67A" w14:textId="77777777" w:rsidR="0011234D" w:rsidRPr="00B86747" w:rsidRDefault="000F5B51" w:rsidP="003C04C4">
            <w:pPr>
              <w:spacing w:after="0" w:line="240" w:lineRule="auto"/>
              <w:contextualSpacing/>
              <w:jc w:val="center"/>
              <w:rPr>
                <w:rFonts w:eastAsia="Times New Roman" w:cs="Times New Roman"/>
                <w:szCs w:val="24"/>
              </w:rPr>
            </w:pPr>
            <w:r w:rsidRPr="00B86747">
              <w:rPr>
                <w:rFonts w:eastAsia="Times New Roman" w:cs="Times New Roman"/>
                <w:szCs w:val="24"/>
              </w:rPr>
              <w:t>1.0000</w:t>
            </w:r>
          </w:p>
        </w:tc>
        <w:tc>
          <w:tcPr>
            <w:tcW w:w="1087" w:type="dxa"/>
            <w:tcBorders>
              <w:top w:val="single" w:sz="6" w:space="0" w:color="333333"/>
              <w:left w:val="single" w:sz="6" w:space="0" w:color="333333"/>
              <w:bottom w:val="single" w:sz="6" w:space="0" w:color="333333"/>
              <w:right w:val="single" w:sz="6" w:space="0" w:color="333333"/>
            </w:tcBorders>
            <w:shd w:val="clear" w:color="auto" w:fill="FFFFFF" w:themeFill="background1"/>
            <w:vAlign w:val="center"/>
          </w:tcPr>
          <w:p w14:paraId="4D87D8F7" w14:textId="77777777" w:rsidR="0011234D" w:rsidRPr="00B86747" w:rsidRDefault="000F5B51" w:rsidP="003C04C4">
            <w:pPr>
              <w:spacing w:after="0" w:line="240" w:lineRule="auto"/>
              <w:contextualSpacing/>
              <w:jc w:val="center"/>
              <w:rPr>
                <w:rFonts w:eastAsia="Times New Roman" w:cs="Times New Roman"/>
                <w:szCs w:val="24"/>
              </w:rPr>
            </w:pPr>
            <w:r w:rsidRPr="00B86747">
              <w:rPr>
                <w:rFonts w:eastAsia="Times New Roman" w:cs="Times New Roman"/>
                <w:szCs w:val="24"/>
              </w:rPr>
              <w:t>0.9330</w:t>
            </w:r>
          </w:p>
        </w:tc>
        <w:tc>
          <w:tcPr>
            <w:tcW w:w="1087" w:type="dxa"/>
            <w:tcBorders>
              <w:top w:val="single" w:sz="6" w:space="0" w:color="333333"/>
              <w:left w:val="single" w:sz="6" w:space="0" w:color="333333"/>
              <w:bottom w:val="single" w:sz="6" w:space="0" w:color="333333"/>
              <w:right w:val="single" w:sz="6" w:space="0" w:color="333333"/>
            </w:tcBorders>
            <w:shd w:val="clear" w:color="auto" w:fill="FFFFFF" w:themeFill="background1"/>
            <w:vAlign w:val="center"/>
          </w:tcPr>
          <w:p w14:paraId="6F9B62FB" w14:textId="77777777" w:rsidR="0011234D" w:rsidRPr="00B86747" w:rsidRDefault="000F5B51" w:rsidP="003C04C4">
            <w:pPr>
              <w:spacing w:after="0" w:line="240" w:lineRule="auto"/>
              <w:contextualSpacing/>
              <w:jc w:val="center"/>
              <w:rPr>
                <w:rFonts w:eastAsia="Times New Roman" w:cs="Times New Roman"/>
                <w:szCs w:val="24"/>
              </w:rPr>
            </w:pPr>
            <w:r w:rsidRPr="00B86747">
              <w:rPr>
                <w:rFonts w:eastAsia="Times New Roman" w:cs="Times New Roman"/>
                <w:szCs w:val="24"/>
              </w:rPr>
              <w:t>0.6145</w:t>
            </w:r>
          </w:p>
        </w:tc>
      </w:tr>
      <w:tr w:rsidR="00A15C2C" w14:paraId="60782C44" w14:textId="77777777" w:rsidTr="00E52ABA">
        <w:trPr>
          <w:trHeight w:val="287"/>
          <w:jc w:val="center"/>
        </w:trPr>
        <w:tc>
          <w:tcPr>
            <w:tcW w:w="2058" w:type="dxa"/>
            <w:tcBorders>
              <w:top w:val="single" w:sz="6" w:space="0" w:color="333333"/>
              <w:left w:val="single" w:sz="6" w:space="0" w:color="333333"/>
              <w:bottom w:val="single" w:sz="6" w:space="0" w:color="333333"/>
              <w:right w:val="single" w:sz="6" w:space="0" w:color="333333"/>
            </w:tcBorders>
            <w:shd w:val="clear" w:color="auto" w:fill="FFFFFF" w:themeFill="background1"/>
            <w:vAlign w:val="center"/>
          </w:tcPr>
          <w:p w14:paraId="72219102" w14:textId="77777777" w:rsidR="0011234D" w:rsidRPr="005E3D4C" w:rsidRDefault="000F5B51" w:rsidP="005E3D4C">
            <w:pPr>
              <w:spacing w:after="0" w:line="240" w:lineRule="auto"/>
              <w:contextualSpacing/>
              <w:rPr>
                <w:rFonts w:eastAsia="Times New Roman" w:cs="Times New Roman"/>
                <w:szCs w:val="24"/>
              </w:rPr>
            </w:pPr>
            <w:r w:rsidRPr="005E3D4C">
              <w:rPr>
                <w:rFonts w:eastAsia="Times New Roman" w:cs="Times New Roman"/>
                <w:szCs w:val="24"/>
              </w:rPr>
              <w:t>LTVs</w:t>
            </w:r>
          </w:p>
        </w:tc>
        <w:tc>
          <w:tcPr>
            <w:tcW w:w="1087" w:type="dxa"/>
            <w:tcBorders>
              <w:top w:val="single" w:sz="6" w:space="0" w:color="333333"/>
              <w:left w:val="single" w:sz="6" w:space="0" w:color="333333"/>
              <w:bottom w:val="single" w:sz="6" w:space="0" w:color="333333"/>
              <w:right w:val="single" w:sz="6" w:space="0" w:color="333333"/>
            </w:tcBorders>
            <w:shd w:val="clear" w:color="auto" w:fill="FFFFFF" w:themeFill="background1"/>
            <w:vAlign w:val="center"/>
          </w:tcPr>
          <w:p w14:paraId="0CC4EB9F" w14:textId="77777777" w:rsidR="0011234D" w:rsidRPr="00B86747" w:rsidRDefault="000F5B51" w:rsidP="003C04C4">
            <w:pPr>
              <w:spacing w:after="0" w:line="240" w:lineRule="auto"/>
              <w:contextualSpacing/>
              <w:jc w:val="center"/>
              <w:rPr>
                <w:rFonts w:eastAsia="Times New Roman" w:cs="Times New Roman"/>
                <w:szCs w:val="24"/>
              </w:rPr>
            </w:pPr>
            <w:r w:rsidRPr="00B86747">
              <w:rPr>
                <w:rFonts w:eastAsia="Times New Roman" w:cs="Times New Roman"/>
                <w:szCs w:val="24"/>
              </w:rPr>
              <w:t>1.0000</w:t>
            </w:r>
          </w:p>
        </w:tc>
        <w:tc>
          <w:tcPr>
            <w:tcW w:w="1087" w:type="dxa"/>
            <w:tcBorders>
              <w:top w:val="single" w:sz="6" w:space="0" w:color="333333"/>
              <w:left w:val="single" w:sz="6" w:space="0" w:color="333333"/>
              <w:bottom w:val="single" w:sz="6" w:space="0" w:color="333333"/>
              <w:right w:val="single" w:sz="6" w:space="0" w:color="333333"/>
            </w:tcBorders>
            <w:shd w:val="clear" w:color="auto" w:fill="FFFFFF" w:themeFill="background1"/>
            <w:vAlign w:val="center"/>
          </w:tcPr>
          <w:p w14:paraId="798FE9D5" w14:textId="77777777" w:rsidR="0011234D" w:rsidRPr="00B86747" w:rsidRDefault="000F5B51" w:rsidP="003C04C4">
            <w:pPr>
              <w:spacing w:after="0" w:line="240" w:lineRule="auto"/>
              <w:contextualSpacing/>
              <w:jc w:val="center"/>
              <w:rPr>
                <w:rFonts w:eastAsia="Times New Roman" w:cs="Times New Roman"/>
                <w:szCs w:val="24"/>
              </w:rPr>
            </w:pPr>
            <w:r w:rsidRPr="00B86747">
              <w:rPr>
                <w:rFonts w:eastAsia="Times New Roman" w:cs="Times New Roman"/>
                <w:szCs w:val="24"/>
              </w:rPr>
              <w:t>1.0000</w:t>
            </w:r>
          </w:p>
        </w:tc>
        <w:tc>
          <w:tcPr>
            <w:tcW w:w="1087" w:type="dxa"/>
            <w:tcBorders>
              <w:top w:val="single" w:sz="6" w:space="0" w:color="333333"/>
              <w:left w:val="single" w:sz="6" w:space="0" w:color="333333"/>
              <w:bottom w:val="single" w:sz="6" w:space="0" w:color="333333"/>
              <w:right w:val="single" w:sz="6" w:space="0" w:color="333333"/>
            </w:tcBorders>
            <w:shd w:val="clear" w:color="auto" w:fill="FFFFFF" w:themeFill="background1"/>
            <w:vAlign w:val="center"/>
          </w:tcPr>
          <w:p w14:paraId="210A7DA0" w14:textId="77777777" w:rsidR="0011234D" w:rsidRPr="00B86747" w:rsidRDefault="000F5B51" w:rsidP="003C04C4">
            <w:pPr>
              <w:spacing w:after="0" w:line="240" w:lineRule="auto"/>
              <w:contextualSpacing/>
              <w:jc w:val="center"/>
              <w:rPr>
                <w:rFonts w:eastAsia="Times New Roman" w:cs="Times New Roman"/>
                <w:szCs w:val="24"/>
              </w:rPr>
            </w:pPr>
            <w:r w:rsidRPr="00B86747">
              <w:rPr>
                <w:rFonts w:eastAsia="Times New Roman" w:cs="Times New Roman"/>
                <w:szCs w:val="24"/>
              </w:rPr>
              <w:t>0.9384</w:t>
            </w:r>
          </w:p>
        </w:tc>
        <w:tc>
          <w:tcPr>
            <w:tcW w:w="1087" w:type="dxa"/>
            <w:tcBorders>
              <w:top w:val="single" w:sz="6" w:space="0" w:color="333333"/>
              <w:left w:val="single" w:sz="6" w:space="0" w:color="333333"/>
              <w:bottom w:val="single" w:sz="6" w:space="0" w:color="333333"/>
              <w:right w:val="single" w:sz="6" w:space="0" w:color="333333"/>
            </w:tcBorders>
            <w:shd w:val="clear" w:color="auto" w:fill="FFFFFF" w:themeFill="background1"/>
            <w:vAlign w:val="center"/>
          </w:tcPr>
          <w:p w14:paraId="2A8236AC" w14:textId="77777777" w:rsidR="0011234D" w:rsidRPr="00B86747" w:rsidRDefault="000F5B51" w:rsidP="003C04C4">
            <w:pPr>
              <w:spacing w:after="0" w:line="240" w:lineRule="auto"/>
              <w:contextualSpacing/>
              <w:jc w:val="center"/>
              <w:rPr>
                <w:rFonts w:eastAsia="Times New Roman" w:cs="Times New Roman"/>
                <w:szCs w:val="24"/>
              </w:rPr>
            </w:pPr>
            <w:r w:rsidRPr="00B86747">
              <w:rPr>
                <w:rFonts w:eastAsia="Times New Roman" w:cs="Times New Roman"/>
                <w:szCs w:val="24"/>
              </w:rPr>
              <w:t>0.5482</w:t>
            </w:r>
          </w:p>
        </w:tc>
      </w:tr>
    </w:tbl>
    <w:p w14:paraId="7D4706FD" w14:textId="77777777" w:rsidR="0011234D" w:rsidRPr="00C81BE2" w:rsidRDefault="0011234D" w:rsidP="00C81BE2">
      <w:pPr>
        <w:pStyle w:val="NoSpaceTimes"/>
      </w:pPr>
    </w:p>
    <w:p w14:paraId="28E41365" w14:textId="77777777" w:rsidR="0011234D" w:rsidRDefault="000F5B51" w:rsidP="005E3D4C">
      <w:pPr>
        <w:pStyle w:val="Heading4"/>
        <w:spacing w:before="0" w:line="240" w:lineRule="auto"/>
      </w:pPr>
      <w:r>
        <w:t>FMVSSS No. 214 Side Impacts Protection (Upgrade, Vehicle-to-Pole Test)</w:t>
      </w:r>
    </w:p>
    <w:p w14:paraId="50C8CA5B" w14:textId="78244856" w:rsidR="0011234D" w:rsidRDefault="000F5B51" w:rsidP="0011234D">
      <w:pPr>
        <w:spacing w:after="0"/>
        <w:contextualSpacing/>
        <w:rPr>
          <w:rFonts w:eastAsia="Times New Roman" w:cs="Times New Roman"/>
          <w:szCs w:val="24"/>
        </w:rPr>
      </w:pPr>
      <w:r>
        <w:rPr>
          <w:rFonts w:eastAsia="Times New Roman" w:cs="Times New Roman"/>
          <w:szCs w:val="24"/>
        </w:rPr>
        <w:t>This subsection discusses the adjustment to the target population to account for the safety benefits from FMVSS No 214 Side Impacts Protection (Upgrade, Vehicle-to-Pole Test)</w:t>
      </w:r>
      <w:r w:rsidR="001F2F92">
        <w:rPr>
          <w:rFonts w:eastAsia="Times New Roman" w:cs="Times New Roman"/>
          <w:szCs w:val="24"/>
        </w:rPr>
        <w:t xml:space="preserve">. </w:t>
      </w:r>
      <w:r>
        <w:rPr>
          <w:rFonts w:eastAsia="Times New Roman" w:cs="Times New Roman"/>
          <w:szCs w:val="24"/>
        </w:rPr>
        <w:fldChar w:fldCharType="begin"/>
      </w:r>
      <w:r>
        <w:rPr>
          <w:rFonts w:eastAsia="Times New Roman" w:cs="Times New Roman"/>
          <w:szCs w:val="24"/>
        </w:rPr>
        <w:instrText xml:space="preserve"> REF _Ref125540154 \h </w:instrText>
      </w:r>
      <w:r>
        <w:rPr>
          <w:rFonts w:eastAsia="Times New Roman" w:cs="Times New Roman"/>
          <w:szCs w:val="24"/>
        </w:rPr>
      </w:r>
      <w:r>
        <w:rPr>
          <w:rFonts w:eastAsia="Times New Roman" w:cs="Times New Roman"/>
          <w:szCs w:val="24"/>
        </w:rPr>
        <w:fldChar w:fldCharType="separate"/>
      </w:r>
      <w:r w:rsidR="00A65CB3">
        <w:t xml:space="preserve">Table </w:t>
      </w:r>
      <w:r w:rsidR="00A65CB3">
        <w:rPr>
          <w:noProof/>
        </w:rPr>
        <w:t>13</w:t>
      </w:r>
      <w:r>
        <w:rPr>
          <w:rFonts w:eastAsia="Times New Roman" w:cs="Times New Roman"/>
          <w:szCs w:val="24"/>
        </w:rPr>
        <w:fldChar w:fldCharType="end"/>
      </w:r>
      <w:r>
        <w:rPr>
          <w:rFonts w:eastAsia="Times New Roman" w:cs="Times New Roman"/>
          <w:szCs w:val="24"/>
        </w:rPr>
        <w:t xml:space="preserve"> presents the injuries and fatalities for rear seat occupants in side impact crashes reflected in the target population in the </w:t>
      </w:r>
      <w:r w:rsidR="00F030DE" w:rsidRPr="0049452F">
        <w:rPr>
          <w:rFonts w:eastAsia="Times New Roman" w:cs="Times New Roman"/>
          <w:szCs w:val="24"/>
        </w:rPr>
        <w:t xml:space="preserve">FMVSS No. 214 </w:t>
      </w:r>
      <w:r>
        <w:rPr>
          <w:rFonts w:eastAsia="Times New Roman" w:cs="Times New Roman"/>
          <w:szCs w:val="24"/>
        </w:rPr>
        <w:t>FRIA</w:t>
      </w:r>
      <w:r>
        <w:rPr>
          <w:rStyle w:val="FootnoteReference"/>
          <w:rFonts w:eastAsia="Times New Roman" w:cs="Times New Roman"/>
          <w:szCs w:val="24"/>
        </w:rPr>
        <w:footnoteReference w:id="37"/>
      </w:r>
      <w:r>
        <w:rPr>
          <w:rFonts w:eastAsia="Times New Roman" w:cs="Times New Roman"/>
          <w:szCs w:val="24"/>
        </w:rPr>
        <w:t>, as well as the safety benefits</w:t>
      </w:r>
      <w:r w:rsidR="001F2F92">
        <w:rPr>
          <w:rFonts w:eastAsia="Times New Roman" w:cs="Times New Roman"/>
          <w:szCs w:val="24"/>
        </w:rPr>
        <w:t xml:space="preserve">. </w:t>
      </w:r>
      <w:r>
        <w:rPr>
          <w:rFonts w:eastAsia="Times New Roman" w:cs="Times New Roman"/>
          <w:szCs w:val="24"/>
        </w:rPr>
        <w:t xml:space="preserve">The </w:t>
      </w:r>
      <w:r w:rsidRPr="0049452F">
        <w:rPr>
          <w:rFonts w:eastAsia="Times New Roman" w:cs="Times New Roman"/>
          <w:szCs w:val="24"/>
        </w:rPr>
        <w:t>FRIA</w:t>
      </w:r>
      <w:r>
        <w:rPr>
          <w:rFonts w:eastAsia="Times New Roman" w:cs="Times New Roman"/>
          <w:szCs w:val="24"/>
        </w:rPr>
        <w:t xml:space="preserve"> used</w:t>
      </w:r>
      <w:r w:rsidRPr="0049452F">
        <w:rPr>
          <w:rFonts w:eastAsia="Times New Roman" w:cs="Times New Roman"/>
          <w:szCs w:val="24"/>
        </w:rPr>
        <w:t xml:space="preserve"> 2000-2004 NASS/CDS, 2004 FARS, and 2004 GES side impact data</w:t>
      </w:r>
      <w:r w:rsidR="001F2F92">
        <w:rPr>
          <w:rFonts w:eastAsia="Times New Roman" w:cs="Times New Roman"/>
          <w:szCs w:val="24"/>
        </w:rPr>
        <w:t xml:space="preserve">. </w:t>
      </w:r>
      <w:r>
        <w:rPr>
          <w:rFonts w:eastAsia="Times New Roman" w:cs="Times New Roman"/>
          <w:szCs w:val="24"/>
        </w:rPr>
        <w:t xml:space="preserve">This analysis makes use of that information to estimate the adjustment factor for FMVSS No. 214. </w:t>
      </w:r>
    </w:p>
    <w:p w14:paraId="4207D588" w14:textId="393BAFF4" w:rsidR="0011234D" w:rsidRPr="00B84943" w:rsidRDefault="000F5B51" w:rsidP="0011234D">
      <w:pPr>
        <w:pStyle w:val="Caption"/>
      </w:pPr>
      <w:bookmarkStart w:id="80" w:name="_Ref125540154"/>
      <w:bookmarkStart w:id="81" w:name="_Toc517354372"/>
      <w:bookmarkStart w:id="82" w:name="_Toc103595334"/>
      <w:r>
        <w:t xml:space="preserve">Table </w:t>
      </w:r>
      <w:r w:rsidR="00115BAB">
        <w:fldChar w:fldCharType="begin"/>
      </w:r>
      <w:r>
        <w:instrText xml:space="preserve"> SEQ Table \* ARABIC </w:instrText>
      </w:r>
      <w:r w:rsidR="00115BAB">
        <w:fldChar w:fldCharType="separate"/>
      </w:r>
      <w:r w:rsidR="00A65CB3">
        <w:rPr>
          <w:noProof/>
        </w:rPr>
        <w:t>13</w:t>
      </w:r>
      <w:r w:rsidR="00115BAB">
        <w:rPr>
          <w:noProof/>
        </w:rPr>
        <w:fldChar w:fldCharType="end"/>
      </w:r>
      <w:bookmarkEnd w:id="80"/>
      <w:r>
        <w:t xml:space="preserve">: </w:t>
      </w:r>
      <w:r w:rsidRPr="001E4679">
        <w:t>Rear Seat Injuries and Benefits</w:t>
      </w:r>
      <w:r>
        <w:rPr>
          <w:rStyle w:val="FootnoteReference"/>
        </w:rPr>
        <w:footnoteReference w:id="38"/>
      </w:r>
      <w:bookmarkEnd w:id="81"/>
      <w:bookmarkEnd w:id="82"/>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9"/>
        <w:gridCol w:w="1151"/>
        <w:gridCol w:w="1151"/>
        <w:gridCol w:w="1151"/>
        <w:gridCol w:w="1151"/>
        <w:gridCol w:w="1152"/>
      </w:tblGrid>
      <w:tr w:rsidR="00A15C2C" w14:paraId="58035116" w14:textId="77777777" w:rsidTr="005E3D4C">
        <w:trPr>
          <w:trHeight w:val="280"/>
          <w:jc w:val="center"/>
        </w:trPr>
        <w:tc>
          <w:tcPr>
            <w:tcW w:w="2789" w:type="dxa"/>
            <w:shd w:val="clear" w:color="auto" w:fill="BFBFBF" w:themeFill="background1" w:themeFillShade="BF"/>
            <w:noWrap/>
            <w:vAlign w:val="center"/>
            <w:hideMark/>
          </w:tcPr>
          <w:p w14:paraId="41979F64" w14:textId="77777777" w:rsidR="0011234D" w:rsidRPr="005C37D4" w:rsidRDefault="000F5B51" w:rsidP="003C04C4">
            <w:pPr>
              <w:spacing w:after="0" w:line="240" w:lineRule="auto"/>
              <w:contextualSpacing/>
              <w:rPr>
                <w:rFonts w:eastAsia="Times New Roman" w:cs="Times New Roman"/>
                <w:b/>
                <w:bCs/>
                <w:szCs w:val="24"/>
              </w:rPr>
            </w:pPr>
            <w:r w:rsidRPr="005C37D4">
              <w:rPr>
                <w:rFonts w:eastAsia="Times New Roman" w:cs="Times New Roman"/>
                <w:b/>
                <w:bCs/>
                <w:szCs w:val="24"/>
              </w:rPr>
              <w:t>Category</w:t>
            </w:r>
          </w:p>
        </w:tc>
        <w:tc>
          <w:tcPr>
            <w:tcW w:w="1151" w:type="dxa"/>
            <w:shd w:val="clear" w:color="auto" w:fill="BFBFBF" w:themeFill="background1" w:themeFillShade="BF"/>
            <w:noWrap/>
            <w:vAlign w:val="bottom"/>
          </w:tcPr>
          <w:p w14:paraId="70CAA920" w14:textId="77777777" w:rsidR="0011234D" w:rsidRPr="005C37D4" w:rsidRDefault="000F5B51" w:rsidP="003C04C4">
            <w:pPr>
              <w:spacing w:after="0" w:line="240" w:lineRule="auto"/>
              <w:contextualSpacing/>
              <w:jc w:val="center"/>
              <w:rPr>
                <w:rFonts w:eastAsia="Times New Roman" w:cs="Times New Roman"/>
                <w:b/>
                <w:bCs/>
                <w:szCs w:val="24"/>
              </w:rPr>
            </w:pPr>
            <w:r w:rsidRPr="005C37D4">
              <w:rPr>
                <w:rFonts w:cs="Times New Roman"/>
                <w:b/>
                <w:bCs/>
                <w:color w:val="000000"/>
                <w:szCs w:val="24"/>
              </w:rPr>
              <w:t>AIS3</w:t>
            </w:r>
          </w:p>
        </w:tc>
        <w:tc>
          <w:tcPr>
            <w:tcW w:w="1151" w:type="dxa"/>
            <w:shd w:val="clear" w:color="auto" w:fill="BFBFBF" w:themeFill="background1" w:themeFillShade="BF"/>
            <w:noWrap/>
            <w:vAlign w:val="bottom"/>
          </w:tcPr>
          <w:p w14:paraId="29C71CC0" w14:textId="77777777" w:rsidR="0011234D" w:rsidRPr="005C37D4" w:rsidRDefault="000F5B51" w:rsidP="003C04C4">
            <w:pPr>
              <w:spacing w:after="0" w:line="240" w:lineRule="auto"/>
              <w:contextualSpacing/>
              <w:jc w:val="center"/>
              <w:rPr>
                <w:rFonts w:eastAsia="Times New Roman" w:cs="Times New Roman"/>
                <w:b/>
                <w:bCs/>
                <w:szCs w:val="24"/>
              </w:rPr>
            </w:pPr>
            <w:r w:rsidRPr="005C37D4">
              <w:rPr>
                <w:rFonts w:cs="Times New Roman"/>
                <w:b/>
                <w:bCs/>
                <w:color w:val="000000"/>
                <w:szCs w:val="24"/>
              </w:rPr>
              <w:t>AIS4</w:t>
            </w:r>
          </w:p>
        </w:tc>
        <w:tc>
          <w:tcPr>
            <w:tcW w:w="1151" w:type="dxa"/>
            <w:shd w:val="clear" w:color="auto" w:fill="BFBFBF" w:themeFill="background1" w:themeFillShade="BF"/>
            <w:vAlign w:val="bottom"/>
          </w:tcPr>
          <w:p w14:paraId="56A6A96C" w14:textId="77777777" w:rsidR="0011234D" w:rsidRPr="005C37D4" w:rsidRDefault="000F5B51" w:rsidP="003C04C4">
            <w:pPr>
              <w:spacing w:after="0" w:line="240" w:lineRule="auto"/>
              <w:contextualSpacing/>
              <w:jc w:val="center"/>
              <w:rPr>
                <w:rFonts w:eastAsia="Times New Roman" w:cs="Times New Roman"/>
                <w:b/>
                <w:bCs/>
                <w:szCs w:val="24"/>
              </w:rPr>
            </w:pPr>
            <w:r w:rsidRPr="005C37D4">
              <w:rPr>
                <w:rFonts w:cs="Times New Roman"/>
                <w:b/>
                <w:bCs/>
                <w:color w:val="000000"/>
                <w:szCs w:val="24"/>
              </w:rPr>
              <w:t>AIS5</w:t>
            </w:r>
          </w:p>
        </w:tc>
        <w:tc>
          <w:tcPr>
            <w:tcW w:w="1151" w:type="dxa"/>
            <w:shd w:val="clear" w:color="auto" w:fill="BFBFBF" w:themeFill="background1" w:themeFillShade="BF"/>
            <w:vAlign w:val="bottom"/>
          </w:tcPr>
          <w:p w14:paraId="52BE6C80" w14:textId="77777777" w:rsidR="0011234D" w:rsidRPr="005C37D4" w:rsidRDefault="000F5B51" w:rsidP="003C04C4">
            <w:pPr>
              <w:spacing w:after="0" w:line="240" w:lineRule="auto"/>
              <w:contextualSpacing/>
              <w:jc w:val="center"/>
              <w:rPr>
                <w:rFonts w:eastAsia="Times New Roman" w:cs="Times New Roman"/>
                <w:b/>
                <w:bCs/>
                <w:szCs w:val="24"/>
              </w:rPr>
            </w:pPr>
            <w:r w:rsidRPr="005C37D4">
              <w:rPr>
                <w:rFonts w:cs="Times New Roman"/>
                <w:b/>
                <w:bCs/>
                <w:color w:val="000000"/>
                <w:szCs w:val="24"/>
              </w:rPr>
              <w:t>Fatal</w:t>
            </w:r>
          </w:p>
        </w:tc>
        <w:tc>
          <w:tcPr>
            <w:tcW w:w="1152" w:type="dxa"/>
            <w:shd w:val="clear" w:color="auto" w:fill="BFBFBF" w:themeFill="background1" w:themeFillShade="BF"/>
            <w:vAlign w:val="center"/>
          </w:tcPr>
          <w:p w14:paraId="6E55434A" w14:textId="77777777" w:rsidR="0011234D" w:rsidRPr="005C37D4" w:rsidRDefault="000F5B51" w:rsidP="003C04C4">
            <w:pPr>
              <w:spacing w:after="0" w:line="240" w:lineRule="auto"/>
              <w:contextualSpacing/>
              <w:jc w:val="center"/>
              <w:rPr>
                <w:rFonts w:eastAsia="Times New Roman" w:cs="Times New Roman"/>
                <w:b/>
                <w:bCs/>
                <w:szCs w:val="24"/>
              </w:rPr>
            </w:pPr>
            <w:r w:rsidRPr="005C37D4">
              <w:rPr>
                <w:rFonts w:eastAsia="Times New Roman" w:cs="Times New Roman"/>
                <w:b/>
                <w:bCs/>
                <w:szCs w:val="24"/>
              </w:rPr>
              <w:t>Total</w:t>
            </w:r>
          </w:p>
        </w:tc>
      </w:tr>
      <w:tr w:rsidR="00A15C2C" w14:paraId="397E95F8" w14:textId="77777777" w:rsidTr="003C04C4">
        <w:trPr>
          <w:trHeight w:val="280"/>
          <w:jc w:val="center"/>
        </w:trPr>
        <w:tc>
          <w:tcPr>
            <w:tcW w:w="2789" w:type="dxa"/>
            <w:shd w:val="clear" w:color="auto" w:fill="auto"/>
            <w:noWrap/>
            <w:vAlign w:val="center"/>
          </w:tcPr>
          <w:p w14:paraId="124AA5B7" w14:textId="77777777" w:rsidR="0011234D" w:rsidRPr="004E0A15" w:rsidRDefault="000F5B51" w:rsidP="003C04C4">
            <w:pPr>
              <w:spacing w:after="0" w:line="240" w:lineRule="auto"/>
              <w:contextualSpacing/>
              <w:rPr>
                <w:rFonts w:cs="Times New Roman"/>
                <w:color w:val="000000"/>
                <w:szCs w:val="24"/>
              </w:rPr>
            </w:pPr>
            <w:r w:rsidRPr="00EA1704">
              <w:rPr>
                <w:rFonts w:eastAsia="Times New Roman" w:cs="Times New Roman"/>
                <w:szCs w:val="24"/>
              </w:rPr>
              <w:t>Nonfatal and fatal injuries</w:t>
            </w:r>
          </w:p>
        </w:tc>
        <w:tc>
          <w:tcPr>
            <w:tcW w:w="1151" w:type="dxa"/>
            <w:shd w:val="clear" w:color="auto" w:fill="auto"/>
            <w:noWrap/>
            <w:vAlign w:val="bottom"/>
          </w:tcPr>
          <w:p w14:paraId="54C42676" w14:textId="77777777" w:rsidR="0011234D" w:rsidRPr="004E0A15" w:rsidRDefault="000F5B51" w:rsidP="003C04C4">
            <w:pPr>
              <w:spacing w:after="0" w:line="240" w:lineRule="auto"/>
              <w:contextualSpacing/>
              <w:jc w:val="center"/>
              <w:rPr>
                <w:rFonts w:cs="Times New Roman"/>
                <w:bCs/>
                <w:color w:val="000000"/>
                <w:szCs w:val="24"/>
              </w:rPr>
            </w:pPr>
            <w:r w:rsidRPr="004E0A15">
              <w:rPr>
                <w:rFonts w:eastAsia="Times New Roman" w:cs="Times New Roman"/>
                <w:szCs w:val="24"/>
              </w:rPr>
              <w:t>171</w:t>
            </w:r>
          </w:p>
        </w:tc>
        <w:tc>
          <w:tcPr>
            <w:tcW w:w="1151" w:type="dxa"/>
            <w:shd w:val="clear" w:color="auto" w:fill="auto"/>
            <w:noWrap/>
            <w:vAlign w:val="bottom"/>
          </w:tcPr>
          <w:p w14:paraId="04045390" w14:textId="77777777" w:rsidR="0011234D" w:rsidRPr="004E0A15" w:rsidRDefault="000F5B51" w:rsidP="003C04C4">
            <w:pPr>
              <w:spacing w:after="0" w:line="240" w:lineRule="auto"/>
              <w:contextualSpacing/>
              <w:jc w:val="center"/>
              <w:rPr>
                <w:rFonts w:cs="Times New Roman"/>
                <w:bCs/>
                <w:color w:val="000000"/>
                <w:szCs w:val="24"/>
              </w:rPr>
            </w:pPr>
            <w:r w:rsidRPr="00125323">
              <w:rPr>
                <w:rFonts w:eastAsia="Times New Roman" w:cs="Times New Roman"/>
                <w:szCs w:val="24"/>
              </w:rPr>
              <w:t>87</w:t>
            </w:r>
          </w:p>
        </w:tc>
        <w:tc>
          <w:tcPr>
            <w:tcW w:w="1151" w:type="dxa"/>
            <w:vAlign w:val="bottom"/>
          </w:tcPr>
          <w:p w14:paraId="350674DC" w14:textId="77777777" w:rsidR="0011234D" w:rsidRPr="004E0A15" w:rsidRDefault="000F5B51" w:rsidP="003C04C4">
            <w:pPr>
              <w:spacing w:after="0" w:line="240" w:lineRule="auto"/>
              <w:contextualSpacing/>
              <w:jc w:val="center"/>
              <w:rPr>
                <w:rFonts w:cs="Times New Roman"/>
                <w:bCs/>
                <w:color w:val="000000"/>
                <w:szCs w:val="24"/>
              </w:rPr>
            </w:pPr>
            <w:r w:rsidRPr="00125323">
              <w:rPr>
                <w:rFonts w:eastAsia="Times New Roman" w:cs="Times New Roman"/>
                <w:szCs w:val="24"/>
              </w:rPr>
              <w:t>61</w:t>
            </w:r>
          </w:p>
        </w:tc>
        <w:tc>
          <w:tcPr>
            <w:tcW w:w="1151" w:type="dxa"/>
            <w:vAlign w:val="bottom"/>
          </w:tcPr>
          <w:p w14:paraId="53BDE294" w14:textId="77777777" w:rsidR="0011234D" w:rsidRPr="004E0A15" w:rsidRDefault="000F5B51" w:rsidP="003C04C4">
            <w:pPr>
              <w:spacing w:after="0" w:line="240" w:lineRule="auto"/>
              <w:contextualSpacing/>
              <w:jc w:val="center"/>
              <w:rPr>
                <w:rFonts w:cs="Times New Roman"/>
                <w:bCs/>
                <w:color w:val="000000"/>
                <w:szCs w:val="24"/>
              </w:rPr>
            </w:pPr>
            <w:r w:rsidRPr="00125323">
              <w:rPr>
                <w:rFonts w:eastAsia="Times New Roman" w:cs="Times New Roman"/>
                <w:szCs w:val="24"/>
              </w:rPr>
              <w:t>33</w:t>
            </w:r>
          </w:p>
        </w:tc>
        <w:tc>
          <w:tcPr>
            <w:tcW w:w="1152" w:type="dxa"/>
            <w:vAlign w:val="bottom"/>
          </w:tcPr>
          <w:p w14:paraId="36AA2C9F" w14:textId="77777777" w:rsidR="0011234D" w:rsidRPr="00125323" w:rsidRDefault="000F5B51" w:rsidP="003C04C4">
            <w:pPr>
              <w:spacing w:after="0" w:line="240" w:lineRule="auto"/>
              <w:contextualSpacing/>
              <w:jc w:val="center"/>
              <w:rPr>
                <w:rFonts w:eastAsia="Times New Roman" w:cs="Times New Roman"/>
                <w:szCs w:val="24"/>
              </w:rPr>
            </w:pPr>
            <w:r w:rsidRPr="004E0A15">
              <w:rPr>
                <w:rFonts w:cs="Times New Roman"/>
                <w:bCs/>
                <w:color w:val="000000"/>
                <w:szCs w:val="24"/>
              </w:rPr>
              <w:t>352</w:t>
            </w:r>
          </w:p>
        </w:tc>
      </w:tr>
      <w:tr w:rsidR="00A15C2C" w14:paraId="4C9FA32F" w14:textId="77777777" w:rsidTr="003C04C4">
        <w:trPr>
          <w:trHeight w:val="280"/>
          <w:jc w:val="center"/>
        </w:trPr>
        <w:tc>
          <w:tcPr>
            <w:tcW w:w="2789" w:type="dxa"/>
            <w:shd w:val="clear" w:color="auto" w:fill="auto"/>
            <w:noWrap/>
            <w:vAlign w:val="center"/>
          </w:tcPr>
          <w:p w14:paraId="484C2C80" w14:textId="77777777" w:rsidR="0011234D" w:rsidRPr="00125323" w:rsidRDefault="000F5B51" w:rsidP="003C04C4">
            <w:pPr>
              <w:spacing w:after="0" w:line="240" w:lineRule="auto"/>
              <w:contextualSpacing/>
              <w:rPr>
                <w:rFonts w:eastAsia="Times New Roman" w:cs="Times New Roman"/>
                <w:szCs w:val="24"/>
              </w:rPr>
            </w:pPr>
            <w:r>
              <w:rPr>
                <w:rFonts w:cs="Times New Roman"/>
                <w:color w:val="000000"/>
                <w:szCs w:val="24"/>
              </w:rPr>
              <w:t xml:space="preserve">Saved </w:t>
            </w:r>
          </w:p>
        </w:tc>
        <w:tc>
          <w:tcPr>
            <w:tcW w:w="1151" w:type="dxa"/>
            <w:shd w:val="clear" w:color="auto" w:fill="auto"/>
            <w:noWrap/>
            <w:vAlign w:val="bottom"/>
          </w:tcPr>
          <w:p w14:paraId="2D540970" w14:textId="77777777" w:rsidR="0011234D" w:rsidRPr="004E0A15" w:rsidRDefault="000F5B51" w:rsidP="003C04C4">
            <w:pPr>
              <w:spacing w:after="0" w:line="240" w:lineRule="auto"/>
              <w:contextualSpacing/>
              <w:jc w:val="center"/>
              <w:rPr>
                <w:rFonts w:eastAsia="Times New Roman" w:cs="Times New Roman"/>
                <w:szCs w:val="24"/>
              </w:rPr>
            </w:pPr>
            <w:r w:rsidRPr="004E0A15">
              <w:rPr>
                <w:rFonts w:cs="Times New Roman"/>
                <w:bCs/>
                <w:color w:val="000000"/>
                <w:szCs w:val="24"/>
              </w:rPr>
              <w:t>61</w:t>
            </w:r>
          </w:p>
        </w:tc>
        <w:tc>
          <w:tcPr>
            <w:tcW w:w="1151" w:type="dxa"/>
            <w:shd w:val="clear" w:color="auto" w:fill="auto"/>
            <w:noWrap/>
            <w:vAlign w:val="bottom"/>
          </w:tcPr>
          <w:p w14:paraId="0BFAC67D" w14:textId="77777777" w:rsidR="0011234D" w:rsidRPr="00125323" w:rsidRDefault="000F5B51" w:rsidP="003C04C4">
            <w:pPr>
              <w:spacing w:after="0" w:line="240" w:lineRule="auto"/>
              <w:contextualSpacing/>
              <w:jc w:val="center"/>
              <w:rPr>
                <w:rFonts w:eastAsia="Times New Roman" w:cs="Times New Roman"/>
                <w:szCs w:val="24"/>
              </w:rPr>
            </w:pPr>
            <w:r w:rsidRPr="004E0A15">
              <w:rPr>
                <w:rFonts w:cs="Times New Roman"/>
                <w:bCs/>
                <w:color w:val="000000"/>
                <w:szCs w:val="24"/>
              </w:rPr>
              <w:t>11</w:t>
            </w:r>
          </w:p>
        </w:tc>
        <w:tc>
          <w:tcPr>
            <w:tcW w:w="1151" w:type="dxa"/>
            <w:vAlign w:val="bottom"/>
          </w:tcPr>
          <w:p w14:paraId="2E9D50C0" w14:textId="77777777" w:rsidR="0011234D" w:rsidRPr="00125323" w:rsidRDefault="000F5B51" w:rsidP="003C04C4">
            <w:pPr>
              <w:spacing w:after="0" w:line="240" w:lineRule="auto"/>
              <w:contextualSpacing/>
              <w:jc w:val="center"/>
              <w:rPr>
                <w:rFonts w:eastAsia="Times New Roman" w:cs="Times New Roman"/>
                <w:szCs w:val="24"/>
              </w:rPr>
            </w:pPr>
            <w:r w:rsidRPr="004E0A15">
              <w:rPr>
                <w:rFonts w:cs="Times New Roman"/>
                <w:bCs/>
                <w:color w:val="000000"/>
                <w:szCs w:val="24"/>
              </w:rPr>
              <w:t>0</w:t>
            </w:r>
          </w:p>
        </w:tc>
        <w:tc>
          <w:tcPr>
            <w:tcW w:w="1151" w:type="dxa"/>
            <w:vAlign w:val="bottom"/>
          </w:tcPr>
          <w:p w14:paraId="642F9716" w14:textId="77777777" w:rsidR="0011234D" w:rsidRPr="00125323" w:rsidRDefault="000F5B51" w:rsidP="003C04C4">
            <w:pPr>
              <w:spacing w:after="0" w:line="240" w:lineRule="auto"/>
              <w:contextualSpacing/>
              <w:jc w:val="center"/>
              <w:rPr>
                <w:rFonts w:eastAsia="Times New Roman" w:cs="Times New Roman"/>
                <w:szCs w:val="24"/>
              </w:rPr>
            </w:pPr>
            <w:r w:rsidRPr="004E0A15">
              <w:rPr>
                <w:rFonts w:cs="Times New Roman"/>
                <w:bCs/>
                <w:color w:val="000000"/>
                <w:szCs w:val="24"/>
              </w:rPr>
              <w:t>21</w:t>
            </w:r>
          </w:p>
        </w:tc>
        <w:tc>
          <w:tcPr>
            <w:tcW w:w="1152" w:type="dxa"/>
          </w:tcPr>
          <w:p w14:paraId="10C40FD2" w14:textId="77777777" w:rsidR="0011234D" w:rsidRPr="00125323" w:rsidRDefault="000F5B51" w:rsidP="003C04C4">
            <w:pPr>
              <w:spacing w:after="0" w:line="240" w:lineRule="auto"/>
              <w:contextualSpacing/>
              <w:jc w:val="center"/>
              <w:rPr>
                <w:rFonts w:eastAsia="Times New Roman" w:cs="Times New Roman"/>
                <w:szCs w:val="24"/>
              </w:rPr>
            </w:pPr>
            <w:r w:rsidRPr="00125323">
              <w:rPr>
                <w:rFonts w:eastAsia="Times New Roman" w:cs="Times New Roman"/>
                <w:szCs w:val="24"/>
              </w:rPr>
              <w:t>93</w:t>
            </w:r>
          </w:p>
        </w:tc>
      </w:tr>
    </w:tbl>
    <w:p w14:paraId="23442F3F" w14:textId="77777777" w:rsidR="0011234D" w:rsidRPr="00993575" w:rsidRDefault="0011234D" w:rsidP="0011234D">
      <w:pPr>
        <w:spacing w:after="0" w:line="240" w:lineRule="auto"/>
        <w:contextualSpacing/>
        <w:jc w:val="center"/>
        <w:rPr>
          <w:rFonts w:eastAsia="Times New Roman" w:cs="Times New Roman"/>
          <w:szCs w:val="24"/>
        </w:rPr>
      </w:pPr>
    </w:p>
    <w:p w14:paraId="09D55051" w14:textId="6774E663" w:rsidR="0011234D" w:rsidRDefault="000F5B51" w:rsidP="005E3D4C">
      <w:pPr>
        <w:pStyle w:val="Caption"/>
        <w:spacing w:line="480" w:lineRule="auto"/>
        <w:contextualSpacing/>
        <w:jc w:val="left"/>
        <w:rPr>
          <w:rFonts w:eastAsia="Times New Roman" w:cs="Times New Roman"/>
          <w:szCs w:val="24"/>
        </w:rPr>
      </w:pPr>
      <w:bookmarkStart w:id="83" w:name="_Ref515638857"/>
      <w:bookmarkStart w:id="84" w:name="_Toc517354373"/>
      <w:bookmarkStart w:id="85" w:name="_Toc103595335"/>
      <w:r>
        <w:rPr>
          <w:rFonts w:eastAsia="Times New Roman" w:cs="Times New Roman"/>
          <w:szCs w:val="24"/>
        </w:rPr>
        <w:t xml:space="preserve">Based on the information provided in </w:t>
      </w:r>
      <w:r>
        <w:rPr>
          <w:rFonts w:eastAsia="Times New Roman" w:cs="Times New Roman"/>
          <w:szCs w:val="24"/>
        </w:rPr>
        <w:fldChar w:fldCharType="begin"/>
      </w:r>
      <w:r>
        <w:rPr>
          <w:rFonts w:eastAsia="Times New Roman" w:cs="Times New Roman"/>
          <w:szCs w:val="24"/>
        </w:rPr>
        <w:instrText xml:space="preserve"> REF _Ref125540154 \h </w:instrText>
      </w:r>
      <w:r>
        <w:rPr>
          <w:rFonts w:eastAsia="Times New Roman" w:cs="Times New Roman"/>
          <w:szCs w:val="24"/>
        </w:rPr>
      </w:r>
      <w:r>
        <w:rPr>
          <w:rFonts w:eastAsia="Times New Roman" w:cs="Times New Roman"/>
          <w:szCs w:val="24"/>
        </w:rPr>
        <w:fldChar w:fldCharType="separate"/>
      </w:r>
      <w:r w:rsidR="00A65CB3">
        <w:t xml:space="preserve">Table </w:t>
      </w:r>
      <w:r w:rsidR="00A65CB3">
        <w:rPr>
          <w:noProof/>
        </w:rPr>
        <w:t>13</w:t>
      </w:r>
      <w:r>
        <w:rPr>
          <w:rFonts w:eastAsia="Times New Roman" w:cs="Times New Roman"/>
          <w:szCs w:val="24"/>
        </w:rPr>
        <w:fldChar w:fldCharType="end"/>
      </w:r>
      <w:r>
        <w:rPr>
          <w:rFonts w:eastAsia="Times New Roman" w:cs="Times New Roman"/>
          <w:szCs w:val="24"/>
        </w:rPr>
        <w:t>, the effectiveness rate for FVMSS No. 214 for fatalities of rear seat occupants in side impact crashes is 93 divided by 35</w:t>
      </w:r>
      <w:r w:rsidR="007239DD">
        <w:rPr>
          <w:rFonts w:eastAsia="Times New Roman" w:cs="Times New Roman"/>
          <w:szCs w:val="24"/>
        </w:rPr>
        <w:t>2</w:t>
      </w:r>
      <w:r>
        <w:rPr>
          <w:rFonts w:eastAsia="Times New Roman" w:cs="Times New Roman"/>
          <w:szCs w:val="24"/>
        </w:rPr>
        <w:t xml:space="preserve"> or </w:t>
      </w:r>
      <w:r w:rsidR="007239DD">
        <w:rPr>
          <w:rFonts w:eastAsia="Times New Roman" w:cs="Times New Roman"/>
          <w:szCs w:val="24"/>
        </w:rPr>
        <w:t>26.4</w:t>
      </w:r>
      <w:r>
        <w:rPr>
          <w:rFonts w:eastAsia="Times New Roman" w:cs="Times New Roman"/>
          <w:szCs w:val="24"/>
        </w:rPr>
        <w:t xml:space="preserve"> percent</w:t>
      </w:r>
      <w:r w:rsidR="001F2F92">
        <w:rPr>
          <w:rFonts w:eastAsia="Times New Roman" w:cs="Times New Roman"/>
          <w:szCs w:val="24"/>
        </w:rPr>
        <w:t xml:space="preserve">. </w:t>
      </w:r>
      <w:r>
        <w:rPr>
          <w:rFonts w:eastAsia="Times New Roman" w:cs="Times New Roman"/>
          <w:szCs w:val="24"/>
        </w:rPr>
        <w:t xml:space="preserve">This analysis makes use of that effectiveness rate </w:t>
      </w:r>
      <w:r w:rsidRPr="000547C2">
        <w:rPr>
          <w:rFonts w:eastAsia="Times New Roman" w:cs="Times New Roman"/>
          <w:szCs w:val="24"/>
        </w:rPr>
        <w:t xml:space="preserve">as a proxy for fatal and non-fatal crashes for </w:t>
      </w:r>
      <w:r w:rsidRPr="004E0A15">
        <w:rPr>
          <w:rFonts w:eastAsia="Times New Roman" w:cs="Times New Roman"/>
          <w:szCs w:val="24"/>
        </w:rPr>
        <w:t xml:space="preserve">rear seat </w:t>
      </w:r>
      <w:r w:rsidRPr="00CA49E6">
        <w:rPr>
          <w:rFonts w:eastAsia="Times New Roman" w:cs="Times New Roman"/>
          <w:szCs w:val="24"/>
        </w:rPr>
        <w:t>occupants in side crashes</w:t>
      </w:r>
      <w:r w:rsidR="001F2F92">
        <w:rPr>
          <w:rFonts w:eastAsia="Times New Roman" w:cs="Times New Roman"/>
          <w:szCs w:val="24"/>
        </w:rPr>
        <w:t xml:space="preserve">. </w:t>
      </w:r>
      <w:r>
        <w:rPr>
          <w:rFonts w:eastAsia="Times New Roman" w:cs="Times New Roman"/>
          <w:szCs w:val="24"/>
        </w:rPr>
        <w:t xml:space="preserve">FMVSS No. 214 does not have effectiveness in preventing </w:t>
      </w:r>
      <w:r w:rsidRPr="0049452F">
        <w:rPr>
          <w:rFonts w:eastAsia="Times New Roman" w:cs="Times New Roman"/>
          <w:szCs w:val="24"/>
        </w:rPr>
        <w:t>front, rear, and rollover crashes</w:t>
      </w:r>
      <w:r>
        <w:rPr>
          <w:rFonts w:eastAsia="Times New Roman" w:cs="Times New Roman"/>
          <w:szCs w:val="24"/>
        </w:rPr>
        <w:t xml:space="preserve"> and, therefore, does not require an adjustment for those types of crashes.</w:t>
      </w:r>
    </w:p>
    <w:p w14:paraId="4C44D908" w14:textId="77777777" w:rsidR="00435D89" w:rsidRPr="00435D89" w:rsidRDefault="00435D89" w:rsidP="00435D89"/>
    <w:bookmarkEnd w:id="83"/>
    <w:bookmarkEnd w:id="84"/>
    <w:bookmarkEnd w:id="85"/>
    <w:p w14:paraId="5776F164" w14:textId="77777777" w:rsidR="00B87B60" w:rsidRDefault="00B87B60" w:rsidP="0011234D">
      <w:pPr>
        <w:pStyle w:val="Caption"/>
      </w:pPr>
    </w:p>
    <w:p w14:paraId="09176B7D" w14:textId="4E89CFAF" w:rsidR="0011234D" w:rsidRDefault="000F5B51" w:rsidP="0011234D">
      <w:pPr>
        <w:pStyle w:val="Caption"/>
      </w:pPr>
      <w:r>
        <w:t xml:space="preserve">Table </w:t>
      </w:r>
      <w:r w:rsidR="00115BAB">
        <w:fldChar w:fldCharType="begin"/>
      </w:r>
      <w:r>
        <w:instrText xml:space="preserve"> SEQ Table \* ARABIC </w:instrText>
      </w:r>
      <w:r w:rsidR="00115BAB">
        <w:fldChar w:fldCharType="separate"/>
      </w:r>
      <w:r w:rsidR="00A65CB3">
        <w:rPr>
          <w:noProof/>
        </w:rPr>
        <w:t>14</w:t>
      </w:r>
      <w:r w:rsidR="00115BAB">
        <w:rPr>
          <w:noProof/>
        </w:rPr>
        <w:fldChar w:fldCharType="end"/>
      </w:r>
      <w:r>
        <w:t xml:space="preserve">: </w:t>
      </w:r>
      <w:r w:rsidRPr="009D3B50">
        <w:t xml:space="preserve">Effectiveness of FMVSS 214 by Vehicle Type and Crash Type </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1276"/>
        <w:gridCol w:w="1276"/>
        <w:gridCol w:w="1276"/>
        <w:gridCol w:w="1276"/>
      </w:tblGrid>
      <w:tr w:rsidR="00A15C2C" w14:paraId="77A389F2" w14:textId="77777777" w:rsidTr="00E52ABA">
        <w:trPr>
          <w:trHeight w:val="321"/>
          <w:jc w:val="center"/>
        </w:trPr>
        <w:tc>
          <w:tcPr>
            <w:tcW w:w="1841" w:type="dxa"/>
            <w:vMerge w:val="restart"/>
            <w:shd w:val="clear" w:color="auto" w:fill="BFBFBF" w:themeFill="background1" w:themeFillShade="BF"/>
            <w:noWrap/>
            <w:vAlign w:val="center"/>
          </w:tcPr>
          <w:p w14:paraId="62834BF0" w14:textId="77777777" w:rsidR="009C426F" w:rsidRPr="005C37D4" w:rsidRDefault="000F5B51" w:rsidP="00494B3C">
            <w:pPr>
              <w:spacing w:after="0" w:line="240" w:lineRule="auto"/>
              <w:contextualSpacing/>
              <w:rPr>
                <w:rFonts w:eastAsia="Times New Roman" w:cs="Times New Roman"/>
                <w:b/>
                <w:bCs/>
                <w:szCs w:val="24"/>
              </w:rPr>
            </w:pPr>
            <w:r>
              <w:rPr>
                <w:rFonts w:eastAsia="Times New Roman" w:cs="Times New Roman"/>
                <w:b/>
                <w:bCs/>
                <w:szCs w:val="24"/>
              </w:rPr>
              <w:t>Vehicle Type</w:t>
            </w:r>
          </w:p>
        </w:tc>
        <w:tc>
          <w:tcPr>
            <w:tcW w:w="5104" w:type="dxa"/>
            <w:gridSpan w:val="4"/>
            <w:shd w:val="clear" w:color="auto" w:fill="BFBFBF" w:themeFill="background1" w:themeFillShade="BF"/>
            <w:noWrap/>
            <w:vAlign w:val="center"/>
          </w:tcPr>
          <w:p w14:paraId="6205127F" w14:textId="77777777" w:rsidR="009C426F" w:rsidRPr="00DC73D3" w:rsidRDefault="000F5B51" w:rsidP="00BA0F90">
            <w:pPr>
              <w:spacing w:after="0" w:line="240" w:lineRule="auto"/>
              <w:contextualSpacing/>
              <w:jc w:val="center"/>
              <w:rPr>
                <w:szCs w:val="24"/>
              </w:rPr>
            </w:pPr>
            <w:r>
              <w:rPr>
                <w:b/>
                <w:bCs/>
                <w:szCs w:val="24"/>
              </w:rPr>
              <w:t>Crash Type</w:t>
            </w:r>
          </w:p>
        </w:tc>
      </w:tr>
      <w:tr w:rsidR="00A15C2C" w14:paraId="5113A02E" w14:textId="77777777" w:rsidTr="00C86E4A">
        <w:trPr>
          <w:trHeight w:val="321"/>
          <w:jc w:val="center"/>
        </w:trPr>
        <w:tc>
          <w:tcPr>
            <w:tcW w:w="1841" w:type="dxa"/>
            <w:vMerge/>
            <w:shd w:val="clear" w:color="auto" w:fill="BFBFBF" w:themeFill="background1" w:themeFillShade="BF"/>
            <w:noWrap/>
            <w:vAlign w:val="center"/>
            <w:hideMark/>
          </w:tcPr>
          <w:p w14:paraId="57EFF3C3" w14:textId="77777777" w:rsidR="009C426F" w:rsidRPr="005C37D4" w:rsidRDefault="009C426F">
            <w:pPr>
              <w:spacing w:after="0" w:line="240" w:lineRule="auto"/>
              <w:contextualSpacing/>
              <w:rPr>
                <w:rFonts w:eastAsia="Times New Roman" w:cs="Times New Roman"/>
                <w:b/>
                <w:bCs/>
                <w:szCs w:val="24"/>
              </w:rPr>
            </w:pPr>
          </w:p>
        </w:tc>
        <w:tc>
          <w:tcPr>
            <w:tcW w:w="1276" w:type="dxa"/>
            <w:shd w:val="clear" w:color="auto" w:fill="BFBFBF" w:themeFill="background1" w:themeFillShade="BF"/>
            <w:noWrap/>
            <w:vAlign w:val="center"/>
          </w:tcPr>
          <w:p w14:paraId="2B675A94" w14:textId="77777777" w:rsidR="009C426F" w:rsidRPr="00494B3C" w:rsidRDefault="000F5B51">
            <w:pPr>
              <w:spacing w:after="0" w:line="240" w:lineRule="auto"/>
              <w:contextualSpacing/>
              <w:jc w:val="center"/>
              <w:rPr>
                <w:rFonts w:eastAsia="Times New Roman" w:cs="Times New Roman"/>
                <w:b/>
                <w:bCs/>
                <w:szCs w:val="24"/>
              </w:rPr>
            </w:pPr>
            <w:r w:rsidRPr="005E3D4C">
              <w:rPr>
                <w:b/>
                <w:bCs/>
                <w:szCs w:val="24"/>
              </w:rPr>
              <w:t>Front</w:t>
            </w:r>
          </w:p>
        </w:tc>
        <w:tc>
          <w:tcPr>
            <w:tcW w:w="1276" w:type="dxa"/>
            <w:shd w:val="clear" w:color="auto" w:fill="BFBFBF" w:themeFill="background1" w:themeFillShade="BF"/>
            <w:noWrap/>
            <w:vAlign w:val="center"/>
          </w:tcPr>
          <w:p w14:paraId="370AB855" w14:textId="77777777" w:rsidR="009C426F" w:rsidRPr="00494B3C" w:rsidRDefault="000F5B51">
            <w:pPr>
              <w:spacing w:after="0" w:line="240" w:lineRule="auto"/>
              <w:contextualSpacing/>
              <w:jc w:val="center"/>
              <w:rPr>
                <w:rFonts w:eastAsia="Times New Roman" w:cs="Times New Roman"/>
                <w:b/>
                <w:bCs/>
                <w:szCs w:val="24"/>
              </w:rPr>
            </w:pPr>
            <w:r w:rsidRPr="005E3D4C">
              <w:rPr>
                <w:b/>
                <w:bCs/>
                <w:szCs w:val="24"/>
              </w:rPr>
              <w:t>Rear</w:t>
            </w:r>
          </w:p>
        </w:tc>
        <w:tc>
          <w:tcPr>
            <w:tcW w:w="1276" w:type="dxa"/>
            <w:shd w:val="clear" w:color="auto" w:fill="BFBFBF" w:themeFill="background1" w:themeFillShade="BF"/>
            <w:vAlign w:val="center"/>
          </w:tcPr>
          <w:p w14:paraId="314E632E" w14:textId="77777777" w:rsidR="009C426F" w:rsidRPr="00494B3C" w:rsidRDefault="000F5B51">
            <w:pPr>
              <w:spacing w:after="0" w:line="240" w:lineRule="auto"/>
              <w:contextualSpacing/>
              <w:jc w:val="center"/>
              <w:rPr>
                <w:rFonts w:eastAsia="Times New Roman" w:cs="Times New Roman"/>
                <w:b/>
                <w:bCs/>
                <w:szCs w:val="24"/>
              </w:rPr>
            </w:pPr>
            <w:r w:rsidRPr="005E3D4C">
              <w:rPr>
                <w:b/>
                <w:bCs/>
                <w:szCs w:val="24"/>
              </w:rPr>
              <w:t>Side</w:t>
            </w:r>
          </w:p>
        </w:tc>
        <w:tc>
          <w:tcPr>
            <w:tcW w:w="1276" w:type="dxa"/>
            <w:shd w:val="clear" w:color="auto" w:fill="BFBFBF" w:themeFill="background1" w:themeFillShade="BF"/>
            <w:vAlign w:val="center"/>
          </w:tcPr>
          <w:p w14:paraId="273FAE6F" w14:textId="77777777" w:rsidR="009C426F" w:rsidRPr="00494B3C" w:rsidRDefault="000F5B51">
            <w:pPr>
              <w:spacing w:after="0" w:line="240" w:lineRule="auto"/>
              <w:contextualSpacing/>
              <w:jc w:val="center"/>
              <w:rPr>
                <w:rFonts w:eastAsia="Times New Roman" w:cs="Times New Roman"/>
                <w:b/>
                <w:bCs/>
                <w:szCs w:val="24"/>
              </w:rPr>
            </w:pPr>
            <w:r w:rsidRPr="005E3D4C">
              <w:rPr>
                <w:b/>
                <w:bCs/>
                <w:szCs w:val="24"/>
              </w:rPr>
              <w:t>Rollover</w:t>
            </w:r>
          </w:p>
        </w:tc>
      </w:tr>
      <w:tr w:rsidR="00A15C2C" w14:paraId="3F2BB97B" w14:textId="77777777" w:rsidTr="00E52ABA">
        <w:trPr>
          <w:trHeight w:val="321"/>
          <w:jc w:val="center"/>
        </w:trPr>
        <w:tc>
          <w:tcPr>
            <w:tcW w:w="1841" w:type="dxa"/>
            <w:shd w:val="clear" w:color="auto" w:fill="auto"/>
            <w:noWrap/>
            <w:vAlign w:val="center"/>
          </w:tcPr>
          <w:p w14:paraId="78F4E5F7" w14:textId="77777777" w:rsidR="0011234D" w:rsidRPr="004E0A15" w:rsidRDefault="000F5B51" w:rsidP="00494B3C">
            <w:pPr>
              <w:spacing w:after="0" w:line="240" w:lineRule="auto"/>
              <w:contextualSpacing/>
              <w:rPr>
                <w:rFonts w:cs="Times New Roman"/>
                <w:color w:val="000000"/>
                <w:szCs w:val="24"/>
              </w:rPr>
            </w:pPr>
            <w:r w:rsidRPr="00DC73D3">
              <w:rPr>
                <w:szCs w:val="24"/>
              </w:rPr>
              <w:t xml:space="preserve">PC </w:t>
            </w:r>
          </w:p>
        </w:tc>
        <w:tc>
          <w:tcPr>
            <w:tcW w:w="1276" w:type="dxa"/>
            <w:shd w:val="clear" w:color="auto" w:fill="auto"/>
            <w:noWrap/>
            <w:vAlign w:val="center"/>
          </w:tcPr>
          <w:p w14:paraId="66272C17" w14:textId="77777777" w:rsidR="0011234D" w:rsidRPr="004E0A15" w:rsidRDefault="000F5B51" w:rsidP="00BA0F90">
            <w:pPr>
              <w:spacing w:after="0" w:line="240" w:lineRule="auto"/>
              <w:contextualSpacing/>
              <w:jc w:val="center"/>
              <w:rPr>
                <w:rFonts w:cs="Times New Roman"/>
                <w:bCs/>
                <w:color w:val="000000"/>
                <w:szCs w:val="24"/>
              </w:rPr>
            </w:pPr>
            <w:r w:rsidRPr="00DC73D3">
              <w:rPr>
                <w:szCs w:val="24"/>
              </w:rPr>
              <w:t>0</w:t>
            </w:r>
          </w:p>
        </w:tc>
        <w:tc>
          <w:tcPr>
            <w:tcW w:w="1276" w:type="dxa"/>
            <w:shd w:val="clear" w:color="auto" w:fill="auto"/>
            <w:noWrap/>
            <w:vAlign w:val="center"/>
          </w:tcPr>
          <w:p w14:paraId="07D355D6" w14:textId="77777777" w:rsidR="0011234D" w:rsidRPr="004E0A15" w:rsidRDefault="000F5B51">
            <w:pPr>
              <w:spacing w:after="0" w:line="240" w:lineRule="auto"/>
              <w:contextualSpacing/>
              <w:jc w:val="center"/>
              <w:rPr>
                <w:rFonts w:cs="Times New Roman"/>
                <w:bCs/>
                <w:color w:val="000000"/>
                <w:szCs w:val="24"/>
              </w:rPr>
            </w:pPr>
            <w:r w:rsidRPr="00DC73D3">
              <w:rPr>
                <w:szCs w:val="24"/>
              </w:rPr>
              <w:t>0</w:t>
            </w:r>
          </w:p>
        </w:tc>
        <w:tc>
          <w:tcPr>
            <w:tcW w:w="1276" w:type="dxa"/>
            <w:vAlign w:val="center"/>
          </w:tcPr>
          <w:p w14:paraId="5190A04C" w14:textId="77777777" w:rsidR="0011234D" w:rsidRPr="004E0A15" w:rsidRDefault="000F5B51">
            <w:pPr>
              <w:spacing w:after="0" w:line="240" w:lineRule="auto"/>
              <w:contextualSpacing/>
              <w:jc w:val="center"/>
              <w:rPr>
                <w:rFonts w:cs="Times New Roman"/>
                <w:bCs/>
                <w:color w:val="000000"/>
                <w:szCs w:val="24"/>
              </w:rPr>
            </w:pPr>
            <w:r>
              <w:rPr>
                <w:szCs w:val="24"/>
              </w:rPr>
              <w:t>0.264</w:t>
            </w:r>
          </w:p>
        </w:tc>
        <w:tc>
          <w:tcPr>
            <w:tcW w:w="1276" w:type="dxa"/>
            <w:vAlign w:val="center"/>
          </w:tcPr>
          <w:p w14:paraId="34626E3C" w14:textId="77777777" w:rsidR="0011234D" w:rsidRPr="004E0A15" w:rsidRDefault="000F5B51">
            <w:pPr>
              <w:spacing w:after="0" w:line="240" w:lineRule="auto"/>
              <w:contextualSpacing/>
              <w:jc w:val="center"/>
              <w:rPr>
                <w:rFonts w:cs="Times New Roman"/>
                <w:bCs/>
                <w:color w:val="000000"/>
                <w:szCs w:val="24"/>
              </w:rPr>
            </w:pPr>
            <w:r>
              <w:rPr>
                <w:szCs w:val="24"/>
              </w:rPr>
              <w:t>0</w:t>
            </w:r>
          </w:p>
        </w:tc>
      </w:tr>
      <w:tr w:rsidR="00A15C2C" w14:paraId="54CA4FB3" w14:textId="77777777" w:rsidTr="00E52ABA">
        <w:trPr>
          <w:trHeight w:val="321"/>
          <w:jc w:val="center"/>
        </w:trPr>
        <w:tc>
          <w:tcPr>
            <w:tcW w:w="1841" w:type="dxa"/>
            <w:shd w:val="clear" w:color="auto" w:fill="auto"/>
            <w:noWrap/>
            <w:vAlign w:val="center"/>
          </w:tcPr>
          <w:p w14:paraId="0B777AAE" w14:textId="77777777" w:rsidR="0011234D" w:rsidRPr="00125323" w:rsidRDefault="000F5B51" w:rsidP="00494B3C">
            <w:pPr>
              <w:spacing w:after="0" w:line="240" w:lineRule="auto"/>
              <w:contextualSpacing/>
              <w:rPr>
                <w:rFonts w:eastAsia="Times New Roman" w:cs="Times New Roman"/>
                <w:szCs w:val="24"/>
              </w:rPr>
            </w:pPr>
            <w:r w:rsidRPr="00DC73D3">
              <w:rPr>
                <w:szCs w:val="24"/>
              </w:rPr>
              <w:t xml:space="preserve">LTV </w:t>
            </w:r>
          </w:p>
        </w:tc>
        <w:tc>
          <w:tcPr>
            <w:tcW w:w="1276" w:type="dxa"/>
            <w:shd w:val="clear" w:color="auto" w:fill="auto"/>
            <w:noWrap/>
            <w:vAlign w:val="center"/>
          </w:tcPr>
          <w:p w14:paraId="01AA1445" w14:textId="77777777" w:rsidR="0011234D" w:rsidRPr="004E0A15" w:rsidRDefault="000F5B51" w:rsidP="00BA0F90">
            <w:pPr>
              <w:spacing w:after="0" w:line="240" w:lineRule="auto"/>
              <w:contextualSpacing/>
              <w:jc w:val="center"/>
              <w:rPr>
                <w:rFonts w:eastAsia="Times New Roman" w:cs="Times New Roman"/>
                <w:szCs w:val="24"/>
              </w:rPr>
            </w:pPr>
            <w:r w:rsidRPr="00DC73D3">
              <w:rPr>
                <w:szCs w:val="24"/>
              </w:rPr>
              <w:t>0</w:t>
            </w:r>
          </w:p>
        </w:tc>
        <w:tc>
          <w:tcPr>
            <w:tcW w:w="1276" w:type="dxa"/>
            <w:shd w:val="clear" w:color="auto" w:fill="auto"/>
            <w:noWrap/>
            <w:vAlign w:val="center"/>
          </w:tcPr>
          <w:p w14:paraId="74D8513D" w14:textId="77777777" w:rsidR="0011234D" w:rsidRPr="00125323" w:rsidRDefault="000F5B51">
            <w:pPr>
              <w:spacing w:after="0" w:line="240" w:lineRule="auto"/>
              <w:contextualSpacing/>
              <w:jc w:val="center"/>
              <w:rPr>
                <w:rFonts w:eastAsia="Times New Roman" w:cs="Times New Roman"/>
                <w:szCs w:val="24"/>
              </w:rPr>
            </w:pPr>
            <w:r w:rsidRPr="00DC73D3">
              <w:rPr>
                <w:szCs w:val="24"/>
              </w:rPr>
              <w:t>0</w:t>
            </w:r>
          </w:p>
        </w:tc>
        <w:tc>
          <w:tcPr>
            <w:tcW w:w="1276" w:type="dxa"/>
            <w:vAlign w:val="center"/>
          </w:tcPr>
          <w:p w14:paraId="29B17784" w14:textId="77777777" w:rsidR="0011234D" w:rsidRPr="00125323" w:rsidRDefault="000F5B51">
            <w:pPr>
              <w:spacing w:after="0" w:line="240" w:lineRule="auto"/>
              <w:contextualSpacing/>
              <w:jc w:val="center"/>
              <w:rPr>
                <w:rFonts w:eastAsia="Times New Roman" w:cs="Times New Roman"/>
                <w:szCs w:val="24"/>
              </w:rPr>
            </w:pPr>
            <w:r>
              <w:rPr>
                <w:szCs w:val="24"/>
              </w:rPr>
              <w:t>0.264</w:t>
            </w:r>
          </w:p>
        </w:tc>
        <w:tc>
          <w:tcPr>
            <w:tcW w:w="1276" w:type="dxa"/>
            <w:vAlign w:val="center"/>
          </w:tcPr>
          <w:p w14:paraId="1842C69E" w14:textId="77777777" w:rsidR="0011234D" w:rsidRPr="00125323" w:rsidRDefault="000F5B51">
            <w:pPr>
              <w:spacing w:after="0" w:line="240" w:lineRule="auto"/>
              <w:contextualSpacing/>
              <w:jc w:val="center"/>
              <w:rPr>
                <w:rFonts w:eastAsia="Times New Roman" w:cs="Times New Roman"/>
                <w:szCs w:val="24"/>
              </w:rPr>
            </w:pPr>
            <w:r>
              <w:rPr>
                <w:szCs w:val="24"/>
              </w:rPr>
              <w:t>0</w:t>
            </w:r>
          </w:p>
        </w:tc>
      </w:tr>
    </w:tbl>
    <w:p w14:paraId="7060579F" w14:textId="77777777" w:rsidR="0011234D" w:rsidRPr="00993575" w:rsidRDefault="0011234D" w:rsidP="0011234D">
      <w:pPr>
        <w:spacing w:after="0" w:line="240" w:lineRule="auto"/>
        <w:contextualSpacing/>
        <w:rPr>
          <w:rFonts w:eastAsia="Times New Roman" w:cs="Times New Roman"/>
          <w:szCs w:val="24"/>
        </w:rPr>
      </w:pPr>
    </w:p>
    <w:p w14:paraId="3B0E678C" w14:textId="5C15E463" w:rsidR="0011234D" w:rsidRDefault="000F5B51" w:rsidP="0011234D">
      <w:pPr>
        <w:spacing w:after="0"/>
        <w:contextualSpacing/>
        <w:rPr>
          <w:rFonts w:eastAsia="Times New Roman" w:cs="Times New Roman"/>
          <w:szCs w:val="24"/>
        </w:rPr>
      </w:pPr>
      <w:r w:rsidRPr="00E752A0">
        <w:rPr>
          <w:rFonts w:eastAsia="Times New Roman" w:cs="Times New Roman"/>
          <w:szCs w:val="24"/>
        </w:rPr>
        <w:t>The calculation</w:t>
      </w:r>
      <w:r>
        <w:rPr>
          <w:rFonts w:eastAsia="Times New Roman" w:cs="Times New Roman"/>
          <w:szCs w:val="24"/>
        </w:rPr>
        <w:t xml:space="preserve"> of the adjustment factors for FMVSS No. 214 follow the same procedure as the calculation of the ESC adjustment factor and can be found in </w:t>
      </w:r>
      <w:r>
        <w:rPr>
          <w:rFonts w:eastAsia="Times New Roman" w:cs="Times New Roman"/>
          <w:szCs w:val="24"/>
        </w:rPr>
        <w:fldChar w:fldCharType="begin"/>
      </w:r>
      <w:r>
        <w:rPr>
          <w:rFonts w:eastAsia="Times New Roman" w:cs="Times New Roman"/>
          <w:szCs w:val="24"/>
        </w:rPr>
        <w:instrText xml:space="preserve"> REF _Ref125981619 \h </w:instrText>
      </w:r>
      <w:r>
        <w:rPr>
          <w:rFonts w:eastAsia="Times New Roman" w:cs="Times New Roman"/>
          <w:szCs w:val="24"/>
        </w:rPr>
      </w:r>
      <w:r>
        <w:rPr>
          <w:rFonts w:eastAsia="Times New Roman" w:cs="Times New Roman"/>
          <w:szCs w:val="24"/>
        </w:rPr>
        <w:fldChar w:fldCharType="separate"/>
      </w:r>
      <w:r w:rsidR="00A65CB3">
        <w:t>Appendix C</w:t>
      </w:r>
      <w:r>
        <w:rPr>
          <w:rFonts w:eastAsia="Times New Roman" w:cs="Times New Roman"/>
          <w:szCs w:val="24"/>
        </w:rPr>
        <w:fldChar w:fldCharType="end"/>
      </w:r>
      <w:r w:rsidR="001F2F92">
        <w:rPr>
          <w:rFonts w:eastAsia="Times New Roman" w:cs="Times New Roman"/>
          <w:szCs w:val="24"/>
        </w:rPr>
        <w:t xml:space="preserve">. </w:t>
      </w:r>
      <w:r>
        <w:rPr>
          <w:rFonts w:eastAsia="Times New Roman" w:cs="Times New Roman"/>
          <w:szCs w:val="24"/>
        </w:rPr>
        <w:t>The exposure and timeline are the same and the installation rate is given as zero percent in 2008 and all years prior, 20 percent in 2009, 50 percent in 2010, 75 percent in 2011, and 100 percent in 2012 and all years after</w:t>
      </w:r>
      <w:r w:rsidR="001F2F92">
        <w:rPr>
          <w:rFonts w:eastAsia="Times New Roman" w:cs="Times New Roman"/>
          <w:szCs w:val="24"/>
        </w:rPr>
        <w:t xml:space="preserve">. </w:t>
      </w:r>
      <w:r>
        <w:rPr>
          <w:rFonts w:eastAsia="Times New Roman" w:cs="Times New Roman"/>
          <w:szCs w:val="24"/>
        </w:rPr>
        <w:t>This matches the phase-in schedules provided in the FRIA</w:t>
      </w:r>
      <w:r w:rsidR="001F2F92">
        <w:rPr>
          <w:rFonts w:eastAsia="Times New Roman" w:cs="Times New Roman"/>
          <w:szCs w:val="24"/>
        </w:rPr>
        <w:t xml:space="preserve">. </w:t>
      </w:r>
    </w:p>
    <w:p w14:paraId="32A73835" w14:textId="3B6FAB56" w:rsidR="0011234D" w:rsidRDefault="000F5B51" w:rsidP="00FD64D0">
      <w:pPr>
        <w:spacing w:after="0"/>
        <w:rPr>
          <w:rFonts w:eastAsia="Times New Roman" w:cs="Times New Roman"/>
          <w:szCs w:val="24"/>
        </w:rPr>
      </w:pPr>
      <w:r>
        <w:rPr>
          <w:rFonts w:eastAsia="Times New Roman" w:cs="Times New Roman"/>
          <w:szCs w:val="24"/>
        </w:rPr>
        <w:fldChar w:fldCharType="begin"/>
      </w:r>
      <w:r>
        <w:rPr>
          <w:rFonts w:eastAsia="Times New Roman" w:cs="Times New Roman"/>
          <w:szCs w:val="24"/>
        </w:rPr>
        <w:instrText xml:space="preserve"> REF _Ref125543797 \h </w:instrText>
      </w:r>
      <w:r>
        <w:rPr>
          <w:rFonts w:eastAsia="Times New Roman" w:cs="Times New Roman"/>
          <w:szCs w:val="24"/>
        </w:rPr>
      </w:r>
      <w:r>
        <w:rPr>
          <w:rFonts w:eastAsia="Times New Roman" w:cs="Times New Roman"/>
          <w:szCs w:val="24"/>
        </w:rPr>
        <w:fldChar w:fldCharType="separate"/>
      </w:r>
      <w:r w:rsidR="00A65CB3">
        <w:t xml:space="preserve">Table </w:t>
      </w:r>
      <w:r w:rsidR="00A65CB3">
        <w:rPr>
          <w:noProof/>
        </w:rPr>
        <w:t>15</w:t>
      </w:r>
      <w:r>
        <w:rPr>
          <w:rFonts w:eastAsia="Times New Roman" w:cs="Times New Roman"/>
          <w:szCs w:val="24"/>
        </w:rPr>
        <w:fldChar w:fldCharType="end"/>
      </w:r>
      <w:r>
        <w:rPr>
          <w:rFonts w:eastAsia="Times New Roman" w:cs="Times New Roman"/>
          <w:szCs w:val="24"/>
        </w:rPr>
        <w:t xml:space="preserve"> presents the adjustment factors for FMVSS No. 214 by vehicle type and crash type</w:t>
      </w:r>
      <w:r w:rsidR="001F2F92">
        <w:rPr>
          <w:rFonts w:eastAsia="Times New Roman" w:cs="Times New Roman"/>
          <w:szCs w:val="24"/>
        </w:rPr>
        <w:t xml:space="preserve">. </w:t>
      </w:r>
      <w:r>
        <w:rPr>
          <w:rFonts w:eastAsia="Times New Roman" w:cs="Times New Roman"/>
          <w:szCs w:val="24"/>
        </w:rPr>
        <w:t>For side impact crashes, the adjustment factors for passenger cars and LTVs are 0.8259 and 0.8199, respectively</w:t>
      </w:r>
      <w:r w:rsidR="001F2F92">
        <w:rPr>
          <w:rFonts w:eastAsia="Times New Roman" w:cs="Times New Roman"/>
          <w:szCs w:val="24"/>
        </w:rPr>
        <w:t xml:space="preserve">. </w:t>
      </w:r>
      <w:r>
        <w:t>As FMVSS No. 214 only addresses side impact crashes, there is no adjustment made for front impact, rear impact, and rollover crashes, which is represented by an adjustment factor of one.</w:t>
      </w:r>
    </w:p>
    <w:p w14:paraId="542414A2" w14:textId="1017B5CC" w:rsidR="0011234D" w:rsidRPr="008A6248" w:rsidRDefault="000F5B51" w:rsidP="0011234D">
      <w:pPr>
        <w:pStyle w:val="Caption"/>
      </w:pPr>
      <w:bookmarkStart w:id="86" w:name="_Ref125543797"/>
      <w:r>
        <w:t xml:space="preserve">Table </w:t>
      </w:r>
      <w:r w:rsidR="00115BAB">
        <w:fldChar w:fldCharType="begin"/>
      </w:r>
      <w:r>
        <w:instrText xml:space="preserve"> SEQ Table \* ARABIC </w:instrText>
      </w:r>
      <w:r w:rsidR="00115BAB">
        <w:fldChar w:fldCharType="separate"/>
      </w:r>
      <w:r w:rsidR="00A65CB3">
        <w:rPr>
          <w:noProof/>
        </w:rPr>
        <w:t>15</w:t>
      </w:r>
      <w:r w:rsidR="00115BAB">
        <w:rPr>
          <w:noProof/>
        </w:rPr>
        <w:fldChar w:fldCharType="end"/>
      </w:r>
      <w:bookmarkEnd w:id="86"/>
      <w:r>
        <w:t>: Summary of FMVSS No. 214</w:t>
      </w:r>
      <w:r w:rsidRPr="00B36CF2">
        <w:t xml:space="preserve"> Adjustment </w:t>
      </w:r>
      <w:r>
        <w:t>Factors</w:t>
      </w:r>
    </w:p>
    <w:tbl>
      <w:tblPr>
        <w:tblW w:w="6925" w:type="dxa"/>
        <w:jc w:val="center"/>
        <w:tblLayout w:type="fixed"/>
        <w:tblCellMar>
          <w:top w:w="15" w:type="dxa"/>
          <w:left w:w="15" w:type="dxa"/>
          <w:bottom w:w="15" w:type="dxa"/>
          <w:right w:w="15" w:type="dxa"/>
        </w:tblCellMar>
        <w:tblLook w:val="04A0" w:firstRow="1" w:lastRow="0" w:firstColumn="1" w:lastColumn="0" w:noHBand="0" w:noVBand="1"/>
      </w:tblPr>
      <w:tblGrid>
        <w:gridCol w:w="1885"/>
        <w:gridCol w:w="1260"/>
        <w:gridCol w:w="1260"/>
        <w:gridCol w:w="1260"/>
        <w:gridCol w:w="1260"/>
      </w:tblGrid>
      <w:tr w:rsidR="00A15C2C" w14:paraId="468C33EF" w14:textId="77777777" w:rsidTr="005E3D4C">
        <w:trPr>
          <w:trHeight w:val="315"/>
          <w:jc w:val="center"/>
        </w:trPr>
        <w:tc>
          <w:tcPr>
            <w:tcW w:w="1885" w:type="dxa"/>
            <w:vMerge w:val="restart"/>
            <w:tcBorders>
              <w:top w:val="single" w:sz="4" w:space="0" w:color="3F3F3F"/>
              <w:left w:val="single" w:sz="4" w:space="0" w:color="3F3F3F"/>
              <w:right w:val="single" w:sz="4" w:space="0" w:color="3F3F3F"/>
            </w:tcBorders>
            <w:shd w:val="clear" w:color="auto" w:fill="BFBFBF" w:themeFill="background1" w:themeFillShade="BF"/>
            <w:vAlign w:val="center"/>
          </w:tcPr>
          <w:p w14:paraId="07385A5B" w14:textId="77777777" w:rsidR="0011234D" w:rsidRDefault="000F5B51" w:rsidP="003C04C4">
            <w:pPr>
              <w:keepNext/>
              <w:spacing w:after="0" w:line="240" w:lineRule="auto"/>
              <w:rPr>
                <w:rFonts w:eastAsia="Times New Roman" w:cs="Times New Roman"/>
                <w:b/>
                <w:color w:val="3F3F3F"/>
                <w:szCs w:val="24"/>
                <w:lang w:eastAsia="ja-JP"/>
              </w:rPr>
            </w:pPr>
            <w:r>
              <w:rPr>
                <w:rFonts w:eastAsia="Times New Roman" w:cs="Times New Roman"/>
                <w:b/>
                <w:color w:val="3F3F3F"/>
                <w:szCs w:val="24"/>
                <w:lang w:eastAsia="ja-JP"/>
              </w:rPr>
              <w:t>Vehicle Type</w:t>
            </w:r>
          </w:p>
        </w:tc>
        <w:tc>
          <w:tcPr>
            <w:tcW w:w="5040" w:type="dxa"/>
            <w:gridSpan w:val="4"/>
            <w:tcBorders>
              <w:top w:val="single" w:sz="4" w:space="0" w:color="3F3F3F"/>
              <w:left w:val="single" w:sz="4" w:space="0" w:color="3F3F3F"/>
              <w:bottom w:val="single" w:sz="4" w:space="0" w:color="3F3F3F"/>
              <w:right w:val="single" w:sz="4" w:space="0" w:color="3F3F3F"/>
            </w:tcBorders>
            <w:shd w:val="clear" w:color="auto" w:fill="BFBFBF" w:themeFill="background1" w:themeFillShade="BF"/>
            <w:noWrap/>
            <w:vAlign w:val="center"/>
          </w:tcPr>
          <w:p w14:paraId="17EEFDD3" w14:textId="77777777" w:rsidR="0011234D" w:rsidRPr="005C3B9B" w:rsidRDefault="000F5B51" w:rsidP="003C04C4">
            <w:pPr>
              <w:keepNext/>
              <w:spacing w:after="0" w:line="240" w:lineRule="auto"/>
              <w:jc w:val="center"/>
              <w:rPr>
                <w:rFonts w:eastAsia="Times New Roman" w:cs="Times New Roman"/>
                <w:b/>
                <w:color w:val="3F3F3F"/>
                <w:szCs w:val="24"/>
                <w:lang w:eastAsia="ja-JP"/>
              </w:rPr>
            </w:pPr>
            <w:r>
              <w:rPr>
                <w:rFonts w:eastAsia="Times New Roman" w:cs="Times New Roman"/>
                <w:b/>
                <w:color w:val="3F3F3F"/>
                <w:szCs w:val="24"/>
                <w:lang w:eastAsia="ja-JP"/>
              </w:rPr>
              <w:t>Crash Type</w:t>
            </w:r>
          </w:p>
        </w:tc>
      </w:tr>
      <w:tr w:rsidR="00A15C2C" w14:paraId="5BEC8FA4" w14:textId="77777777" w:rsidTr="005E3D4C">
        <w:trPr>
          <w:trHeight w:val="315"/>
          <w:jc w:val="center"/>
        </w:trPr>
        <w:tc>
          <w:tcPr>
            <w:tcW w:w="1885" w:type="dxa"/>
            <w:vMerge/>
            <w:tcBorders>
              <w:left w:val="single" w:sz="4" w:space="0" w:color="3F3F3F"/>
              <w:bottom w:val="single" w:sz="4" w:space="0" w:color="3F3F3F"/>
              <w:right w:val="single" w:sz="4" w:space="0" w:color="3F3F3F"/>
            </w:tcBorders>
            <w:shd w:val="clear" w:color="auto" w:fill="BFBFBF" w:themeFill="background1" w:themeFillShade="BF"/>
            <w:vAlign w:val="center"/>
          </w:tcPr>
          <w:p w14:paraId="0BB13F14" w14:textId="77777777" w:rsidR="0011234D" w:rsidRPr="005C3B9B" w:rsidRDefault="0011234D" w:rsidP="003C04C4">
            <w:pPr>
              <w:keepNext/>
              <w:spacing w:after="0" w:line="240" w:lineRule="auto"/>
              <w:rPr>
                <w:rFonts w:eastAsia="Times New Roman" w:cs="Times New Roman"/>
                <w:b/>
                <w:color w:val="3F3F3F"/>
                <w:szCs w:val="24"/>
                <w:lang w:eastAsia="ja-JP"/>
              </w:rPr>
            </w:pPr>
          </w:p>
        </w:tc>
        <w:tc>
          <w:tcPr>
            <w:tcW w:w="1260" w:type="dxa"/>
            <w:tcBorders>
              <w:top w:val="single" w:sz="4" w:space="0" w:color="3F3F3F"/>
              <w:left w:val="single" w:sz="4" w:space="0" w:color="3F3F3F"/>
              <w:bottom w:val="single" w:sz="4" w:space="0" w:color="3F3F3F"/>
              <w:right w:val="single" w:sz="4" w:space="0" w:color="3F3F3F"/>
            </w:tcBorders>
            <w:shd w:val="clear" w:color="auto" w:fill="BFBFBF" w:themeFill="background1" w:themeFillShade="BF"/>
            <w:noWrap/>
            <w:vAlign w:val="center"/>
            <w:hideMark/>
          </w:tcPr>
          <w:p w14:paraId="29CDA148" w14:textId="77777777" w:rsidR="0011234D" w:rsidRPr="005C3B9B" w:rsidRDefault="000F5B51" w:rsidP="003C04C4">
            <w:pPr>
              <w:keepNext/>
              <w:spacing w:after="0" w:line="240" w:lineRule="auto"/>
              <w:jc w:val="center"/>
              <w:rPr>
                <w:rFonts w:eastAsia="Times New Roman" w:cs="Times New Roman"/>
                <w:b/>
                <w:color w:val="3F3F3F"/>
                <w:szCs w:val="24"/>
                <w:lang w:eastAsia="ja-JP"/>
              </w:rPr>
            </w:pPr>
            <w:r w:rsidRPr="005C3B9B">
              <w:rPr>
                <w:rFonts w:eastAsia="Times New Roman" w:cs="Times New Roman"/>
                <w:b/>
                <w:color w:val="3F3F3F"/>
                <w:szCs w:val="24"/>
                <w:lang w:eastAsia="ja-JP"/>
              </w:rPr>
              <w:t>F</w:t>
            </w:r>
            <w:r>
              <w:rPr>
                <w:rFonts w:eastAsia="Times New Roman" w:cs="Times New Roman"/>
                <w:b/>
                <w:color w:val="3F3F3F"/>
                <w:szCs w:val="24"/>
                <w:lang w:eastAsia="ja-JP"/>
              </w:rPr>
              <w:t>ront</w:t>
            </w:r>
          </w:p>
        </w:tc>
        <w:tc>
          <w:tcPr>
            <w:tcW w:w="1260" w:type="dxa"/>
            <w:tcBorders>
              <w:top w:val="single" w:sz="4" w:space="0" w:color="3F3F3F"/>
              <w:left w:val="single" w:sz="4" w:space="0" w:color="3F3F3F"/>
              <w:bottom w:val="single" w:sz="4" w:space="0" w:color="3F3F3F"/>
              <w:right w:val="single" w:sz="4" w:space="0" w:color="3F3F3F"/>
            </w:tcBorders>
            <w:shd w:val="clear" w:color="auto" w:fill="BFBFBF" w:themeFill="background1" w:themeFillShade="BF"/>
            <w:noWrap/>
            <w:vAlign w:val="center"/>
            <w:hideMark/>
          </w:tcPr>
          <w:p w14:paraId="50B117C7" w14:textId="77777777" w:rsidR="0011234D" w:rsidRPr="005C3B9B" w:rsidRDefault="000F5B51" w:rsidP="003C04C4">
            <w:pPr>
              <w:keepNext/>
              <w:spacing w:after="0" w:line="240" w:lineRule="auto"/>
              <w:jc w:val="center"/>
              <w:rPr>
                <w:rFonts w:eastAsia="Times New Roman" w:cs="Times New Roman"/>
                <w:b/>
                <w:color w:val="3F3F3F"/>
                <w:szCs w:val="24"/>
                <w:lang w:eastAsia="ja-JP"/>
              </w:rPr>
            </w:pPr>
            <w:r w:rsidRPr="005C3B9B">
              <w:rPr>
                <w:rFonts w:eastAsia="Times New Roman" w:cs="Times New Roman"/>
                <w:b/>
                <w:color w:val="3F3F3F"/>
                <w:szCs w:val="24"/>
                <w:lang w:eastAsia="ja-JP"/>
              </w:rPr>
              <w:t>R</w:t>
            </w:r>
            <w:r>
              <w:rPr>
                <w:rFonts w:eastAsia="Times New Roman" w:cs="Times New Roman"/>
                <w:b/>
                <w:color w:val="3F3F3F"/>
                <w:szCs w:val="24"/>
                <w:lang w:eastAsia="ja-JP"/>
              </w:rPr>
              <w:t>ear</w:t>
            </w:r>
          </w:p>
        </w:tc>
        <w:tc>
          <w:tcPr>
            <w:tcW w:w="1260" w:type="dxa"/>
            <w:tcBorders>
              <w:top w:val="single" w:sz="4" w:space="0" w:color="3F3F3F"/>
              <w:left w:val="single" w:sz="4" w:space="0" w:color="3F3F3F"/>
              <w:bottom w:val="single" w:sz="4" w:space="0" w:color="3F3F3F"/>
              <w:right w:val="single" w:sz="4" w:space="0" w:color="3F3F3F"/>
            </w:tcBorders>
            <w:shd w:val="clear" w:color="auto" w:fill="BFBFBF" w:themeFill="background1" w:themeFillShade="BF"/>
            <w:noWrap/>
            <w:vAlign w:val="center"/>
            <w:hideMark/>
          </w:tcPr>
          <w:p w14:paraId="34EA1837" w14:textId="77777777" w:rsidR="0011234D" w:rsidRPr="005C3B9B" w:rsidRDefault="000F5B51" w:rsidP="003C04C4">
            <w:pPr>
              <w:keepNext/>
              <w:spacing w:after="0" w:line="240" w:lineRule="auto"/>
              <w:jc w:val="center"/>
              <w:rPr>
                <w:rFonts w:eastAsia="Times New Roman" w:cs="Times New Roman"/>
                <w:b/>
                <w:color w:val="3F3F3F"/>
                <w:szCs w:val="24"/>
                <w:lang w:eastAsia="ja-JP"/>
              </w:rPr>
            </w:pPr>
            <w:r w:rsidRPr="005C3B9B">
              <w:rPr>
                <w:rFonts w:eastAsia="Times New Roman" w:cs="Times New Roman"/>
                <w:b/>
                <w:color w:val="3F3F3F"/>
                <w:szCs w:val="24"/>
                <w:lang w:eastAsia="ja-JP"/>
              </w:rPr>
              <w:t>S</w:t>
            </w:r>
            <w:r>
              <w:rPr>
                <w:rFonts w:eastAsia="Times New Roman" w:cs="Times New Roman"/>
                <w:b/>
                <w:color w:val="3F3F3F"/>
                <w:szCs w:val="24"/>
                <w:lang w:eastAsia="ja-JP"/>
              </w:rPr>
              <w:t>ide</w:t>
            </w:r>
          </w:p>
        </w:tc>
        <w:tc>
          <w:tcPr>
            <w:tcW w:w="1260" w:type="dxa"/>
            <w:tcBorders>
              <w:top w:val="single" w:sz="4" w:space="0" w:color="3F3F3F"/>
              <w:left w:val="single" w:sz="4" w:space="0" w:color="3F3F3F"/>
              <w:bottom w:val="single" w:sz="4" w:space="0" w:color="3F3F3F"/>
              <w:right w:val="single" w:sz="4" w:space="0" w:color="3F3F3F"/>
            </w:tcBorders>
            <w:shd w:val="clear" w:color="auto" w:fill="BFBFBF" w:themeFill="background1" w:themeFillShade="BF"/>
            <w:noWrap/>
            <w:vAlign w:val="center"/>
            <w:hideMark/>
          </w:tcPr>
          <w:p w14:paraId="13AFD78A" w14:textId="77777777" w:rsidR="0011234D" w:rsidRPr="005C3B9B" w:rsidRDefault="000F5B51" w:rsidP="003C04C4">
            <w:pPr>
              <w:keepNext/>
              <w:spacing w:after="0" w:line="240" w:lineRule="auto"/>
              <w:jc w:val="center"/>
              <w:rPr>
                <w:rFonts w:eastAsia="Times New Roman" w:cs="Times New Roman"/>
                <w:b/>
                <w:color w:val="3F3F3F"/>
                <w:szCs w:val="24"/>
                <w:lang w:eastAsia="ja-JP"/>
              </w:rPr>
            </w:pPr>
            <w:r w:rsidRPr="005C3B9B">
              <w:rPr>
                <w:rFonts w:eastAsia="Times New Roman" w:cs="Times New Roman"/>
                <w:b/>
                <w:color w:val="3F3F3F"/>
                <w:szCs w:val="24"/>
                <w:lang w:eastAsia="ja-JP"/>
              </w:rPr>
              <w:t>R</w:t>
            </w:r>
            <w:r>
              <w:rPr>
                <w:rFonts w:eastAsia="Times New Roman" w:cs="Times New Roman"/>
                <w:b/>
                <w:color w:val="3F3F3F"/>
                <w:szCs w:val="24"/>
                <w:lang w:eastAsia="ja-JP"/>
              </w:rPr>
              <w:t>ollover</w:t>
            </w:r>
          </w:p>
        </w:tc>
      </w:tr>
      <w:tr w:rsidR="00A15C2C" w14:paraId="76CC9AB6" w14:textId="77777777" w:rsidTr="005E3D4C">
        <w:trPr>
          <w:trHeight w:val="375"/>
          <w:jc w:val="center"/>
        </w:trPr>
        <w:tc>
          <w:tcPr>
            <w:tcW w:w="1885" w:type="dxa"/>
            <w:tcBorders>
              <w:top w:val="single" w:sz="4" w:space="0" w:color="3F3F3F"/>
              <w:left w:val="single" w:sz="4" w:space="0" w:color="3F3F3F"/>
              <w:bottom w:val="single" w:sz="4" w:space="0" w:color="3F3F3F"/>
              <w:right w:val="single" w:sz="4" w:space="0" w:color="3F3F3F"/>
            </w:tcBorders>
            <w:shd w:val="clear" w:color="auto" w:fill="FFFFFF" w:themeFill="background1"/>
            <w:vAlign w:val="center"/>
          </w:tcPr>
          <w:p w14:paraId="1D4F5D7F" w14:textId="77777777" w:rsidR="0011234D" w:rsidRPr="005C3B9B" w:rsidRDefault="000F5B51" w:rsidP="003C04C4">
            <w:pPr>
              <w:keepNext/>
              <w:spacing w:after="0" w:line="240" w:lineRule="auto"/>
              <w:rPr>
                <w:rFonts w:eastAsia="Times New Roman" w:cs="Times New Roman"/>
                <w:color w:val="3F3F3F"/>
                <w:szCs w:val="24"/>
                <w:lang w:eastAsia="ja-JP"/>
              </w:rPr>
            </w:pPr>
            <w:r w:rsidRPr="005C3B9B">
              <w:rPr>
                <w:rFonts w:eastAsia="Times New Roman" w:cs="Times New Roman"/>
                <w:color w:val="000000"/>
                <w:szCs w:val="24"/>
                <w:lang w:eastAsia="ja-JP"/>
              </w:rPr>
              <w:t>PC</w:t>
            </w:r>
          </w:p>
        </w:tc>
        <w:tc>
          <w:tcPr>
            <w:tcW w:w="1260"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hideMark/>
          </w:tcPr>
          <w:p w14:paraId="08C29F97" w14:textId="77777777" w:rsidR="0011234D" w:rsidRPr="005C3B9B" w:rsidRDefault="000F5B51" w:rsidP="003C04C4">
            <w:pPr>
              <w:keepNext/>
              <w:spacing w:after="0" w:line="240" w:lineRule="auto"/>
              <w:jc w:val="center"/>
              <w:rPr>
                <w:rFonts w:eastAsia="Times New Roman" w:cs="Times New Roman"/>
                <w:color w:val="3F3F3F"/>
                <w:szCs w:val="24"/>
                <w:lang w:eastAsia="ja-JP"/>
              </w:rPr>
            </w:pPr>
            <w:r w:rsidRPr="005C3B9B">
              <w:rPr>
                <w:rFonts w:eastAsia="Times New Roman" w:cs="Times New Roman"/>
                <w:color w:val="3F3F3F"/>
                <w:szCs w:val="24"/>
                <w:lang w:eastAsia="ja-JP"/>
              </w:rPr>
              <w:t>1.0000</w:t>
            </w:r>
          </w:p>
        </w:tc>
        <w:tc>
          <w:tcPr>
            <w:tcW w:w="1260"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hideMark/>
          </w:tcPr>
          <w:p w14:paraId="2D711E27" w14:textId="77777777" w:rsidR="0011234D" w:rsidRPr="005C3B9B" w:rsidRDefault="000F5B51" w:rsidP="003C04C4">
            <w:pPr>
              <w:keepNext/>
              <w:spacing w:after="0" w:line="240" w:lineRule="auto"/>
              <w:jc w:val="center"/>
              <w:rPr>
                <w:rFonts w:eastAsia="Times New Roman" w:cs="Times New Roman"/>
                <w:color w:val="3F3F3F"/>
                <w:szCs w:val="24"/>
                <w:lang w:eastAsia="ja-JP"/>
              </w:rPr>
            </w:pPr>
            <w:r w:rsidRPr="005C3B9B">
              <w:rPr>
                <w:rFonts w:eastAsia="Times New Roman" w:cs="Times New Roman"/>
                <w:color w:val="3F3F3F"/>
                <w:szCs w:val="24"/>
                <w:lang w:eastAsia="ja-JP"/>
              </w:rPr>
              <w:t>1.0000</w:t>
            </w:r>
          </w:p>
        </w:tc>
        <w:tc>
          <w:tcPr>
            <w:tcW w:w="1260"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hideMark/>
          </w:tcPr>
          <w:p w14:paraId="679E7DC8" w14:textId="77777777" w:rsidR="0011234D" w:rsidRPr="005C3B9B" w:rsidRDefault="000F5B51" w:rsidP="003C04C4">
            <w:pPr>
              <w:keepNext/>
              <w:spacing w:after="0" w:line="240" w:lineRule="auto"/>
              <w:jc w:val="center"/>
              <w:rPr>
                <w:rFonts w:eastAsia="Times New Roman" w:cs="Times New Roman"/>
                <w:color w:val="3F3F3F"/>
                <w:szCs w:val="24"/>
                <w:lang w:eastAsia="ja-JP"/>
              </w:rPr>
            </w:pPr>
            <w:r w:rsidRPr="005C3B9B">
              <w:rPr>
                <w:rFonts w:eastAsia="Times New Roman" w:cs="Times New Roman"/>
                <w:color w:val="3F3F3F"/>
                <w:szCs w:val="24"/>
                <w:lang w:eastAsia="ja-JP"/>
              </w:rPr>
              <w:t>0.8259</w:t>
            </w:r>
          </w:p>
        </w:tc>
        <w:tc>
          <w:tcPr>
            <w:tcW w:w="1260"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hideMark/>
          </w:tcPr>
          <w:p w14:paraId="464C43AA" w14:textId="77777777" w:rsidR="0011234D" w:rsidRPr="005C3B9B" w:rsidRDefault="000F5B51" w:rsidP="003C04C4">
            <w:pPr>
              <w:keepNext/>
              <w:spacing w:after="0" w:line="240" w:lineRule="auto"/>
              <w:jc w:val="center"/>
              <w:rPr>
                <w:rFonts w:eastAsia="Times New Roman" w:cs="Times New Roman"/>
                <w:color w:val="3F3F3F"/>
                <w:szCs w:val="24"/>
                <w:lang w:eastAsia="ja-JP"/>
              </w:rPr>
            </w:pPr>
            <w:r w:rsidRPr="005C3B9B">
              <w:rPr>
                <w:rFonts w:eastAsia="Times New Roman" w:cs="Times New Roman"/>
                <w:color w:val="3F3F3F"/>
                <w:szCs w:val="24"/>
                <w:lang w:eastAsia="ja-JP"/>
              </w:rPr>
              <w:t>1.0000</w:t>
            </w:r>
          </w:p>
        </w:tc>
      </w:tr>
      <w:tr w:rsidR="00A15C2C" w14:paraId="3DFB8F2E" w14:textId="77777777" w:rsidTr="005E3D4C">
        <w:trPr>
          <w:trHeight w:val="375"/>
          <w:jc w:val="center"/>
        </w:trPr>
        <w:tc>
          <w:tcPr>
            <w:tcW w:w="1885" w:type="dxa"/>
            <w:tcBorders>
              <w:top w:val="single" w:sz="4" w:space="0" w:color="3F3F3F"/>
              <w:left w:val="single" w:sz="4" w:space="0" w:color="3F3F3F"/>
              <w:bottom w:val="single" w:sz="4" w:space="0" w:color="3F3F3F"/>
              <w:right w:val="single" w:sz="4" w:space="0" w:color="3F3F3F"/>
            </w:tcBorders>
            <w:shd w:val="clear" w:color="auto" w:fill="FFFFFF" w:themeFill="background1"/>
            <w:vAlign w:val="center"/>
          </w:tcPr>
          <w:p w14:paraId="22581CAC" w14:textId="77777777" w:rsidR="0011234D" w:rsidRPr="005C3B9B" w:rsidRDefault="000F5B51" w:rsidP="003C04C4">
            <w:pPr>
              <w:keepNext/>
              <w:spacing w:after="0" w:line="240" w:lineRule="auto"/>
              <w:rPr>
                <w:rFonts w:eastAsia="Times New Roman" w:cs="Times New Roman"/>
                <w:color w:val="3F3F3F"/>
                <w:szCs w:val="24"/>
                <w:lang w:eastAsia="ja-JP"/>
              </w:rPr>
            </w:pPr>
            <w:r w:rsidRPr="005C3B9B">
              <w:rPr>
                <w:rFonts w:eastAsia="Times New Roman" w:cs="Times New Roman"/>
                <w:color w:val="000000"/>
                <w:szCs w:val="24"/>
                <w:lang w:eastAsia="ja-JP"/>
              </w:rPr>
              <w:t>LTV</w:t>
            </w:r>
          </w:p>
        </w:tc>
        <w:tc>
          <w:tcPr>
            <w:tcW w:w="1260"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hideMark/>
          </w:tcPr>
          <w:p w14:paraId="2950C355" w14:textId="77777777" w:rsidR="0011234D" w:rsidRPr="005C3B9B" w:rsidRDefault="000F5B51" w:rsidP="003C04C4">
            <w:pPr>
              <w:keepNext/>
              <w:spacing w:after="0" w:line="240" w:lineRule="auto"/>
              <w:jc w:val="center"/>
              <w:rPr>
                <w:rFonts w:eastAsia="Times New Roman" w:cs="Times New Roman"/>
                <w:color w:val="3F3F3F"/>
                <w:szCs w:val="24"/>
                <w:lang w:eastAsia="ja-JP"/>
              </w:rPr>
            </w:pPr>
            <w:r w:rsidRPr="005C3B9B">
              <w:rPr>
                <w:rFonts w:eastAsia="Times New Roman" w:cs="Times New Roman"/>
                <w:color w:val="3F3F3F"/>
                <w:szCs w:val="24"/>
                <w:lang w:eastAsia="ja-JP"/>
              </w:rPr>
              <w:t>1.0000</w:t>
            </w:r>
          </w:p>
        </w:tc>
        <w:tc>
          <w:tcPr>
            <w:tcW w:w="1260"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hideMark/>
          </w:tcPr>
          <w:p w14:paraId="1A626D59" w14:textId="77777777" w:rsidR="0011234D" w:rsidRPr="005C3B9B" w:rsidRDefault="000F5B51" w:rsidP="003C04C4">
            <w:pPr>
              <w:keepNext/>
              <w:spacing w:after="0" w:line="240" w:lineRule="auto"/>
              <w:jc w:val="center"/>
              <w:rPr>
                <w:rFonts w:eastAsia="Times New Roman" w:cs="Times New Roman"/>
                <w:color w:val="3F3F3F"/>
                <w:szCs w:val="24"/>
                <w:lang w:eastAsia="ja-JP"/>
              </w:rPr>
            </w:pPr>
            <w:r w:rsidRPr="005C3B9B">
              <w:rPr>
                <w:rFonts w:eastAsia="Times New Roman" w:cs="Times New Roman"/>
                <w:color w:val="3F3F3F"/>
                <w:szCs w:val="24"/>
                <w:lang w:eastAsia="ja-JP"/>
              </w:rPr>
              <w:t>1.0000</w:t>
            </w:r>
          </w:p>
        </w:tc>
        <w:tc>
          <w:tcPr>
            <w:tcW w:w="1260"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hideMark/>
          </w:tcPr>
          <w:p w14:paraId="4D099E29" w14:textId="77777777" w:rsidR="0011234D" w:rsidRPr="005C3B9B" w:rsidRDefault="000F5B51" w:rsidP="003C04C4">
            <w:pPr>
              <w:keepNext/>
              <w:spacing w:after="0" w:line="240" w:lineRule="auto"/>
              <w:jc w:val="center"/>
              <w:rPr>
                <w:rFonts w:eastAsia="Times New Roman" w:cs="Times New Roman"/>
                <w:color w:val="3F3F3F"/>
                <w:szCs w:val="24"/>
                <w:lang w:eastAsia="ja-JP"/>
              </w:rPr>
            </w:pPr>
            <w:r w:rsidRPr="005C3B9B">
              <w:rPr>
                <w:rFonts w:eastAsia="Times New Roman" w:cs="Times New Roman"/>
                <w:color w:val="3F3F3F"/>
                <w:szCs w:val="24"/>
                <w:lang w:eastAsia="ja-JP"/>
              </w:rPr>
              <w:t>0.8199</w:t>
            </w:r>
          </w:p>
        </w:tc>
        <w:tc>
          <w:tcPr>
            <w:tcW w:w="1260"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hideMark/>
          </w:tcPr>
          <w:p w14:paraId="050578E5" w14:textId="77777777" w:rsidR="0011234D" w:rsidRPr="005C3B9B" w:rsidRDefault="000F5B51" w:rsidP="003C04C4">
            <w:pPr>
              <w:keepNext/>
              <w:spacing w:after="0" w:line="240" w:lineRule="auto"/>
              <w:jc w:val="center"/>
              <w:rPr>
                <w:rFonts w:eastAsia="Times New Roman" w:cs="Times New Roman"/>
                <w:color w:val="3F3F3F"/>
                <w:szCs w:val="24"/>
                <w:lang w:eastAsia="ja-JP"/>
              </w:rPr>
            </w:pPr>
            <w:r w:rsidRPr="005C3B9B">
              <w:rPr>
                <w:rFonts w:eastAsia="Times New Roman" w:cs="Times New Roman"/>
                <w:color w:val="3F3F3F"/>
                <w:szCs w:val="24"/>
                <w:lang w:eastAsia="ja-JP"/>
              </w:rPr>
              <w:t>1.0000</w:t>
            </w:r>
          </w:p>
        </w:tc>
      </w:tr>
    </w:tbl>
    <w:p w14:paraId="76B0B512" w14:textId="77777777" w:rsidR="0011234D" w:rsidRPr="00E91A24" w:rsidRDefault="0011234D" w:rsidP="0011234D">
      <w:pPr>
        <w:pStyle w:val="NoSpaceTimes"/>
      </w:pPr>
    </w:p>
    <w:p w14:paraId="741F59D0" w14:textId="77777777" w:rsidR="0011234D" w:rsidRDefault="000F5B51" w:rsidP="005E3D4C">
      <w:pPr>
        <w:pStyle w:val="Heading4"/>
        <w:spacing w:before="0" w:line="240" w:lineRule="auto"/>
      </w:pPr>
      <w:r>
        <w:t>FMVSS No. 226 Ejection Mitigation</w:t>
      </w:r>
    </w:p>
    <w:p w14:paraId="71C57E84" w14:textId="29DC71A3" w:rsidR="0011234D" w:rsidRDefault="000F5B51" w:rsidP="0011234D">
      <w:pPr>
        <w:spacing w:after="0"/>
        <w:contextualSpacing/>
        <w:rPr>
          <w:rFonts w:eastAsia="Times New Roman" w:cs="Times New Roman"/>
          <w:szCs w:val="24"/>
        </w:rPr>
      </w:pPr>
      <w:r>
        <w:rPr>
          <w:rFonts w:eastAsia="Times New Roman" w:cs="Times New Roman"/>
          <w:szCs w:val="24"/>
        </w:rPr>
        <w:t xml:space="preserve">This subsection discusses the adjustment to the target population to account for the safety benefits from FMVSS No. 226 Ejection Mitigation. </w:t>
      </w:r>
      <w:r w:rsidRPr="00E752A0">
        <w:rPr>
          <w:rFonts w:eastAsia="Times New Roman" w:cs="Times New Roman"/>
          <w:szCs w:val="24"/>
        </w:rPr>
        <w:t>The calculation</w:t>
      </w:r>
      <w:r>
        <w:rPr>
          <w:rFonts w:eastAsia="Times New Roman" w:cs="Times New Roman"/>
          <w:szCs w:val="24"/>
        </w:rPr>
        <w:t xml:space="preserve"> of the adjustment factors for FMVSS No. 226 follow the same procedure as the calculation of the ESC adjustment factor and can</w:t>
      </w:r>
      <w:r w:rsidR="00A1317B">
        <w:rPr>
          <w:rFonts w:eastAsia="Times New Roman" w:cs="Times New Roman"/>
          <w:szCs w:val="24"/>
        </w:rPr>
        <w:t xml:space="preserve"> </w:t>
      </w:r>
      <w:r>
        <w:rPr>
          <w:rFonts w:eastAsia="Times New Roman" w:cs="Times New Roman"/>
          <w:szCs w:val="24"/>
        </w:rPr>
        <w:t xml:space="preserve">be found in </w:t>
      </w:r>
      <w:r>
        <w:rPr>
          <w:rFonts w:eastAsia="Times New Roman" w:cs="Times New Roman"/>
          <w:szCs w:val="24"/>
        </w:rPr>
        <w:fldChar w:fldCharType="begin"/>
      </w:r>
      <w:r>
        <w:rPr>
          <w:rFonts w:eastAsia="Times New Roman" w:cs="Times New Roman"/>
          <w:szCs w:val="24"/>
        </w:rPr>
        <w:instrText xml:space="preserve"> REF _Ref125981619 \h </w:instrText>
      </w:r>
      <w:r>
        <w:rPr>
          <w:rFonts w:eastAsia="Times New Roman" w:cs="Times New Roman"/>
          <w:szCs w:val="24"/>
        </w:rPr>
      </w:r>
      <w:r>
        <w:rPr>
          <w:rFonts w:eastAsia="Times New Roman" w:cs="Times New Roman"/>
          <w:szCs w:val="24"/>
        </w:rPr>
        <w:fldChar w:fldCharType="separate"/>
      </w:r>
      <w:r w:rsidR="00A65CB3">
        <w:t>Appendix C</w:t>
      </w:r>
      <w:r>
        <w:rPr>
          <w:rFonts w:eastAsia="Times New Roman" w:cs="Times New Roman"/>
          <w:szCs w:val="24"/>
        </w:rPr>
        <w:fldChar w:fldCharType="end"/>
      </w:r>
      <w:r>
        <w:rPr>
          <w:rFonts w:eastAsia="Times New Roman" w:cs="Times New Roman"/>
          <w:szCs w:val="24"/>
        </w:rPr>
        <w:t>.</w:t>
      </w:r>
    </w:p>
    <w:p w14:paraId="409374D4" w14:textId="68B9F066" w:rsidR="005D7A66" w:rsidRDefault="000F5B51" w:rsidP="00F830FE">
      <w:pPr>
        <w:spacing w:after="0"/>
        <w:contextualSpacing/>
        <w:rPr>
          <w:rFonts w:eastAsia="Times New Roman" w:cs="Times New Roman"/>
          <w:szCs w:val="24"/>
        </w:rPr>
      </w:pPr>
      <w:r>
        <w:rPr>
          <w:rFonts w:eastAsia="Times New Roman" w:cs="Times New Roman"/>
          <w:szCs w:val="24"/>
        </w:rPr>
        <w:lastRenderedPageBreak/>
        <w:fldChar w:fldCharType="begin"/>
      </w:r>
      <w:r>
        <w:rPr>
          <w:rFonts w:eastAsia="Times New Roman" w:cs="Times New Roman"/>
          <w:szCs w:val="24"/>
        </w:rPr>
        <w:instrText xml:space="preserve"> REF _Ref125543927 \h </w:instrText>
      </w:r>
      <w:r>
        <w:rPr>
          <w:rFonts w:eastAsia="Times New Roman" w:cs="Times New Roman"/>
          <w:szCs w:val="24"/>
        </w:rPr>
      </w:r>
      <w:r>
        <w:rPr>
          <w:rFonts w:eastAsia="Times New Roman" w:cs="Times New Roman"/>
          <w:szCs w:val="24"/>
        </w:rPr>
        <w:fldChar w:fldCharType="separate"/>
      </w:r>
      <w:r w:rsidR="00A65CB3">
        <w:t xml:space="preserve">Table </w:t>
      </w:r>
      <w:r w:rsidR="00A65CB3">
        <w:rPr>
          <w:noProof/>
        </w:rPr>
        <w:t>16</w:t>
      </w:r>
      <w:r>
        <w:rPr>
          <w:rFonts w:eastAsia="Times New Roman" w:cs="Times New Roman"/>
          <w:szCs w:val="24"/>
        </w:rPr>
        <w:fldChar w:fldCharType="end"/>
      </w:r>
      <w:r>
        <w:rPr>
          <w:rFonts w:eastAsia="Times New Roman" w:cs="Times New Roman"/>
          <w:szCs w:val="24"/>
        </w:rPr>
        <w:t xml:space="preserve"> presents the adjustment factors for FMVSS No. 226 by vehicle type and crash type.</w:t>
      </w:r>
      <w:r w:rsidR="00C539AD">
        <w:rPr>
          <w:rFonts w:eastAsia="Times New Roman" w:cs="Times New Roman"/>
          <w:szCs w:val="24"/>
        </w:rPr>
        <w:t xml:space="preserve"> </w:t>
      </w:r>
      <w:r w:rsidR="00CA7FAB">
        <w:rPr>
          <w:rFonts w:eastAsia="Times New Roman" w:cs="Times New Roman"/>
          <w:szCs w:val="24"/>
        </w:rPr>
        <w:t>FMVSS No. 226 addresses the partial or complete ejection of vehicle occupants through side windows in crashes, particularly rollover crashes.</w:t>
      </w:r>
      <w:r>
        <w:rPr>
          <w:rStyle w:val="FootnoteReference"/>
          <w:rFonts w:eastAsia="Times New Roman" w:cs="Times New Roman"/>
          <w:szCs w:val="24"/>
        </w:rPr>
        <w:footnoteReference w:id="39"/>
      </w:r>
      <w:r>
        <w:rPr>
          <w:rFonts w:eastAsia="Times New Roman" w:cs="Times New Roman"/>
          <w:szCs w:val="24"/>
        </w:rPr>
        <w:t xml:space="preserve"> For rollover crashes, the adjustment factor for passenger cars and LTVs is 0.9254 and 0.9309, respectively</w:t>
      </w:r>
      <w:r w:rsidR="001F2F92">
        <w:rPr>
          <w:rFonts w:eastAsia="Times New Roman" w:cs="Times New Roman"/>
          <w:szCs w:val="24"/>
        </w:rPr>
        <w:t xml:space="preserve">. </w:t>
      </w:r>
      <w:r w:rsidR="00E47665">
        <w:rPr>
          <w:rFonts w:eastAsia="Times New Roman" w:cs="Times New Roman"/>
          <w:szCs w:val="24"/>
        </w:rPr>
        <w:t xml:space="preserve"> </w:t>
      </w:r>
      <w:r>
        <w:t xml:space="preserve">As </w:t>
      </w:r>
      <w:r w:rsidR="006162E1">
        <w:t xml:space="preserve">the adjustment for </w:t>
      </w:r>
      <w:r>
        <w:t>FMVSS No. 22</w:t>
      </w:r>
      <w:r w:rsidR="00230BA1">
        <w:t>6</w:t>
      </w:r>
      <w:r w:rsidR="006162E1">
        <w:t xml:space="preserve"> is only applicable</w:t>
      </w:r>
      <w:r w:rsidR="0019529D">
        <w:t xml:space="preserve"> to</w:t>
      </w:r>
      <w:r>
        <w:t xml:space="preserve"> rollover crashes, there is no adjustment made for front, rear, and side impact crashes, which is represented by an adjustment factor of one.</w:t>
      </w:r>
      <w:r w:rsidRPr="005D7A66">
        <w:rPr>
          <w:rFonts w:eastAsia="Times New Roman" w:cs="Times New Roman"/>
          <w:szCs w:val="24"/>
        </w:rPr>
        <w:t xml:space="preserve"> </w:t>
      </w:r>
      <w:r>
        <w:rPr>
          <w:rFonts w:eastAsia="Times New Roman" w:cs="Times New Roman"/>
          <w:szCs w:val="24"/>
        </w:rPr>
        <w:t>This analysis notes that there would be some benefits from FMVSS No. 226 for side impact crashes. However, due to the relatively small impact for side impact crashes, no adjustment factor was applied for FMVSS No. 226. As a result</w:t>
      </w:r>
      <w:r w:rsidR="001838A8">
        <w:rPr>
          <w:rFonts w:eastAsia="Times New Roman" w:cs="Times New Roman"/>
          <w:szCs w:val="24"/>
        </w:rPr>
        <w:t xml:space="preserve"> of that lack of adjustment to</w:t>
      </w:r>
      <w:r>
        <w:rPr>
          <w:rFonts w:eastAsia="Times New Roman" w:cs="Times New Roman"/>
          <w:szCs w:val="24"/>
        </w:rPr>
        <w:t xml:space="preserve"> </w:t>
      </w:r>
      <w:r w:rsidR="001838A8">
        <w:rPr>
          <w:rFonts w:eastAsia="Times New Roman" w:cs="Times New Roman"/>
          <w:szCs w:val="24"/>
        </w:rPr>
        <w:t xml:space="preserve">the target population, this analysis may </w:t>
      </w:r>
      <w:r w:rsidR="001E315F">
        <w:rPr>
          <w:rFonts w:eastAsia="Times New Roman" w:cs="Times New Roman"/>
          <w:szCs w:val="24"/>
        </w:rPr>
        <w:t>slightly overestimate benefits.</w:t>
      </w:r>
    </w:p>
    <w:p w14:paraId="73F5D1FD" w14:textId="302D812F" w:rsidR="0011234D" w:rsidRDefault="000F5B51" w:rsidP="0011234D">
      <w:pPr>
        <w:pStyle w:val="Caption"/>
      </w:pPr>
      <w:bookmarkStart w:id="87" w:name="_Ref125543927"/>
      <w:r>
        <w:t xml:space="preserve">Table </w:t>
      </w:r>
      <w:r w:rsidR="00115BAB">
        <w:fldChar w:fldCharType="begin"/>
      </w:r>
      <w:r>
        <w:instrText xml:space="preserve"> SEQ Table \* ARABIC </w:instrText>
      </w:r>
      <w:r w:rsidR="00115BAB">
        <w:fldChar w:fldCharType="separate"/>
      </w:r>
      <w:r w:rsidR="00A65CB3">
        <w:rPr>
          <w:noProof/>
        </w:rPr>
        <w:t>16</w:t>
      </w:r>
      <w:r w:rsidR="00115BAB">
        <w:rPr>
          <w:noProof/>
        </w:rPr>
        <w:fldChar w:fldCharType="end"/>
      </w:r>
      <w:bookmarkEnd w:id="87"/>
      <w:r>
        <w:t xml:space="preserve">: </w:t>
      </w:r>
      <w:r w:rsidRPr="00393155">
        <w:t>FMVSS 226 Adjustment Factors by Vehicle Type and Crash Type</w:t>
      </w:r>
    </w:p>
    <w:tbl>
      <w:tblPr>
        <w:tblW w:w="6400" w:type="dxa"/>
        <w:jc w:val="center"/>
        <w:tblLayout w:type="fixed"/>
        <w:tblCellMar>
          <w:top w:w="15" w:type="dxa"/>
          <w:left w:w="15" w:type="dxa"/>
          <w:bottom w:w="15" w:type="dxa"/>
          <w:right w:w="15" w:type="dxa"/>
        </w:tblCellMar>
        <w:tblLook w:val="04A0" w:firstRow="1" w:lastRow="0" w:firstColumn="1" w:lastColumn="0" w:noHBand="0" w:noVBand="1"/>
      </w:tblPr>
      <w:tblGrid>
        <w:gridCol w:w="1296"/>
        <w:gridCol w:w="1296"/>
        <w:gridCol w:w="870"/>
        <w:gridCol w:w="1152"/>
        <w:gridCol w:w="1786"/>
      </w:tblGrid>
      <w:tr w:rsidR="00A15C2C" w14:paraId="12ED6AD7" w14:textId="77777777" w:rsidTr="005E3D4C">
        <w:trPr>
          <w:trHeight w:val="315"/>
          <w:jc w:val="center"/>
        </w:trPr>
        <w:tc>
          <w:tcPr>
            <w:tcW w:w="1296" w:type="dxa"/>
            <w:vMerge w:val="restart"/>
            <w:tcBorders>
              <w:top w:val="single" w:sz="4" w:space="0" w:color="3F3F3F"/>
              <w:left w:val="single" w:sz="4" w:space="0" w:color="3F3F3F"/>
              <w:right w:val="single" w:sz="4" w:space="0" w:color="3F3F3F"/>
            </w:tcBorders>
            <w:shd w:val="clear" w:color="auto" w:fill="BFBFBF" w:themeFill="background1" w:themeFillShade="BF"/>
            <w:vAlign w:val="center"/>
          </w:tcPr>
          <w:p w14:paraId="3885C31B" w14:textId="77777777" w:rsidR="0011234D" w:rsidRDefault="000F5B51" w:rsidP="003C04C4">
            <w:pPr>
              <w:keepNext/>
              <w:spacing w:after="0" w:line="240" w:lineRule="auto"/>
              <w:rPr>
                <w:rFonts w:eastAsia="Times New Roman" w:cs="Times New Roman"/>
                <w:b/>
                <w:color w:val="3F3F3F"/>
                <w:szCs w:val="24"/>
                <w:lang w:eastAsia="ja-JP"/>
              </w:rPr>
            </w:pPr>
            <w:r>
              <w:rPr>
                <w:rFonts w:eastAsia="Times New Roman" w:cs="Times New Roman"/>
                <w:b/>
                <w:color w:val="3F3F3F"/>
                <w:szCs w:val="24"/>
                <w:lang w:eastAsia="ja-JP"/>
              </w:rPr>
              <w:t>Vehicle Type</w:t>
            </w:r>
          </w:p>
        </w:tc>
        <w:tc>
          <w:tcPr>
            <w:tcW w:w="5104" w:type="dxa"/>
            <w:gridSpan w:val="4"/>
            <w:tcBorders>
              <w:top w:val="single" w:sz="4" w:space="0" w:color="3F3F3F"/>
              <w:left w:val="single" w:sz="4" w:space="0" w:color="3F3F3F"/>
              <w:bottom w:val="single" w:sz="4" w:space="0" w:color="3F3F3F"/>
              <w:right w:val="single" w:sz="4" w:space="0" w:color="3F3F3F"/>
            </w:tcBorders>
            <w:shd w:val="clear" w:color="auto" w:fill="BFBFBF" w:themeFill="background1" w:themeFillShade="BF"/>
            <w:noWrap/>
            <w:vAlign w:val="center"/>
          </w:tcPr>
          <w:p w14:paraId="7E9AC7BC" w14:textId="77777777" w:rsidR="0011234D" w:rsidRPr="005C3B9B" w:rsidRDefault="000F5B51" w:rsidP="003C04C4">
            <w:pPr>
              <w:keepNext/>
              <w:spacing w:after="0" w:line="240" w:lineRule="auto"/>
              <w:jc w:val="center"/>
              <w:rPr>
                <w:rFonts w:eastAsia="Times New Roman" w:cs="Times New Roman"/>
                <w:b/>
                <w:color w:val="3F3F3F"/>
                <w:szCs w:val="24"/>
                <w:lang w:eastAsia="ja-JP"/>
              </w:rPr>
            </w:pPr>
            <w:r>
              <w:rPr>
                <w:rFonts w:eastAsia="Times New Roman" w:cs="Times New Roman"/>
                <w:b/>
                <w:color w:val="3F3F3F"/>
                <w:szCs w:val="24"/>
                <w:lang w:eastAsia="ja-JP"/>
              </w:rPr>
              <w:t>Crash Type</w:t>
            </w:r>
          </w:p>
        </w:tc>
      </w:tr>
      <w:tr w:rsidR="00A15C2C" w14:paraId="5BB55F87" w14:textId="77777777" w:rsidTr="005E3D4C">
        <w:trPr>
          <w:trHeight w:val="315"/>
          <w:jc w:val="center"/>
        </w:trPr>
        <w:tc>
          <w:tcPr>
            <w:tcW w:w="1296" w:type="dxa"/>
            <w:vMerge/>
            <w:tcBorders>
              <w:left w:val="single" w:sz="4" w:space="0" w:color="3F3F3F"/>
              <w:bottom w:val="single" w:sz="4" w:space="0" w:color="3F3F3F"/>
              <w:right w:val="single" w:sz="4" w:space="0" w:color="3F3F3F"/>
            </w:tcBorders>
            <w:shd w:val="clear" w:color="auto" w:fill="BFBFBF" w:themeFill="background1" w:themeFillShade="BF"/>
            <w:vAlign w:val="center"/>
          </w:tcPr>
          <w:p w14:paraId="3928712E" w14:textId="77777777" w:rsidR="0011234D" w:rsidRPr="005C3B9B" w:rsidRDefault="0011234D" w:rsidP="003C04C4">
            <w:pPr>
              <w:keepNext/>
              <w:spacing w:after="0" w:line="240" w:lineRule="auto"/>
              <w:rPr>
                <w:rFonts w:eastAsia="Times New Roman" w:cs="Times New Roman"/>
                <w:b/>
                <w:color w:val="3F3F3F"/>
                <w:szCs w:val="24"/>
                <w:lang w:eastAsia="ja-JP"/>
              </w:rPr>
            </w:pPr>
          </w:p>
        </w:tc>
        <w:tc>
          <w:tcPr>
            <w:tcW w:w="1296" w:type="dxa"/>
            <w:tcBorders>
              <w:top w:val="single" w:sz="4" w:space="0" w:color="3F3F3F"/>
              <w:left w:val="single" w:sz="4" w:space="0" w:color="3F3F3F"/>
              <w:bottom w:val="single" w:sz="4" w:space="0" w:color="3F3F3F"/>
              <w:right w:val="single" w:sz="4" w:space="0" w:color="3F3F3F"/>
            </w:tcBorders>
            <w:shd w:val="clear" w:color="auto" w:fill="BFBFBF" w:themeFill="background1" w:themeFillShade="BF"/>
            <w:noWrap/>
            <w:vAlign w:val="center"/>
            <w:hideMark/>
          </w:tcPr>
          <w:p w14:paraId="5F8AB897" w14:textId="77777777" w:rsidR="0011234D" w:rsidRPr="005C3B9B" w:rsidRDefault="000F5B51" w:rsidP="003C04C4">
            <w:pPr>
              <w:keepNext/>
              <w:spacing w:after="0" w:line="240" w:lineRule="auto"/>
              <w:jc w:val="center"/>
              <w:rPr>
                <w:rFonts w:eastAsia="Times New Roman" w:cs="Times New Roman"/>
                <w:b/>
                <w:color w:val="3F3F3F"/>
                <w:szCs w:val="24"/>
                <w:lang w:eastAsia="ja-JP"/>
              </w:rPr>
            </w:pPr>
            <w:r w:rsidRPr="005C3B9B">
              <w:rPr>
                <w:rFonts w:eastAsia="Times New Roman" w:cs="Times New Roman"/>
                <w:b/>
                <w:color w:val="3F3F3F"/>
                <w:szCs w:val="24"/>
                <w:lang w:eastAsia="ja-JP"/>
              </w:rPr>
              <w:t>F</w:t>
            </w:r>
            <w:r>
              <w:rPr>
                <w:rFonts w:eastAsia="Times New Roman" w:cs="Times New Roman"/>
                <w:b/>
                <w:color w:val="3F3F3F"/>
                <w:szCs w:val="24"/>
                <w:lang w:eastAsia="ja-JP"/>
              </w:rPr>
              <w:t>ront</w:t>
            </w:r>
          </w:p>
        </w:tc>
        <w:tc>
          <w:tcPr>
            <w:tcW w:w="870" w:type="dxa"/>
            <w:tcBorders>
              <w:top w:val="single" w:sz="4" w:space="0" w:color="3F3F3F"/>
              <w:left w:val="single" w:sz="4" w:space="0" w:color="3F3F3F"/>
              <w:bottom w:val="single" w:sz="4" w:space="0" w:color="3F3F3F"/>
              <w:right w:val="single" w:sz="4" w:space="0" w:color="3F3F3F"/>
            </w:tcBorders>
            <w:shd w:val="clear" w:color="auto" w:fill="BFBFBF" w:themeFill="background1" w:themeFillShade="BF"/>
            <w:noWrap/>
            <w:vAlign w:val="center"/>
            <w:hideMark/>
          </w:tcPr>
          <w:p w14:paraId="67D8729D" w14:textId="77777777" w:rsidR="0011234D" w:rsidRPr="005C3B9B" w:rsidRDefault="000F5B51" w:rsidP="003C04C4">
            <w:pPr>
              <w:keepNext/>
              <w:spacing w:after="0" w:line="240" w:lineRule="auto"/>
              <w:jc w:val="center"/>
              <w:rPr>
                <w:rFonts w:eastAsia="Times New Roman" w:cs="Times New Roman"/>
                <w:b/>
                <w:color w:val="3F3F3F"/>
                <w:szCs w:val="24"/>
                <w:lang w:eastAsia="ja-JP"/>
              </w:rPr>
            </w:pPr>
            <w:r w:rsidRPr="005C3B9B">
              <w:rPr>
                <w:rFonts w:eastAsia="Times New Roman" w:cs="Times New Roman"/>
                <w:b/>
                <w:color w:val="3F3F3F"/>
                <w:szCs w:val="24"/>
                <w:lang w:eastAsia="ja-JP"/>
              </w:rPr>
              <w:t>R</w:t>
            </w:r>
            <w:r>
              <w:rPr>
                <w:rFonts w:eastAsia="Times New Roman" w:cs="Times New Roman"/>
                <w:b/>
                <w:color w:val="3F3F3F"/>
                <w:szCs w:val="24"/>
                <w:lang w:eastAsia="ja-JP"/>
              </w:rPr>
              <w:t>ear</w:t>
            </w:r>
          </w:p>
        </w:tc>
        <w:tc>
          <w:tcPr>
            <w:tcW w:w="1152" w:type="dxa"/>
            <w:tcBorders>
              <w:top w:val="single" w:sz="4" w:space="0" w:color="3F3F3F"/>
              <w:left w:val="single" w:sz="4" w:space="0" w:color="3F3F3F"/>
              <w:bottom w:val="single" w:sz="4" w:space="0" w:color="3F3F3F"/>
              <w:right w:val="single" w:sz="4" w:space="0" w:color="3F3F3F"/>
            </w:tcBorders>
            <w:shd w:val="clear" w:color="auto" w:fill="BFBFBF" w:themeFill="background1" w:themeFillShade="BF"/>
            <w:noWrap/>
            <w:vAlign w:val="center"/>
            <w:hideMark/>
          </w:tcPr>
          <w:p w14:paraId="75B1D13D" w14:textId="77777777" w:rsidR="0011234D" w:rsidRPr="005C3B9B" w:rsidRDefault="000F5B51" w:rsidP="003C04C4">
            <w:pPr>
              <w:keepNext/>
              <w:spacing w:after="0" w:line="240" w:lineRule="auto"/>
              <w:jc w:val="center"/>
              <w:rPr>
                <w:rFonts w:eastAsia="Times New Roman" w:cs="Times New Roman"/>
                <w:b/>
                <w:color w:val="3F3F3F"/>
                <w:szCs w:val="24"/>
                <w:lang w:eastAsia="ja-JP"/>
              </w:rPr>
            </w:pPr>
            <w:r w:rsidRPr="005C3B9B">
              <w:rPr>
                <w:rFonts w:eastAsia="Times New Roman" w:cs="Times New Roman"/>
                <w:b/>
                <w:color w:val="3F3F3F"/>
                <w:szCs w:val="24"/>
                <w:lang w:eastAsia="ja-JP"/>
              </w:rPr>
              <w:t>S</w:t>
            </w:r>
            <w:r>
              <w:rPr>
                <w:rFonts w:eastAsia="Times New Roman" w:cs="Times New Roman"/>
                <w:b/>
                <w:color w:val="3F3F3F"/>
                <w:szCs w:val="24"/>
                <w:lang w:eastAsia="ja-JP"/>
              </w:rPr>
              <w:t>ide</w:t>
            </w:r>
          </w:p>
        </w:tc>
        <w:tc>
          <w:tcPr>
            <w:tcW w:w="1786" w:type="dxa"/>
            <w:tcBorders>
              <w:top w:val="single" w:sz="4" w:space="0" w:color="3F3F3F"/>
              <w:left w:val="single" w:sz="4" w:space="0" w:color="3F3F3F"/>
              <w:bottom w:val="single" w:sz="4" w:space="0" w:color="3F3F3F"/>
              <w:right w:val="single" w:sz="4" w:space="0" w:color="3F3F3F"/>
            </w:tcBorders>
            <w:shd w:val="clear" w:color="auto" w:fill="BFBFBF" w:themeFill="background1" w:themeFillShade="BF"/>
            <w:noWrap/>
            <w:vAlign w:val="center"/>
            <w:hideMark/>
          </w:tcPr>
          <w:p w14:paraId="41B51A0E" w14:textId="77777777" w:rsidR="0011234D" w:rsidRPr="005C3B9B" w:rsidRDefault="000F5B51" w:rsidP="003C04C4">
            <w:pPr>
              <w:keepNext/>
              <w:spacing w:after="0" w:line="240" w:lineRule="auto"/>
              <w:jc w:val="center"/>
              <w:rPr>
                <w:rFonts w:eastAsia="Times New Roman" w:cs="Times New Roman"/>
                <w:b/>
                <w:color w:val="3F3F3F"/>
                <w:szCs w:val="24"/>
                <w:lang w:eastAsia="ja-JP"/>
              </w:rPr>
            </w:pPr>
            <w:r w:rsidRPr="005C3B9B">
              <w:rPr>
                <w:rFonts w:eastAsia="Times New Roman" w:cs="Times New Roman"/>
                <w:b/>
                <w:color w:val="3F3F3F"/>
                <w:szCs w:val="24"/>
                <w:lang w:eastAsia="ja-JP"/>
              </w:rPr>
              <w:t>R</w:t>
            </w:r>
            <w:r>
              <w:rPr>
                <w:rFonts w:eastAsia="Times New Roman" w:cs="Times New Roman"/>
                <w:b/>
                <w:color w:val="3F3F3F"/>
                <w:szCs w:val="24"/>
                <w:lang w:eastAsia="ja-JP"/>
              </w:rPr>
              <w:t>ollover</w:t>
            </w:r>
          </w:p>
        </w:tc>
      </w:tr>
      <w:tr w:rsidR="00A15C2C" w14:paraId="2FD56845" w14:textId="77777777" w:rsidTr="003C04C4">
        <w:trPr>
          <w:trHeight w:val="375"/>
          <w:jc w:val="center"/>
        </w:trPr>
        <w:tc>
          <w:tcPr>
            <w:tcW w:w="1296" w:type="dxa"/>
            <w:tcBorders>
              <w:top w:val="single" w:sz="4" w:space="0" w:color="3F3F3F"/>
              <w:left w:val="single" w:sz="4" w:space="0" w:color="3F3F3F"/>
              <w:bottom w:val="single" w:sz="4" w:space="0" w:color="3F3F3F"/>
              <w:right w:val="single" w:sz="4" w:space="0" w:color="3F3F3F"/>
            </w:tcBorders>
            <w:shd w:val="clear" w:color="auto" w:fill="FFFFFF" w:themeFill="background1"/>
            <w:vAlign w:val="center"/>
          </w:tcPr>
          <w:p w14:paraId="581EB314" w14:textId="77777777" w:rsidR="0011234D" w:rsidRPr="005C3B9B" w:rsidRDefault="000F5B51" w:rsidP="003C04C4">
            <w:pPr>
              <w:keepNext/>
              <w:spacing w:after="0" w:line="240" w:lineRule="auto"/>
              <w:rPr>
                <w:rFonts w:eastAsia="Times New Roman" w:cs="Times New Roman"/>
                <w:color w:val="3F3F3F"/>
                <w:szCs w:val="24"/>
                <w:lang w:eastAsia="ja-JP"/>
              </w:rPr>
            </w:pPr>
            <w:r w:rsidRPr="005C3B9B">
              <w:rPr>
                <w:rFonts w:eastAsia="Times New Roman" w:cs="Times New Roman"/>
                <w:color w:val="000000"/>
                <w:szCs w:val="24"/>
                <w:lang w:eastAsia="ja-JP"/>
              </w:rPr>
              <w:t>PC</w:t>
            </w:r>
          </w:p>
        </w:tc>
        <w:tc>
          <w:tcPr>
            <w:tcW w:w="1296"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bottom"/>
            <w:hideMark/>
          </w:tcPr>
          <w:p w14:paraId="2CC8FBD4" w14:textId="77777777" w:rsidR="0011234D" w:rsidRPr="005C3B9B" w:rsidRDefault="000F5B51" w:rsidP="003C04C4">
            <w:pPr>
              <w:keepNext/>
              <w:spacing w:after="0" w:line="240" w:lineRule="auto"/>
              <w:jc w:val="center"/>
              <w:rPr>
                <w:rFonts w:eastAsia="Times New Roman" w:cs="Times New Roman"/>
                <w:color w:val="3F3F3F"/>
                <w:szCs w:val="24"/>
                <w:lang w:eastAsia="ja-JP"/>
              </w:rPr>
            </w:pPr>
            <w:r w:rsidRPr="0083133B">
              <w:rPr>
                <w:rFonts w:eastAsia="Times New Roman" w:cs="Times New Roman"/>
                <w:bCs/>
                <w:color w:val="3F3F3F"/>
                <w:szCs w:val="24"/>
                <w:lang w:eastAsia="ja-JP"/>
              </w:rPr>
              <w:t>1.0000</w:t>
            </w:r>
          </w:p>
        </w:tc>
        <w:tc>
          <w:tcPr>
            <w:tcW w:w="870"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bottom"/>
            <w:hideMark/>
          </w:tcPr>
          <w:p w14:paraId="3571CDA1" w14:textId="77777777" w:rsidR="0011234D" w:rsidRPr="005C3B9B" w:rsidRDefault="000F5B51" w:rsidP="003C04C4">
            <w:pPr>
              <w:keepNext/>
              <w:spacing w:after="0" w:line="240" w:lineRule="auto"/>
              <w:jc w:val="center"/>
              <w:rPr>
                <w:rFonts w:eastAsia="Times New Roman" w:cs="Times New Roman"/>
                <w:color w:val="3F3F3F"/>
                <w:szCs w:val="24"/>
                <w:lang w:eastAsia="ja-JP"/>
              </w:rPr>
            </w:pPr>
            <w:r w:rsidRPr="0083133B">
              <w:rPr>
                <w:rFonts w:eastAsia="Times New Roman" w:cs="Times New Roman"/>
                <w:bCs/>
                <w:color w:val="3F3F3F"/>
                <w:szCs w:val="24"/>
                <w:lang w:eastAsia="ja-JP"/>
              </w:rPr>
              <w:t>1.0000</w:t>
            </w:r>
          </w:p>
        </w:tc>
        <w:tc>
          <w:tcPr>
            <w:tcW w:w="1152"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bottom"/>
            <w:hideMark/>
          </w:tcPr>
          <w:p w14:paraId="69EA7C9E" w14:textId="77777777" w:rsidR="0011234D" w:rsidRPr="005C3B9B" w:rsidRDefault="000F5B51" w:rsidP="003C04C4">
            <w:pPr>
              <w:keepNext/>
              <w:spacing w:after="0" w:line="240" w:lineRule="auto"/>
              <w:jc w:val="center"/>
              <w:rPr>
                <w:rFonts w:eastAsia="Times New Roman" w:cs="Times New Roman"/>
                <w:color w:val="3F3F3F"/>
                <w:szCs w:val="24"/>
                <w:lang w:eastAsia="ja-JP"/>
              </w:rPr>
            </w:pPr>
            <w:r w:rsidRPr="0083133B">
              <w:rPr>
                <w:rFonts w:eastAsia="Times New Roman" w:cs="Times New Roman"/>
                <w:bCs/>
                <w:color w:val="3F3F3F"/>
                <w:szCs w:val="24"/>
                <w:lang w:eastAsia="ja-JP"/>
              </w:rPr>
              <w:t>1.0000</w:t>
            </w:r>
          </w:p>
        </w:tc>
        <w:tc>
          <w:tcPr>
            <w:tcW w:w="1786"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bottom"/>
            <w:hideMark/>
          </w:tcPr>
          <w:p w14:paraId="63BB9F26" w14:textId="77777777" w:rsidR="0011234D" w:rsidRPr="005C3B9B" w:rsidRDefault="000F5B51" w:rsidP="003C04C4">
            <w:pPr>
              <w:keepNext/>
              <w:spacing w:after="0" w:line="240" w:lineRule="auto"/>
              <w:jc w:val="center"/>
              <w:rPr>
                <w:rFonts w:eastAsia="Times New Roman" w:cs="Times New Roman"/>
                <w:color w:val="3F3F3F"/>
                <w:szCs w:val="24"/>
                <w:lang w:eastAsia="ja-JP"/>
              </w:rPr>
            </w:pPr>
            <w:r w:rsidRPr="0083133B">
              <w:rPr>
                <w:rFonts w:eastAsia="Times New Roman" w:cs="Times New Roman"/>
                <w:bCs/>
                <w:color w:val="3F3F3F"/>
                <w:szCs w:val="24"/>
                <w:lang w:eastAsia="ja-JP"/>
              </w:rPr>
              <w:t>0.9254</w:t>
            </w:r>
          </w:p>
        </w:tc>
      </w:tr>
      <w:tr w:rsidR="00A15C2C" w14:paraId="6CFF7B2E" w14:textId="77777777" w:rsidTr="003C04C4">
        <w:trPr>
          <w:trHeight w:val="375"/>
          <w:jc w:val="center"/>
        </w:trPr>
        <w:tc>
          <w:tcPr>
            <w:tcW w:w="1296" w:type="dxa"/>
            <w:tcBorders>
              <w:top w:val="single" w:sz="4" w:space="0" w:color="3F3F3F"/>
              <w:left w:val="single" w:sz="4" w:space="0" w:color="3F3F3F"/>
              <w:bottom w:val="single" w:sz="4" w:space="0" w:color="3F3F3F"/>
              <w:right w:val="single" w:sz="4" w:space="0" w:color="3F3F3F"/>
            </w:tcBorders>
            <w:shd w:val="clear" w:color="auto" w:fill="FFFFFF" w:themeFill="background1"/>
            <w:vAlign w:val="center"/>
          </w:tcPr>
          <w:p w14:paraId="290DF563" w14:textId="77777777" w:rsidR="0011234D" w:rsidRPr="005C3B9B" w:rsidRDefault="000F5B51" w:rsidP="003C04C4">
            <w:pPr>
              <w:keepNext/>
              <w:spacing w:after="0" w:line="240" w:lineRule="auto"/>
              <w:rPr>
                <w:rFonts w:eastAsia="Times New Roman" w:cs="Times New Roman"/>
                <w:color w:val="3F3F3F"/>
                <w:szCs w:val="24"/>
                <w:lang w:eastAsia="ja-JP"/>
              </w:rPr>
            </w:pPr>
            <w:r w:rsidRPr="005C3B9B">
              <w:rPr>
                <w:rFonts w:eastAsia="Times New Roman" w:cs="Times New Roman"/>
                <w:color w:val="000000"/>
                <w:szCs w:val="24"/>
                <w:lang w:eastAsia="ja-JP"/>
              </w:rPr>
              <w:t>LTV</w:t>
            </w:r>
          </w:p>
        </w:tc>
        <w:tc>
          <w:tcPr>
            <w:tcW w:w="1296"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bottom"/>
            <w:hideMark/>
          </w:tcPr>
          <w:p w14:paraId="178B9409" w14:textId="77777777" w:rsidR="0011234D" w:rsidRPr="005C3B9B" w:rsidRDefault="000F5B51" w:rsidP="003C04C4">
            <w:pPr>
              <w:keepNext/>
              <w:spacing w:after="0" w:line="240" w:lineRule="auto"/>
              <w:jc w:val="center"/>
              <w:rPr>
                <w:rFonts w:eastAsia="Times New Roman" w:cs="Times New Roman"/>
                <w:color w:val="3F3F3F"/>
                <w:szCs w:val="24"/>
                <w:lang w:eastAsia="ja-JP"/>
              </w:rPr>
            </w:pPr>
            <w:r w:rsidRPr="0083133B">
              <w:rPr>
                <w:rFonts w:eastAsia="Times New Roman" w:cs="Times New Roman"/>
                <w:bCs/>
                <w:color w:val="3F3F3F"/>
                <w:szCs w:val="24"/>
                <w:lang w:eastAsia="ja-JP"/>
              </w:rPr>
              <w:t>1.0000</w:t>
            </w:r>
          </w:p>
        </w:tc>
        <w:tc>
          <w:tcPr>
            <w:tcW w:w="870"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bottom"/>
            <w:hideMark/>
          </w:tcPr>
          <w:p w14:paraId="60BAD22B" w14:textId="77777777" w:rsidR="0011234D" w:rsidRPr="005C3B9B" w:rsidRDefault="000F5B51" w:rsidP="003C04C4">
            <w:pPr>
              <w:keepNext/>
              <w:spacing w:after="0" w:line="240" w:lineRule="auto"/>
              <w:jc w:val="center"/>
              <w:rPr>
                <w:rFonts w:eastAsia="Times New Roman" w:cs="Times New Roman"/>
                <w:color w:val="3F3F3F"/>
                <w:szCs w:val="24"/>
                <w:lang w:eastAsia="ja-JP"/>
              </w:rPr>
            </w:pPr>
            <w:r w:rsidRPr="0083133B">
              <w:rPr>
                <w:rFonts w:eastAsia="Times New Roman" w:cs="Times New Roman"/>
                <w:bCs/>
                <w:color w:val="3F3F3F"/>
                <w:szCs w:val="24"/>
                <w:lang w:eastAsia="ja-JP"/>
              </w:rPr>
              <w:t>1.0000</w:t>
            </w:r>
          </w:p>
        </w:tc>
        <w:tc>
          <w:tcPr>
            <w:tcW w:w="1152"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bottom"/>
            <w:hideMark/>
          </w:tcPr>
          <w:p w14:paraId="7A1D9E99" w14:textId="77777777" w:rsidR="0011234D" w:rsidRPr="005C3B9B" w:rsidRDefault="000F5B51" w:rsidP="003C04C4">
            <w:pPr>
              <w:keepNext/>
              <w:spacing w:after="0" w:line="240" w:lineRule="auto"/>
              <w:jc w:val="center"/>
              <w:rPr>
                <w:rFonts w:eastAsia="Times New Roman" w:cs="Times New Roman"/>
                <w:color w:val="3F3F3F"/>
                <w:szCs w:val="24"/>
                <w:lang w:eastAsia="ja-JP"/>
              </w:rPr>
            </w:pPr>
            <w:r w:rsidRPr="0083133B">
              <w:rPr>
                <w:rFonts w:eastAsia="Times New Roman" w:cs="Times New Roman"/>
                <w:bCs/>
                <w:color w:val="3F3F3F"/>
                <w:szCs w:val="24"/>
                <w:lang w:eastAsia="ja-JP"/>
              </w:rPr>
              <w:t>1.0000</w:t>
            </w:r>
          </w:p>
        </w:tc>
        <w:tc>
          <w:tcPr>
            <w:tcW w:w="1786"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bottom"/>
            <w:hideMark/>
          </w:tcPr>
          <w:p w14:paraId="5D5A51C3" w14:textId="77777777" w:rsidR="0011234D" w:rsidRPr="005C3B9B" w:rsidRDefault="000F5B51" w:rsidP="003C04C4">
            <w:pPr>
              <w:keepNext/>
              <w:spacing w:after="0" w:line="240" w:lineRule="auto"/>
              <w:jc w:val="center"/>
              <w:rPr>
                <w:rFonts w:eastAsia="Times New Roman" w:cs="Times New Roman"/>
                <w:color w:val="3F3F3F"/>
                <w:szCs w:val="24"/>
                <w:lang w:eastAsia="ja-JP"/>
              </w:rPr>
            </w:pPr>
            <w:r w:rsidRPr="0083133B">
              <w:rPr>
                <w:rFonts w:eastAsia="Times New Roman" w:cs="Times New Roman"/>
                <w:bCs/>
                <w:color w:val="3F3F3F"/>
                <w:szCs w:val="24"/>
                <w:lang w:eastAsia="ja-JP"/>
              </w:rPr>
              <w:t>0.9309</w:t>
            </w:r>
          </w:p>
        </w:tc>
      </w:tr>
    </w:tbl>
    <w:p w14:paraId="20258FA5" w14:textId="77777777" w:rsidR="0011234D" w:rsidRPr="00E91A24" w:rsidRDefault="0011234D" w:rsidP="0011234D">
      <w:pPr>
        <w:pStyle w:val="NoSpaceTimes"/>
      </w:pPr>
    </w:p>
    <w:p w14:paraId="5C047133" w14:textId="77777777" w:rsidR="0011234D" w:rsidRDefault="000F5B51" w:rsidP="005E3D4C">
      <w:pPr>
        <w:pStyle w:val="Heading4"/>
        <w:spacing w:before="0" w:line="240" w:lineRule="auto"/>
      </w:pPr>
      <w:r>
        <w:t>FMVSS No. 216 Roof Crush Resistance</w:t>
      </w:r>
    </w:p>
    <w:p w14:paraId="42AD44A8" w14:textId="77777777" w:rsidR="00A65CB3" w:rsidRDefault="000F5B51" w:rsidP="0011234D">
      <w:pPr>
        <w:pStyle w:val="Caption"/>
      </w:pPr>
      <w:r>
        <w:rPr>
          <w:rFonts w:eastAsia="Times New Roman" w:cs="Times New Roman"/>
          <w:szCs w:val="24"/>
        </w:rPr>
        <w:fldChar w:fldCharType="begin"/>
      </w:r>
      <w:r>
        <w:rPr>
          <w:rFonts w:eastAsia="Times New Roman" w:cs="Times New Roman"/>
          <w:szCs w:val="24"/>
        </w:rPr>
        <w:instrText xml:space="preserve"> REF _Ref125544046 \h </w:instrText>
      </w:r>
      <w:r>
        <w:rPr>
          <w:rFonts w:eastAsia="Times New Roman" w:cs="Times New Roman"/>
          <w:szCs w:val="24"/>
        </w:rPr>
      </w:r>
      <w:r>
        <w:rPr>
          <w:rFonts w:eastAsia="Times New Roman" w:cs="Times New Roman"/>
          <w:szCs w:val="24"/>
        </w:rPr>
        <w:fldChar w:fldCharType="separate"/>
      </w:r>
    </w:p>
    <w:p w14:paraId="31779D93" w14:textId="7D56F394" w:rsidR="00B27092" w:rsidRDefault="00A65CB3" w:rsidP="005E3D4C">
      <w:r>
        <w:t xml:space="preserve">Table </w:t>
      </w:r>
      <w:r>
        <w:rPr>
          <w:noProof/>
        </w:rPr>
        <w:t>17</w:t>
      </w:r>
      <w:r w:rsidR="000F5B51">
        <w:rPr>
          <w:rFonts w:eastAsia="Times New Roman" w:cs="Times New Roman"/>
          <w:szCs w:val="24"/>
        </w:rPr>
        <w:fldChar w:fldCharType="end"/>
      </w:r>
      <w:r w:rsidR="000F5B51">
        <w:rPr>
          <w:rFonts w:eastAsia="Times New Roman" w:cs="Times New Roman"/>
          <w:szCs w:val="24"/>
        </w:rPr>
        <w:t xml:space="preserve"> presents the adjustment factors for FMVSS No. 216 “</w:t>
      </w:r>
      <w:r w:rsidR="000F5B51" w:rsidRPr="00B84943">
        <w:rPr>
          <w:rFonts w:eastAsia="Times New Roman" w:cs="Times New Roman"/>
          <w:szCs w:val="24"/>
        </w:rPr>
        <w:t xml:space="preserve">Roof crush resistance,” </w:t>
      </w:r>
      <w:r w:rsidR="000F5B51">
        <w:rPr>
          <w:rFonts w:eastAsia="Times New Roman" w:cs="Times New Roman"/>
          <w:szCs w:val="24"/>
        </w:rPr>
        <w:t>by vehicle type and crash type</w:t>
      </w:r>
      <w:r w:rsidR="001F2F92">
        <w:rPr>
          <w:rFonts w:eastAsia="Times New Roman" w:cs="Times New Roman"/>
          <w:szCs w:val="24"/>
        </w:rPr>
        <w:t xml:space="preserve">. </w:t>
      </w:r>
      <w:r w:rsidR="000F5B51" w:rsidRPr="00E752A0">
        <w:rPr>
          <w:rFonts w:eastAsia="Times New Roman" w:cs="Times New Roman"/>
          <w:szCs w:val="24"/>
        </w:rPr>
        <w:t>The calculation</w:t>
      </w:r>
      <w:r w:rsidR="000F5B51">
        <w:rPr>
          <w:rFonts w:eastAsia="Times New Roman" w:cs="Times New Roman"/>
          <w:szCs w:val="24"/>
        </w:rPr>
        <w:t xml:space="preserve"> of the adjustment factors for FMVSS No. 2</w:t>
      </w:r>
      <w:r w:rsidR="009D511C">
        <w:rPr>
          <w:rFonts w:eastAsia="Times New Roman" w:cs="Times New Roman"/>
          <w:szCs w:val="24"/>
        </w:rPr>
        <w:t>1</w:t>
      </w:r>
      <w:r w:rsidR="000F5B51">
        <w:rPr>
          <w:rFonts w:eastAsia="Times New Roman" w:cs="Times New Roman"/>
          <w:szCs w:val="24"/>
        </w:rPr>
        <w:t xml:space="preserve">6 follow the same procedure as the calculation of the ESC adjustment factor and can be found in </w:t>
      </w:r>
      <w:r w:rsidR="000F5B51">
        <w:rPr>
          <w:rFonts w:eastAsia="Times New Roman" w:cs="Times New Roman"/>
          <w:szCs w:val="24"/>
        </w:rPr>
        <w:fldChar w:fldCharType="begin"/>
      </w:r>
      <w:r w:rsidR="000F5B51">
        <w:rPr>
          <w:rFonts w:eastAsia="Times New Roman" w:cs="Times New Roman"/>
          <w:szCs w:val="24"/>
        </w:rPr>
        <w:instrText xml:space="preserve"> REF _Ref125981619 \h </w:instrText>
      </w:r>
      <w:r w:rsidR="000F5B51">
        <w:rPr>
          <w:rFonts w:eastAsia="Times New Roman" w:cs="Times New Roman"/>
          <w:szCs w:val="24"/>
        </w:rPr>
      </w:r>
      <w:r w:rsidR="000F5B51">
        <w:rPr>
          <w:rFonts w:eastAsia="Times New Roman" w:cs="Times New Roman"/>
          <w:szCs w:val="24"/>
        </w:rPr>
        <w:fldChar w:fldCharType="separate"/>
      </w:r>
      <w:r>
        <w:t>Appendix C</w:t>
      </w:r>
      <w:r w:rsidR="000F5B51">
        <w:rPr>
          <w:rFonts w:eastAsia="Times New Roman" w:cs="Times New Roman"/>
          <w:szCs w:val="24"/>
        </w:rPr>
        <w:fldChar w:fldCharType="end"/>
      </w:r>
      <w:r w:rsidR="000F5B51">
        <w:rPr>
          <w:rFonts w:eastAsia="Times New Roman" w:cs="Times New Roman"/>
          <w:szCs w:val="24"/>
        </w:rPr>
        <w:t>. As safety impact of FMVSS No. 216 rule should only apply to the front seat, there is no resulting impact on the target population specific to rear seat occupants.</w:t>
      </w:r>
      <w:r w:rsidR="000F5B51">
        <w:rPr>
          <w:rStyle w:val="FootnoteReference"/>
          <w:rFonts w:eastAsia="Times New Roman" w:cs="Times New Roman"/>
          <w:szCs w:val="24"/>
        </w:rPr>
        <w:footnoteReference w:id="40"/>
      </w:r>
      <w:r w:rsidR="000F5B51">
        <w:rPr>
          <w:rFonts w:eastAsia="Times New Roman" w:cs="Times New Roman"/>
          <w:szCs w:val="24"/>
        </w:rPr>
        <w:t xml:space="preserve">  Therefore, </w:t>
      </w:r>
      <w:r w:rsidR="000F5B51">
        <w:t>there is no adjustment made to the target population based on FMVSS. No 216 which is represented by an adjustment factor of one for all vehicle types and crash types.</w:t>
      </w:r>
      <w:r w:rsidR="00214396">
        <w:t xml:space="preserve"> </w:t>
      </w:r>
    </w:p>
    <w:p w14:paraId="6706D8CA" w14:textId="77777777" w:rsidR="00435D89" w:rsidRDefault="00435D89" w:rsidP="0011234D">
      <w:pPr>
        <w:pStyle w:val="Caption"/>
      </w:pPr>
      <w:bookmarkStart w:id="88" w:name="_Ref125544046"/>
    </w:p>
    <w:p w14:paraId="54E4E765" w14:textId="4E56132E" w:rsidR="0011234D" w:rsidRDefault="000F5B51" w:rsidP="0011234D">
      <w:pPr>
        <w:pStyle w:val="Caption"/>
      </w:pPr>
      <w:r>
        <w:t xml:space="preserve">Table </w:t>
      </w:r>
      <w:r w:rsidR="00115BAB">
        <w:fldChar w:fldCharType="begin"/>
      </w:r>
      <w:r>
        <w:instrText xml:space="preserve"> SEQ Table \* ARABIC </w:instrText>
      </w:r>
      <w:r w:rsidR="00115BAB">
        <w:fldChar w:fldCharType="separate"/>
      </w:r>
      <w:r w:rsidR="00A65CB3">
        <w:rPr>
          <w:noProof/>
        </w:rPr>
        <w:t>17</w:t>
      </w:r>
      <w:r w:rsidR="00115BAB">
        <w:rPr>
          <w:noProof/>
        </w:rPr>
        <w:fldChar w:fldCharType="end"/>
      </w:r>
      <w:bookmarkEnd w:id="88"/>
      <w:r>
        <w:t xml:space="preserve">: </w:t>
      </w:r>
      <w:r w:rsidRPr="00AC6F52">
        <w:t>FMVSS 216 Adjustment factors by Vehicle Type and Crash Type</w:t>
      </w:r>
    </w:p>
    <w:tbl>
      <w:tblPr>
        <w:tblW w:w="6400" w:type="dxa"/>
        <w:jc w:val="center"/>
        <w:tblLayout w:type="fixed"/>
        <w:tblCellMar>
          <w:top w:w="15" w:type="dxa"/>
          <w:left w:w="15" w:type="dxa"/>
          <w:bottom w:w="15" w:type="dxa"/>
          <w:right w:w="15" w:type="dxa"/>
        </w:tblCellMar>
        <w:tblLook w:val="04A0" w:firstRow="1" w:lastRow="0" w:firstColumn="1" w:lastColumn="0" w:noHBand="0" w:noVBand="1"/>
      </w:tblPr>
      <w:tblGrid>
        <w:gridCol w:w="1296"/>
        <w:gridCol w:w="1276"/>
        <w:gridCol w:w="1276"/>
        <w:gridCol w:w="1276"/>
        <w:gridCol w:w="1276"/>
      </w:tblGrid>
      <w:tr w:rsidR="00A15C2C" w14:paraId="516C572E" w14:textId="77777777" w:rsidTr="005E3D4C">
        <w:trPr>
          <w:trHeight w:val="315"/>
          <w:jc w:val="center"/>
        </w:trPr>
        <w:tc>
          <w:tcPr>
            <w:tcW w:w="1296" w:type="dxa"/>
            <w:vMerge w:val="restart"/>
            <w:tcBorders>
              <w:top w:val="single" w:sz="4" w:space="0" w:color="3F3F3F"/>
              <w:left w:val="single" w:sz="4" w:space="0" w:color="3F3F3F"/>
              <w:right w:val="single" w:sz="4" w:space="0" w:color="3F3F3F"/>
            </w:tcBorders>
            <w:shd w:val="clear" w:color="auto" w:fill="BFBFBF" w:themeFill="background1" w:themeFillShade="BF"/>
            <w:vAlign w:val="center"/>
          </w:tcPr>
          <w:p w14:paraId="6C8DE31B" w14:textId="77777777" w:rsidR="0011234D" w:rsidRDefault="000F5B51" w:rsidP="003C04C4">
            <w:pPr>
              <w:keepNext/>
              <w:spacing w:after="0" w:line="240" w:lineRule="auto"/>
              <w:rPr>
                <w:rFonts w:eastAsia="Times New Roman" w:cs="Times New Roman"/>
                <w:b/>
                <w:color w:val="3F3F3F"/>
                <w:szCs w:val="24"/>
                <w:lang w:eastAsia="ja-JP"/>
              </w:rPr>
            </w:pPr>
            <w:r>
              <w:rPr>
                <w:rFonts w:eastAsia="Times New Roman" w:cs="Times New Roman"/>
                <w:b/>
                <w:color w:val="3F3F3F"/>
                <w:szCs w:val="24"/>
                <w:lang w:eastAsia="ja-JP"/>
              </w:rPr>
              <w:t>Vehicle Type</w:t>
            </w:r>
          </w:p>
        </w:tc>
        <w:tc>
          <w:tcPr>
            <w:tcW w:w="5104" w:type="dxa"/>
            <w:gridSpan w:val="4"/>
            <w:tcBorders>
              <w:top w:val="single" w:sz="4" w:space="0" w:color="3F3F3F"/>
              <w:left w:val="single" w:sz="4" w:space="0" w:color="3F3F3F"/>
              <w:bottom w:val="single" w:sz="4" w:space="0" w:color="3F3F3F"/>
              <w:right w:val="single" w:sz="4" w:space="0" w:color="3F3F3F"/>
            </w:tcBorders>
            <w:shd w:val="clear" w:color="auto" w:fill="BFBFBF" w:themeFill="background1" w:themeFillShade="BF"/>
            <w:noWrap/>
            <w:vAlign w:val="center"/>
          </w:tcPr>
          <w:p w14:paraId="1A4E85B6" w14:textId="77777777" w:rsidR="0011234D" w:rsidRPr="005C3B9B" w:rsidRDefault="000F5B51" w:rsidP="003C04C4">
            <w:pPr>
              <w:keepNext/>
              <w:spacing w:after="0" w:line="240" w:lineRule="auto"/>
              <w:jc w:val="center"/>
              <w:rPr>
                <w:rFonts w:eastAsia="Times New Roman" w:cs="Times New Roman"/>
                <w:b/>
                <w:color w:val="3F3F3F"/>
                <w:szCs w:val="24"/>
                <w:lang w:eastAsia="ja-JP"/>
              </w:rPr>
            </w:pPr>
            <w:r>
              <w:rPr>
                <w:rFonts w:eastAsia="Times New Roman" w:cs="Times New Roman"/>
                <w:b/>
                <w:color w:val="3F3F3F"/>
                <w:szCs w:val="24"/>
                <w:lang w:eastAsia="ja-JP"/>
              </w:rPr>
              <w:t>Crash Type</w:t>
            </w:r>
          </w:p>
        </w:tc>
      </w:tr>
      <w:tr w:rsidR="00A15C2C" w14:paraId="4297EB0A" w14:textId="77777777" w:rsidTr="005E3D4C">
        <w:trPr>
          <w:trHeight w:val="315"/>
          <w:jc w:val="center"/>
        </w:trPr>
        <w:tc>
          <w:tcPr>
            <w:tcW w:w="1296" w:type="dxa"/>
            <w:vMerge/>
            <w:tcBorders>
              <w:left w:val="single" w:sz="4" w:space="0" w:color="3F3F3F"/>
              <w:bottom w:val="single" w:sz="4" w:space="0" w:color="3F3F3F"/>
              <w:right w:val="single" w:sz="4" w:space="0" w:color="3F3F3F"/>
            </w:tcBorders>
            <w:shd w:val="clear" w:color="auto" w:fill="BFBFBF" w:themeFill="background1" w:themeFillShade="BF"/>
            <w:vAlign w:val="center"/>
          </w:tcPr>
          <w:p w14:paraId="4459652A" w14:textId="77777777" w:rsidR="0011234D" w:rsidRPr="005C3B9B" w:rsidRDefault="0011234D" w:rsidP="003C04C4">
            <w:pPr>
              <w:keepNext/>
              <w:spacing w:after="0" w:line="240" w:lineRule="auto"/>
              <w:rPr>
                <w:rFonts w:eastAsia="Times New Roman" w:cs="Times New Roman"/>
                <w:b/>
                <w:color w:val="3F3F3F"/>
                <w:szCs w:val="24"/>
                <w:lang w:eastAsia="ja-JP"/>
              </w:rPr>
            </w:pPr>
          </w:p>
        </w:tc>
        <w:tc>
          <w:tcPr>
            <w:tcW w:w="1276" w:type="dxa"/>
            <w:tcBorders>
              <w:top w:val="single" w:sz="4" w:space="0" w:color="3F3F3F"/>
              <w:left w:val="single" w:sz="4" w:space="0" w:color="3F3F3F"/>
              <w:bottom w:val="single" w:sz="4" w:space="0" w:color="3F3F3F"/>
              <w:right w:val="single" w:sz="4" w:space="0" w:color="3F3F3F"/>
            </w:tcBorders>
            <w:shd w:val="clear" w:color="auto" w:fill="BFBFBF" w:themeFill="background1" w:themeFillShade="BF"/>
            <w:noWrap/>
            <w:vAlign w:val="center"/>
            <w:hideMark/>
          </w:tcPr>
          <w:p w14:paraId="348AD3DA" w14:textId="77777777" w:rsidR="0011234D" w:rsidRPr="005C3B9B" w:rsidRDefault="000F5B51" w:rsidP="003C04C4">
            <w:pPr>
              <w:keepNext/>
              <w:spacing w:after="0" w:line="240" w:lineRule="auto"/>
              <w:jc w:val="center"/>
              <w:rPr>
                <w:rFonts w:eastAsia="Times New Roman" w:cs="Times New Roman"/>
                <w:b/>
                <w:color w:val="3F3F3F"/>
                <w:szCs w:val="24"/>
                <w:lang w:eastAsia="ja-JP"/>
              </w:rPr>
            </w:pPr>
            <w:r w:rsidRPr="005C3B9B">
              <w:rPr>
                <w:rFonts w:eastAsia="Times New Roman" w:cs="Times New Roman"/>
                <w:b/>
                <w:color w:val="3F3F3F"/>
                <w:szCs w:val="24"/>
                <w:lang w:eastAsia="ja-JP"/>
              </w:rPr>
              <w:t>F</w:t>
            </w:r>
            <w:r>
              <w:rPr>
                <w:rFonts w:eastAsia="Times New Roman" w:cs="Times New Roman"/>
                <w:b/>
                <w:color w:val="3F3F3F"/>
                <w:szCs w:val="24"/>
                <w:lang w:eastAsia="ja-JP"/>
              </w:rPr>
              <w:t>ront</w:t>
            </w:r>
          </w:p>
        </w:tc>
        <w:tc>
          <w:tcPr>
            <w:tcW w:w="1276" w:type="dxa"/>
            <w:tcBorders>
              <w:top w:val="single" w:sz="4" w:space="0" w:color="3F3F3F"/>
              <w:left w:val="single" w:sz="4" w:space="0" w:color="3F3F3F"/>
              <w:bottom w:val="single" w:sz="4" w:space="0" w:color="3F3F3F"/>
              <w:right w:val="single" w:sz="4" w:space="0" w:color="3F3F3F"/>
            </w:tcBorders>
            <w:shd w:val="clear" w:color="auto" w:fill="BFBFBF" w:themeFill="background1" w:themeFillShade="BF"/>
            <w:noWrap/>
            <w:vAlign w:val="center"/>
            <w:hideMark/>
          </w:tcPr>
          <w:p w14:paraId="4CEE12A2" w14:textId="77777777" w:rsidR="0011234D" w:rsidRPr="005C3B9B" w:rsidRDefault="000F5B51" w:rsidP="003C04C4">
            <w:pPr>
              <w:keepNext/>
              <w:spacing w:after="0" w:line="240" w:lineRule="auto"/>
              <w:jc w:val="center"/>
              <w:rPr>
                <w:rFonts w:eastAsia="Times New Roman" w:cs="Times New Roman"/>
                <w:b/>
                <w:color w:val="3F3F3F"/>
                <w:szCs w:val="24"/>
                <w:lang w:eastAsia="ja-JP"/>
              </w:rPr>
            </w:pPr>
            <w:r w:rsidRPr="005C3B9B">
              <w:rPr>
                <w:rFonts w:eastAsia="Times New Roman" w:cs="Times New Roman"/>
                <w:b/>
                <w:color w:val="3F3F3F"/>
                <w:szCs w:val="24"/>
                <w:lang w:eastAsia="ja-JP"/>
              </w:rPr>
              <w:t>R</w:t>
            </w:r>
            <w:r>
              <w:rPr>
                <w:rFonts w:eastAsia="Times New Roman" w:cs="Times New Roman"/>
                <w:b/>
                <w:color w:val="3F3F3F"/>
                <w:szCs w:val="24"/>
                <w:lang w:eastAsia="ja-JP"/>
              </w:rPr>
              <w:t>ear</w:t>
            </w:r>
          </w:p>
        </w:tc>
        <w:tc>
          <w:tcPr>
            <w:tcW w:w="1276" w:type="dxa"/>
            <w:tcBorders>
              <w:top w:val="single" w:sz="4" w:space="0" w:color="3F3F3F"/>
              <w:left w:val="single" w:sz="4" w:space="0" w:color="3F3F3F"/>
              <w:bottom w:val="single" w:sz="4" w:space="0" w:color="3F3F3F"/>
              <w:right w:val="single" w:sz="4" w:space="0" w:color="3F3F3F"/>
            </w:tcBorders>
            <w:shd w:val="clear" w:color="auto" w:fill="BFBFBF" w:themeFill="background1" w:themeFillShade="BF"/>
            <w:noWrap/>
            <w:vAlign w:val="center"/>
            <w:hideMark/>
          </w:tcPr>
          <w:p w14:paraId="644DB2C8" w14:textId="77777777" w:rsidR="0011234D" w:rsidRPr="005C3B9B" w:rsidRDefault="000F5B51" w:rsidP="003C04C4">
            <w:pPr>
              <w:keepNext/>
              <w:spacing w:after="0" w:line="240" w:lineRule="auto"/>
              <w:jc w:val="center"/>
              <w:rPr>
                <w:rFonts w:eastAsia="Times New Roman" w:cs="Times New Roman"/>
                <w:b/>
                <w:color w:val="3F3F3F"/>
                <w:szCs w:val="24"/>
                <w:lang w:eastAsia="ja-JP"/>
              </w:rPr>
            </w:pPr>
            <w:r w:rsidRPr="005C3B9B">
              <w:rPr>
                <w:rFonts w:eastAsia="Times New Roman" w:cs="Times New Roman"/>
                <w:b/>
                <w:color w:val="3F3F3F"/>
                <w:szCs w:val="24"/>
                <w:lang w:eastAsia="ja-JP"/>
              </w:rPr>
              <w:t>S</w:t>
            </w:r>
            <w:r>
              <w:rPr>
                <w:rFonts w:eastAsia="Times New Roman" w:cs="Times New Roman"/>
                <w:b/>
                <w:color w:val="3F3F3F"/>
                <w:szCs w:val="24"/>
                <w:lang w:eastAsia="ja-JP"/>
              </w:rPr>
              <w:t>ide</w:t>
            </w:r>
          </w:p>
        </w:tc>
        <w:tc>
          <w:tcPr>
            <w:tcW w:w="1276" w:type="dxa"/>
            <w:tcBorders>
              <w:top w:val="single" w:sz="4" w:space="0" w:color="3F3F3F"/>
              <w:left w:val="single" w:sz="4" w:space="0" w:color="3F3F3F"/>
              <w:bottom w:val="single" w:sz="4" w:space="0" w:color="3F3F3F"/>
              <w:right w:val="single" w:sz="4" w:space="0" w:color="3F3F3F"/>
            </w:tcBorders>
            <w:shd w:val="clear" w:color="auto" w:fill="BFBFBF" w:themeFill="background1" w:themeFillShade="BF"/>
            <w:noWrap/>
            <w:vAlign w:val="center"/>
            <w:hideMark/>
          </w:tcPr>
          <w:p w14:paraId="13D08C02" w14:textId="77777777" w:rsidR="0011234D" w:rsidRPr="005C3B9B" w:rsidRDefault="000F5B51" w:rsidP="003C04C4">
            <w:pPr>
              <w:keepNext/>
              <w:spacing w:after="0" w:line="240" w:lineRule="auto"/>
              <w:jc w:val="center"/>
              <w:rPr>
                <w:rFonts w:eastAsia="Times New Roman" w:cs="Times New Roman"/>
                <w:b/>
                <w:color w:val="3F3F3F"/>
                <w:szCs w:val="24"/>
                <w:lang w:eastAsia="ja-JP"/>
              </w:rPr>
            </w:pPr>
            <w:r w:rsidRPr="005C3B9B">
              <w:rPr>
                <w:rFonts w:eastAsia="Times New Roman" w:cs="Times New Roman"/>
                <w:b/>
                <w:color w:val="3F3F3F"/>
                <w:szCs w:val="24"/>
                <w:lang w:eastAsia="ja-JP"/>
              </w:rPr>
              <w:t>R</w:t>
            </w:r>
            <w:r>
              <w:rPr>
                <w:rFonts w:eastAsia="Times New Roman" w:cs="Times New Roman"/>
                <w:b/>
                <w:color w:val="3F3F3F"/>
                <w:szCs w:val="24"/>
                <w:lang w:eastAsia="ja-JP"/>
              </w:rPr>
              <w:t>ollover</w:t>
            </w:r>
          </w:p>
        </w:tc>
      </w:tr>
      <w:tr w:rsidR="00A15C2C" w14:paraId="18A267E9" w14:textId="77777777" w:rsidTr="005E3D4C">
        <w:trPr>
          <w:trHeight w:val="375"/>
          <w:jc w:val="center"/>
        </w:trPr>
        <w:tc>
          <w:tcPr>
            <w:tcW w:w="1296" w:type="dxa"/>
            <w:tcBorders>
              <w:top w:val="single" w:sz="4" w:space="0" w:color="3F3F3F"/>
              <w:left w:val="single" w:sz="4" w:space="0" w:color="3F3F3F"/>
              <w:bottom w:val="single" w:sz="4" w:space="0" w:color="3F3F3F"/>
              <w:right w:val="single" w:sz="4" w:space="0" w:color="3F3F3F"/>
            </w:tcBorders>
            <w:shd w:val="clear" w:color="auto" w:fill="FFFFFF" w:themeFill="background1"/>
            <w:vAlign w:val="center"/>
          </w:tcPr>
          <w:p w14:paraId="5920AEF4" w14:textId="77777777" w:rsidR="0011234D" w:rsidRPr="005C3B9B" w:rsidRDefault="000F5B51" w:rsidP="003C04C4">
            <w:pPr>
              <w:keepNext/>
              <w:spacing w:after="0" w:line="240" w:lineRule="auto"/>
              <w:rPr>
                <w:rFonts w:eastAsia="Times New Roman" w:cs="Times New Roman"/>
                <w:color w:val="3F3F3F"/>
                <w:szCs w:val="24"/>
                <w:lang w:eastAsia="ja-JP"/>
              </w:rPr>
            </w:pPr>
            <w:r w:rsidRPr="005C3B9B">
              <w:rPr>
                <w:rFonts w:eastAsia="Times New Roman" w:cs="Times New Roman"/>
                <w:color w:val="000000"/>
                <w:szCs w:val="24"/>
                <w:lang w:eastAsia="ja-JP"/>
              </w:rPr>
              <w:t>PC</w:t>
            </w:r>
          </w:p>
        </w:tc>
        <w:tc>
          <w:tcPr>
            <w:tcW w:w="1276"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bottom"/>
            <w:hideMark/>
          </w:tcPr>
          <w:p w14:paraId="55E4BC0D" w14:textId="77777777" w:rsidR="0011234D" w:rsidRPr="005C3B9B" w:rsidRDefault="000F5B51" w:rsidP="003C04C4">
            <w:pPr>
              <w:keepNext/>
              <w:spacing w:after="0" w:line="240" w:lineRule="auto"/>
              <w:jc w:val="center"/>
              <w:rPr>
                <w:rFonts w:eastAsia="Times New Roman" w:cs="Times New Roman"/>
                <w:color w:val="3F3F3F"/>
                <w:szCs w:val="24"/>
                <w:lang w:eastAsia="ja-JP"/>
              </w:rPr>
            </w:pPr>
            <w:r w:rsidRPr="00AA1DDD">
              <w:rPr>
                <w:rFonts w:eastAsia="Times New Roman" w:cs="Times New Roman"/>
                <w:color w:val="3F3F3F"/>
                <w:szCs w:val="24"/>
                <w:lang w:eastAsia="ja-JP"/>
              </w:rPr>
              <w:t>1.0000</w:t>
            </w:r>
          </w:p>
        </w:tc>
        <w:tc>
          <w:tcPr>
            <w:tcW w:w="1276"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bottom"/>
            <w:hideMark/>
          </w:tcPr>
          <w:p w14:paraId="430F30C3" w14:textId="77777777" w:rsidR="0011234D" w:rsidRPr="005C3B9B" w:rsidRDefault="000F5B51" w:rsidP="003C04C4">
            <w:pPr>
              <w:keepNext/>
              <w:spacing w:after="0" w:line="240" w:lineRule="auto"/>
              <w:jc w:val="center"/>
              <w:rPr>
                <w:rFonts w:eastAsia="Times New Roman" w:cs="Times New Roman"/>
                <w:color w:val="3F3F3F"/>
                <w:szCs w:val="24"/>
                <w:lang w:eastAsia="ja-JP"/>
              </w:rPr>
            </w:pPr>
            <w:r w:rsidRPr="00AA1DDD">
              <w:rPr>
                <w:rFonts w:eastAsia="Times New Roman" w:cs="Times New Roman"/>
                <w:color w:val="3F3F3F"/>
                <w:szCs w:val="24"/>
                <w:lang w:eastAsia="ja-JP"/>
              </w:rPr>
              <w:t>1.0000</w:t>
            </w:r>
          </w:p>
        </w:tc>
        <w:tc>
          <w:tcPr>
            <w:tcW w:w="1276"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bottom"/>
            <w:hideMark/>
          </w:tcPr>
          <w:p w14:paraId="38CE9436" w14:textId="77777777" w:rsidR="0011234D" w:rsidRPr="005C3B9B" w:rsidRDefault="000F5B51" w:rsidP="003C04C4">
            <w:pPr>
              <w:keepNext/>
              <w:spacing w:after="0" w:line="240" w:lineRule="auto"/>
              <w:jc w:val="center"/>
              <w:rPr>
                <w:rFonts w:eastAsia="Times New Roman" w:cs="Times New Roman"/>
                <w:color w:val="3F3F3F"/>
                <w:szCs w:val="24"/>
                <w:lang w:eastAsia="ja-JP"/>
              </w:rPr>
            </w:pPr>
            <w:r w:rsidRPr="00AA1DDD">
              <w:rPr>
                <w:rFonts w:eastAsia="Times New Roman" w:cs="Times New Roman"/>
                <w:color w:val="3F3F3F"/>
                <w:szCs w:val="24"/>
                <w:lang w:eastAsia="ja-JP"/>
              </w:rPr>
              <w:t>1.0000</w:t>
            </w:r>
          </w:p>
        </w:tc>
        <w:tc>
          <w:tcPr>
            <w:tcW w:w="1276"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bottom"/>
            <w:hideMark/>
          </w:tcPr>
          <w:p w14:paraId="6818C09E" w14:textId="77777777" w:rsidR="0011234D" w:rsidRPr="005C3B9B" w:rsidRDefault="000F5B51" w:rsidP="003C04C4">
            <w:pPr>
              <w:keepNext/>
              <w:spacing w:after="0" w:line="240" w:lineRule="auto"/>
              <w:jc w:val="center"/>
              <w:rPr>
                <w:rFonts w:eastAsia="Times New Roman" w:cs="Times New Roman"/>
                <w:color w:val="3F3F3F"/>
                <w:szCs w:val="24"/>
                <w:lang w:eastAsia="ja-JP"/>
              </w:rPr>
            </w:pPr>
            <w:r w:rsidRPr="00AA1DDD">
              <w:rPr>
                <w:rFonts w:eastAsia="Times New Roman" w:cs="Times New Roman"/>
                <w:color w:val="3F3F3F"/>
                <w:szCs w:val="24"/>
                <w:lang w:eastAsia="ja-JP"/>
              </w:rPr>
              <w:t>1.0000</w:t>
            </w:r>
          </w:p>
        </w:tc>
      </w:tr>
      <w:tr w:rsidR="00A15C2C" w14:paraId="2B95D08C" w14:textId="77777777" w:rsidTr="005E3D4C">
        <w:trPr>
          <w:trHeight w:val="375"/>
          <w:jc w:val="center"/>
        </w:trPr>
        <w:tc>
          <w:tcPr>
            <w:tcW w:w="1296" w:type="dxa"/>
            <w:tcBorders>
              <w:top w:val="single" w:sz="4" w:space="0" w:color="3F3F3F"/>
              <w:left w:val="single" w:sz="4" w:space="0" w:color="3F3F3F"/>
              <w:bottom w:val="single" w:sz="4" w:space="0" w:color="3F3F3F"/>
              <w:right w:val="single" w:sz="4" w:space="0" w:color="3F3F3F"/>
            </w:tcBorders>
            <w:shd w:val="clear" w:color="auto" w:fill="FFFFFF" w:themeFill="background1"/>
            <w:vAlign w:val="center"/>
          </w:tcPr>
          <w:p w14:paraId="29790873" w14:textId="77777777" w:rsidR="0011234D" w:rsidRPr="005C3B9B" w:rsidRDefault="000F5B51" w:rsidP="003C04C4">
            <w:pPr>
              <w:keepNext/>
              <w:spacing w:after="0" w:line="240" w:lineRule="auto"/>
              <w:rPr>
                <w:rFonts w:eastAsia="Times New Roman" w:cs="Times New Roman"/>
                <w:color w:val="3F3F3F"/>
                <w:szCs w:val="24"/>
                <w:lang w:eastAsia="ja-JP"/>
              </w:rPr>
            </w:pPr>
            <w:r w:rsidRPr="005C3B9B">
              <w:rPr>
                <w:rFonts w:eastAsia="Times New Roman" w:cs="Times New Roman"/>
                <w:color w:val="000000"/>
                <w:szCs w:val="24"/>
                <w:lang w:eastAsia="ja-JP"/>
              </w:rPr>
              <w:t>LTV</w:t>
            </w:r>
          </w:p>
        </w:tc>
        <w:tc>
          <w:tcPr>
            <w:tcW w:w="1276"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bottom"/>
            <w:hideMark/>
          </w:tcPr>
          <w:p w14:paraId="2345DD19" w14:textId="77777777" w:rsidR="0011234D" w:rsidRPr="005C3B9B" w:rsidRDefault="000F5B51" w:rsidP="003C04C4">
            <w:pPr>
              <w:keepNext/>
              <w:spacing w:after="0" w:line="240" w:lineRule="auto"/>
              <w:jc w:val="center"/>
              <w:rPr>
                <w:rFonts w:eastAsia="Times New Roman" w:cs="Times New Roman"/>
                <w:color w:val="3F3F3F"/>
                <w:szCs w:val="24"/>
                <w:lang w:eastAsia="ja-JP"/>
              </w:rPr>
            </w:pPr>
            <w:r w:rsidRPr="00AA1DDD">
              <w:rPr>
                <w:rFonts w:eastAsia="Times New Roman" w:cs="Times New Roman"/>
                <w:color w:val="3F3F3F"/>
                <w:szCs w:val="24"/>
                <w:lang w:eastAsia="ja-JP"/>
              </w:rPr>
              <w:t>1.0000</w:t>
            </w:r>
          </w:p>
        </w:tc>
        <w:tc>
          <w:tcPr>
            <w:tcW w:w="1276"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bottom"/>
            <w:hideMark/>
          </w:tcPr>
          <w:p w14:paraId="4A3FE033" w14:textId="77777777" w:rsidR="0011234D" w:rsidRPr="005C3B9B" w:rsidRDefault="000F5B51" w:rsidP="003C04C4">
            <w:pPr>
              <w:keepNext/>
              <w:spacing w:after="0" w:line="240" w:lineRule="auto"/>
              <w:jc w:val="center"/>
              <w:rPr>
                <w:rFonts w:eastAsia="Times New Roman" w:cs="Times New Roman"/>
                <w:color w:val="3F3F3F"/>
                <w:szCs w:val="24"/>
                <w:lang w:eastAsia="ja-JP"/>
              </w:rPr>
            </w:pPr>
            <w:r w:rsidRPr="00AA1DDD">
              <w:rPr>
                <w:rFonts w:eastAsia="Times New Roman" w:cs="Times New Roman"/>
                <w:color w:val="3F3F3F"/>
                <w:szCs w:val="24"/>
                <w:lang w:eastAsia="ja-JP"/>
              </w:rPr>
              <w:t>1.0000</w:t>
            </w:r>
          </w:p>
        </w:tc>
        <w:tc>
          <w:tcPr>
            <w:tcW w:w="1276"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bottom"/>
            <w:hideMark/>
          </w:tcPr>
          <w:p w14:paraId="0F88CF62" w14:textId="77777777" w:rsidR="0011234D" w:rsidRPr="005C3B9B" w:rsidRDefault="000F5B51" w:rsidP="003C04C4">
            <w:pPr>
              <w:keepNext/>
              <w:spacing w:after="0" w:line="240" w:lineRule="auto"/>
              <w:jc w:val="center"/>
              <w:rPr>
                <w:rFonts w:eastAsia="Times New Roman" w:cs="Times New Roman"/>
                <w:color w:val="3F3F3F"/>
                <w:szCs w:val="24"/>
                <w:lang w:eastAsia="ja-JP"/>
              </w:rPr>
            </w:pPr>
            <w:r w:rsidRPr="00AA1DDD">
              <w:rPr>
                <w:rFonts w:eastAsia="Times New Roman" w:cs="Times New Roman"/>
                <w:color w:val="3F3F3F"/>
                <w:szCs w:val="24"/>
                <w:lang w:eastAsia="ja-JP"/>
              </w:rPr>
              <w:t>1.0000</w:t>
            </w:r>
          </w:p>
        </w:tc>
        <w:tc>
          <w:tcPr>
            <w:tcW w:w="1276"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bottom"/>
            <w:hideMark/>
          </w:tcPr>
          <w:p w14:paraId="0E88A7B0" w14:textId="77777777" w:rsidR="0011234D" w:rsidRPr="005C3B9B" w:rsidRDefault="000F5B51" w:rsidP="003C04C4">
            <w:pPr>
              <w:keepNext/>
              <w:spacing w:after="0" w:line="240" w:lineRule="auto"/>
              <w:jc w:val="center"/>
              <w:rPr>
                <w:rFonts w:eastAsia="Times New Roman" w:cs="Times New Roman"/>
                <w:color w:val="3F3F3F"/>
                <w:szCs w:val="24"/>
                <w:lang w:eastAsia="ja-JP"/>
              </w:rPr>
            </w:pPr>
            <w:r w:rsidRPr="00AA1DDD">
              <w:rPr>
                <w:rFonts w:eastAsia="Times New Roman" w:cs="Times New Roman"/>
                <w:color w:val="3F3F3F"/>
                <w:szCs w:val="24"/>
                <w:lang w:eastAsia="ja-JP"/>
              </w:rPr>
              <w:t>1.0000</w:t>
            </w:r>
          </w:p>
        </w:tc>
      </w:tr>
    </w:tbl>
    <w:p w14:paraId="2D6E5AE2" w14:textId="77777777" w:rsidR="0011234D" w:rsidRPr="00DC7D3D" w:rsidRDefault="0011234D" w:rsidP="005E3D4C">
      <w:pPr>
        <w:pStyle w:val="NoSpaceTimes"/>
      </w:pPr>
    </w:p>
    <w:p w14:paraId="7DA169A3" w14:textId="77777777" w:rsidR="0011234D" w:rsidRDefault="000F5B51" w:rsidP="005E3D4C">
      <w:pPr>
        <w:pStyle w:val="Heading4"/>
        <w:spacing w:line="240" w:lineRule="auto"/>
      </w:pPr>
      <w:r>
        <w:t>Summary of Adjustment Factors</w:t>
      </w:r>
    </w:p>
    <w:p w14:paraId="345E94BE" w14:textId="77777777" w:rsidR="00FE0CBF" w:rsidRDefault="000F5B51" w:rsidP="00454B5D">
      <w:pPr>
        <w:rPr>
          <w:rFonts w:eastAsia="Times New Roman" w:cs="Times New Roman"/>
          <w:szCs w:val="24"/>
        </w:rPr>
      </w:pPr>
      <w:r>
        <w:t>This subsection summarizes the adjustment factors used to estimate the target population for rear seat occupants</w:t>
      </w:r>
      <w:r w:rsidR="001F2F92">
        <w:t xml:space="preserve">. </w:t>
      </w:r>
      <w:r>
        <w:t>As the FVMSS accounted for the adjustment factors only pertain to side impact and rollover crashes, this section discusses the resulting adjustment factors for those crash types. As none of the FMVSS accounted for front impact and rear impact crashes, no adjustment factor was applied to the non-fatal injuries and fatalities in the target population resulting from those crash types.</w:t>
      </w:r>
    </w:p>
    <w:p w14:paraId="2B7D00AF" w14:textId="6F9A836E" w:rsidR="0011234D" w:rsidRDefault="000F5B51" w:rsidP="0011234D">
      <w:pPr>
        <w:rPr>
          <w:rFonts w:cs="Times New Roman"/>
          <w:szCs w:val="24"/>
        </w:rPr>
      </w:pPr>
      <w:r>
        <w:rPr>
          <w:rFonts w:cs="Times New Roman"/>
          <w:szCs w:val="24"/>
        </w:rPr>
        <w:fldChar w:fldCharType="begin"/>
      </w:r>
      <w:r>
        <w:rPr>
          <w:rFonts w:cs="Times New Roman"/>
          <w:szCs w:val="24"/>
        </w:rPr>
        <w:instrText xml:space="preserve"> REF _Ref125984132 \h </w:instrText>
      </w:r>
      <w:r>
        <w:rPr>
          <w:rFonts w:cs="Times New Roman"/>
          <w:szCs w:val="24"/>
        </w:rPr>
      </w:r>
      <w:r>
        <w:rPr>
          <w:rFonts w:cs="Times New Roman"/>
          <w:szCs w:val="24"/>
        </w:rPr>
        <w:fldChar w:fldCharType="separate"/>
      </w:r>
      <w:r w:rsidR="00A65CB3">
        <w:t xml:space="preserve">Table </w:t>
      </w:r>
      <w:r w:rsidR="00A65CB3">
        <w:rPr>
          <w:noProof/>
        </w:rPr>
        <w:t>18</w:t>
      </w:r>
      <w:r>
        <w:rPr>
          <w:rFonts w:cs="Times New Roman"/>
          <w:szCs w:val="24"/>
        </w:rPr>
        <w:fldChar w:fldCharType="end"/>
      </w:r>
      <w:r>
        <w:rPr>
          <w:rFonts w:cs="Times New Roman"/>
          <w:szCs w:val="24"/>
        </w:rPr>
        <w:t xml:space="preserve"> presents the adjustment factor for side impact crashes for the target population for rear seat occupants. </w:t>
      </w:r>
      <w:r>
        <w:t xml:space="preserve">When </w:t>
      </w:r>
      <w:r>
        <w:rPr>
          <w:rFonts w:eastAsia="Times New Roman" w:cs="Times New Roman"/>
          <w:szCs w:val="24"/>
        </w:rPr>
        <w:t xml:space="preserve">accounting for safety impacts of new required safety technologies yet to be applied to the fleet, </w:t>
      </w:r>
      <w:r w:rsidR="00CA3B44">
        <w:rPr>
          <w:rFonts w:eastAsia="Times New Roman" w:cs="Times New Roman"/>
          <w:szCs w:val="24"/>
        </w:rPr>
        <w:t xml:space="preserve">the adjustments for </w:t>
      </w:r>
      <w:r>
        <w:rPr>
          <w:rFonts w:cs="Times New Roman"/>
          <w:szCs w:val="24"/>
        </w:rPr>
        <w:t xml:space="preserve">FMVSS No. 126 ESC and FVMSS No. 214 </w:t>
      </w:r>
      <w:r w:rsidR="00CA3B44">
        <w:rPr>
          <w:rFonts w:cs="Times New Roman"/>
          <w:szCs w:val="24"/>
        </w:rPr>
        <w:t>are applicable to</w:t>
      </w:r>
      <w:r>
        <w:rPr>
          <w:rFonts w:cs="Times New Roman"/>
          <w:szCs w:val="24"/>
        </w:rPr>
        <w:t xml:space="preserve"> side impact crashes. For both passenger cars and LTVS respectively, the resulting adjustment factor for side impact crashes is calculated by multiplying the adjustment factors for each of the FVMSS presented in the table</w:t>
      </w:r>
      <w:r w:rsidR="001F2F92">
        <w:rPr>
          <w:rFonts w:cs="Times New Roman"/>
          <w:szCs w:val="24"/>
        </w:rPr>
        <w:t xml:space="preserve">. </w:t>
      </w:r>
      <w:r>
        <w:rPr>
          <w:rFonts w:cs="Times New Roman"/>
          <w:szCs w:val="24"/>
        </w:rPr>
        <w:t>For passenger cars, the resulting adjustment factor for side impact crashes is 0.7705, which is 0.9330 multiplied by 0.8259. Similarly, for LTVs, the adjustment factor for side impact crashes is 0.7694</w:t>
      </w:r>
      <w:r w:rsidR="00CD1EFF">
        <w:rPr>
          <w:rFonts w:cs="Times New Roman"/>
          <w:szCs w:val="24"/>
        </w:rPr>
        <w:t xml:space="preserve">, which is </w:t>
      </w:r>
      <w:r w:rsidR="00194C8D">
        <w:rPr>
          <w:rFonts w:cs="Times New Roman"/>
          <w:szCs w:val="24"/>
        </w:rPr>
        <w:t>0.9384 multiplied by 0.8199</w:t>
      </w:r>
      <w:r>
        <w:rPr>
          <w:rFonts w:cs="Times New Roman"/>
          <w:szCs w:val="24"/>
        </w:rPr>
        <w:t>.</w:t>
      </w:r>
    </w:p>
    <w:p w14:paraId="7590143C" w14:textId="1040FF5F" w:rsidR="0011234D" w:rsidRDefault="000F5B51" w:rsidP="0011234D">
      <w:pPr>
        <w:pStyle w:val="Caption"/>
        <w:rPr>
          <w:rFonts w:eastAsia="Times New Roman" w:cs="Times New Roman"/>
          <w:szCs w:val="24"/>
        </w:rPr>
      </w:pPr>
      <w:bookmarkStart w:id="89" w:name="_Ref125984132"/>
      <w:r>
        <w:t xml:space="preserve">Table </w:t>
      </w:r>
      <w:r w:rsidR="00115BAB">
        <w:fldChar w:fldCharType="begin"/>
      </w:r>
      <w:r>
        <w:instrText xml:space="preserve"> SEQ Table \* ARABIC </w:instrText>
      </w:r>
      <w:r w:rsidR="00115BAB">
        <w:fldChar w:fldCharType="separate"/>
      </w:r>
      <w:r w:rsidR="00A65CB3">
        <w:rPr>
          <w:noProof/>
        </w:rPr>
        <w:t>18</w:t>
      </w:r>
      <w:r w:rsidR="00115BAB">
        <w:rPr>
          <w:noProof/>
        </w:rPr>
        <w:fldChar w:fldCharType="end"/>
      </w:r>
      <w:bookmarkEnd w:id="89"/>
      <w:r>
        <w:t>: Adjustment Factor for Side Impact Crashes for Rear Seat Occupants</w:t>
      </w:r>
    </w:p>
    <w:tbl>
      <w:tblPr>
        <w:tblStyle w:val="TableGrid"/>
        <w:tblW w:w="0" w:type="auto"/>
        <w:tblLook w:val="04A0" w:firstRow="1" w:lastRow="0" w:firstColumn="1" w:lastColumn="0" w:noHBand="0" w:noVBand="1"/>
      </w:tblPr>
      <w:tblGrid>
        <w:gridCol w:w="2337"/>
        <w:gridCol w:w="2337"/>
        <w:gridCol w:w="2338"/>
        <w:gridCol w:w="2338"/>
      </w:tblGrid>
      <w:tr w:rsidR="00A15C2C" w14:paraId="5C33792F" w14:textId="77777777" w:rsidTr="0055589E">
        <w:tc>
          <w:tcPr>
            <w:tcW w:w="2337" w:type="dxa"/>
            <w:vMerge w:val="restart"/>
            <w:shd w:val="clear" w:color="auto" w:fill="D9D9D9" w:themeFill="background1" w:themeFillShade="D9"/>
            <w:vAlign w:val="center"/>
          </w:tcPr>
          <w:p w14:paraId="336539C2" w14:textId="77777777" w:rsidR="0011234D" w:rsidRPr="0055589E" w:rsidRDefault="000F5B51" w:rsidP="003C04C4">
            <w:pPr>
              <w:spacing w:line="240" w:lineRule="auto"/>
              <w:rPr>
                <w:rFonts w:eastAsia="Times New Roman" w:cs="Times New Roman"/>
                <w:b/>
                <w:bCs/>
                <w:szCs w:val="24"/>
              </w:rPr>
            </w:pPr>
            <w:r w:rsidRPr="0055589E">
              <w:rPr>
                <w:rFonts w:eastAsia="Times New Roman" w:cs="Times New Roman"/>
                <w:b/>
                <w:bCs/>
                <w:szCs w:val="24"/>
              </w:rPr>
              <w:t>Vehicle Type</w:t>
            </w:r>
          </w:p>
        </w:tc>
        <w:tc>
          <w:tcPr>
            <w:tcW w:w="4675" w:type="dxa"/>
            <w:gridSpan w:val="2"/>
            <w:shd w:val="clear" w:color="auto" w:fill="D9D9D9" w:themeFill="background1" w:themeFillShade="D9"/>
            <w:vAlign w:val="center"/>
          </w:tcPr>
          <w:p w14:paraId="4D6599F9" w14:textId="77777777" w:rsidR="0011234D" w:rsidRPr="0055589E" w:rsidRDefault="000F5B51" w:rsidP="0055589E">
            <w:pPr>
              <w:spacing w:line="240" w:lineRule="auto"/>
              <w:jc w:val="center"/>
              <w:rPr>
                <w:rFonts w:eastAsia="Times New Roman" w:cs="Times New Roman"/>
                <w:b/>
                <w:bCs/>
                <w:szCs w:val="24"/>
              </w:rPr>
            </w:pPr>
            <w:r w:rsidRPr="0055589E">
              <w:rPr>
                <w:rFonts w:eastAsia="Times New Roman" w:cs="Times New Roman"/>
                <w:b/>
                <w:bCs/>
                <w:szCs w:val="24"/>
              </w:rPr>
              <w:t>Individual Adjustment Factors</w:t>
            </w:r>
          </w:p>
        </w:tc>
        <w:tc>
          <w:tcPr>
            <w:tcW w:w="2338" w:type="dxa"/>
            <w:vMerge w:val="restart"/>
            <w:shd w:val="clear" w:color="auto" w:fill="D9D9D9" w:themeFill="background1" w:themeFillShade="D9"/>
            <w:vAlign w:val="center"/>
          </w:tcPr>
          <w:p w14:paraId="4DD0BEC5" w14:textId="77777777" w:rsidR="0011234D" w:rsidRPr="0055589E" w:rsidRDefault="000F5B51" w:rsidP="0055589E">
            <w:pPr>
              <w:spacing w:line="240" w:lineRule="auto"/>
              <w:jc w:val="center"/>
              <w:rPr>
                <w:rFonts w:eastAsia="Times New Roman" w:cs="Times New Roman"/>
                <w:b/>
                <w:bCs/>
                <w:szCs w:val="24"/>
              </w:rPr>
            </w:pPr>
            <w:r w:rsidRPr="0055589E">
              <w:rPr>
                <w:rFonts w:eastAsia="Times New Roman" w:cs="Times New Roman"/>
                <w:b/>
                <w:bCs/>
                <w:szCs w:val="24"/>
              </w:rPr>
              <w:t>Resulting Adjustment Factor</w:t>
            </w:r>
          </w:p>
        </w:tc>
      </w:tr>
      <w:tr w:rsidR="00A15C2C" w14:paraId="758E3595" w14:textId="77777777" w:rsidTr="0055589E">
        <w:tc>
          <w:tcPr>
            <w:tcW w:w="2337" w:type="dxa"/>
            <w:vMerge/>
            <w:vAlign w:val="center"/>
          </w:tcPr>
          <w:p w14:paraId="3DBCF650" w14:textId="77777777" w:rsidR="0011234D" w:rsidRDefault="0011234D" w:rsidP="0055589E">
            <w:pPr>
              <w:spacing w:line="240" w:lineRule="auto"/>
              <w:rPr>
                <w:rFonts w:eastAsia="Times New Roman" w:cs="Times New Roman"/>
                <w:szCs w:val="24"/>
              </w:rPr>
            </w:pPr>
          </w:p>
        </w:tc>
        <w:tc>
          <w:tcPr>
            <w:tcW w:w="2337" w:type="dxa"/>
            <w:shd w:val="clear" w:color="auto" w:fill="D9D9D9" w:themeFill="background1" w:themeFillShade="D9"/>
            <w:vAlign w:val="center"/>
          </w:tcPr>
          <w:p w14:paraId="154226AB" w14:textId="77777777" w:rsidR="0011234D" w:rsidRPr="0055589E" w:rsidRDefault="000F5B51" w:rsidP="0055589E">
            <w:pPr>
              <w:spacing w:line="240" w:lineRule="auto"/>
              <w:jc w:val="center"/>
              <w:rPr>
                <w:rFonts w:eastAsia="Times New Roman" w:cs="Times New Roman"/>
                <w:b/>
                <w:bCs/>
                <w:szCs w:val="24"/>
              </w:rPr>
            </w:pPr>
            <w:r w:rsidRPr="0055589E">
              <w:rPr>
                <w:rFonts w:cs="Times New Roman"/>
                <w:b/>
                <w:bCs/>
                <w:szCs w:val="24"/>
              </w:rPr>
              <w:t>FMVSS No. 126</w:t>
            </w:r>
          </w:p>
        </w:tc>
        <w:tc>
          <w:tcPr>
            <w:tcW w:w="2338" w:type="dxa"/>
            <w:shd w:val="clear" w:color="auto" w:fill="D9D9D9" w:themeFill="background1" w:themeFillShade="D9"/>
            <w:vAlign w:val="center"/>
          </w:tcPr>
          <w:p w14:paraId="25D22C2A" w14:textId="77777777" w:rsidR="0011234D" w:rsidRPr="0055589E" w:rsidRDefault="000F5B51" w:rsidP="0055589E">
            <w:pPr>
              <w:spacing w:line="240" w:lineRule="auto"/>
              <w:jc w:val="center"/>
              <w:rPr>
                <w:rFonts w:eastAsia="Times New Roman" w:cs="Times New Roman"/>
                <w:b/>
                <w:bCs/>
                <w:szCs w:val="24"/>
              </w:rPr>
            </w:pPr>
            <w:r w:rsidRPr="0055589E">
              <w:rPr>
                <w:rFonts w:cs="Times New Roman"/>
                <w:b/>
                <w:bCs/>
                <w:szCs w:val="24"/>
              </w:rPr>
              <w:t>FVMSS No. 214</w:t>
            </w:r>
          </w:p>
        </w:tc>
        <w:tc>
          <w:tcPr>
            <w:tcW w:w="2338" w:type="dxa"/>
            <w:vMerge/>
            <w:vAlign w:val="center"/>
          </w:tcPr>
          <w:p w14:paraId="0AF50A06" w14:textId="77777777" w:rsidR="0011234D" w:rsidRDefault="0011234D" w:rsidP="0055589E">
            <w:pPr>
              <w:spacing w:line="240" w:lineRule="auto"/>
              <w:jc w:val="center"/>
              <w:rPr>
                <w:rFonts w:eastAsia="Times New Roman" w:cs="Times New Roman"/>
                <w:szCs w:val="24"/>
              </w:rPr>
            </w:pPr>
          </w:p>
        </w:tc>
      </w:tr>
      <w:tr w:rsidR="00A15C2C" w14:paraId="63401E35" w14:textId="77777777" w:rsidTr="0055589E">
        <w:tc>
          <w:tcPr>
            <w:tcW w:w="2337" w:type="dxa"/>
            <w:vAlign w:val="center"/>
          </w:tcPr>
          <w:p w14:paraId="6BAA982D" w14:textId="77777777" w:rsidR="0011234D" w:rsidRDefault="000F5B51" w:rsidP="0055589E">
            <w:pPr>
              <w:spacing w:line="240" w:lineRule="auto"/>
              <w:rPr>
                <w:rFonts w:eastAsia="Times New Roman" w:cs="Times New Roman"/>
                <w:szCs w:val="24"/>
              </w:rPr>
            </w:pPr>
            <w:r>
              <w:rPr>
                <w:rFonts w:eastAsia="Times New Roman" w:cs="Times New Roman"/>
                <w:szCs w:val="24"/>
              </w:rPr>
              <w:t>PC</w:t>
            </w:r>
          </w:p>
        </w:tc>
        <w:tc>
          <w:tcPr>
            <w:tcW w:w="2337" w:type="dxa"/>
            <w:vAlign w:val="center"/>
          </w:tcPr>
          <w:p w14:paraId="0A9CEAB7" w14:textId="77777777" w:rsidR="0011234D" w:rsidRDefault="000F5B51" w:rsidP="0055589E">
            <w:pPr>
              <w:spacing w:line="240" w:lineRule="auto"/>
              <w:jc w:val="center"/>
              <w:rPr>
                <w:rFonts w:eastAsia="Times New Roman" w:cs="Times New Roman"/>
                <w:szCs w:val="24"/>
              </w:rPr>
            </w:pPr>
            <w:r w:rsidRPr="00811B56">
              <w:t>0.9330</w:t>
            </w:r>
          </w:p>
        </w:tc>
        <w:tc>
          <w:tcPr>
            <w:tcW w:w="2338" w:type="dxa"/>
            <w:vAlign w:val="center"/>
          </w:tcPr>
          <w:p w14:paraId="40E52567" w14:textId="77777777" w:rsidR="0011234D" w:rsidRDefault="000F5B51" w:rsidP="0055589E">
            <w:pPr>
              <w:spacing w:line="240" w:lineRule="auto"/>
              <w:jc w:val="center"/>
              <w:rPr>
                <w:rFonts w:eastAsia="Times New Roman" w:cs="Times New Roman"/>
                <w:szCs w:val="24"/>
              </w:rPr>
            </w:pPr>
            <w:r w:rsidRPr="004E0A15">
              <w:rPr>
                <w:rFonts w:cs="Times New Roman"/>
                <w:color w:val="000000"/>
                <w:szCs w:val="24"/>
              </w:rPr>
              <w:t>0.8259</w:t>
            </w:r>
          </w:p>
        </w:tc>
        <w:tc>
          <w:tcPr>
            <w:tcW w:w="2338" w:type="dxa"/>
            <w:vAlign w:val="center"/>
          </w:tcPr>
          <w:p w14:paraId="31D8BFBA" w14:textId="77777777" w:rsidR="0011234D" w:rsidRDefault="000F5B51" w:rsidP="0055589E">
            <w:pPr>
              <w:spacing w:line="240" w:lineRule="auto"/>
              <w:jc w:val="center"/>
              <w:rPr>
                <w:rFonts w:eastAsia="Times New Roman" w:cs="Times New Roman"/>
                <w:szCs w:val="24"/>
              </w:rPr>
            </w:pPr>
            <w:r w:rsidRPr="004E0A15">
              <w:t>0.7705</w:t>
            </w:r>
          </w:p>
        </w:tc>
      </w:tr>
      <w:tr w:rsidR="00A15C2C" w14:paraId="1687A3F9" w14:textId="77777777" w:rsidTr="0055589E">
        <w:tc>
          <w:tcPr>
            <w:tcW w:w="2337" w:type="dxa"/>
            <w:vAlign w:val="center"/>
          </w:tcPr>
          <w:p w14:paraId="2DD3B6B7" w14:textId="77777777" w:rsidR="0011234D" w:rsidRDefault="000F5B51" w:rsidP="0055589E">
            <w:pPr>
              <w:spacing w:line="240" w:lineRule="auto"/>
              <w:rPr>
                <w:rFonts w:eastAsia="Times New Roman" w:cs="Times New Roman"/>
                <w:szCs w:val="24"/>
              </w:rPr>
            </w:pPr>
            <w:r>
              <w:rPr>
                <w:rFonts w:eastAsia="Times New Roman" w:cs="Times New Roman"/>
                <w:szCs w:val="24"/>
              </w:rPr>
              <w:t>LTV</w:t>
            </w:r>
          </w:p>
        </w:tc>
        <w:tc>
          <w:tcPr>
            <w:tcW w:w="2337" w:type="dxa"/>
            <w:vAlign w:val="center"/>
          </w:tcPr>
          <w:p w14:paraId="2E154DB1" w14:textId="77777777" w:rsidR="0011234D" w:rsidRDefault="000F5B51" w:rsidP="0055589E">
            <w:pPr>
              <w:spacing w:line="240" w:lineRule="auto"/>
              <w:jc w:val="center"/>
              <w:rPr>
                <w:rFonts w:eastAsia="Times New Roman" w:cs="Times New Roman"/>
                <w:szCs w:val="24"/>
              </w:rPr>
            </w:pPr>
            <w:r w:rsidRPr="00811B56">
              <w:t>0.9384</w:t>
            </w:r>
          </w:p>
        </w:tc>
        <w:tc>
          <w:tcPr>
            <w:tcW w:w="2338" w:type="dxa"/>
            <w:vAlign w:val="center"/>
          </w:tcPr>
          <w:p w14:paraId="02525685" w14:textId="77777777" w:rsidR="0011234D" w:rsidRDefault="000F5B51" w:rsidP="0055589E">
            <w:pPr>
              <w:spacing w:line="240" w:lineRule="auto"/>
              <w:jc w:val="center"/>
              <w:rPr>
                <w:rFonts w:eastAsia="Times New Roman" w:cs="Times New Roman"/>
                <w:szCs w:val="24"/>
              </w:rPr>
            </w:pPr>
            <w:r w:rsidRPr="004E0A15">
              <w:rPr>
                <w:rFonts w:cs="Times New Roman"/>
                <w:color w:val="000000"/>
                <w:szCs w:val="24"/>
              </w:rPr>
              <w:t>0.8199</w:t>
            </w:r>
          </w:p>
        </w:tc>
        <w:tc>
          <w:tcPr>
            <w:tcW w:w="2338" w:type="dxa"/>
            <w:vAlign w:val="center"/>
          </w:tcPr>
          <w:p w14:paraId="2BCDF047" w14:textId="77777777" w:rsidR="0011234D" w:rsidRDefault="000F5B51" w:rsidP="0055589E">
            <w:pPr>
              <w:spacing w:line="240" w:lineRule="auto"/>
              <w:jc w:val="center"/>
              <w:rPr>
                <w:rFonts w:eastAsia="Times New Roman" w:cs="Times New Roman"/>
                <w:szCs w:val="24"/>
              </w:rPr>
            </w:pPr>
            <w:r w:rsidRPr="004E0A15">
              <w:t>0.7694</w:t>
            </w:r>
          </w:p>
        </w:tc>
      </w:tr>
    </w:tbl>
    <w:p w14:paraId="6CAA3935" w14:textId="77777777" w:rsidR="0011234D" w:rsidRDefault="0011234D" w:rsidP="0011234D">
      <w:pPr>
        <w:pStyle w:val="NoSpaceTimes"/>
      </w:pPr>
    </w:p>
    <w:p w14:paraId="0FFCC21E" w14:textId="77CF03C0" w:rsidR="00CA3B44" w:rsidRDefault="00E12154" w:rsidP="00CA3B44">
      <w:r>
        <w:rPr>
          <w:rFonts w:eastAsia="Times New Roman"/>
        </w:rPr>
        <w:lastRenderedPageBreak/>
        <w:fldChar w:fldCharType="begin"/>
      </w:r>
      <w:r>
        <w:rPr>
          <w:rFonts w:eastAsia="Times New Roman"/>
        </w:rPr>
        <w:instrText xml:space="preserve"> REF _Ref138764337 \h </w:instrText>
      </w:r>
      <w:r>
        <w:rPr>
          <w:rFonts w:eastAsia="Times New Roman"/>
        </w:rPr>
      </w:r>
      <w:r>
        <w:rPr>
          <w:rFonts w:eastAsia="Times New Roman"/>
        </w:rPr>
        <w:fldChar w:fldCharType="separate"/>
      </w:r>
      <w:r w:rsidR="00A65CB3">
        <w:t xml:space="preserve">Table </w:t>
      </w:r>
      <w:r w:rsidR="00A65CB3">
        <w:rPr>
          <w:noProof/>
        </w:rPr>
        <w:t>19</w:t>
      </w:r>
      <w:r>
        <w:rPr>
          <w:rFonts w:eastAsia="Times New Roman"/>
        </w:rPr>
        <w:fldChar w:fldCharType="end"/>
      </w:r>
      <w:r>
        <w:rPr>
          <w:rFonts w:eastAsia="Times New Roman"/>
        </w:rPr>
        <w:t xml:space="preserve"> </w:t>
      </w:r>
      <w:r w:rsidR="0011234D">
        <w:t>presents the adjustment factor for rollover crashes for the target population for rear seat occupants</w:t>
      </w:r>
      <w:r w:rsidR="001F2F92">
        <w:t xml:space="preserve">. </w:t>
      </w:r>
      <w:r w:rsidR="0011234D">
        <w:t xml:space="preserve">When </w:t>
      </w:r>
      <w:r w:rsidR="0011234D">
        <w:rPr>
          <w:rFonts w:eastAsia="Times New Roman"/>
        </w:rPr>
        <w:t>accounting for safety impacts of new required safety technologies yet to be applied to the fleet,</w:t>
      </w:r>
      <w:r w:rsidR="000F5B51">
        <w:rPr>
          <w:rFonts w:eastAsia="Times New Roman"/>
        </w:rPr>
        <w:t xml:space="preserve"> the adjustments for</w:t>
      </w:r>
      <w:r w:rsidR="0011234D">
        <w:rPr>
          <w:rFonts w:eastAsia="Times New Roman"/>
        </w:rPr>
        <w:t xml:space="preserve"> </w:t>
      </w:r>
      <w:r w:rsidR="0011234D">
        <w:t xml:space="preserve">FMVSS No. 126 ESC and FVMSS No. 226 </w:t>
      </w:r>
      <w:r w:rsidR="000F5B51">
        <w:t>are applicable</w:t>
      </w:r>
      <w:r w:rsidR="0011234D">
        <w:t xml:space="preserve"> </w:t>
      </w:r>
      <w:r w:rsidR="003604E9">
        <w:t xml:space="preserve">to </w:t>
      </w:r>
      <w:r w:rsidR="0011234D">
        <w:t>rollover crashes. For both passenger cars and LTVS respectively, the resulting adjustment factor for rollover crashes is calculated by multiplying the adjustment factors for each of the FVMSS presented in the table</w:t>
      </w:r>
      <w:r w:rsidR="001F2F92">
        <w:t xml:space="preserve">. </w:t>
      </w:r>
      <w:r w:rsidR="0011234D">
        <w:t>For passenger cars, the resulting adjustment factor for rollover crashes is 0.5686, which is 0.6145 multiplied by 0.9254</w:t>
      </w:r>
      <w:r w:rsidR="001F2F92">
        <w:t xml:space="preserve">. </w:t>
      </w:r>
      <w:r w:rsidR="0011234D">
        <w:t>Similarly, for LTVs, the adjustment factor for rollover crashes is 0.5104</w:t>
      </w:r>
      <w:r w:rsidR="00D54FF8">
        <w:t>, which is 0.5482 multiplied by 0.9309</w:t>
      </w:r>
      <w:r w:rsidR="0011234D">
        <w:t>.</w:t>
      </w:r>
      <w:bookmarkStart w:id="90" w:name="_Ref125984137"/>
    </w:p>
    <w:p w14:paraId="6EAFC579" w14:textId="5E0946B6" w:rsidR="0011234D" w:rsidRDefault="000F5B51" w:rsidP="0011234D">
      <w:pPr>
        <w:pStyle w:val="Caption"/>
        <w:rPr>
          <w:rFonts w:eastAsia="Times New Roman" w:cs="Times New Roman"/>
          <w:szCs w:val="24"/>
        </w:rPr>
      </w:pPr>
      <w:bookmarkStart w:id="91" w:name="_Ref138764337"/>
      <w:r>
        <w:t xml:space="preserve">Table </w:t>
      </w:r>
      <w:r w:rsidR="00115BAB">
        <w:fldChar w:fldCharType="begin"/>
      </w:r>
      <w:r>
        <w:instrText xml:space="preserve"> SEQ Table \* ARABIC </w:instrText>
      </w:r>
      <w:r w:rsidR="00115BAB">
        <w:fldChar w:fldCharType="separate"/>
      </w:r>
      <w:r w:rsidR="00A65CB3">
        <w:rPr>
          <w:noProof/>
        </w:rPr>
        <w:t>19</w:t>
      </w:r>
      <w:r w:rsidR="00115BAB">
        <w:rPr>
          <w:noProof/>
        </w:rPr>
        <w:fldChar w:fldCharType="end"/>
      </w:r>
      <w:bookmarkEnd w:id="90"/>
      <w:bookmarkEnd w:id="91"/>
      <w:r>
        <w:t>: Adjustment Factor for Rollover Crashes for Rear Seat Occupants</w:t>
      </w:r>
    </w:p>
    <w:tbl>
      <w:tblPr>
        <w:tblStyle w:val="TableGrid"/>
        <w:tblW w:w="0" w:type="auto"/>
        <w:tblLook w:val="04A0" w:firstRow="1" w:lastRow="0" w:firstColumn="1" w:lastColumn="0" w:noHBand="0" w:noVBand="1"/>
      </w:tblPr>
      <w:tblGrid>
        <w:gridCol w:w="2337"/>
        <w:gridCol w:w="2337"/>
        <w:gridCol w:w="2338"/>
        <w:gridCol w:w="2338"/>
      </w:tblGrid>
      <w:tr w:rsidR="00A15C2C" w14:paraId="02DAE795" w14:textId="77777777" w:rsidTr="003C04C4">
        <w:tc>
          <w:tcPr>
            <w:tcW w:w="2337" w:type="dxa"/>
            <w:vMerge w:val="restart"/>
            <w:shd w:val="clear" w:color="auto" w:fill="D9D9D9" w:themeFill="background1" w:themeFillShade="D9"/>
            <w:vAlign w:val="center"/>
          </w:tcPr>
          <w:p w14:paraId="6837A538" w14:textId="77777777" w:rsidR="0011234D" w:rsidRPr="0055589E" w:rsidRDefault="000F5B51" w:rsidP="003C04C4">
            <w:pPr>
              <w:spacing w:line="240" w:lineRule="auto"/>
              <w:rPr>
                <w:rFonts w:eastAsia="Times New Roman" w:cs="Times New Roman"/>
                <w:b/>
                <w:bCs/>
                <w:szCs w:val="24"/>
              </w:rPr>
            </w:pPr>
            <w:r w:rsidRPr="0055589E">
              <w:rPr>
                <w:rFonts w:eastAsia="Times New Roman" w:cs="Times New Roman"/>
                <w:b/>
                <w:bCs/>
                <w:szCs w:val="24"/>
              </w:rPr>
              <w:t>Vehicle Type</w:t>
            </w:r>
          </w:p>
        </w:tc>
        <w:tc>
          <w:tcPr>
            <w:tcW w:w="4675" w:type="dxa"/>
            <w:gridSpan w:val="2"/>
            <w:shd w:val="clear" w:color="auto" w:fill="D9D9D9" w:themeFill="background1" w:themeFillShade="D9"/>
            <w:vAlign w:val="center"/>
          </w:tcPr>
          <w:p w14:paraId="39CA55B2" w14:textId="77777777" w:rsidR="0011234D" w:rsidRPr="0055589E" w:rsidRDefault="000F5B51" w:rsidP="003C04C4">
            <w:pPr>
              <w:spacing w:line="240" w:lineRule="auto"/>
              <w:jc w:val="center"/>
              <w:rPr>
                <w:rFonts w:eastAsia="Times New Roman" w:cs="Times New Roman"/>
                <w:b/>
                <w:bCs/>
                <w:szCs w:val="24"/>
              </w:rPr>
            </w:pPr>
            <w:r w:rsidRPr="0055589E">
              <w:rPr>
                <w:rFonts w:eastAsia="Times New Roman" w:cs="Times New Roman"/>
                <w:b/>
                <w:bCs/>
                <w:szCs w:val="24"/>
              </w:rPr>
              <w:t>Individual Adjustment Factors</w:t>
            </w:r>
          </w:p>
        </w:tc>
        <w:tc>
          <w:tcPr>
            <w:tcW w:w="2338" w:type="dxa"/>
            <w:vMerge w:val="restart"/>
            <w:shd w:val="clear" w:color="auto" w:fill="D9D9D9" w:themeFill="background1" w:themeFillShade="D9"/>
            <w:vAlign w:val="center"/>
          </w:tcPr>
          <w:p w14:paraId="22466D46" w14:textId="77777777" w:rsidR="0011234D" w:rsidRPr="0055589E" w:rsidRDefault="000F5B51" w:rsidP="003C04C4">
            <w:pPr>
              <w:spacing w:line="240" w:lineRule="auto"/>
              <w:jc w:val="center"/>
              <w:rPr>
                <w:rFonts w:eastAsia="Times New Roman" w:cs="Times New Roman"/>
                <w:b/>
                <w:bCs/>
                <w:szCs w:val="24"/>
              </w:rPr>
            </w:pPr>
            <w:r w:rsidRPr="0055589E">
              <w:rPr>
                <w:rFonts w:eastAsia="Times New Roman" w:cs="Times New Roman"/>
                <w:b/>
                <w:bCs/>
                <w:szCs w:val="24"/>
              </w:rPr>
              <w:t>Resulting Adjustment Factor</w:t>
            </w:r>
          </w:p>
        </w:tc>
      </w:tr>
      <w:tr w:rsidR="00A15C2C" w14:paraId="0E7FBC2C" w14:textId="77777777" w:rsidTr="003C04C4">
        <w:tc>
          <w:tcPr>
            <w:tcW w:w="2337" w:type="dxa"/>
            <w:vMerge/>
            <w:vAlign w:val="center"/>
          </w:tcPr>
          <w:p w14:paraId="22F2E7BE" w14:textId="77777777" w:rsidR="0011234D" w:rsidRDefault="0011234D" w:rsidP="003C04C4">
            <w:pPr>
              <w:spacing w:line="240" w:lineRule="auto"/>
              <w:rPr>
                <w:rFonts w:eastAsia="Times New Roman" w:cs="Times New Roman"/>
                <w:szCs w:val="24"/>
              </w:rPr>
            </w:pPr>
          </w:p>
        </w:tc>
        <w:tc>
          <w:tcPr>
            <w:tcW w:w="2337" w:type="dxa"/>
            <w:shd w:val="clear" w:color="auto" w:fill="D9D9D9" w:themeFill="background1" w:themeFillShade="D9"/>
            <w:vAlign w:val="center"/>
          </w:tcPr>
          <w:p w14:paraId="5BB128BC" w14:textId="77777777" w:rsidR="0011234D" w:rsidRPr="0055589E" w:rsidRDefault="000F5B51" w:rsidP="003C04C4">
            <w:pPr>
              <w:spacing w:line="240" w:lineRule="auto"/>
              <w:jc w:val="center"/>
              <w:rPr>
                <w:rFonts w:eastAsia="Times New Roman" w:cs="Times New Roman"/>
                <w:b/>
                <w:bCs/>
                <w:szCs w:val="24"/>
              </w:rPr>
            </w:pPr>
            <w:r w:rsidRPr="0055589E">
              <w:rPr>
                <w:rFonts w:cs="Times New Roman"/>
                <w:b/>
                <w:bCs/>
                <w:szCs w:val="24"/>
              </w:rPr>
              <w:t>FMVSS No. 126</w:t>
            </w:r>
          </w:p>
        </w:tc>
        <w:tc>
          <w:tcPr>
            <w:tcW w:w="2338" w:type="dxa"/>
            <w:shd w:val="clear" w:color="auto" w:fill="D9D9D9" w:themeFill="background1" w:themeFillShade="D9"/>
            <w:vAlign w:val="center"/>
          </w:tcPr>
          <w:p w14:paraId="3674946E" w14:textId="77777777" w:rsidR="0011234D" w:rsidRPr="0055589E" w:rsidRDefault="000F5B51" w:rsidP="003C04C4">
            <w:pPr>
              <w:spacing w:line="240" w:lineRule="auto"/>
              <w:jc w:val="center"/>
              <w:rPr>
                <w:rFonts w:eastAsia="Times New Roman" w:cs="Times New Roman"/>
                <w:b/>
                <w:bCs/>
                <w:szCs w:val="24"/>
              </w:rPr>
            </w:pPr>
            <w:r w:rsidRPr="0055589E">
              <w:rPr>
                <w:rFonts w:cs="Times New Roman"/>
                <w:b/>
                <w:bCs/>
                <w:szCs w:val="24"/>
              </w:rPr>
              <w:t>FVMSS No. 226</w:t>
            </w:r>
          </w:p>
        </w:tc>
        <w:tc>
          <w:tcPr>
            <w:tcW w:w="2338" w:type="dxa"/>
            <w:vMerge/>
            <w:vAlign w:val="center"/>
          </w:tcPr>
          <w:p w14:paraId="316F1B86" w14:textId="77777777" w:rsidR="0011234D" w:rsidRDefault="0011234D" w:rsidP="003C04C4">
            <w:pPr>
              <w:spacing w:line="240" w:lineRule="auto"/>
              <w:jc w:val="center"/>
              <w:rPr>
                <w:rFonts w:eastAsia="Times New Roman" w:cs="Times New Roman"/>
                <w:szCs w:val="24"/>
              </w:rPr>
            </w:pPr>
          </w:p>
        </w:tc>
      </w:tr>
      <w:tr w:rsidR="00A15C2C" w14:paraId="170160D2" w14:textId="77777777" w:rsidTr="003C04C4">
        <w:tc>
          <w:tcPr>
            <w:tcW w:w="2337" w:type="dxa"/>
            <w:vAlign w:val="center"/>
          </w:tcPr>
          <w:p w14:paraId="5562AB51" w14:textId="77777777" w:rsidR="0011234D" w:rsidRDefault="000F5B51" w:rsidP="003C04C4">
            <w:pPr>
              <w:spacing w:line="240" w:lineRule="auto"/>
              <w:rPr>
                <w:rFonts w:eastAsia="Times New Roman" w:cs="Times New Roman"/>
                <w:szCs w:val="24"/>
              </w:rPr>
            </w:pPr>
            <w:r>
              <w:rPr>
                <w:rFonts w:eastAsia="Times New Roman" w:cs="Times New Roman"/>
                <w:szCs w:val="24"/>
              </w:rPr>
              <w:t>PC</w:t>
            </w:r>
          </w:p>
        </w:tc>
        <w:tc>
          <w:tcPr>
            <w:tcW w:w="2337" w:type="dxa"/>
            <w:vAlign w:val="center"/>
          </w:tcPr>
          <w:p w14:paraId="45531945" w14:textId="77777777" w:rsidR="0011234D" w:rsidRDefault="000F5B51" w:rsidP="003C04C4">
            <w:pPr>
              <w:spacing w:line="240" w:lineRule="auto"/>
              <w:jc w:val="center"/>
              <w:rPr>
                <w:rFonts w:eastAsia="Times New Roman" w:cs="Times New Roman"/>
                <w:szCs w:val="24"/>
              </w:rPr>
            </w:pPr>
            <w:r w:rsidRPr="00811B56">
              <w:t>0.6145</w:t>
            </w:r>
          </w:p>
        </w:tc>
        <w:tc>
          <w:tcPr>
            <w:tcW w:w="2338" w:type="dxa"/>
            <w:vAlign w:val="center"/>
          </w:tcPr>
          <w:p w14:paraId="1FFD338D" w14:textId="77777777" w:rsidR="0011234D" w:rsidRDefault="000F5B51" w:rsidP="003C04C4">
            <w:pPr>
              <w:spacing w:line="240" w:lineRule="auto"/>
              <w:jc w:val="center"/>
              <w:rPr>
                <w:rFonts w:eastAsia="Times New Roman" w:cs="Times New Roman"/>
                <w:szCs w:val="24"/>
              </w:rPr>
            </w:pPr>
            <w:r w:rsidRPr="00811B56">
              <w:t>0.9254</w:t>
            </w:r>
          </w:p>
        </w:tc>
        <w:tc>
          <w:tcPr>
            <w:tcW w:w="2338" w:type="dxa"/>
            <w:vAlign w:val="center"/>
          </w:tcPr>
          <w:p w14:paraId="4FAF66A3" w14:textId="77777777" w:rsidR="0011234D" w:rsidRDefault="000F5B51" w:rsidP="003C04C4">
            <w:pPr>
              <w:spacing w:line="240" w:lineRule="auto"/>
              <w:jc w:val="center"/>
              <w:rPr>
                <w:rFonts w:eastAsia="Times New Roman" w:cs="Times New Roman"/>
                <w:szCs w:val="24"/>
              </w:rPr>
            </w:pPr>
            <w:r>
              <w:t>0.5686</w:t>
            </w:r>
          </w:p>
        </w:tc>
      </w:tr>
      <w:tr w:rsidR="00A15C2C" w14:paraId="68490346" w14:textId="77777777" w:rsidTr="003C04C4">
        <w:tc>
          <w:tcPr>
            <w:tcW w:w="2337" w:type="dxa"/>
            <w:vAlign w:val="center"/>
          </w:tcPr>
          <w:p w14:paraId="2AEC1775" w14:textId="77777777" w:rsidR="0011234D" w:rsidRDefault="000F5B51" w:rsidP="003C04C4">
            <w:pPr>
              <w:spacing w:line="240" w:lineRule="auto"/>
              <w:rPr>
                <w:rFonts w:eastAsia="Times New Roman" w:cs="Times New Roman"/>
                <w:szCs w:val="24"/>
              </w:rPr>
            </w:pPr>
            <w:r>
              <w:rPr>
                <w:rFonts w:eastAsia="Times New Roman" w:cs="Times New Roman"/>
                <w:szCs w:val="24"/>
              </w:rPr>
              <w:t>LTV</w:t>
            </w:r>
          </w:p>
        </w:tc>
        <w:tc>
          <w:tcPr>
            <w:tcW w:w="2337" w:type="dxa"/>
            <w:vAlign w:val="center"/>
          </w:tcPr>
          <w:p w14:paraId="3E4C9BB3" w14:textId="77777777" w:rsidR="0011234D" w:rsidRDefault="000F5B51" w:rsidP="003C04C4">
            <w:pPr>
              <w:spacing w:line="240" w:lineRule="auto"/>
              <w:jc w:val="center"/>
              <w:rPr>
                <w:rFonts w:eastAsia="Times New Roman" w:cs="Times New Roman"/>
                <w:szCs w:val="24"/>
              </w:rPr>
            </w:pPr>
            <w:r w:rsidRPr="00811B56">
              <w:t>0.5482</w:t>
            </w:r>
          </w:p>
        </w:tc>
        <w:tc>
          <w:tcPr>
            <w:tcW w:w="2338" w:type="dxa"/>
            <w:vAlign w:val="center"/>
          </w:tcPr>
          <w:p w14:paraId="1BFE04B6" w14:textId="77777777" w:rsidR="0011234D" w:rsidRDefault="000F5B51" w:rsidP="003C04C4">
            <w:pPr>
              <w:spacing w:line="240" w:lineRule="auto"/>
              <w:jc w:val="center"/>
              <w:rPr>
                <w:rFonts w:eastAsia="Times New Roman" w:cs="Times New Roman"/>
                <w:szCs w:val="24"/>
              </w:rPr>
            </w:pPr>
            <w:r w:rsidRPr="00811B56">
              <w:t>0.9309</w:t>
            </w:r>
          </w:p>
        </w:tc>
        <w:tc>
          <w:tcPr>
            <w:tcW w:w="2338" w:type="dxa"/>
            <w:vAlign w:val="center"/>
          </w:tcPr>
          <w:p w14:paraId="7B07760E" w14:textId="77777777" w:rsidR="0011234D" w:rsidRDefault="000F5B51" w:rsidP="003C04C4">
            <w:pPr>
              <w:spacing w:line="240" w:lineRule="auto"/>
              <w:jc w:val="center"/>
              <w:rPr>
                <w:rFonts w:eastAsia="Times New Roman" w:cs="Times New Roman"/>
                <w:szCs w:val="24"/>
              </w:rPr>
            </w:pPr>
            <w:r>
              <w:t>0.5104</w:t>
            </w:r>
          </w:p>
        </w:tc>
      </w:tr>
    </w:tbl>
    <w:p w14:paraId="540F8EF0" w14:textId="77777777" w:rsidR="0011234D" w:rsidRPr="00DC7D3D" w:rsidRDefault="0011234D" w:rsidP="0011234D">
      <w:pPr>
        <w:pStyle w:val="NoSpaceTimes"/>
      </w:pPr>
    </w:p>
    <w:p w14:paraId="73EB6659" w14:textId="77777777" w:rsidR="00E91A24" w:rsidRDefault="000F5B51" w:rsidP="0055589E">
      <w:pPr>
        <w:pStyle w:val="Heading3"/>
        <w:spacing w:before="0" w:line="240" w:lineRule="auto"/>
      </w:pPr>
      <w:bookmarkStart w:id="92" w:name="_Toc142902970"/>
      <w:r w:rsidRPr="00C17249">
        <w:t>Adjus</w:t>
      </w:r>
      <w:r w:rsidR="00C555B5">
        <w:t>ted Target Population</w:t>
      </w:r>
      <w:bookmarkEnd w:id="92"/>
      <w:r>
        <w:t xml:space="preserve"> </w:t>
      </w:r>
    </w:p>
    <w:p w14:paraId="28C26A61" w14:textId="0584FA6B" w:rsidR="00E317A7" w:rsidRDefault="000F5B51" w:rsidP="00814463">
      <w:pPr>
        <w:spacing w:after="0"/>
      </w:pPr>
      <w:r>
        <w:t>This subsection presents the adjusted target population for rear</w:t>
      </w:r>
      <w:r w:rsidR="00814463">
        <w:t xml:space="preserve"> </w:t>
      </w:r>
      <w:r>
        <w:t>seat occupants</w:t>
      </w:r>
      <w:r w:rsidR="001F2F92">
        <w:t xml:space="preserve">. </w:t>
      </w:r>
      <w:r>
        <w:t xml:space="preserve">The adjusted target population </w:t>
      </w:r>
      <w:r w:rsidR="00A10958">
        <w:t xml:space="preserve">reflects the adjustment factors </w:t>
      </w:r>
      <w:r w:rsidR="00B30372">
        <w:t xml:space="preserve">discussed in the previous </w:t>
      </w:r>
      <w:r w:rsidR="00705F40">
        <w:t>subsection</w:t>
      </w:r>
      <w:r>
        <w:t xml:space="preserve"> on the annual average non-fatal injuries and fatalities </w:t>
      </w:r>
      <w:r w:rsidR="00A10958">
        <w:t>between 2011 and 2015 from FARS and NASS/CDS</w:t>
      </w:r>
      <w:r w:rsidR="001F2F92">
        <w:t xml:space="preserve">. </w:t>
      </w:r>
      <w:r>
        <w:rPr>
          <w:rFonts w:eastAsia="Times New Roman" w:cs="Times New Roman"/>
          <w:szCs w:val="24"/>
        </w:rPr>
        <w:t xml:space="preserve">See </w:t>
      </w:r>
      <w:r>
        <w:rPr>
          <w:rFonts w:eastAsia="Times New Roman" w:cs="Times New Roman"/>
          <w:szCs w:val="24"/>
        </w:rPr>
        <w:fldChar w:fldCharType="begin"/>
      </w:r>
      <w:r>
        <w:rPr>
          <w:rFonts w:eastAsia="Times New Roman" w:cs="Times New Roman"/>
          <w:szCs w:val="24"/>
        </w:rPr>
        <w:instrText xml:space="preserve"> REF _Ref126041145 \h </w:instrText>
      </w:r>
      <w:r>
        <w:rPr>
          <w:rFonts w:eastAsia="Times New Roman" w:cs="Times New Roman"/>
          <w:szCs w:val="24"/>
        </w:rPr>
      </w:r>
      <w:r>
        <w:rPr>
          <w:rFonts w:eastAsia="Times New Roman" w:cs="Times New Roman"/>
          <w:szCs w:val="24"/>
        </w:rPr>
        <w:fldChar w:fldCharType="separate"/>
      </w:r>
      <w:r w:rsidR="00A65CB3">
        <w:t>Appendix D</w:t>
      </w:r>
      <w:r>
        <w:rPr>
          <w:rFonts w:eastAsia="Times New Roman" w:cs="Times New Roman"/>
          <w:szCs w:val="24"/>
        </w:rPr>
        <w:fldChar w:fldCharType="end"/>
      </w:r>
      <w:r>
        <w:rPr>
          <w:rFonts w:eastAsia="Times New Roman" w:cs="Times New Roman"/>
          <w:szCs w:val="24"/>
        </w:rPr>
        <w:t xml:space="preserve"> for the unadjusted target populatio</w:t>
      </w:r>
      <w:r w:rsidR="009B4911">
        <w:rPr>
          <w:rFonts w:eastAsia="Times New Roman" w:cs="Times New Roman"/>
          <w:szCs w:val="24"/>
        </w:rPr>
        <w:t>n</w:t>
      </w:r>
      <w:r>
        <w:rPr>
          <w:rFonts w:eastAsia="Times New Roman" w:cs="Times New Roman"/>
          <w:szCs w:val="24"/>
        </w:rPr>
        <w:t xml:space="preserve"> for </w:t>
      </w:r>
      <w:r w:rsidR="009B4911">
        <w:rPr>
          <w:rFonts w:eastAsia="Times New Roman" w:cs="Times New Roman"/>
          <w:szCs w:val="24"/>
        </w:rPr>
        <w:t>rear</w:t>
      </w:r>
      <w:r>
        <w:rPr>
          <w:rFonts w:eastAsia="Times New Roman" w:cs="Times New Roman"/>
          <w:szCs w:val="24"/>
        </w:rPr>
        <w:t xml:space="preserve"> seat occupants.</w:t>
      </w:r>
    </w:p>
    <w:p w14:paraId="235CC4C9" w14:textId="08F4E4E8" w:rsidR="00FA0C48" w:rsidRDefault="000F5B51" w:rsidP="00435D89">
      <w:r>
        <w:fldChar w:fldCharType="begin"/>
      </w:r>
      <w:r>
        <w:instrText xml:space="preserve"> REF _Ref125637885 \h </w:instrText>
      </w:r>
      <w:r>
        <w:fldChar w:fldCharType="separate"/>
      </w:r>
      <w:r w:rsidR="00A65CB3">
        <w:t xml:space="preserve">Table </w:t>
      </w:r>
      <w:r w:rsidR="00A65CB3">
        <w:rPr>
          <w:noProof/>
        </w:rPr>
        <w:t>20</w:t>
      </w:r>
      <w:r>
        <w:fldChar w:fldCharType="end"/>
      </w:r>
      <w:r w:rsidR="009F34A6">
        <w:t xml:space="preserve"> presents the </w:t>
      </w:r>
      <w:r w:rsidR="00E4674A">
        <w:t xml:space="preserve">adjusted </w:t>
      </w:r>
      <w:r w:rsidR="009F34A6">
        <w:t xml:space="preserve">annual average of injuries and fatalities for rear seat occupants </w:t>
      </w:r>
      <w:r w:rsidR="00447EB8">
        <w:t>11 years and older</w:t>
      </w:r>
      <w:r w:rsidR="009F34A6">
        <w:t>.</w:t>
      </w:r>
      <w:r>
        <w:t xml:space="preserve"> </w:t>
      </w:r>
      <w:r w:rsidR="00E6364B">
        <w:t xml:space="preserve">The adjusted annual average number of fatalities rear seat occupants </w:t>
      </w:r>
      <w:r w:rsidR="00786A3C">
        <w:t>11 years and older</w:t>
      </w:r>
      <w:r w:rsidR="00E6364B">
        <w:t xml:space="preserve"> is </w:t>
      </w:r>
      <w:r w:rsidR="00957319">
        <w:t>691</w:t>
      </w:r>
      <w:r w:rsidR="00E6364B">
        <w:t xml:space="preserve">. Of those fatalities, </w:t>
      </w:r>
      <w:r w:rsidR="00296A4C">
        <w:t>258</w:t>
      </w:r>
      <w:r w:rsidR="00E6364B">
        <w:t xml:space="preserve"> of the rear seat occupants were restrained and 4</w:t>
      </w:r>
      <w:r w:rsidR="00296A4C">
        <w:t>33</w:t>
      </w:r>
      <w:r w:rsidR="00E6364B">
        <w:t xml:space="preserve"> were unrestrained</w:t>
      </w:r>
      <w:r w:rsidR="001F2F92">
        <w:t xml:space="preserve">. </w:t>
      </w:r>
      <w:r w:rsidR="00E6364B">
        <w:t xml:space="preserve">The adjusted annual average number of non-fatal injuries rear seat occupants </w:t>
      </w:r>
      <w:r w:rsidR="00296A4C">
        <w:t xml:space="preserve">11 </w:t>
      </w:r>
      <w:r w:rsidR="00296A4C">
        <w:lastRenderedPageBreak/>
        <w:t>years and older</w:t>
      </w:r>
      <w:r w:rsidR="00E6364B">
        <w:t xml:space="preserve"> is </w:t>
      </w:r>
      <w:r w:rsidR="00296A4C">
        <w:t>23,49</w:t>
      </w:r>
      <w:r w:rsidR="00C43447">
        <w:t>2</w:t>
      </w:r>
      <w:r w:rsidR="00E6364B">
        <w:t xml:space="preserve">. Of those non-fatal injuries, </w:t>
      </w:r>
      <w:r w:rsidR="003078E7">
        <w:t>17,48</w:t>
      </w:r>
      <w:r w:rsidR="000254B1">
        <w:t>2</w:t>
      </w:r>
      <w:r w:rsidR="00E6364B">
        <w:t xml:space="preserve"> of the rear seat occupants were restrained and </w:t>
      </w:r>
      <w:r w:rsidR="005B24A6">
        <w:t>6,010</w:t>
      </w:r>
      <w:r w:rsidR="00E6364B">
        <w:t xml:space="preserve"> were unrestrained</w:t>
      </w:r>
      <w:r w:rsidR="001F2F92">
        <w:t>.</w:t>
      </w:r>
      <w:r w:rsidR="00D64FEC">
        <w:rPr>
          <w:rStyle w:val="FootnoteReference"/>
        </w:rPr>
        <w:footnoteReference w:id="41"/>
      </w:r>
    </w:p>
    <w:p w14:paraId="38F613FC" w14:textId="581C191B" w:rsidR="009F34A6" w:rsidRDefault="000F5B51" w:rsidP="0055589E">
      <w:pPr>
        <w:pStyle w:val="Caption"/>
      </w:pPr>
      <w:bookmarkStart w:id="94" w:name="_Ref125637885"/>
      <w:r>
        <w:t xml:space="preserve">Table </w:t>
      </w:r>
      <w:r w:rsidR="00115BAB">
        <w:fldChar w:fldCharType="begin"/>
      </w:r>
      <w:r>
        <w:instrText xml:space="preserve"> SEQ Table \* ARABIC </w:instrText>
      </w:r>
      <w:r w:rsidR="00115BAB">
        <w:fldChar w:fldCharType="separate"/>
      </w:r>
      <w:r w:rsidR="00A65CB3">
        <w:rPr>
          <w:noProof/>
        </w:rPr>
        <w:t>20</w:t>
      </w:r>
      <w:r w:rsidR="00115BAB">
        <w:rPr>
          <w:noProof/>
        </w:rPr>
        <w:fldChar w:fldCharType="end"/>
      </w:r>
      <w:bookmarkEnd w:id="94"/>
      <w:r>
        <w:t xml:space="preserve">: </w:t>
      </w:r>
      <w:r w:rsidR="00E4674A">
        <w:t xml:space="preserve">Adjusted </w:t>
      </w:r>
      <w:r w:rsidRPr="00F41933">
        <w:t xml:space="preserve">Annual Injuries </w:t>
      </w:r>
      <w:r>
        <w:t xml:space="preserve">and Fatalities for Rear Seat Occupants </w:t>
      </w:r>
      <w:r w:rsidR="00E6364B">
        <w:t>11 Years and</w:t>
      </w:r>
      <w:r>
        <w:t xml:space="preserve"> Older </w:t>
      </w:r>
    </w:p>
    <w:tbl>
      <w:tblPr>
        <w:tblW w:w="8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394"/>
        <w:gridCol w:w="1260"/>
        <w:gridCol w:w="1774"/>
        <w:gridCol w:w="1774"/>
      </w:tblGrid>
      <w:tr w:rsidR="00A15C2C" w14:paraId="571E47BD" w14:textId="77777777" w:rsidTr="007E2147">
        <w:trPr>
          <w:trHeight w:val="676"/>
          <w:jc w:val="center"/>
        </w:trPr>
        <w:tc>
          <w:tcPr>
            <w:tcW w:w="3394" w:type="dxa"/>
            <w:shd w:val="clear" w:color="auto" w:fill="D9D9D9" w:themeFill="background1" w:themeFillShade="D9"/>
            <w:noWrap/>
            <w:vAlign w:val="center"/>
          </w:tcPr>
          <w:p w14:paraId="53697087" w14:textId="77777777" w:rsidR="009F34A6" w:rsidRDefault="000F5B51" w:rsidP="00BC4031">
            <w:pPr>
              <w:keepNext/>
              <w:spacing w:after="0" w:line="240" w:lineRule="auto"/>
              <w:rPr>
                <w:rFonts w:cs="Times New Roman"/>
                <w:b/>
                <w:szCs w:val="24"/>
              </w:rPr>
            </w:pPr>
            <w:r>
              <w:rPr>
                <w:rFonts w:cs="Times New Roman"/>
                <w:b/>
                <w:szCs w:val="24"/>
              </w:rPr>
              <w:t>Injury Severity</w:t>
            </w:r>
          </w:p>
        </w:tc>
        <w:tc>
          <w:tcPr>
            <w:tcW w:w="1260" w:type="dxa"/>
            <w:shd w:val="clear" w:color="auto" w:fill="D9D9D9" w:themeFill="background1" w:themeFillShade="D9"/>
            <w:vAlign w:val="center"/>
          </w:tcPr>
          <w:p w14:paraId="0F0EDDE9" w14:textId="77777777" w:rsidR="009F34A6" w:rsidRPr="00252345" w:rsidRDefault="000F5B51" w:rsidP="00BC4031">
            <w:pPr>
              <w:keepNext/>
              <w:spacing w:after="0" w:line="240" w:lineRule="auto"/>
              <w:jc w:val="center"/>
              <w:rPr>
                <w:rFonts w:cs="Times New Roman"/>
                <w:szCs w:val="24"/>
              </w:rPr>
            </w:pPr>
            <w:r w:rsidRPr="0098240D">
              <w:rPr>
                <w:rFonts w:cs="Times New Roman"/>
                <w:b/>
                <w:szCs w:val="24"/>
              </w:rPr>
              <w:t>Restrained</w:t>
            </w:r>
          </w:p>
        </w:tc>
        <w:tc>
          <w:tcPr>
            <w:tcW w:w="1774" w:type="dxa"/>
            <w:shd w:val="clear" w:color="auto" w:fill="D9D9D9" w:themeFill="background1" w:themeFillShade="D9"/>
            <w:vAlign w:val="center"/>
          </w:tcPr>
          <w:p w14:paraId="4863F894" w14:textId="77777777" w:rsidR="009F34A6" w:rsidRPr="00252345" w:rsidRDefault="000F5B51" w:rsidP="00BC4031">
            <w:pPr>
              <w:keepNext/>
              <w:spacing w:after="0" w:line="240" w:lineRule="auto"/>
              <w:jc w:val="center"/>
              <w:rPr>
                <w:rFonts w:cs="Times New Roman"/>
                <w:szCs w:val="24"/>
              </w:rPr>
            </w:pPr>
            <w:r w:rsidRPr="0098240D">
              <w:rPr>
                <w:rFonts w:cs="Times New Roman"/>
                <w:b/>
                <w:szCs w:val="24"/>
              </w:rPr>
              <w:t>Unrestrained</w:t>
            </w:r>
          </w:p>
        </w:tc>
        <w:tc>
          <w:tcPr>
            <w:tcW w:w="1774" w:type="dxa"/>
            <w:shd w:val="clear" w:color="auto" w:fill="D9D9D9" w:themeFill="background1" w:themeFillShade="D9"/>
            <w:vAlign w:val="center"/>
          </w:tcPr>
          <w:p w14:paraId="3E4423CD" w14:textId="77777777" w:rsidR="009F34A6" w:rsidRPr="0098240D" w:rsidRDefault="000F5B51" w:rsidP="00BC4031">
            <w:pPr>
              <w:keepNext/>
              <w:spacing w:after="0" w:line="240" w:lineRule="auto"/>
              <w:jc w:val="center"/>
              <w:rPr>
                <w:rFonts w:cs="Times New Roman"/>
                <w:b/>
                <w:szCs w:val="24"/>
              </w:rPr>
            </w:pPr>
            <w:r>
              <w:rPr>
                <w:rFonts w:cs="Times New Roman"/>
                <w:b/>
                <w:szCs w:val="24"/>
              </w:rPr>
              <w:t>Total</w:t>
            </w:r>
          </w:p>
        </w:tc>
      </w:tr>
      <w:tr w:rsidR="00A15C2C" w14:paraId="76391707" w14:textId="77777777" w:rsidTr="0055589E">
        <w:trPr>
          <w:trHeight w:val="317"/>
          <w:jc w:val="center"/>
        </w:trPr>
        <w:tc>
          <w:tcPr>
            <w:tcW w:w="3394" w:type="dxa"/>
            <w:noWrap/>
            <w:tcMar>
              <w:top w:w="15" w:type="dxa"/>
              <w:left w:w="135" w:type="dxa"/>
              <w:bottom w:w="15" w:type="dxa"/>
              <w:right w:w="15" w:type="dxa"/>
            </w:tcMar>
            <w:vAlign w:val="bottom"/>
            <w:hideMark/>
          </w:tcPr>
          <w:p w14:paraId="3FB2F673" w14:textId="77777777" w:rsidR="00096D70" w:rsidRPr="0098240D" w:rsidRDefault="000F5B51" w:rsidP="00096D70">
            <w:pPr>
              <w:keepNext/>
              <w:spacing w:after="0" w:line="240" w:lineRule="auto"/>
              <w:rPr>
                <w:rFonts w:cs="Times New Roman"/>
                <w:szCs w:val="24"/>
              </w:rPr>
            </w:pPr>
            <w:r w:rsidRPr="0098240D">
              <w:rPr>
                <w:rFonts w:cs="Times New Roman"/>
                <w:szCs w:val="24"/>
              </w:rPr>
              <w:t>MAIS 1</w:t>
            </w:r>
          </w:p>
        </w:tc>
        <w:tc>
          <w:tcPr>
            <w:tcW w:w="1260" w:type="dxa"/>
            <w:vAlign w:val="center"/>
          </w:tcPr>
          <w:p w14:paraId="4FA57CFB" w14:textId="77777777" w:rsidR="00096D70" w:rsidRPr="00252345" w:rsidRDefault="000F5B51" w:rsidP="00096D70">
            <w:pPr>
              <w:keepNext/>
              <w:spacing w:after="0" w:line="240" w:lineRule="auto"/>
              <w:jc w:val="center"/>
              <w:rPr>
                <w:rFonts w:cs="Times New Roman"/>
                <w:szCs w:val="24"/>
              </w:rPr>
            </w:pPr>
            <w:r>
              <w:rPr>
                <w:color w:val="000000"/>
              </w:rPr>
              <w:t>16,76</w:t>
            </w:r>
            <w:r w:rsidR="00D94BAE">
              <w:rPr>
                <w:color w:val="000000"/>
              </w:rPr>
              <w:t>5</w:t>
            </w:r>
          </w:p>
        </w:tc>
        <w:tc>
          <w:tcPr>
            <w:tcW w:w="1774" w:type="dxa"/>
            <w:vAlign w:val="center"/>
          </w:tcPr>
          <w:p w14:paraId="1AB895E8" w14:textId="77777777" w:rsidR="00096D70" w:rsidRPr="00252345" w:rsidRDefault="000F5B51" w:rsidP="00096D70">
            <w:pPr>
              <w:keepNext/>
              <w:spacing w:after="0" w:line="240" w:lineRule="auto"/>
              <w:jc w:val="center"/>
              <w:rPr>
                <w:rFonts w:cs="Times New Roman"/>
                <w:szCs w:val="24"/>
              </w:rPr>
            </w:pPr>
            <w:r>
              <w:rPr>
                <w:color w:val="000000"/>
              </w:rPr>
              <w:t>4,063</w:t>
            </w:r>
          </w:p>
        </w:tc>
        <w:tc>
          <w:tcPr>
            <w:tcW w:w="1774" w:type="dxa"/>
            <w:vAlign w:val="center"/>
          </w:tcPr>
          <w:p w14:paraId="365BAE43" w14:textId="77777777" w:rsidR="00096D70" w:rsidRPr="00E16A57" w:rsidRDefault="000F5B51" w:rsidP="00096D70">
            <w:pPr>
              <w:keepNext/>
              <w:spacing w:after="0" w:line="240" w:lineRule="auto"/>
              <w:jc w:val="center"/>
              <w:rPr>
                <w:rFonts w:cs="Times New Roman"/>
                <w:color w:val="000000"/>
                <w:szCs w:val="24"/>
              </w:rPr>
            </w:pPr>
            <w:r>
              <w:rPr>
                <w:color w:val="000000"/>
              </w:rPr>
              <w:t>20,828</w:t>
            </w:r>
          </w:p>
        </w:tc>
      </w:tr>
      <w:tr w:rsidR="00A15C2C" w14:paraId="57EFFF98" w14:textId="77777777" w:rsidTr="0055589E">
        <w:trPr>
          <w:trHeight w:val="317"/>
          <w:jc w:val="center"/>
        </w:trPr>
        <w:tc>
          <w:tcPr>
            <w:tcW w:w="3394" w:type="dxa"/>
            <w:noWrap/>
            <w:tcMar>
              <w:top w:w="15" w:type="dxa"/>
              <w:left w:w="135" w:type="dxa"/>
              <w:bottom w:w="15" w:type="dxa"/>
              <w:right w:w="15" w:type="dxa"/>
            </w:tcMar>
            <w:vAlign w:val="bottom"/>
            <w:hideMark/>
          </w:tcPr>
          <w:p w14:paraId="07356DD1" w14:textId="77777777" w:rsidR="00096D70" w:rsidRPr="0098240D" w:rsidRDefault="000F5B51" w:rsidP="00096D70">
            <w:pPr>
              <w:keepNext/>
              <w:spacing w:after="0" w:line="240" w:lineRule="auto"/>
              <w:rPr>
                <w:rFonts w:cs="Times New Roman"/>
                <w:szCs w:val="24"/>
              </w:rPr>
            </w:pPr>
            <w:r w:rsidRPr="0098240D">
              <w:rPr>
                <w:rFonts w:cs="Times New Roman"/>
                <w:szCs w:val="24"/>
              </w:rPr>
              <w:t>MAIS 2</w:t>
            </w:r>
          </w:p>
        </w:tc>
        <w:tc>
          <w:tcPr>
            <w:tcW w:w="1260" w:type="dxa"/>
            <w:vAlign w:val="center"/>
          </w:tcPr>
          <w:p w14:paraId="27C2B196" w14:textId="77777777" w:rsidR="00096D70" w:rsidRPr="00252345" w:rsidRDefault="000F5B51" w:rsidP="00096D70">
            <w:pPr>
              <w:keepNext/>
              <w:spacing w:after="0" w:line="240" w:lineRule="auto"/>
              <w:jc w:val="center"/>
              <w:rPr>
                <w:rFonts w:cs="Times New Roman"/>
                <w:szCs w:val="24"/>
              </w:rPr>
            </w:pPr>
            <w:r>
              <w:rPr>
                <w:color w:val="000000"/>
              </w:rPr>
              <w:t>601</w:t>
            </w:r>
          </w:p>
        </w:tc>
        <w:tc>
          <w:tcPr>
            <w:tcW w:w="1774" w:type="dxa"/>
            <w:vAlign w:val="center"/>
          </w:tcPr>
          <w:p w14:paraId="732385FB" w14:textId="77777777" w:rsidR="00096D70" w:rsidRPr="00252345" w:rsidRDefault="000F5B51" w:rsidP="00096D70">
            <w:pPr>
              <w:keepNext/>
              <w:spacing w:after="0" w:line="240" w:lineRule="auto"/>
              <w:jc w:val="center"/>
              <w:rPr>
                <w:rFonts w:cs="Times New Roman"/>
                <w:szCs w:val="24"/>
              </w:rPr>
            </w:pPr>
            <w:r>
              <w:rPr>
                <w:color w:val="000000"/>
              </w:rPr>
              <w:t>1,515</w:t>
            </w:r>
          </w:p>
        </w:tc>
        <w:tc>
          <w:tcPr>
            <w:tcW w:w="1774" w:type="dxa"/>
            <w:vAlign w:val="center"/>
          </w:tcPr>
          <w:p w14:paraId="34D7DAC1" w14:textId="77777777" w:rsidR="00096D70" w:rsidRPr="00E16A57" w:rsidRDefault="000F5B51" w:rsidP="00096D70">
            <w:pPr>
              <w:keepNext/>
              <w:spacing w:after="0" w:line="240" w:lineRule="auto"/>
              <w:jc w:val="center"/>
              <w:rPr>
                <w:rFonts w:cs="Times New Roman"/>
                <w:color w:val="000000"/>
                <w:szCs w:val="24"/>
              </w:rPr>
            </w:pPr>
            <w:r>
              <w:rPr>
                <w:color w:val="000000"/>
              </w:rPr>
              <w:t>2,116</w:t>
            </w:r>
          </w:p>
        </w:tc>
      </w:tr>
      <w:tr w:rsidR="00A15C2C" w14:paraId="55325A5A" w14:textId="77777777" w:rsidTr="0055589E">
        <w:trPr>
          <w:trHeight w:val="317"/>
          <w:jc w:val="center"/>
        </w:trPr>
        <w:tc>
          <w:tcPr>
            <w:tcW w:w="3394" w:type="dxa"/>
            <w:noWrap/>
            <w:tcMar>
              <w:top w:w="15" w:type="dxa"/>
              <w:left w:w="135" w:type="dxa"/>
              <w:bottom w:w="15" w:type="dxa"/>
              <w:right w:w="15" w:type="dxa"/>
            </w:tcMar>
            <w:vAlign w:val="bottom"/>
            <w:hideMark/>
          </w:tcPr>
          <w:p w14:paraId="2D2D501F" w14:textId="77777777" w:rsidR="00096D70" w:rsidRPr="0098240D" w:rsidRDefault="000F5B51" w:rsidP="00096D70">
            <w:pPr>
              <w:keepNext/>
              <w:spacing w:after="0" w:line="240" w:lineRule="auto"/>
              <w:rPr>
                <w:rFonts w:cs="Times New Roman"/>
                <w:szCs w:val="24"/>
              </w:rPr>
            </w:pPr>
            <w:r w:rsidRPr="0098240D">
              <w:rPr>
                <w:rFonts w:cs="Times New Roman"/>
                <w:szCs w:val="24"/>
              </w:rPr>
              <w:t>MAIS 3</w:t>
            </w:r>
          </w:p>
        </w:tc>
        <w:tc>
          <w:tcPr>
            <w:tcW w:w="1260" w:type="dxa"/>
            <w:vAlign w:val="center"/>
          </w:tcPr>
          <w:p w14:paraId="3E67904D" w14:textId="77777777" w:rsidR="00096D70" w:rsidRPr="00252345" w:rsidRDefault="000F5B51" w:rsidP="00096D70">
            <w:pPr>
              <w:keepNext/>
              <w:spacing w:after="0" w:line="240" w:lineRule="auto"/>
              <w:jc w:val="center"/>
              <w:rPr>
                <w:rFonts w:cs="Times New Roman"/>
                <w:szCs w:val="24"/>
              </w:rPr>
            </w:pPr>
            <w:r>
              <w:rPr>
                <w:color w:val="000000"/>
              </w:rPr>
              <w:t>55</w:t>
            </w:r>
          </w:p>
        </w:tc>
        <w:tc>
          <w:tcPr>
            <w:tcW w:w="1774" w:type="dxa"/>
            <w:vAlign w:val="center"/>
          </w:tcPr>
          <w:p w14:paraId="2617A80D" w14:textId="77777777" w:rsidR="00096D70" w:rsidRPr="00252345" w:rsidRDefault="000F5B51" w:rsidP="00096D70">
            <w:pPr>
              <w:keepNext/>
              <w:spacing w:after="0" w:line="240" w:lineRule="auto"/>
              <w:jc w:val="center"/>
              <w:rPr>
                <w:rFonts w:cs="Times New Roman"/>
                <w:szCs w:val="24"/>
              </w:rPr>
            </w:pPr>
            <w:r>
              <w:rPr>
                <w:color w:val="000000"/>
              </w:rPr>
              <w:t>206</w:t>
            </w:r>
          </w:p>
        </w:tc>
        <w:tc>
          <w:tcPr>
            <w:tcW w:w="1774" w:type="dxa"/>
            <w:vAlign w:val="center"/>
          </w:tcPr>
          <w:p w14:paraId="7496B889" w14:textId="77777777" w:rsidR="00096D70" w:rsidRPr="00E16A57" w:rsidRDefault="000F5B51" w:rsidP="00096D70">
            <w:pPr>
              <w:keepNext/>
              <w:spacing w:after="0" w:line="240" w:lineRule="auto"/>
              <w:jc w:val="center"/>
              <w:rPr>
                <w:rFonts w:cs="Times New Roman"/>
                <w:color w:val="000000"/>
                <w:szCs w:val="24"/>
              </w:rPr>
            </w:pPr>
            <w:r>
              <w:rPr>
                <w:color w:val="000000"/>
              </w:rPr>
              <w:t>260</w:t>
            </w:r>
          </w:p>
        </w:tc>
      </w:tr>
      <w:tr w:rsidR="00A15C2C" w14:paraId="79C2108A" w14:textId="77777777" w:rsidTr="0055589E">
        <w:trPr>
          <w:trHeight w:val="317"/>
          <w:jc w:val="center"/>
        </w:trPr>
        <w:tc>
          <w:tcPr>
            <w:tcW w:w="3394" w:type="dxa"/>
            <w:noWrap/>
            <w:tcMar>
              <w:top w:w="15" w:type="dxa"/>
              <w:left w:w="135" w:type="dxa"/>
              <w:bottom w:w="15" w:type="dxa"/>
              <w:right w:w="15" w:type="dxa"/>
            </w:tcMar>
            <w:vAlign w:val="bottom"/>
            <w:hideMark/>
          </w:tcPr>
          <w:p w14:paraId="07C10ED5" w14:textId="77777777" w:rsidR="00096D70" w:rsidRPr="0098240D" w:rsidRDefault="000F5B51" w:rsidP="00096D70">
            <w:pPr>
              <w:keepNext/>
              <w:spacing w:after="0" w:line="240" w:lineRule="auto"/>
              <w:rPr>
                <w:rFonts w:cs="Times New Roman"/>
                <w:szCs w:val="24"/>
              </w:rPr>
            </w:pPr>
            <w:r w:rsidRPr="0098240D">
              <w:rPr>
                <w:rFonts w:cs="Times New Roman"/>
                <w:szCs w:val="24"/>
              </w:rPr>
              <w:t>MAIS 4</w:t>
            </w:r>
          </w:p>
        </w:tc>
        <w:tc>
          <w:tcPr>
            <w:tcW w:w="1260" w:type="dxa"/>
            <w:vAlign w:val="center"/>
          </w:tcPr>
          <w:p w14:paraId="1462B695" w14:textId="77777777" w:rsidR="00096D70" w:rsidRPr="00252345" w:rsidRDefault="000F5B51" w:rsidP="00096D70">
            <w:pPr>
              <w:keepNext/>
              <w:spacing w:after="0" w:line="240" w:lineRule="auto"/>
              <w:jc w:val="center"/>
              <w:rPr>
                <w:rFonts w:cs="Times New Roman"/>
                <w:szCs w:val="24"/>
              </w:rPr>
            </w:pPr>
            <w:r>
              <w:rPr>
                <w:color w:val="000000"/>
              </w:rPr>
              <w:t>60</w:t>
            </w:r>
          </w:p>
        </w:tc>
        <w:tc>
          <w:tcPr>
            <w:tcW w:w="1774" w:type="dxa"/>
            <w:vAlign w:val="center"/>
          </w:tcPr>
          <w:p w14:paraId="2A032442" w14:textId="77777777" w:rsidR="00096D70" w:rsidRPr="00252345" w:rsidRDefault="000F5B51" w:rsidP="00096D70">
            <w:pPr>
              <w:keepNext/>
              <w:spacing w:after="0" w:line="240" w:lineRule="auto"/>
              <w:jc w:val="center"/>
              <w:rPr>
                <w:rFonts w:cs="Times New Roman"/>
                <w:szCs w:val="24"/>
              </w:rPr>
            </w:pPr>
            <w:r>
              <w:rPr>
                <w:color w:val="000000"/>
              </w:rPr>
              <w:t>219</w:t>
            </w:r>
          </w:p>
        </w:tc>
        <w:tc>
          <w:tcPr>
            <w:tcW w:w="1774" w:type="dxa"/>
            <w:vAlign w:val="center"/>
          </w:tcPr>
          <w:p w14:paraId="5592BF4F" w14:textId="77777777" w:rsidR="00096D70" w:rsidRPr="00E16A57" w:rsidRDefault="000F5B51" w:rsidP="00096D70">
            <w:pPr>
              <w:keepNext/>
              <w:spacing w:after="0" w:line="240" w:lineRule="auto"/>
              <w:jc w:val="center"/>
              <w:rPr>
                <w:rFonts w:cs="Times New Roman"/>
                <w:color w:val="000000"/>
                <w:szCs w:val="24"/>
              </w:rPr>
            </w:pPr>
            <w:r>
              <w:rPr>
                <w:color w:val="000000"/>
              </w:rPr>
              <w:t>27</w:t>
            </w:r>
            <w:r w:rsidR="00DA5D11">
              <w:rPr>
                <w:color w:val="000000"/>
              </w:rPr>
              <w:t>9</w:t>
            </w:r>
          </w:p>
        </w:tc>
      </w:tr>
      <w:tr w:rsidR="00A15C2C" w14:paraId="24CB8FEA" w14:textId="77777777" w:rsidTr="0055589E">
        <w:trPr>
          <w:trHeight w:val="317"/>
          <w:jc w:val="center"/>
        </w:trPr>
        <w:tc>
          <w:tcPr>
            <w:tcW w:w="3394" w:type="dxa"/>
            <w:noWrap/>
            <w:tcMar>
              <w:top w:w="15" w:type="dxa"/>
              <w:left w:w="135" w:type="dxa"/>
              <w:bottom w:w="15" w:type="dxa"/>
              <w:right w:w="15" w:type="dxa"/>
            </w:tcMar>
            <w:vAlign w:val="bottom"/>
            <w:hideMark/>
          </w:tcPr>
          <w:p w14:paraId="25016BFB" w14:textId="77777777" w:rsidR="00096D70" w:rsidRPr="0098240D" w:rsidRDefault="000F5B51" w:rsidP="00096D70">
            <w:pPr>
              <w:keepNext/>
              <w:spacing w:after="0" w:line="240" w:lineRule="auto"/>
              <w:rPr>
                <w:rFonts w:cs="Times New Roman"/>
                <w:szCs w:val="24"/>
              </w:rPr>
            </w:pPr>
            <w:r w:rsidRPr="0098240D">
              <w:rPr>
                <w:rFonts w:cs="Times New Roman"/>
                <w:szCs w:val="24"/>
              </w:rPr>
              <w:t>MAIS 5</w:t>
            </w:r>
          </w:p>
        </w:tc>
        <w:tc>
          <w:tcPr>
            <w:tcW w:w="1260" w:type="dxa"/>
            <w:vAlign w:val="center"/>
          </w:tcPr>
          <w:p w14:paraId="42983AC0" w14:textId="77777777" w:rsidR="00096D70" w:rsidRPr="00252345" w:rsidRDefault="000F5B51" w:rsidP="00096D70">
            <w:pPr>
              <w:keepNext/>
              <w:spacing w:after="0" w:line="240" w:lineRule="auto"/>
              <w:jc w:val="center"/>
              <w:rPr>
                <w:rFonts w:eastAsia="Times New Roman" w:cs="Times New Roman"/>
                <w:color w:val="000000"/>
                <w:szCs w:val="24"/>
                <w:lang w:eastAsia="ja-JP"/>
              </w:rPr>
            </w:pPr>
            <w:r>
              <w:rPr>
                <w:color w:val="000000"/>
              </w:rPr>
              <w:t>1</w:t>
            </w:r>
          </w:p>
        </w:tc>
        <w:tc>
          <w:tcPr>
            <w:tcW w:w="1774" w:type="dxa"/>
            <w:vAlign w:val="center"/>
          </w:tcPr>
          <w:p w14:paraId="6512A4ED" w14:textId="77777777" w:rsidR="00096D70" w:rsidRPr="00252345" w:rsidRDefault="000F5B51" w:rsidP="00096D70">
            <w:pPr>
              <w:keepNext/>
              <w:spacing w:after="0" w:line="240" w:lineRule="auto"/>
              <w:jc w:val="center"/>
              <w:rPr>
                <w:rFonts w:eastAsia="Times New Roman" w:cs="Times New Roman"/>
                <w:color w:val="000000"/>
                <w:szCs w:val="24"/>
                <w:lang w:eastAsia="ja-JP"/>
              </w:rPr>
            </w:pPr>
            <w:r>
              <w:rPr>
                <w:color w:val="000000"/>
              </w:rPr>
              <w:t>7</w:t>
            </w:r>
          </w:p>
        </w:tc>
        <w:tc>
          <w:tcPr>
            <w:tcW w:w="1774" w:type="dxa"/>
            <w:vAlign w:val="center"/>
          </w:tcPr>
          <w:p w14:paraId="174DF563" w14:textId="77777777" w:rsidR="00096D70" w:rsidRPr="00E16A57" w:rsidRDefault="000F5B51" w:rsidP="00096D70">
            <w:pPr>
              <w:keepNext/>
              <w:spacing w:after="0" w:line="240" w:lineRule="auto"/>
              <w:jc w:val="center"/>
              <w:rPr>
                <w:rFonts w:cs="Times New Roman"/>
                <w:color w:val="000000"/>
                <w:szCs w:val="24"/>
              </w:rPr>
            </w:pPr>
            <w:r>
              <w:rPr>
                <w:color w:val="000000"/>
              </w:rPr>
              <w:t>9</w:t>
            </w:r>
          </w:p>
        </w:tc>
      </w:tr>
      <w:tr w:rsidR="00A15C2C" w14:paraId="24159273" w14:textId="77777777" w:rsidTr="0055589E">
        <w:trPr>
          <w:trHeight w:val="317"/>
          <w:jc w:val="center"/>
        </w:trPr>
        <w:tc>
          <w:tcPr>
            <w:tcW w:w="3394" w:type="dxa"/>
            <w:noWrap/>
            <w:tcMar>
              <w:top w:w="15" w:type="dxa"/>
              <w:left w:w="135" w:type="dxa"/>
              <w:bottom w:w="15" w:type="dxa"/>
              <w:right w:w="15" w:type="dxa"/>
            </w:tcMar>
            <w:vAlign w:val="center"/>
          </w:tcPr>
          <w:p w14:paraId="305CB948" w14:textId="77777777" w:rsidR="009F34A6" w:rsidRDefault="000F5B51" w:rsidP="000E26DC">
            <w:pPr>
              <w:keepNext/>
              <w:spacing w:after="0" w:line="240" w:lineRule="auto"/>
              <w:rPr>
                <w:rFonts w:cs="Times New Roman"/>
                <w:b/>
                <w:szCs w:val="24"/>
              </w:rPr>
            </w:pPr>
            <w:r>
              <w:rPr>
                <w:rFonts w:cs="Times New Roman"/>
                <w:b/>
                <w:szCs w:val="24"/>
              </w:rPr>
              <w:t>Total Injuries</w:t>
            </w:r>
          </w:p>
          <w:p w14:paraId="703CDE9D" w14:textId="77777777" w:rsidR="009F34A6" w:rsidRPr="0098240D" w:rsidRDefault="000F5B51" w:rsidP="00C72B7E">
            <w:pPr>
              <w:spacing w:after="0" w:line="240" w:lineRule="auto"/>
            </w:pPr>
            <w:r>
              <w:rPr>
                <w:rFonts w:cs="Times New Roman"/>
                <w:b/>
                <w:szCs w:val="24"/>
              </w:rPr>
              <w:t>MAIS 1-5</w:t>
            </w:r>
          </w:p>
        </w:tc>
        <w:tc>
          <w:tcPr>
            <w:tcW w:w="1260" w:type="dxa"/>
            <w:vAlign w:val="center"/>
          </w:tcPr>
          <w:p w14:paraId="6A35169B" w14:textId="77777777" w:rsidR="009F34A6" w:rsidRPr="0055589E" w:rsidRDefault="000F5B51" w:rsidP="009F34A6">
            <w:pPr>
              <w:keepNext/>
              <w:spacing w:after="0" w:line="240" w:lineRule="auto"/>
              <w:jc w:val="center"/>
              <w:rPr>
                <w:rFonts w:cs="Times New Roman"/>
                <w:b/>
                <w:bCs/>
                <w:color w:val="000000"/>
                <w:szCs w:val="24"/>
              </w:rPr>
            </w:pPr>
            <w:r w:rsidRPr="0055589E">
              <w:rPr>
                <w:rFonts w:cs="Times New Roman"/>
                <w:b/>
                <w:bCs/>
                <w:color w:val="000000"/>
                <w:szCs w:val="24"/>
              </w:rPr>
              <w:t>17,48</w:t>
            </w:r>
            <w:r w:rsidR="00211B7B">
              <w:rPr>
                <w:rFonts w:cs="Times New Roman"/>
                <w:b/>
                <w:bCs/>
                <w:color w:val="000000"/>
                <w:szCs w:val="24"/>
              </w:rPr>
              <w:t>2</w:t>
            </w:r>
          </w:p>
        </w:tc>
        <w:tc>
          <w:tcPr>
            <w:tcW w:w="1774" w:type="dxa"/>
            <w:vAlign w:val="center"/>
          </w:tcPr>
          <w:p w14:paraId="11B135F7" w14:textId="77777777" w:rsidR="009F34A6" w:rsidRPr="0055589E" w:rsidRDefault="000F5B51" w:rsidP="009F34A6">
            <w:pPr>
              <w:keepNext/>
              <w:spacing w:after="0" w:line="240" w:lineRule="auto"/>
              <w:jc w:val="center"/>
              <w:rPr>
                <w:rFonts w:cs="Times New Roman"/>
                <w:b/>
                <w:bCs/>
                <w:color w:val="000000"/>
                <w:szCs w:val="24"/>
              </w:rPr>
            </w:pPr>
            <w:r w:rsidRPr="0055589E">
              <w:rPr>
                <w:rFonts w:cs="Times New Roman"/>
                <w:b/>
                <w:bCs/>
                <w:color w:val="000000"/>
                <w:szCs w:val="24"/>
              </w:rPr>
              <w:t>6,010</w:t>
            </w:r>
          </w:p>
        </w:tc>
        <w:tc>
          <w:tcPr>
            <w:tcW w:w="1774" w:type="dxa"/>
            <w:vAlign w:val="center"/>
          </w:tcPr>
          <w:p w14:paraId="56700FA8" w14:textId="77777777" w:rsidR="009F34A6" w:rsidRPr="0055589E" w:rsidRDefault="000F5B51" w:rsidP="009F34A6">
            <w:pPr>
              <w:keepNext/>
              <w:spacing w:after="0" w:line="240" w:lineRule="auto"/>
              <w:jc w:val="center"/>
              <w:rPr>
                <w:rFonts w:cs="Times New Roman"/>
                <w:b/>
                <w:bCs/>
                <w:color w:val="000000"/>
                <w:szCs w:val="24"/>
              </w:rPr>
            </w:pPr>
            <w:r>
              <w:rPr>
                <w:rFonts w:cs="Times New Roman"/>
                <w:b/>
                <w:bCs/>
                <w:color w:val="000000"/>
                <w:szCs w:val="24"/>
              </w:rPr>
              <w:t>23,49</w:t>
            </w:r>
            <w:r w:rsidR="00C43447">
              <w:rPr>
                <w:rFonts w:cs="Times New Roman"/>
                <w:b/>
                <w:bCs/>
                <w:color w:val="000000"/>
                <w:szCs w:val="24"/>
              </w:rPr>
              <w:t>2</w:t>
            </w:r>
          </w:p>
        </w:tc>
      </w:tr>
      <w:tr w:rsidR="00A15C2C" w14:paraId="425545D7" w14:textId="77777777" w:rsidTr="007E2147">
        <w:trPr>
          <w:trHeight w:val="317"/>
          <w:jc w:val="center"/>
        </w:trPr>
        <w:tc>
          <w:tcPr>
            <w:tcW w:w="3394" w:type="dxa"/>
            <w:noWrap/>
            <w:vAlign w:val="bottom"/>
            <w:hideMark/>
          </w:tcPr>
          <w:p w14:paraId="6AA00743" w14:textId="77777777" w:rsidR="0097128F" w:rsidRPr="0098240D" w:rsidRDefault="000F5B51" w:rsidP="0097128F">
            <w:pPr>
              <w:keepNext/>
              <w:spacing w:after="0" w:line="240" w:lineRule="auto"/>
              <w:rPr>
                <w:rFonts w:eastAsia="Times New Roman" w:cs="Times New Roman"/>
                <w:b/>
                <w:color w:val="000000"/>
                <w:szCs w:val="24"/>
                <w:lang w:eastAsia="ja-JP"/>
              </w:rPr>
            </w:pPr>
            <w:r w:rsidRPr="0098240D">
              <w:rPr>
                <w:rFonts w:eastAsia="Times New Roman" w:cs="Times New Roman"/>
                <w:b/>
                <w:color w:val="000000"/>
                <w:szCs w:val="24"/>
                <w:lang w:eastAsia="ja-JP"/>
              </w:rPr>
              <w:t>Fatal</w:t>
            </w:r>
          </w:p>
        </w:tc>
        <w:tc>
          <w:tcPr>
            <w:tcW w:w="1260" w:type="dxa"/>
            <w:vAlign w:val="center"/>
          </w:tcPr>
          <w:p w14:paraId="18438C1B" w14:textId="77777777" w:rsidR="0097128F" w:rsidRPr="00B8590B" w:rsidRDefault="000F5B51" w:rsidP="0097128F">
            <w:pPr>
              <w:keepNext/>
              <w:spacing w:after="0" w:line="240" w:lineRule="auto"/>
              <w:jc w:val="center"/>
              <w:rPr>
                <w:rFonts w:eastAsia="Times New Roman" w:cs="Times New Roman"/>
                <w:b/>
                <w:color w:val="000000"/>
                <w:szCs w:val="24"/>
                <w:lang w:eastAsia="ja-JP"/>
              </w:rPr>
            </w:pPr>
            <w:r>
              <w:rPr>
                <w:b/>
                <w:bCs/>
                <w:color w:val="000000"/>
              </w:rPr>
              <w:t>258</w:t>
            </w:r>
          </w:p>
        </w:tc>
        <w:tc>
          <w:tcPr>
            <w:tcW w:w="1774" w:type="dxa"/>
            <w:vAlign w:val="center"/>
          </w:tcPr>
          <w:p w14:paraId="72629776" w14:textId="77777777" w:rsidR="0097128F" w:rsidRPr="00B8590B" w:rsidRDefault="000F5B51" w:rsidP="0097128F">
            <w:pPr>
              <w:keepNext/>
              <w:spacing w:after="0" w:line="240" w:lineRule="auto"/>
              <w:jc w:val="center"/>
              <w:rPr>
                <w:rFonts w:eastAsia="Times New Roman" w:cs="Times New Roman"/>
                <w:b/>
                <w:color w:val="000000"/>
                <w:szCs w:val="24"/>
                <w:lang w:eastAsia="ja-JP"/>
              </w:rPr>
            </w:pPr>
            <w:r>
              <w:rPr>
                <w:b/>
                <w:bCs/>
                <w:color w:val="000000"/>
              </w:rPr>
              <w:t>433</w:t>
            </w:r>
          </w:p>
        </w:tc>
        <w:tc>
          <w:tcPr>
            <w:tcW w:w="1774" w:type="dxa"/>
            <w:vAlign w:val="center"/>
          </w:tcPr>
          <w:p w14:paraId="4B5977C9" w14:textId="77777777" w:rsidR="0097128F" w:rsidRPr="0055589E" w:rsidRDefault="000F5B51" w:rsidP="0097128F">
            <w:pPr>
              <w:keepNext/>
              <w:spacing w:after="0" w:line="240" w:lineRule="auto"/>
              <w:jc w:val="center"/>
              <w:rPr>
                <w:rFonts w:cs="Times New Roman"/>
                <w:b/>
                <w:bCs/>
                <w:color w:val="000000"/>
                <w:szCs w:val="24"/>
              </w:rPr>
            </w:pPr>
            <w:r>
              <w:rPr>
                <w:b/>
                <w:bCs/>
                <w:color w:val="000000"/>
              </w:rPr>
              <w:t>691</w:t>
            </w:r>
          </w:p>
        </w:tc>
      </w:tr>
    </w:tbl>
    <w:p w14:paraId="5C65318E" w14:textId="77777777" w:rsidR="00D06366" w:rsidRPr="00E16A57" w:rsidRDefault="000F5B51" w:rsidP="0055589E">
      <w:pPr>
        <w:keepNext/>
        <w:spacing w:after="0" w:line="240" w:lineRule="auto"/>
        <w:ind w:firstLine="720"/>
        <w:rPr>
          <w:rFonts w:eastAsia="Times New Roman" w:cs="Times New Roman"/>
          <w:sz w:val="18"/>
          <w:szCs w:val="18"/>
        </w:rPr>
      </w:pPr>
      <w:r>
        <w:rPr>
          <w:rFonts w:cs="Times New Roman"/>
          <w:sz w:val="18"/>
          <w:szCs w:val="18"/>
        </w:rPr>
        <w:t>Note: Values may not sum due to rounding.</w:t>
      </w:r>
      <w:r>
        <w:rPr>
          <w:sz w:val="18"/>
          <w:szCs w:val="18"/>
        </w:rPr>
        <w:t xml:space="preserve"> </w:t>
      </w:r>
      <w:r w:rsidRPr="00E16A57">
        <w:rPr>
          <w:sz w:val="18"/>
          <w:szCs w:val="18"/>
        </w:rPr>
        <w:t xml:space="preserve">Occupant injuries with unknown belt use were distributed and included in </w:t>
      </w:r>
      <w:r>
        <w:rPr>
          <w:sz w:val="18"/>
          <w:szCs w:val="18"/>
        </w:rPr>
        <w:tab/>
      </w:r>
      <w:r w:rsidRPr="00E16A57">
        <w:rPr>
          <w:sz w:val="18"/>
          <w:szCs w:val="18"/>
        </w:rPr>
        <w:t>the table</w:t>
      </w:r>
      <w:r w:rsidR="001F2F92">
        <w:rPr>
          <w:sz w:val="18"/>
          <w:szCs w:val="18"/>
        </w:rPr>
        <w:t xml:space="preserve">. </w:t>
      </w:r>
      <w:r w:rsidRPr="00E16A57">
        <w:rPr>
          <w:sz w:val="18"/>
          <w:szCs w:val="18"/>
        </w:rPr>
        <w:t>MAIS 1 &amp; 2 injuries are considered as</w:t>
      </w:r>
      <w:r w:rsidRPr="00E16A57">
        <w:rPr>
          <w:rFonts w:eastAsia="Times New Roman" w:cs="Times New Roman"/>
          <w:sz w:val="18"/>
          <w:szCs w:val="18"/>
        </w:rPr>
        <w:t xml:space="preserve"> minor injuries and MAIS 3 – 5 are serious injuries. </w:t>
      </w:r>
    </w:p>
    <w:p w14:paraId="312AF65E" w14:textId="77777777" w:rsidR="00A55759" w:rsidRDefault="00A55759" w:rsidP="00A55759">
      <w:pPr>
        <w:pStyle w:val="NoSpaceTimes"/>
      </w:pPr>
    </w:p>
    <w:p w14:paraId="500B11DE" w14:textId="5F8B414C" w:rsidR="00B021FC" w:rsidRDefault="000F5B51" w:rsidP="00435D89">
      <w:r>
        <w:fldChar w:fldCharType="begin"/>
      </w:r>
      <w:r>
        <w:instrText xml:space="preserve"> REF _Ref125637363 \h </w:instrText>
      </w:r>
      <w:r>
        <w:fldChar w:fldCharType="separate"/>
      </w:r>
      <w:r w:rsidR="00A65CB3" w:rsidRPr="00A55759">
        <w:t xml:space="preserve">Table </w:t>
      </w:r>
      <w:r w:rsidR="00A65CB3">
        <w:rPr>
          <w:noProof/>
        </w:rPr>
        <w:t>21</w:t>
      </w:r>
      <w:r>
        <w:fldChar w:fldCharType="end"/>
      </w:r>
      <w:r>
        <w:t xml:space="preserve"> </w:t>
      </w:r>
      <w:r w:rsidR="002453D1">
        <w:t xml:space="preserve">presents the </w:t>
      </w:r>
      <w:r w:rsidR="00B16DAA">
        <w:t xml:space="preserve">adjusted </w:t>
      </w:r>
      <w:r w:rsidR="002453D1">
        <w:t>annual average of injuries and fatalities for rear seat occupants ages six to ten years old</w:t>
      </w:r>
      <w:r w:rsidR="001F2F92">
        <w:t xml:space="preserve">. </w:t>
      </w:r>
      <w:r w:rsidR="004D0B1A">
        <w:t xml:space="preserve">The </w:t>
      </w:r>
      <w:r w:rsidR="00E91A24">
        <w:t>a</w:t>
      </w:r>
      <w:r w:rsidR="004D0B1A">
        <w:t>djusted a</w:t>
      </w:r>
      <w:r w:rsidR="00E91A24">
        <w:t>nnual average</w:t>
      </w:r>
      <w:r w:rsidR="004D0B1A">
        <w:t xml:space="preserve"> number of fatalities</w:t>
      </w:r>
      <w:r w:rsidR="00046563">
        <w:t xml:space="preserve"> for</w:t>
      </w:r>
      <w:r w:rsidR="004D0B1A">
        <w:t xml:space="preserve"> rear seat occupants ages six to ten is 128</w:t>
      </w:r>
      <w:r w:rsidR="001F2F92">
        <w:t xml:space="preserve">. </w:t>
      </w:r>
      <w:r w:rsidR="00212975">
        <w:t>Of those fatalities</w:t>
      </w:r>
      <w:r w:rsidR="00B16DAA">
        <w:t>,</w:t>
      </w:r>
      <w:r w:rsidR="00212975">
        <w:t xml:space="preserve"> </w:t>
      </w:r>
      <w:r w:rsidR="00A210AD">
        <w:t>87</w:t>
      </w:r>
      <w:r w:rsidR="00212975">
        <w:t xml:space="preserve"> of the rear seat occupants were </w:t>
      </w:r>
      <w:r w:rsidR="00E91A24">
        <w:t xml:space="preserve">restrained and </w:t>
      </w:r>
      <w:r w:rsidR="00A210AD">
        <w:t>42</w:t>
      </w:r>
      <w:r w:rsidR="00212975">
        <w:t xml:space="preserve"> were</w:t>
      </w:r>
      <w:r w:rsidR="00E91A24">
        <w:t xml:space="preserve"> unrestrained</w:t>
      </w:r>
      <w:r w:rsidR="001F2F92">
        <w:t xml:space="preserve">. </w:t>
      </w:r>
      <w:r w:rsidR="001F7B71">
        <w:t xml:space="preserve">The adjusted annual average number of non-fatal injuries </w:t>
      </w:r>
      <w:r w:rsidR="00046563">
        <w:t xml:space="preserve">for </w:t>
      </w:r>
      <w:r w:rsidR="001F7B71">
        <w:t xml:space="preserve">rear seat occupants ages six to ten is </w:t>
      </w:r>
      <w:r w:rsidR="0044176D">
        <w:t>7,18</w:t>
      </w:r>
      <w:r w:rsidR="00394707">
        <w:t>2</w:t>
      </w:r>
      <w:r w:rsidR="001F2F92">
        <w:t xml:space="preserve">. </w:t>
      </w:r>
      <w:r w:rsidR="00D11506">
        <w:t>Of those non-fatal injuries, 6</w:t>
      </w:r>
      <w:r w:rsidR="0044176D">
        <w:t>,</w:t>
      </w:r>
      <w:r w:rsidR="00394707">
        <w:t xml:space="preserve">194 </w:t>
      </w:r>
      <w:r w:rsidR="00D11506">
        <w:t xml:space="preserve">of the rear seat occupants were </w:t>
      </w:r>
      <w:r w:rsidR="00E91A24">
        <w:t xml:space="preserve">restrained and </w:t>
      </w:r>
      <w:r w:rsidR="00060DA5">
        <w:t>1,025</w:t>
      </w:r>
      <w:r w:rsidR="00E91A24">
        <w:t xml:space="preserve"> </w:t>
      </w:r>
      <w:r w:rsidR="007F7E65">
        <w:t xml:space="preserve">were </w:t>
      </w:r>
      <w:r w:rsidR="00E91A24">
        <w:t>unrestrained</w:t>
      </w:r>
      <w:r w:rsidR="001F2F92">
        <w:t>.</w:t>
      </w:r>
      <w:r w:rsidR="00D64FEC">
        <w:rPr>
          <w:rStyle w:val="FootnoteReference"/>
        </w:rPr>
        <w:footnoteReference w:id="42"/>
      </w:r>
      <w:r w:rsidR="001F2F92">
        <w:t xml:space="preserve"> </w:t>
      </w:r>
      <w:r w:rsidR="007F7E65">
        <w:t xml:space="preserve">In comparison to rear seat occupants </w:t>
      </w:r>
      <w:r w:rsidR="00DF4082">
        <w:t>11 years and older</w:t>
      </w:r>
      <w:r w:rsidR="007F7E65">
        <w:t>, rear seat occupants between the ages of six and ten years old has higher rates of belt use</w:t>
      </w:r>
      <w:r w:rsidR="001F2F92">
        <w:t xml:space="preserve">. </w:t>
      </w:r>
      <w:r w:rsidR="00C1210C">
        <w:t xml:space="preserve">Given the difference in seat belt usage between these two age groups, this analysis considered </w:t>
      </w:r>
      <w:r w:rsidR="00C1210C">
        <w:lastRenderedPageBreak/>
        <w:t>rear seat occupants ages six to 10 years old separately from rear seat occupants who are 11 years and older</w:t>
      </w:r>
      <w:r w:rsidR="001F2F92">
        <w:t xml:space="preserve">. </w:t>
      </w:r>
    </w:p>
    <w:p w14:paraId="53B94139" w14:textId="3B161024" w:rsidR="00E62BD1" w:rsidRPr="00A55759" w:rsidRDefault="000F5B51" w:rsidP="00A55759">
      <w:pPr>
        <w:pStyle w:val="Caption"/>
      </w:pPr>
      <w:bookmarkStart w:id="95" w:name="_Ref125637363"/>
      <w:r w:rsidRPr="00A55759">
        <w:t xml:space="preserve">Table </w:t>
      </w:r>
      <w:r w:rsidR="00115BAB">
        <w:fldChar w:fldCharType="begin"/>
      </w:r>
      <w:r>
        <w:instrText xml:space="preserve"> SEQ Table \* ARABIC </w:instrText>
      </w:r>
      <w:r w:rsidR="00115BAB">
        <w:fldChar w:fldCharType="separate"/>
      </w:r>
      <w:r w:rsidR="00A65CB3">
        <w:rPr>
          <w:noProof/>
        </w:rPr>
        <w:t>21</w:t>
      </w:r>
      <w:r w:rsidR="00115BAB">
        <w:rPr>
          <w:noProof/>
        </w:rPr>
        <w:fldChar w:fldCharType="end"/>
      </w:r>
      <w:bookmarkEnd w:id="95"/>
      <w:r w:rsidRPr="00A55759">
        <w:t xml:space="preserve">: </w:t>
      </w:r>
      <w:r w:rsidR="00E4674A" w:rsidRPr="00A55759">
        <w:t xml:space="preserve">Adjusted </w:t>
      </w:r>
      <w:r w:rsidRPr="00A55759">
        <w:t>Annual Injuries and Fatalities for Rear Seat Occupants</w:t>
      </w:r>
      <w:r w:rsidR="007811BD" w:rsidRPr="00A55759">
        <w:t xml:space="preserve"> Ages 6 to 10 </w:t>
      </w:r>
    </w:p>
    <w:tbl>
      <w:tblPr>
        <w:tblW w:w="8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394"/>
        <w:gridCol w:w="1260"/>
        <w:gridCol w:w="1774"/>
        <w:gridCol w:w="1774"/>
      </w:tblGrid>
      <w:tr w:rsidR="00A15C2C" w14:paraId="4092D58C" w14:textId="77777777" w:rsidTr="007C52CE">
        <w:trPr>
          <w:trHeight w:val="576"/>
          <w:jc w:val="center"/>
        </w:trPr>
        <w:tc>
          <w:tcPr>
            <w:tcW w:w="3394" w:type="dxa"/>
            <w:shd w:val="clear" w:color="auto" w:fill="D9D9D9" w:themeFill="background1" w:themeFillShade="D9"/>
            <w:noWrap/>
            <w:vAlign w:val="center"/>
          </w:tcPr>
          <w:p w14:paraId="0507FDCE" w14:textId="77777777" w:rsidR="007811BD" w:rsidRDefault="000F5B51" w:rsidP="00BC4031">
            <w:pPr>
              <w:keepNext/>
              <w:spacing w:after="0" w:line="240" w:lineRule="auto"/>
              <w:rPr>
                <w:rFonts w:cs="Times New Roman"/>
                <w:b/>
                <w:szCs w:val="24"/>
              </w:rPr>
            </w:pPr>
            <w:r>
              <w:rPr>
                <w:rFonts w:cs="Times New Roman"/>
                <w:b/>
                <w:szCs w:val="24"/>
              </w:rPr>
              <w:t>Injury Severity</w:t>
            </w:r>
          </w:p>
        </w:tc>
        <w:tc>
          <w:tcPr>
            <w:tcW w:w="1260" w:type="dxa"/>
            <w:shd w:val="clear" w:color="auto" w:fill="D9D9D9" w:themeFill="background1" w:themeFillShade="D9"/>
            <w:vAlign w:val="center"/>
          </w:tcPr>
          <w:p w14:paraId="1EA07000" w14:textId="77777777" w:rsidR="007811BD" w:rsidRPr="00252345" w:rsidRDefault="000F5B51" w:rsidP="00BC4031">
            <w:pPr>
              <w:keepNext/>
              <w:spacing w:after="0" w:line="240" w:lineRule="auto"/>
              <w:jc w:val="center"/>
              <w:rPr>
                <w:rFonts w:cs="Times New Roman"/>
                <w:szCs w:val="24"/>
              </w:rPr>
            </w:pPr>
            <w:r w:rsidRPr="0098240D">
              <w:rPr>
                <w:rFonts w:cs="Times New Roman"/>
                <w:b/>
                <w:szCs w:val="24"/>
              </w:rPr>
              <w:t>Restrained</w:t>
            </w:r>
          </w:p>
        </w:tc>
        <w:tc>
          <w:tcPr>
            <w:tcW w:w="1774" w:type="dxa"/>
            <w:shd w:val="clear" w:color="auto" w:fill="D9D9D9" w:themeFill="background1" w:themeFillShade="D9"/>
            <w:vAlign w:val="center"/>
          </w:tcPr>
          <w:p w14:paraId="0BF57144" w14:textId="77777777" w:rsidR="007811BD" w:rsidRPr="00252345" w:rsidRDefault="000F5B51" w:rsidP="00BC4031">
            <w:pPr>
              <w:keepNext/>
              <w:spacing w:after="0" w:line="240" w:lineRule="auto"/>
              <w:jc w:val="center"/>
              <w:rPr>
                <w:rFonts w:cs="Times New Roman"/>
                <w:szCs w:val="24"/>
              </w:rPr>
            </w:pPr>
            <w:r w:rsidRPr="0098240D">
              <w:rPr>
                <w:rFonts w:cs="Times New Roman"/>
                <w:b/>
                <w:szCs w:val="24"/>
              </w:rPr>
              <w:t>Unrestrained</w:t>
            </w:r>
          </w:p>
        </w:tc>
        <w:tc>
          <w:tcPr>
            <w:tcW w:w="1774" w:type="dxa"/>
            <w:shd w:val="clear" w:color="auto" w:fill="D9D9D9" w:themeFill="background1" w:themeFillShade="D9"/>
            <w:vAlign w:val="center"/>
          </w:tcPr>
          <w:p w14:paraId="6206F932" w14:textId="77777777" w:rsidR="007811BD" w:rsidRPr="0098240D" w:rsidRDefault="000F5B51" w:rsidP="00BC4031">
            <w:pPr>
              <w:keepNext/>
              <w:spacing w:after="0" w:line="240" w:lineRule="auto"/>
              <w:jc w:val="center"/>
              <w:rPr>
                <w:rFonts w:cs="Times New Roman"/>
                <w:b/>
                <w:szCs w:val="24"/>
              </w:rPr>
            </w:pPr>
            <w:r>
              <w:rPr>
                <w:rFonts w:cs="Times New Roman"/>
                <w:b/>
                <w:szCs w:val="24"/>
              </w:rPr>
              <w:t>Total</w:t>
            </w:r>
          </w:p>
        </w:tc>
      </w:tr>
      <w:tr w:rsidR="00A15C2C" w14:paraId="490E0601" w14:textId="77777777" w:rsidTr="009C573C">
        <w:trPr>
          <w:trHeight w:val="317"/>
          <w:jc w:val="center"/>
        </w:trPr>
        <w:tc>
          <w:tcPr>
            <w:tcW w:w="3394" w:type="dxa"/>
            <w:noWrap/>
            <w:tcMar>
              <w:top w:w="15" w:type="dxa"/>
              <w:left w:w="135" w:type="dxa"/>
              <w:bottom w:w="15" w:type="dxa"/>
              <w:right w:w="15" w:type="dxa"/>
            </w:tcMar>
            <w:vAlign w:val="bottom"/>
            <w:hideMark/>
          </w:tcPr>
          <w:p w14:paraId="5C17224A" w14:textId="77777777" w:rsidR="00810EB6" w:rsidRPr="0098240D" w:rsidRDefault="000F5B51" w:rsidP="00810EB6">
            <w:pPr>
              <w:keepNext/>
              <w:spacing w:after="0" w:line="240" w:lineRule="auto"/>
              <w:rPr>
                <w:rFonts w:cs="Times New Roman"/>
                <w:szCs w:val="24"/>
              </w:rPr>
            </w:pPr>
            <w:r w:rsidRPr="0098240D">
              <w:rPr>
                <w:rFonts w:cs="Times New Roman"/>
                <w:szCs w:val="24"/>
              </w:rPr>
              <w:t>MAIS 1</w:t>
            </w:r>
          </w:p>
        </w:tc>
        <w:tc>
          <w:tcPr>
            <w:tcW w:w="1260" w:type="dxa"/>
            <w:vAlign w:val="center"/>
          </w:tcPr>
          <w:p w14:paraId="7E8B6731" w14:textId="2EC5DE1D" w:rsidR="00810EB6" w:rsidRPr="00252345" w:rsidRDefault="000F5B51" w:rsidP="00810EB6">
            <w:pPr>
              <w:keepNext/>
              <w:spacing w:after="0" w:line="240" w:lineRule="auto"/>
              <w:jc w:val="center"/>
              <w:rPr>
                <w:rFonts w:cs="Times New Roman"/>
                <w:szCs w:val="24"/>
              </w:rPr>
            </w:pPr>
            <w:r>
              <w:rPr>
                <w:color w:val="000000"/>
              </w:rPr>
              <w:t>5,9</w:t>
            </w:r>
            <w:r w:rsidR="00060DA5">
              <w:rPr>
                <w:color w:val="000000"/>
              </w:rPr>
              <w:t>31</w:t>
            </w:r>
          </w:p>
        </w:tc>
        <w:tc>
          <w:tcPr>
            <w:tcW w:w="1774" w:type="dxa"/>
            <w:vAlign w:val="center"/>
          </w:tcPr>
          <w:p w14:paraId="4502BBBC" w14:textId="77E6C650" w:rsidR="00810EB6" w:rsidRPr="00252345" w:rsidRDefault="00060DA5" w:rsidP="00810EB6">
            <w:pPr>
              <w:keepNext/>
              <w:spacing w:after="0" w:line="240" w:lineRule="auto"/>
              <w:jc w:val="center"/>
              <w:rPr>
                <w:rFonts w:cs="Times New Roman"/>
                <w:szCs w:val="24"/>
              </w:rPr>
            </w:pPr>
            <w:r>
              <w:rPr>
                <w:color w:val="000000"/>
              </w:rPr>
              <w:t>906</w:t>
            </w:r>
          </w:p>
        </w:tc>
        <w:tc>
          <w:tcPr>
            <w:tcW w:w="1774" w:type="dxa"/>
            <w:vAlign w:val="center"/>
          </w:tcPr>
          <w:p w14:paraId="14E8FBBC" w14:textId="77777777" w:rsidR="00810EB6" w:rsidRPr="00E16A57" w:rsidRDefault="000F5B51" w:rsidP="00810EB6">
            <w:pPr>
              <w:keepNext/>
              <w:spacing w:after="0" w:line="240" w:lineRule="auto"/>
              <w:jc w:val="center"/>
              <w:rPr>
                <w:rFonts w:cs="Times New Roman"/>
                <w:color w:val="000000"/>
                <w:szCs w:val="24"/>
              </w:rPr>
            </w:pPr>
            <w:r>
              <w:rPr>
                <w:color w:val="000000"/>
              </w:rPr>
              <w:t>6,837</w:t>
            </w:r>
          </w:p>
        </w:tc>
      </w:tr>
      <w:tr w:rsidR="00A15C2C" w14:paraId="0C107642" w14:textId="77777777" w:rsidTr="009C573C">
        <w:trPr>
          <w:trHeight w:val="317"/>
          <w:jc w:val="center"/>
        </w:trPr>
        <w:tc>
          <w:tcPr>
            <w:tcW w:w="3394" w:type="dxa"/>
            <w:noWrap/>
            <w:tcMar>
              <w:top w:w="15" w:type="dxa"/>
              <w:left w:w="135" w:type="dxa"/>
              <w:bottom w:w="15" w:type="dxa"/>
              <w:right w:w="15" w:type="dxa"/>
            </w:tcMar>
            <w:vAlign w:val="bottom"/>
            <w:hideMark/>
          </w:tcPr>
          <w:p w14:paraId="3A0942BC" w14:textId="77777777" w:rsidR="00810EB6" w:rsidRPr="0098240D" w:rsidRDefault="000F5B51" w:rsidP="00810EB6">
            <w:pPr>
              <w:keepNext/>
              <w:spacing w:after="0" w:line="240" w:lineRule="auto"/>
              <w:rPr>
                <w:rFonts w:cs="Times New Roman"/>
                <w:szCs w:val="24"/>
              </w:rPr>
            </w:pPr>
            <w:r w:rsidRPr="0098240D">
              <w:rPr>
                <w:rFonts w:cs="Times New Roman"/>
                <w:szCs w:val="24"/>
              </w:rPr>
              <w:t>MAIS 2</w:t>
            </w:r>
          </w:p>
        </w:tc>
        <w:tc>
          <w:tcPr>
            <w:tcW w:w="1260" w:type="dxa"/>
            <w:vAlign w:val="center"/>
          </w:tcPr>
          <w:p w14:paraId="1051EF21" w14:textId="77777777" w:rsidR="00810EB6" w:rsidRPr="00252345" w:rsidRDefault="000F5B51" w:rsidP="00810EB6">
            <w:pPr>
              <w:keepNext/>
              <w:spacing w:after="0" w:line="240" w:lineRule="auto"/>
              <w:jc w:val="center"/>
              <w:rPr>
                <w:rFonts w:cs="Times New Roman"/>
                <w:szCs w:val="24"/>
              </w:rPr>
            </w:pPr>
            <w:r>
              <w:rPr>
                <w:color w:val="000000"/>
              </w:rPr>
              <w:t>186</w:t>
            </w:r>
          </w:p>
        </w:tc>
        <w:tc>
          <w:tcPr>
            <w:tcW w:w="1774" w:type="dxa"/>
            <w:vAlign w:val="center"/>
          </w:tcPr>
          <w:p w14:paraId="324F8DBF" w14:textId="77777777" w:rsidR="00810EB6" w:rsidRPr="00252345" w:rsidRDefault="000F5B51" w:rsidP="00810EB6">
            <w:pPr>
              <w:keepNext/>
              <w:spacing w:after="0" w:line="240" w:lineRule="auto"/>
              <w:jc w:val="center"/>
              <w:rPr>
                <w:rFonts w:cs="Times New Roman"/>
                <w:szCs w:val="24"/>
              </w:rPr>
            </w:pPr>
            <w:r>
              <w:rPr>
                <w:color w:val="000000"/>
              </w:rPr>
              <w:t>90</w:t>
            </w:r>
          </w:p>
        </w:tc>
        <w:tc>
          <w:tcPr>
            <w:tcW w:w="1774" w:type="dxa"/>
            <w:vAlign w:val="center"/>
          </w:tcPr>
          <w:p w14:paraId="30FD9A2D" w14:textId="77777777" w:rsidR="00810EB6" w:rsidRPr="00E16A57" w:rsidRDefault="000F5B51" w:rsidP="00810EB6">
            <w:pPr>
              <w:keepNext/>
              <w:spacing w:after="0" w:line="240" w:lineRule="auto"/>
              <w:jc w:val="center"/>
              <w:rPr>
                <w:rFonts w:cs="Times New Roman"/>
                <w:color w:val="000000"/>
                <w:szCs w:val="24"/>
              </w:rPr>
            </w:pPr>
            <w:r>
              <w:rPr>
                <w:color w:val="000000"/>
              </w:rPr>
              <w:t>277</w:t>
            </w:r>
          </w:p>
        </w:tc>
      </w:tr>
      <w:tr w:rsidR="00A15C2C" w14:paraId="7ECEE816" w14:textId="77777777" w:rsidTr="009C573C">
        <w:trPr>
          <w:trHeight w:val="317"/>
          <w:jc w:val="center"/>
        </w:trPr>
        <w:tc>
          <w:tcPr>
            <w:tcW w:w="3394" w:type="dxa"/>
            <w:noWrap/>
            <w:tcMar>
              <w:top w:w="15" w:type="dxa"/>
              <w:left w:w="135" w:type="dxa"/>
              <w:bottom w:w="15" w:type="dxa"/>
              <w:right w:w="15" w:type="dxa"/>
            </w:tcMar>
            <w:vAlign w:val="bottom"/>
            <w:hideMark/>
          </w:tcPr>
          <w:p w14:paraId="6E958782" w14:textId="77777777" w:rsidR="00810EB6" w:rsidRPr="0098240D" w:rsidRDefault="000F5B51" w:rsidP="00810EB6">
            <w:pPr>
              <w:keepNext/>
              <w:spacing w:after="0" w:line="240" w:lineRule="auto"/>
              <w:rPr>
                <w:rFonts w:cs="Times New Roman"/>
                <w:szCs w:val="24"/>
              </w:rPr>
            </w:pPr>
            <w:r w:rsidRPr="0098240D">
              <w:rPr>
                <w:rFonts w:cs="Times New Roman"/>
                <w:szCs w:val="24"/>
              </w:rPr>
              <w:t>MAIS 3</w:t>
            </w:r>
          </w:p>
        </w:tc>
        <w:tc>
          <w:tcPr>
            <w:tcW w:w="1260" w:type="dxa"/>
            <w:vAlign w:val="center"/>
          </w:tcPr>
          <w:p w14:paraId="797C75A4" w14:textId="77777777" w:rsidR="00810EB6" w:rsidRPr="00252345" w:rsidRDefault="000F5B51" w:rsidP="00810EB6">
            <w:pPr>
              <w:keepNext/>
              <w:spacing w:after="0" w:line="240" w:lineRule="auto"/>
              <w:jc w:val="center"/>
              <w:rPr>
                <w:rFonts w:cs="Times New Roman"/>
                <w:szCs w:val="24"/>
              </w:rPr>
            </w:pPr>
            <w:r>
              <w:rPr>
                <w:color w:val="000000"/>
              </w:rPr>
              <w:t>35</w:t>
            </w:r>
          </w:p>
        </w:tc>
        <w:tc>
          <w:tcPr>
            <w:tcW w:w="1774" w:type="dxa"/>
            <w:vAlign w:val="center"/>
          </w:tcPr>
          <w:p w14:paraId="36BA18AD" w14:textId="77777777" w:rsidR="00810EB6" w:rsidRPr="00252345" w:rsidRDefault="000F5B51" w:rsidP="00810EB6">
            <w:pPr>
              <w:keepNext/>
              <w:spacing w:after="0" w:line="240" w:lineRule="auto"/>
              <w:jc w:val="center"/>
              <w:rPr>
                <w:rFonts w:cs="Times New Roman"/>
                <w:szCs w:val="24"/>
              </w:rPr>
            </w:pPr>
            <w:r>
              <w:rPr>
                <w:color w:val="000000"/>
              </w:rPr>
              <w:t>19</w:t>
            </w:r>
          </w:p>
        </w:tc>
        <w:tc>
          <w:tcPr>
            <w:tcW w:w="1774" w:type="dxa"/>
            <w:vAlign w:val="center"/>
          </w:tcPr>
          <w:p w14:paraId="1C5187AE" w14:textId="77777777" w:rsidR="00810EB6" w:rsidRPr="00E16A57" w:rsidRDefault="000F5B51" w:rsidP="00810EB6">
            <w:pPr>
              <w:keepNext/>
              <w:spacing w:after="0" w:line="240" w:lineRule="auto"/>
              <w:jc w:val="center"/>
              <w:rPr>
                <w:rFonts w:cs="Times New Roman"/>
                <w:color w:val="000000"/>
                <w:szCs w:val="24"/>
              </w:rPr>
            </w:pPr>
            <w:r>
              <w:rPr>
                <w:color w:val="000000"/>
              </w:rPr>
              <w:t>54</w:t>
            </w:r>
          </w:p>
        </w:tc>
      </w:tr>
      <w:tr w:rsidR="00A15C2C" w14:paraId="6D2DCA2B" w14:textId="77777777" w:rsidTr="009C573C">
        <w:trPr>
          <w:trHeight w:val="317"/>
          <w:jc w:val="center"/>
        </w:trPr>
        <w:tc>
          <w:tcPr>
            <w:tcW w:w="3394" w:type="dxa"/>
            <w:noWrap/>
            <w:tcMar>
              <w:top w:w="15" w:type="dxa"/>
              <w:left w:w="135" w:type="dxa"/>
              <w:bottom w:w="15" w:type="dxa"/>
              <w:right w:w="15" w:type="dxa"/>
            </w:tcMar>
            <w:vAlign w:val="bottom"/>
            <w:hideMark/>
          </w:tcPr>
          <w:p w14:paraId="62AA97F0" w14:textId="77777777" w:rsidR="00810EB6" w:rsidRPr="0098240D" w:rsidRDefault="000F5B51" w:rsidP="00810EB6">
            <w:pPr>
              <w:keepNext/>
              <w:spacing w:after="0" w:line="240" w:lineRule="auto"/>
              <w:rPr>
                <w:rFonts w:cs="Times New Roman"/>
                <w:szCs w:val="24"/>
              </w:rPr>
            </w:pPr>
            <w:r w:rsidRPr="0098240D">
              <w:rPr>
                <w:rFonts w:cs="Times New Roman"/>
                <w:szCs w:val="24"/>
              </w:rPr>
              <w:t>MAIS 4</w:t>
            </w:r>
          </w:p>
        </w:tc>
        <w:tc>
          <w:tcPr>
            <w:tcW w:w="1260" w:type="dxa"/>
            <w:vAlign w:val="center"/>
          </w:tcPr>
          <w:p w14:paraId="4593CD72" w14:textId="77777777" w:rsidR="00810EB6" w:rsidRPr="00252345" w:rsidRDefault="000F5B51" w:rsidP="00810EB6">
            <w:pPr>
              <w:keepNext/>
              <w:spacing w:after="0" w:line="240" w:lineRule="auto"/>
              <w:jc w:val="center"/>
              <w:rPr>
                <w:rFonts w:cs="Times New Roman"/>
                <w:szCs w:val="24"/>
              </w:rPr>
            </w:pPr>
            <w:r>
              <w:rPr>
                <w:color w:val="000000"/>
              </w:rPr>
              <w:t>4</w:t>
            </w:r>
          </w:p>
        </w:tc>
        <w:tc>
          <w:tcPr>
            <w:tcW w:w="1774" w:type="dxa"/>
            <w:vAlign w:val="center"/>
          </w:tcPr>
          <w:p w14:paraId="523D6089" w14:textId="77777777" w:rsidR="00810EB6" w:rsidRPr="00252345" w:rsidRDefault="000F5B51" w:rsidP="00810EB6">
            <w:pPr>
              <w:keepNext/>
              <w:spacing w:after="0" w:line="240" w:lineRule="auto"/>
              <w:jc w:val="center"/>
              <w:rPr>
                <w:rFonts w:cs="Times New Roman"/>
                <w:szCs w:val="24"/>
              </w:rPr>
            </w:pPr>
            <w:r>
              <w:rPr>
                <w:color w:val="000000"/>
              </w:rPr>
              <w:t>11</w:t>
            </w:r>
          </w:p>
        </w:tc>
        <w:tc>
          <w:tcPr>
            <w:tcW w:w="1774" w:type="dxa"/>
            <w:vAlign w:val="center"/>
          </w:tcPr>
          <w:p w14:paraId="17AD449C" w14:textId="77777777" w:rsidR="00810EB6" w:rsidRPr="00E16A57" w:rsidRDefault="000F5B51" w:rsidP="00810EB6">
            <w:pPr>
              <w:keepNext/>
              <w:spacing w:after="0" w:line="240" w:lineRule="auto"/>
              <w:jc w:val="center"/>
              <w:rPr>
                <w:rFonts w:cs="Times New Roman"/>
                <w:color w:val="000000"/>
                <w:szCs w:val="24"/>
              </w:rPr>
            </w:pPr>
            <w:r>
              <w:rPr>
                <w:color w:val="000000"/>
              </w:rPr>
              <w:t>15</w:t>
            </w:r>
          </w:p>
        </w:tc>
      </w:tr>
      <w:tr w:rsidR="00A15C2C" w14:paraId="65A386DC" w14:textId="77777777" w:rsidTr="009C573C">
        <w:trPr>
          <w:trHeight w:val="317"/>
          <w:jc w:val="center"/>
        </w:trPr>
        <w:tc>
          <w:tcPr>
            <w:tcW w:w="3394" w:type="dxa"/>
            <w:noWrap/>
            <w:tcMar>
              <w:top w:w="15" w:type="dxa"/>
              <w:left w:w="135" w:type="dxa"/>
              <w:bottom w:w="15" w:type="dxa"/>
              <w:right w:w="15" w:type="dxa"/>
            </w:tcMar>
            <w:vAlign w:val="bottom"/>
            <w:hideMark/>
          </w:tcPr>
          <w:p w14:paraId="10B1C7FD" w14:textId="77777777" w:rsidR="00810EB6" w:rsidRPr="0098240D" w:rsidRDefault="000F5B51" w:rsidP="00810EB6">
            <w:pPr>
              <w:keepNext/>
              <w:spacing w:after="0" w:line="240" w:lineRule="auto"/>
              <w:rPr>
                <w:rFonts w:cs="Times New Roman"/>
                <w:szCs w:val="24"/>
              </w:rPr>
            </w:pPr>
            <w:r w:rsidRPr="0098240D">
              <w:rPr>
                <w:rFonts w:cs="Times New Roman"/>
                <w:szCs w:val="24"/>
              </w:rPr>
              <w:t>MAIS 5</w:t>
            </w:r>
          </w:p>
        </w:tc>
        <w:tc>
          <w:tcPr>
            <w:tcW w:w="1260" w:type="dxa"/>
            <w:vAlign w:val="center"/>
          </w:tcPr>
          <w:p w14:paraId="0F51EBD6" w14:textId="77777777" w:rsidR="00810EB6" w:rsidRPr="00252345" w:rsidRDefault="000F5B51" w:rsidP="00810EB6">
            <w:pPr>
              <w:keepNext/>
              <w:spacing w:after="0" w:line="240" w:lineRule="auto"/>
              <w:jc w:val="center"/>
              <w:rPr>
                <w:rFonts w:eastAsia="Times New Roman" w:cs="Times New Roman"/>
                <w:color w:val="000000"/>
                <w:szCs w:val="24"/>
                <w:lang w:eastAsia="ja-JP"/>
              </w:rPr>
            </w:pPr>
            <w:r>
              <w:rPr>
                <w:color w:val="000000"/>
              </w:rPr>
              <w:t>0</w:t>
            </w:r>
          </w:p>
        </w:tc>
        <w:tc>
          <w:tcPr>
            <w:tcW w:w="1774" w:type="dxa"/>
            <w:vAlign w:val="center"/>
          </w:tcPr>
          <w:p w14:paraId="54D129B0" w14:textId="77777777" w:rsidR="00810EB6" w:rsidRPr="00252345" w:rsidRDefault="000F5B51" w:rsidP="00810EB6">
            <w:pPr>
              <w:keepNext/>
              <w:spacing w:after="0" w:line="240" w:lineRule="auto"/>
              <w:jc w:val="center"/>
              <w:rPr>
                <w:rFonts w:eastAsia="Times New Roman" w:cs="Times New Roman"/>
                <w:color w:val="000000"/>
                <w:szCs w:val="24"/>
                <w:lang w:eastAsia="ja-JP"/>
              </w:rPr>
            </w:pPr>
            <w:r>
              <w:rPr>
                <w:color w:val="000000"/>
              </w:rPr>
              <w:t>0</w:t>
            </w:r>
          </w:p>
        </w:tc>
        <w:tc>
          <w:tcPr>
            <w:tcW w:w="1774" w:type="dxa"/>
            <w:vAlign w:val="center"/>
          </w:tcPr>
          <w:p w14:paraId="77392092" w14:textId="77777777" w:rsidR="00810EB6" w:rsidRPr="00E16A57" w:rsidRDefault="000F5B51" w:rsidP="00810EB6">
            <w:pPr>
              <w:keepNext/>
              <w:spacing w:after="0" w:line="240" w:lineRule="auto"/>
              <w:jc w:val="center"/>
              <w:rPr>
                <w:rFonts w:cs="Times New Roman"/>
                <w:color w:val="000000"/>
                <w:szCs w:val="24"/>
              </w:rPr>
            </w:pPr>
            <w:r>
              <w:rPr>
                <w:color w:val="000000"/>
              </w:rPr>
              <w:t>0</w:t>
            </w:r>
          </w:p>
        </w:tc>
      </w:tr>
      <w:tr w:rsidR="00A15C2C" w14:paraId="1EE3D8C6" w14:textId="77777777" w:rsidTr="007E2147">
        <w:trPr>
          <w:trHeight w:val="317"/>
          <w:jc w:val="center"/>
        </w:trPr>
        <w:tc>
          <w:tcPr>
            <w:tcW w:w="3394" w:type="dxa"/>
            <w:noWrap/>
            <w:tcMar>
              <w:top w:w="15" w:type="dxa"/>
              <w:left w:w="135" w:type="dxa"/>
              <w:bottom w:w="15" w:type="dxa"/>
              <w:right w:w="15" w:type="dxa"/>
            </w:tcMar>
            <w:vAlign w:val="center"/>
          </w:tcPr>
          <w:p w14:paraId="4D798FA5" w14:textId="77777777" w:rsidR="00C47195" w:rsidRDefault="000F5B51" w:rsidP="00C47195">
            <w:pPr>
              <w:keepNext/>
              <w:spacing w:after="0" w:line="240" w:lineRule="auto"/>
              <w:rPr>
                <w:rFonts w:cs="Times New Roman"/>
                <w:b/>
                <w:szCs w:val="24"/>
              </w:rPr>
            </w:pPr>
            <w:r>
              <w:rPr>
                <w:rFonts w:cs="Times New Roman"/>
                <w:b/>
                <w:szCs w:val="24"/>
              </w:rPr>
              <w:t>Total Injuries</w:t>
            </w:r>
          </w:p>
          <w:p w14:paraId="4B889218" w14:textId="77777777" w:rsidR="00C47195" w:rsidRPr="0098240D" w:rsidRDefault="000F5B51" w:rsidP="00C47195">
            <w:pPr>
              <w:spacing w:after="0" w:line="240" w:lineRule="auto"/>
            </w:pPr>
            <w:r>
              <w:rPr>
                <w:rFonts w:cs="Times New Roman"/>
                <w:b/>
                <w:szCs w:val="24"/>
              </w:rPr>
              <w:t>MAIS 1-5</w:t>
            </w:r>
          </w:p>
        </w:tc>
        <w:tc>
          <w:tcPr>
            <w:tcW w:w="1260" w:type="dxa"/>
            <w:vAlign w:val="center"/>
          </w:tcPr>
          <w:p w14:paraId="515984CD" w14:textId="6B52EBB6" w:rsidR="00C47195" w:rsidRPr="0055589E" w:rsidRDefault="000F5B51" w:rsidP="00C47195">
            <w:pPr>
              <w:keepNext/>
              <w:spacing w:after="0" w:line="240" w:lineRule="auto"/>
              <w:jc w:val="center"/>
              <w:rPr>
                <w:rFonts w:cs="Times New Roman"/>
                <w:b/>
                <w:bCs/>
                <w:color w:val="000000"/>
                <w:szCs w:val="24"/>
              </w:rPr>
            </w:pPr>
            <w:r w:rsidRPr="0055589E">
              <w:rPr>
                <w:rFonts w:cs="Times New Roman"/>
                <w:b/>
                <w:bCs/>
                <w:color w:val="000000"/>
                <w:szCs w:val="24"/>
              </w:rPr>
              <w:t>6,</w:t>
            </w:r>
            <w:r w:rsidR="00394707">
              <w:rPr>
                <w:rFonts w:cs="Times New Roman"/>
                <w:b/>
                <w:bCs/>
                <w:color w:val="000000"/>
                <w:szCs w:val="24"/>
              </w:rPr>
              <w:t>1</w:t>
            </w:r>
            <w:r w:rsidR="00060DA5">
              <w:rPr>
                <w:rFonts w:cs="Times New Roman"/>
                <w:b/>
                <w:bCs/>
                <w:color w:val="000000"/>
                <w:szCs w:val="24"/>
              </w:rPr>
              <w:t>57</w:t>
            </w:r>
          </w:p>
        </w:tc>
        <w:tc>
          <w:tcPr>
            <w:tcW w:w="1774" w:type="dxa"/>
            <w:vAlign w:val="center"/>
          </w:tcPr>
          <w:p w14:paraId="72487D64" w14:textId="5258F9D7" w:rsidR="00C47195" w:rsidRPr="0055589E" w:rsidRDefault="00060DA5" w:rsidP="00C47195">
            <w:pPr>
              <w:keepNext/>
              <w:spacing w:after="0" w:line="240" w:lineRule="auto"/>
              <w:jc w:val="center"/>
              <w:rPr>
                <w:rFonts w:cs="Times New Roman"/>
                <w:b/>
                <w:bCs/>
                <w:color w:val="000000"/>
                <w:szCs w:val="24"/>
              </w:rPr>
            </w:pPr>
            <w:r>
              <w:rPr>
                <w:rFonts w:cs="Times New Roman"/>
                <w:b/>
                <w:bCs/>
                <w:color w:val="000000"/>
                <w:szCs w:val="24"/>
              </w:rPr>
              <w:t>1,025</w:t>
            </w:r>
          </w:p>
        </w:tc>
        <w:tc>
          <w:tcPr>
            <w:tcW w:w="1774" w:type="dxa"/>
            <w:vAlign w:val="center"/>
          </w:tcPr>
          <w:p w14:paraId="61FF6C1F" w14:textId="77777777" w:rsidR="00E2458F" w:rsidRPr="0055589E" w:rsidRDefault="000F5B51" w:rsidP="0055589E">
            <w:pPr>
              <w:spacing w:after="0" w:line="240" w:lineRule="auto"/>
              <w:jc w:val="center"/>
              <w:rPr>
                <w:b/>
                <w:bCs/>
                <w:color w:val="000000"/>
              </w:rPr>
            </w:pPr>
            <w:r>
              <w:rPr>
                <w:b/>
                <w:bCs/>
                <w:color w:val="000000"/>
              </w:rPr>
              <w:t>7,18</w:t>
            </w:r>
            <w:r w:rsidR="00394707">
              <w:rPr>
                <w:b/>
                <w:bCs/>
                <w:color w:val="000000"/>
              </w:rPr>
              <w:t>2</w:t>
            </w:r>
          </w:p>
        </w:tc>
      </w:tr>
      <w:tr w:rsidR="00A15C2C" w14:paraId="7772C306" w14:textId="77777777" w:rsidTr="007E2147">
        <w:trPr>
          <w:trHeight w:val="317"/>
          <w:jc w:val="center"/>
        </w:trPr>
        <w:tc>
          <w:tcPr>
            <w:tcW w:w="3394" w:type="dxa"/>
            <w:noWrap/>
            <w:vAlign w:val="bottom"/>
            <w:hideMark/>
          </w:tcPr>
          <w:p w14:paraId="25FFF2E8" w14:textId="77777777" w:rsidR="00C2479A" w:rsidRPr="0098240D" w:rsidRDefault="000F5B51" w:rsidP="00C2479A">
            <w:pPr>
              <w:keepNext/>
              <w:spacing w:after="0" w:line="240" w:lineRule="auto"/>
              <w:rPr>
                <w:rFonts w:eastAsia="Times New Roman" w:cs="Times New Roman"/>
                <w:b/>
                <w:color w:val="000000"/>
                <w:szCs w:val="24"/>
                <w:lang w:eastAsia="ja-JP"/>
              </w:rPr>
            </w:pPr>
            <w:r w:rsidRPr="0098240D">
              <w:rPr>
                <w:rFonts w:eastAsia="Times New Roman" w:cs="Times New Roman"/>
                <w:b/>
                <w:color w:val="000000"/>
                <w:szCs w:val="24"/>
                <w:lang w:eastAsia="ja-JP"/>
              </w:rPr>
              <w:t>Fatal</w:t>
            </w:r>
          </w:p>
        </w:tc>
        <w:tc>
          <w:tcPr>
            <w:tcW w:w="1260" w:type="dxa"/>
            <w:vAlign w:val="center"/>
          </w:tcPr>
          <w:p w14:paraId="671672FD" w14:textId="77777777" w:rsidR="00C2479A" w:rsidRPr="00B8590B" w:rsidRDefault="000F5B51" w:rsidP="00C2479A">
            <w:pPr>
              <w:keepNext/>
              <w:spacing w:after="0" w:line="240" w:lineRule="auto"/>
              <w:jc w:val="center"/>
              <w:rPr>
                <w:rFonts w:eastAsia="Times New Roman" w:cs="Times New Roman"/>
                <w:b/>
                <w:color w:val="000000"/>
                <w:szCs w:val="24"/>
                <w:lang w:eastAsia="ja-JP"/>
              </w:rPr>
            </w:pPr>
            <w:r>
              <w:rPr>
                <w:b/>
                <w:bCs/>
                <w:color w:val="000000"/>
              </w:rPr>
              <w:t>87</w:t>
            </w:r>
          </w:p>
        </w:tc>
        <w:tc>
          <w:tcPr>
            <w:tcW w:w="1774" w:type="dxa"/>
            <w:vAlign w:val="center"/>
          </w:tcPr>
          <w:p w14:paraId="63464367" w14:textId="77777777" w:rsidR="00C2479A" w:rsidRPr="00B8590B" w:rsidRDefault="000F5B51" w:rsidP="00C2479A">
            <w:pPr>
              <w:keepNext/>
              <w:spacing w:after="0" w:line="240" w:lineRule="auto"/>
              <w:jc w:val="center"/>
              <w:rPr>
                <w:rFonts w:eastAsia="Times New Roman" w:cs="Times New Roman"/>
                <w:b/>
                <w:color w:val="000000"/>
                <w:szCs w:val="24"/>
                <w:lang w:eastAsia="ja-JP"/>
              </w:rPr>
            </w:pPr>
            <w:r>
              <w:rPr>
                <w:b/>
                <w:bCs/>
                <w:color w:val="000000"/>
              </w:rPr>
              <w:t>42</w:t>
            </w:r>
          </w:p>
        </w:tc>
        <w:tc>
          <w:tcPr>
            <w:tcW w:w="1774" w:type="dxa"/>
            <w:vAlign w:val="center"/>
          </w:tcPr>
          <w:p w14:paraId="1994AB0D" w14:textId="77777777" w:rsidR="00C2479A" w:rsidRPr="00E16A57" w:rsidRDefault="000F5B51" w:rsidP="00C2479A">
            <w:pPr>
              <w:keepNext/>
              <w:spacing w:after="0" w:line="240" w:lineRule="auto"/>
              <w:jc w:val="center"/>
              <w:rPr>
                <w:rFonts w:cs="Times New Roman"/>
                <w:color w:val="000000"/>
                <w:szCs w:val="24"/>
              </w:rPr>
            </w:pPr>
            <w:r>
              <w:rPr>
                <w:b/>
                <w:bCs/>
                <w:color w:val="000000"/>
              </w:rPr>
              <w:t>128</w:t>
            </w:r>
          </w:p>
        </w:tc>
      </w:tr>
    </w:tbl>
    <w:p w14:paraId="08B0AAF4" w14:textId="77777777" w:rsidR="00D06366" w:rsidRPr="00E16A57" w:rsidRDefault="000F5B51" w:rsidP="0055589E">
      <w:pPr>
        <w:keepNext/>
        <w:spacing w:after="0" w:line="240" w:lineRule="auto"/>
        <w:ind w:firstLine="720"/>
        <w:rPr>
          <w:rFonts w:eastAsia="Times New Roman" w:cs="Times New Roman"/>
          <w:sz w:val="18"/>
          <w:szCs w:val="18"/>
        </w:rPr>
      </w:pPr>
      <w:r>
        <w:rPr>
          <w:rFonts w:cs="Times New Roman"/>
          <w:sz w:val="18"/>
          <w:szCs w:val="18"/>
        </w:rPr>
        <w:t>Note: Values may not sum due to rounding.</w:t>
      </w:r>
      <w:r>
        <w:rPr>
          <w:sz w:val="18"/>
          <w:szCs w:val="18"/>
        </w:rPr>
        <w:t xml:space="preserve"> </w:t>
      </w:r>
      <w:r w:rsidRPr="00E16A57">
        <w:rPr>
          <w:sz w:val="18"/>
          <w:szCs w:val="18"/>
        </w:rPr>
        <w:t xml:space="preserve">Occupant injuries with unknown belt use were distributed and included in </w:t>
      </w:r>
      <w:r>
        <w:rPr>
          <w:sz w:val="18"/>
          <w:szCs w:val="18"/>
        </w:rPr>
        <w:tab/>
      </w:r>
      <w:r w:rsidRPr="00E16A57">
        <w:rPr>
          <w:sz w:val="18"/>
          <w:szCs w:val="18"/>
        </w:rPr>
        <w:t>the table</w:t>
      </w:r>
      <w:r w:rsidR="001F2F92">
        <w:rPr>
          <w:sz w:val="18"/>
          <w:szCs w:val="18"/>
        </w:rPr>
        <w:t xml:space="preserve">. </w:t>
      </w:r>
      <w:r w:rsidRPr="00E16A57">
        <w:rPr>
          <w:sz w:val="18"/>
          <w:szCs w:val="18"/>
        </w:rPr>
        <w:t>MAIS 1 &amp; 2 injuries are considered as</w:t>
      </w:r>
      <w:r w:rsidRPr="00E16A57">
        <w:rPr>
          <w:rFonts w:eastAsia="Times New Roman" w:cs="Times New Roman"/>
          <w:sz w:val="18"/>
          <w:szCs w:val="18"/>
        </w:rPr>
        <w:t xml:space="preserve"> minor injuries and MAIS 3 – 5 are serious injuries. </w:t>
      </w:r>
    </w:p>
    <w:p w14:paraId="7C9B0A29" w14:textId="77777777" w:rsidR="00E91A24" w:rsidRPr="00CB5681" w:rsidRDefault="00E91A24" w:rsidP="0055589E">
      <w:pPr>
        <w:pStyle w:val="NoSpaceTimes"/>
        <w:jc w:val="left"/>
        <w:rPr>
          <w:rFonts w:eastAsia="Times New Roman"/>
        </w:rPr>
      </w:pPr>
    </w:p>
    <w:p w14:paraId="62E1B796" w14:textId="77777777" w:rsidR="00DC7D3D" w:rsidRDefault="000F5B51" w:rsidP="0055589E">
      <w:pPr>
        <w:pStyle w:val="Heading2"/>
        <w:spacing w:line="240" w:lineRule="auto"/>
      </w:pPr>
      <w:bookmarkStart w:id="96" w:name="_Toc142902971"/>
      <w:r>
        <w:t>Front</w:t>
      </w:r>
      <w:r w:rsidR="00D0357E">
        <w:t xml:space="preserve"> Seat</w:t>
      </w:r>
      <w:r>
        <w:t xml:space="preserve"> Occupants</w:t>
      </w:r>
      <w:bookmarkEnd w:id="96"/>
    </w:p>
    <w:p w14:paraId="084CD687" w14:textId="77777777" w:rsidR="002C4FA9" w:rsidRDefault="000F5B51" w:rsidP="00C871A0">
      <w:pPr>
        <w:spacing w:after="0"/>
        <w:rPr>
          <w:rFonts w:cs="Times New Roman"/>
          <w:szCs w:val="24"/>
        </w:rPr>
      </w:pPr>
      <w:r>
        <w:t>This section presents the</w:t>
      </w:r>
      <w:r w:rsidR="008015C4">
        <w:t xml:space="preserve"> adjusted</w:t>
      </w:r>
      <w:r>
        <w:t xml:space="preserve"> target population potentially addressed by the proposed rule specific to </w:t>
      </w:r>
      <w:r w:rsidR="004327C2">
        <w:t>front</w:t>
      </w:r>
      <w:r>
        <w:t xml:space="preserve"> seat occupants</w:t>
      </w:r>
      <w:r w:rsidR="001F2F92">
        <w:t xml:space="preserve">. </w:t>
      </w:r>
      <w:bookmarkStart w:id="97" w:name="_Hlk129154626"/>
      <w:r w:rsidR="00016C2E">
        <w:t xml:space="preserve">The adjusted target population reflects the adjustment factors </w:t>
      </w:r>
      <w:r w:rsidR="00C871A0">
        <w:t>established in the previous section on the</w:t>
      </w:r>
      <w:r w:rsidR="00016C2E">
        <w:t xml:space="preserve"> annual average fatalities</w:t>
      </w:r>
      <w:r w:rsidR="00C871A0">
        <w:t xml:space="preserve"> for front seat occupants </w:t>
      </w:r>
      <w:r w:rsidR="000C43A9">
        <w:t xml:space="preserve">ages six year and older </w:t>
      </w:r>
      <w:r w:rsidR="00016C2E">
        <w:t>between 2011 and 2015</w:t>
      </w:r>
      <w:r w:rsidR="001F2F92">
        <w:t xml:space="preserve">. </w:t>
      </w:r>
      <w:bookmarkEnd w:id="97"/>
      <w:r w:rsidR="00C871A0">
        <w:t>Furthermore, d</w:t>
      </w:r>
      <w:r w:rsidR="00D63C7D">
        <w:t>ue to a lack of data</w:t>
      </w:r>
      <w:r w:rsidR="007E01DE">
        <w:rPr>
          <w:rFonts w:cs="Times New Roman"/>
          <w:szCs w:val="24"/>
        </w:rPr>
        <w:t>, this analysis makes use of the fatality data to est</w:t>
      </w:r>
      <w:r w:rsidR="003F6A09">
        <w:rPr>
          <w:rFonts w:cs="Times New Roman"/>
          <w:szCs w:val="24"/>
        </w:rPr>
        <w:t>imate the</w:t>
      </w:r>
      <w:r w:rsidR="00C871A0">
        <w:rPr>
          <w:rFonts w:cs="Times New Roman"/>
          <w:szCs w:val="24"/>
        </w:rPr>
        <w:t xml:space="preserve"> annual average of</w:t>
      </w:r>
      <w:r w:rsidR="003F6A09">
        <w:rPr>
          <w:rFonts w:cs="Times New Roman"/>
          <w:szCs w:val="24"/>
        </w:rPr>
        <w:t xml:space="preserve"> non-fatal injuries </w:t>
      </w:r>
      <w:r w:rsidR="003B16A7">
        <w:rPr>
          <w:rFonts w:cs="Times New Roman"/>
          <w:szCs w:val="24"/>
        </w:rPr>
        <w:t>to front seat occupants</w:t>
      </w:r>
      <w:r w:rsidR="00C871A0">
        <w:rPr>
          <w:rFonts w:cs="Times New Roman"/>
          <w:szCs w:val="24"/>
        </w:rPr>
        <w:t>.</w:t>
      </w:r>
      <w:r w:rsidR="007069AA" w:rsidRPr="007069AA">
        <w:t xml:space="preserve"> </w:t>
      </w:r>
      <w:r w:rsidR="007069AA">
        <w:t>By using the ratio of injuries to fatalities for rear-seat occupants to estimate the number of injuries for front seat occupants, this analysis may underestimate the target population specific to non-fatal injuries. As a result, the benefits calculations based on that target population may also be underestimated</w:t>
      </w:r>
      <w:bookmarkStart w:id="98" w:name="_Hlk129164694"/>
      <w:r w:rsidR="007069AA">
        <w:t xml:space="preserve">. We request comment on in regard to the approach used to establish the target population. </w:t>
      </w:r>
      <w:r w:rsidR="003B16A7">
        <w:rPr>
          <w:rFonts w:cs="Times New Roman"/>
          <w:szCs w:val="24"/>
        </w:rPr>
        <w:t xml:space="preserve"> </w:t>
      </w:r>
    </w:p>
    <w:bookmarkEnd w:id="98"/>
    <w:p w14:paraId="06CEB524" w14:textId="3DB7032A" w:rsidR="00B87B60" w:rsidRDefault="000F5B51" w:rsidP="00016C2E">
      <w:r>
        <w:fldChar w:fldCharType="begin"/>
      </w:r>
      <w:r>
        <w:instrText xml:space="preserve"> REF _Ref126041570 \h </w:instrText>
      </w:r>
      <w:r>
        <w:fldChar w:fldCharType="separate"/>
      </w:r>
      <w:r w:rsidR="00A65CB3">
        <w:t xml:space="preserve">Table </w:t>
      </w:r>
      <w:r w:rsidR="00A65CB3">
        <w:rPr>
          <w:noProof/>
        </w:rPr>
        <w:t>22</w:t>
      </w:r>
      <w:r>
        <w:fldChar w:fldCharType="end"/>
      </w:r>
      <w:r>
        <w:t xml:space="preserve"> presents the adjustment factors used to adjust the target population for front seat occupants by vehicle type and crash type</w:t>
      </w:r>
      <w:r w:rsidR="001F2F92">
        <w:t xml:space="preserve">. </w:t>
      </w:r>
      <w:r>
        <w:t xml:space="preserve">Since the FMVSSs analyzed for the rear seat “adjusted” target population would have similar effects on the target population of front </w:t>
      </w:r>
      <w:r>
        <w:lastRenderedPageBreak/>
        <w:t xml:space="preserve">occupants, this analysis makes use of the adjustment factors established in subsection </w:t>
      </w:r>
      <w:r>
        <w:fldChar w:fldCharType="begin"/>
      </w:r>
      <w:r>
        <w:instrText xml:space="preserve"> REF _Ref126041418 \r \h </w:instrText>
      </w:r>
      <w:r>
        <w:fldChar w:fldCharType="separate"/>
      </w:r>
      <w:r w:rsidR="00A65CB3">
        <w:t>3.1.1</w:t>
      </w:r>
      <w:r>
        <w:fldChar w:fldCharType="end"/>
      </w:r>
      <w:r>
        <w:t xml:space="preserve"> to adjust the target population for front seat occupants in order to account for </w:t>
      </w:r>
      <w:r w:rsidRPr="4CA445B8">
        <w:rPr>
          <w:rFonts w:eastAsia="Times New Roman" w:cs="Times New Roman"/>
        </w:rPr>
        <w:t>safety impacts of new required safety technologies yet to be applied to the fleet</w:t>
      </w:r>
      <w:r w:rsidR="001F2F92">
        <w:rPr>
          <w:rFonts w:eastAsia="Times New Roman" w:cs="Times New Roman"/>
        </w:rPr>
        <w:t xml:space="preserve">. </w:t>
      </w:r>
      <w:r w:rsidR="004E09FB" w:rsidRPr="4CA445B8">
        <w:rPr>
          <w:rFonts w:eastAsia="Times New Roman" w:cs="Times New Roman"/>
        </w:rPr>
        <w:t xml:space="preserve">See </w:t>
      </w:r>
      <w:r w:rsidR="00260173" w:rsidRPr="4CA445B8">
        <w:rPr>
          <w:rFonts w:eastAsia="Times New Roman" w:cs="Times New Roman"/>
        </w:rPr>
        <w:fldChar w:fldCharType="begin"/>
      </w:r>
      <w:r w:rsidR="00260173" w:rsidRPr="4CA445B8">
        <w:rPr>
          <w:rFonts w:eastAsia="Times New Roman" w:cs="Times New Roman"/>
        </w:rPr>
        <w:instrText xml:space="preserve"> REF _Ref126041145 \h </w:instrText>
      </w:r>
      <w:r w:rsidR="00260173" w:rsidRPr="4CA445B8">
        <w:rPr>
          <w:rFonts w:eastAsia="Times New Roman" w:cs="Times New Roman"/>
        </w:rPr>
      </w:r>
      <w:r w:rsidR="00260173" w:rsidRPr="4CA445B8">
        <w:rPr>
          <w:rFonts w:eastAsia="Times New Roman" w:cs="Times New Roman"/>
        </w:rPr>
        <w:fldChar w:fldCharType="separate"/>
      </w:r>
      <w:r w:rsidR="00A65CB3">
        <w:t>Appendix D</w:t>
      </w:r>
      <w:r w:rsidR="00260173" w:rsidRPr="4CA445B8">
        <w:rPr>
          <w:rFonts w:eastAsia="Times New Roman" w:cs="Times New Roman"/>
        </w:rPr>
        <w:fldChar w:fldCharType="end"/>
      </w:r>
      <w:r w:rsidR="00260173" w:rsidRPr="4CA445B8">
        <w:rPr>
          <w:rFonts w:eastAsia="Times New Roman" w:cs="Times New Roman"/>
        </w:rPr>
        <w:t xml:space="preserve"> for the unadjusted target population based on the FARS data for front seat occupants.</w:t>
      </w:r>
    </w:p>
    <w:p w14:paraId="4307CD1E" w14:textId="750FD5C7" w:rsidR="00016C2E" w:rsidRPr="00C15BA0" w:rsidRDefault="000F5B51" w:rsidP="00016C2E">
      <w:pPr>
        <w:pStyle w:val="Caption"/>
      </w:pPr>
      <w:bookmarkStart w:id="99" w:name="_Ref126041570"/>
      <w:r>
        <w:t xml:space="preserve">Table </w:t>
      </w:r>
      <w:r w:rsidR="00115BAB">
        <w:fldChar w:fldCharType="begin"/>
      </w:r>
      <w:r>
        <w:instrText xml:space="preserve"> SEQ Table \* ARABIC </w:instrText>
      </w:r>
      <w:r w:rsidR="00115BAB">
        <w:fldChar w:fldCharType="separate"/>
      </w:r>
      <w:r w:rsidR="00A65CB3">
        <w:rPr>
          <w:noProof/>
        </w:rPr>
        <w:t>22</w:t>
      </w:r>
      <w:r w:rsidR="00115BAB">
        <w:rPr>
          <w:noProof/>
        </w:rPr>
        <w:fldChar w:fldCharType="end"/>
      </w:r>
      <w:bookmarkEnd w:id="99"/>
      <w:r>
        <w:t xml:space="preserve">: </w:t>
      </w:r>
      <w:r w:rsidRPr="00C42E3F">
        <w:t>Target Population Adjustment Factors by Crash Modes, and Vehicle Type</w:t>
      </w:r>
    </w:p>
    <w:tbl>
      <w:tblPr>
        <w:tblW w:w="7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38"/>
        <w:gridCol w:w="870"/>
        <w:gridCol w:w="864"/>
        <w:gridCol w:w="1350"/>
        <w:gridCol w:w="1404"/>
      </w:tblGrid>
      <w:tr w:rsidR="00A15C2C" w14:paraId="1BD969B8" w14:textId="77777777" w:rsidTr="007C52CE">
        <w:trPr>
          <w:trHeight w:val="144"/>
          <w:jc w:val="center"/>
        </w:trPr>
        <w:tc>
          <w:tcPr>
            <w:tcW w:w="0" w:type="auto"/>
            <w:vMerge w:val="restart"/>
            <w:shd w:val="clear" w:color="auto" w:fill="D9D9D9" w:themeFill="background1" w:themeFillShade="D9"/>
            <w:noWrap/>
            <w:vAlign w:val="center"/>
          </w:tcPr>
          <w:p w14:paraId="1D54C3BA" w14:textId="77777777" w:rsidR="00016C2E" w:rsidRPr="00A40423" w:rsidRDefault="000F5B51" w:rsidP="003C04C4">
            <w:pPr>
              <w:spacing w:after="0" w:line="240" w:lineRule="auto"/>
              <w:contextualSpacing/>
              <w:rPr>
                <w:rFonts w:cs="Times New Roman"/>
                <w:b/>
                <w:bCs/>
                <w:szCs w:val="24"/>
              </w:rPr>
            </w:pPr>
            <w:r w:rsidRPr="00A40423">
              <w:rPr>
                <w:rFonts w:cs="Times New Roman"/>
                <w:b/>
                <w:bCs/>
                <w:szCs w:val="24"/>
              </w:rPr>
              <w:t>Vehicle type</w:t>
            </w:r>
          </w:p>
        </w:tc>
        <w:tc>
          <w:tcPr>
            <w:tcW w:w="4488" w:type="dxa"/>
            <w:gridSpan w:val="4"/>
            <w:shd w:val="clear" w:color="auto" w:fill="D9D9D9" w:themeFill="background1" w:themeFillShade="D9"/>
            <w:noWrap/>
            <w:vAlign w:val="bottom"/>
          </w:tcPr>
          <w:p w14:paraId="57E58984" w14:textId="77777777" w:rsidR="00016C2E" w:rsidRPr="00A40423" w:rsidRDefault="000F5B51" w:rsidP="003C04C4">
            <w:pPr>
              <w:spacing w:after="0" w:line="240" w:lineRule="auto"/>
              <w:contextualSpacing/>
              <w:jc w:val="center"/>
              <w:rPr>
                <w:rFonts w:cs="Times New Roman"/>
                <w:b/>
                <w:bCs/>
                <w:szCs w:val="24"/>
              </w:rPr>
            </w:pPr>
            <w:r>
              <w:rPr>
                <w:rFonts w:cs="Times New Roman"/>
                <w:b/>
                <w:bCs/>
                <w:szCs w:val="24"/>
              </w:rPr>
              <w:t>Crash type</w:t>
            </w:r>
          </w:p>
        </w:tc>
      </w:tr>
      <w:tr w:rsidR="00A15C2C" w14:paraId="733907D5" w14:textId="77777777" w:rsidTr="003C04C4">
        <w:trPr>
          <w:trHeight w:val="315"/>
          <w:jc w:val="center"/>
        </w:trPr>
        <w:tc>
          <w:tcPr>
            <w:tcW w:w="0" w:type="auto"/>
            <w:vMerge/>
            <w:shd w:val="clear" w:color="auto" w:fill="D9D9D9" w:themeFill="background1" w:themeFillShade="D9"/>
            <w:noWrap/>
            <w:vAlign w:val="center"/>
          </w:tcPr>
          <w:p w14:paraId="7EB9665F" w14:textId="77777777" w:rsidR="00016C2E" w:rsidRPr="00A40423" w:rsidRDefault="00016C2E" w:rsidP="003C04C4">
            <w:pPr>
              <w:spacing w:after="0" w:line="240" w:lineRule="auto"/>
              <w:contextualSpacing/>
              <w:rPr>
                <w:rFonts w:cs="Times New Roman"/>
                <w:b/>
                <w:bCs/>
                <w:szCs w:val="24"/>
              </w:rPr>
            </w:pPr>
          </w:p>
        </w:tc>
        <w:tc>
          <w:tcPr>
            <w:tcW w:w="870" w:type="dxa"/>
            <w:shd w:val="clear" w:color="auto" w:fill="D9D9D9" w:themeFill="background1" w:themeFillShade="D9"/>
            <w:noWrap/>
            <w:vAlign w:val="bottom"/>
          </w:tcPr>
          <w:p w14:paraId="29994300" w14:textId="77777777" w:rsidR="00016C2E" w:rsidRPr="00A40423" w:rsidRDefault="000F5B51" w:rsidP="003C04C4">
            <w:pPr>
              <w:spacing w:after="0" w:line="240" w:lineRule="auto"/>
              <w:contextualSpacing/>
              <w:jc w:val="center"/>
              <w:rPr>
                <w:rFonts w:cs="Times New Roman"/>
                <w:b/>
                <w:bCs/>
                <w:szCs w:val="24"/>
              </w:rPr>
            </w:pPr>
            <w:r>
              <w:rPr>
                <w:rFonts w:cs="Times New Roman"/>
                <w:b/>
                <w:bCs/>
                <w:szCs w:val="24"/>
              </w:rPr>
              <w:t>Front</w:t>
            </w:r>
          </w:p>
        </w:tc>
        <w:tc>
          <w:tcPr>
            <w:tcW w:w="864" w:type="dxa"/>
            <w:shd w:val="clear" w:color="auto" w:fill="D9D9D9" w:themeFill="background1" w:themeFillShade="D9"/>
            <w:noWrap/>
            <w:vAlign w:val="bottom"/>
          </w:tcPr>
          <w:p w14:paraId="77AC0D78" w14:textId="77777777" w:rsidR="00016C2E" w:rsidRPr="00A40423" w:rsidRDefault="000F5B51" w:rsidP="003C04C4">
            <w:pPr>
              <w:spacing w:after="0" w:line="240" w:lineRule="auto"/>
              <w:contextualSpacing/>
              <w:jc w:val="center"/>
              <w:rPr>
                <w:rFonts w:cs="Times New Roman"/>
                <w:b/>
                <w:bCs/>
                <w:szCs w:val="24"/>
              </w:rPr>
            </w:pPr>
            <w:r>
              <w:rPr>
                <w:rFonts w:cs="Times New Roman"/>
                <w:b/>
                <w:bCs/>
                <w:szCs w:val="24"/>
              </w:rPr>
              <w:t>Rear</w:t>
            </w:r>
          </w:p>
        </w:tc>
        <w:tc>
          <w:tcPr>
            <w:tcW w:w="1350" w:type="dxa"/>
            <w:shd w:val="clear" w:color="auto" w:fill="D9D9D9" w:themeFill="background1" w:themeFillShade="D9"/>
            <w:noWrap/>
            <w:vAlign w:val="bottom"/>
          </w:tcPr>
          <w:p w14:paraId="1E8DB6D2" w14:textId="77777777" w:rsidR="00016C2E" w:rsidRPr="00A40423" w:rsidRDefault="000F5B51" w:rsidP="003C04C4">
            <w:pPr>
              <w:spacing w:after="0" w:line="240" w:lineRule="auto"/>
              <w:contextualSpacing/>
              <w:jc w:val="center"/>
              <w:rPr>
                <w:rFonts w:cs="Times New Roman"/>
                <w:b/>
                <w:bCs/>
                <w:szCs w:val="24"/>
              </w:rPr>
            </w:pPr>
            <w:r>
              <w:rPr>
                <w:rFonts w:cs="Times New Roman"/>
                <w:b/>
                <w:bCs/>
                <w:szCs w:val="24"/>
              </w:rPr>
              <w:t>Side</w:t>
            </w:r>
          </w:p>
        </w:tc>
        <w:tc>
          <w:tcPr>
            <w:tcW w:w="1404" w:type="dxa"/>
            <w:shd w:val="clear" w:color="auto" w:fill="D9D9D9" w:themeFill="background1" w:themeFillShade="D9"/>
            <w:noWrap/>
            <w:vAlign w:val="bottom"/>
          </w:tcPr>
          <w:p w14:paraId="3DAB6471" w14:textId="77777777" w:rsidR="00016C2E" w:rsidRPr="00A40423" w:rsidRDefault="000F5B51" w:rsidP="003C04C4">
            <w:pPr>
              <w:spacing w:after="0" w:line="240" w:lineRule="auto"/>
              <w:contextualSpacing/>
              <w:jc w:val="center"/>
              <w:rPr>
                <w:rFonts w:cs="Times New Roman"/>
                <w:b/>
                <w:bCs/>
                <w:szCs w:val="24"/>
              </w:rPr>
            </w:pPr>
            <w:r>
              <w:rPr>
                <w:rFonts w:cs="Times New Roman"/>
                <w:b/>
                <w:bCs/>
                <w:szCs w:val="24"/>
              </w:rPr>
              <w:t>Rollover</w:t>
            </w:r>
          </w:p>
        </w:tc>
      </w:tr>
      <w:tr w:rsidR="00A15C2C" w14:paraId="64C0C092" w14:textId="77777777" w:rsidTr="003C04C4">
        <w:trPr>
          <w:trHeight w:val="375"/>
          <w:jc w:val="center"/>
        </w:trPr>
        <w:tc>
          <w:tcPr>
            <w:tcW w:w="0" w:type="auto"/>
            <w:noWrap/>
            <w:vAlign w:val="center"/>
            <w:hideMark/>
          </w:tcPr>
          <w:p w14:paraId="6DEE6CD7" w14:textId="77777777" w:rsidR="00016C2E" w:rsidRPr="00A40423" w:rsidRDefault="000F5B51" w:rsidP="003C04C4">
            <w:pPr>
              <w:spacing w:after="0" w:line="240" w:lineRule="auto"/>
              <w:contextualSpacing/>
              <w:rPr>
                <w:rFonts w:cs="Times New Roman"/>
                <w:szCs w:val="24"/>
              </w:rPr>
            </w:pPr>
            <w:r w:rsidRPr="00A40423">
              <w:rPr>
                <w:rFonts w:cs="Times New Roman"/>
                <w:szCs w:val="24"/>
              </w:rPr>
              <w:t>PC</w:t>
            </w:r>
          </w:p>
        </w:tc>
        <w:tc>
          <w:tcPr>
            <w:tcW w:w="870" w:type="dxa"/>
            <w:noWrap/>
            <w:vAlign w:val="center"/>
            <w:hideMark/>
          </w:tcPr>
          <w:p w14:paraId="6ED254AF" w14:textId="77777777" w:rsidR="00016C2E" w:rsidRPr="00E752A0" w:rsidRDefault="000F5B51" w:rsidP="003C04C4">
            <w:pPr>
              <w:spacing w:after="0" w:line="240" w:lineRule="auto"/>
              <w:contextualSpacing/>
              <w:jc w:val="center"/>
              <w:rPr>
                <w:rFonts w:cs="Times New Roman"/>
                <w:b/>
                <w:bCs/>
                <w:sz w:val="28"/>
                <w:szCs w:val="28"/>
              </w:rPr>
            </w:pPr>
            <w:r w:rsidRPr="00E1167C">
              <w:t>1</w:t>
            </w:r>
            <w:r>
              <w:t>.0000</w:t>
            </w:r>
          </w:p>
        </w:tc>
        <w:tc>
          <w:tcPr>
            <w:tcW w:w="864" w:type="dxa"/>
            <w:noWrap/>
            <w:vAlign w:val="center"/>
            <w:hideMark/>
          </w:tcPr>
          <w:p w14:paraId="1607C306" w14:textId="77777777" w:rsidR="00016C2E" w:rsidRPr="00E752A0" w:rsidRDefault="000F5B51" w:rsidP="003C04C4">
            <w:pPr>
              <w:spacing w:after="0" w:line="240" w:lineRule="auto"/>
              <w:contextualSpacing/>
              <w:jc w:val="center"/>
              <w:rPr>
                <w:rFonts w:cs="Times New Roman"/>
                <w:b/>
                <w:bCs/>
                <w:sz w:val="28"/>
                <w:szCs w:val="28"/>
              </w:rPr>
            </w:pPr>
            <w:r w:rsidRPr="00E1167C">
              <w:t>1</w:t>
            </w:r>
            <w:r>
              <w:t>.0000</w:t>
            </w:r>
          </w:p>
        </w:tc>
        <w:tc>
          <w:tcPr>
            <w:tcW w:w="1350" w:type="dxa"/>
            <w:noWrap/>
            <w:vAlign w:val="center"/>
            <w:hideMark/>
          </w:tcPr>
          <w:p w14:paraId="42D183FD" w14:textId="77777777" w:rsidR="00016C2E" w:rsidRPr="004E0A15" w:rsidRDefault="000F5B51" w:rsidP="003C04C4">
            <w:pPr>
              <w:spacing w:after="0" w:line="240" w:lineRule="auto"/>
              <w:contextualSpacing/>
              <w:jc w:val="center"/>
            </w:pPr>
            <w:r w:rsidRPr="004E0A15">
              <w:t>0.7705</w:t>
            </w:r>
          </w:p>
        </w:tc>
        <w:tc>
          <w:tcPr>
            <w:tcW w:w="1404" w:type="dxa"/>
            <w:noWrap/>
            <w:vAlign w:val="center"/>
            <w:hideMark/>
          </w:tcPr>
          <w:p w14:paraId="7AC14D55" w14:textId="77777777" w:rsidR="00016C2E" w:rsidRPr="00E752A0" w:rsidRDefault="000F5B51" w:rsidP="003C04C4">
            <w:pPr>
              <w:spacing w:after="0" w:line="240" w:lineRule="auto"/>
              <w:contextualSpacing/>
              <w:jc w:val="center"/>
              <w:rPr>
                <w:rFonts w:cs="Times New Roman"/>
                <w:b/>
                <w:bCs/>
                <w:sz w:val="28"/>
                <w:szCs w:val="28"/>
              </w:rPr>
            </w:pPr>
            <w:r>
              <w:t>0.5686</w:t>
            </w:r>
          </w:p>
        </w:tc>
      </w:tr>
      <w:tr w:rsidR="00A15C2C" w14:paraId="033E38D5" w14:textId="77777777" w:rsidTr="003C04C4">
        <w:trPr>
          <w:trHeight w:val="375"/>
          <w:jc w:val="center"/>
        </w:trPr>
        <w:tc>
          <w:tcPr>
            <w:tcW w:w="0" w:type="auto"/>
            <w:noWrap/>
            <w:vAlign w:val="center"/>
            <w:hideMark/>
          </w:tcPr>
          <w:p w14:paraId="51A88345" w14:textId="77777777" w:rsidR="00016C2E" w:rsidRPr="00A40423" w:rsidRDefault="000F5B51" w:rsidP="003C04C4">
            <w:pPr>
              <w:spacing w:after="0" w:line="240" w:lineRule="auto"/>
              <w:rPr>
                <w:rFonts w:eastAsia="Times New Roman" w:cs="Times New Roman"/>
                <w:color w:val="000000"/>
                <w:szCs w:val="24"/>
                <w:lang w:eastAsia="ja-JP"/>
              </w:rPr>
            </w:pPr>
            <w:r w:rsidRPr="00A40423">
              <w:rPr>
                <w:rFonts w:eastAsia="Times New Roman" w:cs="Times New Roman"/>
                <w:color w:val="000000"/>
                <w:szCs w:val="24"/>
                <w:lang w:eastAsia="ja-JP"/>
              </w:rPr>
              <w:t>LTV</w:t>
            </w:r>
          </w:p>
        </w:tc>
        <w:tc>
          <w:tcPr>
            <w:tcW w:w="870" w:type="dxa"/>
            <w:noWrap/>
            <w:vAlign w:val="center"/>
            <w:hideMark/>
          </w:tcPr>
          <w:p w14:paraId="48C0CCED" w14:textId="77777777" w:rsidR="00016C2E" w:rsidRPr="00E752A0" w:rsidRDefault="000F5B51" w:rsidP="003C04C4">
            <w:pPr>
              <w:spacing w:after="0" w:line="240" w:lineRule="auto"/>
              <w:jc w:val="center"/>
              <w:rPr>
                <w:rFonts w:eastAsia="Times New Roman" w:cs="Times New Roman"/>
                <w:b/>
                <w:bCs/>
                <w:color w:val="000000"/>
                <w:sz w:val="28"/>
                <w:szCs w:val="28"/>
                <w:lang w:eastAsia="ja-JP"/>
              </w:rPr>
            </w:pPr>
            <w:r w:rsidRPr="00E1167C">
              <w:t>1</w:t>
            </w:r>
            <w:r>
              <w:t>.0000</w:t>
            </w:r>
          </w:p>
        </w:tc>
        <w:tc>
          <w:tcPr>
            <w:tcW w:w="864" w:type="dxa"/>
            <w:noWrap/>
            <w:vAlign w:val="center"/>
            <w:hideMark/>
          </w:tcPr>
          <w:p w14:paraId="2782784A" w14:textId="77777777" w:rsidR="00016C2E" w:rsidRPr="00E752A0" w:rsidRDefault="000F5B51" w:rsidP="003C04C4">
            <w:pPr>
              <w:spacing w:after="0" w:line="240" w:lineRule="auto"/>
              <w:jc w:val="center"/>
              <w:rPr>
                <w:rFonts w:eastAsia="Times New Roman" w:cs="Times New Roman"/>
                <w:b/>
                <w:bCs/>
                <w:color w:val="000000"/>
                <w:sz w:val="28"/>
                <w:szCs w:val="28"/>
                <w:lang w:eastAsia="ja-JP"/>
              </w:rPr>
            </w:pPr>
            <w:r w:rsidRPr="00E1167C">
              <w:t>1</w:t>
            </w:r>
            <w:r>
              <w:t>.0000</w:t>
            </w:r>
          </w:p>
        </w:tc>
        <w:tc>
          <w:tcPr>
            <w:tcW w:w="1350" w:type="dxa"/>
            <w:noWrap/>
            <w:vAlign w:val="center"/>
            <w:hideMark/>
          </w:tcPr>
          <w:p w14:paraId="534D80B4" w14:textId="77777777" w:rsidR="00016C2E" w:rsidRPr="004E0A15" w:rsidRDefault="000F5B51" w:rsidP="003C04C4">
            <w:pPr>
              <w:spacing w:after="0" w:line="240" w:lineRule="auto"/>
              <w:contextualSpacing/>
              <w:jc w:val="center"/>
            </w:pPr>
            <w:r w:rsidRPr="004E0A15">
              <w:t>0.7694</w:t>
            </w:r>
          </w:p>
        </w:tc>
        <w:tc>
          <w:tcPr>
            <w:tcW w:w="1404" w:type="dxa"/>
            <w:noWrap/>
            <w:vAlign w:val="center"/>
            <w:hideMark/>
          </w:tcPr>
          <w:p w14:paraId="5F4F60B7" w14:textId="77777777" w:rsidR="00016C2E" w:rsidRPr="00E752A0" w:rsidRDefault="000F5B51" w:rsidP="003C04C4">
            <w:pPr>
              <w:spacing w:after="0" w:line="240" w:lineRule="auto"/>
              <w:jc w:val="center"/>
              <w:rPr>
                <w:rFonts w:eastAsia="Times New Roman" w:cs="Times New Roman"/>
                <w:b/>
                <w:bCs/>
                <w:color w:val="000000"/>
                <w:sz w:val="28"/>
                <w:szCs w:val="28"/>
                <w:lang w:eastAsia="ja-JP"/>
              </w:rPr>
            </w:pPr>
            <w:r>
              <w:t>0.5104</w:t>
            </w:r>
          </w:p>
        </w:tc>
      </w:tr>
    </w:tbl>
    <w:p w14:paraId="0516E985" w14:textId="77777777" w:rsidR="00016C2E" w:rsidRDefault="00016C2E" w:rsidP="0055589E">
      <w:pPr>
        <w:pStyle w:val="NoSpaceTimes"/>
      </w:pPr>
    </w:p>
    <w:p w14:paraId="5B095840" w14:textId="195CA662" w:rsidR="00DB604D" w:rsidRDefault="000F5B51" w:rsidP="00C871A0">
      <w:pPr>
        <w:spacing w:after="0"/>
      </w:pPr>
      <w:r w:rsidRPr="0055589E">
        <w:t xml:space="preserve">Furthermore, the front occupant target population </w:t>
      </w:r>
      <w:r w:rsidR="00F26DC7">
        <w:t xml:space="preserve">includes </w:t>
      </w:r>
      <w:r w:rsidRPr="0055589E">
        <w:t xml:space="preserve">three </w:t>
      </w:r>
      <w:r w:rsidR="00F26DC7">
        <w:t>type</w:t>
      </w:r>
      <w:r w:rsidRPr="0055589E">
        <w:t>s</w:t>
      </w:r>
      <w:r w:rsidR="00F26DC7">
        <w:t xml:space="preserve"> of occupants</w:t>
      </w:r>
      <w:r w:rsidRPr="0055589E">
        <w:t xml:space="preserve">: drivers, </w:t>
      </w:r>
      <w:r w:rsidR="00F26DC7">
        <w:t>right front seat occupant</w:t>
      </w:r>
      <w:r w:rsidRPr="0055589E">
        <w:t xml:space="preserve">s, and center </w:t>
      </w:r>
      <w:r w:rsidR="00F26DC7">
        <w:t xml:space="preserve">front </w:t>
      </w:r>
      <w:r w:rsidRPr="0055589E">
        <w:t xml:space="preserve">seat </w:t>
      </w:r>
      <w:r w:rsidR="00F26DC7">
        <w:t>occupants</w:t>
      </w:r>
      <w:r w:rsidR="001F2F92">
        <w:t xml:space="preserve">. </w:t>
      </w:r>
      <w:r w:rsidRPr="0055589E">
        <w:t>The following subsection</w:t>
      </w:r>
      <w:r w:rsidR="00C871A0">
        <w:t>s</w:t>
      </w:r>
      <w:r w:rsidRPr="0055589E">
        <w:t xml:space="preserve"> discuss the </w:t>
      </w:r>
      <w:r w:rsidR="004E09FB">
        <w:t xml:space="preserve">adjusted </w:t>
      </w:r>
      <w:r w:rsidRPr="0055589E">
        <w:t xml:space="preserve">target population for drivers and </w:t>
      </w:r>
      <w:r w:rsidR="00B442B6">
        <w:t>right front seat</w:t>
      </w:r>
      <w:r w:rsidRPr="0055589E">
        <w:t xml:space="preserve"> </w:t>
      </w:r>
      <w:r w:rsidR="00B442B6">
        <w:t>occupants</w:t>
      </w:r>
      <w:r w:rsidR="00F26DC7">
        <w:t xml:space="preserve"> who are bot</w:t>
      </w:r>
      <w:r w:rsidR="00895D33">
        <w:t xml:space="preserve">h included in the requirements </w:t>
      </w:r>
      <w:r w:rsidR="00C871A0">
        <w:t>specified in</w:t>
      </w:r>
      <w:r w:rsidR="00895D33">
        <w:t xml:space="preserve"> the proposed rule</w:t>
      </w:r>
      <w:r w:rsidR="001F2F92">
        <w:t xml:space="preserve">. </w:t>
      </w:r>
      <w:r w:rsidR="006E610C">
        <w:t>See section</w:t>
      </w:r>
      <w:r w:rsidR="00BC41E1">
        <w:t xml:space="preserve"> </w:t>
      </w:r>
      <w:r w:rsidR="00D70340">
        <w:fldChar w:fldCharType="begin"/>
      </w:r>
      <w:r w:rsidR="00D70340">
        <w:instrText xml:space="preserve"> REF _Ref126929248 \r \h </w:instrText>
      </w:r>
      <w:r w:rsidR="00D70340">
        <w:fldChar w:fldCharType="separate"/>
      </w:r>
      <w:r w:rsidR="00A65CB3">
        <w:t>10.2</w:t>
      </w:r>
      <w:r w:rsidR="00D70340">
        <w:fldChar w:fldCharType="end"/>
      </w:r>
      <w:r w:rsidR="00895D33">
        <w:t xml:space="preserve"> for a discussion of the regulatory alternative that considers the inclusion of </w:t>
      </w:r>
      <w:r w:rsidR="00B442B6">
        <w:t>center front seat occupants.</w:t>
      </w:r>
    </w:p>
    <w:p w14:paraId="108B8448" w14:textId="77777777" w:rsidR="00DB604D" w:rsidRDefault="000F5B51" w:rsidP="00DB604D">
      <w:pPr>
        <w:pStyle w:val="Heading3"/>
        <w:spacing w:before="0" w:line="240" w:lineRule="auto"/>
      </w:pPr>
      <w:bookmarkStart w:id="100" w:name="_Toc142902972"/>
      <w:r>
        <w:t>Adjusted Target Population</w:t>
      </w:r>
      <w:bookmarkEnd w:id="100"/>
    </w:p>
    <w:p w14:paraId="535E7E12" w14:textId="197A01DB" w:rsidR="00DC7D3D" w:rsidRDefault="000F5B51" w:rsidP="0055589E">
      <w:pPr>
        <w:spacing w:after="0"/>
        <w:contextualSpacing/>
        <w:rPr>
          <w:rFonts w:cs="Times New Roman"/>
        </w:rPr>
      </w:pPr>
      <w:r>
        <w:fldChar w:fldCharType="begin"/>
      </w:r>
      <w:r>
        <w:instrText xml:space="preserve"> REF _Ref126040323 \h </w:instrText>
      </w:r>
      <w:r>
        <w:fldChar w:fldCharType="separate"/>
      </w:r>
      <w:r w:rsidR="00A65CB3">
        <w:t xml:space="preserve">Table </w:t>
      </w:r>
      <w:r w:rsidR="00A65CB3">
        <w:rPr>
          <w:noProof/>
        </w:rPr>
        <w:t>23</w:t>
      </w:r>
      <w:r>
        <w:fldChar w:fldCharType="end"/>
      </w:r>
      <w:r>
        <w:t xml:space="preserve"> presents the</w:t>
      </w:r>
      <w:r w:rsidR="00D21D95">
        <w:t xml:space="preserve"> adjusted</w:t>
      </w:r>
      <w:r>
        <w:t xml:space="preserve"> annual average of fatalities for drivers</w:t>
      </w:r>
      <w:r w:rsidR="00D508D0">
        <w:t xml:space="preserve"> by vehicle type and crash type</w:t>
      </w:r>
      <w:r w:rsidR="001F2F92">
        <w:t xml:space="preserve">. </w:t>
      </w:r>
      <w:r w:rsidR="00D508D0">
        <w:t xml:space="preserve">For passenger cars, </w:t>
      </w:r>
      <w:r w:rsidR="00D508D0" w:rsidRPr="4CA445B8">
        <w:rPr>
          <w:rFonts w:cs="Times New Roman"/>
        </w:rPr>
        <w:t>there were a total of</w:t>
      </w:r>
      <w:r w:rsidR="0054012D" w:rsidRPr="4CA445B8">
        <w:rPr>
          <w:rFonts w:cs="Times New Roman"/>
        </w:rPr>
        <w:t xml:space="preserve"> 7,192 fatalities, annually</w:t>
      </w:r>
      <w:r w:rsidR="001F2F92">
        <w:rPr>
          <w:rFonts w:cs="Times New Roman"/>
        </w:rPr>
        <w:t xml:space="preserve">. </w:t>
      </w:r>
      <w:r w:rsidR="0054012D" w:rsidRPr="4CA445B8">
        <w:rPr>
          <w:rFonts w:cs="Times New Roman"/>
        </w:rPr>
        <w:t xml:space="preserve">Of those fatalities, </w:t>
      </w:r>
      <w:r w:rsidR="007B5B7D" w:rsidRPr="4CA445B8">
        <w:rPr>
          <w:rFonts w:cs="Times New Roman"/>
        </w:rPr>
        <w:t>4,205</w:t>
      </w:r>
      <w:r w:rsidR="00E95DFE" w:rsidRPr="4CA445B8">
        <w:rPr>
          <w:rFonts w:cs="Times New Roman"/>
        </w:rPr>
        <w:t xml:space="preserve"> were </w:t>
      </w:r>
      <w:r w:rsidR="00D508D0" w:rsidRPr="4CA445B8">
        <w:rPr>
          <w:rFonts w:cs="Times New Roman"/>
        </w:rPr>
        <w:t xml:space="preserve">restrained and </w:t>
      </w:r>
      <w:r w:rsidR="0036543F" w:rsidRPr="4CA445B8">
        <w:rPr>
          <w:rFonts w:cs="Times New Roman"/>
        </w:rPr>
        <w:t>2,987</w:t>
      </w:r>
      <w:r w:rsidR="00D508D0" w:rsidRPr="4CA445B8">
        <w:rPr>
          <w:rFonts w:cs="Times New Roman"/>
        </w:rPr>
        <w:t xml:space="preserve"> </w:t>
      </w:r>
      <w:r w:rsidR="00E95DFE" w:rsidRPr="4CA445B8">
        <w:rPr>
          <w:rFonts w:cs="Times New Roman"/>
        </w:rPr>
        <w:t xml:space="preserve">were </w:t>
      </w:r>
      <w:r w:rsidR="00D508D0" w:rsidRPr="4CA445B8">
        <w:rPr>
          <w:rFonts w:cs="Times New Roman"/>
        </w:rPr>
        <w:t>unrestrained driver fatalities</w:t>
      </w:r>
      <w:r w:rsidR="001F2F92">
        <w:rPr>
          <w:rFonts w:cs="Times New Roman"/>
        </w:rPr>
        <w:t xml:space="preserve">. </w:t>
      </w:r>
      <w:r w:rsidR="00D508D0" w:rsidRPr="4CA445B8">
        <w:rPr>
          <w:rFonts w:cs="Times New Roman"/>
        </w:rPr>
        <w:t>For light trucks, there were</w:t>
      </w:r>
      <w:r w:rsidR="00D508D0" w:rsidRPr="00D508D0">
        <w:t xml:space="preserve"> </w:t>
      </w:r>
      <w:r w:rsidR="00D508D0" w:rsidRPr="4CA445B8">
        <w:rPr>
          <w:rFonts w:cs="Times New Roman"/>
        </w:rPr>
        <w:t xml:space="preserve">a total of </w:t>
      </w:r>
      <w:r w:rsidR="00E95DFE" w:rsidRPr="4CA445B8">
        <w:rPr>
          <w:rFonts w:cs="Times New Roman"/>
        </w:rPr>
        <w:t>4,956</w:t>
      </w:r>
      <w:r w:rsidR="00430058" w:rsidRPr="4CA445B8">
        <w:rPr>
          <w:rFonts w:cs="Times New Roman"/>
        </w:rPr>
        <w:t xml:space="preserve"> fatalities, annually</w:t>
      </w:r>
      <w:r w:rsidR="001F2F92">
        <w:rPr>
          <w:rFonts w:cs="Times New Roman"/>
        </w:rPr>
        <w:t xml:space="preserve">. </w:t>
      </w:r>
      <w:r w:rsidR="00430058" w:rsidRPr="4CA445B8">
        <w:rPr>
          <w:rFonts w:cs="Times New Roman"/>
        </w:rPr>
        <w:t xml:space="preserve">Of those fatalities, </w:t>
      </w:r>
      <w:r w:rsidR="00A57F3E" w:rsidRPr="4CA445B8">
        <w:rPr>
          <w:rFonts w:cs="Times New Roman"/>
        </w:rPr>
        <w:t>2,287</w:t>
      </w:r>
      <w:r w:rsidR="00430058" w:rsidRPr="4CA445B8">
        <w:rPr>
          <w:rFonts w:cs="Times New Roman"/>
        </w:rPr>
        <w:t xml:space="preserve"> were</w:t>
      </w:r>
      <w:r w:rsidR="00D508D0" w:rsidRPr="4CA445B8">
        <w:rPr>
          <w:rFonts w:cs="Times New Roman"/>
        </w:rPr>
        <w:t xml:space="preserve"> restrained and </w:t>
      </w:r>
      <w:r w:rsidR="00A57F3E" w:rsidRPr="4CA445B8">
        <w:rPr>
          <w:rFonts w:cs="Times New Roman"/>
        </w:rPr>
        <w:t>2,669</w:t>
      </w:r>
      <w:r w:rsidR="00D508D0" w:rsidRPr="4CA445B8">
        <w:rPr>
          <w:rFonts w:cs="Times New Roman"/>
        </w:rPr>
        <w:t xml:space="preserve"> </w:t>
      </w:r>
      <w:r w:rsidR="00430058" w:rsidRPr="4CA445B8">
        <w:rPr>
          <w:rFonts w:cs="Times New Roman"/>
        </w:rPr>
        <w:t xml:space="preserve">were </w:t>
      </w:r>
      <w:r w:rsidR="00D508D0" w:rsidRPr="4CA445B8">
        <w:rPr>
          <w:rFonts w:cs="Times New Roman"/>
        </w:rPr>
        <w:t>unrestrained driver fatalities</w:t>
      </w:r>
      <w:r w:rsidR="001F2F92">
        <w:rPr>
          <w:rFonts w:cs="Times New Roman"/>
        </w:rPr>
        <w:t xml:space="preserve">. </w:t>
      </w:r>
    </w:p>
    <w:p w14:paraId="0453EDAF" w14:textId="1B7F47D5" w:rsidR="00435D89" w:rsidRDefault="00435D89" w:rsidP="0055589E">
      <w:pPr>
        <w:spacing w:after="0"/>
        <w:contextualSpacing/>
        <w:rPr>
          <w:rFonts w:cs="Times New Roman"/>
        </w:rPr>
      </w:pPr>
    </w:p>
    <w:p w14:paraId="7CF37EAE" w14:textId="0A017D40" w:rsidR="00435D89" w:rsidRDefault="00435D89" w:rsidP="0055589E">
      <w:pPr>
        <w:spacing w:after="0"/>
        <w:contextualSpacing/>
        <w:rPr>
          <w:rFonts w:cs="Times New Roman"/>
        </w:rPr>
      </w:pPr>
    </w:p>
    <w:p w14:paraId="762EB812" w14:textId="3B183A12" w:rsidR="00435D89" w:rsidRDefault="00435D89" w:rsidP="0055589E">
      <w:pPr>
        <w:spacing w:after="0"/>
        <w:contextualSpacing/>
        <w:rPr>
          <w:rFonts w:cs="Times New Roman"/>
        </w:rPr>
      </w:pPr>
    </w:p>
    <w:p w14:paraId="2B788AD3" w14:textId="24695693" w:rsidR="00435D89" w:rsidRDefault="00435D89" w:rsidP="0055589E">
      <w:pPr>
        <w:spacing w:after="0"/>
        <w:contextualSpacing/>
        <w:rPr>
          <w:rFonts w:cs="Times New Roman"/>
        </w:rPr>
      </w:pPr>
    </w:p>
    <w:p w14:paraId="782B0F94" w14:textId="77777777" w:rsidR="00435D89" w:rsidRDefault="00435D89" w:rsidP="0055589E">
      <w:pPr>
        <w:spacing w:after="0"/>
        <w:contextualSpacing/>
      </w:pPr>
    </w:p>
    <w:p w14:paraId="6B17500E" w14:textId="42BC2AF7" w:rsidR="00D13E52" w:rsidRDefault="000F5B51" w:rsidP="00CC3EB7">
      <w:pPr>
        <w:pStyle w:val="Caption"/>
      </w:pPr>
      <w:bookmarkStart w:id="101" w:name="_Ref126148672"/>
      <w:bookmarkStart w:id="102" w:name="_Ref126040323"/>
      <w:r>
        <w:lastRenderedPageBreak/>
        <w:t xml:space="preserve">Table </w:t>
      </w:r>
      <w:r w:rsidR="00115BAB">
        <w:fldChar w:fldCharType="begin"/>
      </w:r>
      <w:r>
        <w:instrText xml:space="preserve"> SEQ Table \* ARABIC </w:instrText>
      </w:r>
      <w:r w:rsidR="00115BAB">
        <w:fldChar w:fldCharType="separate"/>
      </w:r>
      <w:r w:rsidR="00A65CB3">
        <w:rPr>
          <w:noProof/>
        </w:rPr>
        <w:t>23</w:t>
      </w:r>
      <w:r w:rsidR="00115BAB">
        <w:rPr>
          <w:noProof/>
        </w:rPr>
        <w:fldChar w:fldCharType="end"/>
      </w:r>
      <w:bookmarkEnd w:id="101"/>
      <w:bookmarkEnd w:id="102"/>
      <w:r>
        <w:t xml:space="preserve">: </w:t>
      </w:r>
      <w:r w:rsidRPr="00DF508E">
        <w:t xml:space="preserve">Annual Fatalities for </w:t>
      </w:r>
      <w:r>
        <w:t>Drivers</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530"/>
        <w:gridCol w:w="2070"/>
        <w:gridCol w:w="2340"/>
        <w:gridCol w:w="1615"/>
      </w:tblGrid>
      <w:tr w:rsidR="00A15C2C" w14:paraId="4ED7C680" w14:textId="77777777" w:rsidTr="0055589E">
        <w:trPr>
          <w:trHeight w:val="290"/>
          <w:jc w:val="center"/>
        </w:trPr>
        <w:tc>
          <w:tcPr>
            <w:tcW w:w="1795" w:type="dxa"/>
            <w:shd w:val="clear" w:color="auto" w:fill="D9D9D9" w:themeFill="background1" w:themeFillShade="D9"/>
            <w:noWrap/>
            <w:vAlign w:val="center"/>
            <w:hideMark/>
          </w:tcPr>
          <w:p w14:paraId="786708EB" w14:textId="77777777" w:rsidR="0094268C" w:rsidRPr="000F1504" w:rsidRDefault="000F5B51" w:rsidP="006635AE">
            <w:pPr>
              <w:spacing w:after="0" w:line="240" w:lineRule="auto"/>
              <w:rPr>
                <w:rFonts w:eastAsia="Times New Roman" w:cs="Times New Roman"/>
                <w:b/>
                <w:bCs/>
                <w:color w:val="000000"/>
                <w:szCs w:val="24"/>
              </w:rPr>
            </w:pPr>
            <w:bookmarkStart w:id="103" w:name="_Hlk126158944"/>
            <w:r w:rsidRPr="000F1504">
              <w:rPr>
                <w:rFonts w:eastAsia="Times New Roman" w:cs="Times New Roman"/>
                <w:b/>
                <w:bCs/>
                <w:color w:val="000000"/>
                <w:szCs w:val="24"/>
              </w:rPr>
              <w:t>Vehicle Type</w:t>
            </w:r>
          </w:p>
        </w:tc>
        <w:tc>
          <w:tcPr>
            <w:tcW w:w="1530" w:type="dxa"/>
            <w:shd w:val="clear" w:color="auto" w:fill="D9D9D9" w:themeFill="background1" w:themeFillShade="D9"/>
            <w:noWrap/>
            <w:vAlign w:val="center"/>
            <w:hideMark/>
          </w:tcPr>
          <w:p w14:paraId="23CE0580" w14:textId="77777777" w:rsidR="0094268C" w:rsidRPr="000F1504" w:rsidRDefault="000F5B51" w:rsidP="006635AE">
            <w:pPr>
              <w:spacing w:after="0" w:line="240" w:lineRule="auto"/>
              <w:jc w:val="center"/>
              <w:rPr>
                <w:rFonts w:eastAsia="Times New Roman" w:cs="Times New Roman"/>
                <w:b/>
                <w:bCs/>
                <w:color w:val="000000"/>
                <w:szCs w:val="24"/>
              </w:rPr>
            </w:pPr>
            <w:r w:rsidRPr="000F1504">
              <w:rPr>
                <w:rFonts w:eastAsia="Times New Roman" w:cs="Times New Roman"/>
                <w:b/>
                <w:bCs/>
                <w:color w:val="000000"/>
                <w:szCs w:val="24"/>
              </w:rPr>
              <w:t>Crash type</w:t>
            </w:r>
          </w:p>
        </w:tc>
        <w:tc>
          <w:tcPr>
            <w:tcW w:w="2070" w:type="dxa"/>
            <w:shd w:val="clear" w:color="auto" w:fill="D9D9D9" w:themeFill="background1" w:themeFillShade="D9"/>
            <w:noWrap/>
            <w:vAlign w:val="center"/>
            <w:hideMark/>
          </w:tcPr>
          <w:p w14:paraId="31B5C928" w14:textId="77777777" w:rsidR="0094268C" w:rsidRPr="000F1504" w:rsidRDefault="000F5B51" w:rsidP="006635AE">
            <w:pPr>
              <w:spacing w:after="0" w:line="240" w:lineRule="auto"/>
              <w:jc w:val="center"/>
              <w:rPr>
                <w:rFonts w:eastAsia="Times New Roman" w:cs="Times New Roman"/>
                <w:b/>
                <w:bCs/>
                <w:color w:val="000000"/>
                <w:szCs w:val="24"/>
              </w:rPr>
            </w:pPr>
            <w:r>
              <w:rPr>
                <w:rFonts w:eastAsia="Times New Roman" w:cs="Times New Roman"/>
                <w:b/>
                <w:bCs/>
                <w:color w:val="000000"/>
                <w:szCs w:val="24"/>
              </w:rPr>
              <w:t xml:space="preserve">Restrained </w:t>
            </w:r>
          </w:p>
        </w:tc>
        <w:tc>
          <w:tcPr>
            <w:tcW w:w="2340" w:type="dxa"/>
            <w:shd w:val="clear" w:color="auto" w:fill="D9D9D9" w:themeFill="background1" w:themeFillShade="D9"/>
            <w:noWrap/>
            <w:vAlign w:val="center"/>
            <w:hideMark/>
          </w:tcPr>
          <w:p w14:paraId="25F2CC37" w14:textId="77777777" w:rsidR="0094268C" w:rsidRPr="000F1504" w:rsidRDefault="000F5B51" w:rsidP="006635AE">
            <w:pPr>
              <w:spacing w:after="0" w:line="240" w:lineRule="auto"/>
              <w:jc w:val="center"/>
              <w:rPr>
                <w:rFonts w:eastAsia="Times New Roman" w:cs="Times New Roman"/>
                <w:b/>
                <w:bCs/>
                <w:color w:val="000000"/>
                <w:szCs w:val="24"/>
              </w:rPr>
            </w:pPr>
            <w:r>
              <w:rPr>
                <w:rFonts w:eastAsia="Times New Roman" w:cs="Times New Roman"/>
                <w:b/>
                <w:bCs/>
                <w:color w:val="000000"/>
                <w:szCs w:val="24"/>
              </w:rPr>
              <w:t>Unrestrained</w:t>
            </w:r>
          </w:p>
        </w:tc>
        <w:tc>
          <w:tcPr>
            <w:tcW w:w="1615" w:type="dxa"/>
            <w:shd w:val="clear" w:color="auto" w:fill="D9D9D9" w:themeFill="background1" w:themeFillShade="D9"/>
          </w:tcPr>
          <w:p w14:paraId="6E9114CC" w14:textId="77777777" w:rsidR="0094268C" w:rsidRDefault="000F5B51" w:rsidP="006635AE">
            <w:pPr>
              <w:spacing w:after="0" w:line="240" w:lineRule="auto"/>
              <w:jc w:val="center"/>
              <w:rPr>
                <w:rFonts w:eastAsia="Times New Roman" w:cs="Times New Roman"/>
                <w:b/>
                <w:bCs/>
                <w:color w:val="000000"/>
                <w:szCs w:val="24"/>
              </w:rPr>
            </w:pPr>
            <w:r>
              <w:rPr>
                <w:rFonts w:eastAsia="Times New Roman" w:cs="Times New Roman"/>
                <w:b/>
                <w:bCs/>
                <w:color w:val="000000"/>
                <w:szCs w:val="24"/>
              </w:rPr>
              <w:t>Total</w:t>
            </w:r>
          </w:p>
        </w:tc>
      </w:tr>
      <w:tr w:rsidR="00A15C2C" w14:paraId="627D9577" w14:textId="77777777" w:rsidTr="0055589E">
        <w:trPr>
          <w:trHeight w:val="290"/>
          <w:jc w:val="center"/>
        </w:trPr>
        <w:tc>
          <w:tcPr>
            <w:tcW w:w="1795" w:type="dxa"/>
            <w:vMerge w:val="restart"/>
            <w:shd w:val="clear" w:color="auto" w:fill="auto"/>
            <w:noWrap/>
            <w:vAlign w:val="center"/>
            <w:hideMark/>
          </w:tcPr>
          <w:p w14:paraId="46E70806" w14:textId="77777777" w:rsidR="004C6B98" w:rsidRPr="009F7CC9" w:rsidRDefault="000F5B51" w:rsidP="004C6B98">
            <w:pPr>
              <w:spacing w:after="0" w:line="240" w:lineRule="auto"/>
              <w:rPr>
                <w:rFonts w:eastAsia="Times New Roman" w:cs="Times New Roman"/>
                <w:b/>
                <w:bCs/>
                <w:color w:val="000000"/>
                <w:szCs w:val="24"/>
              </w:rPr>
            </w:pPr>
            <w:r w:rsidRPr="009F7CC9">
              <w:rPr>
                <w:rFonts w:eastAsia="Times New Roman" w:cs="Times New Roman"/>
                <w:b/>
                <w:bCs/>
                <w:color w:val="000000"/>
                <w:szCs w:val="24"/>
              </w:rPr>
              <w:t>PC</w:t>
            </w:r>
          </w:p>
        </w:tc>
        <w:tc>
          <w:tcPr>
            <w:tcW w:w="1530" w:type="dxa"/>
            <w:shd w:val="clear" w:color="auto" w:fill="auto"/>
            <w:noWrap/>
            <w:vAlign w:val="center"/>
            <w:hideMark/>
          </w:tcPr>
          <w:p w14:paraId="282B9AC2" w14:textId="77777777" w:rsidR="004C6B98" w:rsidRPr="009F7CC9" w:rsidRDefault="000F5B51" w:rsidP="004C6B98">
            <w:pPr>
              <w:spacing w:after="0" w:line="240" w:lineRule="auto"/>
              <w:jc w:val="center"/>
              <w:rPr>
                <w:rFonts w:eastAsia="Times New Roman" w:cs="Times New Roman"/>
                <w:color w:val="000000"/>
                <w:szCs w:val="24"/>
              </w:rPr>
            </w:pPr>
            <w:r w:rsidRPr="009F7CC9">
              <w:rPr>
                <w:rFonts w:eastAsia="Times New Roman" w:cs="Times New Roman"/>
                <w:color w:val="000000"/>
                <w:szCs w:val="24"/>
              </w:rPr>
              <w:t>Rollover</w:t>
            </w:r>
          </w:p>
        </w:tc>
        <w:tc>
          <w:tcPr>
            <w:tcW w:w="2070" w:type="dxa"/>
            <w:shd w:val="clear" w:color="auto" w:fill="auto"/>
            <w:noWrap/>
          </w:tcPr>
          <w:p w14:paraId="2BDCD061" w14:textId="77777777" w:rsidR="004C6B98" w:rsidRPr="009F7CC9" w:rsidRDefault="000F5B51" w:rsidP="004C6B98">
            <w:pPr>
              <w:spacing w:after="0" w:line="240" w:lineRule="auto"/>
              <w:jc w:val="center"/>
              <w:rPr>
                <w:rFonts w:eastAsia="Times New Roman" w:cs="Times New Roman"/>
                <w:color w:val="000000"/>
                <w:szCs w:val="24"/>
              </w:rPr>
            </w:pPr>
            <w:r w:rsidRPr="00A222F2">
              <w:t>444</w:t>
            </w:r>
          </w:p>
        </w:tc>
        <w:tc>
          <w:tcPr>
            <w:tcW w:w="2340" w:type="dxa"/>
            <w:shd w:val="clear" w:color="auto" w:fill="auto"/>
            <w:noWrap/>
          </w:tcPr>
          <w:p w14:paraId="5132F327" w14:textId="77777777" w:rsidR="004C6B98" w:rsidRPr="009F7CC9" w:rsidRDefault="000F5B51" w:rsidP="004C6B98">
            <w:pPr>
              <w:spacing w:after="0" w:line="240" w:lineRule="auto"/>
              <w:jc w:val="center"/>
              <w:rPr>
                <w:rFonts w:eastAsia="Times New Roman" w:cs="Times New Roman"/>
                <w:color w:val="000000"/>
                <w:szCs w:val="24"/>
              </w:rPr>
            </w:pPr>
            <w:r w:rsidRPr="00A222F2">
              <w:t>733</w:t>
            </w:r>
          </w:p>
        </w:tc>
        <w:tc>
          <w:tcPr>
            <w:tcW w:w="1615" w:type="dxa"/>
          </w:tcPr>
          <w:p w14:paraId="2AA6F7CF" w14:textId="77777777" w:rsidR="004C6B98" w:rsidRPr="009F7CC9" w:rsidRDefault="000F5B51" w:rsidP="004C6B98">
            <w:pPr>
              <w:spacing w:after="0" w:line="240" w:lineRule="auto"/>
              <w:jc w:val="center"/>
              <w:rPr>
                <w:rFonts w:eastAsia="Times New Roman" w:cs="Times New Roman"/>
                <w:color w:val="000000"/>
                <w:szCs w:val="24"/>
              </w:rPr>
            </w:pPr>
            <w:r w:rsidRPr="00A222F2">
              <w:t>1,177</w:t>
            </w:r>
          </w:p>
        </w:tc>
      </w:tr>
      <w:tr w:rsidR="00A15C2C" w14:paraId="027F69CE" w14:textId="77777777" w:rsidTr="0055589E">
        <w:trPr>
          <w:trHeight w:val="290"/>
          <w:jc w:val="center"/>
        </w:trPr>
        <w:tc>
          <w:tcPr>
            <w:tcW w:w="1795" w:type="dxa"/>
            <w:vMerge/>
            <w:shd w:val="clear" w:color="auto" w:fill="auto"/>
            <w:noWrap/>
            <w:vAlign w:val="center"/>
            <w:hideMark/>
          </w:tcPr>
          <w:p w14:paraId="06DBEB33" w14:textId="77777777" w:rsidR="004C6B98" w:rsidRPr="009F7CC9" w:rsidRDefault="004C6B98" w:rsidP="004C6B98">
            <w:pPr>
              <w:spacing w:after="0" w:line="240" w:lineRule="auto"/>
              <w:rPr>
                <w:rFonts w:eastAsia="Times New Roman" w:cs="Times New Roman"/>
                <w:szCs w:val="24"/>
              </w:rPr>
            </w:pPr>
          </w:p>
        </w:tc>
        <w:tc>
          <w:tcPr>
            <w:tcW w:w="1530" w:type="dxa"/>
            <w:shd w:val="clear" w:color="auto" w:fill="auto"/>
            <w:noWrap/>
            <w:vAlign w:val="center"/>
            <w:hideMark/>
          </w:tcPr>
          <w:p w14:paraId="3DDAA565" w14:textId="77777777" w:rsidR="004C6B98" w:rsidRPr="009F7CC9" w:rsidRDefault="000F5B51" w:rsidP="004C6B98">
            <w:pPr>
              <w:spacing w:after="0" w:line="240" w:lineRule="auto"/>
              <w:jc w:val="center"/>
              <w:rPr>
                <w:rFonts w:eastAsia="Times New Roman" w:cs="Times New Roman"/>
                <w:color w:val="000000"/>
                <w:szCs w:val="24"/>
              </w:rPr>
            </w:pPr>
            <w:r w:rsidRPr="009F7CC9">
              <w:rPr>
                <w:rFonts w:eastAsia="Times New Roman" w:cs="Times New Roman"/>
                <w:color w:val="000000"/>
                <w:szCs w:val="24"/>
              </w:rPr>
              <w:t>Front</w:t>
            </w:r>
          </w:p>
        </w:tc>
        <w:tc>
          <w:tcPr>
            <w:tcW w:w="2070" w:type="dxa"/>
            <w:shd w:val="clear" w:color="auto" w:fill="auto"/>
            <w:noWrap/>
          </w:tcPr>
          <w:p w14:paraId="0807F16E" w14:textId="77777777" w:rsidR="004C6B98" w:rsidRPr="009F7CC9" w:rsidRDefault="000F5B51" w:rsidP="004C6B98">
            <w:pPr>
              <w:spacing w:after="0" w:line="240" w:lineRule="auto"/>
              <w:jc w:val="center"/>
              <w:rPr>
                <w:rFonts w:eastAsia="Times New Roman" w:cs="Times New Roman"/>
                <w:color w:val="000000"/>
                <w:szCs w:val="24"/>
              </w:rPr>
            </w:pPr>
            <w:r w:rsidRPr="00A222F2">
              <w:t>2,304</w:t>
            </w:r>
          </w:p>
        </w:tc>
        <w:tc>
          <w:tcPr>
            <w:tcW w:w="2340" w:type="dxa"/>
            <w:shd w:val="clear" w:color="auto" w:fill="auto"/>
            <w:noWrap/>
          </w:tcPr>
          <w:p w14:paraId="33C5C55B" w14:textId="77777777" w:rsidR="004C6B98" w:rsidRPr="009F7CC9" w:rsidRDefault="000F5B51" w:rsidP="004C6B98">
            <w:pPr>
              <w:spacing w:after="0" w:line="240" w:lineRule="auto"/>
              <w:jc w:val="center"/>
              <w:rPr>
                <w:rFonts w:eastAsia="Times New Roman" w:cs="Times New Roman"/>
                <w:color w:val="000000"/>
                <w:szCs w:val="24"/>
              </w:rPr>
            </w:pPr>
            <w:r w:rsidRPr="00A222F2">
              <w:t>1,634</w:t>
            </w:r>
          </w:p>
        </w:tc>
        <w:tc>
          <w:tcPr>
            <w:tcW w:w="1615" w:type="dxa"/>
          </w:tcPr>
          <w:p w14:paraId="4530F6F8" w14:textId="77777777" w:rsidR="004C6B98" w:rsidRPr="009F7CC9" w:rsidRDefault="000F5B51" w:rsidP="004C6B98">
            <w:pPr>
              <w:spacing w:after="0" w:line="240" w:lineRule="auto"/>
              <w:jc w:val="center"/>
              <w:rPr>
                <w:rFonts w:eastAsia="Times New Roman" w:cs="Times New Roman"/>
                <w:color w:val="000000"/>
                <w:szCs w:val="24"/>
              </w:rPr>
            </w:pPr>
            <w:r w:rsidRPr="00A222F2">
              <w:t>3,938</w:t>
            </w:r>
          </w:p>
        </w:tc>
      </w:tr>
      <w:tr w:rsidR="00A15C2C" w14:paraId="32541742" w14:textId="77777777" w:rsidTr="0055589E">
        <w:trPr>
          <w:trHeight w:val="290"/>
          <w:jc w:val="center"/>
        </w:trPr>
        <w:tc>
          <w:tcPr>
            <w:tcW w:w="1795" w:type="dxa"/>
            <w:vMerge/>
            <w:shd w:val="clear" w:color="auto" w:fill="auto"/>
            <w:noWrap/>
            <w:vAlign w:val="center"/>
            <w:hideMark/>
          </w:tcPr>
          <w:p w14:paraId="6D0AB1EA" w14:textId="77777777" w:rsidR="004C6B98" w:rsidRPr="009F7CC9" w:rsidRDefault="004C6B98" w:rsidP="004C6B98">
            <w:pPr>
              <w:spacing w:after="0" w:line="240" w:lineRule="auto"/>
              <w:rPr>
                <w:rFonts w:eastAsia="Times New Roman" w:cs="Times New Roman"/>
                <w:szCs w:val="24"/>
              </w:rPr>
            </w:pPr>
          </w:p>
        </w:tc>
        <w:tc>
          <w:tcPr>
            <w:tcW w:w="1530" w:type="dxa"/>
            <w:shd w:val="clear" w:color="auto" w:fill="auto"/>
            <w:noWrap/>
            <w:vAlign w:val="center"/>
            <w:hideMark/>
          </w:tcPr>
          <w:p w14:paraId="4E58530C" w14:textId="77777777" w:rsidR="004C6B98" w:rsidRPr="009F7CC9" w:rsidRDefault="000F5B51" w:rsidP="004C6B98">
            <w:pPr>
              <w:spacing w:after="0" w:line="240" w:lineRule="auto"/>
              <w:jc w:val="center"/>
              <w:rPr>
                <w:rFonts w:eastAsia="Times New Roman" w:cs="Times New Roman"/>
                <w:color w:val="000000"/>
                <w:szCs w:val="24"/>
              </w:rPr>
            </w:pPr>
            <w:r w:rsidRPr="009F7CC9">
              <w:rPr>
                <w:rFonts w:eastAsia="Times New Roman" w:cs="Times New Roman"/>
                <w:color w:val="000000"/>
                <w:szCs w:val="24"/>
              </w:rPr>
              <w:t>Side</w:t>
            </w:r>
          </w:p>
        </w:tc>
        <w:tc>
          <w:tcPr>
            <w:tcW w:w="2070" w:type="dxa"/>
            <w:shd w:val="clear" w:color="auto" w:fill="auto"/>
            <w:noWrap/>
          </w:tcPr>
          <w:p w14:paraId="2D76D9A3" w14:textId="77777777" w:rsidR="004C6B98" w:rsidRPr="009F7CC9" w:rsidRDefault="000F5B51" w:rsidP="004C6B98">
            <w:pPr>
              <w:spacing w:after="0" w:line="240" w:lineRule="auto"/>
              <w:jc w:val="center"/>
              <w:rPr>
                <w:rFonts w:eastAsia="Times New Roman" w:cs="Times New Roman"/>
                <w:color w:val="000000"/>
                <w:szCs w:val="24"/>
              </w:rPr>
            </w:pPr>
            <w:r w:rsidRPr="00A222F2">
              <w:t>1,203</w:t>
            </w:r>
          </w:p>
        </w:tc>
        <w:tc>
          <w:tcPr>
            <w:tcW w:w="2340" w:type="dxa"/>
            <w:shd w:val="clear" w:color="auto" w:fill="auto"/>
            <w:noWrap/>
          </w:tcPr>
          <w:p w14:paraId="438819BB" w14:textId="77777777" w:rsidR="004C6B98" w:rsidRPr="009F7CC9" w:rsidRDefault="000F5B51" w:rsidP="004C6B98">
            <w:pPr>
              <w:spacing w:after="0" w:line="240" w:lineRule="auto"/>
              <w:jc w:val="center"/>
              <w:rPr>
                <w:rFonts w:eastAsia="Times New Roman" w:cs="Times New Roman"/>
                <w:color w:val="000000"/>
                <w:szCs w:val="24"/>
              </w:rPr>
            </w:pPr>
            <w:r w:rsidRPr="00A222F2">
              <w:t>514</w:t>
            </w:r>
          </w:p>
        </w:tc>
        <w:tc>
          <w:tcPr>
            <w:tcW w:w="1615" w:type="dxa"/>
          </w:tcPr>
          <w:p w14:paraId="574FFAC4" w14:textId="77777777" w:rsidR="004C6B98" w:rsidRPr="009F7CC9" w:rsidRDefault="000F5B51" w:rsidP="004C6B98">
            <w:pPr>
              <w:spacing w:after="0" w:line="240" w:lineRule="auto"/>
              <w:jc w:val="center"/>
              <w:rPr>
                <w:rFonts w:eastAsia="Times New Roman" w:cs="Times New Roman"/>
                <w:color w:val="000000"/>
                <w:szCs w:val="24"/>
              </w:rPr>
            </w:pPr>
            <w:r w:rsidRPr="00A222F2">
              <w:t>1,717</w:t>
            </w:r>
          </w:p>
        </w:tc>
      </w:tr>
      <w:tr w:rsidR="00A15C2C" w14:paraId="3DEE657F" w14:textId="77777777" w:rsidTr="0055589E">
        <w:trPr>
          <w:trHeight w:val="290"/>
          <w:jc w:val="center"/>
        </w:trPr>
        <w:tc>
          <w:tcPr>
            <w:tcW w:w="1795" w:type="dxa"/>
            <w:vMerge/>
            <w:shd w:val="clear" w:color="auto" w:fill="auto"/>
            <w:noWrap/>
            <w:vAlign w:val="center"/>
            <w:hideMark/>
          </w:tcPr>
          <w:p w14:paraId="5F0D0196" w14:textId="77777777" w:rsidR="004C6B98" w:rsidRPr="009F7CC9" w:rsidRDefault="004C6B98" w:rsidP="004C6B98">
            <w:pPr>
              <w:spacing w:after="0" w:line="240" w:lineRule="auto"/>
              <w:rPr>
                <w:rFonts w:eastAsia="Times New Roman" w:cs="Times New Roman"/>
                <w:szCs w:val="24"/>
              </w:rPr>
            </w:pPr>
          </w:p>
        </w:tc>
        <w:tc>
          <w:tcPr>
            <w:tcW w:w="1530" w:type="dxa"/>
            <w:shd w:val="clear" w:color="auto" w:fill="auto"/>
            <w:noWrap/>
            <w:vAlign w:val="center"/>
            <w:hideMark/>
          </w:tcPr>
          <w:p w14:paraId="1102C3B1" w14:textId="77777777" w:rsidR="004C6B98" w:rsidRPr="009F7CC9" w:rsidRDefault="000F5B51" w:rsidP="004C6B98">
            <w:pPr>
              <w:spacing w:after="0" w:line="240" w:lineRule="auto"/>
              <w:jc w:val="center"/>
              <w:rPr>
                <w:rFonts w:eastAsia="Times New Roman" w:cs="Times New Roman"/>
                <w:color w:val="000000"/>
                <w:szCs w:val="24"/>
              </w:rPr>
            </w:pPr>
            <w:r w:rsidRPr="009F7CC9">
              <w:rPr>
                <w:rFonts w:eastAsia="Times New Roman" w:cs="Times New Roman"/>
                <w:color w:val="000000"/>
                <w:szCs w:val="24"/>
              </w:rPr>
              <w:t>Rear</w:t>
            </w:r>
          </w:p>
        </w:tc>
        <w:tc>
          <w:tcPr>
            <w:tcW w:w="2070" w:type="dxa"/>
            <w:shd w:val="clear" w:color="auto" w:fill="auto"/>
            <w:noWrap/>
          </w:tcPr>
          <w:p w14:paraId="321A1BDE" w14:textId="77777777" w:rsidR="004C6B98" w:rsidRPr="009F7CC9" w:rsidRDefault="000F5B51" w:rsidP="004C6B98">
            <w:pPr>
              <w:spacing w:after="0" w:line="240" w:lineRule="auto"/>
              <w:jc w:val="center"/>
              <w:rPr>
                <w:rFonts w:eastAsia="Times New Roman" w:cs="Times New Roman"/>
                <w:color w:val="000000"/>
                <w:szCs w:val="24"/>
              </w:rPr>
            </w:pPr>
            <w:r w:rsidRPr="00A222F2">
              <w:t>255</w:t>
            </w:r>
          </w:p>
        </w:tc>
        <w:tc>
          <w:tcPr>
            <w:tcW w:w="2340" w:type="dxa"/>
            <w:shd w:val="clear" w:color="auto" w:fill="auto"/>
            <w:noWrap/>
          </w:tcPr>
          <w:p w14:paraId="2EABE0D3" w14:textId="77777777" w:rsidR="004C6B98" w:rsidRPr="009F7CC9" w:rsidRDefault="000F5B51" w:rsidP="004C6B98">
            <w:pPr>
              <w:spacing w:after="0" w:line="240" w:lineRule="auto"/>
              <w:jc w:val="center"/>
              <w:rPr>
                <w:rFonts w:eastAsia="Times New Roman" w:cs="Times New Roman"/>
                <w:color w:val="000000"/>
                <w:szCs w:val="24"/>
              </w:rPr>
            </w:pPr>
            <w:r w:rsidRPr="00A222F2">
              <w:t>105</w:t>
            </w:r>
          </w:p>
        </w:tc>
        <w:tc>
          <w:tcPr>
            <w:tcW w:w="1615" w:type="dxa"/>
          </w:tcPr>
          <w:p w14:paraId="12DCDBF1" w14:textId="77777777" w:rsidR="004C6B98" w:rsidRPr="009F7CC9" w:rsidRDefault="000F5B51" w:rsidP="004C6B98">
            <w:pPr>
              <w:spacing w:after="0" w:line="240" w:lineRule="auto"/>
              <w:jc w:val="center"/>
              <w:rPr>
                <w:rFonts w:eastAsia="Times New Roman" w:cs="Times New Roman"/>
                <w:color w:val="000000"/>
                <w:szCs w:val="24"/>
              </w:rPr>
            </w:pPr>
            <w:r w:rsidRPr="00A222F2">
              <w:t>360</w:t>
            </w:r>
          </w:p>
        </w:tc>
      </w:tr>
      <w:tr w:rsidR="00A15C2C" w14:paraId="7D46849B" w14:textId="77777777" w:rsidTr="0055589E">
        <w:trPr>
          <w:trHeight w:val="290"/>
          <w:jc w:val="center"/>
        </w:trPr>
        <w:tc>
          <w:tcPr>
            <w:tcW w:w="1795" w:type="dxa"/>
            <w:vMerge/>
            <w:shd w:val="clear" w:color="auto" w:fill="auto"/>
            <w:noWrap/>
            <w:vAlign w:val="center"/>
            <w:hideMark/>
          </w:tcPr>
          <w:p w14:paraId="7DB894C5" w14:textId="77777777" w:rsidR="004C6B98" w:rsidRPr="009F7CC9" w:rsidRDefault="004C6B98" w:rsidP="004C6B98">
            <w:pPr>
              <w:spacing w:after="0" w:line="240" w:lineRule="auto"/>
              <w:rPr>
                <w:rFonts w:eastAsia="Times New Roman" w:cs="Times New Roman"/>
                <w:szCs w:val="24"/>
              </w:rPr>
            </w:pPr>
          </w:p>
        </w:tc>
        <w:tc>
          <w:tcPr>
            <w:tcW w:w="1530" w:type="dxa"/>
            <w:shd w:val="clear" w:color="auto" w:fill="auto"/>
            <w:noWrap/>
            <w:vAlign w:val="center"/>
            <w:hideMark/>
          </w:tcPr>
          <w:p w14:paraId="2D304F64" w14:textId="77777777" w:rsidR="004C6B98" w:rsidRPr="0055589E" w:rsidRDefault="000F5B51" w:rsidP="004C6B98">
            <w:pPr>
              <w:spacing w:after="0" w:line="240" w:lineRule="auto"/>
              <w:jc w:val="center"/>
              <w:rPr>
                <w:rFonts w:eastAsia="Times New Roman" w:cs="Times New Roman"/>
                <w:b/>
                <w:bCs/>
                <w:color w:val="000000"/>
                <w:szCs w:val="24"/>
              </w:rPr>
            </w:pPr>
            <w:r w:rsidRPr="0055589E">
              <w:rPr>
                <w:rFonts w:eastAsia="Times New Roman" w:cs="Times New Roman"/>
                <w:b/>
                <w:bCs/>
                <w:color w:val="000000"/>
                <w:szCs w:val="24"/>
              </w:rPr>
              <w:t>Total</w:t>
            </w:r>
          </w:p>
        </w:tc>
        <w:tc>
          <w:tcPr>
            <w:tcW w:w="2070" w:type="dxa"/>
            <w:shd w:val="clear" w:color="auto" w:fill="auto"/>
            <w:noWrap/>
          </w:tcPr>
          <w:p w14:paraId="316272B1" w14:textId="77777777" w:rsidR="004C6B98" w:rsidRPr="00742361" w:rsidRDefault="000F5B51" w:rsidP="004C6B98">
            <w:pPr>
              <w:spacing w:after="0" w:line="240" w:lineRule="auto"/>
              <w:jc w:val="center"/>
              <w:rPr>
                <w:rFonts w:eastAsia="Times New Roman" w:cs="Times New Roman"/>
                <w:b/>
                <w:bCs/>
                <w:color w:val="000000"/>
                <w:szCs w:val="24"/>
              </w:rPr>
            </w:pPr>
            <w:r w:rsidRPr="0055589E">
              <w:rPr>
                <w:b/>
                <w:bCs/>
              </w:rPr>
              <w:t>4,205</w:t>
            </w:r>
          </w:p>
        </w:tc>
        <w:tc>
          <w:tcPr>
            <w:tcW w:w="2340" w:type="dxa"/>
            <w:shd w:val="clear" w:color="auto" w:fill="auto"/>
            <w:noWrap/>
          </w:tcPr>
          <w:p w14:paraId="28D6AF18" w14:textId="77777777" w:rsidR="004C6B98" w:rsidRPr="00742361" w:rsidRDefault="000F5B51" w:rsidP="004C6B98">
            <w:pPr>
              <w:spacing w:after="0" w:line="240" w:lineRule="auto"/>
              <w:jc w:val="center"/>
              <w:rPr>
                <w:rFonts w:eastAsia="Times New Roman" w:cs="Times New Roman"/>
                <w:b/>
                <w:bCs/>
                <w:color w:val="000000"/>
                <w:szCs w:val="24"/>
              </w:rPr>
            </w:pPr>
            <w:r w:rsidRPr="0055589E">
              <w:rPr>
                <w:b/>
                <w:bCs/>
              </w:rPr>
              <w:t>2,987</w:t>
            </w:r>
          </w:p>
        </w:tc>
        <w:tc>
          <w:tcPr>
            <w:tcW w:w="1615" w:type="dxa"/>
          </w:tcPr>
          <w:p w14:paraId="4F07E770" w14:textId="77777777" w:rsidR="004C6B98" w:rsidRPr="00742361" w:rsidRDefault="000F5B51" w:rsidP="004C6B98">
            <w:pPr>
              <w:spacing w:after="0" w:line="240" w:lineRule="auto"/>
              <w:jc w:val="center"/>
              <w:rPr>
                <w:rFonts w:eastAsia="Times New Roman" w:cs="Times New Roman"/>
                <w:b/>
                <w:bCs/>
                <w:color w:val="000000"/>
                <w:szCs w:val="24"/>
              </w:rPr>
            </w:pPr>
            <w:r w:rsidRPr="0055589E">
              <w:rPr>
                <w:b/>
                <w:bCs/>
              </w:rPr>
              <w:t>7,192</w:t>
            </w:r>
          </w:p>
        </w:tc>
      </w:tr>
      <w:tr w:rsidR="00A15C2C" w14:paraId="25D30F6B" w14:textId="77777777" w:rsidTr="0055589E">
        <w:trPr>
          <w:trHeight w:val="290"/>
          <w:jc w:val="center"/>
        </w:trPr>
        <w:tc>
          <w:tcPr>
            <w:tcW w:w="1795" w:type="dxa"/>
            <w:vMerge w:val="restart"/>
            <w:shd w:val="clear" w:color="auto" w:fill="auto"/>
            <w:noWrap/>
            <w:vAlign w:val="center"/>
            <w:hideMark/>
          </w:tcPr>
          <w:p w14:paraId="155A351C" w14:textId="77777777" w:rsidR="004C6B98" w:rsidRPr="009F7CC9" w:rsidRDefault="000F5B51" w:rsidP="004C6B98">
            <w:pPr>
              <w:spacing w:after="0" w:line="240" w:lineRule="auto"/>
              <w:rPr>
                <w:rFonts w:eastAsia="Times New Roman" w:cs="Times New Roman"/>
                <w:b/>
                <w:bCs/>
                <w:color w:val="000000"/>
                <w:szCs w:val="24"/>
              </w:rPr>
            </w:pPr>
            <w:r w:rsidRPr="009F7CC9">
              <w:rPr>
                <w:rFonts w:eastAsia="Times New Roman" w:cs="Times New Roman"/>
                <w:b/>
                <w:bCs/>
                <w:color w:val="000000"/>
                <w:szCs w:val="24"/>
              </w:rPr>
              <w:t>LTV</w:t>
            </w:r>
          </w:p>
        </w:tc>
        <w:tc>
          <w:tcPr>
            <w:tcW w:w="1530" w:type="dxa"/>
            <w:shd w:val="clear" w:color="auto" w:fill="auto"/>
            <w:noWrap/>
            <w:vAlign w:val="center"/>
            <w:hideMark/>
          </w:tcPr>
          <w:p w14:paraId="40B41DF5" w14:textId="77777777" w:rsidR="004C6B98" w:rsidRPr="009F7CC9" w:rsidRDefault="000F5B51" w:rsidP="004C6B98">
            <w:pPr>
              <w:spacing w:after="0" w:line="240" w:lineRule="auto"/>
              <w:jc w:val="center"/>
              <w:rPr>
                <w:rFonts w:eastAsia="Times New Roman" w:cs="Times New Roman"/>
                <w:color w:val="000000"/>
                <w:szCs w:val="24"/>
              </w:rPr>
            </w:pPr>
            <w:r w:rsidRPr="009F7CC9">
              <w:rPr>
                <w:rFonts w:eastAsia="Times New Roman" w:cs="Times New Roman"/>
                <w:color w:val="000000"/>
                <w:szCs w:val="24"/>
              </w:rPr>
              <w:t>Rollover</w:t>
            </w:r>
          </w:p>
        </w:tc>
        <w:tc>
          <w:tcPr>
            <w:tcW w:w="2070" w:type="dxa"/>
            <w:shd w:val="clear" w:color="auto" w:fill="auto"/>
            <w:noWrap/>
          </w:tcPr>
          <w:p w14:paraId="58EE0EFA" w14:textId="77777777" w:rsidR="004C6B98" w:rsidRPr="009F7CC9" w:rsidRDefault="000F5B51" w:rsidP="004C6B98">
            <w:pPr>
              <w:spacing w:after="0" w:line="240" w:lineRule="auto"/>
              <w:jc w:val="center"/>
              <w:rPr>
                <w:rFonts w:eastAsia="Times New Roman" w:cs="Times New Roman"/>
                <w:color w:val="000000"/>
                <w:szCs w:val="24"/>
              </w:rPr>
            </w:pPr>
            <w:r w:rsidRPr="00A222F2">
              <w:t>476</w:t>
            </w:r>
          </w:p>
        </w:tc>
        <w:tc>
          <w:tcPr>
            <w:tcW w:w="2340" w:type="dxa"/>
            <w:shd w:val="clear" w:color="auto" w:fill="auto"/>
            <w:noWrap/>
          </w:tcPr>
          <w:p w14:paraId="3FC177E5" w14:textId="77777777" w:rsidR="004C6B98" w:rsidRPr="009F7CC9" w:rsidRDefault="000F5B51" w:rsidP="004C6B98">
            <w:pPr>
              <w:spacing w:after="0" w:line="240" w:lineRule="auto"/>
              <w:jc w:val="center"/>
              <w:rPr>
                <w:rFonts w:eastAsia="Times New Roman" w:cs="Times New Roman"/>
                <w:color w:val="000000"/>
                <w:szCs w:val="24"/>
              </w:rPr>
            </w:pPr>
            <w:r w:rsidRPr="00A222F2">
              <w:t>1,104</w:t>
            </w:r>
          </w:p>
        </w:tc>
        <w:tc>
          <w:tcPr>
            <w:tcW w:w="1615" w:type="dxa"/>
          </w:tcPr>
          <w:p w14:paraId="7C215551" w14:textId="77777777" w:rsidR="004C6B98" w:rsidRPr="009F7CC9" w:rsidRDefault="000F5B51" w:rsidP="004C6B98">
            <w:pPr>
              <w:spacing w:after="0" w:line="240" w:lineRule="auto"/>
              <w:jc w:val="center"/>
              <w:rPr>
                <w:rFonts w:eastAsia="Times New Roman" w:cs="Times New Roman"/>
                <w:color w:val="000000"/>
                <w:szCs w:val="24"/>
              </w:rPr>
            </w:pPr>
            <w:r w:rsidRPr="00A222F2">
              <w:t>1,579</w:t>
            </w:r>
          </w:p>
        </w:tc>
      </w:tr>
      <w:tr w:rsidR="00A15C2C" w14:paraId="772F0F01" w14:textId="77777777" w:rsidTr="0055589E">
        <w:trPr>
          <w:trHeight w:val="290"/>
          <w:jc w:val="center"/>
        </w:trPr>
        <w:tc>
          <w:tcPr>
            <w:tcW w:w="1795" w:type="dxa"/>
            <w:vMerge/>
            <w:shd w:val="clear" w:color="auto" w:fill="auto"/>
            <w:noWrap/>
            <w:vAlign w:val="center"/>
            <w:hideMark/>
          </w:tcPr>
          <w:p w14:paraId="2D03539D" w14:textId="77777777" w:rsidR="004C6B98" w:rsidRPr="009F7CC9" w:rsidRDefault="004C6B98" w:rsidP="004C6B98">
            <w:pPr>
              <w:spacing w:after="0" w:line="240" w:lineRule="auto"/>
              <w:rPr>
                <w:rFonts w:eastAsia="Times New Roman" w:cs="Times New Roman"/>
                <w:szCs w:val="24"/>
              </w:rPr>
            </w:pPr>
          </w:p>
        </w:tc>
        <w:tc>
          <w:tcPr>
            <w:tcW w:w="1530" w:type="dxa"/>
            <w:shd w:val="clear" w:color="auto" w:fill="auto"/>
            <w:noWrap/>
            <w:vAlign w:val="center"/>
            <w:hideMark/>
          </w:tcPr>
          <w:p w14:paraId="73AB7C68" w14:textId="77777777" w:rsidR="004C6B98" w:rsidRPr="009F7CC9" w:rsidRDefault="000F5B51" w:rsidP="004C6B98">
            <w:pPr>
              <w:spacing w:after="0" w:line="240" w:lineRule="auto"/>
              <w:jc w:val="center"/>
              <w:rPr>
                <w:rFonts w:eastAsia="Times New Roman" w:cs="Times New Roman"/>
                <w:color w:val="000000"/>
                <w:szCs w:val="24"/>
              </w:rPr>
            </w:pPr>
            <w:r w:rsidRPr="009F7CC9">
              <w:rPr>
                <w:rFonts w:eastAsia="Times New Roman" w:cs="Times New Roman"/>
                <w:color w:val="000000"/>
                <w:szCs w:val="24"/>
              </w:rPr>
              <w:t>Front</w:t>
            </w:r>
          </w:p>
        </w:tc>
        <w:tc>
          <w:tcPr>
            <w:tcW w:w="2070" w:type="dxa"/>
            <w:shd w:val="clear" w:color="auto" w:fill="auto"/>
            <w:noWrap/>
          </w:tcPr>
          <w:p w14:paraId="14D0A1D6" w14:textId="77777777" w:rsidR="004C6B98" w:rsidRPr="009F7CC9" w:rsidRDefault="000F5B51" w:rsidP="004C6B98">
            <w:pPr>
              <w:spacing w:after="0" w:line="240" w:lineRule="auto"/>
              <w:jc w:val="center"/>
              <w:rPr>
                <w:rFonts w:eastAsia="Times New Roman" w:cs="Times New Roman"/>
                <w:color w:val="000000"/>
                <w:szCs w:val="24"/>
              </w:rPr>
            </w:pPr>
            <w:r w:rsidRPr="00A222F2">
              <w:t>1,359</w:t>
            </w:r>
          </w:p>
        </w:tc>
        <w:tc>
          <w:tcPr>
            <w:tcW w:w="2340" w:type="dxa"/>
            <w:shd w:val="clear" w:color="auto" w:fill="auto"/>
            <w:noWrap/>
          </w:tcPr>
          <w:p w14:paraId="22DD528E" w14:textId="77777777" w:rsidR="004C6B98" w:rsidRPr="009F7CC9" w:rsidRDefault="000F5B51" w:rsidP="004C6B98">
            <w:pPr>
              <w:spacing w:after="0" w:line="240" w:lineRule="auto"/>
              <w:jc w:val="center"/>
              <w:rPr>
                <w:rFonts w:eastAsia="Times New Roman" w:cs="Times New Roman"/>
                <w:color w:val="000000"/>
                <w:szCs w:val="24"/>
              </w:rPr>
            </w:pPr>
            <w:r w:rsidRPr="00A222F2">
              <w:t>1,253</w:t>
            </w:r>
          </w:p>
        </w:tc>
        <w:tc>
          <w:tcPr>
            <w:tcW w:w="1615" w:type="dxa"/>
          </w:tcPr>
          <w:p w14:paraId="1FB4D3D3" w14:textId="77777777" w:rsidR="004C6B98" w:rsidRPr="009F7CC9" w:rsidRDefault="000F5B51" w:rsidP="004C6B98">
            <w:pPr>
              <w:spacing w:after="0" w:line="240" w:lineRule="auto"/>
              <w:jc w:val="center"/>
              <w:rPr>
                <w:rFonts w:eastAsia="Times New Roman" w:cs="Times New Roman"/>
                <w:color w:val="000000"/>
                <w:szCs w:val="24"/>
              </w:rPr>
            </w:pPr>
            <w:r w:rsidRPr="00A222F2">
              <w:t>2,612</w:t>
            </w:r>
          </w:p>
        </w:tc>
      </w:tr>
      <w:tr w:rsidR="00A15C2C" w14:paraId="24E61F4E" w14:textId="77777777" w:rsidTr="0055589E">
        <w:trPr>
          <w:trHeight w:val="290"/>
          <w:jc w:val="center"/>
        </w:trPr>
        <w:tc>
          <w:tcPr>
            <w:tcW w:w="1795" w:type="dxa"/>
            <w:vMerge/>
            <w:shd w:val="clear" w:color="auto" w:fill="auto"/>
            <w:noWrap/>
            <w:vAlign w:val="center"/>
            <w:hideMark/>
          </w:tcPr>
          <w:p w14:paraId="635F92E5" w14:textId="77777777" w:rsidR="004C6B98" w:rsidRPr="009F7CC9" w:rsidRDefault="004C6B98" w:rsidP="004C6B98">
            <w:pPr>
              <w:spacing w:after="0" w:line="240" w:lineRule="auto"/>
              <w:rPr>
                <w:rFonts w:eastAsia="Times New Roman" w:cs="Times New Roman"/>
                <w:szCs w:val="24"/>
              </w:rPr>
            </w:pPr>
          </w:p>
        </w:tc>
        <w:tc>
          <w:tcPr>
            <w:tcW w:w="1530" w:type="dxa"/>
            <w:shd w:val="clear" w:color="auto" w:fill="auto"/>
            <w:noWrap/>
            <w:vAlign w:val="center"/>
            <w:hideMark/>
          </w:tcPr>
          <w:p w14:paraId="64934D01" w14:textId="77777777" w:rsidR="004C6B98" w:rsidRPr="009F7CC9" w:rsidRDefault="000F5B51" w:rsidP="004C6B98">
            <w:pPr>
              <w:spacing w:after="0" w:line="240" w:lineRule="auto"/>
              <w:jc w:val="center"/>
              <w:rPr>
                <w:rFonts w:eastAsia="Times New Roman" w:cs="Times New Roman"/>
                <w:color w:val="000000"/>
                <w:szCs w:val="24"/>
              </w:rPr>
            </w:pPr>
            <w:r w:rsidRPr="009F7CC9">
              <w:rPr>
                <w:rFonts w:eastAsia="Times New Roman" w:cs="Times New Roman"/>
                <w:color w:val="000000"/>
                <w:szCs w:val="24"/>
              </w:rPr>
              <w:t>Side</w:t>
            </w:r>
          </w:p>
        </w:tc>
        <w:tc>
          <w:tcPr>
            <w:tcW w:w="2070" w:type="dxa"/>
            <w:shd w:val="clear" w:color="auto" w:fill="auto"/>
            <w:noWrap/>
          </w:tcPr>
          <w:p w14:paraId="01FE1C33" w14:textId="77777777" w:rsidR="004C6B98" w:rsidRPr="009F7CC9" w:rsidRDefault="000F5B51" w:rsidP="004C6B98">
            <w:pPr>
              <w:spacing w:after="0" w:line="240" w:lineRule="auto"/>
              <w:jc w:val="center"/>
              <w:rPr>
                <w:rFonts w:eastAsia="Times New Roman" w:cs="Times New Roman"/>
                <w:color w:val="000000"/>
                <w:szCs w:val="24"/>
              </w:rPr>
            </w:pPr>
            <w:r w:rsidRPr="00A222F2">
              <w:t>368</w:t>
            </w:r>
          </w:p>
        </w:tc>
        <w:tc>
          <w:tcPr>
            <w:tcW w:w="2340" w:type="dxa"/>
            <w:shd w:val="clear" w:color="auto" w:fill="auto"/>
            <w:noWrap/>
          </w:tcPr>
          <w:p w14:paraId="0C8C752C" w14:textId="77777777" w:rsidR="004C6B98" w:rsidRPr="009F7CC9" w:rsidRDefault="000F5B51" w:rsidP="004C6B98">
            <w:pPr>
              <w:spacing w:after="0" w:line="240" w:lineRule="auto"/>
              <w:jc w:val="center"/>
              <w:rPr>
                <w:rFonts w:eastAsia="Times New Roman" w:cs="Times New Roman"/>
                <w:color w:val="000000"/>
                <w:szCs w:val="24"/>
              </w:rPr>
            </w:pPr>
            <w:r w:rsidRPr="00A222F2">
              <w:t>265</w:t>
            </w:r>
          </w:p>
        </w:tc>
        <w:tc>
          <w:tcPr>
            <w:tcW w:w="1615" w:type="dxa"/>
          </w:tcPr>
          <w:p w14:paraId="0377C5A6" w14:textId="77777777" w:rsidR="004C6B98" w:rsidRPr="009F7CC9" w:rsidRDefault="000F5B51" w:rsidP="004C6B98">
            <w:pPr>
              <w:spacing w:after="0" w:line="240" w:lineRule="auto"/>
              <w:jc w:val="center"/>
              <w:rPr>
                <w:rFonts w:eastAsia="Times New Roman" w:cs="Times New Roman"/>
                <w:color w:val="000000"/>
                <w:szCs w:val="24"/>
              </w:rPr>
            </w:pPr>
            <w:r w:rsidRPr="00A222F2">
              <w:t>633</w:t>
            </w:r>
          </w:p>
        </w:tc>
      </w:tr>
      <w:tr w:rsidR="00A15C2C" w14:paraId="389DD767" w14:textId="77777777" w:rsidTr="0055589E">
        <w:trPr>
          <w:trHeight w:val="290"/>
          <w:jc w:val="center"/>
        </w:trPr>
        <w:tc>
          <w:tcPr>
            <w:tcW w:w="1795" w:type="dxa"/>
            <w:vMerge/>
            <w:shd w:val="clear" w:color="auto" w:fill="auto"/>
            <w:noWrap/>
            <w:vAlign w:val="center"/>
            <w:hideMark/>
          </w:tcPr>
          <w:p w14:paraId="2B4BABC9" w14:textId="77777777" w:rsidR="004C6B98" w:rsidRPr="009F7CC9" w:rsidRDefault="004C6B98" w:rsidP="004C6B98">
            <w:pPr>
              <w:spacing w:after="0" w:line="240" w:lineRule="auto"/>
              <w:rPr>
                <w:rFonts w:eastAsia="Times New Roman" w:cs="Times New Roman"/>
                <w:szCs w:val="24"/>
              </w:rPr>
            </w:pPr>
          </w:p>
        </w:tc>
        <w:tc>
          <w:tcPr>
            <w:tcW w:w="1530" w:type="dxa"/>
            <w:shd w:val="clear" w:color="auto" w:fill="auto"/>
            <w:noWrap/>
            <w:vAlign w:val="center"/>
            <w:hideMark/>
          </w:tcPr>
          <w:p w14:paraId="110A16AA" w14:textId="77777777" w:rsidR="004C6B98" w:rsidRPr="009F7CC9" w:rsidRDefault="000F5B51" w:rsidP="004C6B98">
            <w:pPr>
              <w:spacing w:after="0" w:line="240" w:lineRule="auto"/>
              <w:jc w:val="center"/>
              <w:rPr>
                <w:rFonts w:eastAsia="Times New Roman" w:cs="Times New Roman"/>
                <w:color w:val="000000"/>
                <w:szCs w:val="24"/>
              </w:rPr>
            </w:pPr>
            <w:r w:rsidRPr="009F7CC9">
              <w:rPr>
                <w:rFonts w:eastAsia="Times New Roman" w:cs="Times New Roman"/>
                <w:color w:val="000000"/>
                <w:szCs w:val="24"/>
              </w:rPr>
              <w:t>Rear</w:t>
            </w:r>
          </w:p>
        </w:tc>
        <w:tc>
          <w:tcPr>
            <w:tcW w:w="2070" w:type="dxa"/>
            <w:shd w:val="clear" w:color="auto" w:fill="auto"/>
            <w:noWrap/>
          </w:tcPr>
          <w:p w14:paraId="4B1426AA" w14:textId="77777777" w:rsidR="004C6B98" w:rsidRPr="009F7CC9" w:rsidRDefault="000F5B51" w:rsidP="004C6B98">
            <w:pPr>
              <w:spacing w:after="0" w:line="240" w:lineRule="auto"/>
              <w:jc w:val="center"/>
              <w:rPr>
                <w:rFonts w:eastAsia="Times New Roman" w:cs="Times New Roman"/>
                <w:color w:val="000000"/>
                <w:szCs w:val="24"/>
              </w:rPr>
            </w:pPr>
            <w:r w:rsidRPr="00A222F2">
              <w:t>84</w:t>
            </w:r>
          </w:p>
        </w:tc>
        <w:tc>
          <w:tcPr>
            <w:tcW w:w="2340" w:type="dxa"/>
            <w:shd w:val="clear" w:color="auto" w:fill="auto"/>
            <w:noWrap/>
          </w:tcPr>
          <w:p w14:paraId="5F1C165B" w14:textId="77777777" w:rsidR="004C6B98" w:rsidRPr="009F7CC9" w:rsidRDefault="000F5B51" w:rsidP="004C6B98">
            <w:pPr>
              <w:spacing w:after="0" w:line="240" w:lineRule="auto"/>
              <w:jc w:val="center"/>
              <w:rPr>
                <w:rFonts w:eastAsia="Times New Roman" w:cs="Times New Roman"/>
                <w:color w:val="000000"/>
                <w:szCs w:val="24"/>
              </w:rPr>
            </w:pPr>
            <w:r w:rsidRPr="00A222F2">
              <w:t>48</w:t>
            </w:r>
          </w:p>
        </w:tc>
        <w:tc>
          <w:tcPr>
            <w:tcW w:w="1615" w:type="dxa"/>
          </w:tcPr>
          <w:p w14:paraId="53928FA7" w14:textId="77777777" w:rsidR="004C6B98" w:rsidRPr="009F7CC9" w:rsidRDefault="000F5B51" w:rsidP="004C6B98">
            <w:pPr>
              <w:spacing w:after="0" w:line="240" w:lineRule="auto"/>
              <w:jc w:val="center"/>
              <w:rPr>
                <w:rFonts w:eastAsia="Times New Roman" w:cs="Times New Roman"/>
                <w:color w:val="000000"/>
                <w:szCs w:val="24"/>
              </w:rPr>
            </w:pPr>
            <w:r w:rsidRPr="00A222F2">
              <w:t>132</w:t>
            </w:r>
          </w:p>
        </w:tc>
      </w:tr>
      <w:tr w:rsidR="00A15C2C" w14:paraId="69D757F8" w14:textId="77777777" w:rsidTr="00B87B60">
        <w:trPr>
          <w:trHeight w:val="290"/>
          <w:jc w:val="center"/>
        </w:trPr>
        <w:tc>
          <w:tcPr>
            <w:tcW w:w="1795" w:type="dxa"/>
            <w:vMerge/>
            <w:tcBorders>
              <w:bottom w:val="single" w:sz="4" w:space="0" w:color="auto"/>
            </w:tcBorders>
            <w:shd w:val="clear" w:color="auto" w:fill="auto"/>
            <w:noWrap/>
            <w:vAlign w:val="center"/>
            <w:hideMark/>
          </w:tcPr>
          <w:p w14:paraId="1A5D6D2D" w14:textId="77777777" w:rsidR="004C6B98" w:rsidRPr="009F7CC9" w:rsidRDefault="004C6B98" w:rsidP="004C6B98">
            <w:pPr>
              <w:spacing w:after="0" w:line="240" w:lineRule="auto"/>
              <w:rPr>
                <w:rFonts w:eastAsia="Times New Roman" w:cs="Times New Roman"/>
                <w:szCs w:val="24"/>
              </w:rPr>
            </w:pPr>
          </w:p>
        </w:tc>
        <w:tc>
          <w:tcPr>
            <w:tcW w:w="1530" w:type="dxa"/>
            <w:tcBorders>
              <w:bottom w:val="single" w:sz="4" w:space="0" w:color="auto"/>
            </w:tcBorders>
            <w:shd w:val="clear" w:color="auto" w:fill="auto"/>
            <w:noWrap/>
            <w:vAlign w:val="center"/>
            <w:hideMark/>
          </w:tcPr>
          <w:p w14:paraId="0D321A43" w14:textId="77777777" w:rsidR="004C6B98" w:rsidRPr="0055589E" w:rsidRDefault="000F5B51" w:rsidP="004C6B98">
            <w:pPr>
              <w:spacing w:after="0" w:line="240" w:lineRule="auto"/>
              <w:jc w:val="center"/>
              <w:rPr>
                <w:rFonts w:eastAsia="Times New Roman" w:cs="Times New Roman"/>
                <w:b/>
                <w:bCs/>
                <w:color w:val="000000"/>
                <w:szCs w:val="24"/>
              </w:rPr>
            </w:pPr>
            <w:r w:rsidRPr="0055589E">
              <w:rPr>
                <w:rFonts w:eastAsia="Times New Roman" w:cs="Times New Roman"/>
                <w:b/>
                <w:bCs/>
                <w:color w:val="000000"/>
                <w:szCs w:val="24"/>
              </w:rPr>
              <w:t>Total</w:t>
            </w:r>
          </w:p>
        </w:tc>
        <w:tc>
          <w:tcPr>
            <w:tcW w:w="2070" w:type="dxa"/>
            <w:tcBorders>
              <w:bottom w:val="single" w:sz="4" w:space="0" w:color="auto"/>
            </w:tcBorders>
            <w:shd w:val="clear" w:color="auto" w:fill="auto"/>
            <w:noWrap/>
          </w:tcPr>
          <w:p w14:paraId="562637AF" w14:textId="77777777" w:rsidR="004C6B98" w:rsidRPr="00742361" w:rsidRDefault="000F5B51" w:rsidP="004C6B98">
            <w:pPr>
              <w:spacing w:after="0" w:line="240" w:lineRule="auto"/>
              <w:jc w:val="center"/>
              <w:rPr>
                <w:rFonts w:eastAsia="Times New Roman" w:cs="Times New Roman"/>
                <w:b/>
                <w:bCs/>
                <w:color w:val="000000"/>
                <w:szCs w:val="24"/>
              </w:rPr>
            </w:pPr>
            <w:r w:rsidRPr="0055589E">
              <w:rPr>
                <w:b/>
                <w:bCs/>
              </w:rPr>
              <w:t>2,287</w:t>
            </w:r>
          </w:p>
        </w:tc>
        <w:tc>
          <w:tcPr>
            <w:tcW w:w="2340" w:type="dxa"/>
            <w:tcBorders>
              <w:bottom w:val="single" w:sz="4" w:space="0" w:color="auto"/>
            </w:tcBorders>
            <w:shd w:val="clear" w:color="auto" w:fill="auto"/>
            <w:noWrap/>
          </w:tcPr>
          <w:p w14:paraId="13330905" w14:textId="77777777" w:rsidR="004C6B98" w:rsidRPr="00742361" w:rsidRDefault="000F5B51" w:rsidP="004C6B98">
            <w:pPr>
              <w:spacing w:after="0" w:line="240" w:lineRule="auto"/>
              <w:jc w:val="center"/>
              <w:rPr>
                <w:rFonts w:eastAsia="Times New Roman" w:cs="Times New Roman"/>
                <w:b/>
                <w:bCs/>
                <w:color w:val="000000"/>
                <w:szCs w:val="24"/>
              </w:rPr>
            </w:pPr>
            <w:r w:rsidRPr="0055589E">
              <w:rPr>
                <w:b/>
                <w:bCs/>
              </w:rPr>
              <w:t>2,669</w:t>
            </w:r>
          </w:p>
        </w:tc>
        <w:tc>
          <w:tcPr>
            <w:tcW w:w="1615" w:type="dxa"/>
            <w:tcBorders>
              <w:bottom w:val="single" w:sz="4" w:space="0" w:color="auto"/>
            </w:tcBorders>
          </w:tcPr>
          <w:p w14:paraId="27EDD37E" w14:textId="77777777" w:rsidR="004C6B98" w:rsidRPr="00742361" w:rsidRDefault="000F5B51" w:rsidP="004C6B98">
            <w:pPr>
              <w:spacing w:after="0" w:line="240" w:lineRule="auto"/>
              <w:jc w:val="center"/>
              <w:rPr>
                <w:rFonts w:eastAsia="Times New Roman" w:cs="Times New Roman"/>
                <w:b/>
                <w:bCs/>
                <w:color w:val="000000"/>
                <w:szCs w:val="24"/>
              </w:rPr>
            </w:pPr>
            <w:r w:rsidRPr="0055589E">
              <w:rPr>
                <w:b/>
                <w:bCs/>
              </w:rPr>
              <w:t>4,956</w:t>
            </w:r>
          </w:p>
        </w:tc>
      </w:tr>
      <w:bookmarkEnd w:id="103"/>
    </w:tbl>
    <w:p w14:paraId="0556C513" w14:textId="77777777" w:rsidR="00555365" w:rsidRDefault="00555365" w:rsidP="0055589E">
      <w:pPr>
        <w:pStyle w:val="NoSpaceTimes"/>
      </w:pPr>
    </w:p>
    <w:p w14:paraId="6CD326AB" w14:textId="77777777" w:rsidR="00322FCC" w:rsidRDefault="000F5B51" w:rsidP="00555365">
      <w:pPr>
        <w:spacing w:after="0"/>
        <w:contextualSpacing/>
      </w:pPr>
      <w:r>
        <w:rPr>
          <w:rFonts w:cs="Times New Roman"/>
          <w:szCs w:val="24"/>
        </w:rPr>
        <w:t xml:space="preserve">There is a lack of data to establish the target population for drivers who </w:t>
      </w:r>
      <w:r w:rsidR="002A7654">
        <w:rPr>
          <w:rFonts w:cs="Times New Roman"/>
          <w:szCs w:val="24"/>
        </w:rPr>
        <w:t>incurred non-fatal injuries</w:t>
      </w:r>
      <w:r w:rsidR="001F2F92">
        <w:rPr>
          <w:rFonts w:cs="Times New Roman"/>
          <w:szCs w:val="24"/>
        </w:rPr>
        <w:t xml:space="preserve">. </w:t>
      </w:r>
      <w:r w:rsidR="002A7654">
        <w:rPr>
          <w:rFonts w:cs="Times New Roman"/>
          <w:szCs w:val="24"/>
        </w:rPr>
        <w:t>Therefore</w:t>
      </w:r>
      <w:r w:rsidR="00555365" w:rsidRPr="004059E6">
        <w:rPr>
          <w:rFonts w:cs="Times New Roman"/>
          <w:szCs w:val="24"/>
        </w:rPr>
        <w:t xml:space="preserve">, we estimated the number of non-fatal injuries based on the </w:t>
      </w:r>
      <w:r w:rsidR="00085F34">
        <w:rPr>
          <w:rFonts w:cs="Times New Roman"/>
          <w:szCs w:val="24"/>
        </w:rPr>
        <w:t>fatality</w:t>
      </w:r>
      <w:r w:rsidR="00555365" w:rsidRPr="004059E6">
        <w:rPr>
          <w:rFonts w:cs="Times New Roman"/>
          <w:szCs w:val="24"/>
        </w:rPr>
        <w:t xml:space="preserve"> data above and </w:t>
      </w:r>
      <w:r w:rsidR="0018768F">
        <w:rPr>
          <w:rFonts w:cs="Times New Roman"/>
          <w:szCs w:val="24"/>
        </w:rPr>
        <w:t xml:space="preserve">ratio of </w:t>
      </w:r>
      <w:r w:rsidR="00555365">
        <w:rPr>
          <w:rFonts w:cs="Times New Roman"/>
          <w:szCs w:val="24"/>
        </w:rPr>
        <w:t>injuries to fatalities for rear seat occupants</w:t>
      </w:r>
      <w:r w:rsidR="00555365" w:rsidRPr="004059E6">
        <w:rPr>
          <w:rFonts w:cs="Times New Roman"/>
          <w:szCs w:val="24"/>
        </w:rPr>
        <w:t>.</w:t>
      </w:r>
    </w:p>
    <w:p w14:paraId="7B7F53DF" w14:textId="39502A24" w:rsidR="00555365" w:rsidRDefault="000F5B51" w:rsidP="00555365">
      <w:pPr>
        <w:spacing w:after="0"/>
        <w:contextualSpacing/>
        <w:rPr>
          <w:rFonts w:cs="Times New Roman"/>
          <w:szCs w:val="24"/>
        </w:rPr>
      </w:pPr>
      <w:r>
        <w:rPr>
          <w:rFonts w:cs="Times New Roman"/>
          <w:szCs w:val="24"/>
        </w:rPr>
        <w:fldChar w:fldCharType="begin"/>
      </w:r>
      <w:r>
        <w:rPr>
          <w:rFonts w:cs="Times New Roman"/>
          <w:szCs w:val="24"/>
        </w:rPr>
        <w:instrText xml:space="preserve"> REF _Ref126148536 \h </w:instrText>
      </w:r>
      <w:r>
        <w:rPr>
          <w:rFonts w:cs="Times New Roman"/>
          <w:szCs w:val="24"/>
        </w:rPr>
      </w:r>
      <w:r>
        <w:rPr>
          <w:rFonts w:cs="Times New Roman"/>
          <w:szCs w:val="24"/>
        </w:rPr>
        <w:fldChar w:fldCharType="separate"/>
      </w:r>
      <w:r w:rsidR="00A65CB3">
        <w:t xml:space="preserve">Table </w:t>
      </w:r>
      <w:r w:rsidR="00A65CB3">
        <w:rPr>
          <w:noProof/>
        </w:rPr>
        <w:t>24</w:t>
      </w:r>
      <w:r>
        <w:rPr>
          <w:rFonts w:cs="Times New Roman"/>
          <w:szCs w:val="24"/>
        </w:rPr>
        <w:fldChar w:fldCharType="end"/>
      </w:r>
      <w:r>
        <w:rPr>
          <w:rFonts w:cs="Times New Roman"/>
          <w:szCs w:val="24"/>
        </w:rPr>
        <w:t xml:space="preserve"> presents the injury to fatality ratio for drivers by vehicle type</w:t>
      </w:r>
      <w:r w:rsidR="001F2F92">
        <w:rPr>
          <w:rFonts w:cs="Times New Roman"/>
          <w:szCs w:val="24"/>
        </w:rPr>
        <w:t xml:space="preserve">. </w:t>
      </w:r>
      <w:r>
        <w:rPr>
          <w:rFonts w:cs="Times New Roman"/>
          <w:szCs w:val="24"/>
        </w:rPr>
        <w:t xml:space="preserve">In order to estimate the number of non-fatal injures for drivers, we apply the </w:t>
      </w:r>
      <w:r w:rsidR="00AE41D7">
        <w:rPr>
          <w:rFonts w:cs="Times New Roman"/>
          <w:szCs w:val="24"/>
        </w:rPr>
        <w:t>appropriate ratio by in</w:t>
      </w:r>
      <w:r w:rsidR="00EC32BA">
        <w:rPr>
          <w:rFonts w:cs="Times New Roman"/>
          <w:szCs w:val="24"/>
        </w:rPr>
        <w:t xml:space="preserve">jury severity </w:t>
      </w:r>
      <w:r w:rsidR="003F5C8B">
        <w:rPr>
          <w:rFonts w:cs="Times New Roman"/>
          <w:szCs w:val="24"/>
        </w:rPr>
        <w:t xml:space="preserve">and vehicle type to the number of fatalities presented in </w:t>
      </w:r>
      <w:r w:rsidR="003F5C8B">
        <w:rPr>
          <w:rFonts w:cs="Times New Roman"/>
          <w:szCs w:val="24"/>
        </w:rPr>
        <w:fldChar w:fldCharType="begin"/>
      </w:r>
      <w:r w:rsidR="003F5C8B">
        <w:rPr>
          <w:rFonts w:cs="Times New Roman"/>
          <w:szCs w:val="24"/>
        </w:rPr>
        <w:instrText xml:space="preserve"> REF _Ref126148672 \h </w:instrText>
      </w:r>
      <w:r w:rsidR="003F5C8B">
        <w:rPr>
          <w:rFonts w:cs="Times New Roman"/>
          <w:szCs w:val="24"/>
        </w:rPr>
      </w:r>
      <w:r w:rsidR="003F5C8B">
        <w:rPr>
          <w:rFonts w:cs="Times New Roman"/>
          <w:szCs w:val="24"/>
        </w:rPr>
        <w:fldChar w:fldCharType="separate"/>
      </w:r>
      <w:r w:rsidR="00A65CB3">
        <w:t xml:space="preserve">Table </w:t>
      </w:r>
      <w:r w:rsidR="00A65CB3">
        <w:rPr>
          <w:noProof/>
        </w:rPr>
        <w:t>23</w:t>
      </w:r>
      <w:r w:rsidR="003F5C8B">
        <w:rPr>
          <w:rFonts w:cs="Times New Roman"/>
          <w:szCs w:val="24"/>
        </w:rPr>
        <w:fldChar w:fldCharType="end"/>
      </w:r>
      <w:r w:rsidR="003F5C8B">
        <w:rPr>
          <w:rFonts w:cs="Times New Roman"/>
          <w:szCs w:val="24"/>
        </w:rPr>
        <w:t>.</w:t>
      </w:r>
    </w:p>
    <w:p w14:paraId="5EC185A0" w14:textId="379458FC" w:rsidR="00555365" w:rsidRDefault="000F5B51" w:rsidP="00555365">
      <w:pPr>
        <w:pStyle w:val="Caption"/>
        <w:rPr>
          <w:rFonts w:cs="Times New Roman"/>
          <w:szCs w:val="24"/>
        </w:rPr>
      </w:pPr>
      <w:bookmarkStart w:id="104" w:name="_Ref126148536"/>
      <w:r>
        <w:t xml:space="preserve">Table </w:t>
      </w:r>
      <w:r w:rsidR="00115BAB">
        <w:fldChar w:fldCharType="begin"/>
      </w:r>
      <w:r>
        <w:instrText xml:space="preserve"> SEQ Table \* ARABIC </w:instrText>
      </w:r>
      <w:r w:rsidR="00115BAB">
        <w:fldChar w:fldCharType="separate"/>
      </w:r>
      <w:r w:rsidR="00A65CB3">
        <w:rPr>
          <w:noProof/>
        </w:rPr>
        <w:t>24</w:t>
      </w:r>
      <w:r w:rsidR="00115BAB">
        <w:rPr>
          <w:noProof/>
        </w:rPr>
        <w:fldChar w:fldCharType="end"/>
      </w:r>
      <w:bookmarkEnd w:id="104"/>
      <w:r>
        <w:t xml:space="preserve">: </w:t>
      </w:r>
      <w:r w:rsidR="00182F54">
        <w:t xml:space="preserve">Injury to </w:t>
      </w:r>
      <w:r w:rsidR="005E0F2A">
        <w:t>Fatality</w:t>
      </w:r>
      <w:r w:rsidR="00182F54">
        <w:t xml:space="preserve"> Ratio by Vehicle Type</w:t>
      </w:r>
    </w:p>
    <w:tbl>
      <w:tblPr>
        <w:tblStyle w:val="TableGrid"/>
        <w:tblW w:w="0" w:type="auto"/>
        <w:jc w:val="center"/>
        <w:tblLook w:val="04A0" w:firstRow="1" w:lastRow="0" w:firstColumn="1" w:lastColumn="0" w:noHBand="0" w:noVBand="1"/>
      </w:tblPr>
      <w:tblGrid>
        <w:gridCol w:w="1435"/>
        <w:gridCol w:w="3150"/>
        <w:gridCol w:w="3420"/>
      </w:tblGrid>
      <w:tr w:rsidR="00A15C2C" w14:paraId="45B6D680" w14:textId="77777777" w:rsidTr="003C04C4">
        <w:trPr>
          <w:trHeight w:val="290"/>
          <w:jc w:val="center"/>
        </w:trPr>
        <w:tc>
          <w:tcPr>
            <w:tcW w:w="1435" w:type="dxa"/>
            <w:vMerge w:val="restart"/>
            <w:shd w:val="clear" w:color="auto" w:fill="D9D9D9" w:themeFill="background1" w:themeFillShade="D9"/>
            <w:noWrap/>
            <w:vAlign w:val="center"/>
          </w:tcPr>
          <w:p w14:paraId="41302F74" w14:textId="77777777" w:rsidR="00322FCC" w:rsidRPr="000F1504" w:rsidRDefault="000F5B51" w:rsidP="006635AE">
            <w:pPr>
              <w:spacing w:line="240" w:lineRule="auto"/>
              <w:contextualSpacing/>
              <w:rPr>
                <w:b/>
                <w:bCs/>
                <w:szCs w:val="24"/>
              </w:rPr>
            </w:pPr>
            <w:r w:rsidRPr="000F1504">
              <w:rPr>
                <w:b/>
                <w:bCs/>
                <w:szCs w:val="24"/>
              </w:rPr>
              <w:t>Injury</w:t>
            </w:r>
            <w:r>
              <w:rPr>
                <w:b/>
                <w:bCs/>
                <w:szCs w:val="24"/>
              </w:rPr>
              <w:t xml:space="preserve"> Severity </w:t>
            </w:r>
          </w:p>
        </w:tc>
        <w:tc>
          <w:tcPr>
            <w:tcW w:w="6570" w:type="dxa"/>
            <w:gridSpan w:val="2"/>
            <w:shd w:val="clear" w:color="auto" w:fill="D9D9D9" w:themeFill="background1" w:themeFillShade="D9"/>
            <w:noWrap/>
            <w:vAlign w:val="center"/>
          </w:tcPr>
          <w:p w14:paraId="7099574B" w14:textId="77777777" w:rsidR="00322FCC" w:rsidRPr="000F1504" w:rsidRDefault="000F5B51" w:rsidP="006635AE">
            <w:pPr>
              <w:spacing w:line="240" w:lineRule="auto"/>
              <w:contextualSpacing/>
              <w:jc w:val="center"/>
              <w:rPr>
                <w:b/>
                <w:bCs/>
                <w:szCs w:val="24"/>
              </w:rPr>
            </w:pPr>
            <w:r>
              <w:rPr>
                <w:b/>
                <w:bCs/>
                <w:szCs w:val="24"/>
              </w:rPr>
              <w:t>Injury-Fatal Ratio</w:t>
            </w:r>
          </w:p>
        </w:tc>
      </w:tr>
      <w:tr w:rsidR="00A15C2C" w14:paraId="0287BA33" w14:textId="77777777" w:rsidTr="003C04C4">
        <w:trPr>
          <w:trHeight w:val="404"/>
          <w:jc w:val="center"/>
        </w:trPr>
        <w:tc>
          <w:tcPr>
            <w:tcW w:w="1435" w:type="dxa"/>
            <w:vMerge/>
            <w:shd w:val="clear" w:color="auto" w:fill="D9D9D9" w:themeFill="background1" w:themeFillShade="D9"/>
            <w:noWrap/>
            <w:vAlign w:val="center"/>
            <w:hideMark/>
          </w:tcPr>
          <w:p w14:paraId="124FC8E4" w14:textId="77777777" w:rsidR="00322FCC" w:rsidRPr="000F1504" w:rsidRDefault="00322FCC" w:rsidP="006635AE">
            <w:pPr>
              <w:spacing w:line="240" w:lineRule="auto"/>
              <w:contextualSpacing/>
              <w:rPr>
                <w:b/>
                <w:bCs/>
                <w:szCs w:val="24"/>
              </w:rPr>
            </w:pPr>
          </w:p>
        </w:tc>
        <w:tc>
          <w:tcPr>
            <w:tcW w:w="3150" w:type="dxa"/>
            <w:shd w:val="clear" w:color="auto" w:fill="D9D9D9" w:themeFill="background1" w:themeFillShade="D9"/>
            <w:noWrap/>
            <w:vAlign w:val="center"/>
            <w:hideMark/>
          </w:tcPr>
          <w:p w14:paraId="19DA84E2" w14:textId="77777777" w:rsidR="00322FCC" w:rsidRPr="000F1504" w:rsidRDefault="000F5B51" w:rsidP="006635AE">
            <w:pPr>
              <w:spacing w:line="240" w:lineRule="auto"/>
              <w:contextualSpacing/>
              <w:jc w:val="center"/>
              <w:rPr>
                <w:b/>
                <w:bCs/>
                <w:szCs w:val="24"/>
              </w:rPr>
            </w:pPr>
            <w:r>
              <w:rPr>
                <w:b/>
                <w:bCs/>
                <w:szCs w:val="24"/>
              </w:rPr>
              <w:t>Passenger Car</w:t>
            </w:r>
            <w:r w:rsidR="00C60C8B">
              <w:rPr>
                <w:b/>
                <w:bCs/>
                <w:szCs w:val="24"/>
              </w:rPr>
              <w:t>s</w:t>
            </w:r>
          </w:p>
        </w:tc>
        <w:tc>
          <w:tcPr>
            <w:tcW w:w="3420" w:type="dxa"/>
            <w:shd w:val="clear" w:color="auto" w:fill="D9D9D9" w:themeFill="background1" w:themeFillShade="D9"/>
            <w:vAlign w:val="center"/>
          </w:tcPr>
          <w:p w14:paraId="6F289276" w14:textId="77777777" w:rsidR="00322FCC" w:rsidRPr="000F1504" w:rsidRDefault="000F5B51" w:rsidP="006635AE">
            <w:pPr>
              <w:spacing w:line="240" w:lineRule="auto"/>
              <w:contextualSpacing/>
              <w:jc w:val="center"/>
              <w:rPr>
                <w:b/>
                <w:bCs/>
                <w:szCs w:val="24"/>
              </w:rPr>
            </w:pPr>
            <w:r>
              <w:rPr>
                <w:b/>
                <w:bCs/>
                <w:szCs w:val="24"/>
              </w:rPr>
              <w:t>Light Trucks</w:t>
            </w:r>
          </w:p>
        </w:tc>
      </w:tr>
      <w:tr w:rsidR="00A15C2C" w14:paraId="15505BA2" w14:textId="77777777" w:rsidTr="006635AE">
        <w:trPr>
          <w:trHeight w:val="290"/>
          <w:jc w:val="center"/>
        </w:trPr>
        <w:tc>
          <w:tcPr>
            <w:tcW w:w="1435" w:type="dxa"/>
            <w:noWrap/>
            <w:vAlign w:val="center"/>
            <w:hideMark/>
          </w:tcPr>
          <w:p w14:paraId="2BFED76C" w14:textId="77777777" w:rsidR="00555365" w:rsidRPr="00C5729E" w:rsidRDefault="000F5B51" w:rsidP="006635AE">
            <w:pPr>
              <w:spacing w:line="240" w:lineRule="auto"/>
              <w:contextualSpacing/>
              <w:rPr>
                <w:szCs w:val="24"/>
              </w:rPr>
            </w:pPr>
            <w:r w:rsidRPr="00C5729E">
              <w:rPr>
                <w:szCs w:val="24"/>
              </w:rPr>
              <w:t>MAIS</w:t>
            </w:r>
            <w:r>
              <w:rPr>
                <w:szCs w:val="24"/>
              </w:rPr>
              <w:t xml:space="preserve"> </w:t>
            </w:r>
            <w:r w:rsidRPr="00C5729E">
              <w:rPr>
                <w:szCs w:val="24"/>
              </w:rPr>
              <w:t>1</w:t>
            </w:r>
          </w:p>
        </w:tc>
        <w:tc>
          <w:tcPr>
            <w:tcW w:w="3150" w:type="dxa"/>
            <w:noWrap/>
            <w:vAlign w:val="center"/>
            <w:hideMark/>
          </w:tcPr>
          <w:p w14:paraId="6A9B1A1C" w14:textId="77777777" w:rsidR="00555365" w:rsidRPr="00C5729E" w:rsidRDefault="000F5B51" w:rsidP="006635AE">
            <w:pPr>
              <w:spacing w:line="240" w:lineRule="auto"/>
              <w:contextualSpacing/>
              <w:jc w:val="center"/>
              <w:rPr>
                <w:szCs w:val="24"/>
              </w:rPr>
            </w:pPr>
            <w:r w:rsidRPr="00C5729E">
              <w:rPr>
                <w:szCs w:val="24"/>
              </w:rPr>
              <w:t>4.626948383</w:t>
            </w:r>
          </w:p>
        </w:tc>
        <w:tc>
          <w:tcPr>
            <w:tcW w:w="3420" w:type="dxa"/>
            <w:vAlign w:val="center"/>
          </w:tcPr>
          <w:p w14:paraId="5B4586C7" w14:textId="77777777" w:rsidR="00555365" w:rsidRPr="00C5729E" w:rsidRDefault="000F5B51" w:rsidP="006635AE">
            <w:pPr>
              <w:spacing w:line="240" w:lineRule="auto"/>
              <w:contextualSpacing/>
              <w:jc w:val="center"/>
              <w:rPr>
                <w:szCs w:val="24"/>
              </w:rPr>
            </w:pPr>
            <w:r w:rsidRPr="00C5729E">
              <w:rPr>
                <w:szCs w:val="24"/>
              </w:rPr>
              <w:t>4.81910849</w:t>
            </w:r>
          </w:p>
        </w:tc>
      </w:tr>
      <w:tr w:rsidR="00A15C2C" w14:paraId="650265D5" w14:textId="77777777" w:rsidTr="006635AE">
        <w:trPr>
          <w:trHeight w:val="290"/>
          <w:jc w:val="center"/>
        </w:trPr>
        <w:tc>
          <w:tcPr>
            <w:tcW w:w="1435" w:type="dxa"/>
            <w:noWrap/>
            <w:vAlign w:val="center"/>
            <w:hideMark/>
          </w:tcPr>
          <w:p w14:paraId="46D81970" w14:textId="77777777" w:rsidR="00555365" w:rsidRPr="00C5729E" w:rsidRDefault="000F5B51" w:rsidP="006635AE">
            <w:pPr>
              <w:spacing w:line="240" w:lineRule="auto"/>
              <w:contextualSpacing/>
              <w:rPr>
                <w:szCs w:val="24"/>
              </w:rPr>
            </w:pPr>
            <w:r w:rsidRPr="00C5729E">
              <w:rPr>
                <w:szCs w:val="24"/>
              </w:rPr>
              <w:t>MAIS</w:t>
            </w:r>
            <w:r>
              <w:rPr>
                <w:szCs w:val="24"/>
              </w:rPr>
              <w:t xml:space="preserve"> </w:t>
            </w:r>
            <w:r w:rsidRPr="00C5729E">
              <w:rPr>
                <w:szCs w:val="24"/>
              </w:rPr>
              <w:t>2</w:t>
            </w:r>
          </w:p>
        </w:tc>
        <w:tc>
          <w:tcPr>
            <w:tcW w:w="3150" w:type="dxa"/>
            <w:noWrap/>
            <w:vAlign w:val="center"/>
            <w:hideMark/>
          </w:tcPr>
          <w:p w14:paraId="6B54B161" w14:textId="77777777" w:rsidR="00555365" w:rsidRPr="00C5729E" w:rsidRDefault="000F5B51" w:rsidP="006635AE">
            <w:pPr>
              <w:spacing w:line="240" w:lineRule="auto"/>
              <w:contextualSpacing/>
              <w:jc w:val="center"/>
              <w:rPr>
                <w:szCs w:val="24"/>
              </w:rPr>
            </w:pPr>
            <w:r w:rsidRPr="00C5729E">
              <w:rPr>
                <w:szCs w:val="24"/>
              </w:rPr>
              <w:t>2.024681819</w:t>
            </w:r>
          </w:p>
        </w:tc>
        <w:tc>
          <w:tcPr>
            <w:tcW w:w="3420" w:type="dxa"/>
            <w:vAlign w:val="center"/>
          </w:tcPr>
          <w:p w14:paraId="2B25D252" w14:textId="77777777" w:rsidR="00555365" w:rsidRPr="00C5729E" w:rsidRDefault="000F5B51" w:rsidP="006635AE">
            <w:pPr>
              <w:spacing w:line="240" w:lineRule="auto"/>
              <w:contextualSpacing/>
              <w:jc w:val="center"/>
              <w:rPr>
                <w:szCs w:val="24"/>
              </w:rPr>
            </w:pPr>
            <w:r w:rsidRPr="00C5729E">
              <w:rPr>
                <w:szCs w:val="24"/>
              </w:rPr>
              <w:t>1.63651249</w:t>
            </w:r>
          </w:p>
        </w:tc>
      </w:tr>
      <w:tr w:rsidR="00A15C2C" w14:paraId="7CB417C3" w14:textId="77777777" w:rsidTr="006635AE">
        <w:trPr>
          <w:trHeight w:val="290"/>
          <w:jc w:val="center"/>
        </w:trPr>
        <w:tc>
          <w:tcPr>
            <w:tcW w:w="1435" w:type="dxa"/>
            <w:noWrap/>
            <w:vAlign w:val="center"/>
            <w:hideMark/>
          </w:tcPr>
          <w:p w14:paraId="2809989D" w14:textId="77777777" w:rsidR="00555365" w:rsidRPr="00C5729E" w:rsidRDefault="000F5B51" w:rsidP="006635AE">
            <w:pPr>
              <w:spacing w:line="240" w:lineRule="auto"/>
              <w:contextualSpacing/>
              <w:rPr>
                <w:szCs w:val="24"/>
              </w:rPr>
            </w:pPr>
            <w:r w:rsidRPr="00C5729E">
              <w:rPr>
                <w:szCs w:val="24"/>
              </w:rPr>
              <w:t>MAIS</w:t>
            </w:r>
            <w:r>
              <w:rPr>
                <w:szCs w:val="24"/>
              </w:rPr>
              <w:t xml:space="preserve"> </w:t>
            </w:r>
            <w:r w:rsidRPr="00C5729E">
              <w:rPr>
                <w:szCs w:val="24"/>
              </w:rPr>
              <w:t>3</w:t>
            </w:r>
          </w:p>
        </w:tc>
        <w:tc>
          <w:tcPr>
            <w:tcW w:w="3150" w:type="dxa"/>
            <w:noWrap/>
            <w:vAlign w:val="center"/>
            <w:hideMark/>
          </w:tcPr>
          <w:p w14:paraId="133078A8" w14:textId="77777777" w:rsidR="00555365" w:rsidRPr="00C5729E" w:rsidRDefault="000F5B51" w:rsidP="006635AE">
            <w:pPr>
              <w:spacing w:line="240" w:lineRule="auto"/>
              <w:contextualSpacing/>
              <w:jc w:val="center"/>
              <w:rPr>
                <w:szCs w:val="24"/>
              </w:rPr>
            </w:pPr>
            <w:r w:rsidRPr="00C5729E">
              <w:rPr>
                <w:szCs w:val="24"/>
              </w:rPr>
              <w:t>0.558835586</w:t>
            </w:r>
          </w:p>
        </w:tc>
        <w:tc>
          <w:tcPr>
            <w:tcW w:w="3420" w:type="dxa"/>
            <w:vAlign w:val="center"/>
          </w:tcPr>
          <w:p w14:paraId="459192A8" w14:textId="77777777" w:rsidR="00555365" w:rsidRPr="00C5729E" w:rsidRDefault="000F5B51" w:rsidP="006635AE">
            <w:pPr>
              <w:spacing w:line="240" w:lineRule="auto"/>
              <w:contextualSpacing/>
              <w:jc w:val="center"/>
              <w:rPr>
                <w:szCs w:val="24"/>
              </w:rPr>
            </w:pPr>
            <w:r w:rsidRPr="00C5729E">
              <w:rPr>
                <w:szCs w:val="24"/>
              </w:rPr>
              <w:t>0.01071116</w:t>
            </w:r>
          </w:p>
        </w:tc>
      </w:tr>
      <w:tr w:rsidR="00A15C2C" w14:paraId="13DA077D" w14:textId="77777777" w:rsidTr="006635AE">
        <w:trPr>
          <w:trHeight w:val="290"/>
          <w:jc w:val="center"/>
        </w:trPr>
        <w:tc>
          <w:tcPr>
            <w:tcW w:w="1435" w:type="dxa"/>
            <w:noWrap/>
            <w:vAlign w:val="center"/>
            <w:hideMark/>
          </w:tcPr>
          <w:p w14:paraId="240080CA" w14:textId="77777777" w:rsidR="00555365" w:rsidRPr="00C5729E" w:rsidRDefault="000F5B51" w:rsidP="006635AE">
            <w:pPr>
              <w:spacing w:line="240" w:lineRule="auto"/>
              <w:contextualSpacing/>
              <w:rPr>
                <w:szCs w:val="24"/>
              </w:rPr>
            </w:pPr>
            <w:r w:rsidRPr="00C5729E">
              <w:rPr>
                <w:szCs w:val="24"/>
              </w:rPr>
              <w:t>MAIS</w:t>
            </w:r>
            <w:r>
              <w:rPr>
                <w:szCs w:val="24"/>
              </w:rPr>
              <w:t xml:space="preserve"> </w:t>
            </w:r>
            <w:r w:rsidRPr="00C5729E">
              <w:rPr>
                <w:szCs w:val="24"/>
              </w:rPr>
              <w:t>4</w:t>
            </w:r>
          </w:p>
        </w:tc>
        <w:tc>
          <w:tcPr>
            <w:tcW w:w="3150" w:type="dxa"/>
            <w:noWrap/>
            <w:vAlign w:val="center"/>
            <w:hideMark/>
          </w:tcPr>
          <w:p w14:paraId="42597D0E" w14:textId="77777777" w:rsidR="00555365" w:rsidRPr="00C5729E" w:rsidRDefault="000F5B51" w:rsidP="006635AE">
            <w:pPr>
              <w:spacing w:line="240" w:lineRule="auto"/>
              <w:contextualSpacing/>
              <w:jc w:val="center"/>
              <w:rPr>
                <w:szCs w:val="24"/>
              </w:rPr>
            </w:pPr>
            <w:r w:rsidRPr="00C5729E">
              <w:rPr>
                <w:szCs w:val="24"/>
              </w:rPr>
              <w:t>0.404146475</w:t>
            </w:r>
          </w:p>
        </w:tc>
        <w:tc>
          <w:tcPr>
            <w:tcW w:w="3420" w:type="dxa"/>
            <w:vAlign w:val="center"/>
          </w:tcPr>
          <w:p w14:paraId="7E1F5A59" w14:textId="77777777" w:rsidR="00555365" w:rsidRPr="00C5729E" w:rsidRDefault="000F5B51" w:rsidP="006635AE">
            <w:pPr>
              <w:spacing w:line="240" w:lineRule="auto"/>
              <w:contextualSpacing/>
              <w:jc w:val="center"/>
              <w:rPr>
                <w:szCs w:val="24"/>
              </w:rPr>
            </w:pPr>
            <w:r w:rsidRPr="00C5729E">
              <w:rPr>
                <w:szCs w:val="24"/>
              </w:rPr>
              <w:t>0.07687071</w:t>
            </w:r>
          </w:p>
        </w:tc>
      </w:tr>
      <w:tr w:rsidR="00A15C2C" w14:paraId="62E4EE95" w14:textId="77777777" w:rsidTr="006635AE">
        <w:trPr>
          <w:trHeight w:val="290"/>
          <w:jc w:val="center"/>
        </w:trPr>
        <w:tc>
          <w:tcPr>
            <w:tcW w:w="1435" w:type="dxa"/>
            <w:noWrap/>
            <w:vAlign w:val="center"/>
            <w:hideMark/>
          </w:tcPr>
          <w:p w14:paraId="2E5E0354" w14:textId="77777777" w:rsidR="00555365" w:rsidRPr="00C5729E" w:rsidRDefault="000F5B51" w:rsidP="006635AE">
            <w:pPr>
              <w:spacing w:line="240" w:lineRule="auto"/>
              <w:contextualSpacing/>
              <w:rPr>
                <w:szCs w:val="24"/>
              </w:rPr>
            </w:pPr>
            <w:r w:rsidRPr="00C5729E">
              <w:rPr>
                <w:szCs w:val="24"/>
              </w:rPr>
              <w:t>MAIS</w:t>
            </w:r>
            <w:r>
              <w:rPr>
                <w:szCs w:val="24"/>
              </w:rPr>
              <w:t xml:space="preserve"> </w:t>
            </w:r>
            <w:r w:rsidRPr="00C5729E">
              <w:rPr>
                <w:szCs w:val="24"/>
              </w:rPr>
              <w:t>5</w:t>
            </w:r>
          </w:p>
        </w:tc>
        <w:tc>
          <w:tcPr>
            <w:tcW w:w="3150" w:type="dxa"/>
            <w:noWrap/>
            <w:vAlign w:val="center"/>
            <w:hideMark/>
          </w:tcPr>
          <w:p w14:paraId="67B27AD7" w14:textId="77777777" w:rsidR="00555365" w:rsidRPr="00C5729E" w:rsidRDefault="000F5B51" w:rsidP="006635AE">
            <w:pPr>
              <w:spacing w:line="240" w:lineRule="auto"/>
              <w:contextualSpacing/>
              <w:jc w:val="center"/>
              <w:rPr>
                <w:szCs w:val="24"/>
              </w:rPr>
            </w:pPr>
            <w:r w:rsidRPr="00C5729E">
              <w:rPr>
                <w:szCs w:val="24"/>
              </w:rPr>
              <w:t>0.009818823</w:t>
            </w:r>
          </w:p>
        </w:tc>
        <w:tc>
          <w:tcPr>
            <w:tcW w:w="3420" w:type="dxa"/>
            <w:vAlign w:val="center"/>
          </w:tcPr>
          <w:p w14:paraId="451F7554" w14:textId="77777777" w:rsidR="00555365" w:rsidRPr="00C5729E" w:rsidRDefault="000F5B51" w:rsidP="006635AE">
            <w:pPr>
              <w:spacing w:line="240" w:lineRule="auto"/>
              <w:contextualSpacing/>
              <w:jc w:val="center"/>
              <w:rPr>
                <w:szCs w:val="24"/>
              </w:rPr>
            </w:pPr>
            <w:r w:rsidRPr="00C5729E">
              <w:rPr>
                <w:szCs w:val="24"/>
              </w:rPr>
              <w:t>0.00555692</w:t>
            </w:r>
          </w:p>
        </w:tc>
      </w:tr>
    </w:tbl>
    <w:p w14:paraId="03A1A685" w14:textId="77777777" w:rsidR="0025163A" w:rsidRDefault="0025163A" w:rsidP="0025163A">
      <w:pPr>
        <w:pStyle w:val="NoSpaceTimes"/>
        <w:jc w:val="left"/>
        <w:rPr>
          <w:highlight w:val="yellow"/>
        </w:rPr>
      </w:pPr>
    </w:p>
    <w:p w14:paraId="6B7DEE5E" w14:textId="5B32C958" w:rsidR="00DD0831" w:rsidRDefault="000F5B51" w:rsidP="00F76731">
      <w:pPr>
        <w:rPr>
          <w:rFonts w:cs="Times New Roman"/>
          <w:szCs w:val="24"/>
        </w:rPr>
      </w:pPr>
      <w:r w:rsidRPr="0055589E">
        <w:fldChar w:fldCharType="begin"/>
      </w:r>
      <w:r w:rsidRPr="0055589E">
        <w:instrText xml:space="preserve"> REF _Ref126148755 \h  \* MERGEFORMAT </w:instrText>
      </w:r>
      <w:r w:rsidRPr="0055589E">
        <w:fldChar w:fldCharType="separate"/>
      </w:r>
      <w:r w:rsidR="00A65CB3">
        <w:t xml:space="preserve">Table </w:t>
      </w:r>
      <w:r w:rsidR="00A65CB3">
        <w:rPr>
          <w:noProof/>
        </w:rPr>
        <w:t>25</w:t>
      </w:r>
      <w:r w:rsidRPr="0055589E">
        <w:fldChar w:fldCharType="end"/>
      </w:r>
      <w:r w:rsidRPr="0055589E">
        <w:t xml:space="preserve"> presents the</w:t>
      </w:r>
      <w:r w:rsidR="00D21D95">
        <w:t xml:space="preserve"> adjusted</w:t>
      </w:r>
      <w:r w:rsidRPr="0055589E">
        <w:t xml:space="preserve"> </w:t>
      </w:r>
      <w:r>
        <w:t xml:space="preserve">annual </w:t>
      </w:r>
      <w:r w:rsidR="00935CF7">
        <w:t xml:space="preserve">fatalities and </w:t>
      </w:r>
      <w:r>
        <w:t>non-fatal injuries</w:t>
      </w:r>
      <w:r w:rsidR="008E1B19">
        <w:t xml:space="preserve"> </w:t>
      </w:r>
      <w:r>
        <w:t>to drivers by vehicle type and crash type</w:t>
      </w:r>
      <w:r w:rsidR="001F2F92">
        <w:t xml:space="preserve">. </w:t>
      </w:r>
      <w:r w:rsidR="00643D31">
        <w:t xml:space="preserve">For passenger cars, </w:t>
      </w:r>
      <w:r w:rsidR="00643D31" w:rsidRPr="004059E6">
        <w:rPr>
          <w:rFonts w:cs="Times New Roman"/>
          <w:szCs w:val="24"/>
        </w:rPr>
        <w:t xml:space="preserve">there were a total of </w:t>
      </w:r>
      <w:r w:rsidR="001638B3">
        <w:rPr>
          <w:rFonts w:cs="Times New Roman"/>
          <w:szCs w:val="24"/>
        </w:rPr>
        <w:t>54,834 non-fatal injuries to drivers, annually</w:t>
      </w:r>
      <w:r w:rsidR="001F2F92">
        <w:rPr>
          <w:rFonts w:cs="Times New Roman"/>
          <w:szCs w:val="24"/>
        </w:rPr>
        <w:t xml:space="preserve">. </w:t>
      </w:r>
      <w:r w:rsidR="001638B3">
        <w:rPr>
          <w:rFonts w:cs="Times New Roman"/>
          <w:szCs w:val="24"/>
        </w:rPr>
        <w:t xml:space="preserve">Of those non-fatal injuries, </w:t>
      </w:r>
      <w:r w:rsidR="00261A8B">
        <w:rPr>
          <w:rFonts w:cs="Times New Roman"/>
          <w:szCs w:val="24"/>
        </w:rPr>
        <w:t>3</w:t>
      </w:r>
      <w:r w:rsidR="00794CFC">
        <w:rPr>
          <w:rFonts w:cs="Times New Roman"/>
          <w:szCs w:val="24"/>
        </w:rPr>
        <w:t>2,063</w:t>
      </w:r>
      <w:r w:rsidR="00643D31" w:rsidRPr="004059E6">
        <w:rPr>
          <w:rFonts w:cs="Times New Roman"/>
          <w:szCs w:val="24"/>
        </w:rPr>
        <w:t xml:space="preserve"> </w:t>
      </w:r>
      <w:r w:rsidR="001638B3">
        <w:rPr>
          <w:rFonts w:cs="Times New Roman"/>
          <w:szCs w:val="24"/>
        </w:rPr>
        <w:t xml:space="preserve">were to </w:t>
      </w:r>
      <w:r w:rsidR="00643D31" w:rsidRPr="004059E6">
        <w:rPr>
          <w:rFonts w:cs="Times New Roman"/>
          <w:szCs w:val="24"/>
        </w:rPr>
        <w:t>restrained</w:t>
      </w:r>
      <w:r w:rsidR="001638B3">
        <w:rPr>
          <w:rFonts w:cs="Times New Roman"/>
          <w:szCs w:val="24"/>
        </w:rPr>
        <w:t xml:space="preserve"> drivers</w:t>
      </w:r>
      <w:r w:rsidR="00643D31" w:rsidRPr="004059E6">
        <w:rPr>
          <w:rFonts w:cs="Times New Roman"/>
          <w:szCs w:val="24"/>
        </w:rPr>
        <w:t xml:space="preserve"> and </w:t>
      </w:r>
      <w:r w:rsidR="00794CFC">
        <w:rPr>
          <w:rFonts w:cs="Times New Roman"/>
          <w:szCs w:val="24"/>
        </w:rPr>
        <w:t>22,771</w:t>
      </w:r>
      <w:r w:rsidR="00643D31" w:rsidRPr="004059E6">
        <w:rPr>
          <w:rFonts w:cs="Times New Roman"/>
          <w:szCs w:val="24"/>
        </w:rPr>
        <w:t xml:space="preserve"> </w:t>
      </w:r>
      <w:r w:rsidR="001638B3">
        <w:rPr>
          <w:rFonts w:cs="Times New Roman"/>
          <w:szCs w:val="24"/>
        </w:rPr>
        <w:t xml:space="preserve">were to </w:t>
      </w:r>
      <w:r w:rsidR="00643D31" w:rsidRPr="004059E6">
        <w:rPr>
          <w:rFonts w:cs="Times New Roman"/>
          <w:szCs w:val="24"/>
        </w:rPr>
        <w:t xml:space="preserve">unrestrained </w:t>
      </w:r>
      <w:r w:rsidR="00454D74">
        <w:rPr>
          <w:rFonts w:cs="Times New Roman"/>
          <w:szCs w:val="24"/>
        </w:rPr>
        <w:t>drivers</w:t>
      </w:r>
      <w:r w:rsidR="001F2F92">
        <w:rPr>
          <w:rFonts w:cs="Times New Roman"/>
          <w:szCs w:val="24"/>
        </w:rPr>
        <w:t xml:space="preserve">. </w:t>
      </w:r>
      <w:r w:rsidR="00F76731">
        <w:t xml:space="preserve">For light trucks, </w:t>
      </w:r>
      <w:r w:rsidR="00F76731" w:rsidRPr="004059E6">
        <w:rPr>
          <w:rFonts w:cs="Times New Roman"/>
          <w:szCs w:val="24"/>
        </w:rPr>
        <w:t xml:space="preserve">there were a total of </w:t>
      </w:r>
      <w:r w:rsidR="002B56E2">
        <w:rPr>
          <w:rFonts w:cs="Times New Roman"/>
          <w:szCs w:val="24"/>
        </w:rPr>
        <w:t>32,456 non-fatal injuries, annually</w:t>
      </w:r>
      <w:r w:rsidR="001F2F92">
        <w:rPr>
          <w:rFonts w:cs="Times New Roman"/>
          <w:szCs w:val="24"/>
        </w:rPr>
        <w:t xml:space="preserve">. </w:t>
      </w:r>
      <w:r w:rsidR="002B56E2">
        <w:rPr>
          <w:rFonts w:cs="Times New Roman"/>
          <w:szCs w:val="24"/>
        </w:rPr>
        <w:t xml:space="preserve">Of </w:t>
      </w:r>
      <w:r w:rsidR="002B56E2">
        <w:rPr>
          <w:rFonts w:cs="Times New Roman"/>
          <w:szCs w:val="24"/>
        </w:rPr>
        <w:lastRenderedPageBreak/>
        <w:t xml:space="preserve">those non-fatal injuries, </w:t>
      </w:r>
      <w:r w:rsidR="00794CFC">
        <w:rPr>
          <w:rFonts w:cs="Times New Roman"/>
          <w:szCs w:val="24"/>
        </w:rPr>
        <w:t>14,975</w:t>
      </w:r>
      <w:r w:rsidR="002B56E2">
        <w:rPr>
          <w:rFonts w:cs="Times New Roman"/>
          <w:szCs w:val="24"/>
        </w:rPr>
        <w:t xml:space="preserve"> were to</w:t>
      </w:r>
      <w:r w:rsidR="00F76731" w:rsidRPr="004059E6">
        <w:rPr>
          <w:rFonts w:cs="Times New Roman"/>
          <w:szCs w:val="24"/>
        </w:rPr>
        <w:t xml:space="preserve"> restrained </w:t>
      </w:r>
      <w:r w:rsidR="002B56E2">
        <w:rPr>
          <w:rFonts w:cs="Times New Roman"/>
          <w:szCs w:val="24"/>
        </w:rPr>
        <w:t xml:space="preserve">drivers </w:t>
      </w:r>
      <w:r w:rsidR="00F76731" w:rsidRPr="004059E6">
        <w:rPr>
          <w:rFonts w:cs="Times New Roman"/>
          <w:szCs w:val="24"/>
        </w:rPr>
        <w:t xml:space="preserve">and </w:t>
      </w:r>
      <w:r w:rsidR="00794CFC">
        <w:rPr>
          <w:rFonts w:cs="Times New Roman"/>
          <w:szCs w:val="24"/>
        </w:rPr>
        <w:t>17,</w:t>
      </w:r>
      <w:r w:rsidR="000C7B4A">
        <w:rPr>
          <w:rFonts w:cs="Times New Roman"/>
          <w:szCs w:val="24"/>
        </w:rPr>
        <w:t>480</w:t>
      </w:r>
      <w:r w:rsidR="00F76731" w:rsidRPr="004059E6">
        <w:rPr>
          <w:rFonts w:cs="Times New Roman"/>
          <w:szCs w:val="24"/>
        </w:rPr>
        <w:t xml:space="preserve"> </w:t>
      </w:r>
      <w:r w:rsidR="002B56E2">
        <w:rPr>
          <w:rFonts w:cs="Times New Roman"/>
          <w:szCs w:val="24"/>
        </w:rPr>
        <w:t xml:space="preserve">were to </w:t>
      </w:r>
      <w:r w:rsidR="00F76731" w:rsidRPr="004059E6">
        <w:rPr>
          <w:rFonts w:cs="Times New Roman"/>
          <w:szCs w:val="24"/>
        </w:rPr>
        <w:t>unrestrained</w:t>
      </w:r>
      <w:r w:rsidR="00F76731">
        <w:rPr>
          <w:rFonts w:cs="Times New Roman"/>
          <w:szCs w:val="24"/>
        </w:rPr>
        <w:t xml:space="preserve"> drivers</w:t>
      </w:r>
      <w:r w:rsidR="001F2F92">
        <w:rPr>
          <w:rFonts w:cs="Times New Roman"/>
          <w:szCs w:val="24"/>
        </w:rPr>
        <w:t xml:space="preserve">. </w:t>
      </w:r>
    </w:p>
    <w:p w14:paraId="592E72E0" w14:textId="1A77BE34" w:rsidR="00935CF7" w:rsidRDefault="000F5B51" w:rsidP="00D21D95">
      <w:pPr>
        <w:pStyle w:val="Caption"/>
        <w:rPr>
          <w:highlight w:val="yellow"/>
        </w:rPr>
      </w:pPr>
      <w:bookmarkStart w:id="105" w:name="_Ref126148755"/>
      <w:r>
        <w:t xml:space="preserve">Table </w:t>
      </w:r>
      <w:r w:rsidR="00115BAB">
        <w:fldChar w:fldCharType="begin"/>
      </w:r>
      <w:r>
        <w:instrText xml:space="preserve"> SEQ Table \* ARABIC </w:instrText>
      </w:r>
      <w:r w:rsidR="00115BAB">
        <w:fldChar w:fldCharType="separate"/>
      </w:r>
      <w:r w:rsidR="00A65CB3">
        <w:rPr>
          <w:noProof/>
        </w:rPr>
        <w:t>25</w:t>
      </w:r>
      <w:r w:rsidR="00115BAB">
        <w:rPr>
          <w:noProof/>
        </w:rPr>
        <w:fldChar w:fldCharType="end"/>
      </w:r>
      <w:bookmarkEnd w:id="105"/>
      <w:r>
        <w:t>:</w:t>
      </w:r>
      <w:r w:rsidR="00D21D95">
        <w:t xml:space="preserve"> Adjusted </w:t>
      </w:r>
      <w:r w:rsidR="0025163A">
        <w:t>Annual</w:t>
      </w:r>
      <w:r>
        <w:t xml:space="preserve"> Fatalities and </w:t>
      </w:r>
      <w:r w:rsidR="0025163A">
        <w:t>Non-Fatal Injuries to Drivers</w:t>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2429"/>
        <w:gridCol w:w="1417"/>
        <w:gridCol w:w="1645"/>
        <w:gridCol w:w="1979"/>
      </w:tblGrid>
      <w:tr w:rsidR="00A15C2C" w14:paraId="2700EB6D" w14:textId="77777777" w:rsidTr="003C04C4">
        <w:trPr>
          <w:trHeight w:val="870"/>
          <w:jc w:val="center"/>
        </w:trPr>
        <w:tc>
          <w:tcPr>
            <w:tcW w:w="985" w:type="dxa"/>
            <w:shd w:val="clear" w:color="auto" w:fill="D9D9D9" w:themeFill="background1" w:themeFillShade="D9"/>
            <w:vAlign w:val="center"/>
            <w:hideMark/>
          </w:tcPr>
          <w:p w14:paraId="65F9D669" w14:textId="77777777" w:rsidR="00935CF7" w:rsidRPr="00D742AE" w:rsidRDefault="000F5B51" w:rsidP="003C04C4">
            <w:pPr>
              <w:spacing w:after="0" w:line="240" w:lineRule="auto"/>
              <w:contextualSpacing/>
              <w:rPr>
                <w:rFonts w:eastAsia="Times New Roman" w:cs="Times New Roman"/>
                <w:b/>
                <w:bCs/>
                <w:color w:val="000000"/>
                <w:szCs w:val="24"/>
              </w:rPr>
            </w:pPr>
            <w:r w:rsidRPr="00D742AE">
              <w:rPr>
                <w:rFonts w:eastAsia="Times New Roman" w:cs="Times New Roman"/>
                <w:b/>
                <w:bCs/>
                <w:color w:val="000000"/>
                <w:szCs w:val="24"/>
              </w:rPr>
              <w:t>Vehicle</w:t>
            </w:r>
            <w:r>
              <w:rPr>
                <w:rFonts w:eastAsia="Times New Roman" w:cs="Times New Roman"/>
                <w:b/>
                <w:bCs/>
                <w:color w:val="000000"/>
                <w:szCs w:val="24"/>
              </w:rPr>
              <w:t xml:space="preserve"> Type</w:t>
            </w:r>
          </w:p>
        </w:tc>
        <w:tc>
          <w:tcPr>
            <w:tcW w:w="2429" w:type="dxa"/>
            <w:shd w:val="clear" w:color="auto" w:fill="D9D9D9" w:themeFill="background1" w:themeFillShade="D9"/>
            <w:noWrap/>
            <w:vAlign w:val="center"/>
            <w:hideMark/>
          </w:tcPr>
          <w:p w14:paraId="3CA36E95" w14:textId="77777777" w:rsidR="00935CF7" w:rsidRPr="00D742AE" w:rsidRDefault="000F5B51" w:rsidP="003C04C4">
            <w:pPr>
              <w:spacing w:after="0" w:line="240" w:lineRule="auto"/>
              <w:contextualSpacing/>
              <w:jc w:val="center"/>
              <w:rPr>
                <w:rFonts w:eastAsia="Times New Roman" w:cs="Times New Roman"/>
                <w:b/>
                <w:bCs/>
                <w:color w:val="000000"/>
                <w:szCs w:val="24"/>
              </w:rPr>
            </w:pPr>
            <w:r w:rsidRPr="00D742AE">
              <w:rPr>
                <w:rFonts w:eastAsia="Times New Roman" w:cs="Times New Roman"/>
                <w:b/>
                <w:bCs/>
                <w:color w:val="000000"/>
                <w:szCs w:val="24"/>
              </w:rPr>
              <w:t>Injury Severity</w:t>
            </w:r>
          </w:p>
        </w:tc>
        <w:tc>
          <w:tcPr>
            <w:tcW w:w="1417" w:type="dxa"/>
            <w:shd w:val="clear" w:color="auto" w:fill="D9D9D9" w:themeFill="background1" w:themeFillShade="D9"/>
            <w:vAlign w:val="center"/>
            <w:hideMark/>
          </w:tcPr>
          <w:p w14:paraId="64D62E4E" w14:textId="77777777" w:rsidR="00935CF7" w:rsidRPr="00D742AE" w:rsidRDefault="000F5B51" w:rsidP="003C04C4">
            <w:pPr>
              <w:spacing w:after="0" w:line="240" w:lineRule="auto"/>
              <w:contextualSpacing/>
              <w:jc w:val="center"/>
              <w:rPr>
                <w:rFonts w:eastAsia="Times New Roman" w:cs="Times New Roman"/>
                <w:b/>
                <w:bCs/>
                <w:color w:val="000000"/>
                <w:szCs w:val="24"/>
              </w:rPr>
            </w:pPr>
            <w:r w:rsidRPr="00D742AE">
              <w:rPr>
                <w:rFonts w:eastAsia="Times New Roman" w:cs="Times New Roman"/>
                <w:b/>
                <w:bCs/>
                <w:color w:val="000000"/>
                <w:szCs w:val="24"/>
              </w:rPr>
              <w:t>Restrained</w:t>
            </w:r>
          </w:p>
        </w:tc>
        <w:tc>
          <w:tcPr>
            <w:tcW w:w="1645" w:type="dxa"/>
            <w:shd w:val="clear" w:color="auto" w:fill="D9D9D9" w:themeFill="background1" w:themeFillShade="D9"/>
            <w:vAlign w:val="center"/>
            <w:hideMark/>
          </w:tcPr>
          <w:p w14:paraId="07BB60EC" w14:textId="77777777" w:rsidR="00935CF7" w:rsidRPr="00D742AE" w:rsidRDefault="000F5B51" w:rsidP="003C04C4">
            <w:pPr>
              <w:spacing w:after="0" w:line="240" w:lineRule="auto"/>
              <w:contextualSpacing/>
              <w:jc w:val="center"/>
              <w:rPr>
                <w:rFonts w:eastAsia="Times New Roman" w:cs="Times New Roman"/>
                <w:b/>
                <w:bCs/>
                <w:color w:val="000000"/>
                <w:szCs w:val="24"/>
              </w:rPr>
            </w:pPr>
            <w:r w:rsidRPr="00D742AE">
              <w:rPr>
                <w:rFonts w:eastAsia="Times New Roman" w:cs="Times New Roman"/>
                <w:b/>
                <w:bCs/>
                <w:color w:val="000000"/>
                <w:szCs w:val="24"/>
              </w:rPr>
              <w:t>Unrestrained</w:t>
            </w:r>
          </w:p>
        </w:tc>
        <w:tc>
          <w:tcPr>
            <w:tcW w:w="1979" w:type="dxa"/>
            <w:shd w:val="clear" w:color="auto" w:fill="D9D9D9" w:themeFill="background1" w:themeFillShade="D9"/>
            <w:vAlign w:val="center"/>
            <w:hideMark/>
          </w:tcPr>
          <w:p w14:paraId="3A81F781" w14:textId="77777777" w:rsidR="00935CF7" w:rsidRPr="00D742AE" w:rsidRDefault="000F5B51" w:rsidP="003C04C4">
            <w:pPr>
              <w:spacing w:after="0" w:line="240" w:lineRule="auto"/>
              <w:contextualSpacing/>
              <w:jc w:val="center"/>
              <w:rPr>
                <w:rFonts w:eastAsia="Times New Roman" w:cs="Times New Roman"/>
                <w:b/>
                <w:bCs/>
                <w:color w:val="000000"/>
                <w:szCs w:val="24"/>
              </w:rPr>
            </w:pPr>
            <w:r w:rsidRPr="00D742AE">
              <w:rPr>
                <w:rFonts w:eastAsia="Times New Roman" w:cs="Times New Roman"/>
                <w:b/>
                <w:bCs/>
                <w:color w:val="000000"/>
                <w:szCs w:val="24"/>
              </w:rPr>
              <w:t>Total</w:t>
            </w:r>
          </w:p>
        </w:tc>
      </w:tr>
      <w:tr w:rsidR="00A15C2C" w14:paraId="44D6BE9B" w14:textId="77777777" w:rsidTr="0055589E">
        <w:trPr>
          <w:trHeight w:val="290"/>
          <w:jc w:val="center"/>
        </w:trPr>
        <w:tc>
          <w:tcPr>
            <w:tcW w:w="985" w:type="dxa"/>
            <w:vMerge w:val="restart"/>
            <w:shd w:val="clear" w:color="auto" w:fill="auto"/>
            <w:noWrap/>
            <w:vAlign w:val="center"/>
            <w:hideMark/>
          </w:tcPr>
          <w:p w14:paraId="69548D16" w14:textId="77777777" w:rsidR="009629BE" w:rsidRPr="00A01CA7" w:rsidRDefault="000F5B51" w:rsidP="009629BE">
            <w:pPr>
              <w:spacing w:after="0" w:line="240" w:lineRule="auto"/>
              <w:contextualSpacing/>
              <w:rPr>
                <w:rFonts w:eastAsia="Times New Roman" w:cs="Times New Roman"/>
                <w:color w:val="000000"/>
                <w:szCs w:val="24"/>
              </w:rPr>
            </w:pPr>
            <w:r w:rsidRPr="00A01CA7">
              <w:rPr>
                <w:rFonts w:eastAsia="Times New Roman" w:cs="Times New Roman"/>
                <w:color w:val="000000"/>
                <w:szCs w:val="24"/>
              </w:rPr>
              <w:t>PC</w:t>
            </w:r>
          </w:p>
          <w:p w14:paraId="6BB572AF" w14:textId="77777777" w:rsidR="009629BE" w:rsidRPr="00A01CA7" w:rsidRDefault="000F5B51" w:rsidP="009629BE">
            <w:pPr>
              <w:spacing w:after="0" w:line="240" w:lineRule="auto"/>
              <w:contextualSpacing/>
              <w:rPr>
                <w:rFonts w:eastAsia="Times New Roman" w:cs="Times New Roman"/>
                <w:color w:val="000000"/>
                <w:szCs w:val="24"/>
              </w:rPr>
            </w:pPr>
            <w:r w:rsidRPr="00A01CA7">
              <w:rPr>
                <w:rFonts w:eastAsia="Times New Roman" w:cs="Times New Roman"/>
                <w:color w:val="000000"/>
                <w:szCs w:val="24"/>
              </w:rPr>
              <w:t> </w:t>
            </w:r>
          </w:p>
        </w:tc>
        <w:tc>
          <w:tcPr>
            <w:tcW w:w="2429" w:type="dxa"/>
            <w:shd w:val="clear" w:color="auto" w:fill="auto"/>
            <w:noWrap/>
            <w:vAlign w:val="center"/>
            <w:hideMark/>
          </w:tcPr>
          <w:p w14:paraId="2AFDA0C8" w14:textId="77777777" w:rsidR="009629BE" w:rsidRPr="00A01CA7" w:rsidRDefault="000F5B51" w:rsidP="0055589E">
            <w:pPr>
              <w:spacing w:after="0" w:line="240" w:lineRule="auto"/>
              <w:contextualSpacing/>
              <w:rPr>
                <w:rFonts w:eastAsia="Times New Roman" w:cs="Times New Roman"/>
                <w:color w:val="000000"/>
                <w:szCs w:val="24"/>
              </w:rPr>
            </w:pPr>
            <w:r w:rsidRPr="00A01CA7">
              <w:rPr>
                <w:rFonts w:eastAsia="Times New Roman" w:cs="Times New Roman"/>
                <w:color w:val="000000"/>
                <w:szCs w:val="24"/>
              </w:rPr>
              <w:t>MAIS 1</w:t>
            </w:r>
          </w:p>
        </w:tc>
        <w:tc>
          <w:tcPr>
            <w:tcW w:w="1417" w:type="dxa"/>
            <w:shd w:val="clear" w:color="auto" w:fill="auto"/>
            <w:noWrap/>
          </w:tcPr>
          <w:p w14:paraId="5F0DE036" w14:textId="77777777" w:rsidR="009629BE" w:rsidRPr="00A01CA7" w:rsidRDefault="000F5B51" w:rsidP="009629BE">
            <w:pPr>
              <w:spacing w:after="0" w:line="240" w:lineRule="auto"/>
              <w:contextualSpacing/>
              <w:jc w:val="center"/>
              <w:rPr>
                <w:rFonts w:eastAsia="Times New Roman" w:cs="Times New Roman"/>
                <w:color w:val="000000"/>
                <w:szCs w:val="24"/>
              </w:rPr>
            </w:pPr>
            <w:r w:rsidRPr="00B04D91">
              <w:t xml:space="preserve"> 19,458 </w:t>
            </w:r>
          </w:p>
        </w:tc>
        <w:tc>
          <w:tcPr>
            <w:tcW w:w="1645" w:type="dxa"/>
            <w:shd w:val="clear" w:color="auto" w:fill="auto"/>
            <w:noWrap/>
          </w:tcPr>
          <w:p w14:paraId="325F635D" w14:textId="77777777" w:rsidR="009629BE" w:rsidRPr="00A01CA7" w:rsidRDefault="000F5B51" w:rsidP="009629BE">
            <w:pPr>
              <w:spacing w:after="0" w:line="240" w:lineRule="auto"/>
              <w:contextualSpacing/>
              <w:jc w:val="center"/>
              <w:rPr>
                <w:rFonts w:eastAsia="Times New Roman" w:cs="Times New Roman"/>
                <w:color w:val="000000"/>
                <w:szCs w:val="24"/>
              </w:rPr>
            </w:pPr>
            <w:r w:rsidRPr="00B04D91">
              <w:t xml:space="preserve"> 13,819 </w:t>
            </w:r>
          </w:p>
        </w:tc>
        <w:tc>
          <w:tcPr>
            <w:tcW w:w="1979" w:type="dxa"/>
            <w:shd w:val="clear" w:color="auto" w:fill="auto"/>
            <w:noWrap/>
          </w:tcPr>
          <w:p w14:paraId="1073C845" w14:textId="77777777" w:rsidR="009629BE" w:rsidRPr="00A01CA7" w:rsidRDefault="000F5B51" w:rsidP="009629BE">
            <w:pPr>
              <w:spacing w:after="0" w:line="240" w:lineRule="auto"/>
              <w:contextualSpacing/>
              <w:jc w:val="center"/>
              <w:rPr>
                <w:rFonts w:eastAsia="Times New Roman" w:cs="Times New Roman"/>
                <w:color w:val="000000"/>
                <w:szCs w:val="24"/>
              </w:rPr>
            </w:pPr>
            <w:r w:rsidRPr="00B04D91">
              <w:t xml:space="preserve"> 33,276 </w:t>
            </w:r>
          </w:p>
        </w:tc>
      </w:tr>
      <w:tr w:rsidR="00A15C2C" w14:paraId="4AB7E12B" w14:textId="77777777" w:rsidTr="0055589E">
        <w:trPr>
          <w:trHeight w:val="290"/>
          <w:jc w:val="center"/>
        </w:trPr>
        <w:tc>
          <w:tcPr>
            <w:tcW w:w="985" w:type="dxa"/>
            <w:vMerge/>
            <w:shd w:val="clear" w:color="auto" w:fill="auto"/>
            <w:noWrap/>
            <w:vAlign w:val="center"/>
            <w:hideMark/>
          </w:tcPr>
          <w:p w14:paraId="7D5B1B58" w14:textId="77777777" w:rsidR="009629BE" w:rsidRPr="00A01CA7" w:rsidRDefault="009629BE" w:rsidP="009629BE">
            <w:pPr>
              <w:spacing w:after="0" w:line="240" w:lineRule="auto"/>
              <w:contextualSpacing/>
              <w:rPr>
                <w:rFonts w:eastAsia="Times New Roman" w:cs="Times New Roman"/>
                <w:color w:val="000000"/>
                <w:szCs w:val="24"/>
              </w:rPr>
            </w:pPr>
          </w:p>
        </w:tc>
        <w:tc>
          <w:tcPr>
            <w:tcW w:w="2429" w:type="dxa"/>
            <w:shd w:val="clear" w:color="auto" w:fill="auto"/>
            <w:noWrap/>
            <w:vAlign w:val="center"/>
            <w:hideMark/>
          </w:tcPr>
          <w:p w14:paraId="2B34F369" w14:textId="77777777" w:rsidR="009629BE" w:rsidRPr="00A01CA7" w:rsidRDefault="000F5B51" w:rsidP="0055589E">
            <w:pPr>
              <w:spacing w:after="0" w:line="240" w:lineRule="auto"/>
              <w:contextualSpacing/>
              <w:rPr>
                <w:rFonts w:eastAsia="Times New Roman" w:cs="Times New Roman"/>
                <w:color w:val="000000"/>
                <w:szCs w:val="24"/>
              </w:rPr>
            </w:pPr>
            <w:r w:rsidRPr="00A01CA7">
              <w:rPr>
                <w:rFonts w:eastAsia="Times New Roman" w:cs="Times New Roman"/>
                <w:color w:val="000000"/>
                <w:szCs w:val="24"/>
              </w:rPr>
              <w:t>MAIS 2</w:t>
            </w:r>
          </w:p>
        </w:tc>
        <w:tc>
          <w:tcPr>
            <w:tcW w:w="1417" w:type="dxa"/>
            <w:shd w:val="clear" w:color="auto" w:fill="auto"/>
            <w:noWrap/>
          </w:tcPr>
          <w:p w14:paraId="296AC11D" w14:textId="77777777" w:rsidR="009629BE" w:rsidRPr="00A01CA7" w:rsidRDefault="000F5B51" w:rsidP="009629BE">
            <w:pPr>
              <w:spacing w:after="0" w:line="240" w:lineRule="auto"/>
              <w:contextualSpacing/>
              <w:jc w:val="center"/>
              <w:rPr>
                <w:rFonts w:eastAsia="Times New Roman" w:cs="Times New Roman"/>
                <w:color w:val="000000"/>
                <w:szCs w:val="24"/>
              </w:rPr>
            </w:pPr>
            <w:r w:rsidRPr="00B04D91">
              <w:t xml:space="preserve"> 8,514 </w:t>
            </w:r>
          </w:p>
        </w:tc>
        <w:tc>
          <w:tcPr>
            <w:tcW w:w="1645" w:type="dxa"/>
            <w:shd w:val="clear" w:color="auto" w:fill="auto"/>
            <w:noWrap/>
          </w:tcPr>
          <w:p w14:paraId="7F7F3153" w14:textId="77777777" w:rsidR="009629BE" w:rsidRPr="00A01CA7" w:rsidRDefault="000F5B51" w:rsidP="009629BE">
            <w:pPr>
              <w:spacing w:after="0" w:line="240" w:lineRule="auto"/>
              <w:contextualSpacing/>
              <w:jc w:val="center"/>
              <w:rPr>
                <w:rFonts w:eastAsia="Times New Roman" w:cs="Times New Roman"/>
                <w:color w:val="000000"/>
                <w:szCs w:val="24"/>
              </w:rPr>
            </w:pPr>
            <w:r w:rsidRPr="00B04D91">
              <w:t xml:space="preserve"> 6,047 </w:t>
            </w:r>
          </w:p>
        </w:tc>
        <w:tc>
          <w:tcPr>
            <w:tcW w:w="1979" w:type="dxa"/>
            <w:shd w:val="clear" w:color="auto" w:fill="auto"/>
            <w:noWrap/>
          </w:tcPr>
          <w:p w14:paraId="4D943B68" w14:textId="77777777" w:rsidR="009629BE" w:rsidRPr="00A01CA7" w:rsidRDefault="000F5B51" w:rsidP="009629BE">
            <w:pPr>
              <w:spacing w:after="0" w:line="240" w:lineRule="auto"/>
              <w:contextualSpacing/>
              <w:jc w:val="center"/>
              <w:rPr>
                <w:rFonts w:eastAsia="Times New Roman" w:cs="Times New Roman"/>
                <w:color w:val="000000"/>
                <w:szCs w:val="24"/>
              </w:rPr>
            </w:pPr>
            <w:r w:rsidRPr="00B04D91">
              <w:t xml:space="preserve"> 14,561 </w:t>
            </w:r>
          </w:p>
        </w:tc>
      </w:tr>
      <w:tr w:rsidR="00A15C2C" w14:paraId="12057B07" w14:textId="77777777" w:rsidTr="0055589E">
        <w:trPr>
          <w:trHeight w:val="290"/>
          <w:jc w:val="center"/>
        </w:trPr>
        <w:tc>
          <w:tcPr>
            <w:tcW w:w="985" w:type="dxa"/>
            <w:vMerge/>
            <w:shd w:val="clear" w:color="auto" w:fill="auto"/>
            <w:noWrap/>
            <w:vAlign w:val="center"/>
            <w:hideMark/>
          </w:tcPr>
          <w:p w14:paraId="0B46070A" w14:textId="77777777" w:rsidR="009629BE" w:rsidRPr="00A01CA7" w:rsidRDefault="009629BE" w:rsidP="009629BE">
            <w:pPr>
              <w:spacing w:after="0" w:line="240" w:lineRule="auto"/>
              <w:contextualSpacing/>
              <w:rPr>
                <w:rFonts w:eastAsia="Times New Roman" w:cs="Times New Roman"/>
                <w:color w:val="000000"/>
                <w:szCs w:val="24"/>
              </w:rPr>
            </w:pPr>
          </w:p>
        </w:tc>
        <w:tc>
          <w:tcPr>
            <w:tcW w:w="2429" w:type="dxa"/>
            <w:shd w:val="clear" w:color="auto" w:fill="auto"/>
            <w:noWrap/>
            <w:vAlign w:val="center"/>
            <w:hideMark/>
          </w:tcPr>
          <w:p w14:paraId="1888CB00" w14:textId="77777777" w:rsidR="009629BE" w:rsidRPr="00A01CA7" w:rsidRDefault="000F5B51" w:rsidP="0055589E">
            <w:pPr>
              <w:spacing w:after="0" w:line="240" w:lineRule="auto"/>
              <w:contextualSpacing/>
              <w:rPr>
                <w:rFonts w:eastAsia="Times New Roman" w:cs="Times New Roman"/>
                <w:color w:val="000000"/>
                <w:szCs w:val="24"/>
              </w:rPr>
            </w:pPr>
            <w:r w:rsidRPr="00A01CA7">
              <w:rPr>
                <w:rFonts w:eastAsia="Times New Roman" w:cs="Times New Roman"/>
                <w:color w:val="000000"/>
                <w:szCs w:val="24"/>
              </w:rPr>
              <w:t>MAIS 3</w:t>
            </w:r>
          </w:p>
        </w:tc>
        <w:tc>
          <w:tcPr>
            <w:tcW w:w="1417" w:type="dxa"/>
            <w:shd w:val="clear" w:color="auto" w:fill="auto"/>
            <w:noWrap/>
          </w:tcPr>
          <w:p w14:paraId="52E07399" w14:textId="77777777" w:rsidR="009629BE" w:rsidRPr="00A01CA7" w:rsidRDefault="000F5B51" w:rsidP="009629BE">
            <w:pPr>
              <w:spacing w:after="0" w:line="240" w:lineRule="auto"/>
              <w:contextualSpacing/>
              <w:jc w:val="center"/>
              <w:rPr>
                <w:rFonts w:eastAsia="Times New Roman" w:cs="Times New Roman"/>
                <w:color w:val="000000"/>
                <w:szCs w:val="24"/>
              </w:rPr>
            </w:pPr>
            <w:r w:rsidRPr="00B04D91">
              <w:t xml:space="preserve"> 2,350 </w:t>
            </w:r>
          </w:p>
        </w:tc>
        <w:tc>
          <w:tcPr>
            <w:tcW w:w="1645" w:type="dxa"/>
            <w:shd w:val="clear" w:color="auto" w:fill="auto"/>
            <w:noWrap/>
          </w:tcPr>
          <w:p w14:paraId="07BFA20E" w14:textId="77777777" w:rsidR="009629BE" w:rsidRPr="00A01CA7" w:rsidRDefault="000F5B51" w:rsidP="009629BE">
            <w:pPr>
              <w:spacing w:after="0" w:line="240" w:lineRule="auto"/>
              <w:contextualSpacing/>
              <w:jc w:val="center"/>
              <w:rPr>
                <w:rFonts w:eastAsia="Times New Roman" w:cs="Times New Roman"/>
                <w:color w:val="000000"/>
                <w:szCs w:val="24"/>
              </w:rPr>
            </w:pPr>
            <w:r w:rsidRPr="00B04D91">
              <w:t xml:space="preserve"> 1,669 </w:t>
            </w:r>
          </w:p>
        </w:tc>
        <w:tc>
          <w:tcPr>
            <w:tcW w:w="1979" w:type="dxa"/>
            <w:shd w:val="clear" w:color="auto" w:fill="auto"/>
            <w:noWrap/>
          </w:tcPr>
          <w:p w14:paraId="5DB8B505" w14:textId="77777777" w:rsidR="009629BE" w:rsidRPr="00A01CA7" w:rsidRDefault="000F5B51" w:rsidP="009629BE">
            <w:pPr>
              <w:spacing w:after="0" w:line="240" w:lineRule="auto"/>
              <w:contextualSpacing/>
              <w:jc w:val="center"/>
              <w:rPr>
                <w:rFonts w:eastAsia="Times New Roman" w:cs="Times New Roman"/>
                <w:color w:val="000000"/>
                <w:szCs w:val="24"/>
              </w:rPr>
            </w:pPr>
            <w:r w:rsidRPr="00B04D91">
              <w:t xml:space="preserve"> 4,019 </w:t>
            </w:r>
          </w:p>
        </w:tc>
      </w:tr>
      <w:tr w:rsidR="00A15C2C" w14:paraId="65E05F78" w14:textId="77777777" w:rsidTr="0055589E">
        <w:trPr>
          <w:trHeight w:val="290"/>
          <w:jc w:val="center"/>
        </w:trPr>
        <w:tc>
          <w:tcPr>
            <w:tcW w:w="985" w:type="dxa"/>
            <w:vMerge/>
            <w:shd w:val="clear" w:color="auto" w:fill="auto"/>
            <w:noWrap/>
            <w:vAlign w:val="center"/>
            <w:hideMark/>
          </w:tcPr>
          <w:p w14:paraId="774D78D5" w14:textId="77777777" w:rsidR="009629BE" w:rsidRPr="00A01CA7" w:rsidRDefault="009629BE" w:rsidP="009629BE">
            <w:pPr>
              <w:spacing w:after="0" w:line="240" w:lineRule="auto"/>
              <w:contextualSpacing/>
              <w:rPr>
                <w:rFonts w:eastAsia="Times New Roman" w:cs="Times New Roman"/>
                <w:color w:val="000000"/>
                <w:szCs w:val="24"/>
              </w:rPr>
            </w:pPr>
          </w:p>
        </w:tc>
        <w:tc>
          <w:tcPr>
            <w:tcW w:w="2429" w:type="dxa"/>
            <w:shd w:val="clear" w:color="auto" w:fill="auto"/>
            <w:noWrap/>
            <w:vAlign w:val="center"/>
            <w:hideMark/>
          </w:tcPr>
          <w:p w14:paraId="7221738B" w14:textId="77777777" w:rsidR="009629BE" w:rsidRPr="00A01CA7" w:rsidRDefault="000F5B51" w:rsidP="0055589E">
            <w:pPr>
              <w:spacing w:after="0" w:line="240" w:lineRule="auto"/>
              <w:contextualSpacing/>
              <w:rPr>
                <w:rFonts w:eastAsia="Times New Roman" w:cs="Times New Roman"/>
                <w:color w:val="000000"/>
                <w:szCs w:val="24"/>
              </w:rPr>
            </w:pPr>
            <w:r w:rsidRPr="00A01CA7">
              <w:rPr>
                <w:rFonts w:eastAsia="Times New Roman" w:cs="Times New Roman"/>
                <w:color w:val="000000"/>
                <w:szCs w:val="24"/>
              </w:rPr>
              <w:t>MAIS 4</w:t>
            </w:r>
          </w:p>
        </w:tc>
        <w:tc>
          <w:tcPr>
            <w:tcW w:w="1417" w:type="dxa"/>
            <w:shd w:val="clear" w:color="auto" w:fill="auto"/>
            <w:noWrap/>
          </w:tcPr>
          <w:p w14:paraId="085A988E" w14:textId="77777777" w:rsidR="009629BE" w:rsidRPr="00A01CA7" w:rsidRDefault="000F5B51" w:rsidP="009629BE">
            <w:pPr>
              <w:spacing w:after="0" w:line="240" w:lineRule="auto"/>
              <w:contextualSpacing/>
              <w:jc w:val="center"/>
              <w:rPr>
                <w:rFonts w:eastAsia="Times New Roman" w:cs="Times New Roman"/>
                <w:color w:val="000000"/>
                <w:szCs w:val="24"/>
              </w:rPr>
            </w:pPr>
            <w:r w:rsidRPr="00B04D91">
              <w:t xml:space="preserve"> 1,700 </w:t>
            </w:r>
          </w:p>
        </w:tc>
        <w:tc>
          <w:tcPr>
            <w:tcW w:w="1645" w:type="dxa"/>
            <w:shd w:val="clear" w:color="auto" w:fill="auto"/>
            <w:noWrap/>
          </w:tcPr>
          <w:p w14:paraId="169B3935" w14:textId="77777777" w:rsidR="009629BE" w:rsidRPr="00A01CA7" w:rsidRDefault="000F5B51" w:rsidP="009629BE">
            <w:pPr>
              <w:spacing w:after="0" w:line="240" w:lineRule="auto"/>
              <w:contextualSpacing/>
              <w:jc w:val="center"/>
              <w:rPr>
                <w:rFonts w:eastAsia="Times New Roman" w:cs="Times New Roman"/>
                <w:color w:val="000000"/>
                <w:szCs w:val="24"/>
              </w:rPr>
            </w:pPr>
            <w:r w:rsidRPr="00B04D91">
              <w:t xml:space="preserve"> 1,207 </w:t>
            </w:r>
          </w:p>
        </w:tc>
        <w:tc>
          <w:tcPr>
            <w:tcW w:w="1979" w:type="dxa"/>
            <w:shd w:val="clear" w:color="auto" w:fill="auto"/>
            <w:noWrap/>
          </w:tcPr>
          <w:p w14:paraId="5BEE73E1" w14:textId="77777777" w:rsidR="009629BE" w:rsidRPr="00A01CA7" w:rsidRDefault="000F5B51" w:rsidP="009629BE">
            <w:pPr>
              <w:spacing w:after="0" w:line="240" w:lineRule="auto"/>
              <w:contextualSpacing/>
              <w:jc w:val="center"/>
              <w:rPr>
                <w:rFonts w:eastAsia="Times New Roman" w:cs="Times New Roman"/>
                <w:color w:val="000000"/>
                <w:szCs w:val="24"/>
              </w:rPr>
            </w:pPr>
            <w:r w:rsidRPr="00B04D91">
              <w:t xml:space="preserve"> 2,907 </w:t>
            </w:r>
          </w:p>
        </w:tc>
      </w:tr>
      <w:tr w:rsidR="00A15C2C" w14:paraId="1A594D1D" w14:textId="77777777" w:rsidTr="0055589E">
        <w:trPr>
          <w:trHeight w:val="290"/>
          <w:jc w:val="center"/>
        </w:trPr>
        <w:tc>
          <w:tcPr>
            <w:tcW w:w="985" w:type="dxa"/>
            <w:vMerge/>
            <w:shd w:val="clear" w:color="auto" w:fill="auto"/>
            <w:noWrap/>
            <w:vAlign w:val="center"/>
            <w:hideMark/>
          </w:tcPr>
          <w:p w14:paraId="6BBB6B8A" w14:textId="77777777" w:rsidR="009629BE" w:rsidRPr="00A01CA7" w:rsidRDefault="009629BE" w:rsidP="009629BE">
            <w:pPr>
              <w:spacing w:after="0" w:line="240" w:lineRule="auto"/>
              <w:contextualSpacing/>
              <w:rPr>
                <w:rFonts w:eastAsia="Times New Roman" w:cs="Times New Roman"/>
                <w:color w:val="000000"/>
                <w:szCs w:val="24"/>
              </w:rPr>
            </w:pPr>
          </w:p>
        </w:tc>
        <w:tc>
          <w:tcPr>
            <w:tcW w:w="2429" w:type="dxa"/>
            <w:shd w:val="clear" w:color="auto" w:fill="auto"/>
            <w:noWrap/>
            <w:vAlign w:val="center"/>
            <w:hideMark/>
          </w:tcPr>
          <w:p w14:paraId="10196B05" w14:textId="77777777" w:rsidR="009629BE" w:rsidRPr="00A01CA7" w:rsidRDefault="000F5B51" w:rsidP="0055589E">
            <w:pPr>
              <w:spacing w:after="0" w:line="240" w:lineRule="auto"/>
              <w:contextualSpacing/>
              <w:rPr>
                <w:rFonts w:eastAsia="Times New Roman" w:cs="Times New Roman"/>
                <w:color w:val="000000"/>
                <w:szCs w:val="24"/>
              </w:rPr>
            </w:pPr>
            <w:r w:rsidRPr="00A01CA7">
              <w:rPr>
                <w:rFonts w:eastAsia="Times New Roman" w:cs="Times New Roman"/>
                <w:color w:val="000000"/>
                <w:szCs w:val="24"/>
              </w:rPr>
              <w:t>MAIS 5</w:t>
            </w:r>
          </w:p>
        </w:tc>
        <w:tc>
          <w:tcPr>
            <w:tcW w:w="1417" w:type="dxa"/>
            <w:shd w:val="clear" w:color="auto" w:fill="auto"/>
            <w:noWrap/>
          </w:tcPr>
          <w:p w14:paraId="3A2B6939" w14:textId="77777777" w:rsidR="009629BE" w:rsidRPr="00A01CA7" w:rsidRDefault="000F5B51" w:rsidP="009629BE">
            <w:pPr>
              <w:spacing w:after="0" w:line="240" w:lineRule="auto"/>
              <w:contextualSpacing/>
              <w:jc w:val="center"/>
              <w:rPr>
                <w:rFonts w:eastAsia="Times New Roman" w:cs="Times New Roman"/>
                <w:color w:val="000000"/>
                <w:szCs w:val="24"/>
              </w:rPr>
            </w:pPr>
            <w:r w:rsidRPr="00B04D91">
              <w:t xml:space="preserve"> 41 </w:t>
            </w:r>
          </w:p>
        </w:tc>
        <w:tc>
          <w:tcPr>
            <w:tcW w:w="1645" w:type="dxa"/>
            <w:shd w:val="clear" w:color="auto" w:fill="auto"/>
            <w:noWrap/>
          </w:tcPr>
          <w:p w14:paraId="2E707158" w14:textId="77777777" w:rsidR="009629BE" w:rsidRPr="00A01CA7" w:rsidRDefault="000F5B51" w:rsidP="009629BE">
            <w:pPr>
              <w:spacing w:after="0" w:line="240" w:lineRule="auto"/>
              <w:contextualSpacing/>
              <w:jc w:val="center"/>
              <w:rPr>
                <w:rFonts w:eastAsia="Times New Roman" w:cs="Times New Roman"/>
                <w:color w:val="000000"/>
                <w:szCs w:val="24"/>
              </w:rPr>
            </w:pPr>
            <w:r w:rsidRPr="00B04D91">
              <w:t xml:space="preserve"> 29 </w:t>
            </w:r>
          </w:p>
        </w:tc>
        <w:tc>
          <w:tcPr>
            <w:tcW w:w="1979" w:type="dxa"/>
            <w:shd w:val="clear" w:color="auto" w:fill="auto"/>
            <w:noWrap/>
          </w:tcPr>
          <w:p w14:paraId="2AB91B4E" w14:textId="77777777" w:rsidR="009629BE" w:rsidRPr="00A01CA7" w:rsidRDefault="000F5B51" w:rsidP="009629BE">
            <w:pPr>
              <w:spacing w:after="0" w:line="240" w:lineRule="auto"/>
              <w:contextualSpacing/>
              <w:jc w:val="center"/>
              <w:rPr>
                <w:rFonts w:eastAsia="Times New Roman" w:cs="Times New Roman"/>
                <w:color w:val="000000"/>
                <w:szCs w:val="24"/>
              </w:rPr>
            </w:pPr>
            <w:r w:rsidRPr="00B04D91">
              <w:t xml:space="preserve"> 71 </w:t>
            </w:r>
          </w:p>
        </w:tc>
      </w:tr>
      <w:tr w:rsidR="00A15C2C" w14:paraId="2C6DA07B" w14:textId="77777777" w:rsidTr="0055589E">
        <w:trPr>
          <w:trHeight w:val="290"/>
          <w:jc w:val="center"/>
        </w:trPr>
        <w:tc>
          <w:tcPr>
            <w:tcW w:w="985" w:type="dxa"/>
            <w:vMerge/>
            <w:shd w:val="clear" w:color="auto" w:fill="auto"/>
            <w:noWrap/>
            <w:vAlign w:val="center"/>
          </w:tcPr>
          <w:p w14:paraId="6EF019D7" w14:textId="77777777" w:rsidR="00983D06" w:rsidRPr="00A01CA7" w:rsidRDefault="00983D06" w:rsidP="00983D06">
            <w:pPr>
              <w:spacing w:after="0" w:line="240" w:lineRule="auto"/>
              <w:contextualSpacing/>
              <w:rPr>
                <w:rFonts w:eastAsia="Times New Roman" w:cs="Times New Roman"/>
                <w:color w:val="000000"/>
                <w:szCs w:val="24"/>
              </w:rPr>
            </w:pPr>
          </w:p>
        </w:tc>
        <w:tc>
          <w:tcPr>
            <w:tcW w:w="2429" w:type="dxa"/>
            <w:shd w:val="clear" w:color="auto" w:fill="auto"/>
            <w:noWrap/>
            <w:vAlign w:val="center"/>
          </w:tcPr>
          <w:p w14:paraId="0C1C31D0" w14:textId="77777777" w:rsidR="00983D06" w:rsidRPr="00934F2C" w:rsidRDefault="000F5B51" w:rsidP="0055589E">
            <w:pPr>
              <w:spacing w:after="0" w:line="240" w:lineRule="auto"/>
              <w:contextualSpacing/>
              <w:rPr>
                <w:rFonts w:eastAsia="Times New Roman" w:cs="Times New Roman"/>
                <w:b/>
                <w:bCs/>
                <w:color w:val="000000"/>
                <w:szCs w:val="24"/>
              </w:rPr>
            </w:pPr>
            <w:r w:rsidRPr="00934F2C">
              <w:rPr>
                <w:rFonts w:eastAsia="Times New Roman" w:cs="Times New Roman"/>
                <w:b/>
                <w:bCs/>
                <w:color w:val="000000"/>
                <w:szCs w:val="24"/>
              </w:rPr>
              <w:t>Total Injuries</w:t>
            </w:r>
          </w:p>
          <w:p w14:paraId="30AFB0D6" w14:textId="77777777" w:rsidR="00983D06" w:rsidRPr="00934F2C" w:rsidRDefault="000F5B51" w:rsidP="0055589E">
            <w:pPr>
              <w:spacing w:after="0" w:line="240" w:lineRule="auto"/>
              <w:contextualSpacing/>
              <w:rPr>
                <w:rFonts w:eastAsia="Times New Roman" w:cs="Times New Roman"/>
                <w:b/>
                <w:bCs/>
                <w:color w:val="000000"/>
                <w:szCs w:val="24"/>
              </w:rPr>
            </w:pPr>
            <w:r w:rsidRPr="00934F2C">
              <w:rPr>
                <w:rFonts w:eastAsia="Times New Roman" w:cs="Times New Roman"/>
                <w:b/>
                <w:bCs/>
                <w:color w:val="000000"/>
                <w:szCs w:val="24"/>
              </w:rPr>
              <w:t xml:space="preserve"> (MAIS 1-5)</w:t>
            </w:r>
          </w:p>
        </w:tc>
        <w:tc>
          <w:tcPr>
            <w:tcW w:w="1417" w:type="dxa"/>
            <w:shd w:val="clear" w:color="auto" w:fill="auto"/>
            <w:noWrap/>
            <w:vAlign w:val="center"/>
          </w:tcPr>
          <w:p w14:paraId="5F1FC507" w14:textId="77777777" w:rsidR="00983D06" w:rsidRPr="00742361" w:rsidRDefault="000F5B51" w:rsidP="00742361">
            <w:pPr>
              <w:spacing w:after="0" w:line="240" w:lineRule="auto"/>
              <w:contextualSpacing/>
              <w:jc w:val="center"/>
              <w:rPr>
                <w:rFonts w:eastAsia="Times New Roman" w:cs="Times New Roman"/>
                <w:b/>
                <w:bCs/>
                <w:color w:val="000000"/>
                <w:szCs w:val="24"/>
              </w:rPr>
            </w:pPr>
            <w:r w:rsidRPr="0055589E">
              <w:rPr>
                <w:b/>
                <w:bCs/>
              </w:rPr>
              <w:t>32,063</w:t>
            </w:r>
          </w:p>
        </w:tc>
        <w:tc>
          <w:tcPr>
            <w:tcW w:w="1645" w:type="dxa"/>
            <w:shd w:val="clear" w:color="auto" w:fill="auto"/>
            <w:noWrap/>
            <w:vAlign w:val="center"/>
          </w:tcPr>
          <w:p w14:paraId="60D67BBA" w14:textId="77777777" w:rsidR="00983D06" w:rsidRPr="00742361" w:rsidRDefault="000F5B51" w:rsidP="009C6EFA">
            <w:pPr>
              <w:spacing w:after="0" w:line="240" w:lineRule="auto"/>
              <w:contextualSpacing/>
              <w:jc w:val="center"/>
              <w:rPr>
                <w:rFonts w:eastAsia="Times New Roman" w:cs="Times New Roman"/>
                <w:b/>
                <w:bCs/>
                <w:color w:val="000000"/>
                <w:szCs w:val="24"/>
              </w:rPr>
            </w:pPr>
            <w:r w:rsidRPr="0055589E">
              <w:rPr>
                <w:b/>
                <w:bCs/>
              </w:rPr>
              <w:t>22,771</w:t>
            </w:r>
          </w:p>
        </w:tc>
        <w:tc>
          <w:tcPr>
            <w:tcW w:w="1979" w:type="dxa"/>
            <w:shd w:val="clear" w:color="auto" w:fill="auto"/>
            <w:noWrap/>
            <w:vAlign w:val="center"/>
          </w:tcPr>
          <w:p w14:paraId="1F5574C6" w14:textId="77777777" w:rsidR="00983D06" w:rsidRPr="00742361" w:rsidRDefault="000F5B51" w:rsidP="00044F2E">
            <w:pPr>
              <w:spacing w:after="0" w:line="240" w:lineRule="auto"/>
              <w:contextualSpacing/>
              <w:jc w:val="center"/>
              <w:rPr>
                <w:rFonts w:eastAsia="Times New Roman" w:cs="Times New Roman"/>
                <w:b/>
                <w:bCs/>
                <w:color w:val="000000"/>
                <w:szCs w:val="24"/>
              </w:rPr>
            </w:pPr>
            <w:r w:rsidRPr="0055589E">
              <w:rPr>
                <w:b/>
                <w:bCs/>
              </w:rPr>
              <w:t>54,834</w:t>
            </w:r>
          </w:p>
        </w:tc>
      </w:tr>
      <w:tr w:rsidR="00A15C2C" w14:paraId="2DC77934" w14:textId="77777777" w:rsidTr="0055589E">
        <w:trPr>
          <w:trHeight w:val="290"/>
          <w:jc w:val="center"/>
        </w:trPr>
        <w:tc>
          <w:tcPr>
            <w:tcW w:w="985" w:type="dxa"/>
            <w:vMerge/>
            <w:shd w:val="clear" w:color="auto" w:fill="auto"/>
            <w:noWrap/>
            <w:vAlign w:val="center"/>
            <w:hideMark/>
          </w:tcPr>
          <w:p w14:paraId="04B24C47" w14:textId="77777777" w:rsidR="009629BE" w:rsidRPr="00A01CA7" w:rsidRDefault="009629BE" w:rsidP="009629BE">
            <w:pPr>
              <w:spacing w:after="0" w:line="240" w:lineRule="auto"/>
              <w:contextualSpacing/>
              <w:rPr>
                <w:rFonts w:eastAsia="Times New Roman" w:cs="Times New Roman"/>
                <w:color w:val="000000"/>
                <w:szCs w:val="24"/>
              </w:rPr>
            </w:pPr>
          </w:p>
        </w:tc>
        <w:tc>
          <w:tcPr>
            <w:tcW w:w="2429" w:type="dxa"/>
            <w:shd w:val="clear" w:color="auto" w:fill="auto"/>
            <w:noWrap/>
            <w:vAlign w:val="center"/>
            <w:hideMark/>
          </w:tcPr>
          <w:p w14:paraId="4724FF1B" w14:textId="77777777" w:rsidR="009629BE" w:rsidRPr="00934F2C" w:rsidRDefault="000F5B51" w:rsidP="0055589E">
            <w:pPr>
              <w:spacing w:after="0" w:line="240" w:lineRule="auto"/>
              <w:contextualSpacing/>
              <w:rPr>
                <w:rFonts w:eastAsia="Times New Roman" w:cs="Times New Roman"/>
                <w:b/>
                <w:bCs/>
                <w:color w:val="000000"/>
                <w:szCs w:val="24"/>
              </w:rPr>
            </w:pPr>
            <w:r w:rsidRPr="00934F2C">
              <w:rPr>
                <w:rFonts w:eastAsia="Times New Roman" w:cs="Times New Roman"/>
                <w:b/>
                <w:bCs/>
                <w:color w:val="000000"/>
                <w:szCs w:val="24"/>
              </w:rPr>
              <w:t>Fatal</w:t>
            </w:r>
          </w:p>
        </w:tc>
        <w:tc>
          <w:tcPr>
            <w:tcW w:w="1417" w:type="dxa"/>
            <w:shd w:val="clear" w:color="auto" w:fill="auto"/>
            <w:noWrap/>
            <w:vAlign w:val="center"/>
          </w:tcPr>
          <w:p w14:paraId="715B9B4D" w14:textId="77777777" w:rsidR="009629BE" w:rsidRPr="00742361" w:rsidRDefault="000F5B51" w:rsidP="00742361">
            <w:pPr>
              <w:spacing w:after="0" w:line="240" w:lineRule="auto"/>
              <w:contextualSpacing/>
              <w:jc w:val="center"/>
              <w:rPr>
                <w:rFonts w:eastAsia="Times New Roman" w:cs="Times New Roman"/>
                <w:b/>
                <w:bCs/>
                <w:color w:val="000000"/>
                <w:szCs w:val="24"/>
              </w:rPr>
            </w:pPr>
            <w:r w:rsidRPr="0055589E">
              <w:rPr>
                <w:b/>
                <w:bCs/>
              </w:rPr>
              <w:t>4,205</w:t>
            </w:r>
          </w:p>
        </w:tc>
        <w:tc>
          <w:tcPr>
            <w:tcW w:w="1645" w:type="dxa"/>
            <w:shd w:val="clear" w:color="auto" w:fill="auto"/>
            <w:noWrap/>
            <w:vAlign w:val="center"/>
          </w:tcPr>
          <w:p w14:paraId="6261D9C6" w14:textId="77777777" w:rsidR="009629BE" w:rsidRPr="00742361" w:rsidRDefault="000F5B51" w:rsidP="009C6EFA">
            <w:pPr>
              <w:spacing w:after="0" w:line="240" w:lineRule="auto"/>
              <w:contextualSpacing/>
              <w:jc w:val="center"/>
              <w:rPr>
                <w:rFonts w:eastAsia="Times New Roman" w:cs="Times New Roman"/>
                <w:b/>
                <w:bCs/>
                <w:color w:val="000000"/>
                <w:szCs w:val="24"/>
              </w:rPr>
            </w:pPr>
            <w:r w:rsidRPr="0055589E">
              <w:rPr>
                <w:b/>
                <w:bCs/>
              </w:rPr>
              <w:t>2,987</w:t>
            </w:r>
          </w:p>
        </w:tc>
        <w:tc>
          <w:tcPr>
            <w:tcW w:w="1979" w:type="dxa"/>
            <w:shd w:val="clear" w:color="auto" w:fill="auto"/>
            <w:noWrap/>
            <w:vAlign w:val="center"/>
          </w:tcPr>
          <w:p w14:paraId="5EEC640F" w14:textId="77777777" w:rsidR="009629BE" w:rsidRPr="00742361" w:rsidRDefault="000F5B51" w:rsidP="00044F2E">
            <w:pPr>
              <w:spacing w:after="0" w:line="240" w:lineRule="auto"/>
              <w:contextualSpacing/>
              <w:jc w:val="center"/>
              <w:rPr>
                <w:rFonts w:eastAsia="Times New Roman" w:cs="Times New Roman"/>
                <w:b/>
                <w:bCs/>
                <w:color w:val="000000"/>
                <w:szCs w:val="24"/>
              </w:rPr>
            </w:pPr>
            <w:r w:rsidRPr="0055589E">
              <w:rPr>
                <w:b/>
                <w:bCs/>
              </w:rPr>
              <w:t>7,192</w:t>
            </w:r>
          </w:p>
        </w:tc>
      </w:tr>
      <w:tr w:rsidR="00A15C2C" w14:paraId="470EB174" w14:textId="77777777" w:rsidTr="0055589E">
        <w:trPr>
          <w:trHeight w:val="290"/>
          <w:jc w:val="center"/>
        </w:trPr>
        <w:tc>
          <w:tcPr>
            <w:tcW w:w="985" w:type="dxa"/>
            <w:vMerge w:val="restart"/>
            <w:shd w:val="clear" w:color="auto" w:fill="auto"/>
            <w:noWrap/>
            <w:vAlign w:val="center"/>
            <w:hideMark/>
          </w:tcPr>
          <w:p w14:paraId="58818CFE" w14:textId="77777777" w:rsidR="000303A7" w:rsidRPr="00A01CA7" w:rsidRDefault="000F5B51" w:rsidP="000303A7">
            <w:pPr>
              <w:spacing w:after="0" w:line="240" w:lineRule="auto"/>
              <w:contextualSpacing/>
              <w:rPr>
                <w:rFonts w:eastAsia="Times New Roman" w:cs="Times New Roman"/>
                <w:color w:val="000000"/>
                <w:szCs w:val="24"/>
              </w:rPr>
            </w:pPr>
            <w:r w:rsidRPr="00A01CA7">
              <w:rPr>
                <w:rFonts w:eastAsia="Times New Roman" w:cs="Times New Roman"/>
                <w:color w:val="000000"/>
                <w:szCs w:val="24"/>
              </w:rPr>
              <w:t>LTV</w:t>
            </w:r>
          </w:p>
          <w:p w14:paraId="7D0AC296" w14:textId="77777777" w:rsidR="000303A7" w:rsidRPr="00A01CA7" w:rsidRDefault="000F5B51" w:rsidP="000303A7">
            <w:pPr>
              <w:spacing w:after="0" w:line="240" w:lineRule="auto"/>
              <w:contextualSpacing/>
              <w:rPr>
                <w:rFonts w:eastAsia="Times New Roman" w:cs="Times New Roman"/>
                <w:color w:val="000000"/>
                <w:szCs w:val="24"/>
              </w:rPr>
            </w:pPr>
            <w:r w:rsidRPr="00A01CA7">
              <w:rPr>
                <w:rFonts w:eastAsia="Times New Roman" w:cs="Times New Roman"/>
                <w:color w:val="000000"/>
                <w:szCs w:val="24"/>
              </w:rPr>
              <w:t> </w:t>
            </w:r>
          </w:p>
        </w:tc>
        <w:tc>
          <w:tcPr>
            <w:tcW w:w="2429" w:type="dxa"/>
            <w:shd w:val="clear" w:color="auto" w:fill="auto"/>
            <w:noWrap/>
            <w:vAlign w:val="center"/>
            <w:hideMark/>
          </w:tcPr>
          <w:p w14:paraId="20D7FE4A" w14:textId="77777777" w:rsidR="000303A7" w:rsidRPr="00A01CA7" w:rsidRDefault="000F5B51" w:rsidP="0055589E">
            <w:pPr>
              <w:spacing w:after="0" w:line="240" w:lineRule="auto"/>
              <w:contextualSpacing/>
              <w:rPr>
                <w:rFonts w:eastAsia="Times New Roman" w:cs="Times New Roman"/>
                <w:color w:val="000000"/>
                <w:szCs w:val="24"/>
              </w:rPr>
            </w:pPr>
            <w:r w:rsidRPr="00A01CA7">
              <w:rPr>
                <w:rFonts w:eastAsia="Times New Roman" w:cs="Times New Roman"/>
                <w:color w:val="000000"/>
                <w:szCs w:val="24"/>
              </w:rPr>
              <w:t>MAIS 1</w:t>
            </w:r>
          </w:p>
        </w:tc>
        <w:tc>
          <w:tcPr>
            <w:tcW w:w="1417" w:type="dxa"/>
            <w:shd w:val="clear" w:color="auto" w:fill="auto"/>
            <w:noWrap/>
            <w:vAlign w:val="center"/>
          </w:tcPr>
          <w:p w14:paraId="194311DC" w14:textId="77777777" w:rsidR="000303A7" w:rsidRPr="00A01CA7" w:rsidRDefault="000F5B51" w:rsidP="00742361">
            <w:pPr>
              <w:spacing w:after="0" w:line="240" w:lineRule="auto"/>
              <w:contextualSpacing/>
              <w:jc w:val="center"/>
              <w:rPr>
                <w:rFonts w:eastAsia="Times New Roman" w:cs="Times New Roman"/>
                <w:color w:val="000000"/>
                <w:szCs w:val="24"/>
              </w:rPr>
            </w:pPr>
            <w:r w:rsidRPr="00B34E7F">
              <w:t>11,020</w:t>
            </w:r>
          </w:p>
        </w:tc>
        <w:tc>
          <w:tcPr>
            <w:tcW w:w="1645" w:type="dxa"/>
            <w:shd w:val="clear" w:color="auto" w:fill="auto"/>
            <w:noWrap/>
            <w:vAlign w:val="center"/>
          </w:tcPr>
          <w:p w14:paraId="3D10E882" w14:textId="77777777" w:rsidR="000303A7" w:rsidRPr="00A01CA7" w:rsidRDefault="000F5B51" w:rsidP="009C6EFA">
            <w:pPr>
              <w:spacing w:after="0" w:line="240" w:lineRule="auto"/>
              <w:contextualSpacing/>
              <w:jc w:val="center"/>
              <w:rPr>
                <w:rFonts w:eastAsia="Times New Roman" w:cs="Times New Roman"/>
                <w:color w:val="000000"/>
                <w:szCs w:val="24"/>
              </w:rPr>
            </w:pPr>
            <w:r w:rsidRPr="00B34E7F">
              <w:t>12,863</w:t>
            </w:r>
          </w:p>
        </w:tc>
        <w:tc>
          <w:tcPr>
            <w:tcW w:w="1979" w:type="dxa"/>
            <w:shd w:val="clear" w:color="auto" w:fill="auto"/>
            <w:noWrap/>
            <w:vAlign w:val="center"/>
          </w:tcPr>
          <w:p w14:paraId="4CB496EC" w14:textId="77777777" w:rsidR="000303A7" w:rsidRPr="00A01CA7" w:rsidRDefault="000F5B51" w:rsidP="00044F2E">
            <w:pPr>
              <w:spacing w:after="0" w:line="240" w:lineRule="auto"/>
              <w:contextualSpacing/>
              <w:jc w:val="center"/>
              <w:rPr>
                <w:rFonts w:eastAsia="Times New Roman" w:cs="Times New Roman"/>
                <w:color w:val="000000"/>
                <w:szCs w:val="24"/>
              </w:rPr>
            </w:pPr>
            <w:r w:rsidRPr="00B34E7F">
              <w:t>23,883</w:t>
            </w:r>
          </w:p>
        </w:tc>
      </w:tr>
      <w:tr w:rsidR="00A15C2C" w14:paraId="17B3EB1C" w14:textId="77777777" w:rsidTr="0055589E">
        <w:trPr>
          <w:trHeight w:val="300"/>
          <w:jc w:val="center"/>
        </w:trPr>
        <w:tc>
          <w:tcPr>
            <w:tcW w:w="985" w:type="dxa"/>
            <w:vMerge/>
            <w:shd w:val="clear" w:color="auto" w:fill="auto"/>
            <w:noWrap/>
            <w:vAlign w:val="center"/>
            <w:hideMark/>
          </w:tcPr>
          <w:p w14:paraId="19BA8131" w14:textId="77777777" w:rsidR="000303A7" w:rsidRPr="00A01CA7" w:rsidRDefault="000303A7" w:rsidP="000303A7">
            <w:pPr>
              <w:spacing w:after="0" w:line="240" w:lineRule="auto"/>
              <w:contextualSpacing/>
              <w:rPr>
                <w:rFonts w:eastAsia="Times New Roman" w:cs="Times New Roman"/>
                <w:color w:val="000000"/>
                <w:szCs w:val="24"/>
              </w:rPr>
            </w:pPr>
          </w:p>
        </w:tc>
        <w:tc>
          <w:tcPr>
            <w:tcW w:w="2429" w:type="dxa"/>
            <w:shd w:val="clear" w:color="auto" w:fill="auto"/>
            <w:noWrap/>
            <w:vAlign w:val="center"/>
            <w:hideMark/>
          </w:tcPr>
          <w:p w14:paraId="22FAE44F" w14:textId="77777777" w:rsidR="000303A7" w:rsidRPr="00A01CA7" w:rsidRDefault="000F5B51" w:rsidP="0055589E">
            <w:pPr>
              <w:spacing w:after="0" w:line="240" w:lineRule="auto"/>
              <w:contextualSpacing/>
              <w:rPr>
                <w:rFonts w:eastAsia="Times New Roman" w:cs="Times New Roman"/>
                <w:color w:val="000000"/>
                <w:szCs w:val="24"/>
              </w:rPr>
            </w:pPr>
            <w:r w:rsidRPr="00A01CA7">
              <w:rPr>
                <w:rFonts w:eastAsia="Times New Roman" w:cs="Times New Roman"/>
                <w:color w:val="000000"/>
                <w:szCs w:val="24"/>
              </w:rPr>
              <w:t>MAIS 2</w:t>
            </w:r>
          </w:p>
        </w:tc>
        <w:tc>
          <w:tcPr>
            <w:tcW w:w="1417" w:type="dxa"/>
            <w:shd w:val="clear" w:color="auto" w:fill="auto"/>
            <w:noWrap/>
            <w:vAlign w:val="center"/>
          </w:tcPr>
          <w:p w14:paraId="0E156453" w14:textId="77777777" w:rsidR="000303A7" w:rsidRPr="00A01CA7" w:rsidRDefault="000F5B51" w:rsidP="00742361">
            <w:pPr>
              <w:spacing w:after="0" w:line="240" w:lineRule="auto"/>
              <w:contextualSpacing/>
              <w:jc w:val="center"/>
              <w:rPr>
                <w:rFonts w:eastAsia="Times New Roman" w:cs="Times New Roman"/>
                <w:color w:val="000000"/>
                <w:szCs w:val="24"/>
              </w:rPr>
            </w:pPr>
            <w:r w:rsidRPr="00B34E7F">
              <w:t>3,742</w:t>
            </w:r>
          </w:p>
        </w:tc>
        <w:tc>
          <w:tcPr>
            <w:tcW w:w="1645" w:type="dxa"/>
            <w:shd w:val="clear" w:color="auto" w:fill="auto"/>
            <w:noWrap/>
            <w:vAlign w:val="center"/>
          </w:tcPr>
          <w:p w14:paraId="65B66B6A" w14:textId="77777777" w:rsidR="000303A7" w:rsidRPr="00A01CA7" w:rsidRDefault="000F5B51" w:rsidP="009C6EFA">
            <w:pPr>
              <w:spacing w:after="0" w:line="240" w:lineRule="auto"/>
              <w:contextualSpacing/>
              <w:jc w:val="center"/>
              <w:rPr>
                <w:rFonts w:eastAsia="Times New Roman" w:cs="Times New Roman"/>
                <w:color w:val="000000"/>
                <w:szCs w:val="24"/>
              </w:rPr>
            </w:pPr>
            <w:r w:rsidRPr="00B34E7F">
              <w:t>4,368</w:t>
            </w:r>
          </w:p>
        </w:tc>
        <w:tc>
          <w:tcPr>
            <w:tcW w:w="1979" w:type="dxa"/>
            <w:shd w:val="clear" w:color="auto" w:fill="auto"/>
            <w:noWrap/>
            <w:vAlign w:val="center"/>
          </w:tcPr>
          <w:p w14:paraId="2243A23E" w14:textId="77777777" w:rsidR="000303A7" w:rsidRPr="00A01CA7" w:rsidRDefault="000F5B51" w:rsidP="00044F2E">
            <w:pPr>
              <w:spacing w:after="0" w:line="240" w:lineRule="auto"/>
              <w:contextualSpacing/>
              <w:jc w:val="center"/>
              <w:rPr>
                <w:rFonts w:eastAsia="Times New Roman" w:cs="Times New Roman"/>
                <w:color w:val="000000"/>
                <w:szCs w:val="24"/>
              </w:rPr>
            </w:pPr>
            <w:r w:rsidRPr="00B34E7F">
              <w:t>8,111</w:t>
            </w:r>
          </w:p>
        </w:tc>
      </w:tr>
      <w:tr w:rsidR="00A15C2C" w14:paraId="6D8E87B4" w14:textId="77777777" w:rsidTr="0055589E">
        <w:trPr>
          <w:trHeight w:val="290"/>
          <w:jc w:val="center"/>
        </w:trPr>
        <w:tc>
          <w:tcPr>
            <w:tcW w:w="985" w:type="dxa"/>
            <w:vMerge/>
            <w:shd w:val="clear" w:color="auto" w:fill="auto"/>
            <w:noWrap/>
            <w:vAlign w:val="center"/>
            <w:hideMark/>
          </w:tcPr>
          <w:p w14:paraId="6C4F48B1" w14:textId="77777777" w:rsidR="000303A7" w:rsidRPr="00A01CA7" w:rsidRDefault="000303A7" w:rsidP="000303A7">
            <w:pPr>
              <w:spacing w:after="0" w:line="240" w:lineRule="auto"/>
              <w:contextualSpacing/>
              <w:rPr>
                <w:rFonts w:eastAsia="Times New Roman" w:cs="Times New Roman"/>
                <w:color w:val="000000"/>
                <w:szCs w:val="24"/>
              </w:rPr>
            </w:pPr>
          </w:p>
        </w:tc>
        <w:tc>
          <w:tcPr>
            <w:tcW w:w="2429" w:type="dxa"/>
            <w:shd w:val="clear" w:color="auto" w:fill="auto"/>
            <w:noWrap/>
            <w:vAlign w:val="center"/>
            <w:hideMark/>
          </w:tcPr>
          <w:p w14:paraId="38A49EFE" w14:textId="77777777" w:rsidR="000303A7" w:rsidRPr="00A01CA7" w:rsidRDefault="000F5B51" w:rsidP="0055589E">
            <w:pPr>
              <w:spacing w:after="0" w:line="240" w:lineRule="auto"/>
              <w:contextualSpacing/>
              <w:rPr>
                <w:rFonts w:eastAsia="Times New Roman" w:cs="Times New Roman"/>
                <w:color w:val="000000"/>
                <w:szCs w:val="24"/>
              </w:rPr>
            </w:pPr>
            <w:r w:rsidRPr="00A01CA7">
              <w:rPr>
                <w:rFonts w:eastAsia="Times New Roman" w:cs="Times New Roman"/>
                <w:color w:val="000000"/>
                <w:szCs w:val="24"/>
              </w:rPr>
              <w:t>MAIS 3</w:t>
            </w:r>
          </w:p>
        </w:tc>
        <w:tc>
          <w:tcPr>
            <w:tcW w:w="1417" w:type="dxa"/>
            <w:shd w:val="clear" w:color="auto" w:fill="auto"/>
            <w:noWrap/>
            <w:vAlign w:val="center"/>
          </w:tcPr>
          <w:p w14:paraId="1E74574F" w14:textId="77777777" w:rsidR="000303A7" w:rsidRPr="00A01CA7" w:rsidRDefault="000F5B51" w:rsidP="00742361">
            <w:pPr>
              <w:spacing w:after="0" w:line="240" w:lineRule="auto"/>
              <w:contextualSpacing/>
              <w:jc w:val="center"/>
              <w:rPr>
                <w:rFonts w:eastAsia="Times New Roman" w:cs="Times New Roman"/>
                <w:color w:val="000000"/>
                <w:szCs w:val="24"/>
              </w:rPr>
            </w:pPr>
            <w:r w:rsidRPr="00B34E7F">
              <w:t>24</w:t>
            </w:r>
          </w:p>
        </w:tc>
        <w:tc>
          <w:tcPr>
            <w:tcW w:w="1645" w:type="dxa"/>
            <w:shd w:val="clear" w:color="auto" w:fill="auto"/>
            <w:noWrap/>
            <w:vAlign w:val="center"/>
          </w:tcPr>
          <w:p w14:paraId="70462DCA" w14:textId="77777777" w:rsidR="000303A7" w:rsidRPr="00A01CA7" w:rsidRDefault="000F5B51" w:rsidP="009C6EFA">
            <w:pPr>
              <w:spacing w:after="0" w:line="240" w:lineRule="auto"/>
              <w:contextualSpacing/>
              <w:jc w:val="center"/>
              <w:rPr>
                <w:rFonts w:eastAsia="Times New Roman" w:cs="Times New Roman"/>
                <w:color w:val="000000"/>
                <w:szCs w:val="24"/>
              </w:rPr>
            </w:pPr>
            <w:r w:rsidRPr="00B34E7F">
              <w:t>29</w:t>
            </w:r>
          </w:p>
        </w:tc>
        <w:tc>
          <w:tcPr>
            <w:tcW w:w="1979" w:type="dxa"/>
            <w:shd w:val="clear" w:color="auto" w:fill="auto"/>
            <w:noWrap/>
            <w:vAlign w:val="center"/>
          </w:tcPr>
          <w:p w14:paraId="4F579225" w14:textId="77777777" w:rsidR="000303A7" w:rsidRPr="00A01CA7" w:rsidRDefault="000F5B51" w:rsidP="00044F2E">
            <w:pPr>
              <w:spacing w:after="0" w:line="240" w:lineRule="auto"/>
              <w:contextualSpacing/>
              <w:jc w:val="center"/>
              <w:rPr>
                <w:rFonts w:eastAsia="Times New Roman" w:cs="Times New Roman"/>
                <w:color w:val="000000"/>
                <w:szCs w:val="24"/>
              </w:rPr>
            </w:pPr>
            <w:r w:rsidRPr="00B34E7F">
              <w:t>53</w:t>
            </w:r>
          </w:p>
        </w:tc>
      </w:tr>
      <w:tr w:rsidR="00A15C2C" w14:paraId="05FB18A2" w14:textId="77777777" w:rsidTr="0055589E">
        <w:trPr>
          <w:trHeight w:val="300"/>
          <w:jc w:val="center"/>
        </w:trPr>
        <w:tc>
          <w:tcPr>
            <w:tcW w:w="985" w:type="dxa"/>
            <w:vMerge/>
            <w:shd w:val="clear" w:color="auto" w:fill="auto"/>
            <w:noWrap/>
            <w:vAlign w:val="center"/>
            <w:hideMark/>
          </w:tcPr>
          <w:p w14:paraId="0FF904AC" w14:textId="77777777" w:rsidR="000303A7" w:rsidRPr="00A01CA7" w:rsidRDefault="000303A7" w:rsidP="000303A7">
            <w:pPr>
              <w:spacing w:after="0" w:line="240" w:lineRule="auto"/>
              <w:contextualSpacing/>
              <w:rPr>
                <w:rFonts w:eastAsia="Times New Roman" w:cs="Times New Roman"/>
                <w:color w:val="000000"/>
                <w:szCs w:val="24"/>
              </w:rPr>
            </w:pPr>
          </w:p>
        </w:tc>
        <w:tc>
          <w:tcPr>
            <w:tcW w:w="2429" w:type="dxa"/>
            <w:shd w:val="clear" w:color="auto" w:fill="auto"/>
            <w:noWrap/>
            <w:vAlign w:val="center"/>
            <w:hideMark/>
          </w:tcPr>
          <w:p w14:paraId="5F34ECC2" w14:textId="77777777" w:rsidR="000303A7" w:rsidRPr="00A01CA7" w:rsidRDefault="000F5B51" w:rsidP="0055589E">
            <w:pPr>
              <w:spacing w:after="0" w:line="240" w:lineRule="auto"/>
              <w:contextualSpacing/>
              <w:rPr>
                <w:rFonts w:eastAsia="Times New Roman" w:cs="Times New Roman"/>
                <w:color w:val="000000"/>
                <w:szCs w:val="24"/>
              </w:rPr>
            </w:pPr>
            <w:r w:rsidRPr="00A01CA7">
              <w:rPr>
                <w:rFonts w:eastAsia="Times New Roman" w:cs="Times New Roman"/>
                <w:color w:val="000000"/>
                <w:szCs w:val="24"/>
              </w:rPr>
              <w:t>MAIS 4</w:t>
            </w:r>
          </w:p>
        </w:tc>
        <w:tc>
          <w:tcPr>
            <w:tcW w:w="1417" w:type="dxa"/>
            <w:shd w:val="clear" w:color="auto" w:fill="auto"/>
            <w:noWrap/>
            <w:vAlign w:val="center"/>
          </w:tcPr>
          <w:p w14:paraId="0C6BCA1D" w14:textId="77777777" w:rsidR="000303A7" w:rsidRPr="00A01CA7" w:rsidRDefault="000F5B51" w:rsidP="00742361">
            <w:pPr>
              <w:spacing w:after="0" w:line="240" w:lineRule="auto"/>
              <w:contextualSpacing/>
              <w:jc w:val="center"/>
              <w:rPr>
                <w:rFonts w:eastAsia="Times New Roman" w:cs="Times New Roman"/>
                <w:color w:val="000000"/>
                <w:szCs w:val="24"/>
              </w:rPr>
            </w:pPr>
            <w:r w:rsidRPr="00B34E7F">
              <w:t>176</w:t>
            </w:r>
          </w:p>
        </w:tc>
        <w:tc>
          <w:tcPr>
            <w:tcW w:w="1645" w:type="dxa"/>
            <w:shd w:val="clear" w:color="auto" w:fill="auto"/>
            <w:noWrap/>
            <w:vAlign w:val="center"/>
          </w:tcPr>
          <w:p w14:paraId="1E3562C6" w14:textId="77777777" w:rsidR="000303A7" w:rsidRPr="00A01CA7" w:rsidRDefault="000F5B51" w:rsidP="009C6EFA">
            <w:pPr>
              <w:spacing w:after="0" w:line="240" w:lineRule="auto"/>
              <w:contextualSpacing/>
              <w:jc w:val="center"/>
              <w:rPr>
                <w:rFonts w:eastAsia="Times New Roman" w:cs="Times New Roman"/>
                <w:color w:val="000000"/>
                <w:szCs w:val="24"/>
              </w:rPr>
            </w:pPr>
            <w:r w:rsidRPr="00B34E7F">
              <w:t>205</w:t>
            </w:r>
          </w:p>
        </w:tc>
        <w:tc>
          <w:tcPr>
            <w:tcW w:w="1979" w:type="dxa"/>
            <w:shd w:val="clear" w:color="auto" w:fill="auto"/>
            <w:noWrap/>
            <w:vAlign w:val="center"/>
          </w:tcPr>
          <w:p w14:paraId="011B0E2A" w14:textId="77777777" w:rsidR="000303A7" w:rsidRPr="00A01CA7" w:rsidRDefault="000F5B51" w:rsidP="00044F2E">
            <w:pPr>
              <w:spacing w:after="0" w:line="240" w:lineRule="auto"/>
              <w:contextualSpacing/>
              <w:jc w:val="center"/>
              <w:rPr>
                <w:rFonts w:eastAsia="Times New Roman" w:cs="Times New Roman"/>
                <w:color w:val="000000"/>
                <w:szCs w:val="24"/>
              </w:rPr>
            </w:pPr>
            <w:r w:rsidRPr="00B34E7F">
              <w:t>381</w:t>
            </w:r>
          </w:p>
        </w:tc>
      </w:tr>
      <w:tr w:rsidR="00A15C2C" w14:paraId="1327B5B2" w14:textId="77777777" w:rsidTr="0055589E">
        <w:trPr>
          <w:trHeight w:val="290"/>
          <w:jc w:val="center"/>
        </w:trPr>
        <w:tc>
          <w:tcPr>
            <w:tcW w:w="985" w:type="dxa"/>
            <w:vMerge/>
            <w:shd w:val="clear" w:color="auto" w:fill="auto"/>
            <w:noWrap/>
            <w:vAlign w:val="center"/>
            <w:hideMark/>
          </w:tcPr>
          <w:p w14:paraId="0CECBB40" w14:textId="77777777" w:rsidR="000303A7" w:rsidRPr="00A01CA7" w:rsidRDefault="000303A7" w:rsidP="000303A7">
            <w:pPr>
              <w:spacing w:after="0" w:line="240" w:lineRule="auto"/>
              <w:contextualSpacing/>
              <w:rPr>
                <w:rFonts w:eastAsia="Times New Roman" w:cs="Times New Roman"/>
                <w:color w:val="000000"/>
                <w:szCs w:val="24"/>
              </w:rPr>
            </w:pPr>
          </w:p>
        </w:tc>
        <w:tc>
          <w:tcPr>
            <w:tcW w:w="2429" w:type="dxa"/>
            <w:shd w:val="clear" w:color="auto" w:fill="auto"/>
            <w:noWrap/>
            <w:vAlign w:val="center"/>
            <w:hideMark/>
          </w:tcPr>
          <w:p w14:paraId="70D82E4B" w14:textId="77777777" w:rsidR="000303A7" w:rsidRPr="00A01CA7" w:rsidRDefault="000F5B51" w:rsidP="0055589E">
            <w:pPr>
              <w:spacing w:after="0" w:line="240" w:lineRule="auto"/>
              <w:contextualSpacing/>
              <w:rPr>
                <w:rFonts w:eastAsia="Times New Roman" w:cs="Times New Roman"/>
                <w:color w:val="000000"/>
                <w:szCs w:val="24"/>
              </w:rPr>
            </w:pPr>
            <w:r w:rsidRPr="00A01CA7">
              <w:rPr>
                <w:rFonts w:eastAsia="Times New Roman" w:cs="Times New Roman"/>
                <w:color w:val="000000"/>
                <w:szCs w:val="24"/>
              </w:rPr>
              <w:t>MAIS 5</w:t>
            </w:r>
          </w:p>
        </w:tc>
        <w:tc>
          <w:tcPr>
            <w:tcW w:w="1417" w:type="dxa"/>
            <w:shd w:val="clear" w:color="auto" w:fill="auto"/>
            <w:noWrap/>
            <w:vAlign w:val="center"/>
          </w:tcPr>
          <w:p w14:paraId="3074DBFA" w14:textId="77777777" w:rsidR="000303A7" w:rsidRPr="00A01CA7" w:rsidRDefault="000F5B51" w:rsidP="00742361">
            <w:pPr>
              <w:spacing w:after="0" w:line="240" w:lineRule="auto"/>
              <w:contextualSpacing/>
              <w:jc w:val="center"/>
              <w:rPr>
                <w:rFonts w:eastAsia="Times New Roman" w:cs="Times New Roman"/>
                <w:color w:val="000000"/>
                <w:szCs w:val="24"/>
              </w:rPr>
            </w:pPr>
            <w:r w:rsidRPr="00B34E7F">
              <w:t>13</w:t>
            </w:r>
          </w:p>
        </w:tc>
        <w:tc>
          <w:tcPr>
            <w:tcW w:w="1645" w:type="dxa"/>
            <w:shd w:val="clear" w:color="auto" w:fill="auto"/>
            <w:noWrap/>
            <w:vAlign w:val="center"/>
          </w:tcPr>
          <w:p w14:paraId="0E27E50F" w14:textId="77777777" w:rsidR="000303A7" w:rsidRPr="00A01CA7" w:rsidRDefault="000F5B51" w:rsidP="009C6EFA">
            <w:pPr>
              <w:spacing w:after="0" w:line="240" w:lineRule="auto"/>
              <w:contextualSpacing/>
              <w:jc w:val="center"/>
              <w:rPr>
                <w:rFonts w:eastAsia="Times New Roman" w:cs="Times New Roman"/>
                <w:color w:val="000000"/>
                <w:szCs w:val="24"/>
              </w:rPr>
            </w:pPr>
            <w:r w:rsidRPr="00B34E7F">
              <w:t>15</w:t>
            </w:r>
          </w:p>
        </w:tc>
        <w:tc>
          <w:tcPr>
            <w:tcW w:w="1979" w:type="dxa"/>
            <w:shd w:val="clear" w:color="auto" w:fill="auto"/>
            <w:noWrap/>
            <w:vAlign w:val="center"/>
          </w:tcPr>
          <w:p w14:paraId="2B8B1EC2" w14:textId="77777777" w:rsidR="000303A7" w:rsidRPr="00A01CA7" w:rsidRDefault="000F5B51" w:rsidP="00044F2E">
            <w:pPr>
              <w:spacing w:after="0" w:line="240" w:lineRule="auto"/>
              <w:contextualSpacing/>
              <w:jc w:val="center"/>
              <w:rPr>
                <w:rFonts w:eastAsia="Times New Roman" w:cs="Times New Roman"/>
                <w:color w:val="000000"/>
                <w:szCs w:val="24"/>
              </w:rPr>
            </w:pPr>
            <w:r w:rsidRPr="00B34E7F">
              <w:t>28</w:t>
            </w:r>
          </w:p>
        </w:tc>
      </w:tr>
      <w:tr w:rsidR="00A15C2C" w14:paraId="5CDB1BAA" w14:textId="77777777" w:rsidTr="0055589E">
        <w:trPr>
          <w:trHeight w:val="290"/>
          <w:jc w:val="center"/>
        </w:trPr>
        <w:tc>
          <w:tcPr>
            <w:tcW w:w="985" w:type="dxa"/>
            <w:vMerge/>
            <w:shd w:val="clear" w:color="auto" w:fill="auto"/>
            <w:noWrap/>
            <w:vAlign w:val="center"/>
          </w:tcPr>
          <w:p w14:paraId="7572307F" w14:textId="77777777" w:rsidR="00501EC4" w:rsidRPr="00A01CA7" w:rsidRDefault="00501EC4" w:rsidP="00501EC4">
            <w:pPr>
              <w:spacing w:after="0" w:line="240" w:lineRule="auto"/>
              <w:contextualSpacing/>
              <w:rPr>
                <w:rFonts w:eastAsia="Times New Roman" w:cs="Times New Roman"/>
                <w:color w:val="000000"/>
                <w:szCs w:val="24"/>
              </w:rPr>
            </w:pPr>
          </w:p>
        </w:tc>
        <w:tc>
          <w:tcPr>
            <w:tcW w:w="2429" w:type="dxa"/>
            <w:shd w:val="clear" w:color="auto" w:fill="auto"/>
            <w:noWrap/>
            <w:vAlign w:val="center"/>
          </w:tcPr>
          <w:p w14:paraId="38BB793D" w14:textId="77777777" w:rsidR="00501EC4" w:rsidRPr="00934F2C" w:rsidRDefault="000F5B51" w:rsidP="0055589E">
            <w:pPr>
              <w:spacing w:after="0" w:line="240" w:lineRule="auto"/>
              <w:contextualSpacing/>
              <w:rPr>
                <w:rFonts w:eastAsia="Times New Roman" w:cs="Times New Roman"/>
                <w:b/>
                <w:bCs/>
                <w:color w:val="000000"/>
                <w:szCs w:val="24"/>
              </w:rPr>
            </w:pPr>
            <w:r w:rsidRPr="00934F2C">
              <w:rPr>
                <w:rFonts w:eastAsia="Times New Roman" w:cs="Times New Roman"/>
                <w:b/>
                <w:bCs/>
                <w:color w:val="000000"/>
                <w:szCs w:val="24"/>
              </w:rPr>
              <w:t>Total Injuries</w:t>
            </w:r>
          </w:p>
          <w:p w14:paraId="0B26F1CE" w14:textId="77777777" w:rsidR="00501EC4" w:rsidRPr="00A01CA7" w:rsidRDefault="000F5B51" w:rsidP="0055589E">
            <w:pPr>
              <w:spacing w:after="0" w:line="240" w:lineRule="auto"/>
              <w:contextualSpacing/>
              <w:rPr>
                <w:rFonts w:eastAsia="Times New Roman" w:cs="Times New Roman"/>
                <w:color w:val="000000"/>
                <w:szCs w:val="24"/>
              </w:rPr>
            </w:pPr>
            <w:r w:rsidRPr="00934F2C">
              <w:rPr>
                <w:rFonts w:eastAsia="Times New Roman" w:cs="Times New Roman"/>
                <w:b/>
                <w:bCs/>
                <w:color w:val="000000"/>
                <w:szCs w:val="24"/>
              </w:rPr>
              <w:t xml:space="preserve"> (MAIS 1-5)</w:t>
            </w:r>
          </w:p>
        </w:tc>
        <w:tc>
          <w:tcPr>
            <w:tcW w:w="1417" w:type="dxa"/>
            <w:shd w:val="clear" w:color="auto" w:fill="auto"/>
            <w:noWrap/>
            <w:vAlign w:val="center"/>
          </w:tcPr>
          <w:p w14:paraId="70171ABD" w14:textId="77777777" w:rsidR="00501EC4" w:rsidRPr="0055589E" w:rsidRDefault="000F5B51" w:rsidP="00742361">
            <w:pPr>
              <w:spacing w:after="0" w:line="240" w:lineRule="auto"/>
              <w:contextualSpacing/>
              <w:jc w:val="center"/>
              <w:rPr>
                <w:rFonts w:eastAsia="Times New Roman" w:cs="Times New Roman"/>
                <w:b/>
                <w:bCs/>
                <w:color w:val="000000"/>
                <w:szCs w:val="24"/>
              </w:rPr>
            </w:pPr>
            <w:r w:rsidRPr="0055589E">
              <w:rPr>
                <w:b/>
                <w:bCs/>
              </w:rPr>
              <w:t>14,975</w:t>
            </w:r>
          </w:p>
        </w:tc>
        <w:tc>
          <w:tcPr>
            <w:tcW w:w="1645" w:type="dxa"/>
            <w:shd w:val="clear" w:color="auto" w:fill="auto"/>
            <w:noWrap/>
            <w:vAlign w:val="center"/>
          </w:tcPr>
          <w:p w14:paraId="4169B9A0" w14:textId="77777777" w:rsidR="00501EC4" w:rsidRPr="0055589E" w:rsidRDefault="000F5B51" w:rsidP="009C6EFA">
            <w:pPr>
              <w:spacing w:after="0" w:line="240" w:lineRule="auto"/>
              <w:contextualSpacing/>
              <w:jc w:val="center"/>
              <w:rPr>
                <w:rFonts w:eastAsia="Times New Roman" w:cs="Times New Roman"/>
                <w:b/>
                <w:bCs/>
                <w:color w:val="000000"/>
                <w:szCs w:val="24"/>
              </w:rPr>
            </w:pPr>
            <w:r w:rsidRPr="0055589E">
              <w:rPr>
                <w:b/>
                <w:bCs/>
              </w:rPr>
              <w:t>17,480</w:t>
            </w:r>
          </w:p>
        </w:tc>
        <w:tc>
          <w:tcPr>
            <w:tcW w:w="1979" w:type="dxa"/>
            <w:shd w:val="clear" w:color="auto" w:fill="auto"/>
            <w:noWrap/>
            <w:vAlign w:val="center"/>
          </w:tcPr>
          <w:p w14:paraId="1002F76F" w14:textId="77777777" w:rsidR="00501EC4" w:rsidRPr="0055589E" w:rsidRDefault="000F5B51" w:rsidP="00044F2E">
            <w:pPr>
              <w:spacing w:after="0" w:line="240" w:lineRule="auto"/>
              <w:contextualSpacing/>
              <w:jc w:val="center"/>
              <w:rPr>
                <w:rFonts w:eastAsia="Times New Roman" w:cs="Times New Roman"/>
                <w:b/>
                <w:bCs/>
                <w:color w:val="000000"/>
                <w:szCs w:val="24"/>
              </w:rPr>
            </w:pPr>
            <w:r w:rsidRPr="0055589E">
              <w:rPr>
                <w:b/>
                <w:bCs/>
              </w:rPr>
              <w:t>32,456</w:t>
            </w:r>
          </w:p>
        </w:tc>
      </w:tr>
      <w:tr w:rsidR="00A15C2C" w14:paraId="76667C8D" w14:textId="77777777" w:rsidTr="0055589E">
        <w:trPr>
          <w:trHeight w:val="300"/>
          <w:jc w:val="center"/>
        </w:trPr>
        <w:tc>
          <w:tcPr>
            <w:tcW w:w="985" w:type="dxa"/>
            <w:vMerge/>
            <w:shd w:val="clear" w:color="auto" w:fill="auto"/>
            <w:noWrap/>
            <w:vAlign w:val="center"/>
            <w:hideMark/>
          </w:tcPr>
          <w:p w14:paraId="5CC12764" w14:textId="77777777" w:rsidR="001A5B9C" w:rsidRPr="00A01CA7" w:rsidRDefault="001A5B9C" w:rsidP="001A5B9C">
            <w:pPr>
              <w:spacing w:after="0" w:line="240" w:lineRule="auto"/>
              <w:contextualSpacing/>
              <w:rPr>
                <w:rFonts w:eastAsia="Times New Roman" w:cs="Times New Roman"/>
                <w:color w:val="000000"/>
                <w:szCs w:val="24"/>
              </w:rPr>
            </w:pPr>
          </w:p>
        </w:tc>
        <w:tc>
          <w:tcPr>
            <w:tcW w:w="2429" w:type="dxa"/>
            <w:shd w:val="clear" w:color="auto" w:fill="auto"/>
            <w:noWrap/>
            <w:vAlign w:val="center"/>
            <w:hideMark/>
          </w:tcPr>
          <w:p w14:paraId="791110F9" w14:textId="77777777" w:rsidR="001A5B9C" w:rsidRPr="00934F2C" w:rsidRDefault="000F5B51" w:rsidP="0055589E">
            <w:pPr>
              <w:spacing w:after="0" w:line="240" w:lineRule="auto"/>
              <w:contextualSpacing/>
              <w:rPr>
                <w:rFonts w:eastAsia="Times New Roman" w:cs="Times New Roman"/>
                <w:b/>
                <w:bCs/>
                <w:color w:val="000000"/>
                <w:szCs w:val="24"/>
              </w:rPr>
            </w:pPr>
            <w:r w:rsidRPr="00934F2C">
              <w:rPr>
                <w:rFonts w:eastAsia="Times New Roman" w:cs="Times New Roman"/>
                <w:b/>
                <w:bCs/>
                <w:color w:val="000000"/>
                <w:szCs w:val="24"/>
              </w:rPr>
              <w:t>Fatal</w:t>
            </w:r>
          </w:p>
        </w:tc>
        <w:tc>
          <w:tcPr>
            <w:tcW w:w="1417" w:type="dxa"/>
            <w:shd w:val="clear" w:color="auto" w:fill="auto"/>
            <w:noWrap/>
          </w:tcPr>
          <w:p w14:paraId="1EC52502" w14:textId="77777777" w:rsidR="001A5B9C" w:rsidRPr="00742361" w:rsidRDefault="000F5B51" w:rsidP="001A5B9C">
            <w:pPr>
              <w:spacing w:after="0" w:line="240" w:lineRule="auto"/>
              <w:contextualSpacing/>
              <w:jc w:val="center"/>
              <w:rPr>
                <w:rFonts w:eastAsia="Times New Roman" w:cs="Times New Roman"/>
                <w:b/>
                <w:bCs/>
                <w:color w:val="000000"/>
                <w:szCs w:val="24"/>
              </w:rPr>
            </w:pPr>
            <w:r w:rsidRPr="0055589E">
              <w:rPr>
                <w:b/>
                <w:bCs/>
              </w:rPr>
              <w:t>2,287</w:t>
            </w:r>
          </w:p>
        </w:tc>
        <w:tc>
          <w:tcPr>
            <w:tcW w:w="1645" w:type="dxa"/>
            <w:shd w:val="clear" w:color="auto" w:fill="auto"/>
            <w:noWrap/>
          </w:tcPr>
          <w:p w14:paraId="0C297DA5" w14:textId="77777777" w:rsidR="001A5B9C" w:rsidRPr="00742361" w:rsidRDefault="000F5B51" w:rsidP="001A5B9C">
            <w:pPr>
              <w:spacing w:after="0" w:line="240" w:lineRule="auto"/>
              <w:contextualSpacing/>
              <w:jc w:val="center"/>
              <w:rPr>
                <w:rFonts w:eastAsia="Times New Roman" w:cs="Times New Roman"/>
                <w:b/>
                <w:bCs/>
                <w:color w:val="000000"/>
                <w:szCs w:val="24"/>
              </w:rPr>
            </w:pPr>
            <w:r w:rsidRPr="0055589E">
              <w:rPr>
                <w:b/>
                <w:bCs/>
              </w:rPr>
              <w:t>2,669</w:t>
            </w:r>
          </w:p>
        </w:tc>
        <w:tc>
          <w:tcPr>
            <w:tcW w:w="1979" w:type="dxa"/>
            <w:shd w:val="clear" w:color="auto" w:fill="auto"/>
            <w:noWrap/>
          </w:tcPr>
          <w:p w14:paraId="2EC5D419" w14:textId="77777777" w:rsidR="001A5B9C" w:rsidRPr="00742361" w:rsidRDefault="000F5B51" w:rsidP="001A5B9C">
            <w:pPr>
              <w:spacing w:after="0" w:line="240" w:lineRule="auto"/>
              <w:contextualSpacing/>
              <w:jc w:val="center"/>
              <w:rPr>
                <w:rFonts w:eastAsia="Times New Roman" w:cs="Times New Roman"/>
                <w:b/>
                <w:bCs/>
                <w:color w:val="000000"/>
                <w:szCs w:val="24"/>
              </w:rPr>
            </w:pPr>
            <w:r w:rsidRPr="0055589E">
              <w:rPr>
                <w:b/>
                <w:bCs/>
              </w:rPr>
              <w:t xml:space="preserve"> 4,956 </w:t>
            </w:r>
          </w:p>
        </w:tc>
      </w:tr>
    </w:tbl>
    <w:p w14:paraId="54C51346" w14:textId="77777777" w:rsidR="00760070" w:rsidRPr="0055589E" w:rsidRDefault="00760070" w:rsidP="0055589E">
      <w:pPr>
        <w:pStyle w:val="NoSpaceTimes"/>
        <w:rPr>
          <w:b/>
          <w:bCs/>
        </w:rPr>
      </w:pPr>
    </w:p>
    <w:bookmarkStart w:id="106" w:name="_Toc126588020"/>
    <w:bookmarkEnd w:id="106"/>
    <w:p w14:paraId="27814D8E" w14:textId="1C433BB4" w:rsidR="006F18D0" w:rsidRDefault="000F5B51" w:rsidP="0055589E">
      <w:pPr>
        <w:spacing w:after="0"/>
        <w:contextualSpacing/>
        <w:rPr>
          <w:rFonts w:cs="Times New Roman"/>
          <w:szCs w:val="24"/>
        </w:rPr>
      </w:pPr>
      <w:r>
        <w:fldChar w:fldCharType="begin"/>
      </w:r>
      <w:r>
        <w:instrText xml:space="preserve"> REF _Ref126212812 \h </w:instrText>
      </w:r>
      <w:r>
        <w:fldChar w:fldCharType="separate"/>
      </w:r>
      <w:r w:rsidR="00A65CB3">
        <w:t xml:space="preserve">Table </w:t>
      </w:r>
      <w:r w:rsidR="00A65CB3">
        <w:rPr>
          <w:noProof/>
        </w:rPr>
        <w:t>26</w:t>
      </w:r>
      <w:r>
        <w:fldChar w:fldCharType="end"/>
      </w:r>
      <w:r w:rsidR="00C33A61">
        <w:t xml:space="preserve"> </w:t>
      </w:r>
      <w:r>
        <w:t xml:space="preserve">presents the </w:t>
      </w:r>
      <w:r w:rsidR="00D21D95">
        <w:t xml:space="preserve">adjusted </w:t>
      </w:r>
      <w:r>
        <w:t>annual average of fatalities for right front seat occupants by vehicle type and crash type</w:t>
      </w:r>
      <w:r w:rsidR="001F2F92">
        <w:t xml:space="preserve">. </w:t>
      </w:r>
      <w:r>
        <w:t xml:space="preserve">For passenger cars, </w:t>
      </w:r>
      <w:r w:rsidRPr="004059E6">
        <w:rPr>
          <w:rFonts w:cs="Times New Roman"/>
          <w:szCs w:val="24"/>
        </w:rPr>
        <w:t xml:space="preserve">there were a total of </w:t>
      </w:r>
      <w:r w:rsidR="00555757">
        <w:rPr>
          <w:rFonts w:cs="Times New Roman"/>
          <w:szCs w:val="24"/>
        </w:rPr>
        <w:t>1,676 fatalities for right front seat occupants, annually</w:t>
      </w:r>
      <w:r w:rsidR="001F2F92">
        <w:rPr>
          <w:rFonts w:cs="Times New Roman"/>
          <w:szCs w:val="24"/>
        </w:rPr>
        <w:t xml:space="preserve">. </w:t>
      </w:r>
      <w:r w:rsidR="00555757">
        <w:rPr>
          <w:rFonts w:cs="Times New Roman"/>
          <w:szCs w:val="24"/>
        </w:rPr>
        <w:t xml:space="preserve">Of those fatalities, </w:t>
      </w:r>
      <w:r w:rsidR="00435FBA">
        <w:rPr>
          <w:rFonts w:cs="Times New Roman"/>
          <w:szCs w:val="24"/>
        </w:rPr>
        <w:t>1,</w:t>
      </w:r>
      <w:r w:rsidR="008E7808">
        <w:rPr>
          <w:rFonts w:cs="Times New Roman"/>
          <w:szCs w:val="24"/>
        </w:rPr>
        <w:t>0</w:t>
      </w:r>
      <w:r w:rsidR="00070803">
        <w:rPr>
          <w:rFonts w:cs="Times New Roman"/>
          <w:szCs w:val="24"/>
        </w:rPr>
        <w:t>74</w:t>
      </w:r>
      <w:r w:rsidR="00555757">
        <w:rPr>
          <w:rFonts w:cs="Times New Roman"/>
          <w:szCs w:val="24"/>
        </w:rPr>
        <w:t xml:space="preserve"> were</w:t>
      </w:r>
      <w:r w:rsidRPr="004059E6">
        <w:rPr>
          <w:rFonts w:cs="Times New Roman"/>
          <w:szCs w:val="24"/>
        </w:rPr>
        <w:t xml:space="preserve"> restrained and </w:t>
      </w:r>
      <w:r w:rsidR="00070803">
        <w:rPr>
          <w:rFonts w:cs="Times New Roman"/>
          <w:szCs w:val="24"/>
        </w:rPr>
        <w:t>602</w:t>
      </w:r>
      <w:r w:rsidR="00555757">
        <w:rPr>
          <w:rFonts w:cs="Times New Roman"/>
          <w:szCs w:val="24"/>
        </w:rPr>
        <w:t xml:space="preserve"> were</w:t>
      </w:r>
      <w:r w:rsidRPr="004059E6">
        <w:rPr>
          <w:rFonts w:cs="Times New Roman"/>
          <w:szCs w:val="24"/>
        </w:rPr>
        <w:t xml:space="preserve"> unrestrained </w:t>
      </w:r>
      <w:r>
        <w:t>right front seat occupant</w:t>
      </w:r>
      <w:r w:rsidR="00555757">
        <w:rPr>
          <w:rFonts w:cs="Times New Roman"/>
          <w:szCs w:val="24"/>
        </w:rPr>
        <w:t>s</w:t>
      </w:r>
      <w:r w:rsidR="001F2F92">
        <w:rPr>
          <w:rFonts w:cs="Times New Roman"/>
          <w:szCs w:val="24"/>
        </w:rPr>
        <w:t xml:space="preserve">. </w:t>
      </w:r>
      <w:r w:rsidRPr="009B7C81">
        <w:rPr>
          <w:rFonts w:cs="Times New Roman"/>
          <w:szCs w:val="24"/>
        </w:rPr>
        <w:t>For light trucks, there were</w:t>
      </w:r>
      <w:r w:rsidRPr="00D508D0">
        <w:t xml:space="preserve"> </w:t>
      </w:r>
      <w:r w:rsidRPr="00D508D0">
        <w:rPr>
          <w:rFonts w:cs="Times New Roman"/>
          <w:szCs w:val="24"/>
        </w:rPr>
        <w:t xml:space="preserve">a total of </w:t>
      </w:r>
      <w:r w:rsidR="00555757">
        <w:rPr>
          <w:rFonts w:cs="Times New Roman"/>
          <w:szCs w:val="24"/>
        </w:rPr>
        <w:t>983 fatalities</w:t>
      </w:r>
      <w:r w:rsidR="001F2F92">
        <w:rPr>
          <w:rFonts w:cs="Times New Roman"/>
          <w:szCs w:val="24"/>
        </w:rPr>
        <w:t xml:space="preserve">. </w:t>
      </w:r>
      <w:r w:rsidR="00555757">
        <w:rPr>
          <w:rFonts w:cs="Times New Roman"/>
          <w:szCs w:val="24"/>
        </w:rPr>
        <w:t xml:space="preserve">Of those fatalities, </w:t>
      </w:r>
      <w:r w:rsidR="00D37015">
        <w:rPr>
          <w:rFonts w:cs="Times New Roman"/>
          <w:szCs w:val="24"/>
        </w:rPr>
        <w:t>508</w:t>
      </w:r>
      <w:r w:rsidRPr="00D508D0">
        <w:rPr>
          <w:rFonts w:cs="Times New Roman"/>
          <w:szCs w:val="24"/>
        </w:rPr>
        <w:t xml:space="preserve"> </w:t>
      </w:r>
      <w:r w:rsidR="00555757">
        <w:rPr>
          <w:rFonts w:cs="Times New Roman"/>
          <w:szCs w:val="24"/>
        </w:rPr>
        <w:t xml:space="preserve">were </w:t>
      </w:r>
      <w:r w:rsidRPr="00D508D0">
        <w:rPr>
          <w:rFonts w:cs="Times New Roman"/>
          <w:szCs w:val="24"/>
        </w:rPr>
        <w:t>restrained and</w:t>
      </w:r>
      <w:r w:rsidRPr="004059E6">
        <w:rPr>
          <w:rFonts w:cs="Times New Roman"/>
          <w:szCs w:val="24"/>
        </w:rPr>
        <w:t xml:space="preserve"> </w:t>
      </w:r>
      <w:r w:rsidR="00435FBA">
        <w:rPr>
          <w:rFonts w:cs="Times New Roman"/>
          <w:szCs w:val="24"/>
        </w:rPr>
        <w:t>4</w:t>
      </w:r>
      <w:r w:rsidR="00D37015">
        <w:rPr>
          <w:rFonts w:cs="Times New Roman"/>
          <w:szCs w:val="24"/>
        </w:rPr>
        <w:t>75</w:t>
      </w:r>
      <w:r w:rsidR="00555757">
        <w:rPr>
          <w:rFonts w:cs="Times New Roman"/>
          <w:szCs w:val="24"/>
        </w:rPr>
        <w:t xml:space="preserve"> were</w:t>
      </w:r>
      <w:r w:rsidRPr="004059E6">
        <w:rPr>
          <w:rFonts w:cs="Times New Roman"/>
          <w:szCs w:val="24"/>
        </w:rPr>
        <w:t xml:space="preserve"> unrestrained </w:t>
      </w:r>
      <w:r>
        <w:t xml:space="preserve">right front seat occupant </w:t>
      </w:r>
      <w:r w:rsidRPr="004059E6">
        <w:rPr>
          <w:rFonts w:cs="Times New Roman"/>
          <w:szCs w:val="24"/>
        </w:rPr>
        <w:t>fatalitie</w:t>
      </w:r>
      <w:r w:rsidR="00555757">
        <w:rPr>
          <w:rFonts w:cs="Times New Roman"/>
          <w:szCs w:val="24"/>
        </w:rPr>
        <w:t>s</w:t>
      </w:r>
      <w:r w:rsidR="001F2F92">
        <w:rPr>
          <w:rFonts w:cs="Times New Roman"/>
          <w:szCs w:val="24"/>
        </w:rPr>
        <w:t xml:space="preserve">. </w:t>
      </w:r>
    </w:p>
    <w:p w14:paraId="70D15815" w14:textId="11BDB537" w:rsidR="00435D89" w:rsidRDefault="00435D89" w:rsidP="0055589E">
      <w:pPr>
        <w:spacing w:after="0"/>
        <w:contextualSpacing/>
        <w:rPr>
          <w:rFonts w:cs="Times New Roman"/>
          <w:szCs w:val="24"/>
        </w:rPr>
      </w:pPr>
    </w:p>
    <w:p w14:paraId="35DDB29B" w14:textId="2FF4C04B" w:rsidR="00435D89" w:rsidRDefault="00435D89" w:rsidP="0055589E">
      <w:pPr>
        <w:spacing w:after="0"/>
        <w:contextualSpacing/>
        <w:rPr>
          <w:rFonts w:cs="Times New Roman"/>
          <w:szCs w:val="24"/>
        </w:rPr>
      </w:pPr>
    </w:p>
    <w:p w14:paraId="5B81C1F4" w14:textId="3CD145DA" w:rsidR="00435D89" w:rsidRDefault="00435D89" w:rsidP="0055589E">
      <w:pPr>
        <w:spacing w:after="0"/>
        <w:contextualSpacing/>
        <w:rPr>
          <w:rFonts w:cs="Times New Roman"/>
          <w:szCs w:val="24"/>
        </w:rPr>
      </w:pPr>
    </w:p>
    <w:p w14:paraId="437183C0" w14:textId="554AC060" w:rsidR="00435D89" w:rsidRDefault="00435D89" w:rsidP="0055589E">
      <w:pPr>
        <w:spacing w:after="0"/>
        <w:contextualSpacing/>
        <w:rPr>
          <w:rFonts w:cs="Times New Roman"/>
          <w:szCs w:val="24"/>
        </w:rPr>
      </w:pPr>
    </w:p>
    <w:p w14:paraId="2FC304E2" w14:textId="77777777" w:rsidR="00435D89" w:rsidRDefault="00435D89" w:rsidP="0055589E">
      <w:pPr>
        <w:spacing w:after="0"/>
        <w:contextualSpacing/>
      </w:pPr>
    </w:p>
    <w:p w14:paraId="2689145C" w14:textId="64713327" w:rsidR="004C5319" w:rsidRDefault="000F5B51" w:rsidP="00C33A61">
      <w:pPr>
        <w:pStyle w:val="Caption"/>
      </w:pPr>
      <w:bookmarkStart w:id="107" w:name="_Ref126212812"/>
      <w:bookmarkStart w:id="108" w:name="_Ref126043661"/>
      <w:r>
        <w:lastRenderedPageBreak/>
        <w:t xml:space="preserve">Table </w:t>
      </w:r>
      <w:r w:rsidR="00115BAB">
        <w:fldChar w:fldCharType="begin"/>
      </w:r>
      <w:r>
        <w:instrText xml:space="preserve"> SEQ Table \* ARABIC </w:instrText>
      </w:r>
      <w:r w:rsidR="00115BAB">
        <w:fldChar w:fldCharType="separate"/>
      </w:r>
      <w:r w:rsidR="00A65CB3">
        <w:rPr>
          <w:noProof/>
        </w:rPr>
        <w:t>26</w:t>
      </w:r>
      <w:r w:rsidR="00115BAB">
        <w:rPr>
          <w:noProof/>
        </w:rPr>
        <w:fldChar w:fldCharType="end"/>
      </w:r>
      <w:bookmarkEnd w:id="107"/>
      <w:bookmarkEnd w:id="108"/>
      <w:r>
        <w:t xml:space="preserve">: </w:t>
      </w:r>
      <w:r w:rsidRPr="00DF508E">
        <w:t>An</w:t>
      </w:r>
      <w:r w:rsidR="00D43B5F">
        <w:t>nual</w:t>
      </w:r>
      <w:r w:rsidRPr="00DF508E">
        <w:t xml:space="preserve"> </w:t>
      </w:r>
      <w:r w:rsidR="00D21D95">
        <w:t xml:space="preserve">Adjusted </w:t>
      </w:r>
      <w:r w:rsidRPr="00DF508E">
        <w:t>Fatalities for</w:t>
      </w:r>
      <w:r w:rsidR="00210CFD">
        <w:t xml:space="preserve"> Right</w:t>
      </w:r>
      <w:r w:rsidRPr="00DF508E">
        <w:t xml:space="preserve"> </w:t>
      </w:r>
      <w:r>
        <w:t xml:space="preserve">Front </w:t>
      </w:r>
      <w:r w:rsidR="00210CFD">
        <w:t>Seat Occupant</w:t>
      </w:r>
      <w:r w:rsidR="00DE45A8">
        <w:t>s</w:t>
      </w:r>
      <w:r>
        <w:t xml:space="preserve"> </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530"/>
        <w:gridCol w:w="2070"/>
        <w:gridCol w:w="2340"/>
        <w:gridCol w:w="1615"/>
      </w:tblGrid>
      <w:tr w:rsidR="00A15C2C" w14:paraId="79BF6060" w14:textId="77777777" w:rsidTr="003C04C4">
        <w:trPr>
          <w:trHeight w:val="290"/>
          <w:jc w:val="center"/>
        </w:trPr>
        <w:tc>
          <w:tcPr>
            <w:tcW w:w="1795" w:type="dxa"/>
            <w:shd w:val="clear" w:color="auto" w:fill="D9D9D9" w:themeFill="background1" w:themeFillShade="D9"/>
            <w:noWrap/>
            <w:vAlign w:val="center"/>
            <w:hideMark/>
          </w:tcPr>
          <w:p w14:paraId="73DEC3BE" w14:textId="77777777" w:rsidR="00D43B5F" w:rsidRPr="000F1504" w:rsidRDefault="000F5B51" w:rsidP="003C04C4">
            <w:pPr>
              <w:spacing w:after="0" w:line="240" w:lineRule="auto"/>
              <w:rPr>
                <w:rFonts w:eastAsia="Times New Roman" w:cs="Times New Roman"/>
                <w:b/>
                <w:bCs/>
                <w:color w:val="000000"/>
                <w:szCs w:val="24"/>
              </w:rPr>
            </w:pPr>
            <w:r w:rsidRPr="000F1504">
              <w:rPr>
                <w:rFonts w:eastAsia="Times New Roman" w:cs="Times New Roman"/>
                <w:b/>
                <w:bCs/>
                <w:color w:val="000000"/>
                <w:szCs w:val="24"/>
              </w:rPr>
              <w:t>Vehicle Type</w:t>
            </w:r>
          </w:p>
        </w:tc>
        <w:tc>
          <w:tcPr>
            <w:tcW w:w="1530" w:type="dxa"/>
            <w:shd w:val="clear" w:color="auto" w:fill="D9D9D9" w:themeFill="background1" w:themeFillShade="D9"/>
            <w:noWrap/>
            <w:vAlign w:val="center"/>
            <w:hideMark/>
          </w:tcPr>
          <w:p w14:paraId="44084450" w14:textId="77777777" w:rsidR="00D43B5F" w:rsidRPr="000F1504" w:rsidRDefault="000F5B51" w:rsidP="003C04C4">
            <w:pPr>
              <w:spacing w:after="0" w:line="240" w:lineRule="auto"/>
              <w:jc w:val="center"/>
              <w:rPr>
                <w:rFonts w:eastAsia="Times New Roman" w:cs="Times New Roman"/>
                <w:b/>
                <w:bCs/>
                <w:color w:val="000000"/>
                <w:szCs w:val="24"/>
              </w:rPr>
            </w:pPr>
            <w:r w:rsidRPr="000F1504">
              <w:rPr>
                <w:rFonts w:eastAsia="Times New Roman" w:cs="Times New Roman"/>
                <w:b/>
                <w:bCs/>
                <w:color w:val="000000"/>
                <w:szCs w:val="24"/>
              </w:rPr>
              <w:t>Crash type</w:t>
            </w:r>
          </w:p>
        </w:tc>
        <w:tc>
          <w:tcPr>
            <w:tcW w:w="2070" w:type="dxa"/>
            <w:shd w:val="clear" w:color="auto" w:fill="D9D9D9" w:themeFill="background1" w:themeFillShade="D9"/>
            <w:noWrap/>
            <w:vAlign w:val="center"/>
            <w:hideMark/>
          </w:tcPr>
          <w:p w14:paraId="0C31874F" w14:textId="77777777" w:rsidR="00D43B5F" w:rsidRPr="000F1504" w:rsidRDefault="000F5B51" w:rsidP="003C04C4">
            <w:pPr>
              <w:spacing w:after="0" w:line="240" w:lineRule="auto"/>
              <w:jc w:val="center"/>
              <w:rPr>
                <w:rFonts w:eastAsia="Times New Roman" w:cs="Times New Roman"/>
                <w:b/>
                <w:bCs/>
                <w:color w:val="000000"/>
                <w:szCs w:val="24"/>
              </w:rPr>
            </w:pPr>
            <w:r>
              <w:rPr>
                <w:rFonts w:eastAsia="Times New Roman" w:cs="Times New Roman"/>
                <w:b/>
                <w:bCs/>
                <w:color w:val="000000"/>
                <w:szCs w:val="24"/>
              </w:rPr>
              <w:t xml:space="preserve">Restrained </w:t>
            </w:r>
          </w:p>
        </w:tc>
        <w:tc>
          <w:tcPr>
            <w:tcW w:w="2340" w:type="dxa"/>
            <w:shd w:val="clear" w:color="auto" w:fill="D9D9D9" w:themeFill="background1" w:themeFillShade="D9"/>
            <w:noWrap/>
            <w:vAlign w:val="center"/>
            <w:hideMark/>
          </w:tcPr>
          <w:p w14:paraId="632097CC" w14:textId="77777777" w:rsidR="00D43B5F" w:rsidRPr="000F1504" w:rsidRDefault="000F5B51" w:rsidP="003C04C4">
            <w:pPr>
              <w:spacing w:after="0" w:line="240" w:lineRule="auto"/>
              <w:jc w:val="center"/>
              <w:rPr>
                <w:rFonts w:eastAsia="Times New Roman" w:cs="Times New Roman"/>
                <w:b/>
                <w:bCs/>
                <w:color w:val="000000"/>
                <w:szCs w:val="24"/>
              </w:rPr>
            </w:pPr>
            <w:r>
              <w:rPr>
                <w:rFonts w:eastAsia="Times New Roman" w:cs="Times New Roman"/>
                <w:b/>
                <w:bCs/>
                <w:color w:val="000000"/>
                <w:szCs w:val="24"/>
              </w:rPr>
              <w:t>Unrestrained</w:t>
            </w:r>
          </w:p>
        </w:tc>
        <w:tc>
          <w:tcPr>
            <w:tcW w:w="1615" w:type="dxa"/>
            <w:shd w:val="clear" w:color="auto" w:fill="D9D9D9" w:themeFill="background1" w:themeFillShade="D9"/>
          </w:tcPr>
          <w:p w14:paraId="746C4C7D" w14:textId="77777777" w:rsidR="00D43B5F" w:rsidRDefault="000F5B51" w:rsidP="003C04C4">
            <w:pPr>
              <w:spacing w:after="0" w:line="240" w:lineRule="auto"/>
              <w:jc w:val="center"/>
              <w:rPr>
                <w:rFonts w:eastAsia="Times New Roman" w:cs="Times New Roman"/>
                <w:b/>
                <w:bCs/>
                <w:color w:val="000000"/>
                <w:szCs w:val="24"/>
              </w:rPr>
            </w:pPr>
            <w:r>
              <w:rPr>
                <w:rFonts w:eastAsia="Times New Roman" w:cs="Times New Roman"/>
                <w:b/>
                <w:bCs/>
                <w:color w:val="000000"/>
                <w:szCs w:val="24"/>
              </w:rPr>
              <w:t>Total</w:t>
            </w:r>
          </w:p>
        </w:tc>
      </w:tr>
      <w:tr w:rsidR="00A15C2C" w14:paraId="6E5FD004" w14:textId="77777777" w:rsidTr="0055589E">
        <w:trPr>
          <w:trHeight w:val="290"/>
          <w:jc w:val="center"/>
        </w:trPr>
        <w:tc>
          <w:tcPr>
            <w:tcW w:w="1795" w:type="dxa"/>
            <w:vMerge w:val="restart"/>
            <w:shd w:val="clear" w:color="auto" w:fill="auto"/>
            <w:noWrap/>
            <w:vAlign w:val="center"/>
            <w:hideMark/>
          </w:tcPr>
          <w:p w14:paraId="3DE14494" w14:textId="77777777" w:rsidR="008E7808" w:rsidRPr="009F7CC9" w:rsidRDefault="000F5B51" w:rsidP="008E7808">
            <w:pPr>
              <w:spacing w:after="0" w:line="240" w:lineRule="auto"/>
              <w:rPr>
                <w:rFonts w:eastAsia="Times New Roman" w:cs="Times New Roman"/>
                <w:b/>
                <w:bCs/>
                <w:color w:val="000000"/>
                <w:szCs w:val="24"/>
              </w:rPr>
            </w:pPr>
            <w:r w:rsidRPr="009F7CC9">
              <w:rPr>
                <w:rFonts w:eastAsia="Times New Roman" w:cs="Times New Roman"/>
                <w:b/>
                <w:bCs/>
                <w:color w:val="000000"/>
                <w:szCs w:val="24"/>
              </w:rPr>
              <w:t>PC</w:t>
            </w:r>
          </w:p>
        </w:tc>
        <w:tc>
          <w:tcPr>
            <w:tcW w:w="1530" w:type="dxa"/>
            <w:shd w:val="clear" w:color="auto" w:fill="auto"/>
            <w:noWrap/>
            <w:vAlign w:val="center"/>
            <w:hideMark/>
          </w:tcPr>
          <w:p w14:paraId="0610A56E" w14:textId="77777777" w:rsidR="008E7808" w:rsidRPr="009F7CC9" w:rsidRDefault="000F5B51" w:rsidP="008E7808">
            <w:pPr>
              <w:spacing w:after="0" w:line="240" w:lineRule="auto"/>
              <w:jc w:val="center"/>
              <w:rPr>
                <w:rFonts w:eastAsia="Times New Roman" w:cs="Times New Roman"/>
                <w:color w:val="000000"/>
                <w:szCs w:val="24"/>
              </w:rPr>
            </w:pPr>
            <w:r w:rsidRPr="009F7CC9">
              <w:rPr>
                <w:rFonts w:eastAsia="Times New Roman" w:cs="Times New Roman"/>
                <w:color w:val="000000"/>
                <w:szCs w:val="24"/>
              </w:rPr>
              <w:t>Rollover</w:t>
            </w:r>
          </w:p>
        </w:tc>
        <w:tc>
          <w:tcPr>
            <w:tcW w:w="2070" w:type="dxa"/>
            <w:shd w:val="clear" w:color="auto" w:fill="auto"/>
            <w:noWrap/>
            <w:vAlign w:val="center"/>
          </w:tcPr>
          <w:p w14:paraId="47A72143" w14:textId="77777777" w:rsidR="008E7808" w:rsidRPr="009C6EFA" w:rsidRDefault="000F5B51" w:rsidP="009C6EFA">
            <w:pPr>
              <w:spacing w:after="0" w:line="240" w:lineRule="auto"/>
              <w:jc w:val="center"/>
              <w:rPr>
                <w:rFonts w:eastAsia="Times New Roman" w:cs="Times New Roman"/>
                <w:color w:val="000000"/>
                <w:szCs w:val="24"/>
              </w:rPr>
            </w:pPr>
            <w:r w:rsidRPr="0055589E">
              <w:rPr>
                <w:rFonts w:cs="Times New Roman"/>
                <w:color w:val="000000"/>
                <w:szCs w:val="24"/>
              </w:rPr>
              <w:t>121</w:t>
            </w:r>
          </w:p>
        </w:tc>
        <w:tc>
          <w:tcPr>
            <w:tcW w:w="2340" w:type="dxa"/>
            <w:shd w:val="clear" w:color="auto" w:fill="auto"/>
            <w:noWrap/>
            <w:vAlign w:val="center"/>
          </w:tcPr>
          <w:p w14:paraId="71B3D8EF" w14:textId="77777777" w:rsidR="008E7808" w:rsidRPr="009C6EFA" w:rsidRDefault="000F5B51" w:rsidP="00044F2E">
            <w:pPr>
              <w:spacing w:after="0" w:line="240" w:lineRule="auto"/>
              <w:jc w:val="center"/>
              <w:rPr>
                <w:rFonts w:eastAsia="Times New Roman" w:cs="Times New Roman"/>
                <w:color w:val="000000"/>
                <w:szCs w:val="24"/>
              </w:rPr>
            </w:pPr>
            <w:r w:rsidRPr="0055589E">
              <w:rPr>
                <w:rFonts w:cs="Times New Roman"/>
                <w:color w:val="000000"/>
                <w:szCs w:val="24"/>
              </w:rPr>
              <w:t>146</w:t>
            </w:r>
          </w:p>
        </w:tc>
        <w:tc>
          <w:tcPr>
            <w:tcW w:w="1615" w:type="dxa"/>
            <w:vAlign w:val="center"/>
          </w:tcPr>
          <w:p w14:paraId="1B96419C" w14:textId="77777777" w:rsidR="008E7808" w:rsidRPr="009C6EFA" w:rsidRDefault="000F5B51">
            <w:pPr>
              <w:spacing w:after="0" w:line="240" w:lineRule="auto"/>
              <w:jc w:val="center"/>
              <w:rPr>
                <w:rFonts w:eastAsia="Times New Roman" w:cs="Times New Roman"/>
                <w:color w:val="000000"/>
                <w:szCs w:val="24"/>
              </w:rPr>
            </w:pPr>
            <w:r w:rsidRPr="0055589E">
              <w:rPr>
                <w:rFonts w:cs="Times New Roman"/>
                <w:color w:val="000000"/>
                <w:szCs w:val="24"/>
              </w:rPr>
              <w:t>266</w:t>
            </w:r>
          </w:p>
        </w:tc>
      </w:tr>
      <w:tr w:rsidR="00A15C2C" w14:paraId="29CB7389" w14:textId="77777777" w:rsidTr="0055589E">
        <w:trPr>
          <w:trHeight w:val="290"/>
          <w:jc w:val="center"/>
        </w:trPr>
        <w:tc>
          <w:tcPr>
            <w:tcW w:w="1795" w:type="dxa"/>
            <w:vMerge/>
            <w:shd w:val="clear" w:color="auto" w:fill="auto"/>
            <w:noWrap/>
            <w:vAlign w:val="center"/>
            <w:hideMark/>
          </w:tcPr>
          <w:p w14:paraId="6CBC1B31" w14:textId="77777777" w:rsidR="008E7808" w:rsidRPr="009F7CC9" w:rsidRDefault="008E7808" w:rsidP="008E7808">
            <w:pPr>
              <w:spacing w:after="0" w:line="240" w:lineRule="auto"/>
              <w:rPr>
                <w:rFonts w:eastAsia="Times New Roman" w:cs="Times New Roman"/>
                <w:szCs w:val="24"/>
              </w:rPr>
            </w:pPr>
          </w:p>
        </w:tc>
        <w:tc>
          <w:tcPr>
            <w:tcW w:w="1530" w:type="dxa"/>
            <w:shd w:val="clear" w:color="auto" w:fill="auto"/>
            <w:noWrap/>
            <w:vAlign w:val="center"/>
            <w:hideMark/>
          </w:tcPr>
          <w:p w14:paraId="076C1CD1" w14:textId="77777777" w:rsidR="008E7808" w:rsidRPr="009F7CC9" w:rsidRDefault="000F5B51" w:rsidP="008E7808">
            <w:pPr>
              <w:spacing w:after="0" w:line="240" w:lineRule="auto"/>
              <w:jc w:val="center"/>
              <w:rPr>
                <w:rFonts w:eastAsia="Times New Roman" w:cs="Times New Roman"/>
                <w:color w:val="000000"/>
                <w:szCs w:val="24"/>
              </w:rPr>
            </w:pPr>
            <w:r w:rsidRPr="009F7CC9">
              <w:rPr>
                <w:rFonts w:eastAsia="Times New Roman" w:cs="Times New Roman"/>
                <w:color w:val="000000"/>
                <w:szCs w:val="24"/>
              </w:rPr>
              <w:t>Front</w:t>
            </w:r>
          </w:p>
        </w:tc>
        <w:tc>
          <w:tcPr>
            <w:tcW w:w="2070" w:type="dxa"/>
            <w:shd w:val="clear" w:color="auto" w:fill="auto"/>
            <w:noWrap/>
            <w:vAlign w:val="center"/>
          </w:tcPr>
          <w:p w14:paraId="599A34B2" w14:textId="77777777" w:rsidR="008E7808" w:rsidRPr="009C6EFA" w:rsidRDefault="000F5B51" w:rsidP="009C6EFA">
            <w:pPr>
              <w:spacing w:after="0" w:line="240" w:lineRule="auto"/>
              <w:jc w:val="center"/>
              <w:rPr>
                <w:rFonts w:eastAsia="Times New Roman" w:cs="Times New Roman"/>
                <w:color w:val="000000"/>
                <w:szCs w:val="24"/>
              </w:rPr>
            </w:pPr>
            <w:r w:rsidRPr="0055589E">
              <w:rPr>
                <w:rFonts w:cs="Times New Roman"/>
                <w:color w:val="000000"/>
                <w:szCs w:val="24"/>
              </w:rPr>
              <w:t>509</w:t>
            </w:r>
          </w:p>
        </w:tc>
        <w:tc>
          <w:tcPr>
            <w:tcW w:w="2340" w:type="dxa"/>
            <w:shd w:val="clear" w:color="auto" w:fill="auto"/>
            <w:noWrap/>
            <w:vAlign w:val="center"/>
          </w:tcPr>
          <w:p w14:paraId="0BE48867" w14:textId="77777777" w:rsidR="008E7808" w:rsidRPr="009C6EFA" w:rsidRDefault="000F5B51" w:rsidP="00044F2E">
            <w:pPr>
              <w:spacing w:after="0" w:line="240" w:lineRule="auto"/>
              <w:jc w:val="center"/>
              <w:rPr>
                <w:rFonts w:eastAsia="Times New Roman" w:cs="Times New Roman"/>
                <w:color w:val="000000"/>
                <w:szCs w:val="24"/>
              </w:rPr>
            </w:pPr>
            <w:r w:rsidRPr="0055589E">
              <w:rPr>
                <w:rFonts w:cs="Times New Roman"/>
                <w:color w:val="000000"/>
                <w:szCs w:val="24"/>
              </w:rPr>
              <w:t>296</w:t>
            </w:r>
          </w:p>
        </w:tc>
        <w:tc>
          <w:tcPr>
            <w:tcW w:w="1615" w:type="dxa"/>
            <w:vAlign w:val="center"/>
          </w:tcPr>
          <w:p w14:paraId="595194EF" w14:textId="77777777" w:rsidR="008E7808" w:rsidRPr="009C6EFA" w:rsidRDefault="000F5B51">
            <w:pPr>
              <w:spacing w:after="0" w:line="240" w:lineRule="auto"/>
              <w:jc w:val="center"/>
              <w:rPr>
                <w:rFonts w:eastAsia="Times New Roman" w:cs="Times New Roman"/>
                <w:color w:val="000000"/>
                <w:szCs w:val="24"/>
              </w:rPr>
            </w:pPr>
            <w:r w:rsidRPr="0055589E">
              <w:rPr>
                <w:rFonts w:cs="Times New Roman"/>
                <w:color w:val="000000"/>
                <w:szCs w:val="24"/>
              </w:rPr>
              <w:t>805</w:t>
            </w:r>
          </w:p>
        </w:tc>
      </w:tr>
      <w:tr w:rsidR="00A15C2C" w14:paraId="47CA614B" w14:textId="77777777" w:rsidTr="0055589E">
        <w:trPr>
          <w:trHeight w:val="290"/>
          <w:jc w:val="center"/>
        </w:trPr>
        <w:tc>
          <w:tcPr>
            <w:tcW w:w="1795" w:type="dxa"/>
            <w:vMerge/>
            <w:shd w:val="clear" w:color="auto" w:fill="auto"/>
            <w:noWrap/>
            <w:vAlign w:val="center"/>
            <w:hideMark/>
          </w:tcPr>
          <w:p w14:paraId="7D1C1905" w14:textId="77777777" w:rsidR="008E7808" w:rsidRPr="009F7CC9" w:rsidRDefault="008E7808" w:rsidP="008E7808">
            <w:pPr>
              <w:spacing w:after="0" w:line="240" w:lineRule="auto"/>
              <w:rPr>
                <w:rFonts w:eastAsia="Times New Roman" w:cs="Times New Roman"/>
                <w:szCs w:val="24"/>
              </w:rPr>
            </w:pPr>
          </w:p>
        </w:tc>
        <w:tc>
          <w:tcPr>
            <w:tcW w:w="1530" w:type="dxa"/>
            <w:shd w:val="clear" w:color="auto" w:fill="auto"/>
            <w:noWrap/>
            <w:vAlign w:val="center"/>
            <w:hideMark/>
          </w:tcPr>
          <w:p w14:paraId="39F8D53F" w14:textId="77777777" w:rsidR="008E7808" w:rsidRPr="009F7CC9" w:rsidRDefault="000F5B51" w:rsidP="008E7808">
            <w:pPr>
              <w:spacing w:after="0" w:line="240" w:lineRule="auto"/>
              <w:jc w:val="center"/>
              <w:rPr>
                <w:rFonts w:eastAsia="Times New Roman" w:cs="Times New Roman"/>
                <w:color w:val="000000"/>
                <w:szCs w:val="24"/>
              </w:rPr>
            </w:pPr>
            <w:r w:rsidRPr="009F7CC9">
              <w:rPr>
                <w:rFonts w:eastAsia="Times New Roman" w:cs="Times New Roman"/>
                <w:color w:val="000000"/>
                <w:szCs w:val="24"/>
              </w:rPr>
              <w:t>Side</w:t>
            </w:r>
          </w:p>
        </w:tc>
        <w:tc>
          <w:tcPr>
            <w:tcW w:w="2070" w:type="dxa"/>
            <w:shd w:val="clear" w:color="auto" w:fill="auto"/>
            <w:noWrap/>
            <w:vAlign w:val="center"/>
          </w:tcPr>
          <w:p w14:paraId="1A199241" w14:textId="77777777" w:rsidR="008E7808" w:rsidRPr="009C6EFA" w:rsidRDefault="000F5B51" w:rsidP="009C6EFA">
            <w:pPr>
              <w:spacing w:after="0" w:line="240" w:lineRule="auto"/>
              <w:jc w:val="center"/>
              <w:rPr>
                <w:rFonts w:eastAsia="Times New Roman" w:cs="Times New Roman"/>
                <w:color w:val="000000"/>
                <w:szCs w:val="24"/>
              </w:rPr>
            </w:pPr>
            <w:r w:rsidRPr="0055589E">
              <w:rPr>
                <w:rFonts w:cs="Times New Roman"/>
                <w:color w:val="000000"/>
                <w:szCs w:val="24"/>
              </w:rPr>
              <w:t>373</w:t>
            </w:r>
          </w:p>
        </w:tc>
        <w:tc>
          <w:tcPr>
            <w:tcW w:w="2340" w:type="dxa"/>
            <w:shd w:val="clear" w:color="auto" w:fill="auto"/>
            <w:noWrap/>
            <w:vAlign w:val="center"/>
          </w:tcPr>
          <w:p w14:paraId="620C7C36" w14:textId="77777777" w:rsidR="008E7808" w:rsidRPr="009C6EFA" w:rsidRDefault="000F5B51" w:rsidP="00044F2E">
            <w:pPr>
              <w:spacing w:after="0" w:line="240" w:lineRule="auto"/>
              <w:jc w:val="center"/>
              <w:rPr>
                <w:rFonts w:eastAsia="Times New Roman" w:cs="Times New Roman"/>
                <w:color w:val="000000"/>
                <w:szCs w:val="24"/>
              </w:rPr>
            </w:pPr>
            <w:r w:rsidRPr="0055589E">
              <w:rPr>
                <w:rFonts w:cs="Times New Roman"/>
                <w:color w:val="000000"/>
                <w:szCs w:val="24"/>
              </w:rPr>
              <w:t>132</w:t>
            </w:r>
          </w:p>
        </w:tc>
        <w:tc>
          <w:tcPr>
            <w:tcW w:w="1615" w:type="dxa"/>
            <w:vAlign w:val="center"/>
          </w:tcPr>
          <w:p w14:paraId="14061117" w14:textId="77777777" w:rsidR="008E7808" w:rsidRPr="009C6EFA" w:rsidRDefault="000F5B51">
            <w:pPr>
              <w:spacing w:after="0" w:line="240" w:lineRule="auto"/>
              <w:jc w:val="center"/>
              <w:rPr>
                <w:rFonts w:eastAsia="Times New Roman" w:cs="Times New Roman"/>
                <w:color w:val="000000"/>
                <w:szCs w:val="24"/>
              </w:rPr>
            </w:pPr>
            <w:r w:rsidRPr="0055589E">
              <w:rPr>
                <w:rFonts w:cs="Times New Roman"/>
                <w:color w:val="000000"/>
                <w:szCs w:val="24"/>
              </w:rPr>
              <w:t>505</w:t>
            </w:r>
          </w:p>
        </w:tc>
      </w:tr>
      <w:tr w:rsidR="00A15C2C" w14:paraId="21300CDC" w14:textId="77777777" w:rsidTr="0055589E">
        <w:trPr>
          <w:trHeight w:val="290"/>
          <w:jc w:val="center"/>
        </w:trPr>
        <w:tc>
          <w:tcPr>
            <w:tcW w:w="1795" w:type="dxa"/>
            <w:vMerge/>
            <w:shd w:val="clear" w:color="auto" w:fill="auto"/>
            <w:noWrap/>
            <w:vAlign w:val="center"/>
            <w:hideMark/>
          </w:tcPr>
          <w:p w14:paraId="3A034E17" w14:textId="77777777" w:rsidR="008E7808" w:rsidRPr="009F7CC9" w:rsidRDefault="008E7808" w:rsidP="008E7808">
            <w:pPr>
              <w:spacing w:after="0" w:line="240" w:lineRule="auto"/>
              <w:rPr>
                <w:rFonts w:eastAsia="Times New Roman" w:cs="Times New Roman"/>
                <w:szCs w:val="24"/>
              </w:rPr>
            </w:pPr>
          </w:p>
        </w:tc>
        <w:tc>
          <w:tcPr>
            <w:tcW w:w="1530" w:type="dxa"/>
            <w:shd w:val="clear" w:color="auto" w:fill="auto"/>
            <w:noWrap/>
            <w:vAlign w:val="center"/>
            <w:hideMark/>
          </w:tcPr>
          <w:p w14:paraId="2BD7AC03" w14:textId="77777777" w:rsidR="008E7808" w:rsidRPr="009F7CC9" w:rsidRDefault="000F5B51" w:rsidP="008E7808">
            <w:pPr>
              <w:spacing w:after="0" w:line="240" w:lineRule="auto"/>
              <w:jc w:val="center"/>
              <w:rPr>
                <w:rFonts w:eastAsia="Times New Roman" w:cs="Times New Roman"/>
                <w:color w:val="000000"/>
                <w:szCs w:val="24"/>
              </w:rPr>
            </w:pPr>
            <w:r w:rsidRPr="009F7CC9">
              <w:rPr>
                <w:rFonts w:eastAsia="Times New Roman" w:cs="Times New Roman"/>
                <w:color w:val="000000"/>
                <w:szCs w:val="24"/>
              </w:rPr>
              <w:t>Rear</w:t>
            </w:r>
          </w:p>
        </w:tc>
        <w:tc>
          <w:tcPr>
            <w:tcW w:w="2070" w:type="dxa"/>
            <w:shd w:val="clear" w:color="auto" w:fill="auto"/>
            <w:noWrap/>
            <w:vAlign w:val="center"/>
          </w:tcPr>
          <w:p w14:paraId="0BEEB8E6" w14:textId="77777777" w:rsidR="008E7808" w:rsidRPr="009C6EFA" w:rsidRDefault="000F5B51" w:rsidP="009C6EFA">
            <w:pPr>
              <w:spacing w:after="0" w:line="240" w:lineRule="auto"/>
              <w:jc w:val="center"/>
              <w:rPr>
                <w:rFonts w:eastAsia="Times New Roman" w:cs="Times New Roman"/>
                <w:color w:val="000000"/>
                <w:szCs w:val="24"/>
              </w:rPr>
            </w:pPr>
            <w:r w:rsidRPr="0055589E">
              <w:rPr>
                <w:rFonts w:cs="Times New Roman"/>
                <w:color w:val="000000"/>
                <w:szCs w:val="24"/>
              </w:rPr>
              <w:t>72</w:t>
            </w:r>
          </w:p>
        </w:tc>
        <w:tc>
          <w:tcPr>
            <w:tcW w:w="2340" w:type="dxa"/>
            <w:shd w:val="clear" w:color="auto" w:fill="auto"/>
            <w:noWrap/>
            <w:vAlign w:val="center"/>
          </w:tcPr>
          <w:p w14:paraId="6037FFCF" w14:textId="77777777" w:rsidR="008E7808" w:rsidRPr="009C6EFA" w:rsidRDefault="000F5B51" w:rsidP="00044F2E">
            <w:pPr>
              <w:spacing w:after="0" w:line="240" w:lineRule="auto"/>
              <w:jc w:val="center"/>
              <w:rPr>
                <w:rFonts w:eastAsia="Times New Roman" w:cs="Times New Roman"/>
                <w:color w:val="000000"/>
                <w:szCs w:val="24"/>
              </w:rPr>
            </w:pPr>
            <w:r w:rsidRPr="0055589E">
              <w:rPr>
                <w:rFonts w:cs="Times New Roman"/>
                <w:color w:val="000000"/>
                <w:szCs w:val="24"/>
              </w:rPr>
              <w:t>28</w:t>
            </w:r>
          </w:p>
        </w:tc>
        <w:tc>
          <w:tcPr>
            <w:tcW w:w="1615" w:type="dxa"/>
            <w:vAlign w:val="center"/>
          </w:tcPr>
          <w:p w14:paraId="5F5D8123" w14:textId="77777777" w:rsidR="008E7808" w:rsidRPr="009C6EFA" w:rsidRDefault="000F5B51">
            <w:pPr>
              <w:spacing w:after="0" w:line="240" w:lineRule="auto"/>
              <w:jc w:val="center"/>
              <w:rPr>
                <w:rFonts w:eastAsia="Times New Roman" w:cs="Times New Roman"/>
                <w:color w:val="000000"/>
                <w:szCs w:val="24"/>
              </w:rPr>
            </w:pPr>
            <w:r w:rsidRPr="0055589E">
              <w:rPr>
                <w:rFonts w:cs="Times New Roman"/>
                <w:color w:val="000000"/>
                <w:szCs w:val="24"/>
              </w:rPr>
              <w:t>100</w:t>
            </w:r>
          </w:p>
        </w:tc>
      </w:tr>
      <w:tr w:rsidR="00A15C2C" w14:paraId="2200EA27" w14:textId="77777777" w:rsidTr="0055589E">
        <w:trPr>
          <w:trHeight w:val="290"/>
          <w:jc w:val="center"/>
        </w:trPr>
        <w:tc>
          <w:tcPr>
            <w:tcW w:w="1795" w:type="dxa"/>
            <w:vMerge/>
            <w:shd w:val="clear" w:color="auto" w:fill="auto"/>
            <w:noWrap/>
            <w:vAlign w:val="center"/>
            <w:hideMark/>
          </w:tcPr>
          <w:p w14:paraId="4B6A1209" w14:textId="77777777" w:rsidR="008E7808" w:rsidRPr="009F7CC9" w:rsidRDefault="008E7808" w:rsidP="008E7808">
            <w:pPr>
              <w:spacing w:after="0" w:line="240" w:lineRule="auto"/>
              <w:rPr>
                <w:rFonts w:eastAsia="Times New Roman" w:cs="Times New Roman"/>
                <w:szCs w:val="24"/>
              </w:rPr>
            </w:pPr>
          </w:p>
        </w:tc>
        <w:tc>
          <w:tcPr>
            <w:tcW w:w="1530" w:type="dxa"/>
            <w:shd w:val="clear" w:color="auto" w:fill="auto"/>
            <w:noWrap/>
            <w:vAlign w:val="center"/>
            <w:hideMark/>
          </w:tcPr>
          <w:p w14:paraId="3F42D35D" w14:textId="77777777" w:rsidR="008E7808" w:rsidRPr="00934F2C" w:rsidRDefault="000F5B51" w:rsidP="008E7808">
            <w:pPr>
              <w:spacing w:after="0" w:line="240" w:lineRule="auto"/>
              <w:jc w:val="center"/>
              <w:rPr>
                <w:rFonts w:eastAsia="Times New Roman" w:cs="Times New Roman"/>
                <w:b/>
                <w:bCs/>
                <w:color w:val="000000"/>
                <w:szCs w:val="24"/>
              </w:rPr>
            </w:pPr>
            <w:r w:rsidRPr="00934F2C">
              <w:rPr>
                <w:rFonts w:eastAsia="Times New Roman" w:cs="Times New Roman"/>
                <w:b/>
                <w:bCs/>
                <w:color w:val="000000"/>
                <w:szCs w:val="24"/>
              </w:rPr>
              <w:t>Total</w:t>
            </w:r>
          </w:p>
        </w:tc>
        <w:tc>
          <w:tcPr>
            <w:tcW w:w="2070" w:type="dxa"/>
            <w:shd w:val="clear" w:color="auto" w:fill="auto"/>
            <w:noWrap/>
            <w:vAlign w:val="center"/>
          </w:tcPr>
          <w:p w14:paraId="01B36670" w14:textId="77777777" w:rsidR="008E7808" w:rsidRPr="009C6EFA" w:rsidRDefault="000F5B51" w:rsidP="009C6EFA">
            <w:pPr>
              <w:spacing w:after="0" w:line="240" w:lineRule="auto"/>
              <w:jc w:val="center"/>
              <w:rPr>
                <w:rFonts w:eastAsia="Times New Roman" w:cs="Times New Roman"/>
                <w:b/>
                <w:bCs/>
                <w:color w:val="000000"/>
                <w:szCs w:val="24"/>
              </w:rPr>
            </w:pPr>
            <w:r w:rsidRPr="0055589E">
              <w:rPr>
                <w:rFonts w:cs="Times New Roman"/>
                <w:b/>
                <w:bCs/>
                <w:color w:val="000000"/>
                <w:szCs w:val="24"/>
              </w:rPr>
              <w:t>1,074</w:t>
            </w:r>
          </w:p>
        </w:tc>
        <w:tc>
          <w:tcPr>
            <w:tcW w:w="2340" w:type="dxa"/>
            <w:shd w:val="clear" w:color="auto" w:fill="auto"/>
            <w:noWrap/>
            <w:vAlign w:val="center"/>
          </w:tcPr>
          <w:p w14:paraId="5A6D8D62" w14:textId="77777777" w:rsidR="008E7808" w:rsidRPr="009C6EFA" w:rsidRDefault="000F5B51" w:rsidP="00044F2E">
            <w:pPr>
              <w:spacing w:after="0" w:line="240" w:lineRule="auto"/>
              <w:jc w:val="center"/>
              <w:rPr>
                <w:rFonts w:eastAsia="Times New Roman" w:cs="Times New Roman"/>
                <w:b/>
                <w:bCs/>
                <w:color w:val="000000"/>
                <w:szCs w:val="24"/>
              </w:rPr>
            </w:pPr>
            <w:r w:rsidRPr="0055589E">
              <w:rPr>
                <w:rFonts w:cs="Times New Roman"/>
                <w:b/>
                <w:bCs/>
                <w:color w:val="000000"/>
                <w:szCs w:val="24"/>
              </w:rPr>
              <w:t>602</w:t>
            </w:r>
          </w:p>
        </w:tc>
        <w:tc>
          <w:tcPr>
            <w:tcW w:w="1615" w:type="dxa"/>
            <w:vAlign w:val="center"/>
          </w:tcPr>
          <w:p w14:paraId="37D5D95F" w14:textId="77777777" w:rsidR="008E7808" w:rsidRPr="00555757" w:rsidRDefault="000F5B51">
            <w:pPr>
              <w:spacing w:after="0" w:line="240" w:lineRule="auto"/>
              <w:jc w:val="center"/>
              <w:rPr>
                <w:rFonts w:eastAsia="Times New Roman" w:cs="Times New Roman"/>
                <w:b/>
                <w:bCs/>
                <w:color w:val="000000"/>
                <w:szCs w:val="24"/>
              </w:rPr>
            </w:pPr>
            <w:r w:rsidRPr="00555757">
              <w:rPr>
                <w:rFonts w:cs="Times New Roman"/>
                <w:b/>
                <w:bCs/>
                <w:color w:val="000000"/>
                <w:szCs w:val="24"/>
              </w:rPr>
              <w:t>1,676</w:t>
            </w:r>
          </w:p>
        </w:tc>
      </w:tr>
      <w:tr w:rsidR="00A15C2C" w14:paraId="09992191" w14:textId="77777777" w:rsidTr="0055589E">
        <w:trPr>
          <w:trHeight w:val="290"/>
          <w:jc w:val="center"/>
        </w:trPr>
        <w:tc>
          <w:tcPr>
            <w:tcW w:w="1795" w:type="dxa"/>
            <w:vMerge w:val="restart"/>
            <w:shd w:val="clear" w:color="auto" w:fill="auto"/>
            <w:noWrap/>
            <w:vAlign w:val="center"/>
            <w:hideMark/>
          </w:tcPr>
          <w:p w14:paraId="1823AF70" w14:textId="77777777" w:rsidR="008E7808" w:rsidRPr="009F7CC9" w:rsidRDefault="000F5B51" w:rsidP="008E7808">
            <w:pPr>
              <w:spacing w:after="0" w:line="240" w:lineRule="auto"/>
              <w:rPr>
                <w:rFonts w:eastAsia="Times New Roman" w:cs="Times New Roman"/>
                <w:b/>
                <w:bCs/>
                <w:color w:val="000000"/>
                <w:szCs w:val="24"/>
              </w:rPr>
            </w:pPr>
            <w:r w:rsidRPr="009F7CC9">
              <w:rPr>
                <w:rFonts w:eastAsia="Times New Roman" w:cs="Times New Roman"/>
                <w:b/>
                <w:bCs/>
                <w:color w:val="000000"/>
                <w:szCs w:val="24"/>
              </w:rPr>
              <w:t>LTV</w:t>
            </w:r>
          </w:p>
        </w:tc>
        <w:tc>
          <w:tcPr>
            <w:tcW w:w="1530" w:type="dxa"/>
            <w:shd w:val="clear" w:color="auto" w:fill="auto"/>
            <w:noWrap/>
            <w:vAlign w:val="center"/>
            <w:hideMark/>
          </w:tcPr>
          <w:p w14:paraId="2C0E2A4A" w14:textId="77777777" w:rsidR="008E7808" w:rsidRPr="009F7CC9" w:rsidRDefault="000F5B51" w:rsidP="008E7808">
            <w:pPr>
              <w:spacing w:after="0" w:line="240" w:lineRule="auto"/>
              <w:jc w:val="center"/>
              <w:rPr>
                <w:rFonts w:eastAsia="Times New Roman" w:cs="Times New Roman"/>
                <w:color w:val="000000"/>
                <w:szCs w:val="24"/>
              </w:rPr>
            </w:pPr>
            <w:r w:rsidRPr="009F7CC9">
              <w:rPr>
                <w:rFonts w:eastAsia="Times New Roman" w:cs="Times New Roman"/>
                <w:color w:val="000000"/>
                <w:szCs w:val="24"/>
              </w:rPr>
              <w:t>Rollover</w:t>
            </w:r>
          </w:p>
        </w:tc>
        <w:tc>
          <w:tcPr>
            <w:tcW w:w="2070" w:type="dxa"/>
            <w:shd w:val="clear" w:color="auto" w:fill="auto"/>
            <w:noWrap/>
            <w:vAlign w:val="center"/>
          </w:tcPr>
          <w:p w14:paraId="3679211D" w14:textId="77777777" w:rsidR="008E7808" w:rsidRPr="009C6EFA" w:rsidRDefault="000F5B51" w:rsidP="009C6EFA">
            <w:pPr>
              <w:spacing w:after="0" w:line="240" w:lineRule="auto"/>
              <w:jc w:val="center"/>
              <w:rPr>
                <w:rFonts w:eastAsia="Times New Roman" w:cs="Times New Roman"/>
                <w:color w:val="000000"/>
                <w:szCs w:val="24"/>
              </w:rPr>
            </w:pPr>
            <w:r w:rsidRPr="0055589E">
              <w:rPr>
                <w:rFonts w:cs="Times New Roman"/>
                <w:color w:val="000000"/>
                <w:szCs w:val="24"/>
              </w:rPr>
              <w:t>120</w:t>
            </w:r>
          </w:p>
        </w:tc>
        <w:tc>
          <w:tcPr>
            <w:tcW w:w="2340" w:type="dxa"/>
            <w:shd w:val="clear" w:color="auto" w:fill="auto"/>
            <w:noWrap/>
            <w:vAlign w:val="center"/>
          </w:tcPr>
          <w:p w14:paraId="5FF83345" w14:textId="77777777" w:rsidR="008E7808" w:rsidRPr="009C6EFA" w:rsidRDefault="000F5B51" w:rsidP="00044F2E">
            <w:pPr>
              <w:spacing w:after="0" w:line="240" w:lineRule="auto"/>
              <w:jc w:val="center"/>
              <w:rPr>
                <w:rFonts w:eastAsia="Times New Roman" w:cs="Times New Roman"/>
                <w:color w:val="000000"/>
                <w:szCs w:val="24"/>
              </w:rPr>
            </w:pPr>
            <w:r w:rsidRPr="0055589E">
              <w:rPr>
                <w:rFonts w:cs="Times New Roman"/>
                <w:color w:val="000000"/>
                <w:szCs w:val="24"/>
              </w:rPr>
              <w:t>219</w:t>
            </w:r>
          </w:p>
        </w:tc>
        <w:tc>
          <w:tcPr>
            <w:tcW w:w="1615" w:type="dxa"/>
            <w:vAlign w:val="center"/>
          </w:tcPr>
          <w:p w14:paraId="4FD3C0D2" w14:textId="77777777" w:rsidR="008E7808" w:rsidRPr="009C6EFA" w:rsidRDefault="000F5B51">
            <w:pPr>
              <w:spacing w:after="0" w:line="240" w:lineRule="auto"/>
              <w:jc w:val="center"/>
              <w:rPr>
                <w:rFonts w:eastAsia="Times New Roman" w:cs="Times New Roman"/>
                <w:color w:val="000000"/>
                <w:szCs w:val="24"/>
              </w:rPr>
            </w:pPr>
            <w:r w:rsidRPr="0055589E">
              <w:rPr>
                <w:rFonts w:cs="Times New Roman"/>
                <w:color w:val="000000"/>
                <w:szCs w:val="24"/>
              </w:rPr>
              <w:t>339</w:t>
            </w:r>
          </w:p>
        </w:tc>
      </w:tr>
      <w:tr w:rsidR="00A15C2C" w14:paraId="3C583D49" w14:textId="77777777" w:rsidTr="0055589E">
        <w:trPr>
          <w:trHeight w:val="290"/>
          <w:jc w:val="center"/>
        </w:trPr>
        <w:tc>
          <w:tcPr>
            <w:tcW w:w="1795" w:type="dxa"/>
            <w:vMerge/>
            <w:shd w:val="clear" w:color="auto" w:fill="auto"/>
            <w:noWrap/>
            <w:vAlign w:val="center"/>
            <w:hideMark/>
          </w:tcPr>
          <w:p w14:paraId="52A97305" w14:textId="77777777" w:rsidR="008E7808" w:rsidRPr="009F7CC9" w:rsidRDefault="008E7808" w:rsidP="008E7808">
            <w:pPr>
              <w:spacing w:after="0" w:line="240" w:lineRule="auto"/>
              <w:rPr>
                <w:rFonts w:eastAsia="Times New Roman" w:cs="Times New Roman"/>
                <w:szCs w:val="24"/>
              </w:rPr>
            </w:pPr>
          </w:p>
        </w:tc>
        <w:tc>
          <w:tcPr>
            <w:tcW w:w="1530" w:type="dxa"/>
            <w:shd w:val="clear" w:color="auto" w:fill="auto"/>
            <w:noWrap/>
            <w:vAlign w:val="center"/>
            <w:hideMark/>
          </w:tcPr>
          <w:p w14:paraId="49AE5B43" w14:textId="77777777" w:rsidR="008E7808" w:rsidRPr="009F7CC9" w:rsidRDefault="000F5B51" w:rsidP="008E7808">
            <w:pPr>
              <w:spacing w:after="0" w:line="240" w:lineRule="auto"/>
              <w:jc w:val="center"/>
              <w:rPr>
                <w:rFonts w:eastAsia="Times New Roman" w:cs="Times New Roman"/>
                <w:color w:val="000000"/>
                <w:szCs w:val="24"/>
              </w:rPr>
            </w:pPr>
            <w:r w:rsidRPr="009F7CC9">
              <w:rPr>
                <w:rFonts w:eastAsia="Times New Roman" w:cs="Times New Roman"/>
                <w:color w:val="000000"/>
                <w:szCs w:val="24"/>
              </w:rPr>
              <w:t>Front</w:t>
            </w:r>
          </w:p>
        </w:tc>
        <w:tc>
          <w:tcPr>
            <w:tcW w:w="2070" w:type="dxa"/>
            <w:shd w:val="clear" w:color="auto" w:fill="auto"/>
            <w:noWrap/>
            <w:vAlign w:val="center"/>
          </w:tcPr>
          <w:p w14:paraId="40EFE804" w14:textId="77777777" w:rsidR="008E7808" w:rsidRPr="009C6EFA" w:rsidRDefault="000F5B51" w:rsidP="009C6EFA">
            <w:pPr>
              <w:spacing w:after="0" w:line="240" w:lineRule="auto"/>
              <w:jc w:val="center"/>
              <w:rPr>
                <w:rFonts w:eastAsia="Times New Roman" w:cs="Times New Roman"/>
                <w:color w:val="000000"/>
                <w:szCs w:val="24"/>
              </w:rPr>
            </w:pPr>
            <w:r w:rsidRPr="0055589E">
              <w:rPr>
                <w:rFonts w:cs="Times New Roman"/>
                <w:color w:val="000000"/>
                <w:szCs w:val="24"/>
              </w:rPr>
              <w:t>257</w:t>
            </w:r>
          </w:p>
        </w:tc>
        <w:tc>
          <w:tcPr>
            <w:tcW w:w="2340" w:type="dxa"/>
            <w:shd w:val="clear" w:color="auto" w:fill="auto"/>
            <w:noWrap/>
            <w:vAlign w:val="center"/>
          </w:tcPr>
          <w:p w14:paraId="4EA4B0A7" w14:textId="77777777" w:rsidR="008E7808" w:rsidRPr="009C6EFA" w:rsidRDefault="000F5B51" w:rsidP="00044F2E">
            <w:pPr>
              <w:spacing w:after="0" w:line="240" w:lineRule="auto"/>
              <w:jc w:val="center"/>
              <w:rPr>
                <w:rFonts w:eastAsia="Times New Roman" w:cs="Times New Roman"/>
                <w:color w:val="000000"/>
                <w:szCs w:val="24"/>
              </w:rPr>
            </w:pPr>
            <w:r w:rsidRPr="0055589E">
              <w:rPr>
                <w:rFonts w:cs="Times New Roman"/>
                <w:color w:val="000000"/>
                <w:szCs w:val="24"/>
              </w:rPr>
              <w:t>191</w:t>
            </w:r>
          </w:p>
        </w:tc>
        <w:tc>
          <w:tcPr>
            <w:tcW w:w="1615" w:type="dxa"/>
            <w:vAlign w:val="center"/>
          </w:tcPr>
          <w:p w14:paraId="1F19D049" w14:textId="77777777" w:rsidR="008E7808" w:rsidRPr="009C6EFA" w:rsidRDefault="000F5B51">
            <w:pPr>
              <w:spacing w:after="0" w:line="240" w:lineRule="auto"/>
              <w:jc w:val="center"/>
              <w:rPr>
                <w:rFonts w:eastAsia="Times New Roman" w:cs="Times New Roman"/>
                <w:color w:val="000000"/>
                <w:szCs w:val="24"/>
              </w:rPr>
            </w:pPr>
            <w:r w:rsidRPr="0055589E">
              <w:rPr>
                <w:rFonts w:cs="Times New Roman"/>
                <w:color w:val="000000"/>
                <w:szCs w:val="24"/>
              </w:rPr>
              <w:t>448</w:t>
            </w:r>
          </w:p>
        </w:tc>
      </w:tr>
      <w:tr w:rsidR="00A15C2C" w14:paraId="10375F74" w14:textId="77777777" w:rsidTr="0055589E">
        <w:trPr>
          <w:trHeight w:val="290"/>
          <w:jc w:val="center"/>
        </w:trPr>
        <w:tc>
          <w:tcPr>
            <w:tcW w:w="1795" w:type="dxa"/>
            <w:vMerge/>
            <w:shd w:val="clear" w:color="auto" w:fill="auto"/>
            <w:noWrap/>
            <w:vAlign w:val="center"/>
            <w:hideMark/>
          </w:tcPr>
          <w:p w14:paraId="2033FF46" w14:textId="77777777" w:rsidR="008E7808" w:rsidRPr="009F7CC9" w:rsidRDefault="008E7808" w:rsidP="008E7808">
            <w:pPr>
              <w:spacing w:after="0" w:line="240" w:lineRule="auto"/>
              <w:rPr>
                <w:rFonts w:eastAsia="Times New Roman" w:cs="Times New Roman"/>
                <w:szCs w:val="24"/>
              </w:rPr>
            </w:pPr>
          </w:p>
        </w:tc>
        <w:tc>
          <w:tcPr>
            <w:tcW w:w="1530" w:type="dxa"/>
            <w:shd w:val="clear" w:color="auto" w:fill="auto"/>
            <w:noWrap/>
            <w:vAlign w:val="center"/>
            <w:hideMark/>
          </w:tcPr>
          <w:p w14:paraId="05D4ED89" w14:textId="77777777" w:rsidR="008E7808" w:rsidRPr="009F7CC9" w:rsidRDefault="000F5B51" w:rsidP="008E7808">
            <w:pPr>
              <w:spacing w:after="0" w:line="240" w:lineRule="auto"/>
              <w:jc w:val="center"/>
              <w:rPr>
                <w:rFonts w:eastAsia="Times New Roman" w:cs="Times New Roman"/>
                <w:color w:val="000000"/>
                <w:szCs w:val="24"/>
              </w:rPr>
            </w:pPr>
            <w:r w:rsidRPr="009F7CC9">
              <w:rPr>
                <w:rFonts w:eastAsia="Times New Roman" w:cs="Times New Roman"/>
                <w:color w:val="000000"/>
                <w:szCs w:val="24"/>
              </w:rPr>
              <w:t>Side</w:t>
            </w:r>
          </w:p>
        </w:tc>
        <w:tc>
          <w:tcPr>
            <w:tcW w:w="2070" w:type="dxa"/>
            <w:shd w:val="clear" w:color="auto" w:fill="auto"/>
            <w:noWrap/>
            <w:vAlign w:val="center"/>
          </w:tcPr>
          <w:p w14:paraId="54A950B9" w14:textId="77777777" w:rsidR="008E7808" w:rsidRPr="009C6EFA" w:rsidRDefault="000F5B51" w:rsidP="009C6EFA">
            <w:pPr>
              <w:spacing w:after="0" w:line="240" w:lineRule="auto"/>
              <w:jc w:val="center"/>
              <w:rPr>
                <w:rFonts w:eastAsia="Times New Roman" w:cs="Times New Roman"/>
                <w:color w:val="000000"/>
                <w:szCs w:val="24"/>
              </w:rPr>
            </w:pPr>
            <w:r w:rsidRPr="0055589E">
              <w:rPr>
                <w:rFonts w:cs="Times New Roman"/>
                <w:color w:val="000000"/>
                <w:szCs w:val="24"/>
              </w:rPr>
              <w:t>99</w:t>
            </w:r>
          </w:p>
        </w:tc>
        <w:tc>
          <w:tcPr>
            <w:tcW w:w="2340" w:type="dxa"/>
            <w:shd w:val="clear" w:color="auto" w:fill="auto"/>
            <w:noWrap/>
            <w:vAlign w:val="center"/>
          </w:tcPr>
          <w:p w14:paraId="7E8AACA2" w14:textId="77777777" w:rsidR="008E7808" w:rsidRPr="009C6EFA" w:rsidRDefault="000F5B51" w:rsidP="00044F2E">
            <w:pPr>
              <w:spacing w:after="0" w:line="240" w:lineRule="auto"/>
              <w:jc w:val="center"/>
              <w:rPr>
                <w:rFonts w:eastAsia="Times New Roman" w:cs="Times New Roman"/>
                <w:color w:val="000000"/>
                <w:szCs w:val="24"/>
              </w:rPr>
            </w:pPr>
            <w:r w:rsidRPr="0055589E">
              <w:rPr>
                <w:rFonts w:cs="Times New Roman"/>
                <w:color w:val="000000"/>
                <w:szCs w:val="24"/>
              </w:rPr>
              <w:t>53</w:t>
            </w:r>
          </w:p>
        </w:tc>
        <w:tc>
          <w:tcPr>
            <w:tcW w:w="1615" w:type="dxa"/>
            <w:vAlign w:val="center"/>
          </w:tcPr>
          <w:p w14:paraId="290DC47B" w14:textId="77777777" w:rsidR="008E7808" w:rsidRPr="009C6EFA" w:rsidRDefault="000F5B51">
            <w:pPr>
              <w:spacing w:after="0" w:line="240" w:lineRule="auto"/>
              <w:jc w:val="center"/>
              <w:rPr>
                <w:rFonts w:eastAsia="Times New Roman" w:cs="Times New Roman"/>
                <w:color w:val="000000"/>
                <w:szCs w:val="24"/>
              </w:rPr>
            </w:pPr>
            <w:r w:rsidRPr="0055589E">
              <w:rPr>
                <w:rFonts w:cs="Times New Roman"/>
                <w:color w:val="000000"/>
                <w:szCs w:val="24"/>
              </w:rPr>
              <w:t>152</w:t>
            </w:r>
          </w:p>
        </w:tc>
      </w:tr>
      <w:tr w:rsidR="00A15C2C" w14:paraId="4498B546" w14:textId="77777777" w:rsidTr="0055589E">
        <w:trPr>
          <w:trHeight w:val="290"/>
          <w:jc w:val="center"/>
        </w:trPr>
        <w:tc>
          <w:tcPr>
            <w:tcW w:w="1795" w:type="dxa"/>
            <w:vMerge/>
            <w:shd w:val="clear" w:color="auto" w:fill="auto"/>
            <w:noWrap/>
            <w:vAlign w:val="center"/>
            <w:hideMark/>
          </w:tcPr>
          <w:p w14:paraId="3755A488" w14:textId="77777777" w:rsidR="008E7808" w:rsidRPr="009F7CC9" w:rsidRDefault="008E7808" w:rsidP="008E7808">
            <w:pPr>
              <w:spacing w:after="0" w:line="240" w:lineRule="auto"/>
              <w:rPr>
                <w:rFonts w:eastAsia="Times New Roman" w:cs="Times New Roman"/>
                <w:szCs w:val="24"/>
              </w:rPr>
            </w:pPr>
          </w:p>
        </w:tc>
        <w:tc>
          <w:tcPr>
            <w:tcW w:w="1530" w:type="dxa"/>
            <w:shd w:val="clear" w:color="auto" w:fill="auto"/>
            <w:noWrap/>
            <w:vAlign w:val="center"/>
            <w:hideMark/>
          </w:tcPr>
          <w:p w14:paraId="6B95C281" w14:textId="77777777" w:rsidR="008E7808" w:rsidRPr="009F7CC9" w:rsidRDefault="000F5B51" w:rsidP="008E7808">
            <w:pPr>
              <w:spacing w:after="0" w:line="240" w:lineRule="auto"/>
              <w:jc w:val="center"/>
              <w:rPr>
                <w:rFonts w:eastAsia="Times New Roman" w:cs="Times New Roman"/>
                <w:color w:val="000000"/>
                <w:szCs w:val="24"/>
              </w:rPr>
            </w:pPr>
            <w:r w:rsidRPr="009F7CC9">
              <w:rPr>
                <w:rFonts w:eastAsia="Times New Roman" w:cs="Times New Roman"/>
                <w:color w:val="000000"/>
                <w:szCs w:val="24"/>
              </w:rPr>
              <w:t>Rear</w:t>
            </w:r>
          </w:p>
        </w:tc>
        <w:tc>
          <w:tcPr>
            <w:tcW w:w="2070" w:type="dxa"/>
            <w:shd w:val="clear" w:color="auto" w:fill="auto"/>
            <w:noWrap/>
            <w:vAlign w:val="center"/>
          </w:tcPr>
          <w:p w14:paraId="6B53CB8B" w14:textId="77777777" w:rsidR="008E7808" w:rsidRPr="009C6EFA" w:rsidRDefault="000F5B51" w:rsidP="009C6EFA">
            <w:pPr>
              <w:spacing w:after="0" w:line="240" w:lineRule="auto"/>
              <w:jc w:val="center"/>
              <w:rPr>
                <w:rFonts w:eastAsia="Times New Roman" w:cs="Times New Roman"/>
                <w:color w:val="000000"/>
                <w:szCs w:val="24"/>
              </w:rPr>
            </w:pPr>
            <w:r w:rsidRPr="0055589E">
              <w:rPr>
                <w:rFonts w:cs="Times New Roman"/>
                <w:color w:val="000000"/>
                <w:szCs w:val="24"/>
              </w:rPr>
              <w:t>32</w:t>
            </w:r>
          </w:p>
        </w:tc>
        <w:tc>
          <w:tcPr>
            <w:tcW w:w="2340" w:type="dxa"/>
            <w:shd w:val="clear" w:color="auto" w:fill="auto"/>
            <w:noWrap/>
            <w:vAlign w:val="center"/>
          </w:tcPr>
          <w:p w14:paraId="08B476EE" w14:textId="77777777" w:rsidR="008E7808" w:rsidRPr="009C6EFA" w:rsidRDefault="000F5B51" w:rsidP="00044F2E">
            <w:pPr>
              <w:spacing w:after="0" w:line="240" w:lineRule="auto"/>
              <w:jc w:val="center"/>
              <w:rPr>
                <w:rFonts w:eastAsia="Times New Roman" w:cs="Times New Roman"/>
                <w:color w:val="000000"/>
                <w:szCs w:val="24"/>
              </w:rPr>
            </w:pPr>
            <w:r w:rsidRPr="0055589E">
              <w:rPr>
                <w:rFonts w:cs="Times New Roman"/>
                <w:color w:val="000000"/>
                <w:szCs w:val="24"/>
              </w:rPr>
              <w:t>12</w:t>
            </w:r>
          </w:p>
        </w:tc>
        <w:tc>
          <w:tcPr>
            <w:tcW w:w="1615" w:type="dxa"/>
            <w:vAlign w:val="center"/>
          </w:tcPr>
          <w:p w14:paraId="0E433D70" w14:textId="77777777" w:rsidR="008E7808" w:rsidRPr="009C6EFA" w:rsidRDefault="000F5B51">
            <w:pPr>
              <w:spacing w:after="0" w:line="240" w:lineRule="auto"/>
              <w:jc w:val="center"/>
              <w:rPr>
                <w:rFonts w:eastAsia="Times New Roman" w:cs="Times New Roman"/>
                <w:color w:val="000000"/>
                <w:szCs w:val="24"/>
              </w:rPr>
            </w:pPr>
            <w:r w:rsidRPr="0055589E">
              <w:rPr>
                <w:rFonts w:cs="Times New Roman"/>
                <w:color w:val="000000"/>
                <w:szCs w:val="24"/>
              </w:rPr>
              <w:t>44</w:t>
            </w:r>
          </w:p>
        </w:tc>
      </w:tr>
      <w:tr w:rsidR="00A15C2C" w14:paraId="0A2CAA8F" w14:textId="77777777" w:rsidTr="0055589E">
        <w:trPr>
          <w:trHeight w:val="290"/>
          <w:jc w:val="center"/>
        </w:trPr>
        <w:tc>
          <w:tcPr>
            <w:tcW w:w="1795" w:type="dxa"/>
            <w:vMerge/>
            <w:shd w:val="clear" w:color="auto" w:fill="auto"/>
            <w:noWrap/>
            <w:vAlign w:val="center"/>
            <w:hideMark/>
          </w:tcPr>
          <w:p w14:paraId="316F1220" w14:textId="77777777" w:rsidR="008E7808" w:rsidRPr="009F7CC9" w:rsidRDefault="008E7808" w:rsidP="008E7808">
            <w:pPr>
              <w:spacing w:after="0" w:line="240" w:lineRule="auto"/>
              <w:rPr>
                <w:rFonts w:eastAsia="Times New Roman" w:cs="Times New Roman"/>
                <w:szCs w:val="24"/>
              </w:rPr>
            </w:pPr>
          </w:p>
        </w:tc>
        <w:tc>
          <w:tcPr>
            <w:tcW w:w="1530" w:type="dxa"/>
            <w:shd w:val="clear" w:color="auto" w:fill="auto"/>
            <w:noWrap/>
            <w:vAlign w:val="center"/>
            <w:hideMark/>
          </w:tcPr>
          <w:p w14:paraId="0D172B59" w14:textId="77777777" w:rsidR="008E7808" w:rsidRPr="00934F2C" w:rsidRDefault="000F5B51" w:rsidP="008E7808">
            <w:pPr>
              <w:spacing w:after="0" w:line="240" w:lineRule="auto"/>
              <w:jc w:val="center"/>
              <w:rPr>
                <w:rFonts w:eastAsia="Times New Roman" w:cs="Times New Roman"/>
                <w:b/>
                <w:bCs/>
                <w:color w:val="000000"/>
                <w:szCs w:val="24"/>
              </w:rPr>
            </w:pPr>
            <w:r w:rsidRPr="00934F2C">
              <w:rPr>
                <w:rFonts w:eastAsia="Times New Roman" w:cs="Times New Roman"/>
                <w:b/>
                <w:bCs/>
                <w:color w:val="000000"/>
                <w:szCs w:val="24"/>
              </w:rPr>
              <w:t>Total</w:t>
            </w:r>
          </w:p>
        </w:tc>
        <w:tc>
          <w:tcPr>
            <w:tcW w:w="2070" w:type="dxa"/>
            <w:shd w:val="clear" w:color="auto" w:fill="auto"/>
            <w:noWrap/>
            <w:vAlign w:val="center"/>
          </w:tcPr>
          <w:p w14:paraId="4CE6A104" w14:textId="77777777" w:rsidR="008E7808" w:rsidRPr="009C6EFA" w:rsidRDefault="000F5B51" w:rsidP="009C6EFA">
            <w:pPr>
              <w:spacing w:after="0" w:line="240" w:lineRule="auto"/>
              <w:jc w:val="center"/>
              <w:rPr>
                <w:rFonts w:eastAsia="Times New Roman" w:cs="Times New Roman"/>
                <w:b/>
                <w:color w:val="000000"/>
                <w:szCs w:val="24"/>
              </w:rPr>
            </w:pPr>
            <w:r w:rsidRPr="0055589E">
              <w:rPr>
                <w:rFonts w:cs="Times New Roman"/>
                <w:b/>
                <w:bCs/>
                <w:color w:val="000000"/>
                <w:szCs w:val="24"/>
              </w:rPr>
              <w:t>508</w:t>
            </w:r>
          </w:p>
        </w:tc>
        <w:tc>
          <w:tcPr>
            <w:tcW w:w="2340" w:type="dxa"/>
            <w:shd w:val="clear" w:color="auto" w:fill="auto"/>
            <w:noWrap/>
            <w:vAlign w:val="center"/>
          </w:tcPr>
          <w:p w14:paraId="46BBEC52" w14:textId="77777777" w:rsidR="008E7808" w:rsidRPr="009C6EFA" w:rsidRDefault="000F5B51" w:rsidP="00044F2E">
            <w:pPr>
              <w:spacing w:after="0" w:line="240" w:lineRule="auto"/>
              <w:jc w:val="center"/>
              <w:rPr>
                <w:rFonts w:eastAsia="Times New Roman" w:cs="Times New Roman"/>
                <w:b/>
                <w:color w:val="000000"/>
                <w:szCs w:val="24"/>
              </w:rPr>
            </w:pPr>
            <w:r w:rsidRPr="0055589E">
              <w:rPr>
                <w:rFonts w:cs="Times New Roman"/>
                <w:b/>
                <w:bCs/>
                <w:color w:val="000000"/>
                <w:szCs w:val="24"/>
              </w:rPr>
              <w:t>475</w:t>
            </w:r>
          </w:p>
        </w:tc>
        <w:tc>
          <w:tcPr>
            <w:tcW w:w="1615" w:type="dxa"/>
            <w:vAlign w:val="center"/>
          </w:tcPr>
          <w:p w14:paraId="3265E5C6" w14:textId="77777777" w:rsidR="008E7808" w:rsidRPr="00555757" w:rsidRDefault="000F5B51">
            <w:pPr>
              <w:spacing w:after="0" w:line="240" w:lineRule="auto"/>
              <w:jc w:val="center"/>
              <w:rPr>
                <w:rFonts w:eastAsia="Times New Roman" w:cs="Times New Roman"/>
                <w:b/>
                <w:bCs/>
                <w:color w:val="000000"/>
                <w:szCs w:val="24"/>
              </w:rPr>
            </w:pPr>
            <w:r w:rsidRPr="00555757">
              <w:rPr>
                <w:rFonts w:cs="Times New Roman"/>
                <w:b/>
                <w:bCs/>
                <w:color w:val="000000"/>
                <w:szCs w:val="24"/>
              </w:rPr>
              <w:t>983</w:t>
            </w:r>
          </w:p>
        </w:tc>
      </w:tr>
    </w:tbl>
    <w:p w14:paraId="6E97EA51" w14:textId="77777777" w:rsidR="00D43B5F" w:rsidRDefault="00D43B5F" w:rsidP="0055589E">
      <w:pPr>
        <w:pStyle w:val="NoSpaceTimes"/>
      </w:pPr>
    </w:p>
    <w:p w14:paraId="5505125F" w14:textId="3D1C1D4A" w:rsidR="004C5319" w:rsidRDefault="000F5B51" w:rsidP="00E20E88">
      <w:pPr>
        <w:spacing w:after="0"/>
        <w:contextualSpacing/>
        <w:rPr>
          <w:rFonts w:cs="Times New Roman"/>
          <w:szCs w:val="24"/>
        </w:rPr>
      </w:pPr>
      <w:r>
        <w:rPr>
          <w:rFonts w:cs="Times New Roman"/>
          <w:szCs w:val="24"/>
        </w:rPr>
        <w:t>As was the case for drivers, there is a lack of data to establish the target population for right front seat occupants who incurred non-fatal injuries</w:t>
      </w:r>
      <w:r w:rsidR="001F2F92">
        <w:rPr>
          <w:rFonts w:cs="Times New Roman"/>
          <w:szCs w:val="24"/>
        </w:rPr>
        <w:t xml:space="preserve">. </w:t>
      </w:r>
      <w:r>
        <w:rPr>
          <w:rFonts w:cs="Times New Roman"/>
          <w:szCs w:val="24"/>
        </w:rPr>
        <w:t>Therefore</w:t>
      </w:r>
      <w:r w:rsidRPr="004059E6">
        <w:rPr>
          <w:rFonts w:cs="Times New Roman"/>
          <w:szCs w:val="24"/>
        </w:rPr>
        <w:t xml:space="preserve">, we estimated the number of non-fatal injuries based on the </w:t>
      </w:r>
      <w:r>
        <w:rPr>
          <w:rFonts w:cs="Times New Roman"/>
          <w:szCs w:val="24"/>
        </w:rPr>
        <w:t>fatality</w:t>
      </w:r>
      <w:r w:rsidRPr="004059E6">
        <w:rPr>
          <w:rFonts w:cs="Times New Roman"/>
          <w:szCs w:val="24"/>
        </w:rPr>
        <w:t xml:space="preserve"> data above </w:t>
      </w:r>
      <w:r>
        <w:rPr>
          <w:rFonts w:cs="Times New Roman"/>
          <w:szCs w:val="24"/>
        </w:rPr>
        <w:t xml:space="preserve">and the </w:t>
      </w:r>
      <w:r w:rsidR="004F71EB">
        <w:rPr>
          <w:rFonts w:cs="Times New Roman"/>
          <w:szCs w:val="24"/>
        </w:rPr>
        <w:t>ratio</w:t>
      </w:r>
      <w:r>
        <w:rPr>
          <w:rFonts w:cs="Times New Roman"/>
          <w:szCs w:val="24"/>
        </w:rPr>
        <w:t xml:space="preserve"> of injuries to fatalities for </w:t>
      </w:r>
      <w:r w:rsidR="00144431">
        <w:rPr>
          <w:rFonts w:cs="Times New Roman"/>
          <w:szCs w:val="24"/>
        </w:rPr>
        <w:t>rear seat occupants</w:t>
      </w:r>
      <w:r w:rsidR="001F2F92">
        <w:rPr>
          <w:rFonts w:cs="Times New Roman"/>
          <w:szCs w:val="24"/>
        </w:rPr>
        <w:t xml:space="preserve">. </w:t>
      </w:r>
      <w:r>
        <w:rPr>
          <w:rFonts w:cs="Times New Roman"/>
          <w:szCs w:val="24"/>
        </w:rPr>
        <w:t xml:space="preserve">In order to estimate the number of non-fatal injures for </w:t>
      </w:r>
      <w:r w:rsidR="004F71EB">
        <w:rPr>
          <w:rFonts w:cs="Times New Roman"/>
          <w:szCs w:val="24"/>
        </w:rPr>
        <w:t>right front seat occupants</w:t>
      </w:r>
      <w:r>
        <w:rPr>
          <w:rFonts w:cs="Times New Roman"/>
          <w:szCs w:val="24"/>
        </w:rPr>
        <w:t xml:space="preserve">, we apply the appropriate ratio by injury severity and vehicle type </w:t>
      </w:r>
      <w:r w:rsidR="00E20E88">
        <w:rPr>
          <w:rFonts w:cs="Times New Roman"/>
          <w:szCs w:val="24"/>
        </w:rPr>
        <w:t xml:space="preserve">as presented in </w:t>
      </w:r>
      <w:r w:rsidR="00E20E88">
        <w:rPr>
          <w:rFonts w:cs="Times New Roman"/>
          <w:szCs w:val="24"/>
        </w:rPr>
        <w:fldChar w:fldCharType="begin"/>
      </w:r>
      <w:r w:rsidR="00E20E88">
        <w:rPr>
          <w:rFonts w:cs="Times New Roman"/>
          <w:szCs w:val="24"/>
        </w:rPr>
        <w:instrText xml:space="preserve"> REF _Ref126148536 \h </w:instrText>
      </w:r>
      <w:r w:rsidR="00E20E88">
        <w:rPr>
          <w:rFonts w:cs="Times New Roman"/>
          <w:szCs w:val="24"/>
        </w:rPr>
      </w:r>
      <w:r w:rsidR="00E20E88">
        <w:rPr>
          <w:rFonts w:cs="Times New Roman"/>
          <w:szCs w:val="24"/>
        </w:rPr>
        <w:fldChar w:fldCharType="separate"/>
      </w:r>
      <w:r w:rsidR="00A65CB3">
        <w:t xml:space="preserve">Table </w:t>
      </w:r>
      <w:r w:rsidR="00A65CB3">
        <w:rPr>
          <w:noProof/>
        </w:rPr>
        <w:t>24</w:t>
      </w:r>
      <w:r w:rsidR="00E20E88">
        <w:rPr>
          <w:rFonts w:cs="Times New Roman"/>
          <w:szCs w:val="24"/>
        </w:rPr>
        <w:fldChar w:fldCharType="end"/>
      </w:r>
      <w:r w:rsidR="00E20E88">
        <w:rPr>
          <w:rFonts w:cs="Times New Roman"/>
          <w:szCs w:val="24"/>
        </w:rPr>
        <w:t>.</w:t>
      </w:r>
    </w:p>
    <w:p w14:paraId="3E9EA48C" w14:textId="272EB610" w:rsidR="008B1622" w:rsidRDefault="000F5B51" w:rsidP="0055589E">
      <w:pPr>
        <w:rPr>
          <w:rFonts w:cs="Times New Roman"/>
          <w:szCs w:val="24"/>
        </w:rPr>
      </w:pPr>
      <w:r w:rsidRPr="4CA445B8">
        <w:rPr>
          <w:rFonts w:cs="Times New Roman"/>
        </w:rPr>
        <w:fldChar w:fldCharType="begin"/>
      </w:r>
      <w:r w:rsidRPr="4CA445B8">
        <w:rPr>
          <w:rFonts w:cs="Times New Roman"/>
        </w:rPr>
        <w:instrText xml:space="preserve"> REF _Ref127188187 \h </w:instrText>
      </w:r>
      <w:r w:rsidRPr="4CA445B8">
        <w:rPr>
          <w:rFonts w:cs="Times New Roman"/>
        </w:rPr>
      </w:r>
      <w:r w:rsidRPr="4CA445B8">
        <w:rPr>
          <w:rFonts w:cs="Times New Roman"/>
        </w:rPr>
        <w:fldChar w:fldCharType="separate"/>
      </w:r>
      <w:r w:rsidR="00A65CB3">
        <w:t xml:space="preserve">Table </w:t>
      </w:r>
      <w:r w:rsidR="00A65CB3">
        <w:rPr>
          <w:noProof/>
        </w:rPr>
        <w:t>27</w:t>
      </w:r>
      <w:r w:rsidRPr="4CA445B8">
        <w:rPr>
          <w:rFonts w:cs="Times New Roman"/>
        </w:rPr>
        <w:fldChar w:fldCharType="end"/>
      </w:r>
      <w:r w:rsidR="0076390F" w:rsidRPr="4CA445B8">
        <w:rPr>
          <w:rFonts w:cs="Times New Roman"/>
        </w:rPr>
        <w:t xml:space="preserve"> </w:t>
      </w:r>
      <w:r w:rsidR="0076390F" w:rsidRPr="00E66816">
        <w:t>presents the</w:t>
      </w:r>
      <w:r w:rsidR="0076390F">
        <w:t xml:space="preserve"> adjusted</w:t>
      </w:r>
      <w:r w:rsidR="0076390F" w:rsidRPr="00E66816">
        <w:t xml:space="preserve"> </w:t>
      </w:r>
      <w:r w:rsidR="0076390F">
        <w:t>annual fatalities and non-fatal injuries to right front seat occupants by vehicle type and crash type</w:t>
      </w:r>
      <w:r w:rsidR="001F2F92">
        <w:t xml:space="preserve">. </w:t>
      </w:r>
      <w:r w:rsidR="0076390F">
        <w:t xml:space="preserve">For passenger cars, </w:t>
      </w:r>
      <w:r w:rsidR="0076390F" w:rsidRPr="4CA445B8">
        <w:rPr>
          <w:rFonts w:cs="Times New Roman"/>
        </w:rPr>
        <w:t xml:space="preserve">there were a total </w:t>
      </w:r>
      <w:r w:rsidR="303BD2A4" w:rsidRPr="4CA445B8">
        <w:rPr>
          <w:rFonts w:cs="Times New Roman"/>
        </w:rPr>
        <w:t>of</w:t>
      </w:r>
      <w:r w:rsidR="008F3CBA">
        <w:rPr>
          <w:rFonts w:cs="Times New Roman"/>
        </w:rPr>
        <w:t xml:space="preserve"> </w:t>
      </w:r>
      <w:r w:rsidR="004F71EB">
        <w:rPr>
          <w:rFonts w:cs="Times New Roman"/>
          <w:szCs w:val="24"/>
        </w:rPr>
        <w:t>12,7</w:t>
      </w:r>
      <w:r w:rsidR="000D4298">
        <w:rPr>
          <w:rFonts w:cs="Times New Roman"/>
          <w:szCs w:val="24"/>
        </w:rPr>
        <w:t>79 non-fatal injuries</w:t>
      </w:r>
      <w:r w:rsidR="001F2F92">
        <w:rPr>
          <w:rFonts w:cs="Times New Roman"/>
          <w:szCs w:val="24"/>
        </w:rPr>
        <w:t xml:space="preserve">. </w:t>
      </w:r>
      <w:r w:rsidR="000D4298">
        <w:rPr>
          <w:rFonts w:cs="Times New Roman"/>
          <w:szCs w:val="24"/>
        </w:rPr>
        <w:t>Of those non-fatal injuries,</w:t>
      </w:r>
      <w:r w:rsidR="0076390F" w:rsidRPr="004059E6">
        <w:rPr>
          <w:rFonts w:cs="Times New Roman"/>
          <w:szCs w:val="24"/>
        </w:rPr>
        <w:t xml:space="preserve"> </w:t>
      </w:r>
      <w:r w:rsidR="00B15E89">
        <w:rPr>
          <w:rFonts w:cs="Times New Roman"/>
          <w:szCs w:val="24"/>
        </w:rPr>
        <w:t>8,190</w:t>
      </w:r>
      <w:r w:rsidR="000D4298">
        <w:rPr>
          <w:rFonts w:cs="Times New Roman"/>
          <w:szCs w:val="24"/>
        </w:rPr>
        <w:t xml:space="preserve"> were to</w:t>
      </w:r>
      <w:r w:rsidR="00B15E89">
        <w:rPr>
          <w:rFonts w:cs="Times New Roman"/>
          <w:szCs w:val="24"/>
        </w:rPr>
        <w:t xml:space="preserve"> </w:t>
      </w:r>
      <w:r w:rsidR="0076390F" w:rsidRPr="004059E6">
        <w:rPr>
          <w:rFonts w:cs="Times New Roman"/>
          <w:szCs w:val="24"/>
        </w:rPr>
        <w:t xml:space="preserve">restrained and </w:t>
      </w:r>
      <w:r w:rsidR="00B15E89">
        <w:rPr>
          <w:rFonts w:cs="Times New Roman"/>
          <w:szCs w:val="24"/>
        </w:rPr>
        <w:t>4,589</w:t>
      </w:r>
      <w:r w:rsidR="0076390F" w:rsidRPr="004059E6">
        <w:rPr>
          <w:rFonts w:cs="Times New Roman"/>
          <w:szCs w:val="24"/>
        </w:rPr>
        <w:t xml:space="preserve"> </w:t>
      </w:r>
      <w:r w:rsidR="000D4298">
        <w:rPr>
          <w:rFonts w:cs="Times New Roman"/>
          <w:szCs w:val="24"/>
        </w:rPr>
        <w:t xml:space="preserve">were to </w:t>
      </w:r>
      <w:r w:rsidR="0076390F" w:rsidRPr="004059E6">
        <w:rPr>
          <w:rFonts w:cs="Times New Roman"/>
          <w:szCs w:val="24"/>
        </w:rPr>
        <w:t xml:space="preserve">unrestrained </w:t>
      </w:r>
      <w:r w:rsidR="00B15E89">
        <w:rPr>
          <w:rFonts w:cs="Times New Roman"/>
          <w:szCs w:val="24"/>
        </w:rPr>
        <w:t>right front seat occupants</w:t>
      </w:r>
      <w:r w:rsidR="001F2F92">
        <w:rPr>
          <w:rFonts w:cs="Times New Roman"/>
          <w:szCs w:val="24"/>
        </w:rPr>
        <w:t xml:space="preserve">. </w:t>
      </w:r>
      <w:r w:rsidR="0076390F">
        <w:t xml:space="preserve">For light trucks, </w:t>
      </w:r>
      <w:r w:rsidR="0076390F" w:rsidRPr="004059E6">
        <w:rPr>
          <w:rFonts w:cs="Times New Roman"/>
          <w:szCs w:val="24"/>
        </w:rPr>
        <w:t xml:space="preserve">there were a total of </w:t>
      </w:r>
      <w:r w:rsidR="009229EF">
        <w:rPr>
          <w:rFonts w:cs="Times New Roman"/>
          <w:szCs w:val="24"/>
        </w:rPr>
        <w:t>6,438 non-fatal injuries to right front seat occupants, annually</w:t>
      </w:r>
      <w:r w:rsidR="001F2F92">
        <w:rPr>
          <w:rFonts w:cs="Times New Roman"/>
          <w:szCs w:val="24"/>
        </w:rPr>
        <w:t xml:space="preserve">. </w:t>
      </w:r>
      <w:r w:rsidR="009229EF">
        <w:rPr>
          <w:rFonts w:cs="Times New Roman"/>
          <w:szCs w:val="24"/>
        </w:rPr>
        <w:t xml:space="preserve">Of those non-fatal injuries, </w:t>
      </w:r>
      <w:r w:rsidR="00B15E89">
        <w:rPr>
          <w:rFonts w:cs="Times New Roman"/>
          <w:szCs w:val="24"/>
        </w:rPr>
        <w:t>3,326</w:t>
      </w:r>
      <w:r w:rsidR="009229EF">
        <w:rPr>
          <w:rFonts w:cs="Times New Roman"/>
          <w:szCs w:val="24"/>
        </w:rPr>
        <w:t xml:space="preserve"> were to</w:t>
      </w:r>
      <w:r w:rsidR="0076390F" w:rsidRPr="004059E6">
        <w:rPr>
          <w:rFonts w:cs="Times New Roman"/>
          <w:szCs w:val="24"/>
        </w:rPr>
        <w:t xml:space="preserve"> restrained and </w:t>
      </w:r>
      <w:r w:rsidR="00973367">
        <w:rPr>
          <w:rFonts w:cs="Times New Roman"/>
          <w:szCs w:val="24"/>
        </w:rPr>
        <w:t>3,112</w:t>
      </w:r>
      <w:r w:rsidR="0076390F" w:rsidRPr="004059E6">
        <w:rPr>
          <w:rFonts w:cs="Times New Roman"/>
          <w:szCs w:val="24"/>
        </w:rPr>
        <w:t xml:space="preserve"> </w:t>
      </w:r>
      <w:r w:rsidR="009229EF">
        <w:rPr>
          <w:rFonts w:cs="Times New Roman"/>
          <w:szCs w:val="24"/>
        </w:rPr>
        <w:t xml:space="preserve">were to </w:t>
      </w:r>
      <w:r w:rsidR="0076390F" w:rsidRPr="004059E6">
        <w:rPr>
          <w:rFonts w:cs="Times New Roman"/>
          <w:szCs w:val="24"/>
        </w:rPr>
        <w:t xml:space="preserve">unrestrained </w:t>
      </w:r>
      <w:r w:rsidR="00973367">
        <w:rPr>
          <w:rFonts w:cs="Times New Roman"/>
          <w:szCs w:val="24"/>
        </w:rPr>
        <w:t>right front seat occupants</w:t>
      </w:r>
      <w:r w:rsidR="001F2F92">
        <w:rPr>
          <w:rFonts w:cs="Times New Roman"/>
          <w:szCs w:val="24"/>
        </w:rPr>
        <w:t xml:space="preserve">. </w:t>
      </w:r>
    </w:p>
    <w:p w14:paraId="7F0DF451" w14:textId="111AE1E9" w:rsidR="00435D89" w:rsidRDefault="00435D89" w:rsidP="0055589E">
      <w:pPr>
        <w:rPr>
          <w:rFonts w:cs="Times New Roman"/>
          <w:szCs w:val="24"/>
        </w:rPr>
      </w:pPr>
    </w:p>
    <w:p w14:paraId="4F595D5E" w14:textId="325FC20E" w:rsidR="00435D89" w:rsidRDefault="00435D89" w:rsidP="0055589E">
      <w:pPr>
        <w:rPr>
          <w:rFonts w:cs="Times New Roman"/>
          <w:szCs w:val="24"/>
        </w:rPr>
      </w:pPr>
    </w:p>
    <w:p w14:paraId="1EA463F0" w14:textId="239AA14A" w:rsidR="00435D89" w:rsidRDefault="00435D89" w:rsidP="0055589E">
      <w:pPr>
        <w:rPr>
          <w:rFonts w:cs="Times New Roman"/>
          <w:szCs w:val="24"/>
        </w:rPr>
      </w:pPr>
    </w:p>
    <w:p w14:paraId="7E2A6913" w14:textId="77777777" w:rsidR="00435D89" w:rsidRDefault="00435D89" w:rsidP="0055589E">
      <w:pPr>
        <w:rPr>
          <w:rFonts w:cs="Times New Roman"/>
          <w:szCs w:val="24"/>
        </w:rPr>
      </w:pPr>
    </w:p>
    <w:p w14:paraId="671B671F" w14:textId="3DA8EFDD" w:rsidR="00E20E88" w:rsidRPr="00A57E5E" w:rsidRDefault="000F5B51" w:rsidP="00A57E5E">
      <w:pPr>
        <w:pStyle w:val="Caption"/>
      </w:pPr>
      <w:r w:rsidRPr="00E900CF">
        <w:lastRenderedPageBreak/>
        <w:tab/>
      </w:r>
      <w:bookmarkStart w:id="109" w:name="_Ref127188187"/>
      <w:r w:rsidR="008B1622">
        <w:t xml:space="preserve">Table </w:t>
      </w:r>
      <w:r w:rsidR="00115BAB">
        <w:fldChar w:fldCharType="begin"/>
      </w:r>
      <w:r>
        <w:instrText xml:space="preserve"> SEQ Table \* ARABIC </w:instrText>
      </w:r>
      <w:r w:rsidR="00115BAB">
        <w:fldChar w:fldCharType="separate"/>
      </w:r>
      <w:r w:rsidR="00A65CB3">
        <w:rPr>
          <w:noProof/>
        </w:rPr>
        <w:t>27</w:t>
      </w:r>
      <w:r w:rsidR="00115BAB">
        <w:rPr>
          <w:noProof/>
        </w:rPr>
        <w:fldChar w:fldCharType="end"/>
      </w:r>
      <w:bookmarkEnd w:id="109"/>
      <w:r w:rsidR="008B1622">
        <w:t xml:space="preserve">: </w:t>
      </w:r>
      <w:r w:rsidR="008B1622" w:rsidRPr="008344C0">
        <w:t>Annual Adjusted Fatalities and Non-Fatal Injuries to Right Front Seat Occupants</w:t>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2429"/>
        <w:gridCol w:w="1417"/>
        <w:gridCol w:w="1645"/>
        <w:gridCol w:w="1979"/>
      </w:tblGrid>
      <w:tr w:rsidR="00A15C2C" w14:paraId="72DCEE7B" w14:textId="77777777" w:rsidTr="0055589E">
        <w:trPr>
          <w:trHeight w:val="870"/>
          <w:jc w:val="center"/>
        </w:trPr>
        <w:tc>
          <w:tcPr>
            <w:tcW w:w="985" w:type="dxa"/>
            <w:shd w:val="clear" w:color="auto" w:fill="D9D9D9" w:themeFill="background1" w:themeFillShade="D9"/>
            <w:vAlign w:val="center"/>
            <w:hideMark/>
          </w:tcPr>
          <w:p w14:paraId="21500F6B" w14:textId="77777777" w:rsidR="00E20E88" w:rsidRPr="00D742AE" w:rsidRDefault="000F5B51" w:rsidP="003C04C4">
            <w:pPr>
              <w:spacing w:after="0" w:line="240" w:lineRule="auto"/>
              <w:contextualSpacing/>
              <w:rPr>
                <w:rFonts w:eastAsia="Times New Roman" w:cs="Times New Roman"/>
                <w:b/>
                <w:bCs/>
                <w:color w:val="000000"/>
                <w:szCs w:val="24"/>
              </w:rPr>
            </w:pPr>
            <w:bookmarkStart w:id="110" w:name="_Hlk126213582"/>
            <w:r w:rsidRPr="00D742AE">
              <w:rPr>
                <w:rFonts w:eastAsia="Times New Roman" w:cs="Times New Roman"/>
                <w:b/>
                <w:bCs/>
                <w:color w:val="000000"/>
                <w:szCs w:val="24"/>
              </w:rPr>
              <w:t>Vehicle</w:t>
            </w:r>
            <w:r w:rsidR="009229EF">
              <w:rPr>
                <w:rFonts w:eastAsia="Times New Roman" w:cs="Times New Roman"/>
                <w:b/>
                <w:bCs/>
                <w:color w:val="000000"/>
                <w:szCs w:val="24"/>
              </w:rPr>
              <w:t xml:space="preserve"> Type</w:t>
            </w:r>
          </w:p>
        </w:tc>
        <w:tc>
          <w:tcPr>
            <w:tcW w:w="2429" w:type="dxa"/>
            <w:shd w:val="clear" w:color="auto" w:fill="D9D9D9" w:themeFill="background1" w:themeFillShade="D9"/>
            <w:noWrap/>
            <w:vAlign w:val="center"/>
            <w:hideMark/>
          </w:tcPr>
          <w:p w14:paraId="176C38B7" w14:textId="77777777" w:rsidR="00E20E88" w:rsidRPr="00D742AE" w:rsidRDefault="000F5B51" w:rsidP="003C04C4">
            <w:pPr>
              <w:spacing w:after="0" w:line="240" w:lineRule="auto"/>
              <w:contextualSpacing/>
              <w:jc w:val="center"/>
              <w:rPr>
                <w:rFonts w:eastAsia="Times New Roman" w:cs="Times New Roman"/>
                <w:b/>
                <w:bCs/>
                <w:color w:val="000000"/>
                <w:szCs w:val="24"/>
              </w:rPr>
            </w:pPr>
            <w:r w:rsidRPr="00D742AE">
              <w:rPr>
                <w:rFonts w:eastAsia="Times New Roman" w:cs="Times New Roman"/>
                <w:b/>
                <w:bCs/>
                <w:color w:val="000000"/>
                <w:szCs w:val="24"/>
              </w:rPr>
              <w:t>Injury Severity</w:t>
            </w:r>
          </w:p>
        </w:tc>
        <w:tc>
          <w:tcPr>
            <w:tcW w:w="1417" w:type="dxa"/>
            <w:shd w:val="clear" w:color="auto" w:fill="D9D9D9" w:themeFill="background1" w:themeFillShade="D9"/>
            <w:vAlign w:val="center"/>
            <w:hideMark/>
          </w:tcPr>
          <w:p w14:paraId="2DC88AD7" w14:textId="77777777" w:rsidR="00E20E88" w:rsidRPr="00D742AE" w:rsidRDefault="000F5B51" w:rsidP="003C04C4">
            <w:pPr>
              <w:spacing w:after="0" w:line="240" w:lineRule="auto"/>
              <w:contextualSpacing/>
              <w:jc w:val="center"/>
              <w:rPr>
                <w:rFonts w:eastAsia="Times New Roman" w:cs="Times New Roman"/>
                <w:b/>
                <w:bCs/>
                <w:color w:val="000000"/>
                <w:szCs w:val="24"/>
              </w:rPr>
            </w:pPr>
            <w:r w:rsidRPr="00D742AE">
              <w:rPr>
                <w:rFonts w:eastAsia="Times New Roman" w:cs="Times New Roman"/>
                <w:b/>
                <w:bCs/>
                <w:color w:val="000000"/>
                <w:szCs w:val="24"/>
              </w:rPr>
              <w:t>Restrained</w:t>
            </w:r>
          </w:p>
        </w:tc>
        <w:tc>
          <w:tcPr>
            <w:tcW w:w="1645" w:type="dxa"/>
            <w:shd w:val="clear" w:color="auto" w:fill="D9D9D9" w:themeFill="background1" w:themeFillShade="D9"/>
            <w:vAlign w:val="center"/>
            <w:hideMark/>
          </w:tcPr>
          <w:p w14:paraId="01832317" w14:textId="77777777" w:rsidR="00E20E88" w:rsidRPr="00D742AE" w:rsidRDefault="000F5B51" w:rsidP="003C04C4">
            <w:pPr>
              <w:spacing w:after="0" w:line="240" w:lineRule="auto"/>
              <w:contextualSpacing/>
              <w:jc w:val="center"/>
              <w:rPr>
                <w:rFonts w:eastAsia="Times New Roman" w:cs="Times New Roman"/>
                <w:b/>
                <w:bCs/>
                <w:color w:val="000000"/>
                <w:szCs w:val="24"/>
              </w:rPr>
            </w:pPr>
            <w:r w:rsidRPr="00D742AE">
              <w:rPr>
                <w:rFonts w:eastAsia="Times New Roman" w:cs="Times New Roman"/>
                <w:b/>
                <w:bCs/>
                <w:color w:val="000000"/>
                <w:szCs w:val="24"/>
              </w:rPr>
              <w:t>Unrestrained</w:t>
            </w:r>
          </w:p>
        </w:tc>
        <w:tc>
          <w:tcPr>
            <w:tcW w:w="1979" w:type="dxa"/>
            <w:shd w:val="clear" w:color="auto" w:fill="D9D9D9" w:themeFill="background1" w:themeFillShade="D9"/>
            <w:vAlign w:val="center"/>
            <w:hideMark/>
          </w:tcPr>
          <w:p w14:paraId="1EE5D9B0" w14:textId="77777777" w:rsidR="00E20E88" w:rsidRPr="00D742AE" w:rsidRDefault="000F5B51" w:rsidP="003C04C4">
            <w:pPr>
              <w:spacing w:after="0" w:line="240" w:lineRule="auto"/>
              <w:contextualSpacing/>
              <w:jc w:val="center"/>
              <w:rPr>
                <w:rFonts w:eastAsia="Times New Roman" w:cs="Times New Roman"/>
                <w:b/>
                <w:bCs/>
                <w:color w:val="000000"/>
                <w:szCs w:val="24"/>
              </w:rPr>
            </w:pPr>
            <w:r w:rsidRPr="00D742AE">
              <w:rPr>
                <w:rFonts w:eastAsia="Times New Roman" w:cs="Times New Roman"/>
                <w:b/>
                <w:bCs/>
                <w:color w:val="000000"/>
                <w:szCs w:val="24"/>
              </w:rPr>
              <w:t>Tota</w:t>
            </w:r>
            <w:r w:rsidR="00241339">
              <w:rPr>
                <w:rFonts w:eastAsia="Times New Roman" w:cs="Times New Roman"/>
                <w:b/>
                <w:bCs/>
                <w:color w:val="000000"/>
                <w:szCs w:val="24"/>
              </w:rPr>
              <w:t>l</w:t>
            </w:r>
          </w:p>
        </w:tc>
      </w:tr>
      <w:tr w:rsidR="00A15C2C" w14:paraId="20E6A72A" w14:textId="77777777" w:rsidTr="0055589E">
        <w:trPr>
          <w:trHeight w:val="290"/>
          <w:jc w:val="center"/>
        </w:trPr>
        <w:tc>
          <w:tcPr>
            <w:tcW w:w="985" w:type="dxa"/>
            <w:vMerge w:val="restart"/>
            <w:shd w:val="clear" w:color="auto" w:fill="auto"/>
            <w:noWrap/>
            <w:vAlign w:val="center"/>
            <w:hideMark/>
          </w:tcPr>
          <w:p w14:paraId="20B5DD35" w14:textId="77777777" w:rsidR="00C37C4B" w:rsidRPr="00A01CA7" w:rsidRDefault="000F5B51" w:rsidP="00C37C4B">
            <w:pPr>
              <w:spacing w:after="0" w:line="240" w:lineRule="auto"/>
              <w:contextualSpacing/>
              <w:rPr>
                <w:rFonts w:eastAsia="Times New Roman" w:cs="Times New Roman"/>
                <w:color w:val="000000"/>
                <w:szCs w:val="24"/>
              </w:rPr>
            </w:pPr>
            <w:r w:rsidRPr="00A01CA7">
              <w:rPr>
                <w:rFonts w:eastAsia="Times New Roman" w:cs="Times New Roman"/>
                <w:color w:val="000000"/>
                <w:szCs w:val="24"/>
              </w:rPr>
              <w:t>PC</w:t>
            </w:r>
          </w:p>
          <w:p w14:paraId="7BF40780" w14:textId="77777777" w:rsidR="00C37C4B" w:rsidRPr="00A01CA7" w:rsidRDefault="000F5B51" w:rsidP="00C37C4B">
            <w:pPr>
              <w:spacing w:after="0" w:line="240" w:lineRule="auto"/>
              <w:contextualSpacing/>
              <w:rPr>
                <w:rFonts w:eastAsia="Times New Roman" w:cs="Times New Roman"/>
                <w:color w:val="000000"/>
                <w:szCs w:val="24"/>
              </w:rPr>
            </w:pPr>
            <w:r w:rsidRPr="00A01CA7">
              <w:rPr>
                <w:rFonts w:eastAsia="Times New Roman" w:cs="Times New Roman"/>
                <w:color w:val="000000"/>
                <w:szCs w:val="24"/>
              </w:rPr>
              <w:t> </w:t>
            </w:r>
          </w:p>
        </w:tc>
        <w:tc>
          <w:tcPr>
            <w:tcW w:w="2429" w:type="dxa"/>
            <w:shd w:val="clear" w:color="auto" w:fill="auto"/>
            <w:noWrap/>
            <w:vAlign w:val="center"/>
            <w:hideMark/>
          </w:tcPr>
          <w:p w14:paraId="5BD0C41E" w14:textId="77777777" w:rsidR="00C37C4B" w:rsidRPr="00A01CA7" w:rsidRDefault="000F5B51" w:rsidP="0055589E">
            <w:pPr>
              <w:spacing w:after="0" w:line="240" w:lineRule="auto"/>
              <w:contextualSpacing/>
              <w:rPr>
                <w:rFonts w:eastAsia="Times New Roman" w:cs="Times New Roman"/>
                <w:color w:val="000000"/>
                <w:szCs w:val="24"/>
              </w:rPr>
            </w:pPr>
            <w:r w:rsidRPr="00A01CA7">
              <w:rPr>
                <w:rFonts w:eastAsia="Times New Roman" w:cs="Times New Roman"/>
                <w:color w:val="000000"/>
                <w:szCs w:val="24"/>
              </w:rPr>
              <w:t>MAIS 1</w:t>
            </w:r>
          </w:p>
        </w:tc>
        <w:tc>
          <w:tcPr>
            <w:tcW w:w="1417" w:type="dxa"/>
            <w:shd w:val="clear" w:color="auto" w:fill="auto"/>
            <w:noWrap/>
          </w:tcPr>
          <w:p w14:paraId="73008E3C" w14:textId="77777777" w:rsidR="00C37C4B" w:rsidRPr="00A01CA7" w:rsidRDefault="000F5B51" w:rsidP="00C37C4B">
            <w:pPr>
              <w:spacing w:after="0" w:line="240" w:lineRule="auto"/>
              <w:contextualSpacing/>
              <w:jc w:val="center"/>
              <w:rPr>
                <w:rFonts w:eastAsia="Times New Roman" w:cs="Times New Roman"/>
                <w:color w:val="000000"/>
                <w:szCs w:val="24"/>
              </w:rPr>
            </w:pPr>
            <w:r w:rsidRPr="00BD3956">
              <w:t xml:space="preserve"> 4,970 </w:t>
            </w:r>
          </w:p>
        </w:tc>
        <w:tc>
          <w:tcPr>
            <w:tcW w:w="1645" w:type="dxa"/>
            <w:shd w:val="clear" w:color="auto" w:fill="auto"/>
            <w:noWrap/>
          </w:tcPr>
          <w:p w14:paraId="775D7DBE" w14:textId="77777777" w:rsidR="00C37C4B" w:rsidRPr="00A01CA7" w:rsidRDefault="000F5B51" w:rsidP="00C37C4B">
            <w:pPr>
              <w:spacing w:after="0" w:line="240" w:lineRule="auto"/>
              <w:contextualSpacing/>
              <w:jc w:val="center"/>
              <w:rPr>
                <w:rFonts w:eastAsia="Times New Roman" w:cs="Times New Roman"/>
                <w:color w:val="000000"/>
                <w:szCs w:val="24"/>
              </w:rPr>
            </w:pPr>
            <w:r w:rsidRPr="00BD3956">
              <w:t xml:space="preserve"> 2,785 </w:t>
            </w:r>
          </w:p>
        </w:tc>
        <w:tc>
          <w:tcPr>
            <w:tcW w:w="1979" w:type="dxa"/>
            <w:shd w:val="clear" w:color="auto" w:fill="auto"/>
            <w:noWrap/>
          </w:tcPr>
          <w:p w14:paraId="58ADDC3B" w14:textId="77777777" w:rsidR="00C37C4B" w:rsidRPr="00A01CA7" w:rsidRDefault="000F5B51" w:rsidP="00C37C4B">
            <w:pPr>
              <w:spacing w:after="0" w:line="240" w:lineRule="auto"/>
              <w:contextualSpacing/>
              <w:jc w:val="center"/>
              <w:rPr>
                <w:rFonts w:eastAsia="Times New Roman" w:cs="Times New Roman"/>
                <w:color w:val="000000"/>
                <w:szCs w:val="24"/>
              </w:rPr>
            </w:pPr>
            <w:r w:rsidRPr="00BD3956">
              <w:t xml:space="preserve"> 7,755 </w:t>
            </w:r>
          </w:p>
        </w:tc>
      </w:tr>
      <w:tr w:rsidR="00A15C2C" w14:paraId="36325879" w14:textId="77777777" w:rsidTr="0055589E">
        <w:trPr>
          <w:trHeight w:val="290"/>
          <w:jc w:val="center"/>
        </w:trPr>
        <w:tc>
          <w:tcPr>
            <w:tcW w:w="985" w:type="dxa"/>
            <w:vMerge/>
            <w:shd w:val="clear" w:color="auto" w:fill="auto"/>
            <w:noWrap/>
            <w:vAlign w:val="center"/>
            <w:hideMark/>
          </w:tcPr>
          <w:p w14:paraId="4BA7C708" w14:textId="77777777" w:rsidR="00C37C4B" w:rsidRPr="00A01CA7" w:rsidRDefault="00C37C4B" w:rsidP="00C37C4B">
            <w:pPr>
              <w:spacing w:after="0" w:line="240" w:lineRule="auto"/>
              <w:contextualSpacing/>
              <w:rPr>
                <w:rFonts w:eastAsia="Times New Roman" w:cs="Times New Roman"/>
                <w:color w:val="000000"/>
                <w:szCs w:val="24"/>
              </w:rPr>
            </w:pPr>
          </w:p>
        </w:tc>
        <w:tc>
          <w:tcPr>
            <w:tcW w:w="2429" w:type="dxa"/>
            <w:shd w:val="clear" w:color="auto" w:fill="auto"/>
            <w:noWrap/>
            <w:vAlign w:val="center"/>
            <w:hideMark/>
          </w:tcPr>
          <w:p w14:paraId="7E8B5066" w14:textId="77777777" w:rsidR="00C37C4B" w:rsidRPr="00A01CA7" w:rsidRDefault="000F5B51" w:rsidP="0055589E">
            <w:pPr>
              <w:spacing w:after="0" w:line="240" w:lineRule="auto"/>
              <w:contextualSpacing/>
              <w:rPr>
                <w:rFonts w:eastAsia="Times New Roman" w:cs="Times New Roman"/>
                <w:color w:val="000000"/>
                <w:szCs w:val="24"/>
              </w:rPr>
            </w:pPr>
            <w:r w:rsidRPr="00A01CA7">
              <w:rPr>
                <w:rFonts w:eastAsia="Times New Roman" w:cs="Times New Roman"/>
                <w:color w:val="000000"/>
                <w:szCs w:val="24"/>
              </w:rPr>
              <w:t>MAIS 2</w:t>
            </w:r>
          </w:p>
        </w:tc>
        <w:tc>
          <w:tcPr>
            <w:tcW w:w="1417" w:type="dxa"/>
            <w:shd w:val="clear" w:color="auto" w:fill="auto"/>
            <w:noWrap/>
          </w:tcPr>
          <w:p w14:paraId="419858BC" w14:textId="77777777" w:rsidR="00C37C4B" w:rsidRPr="00A01CA7" w:rsidRDefault="000F5B51" w:rsidP="00C37C4B">
            <w:pPr>
              <w:spacing w:after="0" w:line="240" w:lineRule="auto"/>
              <w:contextualSpacing/>
              <w:jc w:val="center"/>
              <w:rPr>
                <w:rFonts w:eastAsia="Times New Roman" w:cs="Times New Roman"/>
                <w:color w:val="000000"/>
                <w:szCs w:val="24"/>
              </w:rPr>
            </w:pPr>
            <w:r w:rsidRPr="00BD3956">
              <w:t xml:space="preserve"> 2,175 </w:t>
            </w:r>
          </w:p>
        </w:tc>
        <w:tc>
          <w:tcPr>
            <w:tcW w:w="1645" w:type="dxa"/>
            <w:shd w:val="clear" w:color="auto" w:fill="auto"/>
            <w:noWrap/>
          </w:tcPr>
          <w:p w14:paraId="0C90EB8F" w14:textId="77777777" w:rsidR="00C37C4B" w:rsidRPr="00A01CA7" w:rsidRDefault="000F5B51" w:rsidP="00C37C4B">
            <w:pPr>
              <w:spacing w:after="0" w:line="240" w:lineRule="auto"/>
              <w:contextualSpacing/>
              <w:jc w:val="center"/>
              <w:rPr>
                <w:rFonts w:eastAsia="Times New Roman" w:cs="Times New Roman"/>
                <w:color w:val="000000"/>
                <w:szCs w:val="24"/>
              </w:rPr>
            </w:pPr>
            <w:r w:rsidRPr="00BD3956">
              <w:t xml:space="preserve"> 1,219 </w:t>
            </w:r>
          </w:p>
        </w:tc>
        <w:tc>
          <w:tcPr>
            <w:tcW w:w="1979" w:type="dxa"/>
            <w:shd w:val="clear" w:color="auto" w:fill="auto"/>
            <w:noWrap/>
          </w:tcPr>
          <w:p w14:paraId="2EA97676" w14:textId="77777777" w:rsidR="00C37C4B" w:rsidRPr="00A01CA7" w:rsidRDefault="000F5B51" w:rsidP="00C37C4B">
            <w:pPr>
              <w:spacing w:after="0" w:line="240" w:lineRule="auto"/>
              <w:contextualSpacing/>
              <w:jc w:val="center"/>
              <w:rPr>
                <w:rFonts w:eastAsia="Times New Roman" w:cs="Times New Roman"/>
                <w:color w:val="000000"/>
                <w:szCs w:val="24"/>
              </w:rPr>
            </w:pPr>
            <w:r w:rsidRPr="00BD3956">
              <w:t xml:space="preserve"> 3,394 </w:t>
            </w:r>
          </w:p>
        </w:tc>
      </w:tr>
      <w:tr w:rsidR="00A15C2C" w14:paraId="0564363B" w14:textId="77777777" w:rsidTr="0055589E">
        <w:trPr>
          <w:trHeight w:val="290"/>
          <w:jc w:val="center"/>
        </w:trPr>
        <w:tc>
          <w:tcPr>
            <w:tcW w:w="985" w:type="dxa"/>
            <w:vMerge/>
            <w:shd w:val="clear" w:color="auto" w:fill="auto"/>
            <w:noWrap/>
            <w:vAlign w:val="center"/>
            <w:hideMark/>
          </w:tcPr>
          <w:p w14:paraId="4478D7FF" w14:textId="77777777" w:rsidR="00C37C4B" w:rsidRPr="00A01CA7" w:rsidRDefault="00C37C4B" w:rsidP="00C37C4B">
            <w:pPr>
              <w:spacing w:after="0" w:line="240" w:lineRule="auto"/>
              <w:contextualSpacing/>
              <w:rPr>
                <w:rFonts w:eastAsia="Times New Roman" w:cs="Times New Roman"/>
                <w:color w:val="000000"/>
                <w:szCs w:val="24"/>
              </w:rPr>
            </w:pPr>
          </w:p>
        </w:tc>
        <w:tc>
          <w:tcPr>
            <w:tcW w:w="2429" w:type="dxa"/>
            <w:shd w:val="clear" w:color="auto" w:fill="auto"/>
            <w:noWrap/>
            <w:vAlign w:val="center"/>
            <w:hideMark/>
          </w:tcPr>
          <w:p w14:paraId="6B033AC2" w14:textId="77777777" w:rsidR="00C37C4B" w:rsidRPr="00A01CA7" w:rsidRDefault="000F5B51" w:rsidP="0055589E">
            <w:pPr>
              <w:spacing w:after="0" w:line="240" w:lineRule="auto"/>
              <w:contextualSpacing/>
              <w:rPr>
                <w:rFonts w:eastAsia="Times New Roman" w:cs="Times New Roman"/>
                <w:color w:val="000000"/>
                <w:szCs w:val="24"/>
              </w:rPr>
            </w:pPr>
            <w:r w:rsidRPr="00A01CA7">
              <w:rPr>
                <w:rFonts w:eastAsia="Times New Roman" w:cs="Times New Roman"/>
                <w:color w:val="000000"/>
                <w:szCs w:val="24"/>
              </w:rPr>
              <w:t>MAIS 3</w:t>
            </w:r>
          </w:p>
        </w:tc>
        <w:tc>
          <w:tcPr>
            <w:tcW w:w="1417" w:type="dxa"/>
            <w:shd w:val="clear" w:color="auto" w:fill="auto"/>
            <w:noWrap/>
          </w:tcPr>
          <w:p w14:paraId="75F21E9B" w14:textId="77777777" w:rsidR="00C37C4B" w:rsidRPr="00A01CA7" w:rsidRDefault="000F5B51" w:rsidP="00C37C4B">
            <w:pPr>
              <w:spacing w:after="0" w:line="240" w:lineRule="auto"/>
              <w:contextualSpacing/>
              <w:jc w:val="center"/>
              <w:rPr>
                <w:rFonts w:eastAsia="Times New Roman" w:cs="Times New Roman"/>
                <w:color w:val="000000"/>
                <w:szCs w:val="24"/>
              </w:rPr>
            </w:pPr>
            <w:r w:rsidRPr="00BD3956">
              <w:t xml:space="preserve"> 600 </w:t>
            </w:r>
          </w:p>
        </w:tc>
        <w:tc>
          <w:tcPr>
            <w:tcW w:w="1645" w:type="dxa"/>
            <w:shd w:val="clear" w:color="auto" w:fill="auto"/>
            <w:noWrap/>
          </w:tcPr>
          <w:p w14:paraId="648D2382" w14:textId="77777777" w:rsidR="00C37C4B" w:rsidRPr="00A01CA7" w:rsidRDefault="000F5B51" w:rsidP="00C37C4B">
            <w:pPr>
              <w:spacing w:after="0" w:line="240" w:lineRule="auto"/>
              <w:contextualSpacing/>
              <w:jc w:val="center"/>
              <w:rPr>
                <w:rFonts w:eastAsia="Times New Roman" w:cs="Times New Roman"/>
                <w:color w:val="000000"/>
                <w:szCs w:val="24"/>
              </w:rPr>
            </w:pPr>
            <w:r w:rsidRPr="00BD3956">
              <w:t xml:space="preserve"> 336 </w:t>
            </w:r>
          </w:p>
        </w:tc>
        <w:tc>
          <w:tcPr>
            <w:tcW w:w="1979" w:type="dxa"/>
            <w:shd w:val="clear" w:color="auto" w:fill="auto"/>
            <w:noWrap/>
          </w:tcPr>
          <w:p w14:paraId="15980E2B" w14:textId="77777777" w:rsidR="00C37C4B" w:rsidRPr="00A01CA7" w:rsidRDefault="000F5B51" w:rsidP="00C37C4B">
            <w:pPr>
              <w:spacing w:after="0" w:line="240" w:lineRule="auto"/>
              <w:contextualSpacing/>
              <w:jc w:val="center"/>
              <w:rPr>
                <w:rFonts w:eastAsia="Times New Roman" w:cs="Times New Roman"/>
                <w:color w:val="000000"/>
                <w:szCs w:val="24"/>
              </w:rPr>
            </w:pPr>
            <w:r w:rsidRPr="00BD3956">
              <w:t xml:space="preserve"> 937 </w:t>
            </w:r>
          </w:p>
        </w:tc>
      </w:tr>
      <w:tr w:rsidR="00A15C2C" w14:paraId="025953BA" w14:textId="77777777" w:rsidTr="0055589E">
        <w:trPr>
          <w:trHeight w:val="290"/>
          <w:jc w:val="center"/>
        </w:trPr>
        <w:tc>
          <w:tcPr>
            <w:tcW w:w="985" w:type="dxa"/>
            <w:vMerge/>
            <w:shd w:val="clear" w:color="auto" w:fill="auto"/>
            <w:noWrap/>
            <w:vAlign w:val="center"/>
            <w:hideMark/>
          </w:tcPr>
          <w:p w14:paraId="70812828" w14:textId="77777777" w:rsidR="00C37C4B" w:rsidRPr="00A01CA7" w:rsidRDefault="00C37C4B" w:rsidP="00C37C4B">
            <w:pPr>
              <w:spacing w:after="0" w:line="240" w:lineRule="auto"/>
              <w:contextualSpacing/>
              <w:rPr>
                <w:rFonts w:eastAsia="Times New Roman" w:cs="Times New Roman"/>
                <w:color w:val="000000"/>
                <w:szCs w:val="24"/>
              </w:rPr>
            </w:pPr>
          </w:p>
        </w:tc>
        <w:tc>
          <w:tcPr>
            <w:tcW w:w="2429" w:type="dxa"/>
            <w:shd w:val="clear" w:color="auto" w:fill="auto"/>
            <w:noWrap/>
            <w:vAlign w:val="center"/>
            <w:hideMark/>
          </w:tcPr>
          <w:p w14:paraId="25EE859D" w14:textId="77777777" w:rsidR="00C37C4B" w:rsidRPr="00A01CA7" w:rsidRDefault="000F5B51" w:rsidP="0055589E">
            <w:pPr>
              <w:spacing w:after="0" w:line="240" w:lineRule="auto"/>
              <w:contextualSpacing/>
              <w:rPr>
                <w:rFonts w:eastAsia="Times New Roman" w:cs="Times New Roman"/>
                <w:color w:val="000000"/>
                <w:szCs w:val="24"/>
              </w:rPr>
            </w:pPr>
            <w:r w:rsidRPr="00A01CA7">
              <w:rPr>
                <w:rFonts w:eastAsia="Times New Roman" w:cs="Times New Roman"/>
                <w:color w:val="000000"/>
                <w:szCs w:val="24"/>
              </w:rPr>
              <w:t>MAIS 4</w:t>
            </w:r>
          </w:p>
        </w:tc>
        <w:tc>
          <w:tcPr>
            <w:tcW w:w="1417" w:type="dxa"/>
            <w:shd w:val="clear" w:color="auto" w:fill="auto"/>
            <w:noWrap/>
          </w:tcPr>
          <w:p w14:paraId="4A888DE9" w14:textId="77777777" w:rsidR="00C37C4B" w:rsidRPr="00A01CA7" w:rsidRDefault="000F5B51" w:rsidP="00C37C4B">
            <w:pPr>
              <w:spacing w:after="0" w:line="240" w:lineRule="auto"/>
              <w:contextualSpacing/>
              <w:jc w:val="center"/>
              <w:rPr>
                <w:rFonts w:eastAsia="Times New Roman" w:cs="Times New Roman"/>
                <w:color w:val="000000"/>
                <w:szCs w:val="24"/>
              </w:rPr>
            </w:pPr>
            <w:r w:rsidRPr="00BD3956">
              <w:t xml:space="preserve"> 434 </w:t>
            </w:r>
          </w:p>
        </w:tc>
        <w:tc>
          <w:tcPr>
            <w:tcW w:w="1645" w:type="dxa"/>
            <w:shd w:val="clear" w:color="auto" w:fill="auto"/>
            <w:noWrap/>
          </w:tcPr>
          <w:p w14:paraId="73B8EE1F" w14:textId="77777777" w:rsidR="00C37C4B" w:rsidRPr="00A01CA7" w:rsidRDefault="000F5B51" w:rsidP="00C37C4B">
            <w:pPr>
              <w:spacing w:after="0" w:line="240" w:lineRule="auto"/>
              <w:contextualSpacing/>
              <w:jc w:val="center"/>
              <w:rPr>
                <w:rFonts w:eastAsia="Times New Roman" w:cs="Times New Roman"/>
                <w:color w:val="000000"/>
                <w:szCs w:val="24"/>
              </w:rPr>
            </w:pPr>
            <w:r w:rsidRPr="00BD3956">
              <w:t xml:space="preserve"> 243 </w:t>
            </w:r>
          </w:p>
        </w:tc>
        <w:tc>
          <w:tcPr>
            <w:tcW w:w="1979" w:type="dxa"/>
            <w:shd w:val="clear" w:color="auto" w:fill="auto"/>
            <w:noWrap/>
          </w:tcPr>
          <w:p w14:paraId="18940A3C" w14:textId="77777777" w:rsidR="00C37C4B" w:rsidRPr="00A01CA7" w:rsidRDefault="000F5B51" w:rsidP="00C37C4B">
            <w:pPr>
              <w:spacing w:after="0" w:line="240" w:lineRule="auto"/>
              <w:contextualSpacing/>
              <w:jc w:val="center"/>
              <w:rPr>
                <w:rFonts w:eastAsia="Times New Roman" w:cs="Times New Roman"/>
                <w:color w:val="000000"/>
                <w:szCs w:val="24"/>
              </w:rPr>
            </w:pPr>
            <w:r w:rsidRPr="00BD3956">
              <w:t xml:space="preserve"> 677 </w:t>
            </w:r>
          </w:p>
        </w:tc>
      </w:tr>
      <w:tr w:rsidR="00A15C2C" w14:paraId="5C93B942" w14:textId="77777777" w:rsidTr="0055589E">
        <w:trPr>
          <w:trHeight w:val="290"/>
          <w:jc w:val="center"/>
        </w:trPr>
        <w:tc>
          <w:tcPr>
            <w:tcW w:w="985" w:type="dxa"/>
            <w:vMerge/>
            <w:shd w:val="clear" w:color="auto" w:fill="auto"/>
            <w:noWrap/>
            <w:vAlign w:val="center"/>
            <w:hideMark/>
          </w:tcPr>
          <w:p w14:paraId="37EDB554" w14:textId="77777777" w:rsidR="00C37C4B" w:rsidRPr="00A01CA7" w:rsidRDefault="00C37C4B" w:rsidP="00C37C4B">
            <w:pPr>
              <w:spacing w:after="0" w:line="240" w:lineRule="auto"/>
              <w:contextualSpacing/>
              <w:rPr>
                <w:rFonts w:eastAsia="Times New Roman" w:cs="Times New Roman"/>
                <w:color w:val="000000"/>
                <w:szCs w:val="24"/>
              </w:rPr>
            </w:pPr>
          </w:p>
        </w:tc>
        <w:tc>
          <w:tcPr>
            <w:tcW w:w="2429" w:type="dxa"/>
            <w:shd w:val="clear" w:color="auto" w:fill="auto"/>
            <w:noWrap/>
            <w:vAlign w:val="center"/>
            <w:hideMark/>
          </w:tcPr>
          <w:p w14:paraId="3552182F" w14:textId="77777777" w:rsidR="00C37C4B" w:rsidRPr="00A01CA7" w:rsidRDefault="000F5B51" w:rsidP="0055589E">
            <w:pPr>
              <w:spacing w:after="0" w:line="240" w:lineRule="auto"/>
              <w:contextualSpacing/>
              <w:rPr>
                <w:rFonts w:eastAsia="Times New Roman" w:cs="Times New Roman"/>
                <w:color w:val="000000"/>
                <w:szCs w:val="24"/>
              </w:rPr>
            </w:pPr>
            <w:r w:rsidRPr="00A01CA7">
              <w:rPr>
                <w:rFonts w:eastAsia="Times New Roman" w:cs="Times New Roman"/>
                <w:color w:val="000000"/>
                <w:szCs w:val="24"/>
              </w:rPr>
              <w:t>MAIS 5</w:t>
            </w:r>
          </w:p>
        </w:tc>
        <w:tc>
          <w:tcPr>
            <w:tcW w:w="1417" w:type="dxa"/>
            <w:shd w:val="clear" w:color="auto" w:fill="auto"/>
            <w:noWrap/>
          </w:tcPr>
          <w:p w14:paraId="29768430" w14:textId="77777777" w:rsidR="00C37C4B" w:rsidRPr="00A01CA7" w:rsidRDefault="000F5B51" w:rsidP="00C37C4B">
            <w:pPr>
              <w:spacing w:after="0" w:line="240" w:lineRule="auto"/>
              <w:contextualSpacing/>
              <w:jc w:val="center"/>
              <w:rPr>
                <w:rFonts w:eastAsia="Times New Roman" w:cs="Times New Roman"/>
                <w:color w:val="000000"/>
                <w:szCs w:val="24"/>
              </w:rPr>
            </w:pPr>
            <w:r w:rsidRPr="00BD3956">
              <w:t xml:space="preserve"> 11 </w:t>
            </w:r>
          </w:p>
        </w:tc>
        <w:tc>
          <w:tcPr>
            <w:tcW w:w="1645" w:type="dxa"/>
            <w:shd w:val="clear" w:color="auto" w:fill="auto"/>
            <w:noWrap/>
          </w:tcPr>
          <w:p w14:paraId="42B9F95B" w14:textId="77777777" w:rsidR="00C37C4B" w:rsidRPr="00A01CA7" w:rsidRDefault="000F5B51" w:rsidP="00C37C4B">
            <w:pPr>
              <w:spacing w:after="0" w:line="240" w:lineRule="auto"/>
              <w:contextualSpacing/>
              <w:jc w:val="center"/>
              <w:rPr>
                <w:rFonts w:eastAsia="Times New Roman" w:cs="Times New Roman"/>
                <w:color w:val="000000"/>
                <w:szCs w:val="24"/>
              </w:rPr>
            </w:pPr>
            <w:r w:rsidRPr="00BD3956">
              <w:t xml:space="preserve"> 6 </w:t>
            </w:r>
          </w:p>
        </w:tc>
        <w:tc>
          <w:tcPr>
            <w:tcW w:w="1979" w:type="dxa"/>
            <w:shd w:val="clear" w:color="auto" w:fill="auto"/>
            <w:noWrap/>
          </w:tcPr>
          <w:p w14:paraId="73A002AE" w14:textId="77777777" w:rsidR="00C37C4B" w:rsidRPr="00A01CA7" w:rsidRDefault="000F5B51" w:rsidP="00C37C4B">
            <w:pPr>
              <w:spacing w:after="0" w:line="240" w:lineRule="auto"/>
              <w:contextualSpacing/>
              <w:jc w:val="center"/>
              <w:rPr>
                <w:rFonts w:eastAsia="Times New Roman" w:cs="Times New Roman"/>
                <w:color w:val="000000"/>
                <w:szCs w:val="24"/>
              </w:rPr>
            </w:pPr>
            <w:r w:rsidRPr="00BD3956">
              <w:t xml:space="preserve"> 16 </w:t>
            </w:r>
          </w:p>
        </w:tc>
      </w:tr>
      <w:tr w:rsidR="00A15C2C" w14:paraId="54248918" w14:textId="77777777" w:rsidTr="0055589E">
        <w:trPr>
          <w:trHeight w:val="290"/>
          <w:jc w:val="center"/>
        </w:trPr>
        <w:tc>
          <w:tcPr>
            <w:tcW w:w="985" w:type="dxa"/>
            <w:vMerge/>
            <w:shd w:val="clear" w:color="auto" w:fill="auto"/>
            <w:noWrap/>
            <w:vAlign w:val="center"/>
          </w:tcPr>
          <w:p w14:paraId="2A36F01F" w14:textId="77777777" w:rsidR="00084235" w:rsidRPr="00A01CA7" w:rsidRDefault="00084235" w:rsidP="00084235">
            <w:pPr>
              <w:spacing w:after="0" w:line="240" w:lineRule="auto"/>
              <w:contextualSpacing/>
              <w:rPr>
                <w:rFonts w:eastAsia="Times New Roman" w:cs="Times New Roman"/>
                <w:color w:val="000000"/>
                <w:szCs w:val="24"/>
              </w:rPr>
            </w:pPr>
          </w:p>
        </w:tc>
        <w:tc>
          <w:tcPr>
            <w:tcW w:w="2429" w:type="dxa"/>
            <w:shd w:val="clear" w:color="auto" w:fill="auto"/>
            <w:noWrap/>
            <w:vAlign w:val="center"/>
          </w:tcPr>
          <w:p w14:paraId="18A69242" w14:textId="77777777" w:rsidR="00084235" w:rsidRPr="0055589E" w:rsidRDefault="000F5B51" w:rsidP="0055589E">
            <w:pPr>
              <w:spacing w:after="0" w:line="240" w:lineRule="auto"/>
              <w:contextualSpacing/>
              <w:rPr>
                <w:rFonts w:eastAsia="Times New Roman" w:cs="Times New Roman"/>
                <w:b/>
                <w:bCs/>
                <w:color w:val="000000"/>
                <w:szCs w:val="24"/>
              </w:rPr>
            </w:pPr>
            <w:r w:rsidRPr="0055589E">
              <w:rPr>
                <w:rFonts w:eastAsia="Times New Roman" w:cs="Times New Roman"/>
                <w:b/>
                <w:bCs/>
                <w:color w:val="000000"/>
                <w:szCs w:val="24"/>
              </w:rPr>
              <w:t>Total Injuries</w:t>
            </w:r>
          </w:p>
          <w:p w14:paraId="49459BE8" w14:textId="77777777" w:rsidR="00084235" w:rsidRPr="0055589E" w:rsidRDefault="000F5B51" w:rsidP="0055589E">
            <w:pPr>
              <w:spacing w:after="0" w:line="240" w:lineRule="auto"/>
              <w:contextualSpacing/>
              <w:rPr>
                <w:rFonts w:eastAsia="Times New Roman" w:cs="Times New Roman"/>
                <w:b/>
                <w:bCs/>
                <w:color w:val="000000"/>
                <w:szCs w:val="24"/>
              </w:rPr>
            </w:pPr>
            <w:r w:rsidRPr="0055589E">
              <w:rPr>
                <w:rFonts w:eastAsia="Times New Roman" w:cs="Times New Roman"/>
                <w:b/>
                <w:bCs/>
                <w:color w:val="000000"/>
                <w:szCs w:val="24"/>
              </w:rPr>
              <w:t xml:space="preserve"> (MAIS 1-5)</w:t>
            </w:r>
          </w:p>
        </w:tc>
        <w:tc>
          <w:tcPr>
            <w:tcW w:w="1417" w:type="dxa"/>
            <w:shd w:val="clear" w:color="auto" w:fill="auto"/>
            <w:noWrap/>
            <w:vAlign w:val="center"/>
          </w:tcPr>
          <w:p w14:paraId="0E7AFA63" w14:textId="77777777" w:rsidR="00084235" w:rsidRPr="0055589E" w:rsidRDefault="000F5B51" w:rsidP="009C6EFA">
            <w:pPr>
              <w:spacing w:after="0" w:line="240" w:lineRule="auto"/>
              <w:contextualSpacing/>
              <w:jc w:val="center"/>
              <w:rPr>
                <w:rFonts w:eastAsia="Times New Roman" w:cs="Times New Roman"/>
                <w:b/>
                <w:bCs/>
                <w:color w:val="000000"/>
                <w:szCs w:val="24"/>
              </w:rPr>
            </w:pPr>
            <w:r w:rsidRPr="0055589E">
              <w:rPr>
                <w:b/>
                <w:bCs/>
              </w:rPr>
              <w:t>8,190</w:t>
            </w:r>
          </w:p>
        </w:tc>
        <w:tc>
          <w:tcPr>
            <w:tcW w:w="1645" w:type="dxa"/>
            <w:shd w:val="clear" w:color="auto" w:fill="auto"/>
            <w:noWrap/>
            <w:vAlign w:val="center"/>
          </w:tcPr>
          <w:p w14:paraId="1EE4590C" w14:textId="77777777" w:rsidR="00084235" w:rsidRPr="0055589E" w:rsidRDefault="000F5B51" w:rsidP="00044F2E">
            <w:pPr>
              <w:spacing w:after="0" w:line="240" w:lineRule="auto"/>
              <w:contextualSpacing/>
              <w:jc w:val="center"/>
              <w:rPr>
                <w:rFonts w:eastAsia="Times New Roman" w:cs="Times New Roman"/>
                <w:b/>
                <w:bCs/>
                <w:color w:val="000000"/>
                <w:szCs w:val="24"/>
              </w:rPr>
            </w:pPr>
            <w:r w:rsidRPr="0055589E">
              <w:rPr>
                <w:b/>
                <w:bCs/>
              </w:rPr>
              <w:t>4,589</w:t>
            </w:r>
          </w:p>
        </w:tc>
        <w:tc>
          <w:tcPr>
            <w:tcW w:w="1979" w:type="dxa"/>
            <w:shd w:val="clear" w:color="auto" w:fill="auto"/>
            <w:noWrap/>
            <w:vAlign w:val="center"/>
          </w:tcPr>
          <w:p w14:paraId="3938D3DD" w14:textId="77777777" w:rsidR="00084235" w:rsidRPr="0055589E" w:rsidRDefault="000F5B51">
            <w:pPr>
              <w:spacing w:after="0" w:line="240" w:lineRule="auto"/>
              <w:contextualSpacing/>
              <w:jc w:val="center"/>
              <w:rPr>
                <w:rFonts w:eastAsia="Times New Roman" w:cs="Times New Roman"/>
                <w:b/>
                <w:bCs/>
                <w:color w:val="000000"/>
                <w:szCs w:val="24"/>
              </w:rPr>
            </w:pPr>
            <w:r w:rsidRPr="0055589E">
              <w:rPr>
                <w:b/>
                <w:bCs/>
              </w:rPr>
              <w:t>12,779</w:t>
            </w:r>
          </w:p>
        </w:tc>
      </w:tr>
      <w:tr w:rsidR="00A15C2C" w14:paraId="767EC4D4" w14:textId="77777777" w:rsidTr="0055589E">
        <w:trPr>
          <w:trHeight w:val="290"/>
          <w:jc w:val="center"/>
        </w:trPr>
        <w:tc>
          <w:tcPr>
            <w:tcW w:w="985" w:type="dxa"/>
            <w:vMerge/>
            <w:shd w:val="clear" w:color="auto" w:fill="auto"/>
            <w:noWrap/>
            <w:vAlign w:val="center"/>
            <w:hideMark/>
          </w:tcPr>
          <w:p w14:paraId="18AC4652" w14:textId="77777777" w:rsidR="004E19D4" w:rsidRPr="00A01CA7" w:rsidRDefault="004E19D4" w:rsidP="004E19D4">
            <w:pPr>
              <w:spacing w:after="0" w:line="240" w:lineRule="auto"/>
              <w:contextualSpacing/>
              <w:rPr>
                <w:rFonts w:eastAsia="Times New Roman" w:cs="Times New Roman"/>
                <w:color w:val="000000"/>
                <w:szCs w:val="24"/>
              </w:rPr>
            </w:pPr>
          </w:p>
        </w:tc>
        <w:tc>
          <w:tcPr>
            <w:tcW w:w="2429" w:type="dxa"/>
            <w:shd w:val="clear" w:color="auto" w:fill="auto"/>
            <w:noWrap/>
            <w:vAlign w:val="center"/>
            <w:hideMark/>
          </w:tcPr>
          <w:p w14:paraId="24128125" w14:textId="77777777" w:rsidR="004E19D4" w:rsidRPr="0055589E" w:rsidRDefault="000F5B51" w:rsidP="0055589E">
            <w:pPr>
              <w:spacing w:after="0" w:line="240" w:lineRule="auto"/>
              <w:contextualSpacing/>
              <w:rPr>
                <w:rFonts w:eastAsia="Times New Roman" w:cs="Times New Roman"/>
                <w:b/>
                <w:bCs/>
                <w:color w:val="000000"/>
                <w:szCs w:val="24"/>
              </w:rPr>
            </w:pPr>
            <w:r w:rsidRPr="0055589E">
              <w:rPr>
                <w:rFonts w:eastAsia="Times New Roman" w:cs="Times New Roman"/>
                <w:b/>
                <w:bCs/>
                <w:color w:val="000000"/>
                <w:szCs w:val="24"/>
              </w:rPr>
              <w:t>Fatal</w:t>
            </w:r>
          </w:p>
        </w:tc>
        <w:tc>
          <w:tcPr>
            <w:tcW w:w="1417" w:type="dxa"/>
            <w:shd w:val="clear" w:color="auto" w:fill="auto"/>
            <w:noWrap/>
          </w:tcPr>
          <w:p w14:paraId="74F13B9C" w14:textId="77777777" w:rsidR="004E19D4" w:rsidRPr="0055589E" w:rsidRDefault="000F5B51" w:rsidP="004E19D4">
            <w:pPr>
              <w:spacing w:after="0" w:line="240" w:lineRule="auto"/>
              <w:contextualSpacing/>
              <w:jc w:val="center"/>
              <w:rPr>
                <w:rFonts w:eastAsia="Times New Roman" w:cs="Times New Roman"/>
                <w:b/>
                <w:bCs/>
                <w:color w:val="000000"/>
                <w:szCs w:val="24"/>
              </w:rPr>
            </w:pPr>
            <w:r w:rsidRPr="0055589E">
              <w:rPr>
                <w:b/>
                <w:bCs/>
              </w:rPr>
              <w:t>1,074</w:t>
            </w:r>
          </w:p>
        </w:tc>
        <w:tc>
          <w:tcPr>
            <w:tcW w:w="1645" w:type="dxa"/>
            <w:shd w:val="clear" w:color="auto" w:fill="auto"/>
            <w:noWrap/>
          </w:tcPr>
          <w:p w14:paraId="6588C156" w14:textId="77777777" w:rsidR="004E19D4" w:rsidRPr="0055589E" w:rsidRDefault="000F5B51" w:rsidP="004E19D4">
            <w:pPr>
              <w:spacing w:after="0" w:line="240" w:lineRule="auto"/>
              <w:contextualSpacing/>
              <w:jc w:val="center"/>
              <w:rPr>
                <w:rFonts w:eastAsia="Times New Roman" w:cs="Times New Roman"/>
                <w:b/>
                <w:bCs/>
                <w:color w:val="000000"/>
                <w:szCs w:val="24"/>
              </w:rPr>
            </w:pPr>
            <w:r w:rsidRPr="0055589E">
              <w:rPr>
                <w:b/>
                <w:bCs/>
              </w:rPr>
              <w:t>602</w:t>
            </w:r>
          </w:p>
        </w:tc>
        <w:tc>
          <w:tcPr>
            <w:tcW w:w="1979" w:type="dxa"/>
            <w:shd w:val="clear" w:color="auto" w:fill="auto"/>
            <w:noWrap/>
          </w:tcPr>
          <w:p w14:paraId="4A6DEF36" w14:textId="77777777" w:rsidR="004E19D4" w:rsidRPr="0055589E" w:rsidRDefault="000F5B51" w:rsidP="004E19D4">
            <w:pPr>
              <w:spacing w:after="0" w:line="240" w:lineRule="auto"/>
              <w:contextualSpacing/>
              <w:jc w:val="center"/>
              <w:rPr>
                <w:rFonts w:eastAsia="Times New Roman" w:cs="Times New Roman"/>
                <w:b/>
                <w:bCs/>
                <w:color w:val="000000"/>
                <w:szCs w:val="24"/>
              </w:rPr>
            </w:pPr>
            <w:r w:rsidRPr="0055589E">
              <w:rPr>
                <w:b/>
                <w:bCs/>
              </w:rPr>
              <w:t xml:space="preserve"> 1,676 </w:t>
            </w:r>
          </w:p>
        </w:tc>
      </w:tr>
      <w:tr w:rsidR="00A15C2C" w14:paraId="72183118" w14:textId="77777777" w:rsidTr="0055589E">
        <w:trPr>
          <w:trHeight w:val="290"/>
          <w:jc w:val="center"/>
        </w:trPr>
        <w:tc>
          <w:tcPr>
            <w:tcW w:w="985" w:type="dxa"/>
            <w:vMerge w:val="restart"/>
            <w:shd w:val="clear" w:color="auto" w:fill="auto"/>
            <w:noWrap/>
            <w:vAlign w:val="center"/>
            <w:hideMark/>
          </w:tcPr>
          <w:p w14:paraId="7851ED87" w14:textId="77777777" w:rsidR="00376123" w:rsidRPr="00A01CA7" w:rsidRDefault="000F5B51" w:rsidP="00376123">
            <w:pPr>
              <w:spacing w:after="0" w:line="240" w:lineRule="auto"/>
              <w:contextualSpacing/>
              <w:rPr>
                <w:rFonts w:eastAsia="Times New Roman" w:cs="Times New Roman"/>
                <w:color w:val="000000"/>
                <w:szCs w:val="24"/>
              </w:rPr>
            </w:pPr>
            <w:r w:rsidRPr="00A01CA7">
              <w:rPr>
                <w:rFonts w:eastAsia="Times New Roman" w:cs="Times New Roman"/>
                <w:color w:val="000000"/>
                <w:szCs w:val="24"/>
              </w:rPr>
              <w:t>LTV</w:t>
            </w:r>
          </w:p>
          <w:p w14:paraId="7A123F43" w14:textId="77777777" w:rsidR="00376123" w:rsidRPr="00A01CA7" w:rsidRDefault="000F5B51" w:rsidP="00376123">
            <w:pPr>
              <w:spacing w:after="0" w:line="240" w:lineRule="auto"/>
              <w:contextualSpacing/>
              <w:rPr>
                <w:rFonts w:eastAsia="Times New Roman" w:cs="Times New Roman"/>
                <w:color w:val="000000"/>
                <w:szCs w:val="24"/>
              </w:rPr>
            </w:pPr>
            <w:r w:rsidRPr="00A01CA7">
              <w:rPr>
                <w:rFonts w:eastAsia="Times New Roman" w:cs="Times New Roman"/>
                <w:color w:val="000000"/>
                <w:szCs w:val="24"/>
              </w:rPr>
              <w:t> </w:t>
            </w:r>
          </w:p>
        </w:tc>
        <w:tc>
          <w:tcPr>
            <w:tcW w:w="2429" w:type="dxa"/>
            <w:shd w:val="clear" w:color="auto" w:fill="auto"/>
            <w:noWrap/>
            <w:vAlign w:val="center"/>
            <w:hideMark/>
          </w:tcPr>
          <w:p w14:paraId="2911EAD9" w14:textId="77777777" w:rsidR="00376123" w:rsidRPr="00A01CA7" w:rsidRDefault="000F5B51" w:rsidP="0055589E">
            <w:pPr>
              <w:spacing w:after="0" w:line="240" w:lineRule="auto"/>
              <w:contextualSpacing/>
              <w:rPr>
                <w:rFonts w:eastAsia="Times New Roman" w:cs="Times New Roman"/>
                <w:color w:val="000000"/>
                <w:szCs w:val="24"/>
              </w:rPr>
            </w:pPr>
            <w:r w:rsidRPr="00A01CA7">
              <w:rPr>
                <w:rFonts w:eastAsia="Times New Roman" w:cs="Times New Roman"/>
                <w:color w:val="000000"/>
                <w:szCs w:val="24"/>
              </w:rPr>
              <w:t>MAIS 1</w:t>
            </w:r>
          </w:p>
        </w:tc>
        <w:tc>
          <w:tcPr>
            <w:tcW w:w="1417" w:type="dxa"/>
            <w:shd w:val="clear" w:color="auto" w:fill="auto"/>
            <w:noWrap/>
          </w:tcPr>
          <w:p w14:paraId="2F6B43E6" w14:textId="77777777" w:rsidR="00376123" w:rsidRPr="00A01CA7" w:rsidRDefault="000F5B51" w:rsidP="00376123">
            <w:pPr>
              <w:spacing w:after="0" w:line="240" w:lineRule="auto"/>
              <w:contextualSpacing/>
              <w:jc w:val="center"/>
              <w:rPr>
                <w:rFonts w:eastAsia="Times New Roman" w:cs="Times New Roman"/>
                <w:color w:val="000000"/>
                <w:szCs w:val="24"/>
              </w:rPr>
            </w:pPr>
            <w:r w:rsidRPr="00CC5216">
              <w:t xml:space="preserve"> 2,447 </w:t>
            </w:r>
          </w:p>
        </w:tc>
        <w:tc>
          <w:tcPr>
            <w:tcW w:w="1645" w:type="dxa"/>
            <w:shd w:val="clear" w:color="auto" w:fill="auto"/>
            <w:noWrap/>
          </w:tcPr>
          <w:p w14:paraId="4118A9D1" w14:textId="77777777" w:rsidR="00376123" w:rsidRPr="00A01CA7" w:rsidRDefault="000F5B51" w:rsidP="00376123">
            <w:pPr>
              <w:spacing w:after="0" w:line="240" w:lineRule="auto"/>
              <w:contextualSpacing/>
              <w:jc w:val="center"/>
              <w:rPr>
                <w:rFonts w:eastAsia="Times New Roman" w:cs="Times New Roman"/>
                <w:color w:val="000000"/>
                <w:szCs w:val="24"/>
              </w:rPr>
            </w:pPr>
            <w:r w:rsidRPr="00CC5216">
              <w:t xml:space="preserve"> 2,290 </w:t>
            </w:r>
          </w:p>
        </w:tc>
        <w:tc>
          <w:tcPr>
            <w:tcW w:w="1979" w:type="dxa"/>
            <w:shd w:val="clear" w:color="auto" w:fill="auto"/>
            <w:noWrap/>
          </w:tcPr>
          <w:p w14:paraId="6A3799E7" w14:textId="77777777" w:rsidR="00376123" w:rsidRPr="00A01CA7" w:rsidRDefault="000F5B51" w:rsidP="00376123">
            <w:pPr>
              <w:spacing w:after="0" w:line="240" w:lineRule="auto"/>
              <w:contextualSpacing/>
              <w:jc w:val="center"/>
              <w:rPr>
                <w:rFonts w:eastAsia="Times New Roman" w:cs="Times New Roman"/>
                <w:color w:val="000000"/>
                <w:szCs w:val="24"/>
              </w:rPr>
            </w:pPr>
            <w:r w:rsidRPr="00CC5216">
              <w:t xml:space="preserve"> 4,737 </w:t>
            </w:r>
          </w:p>
        </w:tc>
      </w:tr>
      <w:tr w:rsidR="00A15C2C" w14:paraId="4844C979" w14:textId="77777777" w:rsidTr="0055589E">
        <w:trPr>
          <w:trHeight w:val="300"/>
          <w:jc w:val="center"/>
        </w:trPr>
        <w:tc>
          <w:tcPr>
            <w:tcW w:w="985" w:type="dxa"/>
            <w:vMerge/>
            <w:shd w:val="clear" w:color="auto" w:fill="auto"/>
            <w:noWrap/>
            <w:vAlign w:val="center"/>
            <w:hideMark/>
          </w:tcPr>
          <w:p w14:paraId="2520616D" w14:textId="77777777" w:rsidR="00376123" w:rsidRPr="00A01CA7" w:rsidRDefault="00376123" w:rsidP="00376123">
            <w:pPr>
              <w:spacing w:after="0" w:line="240" w:lineRule="auto"/>
              <w:contextualSpacing/>
              <w:rPr>
                <w:rFonts w:eastAsia="Times New Roman" w:cs="Times New Roman"/>
                <w:color w:val="000000"/>
                <w:szCs w:val="24"/>
              </w:rPr>
            </w:pPr>
          </w:p>
        </w:tc>
        <w:tc>
          <w:tcPr>
            <w:tcW w:w="2429" w:type="dxa"/>
            <w:shd w:val="clear" w:color="auto" w:fill="auto"/>
            <w:noWrap/>
            <w:vAlign w:val="center"/>
            <w:hideMark/>
          </w:tcPr>
          <w:p w14:paraId="6646683D" w14:textId="77777777" w:rsidR="00376123" w:rsidRPr="00A01CA7" w:rsidRDefault="000F5B51" w:rsidP="0055589E">
            <w:pPr>
              <w:spacing w:after="0" w:line="240" w:lineRule="auto"/>
              <w:contextualSpacing/>
              <w:rPr>
                <w:rFonts w:eastAsia="Times New Roman" w:cs="Times New Roman"/>
                <w:color w:val="000000"/>
                <w:szCs w:val="24"/>
              </w:rPr>
            </w:pPr>
            <w:r w:rsidRPr="00A01CA7">
              <w:rPr>
                <w:rFonts w:eastAsia="Times New Roman" w:cs="Times New Roman"/>
                <w:color w:val="000000"/>
                <w:szCs w:val="24"/>
              </w:rPr>
              <w:t>MAIS 2</w:t>
            </w:r>
          </w:p>
        </w:tc>
        <w:tc>
          <w:tcPr>
            <w:tcW w:w="1417" w:type="dxa"/>
            <w:shd w:val="clear" w:color="auto" w:fill="auto"/>
            <w:noWrap/>
          </w:tcPr>
          <w:p w14:paraId="3619DD9A" w14:textId="77777777" w:rsidR="00376123" w:rsidRPr="00A01CA7" w:rsidRDefault="000F5B51" w:rsidP="00376123">
            <w:pPr>
              <w:spacing w:after="0" w:line="240" w:lineRule="auto"/>
              <w:contextualSpacing/>
              <w:jc w:val="center"/>
              <w:rPr>
                <w:rFonts w:eastAsia="Times New Roman" w:cs="Times New Roman"/>
                <w:color w:val="000000"/>
                <w:szCs w:val="24"/>
              </w:rPr>
            </w:pPr>
            <w:r w:rsidRPr="00CC5216">
              <w:t xml:space="preserve"> 831 </w:t>
            </w:r>
          </w:p>
        </w:tc>
        <w:tc>
          <w:tcPr>
            <w:tcW w:w="1645" w:type="dxa"/>
            <w:shd w:val="clear" w:color="auto" w:fill="auto"/>
            <w:noWrap/>
          </w:tcPr>
          <w:p w14:paraId="195736F0" w14:textId="77777777" w:rsidR="00376123" w:rsidRPr="00A01CA7" w:rsidRDefault="000F5B51" w:rsidP="00376123">
            <w:pPr>
              <w:spacing w:after="0" w:line="240" w:lineRule="auto"/>
              <w:contextualSpacing/>
              <w:jc w:val="center"/>
              <w:rPr>
                <w:rFonts w:eastAsia="Times New Roman" w:cs="Times New Roman"/>
                <w:color w:val="000000"/>
                <w:szCs w:val="24"/>
              </w:rPr>
            </w:pPr>
            <w:r w:rsidRPr="00CC5216">
              <w:t xml:space="preserve"> 778 </w:t>
            </w:r>
          </w:p>
        </w:tc>
        <w:tc>
          <w:tcPr>
            <w:tcW w:w="1979" w:type="dxa"/>
            <w:shd w:val="clear" w:color="auto" w:fill="auto"/>
            <w:noWrap/>
          </w:tcPr>
          <w:p w14:paraId="41E34E6F" w14:textId="77777777" w:rsidR="00376123" w:rsidRPr="00A01CA7" w:rsidRDefault="000F5B51" w:rsidP="00376123">
            <w:pPr>
              <w:spacing w:after="0" w:line="240" w:lineRule="auto"/>
              <w:contextualSpacing/>
              <w:jc w:val="center"/>
              <w:rPr>
                <w:rFonts w:eastAsia="Times New Roman" w:cs="Times New Roman"/>
                <w:color w:val="000000"/>
                <w:szCs w:val="24"/>
              </w:rPr>
            </w:pPr>
            <w:r w:rsidRPr="00CC5216">
              <w:t xml:space="preserve"> 1,609 </w:t>
            </w:r>
          </w:p>
        </w:tc>
      </w:tr>
      <w:tr w:rsidR="00A15C2C" w14:paraId="07B89C6F" w14:textId="77777777" w:rsidTr="0055589E">
        <w:trPr>
          <w:trHeight w:val="290"/>
          <w:jc w:val="center"/>
        </w:trPr>
        <w:tc>
          <w:tcPr>
            <w:tcW w:w="985" w:type="dxa"/>
            <w:vMerge/>
            <w:shd w:val="clear" w:color="auto" w:fill="auto"/>
            <w:noWrap/>
            <w:vAlign w:val="center"/>
            <w:hideMark/>
          </w:tcPr>
          <w:p w14:paraId="11F1F5EF" w14:textId="77777777" w:rsidR="00376123" w:rsidRPr="00A01CA7" w:rsidRDefault="00376123" w:rsidP="00376123">
            <w:pPr>
              <w:spacing w:after="0" w:line="240" w:lineRule="auto"/>
              <w:contextualSpacing/>
              <w:rPr>
                <w:rFonts w:eastAsia="Times New Roman" w:cs="Times New Roman"/>
                <w:color w:val="000000"/>
                <w:szCs w:val="24"/>
              </w:rPr>
            </w:pPr>
          </w:p>
        </w:tc>
        <w:tc>
          <w:tcPr>
            <w:tcW w:w="2429" w:type="dxa"/>
            <w:shd w:val="clear" w:color="auto" w:fill="auto"/>
            <w:noWrap/>
            <w:vAlign w:val="center"/>
            <w:hideMark/>
          </w:tcPr>
          <w:p w14:paraId="0A749689" w14:textId="77777777" w:rsidR="00376123" w:rsidRPr="00A01CA7" w:rsidRDefault="000F5B51" w:rsidP="0055589E">
            <w:pPr>
              <w:spacing w:after="0" w:line="240" w:lineRule="auto"/>
              <w:contextualSpacing/>
              <w:rPr>
                <w:rFonts w:eastAsia="Times New Roman" w:cs="Times New Roman"/>
                <w:color w:val="000000"/>
                <w:szCs w:val="24"/>
              </w:rPr>
            </w:pPr>
            <w:r w:rsidRPr="00A01CA7">
              <w:rPr>
                <w:rFonts w:eastAsia="Times New Roman" w:cs="Times New Roman"/>
                <w:color w:val="000000"/>
                <w:szCs w:val="24"/>
              </w:rPr>
              <w:t>MAIS 3</w:t>
            </w:r>
          </w:p>
        </w:tc>
        <w:tc>
          <w:tcPr>
            <w:tcW w:w="1417" w:type="dxa"/>
            <w:shd w:val="clear" w:color="auto" w:fill="auto"/>
            <w:noWrap/>
          </w:tcPr>
          <w:p w14:paraId="35BFCEE7" w14:textId="77777777" w:rsidR="00376123" w:rsidRPr="00A01CA7" w:rsidRDefault="000F5B51" w:rsidP="00376123">
            <w:pPr>
              <w:spacing w:after="0" w:line="240" w:lineRule="auto"/>
              <w:contextualSpacing/>
              <w:jc w:val="center"/>
              <w:rPr>
                <w:rFonts w:eastAsia="Times New Roman" w:cs="Times New Roman"/>
                <w:color w:val="000000"/>
                <w:szCs w:val="24"/>
              </w:rPr>
            </w:pPr>
            <w:r w:rsidRPr="00CC5216">
              <w:t xml:space="preserve"> 5 </w:t>
            </w:r>
          </w:p>
        </w:tc>
        <w:tc>
          <w:tcPr>
            <w:tcW w:w="1645" w:type="dxa"/>
            <w:shd w:val="clear" w:color="auto" w:fill="auto"/>
            <w:noWrap/>
          </w:tcPr>
          <w:p w14:paraId="1A713230" w14:textId="77777777" w:rsidR="00376123" w:rsidRPr="00A01CA7" w:rsidRDefault="000F5B51" w:rsidP="00376123">
            <w:pPr>
              <w:spacing w:after="0" w:line="240" w:lineRule="auto"/>
              <w:contextualSpacing/>
              <w:jc w:val="center"/>
              <w:rPr>
                <w:rFonts w:eastAsia="Times New Roman" w:cs="Times New Roman"/>
                <w:color w:val="000000"/>
                <w:szCs w:val="24"/>
              </w:rPr>
            </w:pPr>
            <w:r w:rsidRPr="00CC5216">
              <w:t xml:space="preserve"> 5 </w:t>
            </w:r>
          </w:p>
        </w:tc>
        <w:tc>
          <w:tcPr>
            <w:tcW w:w="1979" w:type="dxa"/>
            <w:shd w:val="clear" w:color="auto" w:fill="auto"/>
            <w:noWrap/>
          </w:tcPr>
          <w:p w14:paraId="039F0CBF" w14:textId="77777777" w:rsidR="00376123" w:rsidRPr="00A01CA7" w:rsidRDefault="000F5B51" w:rsidP="00376123">
            <w:pPr>
              <w:spacing w:after="0" w:line="240" w:lineRule="auto"/>
              <w:contextualSpacing/>
              <w:jc w:val="center"/>
              <w:rPr>
                <w:rFonts w:eastAsia="Times New Roman" w:cs="Times New Roman"/>
                <w:color w:val="000000"/>
                <w:szCs w:val="24"/>
              </w:rPr>
            </w:pPr>
            <w:r w:rsidRPr="00CC5216">
              <w:t xml:space="preserve"> 11 </w:t>
            </w:r>
          </w:p>
        </w:tc>
      </w:tr>
      <w:tr w:rsidR="00A15C2C" w14:paraId="29D005D5" w14:textId="77777777" w:rsidTr="0055589E">
        <w:trPr>
          <w:trHeight w:val="300"/>
          <w:jc w:val="center"/>
        </w:trPr>
        <w:tc>
          <w:tcPr>
            <w:tcW w:w="985" w:type="dxa"/>
            <w:vMerge/>
            <w:shd w:val="clear" w:color="auto" w:fill="auto"/>
            <w:noWrap/>
            <w:vAlign w:val="center"/>
            <w:hideMark/>
          </w:tcPr>
          <w:p w14:paraId="505605C5" w14:textId="77777777" w:rsidR="00376123" w:rsidRPr="00A01CA7" w:rsidRDefault="00376123" w:rsidP="00376123">
            <w:pPr>
              <w:spacing w:after="0" w:line="240" w:lineRule="auto"/>
              <w:contextualSpacing/>
              <w:rPr>
                <w:rFonts w:eastAsia="Times New Roman" w:cs="Times New Roman"/>
                <w:color w:val="000000"/>
                <w:szCs w:val="24"/>
              </w:rPr>
            </w:pPr>
          </w:p>
        </w:tc>
        <w:tc>
          <w:tcPr>
            <w:tcW w:w="2429" w:type="dxa"/>
            <w:shd w:val="clear" w:color="auto" w:fill="auto"/>
            <w:noWrap/>
            <w:vAlign w:val="center"/>
            <w:hideMark/>
          </w:tcPr>
          <w:p w14:paraId="0F28404B" w14:textId="77777777" w:rsidR="00376123" w:rsidRPr="00A01CA7" w:rsidRDefault="000F5B51" w:rsidP="0055589E">
            <w:pPr>
              <w:spacing w:after="0" w:line="240" w:lineRule="auto"/>
              <w:contextualSpacing/>
              <w:rPr>
                <w:rFonts w:eastAsia="Times New Roman" w:cs="Times New Roman"/>
                <w:color w:val="000000"/>
                <w:szCs w:val="24"/>
              </w:rPr>
            </w:pPr>
            <w:r w:rsidRPr="00A01CA7">
              <w:rPr>
                <w:rFonts w:eastAsia="Times New Roman" w:cs="Times New Roman"/>
                <w:color w:val="000000"/>
                <w:szCs w:val="24"/>
              </w:rPr>
              <w:t>MAIS 4</w:t>
            </w:r>
          </w:p>
        </w:tc>
        <w:tc>
          <w:tcPr>
            <w:tcW w:w="1417" w:type="dxa"/>
            <w:shd w:val="clear" w:color="auto" w:fill="auto"/>
            <w:noWrap/>
          </w:tcPr>
          <w:p w14:paraId="16373C0A" w14:textId="77777777" w:rsidR="00376123" w:rsidRPr="00A01CA7" w:rsidRDefault="000F5B51" w:rsidP="00376123">
            <w:pPr>
              <w:spacing w:after="0" w:line="240" w:lineRule="auto"/>
              <w:contextualSpacing/>
              <w:jc w:val="center"/>
              <w:rPr>
                <w:rFonts w:eastAsia="Times New Roman" w:cs="Times New Roman"/>
                <w:color w:val="000000"/>
                <w:szCs w:val="24"/>
              </w:rPr>
            </w:pPr>
            <w:r w:rsidRPr="00CC5216">
              <w:t xml:space="preserve"> 39 </w:t>
            </w:r>
          </w:p>
        </w:tc>
        <w:tc>
          <w:tcPr>
            <w:tcW w:w="1645" w:type="dxa"/>
            <w:shd w:val="clear" w:color="auto" w:fill="auto"/>
            <w:noWrap/>
          </w:tcPr>
          <w:p w14:paraId="60070759" w14:textId="77777777" w:rsidR="00376123" w:rsidRPr="00A01CA7" w:rsidRDefault="000F5B51" w:rsidP="00376123">
            <w:pPr>
              <w:spacing w:after="0" w:line="240" w:lineRule="auto"/>
              <w:contextualSpacing/>
              <w:jc w:val="center"/>
              <w:rPr>
                <w:rFonts w:eastAsia="Times New Roman" w:cs="Times New Roman"/>
                <w:color w:val="000000"/>
                <w:szCs w:val="24"/>
              </w:rPr>
            </w:pPr>
            <w:r w:rsidRPr="00CC5216">
              <w:t xml:space="preserve"> 37 </w:t>
            </w:r>
          </w:p>
        </w:tc>
        <w:tc>
          <w:tcPr>
            <w:tcW w:w="1979" w:type="dxa"/>
            <w:shd w:val="clear" w:color="auto" w:fill="auto"/>
            <w:noWrap/>
          </w:tcPr>
          <w:p w14:paraId="08B1D89F" w14:textId="77777777" w:rsidR="00376123" w:rsidRPr="00A01CA7" w:rsidRDefault="000F5B51" w:rsidP="00376123">
            <w:pPr>
              <w:spacing w:after="0" w:line="240" w:lineRule="auto"/>
              <w:contextualSpacing/>
              <w:jc w:val="center"/>
              <w:rPr>
                <w:rFonts w:eastAsia="Times New Roman" w:cs="Times New Roman"/>
                <w:color w:val="000000"/>
                <w:szCs w:val="24"/>
              </w:rPr>
            </w:pPr>
            <w:r w:rsidRPr="00CC5216">
              <w:t xml:space="preserve"> 76 </w:t>
            </w:r>
          </w:p>
        </w:tc>
      </w:tr>
      <w:tr w:rsidR="00A15C2C" w14:paraId="465792F2" w14:textId="77777777" w:rsidTr="0055589E">
        <w:trPr>
          <w:trHeight w:val="290"/>
          <w:jc w:val="center"/>
        </w:trPr>
        <w:tc>
          <w:tcPr>
            <w:tcW w:w="985" w:type="dxa"/>
            <w:vMerge/>
            <w:shd w:val="clear" w:color="auto" w:fill="auto"/>
            <w:noWrap/>
            <w:vAlign w:val="center"/>
            <w:hideMark/>
          </w:tcPr>
          <w:p w14:paraId="2C7C8D74" w14:textId="77777777" w:rsidR="00376123" w:rsidRPr="00A01CA7" w:rsidRDefault="00376123" w:rsidP="00376123">
            <w:pPr>
              <w:spacing w:after="0" w:line="240" w:lineRule="auto"/>
              <w:contextualSpacing/>
              <w:rPr>
                <w:rFonts w:eastAsia="Times New Roman" w:cs="Times New Roman"/>
                <w:color w:val="000000"/>
                <w:szCs w:val="24"/>
              </w:rPr>
            </w:pPr>
          </w:p>
        </w:tc>
        <w:tc>
          <w:tcPr>
            <w:tcW w:w="2429" w:type="dxa"/>
            <w:shd w:val="clear" w:color="auto" w:fill="auto"/>
            <w:noWrap/>
            <w:vAlign w:val="center"/>
            <w:hideMark/>
          </w:tcPr>
          <w:p w14:paraId="414B6326" w14:textId="77777777" w:rsidR="00376123" w:rsidRPr="00A01CA7" w:rsidRDefault="000F5B51" w:rsidP="0055589E">
            <w:pPr>
              <w:spacing w:after="0" w:line="240" w:lineRule="auto"/>
              <w:contextualSpacing/>
              <w:rPr>
                <w:rFonts w:eastAsia="Times New Roman" w:cs="Times New Roman"/>
                <w:color w:val="000000"/>
                <w:szCs w:val="24"/>
              </w:rPr>
            </w:pPr>
            <w:r w:rsidRPr="00A01CA7">
              <w:rPr>
                <w:rFonts w:eastAsia="Times New Roman" w:cs="Times New Roman"/>
                <w:color w:val="000000"/>
                <w:szCs w:val="24"/>
              </w:rPr>
              <w:t>MAIS 5</w:t>
            </w:r>
          </w:p>
        </w:tc>
        <w:tc>
          <w:tcPr>
            <w:tcW w:w="1417" w:type="dxa"/>
            <w:shd w:val="clear" w:color="auto" w:fill="auto"/>
            <w:noWrap/>
          </w:tcPr>
          <w:p w14:paraId="042771A4" w14:textId="77777777" w:rsidR="00376123" w:rsidRPr="00A01CA7" w:rsidRDefault="000F5B51" w:rsidP="00376123">
            <w:pPr>
              <w:spacing w:after="0" w:line="240" w:lineRule="auto"/>
              <w:contextualSpacing/>
              <w:jc w:val="center"/>
              <w:rPr>
                <w:rFonts w:eastAsia="Times New Roman" w:cs="Times New Roman"/>
                <w:color w:val="000000"/>
                <w:szCs w:val="24"/>
              </w:rPr>
            </w:pPr>
            <w:r w:rsidRPr="00CC5216">
              <w:t xml:space="preserve"> 3 </w:t>
            </w:r>
          </w:p>
        </w:tc>
        <w:tc>
          <w:tcPr>
            <w:tcW w:w="1645" w:type="dxa"/>
            <w:shd w:val="clear" w:color="auto" w:fill="auto"/>
            <w:noWrap/>
          </w:tcPr>
          <w:p w14:paraId="783F42F8" w14:textId="77777777" w:rsidR="00376123" w:rsidRPr="00A01CA7" w:rsidRDefault="000F5B51" w:rsidP="00376123">
            <w:pPr>
              <w:spacing w:after="0" w:line="240" w:lineRule="auto"/>
              <w:contextualSpacing/>
              <w:jc w:val="center"/>
              <w:rPr>
                <w:rFonts w:eastAsia="Times New Roman" w:cs="Times New Roman"/>
                <w:color w:val="000000"/>
                <w:szCs w:val="24"/>
              </w:rPr>
            </w:pPr>
            <w:r w:rsidRPr="00CC5216">
              <w:t xml:space="preserve"> 3 </w:t>
            </w:r>
          </w:p>
        </w:tc>
        <w:tc>
          <w:tcPr>
            <w:tcW w:w="1979" w:type="dxa"/>
            <w:shd w:val="clear" w:color="auto" w:fill="auto"/>
            <w:noWrap/>
          </w:tcPr>
          <w:p w14:paraId="2DF90C3F" w14:textId="77777777" w:rsidR="00376123" w:rsidRPr="00A01CA7" w:rsidRDefault="000F5B51" w:rsidP="00376123">
            <w:pPr>
              <w:spacing w:after="0" w:line="240" w:lineRule="auto"/>
              <w:contextualSpacing/>
              <w:jc w:val="center"/>
              <w:rPr>
                <w:rFonts w:eastAsia="Times New Roman" w:cs="Times New Roman"/>
                <w:color w:val="000000"/>
                <w:szCs w:val="24"/>
              </w:rPr>
            </w:pPr>
            <w:r w:rsidRPr="00CC5216">
              <w:t xml:space="preserve"> 5 </w:t>
            </w:r>
          </w:p>
        </w:tc>
      </w:tr>
      <w:tr w:rsidR="00A15C2C" w14:paraId="58B056DB" w14:textId="77777777" w:rsidTr="0055589E">
        <w:trPr>
          <w:trHeight w:val="290"/>
          <w:jc w:val="center"/>
        </w:trPr>
        <w:tc>
          <w:tcPr>
            <w:tcW w:w="985" w:type="dxa"/>
            <w:vMerge/>
            <w:shd w:val="clear" w:color="auto" w:fill="auto"/>
            <w:noWrap/>
            <w:vAlign w:val="center"/>
          </w:tcPr>
          <w:p w14:paraId="28AD2163" w14:textId="77777777" w:rsidR="00754889" w:rsidRPr="00A01CA7" w:rsidRDefault="00754889" w:rsidP="00754889">
            <w:pPr>
              <w:spacing w:after="0" w:line="240" w:lineRule="auto"/>
              <w:contextualSpacing/>
              <w:rPr>
                <w:rFonts w:eastAsia="Times New Roman" w:cs="Times New Roman"/>
                <w:color w:val="000000"/>
                <w:szCs w:val="24"/>
              </w:rPr>
            </w:pPr>
          </w:p>
        </w:tc>
        <w:tc>
          <w:tcPr>
            <w:tcW w:w="2429" w:type="dxa"/>
            <w:shd w:val="clear" w:color="auto" w:fill="auto"/>
            <w:noWrap/>
            <w:vAlign w:val="center"/>
          </w:tcPr>
          <w:p w14:paraId="14E693C8" w14:textId="77777777" w:rsidR="00754889" w:rsidRPr="00934F2C" w:rsidRDefault="000F5B51" w:rsidP="0055589E">
            <w:pPr>
              <w:spacing w:after="0" w:line="240" w:lineRule="auto"/>
              <w:contextualSpacing/>
              <w:rPr>
                <w:rFonts w:eastAsia="Times New Roman" w:cs="Times New Roman"/>
                <w:b/>
                <w:bCs/>
                <w:color w:val="000000"/>
                <w:szCs w:val="24"/>
              </w:rPr>
            </w:pPr>
            <w:r w:rsidRPr="00934F2C">
              <w:rPr>
                <w:rFonts w:eastAsia="Times New Roman" w:cs="Times New Roman"/>
                <w:b/>
                <w:bCs/>
                <w:color w:val="000000"/>
                <w:szCs w:val="24"/>
              </w:rPr>
              <w:t>Total Injuries</w:t>
            </w:r>
          </w:p>
          <w:p w14:paraId="6CC017B3" w14:textId="77777777" w:rsidR="00754889" w:rsidRPr="00A01CA7" w:rsidRDefault="000F5B51" w:rsidP="0055589E">
            <w:pPr>
              <w:spacing w:after="0" w:line="240" w:lineRule="auto"/>
              <w:contextualSpacing/>
              <w:rPr>
                <w:rFonts w:eastAsia="Times New Roman" w:cs="Times New Roman"/>
                <w:color w:val="000000"/>
                <w:szCs w:val="24"/>
              </w:rPr>
            </w:pPr>
            <w:r w:rsidRPr="00934F2C">
              <w:rPr>
                <w:rFonts w:eastAsia="Times New Roman" w:cs="Times New Roman"/>
                <w:b/>
                <w:bCs/>
                <w:color w:val="000000"/>
                <w:szCs w:val="24"/>
              </w:rPr>
              <w:t xml:space="preserve"> (MAIS 1-5)</w:t>
            </w:r>
          </w:p>
        </w:tc>
        <w:tc>
          <w:tcPr>
            <w:tcW w:w="1417" w:type="dxa"/>
            <w:shd w:val="clear" w:color="auto" w:fill="auto"/>
            <w:noWrap/>
            <w:vAlign w:val="center"/>
          </w:tcPr>
          <w:p w14:paraId="205A2923" w14:textId="77777777" w:rsidR="00754889" w:rsidRPr="0055589E" w:rsidRDefault="000F5B51" w:rsidP="009C6EFA">
            <w:pPr>
              <w:spacing w:after="0" w:line="240" w:lineRule="auto"/>
              <w:contextualSpacing/>
              <w:jc w:val="center"/>
              <w:rPr>
                <w:rFonts w:eastAsia="Times New Roman" w:cs="Times New Roman"/>
                <w:b/>
                <w:bCs/>
                <w:color w:val="000000"/>
                <w:szCs w:val="24"/>
              </w:rPr>
            </w:pPr>
            <w:r w:rsidRPr="0055589E">
              <w:rPr>
                <w:b/>
                <w:bCs/>
              </w:rPr>
              <w:t>3,326</w:t>
            </w:r>
          </w:p>
        </w:tc>
        <w:tc>
          <w:tcPr>
            <w:tcW w:w="1645" w:type="dxa"/>
            <w:shd w:val="clear" w:color="auto" w:fill="auto"/>
            <w:noWrap/>
            <w:vAlign w:val="center"/>
          </w:tcPr>
          <w:p w14:paraId="3DE8E7FA" w14:textId="77777777" w:rsidR="00754889" w:rsidRPr="0055589E" w:rsidRDefault="000F5B51" w:rsidP="00044F2E">
            <w:pPr>
              <w:spacing w:after="0" w:line="240" w:lineRule="auto"/>
              <w:contextualSpacing/>
              <w:jc w:val="center"/>
              <w:rPr>
                <w:rFonts w:eastAsia="Times New Roman" w:cs="Times New Roman"/>
                <w:b/>
                <w:bCs/>
                <w:color w:val="000000"/>
                <w:szCs w:val="24"/>
              </w:rPr>
            </w:pPr>
            <w:r w:rsidRPr="0055589E">
              <w:rPr>
                <w:b/>
                <w:bCs/>
              </w:rPr>
              <w:t>3,112</w:t>
            </w:r>
          </w:p>
        </w:tc>
        <w:tc>
          <w:tcPr>
            <w:tcW w:w="1979" w:type="dxa"/>
            <w:shd w:val="clear" w:color="auto" w:fill="auto"/>
            <w:noWrap/>
            <w:vAlign w:val="center"/>
          </w:tcPr>
          <w:p w14:paraId="2B182781" w14:textId="77777777" w:rsidR="00754889" w:rsidRPr="0055589E" w:rsidRDefault="000F5B51">
            <w:pPr>
              <w:spacing w:after="0" w:line="240" w:lineRule="auto"/>
              <w:contextualSpacing/>
              <w:jc w:val="center"/>
              <w:rPr>
                <w:rFonts w:eastAsia="Times New Roman" w:cs="Times New Roman"/>
                <w:b/>
                <w:bCs/>
                <w:color w:val="000000"/>
                <w:szCs w:val="24"/>
              </w:rPr>
            </w:pPr>
            <w:r w:rsidRPr="0055589E">
              <w:rPr>
                <w:b/>
                <w:bCs/>
              </w:rPr>
              <w:t>6,438</w:t>
            </w:r>
          </w:p>
        </w:tc>
      </w:tr>
      <w:tr w:rsidR="00A15C2C" w14:paraId="25F9A0D7" w14:textId="77777777" w:rsidTr="0055589E">
        <w:trPr>
          <w:trHeight w:val="300"/>
          <w:jc w:val="center"/>
        </w:trPr>
        <w:tc>
          <w:tcPr>
            <w:tcW w:w="985" w:type="dxa"/>
            <w:vMerge/>
            <w:shd w:val="clear" w:color="auto" w:fill="auto"/>
            <w:noWrap/>
            <w:vAlign w:val="center"/>
            <w:hideMark/>
          </w:tcPr>
          <w:p w14:paraId="0000E4FB" w14:textId="77777777" w:rsidR="00B30194" w:rsidRPr="00A01CA7" w:rsidRDefault="00B30194" w:rsidP="00B30194">
            <w:pPr>
              <w:spacing w:after="0" w:line="240" w:lineRule="auto"/>
              <w:contextualSpacing/>
              <w:rPr>
                <w:rFonts w:eastAsia="Times New Roman" w:cs="Times New Roman"/>
                <w:color w:val="000000"/>
                <w:szCs w:val="24"/>
              </w:rPr>
            </w:pPr>
          </w:p>
        </w:tc>
        <w:tc>
          <w:tcPr>
            <w:tcW w:w="2429" w:type="dxa"/>
            <w:shd w:val="clear" w:color="auto" w:fill="auto"/>
            <w:noWrap/>
            <w:vAlign w:val="center"/>
            <w:hideMark/>
          </w:tcPr>
          <w:p w14:paraId="3D5D275B" w14:textId="77777777" w:rsidR="00B30194" w:rsidRPr="0055589E" w:rsidRDefault="000F5B51" w:rsidP="0055589E">
            <w:pPr>
              <w:spacing w:after="0" w:line="240" w:lineRule="auto"/>
              <w:contextualSpacing/>
              <w:rPr>
                <w:rFonts w:eastAsia="Times New Roman" w:cs="Times New Roman"/>
                <w:b/>
                <w:bCs/>
                <w:color w:val="000000"/>
                <w:szCs w:val="24"/>
              </w:rPr>
            </w:pPr>
            <w:r w:rsidRPr="0055589E">
              <w:rPr>
                <w:rFonts w:eastAsia="Times New Roman" w:cs="Times New Roman"/>
                <w:b/>
                <w:bCs/>
                <w:color w:val="000000"/>
                <w:szCs w:val="24"/>
              </w:rPr>
              <w:t>Fatal</w:t>
            </w:r>
          </w:p>
        </w:tc>
        <w:tc>
          <w:tcPr>
            <w:tcW w:w="1417" w:type="dxa"/>
            <w:shd w:val="clear" w:color="auto" w:fill="auto"/>
            <w:noWrap/>
          </w:tcPr>
          <w:p w14:paraId="39BBB46A" w14:textId="77777777" w:rsidR="00B30194" w:rsidRPr="0055589E" w:rsidRDefault="000F5B51" w:rsidP="00B30194">
            <w:pPr>
              <w:spacing w:after="0" w:line="240" w:lineRule="auto"/>
              <w:contextualSpacing/>
              <w:jc w:val="center"/>
              <w:rPr>
                <w:rFonts w:eastAsia="Times New Roman" w:cs="Times New Roman"/>
                <w:b/>
                <w:bCs/>
                <w:color w:val="000000"/>
                <w:szCs w:val="24"/>
              </w:rPr>
            </w:pPr>
            <w:r w:rsidRPr="0055589E">
              <w:rPr>
                <w:b/>
                <w:bCs/>
              </w:rPr>
              <w:t>508</w:t>
            </w:r>
          </w:p>
        </w:tc>
        <w:tc>
          <w:tcPr>
            <w:tcW w:w="1645" w:type="dxa"/>
            <w:shd w:val="clear" w:color="auto" w:fill="auto"/>
            <w:noWrap/>
          </w:tcPr>
          <w:p w14:paraId="71050C6A" w14:textId="77777777" w:rsidR="00B30194" w:rsidRPr="0055589E" w:rsidRDefault="000F5B51" w:rsidP="00B30194">
            <w:pPr>
              <w:spacing w:after="0" w:line="240" w:lineRule="auto"/>
              <w:contextualSpacing/>
              <w:jc w:val="center"/>
              <w:rPr>
                <w:rFonts w:eastAsia="Times New Roman" w:cs="Times New Roman"/>
                <w:b/>
                <w:bCs/>
                <w:color w:val="000000"/>
                <w:szCs w:val="24"/>
              </w:rPr>
            </w:pPr>
            <w:r w:rsidRPr="0055589E">
              <w:rPr>
                <w:b/>
                <w:bCs/>
              </w:rPr>
              <w:t>475</w:t>
            </w:r>
          </w:p>
        </w:tc>
        <w:tc>
          <w:tcPr>
            <w:tcW w:w="1979" w:type="dxa"/>
            <w:shd w:val="clear" w:color="auto" w:fill="auto"/>
            <w:noWrap/>
          </w:tcPr>
          <w:p w14:paraId="69BA2A67" w14:textId="77777777" w:rsidR="00B30194" w:rsidRPr="0055589E" w:rsidRDefault="000F5B51" w:rsidP="00B30194">
            <w:pPr>
              <w:spacing w:after="0" w:line="240" w:lineRule="auto"/>
              <w:contextualSpacing/>
              <w:jc w:val="center"/>
              <w:rPr>
                <w:rFonts w:eastAsia="Times New Roman" w:cs="Times New Roman"/>
                <w:b/>
                <w:bCs/>
                <w:color w:val="000000"/>
                <w:szCs w:val="24"/>
              </w:rPr>
            </w:pPr>
            <w:r w:rsidRPr="0055589E">
              <w:rPr>
                <w:b/>
                <w:bCs/>
              </w:rPr>
              <w:t xml:space="preserve"> 983 </w:t>
            </w:r>
          </w:p>
        </w:tc>
      </w:tr>
      <w:bookmarkEnd w:id="110"/>
    </w:tbl>
    <w:p w14:paraId="749C0F66" w14:textId="77777777" w:rsidR="006F18D0" w:rsidRDefault="006F18D0" w:rsidP="0055589E">
      <w:pPr>
        <w:pStyle w:val="NoSpaceTimes"/>
      </w:pPr>
    </w:p>
    <w:p w14:paraId="2207BE35" w14:textId="77777777" w:rsidR="00DC7D3D" w:rsidRDefault="000F5B51" w:rsidP="009229EF">
      <w:pPr>
        <w:pStyle w:val="Heading1"/>
        <w:keepNext w:val="0"/>
        <w:keepLines w:val="0"/>
        <w:widowControl w:val="0"/>
        <w:spacing w:before="0" w:line="240" w:lineRule="auto"/>
      </w:pPr>
      <w:bookmarkStart w:id="111" w:name="_Toc126127698"/>
      <w:bookmarkStart w:id="112" w:name="_Toc126128080"/>
      <w:bookmarkStart w:id="113" w:name="_Toc126588022"/>
      <w:bookmarkStart w:id="114" w:name="_Toc126909514"/>
      <w:bookmarkStart w:id="115" w:name="_Toc127263254"/>
      <w:bookmarkStart w:id="116" w:name="_Toc126127699"/>
      <w:bookmarkStart w:id="117" w:name="_Toc126128081"/>
      <w:bookmarkStart w:id="118" w:name="_Toc126588023"/>
      <w:bookmarkStart w:id="119" w:name="_Toc126909515"/>
      <w:bookmarkStart w:id="120" w:name="_Toc127263255"/>
      <w:bookmarkStart w:id="121" w:name="_Toc126127700"/>
      <w:bookmarkStart w:id="122" w:name="_Toc126128082"/>
      <w:bookmarkStart w:id="123" w:name="_Toc126588024"/>
      <w:bookmarkStart w:id="124" w:name="_Toc126909516"/>
      <w:bookmarkStart w:id="125" w:name="_Toc127263256"/>
      <w:bookmarkStart w:id="126" w:name="_Toc126127701"/>
      <w:bookmarkStart w:id="127" w:name="_Toc126128083"/>
      <w:bookmarkStart w:id="128" w:name="_Toc126588025"/>
      <w:bookmarkStart w:id="129" w:name="_Toc126909517"/>
      <w:bookmarkStart w:id="130" w:name="_Toc127263257"/>
      <w:bookmarkStart w:id="131" w:name="_Toc126127770"/>
      <w:bookmarkStart w:id="132" w:name="_Toc126128152"/>
      <w:bookmarkStart w:id="133" w:name="_Toc126588094"/>
      <w:bookmarkStart w:id="134" w:name="_Toc126909586"/>
      <w:bookmarkStart w:id="135" w:name="_Toc127263326"/>
      <w:bookmarkStart w:id="136" w:name="_Toc126127771"/>
      <w:bookmarkStart w:id="137" w:name="_Toc126128153"/>
      <w:bookmarkStart w:id="138" w:name="_Toc126588095"/>
      <w:bookmarkStart w:id="139" w:name="_Toc126909587"/>
      <w:bookmarkStart w:id="140" w:name="_Toc127263327"/>
      <w:bookmarkStart w:id="141" w:name="_Toc126127772"/>
      <w:bookmarkStart w:id="142" w:name="_Toc126128154"/>
      <w:bookmarkStart w:id="143" w:name="_Toc126588096"/>
      <w:bookmarkStart w:id="144" w:name="_Toc126909588"/>
      <w:bookmarkStart w:id="145" w:name="_Toc127263328"/>
      <w:bookmarkStart w:id="146" w:name="_Toc126127773"/>
      <w:bookmarkStart w:id="147" w:name="_Toc126128155"/>
      <w:bookmarkStart w:id="148" w:name="_Toc126588097"/>
      <w:bookmarkStart w:id="149" w:name="_Toc126909589"/>
      <w:bookmarkStart w:id="150" w:name="_Toc127263329"/>
      <w:bookmarkStart w:id="151" w:name="_Toc126127986"/>
      <w:bookmarkStart w:id="152" w:name="_Toc126128368"/>
      <w:bookmarkStart w:id="153" w:name="_Toc126588310"/>
      <w:bookmarkStart w:id="154" w:name="_Toc126909802"/>
      <w:bookmarkStart w:id="155" w:name="_Toc127263542"/>
      <w:bookmarkStart w:id="156" w:name="_Toc126127987"/>
      <w:bookmarkStart w:id="157" w:name="_Toc126128369"/>
      <w:bookmarkStart w:id="158" w:name="_Toc126588311"/>
      <w:bookmarkStart w:id="159" w:name="_Toc126909803"/>
      <w:bookmarkStart w:id="160" w:name="_Toc127263543"/>
      <w:bookmarkStart w:id="161" w:name="_Toc126588312"/>
      <w:bookmarkStart w:id="162" w:name="_Toc126909804"/>
      <w:bookmarkStart w:id="163" w:name="_Toc127263544"/>
      <w:bookmarkStart w:id="164" w:name="_Ref127268983"/>
      <w:bookmarkStart w:id="165" w:name="_Toc142902973"/>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t>Effectiveness</w:t>
      </w:r>
      <w:bookmarkEnd w:id="164"/>
      <w:bookmarkEnd w:id="165"/>
    </w:p>
    <w:p w14:paraId="1E18BE5D" w14:textId="3C962708" w:rsidR="00DC7D3D" w:rsidRPr="00DC7D3D" w:rsidRDefault="000F5B51" w:rsidP="00426142">
      <w:pPr>
        <w:spacing w:after="0"/>
      </w:pPr>
      <w:r>
        <w:t>This chapter presents the</w:t>
      </w:r>
      <w:r w:rsidR="00DA314A">
        <w:t xml:space="preserve"> </w:t>
      </w:r>
      <w:r>
        <w:t>effectiveness rates used to calculate benefits in this PRIA</w:t>
      </w:r>
      <w:r w:rsidR="001F2F92">
        <w:t xml:space="preserve">. </w:t>
      </w:r>
      <w:r w:rsidR="00615E3D">
        <w:rPr>
          <w:rFonts w:cs="Times New Roman"/>
          <w:szCs w:val="24"/>
        </w:rPr>
        <w:t xml:space="preserve">It is important to note that the safety benefits associated with the proposed rule are not </w:t>
      </w:r>
      <w:r w:rsidR="00615E3D">
        <w:rPr>
          <w:rFonts w:eastAsia="Calibri" w:cs="Times New Roman"/>
          <w:szCs w:val="24"/>
        </w:rPr>
        <w:t xml:space="preserve">from the </w:t>
      </w:r>
      <w:r w:rsidR="007C0A60">
        <w:rPr>
          <w:rFonts w:eastAsia="Calibri" w:cs="Times New Roman"/>
          <w:szCs w:val="24"/>
        </w:rPr>
        <w:t>SBWS</w:t>
      </w:r>
      <w:r w:rsidR="00615E3D">
        <w:rPr>
          <w:rFonts w:eastAsia="Calibri" w:cs="Times New Roman"/>
          <w:szCs w:val="24"/>
        </w:rPr>
        <w:t xml:space="preserve">’s function itself, but instead result from </w:t>
      </w:r>
      <w:r w:rsidR="004A7E9A">
        <w:rPr>
          <w:rFonts w:eastAsia="Calibri" w:cs="Times New Roman"/>
          <w:szCs w:val="24"/>
        </w:rPr>
        <w:t xml:space="preserve">the increase in seat belt use </w:t>
      </w:r>
      <w:r w:rsidR="007E1C82">
        <w:rPr>
          <w:rFonts w:eastAsia="Calibri" w:cs="Times New Roman"/>
          <w:szCs w:val="24"/>
        </w:rPr>
        <w:t>brought about by</w:t>
      </w:r>
      <w:r w:rsidR="007D7456">
        <w:rPr>
          <w:rFonts w:eastAsia="Calibri" w:cs="Times New Roman"/>
          <w:szCs w:val="24"/>
        </w:rPr>
        <w:t xml:space="preserve"> the SBWS</w:t>
      </w:r>
      <w:r w:rsidR="001F2F92">
        <w:t xml:space="preserve">. </w:t>
      </w:r>
      <w:r w:rsidR="00615E3D">
        <w:rPr>
          <w:rFonts w:eastAsia="Calibri" w:cs="Times New Roman"/>
          <w:szCs w:val="24"/>
        </w:rPr>
        <w:t>Therefore, t</w:t>
      </w:r>
      <w:r w:rsidR="00615E3D">
        <w:t>he incremental safety benefits associated with the proposed rule are comprised of the lives saved and injuries prevented as a direct result of the increase in seat belt use relative to</w:t>
      </w:r>
      <w:r w:rsidR="000A292C">
        <w:t xml:space="preserve"> seat belt use under</w:t>
      </w:r>
      <w:r w:rsidR="00615E3D">
        <w:t xml:space="preserve"> the baseline.</w:t>
      </w:r>
      <w:r w:rsidR="00615E3D">
        <w:br/>
      </w:r>
      <w:r w:rsidR="001C183F">
        <w:t xml:space="preserve">As the safety benefits </w:t>
      </w:r>
      <w:r w:rsidR="00B11A8B">
        <w:t>associated with the proposed rule are the result of the increase in seat belt use</w:t>
      </w:r>
      <w:r w:rsidR="00513232">
        <w:t xml:space="preserve">, </w:t>
      </w:r>
      <w:r w:rsidR="00E11456">
        <w:t xml:space="preserve">section </w:t>
      </w:r>
      <w:r w:rsidR="00E11456">
        <w:fldChar w:fldCharType="begin"/>
      </w:r>
      <w:r w:rsidR="00E11456">
        <w:instrText xml:space="preserve"> REF _Ref127887035 \r \h </w:instrText>
      </w:r>
      <w:r w:rsidR="00E11456">
        <w:fldChar w:fldCharType="separate"/>
      </w:r>
      <w:r w:rsidR="00A65CB3">
        <w:t>4.1</w:t>
      </w:r>
      <w:r w:rsidR="00E11456">
        <w:fldChar w:fldCharType="end"/>
      </w:r>
      <w:r w:rsidR="00760192">
        <w:t xml:space="preserve"> </w:t>
      </w:r>
      <w:r w:rsidR="00862855">
        <w:t xml:space="preserve">presents the effectiveness rates for </w:t>
      </w:r>
      <w:r w:rsidR="000774CB">
        <w:t>seat belts</w:t>
      </w:r>
      <w:r w:rsidR="001F2F92">
        <w:t xml:space="preserve">. </w:t>
      </w:r>
      <w:r w:rsidR="003D37F9">
        <w:t xml:space="preserve">The following </w:t>
      </w:r>
      <w:r w:rsidR="003A6E31">
        <w:t xml:space="preserve">two </w:t>
      </w:r>
      <w:r w:rsidR="003D37F9">
        <w:t xml:space="preserve">sections discuss the </w:t>
      </w:r>
      <w:r w:rsidR="00052424">
        <w:t xml:space="preserve">impact that the requirements specified in the proposed rule for SBWS for rear occupants and the indefinite warning </w:t>
      </w:r>
      <w:r w:rsidR="00883B4B">
        <w:t xml:space="preserve">will have on </w:t>
      </w:r>
      <w:r w:rsidR="00F635AA">
        <w:t>seat belt usage</w:t>
      </w:r>
      <w:r w:rsidR="00DC565E">
        <w:t xml:space="preserve"> for front seat occupants</w:t>
      </w:r>
      <w:r w:rsidR="003A6E31">
        <w:t>, respectively</w:t>
      </w:r>
      <w:r w:rsidR="004A1427">
        <w:t>.</w:t>
      </w:r>
    </w:p>
    <w:p w14:paraId="364BB7B9" w14:textId="77777777" w:rsidR="00760192" w:rsidRDefault="000F5B51" w:rsidP="0055589E">
      <w:pPr>
        <w:pStyle w:val="Heading2"/>
        <w:spacing w:before="0" w:line="240" w:lineRule="auto"/>
      </w:pPr>
      <w:bookmarkStart w:id="166" w:name="_Ref127887035"/>
      <w:bookmarkStart w:id="167" w:name="_Toc142902974"/>
      <w:r>
        <w:lastRenderedPageBreak/>
        <w:t>Se</w:t>
      </w:r>
      <w:r w:rsidR="004C1295">
        <w:t xml:space="preserve">at Belt </w:t>
      </w:r>
      <w:r>
        <w:t>Effectiveness</w:t>
      </w:r>
      <w:bookmarkEnd w:id="166"/>
      <w:bookmarkEnd w:id="167"/>
    </w:p>
    <w:p w14:paraId="11D4080E" w14:textId="77777777" w:rsidR="004C1295" w:rsidRDefault="000F5B51" w:rsidP="005D0459">
      <w:pPr>
        <w:spacing w:after="0"/>
      </w:pPr>
      <w:r>
        <w:t xml:space="preserve">As the </w:t>
      </w:r>
      <w:r w:rsidR="00DB6AFC">
        <w:t xml:space="preserve">benefits resulting from the proposed rule </w:t>
      </w:r>
      <w:r w:rsidR="00363C25">
        <w:t>result from an increase in</w:t>
      </w:r>
      <w:r>
        <w:t xml:space="preserve"> seat belt usage,</w:t>
      </w:r>
      <w:r w:rsidR="004842EA">
        <w:t xml:space="preserve"> </w:t>
      </w:r>
      <w:r>
        <w:t>t</w:t>
      </w:r>
      <w:r w:rsidR="00993D93">
        <w:t>his section presents the</w:t>
      </w:r>
      <w:r w:rsidR="00E80C48">
        <w:t xml:space="preserve"> established</w:t>
      </w:r>
      <w:r w:rsidR="00993D93">
        <w:t xml:space="preserve"> effectiveness rates </w:t>
      </w:r>
      <w:r w:rsidR="00E80C48">
        <w:t>for seat belts</w:t>
      </w:r>
      <w:r w:rsidR="001F2F92">
        <w:t xml:space="preserve">. </w:t>
      </w:r>
      <w:r w:rsidR="00E80C48">
        <w:t xml:space="preserve">It is important to note that this analysis </w:t>
      </w:r>
      <w:r w:rsidR="00E16FA1">
        <w:t>makes use of those established effectiveness rates in calculating benefits based on seat belt use rates</w:t>
      </w:r>
      <w:r w:rsidR="001F2F92">
        <w:t xml:space="preserve">. </w:t>
      </w:r>
      <w:r w:rsidR="00E16FA1">
        <w:t>That is,</w:t>
      </w:r>
      <w:r w:rsidR="00E05A38">
        <w:t xml:space="preserve"> under the proposed rule seat belt use rates would increase, but</w:t>
      </w:r>
      <w:r w:rsidR="00E16FA1">
        <w:t xml:space="preserve"> the effectiveness of seat belts remains</w:t>
      </w:r>
      <w:r w:rsidR="00E05A38">
        <w:t xml:space="preserve"> the same</w:t>
      </w:r>
      <w:r w:rsidR="001F2F92">
        <w:t xml:space="preserve">. </w:t>
      </w:r>
      <w:r w:rsidR="004A5A13">
        <w:t xml:space="preserve">The following discussion details the effectiveness rates for seat belts specific to seating position, </w:t>
      </w:r>
      <w:r w:rsidR="00012041">
        <w:t xml:space="preserve">age group, vehicle type, and injury severity. </w:t>
      </w:r>
    </w:p>
    <w:p w14:paraId="0E45BE61" w14:textId="040DDD6B" w:rsidR="00B6701A" w:rsidRDefault="000F5B51" w:rsidP="00B6701A">
      <w:r>
        <w:fldChar w:fldCharType="begin"/>
      </w:r>
      <w:r>
        <w:instrText xml:space="preserve"> REF _Ref126051449 \h </w:instrText>
      </w:r>
      <w:r>
        <w:fldChar w:fldCharType="separate"/>
      </w:r>
      <w:r w:rsidR="00A65CB3">
        <w:t xml:space="preserve">Table </w:t>
      </w:r>
      <w:r w:rsidR="00A65CB3">
        <w:rPr>
          <w:noProof/>
        </w:rPr>
        <w:t>28</w:t>
      </w:r>
      <w:r>
        <w:fldChar w:fldCharType="end"/>
      </w:r>
      <w:r>
        <w:t xml:space="preserve"> present the effectiveness rate for seat belt</w:t>
      </w:r>
      <w:r w:rsidR="00B45916">
        <w:t>s</w:t>
      </w:r>
      <w:r>
        <w:t xml:space="preserve"> specific to rear seat occupants</w:t>
      </w:r>
      <w:r w:rsidR="00570FC4">
        <w:t xml:space="preserve"> by age group and vehicle type</w:t>
      </w:r>
      <w:r w:rsidR="001F2F92">
        <w:t xml:space="preserve">. </w:t>
      </w:r>
      <w:r>
        <w:t xml:space="preserve">For rear seat occupants ages six to ten in passenger </w:t>
      </w:r>
      <w:r w:rsidR="004C455B">
        <w:t>car</w:t>
      </w:r>
      <w:r>
        <w:t>s, the effectiveness rates for seat belts are 0.55</w:t>
      </w:r>
      <w:r w:rsidR="00CD3B77">
        <w:t>0</w:t>
      </w:r>
      <w:r>
        <w:t xml:space="preserve"> for fatalities, 0.625 for MAIS 2-5 injuries, and 0.055 for MAIS 1 injuries</w:t>
      </w:r>
      <w:r w:rsidR="001F2F92">
        <w:t xml:space="preserve">. </w:t>
      </w:r>
      <w:r>
        <w:t>For rear seat occupants ages six to ten in light trucks,</w:t>
      </w:r>
      <w:r w:rsidRPr="00B6701A">
        <w:t xml:space="preserve"> </w:t>
      </w:r>
      <w:r>
        <w:t>the effectiveness rates for seat belts are 0.7</w:t>
      </w:r>
      <w:r w:rsidR="00CD3B77">
        <w:t>0</w:t>
      </w:r>
      <w:r>
        <w:t>4 for fatalities, 0.507 for MAIS 2-5 injuries, and 0.055 for MAIS 1 injuries</w:t>
      </w:r>
      <w:r w:rsidRPr="00454B5D">
        <w:t>.</w:t>
      </w:r>
      <w:r>
        <w:rPr>
          <w:rStyle w:val="FootnoteReference"/>
        </w:rPr>
        <w:footnoteReference w:id="43"/>
      </w:r>
      <w:r w:rsidR="002430C3">
        <w:rPr>
          <w:rStyle w:val="FootnoteReference"/>
          <w:rFonts w:eastAsia="Times New Roman" w:cs="Times New Roman"/>
          <w:szCs w:val="24"/>
        </w:rPr>
        <w:t xml:space="preserve">, </w:t>
      </w:r>
      <w:r>
        <w:rPr>
          <w:rStyle w:val="FootnoteReference"/>
          <w:rFonts w:eastAsia="Times New Roman" w:cs="Times New Roman"/>
          <w:szCs w:val="24"/>
        </w:rPr>
        <w:footnoteReference w:id="44"/>
      </w:r>
      <w:r w:rsidR="00DF2113">
        <w:t xml:space="preserve"> </w:t>
      </w:r>
      <w:r w:rsidR="004842EA">
        <w:t xml:space="preserve"> </w:t>
      </w:r>
      <w:r>
        <w:t xml:space="preserve">For rear seat occupants 11 years </w:t>
      </w:r>
      <w:r w:rsidR="00F97418">
        <w:t>and</w:t>
      </w:r>
      <w:r>
        <w:t xml:space="preserve"> older in passenger </w:t>
      </w:r>
      <w:r w:rsidR="00DB582A">
        <w:t>car</w:t>
      </w:r>
      <w:r>
        <w:t>s,</w:t>
      </w:r>
      <w:r w:rsidRPr="00B6701A">
        <w:t xml:space="preserve"> </w:t>
      </w:r>
      <w:r>
        <w:t>the effectiveness rates for seat belts are 0.55</w:t>
      </w:r>
      <w:r w:rsidR="00CD3B77">
        <w:t>0</w:t>
      </w:r>
      <w:r>
        <w:t xml:space="preserve"> for fatalities, 0.625 for MAIS 2-5 injuries, and 0.055 for MAIS 1 injuries.</w:t>
      </w:r>
      <w:r w:rsidR="00F619C5">
        <w:t xml:space="preserve"> </w:t>
      </w:r>
      <w:r>
        <w:t xml:space="preserve">For rear seat occupants 11 years </w:t>
      </w:r>
      <w:r w:rsidR="00F97418">
        <w:t>and</w:t>
      </w:r>
      <w:r>
        <w:t xml:space="preserve"> older in light trucks,</w:t>
      </w:r>
      <w:r w:rsidRPr="00B6701A">
        <w:t xml:space="preserve"> </w:t>
      </w:r>
      <w:r>
        <w:t>the effectiveness rates for seat belts are 0.74</w:t>
      </w:r>
      <w:r w:rsidR="00CD3B77">
        <w:t>0</w:t>
      </w:r>
      <w:r>
        <w:t xml:space="preserve"> for fatalities, 0.507 for MAIS 2-5 injuries, and 0.055 for MAIS 1 injuries.</w:t>
      </w:r>
    </w:p>
    <w:p w14:paraId="7D1FA2E7" w14:textId="77777777" w:rsidR="00435D89" w:rsidRDefault="00435D89" w:rsidP="00B6701A"/>
    <w:p w14:paraId="24A5590B" w14:textId="2B96CCBA" w:rsidR="00636427" w:rsidRDefault="000F5B51" w:rsidP="00012041">
      <w:pPr>
        <w:pStyle w:val="Caption"/>
      </w:pPr>
      <w:bookmarkStart w:id="168" w:name="_Ref126051449"/>
      <w:r>
        <w:lastRenderedPageBreak/>
        <w:t xml:space="preserve">Table </w:t>
      </w:r>
      <w:r w:rsidR="00115BAB">
        <w:fldChar w:fldCharType="begin"/>
      </w:r>
      <w:r>
        <w:instrText xml:space="preserve"> SEQ Table \* ARABIC </w:instrText>
      </w:r>
      <w:r w:rsidR="00115BAB">
        <w:fldChar w:fldCharType="separate"/>
      </w:r>
      <w:r w:rsidR="00A65CB3">
        <w:rPr>
          <w:noProof/>
        </w:rPr>
        <w:t>28</w:t>
      </w:r>
      <w:r w:rsidR="00115BAB">
        <w:rPr>
          <w:noProof/>
        </w:rPr>
        <w:fldChar w:fldCharType="end"/>
      </w:r>
      <w:bookmarkEnd w:id="168"/>
      <w:r>
        <w:t>: Seat Belt Effectiveness for Rear Seat Oc</w:t>
      </w:r>
      <w:r w:rsidR="00101C8A">
        <w:t>cupants by Age Group and Vehicle Type</w:t>
      </w:r>
      <w:r>
        <w:rPr>
          <w:rStyle w:val="FootnoteReference"/>
        </w:rPr>
        <w:footnoteReference w:id="45"/>
      </w:r>
      <w:r w:rsidR="000A2147">
        <w:rPr>
          <w:vertAlign w:val="superscript"/>
        </w:rPr>
        <w:t>,</w:t>
      </w:r>
      <w:r>
        <w:rPr>
          <w:rStyle w:val="FootnoteReference"/>
          <w:noProof/>
        </w:rPr>
        <w:footnoteReference w:id="46"/>
      </w:r>
    </w:p>
    <w:tbl>
      <w:tblPr>
        <w:tblW w:w="7450" w:type="dxa"/>
        <w:jc w:val="center"/>
        <w:tblCellMar>
          <w:left w:w="0" w:type="dxa"/>
          <w:right w:w="0" w:type="dxa"/>
        </w:tblCellMar>
        <w:tblLook w:val="04A0" w:firstRow="1" w:lastRow="0" w:firstColumn="1" w:lastColumn="0" w:noHBand="0" w:noVBand="1"/>
      </w:tblPr>
      <w:tblGrid>
        <w:gridCol w:w="1585"/>
        <w:gridCol w:w="2289"/>
        <w:gridCol w:w="1124"/>
        <w:gridCol w:w="1316"/>
        <w:gridCol w:w="1136"/>
      </w:tblGrid>
      <w:tr w:rsidR="00A15C2C" w14:paraId="1AB4FAEF" w14:textId="77777777" w:rsidTr="00036C09">
        <w:trPr>
          <w:trHeight w:val="264"/>
          <w:jc w:val="center"/>
        </w:trPr>
        <w:tc>
          <w:tcPr>
            <w:tcW w:w="1585" w:type="dxa"/>
            <w:vMerge w:val="restart"/>
            <w:tcBorders>
              <w:top w:val="single" w:sz="8" w:space="0" w:color="auto"/>
              <w:left w:val="single" w:sz="4" w:space="0" w:color="auto"/>
              <w:right w:val="single" w:sz="4" w:space="0" w:color="auto"/>
            </w:tcBorders>
            <w:shd w:val="clear" w:color="auto" w:fill="D9D9D9" w:themeFill="background1" w:themeFillShade="D9"/>
            <w:vAlign w:val="center"/>
          </w:tcPr>
          <w:p w14:paraId="7655D19C" w14:textId="77777777" w:rsidR="007868A4" w:rsidRDefault="000F5B51" w:rsidP="00256450">
            <w:pPr>
              <w:spacing w:after="0" w:line="240" w:lineRule="auto"/>
              <w:jc w:val="center"/>
              <w:rPr>
                <w:b/>
                <w:bCs/>
              </w:rPr>
            </w:pPr>
            <w:r>
              <w:rPr>
                <w:b/>
                <w:bCs/>
              </w:rPr>
              <w:t>Age Group</w:t>
            </w:r>
          </w:p>
        </w:tc>
        <w:tc>
          <w:tcPr>
            <w:tcW w:w="2289" w:type="dxa"/>
            <w:vMerge w:val="restart"/>
            <w:tcBorders>
              <w:top w:val="single" w:sz="8" w:space="0" w:color="auto"/>
              <w:left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14:paraId="55574CF9" w14:textId="77777777" w:rsidR="007868A4" w:rsidRPr="00A40423" w:rsidRDefault="000F5B51" w:rsidP="00256450">
            <w:pPr>
              <w:spacing w:after="0" w:line="240" w:lineRule="auto"/>
              <w:jc w:val="center"/>
              <w:rPr>
                <w:b/>
                <w:bCs/>
              </w:rPr>
            </w:pPr>
            <w:r w:rsidRPr="00A40423">
              <w:rPr>
                <w:b/>
                <w:bCs/>
              </w:rPr>
              <w:t>Vehicle type</w:t>
            </w:r>
          </w:p>
        </w:tc>
        <w:tc>
          <w:tcPr>
            <w:tcW w:w="3576" w:type="dxa"/>
            <w:gridSpan w:val="3"/>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1130DDAD" w14:textId="77777777" w:rsidR="007868A4" w:rsidRPr="00A40423" w:rsidRDefault="000F5B51" w:rsidP="00256450">
            <w:pPr>
              <w:spacing w:after="0" w:line="240" w:lineRule="auto"/>
              <w:jc w:val="center"/>
              <w:rPr>
                <w:b/>
                <w:bCs/>
              </w:rPr>
            </w:pPr>
            <w:r>
              <w:rPr>
                <w:b/>
                <w:bCs/>
              </w:rPr>
              <w:t>Injury Severity</w:t>
            </w:r>
          </w:p>
        </w:tc>
      </w:tr>
      <w:tr w:rsidR="00A15C2C" w14:paraId="1D426564" w14:textId="77777777" w:rsidTr="00036C09">
        <w:trPr>
          <w:trHeight w:val="264"/>
          <w:jc w:val="center"/>
        </w:trPr>
        <w:tc>
          <w:tcPr>
            <w:tcW w:w="1585" w:type="dxa"/>
            <w:vMerge/>
            <w:tcBorders>
              <w:left w:val="single" w:sz="4" w:space="0" w:color="auto"/>
              <w:bottom w:val="single" w:sz="8" w:space="0" w:color="auto"/>
              <w:right w:val="single" w:sz="4" w:space="0" w:color="auto"/>
            </w:tcBorders>
            <w:shd w:val="clear" w:color="auto" w:fill="D9D9D9" w:themeFill="background1" w:themeFillShade="D9"/>
            <w:vAlign w:val="center"/>
          </w:tcPr>
          <w:p w14:paraId="2C0B686F" w14:textId="77777777" w:rsidR="007868A4" w:rsidRPr="00A40423" w:rsidRDefault="007868A4" w:rsidP="00256450">
            <w:pPr>
              <w:spacing w:after="0" w:line="240" w:lineRule="auto"/>
              <w:jc w:val="center"/>
              <w:rPr>
                <w:b/>
                <w:bCs/>
              </w:rPr>
            </w:pPr>
          </w:p>
        </w:tc>
        <w:tc>
          <w:tcPr>
            <w:tcW w:w="2289" w:type="dxa"/>
            <w:vMerge/>
            <w:tcBorders>
              <w:left w:val="single" w:sz="4"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4CB23A59" w14:textId="77777777" w:rsidR="007868A4" w:rsidRPr="00A40423" w:rsidRDefault="007868A4" w:rsidP="00256450">
            <w:pPr>
              <w:spacing w:after="0" w:line="240" w:lineRule="auto"/>
              <w:jc w:val="center"/>
              <w:rPr>
                <w:b/>
                <w:bCs/>
              </w:rPr>
            </w:pPr>
          </w:p>
        </w:tc>
        <w:tc>
          <w:tcPr>
            <w:tcW w:w="112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C7541DE" w14:textId="77777777" w:rsidR="007868A4" w:rsidRPr="00A40423" w:rsidRDefault="000F5B51" w:rsidP="00256450">
            <w:pPr>
              <w:spacing w:after="0" w:line="240" w:lineRule="auto"/>
              <w:jc w:val="center"/>
              <w:rPr>
                <w:b/>
                <w:bCs/>
              </w:rPr>
            </w:pPr>
            <w:r w:rsidRPr="00A40423">
              <w:rPr>
                <w:b/>
                <w:bCs/>
              </w:rPr>
              <w:t>Fatal</w:t>
            </w:r>
          </w:p>
        </w:tc>
        <w:tc>
          <w:tcPr>
            <w:tcW w:w="131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696CE42C" w14:textId="77777777" w:rsidR="007868A4" w:rsidRPr="00A40423" w:rsidRDefault="000F5B51" w:rsidP="00256450">
            <w:pPr>
              <w:spacing w:after="0" w:line="240" w:lineRule="auto"/>
              <w:jc w:val="center"/>
              <w:rPr>
                <w:b/>
                <w:bCs/>
              </w:rPr>
            </w:pPr>
            <w:r w:rsidRPr="00A40423">
              <w:rPr>
                <w:b/>
                <w:bCs/>
              </w:rPr>
              <w:t>MAIS 2-5</w:t>
            </w:r>
          </w:p>
        </w:tc>
        <w:tc>
          <w:tcPr>
            <w:tcW w:w="113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117A5603" w14:textId="77777777" w:rsidR="007868A4" w:rsidRPr="00A40423" w:rsidRDefault="000F5B51" w:rsidP="00256450">
            <w:pPr>
              <w:spacing w:after="0" w:line="240" w:lineRule="auto"/>
              <w:jc w:val="center"/>
              <w:rPr>
                <w:b/>
                <w:bCs/>
              </w:rPr>
            </w:pPr>
            <w:r w:rsidRPr="00A40423">
              <w:rPr>
                <w:b/>
                <w:bCs/>
              </w:rPr>
              <w:t>MAIS 1</w:t>
            </w:r>
          </w:p>
        </w:tc>
      </w:tr>
      <w:tr w:rsidR="00A15C2C" w14:paraId="7C845624" w14:textId="77777777" w:rsidTr="0055589E">
        <w:trPr>
          <w:trHeight w:val="264"/>
          <w:jc w:val="center"/>
        </w:trPr>
        <w:tc>
          <w:tcPr>
            <w:tcW w:w="1585" w:type="dxa"/>
            <w:vMerge w:val="restart"/>
            <w:tcBorders>
              <w:top w:val="nil"/>
              <w:left w:val="single" w:sz="4" w:space="0" w:color="auto"/>
              <w:right w:val="single" w:sz="4" w:space="0" w:color="auto"/>
            </w:tcBorders>
            <w:vAlign w:val="center"/>
          </w:tcPr>
          <w:p w14:paraId="17387EEE" w14:textId="77777777" w:rsidR="00006EEF" w:rsidRDefault="000F5B51" w:rsidP="00DE073E">
            <w:pPr>
              <w:spacing w:after="0" w:line="240" w:lineRule="auto"/>
              <w:jc w:val="center"/>
            </w:pPr>
            <w:r>
              <w:t>6-10</w:t>
            </w:r>
          </w:p>
        </w:tc>
        <w:tc>
          <w:tcPr>
            <w:tcW w:w="228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14:paraId="6D6A1C84" w14:textId="77777777" w:rsidR="00006EEF" w:rsidRDefault="000F5B51" w:rsidP="00256450">
            <w:pPr>
              <w:spacing w:after="0" w:line="240" w:lineRule="auto"/>
              <w:jc w:val="center"/>
            </w:pPr>
            <w:r>
              <w:t>PC</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D4ECAA" w14:textId="77777777" w:rsidR="00006EEF" w:rsidRPr="00F3664E" w:rsidRDefault="000F5B51" w:rsidP="00256450">
            <w:pPr>
              <w:spacing w:after="0" w:line="240" w:lineRule="auto"/>
              <w:jc w:val="center"/>
            </w:pPr>
            <w:r>
              <w:t>0</w:t>
            </w:r>
            <w:r w:rsidRPr="00F3664E">
              <w:t>.</w:t>
            </w:r>
            <w:r w:rsidRPr="007F4B8B">
              <w:t>55</w:t>
            </w:r>
            <w:r w:rsidR="00CD3B77">
              <w:t>0</w:t>
            </w:r>
          </w:p>
        </w:tc>
        <w:tc>
          <w:tcPr>
            <w:tcW w:w="13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880135" w14:textId="77777777" w:rsidR="00006EEF" w:rsidRPr="00BA6218" w:rsidRDefault="000F5B51" w:rsidP="00256450">
            <w:pPr>
              <w:spacing w:after="0" w:line="240" w:lineRule="auto"/>
              <w:jc w:val="center"/>
            </w:pPr>
            <w:r>
              <w:t>0</w:t>
            </w:r>
            <w:r w:rsidRPr="00D93496">
              <w:t>.</w:t>
            </w:r>
            <w:r>
              <w:t>625</w:t>
            </w:r>
          </w:p>
        </w:tc>
        <w:tc>
          <w:tcPr>
            <w:tcW w:w="11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A34B15" w14:textId="77777777" w:rsidR="00006EEF" w:rsidRPr="00BA6218" w:rsidRDefault="000F5B51" w:rsidP="00256450">
            <w:pPr>
              <w:spacing w:after="0" w:line="240" w:lineRule="auto"/>
              <w:jc w:val="center"/>
            </w:pPr>
            <w:r>
              <w:rPr>
                <w:bCs/>
              </w:rPr>
              <w:t>0</w:t>
            </w:r>
            <w:r w:rsidRPr="00D93496">
              <w:rPr>
                <w:bCs/>
              </w:rPr>
              <w:t>.055</w:t>
            </w:r>
          </w:p>
        </w:tc>
      </w:tr>
      <w:tr w:rsidR="00A15C2C" w14:paraId="1BC73D41" w14:textId="77777777" w:rsidTr="0055589E">
        <w:trPr>
          <w:trHeight w:val="264"/>
          <w:jc w:val="center"/>
        </w:trPr>
        <w:tc>
          <w:tcPr>
            <w:tcW w:w="1585" w:type="dxa"/>
            <w:vMerge/>
            <w:tcBorders>
              <w:left w:val="single" w:sz="4" w:space="0" w:color="auto"/>
              <w:bottom w:val="single" w:sz="8" w:space="0" w:color="auto"/>
              <w:right w:val="single" w:sz="4" w:space="0" w:color="auto"/>
            </w:tcBorders>
            <w:vAlign w:val="center"/>
          </w:tcPr>
          <w:p w14:paraId="7BE9AA78" w14:textId="77777777" w:rsidR="00006EEF" w:rsidRDefault="00006EEF">
            <w:pPr>
              <w:spacing w:after="0" w:line="240" w:lineRule="auto"/>
              <w:jc w:val="center"/>
            </w:pPr>
          </w:p>
        </w:tc>
        <w:tc>
          <w:tcPr>
            <w:tcW w:w="228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14:paraId="4E3DC67D" w14:textId="77777777" w:rsidR="00006EEF" w:rsidRDefault="000F5B51" w:rsidP="00256450">
            <w:pPr>
              <w:spacing w:after="0" w:line="240" w:lineRule="auto"/>
              <w:jc w:val="center"/>
            </w:pPr>
            <w:r>
              <w:t>LTV</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F47DDB" w14:textId="77777777" w:rsidR="00006EEF" w:rsidRPr="00F3664E" w:rsidRDefault="000F5B51" w:rsidP="00256450">
            <w:pPr>
              <w:spacing w:after="0" w:line="240" w:lineRule="auto"/>
              <w:jc w:val="center"/>
            </w:pPr>
            <w:r>
              <w:t>0</w:t>
            </w:r>
            <w:r w:rsidRPr="00F3664E">
              <w:t>.</w:t>
            </w:r>
            <w:r w:rsidRPr="007F4B8B">
              <w:t>74</w:t>
            </w:r>
            <w:r w:rsidR="00CD3B77">
              <w:t>0</w:t>
            </w:r>
          </w:p>
        </w:tc>
        <w:tc>
          <w:tcPr>
            <w:tcW w:w="13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8D093B" w14:textId="77777777" w:rsidR="00006EEF" w:rsidRPr="00D93496" w:rsidRDefault="000F5B51" w:rsidP="00256450">
            <w:pPr>
              <w:spacing w:after="0" w:line="240" w:lineRule="auto"/>
              <w:jc w:val="center"/>
            </w:pPr>
            <w:r>
              <w:t>0.507</w:t>
            </w:r>
          </w:p>
        </w:tc>
        <w:tc>
          <w:tcPr>
            <w:tcW w:w="11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A81200" w14:textId="77777777" w:rsidR="00006EEF" w:rsidRPr="00BA6218" w:rsidRDefault="000F5B51" w:rsidP="00256450">
            <w:pPr>
              <w:spacing w:after="0" w:line="240" w:lineRule="auto"/>
              <w:jc w:val="center"/>
            </w:pPr>
            <w:r>
              <w:rPr>
                <w:bCs/>
              </w:rPr>
              <w:t>0</w:t>
            </w:r>
            <w:r w:rsidRPr="00D93496">
              <w:rPr>
                <w:bCs/>
              </w:rPr>
              <w:t>.055</w:t>
            </w:r>
          </w:p>
        </w:tc>
      </w:tr>
      <w:tr w:rsidR="00A15C2C" w14:paraId="7B5EE8B1" w14:textId="77777777" w:rsidTr="0055589E">
        <w:trPr>
          <w:trHeight w:val="264"/>
          <w:jc w:val="center"/>
        </w:trPr>
        <w:tc>
          <w:tcPr>
            <w:tcW w:w="1585" w:type="dxa"/>
            <w:vMerge w:val="restart"/>
            <w:tcBorders>
              <w:top w:val="nil"/>
              <w:left w:val="single" w:sz="4" w:space="0" w:color="auto"/>
              <w:right w:val="single" w:sz="4" w:space="0" w:color="auto"/>
            </w:tcBorders>
            <w:vAlign w:val="center"/>
          </w:tcPr>
          <w:p w14:paraId="4585A361" w14:textId="77777777" w:rsidR="00006EEF" w:rsidRDefault="000F5B51" w:rsidP="00DE073E">
            <w:pPr>
              <w:spacing w:after="0" w:line="240" w:lineRule="auto"/>
              <w:jc w:val="center"/>
            </w:pPr>
            <w:r>
              <w:t>11+</w:t>
            </w:r>
          </w:p>
        </w:tc>
        <w:tc>
          <w:tcPr>
            <w:tcW w:w="228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32D9A5FE" w14:textId="77777777" w:rsidR="00006EEF" w:rsidRDefault="000F5B51" w:rsidP="00256450">
            <w:pPr>
              <w:spacing w:after="0" w:line="240" w:lineRule="auto"/>
              <w:jc w:val="center"/>
            </w:pPr>
            <w:r>
              <w:t>PC</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C1CE5F" w14:textId="77777777" w:rsidR="00006EEF" w:rsidRPr="00F3664E" w:rsidRDefault="000F5B51" w:rsidP="00256450">
            <w:pPr>
              <w:spacing w:after="0" w:line="240" w:lineRule="auto"/>
              <w:jc w:val="center"/>
            </w:pPr>
            <w:r>
              <w:t>0</w:t>
            </w:r>
            <w:r w:rsidRPr="00F3664E">
              <w:t>.</w:t>
            </w:r>
            <w:r w:rsidRPr="007F4B8B">
              <w:t>55</w:t>
            </w:r>
            <w:r w:rsidR="00CD3B77">
              <w:t>0</w:t>
            </w:r>
          </w:p>
        </w:tc>
        <w:tc>
          <w:tcPr>
            <w:tcW w:w="13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170F31" w14:textId="77777777" w:rsidR="00006EEF" w:rsidRPr="00BA6218" w:rsidRDefault="000F5B51" w:rsidP="00256450">
            <w:pPr>
              <w:spacing w:after="0" w:line="240" w:lineRule="auto"/>
              <w:jc w:val="center"/>
            </w:pPr>
            <w:r>
              <w:t>0</w:t>
            </w:r>
            <w:r w:rsidRPr="00D93496">
              <w:t>.</w:t>
            </w:r>
            <w:r>
              <w:t>625</w:t>
            </w:r>
          </w:p>
        </w:tc>
        <w:tc>
          <w:tcPr>
            <w:tcW w:w="11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FAEAE3B" w14:textId="77777777" w:rsidR="00006EEF" w:rsidRPr="00D93496" w:rsidRDefault="000F5B51" w:rsidP="00256450">
            <w:pPr>
              <w:spacing w:after="0" w:line="240" w:lineRule="auto"/>
              <w:jc w:val="center"/>
              <w:rPr>
                <w:bCs/>
              </w:rPr>
            </w:pPr>
            <w:r>
              <w:rPr>
                <w:bCs/>
              </w:rPr>
              <w:t>0</w:t>
            </w:r>
            <w:r w:rsidRPr="00D93496">
              <w:rPr>
                <w:bCs/>
              </w:rPr>
              <w:t>.055</w:t>
            </w:r>
          </w:p>
        </w:tc>
      </w:tr>
      <w:tr w:rsidR="00A15C2C" w14:paraId="2AFA94D2" w14:textId="77777777" w:rsidTr="00256450">
        <w:trPr>
          <w:trHeight w:val="264"/>
          <w:jc w:val="center"/>
        </w:trPr>
        <w:tc>
          <w:tcPr>
            <w:tcW w:w="1585" w:type="dxa"/>
            <w:vMerge/>
            <w:tcBorders>
              <w:left w:val="single" w:sz="4" w:space="0" w:color="auto"/>
              <w:bottom w:val="single" w:sz="8" w:space="0" w:color="auto"/>
              <w:right w:val="single" w:sz="4" w:space="0" w:color="auto"/>
            </w:tcBorders>
            <w:vAlign w:val="center"/>
          </w:tcPr>
          <w:p w14:paraId="0311D7A6" w14:textId="77777777" w:rsidR="00006EEF" w:rsidRDefault="00006EEF" w:rsidP="00256450">
            <w:pPr>
              <w:spacing w:after="0" w:line="240" w:lineRule="auto"/>
              <w:jc w:val="center"/>
            </w:pPr>
          </w:p>
        </w:tc>
        <w:tc>
          <w:tcPr>
            <w:tcW w:w="228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5E8AACD5" w14:textId="77777777" w:rsidR="00006EEF" w:rsidRDefault="000F5B51" w:rsidP="00256450">
            <w:pPr>
              <w:spacing w:after="0" w:line="240" w:lineRule="auto"/>
              <w:jc w:val="center"/>
            </w:pPr>
            <w:r>
              <w:t>LTV</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1543B2" w14:textId="77777777" w:rsidR="00006EEF" w:rsidRPr="00F3664E" w:rsidRDefault="000F5B51" w:rsidP="00256450">
            <w:pPr>
              <w:spacing w:after="0" w:line="240" w:lineRule="auto"/>
              <w:jc w:val="center"/>
            </w:pPr>
            <w:r>
              <w:t>0</w:t>
            </w:r>
            <w:r w:rsidRPr="00F3664E">
              <w:t>.7</w:t>
            </w:r>
            <w:r w:rsidRPr="007F4B8B">
              <w:t>4</w:t>
            </w:r>
            <w:r w:rsidR="00CD3B77">
              <w:t>0</w:t>
            </w:r>
          </w:p>
        </w:tc>
        <w:tc>
          <w:tcPr>
            <w:tcW w:w="13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D2C5C1" w14:textId="77777777" w:rsidR="00006EEF" w:rsidRPr="00BA6218" w:rsidRDefault="000F5B51" w:rsidP="00256450">
            <w:pPr>
              <w:spacing w:after="0" w:line="240" w:lineRule="auto"/>
              <w:jc w:val="center"/>
            </w:pPr>
            <w:r>
              <w:t>0.507</w:t>
            </w:r>
          </w:p>
        </w:tc>
        <w:tc>
          <w:tcPr>
            <w:tcW w:w="11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3F93889" w14:textId="77777777" w:rsidR="00006EEF" w:rsidRPr="00D93496" w:rsidRDefault="000F5B51" w:rsidP="00256450">
            <w:pPr>
              <w:spacing w:after="0" w:line="240" w:lineRule="auto"/>
              <w:jc w:val="center"/>
              <w:rPr>
                <w:bCs/>
              </w:rPr>
            </w:pPr>
            <w:r>
              <w:rPr>
                <w:bCs/>
              </w:rPr>
              <w:t>0</w:t>
            </w:r>
            <w:r w:rsidRPr="00D93496">
              <w:rPr>
                <w:bCs/>
              </w:rPr>
              <w:t>.055</w:t>
            </w:r>
          </w:p>
        </w:tc>
      </w:tr>
    </w:tbl>
    <w:p w14:paraId="6A2C06D7" w14:textId="77777777" w:rsidR="00636427" w:rsidRDefault="00636427" w:rsidP="00570FC4">
      <w:pPr>
        <w:pStyle w:val="NoSpaceTimes"/>
      </w:pPr>
    </w:p>
    <w:p w14:paraId="360F5C0B" w14:textId="41873F11" w:rsidR="0013617E" w:rsidRDefault="000F5B51" w:rsidP="0013617E">
      <w:r>
        <w:fldChar w:fldCharType="begin"/>
      </w:r>
      <w:r>
        <w:instrText xml:space="preserve"> REF _Ref126051621 \h </w:instrText>
      </w:r>
      <w:r>
        <w:fldChar w:fldCharType="separate"/>
      </w:r>
      <w:r w:rsidR="00A65CB3">
        <w:t xml:space="preserve">Table </w:t>
      </w:r>
      <w:r w:rsidR="00A65CB3">
        <w:rPr>
          <w:noProof/>
        </w:rPr>
        <w:t>29</w:t>
      </w:r>
      <w:r>
        <w:fldChar w:fldCharType="end"/>
      </w:r>
      <w:r w:rsidR="00570FC4">
        <w:t xml:space="preserve"> presents effectiveness rates for seat belt</w:t>
      </w:r>
      <w:r w:rsidR="00B45916">
        <w:t>s</w:t>
      </w:r>
      <w:r w:rsidR="00570FC4">
        <w:t xml:space="preserve"> for drivers by vehicle type</w:t>
      </w:r>
      <w:r w:rsidR="001F2F92">
        <w:t xml:space="preserve">. </w:t>
      </w:r>
      <w:r>
        <w:t xml:space="preserve">For drivers in passenger </w:t>
      </w:r>
      <w:r w:rsidR="00233EA3">
        <w:t>cars</w:t>
      </w:r>
      <w:r>
        <w:t>, the effectiveness rates for seat belts are 0.</w:t>
      </w:r>
      <w:r w:rsidR="00A445B9">
        <w:t>44</w:t>
      </w:r>
      <w:r w:rsidR="00805ABC">
        <w:t>0</w:t>
      </w:r>
      <w:r>
        <w:t xml:space="preserve"> for fatalities, 0.</w:t>
      </w:r>
      <w:r w:rsidR="00A445B9">
        <w:t>50</w:t>
      </w:r>
      <w:r w:rsidR="00805ABC">
        <w:t>0</w:t>
      </w:r>
      <w:r>
        <w:t xml:space="preserve"> for MAIS 2-5 injuries, and 0.055 for MAIS 1 injuries</w:t>
      </w:r>
      <w:r w:rsidR="001F2F92">
        <w:t xml:space="preserve">. </w:t>
      </w:r>
      <w:r>
        <w:t xml:space="preserve">For </w:t>
      </w:r>
      <w:r w:rsidR="00A445B9">
        <w:t>drivers</w:t>
      </w:r>
      <w:r>
        <w:t xml:space="preserve"> in light trucks,</w:t>
      </w:r>
      <w:r w:rsidRPr="00B6701A">
        <w:t xml:space="preserve"> </w:t>
      </w:r>
      <w:r>
        <w:t>the effectiveness rates for seat belts are 0.7</w:t>
      </w:r>
      <w:r w:rsidR="00A445B9">
        <w:t>3</w:t>
      </w:r>
      <w:r w:rsidR="00805ABC">
        <w:t>0</w:t>
      </w:r>
      <w:r>
        <w:t xml:space="preserve"> for fatalities, 0.50</w:t>
      </w:r>
      <w:r w:rsidR="00805ABC">
        <w:t>0</w:t>
      </w:r>
      <w:r>
        <w:t xml:space="preserve"> for MAIS 2-5 injuries, and 0.055 for MAIS 1 injuries</w:t>
      </w:r>
      <w:r w:rsidR="00A445B9">
        <w:t>.</w:t>
      </w:r>
    </w:p>
    <w:p w14:paraId="064AE818" w14:textId="7EA4B1D2" w:rsidR="00E23878" w:rsidRDefault="000F5B51" w:rsidP="00E23878">
      <w:pPr>
        <w:pStyle w:val="Caption"/>
      </w:pPr>
      <w:bookmarkStart w:id="169" w:name="_Ref126051621"/>
      <w:r>
        <w:t xml:space="preserve">Table </w:t>
      </w:r>
      <w:r w:rsidR="00115BAB">
        <w:fldChar w:fldCharType="begin"/>
      </w:r>
      <w:r>
        <w:instrText xml:space="preserve"> SEQ Table \* ARABIC </w:instrText>
      </w:r>
      <w:r w:rsidR="00115BAB">
        <w:fldChar w:fldCharType="separate"/>
      </w:r>
      <w:r w:rsidR="00A65CB3">
        <w:rPr>
          <w:noProof/>
        </w:rPr>
        <w:t>29</w:t>
      </w:r>
      <w:r w:rsidR="00115BAB">
        <w:rPr>
          <w:noProof/>
        </w:rPr>
        <w:fldChar w:fldCharType="end"/>
      </w:r>
      <w:bookmarkEnd w:id="169"/>
      <w:r>
        <w:t>: Seat Belt Effectiveness</w:t>
      </w:r>
      <w:r w:rsidR="005B71E7">
        <w:t xml:space="preserve"> for Drivers</w:t>
      </w:r>
      <w:r w:rsidR="006C76CA">
        <w:t xml:space="preserve"> by Vehicle Type</w:t>
      </w:r>
    </w:p>
    <w:tbl>
      <w:tblPr>
        <w:tblW w:w="5480" w:type="dxa"/>
        <w:jc w:val="center"/>
        <w:tblLayout w:type="fixed"/>
        <w:tblCellMar>
          <w:left w:w="0" w:type="dxa"/>
          <w:right w:w="0" w:type="dxa"/>
        </w:tblCellMar>
        <w:tblLook w:val="04A0" w:firstRow="1" w:lastRow="0" w:firstColumn="1" w:lastColumn="0" w:noHBand="0" w:noVBand="1"/>
      </w:tblPr>
      <w:tblGrid>
        <w:gridCol w:w="1302"/>
        <w:gridCol w:w="1389"/>
        <w:gridCol w:w="1390"/>
        <w:gridCol w:w="1385"/>
        <w:gridCol w:w="14"/>
      </w:tblGrid>
      <w:tr w:rsidR="00A15C2C" w14:paraId="425D5CA5" w14:textId="77777777" w:rsidTr="00A65CB3">
        <w:trPr>
          <w:gridAfter w:val="1"/>
          <w:wAfter w:w="14" w:type="dxa"/>
          <w:trHeight w:val="264"/>
          <w:jc w:val="center"/>
        </w:trPr>
        <w:tc>
          <w:tcPr>
            <w:tcW w:w="1305" w:type="dxa"/>
            <w:vMerge w:val="restart"/>
            <w:tcBorders>
              <w:top w:val="single" w:sz="6" w:space="0" w:color="auto"/>
              <w:left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2B688E2" w14:textId="77777777" w:rsidR="00636427" w:rsidRDefault="000F5B51" w:rsidP="00256450">
            <w:pPr>
              <w:spacing w:after="0" w:line="240" w:lineRule="auto"/>
              <w:rPr>
                <w:b/>
                <w:bCs/>
              </w:rPr>
            </w:pPr>
            <w:r>
              <w:rPr>
                <w:b/>
                <w:bCs/>
              </w:rPr>
              <w:t>Vehicle Type</w:t>
            </w:r>
          </w:p>
        </w:tc>
        <w:tc>
          <w:tcPr>
            <w:tcW w:w="4161" w:type="dxa"/>
            <w:gridSpan w:val="3"/>
            <w:tcBorders>
              <w:top w:val="single" w:sz="6"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2FAE075E" w14:textId="77777777" w:rsidR="00636427" w:rsidRPr="00A40423" w:rsidRDefault="000F5B51" w:rsidP="00256450">
            <w:pPr>
              <w:spacing w:after="0" w:line="240" w:lineRule="auto"/>
              <w:jc w:val="center"/>
              <w:rPr>
                <w:b/>
                <w:bCs/>
              </w:rPr>
            </w:pPr>
            <w:r>
              <w:rPr>
                <w:b/>
                <w:bCs/>
              </w:rPr>
              <w:t>Injury Severity</w:t>
            </w:r>
          </w:p>
        </w:tc>
      </w:tr>
      <w:tr w:rsidR="00A15C2C" w14:paraId="32490A7A" w14:textId="77777777" w:rsidTr="00A65CB3">
        <w:trPr>
          <w:gridAfter w:val="1"/>
          <w:wAfter w:w="14" w:type="dxa"/>
          <w:trHeight w:val="264"/>
          <w:jc w:val="center"/>
        </w:trPr>
        <w:tc>
          <w:tcPr>
            <w:tcW w:w="1305" w:type="dxa"/>
            <w:vMerge/>
            <w:tcBorders>
              <w:top w:val="single" w:sz="4" w:space="0" w:color="auto"/>
              <w:left w:val="single" w:sz="8" w:space="0" w:color="auto"/>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2B7F8F7" w14:textId="77777777" w:rsidR="00636427" w:rsidRPr="00A40423" w:rsidRDefault="00636427" w:rsidP="00256450">
            <w:pPr>
              <w:spacing w:after="0" w:line="240" w:lineRule="auto"/>
              <w:rPr>
                <w:b/>
                <w:bCs/>
              </w:rPr>
            </w:pPr>
          </w:p>
        </w:tc>
        <w:tc>
          <w:tcPr>
            <w:tcW w:w="1387" w:type="dxa"/>
            <w:tcBorders>
              <w:top w:val="single" w:sz="6" w:space="0" w:color="auto"/>
              <w:left w:val="single" w:sz="4" w:space="0" w:color="auto"/>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36D6D919" w14:textId="77777777" w:rsidR="00636427" w:rsidRPr="00A40423" w:rsidRDefault="000F5B51" w:rsidP="00256450">
            <w:pPr>
              <w:spacing w:after="0" w:line="240" w:lineRule="auto"/>
              <w:jc w:val="center"/>
              <w:rPr>
                <w:b/>
                <w:bCs/>
              </w:rPr>
            </w:pPr>
            <w:r>
              <w:rPr>
                <w:b/>
                <w:bCs/>
              </w:rPr>
              <w:t>Fatal</w:t>
            </w:r>
          </w:p>
        </w:tc>
        <w:tc>
          <w:tcPr>
            <w:tcW w:w="1387" w:type="dxa"/>
            <w:tcBorders>
              <w:top w:val="single" w:sz="6" w:space="0" w:color="auto"/>
              <w:left w:val="single" w:sz="4"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14:paraId="6B5364DA" w14:textId="77777777" w:rsidR="00636427" w:rsidRPr="00A40423" w:rsidRDefault="000F5B51" w:rsidP="00256450">
            <w:pPr>
              <w:spacing w:after="0" w:line="240" w:lineRule="auto"/>
              <w:jc w:val="center"/>
              <w:rPr>
                <w:b/>
                <w:bCs/>
              </w:rPr>
            </w:pPr>
            <w:r>
              <w:rPr>
                <w:b/>
                <w:bCs/>
              </w:rPr>
              <w:t>MAIS 2-5</w:t>
            </w:r>
          </w:p>
        </w:tc>
        <w:tc>
          <w:tcPr>
            <w:tcW w:w="1387" w:type="dxa"/>
            <w:tcBorders>
              <w:top w:val="single" w:sz="6"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14:paraId="7950F80D" w14:textId="77777777" w:rsidR="00636427" w:rsidRPr="00A40423" w:rsidRDefault="000F5B51" w:rsidP="00256450">
            <w:pPr>
              <w:spacing w:after="0" w:line="240" w:lineRule="auto"/>
              <w:jc w:val="center"/>
              <w:rPr>
                <w:b/>
                <w:bCs/>
              </w:rPr>
            </w:pPr>
            <w:r>
              <w:rPr>
                <w:b/>
                <w:bCs/>
              </w:rPr>
              <w:t>MAIS 1</w:t>
            </w:r>
          </w:p>
        </w:tc>
      </w:tr>
      <w:tr w:rsidR="00A15C2C" w14:paraId="7D554436" w14:textId="77777777" w:rsidTr="0055589E">
        <w:trPr>
          <w:trHeight w:val="358"/>
          <w:jc w:val="center"/>
        </w:trPr>
        <w:tc>
          <w:tcPr>
            <w:tcW w:w="130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3723B89F" w14:textId="77777777" w:rsidR="00636427" w:rsidRDefault="000F5B51" w:rsidP="00256450">
            <w:pPr>
              <w:spacing w:after="0" w:line="240" w:lineRule="auto"/>
            </w:pPr>
            <w:r>
              <w:t>PC</w:t>
            </w:r>
          </w:p>
        </w:tc>
        <w:tc>
          <w:tcPr>
            <w:tcW w:w="139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706E7E7B" w14:textId="77777777" w:rsidR="00636427" w:rsidRPr="00D93496" w:rsidRDefault="000F5B51" w:rsidP="00256450">
            <w:pPr>
              <w:spacing w:after="0" w:line="240" w:lineRule="auto"/>
              <w:jc w:val="center"/>
            </w:pPr>
            <w:r>
              <w:t>0.44</w:t>
            </w:r>
            <w:r w:rsidR="00805ABC">
              <w:t>0</w:t>
            </w:r>
          </w:p>
        </w:tc>
        <w:tc>
          <w:tcPr>
            <w:tcW w:w="139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59F722E7" w14:textId="77777777" w:rsidR="00636427" w:rsidRPr="00D93496" w:rsidRDefault="000F5B51" w:rsidP="00256450">
            <w:pPr>
              <w:spacing w:after="0" w:line="240" w:lineRule="auto"/>
              <w:jc w:val="center"/>
            </w:pPr>
            <w:r>
              <w:t>0.50</w:t>
            </w:r>
            <w:r w:rsidR="00805ABC">
              <w:t>0</w:t>
            </w:r>
          </w:p>
        </w:tc>
        <w:tc>
          <w:tcPr>
            <w:tcW w:w="1392"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7902D93F" w14:textId="77777777" w:rsidR="00636427" w:rsidRPr="00D93496" w:rsidRDefault="000F5B51" w:rsidP="00256450">
            <w:pPr>
              <w:spacing w:after="0" w:line="240" w:lineRule="auto"/>
              <w:jc w:val="center"/>
            </w:pPr>
            <w:r>
              <w:t>0.055</w:t>
            </w:r>
          </w:p>
        </w:tc>
      </w:tr>
      <w:tr w:rsidR="00A15C2C" w14:paraId="7DFA3293" w14:textId="77777777" w:rsidTr="0055589E">
        <w:trPr>
          <w:trHeight w:val="264"/>
          <w:jc w:val="center"/>
        </w:trPr>
        <w:tc>
          <w:tcPr>
            <w:tcW w:w="130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4B26D569" w14:textId="77777777" w:rsidR="00636427" w:rsidRDefault="000F5B51" w:rsidP="00256450">
            <w:pPr>
              <w:spacing w:after="0" w:line="240" w:lineRule="auto"/>
            </w:pPr>
            <w:r>
              <w:t>LTV</w:t>
            </w:r>
          </w:p>
        </w:tc>
        <w:tc>
          <w:tcPr>
            <w:tcW w:w="139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2BD5F87C" w14:textId="77777777" w:rsidR="002B4460" w:rsidRPr="00D93496" w:rsidRDefault="000F5B51">
            <w:pPr>
              <w:spacing w:after="0" w:line="240" w:lineRule="auto"/>
              <w:jc w:val="center"/>
            </w:pPr>
            <w:r>
              <w:t>0.73</w:t>
            </w:r>
            <w:r w:rsidR="00805ABC">
              <w:t>0</w:t>
            </w:r>
          </w:p>
        </w:tc>
        <w:tc>
          <w:tcPr>
            <w:tcW w:w="139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4AAA70A2" w14:textId="77777777" w:rsidR="00636427" w:rsidRPr="00D93496" w:rsidRDefault="000F5B51" w:rsidP="00256450">
            <w:pPr>
              <w:spacing w:after="0" w:line="240" w:lineRule="auto"/>
              <w:jc w:val="center"/>
            </w:pPr>
            <w:r>
              <w:t>0.50</w:t>
            </w:r>
            <w:r w:rsidR="00805ABC">
              <w:t>0</w:t>
            </w:r>
          </w:p>
        </w:tc>
        <w:tc>
          <w:tcPr>
            <w:tcW w:w="1392"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07AFCA8D" w14:textId="77777777" w:rsidR="00636427" w:rsidRPr="00D93496" w:rsidRDefault="000F5B51" w:rsidP="00256450">
            <w:pPr>
              <w:spacing w:after="0" w:line="240" w:lineRule="auto"/>
              <w:jc w:val="center"/>
            </w:pPr>
            <w:r>
              <w:t>0.055</w:t>
            </w:r>
          </w:p>
        </w:tc>
      </w:tr>
    </w:tbl>
    <w:p w14:paraId="027329D1" w14:textId="77777777" w:rsidR="00570FC4" w:rsidRDefault="00570FC4" w:rsidP="0055589E">
      <w:pPr>
        <w:pStyle w:val="NoSpaceTimes"/>
      </w:pPr>
    </w:p>
    <w:p w14:paraId="3AE2B84D" w14:textId="77777777" w:rsidR="00A65CB3" w:rsidRDefault="000F5B51" w:rsidP="00006EEF">
      <w:pPr>
        <w:pStyle w:val="Caption"/>
      </w:pPr>
      <w:r>
        <w:fldChar w:fldCharType="begin"/>
      </w:r>
      <w:r>
        <w:instrText xml:space="preserve"> REF _Ref126051626 \h </w:instrText>
      </w:r>
      <w:r>
        <w:fldChar w:fldCharType="separate"/>
      </w:r>
    </w:p>
    <w:p w14:paraId="1717E682" w14:textId="73C31834" w:rsidR="0057476E" w:rsidRDefault="00A65CB3" w:rsidP="0055589E">
      <w:r>
        <w:t xml:space="preserve">Table </w:t>
      </w:r>
      <w:r>
        <w:rPr>
          <w:noProof/>
        </w:rPr>
        <w:t>30</w:t>
      </w:r>
      <w:r w:rsidR="000F5B51">
        <w:fldChar w:fldCharType="end"/>
      </w:r>
      <w:r w:rsidR="00570FC4" w:rsidRPr="00570FC4">
        <w:t xml:space="preserve"> </w:t>
      </w:r>
      <w:r w:rsidR="00570FC4">
        <w:t>presents effectiveness rates for seat belt</w:t>
      </w:r>
      <w:r w:rsidR="00B45916">
        <w:t xml:space="preserve">s </w:t>
      </w:r>
      <w:r w:rsidR="00570FC4">
        <w:t>for right front passengers by vehicle type</w:t>
      </w:r>
      <w:r w:rsidR="001F2F92">
        <w:t xml:space="preserve">. </w:t>
      </w:r>
      <w:r w:rsidR="00A445B9">
        <w:t xml:space="preserve">For right front passengers in passenger </w:t>
      </w:r>
      <w:r w:rsidR="004A1236">
        <w:t>car</w:t>
      </w:r>
      <w:r w:rsidR="00A445B9">
        <w:t>s, the effectiveness rates for seat belts are 0.</w:t>
      </w:r>
      <w:r w:rsidR="002430C3">
        <w:t>44</w:t>
      </w:r>
      <w:r w:rsidR="00A445B9">
        <w:t xml:space="preserve"> for fatalities, 0.50</w:t>
      </w:r>
      <w:r w:rsidR="00805ABC">
        <w:t>0</w:t>
      </w:r>
      <w:r w:rsidR="00A445B9">
        <w:t xml:space="preserve"> for MAIS 2-5 injuries, and 0.055 for MAIS 1 injuries</w:t>
      </w:r>
      <w:r w:rsidR="001F2F92">
        <w:t xml:space="preserve">. </w:t>
      </w:r>
      <w:r w:rsidR="00A445B9">
        <w:t xml:space="preserve">For </w:t>
      </w:r>
      <w:r w:rsidR="000B4C9C">
        <w:t>right front seat passengers</w:t>
      </w:r>
      <w:r w:rsidR="00A445B9">
        <w:t xml:space="preserve"> in light trucks,</w:t>
      </w:r>
      <w:r w:rsidR="00A445B9" w:rsidRPr="00B6701A">
        <w:t xml:space="preserve"> </w:t>
      </w:r>
      <w:r w:rsidR="00A445B9">
        <w:t>the effectiveness rates for seat belts are 0.</w:t>
      </w:r>
      <w:r w:rsidR="000B4C9C">
        <w:t>6</w:t>
      </w:r>
      <w:r w:rsidR="00A445B9">
        <w:t>3</w:t>
      </w:r>
      <w:r w:rsidR="00805ABC">
        <w:t>0</w:t>
      </w:r>
      <w:r w:rsidR="00A445B9">
        <w:t xml:space="preserve"> for fatalities, 0.50</w:t>
      </w:r>
      <w:r w:rsidR="00805ABC">
        <w:t>0</w:t>
      </w:r>
      <w:r w:rsidR="00A445B9">
        <w:t xml:space="preserve"> for MAIS 2-5 injuries, and 0.055 for MAIS 1 injuries.</w:t>
      </w:r>
    </w:p>
    <w:p w14:paraId="03C92902" w14:textId="219403C2" w:rsidR="00435D89" w:rsidRDefault="00435D89" w:rsidP="0055589E"/>
    <w:p w14:paraId="52A9B9C0" w14:textId="77777777" w:rsidR="00435D89" w:rsidRDefault="00435D89" w:rsidP="00006EEF">
      <w:pPr>
        <w:pStyle w:val="Caption"/>
      </w:pPr>
      <w:bookmarkStart w:id="170" w:name="_Ref126051626"/>
      <w:bookmarkStart w:id="171" w:name="_Hlk126159521"/>
    </w:p>
    <w:p w14:paraId="0AF2C9D2" w14:textId="0DD6B99A" w:rsidR="00006EEF" w:rsidRDefault="000F5B51" w:rsidP="00006EEF">
      <w:pPr>
        <w:pStyle w:val="Caption"/>
      </w:pPr>
      <w:r>
        <w:t xml:space="preserve">Table </w:t>
      </w:r>
      <w:r w:rsidR="00115BAB">
        <w:fldChar w:fldCharType="begin"/>
      </w:r>
      <w:r>
        <w:instrText xml:space="preserve"> SEQ Table \* ARABIC </w:instrText>
      </w:r>
      <w:r w:rsidR="00115BAB">
        <w:fldChar w:fldCharType="separate"/>
      </w:r>
      <w:r w:rsidR="00A65CB3">
        <w:rPr>
          <w:noProof/>
        </w:rPr>
        <w:t>30</w:t>
      </w:r>
      <w:r w:rsidR="00115BAB">
        <w:rPr>
          <w:noProof/>
        </w:rPr>
        <w:fldChar w:fldCharType="end"/>
      </w:r>
      <w:bookmarkEnd w:id="170"/>
      <w:r>
        <w:t>: Seat Belt Effectiveness for Right Front Passenger by Vehicle Type</w:t>
      </w:r>
    </w:p>
    <w:tbl>
      <w:tblPr>
        <w:tblW w:w="5466" w:type="dxa"/>
        <w:jc w:val="center"/>
        <w:tblCellMar>
          <w:left w:w="0" w:type="dxa"/>
          <w:right w:w="0" w:type="dxa"/>
        </w:tblCellMar>
        <w:tblLook w:val="04A0" w:firstRow="1" w:lastRow="0" w:firstColumn="1" w:lastColumn="0" w:noHBand="0" w:noVBand="1"/>
      </w:tblPr>
      <w:tblGrid>
        <w:gridCol w:w="1890"/>
        <w:gridCol w:w="1124"/>
        <w:gridCol w:w="1316"/>
        <w:gridCol w:w="1136"/>
      </w:tblGrid>
      <w:tr w:rsidR="00A15C2C" w14:paraId="284F5B09" w14:textId="77777777" w:rsidTr="002B4460">
        <w:trPr>
          <w:trHeight w:val="264"/>
          <w:jc w:val="center"/>
        </w:trPr>
        <w:tc>
          <w:tcPr>
            <w:tcW w:w="1890"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F353770" w14:textId="77777777" w:rsidR="00006EEF" w:rsidRDefault="000F5B51" w:rsidP="00256450">
            <w:pPr>
              <w:spacing w:after="0" w:line="240" w:lineRule="auto"/>
              <w:rPr>
                <w:b/>
                <w:bCs/>
              </w:rPr>
            </w:pPr>
            <w:r>
              <w:rPr>
                <w:b/>
                <w:bCs/>
              </w:rPr>
              <w:t>Vehicle Type</w:t>
            </w:r>
          </w:p>
        </w:tc>
        <w:tc>
          <w:tcPr>
            <w:tcW w:w="3576" w:type="dxa"/>
            <w:gridSpan w:val="3"/>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579C755D" w14:textId="77777777" w:rsidR="00006EEF" w:rsidRPr="00A40423" w:rsidRDefault="000F5B51" w:rsidP="00256450">
            <w:pPr>
              <w:spacing w:after="0" w:line="240" w:lineRule="auto"/>
              <w:jc w:val="center"/>
              <w:rPr>
                <w:b/>
                <w:bCs/>
              </w:rPr>
            </w:pPr>
            <w:r>
              <w:rPr>
                <w:b/>
                <w:bCs/>
              </w:rPr>
              <w:t>Injury Severity</w:t>
            </w:r>
          </w:p>
        </w:tc>
      </w:tr>
      <w:tr w:rsidR="00A15C2C" w14:paraId="31CCC7A4" w14:textId="77777777" w:rsidTr="002B4460">
        <w:trPr>
          <w:trHeight w:val="264"/>
          <w:jc w:val="center"/>
        </w:trPr>
        <w:tc>
          <w:tcPr>
            <w:tcW w:w="1890" w:type="dxa"/>
            <w:vMerge/>
            <w:tcBorders>
              <w:left w:val="single" w:sz="4" w:space="0" w:color="auto"/>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764317A" w14:textId="77777777" w:rsidR="00006EEF" w:rsidRPr="00A40423" w:rsidRDefault="00006EEF" w:rsidP="00256450">
            <w:pPr>
              <w:spacing w:after="0" w:line="240" w:lineRule="auto"/>
              <w:rPr>
                <w:b/>
                <w:bCs/>
              </w:rPr>
            </w:pPr>
          </w:p>
        </w:tc>
        <w:tc>
          <w:tcPr>
            <w:tcW w:w="1124" w:type="dxa"/>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29CADA8E" w14:textId="77777777" w:rsidR="00006EEF" w:rsidRPr="00A40423" w:rsidRDefault="000F5B51" w:rsidP="00256450">
            <w:pPr>
              <w:spacing w:after="0" w:line="240" w:lineRule="auto"/>
              <w:jc w:val="center"/>
              <w:rPr>
                <w:b/>
                <w:bCs/>
              </w:rPr>
            </w:pPr>
            <w:r>
              <w:rPr>
                <w:b/>
                <w:bCs/>
              </w:rPr>
              <w:t>Fatal</w:t>
            </w:r>
          </w:p>
        </w:tc>
        <w:tc>
          <w:tcPr>
            <w:tcW w:w="1316" w:type="dxa"/>
            <w:tcBorders>
              <w:top w:val="single" w:sz="4"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14:paraId="662F4D21" w14:textId="77777777" w:rsidR="00006EEF" w:rsidRPr="00A40423" w:rsidRDefault="000F5B51" w:rsidP="00256450">
            <w:pPr>
              <w:spacing w:after="0" w:line="240" w:lineRule="auto"/>
              <w:jc w:val="center"/>
              <w:rPr>
                <w:b/>
                <w:bCs/>
              </w:rPr>
            </w:pPr>
            <w:r>
              <w:rPr>
                <w:b/>
                <w:bCs/>
              </w:rPr>
              <w:t>MAIS 2-5</w:t>
            </w:r>
          </w:p>
        </w:tc>
        <w:tc>
          <w:tcPr>
            <w:tcW w:w="113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14:paraId="3FAED922" w14:textId="77777777" w:rsidR="00006EEF" w:rsidRPr="00A40423" w:rsidRDefault="000F5B51" w:rsidP="00256450">
            <w:pPr>
              <w:spacing w:after="0" w:line="240" w:lineRule="auto"/>
              <w:jc w:val="center"/>
              <w:rPr>
                <w:b/>
                <w:bCs/>
              </w:rPr>
            </w:pPr>
            <w:r>
              <w:rPr>
                <w:b/>
                <w:bCs/>
              </w:rPr>
              <w:t>MAIS 1</w:t>
            </w:r>
          </w:p>
        </w:tc>
      </w:tr>
      <w:tr w:rsidR="00A15C2C" w14:paraId="60EBEACE" w14:textId="77777777" w:rsidTr="002B4460">
        <w:trPr>
          <w:trHeight w:val="264"/>
          <w:jc w:val="center"/>
        </w:trPr>
        <w:tc>
          <w:tcPr>
            <w:tcW w:w="18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1813B3B3" w14:textId="77777777" w:rsidR="00725465" w:rsidRDefault="000F5B51" w:rsidP="00725465">
            <w:pPr>
              <w:spacing w:after="0" w:line="240" w:lineRule="auto"/>
            </w:pPr>
            <w:r>
              <w:t>PC</w:t>
            </w:r>
          </w:p>
        </w:tc>
        <w:tc>
          <w:tcPr>
            <w:tcW w:w="112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46E19AB1" w14:textId="77777777" w:rsidR="00725465" w:rsidRPr="00D93496" w:rsidRDefault="000F5B51" w:rsidP="00725465">
            <w:pPr>
              <w:spacing w:after="0" w:line="240" w:lineRule="auto"/>
              <w:jc w:val="center"/>
            </w:pPr>
            <w:r>
              <w:t>0</w:t>
            </w:r>
            <w:r w:rsidRPr="00D93496">
              <w:t>.44</w:t>
            </w:r>
            <w:r w:rsidR="00805ABC">
              <w:t>0</w:t>
            </w:r>
          </w:p>
        </w:tc>
        <w:tc>
          <w:tcPr>
            <w:tcW w:w="1316" w:type="dxa"/>
            <w:tcBorders>
              <w:top w:val="single" w:sz="8" w:space="0" w:color="auto"/>
              <w:left w:val="single" w:sz="4" w:space="0" w:color="auto"/>
              <w:bottom w:val="single" w:sz="8" w:space="0" w:color="auto"/>
              <w:right w:val="single" w:sz="4" w:space="0" w:color="auto"/>
            </w:tcBorders>
            <w:noWrap/>
            <w:tcMar>
              <w:top w:w="0" w:type="dxa"/>
              <w:left w:w="108" w:type="dxa"/>
              <w:bottom w:w="0" w:type="dxa"/>
              <w:right w:w="108" w:type="dxa"/>
            </w:tcMar>
            <w:vAlign w:val="center"/>
          </w:tcPr>
          <w:p w14:paraId="57F848C6" w14:textId="77777777" w:rsidR="00725465" w:rsidRPr="00D93496" w:rsidRDefault="000F5B51" w:rsidP="00725465">
            <w:pPr>
              <w:spacing w:after="0" w:line="240" w:lineRule="auto"/>
              <w:jc w:val="center"/>
            </w:pPr>
            <w:r>
              <w:t>0</w:t>
            </w:r>
            <w:r w:rsidRPr="00D93496">
              <w:t>.50</w:t>
            </w:r>
            <w:r w:rsidR="00805ABC">
              <w:t>0</w:t>
            </w:r>
          </w:p>
        </w:tc>
        <w:tc>
          <w:tcPr>
            <w:tcW w:w="1136"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14:paraId="6B0CB0EA" w14:textId="77777777" w:rsidR="00725465" w:rsidRPr="00D93496" w:rsidRDefault="000F5B51" w:rsidP="00725465">
            <w:pPr>
              <w:spacing w:after="0" w:line="240" w:lineRule="auto"/>
              <w:jc w:val="center"/>
            </w:pPr>
            <w:r>
              <w:t>0.055</w:t>
            </w:r>
          </w:p>
        </w:tc>
      </w:tr>
      <w:tr w:rsidR="00A15C2C" w14:paraId="620096F8" w14:textId="77777777" w:rsidTr="002B4460">
        <w:trPr>
          <w:trHeight w:val="264"/>
          <w:jc w:val="center"/>
        </w:trPr>
        <w:tc>
          <w:tcPr>
            <w:tcW w:w="1890"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14:paraId="559BCCF5" w14:textId="77777777" w:rsidR="00725465" w:rsidRDefault="000F5B51" w:rsidP="00725465">
            <w:pPr>
              <w:spacing w:after="0" w:line="240" w:lineRule="auto"/>
            </w:pPr>
            <w:r>
              <w:t>LTV</w:t>
            </w:r>
          </w:p>
        </w:tc>
        <w:tc>
          <w:tcPr>
            <w:tcW w:w="112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5512B0F7" w14:textId="77777777" w:rsidR="00725465" w:rsidRPr="00D93496" w:rsidRDefault="000F5B51" w:rsidP="00725465">
            <w:pPr>
              <w:spacing w:after="0" w:line="240" w:lineRule="auto"/>
              <w:jc w:val="center"/>
            </w:pPr>
            <w:r>
              <w:t>0</w:t>
            </w:r>
            <w:r w:rsidRPr="00D93496">
              <w:t>.63</w:t>
            </w:r>
            <w:r w:rsidR="00805ABC">
              <w:t>0</w:t>
            </w:r>
          </w:p>
        </w:tc>
        <w:tc>
          <w:tcPr>
            <w:tcW w:w="1316"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tcPr>
          <w:p w14:paraId="491BC507" w14:textId="77777777" w:rsidR="00725465" w:rsidRPr="00D93496" w:rsidRDefault="000F5B51" w:rsidP="00725465">
            <w:pPr>
              <w:spacing w:after="0" w:line="240" w:lineRule="auto"/>
              <w:jc w:val="center"/>
            </w:pPr>
            <w:r>
              <w:t>0</w:t>
            </w:r>
            <w:r w:rsidRPr="00D93496">
              <w:t>.50</w:t>
            </w:r>
            <w:r w:rsidR="00805ABC">
              <w:t>0</w:t>
            </w:r>
          </w:p>
        </w:tc>
        <w:tc>
          <w:tcPr>
            <w:tcW w:w="11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49627A74" w14:textId="77777777" w:rsidR="00725465" w:rsidRPr="00D93496" w:rsidRDefault="000F5B51" w:rsidP="00725465">
            <w:pPr>
              <w:spacing w:after="0" w:line="240" w:lineRule="auto"/>
              <w:jc w:val="center"/>
            </w:pPr>
            <w:r>
              <w:t>0.055</w:t>
            </w:r>
          </w:p>
        </w:tc>
      </w:tr>
      <w:bookmarkEnd w:id="171"/>
    </w:tbl>
    <w:p w14:paraId="4BAC9856" w14:textId="77777777" w:rsidR="00E066C9" w:rsidRDefault="00E066C9" w:rsidP="00476BA7">
      <w:pPr>
        <w:pStyle w:val="NoSpaceTimes"/>
      </w:pPr>
    </w:p>
    <w:p w14:paraId="375CF8D4" w14:textId="77777777" w:rsidR="00EC13FD" w:rsidRDefault="000F5B51" w:rsidP="0055589E">
      <w:pPr>
        <w:pStyle w:val="Heading2"/>
        <w:spacing w:line="240" w:lineRule="auto"/>
      </w:pPr>
      <w:bookmarkStart w:id="172" w:name="_Ref126131076"/>
      <w:bookmarkStart w:id="173" w:name="_Toc142902975"/>
      <w:r>
        <w:t>Effect of SBWS on Rear Occupant</w:t>
      </w:r>
      <w:bookmarkEnd w:id="172"/>
      <w:bookmarkEnd w:id="173"/>
    </w:p>
    <w:p w14:paraId="04C2B1D7" w14:textId="77777777" w:rsidR="00EC13FD" w:rsidRPr="00D13E52" w:rsidRDefault="000F5B51" w:rsidP="00435D89">
      <w:pPr>
        <w:spacing w:after="0"/>
      </w:pPr>
      <w:r>
        <w:t xml:space="preserve">This section discusses the effect of SBWS </w:t>
      </w:r>
      <w:r w:rsidR="00B40B45">
        <w:t>on</w:t>
      </w:r>
      <w:r w:rsidR="00F1579B">
        <w:t xml:space="preserve"> rear seat occupant seat belt use rates</w:t>
      </w:r>
      <w:r w:rsidR="001F2F92">
        <w:t xml:space="preserve">. </w:t>
      </w:r>
      <w:r w:rsidR="001C32F9">
        <w:t xml:space="preserve">The </w:t>
      </w:r>
      <w:r w:rsidR="00EE47EF">
        <w:t>next</w:t>
      </w:r>
      <w:r w:rsidR="001C32F9">
        <w:t xml:space="preserve"> s</w:t>
      </w:r>
      <w:r w:rsidR="00EE47EF">
        <w:t>ubs</w:t>
      </w:r>
      <w:r w:rsidR="001C32F9">
        <w:t xml:space="preserve">ection discusses the impact of SBWS on </w:t>
      </w:r>
      <w:r w:rsidR="00EE47EF">
        <w:t>seat belt us</w:t>
      </w:r>
      <w:r w:rsidR="00F1579B">
        <w:t>e</w:t>
      </w:r>
      <w:r w:rsidR="00EE47EF">
        <w:t xml:space="preserve"> and the following </w:t>
      </w:r>
      <w:r w:rsidR="00F731E6">
        <w:t>presents the</w:t>
      </w:r>
      <w:r w:rsidR="00567DE7">
        <w:t xml:space="preserve"> </w:t>
      </w:r>
      <w:r w:rsidR="00A86868">
        <w:t>increase in seat belt us</w:t>
      </w:r>
      <w:r w:rsidR="00F1579B">
        <w:t>e rates</w:t>
      </w:r>
      <w:r w:rsidR="00240501">
        <w:t xml:space="preserve"> for rear seat occupants resulting from the</w:t>
      </w:r>
      <w:r w:rsidR="00B83128">
        <w:t xml:space="preserve"> requirements specified for SBWS in the</w:t>
      </w:r>
      <w:r w:rsidR="00240501">
        <w:t xml:space="preserve"> proposed rule.</w:t>
      </w:r>
    </w:p>
    <w:p w14:paraId="3C2D29E5" w14:textId="77777777" w:rsidR="005A220B" w:rsidRDefault="000F5B51" w:rsidP="0055589E">
      <w:pPr>
        <w:pStyle w:val="Heading3"/>
        <w:spacing w:line="240" w:lineRule="auto"/>
      </w:pPr>
      <w:bookmarkStart w:id="174" w:name="_Toc142902976"/>
      <w:r>
        <w:t>Impact of SBWS</w:t>
      </w:r>
      <w:bookmarkEnd w:id="174"/>
    </w:p>
    <w:p w14:paraId="2BAD1726" w14:textId="57B6A244" w:rsidR="008063A8" w:rsidRDefault="000F5B51" w:rsidP="0055589E">
      <w:pPr>
        <w:spacing w:after="0"/>
      </w:pPr>
      <w:r>
        <w:t>This subsection discusses the impact of SBWS on seat belt use</w:t>
      </w:r>
      <w:r w:rsidR="001F2F92">
        <w:t xml:space="preserve">. </w:t>
      </w:r>
      <w:r>
        <w:t xml:space="preserve">In order to </w:t>
      </w:r>
      <w:r w:rsidR="00F1579B">
        <w:t>estimate the increase in seat belt use rates for rear seat occupants as a result</w:t>
      </w:r>
      <w:r>
        <w:t xml:space="preserve"> of the proposed rule, </w:t>
      </w:r>
      <w:r w:rsidR="008C0FC9">
        <w:t>this analysis uses the estimate of front seat belt use increase due to various SBWSs (by comparing no-SBWS to enhanced SBWSs and basic SBWSs to enhanced SBWSs) to determine the</w:t>
      </w:r>
      <w:r w:rsidR="00335A49">
        <w:t xml:space="preserve"> increase in</w:t>
      </w:r>
      <w:r w:rsidR="008C0FC9">
        <w:t xml:space="preserve"> rear seat belt use due to the proposed SBWS</w:t>
      </w:r>
      <w:r w:rsidR="001F2F92">
        <w:t xml:space="preserve">. </w:t>
      </w:r>
      <w:r w:rsidR="00102ED3">
        <w:t>Note that this analysis did not consider the impact of an indefinite warning period for SBWS for rear seat occupants as that is not included in the proposed rule</w:t>
      </w:r>
      <w:r w:rsidR="001F2F92">
        <w:t xml:space="preserve">. </w:t>
      </w:r>
      <w:r w:rsidR="00360E71">
        <w:t xml:space="preserve">See </w:t>
      </w:r>
      <w:r w:rsidR="002F24A8">
        <w:fldChar w:fldCharType="begin"/>
      </w:r>
      <w:r w:rsidR="002F24A8">
        <w:instrText xml:space="preserve"> REF _Ref127188719 \h </w:instrText>
      </w:r>
      <w:r w:rsidR="002F24A8">
        <w:fldChar w:fldCharType="separate"/>
      </w:r>
      <w:r w:rsidR="00A65CB3">
        <w:t>Appendix E</w:t>
      </w:r>
      <w:r w:rsidR="002F24A8">
        <w:fldChar w:fldCharType="end"/>
      </w:r>
      <w:r w:rsidR="002F24A8">
        <w:t xml:space="preserve"> </w:t>
      </w:r>
      <w:r w:rsidR="00360E71">
        <w:t>for a detailed discussion of the previous studies on SBWS effectiveness</w:t>
      </w:r>
      <w:r w:rsidR="001F2F92">
        <w:t xml:space="preserve">. </w:t>
      </w:r>
      <w:r w:rsidR="00A5131E">
        <w:t>The following sections discuss the impact of SBWS on</w:t>
      </w:r>
      <w:r w:rsidR="00505626">
        <w:t xml:space="preserve"> </w:t>
      </w:r>
      <w:r w:rsidR="006D3E6D">
        <w:t xml:space="preserve">the </w:t>
      </w:r>
      <w:r w:rsidR="00505626">
        <w:t>seat belt use rates</w:t>
      </w:r>
      <w:r w:rsidR="006D3E6D">
        <w:t xml:space="preserve"> of</w:t>
      </w:r>
      <w:r w:rsidR="00505626">
        <w:t xml:space="preserve"> </w:t>
      </w:r>
      <w:r w:rsidR="00A5131E">
        <w:t>rear seat occupant</w:t>
      </w:r>
      <w:r w:rsidR="002572CA">
        <w:t xml:space="preserve"> by age group.</w:t>
      </w:r>
    </w:p>
    <w:p w14:paraId="2A5DE84B" w14:textId="77777777" w:rsidR="008063A8" w:rsidRPr="00D45A69" w:rsidRDefault="000F5B51" w:rsidP="0055589E">
      <w:pPr>
        <w:pStyle w:val="Heading4"/>
        <w:spacing w:before="0" w:line="240" w:lineRule="auto"/>
      </w:pPr>
      <w:r>
        <w:t xml:space="preserve">Rear Seat Occupants </w:t>
      </w:r>
      <w:r w:rsidR="00A5131E">
        <w:t>11 and older</w:t>
      </w:r>
    </w:p>
    <w:p w14:paraId="6FA556C4" w14:textId="2267CE58" w:rsidR="00056EAE" w:rsidRDefault="000F5B51">
      <w:pPr>
        <w:spacing w:after="0"/>
        <w:contextualSpacing/>
        <w:rPr>
          <w:rFonts w:eastAsia="Times New Roman" w:cs="Times New Roman"/>
          <w:szCs w:val="24"/>
        </w:rPr>
      </w:pPr>
      <w:r>
        <w:rPr>
          <w:rFonts w:eastAsia="Times New Roman" w:cs="Times New Roman"/>
          <w:szCs w:val="24"/>
        </w:rPr>
        <w:t>This analysis use</w:t>
      </w:r>
      <w:r w:rsidR="00264C8E">
        <w:rPr>
          <w:rFonts w:eastAsia="Times New Roman" w:cs="Times New Roman"/>
          <w:szCs w:val="24"/>
        </w:rPr>
        <w:t>s</w:t>
      </w:r>
      <w:r>
        <w:rPr>
          <w:rFonts w:eastAsia="Times New Roman" w:cs="Times New Roman"/>
          <w:szCs w:val="24"/>
        </w:rPr>
        <w:t xml:space="preserve"> the</w:t>
      </w:r>
      <w:r w:rsidR="008063A8">
        <w:rPr>
          <w:rFonts w:eastAsia="Times New Roman" w:cs="Times New Roman"/>
          <w:szCs w:val="24"/>
        </w:rPr>
        <w:t xml:space="preserve"> averag</w:t>
      </w:r>
      <w:r>
        <w:rPr>
          <w:rFonts w:eastAsia="Times New Roman" w:cs="Times New Roman"/>
          <w:szCs w:val="24"/>
        </w:rPr>
        <w:t xml:space="preserve">e </w:t>
      </w:r>
      <w:r w:rsidR="00264C8E">
        <w:rPr>
          <w:rFonts w:eastAsia="Times New Roman" w:cs="Times New Roman"/>
          <w:szCs w:val="24"/>
        </w:rPr>
        <w:t xml:space="preserve">seat belt </w:t>
      </w:r>
      <w:r>
        <w:rPr>
          <w:rFonts w:eastAsia="Times New Roman" w:cs="Times New Roman"/>
          <w:szCs w:val="24"/>
        </w:rPr>
        <w:t>use rate over</w:t>
      </w:r>
      <w:r w:rsidR="008063A8">
        <w:rPr>
          <w:rFonts w:eastAsia="Times New Roman" w:cs="Times New Roman"/>
          <w:szCs w:val="24"/>
        </w:rPr>
        <w:t xml:space="preserve"> four years f</w:t>
      </w:r>
      <w:r w:rsidR="00264C8E">
        <w:rPr>
          <w:rFonts w:eastAsia="Times New Roman" w:cs="Times New Roman"/>
          <w:szCs w:val="24"/>
        </w:rPr>
        <w:t>rom the</w:t>
      </w:r>
      <w:r w:rsidR="000500E3">
        <w:rPr>
          <w:rFonts w:eastAsia="Times New Roman" w:cs="Times New Roman"/>
          <w:szCs w:val="24"/>
        </w:rPr>
        <w:t xml:space="preserve"> </w:t>
      </w:r>
      <w:r w:rsidR="000500E3" w:rsidRPr="000F2445">
        <w:rPr>
          <w:rFonts w:cs="Times New Roman"/>
          <w:szCs w:val="24"/>
        </w:rPr>
        <w:t>National Occupant Protection Use Surveys</w:t>
      </w:r>
      <w:r w:rsidR="008063A8">
        <w:rPr>
          <w:rFonts w:eastAsia="Times New Roman" w:cs="Times New Roman"/>
          <w:szCs w:val="24"/>
        </w:rPr>
        <w:t xml:space="preserve"> </w:t>
      </w:r>
      <w:r w:rsidR="000500E3">
        <w:rPr>
          <w:rFonts w:eastAsia="Times New Roman" w:cs="Times New Roman"/>
          <w:szCs w:val="24"/>
        </w:rPr>
        <w:t>(</w:t>
      </w:r>
      <w:r w:rsidR="008063A8">
        <w:rPr>
          <w:rFonts w:eastAsia="Times New Roman" w:cs="Times New Roman"/>
          <w:szCs w:val="24"/>
        </w:rPr>
        <w:t>NOPUS</w:t>
      </w:r>
      <w:r w:rsidR="000500E3">
        <w:rPr>
          <w:rFonts w:eastAsia="Times New Roman" w:cs="Times New Roman"/>
          <w:szCs w:val="24"/>
        </w:rPr>
        <w:t>)</w:t>
      </w:r>
      <w:r w:rsidR="008063A8">
        <w:rPr>
          <w:rFonts w:eastAsia="Times New Roman" w:cs="Times New Roman"/>
          <w:szCs w:val="24"/>
        </w:rPr>
        <w:t xml:space="preserve"> data</w:t>
      </w:r>
      <w:r w:rsidR="003E7AEF">
        <w:rPr>
          <w:rFonts w:eastAsia="Times New Roman" w:cs="Times New Roman"/>
          <w:szCs w:val="24"/>
        </w:rPr>
        <w:t xml:space="preserve"> from</w:t>
      </w:r>
      <w:r w:rsidR="008063A8">
        <w:rPr>
          <w:rFonts w:eastAsia="Times New Roman" w:cs="Times New Roman"/>
          <w:szCs w:val="24"/>
        </w:rPr>
        <w:t xml:space="preserve"> 2011 </w:t>
      </w:r>
      <w:r w:rsidR="006E0E12">
        <w:rPr>
          <w:rFonts w:eastAsia="Times New Roman" w:cs="Times New Roman"/>
          <w:szCs w:val="24"/>
        </w:rPr>
        <w:t>to</w:t>
      </w:r>
      <w:r w:rsidR="008063A8">
        <w:rPr>
          <w:rFonts w:eastAsia="Times New Roman" w:cs="Times New Roman"/>
          <w:szCs w:val="24"/>
        </w:rPr>
        <w:t xml:space="preserve"> 2014</w:t>
      </w:r>
      <w:r w:rsidR="001F2F92">
        <w:rPr>
          <w:rFonts w:eastAsia="Times New Roman" w:cs="Times New Roman"/>
          <w:szCs w:val="24"/>
        </w:rPr>
        <w:t xml:space="preserve">. </w:t>
      </w:r>
      <w:r w:rsidR="00264C8E">
        <w:rPr>
          <w:rFonts w:eastAsia="Times New Roman" w:cs="Times New Roman"/>
          <w:szCs w:val="24"/>
        </w:rPr>
        <w:t>Based on that data, this analysis</w:t>
      </w:r>
      <w:r w:rsidR="008063A8">
        <w:rPr>
          <w:rFonts w:eastAsia="Times New Roman" w:cs="Times New Roman"/>
          <w:szCs w:val="24"/>
        </w:rPr>
        <w:t xml:space="preserve"> estimate</w:t>
      </w:r>
      <w:r w:rsidR="00264C8E">
        <w:rPr>
          <w:rFonts w:eastAsia="Times New Roman" w:cs="Times New Roman"/>
          <w:szCs w:val="24"/>
        </w:rPr>
        <w:t>s</w:t>
      </w:r>
      <w:r w:rsidR="008063A8">
        <w:rPr>
          <w:rFonts w:eastAsia="Times New Roman" w:cs="Times New Roman"/>
          <w:szCs w:val="24"/>
        </w:rPr>
        <w:t xml:space="preserve"> a seat belt use rate of </w:t>
      </w:r>
      <w:r w:rsidR="00264C8E">
        <w:rPr>
          <w:rFonts w:eastAsia="Times New Roman" w:cs="Times New Roman"/>
          <w:szCs w:val="24"/>
        </w:rPr>
        <w:t>0.</w:t>
      </w:r>
      <w:r w:rsidR="008063A8">
        <w:rPr>
          <w:rFonts w:eastAsia="Times New Roman" w:cs="Times New Roman"/>
          <w:szCs w:val="24"/>
        </w:rPr>
        <w:t>75</w:t>
      </w:r>
      <w:r w:rsidR="00C73B5C">
        <w:rPr>
          <w:rFonts w:eastAsia="Times New Roman" w:cs="Times New Roman"/>
          <w:szCs w:val="24"/>
        </w:rPr>
        <w:t>12</w:t>
      </w:r>
      <w:r w:rsidR="006B4962">
        <w:rPr>
          <w:rFonts w:eastAsia="Times New Roman" w:cs="Times New Roman"/>
          <w:szCs w:val="24"/>
        </w:rPr>
        <w:t xml:space="preserve"> </w:t>
      </w:r>
      <w:r w:rsidR="008063A8">
        <w:rPr>
          <w:rFonts w:eastAsia="Times New Roman" w:cs="Times New Roman"/>
          <w:szCs w:val="24"/>
        </w:rPr>
        <w:t xml:space="preserve">for rear seat occupants </w:t>
      </w:r>
      <w:r>
        <w:rPr>
          <w:rFonts w:eastAsia="Times New Roman" w:cs="Times New Roman"/>
          <w:szCs w:val="24"/>
        </w:rPr>
        <w:t>11 years and older</w:t>
      </w:r>
      <w:r w:rsidR="001F2F92">
        <w:rPr>
          <w:rFonts w:eastAsia="Times New Roman" w:cs="Times New Roman"/>
          <w:szCs w:val="24"/>
        </w:rPr>
        <w:t xml:space="preserve">. </w:t>
      </w:r>
      <w:r w:rsidR="00226DA5">
        <w:rPr>
          <w:rFonts w:eastAsia="Times New Roman" w:cs="Times New Roman"/>
          <w:szCs w:val="24"/>
        </w:rPr>
        <w:t>This analysis takes into account t</w:t>
      </w:r>
      <w:r w:rsidR="008063A8">
        <w:rPr>
          <w:rFonts w:eastAsia="Times New Roman" w:cs="Times New Roman"/>
          <w:szCs w:val="24"/>
        </w:rPr>
        <w:t>he estimated overall</w:t>
      </w:r>
      <w:r w:rsidR="00177E75">
        <w:rPr>
          <w:rFonts w:eastAsia="Times New Roman" w:cs="Times New Roman"/>
          <w:szCs w:val="24"/>
        </w:rPr>
        <w:t xml:space="preserve"> seat belt use rate of</w:t>
      </w:r>
      <w:r w:rsidR="008063A8">
        <w:rPr>
          <w:rFonts w:eastAsia="Times New Roman" w:cs="Times New Roman"/>
          <w:szCs w:val="24"/>
        </w:rPr>
        <w:t xml:space="preserve"> </w:t>
      </w:r>
      <w:r w:rsidR="00177E75">
        <w:rPr>
          <w:rFonts w:eastAsia="Times New Roman" w:cs="Times New Roman"/>
          <w:szCs w:val="24"/>
        </w:rPr>
        <w:t>0.</w:t>
      </w:r>
      <w:r w:rsidR="008063A8">
        <w:rPr>
          <w:rFonts w:eastAsia="Times New Roman" w:cs="Times New Roman"/>
          <w:szCs w:val="24"/>
        </w:rPr>
        <w:t>854</w:t>
      </w:r>
      <w:r w:rsidR="00177E75">
        <w:rPr>
          <w:rFonts w:eastAsia="Times New Roman" w:cs="Times New Roman"/>
          <w:szCs w:val="24"/>
        </w:rPr>
        <w:t>0</w:t>
      </w:r>
      <w:r w:rsidR="006B4962">
        <w:rPr>
          <w:rFonts w:eastAsia="Times New Roman" w:cs="Times New Roman"/>
          <w:szCs w:val="24"/>
        </w:rPr>
        <w:t xml:space="preserve"> </w:t>
      </w:r>
      <w:r w:rsidR="003E6B71">
        <w:rPr>
          <w:rFonts w:eastAsia="Times New Roman" w:cs="Times New Roman"/>
          <w:szCs w:val="24"/>
        </w:rPr>
        <w:t>for</w:t>
      </w:r>
      <w:r w:rsidR="008063A8">
        <w:rPr>
          <w:rFonts w:eastAsia="Times New Roman" w:cs="Times New Roman"/>
          <w:szCs w:val="24"/>
        </w:rPr>
        <w:t xml:space="preserve"> front</w:t>
      </w:r>
      <w:r w:rsidR="003E6B71">
        <w:rPr>
          <w:rFonts w:eastAsia="Times New Roman" w:cs="Times New Roman"/>
          <w:szCs w:val="24"/>
        </w:rPr>
        <w:t xml:space="preserve"> seat occupants</w:t>
      </w:r>
      <w:r w:rsidR="008063A8">
        <w:rPr>
          <w:rFonts w:eastAsia="Times New Roman" w:cs="Times New Roman"/>
          <w:szCs w:val="24"/>
        </w:rPr>
        <w:t xml:space="preserve">, the estimated increase in belt use rate of </w:t>
      </w:r>
      <w:r w:rsidR="006B4962">
        <w:rPr>
          <w:rFonts w:eastAsia="Times New Roman" w:cs="Times New Roman"/>
          <w:szCs w:val="24"/>
        </w:rPr>
        <w:t>two percent</w:t>
      </w:r>
      <w:r w:rsidR="008063A8">
        <w:rPr>
          <w:rFonts w:eastAsia="Times New Roman" w:cs="Times New Roman"/>
          <w:szCs w:val="24"/>
        </w:rPr>
        <w:t xml:space="preserve"> and </w:t>
      </w:r>
      <w:r w:rsidR="006B4962">
        <w:rPr>
          <w:rFonts w:eastAsia="Times New Roman" w:cs="Times New Roman"/>
          <w:szCs w:val="24"/>
        </w:rPr>
        <w:t>three percent</w:t>
      </w:r>
      <w:r w:rsidR="00226DA5">
        <w:rPr>
          <w:rFonts w:eastAsia="Times New Roman" w:cs="Times New Roman"/>
          <w:szCs w:val="24"/>
        </w:rPr>
        <w:t xml:space="preserve"> based on NHTSA’s research</w:t>
      </w:r>
      <w:r w:rsidR="00B0736A">
        <w:rPr>
          <w:rFonts w:eastAsia="Times New Roman" w:cs="Times New Roman"/>
          <w:szCs w:val="24"/>
        </w:rPr>
        <w:t xml:space="preserve"> </w:t>
      </w:r>
      <w:r w:rsidR="00B0736A">
        <w:rPr>
          <w:rFonts w:eastAsia="Times New Roman" w:cs="Times New Roman"/>
          <w:szCs w:val="24"/>
        </w:rPr>
        <w:lastRenderedPageBreak/>
        <w:t>(see</w:t>
      </w:r>
      <w:r w:rsidR="00226DA5">
        <w:rPr>
          <w:rFonts w:eastAsia="Times New Roman" w:cs="Times New Roman"/>
          <w:szCs w:val="24"/>
        </w:rPr>
        <w:t xml:space="preserve"> Section </w:t>
      </w:r>
      <w:r w:rsidR="00226DA5">
        <w:rPr>
          <w:rFonts w:eastAsia="Times New Roman" w:cs="Times New Roman"/>
          <w:szCs w:val="24"/>
        </w:rPr>
        <w:fldChar w:fldCharType="begin"/>
      </w:r>
      <w:r w:rsidR="00226DA5">
        <w:rPr>
          <w:rFonts w:eastAsia="Times New Roman" w:cs="Times New Roman"/>
          <w:szCs w:val="24"/>
        </w:rPr>
        <w:instrText xml:space="preserve"> REF _Ref127276578 \r \h </w:instrText>
      </w:r>
      <w:r w:rsidR="00226DA5">
        <w:rPr>
          <w:rFonts w:eastAsia="Times New Roman" w:cs="Times New Roman"/>
          <w:szCs w:val="24"/>
        </w:rPr>
      </w:r>
      <w:r w:rsidR="00226DA5">
        <w:rPr>
          <w:rFonts w:eastAsia="Times New Roman" w:cs="Times New Roman"/>
          <w:szCs w:val="24"/>
        </w:rPr>
        <w:fldChar w:fldCharType="separate"/>
      </w:r>
      <w:r w:rsidR="00A65CB3">
        <w:rPr>
          <w:rFonts w:eastAsia="Times New Roman" w:cs="Times New Roman"/>
          <w:szCs w:val="24"/>
        </w:rPr>
        <w:t>2.2</w:t>
      </w:r>
      <w:r w:rsidR="00226DA5">
        <w:rPr>
          <w:rFonts w:eastAsia="Times New Roman" w:cs="Times New Roman"/>
          <w:szCs w:val="24"/>
        </w:rPr>
        <w:fldChar w:fldCharType="end"/>
      </w:r>
      <w:r w:rsidR="00566FCD">
        <w:rPr>
          <w:rFonts w:eastAsia="Times New Roman" w:cs="Times New Roman"/>
          <w:szCs w:val="24"/>
        </w:rPr>
        <w:t xml:space="preserve"> and </w:t>
      </w:r>
      <w:r w:rsidR="00566FCD">
        <w:rPr>
          <w:rFonts w:eastAsia="Times New Roman" w:cs="Times New Roman"/>
          <w:szCs w:val="24"/>
        </w:rPr>
        <w:fldChar w:fldCharType="begin"/>
      </w:r>
      <w:r w:rsidR="00566FCD">
        <w:rPr>
          <w:rFonts w:eastAsia="Times New Roman" w:cs="Times New Roman"/>
          <w:szCs w:val="24"/>
        </w:rPr>
        <w:instrText xml:space="preserve"> REF _Ref127188719 \h </w:instrText>
      </w:r>
      <w:r w:rsidR="00566FCD">
        <w:rPr>
          <w:rFonts w:eastAsia="Times New Roman" w:cs="Times New Roman"/>
          <w:szCs w:val="24"/>
        </w:rPr>
      </w:r>
      <w:r w:rsidR="00566FCD">
        <w:rPr>
          <w:rFonts w:eastAsia="Times New Roman" w:cs="Times New Roman"/>
          <w:szCs w:val="24"/>
        </w:rPr>
        <w:fldChar w:fldCharType="separate"/>
      </w:r>
      <w:r w:rsidR="00A65CB3">
        <w:t>Appendix E</w:t>
      </w:r>
      <w:r w:rsidR="00566FCD">
        <w:rPr>
          <w:rFonts w:eastAsia="Times New Roman" w:cs="Times New Roman"/>
          <w:szCs w:val="24"/>
        </w:rPr>
        <w:fldChar w:fldCharType="end"/>
      </w:r>
      <w:r w:rsidR="00226DA5">
        <w:rPr>
          <w:rFonts w:eastAsia="Times New Roman" w:cs="Times New Roman"/>
          <w:szCs w:val="24"/>
        </w:rPr>
        <w:t>),</w:t>
      </w:r>
      <w:r w:rsidR="008063A8">
        <w:rPr>
          <w:rFonts w:eastAsia="Times New Roman" w:cs="Times New Roman"/>
          <w:szCs w:val="24"/>
        </w:rPr>
        <w:t xml:space="preserve"> and the estimated </w:t>
      </w:r>
      <w:r w:rsidR="00151AEC">
        <w:rPr>
          <w:rFonts w:eastAsia="Times New Roman" w:cs="Times New Roman"/>
          <w:szCs w:val="24"/>
        </w:rPr>
        <w:t>seat belt use rate of 0.</w:t>
      </w:r>
      <w:r w:rsidR="008063A8">
        <w:rPr>
          <w:rFonts w:eastAsia="Times New Roman" w:cs="Times New Roman"/>
          <w:szCs w:val="24"/>
        </w:rPr>
        <w:t>75</w:t>
      </w:r>
      <w:r w:rsidR="00C73B5C">
        <w:rPr>
          <w:rFonts w:eastAsia="Times New Roman" w:cs="Times New Roman"/>
          <w:szCs w:val="24"/>
        </w:rPr>
        <w:t>12</w:t>
      </w:r>
      <w:r w:rsidR="006B4962">
        <w:rPr>
          <w:rFonts w:eastAsia="Times New Roman" w:cs="Times New Roman"/>
          <w:szCs w:val="24"/>
        </w:rPr>
        <w:t xml:space="preserve"> </w:t>
      </w:r>
      <w:r w:rsidR="003E6B71">
        <w:rPr>
          <w:rFonts w:eastAsia="Times New Roman" w:cs="Times New Roman"/>
          <w:szCs w:val="24"/>
        </w:rPr>
        <w:t>for</w:t>
      </w:r>
      <w:r w:rsidR="008063A8">
        <w:rPr>
          <w:rFonts w:eastAsia="Times New Roman" w:cs="Times New Roman"/>
          <w:szCs w:val="24"/>
        </w:rPr>
        <w:t xml:space="preserve"> rear</w:t>
      </w:r>
      <w:r w:rsidR="008063A8" w:rsidRPr="00E72694">
        <w:rPr>
          <w:rFonts w:eastAsia="Times New Roman" w:cs="Times New Roman"/>
          <w:szCs w:val="24"/>
        </w:rPr>
        <w:t xml:space="preserve"> </w:t>
      </w:r>
      <w:r w:rsidR="008063A8">
        <w:rPr>
          <w:rFonts w:eastAsia="Times New Roman" w:cs="Times New Roman"/>
          <w:szCs w:val="24"/>
        </w:rPr>
        <w:t>seat occupant</w:t>
      </w:r>
      <w:r w:rsidR="003E6B71">
        <w:rPr>
          <w:rFonts w:eastAsia="Times New Roman" w:cs="Times New Roman"/>
          <w:szCs w:val="24"/>
        </w:rPr>
        <w:t>s</w:t>
      </w:r>
      <w:r w:rsidR="001F2F92">
        <w:rPr>
          <w:rFonts w:eastAsia="Times New Roman" w:cs="Times New Roman"/>
          <w:szCs w:val="24"/>
        </w:rPr>
        <w:t xml:space="preserve">. </w:t>
      </w:r>
      <w:r w:rsidR="00226DA5">
        <w:rPr>
          <w:rFonts w:eastAsia="Times New Roman" w:cs="Times New Roman"/>
          <w:szCs w:val="24"/>
        </w:rPr>
        <w:t>Based on that information</w:t>
      </w:r>
      <w:r w:rsidR="008063A8">
        <w:rPr>
          <w:rFonts w:eastAsia="Times New Roman" w:cs="Times New Roman"/>
          <w:szCs w:val="24"/>
        </w:rPr>
        <w:t xml:space="preserve">, </w:t>
      </w:r>
      <w:r w:rsidR="00101148">
        <w:rPr>
          <w:rFonts w:eastAsia="Times New Roman" w:cs="Times New Roman"/>
          <w:szCs w:val="24"/>
        </w:rPr>
        <w:t>this analysis</w:t>
      </w:r>
      <w:r w:rsidR="008063A8">
        <w:rPr>
          <w:rFonts w:eastAsia="Times New Roman" w:cs="Times New Roman"/>
          <w:szCs w:val="24"/>
        </w:rPr>
        <w:t xml:space="preserve"> developed a linear regression model</w:t>
      </w:r>
      <w:r w:rsidR="001F2F92">
        <w:rPr>
          <w:rFonts w:eastAsia="Times New Roman" w:cs="Times New Roman"/>
          <w:szCs w:val="24"/>
        </w:rPr>
        <w:t xml:space="preserve">. </w:t>
      </w:r>
      <w:r w:rsidR="008063A8">
        <w:rPr>
          <w:rFonts w:eastAsia="Times New Roman" w:cs="Times New Roman"/>
          <w:szCs w:val="24"/>
        </w:rPr>
        <w:t xml:space="preserve">According to a report by </w:t>
      </w:r>
      <w:r w:rsidR="008063A8" w:rsidRPr="008065FE">
        <w:rPr>
          <w:rFonts w:eastAsia="Times New Roman" w:cs="Times New Roman"/>
          <w:szCs w:val="24"/>
        </w:rPr>
        <w:t>Westat</w:t>
      </w:r>
      <w:r w:rsidR="008063A8">
        <w:rPr>
          <w:rFonts w:eastAsia="Times New Roman" w:cs="Times New Roman"/>
          <w:szCs w:val="24"/>
        </w:rPr>
        <w:t>, although it seems trivial, t</w:t>
      </w:r>
      <w:r w:rsidR="008063A8" w:rsidRPr="00AE4D76">
        <w:rPr>
          <w:rFonts w:eastAsia="Times New Roman" w:cs="Times New Roman"/>
          <w:szCs w:val="24"/>
        </w:rPr>
        <w:t xml:space="preserve">he effects </w:t>
      </w:r>
      <w:r w:rsidR="008063A8">
        <w:rPr>
          <w:rFonts w:eastAsia="Times New Roman" w:cs="Times New Roman"/>
          <w:szCs w:val="24"/>
        </w:rPr>
        <w:t xml:space="preserve">of a seat belt warning system </w:t>
      </w:r>
      <w:r w:rsidR="008063A8" w:rsidRPr="00AE4D76">
        <w:rPr>
          <w:rFonts w:eastAsia="Times New Roman" w:cs="Times New Roman"/>
          <w:szCs w:val="24"/>
        </w:rPr>
        <w:t>were always positive.</w:t>
      </w:r>
      <w:r>
        <w:rPr>
          <w:rStyle w:val="FootnoteReference"/>
          <w:rFonts w:eastAsia="Times New Roman" w:cs="Times New Roman"/>
          <w:szCs w:val="24"/>
        </w:rPr>
        <w:footnoteReference w:id="47"/>
      </w:r>
      <w:r w:rsidR="008063A8">
        <w:rPr>
          <w:rFonts w:eastAsia="Times New Roman" w:cs="Times New Roman"/>
          <w:szCs w:val="24"/>
        </w:rPr>
        <w:t xml:space="preserve">  In addition, </w:t>
      </w:r>
      <w:r w:rsidR="003E6B71">
        <w:rPr>
          <w:rFonts w:eastAsia="Times New Roman" w:cs="Times New Roman"/>
          <w:szCs w:val="24"/>
        </w:rPr>
        <w:t xml:space="preserve">in the </w:t>
      </w:r>
      <w:r w:rsidR="008063A8">
        <w:rPr>
          <w:rFonts w:eastAsia="Times New Roman" w:cs="Times New Roman"/>
          <w:szCs w:val="24"/>
        </w:rPr>
        <w:t>hypothetical</w:t>
      </w:r>
      <w:r w:rsidR="003E6B71">
        <w:rPr>
          <w:rFonts w:eastAsia="Times New Roman" w:cs="Times New Roman"/>
          <w:szCs w:val="24"/>
        </w:rPr>
        <w:t xml:space="preserve"> case that</w:t>
      </w:r>
      <w:r w:rsidR="008063A8">
        <w:rPr>
          <w:rFonts w:eastAsia="Times New Roman" w:cs="Times New Roman"/>
          <w:szCs w:val="24"/>
        </w:rPr>
        <w:t xml:space="preserve"> all occupants use seat belts in vehicles without a seat belt warning system, adding a seat belt warning system would not increase the seat belt use rate</w:t>
      </w:r>
      <w:r w:rsidR="001F2F92">
        <w:rPr>
          <w:rFonts w:eastAsia="Times New Roman" w:cs="Times New Roman"/>
          <w:szCs w:val="24"/>
        </w:rPr>
        <w:t xml:space="preserve">. </w:t>
      </w:r>
      <w:r w:rsidR="00527CFD">
        <w:rPr>
          <w:rFonts w:eastAsia="Times New Roman" w:cs="Times New Roman"/>
          <w:szCs w:val="24"/>
        </w:rPr>
        <w:t>That is, given a</w:t>
      </w:r>
      <w:r w:rsidR="008063A8">
        <w:rPr>
          <w:rFonts w:eastAsia="Times New Roman" w:cs="Times New Roman"/>
          <w:szCs w:val="24"/>
        </w:rPr>
        <w:t xml:space="preserve"> 100</w:t>
      </w:r>
      <w:r w:rsidR="006B4962">
        <w:rPr>
          <w:rFonts w:eastAsia="Times New Roman" w:cs="Times New Roman"/>
          <w:szCs w:val="24"/>
        </w:rPr>
        <w:t xml:space="preserve"> percent</w:t>
      </w:r>
      <w:r w:rsidR="008063A8">
        <w:rPr>
          <w:rFonts w:eastAsia="Times New Roman" w:cs="Times New Roman"/>
          <w:szCs w:val="24"/>
        </w:rPr>
        <w:t xml:space="preserve"> seat belt use rate, the percentage point increase in seat belt use </w:t>
      </w:r>
      <w:r w:rsidR="00527CFD">
        <w:rPr>
          <w:rFonts w:eastAsia="Times New Roman" w:cs="Times New Roman"/>
          <w:szCs w:val="24"/>
        </w:rPr>
        <w:t xml:space="preserve">for the SBWS </w:t>
      </w:r>
      <w:r w:rsidR="008063A8">
        <w:rPr>
          <w:rFonts w:eastAsia="Times New Roman" w:cs="Times New Roman"/>
          <w:szCs w:val="24"/>
        </w:rPr>
        <w:t>would be zero</w:t>
      </w:r>
      <w:r w:rsidR="001F2F92">
        <w:rPr>
          <w:rFonts w:eastAsia="Times New Roman" w:cs="Times New Roman"/>
          <w:szCs w:val="24"/>
        </w:rPr>
        <w:t xml:space="preserve">. </w:t>
      </w:r>
    </w:p>
    <w:p w14:paraId="34FE8F05" w14:textId="39460B04" w:rsidR="00DD0831" w:rsidRDefault="000F5B51" w:rsidP="0055589E">
      <w:pPr>
        <w:spacing w:after="0"/>
        <w:contextualSpacing/>
        <w:rPr>
          <w:rFonts w:eastAsia="Times New Roman" w:cs="Times New Roman"/>
          <w:szCs w:val="24"/>
        </w:rPr>
      </w:pPr>
      <w:r>
        <w:rPr>
          <w:rFonts w:eastAsia="Times New Roman" w:cs="Times New Roman"/>
          <w:szCs w:val="24"/>
        </w:rPr>
        <w:fldChar w:fldCharType="begin"/>
      </w:r>
      <w:r>
        <w:rPr>
          <w:rFonts w:eastAsia="Times New Roman" w:cs="Times New Roman"/>
          <w:szCs w:val="24"/>
        </w:rPr>
        <w:instrText xml:space="preserve"> REF _Ref127189149 \h </w:instrText>
      </w:r>
      <w:r>
        <w:rPr>
          <w:rFonts w:eastAsia="Times New Roman" w:cs="Times New Roman"/>
          <w:szCs w:val="24"/>
        </w:rPr>
      </w:r>
      <w:r>
        <w:rPr>
          <w:rFonts w:eastAsia="Times New Roman" w:cs="Times New Roman"/>
          <w:szCs w:val="24"/>
        </w:rPr>
        <w:fldChar w:fldCharType="separate"/>
      </w:r>
      <w:r w:rsidR="00A65CB3">
        <w:t xml:space="preserve">Figure </w:t>
      </w:r>
      <w:r w:rsidR="00A65CB3">
        <w:rPr>
          <w:noProof/>
        </w:rPr>
        <w:t>3</w:t>
      </w:r>
      <w:r>
        <w:rPr>
          <w:rFonts w:eastAsia="Times New Roman" w:cs="Times New Roman"/>
          <w:szCs w:val="24"/>
        </w:rPr>
        <w:fldChar w:fldCharType="end"/>
      </w:r>
      <w:r>
        <w:rPr>
          <w:rFonts w:eastAsia="Times New Roman" w:cs="Times New Roman"/>
          <w:szCs w:val="24"/>
        </w:rPr>
        <w:t xml:space="preserve"> presents the linear regression model developed to estimate the increase in seat belt use rates for rear seat occupants</w:t>
      </w:r>
      <w:r w:rsidR="001F2F92">
        <w:rPr>
          <w:rFonts w:eastAsia="Times New Roman" w:cs="Times New Roman"/>
          <w:szCs w:val="24"/>
        </w:rPr>
        <w:t xml:space="preserve">. </w:t>
      </w:r>
      <w:r w:rsidR="008063A8">
        <w:rPr>
          <w:rFonts w:eastAsia="Times New Roman" w:cs="Times New Roman"/>
          <w:szCs w:val="24"/>
        </w:rPr>
        <w:t xml:space="preserve">Based on the linear regression model, the proposed SBWS is estimated to result in a </w:t>
      </w:r>
      <w:r w:rsidR="006B4962">
        <w:rPr>
          <w:rFonts w:eastAsia="Times New Roman" w:cs="Times New Roman"/>
          <w:szCs w:val="24"/>
        </w:rPr>
        <w:t>three to five</w:t>
      </w:r>
      <w:r w:rsidR="008063A8" w:rsidRPr="00E72694">
        <w:rPr>
          <w:rFonts w:eastAsia="Times New Roman" w:cs="Times New Roman"/>
          <w:szCs w:val="24"/>
        </w:rPr>
        <w:t xml:space="preserve"> </w:t>
      </w:r>
      <w:r w:rsidR="008063A8">
        <w:rPr>
          <w:rFonts w:eastAsia="Times New Roman" w:cs="Times New Roman"/>
          <w:szCs w:val="24"/>
        </w:rPr>
        <w:t>percentage point</w:t>
      </w:r>
      <w:r w:rsidR="008063A8" w:rsidRPr="00E72694">
        <w:rPr>
          <w:rFonts w:eastAsia="Times New Roman" w:cs="Times New Roman"/>
          <w:szCs w:val="24"/>
        </w:rPr>
        <w:t xml:space="preserve"> increase in </w:t>
      </w:r>
      <w:r w:rsidR="008063A8">
        <w:rPr>
          <w:rFonts w:eastAsia="Times New Roman" w:cs="Times New Roman"/>
          <w:szCs w:val="24"/>
        </w:rPr>
        <w:t xml:space="preserve">seat </w:t>
      </w:r>
      <w:r w:rsidR="008063A8" w:rsidRPr="00E72694">
        <w:rPr>
          <w:rFonts w:eastAsia="Times New Roman" w:cs="Times New Roman"/>
          <w:szCs w:val="24"/>
        </w:rPr>
        <w:t xml:space="preserve">belt usage </w:t>
      </w:r>
      <w:r w:rsidR="00E77889">
        <w:rPr>
          <w:rFonts w:eastAsia="Times New Roman" w:cs="Times New Roman"/>
          <w:szCs w:val="24"/>
        </w:rPr>
        <w:t>for</w:t>
      </w:r>
      <w:r w:rsidR="008063A8" w:rsidRPr="00E72694">
        <w:rPr>
          <w:rFonts w:eastAsia="Times New Roman" w:cs="Times New Roman"/>
          <w:szCs w:val="24"/>
        </w:rPr>
        <w:t xml:space="preserve"> </w:t>
      </w:r>
      <w:r w:rsidR="008063A8">
        <w:rPr>
          <w:rFonts w:eastAsia="Times New Roman" w:cs="Times New Roman"/>
          <w:szCs w:val="24"/>
        </w:rPr>
        <w:t>rear seat occupants.</w:t>
      </w:r>
    </w:p>
    <w:p w14:paraId="2FBF6065" w14:textId="5CAF7898" w:rsidR="008063A8" w:rsidRPr="00993575" w:rsidRDefault="000F5B51" w:rsidP="008063A8">
      <w:pPr>
        <w:pStyle w:val="Caption"/>
        <w:rPr>
          <w:rFonts w:eastAsia="Times New Roman" w:cs="Times New Roman"/>
          <w:szCs w:val="24"/>
        </w:rPr>
      </w:pPr>
      <w:bookmarkStart w:id="175" w:name="_Ref127189149"/>
      <w:r>
        <w:t xml:space="preserve">Figure </w:t>
      </w:r>
      <w:r w:rsidR="00115BAB">
        <w:fldChar w:fldCharType="begin"/>
      </w:r>
      <w:r>
        <w:instrText xml:space="preserve"> SEQ Figure \* ARABIC </w:instrText>
      </w:r>
      <w:r w:rsidR="00115BAB">
        <w:fldChar w:fldCharType="separate"/>
      </w:r>
      <w:r w:rsidR="00A65CB3">
        <w:rPr>
          <w:noProof/>
        </w:rPr>
        <w:t>3</w:t>
      </w:r>
      <w:r w:rsidR="00115BAB">
        <w:rPr>
          <w:noProof/>
        </w:rPr>
        <w:fldChar w:fldCharType="end"/>
      </w:r>
      <w:bookmarkEnd w:id="175"/>
      <w:r>
        <w:rPr>
          <w:noProof/>
        </w:rPr>
        <w:t xml:space="preserve">: </w:t>
      </w:r>
      <w:r w:rsidR="001837D7">
        <w:rPr>
          <w:noProof/>
        </w:rPr>
        <w:t xml:space="preserve">Linear Regression Model for </w:t>
      </w:r>
      <w:r w:rsidR="00A96AFF">
        <w:rPr>
          <w:noProof/>
        </w:rPr>
        <w:t>Increase in Seat Belt Use for Rear Seat Occupants</w:t>
      </w:r>
    </w:p>
    <w:p w14:paraId="5BE1D197" w14:textId="77777777" w:rsidR="008063A8" w:rsidRPr="00993575" w:rsidRDefault="000F5B51" w:rsidP="008063A8">
      <w:pPr>
        <w:keepNext/>
        <w:spacing w:after="0"/>
        <w:jc w:val="center"/>
        <w:rPr>
          <w:rFonts w:eastAsia="Times New Roman" w:cs="Times New Roman"/>
          <w:szCs w:val="24"/>
        </w:rPr>
      </w:pPr>
      <w:r w:rsidRPr="00993575">
        <w:rPr>
          <w:rFonts w:eastAsia="Times New Roman" w:cs="Times New Roman"/>
          <w:noProof/>
          <w:szCs w:val="24"/>
        </w:rPr>
        <w:drawing>
          <wp:inline distT="0" distB="0" distL="0" distR="0" wp14:anchorId="4E0270F1" wp14:editId="69A92507">
            <wp:extent cx="4200525" cy="1885950"/>
            <wp:effectExtent l="0" t="0" r="9525" b="0"/>
            <wp:docPr id="1" name="Chart 1">
              <a:extLst xmlns:a="http://schemas.openxmlformats.org/drawingml/2006/main">
                <a:ext uri="{FF2B5EF4-FFF2-40B4-BE49-F238E27FC236}">
                  <a16:creationId xmlns:a16="http://schemas.microsoft.com/office/drawing/2014/main" id="{2A3B2A7D-7730-457A-8188-6D5A6312D8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13271F7" w14:textId="4C4A138F" w:rsidR="001E0D6A" w:rsidRDefault="000F5B51" w:rsidP="001E0D6A">
      <w:pPr>
        <w:spacing w:after="0"/>
        <w:rPr>
          <w:rFonts w:eastAsia="Times New Roman" w:cs="Times New Roman"/>
          <w:szCs w:val="24"/>
        </w:rPr>
      </w:pPr>
      <w:r>
        <w:rPr>
          <w:rFonts w:eastAsia="Times New Roman" w:cs="Times New Roman"/>
          <w:szCs w:val="24"/>
        </w:rPr>
        <w:fldChar w:fldCharType="begin"/>
      </w:r>
      <w:r>
        <w:rPr>
          <w:rFonts w:eastAsia="Times New Roman" w:cs="Times New Roman"/>
          <w:szCs w:val="24"/>
        </w:rPr>
        <w:instrText xml:space="preserve"> REF _Ref127189235 \h </w:instrText>
      </w:r>
      <w:r>
        <w:rPr>
          <w:rFonts w:eastAsia="Times New Roman" w:cs="Times New Roman"/>
          <w:szCs w:val="24"/>
        </w:rPr>
      </w:r>
      <w:r>
        <w:rPr>
          <w:rFonts w:eastAsia="Times New Roman" w:cs="Times New Roman"/>
          <w:szCs w:val="24"/>
        </w:rPr>
        <w:fldChar w:fldCharType="separate"/>
      </w:r>
      <w:r w:rsidR="00A65CB3">
        <w:t xml:space="preserve">Table </w:t>
      </w:r>
      <w:r w:rsidR="00A65CB3">
        <w:rPr>
          <w:noProof/>
        </w:rPr>
        <w:t>31</w:t>
      </w:r>
      <w:r>
        <w:rPr>
          <w:rFonts w:eastAsia="Times New Roman" w:cs="Times New Roman"/>
          <w:szCs w:val="24"/>
        </w:rPr>
        <w:fldChar w:fldCharType="end"/>
      </w:r>
      <w:r w:rsidR="00E82D94">
        <w:rPr>
          <w:rFonts w:eastAsia="Times New Roman" w:cs="Times New Roman"/>
          <w:szCs w:val="24"/>
        </w:rPr>
        <w:t xml:space="preserve"> </w:t>
      </w:r>
      <w:r w:rsidR="003F7912">
        <w:rPr>
          <w:rFonts w:eastAsia="Times New Roman" w:cs="Times New Roman"/>
          <w:szCs w:val="24"/>
        </w:rPr>
        <w:t xml:space="preserve">presents the estimated </w:t>
      </w:r>
      <w:r w:rsidR="008950CE">
        <w:rPr>
          <w:rFonts w:eastAsia="Times New Roman" w:cs="Times New Roman"/>
          <w:szCs w:val="24"/>
        </w:rPr>
        <w:t xml:space="preserve">increase in seat belt use </w:t>
      </w:r>
      <w:r w:rsidR="00106D5F">
        <w:rPr>
          <w:rFonts w:eastAsia="Times New Roman" w:cs="Times New Roman"/>
          <w:szCs w:val="24"/>
        </w:rPr>
        <w:t xml:space="preserve">for rear seat occupants </w:t>
      </w:r>
      <w:r w:rsidR="008950CE">
        <w:rPr>
          <w:rFonts w:eastAsia="Times New Roman" w:cs="Times New Roman"/>
          <w:szCs w:val="24"/>
        </w:rPr>
        <w:t>based on the current seat belt use rate</w:t>
      </w:r>
      <w:r w:rsidR="001F2F92">
        <w:rPr>
          <w:rFonts w:eastAsia="Times New Roman" w:cs="Times New Roman"/>
          <w:szCs w:val="24"/>
        </w:rPr>
        <w:t xml:space="preserve">. </w:t>
      </w:r>
      <w:r w:rsidR="008063A8">
        <w:rPr>
          <w:rFonts w:eastAsia="Times New Roman" w:cs="Times New Roman"/>
          <w:szCs w:val="24"/>
        </w:rPr>
        <w:t xml:space="preserve">For rear seat occupants, </w:t>
      </w:r>
      <w:r w:rsidR="00950E5E">
        <w:rPr>
          <w:rFonts w:eastAsia="Times New Roman" w:cs="Times New Roman"/>
          <w:szCs w:val="24"/>
        </w:rPr>
        <w:t>this analysis considers</w:t>
      </w:r>
      <w:r w:rsidR="008063A8">
        <w:rPr>
          <w:rFonts w:eastAsia="Times New Roman" w:cs="Times New Roman"/>
          <w:szCs w:val="24"/>
        </w:rPr>
        <w:t xml:space="preserve"> a </w:t>
      </w:r>
      <w:r w:rsidR="005D535D">
        <w:rPr>
          <w:rFonts w:eastAsia="Times New Roman" w:cs="Times New Roman"/>
          <w:szCs w:val="24"/>
        </w:rPr>
        <w:t>three to five</w:t>
      </w:r>
      <w:r w:rsidR="008063A8">
        <w:rPr>
          <w:rFonts w:eastAsia="Times New Roman" w:cs="Times New Roman"/>
          <w:szCs w:val="24"/>
        </w:rPr>
        <w:t xml:space="preserve"> percentage point range of potential belt use rate increases</w:t>
      </w:r>
      <w:r w:rsidR="0085306F">
        <w:rPr>
          <w:rFonts w:eastAsia="Times New Roman" w:cs="Times New Roman"/>
          <w:szCs w:val="24"/>
        </w:rPr>
        <w:t xml:space="preserve"> as a result of the requirement for SBWS</w:t>
      </w:r>
      <w:r w:rsidR="008063A8">
        <w:rPr>
          <w:rFonts w:eastAsia="Times New Roman" w:cs="Times New Roman"/>
          <w:szCs w:val="24"/>
        </w:rPr>
        <w:t>.</w:t>
      </w:r>
      <w:r w:rsidR="008063A8" w:rsidRPr="005F5C71">
        <w:rPr>
          <w:rFonts w:eastAsia="Times New Roman" w:cs="Times New Roman"/>
          <w:szCs w:val="24"/>
        </w:rPr>
        <w:t xml:space="preserve"> </w:t>
      </w:r>
      <w:r w:rsidR="00DE48AE">
        <w:rPr>
          <w:rFonts w:eastAsia="Times New Roman" w:cs="Times New Roman"/>
          <w:szCs w:val="24"/>
        </w:rPr>
        <w:t>T</w:t>
      </w:r>
      <w:r w:rsidR="008C78DE">
        <w:rPr>
          <w:rFonts w:eastAsia="Times New Roman" w:cs="Times New Roman"/>
          <w:szCs w:val="24"/>
        </w:rPr>
        <w:t xml:space="preserve">his analysis </w:t>
      </w:r>
      <w:r w:rsidR="0085306F">
        <w:rPr>
          <w:rFonts w:eastAsia="Times New Roman" w:cs="Times New Roman"/>
          <w:szCs w:val="24"/>
        </w:rPr>
        <w:t>refers to the</w:t>
      </w:r>
      <w:r w:rsidR="008C78DE">
        <w:rPr>
          <w:rFonts w:eastAsia="Times New Roman" w:cs="Times New Roman"/>
          <w:szCs w:val="24"/>
        </w:rPr>
        <w:t xml:space="preserve"> scenario with three percent rear belt use increase as “lower” or </w:t>
      </w:r>
      <w:r w:rsidR="008C78DE">
        <w:rPr>
          <w:rFonts w:eastAsia="Times New Roman" w:cs="Times New Roman"/>
          <w:szCs w:val="24"/>
        </w:rPr>
        <w:lastRenderedPageBreak/>
        <w:t xml:space="preserve">“Lo” and the scenario with five percent rear belt use increase as “upper” or “Hi.”  </w:t>
      </w:r>
      <w:r w:rsidRPr="00394A26">
        <w:rPr>
          <w:rFonts w:eastAsia="Times New Roman" w:cs="Times New Roman"/>
          <w:szCs w:val="24"/>
        </w:rPr>
        <w:t xml:space="preserve">We request comments on the assumptions used </w:t>
      </w:r>
      <w:r>
        <w:rPr>
          <w:rFonts w:eastAsia="Times New Roman" w:cs="Times New Roman"/>
          <w:szCs w:val="24"/>
        </w:rPr>
        <w:t>to estimate the increase in seat belt use for</w:t>
      </w:r>
      <w:r w:rsidRPr="00394A26">
        <w:rPr>
          <w:rFonts w:eastAsia="Times New Roman" w:cs="Times New Roman"/>
          <w:szCs w:val="24"/>
        </w:rPr>
        <w:t xml:space="preserve"> rear seat </w:t>
      </w:r>
      <w:r>
        <w:rPr>
          <w:rFonts w:eastAsia="Times New Roman" w:cs="Times New Roman"/>
          <w:szCs w:val="24"/>
        </w:rPr>
        <w:t>occupants</w:t>
      </w:r>
      <w:r w:rsidR="001F2F92">
        <w:rPr>
          <w:rFonts w:eastAsia="Times New Roman" w:cs="Times New Roman"/>
          <w:szCs w:val="24"/>
        </w:rPr>
        <w:t xml:space="preserve">. </w:t>
      </w:r>
    </w:p>
    <w:p w14:paraId="074AB79F" w14:textId="303FADE3" w:rsidR="001973DF" w:rsidRDefault="000F5B51" w:rsidP="001973DF">
      <w:pPr>
        <w:pStyle w:val="Caption"/>
      </w:pPr>
      <w:bookmarkStart w:id="176" w:name="_Ref127189235"/>
      <w:r>
        <w:t xml:space="preserve">Table </w:t>
      </w:r>
      <w:r w:rsidR="00115BAB">
        <w:fldChar w:fldCharType="begin"/>
      </w:r>
      <w:r>
        <w:instrText xml:space="preserve"> SEQ Table \* ARABIC </w:instrText>
      </w:r>
      <w:r w:rsidR="00115BAB">
        <w:fldChar w:fldCharType="separate"/>
      </w:r>
      <w:r w:rsidR="00A65CB3">
        <w:rPr>
          <w:noProof/>
        </w:rPr>
        <w:t>31</w:t>
      </w:r>
      <w:r w:rsidR="00115BAB">
        <w:rPr>
          <w:noProof/>
        </w:rPr>
        <w:fldChar w:fldCharType="end"/>
      </w:r>
      <w:bookmarkEnd w:id="176"/>
      <w:r>
        <w:t xml:space="preserve">: </w:t>
      </w:r>
      <w:r w:rsidRPr="00390FC4">
        <w:t>Estimated Belt Use Rate in Rear Seat Occupants</w:t>
      </w:r>
    </w:p>
    <w:tbl>
      <w:tblPr>
        <w:tblW w:w="7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2315"/>
        <w:gridCol w:w="2338"/>
      </w:tblGrid>
      <w:tr w:rsidR="00A15C2C" w14:paraId="081C6922" w14:textId="77777777" w:rsidTr="00A807D0">
        <w:trPr>
          <w:trHeight w:val="512"/>
          <w:jc w:val="center"/>
        </w:trPr>
        <w:tc>
          <w:tcPr>
            <w:tcW w:w="3149" w:type="dxa"/>
            <w:shd w:val="clear" w:color="auto" w:fill="D9D9D9" w:themeFill="background1" w:themeFillShade="D9"/>
            <w:vAlign w:val="center"/>
            <w:hideMark/>
          </w:tcPr>
          <w:p w14:paraId="58730CA7" w14:textId="77777777" w:rsidR="001973DF" w:rsidRPr="006A00B6" w:rsidRDefault="000F5B51" w:rsidP="00A807D0">
            <w:pPr>
              <w:spacing w:after="0" w:line="240" w:lineRule="auto"/>
              <w:contextualSpacing/>
              <w:rPr>
                <w:rFonts w:eastAsia="Times New Roman" w:cs="Times New Roman"/>
                <w:b/>
                <w:bCs/>
                <w:color w:val="000000"/>
                <w:szCs w:val="24"/>
              </w:rPr>
            </w:pPr>
            <w:r w:rsidRPr="006A00B6">
              <w:rPr>
                <w:rFonts w:eastAsia="Times New Roman" w:cs="Times New Roman"/>
                <w:b/>
                <w:bCs/>
                <w:color w:val="000000"/>
                <w:szCs w:val="24"/>
              </w:rPr>
              <w:t>Seat position</w:t>
            </w:r>
          </w:p>
        </w:tc>
        <w:tc>
          <w:tcPr>
            <w:tcW w:w="2315" w:type="dxa"/>
            <w:shd w:val="clear" w:color="auto" w:fill="D9D9D9" w:themeFill="background1" w:themeFillShade="D9"/>
            <w:vAlign w:val="center"/>
            <w:hideMark/>
          </w:tcPr>
          <w:p w14:paraId="50B9495B" w14:textId="77777777" w:rsidR="001973DF" w:rsidRPr="006A00B6" w:rsidRDefault="000F5B51" w:rsidP="00A807D0">
            <w:pPr>
              <w:spacing w:after="0" w:line="240" w:lineRule="auto"/>
              <w:contextualSpacing/>
              <w:jc w:val="center"/>
              <w:rPr>
                <w:rFonts w:eastAsia="Times New Roman" w:cs="Times New Roman"/>
                <w:b/>
                <w:bCs/>
                <w:color w:val="000000"/>
                <w:szCs w:val="24"/>
              </w:rPr>
            </w:pPr>
            <w:r w:rsidRPr="006A00B6">
              <w:rPr>
                <w:rFonts w:eastAsia="Times New Roman" w:cs="Times New Roman"/>
                <w:b/>
                <w:bCs/>
                <w:color w:val="000000"/>
                <w:szCs w:val="24"/>
              </w:rPr>
              <w:t>Seat belt use rate</w:t>
            </w:r>
          </w:p>
        </w:tc>
        <w:tc>
          <w:tcPr>
            <w:tcW w:w="2338" w:type="dxa"/>
            <w:shd w:val="clear" w:color="auto" w:fill="D9D9D9" w:themeFill="background1" w:themeFillShade="D9"/>
            <w:vAlign w:val="center"/>
            <w:hideMark/>
          </w:tcPr>
          <w:p w14:paraId="6F4012C1" w14:textId="77777777" w:rsidR="001973DF" w:rsidRPr="006A00B6" w:rsidRDefault="000F5B51" w:rsidP="00A807D0">
            <w:pPr>
              <w:spacing w:after="0" w:line="240" w:lineRule="auto"/>
              <w:contextualSpacing/>
              <w:jc w:val="center"/>
              <w:rPr>
                <w:rFonts w:eastAsia="Times New Roman" w:cs="Times New Roman"/>
                <w:b/>
                <w:bCs/>
                <w:color w:val="000000"/>
                <w:szCs w:val="24"/>
              </w:rPr>
            </w:pPr>
            <w:r w:rsidRPr="006A00B6">
              <w:rPr>
                <w:rFonts w:eastAsia="Times New Roman" w:cs="Times New Roman"/>
                <w:b/>
                <w:bCs/>
                <w:color w:val="000000"/>
                <w:szCs w:val="24"/>
              </w:rPr>
              <w:t>Estimated Point increase with SBWS</w:t>
            </w:r>
          </w:p>
        </w:tc>
      </w:tr>
      <w:tr w:rsidR="00A15C2C" w14:paraId="3283BD16" w14:textId="77777777" w:rsidTr="00A807D0">
        <w:trPr>
          <w:trHeight w:val="290"/>
          <w:jc w:val="center"/>
        </w:trPr>
        <w:tc>
          <w:tcPr>
            <w:tcW w:w="3149" w:type="dxa"/>
            <w:shd w:val="clear" w:color="auto" w:fill="auto"/>
            <w:noWrap/>
            <w:vAlign w:val="center"/>
            <w:hideMark/>
          </w:tcPr>
          <w:p w14:paraId="44F9E9EF" w14:textId="77777777" w:rsidR="001973DF" w:rsidRPr="00D02777" w:rsidRDefault="000F5B51" w:rsidP="00A807D0">
            <w:pPr>
              <w:spacing w:after="0" w:line="240" w:lineRule="auto"/>
              <w:contextualSpacing/>
              <w:rPr>
                <w:rFonts w:eastAsia="Times New Roman" w:cs="Times New Roman"/>
                <w:color w:val="000000"/>
                <w:szCs w:val="24"/>
              </w:rPr>
            </w:pPr>
            <w:r w:rsidRPr="00D02777">
              <w:rPr>
                <w:rFonts w:eastAsia="Times New Roman" w:cs="Times New Roman"/>
                <w:color w:val="000000"/>
                <w:szCs w:val="24"/>
              </w:rPr>
              <w:t>Rear seats</w:t>
            </w:r>
          </w:p>
        </w:tc>
        <w:tc>
          <w:tcPr>
            <w:tcW w:w="2315" w:type="dxa"/>
            <w:shd w:val="clear" w:color="auto" w:fill="auto"/>
            <w:noWrap/>
            <w:vAlign w:val="center"/>
            <w:hideMark/>
          </w:tcPr>
          <w:p w14:paraId="42905296" w14:textId="77777777" w:rsidR="001973DF" w:rsidRPr="00D02777" w:rsidRDefault="000F5B51" w:rsidP="00A807D0">
            <w:pPr>
              <w:spacing w:after="0" w:line="240" w:lineRule="auto"/>
              <w:contextualSpacing/>
              <w:jc w:val="center"/>
              <w:rPr>
                <w:rFonts w:eastAsia="Times New Roman" w:cs="Times New Roman"/>
                <w:color w:val="000000"/>
                <w:szCs w:val="24"/>
              </w:rPr>
            </w:pPr>
            <w:r>
              <w:rPr>
                <w:rFonts w:eastAsia="Times New Roman" w:cs="Times New Roman"/>
                <w:color w:val="000000"/>
                <w:szCs w:val="24"/>
              </w:rPr>
              <w:t>75.12%</w:t>
            </w:r>
          </w:p>
        </w:tc>
        <w:tc>
          <w:tcPr>
            <w:tcW w:w="2338" w:type="dxa"/>
            <w:shd w:val="clear" w:color="auto" w:fill="auto"/>
            <w:noWrap/>
            <w:vAlign w:val="center"/>
            <w:hideMark/>
          </w:tcPr>
          <w:p w14:paraId="35BD1963" w14:textId="77777777" w:rsidR="001973DF" w:rsidRPr="00BB1323" w:rsidRDefault="000F5B51" w:rsidP="00A807D0">
            <w:pPr>
              <w:spacing w:after="0" w:line="240" w:lineRule="auto"/>
              <w:contextualSpacing/>
              <w:jc w:val="center"/>
              <w:rPr>
                <w:rFonts w:eastAsia="Times New Roman" w:cs="Times New Roman"/>
                <w:bCs/>
                <w:color w:val="000000"/>
                <w:szCs w:val="24"/>
              </w:rPr>
            </w:pPr>
            <w:r w:rsidRPr="00BB1323">
              <w:rPr>
                <w:rFonts w:eastAsia="Times New Roman" w:cs="Times New Roman"/>
                <w:bCs/>
                <w:color w:val="000000"/>
                <w:szCs w:val="24"/>
              </w:rPr>
              <w:t>3.</w:t>
            </w:r>
            <w:r>
              <w:rPr>
                <w:rFonts w:eastAsia="Times New Roman" w:cs="Times New Roman"/>
                <w:bCs/>
                <w:color w:val="000000"/>
                <w:szCs w:val="24"/>
              </w:rPr>
              <w:t>4</w:t>
            </w:r>
            <w:r w:rsidRPr="00BB1323">
              <w:rPr>
                <w:rFonts w:eastAsia="Times New Roman" w:cs="Times New Roman"/>
                <w:bCs/>
                <w:color w:val="000000"/>
                <w:szCs w:val="24"/>
              </w:rPr>
              <w:t>%</w:t>
            </w:r>
            <w:r>
              <w:rPr>
                <w:rStyle w:val="FootnoteReference"/>
                <w:rFonts w:eastAsia="Times New Roman" w:cs="Times New Roman"/>
                <w:bCs/>
                <w:color w:val="000000"/>
                <w:szCs w:val="24"/>
              </w:rPr>
              <w:footnoteReference w:id="48"/>
            </w:r>
            <w:r w:rsidRPr="00BB1323">
              <w:rPr>
                <w:rFonts w:eastAsia="Times New Roman" w:cs="Times New Roman"/>
                <w:bCs/>
                <w:color w:val="000000"/>
                <w:szCs w:val="24"/>
              </w:rPr>
              <w:t xml:space="preserve"> to 5.</w:t>
            </w:r>
            <w:r>
              <w:rPr>
                <w:rFonts w:eastAsia="Times New Roman" w:cs="Times New Roman"/>
                <w:bCs/>
                <w:color w:val="000000"/>
                <w:szCs w:val="24"/>
              </w:rPr>
              <w:t>1</w:t>
            </w:r>
            <w:r w:rsidRPr="00BB1323">
              <w:rPr>
                <w:rFonts w:eastAsia="Times New Roman" w:cs="Times New Roman"/>
                <w:bCs/>
                <w:color w:val="000000"/>
                <w:szCs w:val="24"/>
              </w:rPr>
              <w:t>%</w:t>
            </w:r>
            <w:r>
              <w:rPr>
                <w:rStyle w:val="FootnoteReference"/>
                <w:rFonts w:eastAsia="Times New Roman" w:cs="Times New Roman"/>
                <w:bCs/>
                <w:color w:val="000000"/>
                <w:szCs w:val="24"/>
              </w:rPr>
              <w:footnoteReference w:id="49"/>
            </w:r>
          </w:p>
        </w:tc>
      </w:tr>
      <w:tr w:rsidR="00A15C2C" w14:paraId="08204CE1" w14:textId="77777777" w:rsidTr="00A807D0">
        <w:trPr>
          <w:trHeight w:val="290"/>
          <w:jc w:val="center"/>
        </w:trPr>
        <w:tc>
          <w:tcPr>
            <w:tcW w:w="3149" w:type="dxa"/>
            <w:shd w:val="clear" w:color="auto" w:fill="auto"/>
            <w:noWrap/>
            <w:vAlign w:val="center"/>
          </w:tcPr>
          <w:p w14:paraId="02F9D1D5" w14:textId="77777777" w:rsidR="001973DF" w:rsidRPr="00D02777" w:rsidRDefault="000F5B51" w:rsidP="00A807D0">
            <w:pPr>
              <w:spacing w:after="0" w:line="240" w:lineRule="auto"/>
              <w:contextualSpacing/>
              <w:rPr>
                <w:rFonts w:eastAsia="Times New Roman" w:cs="Times New Roman"/>
                <w:color w:val="000000"/>
                <w:szCs w:val="24"/>
              </w:rPr>
            </w:pPr>
            <w:r w:rsidRPr="0023764D">
              <w:rPr>
                <w:rFonts w:eastAsia="Times New Roman" w:cs="Times New Roman"/>
                <w:color w:val="000000"/>
                <w:szCs w:val="24"/>
              </w:rPr>
              <w:t>Hypothetical maximum range</w:t>
            </w:r>
          </w:p>
        </w:tc>
        <w:tc>
          <w:tcPr>
            <w:tcW w:w="2315" w:type="dxa"/>
            <w:shd w:val="clear" w:color="auto" w:fill="auto"/>
            <w:noWrap/>
            <w:vAlign w:val="center"/>
          </w:tcPr>
          <w:p w14:paraId="44F38DE1" w14:textId="77777777" w:rsidR="001973DF" w:rsidRDefault="000F5B51" w:rsidP="00A807D0">
            <w:pPr>
              <w:spacing w:after="0" w:line="240" w:lineRule="auto"/>
              <w:contextualSpacing/>
              <w:jc w:val="center"/>
              <w:rPr>
                <w:rFonts w:eastAsia="Times New Roman" w:cs="Times New Roman"/>
                <w:color w:val="000000"/>
                <w:szCs w:val="24"/>
              </w:rPr>
            </w:pPr>
            <w:r>
              <w:rPr>
                <w:rFonts w:eastAsia="Times New Roman" w:cs="Times New Roman"/>
                <w:color w:val="000000"/>
                <w:szCs w:val="24"/>
              </w:rPr>
              <w:t>100%</w:t>
            </w:r>
          </w:p>
        </w:tc>
        <w:tc>
          <w:tcPr>
            <w:tcW w:w="2338" w:type="dxa"/>
            <w:shd w:val="clear" w:color="auto" w:fill="auto"/>
            <w:noWrap/>
            <w:vAlign w:val="center"/>
          </w:tcPr>
          <w:p w14:paraId="4E96BEBE" w14:textId="77777777" w:rsidR="001973DF" w:rsidRPr="00D02777" w:rsidRDefault="000F5B51" w:rsidP="00A807D0">
            <w:pPr>
              <w:spacing w:after="0" w:line="240" w:lineRule="auto"/>
              <w:contextualSpacing/>
              <w:jc w:val="center"/>
              <w:rPr>
                <w:rFonts w:eastAsia="Times New Roman" w:cs="Times New Roman"/>
                <w:b/>
                <w:bCs/>
                <w:color w:val="000000"/>
                <w:szCs w:val="24"/>
              </w:rPr>
            </w:pPr>
            <w:r w:rsidRPr="00D02777">
              <w:rPr>
                <w:rFonts w:eastAsia="Times New Roman" w:cs="Times New Roman"/>
                <w:color w:val="000000"/>
                <w:szCs w:val="24"/>
              </w:rPr>
              <w:t>0.0%</w:t>
            </w:r>
          </w:p>
        </w:tc>
      </w:tr>
    </w:tbl>
    <w:p w14:paraId="5A31FCA6" w14:textId="77777777" w:rsidR="001973DF" w:rsidRDefault="001973DF" w:rsidP="0055589E">
      <w:pPr>
        <w:pStyle w:val="NoSpaceTimes"/>
      </w:pPr>
    </w:p>
    <w:p w14:paraId="4AB64CE3" w14:textId="3E418F99" w:rsidR="008063A8" w:rsidRDefault="000F5B51" w:rsidP="0055589E">
      <w:pPr>
        <w:spacing w:after="0"/>
      </w:pPr>
      <w:r>
        <w:rPr>
          <w:rFonts w:cs="Times New Roman"/>
          <w:szCs w:val="24"/>
        </w:rPr>
        <w:t>We note that the observed belt use rates are inclusive of all rear seat occupants whether they are in crashes or not</w:t>
      </w:r>
      <w:r w:rsidR="001F2F92">
        <w:rPr>
          <w:rFonts w:cs="Times New Roman"/>
          <w:szCs w:val="24"/>
        </w:rPr>
        <w:t xml:space="preserve">. </w:t>
      </w:r>
      <w:r>
        <w:rPr>
          <w:rFonts w:cs="Times New Roman"/>
          <w:szCs w:val="24"/>
        </w:rPr>
        <w:t xml:space="preserve">Therefore, this analysis must </w:t>
      </w:r>
      <w:r w:rsidRPr="00F97F1B">
        <w:rPr>
          <w:rFonts w:cs="Times New Roman"/>
          <w:szCs w:val="24"/>
        </w:rPr>
        <w:t xml:space="preserve">first estimate </w:t>
      </w:r>
      <w:r w:rsidR="00AC3BCF">
        <w:rPr>
          <w:rFonts w:cs="Times New Roman"/>
          <w:szCs w:val="24"/>
        </w:rPr>
        <w:t>the seat</w:t>
      </w:r>
      <w:r w:rsidRPr="00F97F1B">
        <w:rPr>
          <w:rFonts w:cs="Times New Roman"/>
          <w:szCs w:val="24"/>
        </w:rPr>
        <w:t xml:space="preserve"> belt use rate </w:t>
      </w:r>
      <w:r w:rsidRPr="009D65BE">
        <w:rPr>
          <w:rFonts w:cs="Times New Roman"/>
          <w:szCs w:val="24"/>
        </w:rPr>
        <w:t xml:space="preserve">in </w:t>
      </w:r>
      <w:r w:rsidR="009B38DD" w:rsidRPr="009B38DD">
        <w:rPr>
          <w:rFonts w:cs="Times New Roman"/>
          <w:szCs w:val="24"/>
        </w:rPr>
        <w:t xml:space="preserve">potentially </w:t>
      </w:r>
      <w:r w:rsidRPr="009D65BE">
        <w:rPr>
          <w:rFonts w:cs="Times New Roman"/>
          <w:szCs w:val="24"/>
        </w:rPr>
        <w:t>fatal crashes</w:t>
      </w:r>
      <w:r w:rsidRPr="00F97F1B">
        <w:rPr>
          <w:rFonts w:cs="Times New Roman"/>
          <w:szCs w:val="24"/>
        </w:rPr>
        <w:t xml:space="preserve"> for </w:t>
      </w:r>
      <w:r>
        <w:rPr>
          <w:rFonts w:cs="Times New Roman"/>
          <w:szCs w:val="24"/>
        </w:rPr>
        <w:t>rear seat occupants</w:t>
      </w:r>
      <w:r w:rsidR="001F2F92">
        <w:rPr>
          <w:rFonts w:cs="Times New Roman"/>
          <w:szCs w:val="24"/>
        </w:rPr>
        <w:t xml:space="preserve">. </w:t>
      </w:r>
      <w:r w:rsidR="00EE206D">
        <w:rPr>
          <w:rFonts w:eastAsia="Times New Roman" w:cs="Times New Roman"/>
          <w:szCs w:val="24"/>
        </w:rPr>
        <w:t>To do so</w:t>
      </w:r>
      <w:r w:rsidR="0026777E">
        <w:rPr>
          <w:rFonts w:eastAsia="Times New Roman" w:cs="Times New Roman"/>
          <w:szCs w:val="24"/>
        </w:rPr>
        <w:t>,</w:t>
      </w:r>
      <w:r w:rsidR="00EE206D">
        <w:rPr>
          <w:rFonts w:eastAsia="Times New Roman" w:cs="Times New Roman"/>
          <w:szCs w:val="24"/>
        </w:rPr>
        <w:t xml:space="preserve"> this analysis </w:t>
      </w:r>
      <w:r w:rsidR="001B45F1">
        <w:rPr>
          <w:rFonts w:eastAsia="Times New Roman" w:cs="Times New Roman"/>
          <w:szCs w:val="24"/>
        </w:rPr>
        <w:t>uses</w:t>
      </w:r>
      <w:r>
        <w:rPr>
          <w:rFonts w:eastAsia="Times New Roman" w:cs="Times New Roman"/>
          <w:szCs w:val="24"/>
        </w:rPr>
        <w:t xml:space="preserve"> the </w:t>
      </w:r>
      <w:r w:rsidR="0026777E">
        <w:rPr>
          <w:rFonts w:eastAsia="Times New Roman" w:cs="Times New Roman"/>
          <w:szCs w:val="24"/>
        </w:rPr>
        <w:t xml:space="preserve">established </w:t>
      </w:r>
      <w:r>
        <w:rPr>
          <w:rFonts w:eastAsia="Times New Roman" w:cs="Times New Roman"/>
          <w:szCs w:val="24"/>
        </w:rPr>
        <w:t>relationship between observed use and use in</w:t>
      </w:r>
      <w:r w:rsidR="009B38DD">
        <w:rPr>
          <w:rFonts w:eastAsia="Times New Roman" w:cs="Times New Roman"/>
          <w:szCs w:val="24"/>
        </w:rPr>
        <w:t xml:space="preserve"> </w:t>
      </w:r>
      <w:r w:rsidR="009B38DD" w:rsidRPr="009B38DD">
        <w:rPr>
          <w:rFonts w:eastAsia="Times New Roman" w:cs="Times New Roman"/>
          <w:szCs w:val="24"/>
        </w:rPr>
        <w:t>potentially</w:t>
      </w:r>
      <w:r>
        <w:rPr>
          <w:rFonts w:eastAsia="Times New Roman" w:cs="Times New Roman"/>
          <w:szCs w:val="24"/>
        </w:rPr>
        <w:t xml:space="preserve"> fatal crashes derived for front seat occupants as a proxy for rear seat occupants</w:t>
      </w:r>
      <w:r w:rsidR="001F2F92">
        <w:rPr>
          <w:rFonts w:eastAsia="Times New Roman" w:cs="Times New Roman"/>
          <w:szCs w:val="24"/>
        </w:rPr>
        <w:t xml:space="preserve">. </w:t>
      </w:r>
      <w:r w:rsidR="0026777E">
        <w:rPr>
          <w:rFonts w:eastAsia="Times New Roman" w:cs="Times New Roman"/>
          <w:szCs w:val="24"/>
        </w:rPr>
        <w:t>Therefore, this analysis makes use of</w:t>
      </w:r>
      <w:r w:rsidR="00547CAB">
        <w:rPr>
          <w:rFonts w:eastAsia="Times New Roman" w:cs="Times New Roman"/>
          <w:szCs w:val="24"/>
        </w:rPr>
        <w:t xml:space="preserve"> t</w:t>
      </w:r>
      <w:r w:rsidR="004002B6">
        <w:rPr>
          <w:rFonts w:cs="Times New Roman"/>
          <w:szCs w:val="24"/>
        </w:rPr>
        <w:t xml:space="preserve">he </w:t>
      </w:r>
      <w:r w:rsidR="004A0F47">
        <w:rPr>
          <w:rFonts w:cs="Times New Roman"/>
          <w:szCs w:val="24"/>
        </w:rPr>
        <w:t xml:space="preserve">NHTSA’ </w:t>
      </w:r>
      <w:r w:rsidR="004A0F47" w:rsidRPr="004A0F47">
        <w:rPr>
          <w:rFonts w:cs="Times New Roman"/>
          <w:szCs w:val="24"/>
        </w:rPr>
        <w:t xml:space="preserve">Belt Use </w:t>
      </w:r>
      <w:r w:rsidR="004002B6">
        <w:rPr>
          <w:rFonts w:cs="Times New Roman"/>
          <w:szCs w:val="24"/>
        </w:rPr>
        <w:t xml:space="preserve">model </w:t>
      </w:r>
      <w:r w:rsidR="00635027">
        <w:rPr>
          <w:rFonts w:cs="Times New Roman"/>
          <w:szCs w:val="24"/>
        </w:rPr>
        <w:t>(</w:t>
      </w:r>
      <w:r w:rsidR="004002B6" w:rsidRPr="00AC06FB">
        <w:rPr>
          <w:rFonts w:cs="Times New Roman"/>
          <w:szCs w:val="24"/>
        </w:rPr>
        <w:t>Wang and Blincoe</w:t>
      </w:r>
      <w:r w:rsidR="004A0F47">
        <w:rPr>
          <w:rFonts w:cs="Times New Roman"/>
          <w:szCs w:val="24"/>
        </w:rPr>
        <w:t>, 2001, 2003)</w:t>
      </w:r>
      <w:r w:rsidR="001F2F92">
        <w:rPr>
          <w:rFonts w:cs="Times New Roman"/>
          <w:szCs w:val="24"/>
        </w:rPr>
        <w:t>.</w:t>
      </w:r>
      <w:r w:rsidR="00005799">
        <w:rPr>
          <w:rStyle w:val="FootnoteReference"/>
          <w:rFonts w:cs="Times New Roman"/>
          <w:szCs w:val="24"/>
        </w:rPr>
        <w:footnoteReference w:id="50"/>
      </w:r>
      <w:r w:rsidR="001F2F92">
        <w:rPr>
          <w:rFonts w:cs="Times New Roman"/>
          <w:szCs w:val="24"/>
        </w:rPr>
        <w:t xml:space="preserve"> </w:t>
      </w:r>
      <w:r w:rsidR="004002B6">
        <w:rPr>
          <w:rFonts w:cs="Times New Roman"/>
          <w:szCs w:val="24"/>
        </w:rPr>
        <w:t xml:space="preserve">The model makes use of </w:t>
      </w:r>
      <w:r w:rsidR="004002B6" w:rsidRPr="00B56EEE">
        <w:rPr>
          <w:rFonts w:cs="Times New Roman"/>
          <w:szCs w:val="24"/>
        </w:rPr>
        <w:t xml:space="preserve">the national observed belt use rate to predict </w:t>
      </w:r>
      <w:r w:rsidR="004002B6">
        <w:rPr>
          <w:rFonts w:cs="Times New Roman"/>
          <w:szCs w:val="24"/>
        </w:rPr>
        <w:t>the use rate in</w:t>
      </w:r>
      <w:r w:rsidR="006F72BC">
        <w:rPr>
          <w:rFonts w:cs="Times New Roman"/>
          <w:szCs w:val="24"/>
        </w:rPr>
        <w:t xml:space="preserve"> potentially</w:t>
      </w:r>
      <w:r w:rsidR="004002B6">
        <w:rPr>
          <w:rFonts w:cs="Times New Roman"/>
          <w:szCs w:val="24"/>
        </w:rPr>
        <w:t xml:space="preserve"> fatal crashes.</w:t>
      </w:r>
      <w:r w:rsidR="004002B6">
        <w:rPr>
          <w:rFonts w:cs="Times New Roman"/>
          <w:szCs w:val="24"/>
          <w:vertAlign w:val="superscript"/>
        </w:rPr>
        <w:t xml:space="preserve"> </w:t>
      </w:r>
      <w:r w:rsidR="00A16362">
        <w:rPr>
          <w:rFonts w:cs="Times New Roman"/>
          <w:szCs w:val="24"/>
          <w:vertAlign w:val="superscript"/>
        </w:rPr>
        <w:t xml:space="preserve"> </w:t>
      </w:r>
      <w:r w:rsidR="004A0F47">
        <w:rPr>
          <w:rFonts w:cs="Times New Roman"/>
          <w:szCs w:val="24"/>
        </w:rPr>
        <w:t>Using this</w:t>
      </w:r>
      <w:r w:rsidR="004002B6">
        <w:rPr>
          <w:rFonts w:cs="Times New Roman"/>
          <w:szCs w:val="24"/>
        </w:rPr>
        <w:t xml:space="preserve"> model,</w:t>
      </w:r>
      <w:r>
        <w:rPr>
          <w:rStyle w:val="FootnoteReference"/>
          <w:rFonts w:cs="Times New Roman"/>
          <w:szCs w:val="24"/>
        </w:rPr>
        <w:footnoteReference w:id="51"/>
      </w:r>
      <w:r w:rsidR="004002B6">
        <w:rPr>
          <w:rFonts w:cs="Times New Roman"/>
          <w:szCs w:val="24"/>
        </w:rPr>
        <w:t xml:space="preserve"> </w:t>
      </w:r>
      <w:r w:rsidR="004002B6" w:rsidRPr="00AC06FB">
        <w:rPr>
          <w:rFonts w:cs="Times New Roman"/>
          <w:szCs w:val="24"/>
        </w:rPr>
        <w:t xml:space="preserve">we calculated the belt use rate in </w:t>
      </w:r>
      <w:r w:rsidR="006F72BC">
        <w:rPr>
          <w:rFonts w:cs="Times New Roman"/>
          <w:szCs w:val="24"/>
        </w:rPr>
        <w:t xml:space="preserve">potentially </w:t>
      </w:r>
      <w:r w:rsidR="004002B6" w:rsidRPr="00AC06FB">
        <w:rPr>
          <w:rFonts w:cs="Times New Roman"/>
          <w:szCs w:val="24"/>
        </w:rPr>
        <w:t>fatal crashes</w:t>
      </w:r>
      <w:r w:rsidR="00993A10">
        <w:rPr>
          <w:rFonts w:eastAsia="Times New Roman" w:cs="Times New Roman"/>
          <w:szCs w:val="24"/>
        </w:rPr>
        <w:t xml:space="preserve"> </w:t>
      </w:r>
      <w:r w:rsidR="00AF604A">
        <w:rPr>
          <w:rFonts w:eastAsia="Times New Roman" w:cs="Times New Roman"/>
          <w:szCs w:val="24"/>
        </w:rPr>
        <w:t>of approximately 0.</w:t>
      </w:r>
      <w:r w:rsidR="0078051E">
        <w:rPr>
          <w:rFonts w:eastAsia="Times New Roman" w:cs="Times New Roman"/>
          <w:szCs w:val="24"/>
        </w:rPr>
        <w:t xml:space="preserve">5939 </w:t>
      </w:r>
      <w:r>
        <w:rPr>
          <w:rFonts w:eastAsia="Times New Roman" w:cs="Times New Roman"/>
          <w:szCs w:val="24"/>
        </w:rPr>
        <w:t>whe</w:t>
      </w:r>
      <w:r w:rsidR="0078051E">
        <w:rPr>
          <w:rFonts w:eastAsia="Times New Roman" w:cs="Times New Roman"/>
          <w:szCs w:val="24"/>
        </w:rPr>
        <w:t xml:space="preserve">n </w:t>
      </w:r>
      <w:r>
        <w:rPr>
          <w:rFonts w:eastAsia="Times New Roman" w:cs="Times New Roman"/>
          <w:szCs w:val="24"/>
        </w:rPr>
        <w:t>the observed belt use rate is 0.7512</w:t>
      </w:r>
      <w:r w:rsidR="0078051E">
        <w:rPr>
          <w:rFonts w:eastAsia="Times New Roman" w:cs="Times New Roman"/>
          <w:szCs w:val="24"/>
        </w:rPr>
        <w:t>.</w:t>
      </w:r>
      <w:r>
        <w:rPr>
          <w:rFonts w:eastAsia="Times New Roman" w:cs="Times New Roman"/>
          <w:szCs w:val="24"/>
        </w:rPr>
        <w:t xml:space="preserve"> </w:t>
      </w:r>
    </w:p>
    <w:p w14:paraId="4EB07F79" w14:textId="77777777" w:rsidR="008063A8" w:rsidRDefault="000F5B51" w:rsidP="0055589E">
      <w:pPr>
        <w:pStyle w:val="Heading4"/>
        <w:spacing w:before="0" w:line="240" w:lineRule="auto"/>
      </w:pPr>
      <w:r>
        <w:t xml:space="preserve">Rear Seat Occupants </w:t>
      </w:r>
      <w:r w:rsidR="0083641E">
        <w:t xml:space="preserve">Six to Ten </w:t>
      </w:r>
      <w:r w:rsidR="00415A8B">
        <w:t>Years Old</w:t>
      </w:r>
    </w:p>
    <w:p w14:paraId="64172B15" w14:textId="3486D124" w:rsidR="00AB5DD7" w:rsidRDefault="000F5B51">
      <w:r>
        <w:t>This sub</w:t>
      </w:r>
      <w:r w:rsidR="008063A8" w:rsidRPr="007A629D">
        <w:t xml:space="preserve">section uses a similar method </w:t>
      </w:r>
      <w:r>
        <w:t xml:space="preserve">as the previous subsection </w:t>
      </w:r>
      <w:r w:rsidR="008063A8" w:rsidRPr="007A629D">
        <w:t xml:space="preserve">to estimate </w:t>
      </w:r>
      <w:r>
        <w:t xml:space="preserve">the increase </w:t>
      </w:r>
      <w:r w:rsidR="008F708A">
        <w:t>in seat belt use</w:t>
      </w:r>
      <w:r w:rsidR="008063A8" w:rsidRPr="007A629D">
        <w:t xml:space="preserve"> for</w:t>
      </w:r>
      <w:r w:rsidR="008F708A">
        <w:t xml:space="preserve"> rear seat occupants</w:t>
      </w:r>
      <w:r w:rsidR="008063A8" w:rsidRPr="007A629D">
        <w:t xml:space="preserve"> ages </w:t>
      </w:r>
      <w:r w:rsidR="003237DB">
        <w:t>six to ten</w:t>
      </w:r>
      <w:r w:rsidR="001F2F92">
        <w:t xml:space="preserve">. </w:t>
      </w:r>
      <w:bookmarkStart w:id="177" w:name="_Hlk141709995"/>
      <w:r w:rsidR="008063A8" w:rsidRPr="002F7E45">
        <w:t>According</w:t>
      </w:r>
      <w:r w:rsidR="008063A8">
        <w:t xml:space="preserve"> to the National Child Restraint Use Special Study (NCRUSS)</w:t>
      </w:r>
      <w:r w:rsidR="003A6772">
        <w:t xml:space="preserve"> published in 2015</w:t>
      </w:r>
      <w:r w:rsidR="008063A8">
        <w:t xml:space="preserve">, restraint use for </w:t>
      </w:r>
      <w:r w:rsidR="003237DB">
        <w:t>six to ten</w:t>
      </w:r>
      <w:r w:rsidR="003237DB" w:rsidRPr="007A629D">
        <w:t xml:space="preserve"> </w:t>
      </w:r>
      <w:r w:rsidR="008063A8">
        <w:t xml:space="preserve">years old occupants is </w:t>
      </w:r>
      <w:r w:rsidR="009626BF">
        <w:lastRenderedPageBreak/>
        <w:t>0.</w:t>
      </w:r>
      <w:r w:rsidR="008063A8">
        <w:t>98</w:t>
      </w:r>
      <w:r w:rsidR="009626BF">
        <w:t>00</w:t>
      </w:r>
      <w:r w:rsidR="001F2F92">
        <w:t>.</w:t>
      </w:r>
      <w:r w:rsidR="003A6772">
        <w:rPr>
          <w:rStyle w:val="FootnoteReference"/>
        </w:rPr>
        <w:footnoteReference w:id="52"/>
      </w:r>
      <w:r w:rsidR="001F2F92">
        <w:t xml:space="preserve"> </w:t>
      </w:r>
      <w:bookmarkEnd w:id="177"/>
      <w:r w:rsidR="008F708A">
        <w:t>We first</w:t>
      </w:r>
      <w:r w:rsidR="009626BF">
        <w:t xml:space="preserve"> note</w:t>
      </w:r>
      <w:r w:rsidR="008F708A">
        <w:t xml:space="preserve"> that not only is the seat belt use rate for this age group</w:t>
      </w:r>
      <w:r w:rsidR="008063A8">
        <w:t xml:space="preserve"> higher than their </w:t>
      </w:r>
      <w:r w:rsidR="003237DB">
        <w:t>11 years and older</w:t>
      </w:r>
      <w:r w:rsidR="008063A8">
        <w:t xml:space="preserve"> peers</w:t>
      </w:r>
      <w:r w:rsidR="008F708A">
        <w:t>, but it also leaves very little room for improvement</w:t>
      </w:r>
      <w:r w:rsidR="001F2F92">
        <w:t xml:space="preserve">. </w:t>
      </w:r>
      <w:r w:rsidR="008F708A">
        <w:t xml:space="preserve">That is, it is much closer to the hypothetical case mentioned above in which seat belt use rates reach 100 percent without </w:t>
      </w:r>
      <w:r>
        <w:t>SBWS and the warning system would result in a zero percent change.</w:t>
      </w:r>
    </w:p>
    <w:p w14:paraId="67DCB492" w14:textId="77777777" w:rsidR="002C5E2E" w:rsidRDefault="000F5B51">
      <w:r>
        <w:t>Once again, the linear regression is used to find the increase in belt use</w:t>
      </w:r>
      <w:r w:rsidR="004222B2">
        <w:t>.</w:t>
      </w:r>
      <w:r>
        <w:t xml:space="preserve"> Using a starting belt use of </w:t>
      </w:r>
      <w:r w:rsidR="009626BF">
        <w:t>0.</w:t>
      </w:r>
      <w:r>
        <w:t>98</w:t>
      </w:r>
      <w:r w:rsidR="009626BF">
        <w:t>00</w:t>
      </w:r>
      <w:r>
        <w:t xml:space="preserve"> from NCRUSS, the increase in belt use we see should be 0.3</w:t>
      </w:r>
      <w:r w:rsidR="00367D01">
        <w:t xml:space="preserve"> percent</w:t>
      </w:r>
      <w:r>
        <w:t xml:space="preserve"> (0.2742%) (Lo) and 0.4</w:t>
      </w:r>
      <w:r w:rsidR="00367D01">
        <w:t xml:space="preserve"> percent</w:t>
      </w:r>
      <w:r>
        <w:t xml:space="preserve"> (0.4112%) (Hi)</w:t>
      </w:r>
      <w:r w:rsidR="001F2F92">
        <w:t xml:space="preserve">. </w:t>
      </w:r>
      <w:r>
        <w:t xml:space="preserve">Note that these are tenths of a percent increase for </w:t>
      </w:r>
      <w:r w:rsidR="00F4195D">
        <w:t xml:space="preserve">the </w:t>
      </w:r>
      <w:r w:rsidR="00D90FA6">
        <w:t>six to ten</w:t>
      </w:r>
      <w:r>
        <w:t xml:space="preserve"> age </w:t>
      </w:r>
      <w:r w:rsidR="005A16FC">
        <w:t>rear seat occupants</w:t>
      </w:r>
      <w:r>
        <w:t xml:space="preserve">, compared to the </w:t>
      </w:r>
      <w:r w:rsidR="00367D01">
        <w:t>three to five percent</w:t>
      </w:r>
      <w:r>
        <w:t xml:space="preserve"> increase for 11</w:t>
      </w:r>
      <w:r w:rsidR="00367D01">
        <w:t xml:space="preserve"> years and older</w:t>
      </w:r>
      <w:r>
        <w:t xml:space="preserve"> rear seat occupants</w:t>
      </w:r>
      <w:r w:rsidR="001F2F92">
        <w:t xml:space="preserve">. </w:t>
      </w:r>
      <w:r>
        <w:t xml:space="preserve">The main reason for the relatively small increase in percentage </w:t>
      </w:r>
      <w:r w:rsidRPr="0055589E">
        <w:t>point</w:t>
      </w:r>
      <w:r w:rsidR="00DD2153" w:rsidRPr="0055589E">
        <w:t xml:space="preserve"> </w:t>
      </w:r>
      <w:r w:rsidRPr="00494B3C">
        <w:t>is</w:t>
      </w:r>
      <w:r>
        <w:t xml:space="preserve"> that the baseline belt use rate of the </w:t>
      </w:r>
      <w:r w:rsidR="00367D01">
        <w:t>six to ten</w:t>
      </w:r>
      <w:r w:rsidR="00367D01" w:rsidRPr="007A629D">
        <w:t xml:space="preserve"> </w:t>
      </w:r>
      <w:r>
        <w:t>age group is already very hig</w:t>
      </w:r>
      <w:r w:rsidR="00367D01">
        <w:t>h</w:t>
      </w:r>
      <w:r w:rsidR="00DD2153">
        <w:t xml:space="preserve">. </w:t>
      </w:r>
    </w:p>
    <w:p w14:paraId="19082D1E" w14:textId="36F6607D" w:rsidR="008063A8" w:rsidRDefault="000F5B51" w:rsidP="0055589E">
      <w:r>
        <w:rPr>
          <w:rFonts w:eastAsia="Times New Roman" w:cs="Times New Roman"/>
          <w:szCs w:val="24"/>
        </w:rPr>
        <w:t>Lastly, this analysis once again makes use of t</w:t>
      </w:r>
      <w:r>
        <w:rPr>
          <w:rFonts w:cs="Times New Roman"/>
          <w:szCs w:val="24"/>
        </w:rPr>
        <w:t xml:space="preserve">he </w:t>
      </w:r>
      <w:r w:rsidR="00E14C67">
        <w:rPr>
          <w:rFonts w:cs="Times New Roman"/>
          <w:szCs w:val="24"/>
        </w:rPr>
        <w:t xml:space="preserve">NHTSA’s Belt Use </w:t>
      </w:r>
      <w:r>
        <w:rPr>
          <w:rFonts w:cs="Times New Roman"/>
          <w:szCs w:val="24"/>
        </w:rPr>
        <w:t>model</w:t>
      </w:r>
      <w:r w:rsidR="00D75BCB">
        <w:rPr>
          <w:rStyle w:val="FootnoteReference"/>
          <w:rFonts w:cs="Times New Roman"/>
          <w:szCs w:val="24"/>
        </w:rPr>
        <w:footnoteReference w:id="53"/>
      </w:r>
      <w:r>
        <w:rPr>
          <w:rFonts w:cs="Times New Roman"/>
          <w:szCs w:val="24"/>
        </w:rPr>
        <w:t xml:space="preserve"> to establish the seat belt use rate for this age group in </w:t>
      </w:r>
      <w:r w:rsidR="00915504" w:rsidRPr="00915504">
        <w:rPr>
          <w:rFonts w:cs="Times New Roman"/>
          <w:szCs w:val="24"/>
        </w:rPr>
        <w:t xml:space="preserve">potentially </w:t>
      </w:r>
      <w:r>
        <w:rPr>
          <w:rFonts w:cs="Times New Roman"/>
          <w:szCs w:val="24"/>
        </w:rPr>
        <w:t xml:space="preserve">fatal crashes. Making use of </w:t>
      </w:r>
      <w:r w:rsidR="00E14C67">
        <w:rPr>
          <w:rFonts w:cs="Times New Roman"/>
          <w:szCs w:val="24"/>
        </w:rPr>
        <w:t xml:space="preserve">this </w:t>
      </w:r>
      <w:r>
        <w:rPr>
          <w:rFonts w:cs="Times New Roman"/>
          <w:szCs w:val="24"/>
        </w:rPr>
        <w:t xml:space="preserve">model, </w:t>
      </w:r>
      <w:r w:rsidRPr="00AC06FB">
        <w:rPr>
          <w:rFonts w:cs="Times New Roman"/>
          <w:szCs w:val="24"/>
        </w:rPr>
        <w:t>we calculated the belt use rate in</w:t>
      </w:r>
      <w:r w:rsidR="006F72BC">
        <w:rPr>
          <w:rFonts w:cs="Times New Roman"/>
          <w:szCs w:val="24"/>
        </w:rPr>
        <w:t xml:space="preserve"> potentially</w:t>
      </w:r>
      <w:r w:rsidRPr="00AC06FB">
        <w:rPr>
          <w:rFonts w:cs="Times New Roman"/>
          <w:szCs w:val="24"/>
        </w:rPr>
        <w:t xml:space="preserve"> fatal crashes</w:t>
      </w:r>
      <w:r>
        <w:rPr>
          <w:rFonts w:eastAsia="Times New Roman" w:cs="Times New Roman"/>
          <w:szCs w:val="24"/>
        </w:rPr>
        <w:t xml:space="preserve"> of approximately 0.8825 when the observed belt use rate is 0.9800</w:t>
      </w:r>
      <w:r>
        <w:t>.</w:t>
      </w:r>
      <w:r>
        <w:rPr>
          <w:rStyle w:val="FootnoteReference"/>
        </w:rPr>
        <w:footnoteReference w:id="54"/>
      </w:r>
      <w:r>
        <w:t xml:space="preserve"> </w:t>
      </w:r>
    </w:p>
    <w:p w14:paraId="69B796D6" w14:textId="77777777" w:rsidR="00974A65" w:rsidRPr="00DD0831" w:rsidRDefault="000F5B51" w:rsidP="0055589E">
      <w:pPr>
        <w:pStyle w:val="Heading4"/>
        <w:spacing w:before="0" w:line="240" w:lineRule="auto"/>
        <w:rPr>
          <w:i w:val="0"/>
          <w:iCs w:val="0"/>
        </w:rPr>
      </w:pPr>
      <w:r w:rsidRPr="00DD0831">
        <w:rPr>
          <w:i w:val="0"/>
          <w:iCs w:val="0"/>
        </w:rPr>
        <w:t>Summary</w:t>
      </w:r>
      <w:r w:rsidR="0056157C">
        <w:rPr>
          <w:i w:val="0"/>
          <w:iCs w:val="0"/>
        </w:rPr>
        <w:t xml:space="preserve"> </w:t>
      </w:r>
    </w:p>
    <w:p w14:paraId="70C2843D" w14:textId="77777777" w:rsidR="00A65CB3" w:rsidRDefault="000F5B51" w:rsidP="00974A65">
      <w:pPr>
        <w:pStyle w:val="Caption"/>
      </w:pPr>
      <w:r>
        <w:fldChar w:fldCharType="begin"/>
      </w:r>
      <w:r>
        <w:instrText xml:space="preserve"> REF _Ref126678302 \h </w:instrText>
      </w:r>
      <w:r>
        <w:fldChar w:fldCharType="separate"/>
      </w:r>
    </w:p>
    <w:p w14:paraId="71580B19" w14:textId="77777777" w:rsidR="00A65CB3" w:rsidRDefault="00A65CB3" w:rsidP="00974A65">
      <w:pPr>
        <w:pStyle w:val="Caption"/>
      </w:pPr>
    </w:p>
    <w:p w14:paraId="43227FC3" w14:textId="1DB5E011" w:rsidR="00974A65" w:rsidRDefault="00A65CB3" w:rsidP="00974A65">
      <w:r w:rsidRPr="00621DAD">
        <w:t xml:space="preserve">Table </w:t>
      </w:r>
      <w:r>
        <w:rPr>
          <w:noProof/>
        </w:rPr>
        <w:t>32</w:t>
      </w:r>
      <w:r w:rsidR="000F5B51">
        <w:fldChar w:fldCharType="end"/>
      </w:r>
      <w:r w:rsidR="000F5B51" w:rsidRPr="00621DAD">
        <w:t xml:space="preserve"> </w:t>
      </w:r>
      <w:r w:rsidR="000F5B51">
        <w:t>presents the increase in seat belt usage for rear seat occupants resulting from SBWS based on the findings of previous studies</w:t>
      </w:r>
      <w:r w:rsidR="001F2F92">
        <w:t xml:space="preserve">. </w:t>
      </w:r>
      <w:r w:rsidR="000F5B51">
        <w:t xml:space="preserve">For rear seat occupants ages six to ten, the increase in seat belt usage ranges from </w:t>
      </w:r>
      <w:r w:rsidR="00A25BD5">
        <w:t xml:space="preserve">approximately </w:t>
      </w:r>
      <w:r w:rsidR="000F5B51">
        <w:t>0.3 percent to 0.4 percent</w:t>
      </w:r>
      <w:r w:rsidR="001F2F92">
        <w:t xml:space="preserve">. </w:t>
      </w:r>
      <w:r w:rsidR="000F5B51">
        <w:t xml:space="preserve">For rear seat occupants 11 </w:t>
      </w:r>
      <w:r w:rsidR="000F5B51">
        <w:lastRenderedPageBreak/>
        <w:t>years and older, the increase in seat belt usage ranges from</w:t>
      </w:r>
      <w:r w:rsidR="00A25BD5">
        <w:t xml:space="preserve"> approximately</w:t>
      </w:r>
      <w:r w:rsidR="000F5B51">
        <w:t xml:space="preserve"> three percent to five percent.</w:t>
      </w:r>
    </w:p>
    <w:p w14:paraId="6269C5FB" w14:textId="77777777" w:rsidR="00435D89" w:rsidRDefault="00435D89" w:rsidP="00974A65">
      <w:pPr>
        <w:pStyle w:val="Caption"/>
      </w:pPr>
      <w:bookmarkStart w:id="178" w:name="_Ref126678302"/>
    </w:p>
    <w:p w14:paraId="53D999B3" w14:textId="77777777" w:rsidR="00435D89" w:rsidRDefault="00435D89" w:rsidP="00974A65">
      <w:pPr>
        <w:pStyle w:val="Caption"/>
      </w:pPr>
    </w:p>
    <w:p w14:paraId="1D8C2486" w14:textId="685F27CB" w:rsidR="00974A65" w:rsidRPr="00621DAD" w:rsidRDefault="000F5B51" w:rsidP="00974A65">
      <w:pPr>
        <w:pStyle w:val="Caption"/>
      </w:pPr>
      <w:r w:rsidRPr="00621DAD">
        <w:t xml:space="preserve">Table </w:t>
      </w:r>
      <w:r w:rsidR="00115BAB">
        <w:fldChar w:fldCharType="begin"/>
      </w:r>
      <w:r>
        <w:instrText xml:space="preserve"> SEQ Table \* ARABIC </w:instrText>
      </w:r>
      <w:r w:rsidR="00115BAB">
        <w:fldChar w:fldCharType="separate"/>
      </w:r>
      <w:r w:rsidR="00A65CB3">
        <w:rPr>
          <w:noProof/>
        </w:rPr>
        <w:t>32</w:t>
      </w:r>
      <w:r w:rsidR="00115BAB">
        <w:rPr>
          <w:noProof/>
        </w:rPr>
        <w:fldChar w:fldCharType="end"/>
      </w:r>
      <w:bookmarkEnd w:id="178"/>
      <w:r w:rsidRPr="00621DAD">
        <w:t xml:space="preserve">: Summary of </w:t>
      </w:r>
      <w:r>
        <w:t>I</w:t>
      </w:r>
      <w:r w:rsidRPr="00621DAD">
        <w:t xml:space="preserve">ncrease in </w:t>
      </w:r>
      <w:r>
        <w:t>B</w:t>
      </w:r>
      <w:r w:rsidRPr="00621DAD">
        <w:t xml:space="preserve">elt </w:t>
      </w:r>
      <w:r>
        <w:t>U</w:t>
      </w:r>
      <w:r w:rsidRPr="00621DAD">
        <w:t xml:space="preserve">se </w:t>
      </w:r>
      <w:r>
        <w:t>R</w:t>
      </w:r>
      <w:r w:rsidRPr="00621DAD">
        <w:t xml:space="preserve">ate with SBWS in </w:t>
      </w:r>
      <w:r>
        <w:t>R</w:t>
      </w:r>
      <w:r w:rsidRPr="00621DAD">
        <w:t xml:space="preserve">ear </w:t>
      </w:r>
      <w:r>
        <w:t>S</w:t>
      </w:r>
      <w:r w:rsidRPr="00621DAD">
        <w:t xml:space="preserve">eat </w:t>
      </w:r>
      <w:r>
        <w:t>O</w:t>
      </w:r>
      <w:r w:rsidRPr="00621DAD">
        <w:t>ccupants</w:t>
      </w:r>
    </w:p>
    <w:tbl>
      <w:tblPr>
        <w:tblStyle w:val="TableGrid"/>
        <w:tblW w:w="0" w:type="auto"/>
        <w:jc w:val="center"/>
        <w:tblLook w:val="04A0" w:firstRow="1" w:lastRow="0" w:firstColumn="1" w:lastColumn="0" w:noHBand="0" w:noVBand="1"/>
      </w:tblPr>
      <w:tblGrid>
        <w:gridCol w:w="1356"/>
        <w:gridCol w:w="1893"/>
        <w:gridCol w:w="1890"/>
      </w:tblGrid>
      <w:tr w:rsidR="00A15C2C" w14:paraId="67007990" w14:textId="77777777" w:rsidTr="00256450">
        <w:trPr>
          <w:jc w:val="center"/>
        </w:trPr>
        <w:tc>
          <w:tcPr>
            <w:tcW w:w="0" w:type="auto"/>
            <w:vMerge w:val="restart"/>
            <w:shd w:val="clear" w:color="auto" w:fill="D9D9D9" w:themeFill="background1" w:themeFillShade="D9"/>
            <w:vAlign w:val="center"/>
          </w:tcPr>
          <w:p w14:paraId="2461E380" w14:textId="77777777" w:rsidR="00974A65" w:rsidRPr="00621DAD" w:rsidRDefault="000F5B51" w:rsidP="00256450">
            <w:pPr>
              <w:spacing w:line="240" w:lineRule="auto"/>
              <w:contextualSpacing/>
              <w:rPr>
                <w:b/>
                <w:bCs/>
                <w:szCs w:val="24"/>
              </w:rPr>
            </w:pPr>
            <w:r>
              <w:rPr>
                <w:b/>
                <w:bCs/>
                <w:szCs w:val="24"/>
              </w:rPr>
              <w:t>Age Group</w:t>
            </w:r>
          </w:p>
        </w:tc>
        <w:tc>
          <w:tcPr>
            <w:tcW w:w="3783" w:type="dxa"/>
            <w:gridSpan w:val="2"/>
            <w:shd w:val="clear" w:color="auto" w:fill="D9D9D9" w:themeFill="background1" w:themeFillShade="D9"/>
            <w:vAlign w:val="center"/>
          </w:tcPr>
          <w:p w14:paraId="5A616F87" w14:textId="77777777" w:rsidR="00974A65" w:rsidRPr="00621DAD" w:rsidRDefault="000F5B51" w:rsidP="00256450">
            <w:pPr>
              <w:spacing w:line="240" w:lineRule="auto"/>
              <w:contextualSpacing/>
              <w:jc w:val="center"/>
              <w:rPr>
                <w:b/>
                <w:bCs/>
                <w:szCs w:val="24"/>
              </w:rPr>
            </w:pPr>
            <w:r w:rsidRPr="00621DAD">
              <w:rPr>
                <w:b/>
                <w:bCs/>
                <w:szCs w:val="24"/>
              </w:rPr>
              <w:t>Range of increase in belt use rate</w:t>
            </w:r>
          </w:p>
        </w:tc>
      </w:tr>
      <w:tr w:rsidR="00A15C2C" w14:paraId="1AFB974B" w14:textId="77777777" w:rsidTr="00256450">
        <w:trPr>
          <w:jc w:val="center"/>
        </w:trPr>
        <w:tc>
          <w:tcPr>
            <w:tcW w:w="0" w:type="auto"/>
            <w:vMerge/>
            <w:shd w:val="clear" w:color="auto" w:fill="D9D9D9" w:themeFill="background1" w:themeFillShade="D9"/>
            <w:vAlign w:val="center"/>
          </w:tcPr>
          <w:p w14:paraId="18447C41" w14:textId="77777777" w:rsidR="00974A65" w:rsidRPr="00621DAD" w:rsidRDefault="00974A65" w:rsidP="00256450">
            <w:pPr>
              <w:spacing w:line="240" w:lineRule="auto"/>
              <w:contextualSpacing/>
              <w:rPr>
                <w:b/>
                <w:bCs/>
                <w:szCs w:val="24"/>
              </w:rPr>
            </w:pPr>
          </w:p>
        </w:tc>
        <w:tc>
          <w:tcPr>
            <w:tcW w:w="1893" w:type="dxa"/>
            <w:shd w:val="clear" w:color="auto" w:fill="D9D9D9" w:themeFill="background1" w:themeFillShade="D9"/>
            <w:vAlign w:val="center"/>
          </w:tcPr>
          <w:p w14:paraId="165F9585" w14:textId="77777777" w:rsidR="00974A65" w:rsidRPr="00621DAD" w:rsidRDefault="000F5B51" w:rsidP="00256450">
            <w:pPr>
              <w:spacing w:line="240" w:lineRule="auto"/>
              <w:contextualSpacing/>
              <w:jc w:val="center"/>
              <w:rPr>
                <w:b/>
                <w:bCs/>
                <w:szCs w:val="24"/>
              </w:rPr>
            </w:pPr>
            <w:r w:rsidRPr="00621DAD">
              <w:rPr>
                <w:b/>
                <w:bCs/>
                <w:szCs w:val="24"/>
              </w:rPr>
              <w:t>Lo</w:t>
            </w:r>
          </w:p>
        </w:tc>
        <w:tc>
          <w:tcPr>
            <w:tcW w:w="1890" w:type="dxa"/>
            <w:shd w:val="clear" w:color="auto" w:fill="D9D9D9" w:themeFill="background1" w:themeFillShade="D9"/>
            <w:vAlign w:val="center"/>
          </w:tcPr>
          <w:p w14:paraId="6BF7C2DD" w14:textId="77777777" w:rsidR="00974A65" w:rsidRPr="00621DAD" w:rsidRDefault="000F5B51" w:rsidP="00256450">
            <w:pPr>
              <w:spacing w:line="240" w:lineRule="auto"/>
              <w:contextualSpacing/>
              <w:jc w:val="center"/>
              <w:rPr>
                <w:b/>
                <w:bCs/>
                <w:szCs w:val="24"/>
              </w:rPr>
            </w:pPr>
            <w:r w:rsidRPr="00621DAD">
              <w:rPr>
                <w:b/>
                <w:bCs/>
                <w:szCs w:val="24"/>
              </w:rPr>
              <w:t>Hi</w:t>
            </w:r>
          </w:p>
        </w:tc>
      </w:tr>
      <w:tr w:rsidR="00A15C2C" w14:paraId="0174F20D" w14:textId="77777777" w:rsidTr="00256450">
        <w:trPr>
          <w:jc w:val="center"/>
        </w:trPr>
        <w:tc>
          <w:tcPr>
            <w:tcW w:w="0" w:type="auto"/>
            <w:vAlign w:val="center"/>
          </w:tcPr>
          <w:p w14:paraId="40E7C73A" w14:textId="77777777" w:rsidR="00974A65" w:rsidRPr="00621DAD" w:rsidRDefault="000F5B51" w:rsidP="00256450">
            <w:pPr>
              <w:spacing w:line="240" w:lineRule="auto"/>
              <w:contextualSpacing/>
              <w:rPr>
                <w:szCs w:val="24"/>
              </w:rPr>
            </w:pPr>
            <w:r>
              <w:rPr>
                <w:szCs w:val="24"/>
              </w:rPr>
              <w:t>6-10</w:t>
            </w:r>
          </w:p>
        </w:tc>
        <w:tc>
          <w:tcPr>
            <w:tcW w:w="1893" w:type="dxa"/>
            <w:vAlign w:val="center"/>
          </w:tcPr>
          <w:p w14:paraId="16D2D1A4" w14:textId="77777777" w:rsidR="00974A65" w:rsidRPr="00621DAD" w:rsidRDefault="000F5B51" w:rsidP="00256450">
            <w:pPr>
              <w:spacing w:line="240" w:lineRule="auto"/>
              <w:contextualSpacing/>
              <w:jc w:val="center"/>
              <w:rPr>
                <w:szCs w:val="24"/>
              </w:rPr>
            </w:pPr>
            <w:r w:rsidRPr="00621DAD">
              <w:rPr>
                <w:szCs w:val="24"/>
              </w:rPr>
              <w:t xml:space="preserve">0.2742% </w:t>
            </w:r>
          </w:p>
        </w:tc>
        <w:tc>
          <w:tcPr>
            <w:tcW w:w="1890" w:type="dxa"/>
            <w:vAlign w:val="center"/>
          </w:tcPr>
          <w:p w14:paraId="30C144B0" w14:textId="77777777" w:rsidR="00974A65" w:rsidRPr="00621DAD" w:rsidRDefault="000F5B51" w:rsidP="00256450">
            <w:pPr>
              <w:spacing w:line="240" w:lineRule="auto"/>
              <w:contextualSpacing/>
              <w:jc w:val="center"/>
              <w:rPr>
                <w:szCs w:val="24"/>
              </w:rPr>
            </w:pPr>
            <w:r w:rsidRPr="00621DAD">
              <w:rPr>
                <w:szCs w:val="24"/>
              </w:rPr>
              <w:t xml:space="preserve">0.4112% </w:t>
            </w:r>
          </w:p>
        </w:tc>
      </w:tr>
      <w:tr w:rsidR="00A15C2C" w14:paraId="1C601F48" w14:textId="77777777" w:rsidTr="00256450">
        <w:trPr>
          <w:jc w:val="center"/>
        </w:trPr>
        <w:tc>
          <w:tcPr>
            <w:tcW w:w="0" w:type="auto"/>
            <w:vAlign w:val="center"/>
          </w:tcPr>
          <w:p w14:paraId="7E769597" w14:textId="77777777" w:rsidR="00974A65" w:rsidRPr="00621DAD" w:rsidRDefault="000F5B51" w:rsidP="00256450">
            <w:pPr>
              <w:spacing w:line="240" w:lineRule="auto"/>
              <w:rPr>
                <w:szCs w:val="24"/>
              </w:rPr>
            </w:pPr>
            <w:r w:rsidRPr="00621DAD">
              <w:rPr>
                <w:szCs w:val="24"/>
              </w:rPr>
              <w:t>11+</w:t>
            </w:r>
          </w:p>
        </w:tc>
        <w:tc>
          <w:tcPr>
            <w:tcW w:w="1893" w:type="dxa"/>
            <w:vAlign w:val="center"/>
          </w:tcPr>
          <w:p w14:paraId="2655BCE4" w14:textId="77777777" w:rsidR="00974A65" w:rsidRPr="00621DAD" w:rsidRDefault="000F5B51" w:rsidP="00256450">
            <w:pPr>
              <w:spacing w:line="240" w:lineRule="auto"/>
              <w:jc w:val="center"/>
              <w:rPr>
                <w:szCs w:val="24"/>
              </w:rPr>
            </w:pPr>
            <w:r w:rsidRPr="00621DAD">
              <w:rPr>
                <w:szCs w:val="24"/>
              </w:rPr>
              <w:t xml:space="preserve">3.4105% </w:t>
            </w:r>
          </w:p>
        </w:tc>
        <w:tc>
          <w:tcPr>
            <w:tcW w:w="1890" w:type="dxa"/>
            <w:vAlign w:val="center"/>
          </w:tcPr>
          <w:p w14:paraId="423C3F95" w14:textId="77777777" w:rsidR="00974A65" w:rsidRPr="00485FA4" w:rsidRDefault="000F5B51" w:rsidP="00256450">
            <w:pPr>
              <w:spacing w:line="240" w:lineRule="auto"/>
              <w:jc w:val="center"/>
              <w:rPr>
                <w:szCs w:val="24"/>
              </w:rPr>
            </w:pPr>
            <w:r w:rsidRPr="00621DAD">
              <w:rPr>
                <w:szCs w:val="24"/>
              </w:rPr>
              <w:t xml:space="preserve">5.1157% </w:t>
            </w:r>
          </w:p>
        </w:tc>
      </w:tr>
    </w:tbl>
    <w:p w14:paraId="2E9CD311" w14:textId="77777777" w:rsidR="00EF32FE" w:rsidRDefault="00EF32FE" w:rsidP="0055589E">
      <w:pPr>
        <w:pStyle w:val="NoSpaceTimes"/>
      </w:pPr>
    </w:p>
    <w:p w14:paraId="5159F8B5" w14:textId="77777777" w:rsidR="00D63AFE" w:rsidRDefault="000F5B51" w:rsidP="0055589E">
      <w:pPr>
        <w:pStyle w:val="Heading3"/>
        <w:spacing w:line="240" w:lineRule="auto"/>
      </w:pPr>
      <w:bookmarkStart w:id="179" w:name="_Toc142902977"/>
      <w:r>
        <w:t>Resulting Increase on Seat Belt Use</w:t>
      </w:r>
      <w:r w:rsidR="00E148EF">
        <w:t xml:space="preserve"> Rates</w:t>
      </w:r>
      <w:bookmarkEnd w:id="179"/>
    </w:p>
    <w:p w14:paraId="03A7272D" w14:textId="77777777" w:rsidR="00E148EF" w:rsidRDefault="000F5B51" w:rsidP="00E148EF">
      <w:pPr>
        <w:spacing w:after="0"/>
        <w:rPr>
          <w:rFonts w:eastAsia="Times New Roman" w:cs="Times New Roman"/>
          <w:szCs w:val="24"/>
        </w:rPr>
      </w:pPr>
      <w:r>
        <w:rPr>
          <w:rFonts w:eastAsia="Times New Roman" w:cs="Times New Roman"/>
          <w:szCs w:val="24"/>
        </w:rPr>
        <w:t xml:space="preserve">This subsection makes use of the findings in the previous subsection to </w:t>
      </w:r>
      <w:r w:rsidR="00E027BD">
        <w:rPr>
          <w:rFonts w:eastAsia="Times New Roman" w:cs="Times New Roman"/>
          <w:szCs w:val="24"/>
        </w:rPr>
        <w:t>estimate</w:t>
      </w:r>
      <w:r>
        <w:rPr>
          <w:rFonts w:eastAsia="Times New Roman" w:cs="Times New Roman"/>
          <w:szCs w:val="24"/>
        </w:rPr>
        <w:t xml:space="preserve"> the seat belt usage rates for </w:t>
      </w:r>
      <w:r w:rsidR="00007894">
        <w:rPr>
          <w:rFonts w:eastAsia="Times New Roman" w:cs="Times New Roman"/>
          <w:szCs w:val="24"/>
        </w:rPr>
        <w:t>rear seat occupants under the proposed rule</w:t>
      </w:r>
      <w:r w:rsidR="001F2F92">
        <w:rPr>
          <w:rFonts w:eastAsia="Times New Roman" w:cs="Times New Roman"/>
          <w:szCs w:val="24"/>
        </w:rPr>
        <w:t xml:space="preserve">. </w:t>
      </w:r>
      <w:r w:rsidR="00007894">
        <w:rPr>
          <w:rFonts w:eastAsia="Times New Roman" w:cs="Times New Roman"/>
          <w:szCs w:val="24"/>
        </w:rPr>
        <w:t xml:space="preserve">Under the baseline, </w:t>
      </w:r>
      <w:r w:rsidR="00E81ECC">
        <w:rPr>
          <w:rFonts w:eastAsia="Times New Roman" w:cs="Times New Roman"/>
          <w:szCs w:val="24"/>
        </w:rPr>
        <w:t>the</w:t>
      </w:r>
      <w:r w:rsidR="00007894">
        <w:rPr>
          <w:rFonts w:eastAsia="Times New Roman" w:cs="Times New Roman"/>
          <w:szCs w:val="24"/>
        </w:rPr>
        <w:t xml:space="preserve"> seat belt use rate for rear seat occupants </w:t>
      </w:r>
      <w:r w:rsidR="00E81ECC">
        <w:rPr>
          <w:rFonts w:eastAsia="Times New Roman" w:cs="Times New Roman"/>
          <w:szCs w:val="24"/>
        </w:rPr>
        <w:t>is</w:t>
      </w:r>
      <w:r w:rsidR="00007894">
        <w:rPr>
          <w:rFonts w:eastAsia="Times New Roman" w:cs="Times New Roman"/>
          <w:szCs w:val="24"/>
        </w:rPr>
        <w:t xml:space="preserve"> </w:t>
      </w:r>
      <w:r w:rsidR="00953ECE">
        <w:rPr>
          <w:rFonts w:eastAsia="Times New Roman" w:cs="Times New Roman"/>
          <w:szCs w:val="24"/>
        </w:rPr>
        <w:t>0.</w:t>
      </w:r>
      <w:r w:rsidR="00007894">
        <w:rPr>
          <w:rFonts w:eastAsia="Times New Roman" w:cs="Times New Roman"/>
          <w:szCs w:val="24"/>
        </w:rPr>
        <w:t>7512</w:t>
      </w:r>
      <w:r w:rsidR="001F2F92">
        <w:rPr>
          <w:rFonts w:eastAsia="Times New Roman" w:cs="Times New Roman"/>
          <w:szCs w:val="24"/>
        </w:rPr>
        <w:t xml:space="preserve">. </w:t>
      </w:r>
      <w:r w:rsidR="00A0393F">
        <w:rPr>
          <w:rFonts w:eastAsia="Times New Roman" w:cs="Times New Roman"/>
          <w:szCs w:val="24"/>
        </w:rPr>
        <w:t>A</w:t>
      </w:r>
      <w:r w:rsidR="00007894">
        <w:rPr>
          <w:rFonts w:eastAsia="Times New Roman" w:cs="Times New Roman"/>
          <w:szCs w:val="24"/>
        </w:rPr>
        <w:t xml:space="preserve">dditionally, under the baseline, </w:t>
      </w:r>
      <w:r w:rsidR="00FF39B2" w:rsidRPr="00CE2168">
        <w:rPr>
          <w:rFonts w:eastAsia="Times New Roman" w:cs="Times New Roman"/>
          <w:szCs w:val="24"/>
        </w:rPr>
        <w:t>46.9</w:t>
      </w:r>
      <w:r w:rsidR="00193871">
        <w:rPr>
          <w:rFonts w:eastAsia="Times New Roman" w:cs="Times New Roman"/>
          <w:szCs w:val="24"/>
        </w:rPr>
        <w:t xml:space="preserve"> percent</w:t>
      </w:r>
      <w:r w:rsidR="00FF39B2" w:rsidRPr="00DC115E">
        <w:rPr>
          <w:rFonts w:eastAsia="Times New Roman" w:cs="Times New Roman"/>
          <w:szCs w:val="24"/>
        </w:rPr>
        <w:t xml:space="preserve"> of the current fleet </w:t>
      </w:r>
      <w:r w:rsidR="00AD6798">
        <w:rPr>
          <w:rFonts w:eastAsia="Times New Roman" w:cs="Times New Roman"/>
          <w:szCs w:val="24"/>
        </w:rPr>
        <w:t>is already equipped</w:t>
      </w:r>
      <w:r w:rsidR="00FF39B2" w:rsidRPr="00DC115E">
        <w:rPr>
          <w:rFonts w:eastAsia="Times New Roman" w:cs="Times New Roman"/>
          <w:szCs w:val="24"/>
        </w:rPr>
        <w:t xml:space="preserve"> rear passenger seat belt warning systems</w:t>
      </w:r>
      <w:r w:rsidR="001F2F92">
        <w:rPr>
          <w:rFonts w:eastAsia="Times New Roman" w:cs="Times New Roman"/>
          <w:szCs w:val="24"/>
        </w:rPr>
        <w:t xml:space="preserve">. </w:t>
      </w:r>
      <w:r w:rsidR="00FF39B2">
        <w:rPr>
          <w:rFonts w:eastAsia="Times New Roman" w:cs="Times New Roman"/>
          <w:szCs w:val="24"/>
        </w:rPr>
        <w:t xml:space="preserve">Therefore, this subsection </w:t>
      </w:r>
      <w:r w:rsidR="000179A3">
        <w:rPr>
          <w:rFonts w:eastAsia="Times New Roman" w:cs="Times New Roman"/>
          <w:szCs w:val="24"/>
        </w:rPr>
        <w:t>reflect</w:t>
      </w:r>
      <w:r w:rsidR="00953A91">
        <w:rPr>
          <w:rFonts w:eastAsia="Times New Roman" w:cs="Times New Roman"/>
          <w:szCs w:val="24"/>
        </w:rPr>
        <w:t>s</w:t>
      </w:r>
      <w:r w:rsidR="000179A3">
        <w:rPr>
          <w:rFonts w:eastAsia="Times New Roman" w:cs="Times New Roman"/>
          <w:szCs w:val="24"/>
        </w:rPr>
        <w:t xml:space="preserve"> the </w:t>
      </w:r>
      <w:r w:rsidR="00FF39B2">
        <w:rPr>
          <w:rFonts w:eastAsia="Times New Roman" w:cs="Times New Roman"/>
          <w:szCs w:val="24"/>
        </w:rPr>
        <w:t xml:space="preserve">increase </w:t>
      </w:r>
      <w:r w:rsidR="00FA31C6">
        <w:rPr>
          <w:rFonts w:eastAsia="Times New Roman" w:cs="Times New Roman"/>
          <w:szCs w:val="24"/>
        </w:rPr>
        <w:t xml:space="preserve">in seat belt </w:t>
      </w:r>
      <w:r w:rsidR="004D61EF">
        <w:rPr>
          <w:rFonts w:eastAsia="Times New Roman" w:cs="Times New Roman"/>
          <w:szCs w:val="24"/>
        </w:rPr>
        <w:t>usage resulting from SBWS on the baseline</w:t>
      </w:r>
      <w:r w:rsidR="000179A3">
        <w:rPr>
          <w:rFonts w:eastAsia="Times New Roman" w:cs="Times New Roman"/>
          <w:szCs w:val="24"/>
        </w:rPr>
        <w:t xml:space="preserve"> to </w:t>
      </w:r>
      <w:r w:rsidR="001D6FBF">
        <w:rPr>
          <w:rFonts w:eastAsia="Times New Roman" w:cs="Times New Roman"/>
          <w:szCs w:val="24"/>
        </w:rPr>
        <w:t>determine seat belt usage under the proposed rule.</w:t>
      </w:r>
    </w:p>
    <w:p w14:paraId="3E96A0A5" w14:textId="77777777" w:rsidR="00463895" w:rsidRDefault="000F5B51" w:rsidP="00E148EF">
      <w:pPr>
        <w:spacing w:after="0"/>
        <w:rPr>
          <w:rFonts w:eastAsia="Times New Roman" w:cs="Times New Roman"/>
          <w:szCs w:val="24"/>
        </w:rPr>
      </w:pPr>
      <w:r>
        <w:rPr>
          <w:rFonts w:eastAsia="Times New Roman" w:cs="Times New Roman"/>
          <w:szCs w:val="24"/>
        </w:rPr>
        <w:t xml:space="preserve">This analysis makes use of the available data to </w:t>
      </w:r>
      <w:r w:rsidR="00F27D8B">
        <w:rPr>
          <w:rFonts w:eastAsia="Times New Roman" w:cs="Times New Roman"/>
          <w:szCs w:val="24"/>
        </w:rPr>
        <w:t>calculate seat belt usage rates as a function of SBW</w:t>
      </w:r>
      <w:r w:rsidR="00420F1E">
        <w:rPr>
          <w:rFonts w:eastAsia="Times New Roman" w:cs="Times New Roman"/>
          <w:szCs w:val="24"/>
        </w:rPr>
        <w:t>S</w:t>
      </w:r>
      <w:r w:rsidR="00F27D8B">
        <w:rPr>
          <w:rFonts w:eastAsia="Times New Roman" w:cs="Times New Roman"/>
          <w:szCs w:val="24"/>
        </w:rPr>
        <w:t xml:space="preserve"> presence</w:t>
      </w:r>
      <w:r w:rsidR="001F2F92">
        <w:rPr>
          <w:rFonts w:eastAsia="Times New Roman" w:cs="Times New Roman"/>
          <w:szCs w:val="24"/>
        </w:rPr>
        <w:t xml:space="preserve">. </w:t>
      </w:r>
      <w:r w:rsidR="00193871">
        <w:rPr>
          <w:rFonts w:eastAsia="Times New Roman" w:cs="Times New Roman"/>
          <w:szCs w:val="24"/>
        </w:rPr>
        <w:t xml:space="preserve">That is, </w:t>
      </w:r>
      <w:r w:rsidR="007334B4">
        <w:rPr>
          <w:rFonts w:eastAsia="Times New Roman" w:cs="Times New Roman"/>
          <w:szCs w:val="24"/>
        </w:rPr>
        <w:t>this analysis can make use of the</w:t>
      </w:r>
      <w:r w:rsidR="007237B8">
        <w:rPr>
          <w:rFonts w:eastAsia="Times New Roman" w:cs="Times New Roman"/>
          <w:szCs w:val="24"/>
        </w:rPr>
        <w:t xml:space="preserve"> overall</w:t>
      </w:r>
      <w:r w:rsidR="007334B4">
        <w:rPr>
          <w:rFonts w:eastAsia="Times New Roman" w:cs="Times New Roman"/>
          <w:szCs w:val="24"/>
        </w:rPr>
        <w:t xml:space="preserve"> seat belt use rate</w:t>
      </w:r>
      <w:r w:rsidR="007F3E97">
        <w:rPr>
          <w:rFonts w:eastAsia="Times New Roman" w:cs="Times New Roman"/>
          <w:szCs w:val="24"/>
        </w:rPr>
        <w:t>,</w:t>
      </w:r>
      <w:r w:rsidR="007334B4">
        <w:rPr>
          <w:rFonts w:eastAsia="Times New Roman" w:cs="Times New Roman"/>
          <w:szCs w:val="24"/>
        </w:rPr>
        <w:t xml:space="preserve"> </w:t>
      </w:r>
      <w:r w:rsidR="00707AAB">
        <w:rPr>
          <w:rFonts w:eastAsia="Times New Roman" w:cs="Times New Roman"/>
          <w:szCs w:val="24"/>
        </w:rPr>
        <w:t>SBWS take</w:t>
      </w:r>
      <w:r w:rsidR="004B001A">
        <w:rPr>
          <w:rFonts w:eastAsia="Times New Roman" w:cs="Times New Roman"/>
          <w:szCs w:val="24"/>
        </w:rPr>
        <w:t xml:space="preserve"> rate</w:t>
      </w:r>
      <w:r w:rsidR="00707AAB">
        <w:rPr>
          <w:rFonts w:eastAsia="Times New Roman" w:cs="Times New Roman"/>
          <w:szCs w:val="24"/>
        </w:rPr>
        <w:t xml:space="preserve"> </w:t>
      </w:r>
      <w:r w:rsidR="007334B4">
        <w:rPr>
          <w:rFonts w:eastAsia="Times New Roman" w:cs="Times New Roman"/>
          <w:szCs w:val="24"/>
        </w:rPr>
        <w:t>under the baseline</w:t>
      </w:r>
      <w:r w:rsidR="007F3E97">
        <w:rPr>
          <w:rFonts w:eastAsia="Times New Roman" w:cs="Times New Roman"/>
          <w:szCs w:val="24"/>
        </w:rPr>
        <w:t>,</w:t>
      </w:r>
      <w:r w:rsidR="00707AAB">
        <w:rPr>
          <w:rFonts w:eastAsia="Times New Roman" w:cs="Times New Roman"/>
          <w:szCs w:val="24"/>
        </w:rPr>
        <w:t xml:space="preserve"> </w:t>
      </w:r>
      <w:r w:rsidR="007F3E97">
        <w:rPr>
          <w:rFonts w:eastAsia="Times New Roman" w:cs="Times New Roman"/>
          <w:szCs w:val="24"/>
        </w:rPr>
        <w:t>and</w:t>
      </w:r>
      <w:r w:rsidR="00707AAB">
        <w:rPr>
          <w:rFonts w:eastAsia="Times New Roman" w:cs="Times New Roman"/>
          <w:szCs w:val="24"/>
        </w:rPr>
        <w:t xml:space="preserve"> the </w:t>
      </w:r>
      <w:r w:rsidR="00193871">
        <w:rPr>
          <w:rFonts w:eastAsia="Times New Roman" w:cs="Times New Roman"/>
          <w:szCs w:val="24"/>
        </w:rPr>
        <w:t>increase in seat belt usage from SBWS</w:t>
      </w:r>
      <w:r w:rsidR="00707AAB">
        <w:rPr>
          <w:rFonts w:eastAsia="Times New Roman" w:cs="Times New Roman"/>
          <w:szCs w:val="24"/>
        </w:rPr>
        <w:t xml:space="preserve"> to establish </w:t>
      </w:r>
      <w:r w:rsidR="004D2742">
        <w:rPr>
          <w:rFonts w:eastAsia="Times New Roman" w:cs="Times New Roman"/>
          <w:szCs w:val="24"/>
        </w:rPr>
        <w:t xml:space="preserve">the seat belt use rates </w:t>
      </w:r>
      <w:r w:rsidR="00F84E05">
        <w:rPr>
          <w:rFonts w:eastAsia="Times New Roman" w:cs="Times New Roman"/>
          <w:szCs w:val="24"/>
        </w:rPr>
        <w:t>in both the SBWS and no SBWS cases</w:t>
      </w:r>
      <w:r w:rsidR="001F2F92">
        <w:rPr>
          <w:rFonts w:eastAsia="Times New Roman" w:cs="Times New Roman"/>
          <w:szCs w:val="24"/>
        </w:rPr>
        <w:t xml:space="preserve">. </w:t>
      </w:r>
      <w:r>
        <w:rPr>
          <w:rFonts w:eastAsia="Times New Roman" w:cs="Times New Roman"/>
          <w:szCs w:val="24"/>
        </w:rPr>
        <w:t>The following discussi</w:t>
      </w:r>
      <w:r w:rsidR="002F75BD">
        <w:rPr>
          <w:rFonts w:eastAsia="Times New Roman" w:cs="Times New Roman"/>
          <w:szCs w:val="24"/>
        </w:rPr>
        <w:t>on</w:t>
      </w:r>
      <w:r>
        <w:rPr>
          <w:rFonts w:eastAsia="Times New Roman" w:cs="Times New Roman"/>
          <w:szCs w:val="24"/>
        </w:rPr>
        <w:t xml:space="preserve"> presents an example of this calculation </w:t>
      </w:r>
      <w:r w:rsidR="00730DFE">
        <w:rPr>
          <w:rFonts w:eastAsia="Times New Roman" w:cs="Times New Roman"/>
          <w:szCs w:val="24"/>
        </w:rPr>
        <w:t xml:space="preserve">for rear seat occupants </w:t>
      </w:r>
      <w:r w:rsidR="007F3E97">
        <w:rPr>
          <w:rFonts w:eastAsia="Times New Roman" w:cs="Times New Roman"/>
          <w:szCs w:val="24"/>
        </w:rPr>
        <w:t>11 years and older</w:t>
      </w:r>
      <w:r w:rsidR="00730DFE">
        <w:rPr>
          <w:rFonts w:eastAsia="Times New Roman" w:cs="Times New Roman"/>
          <w:szCs w:val="24"/>
        </w:rPr>
        <w:t xml:space="preserve"> using the </w:t>
      </w:r>
      <w:r w:rsidR="00883CB6">
        <w:rPr>
          <w:rFonts w:eastAsia="Times New Roman" w:cs="Times New Roman"/>
          <w:szCs w:val="24"/>
        </w:rPr>
        <w:t>lower</w:t>
      </w:r>
      <w:r w:rsidR="00730DFE">
        <w:rPr>
          <w:rFonts w:eastAsia="Times New Roman" w:cs="Times New Roman"/>
          <w:szCs w:val="24"/>
        </w:rPr>
        <w:t xml:space="preserve"> estimated increase in seat belt usage of </w:t>
      </w:r>
      <w:r w:rsidR="00FA341A">
        <w:rPr>
          <w:rFonts w:eastAsia="Times New Roman" w:cs="Times New Roman"/>
          <w:szCs w:val="24"/>
        </w:rPr>
        <w:t>approximately 3.41 percent.</w:t>
      </w:r>
      <w:r w:rsidR="00DC389B">
        <w:rPr>
          <w:rFonts w:eastAsia="Times New Roman" w:cs="Times New Roman"/>
          <w:szCs w:val="24"/>
        </w:rPr>
        <w:t xml:space="preserve"> </w:t>
      </w:r>
    </w:p>
    <w:p w14:paraId="339DB5BB" w14:textId="77777777" w:rsidR="00FA341A" w:rsidRDefault="000F5B51" w:rsidP="00E148EF">
      <w:pPr>
        <w:spacing w:after="0"/>
        <w:rPr>
          <w:rFonts w:eastAsia="Times New Roman" w:cs="Times New Roman"/>
          <w:szCs w:val="24"/>
        </w:rPr>
      </w:pPr>
      <w:r>
        <w:rPr>
          <w:rFonts w:eastAsia="Times New Roman" w:cs="Times New Roman"/>
          <w:szCs w:val="24"/>
        </w:rPr>
        <w:t xml:space="preserve">Under the baseline, we </w:t>
      </w:r>
      <w:r w:rsidR="006C653F">
        <w:rPr>
          <w:rFonts w:eastAsia="Times New Roman" w:cs="Times New Roman"/>
          <w:szCs w:val="24"/>
        </w:rPr>
        <w:t>observe a seat belt usage rate of</w:t>
      </w:r>
      <w:r>
        <w:rPr>
          <w:rFonts w:eastAsia="Times New Roman" w:cs="Times New Roman"/>
          <w:szCs w:val="24"/>
        </w:rPr>
        <w:t xml:space="preserve"> </w:t>
      </w:r>
      <w:r w:rsidR="001A3B0E">
        <w:rPr>
          <w:rFonts w:eastAsia="Times New Roman" w:cs="Times New Roman"/>
          <w:szCs w:val="24"/>
        </w:rPr>
        <w:t>0.</w:t>
      </w:r>
      <w:r w:rsidR="00311D04">
        <w:rPr>
          <w:rFonts w:eastAsia="Times New Roman" w:cs="Times New Roman"/>
          <w:szCs w:val="24"/>
        </w:rPr>
        <w:t>7512</w:t>
      </w:r>
      <w:r w:rsidR="001A3B0E">
        <w:rPr>
          <w:rFonts w:eastAsia="Times New Roman" w:cs="Times New Roman"/>
          <w:szCs w:val="24"/>
        </w:rPr>
        <w:t xml:space="preserve"> </w:t>
      </w:r>
      <w:r w:rsidR="00311D04">
        <w:rPr>
          <w:rFonts w:eastAsia="Times New Roman" w:cs="Times New Roman"/>
          <w:szCs w:val="24"/>
        </w:rPr>
        <w:t>f</w:t>
      </w:r>
      <w:r w:rsidR="00C91001">
        <w:rPr>
          <w:rFonts w:eastAsia="Times New Roman" w:cs="Times New Roman"/>
          <w:szCs w:val="24"/>
        </w:rPr>
        <w:t>or</w:t>
      </w:r>
      <w:r w:rsidR="00311D04">
        <w:rPr>
          <w:rFonts w:eastAsia="Times New Roman" w:cs="Times New Roman"/>
          <w:szCs w:val="24"/>
        </w:rPr>
        <w:t xml:space="preserve"> all rear seat occupant</w:t>
      </w:r>
      <w:r w:rsidR="006C653F">
        <w:rPr>
          <w:rFonts w:eastAsia="Times New Roman" w:cs="Times New Roman"/>
          <w:szCs w:val="24"/>
        </w:rPr>
        <w:t>s</w:t>
      </w:r>
      <w:r w:rsidR="001F2F92">
        <w:rPr>
          <w:rFonts w:eastAsia="Times New Roman" w:cs="Times New Roman"/>
          <w:szCs w:val="24"/>
        </w:rPr>
        <w:t xml:space="preserve">. </w:t>
      </w:r>
      <w:r w:rsidR="006C653F">
        <w:rPr>
          <w:rFonts w:eastAsia="Times New Roman" w:cs="Times New Roman"/>
          <w:szCs w:val="24"/>
        </w:rPr>
        <w:t xml:space="preserve">That overall usage rate for rear seat occupants represents a fleet of which </w:t>
      </w:r>
      <w:r w:rsidR="00CC19B5">
        <w:rPr>
          <w:rFonts w:eastAsia="Times New Roman" w:cs="Times New Roman"/>
          <w:szCs w:val="24"/>
        </w:rPr>
        <w:t>46.9</w:t>
      </w:r>
      <w:r w:rsidR="00F85EF5">
        <w:rPr>
          <w:rFonts w:eastAsia="Times New Roman" w:cs="Times New Roman"/>
          <w:szCs w:val="24"/>
        </w:rPr>
        <w:t xml:space="preserve"> percent</w:t>
      </w:r>
      <w:r w:rsidR="00CC19B5">
        <w:rPr>
          <w:rFonts w:eastAsia="Times New Roman" w:cs="Times New Roman"/>
          <w:szCs w:val="24"/>
        </w:rPr>
        <w:t xml:space="preserve"> are equipped with </w:t>
      </w:r>
      <w:r w:rsidR="007B2A44">
        <w:rPr>
          <w:rFonts w:eastAsia="Times New Roman" w:cs="Times New Roman"/>
          <w:szCs w:val="24"/>
        </w:rPr>
        <w:t xml:space="preserve">SBWS and </w:t>
      </w:r>
      <w:r w:rsidR="004C48FE">
        <w:rPr>
          <w:rFonts w:eastAsia="Times New Roman" w:cs="Times New Roman"/>
          <w:szCs w:val="24"/>
        </w:rPr>
        <w:t>53.1</w:t>
      </w:r>
      <w:r w:rsidR="00F85EF5">
        <w:rPr>
          <w:rFonts w:eastAsia="Times New Roman" w:cs="Times New Roman"/>
          <w:szCs w:val="24"/>
        </w:rPr>
        <w:t xml:space="preserve"> percent</w:t>
      </w:r>
      <w:r w:rsidR="004C48FE">
        <w:rPr>
          <w:rFonts w:eastAsia="Times New Roman" w:cs="Times New Roman"/>
          <w:szCs w:val="24"/>
        </w:rPr>
        <w:t xml:space="preserve"> are not equipped with </w:t>
      </w:r>
      <w:r w:rsidR="006731E7">
        <w:rPr>
          <w:rFonts w:eastAsia="Times New Roman" w:cs="Times New Roman"/>
          <w:szCs w:val="24"/>
        </w:rPr>
        <w:t>SBWS</w:t>
      </w:r>
      <w:r w:rsidR="001F2F92">
        <w:rPr>
          <w:rFonts w:eastAsia="Times New Roman" w:cs="Times New Roman"/>
          <w:szCs w:val="24"/>
        </w:rPr>
        <w:t xml:space="preserve">. </w:t>
      </w:r>
      <w:r w:rsidR="00560F7C">
        <w:rPr>
          <w:rFonts w:eastAsia="Times New Roman" w:cs="Times New Roman"/>
          <w:szCs w:val="24"/>
        </w:rPr>
        <w:t xml:space="preserve">Furthermore, in this example, we consider that SBWS </w:t>
      </w:r>
      <w:r w:rsidR="0037477A">
        <w:rPr>
          <w:rFonts w:eastAsia="Times New Roman" w:cs="Times New Roman"/>
          <w:szCs w:val="24"/>
        </w:rPr>
        <w:t xml:space="preserve">increases seat belt use for rear seat occupants by approximately </w:t>
      </w:r>
      <w:r w:rsidR="002C5253">
        <w:rPr>
          <w:rFonts w:eastAsia="Times New Roman" w:cs="Times New Roman"/>
          <w:szCs w:val="24"/>
        </w:rPr>
        <w:t>0.0</w:t>
      </w:r>
      <w:r w:rsidR="00560F7C">
        <w:rPr>
          <w:rFonts w:eastAsia="Times New Roman" w:cs="Times New Roman"/>
          <w:szCs w:val="24"/>
        </w:rPr>
        <w:t>341</w:t>
      </w:r>
      <w:r w:rsidR="00985D84">
        <w:rPr>
          <w:rFonts w:eastAsia="Times New Roman" w:cs="Times New Roman"/>
          <w:szCs w:val="24"/>
        </w:rPr>
        <w:t xml:space="preserve">. </w:t>
      </w:r>
      <w:r w:rsidR="00985D84">
        <w:rPr>
          <w:rFonts w:eastAsia="Times New Roman" w:cs="Times New Roman"/>
          <w:szCs w:val="24"/>
        </w:rPr>
        <w:lastRenderedPageBreak/>
        <w:t xml:space="preserve">Therefore, </w:t>
      </w:r>
      <w:r w:rsidR="007E4894">
        <w:rPr>
          <w:rFonts w:eastAsia="Times New Roman" w:cs="Times New Roman"/>
          <w:szCs w:val="24"/>
        </w:rPr>
        <w:t>equation (</w:t>
      </w:r>
      <w:r w:rsidR="003A4E20">
        <w:rPr>
          <w:rFonts w:eastAsia="Times New Roman" w:cs="Times New Roman"/>
          <w:szCs w:val="24"/>
        </w:rPr>
        <w:t>1</w:t>
      </w:r>
      <w:r w:rsidR="007E4894">
        <w:rPr>
          <w:rFonts w:eastAsia="Times New Roman" w:cs="Times New Roman"/>
          <w:szCs w:val="24"/>
        </w:rPr>
        <w:t xml:space="preserve">) represents </w:t>
      </w:r>
      <w:r w:rsidR="004F35D8">
        <w:rPr>
          <w:rFonts w:eastAsia="Times New Roman" w:cs="Times New Roman"/>
          <w:szCs w:val="24"/>
        </w:rPr>
        <w:t>this characterization</w:t>
      </w:r>
      <w:r w:rsidR="00D712B4">
        <w:rPr>
          <w:rFonts w:eastAsia="Times New Roman" w:cs="Times New Roman"/>
          <w:szCs w:val="24"/>
        </w:rPr>
        <w:t xml:space="preserve"> of the observed seat belt usage for all</w:t>
      </w:r>
      <w:r w:rsidR="00BC6716">
        <w:rPr>
          <w:rFonts w:eastAsia="Times New Roman" w:cs="Times New Roman"/>
          <w:szCs w:val="24"/>
        </w:rPr>
        <w:t xml:space="preserve"> rear seat occupants</w:t>
      </w:r>
      <w:r w:rsidR="004F35D8">
        <w:rPr>
          <w:rFonts w:eastAsia="Times New Roman" w:cs="Times New Roman"/>
          <w:szCs w:val="24"/>
        </w:rPr>
        <w:t>:</w:t>
      </w:r>
    </w:p>
    <w:p w14:paraId="44518DF7" w14:textId="77777777" w:rsidR="003A4E20" w:rsidRPr="0055589E" w:rsidRDefault="000F5B51" w:rsidP="0055589E">
      <w:pPr>
        <w:spacing w:after="0"/>
        <w:jc w:val="both"/>
        <w:rPr>
          <w:rFonts w:eastAsia="Times New Roman" w:cs="Times New Roman"/>
          <w:szCs w:val="24"/>
        </w:rPr>
      </w:pPr>
      <m:oMathPara>
        <m:oMathParaPr>
          <m:jc m:val="left"/>
        </m:oMathParaPr>
        <m:oMath>
          <m:r>
            <w:rPr>
              <w:rFonts w:ascii="Cambria Math" w:eastAsia="Times New Roman" w:hAnsi="Cambria Math" w:cs="Times New Roman"/>
              <w:szCs w:val="24"/>
            </w:rPr>
            <m:t>Overall Rear Occupant Seat Belt Usage=</m:t>
          </m:r>
        </m:oMath>
      </m:oMathPara>
    </w:p>
    <w:p w14:paraId="07C01E11" w14:textId="77777777" w:rsidR="00EF32FE" w:rsidRDefault="000F5B51" w:rsidP="003A4E20">
      <w:pPr>
        <w:spacing w:after="0"/>
        <w:rPr>
          <w:rFonts w:eastAsia="Times New Roman" w:cs="Times New Roman"/>
          <w:szCs w:val="24"/>
        </w:rPr>
      </w:pPr>
      <m:oMath>
        <m:r>
          <w:rPr>
            <w:rFonts w:ascii="Cambria Math" w:eastAsia="Times New Roman" w:hAnsi="Cambria Math" w:cs="Times New Roman"/>
            <w:szCs w:val="24"/>
          </w:rPr>
          <m:t xml:space="preserve">                                                  </m:t>
        </m:r>
        <m:d>
          <m:dPr>
            <m:ctrlPr>
              <w:rPr>
                <w:rFonts w:ascii="Cambria Math" w:eastAsia="Times New Roman" w:hAnsi="Cambria Math" w:cs="Times New Roman"/>
                <w:i/>
                <w:szCs w:val="24"/>
              </w:rPr>
            </m:ctrlPr>
          </m:dPr>
          <m:e>
            <m:r>
              <w:rPr>
                <w:rFonts w:ascii="Cambria Math" w:eastAsia="Times New Roman" w:hAnsi="Cambria Math" w:cs="Times New Roman"/>
                <w:szCs w:val="24"/>
              </w:rPr>
              <m:t>0.531 × x</m:t>
            </m:r>
          </m:e>
        </m:d>
        <m:r>
          <w:rPr>
            <w:rFonts w:ascii="Cambria Math" w:eastAsia="Times New Roman" w:hAnsi="Cambria Math" w:cs="Times New Roman"/>
            <w:szCs w:val="24"/>
          </w:rPr>
          <m:t>+</m:t>
        </m:r>
        <m:d>
          <m:dPr>
            <m:ctrlPr>
              <w:rPr>
                <w:rFonts w:ascii="Cambria Math" w:eastAsia="Times New Roman" w:hAnsi="Cambria Math" w:cs="Times New Roman"/>
                <w:i/>
                <w:szCs w:val="24"/>
              </w:rPr>
            </m:ctrlPr>
          </m:dPr>
          <m:e>
            <m:r>
              <w:rPr>
                <w:rFonts w:ascii="Cambria Math" w:eastAsia="Times New Roman" w:hAnsi="Cambria Math" w:cs="Times New Roman"/>
                <w:szCs w:val="24"/>
              </w:rPr>
              <m:t>0.469 ×</m:t>
            </m:r>
            <m:d>
              <m:dPr>
                <m:ctrlPr>
                  <w:rPr>
                    <w:rFonts w:ascii="Cambria Math" w:eastAsia="Times New Roman" w:hAnsi="Cambria Math" w:cs="Times New Roman"/>
                    <w:i/>
                    <w:szCs w:val="24"/>
                  </w:rPr>
                </m:ctrlPr>
              </m:dPr>
              <m:e>
                <m:r>
                  <w:rPr>
                    <w:rFonts w:ascii="Cambria Math" w:eastAsia="Times New Roman" w:hAnsi="Cambria Math" w:cs="Times New Roman"/>
                    <w:szCs w:val="24"/>
                  </w:rPr>
                  <m:t>x+0.034105</m:t>
                </m:r>
              </m:e>
            </m:d>
          </m:e>
        </m:d>
        <m:r>
          <w:rPr>
            <w:rFonts w:ascii="Cambria Math" w:eastAsia="Times New Roman" w:hAnsi="Cambria Math" w:cs="Times New Roman"/>
            <w:szCs w:val="24"/>
          </w:rPr>
          <m:t>=0.7512</m:t>
        </m:r>
      </m:oMath>
      <w:r>
        <w:rPr>
          <w:rFonts w:eastAsia="Times New Roman" w:cs="Times New Roman"/>
          <w:szCs w:val="24"/>
        </w:rPr>
        <w:tab/>
        <w:t>(1)</w:t>
      </w:r>
      <w:r>
        <w:rPr>
          <w:rFonts w:eastAsia="Times New Roman" w:cs="Times New Roman"/>
          <w:szCs w:val="24"/>
        </w:rPr>
        <w:tab/>
      </w:r>
    </w:p>
    <w:p w14:paraId="704E23C7" w14:textId="77777777" w:rsidR="00242F30" w:rsidRPr="003A4E20" w:rsidRDefault="000F5B51" w:rsidP="0055589E">
      <w:pPr>
        <w:spacing w:after="0"/>
        <w:rPr>
          <w:rFonts w:eastAsia="Times New Roman" w:cs="Times New Roman"/>
          <w:szCs w:val="24"/>
        </w:rPr>
      </w:pPr>
      <w:r>
        <w:rPr>
          <w:rFonts w:eastAsia="Times New Roman" w:cs="Times New Roman"/>
          <w:szCs w:val="24"/>
        </w:rPr>
        <w:tab/>
      </w:r>
      <w:r w:rsidR="00310C85">
        <w:rPr>
          <w:rFonts w:eastAsia="Times New Roman" w:cs="Times New Roman"/>
          <w:szCs w:val="24"/>
        </w:rPr>
        <w:tab/>
        <w:t xml:space="preserve">Where </w:t>
      </w:r>
      <m:oMath>
        <m:r>
          <w:rPr>
            <w:rFonts w:ascii="Cambria Math" w:eastAsia="Times New Roman" w:hAnsi="Cambria Math" w:cs="Times New Roman"/>
            <w:szCs w:val="24"/>
          </w:rPr>
          <m:t>x</m:t>
        </m:r>
      </m:oMath>
      <w:r w:rsidR="00A2369E">
        <w:rPr>
          <w:rFonts w:eastAsia="Times New Roman" w:cs="Times New Roman"/>
          <w:szCs w:val="24"/>
        </w:rPr>
        <w:t xml:space="preserve"> is the </w:t>
      </w:r>
      <w:r w:rsidR="0037585F">
        <w:rPr>
          <w:rFonts w:eastAsia="Times New Roman" w:cs="Times New Roman"/>
          <w:szCs w:val="24"/>
        </w:rPr>
        <w:t>seat belt usage rate in the case of no SBWS.</w:t>
      </w:r>
    </w:p>
    <w:p w14:paraId="00BF6C94" w14:textId="77777777" w:rsidR="00595B7E" w:rsidRDefault="000F5B51" w:rsidP="003A4E20">
      <w:pPr>
        <w:spacing w:after="0"/>
        <w:rPr>
          <w:rFonts w:eastAsia="Times New Roman" w:cs="Times New Roman"/>
        </w:rPr>
      </w:pPr>
      <w:r w:rsidRPr="4CA445B8">
        <w:rPr>
          <w:rFonts w:eastAsia="Times New Roman" w:cs="Times New Roman"/>
        </w:rPr>
        <w:t xml:space="preserve">The first </w:t>
      </w:r>
      <w:r w:rsidR="00B227AB" w:rsidRPr="4CA445B8">
        <w:rPr>
          <w:rFonts w:eastAsia="Times New Roman" w:cs="Times New Roman"/>
        </w:rPr>
        <w:t>part</w:t>
      </w:r>
      <w:r w:rsidRPr="4CA445B8">
        <w:rPr>
          <w:rFonts w:eastAsia="Times New Roman" w:cs="Times New Roman"/>
        </w:rPr>
        <w:t xml:space="preserve"> of the equation represents </w:t>
      </w:r>
      <w:r w:rsidR="0075203B" w:rsidRPr="4CA445B8">
        <w:rPr>
          <w:rFonts w:eastAsia="Times New Roman" w:cs="Times New Roman"/>
        </w:rPr>
        <w:t xml:space="preserve">the proportion of the fleet without </w:t>
      </w:r>
      <w:r w:rsidR="3497BA7C" w:rsidRPr="4CA445B8">
        <w:rPr>
          <w:rFonts w:eastAsia="Times New Roman" w:cs="Times New Roman"/>
        </w:rPr>
        <w:t>SBW</w:t>
      </w:r>
      <w:r w:rsidR="136709D6" w:rsidRPr="4CA445B8">
        <w:rPr>
          <w:rFonts w:eastAsia="Times New Roman" w:cs="Times New Roman"/>
        </w:rPr>
        <w:t>S</w:t>
      </w:r>
      <w:r w:rsidR="0075203B" w:rsidRPr="4CA445B8">
        <w:rPr>
          <w:rFonts w:eastAsia="Times New Roman" w:cs="Times New Roman"/>
        </w:rPr>
        <w:t xml:space="preserve"> </w:t>
      </w:r>
      <w:r w:rsidR="00B227AB" w:rsidRPr="4CA445B8">
        <w:rPr>
          <w:rFonts w:eastAsia="Times New Roman" w:cs="Times New Roman"/>
        </w:rPr>
        <w:t>and the corresponding seat belt use rate and the second part of the equation pr</w:t>
      </w:r>
      <w:r w:rsidR="00726A80" w:rsidRPr="4CA445B8">
        <w:rPr>
          <w:rFonts w:eastAsia="Times New Roman" w:cs="Times New Roman"/>
        </w:rPr>
        <w:t>esent the proportion of the fleet</w:t>
      </w:r>
      <w:r w:rsidR="00B06F20" w:rsidRPr="4CA445B8">
        <w:rPr>
          <w:rFonts w:eastAsia="Times New Roman" w:cs="Times New Roman"/>
        </w:rPr>
        <w:t xml:space="preserve"> with SBWS along with accounting for the relative increase in seat belt use rate from SBWS.</w:t>
      </w:r>
    </w:p>
    <w:p w14:paraId="4AB510CE" w14:textId="77777777" w:rsidR="003A4E20" w:rsidRDefault="000F5B51" w:rsidP="003A4E20">
      <w:pPr>
        <w:spacing w:after="0"/>
        <w:rPr>
          <w:rFonts w:eastAsia="Times New Roman" w:cs="Times New Roman"/>
          <w:szCs w:val="24"/>
        </w:rPr>
      </w:pPr>
      <w:r>
        <w:rPr>
          <w:rFonts w:eastAsia="Times New Roman" w:cs="Times New Roman"/>
          <w:szCs w:val="24"/>
        </w:rPr>
        <w:t>This analysis makes use of equation (1)</w:t>
      </w:r>
      <w:r w:rsidR="002E0806">
        <w:rPr>
          <w:rFonts w:eastAsia="Times New Roman" w:cs="Times New Roman"/>
          <w:szCs w:val="24"/>
        </w:rPr>
        <w:t xml:space="preserve"> to solve for </w:t>
      </w:r>
      <w:r w:rsidR="00B50089">
        <w:rPr>
          <w:rFonts w:eastAsia="Times New Roman" w:cs="Times New Roman"/>
          <w:szCs w:val="24"/>
        </w:rPr>
        <w:t xml:space="preserve">seat belt usage </w:t>
      </w:r>
      <w:r w:rsidR="0037585F">
        <w:rPr>
          <w:rFonts w:eastAsia="Times New Roman" w:cs="Times New Roman"/>
          <w:szCs w:val="24"/>
        </w:rPr>
        <w:t xml:space="preserve">for </w:t>
      </w:r>
      <w:r w:rsidR="00F467CD">
        <w:rPr>
          <w:rFonts w:eastAsia="Times New Roman" w:cs="Times New Roman"/>
          <w:szCs w:val="24"/>
        </w:rPr>
        <w:t>rear seat occupants when the vehicle is not equipped with SBWS</w:t>
      </w:r>
      <w:r w:rsidR="001F2F92">
        <w:rPr>
          <w:rFonts w:eastAsia="Times New Roman" w:cs="Times New Roman"/>
          <w:szCs w:val="24"/>
        </w:rPr>
        <w:t xml:space="preserve">. </w:t>
      </w:r>
      <w:r w:rsidR="00613572">
        <w:rPr>
          <w:rFonts w:eastAsia="Times New Roman" w:cs="Times New Roman"/>
          <w:szCs w:val="24"/>
        </w:rPr>
        <w:t>Therefore, the</w:t>
      </w:r>
      <w:r w:rsidR="00B94345">
        <w:rPr>
          <w:rFonts w:eastAsia="Times New Roman" w:cs="Times New Roman"/>
          <w:szCs w:val="24"/>
        </w:rPr>
        <w:t xml:space="preserve"> </w:t>
      </w:r>
      <w:r w:rsidR="007D18AA">
        <w:rPr>
          <w:rFonts w:eastAsia="Times New Roman" w:cs="Times New Roman"/>
          <w:szCs w:val="24"/>
        </w:rPr>
        <w:t>resulting calculation</w:t>
      </w:r>
      <w:r w:rsidR="0018092D">
        <w:rPr>
          <w:rFonts w:eastAsia="Times New Roman" w:cs="Times New Roman"/>
          <w:szCs w:val="24"/>
        </w:rPr>
        <w:t xml:space="preserve"> to solve for  </w:t>
      </w:r>
      <m:oMath>
        <m:r>
          <w:rPr>
            <w:rFonts w:ascii="Cambria Math" w:eastAsia="Times New Roman" w:hAnsi="Cambria Math" w:cs="Times New Roman"/>
            <w:szCs w:val="24"/>
          </w:rPr>
          <m:t xml:space="preserve">x </m:t>
        </m:r>
      </m:oMath>
      <w:r w:rsidR="00EF7999">
        <w:rPr>
          <w:rFonts w:eastAsia="Times New Roman" w:cs="Times New Roman"/>
          <w:szCs w:val="24"/>
        </w:rPr>
        <w:t>is</w:t>
      </w:r>
      <w:r w:rsidR="00FA0D4D">
        <w:rPr>
          <w:rFonts w:eastAsia="Times New Roman" w:cs="Times New Roman"/>
          <w:szCs w:val="24"/>
        </w:rPr>
        <w:t>:</w:t>
      </w:r>
    </w:p>
    <w:p w14:paraId="1F527AAB" w14:textId="77777777" w:rsidR="00FA0D4D" w:rsidRDefault="000F5B51" w:rsidP="0089661D">
      <w:pPr>
        <w:spacing w:after="0"/>
        <w:jc w:val="center"/>
        <w:rPr>
          <w:rFonts w:eastAsia="Times New Roman" w:cs="Times New Roman"/>
          <w:szCs w:val="24"/>
        </w:rPr>
      </w:pPr>
      <m:oMath>
        <m:r>
          <w:rPr>
            <w:rFonts w:ascii="Cambria Math" w:eastAsia="Times New Roman" w:hAnsi="Cambria Math" w:cs="Times New Roman"/>
            <w:szCs w:val="24"/>
          </w:rPr>
          <m:t>x=0.7512-</m:t>
        </m:r>
        <m:d>
          <m:dPr>
            <m:ctrlPr>
              <w:rPr>
                <w:rFonts w:ascii="Cambria Math" w:eastAsia="Times New Roman" w:hAnsi="Cambria Math" w:cs="Times New Roman"/>
                <w:i/>
                <w:szCs w:val="24"/>
              </w:rPr>
            </m:ctrlPr>
          </m:dPr>
          <m:e>
            <m:r>
              <w:rPr>
                <w:rFonts w:ascii="Cambria Math" w:eastAsia="Times New Roman" w:hAnsi="Cambria Math" w:cs="Times New Roman"/>
                <w:szCs w:val="24"/>
              </w:rPr>
              <m:t>0.469 ×0.034105</m:t>
            </m:r>
          </m:e>
        </m:d>
        <m:r>
          <w:rPr>
            <w:rFonts w:ascii="Cambria Math" w:eastAsia="Times New Roman" w:hAnsi="Cambria Math" w:cs="Times New Roman"/>
            <w:szCs w:val="24"/>
          </w:rPr>
          <m:t>=0.735205</m:t>
        </m:r>
      </m:oMath>
      <w:r w:rsidR="0089661D">
        <w:rPr>
          <w:rFonts w:eastAsia="Times New Roman" w:cs="Times New Roman"/>
          <w:szCs w:val="24"/>
        </w:rPr>
        <w:tab/>
      </w:r>
      <w:r w:rsidR="0089661D">
        <w:rPr>
          <w:rFonts w:eastAsia="Times New Roman" w:cs="Times New Roman"/>
          <w:szCs w:val="24"/>
        </w:rPr>
        <w:tab/>
      </w:r>
    </w:p>
    <w:p w14:paraId="3A38AA2B" w14:textId="77777777" w:rsidR="003A4E20" w:rsidRDefault="000F5B51" w:rsidP="003A4E20">
      <w:pPr>
        <w:spacing w:after="0"/>
        <w:rPr>
          <w:rFonts w:eastAsia="Times New Roman" w:cs="Times New Roman"/>
          <w:szCs w:val="24"/>
        </w:rPr>
      </w:pPr>
      <w:r>
        <w:rPr>
          <w:rFonts w:eastAsia="Times New Roman" w:cs="Times New Roman"/>
          <w:szCs w:val="24"/>
        </w:rPr>
        <w:t xml:space="preserve">Therefore, we establish that in the case that </w:t>
      </w:r>
      <w:r w:rsidR="00D46F68">
        <w:rPr>
          <w:rFonts w:eastAsia="Times New Roman" w:cs="Times New Roman"/>
          <w:szCs w:val="24"/>
        </w:rPr>
        <w:t>the vehicle was not equipped with SBWS, the seat belt use rate for rear seat occupants in this example is 0.735205</w:t>
      </w:r>
      <w:r w:rsidR="001F2F92">
        <w:rPr>
          <w:rFonts w:eastAsia="Times New Roman" w:cs="Times New Roman"/>
          <w:szCs w:val="24"/>
        </w:rPr>
        <w:t xml:space="preserve">. </w:t>
      </w:r>
      <w:r w:rsidR="00D46F68">
        <w:rPr>
          <w:rFonts w:eastAsia="Times New Roman" w:cs="Times New Roman"/>
          <w:szCs w:val="24"/>
        </w:rPr>
        <w:t xml:space="preserve">Furthermore, we can also reflect the expected increase in seat belt use associated with SBWS to calculate the seat belt usage rate for rear seat occupants </w:t>
      </w:r>
      <w:r w:rsidR="0089661D">
        <w:rPr>
          <w:rFonts w:eastAsia="Times New Roman" w:cs="Times New Roman"/>
          <w:szCs w:val="24"/>
        </w:rPr>
        <w:t>when the vehicle is equipped with SBWS</w:t>
      </w:r>
      <w:r w:rsidR="001F2F92">
        <w:rPr>
          <w:rFonts w:eastAsia="Times New Roman" w:cs="Times New Roman"/>
          <w:szCs w:val="24"/>
        </w:rPr>
        <w:t xml:space="preserve">. </w:t>
      </w:r>
      <w:r w:rsidR="007A65BB">
        <w:rPr>
          <w:rFonts w:eastAsia="Times New Roman" w:cs="Times New Roman"/>
          <w:szCs w:val="24"/>
        </w:rPr>
        <w:t>Equation (</w:t>
      </w:r>
      <w:r w:rsidR="00EF7999">
        <w:rPr>
          <w:rFonts w:eastAsia="Times New Roman" w:cs="Times New Roman"/>
          <w:szCs w:val="24"/>
        </w:rPr>
        <w:t>2</w:t>
      </w:r>
      <w:r w:rsidR="007A65BB">
        <w:rPr>
          <w:rFonts w:eastAsia="Times New Roman" w:cs="Times New Roman"/>
          <w:szCs w:val="24"/>
        </w:rPr>
        <w:t>) presents this calculation:</w:t>
      </w:r>
    </w:p>
    <w:p w14:paraId="2AE5085E" w14:textId="77777777" w:rsidR="00EF7999" w:rsidRDefault="000F5B51" w:rsidP="00EF7999">
      <w:pPr>
        <w:spacing w:after="0"/>
        <w:jc w:val="center"/>
        <w:rPr>
          <w:rFonts w:eastAsia="Times New Roman" w:cs="Times New Roman"/>
          <w:szCs w:val="24"/>
        </w:rPr>
      </w:pPr>
      <m:oMath>
        <m:r>
          <w:rPr>
            <w:rFonts w:ascii="Cambria Math" w:eastAsia="Times New Roman" w:hAnsi="Cambria Math" w:cs="Times New Roman"/>
            <w:szCs w:val="24"/>
          </w:rPr>
          <m:t xml:space="preserve">Seat belt use rate with no SBWS+ 0.034105=Seat belt use rate with SBWS </m:t>
        </m:r>
      </m:oMath>
      <w:r>
        <w:rPr>
          <w:rFonts w:eastAsia="Times New Roman" w:cs="Times New Roman"/>
          <w:szCs w:val="24"/>
        </w:rPr>
        <w:tab/>
        <w:t>(2)</w:t>
      </w:r>
      <w:r w:rsidR="009922EC">
        <w:rPr>
          <w:rFonts w:eastAsia="Times New Roman" w:cs="Times New Roman"/>
          <w:szCs w:val="24"/>
        </w:rPr>
        <w:t>.</w:t>
      </w:r>
    </w:p>
    <w:p w14:paraId="2F7EC256" w14:textId="77777777" w:rsidR="00EF7999" w:rsidRDefault="000F5B51" w:rsidP="00CB16B1">
      <w:pPr>
        <w:spacing w:after="0"/>
        <w:rPr>
          <w:rFonts w:eastAsia="Times New Roman" w:cs="Times New Roman"/>
          <w:szCs w:val="24"/>
        </w:rPr>
      </w:pPr>
      <w:r>
        <w:rPr>
          <w:rFonts w:eastAsia="Times New Roman" w:cs="Times New Roman"/>
          <w:szCs w:val="24"/>
        </w:rPr>
        <w:t xml:space="preserve">Plugging in the values </w:t>
      </w:r>
      <w:r w:rsidR="009922EC">
        <w:rPr>
          <w:rFonts w:eastAsia="Times New Roman" w:cs="Times New Roman"/>
          <w:szCs w:val="24"/>
        </w:rPr>
        <w:t>for the seat belt rate without SBWS, we find that the corresponding seat belt use rate with SBWS is:</w:t>
      </w:r>
    </w:p>
    <w:p w14:paraId="2CF21BF5" w14:textId="77777777" w:rsidR="007A65BB" w:rsidRDefault="000F5B51" w:rsidP="0055589E">
      <w:pPr>
        <w:spacing w:after="0"/>
        <w:ind w:firstLine="720"/>
        <w:jc w:val="center"/>
        <w:rPr>
          <w:rFonts w:eastAsia="Times New Roman" w:cs="Times New Roman"/>
          <w:szCs w:val="24"/>
        </w:rPr>
      </w:pPr>
      <m:oMath>
        <m:r>
          <w:rPr>
            <w:rFonts w:ascii="Cambria Math" w:eastAsia="Times New Roman" w:hAnsi="Cambria Math" w:cs="Times New Roman"/>
            <w:szCs w:val="24"/>
          </w:rPr>
          <m:t>0.735205+ 0.034105=0.769310.</m:t>
        </m:r>
      </m:oMath>
      <w:r w:rsidR="003A655E">
        <w:rPr>
          <w:rFonts w:eastAsia="Times New Roman" w:cs="Times New Roman"/>
          <w:szCs w:val="24"/>
        </w:rPr>
        <w:tab/>
      </w:r>
    </w:p>
    <w:p w14:paraId="5F27611D" w14:textId="24E065E4" w:rsidR="007A65BB" w:rsidRDefault="00C9592C" w:rsidP="0055589E">
      <w:pPr>
        <w:spacing w:after="0"/>
        <w:rPr>
          <w:rFonts w:eastAsia="Times New Roman" w:cs="Times New Roman"/>
          <w:szCs w:val="24"/>
        </w:rPr>
      </w:pPr>
      <w:r>
        <w:rPr>
          <w:rFonts w:eastAsia="Times New Roman" w:cs="Times New Roman"/>
          <w:szCs w:val="24"/>
        </w:rPr>
        <w:t>I</w:t>
      </w:r>
      <w:r w:rsidR="000F5B51">
        <w:rPr>
          <w:rFonts w:eastAsia="Times New Roman" w:cs="Times New Roman"/>
          <w:szCs w:val="24"/>
        </w:rPr>
        <w:t>n this example, the seat belt usage rate for rear seat occupants when the vehicle is equipped with SBWS is 0.769310.</w:t>
      </w:r>
    </w:p>
    <w:p w14:paraId="04C590F2" w14:textId="77777777" w:rsidR="00485619" w:rsidRDefault="000F5B51" w:rsidP="00D63AFE">
      <w:pPr>
        <w:spacing w:after="0"/>
        <w:rPr>
          <w:rFonts w:eastAsia="Times New Roman" w:cs="Times New Roman"/>
        </w:rPr>
      </w:pPr>
      <w:r w:rsidRPr="4CA445B8">
        <w:rPr>
          <w:rFonts w:eastAsia="Times New Roman" w:cs="Times New Roman"/>
        </w:rPr>
        <w:lastRenderedPageBreak/>
        <w:t xml:space="preserve">Similarly, </w:t>
      </w:r>
      <w:r w:rsidR="00133132" w:rsidRPr="4CA445B8">
        <w:rPr>
          <w:rFonts w:eastAsia="Times New Roman" w:cs="Times New Roman"/>
        </w:rPr>
        <w:t>this analysis</w:t>
      </w:r>
      <w:r w:rsidR="00D85AA7" w:rsidRPr="4CA445B8">
        <w:rPr>
          <w:rFonts w:eastAsia="Times New Roman" w:cs="Times New Roman"/>
        </w:rPr>
        <w:t xml:space="preserve"> can estimate seat belt use when all vehicles have SBWS</w:t>
      </w:r>
      <w:r w:rsidR="00D330A1" w:rsidRPr="4CA445B8">
        <w:rPr>
          <w:rFonts w:eastAsia="Times New Roman" w:cs="Times New Roman"/>
        </w:rPr>
        <w:t xml:space="preserve"> or seat belt use under the proposed rule.</w:t>
      </w:r>
      <w:r w:rsidRPr="4CA445B8">
        <w:rPr>
          <w:rFonts w:eastAsia="Times New Roman" w:cs="Times New Roman"/>
        </w:rPr>
        <w:t xml:space="preserve"> To demonstrate the corresponding calculations, we continue with the example using the Lo estimated increase in seat belt use rates for rear seat occupants </w:t>
      </w:r>
      <w:r w:rsidR="001E3179" w:rsidRPr="4CA445B8">
        <w:rPr>
          <w:rFonts w:eastAsia="Times New Roman" w:cs="Times New Roman"/>
        </w:rPr>
        <w:t>11 years and older</w:t>
      </w:r>
      <w:r w:rsidR="001F2F92">
        <w:rPr>
          <w:rFonts w:eastAsia="Times New Roman" w:cs="Times New Roman"/>
        </w:rPr>
        <w:t xml:space="preserve">. </w:t>
      </w:r>
      <w:r w:rsidRPr="4CA445B8">
        <w:rPr>
          <w:rFonts w:eastAsia="Times New Roman" w:cs="Times New Roman"/>
        </w:rPr>
        <w:t xml:space="preserve">Given the seat belt use values </w:t>
      </w:r>
      <w:r w:rsidR="005F5D14" w:rsidRPr="4CA445B8">
        <w:rPr>
          <w:rFonts w:eastAsia="Times New Roman" w:cs="Times New Roman"/>
        </w:rPr>
        <w:t xml:space="preserve">for both the SBWS and no SBWS cases, equation (1) can be adjusted to </w:t>
      </w:r>
      <w:r w:rsidR="005F557E" w:rsidRPr="4CA445B8">
        <w:rPr>
          <w:rFonts w:eastAsia="Times New Roman" w:cs="Times New Roman"/>
        </w:rPr>
        <w:t xml:space="preserve">calculate the overall seat belt use rate for rear seat occupants </w:t>
      </w:r>
      <w:r w:rsidR="00B16694" w:rsidRPr="4CA445B8">
        <w:rPr>
          <w:rFonts w:eastAsia="Times New Roman" w:cs="Times New Roman"/>
        </w:rPr>
        <w:t>that reflects</w:t>
      </w:r>
      <w:r w:rsidR="005F557E" w:rsidRPr="4CA445B8">
        <w:rPr>
          <w:rFonts w:eastAsia="Times New Roman" w:cs="Times New Roman"/>
        </w:rPr>
        <w:t xml:space="preserve"> </w:t>
      </w:r>
      <w:r w:rsidR="008A0B25" w:rsidRPr="4CA445B8">
        <w:rPr>
          <w:rFonts w:eastAsia="Times New Roman" w:cs="Times New Roman"/>
        </w:rPr>
        <w:t>the installation rates of SBWS under the proposed rule</w:t>
      </w:r>
      <w:r w:rsidR="001F2F92">
        <w:rPr>
          <w:rFonts w:eastAsia="Times New Roman" w:cs="Times New Roman"/>
        </w:rPr>
        <w:t xml:space="preserve">. </w:t>
      </w:r>
      <w:r w:rsidR="008A0B25" w:rsidRPr="4CA445B8">
        <w:rPr>
          <w:rFonts w:eastAsia="Times New Roman" w:cs="Times New Roman"/>
        </w:rPr>
        <w:t xml:space="preserve">That is, it can be used to reflect the case in which all </w:t>
      </w:r>
      <w:r w:rsidR="1D4C172A" w:rsidRPr="4CA445B8">
        <w:rPr>
          <w:rFonts w:eastAsia="Times New Roman" w:cs="Times New Roman"/>
        </w:rPr>
        <w:t>vehicle</w:t>
      </w:r>
      <w:r w:rsidR="3473989B" w:rsidRPr="4CA445B8">
        <w:rPr>
          <w:rFonts w:eastAsia="Times New Roman" w:cs="Times New Roman"/>
        </w:rPr>
        <w:t>s</w:t>
      </w:r>
      <w:r w:rsidR="008A0B25" w:rsidRPr="4CA445B8">
        <w:rPr>
          <w:rFonts w:eastAsia="Times New Roman" w:cs="Times New Roman"/>
        </w:rPr>
        <w:t xml:space="preserve"> are equipped with SBWS</w:t>
      </w:r>
      <w:r w:rsidR="001F2F92">
        <w:rPr>
          <w:rFonts w:eastAsia="Times New Roman" w:cs="Times New Roman"/>
        </w:rPr>
        <w:t xml:space="preserve">. </w:t>
      </w:r>
      <w:r w:rsidR="003A655E" w:rsidRPr="4CA445B8">
        <w:rPr>
          <w:rFonts w:eastAsia="Times New Roman" w:cs="Times New Roman"/>
        </w:rPr>
        <w:t>Equation (</w:t>
      </w:r>
      <w:r w:rsidR="00F022AE" w:rsidRPr="4CA445B8">
        <w:rPr>
          <w:rFonts w:eastAsia="Times New Roman" w:cs="Times New Roman"/>
        </w:rPr>
        <w:t>3</w:t>
      </w:r>
      <w:r w:rsidR="003A655E" w:rsidRPr="4CA445B8">
        <w:rPr>
          <w:rFonts w:eastAsia="Times New Roman" w:cs="Times New Roman"/>
        </w:rPr>
        <w:t>) presents this calculation</w:t>
      </w:r>
      <w:r w:rsidR="00887D0D" w:rsidRPr="4CA445B8">
        <w:rPr>
          <w:rFonts w:eastAsia="Times New Roman" w:cs="Times New Roman"/>
        </w:rPr>
        <w:t>:</w:t>
      </w:r>
    </w:p>
    <w:p w14:paraId="2A564D9C" w14:textId="77777777" w:rsidR="00B16694" w:rsidRPr="00E96933" w:rsidRDefault="001809B4" w:rsidP="00B16694">
      <w:pPr>
        <w:spacing w:after="0"/>
        <w:jc w:val="both"/>
        <w:rPr>
          <w:rFonts w:eastAsia="Times New Roman" w:cs="Times New Roman"/>
          <w:szCs w:val="24"/>
        </w:rPr>
      </w:pPr>
      <m:oMathPara>
        <m:oMathParaPr>
          <m:jc m:val="left"/>
        </m:oMathParaPr>
        <m:oMath>
          <m:sSub>
            <m:sSubPr>
              <m:ctrlPr>
                <w:rPr>
                  <w:rFonts w:ascii="Cambria Math" w:eastAsia="Times New Roman" w:hAnsi="Cambria Math" w:cs="Times New Roman"/>
                  <w:i/>
                  <w:szCs w:val="24"/>
                </w:rPr>
              </m:ctrlPr>
            </m:sSubPr>
            <m:e>
              <m:r>
                <w:rPr>
                  <w:rFonts w:ascii="Cambria Math" w:eastAsia="Times New Roman" w:hAnsi="Cambria Math" w:cs="Times New Roman"/>
                  <w:szCs w:val="24"/>
                </w:rPr>
                <m:t>Overall Rear Occupant Seat Belt Usage</m:t>
              </m:r>
            </m:e>
            <m:sub>
              <m:r>
                <w:rPr>
                  <w:rFonts w:ascii="Cambria Math" w:eastAsia="Times New Roman" w:hAnsi="Cambria Math" w:cs="Times New Roman"/>
                  <w:szCs w:val="24"/>
                </w:rPr>
                <m:t>Rule</m:t>
              </m:r>
            </m:sub>
          </m:sSub>
          <m:r>
            <w:rPr>
              <w:rFonts w:ascii="Cambria Math" w:eastAsia="Times New Roman" w:hAnsi="Cambria Math" w:cs="Times New Roman"/>
              <w:szCs w:val="24"/>
            </w:rPr>
            <m:t>=</m:t>
          </m:r>
        </m:oMath>
      </m:oMathPara>
    </w:p>
    <w:p w14:paraId="4BEC2E44" w14:textId="77777777" w:rsidR="00B16694" w:rsidRDefault="000F5B51" w:rsidP="00B16694">
      <w:pPr>
        <w:spacing w:after="0"/>
        <w:rPr>
          <w:rFonts w:eastAsia="Times New Roman" w:cs="Times New Roman"/>
          <w:szCs w:val="24"/>
        </w:rPr>
      </w:pPr>
      <m:oMath>
        <m:r>
          <w:rPr>
            <w:rFonts w:ascii="Cambria Math" w:eastAsia="Times New Roman" w:hAnsi="Cambria Math" w:cs="Times New Roman"/>
            <w:szCs w:val="24"/>
          </w:rPr>
          <m:t xml:space="preserve">                                                  </m:t>
        </m:r>
        <m:d>
          <m:dPr>
            <m:ctrlPr>
              <w:rPr>
                <w:rFonts w:ascii="Cambria Math" w:eastAsia="Times New Roman" w:hAnsi="Cambria Math" w:cs="Times New Roman"/>
                <w:i/>
                <w:szCs w:val="24"/>
              </w:rPr>
            </m:ctrlPr>
          </m:dPr>
          <m:e>
            <m:r>
              <w:rPr>
                <w:rFonts w:ascii="Cambria Math" w:eastAsia="Times New Roman" w:hAnsi="Cambria Math" w:cs="Times New Roman"/>
                <w:szCs w:val="24"/>
              </w:rPr>
              <m:t>0.00 × 0.735205</m:t>
            </m:r>
          </m:e>
        </m:d>
        <m:r>
          <w:rPr>
            <w:rFonts w:ascii="Cambria Math" w:eastAsia="Times New Roman" w:hAnsi="Cambria Math" w:cs="Times New Roman"/>
            <w:szCs w:val="24"/>
          </w:rPr>
          <m:t>+</m:t>
        </m:r>
        <m:d>
          <m:dPr>
            <m:ctrlPr>
              <w:rPr>
                <w:rFonts w:ascii="Cambria Math" w:eastAsia="Times New Roman" w:hAnsi="Cambria Math" w:cs="Times New Roman"/>
                <w:i/>
                <w:szCs w:val="24"/>
              </w:rPr>
            </m:ctrlPr>
          </m:dPr>
          <m:e>
            <m:r>
              <w:rPr>
                <w:rFonts w:ascii="Cambria Math" w:eastAsia="Times New Roman" w:hAnsi="Cambria Math" w:cs="Times New Roman"/>
                <w:szCs w:val="24"/>
              </w:rPr>
              <m:t>1.0 ×0.769310</m:t>
            </m:r>
          </m:e>
        </m:d>
        <m:r>
          <w:rPr>
            <w:rFonts w:ascii="Cambria Math" w:eastAsia="Times New Roman" w:hAnsi="Cambria Math" w:cs="Times New Roman"/>
            <w:szCs w:val="24"/>
          </w:rPr>
          <m:t>=0.769310</m:t>
        </m:r>
      </m:oMath>
      <w:r>
        <w:rPr>
          <w:rFonts w:eastAsia="Times New Roman" w:cs="Times New Roman"/>
          <w:szCs w:val="24"/>
        </w:rPr>
        <w:tab/>
        <w:t>(</w:t>
      </w:r>
      <w:r w:rsidR="00F022AE">
        <w:rPr>
          <w:rFonts w:eastAsia="Times New Roman" w:cs="Times New Roman"/>
          <w:szCs w:val="24"/>
        </w:rPr>
        <w:t>3</w:t>
      </w:r>
      <w:r>
        <w:rPr>
          <w:rFonts w:eastAsia="Times New Roman" w:cs="Times New Roman"/>
          <w:szCs w:val="24"/>
        </w:rPr>
        <w:t>)</w:t>
      </w:r>
      <w:r w:rsidR="003A655E">
        <w:rPr>
          <w:rFonts w:eastAsia="Times New Roman" w:cs="Times New Roman"/>
          <w:szCs w:val="24"/>
        </w:rPr>
        <w:t>.</w:t>
      </w:r>
    </w:p>
    <w:p w14:paraId="3EB7C351" w14:textId="4FB1A46F" w:rsidR="00DC2182" w:rsidRDefault="000F5B51" w:rsidP="00DC2182">
      <w:pPr>
        <w:spacing w:after="0"/>
        <w:rPr>
          <w:rFonts w:eastAsia="Times New Roman" w:cs="Times New Roman"/>
        </w:rPr>
      </w:pPr>
      <w:r w:rsidRPr="4CA445B8">
        <w:rPr>
          <w:rFonts w:eastAsia="Times New Roman" w:cs="Times New Roman"/>
        </w:rPr>
        <w:t>Therefore, u</w:t>
      </w:r>
      <w:r w:rsidR="003A655E" w:rsidRPr="4CA445B8">
        <w:rPr>
          <w:rFonts w:eastAsia="Times New Roman" w:cs="Times New Roman"/>
        </w:rPr>
        <w:t>nder the proposed rule</w:t>
      </w:r>
      <w:r w:rsidR="00AE19D9" w:rsidRPr="4CA445B8">
        <w:rPr>
          <w:rFonts w:eastAsia="Times New Roman" w:cs="Times New Roman"/>
        </w:rPr>
        <w:t>, the seat belt use rate for rear seat occupants is 0.769310.</w:t>
      </w:r>
      <w:r w:rsidR="005F3C1D" w:rsidRPr="4CA445B8">
        <w:rPr>
          <w:rFonts w:eastAsia="Times New Roman" w:cs="Times New Roman"/>
        </w:rPr>
        <w:t xml:space="preserve"> </w:t>
      </w:r>
      <w:r w:rsidR="00C9592C">
        <w:rPr>
          <w:rFonts w:eastAsia="Times New Roman" w:cs="Times New Roman"/>
        </w:rPr>
        <w:t>T</w:t>
      </w:r>
      <w:r w:rsidR="005F3C1D" w:rsidRPr="4CA445B8">
        <w:rPr>
          <w:rFonts w:eastAsia="Times New Roman" w:cs="Times New Roman"/>
        </w:rPr>
        <w:t>he increase in seat belt use in this example</w:t>
      </w:r>
      <w:r w:rsidR="00255D61" w:rsidRPr="4CA445B8">
        <w:rPr>
          <w:rFonts w:eastAsia="Times New Roman" w:cs="Times New Roman"/>
        </w:rPr>
        <w:t xml:space="preserve"> is </w:t>
      </w:r>
      <w:r w:rsidR="00FF1E64" w:rsidRPr="4CA445B8">
        <w:rPr>
          <w:rFonts w:eastAsia="Times New Roman" w:cs="Times New Roman"/>
        </w:rPr>
        <w:t>approximately 0.0</w:t>
      </w:r>
      <w:r w:rsidR="0019161D" w:rsidRPr="4CA445B8">
        <w:rPr>
          <w:rFonts w:eastAsia="Times New Roman" w:cs="Times New Roman"/>
        </w:rPr>
        <w:t>18</w:t>
      </w:r>
      <w:r w:rsidR="001F2F92">
        <w:rPr>
          <w:rFonts w:eastAsia="Times New Roman" w:cs="Times New Roman"/>
        </w:rPr>
        <w:t xml:space="preserve">. </w:t>
      </w:r>
      <w:r w:rsidR="00C23E58" w:rsidRPr="4CA445B8">
        <w:rPr>
          <w:rFonts w:eastAsia="Times New Roman" w:cs="Times New Roman"/>
        </w:rPr>
        <w:t>The increase reflects the difference in rear occupant seat belt us</w:t>
      </w:r>
      <w:r w:rsidR="00330078" w:rsidRPr="4CA445B8">
        <w:rPr>
          <w:rFonts w:eastAsia="Times New Roman" w:cs="Times New Roman"/>
        </w:rPr>
        <w:t>e</w:t>
      </w:r>
      <w:r w:rsidR="00C23E58" w:rsidRPr="4CA445B8">
        <w:rPr>
          <w:rFonts w:eastAsia="Times New Roman" w:cs="Times New Roman"/>
        </w:rPr>
        <w:t xml:space="preserve"> under the baseline of 0.</w:t>
      </w:r>
      <w:r w:rsidR="002C27FC" w:rsidRPr="4CA445B8">
        <w:rPr>
          <w:rFonts w:eastAsia="Times New Roman" w:cs="Times New Roman"/>
        </w:rPr>
        <w:t>7512</w:t>
      </w:r>
      <w:r w:rsidR="00C23E58" w:rsidRPr="4CA445B8">
        <w:rPr>
          <w:rFonts w:eastAsia="Times New Roman" w:cs="Times New Roman"/>
        </w:rPr>
        <w:t>, which was reflected in equation (1)</w:t>
      </w:r>
      <w:r w:rsidR="002C27FC" w:rsidRPr="4CA445B8">
        <w:rPr>
          <w:rFonts w:eastAsia="Times New Roman" w:cs="Times New Roman"/>
        </w:rPr>
        <w:t>, to that under the proposed rule of 0.76</w:t>
      </w:r>
      <w:r w:rsidR="00F11D8A" w:rsidRPr="4CA445B8">
        <w:rPr>
          <w:rFonts w:eastAsia="Times New Roman" w:cs="Times New Roman"/>
        </w:rPr>
        <w:t>9310</w:t>
      </w:r>
      <w:r w:rsidR="00255D61" w:rsidRPr="4CA445B8">
        <w:rPr>
          <w:rFonts w:eastAsia="Times New Roman" w:cs="Times New Roman"/>
        </w:rPr>
        <w:t xml:space="preserve"> calculated in equation (</w:t>
      </w:r>
      <w:r w:rsidR="00F022AE" w:rsidRPr="4CA445B8">
        <w:rPr>
          <w:rFonts w:eastAsia="Times New Roman" w:cs="Times New Roman"/>
        </w:rPr>
        <w:t>3</w:t>
      </w:r>
      <w:r w:rsidR="00255D61" w:rsidRPr="4CA445B8">
        <w:rPr>
          <w:rFonts w:eastAsia="Times New Roman" w:cs="Times New Roman"/>
        </w:rPr>
        <w:t>)</w:t>
      </w:r>
      <w:r w:rsidR="00F11D8A" w:rsidRPr="4CA445B8">
        <w:rPr>
          <w:rFonts w:eastAsia="Times New Roman" w:cs="Times New Roman"/>
        </w:rPr>
        <w:t>.</w:t>
      </w:r>
      <w:r w:rsidR="00924484" w:rsidRPr="4CA445B8">
        <w:rPr>
          <w:rFonts w:eastAsia="Times New Roman" w:cs="Times New Roman"/>
        </w:rPr>
        <w:t xml:space="preserve"> The following discussion presents the seat belt use rates</w:t>
      </w:r>
      <w:r w:rsidR="004C3B6C" w:rsidRPr="4CA445B8">
        <w:rPr>
          <w:rFonts w:eastAsia="Times New Roman" w:cs="Times New Roman"/>
        </w:rPr>
        <w:t xml:space="preserve"> in the baseline and </w:t>
      </w:r>
      <w:r w:rsidR="00273706" w:rsidRPr="4CA445B8">
        <w:rPr>
          <w:rFonts w:eastAsia="Times New Roman" w:cs="Times New Roman"/>
        </w:rPr>
        <w:t>proposed</w:t>
      </w:r>
      <w:r w:rsidR="00924484" w:rsidRPr="4CA445B8">
        <w:rPr>
          <w:rFonts w:eastAsia="Times New Roman" w:cs="Times New Roman"/>
        </w:rPr>
        <w:t xml:space="preserve"> </w:t>
      </w:r>
      <w:r w:rsidR="00BD3BDE" w:rsidRPr="4CA445B8">
        <w:rPr>
          <w:rFonts w:eastAsia="Times New Roman" w:cs="Times New Roman"/>
        </w:rPr>
        <w:t>using the same calculations</w:t>
      </w:r>
      <w:r w:rsidR="00273706" w:rsidRPr="4CA445B8">
        <w:rPr>
          <w:rFonts w:eastAsia="Times New Roman" w:cs="Times New Roman"/>
        </w:rPr>
        <w:t xml:space="preserve"> for all of age groups and vehicle types included in the rear seat occupant target population.</w:t>
      </w:r>
    </w:p>
    <w:p w14:paraId="2ACCC162" w14:textId="4EAC1588" w:rsidR="0056157C" w:rsidRDefault="000F5B51" w:rsidP="0055589E">
      <w:pPr>
        <w:rPr>
          <w:rFonts w:eastAsia="Times New Roman" w:cs="Times New Roman"/>
          <w:szCs w:val="24"/>
        </w:rPr>
      </w:pPr>
      <w:r>
        <w:rPr>
          <w:rFonts w:eastAsia="Times New Roman" w:cs="Times New Roman"/>
          <w:szCs w:val="24"/>
        </w:rPr>
        <w:fldChar w:fldCharType="begin"/>
      </w:r>
      <w:r>
        <w:rPr>
          <w:rFonts w:eastAsia="Times New Roman" w:cs="Times New Roman"/>
          <w:szCs w:val="24"/>
        </w:rPr>
        <w:instrText xml:space="preserve"> REF _Ref126743551 \h </w:instrText>
      </w:r>
      <w:r>
        <w:rPr>
          <w:rFonts w:eastAsia="Times New Roman" w:cs="Times New Roman"/>
          <w:szCs w:val="24"/>
        </w:rPr>
      </w:r>
      <w:r>
        <w:rPr>
          <w:rFonts w:eastAsia="Times New Roman" w:cs="Times New Roman"/>
          <w:szCs w:val="24"/>
        </w:rPr>
        <w:fldChar w:fldCharType="separate"/>
      </w:r>
      <w:r w:rsidR="00A65CB3" w:rsidRPr="00184903">
        <w:t xml:space="preserve">Table </w:t>
      </w:r>
      <w:r w:rsidR="00A65CB3">
        <w:rPr>
          <w:noProof/>
        </w:rPr>
        <w:t>33</w:t>
      </w:r>
      <w:r>
        <w:rPr>
          <w:rFonts w:eastAsia="Times New Roman" w:cs="Times New Roman"/>
          <w:szCs w:val="24"/>
        </w:rPr>
        <w:fldChar w:fldCharType="end"/>
      </w:r>
      <w:r w:rsidR="00DC2182">
        <w:rPr>
          <w:rFonts w:eastAsia="Times New Roman" w:cs="Times New Roman"/>
          <w:szCs w:val="24"/>
        </w:rPr>
        <w:t xml:space="preserve"> p</w:t>
      </w:r>
      <w:r w:rsidR="00546ACB">
        <w:rPr>
          <w:rFonts w:eastAsia="Times New Roman" w:cs="Times New Roman"/>
          <w:szCs w:val="24"/>
        </w:rPr>
        <w:t>resents the</w:t>
      </w:r>
      <w:r w:rsidR="003E615A">
        <w:rPr>
          <w:rFonts w:eastAsia="Times New Roman" w:cs="Times New Roman"/>
          <w:szCs w:val="24"/>
        </w:rPr>
        <w:t xml:space="preserve"> observed </w:t>
      </w:r>
      <w:r w:rsidR="00333635">
        <w:rPr>
          <w:rFonts w:eastAsia="Times New Roman" w:cs="Times New Roman"/>
          <w:szCs w:val="24"/>
        </w:rPr>
        <w:t xml:space="preserve">or </w:t>
      </w:r>
      <w:r w:rsidR="003E615A">
        <w:rPr>
          <w:rFonts w:eastAsia="Times New Roman" w:cs="Times New Roman"/>
          <w:szCs w:val="24"/>
        </w:rPr>
        <w:t>baseline and proposed rule seat belt use rates for rear seat occupants in passenger cars</w:t>
      </w:r>
      <w:r w:rsidR="001F2F92">
        <w:rPr>
          <w:rFonts w:eastAsia="Times New Roman" w:cs="Times New Roman"/>
          <w:szCs w:val="24"/>
        </w:rPr>
        <w:t xml:space="preserve">. </w:t>
      </w:r>
      <w:r w:rsidR="00FA2D4C">
        <w:rPr>
          <w:rFonts w:eastAsia="Times New Roman" w:cs="Times New Roman"/>
          <w:szCs w:val="24"/>
        </w:rPr>
        <w:t xml:space="preserve">For rear seat occupants </w:t>
      </w:r>
      <w:r w:rsidR="00AB6874">
        <w:rPr>
          <w:rFonts w:eastAsia="Times New Roman" w:cs="Times New Roman"/>
          <w:szCs w:val="24"/>
        </w:rPr>
        <w:t>six</w:t>
      </w:r>
      <w:r w:rsidR="00FA2D4C">
        <w:rPr>
          <w:rFonts w:eastAsia="Times New Roman" w:cs="Times New Roman"/>
          <w:szCs w:val="24"/>
        </w:rPr>
        <w:t xml:space="preserve"> to ten years old,</w:t>
      </w:r>
      <w:r w:rsidR="00CA6CA7">
        <w:rPr>
          <w:rFonts w:eastAsia="Times New Roman" w:cs="Times New Roman"/>
          <w:szCs w:val="24"/>
        </w:rPr>
        <w:t xml:space="preserve"> </w:t>
      </w:r>
      <w:r w:rsidR="00544ED4">
        <w:rPr>
          <w:rFonts w:eastAsia="Times New Roman" w:cs="Times New Roman"/>
          <w:szCs w:val="24"/>
        </w:rPr>
        <w:t xml:space="preserve">under the proposed rule </w:t>
      </w:r>
      <w:r w:rsidR="00CA6CA7">
        <w:rPr>
          <w:rFonts w:eastAsia="Times New Roman" w:cs="Times New Roman"/>
          <w:szCs w:val="24"/>
        </w:rPr>
        <w:t xml:space="preserve">seat belt use rates in crashes that resulted in non-fatal injuries </w:t>
      </w:r>
      <w:r w:rsidR="002C7EF9">
        <w:rPr>
          <w:rFonts w:eastAsia="Times New Roman" w:cs="Times New Roman"/>
          <w:szCs w:val="24"/>
        </w:rPr>
        <w:t>would</w:t>
      </w:r>
      <w:r w:rsidR="00544ED4">
        <w:rPr>
          <w:rFonts w:eastAsia="Times New Roman" w:cs="Times New Roman"/>
          <w:szCs w:val="24"/>
        </w:rPr>
        <w:t xml:space="preserve"> </w:t>
      </w:r>
      <w:r w:rsidR="00CA6CA7">
        <w:rPr>
          <w:rFonts w:eastAsia="Times New Roman" w:cs="Times New Roman"/>
          <w:szCs w:val="24"/>
        </w:rPr>
        <w:t xml:space="preserve">increase from 0.9800 to 0.9815 in the Lo case and </w:t>
      </w:r>
      <w:r w:rsidR="00083F06">
        <w:rPr>
          <w:rFonts w:eastAsia="Times New Roman" w:cs="Times New Roman"/>
          <w:szCs w:val="24"/>
        </w:rPr>
        <w:t>0.9822 in the Hi case</w:t>
      </w:r>
      <w:r w:rsidR="001F2F92">
        <w:rPr>
          <w:rFonts w:eastAsia="Times New Roman" w:cs="Times New Roman"/>
          <w:szCs w:val="24"/>
        </w:rPr>
        <w:t xml:space="preserve">. </w:t>
      </w:r>
      <w:r w:rsidR="00AF0BC8">
        <w:rPr>
          <w:rFonts w:eastAsia="Times New Roman" w:cs="Times New Roman"/>
          <w:szCs w:val="24"/>
        </w:rPr>
        <w:t xml:space="preserve">In the case of </w:t>
      </w:r>
      <w:r w:rsidR="009B38DD" w:rsidRPr="009B38DD">
        <w:rPr>
          <w:rFonts w:eastAsia="Times New Roman" w:cs="Times New Roman"/>
          <w:szCs w:val="24"/>
        </w:rPr>
        <w:t xml:space="preserve">potentially </w:t>
      </w:r>
      <w:r w:rsidR="00AF0BC8">
        <w:rPr>
          <w:rFonts w:eastAsia="Times New Roman" w:cs="Times New Roman"/>
          <w:szCs w:val="24"/>
        </w:rPr>
        <w:t xml:space="preserve">fatal crashes, seat belt use rates </w:t>
      </w:r>
      <w:r w:rsidR="002C7EF9">
        <w:rPr>
          <w:rFonts w:eastAsia="Times New Roman" w:cs="Times New Roman"/>
          <w:szCs w:val="24"/>
        </w:rPr>
        <w:t>would</w:t>
      </w:r>
      <w:r w:rsidR="00AF0BC8">
        <w:rPr>
          <w:rFonts w:eastAsia="Times New Roman" w:cs="Times New Roman"/>
          <w:szCs w:val="24"/>
        </w:rPr>
        <w:t xml:space="preserve"> increase from 0.</w:t>
      </w:r>
      <w:r w:rsidR="001A1FF9">
        <w:rPr>
          <w:rFonts w:eastAsia="Times New Roman" w:cs="Times New Roman"/>
          <w:szCs w:val="24"/>
        </w:rPr>
        <w:t>8825 to 0.8845 in the Lo case and 0.8855 in the Hi case</w:t>
      </w:r>
      <w:r w:rsidR="001F2F92">
        <w:rPr>
          <w:rFonts w:eastAsia="Times New Roman" w:cs="Times New Roman"/>
          <w:szCs w:val="24"/>
        </w:rPr>
        <w:t xml:space="preserve">. </w:t>
      </w:r>
      <w:r w:rsidR="00511B92">
        <w:rPr>
          <w:rFonts w:eastAsia="Times New Roman" w:cs="Times New Roman"/>
          <w:szCs w:val="24"/>
        </w:rPr>
        <w:t xml:space="preserve">For rear seat occupants </w:t>
      </w:r>
      <w:r w:rsidR="00985115">
        <w:rPr>
          <w:rFonts w:eastAsia="Times New Roman" w:cs="Times New Roman"/>
          <w:szCs w:val="24"/>
        </w:rPr>
        <w:t>11 years and older</w:t>
      </w:r>
      <w:r w:rsidR="00511B92">
        <w:rPr>
          <w:rFonts w:eastAsia="Times New Roman" w:cs="Times New Roman"/>
          <w:szCs w:val="24"/>
        </w:rPr>
        <w:t>,</w:t>
      </w:r>
      <w:r w:rsidR="00544ED4">
        <w:rPr>
          <w:rFonts w:eastAsia="Times New Roman" w:cs="Times New Roman"/>
          <w:szCs w:val="24"/>
        </w:rPr>
        <w:t xml:space="preserve"> under the proposed rule</w:t>
      </w:r>
      <w:r w:rsidR="00511B92">
        <w:rPr>
          <w:rFonts w:eastAsia="Times New Roman" w:cs="Times New Roman"/>
          <w:szCs w:val="24"/>
        </w:rPr>
        <w:t xml:space="preserve"> seat belt use rates in crashes that resulted in non-fatal injuries </w:t>
      </w:r>
      <w:r w:rsidR="002C7EF9">
        <w:rPr>
          <w:rFonts w:eastAsia="Times New Roman" w:cs="Times New Roman"/>
          <w:szCs w:val="24"/>
        </w:rPr>
        <w:t>would</w:t>
      </w:r>
      <w:r w:rsidR="00544ED4">
        <w:rPr>
          <w:rFonts w:eastAsia="Times New Roman" w:cs="Times New Roman"/>
          <w:szCs w:val="24"/>
        </w:rPr>
        <w:t xml:space="preserve"> </w:t>
      </w:r>
      <w:r w:rsidR="00511B92">
        <w:rPr>
          <w:rFonts w:eastAsia="Times New Roman" w:cs="Times New Roman"/>
          <w:szCs w:val="24"/>
        </w:rPr>
        <w:t>increase from 0</w:t>
      </w:r>
      <w:r w:rsidR="00494B3C">
        <w:rPr>
          <w:rFonts w:eastAsia="Times New Roman" w:cs="Times New Roman"/>
          <w:szCs w:val="24"/>
        </w:rPr>
        <w:t>.7512</w:t>
      </w:r>
      <w:r w:rsidR="00511B92">
        <w:rPr>
          <w:rFonts w:eastAsia="Times New Roman" w:cs="Times New Roman"/>
          <w:szCs w:val="24"/>
        </w:rPr>
        <w:t xml:space="preserve"> to 0.</w:t>
      </w:r>
      <w:r w:rsidR="00494B3C">
        <w:rPr>
          <w:rFonts w:eastAsia="Times New Roman" w:cs="Times New Roman"/>
          <w:szCs w:val="24"/>
        </w:rPr>
        <w:t>7693</w:t>
      </w:r>
      <w:r w:rsidR="00511B92">
        <w:rPr>
          <w:rFonts w:eastAsia="Times New Roman" w:cs="Times New Roman"/>
          <w:szCs w:val="24"/>
        </w:rPr>
        <w:t xml:space="preserve"> in the Lo case and 0.</w:t>
      </w:r>
      <w:r w:rsidR="00494B3C">
        <w:rPr>
          <w:rFonts w:eastAsia="Times New Roman" w:cs="Times New Roman"/>
          <w:szCs w:val="24"/>
        </w:rPr>
        <w:t>7784</w:t>
      </w:r>
      <w:r w:rsidR="00511B92">
        <w:rPr>
          <w:rFonts w:eastAsia="Times New Roman" w:cs="Times New Roman"/>
          <w:szCs w:val="24"/>
        </w:rPr>
        <w:t xml:space="preserve"> in </w:t>
      </w:r>
      <w:r w:rsidR="00511B92">
        <w:rPr>
          <w:rFonts w:eastAsia="Times New Roman" w:cs="Times New Roman"/>
          <w:szCs w:val="24"/>
        </w:rPr>
        <w:lastRenderedPageBreak/>
        <w:t>the Hi case</w:t>
      </w:r>
      <w:r w:rsidR="001F2F92">
        <w:rPr>
          <w:rFonts w:eastAsia="Times New Roman" w:cs="Times New Roman"/>
          <w:szCs w:val="24"/>
        </w:rPr>
        <w:t xml:space="preserve">. </w:t>
      </w:r>
      <w:r w:rsidR="00494B3C">
        <w:rPr>
          <w:rFonts w:eastAsia="Times New Roman" w:cs="Times New Roman"/>
          <w:szCs w:val="24"/>
        </w:rPr>
        <w:t xml:space="preserve">In the case of </w:t>
      </w:r>
      <w:r w:rsidR="009B38DD" w:rsidRPr="009B38DD">
        <w:rPr>
          <w:rFonts w:eastAsia="Times New Roman" w:cs="Times New Roman"/>
          <w:szCs w:val="24"/>
        </w:rPr>
        <w:t xml:space="preserve">potentially </w:t>
      </w:r>
      <w:r w:rsidR="00494B3C">
        <w:rPr>
          <w:rFonts w:eastAsia="Times New Roman" w:cs="Times New Roman"/>
          <w:szCs w:val="24"/>
        </w:rPr>
        <w:t xml:space="preserve">fatal crashes, seat belt use rates </w:t>
      </w:r>
      <w:r w:rsidR="002C7EF9">
        <w:rPr>
          <w:rFonts w:eastAsia="Times New Roman" w:cs="Times New Roman"/>
          <w:szCs w:val="24"/>
        </w:rPr>
        <w:t>would</w:t>
      </w:r>
      <w:r w:rsidR="00494B3C">
        <w:rPr>
          <w:rFonts w:eastAsia="Times New Roman" w:cs="Times New Roman"/>
          <w:szCs w:val="24"/>
        </w:rPr>
        <w:t xml:space="preserve"> increase from 0.5953 to 0.6162 in the Lo case and 0.6268 in the Hi case</w:t>
      </w:r>
      <w:r w:rsidR="001F2F92">
        <w:rPr>
          <w:rFonts w:eastAsia="Times New Roman" w:cs="Times New Roman"/>
          <w:szCs w:val="24"/>
        </w:rPr>
        <w:t xml:space="preserve">. </w:t>
      </w:r>
      <w:bookmarkStart w:id="180" w:name="_Ref502314696"/>
      <w:r w:rsidR="00494B3C">
        <w:rPr>
          <w:rFonts w:eastAsia="Times New Roman" w:cs="Times New Roman"/>
          <w:szCs w:val="24"/>
        </w:rPr>
        <w:t xml:space="preserve">In the case of </w:t>
      </w:r>
      <w:r w:rsidR="009B38DD" w:rsidRPr="009B38DD">
        <w:rPr>
          <w:rFonts w:eastAsia="Times New Roman" w:cs="Times New Roman"/>
          <w:szCs w:val="24"/>
        </w:rPr>
        <w:t xml:space="preserve">potentially </w:t>
      </w:r>
      <w:r w:rsidR="00494B3C">
        <w:rPr>
          <w:rFonts w:eastAsia="Times New Roman" w:cs="Times New Roman"/>
          <w:szCs w:val="24"/>
        </w:rPr>
        <w:t xml:space="preserve">fatal crashes, seat belt use rates </w:t>
      </w:r>
      <w:r w:rsidR="002C7EF9">
        <w:rPr>
          <w:rFonts w:eastAsia="Times New Roman" w:cs="Times New Roman"/>
          <w:szCs w:val="24"/>
        </w:rPr>
        <w:t>would</w:t>
      </w:r>
      <w:r w:rsidR="00494B3C">
        <w:rPr>
          <w:rFonts w:eastAsia="Times New Roman" w:cs="Times New Roman"/>
          <w:szCs w:val="24"/>
        </w:rPr>
        <w:t xml:space="preserve"> increase from 0.8825 to 0.8845 in the Lo case and 0.8855 in the Hi case</w:t>
      </w:r>
      <w:r w:rsidR="001F2F92">
        <w:rPr>
          <w:rFonts w:eastAsia="Times New Roman" w:cs="Times New Roman"/>
          <w:szCs w:val="24"/>
        </w:rPr>
        <w:t xml:space="preserve">. </w:t>
      </w:r>
      <w:r w:rsidR="00511B92">
        <w:rPr>
          <w:rFonts w:eastAsia="Times New Roman" w:cs="Times New Roman"/>
          <w:szCs w:val="24"/>
        </w:rPr>
        <w:t xml:space="preserve">For rear seat occupants six to ten years old in passenger cars, seat belt use rates in crashes that resulted in non-fatal injuries </w:t>
      </w:r>
      <w:r w:rsidR="002C7EF9">
        <w:rPr>
          <w:rFonts w:eastAsia="Times New Roman" w:cs="Times New Roman"/>
          <w:szCs w:val="24"/>
        </w:rPr>
        <w:t xml:space="preserve">would </w:t>
      </w:r>
      <w:r w:rsidR="00511B92">
        <w:rPr>
          <w:rFonts w:eastAsia="Times New Roman" w:cs="Times New Roman"/>
          <w:szCs w:val="24"/>
        </w:rPr>
        <w:t>increase from 0.9800 to 0.9815 in the Lo case and 0.9822 in the Hi case.</w:t>
      </w:r>
    </w:p>
    <w:p w14:paraId="291EDD00" w14:textId="115F02AE" w:rsidR="002F2EEE" w:rsidRDefault="002F2EEE" w:rsidP="0055589E">
      <w:pPr>
        <w:rPr>
          <w:rFonts w:eastAsia="Times New Roman" w:cs="Times New Roman"/>
          <w:szCs w:val="24"/>
        </w:rPr>
      </w:pPr>
    </w:p>
    <w:p w14:paraId="04F67839" w14:textId="5FE7D820" w:rsidR="002F2EEE" w:rsidRDefault="002F2EEE" w:rsidP="0055589E">
      <w:pPr>
        <w:rPr>
          <w:rFonts w:eastAsia="Times New Roman" w:cs="Times New Roman"/>
          <w:szCs w:val="24"/>
        </w:rPr>
      </w:pPr>
    </w:p>
    <w:p w14:paraId="5C5B1DC3" w14:textId="2E91AF63" w:rsidR="002F2EEE" w:rsidRDefault="002F2EEE" w:rsidP="0055589E">
      <w:pPr>
        <w:rPr>
          <w:rFonts w:eastAsia="Times New Roman" w:cs="Times New Roman"/>
          <w:szCs w:val="24"/>
        </w:rPr>
      </w:pPr>
    </w:p>
    <w:p w14:paraId="260231DF" w14:textId="3D4007BC" w:rsidR="002F2EEE" w:rsidRDefault="002F2EEE" w:rsidP="0055589E">
      <w:pPr>
        <w:rPr>
          <w:rFonts w:eastAsia="Times New Roman" w:cs="Times New Roman"/>
          <w:szCs w:val="24"/>
        </w:rPr>
      </w:pPr>
    </w:p>
    <w:p w14:paraId="5C759B53" w14:textId="26D4ABCD" w:rsidR="002F2EEE" w:rsidRDefault="002F2EEE" w:rsidP="0055589E">
      <w:pPr>
        <w:rPr>
          <w:rFonts w:eastAsia="Times New Roman" w:cs="Times New Roman"/>
          <w:szCs w:val="24"/>
        </w:rPr>
      </w:pPr>
    </w:p>
    <w:p w14:paraId="47CF997C" w14:textId="024004DD" w:rsidR="002F2EEE" w:rsidRDefault="002F2EEE" w:rsidP="0055589E">
      <w:pPr>
        <w:rPr>
          <w:rFonts w:eastAsia="Times New Roman" w:cs="Times New Roman"/>
          <w:szCs w:val="24"/>
        </w:rPr>
      </w:pPr>
    </w:p>
    <w:p w14:paraId="6D074B74" w14:textId="4BE691AF" w:rsidR="002F2EEE" w:rsidRDefault="002F2EEE" w:rsidP="0055589E">
      <w:pPr>
        <w:rPr>
          <w:rFonts w:eastAsia="Times New Roman" w:cs="Times New Roman"/>
          <w:szCs w:val="24"/>
        </w:rPr>
      </w:pPr>
    </w:p>
    <w:p w14:paraId="676FD0BF" w14:textId="47A817FD" w:rsidR="002F2EEE" w:rsidRDefault="002F2EEE" w:rsidP="0055589E">
      <w:pPr>
        <w:rPr>
          <w:rFonts w:eastAsia="Times New Roman" w:cs="Times New Roman"/>
          <w:szCs w:val="24"/>
        </w:rPr>
      </w:pPr>
    </w:p>
    <w:p w14:paraId="16AD0E45" w14:textId="080919E1" w:rsidR="002F2EEE" w:rsidRDefault="002F2EEE" w:rsidP="0055589E">
      <w:pPr>
        <w:rPr>
          <w:rFonts w:eastAsia="Times New Roman" w:cs="Times New Roman"/>
          <w:szCs w:val="24"/>
        </w:rPr>
      </w:pPr>
    </w:p>
    <w:p w14:paraId="603271AD" w14:textId="0A3FE8BF" w:rsidR="002F2EEE" w:rsidRDefault="002F2EEE" w:rsidP="0055589E">
      <w:pPr>
        <w:rPr>
          <w:rFonts w:eastAsia="Times New Roman" w:cs="Times New Roman"/>
          <w:szCs w:val="24"/>
        </w:rPr>
      </w:pPr>
    </w:p>
    <w:p w14:paraId="50D09445" w14:textId="6CD4ED56" w:rsidR="002F2EEE" w:rsidRDefault="002F2EEE" w:rsidP="0055589E">
      <w:pPr>
        <w:rPr>
          <w:rFonts w:eastAsia="Times New Roman" w:cs="Times New Roman"/>
          <w:szCs w:val="24"/>
        </w:rPr>
      </w:pPr>
    </w:p>
    <w:p w14:paraId="3FA1E704" w14:textId="41285826" w:rsidR="002F2EEE" w:rsidRDefault="002F2EEE" w:rsidP="0055589E">
      <w:pPr>
        <w:rPr>
          <w:rFonts w:eastAsia="Times New Roman" w:cs="Times New Roman"/>
          <w:szCs w:val="24"/>
        </w:rPr>
      </w:pPr>
    </w:p>
    <w:p w14:paraId="43CA7F86" w14:textId="77777777" w:rsidR="002F2EEE" w:rsidRDefault="002F2EEE" w:rsidP="0055589E">
      <w:pPr>
        <w:rPr>
          <w:rFonts w:eastAsia="Times New Roman" w:cs="Times New Roman"/>
          <w:szCs w:val="24"/>
        </w:rPr>
      </w:pPr>
    </w:p>
    <w:p w14:paraId="0C23A6F8" w14:textId="139E7B2C" w:rsidR="00D63AFE" w:rsidRPr="00184903" w:rsidRDefault="000F5B51" w:rsidP="005411DB">
      <w:pPr>
        <w:pStyle w:val="Caption"/>
      </w:pPr>
      <w:r>
        <w:rPr>
          <w:rFonts w:eastAsia="Times New Roman" w:cs="Times New Roman"/>
          <w:szCs w:val="24"/>
        </w:rPr>
        <w:lastRenderedPageBreak/>
        <w:t xml:space="preserve">   </w:t>
      </w:r>
      <w:bookmarkStart w:id="181" w:name="_Ref126743551"/>
      <w:bookmarkEnd w:id="180"/>
      <w:r w:rsidRPr="00184903">
        <w:t xml:space="preserve">Table </w:t>
      </w:r>
      <w:r w:rsidR="00D65C7C" w:rsidRPr="004A1427">
        <w:fldChar w:fldCharType="begin"/>
      </w:r>
      <w:r w:rsidR="00D65C7C" w:rsidRPr="00184903">
        <w:instrText xml:space="preserve"> SEQ Table \* ARABIC </w:instrText>
      </w:r>
      <w:r w:rsidR="00D65C7C" w:rsidRPr="004A1427">
        <w:fldChar w:fldCharType="separate"/>
      </w:r>
      <w:r w:rsidR="00A65CB3">
        <w:rPr>
          <w:noProof/>
        </w:rPr>
        <w:t>33</w:t>
      </w:r>
      <w:r w:rsidR="00D65C7C" w:rsidRPr="004A1427">
        <w:fldChar w:fldCharType="end"/>
      </w:r>
      <w:bookmarkEnd w:id="181"/>
      <w:r w:rsidRPr="00184903">
        <w:t xml:space="preserve">: Rear Seat Belt Use and Belt Effectiveness, by Age, Vehicle Type, </w:t>
      </w:r>
      <w:r w:rsidR="00333635">
        <w:t xml:space="preserve">and </w:t>
      </w:r>
      <w:r w:rsidRPr="00184903">
        <w:t>Injury Severity</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85"/>
        <w:gridCol w:w="1350"/>
        <w:gridCol w:w="2055"/>
        <w:gridCol w:w="922"/>
        <w:gridCol w:w="1012"/>
        <w:gridCol w:w="1147"/>
        <w:gridCol w:w="888"/>
        <w:gridCol w:w="867"/>
        <w:gridCol w:w="867"/>
      </w:tblGrid>
      <w:tr w:rsidR="00A15C2C" w14:paraId="6B8BC70A" w14:textId="77777777" w:rsidTr="00A65CB3">
        <w:trPr>
          <w:trHeight w:val="416"/>
          <w:jc w:val="center"/>
        </w:trPr>
        <w:tc>
          <w:tcPr>
            <w:tcW w:w="985" w:type="dxa"/>
            <w:shd w:val="clear" w:color="auto" w:fill="D9D9D9" w:themeFill="background1" w:themeFillShade="D9"/>
            <w:vAlign w:val="center"/>
          </w:tcPr>
          <w:p w14:paraId="4EC92DD1" w14:textId="77777777" w:rsidR="00D63AFE" w:rsidRPr="006A00B6" w:rsidRDefault="000F5B51" w:rsidP="00256450">
            <w:pPr>
              <w:pStyle w:val="NoSpacing"/>
              <w:rPr>
                <w:b/>
                <w:bCs/>
              </w:rPr>
            </w:pPr>
            <w:r w:rsidRPr="006A00B6">
              <w:rPr>
                <w:b/>
                <w:bCs/>
              </w:rPr>
              <w:t>Age</w:t>
            </w:r>
          </w:p>
        </w:tc>
        <w:tc>
          <w:tcPr>
            <w:tcW w:w="1350" w:type="dxa"/>
            <w:shd w:val="clear" w:color="auto" w:fill="D9D9D9" w:themeFill="background1" w:themeFillShade="D9"/>
            <w:noWrap/>
            <w:vAlign w:val="center"/>
          </w:tcPr>
          <w:p w14:paraId="16EF8DD5" w14:textId="77777777" w:rsidR="00D63AFE" w:rsidRPr="006A00B6" w:rsidRDefault="000F5B51" w:rsidP="00256450">
            <w:pPr>
              <w:pStyle w:val="NoSpacing"/>
              <w:rPr>
                <w:b/>
                <w:bCs/>
              </w:rPr>
            </w:pPr>
            <w:r w:rsidRPr="006A00B6">
              <w:rPr>
                <w:b/>
                <w:bCs/>
              </w:rPr>
              <w:t>Vehicle Type</w:t>
            </w:r>
          </w:p>
        </w:tc>
        <w:tc>
          <w:tcPr>
            <w:tcW w:w="2055" w:type="dxa"/>
            <w:tcBorders>
              <w:top w:val="single" w:sz="6" w:space="0" w:color="auto"/>
            </w:tcBorders>
            <w:shd w:val="clear" w:color="auto" w:fill="D9D9D9" w:themeFill="background1" w:themeFillShade="D9"/>
            <w:noWrap/>
            <w:vAlign w:val="center"/>
          </w:tcPr>
          <w:p w14:paraId="7F20F539" w14:textId="77777777" w:rsidR="00D63AFE" w:rsidRPr="006A00B6" w:rsidRDefault="000F5B51" w:rsidP="00256450">
            <w:pPr>
              <w:pStyle w:val="NoSpacing"/>
              <w:rPr>
                <w:b/>
                <w:bCs/>
              </w:rPr>
            </w:pPr>
            <w:r w:rsidRPr="006A00B6">
              <w:rPr>
                <w:b/>
                <w:bCs/>
              </w:rPr>
              <w:t>Injury Severity</w:t>
            </w:r>
          </w:p>
        </w:tc>
        <w:tc>
          <w:tcPr>
            <w:tcW w:w="922" w:type="dxa"/>
            <w:tcBorders>
              <w:top w:val="single" w:sz="6" w:space="0" w:color="auto"/>
            </w:tcBorders>
            <w:shd w:val="clear" w:color="auto" w:fill="D9D9D9" w:themeFill="background1" w:themeFillShade="D9"/>
            <w:noWrap/>
            <w:vAlign w:val="center"/>
          </w:tcPr>
          <w:p w14:paraId="2E6C8B89" w14:textId="77777777" w:rsidR="00D63AFE" w:rsidRPr="006A00B6" w:rsidRDefault="000F5B51" w:rsidP="00256450">
            <w:pPr>
              <w:pStyle w:val="NoSpacing"/>
              <w:rPr>
                <w:b/>
                <w:bCs/>
                <w:color w:val="3F3F76"/>
              </w:rPr>
            </w:pPr>
            <w:r w:rsidRPr="006A00B6">
              <w:rPr>
                <w:b/>
                <w:bCs/>
              </w:rPr>
              <w:t>Belt</w:t>
            </w:r>
            <w:r w:rsidRPr="006A00B6">
              <w:rPr>
                <w:b/>
                <w:bCs/>
              </w:rPr>
              <w:br/>
              <w:t>Eff.</w:t>
            </w:r>
          </w:p>
        </w:tc>
        <w:tc>
          <w:tcPr>
            <w:tcW w:w="1012" w:type="dxa"/>
            <w:tcBorders>
              <w:top w:val="single" w:sz="6" w:space="0" w:color="auto"/>
            </w:tcBorders>
            <w:shd w:val="clear" w:color="auto" w:fill="D9D9D9" w:themeFill="background1" w:themeFillShade="D9"/>
            <w:noWrap/>
            <w:vAlign w:val="center"/>
          </w:tcPr>
          <w:p w14:paraId="1531DC1E" w14:textId="77777777" w:rsidR="00D63AFE" w:rsidRPr="006A00B6" w:rsidRDefault="000F5B51" w:rsidP="00333635">
            <w:pPr>
              <w:pStyle w:val="NoSpacing"/>
              <w:rPr>
                <w:b/>
                <w:bCs/>
                <w:color w:val="000000"/>
              </w:rPr>
            </w:pPr>
            <w:r w:rsidRPr="006A00B6">
              <w:rPr>
                <w:b/>
                <w:bCs/>
              </w:rPr>
              <w:t>Assume no</w:t>
            </w:r>
            <w:r w:rsidRPr="006A00B6">
              <w:rPr>
                <w:b/>
                <w:bCs/>
              </w:rPr>
              <w:br/>
              <w:t>SBWS (Lo)</w:t>
            </w:r>
          </w:p>
        </w:tc>
        <w:tc>
          <w:tcPr>
            <w:tcW w:w="1147" w:type="dxa"/>
            <w:tcBorders>
              <w:top w:val="single" w:sz="6" w:space="0" w:color="auto"/>
            </w:tcBorders>
            <w:shd w:val="clear" w:color="auto" w:fill="D9D9D9" w:themeFill="background1" w:themeFillShade="D9"/>
            <w:vAlign w:val="center"/>
          </w:tcPr>
          <w:p w14:paraId="34D61A1B" w14:textId="77777777" w:rsidR="00D63AFE" w:rsidRPr="006A00B6" w:rsidRDefault="000F5B51" w:rsidP="00333635">
            <w:pPr>
              <w:pStyle w:val="NoSpacing"/>
              <w:rPr>
                <w:b/>
                <w:bCs/>
                <w:color w:val="000000"/>
              </w:rPr>
            </w:pPr>
            <w:r w:rsidRPr="006A00B6">
              <w:rPr>
                <w:b/>
                <w:bCs/>
              </w:rPr>
              <w:t>Assume no SBWS (Hi)</w:t>
            </w:r>
          </w:p>
        </w:tc>
        <w:tc>
          <w:tcPr>
            <w:tcW w:w="888" w:type="dxa"/>
            <w:tcBorders>
              <w:top w:val="single" w:sz="6" w:space="0" w:color="auto"/>
            </w:tcBorders>
            <w:shd w:val="clear" w:color="auto" w:fill="D9D9D9" w:themeFill="background1" w:themeFillShade="D9"/>
            <w:noWrap/>
            <w:vAlign w:val="center"/>
          </w:tcPr>
          <w:p w14:paraId="14B441EC" w14:textId="77777777" w:rsidR="00D63AFE" w:rsidRPr="006A00B6" w:rsidRDefault="000F5B51" w:rsidP="00333635">
            <w:pPr>
              <w:pStyle w:val="NoSpacing"/>
              <w:rPr>
                <w:b/>
                <w:bCs/>
                <w:color w:val="000000"/>
              </w:rPr>
            </w:pPr>
            <w:r w:rsidRPr="00333635">
              <w:rPr>
                <w:b/>
                <w:bCs/>
                <w:sz w:val="20"/>
                <w:szCs w:val="18"/>
              </w:rPr>
              <w:t>Observed</w:t>
            </w:r>
          </w:p>
        </w:tc>
        <w:tc>
          <w:tcPr>
            <w:tcW w:w="867" w:type="dxa"/>
            <w:tcBorders>
              <w:top w:val="single" w:sz="6" w:space="0" w:color="auto"/>
            </w:tcBorders>
            <w:shd w:val="clear" w:color="auto" w:fill="D9D9D9" w:themeFill="background1" w:themeFillShade="D9"/>
            <w:noWrap/>
            <w:vAlign w:val="center"/>
          </w:tcPr>
          <w:p w14:paraId="6251B27B" w14:textId="77777777" w:rsidR="00D63AFE" w:rsidRPr="006A00B6" w:rsidRDefault="000F5B51" w:rsidP="00333635">
            <w:pPr>
              <w:pStyle w:val="NoSpacing"/>
              <w:rPr>
                <w:b/>
                <w:bCs/>
                <w:color w:val="000000"/>
              </w:rPr>
            </w:pPr>
            <w:r w:rsidRPr="006A00B6">
              <w:rPr>
                <w:b/>
                <w:bCs/>
              </w:rPr>
              <w:t>RULE (Lo)</w:t>
            </w:r>
          </w:p>
        </w:tc>
        <w:tc>
          <w:tcPr>
            <w:tcW w:w="867" w:type="dxa"/>
            <w:shd w:val="clear" w:color="auto" w:fill="D9D9D9" w:themeFill="background1" w:themeFillShade="D9"/>
            <w:noWrap/>
            <w:vAlign w:val="center"/>
          </w:tcPr>
          <w:p w14:paraId="7338F7EA" w14:textId="77777777" w:rsidR="00D63AFE" w:rsidRPr="006A00B6" w:rsidRDefault="000F5B51" w:rsidP="00333635">
            <w:pPr>
              <w:pStyle w:val="NoSpacing"/>
              <w:rPr>
                <w:b/>
                <w:bCs/>
                <w:color w:val="000000"/>
              </w:rPr>
            </w:pPr>
            <w:r w:rsidRPr="006A00B6">
              <w:rPr>
                <w:b/>
                <w:bCs/>
              </w:rPr>
              <w:t>RULE (Hi)</w:t>
            </w:r>
          </w:p>
        </w:tc>
      </w:tr>
      <w:tr w:rsidR="00A15C2C" w14:paraId="30FB030C" w14:textId="77777777" w:rsidTr="00511B92">
        <w:trPr>
          <w:trHeight w:val="300"/>
          <w:jc w:val="center"/>
        </w:trPr>
        <w:tc>
          <w:tcPr>
            <w:tcW w:w="985" w:type="dxa"/>
            <w:vMerge w:val="restart"/>
            <w:shd w:val="clear" w:color="auto" w:fill="D9D9D9" w:themeFill="background1" w:themeFillShade="D9"/>
            <w:vAlign w:val="center"/>
          </w:tcPr>
          <w:p w14:paraId="6C5FAE5C" w14:textId="77777777" w:rsidR="006225EC" w:rsidRPr="006225EC" w:rsidRDefault="000F5B51" w:rsidP="006225EC">
            <w:pPr>
              <w:pStyle w:val="NoSpacing"/>
              <w:rPr>
                <w:b/>
                <w:bCs/>
              </w:rPr>
            </w:pPr>
            <w:r w:rsidRPr="006225EC">
              <w:rPr>
                <w:b/>
                <w:bCs/>
                <w:color w:val="000000"/>
              </w:rPr>
              <w:t>6 - 10</w:t>
            </w:r>
          </w:p>
        </w:tc>
        <w:tc>
          <w:tcPr>
            <w:tcW w:w="1350" w:type="dxa"/>
            <w:vMerge w:val="restart"/>
            <w:shd w:val="clear" w:color="auto" w:fill="D9D9D9" w:themeFill="background1" w:themeFillShade="D9"/>
            <w:noWrap/>
            <w:vAlign w:val="center"/>
            <w:hideMark/>
          </w:tcPr>
          <w:p w14:paraId="2DB0F6A2" w14:textId="77777777" w:rsidR="006225EC" w:rsidRPr="006225EC" w:rsidRDefault="000F5B51" w:rsidP="006225EC">
            <w:pPr>
              <w:pStyle w:val="NoSpacing"/>
              <w:rPr>
                <w:b/>
                <w:bCs/>
              </w:rPr>
            </w:pPr>
            <w:r w:rsidRPr="006225EC">
              <w:rPr>
                <w:b/>
                <w:bCs/>
              </w:rPr>
              <w:t>PC</w:t>
            </w:r>
          </w:p>
        </w:tc>
        <w:tc>
          <w:tcPr>
            <w:tcW w:w="2055" w:type="dxa"/>
            <w:shd w:val="clear" w:color="D9E1F2" w:fill="D9E1F2"/>
            <w:noWrap/>
            <w:vAlign w:val="center"/>
            <w:hideMark/>
          </w:tcPr>
          <w:p w14:paraId="78F27E63" w14:textId="77777777" w:rsidR="006225EC" w:rsidRPr="00D9392A" w:rsidRDefault="000F5B51" w:rsidP="00494B3C">
            <w:pPr>
              <w:pStyle w:val="NoSpacing"/>
            </w:pPr>
            <w:r>
              <w:rPr>
                <w:color w:val="000000"/>
              </w:rPr>
              <w:t>(1) Minor Injury</w:t>
            </w:r>
          </w:p>
        </w:tc>
        <w:tc>
          <w:tcPr>
            <w:tcW w:w="922" w:type="dxa"/>
            <w:shd w:val="clear" w:color="auto" w:fill="FFFFFF" w:themeFill="background1"/>
            <w:noWrap/>
            <w:vAlign w:val="center"/>
            <w:hideMark/>
          </w:tcPr>
          <w:p w14:paraId="09E79E7E" w14:textId="77777777" w:rsidR="006225EC" w:rsidRPr="00D9392A" w:rsidRDefault="000F5B51" w:rsidP="00CB16B1">
            <w:pPr>
              <w:pStyle w:val="NoSpacing"/>
            </w:pPr>
            <w:r w:rsidRPr="006E1748">
              <w:t>0.055</w:t>
            </w:r>
          </w:p>
        </w:tc>
        <w:tc>
          <w:tcPr>
            <w:tcW w:w="1012" w:type="dxa"/>
            <w:shd w:val="clear" w:color="D9E1F2" w:fill="D9E1F2"/>
            <w:noWrap/>
            <w:vAlign w:val="center"/>
            <w:hideMark/>
          </w:tcPr>
          <w:p w14:paraId="15B80B70" w14:textId="77777777" w:rsidR="006225EC" w:rsidRPr="00D9392A" w:rsidRDefault="000F5B51">
            <w:pPr>
              <w:pStyle w:val="NoSpacing"/>
            </w:pPr>
            <w:r w:rsidRPr="00CE2168">
              <w:rPr>
                <w:rFonts w:cs="Calibri"/>
                <w:color w:val="000000"/>
              </w:rPr>
              <w:t>0.9787</w:t>
            </w:r>
          </w:p>
        </w:tc>
        <w:tc>
          <w:tcPr>
            <w:tcW w:w="1147" w:type="dxa"/>
            <w:shd w:val="clear" w:color="D9E1F2" w:fill="D9E1F2"/>
            <w:vAlign w:val="center"/>
          </w:tcPr>
          <w:p w14:paraId="509B7BFD" w14:textId="77777777" w:rsidR="006225EC" w:rsidRPr="00D9392A" w:rsidRDefault="000F5B51">
            <w:pPr>
              <w:pStyle w:val="NoSpacing"/>
            </w:pPr>
            <w:r w:rsidRPr="00CE2168">
              <w:rPr>
                <w:rFonts w:cs="Calibri"/>
                <w:color w:val="000000"/>
              </w:rPr>
              <w:t>0.9781</w:t>
            </w:r>
          </w:p>
        </w:tc>
        <w:tc>
          <w:tcPr>
            <w:tcW w:w="888" w:type="dxa"/>
            <w:shd w:val="clear" w:color="D9E1F2" w:fill="D9E1F2"/>
            <w:noWrap/>
            <w:vAlign w:val="center"/>
            <w:hideMark/>
          </w:tcPr>
          <w:p w14:paraId="77F06A81" w14:textId="77777777" w:rsidR="006225EC" w:rsidRPr="00D9392A" w:rsidRDefault="000F5B51">
            <w:pPr>
              <w:pStyle w:val="NoSpacing"/>
            </w:pPr>
            <w:r w:rsidRPr="00CE2168">
              <w:rPr>
                <w:rFonts w:cs="Calibri"/>
                <w:color w:val="000000"/>
              </w:rPr>
              <w:t>0.9800</w:t>
            </w:r>
          </w:p>
        </w:tc>
        <w:tc>
          <w:tcPr>
            <w:tcW w:w="867" w:type="dxa"/>
            <w:shd w:val="clear" w:color="D9E1F2" w:fill="D9E1F2"/>
            <w:noWrap/>
            <w:vAlign w:val="center"/>
            <w:hideMark/>
          </w:tcPr>
          <w:p w14:paraId="5D32CFA5" w14:textId="77777777" w:rsidR="006225EC" w:rsidRPr="00D9392A" w:rsidRDefault="000F5B51">
            <w:pPr>
              <w:pStyle w:val="NoSpacing"/>
            </w:pPr>
            <w:r w:rsidRPr="00CE2168">
              <w:rPr>
                <w:rFonts w:cs="Calibri"/>
                <w:color w:val="000000"/>
              </w:rPr>
              <w:t>0.9815</w:t>
            </w:r>
          </w:p>
        </w:tc>
        <w:tc>
          <w:tcPr>
            <w:tcW w:w="867" w:type="dxa"/>
            <w:shd w:val="clear" w:color="D9E1F2" w:fill="D9E1F2"/>
            <w:noWrap/>
            <w:vAlign w:val="center"/>
            <w:hideMark/>
          </w:tcPr>
          <w:p w14:paraId="0154E5A8" w14:textId="77777777" w:rsidR="006225EC" w:rsidRPr="00D9392A" w:rsidRDefault="000F5B51">
            <w:pPr>
              <w:pStyle w:val="NoSpacing"/>
            </w:pPr>
            <w:r w:rsidRPr="00CE2168">
              <w:rPr>
                <w:rFonts w:cs="Calibri"/>
                <w:color w:val="000000"/>
              </w:rPr>
              <w:t>0.9822</w:t>
            </w:r>
          </w:p>
        </w:tc>
      </w:tr>
      <w:tr w:rsidR="00A15C2C" w14:paraId="4AA27022" w14:textId="77777777" w:rsidTr="0055589E">
        <w:trPr>
          <w:trHeight w:val="300"/>
          <w:jc w:val="center"/>
        </w:trPr>
        <w:tc>
          <w:tcPr>
            <w:tcW w:w="985" w:type="dxa"/>
            <w:vMerge/>
            <w:shd w:val="clear" w:color="auto" w:fill="D9D9D9" w:themeFill="background1" w:themeFillShade="D9"/>
            <w:vAlign w:val="bottom"/>
          </w:tcPr>
          <w:p w14:paraId="28B0B2DC" w14:textId="77777777" w:rsidR="006225EC" w:rsidRPr="00D9392A" w:rsidRDefault="006225EC" w:rsidP="00256450">
            <w:pPr>
              <w:pStyle w:val="NoSpacing"/>
            </w:pPr>
          </w:p>
        </w:tc>
        <w:tc>
          <w:tcPr>
            <w:tcW w:w="1350" w:type="dxa"/>
            <w:vMerge/>
            <w:shd w:val="clear" w:color="auto" w:fill="D9D9D9" w:themeFill="background1" w:themeFillShade="D9"/>
            <w:noWrap/>
            <w:vAlign w:val="bottom"/>
          </w:tcPr>
          <w:p w14:paraId="1DCA7C8D" w14:textId="77777777" w:rsidR="006225EC" w:rsidRPr="00D9392A" w:rsidRDefault="006225EC" w:rsidP="00256450">
            <w:pPr>
              <w:pStyle w:val="NoSpacing"/>
            </w:pPr>
          </w:p>
        </w:tc>
        <w:tc>
          <w:tcPr>
            <w:tcW w:w="2055" w:type="dxa"/>
            <w:noWrap/>
            <w:vAlign w:val="center"/>
            <w:hideMark/>
          </w:tcPr>
          <w:p w14:paraId="7C18E827" w14:textId="77777777" w:rsidR="006225EC" w:rsidRPr="00D9392A" w:rsidRDefault="000F5B51" w:rsidP="00494B3C">
            <w:pPr>
              <w:pStyle w:val="NoSpacing"/>
            </w:pPr>
            <w:r>
              <w:rPr>
                <w:color w:val="000000"/>
              </w:rPr>
              <w:t>(2) Moderate Injury</w:t>
            </w:r>
          </w:p>
        </w:tc>
        <w:tc>
          <w:tcPr>
            <w:tcW w:w="922" w:type="dxa"/>
            <w:shd w:val="clear" w:color="auto" w:fill="FFFFFF" w:themeFill="background1"/>
            <w:noWrap/>
            <w:vAlign w:val="center"/>
            <w:hideMark/>
          </w:tcPr>
          <w:p w14:paraId="628F07D4" w14:textId="77777777" w:rsidR="006225EC" w:rsidRPr="00D9392A" w:rsidRDefault="000F5B51" w:rsidP="00CB16B1">
            <w:pPr>
              <w:pStyle w:val="NoSpacing"/>
            </w:pPr>
            <w:r w:rsidRPr="006E1748">
              <w:t>0.500</w:t>
            </w:r>
          </w:p>
        </w:tc>
        <w:tc>
          <w:tcPr>
            <w:tcW w:w="1012" w:type="dxa"/>
            <w:noWrap/>
            <w:vAlign w:val="center"/>
            <w:hideMark/>
          </w:tcPr>
          <w:p w14:paraId="242C4894" w14:textId="77777777" w:rsidR="006225EC" w:rsidRPr="00D9392A" w:rsidRDefault="000F5B51">
            <w:pPr>
              <w:pStyle w:val="NoSpacing"/>
            </w:pPr>
            <w:r w:rsidRPr="00CE2168">
              <w:rPr>
                <w:rFonts w:cs="Calibri"/>
                <w:color w:val="000000"/>
              </w:rPr>
              <w:t>0.9787</w:t>
            </w:r>
          </w:p>
        </w:tc>
        <w:tc>
          <w:tcPr>
            <w:tcW w:w="1147" w:type="dxa"/>
            <w:vAlign w:val="center"/>
          </w:tcPr>
          <w:p w14:paraId="51E91335" w14:textId="77777777" w:rsidR="006225EC" w:rsidRPr="00D9392A" w:rsidRDefault="000F5B51">
            <w:pPr>
              <w:pStyle w:val="NoSpacing"/>
            </w:pPr>
            <w:r w:rsidRPr="00CE2168">
              <w:rPr>
                <w:rFonts w:cs="Calibri"/>
                <w:color w:val="000000"/>
              </w:rPr>
              <w:t>0.9781</w:t>
            </w:r>
          </w:p>
        </w:tc>
        <w:tc>
          <w:tcPr>
            <w:tcW w:w="888" w:type="dxa"/>
            <w:noWrap/>
            <w:vAlign w:val="center"/>
            <w:hideMark/>
          </w:tcPr>
          <w:p w14:paraId="7592AFFE" w14:textId="77777777" w:rsidR="006225EC" w:rsidRPr="00D9392A" w:rsidRDefault="000F5B51">
            <w:pPr>
              <w:pStyle w:val="NoSpacing"/>
            </w:pPr>
            <w:r w:rsidRPr="00CE2168">
              <w:rPr>
                <w:rFonts w:cs="Calibri"/>
                <w:color w:val="000000"/>
              </w:rPr>
              <w:t>0.9800</w:t>
            </w:r>
          </w:p>
        </w:tc>
        <w:tc>
          <w:tcPr>
            <w:tcW w:w="867" w:type="dxa"/>
            <w:noWrap/>
            <w:vAlign w:val="center"/>
            <w:hideMark/>
          </w:tcPr>
          <w:p w14:paraId="17769804" w14:textId="77777777" w:rsidR="006225EC" w:rsidRPr="00D9392A" w:rsidRDefault="000F5B51">
            <w:pPr>
              <w:pStyle w:val="NoSpacing"/>
            </w:pPr>
            <w:r w:rsidRPr="00CE2168">
              <w:rPr>
                <w:rFonts w:cs="Calibri"/>
                <w:color w:val="000000"/>
              </w:rPr>
              <w:t>0.9815</w:t>
            </w:r>
          </w:p>
        </w:tc>
        <w:tc>
          <w:tcPr>
            <w:tcW w:w="867" w:type="dxa"/>
            <w:noWrap/>
            <w:vAlign w:val="center"/>
            <w:hideMark/>
          </w:tcPr>
          <w:p w14:paraId="3BB284EE" w14:textId="77777777" w:rsidR="006225EC" w:rsidRPr="00D9392A" w:rsidRDefault="000F5B51">
            <w:pPr>
              <w:pStyle w:val="NoSpacing"/>
            </w:pPr>
            <w:r w:rsidRPr="00CE2168">
              <w:rPr>
                <w:rFonts w:cs="Calibri"/>
                <w:color w:val="000000"/>
              </w:rPr>
              <w:t>0.9822</w:t>
            </w:r>
          </w:p>
        </w:tc>
      </w:tr>
      <w:tr w:rsidR="00A15C2C" w14:paraId="4A63D5C8" w14:textId="77777777" w:rsidTr="00511B92">
        <w:trPr>
          <w:trHeight w:val="300"/>
          <w:jc w:val="center"/>
        </w:trPr>
        <w:tc>
          <w:tcPr>
            <w:tcW w:w="985" w:type="dxa"/>
            <w:vMerge/>
            <w:shd w:val="clear" w:color="auto" w:fill="D9D9D9" w:themeFill="background1" w:themeFillShade="D9"/>
            <w:vAlign w:val="bottom"/>
          </w:tcPr>
          <w:p w14:paraId="54B4A1BD" w14:textId="77777777" w:rsidR="006225EC" w:rsidRPr="00D9392A" w:rsidRDefault="006225EC" w:rsidP="00256450">
            <w:pPr>
              <w:pStyle w:val="NoSpacing"/>
            </w:pPr>
          </w:p>
        </w:tc>
        <w:tc>
          <w:tcPr>
            <w:tcW w:w="1350" w:type="dxa"/>
            <w:vMerge/>
            <w:shd w:val="clear" w:color="auto" w:fill="D9D9D9" w:themeFill="background1" w:themeFillShade="D9"/>
            <w:noWrap/>
            <w:vAlign w:val="bottom"/>
          </w:tcPr>
          <w:p w14:paraId="30ADC440" w14:textId="77777777" w:rsidR="006225EC" w:rsidRPr="00D9392A" w:rsidRDefault="006225EC" w:rsidP="00256450">
            <w:pPr>
              <w:pStyle w:val="NoSpacing"/>
            </w:pPr>
          </w:p>
        </w:tc>
        <w:tc>
          <w:tcPr>
            <w:tcW w:w="2055" w:type="dxa"/>
            <w:shd w:val="clear" w:color="D9E1F2" w:fill="D9E1F2"/>
            <w:noWrap/>
            <w:vAlign w:val="center"/>
            <w:hideMark/>
          </w:tcPr>
          <w:p w14:paraId="154E9701" w14:textId="77777777" w:rsidR="006225EC" w:rsidRPr="00D9392A" w:rsidRDefault="000F5B51" w:rsidP="00494B3C">
            <w:pPr>
              <w:pStyle w:val="NoSpacing"/>
            </w:pPr>
            <w:r>
              <w:rPr>
                <w:color w:val="000000"/>
              </w:rPr>
              <w:t>(3) Serious Injury</w:t>
            </w:r>
          </w:p>
        </w:tc>
        <w:tc>
          <w:tcPr>
            <w:tcW w:w="922" w:type="dxa"/>
            <w:shd w:val="clear" w:color="auto" w:fill="FFFFFF" w:themeFill="background1"/>
            <w:noWrap/>
            <w:vAlign w:val="center"/>
            <w:hideMark/>
          </w:tcPr>
          <w:p w14:paraId="0303CD58" w14:textId="77777777" w:rsidR="006225EC" w:rsidRPr="00D9392A" w:rsidRDefault="000F5B51" w:rsidP="00CB16B1">
            <w:pPr>
              <w:pStyle w:val="NoSpacing"/>
            </w:pPr>
            <w:r w:rsidRPr="006E1748">
              <w:t>0.500</w:t>
            </w:r>
          </w:p>
        </w:tc>
        <w:tc>
          <w:tcPr>
            <w:tcW w:w="1012" w:type="dxa"/>
            <w:shd w:val="clear" w:color="D9E1F2" w:fill="D9E1F2"/>
            <w:noWrap/>
            <w:vAlign w:val="center"/>
            <w:hideMark/>
          </w:tcPr>
          <w:p w14:paraId="43E9637D" w14:textId="77777777" w:rsidR="006225EC" w:rsidRPr="00D9392A" w:rsidRDefault="000F5B51">
            <w:pPr>
              <w:pStyle w:val="NoSpacing"/>
            </w:pPr>
            <w:r w:rsidRPr="00CE2168">
              <w:rPr>
                <w:rFonts w:cs="Calibri"/>
                <w:color w:val="000000"/>
              </w:rPr>
              <w:t>0.9787</w:t>
            </w:r>
          </w:p>
        </w:tc>
        <w:tc>
          <w:tcPr>
            <w:tcW w:w="1147" w:type="dxa"/>
            <w:shd w:val="clear" w:color="D9E1F2" w:fill="D9E1F2"/>
            <w:vAlign w:val="center"/>
          </w:tcPr>
          <w:p w14:paraId="6B9A86EE" w14:textId="77777777" w:rsidR="006225EC" w:rsidRPr="00D9392A" w:rsidRDefault="000F5B51">
            <w:pPr>
              <w:pStyle w:val="NoSpacing"/>
            </w:pPr>
            <w:r w:rsidRPr="00CE2168">
              <w:rPr>
                <w:rFonts w:cs="Calibri"/>
                <w:color w:val="000000"/>
              </w:rPr>
              <w:t>0.9781</w:t>
            </w:r>
          </w:p>
        </w:tc>
        <w:tc>
          <w:tcPr>
            <w:tcW w:w="888" w:type="dxa"/>
            <w:shd w:val="clear" w:color="D9E1F2" w:fill="D9E1F2"/>
            <w:noWrap/>
            <w:vAlign w:val="center"/>
            <w:hideMark/>
          </w:tcPr>
          <w:p w14:paraId="2237451C" w14:textId="77777777" w:rsidR="006225EC" w:rsidRPr="00D9392A" w:rsidRDefault="000F5B51">
            <w:pPr>
              <w:pStyle w:val="NoSpacing"/>
            </w:pPr>
            <w:r w:rsidRPr="00CE2168">
              <w:rPr>
                <w:rFonts w:cs="Calibri"/>
                <w:color w:val="000000"/>
              </w:rPr>
              <w:t>0.9800</w:t>
            </w:r>
          </w:p>
        </w:tc>
        <w:tc>
          <w:tcPr>
            <w:tcW w:w="867" w:type="dxa"/>
            <w:shd w:val="clear" w:color="D9E1F2" w:fill="D9E1F2"/>
            <w:noWrap/>
            <w:vAlign w:val="center"/>
            <w:hideMark/>
          </w:tcPr>
          <w:p w14:paraId="3D630556" w14:textId="77777777" w:rsidR="006225EC" w:rsidRPr="00D9392A" w:rsidRDefault="000F5B51">
            <w:pPr>
              <w:pStyle w:val="NoSpacing"/>
            </w:pPr>
            <w:r w:rsidRPr="00CE2168">
              <w:rPr>
                <w:rFonts w:cs="Calibri"/>
                <w:color w:val="000000"/>
              </w:rPr>
              <w:t>0.9815</w:t>
            </w:r>
          </w:p>
        </w:tc>
        <w:tc>
          <w:tcPr>
            <w:tcW w:w="867" w:type="dxa"/>
            <w:shd w:val="clear" w:color="D9E1F2" w:fill="D9E1F2"/>
            <w:noWrap/>
            <w:vAlign w:val="center"/>
            <w:hideMark/>
          </w:tcPr>
          <w:p w14:paraId="1AD076A2" w14:textId="77777777" w:rsidR="006225EC" w:rsidRPr="00D9392A" w:rsidRDefault="000F5B51">
            <w:pPr>
              <w:pStyle w:val="NoSpacing"/>
            </w:pPr>
            <w:r w:rsidRPr="00CE2168">
              <w:rPr>
                <w:rFonts w:cs="Calibri"/>
                <w:color w:val="000000"/>
              </w:rPr>
              <w:t>0.9822</w:t>
            </w:r>
          </w:p>
        </w:tc>
      </w:tr>
      <w:tr w:rsidR="00A15C2C" w14:paraId="3A125BBF" w14:textId="77777777" w:rsidTr="0055589E">
        <w:trPr>
          <w:trHeight w:val="300"/>
          <w:jc w:val="center"/>
        </w:trPr>
        <w:tc>
          <w:tcPr>
            <w:tcW w:w="985" w:type="dxa"/>
            <w:vMerge/>
            <w:shd w:val="clear" w:color="auto" w:fill="D9D9D9" w:themeFill="background1" w:themeFillShade="D9"/>
            <w:vAlign w:val="bottom"/>
          </w:tcPr>
          <w:p w14:paraId="730D2495" w14:textId="77777777" w:rsidR="006225EC" w:rsidRPr="00D9392A" w:rsidRDefault="006225EC" w:rsidP="00256450">
            <w:pPr>
              <w:pStyle w:val="NoSpacing"/>
            </w:pPr>
          </w:p>
        </w:tc>
        <w:tc>
          <w:tcPr>
            <w:tcW w:w="1350" w:type="dxa"/>
            <w:vMerge/>
            <w:shd w:val="clear" w:color="auto" w:fill="D9D9D9" w:themeFill="background1" w:themeFillShade="D9"/>
            <w:noWrap/>
            <w:vAlign w:val="bottom"/>
          </w:tcPr>
          <w:p w14:paraId="5A415A8B" w14:textId="77777777" w:rsidR="006225EC" w:rsidRPr="00D9392A" w:rsidRDefault="006225EC" w:rsidP="00256450">
            <w:pPr>
              <w:pStyle w:val="NoSpacing"/>
            </w:pPr>
          </w:p>
        </w:tc>
        <w:tc>
          <w:tcPr>
            <w:tcW w:w="2055" w:type="dxa"/>
            <w:noWrap/>
            <w:vAlign w:val="center"/>
            <w:hideMark/>
          </w:tcPr>
          <w:p w14:paraId="183B6E6D" w14:textId="77777777" w:rsidR="006225EC" w:rsidRPr="00D9392A" w:rsidRDefault="000F5B51" w:rsidP="00494B3C">
            <w:pPr>
              <w:pStyle w:val="NoSpacing"/>
            </w:pPr>
            <w:r>
              <w:rPr>
                <w:color w:val="000000"/>
              </w:rPr>
              <w:t>(4) Severe Injury</w:t>
            </w:r>
          </w:p>
        </w:tc>
        <w:tc>
          <w:tcPr>
            <w:tcW w:w="922" w:type="dxa"/>
            <w:shd w:val="clear" w:color="auto" w:fill="FFFFFF" w:themeFill="background1"/>
            <w:noWrap/>
            <w:vAlign w:val="center"/>
            <w:hideMark/>
          </w:tcPr>
          <w:p w14:paraId="3B07FC9A" w14:textId="77777777" w:rsidR="006225EC" w:rsidRPr="00D9392A" w:rsidRDefault="000F5B51" w:rsidP="00CB16B1">
            <w:pPr>
              <w:pStyle w:val="NoSpacing"/>
            </w:pPr>
            <w:r w:rsidRPr="006E1748">
              <w:t>0.500</w:t>
            </w:r>
          </w:p>
        </w:tc>
        <w:tc>
          <w:tcPr>
            <w:tcW w:w="1012" w:type="dxa"/>
            <w:noWrap/>
            <w:vAlign w:val="center"/>
            <w:hideMark/>
          </w:tcPr>
          <w:p w14:paraId="3C7271D8" w14:textId="77777777" w:rsidR="006225EC" w:rsidRPr="00D9392A" w:rsidRDefault="000F5B51">
            <w:pPr>
              <w:pStyle w:val="NoSpacing"/>
            </w:pPr>
            <w:r w:rsidRPr="00CE2168">
              <w:rPr>
                <w:rFonts w:cs="Calibri"/>
                <w:color w:val="000000"/>
              </w:rPr>
              <w:t>0.9787</w:t>
            </w:r>
          </w:p>
        </w:tc>
        <w:tc>
          <w:tcPr>
            <w:tcW w:w="1147" w:type="dxa"/>
            <w:vAlign w:val="center"/>
          </w:tcPr>
          <w:p w14:paraId="0D863367" w14:textId="77777777" w:rsidR="006225EC" w:rsidRPr="00D9392A" w:rsidRDefault="000F5B51">
            <w:pPr>
              <w:pStyle w:val="NoSpacing"/>
            </w:pPr>
            <w:r w:rsidRPr="00CE2168">
              <w:rPr>
                <w:rFonts w:cs="Calibri"/>
                <w:color w:val="000000"/>
              </w:rPr>
              <w:t>0.9781</w:t>
            </w:r>
          </w:p>
        </w:tc>
        <w:tc>
          <w:tcPr>
            <w:tcW w:w="888" w:type="dxa"/>
            <w:noWrap/>
            <w:vAlign w:val="center"/>
            <w:hideMark/>
          </w:tcPr>
          <w:p w14:paraId="706EB847" w14:textId="77777777" w:rsidR="006225EC" w:rsidRPr="00D9392A" w:rsidRDefault="000F5B51">
            <w:pPr>
              <w:pStyle w:val="NoSpacing"/>
            </w:pPr>
            <w:r w:rsidRPr="00CE2168">
              <w:rPr>
                <w:rFonts w:cs="Calibri"/>
                <w:color w:val="000000"/>
              </w:rPr>
              <w:t>0.9800</w:t>
            </w:r>
          </w:p>
        </w:tc>
        <w:tc>
          <w:tcPr>
            <w:tcW w:w="867" w:type="dxa"/>
            <w:noWrap/>
            <w:vAlign w:val="center"/>
            <w:hideMark/>
          </w:tcPr>
          <w:p w14:paraId="62A06F08" w14:textId="77777777" w:rsidR="006225EC" w:rsidRPr="00D9392A" w:rsidRDefault="000F5B51">
            <w:pPr>
              <w:pStyle w:val="NoSpacing"/>
            </w:pPr>
            <w:r w:rsidRPr="00CE2168">
              <w:rPr>
                <w:rFonts w:cs="Calibri"/>
                <w:color w:val="000000"/>
              </w:rPr>
              <w:t>0.9815</w:t>
            </w:r>
          </w:p>
        </w:tc>
        <w:tc>
          <w:tcPr>
            <w:tcW w:w="867" w:type="dxa"/>
            <w:noWrap/>
            <w:vAlign w:val="center"/>
            <w:hideMark/>
          </w:tcPr>
          <w:p w14:paraId="3FD06DD5" w14:textId="77777777" w:rsidR="006225EC" w:rsidRPr="00D9392A" w:rsidRDefault="000F5B51">
            <w:pPr>
              <w:pStyle w:val="NoSpacing"/>
            </w:pPr>
            <w:r w:rsidRPr="00CE2168">
              <w:rPr>
                <w:rFonts w:cs="Calibri"/>
                <w:color w:val="000000"/>
              </w:rPr>
              <w:t>0.9822</w:t>
            </w:r>
          </w:p>
        </w:tc>
      </w:tr>
      <w:tr w:rsidR="00A15C2C" w14:paraId="7783087D" w14:textId="77777777" w:rsidTr="00511B92">
        <w:trPr>
          <w:trHeight w:val="300"/>
          <w:jc w:val="center"/>
        </w:trPr>
        <w:tc>
          <w:tcPr>
            <w:tcW w:w="985" w:type="dxa"/>
            <w:vMerge/>
            <w:shd w:val="clear" w:color="auto" w:fill="D9D9D9" w:themeFill="background1" w:themeFillShade="D9"/>
            <w:vAlign w:val="bottom"/>
          </w:tcPr>
          <w:p w14:paraId="6D568048" w14:textId="77777777" w:rsidR="006225EC" w:rsidRPr="00D9392A" w:rsidRDefault="006225EC" w:rsidP="00256450">
            <w:pPr>
              <w:pStyle w:val="NoSpacing"/>
            </w:pPr>
          </w:p>
        </w:tc>
        <w:tc>
          <w:tcPr>
            <w:tcW w:w="1350" w:type="dxa"/>
            <w:vMerge/>
            <w:shd w:val="clear" w:color="auto" w:fill="D9D9D9" w:themeFill="background1" w:themeFillShade="D9"/>
            <w:noWrap/>
            <w:vAlign w:val="bottom"/>
          </w:tcPr>
          <w:p w14:paraId="2A843874" w14:textId="77777777" w:rsidR="006225EC" w:rsidRPr="00D9392A" w:rsidRDefault="006225EC" w:rsidP="00256450">
            <w:pPr>
              <w:pStyle w:val="NoSpacing"/>
            </w:pPr>
          </w:p>
        </w:tc>
        <w:tc>
          <w:tcPr>
            <w:tcW w:w="2055" w:type="dxa"/>
            <w:shd w:val="clear" w:color="D9E1F2" w:fill="D9E1F2"/>
            <w:noWrap/>
            <w:vAlign w:val="center"/>
            <w:hideMark/>
          </w:tcPr>
          <w:p w14:paraId="2D767C01" w14:textId="77777777" w:rsidR="006225EC" w:rsidRPr="00D9392A" w:rsidRDefault="000F5B51" w:rsidP="00494B3C">
            <w:pPr>
              <w:pStyle w:val="NoSpacing"/>
            </w:pPr>
            <w:r>
              <w:rPr>
                <w:color w:val="000000"/>
              </w:rPr>
              <w:t>(5) Critical Injury</w:t>
            </w:r>
          </w:p>
        </w:tc>
        <w:tc>
          <w:tcPr>
            <w:tcW w:w="922" w:type="dxa"/>
            <w:shd w:val="clear" w:color="auto" w:fill="FFFFFF" w:themeFill="background1"/>
            <w:noWrap/>
            <w:vAlign w:val="center"/>
            <w:hideMark/>
          </w:tcPr>
          <w:p w14:paraId="357FFF3E" w14:textId="77777777" w:rsidR="006225EC" w:rsidRPr="00D9392A" w:rsidRDefault="000F5B51" w:rsidP="00CB16B1">
            <w:pPr>
              <w:pStyle w:val="NoSpacing"/>
            </w:pPr>
            <w:r w:rsidRPr="006E1748">
              <w:t>0.500</w:t>
            </w:r>
          </w:p>
        </w:tc>
        <w:tc>
          <w:tcPr>
            <w:tcW w:w="1012" w:type="dxa"/>
            <w:shd w:val="clear" w:color="D9E1F2" w:fill="D9E1F2"/>
            <w:noWrap/>
            <w:vAlign w:val="center"/>
            <w:hideMark/>
          </w:tcPr>
          <w:p w14:paraId="0A6FAEF0" w14:textId="77777777" w:rsidR="006225EC" w:rsidRPr="00D9392A" w:rsidRDefault="000F5B51">
            <w:pPr>
              <w:pStyle w:val="NoSpacing"/>
            </w:pPr>
            <w:r w:rsidRPr="00CE2168">
              <w:rPr>
                <w:rFonts w:cs="Calibri"/>
                <w:color w:val="000000"/>
              </w:rPr>
              <w:t>0.9787</w:t>
            </w:r>
          </w:p>
        </w:tc>
        <w:tc>
          <w:tcPr>
            <w:tcW w:w="1147" w:type="dxa"/>
            <w:shd w:val="clear" w:color="D9E1F2" w:fill="D9E1F2"/>
            <w:vAlign w:val="center"/>
          </w:tcPr>
          <w:p w14:paraId="7996F69D" w14:textId="77777777" w:rsidR="006225EC" w:rsidRPr="00D9392A" w:rsidRDefault="000F5B51">
            <w:pPr>
              <w:pStyle w:val="NoSpacing"/>
            </w:pPr>
            <w:r w:rsidRPr="00CE2168">
              <w:rPr>
                <w:rFonts w:cs="Calibri"/>
                <w:color w:val="000000"/>
              </w:rPr>
              <w:t>0.9781</w:t>
            </w:r>
          </w:p>
        </w:tc>
        <w:tc>
          <w:tcPr>
            <w:tcW w:w="888" w:type="dxa"/>
            <w:shd w:val="clear" w:color="D9E1F2" w:fill="D9E1F2"/>
            <w:noWrap/>
            <w:vAlign w:val="center"/>
            <w:hideMark/>
          </w:tcPr>
          <w:p w14:paraId="2F7FE58A" w14:textId="77777777" w:rsidR="006225EC" w:rsidRPr="00D9392A" w:rsidRDefault="000F5B51">
            <w:pPr>
              <w:pStyle w:val="NoSpacing"/>
            </w:pPr>
            <w:r w:rsidRPr="00CE2168">
              <w:rPr>
                <w:rFonts w:cs="Calibri"/>
                <w:color w:val="000000"/>
              </w:rPr>
              <w:t>0.9800</w:t>
            </w:r>
          </w:p>
        </w:tc>
        <w:tc>
          <w:tcPr>
            <w:tcW w:w="867" w:type="dxa"/>
            <w:shd w:val="clear" w:color="D9E1F2" w:fill="D9E1F2"/>
            <w:noWrap/>
            <w:vAlign w:val="center"/>
            <w:hideMark/>
          </w:tcPr>
          <w:p w14:paraId="5895A663" w14:textId="77777777" w:rsidR="006225EC" w:rsidRPr="00D9392A" w:rsidRDefault="000F5B51">
            <w:pPr>
              <w:pStyle w:val="NoSpacing"/>
            </w:pPr>
            <w:r w:rsidRPr="00CE2168">
              <w:rPr>
                <w:rFonts w:cs="Calibri"/>
                <w:color w:val="000000"/>
              </w:rPr>
              <w:t>0.9815</w:t>
            </w:r>
          </w:p>
        </w:tc>
        <w:tc>
          <w:tcPr>
            <w:tcW w:w="867" w:type="dxa"/>
            <w:shd w:val="clear" w:color="D9E1F2" w:fill="D9E1F2"/>
            <w:noWrap/>
            <w:vAlign w:val="center"/>
            <w:hideMark/>
          </w:tcPr>
          <w:p w14:paraId="001D1A35" w14:textId="77777777" w:rsidR="006225EC" w:rsidRPr="00D9392A" w:rsidRDefault="000F5B51">
            <w:pPr>
              <w:pStyle w:val="NoSpacing"/>
            </w:pPr>
            <w:r w:rsidRPr="00CE2168">
              <w:rPr>
                <w:rFonts w:cs="Calibri"/>
                <w:color w:val="000000"/>
              </w:rPr>
              <w:t>0.9822</w:t>
            </w:r>
          </w:p>
        </w:tc>
      </w:tr>
      <w:tr w:rsidR="00A15C2C" w14:paraId="5FBB21E1" w14:textId="77777777" w:rsidTr="0055589E">
        <w:trPr>
          <w:trHeight w:val="65"/>
          <w:jc w:val="center"/>
        </w:trPr>
        <w:tc>
          <w:tcPr>
            <w:tcW w:w="985" w:type="dxa"/>
            <w:vMerge/>
            <w:shd w:val="clear" w:color="auto" w:fill="D9D9D9" w:themeFill="background1" w:themeFillShade="D9"/>
            <w:vAlign w:val="bottom"/>
          </w:tcPr>
          <w:p w14:paraId="78E9AE2D" w14:textId="77777777" w:rsidR="00083F06" w:rsidRPr="00D9392A" w:rsidRDefault="00083F06" w:rsidP="00256450">
            <w:pPr>
              <w:pStyle w:val="NoSpacing"/>
            </w:pPr>
          </w:p>
        </w:tc>
        <w:tc>
          <w:tcPr>
            <w:tcW w:w="1350" w:type="dxa"/>
            <w:vMerge/>
            <w:shd w:val="clear" w:color="auto" w:fill="D9D9D9" w:themeFill="background1" w:themeFillShade="D9"/>
            <w:noWrap/>
            <w:vAlign w:val="bottom"/>
          </w:tcPr>
          <w:p w14:paraId="37CBEBDC" w14:textId="77777777" w:rsidR="00083F06" w:rsidRPr="00D9392A" w:rsidRDefault="00083F06" w:rsidP="00256450">
            <w:pPr>
              <w:pStyle w:val="NoSpacing"/>
            </w:pPr>
          </w:p>
        </w:tc>
        <w:tc>
          <w:tcPr>
            <w:tcW w:w="2055" w:type="dxa"/>
            <w:noWrap/>
            <w:vAlign w:val="center"/>
            <w:hideMark/>
          </w:tcPr>
          <w:p w14:paraId="252425F9" w14:textId="77777777" w:rsidR="00083F06" w:rsidRPr="00D9392A" w:rsidRDefault="000F5B51" w:rsidP="00494B3C">
            <w:pPr>
              <w:pStyle w:val="NoSpacing"/>
            </w:pPr>
            <w:r>
              <w:rPr>
                <w:color w:val="000000"/>
              </w:rPr>
              <w:t>Fatal</w:t>
            </w:r>
          </w:p>
          <w:p w14:paraId="76D18D22" w14:textId="77777777" w:rsidR="00083F06" w:rsidRPr="00D9392A" w:rsidRDefault="00083F06" w:rsidP="00CB16B1">
            <w:pPr>
              <w:pStyle w:val="NoSpacing"/>
            </w:pPr>
          </w:p>
        </w:tc>
        <w:tc>
          <w:tcPr>
            <w:tcW w:w="922" w:type="dxa"/>
            <w:shd w:val="clear" w:color="auto" w:fill="FFFFFF" w:themeFill="background1"/>
            <w:noWrap/>
            <w:vAlign w:val="center"/>
            <w:hideMark/>
          </w:tcPr>
          <w:p w14:paraId="60203CB9" w14:textId="77777777" w:rsidR="00083F06" w:rsidRPr="00D9392A" w:rsidRDefault="000F5B51">
            <w:pPr>
              <w:pStyle w:val="NoSpacing"/>
            </w:pPr>
            <w:r w:rsidRPr="006E1748">
              <w:t>0.440</w:t>
            </w:r>
          </w:p>
          <w:p w14:paraId="4FC66A49" w14:textId="77777777" w:rsidR="00083F06" w:rsidRPr="00D9392A" w:rsidRDefault="00083F06">
            <w:pPr>
              <w:pStyle w:val="NoSpacing"/>
            </w:pPr>
          </w:p>
        </w:tc>
        <w:tc>
          <w:tcPr>
            <w:tcW w:w="1012" w:type="dxa"/>
            <w:noWrap/>
            <w:vAlign w:val="center"/>
            <w:hideMark/>
          </w:tcPr>
          <w:p w14:paraId="09E84DA3" w14:textId="77777777" w:rsidR="00083F06" w:rsidRPr="00D9392A" w:rsidRDefault="000F5B51">
            <w:pPr>
              <w:pStyle w:val="NoSpacing"/>
            </w:pPr>
            <w:r w:rsidRPr="00CE2168">
              <w:rPr>
                <w:rFonts w:cs="Calibri"/>
                <w:color w:val="000000"/>
              </w:rPr>
              <w:t>0.8813</w:t>
            </w:r>
          </w:p>
          <w:p w14:paraId="2FF714E5" w14:textId="77777777" w:rsidR="00083F06" w:rsidRPr="00D9392A" w:rsidRDefault="00083F06">
            <w:pPr>
              <w:pStyle w:val="NoSpacing"/>
            </w:pPr>
          </w:p>
        </w:tc>
        <w:tc>
          <w:tcPr>
            <w:tcW w:w="1147" w:type="dxa"/>
            <w:vAlign w:val="center"/>
          </w:tcPr>
          <w:p w14:paraId="34E97540" w14:textId="77777777" w:rsidR="00083F06" w:rsidRPr="00D9392A" w:rsidRDefault="000F5B51">
            <w:pPr>
              <w:pStyle w:val="NoSpacing"/>
            </w:pPr>
            <w:r w:rsidRPr="00CE2168">
              <w:rPr>
                <w:rFonts w:cs="Calibri"/>
                <w:color w:val="000000"/>
              </w:rPr>
              <w:t>0.8806</w:t>
            </w:r>
          </w:p>
        </w:tc>
        <w:tc>
          <w:tcPr>
            <w:tcW w:w="888" w:type="dxa"/>
            <w:noWrap/>
            <w:vAlign w:val="center"/>
            <w:hideMark/>
          </w:tcPr>
          <w:p w14:paraId="7B43ECD7" w14:textId="77777777" w:rsidR="00083F06" w:rsidRPr="00D9392A" w:rsidRDefault="000F5B51">
            <w:pPr>
              <w:pStyle w:val="NoSpacing"/>
            </w:pPr>
            <w:r w:rsidRPr="00CE2168">
              <w:rPr>
                <w:rFonts w:cs="Calibri"/>
                <w:color w:val="000000"/>
              </w:rPr>
              <w:t>0.8825</w:t>
            </w:r>
          </w:p>
          <w:p w14:paraId="77E1F714" w14:textId="77777777" w:rsidR="00083F06" w:rsidRPr="00D9392A" w:rsidRDefault="00083F06">
            <w:pPr>
              <w:pStyle w:val="NoSpacing"/>
            </w:pPr>
          </w:p>
        </w:tc>
        <w:tc>
          <w:tcPr>
            <w:tcW w:w="867" w:type="dxa"/>
            <w:noWrap/>
            <w:vAlign w:val="center"/>
            <w:hideMark/>
          </w:tcPr>
          <w:p w14:paraId="32D0A796" w14:textId="77777777" w:rsidR="00083F06" w:rsidRPr="00D9392A" w:rsidRDefault="000F5B51">
            <w:pPr>
              <w:pStyle w:val="NoSpacing"/>
            </w:pPr>
            <w:r w:rsidRPr="00CE2168">
              <w:rPr>
                <w:rFonts w:cs="Calibri"/>
                <w:color w:val="000000"/>
              </w:rPr>
              <w:t>0.8845</w:t>
            </w:r>
          </w:p>
          <w:p w14:paraId="09B9FFEF" w14:textId="77777777" w:rsidR="00083F06" w:rsidRPr="00D9392A" w:rsidRDefault="00083F06">
            <w:pPr>
              <w:pStyle w:val="NoSpacing"/>
            </w:pPr>
          </w:p>
        </w:tc>
        <w:tc>
          <w:tcPr>
            <w:tcW w:w="867" w:type="dxa"/>
            <w:noWrap/>
            <w:vAlign w:val="center"/>
            <w:hideMark/>
          </w:tcPr>
          <w:p w14:paraId="3F9C3084" w14:textId="77777777" w:rsidR="00083F06" w:rsidRPr="00D9392A" w:rsidRDefault="000F5B51">
            <w:pPr>
              <w:pStyle w:val="NoSpacing"/>
            </w:pPr>
            <w:r w:rsidRPr="00CE2168">
              <w:rPr>
                <w:rFonts w:cs="Calibri"/>
                <w:color w:val="000000"/>
              </w:rPr>
              <w:t>0.8855</w:t>
            </w:r>
          </w:p>
          <w:p w14:paraId="65FE16BC" w14:textId="77777777" w:rsidR="00083F06" w:rsidRPr="00D9392A" w:rsidRDefault="00083F06">
            <w:pPr>
              <w:pStyle w:val="NoSpacing"/>
            </w:pPr>
          </w:p>
        </w:tc>
      </w:tr>
      <w:tr w:rsidR="00A15C2C" w14:paraId="69AE3DA1" w14:textId="77777777" w:rsidTr="00511B92">
        <w:trPr>
          <w:trHeight w:val="300"/>
          <w:jc w:val="center"/>
        </w:trPr>
        <w:tc>
          <w:tcPr>
            <w:tcW w:w="985" w:type="dxa"/>
            <w:vMerge/>
            <w:shd w:val="clear" w:color="auto" w:fill="D9D9D9" w:themeFill="background1" w:themeFillShade="D9"/>
            <w:vAlign w:val="bottom"/>
          </w:tcPr>
          <w:p w14:paraId="290FB10C" w14:textId="77777777" w:rsidR="00083F06" w:rsidRPr="00D9392A" w:rsidRDefault="00083F06" w:rsidP="00083F06">
            <w:pPr>
              <w:pStyle w:val="NoSpacing"/>
            </w:pPr>
          </w:p>
        </w:tc>
        <w:tc>
          <w:tcPr>
            <w:tcW w:w="1350" w:type="dxa"/>
            <w:vMerge w:val="restart"/>
            <w:shd w:val="clear" w:color="auto" w:fill="D9D9D9" w:themeFill="background1" w:themeFillShade="D9"/>
            <w:noWrap/>
            <w:vAlign w:val="center"/>
          </w:tcPr>
          <w:p w14:paraId="5A07D9F2" w14:textId="77777777" w:rsidR="00083F06" w:rsidRPr="006225EC" w:rsidRDefault="000F5B51" w:rsidP="006225EC">
            <w:pPr>
              <w:pStyle w:val="NoSpacing"/>
              <w:rPr>
                <w:b/>
                <w:bCs/>
              </w:rPr>
            </w:pPr>
            <w:r w:rsidRPr="006225EC">
              <w:rPr>
                <w:b/>
                <w:bCs/>
              </w:rPr>
              <w:t>LTV</w:t>
            </w:r>
          </w:p>
        </w:tc>
        <w:tc>
          <w:tcPr>
            <w:tcW w:w="2055" w:type="dxa"/>
            <w:shd w:val="clear" w:color="auto" w:fill="D9E2F3" w:themeFill="accent1" w:themeFillTint="33"/>
            <w:noWrap/>
            <w:vAlign w:val="center"/>
          </w:tcPr>
          <w:p w14:paraId="7A4108C7" w14:textId="77777777" w:rsidR="00083F06" w:rsidRDefault="000F5B51" w:rsidP="00494B3C">
            <w:pPr>
              <w:pStyle w:val="NoSpacing"/>
              <w:rPr>
                <w:color w:val="000000"/>
              </w:rPr>
            </w:pPr>
            <w:r>
              <w:rPr>
                <w:color w:val="000000"/>
              </w:rPr>
              <w:t>(1) Minor Injury</w:t>
            </w:r>
          </w:p>
        </w:tc>
        <w:tc>
          <w:tcPr>
            <w:tcW w:w="922" w:type="dxa"/>
            <w:shd w:val="clear" w:color="auto" w:fill="D9E2F3" w:themeFill="accent1" w:themeFillTint="33"/>
            <w:noWrap/>
            <w:vAlign w:val="center"/>
          </w:tcPr>
          <w:p w14:paraId="2BFAC1C4" w14:textId="77777777" w:rsidR="00083F06" w:rsidRPr="006E1748" w:rsidRDefault="000F5B51" w:rsidP="00CB16B1">
            <w:pPr>
              <w:pStyle w:val="NoSpacing"/>
            </w:pPr>
            <w:r w:rsidRPr="006E1748">
              <w:t>0.055</w:t>
            </w:r>
          </w:p>
        </w:tc>
        <w:tc>
          <w:tcPr>
            <w:tcW w:w="1012" w:type="dxa"/>
            <w:shd w:val="clear" w:color="auto" w:fill="D9E2F3" w:themeFill="accent1" w:themeFillTint="33"/>
            <w:noWrap/>
            <w:vAlign w:val="center"/>
          </w:tcPr>
          <w:p w14:paraId="4DE83F43" w14:textId="77777777" w:rsidR="00083F06" w:rsidRPr="00CE2168" w:rsidRDefault="000F5B51">
            <w:pPr>
              <w:pStyle w:val="NoSpacing"/>
              <w:rPr>
                <w:rFonts w:cs="Calibri"/>
                <w:color w:val="000000"/>
              </w:rPr>
            </w:pPr>
            <w:r w:rsidRPr="00CE2168">
              <w:rPr>
                <w:rFonts w:cs="Calibri"/>
                <w:color w:val="000000"/>
              </w:rPr>
              <w:t>0.9787</w:t>
            </w:r>
          </w:p>
        </w:tc>
        <w:tc>
          <w:tcPr>
            <w:tcW w:w="1147" w:type="dxa"/>
            <w:shd w:val="clear" w:color="auto" w:fill="D9E2F3" w:themeFill="accent1" w:themeFillTint="33"/>
            <w:vAlign w:val="center"/>
          </w:tcPr>
          <w:p w14:paraId="61CFDCFB" w14:textId="77777777" w:rsidR="00083F06" w:rsidRPr="00CE2168" w:rsidRDefault="000F5B51">
            <w:pPr>
              <w:pStyle w:val="NoSpacing"/>
              <w:rPr>
                <w:rFonts w:cs="Calibri"/>
                <w:color w:val="000000"/>
              </w:rPr>
            </w:pPr>
            <w:r w:rsidRPr="00CE2168">
              <w:rPr>
                <w:rFonts w:cs="Calibri"/>
                <w:color w:val="000000"/>
              </w:rPr>
              <w:t>0.9781</w:t>
            </w:r>
          </w:p>
        </w:tc>
        <w:tc>
          <w:tcPr>
            <w:tcW w:w="888" w:type="dxa"/>
            <w:shd w:val="clear" w:color="auto" w:fill="D9E2F3" w:themeFill="accent1" w:themeFillTint="33"/>
            <w:noWrap/>
            <w:vAlign w:val="center"/>
          </w:tcPr>
          <w:p w14:paraId="7E5D7BBF" w14:textId="77777777" w:rsidR="00083F06" w:rsidRPr="00CE2168" w:rsidRDefault="000F5B51">
            <w:pPr>
              <w:pStyle w:val="NoSpacing"/>
              <w:rPr>
                <w:rFonts w:cs="Calibri"/>
                <w:color w:val="000000"/>
              </w:rPr>
            </w:pPr>
            <w:r w:rsidRPr="00CE2168">
              <w:rPr>
                <w:rFonts w:cs="Calibri"/>
                <w:color w:val="000000"/>
              </w:rPr>
              <w:t>0.9800</w:t>
            </w:r>
          </w:p>
        </w:tc>
        <w:tc>
          <w:tcPr>
            <w:tcW w:w="867" w:type="dxa"/>
            <w:shd w:val="clear" w:color="auto" w:fill="D9E2F3" w:themeFill="accent1" w:themeFillTint="33"/>
            <w:noWrap/>
            <w:vAlign w:val="center"/>
          </w:tcPr>
          <w:p w14:paraId="6361442C" w14:textId="77777777" w:rsidR="00083F06" w:rsidRPr="00CE2168" w:rsidRDefault="000F5B51">
            <w:pPr>
              <w:pStyle w:val="NoSpacing"/>
              <w:rPr>
                <w:rFonts w:cs="Calibri"/>
                <w:color w:val="000000"/>
              </w:rPr>
            </w:pPr>
            <w:r w:rsidRPr="00CE2168">
              <w:rPr>
                <w:rFonts w:cs="Calibri"/>
                <w:color w:val="000000"/>
              </w:rPr>
              <w:t>0.9815</w:t>
            </w:r>
          </w:p>
        </w:tc>
        <w:tc>
          <w:tcPr>
            <w:tcW w:w="867" w:type="dxa"/>
            <w:shd w:val="clear" w:color="auto" w:fill="D9E2F3" w:themeFill="accent1" w:themeFillTint="33"/>
            <w:noWrap/>
            <w:vAlign w:val="center"/>
          </w:tcPr>
          <w:p w14:paraId="25813A81" w14:textId="77777777" w:rsidR="00083F06" w:rsidRPr="00CE2168" w:rsidRDefault="000F5B51">
            <w:pPr>
              <w:pStyle w:val="NoSpacing"/>
              <w:rPr>
                <w:rFonts w:cs="Calibri"/>
                <w:color w:val="000000"/>
              </w:rPr>
            </w:pPr>
            <w:r w:rsidRPr="00CE2168">
              <w:rPr>
                <w:rFonts w:cs="Calibri"/>
                <w:color w:val="000000"/>
              </w:rPr>
              <w:t>0.9822</w:t>
            </w:r>
          </w:p>
        </w:tc>
      </w:tr>
      <w:tr w:rsidR="00A15C2C" w14:paraId="6C332F27" w14:textId="77777777" w:rsidTr="0055589E">
        <w:trPr>
          <w:trHeight w:val="300"/>
          <w:jc w:val="center"/>
        </w:trPr>
        <w:tc>
          <w:tcPr>
            <w:tcW w:w="985" w:type="dxa"/>
            <w:vMerge/>
            <w:shd w:val="clear" w:color="auto" w:fill="D9D9D9" w:themeFill="background1" w:themeFillShade="D9"/>
            <w:vAlign w:val="bottom"/>
          </w:tcPr>
          <w:p w14:paraId="5C7F305D" w14:textId="77777777" w:rsidR="00083F06" w:rsidRPr="00D9392A" w:rsidRDefault="00083F06" w:rsidP="00256450">
            <w:pPr>
              <w:pStyle w:val="NoSpacing"/>
            </w:pPr>
          </w:p>
        </w:tc>
        <w:tc>
          <w:tcPr>
            <w:tcW w:w="1350" w:type="dxa"/>
            <w:vMerge/>
            <w:shd w:val="clear" w:color="auto" w:fill="D9D9D9" w:themeFill="background1" w:themeFillShade="D9"/>
            <w:noWrap/>
            <w:vAlign w:val="center"/>
          </w:tcPr>
          <w:p w14:paraId="166F48B0" w14:textId="77777777" w:rsidR="00083F06" w:rsidRPr="006225EC" w:rsidRDefault="00083F06" w:rsidP="006225EC">
            <w:pPr>
              <w:pStyle w:val="NoSpacing"/>
              <w:rPr>
                <w:b/>
                <w:bCs/>
              </w:rPr>
            </w:pPr>
          </w:p>
        </w:tc>
        <w:tc>
          <w:tcPr>
            <w:tcW w:w="2055" w:type="dxa"/>
            <w:noWrap/>
            <w:vAlign w:val="bottom"/>
            <w:hideMark/>
          </w:tcPr>
          <w:p w14:paraId="464446CD" w14:textId="77777777" w:rsidR="00083F06" w:rsidRPr="00D9392A" w:rsidRDefault="000F5B51" w:rsidP="0055589E">
            <w:pPr>
              <w:pStyle w:val="NoSpacing"/>
              <w:jc w:val="left"/>
            </w:pPr>
            <w:r>
              <w:rPr>
                <w:color w:val="000000"/>
              </w:rPr>
              <w:t>(2) Moderate Injury</w:t>
            </w:r>
          </w:p>
        </w:tc>
        <w:tc>
          <w:tcPr>
            <w:tcW w:w="922" w:type="dxa"/>
            <w:shd w:val="clear" w:color="auto" w:fill="FFFFFF" w:themeFill="background1"/>
            <w:noWrap/>
            <w:hideMark/>
          </w:tcPr>
          <w:p w14:paraId="445D0F86" w14:textId="77777777" w:rsidR="00083F06" w:rsidRPr="00D9392A" w:rsidRDefault="000F5B51" w:rsidP="00256450">
            <w:pPr>
              <w:pStyle w:val="NoSpacing"/>
            </w:pPr>
            <w:r w:rsidRPr="006E1748">
              <w:t>0.500</w:t>
            </w:r>
          </w:p>
        </w:tc>
        <w:tc>
          <w:tcPr>
            <w:tcW w:w="1012" w:type="dxa"/>
            <w:noWrap/>
            <w:vAlign w:val="bottom"/>
            <w:hideMark/>
          </w:tcPr>
          <w:p w14:paraId="4129547B" w14:textId="77777777" w:rsidR="00083F06" w:rsidRPr="00D9392A" w:rsidRDefault="000F5B51" w:rsidP="00256450">
            <w:pPr>
              <w:pStyle w:val="NoSpacing"/>
            </w:pPr>
            <w:r w:rsidRPr="00CE2168">
              <w:rPr>
                <w:rFonts w:cs="Calibri"/>
                <w:color w:val="000000"/>
              </w:rPr>
              <w:t>0.9787</w:t>
            </w:r>
          </w:p>
        </w:tc>
        <w:tc>
          <w:tcPr>
            <w:tcW w:w="1147" w:type="dxa"/>
            <w:vAlign w:val="bottom"/>
          </w:tcPr>
          <w:p w14:paraId="699AD37D" w14:textId="77777777" w:rsidR="00083F06" w:rsidRPr="00D9392A" w:rsidRDefault="000F5B51" w:rsidP="00256450">
            <w:pPr>
              <w:pStyle w:val="NoSpacing"/>
            </w:pPr>
            <w:r w:rsidRPr="00CE2168">
              <w:rPr>
                <w:rFonts w:cs="Calibri"/>
                <w:color w:val="000000"/>
              </w:rPr>
              <w:t>0.9781</w:t>
            </w:r>
          </w:p>
        </w:tc>
        <w:tc>
          <w:tcPr>
            <w:tcW w:w="888" w:type="dxa"/>
            <w:noWrap/>
            <w:vAlign w:val="bottom"/>
            <w:hideMark/>
          </w:tcPr>
          <w:p w14:paraId="73B05652" w14:textId="77777777" w:rsidR="00083F06" w:rsidRPr="00D9392A" w:rsidRDefault="000F5B51" w:rsidP="00256450">
            <w:pPr>
              <w:pStyle w:val="NoSpacing"/>
            </w:pPr>
            <w:r w:rsidRPr="00CE2168">
              <w:rPr>
                <w:rFonts w:cs="Calibri"/>
                <w:color w:val="000000"/>
              </w:rPr>
              <w:t>0.9800</w:t>
            </w:r>
          </w:p>
        </w:tc>
        <w:tc>
          <w:tcPr>
            <w:tcW w:w="867" w:type="dxa"/>
            <w:noWrap/>
            <w:vAlign w:val="bottom"/>
            <w:hideMark/>
          </w:tcPr>
          <w:p w14:paraId="4EEC87EA" w14:textId="77777777" w:rsidR="00083F06" w:rsidRPr="00D9392A" w:rsidRDefault="000F5B51" w:rsidP="00256450">
            <w:pPr>
              <w:pStyle w:val="NoSpacing"/>
            </w:pPr>
            <w:r w:rsidRPr="00CE2168">
              <w:rPr>
                <w:rFonts w:cs="Calibri"/>
                <w:color w:val="000000"/>
              </w:rPr>
              <w:t>0.9815</w:t>
            </w:r>
          </w:p>
        </w:tc>
        <w:tc>
          <w:tcPr>
            <w:tcW w:w="867" w:type="dxa"/>
            <w:noWrap/>
            <w:vAlign w:val="bottom"/>
            <w:hideMark/>
          </w:tcPr>
          <w:p w14:paraId="63270D39" w14:textId="77777777" w:rsidR="00083F06" w:rsidRPr="00D9392A" w:rsidRDefault="000F5B51" w:rsidP="00256450">
            <w:pPr>
              <w:pStyle w:val="NoSpacing"/>
            </w:pPr>
            <w:r w:rsidRPr="00CE2168">
              <w:rPr>
                <w:rFonts w:cs="Calibri"/>
                <w:color w:val="000000"/>
              </w:rPr>
              <w:t>0.9822</w:t>
            </w:r>
          </w:p>
        </w:tc>
      </w:tr>
      <w:tr w:rsidR="00A15C2C" w14:paraId="459F65CF" w14:textId="77777777" w:rsidTr="00511B92">
        <w:trPr>
          <w:trHeight w:val="300"/>
          <w:jc w:val="center"/>
        </w:trPr>
        <w:tc>
          <w:tcPr>
            <w:tcW w:w="985" w:type="dxa"/>
            <w:vMerge/>
            <w:shd w:val="clear" w:color="auto" w:fill="D9D9D9" w:themeFill="background1" w:themeFillShade="D9"/>
            <w:vAlign w:val="bottom"/>
          </w:tcPr>
          <w:p w14:paraId="02A4D725" w14:textId="77777777" w:rsidR="00083F06" w:rsidRPr="00D9392A" w:rsidRDefault="00083F06" w:rsidP="00256450">
            <w:pPr>
              <w:pStyle w:val="NoSpacing"/>
            </w:pPr>
          </w:p>
        </w:tc>
        <w:tc>
          <w:tcPr>
            <w:tcW w:w="1350" w:type="dxa"/>
            <w:vMerge/>
            <w:shd w:val="clear" w:color="auto" w:fill="D9D9D9" w:themeFill="background1" w:themeFillShade="D9"/>
            <w:noWrap/>
            <w:vAlign w:val="bottom"/>
          </w:tcPr>
          <w:p w14:paraId="08DE502E" w14:textId="77777777" w:rsidR="00083F06" w:rsidRPr="00D9392A" w:rsidRDefault="00083F06" w:rsidP="00256450">
            <w:pPr>
              <w:pStyle w:val="NoSpacing"/>
            </w:pPr>
          </w:p>
        </w:tc>
        <w:tc>
          <w:tcPr>
            <w:tcW w:w="2055" w:type="dxa"/>
            <w:shd w:val="clear" w:color="D9E1F2" w:fill="D9E1F2"/>
            <w:noWrap/>
            <w:vAlign w:val="bottom"/>
            <w:hideMark/>
          </w:tcPr>
          <w:p w14:paraId="53B6AEDB" w14:textId="77777777" w:rsidR="00083F06" w:rsidRPr="00D9392A" w:rsidRDefault="000F5B51" w:rsidP="00256450">
            <w:pPr>
              <w:pStyle w:val="NoSpacing"/>
            </w:pPr>
            <w:r>
              <w:rPr>
                <w:color w:val="000000"/>
              </w:rPr>
              <w:t>(3) Serious Injury</w:t>
            </w:r>
          </w:p>
        </w:tc>
        <w:tc>
          <w:tcPr>
            <w:tcW w:w="922" w:type="dxa"/>
            <w:shd w:val="clear" w:color="auto" w:fill="FFFFFF" w:themeFill="background1"/>
            <w:noWrap/>
            <w:hideMark/>
          </w:tcPr>
          <w:p w14:paraId="225EF698" w14:textId="77777777" w:rsidR="00083F06" w:rsidRPr="00D9392A" w:rsidRDefault="000F5B51" w:rsidP="00256450">
            <w:pPr>
              <w:pStyle w:val="NoSpacing"/>
            </w:pPr>
            <w:r w:rsidRPr="006E1748">
              <w:t>0.500</w:t>
            </w:r>
          </w:p>
        </w:tc>
        <w:tc>
          <w:tcPr>
            <w:tcW w:w="1012" w:type="dxa"/>
            <w:shd w:val="clear" w:color="D9E1F2" w:fill="D9E1F2"/>
            <w:noWrap/>
            <w:vAlign w:val="bottom"/>
            <w:hideMark/>
          </w:tcPr>
          <w:p w14:paraId="3026F71E" w14:textId="77777777" w:rsidR="00083F06" w:rsidRPr="00D9392A" w:rsidRDefault="000F5B51" w:rsidP="00256450">
            <w:pPr>
              <w:pStyle w:val="NoSpacing"/>
            </w:pPr>
            <w:r w:rsidRPr="00CE2168">
              <w:rPr>
                <w:rFonts w:cs="Calibri"/>
                <w:color w:val="000000"/>
              </w:rPr>
              <w:t>0.9787</w:t>
            </w:r>
          </w:p>
        </w:tc>
        <w:tc>
          <w:tcPr>
            <w:tcW w:w="1147" w:type="dxa"/>
            <w:shd w:val="clear" w:color="D9E1F2" w:fill="D9E1F2"/>
            <w:vAlign w:val="bottom"/>
          </w:tcPr>
          <w:p w14:paraId="61E301D4" w14:textId="77777777" w:rsidR="00083F06" w:rsidRPr="00D9392A" w:rsidRDefault="000F5B51" w:rsidP="00256450">
            <w:pPr>
              <w:pStyle w:val="NoSpacing"/>
            </w:pPr>
            <w:r w:rsidRPr="00CE2168">
              <w:rPr>
                <w:rFonts w:cs="Calibri"/>
                <w:color w:val="000000"/>
              </w:rPr>
              <w:t>0.9781</w:t>
            </w:r>
          </w:p>
        </w:tc>
        <w:tc>
          <w:tcPr>
            <w:tcW w:w="888" w:type="dxa"/>
            <w:shd w:val="clear" w:color="D9E1F2" w:fill="D9E1F2"/>
            <w:noWrap/>
            <w:vAlign w:val="bottom"/>
            <w:hideMark/>
          </w:tcPr>
          <w:p w14:paraId="5CCA0A3D" w14:textId="77777777" w:rsidR="00083F06" w:rsidRPr="00D9392A" w:rsidRDefault="000F5B51" w:rsidP="00256450">
            <w:pPr>
              <w:pStyle w:val="NoSpacing"/>
            </w:pPr>
            <w:r w:rsidRPr="00CE2168">
              <w:rPr>
                <w:rFonts w:cs="Calibri"/>
                <w:color w:val="000000"/>
              </w:rPr>
              <w:t>0.9800</w:t>
            </w:r>
          </w:p>
        </w:tc>
        <w:tc>
          <w:tcPr>
            <w:tcW w:w="867" w:type="dxa"/>
            <w:shd w:val="clear" w:color="D9E1F2" w:fill="D9E1F2"/>
            <w:noWrap/>
            <w:vAlign w:val="bottom"/>
            <w:hideMark/>
          </w:tcPr>
          <w:p w14:paraId="4DF7B966" w14:textId="77777777" w:rsidR="00083F06" w:rsidRPr="00D9392A" w:rsidRDefault="000F5B51" w:rsidP="00256450">
            <w:pPr>
              <w:pStyle w:val="NoSpacing"/>
            </w:pPr>
            <w:r w:rsidRPr="00CE2168">
              <w:rPr>
                <w:rFonts w:cs="Calibri"/>
                <w:color w:val="000000"/>
              </w:rPr>
              <w:t>0.9815</w:t>
            </w:r>
          </w:p>
        </w:tc>
        <w:tc>
          <w:tcPr>
            <w:tcW w:w="867" w:type="dxa"/>
            <w:shd w:val="clear" w:color="D9E1F2" w:fill="D9E1F2"/>
            <w:noWrap/>
            <w:vAlign w:val="bottom"/>
            <w:hideMark/>
          </w:tcPr>
          <w:p w14:paraId="339065D5" w14:textId="77777777" w:rsidR="00083F06" w:rsidRPr="00D9392A" w:rsidRDefault="000F5B51" w:rsidP="00256450">
            <w:pPr>
              <w:pStyle w:val="NoSpacing"/>
            </w:pPr>
            <w:r w:rsidRPr="00CE2168">
              <w:rPr>
                <w:rFonts w:cs="Calibri"/>
                <w:color w:val="000000"/>
              </w:rPr>
              <w:t>0.9822</w:t>
            </w:r>
          </w:p>
        </w:tc>
      </w:tr>
      <w:tr w:rsidR="00A15C2C" w14:paraId="7894CB75" w14:textId="77777777" w:rsidTr="0055589E">
        <w:trPr>
          <w:trHeight w:val="300"/>
          <w:jc w:val="center"/>
        </w:trPr>
        <w:tc>
          <w:tcPr>
            <w:tcW w:w="985" w:type="dxa"/>
            <w:vMerge/>
            <w:shd w:val="clear" w:color="auto" w:fill="D9D9D9" w:themeFill="background1" w:themeFillShade="D9"/>
            <w:vAlign w:val="bottom"/>
          </w:tcPr>
          <w:p w14:paraId="0F119057" w14:textId="77777777" w:rsidR="00083F06" w:rsidRPr="00D9392A" w:rsidRDefault="00083F06" w:rsidP="00256450">
            <w:pPr>
              <w:pStyle w:val="NoSpacing"/>
            </w:pPr>
          </w:p>
        </w:tc>
        <w:tc>
          <w:tcPr>
            <w:tcW w:w="1350" w:type="dxa"/>
            <w:vMerge/>
            <w:shd w:val="clear" w:color="auto" w:fill="D9D9D9" w:themeFill="background1" w:themeFillShade="D9"/>
            <w:noWrap/>
            <w:vAlign w:val="bottom"/>
          </w:tcPr>
          <w:p w14:paraId="2FDB20CA" w14:textId="77777777" w:rsidR="00083F06" w:rsidRPr="00D9392A" w:rsidRDefault="00083F06" w:rsidP="00256450">
            <w:pPr>
              <w:pStyle w:val="NoSpacing"/>
            </w:pPr>
          </w:p>
        </w:tc>
        <w:tc>
          <w:tcPr>
            <w:tcW w:w="2055" w:type="dxa"/>
            <w:noWrap/>
            <w:vAlign w:val="bottom"/>
            <w:hideMark/>
          </w:tcPr>
          <w:p w14:paraId="0485AE4B" w14:textId="77777777" w:rsidR="00083F06" w:rsidRPr="00D9392A" w:rsidRDefault="000F5B51" w:rsidP="00256450">
            <w:pPr>
              <w:pStyle w:val="NoSpacing"/>
            </w:pPr>
            <w:r>
              <w:rPr>
                <w:color w:val="000000"/>
              </w:rPr>
              <w:t>(4) Severe Injury</w:t>
            </w:r>
          </w:p>
        </w:tc>
        <w:tc>
          <w:tcPr>
            <w:tcW w:w="922" w:type="dxa"/>
            <w:shd w:val="clear" w:color="auto" w:fill="FFFFFF" w:themeFill="background1"/>
            <w:noWrap/>
            <w:hideMark/>
          </w:tcPr>
          <w:p w14:paraId="177C1C9C" w14:textId="77777777" w:rsidR="00083F06" w:rsidRPr="00D9392A" w:rsidRDefault="000F5B51" w:rsidP="00256450">
            <w:pPr>
              <w:pStyle w:val="NoSpacing"/>
            </w:pPr>
            <w:r w:rsidRPr="006E1748">
              <w:t>0.500</w:t>
            </w:r>
          </w:p>
        </w:tc>
        <w:tc>
          <w:tcPr>
            <w:tcW w:w="1012" w:type="dxa"/>
            <w:noWrap/>
            <w:vAlign w:val="bottom"/>
            <w:hideMark/>
          </w:tcPr>
          <w:p w14:paraId="0F624A57" w14:textId="77777777" w:rsidR="00083F06" w:rsidRPr="00D9392A" w:rsidRDefault="000F5B51" w:rsidP="00256450">
            <w:pPr>
              <w:pStyle w:val="NoSpacing"/>
            </w:pPr>
            <w:r w:rsidRPr="00CE2168">
              <w:rPr>
                <w:rFonts w:cs="Calibri"/>
                <w:color w:val="000000"/>
              </w:rPr>
              <w:t>0.9787</w:t>
            </w:r>
          </w:p>
        </w:tc>
        <w:tc>
          <w:tcPr>
            <w:tcW w:w="1147" w:type="dxa"/>
            <w:vAlign w:val="bottom"/>
          </w:tcPr>
          <w:p w14:paraId="48CAB1E3" w14:textId="77777777" w:rsidR="00083F06" w:rsidRPr="00D9392A" w:rsidRDefault="000F5B51" w:rsidP="00256450">
            <w:pPr>
              <w:pStyle w:val="NoSpacing"/>
            </w:pPr>
            <w:r w:rsidRPr="00CE2168">
              <w:rPr>
                <w:rFonts w:cs="Calibri"/>
                <w:color w:val="000000"/>
              </w:rPr>
              <w:t>0.9781</w:t>
            </w:r>
          </w:p>
        </w:tc>
        <w:tc>
          <w:tcPr>
            <w:tcW w:w="888" w:type="dxa"/>
            <w:noWrap/>
            <w:vAlign w:val="bottom"/>
            <w:hideMark/>
          </w:tcPr>
          <w:p w14:paraId="231739D8" w14:textId="77777777" w:rsidR="00083F06" w:rsidRPr="00D9392A" w:rsidRDefault="000F5B51" w:rsidP="00256450">
            <w:pPr>
              <w:pStyle w:val="NoSpacing"/>
            </w:pPr>
            <w:r w:rsidRPr="00CE2168">
              <w:rPr>
                <w:rFonts w:cs="Calibri"/>
                <w:color w:val="000000"/>
              </w:rPr>
              <w:t>0.9800</w:t>
            </w:r>
          </w:p>
        </w:tc>
        <w:tc>
          <w:tcPr>
            <w:tcW w:w="867" w:type="dxa"/>
            <w:noWrap/>
            <w:vAlign w:val="bottom"/>
            <w:hideMark/>
          </w:tcPr>
          <w:p w14:paraId="4D12C7EB" w14:textId="77777777" w:rsidR="00083F06" w:rsidRPr="00D9392A" w:rsidRDefault="000F5B51" w:rsidP="00256450">
            <w:pPr>
              <w:pStyle w:val="NoSpacing"/>
            </w:pPr>
            <w:r w:rsidRPr="00CE2168">
              <w:rPr>
                <w:rFonts w:cs="Calibri"/>
                <w:color w:val="000000"/>
              </w:rPr>
              <w:t>0.9815</w:t>
            </w:r>
          </w:p>
        </w:tc>
        <w:tc>
          <w:tcPr>
            <w:tcW w:w="867" w:type="dxa"/>
            <w:noWrap/>
            <w:vAlign w:val="bottom"/>
            <w:hideMark/>
          </w:tcPr>
          <w:p w14:paraId="648C61E7" w14:textId="77777777" w:rsidR="00083F06" w:rsidRPr="00D9392A" w:rsidRDefault="000F5B51" w:rsidP="00256450">
            <w:pPr>
              <w:pStyle w:val="NoSpacing"/>
            </w:pPr>
            <w:r w:rsidRPr="00CE2168">
              <w:rPr>
                <w:rFonts w:cs="Calibri"/>
                <w:color w:val="000000"/>
              </w:rPr>
              <w:t>0.9822</w:t>
            </w:r>
          </w:p>
        </w:tc>
      </w:tr>
      <w:tr w:rsidR="00A15C2C" w14:paraId="303FFA3D" w14:textId="77777777" w:rsidTr="00511B92">
        <w:trPr>
          <w:trHeight w:val="300"/>
          <w:jc w:val="center"/>
        </w:trPr>
        <w:tc>
          <w:tcPr>
            <w:tcW w:w="985" w:type="dxa"/>
            <w:vMerge/>
            <w:shd w:val="clear" w:color="auto" w:fill="D9D9D9" w:themeFill="background1" w:themeFillShade="D9"/>
            <w:vAlign w:val="bottom"/>
          </w:tcPr>
          <w:p w14:paraId="7F4E40F6" w14:textId="77777777" w:rsidR="00083F06" w:rsidRPr="00D9392A" w:rsidRDefault="00083F06" w:rsidP="00256450">
            <w:pPr>
              <w:pStyle w:val="NoSpacing"/>
            </w:pPr>
          </w:p>
        </w:tc>
        <w:tc>
          <w:tcPr>
            <w:tcW w:w="1350" w:type="dxa"/>
            <w:vMerge/>
            <w:shd w:val="clear" w:color="auto" w:fill="D9D9D9" w:themeFill="background1" w:themeFillShade="D9"/>
            <w:noWrap/>
            <w:vAlign w:val="bottom"/>
          </w:tcPr>
          <w:p w14:paraId="781F0823" w14:textId="77777777" w:rsidR="00083F06" w:rsidRPr="00D9392A" w:rsidRDefault="00083F06" w:rsidP="00256450">
            <w:pPr>
              <w:pStyle w:val="NoSpacing"/>
            </w:pPr>
          </w:p>
        </w:tc>
        <w:tc>
          <w:tcPr>
            <w:tcW w:w="2055" w:type="dxa"/>
            <w:shd w:val="clear" w:color="D9E1F2" w:fill="D9E1F2"/>
            <w:noWrap/>
            <w:vAlign w:val="bottom"/>
            <w:hideMark/>
          </w:tcPr>
          <w:p w14:paraId="598820C6" w14:textId="77777777" w:rsidR="00083F06" w:rsidRPr="00D9392A" w:rsidRDefault="000F5B51" w:rsidP="00256450">
            <w:pPr>
              <w:pStyle w:val="NoSpacing"/>
            </w:pPr>
            <w:r>
              <w:rPr>
                <w:color w:val="000000"/>
              </w:rPr>
              <w:t>(5) Critical Injury</w:t>
            </w:r>
          </w:p>
        </w:tc>
        <w:tc>
          <w:tcPr>
            <w:tcW w:w="922" w:type="dxa"/>
            <w:shd w:val="clear" w:color="auto" w:fill="FFFFFF" w:themeFill="background1"/>
            <w:noWrap/>
            <w:hideMark/>
          </w:tcPr>
          <w:p w14:paraId="565E21B9" w14:textId="77777777" w:rsidR="00083F06" w:rsidRPr="00D9392A" w:rsidRDefault="000F5B51" w:rsidP="00256450">
            <w:pPr>
              <w:pStyle w:val="NoSpacing"/>
            </w:pPr>
            <w:r w:rsidRPr="006E1748">
              <w:t>0.500</w:t>
            </w:r>
          </w:p>
        </w:tc>
        <w:tc>
          <w:tcPr>
            <w:tcW w:w="1012" w:type="dxa"/>
            <w:shd w:val="clear" w:color="D9E1F2" w:fill="D9E1F2"/>
            <w:noWrap/>
            <w:vAlign w:val="bottom"/>
            <w:hideMark/>
          </w:tcPr>
          <w:p w14:paraId="74408F38" w14:textId="77777777" w:rsidR="00083F06" w:rsidRPr="00D9392A" w:rsidRDefault="000F5B51" w:rsidP="00256450">
            <w:pPr>
              <w:pStyle w:val="NoSpacing"/>
            </w:pPr>
            <w:r w:rsidRPr="00CE2168">
              <w:rPr>
                <w:rFonts w:cs="Calibri"/>
                <w:color w:val="000000"/>
              </w:rPr>
              <w:t>0.9787</w:t>
            </w:r>
          </w:p>
        </w:tc>
        <w:tc>
          <w:tcPr>
            <w:tcW w:w="1147" w:type="dxa"/>
            <w:shd w:val="clear" w:color="D9E1F2" w:fill="D9E1F2"/>
            <w:vAlign w:val="bottom"/>
          </w:tcPr>
          <w:p w14:paraId="6BC34F74" w14:textId="77777777" w:rsidR="00083F06" w:rsidRPr="00D9392A" w:rsidRDefault="000F5B51" w:rsidP="00256450">
            <w:pPr>
              <w:pStyle w:val="NoSpacing"/>
            </w:pPr>
            <w:r w:rsidRPr="00CE2168">
              <w:rPr>
                <w:rFonts w:cs="Calibri"/>
                <w:color w:val="000000"/>
              </w:rPr>
              <w:t>0.9781</w:t>
            </w:r>
          </w:p>
        </w:tc>
        <w:tc>
          <w:tcPr>
            <w:tcW w:w="888" w:type="dxa"/>
            <w:shd w:val="clear" w:color="D9E1F2" w:fill="D9E1F2"/>
            <w:noWrap/>
            <w:vAlign w:val="bottom"/>
            <w:hideMark/>
          </w:tcPr>
          <w:p w14:paraId="3ECBF593" w14:textId="77777777" w:rsidR="00083F06" w:rsidRPr="00D9392A" w:rsidRDefault="000F5B51" w:rsidP="00256450">
            <w:pPr>
              <w:pStyle w:val="NoSpacing"/>
            </w:pPr>
            <w:r w:rsidRPr="00CE2168">
              <w:rPr>
                <w:rFonts w:cs="Calibri"/>
                <w:color w:val="000000"/>
              </w:rPr>
              <w:t>0.9800</w:t>
            </w:r>
          </w:p>
        </w:tc>
        <w:tc>
          <w:tcPr>
            <w:tcW w:w="867" w:type="dxa"/>
            <w:shd w:val="clear" w:color="D9E1F2" w:fill="D9E1F2"/>
            <w:noWrap/>
            <w:vAlign w:val="bottom"/>
            <w:hideMark/>
          </w:tcPr>
          <w:p w14:paraId="3198D98D" w14:textId="77777777" w:rsidR="00083F06" w:rsidRPr="00D9392A" w:rsidRDefault="000F5B51" w:rsidP="00256450">
            <w:pPr>
              <w:pStyle w:val="NoSpacing"/>
            </w:pPr>
            <w:r w:rsidRPr="00CE2168">
              <w:rPr>
                <w:rFonts w:cs="Calibri"/>
                <w:color w:val="000000"/>
              </w:rPr>
              <w:t>0.9815</w:t>
            </w:r>
          </w:p>
        </w:tc>
        <w:tc>
          <w:tcPr>
            <w:tcW w:w="867" w:type="dxa"/>
            <w:shd w:val="clear" w:color="D9E1F2" w:fill="D9E1F2"/>
            <w:noWrap/>
            <w:vAlign w:val="bottom"/>
            <w:hideMark/>
          </w:tcPr>
          <w:p w14:paraId="4FDEC532" w14:textId="77777777" w:rsidR="00083F06" w:rsidRPr="00D9392A" w:rsidRDefault="000F5B51" w:rsidP="00256450">
            <w:pPr>
              <w:pStyle w:val="NoSpacing"/>
            </w:pPr>
            <w:r w:rsidRPr="00CE2168">
              <w:rPr>
                <w:rFonts w:cs="Calibri"/>
                <w:color w:val="000000"/>
              </w:rPr>
              <w:t>0.9822</w:t>
            </w:r>
          </w:p>
        </w:tc>
      </w:tr>
      <w:tr w:rsidR="00A15C2C" w14:paraId="18BFC6A9" w14:textId="77777777" w:rsidTr="0055589E">
        <w:trPr>
          <w:trHeight w:val="300"/>
          <w:jc w:val="center"/>
        </w:trPr>
        <w:tc>
          <w:tcPr>
            <w:tcW w:w="985" w:type="dxa"/>
            <w:vMerge/>
            <w:shd w:val="clear" w:color="auto" w:fill="D9D9D9" w:themeFill="background1" w:themeFillShade="D9"/>
            <w:vAlign w:val="bottom"/>
          </w:tcPr>
          <w:p w14:paraId="216FBF4B" w14:textId="77777777" w:rsidR="00083F06" w:rsidRPr="00D9392A" w:rsidRDefault="00083F06" w:rsidP="00256450">
            <w:pPr>
              <w:pStyle w:val="NoSpacing"/>
            </w:pPr>
          </w:p>
        </w:tc>
        <w:tc>
          <w:tcPr>
            <w:tcW w:w="1350" w:type="dxa"/>
            <w:vMerge/>
            <w:shd w:val="clear" w:color="auto" w:fill="D9D9D9" w:themeFill="background1" w:themeFillShade="D9"/>
            <w:noWrap/>
            <w:vAlign w:val="bottom"/>
          </w:tcPr>
          <w:p w14:paraId="570A5E83" w14:textId="77777777" w:rsidR="00083F06" w:rsidRPr="00D9392A" w:rsidRDefault="00083F06" w:rsidP="00256450">
            <w:pPr>
              <w:pStyle w:val="NoSpacing"/>
            </w:pPr>
          </w:p>
        </w:tc>
        <w:tc>
          <w:tcPr>
            <w:tcW w:w="2055" w:type="dxa"/>
            <w:noWrap/>
            <w:vAlign w:val="bottom"/>
            <w:hideMark/>
          </w:tcPr>
          <w:p w14:paraId="43D89F42" w14:textId="77777777" w:rsidR="00083F06" w:rsidRPr="00D9392A" w:rsidRDefault="000F5B51" w:rsidP="00256450">
            <w:pPr>
              <w:pStyle w:val="NoSpacing"/>
            </w:pPr>
            <w:r>
              <w:rPr>
                <w:color w:val="000000"/>
              </w:rPr>
              <w:t>Fatal</w:t>
            </w:r>
          </w:p>
        </w:tc>
        <w:tc>
          <w:tcPr>
            <w:tcW w:w="922" w:type="dxa"/>
            <w:shd w:val="clear" w:color="auto" w:fill="FFFFFF" w:themeFill="background1"/>
            <w:noWrap/>
            <w:hideMark/>
          </w:tcPr>
          <w:p w14:paraId="68626E62" w14:textId="77777777" w:rsidR="00083F06" w:rsidRPr="00D9392A" w:rsidRDefault="000F5B51" w:rsidP="00256450">
            <w:pPr>
              <w:pStyle w:val="NoSpacing"/>
            </w:pPr>
            <w:r w:rsidRPr="006E1748">
              <w:t>0.730</w:t>
            </w:r>
          </w:p>
        </w:tc>
        <w:tc>
          <w:tcPr>
            <w:tcW w:w="1012" w:type="dxa"/>
            <w:noWrap/>
            <w:vAlign w:val="bottom"/>
            <w:hideMark/>
          </w:tcPr>
          <w:p w14:paraId="2331836A" w14:textId="77777777" w:rsidR="00083F06" w:rsidRPr="00D9392A" w:rsidRDefault="000F5B51" w:rsidP="00256450">
            <w:pPr>
              <w:pStyle w:val="NoSpacing"/>
            </w:pPr>
            <w:r w:rsidRPr="00CE2168">
              <w:rPr>
                <w:rFonts w:cs="Calibri"/>
                <w:color w:val="000000"/>
              </w:rPr>
              <w:t>0.8813</w:t>
            </w:r>
          </w:p>
        </w:tc>
        <w:tc>
          <w:tcPr>
            <w:tcW w:w="1147" w:type="dxa"/>
            <w:vAlign w:val="bottom"/>
          </w:tcPr>
          <w:p w14:paraId="3D8B3CDE" w14:textId="77777777" w:rsidR="00083F06" w:rsidRPr="00D9392A" w:rsidRDefault="000F5B51" w:rsidP="00256450">
            <w:pPr>
              <w:pStyle w:val="NoSpacing"/>
            </w:pPr>
            <w:r w:rsidRPr="00CE2168">
              <w:rPr>
                <w:rFonts w:cs="Calibri"/>
                <w:color w:val="000000"/>
              </w:rPr>
              <w:t>0.8806</w:t>
            </w:r>
          </w:p>
        </w:tc>
        <w:tc>
          <w:tcPr>
            <w:tcW w:w="888" w:type="dxa"/>
            <w:noWrap/>
            <w:vAlign w:val="bottom"/>
            <w:hideMark/>
          </w:tcPr>
          <w:p w14:paraId="21AAF5CE" w14:textId="77777777" w:rsidR="00083F06" w:rsidRPr="00D9392A" w:rsidRDefault="000F5B51" w:rsidP="00256450">
            <w:pPr>
              <w:pStyle w:val="NoSpacing"/>
            </w:pPr>
            <w:r w:rsidRPr="00CE2168">
              <w:rPr>
                <w:rFonts w:cs="Calibri"/>
                <w:color w:val="000000"/>
              </w:rPr>
              <w:t>0.8825</w:t>
            </w:r>
          </w:p>
        </w:tc>
        <w:tc>
          <w:tcPr>
            <w:tcW w:w="867" w:type="dxa"/>
            <w:noWrap/>
            <w:vAlign w:val="bottom"/>
            <w:hideMark/>
          </w:tcPr>
          <w:p w14:paraId="36A49B8E" w14:textId="77777777" w:rsidR="00083F06" w:rsidRPr="00D9392A" w:rsidRDefault="000F5B51" w:rsidP="00256450">
            <w:pPr>
              <w:pStyle w:val="NoSpacing"/>
            </w:pPr>
            <w:r w:rsidRPr="00CE2168">
              <w:rPr>
                <w:rFonts w:cs="Calibri"/>
                <w:color w:val="000000"/>
              </w:rPr>
              <w:t>0.8845</w:t>
            </w:r>
          </w:p>
        </w:tc>
        <w:tc>
          <w:tcPr>
            <w:tcW w:w="867" w:type="dxa"/>
            <w:noWrap/>
            <w:vAlign w:val="bottom"/>
            <w:hideMark/>
          </w:tcPr>
          <w:p w14:paraId="63F06782" w14:textId="77777777" w:rsidR="00083F06" w:rsidRPr="00D9392A" w:rsidRDefault="000F5B51" w:rsidP="00256450">
            <w:pPr>
              <w:pStyle w:val="NoSpacing"/>
            </w:pPr>
            <w:r w:rsidRPr="00CE2168">
              <w:rPr>
                <w:rFonts w:cs="Calibri"/>
                <w:color w:val="000000"/>
              </w:rPr>
              <w:t>0.8855</w:t>
            </w:r>
          </w:p>
        </w:tc>
      </w:tr>
      <w:tr w:rsidR="00A15C2C" w14:paraId="3157CD80" w14:textId="77777777" w:rsidTr="00511B92">
        <w:trPr>
          <w:trHeight w:val="300"/>
          <w:jc w:val="center"/>
        </w:trPr>
        <w:tc>
          <w:tcPr>
            <w:tcW w:w="985" w:type="dxa"/>
            <w:vMerge w:val="restart"/>
            <w:shd w:val="clear" w:color="auto" w:fill="D9D9D9" w:themeFill="background1" w:themeFillShade="D9"/>
            <w:vAlign w:val="center"/>
          </w:tcPr>
          <w:p w14:paraId="10351278" w14:textId="77777777" w:rsidR="00535756" w:rsidRPr="00535756" w:rsidRDefault="000F5B51" w:rsidP="00535756">
            <w:pPr>
              <w:pStyle w:val="NoSpacing"/>
              <w:rPr>
                <w:b/>
                <w:bCs/>
                <w:color w:val="000000"/>
              </w:rPr>
            </w:pPr>
            <w:r w:rsidRPr="00535756">
              <w:rPr>
                <w:b/>
                <w:bCs/>
                <w:color w:val="000000"/>
              </w:rPr>
              <w:t>11+</w:t>
            </w:r>
          </w:p>
        </w:tc>
        <w:tc>
          <w:tcPr>
            <w:tcW w:w="1350" w:type="dxa"/>
            <w:vMerge w:val="restart"/>
            <w:shd w:val="clear" w:color="auto" w:fill="D9D9D9" w:themeFill="background1" w:themeFillShade="D9"/>
            <w:noWrap/>
            <w:vAlign w:val="center"/>
            <w:hideMark/>
          </w:tcPr>
          <w:p w14:paraId="5F124D99" w14:textId="77777777" w:rsidR="00535756" w:rsidRPr="00535756" w:rsidRDefault="000F5B51" w:rsidP="00535756">
            <w:pPr>
              <w:pStyle w:val="NoSpacing"/>
              <w:rPr>
                <w:b/>
                <w:bCs/>
              </w:rPr>
            </w:pPr>
            <w:r>
              <w:rPr>
                <w:b/>
                <w:bCs/>
                <w:color w:val="000000"/>
              </w:rPr>
              <w:t>PC</w:t>
            </w:r>
          </w:p>
        </w:tc>
        <w:tc>
          <w:tcPr>
            <w:tcW w:w="2055" w:type="dxa"/>
            <w:shd w:val="clear" w:color="D9E1F2" w:fill="D9E1F2"/>
            <w:noWrap/>
            <w:vAlign w:val="bottom"/>
            <w:hideMark/>
          </w:tcPr>
          <w:p w14:paraId="5C37D5C6" w14:textId="77777777" w:rsidR="00535756" w:rsidRPr="00D9392A" w:rsidRDefault="000F5B51" w:rsidP="00256450">
            <w:pPr>
              <w:pStyle w:val="NoSpacing"/>
            </w:pPr>
            <w:r>
              <w:rPr>
                <w:color w:val="000000"/>
              </w:rPr>
              <w:t>(1) Minor Injury</w:t>
            </w:r>
          </w:p>
        </w:tc>
        <w:tc>
          <w:tcPr>
            <w:tcW w:w="922" w:type="dxa"/>
            <w:shd w:val="clear" w:color="auto" w:fill="FFFFFF" w:themeFill="background1"/>
            <w:noWrap/>
            <w:hideMark/>
          </w:tcPr>
          <w:p w14:paraId="6510FC0C" w14:textId="77777777" w:rsidR="00535756" w:rsidRPr="00D9392A" w:rsidRDefault="000F5B51" w:rsidP="00256450">
            <w:pPr>
              <w:pStyle w:val="NoSpacing"/>
            </w:pPr>
            <w:r w:rsidRPr="006E1748">
              <w:t>0.055</w:t>
            </w:r>
          </w:p>
        </w:tc>
        <w:tc>
          <w:tcPr>
            <w:tcW w:w="1012" w:type="dxa"/>
            <w:shd w:val="clear" w:color="D9E1F2" w:fill="D9E1F2"/>
            <w:noWrap/>
            <w:vAlign w:val="bottom"/>
            <w:hideMark/>
          </w:tcPr>
          <w:p w14:paraId="57A24082" w14:textId="77777777" w:rsidR="00535756" w:rsidRPr="00D9392A" w:rsidRDefault="000F5B51" w:rsidP="00256450">
            <w:pPr>
              <w:pStyle w:val="NoSpacing"/>
            </w:pPr>
            <w:r w:rsidRPr="00CE2168">
              <w:rPr>
                <w:rFonts w:cs="Calibri"/>
                <w:color w:val="000000"/>
              </w:rPr>
              <w:t>0.7352</w:t>
            </w:r>
          </w:p>
        </w:tc>
        <w:tc>
          <w:tcPr>
            <w:tcW w:w="1147" w:type="dxa"/>
            <w:shd w:val="clear" w:color="D9E1F2" w:fill="D9E1F2"/>
            <w:vAlign w:val="bottom"/>
          </w:tcPr>
          <w:p w14:paraId="0691A780" w14:textId="77777777" w:rsidR="00535756" w:rsidRPr="00D9392A" w:rsidRDefault="000F5B51" w:rsidP="00256450">
            <w:pPr>
              <w:pStyle w:val="NoSpacing"/>
            </w:pPr>
            <w:r w:rsidRPr="00CE2168">
              <w:rPr>
                <w:rFonts w:cs="Calibri"/>
                <w:color w:val="000000"/>
              </w:rPr>
              <w:t>0.7272</w:t>
            </w:r>
          </w:p>
        </w:tc>
        <w:tc>
          <w:tcPr>
            <w:tcW w:w="888" w:type="dxa"/>
            <w:shd w:val="clear" w:color="D9E1F2" w:fill="D9E1F2"/>
            <w:noWrap/>
            <w:vAlign w:val="bottom"/>
            <w:hideMark/>
          </w:tcPr>
          <w:p w14:paraId="1CD39F09" w14:textId="77777777" w:rsidR="00535756" w:rsidRPr="00D9392A" w:rsidRDefault="000F5B51" w:rsidP="00256450">
            <w:pPr>
              <w:pStyle w:val="NoSpacing"/>
            </w:pPr>
            <w:r w:rsidRPr="00CE2168">
              <w:rPr>
                <w:rFonts w:cs="Calibri"/>
                <w:color w:val="000000"/>
              </w:rPr>
              <w:t>0.7512</w:t>
            </w:r>
          </w:p>
        </w:tc>
        <w:tc>
          <w:tcPr>
            <w:tcW w:w="867" w:type="dxa"/>
            <w:shd w:val="clear" w:color="D9E1F2" w:fill="D9E1F2"/>
            <w:noWrap/>
            <w:vAlign w:val="bottom"/>
            <w:hideMark/>
          </w:tcPr>
          <w:p w14:paraId="7D88E552" w14:textId="77777777" w:rsidR="00535756" w:rsidRPr="00D9392A" w:rsidRDefault="000F5B51" w:rsidP="00256450">
            <w:pPr>
              <w:pStyle w:val="NoSpacing"/>
            </w:pPr>
            <w:r w:rsidRPr="00CE2168">
              <w:rPr>
                <w:rFonts w:cs="Calibri"/>
                <w:color w:val="000000"/>
              </w:rPr>
              <w:t>0.7693</w:t>
            </w:r>
          </w:p>
        </w:tc>
        <w:tc>
          <w:tcPr>
            <w:tcW w:w="867" w:type="dxa"/>
            <w:shd w:val="clear" w:color="D9E1F2" w:fill="D9E1F2"/>
            <w:noWrap/>
            <w:vAlign w:val="bottom"/>
            <w:hideMark/>
          </w:tcPr>
          <w:p w14:paraId="07D27ED1" w14:textId="77777777" w:rsidR="00535756" w:rsidRPr="00D9392A" w:rsidRDefault="000F5B51" w:rsidP="00256450">
            <w:pPr>
              <w:pStyle w:val="NoSpacing"/>
            </w:pPr>
            <w:r w:rsidRPr="00CE2168">
              <w:rPr>
                <w:rFonts w:cs="Calibri"/>
                <w:color w:val="000000"/>
              </w:rPr>
              <w:t>0.7784</w:t>
            </w:r>
          </w:p>
        </w:tc>
      </w:tr>
      <w:tr w:rsidR="00A15C2C" w14:paraId="1F7E3942" w14:textId="77777777" w:rsidTr="0055589E">
        <w:trPr>
          <w:trHeight w:val="300"/>
          <w:jc w:val="center"/>
        </w:trPr>
        <w:tc>
          <w:tcPr>
            <w:tcW w:w="985" w:type="dxa"/>
            <w:vMerge/>
            <w:shd w:val="clear" w:color="auto" w:fill="D9D9D9" w:themeFill="background1" w:themeFillShade="D9"/>
            <w:vAlign w:val="bottom"/>
          </w:tcPr>
          <w:p w14:paraId="10737C79" w14:textId="77777777" w:rsidR="00535756" w:rsidRPr="00535756" w:rsidRDefault="00535756" w:rsidP="00256450">
            <w:pPr>
              <w:pStyle w:val="NoSpacing"/>
              <w:rPr>
                <w:b/>
                <w:bCs/>
                <w:color w:val="000000"/>
              </w:rPr>
            </w:pPr>
          </w:p>
        </w:tc>
        <w:tc>
          <w:tcPr>
            <w:tcW w:w="1350" w:type="dxa"/>
            <w:vMerge/>
            <w:shd w:val="clear" w:color="auto" w:fill="D9D9D9" w:themeFill="background1" w:themeFillShade="D9"/>
            <w:noWrap/>
            <w:vAlign w:val="bottom"/>
          </w:tcPr>
          <w:p w14:paraId="397AE0AF" w14:textId="77777777" w:rsidR="00535756" w:rsidRPr="00535756" w:rsidRDefault="00535756" w:rsidP="00256450">
            <w:pPr>
              <w:pStyle w:val="NoSpacing"/>
              <w:rPr>
                <w:b/>
                <w:bCs/>
              </w:rPr>
            </w:pPr>
          </w:p>
        </w:tc>
        <w:tc>
          <w:tcPr>
            <w:tcW w:w="2055" w:type="dxa"/>
            <w:noWrap/>
            <w:vAlign w:val="bottom"/>
            <w:hideMark/>
          </w:tcPr>
          <w:p w14:paraId="3A0A724A" w14:textId="77777777" w:rsidR="00535756" w:rsidRPr="00D9392A" w:rsidRDefault="000F5B51" w:rsidP="00256450">
            <w:pPr>
              <w:pStyle w:val="NoSpacing"/>
            </w:pPr>
            <w:r>
              <w:rPr>
                <w:color w:val="000000"/>
              </w:rPr>
              <w:t>(2) Moderate Injury</w:t>
            </w:r>
          </w:p>
        </w:tc>
        <w:tc>
          <w:tcPr>
            <w:tcW w:w="922" w:type="dxa"/>
            <w:shd w:val="clear" w:color="auto" w:fill="FFFFFF" w:themeFill="background1"/>
            <w:noWrap/>
            <w:hideMark/>
          </w:tcPr>
          <w:p w14:paraId="3DCF5D1F" w14:textId="77777777" w:rsidR="00535756" w:rsidRPr="00D9392A" w:rsidRDefault="000F5B51" w:rsidP="00256450">
            <w:pPr>
              <w:pStyle w:val="NoSpacing"/>
            </w:pPr>
            <w:r w:rsidRPr="006E1748">
              <w:t>0.500</w:t>
            </w:r>
          </w:p>
        </w:tc>
        <w:tc>
          <w:tcPr>
            <w:tcW w:w="1012" w:type="dxa"/>
            <w:noWrap/>
            <w:vAlign w:val="bottom"/>
            <w:hideMark/>
          </w:tcPr>
          <w:p w14:paraId="573438BD" w14:textId="77777777" w:rsidR="00535756" w:rsidRPr="00D9392A" w:rsidRDefault="000F5B51" w:rsidP="00256450">
            <w:pPr>
              <w:pStyle w:val="NoSpacing"/>
            </w:pPr>
            <w:r w:rsidRPr="00CE2168">
              <w:rPr>
                <w:rFonts w:cs="Calibri"/>
                <w:color w:val="000000"/>
              </w:rPr>
              <w:t>0.7352</w:t>
            </w:r>
          </w:p>
        </w:tc>
        <w:tc>
          <w:tcPr>
            <w:tcW w:w="1147" w:type="dxa"/>
            <w:vAlign w:val="bottom"/>
          </w:tcPr>
          <w:p w14:paraId="097199A2" w14:textId="77777777" w:rsidR="00535756" w:rsidRPr="00D9392A" w:rsidRDefault="000F5B51" w:rsidP="00256450">
            <w:pPr>
              <w:pStyle w:val="NoSpacing"/>
            </w:pPr>
            <w:r w:rsidRPr="00CE2168">
              <w:rPr>
                <w:rFonts w:cs="Calibri"/>
                <w:color w:val="000000"/>
              </w:rPr>
              <w:t>0.7272</w:t>
            </w:r>
          </w:p>
        </w:tc>
        <w:tc>
          <w:tcPr>
            <w:tcW w:w="888" w:type="dxa"/>
            <w:noWrap/>
            <w:vAlign w:val="bottom"/>
            <w:hideMark/>
          </w:tcPr>
          <w:p w14:paraId="661F8FB3" w14:textId="77777777" w:rsidR="00535756" w:rsidRPr="00D9392A" w:rsidRDefault="000F5B51" w:rsidP="00256450">
            <w:pPr>
              <w:pStyle w:val="NoSpacing"/>
            </w:pPr>
            <w:r w:rsidRPr="00CE2168">
              <w:rPr>
                <w:rFonts w:cs="Calibri"/>
                <w:color w:val="000000"/>
              </w:rPr>
              <w:t>0.7512</w:t>
            </w:r>
          </w:p>
        </w:tc>
        <w:tc>
          <w:tcPr>
            <w:tcW w:w="867" w:type="dxa"/>
            <w:noWrap/>
            <w:vAlign w:val="bottom"/>
            <w:hideMark/>
          </w:tcPr>
          <w:p w14:paraId="63D8BA8A" w14:textId="77777777" w:rsidR="00535756" w:rsidRPr="00D9392A" w:rsidRDefault="000F5B51" w:rsidP="00256450">
            <w:pPr>
              <w:pStyle w:val="NoSpacing"/>
            </w:pPr>
            <w:r w:rsidRPr="00CE2168">
              <w:rPr>
                <w:rFonts w:cs="Calibri"/>
                <w:color w:val="000000"/>
              </w:rPr>
              <w:t>0.7693</w:t>
            </w:r>
          </w:p>
        </w:tc>
        <w:tc>
          <w:tcPr>
            <w:tcW w:w="867" w:type="dxa"/>
            <w:noWrap/>
            <w:vAlign w:val="bottom"/>
            <w:hideMark/>
          </w:tcPr>
          <w:p w14:paraId="0C792B49" w14:textId="77777777" w:rsidR="00535756" w:rsidRPr="00D9392A" w:rsidRDefault="000F5B51" w:rsidP="00256450">
            <w:pPr>
              <w:pStyle w:val="NoSpacing"/>
            </w:pPr>
            <w:r w:rsidRPr="00CE2168">
              <w:rPr>
                <w:rFonts w:cs="Calibri"/>
                <w:color w:val="000000"/>
              </w:rPr>
              <w:t>0.7784</w:t>
            </w:r>
          </w:p>
        </w:tc>
      </w:tr>
      <w:tr w:rsidR="00A15C2C" w14:paraId="49599FA1" w14:textId="77777777" w:rsidTr="00511B92">
        <w:trPr>
          <w:trHeight w:val="300"/>
          <w:jc w:val="center"/>
        </w:trPr>
        <w:tc>
          <w:tcPr>
            <w:tcW w:w="985" w:type="dxa"/>
            <w:vMerge/>
            <w:shd w:val="clear" w:color="auto" w:fill="D9D9D9" w:themeFill="background1" w:themeFillShade="D9"/>
            <w:vAlign w:val="bottom"/>
          </w:tcPr>
          <w:p w14:paraId="4867531F" w14:textId="77777777" w:rsidR="00535756" w:rsidRPr="00535756" w:rsidRDefault="00535756" w:rsidP="00256450">
            <w:pPr>
              <w:pStyle w:val="NoSpacing"/>
              <w:rPr>
                <w:b/>
                <w:bCs/>
                <w:color w:val="000000"/>
              </w:rPr>
            </w:pPr>
          </w:p>
        </w:tc>
        <w:tc>
          <w:tcPr>
            <w:tcW w:w="1350" w:type="dxa"/>
            <w:vMerge/>
            <w:shd w:val="clear" w:color="auto" w:fill="D9D9D9" w:themeFill="background1" w:themeFillShade="D9"/>
            <w:noWrap/>
            <w:vAlign w:val="bottom"/>
          </w:tcPr>
          <w:p w14:paraId="3EECA44E" w14:textId="77777777" w:rsidR="00535756" w:rsidRPr="00535756" w:rsidRDefault="00535756" w:rsidP="00256450">
            <w:pPr>
              <w:pStyle w:val="NoSpacing"/>
              <w:rPr>
                <w:b/>
                <w:bCs/>
              </w:rPr>
            </w:pPr>
          </w:p>
        </w:tc>
        <w:tc>
          <w:tcPr>
            <w:tcW w:w="2055" w:type="dxa"/>
            <w:shd w:val="clear" w:color="D9E1F2" w:fill="D9E1F2"/>
            <w:noWrap/>
            <w:vAlign w:val="bottom"/>
            <w:hideMark/>
          </w:tcPr>
          <w:p w14:paraId="17680839" w14:textId="77777777" w:rsidR="00535756" w:rsidRPr="00D9392A" w:rsidRDefault="000F5B51" w:rsidP="00256450">
            <w:pPr>
              <w:pStyle w:val="NoSpacing"/>
            </w:pPr>
            <w:r>
              <w:rPr>
                <w:color w:val="000000"/>
              </w:rPr>
              <w:t>(3) Serious Injury</w:t>
            </w:r>
          </w:p>
        </w:tc>
        <w:tc>
          <w:tcPr>
            <w:tcW w:w="922" w:type="dxa"/>
            <w:shd w:val="clear" w:color="auto" w:fill="FFFFFF" w:themeFill="background1"/>
            <w:noWrap/>
            <w:hideMark/>
          </w:tcPr>
          <w:p w14:paraId="0D103BEA" w14:textId="77777777" w:rsidR="00535756" w:rsidRPr="00D9392A" w:rsidRDefault="000F5B51" w:rsidP="00256450">
            <w:pPr>
              <w:pStyle w:val="NoSpacing"/>
            </w:pPr>
            <w:r w:rsidRPr="006E1748">
              <w:t>0.500</w:t>
            </w:r>
          </w:p>
        </w:tc>
        <w:tc>
          <w:tcPr>
            <w:tcW w:w="1012" w:type="dxa"/>
            <w:shd w:val="clear" w:color="D9E1F2" w:fill="D9E1F2"/>
            <w:noWrap/>
            <w:vAlign w:val="bottom"/>
            <w:hideMark/>
          </w:tcPr>
          <w:p w14:paraId="42D7453E" w14:textId="77777777" w:rsidR="00535756" w:rsidRPr="00D9392A" w:rsidRDefault="000F5B51" w:rsidP="00256450">
            <w:pPr>
              <w:pStyle w:val="NoSpacing"/>
            </w:pPr>
            <w:r w:rsidRPr="00CE2168">
              <w:rPr>
                <w:rFonts w:cs="Calibri"/>
                <w:color w:val="000000"/>
              </w:rPr>
              <w:t>0.7352</w:t>
            </w:r>
          </w:p>
        </w:tc>
        <w:tc>
          <w:tcPr>
            <w:tcW w:w="1147" w:type="dxa"/>
            <w:shd w:val="clear" w:color="D9E1F2" w:fill="D9E1F2"/>
            <w:vAlign w:val="bottom"/>
          </w:tcPr>
          <w:p w14:paraId="57882F11" w14:textId="77777777" w:rsidR="00535756" w:rsidRPr="00D9392A" w:rsidRDefault="000F5B51" w:rsidP="00256450">
            <w:pPr>
              <w:pStyle w:val="NoSpacing"/>
            </w:pPr>
            <w:r w:rsidRPr="00CE2168">
              <w:rPr>
                <w:rFonts w:cs="Calibri"/>
                <w:color w:val="000000"/>
              </w:rPr>
              <w:t>0.7272</w:t>
            </w:r>
          </w:p>
        </w:tc>
        <w:tc>
          <w:tcPr>
            <w:tcW w:w="888" w:type="dxa"/>
            <w:shd w:val="clear" w:color="D9E1F2" w:fill="D9E1F2"/>
            <w:noWrap/>
            <w:vAlign w:val="bottom"/>
            <w:hideMark/>
          </w:tcPr>
          <w:p w14:paraId="1E828D53" w14:textId="77777777" w:rsidR="00535756" w:rsidRPr="00D9392A" w:rsidRDefault="000F5B51" w:rsidP="00256450">
            <w:pPr>
              <w:pStyle w:val="NoSpacing"/>
            </w:pPr>
            <w:r w:rsidRPr="00CE2168">
              <w:rPr>
                <w:rFonts w:cs="Calibri"/>
                <w:color w:val="000000"/>
              </w:rPr>
              <w:t>0.7512</w:t>
            </w:r>
          </w:p>
        </w:tc>
        <w:tc>
          <w:tcPr>
            <w:tcW w:w="867" w:type="dxa"/>
            <w:shd w:val="clear" w:color="D9E1F2" w:fill="D9E1F2"/>
            <w:noWrap/>
            <w:vAlign w:val="bottom"/>
            <w:hideMark/>
          </w:tcPr>
          <w:p w14:paraId="11745D15" w14:textId="77777777" w:rsidR="00535756" w:rsidRPr="00D9392A" w:rsidRDefault="000F5B51" w:rsidP="00256450">
            <w:pPr>
              <w:pStyle w:val="NoSpacing"/>
            </w:pPr>
            <w:r w:rsidRPr="00CE2168">
              <w:rPr>
                <w:rFonts w:cs="Calibri"/>
                <w:color w:val="000000"/>
              </w:rPr>
              <w:t>0.7693</w:t>
            </w:r>
          </w:p>
        </w:tc>
        <w:tc>
          <w:tcPr>
            <w:tcW w:w="867" w:type="dxa"/>
            <w:shd w:val="clear" w:color="D9E1F2" w:fill="D9E1F2"/>
            <w:noWrap/>
            <w:vAlign w:val="bottom"/>
            <w:hideMark/>
          </w:tcPr>
          <w:p w14:paraId="38239D63" w14:textId="77777777" w:rsidR="00535756" w:rsidRPr="00D9392A" w:rsidRDefault="000F5B51" w:rsidP="00256450">
            <w:pPr>
              <w:pStyle w:val="NoSpacing"/>
            </w:pPr>
            <w:r w:rsidRPr="00CE2168">
              <w:rPr>
                <w:rFonts w:cs="Calibri"/>
                <w:color w:val="000000"/>
              </w:rPr>
              <w:t>0.7784</w:t>
            </w:r>
          </w:p>
        </w:tc>
      </w:tr>
      <w:tr w:rsidR="00A15C2C" w14:paraId="18AED54A" w14:textId="77777777" w:rsidTr="0055589E">
        <w:trPr>
          <w:trHeight w:val="300"/>
          <w:jc w:val="center"/>
        </w:trPr>
        <w:tc>
          <w:tcPr>
            <w:tcW w:w="985" w:type="dxa"/>
            <w:vMerge/>
            <w:shd w:val="clear" w:color="auto" w:fill="D9D9D9" w:themeFill="background1" w:themeFillShade="D9"/>
            <w:vAlign w:val="bottom"/>
          </w:tcPr>
          <w:p w14:paraId="0E4DB3F7" w14:textId="77777777" w:rsidR="00535756" w:rsidRPr="00535756" w:rsidRDefault="00535756" w:rsidP="00256450">
            <w:pPr>
              <w:pStyle w:val="NoSpacing"/>
              <w:rPr>
                <w:b/>
                <w:bCs/>
                <w:color w:val="000000"/>
              </w:rPr>
            </w:pPr>
          </w:p>
        </w:tc>
        <w:tc>
          <w:tcPr>
            <w:tcW w:w="1350" w:type="dxa"/>
            <w:vMerge/>
            <w:shd w:val="clear" w:color="auto" w:fill="D9D9D9" w:themeFill="background1" w:themeFillShade="D9"/>
            <w:noWrap/>
            <w:vAlign w:val="bottom"/>
          </w:tcPr>
          <w:p w14:paraId="55FDC15A" w14:textId="77777777" w:rsidR="00535756" w:rsidRPr="00535756" w:rsidRDefault="00535756" w:rsidP="00256450">
            <w:pPr>
              <w:pStyle w:val="NoSpacing"/>
              <w:rPr>
                <w:b/>
                <w:bCs/>
              </w:rPr>
            </w:pPr>
          </w:p>
        </w:tc>
        <w:tc>
          <w:tcPr>
            <w:tcW w:w="2055" w:type="dxa"/>
            <w:noWrap/>
            <w:vAlign w:val="bottom"/>
            <w:hideMark/>
          </w:tcPr>
          <w:p w14:paraId="02EF8380" w14:textId="77777777" w:rsidR="00535756" w:rsidRPr="00D9392A" w:rsidRDefault="000F5B51" w:rsidP="00256450">
            <w:pPr>
              <w:pStyle w:val="NoSpacing"/>
            </w:pPr>
            <w:r>
              <w:rPr>
                <w:color w:val="000000"/>
              </w:rPr>
              <w:t>(4) Severe Injury</w:t>
            </w:r>
          </w:p>
        </w:tc>
        <w:tc>
          <w:tcPr>
            <w:tcW w:w="922" w:type="dxa"/>
            <w:shd w:val="clear" w:color="auto" w:fill="FFFFFF" w:themeFill="background1"/>
            <w:noWrap/>
            <w:hideMark/>
          </w:tcPr>
          <w:p w14:paraId="399464E5" w14:textId="77777777" w:rsidR="00535756" w:rsidRPr="00D9392A" w:rsidRDefault="000F5B51" w:rsidP="00256450">
            <w:pPr>
              <w:pStyle w:val="NoSpacing"/>
            </w:pPr>
            <w:r w:rsidRPr="006E1748">
              <w:t>0.500</w:t>
            </w:r>
          </w:p>
        </w:tc>
        <w:tc>
          <w:tcPr>
            <w:tcW w:w="1012" w:type="dxa"/>
            <w:noWrap/>
            <w:vAlign w:val="bottom"/>
            <w:hideMark/>
          </w:tcPr>
          <w:p w14:paraId="0CEF8328" w14:textId="77777777" w:rsidR="00535756" w:rsidRPr="00D9392A" w:rsidRDefault="000F5B51" w:rsidP="00256450">
            <w:pPr>
              <w:pStyle w:val="NoSpacing"/>
            </w:pPr>
            <w:r w:rsidRPr="00CE2168">
              <w:rPr>
                <w:rFonts w:cs="Calibri"/>
                <w:color w:val="000000"/>
              </w:rPr>
              <w:t>0.7352</w:t>
            </w:r>
          </w:p>
        </w:tc>
        <w:tc>
          <w:tcPr>
            <w:tcW w:w="1147" w:type="dxa"/>
            <w:vAlign w:val="bottom"/>
          </w:tcPr>
          <w:p w14:paraId="5B875777" w14:textId="77777777" w:rsidR="00535756" w:rsidRPr="00D9392A" w:rsidRDefault="000F5B51" w:rsidP="00256450">
            <w:pPr>
              <w:pStyle w:val="NoSpacing"/>
            </w:pPr>
            <w:r w:rsidRPr="00CE2168">
              <w:rPr>
                <w:rFonts w:cs="Calibri"/>
                <w:color w:val="000000"/>
              </w:rPr>
              <w:t>0.7272</w:t>
            </w:r>
          </w:p>
        </w:tc>
        <w:tc>
          <w:tcPr>
            <w:tcW w:w="888" w:type="dxa"/>
            <w:noWrap/>
            <w:vAlign w:val="bottom"/>
            <w:hideMark/>
          </w:tcPr>
          <w:p w14:paraId="72336A70" w14:textId="77777777" w:rsidR="00535756" w:rsidRPr="00D9392A" w:rsidRDefault="000F5B51" w:rsidP="00256450">
            <w:pPr>
              <w:pStyle w:val="NoSpacing"/>
            </w:pPr>
            <w:r w:rsidRPr="00CE2168">
              <w:rPr>
                <w:rFonts w:cs="Calibri"/>
                <w:color w:val="000000"/>
              </w:rPr>
              <w:t>0.7512</w:t>
            </w:r>
          </w:p>
        </w:tc>
        <w:tc>
          <w:tcPr>
            <w:tcW w:w="867" w:type="dxa"/>
            <w:noWrap/>
            <w:vAlign w:val="bottom"/>
            <w:hideMark/>
          </w:tcPr>
          <w:p w14:paraId="39872E58" w14:textId="77777777" w:rsidR="00535756" w:rsidRPr="00D9392A" w:rsidRDefault="000F5B51" w:rsidP="00256450">
            <w:pPr>
              <w:pStyle w:val="NoSpacing"/>
            </w:pPr>
            <w:r w:rsidRPr="00CE2168">
              <w:rPr>
                <w:rFonts w:cs="Calibri"/>
                <w:color w:val="000000"/>
              </w:rPr>
              <w:t>0.7693</w:t>
            </w:r>
          </w:p>
        </w:tc>
        <w:tc>
          <w:tcPr>
            <w:tcW w:w="867" w:type="dxa"/>
            <w:noWrap/>
            <w:vAlign w:val="bottom"/>
            <w:hideMark/>
          </w:tcPr>
          <w:p w14:paraId="1209AFED" w14:textId="77777777" w:rsidR="00535756" w:rsidRPr="00D9392A" w:rsidRDefault="000F5B51" w:rsidP="00256450">
            <w:pPr>
              <w:pStyle w:val="NoSpacing"/>
            </w:pPr>
            <w:r w:rsidRPr="00CE2168">
              <w:rPr>
                <w:rFonts w:cs="Calibri"/>
                <w:color w:val="000000"/>
              </w:rPr>
              <w:t>0.7784</w:t>
            </w:r>
          </w:p>
        </w:tc>
      </w:tr>
      <w:tr w:rsidR="00A15C2C" w14:paraId="2894A202" w14:textId="77777777" w:rsidTr="00511B92">
        <w:trPr>
          <w:trHeight w:val="300"/>
          <w:jc w:val="center"/>
        </w:trPr>
        <w:tc>
          <w:tcPr>
            <w:tcW w:w="985" w:type="dxa"/>
            <w:vMerge/>
            <w:shd w:val="clear" w:color="auto" w:fill="D9D9D9" w:themeFill="background1" w:themeFillShade="D9"/>
            <w:vAlign w:val="bottom"/>
          </w:tcPr>
          <w:p w14:paraId="06394896" w14:textId="77777777" w:rsidR="00535756" w:rsidRPr="00535756" w:rsidRDefault="00535756" w:rsidP="00256450">
            <w:pPr>
              <w:pStyle w:val="NoSpacing"/>
              <w:rPr>
                <w:b/>
                <w:bCs/>
                <w:color w:val="000000"/>
              </w:rPr>
            </w:pPr>
          </w:p>
        </w:tc>
        <w:tc>
          <w:tcPr>
            <w:tcW w:w="1350" w:type="dxa"/>
            <w:vMerge/>
            <w:shd w:val="clear" w:color="auto" w:fill="D9D9D9" w:themeFill="background1" w:themeFillShade="D9"/>
            <w:noWrap/>
            <w:vAlign w:val="bottom"/>
          </w:tcPr>
          <w:p w14:paraId="5EA247A8" w14:textId="77777777" w:rsidR="00535756" w:rsidRPr="00535756" w:rsidRDefault="00535756" w:rsidP="00256450">
            <w:pPr>
              <w:pStyle w:val="NoSpacing"/>
              <w:rPr>
                <w:b/>
                <w:bCs/>
              </w:rPr>
            </w:pPr>
          </w:p>
        </w:tc>
        <w:tc>
          <w:tcPr>
            <w:tcW w:w="2055" w:type="dxa"/>
            <w:shd w:val="clear" w:color="D9E1F2" w:fill="D9E1F2"/>
            <w:noWrap/>
            <w:vAlign w:val="bottom"/>
            <w:hideMark/>
          </w:tcPr>
          <w:p w14:paraId="12A3D578" w14:textId="77777777" w:rsidR="00535756" w:rsidRPr="00D9392A" w:rsidRDefault="000F5B51" w:rsidP="00256450">
            <w:pPr>
              <w:pStyle w:val="NoSpacing"/>
            </w:pPr>
            <w:r>
              <w:rPr>
                <w:color w:val="000000"/>
              </w:rPr>
              <w:t>(5) Critical Injury</w:t>
            </w:r>
          </w:p>
        </w:tc>
        <w:tc>
          <w:tcPr>
            <w:tcW w:w="922" w:type="dxa"/>
            <w:shd w:val="clear" w:color="auto" w:fill="FFFFFF" w:themeFill="background1"/>
            <w:noWrap/>
            <w:hideMark/>
          </w:tcPr>
          <w:p w14:paraId="3241237A" w14:textId="77777777" w:rsidR="00535756" w:rsidRPr="00D9392A" w:rsidRDefault="000F5B51" w:rsidP="00256450">
            <w:pPr>
              <w:pStyle w:val="NoSpacing"/>
            </w:pPr>
            <w:r w:rsidRPr="006E1748">
              <w:t>0.500</w:t>
            </w:r>
          </w:p>
        </w:tc>
        <w:tc>
          <w:tcPr>
            <w:tcW w:w="1012" w:type="dxa"/>
            <w:shd w:val="clear" w:color="D9E1F2" w:fill="D9E1F2"/>
            <w:noWrap/>
            <w:vAlign w:val="bottom"/>
            <w:hideMark/>
          </w:tcPr>
          <w:p w14:paraId="07FAD2B8" w14:textId="77777777" w:rsidR="00535756" w:rsidRPr="00D9392A" w:rsidRDefault="000F5B51" w:rsidP="00256450">
            <w:pPr>
              <w:pStyle w:val="NoSpacing"/>
            </w:pPr>
            <w:r w:rsidRPr="00CE2168">
              <w:rPr>
                <w:rFonts w:cs="Calibri"/>
                <w:color w:val="000000"/>
              </w:rPr>
              <w:t>0.7352</w:t>
            </w:r>
          </w:p>
        </w:tc>
        <w:tc>
          <w:tcPr>
            <w:tcW w:w="1147" w:type="dxa"/>
            <w:shd w:val="clear" w:color="D9E1F2" w:fill="D9E1F2"/>
            <w:vAlign w:val="bottom"/>
          </w:tcPr>
          <w:p w14:paraId="3C7296B0" w14:textId="77777777" w:rsidR="00535756" w:rsidRPr="00D9392A" w:rsidRDefault="000F5B51" w:rsidP="00256450">
            <w:pPr>
              <w:pStyle w:val="NoSpacing"/>
            </w:pPr>
            <w:r w:rsidRPr="00CE2168">
              <w:rPr>
                <w:rFonts w:cs="Calibri"/>
                <w:color w:val="000000"/>
              </w:rPr>
              <w:t>0.7272</w:t>
            </w:r>
          </w:p>
        </w:tc>
        <w:tc>
          <w:tcPr>
            <w:tcW w:w="888" w:type="dxa"/>
            <w:shd w:val="clear" w:color="D9E1F2" w:fill="D9E1F2"/>
            <w:noWrap/>
            <w:vAlign w:val="bottom"/>
            <w:hideMark/>
          </w:tcPr>
          <w:p w14:paraId="130BC079" w14:textId="77777777" w:rsidR="00535756" w:rsidRPr="00D9392A" w:rsidRDefault="000F5B51" w:rsidP="00256450">
            <w:pPr>
              <w:pStyle w:val="NoSpacing"/>
            </w:pPr>
            <w:r w:rsidRPr="00CE2168">
              <w:rPr>
                <w:rFonts w:cs="Calibri"/>
                <w:color w:val="000000"/>
              </w:rPr>
              <w:t>0.7512</w:t>
            </w:r>
          </w:p>
        </w:tc>
        <w:tc>
          <w:tcPr>
            <w:tcW w:w="867" w:type="dxa"/>
            <w:shd w:val="clear" w:color="D9E1F2" w:fill="D9E1F2"/>
            <w:noWrap/>
            <w:vAlign w:val="bottom"/>
            <w:hideMark/>
          </w:tcPr>
          <w:p w14:paraId="44E38FF7" w14:textId="77777777" w:rsidR="00535756" w:rsidRPr="00D9392A" w:rsidRDefault="000F5B51" w:rsidP="00256450">
            <w:pPr>
              <w:pStyle w:val="NoSpacing"/>
            </w:pPr>
            <w:r w:rsidRPr="00CE2168">
              <w:rPr>
                <w:rFonts w:cs="Calibri"/>
                <w:color w:val="000000"/>
              </w:rPr>
              <w:t>0.7693</w:t>
            </w:r>
          </w:p>
        </w:tc>
        <w:tc>
          <w:tcPr>
            <w:tcW w:w="867" w:type="dxa"/>
            <w:shd w:val="clear" w:color="D9E1F2" w:fill="D9E1F2"/>
            <w:noWrap/>
            <w:vAlign w:val="bottom"/>
            <w:hideMark/>
          </w:tcPr>
          <w:p w14:paraId="6916BE6F" w14:textId="77777777" w:rsidR="00535756" w:rsidRPr="00D9392A" w:rsidRDefault="000F5B51" w:rsidP="00256450">
            <w:pPr>
              <w:pStyle w:val="NoSpacing"/>
            </w:pPr>
            <w:r w:rsidRPr="00CE2168">
              <w:rPr>
                <w:rFonts w:cs="Calibri"/>
                <w:color w:val="000000"/>
              </w:rPr>
              <w:t>0.7784</w:t>
            </w:r>
          </w:p>
        </w:tc>
      </w:tr>
      <w:tr w:rsidR="00A15C2C" w14:paraId="5C494FAC" w14:textId="77777777" w:rsidTr="0055589E">
        <w:trPr>
          <w:trHeight w:val="300"/>
          <w:jc w:val="center"/>
        </w:trPr>
        <w:tc>
          <w:tcPr>
            <w:tcW w:w="985" w:type="dxa"/>
            <w:vMerge/>
            <w:shd w:val="clear" w:color="auto" w:fill="D9D9D9" w:themeFill="background1" w:themeFillShade="D9"/>
            <w:vAlign w:val="bottom"/>
          </w:tcPr>
          <w:p w14:paraId="6917FFF7" w14:textId="77777777" w:rsidR="00535756" w:rsidRPr="00535756" w:rsidRDefault="00535756" w:rsidP="00256450">
            <w:pPr>
              <w:pStyle w:val="NoSpacing"/>
              <w:rPr>
                <w:b/>
                <w:bCs/>
                <w:color w:val="000000"/>
              </w:rPr>
            </w:pPr>
          </w:p>
        </w:tc>
        <w:tc>
          <w:tcPr>
            <w:tcW w:w="1350" w:type="dxa"/>
            <w:vMerge/>
            <w:shd w:val="clear" w:color="auto" w:fill="D9D9D9" w:themeFill="background1" w:themeFillShade="D9"/>
            <w:noWrap/>
            <w:vAlign w:val="bottom"/>
          </w:tcPr>
          <w:p w14:paraId="58C38D62" w14:textId="77777777" w:rsidR="00535756" w:rsidRPr="00535756" w:rsidRDefault="00535756" w:rsidP="00256450">
            <w:pPr>
              <w:pStyle w:val="NoSpacing"/>
              <w:rPr>
                <w:b/>
                <w:bCs/>
              </w:rPr>
            </w:pPr>
          </w:p>
        </w:tc>
        <w:tc>
          <w:tcPr>
            <w:tcW w:w="2055" w:type="dxa"/>
            <w:noWrap/>
            <w:vAlign w:val="bottom"/>
            <w:hideMark/>
          </w:tcPr>
          <w:p w14:paraId="6113BC98" w14:textId="77777777" w:rsidR="00535756" w:rsidRPr="00D9392A" w:rsidRDefault="000F5B51" w:rsidP="00256450">
            <w:pPr>
              <w:pStyle w:val="NoSpacing"/>
            </w:pPr>
            <w:r>
              <w:rPr>
                <w:color w:val="000000"/>
              </w:rPr>
              <w:t>Fatal</w:t>
            </w:r>
          </w:p>
        </w:tc>
        <w:tc>
          <w:tcPr>
            <w:tcW w:w="922" w:type="dxa"/>
            <w:shd w:val="clear" w:color="auto" w:fill="FFFFFF" w:themeFill="background1"/>
            <w:noWrap/>
            <w:hideMark/>
          </w:tcPr>
          <w:p w14:paraId="4D3704CF" w14:textId="77777777" w:rsidR="00535756" w:rsidRPr="00D9392A" w:rsidRDefault="000F5B51" w:rsidP="00256450">
            <w:pPr>
              <w:pStyle w:val="NoSpacing"/>
            </w:pPr>
            <w:r w:rsidRPr="006E1748">
              <w:t>0.440</w:t>
            </w:r>
          </w:p>
        </w:tc>
        <w:tc>
          <w:tcPr>
            <w:tcW w:w="1012" w:type="dxa"/>
            <w:noWrap/>
            <w:vAlign w:val="bottom"/>
            <w:hideMark/>
          </w:tcPr>
          <w:p w14:paraId="52C06120" w14:textId="77777777" w:rsidR="00535756" w:rsidRPr="00D9392A" w:rsidRDefault="000F5B51" w:rsidP="00256450">
            <w:pPr>
              <w:pStyle w:val="NoSpacing"/>
            </w:pPr>
            <w:r w:rsidRPr="00CE2168">
              <w:rPr>
                <w:rFonts w:cs="Calibri"/>
                <w:color w:val="000000"/>
              </w:rPr>
              <w:t>0.5793</w:t>
            </w:r>
          </w:p>
        </w:tc>
        <w:tc>
          <w:tcPr>
            <w:tcW w:w="1147" w:type="dxa"/>
            <w:vAlign w:val="bottom"/>
          </w:tcPr>
          <w:p w14:paraId="395ADFFE" w14:textId="77777777" w:rsidR="00535756" w:rsidRPr="00D9392A" w:rsidRDefault="000F5B51" w:rsidP="00256450">
            <w:pPr>
              <w:pStyle w:val="NoSpacing"/>
            </w:pPr>
            <w:r w:rsidRPr="00CE2168">
              <w:rPr>
                <w:rFonts w:cs="Calibri"/>
                <w:color w:val="000000"/>
              </w:rPr>
              <w:t>0.5713</w:t>
            </w:r>
          </w:p>
        </w:tc>
        <w:tc>
          <w:tcPr>
            <w:tcW w:w="888" w:type="dxa"/>
            <w:noWrap/>
            <w:vAlign w:val="bottom"/>
            <w:hideMark/>
          </w:tcPr>
          <w:p w14:paraId="6E4FE52B" w14:textId="77777777" w:rsidR="00535756" w:rsidRPr="00D9392A" w:rsidRDefault="000F5B51" w:rsidP="00256450">
            <w:pPr>
              <w:pStyle w:val="NoSpacing"/>
            </w:pPr>
            <w:r w:rsidRPr="00CE2168">
              <w:rPr>
                <w:rFonts w:cs="Calibri"/>
                <w:color w:val="000000"/>
              </w:rPr>
              <w:t>0.5953</w:t>
            </w:r>
          </w:p>
        </w:tc>
        <w:tc>
          <w:tcPr>
            <w:tcW w:w="867" w:type="dxa"/>
            <w:noWrap/>
            <w:vAlign w:val="bottom"/>
            <w:hideMark/>
          </w:tcPr>
          <w:p w14:paraId="0A1790EB" w14:textId="77777777" w:rsidR="00535756" w:rsidRPr="00D9392A" w:rsidRDefault="000F5B51" w:rsidP="00256450">
            <w:pPr>
              <w:pStyle w:val="NoSpacing"/>
            </w:pPr>
            <w:r w:rsidRPr="00CE2168">
              <w:rPr>
                <w:rFonts w:cs="Calibri"/>
                <w:color w:val="000000"/>
              </w:rPr>
              <w:t>0.6162</w:t>
            </w:r>
          </w:p>
        </w:tc>
        <w:tc>
          <w:tcPr>
            <w:tcW w:w="867" w:type="dxa"/>
            <w:noWrap/>
            <w:vAlign w:val="bottom"/>
            <w:hideMark/>
          </w:tcPr>
          <w:p w14:paraId="451F493C" w14:textId="77777777" w:rsidR="00535756" w:rsidRPr="00D9392A" w:rsidRDefault="000F5B51" w:rsidP="00256450">
            <w:pPr>
              <w:pStyle w:val="NoSpacing"/>
            </w:pPr>
            <w:r w:rsidRPr="00CE2168">
              <w:rPr>
                <w:rFonts w:cs="Calibri"/>
                <w:color w:val="000000"/>
              </w:rPr>
              <w:t>0.6268</w:t>
            </w:r>
          </w:p>
        </w:tc>
      </w:tr>
      <w:tr w:rsidR="00A15C2C" w14:paraId="61BDDCA1" w14:textId="77777777" w:rsidTr="00511B92">
        <w:trPr>
          <w:trHeight w:val="300"/>
          <w:jc w:val="center"/>
        </w:trPr>
        <w:tc>
          <w:tcPr>
            <w:tcW w:w="985" w:type="dxa"/>
            <w:vMerge/>
            <w:shd w:val="clear" w:color="auto" w:fill="D9D9D9" w:themeFill="background1" w:themeFillShade="D9"/>
            <w:vAlign w:val="bottom"/>
          </w:tcPr>
          <w:p w14:paraId="03826144" w14:textId="77777777" w:rsidR="00535756" w:rsidRPr="00535756" w:rsidRDefault="00535756" w:rsidP="00256450">
            <w:pPr>
              <w:pStyle w:val="NoSpacing"/>
              <w:rPr>
                <w:b/>
                <w:bCs/>
                <w:color w:val="000000"/>
              </w:rPr>
            </w:pPr>
          </w:p>
        </w:tc>
        <w:tc>
          <w:tcPr>
            <w:tcW w:w="1350" w:type="dxa"/>
            <w:vMerge w:val="restart"/>
            <w:shd w:val="clear" w:color="auto" w:fill="D9D9D9" w:themeFill="background1" w:themeFillShade="D9"/>
            <w:noWrap/>
            <w:vAlign w:val="center"/>
            <w:hideMark/>
          </w:tcPr>
          <w:p w14:paraId="3BDA10C5" w14:textId="77777777" w:rsidR="00535756" w:rsidRPr="00535756" w:rsidRDefault="000F5B51" w:rsidP="00535756">
            <w:pPr>
              <w:pStyle w:val="NoSpacing"/>
              <w:rPr>
                <w:b/>
                <w:bCs/>
              </w:rPr>
            </w:pPr>
            <w:r>
              <w:rPr>
                <w:b/>
                <w:bCs/>
                <w:color w:val="000000"/>
              </w:rPr>
              <w:t>LTV</w:t>
            </w:r>
          </w:p>
        </w:tc>
        <w:tc>
          <w:tcPr>
            <w:tcW w:w="2055" w:type="dxa"/>
            <w:shd w:val="clear" w:color="D9E1F2" w:fill="D9E1F2"/>
            <w:noWrap/>
            <w:vAlign w:val="bottom"/>
            <w:hideMark/>
          </w:tcPr>
          <w:p w14:paraId="37C22FB5" w14:textId="77777777" w:rsidR="00535756" w:rsidRPr="00D9392A" w:rsidRDefault="000F5B51" w:rsidP="00256450">
            <w:pPr>
              <w:pStyle w:val="NoSpacing"/>
            </w:pPr>
            <w:r>
              <w:rPr>
                <w:color w:val="000000"/>
              </w:rPr>
              <w:t>(1) Minor Injury</w:t>
            </w:r>
          </w:p>
        </w:tc>
        <w:tc>
          <w:tcPr>
            <w:tcW w:w="922" w:type="dxa"/>
            <w:shd w:val="clear" w:color="auto" w:fill="FFFFFF" w:themeFill="background1"/>
            <w:noWrap/>
            <w:hideMark/>
          </w:tcPr>
          <w:p w14:paraId="2FACF9F0" w14:textId="77777777" w:rsidR="00535756" w:rsidRPr="00D9392A" w:rsidRDefault="000F5B51" w:rsidP="00256450">
            <w:pPr>
              <w:pStyle w:val="NoSpacing"/>
            </w:pPr>
            <w:r w:rsidRPr="006E1748">
              <w:t>0.055</w:t>
            </w:r>
          </w:p>
        </w:tc>
        <w:tc>
          <w:tcPr>
            <w:tcW w:w="1012" w:type="dxa"/>
            <w:shd w:val="clear" w:color="D9E1F2" w:fill="D9E1F2"/>
            <w:noWrap/>
            <w:vAlign w:val="bottom"/>
            <w:hideMark/>
          </w:tcPr>
          <w:p w14:paraId="19FD3518" w14:textId="77777777" w:rsidR="00535756" w:rsidRPr="00D9392A" w:rsidRDefault="000F5B51" w:rsidP="00256450">
            <w:pPr>
              <w:pStyle w:val="NoSpacing"/>
            </w:pPr>
            <w:r w:rsidRPr="00CE2168">
              <w:rPr>
                <w:rFonts w:cs="Calibri"/>
                <w:color w:val="000000"/>
              </w:rPr>
              <w:t>0.7352</w:t>
            </w:r>
          </w:p>
        </w:tc>
        <w:tc>
          <w:tcPr>
            <w:tcW w:w="1147" w:type="dxa"/>
            <w:shd w:val="clear" w:color="D9E1F2" w:fill="D9E1F2"/>
            <w:vAlign w:val="bottom"/>
          </w:tcPr>
          <w:p w14:paraId="21EAA972" w14:textId="77777777" w:rsidR="00535756" w:rsidRPr="00D9392A" w:rsidRDefault="000F5B51" w:rsidP="00256450">
            <w:pPr>
              <w:pStyle w:val="NoSpacing"/>
            </w:pPr>
            <w:r w:rsidRPr="00CE2168">
              <w:rPr>
                <w:rFonts w:cs="Calibri"/>
                <w:color w:val="000000"/>
              </w:rPr>
              <w:t>0.7272</w:t>
            </w:r>
          </w:p>
        </w:tc>
        <w:tc>
          <w:tcPr>
            <w:tcW w:w="888" w:type="dxa"/>
            <w:shd w:val="clear" w:color="D9E1F2" w:fill="D9E1F2"/>
            <w:noWrap/>
            <w:vAlign w:val="bottom"/>
            <w:hideMark/>
          </w:tcPr>
          <w:p w14:paraId="42733815" w14:textId="77777777" w:rsidR="00535756" w:rsidRPr="00D9392A" w:rsidRDefault="000F5B51" w:rsidP="00256450">
            <w:pPr>
              <w:pStyle w:val="NoSpacing"/>
            </w:pPr>
            <w:r w:rsidRPr="00CE2168">
              <w:rPr>
                <w:rFonts w:cs="Calibri"/>
                <w:color w:val="000000"/>
              </w:rPr>
              <w:t>0.7512</w:t>
            </w:r>
          </w:p>
        </w:tc>
        <w:tc>
          <w:tcPr>
            <w:tcW w:w="867" w:type="dxa"/>
            <w:shd w:val="clear" w:color="D9E1F2" w:fill="D9E1F2"/>
            <w:noWrap/>
            <w:vAlign w:val="bottom"/>
            <w:hideMark/>
          </w:tcPr>
          <w:p w14:paraId="593B43E9" w14:textId="77777777" w:rsidR="00535756" w:rsidRPr="00D9392A" w:rsidRDefault="000F5B51" w:rsidP="00256450">
            <w:pPr>
              <w:pStyle w:val="NoSpacing"/>
            </w:pPr>
            <w:r w:rsidRPr="00CE2168">
              <w:rPr>
                <w:rFonts w:cs="Calibri"/>
                <w:color w:val="000000"/>
              </w:rPr>
              <w:t>0.7693</w:t>
            </w:r>
          </w:p>
        </w:tc>
        <w:tc>
          <w:tcPr>
            <w:tcW w:w="867" w:type="dxa"/>
            <w:shd w:val="clear" w:color="D9E1F2" w:fill="D9E1F2"/>
            <w:noWrap/>
            <w:vAlign w:val="bottom"/>
            <w:hideMark/>
          </w:tcPr>
          <w:p w14:paraId="51A92A05" w14:textId="77777777" w:rsidR="00535756" w:rsidRPr="00D9392A" w:rsidRDefault="000F5B51" w:rsidP="00256450">
            <w:pPr>
              <w:pStyle w:val="NoSpacing"/>
            </w:pPr>
            <w:r w:rsidRPr="00CE2168">
              <w:rPr>
                <w:rFonts w:cs="Calibri"/>
                <w:color w:val="000000"/>
              </w:rPr>
              <w:t>0.7784</w:t>
            </w:r>
          </w:p>
        </w:tc>
      </w:tr>
      <w:tr w:rsidR="00A15C2C" w14:paraId="7F009C3F" w14:textId="77777777" w:rsidTr="0055589E">
        <w:trPr>
          <w:trHeight w:val="300"/>
          <w:jc w:val="center"/>
        </w:trPr>
        <w:tc>
          <w:tcPr>
            <w:tcW w:w="985" w:type="dxa"/>
            <w:vMerge/>
            <w:shd w:val="clear" w:color="auto" w:fill="D9D9D9" w:themeFill="background1" w:themeFillShade="D9"/>
            <w:vAlign w:val="bottom"/>
          </w:tcPr>
          <w:p w14:paraId="4BC5EC05" w14:textId="77777777" w:rsidR="00535756" w:rsidRPr="007A629D" w:rsidRDefault="00535756" w:rsidP="00256450">
            <w:pPr>
              <w:pStyle w:val="NoSpacing"/>
              <w:rPr>
                <w:color w:val="000000"/>
              </w:rPr>
            </w:pPr>
          </w:p>
        </w:tc>
        <w:tc>
          <w:tcPr>
            <w:tcW w:w="1350" w:type="dxa"/>
            <w:vMerge/>
            <w:shd w:val="clear" w:color="auto" w:fill="D9D9D9" w:themeFill="background1" w:themeFillShade="D9"/>
            <w:noWrap/>
            <w:vAlign w:val="bottom"/>
          </w:tcPr>
          <w:p w14:paraId="02FC6C5D" w14:textId="77777777" w:rsidR="00535756" w:rsidRPr="00D9392A" w:rsidRDefault="00535756" w:rsidP="00256450">
            <w:pPr>
              <w:pStyle w:val="NoSpacing"/>
            </w:pPr>
          </w:p>
        </w:tc>
        <w:tc>
          <w:tcPr>
            <w:tcW w:w="2055" w:type="dxa"/>
            <w:noWrap/>
            <w:vAlign w:val="bottom"/>
            <w:hideMark/>
          </w:tcPr>
          <w:p w14:paraId="28D5D885" w14:textId="77777777" w:rsidR="00535756" w:rsidRPr="00D9392A" w:rsidRDefault="000F5B51" w:rsidP="00256450">
            <w:pPr>
              <w:pStyle w:val="NoSpacing"/>
            </w:pPr>
            <w:r>
              <w:rPr>
                <w:color w:val="000000"/>
              </w:rPr>
              <w:t>(2) Moderate Injury</w:t>
            </w:r>
          </w:p>
        </w:tc>
        <w:tc>
          <w:tcPr>
            <w:tcW w:w="922" w:type="dxa"/>
            <w:shd w:val="clear" w:color="auto" w:fill="FFFFFF" w:themeFill="background1"/>
            <w:noWrap/>
            <w:hideMark/>
          </w:tcPr>
          <w:p w14:paraId="2EE02AA8" w14:textId="77777777" w:rsidR="00535756" w:rsidRPr="00D9392A" w:rsidRDefault="000F5B51" w:rsidP="00256450">
            <w:pPr>
              <w:pStyle w:val="NoSpacing"/>
            </w:pPr>
            <w:r w:rsidRPr="006E1748">
              <w:t>0.500</w:t>
            </w:r>
          </w:p>
        </w:tc>
        <w:tc>
          <w:tcPr>
            <w:tcW w:w="1012" w:type="dxa"/>
            <w:noWrap/>
            <w:vAlign w:val="bottom"/>
            <w:hideMark/>
          </w:tcPr>
          <w:p w14:paraId="68D12C52" w14:textId="77777777" w:rsidR="00535756" w:rsidRPr="00D9392A" w:rsidRDefault="000F5B51" w:rsidP="00256450">
            <w:pPr>
              <w:pStyle w:val="NoSpacing"/>
            </w:pPr>
            <w:r w:rsidRPr="00CE2168">
              <w:rPr>
                <w:rFonts w:cs="Calibri"/>
                <w:color w:val="000000"/>
              </w:rPr>
              <w:t>0.7352</w:t>
            </w:r>
          </w:p>
        </w:tc>
        <w:tc>
          <w:tcPr>
            <w:tcW w:w="1147" w:type="dxa"/>
            <w:vAlign w:val="bottom"/>
          </w:tcPr>
          <w:p w14:paraId="3B9E35F5" w14:textId="77777777" w:rsidR="00535756" w:rsidRPr="00D9392A" w:rsidRDefault="000F5B51" w:rsidP="00256450">
            <w:pPr>
              <w:pStyle w:val="NoSpacing"/>
            </w:pPr>
            <w:r w:rsidRPr="00CE2168">
              <w:rPr>
                <w:rFonts w:cs="Calibri"/>
                <w:color w:val="000000"/>
              </w:rPr>
              <w:t>0.7272</w:t>
            </w:r>
          </w:p>
        </w:tc>
        <w:tc>
          <w:tcPr>
            <w:tcW w:w="888" w:type="dxa"/>
            <w:noWrap/>
            <w:vAlign w:val="bottom"/>
            <w:hideMark/>
          </w:tcPr>
          <w:p w14:paraId="3F88CE9F" w14:textId="77777777" w:rsidR="00535756" w:rsidRPr="00D9392A" w:rsidRDefault="000F5B51" w:rsidP="00256450">
            <w:pPr>
              <w:pStyle w:val="NoSpacing"/>
            </w:pPr>
            <w:r w:rsidRPr="00CE2168">
              <w:rPr>
                <w:rFonts w:cs="Calibri"/>
                <w:color w:val="000000"/>
              </w:rPr>
              <w:t>0.7512</w:t>
            </w:r>
          </w:p>
        </w:tc>
        <w:tc>
          <w:tcPr>
            <w:tcW w:w="867" w:type="dxa"/>
            <w:noWrap/>
            <w:vAlign w:val="bottom"/>
            <w:hideMark/>
          </w:tcPr>
          <w:p w14:paraId="7E6B82B3" w14:textId="77777777" w:rsidR="00535756" w:rsidRPr="00D9392A" w:rsidRDefault="000F5B51" w:rsidP="00256450">
            <w:pPr>
              <w:pStyle w:val="NoSpacing"/>
            </w:pPr>
            <w:r w:rsidRPr="00CE2168">
              <w:rPr>
                <w:rFonts w:cs="Calibri"/>
                <w:color w:val="000000"/>
              </w:rPr>
              <w:t>0.7693</w:t>
            </w:r>
          </w:p>
        </w:tc>
        <w:tc>
          <w:tcPr>
            <w:tcW w:w="867" w:type="dxa"/>
            <w:noWrap/>
            <w:vAlign w:val="bottom"/>
            <w:hideMark/>
          </w:tcPr>
          <w:p w14:paraId="7D81FE2A" w14:textId="77777777" w:rsidR="00535756" w:rsidRPr="00D9392A" w:rsidRDefault="000F5B51" w:rsidP="00256450">
            <w:pPr>
              <w:pStyle w:val="NoSpacing"/>
            </w:pPr>
            <w:r w:rsidRPr="00CE2168">
              <w:rPr>
                <w:rFonts w:cs="Calibri"/>
                <w:color w:val="000000"/>
              </w:rPr>
              <w:t>0.7784</w:t>
            </w:r>
          </w:p>
        </w:tc>
      </w:tr>
      <w:tr w:rsidR="00A15C2C" w14:paraId="4788BC0A" w14:textId="77777777" w:rsidTr="00511B92">
        <w:trPr>
          <w:trHeight w:val="300"/>
          <w:jc w:val="center"/>
        </w:trPr>
        <w:tc>
          <w:tcPr>
            <w:tcW w:w="985" w:type="dxa"/>
            <w:vMerge/>
            <w:shd w:val="clear" w:color="auto" w:fill="D9D9D9" w:themeFill="background1" w:themeFillShade="D9"/>
            <w:vAlign w:val="bottom"/>
          </w:tcPr>
          <w:p w14:paraId="55771AFD" w14:textId="77777777" w:rsidR="00535756" w:rsidRPr="007A629D" w:rsidRDefault="00535756" w:rsidP="00256450">
            <w:pPr>
              <w:pStyle w:val="NoSpacing"/>
              <w:rPr>
                <w:color w:val="000000"/>
              </w:rPr>
            </w:pPr>
          </w:p>
        </w:tc>
        <w:tc>
          <w:tcPr>
            <w:tcW w:w="1350" w:type="dxa"/>
            <w:vMerge/>
            <w:shd w:val="clear" w:color="auto" w:fill="D9D9D9" w:themeFill="background1" w:themeFillShade="D9"/>
            <w:noWrap/>
            <w:vAlign w:val="bottom"/>
          </w:tcPr>
          <w:p w14:paraId="555350B9" w14:textId="77777777" w:rsidR="00535756" w:rsidRPr="00D9392A" w:rsidRDefault="00535756" w:rsidP="00256450">
            <w:pPr>
              <w:pStyle w:val="NoSpacing"/>
            </w:pPr>
          </w:p>
        </w:tc>
        <w:tc>
          <w:tcPr>
            <w:tcW w:w="2055" w:type="dxa"/>
            <w:shd w:val="clear" w:color="D9E1F2" w:fill="D9E1F2"/>
            <w:noWrap/>
            <w:vAlign w:val="bottom"/>
            <w:hideMark/>
          </w:tcPr>
          <w:p w14:paraId="784CA9DD" w14:textId="77777777" w:rsidR="00535756" w:rsidRPr="00D9392A" w:rsidRDefault="000F5B51" w:rsidP="00256450">
            <w:pPr>
              <w:pStyle w:val="NoSpacing"/>
            </w:pPr>
            <w:r>
              <w:rPr>
                <w:color w:val="000000"/>
              </w:rPr>
              <w:t>(3) Serious Injury</w:t>
            </w:r>
          </w:p>
        </w:tc>
        <w:tc>
          <w:tcPr>
            <w:tcW w:w="922" w:type="dxa"/>
            <w:shd w:val="clear" w:color="auto" w:fill="FFFFFF" w:themeFill="background1"/>
            <w:noWrap/>
            <w:hideMark/>
          </w:tcPr>
          <w:p w14:paraId="301D6944" w14:textId="77777777" w:rsidR="00535756" w:rsidRPr="00D9392A" w:rsidRDefault="000F5B51" w:rsidP="00256450">
            <w:pPr>
              <w:pStyle w:val="NoSpacing"/>
            </w:pPr>
            <w:r w:rsidRPr="006E1748">
              <w:t>0.500</w:t>
            </w:r>
          </w:p>
        </w:tc>
        <w:tc>
          <w:tcPr>
            <w:tcW w:w="1012" w:type="dxa"/>
            <w:shd w:val="clear" w:color="D9E1F2" w:fill="D9E1F2"/>
            <w:noWrap/>
            <w:vAlign w:val="bottom"/>
            <w:hideMark/>
          </w:tcPr>
          <w:p w14:paraId="735C116B" w14:textId="77777777" w:rsidR="00535756" w:rsidRPr="00D9392A" w:rsidRDefault="000F5B51" w:rsidP="00256450">
            <w:pPr>
              <w:pStyle w:val="NoSpacing"/>
            </w:pPr>
            <w:r w:rsidRPr="00CE2168">
              <w:rPr>
                <w:rFonts w:cs="Calibri"/>
                <w:color w:val="000000"/>
              </w:rPr>
              <w:t>0.7352</w:t>
            </w:r>
          </w:p>
        </w:tc>
        <w:tc>
          <w:tcPr>
            <w:tcW w:w="1147" w:type="dxa"/>
            <w:shd w:val="clear" w:color="D9E1F2" w:fill="D9E1F2"/>
            <w:vAlign w:val="bottom"/>
          </w:tcPr>
          <w:p w14:paraId="2E152D29" w14:textId="77777777" w:rsidR="00535756" w:rsidRPr="00D9392A" w:rsidRDefault="000F5B51" w:rsidP="00256450">
            <w:pPr>
              <w:pStyle w:val="NoSpacing"/>
            </w:pPr>
            <w:r w:rsidRPr="00CE2168">
              <w:rPr>
                <w:rFonts w:cs="Calibri"/>
                <w:color w:val="000000"/>
              </w:rPr>
              <w:t>0.7272</w:t>
            </w:r>
          </w:p>
        </w:tc>
        <w:tc>
          <w:tcPr>
            <w:tcW w:w="888" w:type="dxa"/>
            <w:shd w:val="clear" w:color="D9E1F2" w:fill="D9E1F2"/>
            <w:noWrap/>
            <w:vAlign w:val="bottom"/>
            <w:hideMark/>
          </w:tcPr>
          <w:p w14:paraId="7D7237F6" w14:textId="77777777" w:rsidR="00535756" w:rsidRPr="00D9392A" w:rsidRDefault="000F5B51" w:rsidP="00256450">
            <w:pPr>
              <w:pStyle w:val="NoSpacing"/>
            </w:pPr>
            <w:r w:rsidRPr="00CE2168">
              <w:rPr>
                <w:rFonts w:cs="Calibri"/>
                <w:color w:val="000000"/>
              </w:rPr>
              <w:t>0.7512</w:t>
            </w:r>
          </w:p>
        </w:tc>
        <w:tc>
          <w:tcPr>
            <w:tcW w:w="867" w:type="dxa"/>
            <w:shd w:val="clear" w:color="D9E1F2" w:fill="D9E1F2"/>
            <w:noWrap/>
            <w:vAlign w:val="bottom"/>
            <w:hideMark/>
          </w:tcPr>
          <w:p w14:paraId="21D9CFCE" w14:textId="77777777" w:rsidR="00535756" w:rsidRPr="00D9392A" w:rsidRDefault="000F5B51" w:rsidP="00256450">
            <w:pPr>
              <w:pStyle w:val="NoSpacing"/>
            </w:pPr>
            <w:r w:rsidRPr="00CE2168">
              <w:rPr>
                <w:rFonts w:cs="Calibri"/>
                <w:color w:val="000000"/>
              </w:rPr>
              <w:t>0.7693</w:t>
            </w:r>
          </w:p>
        </w:tc>
        <w:tc>
          <w:tcPr>
            <w:tcW w:w="867" w:type="dxa"/>
            <w:shd w:val="clear" w:color="D9E1F2" w:fill="D9E1F2"/>
            <w:noWrap/>
            <w:vAlign w:val="bottom"/>
            <w:hideMark/>
          </w:tcPr>
          <w:p w14:paraId="3C05D9FE" w14:textId="77777777" w:rsidR="00535756" w:rsidRPr="00D9392A" w:rsidRDefault="000F5B51" w:rsidP="00256450">
            <w:pPr>
              <w:pStyle w:val="NoSpacing"/>
            </w:pPr>
            <w:r w:rsidRPr="00CE2168">
              <w:rPr>
                <w:rFonts w:cs="Calibri"/>
                <w:color w:val="000000"/>
              </w:rPr>
              <w:t>0.7784</w:t>
            </w:r>
          </w:p>
        </w:tc>
      </w:tr>
      <w:tr w:rsidR="00A15C2C" w14:paraId="319BF68B" w14:textId="77777777" w:rsidTr="0055589E">
        <w:trPr>
          <w:trHeight w:val="300"/>
          <w:jc w:val="center"/>
        </w:trPr>
        <w:tc>
          <w:tcPr>
            <w:tcW w:w="985" w:type="dxa"/>
            <w:vMerge/>
            <w:shd w:val="clear" w:color="auto" w:fill="D9D9D9" w:themeFill="background1" w:themeFillShade="D9"/>
            <w:vAlign w:val="bottom"/>
          </w:tcPr>
          <w:p w14:paraId="63A2B282" w14:textId="77777777" w:rsidR="00535756" w:rsidRPr="007A629D" w:rsidRDefault="00535756" w:rsidP="00256450">
            <w:pPr>
              <w:pStyle w:val="NoSpacing"/>
              <w:rPr>
                <w:color w:val="000000"/>
              </w:rPr>
            </w:pPr>
          </w:p>
        </w:tc>
        <w:tc>
          <w:tcPr>
            <w:tcW w:w="1350" w:type="dxa"/>
            <w:vMerge/>
            <w:shd w:val="clear" w:color="auto" w:fill="D9D9D9" w:themeFill="background1" w:themeFillShade="D9"/>
            <w:noWrap/>
            <w:vAlign w:val="bottom"/>
          </w:tcPr>
          <w:p w14:paraId="73A70E20" w14:textId="77777777" w:rsidR="00535756" w:rsidRPr="00D9392A" w:rsidRDefault="00535756" w:rsidP="00256450">
            <w:pPr>
              <w:pStyle w:val="NoSpacing"/>
            </w:pPr>
          </w:p>
        </w:tc>
        <w:tc>
          <w:tcPr>
            <w:tcW w:w="2055" w:type="dxa"/>
            <w:noWrap/>
            <w:vAlign w:val="bottom"/>
            <w:hideMark/>
          </w:tcPr>
          <w:p w14:paraId="6AD5C6DA" w14:textId="77777777" w:rsidR="00535756" w:rsidRPr="00D9392A" w:rsidRDefault="000F5B51" w:rsidP="00256450">
            <w:pPr>
              <w:pStyle w:val="NoSpacing"/>
            </w:pPr>
            <w:r>
              <w:rPr>
                <w:color w:val="000000"/>
              </w:rPr>
              <w:t>(4) Severe Injury</w:t>
            </w:r>
          </w:p>
        </w:tc>
        <w:tc>
          <w:tcPr>
            <w:tcW w:w="922" w:type="dxa"/>
            <w:shd w:val="clear" w:color="auto" w:fill="FFFFFF" w:themeFill="background1"/>
            <w:noWrap/>
            <w:hideMark/>
          </w:tcPr>
          <w:p w14:paraId="263A8252" w14:textId="77777777" w:rsidR="00535756" w:rsidRPr="00D9392A" w:rsidRDefault="000F5B51" w:rsidP="00256450">
            <w:pPr>
              <w:pStyle w:val="NoSpacing"/>
            </w:pPr>
            <w:r w:rsidRPr="006E1748">
              <w:t>0.500</w:t>
            </w:r>
          </w:p>
        </w:tc>
        <w:tc>
          <w:tcPr>
            <w:tcW w:w="1012" w:type="dxa"/>
            <w:noWrap/>
            <w:vAlign w:val="bottom"/>
            <w:hideMark/>
          </w:tcPr>
          <w:p w14:paraId="2DA657A3" w14:textId="77777777" w:rsidR="00535756" w:rsidRPr="00D9392A" w:rsidRDefault="000F5B51" w:rsidP="00256450">
            <w:pPr>
              <w:pStyle w:val="NoSpacing"/>
            </w:pPr>
            <w:r w:rsidRPr="00CE2168">
              <w:rPr>
                <w:rFonts w:cs="Calibri"/>
                <w:color w:val="000000"/>
              </w:rPr>
              <w:t>0.7352</w:t>
            </w:r>
          </w:p>
        </w:tc>
        <w:tc>
          <w:tcPr>
            <w:tcW w:w="1147" w:type="dxa"/>
            <w:vAlign w:val="bottom"/>
          </w:tcPr>
          <w:p w14:paraId="617CC581" w14:textId="77777777" w:rsidR="00535756" w:rsidRPr="00D9392A" w:rsidRDefault="000F5B51" w:rsidP="00256450">
            <w:pPr>
              <w:pStyle w:val="NoSpacing"/>
            </w:pPr>
            <w:r w:rsidRPr="00CE2168">
              <w:rPr>
                <w:rFonts w:cs="Calibri"/>
                <w:color w:val="000000"/>
              </w:rPr>
              <w:t>0.7272</w:t>
            </w:r>
          </w:p>
        </w:tc>
        <w:tc>
          <w:tcPr>
            <w:tcW w:w="888" w:type="dxa"/>
            <w:noWrap/>
            <w:vAlign w:val="bottom"/>
            <w:hideMark/>
          </w:tcPr>
          <w:p w14:paraId="0AB1D609" w14:textId="77777777" w:rsidR="00535756" w:rsidRPr="00D9392A" w:rsidRDefault="000F5B51" w:rsidP="00256450">
            <w:pPr>
              <w:pStyle w:val="NoSpacing"/>
            </w:pPr>
            <w:r w:rsidRPr="00CE2168">
              <w:rPr>
                <w:rFonts w:cs="Calibri"/>
                <w:color w:val="000000"/>
              </w:rPr>
              <w:t>0.7512</w:t>
            </w:r>
          </w:p>
        </w:tc>
        <w:tc>
          <w:tcPr>
            <w:tcW w:w="867" w:type="dxa"/>
            <w:noWrap/>
            <w:vAlign w:val="bottom"/>
            <w:hideMark/>
          </w:tcPr>
          <w:p w14:paraId="636CC786" w14:textId="77777777" w:rsidR="00535756" w:rsidRPr="00D9392A" w:rsidRDefault="000F5B51" w:rsidP="00256450">
            <w:pPr>
              <w:pStyle w:val="NoSpacing"/>
            </w:pPr>
            <w:r w:rsidRPr="00CE2168">
              <w:rPr>
                <w:rFonts w:cs="Calibri"/>
                <w:color w:val="000000"/>
              </w:rPr>
              <w:t>0.7693</w:t>
            </w:r>
          </w:p>
        </w:tc>
        <w:tc>
          <w:tcPr>
            <w:tcW w:w="867" w:type="dxa"/>
            <w:noWrap/>
            <w:vAlign w:val="bottom"/>
            <w:hideMark/>
          </w:tcPr>
          <w:p w14:paraId="5F2F389E" w14:textId="77777777" w:rsidR="00535756" w:rsidRPr="00D9392A" w:rsidRDefault="000F5B51" w:rsidP="00256450">
            <w:pPr>
              <w:pStyle w:val="NoSpacing"/>
            </w:pPr>
            <w:r w:rsidRPr="00CE2168">
              <w:rPr>
                <w:rFonts w:cs="Calibri"/>
                <w:color w:val="000000"/>
              </w:rPr>
              <w:t>0.7784</w:t>
            </w:r>
          </w:p>
        </w:tc>
      </w:tr>
      <w:tr w:rsidR="00A15C2C" w14:paraId="087CC8BB" w14:textId="77777777" w:rsidTr="00511B92">
        <w:trPr>
          <w:trHeight w:val="300"/>
          <w:jc w:val="center"/>
        </w:trPr>
        <w:tc>
          <w:tcPr>
            <w:tcW w:w="985" w:type="dxa"/>
            <w:vMerge/>
            <w:shd w:val="clear" w:color="auto" w:fill="D9D9D9" w:themeFill="background1" w:themeFillShade="D9"/>
            <w:vAlign w:val="bottom"/>
          </w:tcPr>
          <w:p w14:paraId="474DF09D" w14:textId="77777777" w:rsidR="00535756" w:rsidRPr="007A629D" w:rsidRDefault="00535756" w:rsidP="00256450">
            <w:pPr>
              <w:pStyle w:val="NoSpacing"/>
              <w:rPr>
                <w:color w:val="000000"/>
              </w:rPr>
            </w:pPr>
          </w:p>
        </w:tc>
        <w:tc>
          <w:tcPr>
            <w:tcW w:w="1350" w:type="dxa"/>
            <w:vMerge/>
            <w:shd w:val="clear" w:color="auto" w:fill="D9D9D9" w:themeFill="background1" w:themeFillShade="D9"/>
            <w:noWrap/>
            <w:vAlign w:val="bottom"/>
          </w:tcPr>
          <w:p w14:paraId="141480C5" w14:textId="77777777" w:rsidR="00535756" w:rsidRPr="00D9392A" w:rsidRDefault="00535756" w:rsidP="00256450">
            <w:pPr>
              <w:pStyle w:val="NoSpacing"/>
            </w:pPr>
          </w:p>
        </w:tc>
        <w:tc>
          <w:tcPr>
            <w:tcW w:w="2055" w:type="dxa"/>
            <w:shd w:val="clear" w:color="D9E1F2" w:fill="D9E1F2"/>
            <w:noWrap/>
            <w:vAlign w:val="bottom"/>
            <w:hideMark/>
          </w:tcPr>
          <w:p w14:paraId="719CAED9" w14:textId="77777777" w:rsidR="00535756" w:rsidRPr="00D9392A" w:rsidRDefault="000F5B51" w:rsidP="00256450">
            <w:pPr>
              <w:pStyle w:val="NoSpacing"/>
            </w:pPr>
            <w:r>
              <w:rPr>
                <w:color w:val="000000"/>
              </w:rPr>
              <w:t>(5) Critical Injury</w:t>
            </w:r>
          </w:p>
        </w:tc>
        <w:tc>
          <w:tcPr>
            <w:tcW w:w="922" w:type="dxa"/>
            <w:shd w:val="clear" w:color="auto" w:fill="FFFFFF" w:themeFill="background1"/>
            <w:noWrap/>
            <w:hideMark/>
          </w:tcPr>
          <w:p w14:paraId="22ECBE42" w14:textId="77777777" w:rsidR="00535756" w:rsidRPr="00D9392A" w:rsidRDefault="000F5B51" w:rsidP="00256450">
            <w:pPr>
              <w:pStyle w:val="NoSpacing"/>
            </w:pPr>
            <w:r w:rsidRPr="006E1748">
              <w:t>0.500</w:t>
            </w:r>
          </w:p>
        </w:tc>
        <w:tc>
          <w:tcPr>
            <w:tcW w:w="1012" w:type="dxa"/>
            <w:shd w:val="clear" w:color="D9E1F2" w:fill="D9E1F2"/>
            <w:noWrap/>
            <w:vAlign w:val="bottom"/>
            <w:hideMark/>
          </w:tcPr>
          <w:p w14:paraId="6F4BB487" w14:textId="77777777" w:rsidR="00535756" w:rsidRPr="00D9392A" w:rsidRDefault="000F5B51" w:rsidP="00256450">
            <w:pPr>
              <w:pStyle w:val="NoSpacing"/>
            </w:pPr>
            <w:r w:rsidRPr="00CE2168">
              <w:rPr>
                <w:rFonts w:cs="Calibri"/>
                <w:color w:val="000000"/>
              </w:rPr>
              <w:t>0.7352</w:t>
            </w:r>
          </w:p>
        </w:tc>
        <w:tc>
          <w:tcPr>
            <w:tcW w:w="1147" w:type="dxa"/>
            <w:shd w:val="clear" w:color="D9E1F2" w:fill="D9E1F2"/>
            <w:vAlign w:val="bottom"/>
          </w:tcPr>
          <w:p w14:paraId="465994FB" w14:textId="77777777" w:rsidR="00535756" w:rsidRPr="00D9392A" w:rsidRDefault="000F5B51" w:rsidP="00256450">
            <w:pPr>
              <w:pStyle w:val="NoSpacing"/>
            </w:pPr>
            <w:r w:rsidRPr="00CE2168">
              <w:rPr>
                <w:rFonts w:cs="Calibri"/>
                <w:color w:val="000000"/>
              </w:rPr>
              <w:t>0.7272</w:t>
            </w:r>
          </w:p>
        </w:tc>
        <w:tc>
          <w:tcPr>
            <w:tcW w:w="888" w:type="dxa"/>
            <w:shd w:val="clear" w:color="D9E1F2" w:fill="D9E1F2"/>
            <w:noWrap/>
            <w:vAlign w:val="bottom"/>
            <w:hideMark/>
          </w:tcPr>
          <w:p w14:paraId="75B5376C" w14:textId="77777777" w:rsidR="00535756" w:rsidRPr="00D9392A" w:rsidRDefault="000F5B51" w:rsidP="00256450">
            <w:pPr>
              <w:pStyle w:val="NoSpacing"/>
            </w:pPr>
            <w:r w:rsidRPr="00CE2168">
              <w:rPr>
                <w:rFonts w:cs="Calibri"/>
                <w:color w:val="000000"/>
              </w:rPr>
              <w:t>0.7512</w:t>
            </w:r>
          </w:p>
        </w:tc>
        <w:tc>
          <w:tcPr>
            <w:tcW w:w="867" w:type="dxa"/>
            <w:shd w:val="clear" w:color="D9E1F2" w:fill="D9E1F2"/>
            <w:noWrap/>
            <w:vAlign w:val="bottom"/>
            <w:hideMark/>
          </w:tcPr>
          <w:p w14:paraId="441C2D0F" w14:textId="77777777" w:rsidR="00535756" w:rsidRPr="00D9392A" w:rsidRDefault="000F5B51" w:rsidP="00256450">
            <w:pPr>
              <w:pStyle w:val="NoSpacing"/>
            </w:pPr>
            <w:r w:rsidRPr="00CE2168">
              <w:rPr>
                <w:rFonts w:cs="Calibri"/>
                <w:color w:val="000000"/>
              </w:rPr>
              <w:t>0.7693</w:t>
            </w:r>
          </w:p>
        </w:tc>
        <w:tc>
          <w:tcPr>
            <w:tcW w:w="867" w:type="dxa"/>
            <w:shd w:val="clear" w:color="D9E1F2" w:fill="D9E1F2"/>
            <w:noWrap/>
            <w:vAlign w:val="bottom"/>
            <w:hideMark/>
          </w:tcPr>
          <w:p w14:paraId="07F977FD" w14:textId="77777777" w:rsidR="00535756" w:rsidRPr="00D9392A" w:rsidRDefault="000F5B51" w:rsidP="00256450">
            <w:pPr>
              <w:pStyle w:val="NoSpacing"/>
            </w:pPr>
            <w:r w:rsidRPr="00CE2168">
              <w:rPr>
                <w:rFonts w:cs="Calibri"/>
                <w:color w:val="000000"/>
              </w:rPr>
              <w:t>0.7784</w:t>
            </w:r>
          </w:p>
        </w:tc>
      </w:tr>
      <w:tr w:rsidR="00A15C2C" w14:paraId="568B5697" w14:textId="77777777" w:rsidTr="0055589E">
        <w:trPr>
          <w:trHeight w:val="300"/>
          <w:jc w:val="center"/>
        </w:trPr>
        <w:tc>
          <w:tcPr>
            <w:tcW w:w="985" w:type="dxa"/>
            <w:vMerge/>
            <w:shd w:val="clear" w:color="auto" w:fill="D9D9D9" w:themeFill="background1" w:themeFillShade="D9"/>
            <w:vAlign w:val="bottom"/>
          </w:tcPr>
          <w:p w14:paraId="362D5AAB" w14:textId="77777777" w:rsidR="00535756" w:rsidRPr="007A629D" w:rsidRDefault="00535756" w:rsidP="00256450">
            <w:pPr>
              <w:pStyle w:val="NoSpacing"/>
              <w:rPr>
                <w:color w:val="000000"/>
              </w:rPr>
            </w:pPr>
          </w:p>
        </w:tc>
        <w:tc>
          <w:tcPr>
            <w:tcW w:w="1350" w:type="dxa"/>
            <w:vMerge/>
            <w:shd w:val="clear" w:color="auto" w:fill="D9D9D9" w:themeFill="background1" w:themeFillShade="D9"/>
            <w:noWrap/>
            <w:vAlign w:val="bottom"/>
          </w:tcPr>
          <w:p w14:paraId="04FC1676" w14:textId="77777777" w:rsidR="00535756" w:rsidRPr="00D9392A" w:rsidRDefault="00535756" w:rsidP="00256450">
            <w:pPr>
              <w:pStyle w:val="NoSpacing"/>
            </w:pPr>
          </w:p>
        </w:tc>
        <w:tc>
          <w:tcPr>
            <w:tcW w:w="2055" w:type="dxa"/>
            <w:noWrap/>
            <w:vAlign w:val="bottom"/>
            <w:hideMark/>
          </w:tcPr>
          <w:p w14:paraId="55F65328" w14:textId="77777777" w:rsidR="00535756" w:rsidRPr="00D9392A" w:rsidRDefault="000F5B51" w:rsidP="00256450">
            <w:pPr>
              <w:pStyle w:val="NoSpacing"/>
            </w:pPr>
            <w:r>
              <w:rPr>
                <w:color w:val="000000"/>
              </w:rPr>
              <w:t>Fatal</w:t>
            </w:r>
          </w:p>
        </w:tc>
        <w:tc>
          <w:tcPr>
            <w:tcW w:w="922" w:type="dxa"/>
            <w:shd w:val="clear" w:color="auto" w:fill="FFFFFF" w:themeFill="background1"/>
            <w:noWrap/>
            <w:hideMark/>
          </w:tcPr>
          <w:p w14:paraId="65E0F866" w14:textId="77777777" w:rsidR="00535756" w:rsidRPr="00D9392A" w:rsidRDefault="000F5B51" w:rsidP="00256450">
            <w:pPr>
              <w:pStyle w:val="NoSpacing"/>
            </w:pPr>
            <w:r w:rsidRPr="006E1748">
              <w:t>0.730</w:t>
            </w:r>
          </w:p>
        </w:tc>
        <w:tc>
          <w:tcPr>
            <w:tcW w:w="1012" w:type="dxa"/>
            <w:noWrap/>
            <w:vAlign w:val="bottom"/>
            <w:hideMark/>
          </w:tcPr>
          <w:p w14:paraId="02A65D37" w14:textId="77777777" w:rsidR="00535756" w:rsidRPr="00D9392A" w:rsidRDefault="000F5B51" w:rsidP="00256450">
            <w:pPr>
              <w:pStyle w:val="NoSpacing"/>
            </w:pPr>
            <w:r w:rsidRPr="00CE2168">
              <w:rPr>
                <w:rFonts w:cs="Calibri"/>
                <w:color w:val="000000"/>
              </w:rPr>
              <w:t>0.5793</w:t>
            </w:r>
          </w:p>
        </w:tc>
        <w:tc>
          <w:tcPr>
            <w:tcW w:w="1147" w:type="dxa"/>
            <w:vAlign w:val="bottom"/>
          </w:tcPr>
          <w:p w14:paraId="4352B9A2" w14:textId="77777777" w:rsidR="00535756" w:rsidRPr="00D9392A" w:rsidRDefault="000F5B51" w:rsidP="00256450">
            <w:pPr>
              <w:pStyle w:val="NoSpacing"/>
            </w:pPr>
            <w:r w:rsidRPr="00CE2168">
              <w:rPr>
                <w:rFonts w:cs="Calibri"/>
                <w:color w:val="000000"/>
              </w:rPr>
              <w:t>0.5713</w:t>
            </w:r>
          </w:p>
        </w:tc>
        <w:tc>
          <w:tcPr>
            <w:tcW w:w="888" w:type="dxa"/>
            <w:noWrap/>
            <w:vAlign w:val="bottom"/>
            <w:hideMark/>
          </w:tcPr>
          <w:p w14:paraId="57A84D99" w14:textId="77777777" w:rsidR="00535756" w:rsidRPr="00D9392A" w:rsidRDefault="000F5B51" w:rsidP="00256450">
            <w:pPr>
              <w:pStyle w:val="NoSpacing"/>
            </w:pPr>
            <w:r w:rsidRPr="00CE2168">
              <w:rPr>
                <w:rFonts w:cs="Calibri"/>
                <w:color w:val="000000"/>
              </w:rPr>
              <w:t>0.5953</w:t>
            </w:r>
          </w:p>
        </w:tc>
        <w:tc>
          <w:tcPr>
            <w:tcW w:w="867" w:type="dxa"/>
            <w:noWrap/>
            <w:vAlign w:val="bottom"/>
            <w:hideMark/>
          </w:tcPr>
          <w:p w14:paraId="6EB5DDF1" w14:textId="77777777" w:rsidR="00535756" w:rsidRPr="00D9392A" w:rsidRDefault="000F5B51" w:rsidP="00256450">
            <w:pPr>
              <w:pStyle w:val="NoSpacing"/>
              <w:rPr>
                <w:color w:val="000000"/>
                <w:lang w:eastAsia="ja-JP"/>
              </w:rPr>
            </w:pPr>
            <w:r w:rsidRPr="00CE2168">
              <w:rPr>
                <w:rFonts w:cs="Calibri"/>
                <w:color w:val="000000"/>
              </w:rPr>
              <w:t>0.6162</w:t>
            </w:r>
          </w:p>
        </w:tc>
        <w:tc>
          <w:tcPr>
            <w:tcW w:w="867" w:type="dxa"/>
            <w:noWrap/>
            <w:vAlign w:val="bottom"/>
            <w:hideMark/>
          </w:tcPr>
          <w:p w14:paraId="52104DF3" w14:textId="77777777" w:rsidR="00535756" w:rsidRPr="00D9392A" w:rsidRDefault="000F5B51" w:rsidP="00256450">
            <w:pPr>
              <w:pStyle w:val="NoSpacing"/>
              <w:rPr>
                <w:color w:val="000000"/>
                <w:lang w:eastAsia="ja-JP"/>
              </w:rPr>
            </w:pPr>
            <w:r w:rsidRPr="00CE2168">
              <w:rPr>
                <w:rFonts w:cs="Calibri"/>
                <w:color w:val="000000"/>
              </w:rPr>
              <w:t>0.6268</w:t>
            </w:r>
          </w:p>
        </w:tc>
      </w:tr>
    </w:tbl>
    <w:p w14:paraId="3A85CD9A" w14:textId="77777777" w:rsidR="005A220B" w:rsidRPr="005A220B" w:rsidRDefault="005A220B" w:rsidP="00B64271">
      <w:pPr>
        <w:pStyle w:val="NoSpaceTimes"/>
      </w:pPr>
    </w:p>
    <w:p w14:paraId="3A2D5241" w14:textId="77777777" w:rsidR="00996EDE" w:rsidRDefault="000F5B51" w:rsidP="0055589E">
      <w:pPr>
        <w:pStyle w:val="Heading2"/>
        <w:spacing w:line="240" w:lineRule="auto"/>
      </w:pPr>
      <w:bookmarkStart w:id="182" w:name="_Toc142902978"/>
      <w:r>
        <w:t xml:space="preserve">Effect of Indefinite Warning on Drivers and </w:t>
      </w:r>
      <w:r w:rsidR="70B0A33B">
        <w:t xml:space="preserve">Right </w:t>
      </w:r>
      <w:r>
        <w:t>Front Passengers</w:t>
      </w:r>
      <w:bookmarkEnd w:id="182"/>
    </w:p>
    <w:p w14:paraId="77B96220" w14:textId="77777777" w:rsidR="00996EDE" w:rsidRPr="00D13E52" w:rsidRDefault="000F5B51" w:rsidP="0055589E">
      <w:r>
        <w:t xml:space="preserve">This section discusses the effect of SBWS on </w:t>
      </w:r>
      <w:r w:rsidR="0047283A">
        <w:t xml:space="preserve">seat belt use rates for </w:t>
      </w:r>
      <w:r w:rsidR="00616953">
        <w:t xml:space="preserve">front </w:t>
      </w:r>
      <w:r w:rsidR="29B7922D">
        <w:t xml:space="preserve">outboard </w:t>
      </w:r>
      <w:r w:rsidR="00616953">
        <w:t>seat</w:t>
      </w:r>
      <w:r>
        <w:t xml:space="preserve"> occupants</w:t>
      </w:r>
      <w:r w:rsidR="001F2F92">
        <w:t xml:space="preserve">. </w:t>
      </w:r>
      <w:r w:rsidR="00FD6B29">
        <w:t xml:space="preserve">The next subsection discusses the impact of the indefinite warning on seat belt use and the following </w:t>
      </w:r>
      <w:r w:rsidR="004553DA">
        <w:t>sub</w:t>
      </w:r>
      <w:r w:rsidR="19C0E889">
        <w:t>section</w:t>
      </w:r>
      <w:r w:rsidR="00FD6B29">
        <w:t xml:space="preserve"> </w:t>
      </w:r>
      <w:r w:rsidR="00F731E6">
        <w:t>then pr</w:t>
      </w:r>
      <w:r w:rsidR="00494B3C">
        <w:t>e</w:t>
      </w:r>
      <w:r w:rsidR="00F731E6">
        <w:t>sents</w:t>
      </w:r>
      <w:r w:rsidR="00221F2D">
        <w:t xml:space="preserve"> the</w:t>
      </w:r>
      <w:r w:rsidR="00FD6B29">
        <w:t xml:space="preserve"> increase in seat belt use</w:t>
      </w:r>
      <w:r w:rsidR="0047283A">
        <w:t xml:space="preserve"> rates resulting from the indefinite warning</w:t>
      </w:r>
      <w:r w:rsidR="00FD6B29">
        <w:t xml:space="preserve"> for </w:t>
      </w:r>
      <w:r w:rsidR="006E43F8">
        <w:t xml:space="preserve">front </w:t>
      </w:r>
      <w:r w:rsidR="6285CBC3">
        <w:t xml:space="preserve">outboard </w:t>
      </w:r>
      <w:r w:rsidR="006E43F8">
        <w:t>seat occupants</w:t>
      </w:r>
      <w:r w:rsidR="001F2F92">
        <w:t xml:space="preserve">. </w:t>
      </w:r>
      <w:r w:rsidR="00221F2D">
        <w:t xml:space="preserve">The last </w:t>
      </w:r>
      <w:r w:rsidR="00583AA4">
        <w:t>sub</w:t>
      </w:r>
      <w:r w:rsidR="135FF492">
        <w:t>section</w:t>
      </w:r>
      <w:r w:rsidR="00221F2D">
        <w:t xml:space="preserve"> then calculates the </w:t>
      </w:r>
      <w:r w:rsidR="00221F2D">
        <w:lastRenderedPageBreak/>
        <w:t>increase in seat belt use</w:t>
      </w:r>
      <w:r w:rsidR="00512E3A">
        <w:t xml:space="preserve"> for front </w:t>
      </w:r>
      <w:r w:rsidR="686AA233">
        <w:t xml:space="preserve">outboard </w:t>
      </w:r>
      <w:r w:rsidR="00512E3A">
        <w:t>seat occupants</w:t>
      </w:r>
      <w:r w:rsidR="00B1692F">
        <w:t xml:space="preserve"> from the baseline</w:t>
      </w:r>
      <w:r w:rsidR="00512E3A">
        <w:t xml:space="preserve"> as</w:t>
      </w:r>
      <w:r w:rsidR="00221F2D">
        <w:t xml:space="preserve"> result</w:t>
      </w:r>
      <w:r w:rsidR="00FD6B29">
        <w:t xml:space="preserve"> </w:t>
      </w:r>
      <w:r w:rsidR="00512E3A">
        <w:t xml:space="preserve">of </w:t>
      </w:r>
      <w:r w:rsidR="00FD6B29">
        <w:t xml:space="preserve">the requirements specified for </w:t>
      </w:r>
      <w:r w:rsidR="006E43F8">
        <w:t>the indefinite warning</w:t>
      </w:r>
      <w:r w:rsidR="00FD6B29">
        <w:t xml:space="preserve"> in the proposed rule.</w:t>
      </w:r>
    </w:p>
    <w:p w14:paraId="1DF64FA7" w14:textId="77777777" w:rsidR="00165061" w:rsidRDefault="000F5B51" w:rsidP="0055589E">
      <w:pPr>
        <w:pStyle w:val="Heading3"/>
        <w:spacing w:line="240" w:lineRule="auto"/>
      </w:pPr>
      <w:bookmarkStart w:id="183" w:name="_Toc142902979"/>
      <w:r>
        <w:t xml:space="preserve">Seat </w:t>
      </w:r>
      <w:r w:rsidR="00996EDE">
        <w:t>B</w:t>
      </w:r>
      <w:r>
        <w:t>elt Us</w:t>
      </w:r>
      <w:r w:rsidR="0047283A">
        <w:t>e</w:t>
      </w:r>
      <w:bookmarkEnd w:id="183"/>
    </w:p>
    <w:p w14:paraId="0D5A6E0C" w14:textId="77777777" w:rsidR="001043F3" w:rsidRDefault="000F5B51" w:rsidP="00165061">
      <w:bookmarkStart w:id="184" w:name="_Toc515977315"/>
      <w:bookmarkStart w:id="185" w:name="_Toc516150849"/>
      <w:bookmarkStart w:id="186" w:name="_Toc516835713"/>
      <w:bookmarkStart w:id="187" w:name="_Toc517096350"/>
      <w:bookmarkStart w:id="188" w:name="_Toc517183977"/>
      <w:bookmarkStart w:id="189" w:name="_Toc515977316"/>
      <w:bookmarkStart w:id="190" w:name="_Toc516150850"/>
      <w:bookmarkStart w:id="191" w:name="_Toc516835714"/>
      <w:bookmarkStart w:id="192" w:name="_Toc517096351"/>
      <w:bookmarkStart w:id="193" w:name="_Toc517183978"/>
      <w:bookmarkStart w:id="194" w:name="_Toc515977317"/>
      <w:bookmarkStart w:id="195" w:name="_Toc516150851"/>
      <w:bookmarkStart w:id="196" w:name="_Toc516835715"/>
      <w:bookmarkStart w:id="197" w:name="_Toc517096352"/>
      <w:bookmarkStart w:id="198" w:name="_Toc517183979"/>
      <w:bookmarkStart w:id="199" w:name="_Toc515977333"/>
      <w:bookmarkStart w:id="200" w:name="_Toc516150867"/>
      <w:bookmarkStart w:id="201" w:name="_Toc516835731"/>
      <w:bookmarkStart w:id="202" w:name="_Toc517096368"/>
      <w:bookmarkStart w:id="203" w:name="_Toc517183995"/>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t xml:space="preserve">As the benefits associated with the proposed rule stem from the increase in seat belt use, this analysis must </w:t>
      </w:r>
      <w:r w:rsidR="000C30A2">
        <w:t>take into account current seat belt use by front seat occupants</w:t>
      </w:r>
      <w:r w:rsidR="001F2F92">
        <w:t xml:space="preserve">. </w:t>
      </w:r>
      <w:r w:rsidR="00DE403A">
        <w:t xml:space="preserve">That is, this </w:t>
      </w:r>
      <w:r w:rsidR="00431EA4">
        <w:t>analysis</w:t>
      </w:r>
      <w:r w:rsidR="00DE403A">
        <w:t xml:space="preserve"> must consider the proportion of front seat occupants that </w:t>
      </w:r>
      <w:r w:rsidR="00431EA4">
        <w:t>always, sometimes, and never use seat belt</w:t>
      </w:r>
      <w:r>
        <w:t>s</w:t>
      </w:r>
      <w:r w:rsidR="001F2F92">
        <w:t xml:space="preserve">. </w:t>
      </w:r>
      <w:r>
        <w:t>In estimating the benefit</w:t>
      </w:r>
      <w:r w:rsidR="00901F04">
        <w:t>s,</w:t>
      </w:r>
      <w:r>
        <w:t xml:space="preserve"> </w:t>
      </w:r>
      <w:r w:rsidR="00A2399A">
        <w:t xml:space="preserve">the </w:t>
      </w:r>
      <w:r w:rsidR="00BF51C5">
        <w:t>requirements for the indefinite warning</w:t>
      </w:r>
      <w:r w:rsidR="00757EC2">
        <w:t xml:space="preserve"> can only</w:t>
      </w:r>
      <w:r w:rsidR="00782E2C">
        <w:t xml:space="preserve"> potentially increase the seat belt use rates of those front seat </w:t>
      </w:r>
      <w:r w:rsidR="006D1581">
        <w:t>occupants</w:t>
      </w:r>
      <w:r w:rsidR="00782E2C">
        <w:t xml:space="preserve"> who sometimes or never use seat belts.</w:t>
      </w:r>
    </w:p>
    <w:p w14:paraId="613C748F" w14:textId="56185334" w:rsidR="006F40D9" w:rsidRDefault="000F5B51" w:rsidP="00A2399A">
      <w:pPr>
        <w:spacing w:after="0"/>
        <w:contextualSpacing/>
        <w:rPr>
          <w:rFonts w:cs="Times New Roman"/>
        </w:rPr>
      </w:pPr>
      <w:r w:rsidRPr="4CA445B8">
        <w:rPr>
          <w:rFonts w:cs="Times New Roman"/>
        </w:rPr>
        <w:t>I</w:t>
      </w:r>
      <w:r w:rsidR="00A2399A" w:rsidRPr="4CA445B8">
        <w:rPr>
          <w:rFonts w:cs="Times New Roman"/>
        </w:rPr>
        <w:t xml:space="preserve">n order to estimate the percentage of drivers who </w:t>
      </w:r>
      <w:r w:rsidR="006D1581" w:rsidRPr="4CA445B8">
        <w:rPr>
          <w:rFonts w:cs="Times New Roman"/>
        </w:rPr>
        <w:t>som</w:t>
      </w:r>
      <w:r w:rsidR="001E3A18" w:rsidRPr="4CA445B8">
        <w:rPr>
          <w:rFonts w:cs="Times New Roman"/>
        </w:rPr>
        <w:t>etimes</w:t>
      </w:r>
      <w:r w:rsidR="008F4A6A" w:rsidRPr="4CA445B8">
        <w:rPr>
          <w:rFonts w:cs="Times New Roman"/>
        </w:rPr>
        <w:t xml:space="preserve"> and never</w:t>
      </w:r>
      <w:r w:rsidR="006D1581" w:rsidRPr="4CA445B8">
        <w:rPr>
          <w:rFonts w:cs="Times New Roman"/>
        </w:rPr>
        <w:t xml:space="preserve"> </w:t>
      </w:r>
      <w:r w:rsidR="00A2399A" w:rsidRPr="4CA445B8">
        <w:rPr>
          <w:rFonts w:cs="Times New Roman"/>
        </w:rPr>
        <w:t>use the seat belt</w:t>
      </w:r>
      <w:r w:rsidR="001E3A18" w:rsidRPr="4CA445B8">
        <w:rPr>
          <w:rFonts w:cs="Times New Roman"/>
        </w:rPr>
        <w:t>s</w:t>
      </w:r>
      <w:r w:rsidR="00A2399A" w:rsidRPr="4CA445B8">
        <w:rPr>
          <w:rFonts w:cs="Times New Roman"/>
        </w:rPr>
        <w:t xml:space="preserve">, </w:t>
      </w:r>
      <w:r w:rsidR="006C532A" w:rsidRPr="4CA445B8">
        <w:rPr>
          <w:rFonts w:cs="Times New Roman"/>
        </w:rPr>
        <w:t xml:space="preserve">this analysis </w:t>
      </w:r>
      <w:r w:rsidR="5E93ED9A" w:rsidRPr="4CA445B8">
        <w:rPr>
          <w:rFonts w:cs="Times New Roman"/>
        </w:rPr>
        <w:t>ma</w:t>
      </w:r>
      <w:r w:rsidR="7C028F41" w:rsidRPr="4CA445B8">
        <w:rPr>
          <w:rFonts w:cs="Times New Roman"/>
        </w:rPr>
        <w:t>k</w:t>
      </w:r>
      <w:r w:rsidR="5E93ED9A" w:rsidRPr="4CA445B8">
        <w:rPr>
          <w:rFonts w:cs="Times New Roman"/>
        </w:rPr>
        <w:t>e</w:t>
      </w:r>
      <w:r w:rsidR="17F0F93A" w:rsidRPr="4CA445B8">
        <w:rPr>
          <w:rFonts w:cs="Times New Roman"/>
        </w:rPr>
        <w:t>s</w:t>
      </w:r>
      <w:r w:rsidR="006C532A" w:rsidRPr="4CA445B8">
        <w:rPr>
          <w:rFonts w:cs="Times New Roman"/>
        </w:rPr>
        <w:t xml:space="preserve"> use of</w:t>
      </w:r>
      <w:r w:rsidR="00A2399A" w:rsidRPr="4CA445B8">
        <w:rPr>
          <w:rFonts w:cs="Times New Roman"/>
        </w:rPr>
        <w:t xml:space="preserve"> a study by Chu </w:t>
      </w:r>
      <w:r w:rsidR="00ED39F1">
        <w:rPr>
          <w:rFonts w:cs="Times New Roman"/>
        </w:rPr>
        <w:t xml:space="preserve">(2002) </w:t>
      </w:r>
      <w:r w:rsidR="00A2399A" w:rsidRPr="4CA445B8">
        <w:rPr>
          <w:rFonts w:cs="Times New Roman"/>
        </w:rPr>
        <w:t>titled “STATISTICAL BRIEF #62: Characteristics of Persons Who Seldom or Never Wear Seat Belts, 2002.”</w:t>
      </w:r>
      <w:r>
        <w:rPr>
          <w:rStyle w:val="FootnoteReference"/>
          <w:rFonts w:cs="Times New Roman"/>
        </w:rPr>
        <w:footnoteReference w:id="55"/>
      </w:r>
      <w:r w:rsidR="00A2399A" w:rsidRPr="4CA445B8">
        <w:rPr>
          <w:rFonts w:cs="Times New Roman"/>
        </w:rPr>
        <w:t xml:space="preserve">  </w:t>
      </w:r>
      <w:r w:rsidR="005765D7" w:rsidRPr="4CA445B8">
        <w:rPr>
          <w:rFonts w:cs="Times New Roman"/>
        </w:rPr>
        <w:fldChar w:fldCharType="begin"/>
      </w:r>
      <w:r w:rsidR="005765D7" w:rsidRPr="4CA445B8">
        <w:rPr>
          <w:rFonts w:cs="Times New Roman"/>
        </w:rPr>
        <w:instrText xml:space="preserve"> REF _Ref126063824 \h </w:instrText>
      </w:r>
      <w:r w:rsidR="005765D7" w:rsidRPr="4CA445B8">
        <w:rPr>
          <w:rFonts w:cs="Times New Roman"/>
        </w:rPr>
      </w:r>
      <w:r w:rsidR="005765D7" w:rsidRPr="4CA445B8">
        <w:rPr>
          <w:rFonts w:cs="Times New Roman"/>
        </w:rPr>
        <w:fldChar w:fldCharType="separate"/>
      </w:r>
      <w:r w:rsidR="00A65CB3">
        <w:t>Ta</w:t>
      </w:r>
      <w:r w:rsidR="00A65CB3" w:rsidRPr="00F4140A">
        <w:t xml:space="preserve">ble </w:t>
      </w:r>
      <w:r w:rsidR="00A65CB3">
        <w:rPr>
          <w:noProof/>
        </w:rPr>
        <w:t>34</w:t>
      </w:r>
      <w:r w:rsidR="005765D7" w:rsidRPr="4CA445B8">
        <w:rPr>
          <w:rFonts w:cs="Times New Roman"/>
        </w:rPr>
        <w:fldChar w:fldCharType="end"/>
      </w:r>
      <w:r w:rsidR="005765D7" w:rsidRPr="4CA445B8">
        <w:rPr>
          <w:rFonts w:cs="Times New Roman"/>
        </w:rPr>
        <w:t xml:space="preserve"> presents the findings of the study</w:t>
      </w:r>
      <w:r w:rsidR="00F4140A" w:rsidRPr="4CA445B8">
        <w:rPr>
          <w:rFonts w:cs="Times New Roman"/>
        </w:rPr>
        <w:t xml:space="preserve">. </w:t>
      </w:r>
      <w:r w:rsidR="008F4A6A" w:rsidRPr="4CA445B8">
        <w:rPr>
          <w:rFonts w:cs="Times New Roman"/>
        </w:rPr>
        <w:t>Based on the 2002 MEPS-HC, t</w:t>
      </w:r>
      <w:r w:rsidR="00A2399A" w:rsidRPr="4CA445B8">
        <w:rPr>
          <w:rFonts w:cs="Times New Roman"/>
        </w:rPr>
        <w:t>he study found that among persons 16</w:t>
      </w:r>
      <w:r w:rsidR="008F4A6A" w:rsidRPr="4CA445B8">
        <w:rPr>
          <w:rFonts w:cs="Times New Roman"/>
        </w:rPr>
        <w:t xml:space="preserve"> to </w:t>
      </w:r>
      <w:r w:rsidR="00A2399A" w:rsidRPr="4CA445B8">
        <w:rPr>
          <w:rFonts w:cs="Times New Roman"/>
        </w:rPr>
        <w:t>64 years of age 87.7 percent reported always or nearly always using seat belts when driving or riding in a car</w:t>
      </w:r>
      <w:r w:rsidR="001F2F92">
        <w:rPr>
          <w:rFonts w:cs="Times New Roman"/>
        </w:rPr>
        <w:t xml:space="preserve">. </w:t>
      </w:r>
      <w:r w:rsidR="00BA6CC8" w:rsidRPr="4CA445B8">
        <w:rPr>
          <w:rFonts w:cs="Times New Roman"/>
        </w:rPr>
        <w:t>The study also found that</w:t>
      </w:r>
      <w:r w:rsidR="00A2399A" w:rsidRPr="4CA445B8">
        <w:rPr>
          <w:rFonts w:cs="Times New Roman"/>
        </w:rPr>
        <w:t xml:space="preserve"> 6.9 percent reported sometimes using seat belts</w:t>
      </w:r>
      <w:r w:rsidR="00BA6CC8" w:rsidRPr="4CA445B8">
        <w:rPr>
          <w:rFonts w:cs="Times New Roman"/>
        </w:rPr>
        <w:t xml:space="preserve"> and</w:t>
      </w:r>
      <w:r w:rsidR="00A2399A" w:rsidRPr="4CA445B8">
        <w:rPr>
          <w:rFonts w:cs="Times New Roman"/>
        </w:rPr>
        <w:t xml:space="preserve"> 5.4 percent reported seldom or never using seat belts when driving or riding in a car</w:t>
      </w:r>
      <w:r w:rsidR="001F2F92">
        <w:rPr>
          <w:rFonts w:cs="Times New Roman"/>
        </w:rPr>
        <w:t xml:space="preserve">. </w:t>
      </w:r>
    </w:p>
    <w:p w14:paraId="6750869C" w14:textId="76BB7574" w:rsidR="00A2399A" w:rsidRPr="00A455E9" w:rsidRDefault="000F5B51" w:rsidP="00A2399A">
      <w:pPr>
        <w:pStyle w:val="Caption"/>
        <w:rPr>
          <w:rFonts w:cs="Times New Roman"/>
          <w:szCs w:val="24"/>
        </w:rPr>
      </w:pPr>
      <w:bookmarkStart w:id="204" w:name="_Ref126063824"/>
      <w:r>
        <w:t>Ta</w:t>
      </w:r>
      <w:r w:rsidRPr="00F4140A">
        <w:t xml:space="preserve">ble </w:t>
      </w:r>
      <w:r w:rsidR="00115BAB">
        <w:fldChar w:fldCharType="begin"/>
      </w:r>
      <w:r>
        <w:instrText xml:space="preserve"> SEQ Table \* ARABIC </w:instrText>
      </w:r>
      <w:r w:rsidR="00115BAB">
        <w:fldChar w:fldCharType="separate"/>
      </w:r>
      <w:r w:rsidR="00A65CB3">
        <w:rPr>
          <w:noProof/>
        </w:rPr>
        <w:t>34</w:t>
      </w:r>
      <w:r w:rsidR="00115BAB">
        <w:rPr>
          <w:noProof/>
        </w:rPr>
        <w:fldChar w:fldCharType="end"/>
      </w:r>
      <w:bookmarkEnd w:id="204"/>
      <w:r w:rsidRPr="00DC643E">
        <w:t>:</w:t>
      </w:r>
      <w:r w:rsidR="005765D7" w:rsidRPr="00DC643E">
        <w:t xml:space="preserve"> Characterization </w:t>
      </w:r>
      <w:r w:rsidR="005765D7" w:rsidRPr="0055589E">
        <w:t>of Seat Belt Us</w:t>
      </w:r>
      <w:r w:rsidR="00BA6CC8">
        <w:t>e Habits</w:t>
      </w:r>
    </w:p>
    <w:tbl>
      <w:tblPr>
        <w:tblStyle w:val="TableGrid"/>
        <w:tblW w:w="0" w:type="auto"/>
        <w:tblLook w:val="04A0" w:firstRow="1" w:lastRow="0" w:firstColumn="1" w:lastColumn="0" w:noHBand="0" w:noVBand="1"/>
      </w:tblPr>
      <w:tblGrid>
        <w:gridCol w:w="7645"/>
        <w:gridCol w:w="990"/>
      </w:tblGrid>
      <w:tr w:rsidR="00A15C2C" w14:paraId="1B2B4F23" w14:textId="77777777" w:rsidTr="004B7E4C">
        <w:tc>
          <w:tcPr>
            <w:tcW w:w="7645" w:type="dxa"/>
            <w:shd w:val="clear" w:color="auto" w:fill="D9D9D9" w:themeFill="background1" w:themeFillShade="D9"/>
            <w:vAlign w:val="center"/>
          </w:tcPr>
          <w:p w14:paraId="174907C2" w14:textId="77777777" w:rsidR="00A2399A" w:rsidRPr="006A00B6" w:rsidRDefault="000F5B51" w:rsidP="004B7E4C">
            <w:pPr>
              <w:spacing w:line="240" w:lineRule="auto"/>
              <w:contextualSpacing/>
              <w:rPr>
                <w:b/>
                <w:bCs/>
                <w:szCs w:val="24"/>
              </w:rPr>
            </w:pPr>
            <w:r w:rsidRPr="006A00B6">
              <w:rPr>
                <w:b/>
                <w:bCs/>
                <w:szCs w:val="24"/>
              </w:rPr>
              <w:t>Belt user and related items</w:t>
            </w:r>
          </w:p>
        </w:tc>
        <w:tc>
          <w:tcPr>
            <w:tcW w:w="990" w:type="dxa"/>
            <w:shd w:val="clear" w:color="auto" w:fill="D9D9D9" w:themeFill="background1" w:themeFillShade="D9"/>
            <w:vAlign w:val="center"/>
          </w:tcPr>
          <w:p w14:paraId="67BB6555" w14:textId="77777777" w:rsidR="00A2399A" w:rsidRPr="006A00B6" w:rsidRDefault="000F5B51" w:rsidP="004B7E4C">
            <w:pPr>
              <w:spacing w:line="240" w:lineRule="auto"/>
              <w:contextualSpacing/>
              <w:jc w:val="center"/>
              <w:rPr>
                <w:b/>
                <w:bCs/>
                <w:szCs w:val="24"/>
              </w:rPr>
            </w:pPr>
            <w:r w:rsidRPr="006A00B6">
              <w:rPr>
                <w:b/>
                <w:bCs/>
                <w:szCs w:val="24"/>
              </w:rPr>
              <w:t>Rate</w:t>
            </w:r>
          </w:p>
        </w:tc>
      </w:tr>
      <w:tr w:rsidR="00A15C2C" w14:paraId="31386645" w14:textId="77777777" w:rsidTr="004B7E4C">
        <w:tc>
          <w:tcPr>
            <w:tcW w:w="7645" w:type="dxa"/>
          </w:tcPr>
          <w:p w14:paraId="6787C2B6" w14:textId="50488F6D" w:rsidR="00A2399A" w:rsidRPr="00FF7079" w:rsidRDefault="000F5B51" w:rsidP="004B7E4C">
            <w:pPr>
              <w:spacing w:line="240" w:lineRule="auto"/>
              <w:contextualSpacing/>
              <w:rPr>
                <w:szCs w:val="24"/>
              </w:rPr>
            </w:pPr>
            <w:r w:rsidRPr="00FF7079">
              <w:rPr>
                <w:szCs w:val="24"/>
              </w:rPr>
              <w:t>A reported "sometimes using seat belts"</w:t>
            </w:r>
          </w:p>
        </w:tc>
        <w:tc>
          <w:tcPr>
            <w:tcW w:w="990" w:type="dxa"/>
            <w:shd w:val="clear" w:color="auto" w:fill="auto"/>
            <w:vAlign w:val="center"/>
          </w:tcPr>
          <w:p w14:paraId="5E45A784" w14:textId="77777777" w:rsidR="00A2399A" w:rsidRPr="00CB16B1" w:rsidRDefault="000F5B51" w:rsidP="004B7E4C">
            <w:pPr>
              <w:spacing w:line="240" w:lineRule="auto"/>
              <w:contextualSpacing/>
              <w:jc w:val="center"/>
              <w:rPr>
                <w:szCs w:val="24"/>
              </w:rPr>
            </w:pPr>
            <w:r w:rsidRPr="0055589E">
              <w:rPr>
                <w:szCs w:val="24"/>
              </w:rPr>
              <w:t>6.9%</w:t>
            </w:r>
          </w:p>
        </w:tc>
      </w:tr>
      <w:tr w:rsidR="00A15C2C" w14:paraId="78F0D881" w14:textId="77777777" w:rsidTr="004B7E4C">
        <w:tc>
          <w:tcPr>
            <w:tcW w:w="7645" w:type="dxa"/>
          </w:tcPr>
          <w:p w14:paraId="5BB82D72" w14:textId="77777777" w:rsidR="00A2399A" w:rsidRPr="00FF7079" w:rsidRDefault="000F5B51" w:rsidP="004B7E4C">
            <w:pPr>
              <w:spacing w:line="240" w:lineRule="auto"/>
              <w:contextualSpacing/>
              <w:rPr>
                <w:szCs w:val="24"/>
              </w:rPr>
            </w:pPr>
            <w:r w:rsidRPr="00FF7079">
              <w:rPr>
                <w:szCs w:val="24"/>
              </w:rPr>
              <w:t>A reported "seldom or never using seat belts when driving or riding in a car</w:t>
            </w:r>
            <w:r>
              <w:rPr>
                <w:szCs w:val="24"/>
              </w:rPr>
              <w:t>”</w:t>
            </w:r>
          </w:p>
        </w:tc>
        <w:tc>
          <w:tcPr>
            <w:tcW w:w="990" w:type="dxa"/>
            <w:shd w:val="clear" w:color="auto" w:fill="auto"/>
            <w:vAlign w:val="center"/>
          </w:tcPr>
          <w:p w14:paraId="43B45A16" w14:textId="77777777" w:rsidR="00A2399A" w:rsidRPr="00FF7079" w:rsidRDefault="000F5B51" w:rsidP="004B7E4C">
            <w:pPr>
              <w:spacing w:line="240" w:lineRule="auto"/>
              <w:contextualSpacing/>
              <w:jc w:val="center"/>
              <w:rPr>
                <w:szCs w:val="24"/>
              </w:rPr>
            </w:pPr>
            <w:r w:rsidRPr="00FF7079">
              <w:rPr>
                <w:szCs w:val="24"/>
              </w:rPr>
              <w:t>5.4%</w:t>
            </w:r>
          </w:p>
        </w:tc>
      </w:tr>
      <w:tr w:rsidR="00A15C2C" w14:paraId="59C08C74" w14:textId="77777777" w:rsidTr="004B7E4C">
        <w:tc>
          <w:tcPr>
            <w:tcW w:w="7645" w:type="dxa"/>
          </w:tcPr>
          <w:p w14:paraId="4AAEB6E3" w14:textId="77777777" w:rsidR="00A2399A" w:rsidRPr="00FF7079" w:rsidRDefault="000F5B51" w:rsidP="004B7E4C">
            <w:pPr>
              <w:spacing w:line="240" w:lineRule="auto"/>
              <w:contextualSpacing/>
              <w:rPr>
                <w:szCs w:val="24"/>
              </w:rPr>
            </w:pPr>
            <w:r w:rsidRPr="00FF7079">
              <w:rPr>
                <w:szCs w:val="24"/>
              </w:rPr>
              <w:t>Percentage of drivers who always use seat belts</w:t>
            </w:r>
            <w:r>
              <w:rPr>
                <w:szCs w:val="24"/>
              </w:rPr>
              <w:t xml:space="preserve">, calculated </w:t>
            </w:r>
          </w:p>
        </w:tc>
        <w:tc>
          <w:tcPr>
            <w:tcW w:w="990" w:type="dxa"/>
            <w:shd w:val="clear" w:color="auto" w:fill="auto"/>
            <w:vAlign w:val="center"/>
          </w:tcPr>
          <w:p w14:paraId="2BAAFD34" w14:textId="77777777" w:rsidR="00A2399A" w:rsidRPr="00FF7079" w:rsidRDefault="000F5B51" w:rsidP="004B7E4C">
            <w:pPr>
              <w:spacing w:line="240" w:lineRule="auto"/>
              <w:contextualSpacing/>
              <w:jc w:val="center"/>
              <w:rPr>
                <w:szCs w:val="24"/>
              </w:rPr>
            </w:pPr>
            <w:r w:rsidRPr="00FF7079">
              <w:rPr>
                <w:szCs w:val="24"/>
              </w:rPr>
              <w:t>87.7%</w:t>
            </w:r>
          </w:p>
        </w:tc>
      </w:tr>
      <w:tr w:rsidR="00A15C2C" w14:paraId="62B9C4CE" w14:textId="77777777" w:rsidTr="004B7E4C">
        <w:tc>
          <w:tcPr>
            <w:tcW w:w="7645" w:type="dxa"/>
            <w:vAlign w:val="center"/>
          </w:tcPr>
          <w:p w14:paraId="4AD932CE" w14:textId="77777777" w:rsidR="00A2399A" w:rsidRPr="00FF7079" w:rsidRDefault="000F5B51" w:rsidP="004B7E4C">
            <w:pPr>
              <w:spacing w:line="240" w:lineRule="auto"/>
              <w:contextualSpacing/>
              <w:rPr>
                <w:szCs w:val="24"/>
              </w:rPr>
            </w:pPr>
            <w:r>
              <w:rPr>
                <w:szCs w:val="24"/>
              </w:rPr>
              <w:t>Total</w:t>
            </w:r>
          </w:p>
        </w:tc>
        <w:tc>
          <w:tcPr>
            <w:tcW w:w="990" w:type="dxa"/>
            <w:shd w:val="clear" w:color="auto" w:fill="auto"/>
            <w:vAlign w:val="center"/>
          </w:tcPr>
          <w:p w14:paraId="097EDB8F" w14:textId="77777777" w:rsidR="00A2399A" w:rsidRPr="00FF7079" w:rsidRDefault="000F5B51" w:rsidP="004B7E4C">
            <w:pPr>
              <w:spacing w:line="240" w:lineRule="auto"/>
              <w:contextualSpacing/>
              <w:jc w:val="center"/>
              <w:rPr>
                <w:szCs w:val="24"/>
              </w:rPr>
            </w:pPr>
            <w:r>
              <w:rPr>
                <w:szCs w:val="24"/>
              </w:rPr>
              <w:t>100.0%</w:t>
            </w:r>
          </w:p>
        </w:tc>
      </w:tr>
    </w:tbl>
    <w:p w14:paraId="0BBFF419" w14:textId="77777777" w:rsidR="00A2399A" w:rsidRDefault="00A2399A" w:rsidP="0055589E">
      <w:pPr>
        <w:pStyle w:val="NoSpaceTimes"/>
      </w:pPr>
    </w:p>
    <w:p w14:paraId="5E040DB7" w14:textId="2CF95611" w:rsidR="00A2399A" w:rsidRDefault="000F5B51" w:rsidP="00A2399A">
      <w:pPr>
        <w:spacing w:after="0"/>
        <w:contextualSpacing/>
        <w:rPr>
          <w:rFonts w:cs="Times New Roman"/>
          <w:szCs w:val="24"/>
        </w:rPr>
      </w:pPr>
      <w:r>
        <w:rPr>
          <w:rFonts w:cs="Times New Roman"/>
          <w:szCs w:val="24"/>
        </w:rPr>
        <w:lastRenderedPageBreak/>
        <w:fldChar w:fldCharType="begin"/>
      </w:r>
      <w:r>
        <w:rPr>
          <w:rFonts w:cs="Times New Roman"/>
          <w:szCs w:val="24"/>
        </w:rPr>
        <w:instrText xml:space="preserve"> REF _Ref126064184 \h </w:instrText>
      </w:r>
      <w:r>
        <w:rPr>
          <w:rFonts w:cs="Times New Roman"/>
          <w:szCs w:val="24"/>
        </w:rPr>
      </w:r>
      <w:r>
        <w:rPr>
          <w:rFonts w:cs="Times New Roman"/>
          <w:szCs w:val="24"/>
        </w:rPr>
        <w:fldChar w:fldCharType="separate"/>
      </w:r>
      <w:r w:rsidR="00A65CB3">
        <w:t xml:space="preserve">Table </w:t>
      </w:r>
      <w:r w:rsidR="00A65CB3">
        <w:rPr>
          <w:noProof/>
        </w:rPr>
        <w:t>35</w:t>
      </w:r>
      <w:r>
        <w:rPr>
          <w:rFonts w:cs="Times New Roman"/>
          <w:szCs w:val="24"/>
        </w:rPr>
        <w:fldChar w:fldCharType="end"/>
      </w:r>
      <w:r w:rsidR="009E047E">
        <w:rPr>
          <w:rFonts w:cs="Times New Roman"/>
          <w:szCs w:val="24"/>
        </w:rPr>
        <w:t xml:space="preserve"> presents front seat occupant </w:t>
      </w:r>
      <w:r w:rsidR="002865BE">
        <w:rPr>
          <w:rFonts w:cs="Times New Roman"/>
          <w:szCs w:val="24"/>
        </w:rPr>
        <w:t>seat belt usage for 2020 and 20</w:t>
      </w:r>
      <w:r w:rsidR="00500FF0">
        <w:rPr>
          <w:rFonts w:cs="Times New Roman"/>
          <w:szCs w:val="24"/>
        </w:rPr>
        <w:t>2</w:t>
      </w:r>
      <w:r w:rsidR="002865BE">
        <w:rPr>
          <w:rFonts w:cs="Times New Roman"/>
          <w:szCs w:val="24"/>
        </w:rPr>
        <w:t>1 based on NOPUS</w:t>
      </w:r>
      <w:r w:rsidR="00ED39F1">
        <w:rPr>
          <w:rFonts w:cs="Times New Roman"/>
          <w:szCs w:val="24"/>
        </w:rPr>
        <w:t xml:space="preserve"> data</w:t>
      </w:r>
      <w:r w:rsidR="001F2F92">
        <w:rPr>
          <w:rFonts w:cs="Times New Roman"/>
          <w:szCs w:val="24"/>
        </w:rPr>
        <w:t xml:space="preserve">. </w:t>
      </w:r>
      <w:r w:rsidR="00171226">
        <w:rPr>
          <w:rFonts w:cs="Times New Roman"/>
          <w:szCs w:val="24"/>
        </w:rPr>
        <w:t>In 2021</w:t>
      </w:r>
      <w:r>
        <w:rPr>
          <w:rFonts w:cs="Times New Roman"/>
          <w:szCs w:val="24"/>
        </w:rPr>
        <w:t>, 90.6</w:t>
      </w:r>
      <w:r w:rsidR="00401403">
        <w:rPr>
          <w:rFonts w:cs="Times New Roman"/>
          <w:szCs w:val="24"/>
        </w:rPr>
        <w:t xml:space="preserve"> percent</w:t>
      </w:r>
      <w:r>
        <w:rPr>
          <w:rFonts w:cs="Times New Roman"/>
          <w:szCs w:val="24"/>
        </w:rPr>
        <w:t xml:space="preserve"> of the </w:t>
      </w:r>
      <w:r w:rsidRPr="0055589E">
        <w:rPr>
          <w:rFonts w:cs="Times New Roman"/>
          <w:szCs w:val="24"/>
        </w:rPr>
        <w:t>drivers</w:t>
      </w:r>
      <w:r w:rsidR="000F3BAA">
        <w:rPr>
          <w:rFonts w:cs="Times New Roman"/>
          <w:szCs w:val="24"/>
        </w:rPr>
        <w:t xml:space="preserve"> and 89.4 percent of right front seat occupants</w:t>
      </w:r>
      <w:r>
        <w:rPr>
          <w:rFonts w:cs="Times New Roman"/>
          <w:szCs w:val="24"/>
        </w:rPr>
        <w:t xml:space="preserve"> in the survey used the seat belts</w:t>
      </w:r>
      <w:r w:rsidR="008946B7">
        <w:rPr>
          <w:rFonts w:cs="Times New Roman"/>
          <w:szCs w:val="24"/>
        </w:rPr>
        <w:t xml:space="preserve">. </w:t>
      </w:r>
    </w:p>
    <w:p w14:paraId="5C8F0CE1" w14:textId="4645F30C" w:rsidR="00A2399A" w:rsidRDefault="000F5B51" w:rsidP="00A2399A">
      <w:pPr>
        <w:pStyle w:val="Caption"/>
        <w:rPr>
          <w:rFonts w:cs="Times New Roman"/>
          <w:szCs w:val="24"/>
        </w:rPr>
      </w:pPr>
      <w:bookmarkStart w:id="205" w:name="_Ref126064184"/>
      <w:r>
        <w:t xml:space="preserve">Table </w:t>
      </w:r>
      <w:r w:rsidR="00115BAB">
        <w:fldChar w:fldCharType="begin"/>
      </w:r>
      <w:r>
        <w:instrText xml:space="preserve"> SEQ Table \* ARABIC </w:instrText>
      </w:r>
      <w:r w:rsidR="00115BAB">
        <w:fldChar w:fldCharType="separate"/>
      </w:r>
      <w:r w:rsidR="00A65CB3">
        <w:rPr>
          <w:noProof/>
        </w:rPr>
        <w:t>35</w:t>
      </w:r>
      <w:r w:rsidR="00115BAB">
        <w:rPr>
          <w:noProof/>
        </w:rPr>
        <w:fldChar w:fldCharType="end"/>
      </w:r>
      <w:bookmarkEnd w:id="205"/>
      <w:r>
        <w:t xml:space="preserve">: </w:t>
      </w:r>
      <w:r w:rsidR="00E25744">
        <w:t xml:space="preserve">Front Seat Occupant </w:t>
      </w:r>
      <w:r w:rsidR="008F26A9">
        <w:t>Seat Belt Usage 2020-2021</w:t>
      </w:r>
    </w:p>
    <w:tbl>
      <w:tblPr>
        <w:tblStyle w:val="TableGrid"/>
        <w:tblW w:w="10435" w:type="dxa"/>
        <w:tblLayout w:type="fixed"/>
        <w:tblLook w:val="04A0" w:firstRow="1" w:lastRow="0" w:firstColumn="1" w:lastColumn="0" w:noHBand="0" w:noVBand="1"/>
      </w:tblPr>
      <w:tblGrid>
        <w:gridCol w:w="1525"/>
        <w:gridCol w:w="1260"/>
        <w:gridCol w:w="1440"/>
        <w:gridCol w:w="1080"/>
        <w:gridCol w:w="1440"/>
        <w:gridCol w:w="1350"/>
        <w:gridCol w:w="1530"/>
        <w:gridCol w:w="810"/>
      </w:tblGrid>
      <w:tr w:rsidR="00A15C2C" w14:paraId="79D4ADEA" w14:textId="77777777" w:rsidTr="0055589E">
        <w:tc>
          <w:tcPr>
            <w:tcW w:w="1525" w:type="dxa"/>
            <w:vMerge w:val="restart"/>
            <w:shd w:val="clear" w:color="auto" w:fill="D9D9D9" w:themeFill="background1" w:themeFillShade="D9"/>
            <w:vAlign w:val="center"/>
          </w:tcPr>
          <w:p w14:paraId="76EE070D" w14:textId="77777777" w:rsidR="00A2399A" w:rsidRPr="006A00B6" w:rsidRDefault="000F5B51" w:rsidP="004B7E4C">
            <w:pPr>
              <w:spacing w:line="240" w:lineRule="auto"/>
              <w:contextualSpacing/>
              <w:rPr>
                <w:b/>
                <w:bCs/>
                <w:szCs w:val="24"/>
              </w:rPr>
            </w:pPr>
            <w:r w:rsidRPr="006A00B6">
              <w:rPr>
                <w:b/>
                <w:bCs/>
                <w:szCs w:val="24"/>
              </w:rPr>
              <w:t>Occupant Group</w:t>
            </w:r>
          </w:p>
        </w:tc>
        <w:tc>
          <w:tcPr>
            <w:tcW w:w="2700" w:type="dxa"/>
            <w:gridSpan w:val="2"/>
            <w:shd w:val="clear" w:color="auto" w:fill="D9D9D9" w:themeFill="background1" w:themeFillShade="D9"/>
            <w:vAlign w:val="center"/>
          </w:tcPr>
          <w:p w14:paraId="24916C78" w14:textId="77777777" w:rsidR="00A2399A" w:rsidRPr="006A00B6" w:rsidRDefault="000F5B51" w:rsidP="004B7E4C">
            <w:pPr>
              <w:spacing w:line="240" w:lineRule="auto"/>
              <w:contextualSpacing/>
              <w:jc w:val="center"/>
              <w:rPr>
                <w:b/>
                <w:bCs/>
                <w:szCs w:val="24"/>
              </w:rPr>
            </w:pPr>
            <w:r w:rsidRPr="006A00B6">
              <w:rPr>
                <w:b/>
                <w:bCs/>
                <w:szCs w:val="24"/>
              </w:rPr>
              <w:t>2020</w:t>
            </w:r>
          </w:p>
        </w:tc>
        <w:tc>
          <w:tcPr>
            <w:tcW w:w="2520" w:type="dxa"/>
            <w:gridSpan w:val="2"/>
            <w:shd w:val="clear" w:color="auto" w:fill="D9D9D9" w:themeFill="background1" w:themeFillShade="D9"/>
            <w:vAlign w:val="center"/>
          </w:tcPr>
          <w:p w14:paraId="79FAFD0D" w14:textId="77777777" w:rsidR="00A2399A" w:rsidRPr="006A00B6" w:rsidRDefault="000F5B51" w:rsidP="004B7E4C">
            <w:pPr>
              <w:spacing w:line="240" w:lineRule="auto"/>
              <w:contextualSpacing/>
              <w:jc w:val="center"/>
              <w:rPr>
                <w:b/>
                <w:bCs/>
                <w:szCs w:val="24"/>
              </w:rPr>
            </w:pPr>
            <w:r w:rsidRPr="006A00B6">
              <w:rPr>
                <w:b/>
                <w:bCs/>
                <w:szCs w:val="24"/>
              </w:rPr>
              <w:t>2021</w:t>
            </w:r>
          </w:p>
        </w:tc>
        <w:tc>
          <w:tcPr>
            <w:tcW w:w="3690" w:type="dxa"/>
            <w:gridSpan w:val="3"/>
            <w:shd w:val="clear" w:color="auto" w:fill="D9D9D9" w:themeFill="background1" w:themeFillShade="D9"/>
            <w:vAlign w:val="center"/>
          </w:tcPr>
          <w:p w14:paraId="2CCAC42D" w14:textId="77777777" w:rsidR="00A2399A" w:rsidRPr="006A00B6" w:rsidRDefault="000F5B51" w:rsidP="004B7E4C">
            <w:pPr>
              <w:spacing w:line="240" w:lineRule="auto"/>
              <w:contextualSpacing/>
              <w:jc w:val="center"/>
              <w:rPr>
                <w:b/>
                <w:bCs/>
                <w:szCs w:val="24"/>
              </w:rPr>
            </w:pPr>
            <w:r w:rsidRPr="006A00B6">
              <w:rPr>
                <w:b/>
                <w:bCs/>
                <w:szCs w:val="24"/>
              </w:rPr>
              <w:t>2020-2021 Change</w:t>
            </w:r>
          </w:p>
        </w:tc>
      </w:tr>
      <w:tr w:rsidR="00A15C2C" w14:paraId="18A7F233" w14:textId="77777777" w:rsidTr="00D56DDD">
        <w:tc>
          <w:tcPr>
            <w:tcW w:w="1525" w:type="dxa"/>
            <w:vMerge/>
            <w:shd w:val="clear" w:color="auto" w:fill="D9D9D9" w:themeFill="background1" w:themeFillShade="D9"/>
            <w:vAlign w:val="center"/>
          </w:tcPr>
          <w:p w14:paraId="6F20D35B" w14:textId="77777777" w:rsidR="00A2399A" w:rsidRPr="006A00B6" w:rsidRDefault="00A2399A" w:rsidP="004B7E4C">
            <w:pPr>
              <w:spacing w:line="240" w:lineRule="auto"/>
              <w:contextualSpacing/>
              <w:rPr>
                <w:b/>
                <w:bCs/>
                <w:szCs w:val="24"/>
              </w:rPr>
            </w:pPr>
          </w:p>
        </w:tc>
        <w:tc>
          <w:tcPr>
            <w:tcW w:w="1260" w:type="dxa"/>
            <w:shd w:val="clear" w:color="auto" w:fill="D9D9D9" w:themeFill="background1" w:themeFillShade="D9"/>
            <w:vAlign w:val="center"/>
          </w:tcPr>
          <w:p w14:paraId="595932E2" w14:textId="77777777" w:rsidR="00A2399A" w:rsidRPr="006A00B6" w:rsidRDefault="000F5B51" w:rsidP="004B7E4C">
            <w:pPr>
              <w:spacing w:line="240" w:lineRule="auto"/>
              <w:contextualSpacing/>
              <w:jc w:val="center"/>
              <w:rPr>
                <w:b/>
                <w:bCs/>
                <w:szCs w:val="24"/>
              </w:rPr>
            </w:pPr>
            <w:r>
              <w:rPr>
                <w:b/>
                <w:bCs/>
                <w:szCs w:val="24"/>
              </w:rPr>
              <w:t xml:space="preserve">Seat </w:t>
            </w:r>
            <w:r w:rsidRPr="006A00B6">
              <w:rPr>
                <w:b/>
                <w:bCs/>
                <w:szCs w:val="24"/>
              </w:rPr>
              <w:t>Belt Use</w:t>
            </w:r>
          </w:p>
        </w:tc>
        <w:tc>
          <w:tcPr>
            <w:tcW w:w="1440" w:type="dxa"/>
            <w:shd w:val="clear" w:color="auto" w:fill="D9D9D9" w:themeFill="background1" w:themeFillShade="D9"/>
            <w:vAlign w:val="center"/>
          </w:tcPr>
          <w:p w14:paraId="4E01E670" w14:textId="77777777" w:rsidR="00A2399A" w:rsidRPr="006A00B6" w:rsidRDefault="000F5B51" w:rsidP="004B7E4C">
            <w:pPr>
              <w:spacing w:line="240" w:lineRule="auto"/>
              <w:contextualSpacing/>
              <w:jc w:val="center"/>
              <w:rPr>
                <w:b/>
                <w:bCs/>
                <w:szCs w:val="24"/>
              </w:rPr>
            </w:pPr>
            <w:r w:rsidRPr="006A00B6">
              <w:rPr>
                <w:b/>
                <w:bCs/>
                <w:szCs w:val="24"/>
              </w:rPr>
              <w:t xml:space="preserve">95% </w:t>
            </w:r>
            <w:r w:rsidR="008D0A97">
              <w:rPr>
                <w:b/>
                <w:bCs/>
                <w:szCs w:val="24"/>
              </w:rPr>
              <w:t>C</w:t>
            </w:r>
            <w:r w:rsidRPr="006A00B6">
              <w:rPr>
                <w:b/>
                <w:bCs/>
                <w:szCs w:val="24"/>
              </w:rPr>
              <w:t>onfidence Interval</w:t>
            </w:r>
          </w:p>
        </w:tc>
        <w:tc>
          <w:tcPr>
            <w:tcW w:w="1080" w:type="dxa"/>
            <w:shd w:val="clear" w:color="auto" w:fill="D9D9D9" w:themeFill="background1" w:themeFillShade="D9"/>
            <w:vAlign w:val="center"/>
          </w:tcPr>
          <w:p w14:paraId="39F22477" w14:textId="77777777" w:rsidR="00A2399A" w:rsidRPr="006A00B6" w:rsidRDefault="000F5B51" w:rsidP="004B7E4C">
            <w:pPr>
              <w:spacing w:line="240" w:lineRule="auto"/>
              <w:contextualSpacing/>
              <w:jc w:val="center"/>
              <w:rPr>
                <w:b/>
                <w:bCs/>
                <w:szCs w:val="24"/>
              </w:rPr>
            </w:pPr>
            <w:r>
              <w:rPr>
                <w:b/>
                <w:bCs/>
                <w:szCs w:val="24"/>
              </w:rPr>
              <w:t xml:space="preserve">Seat </w:t>
            </w:r>
            <w:r w:rsidRPr="006A00B6">
              <w:rPr>
                <w:b/>
                <w:bCs/>
                <w:szCs w:val="24"/>
              </w:rPr>
              <w:t>Belt Use</w:t>
            </w:r>
          </w:p>
        </w:tc>
        <w:tc>
          <w:tcPr>
            <w:tcW w:w="1440" w:type="dxa"/>
            <w:shd w:val="clear" w:color="auto" w:fill="D9D9D9" w:themeFill="background1" w:themeFillShade="D9"/>
            <w:vAlign w:val="center"/>
          </w:tcPr>
          <w:p w14:paraId="196DB18A" w14:textId="77777777" w:rsidR="00A2399A" w:rsidRPr="006A00B6" w:rsidRDefault="000F5B51" w:rsidP="004B7E4C">
            <w:pPr>
              <w:spacing w:line="240" w:lineRule="auto"/>
              <w:contextualSpacing/>
              <w:jc w:val="center"/>
              <w:rPr>
                <w:b/>
                <w:bCs/>
                <w:szCs w:val="24"/>
              </w:rPr>
            </w:pPr>
            <w:r w:rsidRPr="006A00B6">
              <w:rPr>
                <w:b/>
                <w:bCs/>
                <w:szCs w:val="24"/>
              </w:rPr>
              <w:t xml:space="preserve">95% </w:t>
            </w:r>
            <w:r w:rsidR="008D0A97">
              <w:rPr>
                <w:b/>
                <w:bCs/>
                <w:szCs w:val="24"/>
              </w:rPr>
              <w:t>C</w:t>
            </w:r>
            <w:r w:rsidRPr="006A00B6">
              <w:rPr>
                <w:b/>
                <w:bCs/>
                <w:szCs w:val="24"/>
              </w:rPr>
              <w:t>onfidence Interval</w:t>
            </w:r>
          </w:p>
        </w:tc>
        <w:tc>
          <w:tcPr>
            <w:tcW w:w="1350" w:type="dxa"/>
            <w:shd w:val="clear" w:color="auto" w:fill="D9D9D9" w:themeFill="background1" w:themeFillShade="D9"/>
            <w:vAlign w:val="center"/>
          </w:tcPr>
          <w:p w14:paraId="2040B97A" w14:textId="77777777" w:rsidR="00A2399A" w:rsidRPr="006A00B6" w:rsidRDefault="000F5B51" w:rsidP="004B7E4C">
            <w:pPr>
              <w:spacing w:line="240" w:lineRule="auto"/>
              <w:contextualSpacing/>
              <w:jc w:val="center"/>
              <w:rPr>
                <w:b/>
                <w:bCs/>
                <w:szCs w:val="24"/>
              </w:rPr>
            </w:pPr>
            <w:r w:rsidRPr="006A00B6">
              <w:rPr>
                <w:b/>
                <w:bCs/>
                <w:szCs w:val="24"/>
              </w:rPr>
              <w:t>Changes in Percentage Points</w:t>
            </w:r>
          </w:p>
        </w:tc>
        <w:tc>
          <w:tcPr>
            <w:tcW w:w="1530" w:type="dxa"/>
            <w:shd w:val="clear" w:color="auto" w:fill="D9D9D9" w:themeFill="background1" w:themeFillShade="D9"/>
            <w:vAlign w:val="center"/>
          </w:tcPr>
          <w:p w14:paraId="6E183597" w14:textId="77777777" w:rsidR="00A2399A" w:rsidRPr="006A00B6" w:rsidRDefault="000F5B51" w:rsidP="004B7E4C">
            <w:pPr>
              <w:spacing w:line="240" w:lineRule="auto"/>
              <w:contextualSpacing/>
              <w:jc w:val="center"/>
              <w:rPr>
                <w:b/>
                <w:bCs/>
                <w:szCs w:val="24"/>
              </w:rPr>
            </w:pPr>
            <w:r w:rsidRPr="006A00B6">
              <w:rPr>
                <w:b/>
                <w:bCs/>
                <w:szCs w:val="24"/>
              </w:rPr>
              <w:t xml:space="preserve">95% </w:t>
            </w:r>
            <w:r w:rsidR="00477A48">
              <w:rPr>
                <w:b/>
                <w:bCs/>
                <w:szCs w:val="24"/>
              </w:rPr>
              <w:t>C</w:t>
            </w:r>
            <w:r w:rsidRPr="006A00B6">
              <w:rPr>
                <w:b/>
                <w:bCs/>
                <w:szCs w:val="24"/>
              </w:rPr>
              <w:t>onfidence Interval</w:t>
            </w:r>
          </w:p>
        </w:tc>
        <w:tc>
          <w:tcPr>
            <w:tcW w:w="810" w:type="dxa"/>
            <w:shd w:val="clear" w:color="auto" w:fill="D9D9D9" w:themeFill="background1" w:themeFillShade="D9"/>
            <w:vAlign w:val="center"/>
          </w:tcPr>
          <w:p w14:paraId="31CCCB81" w14:textId="77777777" w:rsidR="00A2399A" w:rsidRPr="006A00B6" w:rsidRDefault="000F5B51" w:rsidP="004B7E4C">
            <w:pPr>
              <w:spacing w:line="240" w:lineRule="auto"/>
              <w:contextualSpacing/>
              <w:jc w:val="center"/>
              <w:rPr>
                <w:b/>
                <w:bCs/>
                <w:szCs w:val="24"/>
              </w:rPr>
            </w:pPr>
            <w:r w:rsidRPr="0055589E">
              <w:rPr>
                <w:b/>
                <w:bCs/>
                <w:sz w:val="22"/>
              </w:rPr>
              <w:t>P-Value</w:t>
            </w:r>
          </w:p>
        </w:tc>
      </w:tr>
      <w:tr w:rsidR="00A15C2C" w14:paraId="6194F23E" w14:textId="77777777" w:rsidTr="00D56DDD">
        <w:tc>
          <w:tcPr>
            <w:tcW w:w="1525" w:type="dxa"/>
            <w:vAlign w:val="center"/>
          </w:tcPr>
          <w:p w14:paraId="7E035C4D" w14:textId="77777777" w:rsidR="00A2399A" w:rsidRDefault="000F5B51" w:rsidP="004B7E4C">
            <w:pPr>
              <w:spacing w:line="240" w:lineRule="auto"/>
              <w:contextualSpacing/>
              <w:rPr>
                <w:szCs w:val="24"/>
              </w:rPr>
            </w:pPr>
            <w:r>
              <w:rPr>
                <w:szCs w:val="24"/>
              </w:rPr>
              <w:t>All Occupants</w:t>
            </w:r>
          </w:p>
        </w:tc>
        <w:tc>
          <w:tcPr>
            <w:tcW w:w="1260" w:type="dxa"/>
            <w:vAlign w:val="center"/>
          </w:tcPr>
          <w:p w14:paraId="61F8E4A4" w14:textId="77777777" w:rsidR="00A2399A" w:rsidRDefault="000F5B51" w:rsidP="004B7E4C">
            <w:pPr>
              <w:spacing w:line="240" w:lineRule="auto"/>
              <w:contextualSpacing/>
              <w:jc w:val="center"/>
              <w:rPr>
                <w:szCs w:val="24"/>
              </w:rPr>
            </w:pPr>
            <w:r>
              <w:rPr>
                <w:szCs w:val="24"/>
              </w:rPr>
              <w:t>90.3%</w:t>
            </w:r>
          </w:p>
        </w:tc>
        <w:tc>
          <w:tcPr>
            <w:tcW w:w="1440" w:type="dxa"/>
            <w:vAlign w:val="center"/>
          </w:tcPr>
          <w:p w14:paraId="24684C5C" w14:textId="77777777" w:rsidR="00A2399A" w:rsidRDefault="000F5B51" w:rsidP="004B7E4C">
            <w:pPr>
              <w:spacing w:line="240" w:lineRule="auto"/>
              <w:contextualSpacing/>
              <w:jc w:val="center"/>
              <w:rPr>
                <w:szCs w:val="24"/>
              </w:rPr>
            </w:pPr>
            <w:r>
              <w:rPr>
                <w:szCs w:val="24"/>
              </w:rPr>
              <w:t>(88.7, 91.7)</w:t>
            </w:r>
          </w:p>
        </w:tc>
        <w:tc>
          <w:tcPr>
            <w:tcW w:w="1080" w:type="dxa"/>
            <w:vAlign w:val="center"/>
          </w:tcPr>
          <w:p w14:paraId="504624A9" w14:textId="77777777" w:rsidR="00A2399A" w:rsidRPr="00993884" w:rsidRDefault="000F5B51" w:rsidP="004B7E4C">
            <w:pPr>
              <w:spacing w:line="240" w:lineRule="auto"/>
              <w:contextualSpacing/>
              <w:jc w:val="center"/>
              <w:rPr>
                <w:szCs w:val="24"/>
              </w:rPr>
            </w:pPr>
            <w:r>
              <w:rPr>
                <w:szCs w:val="24"/>
              </w:rPr>
              <w:t>90.4%</w:t>
            </w:r>
          </w:p>
        </w:tc>
        <w:tc>
          <w:tcPr>
            <w:tcW w:w="1440" w:type="dxa"/>
            <w:vAlign w:val="center"/>
          </w:tcPr>
          <w:p w14:paraId="2DF94CEC" w14:textId="77777777" w:rsidR="00A2399A" w:rsidRPr="00993884" w:rsidRDefault="000F5B51" w:rsidP="004B7E4C">
            <w:pPr>
              <w:spacing w:line="240" w:lineRule="auto"/>
              <w:contextualSpacing/>
              <w:jc w:val="center"/>
              <w:rPr>
                <w:szCs w:val="24"/>
              </w:rPr>
            </w:pPr>
            <w:r>
              <w:rPr>
                <w:szCs w:val="24"/>
              </w:rPr>
              <w:t>(88.9, 91.7)</w:t>
            </w:r>
          </w:p>
        </w:tc>
        <w:tc>
          <w:tcPr>
            <w:tcW w:w="1350" w:type="dxa"/>
            <w:vAlign w:val="center"/>
          </w:tcPr>
          <w:p w14:paraId="5008D84B" w14:textId="77777777" w:rsidR="00A2399A" w:rsidRPr="00993884" w:rsidRDefault="000F5B51" w:rsidP="004B7E4C">
            <w:pPr>
              <w:spacing w:line="240" w:lineRule="auto"/>
              <w:contextualSpacing/>
              <w:jc w:val="center"/>
              <w:rPr>
                <w:szCs w:val="24"/>
              </w:rPr>
            </w:pPr>
            <w:r>
              <w:rPr>
                <w:szCs w:val="24"/>
              </w:rPr>
              <w:t>0.1</w:t>
            </w:r>
          </w:p>
        </w:tc>
        <w:tc>
          <w:tcPr>
            <w:tcW w:w="1530" w:type="dxa"/>
            <w:vAlign w:val="center"/>
          </w:tcPr>
          <w:p w14:paraId="7E5E97EC" w14:textId="77777777" w:rsidR="00A2399A" w:rsidRPr="00993884" w:rsidRDefault="000F5B51" w:rsidP="004B7E4C">
            <w:pPr>
              <w:spacing w:line="240" w:lineRule="auto"/>
              <w:contextualSpacing/>
              <w:jc w:val="center"/>
              <w:rPr>
                <w:szCs w:val="24"/>
              </w:rPr>
            </w:pPr>
            <w:r>
              <w:rPr>
                <w:szCs w:val="24"/>
              </w:rPr>
              <w:t>(-1.5, 1.7)</w:t>
            </w:r>
          </w:p>
        </w:tc>
        <w:tc>
          <w:tcPr>
            <w:tcW w:w="810" w:type="dxa"/>
            <w:vAlign w:val="center"/>
          </w:tcPr>
          <w:p w14:paraId="0DF74168" w14:textId="77777777" w:rsidR="00A2399A" w:rsidRPr="00993884" w:rsidRDefault="000F5B51" w:rsidP="004B7E4C">
            <w:pPr>
              <w:spacing w:line="240" w:lineRule="auto"/>
              <w:contextualSpacing/>
              <w:jc w:val="center"/>
              <w:rPr>
                <w:szCs w:val="24"/>
              </w:rPr>
            </w:pPr>
            <w:r>
              <w:rPr>
                <w:szCs w:val="24"/>
              </w:rPr>
              <w:t>0.90</w:t>
            </w:r>
          </w:p>
        </w:tc>
      </w:tr>
      <w:tr w:rsidR="00A15C2C" w14:paraId="66103D7E" w14:textId="77777777" w:rsidTr="00D56DDD">
        <w:tc>
          <w:tcPr>
            <w:tcW w:w="1525" w:type="dxa"/>
            <w:vAlign w:val="center"/>
          </w:tcPr>
          <w:p w14:paraId="2A1E2EF5" w14:textId="77777777" w:rsidR="00A2399A" w:rsidRDefault="000F5B51" w:rsidP="004B7E4C">
            <w:pPr>
              <w:spacing w:line="240" w:lineRule="auto"/>
              <w:contextualSpacing/>
              <w:rPr>
                <w:szCs w:val="24"/>
              </w:rPr>
            </w:pPr>
            <w:r>
              <w:rPr>
                <w:szCs w:val="24"/>
              </w:rPr>
              <w:t>Drivers</w:t>
            </w:r>
          </w:p>
        </w:tc>
        <w:tc>
          <w:tcPr>
            <w:tcW w:w="1260" w:type="dxa"/>
            <w:vAlign w:val="center"/>
          </w:tcPr>
          <w:p w14:paraId="62FC3F33" w14:textId="77777777" w:rsidR="00A2399A" w:rsidRDefault="000F5B51" w:rsidP="004B7E4C">
            <w:pPr>
              <w:spacing w:line="240" w:lineRule="auto"/>
              <w:contextualSpacing/>
              <w:jc w:val="center"/>
              <w:rPr>
                <w:szCs w:val="24"/>
              </w:rPr>
            </w:pPr>
            <w:r>
              <w:rPr>
                <w:szCs w:val="24"/>
              </w:rPr>
              <w:t>90.5%</w:t>
            </w:r>
          </w:p>
        </w:tc>
        <w:tc>
          <w:tcPr>
            <w:tcW w:w="1440" w:type="dxa"/>
            <w:vAlign w:val="center"/>
          </w:tcPr>
          <w:p w14:paraId="02116B56" w14:textId="77777777" w:rsidR="00A2399A" w:rsidRDefault="000F5B51" w:rsidP="004B7E4C">
            <w:pPr>
              <w:spacing w:line="240" w:lineRule="auto"/>
              <w:contextualSpacing/>
              <w:jc w:val="center"/>
              <w:rPr>
                <w:szCs w:val="24"/>
              </w:rPr>
            </w:pPr>
            <w:r>
              <w:rPr>
                <w:szCs w:val="24"/>
              </w:rPr>
              <w:t>(88.8, 91.9)</w:t>
            </w:r>
          </w:p>
        </w:tc>
        <w:tc>
          <w:tcPr>
            <w:tcW w:w="1080" w:type="dxa"/>
            <w:vAlign w:val="center"/>
          </w:tcPr>
          <w:p w14:paraId="714F739E" w14:textId="77777777" w:rsidR="00A2399A" w:rsidRPr="00993884" w:rsidRDefault="000F5B51" w:rsidP="004B7E4C">
            <w:pPr>
              <w:spacing w:line="240" w:lineRule="auto"/>
              <w:contextualSpacing/>
              <w:jc w:val="center"/>
              <w:rPr>
                <w:szCs w:val="24"/>
              </w:rPr>
            </w:pPr>
            <w:r>
              <w:rPr>
                <w:szCs w:val="24"/>
              </w:rPr>
              <w:t>90.6%</w:t>
            </w:r>
          </w:p>
        </w:tc>
        <w:tc>
          <w:tcPr>
            <w:tcW w:w="1440" w:type="dxa"/>
            <w:vAlign w:val="center"/>
          </w:tcPr>
          <w:p w14:paraId="10136924" w14:textId="77777777" w:rsidR="00A2399A" w:rsidRPr="00993884" w:rsidRDefault="000F5B51" w:rsidP="004B7E4C">
            <w:pPr>
              <w:spacing w:line="240" w:lineRule="auto"/>
              <w:contextualSpacing/>
              <w:jc w:val="center"/>
              <w:rPr>
                <w:szCs w:val="24"/>
              </w:rPr>
            </w:pPr>
            <w:r>
              <w:rPr>
                <w:szCs w:val="24"/>
              </w:rPr>
              <w:t>(89.0, 92.0)</w:t>
            </w:r>
          </w:p>
        </w:tc>
        <w:tc>
          <w:tcPr>
            <w:tcW w:w="1350" w:type="dxa"/>
            <w:vAlign w:val="center"/>
          </w:tcPr>
          <w:p w14:paraId="53B5547B" w14:textId="77777777" w:rsidR="00A2399A" w:rsidRPr="00993884" w:rsidRDefault="000F5B51" w:rsidP="004B7E4C">
            <w:pPr>
              <w:spacing w:line="240" w:lineRule="auto"/>
              <w:contextualSpacing/>
              <w:jc w:val="center"/>
              <w:rPr>
                <w:szCs w:val="24"/>
              </w:rPr>
            </w:pPr>
            <w:r>
              <w:rPr>
                <w:szCs w:val="24"/>
              </w:rPr>
              <w:t>0.1</w:t>
            </w:r>
          </w:p>
        </w:tc>
        <w:tc>
          <w:tcPr>
            <w:tcW w:w="1530" w:type="dxa"/>
            <w:vAlign w:val="center"/>
          </w:tcPr>
          <w:p w14:paraId="6E76DAAE" w14:textId="77777777" w:rsidR="00A2399A" w:rsidRPr="00993884" w:rsidRDefault="000F5B51" w:rsidP="004B7E4C">
            <w:pPr>
              <w:spacing w:line="240" w:lineRule="auto"/>
              <w:contextualSpacing/>
              <w:jc w:val="center"/>
              <w:rPr>
                <w:szCs w:val="24"/>
              </w:rPr>
            </w:pPr>
            <w:r>
              <w:rPr>
                <w:szCs w:val="24"/>
              </w:rPr>
              <w:t>(-1.4, 1.7)</w:t>
            </w:r>
          </w:p>
        </w:tc>
        <w:tc>
          <w:tcPr>
            <w:tcW w:w="810" w:type="dxa"/>
            <w:vAlign w:val="center"/>
          </w:tcPr>
          <w:p w14:paraId="60B049E8" w14:textId="77777777" w:rsidR="00A2399A" w:rsidRPr="00993884" w:rsidRDefault="000F5B51" w:rsidP="004B7E4C">
            <w:pPr>
              <w:spacing w:line="240" w:lineRule="auto"/>
              <w:contextualSpacing/>
              <w:jc w:val="center"/>
              <w:rPr>
                <w:szCs w:val="24"/>
              </w:rPr>
            </w:pPr>
            <w:r>
              <w:rPr>
                <w:szCs w:val="24"/>
              </w:rPr>
              <w:t>0.85</w:t>
            </w:r>
          </w:p>
        </w:tc>
      </w:tr>
      <w:tr w:rsidR="00A15C2C" w14:paraId="15F153FF" w14:textId="77777777" w:rsidTr="00D56DDD">
        <w:tc>
          <w:tcPr>
            <w:tcW w:w="1525" w:type="dxa"/>
            <w:vAlign w:val="center"/>
          </w:tcPr>
          <w:p w14:paraId="1814006A" w14:textId="77777777" w:rsidR="00A2399A" w:rsidRDefault="000F5B51" w:rsidP="004B7E4C">
            <w:pPr>
              <w:spacing w:line="240" w:lineRule="auto"/>
              <w:contextualSpacing/>
              <w:rPr>
                <w:szCs w:val="24"/>
              </w:rPr>
            </w:pPr>
            <w:r>
              <w:rPr>
                <w:szCs w:val="24"/>
              </w:rPr>
              <w:t xml:space="preserve">Right-Front </w:t>
            </w:r>
            <w:r w:rsidR="000F3BAA">
              <w:rPr>
                <w:szCs w:val="24"/>
              </w:rPr>
              <w:t>Occupants</w:t>
            </w:r>
          </w:p>
        </w:tc>
        <w:tc>
          <w:tcPr>
            <w:tcW w:w="1260" w:type="dxa"/>
            <w:vAlign w:val="center"/>
          </w:tcPr>
          <w:p w14:paraId="52609CBA" w14:textId="77777777" w:rsidR="00A2399A" w:rsidRDefault="000F5B51" w:rsidP="004B7E4C">
            <w:pPr>
              <w:spacing w:line="240" w:lineRule="auto"/>
              <w:contextualSpacing/>
              <w:jc w:val="center"/>
              <w:rPr>
                <w:szCs w:val="24"/>
              </w:rPr>
            </w:pPr>
            <w:r>
              <w:rPr>
                <w:szCs w:val="24"/>
              </w:rPr>
              <w:t>89.6%</w:t>
            </w:r>
          </w:p>
        </w:tc>
        <w:tc>
          <w:tcPr>
            <w:tcW w:w="1440" w:type="dxa"/>
            <w:vAlign w:val="center"/>
          </w:tcPr>
          <w:p w14:paraId="5F696A94" w14:textId="77777777" w:rsidR="00A2399A" w:rsidRDefault="000F5B51" w:rsidP="004B7E4C">
            <w:pPr>
              <w:spacing w:line="240" w:lineRule="auto"/>
              <w:contextualSpacing/>
              <w:jc w:val="center"/>
              <w:rPr>
                <w:szCs w:val="24"/>
              </w:rPr>
            </w:pPr>
            <w:r>
              <w:rPr>
                <w:szCs w:val="24"/>
              </w:rPr>
              <w:t>(87.9, 91.1)</w:t>
            </w:r>
          </w:p>
        </w:tc>
        <w:tc>
          <w:tcPr>
            <w:tcW w:w="1080" w:type="dxa"/>
            <w:vAlign w:val="center"/>
          </w:tcPr>
          <w:p w14:paraId="6A2A95E4" w14:textId="77777777" w:rsidR="00A2399A" w:rsidRPr="00993884" w:rsidRDefault="000F5B51" w:rsidP="004B7E4C">
            <w:pPr>
              <w:spacing w:line="240" w:lineRule="auto"/>
              <w:contextualSpacing/>
              <w:jc w:val="center"/>
              <w:rPr>
                <w:szCs w:val="24"/>
              </w:rPr>
            </w:pPr>
            <w:r>
              <w:rPr>
                <w:szCs w:val="24"/>
              </w:rPr>
              <w:t>89.4%</w:t>
            </w:r>
          </w:p>
        </w:tc>
        <w:tc>
          <w:tcPr>
            <w:tcW w:w="1440" w:type="dxa"/>
            <w:vAlign w:val="center"/>
          </w:tcPr>
          <w:p w14:paraId="7EC53BC4" w14:textId="77777777" w:rsidR="00A2399A" w:rsidRPr="00993884" w:rsidRDefault="000F5B51" w:rsidP="004B7E4C">
            <w:pPr>
              <w:spacing w:line="240" w:lineRule="auto"/>
              <w:contextualSpacing/>
              <w:jc w:val="center"/>
              <w:rPr>
                <w:szCs w:val="24"/>
              </w:rPr>
            </w:pPr>
            <w:r>
              <w:rPr>
                <w:szCs w:val="24"/>
              </w:rPr>
              <w:t>(87.7, 90.9)</w:t>
            </w:r>
          </w:p>
        </w:tc>
        <w:tc>
          <w:tcPr>
            <w:tcW w:w="1350" w:type="dxa"/>
            <w:vAlign w:val="center"/>
          </w:tcPr>
          <w:p w14:paraId="6F92DCA4" w14:textId="77777777" w:rsidR="00A2399A" w:rsidRPr="00993884" w:rsidRDefault="000F5B51" w:rsidP="004B7E4C">
            <w:pPr>
              <w:spacing w:line="240" w:lineRule="auto"/>
              <w:contextualSpacing/>
              <w:jc w:val="center"/>
              <w:rPr>
                <w:szCs w:val="24"/>
              </w:rPr>
            </w:pPr>
            <w:r>
              <w:rPr>
                <w:szCs w:val="24"/>
              </w:rPr>
              <w:t>-0.1</w:t>
            </w:r>
          </w:p>
        </w:tc>
        <w:tc>
          <w:tcPr>
            <w:tcW w:w="1530" w:type="dxa"/>
            <w:vAlign w:val="center"/>
          </w:tcPr>
          <w:p w14:paraId="702764F4" w14:textId="77777777" w:rsidR="00A2399A" w:rsidRPr="00993884" w:rsidRDefault="000F5B51" w:rsidP="004B7E4C">
            <w:pPr>
              <w:spacing w:line="240" w:lineRule="auto"/>
              <w:contextualSpacing/>
              <w:jc w:val="center"/>
              <w:rPr>
                <w:szCs w:val="24"/>
              </w:rPr>
            </w:pPr>
            <w:r>
              <w:rPr>
                <w:szCs w:val="24"/>
              </w:rPr>
              <w:t>(-2.2, 2.0)</w:t>
            </w:r>
          </w:p>
        </w:tc>
        <w:tc>
          <w:tcPr>
            <w:tcW w:w="810" w:type="dxa"/>
            <w:vAlign w:val="center"/>
          </w:tcPr>
          <w:p w14:paraId="3258DBB4" w14:textId="77777777" w:rsidR="00A2399A" w:rsidRPr="00993884" w:rsidRDefault="000F5B51" w:rsidP="004B7E4C">
            <w:pPr>
              <w:spacing w:line="240" w:lineRule="auto"/>
              <w:contextualSpacing/>
              <w:jc w:val="center"/>
              <w:rPr>
                <w:szCs w:val="24"/>
              </w:rPr>
            </w:pPr>
            <w:r>
              <w:rPr>
                <w:szCs w:val="24"/>
              </w:rPr>
              <w:t>0.90</w:t>
            </w:r>
          </w:p>
        </w:tc>
      </w:tr>
    </w:tbl>
    <w:p w14:paraId="66301BAD" w14:textId="77777777" w:rsidR="00A2399A" w:rsidRPr="006A00B6" w:rsidRDefault="00A2399A" w:rsidP="00A2399A">
      <w:pPr>
        <w:pStyle w:val="NoSpaceTimes"/>
      </w:pPr>
    </w:p>
    <w:p w14:paraId="5EA2A4F8" w14:textId="77777777" w:rsidR="00A07F4A" w:rsidRDefault="000F5B51" w:rsidP="00A2399A">
      <w:pPr>
        <w:spacing w:after="0"/>
        <w:contextualSpacing/>
        <w:rPr>
          <w:rFonts w:cs="Times New Roman"/>
          <w:szCs w:val="24"/>
        </w:rPr>
      </w:pPr>
      <w:r>
        <w:rPr>
          <w:rFonts w:cs="Times New Roman"/>
          <w:szCs w:val="24"/>
        </w:rPr>
        <w:t xml:space="preserve">This analysis makes use of the available data to </w:t>
      </w:r>
      <w:r w:rsidR="00EE798B">
        <w:rPr>
          <w:rFonts w:cs="Times New Roman"/>
          <w:szCs w:val="24"/>
        </w:rPr>
        <w:t xml:space="preserve">estimate the </w:t>
      </w:r>
      <w:r w:rsidR="00B6503D">
        <w:rPr>
          <w:rFonts w:cs="Times New Roman"/>
          <w:szCs w:val="24"/>
        </w:rPr>
        <w:t xml:space="preserve">probability of using a seat belt for </w:t>
      </w:r>
      <w:r w:rsidR="00330668">
        <w:rPr>
          <w:rFonts w:cs="Times New Roman"/>
          <w:szCs w:val="24"/>
        </w:rPr>
        <w:t xml:space="preserve">those who reported </w:t>
      </w:r>
      <w:r w:rsidR="003C6662">
        <w:rPr>
          <w:rFonts w:cs="Times New Roman"/>
          <w:szCs w:val="24"/>
        </w:rPr>
        <w:t>sometimes using seat belts</w:t>
      </w:r>
      <w:r w:rsidR="001F2F92">
        <w:rPr>
          <w:rFonts w:cs="Times New Roman"/>
          <w:szCs w:val="24"/>
        </w:rPr>
        <w:t xml:space="preserve">. </w:t>
      </w:r>
      <w:r w:rsidR="00083C81">
        <w:rPr>
          <w:rFonts w:cs="Times New Roman"/>
          <w:szCs w:val="24"/>
        </w:rPr>
        <w:t>T</w:t>
      </w:r>
      <w:r w:rsidR="00F229FE">
        <w:rPr>
          <w:rFonts w:cs="Times New Roman"/>
          <w:szCs w:val="24"/>
        </w:rPr>
        <w:t xml:space="preserve">o establish the use rate among the 6.9 percent of drivers that reported </w:t>
      </w:r>
      <w:r w:rsidR="00083C81">
        <w:rPr>
          <w:rFonts w:cs="Times New Roman"/>
          <w:szCs w:val="24"/>
        </w:rPr>
        <w:t xml:space="preserve">sometimes </w:t>
      </w:r>
      <w:r w:rsidR="00300B96">
        <w:rPr>
          <w:rFonts w:cs="Times New Roman"/>
          <w:szCs w:val="24"/>
        </w:rPr>
        <w:t>using seat belts,</w:t>
      </w:r>
      <w:r w:rsidR="00A87097">
        <w:rPr>
          <w:rFonts w:cs="Times New Roman"/>
          <w:szCs w:val="24"/>
        </w:rPr>
        <w:t xml:space="preserve"> </w:t>
      </w:r>
      <w:r w:rsidR="00300B96">
        <w:rPr>
          <w:rFonts w:cs="Times New Roman"/>
          <w:szCs w:val="24"/>
        </w:rPr>
        <w:t>w</w:t>
      </w:r>
      <w:r w:rsidR="00931AF9">
        <w:rPr>
          <w:rFonts w:cs="Times New Roman"/>
          <w:szCs w:val="24"/>
        </w:rPr>
        <w:t xml:space="preserve">e first </w:t>
      </w:r>
      <w:r w:rsidR="00C468CA">
        <w:rPr>
          <w:rFonts w:cs="Times New Roman"/>
          <w:szCs w:val="24"/>
        </w:rPr>
        <w:t xml:space="preserve">take into account that </w:t>
      </w:r>
      <w:r w:rsidR="00091E64">
        <w:rPr>
          <w:rFonts w:cs="Times New Roman"/>
          <w:szCs w:val="24"/>
        </w:rPr>
        <w:t xml:space="preserve">87.7 percent of </w:t>
      </w:r>
      <w:r w:rsidR="00DF23AF">
        <w:rPr>
          <w:rFonts w:cs="Times New Roman"/>
          <w:szCs w:val="24"/>
        </w:rPr>
        <w:t>driver reported always using seat belts which is reflected as a 100 percent use rate</w:t>
      </w:r>
      <w:r w:rsidR="001F2F92">
        <w:rPr>
          <w:rFonts w:cs="Times New Roman"/>
          <w:szCs w:val="24"/>
        </w:rPr>
        <w:t xml:space="preserve">. </w:t>
      </w:r>
      <w:r w:rsidR="0004436B">
        <w:rPr>
          <w:rFonts w:cs="Times New Roman"/>
          <w:szCs w:val="24"/>
        </w:rPr>
        <w:t>Equation (</w:t>
      </w:r>
      <w:r w:rsidR="00411E12">
        <w:rPr>
          <w:rFonts w:cs="Times New Roman"/>
          <w:szCs w:val="24"/>
        </w:rPr>
        <w:t>4</w:t>
      </w:r>
      <w:r w:rsidR="0004436B">
        <w:rPr>
          <w:rFonts w:cs="Times New Roman"/>
          <w:szCs w:val="24"/>
        </w:rPr>
        <w:t xml:space="preserve">) represents the calculation of </w:t>
      </w:r>
      <w:r w:rsidR="007901A4">
        <w:rPr>
          <w:rFonts w:cs="Times New Roman"/>
          <w:szCs w:val="24"/>
        </w:rPr>
        <w:t xml:space="preserve">the overall usage rate for those who report always </w:t>
      </w:r>
      <w:r>
        <w:rPr>
          <w:rFonts w:cs="Times New Roman"/>
          <w:szCs w:val="24"/>
        </w:rPr>
        <w:t>using seat belts</w:t>
      </w:r>
      <w:r w:rsidR="00411E12">
        <w:rPr>
          <w:rFonts w:cs="Times New Roman"/>
          <w:szCs w:val="24"/>
        </w:rPr>
        <w:t>:</w:t>
      </w:r>
      <w:r>
        <w:rPr>
          <w:rFonts w:cs="Times New Roman"/>
          <w:szCs w:val="24"/>
        </w:rPr>
        <w:t xml:space="preserve"> </w:t>
      </w:r>
    </w:p>
    <w:p w14:paraId="209FB83B" w14:textId="77777777" w:rsidR="00A07F4A" w:rsidRDefault="000F5B51" w:rsidP="0055589E">
      <w:pPr>
        <w:spacing w:after="0"/>
        <w:contextualSpacing/>
        <w:jc w:val="center"/>
        <w:rPr>
          <w:rFonts w:cs="Times New Roman"/>
          <w:szCs w:val="24"/>
        </w:rPr>
      </w:pPr>
      <m:oMath>
        <m:r>
          <w:rPr>
            <w:rFonts w:ascii="Cambria Math" w:hAnsi="Cambria Math" w:cs="Times New Roman"/>
            <w:szCs w:val="24"/>
          </w:rPr>
          <m:t>Seat belt Use for full time users=0.877×1.00</m:t>
        </m:r>
        <m:r>
          <w:rPr>
            <w:rFonts w:ascii="Cambria Math" w:eastAsiaTheme="minorEastAsia" w:hAnsi="Cambria Math" w:cs="Times New Roman"/>
            <w:szCs w:val="24"/>
          </w:rPr>
          <m:t>=0.877</m:t>
        </m:r>
      </m:oMath>
      <w:r w:rsidR="008E53A4">
        <w:rPr>
          <w:rFonts w:eastAsiaTheme="minorEastAsia" w:cs="Times New Roman"/>
          <w:szCs w:val="24"/>
        </w:rPr>
        <w:t xml:space="preserve"> </w:t>
      </w:r>
      <w:r w:rsidR="008E53A4">
        <w:rPr>
          <w:rFonts w:eastAsiaTheme="minorEastAsia" w:cs="Times New Roman"/>
          <w:szCs w:val="24"/>
        </w:rPr>
        <w:tab/>
        <w:t>(</w:t>
      </w:r>
      <w:r w:rsidR="00411E12">
        <w:rPr>
          <w:rFonts w:eastAsiaTheme="minorEastAsia" w:cs="Times New Roman"/>
          <w:szCs w:val="24"/>
        </w:rPr>
        <w:t>4</w:t>
      </w:r>
      <w:r w:rsidR="008E53A4">
        <w:rPr>
          <w:rFonts w:eastAsiaTheme="minorEastAsia" w:cs="Times New Roman"/>
          <w:szCs w:val="24"/>
        </w:rPr>
        <w:t>)</w:t>
      </w:r>
      <w:r w:rsidR="00411E12">
        <w:rPr>
          <w:rFonts w:eastAsiaTheme="minorEastAsia" w:cs="Times New Roman"/>
          <w:szCs w:val="24"/>
        </w:rPr>
        <w:t>.</w:t>
      </w:r>
    </w:p>
    <w:p w14:paraId="2A6B65C2" w14:textId="77777777" w:rsidR="00037AD7" w:rsidRDefault="000F5B51" w:rsidP="00A2399A">
      <w:pPr>
        <w:spacing w:after="0"/>
        <w:contextualSpacing/>
        <w:rPr>
          <w:rFonts w:cs="Times New Roman"/>
          <w:szCs w:val="24"/>
        </w:rPr>
      </w:pPr>
      <w:r>
        <w:rPr>
          <w:rFonts w:cs="Times New Roman"/>
          <w:szCs w:val="24"/>
        </w:rPr>
        <w:t xml:space="preserve">Second, </w:t>
      </w:r>
      <w:r w:rsidR="00164CBD">
        <w:rPr>
          <w:rFonts w:cs="Times New Roman"/>
          <w:szCs w:val="24"/>
        </w:rPr>
        <w:t xml:space="preserve">we take into account that </w:t>
      </w:r>
      <w:r w:rsidR="00B70E93">
        <w:rPr>
          <w:rFonts w:cs="Times New Roman"/>
          <w:szCs w:val="24"/>
        </w:rPr>
        <w:t xml:space="preserve">the overall seat belt use </w:t>
      </w:r>
      <w:r w:rsidR="00F82C0F">
        <w:rPr>
          <w:rFonts w:cs="Times New Roman"/>
          <w:szCs w:val="24"/>
        </w:rPr>
        <w:t>without the indefinite SBWS alert is 90.6 percent.</w:t>
      </w:r>
      <w:r w:rsidR="008E53A4">
        <w:rPr>
          <w:rFonts w:cs="Times New Roman"/>
          <w:szCs w:val="24"/>
        </w:rPr>
        <w:t xml:space="preserve"> Therefore, we </w:t>
      </w:r>
      <w:r w:rsidR="00BD54BF">
        <w:rPr>
          <w:rFonts w:cs="Times New Roman"/>
          <w:szCs w:val="24"/>
        </w:rPr>
        <w:t xml:space="preserve">reflect what we know about those who always and those who never </w:t>
      </w:r>
      <w:r w:rsidR="000F0095">
        <w:rPr>
          <w:rFonts w:cs="Times New Roman"/>
          <w:szCs w:val="24"/>
        </w:rPr>
        <w:t xml:space="preserve">use seat belts in relation to the </w:t>
      </w:r>
      <w:r>
        <w:rPr>
          <w:rFonts w:cs="Times New Roman"/>
          <w:szCs w:val="24"/>
        </w:rPr>
        <w:t>overall seat belt use rate in equation (</w:t>
      </w:r>
      <w:r w:rsidR="00411E12">
        <w:rPr>
          <w:rFonts w:cs="Times New Roman"/>
          <w:szCs w:val="24"/>
        </w:rPr>
        <w:t>5</w:t>
      </w:r>
      <w:r>
        <w:rPr>
          <w:rFonts w:cs="Times New Roman"/>
          <w:szCs w:val="24"/>
        </w:rPr>
        <w:t>):</w:t>
      </w:r>
    </w:p>
    <w:p w14:paraId="752B9166" w14:textId="77777777" w:rsidR="00037AD7" w:rsidRDefault="000F5B51" w:rsidP="00A2399A">
      <w:pPr>
        <w:spacing w:after="0"/>
        <w:contextualSpacing/>
        <w:rPr>
          <w:rFonts w:eastAsiaTheme="minorEastAsia" w:cs="Times New Roman"/>
          <w:szCs w:val="24"/>
        </w:rPr>
      </w:pPr>
      <m:oMath>
        <m:r>
          <w:rPr>
            <w:rFonts w:ascii="Cambria Math" w:hAnsi="Cambria Math" w:cs="Times New Roman"/>
            <w:szCs w:val="24"/>
          </w:rPr>
          <m:t>Overall Seat Belt Use=</m:t>
        </m:r>
        <m:d>
          <m:dPr>
            <m:ctrlPr>
              <w:rPr>
                <w:rFonts w:ascii="Cambria Math" w:hAnsi="Cambria Math" w:cs="Times New Roman"/>
                <w:i/>
                <w:szCs w:val="24"/>
              </w:rPr>
            </m:ctrlPr>
          </m:dPr>
          <m:e>
            <m:r>
              <w:rPr>
                <w:rFonts w:ascii="Cambria Math" w:hAnsi="Cambria Math" w:cs="Times New Roman"/>
                <w:szCs w:val="24"/>
              </w:rPr>
              <m:t>0.877×1.00</m:t>
            </m:r>
          </m:e>
        </m:d>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0.069×x</m:t>
            </m:r>
          </m:e>
        </m:d>
        <m:r>
          <w:rPr>
            <w:rFonts w:ascii="Cambria Math" w:hAnsi="Cambria Math" w:cs="Times New Roman"/>
            <w:szCs w:val="24"/>
          </w:rPr>
          <m:t>+(0.054×0)=0.906</m:t>
        </m:r>
      </m:oMath>
      <w:r w:rsidR="003C20A2">
        <w:rPr>
          <w:rFonts w:eastAsiaTheme="minorEastAsia" w:cs="Times New Roman"/>
          <w:szCs w:val="24"/>
        </w:rPr>
        <w:t xml:space="preserve"> (</w:t>
      </w:r>
      <w:r w:rsidR="00411E12">
        <w:rPr>
          <w:rFonts w:eastAsiaTheme="minorEastAsia" w:cs="Times New Roman"/>
          <w:szCs w:val="24"/>
        </w:rPr>
        <w:t>5</w:t>
      </w:r>
      <w:r w:rsidR="003C20A2">
        <w:rPr>
          <w:rFonts w:eastAsiaTheme="minorEastAsia" w:cs="Times New Roman"/>
          <w:szCs w:val="24"/>
        </w:rPr>
        <w:t>)</w:t>
      </w:r>
    </w:p>
    <w:p w14:paraId="2375F2AA" w14:textId="77777777" w:rsidR="003C20A2" w:rsidRDefault="000F5B51" w:rsidP="00A2399A">
      <w:pPr>
        <w:spacing w:after="0"/>
        <w:contextualSpacing/>
        <w:rPr>
          <w:rFonts w:cs="Times New Roman"/>
          <w:szCs w:val="24"/>
        </w:rPr>
      </w:pPr>
      <w:r>
        <w:rPr>
          <w:rFonts w:eastAsiaTheme="minorEastAsia" w:cs="Times New Roman"/>
          <w:szCs w:val="24"/>
        </w:rPr>
        <w:tab/>
        <w:t xml:space="preserve">Where x is the </w:t>
      </w:r>
      <w:r w:rsidR="00C52BF3">
        <w:rPr>
          <w:rFonts w:eastAsiaTheme="minorEastAsia" w:cs="Times New Roman"/>
          <w:szCs w:val="24"/>
        </w:rPr>
        <w:t xml:space="preserve">use rate for drivers who </w:t>
      </w:r>
      <w:r w:rsidR="005B4ABA">
        <w:rPr>
          <w:rFonts w:eastAsiaTheme="minorEastAsia" w:cs="Times New Roman"/>
          <w:szCs w:val="24"/>
        </w:rPr>
        <w:t>report sometimes</w:t>
      </w:r>
      <w:r w:rsidR="0071563E">
        <w:rPr>
          <w:rFonts w:eastAsiaTheme="minorEastAsia" w:cs="Times New Roman"/>
          <w:szCs w:val="24"/>
        </w:rPr>
        <w:t xml:space="preserve"> use seat belts.</w:t>
      </w:r>
    </w:p>
    <w:p w14:paraId="7EEB19ED" w14:textId="77777777" w:rsidR="000E700A" w:rsidRDefault="000F5B51" w:rsidP="00A2399A">
      <w:pPr>
        <w:spacing w:after="0"/>
        <w:contextualSpacing/>
        <w:rPr>
          <w:rFonts w:cs="Times New Roman"/>
          <w:szCs w:val="24"/>
        </w:rPr>
      </w:pPr>
      <w:r>
        <w:rPr>
          <w:rFonts w:eastAsia="Times New Roman" w:cs="Times New Roman"/>
          <w:szCs w:val="24"/>
        </w:rPr>
        <w:t xml:space="preserve">The first part of the equation represents the proportion of drivers who always use seat belts, the second part is those who sometimes use seat belts, and the third part is those who never use seat </w:t>
      </w:r>
      <w:r>
        <w:rPr>
          <w:rFonts w:eastAsia="Times New Roman" w:cs="Times New Roman"/>
          <w:szCs w:val="24"/>
        </w:rPr>
        <w:lastRenderedPageBreak/>
        <w:t>belts</w:t>
      </w:r>
      <w:r w:rsidR="001F2F92">
        <w:rPr>
          <w:rFonts w:eastAsia="Times New Roman" w:cs="Times New Roman"/>
          <w:szCs w:val="24"/>
        </w:rPr>
        <w:t xml:space="preserve">. </w:t>
      </w:r>
      <w:r>
        <w:rPr>
          <w:rFonts w:eastAsia="Times New Roman" w:cs="Times New Roman"/>
          <w:szCs w:val="24"/>
        </w:rPr>
        <w:t>Solving equation (</w:t>
      </w:r>
      <w:r w:rsidR="004F7393">
        <w:rPr>
          <w:rFonts w:eastAsia="Times New Roman" w:cs="Times New Roman"/>
          <w:szCs w:val="24"/>
        </w:rPr>
        <w:t>5</w:t>
      </w:r>
      <w:r>
        <w:rPr>
          <w:rFonts w:eastAsia="Times New Roman" w:cs="Times New Roman"/>
          <w:szCs w:val="24"/>
        </w:rPr>
        <w:t xml:space="preserve">) for </w:t>
      </w:r>
      <m:oMath>
        <m:r>
          <w:rPr>
            <w:rFonts w:ascii="Cambria Math" w:hAnsi="Cambria Math" w:cs="Times New Roman"/>
            <w:szCs w:val="24"/>
          </w:rPr>
          <m:t>x</m:t>
        </m:r>
      </m:oMath>
      <w:r>
        <w:rPr>
          <w:rFonts w:eastAsia="Times New Roman" w:cs="Times New Roman"/>
          <w:szCs w:val="24"/>
        </w:rPr>
        <w:t xml:space="preserve">, </w:t>
      </w:r>
      <w:r w:rsidR="0094525A">
        <w:rPr>
          <w:rFonts w:eastAsia="Times New Roman" w:cs="Times New Roman"/>
          <w:szCs w:val="24"/>
        </w:rPr>
        <w:t xml:space="preserve">results in a seat belt usage rate of </w:t>
      </w:r>
      <w:r w:rsidR="00E92A58">
        <w:rPr>
          <w:rFonts w:eastAsia="Times New Roman" w:cs="Times New Roman"/>
          <w:szCs w:val="24"/>
        </w:rPr>
        <w:t>0.42 for those who report sometimes using seat belts.</w:t>
      </w:r>
    </w:p>
    <w:p w14:paraId="1C4EA5D1" w14:textId="47B025C3" w:rsidR="00A2399A" w:rsidRDefault="000F5B51" w:rsidP="00A2399A">
      <w:pPr>
        <w:pStyle w:val="Caption"/>
        <w:rPr>
          <w:rFonts w:cs="Times New Roman"/>
          <w:szCs w:val="24"/>
        </w:rPr>
      </w:pPr>
      <w:r>
        <w:t xml:space="preserve">Table </w:t>
      </w:r>
      <w:r w:rsidR="00115BAB">
        <w:fldChar w:fldCharType="begin"/>
      </w:r>
      <w:r>
        <w:instrText xml:space="preserve"> SEQ Table \* ARABIC </w:instrText>
      </w:r>
      <w:r w:rsidR="00115BAB">
        <w:fldChar w:fldCharType="separate"/>
      </w:r>
      <w:r w:rsidR="00A65CB3">
        <w:rPr>
          <w:noProof/>
        </w:rPr>
        <w:t>36</w:t>
      </w:r>
      <w:r w:rsidR="00115BAB">
        <w:rPr>
          <w:noProof/>
        </w:rPr>
        <w:fldChar w:fldCharType="end"/>
      </w:r>
      <w:r>
        <w:t xml:space="preserve">: </w:t>
      </w:r>
      <w:r w:rsidR="00E92A58">
        <w:t xml:space="preserve">Seat Belt Usage by </w:t>
      </w:r>
      <w:r w:rsidR="004E5BA3">
        <w:t>those who Always, Sometimes</w:t>
      </w:r>
      <w:r w:rsidR="00060948">
        <w:t>,</w:t>
      </w:r>
      <w:r w:rsidR="004E5BA3">
        <w:t xml:space="preserve"> and Never Use Seat Belts</w:t>
      </w:r>
    </w:p>
    <w:tbl>
      <w:tblPr>
        <w:tblStyle w:val="TableGrid"/>
        <w:tblW w:w="0" w:type="auto"/>
        <w:jc w:val="center"/>
        <w:tblLook w:val="04A0" w:firstRow="1" w:lastRow="0" w:firstColumn="1" w:lastColumn="0" w:noHBand="0" w:noVBand="1"/>
      </w:tblPr>
      <w:tblGrid>
        <w:gridCol w:w="2965"/>
        <w:gridCol w:w="1800"/>
        <w:gridCol w:w="1530"/>
        <w:gridCol w:w="1440"/>
      </w:tblGrid>
      <w:tr w:rsidR="00A15C2C" w14:paraId="454687BF" w14:textId="77777777" w:rsidTr="0055589E">
        <w:trPr>
          <w:jc w:val="center"/>
        </w:trPr>
        <w:tc>
          <w:tcPr>
            <w:tcW w:w="2965" w:type="dxa"/>
            <w:vMerge w:val="restart"/>
            <w:shd w:val="clear" w:color="auto" w:fill="D9D9D9" w:themeFill="background1" w:themeFillShade="D9"/>
          </w:tcPr>
          <w:p w14:paraId="103BFB33" w14:textId="77777777" w:rsidR="00A2399A" w:rsidRPr="006A00B6" w:rsidRDefault="000F5B51" w:rsidP="004B7E4C">
            <w:pPr>
              <w:spacing w:line="240" w:lineRule="auto"/>
              <w:contextualSpacing/>
              <w:rPr>
                <w:b/>
                <w:bCs/>
                <w:szCs w:val="24"/>
              </w:rPr>
            </w:pPr>
            <w:r w:rsidRPr="006A00B6">
              <w:rPr>
                <w:b/>
                <w:bCs/>
                <w:szCs w:val="24"/>
              </w:rPr>
              <w:t>Seat belt user</w:t>
            </w:r>
          </w:p>
        </w:tc>
        <w:tc>
          <w:tcPr>
            <w:tcW w:w="4770" w:type="dxa"/>
            <w:gridSpan w:val="3"/>
            <w:shd w:val="clear" w:color="auto" w:fill="D9D9D9" w:themeFill="background1" w:themeFillShade="D9"/>
            <w:vAlign w:val="center"/>
          </w:tcPr>
          <w:p w14:paraId="682096D0" w14:textId="77777777" w:rsidR="00A2399A" w:rsidRPr="006A00B6" w:rsidRDefault="000F5B51">
            <w:pPr>
              <w:spacing w:line="240" w:lineRule="auto"/>
              <w:contextualSpacing/>
              <w:jc w:val="center"/>
              <w:rPr>
                <w:b/>
                <w:bCs/>
                <w:szCs w:val="24"/>
              </w:rPr>
            </w:pPr>
            <w:r w:rsidRPr="006A00B6">
              <w:rPr>
                <w:b/>
                <w:bCs/>
                <w:szCs w:val="24"/>
              </w:rPr>
              <w:t>Parameters used for the calculation</w:t>
            </w:r>
          </w:p>
        </w:tc>
      </w:tr>
      <w:tr w:rsidR="00A15C2C" w14:paraId="265067F0" w14:textId="77777777" w:rsidTr="0055589E">
        <w:trPr>
          <w:jc w:val="center"/>
        </w:trPr>
        <w:tc>
          <w:tcPr>
            <w:tcW w:w="2965" w:type="dxa"/>
            <w:vMerge/>
            <w:shd w:val="clear" w:color="auto" w:fill="D9D9D9" w:themeFill="background1" w:themeFillShade="D9"/>
          </w:tcPr>
          <w:p w14:paraId="3DD29097" w14:textId="77777777" w:rsidR="00A2399A" w:rsidRPr="006A00B6" w:rsidRDefault="00A2399A" w:rsidP="004B7E4C">
            <w:pPr>
              <w:spacing w:line="240" w:lineRule="auto"/>
              <w:contextualSpacing/>
              <w:rPr>
                <w:b/>
                <w:bCs/>
                <w:szCs w:val="24"/>
              </w:rPr>
            </w:pPr>
          </w:p>
        </w:tc>
        <w:tc>
          <w:tcPr>
            <w:tcW w:w="1800" w:type="dxa"/>
            <w:shd w:val="clear" w:color="auto" w:fill="D9D9D9" w:themeFill="background1" w:themeFillShade="D9"/>
            <w:vAlign w:val="center"/>
          </w:tcPr>
          <w:p w14:paraId="5201C167" w14:textId="77777777" w:rsidR="00A2399A" w:rsidRPr="006A00B6" w:rsidRDefault="000F5B51" w:rsidP="0055589E">
            <w:pPr>
              <w:spacing w:line="240" w:lineRule="auto"/>
              <w:contextualSpacing/>
              <w:jc w:val="center"/>
              <w:rPr>
                <w:b/>
                <w:bCs/>
                <w:szCs w:val="24"/>
              </w:rPr>
            </w:pPr>
            <w:r>
              <w:rPr>
                <w:b/>
                <w:bCs/>
                <w:szCs w:val="24"/>
              </w:rPr>
              <w:t xml:space="preserve">Percent </w:t>
            </w:r>
            <w:r w:rsidRPr="006A00B6">
              <w:rPr>
                <w:b/>
                <w:bCs/>
                <w:szCs w:val="24"/>
              </w:rPr>
              <w:t>of total</w:t>
            </w:r>
          </w:p>
        </w:tc>
        <w:tc>
          <w:tcPr>
            <w:tcW w:w="1530" w:type="dxa"/>
            <w:shd w:val="clear" w:color="auto" w:fill="D9D9D9" w:themeFill="background1" w:themeFillShade="D9"/>
            <w:vAlign w:val="center"/>
          </w:tcPr>
          <w:p w14:paraId="28657060" w14:textId="77777777" w:rsidR="00A2399A" w:rsidRPr="006A00B6" w:rsidRDefault="000F5B51" w:rsidP="0055589E">
            <w:pPr>
              <w:spacing w:line="240" w:lineRule="auto"/>
              <w:contextualSpacing/>
              <w:jc w:val="center"/>
              <w:rPr>
                <w:b/>
                <w:bCs/>
                <w:szCs w:val="24"/>
              </w:rPr>
            </w:pPr>
            <w:r w:rsidRPr="006A00B6">
              <w:rPr>
                <w:b/>
                <w:bCs/>
                <w:szCs w:val="24"/>
              </w:rPr>
              <w:t>Belt use rate</w:t>
            </w:r>
          </w:p>
        </w:tc>
        <w:tc>
          <w:tcPr>
            <w:tcW w:w="1440" w:type="dxa"/>
            <w:shd w:val="clear" w:color="auto" w:fill="D9D9D9" w:themeFill="background1" w:themeFillShade="D9"/>
            <w:vAlign w:val="center"/>
          </w:tcPr>
          <w:p w14:paraId="5694D230" w14:textId="77777777" w:rsidR="00A2399A" w:rsidRPr="006A00B6" w:rsidRDefault="000F5B51" w:rsidP="0055589E">
            <w:pPr>
              <w:spacing w:line="240" w:lineRule="auto"/>
              <w:contextualSpacing/>
              <w:jc w:val="center"/>
              <w:rPr>
                <w:b/>
                <w:bCs/>
                <w:szCs w:val="24"/>
              </w:rPr>
            </w:pPr>
            <w:r w:rsidRPr="006A00B6">
              <w:rPr>
                <w:b/>
                <w:bCs/>
                <w:szCs w:val="24"/>
              </w:rPr>
              <w:t xml:space="preserve">Overall </w:t>
            </w:r>
            <w:r w:rsidR="004E5BA3">
              <w:rPr>
                <w:b/>
                <w:bCs/>
                <w:szCs w:val="24"/>
              </w:rPr>
              <w:t>Use Rate</w:t>
            </w:r>
          </w:p>
        </w:tc>
      </w:tr>
      <w:tr w:rsidR="00A15C2C" w14:paraId="19A3D318" w14:textId="77777777" w:rsidTr="0055589E">
        <w:trPr>
          <w:jc w:val="center"/>
        </w:trPr>
        <w:tc>
          <w:tcPr>
            <w:tcW w:w="2965" w:type="dxa"/>
          </w:tcPr>
          <w:p w14:paraId="75B01642" w14:textId="77777777" w:rsidR="00A2399A" w:rsidRDefault="000F5B51" w:rsidP="004B7E4C">
            <w:pPr>
              <w:spacing w:line="240" w:lineRule="auto"/>
              <w:contextualSpacing/>
              <w:rPr>
                <w:szCs w:val="24"/>
              </w:rPr>
            </w:pPr>
            <w:r>
              <w:rPr>
                <w:szCs w:val="24"/>
              </w:rPr>
              <w:t>Always</w:t>
            </w:r>
          </w:p>
        </w:tc>
        <w:tc>
          <w:tcPr>
            <w:tcW w:w="1800" w:type="dxa"/>
            <w:vAlign w:val="center"/>
          </w:tcPr>
          <w:p w14:paraId="7F52EB64" w14:textId="77777777" w:rsidR="00A2399A" w:rsidRDefault="000F5B51">
            <w:pPr>
              <w:spacing w:line="240" w:lineRule="auto"/>
              <w:contextualSpacing/>
              <w:jc w:val="center"/>
              <w:rPr>
                <w:szCs w:val="24"/>
              </w:rPr>
            </w:pPr>
            <w:r>
              <w:rPr>
                <w:szCs w:val="24"/>
              </w:rPr>
              <w:t>87.7%</w:t>
            </w:r>
          </w:p>
        </w:tc>
        <w:tc>
          <w:tcPr>
            <w:tcW w:w="1530" w:type="dxa"/>
            <w:vAlign w:val="center"/>
          </w:tcPr>
          <w:p w14:paraId="2B1D60A1" w14:textId="77777777" w:rsidR="00A2399A" w:rsidRDefault="000F5B51">
            <w:pPr>
              <w:spacing w:line="240" w:lineRule="auto"/>
              <w:contextualSpacing/>
              <w:jc w:val="center"/>
              <w:rPr>
                <w:szCs w:val="24"/>
              </w:rPr>
            </w:pPr>
            <w:r>
              <w:rPr>
                <w:szCs w:val="24"/>
              </w:rPr>
              <w:t>100%</w:t>
            </w:r>
          </w:p>
        </w:tc>
        <w:tc>
          <w:tcPr>
            <w:tcW w:w="1440" w:type="dxa"/>
            <w:vAlign w:val="center"/>
          </w:tcPr>
          <w:p w14:paraId="2110B95C" w14:textId="77777777" w:rsidR="00A2399A" w:rsidRDefault="000F5B51">
            <w:pPr>
              <w:spacing w:line="240" w:lineRule="auto"/>
              <w:contextualSpacing/>
              <w:jc w:val="center"/>
              <w:rPr>
                <w:szCs w:val="24"/>
              </w:rPr>
            </w:pPr>
            <w:r>
              <w:rPr>
                <w:szCs w:val="24"/>
              </w:rPr>
              <w:t>87.7</w:t>
            </w:r>
            <w:r w:rsidR="004E5BA3">
              <w:rPr>
                <w:szCs w:val="24"/>
              </w:rPr>
              <w:t>%</w:t>
            </w:r>
          </w:p>
        </w:tc>
      </w:tr>
      <w:tr w:rsidR="00A15C2C" w14:paraId="69D6567C" w14:textId="77777777" w:rsidTr="0055589E">
        <w:trPr>
          <w:jc w:val="center"/>
        </w:trPr>
        <w:tc>
          <w:tcPr>
            <w:tcW w:w="2965" w:type="dxa"/>
            <w:tcBorders>
              <w:bottom w:val="single" w:sz="4" w:space="0" w:color="auto"/>
            </w:tcBorders>
          </w:tcPr>
          <w:p w14:paraId="3CE5FCF0" w14:textId="77777777" w:rsidR="00A2399A" w:rsidRDefault="000F5B51" w:rsidP="004B7E4C">
            <w:pPr>
              <w:spacing w:line="240" w:lineRule="auto"/>
              <w:contextualSpacing/>
              <w:rPr>
                <w:szCs w:val="24"/>
              </w:rPr>
            </w:pPr>
            <w:r>
              <w:rPr>
                <w:szCs w:val="24"/>
              </w:rPr>
              <w:t>Sometimes</w:t>
            </w:r>
          </w:p>
        </w:tc>
        <w:tc>
          <w:tcPr>
            <w:tcW w:w="1800" w:type="dxa"/>
            <w:tcBorders>
              <w:bottom w:val="single" w:sz="4" w:space="0" w:color="auto"/>
            </w:tcBorders>
            <w:vAlign w:val="center"/>
          </w:tcPr>
          <w:p w14:paraId="5E254606" w14:textId="77777777" w:rsidR="00A2399A" w:rsidRDefault="000F5B51">
            <w:pPr>
              <w:spacing w:line="240" w:lineRule="auto"/>
              <w:contextualSpacing/>
              <w:jc w:val="center"/>
              <w:rPr>
                <w:szCs w:val="24"/>
              </w:rPr>
            </w:pPr>
            <w:r>
              <w:rPr>
                <w:szCs w:val="24"/>
              </w:rPr>
              <w:t>6.9%</w:t>
            </w:r>
          </w:p>
        </w:tc>
        <w:tc>
          <w:tcPr>
            <w:tcW w:w="1530" w:type="dxa"/>
            <w:vAlign w:val="center"/>
          </w:tcPr>
          <w:p w14:paraId="56FC2EEB" w14:textId="77777777" w:rsidR="00A2399A" w:rsidRDefault="000F5B51">
            <w:pPr>
              <w:spacing w:line="240" w:lineRule="auto"/>
              <w:contextualSpacing/>
              <w:jc w:val="center"/>
              <w:rPr>
                <w:szCs w:val="24"/>
              </w:rPr>
            </w:pPr>
            <w:r>
              <w:rPr>
                <w:szCs w:val="24"/>
              </w:rPr>
              <w:t>42%</w:t>
            </w:r>
          </w:p>
        </w:tc>
        <w:tc>
          <w:tcPr>
            <w:tcW w:w="1440" w:type="dxa"/>
            <w:vAlign w:val="center"/>
          </w:tcPr>
          <w:p w14:paraId="23A0C5F0" w14:textId="77777777" w:rsidR="00A2399A" w:rsidRDefault="000F5B51">
            <w:pPr>
              <w:spacing w:line="240" w:lineRule="auto"/>
              <w:contextualSpacing/>
              <w:jc w:val="center"/>
              <w:rPr>
                <w:szCs w:val="24"/>
              </w:rPr>
            </w:pPr>
            <w:r>
              <w:rPr>
                <w:szCs w:val="24"/>
              </w:rPr>
              <w:t>2.9%</w:t>
            </w:r>
          </w:p>
        </w:tc>
      </w:tr>
      <w:tr w:rsidR="00A15C2C" w14:paraId="230F99E5" w14:textId="77777777" w:rsidTr="0055589E">
        <w:trPr>
          <w:jc w:val="center"/>
        </w:trPr>
        <w:tc>
          <w:tcPr>
            <w:tcW w:w="2965" w:type="dxa"/>
            <w:tcBorders>
              <w:bottom w:val="single" w:sz="4" w:space="0" w:color="auto"/>
            </w:tcBorders>
          </w:tcPr>
          <w:p w14:paraId="5EC0CC21" w14:textId="77777777" w:rsidR="00BD54BF" w:rsidRDefault="000F5B51" w:rsidP="004B7E4C">
            <w:pPr>
              <w:spacing w:line="240" w:lineRule="auto"/>
              <w:contextualSpacing/>
              <w:rPr>
                <w:szCs w:val="24"/>
              </w:rPr>
            </w:pPr>
            <w:r>
              <w:rPr>
                <w:szCs w:val="24"/>
              </w:rPr>
              <w:t>Never</w:t>
            </w:r>
          </w:p>
        </w:tc>
        <w:tc>
          <w:tcPr>
            <w:tcW w:w="1800" w:type="dxa"/>
            <w:tcBorders>
              <w:bottom w:val="single" w:sz="4" w:space="0" w:color="auto"/>
            </w:tcBorders>
            <w:vAlign w:val="center"/>
          </w:tcPr>
          <w:p w14:paraId="2563FC36" w14:textId="77777777" w:rsidR="00BD54BF" w:rsidRDefault="000F5B51">
            <w:pPr>
              <w:spacing w:line="240" w:lineRule="auto"/>
              <w:contextualSpacing/>
              <w:jc w:val="center"/>
              <w:rPr>
                <w:szCs w:val="24"/>
              </w:rPr>
            </w:pPr>
            <w:r>
              <w:rPr>
                <w:szCs w:val="24"/>
              </w:rPr>
              <w:t>5.4</w:t>
            </w:r>
            <w:r w:rsidR="004E5BA3">
              <w:rPr>
                <w:szCs w:val="24"/>
              </w:rPr>
              <w:t>%</w:t>
            </w:r>
          </w:p>
        </w:tc>
        <w:tc>
          <w:tcPr>
            <w:tcW w:w="1530" w:type="dxa"/>
            <w:vAlign w:val="center"/>
          </w:tcPr>
          <w:p w14:paraId="07CF5E84" w14:textId="77777777" w:rsidR="00BD54BF" w:rsidRDefault="000F5B51">
            <w:pPr>
              <w:spacing w:line="240" w:lineRule="auto"/>
              <w:contextualSpacing/>
              <w:jc w:val="center"/>
              <w:rPr>
                <w:szCs w:val="24"/>
              </w:rPr>
            </w:pPr>
            <w:r>
              <w:rPr>
                <w:szCs w:val="24"/>
              </w:rPr>
              <w:t>0%</w:t>
            </w:r>
          </w:p>
        </w:tc>
        <w:tc>
          <w:tcPr>
            <w:tcW w:w="1440" w:type="dxa"/>
            <w:vAlign w:val="center"/>
          </w:tcPr>
          <w:p w14:paraId="39699897" w14:textId="77777777" w:rsidR="00BD54BF" w:rsidRDefault="000F5B51">
            <w:pPr>
              <w:spacing w:line="240" w:lineRule="auto"/>
              <w:contextualSpacing/>
              <w:jc w:val="center"/>
              <w:rPr>
                <w:szCs w:val="24"/>
              </w:rPr>
            </w:pPr>
            <w:r>
              <w:rPr>
                <w:szCs w:val="24"/>
              </w:rPr>
              <w:t>0</w:t>
            </w:r>
            <w:r w:rsidR="004E5BA3">
              <w:rPr>
                <w:szCs w:val="24"/>
              </w:rPr>
              <w:t>%</w:t>
            </w:r>
          </w:p>
        </w:tc>
      </w:tr>
      <w:tr w:rsidR="00A15C2C" w14:paraId="64E299C3" w14:textId="77777777" w:rsidTr="0055589E">
        <w:trPr>
          <w:jc w:val="center"/>
        </w:trPr>
        <w:tc>
          <w:tcPr>
            <w:tcW w:w="2965" w:type="dxa"/>
            <w:tcBorders>
              <w:right w:val="nil"/>
            </w:tcBorders>
            <w:vAlign w:val="center"/>
          </w:tcPr>
          <w:p w14:paraId="288FB325" w14:textId="77777777" w:rsidR="00A2399A" w:rsidRDefault="000F5B51" w:rsidP="004B7E4C">
            <w:pPr>
              <w:spacing w:line="240" w:lineRule="auto"/>
              <w:contextualSpacing/>
              <w:rPr>
                <w:szCs w:val="24"/>
              </w:rPr>
            </w:pPr>
            <w:r>
              <w:rPr>
                <w:szCs w:val="24"/>
              </w:rPr>
              <w:t>Observed belt use, drivers</w:t>
            </w:r>
          </w:p>
        </w:tc>
        <w:tc>
          <w:tcPr>
            <w:tcW w:w="1800" w:type="dxa"/>
            <w:tcBorders>
              <w:left w:val="nil"/>
              <w:right w:val="nil"/>
            </w:tcBorders>
          </w:tcPr>
          <w:p w14:paraId="2BD85AD3" w14:textId="77777777" w:rsidR="00A2399A" w:rsidRDefault="00A2399A" w:rsidP="004B7E4C">
            <w:pPr>
              <w:spacing w:line="240" w:lineRule="auto"/>
              <w:contextualSpacing/>
              <w:jc w:val="center"/>
              <w:rPr>
                <w:szCs w:val="24"/>
              </w:rPr>
            </w:pPr>
          </w:p>
        </w:tc>
        <w:tc>
          <w:tcPr>
            <w:tcW w:w="1530" w:type="dxa"/>
            <w:tcBorders>
              <w:left w:val="nil"/>
            </w:tcBorders>
          </w:tcPr>
          <w:p w14:paraId="262115F7" w14:textId="77777777" w:rsidR="00A2399A" w:rsidRDefault="00A2399A" w:rsidP="004B7E4C">
            <w:pPr>
              <w:spacing w:line="240" w:lineRule="auto"/>
              <w:contextualSpacing/>
              <w:jc w:val="center"/>
              <w:rPr>
                <w:szCs w:val="24"/>
              </w:rPr>
            </w:pPr>
          </w:p>
        </w:tc>
        <w:tc>
          <w:tcPr>
            <w:tcW w:w="1440" w:type="dxa"/>
          </w:tcPr>
          <w:p w14:paraId="5E5458E1" w14:textId="77777777" w:rsidR="00A2399A" w:rsidRDefault="000F5B51" w:rsidP="004B7E4C">
            <w:pPr>
              <w:spacing w:line="240" w:lineRule="auto"/>
              <w:contextualSpacing/>
              <w:jc w:val="center"/>
              <w:rPr>
                <w:szCs w:val="24"/>
              </w:rPr>
            </w:pPr>
            <w:r>
              <w:rPr>
                <w:szCs w:val="24"/>
              </w:rPr>
              <w:t>90.6</w:t>
            </w:r>
            <w:r w:rsidR="0033592B">
              <w:rPr>
                <w:szCs w:val="24"/>
              </w:rPr>
              <w:t>%</w:t>
            </w:r>
          </w:p>
        </w:tc>
      </w:tr>
    </w:tbl>
    <w:p w14:paraId="6431A880" w14:textId="77777777" w:rsidR="00D379AD" w:rsidRDefault="00D379AD" w:rsidP="00D379AD">
      <w:pPr>
        <w:pStyle w:val="NoSpaceTimes"/>
        <w:jc w:val="left"/>
      </w:pPr>
    </w:p>
    <w:p w14:paraId="601A2E75" w14:textId="274FD694" w:rsidR="00D379AD" w:rsidRDefault="000F5B51" w:rsidP="0055589E">
      <w:pPr>
        <w:spacing w:after="0"/>
        <w:contextualSpacing/>
      </w:pPr>
      <w:r>
        <w:rPr>
          <w:rFonts w:cs="Times New Roman"/>
          <w:szCs w:val="24"/>
        </w:rPr>
        <w:t xml:space="preserve">We note that the analysis of </w:t>
      </w:r>
      <w:r w:rsidRPr="0055589E">
        <w:rPr>
          <w:rFonts w:cs="Times New Roman"/>
          <w:szCs w:val="24"/>
        </w:rPr>
        <w:t>part-time belt users</w:t>
      </w:r>
      <w:r>
        <w:rPr>
          <w:rFonts w:cs="Times New Roman"/>
          <w:szCs w:val="24"/>
        </w:rPr>
        <w:t xml:space="preserve"> by Chu </w:t>
      </w:r>
      <w:r w:rsidR="00ED39F1">
        <w:rPr>
          <w:rFonts w:cs="Times New Roman"/>
          <w:szCs w:val="24"/>
        </w:rPr>
        <w:t xml:space="preserve">(2002) </w:t>
      </w:r>
      <w:r>
        <w:rPr>
          <w:rFonts w:cs="Times New Roman"/>
          <w:szCs w:val="24"/>
        </w:rPr>
        <w:t xml:space="preserve">was </w:t>
      </w:r>
      <w:r w:rsidRPr="00A455E9">
        <w:rPr>
          <w:rFonts w:cs="Times New Roman"/>
          <w:szCs w:val="24"/>
        </w:rPr>
        <w:t xml:space="preserve">based on </w:t>
      </w:r>
      <w:r w:rsidRPr="000E5B4B">
        <w:rPr>
          <w:rFonts w:cs="Times New Roman"/>
          <w:szCs w:val="24"/>
        </w:rPr>
        <w:t xml:space="preserve">the 2002 </w:t>
      </w:r>
      <w:r w:rsidRPr="00A455E9">
        <w:rPr>
          <w:rFonts w:cs="Times New Roman"/>
          <w:szCs w:val="24"/>
        </w:rPr>
        <w:t>MEPS-HC</w:t>
      </w:r>
      <w:r w:rsidR="001F2F92">
        <w:rPr>
          <w:rFonts w:cs="Times New Roman"/>
          <w:szCs w:val="24"/>
        </w:rPr>
        <w:t xml:space="preserve">. </w:t>
      </w:r>
      <w:r>
        <w:rPr>
          <w:rFonts w:cs="Times New Roman"/>
          <w:szCs w:val="24"/>
        </w:rPr>
        <w:t>Although it is based on a relatively old survey, the belt use percentages which consist of both “</w:t>
      </w:r>
      <w:r w:rsidRPr="00F97C8D">
        <w:rPr>
          <w:rFonts w:cs="Times New Roman"/>
          <w:szCs w:val="24"/>
        </w:rPr>
        <w:t>always or nearly always using seat belts</w:t>
      </w:r>
      <w:r>
        <w:rPr>
          <w:rFonts w:cs="Times New Roman"/>
          <w:szCs w:val="24"/>
        </w:rPr>
        <w:t>” and “</w:t>
      </w:r>
      <w:r w:rsidRPr="00F97C8D">
        <w:rPr>
          <w:rFonts w:cs="Times New Roman"/>
          <w:szCs w:val="24"/>
        </w:rPr>
        <w:t>sometimes using seat belts</w:t>
      </w:r>
      <w:r>
        <w:rPr>
          <w:rFonts w:cs="Times New Roman"/>
          <w:szCs w:val="24"/>
        </w:rPr>
        <w:t>” would be similar to the observed belt use in 2021, an observed belt use of 90.6</w:t>
      </w:r>
      <w:r w:rsidR="00D2705B">
        <w:rPr>
          <w:rFonts w:cs="Times New Roman"/>
          <w:szCs w:val="24"/>
        </w:rPr>
        <w:t xml:space="preserve"> percent</w:t>
      </w:r>
      <w:r w:rsidR="001F2F92">
        <w:rPr>
          <w:rFonts w:cs="Times New Roman"/>
          <w:szCs w:val="24"/>
        </w:rPr>
        <w:t xml:space="preserve">. </w:t>
      </w:r>
      <w:r>
        <w:rPr>
          <w:rFonts w:cs="Times New Roman"/>
          <w:szCs w:val="24"/>
        </w:rPr>
        <w:t xml:space="preserve">Thus, we believe it would be reasonable to assume the ratio or more importantly relative amount of the usage remains the same </w:t>
      </w:r>
      <w:r w:rsidR="00615CC5">
        <w:rPr>
          <w:rFonts w:cs="Times New Roman"/>
          <w:szCs w:val="24"/>
        </w:rPr>
        <w:t>under</w:t>
      </w:r>
      <w:r>
        <w:rPr>
          <w:rFonts w:cs="Times New Roman"/>
          <w:szCs w:val="24"/>
        </w:rPr>
        <w:t xml:space="preserve"> the baseline</w:t>
      </w:r>
      <w:r w:rsidR="00237B10">
        <w:rPr>
          <w:rFonts w:cs="Times New Roman"/>
          <w:szCs w:val="24"/>
        </w:rPr>
        <w:t>.</w:t>
      </w:r>
      <w:r>
        <w:rPr>
          <w:rFonts w:cs="Times New Roman"/>
          <w:szCs w:val="24"/>
        </w:rPr>
        <w:t xml:space="preserve"> </w:t>
      </w:r>
      <w:r w:rsidR="004B7DFC">
        <w:rPr>
          <w:rFonts w:cs="Times New Roman"/>
          <w:szCs w:val="24"/>
        </w:rPr>
        <w:t xml:space="preserve">We request comment on </w:t>
      </w:r>
      <w:r w:rsidR="00D14033">
        <w:rPr>
          <w:rFonts w:cs="Times New Roman"/>
          <w:szCs w:val="24"/>
        </w:rPr>
        <w:t>these estimates</w:t>
      </w:r>
      <w:r w:rsidR="004B7DFC">
        <w:rPr>
          <w:rFonts w:cs="Times New Roman"/>
          <w:szCs w:val="24"/>
        </w:rPr>
        <w:t>.</w:t>
      </w:r>
    </w:p>
    <w:p w14:paraId="67753749" w14:textId="77777777" w:rsidR="00CF70D6" w:rsidRDefault="000F5B51" w:rsidP="0055589E">
      <w:pPr>
        <w:pStyle w:val="Heading3"/>
        <w:spacing w:line="240" w:lineRule="auto"/>
      </w:pPr>
      <w:bookmarkStart w:id="206" w:name="_Toc126127997"/>
      <w:bookmarkStart w:id="207" w:name="_Toc126128379"/>
      <w:bookmarkStart w:id="208" w:name="_Toc126588320"/>
      <w:bookmarkStart w:id="209" w:name="_Toc126909812"/>
      <w:bookmarkStart w:id="210" w:name="_Toc127263552"/>
      <w:bookmarkStart w:id="211" w:name="_Toc142902980"/>
      <w:bookmarkEnd w:id="206"/>
      <w:bookmarkEnd w:id="207"/>
      <w:bookmarkEnd w:id="208"/>
      <w:bookmarkEnd w:id="209"/>
      <w:bookmarkEnd w:id="210"/>
      <w:r>
        <w:t>Impact on Seat Belt Use</w:t>
      </w:r>
      <w:bookmarkEnd w:id="211"/>
    </w:p>
    <w:p w14:paraId="16D6E43B" w14:textId="77777777" w:rsidR="004E00F8" w:rsidRPr="00DE073E" w:rsidRDefault="000F5B51" w:rsidP="004E00F8">
      <w:r>
        <w:t xml:space="preserve">This subsection discusses the impact of </w:t>
      </w:r>
      <w:r w:rsidR="001B1CA7">
        <w:t xml:space="preserve">an </w:t>
      </w:r>
      <w:r w:rsidR="00077A48">
        <w:t>indefinite warning SBWS on seat belt use for front seat occupants</w:t>
      </w:r>
      <w:r w:rsidR="00FC7A38">
        <w:t xml:space="preserve">. </w:t>
      </w:r>
      <w:r w:rsidR="0007439D" w:rsidRPr="00A8282B">
        <w:t xml:space="preserve">The proposed rule requires all applicable vehicles </w:t>
      </w:r>
      <w:r w:rsidR="004F0500">
        <w:t>be</w:t>
      </w:r>
      <w:r w:rsidR="0007439D" w:rsidRPr="00A8282B">
        <w:t xml:space="preserve"> equipped with a seat belt warning system with an indefinite warning period for </w:t>
      </w:r>
      <w:r w:rsidR="004A48BC">
        <w:t xml:space="preserve">the right </w:t>
      </w:r>
      <w:r w:rsidR="0007439D" w:rsidRPr="00A8282B">
        <w:t>fro</w:t>
      </w:r>
      <w:r w:rsidR="00000371">
        <w:t>nt</w:t>
      </w:r>
      <w:r w:rsidR="00332D9B">
        <w:t xml:space="preserve"> outboard</w:t>
      </w:r>
      <w:r w:rsidR="0007439D" w:rsidRPr="00A8282B">
        <w:t xml:space="preserve"> </w:t>
      </w:r>
      <w:r w:rsidR="00A6264E">
        <w:t>passenger</w:t>
      </w:r>
      <w:r w:rsidR="0007439D" w:rsidRPr="00A8282B">
        <w:t xml:space="preserve">s </w:t>
      </w:r>
      <w:r w:rsidR="00C74878">
        <w:t>and</w:t>
      </w:r>
      <w:r w:rsidR="0007439D" w:rsidRPr="00A8282B">
        <w:t xml:space="preserve"> drivers</w:t>
      </w:r>
      <w:r w:rsidR="001F2F92">
        <w:t xml:space="preserve">. </w:t>
      </w:r>
      <w:r w:rsidR="00972493">
        <w:t>Th</w:t>
      </w:r>
      <w:r w:rsidR="00730568">
        <w:t xml:space="preserve">is subsection </w:t>
      </w:r>
      <w:r>
        <w:t>discuss</w:t>
      </w:r>
      <w:r w:rsidR="00730568">
        <w:t>e</w:t>
      </w:r>
      <w:r w:rsidR="00C1379D">
        <w:t xml:space="preserve">s </w:t>
      </w:r>
      <w:r>
        <w:t xml:space="preserve">the impact of an indefinite warning </w:t>
      </w:r>
      <w:r w:rsidR="005464A6">
        <w:t>on the seat belt use rate o</w:t>
      </w:r>
      <w:r w:rsidR="00AD58A6">
        <w:t>n</w:t>
      </w:r>
      <w:r w:rsidR="00EF423B">
        <w:t xml:space="preserve"> drivers and</w:t>
      </w:r>
      <w:r w:rsidR="005464A6">
        <w:t xml:space="preserve"> right</w:t>
      </w:r>
      <w:r w:rsidR="00EF423B">
        <w:t xml:space="preserve"> front</w:t>
      </w:r>
      <w:r w:rsidR="005464A6">
        <w:t xml:space="preserve"> </w:t>
      </w:r>
      <w:r w:rsidR="005F38E4">
        <w:t xml:space="preserve">outboard </w:t>
      </w:r>
      <w:r w:rsidR="005464A6">
        <w:t xml:space="preserve">seat </w:t>
      </w:r>
      <w:r w:rsidR="00C24ECE">
        <w:t>passenger</w:t>
      </w:r>
      <w:r w:rsidR="00AD58A6">
        <w:t>s</w:t>
      </w:r>
      <w:r>
        <w:t>.</w:t>
      </w:r>
    </w:p>
    <w:p w14:paraId="4CFE76D0" w14:textId="7F24F4ED" w:rsidR="00A52577" w:rsidRDefault="000F5B51" w:rsidP="00165061">
      <w:pPr>
        <w:spacing w:after="0"/>
        <w:contextualSpacing/>
        <w:rPr>
          <w:rFonts w:cs="Times New Roman"/>
        </w:rPr>
      </w:pPr>
      <w:r w:rsidRPr="4CA445B8">
        <w:rPr>
          <w:rFonts w:cs="Times New Roman"/>
        </w:rPr>
        <w:t>For the effects of requiring a SBWS with an indefinite warning system, we analyzed a study conducted by the IIHS titled “The effects of persistent audible seat belt reminders and a speed-limiting interlock on the seat belt use of drivers who do not always use a seat belt</w:t>
      </w:r>
      <w:r w:rsidR="00A5138A">
        <w:rPr>
          <w:rFonts w:cs="Times New Roman"/>
        </w:rPr>
        <w:t>,</w:t>
      </w:r>
      <w:r w:rsidRPr="4CA445B8">
        <w:rPr>
          <w:rFonts w:cs="Times New Roman"/>
        </w:rPr>
        <w:t xml:space="preserve">” </w:t>
      </w:r>
      <w:r w:rsidR="00564B39" w:rsidRPr="4CA445B8">
        <w:rPr>
          <w:rFonts w:cs="Times New Roman"/>
        </w:rPr>
        <w:t xml:space="preserve">referred to as </w:t>
      </w:r>
      <w:r w:rsidR="00564B39" w:rsidRPr="4CA445B8">
        <w:rPr>
          <w:rFonts w:cs="Times New Roman"/>
        </w:rPr>
        <w:lastRenderedPageBreak/>
        <w:t>the</w:t>
      </w:r>
      <w:r w:rsidRPr="4CA445B8">
        <w:rPr>
          <w:rFonts w:cs="Times New Roman"/>
        </w:rPr>
        <w:t xml:space="preserve"> Kidd</w:t>
      </w:r>
      <w:r w:rsidR="00ED39F1">
        <w:rPr>
          <w:rFonts w:cs="Times New Roman"/>
        </w:rPr>
        <w:t xml:space="preserve"> (2019)</w:t>
      </w:r>
      <w:r w:rsidRPr="4CA445B8">
        <w:rPr>
          <w:rFonts w:cs="Times New Roman"/>
        </w:rPr>
        <w:t xml:space="preserve"> study in this document.</w:t>
      </w:r>
      <w:r>
        <w:rPr>
          <w:rStyle w:val="FootnoteReference"/>
          <w:rFonts w:cs="Times New Roman"/>
        </w:rPr>
        <w:footnoteReference w:id="56"/>
      </w:r>
      <w:r w:rsidRPr="4CA445B8">
        <w:rPr>
          <w:rFonts w:cs="Times New Roman"/>
        </w:rPr>
        <w:t xml:space="preserve"> </w:t>
      </w:r>
      <w:r w:rsidR="00B33F50">
        <w:rPr>
          <w:rFonts w:cs="Times New Roman"/>
        </w:rPr>
        <w:t xml:space="preserve"> </w:t>
      </w:r>
      <w:r w:rsidR="00430216" w:rsidRPr="4CA445B8">
        <w:rPr>
          <w:rFonts w:cs="Times New Roman"/>
        </w:rPr>
        <w:t>The report included part</w:t>
      </w:r>
      <w:r w:rsidR="00C10A04" w:rsidRPr="4CA445B8">
        <w:rPr>
          <w:rFonts w:cs="Times New Roman"/>
        </w:rPr>
        <w:t>-time seat belt users who had a recent seat belt citation and reported not always using a seat belt</w:t>
      </w:r>
      <w:r w:rsidR="001F2F92">
        <w:rPr>
          <w:rFonts w:cs="Times New Roman"/>
        </w:rPr>
        <w:t xml:space="preserve">. </w:t>
      </w:r>
      <w:r w:rsidRPr="4CA445B8">
        <w:rPr>
          <w:rFonts w:cs="Times New Roman"/>
        </w:rPr>
        <w:t xml:space="preserve">In the report, </w:t>
      </w:r>
      <w:r w:rsidR="00C10A04" w:rsidRPr="4CA445B8">
        <w:rPr>
          <w:rFonts w:cs="Times New Roman"/>
        </w:rPr>
        <w:t xml:space="preserve">those </w:t>
      </w:r>
      <w:r w:rsidRPr="4CA445B8">
        <w:rPr>
          <w:rFonts w:cs="Times New Roman"/>
        </w:rPr>
        <w:t>part-time belt users drove two vehicles for a certain period of time</w:t>
      </w:r>
      <w:r w:rsidR="001F2F92">
        <w:rPr>
          <w:rFonts w:cs="Times New Roman"/>
        </w:rPr>
        <w:t xml:space="preserve">. </w:t>
      </w:r>
      <w:r w:rsidR="0016546B" w:rsidRPr="4CA445B8">
        <w:rPr>
          <w:rFonts w:cs="Times New Roman"/>
        </w:rPr>
        <w:t xml:space="preserve">Each of the participants first drove </w:t>
      </w:r>
      <w:r w:rsidRPr="4CA445B8">
        <w:rPr>
          <w:rFonts w:cs="Times New Roman"/>
        </w:rPr>
        <w:t xml:space="preserve">a Chevrolet with intermittent </w:t>
      </w:r>
      <w:r w:rsidR="00FB26C4" w:rsidRPr="4CA445B8">
        <w:rPr>
          <w:rFonts w:cs="Times New Roman"/>
        </w:rPr>
        <w:t>seven</w:t>
      </w:r>
      <w:r w:rsidRPr="4CA445B8">
        <w:rPr>
          <w:rFonts w:cs="Times New Roman"/>
        </w:rPr>
        <w:t>-second audible reminders</w:t>
      </w:r>
      <w:r w:rsidR="001F2F92">
        <w:rPr>
          <w:rFonts w:cs="Times New Roman"/>
        </w:rPr>
        <w:t xml:space="preserve">. </w:t>
      </w:r>
      <w:r w:rsidR="0016546B" w:rsidRPr="4CA445B8">
        <w:rPr>
          <w:rFonts w:cs="Times New Roman"/>
        </w:rPr>
        <w:t xml:space="preserve">Then </w:t>
      </w:r>
      <w:r w:rsidR="009723B8" w:rsidRPr="4CA445B8">
        <w:rPr>
          <w:rFonts w:cs="Times New Roman"/>
        </w:rPr>
        <w:t>17 of the participants drove</w:t>
      </w:r>
      <w:r w:rsidRPr="4CA445B8">
        <w:rPr>
          <w:rFonts w:cs="Times New Roman"/>
        </w:rPr>
        <w:t xml:space="preserve"> a BMW with a </w:t>
      </w:r>
      <w:r w:rsidR="00523C20">
        <w:rPr>
          <w:rFonts w:cs="Times New Roman"/>
        </w:rPr>
        <w:t>100</w:t>
      </w:r>
      <w:r w:rsidRPr="4CA445B8">
        <w:rPr>
          <w:rFonts w:cs="Times New Roman"/>
        </w:rPr>
        <w:t xml:space="preserve">-second audible reminder </w:t>
      </w:r>
      <w:r w:rsidR="009723B8" w:rsidRPr="4CA445B8">
        <w:rPr>
          <w:rFonts w:cs="Times New Roman"/>
        </w:rPr>
        <w:t>and the other 16 participants drove</w:t>
      </w:r>
      <w:r w:rsidRPr="4CA445B8">
        <w:rPr>
          <w:rFonts w:cs="Times New Roman"/>
        </w:rPr>
        <w:t xml:space="preserve"> a Subaru with an indefinite audible reminder</w:t>
      </w:r>
      <w:r w:rsidR="001F2F92">
        <w:rPr>
          <w:rFonts w:cs="Times New Roman"/>
        </w:rPr>
        <w:t xml:space="preserve">. </w:t>
      </w:r>
      <w:r w:rsidR="009723B8" w:rsidRPr="4CA445B8">
        <w:rPr>
          <w:rFonts w:cs="Times New Roman"/>
        </w:rPr>
        <w:t xml:space="preserve">The study then noted the difference in seat belt use </w:t>
      </w:r>
      <w:r w:rsidR="00772898" w:rsidRPr="4CA445B8">
        <w:rPr>
          <w:rFonts w:cs="Times New Roman"/>
        </w:rPr>
        <w:t>between the first and second vehicle</w:t>
      </w:r>
      <w:r w:rsidR="00476D59" w:rsidRPr="4CA445B8">
        <w:rPr>
          <w:rFonts w:cs="Times New Roman"/>
        </w:rPr>
        <w:t xml:space="preserve"> for each driver</w:t>
      </w:r>
      <w:r w:rsidR="00772898" w:rsidRPr="4CA445B8">
        <w:rPr>
          <w:rFonts w:cs="Times New Roman"/>
        </w:rPr>
        <w:t>.</w:t>
      </w:r>
    </w:p>
    <w:p w14:paraId="5920D90F" w14:textId="2A51C50E" w:rsidR="004C5034" w:rsidRDefault="000F5B51" w:rsidP="00165061">
      <w:pPr>
        <w:spacing w:after="0"/>
        <w:contextualSpacing/>
        <w:rPr>
          <w:rFonts w:cs="Times New Roman"/>
        </w:rPr>
      </w:pPr>
      <w:r w:rsidRPr="4CA445B8">
        <w:rPr>
          <w:rFonts w:cs="Times New Roman"/>
        </w:rPr>
        <w:fldChar w:fldCharType="begin"/>
      </w:r>
      <w:r w:rsidRPr="4CA445B8">
        <w:rPr>
          <w:rFonts w:cs="Times New Roman"/>
        </w:rPr>
        <w:instrText xml:space="preserve"> REF _Ref127191734 \h </w:instrText>
      </w:r>
      <w:r w:rsidRPr="4CA445B8">
        <w:rPr>
          <w:rFonts w:cs="Times New Roman"/>
        </w:rPr>
      </w:r>
      <w:r w:rsidRPr="4CA445B8">
        <w:rPr>
          <w:rFonts w:cs="Times New Roman"/>
        </w:rPr>
        <w:fldChar w:fldCharType="separate"/>
      </w:r>
      <w:r w:rsidR="00A65CB3" w:rsidRPr="00DC643E">
        <w:t xml:space="preserve">Table </w:t>
      </w:r>
      <w:r w:rsidR="00A65CB3">
        <w:rPr>
          <w:noProof/>
        </w:rPr>
        <w:t>37</w:t>
      </w:r>
      <w:r w:rsidRPr="4CA445B8">
        <w:rPr>
          <w:rFonts w:cs="Times New Roman"/>
        </w:rPr>
        <w:fldChar w:fldCharType="end"/>
      </w:r>
      <w:r w:rsidRPr="4CA445B8">
        <w:rPr>
          <w:rFonts w:cs="Times New Roman"/>
        </w:rPr>
        <w:t xml:space="preserve"> presents the findings of the </w:t>
      </w:r>
      <w:r w:rsidR="00346694" w:rsidRPr="4CA445B8">
        <w:rPr>
          <w:rFonts w:cs="Times New Roman"/>
        </w:rPr>
        <w:t xml:space="preserve">Kidd </w:t>
      </w:r>
      <w:r w:rsidRPr="4CA445B8">
        <w:rPr>
          <w:rFonts w:cs="Times New Roman"/>
        </w:rPr>
        <w:t xml:space="preserve">study based on whether the second </w:t>
      </w:r>
      <w:r w:rsidR="002A4506" w:rsidRPr="4CA445B8">
        <w:rPr>
          <w:rFonts w:cs="Times New Roman"/>
        </w:rPr>
        <w:t xml:space="preserve">vehicle included </w:t>
      </w:r>
      <w:r w:rsidR="00865A2D">
        <w:rPr>
          <w:rFonts w:cs="Times New Roman"/>
        </w:rPr>
        <w:t>at least a</w:t>
      </w:r>
      <w:r w:rsidR="002A4506" w:rsidRPr="4CA445B8">
        <w:rPr>
          <w:rFonts w:cs="Times New Roman"/>
        </w:rPr>
        <w:t xml:space="preserve"> 90-second</w:t>
      </w:r>
      <w:r>
        <w:rPr>
          <w:rStyle w:val="FootnoteReference"/>
          <w:rFonts w:cs="Times New Roman"/>
        </w:rPr>
        <w:footnoteReference w:id="57"/>
      </w:r>
      <w:r w:rsidR="00865A2D">
        <w:rPr>
          <w:rFonts w:cs="Times New Roman"/>
        </w:rPr>
        <w:t xml:space="preserve"> warning</w:t>
      </w:r>
      <w:r w:rsidR="002A4506" w:rsidRPr="4CA445B8">
        <w:rPr>
          <w:rFonts w:cs="Times New Roman"/>
        </w:rPr>
        <w:t xml:space="preserve"> or indefinite warning.</w:t>
      </w:r>
      <w:r w:rsidR="006519BD" w:rsidRPr="4CA445B8">
        <w:rPr>
          <w:rFonts w:cs="Times New Roman"/>
        </w:rPr>
        <w:t xml:space="preserve"> </w:t>
      </w:r>
      <w:r w:rsidR="00437CB6" w:rsidRPr="4CA445B8">
        <w:rPr>
          <w:rFonts w:cs="Times New Roman"/>
        </w:rPr>
        <w:t xml:space="preserve">The </w:t>
      </w:r>
      <w:r w:rsidR="00165061" w:rsidRPr="4CA445B8">
        <w:rPr>
          <w:rFonts w:cs="Times New Roman"/>
        </w:rPr>
        <w:t xml:space="preserve">Kidd </w:t>
      </w:r>
      <w:r w:rsidR="00437CB6" w:rsidRPr="4CA445B8">
        <w:rPr>
          <w:rFonts w:cs="Times New Roman"/>
        </w:rPr>
        <w:t>study</w:t>
      </w:r>
      <w:r w:rsidR="00165061" w:rsidRPr="4CA445B8">
        <w:rPr>
          <w:rFonts w:cs="Times New Roman"/>
        </w:rPr>
        <w:t xml:space="preserve"> found that relative to the </w:t>
      </w:r>
      <w:r w:rsidR="00FB26C4" w:rsidRPr="4CA445B8">
        <w:rPr>
          <w:rFonts w:cs="Times New Roman"/>
        </w:rPr>
        <w:t>seven</w:t>
      </w:r>
      <w:r w:rsidR="00165061" w:rsidRPr="4CA445B8">
        <w:rPr>
          <w:rFonts w:cs="Times New Roman"/>
        </w:rPr>
        <w:t>-second audible reminder, seat belt use rate increased by 30</w:t>
      </w:r>
      <w:r w:rsidR="00FB26C4" w:rsidRPr="4CA445B8">
        <w:rPr>
          <w:rFonts w:cs="Times New Roman"/>
        </w:rPr>
        <w:t xml:space="preserve"> percent</w:t>
      </w:r>
      <w:r w:rsidR="00165061" w:rsidRPr="4CA445B8">
        <w:rPr>
          <w:rFonts w:cs="Times New Roman"/>
        </w:rPr>
        <w:t xml:space="preserve"> by the BMW reminder with a </w:t>
      </w:r>
      <w:r w:rsidR="00865A2D">
        <w:rPr>
          <w:rFonts w:cs="Times New Roman"/>
        </w:rPr>
        <w:t>10</w:t>
      </w:r>
      <w:r w:rsidR="00F560EF">
        <w:rPr>
          <w:rFonts w:cs="Times New Roman"/>
        </w:rPr>
        <w:t>0</w:t>
      </w:r>
      <w:r w:rsidR="00165061" w:rsidRPr="4CA445B8">
        <w:rPr>
          <w:rFonts w:cs="Times New Roman"/>
        </w:rPr>
        <w:t xml:space="preserve">-second audible </w:t>
      </w:r>
      <w:r w:rsidR="004C42F6" w:rsidRPr="4CA445B8">
        <w:rPr>
          <w:rFonts w:cs="Times New Roman"/>
        </w:rPr>
        <w:t>warning</w:t>
      </w:r>
      <w:r w:rsidR="00165061" w:rsidRPr="4CA445B8">
        <w:rPr>
          <w:rFonts w:cs="Times New Roman"/>
        </w:rPr>
        <w:t xml:space="preserve"> and </w:t>
      </w:r>
      <w:r w:rsidR="0042356D" w:rsidRPr="4CA445B8">
        <w:rPr>
          <w:rFonts w:cs="Times New Roman"/>
        </w:rPr>
        <w:t xml:space="preserve">34 percent by </w:t>
      </w:r>
      <w:r w:rsidR="00165061" w:rsidRPr="4CA445B8">
        <w:rPr>
          <w:rFonts w:cs="Times New Roman"/>
        </w:rPr>
        <w:t>the Subaru reminder</w:t>
      </w:r>
      <w:r w:rsidR="004C42F6" w:rsidRPr="4CA445B8">
        <w:rPr>
          <w:rFonts w:cs="Times New Roman"/>
        </w:rPr>
        <w:t xml:space="preserve"> </w:t>
      </w:r>
      <w:r w:rsidR="00165061" w:rsidRPr="4CA445B8">
        <w:rPr>
          <w:rFonts w:cs="Times New Roman"/>
        </w:rPr>
        <w:t xml:space="preserve">with an indefinite audible </w:t>
      </w:r>
      <w:r w:rsidR="004C42F6" w:rsidRPr="4CA445B8">
        <w:rPr>
          <w:rFonts w:cs="Times New Roman"/>
        </w:rPr>
        <w:t>warning</w:t>
      </w:r>
      <w:r w:rsidR="0042356D" w:rsidRPr="4CA445B8">
        <w:rPr>
          <w:rFonts w:cs="Times New Roman"/>
        </w:rPr>
        <w:t>.</w:t>
      </w:r>
      <w:r w:rsidR="00165061" w:rsidRPr="4CA445B8">
        <w:rPr>
          <w:rFonts w:cs="Times New Roman"/>
        </w:rPr>
        <w:t xml:space="preserve"> </w:t>
      </w:r>
    </w:p>
    <w:p w14:paraId="5C3409EF" w14:textId="40009D8E" w:rsidR="00165061" w:rsidRPr="005F5010" w:rsidRDefault="000F5B51" w:rsidP="0055589E">
      <w:pPr>
        <w:pStyle w:val="Caption"/>
        <w:rPr>
          <w:rFonts w:cs="Times New Roman"/>
          <w:szCs w:val="24"/>
        </w:rPr>
      </w:pPr>
      <w:bookmarkStart w:id="212" w:name="_Ref127191734"/>
      <w:r w:rsidRPr="00DC643E">
        <w:t xml:space="preserve">Table </w:t>
      </w:r>
      <w:r w:rsidR="00115BAB">
        <w:fldChar w:fldCharType="begin"/>
      </w:r>
      <w:r>
        <w:instrText xml:space="preserve"> SEQ Table \* ARABIC </w:instrText>
      </w:r>
      <w:r w:rsidR="00115BAB">
        <w:fldChar w:fldCharType="separate"/>
      </w:r>
      <w:r w:rsidR="00A65CB3">
        <w:rPr>
          <w:noProof/>
        </w:rPr>
        <w:t>37</w:t>
      </w:r>
      <w:r w:rsidR="00115BAB">
        <w:rPr>
          <w:noProof/>
        </w:rPr>
        <w:fldChar w:fldCharType="end"/>
      </w:r>
      <w:bookmarkEnd w:id="212"/>
      <w:r w:rsidRPr="00DC643E">
        <w:t>:</w:t>
      </w:r>
      <w:r w:rsidR="006519BD">
        <w:t xml:space="preserve"> </w:t>
      </w:r>
      <w:r w:rsidR="009A53F4" w:rsidRPr="00A16607">
        <w:t>Percent</w:t>
      </w:r>
      <w:r w:rsidR="009A53F4">
        <w:t xml:space="preserve"> Increase in Seat Belt Usage </w:t>
      </w:r>
      <w:r w:rsidR="004E1316">
        <w:t xml:space="preserve">by Warning </w:t>
      </w:r>
    </w:p>
    <w:tbl>
      <w:tblPr>
        <w:tblStyle w:val="TableGrid"/>
        <w:tblW w:w="0" w:type="auto"/>
        <w:jc w:val="center"/>
        <w:tblLook w:val="04A0" w:firstRow="1" w:lastRow="0" w:firstColumn="1" w:lastColumn="0" w:noHBand="0" w:noVBand="1"/>
      </w:tblPr>
      <w:tblGrid>
        <w:gridCol w:w="3213"/>
        <w:gridCol w:w="3936"/>
      </w:tblGrid>
      <w:tr w:rsidR="00A15C2C" w14:paraId="55584DDE" w14:textId="77777777" w:rsidTr="00865A2D">
        <w:trPr>
          <w:trHeight w:val="271"/>
          <w:jc w:val="center"/>
        </w:trPr>
        <w:tc>
          <w:tcPr>
            <w:tcW w:w="3213" w:type="dxa"/>
            <w:shd w:val="clear" w:color="auto" w:fill="D9D9D9" w:themeFill="background1" w:themeFillShade="D9"/>
            <w:noWrap/>
            <w:vAlign w:val="center"/>
            <w:hideMark/>
          </w:tcPr>
          <w:p w14:paraId="536E0ED5" w14:textId="77777777" w:rsidR="00165061" w:rsidRPr="006A00B6" w:rsidRDefault="000F5B51">
            <w:pPr>
              <w:spacing w:line="240" w:lineRule="auto"/>
              <w:contextualSpacing/>
              <w:rPr>
                <w:b/>
                <w:bCs/>
                <w:szCs w:val="24"/>
              </w:rPr>
            </w:pPr>
            <w:r w:rsidRPr="006A00B6">
              <w:rPr>
                <w:b/>
                <w:bCs/>
                <w:szCs w:val="24"/>
              </w:rPr>
              <w:t>IIHS study</w:t>
            </w:r>
          </w:p>
        </w:tc>
        <w:tc>
          <w:tcPr>
            <w:tcW w:w="3936" w:type="dxa"/>
            <w:shd w:val="clear" w:color="auto" w:fill="D9D9D9" w:themeFill="background1" w:themeFillShade="D9"/>
            <w:noWrap/>
            <w:vAlign w:val="center"/>
            <w:hideMark/>
          </w:tcPr>
          <w:p w14:paraId="403BE8A1" w14:textId="77777777" w:rsidR="00165061" w:rsidRPr="006A00B6" w:rsidRDefault="000F5B51" w:rsidP="0055589E">
            <w:pPr>
              <w:spacing w:line="240" w:lineRule="auto"/>
              <w:contextualSpacing/>
              <w:jc w:val="center"/>
              <w:rPr>
                <w:b/>
                <w:bCs/>
                <w:szCs w:val="24"/>
              </w:rPr>
            </w:pPr>
            <w:r w:rsidRPr="006A00B6">
              <w:rPr>
                <w:b/>
                <w:bCs/>
                <w:szCs w:val="24"/>
              </w:rPr>
              <w:t>Percent increase in belt use</w:t>
            </w:r>
          </w:p>
        </w:tc>
      </w:tr>
      <w:tr w:rsidR="00A15C2C" w14:paraId="0BDC6678" w14:textId="77777777" w:rsidTr="00865A2D">
        <w:trPr>
          <w:trHeight w:val="271"/>
          <w:jc w:val="center"/>
        </w:trPr>
        <w:tc>
          <w:tcPr>
            <w:tcW w:w="3213" w:type="dxa"/>
            <w:noWrap/>
            <w:hideMark/>
          </w:tcPr>
          <w:p w14:paraId="37B00E46" w14:textId="77777777" w:rsidR="00165061" w:rsidRPr="00DA6C7D" w:rsidRDefault="000F5B51" w:rsidP="00D07617">
            <w:pPr>
              <w:spacing w:line="240" w:lineRule="auto"/>
              <w:contextualSpacing/>
              <w:rPr>
                <w:szCs w:val="24"/>
              </w:rPr>
            </w:pPr>
            <w:r w:rsidRPr="00DA6C7D">
              <w:rPr>
                <w:szCs w:val="24"/>
              </w:rPr>
              <w:t>Baseline vs Indefinite</w:t>
            </w:r>
          </w:p>
        </w:tc>
        <w:tc>
          <w:tcPr>
            <w:tcW w:w="3936" w:type="dxa"/>
            <w:noWrap/>
            <w:vAlign w:val="center"/>
            <w:hideMark/>
          </w:tcPr>
          <w:p w14:paraId="782057FC" w14:textId="77777777" w:rsidR="00165061" w:rsidRPr="00DA6C7D" w:rsidRDefault="000F5B51">
            <w:pPr>
              <w:spacing w:line="240" w:lineRule="auto"/>
              <w:contextualSpacing/>
              <w:jc w:val="center"/>
              <w:rPr>
                <w:szCs w:val="24"/>
              </w:rPr>
            </w:pPr>
            <w:r w:rsidRPr="00DA6C7D">
              <w:rPr>
                <w:szCs w:val="24"/>
              </w:rPr>
              <w:t>34%</w:t>
            </w:r>
          </w:p>
        </w:tc>
      </w:tr>
      <w:tr w:rsidR="00A15C2C" w14:paraId="04022E05" w14:textId="77777777" w:rsidTr="00865A2D">
        <w:trPr>
          <w:trHeight w:val="280"/>
          <w:jc w:val="center"/>
        </w:trPr>
        <w:tc>
          <w:tcPr>
            <w:tcW w:w="3213" w:type="dxa"/>
            <w:noWrap/>
            <w:hideMark/>
          </w:tcPr>
          <w:p w14:paraId="2153D041" w14:textId="77777777" w:rsidR="00165061" w:rsidRPr="00DA6C7D" w:rsidRDefault="000F5B51" w:rsidP="00D07617">
            <w:pPr>
              <w:spacing w:line="240" w:lineRule="auto"/>
              <w:contextualSpacing/>
            </w:pPr>
            <w:r>
              <w:t>Baseline vs</w:t>
            </w:r>
            <w:r w:rsidR="00865A2D">
              <w:t xml:space="preserve"> at least</w:t>
            </w:r>
            <w:r>
              <w:t xml:space="preserve"> </w:t>
            </w:r>
            <w:r w:rsidR="00F560EF">
              <w:t>90</w:t>
            </w:r>
            <w:r>
              <w:t>-second</w:t>
            </w:r>
          </w:p>
        </w:tc>
        <w:tc>
          <w:tcPr>
            <w:tcW w:w="3936" w:type="dxa"/>
            <w:noWrap/>
            <w:vAlign w:val="center"/>
            <w:hideMark/>
          </w:tcPr>
          <w:p w14:paraId="27690C1B" w14:textId="77777777" w:rsidR="00165061" w:rsidRPr="00DA6C7D" w:rsidRDefault="000F5B51">
            <w:pPr>
              <w:spacing w:line="240" w:lineRule="auto"/>
              <w:contextualSpacing/>
              <w:jc w:val="center"/>
              <w:rPr>
                <w:szCs w:val="24"/>
              </w:rPr>
            </w:pPr>
            <w:r w:rsidRPr="00DA6C7D">
              <w:rPr>
                <w:szCs w:val="24"/>
              </w:rPr>
              <w:t>30%</w:t>
            </w:r>
          </w:p>
        </w:tc>
      </w:tr>
    </w:tbl>
    <w:p w14:paraId="62AC30DC" w14:textId="77777777" w:rsidR="00A52577" w:rsidRPr="005F5010" w:rsidRDefault="00A52577" w:rsidP="0055589E">
      <w:pPr>
        <w:pStyle w:val="NoSpaceTimes"/>
      </w:pPr>
    </w:p>
    <w:p w14:paraId="02DB46DC" w14:textId="77777777" w:rsidR="00165061" w:rsidRPr="005F5010" w:rsidRDefault="000F5B51" w:rsidP="00165061">
      <w:pPr>
        <w:spacing w:after="0"/>
        <w:contextualSpacing/>
        <w:rPr>
          <w:rFonts w:cs="Times New Roman"/>
        </w:rPr>
      </w:pPr>
      <w:r w:rsidRPr="4CA445B8">
        <w:rPr>
          <w:rFonts w:cs="Times New Roman"/>
        </w:rPr>
        <w:t xml:space="preserve">Overall, </w:t>
      </w:r>
      <w:r w:rsidR="00A52577" w:rsidRPr="4CA445B8">
        <w:rPr>
          <w:rFonts w:cs="Times New Roman"/>
        </w:rPr>
        <w:t xml:space="preserve">the </w:t>
      </w:r>
      <w:r w:rsidRPr="4CA445B8">
        <w:rPr>
          <w:rFonts w:cs="Times New Roman"/>
        </w:rPr>
        <w:t xml:space="preserve">findings from the </w:t>
      </w:r>
      <w:r w:rsidR="00A52577" w:rsidRPr="4CA445B8">
        <w:rPr>
          <w:rFonts w:cs="Times New Roman"/>
        </w:rPr>
        <w:t>study show tha</w:t>
      </w:r>
      <w:r w:rsidR="002610AB" w:rsidRPr="4CA445B8">
        <w:rPr>
          <w:rFonts w:cs="Times New Roman"/>
        </w:rPr>
        <w:t xml:space="preserve">t the transition from the baseline warning of seven seconds to either the </w:t>
      </w:r>
      <w:r w:rsidR="008348A7">
        <w:rPr>
          <w:rFonts w:cs="Times New Roman"/>
        </w:rPr>
        <w:t>90</w:t>
      </w:r>
      <w:r w:rsidR="002610AB" w:rsidRPr="4CA445B8">
        <w:rPr>
          <w:rFonts w:cs="Times New Roman"/>
        </w:rPr>
        <w:t xml:space="preserve">-second </w:t>
      </w:r>
      <w:r w:rsidR="00865A2D">
        <w:rPr>
          <w:rFonts w:cs="Times New Roman"/>
        </w:rPr>
        <w:t xml:space="preserve">minimum </w:t>
      </w:r>
      <w:r w:rsidR="002610AB" w:rsidRPr="4CA445B8">
        <w:rPr>
          <w:rFonts w:cs="Times New Roman"/>
        </w:rPr>
        <w:t xml:space="preserve">or indefinite warning result in an increase in seat belt use. However, </w:t>
      </w:r>
      <w:r w:rsidRPr="4CA445B8">
        <w:rPr>
          <w:rFonts w:cs="Times New Roman"/>
        </w:rPr>
        <w:t xml:space="preserve">another </w:t>
      </w:r>
      <w:r w:rsidR="002610AB" w:rsidRPr="4CA445B8">
        <w:rPr>
          <w:rFonts w:cs="Times New Roman"/>
        </w:rPr>
        <w:t>finding</w:t>
      </w:r>
      <w:r w:rsidRPr="4CA445B8">
        <w:rPr>
          <w:rFonts w:cs="Times New Roman"/>
        </w:rPr>
        <w:t xml:space="preserve"> is that even if a seat belt warning is designed to last until the belt is used, </w:t>
      </w:r>
      <w:r w:rsidR="004C42F6" w:rsidRPr="4CA445B8">
        <w:rPr>
          <w:rFonts w:cs="Times New Roman"/>
        </w:rPr>
        <w:t xml:space="preserve">seat belt use rates would not </w:t>
      </w:r>
      <w:r w:rsidRPr="4CA445B8">
        <w:rPr>
          <w:rFonts w:cs="Times New Roman"/>
        </w:rPr>
        <w:t>reach 100</w:t>
      </w:r>
      <w:r w:rsidR="00176CDE" w:rsidRPr="4CA445B8">
        <w:rPr>
          <w:rFonts w:cs="Times New Roman"/>
        </w:rPr>
        <w:t xml:space="preserve"> percent</w:t>
      </w:r>
      <w:r w:rsidR="001F2F92">
        <w:rPr>
          <w:rFonts w:cs="Times New Roman"/>
        </w:rPr>
        <w:t xml:space="preserve">. </w:t>
      </w:r>
      <w:r w:rsidR="008A3EFA" w:rsidRPr="4CA445B8">
        <w:rPr>
          <w:rFonts w:cs="Times New Roman"/>
        </w:rPr>
        <w:t>This is</w:t>
      </w:r>
      <w:r w:rsidRPr="4CA445B8">
        <w:rPr>
          <w:rFonts w:cs="Times New Roman"/>
        </w:rPr>
        <w:t xml:space="preserve"> especially</w:t>
      </w:r>
      <w:r w:rsidR="008A3EFA" w:rsidRPr="4CA445B8">
        <w:rPr>
          <w:rFonts w:cs="Times New Roman"/>
        </w:rPr>
        <w:t xml:space="preserve"> the case</w:t>
      </w:r>
      <w:r w:rsidRPr="4CA445B8">
        <w:rPr>
          <w:rFonts w:cs="Times New Roman"/>
        </w:rPr>
        <w:t xml:space="preserve"> if front occupants can circumvent the warning such as put the belt behind the back of the driver.</w:t>
      </w:r>
    </w:p>
    <w:p w14:paraId="313A1EB8" w14:textId="301B2728" w:rsidR="00165061" w:rsidRDefault="000F5B51" w:rsidP="00165061">
      <w:pPr>
        <w:spacing w:after="0"/>
        <w:contextualSpacing/>
        <w:rPr>
          <w:rFonts w:cs="Times New Roman"/>
          <w:szCs w:val="24"/>
        </w:rPr>
      </w:pPr>
      <w:r>
        <w:rPr>
          <w:rFonts w:cs="Times New Roman"/>
          <w:szCs w:val="24"/>
        </w:rPr>
        <w:lastRenderedPageBreak/>
        <w:t>We</w:t>
      </w:r>
      <w:r w:rsidR="00B855DD">
        <w:rPr>
          <w:rFonts w:cs="Times New Roman"/>
          <w:szCs w:val="24"/>
        </w:rPr>
        <w:t>, again</w:t>
      </w:r>
      <w:r w:rsidR="006F761F">
        <w:rPr>
          <w:rFonts w:cs="Times New Roman"/>
          <w:szCs w:val="24"/>
        </w:rPr>
        <w:t>,</w:t>
      </w:r>
      <w:r>
        <w:rPr>
          <w:rFonts w:cs="Times New Roman"/>
          <w:szCs w:val="24"/>
        </w:rPr>
        <w:t xml:space="preserve"> note that the observed belt use rates are inclusive of all drivers whether they are in crashes or not</w:t>
      </w:r>
      <w:r w:rsidR="001F2F92">
        <w:rPr>
          <w:rFonts w:cs="Times New Roman"/>
          <w:szCs w:val="24"/>
        </w:rPr>
        <w:t xml:space="preserve">. </w:t>
      </w:r>
      <w:r>
        <w:rPr>
          <w:rFonts w:cs="Times New Roman"/>
          <w:szCs w:val="24"/>
        </w:rPr>
        <w:t>T</w:t>
      </w:r>
      <w:r w:rsidR="000B2C08">
        <w:rPr>
          <w:rFonts w:cs="Times New Roman"/>
          <w:szCs w:val="24"/>
        </w:rPr>
        <w:t>herefore</w:t>
      </w:r>
      <w:r>
        <w:rPr>
          <w:rFonts w:cs="Times New Roman"/>
          <w:szCs w:val="24"/>
        </w:rPr>
        <w:t xml:space="preserve">, </w:t>
      </w:r>
      <w:r w:rsidR="000B2C08">
        <w:rPr>
          <w:rFonts w:cs="Times New Roman"/>
          <w:szCs w:val="24"/>
        </w:rPr>
        <w:t>this analysis</w:t>
      </w:r>
      <w:r w:rsidR="00F97F1B">
        <w:rPr>
          <w:rFonts w:cs="Times New Roman"/>
          <w:szCs w:val="24"/>
        </w:rPr>
        <w:t xml:space="preserve"> </w:t>
      </w:r>
      <w:r w:rsidR="00A61D99">
        <w:rPr>
          <w:rFonts w:cs="Times New Roman"/>
          <w:szCs w:val="24"/>
        </w:rPr>
        <w:t>first establishes</w:t>
      </w:r>
      <w:r w:rsidRPr="00F97F1B">
        <w:rPr>
          <w:rFonts w:cs="Times New Roman"/>
          <w:szCs w:val="24"/>
        </w:rPr>
        <w:t xml:space="preserve"> an overall belt use rate </w:t>
      </w:r>
      <w:r w:rsidRPr="0055589E">
        <w:rPr>
          <w:rFonts w:cs="Times New Roman"/>
          <w:szCs w:val="24"/>
        </w:rPr>
        <w:t xml:space="preserve">in </w:t>
      </w:r>
      <w:r w:rsidR="009B38DD" w:rsidRPr="009B38DD">
        <w:rPr>
          <w:rFonts w:cs="Times New Roman"/>
          <w:szCs w:val="24"/>
        </w:rPr>
        <w:t xml:space="preserve">potentially </w:t>
      </w:r>
      <w:r w:rsidRPr="0055589E">
        <w:rPr>
          <w:rFonts w:cs="Times New Roman"/>
          <w:szCs w:val="24"/>
        </w:rPr>
        <w:t>fatal crashes</w:t>
      </w:r>
      <w:r w:rsidRPr="00F97F1B">
        <w:rPr>
          <w:rFonts w:cs="Times New Roman"/>
          <w:szCs w:val="24"/>
        </w:rPr>
        <w:t xml:space="preserve"> for drivers</w:t>
      </w:r>
      <w:r w:rsidR="001F2F92">
        <w:rPr>
          <w:rFonts w:cs="Times New Roman"/>
          <w:szCs w:val="24"/>
        </w:rPr>
        <w:t xml:space="preserve">. </w:t>
      </w:r>
      <w:r w:rsidRPr="00F97F1B">
        <w:rPr>
          <w:rFonts w:cs="Times New Roman"/>
          <w:szCs w:val="24"/>
        </w:rPr>
        <w:t>F</w:t>
      </w:r>
      <w:r>
        <w:rPr>
          <w:rFonts w:cs="Times New Roman"/>
          <w:szCs w:val="24"/>
        </w:rPr>
        <w:t>or the estimate, we</w:t>
      </w:r>
      <w:r w:rsidR="006A19D1">
        <w:rPr>
          <w:rFonts w:cs="Times New Roman"/>
          <w:szCs w:val="24"/>
        </w:rPr>
        <w:t xml:space="preserve"> again</w:t>
      </w:r>
      <w:r>
        <w:rPr>
          <w:rFonts w:cs="Times New Roman"/>
          <w:szCs w:val="24"/>
        </w:rPr>
        <w:t xml:space="preserve"> use the </w:t>
      </w:r>
      <w:r w:rsidR="00766110">
        <w:rPr>
          <w:rFonts w:cs="Times New Roman"/>
          <w:szCs w:val="24"/>
        </w:rPr>
        <w:t>NHTSA’s Belt Use model</w:t>
      </w:r>
      <w:r w:rsidR="001F2F92">
        <w:rPr>
          <w:rFonts w:cs="Times New Roman"/>
          <w:szCs w:val="24"/>
        </w:rPr>
        <w:t>.</w:t>
      </w:r>
      <w:r w:rsidR="00766110">
        <w:rPr>
          <w:rStyle w:val="FootnoteReference"/>
          <w:rFonts w:cs="Times New Roman"/>
          <w:szCs w:val="24"/>
        </w:rPr>
        <w:footnoteReference w:id="58"/>
      </w:r>
      <w:r w:rsidR="001F2F92">
        <w:rPr>
          <w:rFonts w:cs="Times New Roman"/>
          <w:szCs w:val="24"/>
        </w:rPr>
        <w:t xml:space="preserve"> </w:t>
      </w:r>
      <w:r w:rsidR="0062182D">
        <w:rPr>
          <w:rFonts w:cs="Times New Roman"/>
          <w:szCs w:val="24"/>
        </w:rPr>
        <w:t>The model</w:t>
      </w:r>
      <w:r>
        <w:rPr>
          <w:rFonts w:cs="Times New Roman"/>
          <w:szCs w:val="24"/>
        </w:rPr>
        <w:t xml:space="preserve"> </w:t>
      </w:r>
      <w:r w:rsidR="0062182D">
        <w:rPr>
          <w:rFonts w:cs="Times New Roman"/>
          <w:szCs w:val="24"/>
        </w:rPr>
        <w:t>makes use of</w:t>
      </w:r>
      <w:r>
        <w:rPr>
          <w:rFonts w:cs="Times New Roman"/>
          <w:szCs w:val="24"/>
        </w:rPr>
        <w:t xml:space="preserve"> </w:t>
      </w:r>
      <w:r w:rsidRPr="00B56EEE">
        <w:rPr>
          <w:rFonts w:cs="Times New Roman"/>
          <w:szCs w:val="24"/>
        </w:rPr>
        <w:t xml:space="preserve">the national observed belt use rate to predict </w:t>
      </w:r>
      <w:r>
        <w:rPr>
          <w:rFonts w:cs="Times New Roman"/>
          <w:szCs w:val="24"/>
        </w:rPr>
        <w:t xml:space="preserve">the use rate in </w:t>
      </w:r>
      <w:r w:rsidR="009B38DD" w:rsidRPr="009B38DD">
        <w:rPr>
          <w:rFonts w:cs="Times New Roman"/>
          <w:szCs w:val="24"/>
        </w:rPr>
        <w:t xml:space="preserve">potentially </w:t>
      </w:r>
      <w:r>
        <w:rPr>
          <w:rFonts w:cs="Times New Roman"/>
          <w:szCs w:val="24"/>
        </w:rPr>
        <w:t>fatal crashes.</w:t>
      </w:r>
      <w:r>
        <w:rPr>
          <w:rStyle w:val="FootnoteReference"/>
          <w:rFonts w:cs="Times New Roman"/>
          <w:szCs w:val="24"/>
        </w:rPr>
        <w:footnoteReference w:id="59"/>
      </w:r>
      <w:r w:rsidR="006709AC">
        <w:rPr>
          <w:rFonts w:cs="Times New Roman"/>
          <w:szCs w:val="24"/>
          <w:vertAlign w:val="superscript"/>
        </w:rPr>
        <w:t xml:space="preserve"> </w:t>
      </w:r>
      <w:r w:rsidR="001B39EF">
        <w:rPr>
          <w:rFonts w:cs="Times New Roman"/>
          <w:szCs w:val="24"/>
          <w:vertAlign w:val="superscript"/>
        </w:rPr>
        <w:t xml:space="preserve"> </w:t>
      </w:r>
      <w:r w:rsidR="006709AC">
        <w:rPr>
          <w:rFonts w:cs="Times New Roman"/>
          <w:szCs w:val="24"/>
        </w:rPr>
        <w:t>Making use of the model,</w:t>
      </w:r>
      <w:r>
        <w:rPr>
          <w:rStyle w:val="FootnoteReference"/>
          <w:rFonts w:cs="Times New Roman"/>
          <w:szCs w:val="24"/>
        </w:rPr>
        <w:footnoteReference w:id="60"/>
      </w:r>
      <w:r w:rsidR="006709AC">
        <w:rPr>
          <w:rFonts w:cs="Times New Roman"/>
          <w:szCs w:val="24"/>
        </w:rPr>
        <w:t xml:space="preserve"> </w:t>
      </w:r>
      <w:r w:rsidRPr="00AC06FB">
        <w:rPr>
          <w:rFonts w:cs="Times New Roman"/>
          <w:szCs w:val="24"/>
        </w:rPr>
        <w:t xml:space="preserve">we calculated the belt use rate in </w:t>
      </w:r>
      <w:r w:rsidR="002023CD">
        <w:rPr>
          <w:rFonts w:cs="Times New Roman"/>
          <w:szCs w:val="24"/>
        </w:rPr>
        <w:t xml:space="preserve">potentially </w:t>
      </w:r>
      <w:r w:rsidRPr="00AC06FB">
        <w:rPr>
          <w:rFonts w:cs="Times New Roman"/>
          <w:szCs w:val="24"/>
        </w:rPr>
        <w:t xml:space="preserve">fatal crashes would be </w:t>
      </w:r>
      <w:r w:rsidR="00DB514D">
        <w:rPr>
          <w:rFonts w:cs="Times New Roman"/>
          <w:szCs w:val="24"/>
        </w:rPr>
        <w:t>0.</w:t>
      </w:r>
      <w:r>
        <w:rPr>
          <w:rFonts w:cs="Times New Roman"/>
          <w:szCs w:val="24"/>
        </w:rPr>
        <w:t>7842</w:t>
      </w:r>
      <w:r w:rsidR="0062182D">
        <w:rPr>
          <w:rFonts w:cs="Times New Roman"/>
          <w:szCs w:val="24"/>
        </w:rPr>
        <w:t xml:space="preserve"> </w:t>
      </w:r>
      <w:r w:rsidR="00DB514D">
        <w:rPr>
          <w:rFonts w:cs="Times New Roman"/>
          <w:szCs w:val="24"/>
        </w:rPr>
        <w:t>w</w:t>
      </w:r>
      <w:r w:rsidRPr="00AC06FB">
        <w:rPr>
          <w:rFonts w:cs="Times New Roman"/>
          <w:szCs w:val="24"/>
        </w:rPr>
        <w:t xml:space="preserve">hen we have an observed belt use rate of </w:t>
      </w:r>
      <w:r w:rsidR="00DB514D">
        <w:rPr>
          <w:rFonts w:cs="Times New Roman"/>
          <w:szCs w:val="24"/>
        </w:rPr>
        <w:t>0.</w:t>
      </w:r>
      <w:r w:rsidRPr="00AC06FB">
        <w:rPr>
          <w:rFonts w:cs="Times New Roman"/>
          <w:szCs w:val="24"/>
        </w:rPr>
        <w:t>906</w:t>
      </w:r>
      <w:r w:rsidR="00DB514D">
        <w:rPr>
          <w:rFonts w:cs="Times New Roman"/>
          <w:szCs w:val="24"/>
        </w:rPr>
        <w:t>0</w:t>
      </w:r>
      <w:r w:rsidR="00955EB0">
        <w:rPr>
          <w:rFonts w:cs="Times New Roman"/>
          <w:szCs w:val="24"/>
        </w:rPr>
        <w:t xml:space="preserve"> </w:t>
      </w:r>
      <w:r w:rsidR="0022454F">
        <w:rPr>
          <w:rFonts w:cs="Times New Roman"/>
          <w:szCs w:val="24"/>
        </w:rPr>
        <w:t>in the baseline.</w:t>
      </w:r>
      <w:r w:rsidRPr="00AC06FB">
        <w:rPr>
          <w:rFonts w:cs="Times New Roman"/>
          <w:szCs w:val="24"/>
        </w:rPr>
        <w:t xml:space="preserve"> </w:t>
      </w:r>
    </w:p>
    <w:p w14:paraId="1DB9468D" w14:textId="6A43DF8A" w:rsidR="00165061" w:rsidRDefault="000F5B51">
      <w:pPr>
        <w:spacing w:after="0"/>
        <w:rPr>
          <w:rFonts w:cs="Times New Roman"/>
          <w:szCs w:val="24"/>
        </w:rPr>
      </w:pPr>
      <w:r>
        <w:t xml:space="preserve">This analysis makes use of </w:t>
      </w:r>
      <w:r>
        <w:rPr>
          <w:rFonts w:cs="Times New Roman"/>
          <w:szCs w:val="24"/>
        </w:rPr>
        <w:t>t</w:t>
      </w:r>
      <w:r>
        <w:t xml:space="preserve">he </w:t>
      </w:r>
      <w:r w:rsidR="001F4A5F">
        <w:t xml:space="preserve">findings related to drivers who </w:t>
      </w:r>
      <w:r w:rsidR="001F4A5F">
        <w:rPr>
          <w:rFonts w:cs="Times New Roman"/>
          <w:szCs w:val="24"/>
        </w:rPr>
        <w:t>s</w:t>
      </w:r>
      <w:r w:rsidR="001F4A5F">
        <w:t>ometime</w:t>
      </w:r>
      <w:r w:rsidR="002211CB">
        <w:t>s or never</w:t>
      </w:r>
      <w:r w:rsidR="001F4A5F">
        <w:t xml:space="preserve"> use se</w:t>
      </w:r>
      <w:r w:rsidR="001F4A5F">
        <w:rPr>
          <w:rFonts w:cs="Times New Roman"/>
          <w:szCs w:val="24"/>
        </w:rPr>
        <w:t>a</w:t>
      </w:r>
      <w:r w:rsidR="001F4A5F">
        <w:t>t belt</w:t>
      </w:r>
      <w:r w:rsidR="001F4A5F">
        <w:rPr>
          <w:rFonts w:cs="Times New Roman"/>
          <w:szCs w:val="24"/>
        </w:rPr>
        <w:t>s</w:t>
      </w:r>
      <w:r w:rsidR="00266DD7">
        <w:rPr>
          <w:rFonts w:cs="Times New Roman"/>
          <w:szCs w:val="24"/>
        </w:rPr>
        <w:t>,</w:t>
      </w:r>
      <w:r w:rsidR="001F4A5F">
        <w:t xml:space="preserve"> </w:t>
      </w:r>
      <w:r w:rsidR="0004735A">
        <w:t>as well as</w:t>
      </w:r>
      <w:r w:rsidR="001F4A5F">
        <w:t xml:space="preserve"> the </w:t>
      </w:r>
      <w:r>
        <w:rPr>
          <w:rFonts w:cs="Times New Roman"/>
          <w:szCs w:val="24"/>
        </w:rPr>
        <w:t xml:space="preserve">observed and estimated belt use rates in </w:t>
      </w:r>
      <w:r w:rsidR="009B38DD" w:rsidRPr="009B38DD">
        <w:rPr>
          <w:rFonts w:cs="Times New Roman"/>
          <w:szCs w:val="24"/>
        </w:rPr>
        <w:t xml:space="preserve">potentially </w:t>
      </w:r>
      <w:r>
        <w:rPr>
          <w:rFonts w:cs="Times New Roman"/>
          <w:szCs w:val="24"/>
        </w:rPr>
        <w:t>fatal crashes</w:t>
      </w:r>
      <w:r w:rsidR="00967DB9">
        <w:rPr>
          <w:rFonts w:cs="Times New Roman"/>
          <w:szCs w:val="24"/>
        </w:rPr>
        <w:t xml:space="preserve"> to </w:t>
      </w:r>
      <w:r>
        <w:rPr>
          <w:rFonts w:cs="Times New Roman"/>
          <w:szCs w:val="24"/>
        </w:rPr>
        <w:t>estimate the degree of the expected increase in</w:t>
      </w:r>
      <w:r w:rsidR="004E7142">
        <w:rPr>
          <w:rFonts w:cs="Times New Roman"/>
          <w:szCs w:val="24"/>
        </w:rPr>
        <w:t xml:space="preserve"> seat</w:t>
      </w:r>
      <w:r>
        <w:rPr>
          <w:rFonts w:cs="Times New Roman"/>
          <w:szCs w:val="24"/>
        </w:rPr>
        <w:t xml:space="preserve"> belt use rate</w:t>
      </w:r>
      <w:r w:rsidR="004E7142">
        <w:rPr>
          <w:rFonts w:cs="Times New Roman"/>
          <w:szCs w:val="24"/>
        </w:rPr>
        <w:t xml:space="preserve">s </w:t>
      </w:r>
      <w:r>
        <w:rPr>
          <w:rFonts w:cs="Times New Roman"/>
          <w:szCs w:val="24"/>
        </w:rPr>
        <w:t xml:space="preserve">in </w:t>
      </w:r>
      <w:r w:rsidR="009B38DD" w:rsidRPr="009B38DD">
        <w:rPr>
          <w:rFonts w:cs="Times New Roman"/>
          <w:szCs w:val="24"/>
        </w:rPr>
        <w:t xml:space="preserve">potentially </w:t>
      </w:r>
      <w:r>
        <w:rPr>
          <w:rFonts w:cs="Times New Roman"/>
          <w:szCs w:val="24"/>
        </w:rPr>
        <w:t xml:space="preserve">fatal crashes for </w:t>
      </w:r>
      <w:r w:rsidR="005941BB">
        <w:rPr>
          <w:rFonts w:cs="Times New Roman"/>
          <w:szCs w:val="24"/>
        </w:rPr>
        <w:t>drivers</w:t>
      </w:r>
      <w:r>
        <w:rPr>
          <w:rFonts w:cs="Times New Roman"/>
          <w:szCs w:val="24"/>
        </w:rPr>
        <w:t xml:space="preserve"> when the </w:t>
      </w:r>
      <w:r w:rsidR="00994018">
        <w:rPr>
          <w:rFonts w:cs="Times New Roman"/>
          <w:szCs w:val="24"/>
        </w:rPr>
        <w:t xml:space="preserve">baseline (i.e., seven second) </w:t>
      </w:r>
      <w:r>
        <w:rPr>
          <w:rFonts w:cs="Times New Roman"/>
          <w:szCs w:val="24"/>
        </w:rPr>
        <w:t>warning is replaced with an indefinite warning system</w:t>
      </w:r>
      <w:r w:rsidR="001F2F92">
        <w:rPr>
          <w:rFonts w:cs="Times New Roman"/>
          <w:szCs w:val="24"/>
        </w:rPr>
        <w:t xml:space="preserve">. </w:t>
      </w:r>
    </w:p>
    <w:p w14:paraId="67D44133" w14:textId="6D2E71D4" w:rsidR="005756C9" w:rsidRDefault="000F5B51" w:rsidP="00A003FF">
      <w:pPr>
        <w:rPr>
          <w:rFonts w:eastAsia="Times New Roman" w:cs="Times New Roman"/>
          <w:szCs w:val="24"/>
        </w:rPr>
      </w:pPr>
      <w:r w:rsidRPr="00CB1E86">
        <w:rPr>
          <w:rFonts w:eastAsia="Times New Roman" w:cs="Times New Roman"/>
          <w:szCs w:val="24"/>
        </w:rPr>
        <w:t xml:space="preserve">This analysis makes use of the weighted sales proportions </w:t>
      </w:r>
      <w:r w:rsidR="006A19D1">
        <w:rPr>
          <w:rFonts w:eastAsia="Times New Roman" w:cs="Times New Roman"/>
          <w:szCs w:val="24"/>
        </w:rPr>
        <w:t xml:space="preserve">presented earlier in </w:t>
      </w:r>
      <w:r w:rsidR="007A6E1F">
        <w:rPr>
          <w:rFonts w:eastAsia="Times New Roman" w:cs="Times New Roman"/>
          <w:szCs w:val="24"/>
        </w:rPr>
        <w:fldChar w:fldCharType="begin"/>
      </w:r>
      <w:r w:rsidR="007A6E1F">
        <w:rPr>
          <w:rFonts w:eastAsia="Times New Roman" w:cs="Times New Roman"/>
          <w:szCs w:val="24"/>
        </w:rPr>
        <w:instrText xml:space="preserve"> REF _Ref128036762 \h </w:instrText>
      </w:r>
      <w:r w:rsidR="007A6E1F">
        <w:rPr>
          <w:rFonts w:eastAsia="Times New Roman" w:cs="Times New Roman"/>
          <w:szCs w:val="24"/>
        </w:rPr>
      </w:r>
      <w:r w:rsidR="007A6E1F">
        <w:rPr>
          <w:rFonts w:eastAsia="Times New Roman" w:cs="Times New Roman"/>
          <w:szCs w:val="24"/>
        </w:rPr>
        <w:fldChar w:fldCharType="separate"/>
      </w:r>
      <w:r w:rsidR="00A65CB3">
        <w:t xml:space="preserve">Table </w:t>
      </w:r>
      <w:r w:rsidR="00A65CB3">
        <w:rPr>
          <w:noProof/>
        </w:rPr>
        <w:t>8</w:t>
      </w:r>
      <w:r w:rsidR="007A6E1F">
        <w:rPr>
          <w:rFonts w:eastAsia="Times New Roman" w:cs="Times New Roman"/>
          <w:szCs w:val="24"/>
        </w:rPr>
        <w:fldChar w:fldCharType="end"/>
      </w:r>
      <w:r w:rsidR="006A19D1">
        <w:rPr>
          <w:rFonts w:eastAsia="Times New Roman" w:cs="Times New Roman"/>
          <w:szCs w:val="24"/>
        </w:rPr>
        <w:t xml:space="preserve"> </w:t>
      </w:r>
      <w:r w:rsidRPr="00CB1E86">
        <w:rPr>
          <w:rFonts w:eastAsia="Times New Roman" w:cs="Times New Roman"/>
          <w:szCs w:val="24"/>
        </w:rPr>
        <w:t>to establish the seat belt use rate associated with each type of warning system</w:t>
      </w:r>
      <w:r w:rsidR="001F2F92">
        <w:rPr>
          <w:rFonts w:eastAsia="Times New Roman" w:cs="Times New Roman"/>
          <w:szCs w:val="24"/>
        </w:rPr>
        <w:t xml:space="preserve">. </w:t>
      </w:r>
      <w:r w:rsidR="00865A2D">
        <w:rPr>
          <w:rFonts w:cs="Times New Roman"/>
          <w:szCs w:val="24"/>
        </w:rPr>
        <w:t>For this analysis, warning systems with less than 90 second warning duration (Bin No. 1 of</w:t>
      </w:r>
      <w:r w:rsidR="00A003FF">
        <w:rPr>
          <w:rFonts w:cs="Times New Roman"/>
          <w:szCs w:val="24"/>
        </w:rPr>
        <w:t xml:space="preserve"> </w:t>
      </w:r>
      <w:r w:rsidR="00A003FF">
        <w:rPr>
          <w:rFonts w:cs="Times New Roman"/>
          <w:szCs w:val="24"/>
        </w:rPr>
        <w:fldChar w:fldCharType="begin"/>
      </w:r>
      <w:r w:rsidR="00A003FF">
        <w:rPr>
          <w:rFonts w:cs="Times New Roman"/>
          <w:szCs w:val="24"/>
        </w:rPr>
        <w:instrText xml:space="preserve"> REF _Ref128036762 \h </w:instrText>
      </w:r>
      <w:r w:rsidR="00A003FF">
        <w:rPr>
          <w:rFonts w:cs="Times New Roman"/>
          <w:szCs w:val="24"/>
        </w:rPr>
      </w:r>
      <w:r w:rsidR="00A003FF">
        <w:rPr>
          <w:rFonts w:cs="Times New Roman"/>
          <w:szCs w:val="24"/>
        </w:rPr>
        <w:fldChar w:fldCharType="separate"/>
      </w:r>
      <w:r w:rsidR="00A65CB3">
        <w:t xml:space="preserve">Table </w:t>
      </w:r>
      <w:r w:rsidR="00A65CB3">
        <w:rPr>
          <w:noProof/>
        </w:rPr>
        <w:t>8</w:t>
      </w:r>
      <w:r w:rsidR="00A003FF">
        <w:rPr>
          <w:rFonts w:cs="Times New Roman"/>
          <w:szCs w:val="24"/>
        </w:rPr>
        <w:fldChar w:fldCharType="end"/>
      </w:r>
      <w:r w:rsidR="00865A2D">
        <w:rPr>
          <w:rFonts w:cs="Times New Roman"/>
          <w:szCs w:val="24"/>
        </w:rPr>
        <w:t>) are used as a proxy for the system that provides a seven</w:t>
      </w:r>
      <w:r w:rsidR="00865A2D" w:rsidRPr="008D6E9C">
        <w:rPr>
          <w:rFonts w:cs="Times New Roman"/>
          <w:szCs w:val="24"/>
        </w:rPr>
        <w:t xml:space="preserve">-second </w:t>
      </w:r>
      <w:r w:rsidR="00865A2D">
        <w:rPr>
          <w:rFonts w:cs="Times New Roman"/>
          <w:szCs w:val="24"/>
        </w:rPr>
        <w:t xml:space="preserve">duration warning and warning systems with 90-second or 90+ second but not indefinite duration (Bin No. 2 of </w:t>
      </w:r>
      <w:r w:rsidR="00A003FF">
        <w:rPr>
          <w:rFonts w:cs="Times New Roman"/>
          <w:szCs w:val="24"/>
        </w:rPr>
        <w:fldChar w:fldCharType="begin"/>
      </w:r>
      <w:r w:rsidR="00A003FF">
        <w:rPr>
          <w:rFonts w:cs="Times New Roman"/>
          <w:szCs w:val="24"/>
        </w:rPr>
        <w:instrText xml:space="preserve"> REF _Ref128036762 \h </w:instrText>
      </w:r>
      <w:r w:rsidR="00A003FF">
        <w:rPr>
          <w:rFonts w:cs="Times New Roman"/>
          <w:szCs w:val="24"/>
        </w:rPr>
      </w:r>
      <w:r w:rsidR="00A003FF">
        <w:rPr>
          <w:rFonts w:cs="Times New Roman"/>
          <w:szCs w:val="24"/>
        </w:rPr>
        <w:fldChar w:fldCharType="separate"/>
      </w:r>
      <w:r w:rsidR="00A65CB3">
        <w:t xml:space="preserve">Table </w:t>
      </w:r>
      <w:r w:rsidR="00A65CB3">
        <w:rPr>
          <w:noProof/>
        </w:rPr>
        <w:t>8</w:t>
      </w:r>
      <w:r w:rsidR="00A003FF">
        <w:rPr>
          <w:rFonts w:cs="Times New Roman"/>
          <w:szCs w:val="24"/>
        </w:rPr>
        <w:fldChar w:fldCharType="end"/>
      </w:r>
      <w:r w:rsidR="00865A2D">
        <w:rPr>
          <w:rFonts w:cs="Times New Roman"/>
          <w:szCs w:val="24"/>
        </w:rPr>
        <w:t xml:space="preserve">) are used as a proxy for the warning system that provides a 90-second duration warning.  </w:t>
      </w:r>
      <w:r>
        <w:rPr>
          <w:rFonts w:eastAsia="Times New Roman" w:cs="Times New Roman"/>
          <w:szCs w:val="24"/>
        </w:rPr>
        <w:t xml:space="preserve">That is, the observed seat belt use rate established under the baseline reflects the </w:t>
      </w:r>
      <w:r w:rsidR="001F6DCC">
        <w:rPr>
          <w:rFonts w:eastAsia="Times New Roman" w:cs="Times New Roman"/>
          <w:szCs w:val="24"/>
        </w:rPr>
        <w:t>case</w:t>
      </w:r>
      <w:r>
        <w:rPr>
          <w:rFonts w:eastAsia="Times New Roman" w:cs="Times New Roman"/>
          <w:szCs w:val="24"/>
        </w:rPr>
        <w:t xml:space="preserve"> in</w:t>
      </w:r>
      <w:r w:rsidR="00865A2D">
        <w:rPr>
          <w:rFonts w:eastAsia="Times New Roman" w:cs="Times New Roman"/>
          <w:szCs w:val="24"/>
        </w:rPr>
        <w:t xml:space="preserve"> which a seven-second duration warning system would fall in Bin No. 1 representing 7.63 percent of vehicles, a 90-second duration warning system would fall in Bin No. 2 representing 85.14 percent of light vehicles, and </w:t>
      </w:r>
      <w:r w:rsidR="00865A2D">
        <w:rPr>
          <w:rFonts w:eastAsia="Times New Roman" w:cs="Times New Roman"/>
          <w:szCs w:val="24"/>
        </w:rPr>
        <w:lastRenderedPageBreak/>
        <w:t>an indefinite duration warning system would fall in Bin No. 3 representing 7.23 percent of light vehicles in the new vehicle fleet.</w:t>
      </w:r>
      <w:r>
        <w:rPr>
          <w:rStyle w:val="FootnoteReference"/>
          <w:rFonts w:eastAsia="Times New Roman" w:cs="Times New Roman"/>
          <w:szCs w:val="24"/>
        </w:rPr>
        <w:footnoteReference w:id="61"/>
      </w:r>
      <w:r w:rsidR="00865A2D">
        <w:rPr>
          <w:rFonts w:eastAsia="Times New Roman" w:cs="Times New Roman"/>
          <w:szCs w:val="24"/>
        </w:rPr>
        <w:t xml:space="preserve">  </w:t>
      </w:r>
      <w:r w:rsidR="00A003FF">
        <w:t xml:space="preserve">For simplicity, the remainder of this analysis refers to those systems in Bin No. 1 as systems with a seven-second warning, those Bin No. 2 as systems with a 90-second warning, and those in No. 3 as systems with an indefinite warning. </w:t>
      </w:r>
    </w:p>
    <w:p w14:paraId="54D62149" w14:textId="54DC6590" w:rsidR="005756C9" w:rsidRPr="004C5B33" w:rsidRDefault="000F5B51" w:rsidP="005756C9">
      <w:pPr>
        <w:spacing w:after="0"/>
        <w:contextualSpacing/>
        <w:rPr>
          <w:rFonts w:cs="Times New Roman"/>
        </w:rPr>
      </w:pPr>
      <w:r>
        <w:t xml:space="preserve">This analysis first establishes the baseline seat belt use rate for all three </w:t>
      </w:r>
      <w:r w:rsidR="00AC19E0">
        <w:t xml:space="preserve">warning </w:t>
      </w:r>
      <w:r>
        <w:t>systems</w:t>
      </w:r>
      <w:r w:rsidR="001F2F92">
        <w:t xml:space="preserve">. </w:t>
      </w:r>
      <w:r>
        <w:t>The previous subsections established an overall observed seat belt use rate</w:t>
      </w:r>
      <w:r w:rsidR="00AC19E0">
        <w:t xml:space="preserve"> of 0.906</w:t>
      </w:r>
      <w:r w:rsidR="00DB514D">
        <w:t>0</w:t>
      </w:r>
      <w:r w:rsidR="00AC19E0">
        <w:t xml:space="preserve"> </w:t>
      </w:r>
      <w:r>
        <w:t xml:space="preserve">for drivers. Furthermore, </w:t>
      </w:r>
      <w:r w:rsidRPr="4CA445B8">
        <w:rPr>
          <w:rFonts w:cs="Times New Roman"/>
        </w:rPr>
        <w:t>we calculated the belt use rate in</w:t>
      </w:r>
      <w:r w:rsidR="00F414FB">
        <w:rPr>
          <w:rFonts w:cs="Times New Roman"/>
        </w:rPr>
        <w:t xml:space="preserve"> potentially</w:t>
      </w:r>
      <w:r w:rsidRPr="4CA445B8">
        <w:rPr>
          <w:rFonts w:cs="Times New Roman"/>
        </w:rPr>
        <w:t xml:space="preserve"> fatal crashes would be </w:t>
      </w:r>
      <w:r w:rsidR="00DB514D" w:rsidRPr="4CA445B8">
        <w:rPr>
          <w:rFonts w:cs="Times New Roman"/>
        </w:rPr>
        <w:t>0.</w:t>
      </w:r>
      <w:r w:rsidRPr="4CA445B8">
        <w:rPr>
          <w:rFonts w:cs="Times New Roman"/>
        </w:rPr>
        <w:t xml:space="preserve">7842 and </w:t>
      </w:r>
      <w:r w:rsidR="00F414FB">
        <w:rPr>
          <w:rFonts w:cs="Times New Roman"/>
        </w:rPr>
        <w:t xml:space="preserve">an </w:t>
      </w:r>
      <w:r w:rsidRPr="4CA445B8">
        <w:rPr>
          <w:rFonts w:cs="Times New Roman"/>
        </w:rPr>
        <w:t xml:space="preserve">observed </w:t>
      </w:r>
      <w:r w:rsidR="00994FCC" w:rsidRPr="4CA445B8">
        <w:rPr>
          <w:rFonts w:cs="Times New Roman"/>
        </w:rPr>
        <w:t xml:space="preserve">seat </w:t>
      </w:r>
      <w:r w:rsidRPr="4CA445B8">
        <w:rPr>
          <w:rFonts w:cs="Times New Roman"/>
        </w:rPr>
        <w:t xml:space="preserve">belt use rate </w:t>
      </w:r>
      <w:r w:rsidR="00F414FB">
        <w:rPr>
          <w:rFonts w:cs="Times New Roman"/>
        </w:rPr>
        <w:t>of</w:t>
      </w:r>
      <w:r w:rsidR="00994FCC" w:rsidRPr="4CA445B8">
        <w:rPr>
          <w:rFonts w:cs="Times New Roman"/>
        </w:rPr>
        <w:t xml:space="preserve"> 0.</w:t>
      </w:r>
      <w:r w:rsidR="00DB514D">
        <w:t>9060</w:t>
      </w:r>
      <w:r w:rsidR="001F2F92">
        <w:rPr>
          <w:rFonts w:cs="Times New Roman"/>
        </w:rPr>
        <w:t xml:space="preserve">. </w:t>
      </w:r>
      <w:r w:rsidRPr="4CA445B8">
        <w:rPr>
          <w:rFonts w:cs="Times New Roman"/>
        </w:rPr>
        <w:t xml:space="preserve">Furthermore, we </w:t>
      </w:r>
      <w:r w:rsidR="007B7217">
        <w:rPr>
          <w:rFonts w:cs="Times New Roman"/>
        </w:rPr>
        <w:t>assume based on the IIHS study</w:t>
      </w:r>
      <w:r w:rsidRPr="4CA445B8">
        <w:rPr>
          <w:rFonts w:cs="Times New Roman"/>
        </w:rPr>
        <w:t xml:space="preserve"> that relative to a seven-second warning, a </w:t>
      </w:r>
      <w:r w:rsidR="00F560EF">
        <w:rPr>
          <w:rFonts w:cs="Times New Roman"/>
        </w:rPr>
        <w:t>90</w:t>
      </w:r>
      <w:r w:rsidRPr="4CA445B8">
        <w:rPr>
          <w:rFonts w:cs="Times New Roman"/>
        </w:rPr>
        <w:t>-second warning</w:t>
      </w:r>
      <w:r>
        <w:rPr>
          <w:rStyle w:val="FootnoteReference"/>
          <w:rFonts w:cs="Times New Roman"/>
        </w:rPr>
        <w:footnoteReference w:id="62"/>
      </w:r>
      <w:r w:rsidR="00865A2D" w:rsidRPr="4CA445B8">
        <w:rPr>
          <w:rFonts w:cs="Times New Roman"/>
        </w:rPr>
        <w:t xml:space="preserve"> </w:t>
      </w:r>
      <w:r w:rsidRPr="4CA445B8">
        <w:rPr>
          <w:rFonts w:cs="Times New Roman"/>
        </w:rPr>
        <w:t xml:space="preserve"> results in a 30 percent increase in seat belt use and an indefinite warning results in a 34 percent increase. We can make use of that information to establish the equation (</w:t>
      </w:r>
      <w:r w:rsidR="0067676B" w:rsidRPr="4CA445B8">
        <w:rPr>
          <w:rFonts w:cs="Times New Roman"/>
        </w:rPr>
        <w:t>6</w:t>
      </w:r>
      <w:r w:rsidRPr="4CA445B8">
        <w:rPr>
          <w:rFonts w:cs="Times New Roman"/>
        </w:rPr>
        <w:t xml:space="preserve">) that represents the calculation of the overall seat belt use rate in </w:t>
      </w:r>
      <w:r w:rsidR="00FE466E" w:rsidRPr="00FE466E">
        <w:rPr>
          <w:rFonts w:cs="Times New Roman"/>
        </w:rPr>
        <w:t xml:space="preserve">potentially </w:t>
      </w:r>
      <w:r w:rsidRPr="4CA445B8">
        <w:rPr>
          <w:rFonts w:cs="Times New Roman"/>
        </w:rPr>
        <w:t xml:space="preserve">fatal crashes of </w:t>
      </w:r>
      <w:r w:rsidR="0067676B" w:rsidRPr="4CA445B8">
        <w:rPr>
          <w:rFonts w:cs="Times New Roman"/>
        </w:rPr>
        <w:t>0.</w:t>
      </w:r>
      <w:r w:rsidRPr="4CA445B8">
        <w:rPr>
          <w:rFonts w:cs="Times New Roman"/>
        </w:rPr>
        <w:t>7842 percent:</w:t>
      </w:r>
    </w:p>
    <w:p w14:paraId="35C7CC9B" w14:textId="77777777" w:rsidR="005756C9" w:rsidRPr="004C5B33" w:rsidRDefault="000F5B51" w:rsidP="005756C9">
      <w:pPr>
        <w:spacing w:after="0"/>
        <w:contextualSpacing/>
        <w:jc w:val="center"/>
        <w:rPr>
          <w:rFonts w:eastAsiaTheme="minorEastAsia" w:cs="Times New Roman"/>
          <w:szCs w:val="24"/>
        </w:rPr>
      </w:pPr>
      <m:oMath>
        <m:r>
          <w:rPr>
            <w:rFonts w:ascii="Cambria Math" w:hAnsi="Cambria Math" w:cs="Times New Roman"/>
            <w:szCs w:val="24"/>
          </w:rPr>
          <m:t>0.0763x+0.8514</m:t>
        </m:r>
        <m:d>
          <m:dPr>
            <m:ctrlPr>
              <w:rPr>
                <w:rFonts w:ascii="Cambria Math" w:hAnsi="Cambria Math" w:cs="Times New Roman"/>
                <w:i/>
                <w:szCs w:val="24"/>
              </w:rPr>
            </m:ctrlPr>
          </m:dPr>
          <m:e>
            <m:r>
              <w:rPr>
                <w:rFonts w:ascii="Cambria Math" w:hAnsi="Cambria Math" w:cs="Times New Roman"/>
                <w:szCs w:val="24"/>
              </w:rPr>
              <m:t>1.30x</m:t>
            </m:r>
          </m:e>
        </m:d>
        <m:r>
          <w:rPr>
            <w:rFonts w:ascii="Cambria Math" w:hAnsi="Cambria Math" w:cs="Times New Roman"/>
            <w:szCs w:val="24"/>
          </w:rPr>
          <m:t>+0.0723</m:t>
        </m:r>
        <m:d>
          <m:dPr>
            <m:ctrlPr>
              <w:rPr>
                <w:rFonts w:ascii="Cambria Math" w:hAnsi="Cambria Math" w:cs="Times New Roman"/>
                <w:i/>
                <w:szCs w:val="24"/>
              </w:rPr>
            </m:ctrlPr>
          </m:dPr>
          <m:e>
            <m:r>
              <w:rPr>
                <w:rFonts w:ascii="Cambria Math" w:hAnsi="Cambria Math" w:cs="Times New Roman"/>
                <w:szCs w:val="24"/>
              </w:rPr>
              <m:t>1.34x</m:t>
            </m:r>
          </m:e>
        </m:d>
        <m:r>
          <w:rPr>
            <w:rFonts w:ascii="Cambria Math" w:hAnsi="Cambria Math" w:cs="Times New Roman"/>
            <w:szCs w:val="24"/>
          </w:rPr>
          <m:t>=0.7842</m:t>
        </m:r>
      </m:oMath>
      <w:r w:rsidRPr="004C5B33">
        <w:rPr>
          <w:rFonts w:eastAsiaTheme="minorEastAsia" w:cs="Times New Roman"/>
          <w:szCs w:val="24"/>
        </w:rPr>
        <w:t xml:space="preserve"> (</w:t>
      </w:r>
      <w:r w:rsidR="0067676B">
        <w:rPr>
          <w:rFonts w:eastAsiaTheme="minorEastAsia" w:cs="Times New Roman"/>
          <w:szCs w:val="24"/>
        </w:rPr>
        <w:t>6</w:t>
      </w:r>
      <w:r w:rsidRPr="004C5B33">
        <w:rPr>
          <w:rFonts w:eastAsiaTheme="minorEastAsia" w:cs="Times New Roman"/>
          <w:szCs w:val="24"/>
        </w:rPr>
        <w:t>)</w:t>
      </w:r>
    </w:p>
    <w:p w14:paraId="4D011D0A" w14:textId="77777777" w:rsidR="005756C9" w:rsidRPr="004C5B33" w:rsidRDefault="000F5B51" w:rsidP="005756C9">
      <w:pPr>
        <w:spacing w:after="0"/>
        <w:contextualSpacing/>
        <w:jc w:val="center"/>
        <w:rPr>
          <w:rFonts w:cs="Times New Roman"/>
          <w:szCs w:val="24"/>
        </w:rPr>
      </w:pPr>
      <w:r w:rsidRPr="004C5B33">
        <w:rPr>
          <w:rFonts w:eastAsiaTheme="minorEastAsia" w:cs="Times New Roman"/>
          <w:szCs w:val="24"/>
        </w:rPr>
        <w:t>Where x is the seat belt use rate observed for the seven-second warning.</w:t>
      </w:r>
    </w:p>
    <w:p w14:paraId="3EC3F474" w14:textId="7699BFBD" w:rsidR="005756C9" w:rsidRPr="004C5B33" w:rsidRDefault="000F5B51" w:rsidP="005756C9">
      <w:pPr>
        <w:spacing w:after="0"/>
        <w:contextualSpacing/>
        <w:rPr>
          <w:rFonts w:cs="Times New Roman"/>
          <w:szCs w:val="24"/>
        </w:rPr>
      </w:pPr>
      <w:r>
        <w:rPr>
          <w:rFonts w:cs="Times New Roman"/>
          <w:szCs w:val="24"/>
        </w:rPr>
        <w:t xml:space="preserve">The first part of the equation </w:t>
      </w:r>
      <w:r w:rsidR="003B2183">
        <w:rPr>
          <w:rFonts w:cs="Times New Roman"/>
          <w:szCs w:val="24"/>
        </w:rPr>
        <w:t xml:space="preserve">represents the 7.63 precent of vehicles with a </w:t>
      </w:r>
      <w:r w:rsidR="00865A2D">
        <w:rPr>
          <w:rFonts w:cs="Times New Roman"/>
          <w:szCs w:val="24"/>
        </w:rPr>
        <w:t>in Bin No.1</w:t>
      </w:r>
      <w:r w:rsidR="003B2183">
        <w:rPr>
          <w:rFonts w:cs="Times New Roman"/>
          <w:szCs w:val="24"/>
        </w:rPr>
        <w:t xml:space="preserve">, the second </w:t>
      </w:r>
      <w:r w:rsidR="00031432">
        <w:rPr>
          <w:rFonts w:cs="Times New Roman"/>
          <w:szCs w:val="24"/>
        </w:rPr>
        <w:t xml:space="preserve">part represents the 85.14 percent of vehicles </w:t>
      </w:r>
      <w:r w:rsidR="00865A2D">
        <w:rPr>
          <w:rFonts w:cs="Times New Roman"/>
          <w:szCs w:val="24"/>
        </w:rPr>
        <w:t xml:space="preserve">in Bin No.2 </w:t>
      </w:r>
      <w:r w:rsidR="00031432">
        <w:rPr>
          <w:rFonts w:cs="Times New Roman"/>
          <w:szCs w:val="24"/>
        </w:rPr>
        <w:t xml:space="preserve">that results in a 30 percent increase in </w:t>
      </w:r>
      <w:r w:rsidR="007A24A5">
        <w:rPr>
          <w:rFonts w:cs="Times New Roman"/>
          <w:szCs w:val="24"/>
        </w:rPr>
        <w:t>seat belt use, and the third part represents the 7.</w:t>
      </w:r>
      <w:r w:rsidR="009C217D">
        <w:rPr>
          <w:rFonts w:cs="Times New Roman"/>
          <w:szCs w:val="24"/>
        </w:rPr>
        <w:t xml:space="preserve">23 percent of vehicles </w:t>
      </w:r>
      <w:r w:rsidR="00865A2D">
        <w:rPr>
          <w:rFonts w:cs="Times New Roman"/>
          <w:szCs w:val="24"/>
        </w:rPr>
        <w:t>in Bin No. 3</w:t>
      </w:r>
      <w:r w:rsidR="009C217D">
        <w:rPr>
          <w:rFonts w:cs="Times New Roman"/>
          <w:szCs w:val="24"/>
        </w:rPr>
        <w:t xml:space="preserve"> that results in a 34 percent increase in seat belt use. </w:t>
      </w:r>
      <w:r w:rsidRPr="004C5B33">
        <w:rPr>
          <w:rFonts w:cs="Times New Roman"/>
          <w:szCs w:val="24"/>
        </w:rPr>
        <w:t>Solving for x, we find that the seat belt use rate for the seven-second warning in</w:t>
      </w:r>
      <w:r w:rsidR="00A37D21">
        <w:rPr>
          <w:rFonts w:cs="Times New Roman"/>
          <w:szCs w:val="24"/>
        </w:rPr>
        <w:t xml:space="preserve"> potentially</w:t>
      </w:r>
      <w:r w:rsidRPr="004C5B33">
        <w:rPr>
          <w:rFonts w:cs="Times New Roman"/>
          <w:szCs w:val="24"/>
        </w:rPr>
        <w:t xml:space="preserve"> fatal crash</w:t>
      </w:r>
      <w:r w:rsidR="00A37D21">
        <w:rPr>
          <w:rFonts w:cs="Times New Roman"/>
          <w:szCs w:val="24"/>
        </w:rPr>
        <w:t>es</w:t>
      </w:r>
      <w:r w:rsidRPr="004C5B33">
        <w:rPr>
          <w:rFonts w:cs="Times New Roman"/>
          <w:szCs w:val="24"/>
        </w:rPr>
        <w:t xml:space="preserve"> is 0.6127. Furthermore, we can </w:t>
      </w:r>
      <w:r w:rsidRPr="004C5B33">
        <w:rPr>
          <w:rFonts w:cs="Times New Roman"/>
          <w:szCs w:val="24"/>
        </w:rPr>
        <w:lastRenderedPageBreak/>
        <w:t>increase that seat belt rate by 30 percent to calculate the seat belt use rate for 90-second</w:t>
      </w:r>
      <w:r w:rsidR="00865A2D">
        <w:rPr>
          <w:rFonts w:cs="Times New Roman"/>
          <w:szCs w:val="24"/>
        </w:rPr>
        <w:t xml:space="preserve"> or more</w:t>
      </w:r>
      <w:r w:rsidRPr="004C5B33">
        <w:rPr>
          <w:rFonts w:cs="Times New Roman"/>
          <w:szCs w:val="24"/>
        </w:rPr>
        <w:t xml:space="preserve"> warning systems in</w:t>
      </w:r>
      <w:r w:rsidR="009B38DD">
        <w:rPr>
          <w:rFonts w:cs="Times New Roman"/>
          <w:szCs w:val="24"/>
        </w:rPr>
        <w:t xml:space="preserve"> </w:t>
      </w:r>
      <w:r w:rsidR="009B38DD" w:rsidRPr="009B38DD">
        <w:rPr>
          <w:rFonts w:cs="Times New Roman"/>
          <w:szCs w:val="24"/>
        </w:rPr>
        <w:t>potentially</w:t>
      </w:r>
      <w:r w:rsidRPr="004C5B33">
        <w:rPr>
          <w:rFonts w:cs="Times New Roman"/>
          <w:szCs w:val="24"/>
        </w:rPr>
        <w:t xml:space="preserve"> fatal crashes of approximately 0.7965</w:t>
      </w:r>
      <w:r w:rsidR="001F2F92">
        <w:rPr>
          <w:rFonts w:cs="Times New Roman"/>
          <w:szCs w:val="24"/>
        </w:rPr>
        <w:t xml:space="preserve">. </w:t>
      </w:r>
      <w:r w:rsidRPr="004C5B33">
        <w:rPr>
          <w:rFonts w:cs="Times New Roman"/>
          <w:szCs w:val="24"/>
        </w:rPr>
        <w:t xml:space="preserve">Similar, we can increase the seat belt rate by 34 percent to calculate the seat belt use rate for indefinite warning systems in </w:t>
      </w:r>
      <w:r w:rsidR="00FE466E" w:rsidRPr="00FE466E">
        <w:rPr>
          <w:rFonts w:cs="Times New Roman"/>
          <w:szCs w:val="24"/>
        </w:rPr>
        <w:t xml:space="preserve">potentially </w:t>
      </w:r>
      <w:r w:rsidRPr="004C5B33">
        <w:rPr>
          <w:rFonts w:cs="Times New Roman"/>
          <w:szCs w:val="24"/>
        </w:rPr>
        <w:t xml:space="preserve">fatal crashes of approximately 0.8210. </w:t>
      </w:r>
    </w:p>
    <w:p w14:paraId="7E85EE96" w14:textId="77777777" w:rsidR="005756C9" w:rsidRPr="004C5B33" w:rsidRDefault="000F5B51" w:rsidP="005756C9">
      <w:pPr>
        <w:spacing w:after="0"/>
        <w:contextualSpacing/>
        <w:rPr>
          <w:rFonts w:cs="Times New Roman"/>
          <w:szCs w:val="24"/>
        </w:rPr>
      </w:pPr>
      <w:r w:rsidRPr="004C5B33">
        <w:rPr>
          <w:rFonts w:cs="Times New Roman"/>
          <w:szCs w:val="24"/>
        </w:rPr>
        <w:t xml:space="preserve">Similarly, we can make use of that information to establish the equation </w:t>
      </w:r>
      <w:r w:rsidRPr="00572735">
        <w:rPr>
          <w:rFonts w:cs="Times New Roman"/>
          <w:szCs w:val="24"/>
        </w:rPr>
        <w:t>(</w:t>
      </w:r>
      <w:r w:rsidR="0067676B">
        <w:rPr>
          <w:rFonts w:cs="Times New Roman"/>
          <w:szCs w:val="24"/>
        </w:rPr>
        <w:t>6</w:t>
      </w:r>
      <w:r w:rsidRPr="00572735">
        <w:rPr>
          <w:rFonts w:cs="Times New Roman"/>
          <w:szCs w:val="24"/>
        </w:rPr>
        <w:t>)</w:t>
      </w:r>
      <w:r w:rsidRPr="004C5B33">
        <w:rPr>
          <w:rFonts w:cs="Times New Roman"/>
          <w:szCs w:val="24"/>
        </w:rPr>
        <w:t xml:space="preserve"> that represents the calculation of the overall seat belt use rate in crashes resulting in non-fatal injuries:</w:t>
      </w:r>
    </w:p>
    <w:p w14:paraId="731EF8A2" w14:textId="26311EDB" w:rsidR="005756C9" w:rsidRPr="004C5B33" w:rsidRDefault="000F5B51" w:rsidP="005756C9">
      <w:pPr>
        <w:spacing w:after="0"/>
        <w:contextualSpacing/>
        <w:jc w:val="center"/>
        <w:rPr>
          <w:rFonts w:eastAsiaTheme="minorEastAsia" w:cs="Times New Roman"/>
          <w:szCs w:val="24"/>
        </w:rPr>
      </w:pPr>
      <m:oMathPara>
        <m:oMath>
          <m:r>
            <w:rPr>
              <w:rFonts w:ascii="Cambria Math" w:hAnsi="Cambria Math" w:cs="Times New Roman"/>
              <w:szCs w:val="24"/>
            </w:rPr>
            <m:t>0.0763x+0.8514</m:t>
          </m:r>
          <m:d>
            <m:dPr>
              <m:ctrlPr>
                <w:rPr>
                  <w:rFonts w:ascii="Cambria Math" w:hAnsi="Cambria Math" w:cs="Times New Roman"/>
                  <w:i/>
                  <w:szCs w:val="24"/>
                </w:rPr>
              </m:ctrlPr>
            </m:dPr>
            <m:e>
              <m:r>
                <w:rPr>
                  <w:rFonts w:ascii="Cambria Math" w:hAnsi="Cambria Math" w:cs="Times New Roman"/>
                  <w:szCs w:val="24"/>
                </w:rPr>
                <m:t>1.30x</m:t>
              </m:r>
            </m:e>
          </m:d>
          <m:r>
            <w:rPr>
              <w:rFonts w:ascii="Cambria Math" w:hAnsi="Cambria Math" w:cs="Times New Roman"/>
              <w:szCs w:val="24"/>
            </w:rPr>
            <m:t>+0.0723</m:t>
          </m:r>
          <m:d>
            <m:dPr>
              <m:ctrlPr>
                <w:rPr>
                  <w:rFonts w:ascii="Cambria Math" w:hAnsi="Cambria Math" w:cs="Times New Roman"/>
                  <w:i/>
                  <w:szCs w:val="24"/>
                </w:rPr>
              </m:ctrlPr>
            </m:dPr>
            <m:e>
              <m:r>
                <w:rPr>
                  <w:rFonts w:ascii="Cambria Math" w:hAnsi="Cambria Math" w:cs="Times New Roman"/>
                  <w:szCs w:val="24"/>
                </w:rPr>
                <m:t>1.34x</m:t>
              </m:r>
            </m:e>
          </m:d>
          <m:r>
            <w:rPr>
              <w:rFonts w:ascii="Cambria Math" w:hAnsi="Cambria Math" w:cs="Times New Roman"/>
              <w:szCs w:val="24"/>
            </w:rPr>
            <m:t>=0.906</m:t>
          </m:r>
        </m:oMath>
      </m:oMathPara>
    </w:p>
    <w:p w14:paraId="063560B5" w14:textId="77777777" w:rsidR="005756C9" w:rsidRPr="004C5B33" w:rsidRDefault="000F5B51" w:rsidP="005756C9">
      <w:pPr>
        <w:spacing w:after="0"/>
        <w:contextualSpacing/>
        <w:jc w:val="center"/>
        <w:rPr>
          <w:rFonts w:cs="Times New Roman"/>
          <w:szCs w:val="24"/>
        </w:rPr>
      </w:pPr>
      <w:r w:rsidRPr="004C5B33">
        <w:rPr>
          <w:rFonts w:eastAsiaTheme="minorEastAsia" w:cs="Times New Roman"/>
          <w:szCs w:val="24"/>
        </w:rPr>
        <w:t>Where x is the seat belt use rate observed for the seven-second warning.</w:t>
      </w:r>
    </w:p>
    <w:p w14:paraId="48CBAAFD" w14:textId="696D0E8C" w:rsidR="005756C9" w:rsidRDefault="000F5B51" w:rsidP="005756C9">
      <w:pPr>
        <w:spacing w:after="0"/>
        <w:contextualSpacing/>
        <w:rPr>
          <w:rFonts w:cs="Times New Roman"/>
        </w:rPr>
      </w:pPr>
      <w:r w:rsidRPr="005F0E59">
        <w:rPr>
          <w:rFonts w:cs="Times New Roman"/>
        </w:rPr>
        <w:t xml:space="preserve">Solving for x, we </w:t>
      </w:r>
      <w:r w:rsidRPr="001D0BC2">
        <w:rPr>
          <w:rFonts w:cs="Times New Roman"/>
        </w:rPr>
        <w:t>find that the baseline seat belt use rate for the seven-second warning in crashes resulting in non-fatal injuries is 0.</w:t>
      </w:r>
      <w:r w:rsidR="00CB49C4" w:rsidRPr="00C420B3">
        <w:rPr>
          <w:rFonts w:cs="Times New Roman"/>
        </w:rPr>
        <w:t>7078</w:t>
      </w:r>
      <w:r w:rsidRPr="00712C12">
        <w:rPr>
          <w:rFonts w:cs="Times New Roman"/>
        </w:rPr>
        <w:t>. Furthermore, we can increase that seat belt rate by 30 percent to calculate the seat belt use rate for 90-second warning systems in crashes resulting in non-fatal injuries crashes of approximately 0.</w:t>
      </w:r>
      <w:r w:rsidR="00CB49C4" w:rsidRPr="00C420B3">
        <w:rPr>
          <w:rFonts w:cs="Times New Roman"/>
        </w:rPr>
        <w:t>9202</w:t>
      </w:r>
      <w:r w:rsidR="001F2F92" w:rsidRPr="00712C12">
        <w:rPr>
          <w:rFonts w:cs="Times New Roman"/>
        </w:rPr>
        <w:t xml:space="preserve">. </w:t>
      </w:r>
      <w:r w:rsidR="58374E60" w:rsidRPr="00712C12">
        <w:rPr>
          <w:rFonts w:cs="Times New Roman"/>
        </w:rPr>
        <w:t>Similar</w:t>
      </w:r>
      <w:r w:rsidR="1C177C2B" w:rsidRPr="00712C12">
        <w:rPr>
          <w:rFonts w:cs="Times New Roman"/>
        </w:rPr>
        <w:t>ly</w:t>
      </w:r>
      <w:r w:rsidRPr="00712C12">
        <w:rPr>
          <w:rFonts w:cs="Times New Roman"/>
        </w:rPr>
        <w:t>, we can increase the seat belt rate by 34 percent to calculate the seat belt use rate for indefinite warning systems in crashes resulting in non-fatal injuries crashes of approximately 0.</w:t>
      </w:r>
      <w:r w:rsidR="00CB49C4" w:rsidRPr="00C420B3">
        <w:rPr>
          <w:rFonts w:cs="Times New Roman"/>
        </w:rPr>
        <w:t>9485</w:t>
      </w:r>
      <w:r w:rsidRPr="00712C12">
        <w:rPr>
          <w:rFonts w:cs="Times New Roman"/>
        </w:rPr>
        <w:t>.</w:t>
      </w:r>
      <w:r w:rsidRPr="4CA445B8">
        <w:rPr>
          <w:rFonts w:cs="Times New Roman"/>
        </w:rPr>
        <w:t xml:space="preserve"> </w:t>
      </w:r>
    </w:p>
    <w:p w14:paraId="486B7E55" w14:textId="1E1AC889" w:rsidR="0064542A" w:rsidRPr="009D65BE" w:rsidRDefault="000F5B51" w:rsidP="00200279">
      <w:pPr>
        <w:spacing w:after="0"/>
        <w:contextualSpacing/>
        <w:rPr>
          <w:rFonts w:cs="Times New Roman"/>
          <w:szCs w:val="24"/>
        </w:rPr>
      </w:pPr>
      <w:r w:rsidRPr="005604EF">
        <w:rPr>
          <w:rFonts w:cs="Times New Roman"/>
          <w:szCs w:val="24"/>
        </w:rPr>
        <w:t>Following the same methods, we can calculate the seat belt use rates under the proposed rule for right front seat occupants</w:t>
      </w:r>
      <w:r w:rsidR="001F2F92">
        <w:rPr>
          <w:rFonts w:cs="Times New Roman"/>
          <w:szCs w:val="24"/>
        </w:rPr>
        <w:t xml:space="preserve">. </w:t>
      </w:r>
      <w:r w:rsidRPr="005604EF">
        <w:t xml:space="preserve">This analysis established an overall observed seat belt use rate of </w:t>
      </w:r>
      <w:r>
        <w:t>0.</w:t>
      </w:r>
      <w:r w:rsidRPr="005604EF">
        <w:rPr>
          <w:rFonts w:cs="Times New Roman"/>
          <w:szCs w:val="24"/>
        </w:rPr>
        <w:t>894</w:t>
      </w:r>
      <w:r>
        <w:rPr>
          <w:rFonts w:cs="Times New Roman"/>
          <w:szCs w:val="24"/>
        </w:rPr>
        <w:t xml:space="preserve">0 </w:t>
      </w:r>
      <w:r w:rsidRPr="005604EF">
        <w:t xml:space="preserve">for right front seat </w:t>
      </w:r>
      <w:r>
        <w:t>occupants</w:t>
      </w:r>
      <w:r w:rsidRPr="005604EF">
        <w:t xml:space="preserve">. Furthermore, </w:t>
      </w:r>
      <w:r w:rsidRPr="005604EF">
        <w:rPr>
          <w:rFonts w:cs="Times New Roman"/>
          <w:szCs w:val="24"/>
        </w:rPr>
        <w:t>we calculated the belt use rate in</w:t>
      </w:r>
      <w:r w:rsidR="000241D4">
        <w:rPr>
          <w:rFonts w:cs="Times New Roman"/>
          <w:szCs w:val="24"/>
        </w:rPr>
        <w:t xml:space="preserve"> potentially</w:t>
      </w:r>
      <w:r w:rsidRPr="005604EF">
        <w:rPr>
          <w:rFonts w:cs="Times New Roman"/>
          <w:szCs w:val="24"/>
        </w:rPr>
        <w:t xml:space="preserve"> fatal crashes would be </w:t>
      </w:r>
      <w:r>
        <w:rPr>
          <w:rFonts w:cs="Times New Roman"/>
          <w:szCs w:val="24"/>
        </w:rPr>
        <w:t>0.</w:t>
      </w:r>
      <w:r w:rsidRPr="005604EF">
        <w:rPr>
          <w:rFonts w:cs="Times New Roman"/>
          <w:szCs w:val="24"/>
        </w:rPr>
        <w:t xml:space="preserve">7688 and a seat belt use rate in crashes resulting in non-fatal injuries of </w:t>
      </w:r>
      <w:r>
        <w:rPr>
          <w:rFonts w:cs="Times New Roman"/>
          <w:szCs w:val="24"/>
        </w:rPr>
        <w:t>0.</w:t>
      </w:r>
      <w:r w:rsidRPr="005604EF">
        <w:rPr>
          <w:rFonts w:cs="Times New Roman"/>
          <w:szCs w:val="24"/>
        </w:rPr>
        <w:t xml:space="preserve">8541 when we have an observed belt use rate of </w:t>
      </w:r>
      <w:r>
        <w:rPr>
          <w:rFonts w:cs="Times New Roman"/>
          <w:szCs w:val="24"/>
        </w:rPr>
        <w:t>0.</w:t>
      </w:r>
      <w:r w:rsidRPr="005604EF">
        <w:rPr>
          <w:rFonts w:cs="Times New Roman"/>
          <w:szCs w:val="24"/>
        </w:rPr>
        <w:t>894</w:t>
      </w:r>
      <w:r>
        <w:rPr>
          <w:rFonts w:cs="Times New Roman"/>
          <w:szCs w:val="24"/>
        </w:rPr>
        <w:t>0</w:t>
      </w:r>
      <w:r w:rsidRPr="005604EF">
        <w:rPr>
          <w:rFonts w:cs="Times New Roman"/>
          <w:szCs w:val="24"/>
        </w:rPr>
        <w:t xml:space="preserve"> in the baseline</w:t>
      </w:r>
      <w:r w:rsidR="001F2F92">
        <w:rPr>
          <w:rFonts w:cs="Times New Roman"/>
          <w:szCs w:val="24"/>
        </w:rPr>
        <w:t xml:space="preserve">. </w:t>
      </w:r>
      <w:r w:rsidRPr="005604EF">
        <w:rPr>
          <w:rFonts w:cs="Times New Roman"/>
          <w:szCs w:val="24"/>
        </w:rPr>
        <w:t>We again make use of equation (</w:t>
      </w:r>
      <w:r>
        <w:rPr>
          <w:rFonts w:cs="Times New Roman"/>
          <w:szCs w:val="24"/>
        </w:rPr>
        <w:t>6</w:t>
      </w:r>
      <w:r w:rsidRPr="005604EF">
        <w:rPr>
          <w:rFonts w:cs="Times New Roman"/>
          <w:szCs w:val="24"/>
        </w:rPr>
        <w:t>) to estimate seat belt use</w:t>
      </w:r>
      <w:r w:rsidR="00B6148F">
        <w:rPr>
          <w:rFonts w:cs="Times New Roman"/>
          <w:szCs w:val="24"/>
        </w:rPr>
        <w:t xml:space="preserve"> under the baseline</w:t>
      </w:r>
      <w:r w:rsidRPr="005604EF">
        <w:rPr>
          <w:rFonts w:cs="Times New Roman"/>
          <w:szCs w:val="24"/>
        </w:rPr>
        <w:t xml:space="preserve"> for the seven-second warning, 90-second warning, and indefinite warning in both </w:t>
      </w:r>
      <w:r w:rsidR="000241D4">
        <w:rPr>
          <w:rFonts w:cs="Times New Roman"/>
          <w:szCs w:val="24"/>
        </w:rPr>
        <w:t xml:space="preserve">potentially </w:t>
      </w:r>
      <w:r w:rsidRPr="005604EF">
        <w:rPr>
          <w:rFonts w:cs="Times New Roman"/>
          <w:szCs w:val="24"/>
        </w:rPr>
        <w:t>fatal crashes and crashes that resulted in non-fatal injuries</w:t>
      </w:r>
      <w:r w:rsidR="001F2F92">
        <w:rPr>
          <w:rFonts w:cs="Times New Roman"/>
          <w:szCs w:val="24"/>
        </w:rPr>
        <w:t xml:space="preserve">. </w:t>
      </w:r>
      <w:r>
        <w:rPr>
          <w:rFonts w:cs="Times New Roman"/>
          <w:szCs w:val="24"/>
        </w:rPr>
        <w:t xml:space="preserve">For right front seat occupants, </w:t>
      </w:r>
      <w:r w:rsidR="000E78B3">
        <w:rPr>
          <w:rFonts w:cs="Times New Roman"/>
          <w:szCs w:val="24"/>
        </w:rPr>
        <w:t>seat belt use in</w:t>
      </w:r>
      <w:r w:rsidR="00FE466E">
        <w:rPr>
          <w:rFonts w:cs="Times New Roman"/>
          <w:szCs w:val="24"/>
        </w:rPr>
        <w:t xml:space="preserve"> </w:t>
      </w:r>
      <w:r w:rsidR="00FE466E" w:rsidRPr="00FE466E">
        <w:rPr>
          <w:rFonts w:cs="Times New Roman"/>
          <w:szCs w:val="24"/>
        </w:rPr>
        <w:t>potentially</w:t>
      </w:r>
      <w:r w:rsidR="000E78B3">
        <w:rPr>
          <w:rFonts w:cs="Times New Roman"/>
          <w:szCs w:val="24"/>
        </w:rPr>
        <w:t xml:space="preserve"> fatal crashes </w:t>
      </w:r>
      <w:r w:rsidR="00AF0963">
        <w:rPr>
          <w:rFonts w:cs="Times New Roman"/>
          <w:szCs w:val="24"/>
        </w:rPr>
        <w:t>is 0.6006 when there is a seven-second warning, 0.780</w:t>
      </w:r>
      <w:r w:rsidR="0081592E">
        <w:rPr>
          <w:rFonts w:cs="Times New Roman"/>
          <w:szCs w:val="24"/>
        </w:rPr>
        <w:t>8</w:t>
      </w:r>
      <w:r w:rsidR="00AF0963">
        <w:rPr>
          <w:rFonts w:cs="Times New Roman"/>
          <w:szCs w:val="24"/>
        </w:rPr>
        <w:t xml:space="preserve"> when there is a 90-second warning</w:t>
      </w:r>
      <w:r w:rsidR="003B387D">
        <w:rPr>
          <w:rFonts w:cs="Times New Roman"/>
          <w:szCs w:val="24"/>
        </w:rPr>
        <w:t>,</w:t>
      </w:r>
      <w:r w:rsidR="00AF0963">
        <w:rPr>
          <w:rFonts w:cs="Times New Roman"/>
          <w:szCs w:val="24"/>
        </w:rPr>
        <w:t xml:space="preserve"> and </w:t>
      </w:r>
      <w:r w:rsidR="0081592E">
        <w:rPr>
          <w:rFonts w:cs="Times New Roman"/>
          <w:szCs w:val="24"/>
        </w:rPr>
        <w:t xml:space="preserve">0.8048 </w:t>
      </w:r>
      <w:r w:rsidR="0081592E">
        <w:rPr>
          <w:rFonts w:cs="Times New Roman"/>
          <w:szCs w:val="24"/>
        </w:rPr>
        <w:lastRenderedPageBreak/>
        <w:t>when there is an indefinite warning</w:t>
      </w:r>
      <w:r w:rsidR="001F2F92">
        <w:rPr>
          <w:rFonts w:cs="Times New Roman"/>
          <w:szCs w:val="24"/>
        </w:rPr>
        <w:t xml:space="preserve">. </w:t>
      </w:r>
      <w:r w:rsidR="00B6148F">
        <w:rPr>
          <w:rFonts w:cs="Times New Roman"/>
          <w:szCs w:val="24"/>
        </w:rPr>
        <w:t>In the case of crashes resulting in non-fatal injuries,</w:t>
      </w:r>
      <w:r w:rsidR="00141F9B">
        <w:rPr>
          <w:rFonts w:cs="Times New Roman"/>
          <w:szCs w:val="24"/>
        </w:rPr>
        <w:t xml:space="preserve"> seat belt use is </w:t>
      </w:r>
      <w:r w:rsidR="003B387D">
        <w:rPr>
          <w:rFonts w:cs="Times New Roman"/>
          <w:szCs w:val="24"/>
        </w:rPr>
        <w:t xml:space="preserve">0.6673 when there is a seven-second warning, 0.8674 when there is a 90-second warning, and </w:t>
      </w:r>
      <w:r w:rsidR="00E0677B">
        <w:rPr>
          <w:rFonts w:cs="Times New Roman"/>
          <w:szCs w:val="24"/>
        </w:rPr>
        <w:t>0.8942 when there is an indefinite warning.</w:t>
      </w:r>
    </w:p>
    <w:p w14:paraId="5EDA5539" w14:textId="77777777" w:rsidR="00447201" w:rsidRDefault="000F5B51" w:rsidP="00165061">
      <w:pPr>
        <w:spacing w:after="0"/>
        <w:contextualSpacing/>
        <w:rPr>
          <w:rFonts w:cs="Times New Roman"/>
          <w:szCs w:val="24"/>
        </w:rPr>
      </w:pPr>
      <w:r>
        <w:rPr>
          <w:rFonts w:cs="Times New Roman"/>
          <w:szCs w:val="24"/>
        </w:rPr>
        <w:t>Taking into account the baseline seat belt use rate for each warning system</w:t>
      </w:r>
      <w:r w:rsidR="00BC07C3">
        <w:rPr>
          <w:rFonts w:cs="Times New Roman"/>
          <w:szCs w:val="24"/>
        </w:rPr>
        <w:t xml:space="preserve"> for drivers and right front seat occupants</w:t>
      </w:r>
      <w:r w:rsidR="005B52A2">
        <w:rPr>
          <w:rFonts w:cs="Times New Roman"/>
          <w:szCs w:val="24"/>
        </w:rPr>
        <w:t xml:space="preserve"> and the estimated increase in seat belt use </w:t>
      </w:r>
      <w:r w:rsidR="00611B2F">
        <w:rPr>
          <w:rFonts w:cs="Times New Roman"/>
          <w:szCs w:val="24"/>
        </w:rPr>
        <w:t xml:space="preserve">resulting </w:t>
      </w:r>
      <w:r w:rsidR="005B52A2">
        <w:rPr>
          <w:rFonts w:cs="Times New Roman"/>
          <w:szCs w:val="24"/>
        </w:rPr>
        <w:t>from the indefinite warning</w:t>
      </w:r>
      <w:r>
        <w:rPr>
          <w:rFonts w:cs="Times New Roman"/>
          <w:szCs w:val="24"/>
        </w:rPr>
        <w:t xml:space="preserve">, this analysis can estimate the </w:t>
      </w:r>
      <w:r w:rsidR="005B52A2">
        <w:rPr>
          <w:rFonts w:cs="Times New Roman"/>
          <w:szCs w:val="24"/>
        </w:rPr>
        <w:t>seat belt use rates under the</w:t>
      </w:r>
      <w:r w:rsidR="0008783D">
        <w:rPr>
          <w:rFonts w:cs="Times New Roman"/>
          <w:szCs w:val="24"/>
        </w:rPr>
        <w:t xml:space="preserve"> proposed rule</w:t>
      </w:r>
      <w:r w:rsidR="001F2F92">
        <w:rPr>
          <w:rFonts w:cs="Times New Roman"/>
          <w:szCs w:val="24"/>
        </w:rPr>
        <w:t xml:space="preserve">. </w:t>
      </w:r>
      <w:r w:rsidR="00D45204">
        <w:rPr>
          <w:rFonts w:cs="Times New Roman"/>
          <w:szCs w:val="24"/>
        </w:rPr>
        <w:t>Additionally</w:t>
      </w:r>
      <w:r w:rsidR="00165061" w:rsidRPr="0073271A">
        <w:rPr>
          <w:rFonts w:cs="Times New Roman"/>
          <w:szCs w:val="24"/>
        </w:rPr>
        <w:t>, th</w:t>
      </w:r>
      <w:r w:rsidR="00986008">
        <w:rPr>
          <w:rFonts w:cs="Times New Roman"/>
          <w:szCs w:val="24"/>
        </w:rPr>
        <w:t>is</w:t>
      </w:r>
      <w:r w:rsidR="00165061" w:rsidRPr="0073271A">
        <w:rPr>
          <w:rFonts w:cs="Times New Roman"/>
          <w:szCs w:val="24"/>
        </w:rPr>
        <w:t xml:space="preserve"> analysis assume</w:t>
      </w:r>
      <w:r w:rsidR="00986008">
        <w:rPr>
          <w:rFonts w:cs="Times New Roman"/>
          <w:szCs w:val="24"/>
        </w:rPr>
        <w:t>s</w:t>
      </w:r>
      <w:r w:rsidR="00165061" w:rsidRPr="0073271A">
        <w:rPr>
          <w:rFonts w:cs="Times New Roman"/>
          <w:szCs w:val="24"/>
        </w:rPr>
        <w:t xml:space="preserve"> that </w:t>
      </w:r>
      <w:r w:rsidR="00986008">
        <w:rPr>
          <w:rFonts w:cs="Times New Roman"/>
          <w:szCs w:val="24"/>
        </w:rPr>
        <w:t>although their seat belt usage would increase,</w:t>
      </w:r>
      <w:r w:rsidR="00165061" w:rsidRPr="0073271A">
        <w:rPr>
          <w:rFonts w:cs="Times New Roman"/>
          <w:szCs w:val="24"/>
        </w:rPr>
        <w:t xml:space="preserve"> </w:t>
      </w:r>
      <w:r w:rsidR="005E4E5C">
        <w:rPr>
          <w:rFonts w:cs="Times New Roman"/>
          <w:szCs w:val="24"/>
        </w:rPr>
        <w:t xml:space="preserve">the </w:t>
      </w:r>
      <w:r w:rsidR="00165061" w:rsidRPr="0073271A">
        <w:rPr>
          <w:rFonts w:cs="Times New Roman"/>
          <w:szCs w:val="24"/>
        </w:rPr>
        <w:t xml:space="preserve">percentage of </w:t>
      </w:r>
      <w:r w:rsidR="0028181A">
        <w:rPr>
          <w:rFonts w:cs="Times New Roman"/>
          <w:szCs w:val="24"/>
        </w:rPr>
        <w:t>front seat occupants who sometimes use seat belts</w:t>
      </w:r>
      <w:r w:rsidR="00165061" w:rsidRPr="0073271A">
        <w:rPr>
          <w:rFonts w:cs="Times New Roman"/>
          <w:szCs w:val="24"/>
        </w:rPr>
        <w:t xml:space="preserve"> </w:t>
      </w:r>
      <w:r w:rsidR="0028181A">
        <w:rPr>
          <w:rFonts w:cs="Times New Roman"/>
          <w:szCs w:val="24"/>
        </w:rPr>
        <w:t>established in</w:t>
      </w:r>
      <w:r w:rsidR="00D45204">
        <w:rPr>
          <w:rFonts w:cs="Times New Roman"/>
          <w:szCs w:val="24"/>
        </w:rPr>
        <w:t xml:space="preserve"> the baseline </w:t>
      </w:r>
      <w:r w:rsidR="00986008">
        <w:rPr>
          <w:rFonts w:cs="Times New Roman"/>
          <w:szCs w:val="24"/>
        </w:rPr>
        <w:t xml:space="preserve">would remain the same. That is, we would expect those who sometimes use </w:t>
      </w:r>
      <w:r w:rsidR="00E17076">
        <w:rPr>
          <w:rFonts w:cs="Times New Roman"/>
          <w:szCs w:val="24"/>
        </w:rPr>
        <w:t>seat belts to use them more often, but not transition to the group who always uses seat belts</w:t>
      </w:r>
      <w:r w:rsidR="001F2F92">
        <w:rPr>
          <w:rFonts w:cs="Times New Roman"/>
          <w:szCs w:val="24"/>
        </w:rPr>
        <w:t xml:space="preserve">. </w:t>
      </w:r>
      <w:r w:rsidR="00832837">
        <w:rPr>
          <w:rFonts w:cs="Times New Roman"/>
          <w:szCs w:val="24"/>
        </w:rPr>
        <w:t>Furthermore</w:t>
      </w:r>
      <w:r w:rsidR="00954400">
        <w:rPr>
          <w:rFonts w:cs="Times New Roman"/>
          <w:szCs w:val="24"/>
        </w:rPr>
        <w:t xml:space="preserve">, we note that this analysis established the increase in seat belt use for those who sometimes </w:t>
      </w:r>
      <w:r w:rsidR="00513A0A">
        <w:rPr>
          <w:rFonts w:cs="Times New Roman"/>
          <w:szCs w:val="24"/>
        </w:rPr>
        <w:t>use seat bel</w:t>
      </w:r>
      <w:r w:rsidR="001B7DB6">
        <w:rPr>
          <w:rFonts w:cs="Times New Roman"/>
          <w:szCs w:val="24"/>
        </w:rPr>
        <w:t>ts</w:t>
      </w:r>
      <w:r w:rsidR="001F2F92">
        <w:rPr>
          <w:rFonts w:cs="Times New Roman"/>
          <w:szCs w:val="24"/>
        </w:rPr>
        <w:t xml:space="preserve">. </w:t>
      </w:r>
      <w:r w:rsidR="00513A0A">
        <w:rPr>
          <w:rFonts w:cs="Times New Roman"/>
          <w:szCs w:val="24"/>
        </w:rPr>
        <w:t xml:space="preserve">However, </w:t>
      </w:r>
      <w:r w:rsidR="00832837">
        <w:rPr>
          <w:rFonts w:cs="Times New Roman"/>
          <w:szCs w:val="24"/>
        </w:rPr>
        <w:t xml:space="preserve">this analysis makes the assumption that the impact </w:t>
      </w:r>
      <w:r w:rsidR="00253230">
        <w:rPr>
          <w:rFonts w:cs="Times New Roman"/>
          <w:szCs w:val="24"/>
        </w:rPr>
        <w:t>of</w:t>
      </w:r>
      <w:r w:rsidR="00832837">
        <w:rPr>
          <w:rFonts w:cs="Times New Roman"/>
          <w:szCs w:val="24"/>
        </w:rPr>
        <w:t xml:space="preserve"> the indefinite warning system will be the same for those who sometimes use and those who never use seat belts</w:t>
      </w:r>
      <w:r w:rsidR="001F2F92">
        <w:rPr>
          <w:rFonts w:cs="Times New Roman"/>
          <w:szCs w:val="24"/>
        </w:rPr>
        <w:t xml:space="preserve">. </w:t>
      </w:r>
      <w:r w:rsidR="00832837">
        <w:rPr>
          <w:rFonts w:cs="Times New Roman"/>
          <w:szCs w:val="24"/>
        </w:rPr>
        <w:t>We request comment on that assumption.</w:t>
      </w:r>
    </w:p>
    <w:p w14:paraId="3781D447" w14:textId="3FD779EE" w:rsidR="00E971ED" w:rsidRDefault="000F5B51" w:rsidP="00435D89">
      <w:pPr>
        <w:spacing w:after="0"/>
        <w:contextualSpacing/>
        <w:rPr>
          <w:rFonts w:cs="Times New Roman"/>
          <w:szCs w:val="24"/>
        </w:rPr>
      </w:pPr>
      <w:r>
        <w:rPr>
          <w:rFonts w:cs="Times New Roman"/>
          <w:szCs w:val="24"/>
        </w:rPr>
        <w:fldChar w:fldCharType="begin"/>
      </w:r>
      <w:r>
        <w:rPr>
          <w:rFonts w:cs="Times New Roman"/>
          <w:szCs w:val="24"/>
        </w:rPr>
        <w:instrText xml:space="preserve"> REF _Ref126821442 \h </w:instrText>
      </w:r>
      <w:r>
        <w:rPr>
          <w:rFonts w:cs="Times New Roman"/>
          <w:szCs w:val="24"/>
        </w:rPr>
      </w:r>
      <w:r>
        <w:rPr>
          <w:rFonts w:cs="Times New Roman"/>
          <w:szCs w:val="24"/>
        </w:rPr>
        <w:fldChar w:fldCharType="separate"/>
      </w:r>
      <w:r w:rsidR="00A65CB3">
        <w:t xml:space="preserve">Table </w:t>
      </w:r>
      <w:r w:rsidR="00A65CB3">
        <w:rPr>
          <w:noProof/>
        </w:rPr>
        <w:t>38</w:t>
      </w:r>
      <w:r>
        <w:rPr>
          <w:rFonts w:cs="Times New Roman"/>
          <w:szCs w:val="24"/>
        </w:rPr>
        <w:fldChar w:fldCharType="end"/>
      </w:r>
      <w:r>
        <w:rPr>
          <w:rFonts w:cs="Times New Roman"/>
          <w:szCs w:val="24"/>
        </w:rPr>
        <w:t xml:space="preserve"> </w:t>
      </w:r>
      <w:r w:rsidR="005C5BDE">
        <w:rPr>
          <w:rFonts w:cs="Times New Roman"/>
          <w:szCs w:val="24"/>
        </w:rPr>
        <w:t>summarizes</w:t>
      </w:r>
      <w:r>
        <w:rPr>
          <w:rFonts w:cs="Times New Roman"/>
          <w:szCs w:val="24"/>
        </w:rPr>
        <w:t xml:space="preserve"> the increase in seat belt use for </w:t>
      </w:r>
      <w:r w:rsidR="002C2CC3">
        <w:rPr>
          <w:rFonts w:cs="Times New Roman"/>
          <w:szCs w:val="24"/>
        </w:rPr>
        <w:t>drivers when moving from a seven-second warning to a</w:t>
      </w:r>
      <w:r w:rsidR="00B86BDD">
        <w:rPr>
          <w:rFonts w:cs="Times New Roman"/>
          <w:szCs w:val="24"/>
        </w:rPr>
        <w:t>n indefinite warning system</w:t>
      </w:r>
      <w:r w:rsidR="001F2F92">
        <w:rPr>
          <w:rFonts w:cs="Times New Roman"/>
          <w:szCs w:val="24"/>
        </w:rPr>
        <w:t xml:space="preserve">. </w:t>
      </w:r>
      <w:r w:rsidR="00B86BDD">
        <w:rPr>
          <w:rFonts w:cs="Times New Roman"/>
          <w:szCs w:val="24"/>
        </w:rPr>
        <w:t xml:space="preserve">This calculation involves accounting for the proportion of drivers who </w:t>
      </w:r>
      <w:r w:rsidR="00A63B61">
        <w:rPr>
          <w:rFonts w:cs="Times New Roman"/>
          <w:szCs w:val="24"/>
        </w:rPr>
        <w:t>sometimes, never, and always use seat belts specific to those who start with a seven-second warning system</w:t>
      </w:r>
      <w:r w:rsidR="00E84941">
        <w:rPr>
          <w:rFonts w:cs="Times New Roman"/>
          <w:szCs w:val="24"/>
        </w:rPr>
        <w:t xml:space="preserve"> based on</w:t>
      </w:r>
      <w:r w:rsidR="00DC08D6">
        <w:rPr>
          <w:rFonts w:cs="Times New Roman"/>
          <w:szCs w:val="24"/>
        </w:rPr>
        <w:t xml:space="preserve"> the distribution of </w:t>
      </w:r>
      <w:r w:rsidR="007F7428">
        <w:rPr>
          <w:rFonts w:cs="Times New Roman"/>
          <w:szCs w:val="24"/>
        </w:rPr>
        <w:t xml:space="preserve">warning </w:t>
      </w:r>
      <w:r w:rsidR="00DC08D6">
        <w:rPr>
          <w:rFonts w:cs="Times New Roman"/>
          <w:szCs w:val="24"/>
        </w:rPr>
        <w:t>systems</w:t>
      </w:r>
      <w:r w:rsidR="001F2F92">
        <w:rPr>
          <w:rFonts w:cs="Times New Roman"/>
          <w:szCs w:val="24"/>
        </w:rPr>
        <w:t xml:space="preserve">. </w:t>
      </w:r>
      <w:r w:rsidR="003A4DDE">
        <w:rPr>
          <w:rFonts w:cs="Times New Roman"/>
          <w:szCs w:val="24"/>
        </w:rPr>
        <w:t>Reflecting the increase in seat belt use of 34 percent</w:t>
      </w:r>
      <w:r w:rsidR="00AF04C0">
        <w:rPr>
          <w:rFonts w:cs="Times New Roman"/>
          <w:szCs w:val="24"/>
        </w:rPr>
        <w:t xml:space="preserve"> for an indefinite warning</w:t>
      </w:r>
      <w:r w:rsidR="003A4DDE">
        <w:rPr>
          <w:rFonts w:cs="Times New Roman"/>
          <w:szCs w:val="24"/>
        </w:rPr>
        <w:t xml:space="preserve"> on those who start with </w:t>
      </w:r>
      <w:r w:rsidR="00594042">
        <w:rPr>
          <w:rFonts w:cs="Times New Roman"/>
          <w:szCs w:val="24"/>
        </w:rPr>
        <w:t>a seven-second warning sy</w:t>
      </w:r>
      <w:r w:rsidR="00AF04C0">
        <w:rPr>
          <w:rFonts w:cs="Times New Roman"/>
          <w:szCs w:val="24"/>
        </w:rPr>
        <w:t>stem,</w:t>
      </w:r>
      <w:r w:rsidR="00A63B61">
        <w:rPr>
          <w:rFonts w:cs="Times New Roman"/>
          <w:szCs w:val="24"/>
        </w:rPr>
        <w:t xml:space="preserve"> </w:t>
      </w:r>
      <w:r w:rsidR="005A742B">
        <w:rPr>
          <w:rFonts w:cs="Times New Roman"/>
          <w:szCs w:val="24"/>
        </w:rPr>
        <w:t>seat belt use in</w:t>
      </w:r>
      <w:r w:rsidR="00FE466E">
        <w:rPr>
          <w:rFonts w:cs="Times New Roman"/>
          <w:szCs w:val="24"/>
        </w:rPr>
        <w:t xml:space="preserve"> </w:t>
      </w:r>
      <w:r w:rsidR="00FE466E" w:rsidRPr="00FE466E">
        <w:rPr>
          <w:rFonts w:cs="Times New Roman"/>
          <w:szCs w:val="24"/>
        </w:rPr>
        <w:t>potentially</w:t>
      </w:r>
      <w:r w:rsidR="005A742B">
        <w:rPr>
          <w:rFonts w:cs="Times New Roman"/>
          <w:szCs w:val="24"/>
        </w:rPr>
        <w:t xml:space="preserve"> fatal crashes for drivers</w:t>
      </w:r>
      <w:r w:rsidR="00C5218D">
        <w:rPr>
          <w:rFonts w:cs="Times New Roman"/>
          <w:szCs w:val="24"/>
        </w:rPr>
        <w:t xml:space="preserve"> would</w:t>
      </w:r>
      <w:r w:rsidR="005A742B">
        <w:rPr>
          <w:rFonts w:cs="Times New Roman"/>
          <w:szCs w:val="24"/>
        </w:rPr>
        <w:t xml:space="preserve"> increase from approximately 0.612</w:t>
      </w:r>
      <w:r w:rsidR="009E6C20">
        <w:rPr>
          <w:rFonts w:cs="Times New Roman"/>
          <w:szCs w:val="24"/>
        </w:rPr>
        <w:t>7 to</w:t>
      </w:r>
      <w:r w:rsidR="00861BBF">
        <w:rPr>
          <w:rFonts w:cs="Times New Roman"/>
          <w:szCs w:val="24"/>
        </w:rPr>
        <w:t xml:space="preserve"> approximately</w:t>
      </w:r>
      <w:r w:rsidR="009E6C20">
        <w:rPr>
          <w:rFonts w:cs="Times New Roman"/>
          <w:szCs w:val="24"/>
        </w:rPr>
        <w:t xml:space="preserve"> 0.</w:t>
      </w:r>
      <w:r w:rsidR="00861BBF">
        <w:rPr>
          <w:rFonts w:cs="Times New Roman"/>
          <w:szCs w:val="24"/>
        </w:rPr>
        <w:t>6533</w:t>
      </w:r>
      <w:r w:rsidR="001F2F92">
        <w:rPr>
          <w:rFonts w:cs="Times New Roman"/>
          <w:szCs w:val="24"/>
        </w:rPr>
        <w:t xml:space="preserve">. </w:t>
      </w:r>
      <w:r w:rsidR="00861BBF">
        <w:rPr>
          <w:rFonts w:cs="Times New Roman"/>
          <w:szCs w:val="24"/>
        </w:rPr>
        <w:t xml:space="preserve">Therefore, </w:t>
      </w:r>
      <w:r w:rsidR="000F7166">
        <w:rPr>
          <w:rFonts w:cs="Times New Roman"/>
          <w:szCs w:val="24"/>
        </w:rPr>
        <w:t>this analysis uses</w:t>
      </w:r>
      <w:r w:rsidR="00861BBF">
        <w:rPr>
          <w:rFonts w:cs="Times New Roman"/>
          <w:szCs w:val="24"/>
        </w:rPr>
        <w:t xml:space="preserve"> the corresponding ratio of increase of 1.066</w:t>
      </w:r>
      <w:r w:rsidR="00F831EE">
        <w:rPr>
          <w:rFonts w:cs="Times New Roman"/>
          <w:szCs w:val="24"/>
        </w:rPr>
        <w:t xml:space="preserve">247 to reflect the increase in seat belt use for drivers when moving from a </w:t>
      </w:r>
      <w:r w:rsidR="0015095F">
        <w:rPr>
          <w:rFonts w:cs="Times New Roman"/>
          <w:szCs w:val="24"/>
        </w:rPr>
        <w:t>seven-second to an indefinite warning</w:t>
      </w:r>
      <w:r w:rsidR="00074CDD">
        <w:rPr>
          <w:rFonts w:cs="Times New Roman"/>
          <w:szCs w:val="24"/>
        </w:rPr>
        <w:t xml:space="preserve"> (see </w:t>
      </w:r>
      <w:r w:rsidR="001B6E55">
        <w:rPr>
          <w:rFonts w:cs="Times New Roman"/>
          <w:szCs w:val="24"/>
        </w:rPr>
        <w:fldChar w:fldCharType="begin"/>
      </w:r>
      <w:r w:rsidR="001B6E55">
        <w:rPr>
          <w:rFonts w:cs="Times New Roman"/>
          <w:szCs w:val="24"/>
        </w:rPr>
        <w:instrText xml:space="preserve"> REF _Ref130387948 \h </w:instrText>
      </w:r>
      <w:r w:rsidR="001B6E55">
        <w:rPr>
          <w:rFonts w:cs="Times New Roman"/>
          <w:szCs w:val="24"/>
        </w:rPr>
      </w:r>
      <w:r w:rsidR="001B6E55">
        <w:rPr>
          <w:rFonts w:cs="Times New Roman"/>
          <w:szCs w:val="24"/>
        </w:rPr>
        <w:fldChar w:fldCharType="separate"/>
      </w:r>
      <w:r w:rsidR="00A65CB3">
        <w:t>Appendix F</w:t>
      </w:r>
      <w:r w:rsidR="001B6E55">
        <w:rPr>
          <w:rFonts w:cs="Times New Roman"/>
          <w:szCs w:val="24"/>
        </w:rPr>
        <w:fldChar w:fldCharType="end"/>
      </w:r>
      <w:r w:rsidR="001B6E55">
        <w:rPr>
          <w:rFonts w:cs="Times New Roman"/>
          <w:szCs w:val="24"/>
        </w:rPr>
        <w:t xml:space="preserve"> for detailed calculations)</w:t>
      </w:r>
      <w:r w:rsidR="0015095F">
        <w:rPr>
          <w:rFonts w:cs="Times New Roman"/>
          <w:szCs w:val="24"/>
        </w:rPr>
        <w:t>.</w:t>
      </w:r>
      <w:r w:rsidR="00592DB9">
        <w:rPr>
          <w:rFonts w:cs="Times New Roman"/>
          <w:szCs w:val="24"/>
        </w:rPr>
        <w:t xml:space="preserve"> </w:t>
      </w:r>
      <w:r>
        <w:rPr>
          <w:rFonts w:cs="Times New Roman"/>
          <w:szCs w:val="24"/>
        </w:rPr>
        <w:br w:type="page"/>
      </w:r>
    </w:p>
    <w:p w14:paraId="0AB976FF" w14:textId="105FFED9" w:rsidR="006A00B6" w:rsidRDefault="000F5B51" w:rsidP="006A00B6">
      <w:pPr>
        <w:pStyle w:val="Caption"/>
        <w:rPr>
          <w:rFonts w:cs="Times New Roman"/>
          <w:szCs w:val="24"/>
        </w:rPr>
      </w:pPr>
      <w:bookmarkStart w:id="213" w:name="_Ref126821442"/>
      <w:r>
        <w:lastRenderedPageBreak/>
        <w:t xml:space="preserve">Table </w:t>
      </w:r>
      <w:r w:rsidR="00115BAB">
        <w:fldChar w:fldCharType="begin"/>
      </w:r>
      <w:r>
        <w:instrText xml:space="preserve"> SEQ Table \* ARABIC </w:instrText>
      </w:r>
      <w:r w:rsidR="00115BAB">
        <w:fldChar w:fldCharType="separate"/>
      </w:r>
      <w:r w:rsidR="00A65CB3">
        <w:rPr>
          <w:noProof/>
        </w:rPr>
        <w:t>38</w:t>
      </w:r>
      <w:r w:rsidR="00115BAB">
        <w:rPr>
          <w:noProof/>
        </w:rPr>
        <w:fldChar w:fldCharType="end"/>
      </w:r>
      <w:bookmarkEnd w:id="213"/>
      <w:r>
        <w:t xml:space="preserve">: </w:t>
      </w:r>
      <w:r w:rsidR="00E2780D">
        <w:t xml:space="preserve">Summary of Increase in </w:t>
      </w:r>
      <w:r w:rsidR="00793257">
        <w:t xml:space="preserve">Seat Belt Use for </w:t>
      </w:r>
      <w:r w:rsidR="009C483E">
        <w:t>Drivers 7-Second Warning to Indefinite Warning</w:t>
      </w:r>
    </w:p>
    <w:tbl>
      <w:tblPr>
        <w:tblStyle w:val="TableGrid"/>
        <w:tblW w:w="10440" w:type="dxa"/>
        <w:jc w:val="center"/>
        <w:tblLook w:val="04A0" w:firstRow="1" w:lastRow="0" w:firstColumn="1" w:lastColumn="0" w:noHBand="0" w:noVBand="1"/>
      </w:tblPr>
      <w:tblGrid>
        <w:gridCol w:w="8344"/>
        <w:gridCol w:w="2096"/>
      </w:tblGrid>
      <w:tr w:rsidR="00A15C2C" w14:paraId="1544D6F9" w14:textId="77777777" w:rsidTr="0055589E">
        <w:trPr>
          <w:jc w:val="center"/>
        </w:trPr>
        <w:tc>
          <w:tcPr>
            <w:tcW w:w="8344" w:type="dxa"/>
            <w:shd w:val="clear" w:color="auto" w:fill="D9D9D9" w:themeFill="background1" w:themeFillShade="D9"/>
            <w:vAlign w:val="center"/>
          </w:tcPr>
          <w:p w14:paraId="0816C7E4" w14:textId="77777777" w:rsidR="00165061" w:rsidRPr="006A00B6" w:rsidRDefault="000F5B51" w:rsidP="006A00B6">
            <w:pPr>
              <w:spacing w:line="240" w:lineRule="auto"/>
              <w:contextualSpacing/>
              <w:rPr>
                <w:b/>
                <w:bCs/>
                <w:szCs w:val="24"/>
              </w:rPr>
            </w:pPr>
            <w:r w:rsidRPr="006A00B6">
              <w:rPr>
                <w:b/>
                <w:bCs/>
                <w:szCs w:val="24"/>
              </w:rPr>
              <w:t>Belt user and related items</w:t>
            </w:r>
          </w:p>
        </w:tc>
        <w:tc>
          <w:tcPr>
            <w:tcW w:w="2096" w:type="dxa"/>
            <w:shd w:val="clear" w:color="auto" w:fill="D9D9D9" w:themeFill="background1" w:themeFillShade="D9"/>
            <w:vAlign w:val="center"/>
          </w:tcPr>
          <w:p w14:paraId="6CFF3298" w14:textId="77777777" w:rsidR="00165061" w:rsidRPr="006A00B6" w:rsidRDefault="000F5B51" w:rsidP="006A00B6">
            <w:pPr>
              <w:spacing w:line="240" w:lineRule="auto"/>
              <w:contextualSpacing/>
              <w:jc w:val="center"/>
              <w:rPr>
                <w:b/>
                <w:bCs/>
                <w:szCs w:val="24"/>
              </w:rPr>
            </w:pPr>
            <w:r w:rsidRPr="006A00B6">
              <w:rPr>
                <w:b/>
                <w:bCs/>
                <w:szCs w:val="24"/>
              </w:rPr>
              <w:t>Rate</w:t>
            </w:r>
          </w:p>
        </w:tc>
      </w:tr>
      <w:tr w:rsidR="00A15C2C" w14:paraId="79788EE9" w14:textId="77777777" w:rsidTr="0055589E">
        <w:trPr>
          <w:jc w:val="center"/>
        </w:trPr>
        <w:tc>
          <w:tcPr>
            <w:tcW w:w="8344" w:type="dxa"/>
          </w:tcPr>
          <w:p w14:paraId="0CF7DBB6" w14:textId="77777777" w:rsidR="00581E6F" w:rsidRPr="005E3D4C" w:rsidRDefault="000F5B51" w:rsidP="00581E6F">
            <w:pPr>
              <w:spacing w:line="240" w:lineRule="auto"/>
              <w:contextualSpacing/>
              <w:rPr>
                <w:rFonts w:cs="Times New Roman"/>
                <w:szCs w:val="24"/>
              </w:rPr>
            </w:pPr>
            <w:r w:rsidRPr="0055589E">
              <w:rPr>
                <w:rFonts w:eastAsia="Times New Roman" w:cs="Times New Roman"/>
                <w:szCs w:val="24"/>
              </w:rPr>
              <w:t>The reported "sometimes using seat belts", calculated</w:t>
            </w:r>
          </w:p>
        </w:tc>
        <w:tc>
          <w:tcPr>
            <w:tcW w:w="2096" w:type="dxa"/>
          </w:tcPr>
          <w:p w14:paraId="1BB49303" w14:textId="77777777" w:rsidR="00581E6F" w:rsidRPr="005E3D4C" w:rsidRDefault="000F5B51" w:rsidP="00581E6F">
            <w:pPr>
              <w:spacing w:line="240" w:lineRule="auto"/>
              <w:contextualSpacing/>
              <w:jc w:val="center"/>
              <w:rPr>
                <w:rFonts w:cs="Times New Roman"/>
                <w:szCs w:val="24"/>
              </w:rPr>
            </w:pPr>
            <w:r w:rsidRPr="0055589E">
              <w:rPr>
                <w:rFonts w:eastAsia="Times New Roman" w:cs="Times New Roman"/>
                <w:szCs w:val="24"/>
              </w:rPr>
              <w:t>14.49%</w:t>
            </w:r>
          </w:p>
        </w:tc>
      </w:tr>
      <w:tr w:rsidR="00A15C2C" w14:paraId="1A01EB16" w14:textId="77777777" w:rsidTr="0055589E">
        <w:trPr>
          <w:jc w:val="center"/>
        </w:trPr>
        <w:tc>
          <w:tcPr>
            <w:tcW w:w="8344" w:type="dxa"/>
          </w:tcPr>
          <w:p w14:paraId="210F8306" w14:textId="77777777" w:rsidR="00581E6F" w:rsidRPr="005E3D4C" w:rsidRDefault="000F5B51" w:rsidP="00581E6F">
            <w:pPr>
              <w:spacing w:line="240" w:lineRule="auto"/>
              <w:contextualSpacing/>
              <w:rPr>
                <w:rFonts w:cs="Times New Roman"/>
                <w:szCs w:val="24"/>
              </w:rPr>
            </w:pPr>
            <w:r w:rsidRPr="0055589E">
              <w:rPr>
                <w:rFonts w:eastAsia="Times New Roman" w:cs="Times New Roman"/>
                <w:szCs w:val="24"/>
              </w:rPr>
              <w:t>The reported "seldom or never using seat belts when driving or riding in a car", calculated</w:t>
            </w:r>
          </w:p>
        </w:tc>
        <w:tc>
          <w:tcPr>
            <w:tcW w:w="2096" w:type="dxa"/>
          </w:tcPr>
          <w:p w14:paraId="6B2232C0" w14:textId="77777777" w:rsidR="00581E6F" w:rsidRPr="005E3D4C" w:rsidRDefault="000F5B51" w:rsidP="00581E6F">
            <w:pPr>
              <w:spacing w:line="240" w:lineRule="auto"/>
              <w:contextualSpacing/>
              <w:jc w:val="center"/>
              <w:rPr>
                <w:rFonts w:cs="Times New Roman"/>
                <w:szCs w:val="24"/>
              </w:rPr>
            </w:pPr>
            <w:r w:rsidRPr="0055589E">
              <w:rPr>
                <w:rFonts w:eastAsia="Times New Roman" w:cs="Times New Roman"/>
                <w:szCs w:val="24"/>
              </w:rPr>
              <w:t>11.34%</w:t>
            </w:r>
          </w:p>
        </w:tc>
      </w:tr>
      <w:tr w:rsidR="00A15C2C" w14:paraId="17F601F8" w14:textId="77777777" w:rsidTr="0055589E">
        <w:trPr>
          <w:jc w:val="center"/>
        </w:trPr>
        <w:tc>
          <w:tcPr>
            <w:tcW w:w="8344" w:type="dxa"/>
          </w:tcPr>
          <w:p w14:paraId="56A45DDE" w14:textId="77777777" w:rsidR="00581E6F" w:rsidRPr="005E3D4C" w:rsidRDefault="000F5B51" w:rsidP="00581E6F">
            <w:pPr>
              <w:spacing w:line="240" w:lineRule="auto"/>
              <w:contextualSpacing/>
              <w:rPr>
                <w:rFonts w:cs="Times New Roman"/>
                <w:szCs w:val="24"/>
              </w:rPr>
            </w:pPr>
            <w:r w:rsidRPr="0055589E">
              <w:rPr>
                <w:rFonts w:eastAsia="Times New Roman" w:cs="Times New Roman"/>
                <w:szCs w:val="24"/>
              </w:rPr>
              <w:t>Percentage of drivers who always use seat belts, calculated</w:t>
            </w:r>
          </w:p>
        </w:tc>
        <w:tc>
          <w:tcPr>
            <w:tcW w:w="2096" w:type="dxa"/>
          </w:tcPr>
          <w:p w14:paraId="7AB1F44C" w14:textId="77777777" w:rsidR="00581E6F" w:rsidRPr="005E3D4C" w:rsidRDefault="000F5B51" w:rsidP="00581E6F">
            <w:pPr>
              <w:spacing w:line="240" w:lineRule="auto"/>
              <w:contextualSpacing/>
              <w:jc w:val="center"/>
              <w:rPr>
                <w:rFonts w:cs="Times New Roman"/>
                <w:szCs w:val="24"/>
              </w:rPr>
            </w:pPr>
            <w:r w:rsidRPr="0055589E">
              <w:rPr>
                <w:rFonts w:eastAsia="Times New Roman" w:cs="Times New Roman"/>
                <w:szCs w:val="24"/>
              </w:rPr>
              <w:t>74.2%</w:t>
            </w:r>
          </w:p>
        </w:tc>
      </w:tr>
      <w:tr w:rsidR="00A15C2C" w14:paraId="218BDCBD" w14:textId="77777777" w:rsidTr="0055589E">
        <w:trPr>
          <w:jc w:val="center"/>
        </w:trPr>
        <w:tc>
          <w:tcPr>
            <w:tcW w:w="8344" w:type="dxa"/>
          </w:tcPr>
          <w:p w14:paraId="53B65265" w14:textId="77777777" w:rsidR="00581E6F" w:rsidRPr="005E3D4C" w:rsidRDefault="000F5B51" w:rsidP="00581E6F">
            <w:pPr>
              <w:spacing w:line="240" w:lineRule="auto"/>
              <w:contextualSpacing/>
              <w:rPr>
                <w:rFonts w:cs="Times New Roman"/>
                <w:szCs w:val="24"/>
              </w:rPr>
            </w:pPr>
            <w:r w:rsidRPr="0055589E">
              <w:rPr>
                <w:rFonts w:eastAsia="Times New Roman" w:cs="Times New Roman"/>
                <w:szCs w:val="24"/>
              </w:rPr>
              <w:t>Driver overall belt use rate without an indefinite SBWS alert, observed</w:t>
            </w:r>
          </w:p>
        </w:tc>
        <w:tc>
          <w:tcPr>
            <w:tcW w:w="2096" w:type="dxa"/>
          </w:tcPr>
          <w:p w14:paraId="1483DB97" w14:textId="77777777" w:rsidR="00581E6F" w:rsidRPr="005E3D4C" w:rsidRDefault="000F5B51" w:rsidP="00581E6F">
            <w:pPr>
              <w:spacing w:line="240" w:lineRule="auto"/>
              <w:contextualSpacing/>
              <w:jc w:val="center"/>
              <w:rPr>
                <w:rFonts w:cs="Times New Roman"/>
                <w:szCs w:val="24"/>
              </w:rPr>
            </w:pPr>
            <w:r w:rsidRPr="0055589E">
              <w:rPr>
                <w:rFonts w:eastAsia="Times New Roman" w:cs="Times New Roman"/>
                <w:szCs w:val="24"/>
              </w:rPr>
              <w:t>76.6%</w:t>
            </w:r>
          </w:p>
        </w:tc>
      </w:tr>
      <w:tr w:rsidR="00A15C2C" w14:paraId="0056826C" w14:textId="77777777" w:rsidTr="0055589E">
        <w:trPr>
          <w:jc w:val="center"/>
        </w:trPr>
        <w:tc>
          <w:tcPr>
            <w:tcW w:w="8344" w:type="dxa"/>
          </w:tcPr>
          <w:p w14:paraId="0DA010EF" w14:textId="17D41111" w:rsidR="00581E6F" w:rsidRPr="005E3D4C" w:rsidRDefault="000F5B51" w:rsidP="00581E6F">
            <w:pPr>
              <w:spacing w:line="240" w:lineRule="auto"/>
              <w:contextualSpacing/>
              <w:rPr>
                <w:rFonts w:cs="Times New Roman"/>
                <w:szCs w:val="24"/>
              </w:rPr>
            </w:pPr>
            <w:r w:rsidRPr="0055589E">
              <w:rPr>
                <w:rFonts w:eastAsia="Times New Roman" w:cs="Times New Roman"/>
                <w:szCs w:val="24"/>
              </w:rPr>
              <w:t xml:space="preserve">Probability of using belt use for </w:t>
            </w:r>
            <w:r w:rsidR="006F72BC">
              <w:rPr>
                <w:rFonts w:eastAsia="Times New Roman" w:cs="Times New Roman"/>
                <w:szCs w:val="24"/>
              </w:rPr>
              <w:t>p</w:t>
            </w:r>
            <w:r w:rsidRPr="0055589E">
              <w:rPr>
                <w:rFonts w:eastAsia="Times New Roman" w:cs="Times New Roman"/>
                <w:szCs w:val="24"/>
              </w:rPr>
              <w:t xml:space="preserve">art time seat belt user while in a vehicle, calculated </w:t>
            </w:r>
          </w:p>
        </w:tc>
        <w:tc>
          <w:tcPr>
            <w:tcW w:w="2096" w:type="dxa"/>
          </w:tcPr>
          <w:p w14:paraId="50B6653C" w14:textId="77777777" w:rsidR="00581E6F" w:rsidRPr="005E3D4C" w:rsidRDefault="000F5B51" w:rsidP="00581E6F">
            <w:pPr>
              <w:spacing w:line="240" w:lineRule="auto"/>
              <w:contextualSpacing/>
              <w:jc w:val="center"/>
              <w:rPr>
                <w:rFonts w:cs="Times New Roman"/>
                <w:szCs w:val="24"/>
              </w:rPr>
            </w:pPr>
            <w:r w:rsidRPr="0055589E">
              <w:rPr>
                <w:rFonts w:eastAsia="Times New Roman" w:cs="Times New Roman"/>
                <w:szCs w:val="24"/>
              </w:rPr>
              <w:t>17%</w:t>
            </w:r>
          </w:p>
        </w:tc>
      </w:tr>
      <w:tr w:rsidR="00A15C2C" w14:paraId="23384C53" w14:textId="77777777" w:rsidTr="0055589E">
        <w:trPr>
          <w:jc w:val="center"/>
        </w:trPr>
        <w:tc>
          <w:tcPr>
            <w:tcW w:w="8344" w:type="dxa"/>
          </w:tcPr>
          <w:p w14:paraId="11D611A0" w14:textId="77777777" w:rsidR="00581E6F" w:rsidRPr="005E3D4C" w:rsidRDefault="000F5B51" w:rsidP="00581E6F">
            <w:pPr>
              <w:spacing w:line="240" w:lineRule="auto"/>
              <w:contextualSpacing/>
              <w:rPr>
                <w:rFonts w:cs="Times New Roman"/>
                <w:szCs w:val="24"/>
              </w:rPr>
            </w:pPr>
            <w:r w:rsidRPr="0055589E">
              <w:rPr>
                <w:rFonts w:eastAsia="Times New Roman" w:cs="Times New Roman"/>
                <w:szCs w:val="24"/>
              </w:rPr>
              <w:t>Increase in belt use due to an indefinite warning only for part time belt users, from the IIHS report</w:t>
            </w:r>
          </w:p>
        </w:tc>
        <w:tc>
          <w:tcPr>
            <w:tcW w:w="2096" w:type="dxa"/>
          </w:tcPr>
          <w:p w14:paraId="5C6ED6EE" w14:textId="77777777" w:rsidR="00581E6F" w:rsidRPr="005E3D4C" w:rsidRDefault="000F5B51" w:rsidP="00581E6F">
            <w:pPr>
              <w:spacing w:line="240" w:lineRule="auto"/>
              <w:contextualSpacing/>
              <w:jc w:val="center"/>
              <w:rPr>
                <w:rFonts w:cs="Times New Roman"/>
                <w:szCs w:val="24"/>
              </w:rPr>
            </w:pPr>
            <w:r w:rsidRPr="0055589E">
              <w:rPr>
                <w:rFonts w:eastAsia="Times New Roman" w:cs="Times New Roman"/>
                <w:szCs w:val="24"/>
              </w:rPr>
              <w:t>34%</w:t>
            </w:r>
          </w:p>
        </w:tc>
      </w:tr>
      <w:tr w:rsidR="00A15C2C" w14:paraId="703A30B2" w14:textId="77777777" w:rsidTr="0055589E">
        <w:trPr>
          <w:jc w:val="center"/>
        </w:trPr>
        <w:tc>
          <w:tcPr>
            <w:tcW w:w="8344" w:type="dxa"/>
          </w:tcPr>
          <w:p w14:paraId="41D4CC5E" w14:textId="26DEC270" w:rsidR="00581E6F" w:rsidRPr="005E3D4C" w:rsidRDefault="000F5B51" w:rsidP="00581E6F">
            <w:pPr>
              <w:spacing w:line="240" w:lineRule="auto"/>
              <w:contextualSpacing/>
              <w:rPr>
                <w:rFonts w:cs="Times New Roman"/>
                <w:szCs w:val="24"/>
              </w:rPr>
            </w:pPr>
            <w:r w:rsidRPr="0055589E">
              <w:rPr>
                <w:rFonts w:eastAsia="Times New Roman" w:cs="Times New Roman"/>
                <w:szCs w:val="24"/>
              </w:rPr>
              <w:t xml:space="preserve">Increase in belt use due to an indefinite warning for </w:t>
            </w:r>
            <w:r w:rsidR="006F72BC">
              <w:rPr>
                <w:rFonts w:eastAsia="Times New Roman" w:cs="Times New Roman"/>
                <w:szCs w:val="24"/>
              </w:rPr>
              <w:t>n</w:t>
            </w:r>
            <w:r w:rsidRPr="0055589E">
              <w:rPr>
                <w:rFonts w:eastAsia="Times New Roman" w:cs="Times New Roman"/>
                <w:szCs w:val="24"/>
              </w:rPr>
              <w:t xml:space="preserve">ever </w:t>
            </w:r>
            <w:r w:rsidR="006F72BC">
              <w:rPr>
                <w:rFonts w:eastAsia="Times New Roman" w:cs="Times New Roman"/>
                <w:szCs w:val="24"/>
              </w:rPr>
              <w:t>u</w:t>
            </w:r>
            <w:r w:rsidRPr="0055589E">
              <w:rPr>
                <w:rFonts w:eastAsia="Times New Roman" w:cs="Times New Roman"/>
                <w:szCs w:val="24"/>
              </w:rPr>
              <w:t>se belt users, assumed</w:t>
            </w:r>
          </w:p>
        </w:tc>
        <w:tc>
          <w:tcPr>
            <w:tcW w:w="2096" w:type="dxa"/>
          </w:tcPr>
          <w:p w14:paraId="1BB0FF2D" w14:textId="77777777" w:rsidR="00581E6F" w:rsidRPr="005E3D4C" w:rsidRDefault="000F5B51" w:rsidP="00581E6F">
            <w:pPr>
              <w:spacing w:line="240" w:lineRule="auto"/>
              <w:contextualSpacing/>
              <w:jc w:val="center"/>
              <w:rPr>
                <w:rFonts w:cs="Times New Roman"/>
                <w:szCs w:val="24"/>
              </w:rPr>
            </w:pPr>
            <w:r w:rsidRPr="0055589E">
              <w:rPr>
                <w:rFonts w:eastAsia="Times New Roman" w:cs="Times New Roman"/>
                <w:szCs w:val="24"/>
              </w:rPr>
              <w:t>34%</w:t>
            </w:r>
          </w:p>
        </w:tc>
      </w:tr>
      <w:tr w:rsidR="00A15C2C" w14:paraId="4067C6E4" w14:textId="77777777" w:rsidTr="0055589E">
        <w:trPr>
          <w:jc w:val="center"/>
        </w:trPr>
        <w:tc>
          <w:tcPr>
            <w:tcW w:w="8344" w:type="dxa"/>
          </w:tcPr>
          <w:p w14:paraId="036B0438" w14:textId="4AD610EA" w:rsidR="00581E6F" w:rsidRPr="005E3D4C" w:rsidRDefault="000F5B51" w:rsidP="00581E6F">
            <w:pPr>
              <w:spacing w:line="240" w:lineRule="auto"/>
              <w:contextualSpacing/>
              <w:rPr>
                <w:rFonts w:cs="Times New Roman"/>
                <w:szCs w:val="24"/>
              </w:rPr>
            </w:pPr>
            <w:r w:rsidRPr="0055589E">
              <w:rPr>
                <w:rFonts w:eastAsia="Times New Roman" w:cs="Times New Roman"/>
                <w:szCs w:val="24"/>
              </w:rPr>
              <w:t xml:space="preserve">Percentage of the "seldom or </w:t>
            </w:r>
            <w:r w:rsidR="006F72BC">
              <w:rPr>
                <w:rFonts w:eastAsia="Times New Roman" w:cs="Times New Roman"/>
                <w:szCs w:val="24"/>
              </w:rPr>
              <w:t>n</w:t>
            </w:r>
            <w:r w:rsidRPr="0055589E">
              <w:rPr>
                <w:rFonts w:eastAsia="Times New Roman" w:cs="Times New Roman"/>
                <w:szCs w:val="24"/>
              </w:rPr>
              <w:t>ever using belts" group, with an indefinite warning</w:t>
            </w:r>
          </w:p>
        </w:tc>
        <w:tc>
          <w:tcPr>
            <w:tcW w:w="2096" w:type="dxa"/>
          </w:tcPr>
          <w:p w14:paraId="3B8D8D05" w14:textId="77777777" w:rsidR="00581E6F" w:rsidRPr="005E3D4C" w:rsidRDefault="000F5B51" w:rsidP="00581E6F">
            <w:pPr>
              <w:spacing w:line="240" w:lineRule="auto"/>
              <w:contextualSpacing/>
              <w:jc w:val="center"/>
              <w:rPr>
                <w:rFonts w:cs="Times New Roman"/>
                <w:szCs w:val="24"/>
              </w:rPr>
            </w:pPr>
            <w:r w:rsidRPr="0055589E">
              <w:rPr>
                <w:rFonts w:eastAsia="Times New Roman" w:cs="Times New Roman"/>
                <w:szCs w:val="24"/>
              </w:rPr>
              <w:t>7.5%</w:t>
            </w:r>
          </w:p>
        </w:tc>
      </w:tr>
      <w:tr w:rsidR="00A15C2C" w14:paraId="2F72690C" w14:textId="77777777" w:rsidTr="0055589E">
        <w:trPr>
          <w:jc w:val="center"/>
        </w:trPr>
        <w:tc>
          <w:tcPr>
            <w:tcW w:w="8344" w:type="dxa"/>
          </w:tcPr>
          <w:p w14:paraId="6845FD01" w14:textId="77777777" w:rsidR="00581E6F" w:rsidRPr="005E3D4C" w:rsidRDefault="000F5B51" w:rsidP="00581E6F">
            <w:pPr>
              <w:spacing w:line="240" w:lineRule="auto"/>
              <w:contextualSpacing/>
              <w:rPr>
                <w:rFonts w:cs="Times New Roman"/>
                <w:szCs w:val="24"/>
              </w:rPr>
            </w:pPr>
            <w:r w:rsidRPr="0055589E">
              <w:rPr>
                <w:rFonts w:eastAsia="Times New Roman" w:cs="Times New Roman"/>
                <w:szCs w:val="24"/>
              </w:rPr>
              <w:t>Percentage of drivers who always use seat belts with an indefinite warning</w:t>
            </w:r>
          </w:p>
        </w:tc>
        <w:tc>
          <w:tcPr>
            <w:tcW w:w="2096" w:type="dxa"/>
          </w:tcPr>
          <w:p w14:paraId="600809F2" w14:textId="77777777" w:rsidR="00581E6F" w:rsidRPr="005E3D4C" w:rsidRDefault="000F5B51" w:rsidP="00581E6F">
            <w:pPr>
              <w:spacing w:line="240" w:lineRule="auto"/>
              <w:contextualSpacing/>
              <w:jc w:val="center"/>
              <w:rPr>
                <w:rFonts w:cs="Times New Roman"/>
                <w:szCs w:val="24"/>
              </w:rPr>
            </w:pPr>
            <w:r w:rsidRPr="0055589E">
              <w:rPr>
                <w:rFonts w:eastAsia="Times New Roman" w:cs="Times New Roman"/>
                <w:szCs w:val="24"/>
              </w:rPr>
              <w:t>78.0%</w:t>
            </w:r>
          </w:p>
        </w:tc>
      </w:tr>
      <w:tr w:rsidR="00A15C2C" w14:paraId="26AD4267" w14:textId="77777777" w:rsidTr="0055589E">
        <w:trPr>
          <w:jc w:val="center"/>
        </w:trPr>
        <w:tc>
          <w:tcPr>
            <w:tcW w:w="8344" w:type="dxa"/>
          </w:tcPr>
          <w:p w14:paraId="5334CCEC" w14:textId="1153ACC3" w:rsidR="00581E6F" w:rsidRPr="005E3D4C" w:rsidRDefault="000F5B51" w:rsidP="00581E6F">
            <w:pPr>
              <w:spacing w:line="240" w:lineRule="auto"/>
              <w:contextualSpacing/>
              <w:rPr>
                <w:rFonts w:cs="Times New Roman"/>
                <w:szCs w:val="24"/>
              </w:rPr>
            </w:pPr>
            <w:r w:rsidRPr="0055589E">
              <w:rPr>
                <w:rFonts w:eastAsia="Times New Roman" w:cs="Times New Roman"/>
                <w:szCs w:val="24"/>
              </w:rPr>
              <w:t xml:space="preserve">Belt use rate (i.e., increased) due to an indefinite warning for </w:t>
            </w:r>
            <w:r w:rsidR="00C420B3">
              <w:rPr>
                <w:rFonts w:eastAsia="Times New Roman" w:cs="Times New Roman"/>
                <w:szCs w:val="24"/>
              </w:rPr>
              <w:t>p</w:t>
            </w:r>
            <w:r w:rsidRPr="0055589E">
              <w:rPr>
                <w:rFonts w:eastAsia="Times New Roman" w:cs="Times New Roman"/>
                <w:szCs w:val="24"/>
              </w:rPr>
              <w:t>art time belt users</w:t>
            </w:r>
          </w:p>
        </w:tc>
        <w:tc>
          <w:tcPr>
            <w:tcW w:w="2096" w:type="dxa"/>
          </w:tcPr>
          <w:p w14:paraId="2BA6523A" w14:textId="77777777" w:rsidR="00581E6F" w:rsidRPr="005E3D4C" w:rsidRDefault="000F5B51" w:rsidP="00581E6F">
            <w:pPr>
              <w:spacing w:line="240" w:lineRule="auto"/>
              <w:contextualSpacing/>
              <w:jc w:val="center"/>
              <w:rPr>
                <w:rFonts w:cs="Times New Roman"/>
                <w:szCs w:val="24"/>
              </w:rPr>
            </w:pPr>
            <w:r w:rsidRPr="0055589E">
              <w:rPr>
                <w:rFonts w:eastAsia="Times New Roman" w:cs="Times New Roman"/>
                <w:szCs w:val="24"/>
              </w:rPr>
              <w:t>22.7%</w:t>
            </w:r>
          </w:p>
        </w:tc>
      </w:tr>
      <w:tr w:rsidR="00A15C2C" w14:paraId="3B4F8A11" w14:textId="77777777" w:rsidTr="0055589E">
        <w:trPr>
          <w:jc w:val="center"/>
        </w:trPr>
        <w:tc>
          <w:tcPr>
            <w:tcW w:w="8344" w:type="dxa"/>
          </w:tcPr>
          <w:p w14:paraId="5FD94042" w14:textId="77777777" w:rsidR="00581E6F" w:rsidRPr="005E3D4C" w:rsidRDefault="000F5B51" w:rsidP="00581E6F">
            <w:pPr>
              <w:spacing w:line="240" w:lineRule="auto"/>
              <w:contextualSpacing/>
              <w:rPr>
                <w:rFonts w:cs="Times New Roman"/>
                <w:szCs w:val="24"/>
              </w:rPr>
            </w:pPr>
            <w:r w:rsidRPr="0055589E">
              <w:rPr>
                <w:rFonts w:eastAsia="Times New Roman" w:cs="Times New Roman"/>
                <w:szCs w:val="24"/>
              </w:rPr>
              <w:t>Driver overall belt use rate with the indefinite SBWS alert, observed</w:t>
            </w:r>
          </w:p>
        </w:tc>
        <w:tc>
          <w:tcPr>
            <w:tcW w:w="2096" w:type="dxa"/>
          </w:tcPr>
          <w:p w14:paraId="2C8311D3" w14:textId="77777777" w:rsidR="00581E6F" w:rsidRPr="005E3D4C" w:rsidRDefault="000F5B51" w:rsidP="00581E6F">
            <w:pPr>
              <w:spacing w:line="240" w:lineRule="auto"/>
              <w:contextualSpacing/>
              <w:jc w:val="center"/>
              <w:rPr>
                <w:rFonts w:cs="Times New Roman"/>
                <w:szCs w:val="24"/>
              </w:rPr>
            </w:pPr>
            <w:r w:rsidRPr="0055589E">
              <w:rPr>
                <w:rFonts w:eastAsia="Times New Roman" w:cs="Times New Roman"/>
                <w:szCs w:val="24"/>
              </w:rPr>
              <w:t>81.3%</w:t>
            </w:r>
          </w:p>
        </w:tc>
      </w:tr>
      <w:tr w:rsidR="00A15C2C" w14:paraId="4FC53CEC" w14:textId="77777777" w:rsidTr="0055589E">
        <w:trPr>
          <w:jc w:val="center"/>
        </w:trPr>
        <w:tc>
          <w:tcPr>
            <w:tcW w:w="8344" w:type="dxa"/>
          </w:tcPr>
          <w:p w14:paraId="757093C7" w14:textId="77777777" w:rsidR="00581E6F" w:rsidRPr="005E3D4C" w:rsidRDefault="000F5B51" w:rsidP="00581E6F">
            <w:pPr>
              <w:spacing w:line="240" w:lineRule="auto"/>
              <w:contextualSpacing/>
              <w:rPr>
                <w:rFonts w:cs="Times New Roman"/>
                <w:szCs w:val="24"/>
              </w:rPr>
            </w:pPr>
            <w:r w:rsidRPr="0055589E">
              <w:rPr>
                <w:rFonts w:eastAsia="Times New Roman" w:cs="Times New Roman"/>
                <w:szCs w:val="24"/>
              </w:rPr>
              <w:t>Overall increase in belt use rate, observed</w:t>
            </w:r>
          </w:p>
        </w:tc>
        <w:tc>
          <w:tcPr>
            <w:tcW w:w="2096" w:type="dxa"/>
          </w:tcPr>
          <w:p w14:paraId="7AE21ED1" w14:textId="77777777" w:rsidR="00581E6F" w:rsidRPr="005E3D4C" w:rsidRDefault="000F5B51" w:rsidP="00581E6F">
            <w:pPr>
              <w:spacing w:line="240" w:lineRule="auto"/>
              <w:contextualSpacing/>
              <w:jc w:val="center"/>
              <w:rPr>
                <w:rFonts w:cs="Times New Roman"/>
                <w:szCs w:val="24"/>
              </w:rPr>
            </w:pPr>
            <w:r w:rsidRPr="0055589E">
              <w:rPr>
                <w:rFonts w:eastAsia="Times New Roman" w:cs="Times New Roman"/>
                <w:szCs w:val="24"/>
              </w:rPr>
              <w:t>4.6890%</w:t>
            </w:r>
          </w:p>
        </w:tc>
      </w:tr>
      <w:tr w:rsidR="00A15C2C" w14:paraId="096E931E" w14:textId="77777777" w:rsidTr="0055589E">
        <w:trPr>
          <w:jc w:val="center"/>
        </w:trPr>
        <w:tc>
          <w:tcPr>
            <w:tcW w:w="8344" w:type="dxa"/>
          </w:tcPr>
          <w:p w14:paraId="5CBF1375" w14:textId="3FCF8E43" w:rsidR="00581E6F" w:rsidRPr="005E3D4C" w:rsidRDefault="000F5B51" w:rsidP="00581E6F">
            <w:pPr>
              <w:spacing w:line="240" w:lineRule="auto"/>
              <w:contextualSpacing/>
              <w:rPr>
                <w:rFonts w:cs="Times New Roman"/>
                <w:szCs w:val="24"/>
              </w:rPr>
            </w:pPr>
            <w:r w:rsidRPr="0055589E">
              <w:rPr>
                <w:rFonts w:eastAsia="Times New Roman" w:cs="Times New Roman"/>
                <w:szCs w:val="24"/>
              </w:rPr>
              <w:t>Overall increase in belt use rate, in</w:t>
            </w:r>
            <w:r w:rsidR="00FE466E">
              <w:rPr>
                <w:rFonts w:eastAsia="Times New Roman" w:cs="Times New Roman"/>
                <w:szCs w:val="24"/>
              </w:rPr>
              <w:t xml:space="preserve"> </w:t>
            </w:r>
            <w:r w:rsidR="00FE466E" w:rsidRPr="00FE466E">
              <w:rPr>
                <w:rFonts w:eastAsia="Times New Roman" w:cs="Times New Roman"/>
                <w:szCs w:val="24"/>
              </w:rPr>
              <w:t>potentially</w:t>
            </w:r>
            <w:r w:rsidRPr="0055589E">
              <w:rPr>
                <w:rFonts w:eastAsia="Times New Roman" w:cs="Times New Roman"/>
                <w:szCs w:val="24"/>
              </w:rPr>
              <w:t xml:space="preserve"> fatal crashes, using a ratio, actual</w:t>
            </w:r>
          </w:p>
        </w:tc>
        <w:tc>
          <w:tcPr>
            <w:tcW w:w="2096" w:type="dxa"/>
          </w:tcPr>
          <w:p w14:paraId="295A54A9" w14:textId="77777777" w:rsidR="00581E6F" w:rsidRPr="005E3D4C" w:rsidRDefault="000F5B51" w:rsidP="00581E6F">
            <w:pPr>
              <w:spacing w:line="240" w:lineRule="auto"/>
              <w:contextualSpacing/>
              <w:jc w:val="center"/>
              <w:rPr>
                <w:rFonts w:cs="Times New Roman"/>
                <w:szCs w:val="24"/>
              </w:rPr>
            </w:pPr>
            <w:r w:rsidRPr="0055589E">
              <w:rPr>
                <w:rFonts w:eastAsia="Times New Roman" w:cs="Times New Roman"/>
                <w:szCs w:val="24"/>
              </w:rPr>
              <w:t>4.0588%</w:t>
            </w:r>
          </w:p>
        </w:tc>
      </w:tr>
      <w:tr w:rsidR="00A15C2C" w14:paraId="366BA056" w14:textId="77777777" w:rsidTr="0055589E">
        <w:trPr>
          <w:jc w:val="center"/>
        </w:trPr>
        <w:tc>
          <w:tcPr>
            <w:tcW w:w="8344" w:type="dxa"/>
          </w:tcPr>
          <w:p w14:paraId="720E9074" w14:textId="7533A929" w:rsidR="00581E6F" w:rsidRPr="005E3D4C" w:rsidRDefault="000F5B51" w:rsidP="00581E6F">
            <w:pPr>
              <w:spacing w:line="240" w:lineRule="auto"/>
              <w:contextualSpacing/>
              <w:rPr>
                <w:rFonts w:cs="Times New Roman"/>
                <w:szCs w:val="24"/>
              </w:rPr>
            </w:pPr>
            <w:r w:rsidRPr="0055589E">
              <w:rPr>
                <w:rFonts w:eastAsia="Times New Roman" w:cs="Times New Roman"/>
                <w:szCs w:val="24"/>
              </w:rPr>
              <w:t xml:space="preserve">Existing belt use rate in </w:t>
            </w:r>
            <w:r w:rsidR="00FE466E" w:rsidRPr="00FE466E">
              <w:rPr>
                <w:rFonts w:eastAsia="Times New Roman" w:cs="Times New Roman"/>
                <w:szCs w:val="24"/>
              </w:rPr>
              <w:t xml:space="preserve">potentially </w:t>
            </w:r>
            <w:r w:rsidRPr="0055589E">
              <w:rPr>
                <w:rFonts w:eastAsia="Times New Roman" w:cs="Times New Roman"/>
                <w:szCs w:val="24"/>
              </w:rPr>
              <w:t>fatal crashes</w:t>
            </w:r>
          </w:p>
        </w:tc>
        <w:tc>
          <w:tcPr>
            <w:tcW w:w="2096" w:type="dxa"/>
          </w:tcPr>
          <w:p w14:paraId="33C8B8F0" w14:textId="77777777" w:rsidR="00581E6F" w:rsidRPr="005E3D4C" w:rsidRDefault="000F5B51" w:rsidP="00581E6F">
            <w:pPr>
              <w:spacing w:line="240" w:lineRule="auto"/>
              <w:contextualSpacing/>
              <w:jc w:val="center"/>
              <w:rPr>
                <w:rFonts w:cs="Times New Roman"/>
                <w:szCs w:val="24"/>
              </w:rPr>
            </w:pPr>
            <w:r w:rsidRPr="0055589E">
              <w:rPr>
                <w:rFonts w:eastAsia="Times New Roman" w:cs="Times New Roman"/>
                <w:szCs w:val="24"/>
              </w:rPr>
              <w:t>61.2670%</w:t>
            </w:r>
          </w:p>
        </w:tc>
      </w:tr>
      <w:tr w:rsidR="00A15C2C" w14:paraId="2885A938" w14:textId="77777777" w:rsidTr="0055589E">
        <w:trPr>
          <w:jc w:val="center"/>
        </w:trPr>
        <w:tc>
          <w:tcPr>
            <w:tcW w:w="8344" w:type="dxa"/>
          </w:tcPr>
          <w:p w14:paraId="59F2D237" w14:textId="3B939939" w:rsidR="00581E6F" w:rsidRPr="005E3D4C" w:rsidRDefault="000F5B51" w:rsidP="00581E6F">
            <w:pPr>
              <w:spacing w:line="240" w:lineRule="auto"/>
              <w:contextualSpacing/>
              <w:rPr>
                <w:rFonts w:cs="Times New Roman"/>
                <w:szCs w:val="24"/>
              </w:rPr>
            </w:pPr>
            <w:r w:rsidRPr="0055589E">
              <w:rPr>
                <w:rFonts w:eastAsia="Times New Roman" w:cs="Times New Roman"/>
                <w:szCs w:val="24"/>
              </w:rPr>
              <w:t xml:space="preserve">Overall belt use rate, in </w:t>
            </w:r>
            <w:r w:rsidR="00FE466E" w:rsidRPr="00FE466E">
              <w:rPr>
                <w:rFonts w:eastAsia="Times New Roman" w:cs="Times New Roman"/>
                <w:szCs w:val="24"/>
              </w:rPr>
              <w:t xml:space="preserve">potentially </w:t>
            </w:r>
            <w:r w:rsidRPr="0055589E">
              <w:rPr>
                <w:rFonts w:eastAsia="Times New Roman" w:cs="Times New Roman"/>
                <w:szCs w:val="24"/>
              </w:rPr>
              <w:t>fatal crashes, estimated</w:t>
            </w:r>
          </w:p>
        </w:tc>
        <w:tc>
          <w:tcPr>
            <w:tcW w:w="2096" w:type="dxa"/>
          </w:tcPr>
          <w:p w14:paraId="5377730D" w14:textId="77777777" w:rsidR="00581E6F" w:rsidRPr="005E3D4C" w:rsidRDefault="000F5B51" w:rsidP="00581E6F">
            <w:pPr>
              <w:spacing w:line="240" w:lineRule="auto"/>
              <w:contextualSpacing/>
              <w:jc w:val="center"/>
              <w:rPr>
                <w:rFonts w:cs="Times New Roman"/>
                <w:szCs w:val="24"/>
              </w:rPr>
            </w:pPr>
            <w:r w:rsidRPr="0055589E">
              <w:rPr>
                <w:rFonts w:eastAsia="Times New Roman" w:cs="Times New Roman"/>
                <w:szCs w:val="24"/>
              </w:rPr>
              <w:t>65.3258%</w:t>
            </w:r>
          </w:p>
        </w:tc>
      </w:tr>
      <w:tr w:rsidR="00A15C2C" w14:paraId="14E82804" w14:textId="77777777" w:rsidTr="0055589E">
        <w:trPr>
          <w:jc w:val="center"/>
        </w:trPr>
        <w:tc>
          <w:tcPr>
            <w:tcW w:w="8344" w:type="dxa"/>
          </w:tcPr>
          <w:p w14:paraId="2AB9879C" w14:textId="13D57694" w:rsidR="00581E6F" w:rsidRPr="0055589E" w:rsidRDefault="000F5B51" w:rsidP="00581E6F">
            <w:pPr>
              <w:spacing w:line="240" w:lineRule="auto"/>
              <w:contextualSpacing/>
              <w:rPr>
                <w:rFonts w:cs="Times New Roman"/>
                <w:b/>
                <w:bCs/>
                <w:szCs w:val="24"/>
              </w:rPr>
            </w:pPr>
            <w:r w:rsidRPr="0055589E">
              <w:rPr>
                <w:rFonts w:eastAsia="Times New Roman" w:cs="Times New Roman"/>
                <w:b/>
                <w:bCs/>
                <w:szCs w:val="24"/>
              </w:rPr>
              <w:t xml:space="preserve">Increase in belt use, in </w:t>
            </w:r>
            <w:r w:rsidR="00FE466E" w:rsidRPr="00FE466E">
              <w:rPr>
                <w:rFonts w:eastAsia="Times New Roman" w:cs="Times New Roman"/>
                <w:b/>
                <w:bCs/>
                <w:szCs w:val="24"/>
              </w:rPr>
              <w:t xml:space="preserve">potentially </w:t>
            </w:r>
            <w:r w:rsidRPr="0055589E">
              <w:rPr>
                <w:rFonts w:eastAsia="Times New Roman" w:cs="Times New Roman"/>
                <w:b/>
                <w:bCs/>
                <w:szCs w:val="24"/>
              </w:rPr>
              <w:t>fatal crashes, ratio</w:t>
            </w:r>
          </w:p>
        </w:tc>
        <w:tc>
          <w:tcPr>
            <w:tcW w:w="2096" w:type="dxa"/>
          </w:tcPr>
          <w:p w14:paraId="2A944357" w14:textId="77777777" w:rsidR="00581E6F" w:rsidRPr="0055589E" w:rsidRDefault="000F5B51" w:rsidP="00581E6F">
            <w:pPr>
              <w:spacing w:line="240" w:lineRule="auto"/>
              <w:contextualSpacing/>
              <w:jc w:val="center"/>
              <w:rPr>
                <w:rFonts w:cs="Times New Roman"/>
                <w:b/>
                <w:bCs/>
                <w:szCs w:val="24"/>
              </w:rPr>
            </w:pPr>
            <w:r w:rsidRPr="0055589E">
              <w:rPr>
                <w:rFonts w:eastAsia="Times New Roman" w:cs="Times New Roman"/>
                <w:b/>
                <w:bCs/>
                <w:szCs w:val="24"/>
              </w:rPr>
              <w:t>1.066247</w:t>
            </w:r>
          </w:p>
        </w:tc>
      </w:tr>
    </w:tbl>
    <w:p w14:paraId="2953D8E7" w14:textId="77777777" w:rsidR="0047283A" w:rsidRPr="006133B2" w:rsidRDefault="0047283A" w:rsidP="006133B2">
      <w:pPr>
        <w:pStyle w:val="NoSpaceTimes"/>
      </w:pPr>
    </w:p>
    <w:p w14:paraId="10B4D948" w14:textId="76D8F68A" w:rsidR="00F92783" w:rsidRDefault="000F5B51" w:rsidP="0055589E">
      <w:pPr>
        <w:rPr>
          <w:rFonts w:cs="Times New Roman"/>
          <w:szCs w:val="24"/>
        </w:rPr>
      </w:pPr>
      <w:r>
        <w:fldChar w:fldCharType="begin"/>
      </w:r>
      <w:r>
        <w:instrText xml:space="preserve"> REF _Ref127426398 \h </w:instrText>
      </w:r>
      <w:r>
        <w:fldChar w:fldCharType="separate"/>
      </w:r>
      <w:r w:rsidR="00A65CB3">
        <w:t xml:space="preserve">Table </w:t>
      </w:r>
      <w:r w:rsidR="00A65CB3">
        <w:rPr>
          <w:noProof/>
        </w:rPr>
        <w:t>39</w:t>
      </w:r>
      <w:r>
        <w:fldChar w:fldCharType="end"/>
      </w:r>
      <w:r w:rsidR="005D1D2C">
        <w:t xml:space="preserve"> summarizes the </w:t>
      </w:r>
      <w:r w:rsidR="007D0D50">
        <w:t>increase in seat belt use for right front seat occupants including the data inputs specific to right front seat occupants</w:t>
      </w:r>
      <w:r w:rsidR="001F2F92">
        <w:t xml:space="preserve">. </w:t>
      </w:r>
      <w:r w:rsidR="005C5BDE">
        <w:rPr>
          <w:rFonts w:cs="Times New Roman"/>
          <w:szCs w:val="24"/>
        </w:rPr>
        <w:t>This calculation involves accounting for the proportion of right front seat occupants who sometimes, never, and always use seat belts specific to those who start with a seven-second warning system based on the distribution of systems</w:t>
      </w:r>
      <w:r w:rsidR="001F2F92">
        <w:rPr>
          <w:rFonts w:cs="Times New Roman"/>
          <w:szCs w:val="24"/>
        </w:rPr>
        <w:t xml:space="preserve">. </w:t>
      </w:r>
      <w:r w:rsidR="005C5BDE">
        <w:rPr>
          <w:rFonts w:cs="Times New Roman"/>
          <w:szCs w:val="24"/>
        </w:rPr>
        <w:t>Reflecting the increase in seat belt use of 34 percent for an indefinite warning on those who start with a seven-second warning system, seat belt use in</w:t>
      </w:r>
      <w:r w:rsidR="00DA0458" w:rsidRPr="00DA0458">
        <w:t xml:space="preserve"> </w:t>
      </w:r>
      <w:r w:rsidR="00DA0458" w:rsidRPr="00DA0458">
        <w:rPr>
          <w:rFonts w:cs="Times New Roman"/>
          <w:szCs w:val="24"/>
        </w:rPr>
        <w:t>potentially</w:t>
      </w:r>
      <w:r w:rsidR="005C5BDE">
        <w:rPr>
          <w:rFonts w:cs="Times New Roman"/>
          <w:szCs w:val="24"/>
        </w:rPr>
        <w:t xml:space="preserve"> fatal crashes for </w:t>
      </w:r>
      <w:r w:rsidR="00046F49">
        <w:rPr>
          <w:rFonts w:cs="Times New Roman"/>
          <w:szCs w:val="24"/>
        </w:rPr>
        <w:t>right front seat occupants would</w:t>
      </w:r>
      <w:r w:rsidR="005C5BDE">
        <w:rPr>
          <w:rFonts w:cs="Times New Roman"/>
          <w:szCs w:val="24"/>
        </w:rPr>
        <w:t xml:space="preserve"> increase from approximately 0.</w:t>
      </w:r>
      <w:r w:rsidR="00E42B7D">
        <w:rPr>
          <w:rFonts w:cs="Times New Roman"/>
          <w:szCs w:val="24"/>
        </w:rPr>
        <w:t>6006</w:t>
      </w:r>
      <w:r w:rsidR="005C5BDE">
        <w:rPr>
          <w:rFonts w:cs="Times New Roman"/>
          <w:szCs w:val="24"/>
        </w:rPr>
        <w:t xml:space="preserve"> to approximately 0.6</w:t>
      </w:r>
      <w:r w:rsidR="006621AF">
        <w:rPr>
          <w:rFonts w:cs="Times New Roman"/>
          <w:szCs w:val="24"/>
        </w:rPr>
        <w:t>3</w:t>
      </w:r>
      <w:r w:rsidR="00393A53">
        <w:rPr>
          <w:rFonts w:cs="Times New Roman"/>
          <w:szCs w:val="24"/>
        </w:rPr>
        <w:t>80</w:t>
      </w:r>
      <w:r w:rsidR="001F2F92">
        <w:rPr>
          <w:rFonts w:cs="Times New Roman"/>
          <w:szCs w:val="24"/>
        </w:rPr>
        <w:t xml:space="preserve">. </w:t>
      </w:r>
      <w:r w:rsidR="005C5BDE">
        <w:rPr>
          <w:rFonts w:cs="Times New Roman"/>
          <w:szCs w:val="24"/>
        </w:rPr>
        <w:t>Therefore, we use the corresponding ratio of increase of 1.06</w:t>
      </w:r>
      <w:r w:rsidR="005C5E12">
        <w:rPr>
          <w:rFonts w:cs="Times New Roman"/>
          <w:szCs w:val="24"/>
        </w:rPr>
        <w:t>2254</w:t>
      </w:r>
      <w:r w:rsidR="005C5BDE">
        <w:rPr>
          <w:rFonts w:cs="Times New Roman"/>
          <w:szCs w:val="24"/>
        </w:rPr>
        <w:t xml:space="preserve"> to reflect the increase in seat belt use for </w:t>
      </w:r>
      <w:r w:rsidR="00046F49">
        <w:rPr>
          <w:rFonts w:cs="Times New Roman"/>
          <w:szCs w:val="24"/>
        </w:rPr>
        <w:t>right front seat occupants</w:t>
      </w:r>
      <w:r w:rsidR="005C5BDE">
        <w:rPr>
          <w:rFonts w:cs="Times New Roman"/>
          <w:szCs w:val="24"/>
        </w:rPr>
        <w:t xml:space="preserve"> when moving from a seven-second to an indefinite warning. </w:t>
      </w:r>
    </w:p>
    <w:p w14:paraId="05005DF3" w14:textId="77777777" w:rsidR="00ED44A3" w:rsidRDefault="00ED44A3" w:rsidP="0055589E">
      <w:pPr>
        <w:rPr>
          <w:rFonts w:cs="Times New Roman"/>
          <w:szCs w:val="24"/>
        </w:rPr>
      </w:pPr>
    </w:p>
    <w:p w14:paraId="7A20EEFE" w14:textId="77777777" w:rsidR="00ED44A3" w:rsidRPr="00A57E5E" w:rsidRDefault="00ED44A3" w:rsidP="0055589E"/>
    <w:p w14:paraId="5C7D7D8F" w14:textId="24DA36C0" w:rsidR="00113469" w:rsidRDefault="000F5B51" w:rsidP="00113469">
      <w:pPr>
        <w:pStyle w:val="Caption"/>
        <w:rPr>
          <w:rFonts w:cs="Times New Roman"/>
          <w:szCs w:val="24"/>
        </w:rPr>
      </w:pPr>
      <w:bookmarkStart w:id="214" w:name="_Ref127426398"/>
      <w:bookmarkStart w:id="215" w:name="_Ref126568054"/>
      <w:r>
        <w:lastRenderedPageBreak/>
        <w:t xml:space="preserve">Table </w:t>
      </w:r>
      <w:r w:rsidR="00115BAB">
        <w:fldChar w:fldCharType="begin"/>
      </w:r>
      <w:r>
        <w:instrText xml:space="preserve"> SEQ Table \* ARABIC </w:instrText>
      </w:r>
      <w:r w:rsidR="00115BAB">
        <w:fldChar w:fldCharType="separate"/>
      </w:r>
      <w:r w:rsidR="00A65CB3">
        <w:rPr>
          <w:noProof/>
        </w:rPr>
        <w:t>39</w:t>
      </w:r>
      <w:r w:rsidR="00115BAB">
        <w:rPr>
          <w:noProof/>
        </w:rPr>
        <w:fldChar w:fldCharType="end"/>
      </w:r>
      <w:bookmarkEnd w:id="214"/>
      <w:r>
        <w:t xml:space="preserve">: Summary of Increase in Seat Belt Use for </w:t>
      </w:r>
      <w:r w:rsidR="00F92783">
        <w:t>Right Front Seat</w:t>
      </w:r>
      <w:r>
        <w:t xml:space="preserve"> 7-Second Warning to Indefinite Warning</w:t>
      </w:r>
    </w:p>
    <w:tbl>
      <w:tblPr>
        <w:tblStyle w:val="TableGrid"/>
        <w:tblW w:w="10440" w:type="dxa"/>
        <w:jc w:val="center"/>
        <w:tblLook w:val="04A0" w:firstRow="1" w:lastRow="0" w:firstColumn="1" w:lastColumn="0" w:noHBand="0" w:noVBand="1"/>
      </w:tblPr>
      <w:tblGrid>
        <w:gridCol w:w="8344"/>
        <w:gridCol w:w="2096"/>
      </w:tblGrid>
      <w:tr w:rsidR="00A15C2C" w14:paraId="3BC4E3DB" w14:textId="77777777" w:rsidTr="00A807D0">
        <w:trPr>
          <w:jc w:val="center"/>
        </w:trPr>
        <w:tc>
          <w:tcPr>
            <w:tcW w:w="8344" w:type="dxa"/>
            <w:shd w:val="clear" w:color="auto" w:fill="D9D9D9" w:themeFill="background1" w:themeFillShade="D9"/>
            <w:vAlign w:val="center"/>
          </w:tcPr>
          <w:p w14:paraId="5546B762" w14:textId="77777777" w:rsidR="00113469" w:rsidRPr="006A00B6" w:rsidRDefault="000F5B51" w:rsidP="00A807D0">
            <w:pPr>
              <w:spacing w:line="240" w:lineRule="auto"/>
              <w:contextualSpacing/>
              <w:rPr>
                <w:b/>
                <w:bCs/>
                <w:szCs w:val="24"/>
              </w:rPr>
            </w:pPr>
            <w:r w:rsidRPr="006A00B6">
              <w:rPr>
                <w:b/>
                <w:bCs/>
                <w:szCs w:val="24"/>
              </w:rPr>
              <w:t>Belt user and related items</w:t>
            </w:r>
          </w:p>
        </w:tc>
        <w:tc>
          <w:tcPr>
            <w:tcW w:w="2096" w:type="dxa"/>
            <w:shd w:val="clear" w:color="auto" w:fill="D9D9D9" w:themeFill="background1" w:themeFillShade="D9"/>
            <w:vAlign w:val="center"/>
          </w:tcPr>
          <w:p w14:paraId="14F5FBAD" w14:textId="77777777" w:rsidR="00113469" w:rsidRPr="006A00B6" w:rsidRDefault="000F5B51" w:rsidP="00A807D0">
            <w:pPr>
              <w:spacing w:line="240" w:lineRule="auto"/>
              <w:contextualSpacing/>
              <w:jc w:val="center"/>
              <w:rPr>
                <w:b/>
                <w:bCs/>
                <w:szCs w:val="24"/>
              </w:rPr>
            </w:pPr>
            <w:r w:rsidRPr="006A00B6">
              <w:rPr>
                <w:b/>
                <w:bCs/>
                <w:szCs w:val="24"/>
              </w:rPr>
              <w:t>Rate</w:t>
            </w:r>
          </w:p>
        </w:tc>
      </w:tr>
      <w:tr w:rsidR="00A15C2C" w14:paraId="1014F7C8" w14:textId="77777777" w:rsidTr="00A807D0">
        <w:trPr>
          <w:jc w:val="center"/>
        </w:trPr>
        <w:tc>
          <w:tcPr>
            <w:tcW w:w="8344" w:type="dxa"/>
          </w:tcPr>
          <w:p w14:paraId="0B661164" w14:textId="77777777" w:rsidR="00DE1A1B" w:rsidRPr="00DE1A1B" w:rsidRDefault="000F5B51" w:rsidP="00DE1A1B">
            <w:pPr>
              <w:spacing w:line="240" w:lineRule="auto"/>
              <w:contextualSpacing/>
              <w:rPr>
                <w:rFonts w:cs="Times New Roman"/>
                <w:szCs w:val="24"/>
              </w:rPr>
            </w:pPr>
            <w:r w:rsidRPr="0055589E">
              <w:rPr>
                <w:rFonts w:eastAsia="Times New Roman" w:cs="Times New Roman"/>
                <w:szCs w:val="24"/>
              </w:rPr>
              <w:t>The reported "sometimes using seat belts", calculated</w:t>
            </w:r>
          </w:p>
        </w:tc>
        <w:tc>
          <w:tcPr>
            <w:tcW w:w="2096" w:type="dxa"/>
          </w:tcPr>
          <w:p w14:paraId="65B5F215" w14:textId="77777777" w:rsidR="00DE1A1B" w:rsidRPr="00DE1A1B" w:rsidRDefault="000F5B51" w:rsidP="00DE1A1B">
            <w:pPr>
              <w:spacing w:line="240" w:lineRule="auto"/>
              <w:contextualSpacing/>
              <w:jc w:val="center"/>
              <w:rPr>
                <w:rFonts w:cs="Times New Roman"/>
                <w:szCs w:val="24"/>
              </w:rPr>
            </w:pPr>
            <w:r w:rsidRPr="0055589E">
              <w:rPr>
                <w:rFonts w:eastAsia="Times New Roman" w:cs="Times New Roman"/>
                <w:szCs w:val="24"/>
              </w:rPr>
              <w:t>14.50%</w:t>
            </w:r>
          </w:p>
        </w:tc>
      </w:tr>
      <w:tr w:rsidR="00A15C2C" w14:paraId="00D361AD" w14:textId="77777777" w:rsidTr="00A807D0">
        <w:trPr>
          <w:jc w:val="center"/>
        </w:trPr>
        <w:tc>
          <w:tcPr>
            <w:tcW w:w="8344" w:type="dxa"/>
          </w:tcPr>
          <w:p w14:paraId="0F727991" w14:textId="77777777" w:rsidR="00DE1A1B" w:rsidRPr="00DE1A1B" w:rsidRDefault="000F5B51" w:rsidP="00DE1A1B">
            <w:pPr>
              <w:spacing w:line="240" w:lineRule="auto"/>
              <w:contextualSpacing/>
              <w:rPr>
                <w:rFonts w:cs="Times New Roman"/>
                <w:szCs w:val="24"/>
              </w:rPr>
            </w:pPr>
            <w:r w:rsidRPr="0055589E">
              <w:rPr>
                <w:rFonts w:eastAsia="Times New Roman" w:cs="Times New Roman"/>
                <w:szCs w:val="24"/>
              </w:rPr>
              <w:t>The reported "seldom or never using seat belts when driving or riding in a car", calculated</w:t>
            </w:r>
          </w:p>
        </w:tc>
        <w:tc>
          <w:tcPr>
            <w:tcW w:w="2096" w:type="dxa"/>
          </w:tcPr>
          <w:p w14:paraId="35AE7536" w14:textId="77777777" w:rsidR="00DE1A1B" w:rsidRPr="00DE1A1B" w:rsidRDefault="000F5B51" w:rsidP="00DE1A1B">
            <w:pPr>
              <w:spacing w:line="240" w:lineRule="auto"/>
              <w:contextualSpacing/>
              <w:jc w:val="center"/>
              <w:rPr>
                <w:rFonts w:cs="Times New Roman"/>
                <w:szCs w:val="24"/>
              </w:rPr>
            </w:pPr>
            <w:r w:rsidRPr="0055589E">
              <w:rPr>
                <w:rFonts w:eastAsia="Times New Roman" w:cs="Times New Roman"/>
                <w:szCs w:val="24"/>
              </w:rPr>
              <w:t>11.35%</w:t>
            </w:r>
          </w:p>
        </w:tc>
      </w:tr>
      <w:tr w:rsidR="00A15C2C" w14:paraId="7B62BDED" w14:textId="77777777" w:rsidTr="00A807D0">
        <w:trPr>
          <w:jc w:val="center"/>
        </w:trPr>
        <w:tc>
          <w:tcPr>
            <w:tcW w:w="8344" w:type="dxa"/>
          </w:tcPr>
          <w:p w14:paraId="4856E125" w14:textId="77777777" w:rsidR="00DE1A1B" w:rsidRPr="00DE1A1B" w:rsidRDefault="000F5B51" w:rsidP="00DE1A1B">
            <w:pPr>
              <w:spacing w:line="240" w:lineRule="auto"/>
              <w:contextualSpacing/>
              <w:rPr>
                <w:rFonts w:cs="Times New Roman"/>
                <w:szCs w:val="24"/>
              </w:rPr>
            </w:pPr>
            <w:r w:rsidRPr="0055589E">
              <w:rPr>
                <w:rFonts w:eastAsia="Times New Roman" w:cs="Times New Roman"/>
                <w:szCs w:val="24"/>
              </w:rPr>
              <w:t>Percentage of Front-Passengers who always use seat belts, calculated</w:t>
            </w:r>
          </w:p>
        </w:tc>
        <w:tc>
          <w:tcPr>
            <w:tcW w:w="2096" w:type="dxa"/>
          </w:tcPr>
          <w:p w14:paraId="4808243B" w14:textId="77777777" w:rsidR="00DE1A1B" w:rsidRPr="00DE1A1B" w:rsidRDefault="000F5B51" w:rsidP="00DE1A1B">
            <w:pPr>
              <w:spacing w:line="240" w:lineRule="auto"/>
              <w:contextualSpacing/>
              <w:jc w:val="center"/>
              <w:rPr>
                <w:rFonts w:cs="Times New Roman"/>
                <w:szCs w:val="24"/>
              </w:rPr>
            </w:pPr>
            <w:r w:rsidRPr="0055589E">
              <w:rPr>
                <w:rFonts w:eastAsia="Times New Roman" w:cs="Times New Roman"/>
                <w:szCs w:val="24"/>
              </w:rPr>
              <w:t>74.1%</w:t>
            </w:r>
          </w:p>
        </w:tc>
      </w:tr>
      <w:tr w:rsidR="00A15C2C" w14:paraId="06B5121A" w14:textId="77777777" w:rsidTr="00A807D0">
        <w:trPr>
          <w:jc w:val="center"/>
        </w:trPr>
        <w:tc>
          <w:tcPr>
            <w:tcW w:w="8344" w:type="dxa"/>
          </w:tcPr>
          <w:p w14:paraId="161D2CC7" w14:textId="77777777" w:rsidR="00DE1A1B" w:rsidRPr="00DE1A1B" w:rsidRDefault="000F5B51" w:rsidP="00DE1A1B">
            <w:pPr>
              <w:spacing w:line="240" w:lineRule="auto"/>
              <w:contextualSpacing/>
              <w:rPr>
                <w:rFonts w:cs="Times New Roman"/>
                <w:szCs w:val="24"/>
              </w:rPr>
            </w:pPr>
            <w:r w:rsidRPr="0055589E">
              <w:rPr>
                <w:rFonts w:eastAsia="Times New Roman" w:cs="Times New Roman"/>
                <w:szCs w:val="24"/>
              </w:rPr>
              <w:t>Driver overall belt use rate without an indefinite SBWS alert, observed</w:t>
            </w:r>
          </w:p>
        </w:tc>
        <w:tc>
          <w:tcPr>
            <w:tcW w:w="2096" w:type="dxa"/>
          </w:tcPr>
          <w:p w14:paraId="784B958C" w14:textId="77777777" w:rsidR="00DE1A1B" w:rsidRPr="00DE1A1B" w:rsidRDefault="000F5B51" w:rsidP="00DE1A1B">
            <w:pPr>
              <w:spacing w:line="240" w:lineRule="auto"/>
              <w:contextualSpacing/>
              <w:jc w:val="center"/>
              <w:rPr>
                <w:rFonts w:cs="Times New Roman"/>
                <w:szCs w:val="24"/>
              </w:rPr>
            </w:pPr>
            <w:r w:rsidRPr="0055589E">
              <w:rPr>
                <w:rFonts w:eastAsia="Times New Roman" w:cs="Times New Roman"/>
                <w:szCs w:val="24"/>
              </w:rPr>
              <w:t>75.6%</w:t>
            </w:r>
          </w:p>
        </w:tc>
      </w:tr>
      <w:tr w:rsidR="00A15C2C" w14:paraId="7CBA70DF" w14:textId="77777777" w:rsidTr="00A807D0">
        <w:trPr>
          <w:jc w:val="center"/>
        </w:trPr>
        <w:tc>
          <w:tcPr>
            <w:tcW w:w="8344" w:type="dxa"/>
          </w:tcPr>
          <w:p w14:paraId="6B8414D5" w14:textId="521780D1" w:rsidR="00DE1A1B" w:rsidRPr="00DE1A1B" w:rsidRDefault="000F5B51" w:rsidP="00DE1A1B">
            <w:pPr>
              <w:spacing w:line="240" w:lineRule="auto"/>
              <w:contextualSpacing/>
              <w:rPr>
                <w:rFonts w:cs="Times New Roman"/>
                <w:szCs w:val="24"/>
              </w:rPr>
            </w:pPr>
            <w:r w:rsidRPr="0055589E">
              <w:rPr>
                <w:rFonts w:eastAsia="Times New Roman" w:cs="Times New Roman"/>
                <w:szCs w:val="24"/>
              </w:rPr>
              <w:t xml:space="preserve">Probability of using belt use for </w:t>
            </w:r>
            <w:r w:rsidR="006F72BC">
              <w:rPr>
                <w:rFonts w:eastAsia="Times New Roman" w:cs="Times New Roman"/>
                <w:szCs w:val="24"/>
              </w:rPr>
              <w:t>p</w:t>
            </w:r>
            <w:r w:rsidRPr="0055589E">
              <w:rPr>
                <w:rFonts w:eastAsia="Times New Roman" w:cs="Times New Roman"/>
                <w:szCs w:val="24"/>
              </w:rPr>
              <w:t xml:space="preserve">art time seat belt user while in a vehicle, calculated </w:t>
            </w:r>
          </w:p>
        </w:tc>
        <w:tc>
          <w:tcPr>
            <w:tcW w:w="2096" w:type="dxa"/>
          </w:tcPr>
          <w:p w14:paraId="452021B8" w14:textId="77777777" w:rsidR="00DE1A1B" w:rsidRPr="00DE1A1B" w:rsidRDefault="000F5B51" w:rsidP="00DE1A1B">
            <w:pPr>
              <w:spacing w:line="240" w:lineRule="auto"/>
              <w:contextualSpacing/>
              <w:jc w:val="center"/>
              <w:rPr>
                <w:rFonts w:cs="Times New Roman"/>
                <w:szCs w:val="24"/>
              </w:rPr>
            </w:pPr>
            <w:r w:rsidRPr="0055589E">
              <w:rPr>
                <w:rFonts w:eastAsia="Times New Roman" w:cs="Times New Roman"/>
                <w:szCs w:val="24"/>
              </w:rPr>
              <w:t>10%</w:t>
            </w:r>
          </w:p>
        </w:tc>
      </w:tr>
      <w:tr w:rsidR="00A15C2C" w14:paraId="7442D739" w14:textId="77777777" w:rsidTr="00A807D0">
        <w:trPr>
          <w:jc w:val="center"/>
        </w:trPr>
        <w:tc>
          <w:tcPr>
            <w:tcW w:w="8344" w:type="dxa"/>
          </w:tcPr>
          <w:p w14:paraId="178923D5" w14:textId="77777777" w:rsidR="00DE1A1B" w:rsidRPr="00DE1A1B" w:rsidRDefault="000F5B51" w:rsidP="00DE1A1B">
            <w:pPr>
              <w:spacing w:line="240" w:lineRule="auto"/>
              <w:contextualSpacing/>
              <w:rPr>
                <w:rFonts w:cs="Times New Roman"/>
                <w:szCs w:val="24"/>
              </w:rPr>
            </w:pPr>
            <w:r w:rsidRPr="0055589E">
              <w:rPr>
                <w:rFonts w:eastAsia="Times New Roman" w:cs="Times New Roman"/>
                <w:szCs w:val="24"/>
              </w:rPr>
              <w:t>Increase in belt use due to an indefinite warning only for part time belt users, from the IIHS report</w:t>
            </w:r>
          </w:p>
        </w:tc>
        <w:tc>
          <w:tcPr>
            <w:tcW w:w="2096" w:type="dxa"/>
          </w:tcPr>
          <w:p w14:paraId="03306FEF" w14:textId="77777777" w:rsidR="00DE1A1B" w:rsidRPr="00DE1A1B" w:rsidRDefault="000F5B51" w:rsidP="00DE1A1B">
            <w:pPr>
              <w:spacing w:line="240" w:lineRule="auto"/>
              <w:contextualSpacing/>
              <w:jc w:val="center"/>
              <w:rPr>
                <w:rFonts w:cs="Times New Roman"/>
                <w:szCs w:val="24"/>
              </w:rPr>
            </w:pPr>
            <w:r w:rsidRPr="0055589E">
              <w:rPr>
                <w:rFonts w:eastAsia="Times New Roman" w:cs="Times New Roman"/>
                <w:szCs w:val="24"/>
              </w:rPr>
              <w:t>34%</w:t>
            </w:r>
          </w:p>
        </w:tc>
      </w:tr>
      <w:tr w:rsidR="00A15C2C" w14:paraId="644CC032" w14:textId="77777777" w:rsidTr="00A807D0">
        <w:trPr>
          <w:jc w:val="center"/>
        </w:trPr>
        <w:tc>
          <w:tcPr>
            <w:tcW w:w="8344" w:type="dxa"/>
          </w:tcPr>
          <w:p w14:paraId="434796C7" w14:textId="579983B8" w:rsidR="00DE1A1B" w:rsidRPr="00DE1A1B" w:rsidRDefault="000F5B51" w:rsidP="00DE1A1B">
            <w:pPr>
              <w:spacing w:line="240" w:lineRule="auto"/>
              <w:contextualSpacing/>
              <w:rPr>
                <w:rFonts w:cs="Times New Roman"/>
                <w:szCs w:val="24"/>
              </w:rPr>
            </w:pPr>
            <w:r w:rsidRPr="0055589E">
              <w:rPr>
                <w:rFonts w:eastAsia="Times New Roman" w:cs="Times New Roman"/>
                <w:szCs w:val="24"/>
              </w:rPr>
              <w:t xml:space="preserve">Increase in belt use due to an indefinite warning for </w:t>
            </w:r>
            <w:r w:rsidR="006F72BC">
              <w:rPr>
                <w:rFonts w:eastAsia="Times New Roman" w:cs="Times New Roman"/>
                <w:szCs w:val="24"/>
              </w:rPr>
              <w:t>n</w:t>
            </w:r>
            <w:r w:rsidRPr="0055589E">
              <w:rPr>
                <w:rFonts w:eastAsia="Times New Roman" w:cs="Times New Roman"/>
                <w:szCs w:val="24"/>
              </w:rPr>
              <w:t xml:space="preserve">ever </w:t>
            </w:r>
            <w:r w:rsidR="006F72BC">
              <w:rPr>
                <w:rFonts w:eastAsia="Times New Roman" w:cs="Times New Roman"/>
                <w:szCs w:val="24"/>
              </w:rPr>
              <w:t>u</w:t>
            </w:r>
            <w:r w:rsidRPr="0055589E">
              <w:rPr>
                <w:rFonts w:eastAsia="Times New Roman" w:cs="Times New Roman"/>
                <w:szCs w:val="24"/>
              </w:rPr>
              <w:t>se belt users, assumed</w:t>
            </w:r>
          </w:p>
        </w:tc>
        <w:tc>
          <w:tcPr>
            <w:tcW w:w="2096" w:type="dxa"/>
          </w:tcPr>
          <w:p w14:paraId="2C701E72" w14:textId="77777777" w:rsidR="00DE1A1B" w:rsidRPr="00DE1A1B" w:rsidRDefault="000F5B51" w:rsidP="00DE1A1B">
            <w:pPr>
              <w:spacing w:line="240" w:lineRule="auto"/>
              <w:contextualSpacing/>
              <w:jc w:val="center"/>
              <w:rPr>
                <w:rFonts w:cs="Times New Roman"/>
                <w:szCs w:val="24"/>
              </w:rPr>
            </w:pPr>
            <w:r w:rsidRPr="0055589E">
              <w:rPr>
                <w:rFonts w:eastAsia="Times New Roman" w:cs="Times New Roman"/>
                <w:szCs w:val="24"/>
              </w:rPr>
              <w:t>34%</w:t>
            </w:r>
          </w:p>
        </w:tc>
      </w:tr>
      <w:tr w:rsidR="00A15C2C" w14:paraId="041724E5" w14:textId="77777777" w:rsidTr="00A807D0">
        <w:trPr>
          <w:jc w:val="center"/>
        </w:trPr>
        <w:tc>
          <w:tcPr>
            <w:tcW w:w="8344" w:type="dxa"/>
          </w:tcPr>
          <w:p w14:paraId="6F7634A0" w14:textId="375EFF7D" w:rsidR="00DE1A1B" w:rsidRPr="00DE1A1B" w:rsidRDefault="000F5B51" w:rsidP="00DE1A1B">
            <w:pPr>
              <w:spacing w:line="240" w:lineRule="auto"/>
              <w:contextualSpacing/>
              <w:rPr>
                <w:rFonts w:cs="Times New Roman"/>
                <w:szCs w:val="24"/>
              </w:rPr>
            </w:pPr>
            <w:r w:rsidRPr="0055589E">
              <w:rPr>
                <w:rFonts w:eastAsia="Times New Roman" w:cs="Times New Roman"/>
                <w:szCs w:val="24"/>
              </w:rPr>
              <w:t xml:space="preserve">Percentage of the "seldom or </w:t>
            </w:r>
            <w:r w:rsidR="006F72BC">
              <w:rPr>
                <w:rFonts w:eastAsia="Times New Roman" w:cs="Times New Roman"/>
                <w:szCs w:val="24"/>
              </w:rPr>
              <w:t>n</w:t>
            </w:r>
            <w:r w:rsidRPr="0055589E">
              <w:rPr>
                <w:rFonts w:eastAsia="Times New Roman" w:cs="Times New Roman"/>
                <w:szCs w:val="24"/>
              </w:rPr>
              <w:t>ever using belts" group, with an indefinite warning</w:t>
            </w:r>
          </w:p>
        </w:tc>
        <w:tc>
          <w:tcPr>
            <w:tcW w:w="2096" w:type="dxa"/>
          </w:tcPr>
          <w:p w14:paraId="24CDBEA2" w14:textId="77777777" w:rsidR="00DE1A1B" w:rsidRPr="00DE1A1B" w:rsidRDefault="000F5B51" w:rsidP="00DE1A1B">
            <w:pPr>
              <w:spacing w:line="240" w:lineRule="auto"/>
              <w:contextualSpacing/>
              <w:jc w:val="center"/>
              <w:rPr>
                <w:rFonts w:cs="Times New Roman"/>
                <w:szCs w:val="24"/>
              </w:rPr>
            </w:pPr>
            <w:r w:rsidRPr="0055589E">
              <w:rPr>
                <w:rFonts w:eastAsia="Times New Roman" w:cs="Times New Roman"/>
                <w:szCs w:val="24"/>
              </w:rPr>
              <w:t>7.5%</w:t>
            </w:r>
          </w:p>
        </w:tc>
      </w:tr>
      <w:tr w:rsidR="00A15C2C" w14:paraId="6196C030" w14:textId="77777777" w:rsidTr="00A807D0">
        <w:trPr>
          <w:jc w:val="center"/>
        </w:trPr>
        <w:tc>
          <w:tcPr>
            <w:tcW w:w="8344" w:type="dxa"/>
          </w:tcPr>
          <w:p w14:paraId="06EF2915" w14:textId="77777777" w:rsidR="00DE1A1B" w:rsidRPr="00DE1A1B" w:rsidRDefault="000F5B51" w:rsidP="00DE1A1B">
            <w:pPr>
              <w:spacing w:line="240" w:lineRule="auto"/>
              <w:contextualSpacing/>
              <w:rPr>
                <w:rFonts w:cs="Times New Roman"/>
                <w:szCs w:val="24"/>
              </w:rPr>
            </w:pPr>
            <w:r w:rsidRPr="0055589E">
              <w:rPr>
                <w:rFonts w:eastAsia="Times New Roman" w:cs="Times New Roman"/>
                <w:szCs w:val="24"/>
              </w:rPr>
              <w:t>Percentage of drivers who always use seat belts with an indefinite warning</w:t>
            </w:r>
          </w:p>
        </w:tc>
        <w:tc>
          <w:tcPr>
            <w:tcW w:w="2096" w:type="dxa"/>
          </w:tcPr>
          <w:p w14:paraId="2007AD79" w14:textId="77777777" w:rsidR="00DE1A1B" w:rsidRPr="00DE1A1B" w:rsidRDefault="000F5B51" w:rsidP="00DE1A1B">
            <w:pPr>
              <w:spacing w:line="240" w:lineRule="auto"/>
              <w:contextualSpacing/>
              <w:jc w:val="center"/>
              <w:rPr>
                <w:rFonts w:cs="Times New Roman"/>
                <w:szCs w:val="24"/>
              </w:rPr>
            </w:pPr>
            <w:r w:rsidRPr="0055589E">
              <w:rPr>
                <w:rFonts w:eastAsia="Times New Roman" w:cs="Times New Roman"/>
                <w:szCs w:val="24"/>
              </w:rPr>
              <w:t>78.0%</w:t>
            </w:r>
          </w:p>
        </w:tc>
      </w:tr>
      <w:tr w:rsidR="00A15C2C" w14:paraId="7D889BF8" w14:textId="77777777" w:rsidTr="00A807D0">
        <w:trPr>
          <w:jc w:val="center"/>
        </w:trPr>
        <w:tc>
          <w:tcPr>
            <w:tcW w:w="8344" w:type="dxa"/>
          </w:tcPr>
          <w:p w14:paraId="6F57EB58" w14:textId="527C297D" w:rsidR="00DE1A1B" w:rsidRPr="00DE1A1B" w:rsidRDefault="000F5B51" w:rsidP="00DE1A1B">
            <w:pPr>
              <w:spacing w:line="240" w:lineRule="auto"/>
              <w:contextualSpacing/>
              <w:rPr>
                <w:rFonts w:cs="Times New Roman"/>
                <w:szCs w:val="24"/>
              </w:rPr>
            </w:pPr>
            <w:r w:rsidRPr="0055589E">
              <w:rPr>
                <w:rFonts w:eastAsia="Times New Roman" w:cs="Times New Roman"/>
                <w:szCs w:val="24"/>
              </w:rPr>
              <w:t xml:space="preserve">Belt use rate (i.e., increased) due to an indefinite warning for </w:t>
            </w:r>
            <w:r w:rsidR="00713D6E">
              <w:rPr>
                <w:rFonts w:eastAsia="Times New Roman" w:cs="Times New Roman"/>
                <w:szCs w:val="24"/>
              </w:rPr>
              <w:t>p</w:t>
            </w:r>
            <w:r w:rsidRPr="0055589E">
              <w:rPr>
                <w:rFonts w:eastAsia="Times New Roman" w:cs="Times New Roman"/>
                <w:szCs w:val="24"/>
              </w:rPr>
              <w:t>art time belt users</w:t>
            </w:r>
          </w:p>
        </w:tc>
        <w:tc>
          <w:tcPr>
            <w:tcW w:w="2096" w:type="dxa"/>
          </w:tcPr>
          <w:p w14:paraId="1AEC7D1E" w14:textId="77777777" w:rsidR="00DE1A1B" w:rsidRPr="00DE1A1B" w:rsidRDefault="000F5B51" w:rsidP="00DE1A1B">
            <w:pPr>
              <w:spacing w:line="240" w:lineRule="auto"/>
              <w:contextualSpacing/>
              <w:jc w:val="center"/>
              <w:rPr>
                <w:rFonts w:cs="Times New Roman"/>
                <w:szCs w:val="24"/>
              </w:rPr>
            </w:pPr>
            <w:r w:rsidRPr="0055589E">
              <w:rPr>
                <w:rFonts w:eastAsia="Times New Roman" w:cs="Times New Roman"/>
                <w:szCs w:val="24"/>
              </w:rPr>
              <w:t>13.3%</w:t>
            </w:r>
          </w:p>
        </w:tc>
      </w:tr>
      <w:tr w:rsidR="00A15C2C" w14:paraId="2DC385EA" w14:textId="77777777" w:rsidTr="00A807D0">
        <w:trPr>
          <w:jc w:val="center"/>
        </w:trPr>
        <w:tc>
          <w:tcPr>
            <w:tcW w:w="8344" w:type="dxa"/>
          </w:tcPr>
          <w:p w14:paraId="7CD48282" w14:textId="77777777" w:rsidR="00DE1A1B" w:rsidRPr="00DE1A1B" w:rsidRDefault="000F5B51" w:rsidP="00DE1A1B">
            <w:pPr>
              <w:spacing w:line="240" w:lineRule="auto"/>
              <w:contextualSpacing/>
              <w:rPr>
                <w:rFonts w:cs="Times New Roman"/>
                <w:szCs w:val="24"/>
              </w:rPr>
            </w:pPr>
            <w:r w:rsidRPr="0055589E">
              <w:rPr>
                <w:rFonts w:eastAsia="Times New Roman" w:cs="Times New Roman"/>
                <w:szCs w:val="24"/>
              </w:rPr>
              <w:t>Driver overall belt use rate with the indefinite SBWS alert, observed</w:t>
            </w:r>
          </w:p>
        </w:tc>
        <w:tc>
          <w:tcPr>
            <w:tcW w:w="2096" w:type="dxa"/>
          </w:tcPr>
          <w:p w14:paraId="7F9FBA85" w14:textId="77777777" w:rsidR="00DE1A1B" w:rsidRPr="00DE1A1B" w:rsidRDefault="000F5B51" w:rsidP="00DE1A1B">
            <w:pPr>
              <w:spacing w:line="240" w:lineRule="auto"/>
              <w:contextualSpacing/>
              <w:jc w:val="center"/>
              <w:rPr>
                <w:rFonts w:cs="Times New Roman"/>
                <w:szCs w:val="24"/>
              </w:rPr>
            </w:pPr>
            <w:r w:rsidRPr="0055589E">
              <w:rPr>
                <w:rFonts w:eastAsia="Times New Roman" w:cs="Times New Roman"/>
                <w:szCs w:val="24"/>
              </w:rPr>
              <w:t>79.9%</w:t>
            </w:r>
          </w:p>
        </w:tc>
      </w:tr>
      <w:tr w:rsidR="00A15C2C" w14:paraId="7CC29EAF" w14:textId="77777777" w:rsidTr="00A807D0">
        <w:trPr>
          <w:jc w:val="center"/>
        </w:trPr>
        <w:tc>
          <w:tcPr>
            <w:tcW w:w="8344" w:type="dxa"/>
          </w:tcPr>
          <w:p w14:paraId="40F536C1" w14:textId="77777777" w:rsidR="00DE1A1B" w:rsidRPr="00DE1A1B" w:rsidRDefault="000F5B51" w:rsidP="00DE1A1B">
            <w:pPr>
              <w:spacing w:line="240" w:lineRule="auto"/>
              <w:contextualSpacing/>
              <w:rPr>
                <w:rFonts w:cs="Times New Roman"/>
                <w:szCs w:val="24"/>
              </w:rPr>
            </w:pPr>
            <w:r w:rsidRPr="0055589E">
              <w:rPr>
                <w:rFonts w:eastAsia="Times New Roman" w:cs="Times New Roman"/>
                <w:szCs w:val="24"/>
              </w:rPr>
              <w:t>Overall increase in belt use rate, observed</w:t>
            </w:r>
          </w:p>
        </w:tc>
        <w:tc>
          <w:tcPr>
            <w:tcW w:w="2096" w:type="dxa"/>
          </w:tcPr>
          <w:p w14:paraId="1A424E4D" w14:textId="77777777" w:rsidR="00DE1A1B" w:rsidRPr="00DE1A1B" w:rsidRDefault="000F5B51" w:rsidP="00DE1A1B">
            <w:pPr>
              <w:spacing w:line="240" w:lineRule="auto"/>
              <w:contextualSpacing/>
              <w:jc w:val="center"/>
              <w:rPr>
                <w:rFonts w:cs="Times New Roman"/>
                <w:szCs w:val="24"/>
              </w:rPr>
            </w:pPr>
            <w:r w:rsidRPr="0055589E">
              <w:rPr>
                <w:rFonts w:eastAsia="Times New Roman" w:cs="Times New Roman"/>
                <w:szCs w:val="24"/>
              </w:rPr>
              <w:t>4.3480%</w:t>
            </w:r>
          </w:p>
        </w:tc>
      </w:tr>
      <w:tr w:rsidR="00A15C2C" w14:paraId="23ABF343" w14:textId="77777777" w:rsidTr="00A807D0">
        <w:trPr>
          <w:jc w:val="center"/>
        </w:trPr>
        <w:tc>
          <w:tcPr>
            <w:tcW w:w="8344" w:type="dxa"/>
          </w:tcPr>
          <w:p w14:paraId="514EA10D" w14:textId="0F0DFDEF" w:rsidR="00DE1A1B" w:rsidRPr="00DE1A1B" w:rsidRDefault="000F5B51" w:rsidP="00DE1A1B">
            <w:pPr>
              <w:spacing w:line="240" w:lineRule="auto"/>
              <w:contextualSpacing/>
              <w:rPr>
                <w:rFonts w:cs="Times New Roman"/>
                <w:szCs w:val="24"/>
              </w:rPr>
            </w:pPr>
            <w:r w:rsidRPr="0055589E">
              <w:rPr>
                <w:rFonts w:eastAsia="Times New Roman" w:cs="Times New Roman"/>
                <w:szCs w:val="24"/>
              </w:rPr>
              <w:t>Overall increase in belt use rate, in</w:t>
            </w:r>
            <w:r w:rsidR="005F0E59">
              <w:rPr>
                <w:rFonts w:eastAsia="Times New Roman" w:cs="Times New Roman"/>
                <w:szCs w:val="24"/>
              </w:rPr>
              <w:t xml:space="preserve"> potentially</w:t>
            </w:r>
            <w:r w:rsidRPr="0055589E">
              <w:rPr>
                <w:rFonts w:eastAsia="Times New Roman" w:cs="Times New Roman"/>
                <w:szCs w:val="24"/>
              </w:rPr>
              <w:t xml:space="preserve"> fatal crashes, using a ratio, actual</w:t>
            </w:r>
          </w:p>
        </w:tc>
        <w:tc>
          <w:tcPr>
            <w:tcW w:w="2096" w:type="dxa"/>
          </w:tcPr>
          <w:p w14:paraId="508544C4" w14:textId="77777777" w:rsidR="00DE1A1B" w:rsidRPr="00DE1A1B" w:rsidRDefault="000F5B51" w:rsidP="00DE1A1B">
            <w:pPr>
              <w:spacing w:line="240" w:lineRule="auto"/>
              <w:contextualSpacing/>
              <w:jc w:val="center"/>
              <w:rPr>
                <w:rFonts w:cs="Times New Roman"/>
                <w:szCs w:val="24"/>
              </w:rPr>
            </w:pPr>
            <w:r w:rsidRPr="0055589E">
              <w:rPr>
                <w:rFonts w:eastAsia="Times New Roman" w:cs="Times New Roman"/>
                <w:szCs w:val="24"/>
              </w:rPr>
              <w:t>3.7389%</w:t>
            </w:r>
          </w:p>
        </w:tc>
      </w:tr>
      <w:tr w:rsidR="00A15C2C" w14:paraId="4F8875A5" w14:textId="77777777" w:rsidTr="00A807D0">
        <w:trPr>
          <w:jc w:val="center"/>
        </w:trPr>
        <w:tc>
          <w:tcPr>
            <w:tcW w:w="8344" w:type="dxa"/>
          </w:tcPr>
          <w:p w14:paraId="16A025F0" w14:textId="430A1108" w:rsidR="00DE1A1B" w:rsidRPr="00DE1A1B" w:rsidRDefault="000F5B51" w:rsidP="00DE1A1B">
            <w:pPr>
              <w:spacing w:line="240" w:lineRule="auto"/>
              <w:contextualSpacing/>
              <w:rPr>
                <w:rFonts w:cs="Times New Roman"/>
                <w:szCs w:val="24"/>
              </w:rPr>
            </w:pPr>
            <w:r w:rsidRPr="0055589E">
              <w:rPr>
                <w:rFonts w:eastAsia="Times New Roman" w:cs="Times New Roman"/>
                <w:szCs w:val="24"/>
              </w:rPr>
              <w:t xml:space="preserve">Existing belt use rate in </w:t>
            </w:r>
            <w:r w:rsidR="00FE466E" w:rsidRPr="00FE466E">
              <w:rPr>
                <w:rFonts w:eastAsia="Times New Roman" w:cs="Times New Roman"/>
                <w:szCs w:val="24"/>
              </w:rPr>
              <w:t xml:space="preserve">potentially </w:t>
            </w:r>
            <w:r w:rsidRPr="0055589E">
              <w:rPr>
                <w:rFonts w:eastAsia="Times New Roman" w:cs="Times New Roman"/>
                <w:szCs w:val="24"/>
              </w:rPr>
              <w:t>fatal crashes</w:t>
            </w:r>
          </w:p>
        </w:tc>
        <w:tc>
          <w:tcPr>
            <w:tcW w:w="2096" w:type="dxa"/>
          </w:tcPr>
          <w:p w14:paraId="18DC1E70" w14:textId="77777777" w:rsidR="00DE1A1B" w:rsidRPr="00DE1A1B" w:rsidRDefault="000F5B51" w:rsidP="00DE1A1B">
            <w:pPr>
              <w:spacing w:line="240" w:lineRule="auto"/>
              <w:contextualSpacing/>
              <w:jc w:val="center"/>
              <w:rPr>
                <w:rFonts w:cs="Times New Roman"/>
                <w:szCs w:val="24"/>
              </w:rPr>
            </w:pPr>
            <w:r w:rsidRPr="0055589E">
              <w:rPr>
                <w:rFonts w:eastAsia="Times New Roman" w:cs="Times New Roman"/>
                <w:szCs w:val="24"/>
              </w:rPr>
              <w:t>60.0594%</w:t>
            </w:r>
          </w:p>
        </w:tc>
      </w:tr>
      <w:tr w:rsidR="00A15C2C" w14:paraId="2AA76B24" w14:textId="77777777" w:rsidTr="00A807D0">
        <w:trPr>
          <w:jc w:val="center"/>
        </w:trPr>
        <w:tc>
          <w:tcPr>
            <w:tcW w:w="8344" w:type="dxa"/>
          </w:tcPr>
          <w:p w14:paraId="4116154E" w14:textId="7329D71B" w:rsidR="00DE1A1B" w:rsidRPr="00DE1A1B" w:rsidRDefault="000F5B51" w:rsidP="00DE1A1B">
            <w:pPr>
              <w:spacing w:line="240" w:lineRule="auto"/>
              <w:contextualSpacing/>
              <w:rPr>
                <w:rFonts w:cs="Times New Roman"/>
                <w:szCs w:val="24"/>
              </w:rPr>
            </w:pPr>
            <w:r w:rsidRPr="0055589E">
              <w:rPr>
                <w:rFonts w:eastAsia="Times New Roman" w:cs="Times New Roman"/>
                <w:szCs w:val="24"/>
              </w:rPr>
              <w:t xml:space="preserve">Overall belt use rate, in </w:t>
            </w:r>
            <w:r w:rsidR="00FE466E" w:rsidRPr="00FE466E">
              <w:rPr>
                <w:rFonts w:eastAsia="Times New Roman" w:cs="Times New Roman"/>
                <w:szCs w:val="24"/>
              </w:rPr>
              <w:t xml:space="preserve">potentially </w:t>
            </w:r>
            <w:r w:rsidRPr="0055589E">
              <w:rPr>
                <w:rFonts w:eastAsia="Times New Roman" w:cs="Times New Roman"/>
                <w:szCs w:val="24"/>
              </w:rPr>
              <w:t xml:space="preserve">fatal crashes, </w:t>
            </w:r>
          </w:p>
        </w:tc>
        <w:tc>
          <w:tcPr>
            <w:tcW w:w="2096" w:type="dxa"/>
          </w:tcPr>
          <w:p w14:paraId="073C2D6D" w14:textId="77777777" w:rsidR="00DE1A1B" w:rsidRPr="00DE1A1B" w:rsidRDefault="000F5B51" w:rsidP="00DE1A1B">
            <w:pPr>
              <w:spacing w:line="240" w:lineRule="auto"/>
              <w:contextualSpacing/>
              <w:jc w:val="center"/>
              <w:rPr>
                <w:rFonts w:cs="Times New Roman"/>
                <w:szCs w:val="24"/>
              </w:rPr>
            </w:pPr>
            <w:r w:rsidRPr="0055589E">
              <w:rPr>
                <w:rFonts w:eastAsia="Times New Roman" w:cs="Times New Roman"/>
                <w:szCs w:val="24"/>
              </w:rPr>
              <w:t>63.7983%</w:t>
            </w:r>
          </w:p>
        </w:tc>
      </w:tr>
      <w:tr w:rsidR="00A15C2C" w14:paraId="38CBE6A8" w14:textId="77777777" w:rsidTr="00A807D0">
        <w:trPr>
          <w:jc w:val="center"/>
        </w:trPr>
        <w:tc>
          <w:tcPr>
            <w:tcW w:w="8344" w:type="dxa"/>
          </w:tcPr>
          <w:p w14:paraId="73C614EC" w14:textId="71B64B9E" w:rsidR="00DE1A1B" w:rsidRPr="00713D6E" w:rsidRDefault="000F5B51" w:rsidP="00DE1A1B">
            <w:pPr>
              <w:spacing w:line="240" w:lineRule="auto"/>
              <w:contextualSpacing/>
              <w:rPr>
                <w:rFonts w:cs="Times New Roman"/>
                <w:b/>
                <w:bCs/>
                <w:szCs w:val="24"/>
              </w:rPr>
            </w:pPr>
            <w:r w:rsidRPr="00713D6E">
              <w:rPr>
                <w:rFonts w:eastAsia="Times New Roman" w:cs="Times New Roman"/>
                <w:b/>
                <w:bCs/>
                <w:szCs w:val="24"/>
              </w:rPr>
              <w:t xml:space="preserve">Increase in belt use, in </w:t>
            </w:r>
            <w:r w:rsidR="00FE466E" w:rsidRPr="00FE466E">
              <w:rPr>
                <w:rFonts w:eastAsia="Times New Roman" w:cs="Times New Roman"/>
                <w:b/>
                <w:bCs/>
                <w:szCs w:val="24"/>
              </w:rPr>
              <w:t xml:space="preserve">potentially </w:t>
            </w:r>
            <w:r w:rsidRPr="00713D6E">
              <w:rPr>
                <w:rFonts w:eastAsia="Times New Roman" w:cs="Times New Roman"/>
                <w:b/>
                <w:bCs/>
                <w:szCs w:val="24"/>
              </w:rPr>
              <w:t>fatal crashes, ratio</w:t>
            </w:r>
          </w:p>
        </w:tc>
        <w:tc>
          <w:tcPr>
            <w:tcW w:w="2096" w:type="dxa"/>
          </w:tcPr>
          <w:p w14:paraId="111DA191" w14:textId="77777777" w:rsidR="00DE1A1B" w:rsidRPr="00A57E5E" w:rsidRDefault="000F5B51" w:rsidP="00DE1A1B">
            <w:pPr>
              <w:spacing w:line="240" w:lineRule="auto"/>
              <w:contextualSpacing/>
              <w:jc w:val="center"/>
              <w:rPr>
                <w:rFonts w:cs="Times New Roman"/>
                <w:b/>
                <w:bCs/>
                <w:szCs w:val="24"/>
              </w:rPr>
            </w:pPr>
            <w:r w:rsidRPr="0055589E">
              <w:rPr>
                <w:rFonts w:eastAsia="Times New Roman" w:cs="Times New Roman"/>
                <w:b/>
                <w:bCs/>
                <w:szCs w:val="24"/>
              </w:rPr>
              <w:t>1.062254</w:t>
            </w:r>
          </w:p>
        </w:tc>
      </w:tr>
      <w:bookmarkEnd w:id="215"/>
    </w:tbl>
    <w:p w14:paraId="015C909A" w14:textId="77777777" w:rsidR="0047283A" w:rsidRDefault="0047283A" w:rsidP="0047283A">
      <w:pPr>
        <w:pStyle w:val="NoSpaceTimes"/>
      </w:pPr>
    </w:p>
    <w:p w14:paraId="5724280E" w14:textId="77777777" w:rsidR="0047283A" w:rsidRDefault="000F5B51" w:rsidP="0047283A">
      <w:pPr>
        <w:pStyle w:val="Heading3"/>
        <w:spacing w:line="240" w:lineRule="auto"/>
      </w:pPr>
      <w:bookmarkStart w:id="216" w:name="_Toc142902981"/>
      <w:r>
        <w:t>Resulting Increase on Seat Belt Use Rates</w:t>
      </w:r>
      <w:bookmarkEnd w:id="216"/>
    </w:p>
    <w:p w14:paraId="21217F33" w14:textId="46B724C4" w:rsidR="00045C56" w:rsidRDefault="000F5B51" w:rsidP="00A948D7">
      <w:pPr>
        <w:spacing w:after="0"/>
        <w:contextualSpacing/>
        <w:rPr>
          <w:rFonts w:cs="Times New Roman"/>
        </w:rPr>
      </w:pPr>
      <w:r w:rsidRPr="4CA445B8">
        <w:rPr>
          <w:rFonts w:cs="Times New Roman"/>
        </w:rPr>
        <w:fldChar w:fldCharType="begin"/>
      </w:r>
      <w:r w:rsidRPr="4CA445B8">
        <w:rPr>
          <w:rFonts w:cs="Times New Roman"/>
        </w:rPr>
        <w:instrText xml:space="preserve"> REF _Ref126675019 \h </w:instrText>
      </w:r>
      <w:r w:rsidRPr="4CA445B8">
        <w:rPr>
          <w:rFonts w:cs="Times New Roman"/>
        </w:rPr>
      </w:r>
      <w:r w:rsidRPr="4CA445B8">
        <w:rPr>
          <w:rFonts w:cs="Times New Roman"/>
        </w:rPr>
        <w:fldChar w:fldCharType="separate"/>
      </w:r>
      <w:r w:rsidR="00A65CB3" w:rsidRPr="00466A2B">
        <w:t xml:space="preserve">Table </w:t>
      </w:r>
      <w:r w:rsidR="00A65CB3">
        <w:rPr>
          <w:noProof/>
        </w:rPr>
        <w:t>40</w:t>
      </w:r>
      <w:r w:rsidRPr="4CA445B8">
        <w:rPr>
          <w:rFonts w:cs="Times New Roman"/>
        </w:rPr>
        <w:fldChar w:fldCharType="end"/>
      </w:r>
      <w:r w:rsidRPr="4CA445B8">
        <w:rPr>
          <w:rFonts w:cs="Times New Roman"/>
        </w:rPr>
        <w:t xml:space="preserve"> presents the </w:t>
      </w:r>
      <w:r w:rsidR="00DB6EC2">
        <w:rPr>
          <w:rFonts w:cs="Times New Roman"/>
        </w:rPr>
        <w:t xml:space="preserve">estimated </w:t>
      </w:r>
      <w:r w:rsidRPr="4CA445B8">
        <w:rPr>
          <w:rFonts w:cs="Times New Roman"/>
        </w:rPr>
        <w:t>increase in seat belt use for drivers under the proposed rule</w:t>
      </w:r>
      <w:r w:rsidR="001F2F92">
        <w:rPr>
          <w:rFonts w:cs="Times New Roman"/>
        </w:rPr>
        <w:t xml:space="preserve">. </w:t>
      </w:r>
      <w:r w:rsidR="003A2C76" w:rsidRPr="4CA445B8">
        <w:rPr>
          <w:rFonts w:cs="Times New Roman"/>
        </w:rPr>
        <w:t>The calculation of the seat belt use rate under the proposed rule makes use of the baseline seat belt use rates and ratio of increase established in the previous subsection</w:t>
      </w:r>
      <w:r w:rsidR="00B4262C" w:rsidRPr="4CA445B8">
        <w:rPr>
          <w:rFonts w:cs="Times New Roman"/>
        </w:rPr>
        <w:t>s</w:t>
      </w:r>
      <w:r w:rsidR="001F2F92">
        <w:rPr>
          <w:rFonts w:cs="Times New Roman"/>
        </w:rPr>
        <w:t xml:space="preserve">. </w:t>
      </w:r>
      <w:r w:rsidR="002E5AC2" w:rsidRPr="4CA445B8">
        <w:rPr>
          <w:rFonts w:cs="Times New Roman"/>
        </w:rPr>
        <w:t xml:space="preserve">When moving from a </w:t>
      </w:r>
      <w:r w:rsidR="001A3B0E" w:rsidRPr="4CA445B8">
        <w:rPr>
          <w:rFonts w:cs="Times New Roman"/>
        </w:rPr>
        <w:t>seven</w:t>
      </w:r>
      <w:r w:rsidR="002E5AC2" w:rsidRPr="4CA445B8">
        <w:rPr>
          <w:rFonts w:cs="Times New Roman"/>
        </w:rPr>
        <w:t xml:space="preserve">-second to </w:t>
      </w:r>
      <w:r w:rsidR="00210428" w:rsidRPr="4CA445B8">
        <w:rPr>
          <w:rFonts w:cs="Times New Roman"/>
        </w:rPr>
        <w:t>an ind</w:t>
      </w:r>
      <w:r w:rsidR="00AD45C5" w:rsidRPr="4CA445B8">
        <w:rPr>
          <w:rFonts w:cs="Times New Roman"/>
        </w:rPr>
        <w:t xml:space="preserve">efinite </w:t>
      </w:r>
      <w:r w:rsidR="00041888" w:rsidRPr="4CA445B8">
        <w:rPr>
          <w:rFonts w:cs="Times New Roman"/>
        </w:rPr>
        <w:t xml:space="preserve">warning, </w:t>
      </w:r>
      <w:r w:rsidR="00B13D9F" w:rsidRPr="4CA445B8">
        <w:rPr>
          <w:rFonts w:cs="Times New Roman"/>
        </w:rPr>
        <w:t xml:space="preserve">seat belt use would increase to approximately 0.6533 in </w:t>
      </w:r>
      <w:r w:rsidR="00F414FB">
        <w:rPr>
          <w:rFonts w:cs="Times New Roman"/>
        </w:rPr>
        <w:t xml:space="preserve">potentially </w:t>
      </w:r>
      <w:r w:rsidR="00B13D9F" w:rsidRPr="4CA445B8">
        <w:rPr>
          <w:rFonts w:cs="Times New Roman"/>
        </w:rPr>
        <w:t xml:space="preserve">fatal crashes and </w:t>
      </w:r>
      <w:r w:rsidR="00B13D9F" w:rsidRPr="00CC5ED5">
        <w:rPr>
          <w:rFonts w:cs="Times New Roman"/>
        </w:rPr>
        <w:t>approximately 0.</w:t>
      </w:r>
      <w:r w:rsidR="005B277E" w:rsidRPr="00CC5ED5">
        <w:rPr>
          <w:rFonts w:cs="Times New Roman"/>
        </w:rPr>
        <w:t>7</w:t>
      </w:r>
      <w:r w:rsidR="00CC5ED5" w:rsidRPr="00CC5ED5">
        <w:rPr>
          <w:rFonts w:cs="Times New Roman"/>
        </w:rPr>
        <w:t>547</w:t>
      </w:r>
      <w:r w:rsidR="00B13D9F" w:rsidRPr="00CC5ED5">
        <w:rPr>
          <w:rFonts w:cs="Times New Roman"/>
        </w:rPr>
        <w:t xml:space="preserve"> in crashes</w:t>
      </w:r>
      <w:r w:rsidR="00B13D9F" w:rsidRPr="4CA445B8">
        <w:rPr>
          <w:rFonts w:cs="Times New Roman"/>
        </w:rPr>
        <w:t xml:space="preserve"> resulting in non-fatal injuries</w:t>
      </w:r>
      <w:r w:rsidR="001F2F92">
        <w:rPr>
          <w:rFonts w:cs="Times New Roman"/>
        </w:rPr>
        <w:t xml:space="preserve">. </w:t>
      </w:r>
      <w:r w:rsidR="00B13D9F" w:rsidRPr="4CA445B8">
        <w:rPr>
          <w:rFonts w:cs="Times New Roman"/>
        </w:rPr>
        <w:t>When moving from a 90-second to an indefinite warning, seat belt use would increase to approximately 0.</w:t>
      </w:r>
      <w:r w:rsidR="00703869" w:rsidRPr="4CA445B8">
        <w:rPr>
          <w:rFonts w:cs="Times New Roman"/>
        </w:rPr>
        <w:t>7993</w:t>
      </w:r>
      <w:r w:rsidR="00B13D9F" w:rsidRPr="4CA445B8">
        <w:rPr>
          <w:rFonts w:cs="Times New Roman"/>
        </w:rPr>
        <w:t xml:space="preserve"> in</w:t>
      </w:r>
      <w:r w:rsidR="00F414FB">
        <w:rPr>
          <w:rFonts w:cs="Times New Roman"/>
        </w:rPr>
        <w:t xml:space="preserve"> potentially</w:t>
      </w:r>
      <w:r w:rsidR="00B13D9F" w:rsidRPr="4CA445B8">
        <w:rPr>
          <w:rFonts w:cs="Times New Roman"/>
        </w:rPr>
        <w:t xml:space="preserve"> fatal crashes and </w:t>
      </w:r>
      <w:r w:rsidR="00B13D9F" w:rsidRPr="00CC5ED5">
        <w:rPr>
          <w:rFonts w:cs="Times New Roman"/>
        </w:rPr>
        <w:t>approximately 0.</w:t>
      </w:r>
      <w:r w:rsidR="00CC5ED5" w:rsidRPr="00CC5ED5">
        <w:rPr>
          <w:rFonts w:cs="Times New Roman"/>
        </w:rPr>
        <w:t>9234</w:t>
      </w:r>
      <w:r w:rsidR="00B13D9F" w:rsidRPr="00CC5ED5">
        <w:rPr>
          <w:rFonts w:cs="Times New Roman"/>
        </w:rPr>
        <w:t xml:space="preserve"> in</w:t>
      </w:r>
      <w:r w:rsidR="00B13D9F" w:rsidRPr="4CA445B8">
        <w:rPr>
          <w:rFonts w:cs="Times New Roman"/>
        </w:rPr>
        <w:t xml:space="preserve"> crashes resulting in non-fatal injuries.</w:t>
      </w:r>
    </w:p>
    <w:p w14:paraId="681A7373" w14:textId="4153C06D" w:rsidR="00435D89" w:rsidRDefault="00435D89" w:rsidP="00A948D7">
      <w:pPr>
        <w:spacing w:after="0"/>
        <w:contextualSpacing/>
        <w:rPr>
          <w:rFonts w:cs="Times New Roman"/>
        </w:rPr>
      </w:pPr>
    </w:p>
    <w:p w14:paraId="4509F7D4" w14:textId="7D217F7E" w:rsidR="00435D89" w:rsidRDefault="00435D89" w:rsidP="00A948D7">
      <w:pPr>
        <w:spacing w:after="0"/>
        <w:contextualSpacing/>
        <w:rPr>
          <w:rFonts w:cs="Times New Roman"/>
        </w:rPr>
      </w:pPr>
    </w:p>
    <w:p w14:paraId="09251277" w14:textId="77777777" w:rsidR="00435D89" w:rsidRPr="004C5B33" w:rsidRDefault="00435D89" w:rsidP="00A948D7">
      <w:pPr>
        <w:spacing w:after="0"/>
        <w:contextualSpacing/>
        <w:rPr>
          <w:rFonts w:cs="Times New Roman"/>
        </w:rPr>
      </w:pPr>
    </w:p>
    <w:p w14:paraId="1D198BDD" w14:textId="3ABDDC24" w:rsidR="0040689A" w:rsidRPr="00466A2B" w:rsidRDefault="000F5B51" w:rsidP="00A22790">
      <w:pPr>
        <w:pStyle w:val="Caption"/>
        <w:rPr>
          <w:rFonts w:cs="Times New Roman"/>
          <w:szCs w:val="24"/>
        </w:rPr>
      </w:pPr>
      <w:bookmarkStart w:id="217" w:name="_Ref126675019"/>
      <w:r w:rsidRPr="00466A2B">
        <w:lastRenderedPageBreak/>
        <w:t xml:space="preserve">Table </w:t>
      </w:r>
      <w:r w:rsidRPr="004A1427">
        <w:fldChar w:fldCharType="begin"/>
      </w:r>
      <w:r w:rsidRPr="00466A2B">
        <w:instrText xml:space="preserve"> SEQ Table \* ARABIC </w:instrText>
      </w:r>
      <w:r w:rsidRPr="004A1427">
        <w:fldChar w:fldCharType="separate"/>
      </w:r>
      <w:r w:rsidR="00A65CB3">
        <w:rPr>
          <w:noProof/>
        </w:rPr>
        <w:t>40</w:t>
      </w:r>
      <w:r w:rsidRPr="004A1427">
        <w:fldChar w:fldCharType="end"/>
      </w:r>
      <w:bookmarkEnd w:id="217"/>
      <w:r w:rsidRPr="00466A2B">
        <w:t>: Increase in Seat Belt Use for Drivers</w:t>
      </w:r>
    </w:p>
    <w:tbl>
      <w:tblPr>
        <w:tblW w:w="8185" w:type="dxa"/>
        <w:tblInd w:w="895" w:type="dxa"/>
        <w:tblLayout w:type="fixed"/>
        <w:tblCellMar>
          <w:left w:w="0" w:type="dxa"/>
          <w:right w:w="0" w:type="dxa"/>
        </w:tblCellMar>
        <w:tblLook w:val="04A0" w:firstRow="1" w:lastRow="0" w:firstColumn="1" w:lastColumn="0" w:noHBand="0" w:noVBand="1"/>
      </w:tblPr>
      <w:tblGrid>
        <w:gridCol w:w="2880"/>
        <w:gridCol w:w="2652"/>
        <w:gridCol w:w="2653"/>
      </w:tblGrid>
      <w:tr w:rsidR="00A15C2C" w14:paraId="23AAE865" w14:textId="77777777" w:rsidTr="00AD7711">
        <w:trPr>
          <w:trHeight w:val="290"/>
        </w:trPr>
        <w:tc>
          <w:tcPr>
            <w:tcW w:w="288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781769EF" w14:textId="77777777" w:rsidR="0040689A" w:rsidRPr="00466A2B" w:rsidRDefault="000F5B51" w:rsidP="00AD7711">
            <w:pPr>
              <w:spacing w:after="0" w:line="240" w:lineRule="auto"/>
              <w:rPr>
                <w:rFonts w:eastAsia="Times New Roman" w:cs="Times New Roman"/>
                <w:b/>
                <w:szCs w:val="24"/>
              </w:rPr>
            </w:pPr>
            <w:r w:rsidRPr="00466A2B">
              <w:rPr>
                <w:rFonts w:eastAsia="Times New Roman" w:cs="Times New Roman"/>
                <w:b/>
                <w:szCs w:val="24"/>
              </w:rPr>
              <w:t>Warning Type</w:t>
            </w:r>
            <w:r w:rsidR="00466A2B" w:rsidRPr="0055589E">
              <w:rPr>
                <w:rFonts w:eastAsia="Times New Roman" w:cs="Times New Roman"/>
                <w:b/>
                <w:bCs/>
                <w:szCs w:val="24"/>
              </w:rPr>
              <w:t xml:space="preserve"> Change</w:t>
            </w:r>
          </w:p>
        </w:tc>
        <w:tc>
          <w:tcPr>
            <w:tcW w:w="5305" w:type="dxa"/>
            <w:gridSpan w:val="2"/>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3547EF0F" w14:textId="77777777" w:rsidR="0040689A" w:rsidRPr="00466A2B" w:rsidRDefault="000F5B51" w:rsidP="00AD7711">
            <w:pPr>
              <w:spacing w:after="0" w:line="240" w:lineRule="auto"/>
              <w:jc w:val="center"/>
              <w:rPr>
                <w:rFonts w:eastAsia="Times New Roman" w:cs="Times New Roman"/>
                <w:b/>
                <w:szCs w:val="24"/>
              </w:rPr>
            </w:pPr>
            <w:r w:rsidRPr="00466A2B">
              <w:rPr>
                <w:rFonts w:eastAsia="Times New Roman" w:cs="Times New Roman"/>
                <w:b/>
                <w:szCs w:val="24"/>
              </w:rPr>
              <w:t>Seat Belt Use Rate</w:t>
            </w:r>
          </w:p>
        </w:tc>
      </w:tr>
      <w:tr w:rsidR="00A15C2C" w14:paraId="49881DCB" w14:textId="77777777" w:rsidTr="0055589E">
        <w:trPr>
          <w:trHeight w:val="290"/>
        </w:trPr>
        <w:tc>
          <w:tcPr>
            <w:tcW w:w="2880"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6EA22B47" w14:textId="77777777" w:rsidR="0040689A" w:rsidRPr="00466A2B" w:rsidRDefault="0040689A" w:rsidP="00AD7711">
            <w:pPr>
              <w:spacing w:after="0" w:line="240" w:lineRule="auto"/>
              <w:rPr>
                <w:rFonts w:eastAsia="Times New Roman" w:cs="Times New Roman"/>
                <w:b/>
                <w:szCs w:val="24"/>
              </w:rPr>
            </w:pPr>
          </w:p>
        </w:tc>
        <w:tc>
          <w:tcPr>
            <w:tcW w:w="2652"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14:paraId="5E6332A9" w14:textId="77777777" w:rsidR="0040689A" w:rsidRPr="00466A2B" w:rsidRDefault="000F5B51" w:rsidP="00AD7711">
            <w:pPr>
              <w:spacing w:after="0" w:line="240" w:lineRule="auto"/>
              <w:jc w:val="center"/>
              <w:rPr>
                <w:rFonts w:eastAsia="Times New Roman" w:cs="Times New Roman"/>
                <w:b/>
                <w:szCs w:val="24"/>
              </w:rPr>
            </w:pPr>
            <w:r w:rsidRPr="00466A2B">
              <w:rPr>
                <w:rFonts w:eastAsia="Times New Roman" w:cs="Times New Roman"/>
                <w:b/>
                <w:szCs w:val="24"/>
              </w:rPr>
              <w:t>Baseline</w:t>
            </w:r>
            <w:r w:rsidR="00466A2B">
              <w:rPr>
                <w:rFonts w:eastAsia="Times New Roman" w:cs="Times New Roman"/>
                <w:b/>
                <w:bCs/>
                <w:szCs w:val="24"/>
              </w:rPr>
              <w:t xml:space="preserve"> x Ratio of Increase</w:t>
            </w:r>
          </w:p>
        </w:tc>
        <w:tc>
          <w:tcPr>
            <w:tcW w:w="2653"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14:paraId="1E9B5E94" w14:textId="77777777" w:rsidR="0040689A" w:rsidRPr="00466A2B" w:rsidRDefault="000F5B51" w:rsidP="00AD7711">
            <w:pPr>
              <w:spacing w:after="0" w:line="240" w:lineRule="auto"/>
              <w:jc w:val="center"/>
              <w:rPr>
                <w:rFonts w:eastAsia="Times New Roman" w:cs="Times New Roman"/>
                <w:b/>
                <w:szCs w:val="24"/>
              </w:rPr>
            </w:pPr>
            <w:r w:rsidRPr="00466A2B">
              <w:rPr>
                <w:rFonts w:eastAsia="Times New Roman" w:cs="Times New Roman"/>
                <w:b/>
                <w:szCs w:val="24"/>
              </w:rPr>
              <w:t>Proposed Rule</w:t>
            </w:r>
          </w:p>
        </w:tc>
      </w:tr>
      <w:tr w:rsidR="00A15C2C" w14:paraId="450783A5" w14:textId="77777777" w:rsidTr="0055589E">
        <w:trPr>
          <w:trHeight w:val="290"/>
        </w:trPr>
        <w:tc>
          <w:tcPr>
            <w:tcW w:w="8185" w:type="dxa"/>
            <w:gridSpan w:val="3"/>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14:paraId="05EBE046" w14:textId="38C748EC" w:rsidR="00687A6C" w:rsidRPr="0055589E" w:rsidRDefault="00DA0458">
            <w:pPr>
              <w:spacing w:after="0" w:line="240" w:lineRule="auto"/>
              <w:jc w:val="center"/>
              <w:rPr>
                <w:rFonts w:eastAsia="Times New Roman" w:cs="Times New Roman"/>
                <w:b/>
                <w:bCs/>
                <w:i/>
                <w:iCs/>
                <w:szCs w:val="24"/>
              </w:rPr>
            </w:pPr>
            <w:r>
              <w:rPr>
                <w:rFonts w:eastAsia="Times New Roman" w:cs="Times New Roman"/>
                <w:b/>
                <w:bCs/>
                <w:i/>
                <w:iCs/>
                <w:szCs w:val="24"/>
              </w:rPr>
              <w:t xml:space="preserve">Potentially </w:t>
            </w:r>
            <w:r w:rsidR="000F5B51" w:rsidRPr="0055589E">
              <w:rPr>
                <w:rFonts w:eastAsia="Times New Roman" w:cs="Times New Roman"/>
                <w:b/>
                <w:bCs/>
                <w:i/>
                <w:iCs/>
                <w:szCs w:val="24"/>
              </w:rPr>
              <w:t>Fatal Crashes</w:t>
            </w:r>
          </w:p>
        </w:tc>
      </w:tr>
      <w:tr w:rsidR="00A15C2C" w14:paraId="429A0BCB" w14:textId="77777777" w:rsidTr="0055589E">
        <w:trPr>
          <w:trHeight w:val="290"/>
        </w:trPr>
        <w:tc>
          <w:tcPr>
            <w:tcW w:w="2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C521CD8" w14:textId="77777777" w:rsidR="001F6BAA" w:rsidRPr="00466A2B" w:rsidRDefault="000F5B51" w:rsidP="001F6BAA">
            <w:pPr>
              <w:spacing w:after="0" w:line="240" w:lineRule="auto"/>
              <w:rPr>
                <w:rFonts w:eastAsia="Times New Roman" w:cs="Times New Roman"/>
                <w:szCs w:val="24"/>
              </w:rPr>
            </w:pPr>
            <w:r w:rsidRPr="00466A2B">
              <w:rPr>
                <w:b/>
              </w:rPr>
              <w:t xml:space="preserve">7-second to Indefinite </w:t>
            </w:r>
          </w:p>
        </w:tc>
        <w:tc>
          <w:tcPr>
            <w:tcW w:w="265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5296463" w14:textId="77777777" w:rsidR="001F6BAA" w:rsidRPr="0055589E" w:rsidRDefault="000F5B51" w:rsidP="001F6BAA">
            <w:pPr>
              <w:spacing w:after="0" w:line="240" w:lineRule="auto"/>
              <w:jc w:val="center"/>
              <w:rPr>
                <w:rFonts w:cs="Times New Roman"/>
                <w:color w:val="000000"/>
                <w:szCs w:val="24"/>
              </w:rPr>
            </w:pPr>
            <w:r w:rsidRPr="0055589E">
              <w:rPr>
                <w:rFonts w:cs="Times New Roman"/>
                <w:color w:val="000000"/>
                <w:szCs w:val="24"/>
              </w:rPr>
              <w:t>0.612</w:t>
            </w:r>
            <w:r w:rsidRPr="00466A2B">
              <w:rPr>
                <w:rFonts w:cs="Times New Roman"/>
                <w:color w:val="000000"/>
                <w:szCs w:val="24"/>
              </w:rPr>
              <w:t>7</w:t>
            </w:r>
            <w:r>
              <w:rPr>
                <w:rFonts w:cs="Times New Roman"/>
                <w:color w:val="000000"/>
                <w:szCs w:val="24"/>
              </w:rPr>
              <w:t xml:space="preserve"> x 1.066247</w:t>
            </w:r>
          </w:p>
        </w:tc>
        <w:tc>
          <w:tcPr>
            <w:tcW w:w="265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FFCDC3E" w14:textId="77777777" w:rsidR="001F6BAA" w:rsidRPr="00466A2B" w:rsidRDefault="000F5B51" w:rsidP="001F6BAA">
            <w:pPr>
              <w:spacing w:after="0" w:line="240" w:lineRule="auto"/>
              <w:jc w:val="center"/>
              <w:rPr>
                <w:rFonts w:eastAsia="Times New Roman" w:cs="Times New Roman"/>
                <w:szCs w:val="24"/>
              </w:rPr>
            </w:pPr>
            <w:r>
              <w:rPr>
                <w:color w:val="000000"/>
              </w:rPr>
              <w:t>0.65329</w:t>
            </w:r>
          </w:p>
        </w:tc>
      </w:tr>
      <w:tr w:rsidR="00A15C2C" w14:paraId="5A7DC41D" w14:textId="77777777" w:rsidTr="00687A6C">
        <w:trPr>
          <w:trHeight w:val="290"/>
        </w:trPr>
        <w:tc>
          <w:tcPr>
            <w:tcW w:w="288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14:paraId="2AC33959" w14:textId="77777777" w:rsidR="001F6BAA" w:rsidRPr="00466A2B" w:rsidRDefault="000F5B51" w:rsidP="001F6BAA">
            <w:pPr>
              <w:spacing w:after="0" w:line="240" w:lineRule="auto"/>
              <w:rPr>
                <w:rFonts w:eastAsia="Times New Roman" w:cs="Times New Roman"/>
                <w:szCs w:val="24"/>
              </w:rPr>
            </w:pPr>
            <w:r w:rsidRPr="00466A2B">
              <w:rPr>
                <w:b/>
              </w:rPr>
              <w:t>90-second to Indefinite</w:t>
            </w:r>
          </w:p>
        </w:tc>
        <w:tc>
          <w:tcPr>
            <w:tcW w:w="2652"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1E7BD391" w14:textId="77777777" w:rsidR="001F6BAA" w:rsidRPr="00466A2B" w:rsidRDefault="000F5B51" w:rsidP="001F6BAA">
            <w:pPr>
              <w:spacing w:after="0" w:line="240" w:lineRule="auto"/>
              <w:jc w:val="center"/>
              <w:rPr>
                <w:rFonts w:cs="Times New Roman"/>
                <w:color w:val="000000"/>
                <w:szCs w:val="24"/>
              </w:rPr>
            </w:pPr>
            <w:r w:rsidRPr="009D65BE">
              <w:rPr>
                <w:rFonts w:cs="Times New Roman"/>
                <w:color w:val="000000"/>
                <w:szCs w:val="24"/>
              </w:rPr>
              <w:t>0.7965</w:t>
            </w:r>
            <w:r>
              <w:rPr>
                <w:rFonts w:cs="Times New Roman"/>
                <w:color w:val="000000"/>
                <w:szCs w:val="24"/>
              </w:rPr>
              <w:t xml:space="preserve"> x 1.003447</w:t>
            </w:r>
          </w:p>
        </w:tc>
        <w:tc>
          <w:tcPr>
            <w:tcW w:w="2653"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0F70190D" w14:textId="77777777" w:rsidR="001F6BAA" w:rsidRPr="00466A2B" w:rsidRDefault="000F5B51" w:rsidP="001F6BAA">
            <w:pPr>
              <w:spacing w:after="0" w:line="240" w:lineRule="auto"/>
              <w:jc w:val="center"/>
              <w:rPr>
                <w:rFonts w:eastAsia="Times New Roman" w:cs="Times New Roman"/>
                <w:szCs w:val="24"/>
              </w:rPr>
            </w:pPr>
            <w:r>
              <w:rPr>
                <w:color w:val="000000"/>
              </w:rPr>
              <w:t>0.79925</w:t>
            </w:r>
          </w:p>
        </w:tc>
      </w:tr>
      <w:tr w:rsidR="00A15C2C" w14:paraId="228967E8" w14:textId="77777777" w:rsidTr="0055589E">
        <w:trPr>
          <w:trHeight w:val="290"/>
        </w:trPr>
        <w:tc>
          <w:tcPr>
            <w:tcW w:w="8185" w:type="dxa"/>
            <w:gridSpan w:val="3"/>
            <w:tcBorders>
              <w:top w:val="single" w:sz="4" w:space="0" w:color="auto"/>
              <w:left w:val="single" w:sz="8" w:space="0" w:color="auto"/>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14:paraId="25D975D0" w14:textId="77777777" w:rsidR="00C0244D" w:rsidRPr="0055589E" w:rsidRDefault="000F5B51" w:rsidP="00C0244D">
            <w:pPr>
              <w:spacing w:after="0" w:line="240" w:lineRule="auto"/>
              <w:jc w:val="center"/>
              <w:rPr>
                <w:rFonts w:eastAsia="Times New Roman" w:cs="Times New Roman"/>
                <w:b/>
                <w:bCs/>
                <w:i/>
                <w:iCs/>
                <w:szCs w:val="24"/>
              </w:rPr>
            </w:pPr>
            <w:r w:rsidRPr="0055589E">
              <w:rPr>
                <w:rFonts w:eastAsia="Times New Roman" w:cs="Times New Roman"/>
                <w:b/>
                <w:bCs/>
                <w:i/>
                <w:iCs/>
                <w:szCs w:val="24"/>
              </w:rPr>
              <w:t>Crashes Resulting in Non-fatal Injuries</w:t>
            </w:r>
          </w:p>
        </w:tc>
      </w:tr>
      <w:tr w:rsidR="00A15C2C" w14:paraId="465812AE" w14:textId="77777777" w:rsidTr="0055589E">
        <w:trPr>
          <w:trHeight w:val="290"/>
        </w:trPr>
        <w:tc>
          <w:tcPr>
            <w:tcW w:w="288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14:paraId="0C6403BB" w14:textId="77777777" w:rsidR="004E136A" w:rsidRPr="00466A2B" w:rsidRDefault="000F5B51" w:rsidP="004E136A">
            <w:pPr>
              <w:spacing w:after="0" w:line="240" w:lineRule="auto"/>
              <w:rPr>
                <w:rFonts w:eastAsia="Times New Roman" w:cs="Times New Roman"/>
                <w:szCs w:val="24"/>
              </w:rPr>
            </w:pPr>
            <w:r w:rsidRPr="00466A2B">
              <w:rPr>
                <w:b/>
              </w:rPr>
              <w:t xml:space="preserve">7-second to Indefinite </w:t>
            </w:r>
          </w:p>
        </w:tc>
        <w:tc>
          <w:tcPr>
            <w:tcW w:w="2652"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73EFC53E" w14:textId="53A87F6A" w:rsidR="004E136A" w:rsidRPr="00466A2B" w:rsidRDefault="00CB49C4" w:rsidP="004E136A">
            <w:pPr>
              <w:spacing w:after="0" w:line="240" w:lineRule="auto"/>
              <w:jc w:val="center"/>
              <w:rPr>
                <w:rFonts w:cs="Times New Roman"/>
                <w:color w:val="000000"/>
                <w:szCs w:val="24"/>
              </w:rPr>
            </w:pPr>
            <w:r>
              <w:rPr>
                <w:rFonts w:cs="Times New Roman"/>
                <w:color w:val="000000"/>
                <w:szCs w:val="24"/>
              </w:rPr>
              <w:t>0.7078</w:t>
            </w:r>
            <w:r w:rsidR="00712C12">
              <w:rPr>
                <w:rFonts w:cs="Times New Roman"/>
                <w:color w:val="000000"/>
                <w:szCs w:val="24"/>
              </w:rPr>
              <w:t xml:space="preserve"> </w:t>
            </w:r>
            <w:r w:rsidR="000F5B51">
              <w:rPr>
                <w:rFonts w:cs="Times New Roman"/>
                <w:color w:val="000000"/>
                <w:szCs w:val="24"/>
              </w:rPr>
              <w:t>x 1.066247</w:t>
            </w:r>
          </w:p>
        </w:tc>
        <w:tc>
          <w:tcPr>
            <w:tcW w:w="265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506ED116" w14:textId="022CFA2D" w:rsidR="004E136A" w:rsidRPr="00466A2B" w:rsidRDefault="00CB49C4" w:rsidP="004E136A">
            <w:pPr>
              <w:spacing w:after="0" w:line="240" w:lineRule="auto"/>
              <w:jc w:val="center"/>
              <w:rPr>
                <w:rFonts w:eastAsia="Times New Roman" w:cs="Times New Roman"/>
                <w:szCs w:val="24"/>
              </w:rPr>
            </w:pPr>
            <w:r>
              <w:rPr>
                <w:color w:val="000000"/>
              </w:rPr>
              <w:t>0.7547</w:t>
            </w:r>
          </w:p>
        </w:tc>
      </w:tr>
      <w:tr w:rsidR="00A15C2C" w14:paraId="2DADB301" w14:textId="77777777" w:rsidTr="00687A6C">
        <w:trPr>
          <w:trHeight w:val="290"/>
        </w:trPr>
        <w:tc>
          <w:tcPr>
            <w:tcW w:w="288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BD1874F" w14:textId="77777777" w:rsidR="004E136A" w:rsidRPr="00466A2B" w:rsidRDefault="000F5B51" w:rsidP="004E136A">
            <w:pPr>
              <w:spacing w:after="0" w:line="240" w:lineRule="auto"/>
              <w:rPr>
                <w:rFonts w:eastAsia="Times New Roman" w:cs="Times New Roman"/>
                <w:szCs w:val="24"/>
              </w:rPr>
            </w:pPr>
            <w:r w:rsidRPr="00466A2B">
              <w:rPr>
                <w:b/>
              </w:rPr>
              <w:t>90-second to Indefinite</w:t>
            </w:r>
          </w:p>
        </w:tc>
        <w:tc>
          <w:tcPr>
            <w:tcW w:w="2652"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7040C354" w14:textId="12863CB5" w:rsidR="004E136A" w:rsidRPr="00466A2B" w:rsidRDefault="00CB49C4" w:rsidP="004E136A">
            <w:pPr>
              <w:spacing w:after="0" w:line="240" w:lineRule="auto"/>
              <w:jc w:val="center"/>
              <w:rPr>
                <w:rFonts w:cs="Times New Roman"/>
                <w:color w:val="000000"/>
                <w:szCs w:val="24"/>
              </w:rPr>
            </w:pPr>
            <w:r>
              <w:rPr>
                <w:rFonts w:cs="Times New Roman"/>
                <w:color w:val="000000"/>
                <w:szCs w:val="24"/>
              </w:rPr>
              <w:t>0.9202</w:t>
            </w:r>
            <w:r w:rsidR="00712C12">
              <w:rPr>
                <w:rFonts w:cs="Times New Roman"/>
                <w:color w:val="000000"/>
                <w:szCs w:val="24"/>
              </w:rPr>
              <w:t xml:space="preserve"> </w:t>
            </w:r>
            <w:r w:rsidR="000F5B51">
              <w:rPr>
                <w:rFonts w:cs="Times New Roman"/>
                <w:color w:val="000000"/>
                <w:szCs w:val="24"/>
              </w:rPr>
              <w:t>x 1.003447</w:t>
            </w:r>
          </w:p>
        </w:tc>
        <w:tc>
          <w:tcPr>
            <w:tcW w:w="2653"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7F92615A" w14:textId="42D3B39D" w:rsidR="004E136A" w:rsidRPr="00466A2B" w:rsidRDefault="00CC5ED5" w:rsidP="004E136A">
            <w:pPr>
              <w:spacing w:after="0" w:line="240" w:lineRule="auto"/>
              <w:jc w:val="center"/>
              <w:rPr>
                <w:rFonts w:eastAsia="Times New Roman" w:cs="Times New Roman"/>
                <w:szCs w:val="24"/>
              </w:rPr>
            </w:pPr>
            <w:r>
              <w:rPr>
                <w:color w:val="000000"/>
              </w:rPr>
              <w:t>0.9234</w:t>
            </w:r>
          </w:p>
        </w:tc>
      </w:tr>
    </w:tbl>
    <w:p w14:paraId="7BB90A32" w14:textId="77777777" w:rsidR="009F3337" w:rsidRPr="0055589E" w:rsidRDefault="009F3337" w:rsidP="0055589E">
      <w:pPr>
        <w:pStyle w:val="NoSpaceTimes"/>
        <w:rPr>
          <w:highlight w:val="yellow"/>
        </w:rPr>
      </w:pPr>
    </w:p>
    <w:p w14:paraId="04C92265" w14:textId="1AFD7B23" w:rsidR="009F3337" w:rsidRPr="00E045C5" w:rsidRDefault="000F5B51" w:rsidP="009F3337">
      <w:pPr>
        <w:spacing w:after="0"/>
        <w:contextualSpacing/>
        <w:rPr>
          <w:rFonts w:cs="Times New Roman"/>
        </w:rPr>
      </w:pPr>
      <w:r w:rsidRPr="4CA445B8">
        <w:rPr>
          <w:rFonts w:cs="Times New Roman"/>
        </w:rPr>
        <w:fldChar w:fldCharType="begin"/>
      </w:r>
      <w:r w:rsidRPr="4CA445B8">
        <w:rPr>
          <w:rFonts w:cs="Times New Roman"/>
        </w:rPr>
        <w:instrText xml:space="preserve"> REF _Ref126675025 \h </w:instrText>
      </w:r>
      <w:r w:rsidR="008E14F6" w:rsidRPr="4CA445B8">
        <w:rPr>
          <w:rFonts w:cs="Times New Roman"/>
        </w:rPr>
        <w:instrText xml:space="preserve"> \* MERGEFORMAT </w:instrText>
      </w:r>
      <w:r w:rsidRPr="4CA445B8">
        <w:rPr>
          <w:rFonts w:cs="Times New Roman"/>
        </w:rPr>
      </w:r>
      <w:r w:rsidRPr="4CA445B8">
        <w:rPr>
          <w:rFonts w:cs="Times New Roman"/>
        </w:rPr>
        <w:fldChar w:fldCharType="separate"/>
      </w:r>
      <w:r w:rsidR="00A65CB3" w:rsidRPr="0033324D">
        <w:t xml:space="preserve">Table </w:t>
      </w:r>
      <w:r w:rsidR="00A65CB3">
        <w:rPr>
          <w:noProof/>
        </w:rPr>
        <w:t>41</w:t>
      </w:r>
      <w:r w:rsidRPr="4CA445B8">
        <w:rPr>
          <w:rFonts w:cs="Times New Roman"/>
        </w:rPr>
        <w:fldChar w:fldCharType="end"/>
      </w:r>
      <w:r w:rsidRPr="4CA445B8">
        <w:rPr>
          <w:rFonts w:cs="Times New Roman"/>
        </w:rPr>
        <w:t xml:space="preserve"> presents the increase in seat belt use for right front seat occupants under the proposed rule</w:t>
      </w:r>
      <w:r w:rsidR="001F2F92">
        <w:rPr>
          <w:rFonts w:cs="Times New Roman"/>
        </w:rPr>
        <w:t xml:space="preserve">. </w:t>
      </w:r>
      <w:r w:rsidR="00DA052A" w:rsidRPr="4CA445B8">
        <w:rPr>
          <w:rFonts w:cs="Times New Roman"/>
        </w:rPr>
        <w:t>When moving from a 7-second to an indefinite warning, seat belt use would increase to approximately 0.</w:t>
      </w:r>
      <w:r w:rsidR="009A7307" w:rsidRPr="4CA445B8">
        <w:rPr>
          <w:rFonts w:cs="Times New Roman"/>
        </w:rPr>
        <w:t>6380</w:t>
      </w:r>
      <w:r w:rsidR="00DA052A" w:rsidRPr="4CA445B8">
        <w:rPr>
          <w:rFonts w:cs="Times New Roman"/>
        </w:rPr>
        <w:t xml:space="preserve"> in </w:t>
      </w:r>
      <w:r w:rsidR="00DA0458" w:rsidRPr="00DA0458">
        <w:rPr>
          <w:rFonts w:cs="Times New Roman"/>
        </w:rPr>
        <w:t xml:space="preserve">potentially </w:t>
      </w:r>
      <w:r w:rsidR="00DA052A" w:rsidRPr="4CA445B8">
        <w:rPr>
          <w:rFonts w:cs="Times New Roman"/>
        </w:rPr>
        <w:t>fatal crashes and approximately 0.</w:t>
      </w:r>
      <w:r w:rsidR="009A7307" w:rsidRPr="4CA445B8">
        <w:rPr>
          <w:rFonts w:cs="Times New Roman"/>
        </w:rPr>
        <w:t>7088</w:t>
      </w:r>
      <w:r w:rsidR="00DA052A" w:rsidRPr="4CA445B8">
        <w:rPr>
          <w:rFonts w:cs="Times New Roman"/>
        </w:rPr>
        <w:t xml:space="preserve"> in crashes resulting in non-fatal injuries</w:t>
      </w:r>
      <w:r w:rsidR="001F2F92">
        <w:rPr>
          <w:rFonts w:cs="Times New Roman"/>
        </w:rPr>
        <w:t xml:space="preserve">. </w:t>
      </w:r>
      <w:r w:rsidR="00DA052A" w:rsidRPr="4CA445B8">
        <w:rPr>
          <w:rFonts w:cs="Times New Roman"/>
        </w:rPr>
        <w:t xml:space="preserve">When moving from a 90-second to an indefinite warning, seat belt use would increase to approximately </w:t>
      </w:r>
      <w:r w:rsidR="0029647A" w:rsidRPr="4CA445B8">
        <w:rPr>
          <w:rFonts w:cs="Times New Roman"/>
        </w:rPr>
        <w:t>0.</w:t>
      </w:r>
      <w:r w:rsidR="00CB04AA" w:rsidRPr="4CA445B8">
        <w:rPr>
          <w:rFonts w:cs="Times New Roman"/>
        </w:rPr>
        <w:t>78</w:t>
      </w:r>
      <w:r w:rsidR="00356106" w:rsidRPr="4CA445B8">
        <w:rPr>
          <w:rFonts w:cs="Times New Roman"/>
        </w:rPr>
        <w:t xml:space="preserve">29 </w:t>
      </w:r>
      <w:r w:rsidR="00DA052A" w:rsidRPr="4CA445B8">
        <w:rPr>
          <w:rFonts w:cs="Times New Roman"/>
        </w:rPr>
        <w:t xml:space="preserve">in </w:t>
      </w:r>
      <w:r w:rsidR="00DA0458" w:rsidRPr="00DA0458">
        <w:rPr>
          <w:rFonts w:cs="Times New Roman"/>
        </w:rPr>
        <w:t xml:space="preserve">potentially </w:t>
      </w:r>
      <w:r w:rsidR="00DA052A" w:rsidRPr="4CA445B8">
        <w:rPr>
          <w:rFonts w:cs="Times New Roman"/>
        </w:rPr>
        <w:t>fatal crashes and approximately 0</w:t>
      </w:r>
      <w:r w:rsidR="001136DA" w:rsidRPr="4CA445B8">
        <w:rPr>
          <w:rFonts w:cs="Times New Roman"/>
        </w:rPr>
        <w:t>.</w:t>
      </w:r>
      <w:r w:rsidR="00444258" w:rsidRPr="4CA445B8">
        <w:rPr>
          <w:rFonts w:cs="Times New Roman"/>
        </w:rPr>
        <w:t>86</w:t>
      </w:r>
      <w:r w:rsidR="00CB04AA" w:rsidRPr="4CA445B8">
        <w:rPr>
          <w:rFonts w:cs="Times New Roman"/>
        </w:rPr>
        <w:t>97</w:t>
      </w:r>
      <w:r w:rsidR="00DA052A" w:rsidRPr="4CA445B8">
        <w:rPr>
          <w:rFonts w:cs="Times New Roman"/>
        </w:rPr>
        <w:t xml:space="preserve"> in crashes resulting in non-fatal injuries.</w:t>
      </w:r>
    </w:p>
    <w:p w14:paraId="3339247B" w14:textId="195530B0" w:rsidR="00687A6C" w:rsidRPr="00E045C5" w:rsidRDefault="000F5B51" w:rsidP="00687A6C">
      <w:pPr>
        <w:pStyle w:val="Caption"/>
        <w:rPr>
          <w:rFonts w:cs="Times New Roman"/>
          <w:szCs w:val="24"/>
        </w:rPr>
      </w:pPr>
      <w:bookmarkStart w:id="218" w:name="_Ref126675025"/>
      <w:r w:rsidRPr="0033324D">
        <w:t xml:space="preserve">Table </w:t>
      </w:r>
      <w:r w:rsidR="00115BAB">
        <w:fldChar w:fldCharType="begin"/>
      </w:r>
      <w:r>
        <w:instrText xml:space="preserve"> SEQ Table \* ARABIC </w:instrText>
      </w:r>
      <w:r w:rsidR="00115BAB">
        <w:fldChar w:fldCharType="separate"/>
      </w:r>
      <w:r w:rsidR="00A65CB3">
        <w:rPr>
          <w:noProof/>
        </w:rPr>
        <w:t>41</w:t>
      </w:r>
      <w:r w:rsidR="00115BAB">
        <w:rPr>
          <w:noProof/>
        </w:rPr>
        <w:fldChar w:fldCharType="end"/>
      </w:r>
      <w:bookmarkEnd w:id="218"/>
      <w:r w:rsidRPr="0033324D">
        <w:t xml:space="preserve">: Increase </w:t>
      </w:r>
      <w:r w:rsidRPr="00E045C5">
        <w:t xml:space="preserve">in Seat Belt Use for Right Front Seat </w:t>
      </w:r>
      <w:r w:rsidR="00C6706D">
        <w:t>Occupants</w:t>
      </w:r>
    </w:p>
    <w:tbl>
      <w:tblPr>
        <w:tblW w:w="8185" w:type="dxa"/>
        <w:tblInd w:w="895" w:type="dxa"/>
        <w:tblLayout w:type="fixed"/>
        <w:tblCellMar>
          <w:left w:w="0" w:type="dxa"/>
          <w:right w:w="0" w:type="dxa"/>
        </w:tblCellMar>
        <w:tblLook w:val="04A0" w:firstRow="1" w:lastRow="0" w:firstColumn="1" w:lastColumn="0" w:noHBand="0" w:noVBand="1"/>
      </w:tblPr>
      <w:tblGrid>
        <w:gridCol w:w="2880"/>
        <w:gridCol w:w="2652"/>
        <w:gridCol w:w="2653"/>
      </w:tblGrid>
      <w:tr w:rsidR="00A15C2C" w14:paraId="38DCE4CF" w14:textId="77777777" w:rsidTr="00AD7711">
        <w:trPr>
          <w:trHeight w:val="290"/>
        </w:trPr>
        <w:tc>
          <w:tcPr>
            <w:tcW w:w="288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32394778" w14:textId="77777777" w:rsidR="00687A6C" w:rsidRPr="00E045C5" w:rsidRDefault="000F5B51" w:rsidP="00AD7711">
            <w:pPr>
              <w:spacing w:after="0" w:line="240" w:lineRule="auto"/>
              <w:rPr>
                <w:rFonts w:eastAsia="Times New Roman" w:cs="Times New Roman"/>
                <w:b/>
                <w:szCs w:val="24"/>
              </w:rPr>
            </w:pPr>
            <w:r w:rsidRPr="00E045C5">
              <w:rPr>
                <w:rFonts w:eastAsia="Times New Roman" w:cs="Times New Roman"/>
                <w:b/>
                <w:szCs w:val="24"/>
              </w:rPr>
              <w:t>Warning Type</w:t>
            </w:r>
            <w:r w:rsidR="00E02A77">
              <w:rPr>
                <w:rFonts w:eastAsia="Times New Roman" w:cs="Times New Roman"/>
                <w:b/>
                <w:bCs/>
                <w:szCs w:val="24"/>
              </w:rPr>
              <w:t xml:space="preserve"> Change</w:t>
            </w:r>
          </w:p>
        </w:tc>
        <w:tc>
          <w:tcPr>
            <w:tcW w:w="5305" w:type="dxa"/>
            <w:gridSpan w:val="2"/>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5A7796B1" w14:textId="77777777" w:rsidR="00687A6C" w:rsidRPr="00E045C5" w:rsidRDefault="000F5B51" w:rsidP="00AD7711">
            <w:pPr>
              <w:spacing w:after="0" w:line="240" w:lineRule="auto"/>
              <w:jc w:val="center"/>
              <w:rPr>
                <w:rFonts w:eastAsia="Times New Roman" w:cs="Times New Roman"/>
                <w:b/>
                <w:szCs w:val="24"/>
              </w:rPr>
            </w:pPr>
            <w:r w:rsidRPr="00E045C5">
              <w:rPr>
                <w:rFonts w:eastAsia="Times New Roman" w:cs="Times New Roman"/>
                <w:b/>
                <w:szCs w:val="24"/>
              </w:rPr>
              <w:t>Seat Belt Use Rate</w:t>
            </w:r>
          </w:p>
        </w:tc>
      </w:tr>
      <w:tr w:rsidR="00A15C2C" w14:paraId="6E7105ED" w14:textId="77777777" w:rsidTr="00DA6BAD">
        <w:trPr>
          <w:trHeight w:val="290"/>
        </w:trPr>
        <w:tc>
          <w:tcPr>
            <w:tcW w:w="2880"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0D42B13E" w14:textId="77777777" w:rsidR="00687A6C" w:rsidRPr="00E045C5" w:rsidRDefault="00687A6C" w:rsidP="00AD7711">
            <w:pPr>
              <w:spacing w:after="0" w:line="240" w:lineRule="auto"/>
              <w:rPr>
                <w:rFonts w:eastAsia="Times New Roman" w:cs="Times New Roman"/>
                <w:b/>
                <w:szCs w:val="24"/>
              </w:rPr>
            </w:pPr>
          </w:p>
        </w:tc>
        <w:tc>
          <w:tcPr>
            <w:tcW w:w="2652"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14:paraId="52965B68" w14:textId="77777777" w:rsidR="00687A6C" w:rsidRPr="00E045C5" w:rsidRDefault="000F5B51" w:rsidP="00AD7711">
            <w:pPr>
              <w:spacing w:after="0" w:line="240" w:lineRule="auto"/>
              <w:jc w:val="center"/>
              <w:rPr>
                <w:rFonts w:eastAsia="Times New Roman" w:cs="Times New Roman"/>
                <w:b/>
                <w:szCs w:val="24"/>
              </w:rPr>
            </w:pPr>
            <w:r w:rsidRPr="00E045C5">
              <w:rPr>
                <w:rFonts w:eastAsia="Times New Roman" w:cs="Times New Roman"/>
                <w:b/>
                <w:szCs w:val="24"/>
              </w:rPr>
              <w:t>Baseline</w:t>
            </w:r>
          </w:p>
        </w:tc>
        <w:tc>
          <w:tcPr>
            <w:tcW w:w="2653"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14:paraId="6D3D9459" w14:textId="77777777" w:rsidR="00687A6C" w:rsidRPr="00E045C5" w:rsidRDefault="000F5B51" w:rsidP="00AD7711">
            <w:pPr>
              <w:spacing w:after="0" w:line="240" w:lineRule="auto"/>
              <w:jc w:val="center"/>
              <w:rPr>
                <w:rFonts w:eastAsia="Times New Roman" w:cs="Times New Roman"/>
                <w:b/>
                <w:szCs w:val="24"/>
              </w:rPr>
            </w:pPr>
            <w:r w:rsidRPr="00E045C5">
              <w:rPr>
                <w:rFonts w:eastAsia="Times New Roman" w:cs="Times New Roman"/>
                <w:b/>
                <w:szCs w:val="24"/>
              </w:rPr>
              <w:t>Proposed Rule</w:t>
            </w:r>
          </w:p>
        </w:tc>
      </w:tr>
      <w:tr w:rsidR="00A15C2C" w14:paraId="10CCC796" w14:textId="77777777" w:rsidTr="00AD7711">
        <w:trPr>
          <w:trHeight w:val="290"/>
        </w:trPr>
        <w:tc>
          <w:tcPr>
            <w:tcW w:w="8185" w:type="dxa"/>
            <w:gridSpan w:val="3"/>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14:paraId="00FD4F03" w14:textId="01344A42" w:rsidR="00687A6C" w:rsidRPr="00E045C5" w:rsidRDefault="00DA0458" w:rsidP="00AD7711">
            <w:pPr>
              <w:spacing w:after="0" w:line="240" w:lineRule="auto"/>
              <w:jc w:val="center"/>
              <w:rPr>
                <w:rFonts w:eastAsia="Times New Roman" w:cs="Times New Roman"/>
                <w:b/>
                <w:i/>
                <w:szCs w:val="24"/>
              </w:rPr>
            </w:pPr>
            <w:r>
              <w:rPr>
                <w:rFonts w:eastAsia="Times New Roman" w:cs="Times New Roman"/>
                <w:b/>
                <w:i/>
                <w:szCs w:val="24"/>
              </w:rPr>
              <w:t xml:space="preserve">Potentially </w:t>
            </w:r>
            <w:r w:rsidR="000F5B51" w:rsidRPr="00E045C5">
              <w:rPr>
                <w:rFonts w:eastAsia="Times New Roman" w:cs="Times New Roman"/>
                <w:b/>
                <w:i/>
                <w:szCs w:val="24"/>
              </w:rPr>
              <w:t>Fatal Crashes</w:t>
            </w:r>
          </w:p>
        </w:tc>
      </w:tr>
      <w:tr w:rsidR="00A15C2C" w14:paraId="3E29DABC" w14:textId="77777777" w:rsidTr="0055589E">
        <w:trPr>
          <w:trHeight w:val="290"/>
        </w:trPr>
        <w:tc>
          <w:tcPr>
            <w:tcW w:w="2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1B118064" w14:textId="77777777" w:rsidR="00063725" w:rsidRPr="00E045C5" w:rsidRDefault="000F5B51" w:rsidP="00063725">
            <w:pPr>
              <w:spacing w:after="0" w:line="240" w:lineRule="auto"/>
              <w:rPr>
                <w:rFonts w:eastAsia="Times New Roman" w:cs="Times New Roman"/>
                <w:szCs w:val="24"/>
              </w:rPr>
            </w:pPr>
            <w:r w:rsidRPr="009D65BE">
              <w:rPr>
                <w:b/>
                <w:bCs/>
              </w:rPr>
              <w:t xml:space="preserve">7-second to Indefinite </w:t>
            </w:r>
          </w:p>
        </w:tc>
        <w:tc>
          <w:tcPr>
            <w:tcW w:w="265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9773278" w14:textId="77777777" w:rsidR="00063725" w:rsidRPr="00E045C5" w:rsidRDefault="000F5B51" w:rsidP="00063725">
            <w:pPr>
              <w:spacing w:after="0" w:line="240" w:lineRule="auto"/>
              <w:jc w:val="center"/>
              <w:rPr>
                <w:rFonts w:cs="Times New Roman"/>
                <w:color w:val="000000"/>
                <w:szCs w:val="24"/>
              </w:rPr>
            </w:pPr>
            <w:r w:rsidRPr="00E045C5">
              <w:rPr>
                <w:rFonts w:cs="Times New Roman"/>
                <w:color w:val="000000"/>
                <w:szCs w:val="24"/>
              </w:rPr>
              <w:t>0.6006</w:t>
            </w:r>
            <w:r w:rsidR="004901A8">
              <w:rPr>
                <w:rFonts w:cs="Times New Roman"/>
                <w:color w:val="000000"/>
                <w:szCs w:val="24"/>
              </w:rPr>
              <w:t xml:space="preserve"> x</w:t>
            </w:r>
            <w:r w:rsidR="00A9443C">
              <w:rPr>
                <w:rFonts w:cs="Times New Roman"/>
                <w:color w:val="000000"/>
                <w:szCs w:val="24"/>
              </w:rPr>
              <w:t xml:space="preserve"> </w:t>
            </w:r>
            <w:r w:rsidR="00A9443C" w:rsidRPr="00A9443C">
              <w:rPr>
                <w:rFonts w:cs="Times New Roman"/>
                <w:color w:val="000000"/>
                <w:szCs w:val="24"/>
              </w:rPr>
              <w:t>1.062254</w:t>
            </w:r>
          </w:p>
        </w:tc>
        <w:tc>
          <w:tcPr>
            <w:tcW w:w="2653" w:type="dxa"/>
            <w:tcBorders>
              <w:top w:val="nil"/>
              <w:left w:val="nil"/>
              <w:bottom w:val="single" w:sz="8" w:space="0" w:color="auto"/>
              <w:right w:val="single" w:sz="8" w:space="0" w:color="auto"/>
            </w:tcBorders>
            <w:noWrap/>
            <w:tcMar>
              <w:top w:w="0" w:type="dxa"/>
              <w:left w:w="108" w:type="dxa"/>
              <w:bottom w:w="0" w:type="dxa"/>
              <w:right w:w="108" w:type="dxa"/>
            </w:tcMar>
          </w:tcPr>
          <w:p w14:paraId="3CD7CEEB" w14:textId="77777777" w:rsidR="00063725" w:rsidRPr="0029647A" w:rsidRDefault="000F5B51" w:rsidP="00063725">
            <w:pPr>
              <w:spacing w:after="0" w:line="240" w:lineRule="auto"/>
              <w:jc w:val="center"/>
              <w:rPr>
                <w:rFonts w:eastAsia="Times New Roman" w:cs="Times New Roman"/>
                <w:szCs w:val="24"/>
              </w:rPr>
            </w:pPr>
            <w:r w:rsidRPr="00A57E5E">
              <w:rPr>
                <w:rFonts w:cs="Times New Roman"/>
                <w:szCs w:val="24"/>
              </w:rPr>
              <w:t>0.637989752</w:t>
            </w:r>
          </w:p>
        </w:tc>
      </w:tr>
      <w:tr w:rsidR="00A15C2C" w14:paraId="405AE0F3" w14:textId="77777777" w:rsidTr="0055589E">
        <w:trPr>
          <w:trHeight w:val="290"/>
        </w:trPr>
        <w:tc>
          <w:tcPr>
            <w:tcW w:w="288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14:paraId="66B939DB" w14:textId="77777777" w:rsidR="00BA1716" w:rsidRPr="00E045C5" w:rsidRDefault="000F5B51" w:rsidP="00BA1716">
            <w:pPr>
              <w:spacing w:after="0" w:line="240" w:lineRule="auto"/>
              <w:rPr>
                <w:rFonts w:eastAsia="Times New Roman" w:cs="Times New Roman"/>
                <w:szCs w:val="24"/>
              </w:rPr>
            </w:pPr>
            <w:r w:rsidRPr="009D65BE">
              <w:rPr>
                <w:b/>
                <w:bCs/>
              </w:rPr>
              <w:t>90-second to Indefinite</w:t>
            </w:r>
          </w:p>
        </w:tc>
        <w:tc>
          <w:tcPr>
            <w:tcW w:w="2652"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6AED8569" w14:textId="77777777" w:rsidR="00BA1716" w:rsidRPr="00E045C5" w:rsidRDefault="000F5B51">
            <w:pPr>
              <w:spacing w:after="0" w:line="240" w:lineRule="auto"/>
              <w:jc w:val="center"/>
              <w:rPr>
                <w:rFonts w:cs="Times New Roman"/>
                <w:color w:val="000000"/>
                <w:szCs w:val="24"/>
              </w:rPr>
            </w:pPr>
            <w:r w:rsidRPr="00572735">
              <w:rPr>
                <w:rFonts w:cs="Times New Roman"/>
                <w:color w:val="000000"/>
                <w:szCs w:val="24"/>
              </w:rPr>
              <w:t>0.7808</w:t>
            </w:r>
            <w:r>
              <w:rPr>
                <w:rFonts w:cs="Times New Roman"/>
                <w:color w:val="000000"/>
                <w:szCs w:val="24"/>
              </w:rPr>
              <w:t xml:space="preserve"> x </w:t>
            </w:r>
            <w:r>
              <w:t>1.00263</w:t>
            </w:r>
          </w:p>
        </w:tc>
        <w:tc>
          <w:tcPr>
            <w:tcW w:w="2653" w:type="dxa"/>
            <w:tcBorders>
              <w:top w:val="nil"/>
              <w:left w:val="nil"/>
              <w:bottom w:val="single" w:sz="4" w:space="0" w:color="auto"/>
              <w:right w:val="single" w:sz="8" w:space="0" w:color="auto"/>
            </w:tcBorders>
            <w:noWrap/>
            <w:tcMar>
              <w:top w:w="0" w:type="dxa"/>
              <w:left w:w="108" w:type="dxa"/>
              <w:bottom w:w="0" w:type="dxa"/>
              <w:right w:w="108" w:type="dxa"/>
            </w:tcMar>
            <w:vAlign w:val="bottom"/>
          </w:tcPr>
          <w:p w14:paraId="3523FAD7" w14:textId="77777777" w:rsidR="00BA1716" w:rsidRPr="0029647A" w:rsidRDefault="000F5B51" w:rsidP="00BA1716">
            <w:pPr>
              <w:spacing w:after="0" w:line="240" w:lineRule="auto"/>
              <w:jc w:val="center"/>
              <w:rPr>
                <w:rFonts w:eastAsia="Times New Roman" w:cs="Times New Roman"/>
                <w:szCs w:val="24"/>
              </w:rPr>
            </w:pPr>
            <w:r w:rsidRPr="0055589E">
              <w:rPr>
                <w:rFonts w:cs="Times New Roman"/>
                <w:color w:val="000000"/>
                <w:szCs w:val="24"/>
              </w:rPr>
              <w:t>0.782854</w:t>
            </w:r>
          </w:p>
        </w:tc>
      </w:tr>
      <w:tr w:rsidR="00A15C2C" w14:paraId="0808A442" w14:textId="77777777" w:rsidTr="00AD7711">
        <w:trPr>
          <w:trHeight w:val="290"/>
        </w:trPr>
        <w:tc>
          <w:tcPr>
            <w:tcW w:w="8185" w:type="dxa"/>
            <w:gridSpan w:val="3"/>
            <w:tcBorders>
              <w:top w:val="single" w:sz="4" w:space="0" w:color="auto"/>
              <w:left w:val="single" w:sz="8" w:space="0" w:color="auto"/>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14:paraId="797491C1" w14:textId="77777777" w:rsidR="00687A6C" w:rsidRPr="00E045C5" w:rsidRDefault="000F5B51" w:rsidP="00AD7711">
            <w:pPr>
              <w:spacing w:after="0" w:line="240" w:lineRule="auto"/>
              <w:jc w:val="center"/>
              <w:rPr>
                <w:rFonts w:eastAsia="Times New Roman" w:cs="Times New Roman"/>
                <w:b/>
                <w:i/>
                <w:szCs w:val="24"/>
              </w:rPr>
            </w:pPr>
            <w:r w:rsidRPr="00E045C5">
              <w:rPr>
                <w:rFonts w:eastAsia="Times New Roman" w:cs="Times New Roman"/>
                <w:b/>
                <w:i/>
                <w:szCs w:val="24"/>
              </w:rPr>
              <w:t>Crashes Resulting in Non-fatal Injuries</w:t>
            </w:r>
          </w:p>
        </w:tc>
      </w:tr>
      <w:tr w:rsidR="00A15C2C" w14:paraId="5AB034E7" w14:textId="77777777" w:rsidTr="0055589E">
        <w:trPr>
          <w:trHeight w:val="290"/>
        </w:trPr>
        <w:tc>
          <w:tcPr>
            <w:tcW w:w="288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14:paraId="4E92374A" w14:textId="77777777" w:rsidR="0029647A" w:rsidRPr="00E045C5" w:rsidRDefault="000F5B51" w:rsidP="0029647A">
            <w:pPr>
              <w:spacing w:after="0" w:line="240" w:lineRule="auto"/>
              <w:rPr>
                <w:rFonts w:eastAsia="Times New Roman" w:cs="Times New Roman"/>
                <w:szCs w:val="24"/>
              </w:rPr>
            </w:pPr>
            <w:r w:rsidRPr="009D65BE">
              <w:rPr>
                <w:b/>
                <w:bCs/>
              </w:rPr>
              <w:t xml:space="preserve">7-second to Indefinite </w:t>
            </w:r>
          </w:p>
        </w:tc>
        <w:tc>
          <w:tcPr>
            <w:tcW w:w="2652"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5A5FFE61" w14:textId="77777777" w:rsidR="0029647A" w:rsidRPr="00E045C5" w:rsidRDefault="000F5B51" w:rsidP="0029647A">
            <w:pPr>
              <w:spacing w:after="0" w:line="240" w:lineRule="auto"/>
              <w:jc w:val="center"/>
              <w:rPr>
                <w:rFonts w:cs="Times New Roman"/>
                <w:color w:val="000000"/>
                <w:szCs w:val="24"/>
              </w:rPr>
            </w:pPr>
            <w:r w:rsidRPr="00E045C5">
              <w:rPr>
                <w:rFonts w:cs="Times New Roman"/>
                <w:color w:val="000000"/>
                <w:szCs w:val="24"/>
              </w:rPr>
              <w:t>0.6673</w:t>
            </w:r>
            <w:r>
              <w:rPr>
                <w:rFonts w:cs="Times New Roman"/>
                <w:color w:val="000000"/>
                <w:szCs w:val="24"/>
              </w:rPr>
              <w:t xml:space="preserve"> x </w:t>
            </w:r>
            <w:r w:rsidRPr="00A9443C">
              <w:rPr>
                <w:rFonts w:cs="Times New Roman"/>
                <w:color w:val="000000"/>
                <w:szCs w:val="24"/>
              </w:rPr>
              <w:t>1.062254</w:t>
            </w:r>
          </w:p>
        </w:tc>
        <w:tc>
          <w:tcPr>
            <w:tcW w:w="265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2FAEA9AE" w14:textId="77777777" w:rsidR="0029647A" w:rsidRPr="00E045C5" w:rsidRDefault="000F5B51">
            <w:pPr>
              <w:spacing w:after="0" w:line="240" w:lineRule="auto"/>
              <w:jc w:val="center"/>
              <w:rPr>
                <w:rFonts w:eastAsia="Times New Roman" w:cs="Times New Roman"/>
                <w:szCs w:val="24"/>
              </w:rPr>
            </w:pPr>
            <w:r>
              <w:rPr>
                <w:color w:val="000000"/>
              </w:rPr>
              <w:t>0.708842094</w:t>
            </w:r>
          </w:p>
        </w:tc>
      </w:tr>
      <w:tr w:rsidR="00A15C2C" w14:paraId="090343C7" w14:textId="77777777" w:rsidTr="0055589E">
        <w:trPr>
          <w:trHeight w:val="290"/>
        </w:trPr>
        <w:tc>
          <w:tcPr>
            <w:tcW w:w="288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4EA60B4" w14:textId="77777777" w:rsidR="0029647A" w:rsidRPr="00E045C5" w:rsidRDefault="000F5B51" w:rsidP="0029647A">
            <w:pPr>
              <w:spacing w:after="0" w:line="240" w:lineRule="auto"/>
              <w:rPr>
                <w:rFonts w:eastAsia="Times New Roman" w:cs="Times New Roman"/>
                <w:szCs w:val="24"/>
              </w:rPr>
            </w:pPr>
            <w:r w:rsidRPr="009D65BE">
              <w:rPr>
                <w:b/>
                <w:bCs/>
              </w:rPr>
              <w:t>90-second to Indefinite</w:t>
            </w:r>
          </w:p>
        </w:tc>
        <w:tc>
          <w:tcPr>
            <w:tcW w:w="2652"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1E8CAA9E" w14:textId="4E9E5FEE" w:rsidR="0029647A" w:rsidRPr="00E045C5" w:rsidRDefault="000F5B51" w:rsidP="0029647A">
            <w:pPr>
              <w:spacing w:after="0" w:line="240" w:lineRule="auto"/>
              <w:jc w:val="center"/>
              <w:rPr>
                <w:rFonts w:cs="Times New Roman"/>
                <w:color w:val="000000"/>
                <w:szCs w:val="24"/>
              </w:rPr>
            </w:pPr>
            <w:r w:rsidRPr="00572735">
              <w:rPr>
                <w:rFonts w:cs="Times New Roman"/>
                <w:color w:val="000000"/>
                <w:szCs w:val="24"/>
              </w:rPr>
              <w:t>0.8674</w:t>
            </w:r>
            <w:r>
              <w:rPr>
                <w:rFonts w:cs="Times New Roman"/>
                <w:color w:val="000000"/>
                <w:szCs w:val="24"/>
              </w:rPr>
              <w:t xml:space="preserve"> x </w:t>
            </w:r>
            <w:r>
              <w:t>1.00263</w:t>
            </w:r>
          </w:p>
        </w:tc>
        <w:tc>
          <w:tcPr>
            <w:tcW w:w="2653"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157A1EFB" w14:textId="77777777" w:rsidR="0029647A" w:rsidRPr="00BF06FA" w:rsidRDefault="000F5B51" w:rsidP="0029647A">
            <w:pPr>
              <w:spacing w:after="0" w:line="240" w:lineRule="auto"/>
              <w:jc w:val="center"/>
              <w:rPr>
                <w:rFonts w:eastAsia="Times New Roman" w:cs="Times New Roman"/>
                <w:szCs w:val="24"/>
              </w:rPr>
            </w:pPr>
            <w:r>
              <w:rPr>
                <w:color w:val="000000"/>
              </w:rPr>
              <w:t>0.869681262</w:t>
            </w:r>
          </w:p>
        </w:tc>
      </w:tr>
    </w:tbl>
    <w:p w14:paraId="5D4BCC6F" w14:textId="77777777" w:rsidR="00D555AA" w:rsidRPr="008500A6" w:rsidRDefault="00D555AA" w:rsidP="0055589E">
      <w:pPr>
        <w:pStyle w:val="NoSpaceTimes"/>
      </w:pPr>
    </w:p>
    <w:p w14:paraId="3FEE9F6E" w14:textId="77777777" w:rsidR="00AC1B9B" w:rsidRDefault="000F5B51" w:rsidP="0055589E">
      <w:pPr>
        <w:pStyle w:val="Heading1"/>
        <w:keepNext w:val="0"/>
        <w:keepLines w:val="0"/>
        <w:widowControl w:val="0"/>
        <w:spacing w:before="0" w:line="240" w:lineRule="auto"/>
      </w:pPr>
      <w:bookmarkStart w:id="219" w:name="_Ref127358454"/>
      <w:bookmarkStart w:id="220" w:name="_Toc142902982"/>
      <w:r>
        <w:t>Benefits</w:t>
      </w:r>
      <w:bookmarkEnd w:id="219"/>
      <w:bookmarkEnd w:id="220"/>
    </w:p>
    <w:p w14:paraId="40672863" w14:textId="77777777" w:rsidR="001B7D24" w:rsidRPr="00D13E52" w:rsidRDefault="000F5B51" w:rsidP="0055589E">
      <w:r>
        <w:t xml:space="preserve">This chapter presents the </w:t>
      </w:r>
      <w:r w:rsidR="006A3638">
        <w:t xml:space="preserve">incremental </w:t>
      </w:r>
      <w:r>
        <w:t>benefits associated with the proposed rule</w:t>
      </w:r>
      <w:r w:rsidR="001F2F92">
        <w:t xml:space="preserve">. </w:t>
      </w:r>
      <w:r w:rsidR="005370AA">
        <w:t xml:space="preserve">The first three sections of this chapter present the </w:t>
      </w:r>
      <w:r w:rsidR="006A3638">
        <w:t xml:space="preserve">incremental </w:t>
      </w:r>
      <w:r w:rsidR="005370AA">
        <w:t xml:space="preserve">benefits </w:t>
      </w:r>
      <w:r w:rsidR="006A3638">
        <w:t xml:space="preserve">associated with </w:t>
      </w:r>
      <w:r w:rsidR="005370AA">
        <w:t>the three requirements specified in the proposed rule</w:t>
      </w:r>
      <w:r w:rsidR="001F2F92">
        <w:t xml:space="preserve">. </w:t>
      </w:r>
      <w:r w:rsidR="00806D69">
        <w:t>The following section</w:t>
      </w:r>
      <w:r w:rsidR="000C28F9">
        <w:t xml:space="preserve"> then</w:t>
      </w:r>
      <w:r w:rsidR="00996A0D">
        <w:t xml:space="preserve"> discusses </w:t>
      </w:r>
      <w:r w:rsidR="009648C6">
        <w:t>unquantified benefits and alternative uses</w:t>
      </w:r>
      <w:r w:rsidR="005370AA">
        <w:t xml:space="preserve"> and t</w:t>
      </w:r>
      <w:r w:rsidR="009648C6">
        <w:t xml:space="preserve">he final section </w:t>
      </w:r>
      <w:r w:rsidR="000C28F9">
        <w:t>provides a summary of the chapter</w:t>
      </w:r>
      <w:r w:rsidR="009648C6">
        <w:t>.</w:t>
      </w:r>
    </w:p>
    <w:p w14:paraId="5085273E" w14:textId="77777777" w:rsidR="00AC1B9B" w:rsidRDefault="000F5B51" w:rsidP="0055589E">
      <w:pPr>
        <w:pStyle w:val="Heading2"/>
        <w:spacing w:line="240" w:lineRule="auto"/>
      </w:pPr>
      <w:bookmarkStart w:id="221" w:name="_Ref126140869"/>
      <w:bookmarkStart w:id="222" w:name="_Ref126140874"/>
      <w:bookmarkStart w:id="223" w:name="_Toc142902983"/>
      <w:r>
        <w:lastRenderedPageBreak/>
        <w:t>SBWS for Rear Seat Occupants</w:t>
      </w:r>
      <w:bookmarkEnd w:id="221"/>
      <w:bookmarkEnd w:id="222"/>
      <w:bookmarkEnd w:id="223"/>
    </w:p>
    <w:p w14:paraId="1F3F6817" w14:textId="443A2277" w:rsidR="001A30E0" w:rsidRDefault="000F5B51">
      <w:pPr>
        <w:spacing w:after="0"/>
        <w:rPr>
          <w:rFonts w:eastAsia="Times New Roman" w:cs="Times New Roman"/>
          <w:szCs w:val="24"/>
        </w:rPr>
      </w:pPr>
      <w:r>
        <w:rPr>
          <w:rFonts w:eastAsia="Times New Roman" w:cs="Times New Roman"/>
          <w:szCs w:val="24"/>
        </w:rPr>
        <w:t xml:space="preserve">This section presents </w:t>
      </w:r>
      <w:r>
        <w:t xml:space="preserve">the </w:t>
      </w:r>
      <w:r w:rsidR="00405455">
        <w:t>incremental</w:t>
      </w:r>
      <w:r>
        <w:t xml:space="preserve"> benefits </w:t>
      </w:r>
      <w:r w:rsidR="000C28F9">
        <w:t>resulting from the</w:t>
      </w:r>
      <w:r>
        <w:t xml:space="preserve"> requirements specified in the proposed rule</w:t>
      </w:r>
      <w:r w:rsidR="00F61BE2">
        <w:t xml:space="preserve"> for SBWS</w:t>
      </w:r>
      <w:r w:rsidR="001B0620">
        <w:t xml:space="preserve"> for rear seat occupants</w:t>
      </w:r>
      <w:r w:rsidR="001F2F92">
        <w:rPr>
          <w:rFonts w:eastAsia="Times New Roman" w:cs="Times New Roman"/>
          <w:szCs w:val="24"/>
        </w:rPr>
        <w:t xml:space="preserve">. </w:t>
      </w:r>
      <w:r w:rsidR="00405455">
        <w:rPr>
          <w:rFonts w:eastAsia="Times New Roman" w:cs="Times New Roman"/>
          <w:szCs w:val="24"/>
        </w:rPr>
        <w:t>Incremental benefits are those</w:t>
      </w:r>
      <w:r w:rsidR="008A7A65">
        <w:rPr>
          <w:rFonts w:eastAsia="Times New Roman" w:cs="Times New Roman"/>
          <w:szCs w:val="24"/>
        </w:rPr>
        <w:t xml:space="preserve"> </w:t>
      </w:r>
      <w:r w:rsidR="007D491A">
        <w:rPr>
          <w:rFonts w:eastAsia="Times New Roman" w:cs="Times New Roman"/>
          <w:szCs w:val="24"/>
        </w:rPr>
        <w:t>additional fatalities and non-fatal injuries prevented</w:t>
      </w:r>
      <w:r w:rsidR="00405455">
        <w:rPr>
          <w:rFonts w:eastAsia="Times New Roman" w:cs="Times New Roman"/>
          <w:szCs w:val="24"/>
        </w:rPr>
        <w:t xml:space="preserve"> </w:t>
      </w:r>
      <w:r w:rsidR="007D491A">
        <w:rPr>
          <w:rFonts w:eastAsia="Times New Roman" w:cs="Times New Roman"/>
          <w:szCs w:val="24"/>
        </w:rPr>
        <w:t xml:space="preserve">due to the increase in seat belt use under </w:t>
      </w:r>
      <w:r w:rsidR="00405455">
        <w:rPr>
          <w:rFonts w:eastAsia="Times New Roman" w:cs="Times New Roman"/>
          <w:szCs w:val="24"/>
        </w:rPr>
        <w:t>the proposed rule relative</w:t>
      </w:r>
      <w:r w:rsidR="007D491A">
        <w:rPr>
          <w:rFonts w:eastAsia="Times New Roman" w:cs="Times New Roman"/>
          <w:szCs w:val="24"/>
        </w:rPr>
        <w:t xml:space="preserve"> seat belt use under</w:t>
      </w:r>
      <w:r w:rsidR="00405455">
        <w:rPr>
          <w:rFonts w:eastAsia="Times New Roman" w:cs="Times New Roman"/>
          <w:szCs w:val="24"/>
        </w:rPr>
        <w:t xml:space="preserve"> the baseline</w:t>
      </w:r>
      <w:r w:rsidR="001F2F92">
        <w:rPr>
          <w:rFonts w:eastAsia="Times New Roman" w:cs="Times New Roman"/>
          <w:szCs w:val="24"/>
        </w:rPr>
        <w:t xml:space="preserve">. </w:t>
      </w:r>
      <w:r w:rsidR="00405455">
        <w:rPr>
          <w:rFonts w:eastAsia="Times New Roman" w:cs="Times New Roman"/>
          <w:szCs w:val="24"/>
        </w:rPr>
        <w:t>In order to calculate incremental benefits, this analysi</w:t>
      </w:r>
      <w:r w:rsidR="00DB6BE6">
        <w:rPr>
          <w:rFonts w:eastAsia="Times New Roman" w:cs="Times New Roman"/>
          <w:szCs w:val="24"/>
        </w:rPr>
        <w:t xml:space="preserve">s </w:t>
      </w:r>
      <w:r w:rsidR="007D491A">
        <w:rPr>
          <w:rFonts w:eastAsia="Times New Roman" w:cs="Times New Roman"/>
          <w:szCs w:val="24"/>
        </w:rPr>
        <w:t>first account</w:t>
      </w:r>
      <w:r w:rsidR="00270F38">
        <w:rPr>
          <w:rFonts w:eastAsia="Times New Roman" w:cs="Times New Roman"/>
          <w:szCs w:val="24"/>
        </w:rPr>
        <w:t>s the baseline effects given</w:t>
      </w:r>
      <w:r w:rsidR="007D491A">
        <w:rPr>
          <w:rFonts w:eastAsia="Times New Roman" w:cs="Times New Roman"/>
          <w:szCs w:val="24"/>
        </w:rPr>
        <w:t xml:space="preserve"> </w:t>
      </w:r>
      <w:r w:rsidR="00DB6BE6">
        <w:rPr>
          <w:rFonts w:eastAsia="Times New Roman" w:cs="Times New Roman"/>
          <w:szCs w:val="24"/>
        </w:rPr>
        <w:t>the current</w:t>
      </w:r>
      <w:r w:rsidR="00270F38">
        <w:rPr>
          <w:rFonts w:eastAsia="Times New Roman" w:cs="Times New Roman"/>
          <w:szCs w:val="24"/>
        </w:rPr>
        <w:t xml:space="preserve"> seat belt</w:t>
      </w:r>
      <w:r w:rsidR="00DB6BE6">
        <w:rPr>
          <w:rFonts w:eastAsia="Times New Roman" w:cs="Times New Roman"/>
          <w:szCs w:val="24"/>
        </w:rPr>
        <w:t xml:space="preserve"> use rates</w:t>
      </w:r>
      <w:r w:rsidR="00894F75">
        <w:rPr>
          <w:rFonts w:eastAsia="Times New Roman" w:cs="Times New Roman"/>
          <w:szCs w:val="24"/>
        </w:rPr>
        <w:t xml:space="preserve"> and then accounts for the impact of the</w:t>
      </w:r>
      <w:r w:rsidR="00DA3B95">
        <w:rPr>
          <w:rFonts w:eastAsia="Times New Roman" w:cs="Times New Roman"/>
          <w:szCs w:val="24"/>
        </w:rPr>
        <w:t xml:space="preserve"> </w:t>
      </w:r>
      <w:r w:rsidR="00151A19">
        <w:rPr>
          <w:rFonts w:eastAsia="Times New Roman" w:cs="Times New Roman"/>
          <w:szCs w:val="24"/>
        </w:rPr>
        <w:t>increase in</w:t>
      </w:r>
      <w:r w:rsidR="006408D9">
        <w:rPr>
          <w:rFonts w:eastAsia="Times New Roman" w:cs="Times New Roman"/>
          <w:szCs w:val="24"/>
        </w:rPr>
        <w:t xml:space="preserve"> seat belt use under the proposed rule. </w:t>
      </w:r>
    </w:p>
    <w:p w14:paraId="5E8909C7" w14:textId="007DF320" w:rsidR="001F3098" w:rsidRDefault="000F5B51">
      <w:pPr>
        <w:spacing w:after="0"/>
        <w:rPr>
          <w:rFonts w:eastAsia="Times New Roman" w:cs="Times New Roman"/>
          <w:szCs w:val="24"/>
        </w:rPr>
      </w:pPr>
      <w:r>
        <w:rPr>
          <w:rFonts w:eastAsia="Times New Roman" w:cs="Times New Roman"/>
          <w:szCs w:val="24"/>
        </w:rPr>
        <w:t xml:space="preserve">We first note that </w:t>
      </w:r>
      <w:r w:rsidR="00E652EE">
        <w:rPr>
          <w:rFonts w:eastAsia="Times New Roman" w:cs="Times New Roman"/>
          <w:szCs w:val="24"/>
        </w:rPr>
        <w:t>the</w:t>
      </w:r>
      <w:r>
        <w:rPr>
          <w:rFonts w:eastAsia="Times New Roman" w:cs="Times New Roman"/>
          <w:szCs w:val="24"/>
        </w:rPr>
        <w:t xml:space="preserve"> non-fatal injuries and fatalities prevented are a function of the seat belt use rate</w:t>
      </w:r>
      <w:r w:rsidR="001F2F92">
        <w:rPr>
          <w:rFonts w:eastAsia="Times New Roman" w:cs="Times New Roman"/>
          <w:szCs w:val="24"/>
        </w:rPr>
        <w:t xml:space="preserve">. </w:t>
      </w:r>
      <w:r w:rsidR="006408D9">
        <w:rPr>
          <w:rFonts w:eastAsia="Times New Roman" w:cs="Times New Roman"/>
          <w:szCs w:val="24"/>
        </w:rPr>
        <w:t xml:space="preserve">In order to calculate </w:t>
      </w:r>
      <w:r w:rsidR="00AF1CDC">
        <w:rPr>
          <w:rFonts w:eastAsia="Times New Roman" w:cs="Times New Roman"/>
          <w:szCs w:val="24"/>
        </w:rPr>
        <w:t xml:space="preserve">incremental </w:t>
      </w:r>
      <w:r w:rsidR="006408D9">
        <w:rPr>
          <w:rFonts w:eastAsia="Times New Roman" w:cs="Times New Roman"/>
          <w:szCs w:val="24"/>
        </w:rPr>
        <w:t xml:space="preserve">benefits </w:t>
      </w:r>
      <w:r w:rsidR="00860838">
        <w:rPr>
          <w:rFonts w:eastAsia="Times New Roman" w:cs="Times New Roman"/>
          <w:szCs w:val="24"/>
        </w:rPr>
        <w:t>result</w:t>
      </w:r>
      <w:r w:rsidR="00BE60D1">
        <w:rPr>
          <w:rFonts w:eastAsia="Times New Roman" w:cs="Times New Roman"/>
          <w:szCs w:val="24"/>
        </w:rPr>
        <w:t>ing</w:t>
      </w:r>
      <w:r w:rsidR="00860838">
        <w:rPr>
          <w:rFonts w:eastAsia="Times New Roman" w:cs="Times New Roman"/>
          <w:szCs w:val="24"/>
        </w:rPr>
        <w:t xml:space="preserve"> from</w:t>
      </w:r>
      <w:r w:rsidR="001A30E0">
        <w:rPr>
          <w:rFonts w:eastAsia="Times New Roman" w:cs="Times New Roman"/>
          <w:szCs w:val="24"/>
        </w:rPr>
        <w:t xml:space="preserve"> proposed rule</w:t>
      </w:r>
      <w:r w:rsidR="006408D9">
        <w:rPr>
          <w:rFonts w:eastAsia="Times New Roman" w:cs="Times New Roman"/>
          <w:szCs w:val="24"/>
        </w:rPr>
        <w:t>, this analysis must first establish the potential injuries and fatalities</w:t>
      </w:r>
      <w:r w:rsidR="00AD2859">
        <w:rPr>
          <w:rFonts w:eastAsia="Times New Roman" w:cs="Times New Roman"/>
          <w:szCs w:val="24"/>
        </w:rPr>
        <w:t xml:space="preserve"> </w:t>
      </w:r>
      <w:r w:rsidR="005E1C75">
        <w:rPr>
          <w:rFonts w:eastAsia="Times New Roman" w:cs="Times New Roman"/>
          <w:szCs w:val="24"/>
        </w:rPr>
        <w:t>addressed by seat belts</w:t>
      </w:r>
      <w:r w:rsidR="001F2F92">
        <w:rPr>
          <w:rFonts w:eastAsia="Times New Roman" w:cs="Times New Roman"/>
          <w:szCs w:val="24"/>
        </w:rPr>
        <w:t xml:space="preserve">. </w:t>
      </w:r>
      <w:r w:rsidR="00A94BC9">
        <w:rPr>
          <w:rFonts w:eastAsia="Times New Roman" w:cs="Times New Roman"/>
          <w:szCs w:val="24"/>
        </w:rPr>
        <w:t xml:space="preserve">Potential injuries and fatalities are those that </w:t>
      </w:r>
      <w:r w:rsidR="00A94BC9" w:rsidRPr="007C6BA9">
        <w:rPr>
          <w:rFonts w:eastAsia="Times New Roman" w:cs="Times New Roman"/>
          <w:szCs w:val="24"/>
        </w:rPr>
        <w:t xml:space="preserve">would </w:t>
      </w:r>
      <w:r w:rsidR="00A94BC9">
        <w:rPr>
          <w:rFonts w:eastAsia="Times New Roman" w:cs="Times New Roman"/>
          <w:szCs w:val="24"/>
        </w:rPr>
        <w:t>occur</w:t>
      </w:r>
      <w:r w:rsidR="00A94BC9" w:rsidRPr="007C6BA9">
        <w:rPr>
          <w:rFonts w:eastAsia="Times New Roman" w:cs="Times New Roman"/>
          <w:szCs w:val="24"/>
        </w:rPr>
        <w:t xml:space="preserve"> in </w:t>
      </w:r>
      <w:r w:rsidR="00692C22">
        <w:rPr>
          <w:rFonts w:eastAsia="Times New Roman" w:cs="Times New Roman"/>
          <w:szCs w:val="24"/>
        </w:rPr>
        <w:t xml:space="preserve">the case of </w:t>
      </w:r>
      <w:r w:rsidR="005E1C75">
        <w:rPr>
          <w:rFonts w:eastAsia="Times New Roman" w:cs="Times New Roman"/>
          <w:szCs w:val="24"/>
        </w:rPr>
        <w:t xml:space="preserve">a </w:t>
      </w:r>
      <w:r w:rsidR="00A65D1A">
        <w:rPr>
          <w:rFonts w:eastAsia="Times New Roman" w:cs="Times New Roman"/>
          <w:szCs w:val="24"/>
        </w:rPr>
        <w:t xml:space="preserve">seat belt use </w:t>
      </w:r>
      <w:r w:rsidR="005E1C75">
        <w:rPr>
          <w:rFonts w:eastAsia="Times New Roman" w:cs="Times New Roman"/>
          <w:szCs w:val="24"/>
        </w:rPr>
        <w:t>rate</w:t>
      </w:r>
      <w:r w:rsidR="00A65D1A">
        <w:rPr>
          <w:rFonts w:eastAsia="Times New Roman" w:cs="Times New Roman"/>
          <w:szCs w:val="24"/>
        </w:rPr>
        <w:t xml:space="preserve"> of</w:t>
      </w:r>
      <w:r w:rsidR="005E1C75">
        <w:rPr>
          <w:rFonts w:eastAsia="Times New Roman" w:cs="Times New Roman"/>
          <w:szCs w:val="24"/>
        </w:rPr>
        <w:t xml:space="preserve"> zero percent</w:t>
      </w:r>
      <w:r w:rsidR="001F2F92">
        <w:rPr>
          <w:rFonts w:eastAsia="Times New Roman" w:cs="Times New Roman"/>
          <w:szCs w:val="24"/>
        </w:rPr>
        <w:t xml:space="preserve">. </w:t>
      </w:r>
      <w:r w:rsidR="00A32203">
        <w:rPr>
          <w:rFonts w:eastAsia="Times New Roman" w:cs="Times New Roman"/>
          <w:szCs w:val="24"/>
        </w:rPr>
        <w:t xml:space="preserve">By establishing the potential injuries and fatalities, </w:t>
      </w:r>
      <w:r w:rsidR="00AC5E81">
        <w:rPr>
          <w:rFonts w:eastAsia="Times New Roman" w:cs="Times New Roman"/>
          <w:szCs w:val="24"/>
        </w:rPr>
        <w:t>this analysis</w:t>
      </w:r>
      <w:r w:rsidR="005E1C75">
        <w:rPr>
          <w:rFonts w:eastAsia="Times New Roman" w:cs="Times New Roman"/>
          <w:szCs w:val="24"/>
        </w:rPr>
        <w:t xml:space="preserve"> then </w:t>
      </w:r>
      <w:r w:rsidR="00770EAD">
        <w:rPr>
          <w:rFonts w:eastAsia="Times New Roman" w:cs="Times New Roman"/>
          <w:szCs w:val="24"/>
        </w:rPr>
        <w:t>estimates</w:t>
      </w:r>
      <w:r w:rsidR="005E1C75">
        <w:rPr>
          <w:rFonts w:eastAsia="Times New Roman" w:cs="Times New Roman"/>
          <w:szCs w:val="24"/>
        </w:rPr>
        <w:t xml:space="preserve"> </w:t>
      </w:r>
      <w:r w:rsidR="00452571">
        <w:rPr>
          <w:rFonts w:eastAsia="Times New Roman" w:cs="Times New Roman"/>
          <w:szCs w:val="24"/>
        </w:rPr>
        <w:t xml:space="preserve">incremental </w:t>
      </w:r>
      <w:r w:rsidR="005E1C75">
        <w:rPr>
          <w:rFonts w:eastAsia="Times New Roman" w:cs="Times New Roman"/>
          <w:szCs w:val="24"/>
        </w:rPr>
        <w:t xml:space="preserve">benefits </w:t>
      </w:r>
      <w:r>
        <w:rPr>
          <w:rFonts w:eastAsia="Times New Roman" w:cs="Times New Roman"/>
          <w:szCs w:val="24"/>
        </w:rPr>
        <w:t xml:space="preserve">based on </w:t>
      </w:r>
      <w:r w:rsidR="00DB6EC2">
        <w:rPr>
          <w:rFonts w:eastAsia="Times New Roman" w:cs="Times New Roman"/>
          <w:szCs w:val="24"/>
        </w:rPr>
        <w:t xml:space="preserve">the difference </w:t>
      </w:r>
      <w:r w:rsidR="001B72DA">
        <w:rPr>
          <w:rFonts w:eastAsia="Times New Roman" w:cs="Times New Roman"/>
          <w:szCs w:val="24"/>
        </w:rPr>
        <w:t xml:space="preserve">in </w:t>
      </w:r>
      <w:r w:rsidR="00F71912">
        <w:rPr>
          <w:rFonts w:eastAsia="Times New Roman" w:cs="Times New Roman"/>
          <w:szCs w:val="24"/>
        </w:rPr>
        <w:t>fatalities and non-fatal injuries prevented given  the change in</w:t>
      </w:r>
      <w:r w:rsidR="00DB6EC2">
        <w:rPr>
          <w:rFonts w:eastAsia="Times New Roman" w:cs="Times New Roman"/>
          <w:szCs w:val="24"/>
        </w:rPr>
        <w:t xml:space="preserve"> </w:t>
      </w:r>
      <w:r>
        <w:rPr>
          <w:rFonts w:eastAsia="Times New Roman" w:cs="Times New Roman"/>
          <w:szCs w:val="24"/>
        </w:rPr>
        <w:t>seat belt use under the baseline and the proposed rule</w:t>
      </w:r>
      <w:r w:rsidR="001F2F92">
        <w:rPr>
          <w:rFonts w:eastAsia="Times New Roman" w:cs="Times New Roman"/>
          <w:szCs w:val="24"/>
        </w:rPr>
        <w:t>.</w:t>
      </w:r>
    </w:p>
    <w:p w14:paraId="4A4905D0" w14:textId="77777777" w:rsidR="009A12A8" w:rsidRDefault="000F5B51">
      <w:pPr>
        <w:spacing w:after="0"/>
        <w:rPr>
          <w:rFonts w:eastAsia="Times New Roman" w:cs="Times New Roman"/>
        </w:rPr>
      </w:pPr>
      <w:bookmarkStart w:id="224" w:name="_Toc502652587"/>
      <w:bookmarkStart w:id="225" w:name="_Toc502662287"/>
      <w:bookmarkStart w:id="226" w:name="_Toc502663944"/>
      <w:bookmarkStart w:id="227" w:name="_Toc502666613"/>
      <w:bookmarkStart w:id="228" w:name="_Toc502652588"/>
      <w:bookmarkStart w:id="229" w:name="_Toc502662288"/>
      <w:bookmarkStart w:id="230" w:name="_Toc502663945"/>
      <w:bookmarkStart w:id="231" w:name="_Toc502666614"/>
      <w:bookmarkEnd w:id="224"/>
      <w:bookmarkEnd w:id="225"/>
      <w:bookmarkEnd w:id="226"/>
      <w:bookmarkEnd w:id="227"/>
      <w:bookmarkEnd w:id="228"/>
      <w:bookmarkEnd w:id="229"/>
      <w:bookmarkEnd w:id="230"/>
      <w:bookmarkEnd w:id="231"/>
      <w:r w:rsidRPr="4CA445B8">
        <w:rPr>
          <w:rFonts w:eastAsia="Times New Roman" w:cs="Times New Roman"/>
        </w:rPr>
        <w:t>B</w:t>
      </w:r>
      <w:r w:rsidR="00320BBB" w:rsidRPr="4CA445B8">
        <w:rPr>
          <w:rFonts w:eastAsia="Times New Roman" w:cs="Times New Roman"/>
        </w:rPr>
        <w:t xml:space="preserve">ased on the available information, </w:t>
      </w:r>
      <w:r w:rsidRPr="4CA445B8">
        <w:rPr>
          <w:rFonts w:eastAsia="Times New Roman" w:cs="Times New Roman"/>
        </w:rPr>
        <w:t xml:space="preserve">this analysis is able to establish the relationship between </w:t>
      </w:r>
      <w:r w:rsidR="00F150CE" w:rsidRPr="4CA445B8">
        <w:rPr>
          <w:rFonts w:eastAsia="Times New Roman" w:cs="Times New Roman"/>
        </w:rPr>
        <w:t>the “Observed Injuries</w:t>
      </w:r>
      <w:r w:rsidR="002D7DCF" w:rsidRPr="4CA445B8">
        <w:rPr>
          <w:rFonts w:eastAsia="Times New Roman" w:cs="Times New Roman"/>
        </w:rPr>
        <w:t>/Fatalities</w:t>
      </w:r>
      <w:r w:rsidR="00F150CE" w:rsidRPr="4CA445B8">
        <w:rPr>
          <w:rFonts w:eastAsia="Times New Roman" w:cs="Times New Roman"/>
        </w:rPr>
        <w:t>” and the “Potential Injuries</w:t>
      </w:r>
      <w:r w:rsidR="002D7DCF" w:rsidRPr="4CA445B8">
        <w:rPr>
          <w:rFonts w:eastAsia="Times New Roman" w:cs="Times New Roman"/>
        </w:rPr>
        <w:t>/Fatalities</w:t>
      </w:r>
      <w:r w:rsidR="00954301" w:rsidRPr="4CA445B8">
        <w:rPr>
          <w:rFonts w:eastAsia="Times New Roman" w:cs="Times New Roman"/>
        </w:rPr>
        <w:t>.</w:t>
      </w:r>
      <w:r w:rsidR="00F150CE" w:rsidRPr="4CA445B8">
        <w:rPr>
          <w:rFonts w:eastAsia="Times New Roman" w:cs="Times New Roman"/>
        </w:rPr>
        <w:t>”</w:t>
      </w:r>
      <w:r w:rsidR="002D7DCF" w:rsidRPr="4CA445B8">
        <w:rPr>
          <w:rFonts w:eastAsia="Times New Roman" w:cs="Times New Roman"/>
        </w:rPr>
        <w:t xml:space="preserve"> </w:t>
      </w:r>
      <w:r w:rsidR="00FF67F2">
        <w:rPr>
          <w:rFonts w:eastAsia="Times New Roman" w:cs="Times New Roman"/>
        </w:rPr>
        <w:t xml:space="preserve"> </w:t>
      </w:r>
      <w:r w:rsidR="00A04DBC" w:rsidRPr="4CA445B8">
        <w:rPr>
          <w:rFonts w:eastAsia="Times New Roman" w:cs="Times New Roman"/>
        </w:rPr>
        <w:t xml:space="preserve">Potential injuries and fatalities represent the number of injuries and fatalities that would be observed in the hypothetical scenario in which </w:t>
      </w:r>
      <w:r w:rsidR="000B57A6" w:rsidRPr="4CA445B8">
        <w:rPr>
          <w:rFonts w:eastAsia="Times New Roman" w:cs="Times New Roman"/>
        </w:rPr>
        <w:t>the seat belt use rate is zero</w:t>
      </w:r>
      <w:r w:rsidR="001F2F92">
        <w:rPr>
          <w:rFonts w:eastAsia="Times New Roman" w:cs="Times New Roman"/>
        </w:rPr>
        <w:t xml:space="preserve">. </w:t>
      </w:r>
      <w:r w:rsidR="002D7DCF" w:rsidRPr="4CA445B8">
        <w:rPr>
          <w:rFonts w:eastAsia="Times New Roman" w:cs="Times New Roman"/>
        </w:rPr>
        <w:t>Observed injuries</w:t>
      </w:r>
      <w:r w:rsidR="00B054BA" w:rsidRPr="4CA445B8">
        <w:rPr>
          <w:rFonts w:eastAsia="Times New Roman" w:cs="Times New Roman"/>
        </w:rPr>
        <w:t xml:space="preserve"> and fatalities</w:t>
      </w:r>
      <w:r w:rsidR="002D7DCF" w:rsidRPr="4CA445B8">
        <w:rPr>
          <w:rFonts w:eastAsia="Times New Roman" w:cs="Times New Roman"/>
        </w:rPr>
        <w:t xml:space="preserve"> are those reflected in the adjusted target population and represent the number of injuries and fatalitie</w:t>
      </w:r>
      <w:r w:rsidR="000B57A6" w:rsidRPr="4CA445B8">
        <w:rPr>
          <w:rFonts w:eastAsia="Times New Roman" w:cs="Times New Roman"/>
        </w:rPr>
        <w:t xml:space="preserve">s </w:t>
      </w:r>
      <w:r w:rsidR="002D7DCF" w:rsidRPr="4CA445B8">
        <w:rPr>
          <w:rFonts w:eastAsia="Times New Roman" w:cs="Times New Roman"/>
        </w:rPr>
        <w:t xml:space="preserve">associated with the current </w:t>
      </w:r>
      <w:r w:rsidR="001E51AA" w:rsidRPr="4CA445B8">
        <w:rPr>
          <w:rFonts w:eastAsia="Times New Roman" w:cs="Times New Roman"/>
        </w:rPr>
        <w:t>seat belt use rates</w:t>
      </w:r>
      <w:r w:rsidR="001F2F92">
        <w:rPr>
          <w:rFonts w:eastAsia="Times New Roman" w:cs="Times New Roman"/>
        </w:rPr>
        <w:t xml:space="preserve">. </w:t>
      </w:r>
      <w:r w:rsidR="00CE2656" w:rsidRPr="4CA445B8">
        <w:rPr>
          <w:rFonts w:eastAsia="Times New Roman" w:cs="Times New Roman"/>
        </w:rPr>
        <w:t>Therefore,</w:t>
      </w:r>
      <w:r w:rsidR="00824438" w:rsidRPr="4CA445B8">
        <w:rPr>
          <w:rFonts w:eastAsia="Times New Roman" w:cs="Times New Roman"/>
        </w:rPr>
        <w:t xml:space="preserve"> </w:t>
      </w:r>
      <w:r w:rsidR="00CE2656" w:rsidRPr="4CA445B8">
        <w:rPr>
          <w:rFonts w:eastAsia="Times New Roman" w:cs="Times New Roman"/>
        </w:rPr>
        <w:t>e</w:t>
      </w:r>
      <w:r w:rsidR="00C11D2D" w:rsidRPr="4CA445B8">
        <w:rPr>
          <w:rFonts w:eastAsia="Times New Roman" w:cs="Times New Roman"/>
        </w:rPr>
        <w:t>quation (</w:t>
      </w:r>
      <w:r w:rsidR="001A7281" w:rsidRPr="4CA445B8">
        <w:rPr>
          <w:rFonts w:eastAsia="Times New Roman" w:cs="Times New Roman"/>
        </w:rPr>
        <w:t>7</w:t>
      </w:r>
      <w:r w:rsidR="00C11D2D" w:rsidRPr="4CA445B8">
        <w:rPr>
          <w:rFonts w:eastAsia="Times New Roman" w:cs="Times New Roman"/>
        </w:rPr>
        <w:t>)</w:t>
      </w:r>
      <w:r w:rsidR="00391797" w:rsidRPr="4CA445B8">
        <w:rPr>
          <w:rFonts w:eastAsia="Times New Roman" w:cs="Times New Roman"/>
        </w:rPr>
        <w:t xml:space="preserve"> </w:t>
      </w:r>
      <w:r w:rsidR="00D82CBD" w:rsidRPr="4CA445B8">
        <w:rPr>
          <w:rFonts w:eastAsia="Times New Roman" w:cs="Times New Roman"/>
        </w:rPr>
        <w:t>presents th</w:t>
      </w:r>
      <w:r w:rsidR="006F4C31" w:rsidRPr="4CA445B8">
        <w:rPr>
          <w:rFonts w:eastAsia="Times New Roman" w:cs="Times New Roman"/>
        </w:rPr>
        <w:t>e</w:t>
      </w:r>
      <w:r w:rsidR="00D82CBD" w:rsidRPr="4CA445B8">
        <w:rPr>
          <w:rFonts w:eastAsia="Times New Roman" w:cs="Times New Roman"/>
        </w:rPr>
        <w:t xml:space="preserve"> relationship</w:t>
      </w:r>
      <w:r w:rsidR="006F4C31" w:rsidRPr="4CA445B8">
        <w:rPr>
          <w:rFonts w:eastAsia="Times New Roman" w:cs="Times New Roman"/>
        </w:rPr>
        <w:t xml:space="preserve"> between observed injuries and potential injuries</w:t>
      </w:r>
      <w:r w:rsidR="000914D4" w:rsidRPr="4CA445B8">
        <w:rPr>
          <w:rFonts w:eastAsia="Times New Roman" w:cs="Times New Roman"/>
        </w:rPr>
        <w:t>:</w:t>
      </w:r>
      <w:r w:rsidR="00C11D2D" w:rsidRPr="4CA445B8">
        <w:rPr>
          <w:rFonts w:eastAsia="Times New Roman" w:cs="Times New Roman"/>
        </w:rPr>
        <w:t xml:space="preserve"> </w:t>
      </w:r>
    </w:p>
    <w:p w14:paraId="2B48F94E" w14:textId="77777777" w:rsidR="000914D4" w:rsidRPr="00E96933" w:rsidRDefault="000F5B51" w:rsidP="000532DE">
      <w:pPr>
        <w:spacing w:after="0"/>
        <w:jc w:val="center"/>
        <w:rPr>
          <w:rFonts w:eastAsia="Times New Roman" w:cs="Times New Roman"/>
          <w:szCs w:val="24"/>
        </w:rPr>
      </w:pPr>
      <m:oMath>
        <m:r>
          <w:rPr>
            <w:rFonts w:ascii="Cambria Math" w:eastAsia="Times New Roman" w:hAnsi="Cambria Math" w:cs="Times New Roman"/>
            <w:szCs w:val="24"/>
          </w:rPr>
          <m:t>Observed Injury=Potential injury ×(1-seat belt effectiveness×seat belt use rate)</m:t>
        </m:r>
      </m:oMath>
      <w:r w:rsidR="000532DE">
        <w:rPr>
          <w:rFonts w:eastAsia="Times New Roman" w:cs="Times New Roman"/>
          <w:szCs w:val="24"/>
        </w:rPr>
        <w:t>,</w:t>
      </w:r>
    </w:p>
    <w:p w14:paraId="2990EB3F" w14:textId="77777777" w:rsidR="000914D4" w:rsidRDefault="000F5B51" w:rsidP="00320BBB">
      <w:pPr>
        <w:spacing w:after="0"/>
        <w:rPr>
          <w:rFonts w:eastAsia="Times New Roman" w:cs="Times New Roman"/>
          <w:szCs w:val="24"/>
        </w:rPr>
      </w:pPr>
      <w:r>
        <w:rPr>
          <w:rFonts w:eastAsia="Times New Roman" w:cs="Times New Roman"/>
          <w:szCs w:val="24"/>
        </w:rPr>
        <w:t>t</w:t>
      </w:r>
      <w:r w:rsidR="00EA22A0">
        <w:rPr>
          <w:rFonts w:eastAsia="Times New Roman" w:cs="Times New Roman"/>
          <w:szCs w:val="24"/>
        </w:rPr>
        <w:t>hen solving for potential injuries, yields:</w:t>
      </w:r>
      <w:r>
        <w:rPr>
          <w:rFonts w:eastAsia="Times New Roman" w:cs="Times New Roman"/>
          <w:szCs w:val="24"/>
        </w:rPr>
        <w:tab/>
      </w:r>
    </w:p>
    <w:p w14:paraId="379D956C" w14:textId="77777777" w:rsidR="00EA22A0" w:rsidRPr="00E96933" w:rsidRDefault="000F5B51" w:rsidP="0055589E">
      <w:pPr>
        <w:spacing w:after="0"/>
        <w:jc w:val="center"/>
        <w:rPr>
          <w:rFonts w:eastAsia="Times New Roman" w:cs="Times New Roman"/>
          <w:szCs w:val="24"/>
        </w:rPr>
      </w:pPr>
      <m:oMath>
        <m:r>
          <w:rPr>
            <w:rFonts w:ascii="Cambria Math" w:eastAsia="Times New Roman" w:hAnsi="Cambria Math" w:cs="Times New Roman"/>
            <w:szCs w:val="24"/>
          </w:rPr>
          <w:lastRenderedPageBreak/>
          <m:t>Potential injury=</m:t>
        </m:r>
        <m:f>
          <m:fPr>
            <m:ctrlPr>
              <w:rPr>
                <w:rFonts w:ascii="Cambria Math" w:eastAsia="Times New Roman" w:hAnsi="Cambria Math" w:cs="Times New Roman"/>
                <w:i/>
                <w:szCs w:val="24"/>
              </w:rPr>
            </m:ctrlPr>
          </m:fPr>
          <m:num>
            <m:r>
              <w:rPr>
                <w:rFonts w:ascii="Cambria Math" w:eastAsia="Times New Roman" w:hAnsi="Cambria Math" w:cs="Times New Roman"/>
                <w:szCs w:val="24"/>
              </w:rPr>
              <m:t>Observed Injury</m:t>
            </m:r>
          </m:num>
          <m:den>
            <m:r>
              <w:rPr>
                <w:rFonts w:ascii="Cambria Math" w:eastAsia="Times New Roman" w:hAnsi="Cambria Math" w:cs="Times New Roman"/>
                <w:szCs w:val="24"/>
              </w:rPr>
              <m:t>(1-seat belt effectiveness×seat belt use rate)</m:t>
            </m:r>
          </m:den>
        </m:f>
      </m:oMath>
      <w:r w:rsidR="005E2D28">
        <w:rPr>
          <w:rFonts w:eastAsia="Times New Roman" w:cs="Times New Roman"/>
          <w:szCs w:val="24"/>
        </w:rPr>
        <w:tab/>
      </w:r>
      <w:r w:rsidR="00E47DE2">
        <w:rPr>
          <w:rFonts w:eastAsia="Times New Roman" w:cs="Times New Roman"/>
          <w:szCs w:val="24"/>
        </w:rPr>
        <w:t>(</w:t>
      </w:r>
      <w:r w:rsidR="00FC7C61">
        <w:rPr>
          <w:rFonts w:eastAsia="Times New Roman" w:cs="Times New Roman"/>
          <w:szCs w:val="24"/>
        </w:rPr>
        <w:t>7</w:t>
      </w:r>
      <w:r w:rsidR="00E47DE2">
        <w:rPr>
          <w:rFonts w:eastAsia="Times New Roman" w:cs="Times New Roman"/>
          <w:szCs w:val="24"/>
        </w:rPr>
        <w:t>)</w:t>
      </w:r>
      <w:r w:rsidR="00F429F2">
        <w:rPr>
          <w:rFonts w:eastAsia="Times New Roman" w:cs="Times New Roman"/>
          <w:szCs w:val="24"/>
        </w:rPr>
        <w:t>.</w:t>
      </w:r>
    </w:p>
    <w:p w14:paraId="337A194A" w14:textId="77777777" w:rsidR="00F2041F" w:rsidRDefault="000F5B51" w:rsidP="002B3802">
      <w:pPr>
        <w:spacing w:after="0"/>
        <w:rPr>
          <w:rFonts w:eastAsia="Times New Roman" w:cs="Times New Roman"/>
          <w:szCs w:val="24"/>
        </w:rPr>
      </w:pPr>
      <w:r>
        <w:rPr>
          <w:rFonts w:eastAsia="Times New Roman" w:cs="Times New Roman"/>
          <w:szCs w:val="24"/>
        </w:rPr>
        <w:t xml:space="preserve">To better illustrate this relationship, we present an example that considers rear seat occupants </w:t>
      </w:r>
      <w:r w:rsidR="00170A42">
        <w:rPr>
          <w:rFonts w:eastAsia="Times New Roman" w:cs="Times New Roman"/>
          <w:szCs w:val="24"/>
        </w:rPr>
        <w:t xml:space="preserve">11 years </w:t>
      </w:r>
      <w:r w:rsidR="008C04B1">
        <w:rPr>
          <w:rFonts w:eastAsia="Times New Roman" w:cs="Times New Roman"/>
          <w:szCs w:val="24"/>
        </w:rPr>
        <w:t>and</w:t>
      </w:r>
      <w:r w:rsidR="00170A42">
        <w:rPr>
          <w:rFonts w:eastAsia="Times New Roman" w:cs="Times New Roman"/>
          <w:szCs w:val="24"/>
        </w:rPr>
        <w:t xml:space="preserve"> older </w:t>
      </w:r>
      <w:r w:rsidR="0093380B">
        <w:rPr>
          <w:rFonts w:eastAsia="Times New Roman" w:cs="Times New Roman"/>
          <w:szCs w:val="24"/>
        </w:rPr>
        <w:t>in</w:t>
      </w:r>
      <w:r>
        <w:rPr>
          <w:rFonts w:eastAsia="Times New Roman" w:cs="Times New Roman"/>
          <w:szCs w:val="24"/>
        </w:rPr>
        <w:t xml:space="preserve"> a passenger car who suffer minor </w:t>
      </w:r>
      <w:r w:rsidR="00A32062">
        <w:rPr>
          <w:rFonts w:eastAsia="Times New Roman" w:cs="Times New Roman"/>
          <w:szCs w:val="24"/>
        </w:rPr>
        <w:t>M</w:t>
      </w:r>
      <w:r>
        <w:rPr>
          <w:rFonts w:eastAsia="Times New Roman" w:cs="Times New Roman"/>
          <w:szCs w:val="24"/>
        </w:rPr>
        <w:t>AIS 1 in</w:t>
      </w:r>
      <w:r w:rsidR="00470390">
        <w:rPr>
          <w:rFonts w:eastAsia="Times New Roman" w:cs="Times New Roman"/>
          <w:szCs w:val="24"/>
        </w:rPr>
        <w:t>juries</w:t>
      </w:r>
      <w:r w:rsidR="001F2F92">
        <w:rPr>
          <w:rFonts w:eastAsia="Times New Roman" w:cs="Times New Roman"/>
          <w:szCs w:val="24"/>
        </w:rPr>
        <w:t xml:space="preserve">. </w:t>
      </w:r>
      <w:r w:rsidR="00470390">
        <w:rPr>
          <w:rFonts w:eastAsia="Times New Roman" w:cs="Times New Roman"/>
          <w:szCs w:val="24"/>
        </w:rPr>
        <w:t xml:space="preserve">The effectiveness rate for seat belts </w:t>
      </w:r>
      <w:r w:rsidR="00A5215E">
        <w:rPr>
          <w:rFonts w:eastAsia="Times New Roman" w:cs="Times New Roman"/>
          <w:szCs w:val="24"/>
        </w:rPr>
        <w:t>in this scenario is 0.0550 and the current seat belt usage rate is 0.75</w:t>
      </w:r>
      <w:r w:rsidR="0016566E">
        <w:rPr>
          <w:rFonts w:eastAsia="Times New Roman" w:cs="Times New Roman"/>
          <w:szCs w:val="24"/>
        </w:rPr>
        <w:t>1</w:t>
      </w:r>
      <w:r w:rsidR="00A5215E">
        <w:rPr>
          <w:rFonts w:eastAsia="Times New Roman" w:cs="Times New Roman"/>
          <w:szCs w:val="24"/>
        </w:rPr>
        <w:t>2</w:t>
      </w:r>
      <w:r w:rsidR="001F2F92">
        <w:rPr>
          <w:rFonts w:eastAsia="Times New Roman" w:cs="Times New Roman"/>
          <w:szCs w:val="24"/>
        </w:rPr>
        <w:t xml:space="preserve">. </w:t>
      </w:r>
      <w:r w:rsidR="00A5215E">
        <w:rPr>
          <w:rFonts w:eastAsia="Times New Roman" w:cs="Times New Roman"/>
          <w:szCs w:val="24"/>
        </w:rPr>
        <w:t xml:space="preserve">Lastly, in this example, there are a total of 15,111 injuries in the </w:t>
      </w:r>
      <w:r w:rsidR="00EA2BC9">
        <w:rPr>
          <w:rFonts w:eastAsia="Times New Roman" w:cs="Times New Roman"/>
          <w:szCs w:val="24"/>
        </w:rPr>
        <w:t xml:space="preserve">adjusted </w:t>
      </w:r>
      <w:r w:rsidR="00A5215E">
        <w:rPr>
          <w:rFonts w:eastAsia="Times New Roman" w:cs="Times New Roman"/>
          <w:szCs w:val="24"/>
        </w:rPr>
        <w:t>target population</w:t>
      </w:r>
      <w:r w:rsidR="001F2F92">
        <w:rPr>
          <w:rFonts w:eastAsia="Times New Roman" w:cs="Times New Roman"/>
          <w:szCs w:val="24"/>
        </w:rPr>
        <w:t xml:space="preserve">. </w:t>
      </w:r>
      <w:r w:rsidR="00FB7B5D">
        <w:rPr>
          <w:rFonts w:eastAsia="Times New Roman" w:cs="Times New Roman"/>
          <w:szCs w:val="24"/>
        </w:rPr>
        <w:t>We the</w:t>
      </w:r>
      <w:r w:rsidR="00A364E4">
        <w:rPr>
          <w:rFonts w:eastAsia="Times New Roman" w:cs="Times New Roman"/>
          <w:szCs w:val="24"/>
        </w:rPr>
        <w:t>n</w:t>
      </w:r>
      <w:r w:rsidR="00FB7B5D">
        <w:rPr>
          <w:rFonts w:eastAsia="Times New Roman" w:cs="Times New Roman"/>
          <w:szCs w:val="24"/>
        </w:rPr>
        <w:t xml:space="preserve"> r</w:t>
      </w:r>
      <w:r w:rsidR="00914BBF">
        <w:rPr>
          <w:rFonts w:eastAsia="Times New Roman" w:cs="Times New Roman"/>
          <w:szCs w:val="24"/>
        </w:rPr>
        <w:t>efle</w:t>
      </w:r>
      <w:r w:rsidR="00FB7B5D">
        <w:rPr>
          <w:rFonts w:eastAsia="Times New Roman" w:cs="Times New Roman"/>
          <w:szCs w:val="24"/>
        </w:rPr>
        <w:t>ct</w:t>
      </w:r>
      <w:r w:rsidR="00914BBF">
        <w:rPr>
          <w:rFonts w:eastAsia="Times New Roman" w:cs="Times New Roman"/>
          <w:szCs w:val="24"/>
        </w:rPr>
        <w:t xml:space="preserve"> that in equation (</w:t>
      </w:r>
      <w:r w:rsidR="00F656C6">
        <w:rPr>
          <w:rFonts w:eastAsia="Times New Roman" w:cs="Times New Roman"/>
          <w:szCs w:val="24"/>
        </w:rPr>
        <w:t>8</w:t>
      </w:r>
      <w:r>
        <w:rPr>
          <w:rFonts w:eastAsia="Times New Roman" w:cs="Times New Roman"/>
          <w:szCs w:val="24"/>
        </w:rPr>
        <w:t>)</w:t>
      </w:r>
      <w:r w:rsidR="00FB7B5D">
        <w:rPr>
          <w:rFonts w:eastAsia="Times New Roman" w:cs="Times New Roman"/>
          <w:szCs w:val="24"/>
        </w:rPr>
        <w:t>:</w:t>
      </w:r>
    </w:p>
    <w:p w14:paraId="6E29098A" w14:textId="77777777" w:rsidR="00F2041F" w:rsidRDefault="000F5B51" w:rsidP="0055589E">
      <w:pPr>
        <w:spacing w:before="240" w:after="0"/>
        <w:jc w:val="center"/>
        <w:rPr>
          <w:rFonts w:eastAsia="Times New Roman" w:cs="Times New Roman"/>
          <w:szCs w:val="24"/>
        </w:rPr>
      </w:pPr>
      <m:oMath>
        <m:r>
          <w:rPr>
            <w:rFonts w:ascii="Cambria Math" w:eastAsia="Times New Roman" w:hAnsi="Cambria Math" w:cs="Times New Roman"/>
            <w:szCs w:val="24"/>
          </w:rPr>
          <m:t>Potential Injuries=</m:t>
        </m:r>
        <m:f>
          <m:fPr>
            <m:ctrlPr>
              <w:rPr>
                <w:rFonts w:ascii="Cambria Math" w:eastAsia="Times New Roman" w:hAnsi="Cambria Math" w:cs="Times New Roman"/>
                <w:i/>
                <w:szCs w:val="24"/>
              </w:rPr>
            </m:ctrlPr>
          </m:fPr>
          <m:num>
            <m:r>
              <w:rPr>
                <w:rFonts w:ascii="Cambria Math" w:eastAsia="Times New Roman" w:hAnsi="Cambria Math" w:cs="Times New Roman"/>
                <w:szCs w:val="24"/>
              </w:rPr>
              <m:t>15,111</m:t>
            </m:r>
          </m:num>
          <m:den>
            <m:r>
              <w:rPr>
                <w:rFonts w:ascii="Cambria Math" w:eastAsia="Times New Roman" w:hAnsi="Cambria Math" w:cs="Times New Roman"/>
                <w:szCs w:val="24"/>
              </w:rPr>
              <m:t>(1-0.0550 ×0.7512)</m:t>
            </m:r>
          </m:den>
        </m:f>
      </m:oMath>
      <w:r w:rsidR="0074644D">
        <w:rPr>
          <w:rFonts w:eastAsia="Times New Roman" w:cs="Times New Roman"/>
          <w:szCs w:val="24"/>
        </w:rPr>
        <w:t xml:space="preserve"> =15,762</w:t>
      </w:r>
    </w:p>
    <w:p w14:paraId="375FF549" w14:textId="3A28BBBF" w:rsidR="00E81100" w:rsidRDefault="000F5B51" w:rsidP="008115A3">
      <w:pPr>
        <w:spacing w:after="0"/>
      </w:pPr>
      <w:r>
        <w:t xml:space="preserve">Therefore, </w:t>
      </w:r>
      <w:r w:rsidR="00E713F1">
        <w:t xml:space="preserve">in the hypothetical case that there was no seat belt use, there would be a total 15,762 MAIS 1 injuries for </w:t>
      </w:r>
      <w:r w:rsidR="00E713F1">
        <w:rPr>
          <w:rFonts w:eastAsia="Times New Roman" w:cs="Times New Roman"/>
          <w:szCs w:val="24"/>
        </w:rPr>
        <w:t>rear seat occupants 11 years and older in passenger cars</w:t>
      </w:r>
      <w:r w:rsidR="001F2F92">
        <w:rPr>
          <w:rFonts w:eastAsia="Times New Roman" w:cs="Times New Roman"/>
          <w:szCs w:val="24"/>
        </w:rPr>
        <w:t xml:space="preserve">. </w:t>
      </w:r>
      <w:r w:rsidR="00BF253F">
        <w:t>F</w:t>
      </w:r>
      <w:r w:rsidR="009E355B">
        <w:t xml:space="preserve">urthermore, </w:t>
      </w:r>
      <w:r w:rsidR="00EE136C">
        <w:t>in the context of this example</w:t>
      </w:r>
      <w:r>
        <w:t xml:space="preserve"> the number of</w:t>
      </w:r>
      <w:r w:rsidR="00533EB1">
        <w:t xml:space="preserve"> MAIS 1</w:t>
      </w:r>
      <w:r>
        <w:t xml:space="preserve"> injuries was reduced </w:t>
      </w:r>
      <w:r w:rsidR="00B6688C">
        <w:t>from 15,762 to 15,11</w:t>
      </w:r>
      <w:r w:rsidR="00E3111F">
        <w:t>1</w:t>
      </w:r>
      <w:r w:rsidR="00F95C20">
        <w:t xml:space="preserve"> under the baseline</w:t>
      </w:r>
      <w:r w:rsidR="001F2F92">
        <w:t xml:space="preserve">. </w:t>
      </w:r>
      <w:r w:rsidR="00B6688C">
        <w:t>That is, the</w:t>
      </w:r>
      <w:r w:rsidR="000C3491">
        <w:t xml:space="preserve"> seat belt use rate</w:t>
      </w:r>
      <w:r w:rsidR="00B51608">
        <w:t xml:space="preserve"> under the baseline</w:t>
      </w:r>
      <w:r w:rsidR="00B6688C">
        <w:t xml:space="preserve"> prevented a total of 651 </w:t>
      </w:r>
      <w:r w:rsidR="00533EB1">
        <w:t>M</w:t>
      </w:r>
      <w:r w:rsidR="00B51608">
        <w:t xml:space="preserve">AIS 1 </w:t>
      </w:r>
      <w:r w:rsidR="00B6688C">
        <w:t>injuries</w:t>
      </w:r>
      <w:r w:rsidR="001F2F92">
        <w:t xml:space="preserve">. </w:t>
      </w:r>
      <w:r w:rsidR="00036ABD">
        <w:t>This same procedure is used to calculate</w:t>
      </w:r>
      <w:r w:rsidR="006B7F5F">
        <w:t xml:space="preserve"> the</w:t>
      </w:r>
      <w:r w:rsidR="00036ABD">
        <w:t xml:space="preserve"> potential injuries </w:t>
      </w:r>
      <w:r w:rsidR="006B7F5F">
        <w:t>for the rear seat occupant</w:t>
      </w:r>
      <w:r w:rsidR="00111463">
        <w:t>s in the</w:t>
      </w:r>
      <w:r w:rsidR="006B7F5F">
        <w:t xml:space="preserve"> </w:t>
      </w:r>
      <w:r w:rsidR="002532EE">
        <w:t xml:space="preserve">adjusted </w:t>
      </w:r>
      <w:r w:rsidR="006B7F5F">
        <w:t xml:space="preserve">target </w:t>
      </w:r>
      <w:r w:rsidR="0056446B">
        <w:t>population for both age groups and vehicle types</w:t>
      </w:r>
      <w:r w:rsidR="006B7F5F">
        <w:t>.</w:t>
      </w:r>
    </w:p>
    <w:p w14:paraId="7751B8A0" w14:textId="32111F92" w:rsidR="00585E76" w:rsidRDefault="000F5B51">
      <w:r>
        <w:fldChar w:fldCharType="begin"/>
      </w:r>
      <w:r>
        <w:instrText xml:space="preserve"> REF _Ref126141122 \h </w:instrText>
      </w:r>
      <w:r>
        <w:fldChar w:fldCharType="separate"/>
      </w:r>
      <w:r w:rsidR="00A65CB3">
        <w:t xml:space="preserve">Table </w:t>
      </w:r>
      <w:r w:rsidR="00A65CB3">
        <w:rPr>
          <w:noProof/>
        </w:rPr>
        <w:t>42</w:t>
      </w:r>
      <w:r>
        <w:fldChar w:fldCharType="end"/>
      </w:r>
      <w:r w:rsidR="0016336D">
        <w:t xml:space="preserve"> presents the </w:t>
      </w:r>
      <w:r w:rsidR="00036ABD">
        <w:t xml:space="preserve">potential injuries </w:t>
      </w:r>
      <w:r w:rsidR="007649AB">
        <w:t xml:space="preserve">and fatalities </w:t>
      </w:r>
      <w:r w:rsidR="00036ABD">
        <w:t xml:space="preserve">for </w:t>
      </w:r>
      <w:r w:rsidR="006B7F5F">
        <w:t>rear seat occupants ages six to ten</w:t>
      </w:r>
      <w:r w:rsidR="000E0068">
        <w:t xml:space="preserve"> by vehicle type</w:t>
      </w:r>
      <w:r w:rsidR="001F2F92">
        <w:t xml:space="preserve">. </w:t>
      </w:r>
      <w:r w:rsidR="00C01108">
        <w:t xml:space="preserve">For rear seat occupants ages six to ten in passenger cars, </w:t>
      </w:r>
      <w:r w:rsidR="00A32062">
        <w:t>there</w:t>
      </w:r>
      <w:r w:rsidR="00C01108">
        <w:t xml:space="preserve"> </w:t>
      </w:r>
      <w:r w:rsidR="004C3823">
        <w:t xml:space="preserve">are </w:t>
      </w:r>
      <w:r w:rsidR="00C01108">
        <w:t xml:space="preserve">a total of </w:t>
      </w:r>
      <w:r w:rsidR="003C32B7">
        <w:t>3,71</w:t>
      </w:r>
      <w:r w:rsidR="00012166">
        <w:t>0</w:t>
      </w:r>
      <w:r w:rsidR="003C32B7">
        <w:t xml:space="preserve"> </w:t>
      </w:r>
      <w:r w:rsidR="003E5261">
        <w:t xml:space="preserve">potential </w:t>
      </w:r>
      <w:r w:rsidR="00723504">
        <w:t>MAIS 1-5</w:t>
      </w:r>
      <w:r w:rsidR="004C3823">
        <w:t xml:space="preserve"> </w:t>
      </w:r>
      <w:r w:rsidR="003C32B7">
        <w:t xml:space="preserve">injuries and 131 </w:t>
      </w:r>
      <w:r w:rsidR="004C3823">
        <w:t xml:space="preserve">potential </w:t>
      </w:r>
      <w:r w:rsidR="003C32B7">
        <w:t>fatalities</w:t>
      </w:r>
      <w:r w:rsidR="001F2F92">
        <w:t xml:space="preserve">. </w:t>
      </w:r>
      <w:r w:rsidR="0056446B">
        <w:t xml:space="preserve">For rear seat occupants </w:t>
      </w:r>
      <w:r w:rsidR="00723504">
        <w:t>ages six to ten in LTV</w:t>
      </w:r>
      <w:r w:rsidR="00F54CF8">
        <w:t>s</w:t>
      </w:r>
      <w:r w:rsidR="00723504">
        <w:t>, there</w:t>
      </w:r>
      <w:r w:rsidR="004C3823">
        <w:t xml:space="preserve"> are</w:t>
      </w:r>
      <w:r w:rsidR="00723504">
        <w:t xml:space="preserve"> a total of 4,</w:t>
      </w:r>
      <w:r w:rsidR="006D5A02">
        <w:t>32</w:t>
      </w:r>
      <w:r w:rsidR="00012166">
        <w:t>5</w:t>
      </w:r>
      <w:r w:rsidR="00723504">
        <w:t xml:space="preserve"> </w:t>
      </w:r>
      <w:r w:rsidR="003E5261">
        <w:t xml:space="preserve">potential </w:t>
      </w:r>
      <w:r w:rsidR="00723504">
        <w:t>MAIS 1-5 injuries and 1</w:t>
      </w:r>
      <w:r w:rsidR="006D5A02">
        <w:t>77</w:t>
      </w:r>
      <w:r w:rsidR="002A1B67">
        <w:t xml:space="preserve"> potential</w:t>
      </w:r>
      <w:r w:rsidR="00723504">
        <w:t xml:space="preserve"> fatalities</w:t>
      </w:r>
      <w:r w:rsidR="006D5A02">
        <w:t>. Although those potential injuries</w:t>
      </w:r>
      <w:r w:rsidR="007649AB">
        <w:t xml:space="preserve"> and fatalities</w:t>
      </w:r>
      <w:r w:rsidR="006D5A02">
        <w:t xml:space="preserve"> reflect a hypothetical case in which there is no seat belt usage, </w:t>
      </w:r>
      <w:r w:rsidR="002A1B67">
        <w:t>this analysis</w:t>
      </w:r>
      <w:r w:rsidR="006D5A02">
        <w:t xml:space="preserve"> use</w:t>
      </w:r>
      <w:r w:rsidR="003D433D">
        <w:t xml:space="preserve">s potential injuries and </w:t>
      </w:r>
      <w:r w:rsidR="00C874F1">
        <w:t>fatalities</w:t>
      </w:r>
      <w:r w:rsidR="006D5A02">
        <w:t xml:space="preserve"> t</w:t>
      </w:r>
      <w:r w:rsidR="00F8494A">
        <w:t>o calculate</w:t>
      </w:r>
      <w:r w:rsidR="00C874F1">
        <w:t xml:space="preserve"> </w:t>
      </w:r>
      <w:r w:rsidR="004672EE">
        <w:t>the fatalities and non-fatal injuries prevented under both</w:t>
      </w:r>
      <w:r w:rsidR="00786A73">
        <w:t xml:space="preserve"> the</w:t>
      </w:r>
      <w:r w:rsidR="001E7C39">
        <w:t xml:space="preserve"> proposed rule </w:t>
      </w:r>
      <w:r w:rsidR="00786A73">
        <w:t>and</w:t>
      </w:r>
      <w:r w:rsidR="001E7C39">
        <w:t xml:space="preserve"> baseline</w:t>
      </w:r>
      <w:r w:rsidR="00F8494A">
        <w:t>.</w:t>
      </w:r>
    </w:p>
    <w:p w14:paraId="3537733D" w14:textId="639D8976" w:rsidR="00435D89" w:rsidRDefault="00435D89"/>
    <w:p w14:paraId="2DAF6FCD" w14:textId="77777777" w:rsidR="00435D89" w:rsidRDefault="00435D89"/>
    <w:p w14:paraId="1524BA6E" w14:textId="4F720ACF" w:rsidR="00585E76" w:rsidRDefault="000F5B51" w:rsidP="00585E76">
      <w:pPr>
        <w:pStyle w:val="Caption"/>
      </w:pPr>
      <w:bookmarkStart w:id="232" w:name="_Ref126141122"/>
      <w:r>
        <w:lastRenderedPageBreak/>
        <w:t xml:space="preserve">Table </w:t>
      </w:r>
      <w:r w:rsidR="00115BAB">
        <w:fldChar w:fldCharType="begin"/>
      </w:r>
      <w:r>
        <w:instrText xml:space="preserve"> SEQ Table \* ARABIC </w:instrText>
      </w:r>
      <w:r w:rsidR="00115BAB">
        <w:fldChar w:fldCharType="separate"/>
      </w:r>
      <w:r w:rsidR="00A65CB3">
        <w:rPr>
          <w:noProof/>
        </w:rPr>
        <w:t>42</w:t>
      </w:r>
      <w:r w:rsidR="00115BAB">
        <w:rPr>
          <w:noProof/>
        </w:rPr>
        <w:fldChar w:fldCharType="end"/>
      </w:r>
      <w:bookmarkEnd w:id="232"/>
      <w:r>
        <w:t>:</w:t>
      </w:r>
      <w:r w:rsidR="00D9091F">
        <w:t xml:space="preserve"> </w:t>
      </w:r>
      <w:r>
        <w:t>Potential Injuries</w:t>
      </w:r>
      <w:r w:rsidR="007649AB">
        <w:t xml:space="preserve"> and Fatalities</w:t>
      </w:r>
      <w:r>
        <w:t xml:space="preserve"> for Rear Seat Occupants </w:t>
      </w:r>
      <w:r w:rsidR="00B91504">
        <w:t>Ages 6 to 10 by Vehicle Type</w:t>
      </w:r>
    </w:p>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65"/>
        <w:gridCol w:w="1410"/>
        <w:gridCol w:w="1560"/>
        <w:gridCol w:w="1260"/>
        <w:gridCol w:w="1615"/>
        <w:gridCol w:w="1265"/>
        <w:gridCol w:w="1345"/>
      </w:tblGrid>
      <w:tr w:rsidR="00A15C2C" w14:paraId="2BB5FBE8" w14:textId="77777777" w:rsidTr="0055589E">
        <w:trPr>
          <w:trHeight w:val="300"/>
          <w:jc w:val="center"/>
        </w:trPr>
        <w:tc>
          <w:tcPr>
            <w:tcW w:w="2065" w:type="dxa"/>
            <w:vMerge w:val="restart"/>
            <w:shd w:val="clear" w:color="auto" w:fill="D9D9D9" w:themeFill="background1" w:themeFillShade="D9"/>
            <w:noWrap/>
            <w:vAlign w:val="center"/>
          </w:tcPr>
          <w:p w14:paraId="3D10BB71" w14:textId="77777777" w:rsidR="00640749" w:rsidRDefault="00640749">
            <w:pPr>
              <w:spacing w:line="240" w:lineRule="auto"/>
              <w:rPr>
                <w:rFonts w:eastAsia="Times New Roman" w:cs="Times New Roman"/>
                <w:b/>
                <w:bCs/>
                <w:color w:val="000000"/>
                <w:szCs w:val="24"/>
              </w:rPr>
            </w:pPr>
          </w:p>
          <w:p w14:paraId="45F3C1B5" w14:textId="77777777" w:rsidR="00640749" w:rsidRDefault="00640749" w:rsidP="00517459">
            <w:pPr>
              <w:spacing w:after="0" w:line="240" w:lineRule="auto"/>
              <w:rPr>
                <w:rFonts w:eastAsia="Times New Roman" w:cs="Times New Roman"/>
                <w:b/>
                <w:bCs/>
                <w:color w:val="000000"/>
                <w:szCs w:val="24"/>
              </w:rPr>
            </w:pPr>
          </w:p>
          <w:p w14:paraId="335B068F" w14:textId="77777777" w:rsidR="00517459" w:rsidRDefault="00517459" w:rsidP="00517459">
            <w:pPr>
              <w:spacing w:after="0" w:line="240" w:lineRule="auto"/>
              <w:rPr>
                <w:rFonts w:eastAsia="Times New Roman" w:cs="Times New Roman"/>
                <w:b/>
                <w:bCs/>
                <w:color w:val="000000"/>
                <w:szCs w:val="24"/>
              </w:rPr>
            </w:pPr>
          </w:p>
          <w:p w14:paraId="46177291" w14:textId="77777777" w:rsidR="00517459" w:rsidRDefault="000F5B51" w:rsidP="0055589E">
            <w:pPr>
              <w:spacing w:after="0" w:line="240" w:lineRule="auto"/>
              <w:rPr>
                <w:rFonts w:eastAsia="Times New Roman" w:cs="Times New Roman"/>
                <w:b/>
                <w:bCs/>
                <w:color w:val="000000"/>
                <w:szCs w:val="24"/>
              </w:rPr>
            </w:pPr>
            <w:r>
              <w:rPr>
                <w:rFonts w:eastAsia="Times New Roman" w:cs="Times New Roman"/>
                <w:b/>
                <w:bCs/>
                <w:color w:val="000000"/>
                <w:szCs w:val="24"/>
              </w:rPr>
              <w:t>Injury Severity</w:t>
            </w:r>
          </w:p>
        </w:tc>
        <w:tc>
          <w:tcPr>
            <w:tcW w:w="4230" w:type="dxa"/>
            <w:gridSpan w:val="3"/>
            <w:shd w:val="clear" w:color="auto" w:fill="D9D9D9" w:themeFill="background1" w:themeFillShade="D9"/>
            <w:noWrap/>
            <w:vAlign w:val="center"/>
          </w:tcPr>
          <w:p w14:paraId="0C92FD9E" w14:textId="77777777" w:rsidR="00640749" w:rsidRPr="00954B78" w:rsidRDefault="000F5B51" w:rsidP="00D65C7C">
            <w:pPr>
              <w:spacing w:line="240" w:lineRule="auto"/>
              <w:jc w:val="center"/>
              <w:rPr>
                <w:rFonts w:eastAsia="Times New Roman" w:cs="Times New Roman"/>
                <w:b/>
                <w:bCs/>
                <w:color w:val="000000"/>
                <w:szCs w:val="24"/>
              </w:rPr>
            </w:pPr>
            <w:r>
              <w:rPr>
                <w:rFonts w:eastAsia="Times New Roman" w:cs="Times New Roman"/>
                <w:b/>
                <w:bCs/>
                <w:color w:val="000000"/>
                <w:szCs w:val="24"/>
              </w:rPr>
              <w:t>Target Population</w:t>
            </w:r>
          </w:p>
        </w:tc>
        <w:tc>
          <w:tcPr>
            <w:tcW w:w="1615" w:type="dxa"/>
            <w:vMerge w:val="restart"/>
            <w:shd w:val="clear" w:color="auto" w:fill="D9D9D9" w:themeFill="background1" w:themeFillShade="D9"/>
            <w:noWrap/>
            <w:vAlign w:val="center"/>
          </w:tcPr>
          <w:p w14:paraId="7E18612C" w14:textId="77777777" w:rsidR="00640749" w:rsidRPr="00954B78" w:rsidRDefault="000F5B51" w:rsidP="00D65C7C">
            <w:pPr>
              <w:spacing w:line="240" w:lineRule="auto"/>
              <w:jc w:val="center"/>
              <w:rPr>
                <w:rFonts w:eastAsia="Times New Roman" w:cs="Times New Roman"/>
                <w:b/>
                <w:bCs/>
                <w:color w:val="000000"/>
                <w:szCs w:val="24"/>
              </w:rPr>
            </w:pPr>
            <w:r>
              <w:rPr>
                <w:rFonts w:eastAsia="Times New Roman" w:cs="Times New Roman"/>
                <w:b/>
                <w:bCs/>
                <w:color w:val="000000"/>
                <w:szCs w:val="24"/>
              </w:rPr>
              <w:t>Seat Belt Effectiveness</w:t>
            </w:r>
          </w:p>
        </w:tc>
        <w:tc>
          <w:tcPr>
            <w:tcW w:w="1265" w:type="dxa"/>
            <w:vMerge w:val="restart"/>
            <w:shd w:val="clear" w:color="auto" w:fill="D9D9D9" w:themeFill="background1" w:themeFillShade="D9"/>
            <w:noWrap/>
            <w:vAlign w:val="center"/>
          </w:tcPr>
          <w:p w14:paraId="0854DFD5" w14:textId="77777777" w:rsidR="00640749" w:rsidRPr="00954B78" w:rsidRDefault="000F5B51" w:rsidP="00D65C7C">
            <w:pPr>
              <w:spacing w:line="240" w:lineRule="auto"/>
              <w:jc w:val="center"/>
              <w:rPr>
                <w:rFonts w:eastAsia="Times New Roman" w:cs="Times New Roman"/>
                <w:b/>
                <w:bCs/>
                <w:color w:val="000000"/>
                <w:szCs w:val="24"/>
              </w:rPr>
            </w:pPr>
            <w:r>
              <w:rPr>
                <w:rFonts w:eastAsia="Times New Roman" w:cs="Times New Roman"/>
                <w:b/>
                <w:bCs/>
                <w:color w:val="000000"/>
                <w:szCs w:val="24"/>
              </w:rPr>
              <w:t>Current Seat Belt Use Rate</w:t>
            </w:r>
          </w:p>
        </w:tc>
        <w:tc>
          <w:tcPr>
            <w:tcW w:w="1345" w:type="dxa"/>
            <w:vMerge w:val="restart"/>
            <w:shd w:val="clear" w:color="auto" w:fill="D9D9D9" w:themeFill="background1" w:themeFillShade="D9"/>
            <w:noWrap/>
            <w:vAlign w:val="center"/>
          </w:tcPr>
          <w:p w14:paraId="3B1B91D2" w14:textId="77777777" w:rsidR="00640749" w:rsidRPr="00954B78" w:rsidRDefault="000F5B51" w:rsidP="00D65C7C">
            <w:pPr>
              <w:spacing w:line="240" w:lineRule="auto"/>
              <w:jc w:val="center"/>
              <w:rPr>
                <w:rFonts w:eastAsia="Times New Roman" w:cs="Times New Roman"/>
                <w:b/>
                <w:bCs/>
                <w:color w:val="000000"/>
                <w:szCs w:val="24"/>
              </w:rPr>
            </w:pPr>
            <w:r w:rsidRPr="00954B78">
              <w:rPr>
                <w:rFonts w:eastAsia="Times New Roman" w:cs="Times New Roman"/>
                <w:b/>
                <w:bCs/>
                <w:color w:val="000000"/>
                <w:szCs w:val="24"/>
              </w:rPr>
              <w:t>Potential Injuries</w:t>
            </w:r>
            <w:r w:rsidR="007649AB">
              <w:rPr>
                <w:rFonts w:eastAsia="Times New Roman" w:cs="Times New Roman"/>
                <w:b/>
                <w:bCs/>
                <w:color w:val="000000"/>
                <w:szCs w:val="24"/>
              </w:rPr>
              <w:t xml:space="preserve"> and Fatalities</w:t>
            </w:r>
          </w:p>
        </w:tc>
      </w:tr>
      <w:tr w:rsidR="00A15C2C" w14:paraId="089F87C9" w14:textId="77777777" w:rsidTr="00D65C7C">
        <w:trPr>
          <w:trHeight w:val="300"/>
          <w:jc w:val="center"/>
        </w:trPr>
        <w:tc>
          <w:tcPr>
            <w:tcW w:w="2065" w:type="dxa"/>
            <w:vMerge/>
            <w:shd w:val="clear" w:color="auto" w:fill="D9D9D9" w:themeFill="background1" w:themeFillShade="D9"/>
            <w:noWrap/>
            <w:vAlign w:val="bottom"/>
          </w:tcPr>
          <w:p w14:paraId="7F8DCC38" w14:textId="77777777" w:rsidR="00640749" w:rsidRPr="00954B78" w:rsidRDefault="00640749" w:rsidP="00D65C7C">
            <w:pPr>
              <w:spacing w:line="240" w:lineRule="auto"/>
              <w:rPr>
                <w:rFonts w:eastAsia="Times New Roman" w:cs="Times New Roman"/>
                <w:b/>
                <w:bCs/>
                <w:color w:val="000000"/>
                <w:szCs w:val="24"/>
              </w:rPr>
            </w:pPr>
          </w:p>
        </w:tc>
        <w:tc>
          <w:tcPr>
            <w:tcW w:w="1410" w:type="dxa"/>
            <w:shd w:val="clear" w:color="auto" w:fill="D9D9D9" w:themeFill="background1" w:themeFillShade="D9"/>
            <w:noWrap/>
            <w:vAlign w:val="center"/>
          </w:tcPr>
          <w:p w14:paraId="7DE0717B" w14:textId="77777777" w:rsidR="00640749" w:rsidRPr="00954B78" w:rsidRDefault="000F5B51" w:rsidP="00D65C7C">
            <w:pPr>
              <w:spacing w:line="240" w:lineRule="auto"/>
              <w:jc w:val="center"/>
              <w:rPr>
                <w:rFonts w:eastAsia="Times New Roman" w:cs="Times New Roman"/>
                <w:b/>
                <w:bCs/>
                <w:color w:val="000000"/>
                <w:szCs w:val="24"/>
              </w:rPr>
            </w:pPr>
            <w:r>
              <w:rPr>
                <w:rFonts w:eastAsia="Times New Roman" w:cs="Times New Roman"/>
                <w:b/>
                <w:bCs/>
                <w:color w:val="000000"/>
                <w:szCs w:val="24"/>
              </w:rPr>
              <w:t>Restrained</w:t>
            </w:r>
          </w:p>
        </w:tc>
        <w:tc>
          <w:tcPr>
            <w:tcW w:w="1560" w:type="dxa"/>
            <w:shd w:val="clear" w:color="auto" w:fill="D9D9D9" w:themeFill="background1" w:themeFillShade="D9"/>
            <w:noWrap/>
            <w:vAlign w:val="center"/>
          </w:tcPr>
          <w:p w14:paraId="266E86AD" w14:textId="77777777" w:rsidR="00640749" w:rsidRPr="00012598" w:rsidRDefault="000F5B51" w:rsidP="00D65C7C">
            <w:pPr>
              <w:spacing w:line="240" w:lineRule="auto"/>
              <w:jc w:val="center"/>
              <w:rPr>
                <w:rFonts w:eastAsia="Times New Roman" w:cs="Times New Roman"/>
                <w:b/>
                <w:bCs/>
                <w:color w:val="000000"/>
                <w:sz w:val="23"/>
                <w:szCs w:val="23"/>
              </w:rPr>
            </w:pPr>
            <w:r w:rsidRPr="00012598">
              <w:rPr>
                <w:rFonts w:eastAsia="Times New Roman" w:cs="Times New Roman"/>
                <w:b/>
                <w:bCs/>
                <w:color w:val="000000"/>
                <w:sz w:val="23"/>
                <w:szCs w:val="23"/>
              </w:rPr>
              <w:t>Unrestrained</w:t>
            </w:r>
          </w:p>
        </w:tc>
        <w:tc>
          <w:tcPr>
            <w:tcW w:w="1260" w:type="dxa"/>
            <w:shd w:val="clear" w:color="auto" w:fill="D9D9D9" w:themeFill="background1" w:themeFillShade="D9"/>
            <w:noWrap/>
            <w:vAlign w:val="center"/>
          </w:tcPr>
          <w:p w14:paraId="79317296" w14:textId="77777777" w:rsidR="00640749" w:rsidRPr="00954B78" w:rsidRDefault="000F5B51" w:rsidP="00D65C7C">
            <w:pPr>
              <w:spacing w:line="240" w:lineRule="auto"/>
              <w:jc w:val="center"/>
              <w:rPr>
                <w:rFonts w:eastAsia="Times New Roman" w:cs="Times New Roman"/>
                <w:b/>
                <w:bCs/>
                <w:color w:val="000000"/>
                <w:szCs w:val="24"/>
              </w:rPr>
            </w:pPr>
            <w:r>
              <w:rPr>
                <w:rFonts w:eastAsia="Times New Roman" w:cs="Times New Roman"/>
                <w:b/>
                <w:bCs/>
                <w:color w:val="000000"/>
                <w:szCs w:val="24"/>
              </w:rPr>
              <w:t xml:space="preserve">Total </w:t>
            </w:r>
          </w:p>
        </w:tc>
        <w:tc>
          <w:tcPr>
            <w:tcW w:w="1615" w:type="dxa"/>
            <w:vMerge/>
            <w:shd w:val="clear" w:color="auto" w:fill="D9D9D9" w:themeFill="background1" w:themeFillShade="D9"/>
            <w:noWrap/>
            <w:vAlign w:val="center"/>
          </w:tcPr>
          <w:p w14:paraId="7905D93A" w14:textId="77777777" w:rsidR="00640749" w:rsidRPr="00954B78" w:rsidRDefault="00640749" w:rsidP="00D65C7C">
            <w:pPr>
              <w:spacing w:line="240" w:lineRule="auto"/>
              <w:jc w:val="center"/>
              <w:rPr>
                <w:rFonts w:eastAsia="Times New Roman" w:cs="Times New Roman"/>
                <w:b/>
                <w:bCs/>
                <w:color w:val="000000"/>
                <w:szCs w:val="24"/>
              </w:rPr>
            </w:pPr>
          </w:p>
        </w:tc>
        <w:tc>
          <w:tcPr>
            <w:tcW w:w="1265" w:type="dxa"/>
            <w:vMerge/>
            <w:shd w:val="clear" w:color="auto" w:fill="D9D9D9" w:themeFill="background1" w:themeFillShade="D9"/>
            <w:noWrap/>
            <w:vAlign w:val="center"/>
          </w:tcPr>
          <w:p w14:paraId="706B8645" w14:textId="77777777" w:rsidR="00640749" w:rsidRPr="00954B78" w:rsidRDefault="00640749" w:rsidP="00D65C7C">
            <w:pPr>
              <w:spacing w:line="240" w:lineRule="auto"/>
              <w:jc w:val="center"/>
              <w:rPr>
                <w:rFonts w:eastAsia="Times New Roman" w:cs="Times New Roman"/>
                <w:b/>
                <w:bCs/>
                <w:color w:val="000000"/>
                <w:szCs w:val="24"/>
              </w:rPr>
            </w:pPr>
          </w:p>
        </w:tc>
        <w:tc>
          <w:tcPr>
            <w:tcW w:w="1345" w:type="dxa"/>
            <w:vMerge/>
            <w:shd w:val="clear" w:color="auto" w:fill="D9D9D9" w:themeFill="background1" w:themeFillShade="D9"/>
            <w:noWrap/>
            <w:vAlign w:val="center"/>
          </w:tcPr>
          <w:p w14:paraId="680AFD2D" w14:textId="77777777" w:rsidR="00640749" w:rsidRPr="00954B78" w:rsidRDefault="00640749" w:rsidP="00D65C7C">
            <w:pPr>
              <w:spacing w:line="240" w:lineRule="auto"/>
              <w:jc w:val="center"/>
              <w:rPr>
                <w:rFonts w:eastAsia="Times New Roman" w:cs="Times New Roman"/>
                <w:b/>
                <w:bCs/>
                <w:color w:val="000000"/>
                <w:szCs w:val="24"/>
              </w:rPr>
            </w:pPr>
          </w:p>
        </w:tc>
      </w:tr>
      <w:tr w:rsidR="00A15C2C" w14:paraId="1875D1F1" w14:textId="77777777" w:rsidTr="00D65C7C">
        <w:trPr>
          <w:trHeight w:val="20"/>
          <w:jc w:val="center"/>
        </w:trPr>
        <w:tc>
          <w:tcPr>
            <w:tcW w:w="10520" w:type="dxa"/>
            <w:gridSpan w:val="7"/>
            <w:shd w:val="clear" w:color="auto" w:fill="D9D9D9" w:themeFill="background1" w:themeFillShade="D9"/>
            <w:noWrap/>
            <w:vAlign w:val="center"/>
            <w:hideMark/>
          </w:tcPr>
          <w:p w14:paraId="6B28D4BA" w14:textId="77777777" w:rsidR="00640749" w:rsidRPr="00012598" w:rsidRDefault="000F5B51" w:rsidP="00D65C7C">
            <w:pPr>
              <w:spacing w:after="0" w:line="240" w:lineRule="auto"/>
              <w:ind w:firstLineChars="100" w:firstLine="241"/>
              <w:jc w:val="center"/>
              <w:rPr>
                <w:rFonts w:eastAsia="Times New Roman" w:cs="Times New Roman"/>
                <w:b/>
                <w:bCs/>
                <w:i/>
                <w:iCs/>
                <w:color w:val="000000"/>
                <w:szCs w:val="24"/>
              </w:rPr>
            </w:pPr>
            <w:r w:rsidRPr="00012598">
              <w:rPr>
                <w:rFonts w:eastAsia="Times New Roman" w:cs="Times New Roman"/>
                <w:b/>
                <w:bCs/>
                <w:i/>
                <w:iCs/>
                <w:color w:val="000000"/>
                <w:szCs w:val="24"/>
              </w:rPr>
              <w:t>Passenger Car</w:t>
            </w:r>
          </w:p>
        </w:tc>
      </w:tr>
      <w:tr w:rsidR="00A15C2C" w14:paraId="16E61CFE" w14:textId="77777777" w:rsidTr="0055589E">
        <w:trPr>
          <w:trHeight w:val="300"/>
          <w:jc w:val="center"/>
        </w:trPr>
        <w:tc>
          <w:tcPr>
            <w:tcW w:w="2065" w:type="dxa"/>
            <w:shd w:val="clear" w:color="auto" w:fill="auto"/>
            <w:noWrap/>
            <w:vAlign w:val="bottom"/>
          </w:tcPr>
          <w:p w14:paraId="7B03D374" w14:textId="77777777" w:rsidR="009B7E2A" w:rsidRPr="00954B78" w:rsidRDefault="000F5B51" w:rsidP="009B7E2A">
            <w:pPr>
              <w:spacing w:after="0" w:line="240" w:lineRule="auto"/>
              <w:rPr>
                <w:rFonts w:eastAsia="Times New Roman" w:cs="Times New Roman"/>
                <w:color w:val="000000"/>
                <w:szCs w:val="24"/>
              </w:rPr>
            </w:pPr>
            <w:r>
              <w:rPr>
                <w:rFonts w:eastAsia="Times New Roman" w:cs="Times New Roman"/>
                <w:color w:val="000000"/>
                <w:szCs w:val="24"/>
              </w:rPr>
              <w:t>MAIS 1</w:t>
            </w:r>
          </w:p>
        </w:tc>
        <w:tc>
          <w:tcPr>
            <w:tcW w:w="1410" w:type="dxa"/>
            <w:shd w:val="clear" w:color="auto" w:fill="auto"/>
            <w:noWrap/>
            <w:vAlign w:val="center"/>
          </w:tcPr>
          <w:p w14:paraId="5CD3FF3A" w14:textId="77777777" w:rsidR="009B7E2A" w:rsidRPr="00954B78" w:rsidRDefault="000F5B51" w:rsidP="009B7E2A">
            <w:pPr>
              <w:spacing w:after="0" w:line="240" w:lineRule="auto"/>
              <w:jc w:val="center"/>
              <w:rPr>
                <w:rFonts w:eastAsia="Times New Roman" w:cs="Times New Roman"/>
                <w:color w:val="000000"/>
                <w:szCs w:val="24"/>
              </w:rPr>
            </w:pPr>
            <w:r w:rsidRPr="00954B78">
              <w:rPr>
                <w:rFonts w:cs="Times New Roman"/>
                <w:color w:val="000000"/>
                <w:szCs w:val="24"/>
              </w:rPr>
              <w:t>2,198</w:t>
            </w:r>
          </w:p>
        </w:tc>
        <w:tc>
          <w:tcPr>
            <w:tcW w:w="1560" w:type="dxa"/>
            <w:shd w:val="clear" w:color="auto" w:fill="auto"/>
            <w:noWrap/>
            <w:vAlign w:val="center"/>
          </w:tcPr>
          <w:p w14:paraId="4BF33819" w14:textId="77777777" w:rsidR="009B7E2A" w:rsidRPr="00954B78" w:rsidRDefault="000F5B51" w:rsidP="009B7E2A">
            <w:pPr>
              <w:spacing w:after="0" w:line="240" w:lineRule="auto"/>
              <w:jc w:val="center"/>
              <w:rPr>
                <w:rFonts w:eastAsia="Times New Roman" w:cs="Times New Roman"/>
                <w:color w:val="000000"/>
                <w:szCs w:val="24"/>
              </w:rPr>
            </w:pPr>
            <w:r w:rsidRPr="00954B78">
              <w:rPr>
                <w:rFonts w:cs="Times New Roman"/>
                <w:color w:val="000000"/>
                <w:szCs w:val="24"/>
              </w:rPr>
              <w:t>807</w:t>
            </w:r>
          </w:p>
        </w:tc>
        <w:tc>
          <w:tcPr>
            <w:tcW w:w="1260" w:type="dxa"/>
            <w:shd w:val="clear" w:color="auto" w:fill="auto"/>
            <w:noWrap/>
            <w:vAlign w:val="center"/>
          </w:tcPr>
          <w:p w14:paraId="4CBC03BA" w14:textId="77777777" w:rsidR="009B7E2A" w:rsidRPr="00954B78" w:rsidRDefault="000F5B51" w:rsidP="009B7E2A">
            <w:pPr>
              <w:spacing w:after="0" w:line="240" w:lineRule="auto"/>
              <w:jc w:val="center"/>
              <w:rPr>
                <w:rFonts w:eastAsia="Times New Roman" w:cs="Times New Roman"/>
                <w:color w:val="000000"/>
                <w:szCs w:val="24"/>
              </w:rPr>
            </w:pPr>
            <w:r w:rsidRPr="00954B78">
              <w:rPr>
                <w:rFonts w:cs="Times New Roman"/>
                <w:color w:val="000000"/>
                <w:szCs w:val="24"/>
              </w:rPr>
              <w:t>3,005</w:t>
            </w:r>
          </w:p>
        </w:tc>
        <w:tc>
          <w:tcPr>
            <w:tcW w:w="1615" w:type="dxa"/>
            <w:shd w:val="clear" w:color="auto" w:fill="auto"/>
            <w:noWrap/>
            <w:vAlign w:val="center"/>
          </w:tcPr>
          <w:p w14:paraId="63E7DEF2" w14:textId="77777777" w:rsidR="009B7E2A" w:rsidRPr="00954B78" w:rsidRDefault="000F5B51" w:rsidP="009B7E2A">
            <w:pPr>
              <w:spacing w:after="0" w:line="240" w:lineRule="auto"/>
              <w:jc w:val="center"/>
              <w:rPr>
                <w:rFonts w:eastAsia="Times New Roman" w:cs="Times New Roman"/>
                <w:color w:val="000000"/>
                <w:szCs w:val="24"/>
              </w:rPr>
            </w:pPr>
            <w:r w:rsidRPr="00954B78">
              <w:rPr>
                <w:rFonts w:cs="Times New Roman"/>
                <w:color w:val="000000"/>
                <w:szCs w:val="24"/>
              </w:rPr>
              <w:t>0.055</w:t>
            </w:r>
          </w:p>
        </w:tc>
        <w:tc>
          <w:tcPr>
            <w:tcW w:w="1265" w:type="dxa"/>
            <w:shd w:val="clear" w:color="auto" w:fill="auto"/>
            <w:noWrap/>
            <w:vAlign w:val="center"/>
          </w:tcPr>
          <w:p w14:paraId="5160C4BA" w14:textId="77777777" w:rsidR="009B7E2A" w:rsidRPr="00954B78" w:rsidRDefault="000F5B51" w:rsidP="009B7E2A">
            <w:pPr>
              <w:spacing w:after="0" w:line="240" w:lineRule="auto"/>
              <w:jc w:val="center"/>
              <w:rPr>
                <w:rFonts w:eastAsia="Times New Roman" w:cs="Times New Roman"/>
                <w:color w:val="000000"/>
                <w:szCs w:val="24"/>
              </w:rPr>
            </w:pPr>
            <w:r>
              <w:rPr>
                <w:rFonts w:cs="Times New Roman"/>
                <w:color w:val="000000"/>
                <w:szCs w:val="24"/>
              </w:rPr>
              <w:t>0.98</w:t>
            </w:r>
            <w:r w:rsidR="00C53AEE">
              <w:rPr>
                <w:rFonts w:cs="Times New Roman"/>
                <w:color w:val="000000"/>
                <w:szCs w:val="24"/>
              </w:rPr>
              <w:t>00</w:t>
            </w:r>
          </w:p>
        </w:tc>
        <w:tc>
          <w:tcPr>
            <w:tcW w:w="1345" w:type="dxa"/>
            <w:shd w:val="clear" w:color="auto" w:fill="auto"/>
            <w:noWrap/>
            <w:vAlign w:val="center"/>
          </w:tcPr>
          <w:p w14:paraId="0867F31C" w14:textId="77777777" w:rsidR="009B7E2A" w:rsidRPr="00954B78" w:rsidRDefault="000F5B51" w:rsidP="009B7E2A">
            <w:pPr>
              <w:spacing w:after="0" w:line="240" w:lineRule="auto"/>
              <w:jc w:val="center"/>
              <w:rPr>
                <w:rFonts w:eastAsia="Times New Roman" w:cs="Times New Roman"/>
                <w:color w:val="000000"/>
                <w:szCs w:val="24"/>
              </w:rPr>
            </w:pPr>
            <w:r w:rsidRPr="00954B78">
              <w:rPr>
                <w:rFonts w:cs="Times New Roman"/>
                <w:color w:val="000000"/>
                <w:szCs w:val="24"/>
              </w:rPr>
              <w:t>3,176</w:t>
            </w:r>
          </w:p>
        </w:tc>
      </w:tr>
      <w:tr w:rsidR="00A15C2C" w14:paraId="3B393752" w14:textId="77777777" w:rsidTr="0055589E">
        <w:trPr>
          <w:trHeight w:val="300"/>
          <w:jc w:val="center"/>
        </w:trPr>
        <w:tc>
          <w:tcPr>
            <w:tcW w:w="2065" w:type="dxa"/>
            <w:shd w:val="clear" w:color="auto" w:fill="auto"/>
            <w:noWrap/>
          </w:tcPr>
          <w:p w14:paraId="14F2E902" w14:textId="77777777" w:rsidR="002F1263" w:rsidRPr="00954B78" w:rsidRDefault="000F5B51" w:rsidP="002F1263">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2</w:t>
            </w:r>
          </w:p>
        </w:tc>
        <w:tc>
          <w:tcPr>
            <w:tcW w:w="1410" w:type="dxa"/>
            <w:shd w:val="clear" w:color="auto" w:fill="auto"/>
            <w:noWrap/>
            <w:vAlign w:val="center"/>
          </w:tcPr>
          <w:p w14:paraId="45E1B610" w14:textId="77777777" w:rsidR="002F1263" w:rsidRPr="00954B78" w:rsidRDefault="000F5B51" w:rsidP="002F1263">
            <w:pPr>
              <w:spacing w:after="0" w:line="240" w:lineRule="auto"/>
              <w:jc w:val="center"/>
              <w:rPr>
                <w:rFonts w:eastAsia="Times New Roman" w:cs="Times New Roman"/>
                <w:color w:val="000000"/>
                <w:szCs w:val="24"/>
              </w:rPr>
            </w:pPr>
            <w:r w:rsidRPr="00954B78">
              <w:rPr>
                <w:rFonts w:cs="Times New Roman"/>
                <w:color w:val="000000"/>
                <w:szCs w:val="24"/>
              </w:rPr>
              <w:t>134</w:t>
            </w:r>
          </w:p>
        </w:tc>
        <w:tc>
          <w:tcPr>
            <w:tcW w:w="1560" w:type="dxa"/>
            <w:shd w:val="clear" w:color="auto" w:fill="auto"/>
            <w:noWrap/>
            <w:vAlign w:val="center"/>
          </w:tcPr>
          <w:p w14:paraId="7F125076" w14:textId="77777777" w:rsidR="002F1263" w:rsidRPr="00954B78" w:rsidRDefault="000F5B51" w:rsidP="002F1263">
            <w:pPr>
              <w:spacing w:after="0" w:line="240" w:lineRule="auto"/>
              <w:jc w:val="center"/>
              <w:rPr>
                <w:rFonts w:eastAsia="Times New Roman" w:cs="Times New Roman"/>
                <w:color w:val="000000"/>
                <w:szCs w:val="24"/>
              </w:rPr>
            </w:pPr>
            <w:r w:rsidRPr="00954B78">
              <w:rPr>
                <w:rFonts w:cs="Times New Roman"/>
                <w:color w:val="000000"/>
                <w:szCs w:val="24"/>
              </w:rPr>
              <w:t>4</w:t>
            </w:r>
          </w:p>
        </w:tc>
        <w:tc>
          <w:tcPr>
            <w:tcW w:w="1260" w:type="dxa"/>
            <w:shd w:val="clear" w:color="auto" w:fill="auto"/>
            <w:noWrap/>
            <w:vAlign w:val="center"/>
          </w:tcPr>
          <w:p w14:paraId="7CA5B819" w14:textId="77777777" w:rsidR="002F1263" w:rsidRPr="00954B78" w:rsidRDefault="000F5B51" w:rsidP="002F1263">
            <w:pPr>
              <w:spacing w:after="0" w:line="240" w:lineRule="auto"/>
              <w:jc w:val="center"/>
              <w:rPr>
                <w:rFonts w:eastAsia="Times New Roman" w:cs="Times New Roman"/>
                <w:color w:val="000000"/>
                <w:szCs w:val="24"/>
              </w:rPr>
            </w:pPr>
            <w:r w:rsidRPr="00954B78">
              <w:rPr>
                <w:rFonts w:cs="Times New Roman"/>
                <w:color w:val="000000"/>
                <w:szCs w:val="24"/>
              </w:rPr>
              <w:t>139</w:t>
            </w:r>
          </w:p>
        </w:tc>
        <w:tc>
          <w:tcPr>
            <w:tcW w:w="1615" w:type="dxa"/>
            <w:shd w:val="clear" w:color="auto" w:fill="auto"/>
            <w:noWrap/>
            <w:vAlign w:val="center"/>
          </w:tcPr>
          <w:p w14:paraId="7C949362" w14:textId="77777777" w:rsidR="002F1263" w:rsidRPr="00954B78" w:rsidRDefault="000F5B51" w:rsidP="002F1263">
            <w:pPr>
              <w:spacing w:after="0" w:line="240" w:lineRule="auto"/>
              <w:jc w:val="center"/>
              <w:rPr>
                <w:rFonts w:eastAsia="Times New Roman" w:cs="Times New Roman"/>
                <w:color w:val="000000"/>
                <w:szCs w:val="24"/>
              </w:rPr>
            </w:pPr>
            <w:r w:rsidRPr="00954B78">
              <w:rPr>
                <w:rFonts w:cs="Times New Roman"/>
                <w:color w:val="000000"/>
                <w:szCs w:val="24"/>
              </w:rPr>
              <w:t>0.625</w:t>
            </w:r>
          </w:p>
        </w:tc>
        <w:tc>
          <w:tcPr>
            <w:tcW w:w="1265" w:type="dxa"/>
            <w:shd w:val="clear" w:color="auto" w:fill="auto"/>
            <w:noWrap/>
          </w:tcPr>
          <w:p w14:paraId="6AE723FD" w14:textId="77777777" w:rsidR="002F1263" w:rsidRPr="00954B78" w:rsidRDefault="000F5B51" w:rsidP="002F1263">
            <w:pPr>
              <w:spacing w:after="0" w:line="240" w:lineRule="auto"/>
              <w:jc w:val="center"/>
              <w:rPr>
                <w:rFonts w:eastAsia="Times New Roman" w:cs="Times New Roman"/>
                <w:color w:val="000000"/>
                <w:szCs w:val="24"/>
              </w:rPr>
            </w:pPr>
            <w:r w:rsidRPr="00E029DD">
              <w:rPr>
                <w:rFonts w:cs="Times New Roman"/>
                <w:color w:val="000000"/>
                <w:szCs w:val="24"/>
              </w:rPr>
              <w:t>0.98</w:t>
            </w:r>
            <w:r w:rsidR="00C53AEE">
              <w:rPr>
                <w:rFonts w:cs="Times New Roman"/>
                <w:color w:val="000000"/>
                <w:szCs w:val="24"/>
              </w:rPr>
              <w:t>00</w:t>
            </w:r>
          </w:p>
        </w:tc>
        <w:tc>
          <w:tcPr>
            <w:tcW w:w="1345" w:type="dxa"/>
            <w:shd w:val="clear" w:color="auto" w:fill="auto"/>
            <w:noWrap/>
            <w:vAlign w:val="center"/>
          </w:tcPr>
          <w:p w14:paraId="405C97D2" w14:textId="51B81EE8" w:rsidR="002F1263" w:rsidRPr="00954B78" w:rsidRDefault="000F5B51" w:rsidP="002F1263">
            <w:pPr>
              <w:spacing w:after="0" w:line="240" w:lineRule="auto"/>
              <w:jc w:val="center"/>
              <w:rPr>
                <w:rFonts w:eastAsia="Times New Roman" w:cs="Times New Roman"/>
                <w:color w:val="000000"/>
                <w:szCs w:val="24"/>
              </w:rPr>
            </w:pPr>
            <w:r w:rsidRPr="00954B78">
              <w:rPr>
                <w:rFonts w:cs="Times New Roman"/>
                <w:color w:val="000000"/>
                <w:szCs w:val="24"/>
              </w:rPr>
              <w:t>3</w:t>
            </w:r>
            <w:r w:rsidR="00060DA5">
              <w:rPr>
                <w:rFonts w:cs="Times New Roman"/>
                <w:color w:val="000000"/>
                <w:szCs w:val="24"/>
              </w:rPr>
              <w:t>57</w:t>
            </w:r>
          </w:p>
        </w:tc>
      </w:tr>
      <w:tr w:rsidR="00A15C2C" w14:paraId="0BE712B0" w14:textId="77777777" w:rsidTr="0055589E">
        <w:trPr>
          <w:trHeight w:val="300"/>
          <w:jc w:val="center"/>
        </w:trPr>
        <w:tc>
          <w:tcPr>
            <w:tcW w:w="2065" w:type="dxa"/>
            <w:shd w:val="clear" w:color="auto" w:fill="auto"/>
            <w:noWrap/>
          </w:tcPr>
          <w:p w14:paraId="1D0C0B13" w14:textId="77777777" w:rsidR="002F1263" w:rsidRPr="00954B78" w:rsidRDefault="000F5B51" w:rsidP="002F1263">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3</w:t>
            </w:r>
          </w:p>
        </w:tc>
        <w:tc>
          <w:tcPr>
            <w:tcW w:w="1410" w:type="dxa"/>
            <w:shd w:val="clear" w:color="auto" w:fill="auto"/>
            <w:noWrap/>
            <w:vAlign w:val="center"/>
          </w:tcPr>
          <w:p w14:paraId="721199E9" w14:textId="77777777" w:rsidR="002F1263" w:rsidRPr="00954B78" w:rsidRDefault="000F5B51" w:rsidP="002F1263">
            <w:pPr>
              <w:spacing w:after="0" w:line="240" w:lineRule="auto"/>
              <w:jc w:val="center"/>
              <w:rPr>
                <w:rFonts w:eastAsia="Times New Roman" w:cs="Times New Roman"/>
                <w:color w:val="000000"/>
                <w:szCs w:val="24"/>
              </w:rPr>
            </w:pPr>
            <w:r w:rsidRPr="00954B78">
              <w:rPr>
                <w:rFonts w:cs="Times New Roman"/>
                <w:color w:val="000000"/>
                <w:szCs w:val="24"/>
              </w:rPr>
              <w:t>35</w:t>
            </w:r>
          </w:p>
        </w:tc>
        <w:tc>
          <w:tcPr>
            <w:tcW w:w="1560" w:type="dxa"/>
            <w:shd w:val="clear" w:color="auto" w:fill="auto"/>
            <w:noWrap/>
            <w:vAlign w:val="center"/>
          </w:tcPr>
          <w:p w14:paraId="284A80D3" w14:textId="77777777" w:rsidR="002F1263" w:rsidRPr="00954B78" w:rsidRDefault="000F5B51" w:rsidP="002F1263">
            <w:pPr>
              <w:spacing w:after="0" w:line="240" w:lineRule="auto"/>
              <w:jc w:val="center"/>
              <w:rPr>
                <w:rFonts w:eastAsia="Times New Roman" w:cs="Times New Roman"/>
                <w:color w:val="000000"/>
                <w:szCs w:val="24"/>
              </w:rPr>
            </w:pPr>
            <w:r w:rsidRPr="00954B78">
              <w:rPr>
                <w:rFonts w:cs="Times New Roman"/>
                <w:color w:val="000000"/>
                <w:szCs w:val="24"/>
              </w:rPr>
              <w:t>19</w:t>
            </w:r>
          </w:p>
        </w:tc>
        <w:tc>
          <w:tcPr>
            <w:tcW w:w="1260" w:type="dxa"/>
            <w:shd w:val="clear" w:color="auto" w:fill="auto"/>
            <w:noWrap/>
            <w:vAlign w:val="center"/>
          </w:tcPr>
          <w:p w14:paraId="4D3CD7D2" w14:textId="77777777" w:rsidR="002F1263" w:rsidRPr="00954B78" w:rsidRDefault="000F5B51" w:rsidP="002F1263">
            <w:pPr>
              <w:spacing w:after="0" w:line="240" w:lineRule="auto"/>
              <w:jc w:val="center"/>
              <w:rPr>
                <w:rFonts w:eastAsia="Times New Roman" w:cs="Times New Roman"/>
                <w:color w:val="000000"/>
                <w:szCs w:val="24"/>
              </w:rPr>
            </w:pPr>
            <w:r w:rsidRPr="00954B78">
              <w:rPr>
                <w:rFonts w:cs="Times New Roman"/>
                <w:color w:val="000000"/>
                <w:szCs w:val="24"/>
              </w:rPr>
              <w:t>54</w:t>
            </w:r>
          </w:p>
        </w:tc>
        <w:tc>
          <w:tcPr>
            <w:tcW w:w="1615" w:type="dxa"/>
            <w:shd w:val="clear" w:color="auto" w:fill="auto"/>
            <w:noWrap/>
            <w:vAlign w:val="center"/>
          </w:tcPr>
          <w:p w14:paraId="323083D5" w14:textId="77777777" w:rsidR="002F1263" w:rsidRPr="00954B78" w:rsidRDefault="000F5B51" w:rsidP="002F1263">
            <w:pPr>
              <w:spacing w:after="0" w:line="240" w:lineRule="auto"/>
              <w:jc w:val="center"/>
              <w:rPr>
                <w:rFonts w:eastAsia="Times New Roman" w:cs="Times New Roman"/>
                <w:color w:val="000000"/>
                <w:szCs w:val="24"/>
              </w:rPr>
            </w:pPr>
            <w:r w:rsidRPr="00954B78">
              <w:rPr>
                <w:rFonts w:cs="Times New Roman"/>
                <w:color w:val="000000"/>
                <w:szCs w:val="24"/>
              </w:rPr>
              <w:t>0.625</w:t>
            </w:r>
          </w:p>
        </w:tc>
        <w:tc>
          <w:tcPr>
            <w:tcW w:w="1265" w:type="dxa"/>
            <w:shd w:val="clear" w:color="auto" w:fill="auto"/>
            <w:noWrap/>
          </w:tcPr>
          <w:p w14:paraId="0A3E557A" w14:textId="77777777" w:rsidR="002F1263" w:rsidRPr="00954B78" w:rsidRDefault="000F5B51" w:rsidP="002F1263">
            <w:pPr>
              <w:spacing w:after="0" w:line="240" w:lineRule="auto"/>
              <w:jc w:val="center"/>
              <w:rPr>
                <w:rFonts w:eastAsia="Times New Roman" w:cs="Times New Roman"/>
                <w:color w:val="000000"/>
                <w:szCs w:val="24"/>
              </w:rPr>
            </w:pPr>
            <w:r w:rsidRPr="00E029DD">
              <w:rPr>
                <w:rFonts w:cs="Times New Roman"/>
                <w:color w:val="000000"/>
                <w:szCs w:val="24"/>
              </w:rPr>
              <w:t>0.9</w:t>
            </w:r>
            <w:r w:rsidR="00444687">
              <w:rPr>
                <w:rFonts w:cs="Times New Roman"/>
                <w:color w:val="000000"/>
                <w:szCs w:val="24"/>
              </w:rPr>
              <w:t>8</w:t>
            </w:r>
            <w:r w:rsidR="00C53AEE">
              <w:rPr>
                <w:rFonts w:cs="Times New Roman"/>
                <w:color w:val="000000"/>
                <w:szCs w:val="24"/>
              </w:rPr>
              <w:t>00</w:t>
            </w:r>
          </w:p>
        </w:tc>
        <w:tc>
          <w:tcPr>
            <w:tcW w:w="1345" w:type="dxa"/>
            <w:shd w:val="clear" w:color="auto" w:fill="auto"/>
            <w:noWrap/>
            <w:vAlign w:val="center"/>
          </w:tcPr>
          <w:p w14:paraId="1461EDA8" w14:textId="1F868386" w:rsidR="002F1263" w:rsidRPr="00954B78" w:rsidRDefault="000F5B51" w:rsidP="002F1263">
            <w:pPr>
              <w:spacing w:after="0" w:line="240" w:lineRule="auto"/>
              <w:jc w:val="center"/>
              <w:rPr>
                <w:rFonts w:eastAsia="Times New Roman" w:cs="Times New Roman"/>
                <w:color w:val="000000"/>
                <w:szCs w:val="24"/>
              </w:rPr>
            </w:pPr>
            <w:r w:rsidRPr="00954B78">
              <w:rPr>
                <w:rFonts w:cs="Times New Roman"/>
                <w:color w:val="000000"/>
                <w:szCs w:val="24"/>
              </w:rPr>
              <w:t>1</w:t>
            </w:r>
            <w:r w:rsidR="00060DA5">
              <w:rPr>
                <w:rFonts w:cs="Times New Roman"/>
                <w:color w:val="000000"/>
                <w:szCs w:val="24"/>
              </w:rPr>
              <w:t>38</w:t>
            </w:r>
          </w:p>
        </w:tc>
      </w:tr>
      <w:tr w:rsidR="00A15C2C" w14:paraId="42F2FB41" w14:textId="77777777" w:rsidTr="0055589E">
        <w:trPr>
          <w:trHeight w:val="300"/>
          <w:jc w:val="center"/>
        </w:trPr>
        <w:tc>
          <w:tcPr>
            <w:tcW w:w="2065" w:type="dxa"/>
            <w:shd w:val="clear" w:color="auto" w:fill="auto"/>
            <w:noWrap/>
          </w:tcPr>
          <w:p w14:paraId="3AC49672" w14:textId="77777777" w:rsidR="002F1263" w:rsidRPr="00954B78" w:rsidRDefault="000F5B51" w:rsidP="002F1263">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4</w:t>
            </w:r>
          </w:p>
        </w:tc>
        <w:tc>
          <w:tcPr>
            <w:tcW w:w="1410" w:type="dxa"/>
            <w:shd w:val="clear" w:color="auto" w:fill="auto"/>
            <w:noWrap/>
            <w:vAlign w:val="center"/>
          </w:tcPr>
          <w:p w14:paraId="22CC6936" w14:textId="77777777" w:rsidR="002F1263" w:rsidRPr="00954B78" w:rsidRDefault="000F5B51" w:rsidP="002F1263">
            <w:pPr>
              <w:spacing w:after="0" w:line="240" w:lineRule="auto"/>
              <w:jc w:val="center"/>
              <w:rPr>
                <w:rFonts w:eastAsia="Times New Roman" w:cs="Times New Roman"/>
                <w:color w:val="000000"/>
                <w:szCs w:val="24"/>
              </w:rPr>
            </w:pPr>
            <w:r w:rsidRPr="00954B78">
              <w:rPr>
                <w:rFonts w:cs="Times New Roman"/>
                <w:color w:val="000000"/>
                <w:szCs w:val="24"/>
              </w:rPr>
              <w:t>4</w:t>
            </w:r>
          </w:p>
        </w:tc>
        <w:tc>
          <w:tcPr>
            <w:tcW w:w="1560" w:type="dxa"/>
            <w:shd w:val="clear" w:color="auto" w:fill="auto"/>
            <w:noWrap/>
            <w:vAlign w:val="center"/>
          </w:tcPr>
          <w:p w14:paraId="16ECEF46" w14:textId="77777777" w:rsidR="002F1263" w:rsidRPr="00954B78" w:rsidRDefault="000F5B51" w:rsidP="002F1263">
            <w:pPr>
              <w:spacing w:after="0" w:line="240" w:lineRule="auto"/>
              <w:jc w:val="center"/>
              <w:rPr>
                <w:rFonts w:eastAsia="Times New Roman" w:cs="Times New Roman"/>
                <w:color w:val="000000"/>
                <w:szCs w:val="24"/>
              </w:rPr>
            </w:pPr>
            <w:r w:rsidRPr="00954B78">
              <w:rPr>
                <w:rFonts w:cs="Times New Roman"/>
                <w:color w:val="000000"/>
                <w:szCs w:val="24"/>
              </w:rPr>
              <w:t>11</w:t>
            </w:r>
          </w:p>
        </w:tc>
        <w:tc>
          <w:tcPr>
            <w:tcW w:w="1260" w:type="dxa"/>
            <w:shd w:val="clear" w:color="auto" w:fill="auto"/>
            <w:noWrap/>
            <w:vAlign w:val="center"/>
          </w:tcPr>
          <w:p w14:paraId="1AA3FBD1" w14:textId="77777777" w:rsidR="002F1263" w:rsidRPr="00954B78" w:rsidRDefault="000F5B51" w:rsidP="002F1263">
            <w:pPr>
              <w:spacing w:after="0" w:line="240" w:lineRule="auto"/>
              <w:jc w:val="center"/>
              <w:rPr>
                <w:rFonts w:eastAsia="Times New Roman" w:cs="Times New Roman"/>
                <w:color w:val="000000"/>
                <w:szCs w:val="24"/>
              </w:rPr>
            </w:pPr>
            <w:r w:rsidRPr="00954B78">
              <w:rPr>
                <w:rFonts w:cs="Times New Roman"/>
                <w:color w:val="000000"/>
                <w:szCs w:val="24"/>
              </w:rPr>
              <w:t>15</w:t>
            </w:r>
          </w:p>
        </w:tc>
        <w:tc>
          <w:tcPr>
            <w:tcW w:w="1615" w:type="dxa"/>
            <w:shd w:val="clear" w:color="auto" w:fill="auto"/>
            <w:noWrap/>
            <w:vAlign w:val="center"/>
          </w:tcPr>
          <w:p w14:paraId="20003AEC" w14:textId="77777777" w:rsidR="002F1263" w:rsidRPr="00954B78" w:rsidRDefault="000F5B51" w:rsidP="002F1263">
            <w:pPr>
              <w:spacing w:after="0" w:line="240" w:lineRule="auto"/>
              <w:jc w:val="center"/>
              <w:rPr>
                <w:rFonts w:eastAsia="Times New Roman" w:cs="Times New Roman"/>
                <w:color w:val="000000"/>
                <w:szCs w:val="24"/>
              </w:rPr>
            </w:pPr>
            <w:r w:rsidRPr="00954B78">
              <w:rPr>
                <w:rFonts w:cs="Times New Roman"/>
                <w:color w:val="000000"/>
                <w:szCs w:val="24"/>
              </w:rPr>
              <w:t>0.625</w:t>
            </w:r>
          </w:p>
        </w:tc>
        <w:tc>
          <w:tcPr>
            <w:tcW w:w="1265" w:type="dxa"/>
            <w:shd w:val="clear" w:color="auto" w:fill="auto"/>
            <w:noWrap/>
          </w:tcPr>
          <w:p w14:paraId="43E139D7" w14:textId="77777777" w:rsidR="002F1263" w:rsidRPr="00954B78" w:rsidRDefault="000F5B51" w:rsidP="002F1263">
            <w:pPr>
              <w:spacing w:after="0" w:line="240" w:lineRule="auto"/>
              <w:jc w:val="center"/>
              <w:rPr>
                <w:rFonts w:eastAsia="Times New Roman" w:cs="Times New Roman"/>
                <w:color w:val="000000"/>
                <w:szCs w:val="24"/>
              </w:rPr>
            </w:pPr>
            <w:r w:rsidRPr="00E029DD">
              <w:rPr>
                <w:rFonts w:cs="Times New Roman"/>
                <w:color w:val="000000"/>
                <w:szCs w:val="24"/>
              </w:rPr>
              <w:t>0.98</w:t>
            </w:r>
            <w:r w:rsidR="00444687">
              <w:rPr>
                <w:rFonts w:cs="Times New Roman"/>
                <w:color w:val="000000"/>
                <w:szCs w:val="24"/>
              </w:rPr>
              <w:t>00</w:t>
            </w:r>
          </w:p>
        </w:tc>
        <w:tc>
          <w:tcPr>
            <w:tcW w:w="1345" w:type="dxa"/>
            <w:shd w:val="clear" w:color="auto" w:fill="auto"/>
            <w:noWrap/>
            <w:vAlign w:val="center"/>
          </w:tcPr>
          <w:p w14:paraId="3274B93C" w14:textId="77777777" w:rsidR="002F1263" w:rsidRPr="00954B78" w:rsidRDefault="000F5B51" w:rsidP="002F1263">
            <w:pPr>
              <w:spacing w:after="0" w:line="240" w:lineRule="auto"/>
              <w:jc w:val="center"/>
              <w:rPr>
                <w:rFonts w:eastAsia="Times New Roman" w:cs="Times New Roman"/>
                <w:color w:val="000000"/>
                <w:szCs w:val="24"/>
              </w:rPr>
            </w:pPr>
            <w:r w:rsidRPr="00954B78">
              <w:rPr>
                <w:rFonts w:cs="Times New Roman"/>
                <w:color w:val="000000"/>
                <w:szCs w:val="24"/>
              </w:rPr>
              <w:t>39</w:t>
            </w:r>
          </w:p>
        </w:tc>
      </w:tr>
      <w:tr w:rsidR="00A15C2C" w14:paraId="7A70BA1F" w14:textId="77777777" w:rsidTr="00D86266">
        <w:trPr>
          <w:trHeight w:val="300"/>
          <w:jc w:val="center"/>
        </w:trPr>
        <w:tc>
          <w:tcPr>
            <w:tcW w:w="2065" w:type="dxa"/>
            <w:shd w:val="clear" w:color="auto" w:fill="auto"/>
            <w:noWrap/>
            <w:vAlign w:val="bottom"/>
          </w:tcPr>
          <w:p w14:paraId="7E9DB8E3" w14:textId="77777777" w:rsidR="002F1263" w:rsidRPr="0055589E" w:rsidRDefault="000F5B51" w:rsidP="002F1263">
            <w:pPr>
              <w:spacing w:after="0" w:line="240" w:lineRule="auto"/>
              <w:rPr>
                <w:rFonts w:eastAsia="Times New Roman" w:cs="Times New Roman"/>
                <w:b/>
                <w:bCs/>
                <w:color w:val="000000"/>
                <w:sz w:val="23"/>
                <w:szCs w:val="23"/>
              </w:rPr>
            </w:pPr>
            <w:r w:rsidRPr="0055589E">
              <w:rPr>
                <w:rFonts w:eastAsia="Times New Roman" w:cs="Times New Roman"/>
                <w:b/>
                <w:bCs/>
                <w:color w:val="000000"/>
                <w:sz w:val="23"/>
                <w:szCs w:val="23"/>
              </w:rPr>
              <w:t>Non-Fatal Injuries</w:t>
            </w:r>
          </w:p>
          <w:p w14:paraId="03CAD939" w14:textId="77777777" w:rsidR="002F1263" w:rsidRPr="0055589E" w:rsidRDefault="000F5B51" w:rsidP="002F1263">
            <w:pPr>
              <w:spacing w:after="0" w:line="240" w:lineRule="auto"/>
              <w:rPr>
                <w:rFonts w:eastAsia="Times New Roman" w:cs="Times New Roman"/>
                <w:b/>
                <w:bCs/>
                <w:color w:val="000000"/>
                <w:sz w:val="23"/>
                <w:szCs w:val="23"/>
              </w:rPr>
            </w:pPr>
            <w:r w:rsidRPr="0055589E">
              <w:rPr>
                <w:rFonts w:eastAsia="Times New Roman" w:cs="Times New Roman"/>
                <w:b/>
                <w:bCs/>
                <w:color w:val="000000"/>
                <w:sz w:val="23"/>
                <w:szCs w:val="23"/>
              </w:rPr>
              <w:t>(MAIS 1-5)</w:t>
            </w:r>
          </w:p>
        </w:tc>
        <w:tc>
          <w:tcPr>
            <w:tcW w:w="1410" w:type="dxa"/>
            <w:shd w:val="clear" w:color="auto" w:fill="auto"/>
            <w:noWrap/>
            <w:vAlign w:val="center"/>
          </w:tcPr>
          <w:p w14:paraId="17FC23D2" w14:textId="77777777" w:rsidR="002F1263" w:rsidRPr="0055589E" w:rsidRDefault="000F5B51" w:rsidP="002F1263">
            <w:pPr>
              <w:spacing w:after="0" w:line="240" w:lineRule="auto"/>
              <w:jc w:val="center"/>
              <w:rPr>
                <w:rFonts w:cs="Times New Roman"/>
                <w:b/>
                <w:bCs/>
                <w:color w:val="000000"/>
                <w:szCs w:val="24"/>
              </w:rPr>
            </w:pPr>
            <w:r w:rsidRPr="006E4648">
              <w:rPr>
                <w:rFonts w:cs="Times New Roman"/>
                <w:b/>
                <w:bCs/>
                <w:color w:val="000000"/>
                <w:szCs w:val="24"/>
              </w:rPr>
              <w:t>2,372</w:t>
            </w:r>
          </w:p>
        </w:tc>
        <w:tc>
          <w:tcPr>
            <w:tcW w:w="1560" w:type="dxa"/>
            <w:shd w:val="clear" w:color="auto" w:fill="auto"/>
            <w:noWrap/>
            <w:vAlign w:val="center"/>
          </w:tcPr>
          <w:p w14:paraId="3EF6E709" w14:textId="77777777" w:rsidR="002F1263" w:rsidRPr="0055589E" w:rsidRDefault="000F5B51" w:rsidP="002F1263">
            <w:pPr>
              <w:spacing w:after="0" w:line="240" w:lineRule="auto"/>
              <w:jc w:val="center"/>
              <w:rPr>
                <w:rFonts w:cs="Times New Roman"/>
                <w:b/>
                <w:bCs/>
                <w:color w:val="000000"/>
                <w:szCs w:val="24"/>
              </w:rPr>
            </w:pPr>
            <w:r w:rsidRPr="006E4648">
              <w:rPr>
                <w:rFonts w:cs="Times New Roman"/>
                <w:b/>
                <w:bCs/>
                <w:color w:val="000000"/>
                <w:szCs w:val="24"/>
              </w:rPr>
              <w:t>840</w:t>
            </w:r>
          </w:p>
        </w:tc>
        <w:tc>
          <w:tcPr>
            <w:tcW w:w="1260" w:type="dxa"/>
            <w:shd w:val="clear" w:color="auto" w:fill="auto"/>
            <w:noWrap/>
            <w:vAlign w:val="center"/>
          </w:tcPr>
          <w:p w14:paraId="210A2381" w14:textId="77777777" w:rsidR="002F1263" w:rsidRPr="0055589E" w:rsidRDefault="000F5B51" w:rsidP="002F1263">
            <w:pPr>
              <w:spacing w:after="0" w:line="240" w:lineRule="auto"/>
              <w:jc w:val="center"/>
              <w:rPr>
                <w:rFonts w:cs="Times New Roman"/>
                <w:b/>
                <w:bCs/>
                <w:color w:val="000000"/>
                <w:szCs w:val="24"/>
              </w:rPr>
            </w:pPr>
            <w:r w:rsidRPr="006E4648">
              <w:rPr>
                <w:rFonts w:cs="Times New Roman"/>
                <w:b/>
                <w:bCs/>
                <w:color w:val="000000"/>
                <w:szCs w:val="24"/>
              </w:rPr>
              <w:t>3,212</w:t>
            </w:r>
          </w:p>
        </w:tc>
        <w:tc>
          <w:tcPr>
            <w:tcW w:w="1615" w:type="dxa"/>
            <w:shd w:val="clear" w:color="auto" w:fill="auto"/>
            <w:noWrap/>
            <w:vAlign w:val="center"/>
          </w:tcPr>
          <w:p w14:paraId="1D00E089" w14:textId="77777777" w:rsidR="002F1263" w:rsidRPr="0055589E" w:rsidRDefault="000F5B51" w:rsidP="002F1263">
            <w:pPr>
              <w:spacing w:after="0" w:line="240" w:lineRule="auto"/>
              <w:jc w:val="center"/>
              <w:rPr>
                <w:rFonts w:cs="Times New Roman"/>
                <w:b/>
                <w:bCs/>
                <w:color w:val="000000"/>
                <w:szCs w:val="24"/>
              </w:rPr>
            </w:pPr>
            <w:r w:rsidRPr="0055589E">
              <w:rPr>
                <w:rFonts w:cs="Times New Roman"/>
                <w:b/>
                <w:bCs/>
                <w:color w:val="000000"/>
                <w:szCs w:val="24"/>
              </w:rPr>
              <w:t>-</w:t>
            </w:r>
          </w:p>
        </w:tc>
        <w:tc>
          <w:tcPr>
            <w:tcW w:w="1265" w:type="dxa"/>
            <w:shd w:val="clear" w:color="auto" w:fill="auto"/>
            <w:noWrap/>
            <w:vAlign w:val="center"/>
          </w:tcPr>
          <w:p w14:paraId="45B2A4FC" w14:textId="77777777" w:rsidR="002F1263" w:rsidRPr="0055589E" w:rsidRDefault="000F5B51" w:rsidP="00D86266">
            <w:pPr>
              <w:spacing w:after="0" w:line="240" w:lineRule="auto"/>
              <w:jc w:val="center"/>
              <w:rPr>
                <w:rFonts w:cs="Times New Roman"/>
                <w:b/>
                <w:bCs/>
                <w:color w:val="000000"/>
                <w:szCs w:val="24"/>
              </w:rPr>
            </w:pPr>
            <w:r>
              <w:rPr>
                <w:rFonts w:cs="Times New Roman"/>
                <w:b/>
                <w:bCs/>
                <w:color w:val="000000"/>
                <w:szCs w:val="24"/>
              </w:rPr>
              <w:t>-</w:t>
            </w:r>
          </w:p>
        </w:tc>
        <w:tc>
          <w:tcPr>
            <w:tcW w:w="1345" w:type="dxa"/>
            <w:shd w:val="clear" w:color="auto" w:fill="auto"/>
            <w:noWrap/>
            <w:vAlign w:val="center"/>
          </w:tcPr>
          <w:p w14:paraId="717040BE" w14:textId="06706BF9" w:rsidR="002F1263" w:rsidRPr="0055589E" w:rsidRDefault="000F5B51" w:rsidP="002F1263">
            <w:pPr>
              <w:spacing w:after="0" w:line="240" w:lineRule="auto"/>
              <w:jc w:val="center"/>
              <w:rPr>
                <w:rFonts w:cs="Times New Roman"/>
                <w:b/>
                <w:bCs/>
                <w:color w:val="000000"/>
                <w:szCs w:val="24"/>
              </w:rPr>
            </w:pPr>
            <w:r w:rsidRPr="006E4648">
              <w:rPr>
                <w:rFonts w:cs="Times New Roman"/>
                <w:b/>
                <w:bCs/>
                <w:color w:val="000000"/>
                <w:szCs w:val="24"/>
              </w:rPr>
              <w:t>3,71</w:t>
            </w:r>
            <w:r w:rsidR="00060DA5">
              <w:rPr>
                <w:rFonts w:cs="Times New Roman"/>
                <w:b/>
                <w:bCs/>
                <w:color w:val="000000"/>
                <w:szCs w:val="24"/>
              </w:rPr>
              <w:t>0</w:t>
            </w:r>
          </w:p>
        </w:tc>
      </w:tr>
      <w:tr w:rsidR="00A15C2C" w14:paraId="60E1648D" w14:textId="77777777" w:rsidTr="0055589E">
        <w:trPr>
          <w:trHeight w:val="300"/>
          <w:jc w:val="center"/>
        </w:trPr>
        <w:tc>
          <w:tcPr>
            <w:tcW w:w="2065" w:type="dxa"/>
            <w:shd w:val="clear" w:color="auto" w:fill="auto"/>
            <w:noWrap/>
            <w:vAlign w:val="bottom"/>
            <w:hideMark/>
          </w:tcPr>
          <w:p w14:paraId="51A13644" w14:textId="77777777" w:rsidR="001D1C00" w:rsidRPr="0055589E" w:rsidRDefault="000F5B51" w:rsidP="001D1C00">
            <w:pPr>
              <w:spacing w:after="0" w:line="240" w:lineRule="auto"/>
              <w:rPr>
                <w:rFonts w:eastAsia="Times New Roman" w:cs="Times New Roman"/>
                <w:b/>
                <w:bCs/>
                <w:color w:val="000000"/>
                <w:szCs w:val="24"/>
              </w:rPr>
            </w:pPr>
            <w:r w:rsidRPr="0055589E">
              <w:rPr>
                <w:rFonts w:eastAsia="Times New Roman" w:cs="Times New Roman"/>
                <w:b/>
                <w:bCs/>
                <w:color w:val="000000"/>
                <w:szCs w:val="24"/>
              </w:rPr>
              <w:t>Fatality</w:t>
            </w:r>
          </w:p>
        </w:tc>
        <w:tc>
          <w:tcPr>
            <w:tcW w:w="1410" w:type="dxa"/>
            <w:shd w:val="clear" w:color="auto" w:fill="auto"/>
            <w:noWrap/>
            <w:vAlign w:val="center"/>
          </w:tcPr>
          <w:p w14:paraId="30ABA40C" w14:textId="77777777" w:rsidR="001D1C00" w:rsidRPr="0055589E" w:rsidRDefault="000F5B51" w:rsidP="001D1C00">
            <w:pPr>
              <w:spacing w:after="0" w:line="240" w:lineRule="auto"/>
              <w:jc w:val="center"/>
              <w:rPr>
                <w:rFonts w:eastAsia="Times New Roman" w:cs="Times New Roman"/>
                <w:color w:val="000000"/>
                <w:szCs w:val="24"/>
              </w:rPr>
            </w:pPr>
            <w:r w:rsidRPr="00954B78">
              <w:rPr>
                <w:rFonts w:cs="Times New Roman"/>
                <w:b/>
                <w:bCs/>
                <w:color w:val="000000"/>
                <w:szCs w:val="24"/>
              </w:rPr>
              <w:t>51</w:t>
            </w:r>
          </w:p>
        </w:tc>
        <w:tc>
          <w:tcPr>
            <w:tcW w:w="1560" w:type="dxa"/>
            <w:shd w:val="clear" w:color="auto" w:fill="auto"/>
            <w:noWrap/>
            <w:vAlign w:val="center"/>
          </w:tcPr>
          <w:p w14:paraId="43C135ED" w14:textId="77777777" w:rsidR="001D1C00" w:rsidRPr="0055589E" w:rsidRDefault="000F5B51" w:rsidP="001D1C00">
            <w:pPr>
              <w:spacing w:after="0" w:line="240" w:lineRule="auto"/>
              <w:jc w:val="center"/>
              <w:rPr>
                <w:rFonts w:eastAsia="Times New Roman" w:cs="Times New Roman"/>
                <w:color w:val="000000"/>
                <w:szCs w:val="24"/>
              </w:rPr>
            </w:pPr>
            <w:r w:rsidRPr="00954B78">
              <w:rPr>
                <w:rFonts w:cs="Times New Roman"/>
                <w:b/>
                <w:bCs/>
                <w:color w:val="000000"/>
                <w:szCs w:val="24"/>
              </w:rPr>
              <w:t>17</w:t>
            </w:r>
          </w:p>
        </w:tc>
        <w:tc>
          <w:tcPr>
            <w:tcW w:w="1260" w:type="dxa"/>
            <w:shd w:val="clear" w:color="auto" w:fill="auto"/>
            <w:noWrap/>
            <w:vAlign w:val="center"/>
          </w:tcPr>
          <w:p w14:paraId="663EAF92" w14:textId="77777777" w:rsidR="001D1C00" w:rsidRPr="0055589E" w:rsidRDefault="000F5B51" w:rsidP="001D1C00">
            <w:pPr>
              <w:spacing w:after="0" w:line="240" w:lineRule="auto"/>
              <w:jc w:val="center"/>
              <w:rPr>
                <w:rFonts w:eastAsia="Times New Roman" w:cs="Times New Roman"/>
                <w:color w:val="000000"/>
                <w:szCs w:val="24"/>
              </w:rPr>
            </w:pPr>
            <w:r w:rsidRPr="00954B78">
              <w:rPr>
                <w:rFonts w:cs="Times New Roman"/>
                <w:b/>
                <w:bCs/>
                <w:color w:val="000000"/>
                <w:szCs w:val="24"/>
              </w:rPr>
              <w:t>67</w:t>
            </w:r>
          </w:p>
        </w:tc>
        <w:tc>
          <w:tcPr>
            <w:tcW w:w="1615" w:type="dxa"/>
            <w:shd w:val="clear" w:color="auto" w:fill="auto"/>
            <w:noWrap/>
            <w:vAlign w:val="center"/>
          </w:tcPr>
          <w:p w14:paraId="0DE25227" w14:textId="77777777" w:rsidR="001D1C00" w:rsidRPr="0055589E" w:rsidRDefault="000F5B51" w:rsidP="001D1C00">
            <w:pPr>
              <w:spacing w:after="0" w:line="240" w:lineRule="auto"/>
              <w:jc w:val="center"/>
              <w:rPr>
                <w:rFonts w:eastAsia="Times New Roman" w:cs="Times New Roman"/>
                <w:color w:val="000000"/>
                <w:szCs w:val="24"/>
              </w:rPr>
            </w:pPr>
            <w:r w:rsidRPr="00954B78">
              <w:rPr>
                <w:rFonts w:cs="Times New Roman"/>
                <w:b/>
                <w:bCs/>
                <w:color w:val="000000"/>
                <w:szCs w:val="24"/>
              </w:rPr>
              <w:t>0.550</w:t>
            </w:r>
          </w:p>
        </w:tc>
        <w:tc>
          <w:tcPr>
            <w:tcW w:w="1265" w:type="dxa"/>
            <w:shd w:val="clear" w:color="auto" w:fill="auto"/>
            <w:noWrap/>
            <w:vAlign w:val="center"/>
          </w:tcPr>
          <w:p w14:paraId="3E765B0A" w14:textId="77777777" w:rsidR="001D1C00" w:rsidRPr="0055589E" w:rsidRDefault="000F5B51" w:rsidP="001D1C00">
            <w:pPr>
              <w:spacing w:after="0" w:line="240" w:lineRule="auto"/>
              <w:jc w:val="center"/>
              <w:rPr>
                <w:rFonts w:eastAsia="Times New Roman" w:cs="Times New Roman"/>
                <w:color w:val="000000"/>
                <w:szCs w:val="24"/>
              </w:rPr>
            </w:pPr>
            <w:r>
              <w:rPr>
                <w:rFonts w:cs="Times New Roman"/>
                <w:b/>
                <w:bCs/>
                <w:color w:val="000000"/>
                <w:szCs w:val="24"/>
              </w:rPr>
              <w:t>0.88</w:t>
            </w:r>
            <w:r w:rsidR="00444687">
              <w:rPr>
                <w:rFonts w:cs="Times New Roman"/>
                <w:b/>
                <w:bCs/>
                <w:color w:val="000000"/>
                <w:szCs w:val="24"/>
              </w:rPr>
              <w:t>2</w:t>
            </w:r>
            <w:r>
              <w:rPr>
                <w:rFonts w:cs="Times New Roman"/>
                <w:b/>
                <w:bCs/>
                <w:color w:val="000000"/>
                <w:szCs w:val="24"/>
              </w:rPr>
              <w:t>5</w:t>
            </w:r>
          </w:p>
        </w:tc>
        <w:tc>
          <w:tcPr>
            <w:tcW w:w="1345" w:type="dxa"/>
            <w:shd w:val="clear" w:color="auto" w:fill="auto"/>
            <w:noWrap/>
            <w:vAlign w:val="center"/>
          </w:tcPr>
          <w:p w14:paraId="5D8F634D" w14:textId="77777777" w:rsidR="001D1C00" w:rsidRPr="0055589E" w:rsidRDefault="000F5B51" w:rsidP="001D1C00">
            <w:pPr>
              <w:spacing w:after="0" w:line="240" w:lineRule="auto"/>
              <w:jc w:val="center"/>
              <w:rPr>
                <w:rFonts w:eastAsia="Times New Roman" w:cs="Times New Roman"/>
                <w:color w:val="000000"/>
                <w:szCs w:val="24"/>
              </w:rPr>
            </w:pPr>
            <w:r w:rsidRPr="00954B78">
              <w:rPr>
                <w:rFonts w:cs="Times New Roman"/>
                <w:b/>
                <w:bCs/>
                <w:color w:val="000000"/>
                <w:szCs w:val="24"/>
              </w:rPr>
              <w:t>131</w:t>
            </w:r>
          </w:p>
        </w:tc>
      </w:tr>
      <w:tr w:rsidR="00A15C2C" w14:paraId="17C22FFA" w14:textId="77777777" w:rsidTr="00D65C7C">
        <w:trPr>
          <w:trHeight w:val="300"/>
          <w:jc w:val="center"/>
        </w:trPr>
        <w:tc>
          <w:tcPr>
            <w:tcW w:w="10520" w:type="dxa"/>
            <w:gridSpan w:val="7"/>
            <w:shd w:val="clear" w:color="auto" w:fill="D9D9D9" w:themeFill="background1" w:themeFillShade="D9"/>
            <w:noWrap/>
            <w:vAlign w:val="center"/>
            <w:hideMark/>
          </w:tcPr>
          <w:p w14:paraId="41DB5E6C" w14:textId="77777777" w:rsidR="00640749" w:rsidRPr="00012598" w:rsidRDefault="000F5B51" w:rsidP="00D65C7C">
            <w:pPr>
              <w:spacing w:after="0" w:line="240" w:lineRule="auto"/>
              <w:ind w:firstLineChars="100" w:firstLine="241"/>
              <w:jc w:val="center"/>
              <w:rPr>
                <w:rFonts w:eastAsia="Times New Roman" w:cs="Times New Roman"/>
                <w:b/>
                <w:bCs/>
                <w:i/>
                <w:iCs/>
                <w:color w:val="000000"/>
                <w:szCs w:val="24"/>
              </w:rPr>
            </w:pPr>
            <w:r w:rsidRPr="00012598">
              <w:rPr>
                <w:rFonts w:eastAsia="Times New Roman" w:cs="Times New Roman"/>
                <w:b/>
                <w:bCs/>
                <w:i/>
                <w:iCs/>
                <w:color w:val="000000"/>
                <w:szCs w:val="24"/>
              </w:rPr>
              <w:t>Light Truck</w:t>
            </w:r>
          </w:p>
        </w:tc>
      </w:tr>
      <w:tr w:rsidR="00A15C2C" w14:paraId="05D82CF4" w14:textId="77777777" w:rsidTr="0055589E">
        <w:trPr>
          <w:trHeight w:val="300"/>
          <w:jc w:val="center"/>
        </w:trPr>
        <w:tc>
          <w:tcPr>
            <w:tcW w:w="2065" w:type="dxa"/>
            <w:shd w:val="clear" w:color="auto" w:fill="auto"/>
            <w:noWrap/>
            <w:vAlign w:val="bottom"/>
            <w:hideMark/>
          </w:tcPr>
          <w:p w14:paraId="0FB73C07" w14:textId="77777777" w:rsidR="001D1C00" w:rsidRPr="00954B78" w:rsidRDefault="000F5B51" w:rsidP="001D1C00">
            <w:pPr>
              <w:spacing w:after="0" w:line="240" w:lineRule="auto"/>
              <w:rPr>
                <w:rFonts w:eastAsia="Times New Roman" w:cs="Times New Roman"/>
                <w:color w:val="000000"/>
                <w:szCs w:val="24"/>
              </w:rPr>
            </w:pPr>
            <w:r>
              <w:rPr>
                <w:rFonts w:eastAsia="Times New Roman" w:cs="Times New Roman"/>
                <w:color w:val="000000"/>
                <w:szCs w:val="24"/>
              </w:rPr>
              <w:t>MAIS 1</w:t>
            </w:r>
          </w:p>
        </w:tc>
        <w:tc>
          <w:tcPr>
            <w:tcW w:w="1410" w:type="dxa"/>
            <w:shd w:val="clear" w:color="auto" w:fill="auto"/>
            <w:noWrap/>
            <w:vAlign w:val="center"/>
          </w:tcPr>
          <w:p w14:paraId="0386807C" w14:textId="77777777" w:rsidR="001D1C00" w:rsidRPr="00954B78" w:rsidRDefault="000F5B51" w:rsidP="001D1C00">
            <w:pPr>
              <w:spacing w:after="0" w:line="240" w:lineRule="auto"/>
              <w:jc w:val="center"/>
              <w:rPr>
                <w:rFonts w:eastAsia="Times New Roman" w:cs="Times New Roman"/>
                <w:color w:val="000000"/>
                <w:szCs w:val="24"/>
              </w:rPr>
            </w:pPr>
            <w:r w:rsidRPr="00954B78">
              <w:rPr>
                <w:rFonts w:cs="Times New Roman"/>
                <w:color w:val="000000"/>
                <w:szCs w:val="24"/>
              </w:rPr>
              <w:t>3,733</w:t>
            </w:r>
          </w:p>
        </w:tc>
        <w:tc>
          <w:tcPr>
            <w:tcW w:w="1560" w:type="dxa"/>
            <w:shd w:val="clear" w:color="auto" w:fill="auto"/>
            <w:noWrap/>
            <w:vAlign w:val="center"/>
          </w:tcPr>
          <w:p w14:paraId="59FBC167" w14:textId="77777777" w:rsidR="001D1C00" w:rsidRPr="00954B78" w:rsidRDefault="000F5B51" w:rsidP="001D1C00">
            <w:pPr>
              <w:spacing w:after="0" w:line="240" w:lineRule="auto"/>
              <w:jc w:val="center"/>
              <w:rPr>
                <w:rFonts w:eastAsia="Times New Roman" w:cs="Times New Roman"/>
                <w:color w:val="000000"/>
                <w:szCs w:val="24"/>
              </w:rPr>
            </w:pPr>
            <w:r w:rsidRPr="00954B78">
              <w:rPr>
                <w:rFonts w:cs="Times New Roman"/>
                <w:color w:val="000000"/>
                <w:szCs w:val="24"/>
              </w:rPr>
              <w:t>99</w:t>
            </w:r>
          </w:p>
        </w:tc>
        <w:tc>
          <w:tcPr>
            <w:tcW w:w="1260" w:type="dxa"/>
            <w:shd w:val="clear" w:color="auto" w:fill="auto"/>
            <w:noWrap/>
            <w:vAlign w:val="center"/>
          </w:tcPr>
          <w:p w14:paraId="2A377AA4" w14:textId="77777777" w:rsidR="001D1C00" w:rsidRPr="00954B78" w:rsidRDefault="000F5B51" w:rsidP="001D1C00">
            <w:pPr>
              <w:spacing w:after="0" w:line="240" w:lineRule="auto"/>
              <w:jc w:val="center"/>
              <w:rPr>
                <w:rFonts w:eastAsia="Times New Roman" w:cs="Times New Roman"/>
                <w:color w:val="000000"/>
                <w:szCs w:val="24"/>
              </w:rPr>
            </w:pPr>
            <w:r w:rsidRPr="00954B78">
              <w:rPr>
                <w:rFonts w:cs="Times New Roman"/>
                <w:color w:val="000000"/>
                <w:szCs w:val="24"/>
              </w:rPr>
              <w:t>3,832</w:t>
            </w:r>
          </w:p>
        </w:tc>
        <w:tc>
          <w:tcPr>
            <w:tcW w:w="1615" w:type="dxa"/>
            <w:shd w:val="clear" w:color="auto" w:fill="auto"/>
            <w:noWrap/>
            <w:vAlign w:val="center"/>
          </w:tcPr>
          <w:p w14:paraId="2D68A079" w14:textId="77777777" w:rsidR="001D1C00" w:rsidRPr="00954B78" w:rsidRDefault="000F5B51" w:rsidP="001D1C00">
            <w:pPr>
              <w:spacing w:after="0" w:line="240" w:lineRule="auto"/>
              <w:jc w:val="center"/>
              <w:rPr>
                <w:rFonts w:eastAsia="Times New Roman" w:cs="Times New Roman"/>
                <w:color w:val="000000"/>
                <w:szCs w:val="24"/>
              </w:rPr>
            </w:pPr>
            <w:r w:rsidRPr="00954B78">
              <w:rPr>
                <w:rFonts w:cs="Times New Roman"/>
                <w:color w:val="000000"/>
                <w:szCs w:val="24"/>
              </w:rPr>
              <w:t>0.0550</w:t>
            </w:r>
          </w:p>
        </w:tc>
        <w:tc>
          <w:tcPr>
            <w:tcW w:w="1265" w:type="dxa"/>
            <w:shd w:val="clear" w:color="auto" w:fill="auto"/>
            <w:noWrap/>
            <w:vAlign w:val="center"/>
          </w:tcPr>
          <w:p w14:paraId="21E112F5" w14:textId="77777777" w:rsidR="001D1C00" w:rsidRPr="00954B78" w:rsidRDefault="000F5B51" w:rsidP="001D1C00">
            <w:pPr>
              <w:spacing w:after="0" w:line="240" w:lineRule="auto"/>
              <w:jc w:val="center"/>
              <w:rPr>
                <w:rFonts w:eastAsia="Times New Roman" w:cs="Times New Roman"/>
                <w:color w:val="000000"/>
                <w:szCs w:val="24"/>
              </w:rPr>
            </w:pPr>
            <w:r>
              <w:rPr>
                <w:rFonts w:cs="Times New Roman"/>
                <w:color w:val="000000"/>
                <w:szCs w:val="24"/>
              </w:rPr>
              <w:t>0.9822</w:t>
            </w:r>
          </w:p>
        </w:tc>
        <w:tc>
          <w:tcPr>
            <w:tcW w:w="1345" w:type="dxa"/>
            <w:shd w:val="clear" w:color="auto" w:fill="auto"/>
            <w:noWrap/>
            <w:vAlign w:val="center"/>
          </w:tcPr>
          <w:p w14:paraId="52A1020A" w14:textId="21EADD17" w:rsidR="001D1C00" w:rsidRPr="00954B78" w:rsidRDefault="000F5B51" w:rsidP="001D1C00">
            <w:pPr>
              <w:spacing w:after="0" w:line="240" w:lineRule="auto"/>
              <w:jc w:val="center"/>
              <w:rPr>
                <w:rFonts w:eastAsia="Times New Roman" w:cs="Times New Roman"/>
                <w:color w:val="000000"/>
                <w:szCs w:val="24"/>
              </w:rPr>
            </w:pPr>
            <w:r w:rsidRPr="00954B78">
              <w:rPr>
                <w:rFonts w:cs="Times New Roman"/>
                <w:color w:val="000000"/>
                <w:szCs w:val="24"/>
              </w:rPr>
              <w:t>4,05</w:t>
            </w:r>
            <w:r w:rsidR="00060DA5">
              <w:rPr>
                <w:rFonts w:cs="Times New Roman"/>
                <w:color w:val="000000"/>
                <w:szCs w:val="24"/>
              </w:rPr>
              <w:t>0</w:t>
            </w:r>
          </w:p>
        </w:tc>
      </w:tr>
      <w:tr w:rsidR="00A15C2C" w14:paraId="32CF4EC9" w14:textId="77777777" w:rsidTr="0055589E">
        <w:trPr>
          <w:trHeight w:val="300"/>
          <w:jc w:val="center"/>
        </w:trPr>
        <w:tc>
          <w:tcPr>
            <w:tcW w:w="2065" w:type="dxa"/>
            <w:shd w:val="clear" w:color="auto" w:fill="auto"/>
            <w:noWrap/>
            <w:hideMark/>
          </w:tcPr>
          <w:p w14:paraId="51412EA8" w14:textId="77777777" w:rsidR="001D1C00" w:rsidRPr="00954B78" w:rsidRDefault="000F5B51" w:rsidP="001D1C00">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2</w:t>
            </w:r>
          </w:p>
        </w:tc>
        <w:tc>
          <w:tcPr>
            <w:tcW w:w="1410" w:type="dxa"/>
            <w:shd w:val="clear" w:color="auto" w:fill="auto"/>
            <w:noWrap/>
            <w:vAlign w:val="center"/>
          </w:tcPr>
          <w:p w14:paraId="4CA7CEB4" w14:textId="77777777" w:rsidR="001D1C00" w:rsidRPr="00954B78" w:rsidRDefault="000F5B51" w:rsidP="001D1C00">
            <w:pPr>
              <w:spacing w:after="0" w:line="240" w:lineRule="auto"/>
              <w:jc w:val="center"/>
              <w:rPr>
                <w:rFonts w:eastAsia="Times New Roman" w:cs="Times New Roman"/>
                <w:color w:val="000000"/>
                <w:szCs w:val="24"/>
              </w:rPr>
            </w:pPr>
            <w:r w:rsidRPr="00954B78">
              <w:rPr>
                <w:rFonts w:cs="Times New Roman"/>
                <w:color w:val="000000"/>
                <w:szCs w:val="24"/>
              </w:rPr>
              <w:t>52</w:t>
            </w:r>
          </w:p>
        </w:tc>
        <w:tc>
          <w:tcPr>
            <w:tcW w:w="1560" w:type="dxa"/>
            <w:shd w:val="clear" w:color="auto" w:fill="auto"/>
            <w:noWrap/>
            <w:vAlign w:val="center"/>
          </w:tcPr>
          <w:p w14:paraId="5CB1A9E7" w14:textId="77777777" w:rsidR="001D1C00" w:rsidRPr="00954B78" w:rsidRDefault="000F5B51" w:rsidP="001D1C00">
            <w:pPr>
              <w:spacing w:after="0" w:line="240" w:lineRule="auto"/>
              <w:jc w:val="center"/>
              <w:rPr>
                <w:rFonts w:eastAsia="Times New Roman" w:cs="Times New Roman"/>
                <w:color w:val="000000"/>
                <w:szCs w:val="24"/>
              </w:rPr>
            </w:pPr>
            <w:r w:rsidRPr="00954B78">
              <w:rPr>
                <w:rFonts w:cs="Times New Roman"/>
                <w:color w:val="000000"/>
                <w:szCs w:val="24"/>
              </w:rPr>
              <w:t>86</w:t>
            </w:r>
          </w:p>
        </w:tc>
        <w:tc>
          <w:tcPr>
            <w:tcW w:w="1260" w:type="dxa"/>
            <w:shd w:val="clear" w:color="auto" w:fill="auto"/>
            <w:noWrap/>
            <w:vAlign w:val="center"/>
          </w:tcPr>
          <w:p w14:paraId="26CFECF2" w14:textId="77777777" w:rsidR="001D1C00" w:rsidRPr="00954B78" w:rsidRDefault="000F5B51" w:rsidP="001D1C00">
            <w:pPr>
              <w:spacing w:after="0" w:line="240" w:lineRule="auto"/>
              <w:jc w:val="center"/>
              <w:rPr>
                <w:rFonts w:eastAsia="Times New Roman" w:cs="Times New Roman"/>
                <w:color w:val="000000"/>
                <w:szCs w:val="24"/>
              </w:rPr>
            </w:pPr>
            <w:r w:rsidRPr="00954B78">
              <w:rPr>
                <w:rFonts w:cs="Times New Roman"/>
                <w:color w:val="000000"/>
                <w:szCs w:val="24"/>
              </w:rPr>
              <w:t>138</w:t>
            </w:r>
          </w:p>
        </w:tc>
        <w:tc>
          <w:tcPr>
            <w:tcW w:w="1615" w:type="dxa"/>
            <w:shd w:val="clear" w:color="auto" w:fill="auto"/>
            <w:noWrap/>
            <w:vAlign w:val="center"/>
          </w:tcPr>
          <w:p w14:paraId="11C1B438" w14:textId="77777777" w:rsidR="001D1C00" w:rsidRPr="00954B78" w:rsidRDefault="000F5B51" w:rsidP="001D1C00">
            <w:pPr>
              <w:spacing w:after="0" w:line="240" w:lineRule="auto"/>
              <w:jc w:val="center"/>
              <w:rPr>
                <w:rFonts w:eastAsia="Times New Roman" w:cs="Times New Roman"/>
                <w:color w:val="000000"/>
                <w:szCs w:val="24"/>
              </w:rPr>
            </w:pPr>
            <w:r w:rsidRPr="00954B78">
              <w:rPr>
                <w:rFonts w:cs="Times New Roman"/>
                <w:color w:val="000000"/>
                <w:szCs w:val="24"/>
              </w:rPr>
              <w:t>0.50</w:t>
            </w:r>
            <w:r w:rsidR="00FF08D3">
              <w:rPr>
                <w:rFonts w:cs="Times New Roman"/>
                <w:color w:val="000000"/>
                <w:szCs w:val="24"/>
              </w:rPr>
              <w:t>7</w:t>
            </w:r>
          </w:p>
        </w:tc>
        <w:tc>
          <w:tcPr>
            <w:tcW w:w="1265" w:type="dxa"/>
            <w:shd w:val="clear" w:color="auto" w:fill="auto"/>
            <w:noWrap/>
            <w:vAlign w:val="center"/>
          </w:tcPr>
          <w:p w14:paraId="4F2B7394" w14:textId="77777777" w:rsidR="001D1C00" w:rsidRPr="00954B78" w:rsidRDefault="000F5B51" w:rsidP="001D1C00">
            <w:pPr>
              <w:spacing w:after="0" w:line="240" w:lineRule="auto"/>
              <w:jc w:val="center"/>
              <w:rPr>
                <w:rFonts w:eastAsia="Times New Roman" w:cs="Times New Roman"/>
                <w:color w:val="000000"/>
                <w:szCs w:val="24"/>
              </w:rPr>
            </w:pPr>
            <w:r>
              <w:rPr>
                <w:rFonts w:cs="Times New Roman"/>
                <w:color w:val="000000"/>
                <w:szCs w:val="24"/>
              </w:rPr>
              <w:t>0.</w:t>
            </w:r>
            <w:r w:rsidRPr="00954B78">
              <w:rPr>
                <w:rFonts w:cs="Times New Roman"/>
                <w:color w:val="000000"/>
                <w:szCs w:val="24"/>
              </w:rPr>
              <w:t>9</w:t>
            </w:r>
            <w:r w:rsidR="001E7C39">
              <w:rPr>
                <w:rFonts w:cs="Times New Roman"/>
                <w:color w:val="000000"/>
                <w:szCs w:val="24"/>
              </w:rPr>
              <w:t>8</w:t>
            </w:r>
            <w:r>
              <w:rPr>
                <w:rFonts w:cs="Times New Roman"/>
                <w:color w:val="000000"/>
                <w:szCs w:val="24"/>
              </w:rPr>
              <w:t>22</w:t>
            </w:r>
          </w:p>
        </w:tc>
        <w:tc>
          <w:tcPr>
            <w:tcW w:w="1345" w:type="dxa"/>
            <w:shd w:val="clear" w:color="auto" w:fill="auto"/>
            <w:noWrap/>
            <w:vAlign w:val="center"/>
          </w:tcPr>
          <w:p w14:paraId="50FDC730" w14:textId="4A308695" w:rsidR="001D1C00" w:rsidRPr="00954B78" w:rsidRDefault="000F5B51" w:rsidP="001D1C00">
            <w:pPr>
              <w:spacing w:after="0" w:line="240" w:lineRule="auto"/>
              <w:jc w:val="center"/>
              <w:rPr>
                <w:rFonts w:eastAsia="Times New Roman" w:cs="Times New Roman"/>
                <w:color w:val="000000"/>
                <w:szCs w:val="24"/>
              </w:rPr>
            </w:pPr>
            <w:r w:rsidRPr="00954B78">
              <w:rPr>
                <w:rFonts w:cs="Times New Roman"/>
                <w:color w:val="000000"/>
                <w:szCs w:val="24"/>
              </w:rPr>
              <w:t>27</w:t>
            </w:r>
            <w:r w:rsidR="00060DA5">
              <w:rPr>
                <w:rFonts w:cs="Times New Roman"/>
                <w:color w:val="000000"/>
                <w:szCs w:val="24"/>
              </w:rPr>
              <w:t>4</w:t>
            </w:r>
          </w:p>
        </w:tc>
      </w:tr>
      <w:tr w:rsidR="00A15C2C" w14:paraId="56AA750B" w14:textId="77777777" w:rsidTr="00D65C7C">
        <w:trPr>
          <w:trHeight w:val="300"/>
          <w:jc w:val="center"/>
        </w:trPr>
        <w:tc>
          <w:tcPr>
            <w:tcW w:w="2065" w:type="dxa"/>
            <w:shd w:val="clear" w:color="auto" w:fill="auto"/>
            <w:noWrap/>
            <w:vAlign w:val="bottom"/>
          </w:tcPr>
          <w:p w14:paraId="560E4065" w14:textId="77777777" w:rsidR="009B7E2A" w:rsidRPr="0055589E" w:rsidRDefault="000F5B51" w:rsidP="009B7E2A">
            <w:pPr>
              <w:spacing w:after="0" w:line="240" w:lineRule="auto"/>
              <w:rPr>
                <w:rFonts w:eastAsia="Times New Roman" w:cs="Times New Roman"/>
                <w:b/>
                <w:bCs/>
                <w:color w:val="000000"/>
                <w:sz w:val="23"/>
                <w:szCs w:val="23"/>
              </w:rPr>
            </w:pPr>
            <w:r w:rsidRPr="0055589E">
              <w:rPr>
                <w:rFonts w:eastAsia="Times New Roman" w:cs="Times New Roman"/>
                <w:b/>
                <w:bCs/>
                <w:color w:val="000000"/>
                <w:sz w:val="23"/>
                <w:szCs w:val="23"/>
              </w:rPr>
              <w:t xml:space="preserve">Non-Fatal Injuries </w:t>
            </w:r>
          </w:p>
          <w:p w14:paraId="7BC9588D" w14:textId="77777777" w:rsidR="009B7E2A" w:rsidRPr="0055589E" w:rsidRDefault="000F5B51" w:rsidP="009B7E2A">
            <w:pPr>
              <w:spacing w:after="0" w:line="240" w:lineRule="auto"/>
              <w:rPr>
                <w:rFonts w:eastAsia="Times New Roman" w:cs="Times New Roman"/>
                <w:b/>
                <w:bCs/>
                <w:color w:val="000000"/>
                <w:szCs w:val="24"/>
              </w:rPr>
            </w:pPr>
            <w:r w:rsidRPr="0055589E">
              <w:rPr>
                <w:rFonts w:eastAsia="Times New Roman" w:cs="Times New Roman"/>
                <w:b/>
                <w:bCs/>
                <w:color w:val="000000"/>
                <w:sz w:val="23"/>
                <w:szCs w:val="23"/>
              </w:rPr>
              <w:t>(MAIS 1-5)</w:t>
            </w:r>
          </w:p>
        </w:tc>
        <w:tc>
          <w:tcPr>
            <w:tcW w:w="1410" w:type="dxa"/>
            <w:shd w:val="clear" w:color="auto" w:fill="auto"/>
            <w:noWrap/>
            <w:vAlign w:val="center"/>
          </w:tcPr>
          <w:p w14:paraId="76570EB5" w14:textId="77777777" w:rsidR="009B7E2A" w:rsidRPr="0055589E" w:rsidRDefault="000F5B51" w:rsidP="009B7E2A">
            <w:pPr>
              <w:spacing w:after="0" w:line="240" w:lineRule="auto"/>
              <w:jc w:val="center"/>
              <w:rPr>
                <w:rFonts w:cs="Times New Roman"/>
                <w:b/>
                <w:bCs/>
                <w:color w:val="000000"/>
                <w:szCs w:val="24"/>
              </w:rPr>
            </w:pPr>
            <w:r w:rsidRPr="006E4648">
              <w:rPr>
                <w:rFonts w:cs="Times New Roman"/>
                <w:b/>
                <w:bCs/>
                <w:color w:val="000000"/>
                <w:szCs w:val="24"/>
              </w:rPr>
              <w:t>3,785</w:t>
            </w:r>
          </w:p>
        </w:tc>
        <w:tc>
          <w:tcPr>
            <w:tcW w:w="1560" w:type="dxa"/>
            <w:shd w:val="clear" w:color="auto" w:fill="auto"/>
            <w:noWrap/>
            <w:vAlign w:val="center"/>
          </w:tcPr>
          <w:p w14:paraId="04DC2EC4" w14:textId="77777777" w:rsidR="009B7E2A" w:rsidRPr="0055589E" w:rsidRDefault="000F5B51" w:rsidP="009B7E2A">
            <w:pPr>
              <w:spacing w:after="0" w:line="240" w:lineRule="auto"/>
              <w:jc w:val="center"/>
              <w:rPr>
                <w:rFonts w:cs="Times New Roman"/>
                <w:b/>
                <w:bCs/>
                <w:color w:val="000000"/>
                <w:szCs w:val="24"/>
              </w:rPr>
            </w:pPr>
            <w:r w:rsidRPr="006E4648">
              <w:rPr>
                <w:rFonts w:cs="Times New Roman"/>
                <w:b/>
                <w:bCs/>
                <w:color w:val="000000"/>
                <w:szCs w:val="24"/>
              </w:rPr>
              <w:t>185</w:t>
            </w:r>
          </w:p>
        </w:tc>
        <w:tc>
          <w:tcPr>
            <w:tcW w:w="1260" w:type="dxa"/>
            <w:shd w:val="clear" w:color="auto" w:fill="auto"/>
            <w:noWrap/>
            <w:vAlign w:val="center"/>
          </w:tcPr>
          <w:p w14:paraId="0DFAD62B" w14:textId="77777777" w:rsidR="009B7E2A" w:rsidRPr="0055589E" w:rsidRDefault="000F5B51" w:rsidP="009B7E2A">
            <w:pPr>
              <w:spacing w:after="0" w:line="240" w:lineRule="auto"/>
              <w:jc w:val="center"/>
              <w:rPr>
                <w:rFonts w:cs="Times New Roman"/>
                <w:b/>
                <w:bCs/>
                <w:color w:val="000000"/>
                <w:szCs w:val="24"/>
              </w:rPr>
            </w:pPr>
            <w:r w:rsidRPr="006E4648">
              <w:rPr>
                <w:rFonts w:cs="Times New Roman"/>
                <w:b/>
                <w:bCs/>
                <w:color w:val="000000"/>
                <w:szCs w:val="24"/>
              </w:rPr>
              <w:t>3,970</w:t>
            </w:r>
          </w:p>
        </w:tc>
        <w:tc>
          <w:tcPr>
            <w:tcW w:w="1615" w:type="dxa"/>
            <w:shd w:val="clear" w:color="auto" w:fill="auto"/>
            <w:noWrap/>
            <w:vAlign w:val="center"/>
          </w:tcPr>
          <w:p w14:paraId="6AF6F59A" w14:textId="77777777" w:rsidR="009B7E2A" w:rsidRPr="0055589E" w:rsidRDefault="000F5B51" w:rsidP="009B7E2A">
            <w:pPr>
              <w:spacing w:after="0" w:line="240" w:lineRule="auto"/>
              <w:jc w:val="center"/>
              <w:rPr>
                <w:rFonts w:cs="Times New Roman"/>
                <w:b/>
                <w:bCs/>
                <w:color w:val="000000"/>
                <w:szCs w:val="24"/>
              </w:rPr>
            </w:pPr>
            <w:r>
              <w:rPr>
                <w:rFonts w:cs="Times New Roman"/>
                <w:b/>
                <w:bCs/>
                <w:color w:val="000000"/>
                <w:szCs w:val="24"/>
              </w:rPr>
              <w:t>-</w:t>
            </w:r>
          </w:p>
        </w:tc>
        <w:tc>
          <w:tcPr>
            <w:tcW w:w="1265" w:type="dxa"/>
            <w:shd w:val="clear" w:color="auto" w:fill="auto"/>
            <w:noWrap/>
            <w:vAlign w:val="center"/>
          </w:tcPr>
          <w:p w14:paraId="1F3907D0" w14:textId="77777777" w:rsidR="009B7E2A" w:rsidRPr="0055589E" w:rsidRDefault="000F5B51" w:rsidP="009B7E2A">
            <w:pPr>
              <w:spacing w:after="0" w:line="240" w:lineRule="auto"/>
              <w:jc w:val="center"/>
              <w:rPr>
                <w:rFonts w:cs="Times New Roman"/>
                <w:b/>
                <w:bCs/>
                <w:color w:val="000000"/>
                <w:szCs w:val="24"/>
              </w:rPr>
            </w:pPr>
            <w:r>
              <w:rPr>
                <w:rFonts w:cs="Times New Roman"/>
                <w:b/>
                <w:bCs/>
                <w:color w:val="000000"/>
                <w:szCs w:val="24"/>
              </w:rPr>
              <w:t>-</w:t>
            </w:r>
          </w:p>
        </w:tc>
        <w:tc>
          <w:tcPr>
            <w:tcW w:w="1345" w:type="dxa"/>
            <w:shd w:val="clear" w:color="auto" w:fill="auto"/>
            <w:noWrap/>
            <w:vAlign w:val="center"/>
          </w:tcPr>
          <w:p w14:paraId="69ED7B92" w14:textId="42A7EA0E" w:rsidR="009B7E2A" w:rsidRPr="0055589E" w:rsidRDefault="000F5B51" w:rsidP="009B7E2A">
            <w:pPr>
              <w:spacing w:after="0" w:line="240" w:lineRule="auto"/>
              <w:jc w:val="center"/>
              <w:rPr>
                <w:rFonts w:cs="Times New Roman"/>
                <w:b/>
                <w:bCs/>
                <w:color w:val="000000"/>
                <w:szCs w:val="24"/>
              </w:rPr>
            </w:pPr>
            <w:r w:rsidRPr="006E4648">
              <w:rPr>
                <w:rFonts w:cs="Times New Roman"/>
                <w:b/>
                <w:bCs/>
                <w:color w:val="000000"/>
                <w:szCs w:val="24"/>
              </w:rPr>
              <w:t>4,32</w:t>
            </w:r>
            <w:r w:rsidR="00060DA5">
              <w:rPr>
                <w:rFonts w:cs="Times New Roman"/>
                <w:b/>
                <w:bCs/>
                <w:color w:val="000000"/>
                <w:szCs w:val="24"/>
              </w:rPr>
              <w:t>5</w:t>
            </w:r>
          </w:p>
        </w:tc>
      </w:tr>
      <w:tr w:rsidR="00A15C2C" w14:paraId="74DDB28B" w14:textId="77777777" w:rsidTr="0055589E">
        <w:trPr>
          <w:trHeight w:val="300"/>
          <w:jc w:val="center"/>
        </w:trPr>
        <w:tc>
          <w:tcPr>
            <w:tcW w:w="2065" w:type="dxa"/>
            <w:shd w:val="clear" w:color="auto" w:fill="auto"/>
            <w:noWrap/>
            <w:vAlign w:val="bottom"/>
            <w:hideMark/>
          </w:tcPr>
          <w:p w14:paraId="6458FB24" w14:textId="77777777" w:rsidR="00134BA3" w:rsidRPr="0055589E" w:rsidRDefault="000F5B51" w:rsidP="00134BA3">
            <w:pPr>
              <w:spacing w:after="0" w:line="240" w:lineRule="auto"/>
              <w:rPr>
                <w:rFonts w:eastAsia="Times New Roman" w:cs="Times New Roman"/>
                <w:b/>
                <w:bCs/>
                <w:color w:val="000000"/>
                <w:szCs w:val="24"/>
              </w:rPr>
            </w:pPr>
            <w:r w:rsidRPr="0055589E">
              <w:rPr>
                <w:rFonts w:eastAsia="Times New Roman" w:cs="Times New Roman"/>
                <w:b/>
                <w:bCs/>
                <w:color w:val="000000"/>
                <w:szCs w:val="24"/>
              </w:rPr>
              <w:t>Fatality</w:t>
            </w:r>
          </w:p>
        </w:tc>
        <w:tc>
          <w:tcPr>
            <w:tcW w:w="1410" w:type="dxa"/>
            <w:shd w:val="clear" w:color="auto" w:fill="auto"/>
            <w:noWrap/>
            <w:vAlign w:val="center"/>
          </w:tcPr>
          <w:p w14:paraId="44A76D3E" w14:textId="77777777" w:rsidR="00134BA3" w:rsidRPr="0068771B" w:rsidRDefault="000F5B51" w:rsidP="00134BA3">
            <w:pPr>
              <w:spacing w:after="0" w:line="240" w:lineRule="auto"/>
              <w:jc w:val="center"/>
              <w:rPr>
                <w:rFonts w:eastAsia="Times New Roman" w:cs="Times New Roman"/>
                <w:b/>
                <w:bCs/>
                <w:color w:val="000000"/>
                <w:szCs w:val="24"/>
              </w:rPr>
            </w:pPr>
            <w:r w:rsidRPr="006E4648">
              <w:rPr>
                <w:rFonts w:cs="Times New Roman"/>
                <w:b/>
                <w:bCs/>
                <w:color w:val="000000"/>
                <w:szCs w:val="24"/>
              </w:rPr>
              <w:t>36</w:t>
            </w:r>
          </w:p>
        </w:tc>
        <w:tc>
          <w:tcPr>
            <w:tcW w:w="1560" w:type="dxa"/>
            <w:shd w:val="clear" w:color="auto" w:fill="auto"/>
            <w:noWrap/>
            <w:vAlign w:val="center"/>
          </w:tcPr>
          <w:p w14:paraId="6616C334" w14:textId="77777777" w:rsidR="00134BA3" w:rsidRPr="001D1C00" w:rsidRDefault="000F5B51" w:rsidP="00134BA3">
            <w:pPr>
              <w:spacing w:after="0" w:line="240" w:lineRule="auto"/>
              <w:jc w:val="center"/>
              <w:rPr>
                <w:rFonts w:eastAsia="Times New Roman" w:cs="Times New Roman"/>
                <w:b/>
                <w:color w:val="000000"/>
                <w:szCs w:val="24"/>
              </w:rPr>
            </w:pPr>
            <w:r w:rsidRPr="009B7C81">
              <w:rPr>
                <w:rFonts w:cs="Times New Roman"/>
                <w:b/>
                <w:bCs/>
                <w:color w:val="000000"/>
                <w:szCs w:val="24"/>
              </w:rPr>
              <w:t>25</w:t>
            </w:r>
          </w:p>
        </w:tc>
        <w:tc>
          <w:tcPr>
            <w:tcW w:w="1260" w:type="dxa"/>
            <w:shd w:val="clear" w:color="auto" w:fill="auto"/>
            <w:noWrap/>
            <w:vAlign w:val="center"/>
          </w:tcPr>
          <w:p w14:paraId="124BA05F" w14:textId="77777777" w:rsidR="00134BA3" w:rsidRPr="001D1C00" w:rsidRDefault="000F5B51" w:rsidP="00134BA3">
            <w:pPr>
              <w:spacing w:after="0" w:line="240" w:lineRule="auto"/>
              <w:jc w:val="center"/>
              <w:rPr>
                <w:rFonts w:eastAsia="Times New Roman" w:cs="Times New Roman"/>
                <w:b/>
                <w:color w:val="000000"/>
                <w:szCs w:val="24"/>
              </w:rPr>
            </w:pPr>
            <w:r w:rsidRPr="001D1C00">
              <w:rPr>
                <w:rFonts w:cs="Times New Roman"/>
                <w:b/>
                <w:color w:val="000000"/>
                <w:szCs w:val="24"/>
              </w:rPr>
              <w:t>61</w:t>
            </w:r>
          </w:p>
        </w:tc>
        <w:tc>
          <w:tcPr>
            <w:tcW w:w="1615" w:type="dxa"/>
            <w:shd w:val="clear" w:color="auto" w:fill="auto"/>
            <w:noWrap/>
            <w:vAlign w:val="center"/>
          </w:tcPr>
          <w:p w14:paraId="7A54275D" w14:textId="77777777" w:rsidR="00134BA3" w:rsidRPr="001D1C00" w:rsidRDefault="000F5B51" w:rsidP="00134BA3">
            <w:pPr>
              <w:spacing w:after="0" w:line="240" w:lineRule="auto"/>
              <w:jc w:val="center"/>
              <w:rPr>
                <w:rFonts w:eastAsia="Times New Roman" w:cs="Times New Roman"/>
                <w:b/>
                <w:color w:val="000000"/>
                <w:szCs w:val="24"/>
              </w:rPr>
            </w:pPr>
            <w:r w:rsidRPr="001D1C00">
              <w:rPr>
                <w:rFonts w:cs="Times New Roman"/>
                <w:b/>
                <w:color w:val="000000"/>
                <w:szCs w:val="24"/>
              </w:rPr>
              <w:t>0.7400</w:t>
            </w:r>
          </w:p>
        </w:tc>
        <w:tc>
          <w:tcPr>
            <w:tcW w:w="1265" w:type="dxa"/>
            <w:shd w:val="clear" w:color="auto" w:fill="auto"/>
            <w:noWrap/>
            <w:vAlign w:val="center"/>
          </w:tcPr>
          <w:p w14:paraId="0977063C" w14:textId="77777777" w:rsidR="00134BA3" w:rsidRPr="001D1C00" w:rsidRDefault="000F5B51" w:rsidP="00134BA3">
            <w:pPr>
              <w:spacing w:after="0" w:line="240" w:lineRule="auto"/>
              <w:jc w:val="center"/>
              <w:rPr>
                <w:rFonts w:eastAsia="Times New Roman" w:cs="Times New Roman"/>
                <w:b/>
                <w:color w:val="000000"/>
                <w:szCs w:val="24"/>
              </w:rPr>
            </w:pPr>
            <w:r>
              <w:rPr>
                <w:rFonts w:cs="Times New Roman"/>
                <w:b/>
                <w:bCs/>
                <w:color w:val="000000"/>
                <w:szCs w:val="24"/>
              </w:rPr>
              <w:t>0.88</w:t>
            </w:r>
            <w:r w:rsidR="00444687">
              <w:rPr>
                <w:rFonts w:cs="Times New Roman"/>
                <w:b/>
                <w:bCs/>
                <w:color w:val="000000"/>
                <w:szCs w:val="24"/>
              </w:rPr>
              <w:t>2</w:t>
            </w:r>
            <w:r>
              <w:rPr>
                <w:rFonts w:cs="Times New Roman"/>
                <w:b/>
                <w:bCs/>
                <w:color w:val="000000"/>
                <w:szCs w:val="24"/>
              </w:rPr>
              <w:t>5</w:t>
            </w:r>
          </w:p>
        </w:tc>
        <w:tc>
          <w:tcPr>
            <w:tcW w:w="1345" w:type="dxa"/>
            <w:shd w:val="clear" w:color="auto" w:fill="auto"/>
            <w:noWrap/>
            <w:vAlign w:val="center"/>
          </w:tcPr>
          <w:p w14:paraId="3636F18E" w14:textId="77777777" w:rsidR="00134BA3" w:rsidRPr="001D1C00" w:rsidRDefault="000F5B51" w:rsidP="00134BA3">
            <w:pPr>
              <w:spacing w:after="0" w:line="240" w:lineRule="auto"/>
              <w:jc w:val="center"/>
              <w:rPr>
                <w:rFonts w:eastAsia="Times New Roman" w:cs="Times New Roman"/>
                <w:b/>
                <w:color w:val="000000"/>
                <w:szCs w:val="24"/>
              </w:rPr>
            </w:pPr>
            <w:r w:rsidRPr="001D1C00">
              <w:rPr>
                <w:rFonts w:cs="Times New Roman"/>
                <w:b/>
                <w:color w:val="000000"/>
                <w:szCs w:val="24"/>
              </w:rPr>
              <w:t>177</w:t>
            </w:r>
          </w:p>
        </w:tc>
      </w:tr>
    </w:tbl>
    <w:p w14:paraId="78177627" w14:textId="77777777" w:rsidR="00640749" w:rsidRPr="0055589E" w:rsidRDefault="00640749" w:rsidP="0055589E">
      <w:pPr>
        <w:pStyle w:val="NoSpaceTimes"/>
      </w:pPr>
    </w:p>
    <w:p w14:paraId="371CB985" w14:textId="687ABD27" w:rsidR="00B91504" w:rsidRDefault="00115BAB">
      <w:r>
        <w:fldChar w:fldCharType="begin"/>
      </w:r>
      <w:r w:rsidR="000F5B51">
        <w:instrText xml:space="preserve"> REF _Ref126127609 </w:instrText>
      </w:r>
      <w:r>
        <w:fldChar w:fldCharType="separate"/>
      </w:r>
      <w:r w:rsidR="00A65CB3">
        <w:t xml:space="preserve">Table </w:t>
      </w:r>
      <w:r w:rsidR="00A65CB3">
        <w:rPr>
          <w:noProof/>
        </w:rPr>
        <w:t>43</w:t>
      </w:r>
      <w:r>
        <w:rPr>
          <w:noProof/>
        </w:rPr>
        <w:fldChar w:fldCharType="end"/>
      </w:r>
      <w:r w:rsidR="00320A36">
        <w:t xml:space="preserve"> </w:t>
      </w:r>
      <w:r w:rsidR="00F8494A">
        <w:t>presents the potential injuries</w:t>
      </w:r>
      <w:r w:rsidR="007649AB">
        <w:t xml:space="preserve"> and fatalities</w:t>
      </w:r>
      <w:r w:rsidR="00F8494A">
        <w:t xml:space="preserve"> for rear seat occupants</w:t>
      </w:r>
      <w:r w:rsidR="002751E1">
        <w:t xml:space="preserve"> </w:t>
      </w:r>
      <w:r w:rsidR="00F8494A">
        <w:t xml:space="preserve">11 years </w:t>
      </w:r>
      <w:r w:rsidR="002B09B3">
        <w:t>and</w:t>
      </w:r>
      <w:r w:rsidR="00F8494A">
        <w:t xml:space="preserve"> older by vehicle type</w:t>
      </w:r>
      <w:r w:rsidR="001F2F92">
        <w:t xml:space="preserve">. </w:t>
      </w:r>
      <w:r w:rsidR="00F8494A">
        <w:t xml:space="preserve">For rear seat occupants 11 years </w:t>
      </w:r>
      <w:r w:rsidR="002B09B3">
        <w:t>and</w:t>
      </w:r>
      <w:r w:rsidR="00F8494A">
        <w:t xml:space="preserve"> older in passenger cars, there</w:t>
      </w:r>
      <w:r w:rsidR="00592120">
        <w:t xml:space="preserve"> are</w:t>
      </w:r>
      <w:r w:rsidR="00F8494A">
        <w:t xml:space="preserve"> a total of </w:t>
      </w:r>
      <w:r w:rsidR="002751E1">
        <w:t>19,01</w:t>
      </w:r>
      <w:r w:rsidR="00012166">
        <w:t>4</w:t>
      </w:r>
      <w:r w:rsidR="00F8494A">
        <w:t xml:space="preserve"> </w:t>
      </w:r>
      <w:r w:rsidR="003E5261">
        <w:t xml:space="preserve">potential </w:t>
      </w:r>
      <w:r w:rsidR="00F8494A">
        <w:t>MAIS 1-5</w:t>
      </w:r>
      <w:r w:rsidR="00592120">
        <w:t xml:space="preserve"> </w:t>
      </w:r>
      <w:r w:rsidR="00F8494A">
        <w:t xml:space="preserve">injuries and </w:t>
      </w:r>
      <w:r w:rsidR="002751E1">
        <w:t>93</w:t>
      </w:r>
      <w:r w:rsidR="00012166">
        <w:t>6</w:t>
      </w:r>
      <w:r w:rsidR="00F8494A">
        <w:t xml:space="preserve"> </w:t>
      </w:r>
      <w:r w:rsidR="00592120">
        <w:t xml:space="preserve">potential </w:t>
      </w:r>
      <w:r w:rsidR="00F8494A">
        <w:t>fatalities</w:t>
      </w:r>
      <w:r w:rsidR="001F2F92">
        <w:t xml:space="preserve">. </w:t>
      </w:r>
      <w:r w:rsidR="00F8494A">
        <w:t xml:space="preserve">For rear seat occupants ages 11 years </w:t>
      </w:r>
      <w:r w:rsidR="002B09B3">
        <w:t>and</w:t>
      </w:r>
      <w:r w:rsidR="00F8494A">
        <w:t xml:space="preserve"> older in LTV</w:t>
      </w:r>
      <w:r w:rsidR="00926946">
        <w:t>s</w:t>
      </w:r>
      <w:r w:rsidR="00F8494A">
        <w:t xml:space="preserve">, there </w:t>
      </w:r>
      <w:r w:rsidR="00592120">
        <w:t xml:space="preserve">are </w:t>
      </w:r>
      <w:r w:rsidR="00F8494A">
        <w:t xml:space="preserve">a total of </w:t>
      </w:r>
      <w:r w:rsidR="00473751">
        <w:t>7,4</w:t>
      </w:r>
      <w:r w:rsidR="00012166">
        <w:t>81</w:t>
      </w:r>
      <w:r w:rsidR="00F8494A">
        <w:t xml:space="preserve"> </w:t>
      </w:r>
      <w:r w:rsidR="003E5261">
        <w:t xml:space="preserve">potential </w:t>
      </w:r>
      <w:r w:rsidR="00F8494A">
        <w:t>MAIS 1-5</w:t>
      </w:r>
      <w:r w:rsidR="00592120">
        <w:t xml:space="preserve"> </w:t>
      </w:r>
      <w:r w:rsidR="00F8494A">
        <w:t>injuries and</w:t>
      </w:r>
      <w:r w:rsidR="001266F8">
        <w:t xml:space="preserve"> 72</w:t>
      </w:r>
      <w:r w:rsidR="00012166">
        <w:t>1</w:t>
      </w:r>
      <w:r w:rsidR="00592120">
        <w:t xml:space="preserve"> potential</w:t>
      </w:r>
      <w:r w:rsidR="00F8494A">
        <w:t xml:space="preserve"> fatalities</w:t>
      </w:r>
      <w:r w:rsidR="001F2F92">
        <w:t xml:space="preserve">. </w:t>
      </w:r>
      <w:r w:rsidR="00EC6212">
        <w:t>Although those potential injuries and fatalities reflect a hypothetical case in which the seat belt use rate is zero,</w:t>
      </w:r>
      <w:r w:rsidR="00AA2BC1">
        <w:t xml:space="preserve"> this analysis uses potential injuries and fatalities to calculate </w:t>
      </w:r>
      <w:r w:rsidR="00EC6212">
        <w:t xml:space="preserve">the </w:t>
      </w:r>
      <w:r w:rsidR="00E337BB">
        <w:t xml:space="preserve">fatalities and non-fatal injuries </w:t>
      </w:r>
      <w:r w:rsidR="00051237">
        <w:t>prevented based on</w:t>
      </w:r>
      <w:r w:rsidR="00EC6212">
        <w:t xml:space="preserve"> the seat belt use rates under both the baseline and proposed rule</w:t>
      </w:r>
      <w:r w:rsidR="00AA2BC1">
        <w:t>.</w:t>
      </w:r>
    </w:p>
    <w:p w14:paraId="45B55B5C" w14:textId="72A8C043" w:rsidR="00435D89" w:rsidRDefault="00435D89"/>
    <w:p w14:paraId="4EE4C958" w14:textId="4CF42EF6" w:rsidR="00435D89" w:rsidRDefault="00435D89"/>
    <w:p w14:paraId="4EBA717A" w14:textId="77777777" w:rsidR="00435D89" w:rsidRDefault="00435D89"/>
    <w:p w14:paraId="6405E6D3" w14:textId="514EB348" w:rsidR="00585E76" w:rsidRDefault="000F5B51" w:rsidP="00585E76">
      <w:pPr>
        <w:pStyle w:val="Caption"/>
        <w:rPr>
          <w:noProof/>
        </w:rPr>
      </w:pPr>
      <w:bookmarkStart w:id="233" w:name="_Ref126127609"/>
      <w:r>
        <w:lastRenderedPageBreak/>
        <w:t xml:space="preserve">Table </w:t>
      </w:r>
      <w:r w:rsidR="00115BAB">
        <w:fldChar w:fldCharType="begin"/>
      </w:r>
      <w:r>
        <w:instrText xml:space="preserve"> SEQ Table \* ARABIC </w:instrText>
      </w:r>
      <w:r w:rsidR="00115BAB">
        <w:fldChar w:fldCharType="separate"/>
      </w:r>
      <w:r w:rsidR="00A65CB3">
        <w:rPr>
          <w:noProof/>
        </w:rPr>
        <w:t>43</w:t>
      </w:r>
      <w:r w:rsidR="00115BAB">
        <w:rPr>
          <w:noProof/>
        </w:rPr>
        <w:fldChar w:fldCharType="end"/>
      </w:r>
      <w:bookmarkEnd w:id="233"/>
      <w:r>
        <w:t>:</w:t>
      </w:r>
      <w:r w:rsidR="002751E1">
        <w:t xml:space="preserve"> </w:t>
      </w:r>
      <w:r>
        <w:t xml:space="preserve">Potential Injuries </w:t>
      </w:r>
      <w:r w:rsidR="007649AB">
        <w:t xml:space="preserve">and Fatalities </w:t>
      </w:r>
      <w:r>
        <w:t xml:space="preserve">for Rear Seat Occupants </w:t>
      </w:r>
      <w:r w:rsidR="00B91504">
        <w:t xml:space="preserve">11 </w:t>
      </w:r>
      <w:r w:rsidR="002B09B3">
        <w:t xml:space="preserve">Years and </w:t>
      </w:r>
      <w:r w:rsidR="00B91504">
        <w:t>Older by Vehicle Type</w:t>
      </w:r>
    </w:p>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65"/>
        <w:gridCol w:w="1410"/>
        <w:gridCol w:w="1560"/>
        <w:gridCol w:w="1260"/>
        <w:gridCol w:w="1615"/>
        <w:gridCol w:w="1265"/>
        <w:gridCol w:w="1345"/>
      </w:tblGrid>
      <w:tr w:rsidR="00A15C2C" w14:paraId="034DFE9B" w14:textId="77777777" w:rsidTr="005612A2">
        <w:trPr>
          <w:trHeight w:val="300"/>
          <w:jc w:val="center"/>
        </w:trPr>
        <w:tc>
          <w:tcPr>
            <w:tcW w:w="2065" w:type="dxa"/>
            <w:vMerge w:val="restart"/>
            <w:shd w:val="clear" w:color="auto" w:fill="D9D9D9" w:themeFill="background1" w:themeFillShade="D9"/>
            <w:noWrap/>
            <w:vAlign w:val="bottom"/>
          </w:tcPr>
          <w:p w14:paraId="51751FBE" w14:textId="77777777" w:rsidR="005612A2" w:rsidRDefault="005612A2" w:rsidP="00D65C7C">
            <w:pPr>
              <w:spacing w:line="240" w:lineRule="auto"/>
              <w:rPr>
                <w:rFonts w:eastAsia="Times New Roman" w:cs="Times New Roman"/>
                <w:b/>
                <w:bCs/>
                <w:color w:val="000000"/>
                <w:szCs w:val="24"/>
              </w:rPr>
            </w:pPr>
          </w:p>
          <w:p w14:paraId="154F95DE" w14:textId="77777777" w:rsidR="005612A2" w:rsidRDefault="000F5B51" w:rsidP="00D65C7C">
            <w:pPr>
              <w:spacing w:line="240" w:lineRule="auto"/>
              <w:rPr>
                <w:rFonts w:eastAsia="Times New Roman" w:cs="Times New Roman"/>
                <w:b/>
                <w:bCs/>
                <w:color w:val="000000"/>
                <w:szCs w:val="24"/>
              </w:rPr>
            </w:pPr>
            <w:r>
              <w:rPr>
                <w:rFonts w:eastAsia="Times New Roman" w:cs="Times New Roman"/>
                <w:b/>
                <w:bCs/>
                <w:color w:val="000000"/>
                <w:szCs w:val="24"/>
              </w:rPr>
              <w:t xml:space="preserve">Injury Severity </w:t>
            </w:r>
          </w:p>
        </w:tc>
        <w:tc>
          <w:tcPr>
            <w:tcW w:w="4230" w:type="dxa"/>
            <w:gridSpan w:val="3"/>
            <w:shd w:val="clear" w:color="auto" w:fill="D9D9D9" w:themeFill="background1" w:themeFillShade="D9"/>
            <w:noWrap/>
            <w:vAlign w:val="center"/>
          </w:tcPr>
          <w:p w14:paraId="293510F5" w14:textId="77777777" w:rsidR="005612A2" w:rsidRPr="00954B78" w:rsidRDefault="000F5B51" w:rsidP="00D65C7C">
            <w:pPr>
              <w:spacing w:line="240" w:lineRule="auto"/>
              <w:jc w:val="center"/>
              <w:rPr>
                <w:rFonts w:eastAsia="Times New Roman" w:cs="Times New Roman"/>
                <w:b/>
                <w:bCs/>
                <w:color w:val="000000"/>
                <w:szCs w:val="24"/>
              </w:rPr>
            </w:pPr>
            <w:r>
              <w:rPr>
                <w:rFonts w:eastAsia="Times New Roman" w:cs="Times New Roman"/>
                <w:b/>
                <w:bCs/>
                <w:color w:val="000000"/>
                <w:szCs w:val="24"/>
              </w:rPr>
              <w:t>Target Population</w:t>
            </w:r>
          </w:p>
        </w:tc>
        <w:tc>
          <w:tcPr>
            <w:tcW w:w="1615" w:type="dxa"/>
            <w:vMerge w:val="restart"/>
            <w:shd w:val="clear" w:color="auto" w:fill="D9D9D9" w:themeFill="background1" w:themeFillShade="D9"/>
            <w:noWrap/>
            <w:vAlign w:val="center"/>
          </w:tcPr>
          <w:p w14:paraId="73D86064" w14:textId="77777777" w:rsidR="005612A2" w:rsidRPr="00954B78" w:rsidRDefault="000F5B51" w:rsidP="00D65C7C">
            <w:pPr>
              <w:spacing w:line="240" w:lineRule="auto"/>
              <w:jc w:val="center"/>
              <w:rPr>
                <w:rFonts w:eastAsia="Times New Roman" w:cs="Times New Roman"/>
                <w:b/>
                <w:bCs/>
                <w:color w:val="000000"/>
                <w:szCs w:val="24"/>
              </w:rPr>
            </w:pPr>
            <w:r>
              <w:rPr>
                <w:rFonts w:eastAsia="Times New Roman" w:cs="Times New Roman"/>
                <w:b/>
                <w:bCs/>
                <w:color w:val="000000"/>
                <w:szCs w:val="24"/>
              </w:rPr>
              <w:t>Seat Belt Effectiveness</w:t>
            </w:r>
          </w:p>
        </w:tc>
        <w:tc>
          <w:tcPr>
            <w:tcW w:w="1265" w:type="dxa"/>
            <w:vMerge w:val="restart"/>
            <w:shd w:val="clear" w:color="auto" w:fill="D9D9D9" w:themeFill="background1" w:themeFillShade="D9"/>
            <w:noWrap/>
            <w:vAlign w:val="center"/>
          </w:tcPr>
          <w:p w14:paraId="4EF6D0EA" w14:textId="77777777" w:rsidR="005612A2" w:rsidRPr="00954B78" w:rsidRDefault="000F5B51" w:rsidP="00D65C7C">
            <w:pPr>
              <w:spacing w:line="240" w:lineRule="auto"/>
              <w:jc w:val="center"/>
              <w:rPr>
                <w:rFonts w:eastAsia="Times New Roman" w:cs="Times New Roman"/>
                <w:b/>
                <w:bCs/>
                <w:color w:val="000000"/>
                <w:szCs w:val="24"/>
              </w:rPr>
            </w:pPr>
            <w:r>
              <w:rPr>
                <w:rFonts w:eastAsia="Times New Roman" w:cs="Times New Roman"/>
                <w:b/>
                <w:bCs/>
                <w:color w:val="000000"/>
                <w:szCs w:val="24"/>
              </w:rPr>
              <w:t>Current Seat Belt Use Rate</w:t>
            </w:r>
          </w:p>
        </w:tc>
        <w:tc>
          <w:tcPr>
            <w:tcW w:w="1345" w:type="dxa"/>
            <w:vMerge w:val="restart"/>
            <w:shd w:val="clear" w:color="auto" w:fill="D9D9D9" w:themeFill="background1" w:themeFillShade="D9"/>
            <w:noWrap/>
            <w:vAlign w:val="center"/>
          </w:tcPr>
          <w:p w14:paraId="6DB9931F" w14:textId="77777777" w:rsidR="005612A2" w:rsidRPr="00954B78" w:rsidRDefault="000F5B51" w:rsidP="00D65C7C">
            <w:pPr>
              <w:spacing w:line="240" w:lineRule="auto"/>
              <w:jc w:val="center"/>
              <w:rPr>
                <w:rFonts w:eastAsia="Times New Roman" w:cs="Times New Roman"/>
                <w:b/>
                <w:bCs/>
                <w:color w:val="000000"/>
                <w:szCs w:val="24"/>
              </w:rPr>
            </w:pPr>
            <w:r w:rsidRPr="00954B78">
              <w:rPr>
                <w:rFonts w:eastAsia="Times New Roman" w:cs="Times New Roman"/>
                <w:b/>
                <w:bCs/>
                <w:color w:val="000000"/>
                <w:szCs w:val="24"/>
              </w:rPr>
              <w:t>Potential Injuries</w:t>
            </w:r>
            <w:r>
              <w:rPr>
                <w:rFonts w:eastAsia="Times New Roman" w:cs="Times New Roman"/>
                <w:b/>
                <w:bCs/>
                <w:color w:val="000000"/>
                <w:szCs w:val="24"/>
              </w:rPr>
              <w:t xml:space="preserve"> and Fatalities</w:t>
            </w:r>
          </w:p>
        </w:tc>
      </w:tr>
      <w:tr w:rsidR="00A15C2C" w14:paraId="45305C92" w14:textId="77777777" w:rsidTr="00640749">
        <w:trPr>
          <w:trHeight w:val="300"/>
          <w:jc w:val="center"/>
        </w:trPr>
        <w:tc>
          <w:tcPr>
            <w:tcW w:w="2065" w:type="dxa"/>
            <w:vMerge/>
            <w:shd w:val="clear" w:color="auto" w:fill="D9D9D9" w:themeFill="background1" w:themeFillShade="D9"/>
            <w:noWrap/>
            <w:vAlign w:val="bottom"/>
          </w:tcPr>
          <w:p w14:paraId="622D3AFA" w14:textId="77777777" w:rsidR="005612A2" w:rsidRPr="00954B78" w:rsidRDefault="005612A2" w:rsidP="00D65C7C">
            <w:pPr>
              <w:spacing w:line="240" w:lineRule="auto"/>
              <w:rPr>
                <w:rFonts w:eastAsia="Times New Roman" w:cs="Times New Roman"/>
                <w:b/>
                <w:bCs/>
                <w:color w:val="000000"/>
                <w:szCs w:val="24"/>
              </w:rPr>
            </w:pPr>
          </w:p>
        </w:tc>
        <w:tc>
          <w:tcPr>
            <w:tcW w:w="1410" w:type="dxa"/>
            <w:shd w:val="clear" w:color="auto" w:fill="D9D9D9" w:themeFill="background1" w:themeFillShade="D9"/>
            <w:noWrap/>
            <w:vAlign w:val="center"/>
          </w:tcPr>
          <w:p w14:paraId="7C3C6B46" w14:textId="77777777" w:rsidR="005612A2" w:rsidRPr="00954B78" w:rsidRDefault="000F5B51" w:rsidP="00D65C7C">
            <w:pPr>
              <w:spacing w:line="240" w:lineRule="auto"/>
              <w:jc w:val="center"/>
              <w:rPr>
                <w:rFonts w:eastAsia="Times New Roman" w:cs="Times New Roman"/>
                <w:b/>
                <w:bCs/>
                <w:color w:val="000000"/>
                <w:szCs w:val="24"/>
              </w:rPr>
            </w:pPr>
            <w:r>
              <w:rPr>
                <w:rFonts w:eastAsia="Times New Roman" w:cs="Times New Roman"/>
                <w:b/>
                <w:bCs/>
                <w:color w:val="000000"/>
                <w:szCs w:val="24"/>
              </w:rPr>
              <w:t>Restrained</w:t>
            </w:r>
          </w:p>
        </w:tc>
        <w:tc>
          <w:tcPr>
            <w:tcW w:w="1560" w:type="dxa"/>
            <w:shd w:val="clear" w:color="auto" w:fill="D9D9D9" w:themeFill="background1" w:themeFillShade="D9"/>
            <w:noWrap/>
            <w:vAlign w:val="center"/>
          </w:tcPr>
          <w:p w14:paraId="34EC6733" w14:textId="77777777" w:rsidR="005612A2" w:rsidRPr="0055589E" w:rsidRDefault="000F5B51" w:rsidP="00D65C7C">
            <w:pPr>
              <w:spacing w:line="240" w:lineRule="auto"/>
              <w:jc w:val="center"/>
              <w:rPr>
                <w:rFonts w:eastAsia="Times New Roman" w:cs="Times New Roman"/>
                <w:b/>
                <w:bCs/>
                <w:color w:val="000000"/>
                <w:sz w:val="23"/>
                <w:szCs w:val="23"/>
              </w:rPr>
            </w:pPr>
            <w:r w:rsidRPr="0055589E">
              <w:rPr>
                <w:rFonts w:eastAsia="Times New Roman" w:cs="Times New Roman"/>
                <w:b/>
                <w:bCs/>
                <w:color w:val="000000"/>
                <w:sz w:val="23"/>
                <w:szCs w:val="23"/>
              </w:rPr>
              <w:t>Unrestrained</w:t>
            </w:r>
          </w:p>
        </w:tc>
        <w:tc>
          <w:tcPr>
            <w:tcW w:w="1260" w:type="dxa"/>
            <w:shd w:val="clear" w:color="auto" w:fill="D9D9D9" w:themeFill="background1" w:themeFillShade="D9"/>
            <w:noWrap/>
            <w:vAlign w:val="center"/>
          </w:tcPr>
          <w:p w14:paraId="6C3FD249" w14:textId="77777777" w:rsidR="005612A2" w:rsidRPr="00954B78" w:rsidRDefault="000F5B51" w:rsidP="00D65C7C">
            <w:pPr>
              <w:spacing w:line="240" w:lineRule="auto"/>
              <w:jc w:val="center"/>
              <w:rPr>
                <w:rFonts w:eastAsia="Times New Roman" w:cs="Times New Roman"/>
                <w:b/>
                <w:bCs/>
                <w:color w:val="000000"/>
                <w:szCs w:val="24"/>
              </w:rPr>
            </w:pPr>
            <w:r>
              <w:rPr>
                <w:rFonts w:eastAsia="Times New Roman" w:cs="Times New Roman"/>
                <w:b/>
                <w:bCs/>
                <w:color w:val="000000"/>
                <w:szCs w:val="24"/>
              </w:rPr>
              <w:t xml:space="preserve">Total </w:t>
            </w:r>
          </w:p>
        </w:tc>
        <w:tc>
          <w:tcPr>
            <w:tcW w:w="1615" w:type="dxa"/>
            <w:vMerge/>
            <w:shd w:val="clear" w:color="auto" w:fill="D9D9D9" w:themeFill="background1" w:themeFillShade="D9"/>
            <w:noWrap/>
            <w:vAlign w:val="center"/>
          </w:tcPr>
          <w:p w14:paraId="677334A7" w14:textId="77777777" w:rsidR="005612A2" w:rsidRPr="00954B78" w:rsidRDefault="005612A2" w:rsidP="00D65C7C">
            <w:pPr>
              <w:spacing w:line="240" w:lineRule="auto"/>
              <w:jc w:val="center"/>
              <w:rPr>
                <w:rFonts w:eastAsia="Times New Roman" w:cs="Times New Roman"/>
                <w:b/>
                <w:bCs/>
                <w:color w:val="000000"/>
                <w:szCs w:val="24"/>
              </w:rPr>
            </w:pPr>
          </w:p>
        </w:tc>
        <w:tc>
          <w:tcPr>
            <w:tcW w:w="1265" w:type="dxa"/>
            <w:vMerge/>
            <w:shd w:val="clear" w:color="auto" w:fill="D9D9D9" w:themeFill="background1" w:themeFillShade="D9"/>
            <w:noWrap/>
            <w:vAlign w:val="center"/>
          </w:tcPr>
          <w:p w14:paraId="49B7C781" w14:textId="77777777" w:rsidR="005612A2" w:rsidRPr="00954B78" w:rsidRDefault="005612A2" w:rsidP="00D65C7C">
            <w:pPr>
              <w:spacing w:line="240" w:lineRule="auto"/>
              <w:jc w:val="center"/>
              <w:rPr>
                <w:rFonts w:eastAsia="Times New Roman" w:cs="Times New Roman"/>
                <w:b/>
                <w:bCs/>
                <w:color w:val="000000"/>
                <w:szCs w:val="24"/>
              </w:rPr>
            </w:pPr>
          </w:p>
        </w:tc>
        <w:tc>
          <w:tcPr>
            <w:tcW w:w="1345" w:type="dxa"/>
            <w:vMerge/>
            <w:shd w:val="clear" w:color="auto" w:fill="D9D9D9" w:themeFill="background1" w:themeFillShade="D9"/>
            <w:noWrap/>
            <w:vAlign w:val="center"/>
          </w:tcPr>
          <w:p w14:paraId="2A6D7BBA" w14:textId="77777777" w:rsidR="005612A2" w:rsidRPr="00954B78" w:rsidRDefault="005612A2" w:rsidP="00D65C7C">
            <w:pPr>
              <w:spacing w:line="240" w:lineRule="auto"/>
              <w:jc w:val="center"/>
              <w:rPr>
                <w:rFonts w:eastAsia="Times New Roman" w:cs="Times New Roman"/>
                <w:b/>
                <w:bCs/>
                <w:color w:val="000000"/>
                <w:szCs w:val="24"/>
              </w:rPr>
            </w:pPr>
          </w:p>
        </w:tc>
      </w:tr>
      <w:tr w:rsidR="00A15C2C" w14:paraId="49CDB197" w14:textId="77777777" w:rsidTr="0055589E">
        <w:trPr>
          <w:trHeight w:val="20"/>
          <w:jc w:val="center"/>
        </w:trPr>
        <w:tc>
          <w:tcPr>
            <w:tcW w:w="10520" w:type="dxa"/>
            <w:gridSpan w:val="7"/>
            <w:shd w:val="clear" w:color="auto" w:fill="D9D9D9" w:themeFill="background1" w:themeFillShade="D9"/>
            <w:noWrap/>
            <w:vAlign w:val="center"/>
            <w:hideMark/>
          </w:tcPr>
          <w:p w14:paraId="6B5C2A3F" w14:textId="77777777" w:rsidR="00B91504" w:rsidRPr="0055589E" w:rsidRDefault="000F5B51" w:rsidP="0055589E">
            <w:pPr>
              <w:spacing w:after="0" w:line="240" w:lineRule="auto"/>
              <w:ind w:firstLineChars="100" w:firstLine="241"/>
              <w:jc w:val="center"/>
              <w:rPr>
                <w:rFonts w:eastAsia="Times New Roman" w:cs="Times New Roman"/>
                <w:b/>
                <w:bCs/>
                <w:i/>
                <w:iCs/>
                <w:color w:val="000000"/>
                <w:szCs w:val="24"/>
              </w:rPr>
            </w:pPr>
            <w:r w:rsidRPr="0055589E">
              <w:rPr>
                <w:rFonts w:eastAsia="Times New Roman" w:cs="Times New Roman"/>
                <w:b/>
                <w:bCs/>
                <w:i/>
                <w:iCs/>
                <w:color w:val="000000"/>
                <w:szCs w:val="24"/>
              </w:rPr>
              <w:t>Passenger Car</w:t>
            </w:r>
          </w:p>
        </w:tc>
      </w:tr>
      <w:tr w:rsidR="00A15C2C" w14:paraId="681D0CAB" w14:textId="77777777" w:rsidTr="00640749">
        <w:trPr>
          <w:trHeight w:val="300"/>
          <w:jc w:val="center"/>
        </w:trPr>
        <w:tc>
          <w:tcPr>
            <w:tcW w:w="2065" w:type="dxa"/>
            <w:shd w:val="clear" w:color="auto" w:fill="auto"/>
            <w:noWrap/>
            <w:vAlign w:val="bottom"/>
          </w:tcPr>
          <w:p w14:paraId="7322CDB0" w14:textId="77777777" w:rsidR="000F3EA4" w:rsidRPr="00954B78" w:rsidRDefault="000F5B51" w:rsidP="0055589E">
            <w:pPr>
              <w:spacing w:after="0" w:line="240" w:lineRule="auto"/>
              <w:rPr>
                <w:rFonts w:eastAsia="Times New Roman" w:cs="Times New Roman"/>
                <w:color w:val="000000"/>
                <w:szCs w:val="24"/>
              </w:rPr>
            </w:pPr>
            <w:r>
              <w:rPr>
                <w:rFonts w:eastAsia="Times New Roman" w:cs="Times New Roman"/>
                <w:color w:val="000000"/>
                <w:szCs w:val="24"/>
              </w:rPr>
              <w:t>MAIS 1</w:t>
            </w:r>
          </w:p>
        </w:tc>
        <w:tc>
          <w:tcPr>
            <w:tcW w:w="1410" w:type="dxa"/>
            <w:shd w:val="clear" w:color="auto" w:fill="auto"/>
            <w:noWrap/>
            <w:vAlign w:val="center"/>
            <w:hideMark/>
          </w:tcPr>
          <w:p w14:paraId="1939BEFE" w14:textId="77777777" w:rsidR="000F3EA4" w:rsidRPr="00954B78" w:rsidRDefault="000F5B51" w:rsidP="000F3EA4">
            <w:pPr>
              <w:spacing w:after="0" w:line="240" w:lineRule="auto"/>
              <w:jc w:val="center"/>
              <w:rPr>
                <w:rFonts w:eastAsia="Times New Roman" w:cs="Times New Roman"/>
                <w:color w:val="000000"/>
                <w:szCs w:val="24"/>
              </w:rPr>
            </w:pPr>
            <w:r w:rsidRPr="00954B78">
              <w:rPr>
                <w:rFonts w:cs="Times New Roman"/>
                <w:color w:val="000000"/>
                <w:szCs w:val="24"/>
              </w:rPr>
              <w:t>12,853</w:t>
            </w:r>
          </w:p>
        </w:tc>
        <w:tc>
          <w:tcPr>
            <w:tcW w:w="1560" w:type="dxa"/>
            <w:shd w:val="clear" w:color="auto" w:fill="auto"/>
            <w:noWrap/>
            <w:vAlign w:val="center"/>
            <w:hideMark/>
          </w:tcPr>
          <w:p w14:paraId="5760D909" w14:textId="77777777" w:rsidR="000F3EA4" w:rsidRPr="00954B78" w:rsidRDefault="000F5B51" w:rsidP="000F3EA4">
            <w:pPr>
              <w:spacing w:after="0" w:line="240" w:lineRule="auto"/>
              <w:jc w:val="center"/>
              <w:rPr>
                <w:rFonts w:eastAsia="Times New Roman" w:cs="Times New Roman"/>
                <w:color w:val="000000"/>
                <w:szCs w:val="24"/>
              </w:rPr>
            </w:pPr>
            <w:r w:rsidRPr="00954B78">
              <w:rPr>
                <w:rFonts w:cs="Times New Roman"/>
                <w:color w:val="000000"/>
                <w:szCs w:val="24"/>
              </w:rPr>
              <w:t>2,257</w:t>
            </w:r>
          </w:p>
        </w:tc>
        <w:tc>
          <w:tcPr>
            <w:tcW w:w="1260" w:type="dxa"/>
            <w:shd w:val="clear" w:color="auto" w:fill="auto"/>
            <w:noWrap/>
            <w:vAlign w:val="center"/>
            <w:hideMark/>
          </w:tcPr>
          <w:p w14:paraId="3973020A" w14:textId="77777777" w:rsidR="000F3EA4" w:rsidRPr="00954B78" w:rsidRDefault="000F5B51" w:rsidP="000F3EA4">
            <w:pPr>
              <w:spacing w:after="0" w:line="240" w:lineRule="auto"/>
              <w:jc w:val="center"/>
              <w:rPr>
                <w:rFonts w:eastAsia="Times New Roman" w:cs="Times New Roman"/>
                <w:color w:val="000000"/>
                <w:szCs w:val="24"/>
              </w:rPr>
            </w:pPr>
            <w:r w:rsidRPr="00954B78">
              <w:rPr>
                <w:rFonts w:cs="Times New Roman"/>
                <w:color w:val="000000"/>
                <w:szCs w:val="24"/>
              </w:rPr>
              <w:t>15,111</w:t>
            </w:r>
          </w:p>
        </w:tc>
        <w:tc>
          <w:tcPr>
            <w:tcW w:w="1615" w:type="dxa"/>
            <w:shd w:val="clear" w:color="auto" w:fill="auto"/>
            <w:noWrap/>
            <w:vAlign w:val="center"/>
            <w:hideMark/>
          </w:tcPr>
          <w:p w14:paraId="0C221653" w14:textId="77777777" w:rsidR="000F3EA4" w:rsidRPr="00954B78" w:rsidRDefault="000F5B51" w:rsidP="000F3EA4">
            <w:pPr>
              <w:spacing w:after="0" w:line="240" w:lineRule="auto"/>
              <w:jc w:val="center"/>
              <w:rPr>
                <w:rFonts w:eastAsia="Times New Roman" w:cs="Times New Roman"/>
                <w:color w:val="000000"/>
                <w:szCs w:val="24"/>
              </w:rPr>
            </w:pPr>
            <w:r w:rsidRPr="00954B78">
              <w:rPr>
                <w:rFonts w:cs="Times New Roman"/>
                <w:color w:val="000000"/>
                <w:szCs w:val="24"/>
              </w:rPr>
              <w:t>0.055</w:t>
            </w:r>
          </w:p>
        </w:tc>
        <w:tc>
          <w:tcPr>
            <w:tcW w:w="1265" w:type="dxa"/>
            <w:shd w:val="clear" w:color="auto" w:fill="auto"/>
            <w:noWrap/>
            <w:vAlign w:val="center"/>
            <w:hideMark/>
          </w:tcPr>
          <w:p w14:paraId="12BF15B8" w14:textId="77777777" w:rsidR="000F3EA4" w:rsidRPr="00954B78" w:rsidRDefault="000F5B51" w:rsidP="000F3EA4">
            <w:pPr>
              <w:spacing w:after="0" w:line="240" w:lineRule="auto"/>
              <w:jc w:val="center"/>
              <w:rPr>
                <w:rFonts w:eastAsia="Times New Roman" w:cs="Times New Roman"/>
                <w:color w:val="000000"/>
                <w:szCs w:val="24"/>
              </w:rPr>
            </w:pPr>
            <w:r>
              <w:rPr>
                <w:rFonts w:cs="Times New Roman"/>
                <w:color w:val="000000"/>
                <w:szCs w:val="24"/>
              </w:rPr>
              <w:t>0.7512</w:t>
            </w:r>
          </w:p>
        </w:tc>
        <w:tc>
          <w:tcPr>
            <w:tcW w:w="1345" w:type="dxa"/>
            <w:shd w:val="clear" w:color="auto" w:fill="auto"/>
            <w:noWrap/>
            <w:vAlign w:val="center"/>
            <w:hideMark/>
          </w:tcPr>
          <w:p w14:paraId="47B0E3B9" w14:textId="77777777" w:rsidR="000F3EA4" w:rsidRPr="00954B78" w:rsidRDefault="000F5B51" w:rsidP="000F3EA4">
            <w:pPr>
              <w:spacing w:after="0" w:line="240" w:lineRule="auto"/>
              <w:jc w:val="center"/>
              <w:rPr>
                <w:rFonts w:eastAsia="Times New Roman" w:cs="Times New Roman"/>
                <w:color w:val="000000"/>
                <w:szCs w:val="24"/>
              </w:rPr>
            </w:pPr>
            <w:r w:rsidRPr="00954B78">
              <w:rPr>
                <w:rFonts w:cs="Times New Roman"/>
                <w:color w:val="000000"/>
                <w:szCs w:val="24"/>
              </w:rPr>
              <w:t>15,762</w:t>
            </w:r>
          </w:p>
        </w:tc>
      </w:tr>
      <w:tr w:rsidR="00A15C2C" w14:paraId="2FA7A0E6" w14:textId="77777777" w:rsidTr="0055589E">
        <w:trPr>
          <w:trHeight w:val="300"/>
          <w:jc w:val="center"/>
        </w:trPr>
        <w:tc>
          <w:tcPr>
            <w:tcW w:w="2065" w:type="dxa"/>
            <w:shd w:val="clear" w:color="auto" w:fill="auto"/>
            <w:noWrap/>
          </w:tcPr>
          <w:p w14:paraId="3D7BDB81" w14:textId="77777777" w:rsidR="000F3EA4" w:rsidRPr="00954B78" w:rsidRDefault="000F5B51" w:rsidP="0055589E">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2</w:t>
            </w:r>
          </w:p>
        </w:tc>
        <w:tc>
          <w:tcPr>
            <w:tcW w:w="1410" w:type="dxa"/>
            <w:shd w:val="clear" w:color="auto" w:fill="auto"/>
            <w:noWrap/>
            <w:vAlign w:val="center"/>
            <w:hideMark/>
          </w:tcPr>
          <w:p w14:paraId="53A0C678" w14:textId="77777777" w:rsidR="000F3EA4" w:rsidRPr="00954B78" w:rsidRDefault="000F5B51" w:rsidP="000F3EA4">
            <w:pPr>
              <w:spacing w:after="0" w:line="240" w:lineRule="auto"/>
              <w:jc w:val="center"/>
              <w:rPr>
                <w:rFonts w:eastAsia="Times New Roman" w:cs="Times New Roman"/>
                <w:color w:val="000000"/>
                <w:szCs w:val="24"/>
              </w:rPr>
            </w:pPr>
            <w:r w:rsidRPr="00954B78">
              <w:rPr>
                <w:rFonts w:cs="Times New Roman"/>
                <w:color w:val="000000"/>
                <w:szCs w:val="24"/>
              </w:rPr>
              <w:t>308</w:t>
            </w:r>
          </w:p>
        </w:tc>
        <w:tc>
          <w:tcPr>
            <w:tcW w:w="1560" w:type="dxa"/>
            <w:shd w:val="clear" w:color="auto" w:fill="auto"/>
            <w:noWrap/>
            <w:vAlign w:val="center"/>
            <w:hideMark/>
          </w:tcPr>
          <w:p w14:paraId="59EAC4EE" w14:textId="77777777" w:rsidR="000F3EA4" w:rsidRPr="00954B78" w:rsidRDefault="000F5B51" w:rsidP="000F3EA4">
            <w:pPr>
              <w:spacing w:after="0" w:line="240" w:lineRule="auto"/>
              <w:jc w:val="center"/>
              <w:rPr>
                <w:rFonts w:eastAsia="Times New Roman" w:cs="Times New Roman"/>
                <w:color w:val="000000"/>
                <w:szCs w:val="24"/>
              </w:rPr>
            </w:pPr>
            <w:r w:rsidRPr="00954B78">
              <w:rPr>
                <w:rFonts w:cs="Times New Roman"/>
                <w:color w:val="000000"/>
                <w:szCs w:val="24"/>
              </w:rPr>
              <w:t>964</w:t>
            </w:r>
          </w:p>
        </w:tc>
        <w:tc>
          <w:tcPr>
            <w:tcW w:w="1260" w:type="dxa"/>
            <w:shd w:val="clear" w:color="auto" w:fill="auto"/>
            <w:noWrap/>
            <w:vAlign w:val="center"/>
            <w:hideMark/>
          </w:tcPr>
          <w:p w14:paraId="1E91C869" w14:textId="77777777" w:rsidR="000F3EA4" w:rsidRPr="00954B78" w:rsidRDefault="000F5B51" w:rsidP="000F3EA4">
            <w:pPr>
              <w:spacing w:after="0" w:line="240" w:lineRule="auto"/>
              <w:jc w:val="center"/>
              <w:rPr>
                <w:rFonts w:eastAsia="Times New Roman" w:cs="Times New Roman"/>
                <w:color w:val="000000"/>
                <w:szCs w:val="24"/>
              </w:rPr>
            </w:pPr>
            <w:r w:rsidRPr="00954B78">
              <w:rPr>
                <w:rFonts w:cs="Times New Roman"/>
                <w:color w:val="000000"/>
                <w:szCs w:val="24"/>
              </w:rPr>
              <w:t>1,272</w:t>
            </w:r>
          </w:p>
        </w:tc>
        <w:tc>
          <w:tcPr>
            <w:tcW w:w="1615" w:type="dxa"/>
            <w:shd w:val="clear" w:color="auto" w:fill="auto"/>
            <w:noWrap/>
            <w:vAlign w:val="center"/>
            <w:hideMark/>
          </w:tcPr>
          <w:p w14:paraId="59C237D7" w14:textId="77777777" w:rsidR="000F3EA4" w:rsidRPr="00954B78" w:rsidRDefault="000F5B51" w:rsidP="000F3EA4">
            <w:pPr>
              <w:spacing w:after="0" w:line="240" w:lineRule="auto"/>
              <w:jc w:val="center"/>
              <w:rPr>
                <w:rFonts w:eastAsia="Times New Roman" w:cs="Times New Roman"/>
                <w:color w:val="000000"/>
                <w:szCs w:val="24"/>
              </w:rPr>
            </w:pPr>
            <w:r w:rsidRPr="00954B78">
              <w:rPr>
                <w:rFonts w:cs="Times New Roman"/>
                <w:color w:val="000000"/>
                <w:szCs w:val="24"/>
              </w:rPr>
              <w:t>0.625</w:t>
            </w:r>
          </w:p>
        </w:tc>
        <w:tc>
          <w:tcPr>
            <w:tcW w:w="1265" w:type="dxa"/>
            <w:shd w:val="clear" w:color="auto" w:fill="auto"/>
            <w:noWrap/>
            <w:vAlign w:val="center"/>
            <w:hideMark/>
          </w:tcPr>
          <w:p w14:paraId="0AE508D4" w14:textId="77777777" w:rsidR="000F3EA4" w:rsidRPr="00954B78" w:rsidRDefault="000F5B51" w:rsidP="000F3EA4">
            <w:pPr>
              <w:spacing w:after="0" w:line="240" w:lineRule="auto"/>
              <w:jc w:val="center"/>
              <w:rPr>
                <w:rFonts w:eastAsia="Times New Roman" w:cs="Times New Roman"/>
                <w:color w:val="000000"/>
                <w:szCs w:val="24"/>
              </w:rPr>
            </w:pPr>
            <w:r w:rsidRPr="006B7B84">
              <w:rPr>
                <w:rFonts w:cs="Times New Roman"/>
                <w:color w:val="000000"/>
                <w:szCs w:val="24"/>
              </w:rPr>
              <w:t>0.7512</w:t>
            </w:r>
          </w:p>
        </w:tc>
        <w:tc>
          <w:tcPr>
            <w:tcW w:w="1345" w:type="dxa"/>
            <w:shd w:val="clear" w:color="auto" w:fill="auto"/>
            <w:noWrap/>
            <w:vAlign w:val="center"/>
            <w:hideMark/>
          </w:tcPr>
          <w:p w14:paraId="0F9058B4" w14:textId="77777777" w:rsidR="000F3EA4" w:rsidRPr="00954B78" w:rsidRDefault="000F5B51" w:rsidP="000F3EA4">
            <w:pPr>
              <w:spacing w:after="0" w:line="240" w:lineRule="auto"/>
              <w:jc w:val="center"/>
              <w:rPr>
                <w:rFonts w:eastAsia="Times New Roman" w:cs="Times New Roman"/>
                <w:color w:val="000000"/>
                <w:szCs w:val="24"/>
              </w:rPr>
            </w:pPr>
            <w:r w:rsidRPr="00954B78">
              <w:rPr>
                <w:rFonts w:cs="Times New Roman"/>
                <w:color w:val="000000"/>
                <w:szCs w:val="24"/>
              </w:rPr>
              <w:t>2,398</w:t>
            </w:r>
          </w:p>
        </w:tc>
      </w:tr>
      <w:tr w:rsidR="00A15C2C" w14:paraId="6FCD9AA5" w14:textId="77777777" w:rsidTr="0055589E">
        <w:trPr>
          <w:trHeight w:val="300"/>
          <w:jc w:val="center"/>
        </w:trPr>
        <w:tc>
          <w:tcPr>
            <w:tcW w:w="2065" w:type="dxa"/>
            <w:shd w:val="clear" w:color="auto" w:fill="auto"/>
            <w:noWrap/>
          </w:tcPr>
          <w:p w14:paraId="4CD4512D" w14:textId="77777777" w:rsidR="000F3EA4" w:rsidRPr="00954B78" w:rsidRDefault="000F5B51" w:rsidP="0055589E">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3</w:t>
            </w:r>
          </w:p>
        </w:tc>
        <w:tc>
          <w:tcPr>
            <w:tcW w:w="1410" w:type="dxa"/>
            <w:shd w:val="clear" w:color="auto" w:fill="auto"/>
            <w:noWrap/>
            <w:vAlign w:val="center"/>
            <w:hideMark/>
          </w:tcPr>
          <w:p w14:paraId="083AF8FA" w14:textId="77777777" w:rsidR="000F3EA4" w:rsidRPr="00954B78" w:rsidRDefault="000F5B51" w:rsidP="000F3EA4">
            <w:pPr>
              <w:spacing w:after="0" w:line="240" w:lineRule="auto"/>
              <w:jc w:val="center"/>
              <w:rPr>
                <w:rFonts w:eastAsia="Times New Roman" w:cs="Times New Roman"/>
                <w:color w:val="000000"/>
                <w:szCs w:val="24"/>
              </w:rPr>
            </w:pPr>
            <w:r w:rsidRPr="00954B78">
              <w:rPr>
                <w:rFonts w:cs="Times New Roman"/>
                <w:color w:val="000000"/>
                <w:szCs w:val="24"/>
              </w:rPr>
              <w:t>42</w:t>
            </w:r>
          </w:p>
        </w:tc>
        <w:tc>
          <w:tcPr>
            <w:tcW w:w="1560" w:type="dxa"/>
            <w:shd w:val="clear" w:color="auto" w:fill="auto"/>
            <w:noWrap/>
            <w:vAlign w:val="center"/>
            <w:hideMark/>
          </w:tcPr>
          <w:p w14:paraId="596E4930" w14:textId="77777777" w:rsidR="000F3EA4" w:rsidRPr="00954B78" w:rsidRDefault="000F5B51" w:rsidP="000F3EA4">
            <w:pPr>
              <w:spacing w:after="0" w:line="240" w:lineRule="auto"/>
              <w:jc w:val="center"/>
              <w:rPr>
                <w:rFonts w:eastAsia="Times New Roman" w:cs="Times New Roman"/>
                <w:color w:val="000000"/>
                <w:szCs w:val="24"/>
              </w:rPr>
            </w:pPr>
            <w:r w:rsidRPr="00954B78">
              <w:rPr>
                <w:rFonts w:cs="Times New Roman"/>
                <w:color w:val="000000"/>
                <w:szCs w:val="24"/>
              </w:rPr>
              <w:t>203</w:t>
            </w:r>
          </w:p>
        </w:tc>
        <w:tc>
          <w:tcPr>
            <w:tcW w:w="1260" w:type="dxa"/>
            <w:shd w:val="clear" w:color="auto" w:fill="auto"/>
            <w:noWrap/>
            <w:vAlign w:val="center"/>
            <w:hideMark/>
          </w:tcPr>
          <w:p w14:paraId="76FAA361" w14:textId="77777777" w:rsidR="000F3EA4" w:rsidRPr="00954B78" w:rsidRDefault="000F5B51" w:rsidP="000F3EA4">
            <w:pPr>
              <w:spacing w:after="0" w:line="240" w:lineRule="auto"/>
              <w:jc w:val="center"/>
              <w:rPr>
                <w:rFonts w:eastAsia="Times New Roman" w:cs="Times New Roman"/>
                <w:color w:val="000000"/>
                <w:szCs w:val="24"/>
              </w:rPr>
            </w:pPr>
            <w:r w:rsidRPr="00954B78">
              <w:rPr>
                <w:rFonts w:cs="Times New Roman"/>
                <w:color w:val="000000"/>
                <w:szCs w:val="24"/>
              </w:rPr>
              <w:t>245</w:t>
            </w:r>
          </w:p>
        </w:tc>
        <w:tc>
          <w:tcPr>
            <w:tcW w:w="1615" w:type="dxa"/>
            <w:shd w:val="clear" w:color="auto" w:fill="auto"/>
            <w:noWrap/>
            <w:vAlign w:val="center"/>
            <w:hideMark/>
          </w:tcPr>
          <w:p w14:paraId="085AC47E" w14:textId="77777777" w:rsidR="000F3EA4" w:rsidRPr="00954B78" w:rsidRDefault="000F5B51" w:rsidP="000F3EA4">
            <w:pPr>
              <w:spacing w:after="0" w:line="240" w:lineRule="auto"/>
              <w:jc w:val="center"/>
              <w:rPr>
                <w:rFonts w:eastAsia="Times New Roman" w:cs="Times New Roman"/>
                <w:color w:val="000000"/>
                <w:szCs w:val="24"/>
              </w:rPr>
            </w:pPr>
            <w:r w:rsidRPr="00954B78">
              <w:rPr>
                <w:rFonts w:cs="Times New Roman"/>
                <w:color w:val="000000"/>
                <w:szCs w:val="24"/>
              </w:rPr>
              <w:t>0.625</w:t>
            </w:r>
          </w:p>
        </w:tc>
        <w:tc>
          <w:tcPr>
            <w:tcW w:w="1265" w:type="dxa"/>
            <w:shd w:val="clear" w:color="auto" w:fill="auto"/>
            <w:noWrap/>
            <w:vAlign w:val="center"/>
            <w:hideMark/>
          </w:tcPr>
          <w:p w14:paraId="1D30B9D1" w14:textId="77777777" w:rsidR="000F3EA4" w:rsidRPr="00954B78" w:rsidRDefault="000F5B51" w:rsidP="000F3EA4">
            <w:pPr>
              <w:spacing w:after="0" w:line="240" w:lineRule="auto"/>
              <w:jc w:val="center"/>
              <w:rPr>
                <w:rFonts w:eastAsia="Times New Roman" w:cs="Times New Roman"/>
                <w:color w:val="000000"/>
                <w:szCs w:val="24"/>
              </w:rPr>
            </w:pPr>
            <w:r w:rsidRPr="006B7B84">
              <w:rPr>
                <w:rFonts w:cs="Times New Roman"/>
                <w:color w:val="000000"/>
                <w:szCs w:val="24"/>
              </w:rPr>
              <w:t>0.7512</w:t>
            </w:r>
          </w:p>
        </w:tc>
        <w:tc>
          <w:tcPr>
            <w:tcW w:w="1345" w:type="dxa"/>
            <w:shd w:val="clear" w:color="auto" w:fill="auto"/>
            <w:noWrap/>
            <w:vAlign w:val="center"/>
            <w:hideMark/>
          </w:tcPr>
          <w:p w14:paraId="7155488F" w14:textId="77777777" w:rsidR="000F3EA4" w:rsidRPr="00954B78" w:rsidRDefault="000F5B51" w:rsidP="000F3EA4">
            <w:pPr>
              <w:spacing w:after="0" w:line="240" w:lineRule="auto"/>
              <w:jc w:val="center"/>
              <w:rPr>
                <w:rFonts w:eastAsia="Times New Roman" w:cs="Times New Roman"/>
                <w:color w:val="000000"/>
                <w:szCs w:val="24"/>
              </w:rPr>
            </w:pPr>
            <w:r w:rsidRPr="00954B78">
              <w:rPr>
                <w:rFonts w:cs="Times New Roman"/>
                <w:color w:val="000000"/>
                <w:szCs w:val="24"/>
              </w:rPr>
              <w:t>462</w:t>
            </w:r>
          </w:p>
        </w:tc>
      </w:tr>
      <w:tr w:rsidR="00A15C2C" w14:paraId="20CCB41B" w14:textId="77777777" w:rsidTr="0055589E">
        <w:trPr>
          <w:trHeight w:val="300"/>
          <w:jc w:val="center"/>
        </w:trPr>
        <w:tc>
          <w:tcPr>
            <w:tcW w:w="2065" w:type="dxa"/>
            <w:shd w:val="clear" w:color="auto" w:fill="auto"/>
            <w:noWrap/>
          </w:tcPr>
          <w:p w14:paraId="3DB2A028" w14:textId="77777777" w:rsidR="000F3EA4" w:rsidRPr="00954B78" w:rsidRDefault="000F5B51" w:rsidP="0055589E">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4</w:t>
            </w:r>
          </w:p>
        </w:tc>
        <w:tc>
          <w:tcPr>
            <w:tcW w:w="1410" w:type="dxa"/>
            <w:shd w:val="clear" w:color="auto" w:fill="auto"/>
            <w:noWrap/>
            <w:vAlign w:val="center"/>
            <w:hideMark/>
          </w:tcPr>
          <w:p w14:paraId="08B6EDE2" w14:textId="77777777" w:rsidR="000F3EA4" w:rsidRPr="00954B78" w:rsidRDefault="000F5B51" w:rsidP="000F3EA4">
            <w:pPr>
              <w:spacing w:after="0" w:line="240" w:lineRule="auto"/>
              <w:jc w:val="center"/>
              <w:rPr>
                <w:rFonts w:eastAsia="Times New Roman" w:cs="Times New Roman"/>
                <w:color w:val="000000"/>
                <w:szCs w:val="24"/>
              </w:rPr>
            </w:pPr>
            <w:r w:rsidRPr="00954B78">
              <w:rPr>
                <w:rFonts w:cs="Times New Roman"/>
                <w:color w:val="000000"/>
                <w:szCs w:val="24"/>
              </w:rPr>
              <w:t>16</w:t>
            </w:r>
          </w:p>
        </w:tc>
        <w:tc>
          <w:tcPr>
            <w:tcW w:w="1560" w:type="dxa"/>
            <w:shd w:val="clear" w:color="auto" w:fill="auto"/>
            <w:noWrap/>
            <w:vAlign w:val="center"/>
            <w:hideMark/>
          </w:tcPr>
          <w:p w14:paraId="6CD0B849" w14:textId="77777777" w:rsidR="000F3EA4" w:rsidRPr="00954B78" w:rsidRDefault="000F5B51" w:rsidP="000F3EA4">
            <w:pPr>
              <w:spacing w:after="0" w:line="240" w:lineRule="auto"/>
              <w:jc w:val="center"/>
              <w:rPr>
                <w:rFonts w:eastAsia="Times New Roman" w:cs="Times New Roman"/>
                <w:color w:val="000000"/>
                <w:szCs w:val="24"/>
              </w:rPr>
            </w:pPr>
            <w:r w:rsidRPr="00954B78">
              <w:rPr>
                <w:rFonts w:cs="Times New Roman"/>
                <w:color w:val="000000"/>
                <w:szCs w:val="24"/>
              </w:rPr>
              <w:t>186</w:t>
            </w:r>
          </w:p>
        </w:tc>
        <w:tc>
          <w:tcPr>
            <w:tcW w:w="1260" w:type="dxa"/>
            <w:shd w:val="clear" w:color="auto" w:fill="auto"/>
            <w:noWrap/>
            <w:vAlign w:val="center"/>
            <w:hideMark/>
          </w:tcPr>
          <w:p w14:paraId="1E3AC9C6" w14:textId="77777777" w:rsidR="000F3EA4" w:rsidRPr="00954B78" w:rsidRDefault="000F5B51" w:rsidP="000F3EA4">
            <w:pPr>
              <w:spacing w:after="0" w:line="240" w:lineRule="auto"/>
              <w:jc w:val="center"/>
              <w:rPr>
                <w:rFonts w:eastAsia="Times New Roman" w:cs="Times New Roman"/>
                <w:color w:val="000000"/>
                <w:szCs w:val="24"/>
              </w:rPr>
            </w:pPr>
            <w:r w:rsidRPr="00954B78">
              <w:rPr>
                <w:rFonts w:cs="Times New Roman"/>
                <w:color w:val="000000"/>
                <w:szCs w:val="24"/>
              </w:rPr>
              <w:t>201</w:t>
            </w:r>
          </w:p>
        </w:tc>
        <w:tc>
          <w:tcPr>
            <w:tcW w:w="1615" w:type="dxa"/>
            <w:shd w:val="clear" w:color="auto" w:fill="auto"/>
            <w:noWrap/>
            <w:vAlign w:val="center"/>
            <w:hideMark/>
          </w:tcPr>
          <w:p w14:paraId="505B7124" w14:textId="77777777" w:rsidR="000F3EA4" w:rsidRPr="00954B78" w:rsidRDefault="000F5B51" w:rsidP="000F3EA4">
            <w:pPr>
              <w:spacing w:after="0" w:line="240" w:lineRule="auto"/>
              <w:jc w:val="center"/>
              <w:rPr>
                <w:rFonts w:eastAsia="Times New Roman" w:cs="Times New Roman"/>
                <w:color w:val="000000"/>
                <w:szCs w:val="24"/>
              </w:rPr>
            </w:pPr>
            <w:r w:rsidRPr="00954B78">
              <w:rPr>
                <w:rFonts w:cs="Times New Roman"/>
                <w:color w:val="000000"/>
                <w:szCs w:val="24"/>
              </w:rPr>
              <w:t>0.625</w:t>
            </w:r>
          </w:p>
        </w:tc>
        <w:tc>
          <w:tcPr>
            <w:tcW w:w="1265" w:type="dxa"/>
            <w:shd w:val="clear" w:color="auto" w:fill="auto"/>
            <w:noWrap/>
            <w:vAlign w:val="center"/>
            <w:hideMark/>
          </w:tcPr>
          <w:p w14:paraId="5F106577" w14:textId="77777777" w:rsidR="000F3EA4" w:rsidRPr="00954B78" w:rsidRDefault="000F5B51" w:rsidP="000F3EA4">
            <w:pPr>
              <w:spacing w:after="0" w:line="240" w:lineRule="auto"/>
              <w:jc w:val="center"/>
              <w:rPr>
                <w:rFonts w:eastAsia="Times New Roman" w:cs="Times New Roman"/>
                <w:color w:val="000000"/>
                <w:szCs w:val="24"/>
              </w:rPr>
            </w:pPr>
            <w:r w:rsidRPr="006B7B84">
              <w:rPr>
                <w:rFonts w:cs="Times New Roman"/>
                <w:color w:val="000000"/>
                <w:szCs w:val="24"/>
              </w:rPr>
              <w:t>0.7512</w:t>
            </w:r>
          </w:p>
        </w:tc>
        <w:tc>
          <w:tcPr>
            <w:tcW w:w="1345" w:type="dxa"/>
            <w:shd w:val="clear" w:color="auto" w:fill="auto"/>
            <w:noWrap/>
            <w:vAlign w:val="center"/>
            <w:hideMark/>
          </w:tcPr>
          <w:p w14:paraId="13117BF2" w14:textId="77777777" w:rsidR="000F3EA4" w:rsidRPr="00954B78" w:rsidRDefault="000F5B51" w:rsidP="000F3EA4">
            <w:pPr>
              <w:spacing w:after="0" w:line="240" w:lineRule="auto"/>
              <w:jc w:val="center"/>
              <w:rPr>
                <w:rFonts w:eastAsia="Times New Roman" w:cs="Times New Roman"/>
                <w:color w:val="000000"/>
                <w:szCs w:val="24"/>
              </w:rPr>
            </w:pPr>
            <w:r w:rsidRPr="00954B78">
              <w:rPr>
                <w:rFonts w:cs="Times New Roman"/>
                <w:color w:val="000000"/>
                <w:szCs w:val="24"/>
              </w:rPr>
              <w:t>379</w:t>
            </w:r>
          </w:p>
        </w:tc>
      </w:tr>
      <w:tr w:rsidR="00A15C2C" w14:paraId="1A500E52" w14:textId="77777777" w:rsidTr="0055589E">
        <w:trPr>
          <w:trHeight w:val="300"/>
          <w:jc w:val="center"/>
        </w:trPr>
        <w:tc>
          <w:tcPr>
            <w:tcW w:w="2065" w:type="dxa"/>
            <w:shd w:val="clear" w:color="auto" w:fill="auto"/>
            <w:noWrap/>
          </w:tcPr>
          <w:p w14:paraId="68262455" w14:textId="77777777" w:rsidR="000F3EA4" w:rsidRPr="00954B78" w:rsidRDefault="000F5B51" w:rsidP="0055589E">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5</w:t>
            </w:r>
          </w:p>
        </w:tc>
        <w:tc>
          <w:tcPr>
            <w:tcW w:w="1410" w:type="dxa"/>
            <w:shd w:val="clear" w:color="auto" w:fill="auto"/>
            <w:noWrap/>
            <w:vAlign w:val="center"/>
            <w:hideMark/>
          </w:tcPr>
          <w:p w14:paraId="1A4CB762" w14:textId="77777777" w:rsidR="000F3EA4" w:rsidRPr="00954B78" w:rsidRDefault="000F5B51" w:rsidP="000F3EA4">
            <w:pPr>
              <w:spacing w:after="0" w:line="240" w:lineRule="auto"/>
              <w:jc w:val="center"/>
              <w:rPr>
                <w:rFonts w:eastAsia="Times New Roman" w:cs="Times New Roman"/>
                <w:color w:val="000000"/>
                <w:szCs w:val="24"/>
              </w:rPr>
            </w:pPr>
            <w:r w:rsidRPr="00954B78">
              <w:rPr>
                <w:rFonts w:cs="Times New Roman"/>
                <w:color w:val="000000"/>
                <w:szCs w:val="24"/>
              </w:rPr>
              <w:t>1</w:t>
            </w:r>
          </w:p>
        </w:tc>
        <w:tc>
          <w:tcPr>
            <w:tcW w:w="1560" w:type="dxa"/>
            <w:shd w:val="clear" w:color="auto" w:fill="auto"/>
            <w:noWrap/>
            <w:vAlign w:val="center"/>
            <w:hideMark/>
          </w:tcPr>
          <w:p w14:paraId="0C23F0AA" w14:textId="77777777" w:rsidR="000F3EA4" w:rsidRPr="00954B78" w:rsidRDefault="000F5B51" w:rsidP="000F3EA4">
            <w:pPr>
              <w:spacing w:after="0" w:line="240" w:lineRule="auto"/>
              <w:jc w:val="center"/>
              <w:rPr>
                <w:rFonts w:eastAsia="Times New Roman" w:cs="Times New Roman"/>
                <w:color w:val="000000"/>
                <w:szCs w:val="24"/>
              </w:rPr>
            </w:pPr>
            <w:r w:rsidRPr="00954B78">
              <w:rPr>
                <w:rFonts w:cs="Times New Roman"/>
                <w:color w:val="000000"/>
                <w:szCs w:val="24"/>
              </w:rPr>
              <w:t>5</w:t>
            </w:r>
          </w:p>
        </w:tc>
        <w:tc>
          <w:tcPr>
            <w:tcW w:w="1260" w:type="dxa"/>
            <w:shd w:val="clear" w:color="auto" w:fill="auto"/>
            <w:noWrap/>
            <w:vAlign w:val="center"/>
            <w:hideMark/>
          </w:tcPr>
          <w:p w14:paraId="59D456DD" w14:textId="77777777" w:rsidR="000F3EA4" w:rsidRPr="00954B78" w:rsidRDefault="000F5B51" w:rsidP="000F3EA4">
            <w:pPr>
              <w:spacing w:after="0" w:line="240" w:lineRule="auto"/>
              <w:jc w:val="center"/>
              <w:rPr>
                <w:rFonts w:eastAsia="Times New Roman" w:cs="Times New Roman"/>
                <w:color w:val="000000"/>
                <w:szCs w:val="24"/>
              </w:rPr>
            </w:pPr>
            <w:r w:rsidRPr="00954B78">
              <w:rPr>
                <w:rFonts w:cs="Times New Roman"/>
                <w:color w:val="000000"/>
                <w:szCs w:val="24"/>
              </w:rPr>
              <w:t>6</w:t>
            </w:r>
          </w:p>
        </w:tc>
        <w:tc>
          <w:tcPr>
            <w:tcW w:w="1615" w:type="dxa"/>
            <w:shd w:val="clear" w:color="auto" w:fill="auto"/>
            <w:noWrap/>
            <w:vAlign w:val="center"/>
            <w:hideMark/>
          </w:tcPr>
          <w:p w14:paraId="42154376" w14:textId="77777777" w:rsidR="000F3EA4" w:rsidRPr="00954B78" w:rsidRDefault="000F5B51" w:rsidP="000F3EA4">
            <w:pPr>
              <w:spacing w:after="0" w:line="240" w:lineRule="auto"/>
              <w:jc w:val="center"/>
              <w:rPr>
                <w:rFonts w:eastAsia="Times New Roman" w:cs="Times New Roman"/>
                <w:color w:val="000000"/>
                <w:szCs w:val="24"/>
              </w:rPr>
            </w:pPr>
            <w:r w:rsidRPr="00954B78">
              <w:rPr>
                <w:rFonts w:cs="Times New Roman"/>
                <w:color w:val="000000"/>
                <w:szCs w:val="24"/>
              </w:rPr>
              <w:t>0.625</w:t>
            </w:r>
          </w:p>
        </w:tc>
        <w:tc>
          <w:tcPr>
            <w:tcW w:w="1265" w:type="dxa"/>
            <w:shd w:val="clear" w:color="auto" w:fill="auto"/>
            <w:noWrap/>
            <w:vAlign w:val="center"/>
            <w:hideMark/>
          </w:tcPr>
          <w:p w14:paraId="44C9E447" w14:textId="77777777" w:rsidR="000F3EA4" w:rsidRPr="00954B78" w:rsidRDefault="000F5B51" w:rsidP="000F3EA4">
            <w:pPr>
              <w:spacing w:after="0" w:line="240" w:lineRule="auto"/>
              <w:jc w:val="center"/>
              <w:rPr>
                <w:rFonts w:eastAsia="Times New Roman" w:cs="Times New Roman"/>
                <w:color w:val="000000"/>
                <w:szCs w:val="24"/>
              </w:rPr>
            </w:pPr>
            <w:r w:rsidRPr="006B7B84">
              <w:rPr>
                <w:rFonts w:cs="Times New Roman"/>
                <w:color w:val="000000"/>
                <w:szCs w:val="24"/>
              </w:rPr>
              <w:t>0.7512</w:t>
            </w:r>
          </w:p>
        </w:tc>
        <w:tc>
          <w:tcPr>
            <w:tcW w:w="1345" w:type="dxa"/>
            <w:shd w:val="clear" w:color="auto" w:fill="auto"/>
            <w:noWrap/>
            <w:vAlign w:val="center"/>
            <w:hideMark/>
          </w:tcPr>
          <w:p w14:paraId="10474C8A" w14:textId="77777777" w:rsidR="000F3EA4" w:rsidRPr="00954B78" w:rsidRDefault="000F5B51" w:rsidP="000F3EA4">
            <w:pPr>
              <w:spacing w:after="0" w:line="240" w:lineRule="auto"/>
              <w:jc w:val="center"/>
              <w:rPr>
                <w:rFonts w:eastAsia="Times New Roman" w:cs="Times New Roman"/>
                <w:color w:val="000000"/>
                <w:szCs w:val="24"/>
              </w:rPr>
            </w:pPr>
            <w:r w:rsidRPr="00954B78">
              <w:rPr>
                <w:rFonts w:cs="Times New Roman"/>
                <w:color w:val="000000"/>
                <w:szCs w:val="24"/>
              </w:rPr>
              <w:t>1</w:t>
            </w:r>
            <w:r w:rsidR="00427251">
              <w:rPr>
                <w:rFonts w:cs="Times New Roman"/>
                <w:color w:val="000000"/>
                <w:szCs w:val="24"/>
              </w:rPr>
              <w:t>1</w:t>
            </w:r>
          </w:p>
        </w:tc>
      </w:tr>
      <w:tr w:rsidR="00A15C2C" w14:paraId="18ECE7DE" w14:textId="77777777" w:rsidTr="0055589E">
        <w:trPr>
          <w:trHeight w:val="300"/>
          <w:jc w:val="center"/>
        </w:trPr>
        <w:tc>
          <w:tcPr>
            <w:tcW w:w="2065" w:type="dxa"/>
            <w:shd w:val="clear" w:color="auto" w:fill="auto"/>
            <w:noWrap/>
            <w:vAlign w:val="bottom"/>
          </w:tcPr>
          <w:p w14:paraId="0C421E82" w14:textId="77777777" w:rsidR="000F3EA4" w:rsidRPr="0055589E" w:rsidRDefault="000F5B51" w:rsidP="000F3EA4">
            <w:pPr>
              <w:spacing w:after="0" w:line="240" w:lineRule="auto"/>
              <w:rPr>
                <w:rFonts w:eastAsia="Times New Roman" w:cs="Times New Roman"/>
                <w:b/>
                <w:bCs/>
                <w:color w:val="000000"/>
                <w:sz w:val="23"/>
                <w:szCs w:val="23"/>
              </w:rPr>
            </w:pPr>
            <w:r w:rsidRPr="0055589E">
              <w:rPr>
                <w:rFonts w:eastAsia="Times New Roman" w:cs="Times New Roman"/>
                <w:b/>
                <w:bCs/>
                <w:color w:val="000000"/>
                <w:sz w:val="23"/>
                <w:szCs w:val="23"/>
              </w:rPr>
              <w:t>Non-Fatal Injuries</w:t>
            </w:r>
          </w:p>
          <w:p w14:paraId="5F9915F9" w14:textId="77777777" w:rsidR="000F3EA4" w:rsidRPr="0055589E" w:rsidRDefault="000F5B51" w:rsidP="0055589E">
            <w:pPr>
              <w:spacing w:after="0" w:line="240" w:lineRule="auto"/>
              <w:rPr>
                <w:rFonts w:eastAsia="Times New Roman" w:cs="Times New Roman"/>
                <w:b/>
                <w:bCs/>
                <w:color w:val="000000"/>
                <w:szCs w:val="24"/>
              </w:rPr>
            </w:pPr>
            <w:r w:rsidRPr="0055589E">
              <w:rPr>
                <w:rFonts w:eastAsia="Times New Roman" w:cs="Times New Roman"/>
                <w:b/>
                <w:bCs/>
                <w:color w:val="000000"/>
                <w:sz w:val="23"/>
                <w:szCs w:val="23"/>
              </w:rPr>
              <w:t>(MAIS 1-5)</w:t>
            </w:r>
          </w:p>
        </w:tc>
        <w:tc>
          <w:tcPr>
            <w:tcW w:w="1410" w:type="dxa"/>
            <w:shd w:val="clear" w:color="auto" w:fill="auto"/>
            <w:noWrap/>
            <w:vAlign w:val="center"/>
          </w:tcPr>
          <w:p w14:paraId="0EECECDE" w14:textId="77777777" w:rsidR="000F3EA4" w:rsidRPr="00954B78" w:rsidRDefault="000F5B51" w:rsidP="000F3EA4">
            <w:pPr>
              <w:spacing w:after="0" w:line="240" w:lineRule="auto"/>
              <w:jc w:val="center"/>
              <w:rPr>
                <w:rFonts w:cs="Times New Roman"/>
                <w:color w:val="000000"/>
                <w:szCs w:val="24"/>
              </w:rPr>
            </w:pPr>
            <w:r w:rsidRPr="00954B78">
              <w:rPr>
                <w:rFonts w:cs="Times New Roman"/>
                <w:b/>
                <w:bCs/>
                <w:color w:val="000000"/>
                <w:szCs w:val="24"/>
              </w:rPr>
              <w:t>13,221</w:t>
            </w:r>
          </w:p>
        </w:tc>
        <w:tc>
          <w:tcPr>
            <w:tcW w:w="1560" w:type="dxa"/>
            <w:shd w:val="clear" w:color="auto" w:fill="auto"/>
            <w:noWrap/>
            <w:vAlign w:val="center"/>
          </w:tcPr>
          <w:p w14:paraId="3247BA58" w14:textId="77777777" w:rsidR="000F3EA4" w:rsidRPr="00954B78" w:rsidRDefault="000F5B51" w:rsidP="000F3EA4">
            <w:pPr>
              <w:spacing w:after="0" w:line="240" w:lineRule="auto"/>
              <w:jc w:val="center"/>
              <w:rPr>
                <w:rFonts w:cs="Times New Roman"/>
                <w:color w:val="000000"/>
                <w:szCs w:val="24"/>
              </w:rPr>
            </w:pPr>
            <w:r w:rsidRPr="00954B78">
              <w:rPr>
                <w:rFonts w:cs="Times New Roman"/>
                <w:b/>
                <w:bCs/>
                <w:color w:val="000000"/>
                <w:szCs w:val="24"/>
              </w:rPr>
              <w:t>3,615</w:t>
            </w:r>
          </w:p>
        </w:tc>
        <w:tc>
          <w:tcPr>
            <w:tcW w:w="1260" w:type="dxa"/>
            <w:shd w:val="clear" w:color="auto" w:fill="auto"/>
            <w:noWrap/>
            <w:vAlign w:val="center"/>
          </w:tcPr>
          <w:p w14:paraId="04C49691" w14:textId="77777777" w:rsidR="000F3EA4" w:rsidRPr="00954B78" w:rsidRDefault="000F5B51" w:rsidP="000F3EA4">
            <w:pPr>
              <w:spacing w:after="0" w:line="240" w:lineRule="auto"/>
              <w:jc w:val="center"/>
              <w:rPr>
                <w:rFonts w:cs="Times New Roman"/>
                <w:color w:val="000000"/>
                <w:szCs w:val="24"/>
              </w:rPr>
            </w:pPr>
            <w:r w:rsidRPr="00954B78">
              <w:rPr>
                <w:rFonts w:cs="Times New Roman"/>
                <w:b/>
                <w:bCs/>
                <w:color w:val="000000"/>
                <w:szCs w:val="24"/>
              </w:rPr>
              <w:t>16,836</w:t>
            </w:r>
          </w:p>
        </w:tc>
        <w:tc>
          <w:tcPr>
            <w:tcW w:w="1615" w:type="dxa"/>
            <w:shd w:val="clear" w:color="auto" w:fill="auto"/>
            <w:noWrap/>
            <w:vAlign w:val="center"/>
          </w:tcPr>
          <w:p w14:paraId="04D0EEEE" w14:textId="77777777" w:rsidR="000F3EA4" w:rsidRPr="00954B78" w:rsidRDefault="000F5B51" w:rsidP="000F3EA4">
            <w:pPr>
              <w:spacing w:after="0" w:line="240" w:lineRule="auto"/>
              <w:jc w:val="center"/>
              <w:rPr>
                <w:rFonts w:cs="Times New Roman"/>
                <w:color w:val="000000"/>
                <w:szCs w:val="24"/>
              </w:rPr>
            </w:pPr>
            <w:r>
              <w:rPr>
                <w:rFonts w:cs="Times New Roman"/>
                <w:color w:val="000000"/>
                <w:szCs w:val="24"/>
              </w:rPr>
              <w:t>-</w:t>
            </w:r>
          </w:p>
        </w:tc>
        <w:tc>
          <w:tcPr>
            <w:tcW w:w="1265" w:type="dxa"/>
            <w:shd w:val="clear" w:color="auto" w:fill="auto"/>
            <w:noWrap/>
            <w:vAlign w:val="center"/>
          </w:tcPr>
          <w:p w14:paraId="5E6AC10E" w14:textId="77777777" w:rsidR="000F3EA4" w:rsidRPr="000F3EA4" w:rsidRDefault="000F5B51" w:rsidP="000F3EA4">
            <w:pPr>
              <w:spacing w:after="0" w:line="240" w:lineRule="auto"/>
              <w:jc w:val="center"/>
              <w:rPr>
                <w:rFonts w:cs="Times New Roman"/>
                <w:b/>
                <w:bCs/>
                <w:color w:val="000000"/>
                <w:szCs w:val="24"/>
              </w:rPr>
            </w:pPr>
            <w:r>
              <w:rPr>
                <w:rFonts w:cs="Times New Roman"/>
                <w:b/>
                <w:bCs/>
                <w:color w:val="000000"/>
                <w:szCs w:val="24"/>
              </w:rPr>
              <w:t>-</w:t>
            </w:r>
          </w:p>
        </w:tc>
        <w:tc>
          <w:tcPr>
            <w:tcW w:w="1345" w:type="dxa"/>
            <w:shd w:val="clear" w:color="auto" w:fill="auto"/>
            <w:noWrap/>
            <w:vAlign w:val="center"/>
          </w:tcPr>
          <w:p w14:paraId="407D1073" w14:textId="7DF5DC01" w:rsidR="000F3EA4" w:rsidRPr="00954B78" w:rsidRDefault="000F5B51" w:rsidP="000F3EA4">
            <w:pPr>
              <w:spacing w:after="0" w:line="240" w:lineRule="auto"/>
              <w:jc w:val="center"/>
              <w:rPr>
                <w:rFonts w:cs="Times New Roman"/>
                <w:color w:val="000000"/>
                <w:szCs w:val="24"/>
              </w:rPr>
            </w:pPr>
            <w:r w:rsidRPr="00954B78">
              <w:rPr>
                <w:rFonts w:cs="Times New Roman"/>
                <w:b/>
                <w:bCs/>
                <w:color w:val="000000"/>
                <w:szCs w:val="24"/>
              </w:rPr>
              <w:t>19,01</w:t>
            </w:r>
            <w:r w:rsidR="00060DA5">
              <w:rPr>
                <w:rFonts w:cs="Times New Roman"/>
                <w:b/>
                <w:bCs/>
                <w:color w:val="000000"/>
                <w:szCs w:val="24"/>
              </w:rPr>
              <w:t>4</w:t>
            </w:r>
          </w:p>
        </w:tc>
      </w:tr>
      <w:tr w:rsidR="00A15C2C" w14:paraId="50E1BAEE" w14:textId="77777777" w:rsidTr="00640749">
        <w:trPr>
          <w:trHeight w:val="300"/>
          <w:jc w:val="center"/>
        </w:trPr>
        <w:tc>
          <w:tcPr>
            <w:tcW w:w="2065" w:type="dxa"/>
            <w:shd w:val="clear" w:color="auto" w:fill="auto"/>
            <w:noWrap/>
            <w:vAlign w:val="bottom"/>
            <w:hideMark/>
          </w:tcPr>
          <w:p w14:paraId="5387EC31" w14:textId="77777777" w:rsidR="000F3EA4" w:rsidRPr="0055589E" w:rsidRDefault="000F5B51" w:rsidP="0055589E">
            <w:pPr>
              <w:spacing w:after="0" w:line="240" w:lineRule="auto"/>
              <w:rPr>
                <w:rFonts w:eastAsia="Times New Roman" w:cs="Times New Roman"/>
                <w:b/>
                <w:bCs/>
                <w:color w:val="000000"/>
                <w:szCs w:val="24"/>
              </w:rPr>
            </w:pPr>
            <w:r w:rsidRPr="0055589E">
              <w:rPr>
                <w:rFonts w:eastAsia="Times New Roman" w:cs="Times New Roman"/>
                <w:b/>
                <w:bCs/>
                <w:color w:val="000000"/>
                <w:szCs w:val="24"/>
              </w:rPr>
              <w:t>Fatality</w:t>
            </w:r>
          </w:p>
        </w:tc>
        <w:tc>
          <w:tcPr>
            <w:tcW w:w="1410" w:type="dxa"/>
            <w:shd w:val="clear" w:color="auto" w:fill="auto"/>
            <w:noWrap/>
            <w:vAlign w:val="center"/>
            <w:hideMark/>
          </w:tcPr>
          <w:p w14:paraId="207CE4A7" w14:textId="77777777" w:rsidR="000F3EA4" w:rsidRPr="00954B78" w:rsidRDefault="000F5B51" w:rsidP="000F3EA4">
            <w:pPr>
              <w:spacing w:after="0" w:line="240" w:lineRule="auto"/>
              <w:jc w:val="center"/>
              <w:rPr>
                <w:rFonts w:eastAsia="Times New Roman" w:cs="Times New Roman"/>
                <w:b/>
                <w:bCs/>
                <w:color w:val="000000"/>
                <w:szCs w:val="24"/>
              </w:rPr>
            </w:pPr>
            <w:r w:rsidRPr="00954B78">
              <w:rPr>
                <w:rFonts w:cs="Times New Roman"/>
                <w:b/>
                <w:bCs/>
                <w:color w:val="000000"/>
                <w:szCs w:val="24"/>
              </w:rPr>
              <w:t>222</w:t>
            </w:r>
          </w:p>
        </w:tc>
        <w:tc>
          <w:tcPr>
            <w:tcW w:w="1560" w:type="dxa"/>
            <w:shd w:val="clear" w:color="auto" w:fill="auto"/>
            <w:noWrap/>
            <w:vAlign w:val="center"/>
            <w:hideMark/>
          </w:tcPr>
          <w:p w14:paraId="725C8DC4" w14:textId="77777777" w:rsidR="000F3EA4" w:rsidRPr="00954B78" w:rsidRDefault="000F5B51" w:rsidP="000F3EA4">
            <w:pPr>
              <w:spacing w:after="0" w:line="240" w:lineRule="auto"/>
              <w:jc w:val="center"/>
              <w:rPr>
                <w:rFonts w:eastAsia="Times New Roman" w:cs="Times New Roman"/>
                <w:b/>
                <w:bCs/>
                <w:color w:val="000000"/>
                <w:szCs w:val="24"/>
              </w:rPr>
            </w:pPr>
            <w:r w:rsidRPr="00954B78">
              <w:rPr>
                <w:rFonts w:cs="Times New Roman"/>
                <w:b/>
                <w:bCs/>
                <w:color w:val="000000"/>
                <w:szCs w:val="24"/>
              </w:rPr>
              <w:t>408</w:t>
            </w:r>
          </w:p>
        </w:tc>
        <w:tc>
          <w:tcPr>
            <w:tcW w:w="1260" w:type="dxa"/>
            <w:shd w:val="clear" w:color="auto" w:fill="auto"/>
            <w:noWrap/>
            <w:vAlign w:val="center"/>
            <w:hideMark/>
          </w:tcPr>
          <w:p w14:paraId="63B793C2" w14:textId="77777777" w:rsidR="000F3EA4" w:rsidRPr="00954B78" w:rsidRDefault="000F5B51" w:rsidP="000F3EA4">
            <w:pPr>
              <w:spacing w:after="0" w:line="240" w:lineRule="auto"/>
              <w:jc w:val="center"/>
              <w:rPr>
                <w:rFonts w:eastAsia="Times New Roman" w:cs="Times New Roman"/>
                <w:b/>
                <w:bCs/>
                <w:color w:val="000000"/>
                <w:szCs w:val="24"/>
              </w:rPr>
            </w:pPr>
            <w:r w:rsidRPr="00954B78">
              <w:rPr>
                <w:rFonts w:cs="Times New Roman"/>
                <w:b/>
                <w:bCs/>
                <w:color w:val="000000"/>
                <w:szCs w:val="24"/>
              </w:rPr>
              <w:t>630</w:t>
            </w:r>
          </w:p>
        </w:tc>
        <w:tc>
          <w:tcPr>
            <w:tcW w:w="1615" w:type="dxa"/>
            <w:shd w:val="clear" w:color="auto" w:fill="auto"/>
            <w:noWrap/>
            <w:vAlign w:val="center"/>
            <w:hideMark/>
          </w:tcPr>
          <w:p w14:paraId="14AC678D" w14:textId="77777777" w:rsidR="000F3EA4" w:rsidRPr="00954B78" w:rsidRDefault="000F5B51" w:rsidP="000F3EA4">
            <w:pPr>
              <w:spacing w:after="0" w:line="240" w:lineRule="auto"/>
              <w:jc w:val="center"/>
              <w:rPr>
                <w:rFonts w:eastAsia="Times New Roman" w:cs="Times New Roman"/>
                <w:b/>
                <w:bCs/>
                <w:color w:val="000000"/>
                <w:szCs w:val="24"/>
              </w:rPr>
            </w:pPr>
            <w:r w:rsidRPr="00954B78">
              <w:rPr>
                <w:rFonts w:cs="Times New Roman"/>
                <w:b/>
                <w:bCs/>
                <w:color w:val="000000"/>
                <w:szCs w:val="24"/>
              </w:rPr>
              <w:t>0.550</w:t>
            </w:r>
          </w:p>
        </w:tc>
        <w:tc>
          <w:tcPr>
            <w:tcW w:w="1265" w:type="dxa"/>
            <w:shd w:val="clear" w:color="auto" w:fill="auto"/>
            <w:noWrap/>
            <w:vAlign w:val="center"/>
            <w:hideMark/>
          </w:tcPr>
          <w:p w14:paraId="350D392E" w14:textId="77777777" w:rsidR="000F3EA4" w:rsidRPr="00954B78" w:rsidRDefault="000F5B51" w:rsidP="000F3EA4">
            <w:pPr>
              <w:spacing w:after="0" w:line="240" w:lineRule="auto"/>
              <w:jc w:val="center"/>
              <w:rPr>
                <w:rFonts w:eastAsia="Times New Roman" w:cs="Times New Roman"/>
                <w:b/>
                <w:bCs/>
                <w:color w:val="000000"/>
                <w:szCs w:val="24"/>
              </w:rPr>
            </w:pPr>
            <w:r w:rsidRPr="006B7B84">
              <w:rPr>
                <w:rFonts w:cs="Times New Roman"/>
                <w:b/>
                <w:bCs/>
                <w:szCs w:val="24"/>
              </w:rPr>
              <w:t>0.5953</w:t>
            </w:r>
          </w:p>
        </w:tc>
        <w:tc>
          <w:tcPr>
            <w:tcW w:w="1345" w:type="dxa"/>
            <w:shd w:val="clear" w:color="auto" w:fill="auto"/>
            <w:noWrap/>
            <w:vAlign w:val="center"/>
            <w:hideMark/>
          </w:tcPr>
          <w:p w14:paraId="575772F3" w14:textId="5C062080" w:rsidR="000F3EA4" w:rsidRPr="00954B78" w:rsidRDefault="000F5B51" w:rsidP="000F3EA4">
            <w:pPr>
              <w:spacing w:after="0" w:line="240" w:lineRule="auto"/>
              <w:jc w:val="center"/>
              <w:rPr>
                <w:rFonts w:eastAsia="Times New Roman" w:cs="Times New Roman"/>
                <w:b/>
                <w:bCs/>
                <w:color w:val="000000"/>
                <w:szCs w:val="24"/>
              </w:rPr>
            </w:pPr>
            <w:r w:rsidRPr="00954B78">
              <w:rPr>
                <w:rFonts w:cs="Times New Roman"/>
                <w:b/>
                <w:bCs/>
                <w:color w:val="000000"/>
                <w:szCs w:val="24"/>
              </w:rPr>
              <w:t>93</w:t>
            </w:r>
            <w:r w:rsidR="00060DA5">
              <w:rPr>
                <w:rFonts w:cs="Times New Roman"/>
                <w:b/>
                <w:bCs/>
                <w:color w:val="000000"/>
                <w:szCs w:val="24"/>
              </w:rPr>
              <w:t>6</w:t>
            </w:r>
          </w:p>
        </w:tc>
      </w:tr>
      <w:tr w:rsidR="00A15C2C" w14:paraId="1BFD23BC" w14:textId="77777777" w:rsidTr="0055589E">
        <w:trPr>
          <w:trHeight w:val="300"/>
          <w:jc w:val="center"/>
        </w:trPr>
        <w:tc>
          <w:tcPr>
            <w:tcW w:w="10520" w:type="dxa"/>
            <w:gridSpan w:val="7"/>
            <w:shd w:val="clear" w:color="auto" w:fill="D9D9D9" w:themeFill="background1" w:themeFillShade="D9"/>
            <w:noWrap/>
            <w:vAlign w:val="center"/>
            <w:hideMark/>
          </w:tcPr>
          <w:p w14:paraId="7ECD1074" w14:textId="77777777" w:rsidR="00B91504" w:rsidRPr="0055589E" w:rsidRDefault="000F5B51" w:rsidP="0055589E">
            <w:pPr>
              <w:spacing w:after="0" w:line="240" w:lineRule="auto"/>
              <w:ind w:firstLineChars="100" w:firstLine="241"/>
              <w:jc w:val="center"/>
              <w:rPr>
                <w:rFonts w:eastAsia="Times New Roman" w:cs="Times New Roman"/>
                <w:b/>
                <w:bCs/>
                <w:i/>
                <w:iCs/>
                <w:color w:val="000000"/>
                <w:szCs w:val="24"/>
              </w:rPr>
            </w:pPr>
            <w:r w:rsidRPr="0055589E">
              <w:rPr>
                <w:rFonts w:eastAsia="Times New Roman" w:cs="Times New Roman"/>
                <w:b/>
                <w:bCs/>
                <w:i/>
                <w:iCs/>
                <w:color w:val="000000"/>
                <w:szCs w:val="24"/>
              </w:rPr>
              <w:t>Light Truck</w:t>
            </w:r>
          </w:p>
        </w:tc>
      </w:tr>
      <w:tr w:rsidR="00A15C2C" w14:paraId="4496A331" w14:textId="77777777" w:rsidTr="00640749">
        <w:trPr>
          <w:trHeight w:val="300"/>
          <w:jc w:val="center"/>
        </w:trPr>
        <w:tc>
          <w:tcPr>
            <w:tcW w:w="2065" w:type="dxa"/>
            <w:shd w:val="clear" w:color="auto" w:fill="auto"/>
            <w:noWrap/>
            <w:vAlign w:val="bottom"/>
            <w:hideMark/>
          </w:tcPr>
          <w:p w14:paraId="5950A4DC" w14:textId="77777777" w:rsidR="000F3EA4" w:rsidRPr="00954B78" w:rsidRDefault="000F5B51" w:rsidP="0055589E">
            <w:pPr>
              <w:spacing w:after="0" w:line="240" w:lineRule="auto"/>
              <w:rPr>
                <w:rFonts w:eastAsia="Times New Roman" w:cs="Times New Roman"/>
                <w:color w:val="000000"/>
                <w:szCs w:val="24"/>
              </w:rPr>
            </w:pPr>
            <w:r>
              <w:rPr>
                <w:rFonts w:eastAsia="Times New Roman" w:cs="Times New Roman"/>
                <w:color w:val="000000"/>
                <w:szCs w:val="24"/>
              </w:rPr>
              <w:t>MAIS 1</w:t>
            </w:r>
          </w:p>
        </w:tc>
        <w:tc>
          <w:tcPr>
            <w:tcW w:w="1410" w:type="dxa"/>
            <w:shd w:val="clear" w:color="auto" w:fill="auto"/>
            <w:noWrap/>
            <w:vAlign w:val="center"/>
            <w:hideMark/>
          </w:tcPr>
          <w:p w14:paraId="05D1634B" w14:textId="77777777" w:rsidR="000F3EA4" w:rsidRPr="00954B78" w:rsidRDefault="000F5B51" w:rsidP="000F3EA4">
            <w:pPr>
              <w:spacing w:after="0" w:line="240" w:lineRule="auto"/>
              <w:jc w:val="center"/>
              <w:rPr>
                <w:rFonts w:eastAsia="Times New Roman" w:cs="Times New Roman"/>
                <w:color w:val="000000"/>
                <w:szCs w:val="24"/>
              </w:rPr>
            </w:pPr>
            <w:r w:rsidRPr="00954B78">
              <w:rPr>
                <w:rFonts w:cs="Times New Roman"/>
                <w:color w:val="000000"/>
                <w:szCs w:val="24"/>
              </w:rPr>
              <w:t>3,911</w:t>
            </w:r>
          </w:p>
        </w:tc>
        <w:tc>
          <w:tcPr>
            <w:tcW w:w="1560" w:type="dxa"/>
            <w:shd w:val="clear" w:color="auto" w:fill="auto"/>
            <w:noWrap/>
            <w:vAlign w:val="center"/>
            <w:hideMark/>
          </w:tcPr>
          <w:p w14:paraId="4CDADFC7" w14:textId="77777777" w:rsidR="000F3EA4" w:rsidRPr="00954B78" w:rsidRDefault="000F5B51" w:rsidP="000F3EA4">
            <w:pPr>
              <w:spacing w:after="0" w:line="240" w:lineRule="auto"/>
              <w:jc w:val="center"/>
              <w:rPr>
                <w:rFonts w:eastAsia="Times New Roman" w:cs="Times New Roman"/>
                <w:color w:val="000000"/>
                <w:szCs w:val="24"/>
              </w:rPr>
            </w:pPr>
            <w:r w:rsidRPr="00954B78">
              <w:rPr>
                <w:rFonts w:cs="Times New Roman"/>
                <w:color w:val="000000"/>
                <w:szCs w:val="24"/>
              </w:rPr>
              <w:t>1,806</w:t>
            </w:r>
          </w:p>
        </w:tc>
        <w:tc>
          <w:tcPr>
            <w:tcW w:w="1260" w:type="dxa"/>
            <w:shd w:val="clear" w:color="auto" w:fill="auto"/>
            <w:noWrap/>
            <w:vAlign w:val="center"/>
            <w:hideMark/>
          </w:tcPr>
          <w:p w14:paraId="03C7C397" w14:textId="77777777" w:rsidR="000F3EA4" w:rsidRPr="00954B78" w:rsidRDefault="000F5B51" w:rsidP="000F3EA4">
            <w:pPr>
              <w:spacing w:after="0" w:line="240" w:lineRule="auto"/>
              <w:jc w:val="center"/>
              <w:rPr>
                <w:rFonts w:eastAsia="Times New Roman" w:cs="Times New Roman"/>
                <w:color w:val="000000"/>
                <w:szCs w:val="24"/>
              </w:rPr>
            </w:pPr>
            <w:r w:rsidRPr="00954B78">
              <w:rPr>
                <w:rFonts w:cs="Times New Roman"/>
                <w:color w:val="000000"/>
                <w:szCs w:val="24"/>
              </w:rPr>
              <w:t>5,717</w:t>
            </w:r>
          </w:p>
        </w:tc>
        <w:tc>
          <w:tcPr>
            <w:tcW w:w="1615" w:type="dxa"/>
            <w:shd w:val="clear" w:color="auto" w:fill="auto"/>
            <w:noWrap/>
            <w:vAlign w:val="center"/>
            <w:hideMark/>
          </w:tcPr>
          <w:p w14:paraId="21A739B8" w14:textId="77777777" w:rsidR="000F3EA4" w:rsidRPr="00954B78" w:rsidRDefault="000F5B51" w:rsidP="000F3EA4">
            <w:pPr>
              <w:spacing w:after="0" w:line="240" w:lineRule="auto"/>
              <w:jc w:val="center"/>
              <w:rPr>
                <w:rFonts w:eastAsia="Times New Roman" w:cs="Times New Roman"/>
                <w:color w:val="000000"/>
                <w:szCs w:val="24"/>
              </w:rPr>
            </w:pPr>
            <w:r w:rsidRPr="00954B78">
              <w:rPr>
                <w:rFonts w:cs="Times New Roman"/>
                <w:color w:val="000000"/>
                <w:szCs w:val="24"/>
              </w:rPr>
              <w:t>0.055</w:t>
            </w:r>
          </w:p>
        </w:tc>
        <w:tc>
          <w:tcPr>
            <w:tcW w:w="1265" w:type="dxa"/>
            <w:shd w:val="clear" w:color="auto" w:fill="auto"/>
            <w:noWrap/>
            <w:vAlign w:val="center"/>
            <w:hideMark/>
          </w:tcPr>
          <w:p w14:paraId="275E14B9" w14:textId="77777777" w:rsidR="000F3EA4" w:rsidRPr="00954B78" w:rsidRDefault="000F5B51" w:rsidP="000F3EA4">
            <w:pPr>
              <w:spacing w:after="0" w:line="240" w:lineRule="auto"/>
              <w:jc w:val="center"/>
              <w:rPr>
                <w:rFonts w:eastAsia="Times New Roman" w:cs="Times New Roman"/>
                <w:color w:val="000000"/>
                <w:szCs w:val="24"/>
              </w:rPr>
            </w:pPr>
            <w:r>
              <w:rPr>
                <w:rFonts w:cs="Times New Roman"/>
                <w:color w:val="000000"/>
                <w:szCs w:val="24"/>
              </w:rPr>
              <w:t>0.7512</w:t>
            </w:r>
          </w:p>
        </w:tc>
        <w:tc>
          <w:tcPr>
            <w:tcW w:w="1345" w:type="dxa"/>
            <w:shd w:val="clear" w:color="auto" w:fill="auto"/>
            <w:noWrap/>
            <w:vAlign w:val="center"/>
            <w:hideMark/>
          </w:tcPr>
          <w:p w14:paraId="5F4DBE9E" w14:textId="7219BE5D" w:rsidR="000F3EA4" w:rsidRPr="00954B78" w:rsidRDefault="000F5B51" w:rsidP="000F3EA4">
            <w:pPr>
              <w:spacing w:after="0" w:line="240" w:lineRule="auto"/>
              <w:jc w:val="center"/>
              <w:rPr>
                <w:rFonts w:eastAsia="Times New Roman" w:cs="Times New Roman"/>
                <w:color w:val="000000"/>
                <w:szCs w:val="24"/>
              </w:rPr>
            </w:pPr>
            <w:r w:rsidRPr="00954B78">
              <w:rPr>
                <w:rFonts w:cs="Times New Roman"/>
                <w:color w:val="000000"/>
                <w:szCs w:val="24"/>
              </w:rPr>
              <w:t>5,96</w:t>
            </w:r>
            <w:r w:rsidR="00060DA5">
              <w:rPr>
                <w:rFonts w:cs="Times New Roman"/>
                <w:color w:val="000000"/>
                <w:szCs w:val="24"/>
              </w:rPr>
              <w:t>4</w:t>
            </w:r>
          </w:p>
        </w:tc>
      </w:tr>
      <w:tr w:rsidR="00A15C2C" w14:paraId="776D128C" w14:textId="77777777" w:rsidTr="00640749">
        <w:trPr>
          <w:trHeight w:val="300"/>
          <w:jc w:val="center"/>
        </w:trPr>
        <w:tc>
          <w:tcPr>
            <w:tcW w:w="2065" w:type="dxa"/>
            <w:shd w:val="clear" w:color="auto" w:fill="auto"/>
            <w:noWrap/>
            <w:hideMark/>
          </w:tcPr>
          <w:p w14:paraId="61FF68F0" w14:textId="77777777" w:rsidR="000F3EA4" w:rsidRPr="00954B78" w:rsidRDefault="000F5B51" w:rsidP="0055589E">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2</w:t>
            </w:r>
          </w:p>
        </w:tc>
        <w:tc>
          <w:tcPr>
            <w:tcW w:w="1410" w:type="dxa"/>
            <w:shd w:val="clear" w:color="auto" w:fill="auto"/>
            <w:noWrap/>
            <w:vAlign w:val="center"/>
            <w:hideMark/>
          </w:tcPr>
          <w:p w14:paraId="1E69ACBC" w14:textId="77777777" w:rsidR="000F3EA4" w:rsidRPr="00954B78" w:rsidRDefault="000F5B51" w:rsidP="000F3EA4">
            <w:pPr>
              <w:spacing w:after="0" w:line="240" w:lineRule="auto"/>
              <w:jc w:val="center"/>
              <w:rPr>
                <w:rFonts w:eastAsia="Times New Roman" w:cs="Times New Roman"/>
                <w:color w:val="000000"/>
                <w:szCs w:val="24"/>
              </w:rPr>
            </w:pPr>
            <w:r w:rsidRPr="00954B78">
              <w:rPr>
                <w:rFonts w:cs="Times New Roman"/>
                <w:color w:val="000000"/>
                <w:szCs w:val="24"/>
              </w:rPr>
              <w:t>293</w:t>
            </w:r>
          </w:p>
        </w:tc>
        <w:tc>
          <w:tcPr>
            <w:tcW w:w="1560" w:type="dxa"/>
            <w:shd w:val="clear" w:color="auto" w:fill="auto"/>
            <w:noWrap/>
            <w:vAlign w:val="center"/>
            <w:hideMark/>
          </w:tcPr>
          <w:p w14:paraId="57147133" w14:textId="77777777" w:rsidR="000F3EA4" w:rsidRPr="00954B78" w:rsidRDefault="000F5B51" w:rsidP="000F3EA4">
            <w:pPr>
              <w:spacing w:after="0" w:line="240" w:lineRule="auto"/>
              <w:jc w:val="center"/>
              <w:rPr>
                <w:rFonts w:eastAsia="Times New Roman" w:cs="Times New Roman"/>
                <w:color w:val="000000"/>
                <w:szCs w:val="24"/>
              </w:rPr>
            </w:pPr>
            <w:r w:rsidRPr="00954B78">
              <w:rPr>
                <w:rFonts w:cs="Times New Roman"/>
                <w:color w:val="000000"/>
                <w:szCs w:val="24"/>
              </w:rPr>
              <w:t>551</w:t>
            </w:r>
          </w:p>
        </w:tc>
        <w:tc>
          <w:tcPr>
            <w:tcW w:w="1260" w:type="dxa"/>
            <w:shd w:val="clear" w:color="auto" w:fill="auto"/>
            <w:noWrap/>
            <w:vAlign w:val="center"/>
            <w:hideMark/>
          </w:tcPr>
          <w:p w14:paraId="4647A79D" w14:textId="77777777" w:rsidR="000F3EA4" w:rsidRPr="00954B78" w:rsidRDefault="000F5B51" w:rsidP="000F3EA4">
            <w:pPr>
              <w:spacing w:after="0" w:line="240" w:lineRule="auto"/>
              <w:jc w:val="center"/>
              <w:rPr>
                <w:rFonts w:eastAsia="Times New Roman" w:cs="Times New Roman"/>
                <w:color w:val="000000"/>
                <w:szCs w:val="24"/>
              </w:rPr>
            </w:pPr>
            <w:r w:rsidRPr="00954B78">
              <w:rPr>
                <w:rFonts w:cs="Times New Roman"/>
                <w:color w:val="000000"/>
                <w:szCs w:val="24"/>
              </w:rPr>
              <w:t>844</w:t>
            </w:r>
          </w:p>
        </w:tc>
        <w:tc>
          <w:tcPr>
            <w:tcW w:w="1615" w:type="dxa"/>
            <w:shd w:val="clear" w:color="auto" w:fill="auto"/>
            <w:noWrap/>
            <w:vAlign w:val="center"/>
            <w:hideMark/>
          </w:tcPr>
          <w:p w14:paraId="45F61610" w14:textId="77777777" w:rsidR="000F3EA4" w:rsidRPr="00954B78" w:rsidRDefault="000F5B51" w:rsidP="000F3EA4">
            <w:pPr>
              <w:spacing w:after="0" w:line="240" w:lineRule="auto"/>
              <w:jc w:val="center"/>
              <w:rPr>
                <w:rFonts w:eastAsia="Times New Roman" w:cs="Times New Roman"/>
                <w:color w:val="000000"/>
                <w:szCs w:val="24"/>
              </w:rPr>
            </w:pPr>
            <w:r w:rsidRPr="00954B78">
              <w:rPr>
                <w:rFonts w:cs="Times New Roman"/>
                <w:color w:val="000000"/>
                <w:szCs w:val="24"/>
              </w:rPr>
              <w:t>0.50</w:t>
            </w:r>
            <w:r w:rsidR="003770F6">
              <w:rPr>
                <w:rFonts w:cs="Times New Roman"/>
                <w:color w:val="000000"/>
                <w:szCs w:val="24"/>
              </w:rPr>
              <w:t>7</w:t>
            </w:r>
          </w:p>
        </w:tc>
        <w:tc>
          <w:tcPr>
            <w:tcW w:w="1265" w:type="dxa"/>
            <w:shd w:val="clear" w:color="auto" w:fill="auto"/>
            <w:noWrap/>
            <w:vAlign w:val="center"/>
            <w:hideMark/>
          </w:tcPr>
          <w:p w14:paraId="0CB95076" w14:textId="77777777" w:rsidR="000F3EA4" w:rsidRPr="00954B78" w:rsidRDefault="000F5B51" w:rsidP="000F3EA4">
            <w:pPr>
              <w:spacing w:after="0" w:line="240" w:lineRule="auto"/>
              <w:jc w:val="center"/>
              <w:rPr>
                <w:rFonts w:eastAsia="Times New Roman" w:cs="Times New Roman"/>
                <w:color w:val="000000"/>
                <w:szCs w:val="24"/>
              </w:rPr>
            </w:pPr>
            <w:r w:rsidRPr="006B7B84">
              <w:rPr>
                <w:rFonts w:cs="Times New Roman"/>
                <w:color w:val="000000"/>
                <w:szCs w:val="24"/>
              </w:rPr>
              <w:t>0.7512</w:t>
            </w:r>
          </w:p>
        </w:tc>
        <w:tc>
          <w:tcPr>
            <w:tcW w:w="1345" w:type="dxa"/>
            <w:shd w:val="clear" w:color="auto" w:fill="auto"/>
            <w:noWrap/>
            <w:vAlign w:val="center"/>
            <w:hideMark/>
          </w:tcPr>
          <w:p w14:paraId="3C5080E1" w14:textId="77777777" w:rsidR="000F3EA4" w:rsidRPr="00954B78" w:rsidRDefault="000F5B51" w:rsidP="000F3EA4">
            <w:pPr>
              <w:spacing w:after="0" w:line="240" w:lineRule="auto"/>
              <w:jc w:val="center"/>
              <w:rPr>
                <w:rFonts w:eastAsia="Times New Roman" w:cs="Times New Roman"/>
                <w:color w:val="000000"/>
                <w:szCs w:val="24"/>
              </w:rPr>
            </w:pPr>
            <w:r w:rsidRPr="00954B78">
              <w:rPr>
                <w:rFonts w:cs="Times New Roman"/>
                <w:color w:val="000000"/>
                <w:szCs w:val="24"/>
              </w:rPr>
              <w:t>1,363</w:t>
            </w:r>
          </w:p>
        </w:tc>
      </w:tr>
      <w:tr w:rsidR="00A15C2C" w14:paraId="54046E3B" w14:textId="77777777" w:rsidTr="0055589E">
        <w:trPr>
          <w:trHeight w:val="300"/>
          <w:jc w:val="center"/>
        </w:trPr>
        <w:tc>
          <w:tcPr>
            <w:tcW w:w="2065" w:type="dxa"/>
            <w:shd w:val="clear" w:color="auto" w:fill="auto"/>
            <w:noWrap/>
            <w:hideMark/>
          </w:tcPr>
          <w:p w14:paraId="2E6D8AC2" w14:textId="77777777" w:rsidR="003770F6" w:rsidRPr="00954B78" w:rsidRDefault="000F5B51" w:rsidP="0055589E">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3</w:t>
            </w:r>
          </w:p>
        </w:tc>
        <w:tc>
          <w:tcPr>
            <w:tcW w:w="1410" w:type="dxa"/>
            <w:shd w:val="clear" w:color="auto" w:fill="auto"/>
            <w:noWrap/>
            <w:vAlign w:val="center"/>
            <w:hideMark/>
          </w:tcPr>
          <w:p w14:paraId="3B70FEBB" w14:textId="77777777" w:rsidR="003770F6" w:rsidRPr="00954B78" w:rsidRDefault="000F5B51" w:rsidP="003770F6">
            <w:pPr>
              <w:spacing w:after="0" w:line="240" w:lineRule="auto"/>
              <w:jc w:val="center"/>
              <w:rPr>
                <w:rFonts w:eastAsia="Times New Roman" w:cs="Times New Roman"/>
                <w:color w:val="000000"/>
                <w:szCs w:val="24"/>
              </w:rPr>
            </w:pPr>
            <w:r w:rsidRPr="00954B78">
              <w:rPr>
                <w:rFonts w:cs="Times New Roman"/>
                <w:color w:val="000000"/>
                <w:szCs w:val="24"/>
              </w:rPr>
              <w:t>13</w:t>
            </w:r>
          </w:p>
        </w:tc>
        <w:tc>
          <w:tcPr>
            <w:tcW w:w="1560" w:type="dxa"/>
            <w:shd w:val="clear" w:color="auto" w:fill="auto"/>
            <w:noWrap/>
            <w:vAlign w:val="center"/>
            <w:hideMark/>
          </w:tcPr>
          <w:p w14:paraId="78E925FF" w14:textId="77777777" w:rsidR="003770F6" w:rsidRPr="00954B78" w:rsidRDefault="000F5B51" w:rsidP="003770F6">
            <w:pPr>
              <w:spacing w:after="0" w:line="240" w:lineRule="auto"/>
              <w:jc w:val="center"/>
              <w:rPr>
                <w:rFonts w:eastAsia="Times New Roman" w:cs="Times New Roman"/>
                <w:color w:val="000000"/>
                <w:szCs w:val="24"/>
              </w:rPr>
            </w:pPr>
            <w:r w:rsidRPr="00954B78">
              <w:rPr>
                <w:rFonts w:cs="Times New Roman"/>
                <w:color w:val="000000"/>
                <w:szCs w:val="24"/>
              </w:rPr>
              <w:t>3</w:t>
            </w:r>
          </w:p>
        </w:tc>
        <w:tc>
          <w:tcPr>
            <w:tcW w:w="1260" w:type="dxa"/>
            <w:shd w:val="clear" w:color="auto" w:fill="auto"/>
            <w:noWrap/>
            <w:vAlign w:val="center"/>
            <w:hideMark/>
          </w:tcPr>
          <w:p w14:paraId="23638E37" w14:textId="77777777" w:rsidR="003770F6" w:rsidRPr="00954B78" w:rsidRDefault="000F5B51" w:rsidP="003770F6">
            <w:pPr>
              <w:spacing w:after="0" w:line="240" w:lineRule="auto"/>
              <w:jc w:val="center"/>
              <w:rPr>
                <w:rFonts w:eastAsia="Times New Roman" w:cs="Times New Roman"/>
                <w:color w:val="000000"/>
                <w:szCs w:val="24"/>
              </w:rPr>
            </w:pPr>
            <w:r w:rsidRPr="00954B78">
              <w:rPr>
                <w:rFonts w:cs="Times New Roman"/>
                <w:color w:val="000000"/>
                <w:szCs w:val="24"/>
              </w:rPr>
              <w:t>15</w:t>
            </w:r>
          </w:p>
        </w:tc>
        <w:tc>
          <w:tcPr>
            <w:tcW w:w="1615" w:type="dxa"/>
            <w:shd w:val="clear" w:color="auto" w:fill="auto"/>
            <w:noWrap/>
            <w:hideMark/>
          </w:tcPr>
          <w:p w14:paraId="3D53A115" w14:textId="77777777" w:rsidR="003770F6" w:rsidRPr="00954B78" w:rsidRDefault="000F5B51" w:rsidP="003770F6">
            <w:pPr>
              <w:spacing w:after="0" w:line="240" w:lineRule="auto"/>
              <w:jc w:val="center"/>
              <w:rPr>
                <w:rFonts w:eastAsia="Times New Roman" w:cs="Times New Roman"/>
                <w:color w:val="000000"/>
                <w:szCs w:val="24"/>
              </w:rPr>
            </w:pPr>
            <w:r w:rsidRPr="00997994">
              <w:rPr>
                <w:rFonts w:cs="Times New Roman"/>
                <w:color w:val="000000"/>
                <w:szCs w:val="24"/>
              </w:rPr>
              <w:t>0.507</w:t>
            </w:r>
          </w:p>
        </w:tc>
        <w:tc>
          <w:tcPr>
            <w:tcW w:w="1265" w:type="dxa"/>
            <w:shd w:val="clear" w:color="auto" w:fill="auto"/>
            <w:noWrap/>
            <w:vAlign w:val="center"/>
            <w:hideMark/>
          </w:tcPr>
          <w:p w14:paraId="4C5778F2" w14:textId="77777777" w:rsidR="003770F6" w:rsidRPr="00954B78" w:rsidRDefault="000F5B51" w:rsidP="003770F6">
            <w:pPr>
              <w:spacing w:after="0" w:line="240" w:lineRule="auto"/>
              <w:jc w:val="center"/>
              <w:rPr>
                <w:rFonts w:eastAsia="Times New Roman" w:cs="Times New Roman"/>
                <w:color w:val="000000"/>
                <w:szCs w:val="24"/>
              </w:rPr>
            </w:pPr>
            <w:r w:rsidRPr="006B7B84">
              <w:rPr>
                <w:rFonts w:cs="Times New Roman"/>
                <w:color w:val="000000"/>
                <w:szCs w:val="24"/>
              </w:rPr>
              <w:t>0.7512</w:t>
            </w:r>
          </w:p>
        </w:tc>
        <w:tc>
          <w:tcPr>
            <w:tcW w:w="1345" w:type="dxa"/>
            <w:shd w:val="clear" w:color="auto" w:fill="auto"/>
            <w:noWrap/>
            <w:vAlign w:val="center"/>
            <w:hideMark/>
          </w:tcPr>
          <w:p w14:paraId="52C7BF58" w14:textId="60A8FD41" w:rsidR="003770F6" w:rsidRPr="00954B78" w:rsidRDefault="000F5B51" w:rsidP="003770F6">
            <w:pPr>
              <w:spacing w:after="0" w:line="240" w:lineRule="auto"/>
              <w:jc w:val="center"/>
              <w:rPr>
                <w:rFonts w:eastAsia="Times New Roman" w:cs="Times New Roman"/>
                <w:color w:val="000000"/>
                <w:szCs w:val="24"/>
              </w:rPr>
            </w:pPr>
            <w:r w:rsidRPr="00954B78">
              <w:rPr>
                <w:rFonts w:cs="Times New Roman"/>
                <w:color w:val="000000"/>
                <w:szCs w:val="24"/>
              </w:rPr>
              <w:t>2</w:t>
            </w:r>
            <w:r w:rsidR="00060DA5">
              <w:rPr>
                <w:rFonts w:cs="Times New Roman"/>
                <w:color w:val="000000"/>
                <w:szCs w:val="24"/>
              </w:rPr>
              <w:t>5</w:t>
            </w:r>
          </w:p>
        </w:tc>
      </w:tr>
      <w:tr w:rsidR="00A15C2C" w14:paraId="3B1EC023" w14:textId="77777777" w:rsidTr="0055589E">
        <w:trPr>
          <w:trHeight w:val="300"/>
          <w:jc w:val="center"/>
        </w:trPr>
        <w:tc>
          <w:tcPr>
            <w:tcW w:w="2065" w:type="dxa"/>
            <w:shd w:val="clear" w:color="auto" w:fill="auto"/>
            <w:noWrap/>
            <w:hideMark/>
          </w:tcPr>
          <w:p w14:paraId="4905B06A" w14:textId="77777777" w:rsidR="003770F6" w:rsidRPr="00954B78" w:rsidRDefault="000F5B51" w:rsidP="0055589E">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4</w:t>
            </w:r>
          </w:p>
        </w:tc>
        <w:tc>
          <w:tcPr>
            <w:tcW w:w="1410" w:type="dxa"/>
            <w:shd w:val="clear" w:color="auto" w:fill="auto"/>
            <w:noWrap/>
            <w:vAlign w:val="center"/>
            <w:hideMark/>
          </w:tcPr>
          <w:p w14:paraId="7A4DAA52" w14:textId="77777777" w:rsidR="003770F6" w:rsidRPr="00954B78" w:rsidRDefault="000F5B51" w:rsidP="003770F6">
            <w:pPr>
              <w:spacing w:after="0" w:line="240" w:lineRule="auto"/>
              <w:jc w:val="center"/>
              <w:rPr>
                <w:rFonts w:eastAsia="Times New Roman" w:cs="Times New Roman"/>
                <w:color w:val="000000"/>
                <w:szCs w:val="24"/>
              </w:rPr>
            </w:pPr>
            <w:r w:rsidRPr="00954B78">
              <w:rPr>
                <w:rFonts w:cs="Times New Roman"/>
                <w:color w:val="000000"/>
                <w:szCs w:val="24"/>
              </w:rPr>
              <w:t>44</w:t>
            </w:r>
          </w:p>
        </w:tc>
        <w:tc>
          <w:tcPr>
            <w:tcW w:w="1560" w:type="dxa"/>
            <w:shd w:val="clear" w:color="auto" w:fill="auto"/>
            <w:noWrap/>
            <w:vAlign w:val="center"/>
            <w:hideMark/>
          </w:tcPr>
          <w:p w14:paraId="108C0780" w14:textId="77777777" w:rsidR="003770F6" w:rsidRPr="00954B78" w:rsidRDefault="000F5B51" w:rsidP="003770F6">
            <w:pPr>
              <w:spacing w:after="0" w:line="240" w:lineRule="auto"/>
              <w:jc w:val="center"/>
              <w:rPr>
                <w:rFonts w:eastAsia="Times New Roman" w:cs="Times New Roman"/>
                <w:color w:val="000000"/>
                <w:szCs w:val="24"/>
              </w:rPr>
            </w:pPr>
            <w:r w:rsidRPr="00954B78">
              <w:rPr>
                <w:rFonts w:cs="Times New Roman"/>
                <w:color w:val="000000"/>
                <w:szCs w:val="24"/>
              </w:rPr>
              <w:t>33</w:t>
            </w:r>
          </w:p>
        </w:tc>
        <w:tc>
          <w:tcPr>
            <w:tcW w:w="1260" w:type="dxa"/>
            <w:shd w:val="clear" w:color="auto" w:fill="auto"/>
            <w:noWrap/>
            <w:vAlign w:val="center"/>
            <w:hideMark/>
          </w:tcPr>
          <w:p w14:paraId="670868C7" w14:textId="77777777" w:rsidR="003770F6" w:rsidRPr="00954B78" w:rsidRDefault="000F5B51" w:rsidP="003770F6">
            <w:pPr>
              <w:spacing w:after="0" w:line="240" w:lineRule="auto"/>
              <w:jc w:val="center"/>
              <w:rPr>
                <w:rFonts w:eastAsia="Times New Roman" w:cs="Times New Roman"/>
                <w:color w:val="000000"/>
                <w:szCs w:val="24"/>
              </w:rPr>
            </w:pPr>
            <w:r w:rsidRPr="00954B78">
              <w:rPr>
                <w:rFonts w:cs="Times New Roman"/>
                <w:color w:val="000000"/>
                <w:szCs w:val="24"/>
              </w:rPr>
              <w:t>77</w:t>
            </w:r>
          </w:p>
        </w:tc>
        <w:tc>
          <w:tcPr>
            <w:tcW w:w="1615" w:type="dxa"/>
            <w:shd w:val="clear" w:color="auto" w:fill="auto"/>
            <w:noWrap/>
            <w:hideMark/>
          </w:tcPr>
          <w:p w14:paraId="48A88BBC" w14:textId="77777777" w:rsidR="003770F6" w:rsidRPr="00954B78" w:rsidRDefault="000F5B51" w:rsidP="003770F6">
            <w:pPr>
              <w:spacing w:after="0" w:line="240" w:lineRule="auto"/>
              <w:jc w:val="center"/>
              <w:rPr>
                <w:rFonts w:eastAsia="Times New Roman" w:cs="Times New Roman"/>
                <w:color w:val="000000"/>
                <w:szCs w:val="24"/>
              </w:rPr>
            </w:pPr>
            <w:r w:rsidRPr="00997994">
              <w:rPr>
                <w:rFonts w:cs="Times New Roman"/>
                <w:color w:val="000000"/>
                <w:szCs w:val="24"/>
              </w:rPr>
              <w:t>0.507</w:t>
            </w:r>
          </w:p>
        </w:tc>
        <w:tc>
          <w:tcPr>
            <w:tcW w:w="1265" w:type="dxa"/>
            <w:shd w:val="clear" w:color="auto" w:fill="auto"/>
            <w:noWrap/>
            <w:vAlign w:val="center"/>
            <w:hideMark/>
          </w:tcPr>
          <w:p w14:paraId="0505854A" w14:textId="77777777" w:rsidR="003770F6" w:rsidRPr="00954B78" w:rsidRDefault="000F5B51" w:rsidP="003770F6">
            <w:pPr>
              <w:spacing w:after="0" w:line="240" w:lineRule="auto"/>
              <w:jc w:val="center"/>
              <w:rPr>
                <w:rFonts w:eastAsia="Times New Roman" w:cs="Times New Roman"/>
                <w:color w:val="000000"/>
                <w:szCs w:val="24"/>
              </w:rPr>
            </w:pPr>
            <w:r w:rsidRPr="006B7B84">
              <w:rPr>
                <w:rFonts w:cs="Times New Roman"/>
                <w:color w:val="000000"/>
                <w:szCs w:val="24"/>
              </w:rPr>
              <w:t>0.7512</w:t>
            </w:r>
          </w:p>
        </w:tc>
        <w:tc>
          <w:tcPr>
            <w:tcW w:w="1345" w:type="dxa"/>
            <w:shd w:val="clear" w:color="auto" w:fill="auto"/>
            <w:noWrap/>
            <w:vAlign w:val="center"/>
            <w:hideMark/>
          </w:tcPr>
          <w:p w14:paraId="3FD72121" w14:textId="4E089009" w:rsidR="003770F6" w:rsidRPr="00954B78" w:rsidRDefault="000F5B51" w:rsidP="003770F6">
            <w:pPr>
              <w:spacing w:after="0" w:line="240" w:lineRule="auto"/>
              <w:jc w:val="center"/>
              <w:rPr>
                <w:rFonts w:eastAsia="Times New Roman" w:cs="Times New Roman"/>
                <w:color w:val="000000"/>
                <w:szCs w:val="24"/>
              </w:rPr>
            </w:pPr>
            <w:r w:rsidRPr="00954B78">
              <w:rPr>
                <w:rFonts w:cs="Times New Roman"/>
                <w:color w:val="000000"/>
                <w:szCs w:val="24"/>
              </w:rPr>
              <w:t>12</w:t>
            </w:r>
            <w:r w:rsidR="00060DA5">
              <w:rPr>
                <w:rFonts w:cs="Times New Roman"/>
                <w:color w:val="000000"/>
                <w:szCs w:val="24"/>
              </w:rPr>
              <w:t>5</w:t>
            </w:r>
          </w:p>
        </w:tc>
      </w:tr>
      <w:tr w:rsidR="00A15C2C" w14:paraId="47E6CDB6" w14:textId="77777777" w:rsidTr="0055589E">
        <w:trPr>
          <w:trHeight w:val="300"/>
          <w:jc w:val="center"/>
        </w:trPr>
        <w:tc>
          <w:tcPr>
            <w:tcW w:w="2065" w:type="dxa"/>
            <w:shd w:val="clear" w:color="auto" w:fill="auto"/>
            <w:noWrap/>
            <w:hideMark/>
          </w:tcPr>
          <w:p w14:paraId="25BDCDB1" w14:textId="77777777" w:rsidR="003770F6" w:rsidRPr="00954B78" w:rsidRDefault="000F5B51" w:rsidP="0055589E">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5</w:t>
            </w:r>
          </w:p>
        </w:tc>
        <w:tc>
          <w:tcPr>
            <w:tcW w:w="1410" w:type="dxa"/>
            <w:shd w:val="clear" w:color="auto" w:fill="auto"/>
            <w:noWrap/>
            <w:vAlign w:val="center"/>
            <w:hideMark/>
          </w:tcPr>
          <w:p w14:paraId="7D88C402" w14:textId="77777777" w:rsidR="003770F6" w:rsidRPr="00954B78" w:rsidRDefault="000F5B51" w:rsidP="003770F6">
            <w:pPr>
              <w:spacing w:after="0" w:line="240" w:lineRule="auto"/>
              <w:jc w:val="center"/>
              <w:rPr>
                <w:rFonts w:eastAsia="Times New Roman" w:cs="Times New Roman"/>
                <w:color w:val="000000"/>
                <w:szCs w:val="24"/>
              </w:rPr>
            </w:pPr>
            <w:r w:rsidRPr="00954B78">
              <w:rPr>
                <w:rFonts w:cs="Times New Roman"/>
                <w:color w:val="000000"/>
                <w:szCs w:val="24"/>
              </w:rPr>
              <w:t>0</w:t>
            </w:r>
          </w:p>
        </w:tc>
        <w:tc>
          <w:tcPr>
            <w:tcW w:w="1560" w:type="dxa"/>
            <w:shd w:val="clear" w:color="auto" w:fill="auto"/>
            <w:noWrap/>
            <w:vAlign w:val="center"/>
            <w:hideMark/>
          </w:tcPr>
          <w:p w14:paraId="02D47039" w14:textId="77777777" w:rsidR="003770F6" w:rsidRPr="00954B78" w:rsidRDefault="000F5B51" w:rsidP="003770F6">
            <w:pPr>
              <w:spacing w:after="0" w:line="240" w:lineRule="auto"/>
              <w:jc w:val="center"/>
              <w:rPr>
                <w:rFonts w:eastAsia="Times New Roman" w:cs="Times New Roman"/>
                <w:color w:val="000000"/>
                <w:szCs w:val="24"/>
              </w:rPr>
            </w:pPr>
            <w:r w:rsidRPr="00954B78">
              <w:rPr>
                <w:rFonts w:cs="Times New Roman"/>
                <w:color w:val="000000"/>
                <w:szCs w:val="24"/>
              </w:rPr>
              <w:t>2</w:t>
            </w:r>
          </w:p>
        </w:tc>
        <w:tc>
          <w:tcPr>
            <w:tcW w:w="1260" w:type="dxa"/>
            <w:shd w:val="clear" w:color="auto" w:fill="auto"/>
            <w:noWrap/>
            <w:vAlign w:val="center"/>
            <w:hideMark/>
          </w:tcPr>
          <w:p w14:paraId="2AE1F8F9" w14:textId="77777777" w:rsidR="003770F6" w:rsidRPr="00954B78" w:rsidRDefault="000F5B51" w:rsidP="003770F6">
            <w:pPr>
              <w:spacing w:after="0" w:line="240" w:lineRule="auto"/>
              <w:jc w:val="center"/>
              <w:rPr>
                <w:rFonts w:eastAsia="Times New Roman" w:cs="Times New Roman"/>
                <w:color w:val="000000"/>
                <w:szCs w:val="24"/>
              </w:rPr>
            </w:pPr>
            <w:r w:rsidRPr="00954B78">
              <w:rPr>
                <w:rFonts w:cs="Times New Roman"/>
                <w:color w:val="000000"/>
                <w:szCs w:val="24"/>
              </w:rPr>
              <w:t>2</w:t>
            </w:r>
          </w:p>
        </w:tc>
        <w:tc>
          <w:tcPr>
            <w:tcW w:w="1615" w:type="dxa"/>
            <w:shd w:val="clear" w:color="auto" w:fill="auto"/>
            <w:noWrap/>
            <w:hideMark/>
          </w:tcPr>
          <w:p w14:paraId="3A194020" w14:textId="77777777" w:rsidR="003770F6" w:rsidRPr="00954B78" w:rsidRDefault="000F5B51" w:rsidP="003770F6">
            <w:pPr>
              <w:spacing w:after="0" w:line="240" w:lineRule="auto"/>
              <w:jc w:val="center"/>
              <w:rPr>
                <w:rFonts w:eastAsia="Times New Roman" w:cs="Times New Roman"/>
                <w:color w:val="000000"/>
                <w:szCs w:val="24"/>
              </w:rPr>
            </w:pPr>
            <w:r w:rsidRPr="00997994">
              <w:rPr>
                <w:rFonts w:cs="Times New Roman"/>
                <w:color w:val="000000"/>
                <w:szCs w:val="24"/>
              </w:rPr>
              <w:t>0.507</w:t>
            </w:r>
          </w:p>
        </w:tc>
        <w:tc>
          <w:tcPr>
            <w:tcW w:w="1265" w:type="dxa"/>
            <w:shd w:val="clear" w:color="auto" w:fill="auto"/>
            <w:noWrap/>
            <w:vAlign w:val="center"/>
            <w:hideMark/>
          </w:tcPr>
          <w:p w14:paraId="75BDEA08" w14:textId="77777777" w:rsidR="003770F6" w:rsidRPr="00954B78" w:rsidRDefault="000F5B51" w:rsidP="003770F6">
            <w:pPr>
              <w:spacing w:after="0" w:line="240" w:lineRule="auto"/>
              <w:jc w:val="center"/>
              <w:rPr>
                <w:rFonts w:eastAsia="Times New Roman" w:cs="Times New Roman"/>
                <w:color w:val="000000"/>
                <w:szCs w:val="24"/>
              </w:rPr>
            </w:pPr>
            <w:r w:rsidRPr="006B7B84">
              <w:rPr>
                <w:rFonts w:cs="Times New Roman"/>
                <w:color w:val="000000"/>
                <w:szCs w:val="24"/>
              </w:rPr>
              <w:t>0.7512</w:t>
            </w:r>
          </w:p>
        </w:tc>
        <w:tc>
          <w:tcPr>
            <w:tcW w:w="1345" w:type="dxa"/>
            <w:shd w:val="clear" w:color="auto" w:fill="auto"/>
            <w:noWrap/>
            <w:vAlign w:val="center"/>
            <w:hideMark/>
          </w:tcPr>
          <w:p w14:paraId="11C83004" w14:textId="398A98EA" w:rsidR="003770F6" w:rsidRPr="00954B78" w:rsidRDefault="00060DA5" w:rsidP="003770F6">
            <w:pPr>
              <w:spacing w:after="0" w:line="240" w:lineRule="auto"/>
              <w:jc w:val="center"/>
              <w:rPr>
                <w:rFonts w:eastAsia="Times New Roman" w:cs="Times New Roman"/>
                <w:color w:val="000000"/>
                <w:szCs w:val="24"/>
              </w:rPr>
            </w:pPr>
            <w:r>
              <w:rPr>
                <w:rFonts w:cs="Times New Roman"/>
                <w:color w:val="000000"/>
                <w:szCs w:val="24"/>
              </w:rPr>
              <w:t>4</w:t>
            </w:r>
          </w:p>
        </w:tc>
      </w:tr>
      <w:tr w:rsidR="00A15C2C" w14:paraId="763F76B3" w14:textId="77777777" w:rsidTr="0055589E">
        <w:trPr>
          <w:trHeight w:val="300"/>
          <w:jc w:val="center"/>
        </w:trPr>
        <w:tc>
          <w:tcPr>
            <w:tcW w:w="2065" w:type="dxa"/>
            <w:shd w:val="clear" w:color="auto" w:fill="auto"/>
            <w:noWrap/>
            <w:vAlign w:val="bottom"/>
          </w:tcPr>
          <w:p w14:paraId="7C6EAB29" w14:textId="77777777" w:rsidR="000F3EA4" w:rsidRPr="0055589E" w:rsidRDefault="000F5B51" w:rsidP="000F3EA4">
            <w:pPr>
              <w:spacing w:after="0" w:line="240" w:lineRule="auto"/>
              <w:rPr>
                <w:rFonts w:eastAsia="Times New Roman" w:cs="Times New Roman"/>
                <w:b/>
                <w:bCs/>
                <w:color w:val="000000"/>
                <w:sz w:val="23"/>
                <w:szCs w:val="23"/>
              </w:rPr>
            </w:pPr>
            <w:r w:rsidRPr="0055589E">
              <w:rPr>
                <w:rFonts w:eastAsia="Times New Roman" w:cs="Times New Roman"/>
                <w:b/>
                <w:bCs/>
                <w:color w:val="000000"/>
                <w:sz w:val="23"/>
                <w:szCs w:val="23"/>
              </w:rPr>
              <w:t xml:space="preserve">Non-Fatal Injuries </w:t>
            </w:r>
          </w:p>
          <w:p w14:paraId="3CA94140" w14:textId="77777777" w:rsidR="000F3EA4" w:rsidRPr="0055589E" w:rsidRDefault="000F5B51" w:rsidP="0055589E">
            <w:pPr>
              <w:spacing w:after="0" w:line="240" w:lineRule="auto"/>
              <w:rPr>
                <w:rFonts w:eastAsia="Times New Roman" w:cs="Times New Roman"/>
                <w:b/>
                <w:bCs/>
                <w:color w:val="000000"/>
                <w:sz w:val="23"/>
                <w:szCs w:val="23"/>
              </w:rPr>
            </w:pPr>
            <w:r w:rsidRPr="0055589E">
              <w:rPr>
                <w:rFonts w:eastAsia="Times New Roman" w:cs="Times New Roman"/>
                <w:b/>
                <w:bCs/>
                <w:color w:val="000000"/>
                <w:sz w:val="23"/>
                <w:szCs w:val="23"/>
              </w:rPr>
              <w:t>(MAIS 1-5)</w:t>
            </w:r>
          </w:p>
        </w:tc>
        <w:tc>
          <w:tcPr>
            <w:tcW w:w="1410" w:type="dxa"/>
            <w:shd w:val="clear" w:color="auto" w:fill="auto"/>
            <w:noWrap/>
            <w:vAlign w:val="center"/>
          </w:tcPr>
          <w:p w14:paraId="443909BE" w14:textId="77777777" w:rsidR="000F3EA4" w:rsidRPr="00954B78" w:rsidRDefault="000F5B51" w:rsidP="000F3EA4">
            <w:pPr>
              <w:spacing w:after="0" w:line="240" w:lineRule="auto"/>
              <w:jc w:val="center"/>
              <w:rPr>
                <w:rFonts w:cs="Times New Roman"/>
                <w:color w:val="000000"/>
                <w:szCs w:val="24"/>
              </w:rPr>
            </w:pPr>
            <w:r w:rsidRPr="00954B78">
              <w:rPr>
                <w:rFonts w:cs="Times New Roman"/>
                <w:b/>
                <w:bCs/>
                <w:color w:val="000000"/>
                <w:szCs w:val="24"/>
              </w:rPr>
              <w:t>4,261</w:t>
            </w:r>
          </w:p>
        </w:tc>
        <w:tc>
          <w:tcPr>
            <w:tcW w:w="1560" w:type="dxa"/>
            <w:shd w:val="clear" w:color="auto" w:fill="auto"/>
            <w:noWrap/>
            <w:vAlign w:val="center"/>
          </w:tcPr>
          <w:p w14:paraId="5B37A187" w14:textId="77777777" w:rsidR="000F3EA4" w:rsidRPr="00954B78" w:rsidRDefault="000F5B51" w:rsidP="000F3EA4">
            <w:pPr>
              <w:spacing w:after="0" w:line="240" w:lineRule="auto"/>
              <w:jc w:val="center"/>
              <w:rPr>
                <w:rFonts w:cs="Times New Roman"/>
                <w:color w:val="000000"/>
                <w:szCs w:val="24"/>
              </w:rPr>
            </w:pPr>
            <w:r w:rsidRPr="00954B78">
              <w:rPr>
                <w:rFonts w:cs="Times New Roman"/>
                <w:b/>
                <w:bCs/>
                <w:color w:val="000000"/>
                <w:szCs w:val="24"/>
              </w:rPr>
              <w:t>2,395</w:t>
            </w:r>
          </w:p>
        </w:tc>
        <w:tc>
          <w:tcPr>
            <w:tcW w:w="1260" w:type="dxa"/>
            <w:shd w:val="clear" w:color="auto" w:fill="auto"/>
            <w:noWrap/>
            <w:vAlign w:val="center"/>
          </w:tcPr>
          <w:p w14:paraId="003C9A47" w14:textId="77777777" w:rsidR="000F3EA4" w:rsidRPr="00954B78" w:rsidRDefault="000F5B51" w:rsidP="000F3EA4">
            <w:pPr>
              <w:spacing w:after="0" w:line="240" w:lineRule="auto"/>
              <w:jc w:val="center"/>
              <w:rPr>
                <w:rFonts w:cs="Times New Roman"/>
                <w:color w:val="000000"/>
                <w:szCs w:val="24"/>
              </w:rPr>
            </w:pPr>
            <w:r w:rsidRPr="00954B78">
              <w:rPr>
                <w:rFonts w:cs="Times New Roman"/>
                <w:b/>
                <w:bCs/>
                <w:color w:val="000000"/>
                <w:szCs w:val="24"/>
              </w:rPr>
              <w:t>6,657</w:t>
            </w:r>
          </w:p>
        </w:tc>
        <w:tc>
          <w:tcPr>
            <w:tcW w:w="1615" w:type="dxa"/>
            <w:shd w:val="clear" w:color="auto" w:fill="auto"/>
            <w:noWrap/>
            <w:vAlign w:val="center"/>
          </w:tcPr>
          <w:p w14:paraId="2FF74E4A" w14:textId="77777777" w:rsidR="000F3EA4" w:rsidRPr="00954B78" w:rsidRDefault="000F5B51" w:rsidP="000F3EA4">
            <w:pPr>
              <w:spacing w:after="0" w:line="240" w:lineRule="auto"/>
              <w:jc w:val="center"/>
              <w:rPr>
                <w:rFonts w:cs="Times New Roman"/>
                <w:color w:val="000000"/>
                <w:szCs w:val="24"/>
              </w:rPr>
            </w:pPr>
            <w:r>
              <w:rPr>
                <w:rFonts w:cs="Times New Roman"/>
                <w:color w:val="000000"/>
                <w:szCs w:val="24"/>
              </w:rPr>
              <w:t>-</w:t>
            </w:r>
          </w:p>
        </w:tc>
        <w:tc>
          <w:tcPr>
            <w:tcW w:w="1265" w:type="dxa"/>
            <w:shd w:val="clear" w:color="auto" w:fill="auto"/>
            <w:noWrap/>
            <w:vAlign w:val="center"/>
          </w:tcPr>
          <w:p w14:paraId="3D834513" w14:textId="77777777" w:rsidR="000F3EA4" w:rsidRPr="00954B78" w:rsidRDefault="000F5B51" w:rsidP="000F3EA4">
            <w:pPr>
              <w:spacing w:after="0" w:line="240" w:lineRule="auto"/>
              <w:jc w:val="center"/>
              <w:rPr>
                <w:rFonts w:cs="Times New Roman"/>
                <w:color w:val="000000"/>
                <w:szCs w:val="24"/>
              </w:rPr>
            </w:pPr>
            <w:r>
              <w:rPr>
                <w:rFonts w:cs="Times New Roman"/>
                <w:color w:val="000000"/>
                <w:szCs w:val="24"/>
              </w:rPr>
              <w:t>-</w:t>
            </w:r>
          </w:p>
        </w:tc>
        <w:tc>
          <w:tcPr>
            <w:tcW w:w="1345" w:type="dxa"/>
            <w:shd w:val="clear" w:color="auto" w:fill="auto"/>
            <w:noWrap/>
            <w:vAlign w:val="center"/>
          </w:tcPr>
          <w:p w14:paraId="6FFDCA1C" w14:textId="15191536" w:rsidR="000F3EA4" w:rsidRPr="00954B78" w:rsidRDefault="000F5B51" w:rsidP="000F3EA4">
            <w:pPr>
              <w:spacing w:after="0" w:line="240" w:lineRule="auto"/>
              <w:jc w:val="center"/>
              <w:rPr>
                <w:rFonts w:cs="Times New Roman"/>
                <w:color w:val="000000"/>
                <w:szCs w:val="24"/>
              </w:rPr>
            </w:pPr>
            <w:r w:rsidRPr="00954B78">
              <w:rPr>
                <w:rFonts w:cs="Times New Roman"/>
                <w:b/>
                <w:bCs/>
                <w:color w:val="000000"/>
                <w:szCs w:val="24"/>
              </w:rPr>
              <w:t>7,4</w:t>
            </w:r>
            <w:r w:rsidR="00060DA5">
              <w:rPr>
                <w:rFonts w:cs="Times New Roman"/>
                <w:b/>
                <w:bCs/>
                <w:color w:val="000000"/>
                <w:szCs w:val="24"/>
              </w:rPr>
              <w:t>81</w:t>
            </w:r>
          </w:p>
        </w:tc>
      </w:tr>
      <w:tr w:rsidR="00A15C2C" w14:paraId="0C07ED41" w14:textId="77777777" w:rsidTr="00640749">
        <w:trPr>
          <w:trHeight w:val="300"/>
          <w:jc w:val="center"/>
        </w:trPr>
        <w:tc>
          <w:tcPr>
            <w:tcW w:w="2065" w:type="dxa"/>
            <w:shd w:val="clear" w:color="auto" w:fill="auto"/>
            <w:noWrap/>
            <w:vAlign w:val="bottom"/>
            <w:hideMark/>
          </w:tcPr>
          <w:p w14:paraId="7BB9ABD5" w14:textId="77777777" w:rsidR="000F3EA4" w:rsidRPr="0055589E" w:rsidRDefault="000F5B51" w:rsidP="0055589E">
            <w:pPr>
              <w:spacing w:after="0" w:line="240" w:lineRule="auto"/>
              <w:rPr>
                <w:rFonts w:eastAsia="Times New Roman" w:cs="Times New Roman"/>
                <w:b/>
                <w:bCs/>
                <w:color w:val="000000"/>
                <w:szCs w:val="24"/>
              </w:rPr>
            </w:pPr>
            <w:r w:rsidRPr="0055589E">
              <w:rPr>
                <w:rFonts w:eastAsia="Times New Roman" w:cs="Times New Roman"/>
                <w:b/>
                <w:bCs/>
                <w:color w:val="000000"/>
                <w:szCs w:val="24"/>
              </w:rPr>
              <w:t>Fatality</w:t>
            </w:r>
          </w:p>
        </w:tc>
        <w:tc>
          <w:tcPr>
            <w:tcW w:w="1410" w:type="dxa"/>
            <w:shd w:val="clear" w:color="auto" w:fill="auto"/>
            <w:noWrap/>
            <w:vAlign w:val="center"/>
            <w:hideMark/>
          </w:tcPr>
          <w:p w14:paraId="1D01FF7F" w14:textId="77777777" w:rsidR="000F3EA4" w:rsidRPr="00954B78" w:rsidRDefault="000F5B51" w:rsidP="000F3EA4">
            <w:pPr>
              <w:spacing w:after="0" w:line="240" w:lineRule="auto"/>
              <w:jc w:val="center"/>
              <w:rPr>
                <w:rFonts w:eastAsia="Times New Roman" w:cs="Times New Roman"/>
                <w:b/>
                <w:bCs/>
                <w:color w:val="000000"/>
                <w:szCs w:val="24"/>
              </w:rPr>
            </w:pPr>
            <w:r w:rsidRPr="00954B78">
              <w:rPr>
                <w:rFonts w:cs="Times New Roman"/>
                <w:b/>
                <w:bCs/>
                <w:color w:val="000000"/>
                <w:szCs w:val="24"/>
              </w:rPr>
              <w:t>123</w:t>
            </w:r>
          </w:p>
        </w:tc>
        <w:tc>
          <w:tcPr>
            <w:tcW w:w="1560" w:type="dxa"/>
            <w:shd w:val="clear" w:color="auto" w:fill="auto"/>
            <w:noWrap/>
            <w:vAlign w:val="center"/>
            <w:hideMark/>
          </w:tcPr>
          <w:p w14:paraId="70B35B03" w14:textId="77777777" w:rsidR="000F3EA4" w:rsidRPr="00954B78" w:rsidRDefault="000F5B51" w:rsidP="000F3EA4">
            <w:pPr>
              <w:spacing w:after="0" w:line="240" w:lineRule="auto"/>
              <w:jc w:val="center"/>
              <w:rPr>
                <w:rFonts w:eastAsia="Times New Roman" w:cs="Times New Roman"/>
                <w:b/>
                <w:bCs/>
                <w:color w:val="000000"/>
                <w:szCs w:val="24"/>
              </w:rPr>
            </w:pPr>
            <w:r w:rsidRPr="00954B78">
              <w:rPr>
                <w:rFonts w:cs="Times New Roman"/>
                <w:b/>
                <w:bCs/>
                <w:color w:val="000000"/>
                <w:szCs w:val="24"/>
              </w:rPr>
              <w:t>280</w:t>
            </w:r>
          </w:p>
        </w:tc>
        <w:tc>
          <w:tcPr>
            <w:tcW w:w="1260" w:type="dxa"/>
            <w:shd w:val="clear" w:color="auto" w:fill="auto"/>
            <w:noWrap/>
            <w:vAlign w:val="center"/>
            <w:hideMark/>
          </w:tcPr>
          <w:p w14:paraId="2BB784EB" w14:textId="77777777" w:rsidR="000F3EA4" w:rsidRPr="00954B78" w:rsidRDefault="000F5B51" w:rsidP="000F3EA4">
            <w:pPr>
              <w:spacing w:after="0" w:line="240" w:lineRule="auto"/>
              <w:jc w:val="center"/>
              <w:rPr>
                <w:rFonts w:eastAsia="Times New Roman" w:cs="Times New Roman"/>
                <w:b/>
                <w:bCs/>
                <w:color w:val="000000"/>
                <w:szCs w:val="24"/>
              </w:rPr>
            </w:pPr>
            <w:r w:rsidRPr="00954B78">
              <w:rPr>
                <w:rFonts w:cs="Times New Roman"/>
                <w:b/>
                <w:bCs/>
                <w:color w:val="000000"/>
                <w:szCs w:val="24"/>
              </w:rPr>
              <w:t>403</w:t>
            </w:r>
          </w:p>
        </w:tc>
        <w:tc>
          <w:tcPr>
            <w:tcW w:w="1615" w:type="dxa"/>
            <w:shd w:val="clear" w:color="auto" w:fill="auto"/>
            <w:noWrap/>
            <w:vAlign w:val="center"/>
            <w:hideMark/>
          </w:tcPr>
          <w:p w14:paraId="3A72E48B" w14:textId="77777777" w:rsidR="000F3EA4" w:rsidRPr="00954B78" w:rsidRDefault="000F5B51" w:rsidP="000F3EA4">
            <w:pPr>
              <w:spacing w:after="0" w:line="240" w:lineRule="auto"/>
              <w:jc w:val="center"/>
              <w:rPr>
                <w:rFonts w:eastAsia="Times New Roman" w:cs="Times New Roman"/>
                <w:b/>
                <w:bCs/>
                <w:color w:val="000000"/>
                <w:szCs w:val="24"/>
              </w:rPr>
            </w:pPr>
            <w:r w:rsidRPr="00954B78">
              <w:rPr>
                <w:rFonts w:cs="Times New Roman"/>
                <w:b/>
                <w:bCs/>
                <w:color w:val="000000"/>
                <w:szCs w:val="24"/>
              </w:rPr>
              <w:t>0.740</w:t>
            </w:r>
          </w:p>
        </w:tc>
        <w:tc>
          <w:tcPr>
            <w:tcW w:w="1265" w:type="dxa"/>
            <w:shd w:val="clear" w:color="auto" w:fill="auto"/>
            <w:noWrap/>
            <w:vAlign w:val="center"/>
            <w:hideMark/>
          </w:tcPr>
          <w:p w14:paraId="64B672AC" w14:textId="77777777" w:rsidR="000F3EA4" w:rsidRPr="00954B78" w:rsidRDefault="000F5B51" w:rsidP="000F3EA4">
            <w:pPr>
              <w:spacing w:after="0" w:line="240" w:lineRule="auto"/>
              <w:jc w:val="center"/>
              <w:rPr>
                <w:rFonts w:eastAsia="Times New Roman" w:cs="Times New Roman"/>
                <w:b/>
                <w:bCs/>
                <w:color w:val="000000"/>
                <w:szCs w:val="24"/>
              </w:rPr>
            </w:pPr>
            <w:r w:rsidRPr="006B7B84">
              <w:rPr>
                <w:rFonts w:cs="Times New Roman"/>
                <w:b/>
                <w:bCs/>
                <w:szCs w:val="24"/>
              </w:rPr>
              <w:t>0.5953</w:t>
            </w:r>
          </w:p>
        </w:tc>
        <w:tc>
          <w:tcPr>
            <w:tcW w:w="1345" w:type="dxa"/>
            <w:shd w:val="clear" w:color="auto" w:fill="auto"/>
            <w:noWrap/>
            <w:vAlign w:val="center"/>
            <w:hideMark/>
          </w:tcPr>
          <w:p w14:paraId="465A29F1" w14:textId="7E4F880A" w:rsidR="000F3EA4" w:rsidRPr="00954B78" w:rsidRDefault="000F5B51" w:rsidP="000F3EA4">
            <w:pPr>
              <w:spacing w:after="0" w:line="240" w:lineRule="auto"/>
              <w:jc w:val="center"/>
              <w:rPr>
                <w:rFonts w:eastAsia="Times New Roman" w:cs="Times New Roman"/>
                <w:b/>
                <w:bCs/>
                <w:color w:val="000000"/>
                <w:szCs w:val="24"/>
              </w:rPr>
            </w:pPr>
            <w:r w:rsidRPr="00954B78">
              <w:rPr>
                <w:rFonts w:cs="Times New Roman"/>
                <w:b/>
                <w:bCs/>
                <w:color w:val="000000"/>
                <w:szCs w:val="24"/>
              </w:rPr>
              <w:t>72</w:t>
            </w:r>
            <w:r w:rsidR="00060DA5">
              <w:rPr>
                <w:rFonts w:cs="Times New Roman"/>
                <w:b/>
                <w:bCs/>
                <w:color w:val="000000"/>
                <w:szCs w:val="24"/>
              </w:rPr>
              <w:t>1</w:t>
            </w:r>
          </w:p>
        </w:tc>
      </w:tr>
    </w:tbl>
    <w:p w14:paraId="27257CE7" w14:textId="77777777" w:rsidR="00585E76" w:rsidRDefault="000F5B51" w:rsidP="00585E76">
      <w:pPr>
        <w:pStyle w:val="NoSpaceTimes"/>
      </w:pPr>
      <w:r>
        <w:t xml:space="preserve"> </w:t>
      </w:r>
    </w:p>
    <w:p w14:paraId="64357CC9" w14:textId="3A73093D" w:rsidR="00753813" w:rsidRDefault="000F5B51" w:rsidP="00400AFD">
      <w:r>
        <w:t>By calculating the potential injuries and fatalities</w:t>
      </w:r>
      <w:r w:rsidR="00400AFD">
        <w:t xml:space="preserve">, this analysis is able to estimate the benefits associated with </w:t>
      </w:r>
      <w:r w:rsidR="00D52630">
        <w:t>a particular level of seat belt usage</w:t>
      </w:r>
      <w:r w:rsidR="001F2F92">
        <w:t xml:space="preserve">. </w:t>
      </w:r>
      <w:r w:rsidR="009E3393">
        <w:t>Equation (</w:t>
      </w:r>
      <w:r w:rsidR="00BF28CD">
        <w:t>8</w:t>
      </w:r>
      <w:r w:rsidR="009E3393">
        <w:t xml:space="preserve">) presents the calculation of </w:t>
      </w:r>
      <w:r w:rsidR="000603E0">
        <w:t xml:space="preserve">unadjusted </w:t>
      </w:r>
      <w:r w:rsidR="009E3393">
        <w:t>benefits</w:t>
      </w:r>
      <w:r w:rsidR="009A0584">
        <w:t xml:space="preserve"> </w:t>
      </w:r>
      <w:r w:rsidR="000603E0">
        <w:t xml:space="preserve">and similarly baseline effects </w:t>
      </w:r>
      <w:r w:rsidR="009A0584">
        <w:t xml:space="preserve">for a given </w:t>
      </w:r>
      <w:r w:rsidR="00B139FA">
        <w:t xml:space="preserve">seat </w:t>
      </w:r>
      <w:r w:rsidR="009A0584">
        <w:t>belt use rate</w:t>
      </w:r>
      <w:r>
        <w:t>:</w:t>
      </w:r>
    </w:p>
    <w:p w14:paraId="7301272C" w14:textId="77777777" w:rsidR="00585E76" w:rsidRDefault="000F5B51">
      <m:oMath>
        <m:r>
          <w:rPr>
            <w:rFonts w:ascii="Cambria Math" w:hAnsi="Cambria Math"/>
          </w:rPr>
          <m:t>Benefit=Potential Injuries ×Seat Belt Effectivensss×Seat Belt Use Rate</m:t>
        </m:r>
      </m:oMath>
      <w:r w:rsidR="00BB587E">
        <w:rPr>
          <w:rFonts w:eastAsiaTheme="minorEastAsia"/>
        </w:rPr>
        <w:t xml:space="preserve"> (</w:t>
      </w:r>
      <w:r w:rsidR="00BF28CD">
        <w:rPr>
          <w:rFonts w:eastAsiaTheme="minorEastAsia"/>
        </w:rPr>
        <w:t>8</w:t>
      </w:r>
      <w:r w:rsidR="00BB587E">
        <w:rPr>
          <w:rFonts w:eastAsiaTheme="minorEastAsia"/>
        </w:rPr>
        <w:t>)</w:t>
      </w:r>
      <w:r w:rsidR="000B114C">
        <w:rPr>
          <w:rFonts w:eastAsiaTheme="minorEastAsia"/>
        </w:rPr>
        <w:t>.</w:t>
      </w:r>
    </w:p>
    <w:p w14:paraId="0E48C25E" w14:textId="77777777" w:rsidR="00504A52" w:rsidRDefault="000F5B51" w:rsidP="0055589E">
      <w:pPr>
        <w:spacing w:after="0"/>
        <w:rPr>
          <w:rFonts w:eastAsia="Times New Roman" w:cs="Times New Roman"/>
          <w:szCs w:val="24"/>
        </w:rPr>
      </w:pPr>
      <w:r>
        <w:t xml:space="preserve">Continuing with the example above, </w:t>
      </w:r>
      <w:r w:rsidR="008401E0">
        <w:t xml:space="preserve">we can apply the appropriate </w:t>
      </w:r>
      <w:r w:rsidR="001765E3">
        <w:t xml:space="preserve">seat belt usage rate and effectiveness to the potential injuries </w:t>
      </w:r>
      <w:r w:rsidR="00852633">
        <w:t xml:space="preserve">to estimate </w:t>
      </w:r>
      <w:r w:rsidR="00FF7977">
        <w:t xml:space="preserve">the number of MAIS 1 injuries </w:t>
      </w:r>
      <w:r w:rsidR="00B56BDF">
        <w:t>prevented</w:t>
      </w:r>
      <w:r>
        <w:t xml:space="preserve"> for </w:t>
      </w:r>
      <w:r>
        <w:rPr>
          <w:rFonts w:eastAsia="Times New Roman" w:cs="Times New Roman"/>
          <w:szCs w:val="24"/>
        </w:rPr>
        <w:t xml:space="preserve">rear seat occupants </w:t>
      </w:r>
      <w:r w:rsidR="009A0584">
        <w:rPr>
          <w:rFonts w:eastAsia="Times New Roman" w:cs="Times New Roman"/>
          <w:szCs w:val="24"/>
        </w:rPr>
        <w:t>11 years and</w:t>
      </w:r>
      <w:r>
        <w:rPr>
          <w:rFonts w:eastAsia="Times New Roman" w:cs="Times New Roman"/>
          <w:szCs w:val="24"/>
        </w:rPr>
        <w:t xml:space="preserve"> older in passenger cars</w:t>
      </w:r>
      <w:r w:rsidR="002703EE">
        <w:rPr>
          <w:rFonts w:eastAsia="Times New Roman" w:cs="Times New Roman"/>
          <w:szCs w:val="24"/>
        </w:rPr>
        <w:t>.</w:t>
      </w:r>
      <w:r w:rsidR="00842994">
        <w:rPr>
          <w:rFonts w:eastAsia="Times New Roman" w:cs="Times New Roman"/>
          <w:szCs w:val="24"/>
        </w:rPr>
        <w:t xml:space="preserve"> Making use of equation (</w:t>
      </w:r>
      <w:r w:rsidR="00BF28CD">
        <w:rPr>
          <w:rFonts w:eastAsia="Times New Roman" w:cs="Times New Roman"/>
          <w:szCs w:val="24"/>
        </w:rPr>
        <w:t>8</w:t>
      </w:r>
      <w:r w:rsidR="00842994">
        <w:rPr>
          <w:rFonts w:eastAsia="Times New Roman" w:cs="Times New Roman"/>
          <w:szCs w:val="24"/>
        </w:rPr>
        <w:t xml:space="preserve">), we can </w:t>
      </w:r>
      <w:r w:rsidR="007013FC">
        <w:rPr>
          <w:rFonts w:eastAsia="Times New Roman" w:cs="Times New Roman"/>
          <w:szCs w:val="24"/>
        </w:rPr>
        <w:t xml:space="preserve">make use of the </w:t>
      </w:r>
      <w:r w:rsidR="00B831EF">
        <w:rPr>
          <w:rFonts w:eastAsia="Times New Roman" w:cs="Times New Roman"/>
          <w:szCs w:val="24"/>
        </w:rPr>
        <w:t xml:space="preserve">effectiveness rate for seat belts </w:t>
      </w:r>
      <w:r w:rsidR="00C15D73">
        <w:rPr>
          <w:rFonts w:eastAsia="Times New Roman" w:cs="Times New Roman"/>
          <w:szCs w:val="24"/>
        </w:rPr>
        <w:t xml:space="preserve">for MAIS 1 injuries and the </w:t>
      </w:r>
      <w:r w:rsidR="009047AF">
        <w:rPr>
          <w:rFonts w:eastAsia="Times New Roman" w:cs="Times New Roman"/>
          <w:szCs w:val="24"/>
        </w:rPr>
        <w:t xml:space="preserve">current seat belt </w:t>
      </w:r>
      <w:r w:rsidR="00C15D73">
        <w:rPr>
          <w:rFonts w:eastAsia="Times New Roman" w:cs="Times New Roman"/>
          <w:szCs w:val="24"/>
        </w:rPr>
        <w:t>use rate for rear seat occupants</w:t>
      </w:r>
      <w:r w:rsidR="009047AF">
        <w:rPr>
          <w:rFonts w:eastAsia="Times New Roman" w:cs="Times New Roman"/>
          <w:szCs w:val="24"/>
        </w:rPr>
        <w:t xml:space="preserve"> 11 </w:t>
      </w:r>
      <w:r w:rsidR="00870D5E">
        <w:rPr>
          <w:rFonts w:eastAsia="Times New Roman" w:cs="Times New Roman"/>
          <w:szCs w:val="24"/>
        </w:rPr>
        <w:t>years and</w:t>
      </w:r>
      <w:r w:rsidR="009047AF">
        <w:rPr>
          <w:rFonts w:eastAsia="Times New Roman" w:cs="Times New Roman"/>
          <w:szCs w:val="24"/>
        </w:rPr>
        <w:t xml:space="preserve"> older</w:t>
      </w:r>
      <w:r w:rsidR="00C15D73">
        <w:rPr>
          <w:rFonts w:eastAsia="Times New Roman" w:cs="Times New Roman"/>
          <w:szCs w:val="24"/>
        </w:rPr>
        <w:t xml:space="preserve"> </w:t>
      </w:r>
      <w:r w:rsidR="009047AF">
        <w:rPr>
          <w:rFonts w:eastAsia="Times New Roman" w:cs="Times New Roman"/>
          <w:szCs w:val="24"/>
        </w:rPr>
        <w:t xml:space="preserve">in passenger cars to calculate the </w:t>
      </w:r>
      <w:r w:rsidR="00167CCE">
        <w:rPr>
          <w:rFonts w:eastAsia="Times New Roman" w:cs="Times New Roman"/>
          <w:szCs w:val="24"/>
        </w:rPr>
        <w:t xml:space="preserve">resulting injuries </w:t>
      </w:r>
      <w:r w:rsidR="00167CCE">
        <w:rPr>
          <w:rFonts w:eastAsia="Times New Roman" w:cs="Times New Roman"/>
          <w:szCs w:val="24"/>
        </w:rPr>
        <w:lastRenderedPageBreak/>
        <w:t>prevented in that scenario</w:t>
      </w:r>
      <w:r w:rsidR="001F2F92">
        <w:rPr>
          <w:rFonts w:eastAsia="Times New Roman" w:cs="Times New Roman"/>
          <w:szCs w:val="24"/>
        </w:rPr>
        <w:t xml:space="preserve">. </w:t>
      </w:r>
      <w:r w:rsidR="00167CCE">
        <w:rPr>
          <w:rFonts w:eastAsia="Times New Roman" w:cs="Times New Roman"/>
          <w:szCs w:val="24"/>
        </w:rPr>
        <w:t xml:space="preserve">In other words, we can </w:t>
      </w:r>
      <w:r w:rsidR="0095551C">
        <w:rPr>
          <w:rFonts w:eastAsia="Times New Roman" w:cs="Times New Roman"/>
          <w:szCs w:val="24"/>
        </w:rPr>
        <w:t xml:space="preserve">replicate </w:t>
      </w:r>
      <w:r w:rsidR="007B40A5">
        <w:rPr>
          <w:rFonts w:eastAsia="Times New Roman" w:cs="Times New Roman"/>
          <w:szCs w:val="24"/>
        </w:rPr>
        <w:t>the</w:t>
      </w:r>
      <w:r w:rsidR="00870167">
        <w:rPr>
          <w:rFonts w:eastAsia="Times New Roman" w:cs="Times New Roman"/>
          <w:szCs w:val="24"/>
        </w:rPr>
        <w:t xml:space="preserve"> adjusted</w:t>
      </w:r>
      <w:r w:rsidR="007B40A5">
        <w:rPr>
          <w:rFonts w:eastAsia="Times New Roman" w:cs="Times New Roman"/>
          <w:szCs w:val="24"/>
        </w:rPr>
        <w:t xml:space="preserve"> target population for MAIS 1 injuries for rear seat occupants 11</w:t>
      </w:r>
      <w:r w:rsidR="0095551C">
        <w:rPr>
          <w:rFonts w:eastAsia="Times New Roman" w:cs="Times New Roman"/>
          <w:szCs w:val="24"/>
        </w:rPr>
        <w:t xml:space="preserve"> years and</w:t>
      </w:r>
      <w:r w:rsidR="007B40A5">
        <w:rPr>
          <w:rFonts w:eastAsia="Times New Roman" w:cs="Times New Roman"/>
          <w:szCs w:val="24"/>
        </w:rPr>
        <w:t xml:space="preserve"> older in passenger cars b</w:t>
      </w:r>
      <w:r w:rsidR="00E3028F">
        <w:rPr>
          <w:rFonts w:eastAsia="Times New Roman" w:cs="Times New Roman"/>
          <w:szCs w:val="24"/>
        </w:rPr>
        <w:t>y reflecting the current</w:t>
      </w:r>
      <w:r w:rsidR="00BF28CD">
        <w:rPr>
          <w:rFonts w:eastAsia="Times New Roman" w:cs="Times New Roman"/>
          <w:szCs w:val="24"/>
        </w:rPr>
        <w:t xml:space="preserve"> or baseline</w:t>
      </w:r>
      <w:r w:rsidR="00E3028F">
        <w:rPr>
          <w:rFonts w:eastAsia="Times New Roman" w:cs="Times New Roman"/>
          <w:szCs w:val="24"/>
        </w:rPr>
        <w:t xml:space="preserve"> seat belt use</w:t>
      </w:r>
      <w:r w:rsidR="00BF28CD">
        <w:rPr>
          <w:rFonts w:eastAsia="Times New Roman" w:cs="Times New Roman"/>
          <w:szCs w:val="24"/>
        </w:rPr>
        <w:t xml:space="preserve"> rate</w:t>
      </w:r>
      <w:r w:rsidR="00E3028F">
        <w:rPr>
          <w:rFonts w:eastAsia="Times New Roman" w:cs="Times New Roman"/>
          <w:szCs w:val="24"/>
        </w:rPr>
        <w:t xml:space="preserve">, seat belt effectiveness, and </w:t>
      </w:r>
      <w:r w:rsidR="007B40A5">
        <w:rPr>
          <w:rFonts w:eastAsia="Times New Roman" w:cs="Times New Roman"/>
          <w:szCs w:val="24"/>
        </w:rPr>
        <w:t xml:space="preserve">potential injuries </w:t>
      </w:r>
      <w:r w:rsidR="00E3028F">
        <w:rPr>
          <w:rFonts w:eastAsia="Times New Roman" w:cs="Times New Roman"/>
          <w:szCs w:val="24"/>
        </w:rPr>
        <w:t>calculated above</w:t>
      </w:r>
      <w:r w:rsidR="001F2F92">
        <w:rPr>
          <w:rFonts w:eastAsia="Times New Roman" w:cs="Times New Roman"/>
          <w:szCs w:val="24"/>
        </w:rPr>
        <w:t xml:space="preserve">. </w:t>
      </w:r>
      <w:r w:rsidR="008F4D66">
        <w:rPr>
          <w:rFonts w:eastAsia="Times New Roman" w:cs="Times New Roman"/>
          <w:szCs w:val="24"/>
        </w:rPr>
        <w:t>Plugging those values into equation (8)</w:t>
      </w:r>
      <w:r w:rsidR="0095551C">
        <w:rPr>
          <w:rFonts w:eastAsia="Times New Roman" w:cs="Times New Roman"/>
          <w:szCs w:val="24"/>
        </w:rPr>
        <w:t>:</w:t>
      </w:r>
    </w:p>
    <w:p w14:paraId="18553B89" w14:textId="4061C2EC" w:rsidR="00E3028F" w:rsidRDefault="000F5B51" w:rsidP="0055589E">
      <w:pPr>
        <w:jc w:val="center"/>
        <w:rPr>
          <w:rFonts w:eastAsia="Times New Roman" w:cs="Times New Roman"/>
          <w:szCs w:val="24"/>
        </w:rPr>
      </w:pPr>
      <m:oMath>
        <m:r>
          <w:rPr>
            <w:rFonts w:ascii="Cambria Math" w:hAnsi="Cambria Math"/>
          </w:rPr>
          <m:t>Baseline Effects=15,762 injuries ×0.055 ×0.7512=651</m:t>
        </m:r>
      </m:oMath>
      <w:r w:rsidR="0095551C">
        <w:rPr>
          <w:rFonts w:eastAsia="Times New Roman" w:cs="Times New Roman"/>
        </w:rPr>
        <w:t>.</w:t>
      </w:r>
    </w:p>
    <w:p w14:paraId="18D9B0C4" w14:textId="61815503" w:rsidR="005C5ED9" w:rsidRDefault="000F5B51" w:rsidP="00377A5B">
      <w:pPr>
        <w:spacing w:after="0"/>
        <w:rPr>
          <w:rFonts w:eastAsia="Times New Roman" w:cs="Times New Roman"/>
          <w:szCs w:val="24"/>
        </w:rPr>
      </w:pPr>
      <w:r>
        <w:t xml:space="preserve">Therefore, we find that </w:t>
      </w:r>
      <w:r w:rsidR="004E63B9">
        <w:t>seat belt usage prevented 651 of the 15,762 MAIS 1 injuries</w:t>
      </w:r>
      <w:r w:rsidR="00301BDC">
        <w:t xml:space="preserve"> which then leaves the remaining 15,</w:t>
      </w:r>
      <w:r w:rsidR="00E3111F">
        <w:t xml:space="preserve">111 MAIS 1 injuries </w:t>
      </w:r>
      <w:r w:rsidR="0045026D">
        <w:t>reflected in the</w:t>
      </w:r>
      <w:r w:rsidR="0095551C">
        <w:t xml:space="preserve"> adjusted</w:t>
      </w:r>
      <w:r w:rsidR="0045026D">
        <w:t xml:space="preserve"> target population for </w:t>
      </w:r>
      <w:r w:rsidR="0045026D">
        <w:rPr>
          <w:rFonts w:eastAsia="Times New Roman" w:cs="Times New Roman"/>
          <w:szCs w:val="24"/>
        </w:rPr>
        <w:t>rear seat occupants 11</w:t>
      </w:r>
      <w:r w:rsidR="0095551C">
        <w:rPr>
          <w:rFonts w:eastAsia="Times New Roman" w:cs="Times New Roman"/>
          <w:szCs w:val="24"/>
        </w:rPr>
        <w:t xml:space="preserve"> years and </w:t>
      </w:r>
      <w:r w:rsidR="0045026D">
        <w:rPr>
          <w:rFonts w:eastAsia="Times New Roman" w:cs="Times New Roman"/>
          <w:szCs w:val="24"/>
        </w:rPr>
        <w:t>older in passenger cars</w:t>
      </w:r>
      <w:r w:rsidR="001F2F92">
        <w:rPr>
          <w:rFonts w:eastAsia="Times New Roman" w:cs="Times New Roman"/>
          <w:szCs w:val="24"/>
        </w:rPr>
        <w:t xml:space="preserve">. </w:t>
      </w:r>
      <w:r w:rsidR="0025408E">
        <w:rPr>
          <w:rFonts w:eastAsia="Times New Roman" w:cs="Times New Roman"/>
          <w:szCs w:val="24"/>
        </w:rPr>
        <w:t xml:space="preserve">While this example is used to illustrate the </w:t>
      </w:r>
      <w:r w:rsidR="00AF0817">
        <w:rPr>
          <w:rFonts w:eastAsia="Times New Roman" w:cs="Times New Roman"/>
          <w:szCs w:val="24"/>
        </w:rPr>
        <w:t>number of MAIS</w:t>
      </w:r>
      <w:r w:rsidR="00FD52F2">
        <w:rPr>
          <w:rFonts w:eastAsia="Times New Roman" w:cs="Times New Roman"/>
          <w:szCs w:val="24"/>
        </w:rPr>
        <w:t xml:space="preserve"> 1</w:t>
      </w:r>
      <w:r w:rsidR="00AF0817">
        <w:rPr>
          <w:rFonts w:eastAsia="Times New Roman" w:cs="Times New Roman"/>
          <w:szCs w:val="24"/>
        </w:rPr>
        <w:t xml:space="preserve"> injuries </w:t>
      </w:r>
      <w:r w:rsidR="00FD52F2">
        <w:rPr>
          <w:rFonts w:eastAsia="Times New Roman" w:cs="Times New Roman"/>
          <w:szCs w:val="24"/>
        </w:rPr>
        <w:t xml:space="preserve">for this group in the </w:t>
      </w:r>
      <w:r w:rsidR="0095551C">
        <w:rPr>
          <w:rFonts w:eastAsia="Times New Roman" w:cs="Times New Roman"/>
          <w:szCs w:val="24"/>
        </w:rPr>
        <w:t xml:space="preserve">adjusted </w:t>
      </w:r>
      <w:r w:rsidR="00FD52F2">
        <w:rPr>
          <w:rFonts w:eastAsia="Times New Roman" w:cs="Times New Roman"/>
          <w:szCs w:val="24"/>
        </w:rPr>
        <w:t xml:space="preserve">target population, </w:t>
      </w:r>
      <w:r w:rsidR="00653F55">
        <w:rPr>
          <w:rFonts w:eastAsia="Times New Roman" w:cs="Times New Roman"/>
          <w:szCs w:val="24"/>
        </w:rPr>
        <w:t xml:space="preserve">it can also be used to estimate the incremental benefits </w:t>
      </w:r>
      <w:r w:rsidR="00C34B28">
        <w:rPr>
          <w:rFonts w:eastAsia="Times New Roman" w:cs="Times New Roman"/>
          <w:szCs w:val="24"/>
        </w:rPr>
        <w:t xml:space="preserve">resulting from the </w:t>
      </w:r>
      <w:r w:rsidR="003F39C6">
        <w:rPr>
          <w:rFonts w:eastAsia="Times New Roman" w:cs="Times New Roman"/>
          <w:szCs w:val="24"/>
        </w:rPr>
        <w:t>proposed rule</w:t>
      </w:r>
      <w:r w:rsidR="001F2F92">
        <w:rPr>
          <w:rFonts w:eastAsia="Times New Roman" w:cs="Times New Roman"/>
          <w:szCs w:val="24"/>
        </w:rPr>
        <w:t xml:space="preserve">. </w:t>
      </w:r>
      <w:r w:rsidR="004E6C0E">
        <w:rPr>
          <w:rFonts w:eastAsia="Times New Roman" w:cs="Times New Roman"/>
          <w:szCs w:val="24"/>
        </w:rPr>
        <w:t xml:space="preserve">That is, we can reflect the increase in seat belt use </w:t>
      </w:r>
      <w:r w:rsidR="00F070F2">
        <w:rPr>
          <w:rFonts w:eastAsia="Times New Roman" w:cs="Times New Roman"/>
          <w:szCs w:val="24"/>
        </w:rPr>
        <w:t xml:space="preserve">presented in </w:t>
      </w:r>
      <w:r w:rsidR="0095551C">
        <w:rPr>
          <w:rFonts w:eastAsia="Times New Roman" w:cs="Times New Roman"/>
          <w:szCs w:val="24"/>
        </w:rPr>
        <w:t>s</w:t>
      </w:r>
      <w:r w:rsidR="00E46E21">
        <w:rPr>
          <w:rFonts w:eastAsia="Times New Roman" w:cs="Times New Roman"/>
          <w:szCs w:val="24"/>
        </w:rPr>
        <w:t xml:space="preserve">ection </w:t>
      </w:r>
      <w:r w:rsidR="00E46E21">
        <w:rPr>
          <w:rFonts w:eastAsia="Times New Roman" w:cs="Times New Roman"/>
          <w:szCs w:val="24"/>
        </w:rPr>
        <w:fldChar w:fldCharType="begin"/>
      </w:r>
      <w:r w:rsidR="00E46E21">
        <w:rPr>
          <w:rFonts w:eastAsia="Times New Roman" w:cs="Times New Roman"/>
          <w:szCs w:val="24"/>
        </w:rPr>
        <w:instrText xml:space="preserve"> REF _Ref126131076 \r </w:instrText>
      </w:r>
      <w:r w:rsidR="00E46E21">
        <w:rPr>
          <w:rFonts w:eastAsia="Times New Roman" w:cs="Times New Roman"/>
          <w:szCs w:val="24"/>
        </w:rPr>
        <w:fldChar w:fldCharType="separate"/>
      </w:r>
      <w:r w:rsidR="00A65CB3">
        <w:rPr>
          <w:rFonts w:eastAsia="Times New Roman" w:cs="Times New Roman"/>
          <w:szCs w:val="24"/>
        </w:rPr>
        <w:t>4.2</w:t>
      </w:r>
      <w:r w:rsidR="00E46E21">
        <w:rPr>
          <w:rFonts w:eastAsia="Times New Roman" w:cs="Times New Roman"/>
          <w:szCs w:val="24"/>
        </w:rPr>
        <w:fldChar w:fldCharType="end"/>
      </w:r>
      <w:r w:rsidR="00E46E21">
        <w:rPr>
          <w:rFonts w:eastAsia="Times New Roman" w:cs="Times New Roman"/>
          <w:szCs w:val="24"/>
        </w:rPr>
        <w:t xml:space="preserve"> </w:t>
      </w:r>
      <w:r w:rsidR="004E6C0E">
        <w:rPr>
          <w:rFonts w:eastAsia="Times New Roman" w:cs="Times New Roman"/>
          <w:szCs w:val="24"/>
        </w:rPr>
        <w:t xml:space="preserve">to calculate the number </w:t>
      </w:r>
      <w:r w:rsidR="00F070F2">
        <w:rPr>
          <w:rFonts w:eastAsia="Times New Roman" w:cs="Times New Roman"/>
          <w:szCs w:val="24"/>
        </w:rPr>
        <w:t>of injuries and fatalities prevented as a result of the SBWS</w:t>
      </w:r>
      <w:r w:rsidR="001F2F92">
        <w:rPr>
          <w:rFonts w:eastAsia="Times New Roman" w:cs="Times New Roman"/>
          <w:szCs w:val="24"/>
        </w:rPr>
        <w:t xml:space="preserve">. </w:t>
      </w:r>
      <w:r w:rsidR="004C4CBF">
        <w:rPr>
          <w:rFonts w:eastAsia="Times New Roman" w:cs="Times New Roman"/>
          <w:szCs w:val="24"/>
        </w:rPr>
        <w:t>Using the lower estimated increase in seat belt use, we estimate the number of MAIS 1 injuries prevented under the propose</w:t>
      </w:r>
      <w:r w:rsidR="001821C0">
        <w:rPr>
          <w:rFonts w:eastAsia="Times New Roman" w:cs="Times New Roman"/>
          <w:szCs w:val="24"/>
        </w:rPr>
        <w:t>d</w:t>
      </w:r>
      <w:r w:rsidR="004C4CBF">
        <w:rPr>
          <w:rFonts w:eastAsia="Times New Roman" w:cs="Times New Roman"/>
          <w:szCs w:val="24"/>
        </w:rPr>
        <w:t xml:space="preserve"> rule</w:t>
      </w:r>
      <w:r w:rsidR="00AF0C2B">
        <w:rPr>
          <w:rFonts w:eastAsia="Times New Roman" w:cs="Times New Roman"/>
          <w:szCs w:val="24"/>
        </w:rPr>
        <w:t xml:space="preserve"> again using equation (8)</w:t>
      </w:r>
      <w:r w:rsidR="007D1849">
        <w:rPr>
          <w:rFonts w:eastAsia="Times New Roman" w:cs="Times New Roman"/>
          <w:szCs w:val="24"/>
        </w:rPr>
        <w:t>:</w:t>
      </w:r>
    </w:p>
    <w:p w14:paraId="725F194E" w14:textId="50D5A5B4" w:rsidR="007D1849" w:rsidRDefault="000F5B51" w:rsidP="00377A5B">
      <w:pPr>
        <w:spacing w:after="0"/>
        <w:jc w:val="center"/>
        <w:rPr>
          <w:rFonts w:eastAsia="Times New Roman" w:cs="Times New Roman"/>
          <w:szCs w:val="24"/>
        </w:rPr>
      </w:pPr>
      <m:oMath>
        <m:r>
          <w:rPr>
            <w:rFonts w:ascii="Cambria Math" w:hAnsi="Cambria Math"/>
          </w:rPr>
          <m:t>Rule Benefits=15,762 injuries ×0.055 ×0.</m:t>
        </m:r>
        <m:r>
          <m:rPr>
            <m:sty m:val="p"/>
          </m:rPr>
          <w:rPr>
            <w:rFonts w:ascii="Cambria Math" w:hAnsi="Cambria Math" w:cs="Calibri"/>
            <w:color w:val="000000"/>
          </w:rPr>
          <m:t>7693-Baseline Effects</m:t>
        </m:r>
        <m:r>
          <w:rPr>
            <w:rFonts w:ascii="Cambria Math" w:hAnsi="Cambria Math"/>
          </w:rPr>
          <m:t>=667-651=16</m:t>
        </m:r>
      </m:oMath>
      <w:r>
        <w:rPr>
          <w:rFonts w:eastAsia="Times New Roman" w:cs="Times New Roman"/>
        </w:rPr>
        <w:t>.</w:t>
      </w:r>
    </w:p>
    <w:p w14:paraId="455AB7D4" w14:textId="66BB8401" w:rsidR="007D1849" w:rsidRDefault="000F5B51">
      <w:pPr>
        <w:rPr>
          <w:rFonts w:eastAsia="Times New Roman" w:cs="Times New Roman"/>
          <w:szCs w:val="24"/>
        </w:rPr>
      </w:pPr>
      <w:r>
        <w:rPr>
          <w:rFonts w:eastAsia="Times New Roman" w:cs="Times New Roman"/>
          <w:szCs w:val="24"/>
        </w:rPr>
        <w:t xml:space="preserve">Therefore, </w:t>
      </w:r>
      <w:r w:rsidR="002959BE">
        <w:rPr>
          <w:rFonts w:eastAsia="Times New Roman" w:cs="Times New Roman"/>
          <w:szCs w:val="24"/>
        </w:rPr>
        <w:t xml:space="preserve">taking into account the lower increase in seat belt use, </w:t>
      </w:r>
      <w:r w:rsidR="00D827C3">
        <w:rPr>
          <w:rFonts w:eastAsia="Times New Roman" w:cs="Times New Roman"/>
          <w:szCs w:val="24"/>
        </w:rPr>
        <w:t xml:space="preserve">the </w:t>
      </w:r>
      <w:r w:rsidR="002959BE">
        <w:rPr>
          <w:rFonts w:eastAsia="Times New Roman" w:cs="Times New Roman"/>
          <w:szCs w:val="24"/>
        </w:rPr>
        <w:t xml:space="preserve">proposed rule would </w:t>
      </w:r>
      <w:r w:rsidR="00AF0C2B">
        <w:rPr>
          <w:rFonts w:eastAsia="Times New Roman" w:cs="Times New Roman"/>
          <w:szCs w:val="24"/>
        </w:rPr>
        <w:t xml:space="preserve">prevent </w:t>
      </w:r>
      <w:r w:rsidR="0081072E">
        <w:rPr>
          <w:rFonts w:eastAsia="Times New Roman" w:cs="Times New Roman"/>
          <w:szCs w:val="24"/>
        </w:rPr>
        <w:t xml:space="preserve">16 </w:t>
      </w:r>
      <w:r w:rsidR="00AF0C2B">
        <w:rPr>
          <w:rFonts w:eastAsia="Times New Roman" w:cs="Times New Roman"/>
          <w:szCs w:val="24"/>
        </w:rPr>
        <w:t xml:space="preserve">MAIS injuries </w:t>
      </w:r>
      <w:r w:rsidR="00AF0C2B">
        <w:t xml:space="preserve">for </w:t>
      </w:r>
      <w:r w:rsidR="00AF0C2B">
        <w:rPr>
          <w:rFonts w:eastAsia="Times New Roman" w:cs="Times New Roman"/>
          <w:szCs w:val="24"/>
        </w:rPr>
        <w:t xml:space="preserve">rear seat occupants 11 years and older in passenger cars. </w:t>
      </w:r>
      <w:r w:rsidR="0081072E">
        <w:rPr>
          <w:rFonts w:eastAsia="Times New Roman" w:cs="Times New Roman"/>
          <w:szCs w:val="24"/>
        </w:rPr>
        <w:t>T</w:t>
      </w:r>
      <w:r w:rsidR="003F2637">
        <w:rPr>
          <w:rFonts w:eastAsia="Times New Roman" w:cs="Times New Roman"/>
          <w:szCs w:val="24"/>
        </w:rPr>
        <w:t>o calculate the</w:t>
      </w:r>
      <w:r w:rsidR="0081072E">
        <w:rPr>
          <w:rFonts w:eastAsia="Times New Roman" w:cs="Times New Roman"/>
          <w:szCs w:val="24"/>
        </w:rPr>
        <w:t>se</w:t>
      </w:r>
      <w:r w:rsidR="003F2637">
        <w:rPr>
          <w:rFonts w:eastAsia="Times New Roman" w:cs="Times New Roman"/>
          <w:szCs w:val="24"/>
        </w:rPr>
        <w:t xml:space="preserve"> incremental benefits associated with the proposed rule in this case, we subtract baseline</w:t>
      </w:r>
      <w:r w:rsidR="0081072E">
        <w:rPr>
          <w:rFonts w:eastAsia="Times New Roman" w:cs="Times New Roman"/>
          <w:szCs w:val="24"/>
        </w:rPr>
        <w:t xml:space="preserve"> effects</w:t>
      </w:r>
      <w:r w:rsidR="003F2637">
        <w:rPr>
          <w:rFonts w:eastAsia="Times New Roman" w:cs="Times New Roman"/>
          <w:szCs w:val="24"/>
        </w:rPr>
        <w:t xml:space="preserve"> from </w:t>
      </w:r>
      <w:r w:rsidR="0081072E">
        <w:rPr>
          <w:rFonts w:eastAsia="Times New Roman" w:cs="Times New Roman"/>
          <w:szCs w:val="24"/>
        </w:rPr>
        <w:t xml:space="preserve">benefits </w:t>
      </w:r>
      <w:r w:rsidR="004D5750">
        <w:rPr>
          <w:rFonts w:eastAsia="Times New Roman" w:cs="Times New Roman"/>
          <w:szCs w:val="24"/>
        </w:rPr>
        <w:t>under the proposed rule</w:t>
      </w:r>
      <w:r w:rsidR="0081072E">
        <w:rPr>
          <w:rFonts w:eastAsia="Times New Roman" w:cs="Times New Roman"/>
          <w:szCs w:val="24"/>
        </w:rPr>
        <w:t xml:space="preserve"> before they have been adjusted to account for baseline effects</w:t>
      </w:r>
      <w:r w:rsidR="001F2F92">
        <w:rPr>
          <w:rFonts w:eastAsia="Times New Roman" w:cs="Times New Roman"/>
          <w:szCs w:val="24"/>
        </w:rPr>
        <w:t xml:space="preserve">. </w:t>
      </w:r>
      <w:r w:rsidR="004D5750">
        <w:rPr>
          <w:rFonts w:eastAsia="Times New Roman" w:cs="Times New Roman"/>
          <w:szCs w:val="24"/>
        </w:rPr>
        <w:t>Relative to the baseline, the increase in seat belt use from the proposed rule results in an</w:t>
      </w:r>
      <w:r w:rsidR="002959BE">
        <w:rPr>
          <w:rFonts w:eastAsia="Times New Roman" w:cs="Times New Roman"/>
          <w:szCs w:val="24"/>
        </w:rPr>
        <w:t xml:space="preserve"> additional 16 </w:t>
      </w:r>
      <w:r w:rsidR="00D827C3">
        <w:rPr>
          <w:rFonts w:eastAsia="Times New Roman" w:cs="Times New Roman"/>
          <w:szCs w:val="24"/>
        </w:rPr>
        <w:t>MAIS 1 injuries</w:t>
      </w:r>
      <w:r w:rsidR="004D5750">
        <w:rPr>
          <w:rFonts w:eastAsia="Times New Roman" w:cs="Times New Roman"/>
          <w:szCs w:val="24"/>
        </w:rPr>
        <w:t xml:space="preserve"> (667 minus</w:t>
      </w:r>
      <w:r w:rsidR="00BF2258">
        <w:rPr>
          <w:rFonts w:eastAsia="Times New Roman" w:cs="Times New Roman"/>
          <w:szCs w:val="24"/>
        </w:rPr>
        <w:t xml:space="preserve"> 651)</w:t>
      </w:r>
      <w:r w:rsidR="00D827C3">
        <w:rPr>
          <w:rFonts w:eastAsia="Times New Roman" w:cs="Times New Roman"/>
          <w:szCs w:val="24"/>
        </w:rPr>
        <w:t xml:space="preserve"> </w:t>
      </w:r>
      <w:r w:rsidR="002959BE">
        <w:rPr>
          <w:rFonts w:eastAsia="Times New Roman" w:cs="Times New Roman"/>
          <w:szCs w:val="24"/>
        </w:rPr>
        <w:t>prevented for</w:t>
      </w:r>
      <w:r w:rsidR="00D827C3">
        <w:rPr>
          <w:rFonts w:eastAsia="Times New Roman" w:cs="Times New Roman"/>
          <w:szCs w:val="24"/>
        </w:rPr>
        <w:t xml:space="preserve"> rear seat occupants age 11 year</w:t>
      </w:r>
      <w:r w:rsidR="00B744AF">
        <w:rPr>
          <w:rFonts w:eastAsia="Times New Roman" w:cs="Times New Roman"/>
          <w:szCs w:val="24"/>
        </w:rPr>
        <w:t>s and older in passenger cars</w:t>
      </w:r>
      <w:r w:rsidR="002959BE">
        <w:rPr>
          <w:rFonts w:eastAsia="Times New Roman" w:cs="Times New Roman"/>
          <w:szCs w:val="24"/>
        </w:rPr>
        <w:t>.</w:t>
      </w:r>
      <w:r w:rsidR="00B744AF">
        <w:rPr>
          <w:rFonts w:eastAsia="Times New Roman" w:cs="Times New Roman"/>
          <w:szCs w:val="24"/>
        </w:rPr>
        <w:t xml:space="preserve"> </w:t>
      </w:r>
    </w:p>
    <w:p w14:paraId="444B0879" w14:textId="18E8529E" w:rsidR="00037C15" w:rsidRDefault="000F5B51" w:rsidP="005F41CD">
      <w:pPr>
        <w:rPr>
          <w:rFonts w:eastAsia="Times New Roman" w:cs="Times New Roman"/>
          <w:szCs w:val="24"/>
        </w:rPr>
      </w:pPr>
      <w:r>
        <w:rPr>
          <w:rFonts w:eastAsia="Times New Roman" w:cs="Times New Roman"/>
          <w:szCs w:val="24"/>
        </w:rPr>
        <w:lastRenderedPageBreak/>
        <w:fldChar w:fldCharType="begin"/>
      </w:r>
      <w:r>
        <w:rPr>
          <w:rFonts w:eastAsia="Times New Roman" w:cs="Times New Roman"/>
          <w:szCs w:val="24"/>
        </w:rPr>
        <w:instrText xml:space="preserve"> REF _Ref126135019 </w:instrText>
      </w:r>
      <w:r>
        <w:rPr>
          <w:rFonts w:eastAsia="Times New Roman" w:cs="Times New Roman"/>
          <w:szCs w:val="24"/>
        </w:rPr>
        <w:fldChar w:fldCharType="separate"/>
      </w:r>
      <w:r w:rsidR="00A65CB3">
        <w:t xml:space="preserve">Table </w:t>
      </w:r>
      <w:r w:rsidR="00A65CB3">
        <w:rPr>
          <w:noProof/>
        </w:rPr>
        <w:t>44</w:t>
      </w:r>
      <w:r>
        <w:rPr>
          <w:rFonts w:eastAsia="Times New Roman" w:cs="Times New Roman"/>
          <w:szCs w:val="24"/>
        </w:rPr>
        <w:fldChar w:fldCharType="end"/>
      </w:r>
      <w:r>
        <w:rPr>
          <w:rFonts w:eastAsia="Times New Roman" w:cs="Times New Roman"/>
          <w:szCs w:val="24"/>
        </w:rPr>
        <w:t xml:space="preserve"> and </w:t>
      </w:r>
      <w:r>
        <w:rPr>
          <w:rFonts w:eastAsia="Times New Roman" w:cs="Times New Roman"/>
          <w:szCs w:val="24"/>
        </w:rPr>
        <w:fldChar w:fldCharType="begin"/>
      </w:r>
      <w:r>
        <w:rPr>
          <w:rFonts w:eastAsia="Times New Roman" w:cs="Times New Roman"/>
          <w:szCs w:val="24"/>
        </w:rPr>
        <w:instrText xml:space="preserve"> REF _Ref126135024 </w:instrText>
      </w:r>
      <w:r>
        <w:rPr>
          <w:rFonts w:eastAsia="Times New Roman" w:cs="Times New Roman"/>
          <w:szCs w:val="24"/>
        </w:rPr>
        <w:fldChar w:fldCharType="separate"/>
      </w:r>
      <w:r w:rsidR="00A65CB3">
        <w:t xml:space="preserve">Table </w:t>
      </w:r>
      <w:r w:rsidR="00A65CB3">
        <w:rPr>
          <w:noProof/>
        </w:rPr>
        <w:t>45</w:t>
      </w:r>
      <w:r>
        <w:rPr>
          <w:rFonts w:eastAsia="Times New Roman" w:cs="Times New Roman"/>
          <w:szCs w:val="24"/>
        </w:rPr>
        <w:fldChar w:fldCharType="end"/>
      </w:r>
      <w:r>
        <w:rPr>
          <w:rFonts w:eastAsia="Times New Roman" w:cs="Times New Roman"/>
          <w:szCs w:val="24"/>
        </w:rPr>
        <w:t xml:space="preserve"> present the calculation of incremental benefits associated with the proposed rule for rear seat occupants </w:t>
      </w:r>
      <w:r w:rsidR="00CA7A05">
        <w:rPr>
          <w:rFonts w:eastAsia="Times New Roman" w:cs="Times New Roman"/>
          <w:szCs w:val="24"/>
        </w:rPr>
        <w:t>ages six to ten and rear seat occupants 11 years</w:t>
      </w:r>
      <w:r w:rsidR="00797664">
        <w:rPr>
          <w:rFonts w:eastAsia="Times New Roman" w:cs="Times New Roman"/>
          <w:szCs w:val="24"/>
        </w:rPr>
        <w:t xml:space="preserve"> and</w:t>
      </w:r>
      <w:r w:rsidR="00CA7A05">
        <w:rPr>
          <w:rFonts w:eastAsia="Times New Roman" w:cs="Times New Roman"/>
          <w:szCs w:val="24"/>
        </w:rPr>
        <w:t xml:space="preserve"> older, respectively</w:t>
      </w:r>
      <w:r w:rsidR="001F2F92">
        <w:rPr>
          <w:rFonts w:eastAsia="Times New Roman" w:cs="Times New Roman"/>
          <w:szCs w:val="24"/>
        </w:rPr>
        <w:t xml:space="preserve">. </w:t>
      </w:r>
      <w:r w:rsidR="0072285E">
        <w:rPr>
          <w:rFonts w:eastAsia="Times New Roman" w:cs="Times New Roman"/>
          <w:szCs w:val="24"/>
        </w:rPr>
        <w:t>Incremental benefits reflect the number of non-fatal injuries</w:t>
      </w:r>
      <w:r w:rsidR="00953329">
        <w:rPr>
          <w:rFonts w:eastAsia="Times New Roman" w:cs="Times New Roman"/>
          <w:szCs w:val="24"/>
        </w:rPr>
        <w:t xml:space="preserve"> and </w:t>
      </w:r>
      <w:r w:rsidR="006B2052">
        <w:rPr>
          <w:rFonts w:eastAsia="Times New Roman" w:cs="Times New Roman"/>
          <w:szCs w:val="24"/>
        </w:rPr>
        <w:t>fatalities</w:t>
      </w:r>
      <w:r w:rsidR="00953329">
        <w:rPr>
          <w:rFonts w:eastAsia="Times New Roman" w:cs="Times New Roman"/>
          <w:szCs w:val="24"/>
        </w:rPr>
        <w:t xml:space="preserve"> prevented </w:t>
      </w:r>
      <w:r w:rsidR="007C48DC">
        <w:rPr>
          <w:rFonts w:eastAsia="Times New Roman" w:cs="Times New Roman"/>
          <w:szCs w:val="24"/>
        </w:rPr>
        <w:t>as a result of the proposed rule relative to the baseline</w:t>
      </w:r>
      <w:r w:rsidR="001F2F92">
        <w:rPr>
          <w:rFonts w:eastAsia="Times New Roman" w:cs="Times New Roman"/>
          <w:szCs w:val="24"/>
        </w:rPr>
        <w:t xml:space="preserve">. </w:t>
      </w:r>
      <w:r w:rsidR="00C7784D">
        <w:rPr>
          <w:rFonts w:eastAsia="Times New Roman" w:cs="Times New Roman"/>
          <w:szCs w:val="24"/>
        </w:rPr>
        <w:t>More specifically</w:t>
      </w:r>
      <w:r w:rsidR="006C1ADF" w:rsidRPr="00F2140B">
        <w:rPr>
          <w:rFonts w:eastAsia="Times New Roman" w:cs="Times New Roman"/>
          <w:szCs w:val="24"/>
        </w:rPr>
        <w:t xml:space="preserve">, </w:t>
      </w:r>
      <w:r w:rsidR="00A56C33" w:rsidRPr="00F2140B">
        <w:rPr>
          <w:rFonts w:eastAsia="Times New Roman" w:cs="Times New Roman"/>
          <w:szCs w:val="24"/>
        </w:rPr>
        <w:t>increment</w:t>
      </w:r>
      <w:r w:rsidR="00A56C33" w:rsidRPr="00701403">
        <w:rPr>
          <w:rFonts w:eastAsia="Times New Roman" w:cs="Times New Roman"/>
          <w:szCs w:val="24"/>
        </w:rPr>
        <w:t xml:space="preserve">al benefits </w:t>
      </w:r>
      <w:r w:rsidR="00A168A9" w:rsidRPr="00701403">
        <w:rPr>
          <w:rFonts w:eastAsia="Times New Roman" w:cs="Times New Roman"/>
          <w:szCs w:val="24"/>
        </w:rPr>
        <w:t xml:space="preserve">from the proposed rule are those resulting from the increase in seat belt use </w:t>
      </w:r>
      <w:r w:rsidR="00D5460F">
        <w:rPr>
          <w:rFonts w:eastAsia="Times New Roman" w:cs="Times New Roman"/>
          <w:szCs w:val="24"/>
        </w:rPr>
        <w:t>resulting from the</w:t>
      </w:r>
      <w:r w:rsidR="00175118" w:rsidRPr="00701403">
        <w:rPr>
          <w:rFonts w:eastAsia="Times New Roman" w:cs="Times New Roman"/>
          <w:szCs w:val="24"/>
        </w:rPr>
        <w:t xml:space="preserve"> SBWS</w:t>
      </w:r>
      <w:r w:rsidR="001F2F92">
        <w:rPr>
          <w:rFonts w:eastAsia="Times New Roman" w:cs="Times New Roman"/>
          <w:szCs w:val="24"/>
        </w:rPr>
        <w:t xml:space="preserve">. </w:t>
      </w:r>
      <w:r w:rsidR="008D348D">
        <w:rPr>
          <w:rFonts w:eastAsia="Times New Roman" w:cs="Times New Roman"/>
          <w:szCs w:val="24"/>
        </w:rPr>
        <w:t>Note that</w:t>
      </w:r>
      <w:r w:rsidR="00792D13">
        <w:rPr>
          <w:rFonts w:eastAsia="Times New Roman" w:cs="Times New Roman"/>
          <w:szCs w:val="24"/>
        </w:rPr>
        <w:t xml:space="preserve"> there is no change in the effectiveness of seat belts when calculating baseline </w:t>
      </w:r>
      <w:r w:rsidR="000603E0">
        <w:rPr>
          <w:rFonts w:eastAsia="Times New Roman" w:cs="Times New Roman"/>
          <w:szCs w:val="24"/>
        </w:rPr>
        <w:t xml:space="preserve">effects </w:t>
      </w:r>
      <w:r w:rsidR="00792D13">
        <w:rPr>
          <w:rFonts w:eastAsia="Times New Roman" w:cs="Times New Roman"/>
          <w:szCs w:val="24"/>
        </w:rPr>
        <w:t xml:space="preserve">and </w:t>
      </w:r>
      <w:r w:rsidR="000603E0">
        <w:rPr>
          <w:rFonts w:eastAsia="Times New Roman" w:cs="Times New Roman"/>
          <w:szCs w:val="24"/>
        </w:rPr>
        <w:t xml:space="preserve">benefits of the </w:t>
      </w:r>
      <w:r w:rsidR="00792D13">
        <w:rPr>
          <w:rFonts w:eastAsia="Times New Roman" w:cs="Times New Roman"/>
          <w:szCs w:val="24"/>
        </w:rPr>
        <w:t>proposed rule.</w:t>
      </w:r>
    </w:p>
    <w:p w14:paraId="0D90D63D" w14:textId="057E65C3" w:rsidR="00FA2FC7" w:rsidRDefault="000F5B51" w:rsidP="00FA2FC7">
      <w:pPr>
        <w:rPr>
          <w:rFonts w:eastAsia="Times New Roman" w:cs="Times New Roman"/>
          <w:szCs w:val="24"/>
        </w:rPr>
      </w:pPr>
      <w:r>
        <w:rPr>
          <w:rFonts w:eastAsia="Times New Roman" w:cs="Times New Roman"/>
          <w:szCs w:val="24"/>
        </w:rPr>
        <w:t xml:space="preserve">As shown in </w:t>
      </w:r>
      <w:r>
        <w:rPr>
          <w:rFonts w:eastAsia="Times New Roman" w:cs="Times New Roman"/>
          <w:szCs w:val="24"/>
        </w:rPr>
        <w:fldChar w:fldCharType="begin"/>
      </w:r>
      <w:r>
        <w:rPr>
          <w:rFonts w:eastAsia="Times New Roman" w:cs="Times New Roman"/>
          <w:szCs w:val="24"/>
        </w:rPr>
        <w:instrText xml:space="preserve"> REF _Ref126135019 </w:instrText>
      </w:r>
      <w:r>
        <w:rPr>
          <w:rFonts w:eastAsia="Times New Roman" w:cs="Times New Roman"/>
          <w:szCs w:val="24"/>
        </w:rPr>
        <w:fldChar w:fldCharType="separate"/>
      </w:r>
      <w:r w:rsidR="00A65CB3">
        <w:t xml:space="preserve">Table </w:t>
      </w:r>
      <w:r w:rsidR="00A65CB3">
        <w:rPr>
          <w:noProof/>
        </w:rPr>
        <w:t>44</w:t>
      </w:r>
      <w:r>
        <w:rPr>
          <w:rFonts w:eastAsia="Times New Roman" w:cs="Times New Roman"/>
          <w:szCs w:val="24"/>
        </w:rPr>
        <w:fldChar w:fldCharType="end"/>
      </w:r>
      <w:r>
        <w:rPr>
          <w:rFonts w:eastAsia="Times New Roman" w:cs="Times New Roman"/>
          <w:szCs w:val="24"/>
        </w:rPr>
        <w:t xml:space="preserve"> and </w:t>
      </w:r>
      <w:r>
        <w:rPr>
          <w:rFonts w:eastAsia="Times New Roman" w:cs="Times New Roman"/>
          <w:szCs w:val="24"/>
        </w:rPr>
        <w:fldChar w:fldCharType="begin"/>
      </w:r>
      <w:r>
        <w:rPr>
          <w:rFonts w:eastAsia="Times New Roman" w:cs="Times New Roman"/>
          <w:szCs w:val="24"/>
        </w:rPr>
        <w:instrText xml:space="preserve"> REF _Ref126135024 </w:instrText>
      </w:r>
      <w:r>
        <w:rPr>
          <w:rFonts w:eastAsia="Times New Roman" w:cs="Times New Roman"/>
          <w:szCs w:val="24"/>
        </w:rPr>
        <w:fldChar w:fldCharType="separate"/>
      </w:r>
      <w:r w:rsidR="00A65CB3">
        <w:t xml:space="preserve">Table </w:t>
      </w:r>
      <w:r w:rsidR="00A65CB3">
        <w:rPr>
          <w:noProof/>
        </w:rPr>
        <w:t>45</w:t>
      </w:r>
      <w:r>
        <w:rPr>
          <w:rFonts w:eastAsia="Times New Roman" w:cs="Times New Roman"/>
          <w:szCs w:val="24"/>
        </w:rPr>
        <w:fldChar w:fldCharType="end"/>
      </w:r>
      <w:r>
        <w:rPr>
          <w:rFonts w:eastAsia="Times New Roman" w:cs="Times New Roman"/>
          <w:szCs w:val="24"/>
        </w:rPr>
        <w:t>, to estimate incremental benefits, we first establish the number of non-fatal injuries and fatalities prevented by seat belts under the baseline seat belt usage rates</w:t>
      </w:r>
      <w:r w:rsidR="001F2F92">
        <w:rPr>
          <w:rFonts w:eastAsia="Times New Roman" w:cs="Times New Roman"/>
          <w:szCs w:val="24"/>
        </w:rPr>
        <w:t xml:space="preserve">. </w:t>
      </w:r>
      <w:r w:rsidR="000603E0">
        <w:rPr>
          <w:rFonts w:eastAsia="Times New Roman" w:cs="Times New Roman"/>
          <w:szCs w:val="24"/>
        </w:rPr>
        <w:t xml:space="preserve">Effects </w:t>
      </w:r>
      <w:r>
        <w:rPr>
          <w:rFonts w:eastAsia="Times New Roman" w:cs="Times New Roman"/>
          <w:szCs w:val="24"/>
        </w:rPr>
        <w:t>under the baseline are calculated by reflecting the current or observed seat belt use rate (c) and seat belt effectiveness (b) on the potential injuries and fatalities (a)</w:t>
      </w:r>
      <w:r w:rsidR="001F2F92">
        <w:rPr>
          <w:rFonts w:eastAsia="Times New Roman" w:cs="Times New Roman"/>
          <w:szCs w:val="24"/>
        </w:rPr>
        <w:t xml:space="preserve">. </w:t>
      </w:r>
      <w:r>
        <w:rPr>
          <w:rFonts w:eastAsia="Times New Roman" w:cs="Times New Roman"/>
          <w:szCs w:val="24"/>
        </w:rPr>
        <w:t xml:space="preserve">Benefits under the proposed rule </w:t>
      </w:r>
      <w:r w:rsidR="000603E0">
        <w:rPr>
          <w:rFonts w:eastAsia="Times New Roman" w:cs="Times New Roman"/>
          <w:szCs w:val="24"/>
        </w:rPr>
        <w:t xml:space="preserve">before adjusting for baseline effects </w:t>
      </w:r>
      <w:r>
        <w:rPr>
          <w:rFonts w:eastAsia="Times New Roman" w:cs="Times New Roman"/>
          <w:szCs w:val="24"/>
        </w:rPr>
        <w:t>reflect both the Lo and Hi case and are calculated by reflecting the seat belt use rate ((d) in Lo case and (e) in the Hi case) and seat belt effectiveness (b) on the potential injuries and fatalities (a)</w:t>
      </w:r>
      <w:r w:rsidR="001F2F92">
        <w:rPr>
          <w:rFonts w:eastAsia="Times New Roman" w:cs="Times New Roman"/>
          <w:szCs w:val="24"/>
        </w:rPr>
        <w:t xml:space="preserve">. </w:t>
      </w:r>
      <w:r>
        <w:rPr>
          <w:rFonts w:eastAsia="Times New Roman" w:cs="Times New Roman"/>
          <w:szCs w:val="24"/>
        </w:rPr>
        <w:t>Incremental benefits are then calculated as differen</w:t>
      </w:r>
      <w:r w:rsidR="000D1CAA">
        <w:rPr>
          <w:rFonts w:eastAsia="Times New Roman" w:cs="Times New Roman"/>
          <w:szCs w:val="24"/>
        </w:rPr>
        <w:t>ce</w:t>
      </w:r>
      <w:r>
        <w:rPr>
          <w:rFonts w:eastAsia="Times New Roman" w:cs="Times New Roman"/>
          <w:szCs w:val="24"/>
        </w:rPr>
        <w:t xml:space="preserve"> in non-fatal injuries and fatalities</w:t>
      </w:r>
      <w:r w:rsidR="0006509B">
        <w:rPr>
          <w:rFonts w:eastAsia="Times New Roman" w:cs="Times New Roman"/>
          <w:szCs w:val="24"/>
        </w:rPr>
        <w:t xml:space="preserve"> prevented</w:t>
      </w:r>
      <w:r>
        <w:rPr>
          <w:rFonts w:eastAsia="Times New Roman" w:cs="Times New Roman"/>
          <w:szCs w:val="24"/>
        </w:rPr>
        <w:t xml:space="preserve"> between the proposed rule and baseline. </w:t>
      </w:r>
    </w:p>
    <w:p w14:paraId="08779231" w14:textId="77777777" w:rsidR="00466BD4" w:rsidRDefault="00466BD4">
      <w:pPr>
        <w:rPr>
          <w:rFonts w:eastAsia="Times New Roman" w:cs="Times New Roman"/>
          <w:szCs w:val="24"/>
        </w:rPr>
        <w:sectPr w:rsidR="00466BD4" w:rsidSect="00D07617">
          <w:footerReference w:type="default" r:id="rId16"/>
          <w:pgSz w:w="12240" w:h="15840" w:code="1"/>
          <w:pgMar w:top="1440" w:right="1440" w:bottom="1440" w:left="1440" w:header="720" w:footer="720" w:gutter="0"/>
          <w:cols w:space="720"/>
          <w:docGrid w:linePitch="360"/>
        </w:sectPr>
      </w:pPr>
    </w:p>
    <w:p w14:paraId="6E3025D5" w14:textId="60B80E01" w:rsidR="009E4184" w:rsidRDefault="000F5B51" w:rsidP="009E4184">
      <w:pPr>
        <w:pStyle w:val="Caption"/>
        <w:rPr>
          <w:rFonts w:eastAsia="Times New Roman" w:cs="Times New Roman"/>
          <w:szCs w:val="24"/>
        </w:rPr>
      </w:pPr>
      <w:bookmarkStart w:id="234" w:name="_Ref126135019"/>
      <w:r>
        <w:lastRenderedPageBreak/>
        <w:t xml:space="preserve">Table </w:t>
      </w:r>
      <w:r w:rsidR="00115BAB">
        <w:fldChar w:fldCharType="begin"/>
      </w:r>
      <w:r>
        <w:instrText xml:space="preserve"> SEQ Table \* ARABIC </w:instrText>
      </w:r>
      <w:r w:rsidR="00115BAB">
        <w:fldChar w:fldCharType="separate"/>
      </w:r>
      <w:r w:rsidR="00A65CB3">
        <w:rPr>
          <w:noProof/>
        </w:rPr>
        <w:t>44</w:t>
      </w:r>
      <w:r w:rsidR="00115BAB">
        <w:rPr>
          <w:noProof/>
        </w:rPr>
        <w:fldChar w:fldCharType="end"/>
      </w:r>
      <w:bookmarkEnd w:id="234"/>
      <w:r>
        <w:t>: Incremental Benefits for Rear Seat Occupants Ages 6 to 10 by Vehicle Type</w:t>
      </w:r>
    </w:p>
    <w:tbl>
      <w:tblPr>
        <w:tblW w:w="15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88"/>
        <w:gridCol w:w="1229"/>
        <w:gridCol w:w="1317"/>
        <w:gridCol w:w="1271"/>
        <w:gridCol w:w="1715"/>
        <w:gridCol w:w="1352"/>
        <w:gridCol w:w="1353"/>
        <w:gridCol w:w="1610"/>
        <w:gridCol w:w="1620"/>
        <w:gridCol w:w="1090"/>
        <w:gridCol w:w="1091"/>
      </w:tblGrid>
      <w:tr w:rsidR="00A15C2C" w14:paraId="1B38EFB1" w14:textId="77777777" w:rsidTr="00276870">
        <w:trPr>
          <w:trHeight w:val="1025"/>
          <w:jc w:val="center"/>
        </w:trPr>
        <w:tc>
          <w:tcPr>
            <w:tcW w:w="1488" w:type="dxa"/>
            <w:vMerge w:val="restart"/>
            <w:shd w:val="clear" w:color="auto" w:fill="D9D9D9" w:themeFill="background1" w:themeFillShade="D9"/>
            <w:noWrap/>
            <w:vAlign w:val="bottom"/>
          </w:tcPr>
          <w:p w14:paraId="482859E2" w14:textId="77777777" w:rsidR="009E4184" w:rsidRDefault="009E4184" w:rsidP="00D65C7C">
            <w:pPr>
              <w:spacing w:after="0" w:line="240" w:lineRule="auto"/>
              <w:rPr>
                <w:rFonts w:eastAsia="Times New Roman" w:cs="Times New Roman"/>
                <w:b/>
                <w:bCs/>
                <w:color w:val="000000"/>
                <w:szCs w:val="24"/>
              </w:rPr>
            </w:pPr>
          </w:p>
          <w:p w14:paraId="4F0D1688" w14:textId="77777777" w:rsidR="009E4184" w:rsidRDefault="000F5B51" w:rsidP="00D65C7C">
            <w:pPr>
              <w:spacing w:after="0" w:line="240" w:lineRule="auto"/>
              <w:rPr>
                <w:rFonts w:eastAsia="Times New Roman" w:cs="Times New Roman"/>
                <w:b/>
                <w:bCs/>
                <w:color w:val="000000"/>
                <w:szCs w:val="24"/>
              </w:rPr>
            </w:pPr>
            <w:r>
              <w:rPr>
                <w:rFonts w:eastAsia="Times New Roman" w:cs="Times New Roman"/>
                <w:b/>
                <w:bCs/>
                <w:color w:val="000000"/>
                <w:szCs w:val="24"/>
              </w:rPr>
              <w:t xml:space="preserve">Injury Severity </w:t>
            </w:r>
          </w:p>
        </w:tc>
        <w:tc>
          <w:tcPr>
            <w:tcW w:w="1229" w:type="dxa"/>
            <w:vMerge w:val="restart"/>
            <w:shd w:val="clear" w:color="auto" w:fill="D9D9D9" w:themeFill="background1" w:themeFillShade="D9"/>
            <w:vAlign w:val="center"/>
          </w:tcPr>
          <w:p w14:paraId="44263AAB" w14:textId="77777777" w:rsidR="009E4184" w:rsidRDefault="000F5B51" w:rsidP="00D65C7C">
            <w:pPr>
              <w:spacing w:after="0" w:line="240" w:lineRule="auto"/>
              <w:jc w:val="center"/>
              <w:rPr>
                <w:rFonts w:eastAsia="Times New Roman" w:cs="Times New Roman"/>
                <w:b/>
                <w:bCs/>
                <w:color w:val="000000"/>
                <w:szCs w:val="24"/>
              </w:rPr>
            </w:pPr>
            <w:r w:rsidRPr="00954B78">
              <w:rPr>
                <w:rFonts w:eastAsia="Times New Roman" w:cs="Times New Roman"/>
                <w:b/>
                <w:bCs/>
                <w:color w:val="000000"/>
                <w:szCs w:val="24"/>
              </w:rPr>
              <w:t>Potential Injuries</w:t>
            </w:r>
          </w:p>
          <w:p w14:paraId="09A5951B" w14:textId="77777777" w:rsidR="00B026E6" w:rsidRDefault="000F5B51" w:rsidP="00D65C7C">
            <w:pPr>
              <w:spacing w:after="0" w:line="240" w:lineRule="auto"/>
              <w:jc w:val="center"/>
              <w:rPr>
                <w:rFonts w:eastAsia="Times New Roman" w:cs="Times New Roman"/>
                <w:b/>
                <w:bCs/>
                <w:color w:val="000000"/>
                <w:szCs w:val="24"/>
              </w:rPr>
            </w:pPr>
            <w:r>
              <w:rPr>
                <w:rFonts w:eastAsia="Times New Roman" w:cs="Times New Roman"/>
                <w:b/>
                <w:bCs/>
                <w:color w:val="000000"/>
                <w:szCs w:val="24"/>
              </w:rPr>
              <w:t>(a)</w:t>
            </w:r>
          </w:p>
        </w:tc>
        <w:tc>
          <w:tcPr>
            <w:tcW w:w="1317" w:type="dxa"/>
            <w:vMerge w:val="restart"/>
            <w:shd w:val="clear" w:color="auto" w:fill="D9D9D9" w:themeFill="background1" w:themeFillShade="D9"/>
            <w:noWrap/>
            <w:vAlign w:val="center"/>
          </w:tcPr>
          <w:p w14:paraId="3055DE43" w14:textId="77777777" w:rsidR="009E4184" w:rsidRDefault="000F5B51" w:rsidP="00D65C7C">
            <w:pPr>
              <w:spacing w:after="0" w:line="240" w:lineRule="auto"/>
              <w:jc w:val="center"/>
              <w:rPr>
                <w:rFonts w:eastAsia="Times New Roman" w:cs="Times New Roman"/>
                <w:b/>
                <w:bCs/>
                <w:color w:val="000000"/>
                <w:szCs w:val="24"/>
              </w:rPr>
            </w:pPr>
            <w:r>
              <w:rPr>
                <w:rFonts w:eastAsia="Times New Roman" w:cs="Times New Roman"/>
                <w:b/>
                <w:bCs/>
                <w:color w:val="000000"/>
                <w:szCs w:val="24"/>
              </w:rPr>
              <w:t>Seat Belt Effectiveness</w:t>
            </w:r>
          </w:p>
          <w:p w14:paraId="693C85AE" w14:textId="77777777" w:rsidR="00B026E6" w:rsidRPr="00954B78" w:rsidRDefault="000F5B51" w:rsidP="00D65C7C">
            <w:pPr>
              <w:spacing w:after="0" w:line="240" w:lineRule="auto"/>
              <w:jc w:val="center"/>
              <w:rPr>
                <w:rFonts w:eastAsia="Times New Roman" w:cs="Times New Roman"/>
                <w:b/>
                <w:bCs/>
                <w:color w:val="000000"/>
                <w:szCs w:val="24"/>
              </w:rPr>
            </w:pPr>
            <w:r>
              <w:rPr>
                <w:rFonts w:eastAsia="Times New Roman" w:cs="Times New Roman"/>
                <w:b/>
                <w:bCs/>
                <w:color w:val="000000"/>
                <w:szCs w:val="24"/>
              </w:rPr>
              <w:t>(b)</w:t>
            </w:r>
          </w:p>
        </w:tc>
        <w:tc>
          <w:tcPr>
            <w:tcW w:w="1271" w:type="dxa"/>
            <w:vMerge w:val="restart"/>
            <w:shd w:val="clear" w:color="auto" w:fill="D9D9D9" w:themeFill="background1" w:themeFillShade="D9"/>
            <w:noWrap/>
            <w:vAlign w:val="center"/>
          </w:tcPr>
          <w:p w14:paraId="51E16024" w14:textId="77777777" w:rsidR="009E4184" w:rsidRDefault="000F5B51" w:rsidP="00D65C7C">
            <w:pPr>
              <w:spacing w:after="0" w:line="240" w:lineRule="auto"/>
              <w:jc w:val="center"/>
              <w:rPr>
                <w:rFonts w:eastAsia="Times New Roman" w:cs="Times New Roman"/>
                <w:b/>
                <w:bCs/>
                <w:color w:val="000000"/>
                <w:szCs w:val="24"/>
              </w:rPr>
            </w:pPr>
            <w:r>
              <w:rPr>
                <w:rFonts w:eastAsia="Times New Roman" w:cs="Times New Roman"/>
                <w:b/>
                <w:bCs/>
                <w:color w:val="000000"/>
                <w:szCs w:val="24"/>
              </w:rPr>
              <w:t>Baseline Seat Belt Use Rate</w:t>
            </w:r>
          </w:p>
          <w:p w14:paraId="4E322F8D" w14:textId="77777777" w:rsidR="00B026E6" w:rsidRPr="00954B78" w:rsidRDefault="000F5B51" w:rsidP="00D65C7C">
            <w:pPr>
              <w:spacing w:after="0" w:line="240" w:lineRule="auto"/>
              <w:jc w:val="center"/>
              <w:rPr>
                <w:rFonts w:eastAsia="Times New Roman" w:cs="Times New Roman"/>
                <w:b/>
                <w:bCs/>
                <w:color w:val="000000"/>
                <w:szCs w:val="24"/>
              </w:rPr>
            </w:pPr>
            <w:r>
              <w:rPr>
                <w:rFonts w:eastAsia="Times New Roman" w:cs="Times New Roman"/>
                <w:b/>
                <w:bCs/>
                <w:color w:val="000000"/>
                <w:szCs w:val="24"/>
              </w:rPr>
              <w:t>(c)</w:t>
            </w:r>
          </w:p>
        </w:tc>
        <w:tc>
          <w:tcPr>
            <w:tcW w:w="1715" w:type="dxa"/>
            <w:vMerge w:val="restart"/>
            <w:shd w:val="clear" w:color="auto" w:fill="D9D9D9" w:themeFill="background1" w:themeFillShade="D9"/>
            <w:noWrap/>
            <w:vAlign w:val="center"/>
          </w:tcPr>
          <w:p w14:paraId="76571254" w14:textId="5D854E25" w:rsidR="009E4184" w:rsidRDefault="000F5B51" w:rsidP="00D65C7C">
            <w:pPr>
              <w:spacing w:after="0" w:line="240" w:lineRule="auto"/>
              <w:jc w:val="center"/>
              <w:rPr>
                <w:rFonts w:eastAsia="Times New Roman" w:cs="Times New Roman"/>
                <w:b/>
                <w:bCs/>
                <w:color w:val="000000"/>
                <w:szCs w:val="24"/>
              </w:rPr>
            </w:pPr>
            <w:r w:rsidRPr="00012598">
              <w:rPr>
                <w:rFonts w:eastAsia="Times New Roman" w:cs="Times New Roman"/>
                <w:b/>
                <w:bCs/>
                <w:color w:val="000000"/>
                <w:szCs w:val="24"/>
              </w:rPr>
              <w:t>Baseline</w:t>
            </w:r>
            <w:r w:rsidR="000603E0">
              <w:rPr>
                <w:rFonts w:eastAsia="Times New Roman" w:cs="Times New Roman"/>
                <w:b/>
                <w:bCs/>
                <w:color w:val="000000"/>
                <w:szCs w:val="24"/>
              </w:rPr>
              <w:t xml:space="preserve"> Effects</w:t>
            </w:r>
          </w:p>
          <w:p w14:paraId="0567261E" w14:textId="77777777" w:rsidR="00B026E6" w:rsidRPr="00012598" w:rsidRDefault="000F5B51" w:rsidP="00D65C7C">
            <w:pPr>
              <w:spacing w:after="0" w:line="240" w:lineRule="auto"/>
              <w:jc w:val="center"/>
              <w:rPr>
                <w:rFonts w:eastAsia="Times New Roman" w:cs="Times New Roman"/>
                <w:b/>
                <w:bCs/>
                <w:color w:val="000000"/>
                <w:szCs w:val="24"/>
              </w:rPr>
            </w:pPr>
            <w:r>
              <w:rPr>
                <w:rFonts w:eastAsia="Times New Roman" w:cs="Times New Roman"/>
                <w:b/>
                <w:bCs/>
                <w:color w:val="000000"/>
                <w:szCs w:val="24"/>
              </w:rPr>
              <w:t>(a) x (b) x (c)</w:t>
            </w:r>
          </w:p>
        </w:tc>
        <w:tc>
          <w:tcPr>
            <w:tcW w:w="2705" w:type="dxa"/>
            <w:gridSpan w:val="2"/>
            <w:shd w:val="clear" w:color="auto" w:fill="D9D9D9" w:themeFill="background1" w:themeFillShade="D9"/>
            <w:vAlign w:val="center"/>
          </w:tcPr>
          <w:p w14:paraId="612DFB47" w14:textId="77777777" w:rsidR="009E4184" w:rsidRDefault="000F5B51" w:rsidP="00D65C7C">
            <w:pPr>
              <w:spacing w:after="0" w:line="240" w:lineRule="auto"/>
              <w:jc w:val="center"/>
              <w:rPr>
                <w:rFonts w:eastAsia="Times New Roman" w:cs="Times New Roman"/>
                <w:b/>
                <w:bCs/>
                <w:color w:val="000000"/>
                <w:szCs w:val="24"/>
              </w:rPr>
            </w:pPr>
            <w:r>
              <w:rPr>
                <w:rFonts w:eastAsia="Times New Roman" w:cs="Times New Roman"/>
                <w:b/>
                <w:bCs/>
                <w:color w:val="000000"/>
                <w:szCs w:val="24"/>
              </w:rPr>
              <w:t>Proposed Rule Seat Belt Use Rate</w:t>
            </w:r>
          </w:p>
        </w:tc>
        <w:tc>
          <w:tcPr>
            <w:tcW w:w="3230" w:type="dxa"/>
            <w:gridSpan w:val="2"/>
            <w:shd w:val="clear" w:color="auto" w:fill="D9D9D9" w:themeFill="background1" w:themeFillShade="D9"/>
            <w:vAlign w:val="center"/>
          </w:tcPr>
          <w:p w14:paraId="3C0DBD57" w14:textId="6BD848BF" w:rsidR="009E4184" w:rsidRDefault="000F5B51" w:rsidP="00D65C7C">
            <w:pPr>
              <w:spacing w:after="0" w:line="240" w:lineRule="auto"/>
              <w:jc w:val="center"/>
              <w:rPr>
                <w:rFonts w:eastAsia="Times New Roman" w:cs="Times New Roman"/>
                <w:b/>
                <w:bCs/>
                <w:color w:val="000000"/>
                <w:szCs w:val="24"/>
              </w:rPr>
            </w:pPr>
            <w:r>
              <w:rPr>
                <w:rFonts w:eastAsia="Times New Roman" w:cs="Times New Roman"/>
                <w:b/>
                <w:bCs/>
                <w:color w:val="000000"/>
                <w:szCs w:val="24"/>
              </w:rPr>
              <w:t>Calculation of Benefits Under the Proposed Rule</w:t>
            </w:r>
            <w:r w:rsidR="000603E0">
              <w:rPr>
                <w:rFonts w:eastAsia="Times New Roman" w:cs="Times New Roman"/>
                <w:b/>
                <w:bCs/>
                <w:color w:val="000000"/>
                <w:szCs w:val="24"/>
              </w:rPr>
              <w:t xml:space="preserve"> Unadjusted for Baseline Effects</w:t>
            </w:r>
          </w:p>
        </w:tc>
        <w:tc>
          <w:tcPr>
            <w:tcW w:w="2181" w:type="dxa"/>
            <w:gridSpan w:val="2"/>
            <w:shd w:val="clear" w:color="auto" w:fill="D9D9D9" w:themeFill="background1" w:themeFillShade="D9"/>
            <w:vAlign w:val="center"/>
          </w:tcPr>
          <w:p w14:paraId="762597AE" w14:textId="3A51794C" w:rsidR="009E4184" w:rsidRDefault="000F5B51" w:rsidP="00D65C7C">
            <w:pPr>
              <w:spacing w:after="0" w:line="240" w:lineRule="auto"/>
              <w:jc w:val="center"/>
              <w:rPr>
                <w:rFonts w:eastAsia="Times New Roman" w:cs="Times New Roman"/>
                <w:b/>
                <w:bCs/>
                <w:color w:val="000000"/>
                <w:szCs w:val="24"/>
              </w:rPr>
            </w:pPr>
            <w:r>
              <w:rPr>
                <w:rFonts w:eastAsia="Times New Roman" w:cs="Times New Roman"/>
                <w:b/>
                <w:bCs/>
                <w:color w:val="000000"/>
                <w:szCs w:val="24"/>
              </w:rPr>
              <w:t>Incremental Benefits (</w:t>
            </w:r>
            <w:r w:rsidR="00011883">
              <w:rPr>
                <w:rFonts w:eastAsia="Times New Roman" w:cs="Times New Roman"/>
                <w:b/>
                <w:bCs/>
                <w:color w:val="000000"/>
                <w:szCs w:val="24"/>
              </w:rPr>
              <w:t xml:space="preserve">Unadjusted </w:t>
            </w:r>
            <w:r>
              <w:rPr>
                <w:rFonts w:eastAsia="Times New Roman" w:cs="Times New Roman"/>
                <w:b/>
                <w:bCs/>
                <w:color w:val="000000"/>
                <w:szCs w:val="24"/>
              </w:rPr>
              <w:t>Proposed Rule</w:t>
            </w:r>
            <w:r w:rsidR="000603E0">
              <w:rPr>
                <w:rFonts w:eastAsia="Times New Roman" w:cs="Times New Roman"/>
                <w:b/>
                <w:bCs/>
                <w:color w:val="000000"/>
                <w:szCs w:val="24"/>
              </w:rPr>
              <w:t xml:space="preserve"> </w:t>
            </w:r>
            <w:r>
              <w:rPr>
                <w:rFonts w:eastAsia="Times New Roman" w:cs="Times New Roman"/>
                <w:b/>
                <w:bCs/>
                <w:color w:val="000000"/>
                <w:szCs w:val="24"/>
              </w:rPr>
              <w:t>minus Baseline)</w:t>
            </w:r>
          </w:p>
        </w:tc>
      </w:tr>
      <w:tr w:rsidR="00A15C2C" w14:paraId="4A25A398" w14:textId="77777777" w:rsidTr="00276870">
        <w:trPr>
          <w:trHeight w:val="310"/>
          <w:jc w:val="center"/>
        </w:trPr>
        <w:tc>
          <w:tcPr>
            <w:tcW w:w="1488" w:type="dxa"/>
            <w:vMerge/>
            <w:shd w:val="clear" w:color="auto" w:fill="auto"/>
            <w:noWrap/>
            <w:vAlign w:val="bottom"/>
          </w:tcPr>
          <w:p w14:paraId="725007FA" w14:textId="77777777" w:rsidR="009E4184" w:rsidRDefault="009E4184" w:rsidP="00D65C7C">
            <w:pPr>
              <w:spacing w:after="0" w:line="240" w:lineRule="auto"/>
              <w:rPr>
                <w:rFonts w:eastAsia="Times New Roman" w:cs="Times New Roman"/>
                <w:color w:val="000000"/>
                <w:szCs w:val="24"/>
              </w:rPr>
            </w:pPr>
          </w:p>
        </w:tc>
        <w:tc>
          <w:tcPr>
            <w:tcW w:w="1229" w:type="dxa"/>
            <w:vMerge/>
            <w:vAlign w:val="center"/>
          </w:tcPr>
          <w:p w14:paraId="034F083F" w14:textId="77777777" w:rsidR="009E4184" w:rsidRPr="00954B78" w:rsidRDefault="009E4184" w:rsidP="00D65C7C">
            <w:pPr>
              <w:spacing w:after="0" w:line="240" w:lineRule="auto"/>
              <w:jc w:val="center"/>
              <w:rPr>
                <w:rFonts w:cs="Times New Roman"/>
                <w:color w:val="000000"/>
                <w:szCs w:val="24"/>
              </w:rPr>
            </w:pPr>
          </w:p>
        </w:tc>
        <w:tc>
          <w:tcPr>
            <w:tcW w:w="1317" w:type="dxa"/>
            <w:vMerge/>
            <w:shd w:val="clear" w:color="auto" w:fill="auto"/>
            <w:noWrap/>
            <w:vAlign w:val="center"/>
          </w:tcPr>
          <w:p w14:paraId="09FC0745" w14:textId="77777777" w:rsidR="009E4184" w:rsidRPr="00954B78" w:rsidRDefault="009E4184" w:rsidP="00D65C7C">
            <w:pPr>
              <w:spacing w:after="0" w:line="240" w:lineRule="auto"/>
              <w:jc w:val="center"/>
              <w:rPr>
                <w:rFonts w:cs="Times New Roman"/>
                <w:color w:val="000000"/>
                <w:szCs w:val="24"/>
              </w:rPr>
            </w:pPr>
          </w:p>
        </w:tc>
        <w:tc>
          <w:tcPr>
            <w:tcW w:w="1271" w:type="dxa"/>
            <w:vMerge/>
            <w:shd w:val="clear" w:color="auto" w:fill="auto"/>
            <w:noWrap/>
            <w:vAlign w:val="center"/>
          </w:tcPr>
          <w:p w14:paraId="24AFA641" w14:textId="77777777" w:rsidR="009E4184" w:rsidRPr="00954B78" w:rsidRDefault="009E4184" w:rsidP="00D65C7C">
            <w:pPr>
              <w:spacing w:after="0" w:line="240" w:lineRule="auto"/>
              <w:jc w:val="center"/>
              <w:rPr>
                <w:rFonts w:cs="Times New Roman"/>
                <w:color w:val="000000"/>
                <w:szCs w:val="24"/>
              </w:rPr>
            </w:pPr>
          </w:p>
        </w:tc>
        <w:tc>
          <w:tcPr>
            <w:tcW w:w="1715" w:type="dxa"/>
            <w:vMerge/>
            <w:shd w:val="clear" w:color="auto" w:fill="auto"/>
            <w:noWrap/>
            <w:vAlign w:val="center"/>
          </w:tcPr>
          <w:p w14:paraId="0189E153" w14:textId="77777777" w:rsidR="009E4184" w:rsidRPr="00954B78" w:rsidRDefault="009E4184" w:rsidP="00D65C7C">
            <w:pPr>
              <w:spacing w:after="0" w:line="240" w:lineRule="auto"/>
              <w:jc w:val="center"/>
              <w:rPr>
                <w:rFonts w:eastAsia="Times New Roman" w:cs="Times New Roman"/>
                <w:color w:val="000000"/>
                <w:szCs w:val="24"/>
              </w:rPr>
            </w:pPr>
          </w:p>
        </w:tc>
        <w:tc>
          <w:tcPr>
            <w:tcW w:w="1352" w:type="dxa"/>
            <w:shd w:val="clear" w:color="auto" w:fill="D9D9D9" w:themeFill="background1" w:themeFillShade="D9"/>
            <w:vAlign w:val="center"/>
          </w:tcPr>
          <w:p w14:paraId="2195EFF4" w14:textId="77777777" w:rsidR="009E4184" w:rsidRDefault="000F5B51" w:rsidP="00D65C7C">
            <w:pPr>
              <w:spacing w:after="0" w:line="240" w:lineRule="auto"/>
              <w:jc w:val="center"/>
              <w:rPr>
                <w:rFonts w:eastAsia="Times New Roman" w:cs="Times New Roman"/>
                <w:b/>
                <w:bCs/>
                <w:color w:val="000000"/>
                <w:szCs w:val="24"/>
              </w:rPr>
            </w:pPr>
            <w:r>
              <w:rPr>
                <w:rFonts w:eastAsia="Times New Roman" w:cs="Times New Roman"/>
                <w:b/>
                <w:bCs/>
                <w:color w:val="000000"/>
                <w:szCs w:val="24"/>
              </w:rPr>
              <w:t>Lo</w:t>
            </w:r>
          </w:p>
          <w:p w14:paraId="102327B8" w14:textId="77777777" w:rsidR="00B026E6" w:rsidRPr="00012598" w:rsidRDefault="000F5B51" w:rsidP="00D65C7C">
            <w:pPr>
              <w:spacing w:after="0" w:line="240" w:lineRule="auto"/>
              <w:jc w:val="center"/>
              <w:rPr>
                <w:rFonts w:eastAsia="Times New Roman" w:cs="Times New Roman"/>
                <w:b/>
                <w:bCs/>
                <w:color w:val="000000"/>
                <w:szCs w:val="24"/>
              </w:rPr>
            </w:pPr>
            <w:r>
              <w:rPr>
                <w:rFonts w:eastAsia="Times New Roman" w:cs="Times New Roman"/>
                <w:b/>
                <w:bCs/>
                <w:color w:val="000000"/>
                <w:szCs w:val="24"/>
              </w:rPr>
              <w:t>(d)</w:t>
            </w:r>
          </w:p>
        </w:tc>
        <w:tc>
          <w:tcPr>
            <w:tcW w:w="1353" w:type="dxa"/>
            <w:shd w:val="clear" w:color="auto" w:fill="D9D9D9" w:themeFill="background1" w:themeFillShade="D9"/>
            <w:vAlign w:val="center"/>
          </w:tcPr>
          <w:p w14:paraId="2FB76A6D" w14:textId="77777777" w:rsidR="009E4184" w:rsidRDefault="000F5B51" w:rsidP="00D65C7C">
            <w:pPr>
              <w:spacing w:after="0" w:line="240" w:lineRule="auto"/>
              <w:jc w:val="center"/>
              <w:rPr>
                <w:rFonts w:eastAsia="Times New Roman" w:cs="Times New Roman"/>
                <w:b/>
                <w:bCs/>
                <w:color w:val="000000"/>
                <w:szCs w:val="24"/>
              </w:rPr>
            </w:pPr>
            <w:r>
              <w:rPr>
                <w:rFonts w:eastAsia="Times New Roman" w:cs="Times New Roman"/>
                <w:b/>
                <w:bCs/>
                <w:color w:val="000000"/>
                <w:szCs w:val="24"/>
              </w:rPr>
              <w:t>Hi</w:t>
            </w:r>
          </w:p>
          <w:p w14:paraId="2A7AB45C" w14:textId="77777777" w:rsidR="00B026E6" w:rsidRPr="00012598" w:rsidRDefault="000F5B51" w:rsidP="00D65C7C">
            <w:pPr>
              <w:spacing w:after="0" w:line="240" w:lineRule="auto"/>
              <w:jc w:val="center"/>
              <w:rPr>
                <w:rFonts w:eastAsia="Times New Roman" w:cs="Times New Roman"/>
                <w:b/>
                <w:bCs/>
                <w:color w:val="000000"/>
                <w:szCs w:val="24"/>
              </w:rPr>
            </w:pPr>
            <w:r>
              <w:rPr>
                <w:rFonts w:eastAsia="Times New Roman" w:cs="Times New Roman"/>
                <w:b/>
                <w:bCs/>
                <w:color w:val="000000"/>
                <w:szCs w:val="24"/>
              </w:rPr>
              <w:t>(e)</w:t>
            </w:r>
          </w:p>
        </w:tc>
        <w:tc>
          <w:tcPr>
            <w:tcW w:w="1610" w:type="dxa"/>
            <w:shd w:val="clear" w:color="auto" w:fill="D9D9D9" w:themeFill="background1" w:themeFillShade="D9"/>
            <w:vAlign w:val="center"/>
          </w:tcPr>
          <w:p w14:paraId="40660251" w14:textId="77777777" w:rsidR="00276870" w:rsidRDefault="000F5B51" w:rsidP="00D65C7C">
            <w:pPr>
              <w:spacing w:after="0" w:line="240" w:lineRule="auto"/>
              <w:jc w:val="center"/>
              <w:rPr>
                <w:rFonts w:eastAsia="Times New Roman" w:cs="Times New Roman"/>
                <w:b/>
                <w:bCs/>
                <w:color w:val="000000"/>
                <w:szCs w:val="24"/>
              </w:rPr>
            </w:pPr>
            <w:r>
              <w:rPr>
                <w:rFonts w:eastAsia="Times New Roman" w:cs="Times New Roman"/>
                <w:b/>
                <w:bCs/>
                <w:color w:val="000000"/>
                <w:szCs w:val="24"/>
              </w:rPr>
              <w:t>Lo</w:t>
            </w:r>
          </w:p>
          <w:p w14:paraId="2473AF8D" w14:textId="77777777" w:rsidR="009E4184" w:rsidRPr="00012598" w:rsidRDefault="000F5B51" w:rsidP="00D65C7C">
            <w:pPr>
              <w:spacing w:after="0" w:line="240" w:lineRule="auto"/>
              <w:jc w:val="center"/>
              <w:rPr>
                <w:rFonts w:eastAsia="Times New Roman" w:cs="Times New Roman"/>
                <w:b/>
                <w:bCs/>
                <w:color w:val="000000"/>
                <w:szCs w:val="24"/>
              </w:rPr>
            </w:pPr>
            <w:r>
              <w:rPr>
                <w:rFonts w:eastAsia="Times New Roman" w:cs="Times New Roman"/>
                <w:b/>
                <w:bCs/>
                <w:color w:val="000000"/>
                <w:szCs w:val="24"/>
              </w:rPr>
              <w:t>(a) x (b) x (d)</w:t>
            </w:r>
          </w:p>
        </w:tc>
        <w:tc>
          <w:tcPr>
            <w:tcW w:w="1620" w:type="dxa"/>
            <w:shd w:val="clear" w:color="auto" w:fill="D9D9D9" w:themeFill="background1" w:themeFillShade="D9"/>
            <w:vAlign w:val="center"/>
          </w:tcPr>
          <w:p w14:paraId="05226AB3" w14:textId="77777777" w:rsidR="009E4184" w:rsidRDefault="000F5B51" w:rsidP="00D65C7C">
            <w:pPr>
              <w:spacing w:after="0" w:line="240" w:lineRule="auto"/>
              <w:jc w:val="center"/>
              <w:rPr>
                <w:rFonts w:eastAsia="Times New Roman" w:cs="Times New Roman"/>
                <w:b/>
                <w:bCs/>
                <w:color w:val="000000"/>
                <w:szCs w:val="24"/>
              </w:rPr>
            </w:pPr>
            <w:r>
              <w:rPr>
                <w:rFonts w:eastAsia="Times New Roman" w:cs="Times New Roman"/>
                <w:b/>
                <w:bCs/>
                <w:color w:val="000000"/>
                <w:szCs w:val="24"/>
              </w:rPr>
              <w:t>Hi</w:t>
            </w:r>
          </w:p>
          <w:p w14:paraId="14640A87" w14:textId="77777777" w:rsidR="00276870" w:rsidRPr="00012598" w:rsidRDefault="000F5B51" w:rsidP="00D65C7C">
            <w:pPr>
              <w:spacing w:after="0" w:line="240" w:lineRule="auto"/>
              <w:jc w:val="center"/>
              <w:rPr>
                <w:rFonts w:eastAsia="Times New Roman" w:cs="Times New Roman"/>
                <w:b/>
                <w:bCs/>
                <w:color w:val="000000"/>
                <w:szCs w:val="24"/>
              </w:rPr>
            </w:pPr>
            <w:r>
              <w:rPr>
                <w:rFonts w:eastAsia="Times New Roman" w:cs="Times New Roman"/>
                <w:b/>
                <w:bCs/>
                <w:color w:val="000000"/>
                <w:szCs w:val="24"/>
              </w:rPr>
              <w:t>(a) x (b) x (e)</w:t>
            </w:r>
          </w:p>
        </w:tc>
        <w:tc>
          <w:tcPr>
            <w:tcW w:w="1090" w:type="dxa"/>
            <w:shd w:val="clear" w:color="auto" w:fill="D9D9D9" w:themeFill="background1" w:themeFillShade="D9"/>
            <w:vAlign w:val="center"/>
          </w:tcPr>
          <w:p w14:paraId="5CF4AB0B" w14:textId="77777777" w:rsidR="009E4184" w:rsidRPr="00012598" w:rsidRDefault="000F5B51" w:rsidP="00D65C7C">
            <w:pPr>
              <w:spacing w:after="0" w:line="240" w:lineRule="auto"/>
              <w:jc w:val="center"/>
              <w:rPr>
                <w:rFonts w:eastAsia="Times New Roman" w:cs="Times New Roman"/>
                <w:b/>
                <w:bCs/>
                <w:color w:val="000000"/>
                <w:szCs w:val="24"/>
              </w:rPr>
            </w:pPr>
            <w:r>
              <w:rPr>
                <w:rFonts w:eastAsia="Times New Roman" w:cs="Times New Roman"/>
                <w:b/>
                <w:bCs/>
                <w:color w:val="000000"/>
                <w:szCs w:val="24"/>
              </w:rPr>
              <w:t>Lo</w:t>
            </w:r>
          </w:p>
        </w:tc>
        <w:tc>
          <w:tcPr>
            <w:tcW w:w="1091" w:type="dxa"/>
            <w:shd w:val="clear" w:color="auto" w:fill="D9D9D9" w:themeFill="background1" w:themeFillShade="D9"/>
            <w:vAlign w:val="center"/>
          </w:tcPr>
          <w:p w14:paraId="3152A235" w14:textId="77777777" w:rsidR="009E4184" w:rsidRPr="00012598" w:rsidRDefault="000F5B51" w:rsidP="00D65C7C">
            <w:pPr>
              <w:spacing w:after="0" w:line="240" w:lineRule="auto"/>
              <w:jc w:val="center"/>
              <w:rPr>
                <w:rFonts w:eastAsia="Times New Roman" w:cs="Times New Roman"/>
                <w:b/>
                <w:bCs/>
                <w:color w:val="000000"/>
                <w:szCs w:val="24"/>
              </w:rPr>
            </w:pPr>
            <w:r>
              <w:rPr>
                <w:rFonts w:eastAsia="Times New Roman" w:cs="Times New Roman"/>
                <w:b/>
                <w:bCs/>
                <w:color w:val="000000"/>
                <w:szCs w:val="24"/>
              </w:rPr>
              <w:t>Hi</w:t>
            </w:r>
          </w:p>
        </w:tc>
      </w:tr>
      <w:tr w:rsidR="00A15C2C" w14:paraId="5FAD9EE7" w14:textId="77777777" w:rsidTr="0055589E">
        <w:trPr>
          <w:trHeight w:val="310"/>
          <w:jc w:val="center"/>
        </w:trPr>
        <w:tc>
          <w:tcPr>
            <w:tcW w:w="15136" w:type="dxa"/>
            <w:gridSpan w:val="11"/>
            <w:shd w:val="clear" w:color="auto" w:fill="D9D9D9" w:themeFill="background1" w:themeFillShade="D9"/>
            <w:noWrap/>
            <w:vAlign w:val="center"/>
          </w:tcPr>
          <w:p w14:paraId="2101DDFB" w14:textId="77777777" w:rsidR="008A1856" w:rsidRPr="0055589E" w:rsidRDefault="000F5B51" w:rsidP="00D65C7C">
            <w:pPr>
              <w:spacing w:after="0" w:line="240" w:lineRule="auto"/>
              <w:jc w:val="center"/>
              <w:rPr>
                <w:rFonts w:eastAsia="Times New Roman" w:cs="Times New Roman"/>
                <w:b/>
                <w:bCs/>
                <w:i/>
                <w:iCs/>
                <w:color w:val="000000"/>
                <w:szCs w:val="24"/>
              </w:rPr>
            </w:pPr>
            <w:r w:rsidRPr="0055589E">
              <w:rPr>
                <w:rFonts w:eastAsia="Times New Roman" w:cs="Times New Roman"/>
                <w:b/>
                <w:bCs/>
                <w:i/>
                <w:iCs/>
                <w:color w:val="000000"/>
                <w:szCs w:val="24"/>
              </w:rPr>
              <w:t>Passenger Cars</w:t>
            </w:r>
          </w:p>
        </w:tc>
      </w:tr>
      <w:tr w:rsidR="00A15C2C" w14:paraId="5CB008ED" w14:textId="77777777" w:rsidTr="0055589E">
        <w:trPr>
          <w:trHeight w:val="310"/>
          <w:jc w:val="center"/>
        </w:trPr>
        <w:tc>
          <w:tcPr>
            <w:tcW w:w="1488" w:type="dxa"/>
            <w:shd w:val="clear" w:color="auto" w:fill="auto"/>
            <w:noWrap/>
            <w:vAlign w:val="bottom"/>
          </w:tcPr>
          <w:p w14:paraId="22B5F104" w14:textId="77777777" w:rsidR="008B5112" w:rsidRPr="00954B78" w:rsidRDefault="000F5B51" w:rsidP="008B5112">
            <w:pPr>
              <w:spacing w:after="0" w:line="240" w:lineRule="auto"/>
              <w:rPr>
                <w:rFonts w:eastAsia="Times New Roman" w:cs="Times New Roman"/>
                <w:color w:val="000000"/>
                <w:szCs w:val="24"/>
              </w:rPr>
            </w:pPr>
            <w:r>
              <w:rPr>
                <w:rFonts w:eastAsia="Times New Roman" w:cs="Times New Roman"/>
                <w:color w:val="000000"/>
                <w:szCs w:val="24"/>
              </w:rPr>
              <w:t>MAIS 1</w:t>
            </w:r>
          </w:p>
        </w:tc>
        <w:tc>
          <w:tcPr>
            <w:tcW w:w="1229" w:type="dxa"/>
            <w:vAlign w:val="center"/>
          </w:tcPr>
          <w:p w14:paraId="38EBEBEA" w14:textId="77777777" w:rsidR="008B5112" w:rsidRPr="00954B78" w:rsidRDefault="000F5B51" w:rsidP="008B5112">
            <w:pPr>
              <w:spacing w:after="0" w:line="240" w:lineRule="auto"/>
              <w:jc w:val="center"/>
              <w:rPr>
                <w:rFonts w:cs="Times New Roman"/>
                <w:color w:val="000000"/>
                <w:szCs w:val="24"/>
              </w:rPr>
            </w:pPr>
            <w:r>
              <w:rPr>
                <w:color w:val="000000"/>
              </w:rPr>
              <w:t>3,176</w:t>
            </w:r>
          </w:p>
        </w:tc>
        <w:tc>
          <w:tcPr>
            <w:tcW w:w="1317" w:type="dxa"/>
            <w:shd w:val="clear" w:color="auto" w:fill="auto"/>
            <w:noWrap/>
            <w:vAlign w:val="center"/>
            <w:hideMark/>
          </w:tcPr>
          <w:p w14:paraId="4DC63218" w14:textId="77777777" w:rsidR="008B5112" w:rsidRPr="00954B78" w:rsidRDefault="000F5B51" w:rsidP="008B5112">
            <w:pPr>
              <w:spacing w:after="0" w:line="240" w:lineRule="auto"/>
              <w:jc w:val="center"/>
              <w:rPr>
                <w:rFonts w:eastAsia="Times New Roman" w:cs="Times New Roman"/>
                <w:color w:val="000000"/>
                <w:szCs w:val="24"/>
              </w:rPr>
            </w:pPr>
            <w:r w:rsidRPr="00954B78">
              <w:rPr>
                <w:rFonts w:cs="Times New Roman"/>
                <w:color w:val="000000"/>
                <w:szCs w:val="24"/>
              </w:rPr>
              <w:t>0.0550</w:t>
            </w:r>
          </w:p>
        </w:tc>
        <w:tc>
          <w:tcPr>
            <w:tcW w:w="1271" w:type="dxa"/>
            <w:shd w:val="clear" w:color="auto" w:fill="auto"/>
            <w:noWrap/>
            <w:vAlign w:val="center"/>
          </w:tcPr>
          <w:p w14:paraId="477CA480" w14:textId="77777777" w:rsidR="008B5112" w:rsidRPr="00954B78" w:rsidRDefault="000F5B51" w:rsidP="008B5112">
            <w:pPr>
              <w:spacing w:after="0" w:line="240" w:lineRule="auto"/>
              <w:jc w:val="center"/>
              <w:rPr>
                <w:rFonts w:eastAsia="Times New Roman" w:cs="Times New Roman"/>
                <w:color w:val="000000"/>
                <w:szCs w:val="24"/>
              </w:rPr>
            </w:pPr>
            <w:r>
              <w:rPr>
                <w:rFonts w:cs="Calibri"/>
                <w:color w:val="000000"/>
              </w:rPr>
              <w:t>0.98</w:t>
            </w:r>
            <w:r w:rsidR="008B2330">
              <w:rPr>
                <w:rFonts w:cs="Calibri"/>
                <w:color w:val="000000"/>
              </w:rPr>
              <w:t>00</w:t>
            </w:r>
          </w:p>
        </w:tc>
        <w:tc>
          <w:tcPr>
            <w:tcW w:w="1715" w:type="dxa"/>
            <w:shd w:val="clear" w:color="auto" w:fill="auto"/>
            <w:noWrap/>
          </w:tcPr>
          <w:p w14:paraId="13BF9DEA" w14:textId="77777777" w:rsidR="008B5112" w:rsidRPr="00954B78" w:rsidRDefault="000F5B51" w:rsidP="008B5112">
            <w:pPr>
              <w:spacing w:after="0" w:line="240" w:lineRule="auto"/>
              <w:jc w:val="center"/>
              <w:rPr>
                <w:rFonts w:eastAsia="Times New Roman" w:cs="Times New Roman"/>
                <w:color w:val="000000"/>
                <w:szCs w:val="24"/>
              </w:rPr>
            </w:pPr>
            <w:r w:rsidRPr="003137A6">
              <w:t>171</w:t>
            </w:r>
          </w:p>
        </w:tc>
        <w:tc>
          <w:tcPr>
            <w:tcW w:w="1352" w:type="dxa"/>
            <w:vAlign w:val="center"/>
          </w:tcPr>
          <w:p w14:paraId="3919E490" w14:textId="77777777" w:rsidR="008B5112" w:rsidRPr="00954B78" w:rsidRDefault="000F5B51" w:rsidP="008B5112">
            <w:pPr>
              <w:spacing w:after="0" w:line="240" w:lineRule="auto"/>
              <w:jc w:val="center"/>
              <w:rPr>
                <w:rFonts w:eastAsia="Times New Roman" w:cs="Times New Roman"/>
                <w:color w:val="000000"/>
                <w:szCs w:val="24"/>
              </w:rPr>
            </w:pPr>
            <w:r>
              <w:rPr>
                <w:rFonts w:cs="Calibri"/>
                <w:color w:val="000000"/>
              </w:rPr>
              <w:t>0.9815</w:t>
            </w:r>
          </w:p>
        </w:tc>
        <w:tc>
          <w:tcPr>
            <w:tcW w:w="1353" w:type="dxa"/>
            <w:vAlign w:val="center"/>
          </w:tcPr>
          <w:p w14:paraId="316237E3" w14:textId="77777777" w:rsidR="008B5112" w:rsidRPr="00954B78" w:rsidRDefault="000F5B51" w:rsidP="008B5112">
            <w:pPr>
              <w:spacing w:after="0" w:line="240" w:lineRule="auto"/>
              <w:jc w:val="center"/>
              <w:rPr>
                <w:rFonts w:eastAsia="Times New Roman" w:cs="Times New Roman"/>
                <w:color w:val="000000"/>
                <w:szCs w:val="24"/>
              </w:rPr>
            </w:pPr>
            <w:r>
              <w:rPr>
                <w:rFonts w:cs="Calibri"/>
                <w:color w:val="000000"/>
              </w:rPr>
              <w:t>0.9822</w:t>
            </w:r>
          </w:p>
        </w:tc>
        <w:tc>
          <w:tcPr>
            <w:tcW w:w="1610" w:type="dxa"/>
            <w:vAlign w:val="center"/>
          </w:tcPr>
          <w:p w14:paraId="2006D58F" w14:textId="77777777" w:rsidR="008B5112" w:rsidRPr="00954B78" w:rsidRDefault="000F5B51" w:rsidP="008B5112">
            <w:pPr>
              <w:spacing w:after="0" w:line="240" w:lineRule="auto"/>
              <w:jc w:val="center"/>
              <w:rPr>
                <w:rFonts w:eastAsia="Times New Roman" w:cs="Times New Roman"/>
                <w:color w:val="000000"/>
                <w:szCs w:val="24"/>
              </w:rPr>
            </w:pPr>
            <w:r>
              <w:rPr>
                <w:color w:val="000000"/>
              </w:rPr>
              <w:t>171</w:t>
            </w:r>
          </w:p>
        </w:tc>
        <w:tc>
          <w:tcPr>
            <w:tcW w:w="1620" w:type="dxa"/>
            <w:vAlign w:val="center"/>
          </w:tcPr>
          <w:p w14:paraId="413B9D79" w14:textId="77777777" w:rsidR="008B5112" w:rsidRPr="00954B78" w:rsidRDefault="000F5B51" w:rsidP="008B5112">
            <w:pPr>
              <w:spacing w:after="0" w:line="240" w:lineRule="auto"/>
              <w:jc w:val="center"/>
              <w:rPr>
                <w:rFonts w:eastAsia="Times New Roman" w:cs="Times New Roman"/>
                <w:color w:val="000000"/>
                <w:szCs w:val="24"/>
              </w:rPr>
            </w:pPr>
            <w:r>
              <w:rPr>
                <w:rFonts w:eastAsia="Times New Roman" w:cs="Times New Roman"/>
                <w:color w:val="000000"/>
                <w:szCs w:val="24"/>
              </w:rPr>
              <w:t>172</w:t>
            </w:r>
          </w:p>
        </w:tc>
        <w:tc>
          <w:tcPr>
            <w:tcW w:w="1090" w:type="dxa"/>
            <w:vAlign w:val="center"/>
          </w:tcPr>
          <w:p w14:paraId="27151296" w14:textId="77777777" w:rsidR="008B5112" w:rsidRPr="00954B78" w:rsidRDefault="000F5B51" w:rsidP="008B5112">
            <w:pPr>
              <w:spacing w:after="0" w:line="240" w:lineRule="auto"/>
              <w:jc w:val="center"/>
              <w:rPr>
                <w:rFonts w:eastAsia="Times New Roman" w:cs="Times New Roman"/>
                <w:color w:val="000000"/>
                <w:szCs w:val="24"/>
              </w:rPr>
            </w:pPr>
            <w:r>
              <w:rPr>
                <w:rFonts w:eastAsia="Times New Roman" w:cs="Times New Roman"/>
                <w:color w:val="000000"/>
                <w:szCs w:val="24"/>
              </w:rPr>
              <w:t>0</w:t>
            </w:r>
          </w:p>
        </w:tc>
        <w:tc>
          <w:tcPr>
            <w:tcW w:w="1091" w:type="dxa"/>
            <w:vAlign w:val="center"/>
          </w:tcPr>
          <w:p w14:paraId="6E76BFFC" w14:textId="77777777" w:rsidR="008B5112" w:rsidRPr="00954B78" w:rsidRDefault="000F5B51" w:rsidP="008B5112">
            <w:pPr>
              <w:spacing w:after="0" w:line="240" w:lineRule="auto"/>
              <w:jc w:val="center"/>
              <w:rPr>
                <w:rFonts w:eastAsia="Times New Roman" w:cs="Times New Roman"/>
                <w:color w:val="000000"/>
                <w:szCs w:val="24"/>
              </w:rPr>
            </w:pPr>
            <w:r>
              <w:rPr>
                <w:rFonts w:eastAsia="Times New Roman" w:cs="Times New Roman"/>
                <w:color w:val="000000"/>
                <w:szCs w:val="24"/>
              </w:rPr>
              <w:t>1</w:t>
            </w:r>
          </w:p>
        </w:tc>
      </w:tr>
      <w:tr w:rsidR="00A15C2C" w14:paraId="0BEE5D32" w14:textId="77777777" w:rsidTr="0055589E">
        <w:trPr>
          <w:trHeight w:val="310"/>
          <w:jc w:val="center"/>
        </w:trPr>
        <w:tc>
          <w:tcPr>
            <w:tcW w:w="1488" w:type="dxa"/>
            <w:shd w:val="clear" w:color="auto" w:fill="auto"/>
            <w:noWrap/>
          </w:tcPr>
          <w:p w14:paraId="685358F7" w14:textId="77777777" w:rsidR="008B5112" w:rsidRPr="00954B78" w:rsidRDefault="000F5B51" w:rsidP="008B5112">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2</w:t>
            </w:r>
          </w:p>
        </w:tc>
        <w:tc>
          <w:tcPr>
            <w:tcW w:w="1229" w:type="dxa"/>
            <w:vAlign w:val="center"/>
          </w:tcPr>
          <w:p w14:paraId="6088F902" w14:textId="77777777" w:rsidR="008B5112" w:rsidRPr="00954B78" w:rsidRDefault="000F5B51" w:rsidP="008B5112">
            <w:pPr>
              <w:spacing w:after="0" w:line="240" w:lineRule="auto"/>
              <w:jc w:val="center"/>
              <w:rPr>
                <w:rFonts w:cs="Times New Roman"/>
                <w:color w:val="000000"/>
                <w:szCs w:val="24"/>
              </w:rPr>
            </w:pPr>
            <w:r>
              <w:rPr>
                <w:color w:val="000000"/>
              </w:rPr>
              <w:t>357</w:t>
            </w:r>
          </w:p>
        </w:tc>
        <w:tc>
          <w:tcPr>
            <w:tcW w:w="1317" w:type="dxa"/>
            <w:shd w:val="clear" w:color="auto" w:fill="auto"/>
            <w:noWrap/>
            <w:vAlign w:val="center"/>
            <w:hideMark/>
          </w:tcPr>
          <w:p w14:paraId="01C5B68B" w14:textId="77777777" w:rsidR="008B5112" w:rsidRPr="00954B78" w:rsidRDefault="000F5B51" w:rsidP="008B5112">
            <w:pPr>
              <w:spacing w:after="0" w:line="240" w:lineRule="auto"/>
              <w:jc w:val="center"/>
              <w:rPr>
                <w:rFonts w:eastAsia="Times New Roman" w:cs="Times New Roman"/>
                <w:color w:val="000000"/>
                <w:szCs w:val="24"/>
              </w:rPr>
            </w:pPr>
            <w:r w:rsidRPr="00954B78">
              <w:rPr>
                <w:rFonts w:cs="Times New Roman"/>
                <w:color w:val="000000"/>
                <w:szCs w:val="24"/>
              </w:rPr>
              <w:t>0.6250</w:t>
            </w:r>
          </w:p>
        </w:tc>
        <w:tc>
          <w:tcPr>
            <w:tcW w:w="1271" w:type="dxa"/>
            <w:shd w:val="clear" w:color="auto" w:fill="auto"/>
            <w:noWrap/>
            <w:vAlign w:val="center"/>
          </w:tcPr>
          <w:p w14:paraId="18F8ACCB" w14:textId="77777777" w:rsidR="008B5112" w:rsidRPr="00954B78" w:rsidRDefault="000F5B51" w:rsidP="008B5112">
            <w:pPr>
              <w:spacing w:after="0" w:line="240" w:lineRule="auto"/>
              <w:jc w:val="center"/>
              <w:rPr>
                <w:rFonts w:eastAsia="Times New Roman" w:cs="Times New Roman"/>
                <w:color w:val="000000"/>
                <w:szCs w:val="24"/>
              </w:rPr>
            </w:pPr>
            <w:r>
              <w:rPr>
                <w:rFonts w:cs="Calibri"/>
                <w:color w:val="000000"/>
              </w:rPr>
              <w:t>0.98</w:t>
            </w:r>
            <w:r w:rsidR="008B2330">
              <w:rPr>
                <w:rFonts w:cs="Calibri"/>
                <w:color w:val="000000"/>
              </w:rPr>
              <w:t>00</w:t>
            </w:r>
          </w:p>
        </w:tc>
        <w:tc>
          <w:tcPr>
            <w:tcW w:w="1715" w:type="dxa"/>
            <w:shd w:val="clear" w:color="auto" w:fill="auto"/>
            <w:noWrap/>
          </w:tcPr>
          <w:p w14:paraId="1709A75E" w14:textId="77777777" w:rsidR="008B5112" w:rsidRPr="00954B78" w:rsidRDefault="000F5B51" w:rsidP="008B5112">
            <w:pPr>
              <w:spacing w:after="0" w:line="240" w:lineRule="auto"/>
              <w:jc w:val="center"/>
              <w:rPr>
                <w:rFonts w:eastAsia="Times New Roman" w:cs="Times New Roman"/>
                <w:color w:val="000000"/>
                <w:szCs w:val="24"/>
              </w:rPr>
            </w:pPr>
            <w:r w:rsidRPr="003137A6">
              <w:t>2</w:t>
            </w:r>
            <w:r w:rsidR="008A5B9A">
              <w:t>20</w:t>
            </w:r>
          </w:p>
        </w:tc>
        <w:tc>
          <w:tcPr>
            <w:tcW w:w="1352" w:type="dxa"/>
            <w:vAlign w:val="center"/>
          </w:tcPr>
          <w:p w14:paraId="68666D6E" w14:textId="77777777" w:rsidR="008B5112" w:rsidRPr="00954B78" w:rsidRDefault="000F5B51" w:rsidP="008B5112">
            <w:pPr>
              <w:spacing w:after="0" w:line="240" w:lineRule="auto"/>
              <w:jc w:val="center"/>
              <w:rPr>
                <w:rFonts w:eastAsia="Times New Roman" w:cs="Times New Roman"/>
                <w:color w:val="000000"/>
                <w:szCs w:val="24"/>
              </w:rPr>
            </w:pPr>
            <w:r>
              <w:rPr>
                <w:rFonts w:cs="Calibri"/>
                <w:color w:val="000000"/>
              </w:rPr>
              <w:t>0.9815</w:t>
            </w:r>
          </w:p>
        </w:tc>
        <w:tc>
          <w:tcPr>
            <w:tcW w:w="1353" w:type="dxa"/>
            <w:vAlign w:val="center"/>
          </w:tcPr>
          <w:p w14:paraId="3C80FC36" w14:textId="77777777" w:rsidR="008B5112" w:rsidRPr="00954B78" w:rsidRDefault="000F5B51" w:rsidP="008B5112">
            <w:pPr>
              <w:spacing w:after="0" w:line="240" w:lineRule="auto"/>
              <w:jc w:val="center"/>
              <w:rPr>
                <w:rFonts w:eastAsia="Times New Roman" w:cs="Times New Roman"/>
                <w:color w:val="000000"/>
                <w:szCs w:val="24"/>
              </w:rPr>
            </w:pPr>
            <w:r>
              <w:rPr>
                <w:rFonts w:cs="Calibri"/>
                <w:color w:val="000000"/>
              </w:rPr>
              <w:t>0.9822</w:t>
            </w:r>
          </w:p>
        </w:tc>
        <w:tc>
          <w:tcPr>
            <w:tcW w:w="1610" w:type="dxa"/>
            <w:vAlign w:val="center"/>
          </w:tcPr>
          <w:p w14:paraId="3B5888FF" w14:textId="77777777" w:rsidR="008B5112" w:rsidRPr="00954B78" w:rsidRDefault="000F5B51" w:rsidP="008B5112">
            <w:pPr>
              <w:spacing w:after="0" w:line="240" w:lineRule="auto"/>
              <w:jc w:val="center"/>
              <w:rPr>
                <w:rFonts w:eastAsia="Times New Roman" w:cs="Times New Roman"/>
                <w:color w:val="000000"/>
                <w:szCs w:val="24"/>
              </w:rPr>
            </w:pPr>
            <w:r>
              <w:rPr>
                <w:color w:val="000000"/>
              </w:rPr>
              <w:t>2</w:t>
            </w:r>
            <w:r w:rsidR="005A420E">
              <w:rPr>
                <w:color w:val="000000"/>
              </w:rPr>
              <w:t>21</w:t>
            </w:r>
          </w:p>
        </w:tc>
        <w:tc>
          <w:tcPr>
            <w:tcW w:w="1620" w:type="dxa"/>
            <w:vAlign w:val="center"/>
          </w:tcPr>
          <w:p w14:paraId="4E8C6F42" w14:textId="77777777" w:rsidR="008B5112" w:rsidRPr="00954B78" w:rsidRDefault="000F5B51" w:rsidP="008B5112">
            <w:pPr>
              <w:spacing w:after="0" w:line="240" w:lineRule="auto"/>
              <w:jc w:val="center"/>
              <w:rPr>
                <w:rFonts w:eastAsia="Times New Roman" w:cs="Times New Roman"/>
                <w:color w:val="000000"/>
                <w:szCs w:val="24"/>
              </w:rPr>
            </w:pPr>
            <w:r>
              <w:rPr>
                <w:rFonts w:eastAsia="Times New Roman" w:cs="Times New Roman"/>
                <w:color w:val="000000"/>
                <w:szCs w:val="24"/>
              </w:rPr>
              <w:t>2</w:t>
            </w:r>
            <w:r w:rsidR="005A420E">
              <w:rPr>
                <w:rFonts w:eastAsia="Times New Roman" w:cs="Times New Roman"/>
                <w:color w:val="000000"/>
                <w:szCs w:val="24"/>
              </w:rPr>
              <w:t>21</w:t>
            </w:r>
          </w:p>
        </w:tc>
        <w:tc>
          <w:tcPr>
            <w:tcW w:w="1090" w:type="dxa"/>
            <w:vAlign w:val="center"/>
          </w:tcPr>
          <w:p w14:paraId="7C9521E5" w14:textId="77777777" w:rsidR="008B5112" w:rsidRPr="00954B78" w:rsidRDefault="000F5B51" w:rsidP="008B5112">
            <w:pPr>
              <w:spacing w:after="0" w:line="240" w:lineRule="auto"/>
              <w:jc w:val="center"/>
              <w:rPr>
                <w:rFonts w:eastAsia="Times New Roman" w:cs="Times New Roman"/>
                <w:color w:val="000000"/>
                <w:szCs w:val="24"/>
              </w:rPr>
            </w:pPr>
            <w:r>
              <w:rPr>
                <w:rFonts w:eastAsia="Times New Roman" w:cs="Times New Roman"/>
                <w:color w:val="000000"/>
                <w:szCs w:val="24"/>
              </w:rPr>
              <w:t>0</w:t>
            </w:r>
          </w:p>
        </w:tc>
        <w:tc>
          <w:tcPr>
            <w:tcW w:w="1091" w:type="dxa"/>
            <w:vAlign w:val="center"/>
          </w:tcPr>
          <w:p w14:paraId="0042561E" w14:textId="77777777" w:rsidR="008B5112" w:rsidRPr="00954B78" w:rsidRDefault="000F5B51" w:rsidP="008B5112">
            <w:pPr>
              <w:spacing w:after="0" w:line="240" w:lineRule="auto"/>
              <w:jc w:val="center"/>
              <w:rPr>
                <w:rFonts w:eastAsia="Times New Roman" w:cs="Times New Roman"/>
                <w:color w:val="000000"/>
                <w:szCs w:val="24"/>
              </w:rPr>
            </w:pPr>
            <w:r>
              <w:rPr>
                <w:rFonts w:eastAsia="Times New Roman" w:cs="Times New Roman"/>
                <w:color w:val="000000"/>
                <w:szCs w:val="24"/>
              </w:rPr>
              <w:t>0</w:t>
            </w:r>
          </w:p>
        </w:tc>
      </w:tr>
      <w:tr w:rsidR="00A15C2C" w14:paraId="0B052801" w14:textId="77777777" w:rsidTr="0055589E">
        <w:trPr>
          <w:trHeight w:val="310"/>
          <w:jc w:val="center"/>
        </w:trPr>
        <w:tc>
          <w:tcPr>
            <w:tcW w:w="1488" w:type="dxa"/>
            <w:shd w:val="clear" w:color="auto" w:fill="auto"/>
            <w:noWrap/>
          </w:tcPr>
          <w:p w14:paraId="527A05A8" w14:textId="77777777" w:rsidR="008B5112" w:rsidRPr="00954B78" w:rsidRDefault="000F5B51" w:rsidP="008B5112">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3</w:t>
            </w:r>
          </w:p>
        </w:tc>
        <w:tc>
          <w:tcPr>
            <w:tcW w:w="1229" w:type="dxa"/>
            <w:vAlign w:val="center"/>
          </w:tcPr>
          <w:p w14:paraId="2E37D29E" w14:textId="77777777" w:rsidR="008B5112" w:rsidRPr="00954B78" w:rsidRDefault="000F5B51" w:rsidP="008B5112">
            <w:pPr>
              <w:spacing w:after="0" w:line="240" w:lineRule="auto"/>
              <w:jc w:val="center"/>
              <w:rPr>
                <w:rFonts w:cs="Times New Roman"/>
                <w:color w:val="000000"/>
                <w:szCs w:val="24"/>
              </w:rPr>
            </w:pPr>
            <w:r>
              <w:rPr>
                <w:color w:val="000000"/>
              </w:rPr>
              <w:t>138</w:t>
            </w:r>
          </w:p>
        </w:tc>
        <w:tc>
          <w:tcPr>
            <w:tcW w:w="1317" w:type="dxa"/>
            <w:shd w:val="clear" w:color="auto" w:fill="auto"/>
            <w:noWrap/>
            <w:vAlign w:val="center"/>
            <w:hideMark/>
          </w:tcPr>
          <w:p w14:paraId="2E97C4BA" w14:textId="77777777" w:rsidR="008B5112" w:rsidRPr="00954B78" w:rsidRDefault="000F5B51" w:rsidP="008B5112">
            <w:pPr>
              <w:spacing w:after="0" w:line="240" w:lineRule="auto"/>
              <w:jc w:val="center"/>
              <w:rPr>
                <w:rFonts w:eastAsia="Times New Roman" w:cs="Times New Roman"/>
                <w:color w:val="000000"/>
                <w:szCs w:val="24"/>
              </w:rPr>
            </w:pPr>
            <w:r w:rsidRPr="00954B78">
              <w:rPr>
                <w:rFonts w:cs="Times New Roman"/>
                <w:color w:val="000000"/>
                <w:szCs w:val="24"/>
              </w:rPr>
              <w:t>0.6250</w:t>
            </w:r>
          </w:p>
        </w:tc>
        <w:tc>
          <w:tcPr>
            <w:tcW w:w="1271" w:type="dxa"/>
            <w:shd w:val="clear" w:color="auto" w:fill="auto"/>
            <w:noWrap/>
            <w:vAlign w:val="center"/>
          </w:tcPr>
          <w:p w14:paraId="0F62D86F" w14:textId="77777777" w:rsidR="008B5112" w:rsidRPr="00954B78" w:rsidRDefault="000F5B51" w:rsidP="008B5112">
            <w:pPr>
              <w:spacing w:after="0" w:line="240" w:lineRule="auto"/>
              <w:jc w:val="center"/>
              <w:rPr>
                <w:rFonts w:eastAsia="Times New Roman" w:cs="Times New Roman"/>
                <w:color w:val="000000"/>
                <w:szCs w:val="24"/>
              </w:rPr>
            </w:pPr>
            <w:r>
              <w:rPr>
                <w:rFonts w:cs="Calibri"/>
                <w:color w:val="000000"/>
              </w:rPr>
              <w:t>0.98</w:t>
            </w:r>
            <w:r w:rsidR="008B2330">
              <w:rPr>
                <w:rFonts w:cs="Calibri"/>
                <w:color w:val="000000"/>
              </w:rPr>
              <w:t>00</w:t>
            </w:r>
          </w:p>
        </w:tc>
        <w:tc>
          <w:tcPr>
            <w:tcW w:w="1715" w:type="dxa"/>
            <w:shd w:val="clear" w:color="auto" w:fill="auto"/>
            <w:noWrap/>
          </w:tcPr>
          <w:p w14:paraId="5E15CB07" w14:textId="77777777" w:rsidR="008B5112" w:rsidRPr="00954B78" w:rsidRDefault="000F5B51" w:rsidP="008B5112">
            <w:pPr>
              <w:spacing w:after="0" w:line="240" w:lineRule="auto"/>
              <w:jc w:val="center"/>
              <w:rPr>
                <w:rFonts w:eastAsia="Times New Roman" w:cs="Times New Roman"/>
                <w:color w:val="000000"/>
                <w:szCs w:val="24"/>
              </w:rPr>
            </w:pPr>
            <w:r w:rsidRPr="003137A6">
              <w:t>8</w:t>
            </w:r>
            <w:r w:rsidR="008A5B9A">
              <w:t>6</w:t>
            </w:r>
          </w:p>
        </w:tc>
        <w:tc>
          <w:tcPr>
            <w:tcW w:w="1352" w:type="dxa"/>
            <w:vAlign w:val="center"/>
          </w:tcPr>
          <w:p w14:paraId="051AA7EF" w14:textId="77777777" w:rsidR="008B5112" w:rsidRPr="00954B78" w:rsidRDefault="000F5B51" w:rsidP="008B5112">
            <w:pPr>
              <w:spacing w:after="0" w:line="240" w:lineRule="auto"/>
              <w:jc w:val="center"/>
              <w:rPr>
                <w:rFonts w:eastAsia="Times New Roman" w:cs="Times New Roman"/>
                <w:color w:val="000000"/>
                <w:szCs w:val="24"/>
              </w:rPr>
            </w:pPr>
            <w:r>
              <w:rPr>
                <w:rFonts w:cs="Calibri"/>
                <w:color w:val="000000"/>
              </w:rPr>
              <w:t>0.9815</w:t>
            </w:r>
          </w:p>
        </w:tc>
        <w:tc>
          <w:tcPr>
            <w:tcW w:w="1353" w:type="dxa"/>
            <w:vAlign w:val="center"/>
          </w:tcPr>
          <w:p w14:paraId="6AA92DE0" w14:textId="77777777" w:rsidR="008B5112" w:rsidRPr="00954B78" w:rsidRDefault="000F5B51" w:rsidP="008B5112">
            <w:pPr>
              <w:spacing w:after="0" w:line="240" w:lineRule="auto"/>
              <w:jc w:val="center"/>
              <w:rPr>
                <w:rFonts w:eastAsia="Times New Roman" w:cs="Times New Roman"/>
                <w:color w:val="000000"/>
                <w:szCs w:val="24"/>
              </w:rPr>
            </w:pPr>
            <w:r>
              <w:rPr>
                <w:rFonts w:cs="Calibri"/>
                <w:color w:val="000000"/>
              </w:rPr>
              <w:t>0.9822</w:t>
            </w:r>
          </w:p>
        </w:tc>
        <w:tc>
          <w:tcPr>
            <w:tcW w:w="1610" w:type="dxa"/>
            <w:vAlign w:val="center"/>
          </w:tcPr>
          <w:p w14:paraId="7751D119" w14:textId="77777777" w:rsidR="008B5112" w:rsidRPr="00954B78" w:rsidRDefault="000F5B51" w:rsidP="008B5112">
            <w:pPr>
              <w:spacing w:after="0" w:line="240" w:lineRule="auto"/>
              <w:jc w:val="center"/>
              <w:rPr>
                <w:rFonts w:eastAsia="Times New Roman" w:cs="Times New Roman"/>
                <w:color w:val="000000"/>
                <w:szCs w:val="24"/>
              </w:rPr>
            </w:pPr>
            <w:r>
              <w:rPr>
                <w:color w:val="000000"/>
              </w:rPr>
              <w:t>8</w:t>
            </w:r>
            <w:r w:rsidR="00355F80">
              <w:rPr>
                <w:color w:val="000000"/>
              </w:rPr>
              <w:t>6</w:t>
            </w:r>
          </w:p>
        </w:tc>
        <w:tc>
          <w:tcPr>
            <w:tcW w:w="1620" w:type="dxa"/>
            <w:vAlign w:val="center"/>
          </w:tcPr>
          <w:p w14:paraId="18CFAD69" w14:textId="77777777" w:rsidR="008B5112" w:rsidRPr="00954B78" w:rsidRDefault="000F5B51" w:rsidP="008B5112">
            <w:pPr>
              <w:spacing w:after="0" w:line="240" w:lineRule="auto"/>
              <w:jc w:val="center"/>
              <w:rPr>
                <w:rFonts w:eastAsia="Times New Roman" w:cs="Times New Roman"/>
                <w:color w:val="000000"/>
                <w:szCs w:val="24"/>
              </w:rPr>
            </w:pPr>
            <w:r>
              <w:rPr>
                <w:rFonts w:eastAsia="Times New Roman" w:cs="Times New Roman"/>
                <w:color w:val="000000"/>
                <w:szCs w:val="24"/>
              </w:rPr>
              <w:t>8</w:t>
            </w:r>
            <w:r w:rsidR="00355F80">
              <w:rPr>
                <w:rFonts w:eastAsia="Times New Roman" w:cs="Times New Roman"/>
                <w:color w:val="000000"/>
                <w:szCs w:val="24"/>
              </w:rPr>
              <w:t>6</w:t>
            </w:r>
          </w:p>
        </w:tc>
        <w:tc>
          <w:tcPr>
            <w:tcW w:w="1090" w:type="dxa"/>
            <w:vAlign w:val="center"/>
          </w:tcPr>
          <w:p w14:paraId="723C5C66" w14:textId="77777777" w:rsidR="008B5112" w:rsidRPr="00954B78" w:rsidRDefault="000F5B51" w:rsidP="008B5112">
            <w:pPr>
              <w:spacing w:after="0" w:line="240" w:lineRule="auto"/>
              <w:jc w:val="center"/>
              <w:rPr>
                <w:rFonts w:eastAsia="Times New Roman" w:cs="Times New Roman"/>
                <w:color w:val="000000"/>
                <w:szCs w:val="24"/>
              </w:rPr>
            </w:pPr>
            <w:r>
              <w:rPr>
                <w:rFonts w:eastAsia="Times New Roman" w:cs="Times New Roman"/>
                <w:color w:val="000000"/>
                <w:szCs w:val="24"/>
              </w:rPr>
              <w:t>0</w:t>
            </w:r>
          </w:p>
        </w:tc>
        <w:tc>
          <w:tcPr>
            <w:tcW w:w="1091" w:type="dxa"/>
            <w:vAlign w:val="center"/>
          </w:tcPr>
          <w:p w14:paraId="10B1AB4B" w14:textId="77777777" w:rsidR="008B5112" w:rsidRPr="00954B78" w:rsidRDefault="000F5B51" w:rsidP="008B5112">
            <w:pPr>
              <w:spacing w:after="0" w:line="240" w:lineRule="auto"/>
              <w:jc w:val="center"/>
              <w:rPr>
                <w:rFonts w:eastAsia="Times New Roman" w:cs="Times New Roman"/>
                <w:color w:val="000000"/>
                <w:szCs w:val="24"/>
              </w:rPr>
            </w:pPr>
            <w:r>
              <w:rPr>
                <w:rFonts w:eastAsia="Times New Roman" w:cs="Times New Roman"/>
                <w:color w:val="000000"/>
                <w:szCs w:val="24"/>
              </w:rPr>
              <w:t>0</w:t>
            </w:r>
          </w:p>
        </w:tc>
      </w:tr>
      <w:tr w:rsidR="00A15C2C" w14:paraId="04DA78BC" w14:textId="77777777" w:rsidTr="0055589E">
        <w:trPr>
          <w:trHeight w:val="310"/>
          <w:jc w:val="center"/>
        </w:trPr>
        <w:tc>
          <w:tcPr>
            <w:tcW w:w="1488" w:type="dxa"/>
            <w:shd w:val="clear" w:color="auto" w:fill="auto"/>
            <w:noWrap/>
          </w:tcPr>
          <w:p w14:paraId="5FDC53FA" w14:textId="77777777" w:rsidR="008B5112" w:rsidRPr="00954B78" w:rsidRDefault="000F5B51" w:rsidP="008B5112">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4</w:t>
            </w:r>
          </w:p>
        </w:tc>
        <w:tc>
          <w:tcPr>
            <w:tcW w:w="1229" w:type="dxa"/>
            <w:vAlign w:val="center"/>
          </w:tcPr>
          <w:p w14:paraId="228E7EB4" w14:textId="77777777" w:rsidR="008B5112" w:rsidRPr="00954B78" w:rsidRDefault="000F5B51" w:rsidP="008B5112">
            <w:pPr>
              <w:spacing w:after="0" w:line="240" w:lineRule="auto"/>
              <w:jc w:val="center"/>
              <w:rPr>
                <w:rFonts w:cs="Times New Roman"/>
                <w:color w:val="000000"/>
                <w:szCs w:val="24"/>
              </w:rPr>
            </w:pPr>
            <w:r>
              <w:rPr>
                <w:color w:val="000000"/>
              </w:rPr>
              <w:t>39</w:t>
            </w:r>
          </w:p>
        </w:tc>
        <w:tc>
          <w:tcPr>
            <w:tcW w:w="1317" w:type="dxa"/>
            <w:shd w:val="clear" w:color="auto" w:fill="auto"/>
            <w:noWrap/>
            <w:vAlign w:val="center"/>
            <w:hideMark/>
          </w:tcPr>
          <w:p w14:paraId="4F9F93E9" w14:textId="77777777" w:rsidR="008B5112" w:rsidRPr="00954B78" w:rsidRDefault="000F5B51" w:rsidP="008B5112">
            <w:pPr>
              <w:spacing w:after="0" w:line="240" w:lineRule="auto"/>
              <w:jc w:val="center"/>
              <w:rPr>
                <w:rFonts w:eastAsia="Times New Roman" w:cs="Times New Roman"/>
                <w:color w:val="000000"/>
                <w:szCs w:val="24"/>
              </w:rPr>
            </w:pPr>
            <w:r w:rsidRPr="00954B78">
              <w:rPr>
                <w:rFonts w:cs="Times New Roman"/>
                <w:color w:val="000000"/>
                <w:szCs w:val="24"/>
              </w:rPr>
              <w:t>0.6250</w:t>
            </w:r>
          </w:p>
        </w:tc>
        <w:tc>
          <w:tcPr>
            <w:tcW w:w="1271" w:type="dxa"/>
            <w:shd w:val="clear" w:color="auto" w:fill="auto"/>
            <w:noWrap/>
            <w:vAlign w:val="center"/>
          </w:tcPr>
          <w:p w14:paraId="37FA274A" w14:textId="77777777" w:rsidR="008B5112" w:rsidRPr="00954B78" w:rsidRDefault="000F5B51" w:rsidP="008B5112">
            <w:pPr>
              <w:spacing w:after="0" w:line="240" w:lineRule="auto"/>
              <w:jc w:val="center"/>
              <w:rPr>
                <w:rFonts w:eastAsia="Times New Roman" w:cs="Times New Roman"/>
                <w:color w:val="000000"/>
                <w:szCs w:val="24"/>
              </w:rPr>
            </w:pPr>
            <w:r>
              <w:rPr>
                <w:rFonts w:cs="Calibri"/>
                <w:color w:val="000000"/>
              </w:rPr>
              <w:t>0.98</w:t>
            </w:r>
            <w:r w:rsidR="008B2330">
              <w:rPr>
                <w:rFonts w:cs="Calibri"/>
                <w:color w:val="000000"/>
              </w:rPr>
              <w:t>00</w:t>
            </w:r>
          </w:p>
        </w:tc>
        <w:tc>
          <w:tcPr>
            <w:tcW w:w="1715" w:type="dxa"/>
            <w:shd w:val="clear" w:color="auto" w:fill="auto"/>
            <w:noWrap/>
          </w:tcPr>
          <w:p w14:paraId="12C20CF7" w14:textId="77777777" w:rsidR="008B5112" w:rsidRPr="00954B78" w:rsidRDefault="000F5B51" w:rsidP="008B5112">
            <w:pPr>
              <w:spacing w:after="0" w:line="240" w:lineRule="auto"/>
              <w:jc w:val="center"/>
              <w:rPr>
                <w:rFonts w:eastAsia="Times New Roman" w:cs="Times New Roman"/>
                <w:color w:val="000000"/>
                <w:szCs w:val="24"/>
              </w:rPr>
            </w:pPr>
            <w:r w:rsidRPr="003137A6">
              <w:t>24</w:t>
            </w:r>
          </w:p>
        </w:tc>
        <w:tc>
          <w:tcPr>
            <w:tcW w:w="1352" w:type="dxa"/>
            <w:vAlign w:val="center"/>
          </w:tcPr>
          <w:p w14:paraId="3978135B" w14:textId="77777777" w:rsidR="008B5112" w:rsidRPr="00954B78" w:rsidRDefault="000F5B51" w:rsidP="008B5112">
            <w:pPr>
              <w:spacing w:after="0" w:line="240" w:lineRule="auto"/>
              <w:jc w:val="center"/>
              <w:rPr>
                <w:rFonts w:eastAsia="Times New Roman" w:cs="Times New Roman"/>
                <w:color w:val="000000"/>
                <w:szCs w:val="24"/>
              </w:rPr>
            </w:pPr>
            <w:r>
              <w:rPr>
                <w:rFonts w:cs="Calibri"/>
                <w:color w:val="000000"/>
              </w:rPr>
              <w:t>0.9815</w:t>
            </w:r>
          </w:p>
        </w:tc>
        <w:tc>
          <w:tcPr>
            <w:tcW w:w="1353" w:type="dxa"/>
            <w:vAlign w:val="center"/>
          </w:tcPr>
          <w:p w14:paraId="4E8B69AB" w14:textId="77777777" w:rsidR="008B5112" w:rsidRPr="00954B78" w:rsidRDefault="000F5B51" w:rsidP="008B5112">
            <w:pPr>
              <w:spacing w:after="0" w:line="240" w:lineRule="auto"/>
              <w:jc w:val="center"/>
              <w:rPr>
                <w:rFonts w:eastAsia="Times New Roman" w:cs="Times New Roman"/>
                <w:color w:val="000000"/>
                <w:szCs w:val="24"/>
              </w:rPr>
            </w:pPr>
            <w:r>
              <w:rPr>
                <w:rFonts w:cs="Calibri"/>
                <w:color w:val="000000"/>
              </w:rPr>
              <w:t>0.9822</w:t>
            </w:r>
          </w:p>
        </w:tc>
        <w:tc>
          <w:tcPr>
            <w:tcW w:w="1610" w:type="dxa"/>
            <w:vAlign w:val="center"/>
          </w:tcPr>
          <w:p w14:paraId="55619644" w14:textId="77777777" w:rsidR="008B5112" w:rsidRPr="00954B78" w:rsidRDefault="000F5B51" w:rsidP="008B5112">
            <w:pPr>
              <w:spacing w:after="0" w:line="240" w:lineRule="auto"/>
              <w:jc w:val="center"/>
              <w:rPr>
                <w:rFonts w:eastAsia="Times New Roman" w:cs="Times New Roman"/>
                <w:color w:val="000000"/>
                <w:szCs w:val="24"/>
              </w:rPr>
            </w:pPr>
            <w:r>
              <w:rPr>
                <w:color w:val="000000"/>
              </w:rPr>
              <w:t>24</w:t>
            </w:r>
          </w:p>
        </w:tc>
        <w:tc>
          <w:tcPr>
            <w:tcW w:w="1620" w:type="dxa"/>
            <w:vAlign w:val="center"/>
          </w:tcPr>
          <w:p w14:paraId="1BCEA40B" w14:textId="77777777" w:rsidR="008B5112" w:rsidRPr="00954B78" w:rsidRDefault="000F5B51" w:rsidP="008B5112">
            <w:pPr>
              <w:spacing w:after="0" w:line="240" w:lineRule="auto"/>
              <w:jc w:val="center"/>
              <w:rPr>
                <w:rFonts w:eastAsia="Times New Roman" w:cs="Times New Roman"/>
                <w:color w:val="000000"/>
                <w:szCs w:val="24"/>
              </w:rPr>
            </w:pPr>
            <w:r>
              <w:rPr>
                <w:rFonts w:eastAsia="Times New Roman" w:cs="Times New Roman"/>
                <w:color w:val="000000"/>
                <w:szCs w:val="24"/>
              </w:rPr>
              <w:t>24</w:t>
            </w:r>
          </w:p>
        </w:tc>
        <w:tc>
          <w:tcPr>
            <w:tcW w:w="1090" w:type="dxa"/>
            <w:vAlign w:val="center"/>
          </w:tcPr>
          <w:p w14:paraId="6177FEB4" w14:textId="77777777" w:rsidR="008B5112" w:rsidRPr="00954B78" w:rsidRDefault="000F5B51" w:rsidP="008B5112">
            <w:pPr>
              <w:spacing w:after="0" w:line="240" w:lineRule="auto"/>
              <w:jc w:val="center"/>
              <w:rPr>
                <w:rFonts w:eastAsia="Times New Roman" w:cs="Times New Roman"/>
                <w:color w:val="000000"/>
                <w:szCs w:val="24"/>
              </w:rPr>
            </w:pPr>
            <w:r>
              <w:rPr>
                <w:rFonts w:eastAsia="Times New Roman" w:cs="Times New Roman"/>
                <w:color w:val="000000"/>
                <w:szCs w:val="24"/>
              </w:rPr>
              <w:t>0</w:t>
            </w:r>
          </w:p>
        </w:tc>
        <w:tc>
          <w:tcPr>
            <w:tcW w:w="1091" w:type="dxa"/>
            <w:vAlign w:val="center"/>
          </w:tcPr>
          <w:p w14:paraId="53732EE2" w14:textId="77777777" w:rsidR="008B5112" w:rsidRPr="00954B78" w:rsidRDefault="000F5B51" w:rsidP="008B5112">
            <w:pPr>
              <w:spacing w:after="0" w:line="240" w:lineRule="auto"/>
              <w:jc w:val="center"/>
              <w:rPr>
                <w:rFonts w:eastAsia="Times New Roman" w:cs="Times New Roman"/>
                <w:color w:val="000000"/>
                <w:szCs w:val="24"/>
              </w:rPr>
            </w:pPr>
            <w:r>
              <w:rPr>
                <w:rFonts w:eastAsia="Times New Roman" w:cs="Times New Roman"/>
                <w:color w:val="000000"/>
                <w:szCs w:val="24"/>
              </w:rPr>
              <w:t>0</w:t>
            </w:r>
          </w:p>
        </w:tc>
      </w:tr>
      <w:tr w:rsidR="00A15C2C" w14:paraId="7C327F4A" w14:textId="77777777" w:rsidTr="00276870">
        <w:trPr>
          <w:trHeight w:val="310"/>
          <w:jc w:val="center"/>
        </w:trPr>
        <w:tc>
          <w:tcPr>
            <w:tcW w:w="1488" w:type="dxa"/>
            <w:shd w:val="clear" w:color="auto" w:fill="auto"/>
            <w:noWrap/>
            <w:vAlign w:val="bottom"/>
          </w:tcPr>
          <w:p w14:paraId="4C567599" w14:textId="77777777" w:rsidR="002D27D6" w:rsidRPr="00012598" w:rsidRDefault="000F5B51" w:rsidP="002D27D6">
            <w:pPr>
              <w:spacing w:after="0" w:line="240" w:lineRule="auto"/>
              <w:rPr>
                <w:rFonts w:eastAsia="Times New Roman" w:cs="Times New Roman"/>
                <w:b/>
                <w:bCs/>
                <w:color w:val="000000"/>
                <w:sz w:val="23"/>
                <w:szCs w:val="23"/>
              </w:rPr>
            </w:pPr>
            <w:r w:rsidRPr="00012598">
              <w:rPr>
                <w:rFonts w:eastAsia="Times New Roman" w:cs="Times New Roman"/>
                <w:b/>
                <w:bCs/>
                <w:color w:val="000000"/>
                <w:sz w:val="23"/>
                <w:szCs w:val="23"/>
              </w:rPr>
              <w:t>Non-Fatal Injuries</w:t>
            </w:r>
          </w:p>
          <w:p w14:paraId="2BEA5C5B" w14:textId="77777777" w:rsidR="002D27D6" w:rsidRPr="00012598" w:rsidRDefault="000F5B51" w:rsidP="002D27D6">
            <w:pPr>
              <w:spacing w:after="0" w:line="240" w:lineRule="auto"/>
              <w:rPr>
                <w:rFonts w:eastAsia="Times New Roman" w:cs="Times New Roman"/>
                <w:b/>
                <w:bCs/>
                <w:color w:val="000000"/>
                <w:szCs w:val="24"/>
              </w:rPr>
            </w:pPr>
            <w:r w:rsidRPr="00012598">
              <w:rPr>
                <w:rFonts w:eastAsia="Times New Roman" w:cs="Times New Roman"/>
                <w:b/>
                <w:bCs/>
                <w:color w:val="000000"/>
                <w:sz w:val="23"/>
                <w:szCs w:val="23"/>
              </w:rPr>
              <w:t>(MAIS 1-5)</w:t>
            </w:r>
          </w:p>
        </w:tc>
        <w:tc>
          <w:tcPr>
            <w:tcW w:w="1229" w:type="dxa"/>
            <w:vAlign w:val="center"/>
          </w:tcPr>
          <w:p w14:paraId="58E5C681" w14:textId="77777777" w:rsidR="002D27D6" w:rsidRPr="00954B78" w:rsidRDefault="000F5B51" w:rsidP="002D27D6">
            <w:pPr>
              <w:spacing w:after="0" w:line="240" w:lineRule="auto"/>
              <w:jc w:val="center"/>
              <w:rPr>
                <w:rFonts w:cs="Times New Roman"/>
                <w:b/>
                <w:bCs/>
                <w:color w:val="000000"/>
                <w:szCs w:val="24"/>
              </w:rPr>
            </w:pPr>
            <w:r>
              <w:rPr>
                <w:b/>
                <w:bCs/>
                <w:color w:val="000000"/>
              </w:rPr>
              <w:t>3,710</w:t>
            </w:r>
          </w:p>
        </w:tc>
        <w:tc>
          <w:tcPr>
            <w:tcW w:w="1317" w:type="dxa"/>
            <w:shd w:val="clear" w:color="auto" w:fill="auto"/>
            <w:noWrap/>
            <w:vAlign w:val="center"/>
          </w:tcPr>
          <w:p w14:paraId="01FD2C97" w14:textId="77777777" w:rsidR="002D27D6" w:rsidRPr="0055589E" w:rsidRDefault="000F5B51" w:rsidP="002D27D6">
            <w:pPr>
              <w:spacing w:after="0" w:line="240" w:lineRule="auto"/>
              <w:jc w:val="center"/>
              <w:rPr>
                <w:rFonts w:cs="Times New Roman"/>
                <w:b/>
                <w:bCs/>
                <w:color w:val="000000"/>
                <w:szCs w:val="24"/>
              </w:rPr>
            </w:pPr>
            <w:r w:rsidRPr="0055589E">
              <w:rPr>
                <w:rFonts w:cs="Times New Roman"/>
                <w:b/>
                <w:bCs/>
                <w:color w:val="000000"/>
                <w:szCs w:val="24"/>
              </w:rPr>
              <w:t>-</w:t>
            </w:r>
          </w:p>
        </w:tc>
        <w:tc>
          <w:tcPr>
            <w:tcW w:w="1271" w:type="dxa"/>
            <w:shd w:val="clear" w:color="auto" w:fill="auto"/>
            <w:noWrap/>
            <w:vAlign w:val="center"/>
          </w:tcPr>
          <w:p w14:paraId="68A45BA5" w14:textId="77777777" w:rsidR="002D27D6" w:rsidRPr="0055589E" w:rsidRDefault="000F5B51" w:rsidP="002D27D6">
            <w:pPr>
              <w:spacing w:after="0" w:line="240" w:lineRule="auto"/>
              <w:jc w:val="center"/>
              <w:rPr>
                <w:rFonts w:cs="Times New Roman"/>
                <w:b/>
                <w:bCs/>
                <w:color w:val="000000"/>
                <w:szCs w:val="24"/>
              </w:rPr>
            </w:pPr>
            <w:r w:rsidRPr="0055589E">
              <w:rPr>
                <w:rFonts w:cs="Times New Roman"/>
                <w:b/>
                <w:bCs/>
                <w:color w:val="000000"/>
                <w:szCs w:val="24"/>
              </w:rPr>
              <w:t>-</w:t>
            </w:r>
          </w:p>
        </w:tc>
        <w:tc>
          <w:tcPr>
            <w:tcW w:w="1715" w:type="dxa"/>
            <w:shd w:val="clear" w:color="auto" w:fill="auto"/>
            <w:noWrap/>
            <w:vAlign w:val="center"/>
          </w:tcPr>
          <w:p w14:paraId="045CAB07" w14:textId="77777777" w:rsidR="002D27D6" w:rsidRPr="0055589E" w:rsidRDefault="000F5B51" w:rsidP="002D27D6">
            <w:pPr>
              <w:spacing w:after="0" w:line="240" w:lineRule="auto"/>
              <w:jc w:val="center"/>
              <w:rPr>
                <w:rFonts w:cs="Times New Roman"/>
                <w:b/>
                <w:bCs/>
                <w:color w:val="000000"/>
                <w:szCs w:val="24"/>
              </w:rPr>
            </w:pPr>
            <w:r w:rsidRPr="0055589E">
              <w:rPr>
                <w:rFonts w:cs="Times New Roman"/>
                <w:b/>
                <w:bCs/>
                <w:color w:val="000000"/>
                <w:szCs w:val="24"/>
              </w:rPr>
              <w:t>501</w:t>
            </w:r>
          </w:p>
        </w:tc>
        <w:tc>
          <w:tcPr>
            <w:tcW w:w="1352" w:type="dxa"/>
            <w:vAlign w:val="center"/>
          </w:tcPr>
          <w:p w14:paraId="7219ED1A" w14:textId="77777777" w:rsidR="002D27D6" w:rsidRPr="0055589E" w:rsidRDefault="000F5B51" w:rsidP="002D27D6">
            <w:pPr>
              <w:spacing w:after="0" w:line="240" w:lineRule="auto"/>
              <w:jc w:val="center"/>
              <w:rPr>
                <w:rFonts w:cs="Times New Roman"/>
                <w:b/>
                <w:bCs/>
                <w:color w:val="000000"/>
                <w:szCs w:val="24"/>
              </w:rPr>
            </w:pPr>
            <w:r w:rsidRPr="0055589E">
              <w:rPr>
                <w:b/>
                <w:bCs/>
                <w:color w:val="000000"/>
              </w:rPr>
              <w:t>-</w:t>
            </w:r>
          </w:p>
        </w:tc>
        <w:tc>
          <w:tcPr>
            <w:tcW w:w="1353" w:type="dxa"/>
            <w:vAlign w:val="center"/>
          </w:tcPr>
          <w:p w14:paraId="67A9FC2C" w14:textId="77777777" w:rsidR="002D27D6" w:rsidRPr="0055589E" w:rsidRDefault="000F5B51" w:rsidP="002D27D6">
            <w:pPr>
              <w:spacing w:after="0" w:line="240" w:lineRule="auto"/>
              <w:jc w:val="center"/>
              <w:rPr>
                <w:rFonts w:cs="Times New Roman"/>
                <w:b/>
                <w:bCs/>
                <w:color w:val="000000"/>
                <w:szCs w:val="24"/>
              </w:rPr>
            </w:pPr>
            <w:r w:rsidRPr="0055589E">
              <w:rPr>
                <w:b/>
                <w:bCs/>
                <w:color w:val="000000"/>
              </w:rPr>
              <w:t>-</w:t>
            </w:r>
          </w:p>
        </w:tc>
        <w:tc>
          <w:tcPr>
            <w:tcW w:w="1610" w:type="dxa"/>
            <w:vAlign w:val="center"/>
          </w:tcPr>
          <w:p w14:paraId="7F3C1C64" w14:textId="77777777" w:rsidR="002D27D6" w:rsidRPr="0055589E" w:rsidRDefault="000F5B51" w:rsidP="002D27D6">
            <w:pPr>
              <w:spacing w:after="0" w:line="240" w:lineRule="auto"/>
              <w:jc w:val="center"/>
              <w:rPr>
                <w:rFonts w:cs="Times New Roman"/>
                <w:b/>
                <w:bCs/>
                <w:color w:val="000000"/>
                <w:szCs w:val="24"/>
              </w:rPr>
            </w:pPr>
            <w:r w:rsidRPr="0055589E">
              <w:rPr>
                <w:rFonts w:cs="Times New Roman"/>
                <w:b/>
                <w:bCs/>
                <w:color w:val="000000"/>
                <w:szCs w:val="24"/>
              </w:rPr>
              <w:t>502</w:t>
            </w:r>
          </w:p>
        </w:tc>
        <w:tc>
          <w:tcPr>
            <w:tcW w:w="1620" w:type="dxa"/>
            <w:vAlign w:val="center"/>
          </w:tcPr>
          <w:p w14:paraId="401A248F" w14:textId="77777777" w:rsidR="002D27D6" w:rsidRPr="0055589E" w:rsidRDefault="000F5B51" w:rsidP="002D27D6">
            <w:pPr>
              <w:spacing w:after="0" w:line="240" w:lineRule="auto"/>
              <w:jc w:val="center"/>
              <w:rPr>
                <w:rFonts w:cs="Times New Roman"/>
                <w:b/>
                <w:bCs/>
                <w:color w:val="000000"/>
                <w:szCs w:val="24"/>
              </w:rPr>
            </w:pPr>
            <w:r w:rsidRPr="0055589E">
              <w:rPr>
                <w:rFonts w:cs="Times New Roman"/>
                <w:b/>
                <w:bCs/>
                <w:color w:val="000000"/>
                <w:szCs w:val="24"/>
              </w:rPr>
              <w:t>50</w:t>
            </w:r>
            <w:r w:rsidR="00355F80" w:rsidRPr="0055589E">
              <w:rPr>
                <w:rFonts w:cs="Times New Roman"/>
                <w:b/>
                <w:bCs/>
                <w:color w:val="000000"/>
                <w:szCs w:val="24"/>
              </w:rPr>
              <w:t>2</w:t>
            </w:r>
          </w:p>
        </w:tc>
        <w:tc>
          <w:tcPr>
            <w:tcW w:w="1090" w:type="dxa"/>
            <w:vAlign w:val="center"/>
          </w:tcPr>
          <w:p w14:paraId="45F96215" w14:textId="77777777" w:rsidR="002D27D6" w:rsidRPr="0055589E" w:rsidRDefault="000F5B51" w:rsidP="002D27D6">
            <w:pPr>
              <w:spacing w:after="0" w:line="240" w:lineRule="auto"/>
              <w:jc w:val="center"/>
              <w:rPr>
                <w:rFonts w:cs="Times New Roman"/>
                <w:b/>
                <w:bCs/>
                <w:color w:val="000000"/>
                <w:szCs w:val="24"/>
              </w:rPr>
            </w:pPr>
            <w:r w:rsidRPr="0055589E">
              <w:rPr>
                <w:rFonts w:cs="Times New Roman"/>
                <w:b/>
                <w:bCs/>
                <w:color w:val="000000"/>
                <w:szCs w:val="24"/>
              </w:rPr>
              <w:t>1</w:t>
            </w:r>
          </w:p>
        </w:tc>
        <w:tc>
          <w:tcPr>
            <w:tcW w:w="1091" w:type="dxa"/>
            <w:vAlign w:val="center"/>
          </w:tcPr>
          <w:p w14:paraId="0B349B32" w14:textId="77777777" w:rsidR="002D27D6" w:rsidRPr="0055589E" w:rsidRDefault="000F5B51" w:rsidP="002D27D6">
            <w:pPr>
              <w:spacing w:after="0" w:line="240" w:lineRule="auto"/>
              <w:jc w:val="center"/>
              <w:rPr>
                <w:rFonts w:cs="Times New Roman"/>
                <w:b/>
                <w:bCs/>
                <w:color w:val="000000"/>
                <w:szCs w:val="24"/>
              </w:rPr>
            </w:pPr>
            <w:r w:rsidRPr="0055589E">
              <w:rPr>
                <w:rFonts w:cs="Times New Roman"/>
                <w:b/>
                <w:bCs/>
                <w:color w:val="000000"/>
                <w:szCs w:val="24"/>
              </w:rPr>
              <w:t>1</w:t>
            </w:r>
          </w:p>
        </w:tc>
      </w:tr>
      <w:tr w:rsidR="00A15C2C" w14:paraId="5D67287A" w14:textId="77777777" w:rsidTr="0055589E">
        <w:trPr>
          <w:trHeight w:val="310"/>
          <w:jc w:val="center"/>
        </w:trPr>
        <w:tc>
          <w:tcPr>
            <w:tcW w:w="1488" w:type="dxa"/>
            <w:shd w:val="clear" w:color="auto" w:fill="auto"/>
            <w:noWrap/>
            <w:vAlign w:val="bottom"/>
            <w:hideMark/>
          </w:tcPr>
          <w:p w14:paraId="384A2794" w14:textId="77777777" w:rsidR="009E4184" w:rsidRPr="00012598" w:rsidRDefault="000F5B51" w:rsidP="00D65C7C">
            <w:pPr>
              <w:spacing w:after="0" w:line="240" w:lineRule="auto"/>
              <w:rPr>
                <w:rFonts w:eastAsia="Times New Roman" w:cs="Times New Roman"/>
                <w:b/>
                <w:bCs/>
                <w:color w:val="000000"/>
                <w:szCs w:val="24"/>
              </w:rPr>
            </w:pPr>
            <w:r w:rsidRPr="00012598">
              <w:rPr>
                <w:rFonts w:eastAsia="Times New Roman" w:cs="Times New Roman"/>
                <w:b/>
                <w:bCs/>
                <w:color w:val="000000"/>
                <w:szCs w:val="24"/>
              </w:rPr>
              <w:t>Fatality</w:t>
            </w:r>
          </w:p>
        </w:tc>
        <w:tc>
          <w:tcPr>
            <w:tcW w:w="1229" w:type="dxa"/>
            <w:vAlign w:val="center"/>
          </w:tcPr>
          <w:p w14:paraId="0FDD2F9C" w14:textId="77777777" w:rsidR="009E4184" w:rsidRPr="00954B78" w:rsidRDefault="000F5B51" w:rsidP="00D65C7C">
            <w:pPr>
              <w:spacing w:after="0" w:line="240" w:lineRule="auto"/>
              <w:jc w:val="center"/>
              <w:rPr>
                <w:rFonts w:cs="Times New Roman"/>
                <w:b/>
                <w:bCs/>
                <w:color w:val="000000"/>
                <w:szCs w:val="24"/>
              </w:rPr>
            </w:pPr>
            <w:r>
              <w:rPr>
                <w:rFonts w:cs="Times New Roman"/>
                <w:b/>
                <w:bCs/>
                <w:color w:val="000000"/>
                <w:szCs w:val="24"/>
              </w:rPr>
              <w:t>131</w:t>
            </w:r>
          </w:p>
        </w:tc>
        <w:tc>
          <w:tcPr>
            <w:tcW w:w="1317" w:type="dxa"/>
            <w:shd w:val="clear" w:color="auto" w:fill="auto"/>
            <w:noWrap/>
            <w:vAlign w:val="center"/>
            <w:hideMark/>
          </w:tcPr>
          <w:p w14:paraId="33783B28" w14:textId="77777777" w:rsidR="009E4184" w:rsidRPr="00954B78" w:rsidRDefault="000F5B51" w:rsidP="00D65C7C">
            <w:pPr>
              <w:spacing w:after="0" w:line="240" w:lineRule="auto"/>
              <w:jc w:val="center"/>
              <w:rPr>
                <w:rFonts w:eastAsia="Times New Roman" w:cs="Times New Roman"/>
                <w:b/>
                <w:bCs/>
                <w:color w:val="000000"/>
                <w:szCs w:val="24"/>
              </w:rPr>
            </w:pPr>
            <w:r w:rsidRPr="00954B78">
              <w:rPr>
                <w:rFonts w:cs="Times New Roman"/>
                <w:b/>
                <w:bCs/>
                <w:color w:val="000000"/>
                <w:szCs w:val="24"/>
              </w:rPr>
              <w:t>0.5500</w:t>
            </w:r>
          </w:p>
        </w:tc>
        <w:tc>
          <w:tcPr>
            <w:tcW w:w="1271" w:type="dxa"/>
            <w:shd w:val="clear" w:color="auto" w:fill="auto"/>
            <w:noWrap/>
            <w:vAlign w:val="center"/>
          </w:tcPr>
          <w:p w14:paraId="26822BF3" w14:textId="77777777" w:rsidR="009E4184" w:rsidRPr="00954B78" w:rsidRDefault="000F5B51" w:rsidP="00D65C7C">
            <w:pPr>
              <w:spacing w:after="0" w:line="240" w:lineRule="auto"/>
              <w:jc w:val="center"/>
              <w:rPr>
                <w:rFonts w:eastAsia="Times New Roman" w:cs="Times New Roman"/>
                <w:b/>
                <w:bCs/>
                <w:color w:val="000000"/>
                <w:szCs w:val="24"/>
              </w:rPr>
            </w:pPr>
            <w:r>
              <w:rPr>
                <w:rFonts w:eastAsia="Times New Roman" w:cs="Times New Roman"/>
                <w:b/>
                <w:bCs/>
                <w:color w:val="000000"/>
                <w:szCs w:val="24"/>
              </w:rPr>
              <w:t>0.8825</w:t>
            </w:r>
          </w:p>
        </w:tc>
        <w:tc>
          <w:tcPr>
            <w:tcW w:w="1715" w:type="dxa"/>
            <w:shd w:val="clear" w:color="auto" w:fill="auto"/>
            <w:noWrap/>
            <w:vAlign w:val="center"/>
          </w:tcPr>
          <w:p w14:paraId="6ADCC884" w14:textId="77777777" w:rsidR="009E4184" w:rsidRPr="00954B78" w:rsidRDefault="000F5B51" w:rsidP="00D65C7C">
            <w:pPr>
              <w:spacing w:after="0" w:line="240" w:lineRule="auto"/>
              <w:jc w:val="center"/>
              <w:rPr>
                <w:rFonts w:eastAsia="Times New Roman" w:cs="Times New Roman"/>
                <w:b/>
                <w:bCs/>
                <w:color w:val="000000"/>
                <w:szCs w:val="24"/>
              </w:rPr>
            </w:pPr>
            <w:r>
              <w:rPr>
                <w:rFonts w:eastAsia="Times New Roman" w:cs="Times New Roman"/>
                <w:b/>
                <w:bCs/>
                <w:color w:val="000000"/>
                <w:szCs w:val="24"/>
              </w:rPr>
              <w:t>6</w:t>
            </w:r>
            <w:r w:rsidR="008A5B9A">
              <w:rPr>
                <w:rFonts w:eastAsia="Times New Roman" w:cs="Times New Roman"/>
                <w:b/>
                <w:bCs/>
                <w:color w:val="000000"/>
                <w:szCs w:val="24"/>
              </w:rPr>
              <w:t>3</w:t>
            </w:r>
          </w:p>
        </w:tc>
        <w:tc>
          <w:tcPr>
            <w:tcW w:w="1352" w:type="dxa"/>
            <w:vAlign w:val="center"/>
          </w:tcPr>
          <w:p w14:paraId="3305557B" w14:textId="77777777" w:rsidR="009E4184" w:rsidRPr="00954B78" w:rsidRDefault="000F5B51" w:rsidP="00D65C7C">
            <w:pPr>
              <w:spacing w:after="0" w:line="240" w:lineRule="auto"/>
              <w:jc w:val="center"/>
              <w:rPr>
                <w:rFonts w:eastAsia="Times New Roman" w:cs="Times New Roman"/>
                <w:b/>
                <w:bCs/>
                <w:color w:val="000000"/>
                <w:szCs w:val="24"/>
              </w:rPr>
            </w:pPr>
            <w:r>
              <w:rPr>
                <w:rFonts w:eastAsia="Times New Roman" w:cs="Times New Roman"/>
                <w:b/>
                <w:bCs/>
                <w:color w:val="000000"/>
                <w:szCs w:val="24"/>
              </w:rPr>
              <w:t>0.8845</w:t>
            </w:r>
          </w:p>
        </w:tc>
        <w:tc>
          <w:tcPr>
            <w:tcW w:w="1353" w:type="dxa"/>
            <w:vAlign w:val="center"/>
          </w:tcPr>
          <w:p w14:paraId="6EAD2E51" w14:textId="77777777" w:rsidR="009E4184" w:rsidRPr="00954B78" w:rsidRDefault="000F5B51" w:rsidP="00D65C7C">
            <w:pPr>
              <w:spacing w:after="0" w:line="240" w:lineRule="auto"/>
              <w:jc w:val="center"/>
              <w:rPr>
                <w:rFonts w:eastAsia="Times New Roman" w:cs="Times New Roman"/>
                <w:b/>
                <w:bCs/>
                <w:color w:val="000000"/>
                <w:szCs w:val="24"/>
              </w:rPr>
            </w:pPr>
            <w:r>
              <w:rPr>
                <w:rFonts w:eastAsia="Times New Roman" w:cs="Times New Roman"/>
                <w:b/>
                <w:bCs/>
                <w:color w:val="000000"/>
                <w:szCs w:val="24"/>
              </w:rPr>
              <w:t>0.8855</w:t>
            </w:r>
          </w:p>
        </w:tc>
        <w:tc>
          <w:tcPr>
            <w:tcW w:w="1610" w:type="dxa"/>
            <w:vAlign w:val="center"/>
          </w:tcPr>
          <w:p w14:paraId="04D6C314" w14:textId="77777777" w:rsidR="009E4184" w:rsidRPr="00954B78" w:rsidRDefault="000F5B51" w:rsidP="00D65C7C">
            <w:pPr>
              <w:spacing w:after="0" w:line="240" w:lineRule="auto"/>
              <w:jc w:val="center"/>
              <w:rPr>
                <w:rFonts w:eastAsia="Times New Roman" w:cs="Times New Roman"/>
                <w:b/>
                <w:bCs/>
                <w:color w:val="000000"/>
                <w:szCs w:val="24"/>
              </w:rPr>
            </w:pPr>
            <w:r>
              <w:rPr>
                <w:rFonts w:eastAsia="Times New Roman" w:cs="Times New Roman"/>
                <w:b/>
                <w:bCs/>
                <w:color w:val="000000"/>
                <w:szCs w:val="24"/>
              </w:rPr>
              <w:t>64</w:t>
            </w:r>
          </w:p>
        </w:tc>
        <w:tc>
          <w:tcPr>
            <w:tcW w:w="1620" w:type="dxa"/>
            <w:vAlign w:val="center"/>
          </w:tcPr>
          <w:p w14:paraId="3E068E3D" w14:textId="77777777" w:rsidR="009E4184" w:rsidRPr="00954B78" w:rsidRDefault="000F5B51" w:rsidP="00D65C7C">
            <w:pPr>
              <w:spacing w:after="0" w:line="240" w:lineRule="auto"/>
              <w:jc w:val="center"/>
              <w:rPr>
                <w:rFonts w:eastAsia="Times New Roman" w:cs="Times New Roman"/>
                <w:b/>
                <w:bCs/>
                <w:color w:val="000000"/>
                <w:szCs w:val="24"/>
              </w:rPr>
            </w:pPr>
            <w:r>
              <w:rPr>
                <w:rFonts w:eastAsia="Times New Roman" w:cs="Times New Roman"/>
                <w:b/>
                <w:bCs/>
                <w:color w:val="000000"/>
                <w:szCs w:val="24"/>
              </w:rPr>
              <w:t>64</w:t>
            </w:r>
          </w:p>
        </w:tc>
        <w:tc>
          <w:tcPr>
            <w:tcW w:w="1090" w:type="dxa"/>
            <w:vAlign w:val="center"/>
          </w:tcPr>
          <w:p w14:paraId="1C8B87F0" w14:textId="77777777" w:rsidR="009E4184" w:rsidRPr="00954B78" w:rsidRDefault="000F5B51" w:rsidP="00D65C7C">
            <w:pPr>
              <w:spacing w:after="0" w:line="240" w:lineRule="auto"/>
              <w:jc w:val="center"/>
              <w:rPr>
                <w:rFonts w:eastAsia="Times New Roman" w:cs="Times New Roman"/>
                <w:b/>
                <w:bCs/>
                <w:color w:val="000000"/>
                <w:szCs w:val="24"/>
              </w:rPr>
            </w:pPr>
            <w:r>
              <w:rPr>
                <w:rFonts w:eastAsia="Times New Roman" w:cs="Times New Roman"/>
                <w:b/>
                <w:bCs/>
                <w:color w:val="000000"/>
                <w:szCs w:val="24"/>
              </w:rPr>
              <w:t>0</w:t>
            </w:r>
          </w:p>
        </w:tc>
        <w:tc>
          <w:tcPr>
            <w:tcW w:w="1091" w:type="dxa"/>
            <w:vAlign w:val="center"/>
          </w:tcPr>
          <w:p w14:paraId="2FEACA7F" w14:textId="77777777" w:rsidR="009E4184" w:rsidRPr="00954B78" w:rsidRDefault="000F5B51" w:rsidP="00D65C7C">
            <w:pPr>
              <w:spacing w:after="0" w:line="240" w:lineRule="auto"/>
              <w:jc w:val="center"/>
              <w:rPr>
                <w:rFonts w:eastAsia="Times New Roman" w:cs="Times New Roman"/>
                <w:b/>
                <w:bCs/>
                <w:color w:val="000000"/>
                <w:szCs w:val="24"/>
              </w:rPr>
            </w:pPr>
            <w:r>
              <w:rPr>
                <w:rFonts w:eastAsia="Times New Roman" w:cs="Times New Roman"/>
                <w:b/>
                <w:bCs/>
                <w:color w:val="000000"/>
                <w:szCs w:val="24"/>
              </w:rPr>
              <w:t>0</w:t>
            </w:r>
          </w:p>
        </w:tc>
      </w:tr>
      <w:tr w:rsidR="00A15C2C" w14:paraId="6BACB04A" w14:textId="77777777" w:rsidTr="0055589E">
        <w:trPr>
          <w:trHeight w:val="310"/>
          <w:jc w:val="center"/>
        </w:trPr>
        <w:tc>
          <w:tcPr>
            <w:tcW w:w="15136" w:type="dxa"/>
            <w:gridSpan w:val="11"/>
            <w:shd w:val="clear" w:color="auto" w:fill="D9D9D9" w:themeFill="background1" w:themeFillShade="D9"/>
            <w:noWrap/>
            <w:vAlign w:val="bottom"/>
          </w:tcPr>
          <w:p w14:paraId="5988AEF4" w14:textId="77777777" w:rsidR="008A1856" w:rsidRPr="0055589E" w:rsidRDefault="000F5B51" w:rsidP="00D65C7C">
            <w:pPr>
              <w:spacing w:after="0" w:line="240" w:lineRule="auto"/>
              <w:jc w:val="center"/>
              <w:rPr>
                <w:rFonts w:eastAsia="Times New Roman" w:cs="Times New Roman"/>
                <w:b/>
                <w:bCs/>
                <w:i/>
                <w:iCs/>
                <w:color w:val="000000"/>
                <w:szCs w:val="24"/>
              </w:rPr>
            </w:pPr>
            <w:r w:rsidRPr="0055589E">
              <w:rPr>
                <w:rFonts w:eastAsia="Times New Roman" w:cs="Times New Roman"/>
                <w:b/>
                <w:bCs/>
                <w:i/>
                <w:iCs/>
                <w:color w:val="000000"/>
                <w:szCs w:val="24"/>
              </w:rPr>
              <w:t>Light Trucks</w:t>
            </w:r>
          </w:p>
        </w:tc>
      </w:tr>
      <w:tr w:rsidR="00A15C2C" w14:paraId="2864BE80" w14:textId="77777777" w:rsidTr="0055589E">
        <w:trPr>
          <w:trHeight w:val="310"/>
          <w:jc w:val="center"/>
        </w:trPr>
        <w:tc>
          <w:tcPr>
            <w:tcW w:w="1488" w:type="dxa"/>
            <w:shd w:val="clear" w:color="auto" w:fill="auto"/>
            <w:noWrap/>
            <w:vAlign w:val="bottom"/>
            <w:hideMark/>
          </w:tcPr>
          <w:p w14:paraId="5AF3E511" w14:textId="77777777" w:rsidR="00B40C23" w:rsidRPr="00954B78" w:rsidRDefault="000F5B51" w:rsidP="00B40C23">
            <w:pPr>
              <w:spacing w:after="0" w:line="240" w:lineRule="auto"/>
              <w:rPr>
                <w:rFonts w:eastAsia="Times New Roman" w:cs="Times New Roman"/>
                <w:color w:val="000000"/>
                <w:szCs w:val="24"/>
              </w:rPr>
            </w:pPr>
            <w:r>
              <w:rPr>
                <w:rFonts w:eastAsia="Times New Roman" w:cs="Times New Roman"/>
                <w:color w:val="000000"/>
                <w:szCs w:val="24"/>
              </w:rPr>
              <w:t>MAIS 1</w:t>
            </w:r>
          </w:p>
        </w:tc>
        <w:tc>
          <w:tcPr>
            <w:tcW w:w="1229" w:type="dxa"/>
            <w:vAlign w:val="center"/>
          </w:tcPr>
          <w:p w14:paraId="59A7A374" w14:textId="77777777" w:rsidR="00B40C23" w:rsidRPr="00954B78" w:rsidRDefault="000F5B51" w:rsidP="00B40C23">
            <w:pPr>
              <w:spacing w:after="0" w:line="240" w:lineRule="auto"/>
              <w:jc w:val="center"/>
              <w:rPr>
                <w:rFonts w:cs="Times New Roman"/>
                <w:color w:val="000000"/>
                <w:szCs w:val="24"/>
              </w:rPr>
            </w:pPr>
            <w:r>
              <w:rPr>
                <w:rFonts w:cs="Times New Roman"/>
                <w:color w:val="000000"/>
                <w:szCs w:val="24"/>
              </w:rPr>
              <w:t>4,050</w:t>
            </w:r>
          </w:p>
        </w:tc>
        <w:tc>
          <w:tcPr>
            <w:tcW w:w="1317" w:type="dxa"/>
            <w:shd w:val="clear" w:color="auto" w:fill="auto"/>
            <w:noWrap/>
            <w:vAlign w:val="center"/>
            <w:hideMark/>
          </w:tcPr>
          <w:p w14:paraId="0F3670A9" w14:textId="77777777" w:rsidR="00B40C23" w:rsidRPr="00954B78" w:rsidRDefault="000F5B51" w:rsidP="00B40C23">
            <w:pPr>
              <w:spacing w:after="0" w:line="240" w:lineRule="auto"/>
              <w:jc w:val="center"/>
              <w:rPr>
                <w:rFonts w:eastAsia="Times New Roman" w:cs="Times New Roman"/>
                <w:color w:val="000000"/>
                <w:szCs w:val="24"/>
              </w:rPr>
            </w:pPr>
            <w:r w:rsidRPr="00954B78">
              <w:rPr>
                <w:rFonts w:cs="Times New Roman"/>
                <w:color w:val="000000"/>
                <w:szCs w:val="24"/>
              </w:rPr>
              <w:t>0.0550</w:t>
            </w:r>
          </w:p>
        </w:tc>
        <w:tc>
          <w:tcPr>
            <w:tcW w:w="1271" w:type="dxa"/>
            <w:shd w:val="clear" w:color="auto" w:fill="auto"/>
            <w:noWrap/>
            <w:vAlign w:val="center"/>
          </w:tcPr>
          <w:p w14:paraId="368CBCDE" w14:textId="77777777" w:rsidR="00B40C23" w:rsidRPr="00954B78" w:rsidRDefault="000F5B51" w:rsidP="00B40C23">
            <w:pPr>
              <w:spacing w:after="0" w:line="240" w:lineRule="auto"/>
              <w:jc w:val="center"/>
              <w:rPr>
                <w:rFonts w:eastAsia="Times New Roman" w:cs="Times New Roman"/>
                <w:color w:val="000000"/>
                <w:szCs w:val="24"/>
              </w:rPr>
            </w:pPr>
            <w:r>
              <w:rPr>
                <w:rFonts w:eastAsia="Times New Roman" w:cs="Times New Roman"/>
                <w:color w:val="000000"/>
                <w:szCs w:val="24"/>
              </w:rPr>
              <w:t>0.98</w:t>
            </w:r>
            <w:r w:rsidR="008B2330">
              <w:rPr>
                <w:rFonts w:eastAsia="Times New Roman" w:cs="Times New Roman"/>
                <w:color w:val="000000"/>
                <w:szCs w:val="24"/>
              </w:rPr>
              <w:t>00</w:t>
            </w:r>
          </w:p>
        </w:tc>
        <w:tc>
          <w:tcPr>
            <w:tcW w:w="1715" w:type="dxa"/>
            <w:shd w:val="clear" w:color="auto" w:fill="auto"/>
            <w:noWrap/>
            <w:vAlign w:val="center"/>
          </w:tcPr>
          <w:p w14:paraId="50365056" w14:textId="77777777" w:rsidR="00B40C23" w:rsidRPr="00954B78" w:rsidRDefault="000F5B51" w:rsidP="00B40C23">
            <w:pPr>
              <w:spacing w:after="0" w:line="240" w:lineRule="auto"/>
              <w:jc w:val="center"/>
              <w:rPr>
                <w:rFonts w:eastAsia="Times New Roman" w:cs="Times New Roman"/>
                <w:color w:val="000000"/>
                <w:szCs w:val="24"/>
              </w:rPr>
            </w:pPr>
            <w:r>
              <w:rPr>
                <w:rFonts w:eastAsia="Times New Roman" w:cs="Times New Roman"/>
                <w:color w:val="000000"/>
                <w:szCs w:val="24"/>
              </w:rPr>
              <w:t>21</w:t>
            </w:r>
            <w:r w:rsidR="00A04760">
              <w:rPr>
                <w:rFonts w:eastAsia="Times New Roman" w:cs="Times New Roman"/>
                <w:color w:val="000000"/>
                <w:szCs w:val="24"/>
              </w:rPr>
              <w:t>8</w:t>
            </w:r>
          </w:p>
        </w:tc>
        <w:tc>
          <w:tcPr>
            <w:tcW w:w="1352" w:type="dxa"/>
            <w:vAlign w:val="center"/>
          </w:tcPr>
          <w:p w14:paraId="4EB4DC37" w14:textId="77777777" w:rsidR="00B40C23" w:rsidRPr="00954B78" w:rsidRDefault="000F5B51" w:rsidP="00B40C23">
            <w:pPr>
              <w:spacing w:after="0" w:line="240" w:lineRule="auto"/>
              <w:jc w:val="center"/>
              <w:rPr>
                <w:rFonts w:eastAsia="Times New Roman" w:cs="Times New Roman"/>
                <w:color w:val="000000"/>
                <w:szCs w:val="24"/>
              </w:rPr>
            </w:pPr>
            <w:r>
              <w:rPr>
                <w:rFonts w:cs="Calibri"/>
                <w:color w:val="000000"/>
              </w:rPr>
              <w:t>0.9815</w:t>
            </w:r>
          </w:p>
        </w:tc>
        <w:tc>
          <w:tcPr>
            <w:tcW w:w="1353" w:type="dxa"/>
            <w:vAlign w:val="center"/>
          </w:tcPr>
          <w:p w14:paraId="0B71162E" w14:textId="77777777" w:rsidR="00B40C23" w:rsidRPr="00954B78" w:rsidRDefault="000F5B51" w:rsidP="00B40C23">
            <w:pPr>
              <w:spacing w:after="0" w:line="240" w:lineRule="auto"/>
              <w:jc w:val="center"/>
              <w:rPr>
                <w:rFonts w:eastAsia="Times New Roman" w:cs="Times New Roman"/>
                <w:color w:val="000000"/>
                <w:szCs w:val="24"/>
              </w:rPr>
            </w:pPr>
            <w:r>
              <w:rPr>
                <w:rFonts w:cs="Calibri"/>
                <w:color w:val="000000"/>
              </w:rPr>
              <w:t>0.9822</w:t>
            </w:r>
          </w:p>
        </w:tc>
        <w:tc>
          <w:tcPr>
            <w:tcW w:w="1610" w:type="dxa"/>
            <w:vAlign w:val="center"/>
          </w:tcPr>
          <w:p w14:paraId="0C6CA148" w14:textId="77777777" w:rsidR="00B40C23" w:rsidRPr="00954B78" w:rsidRDefault="000F5B51" w:rsidP="00B40C23">
            <w:pPr>
              <w:spacing w:after="0" w:line="240" w:lineRule="auto"/>
              <w:jc w:val="center"/>
              <w:rPr>
                <w:rFonts w:eastAsia="Times New Roman" w:cs="Times New Roman"/>
                <w:color w:val="000000"/>
                <w:szCs w:val="24"/>
              </w:rPr>
            </w:pPr>
            <w:r>
              <w:rPr>
                <w:rFonts w:eastAsia="Times New Roman" w:cs="Times New Roman"/>
                <w:color w:val="000000"/>
                <w:szCs w:val="24"/>
              </w:rPr>
              <w:t>219</w:t>
            </w:r>
          </w:p>
        </w:tc>
        <w:tc>
          <w:tcPr>
            <w:tcW w:w="1620" w:type="dxa"/>
            <w:vAlign w:val="center"/>
          </w:tcPr>
          <w:p w14:paraId="3E73EDF8" w14:textId="77777777" w:rsidR="00B40C23" w:rsidRPr="00954B78" w:rsidRDefault="000F5B51" w:rsidP="00B40C23">
            <w:pPr>
              <w:spacing w:after="0" w:line="240" w:lineRule="auto"/>
              <w:jc w:val="center"/>
              <w:rPr>
                <w:rFonts w:eastAsia="Times New Roman" w:cs="Times New Roman"/>
                <w:color w:val="000000"/>
                <w:szCs w:val="24"/>
              </w:rPr>
            </w:pPr>
            <w:r>
              <w:rPr>
                <w:rFonts w:eastAsia="Times New Roman" w:cs="Times New Roman"/>
                <w:color w:val="000000"/>
                <w:szCs w:val="24"/>
              </w:rPr>
              <w:t>219</w:t>
            </w:r>
          </w:p>
        </w:tc>
        <w:tc>
          <w:tcPr>
            <w:tcW w:w="1090" w:type="dxa"/>
            <w:vAlign w:val="center"/>
          </w:tcPr>
          <w:p w14:paraId="007D2062" w14:textId="77777777" w:rsidR="00B40C23" w:rsidRPr="00954B78" w:rsidRDefault="000F5B51" w:rsidP="00B40C23">
            <w:pPr>
              <w:spacing w:after="0" w:line="240" w:lineRule="auto"/>
              <w:jc w:val="center"/>
              <w:rPr>
                <w:rFonts w:eastAsia="Times New Roman" w:cs="Times New Roman"/>
                <w:color w:val="000000"/>
                <w:szCs w:val="24"/>
              </w:rPr>
            </w:pPr>
            <w:r>
              <w:rPr>
                <w:rFonts w:eastAsia="Times New Roman" w:cs="Times New Roman"/>
                <w:color w:val="000000"/>
                <w:szCs w:val="24"/>
              </w:rPr>
              <w:t>0</w:t>
            </w:r>
          </w:p>
        </w:tc>
        <w:tc>
          <w:tcPr>
            <w:tcW w:w="1091" w:type="dxa"/>
            <w:vAlign w:val="center"/>
          </w:tcPr>
          <w:p w14:paraId="5B50088C" w14:textId="77777777" w:rsidR="00B40C23" w:rsidRPr="00954B78" w:rsidRDefault="000F5B51" w:rsidP="00B40C23">
            <w:pPr>
              <w:spacing w:after="0" w:line="240" w:lineRule="auto"/>
              <w:jc w:val="center"/>
              <w:rPr>
                <w:rFonts w:eastAsia="Times New Roman" w:cs="Times New Roman"/>
                <w:color w:val="000000"/>
                <w:szCs w:val="24"/>
              </w:rPr>
            </w:pPr>
            <w:r>
              <w:rPr>
                <w:rFonts w:eastAsia="Times New Roman" w:cs="Times New Roman"/>
                <w:color w:val="000000"/>
                <w:szCs w:val="24"/>
              </w:rPr>
              <w:t>0</w:t>
            </w:r>
          </w:p>
        </w:tc>
      </w:tr>
      <w:tr w:rsidR="00A15C2C" w14:paraId="14F023B7" w14:textId="77777777" w:rsidTr="0055589E">
        <w:trPr>
          <w:trHeight w:val="310"/>
          <w:jc w:val="center"/>
        </w:trPr>
        <w:tc>
          <w:tcPr>
            <w:tcW w:w="1488" w:type="dxa"/>
            <w:shd w:val="clear" w:color="auto" w:fill="auto"/>
            <w:noWrap/>
            <w:hideMark/>
          </w:tcPr>
          <w:p w14:paraId="3BECF90F" w14:textId="77777777" w:rsidR="00B40C23" w:rsidRPr="00954B78" w:rsidRDefault="000F5B51" w:rsidP="00B40C23">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2</w:t>
            </w:r>
          </w:p>
        </w:tc>
        <w:tc>
          <w:tcPr>
            <w:tcW w:w="1229" w:type="dxa"/>
            <w:vAlign w:val="center"/>
          </w:tcPr>
          <w:p w14:paraId="0D1B9602" w14:textId="77777777" w:rsidR="00B40C23" w:rsidRPr="00954B78" w:rsidRDefault="000F5B51" w:rsidP="00B40C23">
            <w:pPr>
              <w:spacing w:after="0" w:line="240" w:lineRule="auto"/>
              <w:jc w:val="center"/>
              <w:rPr>
                <w:rFonts w:cs="Times New Roman"/>
                <w:color w:val="000000"/>
                <w:szCs w:val="24"/>
              </w:rPr>
            </w:pPr>
            <w:r>
              <w:rPr>
                <w:rFonts w:cs="Times New Roman"/>
                <w:color w:val="000000"/>
                <w:szCs w:val="24"/>
              </w:rPr>
              <w:t>274</w:t>
            </w:r>
          </w:p>
        </w:tc>
        <w:tc>
          <w:tcPr>
            <w:tcW w:w="1317" w:type="dxa"/>
            <w:shd w:val="clear" w:color="auto" w:fill="auto"/>
            <w:noWrap/>
            <w:vAlign w:val="center"/>
            <w:hideMark/>
          </w:tcPr>
          <w:p w14:paraId="7656913B" w14:textId="77777777" w:rsidR="00B40C23" w:rsidRPr="00954B78" w:rsidRDefault="000F5B51" w:rsidP="00B40C23">
            <w:pPr>
              <w:spacing w:after="0" w:line="240" w:lineRule="auto"/>
              <w:jc w:val="center"/>
              <w:rPr>
                <w:rFonts w:eastAsia="Times New Roman" w:cs="Times New Roman"/>
                <w:color w:val="000000"/>
                <w:szCs w:val="24"/>
              </w:rPr>
            </w:pPr>
            <w:r w:rsidRPr="00954B78">
              <w:rPr>
                <w:rFonts w:cs="Times New Roman"/>
                <w:color w:val="000000"/>
                <w:szCs w:val="24"/>
              </w:rPr>
              <w:t>0.5068</w:t>
            </w:r>
          </w:p>
        </w:tc>
        <w:tc>
          <w:tcPr>
            <w:tcW w:w="1271" w:type="dxa"/>
            <w:shd w:val="clear" w:color="auto" w:fill="auto"/>
            <w:noWrap/>
            <w:vAlign w:val="center"/>
          </w:tcPr>
          <w:p w14:paraId="720E81B6" w14:textId="77777777" w:rsidR="00B40C23" w:rsidRPr="00954B78" w:rsidRDefault="000F5B51" w:rsidP="00B40C23">
            <w:pPr>
              <w:spacing w:after="0" w:line="240" w:lineRule="auto"/>
              <w:jc w:val="center"/>
              <w:rPr>
                <w:rFonts w:eastAsia="Times New Roman" w:cs="Times New Roman"/>
                <w:color w:val="000000"/>
                <w:szCs w:val="24"/>
              </w:rPr>
            </w:pPr>
            <w:r>
              <w:rPr>
                <w:rFonts w:eastAsia="Times New Roman" w:cs="Times New Roman"/>
                <w:color w:val="000000"/>
                <w:szCs w:val="24"/>
              </w:rPr>
              <w:t>0.98</w:t>
            </w:r>
            <w:r w:rsidR="008B2330">
              <w:rPr>
                <w:rFonts w:eastAsia="Times New Roman" w:cs="Times New Roman"/>
                <w:color w:val="000000"/>
                <w:szCs w:val="24"/>
              </w:rPr>
              <w:t>00</w:t>
            </w:r>
          </w:p>
        </w:tc>
        <w:tc>
          <w:tcPr>
            <w:tcW w:w="1715" w:type="dxa"/>
            <w:shd w:val="clear" w:color="auto" w:fill="auto"/>
            <w:noWrap/>
            <w:vAlign w:val="center"/>
          </w:tcPr>
          <w:p w14:paraId="319317EE" w14:textId="77777777" w:rsidR="00B40C23" w:rsidRPr="00954B78" w:rsidRDefault="000F5B51" w:rsidP="00B40C23">
            <w:pPr>
              <w:spacing w:after="0" w:line="240" w:lineRule="auto"/>
              <w:jc w:val="center"/>
              <w:rPr>
                <w:rFonts w:eastAsia="Times New Roman" w:cs="Times New Roman"/>
                <w:color w:val="000000"/>
                <w:szCs w:val="24"/>
              </w:rPr>
            </w:pPr>
            <w:r>
              <w:rPr>
                <w:rFonts w:eastAsia="Times New Roman" w:cs="Times New Roman"/>
                <w:color w:val="000000"/>
                <w:szCs w:val="24"/>
              </w:rPr>
              <w:t>136</w:t>
            </w:r>
          </w:p>
        </w:tc>
        <w:tc>
          <w:tcPr>
            <w:tcW w:w="1352" w:type="dxa"/>
            <w:vAlign w:val="center"/>
          </w:tcPr>
          <w:p w14:paraId="7309E631" w14:textId="77777777" w:rsidR="00B40C23" w:rsidRPr="00954B78" w:rsidRDefault="000F5B51" w:rsidP="00B40C23">
            <w:pPr>
              <w:spacing w:after="0" w:line="240" w:lineRule="auto"/>
              <w:jc w:val="center"/>
              <w:rPr>
                <w:rFonts w:eastAsia="Times New Roman" w:cs="Times New Roman"/>
                <w:color w:val="000000"/>
                <w:szCs w:val="24"/>
              </w:rPr>
            </w:pPr>
            <w:r>
              <w:rPr>
                <w:rFonts w:cs="Calibri"/>
                <w:color w:val="000000"/>
              </w:rPr>
              <w:t>0.9815</w:t>
            </w:r>
          </w:p>
        </w:tc>
        <w:tc>
          <w:tcPr>
            <w:tcW w:w="1353" w:type="dxa"/>
            <w:vAlign w:val="center"/>
          </w:tcPr>
          <w:p w14:paraId="5DD0D2BF" w14:textId="77777777" w:rsidR="00B40C23" w:rsidRPr="00954B78" w:rsidRDefault="000F5B51" w:rsidP="00B40C23">
            <w:pPr>
              <w:spacing w:after="0" w:line="240" w:lineRule="auto"/>
              <w:jc w:val="center"/>
              <w:rPr>
                <w:rFonts w:eastAsia="Times New Roman" w:cs="Times New Roman"/>
                <w:color w:val="000000"/>
                <w:szCs w:val="24"/>
              </w:rPr>
            </w:pPr>
            <w:r>
              <w:rPr>
                <w:rFonts w:cs="Calibri"/>
                <w:color w:val="000000"/>
              </w:rPr>
              <w:t>0.9822</w:t>
            </w:r>
          </w:p>
        </w:tc>
        <w:tc>
          <w:tcPr>
            <w:tcW w:w="1610" w:type="dxa"/>
            <w:vAlign w:val="center"/>
          </w:tcPr>
          <w:p w14:paraId="2F31C76C" w14:textId="77777777" w:rsidR="00B40C23" w:rsidRPr="00954B78" w:rsidRDefault="000F5B51" w:rsidP="00B40C23">
            <w:pPr>
              <w:spacing w:after="0" w:line="240" w:lineRule="auto"/>
              <w:jc w:val="center"/>
              <w:rPr>
                <w:rFonts w:eastAsia="Times New Roman" w:cs="Times New Roman"/>
                <w:color w:val="000000"/>
                <w:szCs w:val="24"/>
              </w:rPr>
            </w:pPr>
            <w:r>
              <w:rPr>
                <w:rFonts w:eastAsia="Times New Roman" w:cs="Times New Roman"/>
                <w:color w:val="000000"/>
                <w:szCs w:val="24"/>
              </w:rPr>
              <w:t>136</w:t>
            </w:r>
          </w:p>
        </w:tc>
        <w:tc>
          <w:tcPr>
            <w:tcW w:w="1620" w:type="dxa"/>
            <w:vAlign w:val="center"/>
          </w:tcPr>
          <w:p w14:paraId="23BC5281" w14:textId="77777777" w:rsidR="00B40C23" w:rsidRPr="00954B78" w:rsidRDefault="000F5B51" w:rsidP="00B40C23">
            <w:pPr>
              <w:spacing w:after="0" w:line="240" w:lineRule="auto"/>
              <w:jc w:val="center"/>
              <w:rPr>
                <w:rFonts w:eastAsia="Times New Roman" w:cs="Times New Roman"/>
                <w:color w:val="000000"/>
                <w:szCs w:val="24"/>
              </w:rPr>
            </w:pPr>
            <w:r>
              <w:rPr>
                <w:rFonts w:eastAsia="Times New Roman" w:cs="Times New Roman"/>
                <w:color w:val="000000"/>
                <w:szCs w:val="24"/>
              </w:rPr>
              <w:t>136</w:t>
            </w:r>
          </w:p>
        </w:tc>
        <w:tc>
          <w:tcPr>
            <w:tcW w:w="1090" w:type="dxa"/>
            <w:vAlign w:val="center"/>
          </w:tcPr>
          <w:p w14:paraId="0AB5D14B" w14:textId="77777777" w:rsidR="00B40C23" w:rsidRPr="00954B78" w:rsidRDefault="000F5B51" w:rsidP="00B40C23">
            <w:pPr>
              <w:spacing w:after="0" w:line="240" w:lineRule="auto"/>
              <w:jc w:val="center"/>
              <w:rPr>
                <w:rFonts w:eastAsia="Times New Roman" w:cs="Times New Roman"/>
                <w:color w:val="000000"/>
                <w:szCs w:val="24"/>
              </w:rPr>
            </w:pPr>
            <w:r>
              <w:rPr>
                <w:rFonts w:eastAsia="Times New Roman" w:cs="Times New Roman"/>
                <w:color w:val="000000"/>
                <w:szCs w:val="24"/>
              </w:rPr>
              <w:t>0</w:t>
            </w:r>
          </w:p>
        </w:tc>
        <w:tc>
          <w:tcPr>
            <w:tcW w:w="1091" w:type="dxa"/>
            <w:vAlign w:val="center"/>
          </w:tcPr>
          <w:p w14:paraId="7C2AE716" w14:textId="77777777" w:rsidR="00B40C23" w:rsidRPr="00954B78" w:rsidRDefault="000F5B51" w:rsidP="00B40C23">
            <w:pPr>
              <w:spacing w:after="0" w:line="240" w:lineRule="auto"/>
              <w:jc w:val="center"/>
              <w:rPr>
                <w:rFonts w:eastAsia="Times New Roman" w:cs="Times New Roman"/>
                <w:color w:val="000000"/>
                <w:szCs w:val="24"/>
              </w:rPr>
            </w:pPr>
            <w:r>
              <w:rPr>
                <w:rFonts w:eastAsia="Times New Roman" w:cs="Times New Roman"/>
                <w:color w:val="000000"/>
                <w:szCs w:val="24"/>
              </w:rPr>
              <w:t>0</w:t>
            </w:r>
          </w:p>
        </w:tc>
      </w:tr>
      <w:tr w:rsidR="00A15C2C" w14:paraId="1D04E215" w14:textId="77777777" w:rsidTr="00276870">
        <w:trPr>
          <w:trHeight w:val="310"/>
          <w:jc w:val="center"/>
        </w:trPr>
        <w:tc>
          <w:tcPr>
            <w:tcW w:w="1488" w:type="dxa"/>
            <w:shd w:val="clear" w:color="auto" w:fill="auto"/>
            <w:noWrap/>
            <w:vAlign w:val="bottom"/>
          </w:tcPr>
          <w:p w14:paraId="5B96EC89" w14:textId="77777777" w:rsidR="00B40C23" w:rsidRPr="00012598" w:rsidRDefault="000F5B51" w:rsidP="00B40C23">
            <w:pPr>
              <w:spacing w:after="0" w:line="240" w:lineRule="auto"/>
              <w:rPr>
                <w:rFonts w:eastAsia="Times New Roman" w:cs="Times New Roman"/>
                <w:b/>
                <w:bCs/>
                <w:color w:val="000000"/>
                <w:sz w:val="23"/>
                <w:szCs w:val="23"/>
              </w:rPr>
            </w:pPr>
            <w:r w:rsidRPr="00012598">
              <w:rPr>
                <w:rFonts w:eastAsia="Times New Roman" w:cs="Times New Roman"/>
                <w:b/>
                <w:bCs/>
                <w:color w:val="000000"/>
                <w:sz w:val="23"/>
                <w:szCs w:val="23"/>
              </w:rPr>
              <w:t xml:space="preserve">Non-Fatal Injuries </w:t>
            </w:r>
          </w:p>
          <w:p w14:paraId="47FD216E" w14:textId="77777777" w:rsidR="00B40C23" w:rsidRPr="00012598" w:rsidRDefault="000F5B51" w:rsidP="00B40C23">
            <w:pPr>
              <w:spacing w:after="0" w:line="240" w:lineRule="auto"/>
              <w:rPr>
                <w:rFonts w:eastAsia="Times New Roman" w:cs="Times New Roman"/>
                <w:b/>
                <w:bCs/>
                <w:color w:val="000000"/>
                <w:sz w:val="23"/>
                <w:szCs w:val="23"/>
              </w:rPr>
            </w:pPr>
            <w:r w:rsidRPr="00012598">
              <w:rPr>
                <w:rFonts w:eastAsia="Times New Roman" w:cs="Times New Roman"/>
                <w:b/>
                <w:bCs/>
                <w:color w:val="000000"/>
                <w:sz w:val="23"/>
                <w:szCs w:val="23"/>
              </w:rPr>
              <w:t>(MAIS 1-5)</w:t>
            </w:r>
          </w:p>
        </w:tc>
        <w:tc>
          <w:tcPr>
            <w:tcW w:w="1229" w:type="dxa"/>
            <w:vAlign w:val="center"/>
          </w:tcPr>
          <w:p w14:paraId="54F854BF" w14:textId="77777777" w:rsidR="00B40C23" w:rsidRPr="00954B78" w:rsidRDefault="000F5B51" w:rsidP="00B40C23">
            <w:pPr>
              <w:spacing w:after="0" w:line="240" w:lineRule="auto"/>
              <w:jc w:val="center"/>
              <w:rPr>
                <w:rFonts w:cs="Times New Roman"/>
                <w:b/>
                <w:bCs/>
                <w:color w:val="000000"/>
                <w:szCs w:val="24"/>
              </w:rPr>
            </w:pPr>
            <w:r>
              <w:rPr>
                <w:rFonts w:cs="Times New Roman"/>
                <w:b/>
                <w:bCs/>
                <w:color w:val="000000"/>
                <w:szCs w:val="24"/>
              </w:rPr>
              <w:t>4,325</w:t>
            </w:r>
          </w:p>
        </w:tc>
        <w:tc>
          <w:tcPr>
            <w:tcW w:w="1317" w:type="dxa"/>
            <w:shd w:val="clear" w:color="auto" w:fill="auto"/>
            <w:noWrap/>
            <w:vAlign w:val="center"/>
          </w:tcPr>
          <w:p w14:paraId="55D810C8" w14:textId="77777777" w:rsidR="00B40C23" w:rsidRPr="00954B78" w:rsidRDefault="000F5B51" w:rsidP="00B40C23">
            <w:pPr>
              <w:spacing w:after="0" w:line="240" w:lineRule="auto"/>
              <w:jc w:val="center"/>
              <w:rPr>
                <w:rFonts w:cs="Times New Roman"/>
                <w:color w:val="000000"/>
                <w:szCs w:val="24"/>
              </w:rPr>
            </w:pPr>
            <w:r>
              <w:rPr>
                <w:rFonts w:cs="Times New Roman"/>
                <w:color w:val="000000"/>
                <w:szCs w:val="24"/>
              </w:rPr>
              <w:t>-</w:t>
            </w:r>
          </w:p>
        </w:tc>
        <w:tc>
          <w:tcPr>
            <w:tcW w:w="1271" w:type="dxa"/>
            <w:shd w:val="clear" w:color="auto" w:fill="auto"/>
            <w:noWrap/>
            <w:vAlign w:val="center"/>
          </w:tcPr>
          <w:p w14:paraId="5D08A9FD" w14:textId="77777777" w:rsidR="00B40C23" w:rsidRPr="00954B78" w:rsidRDefault="000F5B51" w:rsidP="00B40C23">
            <w:pPr>
              <w:spacing w:after="0" w:line="240" w:lineRule="auto"/>
              <w:jc w:val="center"/>
              <w:rPr>
                <w:rFonts w:cs="Times New Roman"/>
                <w:color w:val="000000"/>
                <w:szCs w:val="24"/>
              </w:rPr>
            </w:pPr>
            <w:r>
              <w:rPr>
                <w:rFonts w:cs="Times New Roman"/>
                <w:color w:val="000000"/>
                <w:szCs w:val="24"/>
              </w:rPr>
              <w:t>-</w:t>
            </w:r>
          </w:p>
        </w:tc>
        <w:tc>
          <w:tcPr>
            <w:tcW w:w="1715" w:type="dxa"/>
            <w:shd w:val="clear" w:color="auto" w:fill="auto"/>
            <w:noWrap/>
            <w:vAlign w:val="center"/>
          </w:tcPr>
          <w:p w14:paraId="306E26E1" w14:textId="77777777" w:rsidR="00B40C23" w:rsidRPr="0055589E" w:rsidRDefault="000F5B51" w:rsidP="00B40C23">
            <w:pPr>
              <w:spacing w:after="0" w:line="240" w:lineRule="auto"/>
              <w:jc w:val="center"/>
              <w:rPr>
                <w:rFonts w:cs="Times New Roman"/>
                <w:b/>
                <w:bCs/>
                <w:color w:val="000000"/>
                <w:szCs w:val="24"/>
              </w:rPr>
            </w:pPr>
            <w:r w:rsidRPr="0055589E">
              <w:rPr>
                <w:rFonts w:cs="Times New Roman"/>
                <w:b/>
                <w:bCs/>
                <w:color w:val="000000"/>
                <w:szCs w:val="24"/>
              </w:rPr>
              <w:t>354</w:t>
            </w:r>
          </w:p>
        </w:tc>
        <w:tc>
          <w:tcPr>
            <w:tcW w:w="1352" w:type="dxa"/>
            <w:vAlign w:val="center"/>
          </w:tcPr>
          <w:p w14:paraId="0CD642A9" w14:textId="77777777" w:rsidR="00B40C23" w:rsidRPr="0055589E" w:rsidRDefault="000F5B51" w:rsidP="00B40C23">
            <w:pPr>
              <w:spacing w:after="0" w:line="240" w:lineRule="auto"/>
              <w:jc w:val="center"/>
              <w:rPr>
                <w:rFonts w:cs="Times New Roman"/>
                <w:b/>
                <w:bCs/>
                <w:color w:val="000000"/>
                <w:szCs w:val="24"/>
              </w:rPr>
            </w:pPr>
            <w:r w:rsidRPr="0055589E">
              <w:rPr>
                <w:rFonts w:cs="Times New Roman"/>
                <w:b/>
                <w:bCs/>
                <w:color w:val="000000"/>
                <w:szCs w:val="24"/>
              </w:rPr>
              <w:t>-</w:t>
            </w:r>
          </w:p>
        </w:tc>
        <w:tc>
          <w:tcPr>
            <w:tcW w:w="1353" w:type="dxa"/>
            <w:vAlign w:val="center"/>
          </w:tcPr>
          <w:p w14:paraId="12C7F45C" w14:textId="77777777" w:rsidR="00B40C23" w:rsidRPr="0055589E" w:rsidRDefault="000F5B51" w:rsidP="00B40C23">
            <w:pPr>
              <w:spacing w:after="0" w:line="240" w:lineRule="auto"/>
              <w:jc w:val="center"/>
              <w:rPr>
                <w:rFonts w:cs="Times New Roman"/>
                <w:b/>
                <w:bCs/>
                <w:color w:val="000000"/>
                <w:szCs w:val="24"/>
              </w:rPr>
            </w:pPr>
            <w:r w:rsidRPr="0055589E">
              <w:rPr>
                <w:rFonts w:cs="Times New Roman"/>
                <w:b/>
                <w:bCs/>
                <w:color w:val="000000"/>
                <w:szCs w:val="24"/>
              </w:rPr>
              <w:t>-</w:t>
            </w:r>
          </w:p>
        </w:tc>
        <w:tc>
          <w:tcPr>
            <w:tcW w:w="1610" w:type="dxa"/>
            <w:vAlign w:val="center"/>
          </w:tcPr>
          <w:p w14:paraId="1BF63249" w14:textId="77777777" w:rsidR="00B40C23" w:rsidRPr="0055589E" w:rsidRDefault="000F5B51" w:rsidP="00B40C23">
            <w:pPr>
              <w:spacing w:after="0" w:line="240" w:lineRule="auto"/>
              <w:jc w:val="center"/>
              <w:rPr>
                <w:rFonts w:cs="Times New Roman"/>
                <w:b/>
                <w:bCs/>
                <w:color w:val="000000"/>
                <w:szCs w:val="24"/>
              </w:rPr>
            </w:pPr>
            <w:r w:rsidRPr="0055589E">
              <w:rPr>
                <w:rFonts w:cs="Times New Roman"/>
                <w:b/>
                <w:bCs/>
                <w:color w:val="000000"/>
                <w:szCs w:val="24"/>
              </w:rPr>
              <w:t>355</w:t>
            </w:r>
          </w:p>
        </w:tc>
        <w:tc>
          <w:tcPr>
            <w:tcW w:w="1620" w:type="dxa"/>
            <w:vAlign w:val="center"/>
          </w:tcPr>
          <w:p w14:paraId="4EF3CB39" w14:textId="77777777" w:rsidR="00B40C23" w:rsidRPr="0055589E" w:rsidRDefault="000F5B51" w:rsidP="00B40C23">
            <w:pPr>
              <w:spacing w:after="0" w:line="240" w:lineRule="auto"/>
              <w:jc w:val="center"/>
              <w:rPr>
                <w:rFonts w:cs="Times New Roman"/>
                <w:b/>
                <w:bCs/>
                <w:color w:val="000000"/>
                <w:szCs w:val="24"/>
              </w:rPr>
            </w:pPr>
            <w:r w:rsidRPr="0055589E">
              <w:rPr>
                <w:rFonts w:cs="Times New Roman"/>
                <w:b/>
                <w:bCs/>
                <w:color w:val="000000"/>
                <w:szCs w:val="24"/>
              </w:rPr>
              <w:t>355</w:t>
            </w:r>
          </w:p>
        </w:tc>
        <w:tc>
          <w:tcPr>
            <w:tcW w:w="1090" w:type="dxa"/>
            <w:vAlign w:val="center"/>
          </w:tcPr>
          <w:p w14:paraId="79C82617" w14:textId="77777777" w:rsidR="00B40C23" w:rsidRPr="0055589E" w:rsidRDefault="000F5B51" w:rsidP="00B40C23">
            <w:pPr>
              <w:spacing w:after="0" w:line="240" w:lineRule="auto"/>
              <w:jc w:val="center"/>
              <w:rPr>
                <w:rFonts w:cs="Times New Roman"/>
                <w:b/>
                <w:bCs/>
                <w:color w:val="000000"/>
                <w:szCs w:val="24"/>
              </w:rPr>
            </w:pPr>
            <w:r w:rsidRPr="0055589E">
              <w:rPr>
                <w:rFonts w:cs="Times New Roman"/>
                <w:b/>
                <w:bCs/>
                <w:color w:val="000000"/>
                <w:szCs w:val="24"/>
              </w:rPr>
              <w:t>1</w:t>
            </w:r>
          </w:p>
        </w:tc>
        <w:tc>
          <w:tcPr>
            <w:tcW w:w="1091" w:type="dxa"/>
            <w:vAlign w:val="center"/>
          </w:tcPr>
          <w:p w14:paraId="0E6A3F23" w14:textId="77777777" w:rsidR="00B40C23" w:rsidRPr="0055589E" w:rsidRDefault="000F5B51" w:rsidP="00B40C23">
            <w:pPr>
              <w:spacing w:after="0" w:line="240" w:lineRule="auto"/>
              <w:jc w:val="center"/>
              <w:rPr>
                <w:rFonts w:cs="Times New Roman"/>
                <w:b/>
                <w:bCs/>
                <w:color w:val="000000"/>
                <w:szCs w:val="24"/>
              </w:rPr>
            </w:pPr>
            <w:r w:rsidRPr="0055589E">
              <w:rPr>
                <w:rFonts w:cs="Times New Roman"/>
                <w:b/>
                <w:bCs/>
                <w:color w:val="000000"/>
                <w:szCs w:val="24"/>
              </w:rPr>
              <w:t>1</w:t>
            </w:r>
          </w:p>
        </w:tc>
      </w:tr>
      <w:tr w:rsidR="00A15C2C" w14:paraId="2A3DCB04" w14:textId="77777777" w:rsidTr="0055589E">
        <w:trPr>
          <w:trHeight w:val="310"/>
          <w:jc w:val="center"/>
        </w:trPr>
        <w:tc>
          <w:tcPr>
            <w:tcW w:w="1488" w:type="dxa"/>
            <w:shd w:val="clear" w:color="auto" w:fill="auto"/>
            <w:noWrap/>
            <w:vAlign w:val="bottom"/>
            <w:hideMark/>
          </w:tcPr>
          <w:p w14:paraId="5F61F43A" w14:textId="77777777" w:rsidR="00B40C23" w:rsidRPr="00012598" w:rsidRDefault="000F5B51" w:rsidP="00B40C23">
            <w:pPr>
              <w:spacing w:after="0" w:line="240" w:lineRule="auto"/>
              <w:rPr>
                <w:rFonts w:eastAsia="Times New Roman" w:cs="Times New Roman"/>
                <w:b/>
                <w:bCs/>
                <w:color w:val="000000"/>
                <w:szCs w:val="24"/>
              </w:rPr>
            </w:pPr>
            <w:r w:rsidRPr="00012598">
              <w:rPr>
                <w:rFonts w:eastAsia="Times New Roman" w:cs="Times New Roman"/>
                <w:b/>
                <w:bCs/>
                <w:color w:val="000000"/>
                <w:szCs w:val="24"/>
              </w:rPr>
              <w:t>Fatality</w:t>
            </w:r>
          </w:p>
        </w:tc>
        <w:tc>
          <w:tcPr>
            <w:tcW w:w="1229" w:type="dxa"/>
            <w:vAlign w:val="center"/>
          </w:tcPr>
          <w:p w14:paraId="4BE3428A" w14:textId="77777777" w:rsidR="00B40C23" w:rsidRPr="00954B78" w:rsidRDefault="000F5B51" w:rsidP="00B40C23">
            <w:pPr>
              <w:spacing w:after="0" w:line="240" w:lineRule="auto"/>
              <w:jc w:val="center"/>
              <w:rPr>
                <w:rFonts w:cs="Times New Roman"/>
                <w:b/>
                <w:bCs/>
                <w:color w:val="000000"/>
                <w:szCs w:val="24"/>
              </w:rPr>
            </w:pPr>
            <w:r>
              <w:rPr>
                <w:rFonts w:cs="Times New Roman"/>
                <w:b/>
                <w:bCs/>
                <w:color w:val="000000"/>
                <w:szCs w:val="24"/>
              </w:rPr>
              <w:t>177</w:t>
            </w:r>
          </w:p>
        </w:tc>
        <w:tc>
          <w:tcPr>
            <w:tcW w:w="1317" w:type="dxa"/>
            <w:shd w:val="clear" w:color="auto" w:fill="auto"/>
            <w:noWrap/>
            <w:vAlign w:val="center"/>
            <w:hideMark/>
          </w:tcPr>
          <w:p w14:paraId="687C906E" w14:textId="77777777" w:rsidR="00B40C23" w:rsidRPr="00954B78" w:rsidRDefault="000F5B51" w:rsidP="00B40C23">
            <w:pPr>
              <w:spacing w:after="0" w:line="240" w:lineRule="auto"/>
              <w:jc w:val="center"/>
              <w:rPr>
                <w:rFonts w:eastAsia="Times New Roman" w:cs="Times New Roman"/>
                <w:b/>
                <w:bCs/>
                <w:color w:val="000000"/>
                <w:szCs w:val="24"/>
              </w:rPr>
            </w:pPr>
            <w:r w:rsidRPr="00954B78">
              <w:rPr>
                <w:rFonts w:cs="Times New Roman"/>
                <w:b/>
                <w:bCs/>
                <w:color w:val="000000"/>
                <w:szCs w:val="24"/>
              </w:rPr>
              <w:t>0.7400</w:t>
            </w:r>
          </w:p>
        </w:tc>
        <w:tc>
          <w:tcPr>
            <w:tcW w:w="1271" w:type="dxa"/>
            <w:shd w:val="clear" w:color="auto" w:fill="auto"/>
            <w:noWrap/>
            <w:vAlign w:val="center"/>
          </w:tcPr>
          <w:p w14:paraId="0DBDC62C" w14:textId="77777777" w:rsidR="00B40C23" w:rsidRPr="00954B78" w:rsidRDefault="000F5B51" w:rsidP="00B40C23">
            <w:pPr>
              <w:spacing w:after="0" w:line="240" w:lineRule="auto"/>
              <w:jc w:val="center"/>
              <w:rPr>
                <w:rFonts w:eastAsia="Times New Roman" w:cs="Times New Roman"/>
                <w:b/>
                <w:bCs/>
                <w:color w:val="000000"/>
                <w:szCs w:val="24"/>
              </w:rPr>
            </w:pPr>
            <w:r>
              <w:rPr>
                <w:rFonts w:eastAsia="Times New Roman" w:cs="Times New Roman"/>
                <w:b/>
                <w:bCs/>
                <w:color w:val="000000"/>
                <w:szCs w:val="24"/>
              </w:rPr>
              <w:t>0.8825</w:t>
            </w:r>
          </w:p>
        </w:tc>
        <w:tc>
          <w:tcPr>
            <w:tcW w:w="1715" w:type="dxa"/>
            <w:shd w:val="clear" w:color="auto" w:fill="auto"/>
            <w:noWrap/>
            <w:vAlign w:val="center"/>
          </w:tcPr>
          <w:p w14:paraId="44684347" w14:textId="77777777" w:rsidR="00B40C23" w:rsidRPr="008B2330" w:rsidRDefault="000F5B51" w:rsidP="00B40C23">
            <w:pPr>
              <w:spacing w:after="0" w:line="240" w:lineRule="auto"/>
              <w:jc w:val="center"/>
              <w:rPr>
                <w:rFonts w:eastAsia="Times New Roman" w:cs="Times New Roman"/>
                <w:b/>
                <w:bCs/>
                <w:color w:val="000000"/>
                <w:szCs w:val="24"/>
              </w:rPr>
            </w:pPr>
            <w:r w:rsidRPr="008B2330">
              <w:rPr>
                <w:rFonts w:eastAsia="Times New Roman" w:cs="Times New Roman"/>
                <w:b/>
                <w:bCs/>
                <w:color w:val="000000"/>
                <w:szCs w:val="24"/>
              </w:rPr>
              <w:t>116</w:t>
            </w:r>
          </w:p>
        </w:tc>
        <w:tc>
          <w:tcPr>
            <w:tcW w:w="1352" w:type="dxa"/>
            <w:vAlign w:val="center"/>
          </w:tcPr>
          <w:p w14:paraId="6EE9C498" w14:textId="77777777" w:rsidR="00B40C23" w:rsidRPr="008B2330" w:rsidRDefault="000F5B51" w:rsidP="00B40C23">
            <w:pPr>
              <w:spacing w:after="0" w:line="240" w:lineRule="auto"/>
              <w:jc w:val="center"/>
              <w:rPr>
                <w:rFonts w:eastAsia="Times New Roman" w:cs="Times New Roman"/>
                <w:b/>
                <w:bCs/>
                <w:color w:val="000000"/>
                <w:szCs w:val="24"/>
              </w:rPr>
            </w:pPr>
            <w:r w:rsidRPr="008B2330">
              <w:rPr>
                <w:rFonts w:eastAsia="Times New Roman" w:cs="Times New Roman"/>
                <w:b/>
                <w:bCs/>
                <w:color w:val="000000"/>
                <w:szCs w:val="24"/>
              </w:rPr>
              <w:t>0.8845</w:t>
            </w:r>
          </w:p>
        </w:tc>
        <w:tc>
          <w:tcPr>
            <w:tcW w:w="1353" w:type="dxa"/>
            <w:vAlign w:val="center"/>
          </w:tcPr>
          <w:p w14:paraId="1927F834" w14:textId="77777777" w:rsidR="00B40C23" w:rsidRPr="008B2330" w:rsidRDefault="000F5B51" w:rsidP="00B40C23">
            <w:pPr>
              <w:spacing w:after="0" w:line="240" w:lineRule="auto"/>
              <w:jc w:val="center"/>
              <w:rPr>
                <w:rFonts w:eastAsia="Times New Roman" w:cs="Times New Roman"/>
                <w:b/>
                <w:bCs/>
                <w:color w:val="000000"/>
                <w:szCs w:val="24"/>
              </w:rPr>
            </w:pPr>
            <w:r w:rsidRPr="008B2330">
              <w:rPr>
                <w:rFonts w:eastAsia="Times New Roman" w:cs="Times New Roman"/>
                <w:b/>
                <w:bCs/>
                <w:color w:val="000000"/>
                <w:szCs w:val="24"/>
              </w:rPr>
              <w:t>0.8855</w:t>
            </w:r>
          </w:p>
        </w:tc>
        <w:tc>
          <w:tcPr>
            <w:tcW w:w="1610" w:type="dxa"/>
            <w:vAlign w:val="center"/>
          </w:tcPr>
          <w:p w14:paraId="2D699578" w14:textId="77777777" w:rsidR="00B40C23" w:rsidRPr="008B2330" w:rsidRDefault="000F5B51" w:rsidP="00B40C23">
            <w:pPr>
              <w:spacing w:after="0" w:line="240" w:lineRule="auto"/>
              <w:jc w:val="center"/>
              <w:rPr>
                <w:rFonts w:eastAsia="Times New Roman" w:cs="Times New Roman"/>
                <w:b/>
                <w:bCs/>
                <w:color w:val="000000"/>
                <w:szCs w:val="24"/>
              </w:rPr>
            </w:pPr>
            <w:r w:rsidRPr="008B2330">
              <w:rPr>
                <w:rFonts w:eastAsia="Times New Roman" w:cs="Times New Roman"/>
                <w:b/>
                <w:bCs/>
                <w:color w:val="000000"/>
                <w:szCs w:val="24"/>
              </w:rPr>
              <w:t>116</w:t>
            </w:r>
          </w:p>
        </w:tc>
        <w:tc>
          <w:tcPr>
            <w:tcW w:w="1620" w:type="dxa"/>
            <w:vAlign w:val="center"/>
          </w:tcPr>
          <w:p w14:paraId="4697E75F" w14:textId="77777777" w:rsidR="00B40C23" w:rsidRPr="008B2330" w:rsidRDefault="000F5B51" w:rsidP="00B40C23">
            <w:pPr>
              <w:spacing w:after="0" w:line="240" w:lineRule="auto"/>
              <w:jc w:val="center"/>
              <w:rPr>
                <w:rFonts w:eastAsia="Times New Roman" w:cs="Times New Roman"/>
                <w:b/>
                <w:bCs/>
                <w:color w:val="000000"/>
                <w:szCs w:val="24"/>
              </w:rPr>
            </w:pPr>
            <w:r w:rsidRPr="008B2330">
              <w:rPr>
                <w:rFonts w:eastAsia="Times New Roman" w:cs="Times New Roman"/>
                <w:b/>
                <w:bCs/>
                <w:color w:val="000000"/>
                <w:szCs w:val="24"/>
              </w:rPr>
              <w:t>116</w:t>
            </w:r>
          </w:p>
        </w:tc>
        <w:tc>
          <w:tcPr>
            <w:tcW w:w="1090" w:type="dxa"/>
            <w:vAlign w:val="center"/>
          </w:tcPr>
          <w:p w14:paraId="4C940BFD" w14:textId="77777777" w:rsidR="00B40C23" w:rsidRPr="008B2330" w:rsidRDefault="000F5B51" w:rsidP="00B40C23">
            <w:pPr>
              <w:spacing w:after="0" w:line="240" w:lineRule="auto"/>
              <w:jc w:val="center"/>
              <w:rPr>
                <w:rFonts w:eastAsia="Times New Roman" w:cs="Times New Roman"/>
                <w:b/>
                <w:bCs/>
                <w:color w:val="000000"/>
                <w:szCs w:val="24"/>
              </w:rPr>
            </w:pPr>
            <w:r w:rsidRPr="008B2330">
              <w:rPr>
                <w:rFonts w:eastAsia="Times New Roman" w:cs="Times New Roman"/>
                <w:b/>
                <w:bCs/>
                <w:color w:val="000000"/>
                <w:szCs w:val="24"/>
              </w:rPr>
              <w:t>0</w:t>
            </w:r>
          </w:p>
        </w:tc>
        <w:tc>
          <w:tcPr>
            <w:tcW w:w="1091" w:type="dxa"/>
            <w:vAlign w:val="center"/>
          </w:tcPr>
          <w:p w14:paraId="669CD900" w14:textId="77777777" w:rsidR="00B40C23" w:rsidRPr="008B2330" w:rsidRDefault="000F5B51" w:rsidP="00B40C23">
            <w:pPr>
              <w:spacing w:after="0" w:line="240" w:lineRule="auto"/>
              <w:jc w:val="center"/>
              <w:rPr>
                <w:rFonts w:eastAsia="Times New Roman" w:cs="Times New Roman"/>
                <w:b/>
                <w:bCs/>
                <w:color w:val="000000"/>
                <w:szCs w:val="24"/>
              </w:rPr>
            </w:pPr>
            <w:r w:rsidRPr="008B2330">
              <w:rPr>
                <w:rFonts w:eastAsia="Times New Roman" w:cs="Times New Roman"/>
                <w:b/>
                <w:bCs/>
                <w:color w:val="000000"/>
                <w:szCs w:val="24"/>
              </w:rPr>
              <w:t>0</w:t>
            </w:r>
          </w:p>
        </w:tc>
      </w:tr>
    </w:tbl>
    <w:p w14:paraId="1FA20F27" w14:textId="77777777" w:rsidR="00B82312" w:rsidRPr="00981545" w:rsidRDefault="000F5B51">
      <w:pPr>
        <w:rPr>
          <w:rFonts w:eastAsia="Times New Roman" w:cs="Times New Roman"/>
          <w:sz w:val="18"/>
          <w:szCs w:val="18"/>
        </w:rPr>
      </w:pPr>
      <w:r>
        <w:rPr>
          <w:rFonts w:eastAsia="Times New Roman" w:cs="Times New Roman"/>
          <w:sz w:val="18"/>
          <w:szCs w:val="18"/>
        </w:rPr>
        <w:t xml:space="preserve">Note: Values may not sum due to rounding. Benefits are rounded to the nearest </w:t>
      </w:r>
      <w:r w:rsidR="005A58BB">
        <w:rPr>
          <w:rFonts w:eastAsia="Times New Roman" w:cs="Times New Roman"/>
          <w:sz w:val="18"/>
          <w:szCs w:val="18"/>
        </w:rPr>
        <w:t>whole number for presentation purposes.</w:t>
      </w:r>
    </w:p>
    <w:p w14:paraId="272C1593" w14:textId="77777777" w:rsidR="009E4184" w:rsidRDefault="009E4184" w:rsidP="00696946">
      <w:pPr>
        <w:pStyle w:val="Caption"/>
      </w:pPr>
    </w:p>
    <w:p w14:paraId="61446A0A" w14:textId="77777777" w:rsidR="009E4184" w:rsidRDefault="009E4184" w:rsidP="00696946">
      <w:pPr>
        <w:pStyle w:val="Caption"/>
      </w:pPr>
    </w:p>
    <w:p w14:paraId="18A4DFF8" w14:textId="77777777" w:rsidR="009E4184" w:rsidRDefault="009E4184" w:rsidP="00696946">
      <w:pPr>
        <w:pStyle w:val="Caption"/>
      </w:pPr>
    </w:p>
    <w:p w14:paraId="0830FAE0" w14:textId="77777777" w:rsidR="009E4184" w:rsidRDefault="009E4184" w:rsidP="00420971">
      <w:pPr>
        <w:pStyle w:val="Caption"/>
      </w:pPr>
    </w:p>
    <w:p w14:paraId="5A150551" w14:textId="77777777" w:rsidR="00420971" w:rsidRPr="00420971" w:rsidRDefault="00420971" w:rsidP="00420971"/>
    <w:p w14:paraId="248BA5A0" w14:textId="10B09139" w:rsidR="00B82312" w:rsidRDefault="000F5B51" w:rsidP="0071662D">
      <w:pPr>
        <w:pStyle w:val="Caption"/>
        <w:rPr>
          <w:rFonts w:eastAsia="Times New Roman" w:cs="Times New Roman"/>
          <w:szCs w:val="24"/>
        </w:rPr>
      </w:pPr>
      <w:bookmarkStart w:id="235" w:name="_Ref126135024"/>
      <w:r>
        <w:lastRenderedPageBreak/>
        <w:t xml:space="preserve">Table </w:t>
      </w:r>
      <w:r w:rsidR="00115BAB">
        <w:fldChar w:fldCharType="begin"/>
      </w:r>
      <w:r>
        <w:instrText xml:space="preserve"> SEQ Table \* ARABIC </w:instrText>
      </w:r>
      <w:r w:rsidR="00115BAB">
        <w:fldChar w:fldCharType="separate"/>
      </w:r>
      <w:r w:rsidR="00A65CB3">
        <w:rPr>
          <w:noProof/>
        </w:rPr>
        <w:t>45</w:t>
      </w:r>
      <w:r w:rsidR="00115BAB">
        <w:rPr>
          <w:noProof/>
        </w:rPr>
        <w:fldChar w:fldCharType="end"/>
      </w:r>
      <w:bookmarkEnd w:id="235"/>
      <w:r>
        <w:t>: Incremental Benefits for Rear Seat Occupants Age 11 or Older by Vehicle Type</w:t>
      </w:r>
    </w:p>
    <w:tbl>
      <w:tblPr>
        <w:tblW w:w="15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88"/>
        <w:gridCol w:w="1229"/>
        <w:gridCol w:w="1317"/>
        <w:gridCol w:w="1581"/>
        <w:gridCol w:w="1405"/>
        <w:gridCol w:w="1352"/>
        <w:gridCol w:w="1353"/>
        <w:gridCol w:w="1610"/>
        <w:gridCol w:w="1620"/>
        <w:gridCol w:w="1090"/>
        <w:gridCol w:w="1091"/>
      </w:tblGrid>
      <w:tr w:rsidR="00A15C2C" w14:paraId="535C2978" w14:textId="77777777" w:rsidTr="00276870">
        <w:trPr>
          <w:trHeight w:val="1025"/>
          <w:jc w:val="center"/>
        </w:trPr>
        <w:tc>
          <w:tcPr>
            <w:tcW w:w="1488" w:type="dxa"/>
            <w:vMerge w:val="restart"/>
            <w:shd w:val="clear" w:color="auto" w:fill="D9D9D9" w:themeFill="background1" w:themeFillShade="D9"/>
            <w:noWrap/>
            <w:vAlign w:val="bottom"/>
          </w:tcPr>
          <w:p w14:paraId="1C5DAE7D" w14:textId="77777777" w:rsidR="00276870" w:rsidRDefault="00276870" w:rsidP="00276870">
            <w:pPr>
              <w:spacing w:after="0" w:line="240" w:lineRule="auto"/>
              <w:rPr>
                <w:rFonts w:eastAsia="Times New Roman" w:cs="Times New Roman"/>
                <w:b/>
                <w:bCs/>
                <w:color w:val="000000"/>
                <w:szCs w:val="24"/>
              </w:rPr>
            </w:pPr>
          </w:p>
          <w:p w14:paraId="50FBB033" w14:textId="77777777" w:rsidR="00276870" w:rsidRDefault="000F5B51" w:rsidP="0055589E">
            <w:pPr>
              <w:spacing w:after="0" w:line="240" w:lineRule="auto"/>
              <w:rPr>
                <w:rFonts w:eastAsia="Times New Roman" w:cs="Times New Roman"/>
                <w:b/>
                <w:bCs/>
                <w:color w:val="000000"/>
                <w:szCs w:val="24"/>
              </w:rPr>
            </w:pPr>
            <w:r>
              <w:rPr>
                <w:rFonts w:eastAsia="Times New Roman" w:cs="Times New Roman"/>
                <w:b/>
                <w:bCs/>
                <w:color w:val="000000"/>
                <w:szCs w:val="24"/>
              </w:rPr>
              <w:t xml:space="preserve">Injury Severity </w:t>
            </w:r>
          </w:p>
        </w:tc>
        <w:tc>
          <w:tcPr>
            <w:tcW w:w="1229" w:type="dxa"/>
            <w:vMerge w:val="restart"/>
            <w:shd w:val="clear" w:color="auto" w:fill="D9D9D9" w:themeFill="background1" w:themeFillShade="D9"/>
            <w:vAlign w:val="center"/>
          </w:tcPr>
          <w:p w14:paraId="62A3769B" w14:textId="77777777" w:rsidR="00276870" w:rsidRDefault="000F5B51" w:rsidP="00276870">
            <w:pPr>
              <w:spacing w:after="0" w:line="240" w:lineRule="auto"/>
              <w:jc w:val="center"/>
              <w:rPr>
                <w:rFonts w:eastAsia="Times New Roman" w:cs="Times New Roman"/>
                <w:b/>
                <w:bCs/>
                <w:color w:val="000000"/>
                <w:szCs w:val="24"/>
              </w:rPr>
            </w:pPr>
            <w:r w:rsidRPr="00954B78">
              <w:rPr>
                <w:rFonts w:eastAsia="Times New Roman" w:cs="Times New Roman"/>
                <w:b/>
                <w:bCs/>
                <w:color w:val="000000"/>
                <w:szCs w:val="24"/>
              </w:rPr>
              <w:t>Potential Injuries</w:t>
            </w:r>
          </w:p>
          <w:p w14:paraId="340A0F98" w14:textId="77777777" w:rsidR="00276870" w:rsidRDefault="000F5B51" w:rsidP="0055589E">
            <w:pPr>
              <w:spacing w:after="0" w:line="240" w:lineRule="auto"/>
              <w:jc w:val="center"/>
              <w:rPr>
                <w:rFonts w:eastAsia="Times New Roman" w:cs="Times New Roman"/>
                <w:b/>
                <w:bCs/>
                <w:color w:val="000000"/>
                <w:szCs w:val="24"/>
              </w:rPr>
            </w:pPr>
            <w:r>
              <w:rPr>
                <w:rFonts w:eastAsia="Times New Roman" w:cs="Times New Roman"/>
                <w:b/>
                <w:bCs/>
                <w:color w:val="000000"/>
                <w:szCs w:val="24"/>
              </w:rPr>
              <w:t>(a)</w:t>
            </w:r>
          </w:p>
        </w:tc>
        <w:tc>
          <w:tcPr>
            <w:tcW w:w="1317" w:type="dxa"/>
            <w:vMerge w:val="restart"/>
            <w:shd w:val="clear" w:color="auto" w:fill="D9D9D9" w:themeFill="background1" w:themeFillShade="D9"/>
            <w:noWrap/>
            <w:vAlign w:val="center"/>
          </w:tcPr>
          <w:p w14:paraId="01051AA8" w14:textId="77777777" w:rsidR="00276870" w:rsidRDefault="000F5B51" w:rsidP="00276870">
            <w:pPr>
              <w:spacing w:after="0" w:line="240" w:lineRule="auto"/>
              <w:jc w:val="center"/>
              <w:rPr>
                <w:rFonts w:eastAsia="Times New Roman" w:cs="Times New Roman"/>
                <w:b/>
                <w:bCs/>
                <w:color w:val="000000"/>
                <w:szCs w:val="24"/>
              </w:rPr>
            </w:pPr>
            <w:r>
              <w:rPr>
                <w:rFonts w:eastAsia="Times New Roman" w:cs="Times New Roman"/>
                <w:b/>
                <w:bCs/>
                <w:color w:val="000000"/>
                <w:szCs w:val="24"/>
              </w:rPr>
              <w:t>Seat Belt Effectiveness</w:t>
            </w:r>
          </w:p>
          <w:p w14:paraId="3BDC49BE" w14:textId="77777777" w:rsidR="00276870" w:rsidRPr="00954B78" w:rsidRDefault="000F5B51" w:rsidP="0055589E">
            <w:pPr>
              <w:spacing w:after="0" w:line="240" w:lineRule="auto"/>
              <w:jc w:val="center"/>
              <w:rPr>
                <w:rFonts w:eastAsia="Times New Roman" w:cs="Times New Roman"/>
                <w:b/>
                <w:bCs/>
                <w:color w:val="000000"/>
                <w:szCs w:val="24"/>
              </w:rPr>
            </w:pPr>
            <w:r>
              <w:rPr>
                <w:rFonts w:eastAsia="Times New Roman" w:cs="Times New Roman"/>
                <w:b/>
                <w:bCs/>
                <w:color w:val="000000"/>
                <w:szCs w:val="24"/>
              </w:rPr>
              <w:t>(b)</w:t>
            </w:r>
          </w:p>
        </w:tc>
        <w:tc>
          <w:tcPr>
            <w:tcW w:w="1581" w:type="dxa"/>
            <w:vMerge w:val="restart"/>
            <w:shd w:val="clear" w:color="auto" w:fill="D9D9D9" w:themeFill="background1" w:themeFillShade="D9"/>
            <w:noWrap/>
            <w:vAlign w:val="center"/>
          </w:tcPr>
          <w:p w14:paraId="0D05C609" w14:textId="77777777" w:rsidR="00276870" w:rsidRDefault="000F5B51" w:rsidP="00276870">
            <w:pPr>
              <w:spacing w:after="0" w:line="240" w:lineRule="auto"/>
              <w:jc w:val="center"/>
              <w:rPr>
                <w:rFonts w:eastAsia="Times New Roman" w:cs="Times New Roman"/>
                <w:b/>
                <w:bCs/>
                <w:color w:val="000000"/>
                <w:szCs w:val="24"/>
              </w:rPr>
            </w:pPr>
            <w:r>
              <w:rPr>
                <w:rFonts w:eastAsia="Times New Roman" w:cs="Times New Roman"/>
                <w:b/>
                <w:bCs/>
                <w:color w:val="000000"/>
                <w:szCs w:val="24"/>
              </w:rPr>
              <w:t>Baseline Seat Belt Use Rate</w:t>
            </w:r>
          </w:p>
          <w:p w14:paraId="318AF534" w14:textId="77777777" w:rsidR="00276870" w:rsidRPr="00954B78" w:rsidRDefault="000F5B51" w:rsidP="0055589E">
            <w:pPr>
              <w:spacing w:after="0" w:line="240" w:lineRule="auto"/>
              <w:jc w:val="center"/>
              <w:rPr>
                <w:rFonts w:eastAsia="Times New Roman" w:cs="Times New Roman"/>
                <w:b/>
                <w:bCs/>
                <w:color w:val="000000"/>
                <w:szCs w:val="24"/>
              </w:rPr>
            </w:pPr>
            <w:r>
              <w:rPr>
                <w:rFonts w:eastAsia="Times New Roman" w:cs="Times New Roman"/>
                <w:b/>
                <w:bCs/>
                <w:color w:val="000000"/>
                <w:szCs w:val="24"/>
              </w:rPr>
              <w:t>(c)</w:t>
            </w:r>
          </w:p>
        </w:tc>
        <w:tc>
          <w:tcPr>
            <w:tcW w:w="1405" w:type="dxa"/>
            <w:vMerge w:val="restart"/>
            <w:shd w:val="clear" w:color="auto" w:fill="D9D9D9" w:themeFill="background1" w:themeFillShade="D9"/>
            <w:noWrap/>
            <w:vAlign w:val="center"/>
          </w:tcPr>
          <w:p w14:paraId="3AED8CA1" w14:textId="62A72C87" w:rsidR="00276870" w:rsidRDefault="000F5B51" w:rsidP="00276870">
            <w:pPr>
              <w:spacing w:after="0" w:line="240" w:lineRule="auto"/>
              <w:jc w:val="center"/>
              <w:rPr>
                <w:rFonts w:eastAsia="Times New Roman" w:cs="Times New Roman"/>
                <w:b/>
                <w:bCs/>
                <w:color w:val="000000"/>
                <w:szCs w:val="24"/>
              </w:rPr>
            </w:pPr>
            <w:r w:rsidRPr="00012598">
              <w:rPr>
                <w:rFonts w:eastAsia="Times New Roman" w:cs="Times New Roman"/>
                <w:b/>
                <w:bCs/>
                <w:color w:val="000000"/>
                <w:szCs w:val="24"/>
              </w:rPr>
              <w:t>Baseline</w:t>
            </w:r>
            <w:r w:rsidR="000603E0">
              <w:rPr>
                <w:rFonts w:eastAsia="Times New Roman" w:cs="Times New Roman"/>
                <w:b/>
                <w:bCs/>
                <w:color w:val="000000"/>
                <w:szCs w:val="24"/>
              </w:rPr>
              <w:t xml:space="preserve"> Effects</w:t>
            </w:r>
          </w:p>
          <w:p w14:paraId="4638D3EE" w14:textId="77777777" w:rsidR="00276870" w:rsidRPr="0068771B" w:rsidRDefault="000F5B51" w:rsidP="0055589E">
            <w:pPr>
              <w:spacing w:after="0" w:line="240" w:lineRule="auto"/>
              <w:jc w:val="center"/>
              <w:rPr>
                <w:rFonts w:eastAsia="Times New Roman" w:cs="Times New Roman"/>
                <w:b/>
                <w:bCs/>
                <w:color w:val="000000"/>
                <w:szCs w:val="24"/>
              </w:rPr>
            </w:pPr>
            <w:r>
              <w:rPr>
                <w:rFonts w:eastAsia="Times New Roman" w:cs="Times New Roman"/>
                <w:b/>
                <w:bCs/>
                <w:color w:val="000000"/>
                <w:szCs w:val="24"/>
              </w:rPr>
              <w:t>(a) x (b) x (c)</w:t>
            </w:r>
          </w:p>
        </w:tc>
        <w:tc>
          <w:tcPr>
            <w:tcW w:w="2705" w:type="dxa"/>
            <w:gridSpan w:val="2"/>
            <w:shd w:val="clear" w:color="auto" w:fill="D9D9D9" w:themeFill="background1" w:themeFillShade="D9"/>
            <w:vAlign w:val="center"/>
          </w:tcPr>
          <w:p w14:paraId="0D272A54" w14:textId="77777777" w:rsidR="00276870" w:rsidRDefault="000F5B51" w:rsidP="00276870">
            <w:pPr>
              <w:spacing w:after="0" w:line="240" w:lineRule="auto"/>
              <w:jc w:val="center"/>
              <w:rPr>
                <w:rFonts w:eastAsia="Times New Roman" w:cs="Times New Roman"/>
                <w:b/>
                <w:bCs/>
                <w:color w:val="000000"/>
                <w:szCs w:val="24"/>
              </w:rPr>
            </w:pPr>
            <w:r>
              <w:rPr>
                <w:rFonts w:eastAsia="Times New Roman" w:cs="Times New Roman"/>
                <w:b/>
                <w:bCs/>
                <w:color w:val="000000"/>
                <w:szCs w:val="24"/>
              </w:rPr>
              <w:t>Proposed Rule Seat Belt Use Rate</w:t>
            </w:r>
          </w:p>
        </w:tc>
        <w:tc>
          <w:tcPr>
            <w:tcW w:w="3230" w:type="dxa"/>
            <w:gridSpan w:val="2"/>
            <w:shd w:val="clear" w:color="auto" w:fill="D9D9D9" w:themeFill="background1" w:themeFillShade="D9"/>
            <w:vAlign w:val="center"/>
          </w:tcPr>
          <w:p w14:paraId="328F9C54" w14:textId="56C46912" w:rsidR="00276870" w:rsidRDefault="000F5B51" w:rsidP="00276870">
            <w:pPr>
              <w:spacing w:after="0" w:line="240" w:lineRule="auto"/>
              <w:jc w:val="center"/>
              <w:rPr>
                <w:rFonts w:eastAsia="Times New Roman" w:cs="Times New Roman"/>
                <w:b/>
                <w:bCs/>
                <w:color w:val="000000"/>
                <w:szCs w:val="24"/>
              </w:rPr>
            </w:pPr>
            <w:r>
              <w:rPr>
                <w:rFonts w:eastAsia="Times New Roman" w:cs="Times New Roman"/>
                <w:b/>
                <w:bCs/>
                <w:color w:val="000000"/>
                <w:szCs w:val="24"/>
              </w:rPr>
              <w:t>Calculation of Benefits Under the Proposed Rule</w:t>
            </w:r>
            <w:r w:rsidR="000603E0">
              <w:rPr>
                <w:rFonts w:eastAsia="Times New Roman" w:cs="Times New Roman"/>
                <w:b/>
                <w:bCs/>
                <w:color w:val="000000"/>
                <w:szCs w:val="24"/>
              </w:rPr>
              <w:t xml:space="preserve"> Unadjusted for Baseline Effects</w:t>
            </w:r>
          </w:p>
        </w:tc>
        <w:tc>
          <w:tcPr>
            <w:tcW w:w="2181" w:type="dxa"/>
            <w:gridSpan w:val="2"/>
            <w:shd w:val="clear" w:color="auto" w:fill="D9D9D9" w:themeFill="background1" w:themeFillShade="D9"/>
            <w:vAlign w:val="center"/>
          </w:tcPr>
          <w:p w14:paraId="4A6D04C0" w14:textId="166C62CF" w:rsidR="00276870" w:rsidRDefault="000F5B51" w:rsidP="00276870">
            <w:pPr>
              <w:spacing w:after="0" w:line="240" w:lineRule="auto"/>
              <w:jc w:val="center"/>
              <w:rPr>
                <w:rFonts w:eastAsia="Times New Roman" w:cs="Times New Roman"/>
                <w:b/>
                <w:bCs/>
                <w:color w:val="000000"/>
                <w:szCs w:val="24"/>
              </w:rPr>
            </w:pPr>
            <w:r>
              <w:rPr>
                <w:rFonts w:eastAsia="Times New Roman" w:cs="Times New Roman"/>
                <w:b/>
                <w:bCs/>
                <w:color w:val="000000"/>
                <w:szCs w:val="24"/>
              </w:rPr>
              <w:t>Incremental Benefits (</w:t>
            </w:r>
            <w:r w:rsidR="00011883">
              <w:rPr>
                <w:rFonts w:eastAsia="Times New Roman" w:cs="Times New Roman"/>
                <w:b/>
                <w:bCs/>
                <w:color w:val="000000"/>
                <w:szCs w:val="24"/>
              </w:rPr>
              <w:t xml:space="preserve">Unadjusted </w:t>
            </w:r>
            <w:r>
              <w:rPr>
                <w:rFonts w:eastAsia="Times New Roman" w:cs="Times New Roman"/>
                <w:b/>
                <w:bCs/>
                <w:color w:val="000000"/>
                <w:szCs w:val="24"/>
              </w:rPr>
              <w:t>Proposed Rule</w:t>
            </w:r>
            <w:r w:rsidR="000603E0">
              <w:rPr>
                <w:rFonts w:eastAsia="Times New Roman" w:cs="Times New Roman"/>
                <w:b/>
                <w:bCs/>
                <w:color w:val="000000"/>
                <w:szCs w:val="24"/>
              </w:rPr>
              <w:t xml:space="preserve"> </w:t>
            </w:r>
            <w:r>
              <w:rPr>
                <w:rFonts w:eastAsia="Times New Roman" w:cs="Times New Roman"/>
                <w:b/>
                <w:bCs/>
                <w:color w:val="000000"/>
                <w:szCs w:val="24"/>
              </w:rPr>
              <w:t>minus Baseline)</w:t>
            </w:r>
          </w:p>
        </w:tc>
      </w:tr>
      <w:tr w:rsidR="00A15C2C" w14:paraId="52494859" w14:textId="77777777" w:rsidTr="00471A78">
        <w:trPr>
          <w:trHeight w:val="310"/>
          <w:jc w:val="center"/>
        </w:trPr>
        <w:tc>
          <w:tcPr>
            <w:tcW w:w="1488" w:type="dxa"/>
            <w:vMerge/>
            <w:shd w:val="clear" w:color="auto" w:fill="auto"/>
            <w:noWrap/>
            <w:vAlign w:val="bottom"/>
          </w:tcPr>
          <w:p w14:paraId="11AFB3C4" w14:textId="77777777" w:rsidR="00276870" w:rsidRDefault="00276870" w:rsidP="00276870">
            <w:pPr>
              <w:spacing w:after="0" w:line="240" w:lineRule="auto"/>
              <w:rPr>
                <w:rFonts w:eastAsia="Times New Roman" w:cs="Times New Roman"/>
                <w:color w:val="000000"/>
                <w:szCs w:val="24"/>
              </w:rPr>
            </w:pPr>
          </w:p>
        </w:tc>
        <w:tc>
          <w:tcPr>
            <w:tcW w:w="1229" w:type="dxa"/>
            <w:vMerge/>
            <w:vAlign w:val="center"/>
          </w:tcPr>
          <w:p w14:paraId="1C903182" w14:textId="77777777" w:rsidR="00276870" w:rsidRPr="00954B78" w:rsidRDefault="00276870" w:rsidP="00276870">
            <w:pPr>
              <w:spacing w:after="0" w:line="240" w:lineRule="auto"/>
              <w:jc w:val="center"/>
              <w:rPr>
                <w:rFonts w:cs="Times New Roman"/>
                <w:color w:val="000000"/>
                <w:szCs w:val="24"/>
              </w:rPr>
            </w:pPr>
          </w:p>
        </w:tc>
        <w:tc>
          <w:tcPr>
            <w:tcW w:w="1317" w:type="dxa"/>
            <w:vMerge/>
            <w:shd w:val="clear" w:color="auto" w:fill="auto"/>
            <w:noWrap/>
            <w:vAlign w:val="center"/>
          </w:tcPr>
          <w:p w14:paraId="62C810C1" w14:textId="77777777" w:rsidR="00276870" w:rsidRPr="00954B78" w:rsidRDefault="00276870" w:rsidP="00276870">
            <w:pPr>
              <w:spacing w:after="0" w:line="240" w:lineRule="auto"/>
              <w:jc w:val="center"/>
              <w:rPr>
                <w:rFonts w:cs="Times New Roman"/>
                <w:color w:val="000000"/>
                <w:szCs w:val="24"/>
              </w:rPr>
            </w:pPr>
          </w:p>
        </w:tc>
        <w:tc>
          <w:tcPr>
            <w:tcW w:w="1581" w:type="dxa"/>
            <w:vMerge/>
            <w:shd w:val="clear" w:color="auto" w:fill="auto"/>
            <w:noWrap/>
            <w:vAlign w:val="center"/>
          </w:tcPr>
          <w:p w14:paraId="3037B5B9" w14:textId="77777777" w:rsidR="00276870" w:rsidRPr="00954B78" w:rsidRDefault="00276870" w:rsidP="00276870">
            <w:pPr>
              <w:spacing w:after="0" w:line="240" w:lineRule="auto"/>
              <w:jc w:val="center"/>
              <w:rPr>
                <w:rFonts w:cs="Times New Roman"/>
                <w:color w:val="000000"/>
                <w:szCs w:val="24"/>
              </w:rPr>
            </w:pPr>
          </w:p>
        </w:tc>
        <w:tc>
          <w:tcPr>
            <w:tcW w:w="1405" w:type="dxa"/>
            <w:vMerge/>
            <w:shd w:val="clear" w:color="auto" w:fill="auto"/>
            <w:noWrap/>
            <w:vAlign w:val="center"/>
          </w:tcPr>
          <w:p w14:paraId="64434C7A" w14:textId="77777777" w:rsidR="00276870" w:rsidRPr="00954B78" w:rsidRDefault="00276870" w:rsidP="00276870">
            <w:pPr>
              <w:spacing w:after="0" w:line="240" w:lineRule="auto"/>
              <w:jc w:val="center"/>
              <w:rPr>
                <w:rFonts w:eastAsia="Times New Roman" w:cs="Times New Roman"/>
                <w:color w:val="000000"/>
                <w:szCs w:val="24"/>
              </w:rPr>
            </w:pPr>
          </w:p>
        </w:tc>
        <w:tc>
          <w:tcPr>
            <w:tcW w:w="1352" w:type="dxa"/>
            <w:shd w:val="clear" w:color="auto" w:fill="D9D9D9" w:themeFill="background1" w:themeFillShade="D9"/>
            <w:vAlign w:val="center"/>
          </w:tcPr>
          <w:p w14:paraId="04D9CF19" w14:textId="77777777" w:rsidR="00276870" w:rsidRDefault="000F5B51" w:rsidP="00276870">
            <w:pPr>
              <w:spacing w:after="0" w:line="240" w:lineRule="auto"/>
              <w:jc w:val="center"/>
              <w:rPr>
                <w:rFonts w:eastAsia="Times New Roman" w:cs="Times New Roman"/>
                <w:b/>
                <w:bCs/>
                <w:color w:val="000000"/>
                <w:szCs w:val="24"/>
              </w:rPr>
            </w:pPr>
            <w:r>
              <w:rPr>
                <w:rFonts w:eastAsia="Times New Roman" w:cs="Times New Roman"/>
                <w:b/>
                <w:bCs/>
                <w:color w:val="000000"/>
                <w:szCs w:val="24"/>
              </w:rPr>
              <w:t>Lo</w:t>
            </w:r>
          </w:p>
          <w:p w14:paraId="32EA9F57" w14:textId="77777777" w:rsidR="00276870" w:rsidRPr="0055589E" w:rsidRDefault="000F5B51" w:rsidP="00276870">
            <w:pPr>
              <w:spacing w:after="0" w:line="240" w:lineRule="auto"/>
              <w:jc w:val="center"/>
              <w:rPr>
                <w:rFonts w:eastAsia="Times New Roman" w:cs="Times New Roman"/>
                <w:b/>
                <w:bCs/>
                <w:color w:val="000000"/>
                <w:szCs w:val="24"/>
              </w:rPr>
            </w:pPr>
            <w:r>
              <w:rPr>
                <w:rFonts w:eastAsia="Times New Roman" w:cs="Times New Roman"/>
                <w:b/>
                <w:bCs/>
                <w:color w:val="000000"/>
                <w:szCs w:val="24"/>
              </w:rPr>
              <w:t>(d)</w:t>
            </w:r>
          </w:p>
        </w:tc>
        <w:tc>
          <w:tcPr>
            <w:tcW w:w="1353" w:type="dxa"/>
            <w:shd w:val="clear" w:color="auto" w:fill="D9D9D9" w:themeFill="background1" w:themeFillShade="D9"/>
            <w:vAlign w:val="center"/>
          </w:tcPr>
          <w:p w14:paraId="6DEF9B5A" w14:textId="77777777" w:rsidR="00276870" w:rsidRDefault="000F5B51" w:rsidP="00276870">
            <w:pPr>
              <w:spacing w:after="0" w:line="240" w:lineRule="auto"/>
              <w:jc w:val="center"/>
              <w:rPr>
                <w:rFonts w:eastAsia="Times New Roman" w:cs="Times New Roman"/>
                <w:b/>
                <w:bCs/>
                <w:color w:val="000000"/>
                <w:szCs w:val="24"/>
              </w:rPr>
            </w:pPr>
            <w:r>
              <w:rPr>
                <w:rFonts w:eastAsia="Times New Roman" w:cs="Times New Roman"/>
                <w:b/>
                <w:bCs/>
                <w:color w:val="000000"/>
                <w:szCs w:val="24"/>
              </w:rPr>
              <w:t>Hi</w:t>
            </w:r>
          </w:p>
          <w:p w14:paraId="1C27C83B" w14:textId="77777777" w:rsidR="00276870" w:rsidRPr="0055589E" w:rsidRDefault="000F5B51" w:rsidP="00276870">
            <w:pPr>
              <w:spacing w:after="0" w:line="240" w:lineRule="auto"/>
              <w:jc w:val="center"/>
              <w:rPr>
                <w:rFonts w:eastAsia="Times New Roman" w:cs="Times New Roman"/>
                <w:b/>
                <w:bCs/>
                <w:color w:val="000000"/>
                <w:szCs w:val="24"/>
              </w:rPr>
            </w:pPr>
            <w:r>
              <w:rPr>
                <w:rFonts w:eastAsia="Times New Roman" w:cs="Times New Roman"/>
                <w:b/>
                <w:bCs/>
                <w:color w:val="000000"/>
                <w:szCs w:val="24"/>
              </w:rPr>
              <w:t>(e)</w:t>
            </w:r>
          </w:p>
        </w:tc>
        <w:tc>
          <w:tcPr>
            <w:tcW w:w="1610" w:type="dxa"/>
            <w:shd w:val="clear" w:color="auto" w:fill="D9D9D9" w:themeFill="background1" w:themeFillShade="D9"/>
            <w:vAlign w:val="center"/>
          </w:tcPr>
          <w:p w14:paraId="3D392EB7" w14:textId="77777777" w:rsidR="00276870" w:rsidRDefault="000F5B51" w:rsidP="00276870">
            <w:pPr>
              <w:spacing w:after="0" w:line="240" w:lineRule="auto"/>
              <w:jc w:val="center"/>
              <w:rPr>
                <w:rFonts w:eastAsia="Times New Roman" w:cs="Times New Roman"/>
                <w:b/>
                <w:bCs/>
                <w:color w:val="000000"/>
                <w:szCs w:val="24"/>
              </w:rPr>
            </w:pPr>
            <w:r>
              <w:rPr>
                <w:rFonts w:eastAsia="Times New Roman" w:cs="Times New Roman"/>
                <w:b/>
                <w:bCs/>
                <w:color w:val="000000"/>
                <w:szCs w:val="24"/>
              </w:rPr>
              <w:t>Lo</w:t>
            </w:r>
          </w:p>
          <w:p w14:paraId="55C1ED8F" w14:textId="77777777" w:rsidR="00276870" w:rsidRPr="0055589E" w:rsidRDefault="000F5B51" w:rsidP="00276870">
            <w:pPr>
              <w:spacing w:after="0" w:line="240" w:lineRule="auto"/>
              <w:jc w:val="center"/>
              <w:rPr>
                <w:rFonts w:eastAsia="Times New Roman" w:cs="Times New Roman"/>
                <w:b/>
                <w:bCs/>
                <w:color w:val="000000"/>
                <w:szCs w:val="24"/>
              </w:rPr>
            </w:pPr>
            <w:r>
              <w:rPr>
                <w:rFonts w:eastAsia="Times New Roman" w:cs="Times New Roman"/>
                <w:b/>
                <w:bCs/>
                <w:color w:val="000000"/>
                <w:szCs w:val="24"/>
              </w:rPr>
              <w:t>(a) x (b) x (d)</w:t>
            </w:r>
          </w:p>
        </w:tc>
        <w:tc>
          <w:tcPr>
            <w:tcW w:w="1620" w:type="dxa"/>
            <w:shd w:val="clear" w:color="auto" w:fill="D9D9D9" w:themeFill="background1" w:themeFillShade="D9"/>
            <w:vAlign w:val="center"/>
          </w:tcPr>
          <w:p w14:paraId="0BC360F1" w14:textId="77777777" w:rsidR="00276870" w:rsidRDefault="000F5B51" w:rsidP="00471A78">
            <w:pPr>
              <w:spacing w:after="0" w:line="240" w:lineRule="auto"/>
              <w:jc w:val="center"/>
              <w:rPr>
                <w:rFonts w:eastAsia="Times New Roman" w:cs="Times New Roman"/>
                <w:b/>
                <w:bCs/>
                <w:color w:val="000000"/>
                <w:szCs w:val="24"/>
              </w:rPr>
            </w:pPr>
            <w:r>
              <w:rPr>
                <w:rFonts w:eastAsia="Times New Roman" w:cs="Times New Roman"/>
                <w:b/>
                <w:bCs/>
                <w:color w:val="000000"/>
                <w:szCs w:val="24"/>
              </w:rPr>
              <w:t>Hi</w:t>
            </w:r>
          </w:p>
          <w:p w14:paraId="616AB6CB" w14:textId="77777777" w:rsidR="00276870" w:rsidRPr="0055589E" w:rsidRDefault="000F5B51" w:rsidP="00471A78">
            <w:pPr>
              <w:spacing w:after="0" w:line="240" w:lineRule="auto"/>
              <w:jc w:val="center"/>
              <w:rPr>
                <w:rFonts w:eastAsia="Times New Roman" w:cs="Times New Roman"/>
                <w:b/>
                <w:bCs/>
                <w:color w:val="000000"/>
                <w:szCs w:val="24"/>
              </w:rPr>
            </w:pPr>
            <w:r>
              <w:rPr>
                <w:rFonts w:eastAsia="Times New Roman" w:cs="Times New Roman"/>
                <w:b/>
                <w:bCs/>
                <w:color w:val="000000"/>
                <w:szCs w:val="24"/>
              </w:rPr>
              <w:t>(a) x (b) x (e)</w:t>
            </w:r>
          </w:p>
        </w:tc>
        <w:tc>
          <w:tcPr>
            <w:tcW w:w="1090" w:type="dxa"/>
            <w:shd w:val="clear" w:color="auto" w:fill="D9D9D9" w:themeFill="background1" w:themeFillShade="D9"/>
            <w:vAlign w:val="center"/>
          </w:tcPr>
          <w:p w14:paraId="55F38141" w14:textId="77777777" w:rsidR="00276870" w:rsidRPr="0055589E" w:rsidRDefault="000F5B51" w:rsidP="00276870">
            <w:pPr>
              <w:spacing w:after="0" w:line="240" w:lineRule="auto"/>
              <w:jc w:val="center"/>
              <w:rPr>
                <w:rFonts w:eastAsia="Times New Roman" w:cs="Times New Roman"/>
                <w:b/>
                <w:bCs/>
                <w:color w:val="000000"/>
                <w:szCs w:val="24"/>
              </w:rPr>
            </w:pPr>
            <w:r>
              <w:rPr>
                <w:rFonts w:eastAsia="Times New Roman" w:cs="Times New Roman"/>
                <w:b/>
                <w:bCs/>
                <w:color w:val="000000"/>
                <w:szCs w:val="24"/>
              </w:rPr>
              <w:t>Lo</w:t>
            </w:r>
          </w:p>
        </w:tc>
        <w:tc>
          <w:tcPr>
            <w:tcW w:w="1091" w:type="dxa"/>
            <w:shd w:val="clear" w:color="auto" w:fill="D9D9D9" w:themeFill="background1" w:themeFillShade="D9"/>
            <w:vAlign w:val="center"/>
          </w:tcPr>
          <w:p w14:paraId="79B28FF3" w14:textId="77777777" w:rsidR="00276870" w:rsidRPr="0055589E" w:rsidRDefault="000F5B51" w:rsidP="0068771B">
            <w:pPr>
              <w:spacing w:after="0" w:line="240" w:lineRule="auto"/>
              <w:jc w:val="center"/>
              <w:rPr>
                <w:rFonts w:eastAsia="Times New Roman" w:cs="Times New Roman"/>
                <w:b/>
                <w:bCs/>
                <w:color w:val="000000"/>
                <w:szCs w:val="24"/>
              </w:rPr>
            </w:pPr>
            <w:r>
              <w:rPr>
                <w:rFonts w:eastAsia="Times New Roman" w:cs="Times New Roman"/>
                <w:b/>
                <w:bCs/>
                <w:color w:val="000000"/>
                <w:szCs w:val="24"/>
              </w:rPr>
              <w:t>Hi</w:t>
            </w:r>
          </w:p>
        </w:tc>
      </w:tr>
      <w:tr w:rsidR="00A15C2C" w14:paraId="47A9FC27" w14:textId="77777777" w:rsidTr="000B32DD">
        <w:trPr>
          <w:trHeight w:val="310"/>
          <w:jc w:val="center"/>
        </w:trPr>
        <w:tc>
          <w:tcPr>
            <w:tcW w:w="15136" w:type="dxa"/>
            <w:gridSpan w:val="11"/>
            <w:shd w:val="clear" w:color="auto" w:fill="D9D9D9" w:themeFill="background1" w:themeFillShade="D9"/>
            <w:noWrap/>
            <w:vAlign w:val="bottom"/>
          </w:tcPr>
          <w:p w14:paraId="60696DE6" w14:textId="77777777" w:rsidR="000B32DD" w:rsidRPr="000B32DD" w:rsidRDefault="000F5B51" w:rsidP="00C20181">
            <w:pPr>
              <w:spacing w:after="0" w:line="240" w:lineRule="auto"/>
              <w:jc w:val="center"/>
              <w:rPr>
                <w:b/>
                <w:bCs/>
                <w:i/>
                <w:iCs/>
                <w:color w:val="000000"/>
              </w:rPr>
            </w:pPr>
            <w:r w:rsidRPr="000B32DD">
              <w:rPr>
                <w:b/>
                <w:bCs/>
                <w:i/>
                <w:iCs/>
                <w:color w:val="000000"/>
              </w:rPr>
              <w:t>Passenger Cars</w:t>
            </w:r>
          </w:p>
        </w:tc>
      </w:tr>
      <w:tr w:rsidR="00A15C2C" w14:paraId="4F8013EE" w14:textId="77777777" w:rsidTr="0055589E">
        <w:trPr>
          <w:trHeight w:val="310"/>
          <w:jc w:val="center"/>
        </w:trPr>
        <w:tc>
          <w:tcPr>
            <w:tcW w:w="1488" w:type="dxa"/>
            <w:shd w:val="clear" w:color="auto" w:fill="auto"/>
            <w:noWrap/>
            <w:vAlign w:val="bottom"/>
          </w:tcPr>
          <w:p w14:paraId="5F3B37B6" w14:textId="77777777" w:rsidR="00C20181" w:rsidRPr="00954B78" w:rsidRDefault="000F5B51" w:rsidP="006E4648">
            <w:pPr>
              <w:spacing w:after="0" w:line="240" w:lineRule="auto"/>
              <w:rPr>
                <w:rFonts w:eastAsia="Times New Roman" w:cs="Times New Roman"/>
                <w:color w:val="000000"/>
                <w:szCs w:val="24"/>
              </w:rPr>
            </w:pPr>
            <w:r>
              <w:rPr>
                <w:rFonts w:eastAsia="Times New Roman" w:cs="Times New Roman"/>
                <w:color w:val="000000"/>
                <w:szCs w:val="24"/>
              </w:rPr>
              <w:t>MAIS 1</w:t>
            </w:r>
          </w:p>
        </w:tc>
        <w:tc>
          <w:tcPr>
            <w:tcW w:w="1229" w:type="dxa"/>
            <w:vAlign w:val="center"/>
          </w:tcPr>
          <w:p w14:paraId="7DD52F42" w14:textId="77777777" w:rsidR="00C20181" w:rsidRPr="00954B78" w:rsidRDefault="000F5B51" w:rsidP="0068771B">
            <w:pPr>
              <w:spacing w:after="0" w:line="240" w:lineRule="auto"/>
              <w:jc w:val="center"/>
              <w:rPr>
                <w:rFonts w:cs="Times New Roman"/>
                <w:color w:val="000000"/>
                <w:szCs w:val="24"/>
              </w:rPr>
            </w:pPr>
            <w:r w:rsidRPr="00954B78">
              <w:rPr>
                <w:rFonts w:cs="Times New Roman"/>
                <w:color w:val="000000"/>
                <w:szCs w:val="24"/>
              </w:rPr>
              <w:t>15,762</w:t>
            </w:r>
          </w:p>
        </w:tc>
        <w:tc>
          <w:tcPr>
            <w:tcW w:w="1317" w:type="dxa"/>
            <w:shd w:val="clear" w:color="auto" w:fill="auto"/>
            <w:noWrap/>
            <w:vAlign w:val="center"/>
            <w:hideMark/>
          </w:tcPr>
          <w:p w14:paraId="7682F7A0" w14:textId="77777777" w:rsidR="00C20181" w:rsidRPr="00954B78" w:rsidRDefault="000F5B51" w:rsidP="009B7C81">
            <w:pPr>
              <w:spacing w:after="0" w:line="240" w:lineRule="auto"/>
              <w:jc w:val="center"/>
              <w:rPr>
                <w:rFonts w:eastAsia="Times New Roman" w:cs="Times New Roman"/>
                <w:color w:val="000000"/>
                <w:szCs w:val="24"/>
              </w:rPr>
            </w:pPr>
            <w:r w:rsidRPr="00954B78">
              <w:rPr>
                <w:rFonts w:cs="Times New Roman"/>
                <w:color w:val="000000"/>
                <w:szCs w:val="24"/>
              </w:rPr>
              <w:t>0.0550</w:t>
            </w:r>
          </w:p>
        </w:tc>
        <w:tc>
          <w:tcPr>
            <w:tcW w:w="1581" w:type="dxa"/>
            <w:shd w:val="clear" w:color="auto" w:fill="auto"/>
            <w:noWrap/>
            <w:vAlign w:val="center"/>
            <w:hideMark/>
          </w:tcPr>
          <w:p w14:paraId="1962B0AF" w14:textId="77777777" w:rsidR="00C20181" w:rsidRPr="00954B78" w:rsidRDefault="000F5B51">
            <w:pPr>
              <w:spacing w:after="0" w:line="240" w:lineRule="auto"/>
              <w:jc w:val="center"/>
              <w:rPr>
                <w:rFonts w:eastAsia="Times New Roman" w:cs="Times New Roman"/>
                <w:color w:val="000000"/>
                <w:szCs w:val="24"/>
              </w:rPr>
            </w:pPr>
            <w:r>
              <w:rPr>
                <w:rFonts w:cs="Times New Roman"/>
                <w:color w:val="000000"/>
                <w:szCs w:val="24"/>
              </w:rPr>
              <w:t>0.7512</w:t>
            </w:r>
          </w:p>
        </w:tc>
        <w:tc>
          <w:tcPr>
            <w:tcW w:w="1405" w:type="dxa"/>
            <w:shd w:val="clear" w:color="auto" w:fill="auto"/>
            <w:noWrap/>
            <w:vAlign w:val="center"/>
          </w:tcPr>
          <w:p w14:paraId="7A20F147" w14:textId="77777777" w:rsidR="00C20181" w:rsidRPr="00954B78" w:rsidRDefault="000F5B51">
            <w:pPr>
              <w:spacing w:after="0" w:line="240" w:lineRule="auto"/>
              <w:jc w:val="center"/>
              <w:rPr>
                <w:rFonts w:eastAsia="Times New Roman" w:cs="Times New Roman"/>
                <w:color w:val="000000"/>
                <w:szCs w:val="24"/>
              </w:rPr>
            </w:pPr>
            <w:r>
              <w:rPr>
                <w:color w:val="000000"/>
              </w:rPr>
              <w:t>651</w:t>
            </w:r>
          </w:p>
        </w:tc>
        <w:tc>
          <w:tcPr>
            <w:tcW w:w="1352" w:type="dxa"/>
            <w:vAlign w:val="center"/>
          </w:tcPr>
          <w:p w14:paraId="5CD52A7A" w14:textId="77777777" w:rsidR="00C20181" w:rsidRPr="00954B78" w:rsidRDefault="000F5B51">
            <w:pPr>
              <w:spacing w:after="0" w:line="240" w:lineRule="auto"/>
              <w:jc w:val="center"/>
              <w:rPr>
                <w:rFonts w:eastAsia="Times New Roman" w:cs="Times New Roman"/>
                <w:color w:val="000000"/>
                <w:szCs w:val="24"/>
              </w:rPr>
            </w:pPr>
            <w:r>
              <w:rPr>
                <w:rFonts w:cs="Calibri"/>
                <w:color w:val="000000"/>
              </w:rPr>
              <w:t>0.7693</w:t>
            </w:r>
          </w:p>
        </w:tc>
        <w:tc>
          <w:tcPr>
            <w:tcW w:w="1353" w:type="dxa"/>
            <w:vAlign w:val="center"/>
          </w:tcPr>
          <w:p w14:paraId="78CB638F" w14:textId="77777777" w:rsidR="00C20181" w:rsidRPr="00954B78" w:rsidRDefault="000F5B51">
            <w:pPr>
              <w:spacing w:after="0" w:line="240" w:lineRule="auto"/>
              <w:jc w:val="center"/>
              <w:rPr>
                <w:rFonts w:eastAsia="Times New Roman" w:cs="Times New Roman"/>
                <w:color w:val="000000"/>
                <w:szCs w:val="24"/>
              </w:rPr>
            </w:pPr>
            <w:r>
              <w:rPr>
                <w:rFonts w:cs="Calibri"/>
                <w:color w:val="000000"/>
              </w:rPr>
              <w:t>0.7784</w:t>
            </w:r>
          </w:p>
        </w:tc>
        <w:tc>
          <w:tcPr>
            <w:tcW w:w="1610" w:type="dxa"/>
            <w:vAlign w:val="center"/>
          </w:tcPr>
          <w:p w14:paraId="2DB74B9A" w14:textId="77777777" w:rsidR="00C20181" w:rsidRPr="00954B78" w:rsidRDefault="000F5B51">
            <w:pPr>
              <w:spacing w:after="0" w:line="240" w:lineRule="auto"/>
              <w:jc w:val="center"/>
              <w:rPr>
                <w:rFonts w:eastAsia="Times New Roman" w:cs="Times New Roman"/>
                <w:color w:val="000000"/>
                <w:szCs w:val="24"/>
              </w:rPr>
            </w:pPr>
            <w:r>
              <w:rPr>
                <w:color w:val="000000"/>
              </w:rPr>
              <w:t>667</w:t>
            </w:r>
          </w:p>
        </w:tc>
        <w:tc>
          <w:tcPr>
            <w:tcW w:w="1620" w:type="dxa"/>
            <w:vAlign w:val="center"/>
          </w:tcPr>
          <w:p w14:paraId="6BDC2716" w14:textId="77777777" w:rsidR="00C20181" w:rsidRPr="00954B78" w:rsidRDefault="000F5B51">
            <w:pPr>
              <w:spacing w:after="0" w:line="240" w:lineRule="auto"/>
              <w:jc w:val="center"/>
              <w:rPr>
                <w:rFonts w:eastAsia="Times New Roman" w:cs="Times New Roman"/>
                <w:color w:val="000000"/>
                <w:szCs w:val="24"/>
              </w:rPr>
            </w:pPr>
            <w:r>
              <w:rPr>
                <w:color w:val="000000"/>
              </w:rPr>
              <w:t>675</w:t>
            </w:r>
          </w:p>
        </w:tc>
        <w:tc>
          <w:tcPr>
            <w:tcW w:w="1090" w:type="dxa"/>
            <w:vAlign w:val="center"/>
          </w:tcPr>
          <w:p w14:paraId="77D47684" w14:textId="77777777" w:rsidR="00C20181" w:rsidRPr="00954B78" w:rsidRDefault="000F5B51">
            <w:pPr>
              <w:spacing w:after="0" w:line="240" w:lineRule="auto"/>
              <w:jc w:val="center"/>
              <w:rPr>
                <w:rFonts w:eastAsia="Times New Roman" w:cs="Times New Roman"/>
                <w:color w:val="000000"/>
                <w:szCs w:val="24"/>
              </w:rPr>
            </w:pPr>
            <w:r>
              <w:rPr>
                <w:color w:val="000000"/>
              </w:rPr>
              <w:t>16</w:t>
            </w:r>
          </w:p>
        </w:tc>
        <w:tc>
          <w:tcPr>
            <w:tcW w:w="1091" w:type="dxa"/>
            <w:vAlign w:val="center"/>
          </w:tcPr>
          <w:p w14:paraId="2CD3AC27" w14:textId="77777777" w:rsidR="00C20181" w:rsidRPr="00954B78" w:rsidRDefault="000F5B51">
            <w:pPr>
              <w:spacing w:after="0" w:line="240" w:lineRule="auto"/>
              <w:jc w:val="center"/>
              <w:rPr>
                <w:rFonts w:eastAsia="Times New Roman" w:cs="Times New Roman"/>
                <w:color w:val="000000"/>
                <w:szCs w:val="24"/>
              </w:rPr>
            </w:pPr>
            <w:r>
              <w:rPr>
                <w:color w:val="000000"/>
              </w:rPr>
              <w:t>24</w:t>
            </w:r>
          </w:p>
        </w:tc>
      </w:tr>
      <w:tr w:rsidR="00A15C2C" w14:paraId="6997E770" w14:textId="77777777" w:rsidTr="0055589E">
        <w:trPr>
          <w:trHeight w:val="310"/>
          <w:jc w:val="center"/>
        </w:trPr>
        <w:tc>
          <w:tcPr>
            <w:tcW w:w="1488" w:type="dxa"/>
            <w:shd w:val="clear" w:color="auto" w:fill="auto"/>
            <w:noWrap/>
          </w:tcPr>
          <w:p w14:paraId="7F898166" w14:textId="77777777" w:rsidR="00C20181" w:rsidRPr="00954B78" w:rsidRDefault="000F5B51" w:rsidP="006E4648">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2</w:t>
            </w:r>
          </w:p>
        </w:tc>
        <w:tc>
          <w:tcPr>
            <w:tcW w:w="1229" w:type="dxa"/>
            <w:vAlign w:val="center"/>
          </w:tcPr>
          <w:p w14:paraId="5936347E" w14:textId="77777777" w:rsidR="00C20181" w:rsidRPr="00954B78" w:rsidRDefault="000F5B51" w:rsidP="0068771B">
            <w:pPr>
              <w:spacing w:after="0" w:line="240" w:lineRule="auto"/>
              <w:jc w:val="center"/>
              <w:rPr>
                <w:rFonts w:cs="Times New Roman"/>
                <w:color w:val="000000"/>
                <w:szCs w:val="24"/>
              </w:rPr>
            </w:pPr>
            <w:r w:rsidRPr="00954B78">
              <w:rPr>
                <w:rFonts w:cs="Times New Roman"/>
                <w:color w:val="000000"/>
                <w:szCs w:val="24"/>
              </w:rPr>
              <w:t>2,398</w:t>
            </w:r>
          </w:p>
        </w:tc>
        <w:tc>
          <w:tcPr>
            <w:tcW w:w="1317" w:type="dxa"/>
            <w:shd w:val="clear" w:color="auto" w:fill="auto"/>
            <w:noWrap/>
            <w:vAlign w:val="center"/>
            <w:hideMark/>
          </w:tcPr>
          <w:p w14:paraId="0F88AB28" w14:textId="77777777" w:rsidR="00C20181" w:rsidRPr="00954B78" w:rsidRDefault="000F5B51" w:rsidP="009B7C81">
            <w:pPr>
              <w:spacing w:after="0" w:line="240" w:lineRule="auto"/>
              <w:jc w:val="center"/>
              <w:rPr>
                <w:rFonts w:eastAsia="Times New Roman" w:cs="Times New Roman"/>
                <w:color w:val="000000"/>
                <w:szCs w:val="24"/>
              </w:rPr>
            </w:pPr>
            <w:r w:rsidRPr="00954B78">
              <w:rPr>
                <w:rFonts w:cs="Times New Roman"/>
                <w:color w:val="000000"/>
                <w:szCs w:val="24"/>
              </w:rPr>
              <w:t>0.6250</w:t>
            </w:r>
          </w:p>
        </w:tc>
        <w:tc>
          <w:tcPr>
            <w:tcW w:w="1581" w:type="dxa"/>
            <w:shd w:val="clear" w:color="auto" w:fill="auto"/>
            <w:noWrap/>
            <w:vAlign w:val="center"/>
            <w:hideMark/>
          </w:tcPr>
          <w:p w14:paraId="091AC7CB" w14:textId="77777777" w:rsidR="00C20181" w:rsidRPr="00954B78" w:rsidRDefault="000F5B51">
            <w:pPr>
              <w:spacing w:after="0" w:line="240" w:lineRule="auto"/>
              <w:jc w:val="center"/>
              <w:rPr>
                <w:rFonts w:eastAsia="Times New Roman" w:cs="Times New Roman"/>
                <w:color w:val="000000"/>
                <w:szCs w:val="24"/>
              </w:rPr>
            </w:pPr>
            <w:r w:rsidRPr="006B7B84">
              <w:rPr>
                <w:rFonts w:cs="Times New Roman"/>
                <w:color w:val="000000"/>
                <w:szCs w:val="24"/>
              </w:rPr>
              <w:t>0.7512</w:t>
            </w:r>
          </w:p>
        </w:tc>
        <w:tc>
          <w:tcPr>
            <w:tcW w:w="1405" w:type="dxa"/>
            <w:shd w:val="clear" w:color="auto" w:fill="auto"/>
            <w:noWrap/>
            <w:vAlign w:val="center"/>
          </w:tcPr>
          <w:p w14:paraId="636F7B4E" w14:textId="77777777" w:rsidR="00C20181" w:rsidRPr="00954B78" w:rsidRDefault="000F5B51">
            <w:pPr>
              <w:spacing w:after="0" w:line="240" w:lineRule="auto"/>
              <w:jc w:val="center"/>
              <w:rPr>
                <w:rFonts w:eastAsia="Times New Roman" w:cs="Times New Roman"/>
                <w:color w:val="000000"/>
                <w:szCs w:val="24"/>
              </w:rPr>
            </w:pPr>
            <w:r>
              <w:rPr>
                <w:color w:val="000000"/>
              </w:rPr>
              <w:t>1,126</w:t>
            </w:r>
          </w:p>
        </w:tc>
        <w:tc>
          <w:tcPr>
            <w:tcW w:w="1352" w:type="dxa"/>
            <w:vAlign w:val="center"/>
          </w:tcPr>
          <w:p w14:paraId="46DA40E4" w14:textId="77777777" w:rsidR="00C20181" w:rsidRPr="00954B78" w:rsidRDefault="000F5B51">
            <w:pPr>
              <w:spacing w:after="0" w:line="240" w:lineRule="auto"/>
              <w:jc w:val="center"/>
              <w:rPr>
                <w:rFonts w:eastAsia="Times New Roman" w:cs="Times New Roman"/>
                <w:color w:val="000000"/>
                <w:szCs w:val="24"/>
              </w:rPr>
            </w:pPr>
            <w:r>
              <w:rPr>
                <w:rFonts w:cs="Calibri"/>
                <w:color w:val="000000"/>
              </w:rPr>
              <w:t>0.7693</w:t>
            </w:r>
          </w:p>
        </w:tc>
        <w:tc>
          <w:tcPr>
            <w:tcW w:w="1353" w:type="dxa"/>
            <w:vAlign w:val="center"/>
          </w:tcPr>
          <w:p w14:paraId="3DF857B3" w14:textId="77777777" w:rsidR="00C20181" w:rsidRPr="00954B78" w:rsidRDefault="000F5B51">
            <w:pPr>
              <w:spacing w:after="0" w:line="240" w:lineRule="auto"/>
              <w:jc w:val="center"/>
              <w:rPr>
                <w:rFonts w:eastAsia="Times New Roman" w:cs="Times New Roman"/>
                <w:color w:val="000000"/>
                <w:szCs w:val="24"/>
              </w:rPr>
            </w:pPr>
            <w:r>
              <w:rPr>
                <w:rFonts w:cs="Calibri"/>
                <w:color w:val="000000"/>
              </w:rPr>
              <w:t>0.7784</w:t>
            </w:r>
          </w:p>
        </w:tc>
        <w:tc>
          <w:tcPr>
            <w:tcW w:w="1610" w:type="dxa"/>
            <w:vAlign w:val="center"/>
          </w:tcPr>
          <w:p w14:paraId="7B4944F1" w14:textId="77777777" w:rsidR="00C20181" w:rsidRPr="00954B78" w:rsidRDefault="000F5B51">
            <w:pPr>
              <w:spacing w:after="0" w:line="240" w:lineRule="auto"/>
              <w:jc w:val="center"/>
              <w:rPr>
                <w:rFonts w:eastAsia="Times New Roman" w:cs="Times New Roman"/>
                <w:color w:val="000000"/>
                <w:szCs w:val="24"/>
              </w:rPr>
            </w:pPr>
            <w:r>
              <w:rPr>
                <w:color w:val="000000"/>
              </w:rPr>
              <w:t>1153</w:t>
            </w:r>
          </w:p>
        </w:tc>
        <w:tc>
          <w:tcPr>
            <w:tcW w:w="1620" w:type="dxa"/>
            <w:vAlign w:val="center"/>
          </w:tcPr>
          <w:p w14:paraId="44E6C65D" w14:textId="77777777" w:rsidR="00C20181" w:rsidRPr="00954B78" w:rsidRDefault="000F5B51">
            <w:pPr>
              <w:spacing w:after="0" w:line="240" w:lineRule="auto"/>
              <w:jc w:val="center"/>
              <w:rPr>
                <w:rFonts w:eastAsia="Times New Roman" w:cs="Times New Roman"/>
                <w:color w:val="000000"/>
                <w:szCs w:val="24"/>
              </w:rPr>
            </w:pPr>
            <w:r>
              <w:rPr>
                <w:color w:val="000000"/>
              </w:rPr>
              <w:t>116</w:t>
            </w:r>
            <w:r w:rsidR="008A4492">
              <w:rPr>
                <w:color w:val="000000"/>
              </w:rPr>
              <w:t>6</w:t>
            </w:r>
          </w:p>
        </w:tc>
        <w:tc>
          <w:tcPr>
            <w:tcW w:w="1090" w:type="dxa"/>
            <w:vAlign w:val="center"/>
          </w:tcPr>
          <w:p w14:paraId="6454BE84" w14:textId="77777777" w:rsidR="00C20181" w:rsidRPr="00954B78" w:rsidRDefault="000F5B51">
            <w:pPr>
              <w:spacing w:after="0" w:line="240" w:lineRule="auto"/>
              <w:jc w:val="center"/>
              <w:rPr>
                <w:rFonts w:eastAsia="Times New Roman" w:cs="Times New Roman"/>
                <w:color w:val="000000"/>
                <w:szCs w:val="24"/>
              </w:rPr>
            </w:pPr>
            <w:r>
              <w:rPr>
                <w:color w:val="000000"/>
              </w:rPr>
              <w:t>27</w:t>
            </w:r>
          </w:p>
        </w:tc>
        <w:tc>
          <w:tcPr>
            <w:tcW w:w="1091" w:type="dxa"/>
            <w:vAlign w:val="center"/>
          </w:tcPr>
          <w:p w14:paraId="221DBAE7" w14:textId="77777777" w:rsidR="00C20181" w:rsidRPr="00954B78" w:rsidRDefault="000F5B51">
            <w:pPr>
              <w:spacing w:after="0" w:line="240" w:lineRule="auto"/>
              <w:jc w:val="center"/>
              <w:rPr>
                <w:rFonts w:eastAsia="Times New Roman" w:cs="Times New Roman"/>
                <w:color w:val="000000"/>
                <w:szCs w:val="24"/>
              </w:rPr>
            </w:pPr>
            <w:r>
              <w:rPr>
                <w:color w:val="000000"/>
              </w:rPr>
              <w:t>41</w:t>
            </w:r>
          </w:p>
        </w:tc>
      </w:tr>
      <w:tr w:rsidR="00A15C2C" w14:paraId="078C8127" w14:textId="77777777" w:rsidTr="0055589E">
        <w:trPr>
          <w:trHeight w:val="310"/>
          <w:jc w:val="center"/>
        </w:trPr>
        <w:tc>
          <w:tcPr>
            <w:tcW w:w="1488" w:type="dxa"/>
            <w:shd w:val="clear" w:color="auto" w:fill="auto"/>
            <w:noWrap/>
          </w:tcPr>
          <w:p w14:paraId="0396A462" w14:textId="77777777" w:rsidR="00C20181" w:rsidRPr="00954B78" w:rsidRDefault="000F5B51" w:rsidP="006E4648">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3</w:t>
            </w:r>
          </w:p>
        </w:tc>
        <w:tc>
          <w:tcPr>
            <w:tcW w:w="1229" w:type="dxa"/>
            <w:vAlign w:val="center"/>
          </w:tcPr>
          <w:p w14:paraId="452CFE45" w14:textId="77777777" w:rsidR="00C20181" w:rsidRPr="00954B78" w:rsidRDefault="000F5B51" w:rsidP="0068771B">
            <w:pPr>
              <w:spacing w:after="0" w:line="240" w:lineRule="auto"/>
              <w:jc w:val="center"/>
              <w:rPr>
                <w:rFonts w:cs="Times New Roman"/>
                <w:color w:val="000000"/>
                <w:szCs w:val="24"/>
              </w:rPr>
            </w:pPr>
            <w:r w:rsidRPr="00954B78">
              <w:rPr>
                <w:rFonts w:cs="Times New Roman"/>
                <w:color w:val="000000"/>
                <w:szCs w:val="24"/>
              </w:rPr>
              <w:t>462</w:t>
            </w:r>
          </w:p>
        </w:tc>
        <w:tc>
          <w:tcPr>
            <w:tcW w:w="1317" w:type="dxa"/>
            <w:shd w:val="clear" w:color="auto" w:fill="auto"/>
            <w:noWrap/>
            <w:vAlign w:val="center"/>
            <w:hideMark/>
          </w:tcPr>
          <w:p w14:paraId="6A237F85" w14:textId="77777777" w:rsidR="00C20181" w:rsidRPr="00954B78" w:rsidRDefault="000F5B51" w:rsidP="009B7C81">
            <w:pPr>
              <w:spacing w:after="0" w:line="240" w:lineRule="auto"/>
              <w:jc w:val="center"/>
              <w:rPr>
                <w:rFonts w:eastAsia="Times New Roman" w:cs="Times New Roman"/>
                <w:color w:val="000000"/>
                <w:szCs w:val="24"/>
              </w:rPr>
            </w:pPr>
            <w:r w:rsidRPr="00954B78">
              <w:rPr>
                <w:rFonts w:cs="Times New Roman"/>
                <w:color w:val="000000"/>
                <w:szCs w:val="24"/>
              </w:rPr>
              <w:t>0.6250</w:t>
            </w:r>
          </w:p>
        </w:tc>
        <w:tc>
          <w:tcPr>
            <w:tcW w:w="1581" w:type="dxa"/>
            <w:shd w:val="clear" w:color="auto" w:fill="auto"/>
            <w:noWrap/>
            <w:vAlign w:val="center"/>
            <w:hideMark/>
          </w:tcPr>
          <w:p w14:paraId="6EE00514" w14:textId="77777777" w:rsidR="00C20181" w:rsidRPr="00954B78" w:rsidRDefault="000F5B51">
            <w:pPr>
              <w:spacing w:after="0" w:line="240" w:lineRule="auto"/>
              <w:jc w:val="center"/>
              <w:rPr>
                <w:rFonts w:eastAsia="Times New Roman" w:cs="Times New Roman"/>
                <w:color w:val="000000"/>
                <w:szCs w:val="24"/>
              </w:rPr>
            </w:pPr>
            <w:r w:rsidRPr="006B7B84">
              <w:rPr>
                <w:rFonts w:cs="Times New Roman"/>
                <w:color w:val="000000"/>
                <w:szCs w:val="24"/>
              </w:rPr>
              <w:t>0.7512</w:t>
            </w:r>
          </w:p>
        </w:tc>
        <w:tc>
          <w:tcPr>
            <w:tcW w:w="1405" w:type="dxa"/>
            <w:shd w:val="clear" w:color="auto" w:fill="auto"/>
            <w:noWrap/>
            <w:vAlign w:val="center"/>
          </w:tcPr>
          <w:p w14:paraId="232FC275" w14:textId="77777777" w:rsidR="00C20181" w:rsidRPr="00954B78" w:rsidRDefault="000F5B51">
            <w:pPr>
              <w:spacing w:after="0" w:line="240" w:lineRule="auto"/>
              <w:jc w:val="center"/>
              <w:rPr>
                <w:rFonts w:eastAsia="Times New Roman" w:cs="Times New Roman"/>
                <w:color w:val="000000"/>
                <w:szCs w:val="24"/>
              </w:rPr>
            </w:pPr>
            <w:r>
              <w:rPr>
                <w:color w:val="000000"/>
              </w:rPr>
              <w:t>217</w:t>
            </w:r>
          </w:p>
        </w:tc>
        <w:tc>
          <w:tcPr>
            <w:tcW w:w="1352" w:type="dxa"/>
            <w:vAlign w:val="center"/>
          </w:tcPr>
          <w:p w14:paraId="7A43D572" w14:textId="77777777" w:rsidR="00C20181" w:rsidRPr="00954B78" w:rsidRDefault="000F5B51">
            <w:pPr>
              <w:spacing w:after="0" w:line="240" w:lineRule="auto"/>
              <w:jc w:val="center"/>
              <w:rPr>
                <w:rFonts w:eastAsia="Times New Roman" w:cs="Times New Roman"/>
                <w:color w:val="000000"/>
                <w:szCs w:val="24"/>
              </w:rPr>
            </w:pPr>
            <w:r>
              <w:rPr>
                <w:rFonts w:cs="Calibri"/>
                <w:color w:val="000000"/>
              </w:rPr>
              <w:t>0.7693</w:t>
            </w:r>
          </w:p>
        </w:tc>
        <w:tc>
          <w:tcPr>
            <w:tcW w:w="1353" w:type="dxa"/>
            <w:vAlign w:val="center"/>
          </w:tcPr>
          <w:p w14:paraId="1760798B" w14:textId="77777777" w:rsidR="00C20181" w:rsidRPr="00954B78" w:rsidRDefault="000F5B51">
            <w:pPr>
              <w:spacing w:after="0" w:line="240" w:lineRule="auto"/>
              <w:jc w:val="center"/>
              <w:rPr>
                <w:rFonts w:eastAsia="Times New Roman" w:cs="Times New Roman"/>
                <w:color w:val="000000"/>
                <w:szCs w:val="24"/>
              </w:rPr>
            </w:pPr>
            <w:r>
              <w:rPr>
                <w:rFonts w:cs="Calibri"/>
                <w:color w:val="000000"/>
              </w:rPr>
              <w:t>0.7784</w:t>
            </w:r>
          </w:p>
        </w:tc>
        <w:tc>
          <w:tcPr>
            <w:tcW w:w="1610" w:type="dxa"/>
            <w:vAlign w:val="center"/>
          </w:tcPr>
          <w:p w14:paraId="6B23782D" w14:textId="77777777" w:rsidR="00C20181" w:rsidRPr="00954B78" w:rsidRDefault="000F5B51">
            <w:pPr>
              <w:spacing w:after="0" w:line="240" w:lineRule="auto"/>
              <w:jc w:val="center"/>
              <w:rPr>
                <w:rFonts w:eastAsia="Times New Roman" w:cs="Times New Roman"/>
                <w:color w:val="000000"/>
                <w:szCs w:val="24"/>
              </w:rPr>
            </w:pPr>
            <w:r>
              <w:rPr>
                <w:color w:val="000000"/>
              </w:rPr>
              <w:t>222</w:t>
            </w:r>
          </w:p>
        </w:tc>
        <w:tc>
          <w:tcPr>
            <w:tcW w:w="1620" w:type="dxa"/>
            <w:vAlign w:val="center"/>
          </w:tcPr>
          <w:p w14:paraId="4AC63668" w14:textId="77777777" w:rsidR="00C20181" w:rsidRPr="00954B78" w:rsidRDefault="000F5B51">
            <w:pPr>
              <w:spacing w:after="0" w:line="240" w:lineRule="auto"/>
              <w:jc w:val="center"/>
              <w:rPr>
                <w:rFonts w:eastAsia="Times New Roman" w:cs="Times New Roman"/>
                <w:color w:val="000000"/>
                <w:szCs w:val="24"/>
              </w:rPr>
            </w:pPr>
            <w:r>
              <w:rPr>
                <w:color w:val="000000"/>
              </w:rPr>
              <w:t>225</w:t>
            </w:r>
          </w:p>
        </w:tc>
        <w:tc>
          <w:tcPr>
            <w:tcW w:w="1090" w:type="dxa"/>
            <w:vAlign w:val="center"/>
          </w:tcPr>
          <w:p w14:paraId="31220887" w14:textId="77777777" w:rsidR="00C20181" w:rsidRPr="00954B78" w:rsidRDefault="000F5B51">
            <w:pPr>
              <w:spacing w:after="0" w:line="240" w:lineRule="auto"/>
              <w:jc w:val="center"/>
              <w:rPr>
                <w:rFonts w:eastAsia="Times New Roman" w:cs="Times New Roman"/>
                <w:color w:val="000000"/>
                <w:szCs w:val="24"/>
              </w:rPr>
            </w:pPr>
            <w:r>
              <w:rPr>
                <w:color w:val="000000"/>
              </w:rPr>
              <w:t>5</w:t>
            </w:r>
          </w:p>
        </w:tc>
        <w:tc>
          <w:tcPr>
            <w:tcW w:w="1091" w:type="dxa"/>
            <w:vAlign w:val="center"/>
          </w:tcPr>
          <w:p w14:paraId="01ADE73B" w14:textId="77777777" w:rsidR="00C20181" w:rsidRPr="00954B78" w:rsidRDefault="000F5B51">
            <w:pPr>
              <w:spacing w:after="0" w:line="240" w:lineRule="auto"/>
              <w:jc w:val="center"/>
              <w:rPr>
                <w:rFonts w:eastAsia="Times New Roman" w:cs="Times New Roman"/>
                <w:color w:val="000000"/>
                <w:szCs w:val="24"/>
              </w:rPr>
            </w:pPr>
            <w:r>
              <w:rPr>
                <w:color w:val="000000"/>
              </w:rPr>
              <w:t>8</w:t>
            </w:r>
          </w:p>
        </w:tc>
      </w:tr>
      <w:tr w:rsidR="00A15C2C" w14:paraId="099E2499" w14:textId="77777777" w:rsidTr="0055589E">
        <w:trPr>
          <w:trHeight w:val="310"/>
          <w:jc w:val="center"/>
        </w:trPr>
        <w:tc>
          <w:tcPr>
            <w:tcW w:w="1488" w:type="dxa"/>
            <w:shd w:val="clear" w:color="auto" w:fill="auto"/>
            <w:noWrap/>
          </w:tcPr>
          <w:p w14:paraId="344369EC" w14:textId="77777777" w:rsidR="00C20181" w:rsidRPr="00954B78" w:rsidRDefault="000F5B51" w:rsidP="006E4648">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4</w:t>
            </w:r>
          </w:p>
        </w:tc>
        <w:tc>
          <w:tcPr>
            <w:tcW w:w="1229" w:type="dxa"/>
            <w:vAlign w:val="center"/>
          </w:tcPr>
          <w:p w14:paraId="19434869" w14:textId="77777777" w:rsidR="00C20181" w:rsidRPr="00954B78" w:rsidRDefault="000F5B51" w:rsidP="0068771B">
            <w:pPr>
              <w:spacing w:after="0" w:line="240" w:lineRule="auto"/>
              <w:jc w:val="center"/>
              <w:rPr>
                <w:rFonts w:cs="Times New Roman"/>
                <w:color w:val="000000"/>
                <w:szCs w:val="24"/>
              </w:rPr>
            </w:pPr>
            <w:r w:rsidRPr="00954B78">
              <w:rPr>
                <w:rFonts w:cs="Times New Roman"/>
                <w:color w:val="000000"/>
                <w:szCs w:val="24"/>
              </w:rPr>
              <w:t>379</w:t>
            </w:r>
          </w:p>
        </w:tc>
        <w:tc>
          <w:tcPr>
            <w:tcW w:w="1317" w:type="dxa"/>
            <w:shd w:val="clear" w:color="auto" w:fill="auto"/>
            <w:noWrap/>
            <w:vAlign w:val="center"/>
            <w:hideMark/>
          </w:tcPr>
          <w:p w14:paraId="453DABE3" w14:textId="77777777" w:rsidR="00C20181" w:rsidRPr="00954B78" w:rsidRDefault="000F5B51" w:rsidP="009B7C81">
            <w:pPr>
              <w:spacing w:after="0" w:line="240" w:lineRule="auto"/>
              <w:jc w:val="center"/>
              <w:rPr>
                <w:rFonts w:eastAsia="Times New Roman" w:cs="Times New Roman"/>
                <w:color w:val="000000"/>
                <w:szCs w:val="24"/>
              </w:rPr>
            </w:pPr>
            <w:r w:rsidRPr="00954B78">
              <w:rPr>
                <w:rFonts w:cs="Times New Roman"/>
                <w:color w:val="000000"/>
                <w:szCs w:val="24"/>
              </w:rPr>
              <w:t>0.6250</w:t>
            </w:r>
          </w:p>
        </w:tc>
        <w:tc>
          <w:tcPr>
            <w:tcW w:w="1581" w:type="dxa"/>
            <w:shd w:val="clear" w:color="auto" w:fill="auto"/>
            <w:noWrap/>
            <w:vAlign w:val="center"/>
            <w:hideMark/>
          </w:tcPr>
          <w:p w14:paraId="69F80D73" w14:textId="77777777" w:rsidR="00C20181" w:rsidRPr="00954B78" w:rsidRDefault="000F5B51">
            <w:pPr>
              <w:spacing w:after="0" w:line="240" w:lineRule="auto"/>
              <w:jc w:val="center"/>
              <w:rPr>
                <w:rFonts w:eastAsia="Times New Roman" w:cs="Times New Roman"/>
                <w:color w:val="000000"/>
                <w:szCs w:val="24"/>
              </w:rPr>
            </w:pPr>
            <w:r w:rsidRPr="006B7B84">
              <w:rPr>
                <w:rFonts w:cs="Times New Roman"/>
                <w:color w:val="000000"/>
                <w:szCs w:val="24"/>
              </w:rPr>
              <w:t>0.7512</w:t>
            </w:r>
          </w:p>
        </w:tc>
        <w:tc>
          <w:tcPr>
            <w:tcW w:w="1405" w:type="dxa"/>
            <w:shd w:val="clear" w:color="auto" w:fill="auto"/>
            <w:noWrap/>
            <w:vAlign w:val="center"/>
          </w:tcPr>
          <w:p w14:paraId="6C28DF2C" w14:textId="77777777" w:rsidR="00C20181" w:rsidRPr="00954B78" w:rsidRDefault="000F5B51">
            <w:pPr>
              <w:spacing w:after="0" w:line="240" w:lineRule="auto"/>
              <w:jc w:val="center"/>
              <w:rPr>
                <w:rFonts w:eastAsia="Times New Roman" w:cs="Times New Roman"/>
                <w:color w:val="000000"/>
                <w:szCs w:val="24"/>
              </w:rPr>
            </w:pPr>
            <w:r>
              <w:rPr>
                <w:color w:val="000000"/>
              </w:rPr>
              <w:t>178</w:t>
            </w:r>
          </w:p>
        </w:tc>
        <w:tc>
          <w:tcPr>
            <w:tcW w:w="1352" w:type="dxa"/>
            <w:vAlign w:val="center"/>
          </w:tcPr>
          <w:p w14:paraId="7706987C" w14:textId="77777777" w:rsidR="00C20181" w:rsidRPr="00954B78" w:rsidRDefault="000F5B51">
            <w:pPr>
              <w:spacing w:after="0" w:line="240" w:lineRule="auto"/>
              <w:jc w:val="center"/>
              <w:rPr>
                <w:rFonts w:eastAsia="Times New Roman" w:cs="Times New Roman"/>
                <w:color w:val="000000"/>
                <w:szCs w:val="24"/>
              </w:rPr>
            </w:pPr>
            <w:r>
              <w:rPr>
                <w:rFonts w:cs="Calibri"/>
                <w:color w:val="000000"/>
              </w:rPr>
              <w:t>0.7693</w:t>
            </w:r>
          </w:p>
        </w:tc>
        <w:tc>
          <w:tcPr>
            <w:tcW w:w="1353" w:type="dxa"/>
            <w:vAlign w:val="center"/>
          </w:tcPr>
          <w:p w14:paraId="5314D6D7" w14:textId="77777777" w:rsidR="00C20181" w:rsidRPr="00954B78" w:rsidRDefault="000F5B51">
            <w:pPr>
              <w:spacing w:after="0" w:line="240" w:lineRule="auto"/>
              <w:jc w:val="center"/>
              <w:rPr>
                <w:rFonts w:eastAsia="Times New Roman" w:cs="Times New Roman"/>
                <w:color w:val="000000"/>
                <w:szCs w:val="24"/>
              </w:rPr>
            </w:pPr>
            <w:r>
              <w:rPr>
                <w:rFonts w:cs="Calibri"/>
                <w:color w:val="000000"/>
              </w:rPr>
              <w:t>0.7784</w:t>
            </w:r>
          </w:p>
        </w:tc>
        <w:tc>
          <w:tcPr>
            <w:tcW w:w="1610" w:type="dxa"/>
            <w:vAlign w:val="center"/>
          </w:tcPr>
          <w:p w14:paraId="6182D171" w14:textId="77777777" w:rsidR="00C20181" w:rsidRPr="00954B78" w:rsidRDefault="000F5B51">
            <w:pPr>
              <w:spacing w:after="0" w:line="240" w:lineRule="auto"/>
              <w:jc w:val="center"/>
              <w:rPr>
                <w:rFonts w:eastAsia="Times New Roman" w:cs="Times New Roman"/>
                <w:color w:val="000000"/>
                <w:szCs w:val="24"/>
              </w:rPr>
            </w:pPr>
            <w:r>
              <w:rPr>
                <w:color w:val="000000"/>
              </w:rPr>
              <w:t>18</w:t>
            </w:r>
            <w:r w:rsidR="008A4492">
              <w:rPr>
                <w:color w:val="000000"/>
              </w:rPr>
              <w:t>4</w:t>
            </w:r>
          </w:p>
        </w:tc>
        <w:tc>
          <w:tcPr>
            <w:tcW w:w="1620" w:type="dxa"/>
            <w:vAlign w:val="center"/>
          </w:tcPr>
          <w:p w14:paraId="72A9C5FF" w14:textId="77777777" w:rsidR="00C20181" w:rsidRPr="00954B78" w:rsidRDefault="000F5B51">
            <w:pPr>
              <w:spacing w:after="0" w:line="240" w:lineRule="auto"/>
              <w:jc w:val="center"/>
              <w:rPr>
                <w:rFonts w:eastAsia="Times New Roman" w:cs="Times New Roman"/>
                <w:color w:val="000000"/>
                <w:szCs w:val="24"/>
              </w:rPr>
            </w:pPr>
            <w:r>
              <w:rPr>
                <w:color w:val="000000"/>
              </w:rPr>
              <w:t>184</w:t>
            </w:r>
          </w:p>
        </w:tc>
        <w:tc>
          <w:tcPr>
            <w:tcW w:w="1090" w:type="dxa"/>
            <w:vAlign w:val="center"/>
          </w:tcPr>
          <w:p w14:paraId="761DC1B1" w14:textId="77777777" w:rsidR="00C20181" w:rsidRPr="00954B78" w:rsidRDefault="000F5B51">
            <w:pPr>
              <w:spacing w:after="0" w:line="240" w:lineRule="auto"/>
              <w:jc w:val="center"/>
              <w:rPr>
                <w:rFonts w:eastAsia="Times New Roman" w:cs="Times New Roman"/>
                <w:color w:val="000000"/>
                <w:szCs w:val="24"/>
              </w:rPr>
            </w:pPr>
            <w:r>
              <w:rPr>
                <w:color w:val="000000"/>
              </w:rPr>
              <w:t>4</w:t>
            </w:r>
          </w:p>
        </w:tc>
        <w:tc>
          <w:tcPr>
            <w:tcW w:w="1091" w:type="dxa"/>
            <w:vAlign w:val="center"/>
          </w:tcPr>
          <w:p w14:paraId="6E9C9F74" w14:textId="77777777" w:rsidR="00C20181" w:rsidRPr="00954B78" w:rsidRDefault="000F5B51">
            <w:pPr>
              <w:spacing w:after="0" w:line="240" w:lineRule="auto"/>
              <w:jc w:val="center"/>
              <w:rPr>
                <w:rFonts w:eastAsia="Times New Roman" w:cs="Times New Roman"/>
                <w:color w:val="000000"/>
                <w:szCs w:val="24"/>
              </w:rPr>
            </w:pPr>
            <w:r>
              <w:rPr>
                <w:color w:val="000000"/>
              </w:rPr>
              <w:t>6</w:t>
            </w:r>
          </w:p>
        </w:tc>
      </w:tr>
      <w:tr w:rsidR="00A15C2C" w14:paraId="4D7EF93B" w14:textId="77777777" w:rsidTr="0055589E">
        <w:trPr>
          <w:trHeight w:val="310"/>
          <w:jc w:val="center"/>
        </w:trPr>
        <w:tc>
          <w:tcPr>
            <w:tcW w:w="1488" w:type="dxa"/>
            <w:shd w:val="clear" w:color="auto" w:fill="auto"/>
            <w:noWrap/>
          </w:tcPr>
          <w:p w14:paraId="12EEB403" w14:textId="77777777" w:rsidR="00C20181" w:rsidRPr="00954B78" w:rsidRDefault="000F5B51" w:rsidP="006E4648">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5</w:t>
            </w:r>
          </w:p>
        </w:tc>
        <w:tc>
          <w:tcPr>
            <w:tcW w:w="1229" w:type="dxa"/>
            <w:vAlign w:val="center"/>
          </w:tcPr>
          <w:p w14:paraId="6A7C93EE" w14:textId="77777777" w:rsidR="00C20181" w:rsidRPr="00954B78" w:rsidRDefault="000F5B51" w:rsidP="0068771B">
            <w:pPr>
              <w:spacing w:after="0" w:line="240" w:lineRule="auto"/>
              <w:jc w:val="center"/>
              <w:rPr>
                <w:rFonts w:cs="Times New Roman"/>
                <w:color w:val="000000"/>
                <w:szCs w:val="24"/>
              </w:rPr>
            </w:pPr>
            <w:r w:rsidRPr="00954B78">
              <w:rPr>
                <w:rFonts w:cs="Times New Roman"/>
                <w:color w:val="000000"/>
                <w:szCs w:val="24"/>
              </w:rPr>
              <w:t>12</w:t>
            </w:r>
          </w:p>
        </w:tc>
        <w:tc>
          <w:tcPr>
            <w:tcW w:w="1317" w:type="dxa"/>
            <w:shd w:val="clear" w:color="auto" w:fill="auto"/>
            <w:noWrap/>
            <w:vAlign w:val="center"/>
            <w:hideMark/>
          </w:tcPr>
          <w:p w14:paraId="4843FE2F" w14:textId="77777777" w:rsidR="00C20181" w:rsidRPr="00954B78" w:rsidRDefault="000F5B51" w:rsidP="009B7C81">
            <w:pPr>
              <w:spacing w:after="0" w:line="240" w:lineRule="auto"/>
              <w:jc w:val="center"/>
              <w:rPr>
                <w:rFonts w:eastAsia="Times New Roman" w:cs="Times New Roman"/>
                <w:color w:val="000000"/>
                <w:szCs w:val="24"/>
              </w:rPr>
            </w:pPr>
            <w:r w:rsidRPr="00954B78">
              <w:rPr>
                <w:rFonts w:cs="Times New Roman"/>
                <w:color w:val="000000"/>
                <w:szCs w:val="24"/>
              </w:rPr>
              <w:t>0.6250</w:t>
            </w:r>
          </w:p>
        </w:tc>
        <w:tc>
          <w:tcPr>
            <w:tcW w:w="1581" w:type="dxa"/>
            <w:shd w:val="clear" w:color="auto" w:fill="auto"/>
            <w:noWrap/>
            <w:vAlign w:val="center"/>
            <w:hideMark/>
          </w:tcPr>
          <w:p w14:paraId="737B1A0D" w14:textId="77777777" w:rsidR="00C20181" w:rsidRPr="00954B78" w:rsidRDefault="000F5B51">
            <w:pPr>
              <w:spacing w:after="0" w:line="240" w:lineRule="auto"/>
              <w:jc w:val="center"/>
              <w:rPr>
                <w:rFonts w:eastAsia="Times New Roman" w:cs="Times New Roman"/>
                <w:color w:val="000000"/>
                <w:szCs w:val="24"/>
              </w:rPr>
            </w:pPr>
            <w:r w:rsidRPr="006B7B84">
              <w:rPr>
                <w:rFonts w:cs="Times New Roman"/>
                <w:color w:val="000000"/>
                <w:szCs w:val="24"/>
              </w:rPr>
              <w:t>0.7512</w:t>
            </w:r>
          </w:p>
        </w:tc>
        <w:tc>
          <w:tcPr>
            <w:tcW w:w="1405" w:type="dxa"/>
            <w:shd w:val="clear" w:color="auto" w:fill="auto"/>
            <w:noWrap/>
            <w:vAlign w:val="center"/>
          </w:tcPr>
          <w:p w14:paraId="54A361C7" w14:textId="77777777" w:rsidR="00C20181" w:rsidRPr="00954B78" w:rsidRDefault="000F5B51">
            <w:pPr>
              <w:spacing w:after="0" w:line="240" w:lineRule="auto"/>
              <w:jc w:val="center"/>
              <w:rPr>
                <w:rFonts w:eastAsia="Times New Roman" w:cs="Times New Roman"/>
                <w:color w:val="000000"/>
                <w:szCs w:val="24"/>
              </w:rPr>
            </w:pPr>
            <w:r>
              <w:rPr>
                <w:color w:val="000000"/>
              </w:rPr>
              <w:t>5</w:t>
            </w:r>
          </w:p>
        </w:tc>
        <w:tc>
          <w:tcPr>
            <w:tcW w:w="1352" w:type="dxa"/>
            <w:vAlign w:val="center"/>
          </w:tcPr>
          <w:p w14:paraId="1AEAEF47" w14:textId="77777777" w:rsidR="00C20181" w:rsidRPr="00954B78" w:rsidRDefault="000F5B51">
            <w:pPr>
              <w:spacing w:after="0" w:line="240" w:lineRule="auto"/>
              <w:jc w:val="center"/>
              <w:rPr>
                <w:rFonts w:eastAsia="Times New Roman" w:cs="Times New Roman"/>
                <w:color w:val="000000"/>
                <w:szCs w:val="24"/>
              </w:rPr>
            </w:pPr>
            <w:r>
              <w:rPr>
                <w:rFonts w:cs="Calibri"/>
                <w:color w:val="000000"/>
              </w:rPr>
              <w:t>0.7693</w:t>
            </w:r>
          </w:p>
        </w:tc>
        <w:tc>
          <w:tcPr>
            <w:tcW w:w="1353" w:type="dxa"/>
            <w:vAlign w:val="center"/>
          </w:tcPr>
          <w:p w14:paraId="41EA446B" w14:textId="77777777" w:rsidR="00C20181" w:rsidRPr="00954B78" w:rsidRDefault="000F5B51">
            <w:pPr>
              <w:spacing w:after="0" w:line="240" w:lineRule="auto"/>
              <w:jc w:val="center"/>
              <w:rPr>
                <w:rFonts w:eastAsia="Times New Roman" w:cs="Times New Roman"/>
                <w:color w:val="000000"/>
                <w:szCs w:val="24"/>
              </w:rPr>
            </w:pPr>
            <w:r>
              <w:rPr>
                <w:rFonts w:cs="Calibri"/>
                <w:color w:val="000000"/>
              </w:rPr>
              <w:t>0.7784</w:t>
            </w:r>
          </w:p>
        </w:tc>
        <w:tc>
          <w:tcPr>
            <w:tcW w:w="1610" w:type="dxa"/>
            <w:vAlign w:val="center"/>
          </w:tcPr>
          <w:p w14:paraId="534F9D9A" w14:textId="77777777" w:rsidR="00C20181" w:rsidRPr="00954B78" w:rsidRDefault="000F5B51">
            <w:pPr>
              <w:spacing w:after="0" w:line="240" w:lineRule="auto"/>
              <w:jc w:val="center"/>
              <w:rPr>
                <w:rFonts w:eastAsia="Times New Roman" w:cs="Times New Roman"/>
                <w:color w:val="000000"/>
                <w:szCs w:val="24"/>
              </w:rPr>
            </w:pPr>
            <w:r>
              <w:rPr>
                <w:color w:val="000000"/>
              </w:rPr>
              <w:t>5</w:t>
            </w:r>
          </w:p>
        </w:tc>
        <w:tc>
          <w:tcPr>
            <w:tcW w:w="1620" w:type="dxa"/>
            <w:vAlign w:val="center"/>
          </w:tcPr>
          <w:p w14:paraId="305E09E4" w14:textId="77777777" w:rsidR="00C20181" w:rsidRPr="00954B78" w:rsidRDefault="000F5B51">
            <w:pPr>
              <w:spacing w:after="0" w:line="240" w:lineRule="auto"/>
              <w:jc w:val="center"/>
              <w:rPr>
                <w:rFonts w:eastAsia="Times New Roman" w:cs="Times New Roman"/>
                <w:color w:val="000000"/>
                <w:szCs w:val="24"/>
              </w:rPr>
            </w:pPr>
            <w:r>
              <w:rPr>
                <w:color w:val="000000"/>
              </w:rPr>
              <w:t>6</w:t>
            </w:r>
          </w:p>
        </w:tc>
        <w:tc>
          <w:tcPr>
            <w:tcW w:w="1090" w:type="dxa"/>
            <w:vAlign w:val="center"/>
          </w:tcPr>
          <w:p w14:paraId="22AE4DB7" w14:textId="77777777" w:rsidR="00C20181" w:rsidRPr="00954B78" w:rsidRDefault="000F5B51">
            <w:pPr>
              <w:spacing w:after="0" w:line="240" w:lineRule="auto"/>
              <w:jc w:val="center"/>
              <w:rPr>
                <w:rFonts w:eastAsia="Times New Roman" w:cs="Times New Roman"/>
                <w:color w:val="000000"/>
                <w:szCs w:val="24"/>
              </w:rPr>
            </w:pPr>
            <w:r>
              <w:rPr>
                <w:color w:val="000000"/>
              </w:rPr>
              <w:t>0</w:t>
            </w:r>
          </w:p>
        </w:tc>
        <w:tc>
          <w:tcPr>
            <w:tcW w:w="1091" w:type="dxa"/>
            <w:vAlign w:val="center"/>
          </w:tcPr>
          <w:p w14:paraId="13E82FD0" w14:textId="77777777" w:rsidR="00C20181" w:rsidRPr="00954B78" w:rsidRDefault="000F5B51">
            <w:pPr>
              <w:spacing w:after="0" w:line="240" w:lineRule="auto"/>
              <w:jc w:val="center"/>
              <w:rPr>
                <w:rFonts w:eastAsia="Times New Roman" w:cs="Times New Roman"/>
                <w:color w:val="000000"/>
                <w:szCs w:val="24"/>
              </w:rPr>
            </w:pPr>
            <w:r>
              <w:rPr>
                <w:color w:val="000000"/>
              </w:rPr>
              <w:t>0</w:t>
            </w:r>
          </w:p>
        </w:tc>
      </w:tr>
      <w:tr w:rsidR="00A15C2C" w14:paraId="2170FE4B" w14:textId="77777777" w:rsidTr="0055589E">
        <w:trPr>
          <w:trHeight w:val="310"/>
          <w:jc w:val="center"/>
        </w:trPr>
        <w:tc>
          <w:tcPr>
            <w:tcW w:w="1488" w:type="dxa"/>
            <w:shd w:val="clear" w:color="auto" w:fill="auto"/>
            <w:noWrap/>
            <w:vAlign w:val="bottom"/>
          </w:tcPr>
          <w:p w14:paraId="1B2C2EE4" w14:textId="77777777" w:rsidR="00C20181" w:rsidRPr="00012598" w:rsidRDefault="000F5B51" w:rsidP="006E4648">
            <w:pPr>
              <w:spacing w:after="0" w:line="240" w:lineRule="auto"/>
              <w:rPr>
                <w:rFonts w:eastAsia="Times New Roman" w:cs="Times New Roman"/>
                <w:b/>
                <w:bCs/>
                <w:color w:val="000000"/>
                <w:sz w:val="23"/>
                <w:szCs w:val="23"/>
              </w:rPr>
            </w:pPr>
            <w:r w:rsidRPr="00012598">
              <w:rPr>
                <w:rFonts w:eastAsia="Times New Roman" w:cs="Times New Roman"/>
                <w:b/>
                <w:bCs/>
                <w:color w:val="000000"/>
                <w:sz w:val="23"/>
                <w:szCs w:val="23"/>
              </w:rPr>
              <w:t>Non-Fatal Injuries</w:t>
            </w:r>
          </w:p>
          <w:p w14:paraId="090FAE3C" w14:textId="77777777" w:rsidR="00C20181" w:rsidRPr="00012598" w:rsidRDefault="000F5B51" w:rsidP="0068771B">
            <w:pPr>
              <w:spacing w:after="0" w:line="240" w:lineRule="auto"/>
              <w:rPr>
                <w:rFonts w:eastAsia="Times New Roman" w:cs="Times New Roman"/>
                <w:b/>
                <w:bCs/>
                <w:color w:val="000000"/>
                <w:szCs w:val="24"/>
              </w:rPr>
            </w:pPr>
            <w:r w:rsidRPr="00012598">
              <w:rPr>
                <w:rFonts w:eastAsia="Times New Roman" w:cs="Times New Roman"/>
                <w:b/>
                <w:bCs/>
                <w:color w:val="000000"/>
                <w:sz w:val="23"/>
                <w:szCs w:val="23"/>
              </w:rPr>
              <w:t>(MAIS 1-5)</w:t>
            </w:r>
          </w:p>
        </w:tc>
        <w:tc>
          <w:tcPr>
            <w:tcW w:w="1229" w:type="dxa"/>
            <w:vAlign w:val="center"/>
          </w:tcPr>
          <w:p w14:paraId="399BD943" w14:textId="77777777" w:rsidR="00C20181" w:rsidRPr="00954B78" w:rsidRDefault="000F5B51" w:rsidP="009B7C81">
            <w:pPr>
              <w:spacing w:after="0" w:line="240" w:lineRule="auto"/>
              <w:jc w:val="center"/>
              <w:rPr>
                <w:rFonts w:cs="Times New Roman"/>
                <w:b/>
                <w:bCs/>
                <w:color w:val="000000"/>
                <w:szCs w:val="24"/>
              </w:rPr>
            </w:pPr>
            <w:r w:rsidRPr="00954B78">
              <w:rPr>
                <w:rFonts w:cs="Times New Roman"/>
                <w:b/>
                <w:bCs/>
                <w:color w:val="000000"/>
                <w:szCs w:val="24"/>
              </w:rPr>
              <w:t>19,014</w:t>
            </w:r>
          </w:p>
        </w:tc>
        <w:tc>
          <w:tcPr>
            <w:tcW w:w="1317" w:type="dxa"/>
            <w:shd w:val="clear" w:color="auto" w:fill="auto"/>
            <w:noWrap/>
            <w:vAlign w:val="center"/>
          </w:tcPr>
          <w:p w14:paraId="2AEAB249" w14:textId="77777777" w:rsidR="00C20181" w:rsidRPr="00954B78" w:rsidRDefault="000F5B51">
            <w:pPr>
              <w:spacing w:after="0" w:line="240" w:lineRule="auto"/>
              <w:jc w:val="center"/>
              <w:rPr>
                <w:rFonts w:cs="Times New Roman"/>
                <w:color w:val="000000"/>
                <w:szCs w:val="24"/>
              </w:rPr>
            </w:pPr>
            <w:r>
              <w:rPr>
                <w:rFonts w:cs="Times New Roman"/>
                <w:color w:val="000000"/>
                <w:szCs w:val="24"/>
              </w:rPr>
              <w:t>-</w:t>
            </w:r>
          </w:p>
        </w:tc>
        <w:tc>
          <w:tcPr>
            <w:tcW w:w="1581" w:type="dxa"/>
            <w:shd w:val="clear" w:color="auto" w:fill="auto"/>
            <w:noWrap/>
            <w:vAlign w:val="center"/>
          </w:tcPr>
          <w:p w14:paraId="08C67749" w14:textId="77777777" w:rsidR="00C20181" w:rsidRPr="0055589E" w:rsidRDefault="000F5B51">
            <w:pPr>
              <w:spacing w:after="0" w:line="240" w:lineRule="auto"/>
              <w:jc w:val="center"/>
              <w:rPr>
                <w:rFonts w:cs="Times New Roman"/>
                <w:b/>
                <w:bCs/>
                <w:color w:val="000000"/>
                <w:szCs w:val="24"/>
              </w:rPr>
            </w:pPr>
            <w:r w:rsidRPr="0055589E">
              <w:rPr>
                <w:rFonts w:cs="Times New Roman"/>
                <w:b/>
                <w:bCs/>
                <w:color w:val="000000"/>
                <w:szCs w:val="24"/>
              </w:rPr>
              <w:t>-</w:t>
            </w:r>
          </w:p>
        </w:tc>
        <w:tc>
          <w:tcPr>
            <w:tcW w:w="1405" w:type="dxa"/>
            <w:shd w:val="clear" w:color="auto" w:fill="auto"/>
            <w:noWrap/>
            <w:vAlign w:val="center"/>
          </w:tcPr>
          <w:p w14:paraId="40DADA0D" w14:textId="77777777" w:rsidR="00C20181" w:rsidRPr="0055589E" w:rsidRDefault="000F5B51">
            <w:pPr>
              <w:spacing w:after="0" w:line="240" w:lineRule="auto"/>
              <w:jc w:val="center"/>
              <w:rPr>
                <w:rFonts w:cs="Times New Roman"/>
                <w:b/>
                <w:bCs/>
                <w:color w:val="000000"/>
                <w:szCs w:val="24"/>
              </w:rPr>
            </w:pPr>
            <w:r w:rsidRPr="0055589E">
              <w:rPr>
                <w:rFonts w:cs="Times New Roman"/>
                <w:b/>
                <w:bCs/>
                <w:color w:val="000000"/>
                <w:szCs w:val="24"/>
              </w:rPr>
              <w:t>2,17</w:t>
            </w:r>
            <w:r w:rsidR="0083240E" w:rsidRPr="0055589E">
              <w:rPr>
                <w:rFonts w:cs="Times New Roman"/>
                <w:b/>
                <w:bCs/>
                <w:color w:val="000000"/>
                <w:szCs w:val="24"/>
              </w:rPr>
              <w:t>7</w:t>
            </w:r>
          </w:p>
        </w:tc>
        <w:tc>
          <w:tcPr>
            <w:tcW w:w="1352" w:type="dxa"/>
            <w:vAlign w:val="center"/>
          </w:tcPr>
          <w:p w14:paraId="26EBF6D9" w14:textId="77777777" w:rsidR="00C20181" w:rsidRPr="0055589E" w:rsidRDefault="000F5B51">
            <w:pPr>
              <w:spacing w:after="0" w:line="240" w:lineRule="auto"/>
              <w:jc w:val="center"/>
              <w:rPr>
                <w:rFonts w:cs="Times New Roman"/>
                <w:b/>
                <w:bCs/>
                <w:color w:val="000000"/>
                <w:szCs w:val="24"/>
              </w:rPr>
            </w:pPr>
            <w:r w:rsidRPr="0055589E">
              <w:rPr>
                <w:rFonts w:cs="Times New Roman"/>
                <w:b/>
                <w:bCs/>
                <w:color w:val="000000"/>
                <w:szCs w:val="24"/>
              </w:rPr>
              <w:t>-</w:t>
            </w:r>
          </w:p>
        </w:tc>
        <w:tc>
          <w:tcPr>
            <w:tcW w:w="1353" w:type="dxa"/>
            <w:vAlign w:val="center"/>
          </w:tcPr>
          <w:p w14:paraId="4569994E" w14:textId="77777777" w:rsidR="00C20181" w:rsidRPr="0055589E" w:rsidRDefault="000F5B51">
            <w:pPr>
              <w:spacing w:after="0" w:line="240" w:lineRule="auto"/>
              <w:jc w:val="center"/>
              <w:rPr>
                <w:rFonts w:cs="Times New Roman"/>
                <w:b/>
                <w:bCs/>
                <w:color w:val="000000"/>
                <w:szCs w:val="24"/>
              </w:rPr>
            </w:pPr>
            <w:r w:rsidRPr="0055589E">
              <w:rPr>
                <w:rFonts w:cs="Times New Roman"/>
                <w:b/>
                <w:bCs/>
                <w:color w:val="000000"/>
                <w:szCs w:val="24"/>
              </w:rPr>
              <w:t>-</w:t>
            </w:r>
          </w:p>
        </w:tc>
        <w:tc>
          <w:tcPr>
            <w:tcW w:w="1610" w:type="dxa"/>
            <w:vAlign w:val="center"/>
          </w:tcPr>
          <w:p w14:paraId="7F2B2132" w14:textId="77777777" w:rsidR="00C20181" w:rsidRPr="0055589E" w:rsidRDefault="000F5B51">
            <w:pPr>
              <w:spacing w:after="0" w:line="240" w:lineRule="auto"/>
              <w:jc w:val="center"/>
              <w:rPr>
                <w:rFonts w:cs="Times New Roman"/>
                <w:b/>
                <w:bCs/>
                <w:color w:val="000000"/>
                <w:szCs w:val="24"/>
              </w:rPr>
            </w:pPr>
            <w:r w:rsidRPr="0055589E">
              <w:rPr>
                <w:rFonts w:cs="Times New Roman"/>
                <w:b/>
                <w:bCs/>
                <w:color w:val="000000"/>
                <w:szCs w:val="24"/>
              </w:rPr>
              <w:t>2,2</w:t>
            </w:r>
            <w:r w:rsidR="008A4492" w:rsidRPr="0055589E">
              <w:rPr>
                <w:rFonts w:cs="Times New Roman"/>
                <w:b/>
                <w:bCs/>
                <w:color w:val="000000"/>
                <w:szCs w:val="24"/>
              </w:rPr>
              <w:t>29</w:t>
            </w:r>
          </w:p>
        </w:tc>
        <w:tc>
          <w:tcPr>
            <w:tcW w:w="1620" w:type="dxa"/>
            <w:vAlign w:val="center"/>
          </w:tcPr>
          <w:p w14:paraId="34A56F87" w14:textId="77777777" w:rsidR="00C20181" w:rsidRPr="0055589E" w:rsidRDefault="000F5B51">
            <w:pPr>
              <w:spacing w:after="0" w:line="240" w:lineRule="auto"/>
              <w:jc w:val="center"/>
              <w:rPr>
                <w:rFonts w:cs="Times New Roman"/>
                <w:b/>
                <w:bCs/>
                <w:color w:val="000000"/>
                <w:szCs w:val="24"/>
              </w:rPr>
            </w:pPr>
            <w:r w:rsidRPr="0055589E">
              <w:rPr>
                <w:rFonts w:cs="Times New Roman"/>
                <w:b/>
                <w:bCs/>
                <w:color w:val="000000"/>
                <w:szCs w:val="24"/>
              </w:rPr>
              <w:t>2,25</w:t>
            </w:r>
            <w:r w:rsidR="008A4492" w:rsidRPr="0055589E">
              <w:rPr>
                <w:rFonts w:cs="Times New Roman"/>
                <w:b/>
                <w:bCs/>
                <w:color w:val="000000"/>
                <w:szCs w:val="24"/>
              </w:rPr>
              <w:t>6</w:t>
            </w:r>
          </w:p>
        </w:tc>
        <w:tc>
          <w:tcPr>
            <w:tcW w:w="1090" w:type="dxa"/>
            <w:vAlign w:val="center"/>
          </w:tcPr>
          <w:p w14:paraId="49B46B54" w14:textId="77777777" w:rsidR="00C20181" w:rsidRPr="0055589E" w:rsidRDefault="000F5B51">
            <w:pPr>
              <w:spacing w:after="0" w:line="240" w:lineRule="auto"/>
              <w:jc w:val="center"/>
              <w:rPr>
                <w:rFonts w:cs="Times New Roman"/>
                <w:b/>
                <w:bCs/>
                <w:color w:val="000000"/>
                <w:szCs w:val="24"/>
              </w:rPr>
            </w:pPr>
            <w:r w:rsidRPr="0055589E">
              <w:rPr>
                <w:b/>
                <w:bCs/>
                <w:color w:val="000000"/>
              </w:rPr>
              <w:t>52</w:t>
            </w:r>
          </w:p>
        </w:tc>
        <w:tc>
          <w:tcPr>
            <w:tcW w:w="1091" w:type="dxa"/>
            <w:vAlign w:val="center"/>
          </w:tcPr>
          <w:p w14:paraId="298654D3" w14:textId="77777777" w:rsidR="00C20181" w:rsidRPr="0055589E" w:rsidRDefault="000F5B51">
            <w:pPr>
              <w:spacing w:after="0" w:line="240" w:lineRule="auto"/>
              <w:jc w:val="center"/>
              <w:rPr>
                <w:rFonts w:cs="Times New Roman"/>
                <w:b/>
                <w:bCs/>
                <w:color w:val="000000"/>
                <w:szCs w:val="24"/>
              </w:rPr>
            </w:pPr>
            <w:r w:rsidRPr="0055589E">
              <w:rPr>
                <w:b/>
                <w:bCs/>
                <w:color w:val="000000"/>
              </w:rPr>
              <w:t>79</w:t>
            </w:r>
          </w:p>
        </w:tc>
      </w:tr>
      <w:tr w:rsidR="00A15C2C" w14:paraId="0036CA2A" w14:textId="77777777" w:rsidTr="0055589E">
        <w:trPr>
          <w:trHeight w:val="310"/>
          <w:jc w:val="center"/>
        </w:trPr>
        <w:tc>
          <w:tcPr>
            <w:tcW w:w="1488" w:type="dxa"/>
            <w:shd w:val="clear" w:color="auto" w:fill="auto"/>
            <w:noWrap/>
            <w:vAlign w:val="bottom"/>
            <w:hideMark/>
          </w:tcPr>
          <w:p w14:paraId="06D83C58" w14:textId="77777777" w:rsidR="005A177E" w:rsidRPr="00012598" w:rsidRDefault="000F5B51" w:rsidP="006E4648">
            <w:pPr>
              <w:spacing w:after="0" w:line="240" w:lineRule="auto"/>
              <w:rPr>
                <w:rFonts w:eastAsia="Times New Roman" w:cs="Times New Roman"/>
                <w:b/>
                <w:bCs/>
                <w:color w:val="000000"/>
                <w:szCs w:val="24"/>
              </w:rPr>
            </w:pPr>
            <w:r w:rsidRPr="00012598">
              <w:rPr>
                <w:rFonts w:eastAsia="Times New Roman" w:cs="Times New Roman"/>
                <w:b/>
                <w:bCs/>
                <w:color w:val="000000"/>
                <w:szCs w:val="24"/>
              </w:rPr>
              <w:t>Fatality</w:t>
            </w:r>
          </w:p>
        </w:tc>
        <w:tc>
          <w:tcPr>
            <w:tcW w:w="1229" w:type="dxa"/>
            <w:vAlign w:val="center"/>
          </w:tcPr>
          <w:p w14:paraId="308FBF2E" w14:textId="77777777" w:rsidR="005A177E" w:rsidRPr="00954B78" w:rsidRDefault="000F5B51" w:rsidP="0068771B">
            <w:pPr>
              <w:spacing w:after="0" w:line="240" w:lineRule="auto"/>
              <w:jc w:val="center"/>
              <w:rPr>
                <w:rFonts w:cs="Times New Roman"/>
                <w:b/>
                <w:bCs/>
                <w:color w:val="000000"/>
                <w:szCs w:val="24"/>
              </w:rPr>
            </w:pPr>
            <w:r w:rsidRPr="00954B78">
              <w:rPr>
                <w:rFonts w:cs="Times New Roman"/>
                <w:b/>
                <w:bCs/>
                <w:color w:val="000000"/>
                <w:szCs w:val="24"/>
              </w:rPr>
              <w:t>936</w:t>
            </w:r>
          </w:p>
        </w:tc>
        <w:tc>
          <w:tcPr>
            <w:tcW w:w="1317" w:type="dxa"/>
            <w:shd w:val="clear" w:color="auto" w:fill="auto"/>
            <w:noWrap/>
            <w:vAlign w:val="center"/>
            <w:hideMark/>
          </w:tcPr>
          <w:p w14:paraId="15A61EEE" w14:textId="77777777" w:rsidR="005A177E" w:rsidRPr="00954B78" w:rsidRDefault="000F5B51" w:rsidP="009B7C81">
            <w:pPr>
              <w:spacing w:after="0" w:line="240" w:lineRule="auto"/>
              <w:jc w:val="center"/>
              <w:rPr>
                <w:rFonts w:eastAsia="Times New Roman" w:cs="Times New Roman"/>
                <w:b/>
                <w:bCs/>
                <w:color w:val="000000"/>
                <w:szCs w:val="24"/>
              </w:rPr>
            </w:pPr>
            <w:r w:rsidRPr="00954B78">
              <w:rPr>
                <w:rFonts w:cs="Times New Roman"/>
                <w:b/>
                <w:bCs/>
                <w:color w:val="000000"/>
                <w:szCs w:val="24"/>
              </w:rPr>
              <w:t>0.5500</w:t>
            </w:r>
          </w:p>
        </w:tc>
        <w:tc>
          <w:tcPr>
            <w:tcW w:w="1581" w:type="dxa"/>
            <w:shd w:val="clear" w:color="auto" w:fill="auto"/>
            <w:noWrap/>
            <w:vAlign w:val="center"/>
            <w:hideMark/>
          </w:tcPr>
          <w:p w14:paraId="20FD546C" w14:textId="77777777" w:rsidR="005A177E" w:rsidRPr="00954B78" w:rsidRDefault="000F5B51">
            <w:pPr>
              <w:spacing w:after="0" w:line="240" w:lineRule="auto"/>
              <w:jc w:val="center"/>
              <w:rPr>
                <w:rFonts w:eastAsia="Times New Roman" w:cs="Times New Roman"/>
                <w:b/>
                <w:bCs/>
                <w:color w:val="000000"/>
                <w:szCs w:val="24"/>
              </w:rPr>
            </w:pPr>
            <w:r w:rsidRPr="006B7B84">
              <w:rPr>
                <w:rFonts w:cs="Times New Roman"/>
                <w:b/>
                <w:bCs/>
                <w:szCs w:val="24"/>
              </w:rPr>
              <w:t>0.5953</w:t>
            </w:r>
          </w:p>
        </w:tc>
        <w:tc>
          <w:tcPr>
            <w:tcW w:w="1405" w:type="dxa"/>
            <w:shd w:val="clear" w:color="auto" w:fill="auto"/>
            <w:noWrap/>
            <w:vAlign w:val="center"/>
          </w:tcPr>
          <w:p w14:paraId="319C8369" w14:textId="77777777" w:rsidR="005A177E" w:rsidRPr="00954B78" w:rsidRDefault="000F5B51">
            <w:pPr>
              <w:spacing w:after="0" w:line="240" w:lineRule="auto"/>
              <w:jc w:val="center"/>
              <w:rPr>
                <w:rFonts w:eastAsia="Times New Roman" w:cs="Times New Roman"/>
                <w:b/>
                <w:bCs/>
                <w:color w:val="000000"/>
                <w:szCs w:val="24"/>
              </w:rPr>
            </w:pPr>
            <w:r>
              <w:rPr>
                <w:rFonts w:eastAsia="Times New Roman" w:cs="Times New Roman"/>
                <w:b/>
                <w:bCs/>
                <w:color w:val="000000"/>
                <w:szCs w:val="24"/>
              </w:rPr>
              <w:t>30</w:t>
            </w:r>
            <w:r w:rsidR="0083240E">
              <w:rPr>
                <w:rFonts w:eastAsia="Times New Roman" w:cs="Times New Roman"/>
                <w:b/>
                <w:bCs/>
                <w:color w:val="000000"/>
                <w:szCs w:val="24"/>
              </w:rPr>
              <w:t>7</w:t>
            </w:r>
          </w:p>
        </w:tc>
        <w:tc>
          <w:tcPr>
            <w:tcW w:w="1352" w:type="dxa"/>
            <w:vAlign w:val="center"/>
          </w:tcPr>
          <w:p w14:paraId="5C6A1441" w14:textId="77777777" w:rsidR="005A177E" w:rsidRPr="008B2330" w:rsidRDefault="000F5B51">
            <w:pPr>
              <w:spacing w:after="0" w:line="240" w:lineRule="auto"/>
              <w:jc w:val="center"/>
              <w:rPr>
                <w:rFonts w:eastAsia="Times New Roman" w:cs="Times New Roman"/>
                <w:b/>
                <w:bCs/>
                <w:color w:val="000000"/>
                <w:szCs w:val="24"/>
              </w:rPr>
            </w:pPr>
            <w:r w:rsidRPr="0055589E">
              <w:rPr>
                <w:rFonts w:cs="Calibri"/>
                <w:b/>
                <w:bCs/>
                <w:color w:val="000000"/>
              </w:rPr>
              <w:t>0.6162</w:t>
            </w:r>
          </w:p>
        </w:tc>
        <w:tc>
          <w:tcPr>
            <w:tcW w:w="1353" w:type="dxa"/>
            <w:vAlign w:val="center"/>
          </w:tcPr>
          <w:p w14:paraId="6C97FBE5" w14:textId="77777777" w:rsidR="005A177E" w:rsidRPr="008B2330" w:rsidRDefault="000F5B51">
            <w:pPr>
              <w:spacing w:after="0" w:line="240" w:lineRule="auto"/>
              <w:jc w:val="center"/>
              <w:rPr>
                <w:rFonts w:eastAsia="Times New Roman" w:cs="Times New Roman"/>
                <w:b/>
                <w:bCs/>
                <w:color w:val="000000"/>
                <w:szCs w:val="24"/>
              </w:rPr>
            </w:pPr>
            <w:r w:rsidRPr="0055589E">
              <w:rPr>
                <w:rFonts w:cs="Calibri"/>
                <w:b/>
                <w:bCs/>
                <w:color w:val="000000"/>
              </w:rPr>
              <w:t>0.6268</w:t>
            </w:r>
          </w:p>
        </w:tc>
        <w:tc>
          <w:tcPr>
            <w:tcW w:w="1610" w:type="dxa"/>
            <w:vAlign w:val="center"/>
          </w:tcPr>
          <w:p w14:paraId="1DA76AD1" w14:textId="77777777" w:rsidR="005A177E" w:rsidRPr="008B2330" w:rsidRDefault="000F5B51">
            <w:pPr>
              <w:spacing w:after="0" w:line="240" w:lineRule="auto"/>
              <w:jc w:val="center"/>
              <w:rPr>
                <w:rFonts w:eastAsia="Times New Roman" w:cs="Times New Roman"/>
                <w:b/>
                <w:bCs/>
                <w:color w:val="000000"/>
                <w:szCs w:val="24"/>
              </w:rPr>
            </w:pPr>
            <w:r w:rsidRPr="0055589E">
              <w:rPr>
                <w:b/>
                <w:bCs/>
                <w:color w:val="000000"/>
              </w:rPr>
              <w:t>317</w:t>
            </w:r>
          </w:p>
        </w:tc>
        <w:tc>
          <w:tcPr>
            <w:tcW w:w="1620" w:type="dxa"/>
            <w:vAlign w:val="center"/>
          </w:tcPr>
          <w:p w14:paraId="3AB999AF" w14:textId="77777777" w:rsidR="005A177E" w:rsidRPr="008B2330" w:rsidRDefault="000F5B51">
            <w:pPr>
              <w:spacing w:after="0" w:line="240" w:lineRule="auto"/>
              <w:jc w:val="center"/>
              <w:rPr>
                <w:rFonts w:eastAsia="Times New Roman" w:cs="Times New Roman"/>
                <w:b/>
                <w:bCs/>
                <w:color w:val="000000"/>
                <w:szCs w:val="24"/>
              </w:rPr>
            </w:pPr>
            <w:r w:rsidRPr="0055589E">
              <w:rPr>
                <w:b/>
                <w:bCs/>
                <w:color w:val="000000"/>
              </w:rPr>
              <w:t>323</w:t>
            </w:r>
          </w:p>
        </w:tc>
        <w:tc>
          <w:tcPr>
            <w:tcW w:w="1090" w:type="dxa"/>
            <w:vAlign w:val="center"/>
          </w:tcPr>
          <w:p w14:paraId="7D49AC88" w14:textId="77777777" w:rsidR="005A177E" w:rsidRPr="00954B78" w:rsidRDefault="000F5B51">
            <w:pPr>
              <w:spacing w:after="0" w:line="240" w:lineRule="auto"/>
              <w:jc w:val="center"/>
              <w:rPr>
                <w:rFonts w:eastAsia="Times New Roman" w:cs="Times New Roman"/>
                <w:b/>
                <w:bCs/>
                <w:color w:val="000000"/>
                <w:szCs w:val="24"/>
              </w:rPr>
            </w:pPr>
            <w:r>
              <w:rPr>
                <w:rFonts w:eastAsia="Times New Roman" w:cs="Times New Roman"/>
                <w:b/>
                <w:bCs/>
                <w:color w:val="000000"/>
                <w:szCs w:val="24"/>
              </w:rPr>
              <w:t>11</w:t>
            </w:r>
          </w:p>
        </w:tc>
        <w:tc>
          <w:tcPr>
            <w:tcW w:w="1091" w:type="dxa"/>
            <w:vAlign w:val="center"/>
          </w:tcPr>
          <w:p w14:paraId="0E6CD512" w14:textId="77777777" w:rsidR="005A177E" w:rsidRPr="00954B78" w:rsidRDefault="000F5B51">
            <w:pPr>
              <w:spacing w:after="0" w:line="240" w:lineRule="auto"/>
              <w:jc w:val="center"/>
              <w:rPr>
                <w:rFonts w:eastAsia="Times New Roman" w:cs="Times New Roman"/>
                <w:b/>
                <w:bCs/>
                <w:color w:val="000000"/>
                <w:szCs w:val="24"/>
              </w:rPr>
            </w:pPr>
            <w:r>
              <w:rPr>
                <w:rFonts w:eastAsia="Times New Roman" w:cs="Times New Roman"/>
                <w:b/>
                <w:bCs/>
                <w:color w:val="000000"/>
                <w:szCs w:val="24"/>
              </w:rPr>
              <w:t>1</w:t>
            </w:r>
            <w:r w:rsidR="00D5126D">
              <w:rPr>
                <w:rFonts w:eastAsia="Times New Roman" w:cs="Times New Roman"/>
                <w:b/>
                <w:bCs/>
                <w:color w:val="000000"/>
                <w:szCs w:val="24"/>
              </w:rPr>
              <w:t>6</w:t>
            </w:r>
          </w:p>
        </w:tc>
      </w:tr>
      <w:tr w:rsidR="00A15C2C" w14:paraId="194E226D" w14:textId="77777777" w:rsidTr="000B32DD">
        <w:trPr>
          <w:trHeight w:val="310"/>
          <w:jc w:val="center"/>
        </w:trPr>
        <w:tc>
          <w:tcPr>
            <w:tcW w:w="15136" w:type="dxa"/>
            <w:gridSpan w:val="11"/>
            <w:shd w:val="clear" w:color="auto" w:fill="D9D9D9" w:themeFill="background1" w:themeFillShade="D9"/>
            <w:noWrap/>
            <w:vAlign w:val="bottom"/>
          </w:tcPr>
          <w:p w14:paraId="50F670B1" w14:textId="77777777" w:rsidR="000B32DD" w:rsidRPr="000B32DD" w:rsidRDefault="000F5B51" w:rsidP="009E4184">
            <w:pPr>
              <w:spacing w:after="0" w:line="240" w:lineRule="auto"/>
              <w:jc w:val="center"/>
              <w:rPr>
                <w:b/>
                <w:bCs/>
                <w:i/>
                <w:iCs/>
                <w:color w:val="000000"/>
              </w:rPr>
            </w:pPr>
            <w:r w:rsidRPr="000B32DD">
              <w:rPr>
                <w:b/>
                <w:bCs/>
                <w:i/>
                <w:iCs/>
                <w:color w:val="000000"/>
              </w:rPr>
              <w:t>Light Trucks</w:t>
            </w:r>
          </w:p>
        </w:tc>
      </w:tr>
      <w:tr w:rsidR="00A15C2C" w14:paraId="53F013EC" w14:textId="77777777" w:rsidTr="0055589E">
        <w:trPr>
          <w:trHeight w:val="310"/>
          <w:jc w:val="center"/>
        </w:trPr>
        <w:tc>
          <w:tcPr>
            <w:tcW w:w="1488" w:type="dxa"/>
            <w:shd w:val="clear" w:color="auto" w:fill="auto"/>
            <w:noWrap/>
            <w:vAlign w:val="bottom"/>
            <w:hideMark/>
          </w:tcPr>
          <w:p w14:paraId="658B7594" w14:textId="77777777" w:rsidR="000A12BB" w:rsidRPr="00954B78" w:rsidRDefault="000F5B51" w:rsidP="000A12BB">
            <w:pPr>
              <w:spacing w:after="0" w:line="240" w:lineRule="auto"/>
              <w:rPr>
                <w:rFonts w:eastAsia="Times New Roman" w:cs="Times New Roman"/>
                <w:color w:val="000000"/>
                <w:szCs w:val="24"/>
              </w:rPr>
            </w:pPr>
            <w:r>
              <w:rPr>
                <w:rFonts w:eastAsia="Times New Roman" w:cs="Times New Roman"/>
                <w:color w:val="000000"/>
                <w:szCs w:val="24"/>
              </w:rPr>
              <w:t>MAIS 1</w:t>
            </w:r>
          </w:p>
        </w:tc>
        <w:tc>
          <w:tcPr>
            <w:tcW w:w="1229" w:type="dxa"/>
            <w:vAlign w:val="center"/>
          </w:tcPr>
          <w:p w14:paraId="322AA1A2" w14:textId="77777777" w:rsidR="000A12BB" w:rsidRPr="00954B78" w:rsidRDefault="000F5B51" w:rsidP="000A12BB">
            <w:pPr>
              <w:spacing w:after="0" w:line="240" w:lineRule="auto"/>
              <w:jc w:val="center"/>
              <w:rPr>
                <w:rFonts w:cs="Times New Roman"/>
                <w:color w:val="000000"/>
                <w:szCs w:val="24"/>
              </w:rPr>
            </w:pPr>
            <w:r w:rsidRPr="00954B78">
              <w:rPr>
                <w:rFonts w:cs="Times New Roman"/>
                <w:color w:val="000000"/>
                <w:szCs w:val="24"/>
              </w:rPr>
              <w:t>5,964</w:t>
            </w:r>
          </w:p>
        </w:tc>
        <w:tc>
          <w:tcPr>
            <w:tcW w:w="1317" w:type="dxa"/>
            <w:shd w:val="clear" w:color="auto" w:fill="auto"/>
            <w:noWrap/>
            <w:vAlign w:val="center"/>
            <w:hideMark/>
          </w:tcPr>
          <w:p w14:paraId="288788CA" w14:textId="77777777" w:rsidR="000A12BB" w:rsidRPr="00954B78" w:rsidRDefault="000F5B51" w:rsidP="009B7C81">
            <w:pPr>
              <w:spacing w:after="0" w:line="240" w:lineRule="auto"/>
              <w:jc w:val="center"/>
              <w:rPr>
                <w:rFonts w:eastAsia="Times New Roman" w:cs="Times New Roman"/>
                <w:color w:val="000000"/>
                <w:szCs w:val="24"/>
              </w:rPr>
            </w:pPr>
            <w:r w:rsidRPr="00954B78">
              <w:rPr>
                <w:rFonts w:cs="Times New Roman"/>
                <w:color w:val="000000"/>
                <w:szCs w:val="24"/>
              </w:rPr>
              <w:t>0.0550</w:t>
            </w:r>
          </w:p>
        </w:tc>
        <w:tc>
          <w:tcPr>
            <w:tcW w:w="1581" w:type="dxa"/>
            <w:shd w:val="clear" w:color="auto" w:fill="auto"/>
            <w:noWrap/>
            <w:vAlign w:val="center"/>
            <w:hideMark/>
          </w:tcPr>
          <w:p w14:paraId="7297650D" w14:textId="77777777" w:rsidR="000A12BB" w:rsidRPr="00954B78" w:rsidRDefault="000F5B51">
            <w:pPr>
              <w:spacing w:after="0" w:line="240" w:lineRule="auto"/>
              <w:jc w:val="center"/>
              <w:rPr>
                <w:rFonts w:eastAsia="Times New Roman" w:cs="Times New Roman"/>
                <w:color w:val="000000"/>
                <w:szCs w:val="24"/>
              </w:rPr>
            </w:pPr>
            <w:r>
              <w:rPr>
                <w:rFonts w:cs="Times New Roman"/>
                <w:color w:val="000000"/>
                <w:szCs w:val="24"/>
              </w:rPr>
              <w:t>0.7512</w:t>
            </w:r>
          </w:p>
        </w:tc>
        <w:tc>
          <w:tcPr>
            <w:tcW w:w="1405" w:type="dxa"/>
            <w:shd w:val="clear" w:color="auto" w:fill="auto"/>
            <w:noWrap/>
            <w:vAlign w:val="center"/>
          </w:tcPr>
          <w:p w14:paraId="350CA25A" w14:textId="77777777" w:rsidR="000A12BB" w:rsidRPr="00954B78" w:rsidRDefault="000F5B51">
            <w:pPr>
              <w:spacing w:after="0" w:line="240" w:lineRule="auto"/>
              <w:jc w:val="center"/>
              <w:rPr>
                <w:rFonts w:eastAsia="Times New Roman" w:cs="Times New Roman"/>
                <w:color w:val="000000"/>
                <w:szCs w:val="24"/>
              </w:rPr>
            </w:pPr>
            <w:r>
              <w:rPr>
                <w:color w:val="000000"/>
              </w:rPr>
              <w:t>246</w:t>
            </w:r>
          </w:p>
        </w:tc>
        <w:tc>
          <w:tcPr>
            <w:tcW w:w="1352" w:type="dxa"/>
          </w:tcPr>
          <w:p w14:paraId="40BD2FA3" w14:textId="77777777" w:rsidR="000A12BB" w:rsidRPr="00954B78" w:rsidRDefault="000F5B51">
            <w:pPr>
              <w:spacing w:after="0" w:line="240" w:lineRule="auto"/>
              <w:jc w:val="center"/>
              <w:rPr>
                <w:rFonts w:eastAsia="Times New Roman" w:cs="Times New Roman"/>
                <w:color w:val="000000"/>
                <w:szCs w:val="24"/>
              </w:rPr>
            </w:pPr>
            <w:r w:rsidRPr="00784405">
              <w:t>0.7693</w:t>
            </w:r>
          </w:p>
        </w:tc>
        <w:tc>
          <w:tcPr>
            <w:tcW w:w="1353" w:type="dxa"/>
          </w:tcPr>
          <w:p w14:paraId="34D94AFF" w14:textId="77777777" w:rsidR="000A12BB" w:rsidRPr="00954B78" w:rsidRDefault="000F5B51">
            <w:pPr>
              <w:spacing w:after="0" w:line="240" w:lineRule="auto"/>
              <w:jc w:val="center"/>
              <w:rPr>
                <w:rFonts w:eastAsia="Times New Roman" w:cs="Times New Roman"/>
                <w:color w:val="000000"/>
                <w:szCs w:val="24"/>
              </w:rPr>
            </w:pPr>
            <w:r w:rsidRPr="00784405">
              <w:t>0.7784</w:t>
            </w:r>
          </w:p>
        </w:tc>
        <w:tc>
          <w:tcPr>
            <w:tcW w:w="1610" w:type="dxa"/>
            <w:vAlign w:val="center"/>
          </w:tcPr>
          <w:p w14:paraId="0F1ED6C1" w14:textId="77777777" w:rsidR="000A12BB" w:rsidRPr="00954B78" w:rsidRDefault="000F5B51">
            <w:pPr>
              <w:spacing w:after="0" w:line="240" w:lineRule="auto"/>
              <w:jc w:val="center"/>
              <w:rPr>
                <w:rFonts w:eastAsia="Times New Roman" w:cs="Times New Roman"/>
                <w:color w:val="000000"/>
                <w:szCs w:val="24"/>
              </w:rPr>
            </w:pPr>
            <w:r>
              <w:rPr>
                <w:color w:val="000000"/>
              </w:rPr>
              <w:t>252</w:t>
            </w:r>
          </w:p>
        </w:tc>
        <w:tc>
          <w:tcPr>
            <w:tcW w:w="1620" w:type="dxa"/>
            <w:vAlign w:val="center"/>
          </w:tcPr>
          <w:p w14:paraId="2D2173D8" w14:textId="77777777" w:rsidR="000A12BB" w:rsidRPr="00954B78" w:rsidRDefault="000F5B51">
            <w:pPr>
              <w:spacing w:after="0" w:line="240" w:lineRule="auto"/>
              <w:jc w:val="center"/>
              <w:rPr>
                <w:rFonts w:eastAsia="Times New Roman" w:cs="Times New Roman"/>
                <w:color w:val="000000"/>
                <w:szCs w:val="24"/>
              </w:rPr>
            </w:pPr>
            <w:r>
              <w:rPr>
                <w:color w:val="000000"/>
              </w:rPr>
              <w:t>25</w:t>
            </w:r>
            <w:r w:rsidR="009362D4">
              <w:rPr>
                <w:color w:val="000000"/>
              </w:rPr>
              <w:t>5</w:t>
            </w:r>
          </w:p>
        </w:tc>
        <w:tc>
          <w:tcPr>
            <w:tcW w:w="1090" w:type="dxa"/>
            <w:vAlign w:val="center"/>
          </w:tcPr>
          <w:p w14:paraId="7765F51D" w14:textId="77777777" w:rsidR="000A12BB" w:rsidRPr="00954B78" w:rsidRDefault="000F5B51">
            <w:pPr>
              <w:spacing w:after="0" w:line="240" w:lineRule="auto"/>
              <w:jc w:val="center"/>
              <w:rPr>
                <w:rFonts w:eastAsia="Times New Roman" w:cs="Times New Roman"/>
                <w:color w:val="000000"/>
                <w:szCs w:val="24"/>
              </w:rPr>
            </w:pPr>
            <w:r>
              <w:rPr>
                <w:color w:val="000000"/>
              </w:rPr>
              <w:t>6</w:t>
            </w:r>
          </w:p>
        </w:tc>
        <w:tc>
          <w:tcPr>
            <w:tcW w:w="1091" w:type="dxa"/>
            <w:vAlign w:val="center"/>
          </w:tcPr>
          <w:p w14:paraId="1D795CF6" w14:textId="77777777" w:rsidR="000A12BB" w:rsidRPr="00954B78" w:rsidRDefault="000F5B51">
            <w:pPr>
              <w:spacing w:after="0" w:line="240" w:lineRule="auto"/>
              <w:jc w:val="center"/>
              <w:rPr>
                <w:rFonts w:eastAsia="Times New Roman" w:cs="Times New Roman"/>
                <w:color w:val="000000"/>
                <w:szCs w:val="24"/>
              </w:rPr>
            </w:pPr>
            <w:r>
              <w:rPr>
                <w:color w:val="000000"/>
              </w:rPr>
              <w:t>9</w:t>
            </w:r>
          </w:p>
        </w:tc>
      </w:tr>
      <w:tr w:rsidR="00A15C2C" w14:paraId="54242EE4" w14:textId="77777777" w:rsidTr="0055589E">
        <w:trPr>
          <w:trHeight w:val="310"/>
          <w:jc w:val="center"/>
        </w:trPr>
        <w:tc>
          <w:tcPr>
            <w:tcW w:w="1488" w:type="dxa"/>
            <w:shd w:val="clear" w:color="auto" w:fill="auto"/>
            <w:noWrap/>
            <w:hideMark/>
          </w:tcPr>
          <w:p w14:paraId="3C39144F" w14:textId="77777777" w:rsidR="000A12BB" w:rsidRPr="00954B78" w:rsidRDefault="000F5B51" w:rsidP="000A12BB">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2</w:t>
            </w:r>
          </w:p>
        </w:tc>
        <w:tc>
          <w:tcPr>
            <w:tcW w:w="1229" w:type="dxa"/>
            <w:vAlign w:val="center"/>
          </w:tcPr>
          <w:p w14:paraId="74CCF0CA" w14:textId="77777777" w:rsidR="000A12BB" w:rsidRPr="00954B78" w:rsidRDefault="000F5B51" w:rsidP="000A12BB">
            <w:pPr>
              <w:spacing w:after="0" w:line="240" w:lineRule="auto"/>
              <w:jc w:val="center"/>
              <w:rPr>
                <w:rFonts w:cs="Times New Roman"/>
                <w:color w:val="000000"/>
                <w:szCs w:val="24"/>
              </w:rPr>
            </w:pPr>
            <w:r w:rsidRPr="00954B78">
              <w:rPr>
                <w:rFonts w:cs="Times New Roman"/>
                <w:color w:val="000000"/>
                <w:szCs w:val="24"/>
              </w:rPr>
              <w:t>1,363</w:t>
            </w:r>
          </w:p>
        </w:tc>
        <w:tc>
          <w:tcPr>
            <w:tcW w:w="1317" w:type="dxa"/>
            <w:shd w:val="clear" w:color="auto" w:fill="auto"/>
            <w:noWrap/>
            <w:vAlign w:val="center"/>
            <w:hideMark/>
          </w:tcPr>
          <w:p w14:paraId="753E6A45" w14:textId="77777777" w:rsidR="000A12BB" w:rsidRPr="00954B78" w:rsidRDefault="000F5B51" w:rsidP="009B7C81">
            <w:pPr>
              <w:spacing w:after="0" w:line="240" w:lineRule="auto"/>
              <w:jc w:val="center"/>
              <w:rPr>
                <w:rFonts w:eastAsia="Times New Roman" w:cs="Times New Roman"/>
                <w:color w:val="000000"/>
                <w:szCs w:val="24"/>
              </w:rPr>
            </w:pPr>
            <w:r w:rsidRPr="00954B78">
              <w:rPr>
                <w:rFonts w:cs="Times New Roman"/>
                <w:color w:val="000000"/>
                <w:szCs w:val="24"/>
              </w:rPr>
              <w:t>0.5068</w:t>
            </w:r>
          </w:p>
        </w:tc>
        <w:tc>
          <w:tcPr>
            <w:tcW w:w="1581" w:type="dxa"/>
            <w:shd w:val="clear" w:color="auto" w:fill="auto"/>
            <w:noWrap/>
            <w:vAlign w:val="center"/>
            <w:hideMark/>
          </w:tcPr>
          <w:p w14:paraId="767FC0B0" w14:textId="77777777" w:rsidR="000A12BB" w:rsidRPr="00954B78" w:rsidRDefault="000F5B51">
            <w:pPr>
              <w:spacing w:after="0" w:line="240" w:lineRule="auto"/>
              <w:jc w:val="center"/>
              <w:rPr>
                <w:rFonts w:eastAsia="Times New Roman" w:cs="Times New Roman"/>
                <w:color w:val="000000"/>
                <w:szCs w:val="24"/>
              </w:rPr>
            </w:pPr>
            <w:r w:rsidRPr="006B7B84">
              <w:rPr>
                <w:rFonts w:cs="Times New Roman"/>
                <w:color w:val="000000"/>
                <w:szCs w:val="24"/>
              </w:rPr>
              <w:t>0.7512</w:t>
            </w:r>
          </w:p>
        </w:tc>
        <w:tc>
          <w:tcPr>
            <w:tcW w:w="1405" w:type="dxa"/>
            <w:shd w:val="clear" w:color="auto" w:fill="auto"/>
            <w:noWrap/>
            <w:vAlign w:val="center"/>
          </w:tcPr>
          <w:p w14:paraId="1E10283C" w14:textId="77777777" w:rsidR="000A12BB" w:rsidRPr="00954B78" w:rsidRDefault="000F5B51">
            <w:pPr>
              <w:spacing w:after="0" w:line="240" w:lineRule="auto"/>
              <w:jc w:val="center"/>
              <w:rPr>
                <w:rFonts w:eastAsia="Times New Roman" w:cs="Times New Roman"/>
                <w:color w:val="000000"/>
                <w:szCs w:val="24"/>
              </w:rPr>
            </w:pPr>
            <w:r>
              <w:rPr>
                <w:color w:val="000000"/>
              </w:rPr>
              <w:t>519</w:t>
            </w:r>
          </w:p>
        </w:tc>
        <w:tc>
          <w:tcPr>
            <w:tcW w:w="1352" w:type="dxa"/>
          </w:tcPr>
          <w:p w14:paraId="6CE448DB" w14:textId="77777777" w:rsidR="000A12BB" w:rsidRPr="00954B78" w:rsidRDefault="000F5B51">
            <w:pPr>
              <w:spacing w:after="0" w:line="240" w:lineRule="auto"/>
              <w:jc w:val="center"/>
              <w:rPr>
                <w:rFonts w:eastAsia="Times New Roman" w:cs="Times New Roman"/>
                <w:color w:val="000000"/>
                <w:szCs w:val="24"/>
              </w:rPr>
            </w:pPr>
            <w:r w:rsidRPr="00784405">
              <w:t>0.7693</w:t>
            </w:r>
          </w:p>
        </w:tc>
        <w:tc>
          <w:tcPr>
            <w:tcW w:w="1353" w:type="dxa"/>
          </w:tcPr>
          <w:p w14:paraId="0CCBE935" w14:textId="77777777" w:rsidR="000A12BB" w:rsidRPr="00954B78" w:rsidRDefault="000F5B51">
            <w:pPr>
              <w:spacing w:after="0" w:line="240" w:lineRule="auto"/>
              <w:jc w:val="center"/>
              <w:rPr>
                <w:rFonts w:eastAsia="Times New Roman" w:cs="Times New Roman"/>
                <w:color w:val="000000"/>
                <w:szCs w:val="24"/>
              </w:rPr>
            </w:pPr>
            <w:r w:rsidRPr="00784405">
              <w:t>0.7784</w:t>
            </w:r>
          </w:p>
        </w:tc>
        <w:tc>
          <w:tcPr>
            <w:tcW w:w="1610" w:type="dxa"/>
            <w:vAlign w:val="center"/>
          </w:tcPr>
          <w:p w14:paraId="05BE3C3F" w14:textId="77777777" w:rsidR="000A12BB" w:rsidRPr="00954B78" w:rsidRDefault="000F5B51">
            <w:pPr>
              <w:spacing w:after="0" w:line="240" w:lineRule="auto"/>
              <w:jc w:val="center"/>
              <w:rPr>
                <w:rFonts w:eastAsia="Times New Roman" w:cs="Times New Roman"/>
                <w:color w:val="000000"/>
                <w:szCs w:val="24"/>
              </w:rPr>
            </w:pPr>
            <w:r>
              <w:rPr>
                <w:color w:val="000000"/>
              </w:rPr>
              <w:t>531</w:t>
            </w:r>
          </w:p>
        </w:tc>
        <w:tc>
          <w:tcPr>
            <w:tcW w:w="1620" w:type="dxa"/>
            <w:vAlign w:val="center"/>
          </w:tcPr>
          <w:p w14:paraId="6E19F3E2" w14:textId="77777777" w:rsidR="000A12BB" w:rsidRPr="00954B78" w:rsidRDefault="000F5B51">
            <w:pPr>
              <w:spacing w:after="0" w:line="240" w:lineRule="auto"/>
              <w:jc w:val="center"/>
              <w:rPr>
                <w:rFonts w:eastAsia="Times New Roman" w:cs="Times New Roman"/>
                <w:color w:val="000000"/>
                <w:szCs w:val="24"/>
              </w:rPr>
            </w:pPr>
            <w:r>
              <w:rPr>
                <w:color w:val="000000"/>
              </w:rPr>
              <w:t>53</w:t>
            </w:r>
            <w:r w:rsidR="009362D4">
              <w:rPr>
                <w:color w:val="000000"/>
              </w:rPr>
              <w:t>8</w:t>
            </w:r>
          </w:p>
        </w:tc>
        <w:tc>
          <w:tcPr>
            <w:tcW w:w="1090" w:type="dxa"/>
            <w:vAlign w:val="center"/>
          </w:tcPr>
          <w:p w14:paraId="74AE0B60" w14:textId="77777777" w:rsidR="000A12BB" w:rsidRPr="00954B78" w:rsidRDefault="000F5B51">
            <w:pPr>
              <w:spacing w:after="0" w:line="240" w:lineRule="auto"/>
              <w:jc w:val="center"/>
              <w:rPr>
                <w:rFonts w:eastAsia="Times New Roman" w:cs="Times New Roman"/>
                <w:color w:val="000000"/>
                <w:szCs w:val="24"/>
              </w:rPr>
            </w:pPr>
            <w:r>
              <w:rPr>
                <w:color w:val="000000"/>
              </w:rPr>
              <w:t>1</w:t>
            </w:r>
            <w:r w:rsidR="00D5126D">
              <w:rPr>
                <w:color w:val="000000"/>
              </w:rPr>
              <w:t>3</w:t>
            </w:r>
          </w:p>
        </w:tc>
        <w:tc>
          <w:tcPr>
            <w:tcW w:w="1091" w:type="dxa"/>
            <w:vAlign w:val="center"/>
          </w:tcPr>
          <w:p w14:paraId="53F75FD4" w14:textId="77777777" w:rsidR="000A12BB" w:rsidRPr="00954B78" w:rsidRDefault="000F5B51">
            <w:pPr>
              <w:spacing w:after="0" w:line="240" w:lineRule="auto"/>
              <w:jc w:val="center"/>
              <w:rPr>
                <w:rFonts w:eastAsia="Times New Roman" w:cs="Times New Roman"/>
                <w:color w:val="000000"/>
                <w:szCs w:val="24"/>
              </w:rPr>
            </w:pPr>
            <w:r>
              <w:rPr>
                <w:color w:val="000000"/>
              </w:rPr>
              <w:t>19</w:t>
            </w:r>
          </w:p>
        </w:tc>
      </w:tr>
      <w:tr w:rsidR="00A15C2C" w14:paraId="5ECA1629" w14:textId="77777777" w:rsidTr="0055589E">
        <w:trPr>
          <w:trHeight w:val="310"/>
          <w:jc w:val="center"/>
        </w:trPr>
        <w:tc>
          <w:tcPr>
            <w:tcW w:w="1488" w:type="dxa"/>
            <w:shd w:val="clear" w:color="auto" w:fill="auto"/>
            <w:noWrap/>
            <w:hideMark/>
          </w:tcPr>
          <w:p w14:paraId="0B27C9BB" w14:textId="77777777" w:rsidR="000A12BB" w:rsidRPr="00954B78" w:rsidRDefault="000F5B51" w:rsidP="000A12BB">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3</w:t>
            </w:r>
          </w:p>
        </w:tc>
        <w:tc>
          <w:tcPr>
            <w:tcW w:w="1229" w:type="dxa"/>
            <w:vAlign w:val="center"/>
          </w:tcPr>
          <w:p w14:paraId="1072C9CD" w14:textId="77777777" w:rsidR="000A12BB" w:rsidRPr="00954B78" w:rsidRDefault="000F5B51" w:rsidP="000A12BB">
            <w:pPr>
              <w:spacing w:after="0" w:line="240" w:lineRule="auto"/>
              <w:jc w:val="center"/>
              <w:rPr>
                <w:rFonts w:cs="Times New Roman"/>
                <w:color w:val="000000"/>
                <w:szCs w:val="24"/>
              </w:rPr>
            </w:pPr>
            <w:r w:rsidRPr="00954B78">
              <w:rPr>
                <w:rFonts w:cs="Times New Roman"/>
                <w:color w:val="000000"/>
                <w:szCs w:val="24"/>
              </w:rPr>
              <w:t>25</w:t>
            </w:r>
          </w:p>
        </w:tc>
        <w:tc>
          <w:tcPr>
            <w:tcW w:w="1317" w:type="dxa"/>
            <w:shd w:val="clear" w:color="auto" w:fill="auto"/>
            <w:noWrap/>
            <w:vAlign w:val="center"/>
            <w:hideMark/>
          </w:tcPr>
          <w:p w14:paraId="1EB48029" w14:textId="77777777" w:rsidR="000A12BB" w:rsidRPr="00954B78" w:rsidRDefault="000F5B51" w:rsidP="009B7C81">
            <w:pPr>
              <w:spacing w:after="0" w:line="240" w:lineRule="auto"/>
              <w:jc w:val="center"/>
              <w:rPr>
                <w:rFonts w:eastAsia="Times New Roman" w:cs="Times New Roman"/>
                <w:color w:val="000000"/>
                <w:szCs w:val="24"/>
              </w:rPr>
            </w:pPr>
            <w:r w:rsidRPr="00954B78">
              <w:rPr>
                <w:rFonts w:cs="Times New Roman"/>
                <w:color w:val="000000"/>
                <w:szCs w:val="24"/>
              </w:rPr>
              <w:t>0.5068</w:t>
            </w:r>
          </w:p>
        </w:tc>
        <w:tc>
          <w:tcPr>
            <w:tcW w:w="1581" w:type="dxa"/>
            <w:shd w:val="clear" w:color="auto" w:fill="auto"/>
            <w:noWrap/>
            <w:vAlign w:val="center"/>
            <w:hideMark/>
          </w:tcPr>
          <w:p w14:paraId="0DA571B3" w14:textId="77777777" w:rsidR="000A12BB" w:rsidRPr="00954B78" w:rsidRDefault="000F5B51">
            <w:pPr>
              <w:spacing w:after="0" w:line="240" w:lineRule="auto"/>
              <w:jc w:val="center"/>
              <w:rPr>
                <w:rFonts w:eastAsia="Times New Roman" w:cs="Times New Roman"/>
                <w:color w:val="000000"/>
                <w:szCs w:val="24"/>
              </w:rPr>
            </w:pPr>
            <w:r w:rsidRPr="006B7B84">
              <w:rPr>
                <w:rFonts w:cs="Times New Roman"/>
                <w:color w:val="000000"/>
                <w:szCs w:val="24"/>
              </w:rPr>
              <w:t>0.7512</w:t>
            </w:r>
          </w:p>
        </w:tc>
        <w:tc>
          <w:tcPr>
            <w:tcW w:w="1405" w:type="dxa"/>
            <w:shd w:val="clear" w:color="auto" w:fill="auto"/>
            <w:noWrap/>
            <w:vAlign w:val="center"/>
          </w:tcPr>
          <w:p w14:paraId="1F079A79" w14:textId="77777777" w:rsidR="000A12BB" w:rsidRPr="00954B78" w:rsidRDefault="000F5B51">
            <w:pPr>
              <w:spacing w:after="0" w:line="240" w:lineRule="auto"/>
              <w:jc w:val="center"/>
              <w:rPr>
                <w:rFonts w:eastAsia="Times New Roman" w:cs="Times New Roman"/>
                <w:color w:val="000000"/>
                <w:szCs w:val="24"/>
              </w:rPr>
            </w:pPr>
            <w:r>
              <w:rPr>
                <w:color w:val="000000"/>
              </w:rPr>
              <w:t>9</w:t>
            </w:r>
          </w:p>
        </w:tc>
        <w:tc>
          <w:tcPr>
            <w:tcW w:w="1352" w:type="dxa"/>
          </w:tcPr>
          <w:p w14:paraId="01BDE183" w14:textId="77777777" w:rsidR="000A12BB" w:rsidRPr="00954B78" w:rsidRDefault="000F5B51">
            <w:pPr>
              <w:spacing w:after="0" w:line="240" w:lineRule="auto"/>
              <w:jc w:val="center"/>
              <w:rPr>
                <w:rFonts w:eastAsia="Times New Roman" w:cs="Times New Roman"/>
                <w:color w:val="000000"/>
                <w:szCs w:val="24"/>
              </w:rPr>
            </w:pPr>
            <w:r w:rsidRPr="00784405">
              <w:t>0.7693</w:t>
            </w:r>
          </w:p>
        </w:tc>
        <w:tc>
          <w:tcPr>
            <w:tcW w:w="1353" w:type="dxa"/>
          </w:tcPr>
          <w:p w14:paraId="6C8111FD" w14:textId="77777777" w:rsidR="000A12BB" w:rsidRPr="00954B78" w:rsidRDefault="000F5B51">
            <w:pPr>
              <w:spacing w:after="0" w:line="240" w:lineRule="auto"/>
              <w:jc w:val="center"/>
              <w:rPr>
                <w:rFonts w:eastAsia="Times New Roman" w:cs="Times New Roman"/>
                <w:color w:val="000000"/>
                <w:szCs w:val="24"/>
              </w:rPr>
            </w:pPr>
            <w:r w:rsidRPr="00784405">
              <w:t>0.7784</w:t>
            </w:r>
          </w:p>
        </w:tc>
        <w:tc>
          <w:tcPr>
            <w:tcW w:w="1610" w:type="dxa"/>
            <w:vAlign w:val="center"/>
          </w:tcPr>
          <w:p w14:paraId="2E9C07FB" w14:textId="77777777" w:rsidR="000A12BB" w:rsidRPr="00954B78" w:rsidRDefault="000F5B51">
            <w:pPr>
              <w:spacing w:after="0" w:line="240" w:lineRule="auto"/>
              <w:jc w:val="center"/>
              <w:rPr>
                <w:rFonts w:eastAsia="Times New Roman" w:cs="Times New Roman"/>
                <w:color w:val="000000"/>
                <w:szCs w:val="24"/>
              </w:rPr>
            </w:pPr>
            <w:r>
              <w:rPr>
                <w:color w:val="000000"/>
              </w:rPr>
              <w:t>9</w:t>
            </w:r>
          </w:p>
        </w:tc>
        <w:tc>
          <w:tcPr>
            <w:tcW w:w="1620" w:type="dxa"/>
            <w:vAlign w:val="center"/>
          </w:tcPr>
          <w:p w14:paraId="32EAF656" w14:textId="77777777" w:rsidR="000A12BB" w:rsidRPr="00954B78" w:rsidRDefault="000F5B51">
            <w:pPr>
              <w:spacing w:after="0" w:line="240" w:lineRule="auto"/>
              <w:jc w:val="center"/>
              <w:rPr>
                <w:rFonts w:eastAsia="Times New Roman" w:cs="Times New Roman"/>
                <w:color w:val="000000"/>
                <w:szCs w:val="24"/>
              </w:rPr>
            </w:pPr>
            <w:r>
              <w:rPr>
                <w:color w:val="000000"/>
              </w:rPr>
              <w:t>10</w:t>
            </w:r>
          </w:p>
        </w:tc>
        <w:tc>
          <w:tcPr>
            <w:tcW w:w="1090" w:type="dxa"/>
            <w:vAlign w:val="center"/>
          </w:tcPr>
          <w:p w14:paraId="7AF90606" w14:textId="77777777" w:rsidR="000A12BB" w:rsidRPr="00954B78" w:rsidRDefault="000F5B51">
            <w:pPr>
              <w:spacing w:after="0" w:line="240" w:lineRule="auto"/>
              <w:jc w:val="center"/>
              <w:rPr>
                <w:rFonts w:eastAsia="Times New Roman" w:cs="Times New Roman"/>
                <w:color w:val="000000"/>
                <w:szCs w:val="24"/>
              </w:rPr>
            </w:pPr>
            <w:r>
              <w:rPr>
                <w:color w:val="000000"/>
              </w:rPr>
              <w:t>0</w:t>
            </w:r>
          </w:p>
        </w:tc>
        <w:tc>
          <w:tcPr>
            <w:tcW w:w="1091" w:type="dxa"/>
            <w:vAlign w:val="center"/>
          </w:tcPr>
          <w:p w14:paraId="3E690AA4" w14:textId="77777777" w:rsidR="000A12BB" w:rsidRPr="00954B78" w:rsidRDefault="000F5B51">
            <w:pPr>
              <w:spacing w:after="0" w:line="240" w:lineRule="auto"/>
              <w:jc w:val="center"/>
              <w:rPr>
                <w:rFonts w:eastAsia="Times New Roman" w:cs="Times New Roman"/>
                <w:color w:val="000000"/>
                <w:szCs w:val="24"/>
              </w:rPr>
            </w:pPr>
            <w:r>
              <w:rPr>
                <w:color w:val="000000"/>
              </w:rPr>
              <w:t>0</w:t>
            </w:r>
          </w:p>
        </w:tc>
      </w:tr>
      <w:tr w:rsidR="00A15C2C" w14:paraId="0F1BD03B" w14:textId="77777777" w:rsidTr="0055589E">
        <w:trPr>
          <w:trHeight w:val="310"/>
          <w:jc w:val="center"/>
        </w:trPr>
        <w:tc>
          <w:tcPr>
            <w:tcW w:w="1488" w:type="dxa"/>
            <w:shd w:val="clear" w:color="auto" w:fill="auto"/>
            <w:noWrap/>
            <w:hideMark/>
          </w:tcPr>
          <w:p w14:paraId="09C101E8" w14:textId="77777777" w:rsidR="000A12BB" w:rsidRPr="00954B78" w:rsidRDefault="000F5B51" w:rsidP="000A12BB">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4</w:t>
            </w:r>
          </w:p>
        </w:tc>
        <w:tc>
          <w:tcPr>
            <w:tcW w:w="1229" w:type="dxa"/>
            <w:vAlign w:val="center"/>
          </w:tcPr>
          <w:p w14:paraId="4C72E10B" w14:textId="77777777" w:rsidR="000A12BB" w:rsidRPr="00954B78" w:rsidRDefault="000F5B51" w:rsidP="000A12BB">
            <w:pPr>
              <w:spacing w:after="0" w:line="240" w:lineRule="auto"/>
              <w:jc w:val="center"/>
              <w:rPr>
                <w:rFonts w:cs="Times New Roman"/>
                <w:color w:val="000000"/>
                <w:szCs w:val="24"/>
              </w:rPr>
            </w:pPr>
            <w:r w:rsidRPr="00954B78">
              <w:rPr>
                <w:rFonts w:cs="Times New Roman"/>
                <w:color w:val="000000"/>
                <w:szCs w:val="24"/>
              </w:rPr>
              <w:t>125</w:t>
            </w:r>
          </w:p>
        </w:tc>
        <w:tc>
          <w:tcPr>
            <w:tcW w:w="1317" w:type="dxa"/>
            <w:shd w:val="clear" w:color="auto" w:fill="auto"/>
            <w:noWrap/>
            <w:vAlign w:val="center"/>
            <w:hideMark/>
          </w:tcPr>
          <w:p w14:paraId="6E3052F0" w14:textId="77777777" w:rsidR="000A12BB" w:rsidRPr="00954B78" w:rsidRDefault="000F5B51" w:rsidP="009B7C81">
            <w:pPr>
              <w:spacing w:after="0" w:line="240" w:lineRule="auto"/>
              <w:jc w:val="center"/>
              <w:rPr>
                <w:rFonts w:eastAsia="Times New Roman" w:cs="Times New Roman"/>
                <w:color w:val="000000"/>
                <w:szCs w:val="24"/>
              </w:rPr>
            </w:pPr>
            <w:r w:rsidRPr="00954B78">
              <w:rPr>
                <w:rFonts w:cs="Times New Roman"/>
                <w:color w:val="000000"/>
                <w:szCs w:val="24"/>
              </w:rPr>
              <w:t>0.5068</w:t>
            </w:r>
          </w:p>
        </w:tc>
        <w:tc>
          <w:tcPr>
            <w:tcW w:w="1581" w:type="dxa"/>
            <w:shd w:val="clear" w:color="auto" w:fill="auto"/>
            <w:noWrap/>
            <w:vAlign w:val="center"/>
            <w:hideMark/>
          </w:tcPr>
          <w:p w14:paraId="4EEAA943" w14:textId="77777777" w:rsidR="000A12BB" w:rsidRPr="00954B78" w:rsidRDefault="000F5B51">
            <w:pPr>
              <w:spacing w:after="0" w:line="240" w:lineRule="auto"/>
              <w:jc w:val="center"/>
              <w:rPr>
                <w:rFonts w:eastAsia="Times New Roman" w:cs="Times New Roman"/>
                <w:color w:val="000000"/>
                <w:szCs w:val="24"/>
              </w:rPr>
            </w:pPr>
            <w:r w:rsidRPr="006B7B84">
              <w:rPr>
                <w:rFonts w:cs="Times New Roman"/>
                <w:color w:val="000000"/>
                <w:szCs w:val="24"/>
              </w:rPr>
              <w:t>0.7512</w:t>
            </w:r>
          </w:p>
        </w:tc>
        <w:tc>
          <w:tcPr>
            <w:tcW w:w="1405" w:type="dxa"/>
            <w:shd w:val="clear" w:color="auto" w:fill="auto"/>
            <w:noWrap/>
            <w:vAlign w:val="center"/>
          </w:tcPr>
          <w:p w14:paraId="1B6C54B8" w14:textId="77777777" w:rsidR="000A12BB" w:rsidRPr="00954B78" w:rsidRDefault="000F5B51">
            <w:pPr>
              <w:spacing w:after="0" w:line="240" w:lineRule="auto"/>
              <w:jc w:val="center"/>
              <w:rPr>
                <w:rFonts w:eastAsia="Times New Roman" w:cs="Times New Roman"/>
                <w:color w:val="000000"/>
                <w:szCs w:val="24"/>
              </w:rPr>
            </w:pPr>
            <w:r>
              <w:rPr>
                <w:color w:val="000000"/>
              </w:rPr>
              <w:t>4</w:t>
            </w:r>
            <w:r w:rsidR="008A4492">
              <w:rPr>
                <w:color w:val="000000"/>
              </w:rPr>
              <w:t>7</w:t>
            </w:r>
          </w:p>
        </w:tc>
        <w:tc>
          <w:tcPr>
            <w:tcW w:w="1352" w:type="dxa"/>
          </w:tcPr>
          <w:p w14:paraId="25FAE778" w14:textId="77777777" w:rsidR="000A12BB" w:rsidRPr="00954B78" w:rsidRDefault="000F5B51">
            <w:pPr>
              <w:spacing w:after="0" w:line="240" w:lineRule="auto"/>
              <w:jc w:val="center"/>
              <w:rPr>
                <w:rFonts w:eastAsia="Times New Roman" w:cs="Times New Roman"/>
                <w:color w:val="000000"/>
                <w:szCs w:val="24"/>
              </w:rPr>
            </w:pPr>
            <w:r w:rsidRPr="00784405">
              <w:t>0.7693</w:t>
            </w:r>
          </w:p>
        </w:tc>
        <w:tc>
          <w:tcPr>
            <w:tcW w:w="1353" w:type="dxa"/>
          </w:tcPr>
          <w:p w14:paraId="258EAB28" w14:textId="77777777" w:rsidR="000A12BB" w:rsidRPr="00954B78" w:rsidRDefault="000F5B51">
            <w:pPr>
              <w:spacing w:after="0" w:line="240" w:lineRule="auto"/>
              <w:jc w:val="center"/>
              <w:rPr>
                <w:rFonts w:eastAsia="Times New Roman" w:cs="Times New Roman"/>
                <w:color w:val="000000"/>
                <w:szCs w:val="24"/>
              </w:rPr>
            </w:pPr>
            <w:r w:rsidRPr="00784405">
              <w:t>0.7784</w:t>
            </w:r>
          </w:p>
        </w:tc>
        <w:tc>
          <w:tcPr>
            <w:tcW w:w="1610" w:type="dxa"/>
            <w:vAlign w:val="center"/>
          </w:tcPr>
          <w:p w14:paraId="6D48D8B9" w14:textId="77777777" w:rsidR="000A12BB" w:rsidRPr="00954B78" w:rsidRDefault="000F5B51">
            <w:pPr>
              <w:spacing w:after="0" w:line="240" w:lineRule="auto"/>
              <w:jc w:val="center"/>
              <w:rPr>
                <w:rFonts w:eastAsia="Times New Roman" w:cs="Times New Roman"/>
                <w:color w:val="000000"/>
                <w:szCs w:val="24"/>
              </w:rPr>
            </w:pPr>
            <w:r>
              <w:rPr>
                <w:color w:val="000000"/>
              </w:rPr>
              <w:t>4</w:t>
            </w:r>
            <w:r w:rsidR="007B7749">
              <w:rPr>
                <w:color w:val="000000"/>
              </w:rPr>
              <w:t>8</w:t>
            </w:r>
          </w:p>
        </w:tc>
        <w:tc>
          <w:tcPr>
            <w:tcW w:w="1620" w:type="dxa"/>
            <w:vAlign w:val="center"/>
          </w:tcPr>
          <w:p w14:paraId="1EAF1E15" w14:textId="77777777" w:rsidR="000A12BB" w:rsidRPr="00954B78" w:rsidRDefault="000F5B51">
            <w:pPr>
              <w:spacing w:after="0" w:line="240" w:lineRule="auto"/>
              <w:jc w:val="center"/>
              <w:rPr>
                <w:rFonts w:eastAsia="Times New Roman" w:cs="Times New Roman"/>
                <w:color w:val="000000"/>
                <w:szCs w:val="24"/>
              </w:rPr>
            </w:pPr>
            <w:r>
              <w:rPr>
                <w:color w:val="000000"/>
              </w:rPr>
              <w:t>4</w:t>
            </w:r>
            <w:r w:rsidR="009362D4">
              <w:rPr>
                <w:color w:val="000000"/>
              </w:rPr>
              <w:t>9</w:t>
            </w:r>
          </w:p>
        </w:tc>
        <w:tc>
          <w:tcPr>
            <w:tcW w:w="1090" w:type="dxa"/>
            <w:vAlign w:val="center"/>
          </w:tcPr>
          <w:p w14:paraId="3F21BC42" w14:textId="77777777" w:rsidR="000A12BB" w:rsidRPr="00954B78" w:rsidRDefault="000F5B51">
            <w:pPr>
              <w:spacing w:after="0" w:line="240" w:lineRule="auto"/>
              <w:jc w:val="center"/>
              <w:rPr>
                <w:rFonts w:eastAsia="Times New Roman" w:cs="Times New Roman"/>
                <w:color w:val="000000"/>
                <w:szCs w:val="24"/>
              </w:rPr>
            </w:pPr>
            <w:r>
              <w:rPr>
                <w:color w:val="000000"/>
              </w:rPr>
              <w:t>1</w:t>
            </w:r>
          </w:p>
        </w:tc>
        <w:tc>
          <w:tcPr>
            <w:tcW w:w="1091" w:type="dxa"/>
            <w:vAlign w:val="center"/>
          </w:tcPr>
          <w:p w14:paraId="0C400566" w14:textId="77777777" w:rsidR="000A12BB" w:rsidRPr="00954B78" w:rsidRDefault="000F5B51">
            <w:pPr>
              <w:spacing w:after="0" w:line="240" w:lineRule="auto"/>
              <w:jc w:val="center"/>
              <w:rPr>
                <w:rFonts w:eastAsia="Times New Roman" w:cs="Times New Roman"/>
                <w:color w:val="000000"/>
                <w:szCs w:val="24"/>
              </w:rPr>
            </w:pPr>
            <w:r>
              <w:rPr>
                <w:color w:val="000000"/>
              </w:rPr>
              <w:t>2</w:t>
            </w:r>
          </w:p>
        </w:tc>
      </w:tr>
      <w:tr w:rsidR="00A15C2C" w14:paraId="0FAB3E03" w14:textId="77777777" w:rsidTr="0055589E">
        <w:trPr>
          <w:trHeight w:val="310"/>
          <w:jc w:val="center"/>
        </w:trPr>
        <w:tc>
          <w:tcPr>
            <w:tcW w:w="1488" w:type="dxa"/>
            <w:shd w:val="clear" w:color="auto" w:fill="auto"/>
            <w:noWrap/>
            <w:hideMark/>
          </w:tcPr>
          <w:p w14:paraId="3910276C" w14:textId="77777777" w:rsidR="000A12BB" w:rsidRPr="00954B78" w:rsidRDefault="000F5B51" w:rsidP="000A12BB">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5</w:t>
            </w:r>
          </w:p>
        </w:tc>
        <w:tc>
          <w:tcPr>
            <w:tcW w:w="1229" w:type="dxa"/>
            <w:vAlign w:val="center"/>
          </w:tcPr>
          <w:p w14:paraId="3BC538B8" w14:textId="77777777" w:rsidR="000A12BB" w:rsidRPr="00954B78" w:rsidRDefault="000F5B51" w:rsidP="000A12BB">
            <w:pPr>
              <w:spacing w:after="0" w:line="240" w:lineRule="auto"/>
              <w:jc w:val="center"/>
              <w:rPr>
                <w:rFonts w:cs="Times New Roman"/>
                <w:color w:val="000000"/>
                <w:szCs w:val="24"/>
              </w:rPr>
            </w:pPr>
            <w:r w:rsidRPr="00954B78">
              <w:rPr>
                <w:rFonts w:cs="Times New Roman"/>
                <w:color w:val="000000"/>
                <w:szCs w:val="24"/>
              </w:rPr>
              <w:t>4</w:t>
            </w:r>
          </w:p>
        </w:tc>
        <w:tc>
          <w:tcPr>
            <w:tcW w:w="1317" w:type="dxa"/>
            <w:shd w:val="clear" w:color="auto" w:fill="auto"/>
            <w:noWrap/>
            <w:vAlign w:val="center"/>
            <w:hideMark/>
          </w:tcPr>
          <w:p w14:paraId="181DC68F" w14:textId="77777777" w:rsidR="000A12BB" w:rsidRPr="00954B78" w:rsidRDefault="000F5B51" w:rsidP="009B7C81">
            <w:pPr>
              <w:spacing w:after="0" w:line="240" w:lineRule="auto"/>
              <w:jc w:val="center"/>
              <w:rPr>
                <w:rFonts w:eastAsia="Times New Roman" w:cs="Times New Roman"/>
                <w:color w:val="000000"/>
                <w:szCs w:val="24"/>
              </w:rPr>
            </w:pPr>
            <w:r w:rsidRPr="00954B78">
              <w:rPr>
                <w:rFonts w:cs="Times New Roman"/>
                <w:color w:val="000000"/>
                <w:szCs w:val="24"/>
              </w:rPr>
              <w:t>0.5068</w:t>
            </w:r>
          </w:p>
        </w:tc>
        <w:tc>
          <w:tcPr>
            <w:tcW w:w="1581" w:type="dxa"/>
            <w:shd w:val="clear" w:color="auto" w:fill="auto"/>
            <w:noWrap/>
            <w:vAlign w:val="center"/>
            <w:hideMark/>
          </w:tcPr>
          <w:p w14:paraId="49571C03" w14:textId="77777777" w:rsidR="000A12BB" w:rsidRPr="00954B78" w:rsidRDefault="000F5B51">
            <w:pPr>
              <w:spacing w:after="0" w:line="240" w:lineRule="auto"/>
              <w:jc w:val="center"/>
              <w:rPr>
                <w:rFonts w:eastAsia="Times New Roman" w:cs="Times New Roman"/>
                <w:color w:val="000000"/>
                <w:szCs w:val="24"/>
              </w:rPr>
            </w:pPr>
            <w:r w:rsidRPr="006B7B84">
              <w:rPr>
                <w:rFonts w:cs="Times New Roman"/>
                <w:color w:val="000000"/>
                <w:szCs w:val="24"/>
              </w:rPr>
              <w:t>0.7512</w:t>
            </w:r>
          </w:p>
        </w:tc>
        <w:tc>
          <w:tcPr>
            <w:tcW w:w="1405" w:type="dxa"/>
            <w:shd w:val="clear" w:color="auto" w:fill="auto"/>
            <w:noWrap/>
            <w:vAlign w:val="center"/>
          </w:tcPr>
          <w:p w14:paraId="2DDA848B" w14:textId="77777777" w:rsidR="000A12BB" w:rsidRPr="00954B78" w:rsidRDefault="000F5B51">
            <w:pPr>
              <w:spacing w:after="0" w:line="240" w:lineRule="auto"/>
              <w:jc w:val="center"/>
              <w:rPr>
                <w:rFonts w:eastAsia="Times New Roman" w:cs="Times New Roman"/>
                <w:color w:val="000000"/>
                <w:szCs w:val="24"/>
              </w:rPr>
            </w:pPr>
            <w:r>
              <w:rPr>
                <w:color w:val="000000"/>
              </w:rPr>
              <w:t>1</w:t>
            </w:r>
          </w:p>
        </w:tc>
        <w:tc>
          <w:tcPr>
            <w:tcW w:w="1352" w:type="dxa"/>
          </w:tcPr>
          <w:p w14:paraId="331BA017" w14:textId="77777777" w:rsidR="000A12BB" w:rsidRPr="00954B78" w:rsidRDefault="000F5B51">
            <w:pPr>
              <w:spacing w:after="0" w:line="240" w:lineRule="auto"/>
              <w:jc w:val="center"/>
              <w:rPr>
                <w:rFonts w:eastAsia="Times New Roman" w:cs="Times New Roman"/>
                <w:color w:val="000000"/>
                <w:szCs w:val="24"/>
              </w:rPr>
            </w:pPr>
            <w:r w:rsidRPr="00784405">
              <w:t>0.7693</w:t>
            </w:r>
          </w:p>
        </w:tc>
        <w:tc>
          <w:tcPr>
            <w:tcW w:w="1353" w:type="dxa"/>
          </w:tcPr>
          <w:p w14:paraId="45D952CB" w14:textId="77777777" w:rsidR="000A12BB" w:rsidRPr="00954B78" w:rsidRDefault="000F5B51">
            <w:pPr>
              <w:spacing w:after="0" w:line="240" w:lineRule="auto"/>
              <w:jc w:val="center"/>
              <w:rPr>
                <w:rFonts w:eastAsia="Times New Roman" w:cs="Times New Roman"/>
                <w:color w:val="000000"/>
                <w:szCs w:val="24"/>
              </w:rPr>
            </w:pPr>
            <w:r w:rsidRPr="00784405">
              <w:t>0.7784</w:t>
            </w:r>
          </w:p>
        </w:tc>
        <w:tc>
          <w:tcPr>
            <w:tcW w:w="1610" w:type="dxa"/>
            <w:vAlign w:val="center"/>
          </w:tcPr>
          <w:p w14:paraId="3D4A17AE" w14:textId="77777777" w:rsidR="000A12BB" w:rsidRPr="00954B78" w:rsidRDefault="000F5B51">
            <w:pPr>
              <w:spacing w:after="0" w:line="240" w:lineRule="auto"/>
              <w:jc w:val="center"/>
              <w:rPr>
                <w:rFonts w:eastAsia="Times New Roman" w:cs="Times New Roman"/>
                <w:color w:val="000000"/>
                <w:szCs w:val="24"/>
              </w:rPr>
            </w:pPr>
            <w:r>
              <w:rPr>
                <w:rFonts w:eastAsia="Times New Roman" w:cs="Times New Roman"/>
                <w:color w:val="000000"/>
                <w:szCs w:val="24"/>
              </w:rPr>
              <w:t>1</w:t>
            </w:r>
          </w:p>
        </w:tc>
        <w:tc>
          <w:tcPr>
            <w:tcW w:w="1620" w:type="dxa"/>
            <w:vAlign w:val="center"/>
          </w:tcPr>
          <w:p w14:paraId="5E7B3132" w14:textId="77777777" w:rsidR="000A12BB" w:rsidRPr="00954B78" w:rsidRDefault="000F5B51">
            <w:pPr>
              <w:spacing w:after="0" w:line="240" w:lineRule="auto"/>
              <w:jc w:val="center"/>
              <w:rPr>
                <w:rFonts w:eastAsia="Times New Roman" w:cs="Times New Roman"/>
                <w:color w:val="000000"/>
                <w:szCs w:val="24"/>
              </w:rPr>
            </w:pPr>
            <w:r>
              <w:rPr>
                <w:color w:val="000000"/>
              </w:rPr>
              <w:t>1</w:t>
            </w:r>
          </w:p>
        </w:tc>
        <w:tc>
          <w:tcPr>
            <w:tcW w:w="1090" w:type="dxa"/>
            <w:vAlign w:val="center"/>
          </w:tcPr>
          <w:p w14:paraId="371B33D7" w14:textId="77777777" w:rsidR="000A12BB" w:rsidRPr="00954B78" w:rsidRDefault="000F5B51">
            <w:pPr>
              <w:spacing w:after="0" w:line="240" w:lineRule="auto"/>
              <w:jc w:val="center"/>
              <w:rPr>
                <w:rFonts w:eastAsia="Times New Roman" w:cs="Times New Roman"/>
                <w:color w:val="000000"/>
                <w:szCs w:val="24"/>
              </w:rPr>
            </w:pPr>
            <w:r>
              <w:rPr>
                <w:color w:val="000000"/>
              </w:rPr>
              <w:t>0</w:t>
            </w:r>
          </w:p>
        </w:tc>
        <w:tc>
          <w:tcPr>
            <w:tcW w:w="1091" w:type="dxa"/>
            <w:vAlign w:val="center"/>
          </w:tcPr>
          <w:p w14:paraId="29A08F6E" w14:textId="77777777" w:rsidR="000A12BB" w:rsidRPr="00954B78" w:rsidRDefault="000F5B51">
            <w:pPr>
              <w:spacing w:after="0" w:line="240" w:lineRule="auto"/>
              <w:jc w:val="center"/>
              <w:rPr>
                <w:rFonts w:eastAsia="Times New Roman" w:cs="Times New Roman"/>
                <w:color w:val="000000"/>
                <w:szCs w:val="24"/>
              </w:rPr>
            </w:pPr>
            <w:r>
              <w:rPr>
                <w:color w:val="000000"/>
              </w:rPr>
              <w:t>0</w:t>
            </w:r>
          </w:p>
        </w:tc>
      </w:tr>
      <w:tr w:rsidR="00A15C2C" w14:paraId="78923A5B" w14:textId="77777777" w:rsidTr="0055589E">
        <w:trPr>
          <w:trHeight w:val="310"/>
          <w:jc w:val="center"/>
        </w:trPr>
        <w:tc>
          <w:tcPr>
            <w:tcW w:w="1488" w:type="dxa"/>
            <w:shd w:val="clear" w:color="auto" w:fill="auto"/>
            <w:noWrap/>
            <w:vAlign w:val="bottom"/>
          </w:tcPr>
          <w:p w14:paraId="3776C4C5" w14:textId="77777777" w:rsidR="000A12BB" w:rsidRPr="00012598" w:rsidRDefault="000F5B51" w:rsidP="000A12BB">
            <w:pPr>
              <w:spacing w:after="0" w:line="240" w:lineRule="auto"/>
              <w:rPr>
                <w:rFonts w:eastAsia="Times New Roman" w:cs="Times New Roman"/>
                <w:b/>
                <w:bCs/>
                <w:color w:val="000000"/>
                <w:sz w:val="23"/>
                <w:szCs w:val="23"/>
              </w:rPr>
            </w:pPr>
            <w:r w:rsidRPr="00012598">
              <w:rPr>
                <w:rFonts w:eastAsia="Times New Roman" w:cs="Times New Roman"/>
                <w:b/>
                <w:bCs/>
                <w:color w:val="000000"/>
                <w:sz w:val="23"/>
                <w:szCs w:val="23"/>
              </w:rPr>
              <w:t xml:space="preserve">Non-Fatal Injuries </w:t>
            </w:r>
          </w:p>
          <w:p w14:paraId="62677E93" w14:textId="77777777" w:rsidR="000A12BB" w:rsidRPr="00012598" w:rsidRDefault="000F5B51" w:rsidP="000A12BB">
            <w:pPr>
              <w:spacing w:after="0" w:line="240" w:lineRule="auto"/>
              <w:rPr>
                <w:rFonts w:eastAsia="Times New Roman" w:cs="Times New Roman"/>
                <w:b/>
                <w:bCs/>
                <w:color w:val="000000"/>
                <w:sz w:val="23"/>
                <w:szCs w:val="23"/>
              </w:rPr>
            </w:pPr>
            <w:r w:rsidRPr="00012598">
              <w:rPr>
                <w:rFonts w:eastAsia="Times New Roman" w:cs="Times New Roman"/>
                <w:b/>
                <w:bCs/>
                <w:color w:val="000000"/>
                <w:sz w:val="23"/>
                <w:szCs w:val="23"/>
              </w:rPr>
              <w:t>(MAIS 1-5)</w:t>
            </w:r>
          </w:p>
        </w:tc>
        <w:tc>
          <w:tcPr>
            <w:tcW w:w="1229" w:type="dxa"/>
            <w:vAlign w:val="center"/>
          </w:tcPr>
          <w:p w14:paraId="376FB268" w14:textId="77777777" w:rsidR="000A12BB" w:rsidRPr="00954B78" w:rsidRDefault="000F5B51" w:rsidP="009B7C81">
            <w:pPr>
              <w:spacing w:after="0" w:line="240" w:lineRule="auto"/>
              <w:jc w:val="center"/>
              <w:rPr>
                <w:rFonts w:cs="Times New Roman"/>
                <w:b/>
                <w:bCs/>
                <w:color w:val="000000"/>
                <w:szCs w:val="24"/>
              </w:rPr>
            </w:pPr>
            <w:r w:rsidRPr="00954B78">
              <w:rPr>
                <w:rFonts w:cs="Times New Roman"/>
                <w:b/>
                <w:bCs/>
                <w:color w:val="000000"/>
                <w:szCs w:val="24"/>
              </w:rPr>
              <w:t>7,481</w:t>
            </w:r>
          </w:p>
        </w:tc>
        <w:tc>
          <w:tcPr>
            <w:tcW w:w="1317" w:type="dxa"/>
            <w:shd w:val="clear" w:color="auto" w:fill="auto"/>
            <w:noWrap/>
            <w:vAlign w:val="center"/>
          </w:tcPr>
          <w:p w14:paraId="531C13ED" w14:textId="77777777" w:rsidR="000A12BB" w:rsidRPr="00954B78" w:rsidRDefault="000F5B51">
            <w:pPr>
              <w:spacing w:after="0" w:line="240" w:lineRule="auto"/>
              <w:jc w:val="center"/>
              <w:rPr>
                <w:rFonts w:cs="Times New Roman"/>
                <w:color w:val="000000"/>
                <w:szCs w:val="24"/>
              </w:rPr>
            </w:pPr>
            <w:r>
              <w:rPr>
                <w:rFonts w:cs="Times New Roman"/>
                <w:color w:val="000000"/>
                <w:szCs w:val="24"/>
              </w:rPr>
              <w:t>-</w:t>
            </w:r>
          </w:p>
        </w:tc>
        <w:tc>
          <w:tcPr>
            <w:tcW w:w="1581" w:type="dxa"/>
            <w:shd w:val="clear" w:color="auto" w:fill="auto"/>
            <w:noWrap/>
            <w:vAlign w:val="center"/>
          </w:tcPr>
          <w:p w14:paraId="77354442" w14:textId="77777777" w:rsidR="000A12BB" w:rsidRPr="0055589E" w:rsidRDefault="000F5B51">
            <w:pPr>
              <w:spacing w:after="0" w:line="240" w:lineRule="auto"/>
              <w:jc w:val="center"/>
              <w:rPr>
                <w:rFonts w:cs="Times New Roman"/>
                <w:b/>
                <w:bCs/>
                <w:color w:val="000000"/>
                <w:szCs w:val="24"/>
              </w:rPr>
            </w:pPr>
            <w:r>
              <w:rPr>
                <w:rFonts w:cs="Times New Roman"/>
                <w:b/>
                <w:bCs/>
                <w:color w:val="000000"/>
                <w:szCs w:val="24"/>
              </w:rPr>
              <w:t>-</w:t>
            </w:r>
          </w:p>
        </w:tc>
        <w:tc>
          <w:tcPr>
            <w:tcW w:w="1405" w:type="dxa"/>
            <w:shd w:val="clear" w:color="auto" w:fill="auto"/>
            <w:noWrap/>
            <w:vAlign w:val="center"/>
          </w:tcPr>
          <w:p w14:paraId="51889E06" w14:textId="77777777" w:rsidR="000A12BB" w:rsidRPr="0055589E" w:rsidRDefault="000F5B51">
            <w:pPr>
              <w:spacing w:after="0" w:line="240" w:lineRule="auto"/>
              <w:jc w:val="center"/>
              <w:rPr>
                <w:rFonts w:cs="Times New Roman"/>
                <w:b/>
                <w:bCs/>
                <w:color w:val="000000"/>
                <w:szCs w:val="24"/>
              </w:rPr>
            </w:pPr>
            <w:r w:rsidRPr="0055589E">
              <w:rPr>
                <w:rFonts w:cs="Times New Roman"/>
                <w:b/>
                <w:bCs/>
                <w:color w:val="000000"/>
                <w:szCs w:val="24"/>
              </w:rPr>
              <w:t>82</w:t>
            </w:r>
            <w:r w:rsidR="008A4492" w:rsidRPr="0055589E">
              <w:rPr>
                <w:rFonts w:cs="Times New Roman"/>
                <w:b/>
                <w:bCs/>
                <w:color w:val="000000"/>
                <w:szCs w:val="24"/>
              </w:rPr>
              <w:t>2</w:t>
            </w:r>
          </w:p>
        </w:tc>
        <w:tc>
          <w:tcPr>
            <w:tcW w:w="1352" w:type="dxa"/>
            <w:vAlign w:val="center"/>
          </w:tcPr>
          <w:p w14:paraId="01232460" w14:textId="77777777" w:rsidR="000A12BB" w:rsidRPr="00954B78" w:rsidRDefault="000F5B51">
            <w:pPr>
              <w:spacing w:after="0" w:line="240" w:lineRule="auto"/>
              <w:jc w:val="center"/>
              <w:rPr>
                <w:rFonts w:cs="Times New Roman"/>
                <w:color w:val="000000"/>
                <w:szCs w:val="24"/>
              </w:rPr>
            </w:pPr>
            <w:r>
              <w:rPr>
                <w:rFonts w:cs="Times New Roman"/>
                <w:color w:val="000000"/>
                <w:szCs w:val="24"/>
              </w:rPr>
              <w:t>-</w:t>
            </w:r>
          </w:p>
        </w:tc>
        <w:tc>
          <w:tcPr>
            <w:tcW w:w="1353" w:type="dxa"/>
            <w:vAlign w:val="center"/>
          </w:tcPr>
          <w:p w14:paraId="3C372255" w14:textId="77777777" w:rsidR="000A12BB" w:rsidRPr="00954B78" w:rsidRDefault="000F5B51">
            <w:pPr>
              <w:spacing w:after="0" w:line="240" w:lineRule="auto"/>
              <w:jc w:val="center"/>
              <w:rPr>
                <w:rFonts w:cs="Times New Roman"/>
                <w:color w:val="000000"/>
                <w:szCs w:val="24"/>
              </w:rPr>
            </w:pPr>
            <w:r>
              <w:rPr>
                <w:rFonts w:cs="Times New Roman"/>
                <w:color w:val="000000"/>
                <w:szCs w:val="24"/>
              </w:rPr>
              <w:t>-</w:t>
            </w:r>
          </w:p>
        </w:tc>
        <w:tc>
          <w:tcPr>
            <w:tcW w:w="1610" w:type="dxa"/>
            <w:vAlign w:val="center"/>
          </w:tcPr>
          <w:p w14:paraId="2A2CFE35" w14:textId="77777777" w:rsidR="000A12BB" w:rsidRPr="0055589E" w:rsidRDefault="000F5B51">
            <w:pPr>
              <w:spacing w:after="0" w:line="240" w:lineRule="auto"/>
              <w:jc w:val="center"/>
              <w:rPr>
                <w:rFonts w:cs="Times New Roman"/>
                <w:b/>
                <w:bCs/>
                <w:color w:val="000000"/>
                <w:szCs w:val="24"/>
              </w:rPr>
            </w:pPr>
            <w:r w:rsidRPr="0055589E">
              <w:rPr>
                <w:b/>
                <w:bCs/>
                <w:color w:val="000000"/>
              </w:rPr>
              <w:t>84</w:t>
            </w:r>
            <w:r w:rsidR="007B7749" w:rsidRPr="0055589E">
              <w:rPr>
                <w:b/>
                <w:bCs/>
                <w:color w:val="000000"/>
              </w:rPr>
              <w:t>3</w:t>
            </w:r>
          </w:p>
        </w:tc>
        <w:tc>
          <w:tcPr>
            <w:tcW w:w="1620" w:type="dxa"/>
            <w:vAlign w:val="center"/>
          </w:tcPr>
          <w:p w14:paraId="1B2108B4" w14:textId="77777777" w:rsidR="000A12BB" w:rsidRPr="0055589E" w:rsidRDefault="000F5B51">
            <w:pPr>
              <w:spacing w:after="0" w:line="240" w:lineRule="auto"/>
              <w:jc w:val="center"/>
              <w:rPr>
                <w:rFonts w:cs="Times New Roman"/>
                <w:b/>
                <w:bCs/>
                <w:color w:val="000000"/>
                <w:szCs w:val="24"/>
              </w:rPr>
            </w:pPr>
            <w:r w:rsidRPr="0055589E">
              <w:rPr>
                <w:b/>
                <w:bCs/>
                <w:color w:val="000000"/>
              </w:rPr>
              <w:t>8</w:t>
            </w:r>
            <w:r w:rsidR="009362D4" w:rsidRPr="0055589E">
              <w:rPr>
                <w:b/>
                <w:bCs/>
                <w:color w:val="000000"/>
              </w:rPr>
              <w:t>53</w:t>
            </w:r>
          </w:p>
        </w:tc>
        <w:tc>
          <w:tcPr>
            <w:tcW w:w="1090" w:type="dxa"/>
            <w:vAlign w:val="center"/>
          </w:tcPr>
          <w:p w14:paraId="5D57A5E0" w14:textId="77777777" w:rsidR="000A12BB" w:rsidRPr="0055589E" w:rsidRDefault="000F5B51">
            <w:pPr>
              <w:spacing w:after="0" w:line="240" w:lineRule="auto"/>
              <w:jc w:val="center"/>
              <w:rPr>
                <w:rFonts w:cs="Times New Roman"/>
                <w:b/>
                <w:bCs/>
                <w:color w:val="000000"/>
                <w:szCs w:val="24"/>
              </w:rPr>
            </w:pPr>
            <w:r w:rsidRPr="0055589E">
              <w:rPr>
                <w:b/>
                <w:bCs/>
                <w:color w:val="000000"/>
              </w:rPr>
              <w:t>21</w:t>
            </w:r>
          </w:p>
        </w:tc>
        <w:tc>
          <w:tcPr>
            <w:tcW w:w="1091" w:type="dxa"/>
            <w:vAlign w:val="center"/>
          </w:tcPr>
          <w:p w14:paraId="06835CF8" w14:textId="77777777" w:rsidR="000A12BB" w:rsidRPr="0055589E" w:rsidRDefault="000F5B51">
            <w:pPr>
              <w:spacing w:after="0" w:line="240" w:lineRule="auto"/>
              <w:jc w:val="center"/>
              <w:rPr>
                <w:rFonts w:cs="Times New Roman"/>
                <w:b/>
                <w:bCs/>
                <w:color w:val="000000"/>
                <w:szCs w:val="24"/>
              </w:rPr>
            </w:pPr>
            <w:r w:rsidRPr="0055589E">
              <w:rPr>
                <w:b/>
                <w:bCs/>
                <w:color w:val="000000"/>
              </w:rPr>
              <w:t>31</w:t>
            </w:r>
          </w:p>
        </w:tc>
      </w:tr>
      <w:tr w:rsidR="00A15C2C" w14:paraId="17322E15" w14:textId="77777777" w:rsidTr="0055589E">
        <w:trPr>
          <w:trHeight w:val="310"/>
          <w:jc w:val="center"/>
        </w:trPr>
        <w:tc>
          <w:tcPr>
            <w:tcW w:w="1488" w:type="dxa"/>
            <w:shd w:val="clear" w:color="auto" w:fill="auto"/>
            <w:noWrap/>
            <w:vAlign w:val="bottom"/>
            <w:hideMark/>
          </w:tcPr>
          <w:p w14:paraId="1CD5B1F7" w14:textId="77777777" w:rsidR="00DE12F4" w:rsidRPr="00012598" w:rsidRDefault="000F5B51" w:rsidP="006E4648">
            <w:pPr>
              <w:spacing w:after="0" w:line="240" w:lineRule="auto"/>
              <w:rPr>
                <w:rFonts w:eastAsia="Times New Roman" w:cs="Times New Roman"/>
                <w:b/>
                <w:bCs/>
                <w:color w:val="000000"/>
                <w:szCs w:val="24"/>
              </w:rPr>
            </w:pPr>
            <w:r w:rsidRPr="00012598">
              <w:rPr>
                <w:rFonts w:eastAsia="Times New Roman" w:cs="Times New Roman"/>
                <w:b/>
                <w:bCs/>
                <w:color w:val="000000"/>
                <w:szCs w:val="24"/>
              </w:rPr>
              <w:t>Fatality</w:t>
            </w:r>
          </w:p>
        </w:tc>
        <w:tc>
          <w:tcPr>
            <w:tcW w:w="1229" w:type="dxa"/>
            <w:vAlign w:val="center"/>
          </w:tcPr>
          <w:p w14:paraId="4D1922C7" w14:textId="77777777" w:rsidR="00DE12F4" w:rsidRPr="00954B78" w:rsidRDefault="000F5B51" w:rsidP="0068771B">
            <w:pPr>
              <w:spacing w:after="0" w:line="240" w:lineRule="auto"/>
              <w:jc w:val="center"/>
              <w:rPr>
                <w:rFonts w:cs="Times New Roman"/>
                <w:b/>
                <w:bCs/>
                <w:color w:val="000000"/>
                <w:szCs w:val="24"/>
              </w:rPr>
            </w:pPr>
            <w:r>
              <w:rPr>
                <w:rFonts w:cs="Times New Roman"/>
                <w:b/>
                <w:bCs/>
                <w:color w:val="000000"/>
                <w:szCs w:val="24"/>
              </w:rPr>
              <w:t>721</w:t>
            </w:r>
          </w:p>
        </w:tc>
        <w:tc>
          <w:tcPr>
            <w:tcW w:w="1317" w:type="dxa"/>
            <w:shd w:val="clear" w:color="auto" w:fill="auto"/>
            <w:noWrap/>
            <w:vAlign w:val="center"/>
            <w:hideMark/>
          </w:tcPr>
          <w:p w14:paraId="58580229" w14:textId="77777777" w:rsidR="00DE12F4" w:rsidRPr="00954B78" w:rsidRDefault="000F5B51" w:rsidP="009B7C81">
            <w:pPr>
              <w:spacing w:after="0" w:line="240" w:lineRule="auto"/>
              <w:jc w:val="center"/>
              <w:rPr>
                <w:rFonts w:eastAsia="Times New Roman" w:cs="Times New Roman"/>
                <w:b/>
                <w:bCs/>
                <w:color w:val="000000"/>
                <w:szCs w:val="24"/>
              </w:rPr>
            </w:pPr>
            <w:r w:rsidRPr="00954B78">
              <w:rPr>
                <w:rFonts w:cs="Times New Roman"/>
                <w:b/>
                <w:bCs/>
                <w:color w:val="000000"/>
                <w:szCs w:val="24"/>
              </w:rPr>
              <w:t>0.7400</w:t>
            </w:r>
          </w:p>
        </w:tc>
        <w:tc>
          <w:tcPr>
            <w:tcW w:w="1581" w:type="dxa"/>
            <w:shd w:val="clear" w:color="auto" w:fill="auto"/>
            <w:noWrap/>
            <w:vAlign w:val="center"/>
            <w:hideMark/>
          </w:tcPr>
          <w:p w14:paraId="4357BEE1" w14:textId="77777777" w:rsidR="00DE12F4" w:rsidRPr="00954B78" w:rsidRDefault="000F5B51">
            <w:pPr>
              <w:spacing w:after="0" w:line="240" w:lineRule="auto"/>
              <w:jc w:val="center"/>
              <w:rPr>
                <w:rFonts w:eastAsia="Times New Roman" w:cs="Times New Roman"/>
                <w:b/>
                <w:bCs/>
                <w:color w:val="000000"/>
                <w:szCs w:val="24"/>
              </w:rPr>
            </w:pPr>
            <w:r w:rsidRPr="006B7B84">
              <w:rPr>
                <w:rFonts w:cs="Times New Roman"/>
                <w:b/>
                <w:bCs/>
                <w:szCs w:val="24"/>
              </w:rPr>
              <w:t>0.5953</w:t>
            </w:r>
          </w:p>
        </w:tc>
        <w:tc>
          <w:tcPr>
            <w:tcW w:w="1405" w:type="dxa"/>
            <w:shd w:val="clear" w:color="auto" w:fill="auto"/>
            <w:noWrap/>
            <w:vAlign w:val="center"/>
          </w:tcPr>
          <w:p w14:paraId="18428B5E" w14:textId="77777777" w:rsidR="00DE12F4" w:rsidRPr="00954B78" w:rsidRDefault="000F5B51">
            <w:pPr>
              <w:spacing w:after="0" w:line="240" w:lineRule="auto"/>
              <w:jc w:val="center"/>
              <w:rPr>
                <w:rFonts w:eastAsia="Times New Roman" w:cs="Times New Roman"/>
                <w:b/>
                <w:bCs/>
                <w:color w:val="000000"/>
                <w:szCs w:val="24"/>
              </w:rPr>
            </w:pPr>
            <w:r>
              <w:rPr>
                <w:rFonts w:eastAsia="Times New Roman" w:cs="Times New Roman"/>
                <w:b/>
                <w:bCs/>
                <w:color w:val="000000"/>
                <w:szCs w:val="24"/>
              </w:rPr>
              <w:t>31</w:t>
            </w:r>
            <w:r w:rsidR="008A4492">
              <w:rPr>
                <w:rFonts w:eastAsia="Times New Roman" w:cs="Times New Roman"/>
                <w:b/>
                <w:bCs/>
                <w:color w:val="000000"/>
                <w:szCs w:val="24"/>
              </w:rPr>
              <w:t>7</w:t>
            </w:r>
          </w:p>
        </w:tc>
        <w:tc>
          <w:tcPr>
            <w:tcW w:w="1352" w:type="dxa"/>
            <w:vAlign w:val="center"/>
          </w:tcPr>
          <w:p w14:paraId="4BE94F84" w14:textId="77777777" w:rsidR="00DE12F4" w:rsidRPr="008B2330" w:rsidRDefault="000F5B51">
            <w:pPr>
              <w:spacing w:after="0" w:line="240" w:lineRule="auto"/>
              <w:jc w:val="center"/>
              <w:rPr>
                <w:rFonts w:eastAsia="Times New Roman" w:cs="Times New Roman"/>
                <w:b/>
                <w:bCs/>
                <w:color w:val="000000"/>
                <w:szCs w:val="24"/>
              </w:rPr>
            </w:pPr>
            <w:r w:rsidRPr="0055589E">
              <w:rPr>
                <w:rFonts w:cs="Calibri"/>
                <w:b/>
                <w:bCs/>
                <w:color w:val="000000"/>
              </w:rPr>
              <w:t>0.6162</w:t>
            </w:r>
          </w:p>
        </w:tc>
        <w:tc>
          <w:tcPr>
            <w:tcW w:w="1353" w:type="dxa"/>
            <w:vAlign w:val="center"/>
          </w:tcPr>
          <w:p w14:paraId="509C67E6" w14:textId="77777777" w:rsidR="00DE12F4" w:rsidRPr="008B2330" w:rsidRDefault="000F5B51">
            <w:pPr>
              <w:spacing w:after="0" w:line="240" w:lineRule="auto"/>
              <w:jc w:val="center"/>
              <w:rPr>
                <w:rFonts w:eastAsia="Times New Roman" w:cs="Times New Roman"/>
                <w:b/>
                <w:bCs/>
                <w:color w:val="000000"/>
                <w:szCs w:val="24"/>
              </w:rPr>
            </w:pPr>
            <w:r w:rsidRPr="0055589E">
              <w:rPr>
                <w:rFonts w:cs="Calibri"/>
                <w:b/>
                <w:bCs/>
                <w:color w:val="000000"/>
              </w:rPr>
              <w:t>0.6268</w:t>
            </w:r>
          </w:p>
        </w:tc>
        <w:tc>
          <w:tcPr>
            <w:tcW w:w="1610" w:type="dxa"/>
            <w:vAlign w:val="center"/>
          </w:tcPr>
          <w:p w14:paraId="1B4AC071" w14:textId="77777777" w:rsidR="00DE12F4" w:rsidRPr="00954B78" w:rsidRDefault="000F5B51">
            <w:pPr>
              <w:spacing w:after="0" w:line="240" w:lineRule="auto"/>
              <w:jc w:val="center"/>
              <w:rPr>
                <w:rFonts w:eastAsia="Times New Roman" w:cs="Times New Roman"/>
                <w:b/>
                <w:bCs/>
                <w:color w:val="000000"/>
                <w:szCs w:val="24"/>
              </w:rPr>
            </w:pPr>
            <w:r>
              <w:rPr>
                <w:rFonts w:eastAsia="Times New Roman" w:cs="Times New Roman"/>
                <w:b/>
                <w:bCs/>
                <w:color w:val="000000"/>
                <w:szCs w:val="24"/>
              </w:rPr>
              <w:t>329</w:t>
            </w:r>
          </w:p>
        </w:tc>
        <w:tc>
          <w:tcPr>
            <w:tcW w:w="1620" w:type="dxa"/>
            <w:vAlign w:val="center"/>
          </w:tcPr>
          <w:p w14:paraId="1DC57962" w14:textId="77777777" w:rsidR="00DE12F4" w:rsidRPr="00954B78" w:rsidRDefault="000F5B51">
            <w:pPr>
              <w:spacing w:after="0" w:line="240" w:lineRule="auto"/>
              <w:jc w:val="center"/>
              <w:rPr>
                <w:rFonts w:eastAsia="Times New Roman" w:cs="Times New Roman"/>
                <w:b/>
                <w:bCs/>
                <w:color w:val="000000"/>
                <w:szCs w:val="24"/>
              </w:rPr>
            </w:pPr>
            <w:r>
              <w:rPr>
                <w:rFonts w:eastAsia="Times New Roman" w:cs="Times New Roman"/>
                <w:b/>
                <w:bCs/>
                <w:color w:val="000000"/>
                <w:szCs w:val="24"/>
              </w:rPr>
              <w:t>334</w:t>
            </w:r>
          </w:p>
        </w:tc>
        <w:tc>
          <w:tcPr>
            <w:tcW w:w="1090" w:type="dxa"/>
            <w:vAlign w:val="center"/>
          </w:tcPr>
          <w:p w14:paraId="3BCE5F45" w14:textId="77777777" w:rsidR="00DE12F4" w:rsidRPr="00954B78" w:rsidRDefault="000F5B51">
            <w:pPr>
              <w:spacing w:after="0" w:line="240" w:lineRule="auto"/>
              <w:jc w:val="center"/>
              <w:rPr>
                <w:rFonts w:eastAsia="Times New Roman" w:cs="Times New Roman"/>
                <w:b/>
                <w:bCs/>
                <w:color w:val="000000"/>
                <w:szCs w:val="24"/>
              </w:rPr>
            </w:pPr>
            <w:r>
              <w:rPr>
                <w:rFonts w:eastAsia="Times New Roman" w:cs="Times New Roman"/>
                <w:b/>
                <w:bCs/>
                <w:color w:val="000000"/>
                <w:szCs w:val="24"/>
              </w:rPr>
              <w:t>11</w:t>
            </w:r>
          </w:p>
        </w:tc>
        <w:tc>
          <w:tcPr>
            <w:tcW w:w="1091" w:type="dxa"/>
            <w:vAlign w:val="center"/>
          </w:tcPr>
          <w:p w14:paraId="7729BC85" w14:textId="77777777" w:rsidR="00DE12F4" w:rsidRPr="00954B78" w:rsidRDefault="000F5B51">
            <w:pPr>
              <w:spacing w:after="0" w:line="240" w:lineRule="auto"/>
              <w:jc w:val="center"/>
              <w:rPr>
                <w:rFonts w:eastAsia="Times New Roman" w:cs="Times New Roman"/>
                <w:b/>
                <w:bCs/>
                <w:color w:val="000000"/>
                <w:szCs w:val="24"/>
              </w:rPr>
            </w:pPr>
            <w:r>
              <w:rPr>
                <w:rFonts w:eastAsia="Times New Roman" w:cs="Times New Roman"/>
                <w:b/>
                <w:bCs/>
                <w:color w:val="000000"/>
                <w:szCs w:val="24"/>
              </w:rPr>
              <w:t>1</w:t>
            </w:r>
            <w:r w:rsidR="00D5126D">
              <w:rPr>
                <w:rFonts w:eastAsia="Times New Roman" w:cs="Times New Roman"/>
                <w:b/>
                <w:bCs/>
                <w:color w:val="000000"/>
                <w:szCs w:val="24"/>
              </w:rPr>
              <w:t>7</w:t>
            </w:r>
          </w:p>
        </w:tc>
      </w:tr>
    </w:tbl>
    <w:p w14:paraId="4A49B06E" w14:textId="6466AE03" w:rsidR="00B43E52" w:rsidRDefault="000F5B51" w:rsidP="000B4B53">
      <w:pPr>
        <w:sectPr w:rsidR="00B43E52" w:rsidSect="00696946">
          <w:pgSz w:w="15840" w:h="12240" w:orient="landscape" w:code="1"/>
          <w:pgMar w:top="1440" w:right="1440" w:bottom="1440" w:left="1440" w:header="720" w:footer="720" w:gutter="0"/>
          <w:cols w:space="720"/>
          <w:docGrid w:linePitch="360"/>
        </w:sectPr>
      </w:pPr>
      <w:r>
        <w:rPr>
          <w:rFonts w:eastAsia="Times New Roman" w:cs="Times New Roman"/>
          <w:sz w:val="18"/>
          <w:szCs w:val="18"/>
        </w:rPr>
        <w:t>Note: Values may not sum due to rounding. Benefits are rounded to the nearest whole number for presentation purposes.</w:t>
      </w:r>
      <w:r>
        <w:t xml:space="preserve"> </w:t>
      </w:r>
    </w:p>
    <w:p w14:paraId="0802413C" w14:textId="02FD21ED" w:rsidR="00FA2FC7" w:rsidRDefault="000F5B51" w:rsidP="00514561">
      <w:pPr>
        <w:spacing w:after="0"/>
      </w:pPr>
      <w:r>
        <w:lastRenderedPageBreak/>
        <w:fldChar w:fldCharType="begin"/>
      </w:r>
      <w:r>
        <w:instrText xml:space="preserve"> REF _Ref126137613 \h </w:instrText>
      </w:r>
      <w:r>
        <w:fldChar w:fldCharType="separate"/>
      </w:r>
      <w:r w:rsidR="00A65CB3">
        <w:t xml:space="preserve">Table </w:t>
      </w:r>
      <w:r w:rsidR="00A65CB3">
        <w:rPr>
          <w:iCs/>
          <w:noProof/>
        </w:rPr>
        <w:t>46</w:t>
      </w:r>
      <w:r>
        <w:fldChar w:fldCharType="end"/>
      </w:r>
      <w:r>
        <w:t xml:space="preserve"> presents a summary of the incremental benefits for rear seat occupants associated with the proposed rule</w:t>
      </w:r>
      <w:r w:rsidR="001F2F92">
        <w:t xml:space="preserve">. </w:t>
      </w:r>
      <w:r w:rsidR="00E7793B">
        <w:t xml:space="preserve">As a result of the requirements for the SBWS for rear seat occupants, </w:t>
      </w:r>
      <w:r w:rsidR="00231AC5">
        <w:t>7</w:t>
      </w:r>
      <w:r w:rsidR="00E26202">
        <w:t>5</w:t>
      </w:r>
      <w:r w:rsidR="0070420A">
        <w:t xml:space="preserve"> to 1</w:t>
      </w:r>
      <w:r w:rsidR="00231AC5">
        <w:t>1</w:t>
      </w:r>
      <w:r w:rsidR="0070420A">
        <w:t>2 non-fatal injuries and 22 to 3</w:t>
      </w:r>
      <w:r w:rsidR="00E26202">
        <w:t>4</w:t>
      </w:r>
      <w:r w:rsidR="0070420A">
        <w:t xml:space="preserve"> fatalities would be prevented.</w:t>
      </w:r>
    </w:p>
    <w:p w14:paraId="598D4308" w14:textId="429717CE" w:rsidR="00FA2FC7" w:rsidRDefault="000F5B51" w:rsidP="00FA2FC7">
      <w:pPr>
        <w:pStyle w:val="Caption"/>
        <w:rPr>
          <w:rFonts w:eastAsia="Times New Roman" w:cs="Times New Roman"/>
          <w:b/>
          <w:bCs/>
          <w:szCs w:val="24"/>
        </w:rPr>
      </w:pPr>
      <w:bookmarkStart w:id="236" w:name="_Ref126137613"/>
      <w:r>
        <w:t xml:space="preserve">Table </w:t>
      </w:r>
      <w:r w:rsidR="00AD7711">
        <w:rPr>
          <w:iCs w:val="0"/>
        </w:rPr>
        <w:fldChar w:fldCharType="begin"/>
      </w:r>
      <w:r w:rsidR="00AD7711">
        <w:rPr>
          <w:iCs w:val="0"/>
        </w:rPr>
        <w:instrText xml:space="preserve"> SEQ Table \* ARABIC </w:instrText>
      </w:r>
      <w:r w:rsidR="00AD7711">
        <w:rPr>
          <w:iCs w:val="0"/>
        </w:rPr>
        <w:fldChar w:fldCharType="separate"/>
      </w:r>
      <w:r w:rsidR="00A65CB3">
        <w:rPr>
          <w:iCs w:val="0"/>
          <w:noProof/>
        </w:rPr>
        <w:t>46</w:t>
      </w:r>
      <w:r w:rsidR="00AD7711">
        <w:rPr>
          <w:iCs w:val="0"/>
          <w:noProof/>
        </w:rPr>
        <w:fldChar w:fldCharType="end"/>
      </w:r>
      <w:bookmarkEnd w:id="236"/>
      <w:r>
        <w:t>: Summary of Incremental Benefits for Rear Seat Occupants</w:t>
      </w:r>
      <w:r w:rsidR="0059058A">
        <w:t xml:space="preserve"> </w:t>
      </w:r>
    </w:p>
    <w:tbl>
      <w:tblPr>
        <w:tblStyle w:val="TableGrid"/>
        <w:tblW w:w="9150" w:type="dxa"/>
        <w:tblLayout w:type="fixed"/>
        <w:tblLook w:val="04A0" w:firstRow="1" w:lastRow="0" w:firstColumn="1" w:lastColumn="0" w:noHBand="0" w:noVBand="1"/>
      </w:tblPr>
      <w:tblGrid>
        <w:gridCol w:w="2058"/>
        <w:gridCol w:w="1894"/>
        <w:gridCol w:w="1347"/>
        <w:gridCol w:w="1347"/>
        <w:gridCol w:w="1252"/>
        <w:gridCol w:w="1252"/>
      </w:tblGrid>
      <w:tr w:rsidR="00A15C2C" w14:paraId="18519FD9" w14:textId="77777777" w:rsidTr="00036C09">
        <w:trPr>
          <w:trHeight w:val="360"/>
        </w:trPr>
        <w:tc>
          <w:tcPr>
            <w:tcW w:w="2058" w:type="dxa"/>
            <w:vMerge w:val="restart"/>
            <w:shd w:val="clear" w:color="auto" w:fill="D9D9D9" w:themeFill="background1" w:themeFillShade="D9"/>
            <w:vAlign w:val="center"/>
          </w:tcPr>
          <w:p w14:paraId="1B517881" w14:textId="77777777" w:rsidR="00FB14D6" w:rsidRPr="0055589E" w:rsidRDefault="000F5B51" w:rsidP="00FB14D6">
            <w:pPr>
              <w:spacing w:line="240" w:lineRule="auto"/>
              <w:rPr>
                <w:rFonts w:eastAsia="Times New Roman" w:cs="Times New Roman"/>
                <w:b/>
                <w:bCs/>
                <w:szCs w:val="24"/>
              </w:rPr>
            </w:pPr>
            <w:r w:rsidRPr="0055589E">
              <w:rPr>
                <w:rFonts w:eastAsia="Times New Roman" w:cs="Times New Roman"/>
                <w:b/>
                <w:bCs/>
                <w:szCs w:val="24"/>
              </w:rPr>
              <w:t>Category</w:t>
            </w:r>
          </w:p>
        </w:tc>
        <w:tc>
          <w:tcPr>
            <w:tcW w:w="1894" w:type="dxa"/>
            <w:vMerge w:val="restart"/>
            <w:shd w:val="clear" w:color="auto" w:fill="D9D9D9" w:themeFill="background1" w:themeFillShade="D9"/>
            <w:vAlign w:val="center"/>
          </w:tcPr>
          <w:p w14:paraId="1F88A43D" w14:textId="57174FD4" w:rsidR="00FB14D6" w:rsidRDefault="000F5B51" w:rsidP="00FB14D6">
            <w:pPr>
              <w:spacing w:line="240" w:lineRule="auto"/>
              <w:jc w:val="center"/>
              <w:rPr>
                <w:rFonts w:eastAsia="Times New Roman" w:cs="Times New Roman"/>
                <w:b/>
                <w:bCs/>
                <w:szCs w:val="24"/>
              </w:rPr>
            </w:pPr>
            <w:r>
              <w:rPr>
                <w:rFonts w:eastAsia="Times New Roman" w:cs="Times New Roman"/>
                <w:b/>
                <w:bCs/>
                <w:szCs w:val="24"/>
              </w:rPr>
              <w:t xml:space="preserve">Baseline </w:t>
            </w:r>
            <w:r w:rsidR="000603E0">
              <w:rPr>
                <w:rFonts w:eastAsia="Times New Roman" w:cs="Times New Roman"/>
                <w:b/>
                <w:bCs/>
                <w:szCs w:val="24"/>
              </w:rPr>
              <w:t>Effects</w:t>
            </w:r>
          </w:p>
        </w:tc>
        <w:tc>
          <w:tcPr>
            <w:tcW w:w="2694" w:type="dxa"/>
            <w:gridSpan w:val="2"/>
            <w:shd w:val="clear" w:color="auto" w:fill="D9D9D9" w:themeFill="background1" w:themeFillShade="D9"/>
            <w:vAlign w:val="center"/>
          </w:tcPr>
          <w:p w14:paraId="5811748D" w14:textId="6F11F20E" w:rsidR="00FB14D6" w:rsidRDefault="000F5B51" w:rsidP="00FB14D6">
            <w:pPr>
              <w:spacing w:line="240" w:lineRule="auto"/>
              <w:jc w:val="center"/>
              <w:rPr>
                <w:rFonts w:eastAsia="Times New Roman" w:cs="Times New Roman"/>
                <w:b/>
                <w:bCs/>
                <w:szCs w:val="24"/>
              </w:rPr>
            </w:pPr>
            <w:r>
              <w:rPr>
                <w:rFonts w:eastAsia="Times New Roman" w:cs="Times New Roman"/>
                <w:b/>
                <w:bCs/>
                <w:szCs w:val="24"/>
              </w:rPr>
              <w:t>Proposed Rule Benefits</w:t>
            </w:r>
            <w:r w:rsidR="000603E0">
              <w:rPr>
                <w:rFonts w:eastAsia="Times New Roman" w:cs="Times New Roman"/>
                <w:b/>
                <w:bCs/>
                <w:szCs w:val="24"/>
              </w:rPr>
              <w:t xml:space="preserve"> Unadjusted for Baseline Effects</w:t>
            </w:r>
          </w:p>
        </w:tc>
        <w:tc>
          <w:tcPr>
            <w:tcW w:w="2504" w:type="dxa"/>
            <w:gridSpan w:val="2"/>
            <w:shd w:val="clear" w:color="auto" w:fill="D9D9D9" w:themeFill="background1" w:themeFillShade="D9"/>
            <w:vAlign w:val="center"/>
          </w:tcPr>
          <w:p w14:paraId="2E111664" w14:textId="77777777" w:rsidR="00FB14D6" w:rsidRDefault="000F5B51" w:rsidP="00FB14D6">
            <w:pPr>
              <w:spacing w:line="240" w:lineRule="auto"/>
              <w:jc w:val="center"/>
              <w:rPr>
                <w:rFonts w:eastAsia="Times New Roman" w:cs="Times New Roman"/>
                <w:b/>
                <w:bCs/>
                <w:szCs w:val="24"/>
              </w:rPr>
            </w:pPr>
            <w:r>
              <w:rPr>
                <w:rFonts w:eastAsia="Times New Roman" w:cs="Times New Roman"/>
                <w:b/>
                <w:bCs/>
                <w:szCs w:val="24"/>
              </w:rPr>
              <w:t>Incremental Benefits</w:t>
            </w:r>
          </w:p>
          <w:p w14:paraId="30B12E80" w14:textId="52D930C0" w:rsidR="000603E0" w:rsidRDefault="000603E0" w:rsidP="00FB14D6">
            <w:pPr>
              <w:spacing w:line="240" w:lineRule="auto"/>
              <w:jc w:val="center"/>
              <w:rPr>
                <w:rFonts w:eastAsia="Times New Roman" w:cs="Times New Roman"/>
                <w:b/>
                <w:bCs/>
                <w:szCs w:val="24"/>
              </w:rPr>
            </w:pPr>
            <w:r>
              <w:rPr>
                <w:rFonts w:eastAsia="Times New Roman" w:cs="Times New Roman"/>
                <w:b/>
                <w:bCs/>
                <w:szCs w:val="24"/>
              </w:rPr>
              <w:t>Unadjusted Proposed Rule Benefits – Baseline Effects)</w:t>
            </w:r>
          </w:p>
        </w:tc>
      </w:tr>
      <w:tr w:rsidR="00A15C2C" w14:paraId="56F897B6" w14:textId="77777777" w:rsidTr="00834E16">
        <w:trPr>
          <w:trHeight w:val="360"/>
        </w:trPr>
        <w:tc>
          <w:tcPr>
            <w:tcW w:w="2058" w:type="dxa"/>
            <w:vMerge/>
            <w:shd w:val="clear" w:color="auto" w:fill="D9D9D9" w:themeFill="background1" w:themeFillShade="D9"/>
            <w:vAlign w:val="center"/>
          </w:tcPr>
          <w:p w14:paraId="0E6DF5EB" w14:textId="77777777" w:rsidR="00FB14D6" w:rsidRPr="00713E02" w:rsidRDefault="00FB14D6" w:rsidP="00FB14D6">
            <w:pPr>
              <w:spacing w:line="240" w:lineRule="auto"/>
              <w:rPr>
                <w:rFonts w:eastAsia="Times New Roman" w:cs="Times New Roman"/>
                <w:szCs w:val="24"/>
              </w:rPr>
            </w:pPr>
          </w:p>
        </w:tc>
        <w:tc>
          <w:tcPr>
            <w:tcW w:w="1894" w:type="dxa"/>
            <w:vMerge/>
            <w:shd w:val="clear" w:color="auto" w:fill="D9D9D9" w:themeFill="background1" w:themeFillShade="D9"/>
            <w:vAlign w:val="center"/>
          </w:tcPr>
          <w:p w14:paraId="2B7FE0AF" w14:textId="77777777" w:rsidR="00FB14D6" w:rsidRDefault="00FB14D6" w:rsidP="00FB14D6">
            <w:pPr>
              <w:spacing w:line="240" w:lineRule="auto"/>
              <w:jc w:val="center"/>
              <w:rPr>
                <w:rFonts w:eastAsia="Times New Roman" w:cs="Times New Roman"/>
                <w:b/>
                <w:bCs/>
                <w:szCs w:val="24"/>
              </w:rPr>
            </w:pPr>
          </w:p>
        </w:tc>
        <w:tc>
          <w:tcPr>
            <w:tcW w:w="1347" w:type="dxa"/>
            <w:shd w:val="clear" w:color="auto" w:fill="D9D9D9" w:themeFill="background1" w:themeFillShade="D9"/>
            <w:vAlign w:val="center"/>
          </w:tcPr>
          <w:p w14:paraId="63DB68C6" w14:textId="77777777" w:rsidR="00FB14D6" w:rsidRDefault="000F5B51" w:rsidP="00FB14D6">
            <w:pPr>
              <w:spacing w:line="240" w:lineRule="auto"/>
              <w:jc w:val="center"/>
              <w:rPr>
                <w:rFonts w:eastAsia="Times New Roman" w:cs="Times New Roman"/>
                <w:b/>
                <w:bCs/>
                <w:szCs w:val="24"/>
              </w:rPr>
            </w:pPr>
            <w:r>
              <w:rPr>
                <w:rFonts w:eastAsia="Times New Roman" w:cs="Times New Roman"/>
                <w:b/>
                <w:bCs/>
                <w:szCs w:val="24"/>
              </w:rPr>
              <w:t>Lo</w:t>
            </w:r>
          </w:p>
        </w:tc>
        <w:tc>
          <w:tcPr>
            <w:tcW w:w="1347" w:type="dxa"/>
            <w:shd w:val="clear" w:color="auto" w:fill="D9D9D9" w:themeFill="background1" w:themeFillShade="D9"/>
            <w:vAlign w:val="center"/>
          </w:tcPr>
          <w:p w14:paraId="734F4D8B" w14:textId="77777777" w:rsidR="00FB14D6" w:rsidRDefault="000F5B51" w:rsidP="00FB14D6">
            <w:pPr>
              <w:spacing w:line="240" w:lineRule="auto"/>
              <w:jc w:val="center"/>
              <w:rPr>
                <w:rFonts w:eastAsia="Times New Roman" w:cs="Times New Roman"/>
                <w:b/>
                <w:bCs/>
                <w:szCs w:val="24"/>
              </w:rPr>
            </w:pPr>
            <w:r>
              <w:rPr>
                <w:rFonts w:eastAsia="Times New Roman" w:cs="Times New Roman"/>
                <w:b/>
                <w:bCs/>
                <w:szCs w:val="24"/>
              </w:rPr>
              <w:t>Hi</w:t>
            </w:r>
          </w:p>
        </w:tc>
        <w:tc>
          <w:tcPr>
            <w:tcW w:w="1252" w:type="dxa"/>
            <w:shd w:val="clear" w:color="auto" w:fill="D9D9D9" w:themeFill="background1" w:themeFillShade="D9"/>
            <w:vAlign w:val="center"/>
          </w:tcPr>
          <w:p w14:paraId="445EB0A0" w14:textId="77777777" w:rsidR="00FB14D6" w:rsidRDefault="000F5B51" w:rsidP="00FB14D6">
            <w:pPr>
              <w:spacing w:line="240" w:lineRule="auto"/>
              <w:jc w:val="center"/>
              <w:rPr>
                <w:rFonts w:eastAsia="Times New Roman" w:cs="Times New Roman"/>
                <w:b/>
                <w:bCs/>
                <w:szCs w:val="24"/>
              </w:rPr>
            </w:pPr>
            <w:r>
              <w:rPr>
                <w:rFonts w:eastAsia="Times New Roman" w:cs="Times New Roman"/>
                <w:b/>
                <w:bCs/>
                <w:szCs w:val="24"/>
              </w:rPr>
              <w:t>Hi</w:t>
            </w:r>
          </w:p>
        </w:tc>
        <w:tc>
          <w:tcPr>
            <w:tcW w:w="1252" w:type="dxa"/>
            <w:shd w:val="clear" w:color="auto" w:fill="D9D9D9" w:themeFill="background1" w:themeFillShade="D9"/>
            <w:vAlign w:val="center"/>
          </w:tcPr>
          <w:p w14:paraId="7FAACFF3" w14:textId="77777777" w:rsidR="00FB14D6" w:rsidRDefault="000F5B51" w:rsidP="00FB14D6">
            <w:pPr>
              <w:spacing w:line="240" w:lineRule="auto"/>
              <w:jc w:val="center"/>
              <w:rPr>
                <w:rFonts w:eastAsia="Times New Roman" w:cs="Times New Roman"/>
                <w:b/>
                <w:bCs/>
                <w:szCs w:val="24"/>
              </w:rPr>
            </w:pPr>
            <w:r>
              <w:rPr>
                <w:rFonts w:eastAsia="Times New Roman" w:cs="Times New Roman"/>
                <w:b/>
                <w:bCs/>
                <w:szCs w:val="24"/>
              </w:rPr>
              <w:t>Lo</w:t>
            </w:r>
          </w:p>
        </w:tc>
      </w:tr>
      <w:tr w:rsidR="00A15C2C" w14:paraId="65E8E79B" w14:textId="77777777" w:rsidTr="0055589E">
        <w:trPr>
          <w:trHeight w:val="360"/>
        </w:trPr>
        <w:tc>
          <w:tcPr>
            <w:tcW w:w="9150" w:type="dxa"/>
            <w:gridSpan w:val="6"/>
            <w:shd w:val="clear" w:color="auto" w:fill="D9D9D9" w:themeFill="background1" w:themeFillShade="D9"/>
            <w:vAlign w:val="center"/>
          </w:tcPr>
          <w:p w14:paraId="19E0F377" w14:textId="77777777" w:rsidR="00EB67B0" w:rsidRDefault="000F5B51" w:rsidP="00EB67B0">
            <w:pPr>
              <w:spacing w:line="240" w:lineRule="auto"/>
              <w:jc w:val="center"/>
              <w:rPr>
                <w:rFonts w:eastAsia="Times New Roman" w:cs="Times New Roman"/>
                <w:b/>
                <w:bCs/>
                <w:szCs w:val="24"/>
              </w:rPr>
            </w:pPr>
            <w:r w:rsidRPr="00934F2C">
              <w:rPr>
                <w:rFonts w:eastAsia="Times New Roman" w:cs="Times New Roman"/>
                <w:b/>
                <w:bCs/>
                <w:i/>
                <w:iCs/>
                <w:szCs w:val="24"/>
                <w:shd w:val="clear" w:color="auto" w:fill="D9D9D9" w:themeFill="background1" w:themeFillShade="D9"/>
              </w:rPr>
              <w:t>Rear</w:t>
            </w:r>
            <w:r w:rsidRPr="00934F2C">
              <w:rPr>
                <w:rFonts w:eastAsia="Times New Roman" w:cs="Times New Roman"/>
                <w:b/>
                <w:bCs/>
                <w:i/>
                <w:iCs/>
                <w:szCs w:val="24"/>
              </w:rPr>
              <w:t xml:space="preserve"> Seat Occupants Ages 6-10</w:t>
            </w:r>
          </w:p>
        </w:tc>
      </w:tr>
      <w:tr w:rsidR="00A15C2C" w14:paraId="705217E8" w14:textId="77777777" w:rsidTr="00834E16">
        <w:trPr>
          <w:trHeight w:val="360"/>
        </w:trPr>
        <w:tc>
          <w:tcPr>
            <w:tcW w:w="2058" w:type="dxa"/>
            <w:vAlign w:val="center"/>
          </w:tcPr>
          <w:p w14:paraId="330A1B2C" w14:textId="77777777" w:rsidR="00EB67B0" w:rsidRPr="0055589E" w:rsidRDefault="000F5B51" w:rsidP="00EB67B0">
            <w:pPr>
              <w:spacing w:line="240" w:lineRule="auto"/>
              <w:rPr>
                <w:rFonts w:eastAsia="Times New Roman" w:cs="Times New Roman"/>
                <w:szCs w:val="24"/>
              </w:rPr>
            </w:pPr>
            <w:r w:rsidRPr="0055589E">
              <w:rPr>
                <w:rFonts w:eastAsia="Times New Roman" w:cs="Times New Roman"/>
                <w:szCs w:val="24"/>
              </w:rPr>
              <w:t>Non-fatal Injuries (MAIS 1-5)</w:t>
            </w:r>
          </w:p>
        </w:tc>
        <w:tc>
          <w:tcPr>
            <w:tcW w:w="1894" w:type="dxa"/>
            <w:vAlign w:val="center"/>
          </w:tcPr>
          <w:p w14:paraId="25C1361C" w14:textId="77777777" w:rsidR="00EB67B0" w:rsidRPr="0055589E" w:rsidRDefault="000F5B51" w:rsidP="0055589E">
            <w:pPr>
              <w:spacing w:line="240" w:lineRule="auto"/>
              <w:jc w:val="center"/>
              <w:rPr>
                <w:rFonts w:eastAsia="Times New Roman" w:cs="Times New Roman"/>
                <w:szCs w:val="24"/>
              </w:rPr>
            </w:pPr>
            <w:r w:rsidRPr="0055589E">
              <w:rPr>
                <w:rFonts w:eastAsia="Times New Roman" w:cs="Times New Roman"/>
                <w:szCs w:val="24"/>
              </w:rPr>
              <w:t>853</w:t>
            </w:r>
          </w:p>
        </w:tc>
        <w:tc>
          <w:tcPr>
            <w:tcW w:w="1347" w:type="dxa"/>
            <w:vAlign w:val="center"/>
          </w:tcPr>
          <w:p w14:paraId="0045A2D2" w14:textId="77777777" w:rsidR="00EB67B0" w:rsidRPr="0055589E" w:rsidRDefault="000F5B51" w:rsidP="0055589E">
            <w:pPr>
              <w:spacing w:line="240" w:lineRule="auto"/>
              <w:jc w:val="center"/>
              <w:rPr>
                <w:rFonts w:eastAsia="Times New Roman" w:cs="Times New Roman"/>
                <w:szCs w:val="24"/>
              </w:rPr>
            </w:pPr>
            <w:r w:rsidRPr="0055589E">
              <w:rPr>
                <w:rFonts w:eastAsia="Times New Roman" w:cs="Times New Roman"/>
                <w:szCs w:val="24"/>
              </w:rPr>
              <w:t>854</w:t>
            </w:r>
          </w:p>
        </w:tc>
        <w:tc>
          <w:tcPr>
            <w:tcW w:w="1347" w:type="dxa"/>
            <w:vAlign w:val="center"/>
          </w:tcPr>
          <w:p w14:paraId="0A84132E" w14:textId="77777777" w:rsidR="00EB67B0" w:rsidRPr="0055589E" w:rsidRDefault="000F5B51" w:rsidP="0055589E">
            <w:pPr>
              <w:spacing w:line="240" w:lineRule="auto"/>
              <w:jc w:val="center"/>
              <w:rPr>
                <w:rFonts w:eastAsia="Times New Roman" w:cs="Times New Roman"/>
                <w:szCs w:val="24"/>
              </w:rPr>
            </w:pPr>
            <w:r w:rsidRPr="0055589E">
              <w:rPr>
                <w:rFonts w:eastAsia="Times New Roman" w:cs="Times New Roman"/>
                <w:szCs w:val="24"/>
              </w:rPr>
              <w:t>855</w:t>
            </w:r>
          </w:p>
        </w:tc>
        <w:tc>
          <w:tcPr>
            <w:tcW w:w="1252" w:type="dxa"/>
            <w:vAlign w:val="center"/>
          </w:tcPr>
          <w:p w14:paraId="07E08ABB" w14:textId="77777777" w:rsidR="00EB67B0" w:rsidRPr="0055589E" w:rsidRDefault="000F5B51" w:rsidP="0055589E">
            <w:pPr>
              <w:spacing w:line="240" w:lineRule="auto"/>
              <w:jc w:val="center"/>
              <w:rPr>
                <w:rFonts w:eastAsia="Times New Roman" w:cs="Times New Roman"/>
                <w:szCs w:val="24"/>
              </w:rPr>
            </w:pPr>
            <w:r w:rsidRPr="0055589E">
              <w:rPr>
                <w:rFonts w:eastAsia="Times New Roman" w:cs="Times New Roman"/>
                <w:szCs w:val="24"/>
              </w:rPr>
              <w:t>1</w:t>
            </w:r>
          </w:p>
        </w:tc>
        <w:tc>
          <w:tcPr>
            <w:tcW w:w="1252" w:type="dxa"/>
            <w:vAlign w:val="center"/>
          </w:tcPr>
          <w:p w14:paraId="4C36E092" w14:textId="77777777" w:rsidR="00EB67B0" w:rsidRPr="0055589E" w:rsidRDefault="000F5B51" w:rsidP="0055589E">
            <w:pPr>
              <w:spacing w:line="240" w:lineRule="auto"/>
              <w:jc w:val="center"/>
              <w:rPr>
                <w:rFonts w:eastAsia="Times New Roman" w:cs="Times New Roman"/>
                <w:szCs w:val="24"/>
              </w:rPr>
            </w:pPr>
            <w:r w:rsidRPr="0055589E">
              <w:rPr>
                <w:rFonts w:eastAsia="Times New Roman" w:cs="Times New Roman"/>
                <w:szCs w:val="24"/>
              </w:rPr>
              <w:t>2</w:t>
            </w:r>
          </w:p>
        </w:tc>
      </w:tr>
      <w:tr w:rsidR="00A15C2C" w14:paraId="29F387B6" w14:textId="77777777" w:rsidTr="00834E16">
        <w:trPr>
          <w:trHeight w:val="360"/>
        </w:trPr>
        <w:tc>
          <w:tcPr>
            <w:tcW w:w="2058" w:type="dxa"/>
            <w:vAlign w:val="center"/>
          </w:tcPr>
          <w:p w14:paraId="186C148C" w14:textId="77777777" w:rsidR="00EB67B0" w:rsidRPr="0055589E" w:rsidRDefault="000F5B51" w:rsidP="00EB67B0">
            <w:pPr>
              <w:spacing w:line="240" w:lineRule="auto"/>
              <w:rPr>
                <w:rFonts w:eastAsia="Times New Roman" w:cs="Times New Roman"/>
                <w:szCs w:val="24"/>
              </w:rPr>
            </w:pPr>
            <w:r w:rsidRPr="0055589E">
              <w:rPr>
                <w:rFonts w:eastAsia="Times New Roman" w:cs="Times New Roman"/>
                <w:szCs w:val="24"/>
              </w:rPr>
              <w:t>Fatalities</w:t>
            </w:r>
            <w:r w:rsidR="0039660E">
              <w:rPr>
                <w:rFonts w:eastAsia="Times New Roman" w:cs="Times New Roman"/>
                <w:szCs w:val="24"/>
              </w:rPr>
              <w:t>*</w:t>
            </w:r>
          </w:p>
        </w:tc>
        <w:tc>
          <w:tcPr>
            <w:tcW w:w="1894" w:type="dxa"/>
            <w:vAlign w:val="center"/>
          </w:tcPr>
          <w:p w14:paraId="055CFCAE" w14:textId="77777777" w:rsidR="00EB67B0" w:rsidRPr="0055589E" w:rsidRDefault="000F5B51" w:rsidP="0055589E">
            <w:pPr>
              <w:spacing w:line="240" w:lineRule="auto"/>
              <w:jc w:val="center"/>
              <w:rPr>
                <w:rFonts w:eastAsia="Times New Roman" w:cs="Times New Roman"/>
                <w:szCs w:val="24"/>
              </w:rPr>
            </w:pPr>
            <w:r w:rsidRPr="0055589E">
              <w:rPr>
                <w:rFonts w:eastAsia="Times New Roman" w:cs="Times New Roman"/>
                <w:szCs w:val="24"/>
              </w:rPr>
              <w:t>180</w:t>
            </w:r>
          </w:p>
        </w:tc>
        <w:tc>
          <w:tcPr>
            <w:tcW w:w="1347" w:type="dxa"/>
            <w:vAlign w:val="center"/>
          </w:tcPr>
          <w:p w14:paraId="5B564D11" w14:textId="77777777" w:rsidR="00EB67B0" w:rsidRPr="0055589E" w:rsidRDefault="000F5B51" w:rsidP="0055589E">
            <w:pPr>
              <w:spacing w:line="240" w:lineRule="auto"/>
              <w:jc w:val="center"/>
              <w:rPr>
                <w:rFonts w:eastAsia="Times New Roman" w:cs="Times New Roman"/>
                <w:szCs w:val="24"/>
              </w:rPr>
            </w:pPr>
            <w:r w:rsidRPr="0055589E">
              <w:rPr>
                <w:rFonts w:eastAsia="Times New Roman" w:cs="Times New Roman"/>
                <w:szCs w:val="24"/>
              </w:rPr>
              <w:t>180</w:t>
            </w:r>
          </w:p>
        </w:tc>
        <w:tc>
          <w:tcPr>
            <w:tcW w:w="1347" w:type="dxa"/>
            <w:vAlign w:val="center"/>
          </w:tcPr>
          <w:p w14:paraId="18D76550" w14:textId="77777777" w:rsidR="00EB67B0" w:rsidRPr="0055589E" w:rsidRDefault="000F5B51" w:rsidP="0055589E">
            <w:pPr>
              <w:spacing w:line="240" w:lineRule="auto"/>
              <w:jc w:val="center"/>
              <w:rPr>
                <w:rFonts w:eastAsia="Times New Roman" w:cs="Times New Roman"/>
                <w:szCs w:val="24"/>
              </w:rPr>
            </w:pPr>
            <w:r w:rsidRPr="0055589E">
              <w:rPr>
                <w:rFonts w:eastAsia="Times New Roman" w:cs="Times New Roman"/>
                <w:szCs w:val="24"/>
              </w:rPr>
              <w:t>180</w:t>
            </w:r>
          </w:p>
        </w:tc>
        <w:tc>
          <w:tcPr>
            <w:tcW w:w="1252" w:type="dxa"/>
            <w:vAlign w:val="center"/>
          </w:tcPr>
          <w:p w14:paraId="1A566344" w14:textId="77777777" w:rsidR="00EB67B0" w:rsidRPr="0055589E" w:rsidRDefault="000F5B51" w:rsidP="0055589E">
            <w:pPr>
              <w:spacing w:line="240" w:lineRule="auto"/>
              <w:jc w:val="center"/>
              <w:rPr>
                <w:rFonts w:eastAsia="Times New Roman" w:cs="Times New Roman"/>
                <w:szCs w:val="24"/>
              </w:rPr>
            </w:pPr>
            <w:r w:rsidRPr="0055589E">
              <w:rPr>
                <w:rFonts w:eastAsia="Times New Roman" w:cs="Times New Roman"/>
                <w:szCs w:val="24"/>
              </w:rPr>
              <w:t>0</w:t>
            </w:r>
          </w:p>
        </w:tc>
        <w:tc>
          <w:tcPr>
            <w:tcW w:w="1252" w:type="dxa"/>
            <w:vAlign w:val="center"/>
          </w:tcPr>
          <w:p w14:paraId="7F2AD9D4" w14:textId="77777777" w:rsidR="00EB67B0" w:rsidRPr="0055589E" w:rsidRDefault="000F5B51" w:rsidP="0055589E">
            <w:pPr>
              <w:spacing w:line="240" w:lineRule="auto"/>
              <w:jc w:val="center"/>
              <w:rPr>
                <w:rFonts w:eastAsia="Times New Roman" w:cs="Times New Roman"/>
                <w:szCs w:val="24"/>
              </w:rPr>
            </w:pPr>
            <w:r w:rsidRPr="0055589E">
              <w:rPr>
                <w:rFonts w:eastAsia="Times New Roman" w:cs="Times New Roman"/>
                <w:szCs w:val="24"/>
              </w:rPr>
              <w:t>1</w:t>
            </w:r>
          </w:p>
        </w:tc>
      </w:tr>
      <w:tr w:rsidR="00A15C2C" w14:paraId="60CBCFD9" w14:textId="77777777" w:rsidTr="0055589E">
        <w:trPr>
          <w:trHeight w:val="232"/>
        </w:trPr>
        <w:tc>
          <w:tcPr>
            <w:tcW w:w="9150" w:type="dxa"/>
            <w:gridSpan w:val="6"/>
            <w:shd w:val="clear" w:color="auto" w:fill="D9D9D9" w:themeFill="background1" w:themeFillShade="D9"/>
            <w:vAlign w:val="center"/>
          </w:tcPr>
          <w:p w14:paraId="7EAA27F5" w14:textId="77777777" w:rsidR="00EB67B0" w:rsidRPr="0055589E" w:rsidRDefault="000F5B51" w:rsidP="00EB67B0">
            <w:pPr>
              <w:spacing w:line="240" w:lineRule="auto"/>
              <w:jc w:val="center"/>
              <w:rPr>
                <w:rFonts w:eastAsia="Times New Roman" w:cs="Times New Roman"/>
                <w:b/>
                <w:bCs/>
                <w:i/>
                <w:iCs/>
                <w:szCs w:val="24"/>
              </w:rPr>
            </w:pPr>
            <w:r w:rsidRPr="0055589E">
              <w:rPr>
                <w:rFonts w:eastAsia="Times New Roman" w:cs="Times New Roman"/>
                <w:b/>
                <w:bCs/>
                <w:i/>
                <w:iCs/>
                <w:szCs w:val="24"/>
              </w:rPr>
              <w:t>Rear Seat Occupants Ages 11+</w:t>
            </w:r>
          </w:p>
        </w:tc>
      </w:tr>
      <w:tr w:rsidR="00A15C2C" w14:paraId="6D2118E6" w14:textId="77777777" w:rsidTr="00834E16">
        <w:trPr>
          <w:trHeight w:val="360"/>
        </w:trPr>
        <w:tc>
          <w:tcPr>
            <w:tcW w:w="2058" w:type="dxa"/>
            <w:vAlign w:val="center"/>
          </w:tcPr>
          <w:p w14:paraId="05F19CC4" w14:textId="77777777" w:rsidR="00EB67B0" w:rsidRPr="0055589E" w:rsidRDefault="000F5B51" w:rsidP="00EB67B0">
            <w:pPr>
              <w:spacing w:line="240" w:lineRule="auto"/>
              <w:rPr>
                <w:rFonts w:eastAsia="Times New Roman" w:cs="Times New Roman"/>
                <w:szCs w:val="24"/>
              </w:rPr>
            </w:pPr>
            <w:r w:rsidRPr="0055589E">
              <w:rPr>
                <w:rFonts w:eastAsia="Times New Roman" w:cs="Times New Roman"/>
                <w:szCs w:val="24"/>
              </w:rPr>
              <w:t>Non-fatal Injuries (MAIS 1-5)</w:t>
            </w:r>
          </w:p>
        </w:tc>
        <w:tc>
          <w:tcPr>
            <w:tcW w:w="1894" w:type="dxa"/>
            <w:vAlign w:val="center"/>
          </w:tcPr>
          <w:p w14:paraId="2117B205" w14:textId="77777777" w:rsidR="00EB67B0" w:rsidRPr="0055589E" w:rsidRDefault="000F5B51" w:rsidP="0055589E">
            <w:pPr>
              <w:spacing w:line="240" w:lineRule="auto"/>
              <w:jc w:val="center"/>
              <w:rPr>
                <w:rFonts w:eastAsia="Times New Roman" w:cs="Times New Roman"/>
                <w:szCs w:val="24"/>
              </w:rPr>
            </w:pPr>
            <w:r w:rsidRPr="0055589E">
              <w:rPr>
                <w:rFonts w:eastAsia="Times New Roman" w:cs="Times New Roman"/>
                <w:szCs w:val="24"/>
              </w:rPr>
              <w:t>3,001</w:t>
            </w:r>
          </w:p>
        </w:tc>
        <w:tc>
          <w:tcPr>
            <w:tcW w:w="1347" w:type="dxa"/>
            <w:vAlign w:val="center"/>
          </w:tcPr>
          <w:p w14:paraId="251520BE" w14:textId="77777777" w:rsidR="00EB67B0" w:rsidRPr="0055589E" w:rsidRDefault="000F5B51" w:rsidP="0055589E">
            <w:pPr>
              <w:spacing w:line="240" w:lineRule="auto"/>
              <w:jc w:val="center"/>
              <w:rPr>
                <w:rFonts w:eastAsia="Times New Roman" w:cs="Times New Roman"/>
                <w:szCs w:val="24"/>
              </w:rPr>
            </w:pPr>
            <w:r w:rsidRPr="0055589E">
              <w:rPr>
                <w:rFonts w:eastAsia="Times New Roman" w:cs="Times New Roman"/>
                <w:szCs w:val="24"/>
              </w:rPr>
              <w:t>3,074</w:t>
            </w:r>
          </w:p>
        </w:tc>
        <w:tc>
          <w:tcPr>
            <w:tcW w:w="1347" w:type="dxa"/>
            <w:vAlign w:val="center"/>
          </w:tcPr>
          <w:p w14:paraId="3695D1F8" w14:textId="77777777" w:rsidR="00EB67B0" w:rsidRPr="0055589E" w:rsidRDefault="000F5B51" w:rsidP="0055589E">
            <w:pPr>
              <w:spacing w:line="240" w:lineRule="auto"/>
              <w:jc w:val="center"/>
              <w:rPr>
                <w:rFonts w:eastAsia="Times New Roman" w:cs="Times New Roman"/>
                <w:szCs w:val="24"/>
              </w:rPr>
            </w:pPr>
            <w:r w:rsidRPr="0055589E">
              <w:rPr>
                <w:rFonts w:eastAsia="Times New Roman" w:cs="Times New Roman"/>
                <w:szCs w:val="24"/>
              </w:rPr>
              <w:t>3,111</w:t>
            </w:r>
          </w:p>
        </w:tc>
        <w:tc>
          <w:tcPr>
            <w:tcW w:w="1252" w:type="dxa"/>
            <w:vAlign w:val="center"/>
          </w:tcPr>
          <w:p w14:paraId="2CA4F2BC" w14:textId="77777777" w:rsidR="00EB67B0" w:rsidRPr="0055589E" w:rsidRDefault="000F5B51" w:rsidP="0055589E">
            <w:pPr>
              <w:spacing w:line="240" w:lineRule="auto"/>
              <w:jc w:val="center"/>
              <w:rPr>
                <w:rFonts w:eastAsia="Times New Roman" w:cs="Times New Roman"/>
                <w:szCs w:val="24"/>
              </w:rPr>
            </w:pPr>
            <w:r w:rsidRPr="0055589E">
              <w:rPr>
                <w:rFonts w:eastAsia="Times New Roman" w:cs="Times New Roman"/>
                <w:szCs w:val="24"/>
              </w:rPr>
              <w:t>7</w:t>
            </w:r>
            <w:r w:rsidR="00A83449" w:rsidRPr="0055589E">
              <w:rPr>
                <w:rFonts w:eastAsia="Times New Roman" w:cs="Times New Roman"/>
                <w:szCs w:val="24"/>
              </w:rPr>
              <w:t>4</w:t>
            </w:r>
          </w:p>
        </w:tc>
        <w:tc>
          <w:tcPr>
            <w:tcW w:w="1252" w:type="dxa"/>
            <w:vAlign w:val="center"/>
          </w:tcPr>
          <w:p w14:paraId="4F00CF64" w14:textId="77777777" w:rsidR="00EB67B0" w:rsidRPr="0055589E" w:rsidRDefault="000F5B51" w:rsidP="0055589E">
            <w:pPr>
              <w:spacing w:line="240" w:lineRule="auto"/>
              <w:jc w:val="center"/>
              <w:rPr>
                <w:rFonts w:eastAsia="Times New Roman" w:cs="Times New Roman"/>
                <w:szCs w:val="24"/>
              </w:rPr>
            </w:pPr>
            <w:r w:rsidRPr="0055589E">
              <w:rPr>
                <w:rFonts w:eastAsia="Times New Roman" w:cs="Times New Roman"/>
                <w:szCs w:val="24"/>
              </w:rPr>
              <w:t>110</w:t>
            </w:r>
          </w:p>
        </w:tc>
      </w:tr>
      <w:tr w:rsidR="00A15C2C" w14:paraId="0AD60CCA" w14:textId="77777777" w:rsidTr="00834E16">
        <w:trPr>
          <w:trHeight w:val="360"/>
        </w:trPr>
        <w:tc>
          <w:tcPr>
            <w:tcW w:w="2058" w:type="dxa"/>
            <w:vAlign w:val="center"/>
          </w:tcPr>
          <w:p w14:paraId="29C52D23" w14:textId="77777777" w:rsidR="00EB67B0" w:rsidRPr="0055589E" w:rsidRDefault="000F5B51" w:rsidP="00EB67B0">
            <w:pPr>
              <w:spacing w:line="240" w:lineRule="auto"/>
              <w:rPr>
                <w:rFonts w:eastAsia="Times New Roman" w:cs="Times New Roman"/>
                <w:szCs w:val="24"/>
              </w:rPr>
            </w:pPr>
            <w:r w:rsidRPr="0055589E">
              <w:rPr>
                <w:rFonts w:eastAsia="Times New Roman" w:cs="Times New Roman"/>
                <w:szCs w:val="24"/>
              </w:rPr>
              <w:t>Fatalities</w:t>
            </w:r>
          </w:p>
        </w:tc>
        <w:tc>
          <w:tcPr>
            <w:tcW w:w="1894" w:type="dxa"/>
            <w:vAlign w:val="center"/>
          </w:tcPr>
          <w:p w14:paraId="0C615BAE" w14:textId="77777777" w:rsidR="00EB67B0" w:rsidRPr="0055589E" w:rsidRDefault="000F5B51" w:rsidP="0055589E">
            <w:pPr>
              <w:spacing w:line="240" w:lineRule="auto"/>
              <w:jc w:val="center"/>
              <w:rPr>
                <w:rFonts w:eastAsia="Times New Roman" w:cs="Times New Roman"/>
                <w:szCs w:val="24"/>
              </w:rPr>
            </w:pPr>
            <w:r w:rsidRPr="0055589E">
              <w:rPr>
                <w:rFonts w:eastAsia="Times New Roman" w:cs="Times New Roman"/>
                <w:szCs w:val="24"/>
              </w:rPr>
              <w:t>624</w:t>
            </w:r>
          </w:p>
        </w:tc>
        <w:tc>
          <w:tcPr>
            <w:tcW w:w="1347" w:type="dxa"/>
            <w:vAlign w:val="center"/>
          </w:tcPr>
          <w:p w14:paraId="0E06CC06" w14:textId="77777777" w:rsidR="00EB67B0" w:rsidRPr="0055589E" w:rsidRDefault="000F5B51" w:rsidP="0055589E">
            <w:pPr>
              <w:spacing w:line="240" w:lineRule="auto"/>
              <w:jc w:val="center"/>
              <w:rPr>
                <w:rFonts w:eastAsia="Times New Roman" w:cs="Times New Roman"/>
                <w:szCs w:val="24"/>
              </w:rPr>
            </w:pPr>
            <w:r w:rsidRPr="0055589E">
              <w:rPr>
                <w:rFonts w:eastAsia="Times New Roman" w:cs="Times New Roman"/>
                <w:szCs w:val="24"/>
              </w:rPr>
              <w:t>646</w:t>
            </w:r>
          </w:p>
        </w:tc>
        <w:tc>
          <w:tcPr>
            <w:tcW w:w="1347" w:type="dxa"/>
            <w:vAlign w:val="center"/>
          </w:tcPr>
          <w:p w14:paraId="35CDC34B" w14:textId="77777777" w:rsidR="00EB67B0" w:rsidRPr="0055589E" w:rsidRDefault="000F5B51" w:rsidP="0055589E">
            <w:pPr>
              <w:spacing w:line="240" w:lineRule="auto"/>
              <w:jc w:val="center"/>
              <w:rPr>
                <w:rFonts w:eastAsia="Times New Roman" w:cs="Times New Roman"/>
                <w:szCs w:val="24"/>
              </w:rPr>
            </w:pPr>
            <w:r w:rsidRPr="0055589E">
              <w:rPr>
                <w:rFonts w:eastAsia="Times New Roman" w:cs="Times New Roman"/>
                <w:szCs w:val="24"/>
              </w:rPr>
              <w:t>657</w:t>
            </w:r>
          </w:p>
        </w:tc>
        <w:tc>
          <w:tcPr>
            <w:tcW w:w="1252" w:type="dxa"/>
            <w:vAlign w:val="center"/>
          </w:tcPr>
          <w:p w14:paraId="31C9E82B" w14:textId="77777777" w:rsidR="00EB67B0" w:rsidRPr="0055589E" w:rsidRDefault="000F5B51" w:rsidP="0055589E">
            <w:pPr>
              <w:spacing w:line="240" w:lineRule="auto"/>
              <w:jc w:val="center"/>
              <w:rPr>
                <w:rFonts w:eastAsia="Times New Roman" w:cs="Times New Roman"/>
                <w:szCs w:val="24"/>
              </w:rPr>
            </w:pPr>
            <w:r w:rsidRPr="0055589E">
              <w:rPr>
                <w:rFonts w:eastAsia="Times New Roman" w:cs="Times New Roman"/>
                <w:szCs w:val="24"/>
              </w:rPr>
              <w:t>22</w:t>
            </w:r>
          </w:p>
        </w:tc>
        <w:tc>
          <w:tcPr>
            <w:tcW w:w="1252" w:type="dxa"/>
            <w:vAlign w:val="center"/>
          </w:tcPr>
          <w:p w14:paraId="29DC7DE2" w14:textId="77777777" w:rsidR="00EB67B0" w:rsidRPr="0055589E" w:rsidRDefault="000F5B51" w:rsidP="0055589E">
            <w:pPr>
              <w:spacing w:line="240" w:lineRule="auto"/>
              <w:jc w:val="center"/>
              <w:rPr>
                <w:rFonts w:eastAsia="Times New Roman" w:cs="Times New Roman"/>
                <w:szCs w:val="24"/>
              </w:rPr>
            </w:pPr>
            <w:r w:rsidRPr="0055589E">
              <w:rPr>
                <w:rFonts w:eastAsia="Times New Roman" w:cs="Times New Roman"/>
                <w:szCs w:val="24"/>
              </w:rPr>
              <w:t>33</w:t>
            </w:r>
          </w:p>
        </w:tc>
      </w:tr>
      <w:tr w:rsidR="00A15C2C" w14:paraId="57181282" w14:textId="77777777" w:rsidTr="0055589E">
        <w:trPr>
          <w:trHeight w:val="232"/>
        </w:trPr>
        <w:tc>
          <w:tcPr>
            <w:tcW w:w="9150" w:type="dxa"/>
            <w:gridSpan w:val="6"/>
            <w:shd w:val="clear" w:color="auto" w:fill="D9D9D9" w:themeFill="background1" w:themeFillShade="D9"/>
            <w:vAlign w:val="center"/>
          </w:tcPr>
          <w:p w14:paraId="50B55203" w14:textId="77777777" w:rsidR="00EB67B0" w:rsidRPr="0055589E" w:rsidRDefault="000F5B51" w:rsidP="00EB67B0">
            <w:pPr>
              <w:spacing w:line="240" w:lineRule="auto"/>
              <w:jc w:val="center"/>
              <w:rPr>
                <w:rFonts w:eastAsia="Times New Roman" w:cs="Times New Roman"/>
                <w:b/>
                <w:bCs/>
                <w:i/>
                <w:iCs/>
                <w:szCs w:val="24"/>
              </w:rPr>
            </w:pPr>
            <w:r>
              <w:rPr>
                <w:rFonts w:eastAsia="Times New Roman" w:cs="Times New Roman"/>
                <w:b/>
                <w:bCs/>
                <w:i/>
                <w:iCs/>
                <w:szCs w:val="24"/>
              </w:rPr>
              <w:t>All Rear Seat Occupants</w:t>
            </w:r>
          </w:p>
        </w:tc>
      </w:tr>
      <w:tr w:rsidR="00A15C2C" w14:paraId="3660A678" w14:textId="77777777" w:rsidTr="00834E16">
        <w:trPr>
          <w:trHeight w:val="360"/>
        </w:trPr>
        <w:tc>
          <w:tcPr>
            <w:tcW w:w="2058" w:type="dxa"/>
            <w:vAlign w:val="center"/>
          </w:tcPr>
          <w:p w14:paraId="518AE1C3" w14:textId="77777777" w:rsidR="00EB67B0" w:rsidRPr="0055589E" w:rsidRDefault="000F5B51" w:rsidP="00EB67B0">
            <w:pPr>
              <w:spacing w:line="240" w:lineRule="auto"/>
              <w:rPr>
                <w:rFonts w:eastAsia="Times New Roman" w:cs="Times New Roman"/>
                <w:szCs w:val="24"/>
              </w:rPr>
            </w:pPr>
            <w:r w:rsidRPr="0055589E">
              <w:rPr>
                <w:rFonts w:eastAsia="Times New Roman" w:cs="Times New Roman"/>
                <w:szCs w:val="24"/>
              </w:rPr>
              <w:t>Non-fatal Injuries (MAIS 1-5)</w:t>
            </w:r>
          </w:p>
        </w:tc>
        <w:tc>
          <w:tcPr>
            <w:tcW w:w="1894" w:type="dxa"/>
            <w:vAlign w:val="center"/>
          </w:tcPr>
          <w:p w14:paraId="5803DC31" w14:textId="77777777" w:rsidR="00EB67B0" w:rsidRPr="0055589E" w:rsidRDefault="000F5B51" w:rsidP="0055589E">
            <w:pPr>
              <w:spacing w:line="240" w:lineRule="auto"/>
              <w:jc w:val="center"/>
              <w:rPr>
                <w:rFonts w:eastAsia="Times New Roman" w:cs="Times New Roman"/>
                <w:szCs w:val="24"/>
              </w:rPr>
            </w:pPr>
            <w:r w:rsidRPr="0055589E">
              <w:rPr>
                <w:rFonts w:eastAsia="Times New Roman" w:cs="Times New Roman"/>
                <w:szCs w:val="24"/>
              </w:rPr>
              <w:t>3,854</w:t>
            </w:r>
          </w:p>
        </w:tc>
        <w:tc>
          <w:tcPr>
            <w:tcW w:w="1347" w:type="dxa"/>
            <w:vAlign w:val="center"/>
          </w:tcPr>
          <w:p w14:paraId="2723224A" w14:textId="77777777" w:rsidR="00EB67B0" w:rsidRPr="0055589E" w:rsidRDefault="000F5B51" w:rsidP="0055589E">
            <w:pPr>
              <w:spacing w:line="240" w:lineRule="auto"/>
              <w:jc w:val="center"/>
              <w:rPr>
                <w:rFonts w:eastAsia="Times New Roman" w:cs="Times New Roman"/>
                <w:szCs w:val="24"/>
              </w:rPr>
            </w:pPr>
            <w:r w:rsidRPr="0055589E">
              <w:rPr>
                <w:rFonts w:eastAsia="Times New Roman" w:cs="Times New Roman"/>
                <w:szCs w:val="24"/>
              </w:rPr>
              <w:t>3,928</w:t>
            </w:r>
          </w:p>
        </w:tc>
        <w:tc>
          <w:tcPr>
            <w:tcW w:w="1347" w:type="dxa"/>
            <w:vAlign w:val="center"/>
          </w:tcPr>
          <w:p w14:paraId="09E7263C" w14:textId="77777777" w:rsidR="00EB67B0" w:rsidRPr="0055589E" w:rsidRDefault="000F5B51" w:rsidP="0055589E">
            <w:pPr>
              <w:spacing w:line="240" w:lineRule="auto"/>
              <w:jc w:val="center"/>
              <w:rPr>
                <w:rFonts w:eastAsia="Times New Roman" w:cs="Times New Roman"/>
                <w:szCs w:val="24"/>
              </w:rPr>
            </w:pPr>
            <w:r w:rsidRPr="0055589E">
              <w:rPr>
                <w:rFonts w:eastAsia="Times New Roman" w:cs="Times New Roman"/>
                <w:szCs w:val="24"/>
              </w:rPr>
              <w:t>3,966</w:t>
            </w:r>
          </w:p>
        </w:tc>
        <w:tc>
          <w:tcPr>
            <w:tcW w:w="1252" w:type="dxa"/>
            <w:vAlign w:val="center"/>
          </w:tcPr>
          <w:p w14:paraId="03B28BDD" w14:textId="77777777" w:rsidR="00EB67B0" w:rsidRPr="0055589E" w:rsidRDefault="000F5B51" w:rsidP="0055589E">
            <w:pPr>
              <w:spacing w:line="240" w:lineRule="auto"/>
              <w:jc w:val="center"/>
              <w:rPr>
                <w:rFonts w:eastAsia="Times New Roman" w:cs="Times New Roman"/>
                <w:szCs w:val="24"/>
              </w:rPr>
            </w:pPr>
            <w:r w:rsidRPr="0055589E">
              <w:rPr>
                <w:rFonts w:eastAsia="Times New Roman" w:cs="Times New Roman"/>
                <w:szCs w:val="24"/>
              </w:rPr>
              <w:t>7</w:t>
            </w:r>
            <w:r w:rsidR="002F7B10" w:rsidRPr="0055589E">
              <w:rPr>
                <w:rFonts w:eastAsia="Times New Roman" w:cs="Times New Roman"/>
                <w:szCs w:val="24"/>
              </w:rPr>
              <w:t>5</w:t>
            </w:r>
          </w:p>
        </w:tc>
        <w:tc>
          <w:tcPr>
            <w:tcW w:w="1252" w:type="dxa"/>
            <w:vAlign w:val="center"/>
          </w:tcPr>
          <w:p w14:paraId="73AC5C5F" w14:textId="77777777" w:rsidR="00EB67B0" w:rsidRPr="0055589E" w:rsidRDefault="000F5B51" w:rsidP="0055589E">
            <w:pPr>
              <w:spacing w:line="240" w:lineRule="auto"/>
              <w:jc w:val="center"/>
              <w:rPr>
                <w:rFonts w:eastAsia="Times New Roman" w:cs="Times New Roman"/>
                <w:szCs w:val="24"/>
              </w:rPr>
            </w:pPr>
            <w:r w:rsidRPr="0055589E">
              <w:rPr>
                <w:rFonts w:eastAsia="Times New Roman" w:cs="Times New Roman"/>
                <w:szCs w:val="24"/>
              </w:rPr>
              <w:t>112</w:t>
            </w:r>
          </w:p>
        </w:tc>
      </w:tr>
      <w:tr w:rsidR="00A15C2C" w14:paraId="00F94A16" w14:textId="77777777" w:rsidTr="00834E16">
        <w:trPr>
          <w:trHeight w:val="360"/>
        </w:trPr>
        <w:tc>
          <w:tcPr>
            <w:tcW w:w="2058" w:type="dxa"/>
            <w:vAlign w:val="center"/>
          </w:tcPr>
          <w:p w14:paraId="34DF0A1C" w14:textId="77777777" w:rsidR="00EB67B0" w:rsidRPr="0055589E" w:rsidRDefault="000F5B51" w:rsidP="00EB67B0">
            <w:pPr>
              <w:spacing w:line="240" w:lineRule="auto"/>
              <w:rPr>
                <w:rFonts w:eastAsia="Times New Roman" w:cs="Times New Roman"/>
                <w:szCs w:val="24"/>
              </w:rPr>
            </w:pPr>
            <w:r w:rsidRPr="0055589E">
              <w:rPr>
                <w:rFonts w:eastAsia="Times New Roman" w:cs="Times New Roman"/>
                <w:szCs w:val="24"/>
              </w:rPr>
              <w:t>Fatalities</w:t>
            </w:r>
          </w:p>
        </w:tc>
        <w:tc>
          <w:tcPr>
            <w:tcW w:w="1894" w:type="dxa"/>
            <w:vAlign w:val="center"/>
          </w:tcPr>
          <w:p w14:paraId="6B9396B5" w14:textId="77777777" w:rsidR="00EB67B0" w:rsidRPr="0055589E" w:rsidRDefault="000F5B51" w:rsidP="0055589E">
            <w:pPr>
              <w:spacing w:line="240" w:lineRule="auto"/>
              <w:jc w:val="center"/>
              <w:rPr>
                <w:rFonts w:eastAsia="Times New Roman" w:cs="Times New Roman"/>
                <w:szCs w:val="24"/>
              </w:rPr>
            </w:pPr>
            <w:r w:rsidRPr="0055589E">
              <w:rPr>
                <w:rFonts w:eastAsia="Times New Roman" w:cs="Times New Roman"/>
                <w:szCs w:val="24"/>
              </w:rPr>
              <w:t>804</w:t>
            </w:r>
          </w:p>
        </w:tc>
        <w:tc>
          <w:tcPr>
            <w:tcW w:w="1347" w:type="dxa"/>
            <w:vAlign w:val="center"/>
          </w:tcPr>
          <w:p w14:paraId="180982FC" w14:textId="77777777" w:rsidR="00EB67B0" w:rsidRPr="0055589E" w:rsidRDefault="000F5B51" w:rsidP="0055589E">
            <w:pPr>
              <w:spacing w:line="240" w:lineRule="auto"/>
              <w:jc w:val="center"/>
              <w:rPr>
                <w:rFonts w:eastAsia="Times New Roman" w:cs="Times New Roman"/>
                <w:szCs w:val="24"/>
              </w:rPr>
            </w:pPr>
            <w:r w:rsidRPr="0055589E">
              <w:rPr>
                <w:rFonts w:eastAsia="Times New Roman" w:cs="Times New Roman"/>
                <w:szCs w:val="24"/>
              </w:rPr>
              <w:t>826</w:t>
            </w:r>
          </w:p>
        </w:tc>
        <w:tc>
          <w:tcPr>
            <w:tcW w:w="1347" w:type="dxa"/>
            <w:vAlign w:val="center"/>
          </w:tcPr>
          <w:p w14:paraId="3FF2C04F" w14:textId="77777777" w:rsidR="00EB67B0" w:rsidRPr="0055589E" w:rsidRDefault="000F5B51" w:rsidP="0055589E">
            <w:pPr>
              <w:spacing w:line="240" w:lineRule="auto"/>
              <w:jc w:val="center"/>
              <w:rPr>
                <w:rFonts w:eastAsia="Times New Roman" w:cs="Times New Roman"/>
                <w:szCs w:val="24"/>
              </w:rPr>
            </w:pPr>
            <w:r w:rsidRPr="0055589E">
              <w:rPr>
                <w:rFonts w:eastAsia="Times New Roman" w:cs="Times New Roman"/>
                <w:szCs w:val="24"/>
              </w:rPr>
              <w:t>837</w:t>
            </w:r>
          </w:p>
        </w:tc>
        <w:tc>
          <w:tcPr>
            <w:tcW w:w="1252" w:type="dxa"/>
            <w:vAlign w:val="center"/>
          </w:tcPr>
          <w:p w14:paraId="5EC86A78" w14:textId="77777777" w:rsidR="00EB67B0" w:rsidRPr="0055589E" w:rsidRDefault="000F5B51" w:rsidP="0055589E">
            <w:pPr>
              <w:spacing w:line="240" w:lineRule="auto"/>
              <w:jc w:val="center"/>
              <w:rPr>
                <w:rFonts w:eastAsia="Times New Roman" w:cs="Times New Roman"/>
                <w:szCs w:val="24"/>
              </w:rPr>
            </w:pPr>
            <w:r w:rsidRPr="0055589E">
              <w:rPr>
                <w:rFonts w:eastAsia="Times New Roman" w:cs="Times New Roman"/>
                <w:szCs w:val="24"/>
              </w:rPr>
              <w:t>22</w:t>
            </w:r>
          </w:p>
        </w:tc>
        <w:tc>
          <w:tcPr>
            <w:tcW w:w="1252" w:type="dxa"/>
            <w:vAlign w:val="center"/>
          </w:tcPr>
          <w:p w14:paraId="49A95A48" w14:textId="77777777" w:rsidR="00EB67B0" w:rsidRPr="0055589E" w:rsidRDefault="000F5B51" w:rsidP="0055589E">
            <w:pPr>
              <w:spacing w:line="240" w:lineRule="auto"/>
              <w:jc w:val="center"/>
              <w:rPr>
                <w:rFonts w:eastAsia="Times New Roman" w:cs="Times New Roman"/>
                <w:szCs w:val="24"/>
              </w:rPr>
            </w:pPr>
            <w:r w:rsidRPr="0055589E">
              <w:rPr>
                <w:rFonts w:eastAsia="Times New Roman" w:cs="Times New Roman"/>
                <w:szCs w:val="24"/>
              </w:rPr>
              <w:t>3</w:t>
            </w:r>
            <w:r w:rsidR="002F7B10" w:rsidRPr="0055589E">
              <w:rPr>
                <w:rFonts w:eastAsia="Times New Roman" w:cs="Times New Roman"/>
                <w:szCs w:val="24"/>
              </w:rPr>
              <w:t>4</w:t>
            </w:r>
          </w:p>
        </w:tc>
      </w:tr>
    </w:tbl>
    <w:p w14:paraId="769BDDDE" w14:textId="77777777" w:rsidR="00AC1B9B" w:rsidRDefault="000F5B51" w:rsidP="0039660E">
      <w:pPr>
        <w:pStyle w:val="NoSpaceTimes"/>
        <w:jc w:val="left"/>
        <w:rPr>
          <w:sz w:val="18"/>
          <w:szCs w:val="18"/>
        </w:rPr>
      </w:pPr>
      <w:bookmarkStart w:id="237" w:name="_Toc88877436"/>
      <w:bookmarkStart w:id="238" w:name="_Toc89034762"/>
      <w:bookmarkStart w:id="239" w:name="_Toc89035316"/>
      <w:bookmarkStart w:id="240" w:name="_Toc89035682"/>
      <w:bookmarkStart w:id="241" w:name="_Toc89035884"/>
      <w:bookmarkStart w:id="242" w:name="_Toc88877437"/>
      <w:bookmarkStart w:id="243" w:name="_Toc89034763"/>
      <w:bookmarkStart w:id="244" w:name="_Toc89035317"/>
      <w:bookmarkStart w:id="245" w:name="_Toc89035683"/>
      <w:bookmarkStart w:id="246" w:name="_Toc89035885"/>
      <w:bookmarkStart w:id="247" w:name="_Toc88877438"/>
      <w:bookmarkStart w:id="248" w:name="_Toc89034764"/>
      <w:bookmarkStart w:id="249" w:name="_Toc89035318"/>
      <w:bookmarkStart w:id="250" w:name="_Toc89035684"/>
      <w:bookmarkStart w:id="251" w:name="_Toc89035886"/>
      <w:bookmarkStart w:id="252" w:name="_Toc88877439"/>
      <w:bookmarkStart w:id="253" w:name="_Toc89034765"/>
      <w:bookmarkStart w:id="254" w:name="_Toc89035319"/>
      <w:bookmarkStart w:id="255" w:name="_Toc89035685"/>
      <w:bookmarkStart w:id="256" w:name="_Toc89035887"/>
      <w:bookmarkStart w:id="257" w:name="_Toc88877440"/>
      <w:bookmarkStart w:id="258" w:name="_Toc89034766"/>
      <w:bookmarkStart w:id="259" w:name="_Toc89035320"/>
      <w:bookmarkStart w:id="260" w:name="_Toc89035686"/>
      <w:bookmarkStart w:id="261" w:name="_Toc89035888"/>
      <w:bookmarkStart w:id="262" w:name="_Toc88877442"/>
      <w:bookmarkStart w:id="263" w:name="_Toc89034768"/>
      <w:bookmarkStart w:id="264" w:name="_Toc89035322"/>
      <w:bookmarkStart w:id="265" w:name="_Toc89035688"/>
      <w:bookmarkStart w:id="266" w:name="_Toc89035890"/>
      <w:bookmarkStart w:id="267" w:name="_Toc88877443"/>
      <w:bookmarkStart w:id="268" w:name="_Toc89034769"/>
      <w:bookmarkStart w:id="269" w:name="_Toc89035323"/>
      <w:bookmarkStart w:id="270" w:name="_Toc89035689"/>
      <w:bookmarkStart w:id="271" w:name="_Toc89035891"/>
      <w:bookmarkStart w:id="272" w:name="_Toc88877444"/>
      <w:bookmarkStart w:id="273" w:name="_Toc89034770"/>
      <w:bookmarkStart w:id="274" w:name="_Toc89035324"/>
      <w:bookmarkStart w:id="275" w:name="_Toc89035690"/>
      <w:bookmarkStart w:id="276" w:name="_Toc89035892"/>
      <w:bookmarkStart w:id="277" w:name="_Toc88877445"/>
      <w:bookmarkStart w:id="278" w:name="_Toc89034771"/>
      <w:bookmarkStart w:id="279" w:name="_Toc89035325"/>
      <w:bookmarkStart w:id="280" w:name="_Toc89035691"/>
      <w:bookmarkStart w:id="281" w:name="_Toc89035893"/>
      <w:bookmarkStart w:id="282" w:name="_Toc88877446"/>
      <w:bookmarkStart w:id="283" w:name="_Toc89034772"/>
      <w:bookmarkStart w:id="284" w:name="_Toc89035326"/>
      <w:bookmarkStart w:id="285" w:name="_Toc89035692"/>
      <w:bookmarkStart w:id="286" w:name="_Toc89035894"/>
      <w:bookmarkStart w:id="287" w:name="_Toc88877447"/>
      <w:bookmarkStart w:id="288" w:name="_Toc89034773"/>
      <w:bookmarkStart w:id="289" w:name="_Toc89035327"/>
      <w:bookmarkStart w:id="290" w:name="_Toc89035693"/>
      <w:bookmarkStart w:id="291" w:name="_Toc89035895"/>
      <w:bookmarkStart w:id="292" w:name="_Toc88877448"/>
      <w:bookmarkStart w:id="293" w:name="_Toc89034774"/>
      <w:bookmarkStart w:id="294" w:name="_Toc89035328"/>
      <w:bookmarkStart w:id="295" w:name="_Toc89035694"/>
      <w:bookmarkStart w:id="296" w:name="_Toc89035896"/>
      <w:bookmarkStart w:id="297" w:name="_Toc88877449"/>
      <w:bookmarkStart w:id="298" w:name="_Toc89034775"/>
      <w:bookmarkStart w:id="299" w:name="_Toc89035329"/>
      <w:bookmarkStart w:id="300" w:name="_Toc89035695"/>
      <w:bookmarkStart w:id="301" w:name="_Toc89035897"/>
      <w:bookmarkStart w:id="302" w:name="_Toc88877451"/>
      <w:bookmarkStart w:id="303" w:name="_Toc89034777"/>
      <w:bookmarkStart w:id="304" w:name="_Toc89035331"/>
      <w:bookmarkStart w:id="305" w:name="_Toc89035697"/>
      <w:bookmarkStart w:id="306" w:name="_Toc89035899"/>
      <w:bookmarkStart w:id="307" w:name="_Toc88877452"/>
      <w:bookmarkStart w:id="308" w:name="_Toc89034778"/>
      <w:bookmarkStart w:id="309" w:name="_Toc89035332"/>
      <w:bookmarkStart w:id="310" w:name="_Toc89035698"/>
      <w:bookmarkStart w:id="311" w:name="_Toc89035900"/>
      <w:bookmarkStart w:id="312" w:name="_Toc88877453"/>
      <w:bookmarkStart w:id="313" w:name="_Toc89034779"/>
      <w:bookmarkStart w:id="314" w:name="_Toc89035333"/>
      <w:bookmarkStart w:id="315" w:name="_Toc89035699"/>
      <w:bookmarkStart w:id="316" w:name="_Toc89035901"/>
      <w:bookmarkStart w:id="317" w:name="_Toc88877454"/>
      <w:bookmarkStart w:id="318" w:name="_Toc89034780"/>
      <w:bookmarkStart w:id="319" w:name="_Toc89035334"/>
      <w:bookmarkStart w:id="320" w:name="_Toc89035700"/>
      <w:bookmarkStart w:id="321" w:name="_Toc89035902"/>
      <w:bookmarkStart w:id="322" w:name="_Toc88877455"/>
      <w:bookmarkStart w:id="323" w:name="_Toc89034781"/>
      <w:bookmarkStart w:id="324" w:name="_Toc89035335"/>
      <w:bookmarkStart w:id="325" w:name="_Toc89035701"/>
      <w:bookmarkStart w:id="326" w:name="_Toc89035903"/>
      <w:bookmarkStart w:id="327" w:name="_Toc88877456"/>
      <w:bookmarkStart w:id="328" w:name="_Toc89034782"/>
      <w:bookmarkStart w:id="329" w:name="_Toc89035336"/>
      <w:bookmarkStart w:id="330" w:name="_Toc89035702"/>
      <w:bookmarkStart w:id="331" w:name="_Toc89035904"/>
      <w:bookmarkStart w:id="332" w:name="_Toc88877457"/>
      <w:bookmarkStart w:id="333" w:name="_Toc89034783"/>
      <w:bookmarkStart w:id="334" w:name="_Toc89035337"/>
      <w:bookmarkStart w:id="335" w:name="_Toc89035703"/>
      <w:bookmarkStart w:id="336" w:name="_Toc89035905"/>
      <w:bookmarkStart w:id="337" w:name="_Toc88877458"/>
      <w:bookmarkStart w:id="338" w:name="_Toc89034784"/>
      <w:bookmarkStart w:id="339" w:name="_Toc89035338"/>
      <w:bookmarkStart w:id="340" w:name="_Toc89035704"/>
      <w:bookmarkStart w:id="341" w:name="_Toc89035906"/>
      <w:bookmarkStart w:id="342" w:name="_Toc88877460"/>
      <w:bookmarkStart w:id="343" w:name="_Toc89034786"/>
      <w:bookmarkStart w:id="344" w:name="_Toc89035340"/>
      <w:bookmarkStart w:id="345" w:name="_Toc89035706"/>
      <w:bookmarkStart w:id="346" w:name="_Toc89035908"/>
      <w:bookmarkStart w:id="347" w:name="_Toc88877461"/>
      <w:bookmarkStart w:id="348" w:name="_Toc89034787"/>
      <w:bookmarkStart w:id="349" w:name="_Toc89035341"/>
      <w:bookmarkStart w:id="350" w:name="_Toc89035707"/>
      <w:bookmarkStart w:id="351" w:name="_Toc89035909"/>
      <w:bookmarkStart w:id="352" w:name="_Toc88877462"/>
      <w:bookmarkStart w:id="353" w:name="_Toc89034788"/>
      <w:bookmarkStart w:id="354" w:name="_Toc89035342"/>
      <w:bookmarkStart w:id="355" w:name="_Toc89035708"/>
      <w:bookmarkStart w:id="356" w:name="_Toc89035910"/>
      <w:bookmarkStart w:id="357" w:name="_Toc88877463"/>
      <w:bookmarkStart w:id="358" w:name="_Toc89034789"/>
      <w:bookmarkStart w:id="359" w:name="_Toc89035343"/>
      <w:bookmarkStart w:id="360" w:name="_Toc89035709"/>
      <w:bookmarkStart w:id="361" w:name="_Toc89035911"/>
      <w:bookmarkStart w:id="362" w:name="_Toc88877464"/>
      <w:bookmarkStart w:id="363" w:name="_Toc89034790"/>
      <w:bookmarkStart w:id="364" w:name="_Toc89035344"/>
      <w:bookmarkStart w:id="365" w:name="_Toc89035710"/>
      <w:bookmarkStart w:id="366" w:name="_Toc89035912"/>
      <w:bookmarkStart w:id="367" w:name="_Toc88877465"/>
      <w:bookmarkStart w:id="368" w:name="_Toc89034791"/>
      <w:bookmarkStart w:id="369" w:name="_Toc89035345"/>
      <w:bookmarkStart w:id="370" w:name="_Toc89035711"/>
      <w:bookmarkStart w:id="371" w:name="_Toc89035913"/>
      <w:bookmarkStart w:id="372" w:name="_Toc88877466"/>
      <w:bookmarkStart w:id="373" w:name="_Toc89034792"/>
      <w:bookmarkStart w:id="374" w:name="_Toc89035346"/>
      <w:bookmarkStart w:id="375" w:name="_Toc89035712"/>
      <w:bookmarkStart w:id="376" w:name="_Toc89035914"/>
      <w:bookmarkStart w:id="377" w:name="_Toc88877467"/>
      <w:bookmarkStart w:id="378" w:name="_Toc89034793"/>
      <w:bookmarkStart w:id="379" w:name="_Toc89035347"/>
      <w:bookmarkStart w:id="380" w:name="_Toc89035713"/>
      <w:bookmarkStart w:id="381" w:name="_Toc89035915"/>
      <w:bookmarkStart w:id="382" w:name="_Toc88877469"/>
      <w:bookmarkStart w:id="383" w:name="_Toc89034795"/>
      <w:bookmarkStart w:id="384" w:name="_Toc89035349"/>
      <w:bookmarkStart w:id="385" w:name="_Toc89035715"/>
      <w:bookmarkStart w:id="386" w:name="_Toc89035917"/>
      <w:bookmarkStart w:id="387" w:name="_Toc88877470"/>
      <w:bookmarkStart w:id="388" w:name="_Toc89034796"/>
      <w:bookmarkStart w:id="389" w:name="_Toc89035350"/>
      <w:bookmarkStart w:id="390" w:name="_Toc89035716"/>
      <w:bookmarkStart w:id="391" w:name="_Toc89035918"/>
      <w:bookmarkStart w:id="392" w:name="_Toc88877471"/>
      <w:bookmarkStart w:id="393" w:name="_Toc89034797"/>
      <w:bookmarkStart w:id="394" w:name="_Toc89035351"/>
      <w:bookmarkStart w:id="395" w:name="_Toc89035717"/>
      <w:bookmarkStart w:id="396" w:name="_Toc89035919"/>
      <w:bookmarkStart w:id="397" w:name="_Toc88877472"/>
      <w:bookmarkStart w:id="398" w:name="_Toc89034798"/>
      <w:bookmarkStart w:id="399" w:name="_Toc89035352"/>
      <w:bookmarkStart w:id="400" w:name="_Toc89035718"/>
      <w:bookmarkStart w:id="401" w:name="_Toc89035920"/>
      <w:bookmarkStart w:id="402" w:name="_Toc88877473"/>
      <w:bookmarkStart w:id="403" w:name="_Toc89034799"/>
      <w:bookmarkStart w:id="404" w:name="_Toc89035353"/>
      <w:bookmarkStart w:id="405" w:name="_Toc89035719"/>
      <w:bookmarkStart w:id="406" w:name="_Toc89035921"/>
      <w:bookmarkStart w:id="407" w:name="_Toc88877474"/>
      <w:bookmarkStart w:id="408" w:name="_Toc89034800"/>
      <w:bookmarkStart w:id="409" w:name="_Toc89035354"/>
      <w:bookmarkStart w:id="410" w:name="_Toc89035720"/>
      <w:bookmarkStart w:id="411" w:name="_Toc89035922"/>
      <w:bookmarkStart w:id="412" w:name="_Toc88877475"/>
      <w:bookmarkStart w:id="413" w:name="_Toc89034801"/>
      <w:bookmarkStart w:id="414" w:name="_Toc89035355"/>
      <w:bookmarkStart w:id="415" w:name="_Toc89035721"/>
      <w:bookmarkStart w:id="416" w:name="_Toc89035923"/>
      <w:bookmarkStart w:id="417" w:name="_Toc88877476"/>
      <w:bookmarkStart w:id="418" w:name="_Toc89034802"/>
      <w:bookmarkStart w:id="419" w:name="_Toc89035356"/>
      <w:bookmarkStart w:id="420" w:name="_Toc89035722"/>
      <w:bookmarkStart w:id="421" w:name="_Toc89035924"/>
      <w:bookmarkStart w:id="422" w:name="_Toc88877478"/>
      <w:bookmarkStart w:id="423" w:name="_Toc89034804"/>
      <w:bookmarkStart w:id="424" w:name="_Toc89035358"/>
      <w:bookmarkStart w:id="425" w:name="_Toc89035724"/>
      <w:bookmarkStart w:id="426" w:name="_Toc89035926"/>
      <w:bookmarkStart w:id="427" w:name="_Toc88877479"/>
      <w:bookmarkStart w:id="428" w:name="_Toc89034805"/>
      <w:bookmarkStart w:id="429" w:name="_Toc89035359"/>
      <w:bookmarkStart w:id="430" w:name="_Toc89035725"/>
      <w:bookmarkStart w:id="431" w:name="_Toc89035927"/>
      <w:bookmarkStart w:id="432" w:name="_Toc88877480"/>
      <w:bookmarkStart w:id="433" w:name="_Toc89034806"/>
      <w:bookmarkStart w:id="434" w:name="_Toc89035360"/>
      <w:bookmarkStart w:id="435" w:name="_Toc89035726"/>
      <w:bookmarkStart w:id="436" w:name="_Toc89035928"/>
      <w:bookmarkStart w:id="437" w:name="_Toc88877481"/>
      <w:bookmarkStart w:id="438" w:name="_Toc89034807"/>
      <w:bookmarkStart w:id="439" w:name="_Toc89035361"/>
      <w:bookmarkStart w:id="440" w:name="_Toc89035727"/>
      <w:bookmarkStart w:id="441" w:name="_Toc89035929"/>
      <w:bookmarkStart w:id="442" w:name="_Toc88877482"/>
      <w:bookmarkStart w:id="443" w:name="_Toc89034808"/>
      <w:bookmarkStart w:id="444" w:name="_Toc89035362"/>
      <w:bookmarkStart w:id="445" w:name="_Toc89035728"/>
      <w:bookmarkStart w:id="446" w:name="_Toc89035930"/>
      <w:bookmarkStart w:id="447" w:name="_Toc88877483"/>
      <w:bookmarkStart w:id="448" w:name="_Toc89034809"/>
      <w:bookmarkStart w:id="449" w:name="_Toc89035363"/>
      <w:bookmarkStart w:id="450" w:name="_Toc89035729"/>
      <w:bookmarkStart w:id="451" w:name="_Toc89035931"/>
      <w:bookmarkStart w:id="452" w:name="_Toc88877484"/>
      <w:bookmarkStart w:id="453" w:name="_Toc89034810"/>
      <w:bookmarkStart w:id="454" w:name="_Toc89035364"/>
      <w:bookmarkStart w:id="455" w:name="_Toc89035730"/>
      <w:bookmarkStart w:id="456" w:name="_Toc89035932"/>
      <w:bookmarkStart w:id="457" w:name="_Toc88877485"/>
      <w:bookmarkStart w:id="458" w:name="_Toc89034811"/>
      <w:bookmarkStart w:id="459" w:name="_Toc89035365"/>
      <w:bookmarkStart w:id="460" w:name="_Toc89035731"/>
      <w:bookmarkStart w:id="461" w:name="_Toc89035933"/>
      <w:bookmarkStart w:id="462" w:name="_Toc88877487"/>
      <w:bookmarkStart w:id="463" w:name="_Toc89034813"/>
      <w:bookmarkStart w:id="464" w:name="_Toc89035367"/>
      <w:bookmarkStart w:id="465" w:name="_Toc89035733"/>
      <w:bookmarkStart w:id="466" w:name="_Toc89035935"/>
      <w:bookmarkStart w:id="467" w:name="_Toc88877488"/>
      <w:bookmarkStart w:id="468" w:name="_Toc89034814"/>
      <w:bookmarkStart w:id="469" w:name="_Toc89035368"/>
      <w:bookmarkStart w:id="470" w:name="_Toc89035734"/>
      <w:bookmarkStart w:id="471" w:name="_Toc89035936"/>
      <w:bookmarkStart w:id="472" w:name="_Toc88877489"/>
      <w:bookmarkStart w:id="473" w:name="_Toc89034815"/>
      <w:bookmarkStart w:id="474" w:name="_Toc89035369"/>
      <w:bookmarkStart w:id="475" w:name="_Toc89035735"/>
      <w:bookmarkStart w:id="476" w:name="_Toc89035937"/>
      <w:bookmarkStart w:id="477" w:name="_Toc88877490"/>
      <w:bookmarkStart w:id="478" w:name="_Toc89034816"/>
      <w:bookmarkStart w:id="479" w:name="_Toc89035370"/>
      <w:bookmarkStart w:id="480" w:name="_Toc89035736"/>
      <w:bookmarkStart w:id="481" w:name="_Toc89035938"/>
      <w:bookmarkStart w:id="482" w:name="_Toc88877491"/>
      <w:bookmarkStart w:id="483" w:name="_Toc89034817"/>
      <w:bookmarkStart w:id="484" w:name="_Toc89035371"/>
      <w:bookmarkStart w:id="485" w:name="_Toc89035737"/>
      <w:bookmarkStart w:id="486" w:name="_Toc89035939"/>
      <w:bookmarkStart w:id="487" w:name="_Toc88877492"/>
      <w:bookmarkStart w:id="488" w:name="_Toc89034818"/>
      <w:bookmarkStart w:id="489" w:name="_Toc89035372"/>
      <w:bookmarkStart w:id="490" w:name="_Toc89035738"/>
      <w:bookmarkStart w:id="491" w:name="_Toc89035940"/>
      <w:bookmarkStart w:id="492" w:name="_Toc88877493"/>
      <w:bookmarkStart w:id="493" w:name="_Toc89034819"/>
      <w:bookmarkStart w:id="494" w:name="_Toc89035373"/>
      <w:bookmarkStart w:id="495" w:name="_Toc89035739"/>
      <w:bookmarkStart w:id="496" w:name="_Toc89035941"/>
      <w:bookmarkStart w:id="497" w:name="_Toc88877494"/>
      <w:bookmarkStart w:id="498" w:name="_Toc89034820"/>
      <w:bookmarkStart w:id="499" w:name="_Toc89035374"/>
      <w:bookmarkStart w:id="500" w:name="_Toc89035740"/>
      <w:bookmarkStart w:id="501" w:name="_Toc89035942"/>
      <w:bookmarkStart w:id="502" w:name="_Toc88877496"/>
      <w:bookmarkStart w:id="503" w:name="_Toc89034822"/>
      <w:bookmarkStart w:id="504" w:name="_Toc89035376"/>
      <w:bookmarkStart w:id="505" w:name="_Toc89035742"/>
      <w:bookmarkStart w:id="506" w:name="_Toc89035944"/>
      <w:bookmarkStart w:id="507" w:name="_Toc88877497"/>
      <w:bookmarkStart w:id="508" w:name="_Toc89034823"/>
      <w:bookmarkStart w:id="509" w:name="_Toc89035377"/>
      <w:bookmarkStart w:id="510" w:name="_Toc89035743"/>
      <w:bookmarkStart w:id="511" w:name="_Toc89035945"/>
      <w:bookmarkStart w:id="512" w:name="_Toc88877498"/>
      <w:bookmarkStart w:id="513" w:name="_Toc89034824"/>
      <w:bookmarkStart w:id="514" w:name="_Toc89035378"/>
      <w:bookmarkStart w:id="515" w:name="_Toc89035744"/>
      <w:bookmarkStart w:id="516" w:name="_Toc89035946"/>
      <w:bookmarkStart w:id="517" w:name="_Toc88877499"/>
      <w:bookmarkStart w:id="518" w:name="_Toc89034825"/>
      <w:bookmarkStart w:id="519" w:name="_Toc89035379"/>
      <w:bookmarkStart w:id="520" w:name="_Toc89035745"/>
      <w:bookmarkStart w:id="521" w:name="_Toc89035947"/>
      <w:bookmarkStart w:id="522" w:name="_Toc88877500"/>
      <w:bookmarkStart w:id="523" w:name="_Toc89034826"/>
      <w:bookmarkStart w:id="524" w:name="_Toc89035380"/>
      <w:bookmarkStart w:id="525" w:name="_Toc89035746"/>
      <w:bookmarkStart w:id="526" w:name="_Toc89035948"/>
      <w:bookmarkStart w:id="527" w:name="_Toc88877501"/>
      <w:bookmarkStart w:id="528" w:name="_Toc89034827"/>
      <w:bookmarkStart w:id="529" w:name="_Toc89035381"/>
      <w:bookmarkStart w:id="530" w:name="_Toc89035747"/>
      <w:bookmarkStart w:id="531" w:name="_Toc89035949"/>
      <w:bookmarkStart w:id="532" w:name="_Toc88877502"/>
      <w:bookmarkStart w:id="533" w:name="_Toc89034828"/>
      <w:bookmarkStart w:id="534" w:name="_Toc89035382"/>
      <w:bookmarkStart w:id="535" w:name="_Toc89035748"/>
      <w:bookmarkStart w:id="536" w:name="_Toc89035950"/>
      <w:bookmarkStart w:id="537" w:name="_Toc88877503"/>
      <w:bookmarkStart w:id="538" w:name="_Toc89034829"/>
      <w:bookmarkStart w:id="539" w:name="_Toc89035383"/>
      <w:bookmarkStart w:id="540" w:name="_Toc89035749"/>
      <w:bookmarkStart w:id="541" w:name="_Toc89035951"/>
      <w:bookmarkStart w:id="542" w:name="_Toc88877505"/>
      <w:bookmarkStart w:id="543" w:name="_Toc89034831"/>
      <w:bookmarkStart w:id="544" w:name="_Toc89035385"/>
      <w:bookmarkStart w:id="545" w:name="_Toc89035751"/>
      <w:bookmarkStart w:id="546" w:name="_Toc89035953"/>
      <w:bookmarkStart w:id="547" w:name="_Toc88877506"/>
      <w:bookmarkStart w:id="548" w:name="_Toc89034832"/>
      <w:bookmarkStart w:id="549" w:name="_Toc89035386"/>
      <w:bookmarkStart w:id="550" w:name="_Toc89035752"/>
      <w:bookmarkStart w:id="551" w:name="_Toc89035954"/>
      <w:bookmarkStart w:id="552" w:name="_Toc88877507"/>
      <w:bookmarkStart w:id="553" w:name="_Toc89034833"/>
      <w:bookmarkStart w:id="554" w:name="_Toc89035387"/>
      <w:bookmarkStart w:id="555" w:name="_Toc89035753"/>
      <w:bookmarkStart w:id="556" w:name="_Toc89035955"/>
      <w:bookmarkStart w:id="557" w:name="_Toc88877508"/>
      <w:bookmarkStart w:id="558" w:name="_Toc89034834"/>
      <w:bookmarkStart w:id="559" w:name="_Toc89035388"/>
      <w:bookmarkStart w:id="560" w:name="_Toc89035754"/>
      <w:bookmarkStart w:id="561" w:name="_Toc89035956"/>
      <w:bookmarkStart w:id="562" w:name="_Toc88877509"/>
      <w:bookmarkStart w:id="563" w:name="_Toc89034835"/>
      <w:bookmarkStart w:id="564" w:name="_Toc89035389"/>
      <w:bookmarkStart w:id="565" w:name="_Toc89035755"/>
      <w:bookmarkStart w:id="566" w:name="_Toc89035957"/>
      <w:bookmarkStart w:id="567" w:name="_Toc88877510"/>
      <w:bookmarkStart w:id="568" w:name="_Toc89034836"/>
      <w:bookmarkStart w:id="569" w:name="_Toc89035390"/>
      <w:bookmarkStart w:id="570" w:name="_Toc89035756"/>
      <w:bookmarkStart w:id="571" w:name="_Toc89035958"/>
      <w:bookmarkStart w:id="572" w:name="_Toc88877511"/>
      <w:bookmarkStart w:id="573" w:name="_Toc89034837"/>
      <w:bookmarkStart w:id="574" w:name="_Toc89035391"/>
      <w:bookmarkStart w:id="575" w:name="_Toc89035757"/>
      <w:bookmarkStart w:id="576" w:name="_Toc89035959"/>
      <w:bookmarkStart w:id="577" w:name="_Toc88877512"/>
      <w:bookmarkStart w:id="578" w:name="_Toc89034838"/>
      <w:bookmarkStart w:id="579" w:name="_Toc89035392"/>
      <w:bookmarkStart w:id="580" w:name="_Toc89035758"/>
      <w:bookmarkStart w:id="581" w:name="_Toc89035960"/>
      <w:bookmarkStart w:id="582" w:name="_Toc88877514"/>
      <w:bookmarkStart w:id="583" w:name="_Toc89034840"/>
      <w:bookmarkStart w:id="584" w:name="_Toc89035394"/>
      <w:bookmarkStart w:id="585" w:name="_Toc89035760"/>
      <w:bookmarkStart w:id="586" w:name="_Toc89035962"/>
      <w:bookmarkStart w:id="587" w:name="_Toc88877515"/>
      <w:bookmarkStart w:id="588" w:name="_Toc89034841"/>
      <w:bookmarkStart w:id="589" w:name="_Toc89035395"/>
      <w:bookmarkStart w:id="590" w:name="_Toc89035761"/>
      <w:bookmarkStart w:id="591" w:name="_Toc89035963"/>
      <w:bookmarkStart w:id="592" w:name="_Toc88877516"/>
      <w:bookmarkStart w:id="593" w:name="_Toc89034842"/>
      <w:bookmarkStart w:id="594" w:name="_Toc89035396"/>
      <w:bookmarkStart w:id="595" w:name="_Toc89035762"/>
      <w:bookmarkStart w:id="596" w:name="_Toc89035964"/>
      <w:bookmarkStart w:id="597" w:name="_Toc88877517"/>
      <w:bookmarkStart w:id="598" w:name="_Toc89034843"/>
      <w:bookmarkStart w:id="599" w:name="_Toc89035397"/>
      <w:bookmarkStart w:id="600" w:name="_Toc89035763"/>
      <w:bookmarkStart w:id="601" w:name="_Toc89035965"/>
      <w:bookmarkStart w:id="602" w:name="_Toc88877518"/>
      <w:bookmarkStart w:id="603" w:name="_Toc89034844"/>
      <w:bookmarkStart w:id="604" w:name="_Toc89035398"/>
      <w:bookmarkStart w:id="605" w:name="_Toc89035764"/>
      <w:bookmarkStart w:id="606" w:name="_Toc89035966"/>
      <w:bookmarkStart w:id="607" w:name="_Toc88877519"/>
      <w:bookmarkStart w:id="608" w:name="_Toc89034845"/>
      <w:bookmarkStart w:id="609" w:name="_Toc89035399"/>
      <w:bookmarkStart w:id="610" w:name="_Toc89035765"/>
      <w:bookmarkStart w:id="611" w:name="_Toc89035967"/>
      <w:bookmarkStart w:id="612" w:name="_Toc88877520"/>
      <w:bookmarkStart w:id="613" w:name="_Toc89034846"/>
      <w:bookmarkStart w:id="614" w:name="_Toc89035400"/>
      <w:bookmarkStart w:id="615" w:name="_Toc89035766"/>
      <w:bookmarkStart w:id="616" w:name="_Toc89035968"/>
      <w:bookmarkStart w:id="617" w:name="_Toc88877521"/>
      <w:bookmarkStart w:id="618" w:name="_Toc89034847"/>
      <w:bookmarkStart w:id="619" w:name="_Toc89035401"/>
      <w:bookmarkStart w:id="620" w:name="_Toc89035767"/>
      <w:bookmarkStart w:id="621" w:name="_Toc89035969"/>
      <w:bookmarkStart w:id="622" w:name="_Toc88877523"/>
      <w:bookmarkStart w:id="623" w:name="_Toc89034849"/>
      <w:bookmarkStart w:id="624" w:name="_Toc89035403"/>
      <w:bookmarkStart w:id="625" w:name="_Toc89035769"/>
      <w:bookmarkStart w:id="626" w:name="_Toc89035971"/>
      <w:bookmarkStart w:id="627" w:name="_Toc88877524"/>
      <w:bookmarkStart w:id="628" w:name="_Toc89034850"/>
      <w:bookmarkStart w:id="629" w:name="_Toc89035404"/>
      <w:bookmarkStart w:id="630" w:name="_Toc89035770"/>
      <w:bookmarkStart w:id="631" w:name="_Toc89035972"/>
      <w:bookmarkStart w:id="632" w:name="_Toc88877525"/>
      <w:bookmarkStart w:id="633" w:name="_Toc89034851"/>
      <w:bookmarkStart w:id="634" w:name="_Toc89035405"/>
      <w:bookmarkStart w:id="635" w:name="_Toc89035771"/>
      <w:bookmarkStart w:id="636" w:name="_Toc89035973"/>
      <w:bookmarkStart w:id="637" w:name="_Toc88877526"/>
      <w:bookmarkStart w:id="638" w:name="_Toc89034852"/>
      <w:bookmarkStart w:id="639" w:name="_Toc89035406"/>
      <w:bookmarkStart w:id="640" w:name="_Toc89035772"/>
      <w:bookmarkStart w:id="641" w:name="_Toc89035974"/>
      <w:bookmarkStart w:id="642" w:name="_Toc88877527"/>
      <w:bookmarkStart w:id="643" w:name="_Toc89034853"/>
      <w:bookmarkStart w:id="644" w:name="_Toc89035407"/>
      <w:bookmarkStart w:id="645" w:name="_Toc89035773"/>
      <w:bookmarkStart w:id="646" w:name="_Toc89035975"/>
      <w:bookmarkStart w:id="647" w:name="_Toc88877528"/>
      <w:bookmarkStart w:id="648" w:name="_Toc89034854"/>
      <w:bookmarkStart w:id="649" w:name="_Toc89035408"/>
      <w:bookmarkStart w:id="650" w:name="_Toc89035774"/>
      <w:bookmarkStart w:id="651" w:name="_Toc89035976"/>
      <w:bookmarkStart w:id="652" w:name="_Toc88877529"/>
      <w:bookmarkStart w:id="653" w:name="_Toc89034855"/>
      <w:bookmarkStart w:id="654" w:name="_Toc89035409"/>
      <w:bookmarkStart w:id="655" w:name="_Toc89035775"/>
      <w:bookmarkStart w:id="656" w:name="_Toc89035977"/>
      <w:bookmarkStart w:id="657" w:name="_Toc88877530"/>
      <w:bookmarkStart w:id="658" w:name="_Toc89034856"/>
      <w:bookmarkStart w:id="659" w:name="_Toc89035410"/>
      <w:bookmarkStart w:id="660" w:name="_Toc89035776"/>
      <w:bookmarkStart w:id="661" w:name="_Toc89035978"/>
      <w:bookmarkStart w:id="662" w:name="_Toc88877532"/>
      <w:bookmarkStart w:id="663" w:name="_Toc89034858"/>
      <w:bookmarkStart w:id="664" w:name="_Toc89035412"/>
      <w:bookmarkStart w:id="665" w:name="_Toc89035778"/>
      <w:bookmarkStart w:id="666" w:name="_Toc89035980"/>
      <w:bookmarkStart w:id="667" w:name="_Toc88877533"/>
      <w:bookmarkStart w:id="668" w:name="_Toc89034859"/>
      <w:bookmarkStart w:id="669" w:name="_Toc89035413"/>
      <w:bookmarkStart w:id="670" w:name="_Toc89035779"/>
      <w:bookmarkStart w:id="671" w:name="_Toc89035981"/>
      <w:bookmarkStart w:id="672" w:name="_Toc88877534"/>
      <w:bookmarkStart w:id="673" w:name="_Toc89034860"/>
      <w:bookmarkStart w:id="674" w:name="_Toc89035414"/>
      <w:bookmarkStart w:id="675" w:name="_Toc89035780"/>
      <w:bookmarkStart w:id="676" w:name="_Toc89035982"/>
      <w:bookmarkStart w:id="677" w:name="_Toc88877535"/>
      <w:bookmarkStart w:id="678" w:name="_Toc89034861"/>
      <w:bookmarkStart w:id="679" w:name="_Toc89035415"/>
      <w:bookmarkStart w:id="680" w:name="_Toc89035781"/>
      <w:bookmarkStart w:id="681" w:name="_Toc89035983"/>
      <w:bookmarkStart w:id="682" w:name="_Toc88877536"/>
      <w:bookmarkStart w:id="683" w:name="_Toc89034862"/>
      <w:bookmarkStart w:id="684" w:name="_Toc89035416"/>
      <w:bookmarkStart w:id="685" w:name="_Toc89035782"/>
      <w:bookmarkStart w:id="686" w:name="_Toc89035984"/>
      <w:bookmarkStart w:id="687" w:name="_Toc88877537"/>
      <w:bookmarkStart w:id="688" w:name="_Toc89034863"/>
      <w:bookmarkStart w:id="689" w:name="_Toc89035417"/>
      <w:bookmarkStart w:id="690" w:name="_Toc89035783"/>
      <w:bookmarkStart w:id="691" w:name="_Toc89035985"/>
      <w:bookmarkStart w:id="692" w:name="_Toc88877538"/>
      <w:bookmarkStart w:id="693" w:name="_Toc89034864"/>
      <w:bookmarkStart w:id="694" w:name="_Toc89035418"/>
      <w:bookmarkStart w:id="695" w:name="_Toc89035784"/>
      <w:bookmarkStart w:id="696" w:name="_Toc89035986"/>
      <w:bookmarkStart w:id="697" w:name="_Toc88877539"/>
      <w:bookmarkStart w:id="698" w:name="_Toc89034865"/>
      <w:bookmarkStart w:id="699" w:name="_Toc89035419"/>
      <w:bookmarkStart w:id="700" w:name="_Toc89035785"/>
      <w:bookmarkStart w:id="701" w:name="_Toc89035987"/>
      <w:bookmarkStart w:id="702" w:name="_Toc88877541"/>
      <w:bookmarkStart w:id="703" w:name="_Toc89034867"/>
      <w:bookmarkStart w:id="704" w:name="_Toc89035421"/>
      <w:bookmarkStart w:id="705" w:name="_Toc89035787"/>
      <w:bookmarkStart w:id="706" w:name="_Toc89035989"/>
      <w:bookmarkStart w:id="707" w:name="_Toc88877542"/>
      <w:bookmarkStart w:id="708" w:name="_Toc89034868"/>
      <w:bookmarkStart w:id="709" w:name="_Toc89035422"/>
      <w:bookmarkStart w:id="710" w:name="_Toc89035788"/>
      <w:bookmarkStart w:id="711" w:name="_Toc89035990"/>
      <w:bookmarkStart w:id="712" w:name="_Toc88877543"/>
      <w:bookmarkStart w:id="713" w:name="_Toc89034869"/>
      <w:bookmarkStart w:id="714" w:name="_Toc89035423"/>
      <w:bookmarkStart w:id="715" w:name="_Toc89035789"/>
      <w:bookmarkStart w:id="716" w:name="_Toc89035991"/>
      <w:bookmarkStart w:id="717" w:name="_Toc88877544"/>
      <w:bookmarkStart w:id="718" w:name="_Toc89034870"/>
      <w:bookmarkStart w:id="719" w:name="_Toc89035424"/>
      <w:bookmarkStart w:id="720" w:name="_Toc89035790"/>
      <w:bookmarkStart w:id="721" w:name="_Toc89035992"/>
      <w:bookmarkStart w:id="722" w:name="_Toc88877545"/>
      <w:bookmarkStart w:id="723" w:name="_Toc89034871"/>
      <w:bookmarkStart w:id="724" w:name="_Toc89035425"/>
      <w:bookmarkStart w:id="725" w:name="_Toc89035791"/>
      <w:bookmarkStart w:id="726" w:name="_Toc89035993"/>
      <w:bookmarkStart w:id="727" w:name="_Toc88877546"/>
      <w:bookmarkStart w:id="728" w:name="_Toc89034872"/>
      <w:bookmarkStart w:id="729" w:name="_Toc89035426"/>
      <w:bookmarkStart w:id="730" w:name="_Toc89035792"/>
      <w:bookmarkStart w:id="731" w:name="_Toc89035994"/>
      <w:bookmarkStart w:id="732" w:name="_Toc88877547"/>
      <w:bookmarkStart w:id="733" w:name="_Toc89034873"/>
      <w:bookmarkStart w:id="734" w:name="_Toc89035427"/>
      <w:bookmarkStart w:id="735" w:name="_Toc89035793"/>
      <w:bookmarkStart w:id="736" w:name="_Toc89035995"/>
      <w:bookmarkStart w:id="737" w:name="_Toc88877548"/>
      <w:bookmarkStart w:id="738" w:name="_Toc89034874"/>
      <w:bookmarkStart w:id="739" w:name="_Toc89035428"/>
      <w:bookmarkStart w:id="740" w:name="_Toc89035794"/>
      <w:bookmarkStart w:id="741" w:name="_Toc89035996"/>
      <w:bookmarkStart w:id="742" w:name="_Toc88877550"/>
      <w:bookmarkStart w:id="743" w:name="_Toc89034876"/>
      <w:bookmarkStart w:id="744" w:name="_Toc89035430"/>
      <w:bookmarkStart w:id="745" w:name="_Toc89035796"/>
      <w:bookmarkStart w:id="746" w:name="_Toc89035998"/>
      <w:bookmarkStart w:id="747" w:name="_Toc88877551"/>
      <w:bookmarkStart w:id="748" w:name="_Toc89034877"/>
      <w:bookmarkStart w:id="749" w:name="_Toc89035431"/>
      <w:bookmarkStart w:id="750" w:name="_Toc89035797"/>
      <w:bookmarkStart w:id="751" w:name="_Toc89035999"/>
      <w:bookmarkStart w:id="752" w:name="_Toc88877552"/>
      <w:bookmarkStart w:id="753" w:name="_Toc89034878"/>
      <w:bookmarkStart w:id="754" w:name="_Toc89035432"/>
      <w:bookmarkStart w:id="755" w:name="_Toc89035798"/>
      <w:bookmarkStart w:id="756" w:name="_Toc89036000"/>
      <w:bookmarkStart w:id="757" w:name="_Toc88877553"/>
      <w:bookmarkStart w:id="758" w:name="_Toc89034879"/>
      <w:bookmarkStart w:id="759" w:name="_Toc89035433"/>
      <w:bookmarkStart w:id="760" w:name="_Toc89035799"/>
      <w:bookmarkStart w:id="761" w:name="_Toc89036001"/>
      <w:bookmarkStart w:id="762" w:name="_Toc88877554"/>
      <w:bookmarkStart w:id="763" w:name="_Toc89034880"/>
      <w:bookmarkStart w:id="764" w:name="_Toc89035434"/>
      <w:bookmarkStart w:id="765" w:name="_Toc89035800"/>
      <w:bookmarkStart w:id="766" w:name="_Toc89036002"/>
      <w:bookmarkStart w:id="767" w:name="_Toc88877555"/>
      <w:bookmarkStart w:id="768" w:name="_Toc89034881"/>
      <w:bookmarkStart w:id="769" w:name="_Toc89035435"/>
      <w:bookmarkStart w:id="770" w:name="_Toc89035801"/>
      <w:bookmarkStart w:id="771" w:name="_Toc89036003"/>
      <w:bookmarkStart w:id="772" w:name="_Toc88877556"/>
      <w:bookmarkStart w:id="773" w:name="_Toc89034882"/>
      <w:bookmarkStart w:id="774" w:name="_Toc89035436"/>
      <w:bookmarkStart w:id="775" w:name="_Toc89035802"/>
      <w:bookmarkStart w:id="776" w:name="_Toc89036004"/>
      <w:bookmarkStart w:id="777" w:name="_Toc88877557"/>
      <w:bookmarkStart w:id="778" w:name="_Toc89034883"/>
      <w:bookmarkStart w:id="779" w:name="_Toc89035437"/>
      <w:bookmarkStart w:id="780" w:name="_Toc89035803"/>
      <w:bookmarkStart w:id="781" w:name="_Toc89036005"/>
      <w:bookmarkStart w:id="782" w:name="_Toc88877559"/>
      <w:bookmarkStart w:id="783" w:name="_Toc89034885"/>
      <w:bookmarkStart w:id="784" w:name="_Toc89035439"/>
      <w:bookmarkStart w:id="785" w:name="_Toc89035805"/>
      <w:bookmarkStart w:id="786" w:name="_Toc89036007"/>
      <w:bookmarkStart w:id="787" w:name="_Toc88877560"/>
      <w:bookmarkStart w:id="788" w:name="_Toc89034886"/>
      <w:bookmarkStart w:id="789" w:name="_Toc89035440"/>
      <w:bookmarkStart w:id="790" w:name="_Toc89035806"/>
      <w:bookmarkStart w:id="791" w:name="_Toc89036008"/>
      <w:bookmarkStart w:id="792" w:name="_Toc88877561"/>
      <w:bookmarkStart w:id="793" w:name="_Toc89034887"/>
      <w:bookmarkStart w:id="794" w:name="_Toc89035441"/>
      <w:bookmarkStart w:id="795" w:name="_Toc89035807"/>
      <w:bookmarkStart w:id="796" w:name="_Toc89036009"/>
      <w:bookmarkStart w:id="797" w:name="_Toc88877562"/>
      <w:bookmarkStart w:id="798" w:name="_Toc89034888"/>
      <w:bookmarkStart w:id="799" w:name="_Toc89035442"/>
      <w:bookmarkStart w:id="800" w:name="_Toc89035808"/>
      <w:bookmarkStart w:id="801" w:name="_Toc89036010"/>
      <w:bookmarkStart w:id="802" w:name="_Toc88877563"/>
      <w:bookmarkStart w:id="803" w:name="_Toc89034889"/>
      <w:bookmarkStart w:id="804" w:name="_Toc89035443"/>
      <w:bookmarkStart w:id="805" w:name="_Toc89035809"/>
      <w:bookmarkStart w:id="806" w:name="_Toc89036011"/>
      <w:bookmarkStart w:id="807" w:name="_Toc88877564"/>
      <w:bookmarkStart w:id="808" w:name="_Toc89034890"/>
      <w:bookmarkStart w:id="809" w:name="_Toc89035444"/>
      <w:bookmarkStart w:id="810" w:name="_Toc89035810"/>
      <w:bookmarkStart w:id="811" w:name="_Toc89036012"/>
      <w:bookmarkStart w:id="812" w:name="_Toc88877565"/>
      <w:bookmarkStart w:id="813" w:name="_Toc89034891"/>
      <w:bookmarkStart w:id="814" w:name="_Toc89035445"/>
      <w:bookmarkStart w:id="815" w:name="_Toc89035811"/>
      <w:bookmarkStart w:id="816" w:name="_Toc89036013"/>
      <w:bookmarkStart w:id="817" w:name="_Toc88877566"/>
      <w:bookmarkStart w:id="818" w:name="_Toc89034892"/>
      <w:bookmarkStart w:id="819" w:name="_Toc89035446"/>
      <w:bookmarkStart w:id="820" w:name="_Toc89035812"/>
      <w:bookmarkStart w:id="821" w:name="_Toc89036014"/>
      <w:bookmarkStart w:id="822" w:name="_Toc88877568"/>
      <w:bookmarkStart w:id="823" w:name="_Toc89034894"/>
      <w:bookmarkStart w:id="824" w:name="_Toc89035448"/>
      <w:bookmarkStart w:id="825" w:name="_Toc89035814"/>
      <w:bookmarkStart w:id="826" w:name="_Toc89036016"/>
      <w:bookmarkStart w:id="827" w:name="_Toc88877569"/>
      <w:bookmarkStart w:id="828" w:name="_Toc89034895"/>
      <w:bookmarkStart w:id="829" w:name="_Toc89035449"/>
      <w:bookmarkStart w:id="830" w:name="_Toc89035815"/>
      <w:bookmarkStart w:id="831" w:name="_Toc89036017"/>
      <w:bookmarkStart w:id="832" w:name="_Toc88877570"/>
      <w:bookmarkStart w:id="833" w:name="_Toc89034896"/>
      <w:bookmarkStart w:id="834" w:name="_Toc89035450"/>
      <w:bookmarkStart w:id="835" w:name="_Toc89035816"/>
      <w:bookmarkStart w:id="836" w:name="_Toc89036018"/>
      <w:bookmarkStart w:id="837" w:name="_Toc88877571"/>
      <w:bookmarkStart w:id="838" w:name="_Toc89034897"/>
      <w:bookmarkStart w:id="839" w:name="_Toc89035451"/>
      <w:bookmarkStart w:id="840" w:name="_Toc89035817"/>
      <w:bookmarkStart w:id="841" w:name="_Toc89036019"/>
      <w:bookmarkStart w:id="842" w:name="_Toc88877572"/>
      <w:bookmarkStart w:id="843" w:name="_Toc89034898"/>
      <w:bookmarkStart w:id="844" w:name="_Toc89035452"/>
      <w:bookmarkStart w:id="845" w:name="_Toc89035818"/>
      <w:bookmarkStart w:id="846" w:name="_Toc89036020"/>
      <w:bookmarkStart w:id="847" w:name="_Toc88877573"/>
      <w:bookmarkStart w:id="848" w:name="_Toc89034899"/>
      <w:bookmarkStart w:id="849" w:name="_Toc89035453"/>
      <w:bookmarkStart w:id="850" w:name="_Toc89035819"/>
      <w:bookmarkStart w:id="851" w:name="_Toc89036021"/>
      <w:bookmarkStart w:id="852" w:name="_Toc88877574"/>
      <w:bookmarkStart w:id="853" w:name="_Toc89034900"/>
      <w:bookmarkStart w:id="854" w:name="_Toc89035454"/>
      <w:bookmarkStart w:id="855" w:name="_Toc89035820"/>
      <w:bookmarkStart w:id="856" w:name="_Toc89036022"/>
      <w:bookmarkStart w:id="857" w:name="_Toc88877575"/>
      <w:bookmarkStart w:id="858" w:name="_Toc89034901"/>
      <w:bookmarkStart w:id="859" w:name="_Toc89035455"/>
      <w:bookmarkStart w:id="860" w:name="_Toc89035821"/>
      <w:bookmarkStart w:id="861" w:name="_Toc89036023"/>
      <w:bookmarkStart w:id="862" w:name="_Toc88877577"/>
      <w:bookmarkStart w:id="863" w:name="_Toc89034903"/>
      <w:bookmarkStart w:id="864" w:name="_Toc89035457"/>
      <w:bookmarkStart w:id="865" w:name="_Toc89035823"/>
      <w:bookmarkStart w:id="866" w:name="_Toc89036025"/>
      <w:bookmarkStart w:id="867" w:name="_Toc88877578"/>
      <w:bookmarkStart w:id="868" w:name="_Toc89034904"/>
      <w:bookmarkStart w:id="869" w:name="_Toc89035458"/>
      <w:bookmarkStart w:id="870" w:name="_Toc89035824"/>
      <w:bookmarkStart w:id="871" w:name="_Toc89036026"/>
      <w:bookmarkStart w:id="872" w:name="_Toc88877579"/>
      <w:bookmarkStart w:id="873" w:name="_Toc89034905"/>
      <w:bookmarkStart w:id="874" w:name="_Toc89035459"/>
      <w:bookmarkStart w:id="875" w:name="_Toc89035825"/>
      <w:bookmarkStart w:id="876" w:name="_Toc89036027"/>
      <w:bookmarkStart w:id="877" w:name="_Toc88877580"/>
      <w:bookmarkStart w:id="878" w:name="_Toc89034906"/>
      <w:bookmarkStart w:id="879" w:name="_Toc89035460"/>
      <w:bookmarkStart w:id="880" w:name="_Toc89035826"/>
      <w:bookmarkStart w:id="881" w:name="_Toc89036028"/>
      <w:bookmarkStart w:id="882" w:name="_Toc88877581"/>
      <w:bookmarkStart w:id="883" w:name="_Toc89034907"/>
      <w:bookmarkStart w:id="884" w:name="_Toc89035461"/>
      <w:bookmarkStart w:id="885" w:name="_Toc89035827"/>
      <w:bookmarkStart w:id="886" w:name="_Toc89036029"/>
      <w:bookmarkStart w:id="887" w:name="_Toc88877582"/>
      <w:bookmarkStart w:id="888" w:name="_Toc89034908"/>
      <w:bookmarkStart w:id="889" w:name="_Toc89035462"/>
      <w:bookmarkStart w:id="890" w:name="_Toc89035828"/>
      <w:bookmarkStart w:id="891" w:name="_Toc89036030"/>
      <w:bookmarkStart w:id="892" w:name="_Toc88877583"/>
      <w:bookmarkStart w:id="893" w:name="_Toc89034909"/>
      <w:bookmarkStart w:id="894" w:name="_Toc89035463"/>
      <w:bookmarkStart w:id="895" w:name="_Toc89035829"/>
      <w:bookmarkStart w:id="896" w:name="_Toc89036031"/>
      <w:bookmarkStart w:id="897" w:name="_Toc88877584"/>
      <w:bookmarkStart w:id="898" w:name="_Toc89034910"/>
      <w:bookmarkStart w:id="899" w:name="_Toc89035464"/>
      <w:bookmarkStart w:id="900" w:name="_Toc89035830"/>
      <w:bookmarkStart w:id="901" w:name="_Toc89036032"/>
      <w:bookmarkStart w:id="902" w:name="_Toc88877586"/>
      <w:bookmarkStart w:id="903" w:name="_Toc89034912"/>
      <w:bookmarkStart w:id="904" w:name="_Toc89035466"/>
      <w:bookmarkStart w:id="905" w:name="_Toc89035832"/>
      <w:bookmarkStart w:id="906" w:name="_Toc89036034"/>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sidRPr="0039660E">
        <w:rPr>
          <w:sz w:val="18"/>
          <w:szCs w:val="18"/>
        </w:rPr>
        <w:t>Note: Values may not sum due to rounding. Benefits are rounded to the nearest whole number for presentation purposes.</w:t>
      </w:r>
    </w:p>
    <w:p w14:paraId="549B9079" w14:textId="77777777" w:rsidR="0039660E" w:rsidRDefault="000F5B51" w:rsidP="0039660E">
      <w:pPr>
        <w:pStyle w:val="NoSpaceTimes"/>
        <w:jc w:val="left"/>
        <w:rPr>
          <w:sz w:val="18"/>
          <w:szCs w:val="18"/>
        </w:rPr>
      </w:pPr>
      <w:r>
        <w:rPr>
          <w:sz w:val="18"/>
          <w:szCs w:val="18"/>
        </w:rPr>
        <w:t>*</w:t>
      </w:r>
      <w:r w:rsidR="000D2D5F">
        <w:rPr>
          <w:sz w:val="18"/>
          <w:szCs w:val="18"/>
        </w:rPr>
        <w:t xml:space="preserve">Although </w:t>
      </w:r>
      <w:r w:rsidR="00FD2350">
        <w:rPr>
          <w:sz w:val="18"/>
          <w:szCs w:val="18"/>
        </w:rPr>
        <w:t>benefits in each</w:t>
      </w:r>
      <w:r w:rsidR="00BF5531">
        <w:rPr>
          <w:sz w:val="18"/>
          <w:szCs w:val="18"/>
        </w:rPr>
        <w:t xml:space="preserve"> case</w:t>
      </w:r>
      <w:r w:rsidR="00FD2350">
        <w:rPr>
          <w:sz w:val="18"/>
          <w:szCs w:val="18"/>
        </w:rPr>
        <w:t xml:space="preserve"> presents a total of 180 fatalities prevented</w:t>
      </w:r>
      <w:r w:rsidR="00D56A9B">
        <w:rPr>
          <w:sz w:val="18"/>
          <w:szCs w:val="18"/>
        </w:rPr>
        <w:t xml:space="preserve"> due to rounding</w:t>
      </w:r>
      <w:r w:rsidR="00FD2350">
        <w:rPr>
          <w:sz w:val="18"/>
          <w:szCs w:val="18"/>
        </w:rPr>
        <w:t xml:space="preserve">, </w:t>
      </w:r>
      <w:r w:rsidR="00D56A9B">
        <w:rPr>
          <w:sz w:val="18"/>
          <w:szCs w:val="18"/>
        </w:rPr>
        <w:t>in the case on the Hi estimate one additional fatality would be prevented under the proposed rule relative to the baseline.</w:t>
      </w:r>
      <w:r w:rsidR="00FD2350">
        <w:rPr>
          <w:sz w:val="18"/>
          <w:szCs w:val="18"/>
        </w:rPr>
        <w:t xml:space="preserve"> </w:t>
      </w:r>
    </w:p>
    <w:p w14:paraId="6F025CE1" w14:textId="77777777" w:rsidR="00AC1B9B" w:rsidRPr="00CB1E86" w:rsidRDefault="00AC1B9B" w:rsidP="0055589E">
      <w:pPr>
        <w:pStyle w:val="NoSpaceTimes"/>
      </w:pPr>
    </w:p>
    <w:p w14:paraId="48B2054B" w14:textId="77777777" w:rsidR="00AC1B9B" w:rsidRDefault="000F5B51" w:rsidP="0055589E">
      <w:pPr>
        <w:pStyle w:val="Heading2"/>
        <w:spacing w:line="240" w:lineRule="auto"/>
      </w:pPr>
      <w:bookmarkStart w:id="907" w:name="_Toc142902984"/>
      <w:r>
        <w:t>Indefinite Warning for Front Seat Occupants</w:t>
      </w:r>
      <w:bookmarkEnd w:id="907"/>
    </w:p>
    <w:p w14:paraId="4591448E" w14:textId="5A7537AB" w:rsidR="005E0C68" w:rsidRDefault="000F5B51" w:rsidP="005E0C68">
      <w:pPr>
        <w:spacing w:after="0"/>
        <w:rPr>
          <w:rFonts w:eastAsia="Times New Roman" w:cs="Times New Roman"/>
          <w:szCs w:val="24"/>
        </w:rPr>
      </w:pPr>
      <w:r>
        <w:rPr>
          <w:rFonts w:eastAsia="Times New Roman" w:cs="Times New Roman"/>
          <w:szCs w:val="24"/>
        </w:rPr>
        <w:t xml:space="preserve">This section presents </w:t>
      </w:r>
      <w:r>
        <w:t xml:space="preserve">the </w:t>
      </w:r>
      <w:r w:rsidR="001D2FEB">
        <w:t>incremental</w:t>
      </w:r>
      <w:r>
        <w:t xml:space="preserve"> benefits </w:t>
      </w:r>
      <w:r w:rsidR="001B0620">
        <w:t xml:space="preserve">resulting from </w:t>
      </w:r>
      <w:r>
        <w:t>the</w:t>
      </w:r>
      <w:r w:rsidR="00CA600B">
        <w:t xml:space="preserve"> </w:t>
      </w:r>
      <w:r>
        <w:t>requirements specified in the proposed rule</w:t>
      </w:r>
      <w:r w:rsidR="001807D8">
        <w:t xml:space="preserve"> for the indefinite warning</w:t>
      </w:r>
      <w:r w:rsidR="001B0620">
        <w:t xml:space="preserve"> for front seat occupants</w:t>
      </w:r>
      <w:r w:rsidR="001F2F92">
        <w:rPr>
          <w:rFonts w:eastAsia="Times New Roman" w:cs="Times New Roman"/>
          <w:szCs w:val="24"/>
        </w:rPr>
        <w:t xml:space="preserve">. </w:t>
      </w:r>
      <w:r w:rsidR="001D2FEB">
        <w:rPr>
          <w:rFonts w:eastAsia="Times New Roman" w:cs="Times New Roman"/>
          <w:szCs w:val="24"/>
        </w:rPr>
        <w:t xml:space="preserve">Incremental benefits </w:t>
      </w:r>
      <w:r w:rsidR="008A2AC4">
        <w:rPr>
          <w:rFonts w:eastAsia="Times New Roman" w:cs="Times New Roman"/>
          <w:szCs w:val="24"/>
        </w:rPr>
        <w:t>are those additional fatalities and non-fatal injuries prevented due to the increase in seat belt use under  the proposed rule relative seat belt use under the baseline</w:t>
      </w:r>
      <w:r w:rsidR="001F2F92">
        <w:rPr>
          <w:rFonts w:eastAsia="Times New Roman" w:cs="Times New Roman"/>
          <w:szCs w:val="24"/>
        </w:rPr>
        <w:t xml:space="preserve">. </w:t>
      </w:r>
      <w:r w:rsidR="009237FF">
        <w:rPr>
          <w:rFonts w:eastAsia="Times New Roman" w:cs="Times New Roman"/>
          <w:szCs w:val="24"/>
        </w:rPr>
        <w:t xml:space="preserve">In order to calculate incremental benefits, this analysis calculates the </w:t>
      </w:r>
      <w:r w:rsidR="005075B0">
        <w:rPr>
          <w:rFonts w:eastAsia="Times New Roman" w:cs="Times New Roman"/>
          <w:szCs w:val="24"/>
        </w:rPr>
        <w:t>number of fatalities and non-fatal injuries prevented given the</w:t>
      </w:r>
      <w:r w:rsidR="009237FF">
        <w:rPr>
          <w:rFonts w:eastAsia="Times New Roman" w:cs="Times New Roman"/>
          <w:szCs w:val="24"/>
        </w:rPr>
        <w:t xml:space="preserve"> current </w:t>
      </w:r>
      <w:r w:rsidR="005075B0">
        <w:rPr>
          <w:rFonts w:eastAsia="Times New Roman" w:cs="Times New Roman"/>
          <w:szCs w:val="24"/>
        </w:rPr>
        <w:t>seat belt</w:t>
      </w:r>
      <w:r w:rsidR="009237FF">
        <w:rPr>
          <w:rFonts w:eastAsia="Times New Roman" w:cs="Times New Roman"/>
          <w:szCs w:val="24"/>
        </w:rPr>
        <w:t xml:space="preserve"> use rates, as well as </w:t>
      </w:r>
      <w:r w:rsidR="00DC6015">
        <w:rPr>
          <w:rFonts w:eastAsia="Times New Roman" w:cs="Times New Roman"/>
          <w:szCs w:val="24"/>
        </w:rPr>
        <w:t xml:space="preserve">the </w:t>
      </w:r>
      <w:r w:rsidR="000454B8">
        <w:rPr>
          <w:rFonts w:eastAsia="Times New Roman" w:cs="Times New Roman"/>
          <w:szCs w:val="24"/>
        </w:rPr>
        <w:t xml:space="preserve">number of </w:t>
      </w:r>
      <w:r w:rsidR="00DC6015" w:rsidRPr="00DC6015">
        <w:rPr>
          <w:rFonts w:eastAsia="Times New Roman" w:cs="Times New Roman"/>
          <w:szCs w:val="24"/>
        </w:rPr>
        <w:t>fatalities and non-fatal injuries prevented due to the increase in seat belt use under the proposed rule</w:t>
      </w:r>
      <w:r w:rsidR="00DC6015">
        <w:rPr>
          <w:rFonts w:eastAsia="Times New Roman" w:cs="Times New Roman"/>
          <w:szCs w:val="24"/>
        </w:rPr>
        <w:t>.</w:t>
      </w:r>
      <w:r w:rsidR="00DC6015" w:rsidRPr="00DC6015">
        <w:rPr>
          <w:rFonts w:eastAsia="Times New Roman" w:cs="Times New Roman"/>
          <w:szCs w:val="24"/>
        </w:rPr>
        <w:t xml:space="preserve"> </w:t>
      </w:r>
      <w:r>
        <w:rPr>
          <w:rFonts w:eastAsia="Times New Roman" w:cs="Times New Roman"/>
          <w:szCs w:val="24"/>
        </w:rPr>
        <w:t>We first note non-fatal injuries and fatalities prevented are a function of the seat belt use rate</w:t>
      </w:r>
      <w:r w:rsidR="001F2F92">
        <w:rPr>
          <w:rFonts w:eastAsia="Times New Roman" w:cs="Times New Roman"/>
          <w:szCs w:val="24"/>
        </w:rPr>
        <w:t xml:space="preserve">. </w:t>
      </w:r>
      <w:r w:rsidR="009237FF">
        <w:rPr>
          <w:rFonts w:eastAsia="Times New Roman" w:cs="Times New Roman"/>
          <w:szCs w:val="24"/>
        </w:rPr>
        <w:t xml:space="preserve">In order to calculate </w:t>
      </w:r>
      <w:r w:rsidR="009C4448">
        <w:rPr>
          <w:rFonts w:eastAsia="Times New Roman" w:cs="Times New Roman"/>
          <w:szCs w:val="24"/>
        </w:rPr>
        <w:t xml:space="preserve">incremental </w:t>
      </w:r>
      <w:r w:rsidR="009237FF">
        <w:rPr>
          <w:rFonts w:eastAsia="Times New Roman" w:cs="Times New Roman"/>
          <w:szCs w:val="24"/>
        </w:rPr>
        <w:t>benefits,</w:t>
      </w:r>
      <w:r w:rsidR="00655929">
        <w:rPr>
          <w:rFonts w:eastAsia="Times New Roman" w:cs="Times New Roman"/>
          <w:szCs w:val="24"/>
        </w:rPr>
        <w:t xml:space="preserve"> </w:t>
      </w:r>
      <w:r w:rsidR="009237FF">
        <w:rPr>
          <w:rFonts w:eastAsia="Times New Roman" w:cs="Times New Roman"/>
          <w:szCs w:val="24"/>
        </w:rPr>
        <w:t xml:space="preserve">this </w:t>
      </w:r>
      <w:r w:rsidR="009237FF">
        <w:rPr>
          <w:rFonts w:eastAsia="Times New Roman" w:cs="Times New Roman"/>
          <w:szCs w:val="24"/>
        </w:rPr>
        <w:lastRenderedPageBreak/>
        <w:t xml:space="preserve">analysis must first establish the potential injuries and fatalities for </w:t>
      </w:r>
      <w:r w:rsidR="0003453C">
        <w:rPr>
          <w:rFonts w:eastAsia="Times New Roman" w:cs="Times New Roman"/>
          <w:szCs w:val="24"/>
        </w:rPr>
        <w:t xml:space="preserve">both drivers and passengers for both </w:t>
      </w:r>
      <w:r w:rsidR="009237FF">
        <w:rPr>
          <w:rFonts w:eastAsia="Times New Roman" w:cs="Times New Roman"/>
          <w:szCs w:val="24"/>
        </w:rPr>
        <w:t>vehicle type</w:t>
      </w:r>
      <w:r w:rsidR="0003453C">
        <w:rPr>
          <w:rFonts w:eastAsia="Times New Roman" w:cs="Times New Roman"/>
          <w:szCs w:val="24"/>
        </w:rPr>
        <w:t>s</w:t>
      </w:r>
      <w:r w:rsidR="001F2F92">
        <w:rPr>
          <w:rFonts w:eastAsia="Times New Roman" w:cs="Times New Roman"/>
          <w:szCs w:val="24"/>
        </w:rPr>
        <w:t xml:space="preserve">. </w:t>
      </w:r>
      <w:r>
        <w:rPr>
          <w:rFonts w:eastAsia="Times New Roman" w:cs="Times New Roman"/>
          <w:szCs w:val="24"/>
        </w:rPr>
        <w:t xml:space="preserve">Potential injuries and fatalities are those that </w:t>
      </w:r>
      <w:r w:rsidRPr="007C6BA9">
        <w:rPr>
          <w:rFonts w:eastAsia="Times New Roman" w:cs="Times New Roman"/>
          <w:szCs w:val="24"/>
        </w:rPr>
        <w:t xml:space="preserve">would </w:t>
      </w:r>
      <w:r>
        <w:rPr>
          <w:rFonts w:eastAsia="Times New Roman" w:cs="Times New Roman"/>
          <w:szCs w:val="24"/>
        </w:rPr>
        <w:t>occur</w:t>
      </w:r>
      <w:r w:rsidRPr="007C6BA9">
        <w:rPr>
          <w:rFonts w:eastAsia="Times New Roman" w:cs="Times New Roman"/>
          <w:szCs w:val="24"/>
        </w:rPr>
        <w:t xml:space="preserve"> in a world without seat belt usage</w:t>
      </w:r>
      <w:r>
        <w:rPr>
          <w:rFonts w:eastAsia="Times New Roman" w:cs="Times New Roman"/>
          <w:szCs w:val="24"/>
        </w:rPr>
        <w:t xml:space="preserve"> or a zero percent use rate</w:t>
      </w:r>
      <w:r w:rsidR="001F2F92">
        <w:rPr>
          <w:rFonts w:eastAsia="Times New Roman" w:cs="Times New Roman"/>
          <w:szCs w:val="24"/>
        </w:rPr>
        <w:t xml:space="preserve">. </w:t>
      </w:r>
      <w:r>
        <w:rPr>
          <w:rFonts w:eastAsia="Times New Roman" w:cs="Times New Roman"/>
          <w:szCs w:val="24"/>
        </w:rPr>
        <w:t xml:space="preserve">By establishing the potential injuries and fatalities, this analysis then estimates </w:t>
      </w:r>
      <w:r w:rsidR="00C72E4F">
        <w:rPr>
          <w:rFonts w:eastAsia="Times New Roman" w:cs="Times New Roman"/>
          <w:szCs w:val="24"/>
        </w:rPr>
        <w:t xml:space="preserve">the number of fatalities and non-fatal injuries </w:t>
      </w:r>
      <w:r>
        <w:rPr>
          <w:rFonts w:eastAsia="Times New Roman" w:cs="Times New Roman"/>
          <w:szCs w:val="24"/>
        </w:rPr>
        <w:t>based on seat belt use rates under both the baseline and the proposed rule</w:t>
      </w:r>
      <w:r w:rsidR="001F2F92">
        <w:rPr>
          <w:rFonts w:eastAsia="Times New Roman" w:cs="Times New Roman"/>
          <w:szCs w:val="24"/>
        </w:rPr>
        <w:t xml:space="preserve">. </w:t>
      </w:r>
      <w:r>
        <w:rPr>
          <w:rFonts w:eastAsia="Times New Roman" w:cs="Times New Roman"/>
          <w:szCs w:val="24"/>
        </w:rPr>
        <w:t xml:space="preserve">It then calculates incremental benefits associated with the proposed rule based on the difference between the baseline </w:t>
      </w:r>
      <w:r w:rsidR="00011883">
        <w:rPr>
          <w:rFonts w:eastAsia="Times New Roman" w:cs="Times New Roman"/>
          <w:szCs w:val="24"/>
        </w:rPr>
        <w:t xml:space="preserve">effects </w:t>
      </w:r>
      <w:r>
        <w:rPr>
          <w:rFonts w:eastAsia="Times New Roman" w:cs="Times New Roman"/>
          <w:szCs w:val="24"/>
        </w:rPr>
        <w:t xml:space="preserve">and </w:t>
      </w:r>
      <w:r w:rsidR="00011883">
        <w:rPr>
          <w:rFonts w:eastAsia="Times New Roman" w:cs="Times New Roman"/>
          <w:szCs w:val="24"/>
        </w:rPr>
        <w:t xml:space="preserve">benefits </w:t>
      </w:r>
      <w:r w:rsidR="00960B94">
        <w:rPr>
          <w:rFonts w:eastAsia="Times New Roman" w:cs="Times New Roman"/>
          <w:szCs w:val="24"/>
        </w:rPr>
        <w:t>under the proposed rule</w:t>
      </w:r>
      <w:r>
        <w:rPr>
          <w:rFonts w:eastAsia="Times New Roman" w:cs="Times New Roman"/>
          <w:szCs w:val="24"/>
        </w:rPr>
        <w:t>.</w:t>
      </w:r>
    </w:p>
    <w:p w14:paraId="70FFE84E" w14:textId="300E3749" w:rsidR="004F3442" w:rsidRDefault="000F5B51" w:rsidP="0068771B">
      <w:pPr>
        <w:rPr>
          <w:rFonts w:eastAsia="Times New Roman" w:cs="Times New Roman"/>
          <w:szCs w:val="24"/>
        </w:rPr>
      </w:pPr>
      <w:r>
        <w:rPr>
          <w:rFonts w:eastAsia="Times New Roman" w:cs="Times New Roman"/>
          <w:szCs w:val="24"/>
        </w:rPr>
        <w:t xml:space="preserve">This analysis makes use of the weighted </w:t>
      </w:r>
      <w:r w:rsidR="00F87F04">
        <w:rPr>
          <w:rFonts w:eastAsia="Times New Roman" w:cs="Times New Roman"/>
          <w:szCs w:val="24"/>
        </w:rPr>
        <w:t>sales proportions</w:t>
      </w:r>
      <w:r w:rsidR="007B4B0C">
        <w:rPr>
          <w:rFonts w:eastAsia="Times New Roman" w:cs="Times New Roman"/>
          <w:szCs w:val="24"/>
        </w:rPr>
        <w:t xml:space="preserve"> by warning type</w:t>
      </w:r>
      <w:r w:rsidR="005B66D6">
        <w:rPr>
          <w:rFonts w:eastAsia="Times New Roman" w:cs="Times New Roman"/>
          <w:szCs w:val="24"/>
        </w:rPr>
        <w:t xml:space="preserve"> in </w:t>
      </w:r>
      <w:r w:rsidR="007A6E1F">
        <w:rPr>
          <w:rFonts w:eastAsia="Times New Roman" w:cs="Times New Roman"/>
          <w:szCs w:val="24"/>
        </w:rPr>
        <w:fldChar w:fldCharType="begin"/>
      </w:r>
      <w:r w:rsidR="007A6E1F">
        <w:rPr>
          <w:rFonts w:eastAsia="Times New Roman" w:cs="Times New Roman"/>
          <w:szCs w:val="24"/>
        </w:rPr>
        <w:instrText xml:space="preserve"> REF _Ref128036762 \h </w:instrText>
      </w:r>
      <w:r w:rsidR="007A6E1F">
        <w:rPr>
          <w:rFonts w:eastAsia="Times New Roman" w:cs="Times New Roman"/>
          <w:szCs w:val="24"/>
        </w:rPr>
      </w:r>
      <w:r w:rsidR="007A6E1F">
        <w:rPr>
          <w:rFonts w:eastAsia="Times New Roman" w:cs="Times New Roman"/>
          <w:szCs w:val="24"/>
        </w:rPr>
        <w:fldChar w:fldCharType="separate"/>
      </w:r>
      <w:r w:rsidR="00A65CB3">
        <w:t xml:space="preserve">Table </w:t>
      </w:r>
      <w:r w:rsidR="00A65CB3">
        <w:rPr>
          <w:noProof/>
        </w:rPr>
        <w:t>8</w:t>
      </w:r>
      <w:r w:rsidR="007A6E1F">
        <w:rPr>
          <w:rFonts w:eastAsia="Times New Roman" w:cs="Times New Roman"/>
          <w:szCs w:val="24"/>
        </w:rPr>
        <w:fldChar w:fldCharType="end"/>
      </w:r>
      <w:r w:rsidR="00F87F04">
        <w:rPr>
          <w:rFonts w:eastAsia="Times New Roman" w:cs="Times New Roman"/>
          <w:szCs w:val="24"/>
        </w:rPr>
        <w:t xml:space="preserve"> to </w:t>
      </w:r>
      <w:r w:rsidR="005B66D6">
        <w:rPr>
          <w:rFonts w:eastAsia="Times New Roman" w:cs="Times New Roman"/>
          <w:szCs w:val="24"/>
        </w:rPr>
        <w:t xml:space="preserve">distribute </w:t>
      </w:r>
      <w:r w:rsidR="0043212A">
        <w:rPr>
          <w:rFonts w:eastAsia="Times New Roman" w:cs="Times New Roman"/>
          <w:szCs w:val="24"/>
        </w:rPr>
        <w:t xml:space="preserve">the </w:t>
      </w:r>
      <w:r w:rsidR="00F87F04">
        <w:rPr>
          <w:rFonts w:eastAsia="Times New Roman" w:cs="Times New Roman"/>
          <w:szCs w:val="24"/>
        </w:rPr>
        <w:t>non-fatal injuries and fatalities in the adjusted target population</w:t>
      </w:r>
      <w:r w:rsidR="005B66D6">
        <w:rPr>
          <w:rFonts w:eastAsia="Times New Roman" w:cs="Times New Roman"/>
          <w:szCs w:val="24"/>
        </w:rPr>
        <w:t xml:space="preserve"> by warning system under the baseline</w:t>
      </w:r>
      <w:r w:rsidR="001F2F92">
        <w:rPr>
          <w:rFonts w:eastAsia="Times New Roman" w:cs="Times New Roman"/>
          <w:szCs w:val="24"/>
        </w:rPr>
        <w:t xml:space="preserve">. </w:t>
      </w:r>
      <w:r w:rsidR="00F87F04">
        <w:rPr>
          <w:rFonts w:eastAsia="Times New Roman" w:cs="Times New Roman"/>
          <w:szCs w:val="24"/>
        </w:rPr>
        <w:t xml:space="preserve">That is, these sales proportions are used to </w:t>
      </w:r>
      <w:r w:rsidR="00B72177">
        <w:rPr>
          <w:rFonts w:eastAsia="Times New Roman" w:cs="Times New Roman"/>
          <w:szCs w:val="24"/>
        </w:rPr>
        <w:t>establish</w:t>
      </w:r>
      <w:r w:rsidR="00C3140F">
        <w:rPr>
          <w:rFonts w:eastAsia="Times New Roman" w:cs="Times New Roman"/>
          <w:szCs w:val="24"/>
        </w:rPr>
        <w:t xml:space="preserve"> the number of non-fatal injuries and fatalities </w:t>
      </w:r>
      <w:r w:rsidR="00B72177">
        <w:rPr>
          <w:rFonts w:eastAsia="Times New Roman" w:cs="Times New Roman"/>
          <w:szCs w:val="24"/>
        </w:rPr>
        <w:t xml:space="preserve">in the adjusted target population that </w:t>
      </w:r>
      <w:r w:rsidR="00EA567D">
        <w:rPr>
          <w:rFonts w:eastAsia="Times New Roman" w:cs="Times New Roman"/>
          <w:szCs w:val="24"/>
        </w:rPr>
        <w:t>occurred in vehicles with seven-second, 90-second, and indefinite warnings under the baseline</w:t>
      </w:r>
      <w:r w:rsidR="001F2F92">
        <w:rPr>
          <w:rFonts w:eastAsia="Times New Roman" w:cs="Times New Roman"/>
          <w:szCs w:val="24"/>
        </w:rPr>
        <w:t xml:space="preserve">. </w:t>
      </w:r>
      <w:r w:rsidR="00856003">
        <w:rPr>
          <w:rFonts w:eastAsia="Times New Roman" w:cs="Times New Roman"/>
          <w:szCs w:val="24"/>
        </w:rPr>
        <w:t>Furthermore,</w:t>
      </w:r>
      <w:r w:rsidR="00EA567D">
        <w:rPr>
          <w:rFonts w:eastAsia="Times New Roman" w:cs="Times New Roman"/>
          <w:szCs w:val="24"/>
        </w:rPr>
        <w:t xml:space="preserve"> by</w:t>
      </w:r>
      <w:r w:rsidR="00856003">
        <w:rPr>
          <w:rFonts w:eastAsia="Times New Roman" w:cs="Times New Roman"/>
          <w:szCs w:val="24"/>
        </w:rPr>
        <w:t xml:space="preserve"> </w:t>
      </w:r>
      <w:r w:rsidR="00EA567D">
        <w:rPr>
          <w:rFonts w:eastAsia="Times New Roman" w:cs="Times New Roman"/>
          <w:szCs w:val="24"/>
        </w:rPr>
        <w:t xml:space="preserve">allocating </w:t>
      </w:r>
      <w:r w:rsidR="000370D0">
        <w:rPr>
          <w:rFonts w:eastAsia="Times New Roman" w:cs="Times New Roman"/>
          <w:szCs w:val="24"/>
        </w:rPr>
        <w:t>the non-fatal injuries and fatalities in the adjusted target population by these</w:t>
      </w:r>
      <w:r w:rsidR="00856003">
        <w:rPr>
          <w:rFonts w:eastAsia="Times New Roman" w:cs="Times New Roman"/>
          <w:szCs w:val="24"/>
        </w:rPr>
        <w:t xml:space="preserve"> sales proportions</w:t>
      </w:r>
      <w:r w:rsidR="000370D0">
        <w:rPr>
          <w:rFonts w:eastAsia="Times New Roman" w:cs="Times New Roman"/>
          <w:szCs w:val="24"/>
        </w:rPr>
        <w:t>, we</w:t>
      </w:r>
      <w:r w:rsidR="00856003">
        <w:rPr>
          <w:rFonts w:eastAsia="Times New Roman" w:cs="Times New Roman"/>
          <w:szCs w:val="24"/>
        </w:rPr>
        <w:t xml:space="preserve"> ensure that </w:t>
      </w:r>
      <w:r w:rsidR="000370D0">
        <w:rPr>
          <w:rFonts w:eastAsia="Times New Roman" w:cs="Times New Roman"/>
          <w:szCs w:val="24"/>
        </w:rPr>
        <w:t xml:space="preserve">this analysis </w:t>
      </w:r>
      <w:r w:rsidR="00856003">
        <w:rPr>
          <w:rFonts w:eastAsia="Times New Roman" w:cs="Times New Roman"/>
          <w:szCs w:val="24"/>
        </w:rPr>
        <w:t>do</w:t>
      </w:r>
      <w:r w:rsidR="000370D0">
        <w:rPr>
          <w:rFonts w:eastAsia="Times New Roman" w:cs="Times New Roman"/>
          <w:szCs w:val="24"/>
        </w:rPr>
        <w:t>es</w:t>
      </w:r>
      <w:r w:rsidR="00856003">
        <w:rPr>
          <w:rFonts w:eastAsia="Times New Roman" w:cs="Times New Roman"/>
          <w:szCs w:val="24"/>
        </w:rPr>
        <w:t xml:space="preserve"> not claim any</w:t>
      </w:r>
      <w:r w:rsidR="00E01984">
        <w:rPr>
          <w:rFonts w:eastAsia="Times New Roman" w:cs="Times New Roman"/>
          <w:szCs w:val="24"/>
        </w:rPr>
        <w:t xml:space="preserve"> incremental</w:t>
      </w:r>
      <w:r w:rsidR="00856003">
        <w:rPr>
          <w:rFonts w:eastAsia="Times New Roman" w:cs="Times New Roman"/>
          <w:szCs w:val="24"/>
        </w:rPr>
        <w:t xml:space="preserve"> benefits for the 7.23 percent light vehicles already equipped with </w:t>
      </w:r>
      <w:r w:rsidR="00E01984">
        <w:rPr>
          <w:rFonts w:eastAsia="Times New Roman" w:cs="Times New Roman"/>
          <w:szCs w:val="24"/>
        </w:rPr>
        <w:t xml:space="preserve">an </w:t>
      </w:r>
      <w:r w:rsidR="00856003">
        <w:rPr>
          <w:rFonts w:eastAsia="Times New Roman" w:cs="Times New Roman"/>
          <w:szCs w:val="24"/>
        </w:rPr>
        <w:t>indefinite warning.</w:t>
      </w:r>
    </w:p>
    <w:p w14:paraId="247FE7AE" w14:textId="77777777" w:rsidR="00D27EE2" w:rsidRDefault="000F5B51" w:rsidP="0068771B">
      <w:pPr>
        <w:rPr>
          <w:rFonts w:eastAsia="Times New Roman" w:cs="Times New Roman"/>
          <w:szCs w:val="24"/>
        </w:rPr>
      </w:pPr>
      <w:r>
        <w:rPr>
          <w:rFonts w:cs="Times New Roman"/>
          <w:szCs w:val="24"/>
        </w:rPr>
        <w:t xml:space="preserve">We note that </w:t>
      </w:r>
      <w:r w:rsidR="00374350">
        <w:rPr>
          <w:rFonts w:cs="Times New Roman"/>
          <w:szCs w:val="24"/>
        </w:rPr>
        <w:t xml:space="preserve">Table </w:t>
      </w:r>
      <w:r w:rsidR="006E7D46">
        <w:rPr>
          <w:rFonts w:cs="Times New Roman"/>
          <w:szCs w:val="24"/>
        </w:rPr>
        <w:t>9</w:t>
      </w:r>
      <w:r w:rsidR="00374350">
        <w:rPr>
          <w:rFonts w:cs="Times New Roman"/>
          <w:szCs w:val="24"/>
        </w:rPr>
        <w:t xml:space="preserve"> </w:t>
      </w:r>
      <w:r>
        <w:rPr>
          <w:rFonts w:cs="Times New Roman"/>
          <w:szCs w:val="24"/>
        </w:rPr>
        <w:t>combin</w:t>
      </w:r>
      <w:r w:rsidR="00374350">
        <w:rPr>
          <w:rFonts w:cs="Times New Roman"/>
          <w:szCs w:val="24"/>
        </w:rPr>
        <w:t>es</w:t>
      </w:r>
      <w:r>
        <w:rPr>
          <w:rFonts w:cs="Times New Roman"/>
          <w:szCs w:val="24"/>
        </w:rPr>
        <w:t xml:space="preserve"> “90 second and “90+ seconds” into a single bin</w:t>
      </w:r>
      <w:r w:rsidR="00822B6C">
        <w:rPr>
          <w:rFonts w:cs="Times New Roman"/>
          <w:szCs w:val="24"/>
        </w:rPr>
        <w:t>.</w:t>
      </w:r>
      <w:r w:rsidR="00374350">
        <w:rPr>
          <w:rFonts w:cs="Times New Roman"/>
          <w:szCs w:val="24"/>
        </w:rPr>
        <w:t xml:space="preserve"> </w:t>
      </w:r>
      <w:r w:rsidR="00822B6C">
        <w:rPr>
          <w:rFonts w:cs="Times New Roman"/>
          <w:szCs w:val="24"/>
        </w:rPr>
        <w:t>T</w:t>
      </w:r>
      <w:r w:rsidR="00374350">
        <w:rPr>
          <w:rFonts w:cs="Times New Roman"/>
          <w:szCs w:val="24"/>
        </w:rPr>
        <w:t>herefore</w:t>
      </w:r>
      <w:r w:rsidR="00822B6C">
        <w:rPr>
          <w:rFonts w:cs="Times New Roman"/>
          <w:szCs w:val="24"/>
        </w:rPr>
        <w:t>,</w:t>
      </w:r>
      <w:r w:rsidR="00374350">
        <w:rPr>
          <w:rFonts w:cs="Times New Roman"/>
          <w:szCs w:val="24"/>
        </w:rPr>
        <w:t xml:space="preserve"> th</w:t>
      </w:r>
      <w:r w:rsidR="00822B6C">
        <w:rPr>
          <w:rFonts w:cs="Times New Roman"/>
          <w:szCs w:val="24"/>
        </w:rPr>
        <w:t>is</w:t>
      </w:r>
      <w:r w:rsidR="00374350">
        <w:rPr>
          <w:rFonts w:cs="Times New Roman"/>
          <w:szCs w:val="24"/>
        </w:rPr>
        <w:t xml:space="preserve"> analysis</w:t>
      </w:r>
      <w:r>
        <w:rPr>
          <w:rFonts w:cs="Times New Roman"/>
          <w:szCs w:val="24"/>
        </w:rPr>
        <w:t xml:space="preserve"> </w:t>
      </w:r>
      <w:r w:rsidR="00822B6C">
        <w:rPr>
          <w:rFonts w:cs="Times New Roman"/>
          <w:szCs w:val="24"/>
        </w:rPr>
        <w:t>may</w:t>
      </w:r>
      <w:r>
        <w:rPr>
          <w:rFonts w:cs="Times New Roman"/>
          <w:szCs w:val="24"/>
        </w:rPr>
        <w:t xml:space="preserve"> slightly overestimate safety benefits since a “90 seconds” warning system </w:t>
      </w:r>
      <w:r w:rsidR="00822B6C">
        <w:rPr>
          <w:rFonts w:cs="Times New Roman"/>
          <w:szCs w:val="24"/>
        </w:rPr>
        <w:t>c</w:t>
      </w:r>
      <w:r>
        <w:rPr>
          <w:rFonts w:cs="Times New Roman"/>
          <w:szCs w:val="24"/>
        </w:rPr>
        <w:t xml:space="preserve">ould be more effective than those </w:t>
      </w:r>
      <w:r w:rsidR="00822B6C">
        <w:rPr>
          <w:rFonts w:cs="Times New Roman"/>
          <w:szCs w:val="24"/>
        </w:rPr>
        <w:t xml:space="preserve">that </w:t>
      </w:r>
      <w:r>
        <w:rPr>
          <w:rFonts w:cs="Times New Roman"/>
          <w:szCs w:val="24"/>
        </w:rPr>
        <w:t>provide exactly 90 seconds of warning</w:t>
      </w:r>
      <w:r w:rsidR="001F2F92">
        <w:rPr>
          <w:rFonts w:cs="Times New Roman"/>
          <w:szCs w:val="24"/>
        </w:rPr>
        <w:t xml:space="preserve">. </w:t>
      </w:r>
      <w:r>
        <w:rPr>
          <w:rFonts w:cs="Times New Roman"/>
          <w:szCs w:val="24"/>
        </w:rPr>
        <w:t>Nevertheless, the effect of putting these systems together in the same bin would not be significant since the difference between a 90-second system and an indefinite warning system is relative</w:t>
      </w:r>
      <w:r w:rsidR="00FD0454">
        <w:rPr>
          <w:rFonts w:cs="Times New Roman"/>
          <w:szCs w:val="24"/>
        </w:rPr>
        <w:t>ly</w:t>
      </w:r>
      <w:r>
        <w:rPr>
          <w:rFonts w:cs="Times New Roman"/>
          <w:szCs w:val="24"/>
        </w:rPr>
        <w:t xml:space="preserve"> small based on </w:t>
      </w:r>
      <w:r w:rsidR="00B35E86">
        <w:rPr>
          <w:rFonts w:cs="Times New Roman"/>
          <w:szCs w:val="24"/>
        </w:rPr>
        <w:t xml:space="preserve">the </w:t>
      </w:r>
      <w:r>
        <w:rPr>
          <w:rFonts w:cs="Times New Roman"/>
          <w:szCs w:val="24"/>
        </w:rPr>
        <w:t>Kidd study, in terms of an increase in belt use rates</w:t>
      </w:r>
      <w:r w:rsidR="001F2F92">
        <w:rPr>
          <w:rFonts w:cs="Times New Roman"/>
          <w:szCs w:val="24"/>
        </w:rPr>
        <w:t xml:space="preserve">. </w:t>
      </w:r>
      <w:r>
        <w:rPr>
          <w:rFonts w:cs="Times New Roman"/>
          <w:szCs w:val="24"/>
        </w:rPr>
        <w:t>In other words, including 90+ seconds systems in the 90 second bin</w:t>
      </w:r>
      <w:r w:rsidR="00CB6577">
        <w:rPr>
          <w:rFonts w:cs="Times New Roman"/>
          <w:szCs w:val="24"/>
        </w:rPr>
        <w:t xml:space="preserve"> may</w:t>
      </w:r>
      <w:r>
        <w:rPr>
          <w:rFonts w:cs="Times New Roman"/>
          <w:szCs w:val="24"/>
        </w:rPr>
        <w:t xml:space="preserve"> underestimate </w:t>
      </w:r>
      <w:r w:rsidR="00CB6577">
        <w:rPr>
          <w:rFonts w:cs="Times New Roman"/>
          <w:szCs w:val="24"/>
        </w:rPr>
        <w:t xml:space="preserve">the </w:t>
      </w:r>
      <w:r>
        <w:rPr>
          <w:rFonts w:cs="Times New Roman"/>
          <w:szCs w:val="24"/>
        </w:rPr>
        <w:t>effectiveness of the 90+ seconds system</w:t>
      </w:r>
      <w:r w:rsidR="001F2F92">
        <w:rPr>
          <w:rFonts w:cs="Times New Roman"/>
          <w:szCs w:val="24"/>
        </w:rPr>
        <w:t xml:space="preserve">. </w:t>
      </w:r>
    </w:p>
    <w:p w14:paraId="59E7D50D" w14:textId="52A3A42F" w:rsidR="00377A5B" w:rsidRDefault="000F5B51" w:rsidP="0068771B">
      <w:pPr>
        <w:rPr>
          <w:rFonts w:eastAsia="Times New Roman" w:cs="Times New Roman"/>
          <w:szCs w:val="24"/>
        </w:rPr>
      </w:pPr>
      <w:r>
        <w:rPr>
          <w:rFonts w:eastAsia="Times New Roman" w:cs="Times New Roman"/>
          <w:szCs w:val="24"/>
        </w:rPr>
        <w:lastRenderedPageBreak/>
        <w:fldChar w:fldCharType="begin"/>
      </w:r>
      <w:r>
        <w:rPr>
          <w:rFonts w:eastAsia="Times New Roman" w:cs="Times New Roman"/>
          <w:szCs w:val="24"/>
        </w:rPr>
        <w:instrText xml:space="preserve"> REF _Ref126648937 \h </w:instrText>
      </w:r>
      <w:r>
        <w:rPr>
          <w:rFonts w:eastAsia="Times New Roman" w:cs="Times New Roman"/>
          <w:szCs w:val="24"/>
        </w:rPr>
      </w:r>
      <w:r>
        <w:rPr>
          <w:rFonts w:eastAsia="Times New Roman" w:cs="Times New Roman"/>
          <w:szCs w:val="24"/>
        </w:rPr>
        <w:fldChar w:fldCharType="separate"/>
      </w:r>
      <w:r w:rsidR="00A65CB3" w:rsidRPr="0026334C">
        <w:t xml:space="preserve">Table </w:t>
      </w:r>
      <w:r w:rsidR="00A65CB3">
        <w:rPr>
          <w:noProof/>
        </w:rPr>
        <w:t>47</w:t>
      </w:r>
      <w:r>
        <w:rPr>
          <w:rFonts w:eastAsia="Times New Roman" w:cs="Times New Roman"/>
          <w:szCs w:val="24"/>
        </w:rPr>
        <w:fldChar w:fldCharType="end"/>
      </w:r>
      <w:r>
        <w:rPr>
          <w:rFonts w:eastAsia="Times New Roman" w:cs="Times New Roman"/>
          <w:szCs w:val="24"/>
        </w:rPr>
        <w:t xml:space="preserve"> presents the adjusted target population for drivers by warning type</w:t>
      </w:r>
      <w:r w:rsidR="001F2F92">
        <w:rPr>
          <w:rFonts w:eastAsia="Times New Roman" w:cs="Times New Roman"/>
          <w:szCs w:val="24"/>
        </w:rPr>
        <w:t xml:space="preserve">. </w:t>
      </w:r>
      <w:r w:rsidR="004D4B94">
        <w:rPr>
          <w:rFonts w:eastAsia="Times New Roman" w:cs="Times New Roman"/>
          <w:szCs w:val="24"/>
        </w:rPr>
        <w:t xml:space="preserve">The </w:t>
      </w:r>
      <w:r w:rsidR="00C356E3">
        <w:rPr>
          <w:rFonts w:eastAsia="Times New Roman" w:cs="Times New Roman"/>
          <w:szCs w:val="24"/>
        </w:rPr>
        <w:t>adjusted target population for each warning type is calculated by reflected the sale proportion for that warning type on the number of non-fatal injuries and fatalities in the target population</w:t>
      </w:r>
      <w:r w:rsidR="001F2F92">
        <w:rPr>
          <w:rFonts w:eastAsia="Times New Roman" w:cs="Times New Roman"/>
          <w:szCs w:val="24"/>
        </w:rPr>
        <w:t xml:space="preserve">. </w:t>
      </w:r>
      <w:r w:rsidR="00C356E3">
        <w:rPr>
          <w:rFonts w:eastAsia="Times New Roman" w:cs="Times New Roman"/>
          <w:szCs w:val="24"/>
        </w:rPr>
        <w:t>The following presentation of the calculation of incremental benefits for drivers will address the target population by warning type</w:t>
      </w:r>
      <w:r w:rsidR="001F2F92">
        <w:rPr>
          <w:rFonts w:eastAsia="Times New Roman" w:cs="Times New Roman"/>
          <w:szCs w:val="24"/>
        </w:rPr>
        <w:t xml:space="preserve">. </w:t>
      </w:r>
      <w:r w:rsidR="00A443C0">
        <w:rPr>
          <w:rFonts w:eastAsia="Times New Roman" w:cs="Times New Roman"/>
          <w:szCs w:val="24"/>
        </w:rPr>
        <w:t xml:space="preserve">Note that </w:t>
      </w:r>
      <w:r w:rsidR="003D41D3">
        <w:rPr>
          <w:rFonts w:eastAsia="Times New Roman" w:cs="Times New Roman"/>
          <w:szCs w:val="24"/>
        </w:rPr>
        <w:t>th</w:t>
      </w:r>
      <w:r w:rsidR="00570763">
        <w:rPr>
          <w:rFonts w:eastAsia="Times New Roman" w:cs="Times New Roman"/>
          <w:szCs w:val="24"/>
        </w:rPr>
        <w:t>ere are no incremental benefits for the proportion of the target population which would already be equipped with an indefinite warning system.</w:t>
      </w:r>
    </w:p>
    <w:p w14:paraId="2DE54192" w14:textId="4CE1DD46" w:rsidR="0026334C" w:rsidRPr="0055589E" w:rsidRDefault="000F5B51" w:rsidP="0055589E">
      <w:pPr>
        <w:pStyle w:val="Caption"/>
      </w:pPr>
      <w:bookmarkStart w:id="908" w:name="_Ref126648937"/>
      <w:r w:rsidRPr="0026334C">
        <w:t xml:space="preserve">Table </w:t>
      </w:r>
      <w:r w:rsidR="00115BAB">
        <w:fldChar w:fldCharType="begin"/>
      </w:r>
      <w:r>
        <w:instrText xml:space="preserve"> SEQ Table \* ARABIC </w:instrText>
      </w:r>
      <w:r w:rsidR="00115BAB">
        <w:fldChar w:fldCharType="separate"/>
      </w:r>
      <w:r w:rsidR="00A65CB3">
        <w:rPr>
          <w:noProof/>
        </w:rPr>
        <w:t>47</w:t>
      </w:r>
      <w:r w:rsidR="00115BAB">
        <w:rPr>
          <w:noProof/>
        </w:rPr>
        <w:fldChar w:fldCharType="end"/>
      </w:r>
      <w:bookmarkEnd w:id="908"/>
      <w:r w:rsidRPr="0026334C">
        <w:t>: Adjusted Target Population for Drivers by Warning Type</w:t>
      </w:r>
    </w:p>
    <w:tbl>
      <w:tblPr>
        <w:tblW w:w="8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44"/>
        <w:gridCol w:w="2109"/>
        <w:gridCol w:w="1653"/>
        <w:gridCol w:w="1757"/>
        <w:gridCol w:w="1760"/>
      </w:tblGrid>
      <w:tr w:rsidR="00A15C2C" w14:paraId="3284AB57" w14:textId="77777777" w:rsidTr="003570BD">
        <w:trPr>
          <w:trHeight w:val="20"/>
          <w:jc w:val="center"/>
        </w:trPr>
        <w:tc>
          <w:tcPr>
            <w:tcW w:w="1444" w:type="dxa"/>
            <w:vMerge w:val="restart"/>
            <w:shd w:val="clear" w:color="auto" w:fill="D9D9D9" w:themeFill="background1" w:themeFillShade="D9"/>
            <w:vAlign w:val="center"/>
          </w:tcPr>
          <w:p w14:paraId="4F113C74" w14:textId="77777777" w:rsidR="0026334C" w:rsidRDefault="000F5B51" w:rsidP="0055589E">
            <w:pPr>
              <w:spacing w:after="0" w:line="240" w:lineRule="auto"/>
              <w:rPr>
                <w:rFonts w:eastAsia="Times New Roman" w:cs="Times New Roman"/>
                <w:b/>
                <w:bCs/>
                <w:color w:val="000000"/>
                <w:szCs w:val="24"/>
              </w:rPr>
            </w:pPr>
            <w:r>
              <w:rPr>
                <w:rFonts w:eastAsia="Times New Roman" w:cs="Times New Roman"/>
                <w:b/>
                <w:bCs/>
                <w:color w:val="000000"/>
                <w:szCs w:val="24"/>
              </w:rPr>
              <w:t>Injury Severity</w:t>
            </w:r>
          </w:p>
        </w:tc>
        <w:tc>
          <w:tcPr>
            <w:tcW w:w="2109" w:type="dxa"/>
            <w:vMerge w:val="restart"/>
            <w:shd w:val="clear" w:color="auto" w:fill="D9D9D9" w:themeFill="background1" w:themeFillShade="D9"/>
            <w:noWrap/>
            <w:vAlign w:val="center"/>
          </w:tcPr>
          <w:p w14:paraId="634913BE" w14:textId="77777777" w:rsidR="0026334C" w:rsidRDefault="000F5B51" w:rsidP="0055589E">
            <w:pPr>
              <w:spacing w:after="0" w:line="240" w:lineRule="auto"/>
              <w:jc w:val="center"/>
              <w:rPr>
                <w:rFonts w:eastAsia="Times New Roman" w:cs="Times New Roman"/>
                <w:b/>
                <w:bCs/>
                <w:color w:val="000000"/>
                <w:szCs w:val="24"/>
              </w:rPr>
            </w:pPr>
            <w:r>
              <w:rPr>
                <w:rFonts w:eastAsia="Times New Roman" w:cs="Times New Roman"/>
                <w:b/>
                <w:bCs/>
                <w:color w:val="000000"/>
                <w:szCs w:val="24"/>
              </w:rPr>
              <w:t>Adjusted Target Population</w:t>
            </w:r>
          </w:p>
          <w:p w14:paraId="0587458E" w14:textId="77777777" w:rsidR="0026334C" w:rsidRPr="0065045F" w:rsidRDefault="000F5B51" w:rsidP="0055589E">
            <w:pPr>
              <w:spacing w:after="0" w:line="240" w:lineRule="auto"/>
              <w:jc w:val="center"/>
              <w:rPr>
                <w:rFonts w:eastAsia="Times New Roman" w:cs="Times New Roman"/>
                <w:b/>
                <w:bCs/>
                <w:i/>
                <w:iCs/>
                <w:color w:val="000000"/>
                <w:szCs w:val="24"/>
              </w:rPr>
            </w:pPr>
            <w:r>
              <w:rPr>
                <w:rFonts w:eastAsia="Times New Roman" w:cs="Times New Roman"/>
                <w:b/>
                <w:bCs/>
                <w:i/>
                <w:iCs/>
                <w:color w:val="000000"/>
                <w:szCs w:val="24"/>
              </w:rPr>
              <w:t>(100%)</w:t>
            </w:r>
          </w:p>
        </w:tc>
        <w:tc>
          <w:tcPr>
            <w:tcW w:w="5169" w:type="dxa"/>
            <w:gridSpan w:val="3"/>
            <w:shd w:val="clear" w:color="auto" w:fill="D9D9D9" w:themeFill="background1" w:themeFillShade="D9"/>
            <w:noWrap/>
            <w:vAlign w:val="center"/>
          </w:tcPr>
          <w:p w14:paraId="318410C9" w14:textId="77777777" w:rsidR="0026334C" w:rsidRPr="00954B78" w:rsidRDefault="000F5B51" w:rsidP="0055589E">
            <w:pPr>
              <w:spacing w:after="0" w:line="240" w:lineRule="auto"/>
              <w:jc w:val="center"/>
              <w:rPr>
                <w:rFonts w:eastAsia="Times New Roman" w:cs="Times New Roman"/>
                <w:b/>
                <w:bCs/>
                <w:color w:val="000000"/>
                <w:szCs w:val="24"/>
              </w:rPr>
            </w:pPr>
            <w:r>
              <w:rPr>
                <w:rFonts w:eastAsia="Times New Roman" w:cs="Times New Roman"/>
                <w:b/>
                <w:bCs/>
                <w:color w:val="000000"/>
                <w:szCs w:val="24"/>
              </w:rPr>
              <w:t>Adjusted Target Population by Warning System</w:t>
            </w:r>
          </w:p>
        </w:tc>
      </w:tr>
      <w:tr w:rsidR="00A15C2C" w14:paraId="532EDA99" w14:textId="77777777" w:rsidTr="0055589E">
        <w:trPr>
          <w:trHeight w:val="845"/>
          <w:jc w:val="center"/>
        </w:trPr>
        <w:tc>
          <w:tcPr>
            <w:tcW w:w="1444" w:type="dxa"/>
            <w:vMerge/>
            <w:shd w:val="clear" w:color="auto" w:fill="D9D9D9" w:themeFill="background1" w:themeFillShade="D9"/>
            <w:vAlign w:val="center"/>
          </w:tcPr>
          <w:p w14:paraId="26ADE48D" w14:textId="77777777" w:rsidR="0026334C" w:rsidRDefault="0026334C" w:rsidP="0055589E">
            <w:pPr>
              <w:spacing w:after="0" w:line="240" w:lineRule="auto"/>
              <w:jc w:val="center"/>
              <w:rPr>
                <w:rFonts w:eastAsia="Times New Roman" w:cs="Times New Roman"/>
                <w:b/>
                <w:bCs/>
                <w:color w:val="000000"/>
                <w:szCs w:val="24"/>
              </w:rPr>
            </w:pPr>
          </w:p>
        </w:tc>
        <w:tc>
          <w:tcPr>
            <w:tcW w:w="2109" w:type="dxa"/>
            <w:vMerge/>
            <w:shd w:val="clear" w:color="auto" w:fill="D9D9D9" w:themeFill="background1" w:themeFillShade="D9"/>
            <w:noWrap/>
            <w:vAlign w:val="center"/>
          </w:tcPr>
          <w:p w14:paraId="7825B4AF" w14:textId="77777777" w:rsidR="0026334C" w:rsidRPr="00954B78" w:rsidRDefault="0026334C" w:rsidP="0055589E">
            <w:pPr>
              <w:spacing w:after="0" w:line="240" w:lineRule="auto"/>
              <w:jc w:val="center"/>
              <w:rPr>
                <w:rFonts w:eastAsia="Times New Roman" w:cs="Times New Roman"/>
                <w:b/>
                <w:bCs/>
                <w:color w:val="000000"/>
                <w:szCs w:val="24"/>
              </w:rPr>
            </w:pPr>
          </w:p>
        </w:tc>
        <w:tc>
          <w:tcPr>
            <w:tcW w:w="1653" w:type="dxa"/>
            <w:shd w:val="clear" w:color="auto" w:fill="D9D9D9" w:themeFill="background1" w:themeFillShade="D9"/>
            <w:noWrap/>
            <w:vAlign w:val="center"/>
          </w:tcPr>
          <w:p w14:paraId="59919801" w14:textId="77777777" w:rsidR="003570BD" w:rsidRDefault="000F5B51" w:rsidP="0055589E">
            <w:pPr>
              <w:spacing w:after="0" w:line="240" w:lineRule="auto"/>
              <w:jc w:val="center"/>
              <w:rPr>
                <w:rFonts w:eastAsia="Times New Roman" w:cs="Times New Roman"/>
                <w:b/>
                <w:bCs/>
                <w:color w:val="000000"/>
                <w:szCs w:val="24"/>
              </w:rPr>
            </w:pPr>
            <w:r>
              <w:rPr>
                <w:rFonts w:eastAsia="Times New Roman" w:cs="Times New Roman"/>
                <w:b/>
                <w:bCs/>
                <w:color w:val="000000"/>
                <w:szCs w:val="24"/>
              </w:rPr>
              <w:t>7-Second Warning</w:t>
            </w:r>
          </w:p>
          <w:p w14:paraId="41815713" w14:textId="77777777" w:rsidR="0026334C" w:rsidRPr="0065045F" w:rsidRDefault="000F5B51" w:rsidP="0055589E">
            <w:pPr>
              <w:spacing w:after="0" w:line="240" w:lineRule="auto"/>
              <w:jc w:val="center"/>
              <w:rPr>
                <w:rFonts w:eastAsia="Times New Roman" w:cs="Times New Roman"/>
                <w:b/>
                <w:bCs/>
                <w:i/>
                <w:iCs/>
                <w:color w:val="000000"/>
                <w:szCs w:val="24"/>
              </w:rPr>
            </w:pPr>
            <w:r>
              <w:rPr>
                <w:rFonts w:eastAsia="Times New Roman" w:cs="Times New Roman"/>
                <w:b/>
                <w:bCs/>
                <w:i/>
                <w:iCs/>
                <w:color w:val="000000"/>
                <w:szCs w:val="24"/>
              </w:rPr>
              <w:t>(7.63%)</w:t>
            </w:r>
          </w:p>
        </w:tc>
        <w:tc>
          <w:tcPr>
            <w:tcW w:w="1757" w:type="dxa"/>
            <w:shd w:val="clear" w:color="auto" w:fill="D9D9D9" w:themeFill="background1" w:themeFillShade="D9"/>
            <w:noWrap/>
            <w:vAlign w:val="center"/>
          </w:tcPr>
          <w:p w14:paraId="19F63F48" w14:textId="77777777" w:rsidR="0026334C" w:rsidRDefault="000F5B51" w:rsidP="0055589E">
            <w:pPr>
              <w:spacing w:after="0" w:line="240" w:lineRule="auto"/>
              <w:jc w:val="center"/>
              <w:rPr>
                <w:rFonts w:eastAsia="Times New Roman" w:cs="Times New Roman"/>
                <w:b/>
                <w:bCs/>
                <w:color w:val="000000"/>
                <w:szCs w:val="24"/>
              </w:rPr>
            </w:pPr>
            <w:r>
              <w:rPr>
                <w:rFonts w:eastAsia="Times New Roman" w:cs="Times New Roman"/>
                <w:b/>
                <w:bCs/>
                <w:color w:val="000000"/>
                <w:szCs w:val="24"/>
              </w:rPr>
              <w:t>90-Second Warning</w:t>
            </w:r>
          </w:p>
          <w:p w14:paraId="16E67CA8" w14:textId="77777777" w:rsidR="0026334C" w:rsidRPr="0065045F" w:rsidRDefault="000F5B51" w:rsidP="0055589E">
            <w:pPr>
              <w:spacing w:after="0" w:line="240" w:lineRule="auto"/>
              <w:jc w:val="center"/>
              <w:rPr>
                <w:rFonts w:eastAsia="Times New Roman" w:cs="Times New Roman"/>
                <w:b/>
                <w:bCs/>
                <w:i/>
                <w:iCs/>
                <w:color w:val="000000"/>
                <w:szCs w:val="24"/>
              </w:rPr>
            </w:pPr>
            <w:r w:rsidRPr="0065045F">
              <w:rPr>
                <w:rFonts w:eastAsia="Times New Roman" w:cs="Times New Roman"/>
                <w:b/>
                <w:bCs/>
                <w:i/>
                <w:iCs/>
                <w:color w:val="000000"/>
                <w:szCs w:val="24"/>
              </w:rPr>
              <w:t>(85.14%)</w:t>
            </w:r>
          </w:p>
        </w:tc>
        <w:tc>
          <w:tcPr>
            <w:tcW w:w="1758" w:type="dxa"/>
            <w:shd w:val="clear" w:color="auto" w:fill="D9D9D9" w:themeFill="background1" w:themeFillShade="D9"/>
            <w:vAlign w:val="center"/>
          </w:tcPr>
          <w:p w14:paraId="23490828" w14:textId="77777777" w:rsidR="0026334C" w:rsidRDefault="000F5B51" w:rsidP="0055589E">
            <w:pPr>
              <w:spacing w:after="0" w:line="240" w:lineRule="auto"/>
              <w:jc w:val="center"/>
              <w:rPr>
                <w:rFonts w:eastAsia="Times New Roman" w:cs="Times New Roman"/>
                <w:b/>
                <w:bCs/>
                <w:color w:val="000000"/>
                <w:szCs w:val="24"/>
              </w:rPr>
            </w:pPr>
            <w:r>
              <w:rPr>
                <w:rFonts w:eastAsia="Times New Roman" w:cs="Times New Roman"/>
                <w:b/>
                <w:bCs/>
                <w:color w:val="000000"/>
                <w:szCs w:val="24"/>
              </w:rPr>
              <w:t>Indefinite Warning</w:t>
            </w:r>
          </w:p>
          <w:p w14:paraId="43CAB92D" w14:textId="77777777" w:rsidR="0026334C" w:rsidRPr="0065045F" w:rsidRDefault="000F5B51" w:rsidP="0055589E">
            <w:pPr>
              <w:spacing w:after="0" w:line="240" w:lineRule="auto"/>
              <w:jc w:val="center"/>
              <w:rPr>
                <w:rFonts w:eastAsia="Times New Roman" w:cs="Times New Roman"/>
                <w:b/>
                <w:bCs/>
                <w:i/>
                <w:iCs/>
                <w:color w:val="000000"/>
                <w:szCs w:val="24"/>
              </w:rPr>
            </w:pPr>
            <w:r>
              <w:rPr>
                <w:rFonts w:eastAsia="Times New Roman" w:cs="Times New Roman"/>
                <w:b/>
                <w:bCs/>
                <w:i/>
                <w:iCs/>
                <w:color w:val="000000"/>
                <w:szCs w:val="24"/>
              </w:rPr>
              <w:t>(7.23%)</w:t>
            </w:r>
          </w:p>
        </w:tc>
      </w:tr>
      <w:tr w:rsidR="00A15C2C" w14:paraId="551C21FD" w14:textId="77777777" w:rsidTr="0055589E">
        <w:trPr>
          <w:trHeight w:val="20"/>
          <w:jc w:val="center"/>
        </w:trPr>
        <w:tc>
          <w:tcPr>
            <w:tcW w:w="8723" w:type="dxa"/>
            <w:gridSpan w:val="5"/>
            <w:shd w:val="clear" w:color="auto" w:fill="D9D9D9" w:themeFill="background1" w:themeFillShade="D9"/>
          </w:tcPr>
          <w:p w14:paraId="478504F6" w14:textId="77777777" w:rsidR="0026334C" w:rsidRPr="00012598" w:rsidRDefault="000F5B51" w:rsidP="00044F2E">
            <w:pPr>
              <w:spacing w:after="0" w:line="240" w:lineRule="auto"/>
              <w:ind w:firstLineChars="100" w:firstLine="241"/>
              <w:jc w:val="center"/>
              <w:rPr>
                <w:rFonts w:eastAsia="Times New Roman" w:cs="Times New Roman"/>
                <w:b/>
                <w:bCs/>
                <w:i/>
                <w:iCs/>
                <w:color w:val="000000"/>
                <w:szCs w:val="24"/>
              </w:rPr>
            </w:pPr>
            <w:r w:rsidRPr="00012598">
              <w:rPr>
                <w:rFonts w:eastAsia="Times New Roman" w:cs="Times New Roman"/>
                <w:b/>
                <w:bCs/>
                <w:i/>
                <w:iCs/>
                <w:color w:val="000000"/>
                <w:szCs w:val="24"/>
              </w:rPr>
              <w:t>Passenger Car</w:t>
            </w:r>
          </w:p>
        </w:tc>
      </w:tr>
      <w:tr w:rsidR="00A15C2C" w14:paraId="6A3EFD6C" w14:textId="77777777" w:rsidTr="0055589E">
        <w:trPr>
          <w:trHeight w:val="20"/>
          <w:jc w:val="center"/>
        </w:trPr>
        <w:tc>
          <w:tcPr>
            <w:tcW w:w="1444" w:type="dxa"/>
            <w:vAlign w:val="center"/>
          </w:tcPr>
          <w:p w14:paraId="3350D1D5" w14:textId="77777777" w:rsidR="0026334C" w:rsidRPr="008C3B0A" w:rsidRDefault="000F5B51" w:rsidP="00044F2E">
            <w:pPr>
              <w:spacing w:after="0" w:line="240" w:lineRule="auto"/>
              <w:rPr>
                <w:rFonts w:eastAsia="Times New Roman" w:cs="Times New Roman"/>
                <w:color w:val="000000"/>
                <w:szCs w:val="24"/>
              </w:rPr>
            </w:pPr>
            <w:r>
              <w:rPr>
                <w:rFonts w:eastAsia="Times New Roman" w:cs="Times New Roman"/>
                <w:color w:val="000000"/>
                <w:szCs w:val="24"/>
              </w:rPr>
              <w:t>MAIS 1</w:t>
            </w:r>
          </w:p>
        </w:tc>
        <w:tc>
          <w:tcPr>
            <w:tcW w:w="2109" w:type="dxa"/>
            <w:shd w:val="clear" w:color="auto" w:fill="auto"/>
            <w:noWrap/>
          </w:tcPr>
          <w:p w14:paraId="3E8EB9F0" w14:textId="77777777" w:rsidR="0026334C" w:rsidRPr="00954B78" w:rsidRDefault="000F5B51">
            <w:pPr>
              <w:spacing w:after="0" w:line="240" w:lineRule="auto"/>
              <w:jc w:val="center"/>
              <w:rPr>
                <w:rFonts w:eastAsia="Times New Roman" w:cs="Times New Roman"/>
                <w:color w:val="000000"/>
                <w:szCs w:val="24"/>
              </w:rPr>
            </w:pPr>
            <w:r w:rsidRPr="00170B2E">
              <w:t>33,276</w:t>
            </w:r>
          </w:p>
        </w:tc>
        <w:tc>
          <w:tcPr>
            <w:tcW w:w="1653" w:type="dxa"/>
            <w:shd w:val="clear" w:color="auto" w:fill="auto"/>
            <w:noWrap/>
          </w:tcPr>
          <w:p w14:paraId="047FF2B3" w14:textId="77777777" w:rsidR="0026334C" w:rsidRPr="00954B78" w:rsidRDefault="000F5B51">
            <w:pPr>
              <w:spacing w:after="0" w:line="240" w:lineRule="auto"/>
              <w:jc w:val="center"/>
              <w:rPr>
                <w:rFonts w:eastAsia="Times New Roman" w:cs="Times New Roman"/>
                <w:color w:val="000000"/>
                <w:szCs w:val="24"/>
              </w:rPr>
            </w:pPr>
            <w:r w:rsidRPr="00170B2E">
              <w:t>2,539</w:t>
            </w:r>
          </w:p>
        </w:tc>
        <w:tc>
          <w:tcPr>
            <w:tcW w:w="1757" w:type="dxa"/>
            <w:shd w:val="clear" w:color="auto" w:fill="auto"/>
            <w:noWrap/>
          </w:tcPr>
          <w:p w14:paraId="3B8E6D95" w14:textId="77777777" w:rsidR="0026334C" w:rsidRPr="00954B78" w:rsidRDefault="000F5B51">
            <w:pPr>
              <w:spacing w:after="0" w:line="240" w:lineRule="auto"/>
              <w:jc w:val="center"/>
              <w:rPr>
                <w:rFonts w:eastAsia="Times New Roman" w:cs="Times New Roman"/>
                <w:color w:val="000000"/>
                <w:szCs w:val="24"/>
              </w:rPr>
            </w:pPr>
            <w:r w:rsidRPr="00170B2E">
              <w:t>28,332</w:t>
            </w:r>
          </w:p>
        </w:tc>
        <w:tc>
          <w:tcPr>
            <w:tcW w:w="1758" w:type="dxa"/>
          </w:tcPr>
          <w:p w14:paraId="620EBB94" w14:textId="77777777" w:rsidR="0026334C" w:rsidRDefault="000F5B51">
            <w:pPr>
              <w:spacing w:after="0" w:line="240" w:lineRule="auto"/>
              <w:jc w:val="center"/>
              <w:rPr>
                <w:color w:val="000000"/>
              </w:rPr>
            </w:pPr>
            <w:r w:rsidRPr="00170B2E">
              <w:t>2,405</w:t>
            </w:r>
          </w:p>
        </w:tc>
      </w:tr>
      <w:tr w:rsidR="00A15C2C" w14:paraId="0584C555" w14:textId="77777777" w:rsidTr="0055589E">
        <w:trPr>
          <w:trHeight w:val="20"/>
          <w:jc w:val="center"/>
        </w:trPr>
        <w:tc>
          <w:tcPr>
            <w:tcW w:w="1444" w:type="dxa"/>
            <w:vAlign w:val="center"/>
          </w:tcPr>
          <w:p w14:paraId="0D8CFE37" w14:textId="77777777" w:rsidR="0026334C" w:rsidRPr="008C3B0A" w:rsidRDefault="000F5B51" w:rsidP="00044F2E">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2</w:t>
            </w:r>
          </w:p>
        </w:tc>
        <w:tc>
          <w:tcPr>
            <w:tcW w:w="2109" w:type="dxa"/>
            <w:shd w:val="clear" w:color="auto" w:fill="auto"/>
            <w:noWrap/>
          </w:tcPr>
          <w:p w14:paraId="75013F9F" w14:textId="77777777" w:rsidR="0026334C" w:rsidRPr="00954B78" w:rsidRDefault="000F5B51">
            <w:pPr>
              <w:spacing w:after="0" w:line="240" w:lineRule="auto"/>
              <w:jc w:val="center"/>
              <w:rPr>
                <w:rFonts w:eastAsia="Times New Roman" w:cs="Times New Roman"/>
                <w:color w:val="000000"/>
                <w:szCs w:val="24"/>
              </w:rPr>
            </w:pPr>
            <w:r w:rsidRPr="00170B2E">
              <w:t>14,561</w:t>
            </w:r>
          </w:p>
        </w:tc>
        <w:tc>
          <w:tcPr>
            <w:tcW w:w="1653" w:type="dxa"/>
            <w:shd w:val="clear" w:color="auto" w:fill="auto"/>
            <w:noWrap/>
          </w:tcPr>
          <w:p w14:paraId="4BF2A714" w14:textId="77777777" w:rsidR="0026334C" w:rsidRPr="00954B78" w:rsidRDefault="000F5B51">
            <w:pPr>
              <w:spacing w:after="0" w:line="240" w:lineRule="auto"/>
              <w:jc w:val="center"/>
              <w:rPr>
                <w:rFonts w:eastAsia="Times New Roman" w:cs="Times New Roman"/>
                <w:color w:val="000000"/>
                <w:szCs w:val="24"/>
              </w:rPr>
            </w:pPr>
            <w:r w:rsidRPr="00170B2E">
              <w:t>1,111</w:t>
            </w:r>
          </w:p>
        </w:tc>
        <w:tc>
          <w:tcPr>
            <w:tcW w:w="1757" w:type="dxa"/>
            <w:shd w:val="clear" w:color="auto" w:fill="auto"/>
            <w:noWrap/>
          </w:tcPr>
          <w:p w14:paraId="37008EE5" w14:textId="77777777" w:rsidR="0026334C" w:rsidRPr="00954B78" w:rsidRDefault="000F5B51">
            <w:pPr>
              <w:spacing w:after="0" w:line="240" w:lineRule="auto"/>
              <w:jc w:val="center"/>
              <w:rPr>
                <w:rFonts w:eastAsia="Times New Roman" w:cs="Times New Roman"/>
                <w:color w:val="000000"/>
                <w:szCs w:val="24"/>
              </w:rPr>
            </w:pPr>
            <w:r w:rsidRPr="00170B2E">
              <w:t>12,398</w:t>
            </w:r>
          </w:p>
        </w:tc>
        <w:tc>
          <w:tcPr>
            <w:tcW w:w="1758" w:type="dxa"/>
          </w:tcPr>
          <w:p w14:paraId="2B76BEDC" w14:textId="77777777" w:rsidR="0026334C" w:rsidRDefault="000F5B51">
            <w:pPr>
              <w:spacing w:after="0" w:line="240" w:lineRule="auto"/>
              <w:jc w:val="center"/>
              <w:rPr>
                <w:color w:val="000000"/>
              </w:rPr>
            </w:pPr>
            <w:r w:rsidRPr="00170B2E">
              <w:t>1,052</w:t>
            </w:r>
          </w:p>
        </w:tc>
      </w:tr>
      <w:tr w:rsidR="00A15C2C" w14:paraId="5B78E44A" w14:textId="77777777" w:rsidTr="0055589E">
        <w:trPr>
          <w:trHeight w:val="20"/>
          <w:jc w:val="center"/>
        </w:trPr>
        <w:tc>
          <w:tcPr>
            <w:tcW w:w="1444" w:type="dxa"/>
            <w:vAlign w:val="center"/>
          </w:tcPr>
          <w:p w14:paraId="51930553" w14:textId="77777777" w:rsidR="0026334C" w:rsidRPr="008C3B0A" w:rsidRDefault="000F5B51" w:rsidP="00044F2E">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3</w:t>
            </w:r>
          </w:p>
        </w:tc>
        <w:tc>
          <w:tcPr>
            <w:tcW w:w="2109" w:type="dxa"/>
            <w:shd w:val="clear" w:color="auto" w:fill="auto"/>
            <w:noWrap/>
          </w:tcPr>
          <w:p w14:paraId="10402AE1" w14:textId="77777777" w:rsidR="0026334C" w:rsidRPr="00954B78" w:rsidRDefault="000F5B51">
            <w:pPr>
              <w:spacing w:after="0" w:line="240" w:lineRule="auto"/>
              <w:jc w:val="center"/>
              <w:rPr>
                <w:rFonts w:eastAsia="Times New Roman" w:cs="Times New Roman"/>
                <w:color w:val="000000"/>
                <w:szCs w:val="24"/>
              </w:rPr>
            </w:pPr>
            <w:r w:rsidRPr="00170B2E">
              <w:t>4,019</w:t>
            </w:r>
          </w:p>
        </w:tc>
        <w:tc>
          <w:tcPr>
            <w:tcW w:w="1653" w:type="dxa"/>
            <w:shd w:val="clear" w:color="auto" w:fill="auto"/>
            <w:noWrap/>
          </w:tcPr>
          <w:p w14:paraId="08B9B888" w14:textId="77777777" w:rsidR="0026334C" w:rsidRPr="00954B78" w:rsidRDefault="000F5B51">
            <w:pPr>
              <w:spacing w:after="0" w:line="240" w:lineRule="auto"/>
              <w:jc w:val="center"/>
              <w:rPr>
                <w:rFonts w:eastAsia="Times New Roman" w:cs="Times New Roman"/>
                <w:color w:val="000000"/>
                <w:szCs w:val="24"/>
              </w:rPr>
            </w:pPr>
            <w:r w:rsidRPr="00170B2E">
              <w:t>307</w:t>
            </w:r>
          </w:p>
        </w:tc>
        <w:tc>
          <w:tcPr>
            <w:tcW w:w="1757" w:type="dxa"/>
            <w:shd w:val="clear" w:color="auto" w:fill="auto"/>
            <w:noWrap/>
          </w:tcPr>
          <w:p w14:paraId="57E8F51F" w14:textId="77777777" w:rsidR="0026334C" w:rsidRPr="00954B78" w:rsidRDefault="000F5B51">
            <w:pPr>
              <w:spacing w:after="0" w:line="240" w:lineRule="auto"/>
              <w:jc w:val="center"/>
              <w:rPr>
                <w:rFonts w:eastAsia="Times New Roman" w:cs="Times New Roman"/>
                <w:color w:val="000000"/>
                <w:szCs w:val="24"/>
              </w:rPr>
            </w:pPr>
            <w:r w:rsidRPr="00170B2E">
              <w:t>3,422</w:t>
            </w:r>
          </w:p>
        </w:tc>
        <w:tc>
          <w:tcPr>
            <w:tcW w:w="1758" w:type="dxa"/>
          </w:tcPr>
          <w:p w14:paraId="1F109D8D" w14:textId="77777777" w:rsidR="0026334C" w:rsidRDefault="000F5B51">
            <w:pPr>
              <w:spacing w:after="0" w:line="240" w:lineRule="auto"/>
              <w:jc w:val="center"/>
              <w:rPr>
                <w:color w:val="000000"/>
              </w:rPr>
            </w:pPr>
            <w:r w:rsidRPr="00170B2E">
              <w:t>290</w:t>
            </w:r>
          </w:p>
        </w:tc>
      </w:tr>
      <w:tr w:rsidR="00A15C2C" w14:paraId="6FE32C51" w14:textId="77777777" w:rsidTr="0055589E">
        <w:trPr>
          <w:trHeight w:val="20"/>
          <w:jc w:val="center"/>
        </w:trPr>
        <w:tc>
          <w:tcPr>
            <w:tcW w:w="1444" w:type="dxa"/>
            <w:vAlign w:val="center"/>
          </w:tcPr>
          <w:p w14:paraId="47DAE251" w14:textId="77777777" w:rsidR="0026334C" w:rsidRPr="008C3B0A" w:rsidRDefault="000F5B51" w:rsidP="00044F2E">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4</w:t>
            </w:r>
          </w:p>
        </w:tc>
        <w:tc>
          <w:tcPr>
            <w:tcW w:w="2109" w:type="dxa"/>
            <w:shd w:val="clear" w:color="auto" w:fill="auto"/>
            <w:noWrap/>
          </w:tcPr>
          <w:p w14:paraId="33292BCC" w14:textId="77777777" w:rsidR="0026334C" w:rsidRPr="00954B78" w:rsidRDefault="000F5B51">
            <w:pPr>
              <w:spacing w:after="0" w:line="240" w:lineRule="auto"/>
              <w:jc w:val="center"/>
              <w:rPr>
                <w:rFonts w:eastAsia="Times New Roman" w:cs="Times New Roman"/>
                <w:color w:val="000000"/>
                <w:szCs w:val="24"/>
              </w:rPr>
            </w:pPr>
            <w:r w:rsidRPr="00170B2E">
              <w:t>2,907</w:t>
            </w:r>
          </w:p>
        </w:tc>
        <w:tc>
          <w:tcPr>
            <w:tcW w:w="1653" w:type="dxa"/>
            <w:shd w:val="clear" w:color="auto" w:fill="auto"/>
            <w:noWrap/>
          </w:tcPr>
          <w:p w14:paraId="4D81F9F0" w14:textId="77777777" w:rsidR="0026334C" w:rsidRPr="00954B78" w:rsidRDefault="000F5B51">
            <w:pPr>
              <w:spacing w:after="0" w:line="240" w:lineRule="auto"/>
              <w:jc w:val="center"/>
              <w:rPr>
                <w:rFonts w:eastAsia="Times New Roman" w:cs="Times New Roman"/>
                <w:color w:val="000000"/>
                <w:szCs w:val="24"/>
              </w:rPr>
            </w:pPr>
            <w:r w:rsidRPr="00170B2E">
              <w:t>222</w:t>
            </w:r>
          </w:p>
        </w:tc>
        <w:tc>
          <w:tcPr>
            <w:tcW w:w="1757" w:type="dxa"/>
            <w:shd w:val="clear" w:color="auto" w:fill="auto"/>
            <w:noWrap/>
          </w:tcPr>
          <w:p w14:paraId="0E5E5B4F" w14:textId="77777777" w:rsidR="0026334C" w:rsidRPr="00954B78" w:rsidRDefault="000F5B51">
            <w:pPr>
              <w:spacing w:after="0" w:line="240" w:lineRule="auto"/>
              <w:jc w:val="center"/>
              <w:rPr>
                <w:rFonts w:eastAsia="Times New Roman" w:cs="Times New Roman"/>
                <w:color w:val="000000"/>
                <w:szCs w:val="24"/>
              </w:rPr>
            </w:pPr>
            <w:r w:rsidRPr="00170B2E">
              <w:t>2,475</w:t>
            </w:r>
          </w:p>
        </w:tc>
        <w:tc>
          <w:tcPr>
            <w:tcW w:w="1758" w:type="dxa"/>
          </w:tcPr>
          <w:p w14:paraId="54E1A77C" w14:textId="77777777" w:rsidR="0026334C" w:rsidRDefault="000F5B51">
            <w:pPr>
              <w:spacing w:after="0" w:line="240" w:lineRule="auto"/>
              <w:jc w:val="center"/>
              <w:rPr>
                <w:color w:val="000000"/>
              </w:rPr>
            </w:pPr>
            <w:r w:rsidRPr="00170B2E">
              <w:t>210</w:t>
            </w:r>
          </w:p>
        </w:tc>
      </w:tr>
      <w:tr w:rsidR="00A15C2C" w14:paraId="3E34F59D" w14:textId="77777777" w:rsidTr="0055589E">
        <w:trPr>
          <w:trHeight w:val="20"/>
          <w:jc w:val="center"/>
        </w:trPr>
        <w:tc>
          <w:tcPr>
            <w:tcW w:w="1444" w:type="dxa"/>
            <w:vAlign w:val="center"/>
          </w:tcPr>
          <w:p w14:paraId="79280B52" w14:textId="77777777" w:rsidR="0026334C" w:rsidRPr="008C3B0A" w:rsidRDefault="000F5B51" w:rsidP="00044F2E">
            <w:pPr>
              <w:spacing w:after="0" w:line="240" w:lineRule="auto"/>
              <w:rPr>
                <w:rFonts w:eastAsia="Times New Roman" w:cs="Times New Roman"/>
                <w:color w:val="000000"/>
                <w:szCs w:val="24"/>
              </w:rPr>
            </w:pPr>
            <w:r>
              <w:rPr>
                <w:rFonts w:eastAsia="Times New Roman" w:cs="Times New Roman"/>
                <w:color w:val="000000"/>
                <w:szCs w:val="24"/>
              </w:rPr>
              <w:t>MAIS 5</w:t>
            </w:r>
          </w:p>
        </w:tc>
        <w:tc>
          <w:tcPr>
            <w:tcW w:w="2109" w:type="dxa"/>
            <w:shd w:val="clear" w:color="auto" w:fill="auto"/>
            <w:noWrap/>
          </w:tcPr>
          <w:p w14:paraId="10473836" w14:textId="77777777" w:rsidR="0026334C" w:rsidRPr="00954B78" w:rsidRDefault="000F5B51">
            <w:pPr>
              <w:spacing w:after="0" w:line="240" w:lineRule="auto"/>
              <w:jc w:val="center"/>
              <w:rPr>
                <w:rFonts w:cs="Times New Roman"/>
                <w:color w:val="000000"/>
                <w:szCs w:val="24"/>
              </w:rPr>
            </w:pPr>
            <w:r w:rsidRPr="00170B2E">
              <w:t>71</w:t>
            </w:r>
          </w:p>
        </w:tc>
        <w:tc>
          <w:tcPr>
            <w:tcW w:w="1653" w:type="dxa"/>
            <w:shd w:val="clear" w:color="auto" w:fill="auto"/>
            <w:noWrap/>
          </w:tcPr>
          <w:p w14:paraId="174426FE" w14:textId="77777777" w:rsidR="0026334C" w:rsidRPr="00954B78" w:rsidRDefault="000F5B51">
            <w:pPr>
              <w:spacing w:after="0" w:line="240" w:lineRule="auto"/>
              <w:jc w:val="center"/>
              <w:rPr>
                <w:rFonts w:cs="Times New Roman"/>
                <w:color w:val="000000"/>
                <w:szCs w:val="24"/>
              </w:rPr>
            </w:pPr>
            <w:r w:rsidRPr="00170B2E">
              <w:t>5</w:t>
            </w:r>
          </w:p>
        </w:tc>
        <w:tc>
          <w:tcPr>
            <w:tcW w:w="1757" w:type="dxa"/>
            <w:shd w:val="clear" w:color="auto" w:fill="auto"/>
            <w:noWrap/>
          </w:tcPr>
          <w:p w14:paraId="2C989AAB" w14:textId="77777777" w:rsidR="0026334C" w:rsidRPr="00954B78" w:rsidRDefault="000F5B51">
            <w:pPr>
              <w:spacing w:after="0" w:line="240" w:lineRule="auto"/>
              <w:jc w:val="center"/>
              <w:rPr>
                <w:rFonts w:cs="Times New Roman"/>
                <w:color w:val="000000"/>
                <w:szCs w:val="24"/>
              </w:rPr>
            </w:pPr>
            <w:r w:rsidRPr="00170B2E">
              <w:t>60</w:t>
            </w:r>
          </w:p>
        </w:tc>
        <w:tc>
          <w:tcPr>
            <w:tcW w:w="1758" w:type="dxa"/>
          </w:tcPr>
          <w:p w14:paraId="75725507" w14:textId="77777777" w:rsidR="0026334C" w:rsidRDefault="000F5B51">
            <w:pPr>
              <w:spacing w:after="0" w:line="240" w:lineRule="auto"/>
              <w:jc w:val="center"/>
              <w:rPr>
                <w:color w:val="000000"/>
              </w:rPr>
            </w:pPr>
            <w:r w:rsidRPr="00170B2E">
              <w:t>6</w:t>
            </w:r>
          </w:p>
        </w:tc>
      </w:tr>
      <w:tr w:rsidR="00A15C2C" w14:paraId="73E74030" w14:textId="77777777" w:rsidTr="0055589E">
        <w:trPr>
          <w:trHeight w:val="20"/>
          <w:jc w:val="center"/>
        </w:trPr>
        <w:tc>
          <w:tcPr>
            <w:tcW w:w="1444" w:type="dxa"/>
            <w:vAlign w:val="center"/>
          </w:tcPr>
          <w:p w14:paraId="10BF5C7C" w14:textId="77777777" w:rsidR="0026334C" w:rsidRDefault="000F5B51" w:rsidP="00044F2E">
            <w:pPr>
              <w:spacing w:after="0" w:line="240" w:lineRule="auto"/>
              <w:rPr>
                <w:rFonts w:eastAsia="Times New Roman" w:cs="Times New Roman"/>
                <w:b/>
                <w:bCs/>
                <w:color w:val="000000"/>
                <w:szCs w:val="24"/>
              </w:rPr>
            </w:pPr>
            <w:r w:rsidRPr="00934F2C">
              <w:rPr>
                <w:rFonts w:eastAsia="Times New Roman" w:cs="Times New Roman"/>
                <w:b/>
                <w:bCs/>
                <w:color w:val="000000"/>
                <w:szCs w:val="24"/>
              </w:rPr>
              <w:t>Fatality</w:t>
            </w:r>
          </w:p>
        </w:tc>
        <w:tc>
          <w:tcPr>
            <w:tcW w:w="2109" w:type="dxa"/>
            <w:shd w:val="clear" w:color="auto" w:fill="auto"/>
            <w:noWrap/>
          </w:tcPr>
          <w:p w14:paraId="184BA95C" w14:textId="77777777" w:rsidR="0026334C" w:rsidRPr="00DA0C97" w:rsidRDefault="000F5B51">
            <w:pPr>
              <w:spacing w:after="0" w:line="240" w:lineRule="auto"/>
              <w:jc w:val="center"/>
              <w:rPr>
                <w:rFonts w:eastAsia="Times New Roman" w:cs="Times New Roman"/>
                <w:b/>
                <w:bCs/>
                <w:color w:val="000000"/>
                <w:szCs w:val="24"/>
              </w:rPr>
            </w:pPr>
            <w:r w:rsidRPr="00170B2E">
              <w:t>7,192</w:t>
            </w:r>
          </w:p>
        </w:tc>
        <w:tc>
          <w:tcPr>
            <w:tcW w:w="1653" w:type="dxa"/>
            <w:shd w:val="clear" w:color="auto" w:fill="auto"/>
            <w:noWrap/>
          </w:tcPr>
          <w:p w14:paraId="29ACFD9F" w14:textId="77777777" w:rsidR="0026334C" w:rsidRPr="00DA0C97" w:rsidRDefault="000F5B51">
            <w:pPr>
              <w:spacing w:after="0" w:line="240" w:lineRule="auto"/>
              <w:jc w:val="center"/>
              <w:rPr>
                <w:rFonts w:eastAsia="Times New Roman" w:cs="Times New Roman"/>
                <w:b/>
                <w:bCs/>
                <w:color w:val="000000"/>
                <w:szCs w:val="24"/>
              </w:rPr>
            </w:pPr>
            <w:r w:rsidRPr="00170B2E">
              <w:t>549</w:t>
            </w:r>
          </w:p>
        </w:tc>
        <w:tc>
          <w:tcPr>
            <w:tcW w:w="1757" w:type="dxa"/>
            <w:shd w:val="clear" w:color="auto" w:fill="auto"/>
            <w:noWrap/>
          </w:tcPr>
          <w:p w14:paraId="6C8A9660" w14:textId="77777777" w:rsidR="0026334C" w:rsidRPr="00DA0C97" w:rsidRDefault="000F5B51">
            <w:pPr>
              <w:spacing w:after="0" w:line="240" w:lineRule="auto"/>
              <w:jc w:val="center"/>
              <w:rPr>
                <w:rFonts w:eastAsia="Times New Roman" w:cs="Times New Roman"/>
                <w:b/>
                <w:bCs/>
                <w:color w:val="000000"/>
                <w:szCs w:val="24"/>
              </w:rPr>
            </w:pPr>
            <w:r w:rsidRPr="00170B2E">
              <w:t>6,123</w:t>
            </w:r>
          </w:p>
        </w:tc>
        <w:tc>
          <w:tcPr>
            <w:tcW w:w="1758" w:type="dxa"/>
          </w:tcPr>
          <w:p w14:paraId="1BB7C402" w14:textId="77777777" w:rsidR="0026334C" w:rsidRPr="00DA0C97" w:rsidRDefault="000F5B51">
            <w:pPr>
              <w:spacing w:after="0" w:line="240" w:lineRule="auto"/>
              <w:jc w:val="center"/>
              <w:rPr>
                <w:b/>
                <w:bCs/>
                <w:color w:val="000000"/>
              </w:rPr>
            </w:pPr>
            <w:r w:rsidRPr="00170B2E">
              <w:t>520</w:t>
            </w:r>
          </w:p>
        </w:tc>
      </w:tr>
      <w:tr w:rsidR="00A15C2C" w14:paraId="6AB51C5B" w14:textId="77777777" w:rsidTr="0055589E">
        <w:trPr>
          <w:trHeight w:val="20"/>
          <w:jc w:val="center"/>
        </w:trPr>
        <w:tc>
          <w:tcPr>
            <w:tcW w:w="8723" w:type="dxa"/>
            <w:gridSpan w:val="5"/>
            <w:shd w:val="clear" w:color="auto" w:fill="D9D9D9" w:themeFill="background1" w:themeFillShade="D9"/>
          </w:tcPr>
          <w:p w14:paraId="09966BE0" w14:textId="77777777" w:rsidR="0026334C" w:rsidRDefault="000F5B51" w:rsidP="00044F2E">
            <w:pPr>
              <w:spacing w:after="0" w:line="240" w:lineRule="auto"/>
              <w:ind w:firstLineChars="100" w:firstLine="241"/>
              <w:jc w:val="center"/>
              <w:rPr>
                <w:rFonts w:eastAsia="Times New Roman" w:cs="Times New Roman"/>
                <w:b/>
                <w:bCs/>
                <w:i/>
                <w:iCs/>
                <w:color w:val="000000"/>
                <w:szCs w:val="24"/>
              </w:rPr>
            </w:pPr>
            <w:r>
              <w:rPr>
                <w:rFonts w:eastAsia="Times New Roman" w:cs="Times New Roman"/>
                <w:b/>
                <w:bCs/>
                <w:i/>
                <w:iCs/>
                <w:color w:val="000000"/>
                <w:szCs w:val="24"/>
              </w:rPr>
              <w:t>Light Trucks</w:t>
            </w:r>
          </w:p>
        </w:tc>
      </w:tr>
      <w:tr w:rsidR="00A15C2C" w14:paraId="08CB9918" w14:textId="77777777" w:rsidTr="0055589E">
        <w:trPr>
          <w:trHeight w:val="20"/>
          <w:jc w:val="center"/>
        </w:trPr>
        <w:tc>
          <w:tcPr>
            <w:tcW w:w="1444" w:type="dxa"/>
            <w:vAlign w:val="center"/>
          </w:tcPr>
          <w:p w14:paraId="410DC0CD" w14:textId="77777777" w:rsidR="0026334C" w:rsidRPr="008C3B0A" w:rsidRDefault="000F5B51" w:rsidP="00044F2E">
            <w:pPr>
              <w:spacing w:after="0" w:line="240" w:lineRule="auto"/>
              <w:rPr>
                <w:rFonts w:eastAsia="Times New Roman" w:cs="Times New Roman"/>
                <w:color w:val="000000"/>
                <w:szCs w:val="24"/>
              </w:rPr>
            </w:pPr>
            <w:r>
              <w:rPr>
                <w:rFonts w:eastAsia="Times New Roman" w:cs="Times New Roman"/>
                <w:color w:val="000000"/>
                <w:szCs w:val="24"/>
              </w:rPr>
              <w:t>MAIS 1</w:t>
            </w:r>
          </w:p>
        </w:tc>
        <w:tc>
          <w:tcPr>
            <w:tcW w:w="2109" w:type="dxa"/>
            <w:shd w:val="clear" w:color="auto" w:fill="auto"/>
            <w:noWrap/>
          </w:tcPr>
          <w:p w14:paraId="47AA47F9" w14:textId="77777777" w:rsidR="0026334C" w:rsidRPr="00954B78" w:rsidRDefault="000F5B51">
            <w:pPr>
              <w:spacing w:after="0" w:line="240" w:lineRule="auto"/>
              <w:jc w:val="center"/>
              <w:rPr>
                <w:rFonts w:eastAsia="Times New Roman" w:cs="Times New Roman"/>
                <w:color w:val="000000"/>
                <w:szCs w:val="24"/>
              </w:rPr>
            </w:pPr>
            <w:r w:rsidRPr="000079C5">
              <w:t>23,883</w:t>
            </w:r>
          </w:p>
        </w:tc>
        <w:tc>
          <w:tcPr>
            <w:tcW w:w="1653" w:type="dxa"/>
            <w:shd w:val="clear" w:color="auto" w:fill="auto"/>
            <w:noWrap/>
          </w:tcPr>
          <w:p w14:paraId="6A97EA94" w14:textId="77777777" w:rsidR="0026334C" w:rsidRPr="00954B78" w:rsidRDefault="000F5B51">
            <w:pPr>
              <w:spacing w:after="0" w:line="240" w:lineRule="auto"/>
              <w:jc w:val="center"/>
              <w:rPr>
                <w:rFonts w:eastAsia="Times New Roman" w:cs="Times New Roman"/>
                <w:color w:val="000000"/>
                <w:szCs w:val="24"/>
              </w:rPr>
            </w:pPr>
            <w:r w:rsidRPr="000079C5">
              <w:t>1,822</w:t>
            </w:r>
          </w:p>
        </w:tc>
        <w:tc>
          <w:tcPr>
            <w:tcW w:w="1757" w:type="dxa"/>
            <w:shd w:val="clear" w:color="auto" w:fill="auto"/>
            <w:noWrap/>
          </w:tcPr>
          <w:p w14:paraId="610F28C6" w14:textId="77777777" w:rsidR="0026334C" w:rsidRPr="00954B78" w:rsidRDefault="000F5B51">
            <w:pPr>
              <w:spacing w:after="0" w:line="240" w:lineRule="auto"/>
              <w:jc w:val="center"/>
              <w:rPr>
                <w:rFonts w:eastAsia="Times New Roman" w:cs="Times New Roman"/>
                <w:color w:val="000000"/>
                <w:szCs w:val="24"/>
              </w:rPr>
            </w:pPr>
            <w:r w:rsidRPr="000079C5">
              <w:t>20,334</w:t>
            </w:r>
          </w:p>
        </w:tc>
        <w:tc>
          <w:tcPr>
            <w:tcW w:w="1758" w:type="dxa"/>
          </w:tcPr>
          <w:p w14:paraId="1D9C1B2F" w14:textId="77777777" w:rsidR="0026334C" w:rsidRDefault="000F5B51">
            <w:pPr>
              <w:spacing w:after="0" w:line="240" w:lineRule="auto"/>
              <w:jc w:val="center"/>
              <w:rPr>
                <w:color w:val="000000"/>
              </w:rPr>
            </w:pPr>
            <w:r w:rsidRPr="000079C5">
              <w:t>1,727</w:t>
            </w:r>
          </w:p>
        </w:tc>
      </w:tr>
      <w:tr w:rsidR="00A15C2C" w14:paraId="5B7302CD" w14:textId="77777777" w:rsidTr="0055589E">
        <w:trPr>
          <w:trHeight w:val="20"/>
          <w:jc w:val="center"/>
        </w:trPr>
        <w:tc>
          <w:tcPr>
            <w:tcW w:w="1444" w:type="dxa"/>
            <w:vAlign w:val="center"/>
          </w:tcPr>
          <w:p w14:paraId="05BCD7FB" w14:textId="77777777" w:rsidR="0026334C" w:rsidRPr="008C3B0A" w:rsidRDefault="000F5B51" w:rsidP="00044F2E">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2</w:t>
            </w:r>
          </w:p>
        </w:tc>
        <w:tc>
          <w:tcPr>
            <w:tcW w:w="2109" w:type="dxa"/>
            <w:shd w:val="clear" w:color="auto" w:fill="auto"/>
            <w:noWrap/>
          </w:tcPr>
          <w:p w14:paraId="38B67CBE" w14:textId="77777777" w:rsidR="0026334C" w:rsidRPr="00954B78" w:rsidRDefault="000F5B51">
            <w:pPr>
              <w:spacing w:after="0" w:line="240" w:lineRule="auto"/>
              <w:jc w:val="center"/>
              <w:rPr>
                <w:rFonts w:eastAsia="Times New Roman" w:cs="Times New Roman"/>
                <w:color w:val="000000"/>
                <w:szCs w:val="24"/>
              </w:rPr>
            </w:pPr>
            <w:r w:rsidRPr="000079C5">
              <w:t>8,111</w:t>
            </w:r>
          </w:p>
        </w:tc>
        <w:tc>
          <w:tcPr>
            <w:tcW w:w="1653" w:type="dxa"/>
            <w:shd w:val="clear" w:color="auto" w:fill="auto"/>
            <w:noWrap/>
          </w:tcPr>
          <w:p w14:paraId="4BDC6694" w14:textId="77777777" w:rsidR="0026334C" w:rsidRPr="00954B78" w:rsidRDefault="000F5B51">
            <w:pPr>
              <w:spacing w:after="0" w:line="240" w:lineRule="auto"/>
              <w:jc w:val="center"/>
              <w:rPr>
                <w:rFonts w:eastAsia="Times New Roman" w:cs="Times New Roman"/>
                <w:color w:val="000000"/>
                <w:szCs w:val="24"/>
              </w:rPr>
            </w:pPr>
            <w:r w:rsidRPr="000079C5">
              <w:t>619</w:t>
            </w:r>
          </w:p>
        </w:tc>
        <w:tc>
          <w:tcPr>
            <w:tcW w:w="1757" w:type="dxa"/>
            <w:shd w:val="clear" w:color="auto" w:fill="auto"/>
            <w:noWrap/>
          </w:tcPr>
          <w:p w14:paraId="615828A2" w14:textId="77777777" w:rsidR="0026334C" w:rsidRPr="00954B78" w:rsidRDefault="000F5B51">
            <w:pPr>
              <w:spacing w:after="0" w:line="240" w:lineRule="auto"/>
              <w:jc w:val="center"/>
              <w:rPr>
                <w:rFonts w:eastAsia="Times New Roman" w:cs="Times New Roman"/>
                <w:color w:val="000000"/>
                <w:szCs w:val="24"/>
              </w:rPr>
            </w:pPr>
            <w:r w:rsidRPr="000079C5">
              <w:t>6,905</w:t>
            </w:r>
          </w:p>
        </w:tc>
        <w:tc>
          <w:tcPr>
            <w:tcW w:w="1758" w:type="dxa"/>
          </w:tcPr>
          <w:p w14:paraId="0E1BCC23" w14:textId="77777777" w:rsidR="0026334C" w:rsidRDefault="000F5B51">
            <w:pPr>
              <w:spacing w:after="0" w:line="240" w:lineRule="auto"/>
              <w:jc w:val="center"/>
              <w:rPr>
                <w:color w:val="000000"/>
              </w:rPr>
            </w:pPr>
            <w:r w:rsidRPr="000079C5">
              <w:t>587</w:t>
            </w:r>
          </w:p>
        </w:tc>
      </w:tr>
      <w:tr w:rsidR="00A15C2C" w14:paraId="6CBA238D" w14:textId="77777777" w:rsidTr="0055589E">
        <w:trPr>
          <w:trHeight w:val="20"/>
          <w:jc w:val="center"/>
        </w:trPr>
        <w:tc>
          <w:tcPr>
            <w:tcW w:w="1444" w:type="dxa"/>
            <w:vAlign w:val="center"/>
          </w:tcPr>
          <w:p w14:paraId="663F5321" w14:textId="77777777" w:rsidR="0026334C" w:rsidRPr="008C3B0A" w:rsidRDefault="000F5B51" w:rsidP="00044F2E">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3</w:t>
            </w:r>
          </w:p>
        </w:tc>
        <w:tc>
          <w:tcPr>
            <w:tcW w:w="2109" w:type="dxa"/>
            <w:shd w:val="clear" w:color="auto" w:fill="auto"/>
            <w:noWrap/>
          </w:tcPr>
          <w:p w14:paraId="2664FEF8" w14:textId="77777777" w:rsidR="0026334C" w:rsidRPr="00954B78" w:rsidRDefault="000F5B51">
            <w:pPr>
              <w:spacing w:after="0" w:line="240" w:lineRule="auto"/>
              <w:jc w:val="center"/>
              <w:rPr>
                <w:rFonts w:cs="Times New Roman"/>
                <w:color w:val="000000"/>
                <w:szCs w:val="24"/>
              </w:rPr>
            </w:pPr>
            <w:r w:rsidRPr="000079C5">
              <w:t>53</w:t>
            </w:r>
          </w:p>
        </w:tc>
        <w:tc>
          <w:tcPr>
            <w:tcW w:w="1653" w:type="dxa"/>
            <w:shd w:val="clear" w:color="auto" w:fill="auto"/>
            <w:noWrap/>
          </w:tcPr>
          <w:p w14:paraId="0B962BBD" w14:textId="77777777" w:rsidR="0026334C" w:rsidRPr="00954B78" w:rsidRDefault="000F5B51">
            <w:pPr>
              <w:spacing w:after="0" w:line="240" w:lineRule="auto"/>
              <w:jc w:val="center"/>
              <w:rPr>
                <w:rFonts w:cs="Times New Roman"/>
                <w:color w:val="000000"/>
                <w:szCs w:val="24"/>
              </w:rPr>
            </w:pPr>
            <w:r w:rsidRPr="000079C5">
              <w:t>4</w:t>
            </w:r>
          </w:p>
        </w:tc>
        <w:tc>
          <w:tcPr>
            <w:tcW w:w="1757" w:type="dxa"/>
            <w:shd w:val="clear" w:color="auto" w:fill="auto"/>
            <w:noWrap/>
          </w:tcPr>
          <w:p w14:paraId="1B18BB9E" w14:textId="77777777" w:rsidR="0026334C" w:rsidRPr="00954B78" w:rsidRDefault="000F5B51">
            <w:pPr>
              <w:spacing w:after="0" w:line="240" w:lineRule="auto"/>
              <w:jc w:val="center"/>
              <w:rPr>
                <w:rFonts w:cs="Times New Roman"/>
                <w:color w:val="000000"/>
                <w:szCs w:val="24"/>
              </w:rPr>
            </w:pPr>
            <w:r w:rsidRPr="000079C5">
              <w:t>45</w:t>
            </w:r>
          </w:p>
        </w:tc>
        <w:tc>
          <w:tcPr>
            <w:tcW w:w="1758" w:type="dxa"/>
          </w:tcPr>
          <w:p w14:paraId="1EE25A97" w14:textId="77777777" w:rsidR="0026334C" w:rsidRDefault="000F5B51">
            <w:pPr>
              <w:spacing w:after="0" w:line="240" w:lineRule="auto"/>
              <w:jc w:val="center"/>
              <w:rPr>
                <w:color w:val="000000"/>
              </w:rPr>
            </w:pPr>
            <w:r w:rsidRPr="000079C5">
              <w:t>4</w:t>
            </w:r>
          </w:p>
        </w:tc>
      </w:tr>
      <w:tr w:rsidR="00A15C2C" w14:paraId="53754691" w14:textId="77777777" w:rsidTr="0055589E">
        <w:trPr>
          <w:trHeight w:val="20"/>
          <w:jc w:val="center"/>
        </w:trPr>
        <w:tc>
          <w:tcPr>
            <w:tcW w:w="1444" w:type="dxa"/>
            <w:vAlign w:val="center"/>
          </w:tcPr>
          <w:p w14:paraId="3BF2CA1D" w14:textId="77777777" w:rsidR="0026334C" w:rsidRPr="008C3B0A" w:rsidRDefault="000F5B51" w:rsidP="00044F2E">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4</w:t>
            </w:r>
          </w:p>
        </w:tc>
        <w:tc>
          <w:tcPr>
            <w:tcW w:w="2109" w:type="dxa"/>
            <w:shd w:val="clear" w:color="auto" w:fill="auto"/>
            <w:noWrap/>
          </w:tcPr>
          <w:p w14:paraId="6C4097F8" w14:textId="77777777" w:rsidR="0026334C" w:rsidRPr="00954B78" w:rsidRDefault="000F5B51">
            <w:pPr>
              <w:spacing w:after="0" w:line="240" w:lineRule="auto"/>
              <w:jc w:val="center"/>
              <w:rPr>
                <w:rFonts w:cs="Times New Roman"/>
                <w:color w:val="000000"/>
                <w:szCs w:val="24"/>
              </w:rPr>
            </w:pPr>
            <w:r w:rsidRPr="000079C5">
              <w:t>381</w:t>
            </w:r>
          </w:p>
        </w:tc>
        <w:tc>
          <w:tcPr>
            <w:tcW w:w="1653" w:type="dxa"/>
            <w:shd w:val="clear" w:color="auto" w:fill="auto"/>
            <w:noWrap/>
          </w:tcPr>
          <w:p w14:paraId="0512F258" w14:textId="77777777" w:rsidR="0026334C" w:rsidRPr="00954B78" w:rsidRDefault="000F5B51">
            <w:pPr>
              <w:spacing w:after="0" w:line="240" w:lineRule="auto"/>
              <w:jc w:val="center"/>
              <w:rPr>
                <w:rFonts w:cs="Times New Roman"/>
                <w:color w:val="000000"/>
                <w:szCs w:val="24"/>
              </w:rPr>
            </w:pPr>
            <w:r w:rsidRPr="000079C5">
              <w:t>29</w:t>
            </w:r>
          </w:p>
        </w:tc>
        <w:tc>
          <w:tcPr>
            <w:tcW w:w="1757" w:type="dxa"/>
            <w:shd w:val="clear" w:color="auto" w:fill="auto"/>
            <w:noWrap/>
          </w:tcPr>
          <w:p w14:paraId="42E7C727" w14:textId="77777777" w:rsidR="0026334C" w:rsidRPr="00954B78" w:rsidRDefault="000F5B51">
            <w:pPr>
              <w:spacing w:after="0" w:line="240" w:lineRule="auto"/>
              <w:jc w:val="center"/>
              <w:rPr>
                <w:rFonts w:cs="Times New Roman"/>
                <w:color w:val="000000"/>
                <w:szCs w:val="24"/>
              </w:rPr>
            </w:pPr>
            <w:r w:rsidRPr="000079C5">
              <w:t>324</w:t>
            </w:r>
          </w:p>
        </w:tc>
        <w:tc>
          <w:tcPr>
            <w:tcW w:w="1758" w:type="dxa"/>
          </w:tcPr>
          <w:p w14:paraId="50CFEAF3" w14:textId="77777777" w:rsidR="0026334C" w:rsidRDefault="000F5B51">
            <w:pPr>
              <w:spacing w:after="0" w:line="240" w:lineRule="auto"/>
              <w:jc w:val="center"/>
              <w:rPr>
                <w:color w:val="000000"/>
              </w:rPr>
            </w:pPr>
            <w:r w:rsidRPr="000079C5">
              <w:t>28</w:t>
            </w:r>
          </w:p>
        </w:tc>
      </w:tr>
      <w:tr w:rsidR="00A15C2C" w14:paraId="2FDE95E2" w14:textId="77777777" w:rsidTr="003570BD">
        <w:trPr>
          <w:trHeight w:val="20"/>
          <w:jc w:val="center"/>
        </w:trPr>
        <w:tc>
          <w:tcPr>
            <w:tcW w:w="1444" w:type="dxa"/>
            <w:vAlign w:val="center"/>
          </w:tcPr>
          <w:p w14:paraId="5520FDCB" w14:textId="77777777" w:rsidR="0026334C" w:rsidRPr="008C3B0A" w:rsidRDefault="000F5B51" w:rsidP="00044F2E">
            <w:pPr>
              <w:spacing w:after="0" w:line="240" w:lineRule="auto"/>
              <w:rPr>
                <w:rFonts w:eastAsia="Times New Roman" w:cs="Times New Roman"/>
                <w:color w:val="000000"/>
                <w:szCs w:val="24"/>
              </w:rPr>
            </w:pPr>
            <w:r>
              <w:rPr>
                <w:rFonts w:eastAsia="Times New Roman" w:cs="Times New Roman"/>
                <w:color w:val="000000"/>
                <w:szCs w:val="24"/>
              </w:rPr>
              <w:t>MAIS 5</w:t>
            </w:r>
          </w:p>
        </w:tc>
        <w:tc>
          <w:tcPr>
            <w:tcW w:w="2109" w:type="dxa"/>
            <w:shd w:val="clear" w:color="auto" w:fill="auto"/>
            <w:noWrap/>
          </w:tcPr>
          <w:p w14:paraId="6DB53BC5" w14:textId="77777777" w:rsidR="0026334C" w:rsidRPr="00954B78" w:rsidRDefault="000F5B51">
            <w:pPr>
              <w:spacing w:after="0" w:line="240" w:lineRule="auto"/>
              <w:jc w:val="center"/>
              <w:rPr>
                <w:rFonts w:cs="Times New Roman"/>
                <w:color w:val="000000"/>
                <w:szCs w:val="24"/>
              </w:rPr>
            </w:pPr>
            <w:r w:rsidRPr="000079C5">
              <w:t>28</w:t>
            </w:r>
          </w:p>
        </w:tc>
        <w:tc>
          <w:tcPr>
            <w:tcW w:w="1653" w:type="dxa"/>
            <w:shd w:val="clear" w:color="auto" w:fill="auto"/>
            <w:noWrap/>
          </w:tcPr>
          <w:p w14:paraId="5CC2EB67" w14:textId="77777777" w:rsidR="0026334C" w:rsidRPr="00954B78" w:rsidRDefault="000F5B51">
            <w:pPr>
              <w:spacing w:after="0" w:line="240" w:lineRule="auto"/>
              <w:jc w:val="center"/>
              <w:rPr>
                <w:rFonts w:cs="Times New Roman"/>
                <w:color w:val="000000"/>
                <w:szCs w:val="24"/>
              </w:rPr>
            </w:pPr>
            <w:r w:rsidRPr="000079C5">
              <w:t>2</w:t>
            </w:r>
          </w:p>
        </w:tc>
        <w:tc>
          <w:tcPr>
            <w:tcW w:w="1757" w:type="dxa"/>
            <w:shd w:val="clear" w:color="auto" w:fill="auto"/>
            <w:noWrap/>
          </w:tcPr>
          <w:p w14:paraId="3CCDAB8E" w14:textId="77777777" w:rsidR="0026334C" w:rsidRPr="00954B78" w:rsidRDefault="000F5B51">
            <w:pPr>
              <w:spacing w:after="0" w:line="240" w:lineRule="auto"/>
              <w:jc w:val="center"/>
              <w:rPr>
                <w:rFonts w:cs="Times New Roman"/>
                <w:color w:val="000000"/>
                <w:szCs w:val="24"/>
              </w:rPr>
            </w:pPr>
            <w:r w:rsidRPr="000079C5">
              <w:t>23</w:t>
            </w:r>
          </w:p>
        </w:tc>
        <w:tc>
          <w:tcPr>
            <w:tcW w:w="1758" w:type="dxa"/>
          </w:tcPr>
          <w:p w14:paraId="393B37F5" w14:textId="77777777" w:rsidR="0026334C" w:rsidRDefault="000F5B51">
            <w:pPr>
              <w:spacing w:after="0" w:line="240" w:lineRule="auto"/>
              <w:jc w:val="center"/>
              <w:rPr>
                <w:color w:val="000000"/>
              </w:rPr>
            </w:pPr>
            <w:r w:rsidRPr="000079C5">
              <w:t>3</w:t>
            </w:r>
          </w:p>
        </w:tc>
      </w:tr>
      <w:tr w:rsidR="00A15C2C" w14:paraId="3ACF98D2" w14:textId="77777777" w:rsidTr="003570BD">
        <w:trPr>
          <w:trHeight w:val="20"/>
          <w:jc w:val="center"/>
        </w:trPr>
        <w:tc>
          <w:tcPr>
            <w:tcW w:w="1444" w:type="dxa"/>
            <w:vAlign w:val="center"/>
          </w:tcPr>
          <w:p w14:paraId="0928DDD1" w14:textId="77777777" w:rsidR="0026334C" w:rsidRDefault="000F5B51" w:rsidP="00044F2E">
            <w:pPr>
              <w:spacing w:after="0" w:line="240" w:lineRule="auto"/>
              <w:rPr>
                <w:rFonts w:eastAsia="Times New Roman" w:cs="Times New Roman"/>
                <w:b/>
                <w:bCs/>
                <w:color w:val="000000"/>
                <w:szCs w:val="24"/>
              </w:rPr>
            </w:pPr>
            <w:r w:rsidRPr="00934F2C">
              <w:rPr>
                <w:rFonts w:eastAsia="Times New Roman" w:cs="Times New Roman"/>
                <w:b/>
                <w:bCs/>
                <w:color w:val="000000"/>
                <w:szCs w:val="24"/>
              </w:rPr>
              <w:t>Fatality</w:t>
            </w:r>
          </w:p>
        </w:tc>
        <w:tc>
          <w:tcPr>
            <w:tcW w:w="2109" w:type="dxa"/>
            <w:shd w:val="clear" w:color="auto" w:fill="auto"/>
            <w:noWrap/>
          </w:tcPr>
          <w:p w14:paraId="7FD23ED0" w14:textId="77777777" w:rsidR="0026334C" w:rsidRPr="006D32C0" w:rsidRDefault="000F5B51">
            <w:pPr>
              <w:spacing w:after="0" w:line="240" w:lineRule="auto"/>
              <w:jc w:val="center"/>
              <w:rPr>
                <w:rFonts w:eastAsia="Times New Roman" w:cs="Times New Roman"/>
                <w:b/>
                <w:bCs/>
                <w:color w:val="000000"/>
                <w:szCs w:val="24"/>
              </w:rPr>
            </w:pPr>
            <w:r w:rsidRPr="000079C5">
              <w:t>4,956</w:t>
            </w:r>
          </w:p>
        </w:tc>
        <w:tc>
          <w:tcPr>
            <w:tcW w:w="1653" w:type="dxa"/>
            <w:shd w:val="clear" w:color="auto" w:fill="auto"/>
            <w:noWrap/>
          </w:tcPr>
          <w:p w14:paraId="3FC0B1FD" w14:textId="77777777" w:rsidR="0026334C" w:rsidRPr="006D32C0" w:rsidRDefault="000F5B51">
            <w:pPr>
              <w:spacing w:after="0" w:line="240" w:lineRule="auto"/>
              <w:jc w:val="center"/>
              <w:rPr>
                <w:rFonts w:eastAsia="Times New Roman" w:cs="Times New Roman"/>
                <w:b/>
                <w:bCs/>
                <w:color w:val="000000"/>
                <w:szCs w:val="24"/>
              </w:rPr>
            </w:pPr>
            <w:r w:rsidRPr="000079C5">
              <w:t>378</w:t>
            </w:r>
          </w:p>
        </w:tc>
        <w:tc>
          <w:tcPr>
            <w:tcW w:w="1757" w:type="dxa"/>
            <w:shd w:val="clear" w:color="auto" w:fill="auto"/>
            <w:noWrap/>
          </w:tcPr>
          <w:p w14:paraId="5E791DA3" w14:textId="77777777" w:rsidR="0026334C" w:rsidRPr="00934F2C" w:rsidRDefault="000F5B51">
            <w:pPr>
              <w:spacing w:after="0" w:line="240" w:lineRule="auto"/>
              <w:jc w:val="center"/>
              <w:rPr>
                <w:rFonts w:eastAsia="Times New Roman" w:cs="Times New Roman"/>
                <w:b/>
                <w:bCs/>
                <w:color w:val="000000"/>
                <w:szCs w:val="24"/>
              </w:rPr>
            </w:pPr>
            <w:r w:rsidRPr="000079C5">
              <w:t>4,220</w:t>
            </w:r>
          </w:p>
        </w:tc>
        <w:tc>
          <w:tcPr>
            <w:tcW w:w="1758" w:type="dxa"/>
          </w:tcPr>
          <w:p w14:paraId="6772D12D" w14:textId="77777777" w:rsidR="0026334C" w:rsidRDefault="000F5B51">
            <w:pPr>
              <w:spacing w:after="0" w:line="240" w:lineRule="auto"/>
              <w:jc w:val="center"/>
              <w:rPr>
                <w:b/>
                <w:bCs/>
                <w:color w:val="000000"/>
              </w:rPr>
            </w:pPr>
            <w:r w:rsidRPr="000079C5">
              <w:t>358</w:t>
            </w:r>
          </w:p>
        </w:tc>
      </w:tr>
    </w:tbl>
    <w:p w14:paraId="4926723A" w14:textId="77777777" w:rsidR="00D2162C" w:rsidRDefault="00D2162C" w:rsidP="0055589E">
      <w:pPr>
        <w:pStyle w:val="NoSpaceTimes"/>
      </w:pPr>
    </w:p>
    <w:p w14:paraId="28F2C590" w14:textId="2B11EB62" w:rsidR="00377A5B" w:rsidRDefault="000F5B51" w:rsidP="00E10278">
      <w:r>
        <w:rPr>
          <w:rFonts w:eastAsia="Times New Roman" w:cs="Times New Roman"/>
          <w:szCs w:val="24"/>
        </w:rPr>
        <w:fldChar w:fldCharType="begin"/>
      </w:r>
      <w:r>
        <w:rPr>
          <w:rFonts w:eastAsia="Times New Roman" w:cs="Times New Roman"/>
          <w:szCs w:val="24"/>
        </w:rPr>
        <w:instrText xml:space="preserve"> REF _Ref126649547 \h </w:instrText>
      </w:r>
      <w:r>
        <w:rPr>
          <w:rFonts w:eastAsia="Times New Roman" w:cs="Times New Roman"/>
          <w:szCs w:val="24"/>
        </w:rPr>
      </w:r>
      <w:r>
        <w:rPr>
          <w:rFonts w:eastAsia="Times New Roman" w:cs="Times New Roman"/>
          <w:szCs w:val="24"/>
        </w:rPr>
        <w:fldChar w:fldCharType="separate"/>
      </w:r>
      <w:r w:rsidR="00A65CB3">
        <w:t xml:space="preserve">Table </w:t>
      </w:r>
      <w:r w:rsidR="00A65CB3">
        <w:rPr>
          <w:noProof/>
        </w:rPr>
        <w:t>48</w:t>
      </w:r>
      <w:r>
        <w:rPr>
          <w:rFonts w:eastAsia="Times New Roman" w:cs="Times New Roman"/>
          <w:szCs w:val="24"/>
        </w:rPr>
        <w:fldChar w:fldCharType="end"/>
      </w:r>
      <w:r>
        <w:rPr>
          <w:rFonts w:eastAsia="Times New Roman" w:cs="Times New Roman"/>
          <w:szCs w:val="24"/>
        </w:rPr>
        <w:t xml:space="preserve"> and </w:t>
      </w:r>
      <w:r>
        <w:rPr>
          <w:rFonts w:eastAsia="Times New Roman" w:cs="Times New Roman"/>
          <w:szCs w:val="24"/>
        </w:rPr>
        <w:fldChar w:fldCharType="begin"/>
      </w:r>
      <w:r>
        <w:rPr>
          <w:rFonts w:eastAsia="Times New Roman" w:cs="Times New Roman"/>
          <w:szCs w:val="24"/>
        </w:rPr>
        <w:instrText xml:space="preserve"> REF _Ref126649553 \h </w:instrText>
      </w:r>
      <w:r>
        <w:rPr>
          <w:rFonts w:eastAsia="Times New Roman" w:cs="Times New Roman"/>
          <w:szCs w:val="24"/>
        </w:rPr>
      </w:r>
      <w:r>
        <w:rPr>
          <w:rFonts w:eastAsia="Times New Roman" w:cs="Times New Roman"/>
          <w:szCs w:val="24"/>
        </w:rPr>
        <w:fldChar w:fldCharType="separate"/>
      </w:r>
      <w:r w:rsidR="00A65CB3">
        <w:t xml:space="preserve">Table </w:t>
      </w:r>
      <w:r w:rsidR="00A65CB3">
        <w:rPr>
          <w:noProof/>
        </w:rPr>
        <w:t>49</w:t>
      </w:r>
      <w:r>
        <w:rPr>
          <w:rFonts w:eastAsia="Times New Roman" w:cs="Times New Roman"/>
          <w:szCs w:val="24"/>
        </w:rPr>
        <w:fldChar w:fldCharType="end"/>
      </w:r>
      <w:r>
        <w:rPr>
          <w:rFonts w:eastAsia="Times New Roman" w:cs="Times New Roman"/>
          <w:szCs w:val="24"/>
        </w:rPr>
        <w:t xml:space="preserve"> present the potential injuries and fatalities for the</w:t>
      </w:r>
      <w:r w:rsidR="00D95B7A">
        <w:rPr>
          <w:rFonts w:eastAsia="Times New Roman" w:cs="Times New Roman"/>
          <w:szCs w:val="24"/>
        </w:rPr>
        <w:t xml:space="preserve"> proportions of the target population that start with a </w:t>
      </w:r>
      <w:r w:rsidR="00E44F8E">
        <w:rPr>
          <w:rFonts w:eastAsia="Times New Roman" w:cs="Times New Roman"/>
          <w:szCs w:val="24"/>
        </w:rPr>
        <w:t>seven</w:t>
      </w:r>
      <w:r w:rsidR="00D95B7A">
        <w:rPr>
          <w:rFonts w:eastAsia="Times New Roman" w:cs="Times New Roman"/>
          <w:szCs w:val="24"/>
        </w:rPr>
        <w:t>-second and 90-second warning, respectively</w:t>
      </w:r>
      <w:r w:rsidR="001F2F92">
        <w:rPr>
          <w:rFonts w:eastAsia="Times New Roman" w:cs="Times New Roman"/>
          <w:szCs w:val="24"/>
        </w:rPr>
        <w:t xml:space="preserve">. </w:t>
      </w:r>
      <w:r w:rsidR="00502D44">
        <w:rPr>
          <w:rFonts w:eastAsia="Times New Roman" w:cs="Times New Roman"/>
          <w:szCs w:val="24"/>
        </w:rPr>
        <w:t>This analysis makes use of</w:t>
      </w:r>
      <w:r w:rsidR="000575AD">
        <w:rPr>
          <w:rFonts w:eastAsia="Times New Roman" w:cs="Times New Roman"/>
          <w:szCs w:val="24"/>
        </w:rPr>
        <w:t xml:space="preserve"> equation (</w:t>
      </w:r>
      <w:r w:rsidR="00EE7CF5">
        <w:rPr>
          <w:rFonts w:eastAsia="Times New Roman" w:cs="Times New Roman"/>
          <w:szCs w:val="24"/>
        </w:rPr>
        <w:t>8</w:t>
      </w:r>
      <w:r w:rsidR="000575AD">
        <w:rPr>
          <w:rFonts w:eastAsia="Times New Roman" w:cs="Times New Roman"/>
          <w:szCs w:val="24"/>
        </w:rPr>
        <w:t xml:space="preserve">) which was presented in section </w:t>
      </w:r>
      <w:r w:rsidR="000575AD">
        <w:rPr>
          <w:rFonts w:eastAsia="Times New Roman" w:cs="Times New Roman"/>
          <w:szCs w:val="24"/>
        </w:rPr>
        <w:fldChar w:fldCharType="begin"/>
      </w:r>
      <w:r w:rsidR="000575AD">
        <w:rPr>
          <w:rFonts w:eastAsia="Times New Roman" w:cs="Times New Roman"/>
          <w:szCs w:val="24"/>
        </w:rPr>
        <w:instrText xml:space="preserve"> REF _Ref126140874 \r \h </w:instrText>
      </w:r>
      <w:r w:rsidR="000575AD">
        <w:rPr>
          <w:rFonts w:eastAsia="Times New Roman" w:cs="Times New Roman"/>
          <w:szCs w:val="24"/>
        </w:rPr>
      </w:r>
      <w:r w:rsidR="000575AD">
        <w:rPr>
          <w:rFonts w:eastAsia="Times New Roman" w:cs="Times New Roman"/>
          <w:szCs w:val="24"/>
        </w:rPr>
        <w:fldChar w:fldCharType="separate"/>
      </w:r>
      <w:r w:rsidR="00A65CB3">
        <w:rPr>
          <w:rFonts w:eastAsia="Times New Roman" w:cs="Times New Roman"/>
          <w:szCs w:val="24"/>
        </w:rPr>
        <w:t>5.1</w:t>
      </w:r>
      <w:r w:rsidR="000575AD">
        <w:rPr>
          <w:rFonts w:eastAsia="Times New Roman" w:cs="Times New Roman"/>
          <w:szCs w:val="24"/>
        </w:rPr>
        <w:fldChar w:fldCharType="end"/>
      </w:r>
      <w:r w:rsidR="000575AD">
        <w:rPr>
          <w:rFonts w:eastAsia="Times New Roman" w:cs="Times New Roman"/>
          <w:szCs w:val="24"/>
        </w:rPr>
        <w:t xml:space="preserve"> when estimating incremental benefits for rear seat occupants</w:t>
      </w:r>
      <w:r w:rsidR="001F2F92">
        <w:rPr>
          <w:rFonts w:eastAsia="Times New Roman" w:cs="Times New Roman"/>
          <w:szCs w:val="24"/>
        </w:rPr>
        <w:t xml:space="preserve">. </w:t>
      </w:r>
      <w:r w:rsidR="00AE27EA">
        <w:rPr>
          <w:rFonts w:eastAsia="Times New Roman" w:cs="Times New Roman"/>
          <w:szCs w:val="24"/>
        </w:rPr>
        <w:t>Making use of the available information,</w:t>
      </w:r>
      <w:r w:rsidR="00F120C5">
        <w:rPr>
          <w:rFonts w:eastAsia="Times New Roman" w:cs="Times New Roman"/>
          <w:szCs w:val="24"/>
        </w:rPr>
        <w:t xml:space="preserve"> this analysis calcu</w:t>
      </w:r>
      <w:r w:rsidR="003C61DE">
        <w:rPr>
          <w:rFonts w:eastAsia="Times New Roman" w:cs="Times New Roman"/>
          <w:szCs w:val="24"/>
        </w:rPr>
        <w:t xml:space="preserve">lates the potential injuries and fatalities in the hypothetical scenario </w:t>
      </w:r>
      <w:r w:rsidR="00B2557F">
        <w:rPr>
          <w:rFonts w:eastAsia="Times New Roman" w:cs="Times New Roman"/>
          <w:szCs w:val="24"/>
        </w:rPr>
        <w:t xml:space="preserve">in which </w:t>
      </w:r>
      <w:r w:rsidR="00A6033F">
        <w:rPr>
          <w:rFonts w:eastAsia="Times New Roman" w:cs="Times New Roman"/>
          <w:szCs w:val="24"/>
        </w:rPr>
        <w:t xml:space="preserve">the </w:t>
      </w:r>
      <w:r w:rsidR="00B2557F">
        <w:rPr>
          <w:rFonts w:eastAsia="Times New Roman" w:cs="Times New Roman"/>
          <w:szCs w:val="24"/>
        </w:rPr>
        <w:t>seat belt use</w:t>
      </w:r>
      <w:r w:rsidR="00A6033F">
        <w:rPr>
          <w:rFonts w:eastAsia="Times New Roman" w:cs="Times New Roman"/>
          <w:szCs w:val="24"/>
        </w:rPr>
        <w:t xml:space="preserve"> rate</w:t>
      </w:r>
      <w:r w:rsidR="00B2557F">
        <w:rPr>
          <w:rFonts w:eastAsia="Times New Roman" w:cs="Times New Roman"/>
          <w:szCs w:val="24"/>
        </w:rPr>
        <w:t xml:space="preserve"> is zero</w:t>
      </w:r>
      <w:r w:rsidR="001F2F92">
        <w:rPr>
          <w:rFonts w:eastAsia="Times New Roman" w:cs="Times New Roman"/>
          <w:szCs w:val="24"/>
        </w:rPr>
        <w:t xml:space="preserve">. </w:t>
      </w:r>
      <w:r>
        <w:t xml:space="preserve">Although those potential injuries and fatalities reflect a hypothetical case in which the seat </w:t>
      </w:r>
      <w:r>
        <w:lastRenderedPageBreak/>
        <w:t xml:space="preserve">belt use rate is zero, this analysis uses potential injuries and fatalities to calculate the </w:t>
      </w:r>
      <w:r w:rsidR="00F15004">
        <w:t xml:space="preserve">fatalities and non-fatal injuries </w:t>
      </w:r>
      <w:r>
        <w:t>associated with the seat belt use rates under both the baseline and proposed rule.</w:t>
      </w:r>
    </w:p>
    <w:p w14:paraId="0491FBF0" w14:textId="32126CA2" w:rsidR="00A87CA7" w:rsidRPr="0055589E" w:rsidRDefault="000F5B51" w:rsidP="0055589E">
      <w:pPr>
        <w:pStyle w:val="Caption"/>
      </w:pPr>
      <w:bookmarkStart w:id="909" w:name="_Ref126649547"/>
      <w:r>
        <w:t xml:space="preserve">Table </w:t>
      </w:r>
      <w:r w:rsidR="00115BAB">
        <w:fldChar w:fldCharType="begin"/>
      </w:r>
      <w:r>
        <w:instrText xml:space="preserve"> SEQ Table \* ARABIC </w:instrText>
      </w:r>
      <w:r w:rsidR="00115BAB">
        <w:fldChar w:fldCharType="separate"/>
      </w:r>
      <w:r w:rsidR="00A65CB3">
        <w:rPr>
          <w:noProof/>
        </w:rPr>
        <w:t>48</w:t>
      </w:r>
      <w:r w:rsidR="00115BAB">
        <w:rPr>
          <w:noProof/>
        </w:rPr>
        <w:fldChar w:fldCharType="end"/>
      </w:r>
      <w:bookmarkEnd w:id="909"/>
      <w:r>
        <w:rPr>
          <w:noProof/>
        </w:rPr>
        <w:t xml:space="preserve">: </w:t>
      </w:r>
      <w:r w:rsidRPr="005E3D4C">
        <w:t>Potential Injuries and Fatalities for Drivers 7-</w:t>
      </w:r>
      <w:r w:rsidR="0055084E">
        <w:t>S</w:t>
      </w:r>
      <w:r w:rsidRPr="005E3D4C">
        <w:t xml:space="preserve">econd Warning </w:t>
      </w:r>
    </w:p>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65"/>
        <w:gridCol w:w="2113"/>
        <w:gridCol w:w="2114"/>
        <w:gridCol w:w="2114"/>
        <w:gridCol w:w="2114"/>
      </w:tblGrid>
      <w:tr w:rsidR="00A15C2C" w14:paraId="1F085FB4" w14:textId="77777777" w:rsidTr="00800C73">
        <w:trPr>
          <w:trHeight w:val="1264"/>
          <w:jc w:val="center"/>
        </w:trPr>
        <w:tc>
          <w:tcPr>
            <w:tcW w:w="2065" w:type="dxa"/>
            <w:shd w:val="clear" w:color="auto" w:fill="D9D9D9" w:themeFill="background1" w:themeFillShade="D9"/>
            <w:noWrap/>
            <w:vAlign w:val="bottom"/>
          </w:tcPr>
          <w:p w14:paraId="6F7AC967" w14:textId="77777777" w:rsidR="00A87CA7" w:rsidRDefault="00A87CA7" w:rsidP="00800C73">
            <w:pPr>
              <w:spacing w:line="240" w:lineRule="auto"/>
              <w:rPr>
                <w:rFonts w:eastAsia="Times New Roman" w:cs="Times New Roman"/>
                <w:b/>
                <w:bCs/>
                <w:color w:val="000000"/>
                <w:szCs w:val="24"/>
              </w:rPr>
            </w:pPr>
          </w:p>
          <w:p w14:paraId="548D5C7E" w14:textId="77777777" w:rsidR="00A87CA7" w:rsidRDefault="000F5B51" w:rsidP="00800C73">
            <w:pPr>
              <w:spacing w:line="240" w:lineRule="auto"/>
              <w:rPr>
                <w:rFonts w:eastAsia="Times New Roman" w:cs="Times New Roman"/>
                <w:b/>
                <w:bCs/>
                <w:color w:val="000000"/>
                <w:szCs w:val="24"/>
              </w:rPr>
            </w:pPr>
            <w:r>
              <w:rPr>
                <w:rFonts w:eastAsia="Times New Roman" w:cs="Times New Roman"/>
                <w:b/>
                <w:bCs/>
                <w:color w:val="000000"/>
                <w:szCs w:val="24"/>
              </w:rPr>
              <w:t xml:space="preserve">Injury Severity </w:t>
            </w:r>
          </w:p>
        </w:tc>
        <w:tc>
          <w:tcPr>
            <w:tcW w:w="2113" w:type="dxa"/>
            <w:shd w:val="clear" w:color="auto" w:fill="D9D9D9" w:themeFill="background1" w:themeFillShade="D9"/>
            <w:noWrap/>
            <w:vAlign w:val="center"/>
          </w:tcPr>
          <w:p w14:paraId="4E223327" w14:textId="77777777" w:rsidR="00A87CA7" w:rsidRPr="00954B78" w:rsidRDefault="000F5B51" w:rsidP="00800C73">
            <w:pPr>
              <w:spacing w:line="240" w:lineRule="auto"/>
              <w:jc w:val="center"/>
              <w:rPr>
                <w:rFonts w:eastAsia="Times New Roman" w:cs="Times New Roman"/>
                <w:b/>
                <w:bCs/>
                <w:color w:val="000000"/>
                <w:szCs w:val="24"/>
              </w:rPr>
            </w:pPr>
            <w:r>
              <w:rPr>
                <w:rFonts w:eastAsia="Times New Roman" w:cs="Times New Roman"/>
                <w:b/>
                <w:bCs/>
                <w:color w:val="000000"/>
                <w:szCs w:val="24"/>
              </w:rPr>
              <w:t>Total Observed (Restrained and Unrestrained)</w:t>
            </w:r>
          </w:p>
        </w:tc>
        <w:tc>
          <w:tcPr>
            <w:tcW w:w="2114" w:type="dxa"/>
            <w:shd w:val="clear" w:color="auto" w:fill="D9D9D9" w:themeFill="background1" w:themeFillShade="D9"/>
            <w:noWrap/>
            <w:vAlign w:val="center"/>
          </w:tcPr>
          <w:p w14:paraId="11112FCB" w14:textId="77777777" w:rsidR="00A87CA7" w:rsidRPr="00954B78" w:rsidRDefault="000F5B51" w:rsidP="00800C73">
            <w:pPr>
              <w:spacing w:line="240" w:lineRule="auto"/>
              <w:jc w:val="center"/>
              <w:rPr>
                <w:rFonts w:eastAsia="Times New Roman" w:cs="Times New Roman"/>
                <w:b/>
                <w:bCs/>
                <w:color w:val="000000"/>
                <w:szCs w:val="24"/>
              </w:rPr>
            </w:pPr>
            <w:r>
              <w:rPr>
                <w:rFonts w:eastAsia="Times New Roman" w:cs="Times New Roman"/>
                <w:b/>
                <w:bCs/>
                <w:color w:val="000000"/>
                <w:szCs w:val="24"/>
              </w:rPr>
              <w:t>Seat Belt Effectiveness</w:t>
            </w:r>
          </w:p>
        </w:tc>
        <w:tc>
          <w:tcPr>
            <w:tcW w:w="2114" w:type="dxa"/>
            <w:shd w:val="clear" w:color="auto" w:fill="D9D9D9" w:themeFill="background1" w:themeFillShade="D9"/>
            <w:noWrap/>
            <w:vAlign w:val="center"/>
          </w:tcPr>
          <w:p w14:paraId="5B63434E" w14:textId="77777777" w:rsidR="00A87CA7" w:rsidRPr="00954B78" w:rsidRDefault="000F5B51" w:rsidP="00800C73">
            <w:pPr>
              <w:spacing w:line="240" w:lineRule="auto"/>
              <w:jc w:val="center"/>
              <w:rPr>
                <w:rFonts w:eastAsia="Times New Roman" w:cs="Times New Roman"/>
                <w:b/>
                <w:bCs/>
                <w:color w:val="000000"/>
                <w:szCs w:val="24"/>
              </w:rPr>
            </w:pPr>
            <w:r>
              <w:rPr>
                <w:rFonts w:eastAsia="Times New Roman" w:cs="Times New Roman"/>
                <w:b/>
                <w:bCs/>
                <w:color w:val="000000"/>
                <w:szCs w:val="24"/>
              </w:rPr>
              <w:t>Current Seat Belt Use Rate</w:t>
            </w:r>
          </w:p>
        </w:tc>
        <w:tc>
          <w:tcPr>
            <w:tcW w:w="2114" w:type="dxa"/>
            <w:shd w:val="clear" w:color="auto" w:fill="D9D9D9" w:themeFill="background1" w:themeFillShade="D9"/>
            <w:noWrap/>
            <w:vAlign w:val="center"/>
          </w:tcPr>
          <w:p w14:paraId="0A19E8E5" w14:textId="77777777" w:rsidR="00A87CA7" w:rsidRPr="00954B78" w:rsidRDefault="000F5B51" w:rsidP="00800C73">
            <w:pPr>
              <w:spacing w:line="240" w:lineRule="auto"/>
              <w:jc w:val="center"/>
              <w:rPr>
                <w:rFonts w:eastAsia="Times New Roman" w:cs="Times New Roman"/>
                <w:b/>
                <w:bCs/>
                <w:color w:val="000000"/>
                <w:szCs w:val="24"/>
              </w:rPr>
            </w:pPr>
            <w:r w:rsidRPr="00954B78">
              <w:rPr>
                <w:rFonts w:eastAsia="Times New Roman" w:cs="Times New Roman"/>
                <w:b/>
                <w:bCs/>
                <w:color w:val="000000"/>
                <w:szCs w:val="24"/>
              </w:rPr>
              <w:t>Potential Injuries</w:t>
            </w:r>
            <w:r>
              <w:rPr>
                <w:rFonts w:eastAsia="Times New Roman" w:cs="Times New Roman"/>
                <w:b/>
                <w:bCs/>
                <w:color w:val="000000"/>
                <w:szCs w:val="24"/>
              </w:rPr>
              <w:t xml:space="preserve"> and Fatalities</w:t>
            </w:r>
          </w:p>
        </w:tc>
      </w:tr>
      <w:tr w:rsidR="00A15C2C" w14:paraId="48650E5D" w14:textId="77777777" w:rsidTr="00800C73">
        <w:trPr>
          <w:trHeight w:val="20"/>
          <w:jc w:val="center"/>
        </w:trPr>
        <w:tc>
          <w:tcPr>
            <w:tcW w:w="10520" w:type="dxa"/>
            <w:gridSpan w:val="5"/>
            <w:shd w:val="clear" w:color="auto" w:fill="D9D9D9" w:themeFill="background1" w:themeFillShade="D9"/>
            <w:noWrap/>
            <w:vAlign w:val="center"/>
            <w:hideMark/>
          </w:tcPr>
          <w:p w14:paraId="1F4C2CF2" w14:textId="77777777" w:rsidR="00A87CA7" w:rsidRPr="00012598" w:rsidRDefault="000F5B51" w:rsidP="00800C73">
            <w:pPr>
              <w:spacing w:after="0" w:line="240" w:lineRule="auto"/>
              <w:ind w:firstLineChars="100" w:firstLine="241"/>
              <w:jc w:val="center"/>
              <w:rPr>
                <w:rFonts w:eastAsia="Times New Roman" w:cs="Times New Roman"/>
                <w:b/>
                <w:bCs/>
                <w:i/>
                <w:iCs/>
                <w:color w:val="000000"/>
                <w:szCs w:val="24"/>
              </w:rPr>
            </w:pPr>
            <w:r w:rsidRPr="00012598">
              <w:rPr>
                <w:rFonts w:eastAsia="Times New Roman" w:cs="Times New Roman"/>
                <w:b/>
                <w:bCs/>
                <w:i/>
                <w:iCs/>
                <w:color w:val="000000"/>
                <w:szCs w:val="24"/>
              </w:rPr>
              <w:t>Passenger Car</w:t>
            </w:r>
          </w:p>
        </w:tc>
      </w:tr>
      <w:tr w:rsidR="00A15C2C" w14:paraId="7B92449D" w14:textId="77777777" w:rsidTr="00800C73">
        <w:trPr>
          <w:trHeight w:val="300"/>
          <w:jc w:val="center"/>
        </w:trPr>
        <w:tc>
          <w:tcPr>
            <w:tcW w:w="2065" w:type="dxa"/>
            <w:shd w:val="clear" w:color="auto" w:fill="auto"/>
            <w:noWrap/>
            <w:vAlign w:val="bottom"/>
          </w:tcPr>
          <w:p w14:paraId="67E4E671" w14:textId="77777777" w:rsidR="00A87CA7" w:rsidRPr="00954B78" w:rsidRDefault="000F5B51" w:rsidP="00800C73">
            <w:pPr>
              <w:spacing w:after="0" w:line="240" w:lineRule="auto"/>
              <w:rPr>
                <w:rFonts w:eastAsia="Times New Roman" w:cs="Times New Roman"/>
                <w:color w:val="000000"/>
                <w:szCs w:val="24"/>
              </w:rPr>
            </w:pPr>
            <w:r>
              <w:rPr>
                <w:rFonts w:eastAsia="Times New Roman" w:cs="Times New Roman"/>
                <w:color w:val="000000"/>
                <w:szCs w:val="24"/>
              </w:rPr>
              <w:t>MAIS 1</w:t>
            </w:r>
          </w:p>
        </w:tc>
        <w:tc>
          <w:tcPr>
            <w:tcW w:w="2113" w:type="dxa"/>
            <w:shd w:val="clear" w:color="auto" w:fill="auto"/>
            <w:noWrap/>
          </w:tcPr>
          <w:p w14:paraId="53696307" w14:textId="77777777" w:rsidR="00A87CA7" w:rsidRPr="00954B78" w:rsidRDefault="000F5B51" w:rsidP="00800C73">
            <w:pPr>
              <w:spacing w:after="0" w:line="240" w:lineRule="auto"/>
              <w:jc w:val="center"/>
              <w:rPr>
                <w:rFonts w:eastAsia="Times New Roman" w:cs="Times New Roman"/>
                <w:color w:val="000000"/>
                <w:szCs w:val="24"/>
              </w:rPr>
            </w:pPr>
            <w:r w:rsidRPr="009C6EC5">
              <w:t>2,539</w:t>
            </w:r>
          </w:p>
        </w:tc>
        <w:tc>
          <w:tcPr>
            <w:tcW w:w="2114" w:type="dxa"/>
            <w:shd w:val="clear" w:color="auto" w:fill="auto"/>
            <w:noWrap/>
          </w:tcPr>
          <w:p w14:paraId="0D08E58D" w14:textId="77777777" w:rsidR="00A87CA7" w:rsidRPr="00954B78" w:rsidRDefault="000F5B51" w:rsidP="00800C73">
            <w:pPr>
              <w:spacing w:after="0" w:line="240" w:lineRule="auto"/>
              <w:jc w:val="center"/>
              <w:rPr>
                <w:rFonts w:eastAsia="Times New Roman" w:cs="Times New Roman"/>
                <w:color w:val="000000"/>
                <w:szCs w:val="24"/>
              </w:rPr>
            </w:pPr>
            <w:r w:rsidRPr="009C6EC5">
              <w:t>0.055</w:t>
            </w:r>
          </w:p>
        </w:tc>
        <w:tc>
          <w:tcPr>
            <w:tcW w:w="2114" w:type="dxa"/>
            <w:shd w:val="clear" w:color="auto" w:fill="auto"/>
            <w:noWrap/>
          </w:tcPr>
          <w:p w14:paraId="295B1C2E" w14:textId="482F02BE" w:rsidR="00A87CA7" w:rsidRPr="00954B78" w:rsidRDefault="00FA2D90" w:rsidP="00800C73">
            <w:pPr>
              <w:spacing w:after="0" w:line="240" w:lineRule="auto"/>
              <w:jc w:val="center"/>
              <w:rPr>
                <w:rFonts w:eastAsia="Times New Roman" w:cs="Times New Roman"/>
                <w:color w:val="000000"/>
                <w:szCs w:val="24"/>
              </w:rPr>
            </w:pPr>
            <w:r>
              <w:t>0.7078</w:t>
            </w:r>
          </w:p>
        </w:tc>
        <w:tc>
          <w:tcPr>
            <w:tcW w:w="2114" w:type="dxa"/>
            <w:shd w:val="clear" w:color="auto" w:fill="auto"/>
            <w:noWrap/>
          </w:tcPr>
          <w:p w14:paraId="2754CEE7" w14:textId="4E891E3F" w:rsidR="00A87CA7" w:rsidRPr="00954B78" w:rsidRDefault="00FA2D90" w:rsidP="00800C73">
            <w:pPr>
              <w:spacing w:after="0" w:line="240" w:lineRule="auto"/>
              <w:jc w:val="center"/>
              <w:rPr>
                <w:rFonts w:eastAsia="Times New Roman" w:cs="Times New Roman"/>
                <w:color w:val="000000"/>
                <w:szCs w:val="24"/>
              </w:rPr>
            </w:pPr>
            <w:r>
              <w:t>2,</w:t>
            </w:r>
            <w:r w:rsidR="0090219F">
              <w:t>642</w:t>
            </w:r>
          </w:p>
        </w:tc>
      </w:tr>
      <w:tr w:rsidR="00A15C2C" w14:paraId="7230AD58" w14:textId="77777777" w:rsidTr="00800C73">
        <w:trPr>
          <w:trHeight w:val="300"/>
          <w:jc w:val="center"/>
        </w:trPr>
        <w:tc>
          <w:tcPr>
            <w:tcW w:w="2065" w:type="dxa"/>
            <w:shd w:val="clear" w:color="auto" w:fill="auto"/>
            <w:noWrap/>
          </w:tcPr>
          <w:p w14:paraId="355F2CED" w14:textId="77777777" w:rsidR="00A87CA7" w:rsidRPr="00954B78" w:rsidRDefault="000F5B51" w:rsidP="00800C73">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2</w:t>
            </w:r>
          </w:p>
        </w:tc>
        <w:tc>
          <w:tcPr>
            <w:tcW w:w="2113" w:type="dxa"/>
            <w:shd w:val="clear" w:color="auto" w:fill="auto"/>
            <w:noWrap/>
          </w:tcPr>
          <w:p w14:paraId="1F4B5D89" w14:textId="77777777" w:rsidR="00A87CA7" w:rsidRPr="00954B78" w:rsidRDefault="000F5B51" w:rsidP="00800C73">
            <w:pPr>
              <w:spacing w:after="0" w:line="240" w:lineRule="auto"/>
              <w:jc w:val="center"/>
              <w:rPr>
                <w:rFonts w:eastAsia="Times New Roman" w:cs="Times New Roman"/>
                <w:color w:val="000000"/>
                <w:szCs w:val="24"/>
              </w:rPr>
            </w:pPr>
            <w:r w:rsidRPr="009C6EC5">
              <w:t>1,111</w:t>
            </w:r>
          </w:p>
        </w:tc>
        <w:tc>
          <w:tcPr>
            <w:tcW w:w="2114" w:type="dxa"/>
            <w:shd w:val="clear" w:color="auto" w:fill="auto"/>
            <w:noWrap/>
          </w:tcPr>
          <w:p w14:paraId="295017A7" w14:textId="77777777" w:rsidR="00A87CA7" w:rsidRPr="00954B78" w:rsidRDefault="000F5B51" w:rsidP="00800C73">
            <w:pPr>
              <w:spacing w:after="0" w:line="240" w:lineRule="auto"/>
              <w:jc w:val="center"/>
              <w:rPr>
                <w:rFonts w:eastAsia="Times New Roman" w:cs="Times New Roman"/>
                <w:color w:val="000000"/>
                <w:szCs w:val="24"/>
              </w:rPr>
            </w:pPr>
            <w:r w:rsidRPr="009C6EC5">
              <w:t>0.5</w:t>
            </w:r>
            <w:r w:rsidR="008000E2">
              <w:t>00</w:t>
            </w:r>
          </w:p>
        </w:tc>
        <w:tc>
          <w:tcPr>
            <w:tcW w:w="2114" w:type="dxa"/>
            <w:shd w:val="clear" w:color="auto" w:fill="auto"/>
            <w:noWrap/>
          </w:tcPr>
          <w:p w14:paraId="00A83511" w14:textId="7D5A2DF3" w:rsidR="00A87CA7" w:rsidRPr="00954B78" w:rsidRDefault="00FA2D90" w:rsidP="00800C73">
            <w:pPr>
              <w:spacing w:after="0" w:line="240" w:lineRule="auto"/>
              <w:jc w:val="center"/>
              <w:rPr>
                <w:rFonts w:eastAsia="Times New Roman" w:cs="Times New Roman"/>
                <w:color w:val="000000"/>
                <w:szCs w:val="24"/>
              </w:rPr>
            </w:pPr>
            <w:r w:rsidRPr="00FA2D90">
              <w:t>0.7078</w:t>
            </w:r>
          </w:p>
        </w:tc>
        <w:tc>
          <w:tcPr>
            <w:tcW w:w="2114" w:type="dxa"/>
            <w:shd w:val="clear" w:color="auto" w:fill="auto"/>
            <w:noWrap/>
          </w:tcPr>
          <w:p w14:paraId="50088705" w14:textId="07A1C608" w:rsidR="00A87CA7" w:rsidRPr="00954B78" w:rsidRDefault="0090219F" w:rsidP="00800C73">
            <w:pPr>
              <w:spacing w:after="0" w:line="240" w:lineRule="auto"/>
              <w:jc w:val="center"/>
              <w:rPr>
                <w:rFonts w:eastAsia="Times New Roman" w:cs="Times New Roman"/>
                <w:color w:val="000000"/>
                <w:szCs w:val="24"/>
              </w:rPr>
            </w:pPr>
            <w:r>
              <w:t>1,720</w:t>
            </w:r>
          </w:p>
        </w:tc>
      </w:tr>
      <w:tr w:rsidR="00A15C2C" w14:paraId="583BFAFE" w14:textId="77777777" w:rsidTr="00800C73">
        <w:trPr>
          <w:trHeight w:val="300"/>
          <w:jc w:val="center"/>
        </w:trPr>
        <w:tc>
          <w:tcPr>
            <w:tcW w:w="2065" w:type="dxa"/>
            <w:shd w:val="clear" w:color="auto" w:fill="auto"/>
            <w:noWrap/>
          </w:tcPr>
          <w:p w14:paraId="50770F2A" w14:textId="77777777" w:rsidR="00A87CA7" w:rsidRPr="00954B78" w:rsidRDefault="000F5B51" w:rsidP="00800C73">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3</w:t>
            </w:r>
          </w:p>
        </w:tc>
        <w:tc>
          <w:tcPr>
            <w:tcW w:w="2113" w:type="dxa"/>
            <w:shd w:val="clear" w:color="auto" w:fill="auto"/>
            <w:noWrap/>
          </w:tcPr>
          <w:p w14:paraId="028DA464" w14:textId="77777777" w:rsidR="00A87CA7" w:rsidRPr="00954B78" w:rsidRDefault="000F5B51" w:rsidP="00800C73">
            <w:pPr>
              <w:spacing w:after="0" w:line="240" w:lineRule="auto"/>
              <w:jc w:val="center"/>
              <w:rPr>
                <w:rFonts w:eastAsia="Times New Roman" w:cs="Times New Roman"/>
                <w:color w:val="000000"/>
                <w:szCs w:val="24"/>
              </w:rPr>
            </w:pPr>
            <w:r w:rsidRPr="009C6EC5">
              <w:t>307</w:t>
            </w:r>
          </w:p>
        </w:tc>
        <w:tc>
          <w:tcPr>
            <w:tcW w:w="2114" w:type="dxa"/>
            <w:shd w:val="clear" w:color="auto" w:fill="auto"/>
            <w:noWrap/>
          </w:tcPr>
          <w:p w14:paraId="0EE8338C" w14:textId="77777777" w:rsidR="00A87CA7" w:rsidRPr="00954B78" w:rsidRDefault="000F5B51" w:rsidP="00800C73">
            <w:pPr>
              <w:spacing w:after="0" w:line="240" w:lineRule="auto"/>
              <w:jc w:val="center"/>
              <w:rPr>
                <w:rFonts w:eastAsia="Times New Roman" w:cs="Times New Roman"/>
                <w:color w:val="000000"/>
                <w:szCs w:val="24"/>
              </w:rPr>
            </w:pPr>
            <w:r w:rsidRPr="009C6EC5">
              <w:t>0.5</w:t>
            </w:r>
            <w:r w:rsidR="008000E2">
              <w:t>00</w:t>
            </w:r>
          </w:p>
        </w:tc>
        <w:tc>
          <w:tcPr>
            <w:tcW w:w="2114" w:type="dxa"/>
            <w:shd w:val="clear" w:color="auto" w:fill="auto"/>
            <w:noWrap/>
          </w:tcPr>
          <w:p w14:paraId="7D0E4392" w14:textId="6436D308" w:rsidR="00A87CA7" w:rsidRPr="00954B78" w:rsidRDefault="00FA2D90" w:rsidP="00800C73">
            <w:pPr>
              <w:spacing w:after="0" w:line="240" w:lineRule="auto"/>
              <w:jc w:val="center"/>
              <w:rPr>
                <w:rFonts w:eastAsia="Times New Roman" w:cs="Times New Roman"/>
                <w:color w:val="000000"/>
                <w:szCs w:val="24"/>
              </w:rPr>
            </w:pPr>
            <w:r w:rsidRPr="00FA2D90">
              <w:t>0.7078</w:t>
            </w:r>
          </w:p>
        </w:tc>
        <w:tc>
          <w:tcPr>
            <w:tcW w:w="2114" w:type="dxa"/>
            <w:shd w:val="clear" w:color="auto" w:fill="auto"/>
            <w:noWrap/>
          </w:tcPr>
          <w:p w14:paraId="27433459" w14:textId="264AC79A" w:rsidR="00A87CA7" w:rsidRPr="00954B78" w:rsidRDefault="0090219F" w:rsidP="00800C73">
            <w:pPr>
              <w:spacing w:after="0" w:line="240" w:lineRule="auto"/>
              <w:jc w:val="center"/>
              <w:rPr>
                <w:rFonts w:eastAsia="Times New Roman" w:cs="Times New Roman"/>
                <w:color w:val="000000"/>
                <w:szCs w:val="24"/>
              </w:rPr>
            </w:pPr>
            <w:r>
              <w:t>475</w:t>
            </w:r>
          </w:p>
        </w:tc>
      </w:tr>
      <w:tr w:rsidR="00A15C2C" w14:paraId="19B48CA6" w14:textId="77777777" w:rsidTr="00800C73">
        <w:trPr>
          <w:trHeight w:val="300"/>
          <w:jc w:val="center"/>
        </w:trPr>
        <w:tc>
          <w:tcPr>
            <w:tcW w:w="2065" w:type="dxa"/>
            <w:shd w:val="clear" w:color="auto" w:fill="auto"/>
            <w:noWrap/>
          </w:tcPr>
          <w:p w14:paraId="1018D91D" w14:textId="77777777" w:rsidR="00A87CA7" w:rsidRPr="00954B78" w:rsidRDefault="000F5B51" w:rsidP="00800C73">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4</w:t>
            </w:r>
          </w:p>
        </w:tc>
        <w:tc>
          <w:tcPr>
            <w:tcW w:w="2113" w:type="dxa"/>
            <w:shd w:val="clear" w:color="auto" w:fill="auto"/>
            <w:noWrap/>
          </w:tcPr>
          <w:p w14:paraId="244DE429" w14:textId="77777777" w:rsidR="00A87CA7" w:rsidRPr="00954B78" w:rsidRDefault="000F5B51" w:rsidP="00800C73">
            <w:pPr>
              <w:spacing w:after="0" w:line="240" w:lineRule="auto"/>
              <w:jc w:val="center"/>
              <w:rPr>
                <w:rFonts w:eastAsia="Times New Roman" w:cs="Times New Roman"/>
                <w:color w:val="000000"/>
                <w:szCs w:val="24"/>
              </w:rPr>
            </w:pPr>
            <w:r w:rsidRPr="009C6EC5">
              <w:t>222</w:t>
            </w:r>
          </w:p>
        </w:tc>
        <w:tc>
          <w:tcPr>
            <w:tcW w:w="2114" w:type="dxa"/>
            <w:shd w:val="clear" w:color="auto" w:fill="auto"/>
            <w:noWrap/>
          </w:tcPr>
          <w:p w14:paraId="5B36BC54" w14:textId="77777777" w:rsidR="00A87CA7" w:rsidRPr="00954B78" w:rsidRDefault="000F5B51" w:rsidP="00800C73">
            <w:pPr>
              <w:spacing w:after="0" w:line="240" w:lineRule="auto"/>
              <w:jc w:val="center"/>
              <w:rPr>
                <w:rFonts w:eastAsia="Times New Roman" w:cs="Times New Roman"/>
                <w:color w:val="000000"/>
                <w:szCs w:val="24"/>
              </w:rPr>
            </w:pPr>
            <w:r w:rsidRPr="009C6EC5">
              <w:t>0.5</w:t>
            </w:r>
            <w:r w:rsidR="008000E2">
              <w:t>00</w:t>
            </w:r>
          </w:p>
        </w:tc>
        <w:tc>
          <w:tcPr>
            <w:tcW w:w="2114" w:type="dxa"/>
            <w:shd w:val="clear" w:color="auto" w:fill="auto"/>
            <w:noWrap/>
          </w:tcPr>
          <w:p w14:paraId="5DE3CEA3" w14:textId="1DD835CA" w:rsidR="00A87CA7" w:rsidRPr="00954B78" w:rsidRDefault="00FA2D90" w:rsidP="00800C73">
            <w:pPr>
              <w:spacing w:after="0" w:line="240" w:lineRule="auto"/>
              <w:jc w:val="center"/>
              <w:rPr>
                <w:rFonts w:eastAsia="Times New Roman" w:cs="Times New Roman"/>
                <w:color w:val="000000"/>
                <w:szCs w:val="24"/>
              </w:rPr>
            </w:pPr>
            <w:r w:rsidRPr="00FA2D90">
              <w:t>0.7078</w:t>
            </w:r>
          </w:p>
        </w:tc>
        <w:tc>
          <w:tcPr>
            <w:tcW w:w="2114" w:type="dxa"/>
            <w:shd w:val="clear" w:color="auto" w:fill="auto"/>
            <w:noWrap/>
          </w:tcPr>
          <w:p w14:paraId="077B212E" w14:textId="0A944DDE" w:rsidR="00A87CA7" w:rsidRPr="00954B78" w:rsidRDefault="0090219F" w:rsidP="00800C73">
            <w:pPr>
              <w:spacing w:after="0" w:line="240" w:lineRule="auto"/>
              <w:jc w:val="center"/>
              <w:rPr>
                <w:rFonts w:eastAsia="Times New Roman" w:cs="Times New Roman"/>
                <w:color w:val="000000"/>
                <w:szCs w:val="24"/>
              </w:rPr>
            </w:pPr>
            <w:r>
              <w:t>344</w:t>
            </w:r>
          </w:p>
        </w:tc>
      </w:tr>
      <w:tr w:rsidR="00A15C2C" w14:paraId="36EBDC1B" w14:textId="77777777" w:rsidTr="00800C73">
        <w:trPr>
          <w:trHeight w:val="300"/>
          <w:jc w:val="center"/>
        </w:trPr>
        <w:tc>
          <w:tcPr>
            <w:tcW w:w="2065" w:type="dxa"/>
            <w:shd w:val="clear" w:color="auto" w:fill="auto"/>
            <w:noWrap/>
          </w:tcPr>
          <w:p w14:paraId="3E8472DA" w14:textId="77777777" w:rsidR="00A87CA7" w:rsidRPr="00064F4A" w:rsidRDefault="000F5B51" w:rsidP="00800C73">
            <w:pPr>
              <w:spacing w:after="0" w:line="240" w:lineRule="auto"/>
              <w:rPr>
                <w:rFonts w:eastAsia="Times New Roman" w:cs="Times New Roman"/>
                <w:color w:val="000000"/>
                <w:szCs w:val="24"/>
              </w:rPr>
            </w:pPr>
            <w:r>
              <w:rPr>
                <w:rFonts w:eastAsia="Times New Roman" w:cs="Times New Roman"/>
                <w:color w:val="000000"/>
                <w:szCs w:val="24"/>
              </w:rPr>
              <w:t>MAIS 5</w:t>
            </w:r>
          </w:p>
        </w:tc>
        <w:tc>
          <w:tcPr>
            <w:tcW w:w="2113" w:type="dxa"/>
            <w:shd w:val="clear" w:color="auto" w:fill="auto"/>
            <w:noWrap/>
          </w:tcPr>
          <w:p w14:paraId="7A36F806" w14:textId="77777777" w:rsidR="00A87CA7" w:rsidRPr="00954B78" w:rsidRDefault="000F5B51" w:rsidP="00800C73">
            <w:pPr>
              <w:spacing w:after="0" w:line="240" w:lineRule="auto"/>
              <w:jc w:val="center"/>
              <w:rPr>
                <w:rFonts w:eastAsia="Times New Roman" w:cs="Times New Roman"/>
                <w:color w:val="000000"/>
                <w:szCs w:val="24"/>
              </w:rPr>
            </w:pPr>
            <w:r w:rsidRPr="009C6EC5">
              <w:t>5</w:t>
            </w:r>
          </w:p>
        </w:tc>
        <w:tc>
          <w:tcPr>
            <w:tcW w:w="2114" w:type="dxa"/>
            <w:shd w:val="clear" w:color="auto" w:fill="auto"/>
            <w:noWrap/>
          </w:tcPr>
          <w:p w14:paraId="29D5EE6D" w14:textId="77777777" w:rsidR="00A87CA7" w:rsidRPr="00954B78" w:rsidRDefault="000F5B51" w:rsidP="00800C73">
            <w:pPr>
              <w:spacing w:after="0" w:line="240" w:lineRule="auto"/>
              <w:jc w:val="center"/>
              <w:rPr>
                <w:rFonts w:cs="Times New Roman"/>
                <w:color w:val="000000"/>
                <w:szCs w:val="24"/>
              </w:rPr>
            </w:pPr>
            <w:r w:rsidRPr="009C6EC5">
              <w:t>0.5</w:t>
            </w:r>
            <w:r w:rsidR="008000E2">
              <w:t>00</w:t>
            </w:r>
          </w:p>
        </w:tc>
        <w:tc>
          <w:tcPr>
            <w:tcW w:w="2114" w:type="dxa"/>
            <w:shd w:val="clear" w:color="auto" w:fill="auto"/>
            <w:noWrap/>
          </w:tcPr>
          <w:p w14:paraId="0F2882F9" w14:textId="767BFC10" w:rsidR="00A87CA7" w:rsidRPr="00954B78" w:rsidRDefault="00FA2D90" w:rsidP="00800C73">
            <w:pPr>
              <w:spacing w:after="0" w:line="240" w:lineRule="auto"/>
              <w:jc w:val="center"/>
              <w:rPr>
                <w:rFonts w:cs="Times New Roman"/>
                <w:color w:val="000000"/>
                <w:szCs w:val="24"/>
              </w:rPr>
            </w:pPr>
            <w:r w:rsidRPr="00FA2D90">
              <w:t>0.7078</w:t>
            </w:r>
          </w:p>
        </w:tc>
        <w:tc>
          <w:tcPr>
            <w:tcW w:w="2114" w:type="dxa"/>
            <w:shd w:val="clear" w:color="auto" w:fill="auto"/>
            <w:noWrap/>
          </w:tcPr>
          <w:p w14:paraId="203546DA" w14:textId="2B31D935" w:rsidR="00A87CA7" w:rsidRPr="00954B78" w:rsidRDefault="000F5B51" w:rsidP="00800C73">
            <w:pPr>
              <w:spacing w:after="0" w:line="240" w:lineRule="auto"/>
              <w:jc w:val="center"/>
              <w:rPr>
                <w:rFonts w:cs="Times New Roman"/>
                <w:color w:val="000000"/>
                <w:szCs w:val="24"/>
              </w:rPr>
            </w:pPr>
            <w:r w:rsidRPr="009C6EC5">
              <w:t>8</w:t>
            </w:r>
          </w:p>
        </w:tc>
      </w:tr>
      <w:tr w:rsidR="00A15C2C" w14:paraId="0F3464DD" w14:textId="77777777" w:rsidTr="00800C73">
        <w:trPr>
          <w:trHeight w:val="300"/>
          <w:jc w:val="center"/>
        </w:trPr>
        <w:tc>
          <w:tcPr>
            <w:tcW w:w="2065" w:type="dxa"/>
            <w:shd w:val="clear" w:color="auto" w:fill="auto"/>
            <w:noWrap/>
            <w:vAlign w:val="bottom"/>
            <w:hideMark/>
          </w:tcPr>
          <w:p w14:paraId="1167D985" w14:textId="77777777" w:rsidR="00A87CA7" w:rsidRPr="0055589E" w:rsidRDefault="000F5B51" w:rsidP="00800C73">
            <w:pPr>
              <w:spacing w:after="0" w:line="240" w:lineRule="auto"/>
              <w:rPr>
                <w:rFonts w:eastAsia="Times New Roman" w:cs="Times New Roman"/>
                <w:color w:val="000000"/>
                <w:szCs w:val="24"/>
              </w:rPr>
            </w:pPr>
            <w:r w:rsidRPr="0055589E">
              <w:rPr>
                <w:rFonts w:eastAsia="Times New Roman" w:cs="Times New Roman"/>
                <w:color w:val="000000"/>
                <w:szCs w:val="24"/>
              </w:rPr>
              <w:t>Fatality</w:t>
            </w:r>
          </w:p>
        </w:tc>
        <w:tc>
          <w:tcPr>
            <w:tcW w:w="2113" w:type="dxa"/>
            <w:shd w:val="clear" w:color="auto" w:fill="auto"/>
            <w:noWrap/>
          </w:tcPr>
          <w:p w14:paraId="58107165" w14:textId="77777777" w:rsidR="00A87CA7" w:rsidRPr="00934F2C" w:rsidRDefault="000F5B51" w:rsidP="00800C73">
            <w:pPr>
              <w:spacing w:after="0" w:line="240" w:lineRule="auto"/>
              <w:jc w:val="center"/>
              <w:rPr>
                <w:rFonts w:eastAsia="Times New Roman" w:cs="Times New Roman"/>
                <w:color w:val="000000"/>
                <w:szCs w:val="24"/>
              </w:rPr>
            </w:pPr>
            <w:r w:rsidRPr="00473DD6">
              <w:t>549</w:t>
            </w:r>
          </w:p>
        </w:tc>
        <w:tc>
          <w:tcPr>
            <w:tcW w:w="2114" w:type="dxa"/>
            <w:shd w:val="clear" w:color="auto" w:fill="auto"/>
            <w:noWrap/>
          </w:tcPr>
          <w:p w14:paraId="09DB24BC" w14:textId="77777777" w:rsidR="00A87CA7" w:rsidRPr="00DA0C97" w:rsidRDefault="000F5B51" w:rsidP="00800C73">
            <w:pPr>
              <w:spacing w:after="0" w:line="240" w:lineRule="auto"/>
              <w:jc w:val="center"/>
              <w:rPr>
                <w:rFonts w:eastAsia="Times New Roman" w:cs="Times New Roman"/>
                <w:b/>
                <w:bCs/>
                <w:color w:val="000000"/>
                <w:szCs w:val="24"/>
              </w:rPr>
            </w:pPr>
            <w:r w:rsidRPr="00473DD6">
              <w:t>0.44</w:t>
            </w:r>
            <w:r w:rsidR="008000E2">
              <w:t>0</w:t>
            </w:r>
          </w:p>
        </w:tc>
        <w:tc>
          <w:tcPr>
            <w:tcW w:w="2114" w:type="dxa"/>
            <w:shd w:val="clear" w:color="auto" w:fill="auto"/>
            <w:noWrap/>
          </w:tcPr>
          <w:p w14:paraId="371CE922" w14:textId="77777777" w:rsidR="00A87CA7" w:rsidRPr="00DA0C97" w:rsidRDefault="000F5B51" w:rsidP="00800C73">
            <w:pPr>
              <w:spacing w:after="0" w:line="240" w:lineRule="auto"/>
              <w:jc w:val="center"/>
              <w:rPr>
                <w:rFonts w:eastAsia="Times New Roman" w:cs="Times New Roman"/>
                <w:b/>
                <w:bCs/>
                <w:color w:val="000000"/>
                <w:szCs w:val="24"/>
              </w:rPr>
            </w:pPr>
            <w:r w:rsidRPr="00473DD6">
              <w:t>0.6127</w:t>
            </w:r>
          </w:p>
        </w:tc>
        <w:tc>
          <w:tcPr>
            <w:tcW w:w="2114" w:type="dxa"/>
            <w:shd w:val="clear" w:color="auto" w:fill="auto"/>
            <w:noWrap/>
          </w:tcPr>
          <w:p w14:paraId="6B2896F7" w14:textId="77777777" w:rsidR="00A87CA7" w:rsidRPr="00DA0C97" w:rsidRDefault="000F5B51" w:rsidP="00800C73">
            <w:pPr>
              <w:spacing w:after="0" w:line="240" w:lineRule="auto"/>
              <w:jc w:val="center"/>
              <w:rPr>
                <w:rFonts w:eastAsia="Times New Roman" w:cs="Times New Roman"/>
                <w:b/>
                <w:bCs/>
                <w:color w:val="000000"/>
                <w:szCs w:val="24"/>
              </w:rPr>
            </w:pPr>
            <w:r w:rsidRPr="00473DD6">
              <w:t>751</w:t>
            </w:r>
          </w:p>
        </w:tc>
      </w:tr>
      <w:tr w:rsidR="00A15C2C" w14:paraId="039766D3" w14:textId="77777777" w:rsidTr="00800C73">
        <w:trPr>
          <w:trHeight w:val="300"/>
          <w:jc w:val="center"/>
        </w:trPr>
        <w:tc>
          <w:tcPr>
            <w:tcW w:w="10520" w:type="dxa"/>
            <w:gridSpan w:val="5"/>
            <w:shd w:val="clear" w:color="auto" w:fill="D9D9D9" w:themeFill="background1" w:themeFillShade="D9"/>
            <w:noWrap/>
            <w:vAlign w:val="center"/>
          </w:tcPr>
          <w:p w14:paraId="680E31BF" w14:textId="77777777" w:rsidR="00A87CA7" w:rsidRPr="00012598" w:rsidRDefault="000F5B51" w:rsidP="00800C73">
            <w:pPr>
              <w:spacing w:after="0" w:line="240" w:lineRule="auto"/>
              <w:ind w:firstLineChars="100" w:firstLine="241"/>
              <w:jc w:val="center"/>
              <w:rPr>
                <w:rFonts w:eastAsia="Times New Roman" w:cs="Times New Roman"/>
                <w:b/>
                <w:bCs/>
                <w:i/>
                <w:iCs/>
                <w:color w:val="000000"/>
                <w:szCs w:val="24"/>
              </w:rPr>
            </w:pPr>
            <w:r>
              <w:rPr>
                <w:rFonts w:eastAsia="Times New Roman" w:cs="Times New Roman"/>
                <w:b/>
                <w:bCs/>
                <w:i/>
                <w:iCs/>
                <w:color w:val="000000"/>
                <w:szCs w:val="24"/>
              </w:rPr>
              <w:t>Light Trucks</w:t>
            </w:r>
          </w:p>
        </w:tc>
      </w:tr>
      <w:tr w:rsidR="00A15C2C" w14:paraId="470C8719" w14:textId="77777777" w:rsidTr="00800C73">
        <w:trPr>
          <w:trHeight w:val="300"/>
          <w:jc w:val="center"/>
        </w:trPr>
        <w:tc>
          <w:tcPr>
            <w:tcW w:w="2065" w:type="dxa"/>
            <w:shd w:val="clear" w:color="auto" w:fill="auto"/>
            <w:noWrap/>
            <w:vAlign w:val="bottom"/>
            <w:hideMark/>
          </w:tcPr>
          <w:p w14:paraId="6250587C" w14:textId="77777777" w:rsidR="00A87CA7" w:rsidRPr="00954B78" w:rsidRDefault="000F5B51" w:rsidP="00800C73">
            <w:pPr>
              <w:spacing w:after="0" w:line="240" w:lineRule="auto"/>
              <w:rPr>
                <w:rFonts w:eastAsia="Times New Roman" w:cs="Times New Roman"/>
                <w:color w:val="000000"/>
                <w:szCs w:val="24"/>
              </w:rPr>
            </w:pPr>
            <w:r>
              <w:rPr>
                <w:rFonts w:eastAsia="Times New Roman" w:cs="Times New Roman"/>
                <w:color w:val="000000"/>
                <w:szCs w:val="24"/>
              </w:rPr>
              <w:t>MAIS 1</w:t>
            </w:r>
          </w:p>
        </w:tc>
        <w:tc>
          <w:tcPr>
            <w:tcW w:w="2113" w:type="dxa"/>
            <w:shd w:val="clear" w:color="auto" w:fill="auto"/>
            <w:noWrap/>
          </w:tcPr>
          <w:p w14:paraId="3F5F70DA" w14:textId="77777777" w:rsidR="00A87CA7" w:rsidRPr="00954B78" w:rsidRDefault="000F5B51" w:rsidP="00800C73">
            <w:pPr>
              <w:spacing w:after="0" w:line="240" w:lineRule="auto"/>
              <w:jc w:val="center"/>
              <w:rPr>
                <w:rFonts w:eastAsia="Times New Roman" w:cs="Times New Roman"/>
                <w:color w:val="000000"/>
                <w:szCs w:val="24"/>
              </w:rPr>
            </w:pPr>
            <w:r w:rsidRPr="00C01571">
              <w:t>1,822</w:t>
            </w:r>
          </w:p>
        </w:tc>
        <w:tc>
          <w:tcPr>
            <w:tcW w:w="2114" w:type="dxa"/>
            <w:shd w:val="clear" w:color="auto" w:fill="auto"/>
            <w:noWrap/>
          </w:tcPr>
          <w:p w14:paraId="4B7932F0" w14:textId="77777777" w:rsidR="00A87CA7" w:rsidRPr="00954B78" w:rsidRDefault="000F5B51" w:rsidP="00800C73">
            <w:pPr>
              <w:spacing w:after="0" w:line="240" w:lineRule="auto"/>
              <w:jc w:val="center"/>
              <w:rPr>
                <w:rFonts w:eastAsia="Times New Roman" w:cs="Times New Roman"/>
                <w:color w:val="000000"/>
                <w:szCs w:val="24"/>
              </w:rPr>
            </w:pPr>
            <w:r w:rsidRPr="00C01571">
              <w:t>0.055</w:t>
            </w:r>
          </w:p>
        </w:tc>
        <w:tc>
          <w:tcPr>
            <w:tcW w:w="2114" w:type="dxa"/>
            <w:shd w:val="clear" w:color="auto" w:fill="auto"/>
            <w:noWrap/>
          </w:tcPr>
          <w:p w14:paraId="03A3EF91" w14:textId="0D81D76B" w:rsidR="00A87CA7" w:rsidRPr="00954B78" w:rsidRDefault="00FA2D90" w:rsidP="00800C73">
            <w:pPr>
              <w:spacing w:after="0" w:line="240" w:lineRule="auto"/>
              <w:jc w:val="center"/>
              <w:rPr>
                <w:rFonts w:eastAsia="Times New Roman" w:cs="Times New Roman"/>
                <w:color w:val="000000"/>
                <w:szCs w:val="24"/>
              </w:rPr>
            </w:pPr>
            <w:r w:rsidRPr="00FA2D90">
              <w:t>0.7078</w:t>
            </w:r>
          </w:p>
        </w:tc>
        <w:tc>
          <w:tcPr>
            <w:tcW w:w="2114" w:type="dxa"/>
            <w:shd w:val="clear" w:color="auto" w:fill="auto"/>
            <w:noWrap/>
          </w:tcPr>
          <w:p w14:paraId="432A4100" w14:textId="4931E309" w:rsidR="00A87CA7" w:rsidRPr="00954B78" w:rsidRDefault="0090219F" w:rsidP="00800C73">
            <w:pPr>
              <w:spacing w:after="0" w:line="240" w:lineRule="auto"/>
              <w:jc w:val="center"/>
              <w:rPr>
                <w:rFonts w:eastAsia="Times New Roman" w:cs="Times New Roman"/>
                <w:color w:val="000000"/>
                <w:szCs w:val="24"/>
              </w:rPr>
            </w:pPr>
            <w:r>
              <w:t>1,896</w:t>
            </w:r>
          </w:p>
        </w:tc>
      </w:tr>
      <w:tr w:rsidR="00A15C2C" w14:paraId="22E334C3" w14:textId="77777777" w:rsidTr="00800C73">
        <w:trPr>
          <w:trHeight w:val="300"/>
          <w:jc w:val="center"/>
        </w:trPr>
        <w:tc>
          <w:tcPr>
            <w:tcW w:w="2065" w:type="dxa"/>
            <w:shd w:val="clear" w:color="auto" w:fill="auto"/>
            <w:noWrap/>
            <w:hideMark/>
          </w:tcPr>
          <w:p w14:paraId="46A7ABB7" w14:textId="77777777" w:rsidR="00A87CA7" w:rsidRPr="00954B78" w:rsidRDefault="000F5B51" w:rsidP="00800C73">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2</w:t>
            </w:r>
          </w:p>
        </w:tc>
        <w:tc>
          <w:tcPr>
            <w:tcW w:w="2113" w:type="dxa"/>
            <w:shd w:val="clear" w:color="auto" w:fill="auto"/>
            <w:noWrap/>
          </w:tcPr>
          <w:p w14:paraId="297358F5" w14:textId="77777777" w:rsidR="00A87CA7" w:rsidRPr="00954B78" w:rsidRDefault="000F5B51" w:rsidP="00800C73">
            <w:pPr>
              <w:spacing w:after="0" w:line="240" w:lineRule="auto"/>
              <w:jc w:val="center"/>
              <w:rPr>
                <w:rFonts w:eastAsia="Times New Roman" w:cs="Times New Roman"/>
                <w:color w:val="000000"/>
                <w:szCs w:val="24"/>
              </w:rPr>
            </w:pPr>
            <w:r w:rsidRPr="00C01571">
              <w:t>619</w:t>
            </w:r>
          </w:p>
        </w:tc>
        <w:tc>
          <w:tcPr>
            <w:tcW w:w="2114" w:type="dxa"/>
            <w:shd w:val="clear" w:color="auto" w:fill="auto"/>
            <w:noWrap/>
          </w:tcPr>
          <w:p w14:paraId="492881CD" w14:textId="77777777" w:rsidR="00A87CA7" w:rsidRPr="00954B78" w:rsidRDefault="000F5B51" w:rsidP="00800C73">
            <w:pPr>
              <w:spacing w:after="0" w:line="240" w:lineRule="auto"/>
              <w:jc w:val="center"/>
              <w:rPr>
                <w:rFonts w:eastAsia="Times New Roman" w:cs="Times New Roman"/>
                <w:color w:val="000000"/>
                <w:szCs w:val="24"/>
              </w:rPr>
            </w:pPr>
            <w:r w:rsidRPr="00C01571">
              <w:t>0.5</w:t>
            </w:r>
            <w:r w:rsidR="008000E2">
              <w:t>00</w:t>
            </w:r>
          </w:p>
        </w:tc>
        <w:tc>
          <w:tcPr>
            <w:tcW w:w="2114" w:type="dxa"/>
            <w:shd w:val="clear" w:color="auto" w:fill="auto"/>
            <w:noWrap/>
          </w:tcPr>
          <w:p w14:paraId="3208644C" w14:textId="19DFAED5" w:rsidR="00A87CA7" w:rsidRPr="00954B78" w:rsidRDefault="00FA2D90" w:rsidP="00800C73">
            <w:pPr>
              <w:spacing w:after="0" w:line="240" w:lineRule="auto"/>
              <w:jc w:val="center"/>
              <w:rPr>
                <w:rFonts w:eastAsia="Times New Roman" w:cs="Times New Roman"/>
                <w:color w:val="000000"/>
                <w:szCs w:val="24"/>
              </w:rPr>
            </w:pPr>
            <w:r w:rsidRPr="00FA2D90">
              <w:t>0.7078</w:t>
            </w:r>
          </w:p>
        </w:tc>
        <w:tc>
          <w:tcPr>
            <w:tcW w:w="2114" w:type="dxa"/>
            <w:shd w:val="clear" w:color="auto" w:fill="auto"/>
            <w:noWrap/>
          </w:tcPr>
          <w:p w14:paraId="06FC94C0" w14:textId="3542DDB2" w:rsidR="00A87CA7" w:rsidRPr="00954B78" w:rsidRDefault="0090219F" w:rsidP="00800C73">
            <w:pPr>
              <w:spacing w:after="0" w:line="240" w:lineRule="auto"/>
              <w:jc w:val="center"/>
              <w:rPr>
                <w:rFonts w:eastAsia="Times New Roman" w:cs="Times New Roman"/>
                <w:color w:val="000000"/>
                <w:szCs w:val="24"/>
              </w:rPr>
            </w:pPr>
            <w:r>
              <w:t>958</w:t>
            </w:r>
          </w:p>
        </w:tc>
      </w:tr>
      <w:tr w:rsidR="00A15C2C" w14:paraId="07F35FBE" w14:textId="77777777" w:rsidTr="00800C73">
        <w:trPr>
          <w:trHeight w:val="300"/>
          <w:jc w:val="center"/>
        </w:trPr>
        <w:tc>
          <w:tcPr>
            <w:tcW w:w="2065" w:type="dxa"/>
            <w:shd w:val="clear" w:color="auto" w:fill="auto"/>
            <w:noWrap/>
          </w:tcPr>
          <w:p w14:paraId="016BDA5C" w14:textId="77777777" w:rsidR="00A87CA7" w:rsidRPr="00064F4A" w:rsidRDefault="000F5B51" w:rsidP="00800C73">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3</w:t>
            </w:r>
          </w:p>
        </w:tc>
        <w:tc>
          <w:tcPr>
            <w:tcW w:w="2113" w:type="dxa"/>
            <w:shd w:val="clear" w:color="auto" w:fill="auto"/>
            <w:noWrap/>
          </w:tcPr>
          <w:p w14:paraId="21A4B3C5" w14:textId="77777777" w:rsidR="00A87CA7" w:rsidRPr="00954B78" w:rsidRDefault="000F5B51" w:rsidP="00800C73">
            <w:pPr>
              <w:spacing w:after="0" w:line="240" w:lineRule="auto"/>
              <w:jc w:val="center"/>
              <w:rPr>
                <w:rFonts w:cs="Times New Roman"/>
                <w:color w:val="000000"/>
                <w:szCs w:val="24"/>
              </w:rPr>
            </w:pPr>
            <w:r w:rsidRPr="00C01571">
              <w:t>4</w:t>
            </w:r>
          </w:p>
        </w:tc>
        <w:tc>
          <w:tcPr>
            <w:tcW w:w="2114" w:type="dxa"/>
            <w:shd w:val="clear" w:color="auto" w:fill="auto"/>
            <w:noWrap/>
          </w:tcPr>
          <w:p w14:paraId="469156D2" w14:textId="77777777" w:rsidR="00A87CA7" w:rsidRPr="00954B78" w:rsidRDefault="000F5B51" w:rsidP="00800C73">
            <w:pPr>
              <w:spacing w:after="0" w:line="240" w:lineRule="auto"/>
              <w:jc w:val="center"/>
              <w:rPr>
                <w:rFonts w:cs="Times New Roman"/>
                <w:color w:val="000000"/>
                <w:szCs w:val="24"/>
              </w:rPr>
            </w:pPr>
            <w:r w:rsidRPr="00C01571">
              <w:t>0.5</w:t>
            </w:r>
            <w:r w:rsidR="008000E2">
              <w:t>00</w:t>
            </w:r>
          </w:p>
        </w:tc>
        <w:tc>
          <w:tcPr>
            <w:tcW w:w="2114" w:type="dxa"/>
            <w:shd w:val="clear" w:color="auto" w:fill="auto"/>
            <w:noWrap/>
          </w:tcPr>
          <w:p w14:paraId="50BC9BDB" w14:textId="613FD7F8" w:rsidR="00A87CA7" w:rsidRPr="00954B78" w:rsidRDefault="00FA2D90" w:rsidP="00800C73">
            <w:pPr>
              <w:spacing w:after="0" w:line="240" w:lineRule="auto"/>
              <w:jc w:val="center"/>
              <w:rPr>
                <w:rFonts w:cs="Times New Roman"/>
                <w:color w:val="000000"/>
                <w:szCs w:val="24"/>
              </w:rPr>
            </w:pPr>
            <w:r w:rsidRPr="00FA2D90">
              <w:t>0.7078</w:t>
            </w:r>
          </w:p>
        </w:tc>
        <w:tc>
          <w:tcPr>
            <w:tcW w:w="2114" w:type="dxa"/>
            <w:shd w:val="clear" w:color="auto" w:fill="auto"/>
            <w:noWrap/>
          </w:tcPr>
          <w:p w14:paraId="6EB3EF61" w14:textId="0D56B698" w:rsidR="00A87CA7" w:rsidRPr="00954B78" w:rsidRDefault="000F5B51" w:rsidP="00800C73">
            <w:pPr>
              <w:spacing w:after="0" w:line="240" w:lineRule="auto"/>
              <w:jc w:val="center"/>
              <w:rPr>
                <w:rFonts w:cs="Times New Roman"/>
                <w:color w:val="000000"/>
                <w:szCs w:val="24"/>
              </w:rPr>
            </w:pPr>
            <w:r w:rsidRPr="00C01571">
              <w:t>6</w:t>
            </w:r>
          </w:p>
        </w:tc>
      </w:tr>
      <w:tr w:rsidR="00A15C2C" w14:paraId="305F28FC" w14:textId="77777777" w:rsidTr="00800C73">
        <w:trPr>
          <w:trHeight w:val="300"/>
          <w:jc w:val="center"/>
        </w:trPr>
        <w:tc>
          <w:tcPr>
            <w:tcW w:w="2065" w:type="dxa"/>
            <w:shd w:val="clear" w:color="auto" w:fill="auto"/>
            <w:noWrap/>
          </w:tcPr>
          <w:p w14:paraId="1EACA71C" w14:textId="77777777" w:rsidR="00A87CA7" w:rsidRPr="00064F4A" w:rsidRDefault="000F5B51" w:rsidP="00800C73">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4</w:t>
            </w:r>
          </w:p>
        </w:tc>
        <w:tc>
          <w:tcPr>
            <w:tcW w:w="2113" w:type="dxa"/>
            <w:shd w:val="clear" w:color="auto" w:fill="auto"/>
            <w:noWrap/>
          </w:tcPr>
          <w:p w14:paraId="6093A1A8" w14:textId="77777777" w:rsidR="00A87CA7" w:rsidRPr="00954B78" w:rsidRDefault="000F5B51" w:rsidP="00800C73">
            <w:pPr>
              <w:spacing w:after="0" w:line="240" w:lineRule="auto"/>
              <w:jc w:val="center"/>
              <w:rPr>
                <w:rFonts w:cs="Times New Roman"/>
                <w:color w:val="000000"/>
                <w:szCs w:val="24"/>
              </w:rPr>
            </w:pPr>
            <w:r w:rsidRPr="00C01571">
              <w:t>29</w:t>
            </w:r>
          </w:p>
        </w:tc>
        <w:tc>
          <w:tcPr>
            <w:tcW w:w="2114" w:type="dxa"/>
            <w:shd w:val="clear" w:color="auto" w:fill="auto"/>
            <w:noWrap/>
          </w:tcPr>
          <w:p w14:paraId="1AAD849F" w14:textId="77777777" w:rsidR="00A87CA7" w:rsidRPr="00954B78" w:rsidRDefault="000F5B51" w:rsidP="00800C73">
            <w:pPr>
              <w:spacing w:after="0" w:line="240" w:lineRule="auto"/>
              <w:jc w:val="center"/>
              <w:rPr>
                <w:rFonts w:cs="Times New Roman"/>
                <w:color w:val="000000"/>
                <w:szCs w:val="24"/>
              </w:rPr>
            </w:pPr>
            <w:r w:rsidRPr="00C01571">
              <w:t>0.5</w:t>
            </w:r>
            <w:r w:rsidR="008000E2">
              <w:t>00</w:t>
            </w:r>
          </w:p>
        </w:tc>
        <w:tc>
          <w:tcPr>
            <w:tcW w:w="2114" w:type="dxa"/>
            <w:shd w:val="clear" w:color="auto" w:fill="auto"/>
            <w:noWrap/>
          </w:tcPr>
          <w:p w14:paraId="0DC59265" w14:textId="694D2AEB" w:rsidR="00A87CA7" w:rsidRPr="00954B78" w:rsidRDefault="00FA2D90" w:rsidP="00800C73">
            <w:pPr>
              <w:spacing w:after="0" w:line="240" w:lineRule="auto"/>
              <w:jc w:val="center"/>
              <w:rPr>
                <w:rFonts w:cs="Times New Roman"/>
                <w:color w:val="000000"/>
                <w:szCs w:val="24"/>
              </w:rPr>
            </w:pPr>
            <w:r w:rsidRPr="00FA2D90">
              <w:t>0.7078</w:t>
            </w:r>
          </w:p>
        </w:tc>
        <w:tc>
          <w:tcPr>
            <w:tcW w:w="2114" w:type="dxa"/>
            <w:shd w:val="clear" w:color="auto" w:fill="auto"/>
            <w:noWrap/>
          </w:tcPr>
          <w:p w14:paraId="6F8DDCDE" w14:textId="507473CE" w:rsidR="00A87CA7" w:rsidRPr="00954B78" w:rsidRDefault="0090219F" w:rsidP="00800C73">
            <w:pPr>
              <w:spacing w:after="0" w:line="240" w:lineRule="auto"/>
              <w:jc w:val="center"/>
              <w:rPr>
                <w:rFonts w:cs="Times New Roman"/>
                <w:color w:val="000000"/>
                <w:szCs w:val="24"/>
              </w:rPr>
            </w:pPr>
            <w:r>
              <w:t>45</w:t>
            </w:r>
          </w:p>
        </w:tc>
      </w:tr>
      <w:tr w:rsidR="00A15C2C" w14:paraId="6B5BA321" w14:textId="77777777" w:rsidTr="00800C73">
        <w:trPr>
          <w:trHeight w:val="300"/>
          <w:jc w:val="center"/>
        </w:trPr>
        <w:tc>
          <w:tcPr>
            <w:tcW w:w="2065" w:type="dxa"/>
            <w:shd w:val="clear" w:color="auto" w:fill="auto"/>
            <w:noWrap/>
          </w:tcPr>
          <w:p w14:paraId="4DB41A99" w14:textId="77777777" w:rsidR="00A87CA7" w:rsidRPr="00064F4A" w:rsidRDefault="000F5B51" w:rsidP="00800C73">
            <w:pPr>
              <w:spacing w:after="0" w:line="240" w:lineRule="auto"/>
              <w:rPr>
                <w:rFonts w:eastAsia="Times New Roman" w:cs="Times New Roman"/>
                <w:color w:val="000000"/>
                <w:szCs w:val="24"/>
              </w:rPr>
            </w:pPr>
            <w:r>
              <w:rPr>
                <w:rFonts w:eastAsia="Times New Roman" w:cs="Times New Roman"/>
                <w:color w:val="000000"/>
                <w:szCs w:val="24"/>
              </w:rPr>
              <w:t>MAIS 5</w:t>
            </w:r>
          </w:p>
        </w:tc>
        <w:tc>
          <w:tcPr>
            <w:tcW w:w="2113" w:type="dxa"/>
            <w:shd w:val="clear" w:color="auto" w:fill="auto"/>
            <w:noWrap/>
          </w:tcPr>
          <w:p w14:paraId="116D2B43" w14:textId="77777777" w:rsidR="00A87CA7" w:rsidRPr="00954B78" w:rsidRDefault="000F5B51" w:rsidP="00800C73">
            <w:pPr>
              <w:spacing w:after="0" w:line="240" w:lineRule="auto"/>
              <w:jc w:val="center"/>
              <w:rPr>
                <w:rFonts w:cs="Times New Roman"/>
                <w:color w:val="000000"/>
                <w:szCs w:val="24"/>
              </w:rPr>
            </w:pPr>
            <w:r w:rsidRPr="00C01571">
              <w:t>2</w:t>
            </w:r>
          </w:p>
        </w:tc>
        <w:tc>
          <w:tcPr>
            <w:tcW w:w="2114" w:type="dxa"/>
            <w:shd w:val="clear" w:color="auto" w:fill="auto"/>
            <w:noWrap/>
          </w:tcPr>
          <w:p w14:paraId="24216E5A" w14:textId="77777777" w:rsidR="00A87CA7" w:rsidRPr="00954B78" w:rsidRDefault="000F5B51" w:rsidP="00800C73">
            <w:pPr>
              <w:spacing w:after="0" w:line="240" w:lineRule="auto"/>
              <w:jc w:val="center"/>
              <w:rPr>
                <w:rFonts w:cs="Times New Roman"/>
                <w:color w:val="000000"/>
                <w:szCs w:val="24"/>
              </w:rPr>
            </w:pPr>
            <w:r w:rsidRPr="00C01571">
              <w:t>0.5</w:t>
            </w:r>
            <w:r w:rsidR="008000E2">
              <w:t>00</w:t>
            </w:r>
          </w:p>
        </w:tc>
        <w:tc>
          <w:tcPr>
            <w:tcW w:w="2114" w:type="dxa"/>
            <w:shd w:val="clear" w:color="auto" w:fill="auto"/>
            <w:noWrap/>
          </w:tcPr>
          <w:p w14:paraId="31933156" w14:textId="1E8B7809" w:rsidR="00A87CA7" w:rsidRPr="00954B78" w:rsidRDefault="00FA2D90" w:rsidP="00800C73">
            <w:pPr>
              <w:spacing w:after="0" w:line="240" w:lineRule="auto"/>
              <w:jc w:val="center"/>
              <w:rPr>
                <w:rFonts w:cs="Times New Roman"/>
                <w:color w:val="000000"/>
                <w:szCs w:val="24"/>
              </w:rPr>
            </w:pPr>
            <w:r w:rsidRPr="00FA2D90">
              <w:t>0.7078</w:t>
            </w:r>
          </w:p>
        </w:tc>
        <w:tc>
          <w:tcPr>
            <w:tcW w:w="2114" w:type="dxa"/>
            <w:shd w:val="clear" w:color="auto" w:fill="auto"/>
            <w:noWrap/>
          </w:tcPr>
          <w:p w14:paraId="76D88462" w14:textId="31173884" w:rsidR="00A87CA7" w:rsidRPr="00954B78" w:rsidRDefault="000F5B51" w:rsidP="00800C73">
            <w:pPr>
              <w:spacing w:after="0" w:line="240" w:lineRule="auto"/>
              <w:jc w:val="center"/>
              <w:rPr>
                <w:rFonts w:cs="Times New Roman"/>
                <w:color w:val="000000"/>
                <w:szCs w:val="24"/>
              </w:rPr>
            </w:pPr>
            <w:r w:rsidRPr="00C01571">
              <w:t>3</w:t>
            </w:r>
          </w:p>
        </w:tc>
      </w:tr>
      <w:tr w:rsidR="00A15C2C" w14:paraId="2298E307" w14:textId="77777777" w:rsidTr="00800C73">
        <w:trPr>
          <w:trHeight w:val="300"/>
          <w:jc w:val="center"/>
        </w:trPr>
        <w:tc>
          <w:tcPr>
            <w:tcW w:w="2065" w:type="dxa"/>
            <w:shd w:val="clear" w:color="auto" w:fill="auto"/>
            <w:noWrap/>
            <w:vAlign w:val="bottom"/>
            <w:hideMark/>
          </w:tcPr>
          <w:p w14:paraId="358E08D3" w14:textId="77777777" w:rsidR="00A87CA7" w:rsidRPr="0055589E" w:rsidRDefault="000F5B51" w:rsidP="00800C73">
            <w:pPr>
              <w:spacing w:after="0" w:line="240" w:lineRule="auto"/>
              <w:rPr>
                <w:rFonts w:eastAsia="Times New Roman" w:cs="Times New Roman"/>
                <w:color w:val="000000"/>
                <w:szCs w:val="24"/>
              </w:rPr>
            </w:pPr>
            <w:r w:rsidRPr="0055589E">
              <w:rPr>
                <w:rFonts w:eastAsia="Times New Roman" w:cs="Times New Roman"/>
                <w:color w:val="000000"/>
                <w:szCs w:val="24"/>
              </w:rPr>
              <w:t>Fatality</w:t>
            </w:r>
          </w:p>
        </w:tc>
        <w:tc>
          <w:tcPr>
            <w:tcW w:w="2113" w:type="dxa"/>
            <w:shd w:val="clear" w:color="auto" w:fill="auto"/>
            <w:noWrap/>
          </w:tcPr>
          <w:p w14:paraId="24F5466B" w14:textId="77777777" w:rsidR="00A87CA7" w:rsidRPr="00934F2C" w:rsidRDefault="000F5B51" w:rsidP="00800C73">
            <w:pPr>
              <w:spacing w:after="0" w:line="240" w:lineRule="auto"/>
              <w:jc w:val="center"/>
              <w:rPr>
                <w:rFonts w:eastAsia="Times New Roman" w:cs="Times New Roman"/>
                <w:b/>
                <w:bCs/>
                <w:color w:val="000000"/>
                <w:szCs w:val="24"/>
              </w:rPr>
            </w:pPr>
            <w:r w:rsidRPr="008D1B9F">
              <w:t>378</w:t>
            </w:r>
          </w:p>
        </w:tc>
        <w:tc>
          <w:tcPr>
            <w:tcW w:w="2114" w:type="dxa"/>
            <w:shd w:val="clear" w:color="auto" w:fill="auto"/>
            <w:noWrap/>
          </w:tcPr>
          <w:p w14:paraId="709B4073" w14:textId="77777777" w:rsidR="00A87CA7" w:rsidRPr="006D32C0" w:rsidRDefault="000F5B51" w:rsidP="00800C73">
            <w:pPr>
              <w:spacing w:after="0" w:line="240" w:lineRule="auto"/>
              <w:jc w:val="center"/>
              <w:rPr>
                <w:rFonts w:eastAsia="Times New Roman" w:cs="Times New Roman"/>
                <w:b/>
                <w:bCs/>
                <w:color w:val="000000"/>
                <w:szCs w:val="24"/>
              </w:rPr>
            </w:pPr>
            <w:r w:rsidRPr="008D1B9F">
              <w:t>0.73</w:t>
            </w:r>
            <w:r w:rsidR="008000E2">
              <w:t>0</w:t>
            </w:r>
          </w:p>
        </w:tc>
        <w:tc>
          <w:tcPr>
            <w:tcW w:w="2114" w:type="dxa"/>
            <w:shd w:val="clear" w:color="auto" w:fill="auto"/>
            <w:noWrap/>
          </w:tcPr>
          <w:p w14:paraId="0F0463DB" w14:textId="77777777" w:rsidR="00A87CA7" w:rsidRPr="006D32C0" w:rsidRDefault="000F5B51" w:rsidP="00800C73">
            <w:pPr>
              <w:spacing w:after="0" w:line="240" w:lineRule="auto"/>
              <w:jc w:val="center"/>
              <w:rPr>
                <w:rFonts w:eastAsia="Times New Roman" w:cs="Times New Roman"/>
                <w:b/>
                <w:bCs/>
                <w:color w:val="000000"/>
                <w:szCs w:val="24"/>
              </w:rPr>
            </w:pPr>
            <w:r w:rsidRPr="008D1B9F">
              <w:t>0.6127</w:t>
            </w:r>
          </w:p>
        </w:tc>
        <w:tc>
          <w:tcPr>
            <w:tcW w:w="2114" w:type="dxa"/>
            <w:shd w:val="clear" w:color="auto" w:fill="auto"/>
            <w:noWrap/>
          </w:tcPr>
          <w:p w14:paraId="36778793" w14:textId="77777777" w:rsidR="00A87CA7" w:rsidRPr="00934F2C" w:rsidRDefault="000F5B51" w:rsidP="00800C73">
            <w:pPr>
              <w:spacing w:after="0" w:line="240" w:lineRule="auto"/>
              <w:jc w:val="center"/>
              <w:rPr>
                <w:rFonts w:eastAsia="Times New Roman" w:cs="Times New Roman"/>
                <w:b/>
                <w:bCs/>
                <w:color w:val="000000"/>
                <w:szCs w:val="24"/>
              </w:rPr>
            </w:pPr>
            <w:r w:rsidRPr="008D1B9F">
              <w:t>684</w:t>
            </w:r>
          </w:p>
        </w:tc>
      </w:tr>
    </w:tbl>
    <w:p w14:paraId="5E4A481A" w14:textId="77777777" w:rsidR="00A87CA7" w:rsidRPr="00DA0C97" w:rsidRDefault="000F5B51" w:rsidP="00A87CA7">
      <w:pPr>
        <w:pStyle w:val="NoSpaceTimes"/>
        <w:jc w:val="left"/>
        <w:rPr>
          <w:sz w:val="18"/>
          <w:szCs w:val="18"/>
        </w:rPr>
      </w:pPr>
      <w:r w:rsidRPr="00DA0C97">
        <w:rPr>
          <w:sz w:val="18"/>
          <w:szCs w:val="18"/>
        </w:rPr>
        <w:t>Note: Values may not sum due to rounding. Totals are rounded to the nearest whole number for presentation purposes.</w:t>
      </w:r>
    </w:p>
    <w:p w14:paraId="62BCEF00" w14:textId="6BCFC286" w:rsidR="00A87CA7" w:rsidRDefault="00A87CA7" w:rsidP="00A87CA7">
      <w:pPr>
        <w:pStyle w:val="NoSpaceTimes"/>
      </w:pPr>
    </w:p>
    <w:p w14:paraId="1C667BB4" w14:textId="22A466F5" w:rsidR="00F1151E" w:rsidRDefault="00F1151E" w:rsidP="00A87CA7">
      <w:pPr>
        <w:pStyle w:val="NoSpaceTimes"/>
      </w:pPr>
    </w:p>
    <w:p w14:paraId="180E922F" w14:textId="1936238E" w:rsidR="00F1151E" w:rsidRDefault="00F1151E" w:rsidP="00A87CA7">
      <w:pPr>
        <w:pStyle w:val="NoSpaceTimes"/>
      </w:pPr>
    </w:p>
    <w:p w14:paraId="4CFECEAF" w14:textId="4152E35F" w:rsidR="00F1151E" w:rsidRDefault="00F1151E" w:rsidP="00A87CA7">
      <w:pPr>
        <w:pStyle w:val="NoSpaceTimes"/>
      </w:pPr>
    </w:p>
    <w:p w14:paraId="23E97CB8" w14:textId="5D2BC158" w:rsidR="00F1151E" w:rsidRDefault="00F1151E" w:rsidP="00A87CA7">
      <w:pPr>
        <w:pStyle w:val="NoSpaceTimes"/>
      </w:pPr>
    </w:p>
    <w:p w14:paraId="72A52741" w14:textId="5E1F96DC" w:rsidR="00F1151E" w:rsidRDefault="00F1151E" w:rsidP="00A87CA7">
      <w:pPr>
        <w:pStyle w:val="NoSpaceTimes"/>
      </w:pPr>
    </w:p>
    <w:p w14:paraId="7CEB52E8" w14:textId="09544B01" w:rsidR="00F1151E" w:rsidRDefault="00F1151E" w:rsidP="00A87CA7">
      <w:pPr>
        <w:pStyle w:val="NoSpaceTimes"/>
      </w:pPr>
    </w:p>
    <w:p w14:paraId="01CE1745" w14:textId="2A8E328C" w:rsidR="00F1151E" w:rsidRDefault="00F1151E" w:rsidP="00A87CA7">
      <w:pPr>
        <w:pStyle w:val="NoSpaceTimes"/>
      </w:pPr>
    </w:p>
    <w:p w14:paraId="2C35E4C6" w14:textId="3E9BA6F1" w:rsidR="00F1151E" w:rsidRDefault="00F1151E" w:rsidP="00A87CA7">
      <w:pPr>
        <w:pStyle w:val="NoSpaceTimes"/>
      </w:pPr>
    </w:p>
    <w:p w14:paraId="74602E29" w14:textId="354797B2" w:rsidR="00F1151E" w:rsidRDefault="00F1151E" w:rsidP="00A87CA7">
      <w:pPr>
        <w:pStyle w:val="NoSpaceTimes"/>
      </w:pPr>
    </w:p>
    <w:p w14:paraId="1693651A" w14:textId="72DCF4DA" w:rsidR="00F1151E" w:rsidRDefault="00F1151E" w:rsidP="00A87CA7">
      <w:pPr>
        <w:pStyle w:val="NoSpaceTimes"/>
      </w:pPr>
    </w:p>
    <w:p w14:paraId="21AA31BA" w14:textId="19D4D231" w:rsidR="00F1151E" w:rsidRDefault="00F1151E" w:rsidP="00A87CA7">
      <w:pPr>
        <w:pStyle w:val="NoSpaceTimes"/>
      </w:pPr>
    </w:p>
    <w:p w14:paraId="1490550E" w14:textId="133E6D62" w:rsidR="00F1151E" w:rsidRDefault="00F1151E" w:rsidP="00A87CA7">
      <w:pPr>
        <w:pStyle w:val="NoSpaceTimes"/>
      </w:pPr>
    </w:p>
    <w:p w14:paraId="5CF706F1" w14:textId="2EA53565" w:rsidR="00F1151E" w:rsidRDefault="00F1151E" w:rsidP="00A87CA7">
      <w:pPr>
        <w:pStyle w:val="NoSpaceTimes"/>
      </w:pPr>
    </w:p>
    <w:p w14:paraId="12FE2389" w14:textId="73DDF8E5" w:rsidR="00F1151E" w:rsidRDefault="00F1151E" w:rsidP="00A87CA7">
      <w:pPr>
        <w:pStyle w:val="NoSpaceTimes"/>
      </w:pPr>
    </w:p>
    <w:p w14:paraId="25A255B1" w14:textId="2B88CD3F" w:rsidR="00F1151E" w:rsidRDefault="00F1151E" w:rsidP="00A87CA7">
      <w:pPr>
        <w:pStyle w:val="NoSpaceTimes"/>
      </w:pPr>
    </w:p>
    <w:p w14:paraId="3A36BB1C" w14:textId="512E56EA" w:rsidR="00F1151E" w:rsidRDefault="00F1151E" w:rsidP="00A87CA7">
      <w:pPr>
        <w:pStyle w:val="NoSpaceTimes"/>
      </w:pPr>
    </w:p>
    <w:p w14:paraId="79C9301D" w14:textId="77777777" w:rsidR="00F1151E" w:rsidRDefault="00F1151E" w:rsidP="00A87CA7">
      <w:pPr>
        <w:pStyle w:val="NoSpaceTimes"/>
      </w:pPr>
    </w:p>
    <w:p w14:paraId="0529BFE0" w14:textId="12740097" w:rsidR="007B248C" w:rsidRDefault="000F5B51" w:rsidP="007B248C">
      <w:pPr>
        <w:pStyle w:val="Caption"/>
        <w:rPr>
          <w:rFonts w:eastAsia="Times New Roman" w:cs="Times New Roman"/>
          <w:szCs w:val="24"/>
        </w:rPr>
      </w:pPr>
      <w:bookmarkStart w:id="910" w:name="_Ref126649553"/>
      <w:r>
        <w:lastRenderedPageBreak/>
        <w:t xml:space="preserve">Table </w:t>
      </w:r>
      <w:r w:rsidR="00115BAB">
        <w:fldChar w:fldCharType="begin"/>
      </w:r>
      <w:r>
        <w:instrText xml:space="preserve"> SEQ Table \* ARABIC </w:instrText>
      </w:r>
      <w:r w:rsidR="00115BAB">
        <w:fldChar w:fldCharType="separate"/>
      </w:r>
      <w:r w:rsidR="00A65CB3">
        <w:rPr>
          <w:noProof/>
        </w:rPr>
        <w:t>49</w:t>
      </w:r>
      <w:r w:rsidR="00115BAB">
        <w:rPr>
          <w:noProof/>
        </w:rPr>
        <w:fldChar w:fldCharType="end"/>
      </w:r>
      <w:bookmarkEnd w:id="910"/>
      <w:r>
        <w:rPr>
          <w:noProof/>
        </w:rPr>
        <w:t xml:space="preserve">: </w:t>
      </w:r>
      <w:r>
        <w:t>Potential Injuries and Fatalities for Drivers 90-</w:t>
      </w:r>
      <w:r w:rsidR="00345863">
        <w:t>S</w:t>
      </w:r>
      <w:r>
        <w:t xml:space="preserve">econd Warning </w:t>
      </w:r>
    </w:p>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65"/>
        <w:gridCol w:w="2113"/>
        <w:gridCol w:w="2114"/>
        <w:gridCol w:w="2114"/>
        <w:gridCol w:w="2114"/>
      </w:tblGrid>
      <w:tr w:rsidR="00A15C2C" w14:paraId="76BF4682" w14:textId="77777777" w:rsidTr="00800C73">
        <w:trPr>
          <w:trHeight w:val="1264"/>
          <w:jc w:val="center"/>
        </w:trPr>
        <w:tc>
          <w:tcPr>
            <w:tcW w:w="2065" w:type="dxa"/>
            <w:shd w:val="clear" w:color="auto" w:fill="D9D9D9" w:themeFill="background1" w:themeFillShade="D9"/>
            <w:noWrap/>
            <w:vAlign w:val="bottom"/>
          </w:tcPr>
          <w:p w14:paraId="2DB2A4EE" w14:textId="77777777" w:rsidR="007B248C" w:rsidRDefault="007B248C" w:rsidP="00800C73">
            <w:pPr>
              <w:spacing w:line="240" w:lineRule="auto"/>
              <w:rPr>
                <w:rFonts w:eastAsia="Times New Roman" w:cs="Times New Roman"/>
                <w:b/>
                <w:bCs/>
                <w:color w:val="000000"/>
                <w:szCs w:val="24"/>
              </w:rPr>
            </w:pPr>
          </w:p>
          <w:p w14:paraId="396E0CE9" w14:textId="77777777" w:rsidR="007B248C" w:rsidRDefault="000F5B51" w:rsidP="00800C73">
            <w:pPr>
              <w:spacing w:line="240" w:lineRule="auto"/>
              <w:rPr>
                <w:rFonts w:eastAsia="Times New Roman" w:cs="Times New Roman"/>
                <w:b/>
                <w:bCs/>
                <w:color w:val="000000"/>
                <w:szCs w:val="24"/>
              </w:rPr>
            </w:pPr>
            <w:r>
              <w:rPr>
                <w:rFonts w:eastAsia="Times New Roman" w:cs="Times New Roman"/>
                <w:b/>
                <w:bCs/>
                <w:color w:val="000000"/>
                <w:szCs w:val="24"/>
              </w:rPr>
              <w:t xml:space="preserve">Injury Severity </w:t>
            </w:r>
          </w:p>
        </w:tc>
        <w:tc>
          <w:tcPr>
            <w:tcW w:w="2113" w:type="dxa"/>
            <w:shd w:val="clear" w:color="auto" w:fill="D9D9D9" w:themeFill="background1" w:themeFillShade="D9"/>
            <w:noWrap/>
            <w:vAlign w:val="center"/>
          </w:tcPr>
          <w:p w14:paraId="4DF2274D" w14:textId="77777777" w:rsidR="007B248C" w:rsidRPr="00954B78" w:rsidRDefault="000F5B51" w:rsidP="00800C73">
            <w:pPr>
              <w:spacing w:line="240" w:lineRule="auto"/>
              <w:jc w:val="center"/>
              <w:rPr>
                <w:rFonts w:eastAsia="Times New Roman" w:cs="Times New Roman"/>
                <w:b/>
                <w:bCs/>
                <w:color w:val="000000"/>
                <w:szCs w:val="24"/>
              </w:rPr>
            </w:pPr>
            <w:r>
              <w:rPr>
                <w:rFonts w:eastAsia="Times New Roman" w:cs="Times New Roman"/>
                <w:b/>
                <w:bCs/>
                <w:color w:val="000000"/>
                <w:szCs w:val="24"/>
              </w:rPr>
              <w:t>Total Observed (Restrained and Unrestrained)</w:t>
            </w:r>
          </w:p>
        </w:tc>
        <w:tc>
          <w:tcPr>
            <w:tcW w:w="2114" w:type="dxa"/>
            <w:shd w:val="clear" w:color="auto" w:fill="D9D9D9" w:themeFill="background1" w:themeFillShade="D9"/>
            <w:noWrap/>
            <w:vAlign w:val="center"/>
          </w:tcPr>
          <w:p w14:paraId="5DDA9AF3" w14:textId="77777777" w:rsidR="007B248C" w:rsidRPr="00954B78" w:rsidRDefault="000F5B51" w:rsidP="00800C73">
            <w:pPr>
              <w:spacing w:line="240" w:lineRule="auto"/>
              <w:jc w:val="center"/>
              <w:rPr>
                <w:rFonts w:eastAsia="Times New Roman" w:cs="Times New Roman"/>
                <w:b/>
                <w:bCs/>
                <w:color w:val="000000"/>
                <w:szCs w:val="24"/>
              </w:rPr>
            </w:pPr>
            <w:r>
              <w:rPr>
                <w:rFonts w:eastAsia="Times New Roman" w:cs="Times New Roman"/>
                <w:b/>
                <w:bCs/>
                <w:color w:val="000000"/>
                <w:szCs w:val="24"/>
              </w:rPr>
              <w:t>Seat Belt Effectiveness</w:t>
            </w:r>
          </w:p>
        </w:tc>
        <w:tc>
          <w:tcPr>
            <w:tcW w:w="2114" w:type="dxa"/>
            <w:shd w:val="clear" w:color="auto" w:fill="D9D9D9" w:themeFill="background1" w:themeFillShade="D9"/>
            <w:noWrap/>
            <w:vAlign w:val="center"/>
          </w:tcPr>
          <w:p w14:paraId="26773E49" w14:textId="77777777" w:rsidR="007B248C" w:rsidRPr="00954B78" w:rsidRDefault="000F5B51" w:rsidP="00800C73">
            <w:pPr>
              <w:spacing w:line="240" w:lineRule="auto"/>
              <w:jc w:val="center"/>
              <w:rPr>
                <w:rFonts w:eastAsia="Times New Roman" w:cs="Times New Roman"/>
                <w:b/>
                <w:bCs/>
                <w:color w:val="000000"/>
                <w:szCs w:val="24"/>
              </w:rPr>
            </w:pPr>
            <w:r>
              <w:rPr>
                <w:rFonts w:eastAsia="Times New Roman" w:cs="Times New Roman"/>
                <w:b/>
                <w:bCs/>
                <w:color w:val="000000"/>
                <w:szCs w:val="24"/>
              </w:rPr>
              <w:t>Current Seat Belt Use Rate</w:t>
            </w:r>
          </w:p>
        </w:tc>
        <w:tc>
          <w:tcPr>
            <w:tcW w:w="2114" w:type="dxa"/>
            <w:shd w:val="clear" w:color="auto" w:fill="D9D9D9" w:themeFill="background1" w:themeFillShade="D9"/>
            <w:noWrap/>
            <w:vAlign w:val="center"/>
          </w:tcPr>
          <w:p w14:paraId="479D4079" w14:textId="77777777" w:rsidR="007B248C" w:rsidRPr="00954B78" w:rsidRDefault="000F5B51" w:rsidP="00800C73">
            <w:pPr>
              <w:spacing w:line="240" w:lineRule="auto"/>
              <w:jc w:val="center"/>
              <w:rPr>
                <w:rFonts w:eastAsia="Times New Roman" w:cs="Times New Roman"/>
                <w:b/>
                <w:bCs/>
                <w:color w:val="000000"/>
                <w:szCs w:val="24"/>
              </w:rPr>
            </w:pPr>
            <w:r w:rsidRPr="00954B78">
              <w:rPr>
                <w:rFonts w:eastAsia="Times New Roman" w:cs="Times New Roman"/>
                <w:b/>
                <w:bCs/>
                <w:color w:val="000000"/>
                <w:szCs w:val="24"/>
              </w:rPr>
              <w:t>Potential Injuries</w:t>
            </w:r>
            <w:r>
              <w:rPr>
                <w:rFonts w:eastAsia="Times New Roman" w:cs="Times New Roman"/>
                <w:b/>
                <w:bCs/>
                <w:color w:val="000000"/>
                <w:szCs w:val="24"/>
              </w:rPr>
              <w:t xml:space="preserve"> and Fatalities</w:t>
            </w:r>
          </w:p>
        </w:tc>
      </w:tr>
      <w:tr w:rsidR="00A15C2C" w14:paraId="73A9427C" w14:textId="77777777" w:rsidTr="00800C73">
        <w:trPr>
          <w:trHeight w:val="20"/>
          <w:jc w:val="center"/>
        </w:trPr>
        <w:tc>
          <w:tcPr>
            <w:tcW w:w="10520" w:type="dxa"/>
            <w:gridSpan w:val="5"/>
            <w:shd w:val="clear" w:color="auto" w:fill="D9D9D9" w:themeFill="background1" w:themeFillShade="D9"/>
            <w:noWrap/>
            <w:vAlign w:val="center"/>
            <w:hideMark/>
          </w:tcPr>
          <w:p w14:paraId="2300E04A" w14:textId="77777777" w:rsidR="007B248C" w:rsidRPr="00012598" w:rsidRDefault="000F5B51" w:rsidP="00800C73">
            <w:pPr>
              <w:spacing w:after="0" w:line="240" w:lineRule="auto"/>
              <w:ind w:firstLineChars="100" w:firstLine="241"/>
              <w:jc w:val="center"/>
              <w:rPr>
                <w:rFonts w:eastAsia="Times New Roman" w:cs="Times New Roman"/>
                <w:b/>
                <w:bCs/>
                <w:i/>
                <w:iCs/>
                <w:color w:val="000000"/>
                <w:szCs w:val="24"/>
              </w:rPr>
            </w:pPr>
            <w:r w:rsidRPr="00012598">
              <w:rPr>
                <w:rFonts w:eastAsia="Times New Roman" w:cs="Times New Roman"/>
                <w:b/>
                <w:bCs/>
                <w:i/>
                <w:iCs/>
                <w:color w:val="000000"/>
                <w:szCs w:val="24"/>
              </w:rPr>
              <w:t>Passenger Car</w:t>
            </w:r>
          </w:p>
        </w:tc>
      </w:tr>
      <w:tr w:rsidR="00A15C2C" w14:paraId="0BA89CF8" w14:textId="77777777" w:rsidTr="00800C73">
        <w:trPr>
          <w:trHeight w:val="300"/>
          <w:jc w:val="center"/>
        </w:trPr>
        <w:tc>
          <w:tcPr>
            <w:tcW w:w="2065" w:type="dxa"/>
            <w:shd w:val="clear" w:color="auto" w:fill="auto"/>
            <w:noWrap/>
            <w:vAlign w:val="bottom"/>
          </w:tcPr>
          <w:p w14:paraId="3F687373" w14:textId="77777777" w:rsidR="007B248C" w:rsidRPr="00954B78" w:rsidRDefault="000F5B51" w:rsidP="00800C73">
            <w:pPr>
              <w:spacing w:after="0" w:line="240" w:lineRule="auto"/>
              <w:rPr>
                <w:rFonts w:eastAsia="Times New Roman" w:cs="Times New Roman"/>
                <w:color w:val="000000"/>
                <w:szCs w:val="24"/>
              </w:rPr>
            </w:pPr>
            <w:r>
              <w:rPr>
                <w:rFonts w:eastAsia="Times New Roman" w:cs="Times New Roman"/>
                <w:color w:val="000000"/>
                <w:szCs w:val="24"/>
              </w:rPr>
              <w:t>MAIS 1</w:t>
            </w:r>
          </w:p>
        </w:tc>
        <w:tc>
          <w:tcPr>
            <w:tcW w:w="2113" w:type="dxa"/>
            <w:shd w:val="clear" w:color="auto" w:fill="auto"/>
            <w:noWrap/>
          </w:tcPr>
          <w:p w14:paraId="2521EBE7" w14:textId="77777777" w:rsidR="007B248C" w:rsidRPr="00954B78" w:rsidRDefault="000F5B51" w:rsidP="00800C73">
            <w:pPr>
              <w:spacing w:after="0" w:line="240" w:lineRule="auto"/>
              <w:jc w:val="center"/>
              <w:rPr>
                <w:rFonts w:eastAsia="Times New Roman" w:cs="Times New Roman"/>
                <w:color w:val="000000"/>
                <w:szCs w:val="24"/>
              </w:rPr>
            </w:pPr>
            <w:r w:rsidRPr="00BA329F">
              <w:t>28,332</w:t>
            </w:r>
          </w:p>
        </w:tc>
        <w:tc>
          <w:tcPr>
            <w:tcW w:w="2114" w:type="dxa"/>
            <w:shd w:val="clear" w:color="auto" w:fill="auto"/>
            <w:noWrap/>
          </w:tcPr>
          <w:p w14:paraId="2163D0B1" w14:textId="77777777" w:rsidR="007B248C" w:rsidRPr="00954B78" w:rsidRDefault="000F5B51" w:rsidP="00800C73">
            <w:pPr>
              <w:spacing w:after="0" w:line="240" w:lineRule="auto"/>
              <w:jc w:val="center"/>
              <w:rPr>
                <w:rFonts w:eastAsia="Times New Roman" w:cs="Times New Roman"/>
                <w:color w:val="000000"/>
                <w:szCs w:val="24"/>
              </w:rPr>
            </w:pPr>
            <w:r w:rsidRPr="009C6EC5">
              <w:t>0.055</w:t>
            </w:r>
          </w:p>
        </w:tc>
        <w:tc>
          <w:tcPr>
            <w:tcW w:w="2114" w:type="dxa"/>
            <w:shd w:val="clear" w:color="auto" w:fill="auto"/>
            <w:noWrap/>
          </w:tcPr>
          <w:p w14:paraId="0D49CCA1" w14:textId="6788AEB5" w:rsidR="007B248C" w:rsidRPr="00954B78" w:rsidRDefault="00FA2D90" w:rsidP="00800C73">
            <w:pPr>
              <w:spacing w:after="0" w:line="240" w:lineRule="auto"/>
              <w:jc w:val="center"/>
              <w:rPr>
                <w:rFonts w:eastAsia="Times New Roman" w:cs="Times New Roman"/>
                <w:color w:val="000000"/>
                <w:szCs w:val="24"/>
              </w:rPr>
            </w:pPr>
            <w:r>
              <w:t>0.9202</w:t>
            </w:r>
          </w:p>
        </w:tc>
        <w:tc>
          <w:tcPr>
            <w:tcW w:w="2114" w:type="dxa"/>
            <w:shd w:val="clear" w:color="auto" w:fill="auto"/>
            <w:noWrap/>
          </w:tcPr>
          <w:p w14:paraId="633BE40C" w14:textId="01A353DD" w:rsidR="007B248C" w:rsidRPr="00954B78" w:rsidRDefault="00807AF3" w:rsidP="00800C73">
            <w:pPr>
              <w:spacing w:after="0" w:line="240" w:lineRule="auto"/>
              <w:jc w:val="center"/>
              <w:rPr>
                <w:rFonts w:eastAsia="Times New Roman" w:cs="Times New Roman"/>
                <w:color w:val="000000"/>
                <w:szCs w:val="24"/>
              </w:rPr>
            </w:pPr>
            <w:r>
              <w:t>29,842</w:t>
            </w:r>
          </w:p>
        </w:tc>
      </w:tr>
      <w:tr w:rsidR="00A15C2C" w14:paraId="68ABAEE4" w14:textId="77777777" w:rsidTr="00800C73">
        <w:trPr>
          <w:trHeight w:val="300"/>
          <w:jc w:val="center"/>
        </w:trPr>
        <w:tc>
          <w:tcPr>
            <w:tcW w:w="2065" w:type="dxa"/>
            <w:shd w:val="clear" w:color="auto" w:fill="auto"/>
            <w:noWrap/>
          </w:tcPr>
          <w:p w14:paraId="5E9A8C31" w14:textId="77777777" w:rsidR="007B248C" w:rsidRPr="00954B78" w:rsidRDefault="000F5B51" w:rsidP="00800C73">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2</w:t>
            </w:r>
          </w:p>
        </w:tc>
        <w:tc>
          <w:tcPr>
            <w:tcW w:w="2113" w:type="dxa"/>
            <w:shd w:val="clear" w:color="auto" w:fill="auto"/>
            <w:noWrap/>
          </w:tcPr>
          <w:p w14:paraId="6A01132F" w14:textId="77777777" w:rsidR="007B248C" w:rsidRPr="00954B78" w:rsidRDefault="000F5B51" w:rsidP="00800C73">
            <w:pPr>
              <w:spacing w:after="0" w:line="240" w:lineRule="auto"/>
              <w:jc w:val="center"/>
              <w:rPr>
                <w:rFonts w:eastAsia="Times New Roman" w:cs="Times New Roman"/>
                <w:color w:val="000000"/>
                <w:szCs w:val="24"/>
              </w:rPr>
            </w:pPr>
            <w:r w:rsidRPr="00BA329F">
              <w:t>12,398</w:t>
            </w:r>
          </w:p>
        </w:tc>
        <w:tc>
          <w:tcPr>
            <w:tcW w:w="2114" w:type="dxa"/>
            <w:shd w:val="clear" w:color="auto" w:fill="auto"/>
            <w:noWrap/>
          </w:tcPr>
          <w:p w14:paraId="4649D4AE" w14:textId="77777777" w:rsidR="007B248C" w:rsidRPr="00954B78" w:rsidRDefault="000F5B51" w:rsidP="00800C73">
            <w:pPr>
              <w:spacing w:after="0" w:line="240" w:lineRule="auto"/>
              <w:jc w:val="center"/>
              <w:rPr>
                <w:rFonts w:eastAsia="Times New Roman" w:cs="Times New Roman"/>
                <w:color w:val="000000"/>
                <w:szCs w:val="24"/>
              </w:rPr>
            </w:pPr>
            <w:r w:rsidRPr="009C6EC5">
              <w:t>0.5</w:t>
            </w:r>
            <w:r w:rsidR="008000E2">
              <w:t>00</w:t>
            </w:r>
          </w:p>
        </w:tc>
        <w:tc>
          <w:tcPr>
            <w:tcW w:w="2114" w:type="dxa"/>
            <w:shd w:val="clear" w:color="auto" w:fill="auto"/>
            <w:noWrap/>
          </w:tcPr>
          <w:p w14:paraId="1970F28D" w14:textId="71D4ED4B" w:rsidR="007B248C" w:rsidRPr="00954B78" w:rsidRDefault="00FA2D90" w:rsidP="00800C73">
            <w:pPr>
              <w:spacing w:after="0" w:line="240" w:lineRule="auto"/>
              <w:jc w:val="center"/>
              <w:rPr>
                <w:rFonts w:eastAsia="Times New Roman" w:cs="Times New Roman"/>
                <w:color w:val="000000"/>
                <w:szCs w:val="24"/>
              </w:rPr>
            </w:pPr>
            <w:r w:rsidRPr="00FA2D90">
              <w:t>0.9202</w:t>
            </w:r>
          </w:p>
        </w:tc>
        <w:tc>
          <w:tcPr>
            <w:tcW w:w="2114" w:type="dxa"/>
            <w:shd w:val="clear" w:color="auto" w:fill="auto"/>
            <w:noWrap/>
          </w:tcPr>
          <w:p w14:paraId="1D15CECF" w14:textId="10A0564E" w:rsidR="007B248C" w:rsidRPr="00954B78" w:rsidRDefault="00807AF3" w:rsidP="00800C73">
            <w:pPr>
              <w:spacing w:after="0" w:line="240" w:lineRule="auto"/>
              <w:jc w:val="center"/>
              <w:rPr>
                <w:rFonts w:eastAsia="Times New Roman" w:cs="Times New Roman"/>
                <w:color w:val="000000"/>
                <w:szCs w:val="24"/>
              </w:rPr>
            </w:pPr>
            <w:r>
              <w:t>22,964</w:t>
            </w:r>
          </w:p>
        </w:tc>
      </w:tr>
      <w:tr w:rsidR="00A15C2C" w14:paraId="013C4990" w14:textId="77777777" w:rsidTr="00800C73">
        <w:trPr>
          <w:trHeight w:val="300"/>
          <w:jc w:val="center"/>
        </w:trPr>
        <w:tc>
          <w:tcPr>
            <w:tcW w:w="2065" w:type="dxa"/>
            <w:shd w:val="clear" w:color="auto" w:fill="auto"/>
            <w:noWrap/>
          </w:tcPr>
          <w:p w14:paraId="1D615CE9" w14:textId="77777777" w:rsidR="007B248C" w:rsidRPr="00954B78" w:rsidRDefault="000F5B51" w:rsidP="00800C73">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3</w:t>
            </w:r>
          </w:p>
        </w:tc>
        <w:tc>
          <w:tcPr>
            <w:tcW w:w="2113" w:type="dxa"/>
            <w:shd w:val="clear" w:color="auto" w:fill="auto"/>
            <w:noWrap/>
          </w:tcPr>
          <w:p w14:paraId="3B3628B1" w14:textId="77777777" w:rsidR="007B248C" w:rsidRPr="00954B78" w:rsidRDefault="000F5B51" w:rsidP="00800C73">
            <w:pPr>
              <w:spacing w:after="0" w:line="240" w:lineRule="auto"/>
              <w:jc w:val="center"/>
              <w:rPr>
                <w:rFonts w:eastAsia="Times New Roman" w:cs="Times New Roman"/>
                <w:color w:val="000000"/>
                <w:szCs w:val="24"/>
              </w:rPr>
            </w:pPr>
            <w:r w:rsidRPr="00BA329F">
              <w:t>3,422</w:t>
            </w:r>
          </w:p>
        </w:tc>
        <w:tc>
          <w:tcPr>
            <w:tcW w:w="2114" w:type="dxa"/>
            <w:shd w:val="clear" w:color="auto" w:fill="auto"/>
            <w:noWrap/>
          </w:tcPr>
          <w:p w14:paraId="27C3E42C" w14:textId="77777777" w:rsidR="007B248C" w:rsidRPr="00954B78" w:rsidRDefault="000F5B51" w:rsidP="00800C73">
            <w:pPr>
              <w:spacing w:after="0" w:line="240" w:lineRule="auto"/>
              <w:jc w:val="center"/>
              <w:rPr>
                <w:rFonts w:eastAsia="Times New Roman" w:cs="Times New Roman"/>
                <w:color w:val="000000"/>
                <w:szCs w:val="24"/>
              </w:rPr>
            </w:pPr>
            <w:r w:rsidRPr="009C6EC5">
              <w:t>0.5</w:t>
            </w:r>
            <w:r w:rsidR="008000E2">
              <w:t>00</w:t>
            </w:r>
          </w:p>
        </w:tc>
        <w:tc>
          <w:tcPr>
            <w:tcW w:w="2114" w:type="dxa"/>
            <w:shd w:val="clear" w:color="auto" w:fill="auto"/>
            <w:noWrap/>
          </w:tcPr>
          <w:p w14:paraId="2115259B" w14:textId="721B9752" w:rsidR="007B248C" w:rsidRPr="00954B78" w:rsidRDefault="00FA2D90" w:rsidP="00800C73">
            <w:pPr>
              <w:spacing w:after="0" w:line="240" w:lineRule="auto"/>
              <w:jc w:val="center"/>
              <w:rPr>
                <w:rFonts w:eastAsia="Times New Roman" w:cs="Times New Roman"/>
                <w:color w:val="000000"/>
                <w:szCs w:val="24"/>
              </w:rPr>
            </w:pPr>
            <w:r w:rsidRPr="00FA2D90">
              <w:t>0.9202</w:t>
            </w:r>
          </w:p>
        </w:tc>
        <w:tc>
          <w:tcPr>
            <w:tcW w:w="2114" w:type="dxa"/>
            <w:shd w:val="clear" w:color="auto" w:fill="auto"/>
            <w:noWrap/>
          </w:tcPr>
          <w:p w14:paraId="435078EF" w14:textId="27890C57" w:rsidR="007B248C" w:rsidRPr="00954B78" w:rsidRDefault="007A52A0" w:rsidP="00800C73">
            <w:pPr>
              <w:spacing w:after="0" w:line="240" w:lineRule="auto"/>
              <w:jc w:val="center"/>
              <w:rPr>
                <w:rFonts w:eastAsia="Times New Roman" w:cs="Times New Roman"/>
                <w:color w:val="000000"/>
                <w:szCs w:val="24"/>
              </w:rPr>
            </w:pPr>
            <w:r>
              <w:t>6,338</w:t>
            </w:r>
          </w:p>
        </w:tc>
      </w:tr>
      <w:tr w:rsidR="00A15C2C" w14:paraId="37E17296" w14:textId="77777777" w:rsidTr="00800C73">
        <w:trPr>
          <w:trHeight w:val="300"/>
          <w:jc w:val="center"/>
        </w:trPr>
        <w:tc>
          <w:tcPr>
            <w:tcW w:w="2065" w:type="dxa"/>
            <w:shd w:val="clear" w:color="auto" w:fill="auto"/>
            <w:noWrap/>
          </w:tcPr>
          <w:p w14:paraId="00DEB989" w14:textId="77777777" w:rsidR="007B248C" w:rsidRPr="00954B78" w:rsidRDefault="000F5B51" w:rsidP="00800C73">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4</w:t>
            </w:r>
          </w:p>
        </w:tc>
        <w:tc>
          <w:tcPr>
            <w:tcW w:w="2113" w:type="dxa"/>
            <w:shd w:val="clear" w:color="auto" w:fill="auto"/>
            <w:noWrap/>
          </w:tcPr>
          <w:p w14:paraId="7B80744A" w14:textId="77777777" w:rsidR="007B248C" w:rsidRPr="00954B78" w:rsidRDefault="000F5B51" w:rsidP="00800C73">
            <w:pPr>
              <w:spacing w:after="0" w:line="240" w:lineRule="auto"/>
              <w:jc w:val="center"/>
              <w:rPr>
                <w:rFonts w:eastAsia="Times New Roman" w:cs="Times New Roman"/>
                <w:color w:val="000000"/>
                <w:szCs w:val="24"/>
              </w:rPr>
            </w:pPr>
            <w:r w:rsidRPr="00BA329F">
              <w:t>2,475</w:t>
            </w:r>
          </w:p>
        </w:tc>
        <w:tc>
          <w:tcPr>
            <w:tcW w:w="2114" w:type="dxa"/>
            <w:shd w:val="clear" w:color="auto" w:fill="auto"/>
            <w:noWrap/>
          </w:tcPr>
          <w:p w14:paraId="09FA3714" w14:textId="77777777" w:rsidR="007B248C" w:rsidRPr="00954B78" w:rsidRDefault="000F5B51" w:rsidP="00800C73">
            <w:pPr>
              <w:spacing w:after="0" w:line="240" w:lineRule="auto"/>
              <w:jc w:val="center"/>
              <w:rPr>
                <w:rFonts w:eastAsia="Times New Roman" w:cs="Times New Roman"/>
                <w:color w:val="000000"/>
                <w:szCs w:val="24"/>
              </w:rPr>
            </w:pPr>
            <w:r w:rsidRPr="009C6EC5">
              <w:t>0.5</w:t>
            </w:r>
            <w:r w:rsidR="008000E2">
              <w:t>00</w:t>
            </w:r>
          </w:p>
        </w:tc>
        <w:tc>
          <w:tcPr>
            <w:tcW w:w="2114" w:type="dxa"/>
            <w:shd w:val="clear" w:color="auto" w:fill="auto"/>
            <w:noWrap/>
          </w:tcPr>
          <w:p w14:paraId="5F1FACB1" w14:textId="4FAB40A5" w:rsidR="007B248C" w:rsidRPr="00954B78" w:rsidRDefault="00FA2D90" w:rsidP="00800C73">
            <w:pPr>
              <w:spacing w:after="0" w:line="240" w:lineRule="auto"/>
              <w:jc w:val="center"/>
              <w:rPr>
                <w:rFonts w:eastAsia="Times New Roman" w:cs="Times New Roman"/>
                <w:color w:val="000000"/>
                <w:szCs w:val="24"/>
              </w:rPr>
            </w:pPr>
            <w:r w:rsidRPr="00FA2D90">
              <w:t>0.9202</w:t>
            </w:r>
          </w:p>
        </w:tc>
        <w:tc>
          <w:tcPr>
            <w:tcW w:w="2114" w:type="dxa"/>
            <w:shd w:val="clear" w:color="auto" w:fill="auto"/>
            <w:noWrap/>
          </w:tcPr>
          <w:p w14:paraId="5D30E581" w14:textId="77DBC803" w:rsidR="007B248C" w:rsidRPr="00954B78" w:rsidRDefault="00BD4084" w:rsidP="00800C73">
            <w:pPr>
              <w:spacing w:after="0" w:line="240" w:lineRule="auto"/>
              <w:jc w:val="center"/>
              <w:rPr>
                <w:rFonts w:eastAsia="Times New Roman" w:cs="Times New Roman"/>
                <w:color w:val="000000"/>
                <w:szCs w:val="24"/>
              </w:rPr>
            </w:pPr>
            <w:r>
              <w:t>4,58</w:t>
            </w:r>
            <w:r w:rsidR="008F0885">
              <w:t>4</w:t>
            </w:r>
          </w:p>
        </w:tc>
      </w:tr>
      <w:tr w:rsidR="00A15C2C" w14:paraId="0F88C7C0" w14:textId="77777777" w:rsidTr="00800C73">
        <w:trPr>
          <w:trHeight w:val="300"/>
          <w:jc w:val="center"/>
        </w:trPr>
        <w:tc>
          <w:tcPr>
            <w:tcW w:w="2065" w:type="dxa"/>
            <w:shd w:val="clear" w:color="auto" w:fill="auto"/>
            <w:noWrap/>
          </w:tcPr>
          <w:p w14:paraId="5EF5AD79" w14:textId="77777777" w:rsidR="007B248C" w:rsidRPr="00064F4A" w:rsidRDefault="000F5B51" w:rsidP="00800C73">
            <w:pPr>
              <w:spacing w:after="0" w:line="240" w:lineRule="auto"/>
              <w:rPr>
                <w:rFonts w:eastAsia="Times New Roman" w:cs="Times New Roman"/>
                <w:color w:val="000000"/>
                <w:szCs w:val="24"/>
              </w:rPr>
            </w:pPr>
            <w:r>
              <w:rPr>
                <w:rFonts w:eastAsia="Times New Roman" w:cs="Times New Roman"/>
                <w:color w:val="000000"/>
                <w:szCs w:val="24"/>
              </w:rPr>
              <w:t>MAIS 5</w:t>
            </w:r>
          </w:p>
        </w:tc>
        <w:tc>
          <w:tcPr>
            <w:tcW w:w="2113" w:type="dxa"/>
            <w:shd w:val="clear" w:color="auto" w:fill="auto"/>
            <w:noWrap/>
          </w:tcPr>
          <w:p w14:paraId="120CD1A7" w14:textId="77777777" w:rsidR="007B248C" w:rsidRPr="00954B78" w:rsidRDefault="000F5B51" w:rsidP="00800C73">
            <w:pPr>
              <w:spacing w:after="0" w:line="240" w:lineRule="auto"/>
              <w:jc w:val="center"/>
              <w:rPr>
                <w:rFonts w:eastAsia="Times New Roman" w:cs="Times New Roman"/>
                <w:color w:val="000000"/>
                <w:szCs w:val="24"/>
              </w:rPr>
            </w:pPr>
            <w:r w:rsidRPr="00BA329F">
              <w:t>60</w:t>
            </w:r>
          </w:p>
        </w:tc>
        <w:tc>
          <w:tcPr>
            <w:tcW w:w="2114" w:type="dxa"/>
            <w:shd w:val="clear" w:color="auto" w:fill="auto"/>
            <w:noWrap/>
          </w:tcPr>
          <w:p w14:paraId="10D3AD37" w14:textId="77777777" w:rsidR="007B248C" w:rsidRPr="00954B78" w:rsidRDefault="000F5B51" w:rsidP="00800C73">
            <w:pPr>
              <w:spacing w:after="0" w:line="240" w:lineRule="auto"/>
              <w:jc w:val="center"/>
              <w:rPr>
                <w:rFonts w:cs="Times New Roman"/>
                <w:color w:val="000000"/>
                <w:szCs w:val="24"/>
              </w:rPr>
            </w:pPr>
            <w:r w:rsidRPr="009C6EC5">
              <w:t>0.5</w:t>
            </w:r>
            <w:r w:rsidR="008000E2">
              <w:t>00</w:t>
            </w:r>
          </w:p>
        </w:tc>
        <w:tc>
          <w:tcPr>
            <w:tcW w:w="2114" w:type="dxa"/>
            <w:shd w:val="clear" w:color="auto" w:fill="auto"/>
            <w:noWrap/>
          </w:tcPr>
          <w:p w14:paraId="23A8DDA4" w14:textId="459525A2" w:rsidR="007B248C" w:rsidRPr="00954B78" w:rsidRDefault="00FA2D90" w:rsidP="00800C73">
            <w:pPr>
              <w:spacing w:after="0" w:line="240" w:lineRule="auto"/>
              <w:jc w:val="center"/>
              <w:rPr>
                <w:rFonts w:cs="Times New Roman"/>
                <w:color w:val="000000"/>
                <w:szCs w:val="24"/>
              </w:rPr>
            </w:pPr>
            <w:r w:rsidRPr="00FA2D90">
              <w:t>0.9202</w:t>
            </w:r>
          </w:p>
        </w:tc>
        <w:tc>
          <w:tcPr>
            <w:tcW w:w="2114" w:type="dxa"/>
            <w:shd w:val="clear" w:color="auto" w:fill="auto"/>
            <w:noWrap/>
          </w:tcPr>
          <w:p w14:paraId="204B9B12" w14:textId="05D18C26" w:rsidR="007B248C" w:rsidRPr="00954B78" w:rsidRDefault="008F0885" w:rsidP="00800C73">
            <w:pPr>
              <w:spacing w:after="0" w:line="240" w:lineRule="auto"/>
              <w:jc w:val="center"/>
              <w:rPr>
                <w:rFonts w:cs="Times New Roman"/>
                <w:color w:val="000000"/>
                <w:szCs w:val="24"/>
              </w:rPr>
            </w:pPr>
            <w:r>
              <w:t>111</w:t>
            </w:r>
          </w:p>
        </w:tc>
      </w:tr>
      <w:tr w:rsidR="00A15C2C" w14:paraId="30979C40" w14:textId="77777777" w:rsidTr="00800C73">
        <w:trPr>
          <w:trHeight w:val="300"/>
          <w:jc w:val="center"/>
        </w:trPr>
        <w:tc>
          <w:tcPr>
            <w:tcW w:w="2065" w:type="dxa"/>
            <w:shd w:val="clear" w:color="auto" w:fill="auto"/>
            <w:noWrap/>
            <w:vAlign w:val="bottom"/>
            <w:hideMark/>
          </w:tcPr>
          <w:p w14:paraId="0D63CBCC" w14:textId="77777777" w:rsidR="007B248C" w:rsidRPr="0055589E" w:rsidRDefault="000F5B51" w:rsidP="00800C73">
            <w:pPr>
              <w:spacing w:after="0" w:line="240" w:lineRule="auto"/>
              <w:rPr>
                <w:rFonts w:eastAsia="Times New Roman" w:cs="Times New Roman"/>
                <w:color w:val="000000"/>
                <w:szCs w:val="24"/>
              </w:rPr>
            </w:pPr>
            <w:r w:rsidRPr="0055589E">
              <w:rPr>
                <w:rFonts w:eastAsia="Times New Roman" w:cs="Times New Roman"/>
                <w:color w:val="000000"/>
                <w:szCs w:val="24"/>
              </w:rPr>
              <w:t>Fatality</w:t>
            </w:r>
          </w:p>
        </w:tc>
        <w:tc>
          <w:tcPr>
            <w:tcW w:w="2113" w:type="dxa"/>
            <w:shd w:val="clear" w:color="auto" w:fill="auto"/>
            <w:noWrap/>
          </w:tcPr>
          <w:p w14:paraId="488E09AE" w14:textId="77777777" w:rsidR="007B248C" w:rsidRPr="00934F2C" w:rsidRDefault="000F5B51" w:rsidP="00800C73">
            <w:pPr>
              <w:spacing w:after="0" w:line="240" w:lineRule="auto"/>
              <w:jc w:val="center"/>
              <w:rPr>
                <w:rFonts w:eastAsia="Times New Roman" w:cs="Times New Roman"/>
                <w:color w:val="000000"/>
                <w:szCs w:val="24"/>
              </w:rPr>
            </w:pPr>
            <w:r w:rsidRPr="00BA329F">
              <w:t>6,123</w:t>
            </w:r>
          </w:p>
        </w:tc>
        <w:tc>
          <w:tcPr>
            <w:tcW w:w="2114" w:type="dxa"/>
            <w:shd w:val="clear" w:color="auto" w:fill="auto"/>
            <w:noWrap/>
          </w:tcPr>
          <w:p w14:paraId="0C163760" w14:textId="77777777" w:rsidR="007B248C" w:rsidRPr="00DA0C97" w:rsidRDefault="000F5B51" w:rsidP="00800C73">
            <w:pPr>
              <w:spacing w:after="0" w:line="240" w:lineRule="auto"/>
              <w:jc w:val="center"/>
              <w:rPr>
                <w:rFonts w:eastAsia="Times New Roman" w:cs="Times New Roman"/>
                <w:b/>
                <w:bCs/>
                <w:color w:val="000000"/>
                <w:szCs w:val="24"/>
              </w:rPr>
            </w:pPr>
            <w:r w:rsidRPr="00473DD6">
              <w:t>0.44</w:t>
            </w:r>
            <w:r w:rsidR="008000E2">
              <w:t>0</w:t>
            </w:r>
          </w:p>
        </w:tc>
        <w:tc>
          <w:tcPr>
            <w:tcW w:w="2114" w:type="dxa"/>
            <w:shd w:val="clear" w:color="auto" w:fill="auto"/>
            <w:noWrap/>
          </w:tcPr>
          <w:p w14:paraId="4B570536" w14:textId="77777777" w:rsidR="007B248C" w:rsidRPr="00DA0C97" w:rsidRDefault="000F5B51" w:rsidP="00800C73">
            <w:pPr>
              <w:spacing w:after="0" w:line="240" w:lineRule="auto"/>
              <w:jc w:val="center"/>
              <w:rPr>
                <w:rFonts w:eastAsia="Times New Roman" w:cs="Times New Roman"/>
                <w:b/>
                <w:bCs/>
                <w:color w:val="000000"/>
                <w:szCs w:val="24"/>
              </w:rPr>
            </w:pPr>
            <w:r w:rsidRPr="00D21F2F">
              <w:t>0.7965</w:t>
            </w:r>
          </w:p>
        </w:tc>
        <w:tc>
          <w:tcPr>
            <w:tcW w:w="2114" w:type="dxa"/>
            <w:shd w:val="clear" w:color="auto" w:fill="auto"/>
            <w:noWrap/>
          </w:tcPr>
          <w:p w14:paraId="646FD051" w14:textId="77777777" w:rsidR="007B248C" w:rsidRPr="00DA0C97" w:rsidRDefault="000F5B51" w:rsidP="00800C73">
            <w:pPr>
              <w:spacing w:after="0" w:line="240" w:lineRule="auto"/>
              <w:jc w:val="center"/>
              <w:rPr>
                <w:rFonts w:eastAsia="Times New Roman" w:cs="Times New Roman"/>
                <w:b/>
                <w:bCs/>
                <w:color w:val="000000"/>
                <w:szCs w:val="24"/>
              </w:rPr>
            </w:pPr>
            <w:r w:rsidRPr="000B1FE2">
              <w:t>9,427</w:t>
            </w:r>
          </w:p>
        </w:tc>
      </w:tr>
      <w:tr w:rsidR="00A15C2C" w14:paraId="40DC6566" w14:textId="77777777" w:rsidTr="00800C73">
        <w:trPr>
          <w:trHeight w:val="300"/>
          <w:jc w:val="center"/>
        </w:trPr>
        <w:tc>
          <w:tcPr>
            <w:tcW w:w="10520" w:type="dxa"/>
            <w:gridSpan w:val="5"/>
            <w:shd w:val="clear" w:color="auto" w:fill="D9D9D9" w:themeFill="background1" w:themeFillShade="D9"/>
            <w:noWrap/>
            <w:vAlign w:val="center"/>
          </w:tcPr>
          <w:p w14:paraId="43522183" w14:textId="77777777" w:rsidR="007B248C" w:rsidRPr="00012598" w:rsidRDefault="000F5B51" w:rsidP="00800C73">
            <w:pPr>
              <w:spacing w:after="0" w:line="240" w:lineRule="auto"/>
              <w:ind w:firstLineChars="100" w:firstLine="241"/>
              <w:jc w:val="center"/>
              <w:rPr>
                <w:rFonts w:eastAsia="Times New Roman" w:cs="Times New Roman"/>
                <w:b/>
                <w:bCs/>
                <w:i/>
                <w:iCs/>
                <w:color w:val="000000"/>
                <w:szCs w:val="24"/>
              </w:rPr>
            </w:pPr>
            <w:r>
              <w:rPr>
                <w:rFonts w:eastAsia="Times New Roman" w:cs="Times New Roman"/>
                <w:b/>
                <w:bCs/>
                <w:i/>
                <w:iCs/>
                <w:color w:val="000000"/>
                <w:szCs w:val="24"/>
              </w:rPr>
              <w:t>Light Trucks</w:t>
            </w:r>
          </w:p>
        </w:tc>
      </w:tr>
      <w:tr w:rsidR="00A15C2C" w14:paraId="3DC663A0" w14:textId="77777777" w:rsidTr="00800C73">
        <w:trPr>
          <w:trHeight w:val="300"/>
          <w:jc w:val="center"/>
        </w:trPr>
        <w:tc>
          <w:tcPr>
            <w:tcW w:w="2065" w:type="dxa"/>
            <w:shd w:val="clear" w:color="auto" w:fill="auto"/>
            <w:noWrap/>
            <w:vAlign w:val="bottom"/>
            <w:hideMark/>
          </w:tcPr>
          <w:p w14:paraId="622AC67B" w14:textId="77777777" w:rsidR="007B248C" w:rsidRPr="00954B78" w:rsidRDefault="000F5B51" w:rsidP="00800C73">
            <w:pPr>
              <w:spacing w:after="0" w:line="240" w:lineRule="auto"/>
              <w:rPr>
                <w:rFonts w:eastAsia="Times New Roman" w:cs="Times New Roman"/>
                <w:color w:val="000000"/>
                <w:szCs w:val="24"/>
              </w:rPr>
            </w:pPr>
            <w:r>
              <w:rPr>
                <w:rFonts w:eastAsia="Times New Roman" w:cs="Times New Roman"/>
                <w:color w:val="000000"/>
                <w:szCs w:val="24"/>
              </w:rPr>
              <w:t>MAIS 1</w:t>
            </w:r>
          </w:p>
        </w:tc>
        <w:tc>
          <w:tcPr>
            <w:tcW w:w="2113" w:type="dxa"/>
            <w:shd w:val="clear" w:color="auto" w:fill="auto"/>
            <w:noWrap/>
          </w:tcPr>
          <w:p w14:paraId="1E0D4104" w14:textId="77777777" w:rsidR="007B248C" w:rsidRPr="00954B78" w:rsidRDefault="000F5B51" w:rsidP="00800C73">
            <w:pPr>
              <w:spacing w:after="0" w:line="240" w:lineRule="auto"/>
              <w:jc w:val="center"/>
              <w:rPr>
                <w:rFonts w:eastAsia="Times New Roman" w:cs="Times New Roman"/>
                <w:color w:val="000000"/>
                <w:szCs w:val="24"/>
              </w:rPr>
            </w:pPr>
            <w:r w:rsidRPr="00546691">
              <w:t>20,334</w:t>
            </w:r>
          </w:p>
        </w:tc>
        <w:tc>
          <w:tcPr>
            <w:tcW w:w="2114" w:type="dxa"/>
            <w:shd w:val="clear" w:color="auto" w:fill="auto"/>
            <w:noWrap/>
          </w:tcPr>
          <w:p w14:paraId="7D83F23E" w14:textId="77777777" w:rsidR="007B248C" w:rsidRPr="00954B78" w:rsidRDefault="000F5B51" w:rsidP="00800C73">
            <w:pPr>
              <w:spacing w:after="0" w:line="240" w:lineRule="auto"/>
              <w:jc w:val="center"/>
              <w:rPr>
                <w:rFonts w:eastAsia="Times New Roman" w:cs="Times New Roman"/>
                <w:color w:val="000000"/>
                <w:szCs w:val="24"/>
              </w:rPr>
            </w:pPr>
            <w:r w:rsidRPr="00C01571">
              <w:t>0.055</w:t>
            </w:r>
          </w:p>
        </w:tc>
        <w:tc>
          <w:tcPr>
            <w:tcW w:w="2114" w:type="dxa"/>
            <w:shd w:val="clear" w:color="auto" w:fill="auto"/>
            <w:noWrap/>
          </w:tcPr>
          <w:p w14:paraId="49F132C7" w14:textId="52FA4E8B" w:rsidR="007B248C" w:rsidRPr="00954B78" w:rsidRDefault="00FA2D90" w:rsidP="00800C73">
            <w:pPr>
              <w:spacing w:after="0" w:line="240" w:lineRule="auto"/>
              <w:jc w:val="center"/>
              <w:rPr>
                <w:rFonts w:eastAsia="Times New Roman" w:cs="Times New Roman"/>
                <w:color w:val="000000"/>
                <w:szCs w:val="24"/>
              </w:rPr>
            </w:pPr>
            <w:r w:rsidRPr="00FA2D90">
              <w:t>0.9202</w:t>
            </w:r>
          </w:p>
        </w:tc>
        <w:tc>
          <w:tcPr>
            <w:tcW w:w="2114" w:type="dxa"/>
            <w:shd w:val="clear" w:color="auto" w:fill="auto"/>
            <w:noWrap/>
          </w:tcPr>
          <w:p w14:paraId="4535D8AE" w14:textId="67A401EF" w:rsidR="007B248C" w:rsidRPr="00954B78" w:rsidRDefault="00C37BFC" w:rsidP="00800C73">
            <w:pPr>
              <w:spacing w:after="0" w:line="240" w:lineRule="auto"/>
              <w:jc w:val="center"/>
              <w:rPr>
                <w:rFonts w:eastAsia="Times New Roman" w:cs="Times New Roman"/>
                <w:color w:val="000000"/>
                <w:szCs w:val="24"/>
              </w:rPr>
            </w:pPr>
            <w:r>
              <w:t>21,418</w:t>
            </w:r>
          </w:p>
        </w:tc>
      </w:tr>
      <w:tr w:rsidR="00A15C2C" w14:paraId="261CD3FD" w14:textId="77777777" w:rsidTr="00800C73">
        <w:trPr>
          <w:trHeight w:val="300"/>
          <w:jc w:val="center"/>
        </w:trPr>
        <w:tc>
          <w:tcPr>
            <w:tcW w:w="2065" w:type="dxa"/>
            <w:shd w:val="clear" w:color="auto" w:fill="auto"/>
            <w:noWrap/>
            <w:hideMark/>
          </w:tcPr>
          <w:p w14:paraId="7EE8D7D9" w14:textId="77777777" w:rsidR="007B248C" w:rsidRPr="00954B78" w:rsidRDefault="000F5B51" w:rsidP="00800C73">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2</w:t>
            </w:r>
          </w:p>
        </w:tc>
        <w:tc>
          <w:tcPr>
            <w:tcW w:w="2113" w:type="dxa"/>
            <w:shd w:val="clear" w:color="auto" w:fill="auto"/>
            <w:noWrap/>
          </w:tcPr>
          <w:p w14:paraId="45ADA129" w14:textId="77777777" w:rsidR="007B248C" w:rsidRPr="00954B78" w:rsidRDefault="000F5B51" w:rsidP="00800C73">
            <w:pPr>
              <w:spacing w:after="0" w:line="240" w:lineRule="auto"/>
              <w:jc w:val="center"/>
              <w:rPr>
                <w:rFonts w:eastAsia="Times New Roman" w:cs="Times New Roman"/>
                <w:color w:val="000000"/>
                <w:szCs w:val="24"/>
              </w:rPr>
            </w:pPr>
            <w:r w:rsidRPr="00546691">
              <w:t>6,905</w:t>
            </w:r>
          </w:p>
        </w:tc>
        <w:tc>
          <w:tcPr>
            <w:tcW w:w="2114" w:type="dxa"/>
            <w:shd w:val="clear" w:color="auto" w:fill="auto"/>
            <w:noWrap/>
          </w:tcPr>
          <w:p w14:paraId="310C6927" w14:textId="77777777" w:rsidR="007B248C" w:rsidRPr="00954B78" w:rsidRDefault="000F5B51" w:rsidP="00800C73">
            <w:pPr>
              <w:spacing w:after="0" w:line="240" w:lineRule="auto"/>
              <w:jc w:val="center"/>
              <w:rPr>
                <w:rFonts w:eastAsia="Times New Roman" w:cs="Times New Roman"/>
                <w:color w:val="000000"/>
                <w:szCs w:val="24"/>
              </w:rPr>
            </w:pPr>
            <w:r w:rsidRPr="00C01571">
              <w:t>0.5</w:t>
            </w:r>
            <w:r w:rsidR="008000E2">
              <w:t>00</w:t>
            </w:r>
          </w:p>
        </w:tc>
        <w:tc>
          <w:tcPr>
            <w:tcW w:w="2114" w:type="dxa"/>
            <w:shd w:val="clear" w:color="auto" w:fill="auto"/>
            <w:noWrap/>
          </w:tcPr>
          <w:p w14:paraId="442ACD0B" w14:textId="19EB2D0E" w:rsidR="007B248C" w:rsidRPr="00954B78" w:rsidRDefault="00FA2D90" w:rsidP="00800C73">
            <w:pPr>
              <w:spacing w:after="0" w:line="240" w:lineRule="auto"/>
              <w:jc w:val="center"/>
              <w:rPr>
                <w:rFonts w:eastAsia="Times New Roman" w:cs="Times New Roman"/>
                <w:color w:val="000000"/>
                <w:szCs w:val="24"/>
              </w:rPr>
            </w:pPr>
            <w:r w:rsidRPr="00FA2D90">
              <w:t>0.9202</w:t>
            </w:r>
          </w:p>
        </w:tc>
        <w:tc>
          <w:tcPr>
            <w:tcW w:w="2114" w:type="dxa"/>
            <w:shd w:val="clear" w:color="auto" w:fill="auto"/>
            <w:noWrap/>
          </w:tcPr>
          <w:p w14:paraId="3908EA99" w14:textId="6E2C35E5" w:rsidR="007B248C" w:rsidRPr="00954B78" w:rsidRDefault="00C37BFC" w:rsidP="00800C73">
            <w:pPr>
              <w:spacing w:after="0" w:line="240" w:lineRule="auto"/>
              <w:jc w:val="center"/>
              <w:rPr>
                <w:rFonts w:eastAsia="Times New Roman" w:cs="Times New Roman"/>
                <w:color w:val="000000"/>
                <w:szCs w:val="24"/>
              </w:rPr>
            </w:pPr>
            <w:r>
              <w:t>12,789</w:t>
            </w:r>
          </w:p>
        </w:tc>
      </w:tr>
      <w:tr w:rsidR="00A15C2C" w14:paraId="47D449A5" w14:textId="77777777" w:rsidTr="00800C73">
        <w:trPr>
          <w:trHeight w:val="300"/>
          <w:jc w:val="center"/>
        </w:trPr>
        <w:tc>
          <w:tcPr>
            <w:tcW w:w="2065" w:type="dxa"/>
            <w:shd w:val="clear" w:color="auto" w:fill="auto"/>
            <w:noWrap/>
          </w:tcPr>
          <w:p w14:paraId="3AFD53AC" w14:textId="77777777" w:rsidR="007B248C" w:rsidRPr="00064F4A" w:rsidRDefault="000F5B51" w:rsidP="00800C73">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3</w:t>
            </w:r>
          </w:p>
        </w:tc>
        <w:tc>
          <w:tcPr>
            <w:tcW w:w="2113" w:type="dxa"/>
            <w:shd w:val="clear" w:color="auto" w:fill="auto"/>
            <w:noWrap/>
          </w:tcPr>
          <w:p w14:paraId="237FC142" w14:textId="77777777" w:rsidR="007B248C" w:rsidRPr="00954B78" w:rsidRDefault="000F5B51" w:rsidP="00800C73">
            <w:pPr>
              <w:spacing w:after="0" w:line="240" w:lineRule="auto"/>
              <w:jc w:val="center"/>
              <w:rPr>
                <w:rFonts w:cs="Times New Roman"/>
                <w:color w:val="000000"/>
                <w:szCs w:val="24"/>
              </w:rPr>
            </w:pPr>
            <w:r w:rsidRPr="00546691">
              <w:t>45</w:t>
            </w:r>
          </w:p>
        </w:tc>
        <w:tc>
          <w:tcPr>
            <w:tcW w:w="2114" w:type="dxa"/>
            <w:shd w:val="clear" w:color="auto" w:fill="auto"/>
            <w:noWrap/>
          </w:tcPr>
          <w:p w14:paraId="7725B74C" w14:textId="77777777" w:rsidR="007B248C" w:rsidRPr="00954B78" w:rsidRDefault="000F5B51" w:rsidP="00800C73">
            <w:pPr>
              <w:spacing w:after="0" w:line="240" w:lineRule="auto"/>
              <w:jc w:val="center"/>
              <w:rPr>
                <w:rFonts w:cs="Times New Roman"/>
                <w:color w:val="000000"/>
                <w:szCs w:val="24"/>
              </w:rPr>
            </w:pPr>
            <w:r w:rsidRPr="00C01571">
              <w:t>0.5</w:t>
            </w:r>
            <w:r w:rsidR="008000E2">
              <w:t>00</w:t>
            </w:r>
          </w:p>
        </w:tc>
        <w:tc>
          <w:tcPr>
            <w:tcW w:w="2114" w:type="dxa"/>
            <w:shd w:val="clear" w:color="auto" w:fill="auto"/>
            <w:noWrap/>
          </w:tcPr>
          <w:p w14:paraId="7CF5D2E5" w14:textId="311C7ACB" w:rsidR="007B248C" w:rsidRPr="00954B78" w:rsidRDefault="00FA2D90" w:rsidP="00800C73">
            <w:pPr>
              <w:spacing w:after="0" w:line="240" w:lineRule="auto"/>
              <w:jc w:val="center"/>
              <w:rPr>
                <w:rFonts w:cs="Times New Roman"/>
                <w:color w:val="000000"/>
                <w:szCs w:val="24"/>
              </w:rPr>
            </w:pPr>
            <w:r w:rsidRPr="00FA2D90">
              <w:t>0.9202</w:t>
            </w:r>
          </w:p>
        </w:tc>
        <w:tc>
          <w:tcPr>
            <w:tcW w:w="2114" w:type="dxa"/>
            <w:shd w:val="clear" w:color="auto" w:fill="auto"/>
            <w:noWrap/>
          </w:tcPr>
          <w:p w14:paraId="7DA897CB" w14:textId="2C9F871A" w:rsidR="007B248C" w:rsidRPr="00954B78" w:rsidRDefault="00C37BFC" w:rsidP="00800C73">
            <w:pPr>
              <w:spacing w:after="0" w:line="240" w:lineRule="auto"/>
              <w:jc w:val="center"/>
              <w:rPr>
                <w:rFonts w:cs="Times New Roman"/>
                <w:color w:val="000000"/>
                <w:szCs w:val="24"/>
              </w:rPr>
            </w:pPr>
            <w:r>
              <w:t>83</w:t>
            </w:r>
          </w:p>
        </w:tc>
      </w:tr>
      <w:tr w:rsidR="00A15C2C" w14:paraId="40C3AE71" w14:textId="77777777" w:rsidTr="00800C73">
        <w:trPr>
          <w:trHeight w:val="300"/>
          <w:jc w:val="center"/>
        </w:trPr>
        <w:tc>
          <w:tcPr>
            <w:tcW w:w="2065" w:type="dxa"/>
            <w:shd w:val="clear" w:color="auto" w:fill="auto"/>
            <w:noWrap/>
          </w:tcPr>
          <w:p w14:paraId="361A255F" w14:textId="77777777" w:rsidR="007B248C" w:rsidRPr="00064F4A" w:rsidRDefault="000F5B51" w:rsidP="00800C73">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4</w:t>
            </w:r>
          </w:p>
        </w:tc>
        <w:tc>
          <w:tcPr>
            <w:tcW w:w="2113" w:type="dxa"/>
            <w:shd w:val="clear" w:color="auto" w:fill="auto"/>
            <w:noWrap/>
          </w:tcPr>
          <w:p w14:paraId="24186C9A" w14:textId="77777777" w:rsidR="007B248C" w:rsidRPr="00954B78" w:rsidRDefault="000F5B51" w:rsidP="00800C73">
            <w:pPr>
              <w:spacing w:after="0" w:line="240" w:lineRule="auto"/>
              <w:jc w:val="center"/>
              <w:rPr>
                <w:rFonts w:cs="Times New Roman"/>
                <w:color w:val="000000"/>
                <w:szCs w:val="24"/>
              </w:rPr>
            </w:pPr>
            <w:r w:rsidRPr="00546691">
              <w:t>324</w:t>
            </w:r>
          </w:p>
        </w:tc>
        <w:tc>
          <w:tcPr>
            <w:tcW w:w="2114" w:type="dxa"/>
            <w:shd w:val="clear" w:color="auto" w:fill="auto"/>
            <w:noWrap/>
          </w:tcPr>
          <w:p w14:paraId="580B2789" w14:textId="77777777" w:rsidR="007B248C" w:rsidRPr="00954B78" w:rsidRDefault="000F5B51" w:rsidP="00800C73">
            <w:pPr>
              <w:spacing w:after="0" w:line="240" w:lineRule="auto"/>
              <w:jc w:val="center"/>
              <w:rPr>
                <w:rFonts w:cs="Times New Roman"/>
                <w:color w:val="000000"/>
                <w:szCs w:val="24"/>
              </w:rPr>
            </w:pPr>
            <w:r w:rsidRPr="00C01571">
              <w:t>0.5</w:t>
            </w:r>
            <w:r w:rsidR="008000E2">
              <w:t>00</w:t>
            </w:r>
          </w:p>
        </w:tc>
        <w:tc>
          <w:tcPr>
            <w:tcW w:w="2114" w:type="dxa"/>
            <w:shd w:val="clear" w:color="auto" w:fill="auto"/>
            <w:noWrap/>
          </w:tcPr>
          <w:p w14:paraId="3EF89992" w14:textId="7F0EC39D" w:rsidR="007B248C" w:rsidRPr="00954B78" w:rsidRDefault="00FA2D90" w:rsidP="00800C73">
            <w:pPr>
              <w:spacing w:after="0" w:line="240" w:lineRule="auto"/>
              <w:jc w:val="center"/>
              <w:rPr>
                <w:rFonts w:cs="Times New Roman"/>
                <w:color w:val="000000"/>
                <w:szCs w:val="24"/>
              </w:rPr>
            </w:pPr>
            <w:r w:rsidRPr="00FA2D90">
              <w:t>0.9202</w:t>
            </w:r>
          </w:p>
        </w:tc>
        <w:tc>
          <w:tcPr>
            <w:tcW w:w="2114" w:type="dxa"/>
            <w:shd w:val="clear" w:color="auto" w:fill="auto"/>
            <w:noWrap/>
          </w:tcPr>
          <w:p w14:paraId="622857F8" w14:textId="74734FB3" w:rsidR="007B248C" w:rsidRPr="00954B78" w:rsidRDefault="00A81002" w:rsidP="00800C73">
            <w:pPr>
              <w:spacing w:after="0" w:line="240" w:lineRule="auto"/>
              <w:jc w:val="center"/>
              <w:rPr>
                <w:rFonts w:cs="Times New Roman"/>
                <w:color w:val="000000"/>
                <w:szCs w:val="24"/>
              </w:rPr>
            </w:pPr>
            <w:r>
              <w:t>600</w:t>
            </w:r>
          </w:p>
        </w:tc>
      </w:tr>
      <w:tr w:rsidR="00A15C2C" w14:paraId="7C021D8E" w14:textId="77777777" w:rsidTr="00800C73">
        <w:trPr>
          <w:trHeight w:val="300"/>
          <w:jc w:val="center"/>
        </w:trPr>
        <w:tc>
          <w:tcPr>
            <w:tcW w:w="2065" w:type="dxa"/>
            <w:shd w:val="clear" w:color="auto" w:fill="auto"/>
            <w:noWrap/>
          </w:tcPr>
          <w:p w14:paraId="2E080DBA" w14:textId="77777777" w:rsidR="007B248C" w:rsidRPr="00064F4A" w:rsidRDefault="000F5B51" w:rsidP="00800C73">
            <w:pPr>
              <w:spacing w:after="0" w:line="240" w:lineRule="auto"/>
              <w:rPr>
                <w:rFonts w:eastAsia="Times New Roman" w:cs="Times New Roman"/>
                <w:color w:val="000000"/>
                <w:szCs w:val="24"/>
              </w:rPr>
            </w:pPr>
            <w:r>
              <w:rPr>
                <w:rFonts w:eastAsia="Times New Roman" w:cs="Times New Roman"/>
                <w:color w:val="000000"/>
                <w:szCs w:val="24"/>
              </w:rPr>
              <w:t>MAIS 5</w:t>
            </w:r>
          </w:p>
        </w:tc>
        <w:tc>
          <w:tcPr>
            <w:tcW w:w="2113" w:type="dxa"/>
            <w:shd w:val="clear" w:color="auto" w:fill="auto"/>
            <w:noWrap/>
          </w:tcPr>
          <w:p w14:paraId="060368E6" w14:textId="77777777" w:rsidR="007B248C" w:rsidRPr="00954B78" w:rsidRDefault="000F5B51" w:rsidP="00800C73">
            <w:pPr>
              <w:spacing w:after="0" w:line="240" w:lineRule="auto"/>
              <w:jc w:val="center"/>
              <w:rPr>
                <w:rFonts w:cs="Times New Roman"/>
                <w:color w:val="000000"/>
                <w:szCs w:val="24"/>
              </w:rPr>
            </w:pPr>
            <w:r w:rsidRPr="00546691">
              <w:t>23</w:t>
            </w:r>
          </w:p>
        </w:tc>
        <w:tc>
          <w:tcPr>
            <w:tcW w:w="2114" w:type="dxa"/>
            <w:shd w:val="clear" w:color="auto" w:fill="auto"/>
            <w:noWrap/>
          </w:tcPr>
          <w:p w14:paraId="4BDBE83E" w14:textId="77777777" w:rsidR="007B248C" w:rsidRPr="00954B78" w:rsidRDefault="000F5B51" w:rsidP="00800C73">
            <w:pPr>
              <w:spacing w:after="0" w:line="240" w:lineRule="auto"/>
              <w:jc w:val="center"/>
              <w:rPr>
                <w:rFonts w:cs="Times New Roman"/>
                <w:color w:val="000000"/>
                <w:szCs w:val="24"/>
              </w:rPr>
            </w:pPr>
            <w:r w:rsidRPr="00C01571">
              <w:t>0.5</w:t>
            </w:r>
            <w:r w:rsidR="008000E2">
              <w:t>00</w:t>
            </w:r>
          </w:p>
        </w:tc>
        <w:tc>
          <w:tcPr>
            <w:tcW w:w="2114" w:type="dxa"/>
            <w:shd w:val="clear" w:color="auto" w:fill="auto"/>
            <w:noWrap/>
          </w:tcPr>
          <w:p w14:paraId="4E695E33" w14:textId="06C57500" w:rsidR="007B248C" w:rsidRPr="00954B78" w:rsidRDefault="00FA2D90" w:rsidP="00800C73">
            <w:pPr>
              <w:spacing w:after="0" w:line="240" w:lineRule="auto"/>
              <w:jc w:val="center"/>
              <w:rPr>
                <w:rFonts w:cs="Times New Roman"/>
                <w:color w:val="000000"/>
                <w:szCs w:val="24"/>
              </w:rPr>
            </w:pPr>
            <w:r w:rsidRPr="00FA2D90">
              <w:t>0.9202</w:t>
            </w:r>
          </w:p>
        </w:tc>
        <w:tc>
          <w:tcPr>
            <w:tcW w:w="2114" w:type="dxa"/>
            <w:shd w:val="clear" w:color="auto" w:fill="auto"/>
            <w:noWrap/>
          </w:tcPr>
          <w:p w14:paraId="3B4FB5E6" w14:textId="602634EC" w:rsidR="007B248C" w:rsidRPr="00954B78" w:rsidRDefault="00A81002" w:rsidP="00800C73">
            <w:pPr>
              <w:spacing w:after="0" w:line="240" w:lineRule="auto"/>
              <w:jc w:val="center"/>
              <w:rPr>
                <w:rFonts w:cs="Times New Roman"/>
                <w:color w:val="000000"/>
                <w:szCs w:val="24"/>
              </w:rPr>
            </w:pPr>
            <w:r>
              <w:t>43</w:t>
            </w:r>
          </w:p>
        </w:tc>
      </w:tr>
      <w:tr w:rsidR="00A15C2C" w14:paraId="2E72E2C5" w14:textId="77777777" w:rsidTr="00800C73">
        <w:trPr>
          <w:trHeight w:val="300"/>
          <w:jc w:val="center"/>
        </w:trPr>
        <w:tc>
          <w:tcPr>
            <w:tcW w:w="2065" w:type="dxa"/>
            <w:shd w:val="clear" w:color="auto" w:fill="auto"/>
            <w:noWrap/>
            <w:vAlign w:val="bottom"/>
            <w:hideMark/>
          </w:tcPr>
          <w:p w14:paraId="7834CB17" w14:textId="77777777" w:rsidR="007B248C" w:rsidRPr="0055589E" w:rsidRDefault="000F5B51" w:rsidP="00800C73">
            <w:pPr>
              <w:spacing w:after="0" w:line="240" w:lineRule="auto"/>
              <w:rPr>
                <w:rFonts w:eastAsia="Times New Roman" w:cs="Times New Roman"/>
                <w:color w:val="000000"/>
                <w:szCs w:val="24"/>
              </w:rPr>
            </w:pPr>
            <w:r w:rsidRPr="0055589E">
              <w:rPr>
                <w:rFonts w:eastAsia="Times New Roman" w:cs="Times New Roman"/>
                <w:color w:val="000000"/>
                <w:szCs w:val="24"/>
              </w:rPr>
              <w:t>Fatality</w:t>
            </w:r>
          </w:p>
        </w:tc>
        <w:tc>
          <w:tcPr>
            <w:tcW w:w="2113" w:type="dxa"/>
            <w:shd w:val="clear" w:color="auto" w:fill="auto"/>
            <w:noWrap/>
          </w:tcPr>
          <w:p w14:paraId="1C6030F6" w14:textId="77777777" w:rsidR="007B248C" w:rsidRPr="00934F2C" w:rsidRDefault="000F5B51" w:rsidP="00800C73">
            <w:pPr>
              <w:spacing w:after="0" w:line="240" w:lineRule="auto"/>
              <w:jc w:val="center"/>
              <w:rPr>
                <w:rFonts w:eastAsia="Times New Roman" w:cs="Times New Roman"/>
                <w:b/>
                <w:bCs/>
                <w:color w:val="000000"/>
                <w:szCs w:val="24"/>
              </w:rPr>
            </w:pPr>
            <w:r w:rsidRPr="00546691">
              <w:t>4,220</w:t>
            </w:r>
          </w:p>
        </w:tc>
        <w:tc>
          <w:tcPr>
            <w:tcW w:w="2114" w:type="dxa"/>
            <w:shd w:val="clear" w:color="auto" w:fill="auto"/>
            <w:noWrap/>
          </w:tcPr>
          <w:p w14:paraId="31430DBB" w14:textId="77777777" w:rsidR="007B248C" w:rsidRPr="006D32C0" w:rsidRDefault="000F5B51" w:rsidP="00800C73">
            <w:pPr>
              <w:spacing w:after="0" w:line="240" w:lineRule="auto"/>
              <w:jc w:val="center"/>
              <w:rPr>
                <w:rFonts w:eastAsia="Times New Roman" w:cs="Times New Roman"/>
                <w:b/>
                <w:bCs/>
                <w:color w:val="000000"/>
                <w:szCs w:val="24"/>
              </w:rPr>
            </w:pPr>
            <w:r w:rsidRPr="008D1B9F">
              <w:t>0.73</w:t>
            </w:r>
            <w:r w:rsidR="008000E2">
              <w:t>0</w:t>
            </w:r>
          </w:p>
        </w:tc>
        <w:tc>
          <w:tcPr>
            <w:tcW w:w="2114" w:type="dxa"/>
            <w:shd w:val="clear" w:color="auto" w:fill="auto"/>
            <w:noWrap/>
          </w:tcPr>
          <w:p w14:paraId="747299E5" w14:textId="77777777" w:rsidR="007B248C" w:rsidRPr="006D32C0" w:rsidRDefault="000F5B51" w:rsidP="00800C73">
            <w:pPr>
              <w:spacing w:after="0" w:line="240" w:lineRule="auto"/>
              <w:jc w:val="center"/>
              <w:rPr>
                <w:rFonts w:eastAsia="Times New Roman" w:cs="Times New Roman"/>
                <w:b/>
                <w:bCs/>
                <w:color w:val="000000"/>
                <w:szCs w:val="24"/>
              </w:rPr>
            </w:pPr>
            <w:r w:rsidRPr="002D3BA3">
              <w:t>0.7965</w:t>
            </w:r>
          </w:p>
        </w:tc>
        <w:tc>
          <w:tcPr>
            <w:tcW w:w="2114" w:type="dxa"/>
            <w:shd w:val="clear" w:color="auto" w:fill="auto"/>
            <w:noWrap/>
          </w:tcPr>
          <w:p w14:paraId="6B86D3A9" w14:textId="77777777" w:rsidR="007B248C" w:rsidRPr="00934F2C" w:rsidRDefault="000F5B51" w:rsidP="00800C73">
            <w:pPr>
              <w:spacing w:after="0" w:line="240" w:lineRule="auto"/>
              <w:jc w:val="center"/>
              <w:rPr>
                <w:rFonts w:eastAsia="Times New Roman" w:cs="Times New Roman"/>
                <w:b/>
                <w:bCs/>
                <w:color w:val="000000"/>
                <w:szCs w:val="24"/>
              </w:rPr>
            </w:pPr>
            <w:r w:rsidRPr="005B4952">
              <w:t>10,081</w:t>
            </w:r>
          </w:p>
        </w:tc>
      </w:tr>
    </w:tbl>
    <w:p w14:paraId="08727A75" w14:textId="77777777" w:rsidR="007B248C" w:rsidRPr="00DA0C97" w:rsidRDefault="000F5B51" w:rsidP="007B248C">
      <w:pPr>
        <w:pStyle w:val="NoSpaceTimes"/>
        <w:jc w:val="left"/>
        <w:rPr>
          <w:sz w:val="18"/>
          <w:szCs w:val="18"/>
        </w:rPr>
      </w:pPr>
      <w:r w:rsidRPr="00DA0C97">
        <w:rPr>
          <w:sz w:val="18"/>
          <w:szCs w:val="18"/>
        </w:rPr>
        <w:t>Note: Values may not sum due to rounding. Totals are rounded to the nearest whole number for presentation purposes.</w:t>
      </w:r>
    </w:p>
    <w:p w14:paraId="2AD09AA5" w14:textId="77777777" w:rsidR="00A87CA7" w:rsidRDefault="00A87CA7" w:rsidP="0055589E">
      <w:pPr>
        <w:pStyle w:val="NoSpaceTimes"/>
      </w:pPr>
    </w:p>
    <w:p w14:paraId="1FC97200" w14:textId="713548BC" w:rsidR="00A94EFF" w:rsidRDefault="000F5B51" w:rsidP="00CC60EF">
      <w:pPr>
        <w:sectPr w:rsidR="00A94EFF" w:rsidSect="00011EA3">
          <w:type w:val="continuous"/>
          <w:pgSz w:w="12240" w:h="15840" w:code="1"/>
          <w:pgMar w:top="1440" w:right="1440" w:bottom="1440" w:left="1440" w:header="720" w:footer="720" w:gutter="0"/>
          <w:cols w:space="720"/>
          <w:docGrid w:linePitch="360"/>
        </w:sectPr>
      </w:pPr>
      <w:r>
        <w:fldChar w:fldCharType="begin"/>
      </w:r>
      <w:r>
        <w:instrText xml:space="preserve"> REF _Ref126652033 \h </w:instrText>
      </w:r>
      <w:r>
        <w:fldChar w:fldCharType="separate"/>
      </w:r>
      <w:r w:rsidR="00A65CB3" w:rsidRPr="00044F2E">
        <w:t xml:space="preserve">Table </w:t>
      </w:r>
      <w:r w:rsidR="00A65CB3">
        <w:rPr>
          <w:noProof/>
        </w:rPr>
        <w:t>50</w:t>
      </w:r>
      <w:r>
        <w:fldChar w:fldCharType="end"/>
      </w:r>
      <w:r>
        <w:t xml:space="preserve"> and </w:t>
      </w:r>
      <w:r>
        <w:fldChar w:fldCharType="begin"/>
      </w:r>
      <w:r>
        <w:instrText xml:space="preserve"> REF _Ref126652044 \h </w:instrText>
      </w:r>
      <w:r>
        <w:fldChar w:fldCharType="separate"/>
      </w:r>
      <w:r w:rsidR="00A65CB3" w:rsidRPr="00DA0C97">
        <w:t xml:space="preserve">Table </w:t>
      </w:r>
      <w:r w:rsidR="00A65CB3">
        <w:rPr>
          <w:noProof/>
        </w:rPr>
        <w:t>51</w:t>
      </w:r>
      <w:r>
        <w:fldChar w:fldCharType="end"/>
      </w:r>
      <w:r w:rsidR="00A01867">
        <w:t xml:space="preserve"> present the calculation of benefits for drivers </w:t>
      </w:r>
      <w:r w:rsidR="00770757">
        <w:t xml:space="preserve">for the proportion of the adjusted target population starting with seven-second warning and 90-second warning, respectively. </w:t>
      </w:r>
    </w:p>
    <w:p w14:paraId="126E0BC6" w14:textId="43A52F01" w:rsidR="00DE792D" w:rsidRDefault="000F5B51" w:rsidP="00DE792D">
      <w:pPr>
        <w:pStyle w:val="Caption"/>
      </w:pPr>
      <w:bookmarkStart w:id="911" w:name="_Ref126652033"/>
      <w:r w:rsidRPr="00044F2E">
        <w:lastRenderedPageBreak/>
        <w:t xml:space="preserve">Table </w:t>
      </w:r>
      <w:r>
        <w:fldChar w:fldCharType="begin"/>
      </w:r>
      <w:r w:rsidRPr="00DE792D">
        <w:instrText xml:space="preserve"> SEQ Table \* ARABIC </w:instrText>
      </w:r>
      <w:r>
        <w:fldChar w:fldCharType="separate"/>
      </w:r>
      <w:r w:rsidR="00A65CB3">
        <w:rPr>
          <w:noProof/>
        </w:rPr>
        <w:t>50</w:t>
      </w:r>
      <w:r>
        <w:fldChar w:fldCharType="end"/>
      </w:r>
      <w:bookmarkEnd w:id="911"/>
      <w:r w:rsidRPr="00044F2E">
        <w:t xml:space="preserve">: Incremental Benefits for </w:t>
      </w:r>
      <w:r w:rsidRPr="00DE792D">
        <w:t xml:space="preserve">Drivers 7-Second Warning to </w:t>
      </w:r>
      <w:r w:rsidR="00CF2523">
        <w:t>Indefinite</w:t>
      </w:r>
      <w:r w:rsidR="00205ECD">
        <w:t xml:space="preserve"> Warning</w:t>
      </w:r>
    </w:p>
    <w:tbl>
      <w:tblPr>
        <w:tblW w:w="15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88"/>
        <w:gridCol w:w="1949"/>
        <w:gridCol w:w="1950"/>
        <w:gridCol w:w="1950"/>
        <w:gridCol w:w="1949"/>
        <w:gridCol w:w="1950"/>
        <w:gridCol w:w="1950"/>
        <w:gridCol w:w="1950"/>
      </w:tblGrid>
      <w:tr w:rsidR="00A15C2C" w14:paraId="33900213" w14:textId="77777777" w:rsidTr="00800C73">
        <w:trPr>
          <w:trHeight w:val="1666"/>
          <w:jc w:val="center"/>
        </w:trPr>
        <w:tc>
          <w:tcPr>
            <w:tcW w:w="1488" w:type="dxa"/>
            <w:shd w:val="clear" w:color="auto" w:fill="D9D9D9" w:themeFill="background1" w:themeFillShade="D9"/>
            <w:noWrap/>
            <w:vAlign w:val="center"/>
          </w:tcPr>
          <w:p w14:paraId="22C662FA" w14:textId="77777777" w:rsidR="00220024" w:rsidRPr="000D2845" w:rsidRDefault="000F5B51" w:rsidP="00800C73">
            <w:pPr>
              <w:spacing w:after="0" w:line="240" w:lineRule="auto"/>
              <w:rPr>
                <w:rFonts w:eastAsia="Times New Roman" w:cs="Times New Roman"/>
                <w:b/>
                <w:color w:val="000000"/>
                <w:szCs w:val="24"/>
              </w:rPr>
            </w:pPr>
            <w:r w:rsidRPr="000D2845">
              <w:rPr>
                <w:rFonts w:eastAsia="Times New Roman" w:cs="Times New Roman"/>
                <w:b/>
                <w:color w:val="000000"/>
                <w:szCs w:val="24"/>
              </w:rPr>
              <w:t xml:space="preserve">Injury Severity </w:t>
            </w:r>
          </w:p>
        </w:tc>
        <w:tc>
          <w:tcPr>
            <w:tcW w:w="1949" w:type="dxa"/>
            <w:shd w:val="clear" w:color="auto" w:fill="D9D9D9" w:themeFill="background1" w:themeFillShade="D9"/>
            <w:vAlign w:val="center"/>
          </w:tcPr>
          <w:p w14:paraId="2FCFE591" w14:textId="77777777" w:rsidR="00220024" w:rsidRPr="000D2845" w:rsidRDefault="000F5B51" w:rsidP="00800C73">
            <w:pPr>
              <w:spacing w:after="0" w:line="240" w:lineRule="auto"/>
              <w:jc w:val="center"/>
              <w:rPr>
                <w:rFonts w:eastAsia="Times New Roman" w:cs="Times New Roman"/>
                <w:b/>
                <w:color w:val="000000"/>
                <w:szCs w:val="24"/>
              </w:rPr>
            </w:pPr>
            <w:r w:rsidRPr="000D2845">
              <w:rPr>
                <w:rFonts w:eastAsia="Times New Roman" w:cs="Times New Roman"/>
                <w:b/>
                <w:color w:val="000000"/>
                <w:szCs w:val="24"/>
              </w:rPr>
              <w:t>Potential Injuries</w:t>
            </w:r>
          </w:p>
          <w:p w14:paraId="55A6AFDC" w14:textId="77777777" w:rsidR="00220024" w:rsidRPr="000D2845" w:rsidRDefault="000F5B51" w:rsidP="00800C73">
            <w:pPr>
              <w:spacing w:after="0" w:line="240" w:lineRule="auto"/>
              <w:jc w:val="center"/>
              <w:rPr>
                <w:rFonts w:eastAsia="Times New Roman" w:cs="Times New Roman"/>
                <w:b/>
                <w:color w:val="000000"/>
                <w:szCs w:val="24"/>
              </w:rPr>
            </w:pPr>
            <w:r w:rsidRPr="000D2845">
              <w:rPr>
                <w:rFonts w:eastAsia="Times New Roman" w:cs="Times New Roman"/>
                <w:b/>
                <w:color w:val="000000"/>
                <w:szCs w:val="24"/>
              </w:rPr>
              <w:t>(a)</w:t>
            </w:r>
          </w:p>
        </w:tc>
        <w:tc>
          <w:tcPr>
            <w:tcW w:w="1950" w:type="dxa"/>
            <w:shd w:val="clear" w:color="auto" w:fill="D9D9D9" w:themeFill="background1" w:themeFillShade="D9"/>
            <w:noWrap/>
            <w:vAlign w:val="center"/>
          </w:tcPr>
          <w:p w14:paraId="76B56FFF" w14:textId="77777777" w:rsidR="00220024" w:rsidRPr="000D2845" w:rsidRDefault="000F5B51" w:rsidP="00800C73">
            <w:pPr>
              <w:spacing w:after="0" w:line="240" w:lineRule="auto"/>
              <w:jc w:val="center"/>
              <w:rPr>
                <w:rFonts w:eastAsia="Times New Roman" w:cs="Times New Roman"/>
                <w:b/>
                <w:color w:val="000000"/>
                <w:szCs w:val="24"/>
              </w:rPr>
            </w:pPr>
            <w:r w:rsidRPr="000D2845">
              <w:rPr>
                <w:rFonts w:eastAsia="Times New Roman" w:cs="Times New Roman"/>
                <w:b/>
                <w:color w:val="000000"/>
                <w:szCs w:val="24"/>
              </w:rPr>
              <w:t>Seat Belt Effectiveness</w:t>
            </w:r>
          </w:p>
          <w:p w14:paraId="29968B1D" w14:textId="77777777" w:rsidR="00220024" w:rsidRPr="000D2845" w:rsidRDefault="000F5B51" w:rsidP="00800C73">
            <w:pPr>
              <w:spacing w:after="0" w:line="240" w:lineRule="auto"/>
              <w:jc w:val="center"/>
              <w:rPr>
                <w:rFonts w:eastAsia="Times New Roman" w:cs="Times New Roman"/>
                <w:b/>
                <w:color w:val="000000"/>
                <w:szCs w:val="24"/>
              </w:rPr>
            </w:pPr>
            <w:r w:rsidRPr="000D2845">
              <w:rPr>
                <w:rFonts w:eastAsia="Times New Roman" w:cs="Times New Roman"/>
                <w:b/>
                <w:color w:val="000000"/>
                <w:szCs w:val="24"/>
              </w:rPr>
              <w:t>(b)</w:t>
            </w:r>
          </w:p>
        </w:tc>
        <w:tc>
          <w:tcPr>
            <w:tcW w:w="1950" w:type="dxa"/>
            <w:shd w:val="clear" w:color="auto" w:fill="D9D9D9" w:themeFill="background1" w:themeFillShade="D9"/>
            <w:noWrap/>
            <w:vAlign w:val="center"/>
          </w:tcPr>
          <w:p w14:paraId="0F63AC95" w14:textId="77777777" w:rsidR="00220024" w:rsidRPr="000D2845" w:rsidRDefault="000F5B51" w:rsidP="00800C73">
            <w:pPr>
              <w:spacing w:after="0" w:line="240" w:lineRule="auto"/>
              <w:jc w:val="center"/>
              <w:rPr>
                <w:rFonts w:eastAsia="Times New Roman" w:cs="Times New Roman"/>
                <w:b/>
                <w:color w:val="000000"/>
                <w:szCs w:val="24"/>
              </w:rPr>
            </w:pPr>
            <w:r w:rsidRPr="000D2845">
              <w:rPr>
                <w:rFonts w:eastAsia="Times New Roman" w:cs="Times New Roman"/>
                <w:b/>
                <w:color w:val="000000"/>
                <w:szCs w:val="24"/>
              </w:rPr>
              <w:t>Baseline Seat Belt Use Rate</w:t>
            </w:r>
          </w:p>
          <w:p w14:paraId="7DE089D2" w14:textId="77777777" w:rsidR="00220024" w:rsidRPr="000D2845" w:rsidRDefault="000F5B51" w:rsidP="00800C73">
            <w:pPr>
              <w:spacing w:after="0" w:line="240" w:lineRule="auto"/>
              <w:jc w:val="center"/>
              <w:rPr>
                <w:rFonts w:eastAsia="Times New Roman" w:cs="Times New Roman"/>
                <w:b/>
                <w:color w:val="000000"/>
                <w:szCs w:val="24"/>
              </w:rPr>
            </w:pPr>
            <w:r w:rsidRPr="000D2845">
              <w:rPr>
                <w:rFonts w:eastAsia="Times New Roman" w:cs="Times New Roman"/>
                <w:b/>
                <w:color w:val="000000"/>
                <w:szCs w:val="24"/>
              </w:rPr>
              <w:t>(c)</w:t>
            </w:r>
          </w:p>
        </w:tc>
        <w:tc>
          <w:tcPr>
            <w:tcW w:w="1949" w:type="dxa"/>
            <w:shd w:val="clear" w:color="auto" w:fill="D9D9D9" w:themeFill="background1" w:themeFillShade="D9"/>
            <w:noWrap/>
            <w:vAlign w:val="center"/>
          </w:tcPr>
          <w:p w14:paraId="2A143840" w14:textId="057C1947" w:rsidR="00220024" w:rsidRPr="000D2845" w:rsidRDefault="000F5B51" w:rsidP="00800C73">
            <w:pPr>
              <w:spacing w:after="0" w:line="240" w:lineRule="auto"/>
              <w:jc w:val="center"/>
              <w:rPr>
                <w:rFonts w:eastAsia="Times New Roman" w:cs="Times New Roman"/>
                <w:b/>
                <w:color w:val="000000"/>
                <w:szCs w:val="24"/>
              </w:rPr>
            </w:pPr>
            <w:r w:rsidRPr="000D2845">
              <w:rPr>
                <w:rFonts w:eastAsia="Times New Roman" w:cs="Times New Roman"/>
                <w:b/>
                <w:color w:val="000000"/>
                <w:szCs w:val="24"/>
              </w:rPr>
              <w:t>Baseline</w:t>
            </w:r>
            <w:r w:rsidR="00011883">
              <w:rPr>
                <w:rFonts w:eastAsia="Times New Roman" w:cs="Times New Roman"/>
                <w:b/>
                <w:color w:val="000000"/>
                <w:szCs w:val="24"/>
              </w:rPr>
              <w:t xml:space="preserve"> Effects</w:t>
            </w:r>
          </w:p>
          <w:p w14:paraId="64BEA592" w14:textId="77777777" w:rsidR="00220024" w:rsidRPr="000D2845" w:rsidRDefault="000F5B51" w:rsidP="00800C73">
            <w:pPr>
              <w:spacing w:after="0" w:line="240" w:lineRule="auto"/>
              <w:jc w:val="center"/>
              <w:rPr>
                <w:rFonts w:eastAsia="Times New Roman" w:cs="Times New Roman"/>
                <w:b/>
                <w:color w:val="000000"/>
                <w:szCs w:val="24"/>
              </w:rPr>
            </w:pPr>
            <w:r w:rsidRPr="000D2845">
              <w:rPr>
                <w:rFonts w:eastAsia="Times New Roman" w:cs="Times New Roman"/>
                <w:b/>
                <w:color w:val="000000"/>
                <w:szCs w:val="24"/>
              </w:rPr>
              <w:t>(a) x (b) x (c)</w:t>
            </w:r>
          </w:p>
        </w:tc>
        <w:tc>
          <w:tcPr>
            <w:tcW w:w="1950" w:type="dxa"/>
            <w:shd w:val="clear" w:color="auto" w:fill="D9D9D9" w:themeFill="background1" w:themeFillShade="D9"/>
            <w:vAlign w:val="center"/>
          </w:tcPr>
          <w:p w14:paraId="00E2C655" w14:textId="77777777" w:rsidR="00220024" w:rsidRPr="000D2845" w:rsidRDefault="000F5B51" w:rsidP="00800C73">
            <w:pPr>
              <w:spacing w:after="0" w:line="240" w:lineRule="auto"/>
              <w:jc w:val="center"/>
              <w:rPr>
                <w:rFonts w:eastAsia="Times New Roman" w:cs="Times New Roman"/>
                <w:b/>
                <w:color w:val="000000"/>
                <w:szCs w:val="24"/>
              </w:rPr>
            </w:pPr>
            <w:r w:rsidRPr="000D2845">
              <w:rPr>
                <w:rFonts w:eastAsia="Times New Roman" w:cs="Times New Roman"/>
                <w:b/>
                <w:color w:val="000000"/>
                <w:szCs w:val="24"/>
              </w:rPr>
              <w:t>Proposed Rule Seat Belt Use Rate</w:t>
            </w:r>
          </w:p>
        </w:tc>
        <w:tc>
          <w:tcPr>
            <w:tcW w:w="1950" w:type="dxa"/>
            <w:shd w:val="clear" w:color="auto" w:fill="D9D9D9" w:themeFill="background1" w:themeFillShade="D9"/>
            <w:vAlign w:val="center"/>
          </w:tcPr>
          <w:p w14:paraId="16DF5AC3" w14:textId="6484A7DF" w:rsidR="00220024" w:rsidRPr="000D2845" w:rsidRDefault="000F5B51" w:rsidP="00800C73">
            <w:pPr>
              <w:spacing w:after="0" w:line="240" w:lineRule="auto"/>
              <w:jc w:val="center"/>
              <w:rPr>
                <w:rFonts w:eastAsia="Times New Roman" w:cs="Times New Roman"/>
                <w:b/>
                <w:color w:val="000000"/>
                <w:szCs w:val="24"/>
              </w:rPr>
            </w:pPr>
            <w:r w:rsidRPr="000D2845">
              <w:rPr>
                <w:rFonts w:eastAsia="Times New Roman" w:cs="Times New Roman"/>
                <w:b/>
                <w:color w:val="000000"/>
                <w:szCs w:val="24"/>
              </w:rPr>
              <w:t>Calculation of Benefits Under the Proposed Rule</w:t>
            </w:r>
            <w:r w:rsidR="00011883">
              <w:rPr>
                <w:rFonts w:eastAsia="Times New Roman" w:cs="Times New Roman"/>
                <w:b/>
                <w:color w:val="000000"/>
                <w:szCs w:val="24"/>
              </w:rPr>
              <w:t xml:space="preserve"> Unadjusted for Baseline Effects</w:t>
            </w:r>
          </w:p>
        </w:tc>
        <w:tc>
          <w:tcPr>
            <w:tcW w:w="1950" w:type="dxa"/>
            <w:shd w:val="clear" w:color="auto" w:fill="D9D9D9" w:themeFill="background1" w:themeFillShade="D9"/>
            <w:vAlign w:val="center"/>
          </w:tcPr>
          <w:p w14:paraId="11A9A0F1" w14:textId="04E270EB" w:rsidR="00220024" w:rsidRPr="000D2845" w:rsidRDefault="000F5B51" w:rsidP="00800C73">
            <w:pPr>
              <w:spacing w:after="0" w:line="240" w:lineRule="auto"/>
              <w:jc w:val="center"/>
              <w:rPr>
                <w:rFonts w:eastAsia="Times New Roman" w:cs="Times New Roman"/>
                <w:b/>
                <w:color w:val="000000"/>
                <w:szCs w:val="24"/>
              </w:rPr>
            </w:pPr>
            <w:r w:rsidRPr="000D2845">
              <w:rPr>
                <w:rFonts w:eastAsia="Times New Roman" w:cs="Times New Roman"/>
                <w:b/>
                <w:color w:val="000000"/>
                <w:szCs w:val="24"/>
              </w:rPr>
              <w:t>Incremental Benefits (</w:t>
            </w:r>
            <w:r w:rsidR="00011883">
              <w:rPr>
                <w:rFonts w:eastAsia="Times New Roman" w:cs="Times New Roman"/>
                <w:b/>
                <w:color w:val="000000"/>
                <w:szCs w:val="24"/>
              </w:rPr>
              <w:t xml:space="preserve">Unadjusted </w:t>
            </w:r>
            <w:r w:rsidRPr="000D2845">
              <w:rPr>
                <w:rFonts w:eastAsia="Times New Roman" w:cs="Times New Roman"/>
                <w:b/>
                <w:color w:val="000000"/>
                <w:szCs w:val="24"/>
              </w:rPr>
              <w:t>Proposed Rule</w:t>
            </w:r>
            <w:r w:rsidR="00011883">
              <w:rPr>
                <w:rFonts w:eastAsia="Times New Roman" w:cs="Times New Roman"/>
                <w:b/>
                <w:color w:val="000000"/>
                <w:szCs w:val="24"/>
              </w:rPr>
              <w:t xml:space="preserve"> </w:t>
            </w:r>
            <w:r w:rsidRPr="000D2845">
              <w:rPr>
                <w:rFonts w:eastAsia="Times New Roman" w:cs="Times New Roman"/>
                <w:b/>
                <w:color w:val="000000"/>
                <w:szCs w:val="24"/>
              </w:rPr>
              <w:t xml:space="preserve"> minus Baseline)</w:t>
            </w:r>
          </w:p>
        </w:tc>
      </w:tr>
      <w:tr w:rsidR="00A15C2C" w14:paraId="0D971080" w14:textId="77777777" w:rsidTr="00800C73">
        <w:trPr>
          <w:trHeight w:val="310"/>
          <w:jc w:val="center"/>
        </w:trPr>
        <w:tc>
          <w:tcPr>
            <w:tcW w:w="15136" w:type="dxa"/>
            <w:gridSpan w:val="8"/>
            <w:shd w:val="clear" w:color="auto" w:fill="D9D9D9" w:themeFill="background1" w:themeFillShade="D9"/>
            <w:noWrap/>
            <w:vAlign w:val="bottom"/>
          </w:tcPr>
          <w:p w14:paraId="36AC5DCB" w14:textId="77777777" w:rsidR="00220024" w:rsidRPr="00897AED" w:rsidRDefault="000F5B51" w:rsidP="00800C73">
            <w:pPr>
              <w:spacing w:after="0" w:line="240" w:lineRule="auto"/>
              <w:jc w:val="center"/>
              <w:rPr>
                <w:rFonts w:cs="Times New Roman"/>
                <w:b/>
                <w:bCs/>
                <w:i/>
                <w:iCs/>
                <w:color w:val="000000"/>
              </w:rPr>
            </w:pPr>
            <w:r w:rsidRPr="00A57E5E">
              <w:rPr>
                <w:rFonts w:cs="Times New Roman"/>
                <w:b/>
                <w:bCs/>
                <w:i/>
                <w:iCs/>
                <w:color w:val="000000"/>
              </w:rPr>
              <w:t>Passenger Cars</w:t>
            </w:r>
          </w:p>
        </w:tc>
      </w:tr>
      <w:tr w:rsidR="00C32788" w14:paraId="52239518" w14:textId="77777777" w:rsidTr="0055589E">
        <w:trPr>
          <w:trHeight w:val="310"/>
          <w:jc w:val="center"/>
        </w:trPr>
        <w:tc>
          <w:tcPr>
            <w:tcW w:w="1488" w:type="dxa"/>
            <w:shd w:val="clear" w:color="auto" w:fill="auto"/>
            <w:noWrap/>
            <w:vAlign w:val="bottom"/>
          </w:tcPr>
          <w:p w14:paraId="7760AEE7" w14:textId="77777777" w:rsidR="00C32788" w:rsidRPr="000D2845" w:rsidRDefault="00C32788" w:rsidP="00C32788">
            <w:pPr>
              <w:spacing w:after="0" w:line="240" w:lineRule="auto"/>
              <w:rPr>
                <w:rFonts w:eastAsia="Times New Roman" w:cs="Times New Roman"/>
                <w:color w:val="000000"/>
                <w:szCs w:val="24"/>
              </w:rPr>
            </w:pPr>
            <w:r w:rsidRPr="000D2845">
              <w:rPr>
                <w:rFonts w:eastAsia="Times New Roman" w:cs="Times New Roman"/>
                <w:color w:val="000000"/>
                <w:szCs w:val="24"/>
              </w:rPr>
              <w:t>MAIS 1</w:t>
            </w:r>
          </w:p>
        </w:tc>
        <w:tc>
          <w:tcPr>
            <w:tcW w:w="1949" w:type="dxa"/>
            <w:vAlign w:val="center"/>
          </w:tcPr>
          <w:p w14:paraId="5322BACB" w14:textId="34C93D38" w:rsidR="00C32788" w:rsidRPr="000D2845" w:rsidRDefault="00C32788" w:rsidP="00C32788">
            <w:pPr>
              <w:spacing w:after="0" w:line="240" w:lineRule="auto"/>
              <w:jc w:val="center"/>
              <w:rPr>
                <w:rFonts w:cs="Times New Roman"/>
                <w:color w:val="000000"/>
                <w:szCs w:val="24"/>
              </w:rPr>
            </w:pPr>
            <w:r>
              <w:rPr>
                <w:rFonts w:cs="Times New Roman"/>
                <w:color w:val="000000"/>
              </w:rPr>
              <w:t>2,642</w:t>
            </w:r>
          </w:p>
        </w:tc>
        <w:tc>
          <w:tcPr>
            <w:tcW w:w="1950" w:type="dxa"/>
            <w:shd w:val="clear" w:color="auto" w:fill="auto"/>
            <w:noWrap/>
            <w:vAlign w:val="center"/>
          </w:tcPr>
          <w:p w14:paraId="7664E6B8" w14:textId="77777777" w:rsidR="00C32788" w:rsidRPr="000D2845" w:rsidRDefault="00C32788" w:rsidP="00C32788">
            <w:pPr>
              <w:spacing w:after="0" w:line="240" w:lineRule="auto"/>
              <w:jc w:val="center"/>
              <w:rPr>
                <w:rFonts w:eastAsia="Times New Roman" w:cs="Times New Roman"/>
                <w:color w:val="000000"/>
                <w:szCs w:val="24"/>
              </w:rPr>
            </w:pPr>
            <w:r w:rsidRPr="00A57E5E">
              <w:rPr>
                <w:rFonts w:cs="Times New Roman"/>
                <w:color w:val="000000"/>
              </w:rPr>
              <w:t>0.055</w:t>
            </w:r>
          </w:p>
        </w:tc>
        <w:tc>
          <w:tcPr>
            <w:tcW w:w="1950" w:type="dxa"/>
            <w:shd w:val="clear" w:color="auto" w:fill="auto"/>
            <w:noWrap/>
            <w:vAlign w:val="center"/>
          </w:tcPr>
          <w:p w14:paraId="17F40D0B" w14:textId="273E4E02" w:rsidR="00C32788" w:rsidRPr="00E67096" w:rsidRDefault="00C32788" w:rsidP="00C32788">
            <w:pPr>
              <w:spacing w:after="0" w:line="240" w:lineRule="auto"/>
              <w:jc w:val="center"/>
              <w:rPr>
                <w:rFonts w:eastAsia="Times New Roman" w:cs="Times New Roman"/>
                <w:color w:val="000000"/>
                <w:szCs w:val="24"/>
              </w:rPr>
            </w:pPr>
            <w:r>
              <w:rPr>
                <w:rFonts w:cs="Times New Roman"/>
                <w:color w:val="000000"/>
                <w:szCs w:val="24"/>
              </w:rPr>
              <w:t>0.7078</w:t>
            </w:r>
          </w:p>
        </w:tc>
        <w:tc>
          <w:tcPr>
            <w:tcW w:w="1949" w:type="dxa"/>
            <w:shd w:val="clear" w:color="auto" w:fill="auto"/>
            <w:noWrap/>
            <w:vAlign w:val="center"/>
          </w:tcPr>
          <w:p w14:paraId="08A51D91" w14:textId="1C437334" w:rsidR="00C32788" w:rsidRPr="000D2845" w:rsidRDefault="00C32788" w:rsidP="00C32788">
            <w:pPr>
              <w:spacing w:after="0" w:line="240" w:lineRule="auto"/>
              <w:jc w:val="center"/>
              <w:rPr>
                <w:rFonts w:eastAsia="Times New Roman" w:cs="Times New Roman"/>
                <w:color w:val="000000"/>
                <w:szCs w:val="24"/>
              </w:rPr>
            </w:pPr>
            <w:r>
              <w:rPr>
                <w:color w:val="000000"/>
              </w:rPr>
              <w:t>103</w:t>
            </w:r>
          </w:p>
        </w:tc>
        <w:tc>
          <w:tcPr>
            <w:tcW w:w="1950" w:type="dxa"/>
            <w:vAlign w:val="center"/>
          </w:tcPr>
          <w:p w14:paraId="416BEA7D" w14:textId="4695B363" w:rsidR="00C32788" w:rsidRPr="000D2845" w:rsidRDefault="00C32788" w:rsidP="00C32788">
            <w:pPr>
              <w:spacing w:after="0" w:line="240" w:lineRule="auto"/>
              <w:jc w:val="center"/>
              <w:rPr>
                <w:rFonts w:eastAsia="Times New Roman" w:cs="Times New Roman"/>
                <w:color w:val="000000"/>
                <w:szCs w:val="24"/>
              </w:rPr>
            </w:pPr>
            <w:r>
              <w:rPr>
                <w:rFonts w:cs="Times New Roman"/>
                <w:color w:val="000000"/>
              </w:rPr>
              <w:t>0.7547</w:t>
            </w:r>
          </w:p>
        </w:tc>
        <w:tc>
          <w:tcPr>
            <w:tcW w:w="1950" w:type="dxa"/>
            <w:vAlign w:val="center"/>
          </w:tcPr>
          <w:p w14:paraId="640F9AB2" w14:textId="780FC915" w:rsidR="00C32788" w:rsidRPr="000D2845" w:rsidRDefault="00C32788" w:rsidP="00C32788">
            <w:pPr>
              <w:spacing w:after="0" w:line="240" w:lineRule="auto"/>
              <w:jc w:val="center"/>
              <w:rPr>
                <w:rFonts w:eastAsia="Times New Roman" w:cs="Times New Roman"/>
                <w:color w:val="000000"/>
                <w:szCs w:val="24"/>
              </w:rPr>
            </w:pPr>
            <w:r>
              <w:rPr>
                <w:color w:val="000000"/>
              </w:rPr>
              <w:t>110</w:t>
            </w:r>
          </w:p>
        </w:tc>
        <w:tc>
          <w:tcPr>
            <w:tcW w:w="1950" w:type="dxa"/>
            <w:vAlign w:val="center"/>
          </w:tcPr>
          <w:p w14:paraId="45AE7DF9" w14:textId="10A22EF5" w:rsidR="00C32788" w:rsidRPr="000D2845" w:rsidRDefault="00C32788" w:rsidP="00C32788">
            <w:pPr>
              <w:spacing w:after="0" w:line="240" w:lineRule="auto"/>
              <w:jc w:val="center"/>
              <w:rPr>
                <w:rFonts w:eastAsia="Times New Roman" w:cs="Times New Roman"/>
                <w:color w:val="000000"/>
                <w:szCs w:val="24"/>
              </w:rPr>
            </w:pPr>
            <w:r>
              <w:rPr>
                <w:color w:val="000000"/>
              </w:rPr>
              <w:t>7</w:t>
            </w:r>
          </w:p>
        </w:tc>
      </w:tr>
      <w:tr w:rsidR="00C32788" w14:paraId="7355BA97" w14:textId="77777777" w:rsidTr="0055589E">
        <w:trPr>
          <w:trHeight w:val="310"/>
          <w:jc w:val="center"/>
        </w:trPr>
        <w:tc>
          <w:tcPr>
            <w:tcW w:w="1488" w:type="dxa"/>
            <w:shd w:val="clear" w:color="auto" w:fill="auto"/>
            <w:noWrap/>
          </w:tcPr>
          <w:p w14:paraId="3A1B992E" w14:textId="77777777" w:rsidR="00C32788" w:rsidRPr="000D2845" w:rsidRDefault="00C32788" w:rsidP="00C32788">
            <w:pPr>
              <w:spacing w:after="0" w:line="240" w:lineRule="auto"/>
              <w:rPr>
                <w:rFonts w:eastAsia="Times New Roman" w:cs="Times New Roman"/>
                <w:color w:val="000000"/>
                <w:szCs w:val="24"/>
              </w:rPr>
            </w:pPr>
            <w:r w:rsidRPr="000D2845">
              <w:rPr>
                <w:rFonts w:eastAsia="Times New Roman" w:cs="Times New Roman"/>
                <w:color w:val="000000"/>
                <w:szCs w:val="24"/>
              </w:rPr>
              <w:t>MAIS 2</w:t>
            </w:r>
          </w:p>
        </w:tc>
        <w:tc>
          <w:tcPr>
            <w:tcW w:w="1949" w:type="dxa"/>
            <w:vAlign w:val="center"/>
          </w:tcPr>
          <w:p w14:paraId="4FD03CEC" w14:textId="38F01817" w:rsidR="00C32788" w:rsidRPr="000D2845" w:rsidRDefault="00C32788" w:rsidP="00C32788">
            <w:pPr>
              <w:spacing w:after="0" w:line="240" w:lineRule="auto"/>
              <w:jc w:val="center"/>
              <w:rPr>
                <w:rFonts w:cs="Times New Roman"/>
                <w:color w:val="000000"/>
                <w:szCs w:val="24"/>
              </w:rPr>
            </w:pPr>
            <w:r>
              <w:rPr>
                <w:rFonts w:cs="Times New Roman"/>
                <w:color w:val="000000"/>
              </w:rPr>
              <w:t>1,720</w:t>
            </w:r>
          </w:p>
        </w:tc>
        <w:tc>
          <w:tcPr>
            <w:tcW w:w="1950" w:type="dxa"/>
            <w:shd w:val="clear" w:color="auto" w:fill="auto"/>
            <w:noWrap/>
            <w:vAlign w:val="center"/>
          </w:tcPr>
          <w:p w14:paraId="02BE00F4" w14:textId="77777777" w:rsidR="00C32788" w:rsidRPr="000D2845" w:rsidRDefault="00C32788" w:rsidP="00C32788">
            <w:pPr>
              <w:spacing w:after="0" w:line="240" w:lineRule="auto"/>
              <w:jc w:val="center"/>
              <w:rPr>
                <w:rFonts w:eastAsia="Times New Roman" w:cs="Times New Roman"/>
                <w:color w:val="000000"/>
                <w:szCs w:val="24"/>
              </w:rPr>
            </w:pPr>
            <w:r w:rsidRPr="00A57E5E">
              <w:rPr>
                <w:rFonts w:cs="Times New Roman"/>
                <w:color w:val="000000"/>
              </w:rPr>
              <w:t>0.5</w:t>
            </w:r>
            <w:r>
              <w:rPr>
                <w:rFonts w:cs="Times New Roman"/>
                <w:color w:val="000000"/>
              </w:rPr>
              <w:t>00</w:t>
            </w:r>
          </w:p>
        </w:tc>
        <w:tc>
          <w:tcPr>
            <w:tcW w:w="1950" w:type="dxa"/>
            <w:shd w:val="clear" w:color="auto" w:fill="auto"/>
            <w:noWrap/>
            <w:vAlign w:val="center"/>
          </w:tcPr>
          <w:p w14:paraId="4E37549A" w14:textId="6DD8EED6" w:rsidR="00C32788" w:rsidRPr="00E67096" w:rsidRDefault="00C32788" w:rsidP="00C32788">
            <w:pPr>
              <w:spacing w:after="0" w:line="240" w:lineRule="auto"/>
              <w:jc w:val="center"/>
              <w:rPr>
                <w:rFonts w:eastAsia="Times New Roman" w:cs="Times New Roman"/>
                <w:color w:val="000000"/>
                <w:szCs w:val="24"/>
              </w:rPr>
            </w:pPr>
            <w:r w:rsidRPr="00CC5ED5">
              <w:rPr>
                <w:rFonts w:cs="Times New Roman"/>
                <w:color w:val="000000"/>
                <w:szCs w:val="24"/>
              </w:rPr>
              <w:t>0.7078</w:t>
            </w:r>
          </w:p>
        </w:tc>
        <w:tc>
          <w:tcPr>
            <w:tcW w:w="1949" w:type="dxa"/>
            <w:shd w:val="clear" w:color="auto" w:fill="auto"/>
            <w:noWrap/>
            <w:vAlign w:val="center"/>
          </w:tcPr>
          <w:p w14:paraId="3BB5681F" w14:textId="364F88B2" w:rsidR="00C32788" w:rsidRPr="000D2845" w:rsidRDefault="00C32788" w:rsidP="00C32788">
            <w:pPr>
              <w:spacing w:after="0" w:line="240" w:lineRule="auto"/>
              <w:jc w:val="center"/>
              <w:rPr>
                <w:rFonts w:eastAsia="Times New Roman" w:cs="Times New Roman"/>
                <w:color w:val="000000"/>
                <w:szCs w:val="24"/>
              </w:rPr>
            </w:pPr>
            <w:r>
              <w:rPr>
                <w:color w:val="000000"/>
              </w:rPr>
              <w:t>609</w:t>
            </w:r>
          </w:p>
        </w:tc>
        <w:tc>
          <w:tcPr>
            <w:tcW w:w="1950" w:type="dxa"/>
            <w:vAlign w:val="center"/>
          </w:tcPr>
          <w:p w14:paraId="39684561" w14:textId="27F4F6A9" w:rsidR="00C32788" w:rsidRPr="000D2845" w:rsidRDefault="00C32788" w:rsidP="00C32788">
            <w:pPr>
              <w:spacing w:after="0" w:line="240" w:lineRule="auto"/>
              <w:jc w:val="center"/>
              <w:rPr>
                <w:rFonts w:eastAsia="Times New Roman" w:cs="Times New Roman"/>
                <w:color w:val="000000"/>
                <w:szCs w:val="24"/>
              </w:rPr>
            </w:pPr>
            <w:r w:rsidRPr="00CC5ED5">
              <w:rPr>
                <w:rFonts w:cs="Times New Roman"/>
                <w:color w:val="000000"/>
              </w:rPr>
              <w:t>0.7547</w:t>
            </w:r>
          </w:p>
        </w:tc>
        <w:tc>
          <w:tcPr>
            <w:tcW w:w="1950" w:type="dxa"/>
            <w:vAlign w:val="center"/>
          </w:tcPr>
          <w:p w14:paraId="703A6517" w14:textId="7BA77F3E" w:rsidR="00C32788" w:rsidRPr="000D2845" w:rsidRDefault="00C32788" w:rsidP="00C32788">
            <w:pPr>
              <w:spacing w:after="0" w:line="240" w:lineRule="auto"/>
              <w:jc w:val="center"/>
              <w:rPr>
                <w:rFonts w:eastAsia="Times New Roman" w:cs="Times New Roman"/>
                <w:color w:val="000000"/>
                <w:szCs w:val="24"/>
              </w:rPr>
            </w:pPr>
            <w:r>
              <w:rPr>
                <w:color w:val="000000"/>
              </w:rPr>
              <w:t>649</w:t>
            </w:r>
          </w:p>
        </w:tc>
        <w:tc>
          <w:tcPr>
            <w:tcW w:w="1950" w:type="dxa"/>
            <w:vAlign w:val="center"/>
          </w:tcPr>
          <w:p w14:paraId="0B450ECE" w14:textId="63C96329" w:rsidR="00C32788" w:rsidRPr="000D2845" w:rsidRDefault="00C32788" w:rsidP="00C32788">
            <w:pPr>
              <w:spacing w:after="0" w:line="240" w:lineRule="auto"/>
              <w:jc w:val="center"/>
              <w:rPr>
                <w:rFonts w:eastAsia="Times New Roman" w:cs="Times New Roman"/>
                <w:color w:val="000000"/>
                <w:szCs w:val="24"/>
              </w:rPr>
            </w:pPr>
            <w:r>
              <w:rPr>
                <w:color w:val="000000"/>
              </w:rPr>
              <w:t>40</w:t>
            </w:r>
          </w:p>
        </w:tc>
      </w:tr>
      <w:tr w:rsidR="00C32788" w14:paraId="65EF4195" w14:textId="77777777" w:rsidTr="0055589E">
        <w:trPr>
          <w:trHeight w:val="310"/>
          <w:jc w:val="center"/>
        </w:trPr>
        <w:tc>
          <w:tcPr>
            <w:tcW w:w="1488" w:type="dxa"/>
            <w:shd w:val="clear" w:color="auto" w:fill="auto"/>
            <w:noWrap/>
          </w:tcPr>
          <w:p w14:paraId="3AE4372E" w14:textId="77777777" w:rsidR="00C32788" w:rsidRPr="000D2845" w:rsidRDefault="00C32788" w:rsidP="00C32788">
            <w:pPr>
              <w:spacing w:after="0" w:line="240" w:lineRule="auto"/>
              <w:rPr>
                <w:rFonts w:eastAsia="Times New Roman" w:cs="Times New Roman"/>
                <w:color w:val="000000"/>
                <w:szCs w:val="24"/>
              </w:rPr>
            </w:pPr>
            <w:r w:rsidRPr="000D2845">
              <w:rPr>
                <w:rFonts w:eastAsia="Times New Roman" w:cs="Times New Roman"/>
                <w:color w:val="000000"/>
                <w:szCs w:val="24"/>
              </w:rPr>
              <w:t>MAIS 3</w:t>
            </w:r>
          </w:p>
        </w:tc>
        <w:tc>
          <w:tcPr>
            <w:tcW w:w="1949" w:type="dxa"/>
            <w:vAlign w:val="center"/>
          </w:tcPr>
          <w:p w14:paraId="6025B128" w14:textId="3FEDFCA1" w:rsidR="00C32788" w:rsidRPr="000D2845" w:rsidRDefault="00C32788" w:rsidP="00C32788">
            <w:pPr>
              <w:spacing w:after="0" w:line="240" w:lineRule="auto"/>
              <w:jc w:val="center"/>
              <w:rPr>
                <w:rFonts w:cs="Times New Roman"/>
                <w:color w:val="000000"/>
                <w:szCs w:val="24"/>
              </w:rPr>
            </w:pPr>
            <w:r>
              <w:rPr>
                <w:rFonts w:cs="Times New Roman"/>
                <w:color w:val="000000"/>
              </w:rPr>
              <w:t>475</w:t>
            </w:r>
          </w:p>
        </w:tc>
        <w:tc>
          <w:tcPr>
            <w:tcW w:w="1950" w:type="dxa"/>
            <w:shd w:val="clear" w:color="auto" w:fill="auto"/>
            <w:noWrap/>
            <w:vAlign w:val="center"/>
          </w:tcPr>
          <w:p w14:paraId="210A3662" w14:textId="77777777" w:rsidR="00C32788" w:rsidRPr="000D2845" w:rsidRDefault="00C32788" w:rsidP="00C32788">
            <w:pPr>
              <w:spacing w:after="0" w:line="240" w:lineRule="auto"/>
              <w:jc w:val="center"/>
              <w:rPr>
                <w:rFonts w:eastAsia="Times New Roman" w:cs="Times New Roman"/>
                <w:color w:val="000000"/>
                <w:szCs w:val="24"/>
              </w:rPr>
            </w:pPr>
            <w:r w:rsidRPr="00A57E5E">
              <w:rPr>
                <w:rFonts w:cs="Times New Roman"/>
                <w:color w:val="000000"/>
              </w:rPr>
              <w:t>0.5</w:t>
            </w:r>
            <w:r>
              <w:rPr>
                <w:rFonts w:cs="Times New Roman"/>
                <w:color w:val="000000"/>
              </w:rPr>
              <w:t>00</w:t>
            </w:r>
          </w:p>
        </w:tc>
        <w:tc>
          <w:tcPr>
            <w:tcW w:w="1950" w:type="dxa"/>
            <w:shd w:val="clear" w:color="auto" w:fill="auto"/>
            <w:noWrap/>
            <w:vAlign w:val="center"/>
          </w:tcPr>
          <w:p w14:paraId="1FD501D4" w14:textId="28017313" w:rsidR="00C32788" w:rsidRPr="00E67096" w:rsidRDefault="00C32788" w:rsidP="00C32788">
            <w:pPr>
              <w:spacing w:after="0" w:line="240" w:lineRule="auto"/>
              <w:jc w:val="center"/>
              <w:rPr>
                <w:rFonts w:eastAsia="Times New Roman" w:cs="Times New Roman"/>
                <w:color w:val="000000"/>
                <w:szCs w:val="24"/>
              </w:rPr>
            </w:pPr>
            <w:r w:rsidRPr="00CC5ED5">
              <w:rPr>
                <w:rFonts w:cs="Times New Roman"/>
                <w:color w:val="000000"/>
                <w:szCs w:val="24"/>
              </w:rPr>
              <w:t>0.7078</w:t>
            </w:r>
          </w:p>
        </w:tc>
        <w:tc>
          <w:tcPr>
            <w:tcW w:w="1949" w:type="dxa"/>
            <w:shd w:val="clear" w:color="auto" w:fill="auto"/>
            <w:noWrap/>
            <w:vAlign w:val="center"/>
          </w:tcPr>
          <w:p w14:paraId="49B3ECA5" w14:textId="5AA8576C" w:rsidR="00C32788" w:rsidRPr="000D2845" w:rsidRDefault="00C32788" w:rsidP="00C32788">
            <w:pPr>
              <w:spacing w:after="0" w:line="240" w:lineRule="auto"/>
              <w:jc w:val="center"/>
              <w:rPr>
                <w:rFonts w:eastAsia="Times New Roman" w:cs="Times New Roman"/>
                <w:color w:val="000000"/>
                <w:szCs w:val="24"/>
              </w:rPr>
            </w:pPr>
            <w:r>
              <w:rPr>
                <w:color w:val="000000"/>
              </w:rPr>
              <w:t>168</w:t>
            </w:r>
          </w:p>
        </w:tc>
        <w:tc>
          <w:tcPr>
            <w:tcW w:w="1950" w:type="dxa"/>
            <w:vAlign w:val="center"/>
          </w:tcPr>
          <w:p w14:paraId="168A4C7D" w14:textId="26C5F722" w:rsidR="00C32788" w:rsidRPr="000D2845" w:rsidRDefault="00C32788" w:rsidP="00C32788">
            <w:pPr>
              <w:spacing w:after="0" w:line="240" w:lineRule="auto"/>
              <w:jc w:val="center"/>
              <w:rPr>
                <w:rFonts w:eastAsia="Times New Roman" w:cs="Times New Roman"/>
                <w:color w:val="000000"/>
                <w:szCs w:val="24"/>
              </w:rPr>
            </w:pPr>
            <w:r w:rsidRPr="00CC5ED5">
              <w:rPr>
                <w:rFonts w:cs="Times New Roman"/>
                <w:color w:val="000000"/>
              </w:rPr>
              <w:t>0.7547</w:t>
            </w:r>
          </w:p>
        </w:tc>
        <w:tc>
          <w:tcPr>
            <w:tcW w:w="1950" w:type="dxa"/>
            <w:vAlign w:val="center"/>
          </w:tcPr>
          <w:p w14:paraId="52A50305" w14:textId="13A68F72" w:rsidR="00C32788" w:rsidRPr="000D2845" w:rsidRDefault="00C32788" w:rsidP="00C32788">
            <w:pPr>
              <w:spacing w:after="0" w:line="240" w:lineRule="auto"/>
              <w:jc w:val="center"/>
              <w:rPr>
                <w:rFonts w:eastAsia="Times New Roman" w:cs="Times New Roman"/>
                <w:color w:val="000000"/>
                <w:szCs w:val="24"/>
              </w:rPr>
            </w:pPr>
            <w:r>
              <w:rPr>
                <w:color w:val="000000"/>
              </w:rPr>
              <w:t>179</w:t>
            </w:r>
          </w:p>
        </w:tc>
        <w:tc>
          <w:tcPr>
            <w:tcW w:w="1950" w:type="dxa"/>
            <w:vAlign w:val="center"/>
          </w:tcPr>
          <w:p w14:paraId="1F71A5B8" w14:textId="77D9D5D0" w:rsidR="00C32788" w:rsidRPr="000D2845" w:rsidRDefault="00C32788" w:rsidP="00C32788">
            <w:pPr>
              <w:spacing w:after="0" w:line="240" w:lineRule="auto"/>
              <w:jc w:val="center"/>
              <w:rPr>
                <w:rFonts w:eastAsia="Times New Roman" w:cs="Times New Roman"/>
                <w:color w:val="000000"/>
                <w:szCs w:val="24"/>
              </w:rPr>
            </w:pPr>
            <w:r>
              <w:rPr>
                <w:color w:val="000000"/>
              </w:rPr>
              <w:t>11</w:t>
            </w:r>
          </w:p>
        </w:tc>
      </w:tr>
      <w:tr w:rsidR="00C32788" w14:paraId="4D6E54CB" w14:textId="77777777" w:rsidTr="0055589E">
        <w:trPr>
          <w:trHeight w:val="310"/>
          <w:jc w:val="center"/>
        </w:trPr>
        <w:tc>
          <w:tcPr>
            <w:tcW w:w="1488" w:type="dxa"/>
            <w:shd w:val="clear" w:color="auto" w:fill="auto"/>
            <w:noWrap/>
          </w:tcPr>
          <w:p w14:paraId="26B3E4BF" w14:textId="77777777" w:rsidR="00C32788" w:rsidRPr="000D2845" w:rsidRDefault="00C32788" w:rsidP="00C32788">
            <w:pPr>
              <w:spacing w:after="0" w:line="240" w:lineRule="auto"/>
              <w:rPr>
                <w:rFonts w:eastAsia="Times New Roman" w:cs="Times New Roman"/>
                <w:color w:val="000000"/>
                <w:szCs w:val="24"/>
              </w:rPr>
            </w:pPr>
            <w:r w:rsidRPr="000D2845">
              <w:rPr>
                <w:rFonts w:eastAsia="Times New Roman" w:cs="Times New Roman"/>
                <w:color w:val="000000"/>
                <w:szCs w:val="24"/>
              </w:rPr>
              <w:t>MAIS 4</w:t>
            </w:r>
          </w:p>
        </w:tc>
        <w:tc>
          <w:tcPr>
            <w:tcW w:w="1949" w:type="dxa"/>
            <w:vAlign w:val="center"/>
          </w:tcPr>
          <w:p w14:paraId="5E5B3147" w14:textId="7AEC7EC0" w:rsidR="00C32788" w:rsidRPr="000D2845" w:rsidRDefault="00C32788" w:rsidP="00C32788">
            <w:pPr>
              <w:spacing w:after="0" w:line="240" w:lineRule="auto"/>
              <w:jc w:val="center"/>
              <w:rPr>
                <w:rFonts w:cs="Times New Roman"/>
                <w:color w:val="000000"/>
                <w:szCs w:val="24"/>
              </w:rPr>
            </w:pPr>
            <w:r>
              <w:rPr>
                <w:rFonts w:cs="Times New Roman"/>
                <w:color w:val="000000"/>
              </w:rPr>
              <w:t>344</w:t>
            </w:r>
          </w:p>
        </w:tc>
        <w:tc>
          <w:tcPr>
            <w:tcW w:w="1950" w:type="dxa"/>
            <w:shd w:val="clear" w:color="auto" w:fill="auto"/>
            <w:noWrap/>
            <w:vAlign w:val="center"/>
          </w:tcPr>
          <w:p w14:paraId="6B7E4BFA" w14:textId="77777777" w:rsidR="00C32788" w:rsidRPr="000D2845" w:rsidRDefault="00C32788" w:rsidP="00C32788">
            <w:pPr>
              <w:spacing w:after="0" w:line="240" w:lineRule="auto"/>
              <w:jc w:val="center"/>
              <w:rPr>
                <w:rFonts w:eastAsia="Times New Roman" w:cs="Times New Roman"/>
                <w:color w:val="000000"/>
                <w:szCs w:val="24"/>
              </w:rPr>
            </w:pPr>
            <w:r w:rsidRPr="00A57E5E">
              <w:rPr>
                <w:rFonts w:cs="Times New Roman"/>
                <w:color w:val="000000"/>
              </w:rPr>
              <w:t>0.5</w:t>
            </w:r>
            <w:r>
              <w:rPr>
                <w:rFonts w:cs="Times New Roman"/>
                <w:color w:val="000000"/>
              </w:rPr>
              <w:t>00</w:t>
            </w:r>
          </w:p>
        </w:tc>
        <w:tc>
          <w:tcPr>
            <w:tcW w:w="1950" w:type="dxa"/>
            <w:shd w:val="clear" w:color="auto" w:fill="auto"/>
            <w:noWrap/>
            <w:vAlign w:val="center"/>
          </w:tcPr>
          <w:p w14:paraId="6735B832" w14:textId="5DC7850F" w:rsidR="00C32788" w:rsidRPr="00E67096" w:rsidRDefault="00C32788" w:rsidP="00C32788">
            <w:pPr>
              <w:spacing w:after="0" w:line="240" w:lineRule="auto"/>
              <w:jc w:val="center"/>
              <w:rPr>
                <w:rFonts w:eastAsia="Times New Roman" w:cs="Times New Roman"/>
                <w:color w:val="000000"/>
                <w:szCs w:val="24"/>
              </w:rPr>
            </w:pPr>
            <w:r w:rsidRPr="00CC5ED5">
              <w:rPr>
                <w:rFonts w:cs="Times New Roman"/>
                <w:color w:val="000000"/>
                <w:szCs w:val="24"/>
              </w:rPr>
              <w:t>0.7078</w:t>
            </w:r>
          </w:p>
        </w:tc>
        <w:tc>
          <w:tcPr>
            <w:tcW w:w="1949" w:type="dxa"/>
            <w:shd w:val="clear" w:color="auto" w:fill="auto"/>
            <w:noWrap/>
            <w:vAlign w:val="center"/>
          </w:tcPr>
          <w:p w14:paraId="12E8321B" w14:textId="4A486D49" w:rsidR="00C32788" w:rsidRPr="000D2845" w:rsidRDefault="00C32788" w:rsidP="00C32788">
            <w:pPr>
              <w:spacing w:after="0" w:line="240" w:lineRule="auto"/>
              <w:jc w:val="center"/>
              <w:rPr>
                <w:rFonts w:eastAsia="Times New Roman" w:cs="Times New Roman"/>
                <w:color w:val="000000"/>
                <w:szCs w:val="24"/>
              </w:rPr>
            </w:pPr>
            <w:r>
              <w:rPr>
                <w:color w:val="000000"/>
              </w:rPr>
              <w:t>122</w:t>
            </w:r>
          </w:p>
        </w:tc>
        <w:tc>
          <w:tcPr>
            <w:tcW w:w="1950" w:type="dxa"/>
            <w:vAlign w:val="center"/>
          </w:tcPr>
          <w:p w14:paraId="70D6E469" w14:textId="195F2E9B" w:rsidR="00C32788" w:rsidRPr="000D2845" w:rsidRDefault="00C32788" w:rsidP="00C32788">
            <w:pPr>
              <w:spacing w:after="0" w:line="240" w:lineRule="auto"/>
              <w:jc w:val="center"/>
              <w:rPr>
                <w:rFonts w:eastAsia="Times New Roman" w:cs="Times New Roman"/>
                <w:color w:val="000000"/>
                <w:szCs w:val="24"/>
              </w:rPr>
            </w:pPr>
            <w:r w:rsidRPr="00CC5ED5">
              <w:rPr>
                <w:rFonts w:cs="Times New Roman"/>
                <w:color w:val="000000"/>
              </w:rPr>
              <w:t>0.7547</w:t>
            </w:r>
          </w:p>
        </w:tc>
        <w:tc>
          <w:tcPr>
            <w:tcW w:w="1950" w:type="dxa"/>
            <w:vAlign w:val="center"/>
          </w:tcPr>
          <w:p w14:paraId="7F058F98" w14:textId="738BA727" w:rsidR="00C32788" w:rsidRPr="000D2845" w:rsidRDefault="00C32788" w:rsidP="00C32788">
            <w:pPr>
              <w:spacing w:after="0" w:line="240" w:lineRule="auto"/>
              <w:jc w:val="center"/>
              <w:rPr>
                <w:rFonts w:eastAsia="Times New Roman" w:cs="Times New Roman"/>
                <w:color w:val="000000"/>
                <w:szCs w:val="24"/>
              </w:rPr>
            </w:pPr>
            <w:r>
              <w:rPr>
                <w:color w:val="000000"/>
              </w:rPr>
              <w:t>130</w:t>
            </w:r>
          </w:p>
        </w:tc>
        <w:tc>
          <w:tcPr>
            <w:tcW w:w="1950" w:type="dxa"/>
            <w:vAlign w:val="center"/>
          </w:tcPr>
          <w:p w14:paraId="1362B960" w14:textId="4F9881DF" w:rsidR="00C32788" w:rsidRPr="000D2845" w:rsidRDefault="00C32788" w:rsidP="00C32788">
            <w:pPr>
              <w:spacing w:after="0" w:line="240" w:lineRule="auto"/>
              <w:jc w:val="center"/>
              <w:rPr>
                <w:rFonts w:eastAsia="Times New Roman" w:cs="Times New Roman"/>
                <w:color w:val="000000"/>
                <w:szCs w:val="24"/>
              </w:rPr>
            </w:pPr>
            <w:r>
              <w:rPr>
                <w:color w:val="000000"/>
              </w:rPr>
              <w:t>8</w:t>
            </w:r>
          </w:p>
        </w:tc>
      </w:tr>
      <w:tr w:rsidR="00C32788" w14:paraId="2F550754" w14:textId="77777777" w:rsidTr="0055589E">
        <w:trPr>
          <w:trHeight w:val="310"/>
          <w:jc w:val="center"/>
        </w:trPr>
        <w:tc>
          <w:tcPr>
            <w:tcW w:w="1488" w:type="dxa"/>
            <w:shd w:val="clear" w:color="auto" w:fill="auto"/>
            <w:noWrap/>
          </w:tcPr>
          <w:p w14:paraId="1CB7BD13" w14:textId="77777777" w:rsidR="00C32788" w:rsidRPr="000D2845" w:rsidRDefault="00C32788" w:rsidP="00C32788">
            <w:pPr>
              <w:spacing w:after="0" w:line="240" w:lineRule="auto"/>
              <w:rPr>
                <w:rFonts w:eastAsia="Times New Roman" w:cs="Times New Roman"/>
                <w:color w:val="000000"/>
                <w:szCs w:val="24"/>
              </w:rPr>
            </w:pPr>
            <w:r w:rsidRPr="000D2845">
              <w:rPr>
                <w:rFonts w:eastAsia="Times New Roman" w:cs="Times New Roman"/>
                <w:color w:val="000000"/>
                <w:szCs w:val="24"/>
              </w:rPr>
              <w:t>MAIS 5</w:t>
            </w:r>
          </w:p>
        </w:tc>
        <w:tc>
          <w:tcPr>
            <w:tcW w:w="1949" w:type="dxa"/>
            <w:vAlign w:val="center"/>
          </w:tcPr>
          <w:p w14:paraId="4FDD46C3" w14:textId="28BB27D9" w:rsidR="00C32788" w:rsidRPr="000D2845" w:rsidRDefault="00C32788" w:rsidP="00C32788">
            <w:pPr>
              <w:spacing w:after="0" w:line="240" w:lineRule="auto"/>
              <w:jc w:val="center"/>
              <w:rPr>
                <w:rFonts w:cs="Times New Roman"/>
                <w:color w:val="000000"/>
                <w:szCs w:val="24"/>
              </w:rPr>
            </w:pPr>
            <w:r>
              <w:rPr>
                <w:rFonts w:cs="Times New Roman"/>
                <w:color w:val="000000"/>
              </w:rPr>
              <w:t>8</w:t>
            </w:r>
          </w:p>
        </w:tc>
        <w:tc>
          <w:tcPr>
            <w:tcW w:w="1950" w:type="dxa"/>
            <w:shd w:val="clear" w:color="auto" w:fill="auto"/>
            <w:noWrap/>
            <w:vAlign w:val="center"/>
          </w:tcPr>
          <w:p w14:paraId="76F07DE7" w14:textId="77777777" w:rsidR="00C32788" w:rsidRPr="000D2845" w:rsidRDefault="00C32788" w:rsidP="00C32788">
            <w:pPr>
              <w:spacing w:after="0" w:line="240" w:lineRule="auto"/>
              <w:jc w:val="center"/>
              <w:rPr>
                <w:rFonts w:eastAsia="Times New Roman" w:cs="Times New Roman"/>
                <w:color w:val="000000"/>
                <w:szCs w:val="24"/>
              </w:rPr>
            </w:pPr>
            <w:r w:rsidRPr="00A57E5E">
              <w:rPr>
                <w:rFonts w:cs="Times New Roman"/>
                <w:color w:val="000000"/>
              </w:rPr>
              <w:t>0.5</w:t>
            </w:r>
            <w:r>
              <w:rPr>
                <w:rFonts w:cs="Times New Roman"/>
                <w:color w:val="000000"/>
              </w:rPr>
              <w:t>00</w:t>
            </w:r>
          </w:p>
        </w:tc>
        <w:tc>
          <w:tcPr>
            <w:tcW w:w="1950" w:type="dxa"/>
            <w:shd w:val="clear" w:color="auto" w:fill="auto"/>
            <w:noWrap/>
            <w:vAlign w:val="center"/>
          </w:tcPr>
          <w:p w14:paraId="031B09AC" w14:textId="2EF46F86" w:rsidR="00C32788" w:rsidRPr="00E67096" w:rsidRDefault="00C32788" w:rsidP="00C32788">
            <w:pPr>
              <w:spacing w:after="0" w:line="240" w:lineRule="auto"/>
              <w:jc w:val="center"/>
              <w:rPr>
                <w:rFonts w:eastAsia="Times New Roman" w:cs="Times New Roman"/>
                <w:color w:val="000000"/>
                <w:szCs w:val="24"/>
              </w:rPr>
            </w:pPr>
            <w:r w:rsidRPr="00CC5ED5">
              <w:rPr>
                <w:rFonts w:cs="Times New Roman"/>
                <w:color w:val="000000"/>
                <w:szCs w:val="24"/>
              </w:rPr>
              <w:t>0.7078</w:t>
            </w:r>
          </w:p>
        </w:tc>
        <w:tc>
          <w:tcPr>
            <w:tcW w:w="1949" w:type="dxa"/>
            <w:shd w:val="clear" w:color="auto" w:fill="auto"/>
            <w:noWrap/>
            <w:vAlign w:val="center"/>
          </w:tcPr>
          <w:p w14:paraId="3F4EBD9D" w14:textId="72672A4A" w:rsidR="00C32788" w:rsidRPr="000D2845" w:rsidRDefault="00C32788" w:rsidP="00C32788">
            <w:pPr>
              <w:spacing w:after="0" w:line="240" w:lineRule="auto"/>
              <w:jc w:val="center"/>
              <w:rPr>
                <w:rFonts w:eastAsia="Times New Roman" w:cs="Times New Roman"/>
                <w:color w:val="000000"/>
                <w:szCs w:val="24"/>
              </w:rPr>
            </w:pPr>
            <w:r>
              <w:rPr>
                <w:color w:val="000000"/>
              </w:rPr>
              <w:t>3</w:t>
            </w:r>
          </w:p>
        </w:tc>
        <w:tc>
          <w:tcPr>
            <w:tcW w:w="1950" w:type="dxa"/>
            <w:vAlign w:val="center"/>
          </w:tcPr>
          <w:p w14:paraId="4ACCF75E" w14:textId="563CF531" w:rsidR="00C32788" w:rsidRPr="000D2845" w:rsidRDefault="00C32788" w:rsidP="00C32788">
            <w:pPr>
              <w:spacing w:after="0" w:line="240" w:lineRule="auto"/>
              <w:jc w:val="center"/>
              <w:rPr>
                <w:rFonts w:eastAsia="Times New Roman" w:cs="Times New Roman"/>
                <w:color w:val="000000"/>
                <w:szCs w:val="24"/>
              </w:rPr>
            </w:pPr>
            <w:r w:rsidRPr="00CC5ED5">
              <w:rPr>
                <w:rFonts w:cs="Times New Roman"/>
                <w:color w:val="000000"/>
              </w:rPr>
              <w:t>0.7547</w:t>
            </w:r>
          </w:p>
        </w:tc>
        <w:tc>
          <w:tcPr>
            <w:tcW w:w="1950" w:type="dxa"/>
            <w:vAlign w:val="center"/>
          </w:tcPr>
          <w:p w14:paraId="343ABEFF" w14:textId="7B974C69" w:rsidR="00C32788" w:rsidRPr="000D2845" w:rsidRDefault="00C32788" w:rsidP="00C32788">
            <w:pPr>
              <w:spacing w:after="0" w:line="240" w:lineRule="auto"/>
              <w:jc w:val="center"/>
              <w:rPr>
                <w:rFonts w:eastAsia="Times New Roman" w:cs="Times New Roman"/>
                <w:color w:val="000000"/>
                <w:szCs w:val="24"/>
              </w:rPr>
            </w:pPr>
            <w:r>
              <w:rPr>
                <w:color w:val="000000"/>
              </w:rPr>
              <w:t>3</w:t>
            </w:r>
          </w:p>
        </w:tc>
        <w:tc>
          <w:tcPr>
            <w:tcW w:w="1950" w:type="dxa"/>
            <w:vAlign w:val="center"/>
          </w:tcPr>
          <w:p w14:paraId="4CBDFB0D" w14:textId="765B62C2" w:rsidR="00C32788" w:rsidRPr="000D2845" w:rsidRDefault="00C32788" w:rsidP="00C32788">
            <w:pPr>
              <w:spacing w:after="0" w:line="240" w:lineRule="auto"/>
              <w:jc w:val="center"/>
              <w:rPr>
                <w:rFonts w:eastAsia="Times New Roman" w:cs="Times New Roman"/>
                <w:color w:val="000000"/>
                <w:szCs w:val="24"/>
              </w:rPr>
            </w:pPr>
            <w:r>
              <w:rPr>
                <w:color w:val="000000"/>
              </w:rPr>
              <w:t>0</w:t>
            </w:r>
          </w:p>
        </w:tc>
      </w:tr>
      <w:tr w:rsidR="00A15C2C" w14:paraId="5F6518B5" w14:textId="77777777" w:rsidTr="0055589E">
        <w:trPr>
          <w:trHeight w:val="310"/>
          <w:jc w:val="center"/>
        </w:trPr>
        <w:tc>
          <w:tcPr>
            <w:tcW w:w="1488" w:type="dxa"/>
            <w:shd w:val="clear" w:color="auto" w:fill="auto"/>
            <w:noWrap/>
            <w:vAlign w:val="bottom"/>
          </w:tcPr>
          <w:p w14:paraId="6C06E0AE" w14:textId="77777777" w:rsidR="002A344B" w:rsidRPr="000D2845" w:rsidRDefault="000F5B51" w:rsidP="002A344B">
            <w:pPr>
              <w:spacing w:after="0" w:line="240" w:lineRule="auto"/>
              <w:rPr>
                <w:rFonts w:eastAsia="Times New Roman" w:cs="Times New Roman"/>
                <w:b/>
                <w:color w:val="000000"/>
                <w:sz w:val="23"/>
                <w:szCs w:val="23"/>
              </w:rPr>
            </w:pPr>
            <w:r w:rsidRPr="000D2845">
              <w:rPr>
                <w:rFonts w:eastAsia="Times New Roman" w:cs="Times New Roman"/>
                <w:b/>
                <w:color w:val="000000"/>
                <w:sz w:val="23"/>
                <w:szCs w:val="23"/>
              </w:rPr>
              <w:t>Non-Fatal Injuries</w:t>
            </w:r>
          </w:p>
          <w:p w14:paraId="5EE651C5" w14:textId="77777777" w:rsidR="002A344B" w:rsidRPr="000D2845" w:rsidRDefault="000F5B51" w:rsidP="002A344B">
            <w:pPr>
              <w:spacing w:after="0" w:line="240" w:lineRule="auto"/>
              <w:rPr>
                <w:rFonts w:eastAsia="Times New Roman" w:cs="Times New Roman"/>
                <w:b/>
                <w:color w:val="000000"/>
                <w:szCs w:val="24"/>
              </w:rPr>
            </w:pPr>
            <w:r w:rsidRPr="000D2845">
              <w:rPr>
                <w:rFonts w:eastAsia="Times New Roman" w:cs="Times New Roman"/>
                <w:b/>
                <w:color w:val="000000"/>
                <w:sz w:val="23"/>
                <w:szCs w:val="23"/>
              </w:rPr>
              <w:t>(MAIS 1-5)</w:t>
            </w:r>
          </w:p>
        </w:tc>
        <w:tc>
          <w:tcPr>
            <w:tcW w:w="1949" w:type="dxa"/>
            <w:vAlign w:val="center"/>
          </w:tcPr>
          <w:p w14:paraId="44DBD566" w14:textId="2AE8AE2E" w:rsidR="002A344B" w:rsidRPr="000D2845" w:rsidRDefault="00CA5C2D">
            <w:pPr>
              <w:spacing w:after="0" w:line="240" w:lineRule="auto"/>
              <w:jc w:val="center"/>
              <w:rPr>
                <w:rFonts w:cs="Times New Roman"/>
                <w:b/>
                <w:color w:val="000000"/>
                <w:szCs w:val="24"/>
              </w:rPr>
            </w:pPr>
            <w:r>
              <w:rPr>
                <w:rFonts w:cs="Times New Roman"/>
                <w:b/>
                <w:color w:val="000000"/>
                <w:szCs w:val="24"/>
              </w:rPr>
              <w:t>5,1</w:t>
            </w:r>
            <w:r w:rsidR="000A551C">
              <w:rPr>
                <w:rFonts w:cs="Times New Roman"/>
                <w:b/>
                <w:color w:val="000000"/>
                <w:szCs w:val="24"/>
              </w:rPr>
              <w:t>89</w:t>
            </w:r>
          </w:p>
        </w:tc>
        <w:tc>
          <w:tcPr>
            <w:tcW w:w="1950" w:type="dxa"/>
            <w:shd w:val="clear" w:color="auto" w:fill="auto"/>
            <w:noWrap/>
            <w:vAlign w:val="center"/>
          </w:tcPr>
          <w:p w14:paraId="409673EF" w14:textId="77777777" w:rsidR="002A344B" w:rsidRPr="0055589E" w:rsidRDefault="000F5B51" w:rsidP="002A344B">
            <w:pPr>
              <w:spacing w:after="0" w:line="240" w:lineRule="auto"/>
              <w:jc w:val="center"/>
              <w:rPr>
                <w:rFonts w:cs="Times New Roman"/>
                <w:b/>
                <w:bCs/>
                <w:color w:val="000000"/>
                <w:szCs w:val="24"/>
              </w:rPr>
            </w:pPr>
            <w:r w:rsidRPr="0055589E">
              <w:rPr>
                <w:rFonts w:cs="Times New Roman"/>
                <w:b/>
                <w:bCs/>
                <w:color w:val="000000"/>
                <w:szCs w:val="24"/>
              </w:rPr>
              <w:t>-</w:t>
            </w:r>
          </w:p>
        </w:tc>
        <w:tc>
          <w:tcPr>
            <w:tcW w:w="1950" w:type="dxa"/>
            <w:shd w:val="clear" w:color="auto" w:fill="auto"/>
            <w:noWrap/>
            <w:vAlign w:val="center"/>
          </w:tcPr>
          <w:p w14:paraId="66EA7568" w14:textId="77777777" w:rsidR="002A344B" w:rsidRPr="0055589E" w:rsidRDefault="000F5B51" w:rsidP="002A344B">
            <w:pPr>
              <w:spacing w:after="0" w:line="240" w:lineRule="auto"/>
              <w:jc w:val="center"/>
              <w:rPr>
                <w:rFonts w:cs="Times New Roman"/>
                <w:b/>
                <w:bCs/>
                <w:color w:val="000000"/>
                <w:szCs w:val="24"/>
              </w:rPr>
            </w:pPr>
            <w:r w:rsidRPr="0055589E">
              <w:rPr>
                <w:rFonts w:cs="Times New Roman"/>
                <w:b/>
                <w:bCs/>
                <w:color w:val="000000"/>
                <w:szCs w:val="24"/>
              </w:rPr>
              <w:t>-</w:t>
            </w:r>
          </w:p>
        </w:tc>
        <w:tc>
          <w:tcPr>
            <w:tcW w:w="1949" w:type="dxa"/>
            <w:shd w:val="clear" w:color="auto" w:fill="auto"/>
            <w:noWrap/>
            <w:vAlign w:val="center"/>
          </w:tcPr>
          <w:p w14:paraId="4BA711F7" w14:textId="3B6EDE5F" w:rsidR="002A344B" w:rsidRPr="0055589E" w:rsidRDefault="00B51C96" w:rsidP="002A344B">
            <w:pPr>
              <w:spacing w:after="0" w:line="240" w:lineRule="auto"/>
              <w:jc w:val="center"/>
              <w:rPr>
                <w:rFonts w:cs="Times New Roman"/>
                <w:b/>
                <w:bCs/>
                <w:color w:val="000000"/>
                <w:szCs w:val="24"/>
              </w:rPr>
            </w:pPr>
            <w:r>
              <w:rPr>
                <w:rFonts w:cs="Times New Roman"/>
                <w:b/>
                <w:bCs/>
                <w:color w:val="000000"/>
                <w:szCs w:val="24"/>
              </w:rPr>
              <w:t>1,004</w:t>
            </w:r>
          </w:p>
        </w:tc>
        <w:tc>
          <w:tcPr>
            <w:tcW w:w="1950" w:type="dxa"/>
            <w:vAlign w:val="center"/>
          </w:tcPr>
          <w:p w14:paraId="6368FBE2" w14:textId="77777777" w:rsidR="002A344B" w:rsidRPr="0055589E" w:rsidRDefault="000F5B51" w:rsidP="002A344B">
            <w:pPr>
              <w:spacing w:after="0" w:line="240" w:lineRule="auto"/>
              <w:jc w:val="center"/>
              <w:rPr>
                <w:rFonts w:cs="Times New Roman"/>
                <w:b/>
                <w:bCs/>
                <w:color w:val="000000"/>
                <w:szCs w:val="24"/>
              </w:rPr>
            </w:pPr>
            <w:r w:rsidRPr="0055589E">
              <w:rPr>
                <w:rFonts w:cs="Times New Roman"/>
                <w:b/>
                <w:bCs/>
                <w:color w:val="000000"/>
                <w:szCs w:val="24"/>
              </w:rPr>
              <w:t>-</w:t>
            </w:r>
          </w:p>
        </w:tc>
        <w:tc>
          <w:tcPr>
            <w:tcW w:w="1950" w:type="dxa"/>
            <w:vAlign w:val="center"/>
          </w:tcPr>
          <w:p w14:paraId="4D93EE0F" w14:textId="2755BD2D" w:rsidR="002A344B" w:rsidRPr="0055589E" w:rsidRDefault="00C32788" w:rsidP="002A344B">
            <w:pPr>
              <w:spacing w:after="0" w:line="240" w:lineRule="auto"/>
              <w:jc w:val="center"/>
              <w:rPr>
                <w:rFonts w:cs="Times New Roman"/>
                <w:b/>
                <w:bCs/>
                <w:color w:val="000000"/>
                <w:szCs w:val="24"/>
              </w:rPr>
            </w:pPr>
            <w:r>
              <w:rPr>
                <w:rFonts w:cs="Times New Roman"/>
                <w:b/>
                <w:bCs/>
                <w:color w:val="000000"/>
                <w:szCs w:val="24"/>
              </w:rPr>
              <w:t>1,071</w:t>
            </w:r>
          </w:p>
        </w:tc>
        <w:tc>
          <w:tcPr>
            <w:tcW w:w="1950" w:type="dxa"/>
            <w:vAlign w:val="center"/>
          </w:tcPr>
          <w:p w14:paraId="3F2090F0" w14:textId="1F4738F2" w:rsidR="002A344B" w:rsidRPr="0055589E" w:rsidRDefault="00C32788" w:rsidP="002A344B">
            <w:pPr>
              <w:spacing w:after="0" w:line="240" w:lineRule="auto"/>
              <w:jc w:val="center"/>
              <w:rPr>
                <w:rFonts w:cs="Times New Roman"/>
                <w:b/>
                <w:bCs/>
                <w:color w:val="000000"/>
                <w:szCs w:val="24"/>
              </w:rPr>
            </w:pPr>
            <w:r>
              <w:rPr>
                <w:rFonts w:cs="Times New Roman"/>
                <w:b/>
                <w:bCs/>
                <w:color w:val="000000"/>
                <w:szCs w:val="24"/>
              </w:rPr>
              <w:t>67</w:t>
            </w:r>
          </w:p>
        </w:tc>
      </w:tr>
      <w:tr w:rsidR="00A15C2C" w14:paraId="015AF454" w14:textId="77777777" w:rsidTr="0055589E">
        <w:trPr>
          <w:trHeight w:val="310"/>
          <w:jc w:val="center"/>
        </w:trPr>
        <w:tc>
          <w:tcPr>
            <w:tcW w:w="1488" w:type="dxa"/>
            <w:shd w:val="clear" w:color="auto" w:fill="auto"/>
            <w:noWrap/>
            <w:vAlign w:val="bottom"/>
            <w:hideMark/>
          </w:tcPr>
          <w:p w14:paraId="4471C992" w14:textId="77777777" w:rsidR="00BC5EE7" w:rsidRPr="000D2845" w:rsidRDefault="000F5B51" w:rsidP="00BC5EE7">
            <w:pPr>
              <w:spacing w:after="0" w:line="240" w:lineRule="auto"/>
              <w:rPr>
                <w:rFonts w:eastAsia="Times New Roman" w:cs="Times New Roman"/>
                <w:b/>
                <w:color w:val="000000"/>
                <w:szCs w:val="24"/>
              </w:rPr>
            </w:pPr>
            <w:r w:rsidRPr="000D2845">
              <w:rPr>
                <w:rFonts w:eastAsia="Times New Roman" w:cs="Times New Roman"/>
                <w:b/>
                <w:color w:val="000000"/>
                <w:szCs w:val="24"/>
              </w:rPr>
              <w:t>Fatality</w:t>
            </w:r>
          </w:p>
        </w:tc>
        <w:tc>
          <w:tcPr>
            <w:tcW w:w="1949" w:type="dxa"/>
            <w:vAlign w:val="center"/>
          </w:tcPr>
          <w:p w14:paraId="5C4EBC81" w14:textId="77777777" w:rsidR="00BC5EE7" w:rsidRPr="000D2845" w:rsidRDefault="000F5B51" w:rsidP="00BC5EE7">
            <w:pPr>
              <w:spacing w:after="0" w:line="240" w:lineRule="auto"/>
              <w:jc w:val="center"/>
              <w:rPr>
                <w:rFonts w:cs="Times New Roman"/>
                <w:b/>
                <w:color w:val="000000"/>
                <w:szCs w:val="24"/>
              </w:rPr>
            </w:pPr>
            <w:r w:rsidRPr="0055589E">
              <w:rPr>
                <w:rFonts w:cs="Times New Roman"/>
                <w:b/>
                <w:bCs/>
                <w:color w:val="000000"/>
              </w:rPr>
              <w:t>751</w:t>
            </w:r>
          </w:p>
        </w:tc>
        <w:tc>
          <w:tcPr>
            <w:tcW w:w="1950" w:type="dxa"/>
            <w:shd w:val="clear" w:color="auto" w:fill="auto"/>
            <w:noWrap/>
            <w:vAlign w:val="center"/>
          </w:tcPr>
          <w:p w14:paraId="53A2923B" w14:textId="77777777" w:rsidR="00BC5EE7" w:rsidRPr="000D2845" w:rsidRDefault="000F5B51" w:rsidP="00BC5EE7">
            <w:pPr>
              <w:spacing w:after="0" w:line="240" w:lineRule="auto"/>
              <w:jc w:val="center"/>
              <w:rPr>
                <w:rFonts w:eastAsia="Times New Roman" w:cs="Times New Roman"/>
                <w:b/>
                <w:color w:val="000000"/>
                <w:szCs w:val="24"/>
              </w:rPr>
            </w:pPr>
            <w:r w:rsidRPr="00A57E5E">
              <w:rPr>
                <w:rFonts w:cs="Times New Roman"/>
                <w:b/>
                <w:bCs/>
                <w:color w:val="000000"/>
              </w:rPr>
              <w:t>0.44</w:t>
            </w:r>
            <w:r w:rsidR="00CB07AD">
              <w:rPr>
                <w:rFonts w:cs="Times New Roman"/>
                <w:b/>
                <w:bCs/>
                <w:color w:val="000000"/>
              </w:rPr>
              <w:t>0</w:t>
            </w:r>
          </w:p>
        </w:tc>
        <w:tc>
          <w:tcPr>
            <w:tcW w:w="1950" w:type="dxa"/>
            <w:shd w:val="clear" w:color="auto" w:fill="auto"/>
            <w:noWrap/>
            <w:vAlign w:val="center"/>
          </w:tcPr>
          <w:p w14:paraId="1ED0B475" w14:textId="03693DA2" w:rsidR="00BC5EE7" w:rsidRPr="0055589E" w:rsidRDefault="000F5B51" w:rsidP="0055589E">
            <w:pPr>
              <w:spacing w:after="0" w:line="240" w:lineRule="auto"/>
              <w:jc w:val="center"/>
              <w:rPr>
                <w:rFonts w:cs="Times New Roman"/>
                <w:b/>
                <w:bCs/>
                <w:color w:val="000000"/>
                <w:szCs w:val="24"/>
              </w:rPr>
            </w:pPr>
            <w:r w:rsidRPr="0055589E">
              <w:rPr>
                <w:rFonts w:cs="Times New Roman"/>
                <w:b/>
                <w:bCs/>
                <w:color w:val="000000"/>
                <w:szCs w:val="24"/>
              </w:rPr>
              <w:t>0.6127</w:t>
            </w:r>
          </w:p>
        </w:tc>
        <w:tc>
          <w:tcPr>
            <w:tcW w:w="1949" w:type="dxa"/>
            <w:shd w:val="clear" w:color="auto" w:fill="auto"/>
            <w:noWrap/>
            <w:vAlign w:val="center"/>
          </w:tcPr>
          <w:p w14:paraId="47A7A9DF" w14:textId="61AB4B01" w:rsidR="00BC5EE7" w:rsidRPr="00897AED" w:rsidRDefault="000F5B51" w:rsidP="00BC5EE7">
            <w:pPr>
              <w:spacing w:after="0" w:line="240" w:lineRule="auto"/>
              <w:jc w:val="center"/>
              <w:rPr>
                <w:rFonts w:cs="Times New Roman"/>
                <w:b/>
                <w:bCs/>
                <w:color w:val="000000"/>
              </w:rPr>
            </w:pPr>
            <w:r w:rsidRPr="00A57E5E">
              <w:rPr>
                <w:rFonts w:cs="Times New Roman"/>
                <w:b/>
                <w:bCs/>
                <w:color w:val="000000"/>
              </w:rPr>
              <w:t>202</w:t>
            </w:r>
          </w:p>
        </w:tc>
        <w:tc>
          <w:tcPr>
            <w:tcW w:w="1950" w:type="dxa"/>
            <w:vAlign w:val="bottom"/>
          </w:tcPr>
          <w:p w14:paraId="062CA0CA" w14:textId="07A86159" w:rsidR="00BC5EE7" w:rsidRPr="000D2845" w:rsidRDefault="000F5B51" w:rsidP="00BC5EE7">
            <w:pPr>
              <w:spacing w:after="0" w:line="240" w:lineRule="auto"/>
              <w:jc w:val="center"/>
              <w:rPr>
                <w:rFonts w:eastAsia="Times New Roman" w:cs="Times New Roman"/>
                <w:b/>
                <w:color w:val="000000"/>
                <w:szCs w:val="24"/>
              </w:rPr>
            </w:pPr>
            <w:r w:rsidRPr="0055589E">
              <w:rPr>
                <w:rFonts w:cs="Times New Roman"/>
                <w:b/>
                <w:bCs/>
                <w:color w:val="000000"/>
              </w:rPr>
              <w:t>0.653</w:t>
            </w:r>
            <w:r w:rsidR="00DC3E2A">
              <w:rPr>
                <w:rFonts w:cs="Times New Roman"/>
                <w:b/>
                <w:bCs/>
                <w:color w:val="000000"/>
              </w:rPr>
              <w:t>3</w:t>
            </w:r>
          </w:p>
        </w:tc>
        <w:tc>
          <w:tcPr>
            <w:tcW w:w="1950" w:type="dxa"/>
            <w:vAlign w:val="center"/>
          </w:tcPr>
          <w:p w14:paraId="79211183" w14:textId="4B3BA52C" w:rsidR="00BC5EE7" w:rsidRPr="000D2845" w:rsidRDefault="000F5B51" w:rsidP="00BC5EE7">
            <w:pPr>
              <w:spacing w:after="0" w:line="240" w:lineRule="auto"/>
              <w:jc w:val="center"/>
              <w:rPr>
                <w:rFonts w:eastAsia="Times New Roman" w:cs="Times New Roman"/>
                <w:b/>
                <w:color w:val="000000"/>
                <w:szCs w:val="24"/>
              </w:rPr>
            </w:pPr>
            <w:r w:rsidRPr="00A57E5E">
              <w:rPr>
                <w:rFonts w:cs="Times New Roman"/>
                <w:b/>
                <w:bCs/>
                <w:color w:val="000000"/>
              </w:rPr>
              <w:t>216</w:t>
            </w:r>
          </w:p>
        </w:tc>
        <w:tc>
          <w:tcPr>
            <w:tcW w:w="1950" w:type="dxa"/>
            <w:vAlign w:val="center"/>
          </w:tcPr>
          <w:p w14:paraId="04A9CE46" w14:textId="4CB808EF" w:rsidR="00BC5EE7" w:rsidRPr="000D2845" w:rsidRDefault="000F5B51" w:rsidP="00BC5EE7">
            <w:pPr>
              <w:spacing w:after="0" w:line="240" w:lineRule="auto"/>
              <w:jc w:val="center"/>
              <w:rPr>
                <w:rFonts w:eastAsia="Times New Roman" w:cs="Times New Roman"/>
                <w:b/>
                <w:color w:val="000000"/>
                <w:szCs w:val="24"/>
              </w:rPr>
            </w:pPr>
            <w:r w:rsidRPr="00A57E5E">
              <w:rPr>
                <w:rFonts w:cs="Times New Roman"/>
                <w:b/>
                <w:bCs/>
                <w:color w:val="000000"/>
              </w:rPr>
              <w:t>13</w:t>
            </w:r>
          </w:p>
        </w:tc>
      </w:tr>
      <w:tr w:rsidR="00A15C2C" w14:paraId="7547AC25" w14:textId="77777777" w:rsidTr="00800C73">
        <w:trPr>
          <w:trHeight w:val="310"/>
          <w:jc w:val="center"/>
        </w:trPr>
        <w:tc>
          <w:tcPr>
            <w:tcW w:w="15136" w:type="dxa"/>
            <w:gridSpan w:val="8"/>
            <w:shd w:val="clear" w:color="auto" w:fill="D9D9D9" w:themeFill="background1" w:themeFillShade="D9"/>
            <w:noWrap/>
            <w:vAlign w:val="bottom"/>
          </w:tcPr>
          <w:p w14:paraId="195BE407" w14:textId="77777777" w:rsidR="00412F25" w:rsidRPr="00897AED" w:rsidRDefault="000F5B51" w:rsidP="00412F25">
            <w:pPr>
              <w:spacing w:after="0" w:line="240" w:lineRule="auto"/>
              <w:jc w:val="center"/>
              <w:rPr>
                <w:rFonts w:cs="Times New Roman"/>
                <w:b/>
                <w:bCs/>
                <w:i/>
                <w:iCs/>
                <w:color w:val="000000"/>
              </w:rPr>
            </w:pPr>
            <w:r w:rsidRPr="00A57E5E">
              <w:rPr>
                <w:rFonts w:cs="Times New Roman"/>
                <w:b/>
                <w:bCs/>
                <w:i/>
                <w:iCs/>
                <w:color w:val="000000"/>
              </w:rPr>
              <w:t>Light Trucks</w:t>
            </w:r>
          </w:p>
        </w:tc>
      </w:tr>
      <w:tr w:rsidR="00C85315" w14:paraId="00D2BAEF" w14:textId="77777777" w:rsidTr="0055589E">
        <w:trPr>
          <w:trHeight w:val="310"/>
          <w:jc w:val="center"/>
        </w:trPr>
        <w:tc>
          <w:tcPr>
            <w:tcW w:w="1488" w:type="dxa"/>
            <w:shd w:val="clear" w:color="auto" w:fill="auto"/>
            <w:noWrap/>
            <w:vAlign w:val="bottom"/>
            <w:hideMark/>
          </w:tcPr>
          <w:p w14:paraId="59A3F758" w14:textId="77777777" w:rsidR="00C85315" w:rsidRPr="000D2845" w:rsidRDefault="00C85315" w:rsidP="00C85315">
            <w:pPr>
              <w:spacing w:after="0" w:line="240" w:lineRule="auto"/>
              <w:rPr>
                <w:rFonts w:eastAsia="Times New Roman" w:cs="Times New Roman"/>
                <w:color w:val="000000"/>
                <w:szCs w:val="24"/>
              </w:rPr>
            </w:pPr>
            <w:r w:rsidRPr="000D2845">
              <w:rPr>
                <w:rFonts w:eastAsia="Times New Roman" w:cs="Times New Roman"/>
                <w:color w:val="000000"/>
                <w:szCs w:val="24"/>
              </w:rPr>
              <w:t>MAIS 1</w:t>
            </w:r>
          </w:p>
        </w:tc>
        <w:tc>
          <w:tcPr>
            <w:tcW w:w="1949" w:type="dxa"/>
            <w:vAlign w:val="center"/>
          </w:tcPr>
          <w:p w14:paraId="0254E2C8" w14:textId="0A606E57" w:rsidR="00C85315" w:rsidRPr="000D2845" w:rsidRDefault="00C85315" w:rsidP="00C85315">
            <w:pPr>
              <w:spacing w:after="0" w:line="240" w:lineRule="auto"/>
              <w:jc w:val="center"/>
              <w:rPr>
                <w:rFonts w:cs="Times New Roman"/>
                <w:color w:val="000000"/>
                <w:szCs w:val="24"/>
              </w:rPr>
            </w:pPr>
            <w:r>
              <w:rPr>
                <w:rFonts w:cs="Times New Roman"/>
                <w:color w:val="000000"/>
              </w:rPr>
              <w:t>1,896</w:t>
            </w:r>
          </w:p>
        </w:tc>
        <w:tc>
          <w:tcPr>
            <w:tcW w:w="1950" w:type="dxa"/>
            <w:shd w:val="clear" w:color="auto" w:fill="auto"/>
            <w:noWrap/>
            <w:vAlign w:val="center"/>
          </w:tcPr>
          <w:p w14:paraId="0D8CD725" w14:textId="77777777" w:rsidR="00C85315" w:rsidRPr="000D2845" w:rsidRDefault="00C85315" w:rsidP="00C85315">
            <w:pPr>
              <w:spacing w:after="0" w:line="240" w:lineRule="auto"/>
              <w:jc w:val="center"/>
              <w:rPr>
                <w:rFonts w:eastAsia="Times New Roman" w:cs="Times New Roman"/>
                <w:color w:val="000000"/>
                <w:szCs w:val="24"/>
              </w:rPr>
            </w:pPr>
            <w:r w:rsidRPr="00A57E5E">
              <w:rPr>
                <w:rFonts w:cs="Times New Roman"/>
                <w:color w:val="000000"/>
              </w:rPr>
              <w:t>0.055</w:t>
            </w:r>
          </w:p>
        </w:tc>
        <w:tc>
          <w:tcPr>
            <w:tcW w:w="1950" w:type="dxa"/>
            <w:shd w:val="clear" w:color="auto" w:fill="auto"/>
            <w:noWrap/>
            <w:vAlign w:val="center"/>
          </w:tcPr>
          <w:p w14:paraId="6F265AAB" w14:textId="3075AB97" w:rsidR="00C85315" w:rsidRPr="00E67096" w:rsidRDefault="00C85315" w:rsidP="00C85315">
            <w:pPr>
              <w:spacing w:after="0" w:line="240" w:lineRule="auto"/>
              <w:jc w:val="center"/>
              <w:rPr>
                <w:rFonts w:eastAsia="Times New Roman" w:cs="Times New Roman"/>
                <w:color w:val="000000"/>
                <w:szCs w:val="24"/>
              </w:rPr>
            </w:pPr>
            <w:r w:rsidRPr="00CC5ED5">
              <w:rPr>
                <w:rFonts w:cs="Times New Roman"/>
                <w:color w:val="000000"/>
                <w:szCs w:val="24"/>
              </w:rPr>
              <w:t>0.7078</w:t>
            </w:r>
          </w:p>
        </w:tc>
        <w:tc>
          <w:tcPr>
            <w:tcW w:w="1949" w:type="dxa"/>
            <w:shd w:val="clear" w:color="auto" w:fill="auto"/>
            <w:noWrap/>
            <w:vAlign w:val="center"/>
          </w:tcPr>
          <w:p w14:paraId="2D7133C1" w14:textId="2D448B3C" w:rsidR="00C85315" w:rsidRPr="000D2845" w:rsidRDefault="00C85315" w:rsidP="00C85315">
            <w:pPr>
              <w:spacing w:after="0" w:line="240" w:lineRule="auto"/>
              <w:jc w:val="center"/>
              <w:rPr>
                <w:rFonts w:eastAsia="Times New Roman" w:cs="Times New Roman"/>
                <w:color w:val="000000"/>
                <w:szCs w:val="24"/>
              </w:rPr>
            </w:pPr>
            <w:r>
              <w:rPr>
                <w:color w:val="000000"/>
              </w:rPr>
              <w:t>74</w:t>
            </w:r>
          </w:p>
        </w:tc>
        <w:tc>
          <w:tcPr>
            <w:tcW w:w="1950" w:type="dxa"/>
            <w:vAlign w:val="center"/>
          </w:tcPr>
          <w:p w14:paraId="6ADB40A9" w14:textId="08E1CEBD" w:rsidR="00C85315" w:rsidRPr="000D2845" w:rsidRDefault="00C85315" w:rsidP="00C85315">
            <w:pPr>
              <w:spacing w:after="0" w:line="240" w:lineRule="auto"/>
              <w:jc w:val="center"/>
              <w:rPr>
                <w:rFonts w:eastAsia="Times New Roman" w:cs="Times New Roman"/>
                <w:color w:val="000000"/>
                <w:szCs w:val="24"/>
              </w:rPr>
            </w:pPr>
            <w:r w:rsidRPr="00CC5ED5">
              <w:rPr>
                <w:rFonts w:cs="Times New Roman"/>
                <w:color w:val="000000"/>
              </w:rPr>
              <w:t>0.7547</w:t>
            </w:r>
          </w:p>
        </w:tc>
        <w:tc>
          <w:tcPr>
            <w:tcW w:w="1950" w:type="dxa"/>
            <w:vAlign w:val="center"/>
          </w:tcPr>
          <w:p w14:paraId="784C9385" w14:textId="59C4D4F1" w:rsidR="00C85315" w:rsidRPr="000D2845" w:rsidRDefault="00C85315" w:rsidP="00C85315">
            <w:pPr>
              <w:spacing w:after="0" w:line="240" w:lineRule="auto"/>
              <w:jc w:val="center"/>
              <w:rPr>
                <w:rFonts w:eastAsia="Times New Roman" w:cs="Times New Roman"/>
                <w:color w:val="000000"/>
                <w:szCs w:val="24"/>
              </w:rPr>
            </w:pPr>
            <w:r>
              <w:rPr>
                <w:color w:val="000000"/>
              </w:rPr>
              <w:t>79</w:t>
            </w:r>
          </w:p>
        </w:tc>
        <w:tc>
          <w:tcPr>
            <w:tcW w:w="1950" w:type="dxa"/>
            <w:vAlign w:val="center"/>
          </w:tcPr>
          <w:p w14:paraId="2CC44689" w14:textId="6F2A08CD" w:rsidR="00C85315" w:rsidRPr="000D2845" w:rsidRDefault="00C85315" w:rsidP="00C85315">
            <w:pPr>
              <w:spacing w:after="0" w:line="240" w:lineRule="auto"/>
              <w:jc w:val="center"/>
              <w:rPr>
                <w:rFonts w:eastAsia="Times New Roman" w:cs="Times New Roman"/>
                <w:color w:val="000000"/>
                <w:szCs w:val="24"/>
              </w:rPr>
            </w:pPr>
            <w:r>
              <w:rPr>
                <w:color w:val="000000"/>
              </w:rPr>
              <w:t>5</w:t>
            </w:r>
          </w:p>
        </w:tc>
      </w:tr>
      <w:tr w:rsidR="00C85315" w14:paraId="4AF05B8C" w14:textId="77777777" w:rsidTr="0055589E">
        <w:trPr>
          <w:trHeight w:val="310"/>
          <w:jc w:val="center"/>
        </w:trPr>
        <w:tc>
          <w:tcPr>
            <w:tcW w:w="1488" w:type="dxa"/>
            <w:shd w:val="clear" w:color="auto" w:fill="auto"/>
            <w:noWrap/>
            <w:hideMark/>
          </w:tcPr>
          <w:p w14:paraId="2F5A090A" w14:textId="77777777" w:rsidR="00C85315" w:rsidRPr="000D2845" w:rsidRDefault="00C85315" w:rsidP="00C85315">
            <w:pPr>
              <w:spacing w:after="0" w:line="240" w:lineRule="auto"/>
              <w:rPr>
                <w:rFonts w:eastAsia="Times New Roman" w:cs="Times New Roman"/>
                <w:color w:val="000000"/>
                <w:szCs w:val="24"/>
              </w:rPr>
            </w:pPr>
            <w:r w:rsidRPr="000D2845">
              <w:rPr>
                <w:rFonts w:eastAsia="Times New Roman" w:cs="Times New Roman"/>
                <w:color w:val="000000"/>
                <w:szCs w:val="24"/>
              </w:rPr>
              <w:t>MAIS 2</w:t>
            </w:r>
          </w:p>
        </w:tc>
        <w:tc>
          <w:tcPr>
            <w:tcW w:w="1949" w:type="dxa"/>
            <w:vAlign w:val="center"/>
          </w:tcPr>
          <w:p w14:paraId="2C19908A" w14:textId="3AA085DA" w:rsidR="00C85315" w:rsidRPr="000D2845" w:rsidRDefault="00C85315" w:rsidP="00C85315">
            <w:pPr>
              <w:spacing w:after="0" w:line="240" w:lineRule="auto"/>
              <w:jc w:val="center"/>
              <w:rPr>
                <w:rFonts w:cs="Times New Roman"/>
                <w:color w:val="000000"/>
                <w:szCs w:val="24"/>
              </w:rPr>
            </w:pPr>
            <w:r>
              <w:rPr>
                <w:rFonts w:cs="Times New Roman"/>
                <w:color w:val="000000"/>
              </w:rPr>
              <w:t>958</w:t>
            </w:r>
          </w:p>
        </w:tc>
        <w:tc>
          <w:tcPr>
            <w:tcW w:w="1950" w:type="dxa"/>
            <w:shd w:val="clear" w:color="auto" w:fill="auto"/>
            <w:noWrap/>
            <w:vAlign w:val="center"/>
          </w:tcPr>
          <w:p w14:paraId="6BCABD2F" w14:textId="77777777" w:rsidR="00C85315" w:rsidRPr="000D2845" w:rsidRDefault="00C85315" w:rsidP="00C85315">
            <w:pPr>
              <w:spacing w:after="0" w:line="240" w:lineRule="auto"/>
              <w:jc w:val="center"/>
              <w:rPr>
                <w:rFonts w:eastAsia="Times New Roman" w:cs="Times New Roman"/>
                <w:color w:val="000000"/>
                <w:szCs w:val="24"/>
              </w:rPr>
            </w:pPr>
            <w:r w:rsidRPr="00A57E5E">
              <w:rPr>
                <w:rFonts w:cs="Times New Roman"/>
                <w:color w:val="000000"/>
              </w:rPr>
              <w:t>0.5</w:t>
            </w:r>
            <w:r>
              <w:rPr>
                <w:rFonts w:cs="Times New Roman"/>
                <w:color w:val="000000"/>
              </w:rPr>
              <w:t>00</w:t>
            </w:r>
          </w:p>
        </w:tc>
        <w:tc>
          <w:tcPr>
            <w:tcW w:w="1950" w:type="dxa"/>
            <w:shd w:val="clear" w:color="auto" w:fill="auto"/>
            <w:noWrap/>
            <w:vAlign w:val="center"/>
          </w:tcPr>
          <w:p w14:paraId="5BC89B5D" w14:textId="3B3BCCE5" w:rsidR="00C85315" w:rsidRPr="00E67096" w:rsidRDefault="00C85315" w:rsidP="00C85315">
            <w:pPr>
              <w:spacing w:after="0" w:line="240" w:lineRule="auto"/>
              <w:jc w:val="center"/>
              <w:rPr>
                <w:rFonts w:eastAsia="Times New Roman" w:cs="Times New Roman"/>
                <w:color w:val="000000"/>
                <w:szCs w:val="24"/>
              </w:rPr>
            </w:pPr>
            <w:r w:rsidRPr="00CC5ED5">
              <w:rPr>
                <w:rFonts w:cs="Times New Roman"/>
                <w:color w:val="000000"/>
                <w:szCs w:val="24"/>
              </w:rPr>
              <w:t>0.7078</w:t>
            </w:r>
          </w:p>
        </w:tc>
        <w:tc>
          <w:tcPr>
            <w:tcW w:w="1949" w:type="dxa"/>
            <w:shd w:val="clear" w:color="auto" w:fill="auto"/>
            <w:noWrap/>
            <w:vAlign w:val="center"/>
          </w:tcPr>
          <w:p w14:paraId="39FD1494" w14:textId="003038B9" w:rsidR="00C85315" w:rsidRPr="000D2845" w:rsidRDefault="00C85315" w:rsidP="00C85315">
            <w:pPr>
              <w:spacing w:after="0" w:line="240" w:lineRule="auto"/>
              <w:jc w:val="center"/>
              <w:rPr>
                <w:rFonts w:eastAsia="Times New Roman" w:cs="Times New Roman"/>
                <w:color w:val="000000"/>
                <w:szCs w:val="24"/>
              </w:rPr>
            </w:pPr>
            <w:r>
              <w:rPr>
                <w:color w:val="000000"/>
              </w:rPr>
              <w:t>339</w:t>
            </w:r>
          </w:p>
        </w:tc>
        <w:tc>
          <w:tcPr>
            <w:tcW w:w="1950" w:type="dxa"/>
            <w:vAlign w:val="center"/>
          </w:tcPr>
          <w:p w14:paraId="3D0B4AC8" w14:textId="009C390B" w:rsidR="00C85315" w:rsidRPr="000D2845" w:rsidRDefault="00C85315" w:rsidP="00C85315">
            <w:pPr>
              <w:spacing w:after="0" w:line="240" w:lineRule="auto"/>
              <w:jc w:val="center"/>
              <w:rPr>
                <w:rFonts w:eastAsia="Times New Roman" w:cs="Times New Roman"/>
                <w:color w:val="000000"/>
                <w:szCs w:val="24"/>
              </w:rPr>
            </w:pPr>
            <w:r w:rsidRPr="00CC5ED5">
              <w:rPr>
                <w:rFonts w:cs="Times New Roman"/>
                <w:color w:val="000000"/>
              </w:rPr>
              <w:t>0.7547</w:t>
            </w:r>
          </w:p>
        </w:tc>
        <w:tc>
          <w:tcPr>
            <w:tcW w:w="1950" w:type="dxa"/>
            <w:vAlign w:val="center"/>
          </w:tcPr>
          <w:p w14:paraId="7540AC66" w14:textId="0445166B" w:rsidR="00C85315" w:rsidRPr="000D2845" w:rsidRDefault="00C85315" w:rsidP="00C85315">
            <w:pPr>
              <w:spacing w:after="0" w:line="240" w:lineRule="auto"/>
              <w:jc w:val="center"/>
              <w:rPr>
                <w:rFonts w:eastAsia="Times New Roman" w:cs="Times New Roman"/>
                <w:color w:val="000000"/>
                <w:szCs w:val="24"/>
              </w:rPr>
            </w:pPr>
            <w:r>
              <w:rPr>
                <w:color w:val="000000"/>
              </w:rPr>
              <w:t>362</w:t>
            </w:r>
          </w:p>
        </w:tc>
        <w:tc>
          <w:tcPr>
            <w:tcW w:w="1950" w:type="dxa"/>
            <w:vAlign w:val="center"/>
          </w:tcPr>
          <w:p w14:paraId="4D22CBC6" w14:textId="6979BBEB" w:rsidR="00C85315" w:rsidRPr="000D2845" w:rsidRDefault="00C85315" w:rsidP="00C85315">
            <w:pPr>
              <w:spacing w:after="0" w:line="240" w:lineRule="auto"/>
              <w:jc w:val="center"/>
              <w:rPr>
                <w:rFonts w:eastAsia="Times New Roman" w:cs="Times New Roman"/>
                <w:color w:val="000000"/>
                <w:szCs w:val="24"/>
              </w:rPr>
            </w:pPr>
            <w:r>
              <w:rPr>
                <w:color w:val="000000"/>
              </w:rPr>
              <w:t>22</w:t>
            </w:r>
          </w:p>
        </w:tc>
      </w:tr>
      <w:tr w:rsidR="00C85315" w14:paraId="3B20EDAC" w14:textId="77777777" w:rsidTr="0055589E">
        <w:trPr>
          <w:trHeight w:val="310"/>
          <w:jc w:val="center"/>
        </w:trPr>
        <w:tc>
          <w:tcPr>
            <w:tcW w:w="1488" w:type="dxa"/>
            <w:shd w:val="clear" w:color="auto" w:fill="auto"/>
            <w:noWrap/>
            <w:hideMark/>
          </w:tcPr>
          <w:p w14:paraId="01F4E3ED" w14:textId="77777777" w:rsidR="00C85315" w:rsidRPr="000D2845" w:rsidRDefault="00C85315" w:rsidP="00C85315">
            <w:pPr>
              <w:spacing w:after="0" w:line="240" w:lineRule="auto"/>
              <w:rPr>
                <w:rFonts w:eastAsia="Times New Roman" w:cs="Times New Roman"/>
                <w:color w:val="000000"/>
                <w:szCs w:val="24"/>
              </w:rPr>
            </w:pPr>
            <w:r w:rsidRPr="000D2845">
              <w:rPr>
                <w:rFonts w:eastAsia="Times New Roman" w:cs="Times New Roman"/>
                <w:color w:val="000000"/>
                <w:szCs w:val="24"/>
              </w:rPr>
              <w:t>MAIS 3</w:t>
            </w:r>
          </w:p>
        </w:tc>
        <w:tc>
          <w:tcPr>
            <w:tcW w:w="1949" w:type="dxa"/>
            <w:vAlign w:val="center"/>
          </w:tcPr>
          <w:p w14:paraId="2AD8BB50" w14:textId="7E2B22C8" w:rsidR="00C85315" w:rsidRPr="000D2845" w:rsidRDefault="00C85315" w:rsidP="00C85315">
            <w:pPr>
              <w:spacing w:after="0" w:line="240" w:lineRule="auto"/>
              <w:jc w:val="center"/>
              <w:rPr>
                <w:rFonts w:cs="Times New Roman"/>
                <w:color w:val="000000"/>
                <w:szCs w:val="24"/>
              </w:rPr>
            </w:pPr>
            <w:r>
              <w:rPr>
                <w:rFonts w:cs="Times New Roman"/>
                <w:color w:val="000000"/>
              </w:rPr>
              <w:t>6</w:t>
            </w:r>
          </w:p>
        </w:tc>
        <w:tc>
          <w:tcPr>
            <w:tcW w:w="1950" w:type="dxa"/>
            <w:shd w:val="clear" w:color="auto" w:fill="auto"/>
            <w:noWrap/>
            <w:vAlign w:val="center"/>
          </w:tcPr>
          <w:p w14:paraId="5796B917" w14:textId="77777777" w:rsidR="00C85315" w:rsidRPr="000D2845" w:rsidRDefault="00C85315" w:rsidP="00C85315">
            <w:pPr>
              <w:spacing w:after="0" w:line="240" w:lineRule="auto"/>
              <w:jc w:val="center"/>
              <w:rPr>
                <w:rFonts w:eastAsia="Times New Roman" w:cs="Times New Roman"/>
                <w:color w:val="000000"/>
                <w:szCs w:val="24"/>
              </w:rPr>
            </w:pPr>
            <w:r w:rsidRPr="00A57E5E">
              <w:rPr>
                <w:rFonts w:cs="Times New Roman"/>
                <w:color w:val="000000"/>
              </w:rPr>
              <w:t>0.5</w:t>
            </w:r>
            <w:r>
              <w:rPr>
                <w:rFonts w:cs="Times New Roman"/>
                <w:color w:val="000000"/>
              </w:rPr>
              <w:t>00</w:t>
            </w:r>
          </w:p>
        </w:tc>
        <w:tc>
          <w:tcPr>
            <w:tcW w:w="1950" w:type="dxa"/>
            <w:shd w:val="clear" w:color="auto" w:fill="auto"/>
            <w:noWrap/>
            <w:vAlign w:val="center"/>
          </w:tcPr>
          <w:p w14:paraId="4C478DB5" w14:textId="57E24FA3" w:rsidR="00C85315" w:rsidRPr="00E67096" w:rsidRDefault="00C85315" w:rsidP="00C85315">
            <w:pPr>
              <w:spacing w:after="0" w:line="240" w:lineRule="auto"/>
              <w:jc w:val="center"/>
              <w:rPr>
                <w:rFonts w:eastAsia="Times New Roman" w:cs="Times New Roman"/>
                <w:color w:val="000000"/>
                <w:szCs w:val="24"/>
              </w:rPr>
            </w:pPr>
            <w:r w:rsidRPr="00CC5ED5">
              <w:rPr>
                <w:rFonts w:cs="Times New Roman"/>
                <w:color w:val="000000"/>
                <w:szCs w:val="24"/>
              </w:rPr>
              <w:t>0.7078</w:t>
            </w:r>
          </w:p>
        </w:tc>
        <w:tc>
          <w:tcPr>
            <w:tcW w:w="1949" w:type="dxa"/>
            <w:shd w:val="clear" w:color="auto" w:fill="auto"/>
            <w:noWrap/>
            <w:vAlign w:val="center"/>
          </w:tcPr>
          <w:p w14:paraId="7014373C" w14:textId="2015F928" w:rsidR="00C85315" w:rsidRPr="000D2845" w:rsidRDefault="00C85315" w:rsidP="00C85315">
            <w:pPr>
              <w:spacing w:after="0" w:line="240" w:lineRule="auto"/>
              <w:jc w:val="center"/>
              <w:rPr>
                <w:rFonts w:eastAsia="Times New Roman" w:cs="Times New Roman"/>
                <w:color w:val="000000"/>
                <w:szCs w:val="24"/>
              </w:rPr>
            </w:pPr>
            <w:r>
              <w:rPr>
                <w:color w:val="000000"/>
              </w:rPr>
              <w:t>2</w:t>
            </w:r>
          </w:p>
        </w:tc>
        <w:tc>
          <w:tcPr>
            <w:tcW w:w="1950" w:type="dxa"/>
            <w:vAlign w:val="center"/>
          </w:tcPr>
          <w:p w14:paraId="5297FADF" w14:textId="6BD7412D" w:rsidR="00C85315" w:rsidRPr="000D2845" w:rsidRDefault="00C85315" w:rsidP="00C85315">
            <w:pPr>
              <w:spacing w:after="0" w:line="240" w:lineRule="auto"/>
              <w:jc w:val="center"/>
              <w:rPr>
                <w:rFonts w:eastAsia="Times New Roman" w:cs="Times New Roman"/>
                <w:color w:val="000000"/>
                <w:szCs w:val="24"/>
              </w:rPr>
            </w:pPr>
            <w:r w:rsidRPr="00CC5ED5">
              <w:rPr>
                <w:rFonts w:cs="Times New Roman"/>
                <w:color w:val="000000"/>
              </w:rPr>
              <w:t>0.7547</w:t>
            </w:r>
          </w:p>
        </w:tc>
        <w:tc>
          <w:tcPr>
            <w:tcW w:w="1950" w:type="dxa"/>
            <w:vAlign w:val="center"/>
          </w:tcPr>
          <w:p w14:paraId="2B802371" w14:textId="3BEC4B71" w:rsidR="00C85315" w:rsidRPr="000D2845" w:rsidRDefault="00C85315" w:rsidP="00C85315">
            <w:pPr>
              <w:spacing w:after="0" w:line="240" w:lineRule="auto"/>
              <w:jc w:val="center"/>
              <w:rPr>
                <w:rFonts w:eastAsia="Times New Roman" w:cs="Times New Roman"/>
                <w:color w:val="000000"/>
                <w:szCs w:val="24"/>
              </w:rPr>
            </w:pPr>
            <w:r>
              <w:rPr>
                <w:color w:val="000000"/>
              </w:rPr>
              <w:t>2</w:t>
            </w:r>
          </w:p>
        </w:tc>
        <w:tc>
          <w:tcPr>
            <w:tcW w:w="1950" w:type="dxa"/>
            <w:tcBorders>
              <w:right w:val="single" w:sz="4" w:space="0" w:color="auto"/>
            </w:tcBorders>
            <w:vAlign w:val="center"/>
          </w:tcPr>
          <w:p w14:paraId="6DDC6523" w14:textId="7316FDB2" w:rsidR="00C85315" w:rsidRPr="000D2845" w:rsidRDefault="00C85315" w:rsidP="00C85315">
            <w:pPr>
              <w:spacing w:after="0" w:line="240" w:lineRule="auto"/>
              <w:jc w:val="center"/>
              <w:rPr>
                <w:rFonts w:eastAsia="Times New Roman" w:cs="Times New Roman"/>
                <w:color w:val="000000"/>
                <w:szCs w:val="24"/>
              </w:rPr>
            </w:pPr>
            <w:r>
              <w:rPr>
                <w:color w:val="000000"/>
              </w:rPr>
              <w:t>0</w:t>
            </w:r>
          </w:p>
        </w:tc>
      </w:tr>
      <w:tr w:rsidR="00C85315" w14:paraId="129DD1D5" w14:textId="77777777" w:rsidTr="0055589E">
        <w:trPr>
          <w:trHeight w:val="310"/>
          <w:jc w:val="center"/>
        </w:trPr>
        <w:tc>
          <w:tcPr>
            <w:tcW w:w="1488" w:type="dxa"/>
            <w:shd w:val="clear" w:color="auto" w:fill="auto"/>
            <w:noWrap/>
            <w:hideMark/>
          </w:tcPr>
          <w:p w14:paraId="794A9FFF" w14:textId="77777777" w:rsidR="00C85315" w:rsidRPr="000D2845" w:rsidRDefault="00C85315" w:rsidP="00C85315">
            <w:pPr>
              <w:spacing w:after="0" w:line="240" w:lineRule="auto"/>
              <w:rPr>
                <w:rFonts w:eastAsia="Times New Roman" w:cs="Times New Roman"/>
                <w:color w:val="000000"/>
                <w:szCs w:val="24"/>
              </w:rPr>
            </w:pPr>
            <w:r w:rsidRPr="000D2845">
              <w:rPr>
                <w:rFonts w:eastAsia="Times New Roman" w:cs="Times New Roman"/>
                <w:color w:val="000000"/>
                <w:szCs w:val="24"/>
              </w:rPr>
              <w:t>MAIS 4</w:t>
            </w:r>
          </w:p>
        </w:tc>
        <w:tc>
          <w:tcPr>
            <w:tcW w:w="1949" w:type="dxa"/>
            <w:vAlign w:val="center"/>
          </w:tcPr>
          <w:p w14:paraId="3EE8E289" w14:textId="540F9916" w:rsidR="00C85315" w:rsidRPr="000D2845" w:rsidRDefault="00C85315" w:rsidP="00C85315">
            <w:pPr>
              <w:spacing w:after="0" w:line="240" w:lineRule="auto"/>
              <w:jc w:val="center"/>
              <w:rPr>
                <w:rFonts w:cs="Times New Roman"/>
                <w:color w:val="000000"/>
                <w:szCs w:val="24"/>
              </w:rPr>
            </w:pPr>
            <w:r>
              <w:rPr>
                <w:rFonts w:cs="Times New Roman"/>
                <w:color w:val="000000"/>
              </w:rPr>
              <w:t>45</w:t>
            </w:r>
          </w:p>
        </w:tc>
        <w:tc>
          <w:tcPr>
            <w:tcW w:w="1950" w:type="dxa"/>
            <w:shd w:val="clear" w:color="auto" w:fill="auto"/>
            <w:noWrap/>
            <w:vAlign w:val="center"/>
          </w:tcPr>
          <w:p w14:paraId="07478700" w14:textId="77777777" w:rsidR="00C85315" w:rsidRPr="000D2845" w:rsidRDefault="00C85315" w:rsidP="00C85315">
            <w:pPr>
              <w:spacing w:after="0" w:line="240" w:lineRule="auto"/>
              <w:jc w:val="center"/>
              <w:rPr>
                <w:rFonts w:eastAsia="Times New Roman" w:cs="Times New Roman"/>
                <w:color w:val="000000"/>
                <w:szCs w:val="24"/>
              </w:rPr>
            </w:pPr>
            <w:r w:rsidRPr="00A57E5E">
              <w:rPr>
                <w:rFonts w:cs="Times New Roman"/>
                <w:color w:val="000000"/>
              </w:rPr>
              <w:t>0.5</w:t>
            </w:r>
            <w:r>
              <w:rPr>
                <w:rFonts w:cs="Times New Roman"/>
                <w:color w:val="000000"/>
              </w:rPr>
              <w:t>00</w:t>
            </w:r>
          </w:p>
        </w:tc>
        <w:tc>
          <w:tcPr>
            <w:tcW w:w="1950" w:type="dxa"/>
            <w:shd w:val="clear" w:color="auto" w:fill="auto"/>
            <w:noWrap/>
            <w:vAlign w:val="center"/>
          </w:tcPr>
          <w:p w14:paraId="5E12CDAF" w14:textId="7570D1E8" w:rsidR="00C85315" w:rsidRPr="00E67096" w:rsidRDefault="00C85315" w:rsidP="00C85315">
            <w:pPr>
              <w:spacing w:after="0" w:line="240" w:lineRule="auto"/>
              <w:jc w:val="center"/>
              <w:rPr>
                <w:rFonts w:eastAsia="Times New Roman" w:cs="Times New Roman"/>
                <w:color w:val="000000"/>
                <w:szCs w:val="24"/>
              </w:rPr>
            </w:pPr>
            <w:r w:rsidRPr="00CC5ED5">
              <w:rPr>
                <w:rFonts w:cs="Times New Roman"/>
                <w:color w:val="000000"/>
                <w:szCs w:val="24"/>
              </w:rPr>
              <w:t>0.7078</w:t>
            </w:r>
          </w:p>
        </w:tc>
        <w:tc>
          <w:tcPr>
            <w:tcW w:w="1949" w:type="dxa"/>
            <w:shd w:val="clear" w:color="auto" w:fill="auto"/>
            <w:noWrap/>
            <w:vAlign w:val="center"/>
          </w:tcPr>
          <w:p w14:paraId="1269A5BE" w14:textId="0431A739" w:rsidR="00C85315" w:rsidRPr="000D2845" w:rsidRDefault="00C85315" w:rsidP="00C85315">
            <w:pPr>
              <w:spacing w:after="0" w:line="240" w:lineRule="auto"/>
              <w:jc w:val="center"/>
              <w:rPr>
                <w:rFonts w:eastAsia="Times New Roman" w:cs="Times New Roman"/>
                <w:color w:val="000000"/>
                <w:szCs w:val="24"/>
              </w:rPr>
            </w:pPr>
            <w:r>
              <w:rPr>
                <w:color w:val="000000"/>
              </w:rPr>
              <w:t>16</w:t>
            </w:r>
          </w:p>
        </w:tc>
        <w:tc>
          <w:tcPr>
            <w:tcW w:w="1950" w:type="dxa"/>
            <w:vAlign w:val="center"/>
          </w:tcPr>
          <w:p w14:paraId="7A082477" w14:textId="24BC87F5" w:rsidR="00C85315" w:rsidRPr="000D2845" w:rsidRDefault="00C85315" w:rsidP="00C85315">
            <w:pPr>
              <w:spacing w:after="0" w:line="240" w:lineRule="auto"/>
              <w:jc w:val="center"/>
              <w:rPr>
                <w:rFonts w:eastAsia="Times New Roman" w:cs="Times New Roman"/>
                <w:color w:val="000000"/>
                <w:szCs w:val="24"/>
              </w:rPr>
            </w:pPr>
            <w:r w:rsidRPr="00CC5ED5">
              <w:rPr>
                <w:rFonts w:cs="Times New Roman"/>
                <w:color w:val="000000"/>
              </w:rPr>
              <w:t>0.7547</w:t>
            </w:r>
          </w:p>
        </w:tc>
        <w:tc>
          <w:tcPr>
            <w:tcW w:w="1950" w:type="dxa"/>
            <w:vAlign w:val="center"/>
          </w:tcPr>
          <w:p w14:paraId="256BDD26" w14:textId="6FB87B2C" w:rsidR="00C85315" w:rsidRPr="000D2845" w:rsidRDefault="00C85315" w:rsidP="00C85315">
            <w:pPr>
              <w:spacing w:after="0" w:line="240" w:lineRule="auto"/>
              <w:jc w:val="center"/>
              <w:rPr>
                <w:rFonts w:eastAsia="Times New Roman" w:cs="Times New Roman"/>
                <w:color w:val="000000"/>
                <w:szCs w:val="24"/>
              </w:rPr>
            </w:pPr>
            <w:r>
              <w:rPr>
                <w:color w:val="000000"/>
              </w:rPr>
              <w:t>17</w:t>
            </w:r>
          </w:p>
        </w:tc>
        <w:tc>
          <w:tcPr>
            <w:tcW w:w="1950" w:type="dxa"/>
            <w:tcBorders>
              <w:right w:val="single" w:sz="4" w:space="0" w:color="auto"/>
            </w:tcBorders>
            <w:vAlign w:val="center"/>
          </w:tcPr>
          <w:p w14:paraId="360FAE48" w14:textId="135A3788" w:rsidR="00C85315" w:rsidRPr="000D2845" w:rsidRDefault="00C85315" w:rsidP="00C85315">
            <w:pPr>
              <w:spacing w:after="0" w:line="240" w:lineRule="auto"/>
              <w:jc w:val="center"/>
              <w:rPr>
                <w:rFonts w:eastAsia="Times New Roman" w:cs="Times New Roman"/>
                <w:color w:val="000000"/>
                <w:szCs w:val="24"/>
              </w:rPr>
            </w:pPr>
            <w:r>
              <w:rPr>
                <w:color w:val="000000"/>
              </w:rPr>
              <w:t>1</w:t>
            </w:r>
          </w:p>
        </w:tc>
      </w:tr>
      <w:tr w:rsidR="00C85315" w14:paraId="5E401E84" w14:textId="77777777" w:rsidTr="0055589E">
        <w:trPr>
          <w:trHeight w:val="310"/>
          <w:jc w:val="center"/>
        </w:trPr>
        <w:tc>
          <w:tcPr>
            <w:tcW w:w="1488" w:type="dxa"/>
            <w:shd w:val="clear" w:color="auto" w:fill="auto"/>
            <w:noWrap/>
            <w:hideMark/>
          </w:tcPr>
          <w:p w14:paraId="4B878B68" w14:textId="77777777" w:rsidR="00C85315" w:rsidRPr="000D2845" w:rsidRDefault="00C85315" w:rsidP="00C85315">
            <w:pPr>
              <w:spacing w:after="0" w:line="240" w:lineRule="auto"/>
              <w:rPr>
                <w:rFonts w:eastAsia="Times New Roman" w:cs="Times New Roman"/>
                <w:color w:val="000000"/>
                <w:szCs w:val="24"/>
              </w:rPr>
            </w:pPr>
            <w:r w:rsidRPr="000D2845">
              <w:rPr>
                <w:rFonts w:eastAsia="Times New Roman" w:cs="Times New Roman"/>
                <w:color w:val="000000"/>
                <w:szCs w:val="24"/>
              </w:rPr>
              <w:t>MAIS 5</w:t>
            </w:r>
          </w:p>
        </w:tc>
        <w:tc>
          <w:tcPr>
            <w:tcW w:w="1949" w:type="dxa"/>
            <w:vAlign w:val="center"/>
          </w:tcPr>
          <w:p w14:paraId="29FBE302" w14:textId="0711094B" w:rsidR="00C85315" w:rsidRPr="000D2845" w:rsidRDefault="00C85315" w:rsidP="00C85315">
            <w:pPr>
              <w:spacing w:after="0" w:line="240" w:lineRule="auto"/>
              <w:jc w:val="center"/>
              <w:rPr>
                <w:rFonts w:cs="Times New Roman"/>
                <w:color w:val="000000"/>
                <w:szCs w:val="24"/>
              </w:rPr>
            </w:pPr>
            <w:r>
              <w:rPr>
                <w:rFonts w:cs="Times New Roman"/>
                <w:color w:val="000000"/>
              </w:rPr>
              <w:t>3</w:t>
            </w:r>
          </w:p>
        </w:tc>
        <w:tc>
          <w:tcPr>
            <w:tcW w:w="1950" w:type="dxa"/>
            <w:shd w:val="clear" w:color="auto" w:fill="auto"/>
            <w:noWrap/>
            <w:vAlign w:val="center"/>
          </w:tcPr>
          <w:p w14:paraId="3F408F7B" w14:textId="77777777" w:rsidR="00C85315" w:rsidRPr="000D2845" w:rsidRDefault="00C85315" w:rsidP="00C85315">
            <w:pPr>
              <w:spacing w:after="0" w:line="240" w:lineRule="auto"/>
              <w:jc w:val="center"/>
              <w:rPr>
                <w:rFonts w:eastAsia="Times New Roman" w:cs="Times New Roman"/>
                <w:color w:val="000000"/>
                <w:szCs w:val="24"/>
              </w:rPr>
            </w:pPr>
            <w:r w:rsidRPr="00A57E5E">
              <w:rPr>
                <w:rFonts w:cs="Times New Roman"/>
                <w:color w:val="000000"/>
              </w:rPr>
              <w:t>0.5</w:t>
            </w:r>
            <w:r>
              <w:rPr>
                <w:rFonts w:cs="Times New Roman"/>
                <w:color w:val="000000"/>
              </w:rPr>
              <w:t>00</w:t>
            </w:r>
          </w:p>
        </w:tc>
        <w:tc>
          <w:tcPr>
            <w:tcW w:w="1950" w:type="dxa"/>
            <w:shd w:val="clear" w:color="auto" w:fill="auto"/>
            <w:noWrap/>
            <w:vAlign w:val="center"/>
          </w:tcPr>
          <w:p w14:paraId="2ACD2DAA" w14:textId="339E2E28" w:rsidR="00C85315" w:rsidRPr="00E67096" w:rsidRDefault="00C85315" w:rsidP="00C85315">
            <w:pPr>
              <w:spacing w:after="0" w:line="240" w:lineRule="auto"/>
              <w:jc w:val="center"/>
              <w:rPr>
                <w:rFonts w:eastAsia="Times New Roman" w:cs="Times New Roman"/>
                <w:color w:val="000000"/>
                <w:szCs w:val="24"/>
              </w:rPr>
            </w:pPr>
            <w:r w:rsidRPr="00CC5ED5">
              <w:rPr>
                <w:rFonts w:cs="Times New Roman"/>
                <w:color w:val="000000"/>
                <w:szCs w:val="24"/>
              </w:rPr>
              <w:t>0.7078</w:t>
            </w:r>
          </w:p>
        </w:tc>
        <w:tc>
          <w:tcPr>
            <w:tcW w:w="1949" w:type="dxa"/>
            <w:shd w:val="clear" w:color="auto" w:fill="auto"/>
            <w:noWrap/>
            <w:vAlign w:val="center"/>
          </w:tcPr>
          <w:p w14:paraId="1C5D8D48" w14:textId="565D78F1" w:rsidR="00C85315" w:rsidRPr="000D2845" w:rsidRDefault="00C85315" w:rsidP="00C85315">
            <w:pPr>
              <w:spacing w:after="0" w:line="240" w:lineRule="auto"/>
              <w:jc w:val="center"/>
              <w:rPr>
                <w:rFonts w:eastAsia="Times New Roman" w:cs="Times New Roman"/>
                <w:color w:val="000000"/>
                <w:szCs w:val="24"/>
              </w:rPr>
            </w:pPr>
            <w:r>
              <w:rPr>
                <w:color w:val="000000"/>
              </w:rPr>
              <w:t>1</w:t>
            </w:r>
          </w:p>
        </w:tc>
        <w:tc>
          <w:tcPr>
            <w:tcW w:w="1950" w:type="dxa"/>
            <w:vAlign w:val="center"/>
          </w:tcPr>
          <w:p w14:paraId="4C01B150" w14:textId="189C2BBD" w:rsidR="00C85315" w:rsidRPr="000D2845" w:rsidRDefault="00C85315" w:rsidP="00C85315">
            <w:pPr>
              <w:spacing w:after="0" w:line="240" w:lineRule="auto"/>
              <w:jc w:val="center"/>
              <w:rPr>
                <w:rFonts w:eastAsia="Times New Roman" w:cs="Times New Roman"/>
                <w:color w:val="000000"/>
                <w:szCs w:val="24"/>
              </w:rPr>
            </w:pPr>
            <w:r w:rsidRPr="00CC5ED5">
              <w:rPr>
                <w:rFonts w:cs="Times New Roman"/>
                <w:color w:val="000000"/>
              </w:rPr>
              <w:t>0.7547</w:t>
            </w:r>
          </w:p>
        </w:tc>
        <w:tc>
          <w:tcPr>
            <w:tcW w:w="1950" w:type="dxa"/>
            <w:vAlign w:val="center"/>
          </w:tcPr>
          <w:p w14:paraId="77FC1FB4" w14:textId="3A46A177" w:rsidR="00C85315" w:rsidRPr="000D2845" w:rsidRDefault="00C85315" w:rsidP="00C85315">
            <w:pPr>
              <w:spacing w:after="0" w:line="240" w:lineRule="auto"/>
              <w:jc w:val="center"/>
              <w:rPr>
                <w:rFonts w:eastAsia="Times New Roman" w:cs="Times New Roman"/>
                <w:color w:val="000000"/>
                <w:szCs w:val="24"/>
              </w:rPr>
            </w:pPr>
            <w:r>
              <w:rPr>
                <w:color w:val="000000"/>
              </w:rPr>
              <w:t>1</w:t>
            </w:r>
          </w:p>
        </w:tc>
        <w:tc>
          <w:tcPr>
            <w:tcW w:w="1950" w:type="dxa"/>
            <w:vAlign w:val="center"/>
          </w:tcPr>
          <w:p w14:paraId="1E592DD6" w14:textId="42AD27B9" w:rsidR="00C85315" w:rsidRPr="000D2845" w:rsidRDefault="00C85315" w:rsidP="00C85315">
            <w:pPr>
              <w:spacing w:after="0" w:line="240" w:lineRule="auto"/>
              <w:jc w:val="center"/>
              <w:rPr>
                <w:rFonts w:eastAsia="Times New Roman" w:cs="Times New Roman"/>
                <w:color w:val="000000"/>
                <w:szCs w:val="24"/>
              </w:rPr>
            </w:pPr>
            <w:r>
              <w:rPr>
                <w:color w:val="000000"/>
              </w:rPr>
              <w:t>0</w:t>
            </w:r>
          </w:p>
        </w:tc>
      </w:tr>
      <w:tr w:rsidR="00A15C2C" w14:paraId="77AC3BFA" w14:textId="77777777" w:rsidTr="0055589E">
        <w:trPr>
          <w:trHeight w:val="310"/>
          <w:jc w:val="center"/>
        </w:trPr>
        <w:tc>
          <w:tcPr>
            <w:tcW w:w="1488" w:type="dxa"/>
            <w:shd w:val="clear" w:color="auto" w:fill="auto"/>
            <w:noWrap/>
            <w:vAlign w:val="bottom"/>
          </w:tcPr>
          <w:p w14:paraId="5CDF9B7F" w14:textId="77777777" w:rsidR="002A344B" w:rsidRPr="000D2845" w:rsidRDefault="000F5B51" w:rsidP="002A344B">
            <w:pPr>
              <w:spacing w:after="0" w:line="240" w:lineRule="auto"/>
              <w:rPr>
                <w:rFonts w:eastAsia="Times New Roman" w:cs="Times New Roman"/>
                <w:b/>
                <w:color w:val="000000"/>
                <w:sz w:val="23"/>
                <w:szCs w:val="23"/>
              </w:rPr>
            </w:pPr>
            <w:r w:rsidRPr="000D2845">
              <w:rPr>
                <w:rFonts w:eastAsia="Times New Roman" w:cs="Times New Roman"/>
                <w:b/>
                <w:color w:val="000000"/>
                <w:sz w:val="23"/>
                <w:szCs w:val="23"/>
              </w:rPr>
              <w:t xml:space="preserve">Non-Fatal Injuries </w:t>
            </w:r>
          </w:p>
          <w:p w14:paraId="095D4669" w14:textId="77777777" w:rsidR="002A344B" w:rsidRPr="000D2845" w:rsidRDefault="000F5B51" w:rsidP="002A344B">
            <w:pPr>
              <w:spacing w:after="0" w:line="240" w:lineRule="auto"/>
              <w:rPr>
                <w:rFonts w:eastAsia="Times New Roman" w:cs="Times New Roman"/>
                <w:b/>
                <w:color w:val="000000"/>
                <w:sz w:val="23"/>
                <w:szCs w:val="23"/>
              </w:rPr>
            </w:pPr>
            <w:r w:rsidRPr="000D2845">
              <w:rPr>
                <w:rFonts w:eastAsia="Times New Roman" w:cs="Times New Roman"/>
                <w:b/>
                <w:color w:val="000000"/>
                <w:sz w:val="23"/>
                <w:szCs w:val="23"/>
              </w:rPr>
              <w:t>(MAIS 1-5)</w:t>
            </w:r>
          </w:p>
        </w:tc>
        <w:tc>
          <w:tcPr>
            <w:tcW w:w="1949" w:type="dxa"/>
            <w:vAlign w:val="center"/>
          </w:tcPr>
          <w:p w14:paraId="5A62D381" w14:textId="07D9C7B7" w:rsidR="002A344B" w:rsidRPr="000D2845" w:rsidRDefault="000A551C">
            <w:pPr>
              <w:spacing w:after="0" w:line="240" w:lineRule="auto"/>
              <w:jc w:val="center"/>
              <w:rPr>
                <w:rFonts w:cs="Times New Roman"/>
                <w:b/>
                <w:color w:val="000000"/>
                <w:szCs w:val="24"/>
              </w:rPr>
            </w:pPr>
            <w:r>
              <w:rPr>
                <w:rFonts w:cs="Times New Roman"/>
                <w:b/>
                <w:color w:val="000000"/>
                <w:szCs w:val="24"/>
              </w:rPr>
              <w:t>2,908</w:t>
            </w:r>
          </w:p>
        </w:tc>
        <w:tc>
          <w:tcPr>
            <w:tcW w:w="1950" w:type="dxa"/>
            <w:shd w:val="clear" w:color="auto" w:fill="auto"/>
            <w:noWrap/>
            <w:vAlign w:val="center"/>
          </w:tcPr>
          <w:p w14:paraId="1C58DFE5" w14:textId="77777777" w:rsidR="002A344B" w:rsidRPr="000D2845" w:rsidRDefault="000F5B51" w:rsidP="002A344B">
            <w:pPr>
              <w:spacing w:after="0" w:line="240" w:lineRule="auto"/>
              <w:jc w:val="center"/>
              <w:rPr>
                <w:rFonts w:cs="Times New Roman"/>
                <w:color w:val="000000"/>
                <w:szCs w:val="24"/>
              </w:rPr>
            </w:pPr>
            <w:r w:rsidRPr="000D2845">
              <w:rPr>
                <w:rFonts w:cs="Times New Roman"/>
                <w:color w:val="000000"/>
                <w:szCs w:val="24"/>
              </w:rPr>
              <w:t>-</w:t>
            </w:r>
          </w:p>
        </w:tc>
        <w:tc>
          <w:tcPr>
            <w:tcW w:w="1950" w:type="dxa"/>
            <w:shd w:val="clear" w:color="auto" w:fill="auto"/>
            <w:noWrap/>
            <w:vAlign w:val="center"/>
          </w:tcPr>
          <w:p w14:paraId="18921A7A" w14:textId="77777777" w:rsidR="002A344B" w:rsidRPr="00E67096" w:rsidRDefault="000F5B51" w:rsidP="002A344B">
            <w:pPr>
              <w:spacing w:after="0" w:line="240" w:lineRule="auto"/>
              <w:jc w:val="center"/>
              <w:rPr>
                <w:rFonts w:cs="Times New Roman"/>
                <w:color w:val="000000"/>
                <w:szCs w:val="24"/>
              </w:rPr>
            </w:pPr>
            <w:r w:rsidRPr="00E67096">
              <w:rPr>
                <w:rFonts w:cs="Times New Roman"/>
                <w:color w:val="000000"/>
                <w:szCs w:val="24"/>
              </w:rPr>
              <w:t>-</w:t>
            </w:r>
          </w:p>
        </w:tc>
        <w:tc>
          <w:tcPr>
            <w:tcW w:w="1949" w:type="dxa"/>
            <w:shd w:val="clear" w:color="auto" w:fill="auto"/>
            <w:noWrap/>
            <w:vAlign w:val="center"/>
          </w:tcPr>
          <w:p w14:paraId="380E7C55" w14:textId="48CF7359" w:rsidR="002A344B" w:rsidRPr="000D2845" w:rsidRDefault="00CF28AB" w:rsidP="002A344B">
            <w:pPr>
              <w:spacing w:after="0" w:line="240" w:lineRule="auto"/>
              <w:jc w:val="center"/>
              <w:rPr>
                <w:rFonts w:cs="Times New Roman"/>
                <w:b/>
                <w:color w:val="000000"/>
                <w:szCs w:val="24"/>
              </w:rPr>
            </w:pPr>
            <w:r>
              <w:rPr>
                <w:rFonts w:cs="Times New Roman"/>
                <w:b/>
                <w:color w:val="000000"/>
                <w:szCs w:val="24"/>
              </w:rPr>
              <w:t>432</w:t>
            </w:r>
          </w:p>
        </w:tc>
        <w:tc>
          <w:tcPr>
            <w:tcW w:w="1950" w:type="dxa"/>
            <w:vAlign w:val="center"/>
          </w:tcPr>
          <w:p w14:paraId="1EC4A3B2" w14:textId="5988FC31" w:rsidR="002A344B" w:rsidRPr="000D2845" w:rsidRDefault="002A344B" w:rsidP="002A344B">
            <w:pPr>
              <w:spacing w:after="0" w:line="240" w:lineRule="auto"/>
              <w:jc w:val="center"/>
              <w:rPr>
                <w:rFonts w:cs="Times New Roman"/>
                <w:b/>
                <w:color w:val="000000"/>
                <w:szCs w:val="24"/>
              </w:rPr>
            </w:pPr>
          </w:p>
        </w:tc>
        <w:tc>
          <w:tcPr>
            <w:tcW w:w="1950" w:type="dxa"/>
            <w:vAlign w:val="center"/>
          </w:tcPr>
          <w:p w14:paraId="78C89CD5" w14:textId="773FBBFD" w:rsidR="002A344B" w:rsidRPr="000D2845" w:rsidRDefault="00C85315" w:rsidP="002A344B">
            <w:pPr>
              <w:spacing w:after="0" w:line="240" w:lineRule="auto"/>
              <w:jc w:val="center"/>
              <w:rPr>
                <w:rFonts w:cs="Times New Roman"/>
                <w:b/>
                <w:color w:val="000000"/>
                <w:szCs w:val="24"/>
              </w:rPr>
            </w:pPr>
            <w:r>
              <w:rPr>
                <w:rFonts w:cs="Times New Roman"/>
                <w:b/>
                <w:color w:val="000000"/>
                <w:szCs w:val="24"/>
              </w:rPr>
              <w:t>461</w:t>
            </w:r>
          </w:p>
        </w:tc>
        <w:tc>
          <w:tcPr>
            <w:tcW w:w="1950" w:type="dxa"/>
            <w:vAlign w:val="center"/>
          </w:tcPr>
          <w:p w14:paraId="433587EC" w14:textId="631BD118" w:rsidR="002A344B" w:rsidRPr="000D2845" w:rsidRDefault="00C85315" w:rsidP="002A344B">
            <w:pPr>
              <w:spacing w:after="0" w:line="240" w:lineRule="auto"/>
              <w:jc w:val="center"/>
              <w:rPr>
                <w:rFonts w:cs="Times New Roman"/>
                <w:b/>
                <w:color w:val="000000"/>
                <w:szCs w:val="24"/>
              </w:rPr>
            </w:pPr>
            <w:r>
              <w:rPr>
                <w:rFonts w:cs="Times New Roman"/>
                <w:b/>
                <w:color w:val="000000"/>
                <w:szCs w:val="24"/>
              </w:rPr>
              <w:t>29</w:t>
            </w:r>
          </w:p>
        </w:tc>
      </w:tr>
      <w:tr w:rsidR="00A15C2C" w14:paraId="2CE42E8A" w14:textId="77777777" w:rsidTr="0055589E">
        <w:trPr>
          <w:trHeight w:val="310"/>
          <w:jc w:val="center"/>
        </w:trPr>
        <w:tc>
          <w:tcPr>
            <w:tcW w:w="1488" w:type="dxa"/>
            <w:shd w:val="clear" w:color="auto" w:fill="auto"/>
            <w:noWrap/>
            <w:vAlign w:val="bottom"/>
            <w:hideMark/>
          </w:tcPr>
          <w:p w14:paraId="2585DE75" w14:textId="77777777" w:rsidR="000D2845" w:rsidRPr="000D2845" w:rsidRDefault="000F5B51" w:rsidP="000D2845">
            <w:pPr>
              <w:spacing w:after="0" w:line="240" w:lineRule="auto"/>
              <w:rPr>
                <w:rFonts w:eastAsia="Times New Roman" w:cs="Times New Roman"/>
                <w:b/>
                <w:color w:val="000000"/>
                <w:szCs w:val="24"/>
              </w:rPr>
            </w:pPr>
            <w:r w:rsidRPr="000D2845">
              <w:rPr>
                <w:rFonts w:eastAsia="Times New Roman" w:cs="Times New Roman"/>
                <w:b/>
                <w:color w:val="000000"/>
                <w:szCs w:val="24"/>
              </w:rPr>
              <w:t>Fatality</w:t>
            </w:r>
          </w:p>
        </w:tc>
        <w:tc>
          <w:tcPr>
            <w:tcW w:w="1949" w:type="dxa"/>
            <w:vAlign w:val="center"/>
          </w:tcPr>
          <w:p w14:paraId="1BB3F311" w14:textId="77777777" w:rsidR="000D2845" w:rsidRPr="000D2845" w:rsidRDefault="000F5B51">
            <w:pPr>
              <w:spacing w:after="0" w:line="240" w:lineRule="auto"/>
              <w:jc w:val="center"/>
              <w:rPr>
                <w:rFonts w:cs="Times New Roman"/>
                <w:b/>
                <w:color w:val="000000"/>
                <w:szCs w:val="24"/>
              </w:rPr>
            </w:pPr>
            <w:r w:rsidRPr="0055589E">
              <w:rPr>
                <w:rFonts w:cs="Times New Roman"/>
                <w:b/>
                <w:bCs/>
                <w:color w:val="000000"/>
              </w:rPr>
              <w:t>684</w:t>
            </w:r>
          </w:p>
        </w:tc>
        <w:tc>
          <w:tcPr>
            <w:tcW w:w="1950" w:type="dxa"/>
            <w:shd w:val="clear" w:color="auto" w:fill="auto"/>
            <w:noWrap/>
            <w:vAlign w:val="center"/>
          </w:tcPr>
          <w:p w14:paraId="61808E5E" w14:textId="77777777" w:rsidR="000D2845" w:rsidRPr="000D2845" w:rsidRDefault="000F5B51" w:rsidP="000D2845">
            <w:pPr>
              <w:spacing w:after="0" w:line="240" w:lineRule="auto"/>
              <w:jc w:val="center"/>
              <w:rPr>
                <w:rFonts w:eastAsia="Times New Roman" w:cs="Times New Roman"/>
                <w:b/>
                <w:color w:val="000000"/>
                <w:szCs w:val="24"/>
              </w:rPr>
            </w:pPr>
            <w:r w:rsidRPr="00A57E5E">
              <w:rPr>
                <w:rFonts w:cs="Times New Roman"/>
                <w:b/>
                <w:bCs/>
                <w:color w:val="000000"/>
              </w:rPr>
              <w:t>0.73</w:t>
            </w:r>
            <w:r w:rsidR="00CB07AD">
              <w:rPr>
                <w:rFonts w:cs="Times New Roman"/>
                <w:b/>
                <w:bCs/>
                <w:color w:val="000000"/>
              </w:rPr>
              <w:t>0</w:t>
            </w:r>
          </w:p>
        </w:tc>
        <w:tc>
          <w:tcPr>
            <w:tcW w:w="1950" w:type="dxa"/>
            <w:shd w:val="clear" w:color="auto" w:fill="auto"/>
            <w:noWrap/>
            <w:vAlign w:val="center"/>
          </w:tcPr>
          <w:p w14:paraId="1BE29906" w14:textId="71F20C0F" w:rsidR="000D2845" w:rsidRPr="00E67096" w:rsidRDefault="000F5B51" w:rsidP="000D2845">
            <w:pPr>
              <w:spacing w:after="0" w:line="240" w:lineRule="auto"/>
              <w:jc w:val="center"/>
              <w:rPr>
                <w:rFonts w:eastAsia="Times New Roman" w:cs="Times New Roman"/>
                <w:b/>
                <w:color w:val="000000"/>
                <w:szCs w:val="24"/>
              </w:rPr>
            </w:pPr>
            <w:r w:rsidRPr="0055589E">
              <w:rPr>
                <w:rFonts w:cs="Times New Roman"/>
                <w:b/>
                <w:bCs/>
                <w:color w:val="000000"/>
                <w:szCs w:val="24"/>
              </w:rPr>
              <w:t>0.6127</w:t>
            </w:r>
          </w:p>
        </w:tc>
        <w:tc>
          <w:tcPr>
            <w:tcW w:w="1949" w:type="dxa"/>
            <w:shd w:val="clear" w:color="auto" w:fill="auto"/>
            <w:noWrap/>
            <w:vAlign w:val="center"/>
          </w:tcPr>
          <w:p w14:paraId="5F152BBB" w14:textId="4C083550" w:rsidR="000D2845" w:rsidRPr="00897AED" w:rsidRDefault="000F5B51" w:rsidP="000D2845">
            <w:pPr>
              <w:spacing w:after="0" w:line="240" w:lineRule="auto"/>
              <w:jc w:val="center"/>
              <w:rPr>
                <w:rFonts w:eastAsia="Times New Roman" w:cs="Times New Roman"/>
                <w:b/>
                <w:bCs/>
                <w:color w:val="000000"/>
                <w:szCs w:val="24"/>
              </w:rPr>
            </w:pPr>
            <w:r w:rsidRPr="00A57E5E">
              <w:rPr>
                <w:rFonts w:cs="Times New Roman"/>
                <w:b/>
                <w:bCs/>
                <w:color w:val="000000"/>
              </w:rPr>
              <w:t>306</w:t>
            </w:r>
          </w:p>
        </w:tc>
        <w:tc>
          <w:tcPr>
            <w:tcW w:w="1950" w:type="dxa"/>
            <w:vAlign w:val="center"/>
          </w:tcPr>
          <w:p w14:paraId="4A3B99BF" w14:textId="43D7E20F" w:rsidR="000D2845" w:rsidRPr="00A57E5E" w:rsidRDefault="000F5B51" w:rsidP="000D2845">
            <w:pPr>
              <w:spacing w:after="0" w:line="240" w:lineRule="auto"/>
              <w:jc w:val="center"/>
              <w:rPr>
                <w:rFonts w:cs="Times New Roman"/>
                <w:b/>
                <w:bCs/>
                <w:color w:val="000000"/>
              </w:rPr>
            </w:pPr>
            <w:r w:rsidRPr="005E3D4C">
              <w:rPr>
                <w:rFonts w:cs="Times New Roman"/>
                <w:b/>
                <w:bCs/>
                <w:color w:val="000000"/>
              </w:rPr>
              <w:t>0.6533</w:t>
            </w:r>
          </w:p>
        </w:tc>
        <w:tc>
          <w:tcPr>
            <w:tcW w:w="1950" w:type="dxa"/>
            <w:vAlign w:val="center"/>
          </w:tcPr>
          <w:p w14:paraId="6B86150B" w14:textId="5FE7348D" w:rsidR="000D2845" w:rsidRPr="005E3D4C" w:rsidRDefault="000F5B51" w:rsidP="000D2845">
            <w:pPr>
              <w:spacing w:after="0" w:line="240" w:lineRule="auto"/>
              <w:jc w:val="center"/>
              <w:rPr>
                <w:rFonts w:eastAsia="Times New Roman" w:cs="Times New Roman"/>
                <w:b/>
                <w:bCs/>
                <w:color w:val="000000"/>
                <w:szCs w:val="24"/>
              </w:rPr>
            </w:pPr>
            <w:r w:rsidRPr="00897AED">
              <w:rPr>
                <w:rFonts w:cs="Times New Roman"/>
                <w:b/>
                <w:bCs/>
                <w:color w:val="000000"/>
              </w:rPr>
              <w:t>326</w:t>
            </w:r>
          </w:p>
        </w:tc>
        <w:tc>
          <w:tcPr>
            <w:tcW w:w="1950" w:type="dxa"/>
            <w:vAlign w:val="center"/>
          </w:tcPr>
          <w:p w14:paraId="11E22CFA" w14:textId="757D3856" w:rsidR="000D2845" w:rsidRPr="005E3D4C" w:rsidRDefault="000F5B51" w:rsidP="000D2845">
            <w:pPr>
              <w:spacing w:after="0" w:line="240" w:lineRule="auto"/>
              <w:jc w:val="center"/>
              <w:rPr>
                <w:rFonts w:eastAsia="Times New Roman" w:cs="Times New Roman"/>
                <w:b/>
                <w:bCs/>
                <w:color w:val="000000"/>
                <w:szCs w:val="24"/>
              </w:rPr>
            </w:pPr>
            <w:r w:rsidRPr="005E3D4C">
              <w:rPr>
                <w:rFonts w:cs="Times New Roman"/>
                <w:b/>
                <w:bCs/>
                <w:color w:val="000000"/>
              </w:rPr>
              <w:t>20</w:t>
            </w:r>
          </w:p>
        </w:tc>
      </w:tr>
    </w:tbl>
    <w:p w14:paraId="48DA350E" w14:textId="77777777" w:rsidR="00220024" w:rsidRDefault="000F5B51" w:rsidP="00220024">
      <w:pPr>
        <w:rPr>
          <w:sz w:val="18"/>
          <w:szCs w:val="18"/>
        </w:rPr>
      </w:pPr>
      <w:r w:rsidRPr="00934F2C">
        <w:rPr>
          <w:sz w:val="18"/>
          <w:szCs w:val="18"/>
        </w:rPr>
        <w:t>Note: Values may not sum due to rounding. Totals are rounded to the nearest whole number for presentation purposes</w:t>
      </w:r>
      <w:r w:rsidR="004C7A1C">
        <w:rPr>
          <w:sz w:val="18"/>
          <w:szCs w:val="18"/>
        </w:rPr>
        <w:t>.</w:t>
      </w:r>
    </w:p>
    <w:p w14:paraId="76323A84" w14:textId="77777777" w:rsidR="002B4577" w:rsidRDefault="002B4577" w:rsidP="00220024">
      <w:pPr>
        <w:rPr>
          <w:sz w:val="18"/>
          <w:szCs w:val="18"/>
        </w:rPr>
      </w:pPr>
    </w:p>
    <w:p w14:paraId="7FFBD163" w14:textId="0BB35867" w:rsidR="009B4632" w:rsidRDefault="000F5B51" w:rsidP="009B4632">
      <w:pPr>
        <w:pStyle w:val="Caption"/>
      </w:pPr>
      <w:bookmarkStart w:id="912" w:name="_Ref126652044"/>
      <w:r w:rsidRPr="00DA0C97">
        <w:lastRenderedPageBreak/>
        <w:t xml:space="preserve">Table </w:t>
      </w:r>
      <w:r w:rsidR="00115BAB">
        <w:fldChar w:fldCharType="begin"/>
      </w:r>
      <w:r>
        <w:instrText xml:space="preserve"> SEQ Table \* ARABIC </w:instrText>
      </w:r>
      <w:r w:rsidR="00115BAB">
        <w:fldChar w:fldCharType="separate"/>
      </w:r>
      <w:r w:rsidR="00A65CB3">
        <w:rPr>
          <w:noProof/>
        </w:rPr>
        <w:t>51</w:t>
      </w:r>
      <w:r w:rsidR="00115BAB">
        <w:rPr>
          <w:noProof/>
        </w:rPr>
        <w:fldChar w:fldCharType="end"/>
      </w:r>
      <w:bookmarkEnd w:id="912"/>
      <w:r w:rsidRPr="00DA0C97">
        <w:t xml:space="preserve">: Incremental Benefits for Drivers </w:t>
      </w:r>
      <w:r>
        <w:t>90</w:t>
      </w:r>
      <w:r w:rsidRPr="00DA0C97">
        <w:t>-Second Warning to Indefinite Warning</w:t>
      </w:r>
    </w:p>
    <w:tbl>
      <w:tblPr>
        <w:tblW w:w="15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88"/>
        <w:gridCol w:w="1949"/>
        <w:gridCol w:w="1950"/>
        <w:gridCol w:w="1950"/>
        <w:gridCol w:w="1949"/>
        <w:gridCol w:w="1950"/>
        <w:gridCol w:w="1950"/>
        <w:gridCol w:w="1950"/>
      </w:tblGrid>
      <w:tr w:rsidR="00A15C2C" w14:paraId="0DF8F57A" w14:textId="77777777" w:rsidTr="00800C73">
        <w:trPr>
          <w:trHeight w:val="1666"/>
          <w:jc w:val="center"/>
        </w:trPr>
        <w:tc>
          <w:tcPr>
            <w:tcW w:w="1488" w:type="dxa"/>
            <w:shd w:val="clear" w:color="auto" w:fill="D9D9D9" w:themeFill="background1" w:themeFillShade="D9"/>
            <w:noWrap/>
            <w:vAlign w:val="center"/>
          </w:tcPr>
          <w:p w14:paraId="7A9CB17B" w14:textId="77777777" w:rsidR="005C25FA" w:rsidRDefault="000F5B51" w:rsidP="00800C73">
            <w:pPr>
              <w:spacing w:after="0" w:line="240" w:lineRule="auto"/>
              <w:rPr>
                <w:rFonts w:eastAsia="Times New Roman" w:cs="Times New Roman"/>
                <w:b/>
                <w:bCs/>
                <w:color w:val="000000"/>
                <w:szCs w:val="24"/>
              </w:rPr>
            </w:pPr>
            <w:r>
              <w:rPr>
                <w:rFonts w:eastAsia="Times New Roman" w:cs="Times New Roman"/>
                <w:b/>
                <w:bCs/>
                <w:color w:val="000000"/>
                <w:szCs w:val="24"/>
              </w:rPr>
              <w:t xml:space="preserve">Injury Severity </w:t>
            </w:r>
          </w:p>
        </w:tc>
        <w:tc>
          <w:tcPr>
            <w:tcW w:w="1949" w:type="dxa"/>
            <w:shd w:val="clear" w:color="auto" w:fill="D9D9D9" w:themeFill="background1" w:themeFillShade="D9"/>
            <w:vAlign w:val="center"/>
          </w:tcPr>
          <w:p w14:paraId="6851B8E3" w14:textId="77777777" w:rsidR="005C25FA" w:rsidRDefault="000F5B51" w:rsidP="00800C73">
            <w:pPr>
              <w:spacing w:after="0" w:line="240" w:lineRule="auto"/>
              <w:jc w:val="center"/>
              <w:rPr>
                <w:rFonts w:eastAsia="Times New Roman" w:cs="Times New Roman"/>
                <w:b/>
                <w:bCs/>
                <w:color w:val="000000"/>
                <w:szCs w:val="24"/>
              </w:rPr>
            </w:pPr>
            <w:r w:rsidRPr="00954B78">
              <w:rPr>
                <w:rFonts w:eastAsia="Times New Roman" w:cs="Times New Roman"/>
                <w:b/>
                <w:bCs/>
                <w:color w:val="000000"/>
                <w:szCs w:val="24"/>
              </w:rPr>
              <w:t>Potential Injuries</w:t>
            </w:r>
          </w:p>
          <w:p w14:paraId="222ECA63" w14:textId="77777777" w:rsidR="005C25FA" w:rsidRDefault="000F5B51" w:rsidP="00800C73">
            <w:pPr>
              <w:spacing w:after="0" w:line="240" w:lineRule="auto"/>
              <w:jc w:val="center"/>
              <w:rPr>
                <w:rFonts w:eastAsia="Times New Roman" w:cs="Times New Roman"/>
                <w:b/>
                <w:bCs/>
                <w:color w:val="000000"/>
                <w:szCs w:val="24"/>
              </w:rPr>
            </w:pPr>
            <w:r>
              <w:rPr>
                <w:rFonts w:eastAsia="Times New Roman" w:cs="Times New Roman"/>
                <w:b/>
                <w:bCs/>
                <w:color w:val="000000"/>
                <w:szCs w:val="24"/>
              </w:rPr>
              <w:t>(a)</w:t>
            </w:r>
          </w:p>
        </w:tc>
        <w:tc>
          <w:tcPr>
            <w:tcW w:w="1950" w:type="dxa"/>
            <w:shd w:val="clear" w:color="auto" w:fill="D9D9D9" w:themeFill="background1" w:themeFillShade="D9"/>
            <w:noWrap/>
            <w:vAlign w:val="center"/>
          </w:tcPr>
          <w:p w14:paraId="7816FD58" w14:textId="77777777" w:rsidR="005C25FA" w:rsidRDefault="000F5B51" w:rsidP="00800C73">
            <w:pPr>
              <w:spacing w:after="0" w:line="240" w:lineRule="auto"/>
              <w:jc w:val="center"/>
              <w:rPr>
                <w:rFonts w:eastAsia="Times New Roman" w:cs="Times New Roman"/>
                <w:b/>
                <w:bCs/>
                <w:color w:val="000000"/>
                <w:szCs w:val="24"/>
              </w:rPr>
            </w:pPr>
            <w:r>
              <w:rPr>
                <w:rFonts w:eastAsia="Times New Roman" w:cs="Times New Roman"/>
                <w:b/>
                <w:bCs/>
                <w:color w:val="000000"/>
                <w:szCs w:val="24"/>
              </w:rPr>
              <w:t>Seat Belt Effectiveness</w:t>
            </w:r>
          </w:p>
          <w:p w14:paraId="250220D1" w14:textId="77777777" w:rsidR="005C25FA" w:rsidRPr="00954B78" w:rsidRDefault="000F5B51" w:rsidP="00800C73">
            <w:pPr>
              <w:spacing w:after="0" w:line="240" w:lineRule="auto"/>
              <w:jc w:val="center"/>
              <w:rPr>
                <w:rFonts w:eastAsia="Times New Roman" w:cs="Times New Roman"/>
                <w:b/>
                <w:bCs/>
                <w:color w:val="000000"/>
                <w:szCs w:val="24"/>
              </w:rPr>
            </w:pPr>
            <w:r>
              <w:rPr>
                <w:rFonts w:eastAsia="Times New Roman" w:cs="Times New Roman"/>
                <w:b/>
                <w:bCs/>
                <w:color w:val="000000"/>
                <w:szCs w:val="24"/>
              </w:rPr>
              <w:t>(b)</w:t>
            </w:r>
          </w:p>
        </w:tc>
        <w:tc>
          <w:tcPr>
            <w:tcW w:w="1950" w:type="dxa"/>
            <w:shd w:val="clear" w:color="auto" w:fill="D9D9D9" w:themeFill="background1" w:themeFillShade="D9"/>
            <w:noWrap/>
            <w:vAlign w:val="center"/>
          </w:tcPr>
          <w:p w14:paraId="5DB1B18A" w14:textId="77777777" w:rsidR="005C25FA" w:rsidRDefault="000F5B51" w:rsidP="00800C73">
            <w:pPr>
              <w:spacing w:after="0" w:line="240" w:lineRule="auto"/>
              <w:jc w:val="center"/>
              <w:rPr>
                <w:rFonts w:eastAsia="Times New Roman" w:cs="Times New Roman"/>
                <w:b/>
                <w:bCs/>
                <w:color w:val="000000"/>
                <w:szCs w:val="24"/>
              </w:rPr>
            </w:pPr>
            <w:r>
              <w:rPr>
                <w:rFonts w:eastAsia="Times New Roman" w:cs="Times New Roman"/>
                <w:b/>
                <w:bCs/>
                <w:color w:val="000000"/>
                <w:szCs w:val="24"/>
              </w:rPr>
              <w:t>Baseline Seat Belt Use Rate</w:t>
            </w:r>
          </w:p>
          <w:p w14:paraId="04F4DD25" w14:textId="77777777" w:rsidR="005C25FA" w:rsidRPr="00954B78" w:rsidRDefault="000F5B51" w:rsidP="00800C73">
            <w:pPr>
              <w:spacing w:after="0" w:line="240" w:lineRule="auto"/>
              <w:jc w:val="center"/>
              <w:rPr>
                <w:rFonts w:eastAsia="Times New Roman" w:cs="Times New Roman"/>
                <w:b/>
                <w:bCs/>
                <w:color w:val="000000"/>
                <w:szCs w:val="24"/>
              </w:rPr>
            </w:pPr>
            <w:r>
              <w:rPr>
                <w:rFonts w:eastAsia="Times New Roman" w:cs="Times New Roman"/>
                <w:b/>
                <w:bCs/>
                <w:color w:val="000000"/>
                <w:szCs w:val="24"/>
              </w:rPr>
              <w:t>(c)</w:t>
            </w:r>
          </w:p>
        </w:tc>
        <w:tc>
          <w:tcPr>
            <w:tcW w:w="1949" w:type="dxa"/>
            <w:shd w:val="clear" w:color="auto" w:fill="D9D9D9" w:themeFill="background1" w:themeFillShade="D9"/>
            <w:noWrap/>
            <w:vAlign w:val="center"/>
          </w:tcPr>
          <w:p w14:paraId="40D47808" w14:textId="7E129CB7" w:rsidR="005C25FA" w:rsidRDefault="000F5B51" w:rsidP="00800C73">
            <w:pPr>
              <w:spacing w:after="0" w:line="240" w:lineRule="auto"/>
              <w:jc w:val="center"/>
              <w:rPr>
                <w:rFonts w:eastAsia="Times New Roman" w:cs="Times New Roman"/>
                <w:b/>
                <w:bCs/>
                <w:color w:val="000000"/>
                <w:szCs w:val="24"/>
              </w:rPr>
            </w:pPr>
            <w:r w:rsidRPr="00012598">
              <w:rPr>
                <w:rFonts w:eastAsia="Times New Roman" w:cs="Times New Roman"/>
                <w:b/>
                <w:bCs/>
                <w:color w:val="000000"/>
                <w:szCs w:val="24"/>
              </w:rPr>
              <w:t>Baseline</w:t>
            </w:r>
            <w:r w:rsidR="00011883">
              <w:rPr>
                <w:rFonts w:eastAsia="Times New Roman" w:cs="Times New Roman"/>
                <w:b/>
                <w:bCs/>
                <w:color w:val="000000"/>
                <w:szCs w:val="24"/>
              </w:rPr>
              <w:t xml:space="preserve"> Effects</w:t>
            </w:r>
          </w:p>
          <w:p w14:paraId="320DAF76" w14:textId="77777777" w:rsidR="005C25FA" w:rsidRPr="0068771B" w:rsidRDefault="000F5B51" w:rsidP="00800C73">
            <w:pPr>
              <w:spacing w:after="0" w:line="240" w:lineRule="auto"/>
              <w:jc w:val="center"/>
              <w:rPr>
                <w:rFonts w:eastAsia="Times New Roman" w:cs="Times New Roman"/>
                <w:b/>
                <w:bCs/>
                <w:color w:val="000000"/>
                <w:szCs w:val="24"/>
              </w:rPr>
            </w:pPr>
            <w:r>
              <w:rPr>
                <w:rFonts w:eastAsia="Times New Roman" w:cs="Times New Roman"/>
                <w:b/>
                <w:bCs/>
                <w:color w:val="000000"/>
                <w:szCs w:val="24"/>
              </w:rPr>
              <w:t>(a) x (b) x (c)</w:t>
            </w:r>
          </w:p>
        </w:tc>
        <w:tc>
          <w:tcPr>
            <w:tcW w:w="1950" w:type="dxa"/>
            <w:shd w:val="clear" w:color="auto" w:fill="D9D9D9" w:themeFill="background1" w:themeFillShade="D9"/>
            <w:vAlign w:val="center"/>
          </w:tcPr>
          <w:p w14:paraId="52111290" w14:textId="77777777" w:rsidR="005C25FA" w:rsidRDefault="000F5B51" w:rsidP="00800C73">
            <w:pPr>
              <w:spacing w:after="0" w:line="240" w:lineRule="auto"/>
              <w:jc w:val="center"/>
              <w:rPr>
                <w:rFonts w:eastAsia="Times New Roman" w:cs="Times New Roman"/>
                <w:b/>
                <w:bCs/>
                <w:color w:val="000000"/>
                <w:szCs w:val="24"/>
              </w:rPr>
            </w:pPr>
            <w:r>
              <w:rPr>
                <w:rFonts w:eastAsia="Times New Roman" w:cs="Times New Roman"/>
                <w:b/>
                <w:bCs/>
                <w:color w:val="000000"/>
                <w:szCs w:val="24"/>
              </w:rPr>
              <w:t>Proposed Rule Seat Belt Use Rate</w:t>
            </w:r>
          </w:p>
        </w:tc>
        <w:tc>
          <w:tcPr>
            <w:tcW w:w="1950" w:type="dxa"/>
            <w:shd w:val="clear" w:color="auto" w:fill="D9D9D9" w:themeFill="background1" w:themeFillShade="D9"/>
            <w:vAlign w:val="center"/>
          </w:tcPr>
          <w:p w14:paraId="74021033" w14:textId="10AEF842" w:rsidR="005C25FA" w:rsidRDefault="000F5B51" w:rsidP="00800C73">
            <w:pPr>
              <w:spacing w:after="0" w:line="240" w:lineRule="auto"/>
              <w:jc w:val="center"/>
              <w:rPr>
                <w:rFonts w:eastAsia="Times New Roman" w:cs="Times New Roman"/>
                <w:b/>
                <w:bCs/>
                <w:color w:val="000000"/>
                <w:szCs w:val="24"/>
              </w:rPr>
            </w:pPr>
            <w:r>
              <w:rPr>
                <w:rFonts w:eastAsia="Times New Roman" w:cs="Times New Roman"/>
                <w:b/>
                <w:bCs/>
                <w:color w:val="000000"/>
                <w:szCs w:val="24"/>
              </w:rPr>
              <w:t>Calculation of Benefits Under the Proposed Rule</w:t>
            </w:r>
            <w:r w:rsidR="00011883">
              <w:rPr>
                <w:rFonts w:eastAsia="Times New Roman" w:cs="Times New Roman"/>
                <w:b/>
                <w:bCs/>
                <w:color w:val="000000"/>
                <w:szCs w:val="24"/>
              </w:rPr>
              <w:t xml:space="preserve"> Unadjusted for Baseline Effects</w:t>
            </w:r>
          </w:p>
        </w:tc>
        <w:tc>
          <w:tcPr>
            <w:tcW w:w="1950" w:type="dxa"/>
            <w:shd w:val="clear" w:color="auto" w:fill="D9D9D9" w:themeFill="background1" w:themeFillShade="D9"/>
            <w:vAlign w:val="center"/>
          </w:tcPr>
          <w:p w14:paraId="0E347854" w14:textId="2B132546" w:rsidR="005C25FA" w:rsidRDefault="000F5B51" w:rsidP="00800C73">
            <w:pPr>
              <w:spacing w:after="0" w:line="240" w:lineRule="auto"/>
              <w:jc w:val="center"/>
              <w:rPr>
                <w:rFonts w:eastAsia="Times New Roman" w:cs="Times New Roman"/>
                <w:b/>
                <w:bCs/>
                <w:color w:val="000000"/>
                <w:szCs w:val="24"/>
              </w:rPr>
            </w:pPr>
            <w:r>
              <w:rPr>
                <w:rFonts w:eastAsia="Times New Roman" w:cs="Times New Roman"/>
                <w:b/>
                <w:bCs/>
                <w:color w:val="000000"/>
                <w:szCs w:val="24"/>
              </w:rPr>
              <w:t>Incremental Benefits (</w:t>
            </w:r>
            <w:r w:rsidR="00011883">
              <w:rPr>
                <w:rFonts w:eastAsia="Times New Roman" w:cs="Times New Roman"/>
                <w:b/>
                <w:bCs/>
                <w:color w:val="000000"/>
                <w:szCs w:val="24"/>
              </w:rPr>
              <w:t xml:space="preserve">Unadjusted </w:t>
            </w:r>
            <w:r>
              <w:rPr>
                <w:rFonts w:eastAsia="Times New Roman" w:cs="Times New Roman"/>
                <w:b/>
                <w:bCs/>
                <w:color w:val="000000"/>
                <w:szCs w:val="24"/>
              </w:rPr>
              <w:t>Proposed Rule minus Baseline)</w:t>
            </w:r>
          </w:p>
        </w:tc>
      </w:tr>
      <w:tr w:rsidR="00A15C2C" w14:paraId="1F1C0EE1" w14:textId="77777777" w:rsidTr="00800C73">
        <w:trPr>
          <w:trHeight w:val="310"/>
          <w:jc w:val="center"/>
        </w:trPr>
        <w:tc>
          <w:tcPr>
            <w:tcW w:w="15136" w:type="dxa"/>
            <w:gridSpan w:val="8"/>
            <w:shd w:val="clear" w:color="auto" w:fill="D9D9D9" w:themeFill="background1" w:themeFillShade="D9"/>
            <w:noWrap/>
            <w:vAlign w:val="bottom"/>
          </w:tcPr>
          <w:p w14:paraId="22EDFD53" w14:textId="77777777" w:rsidR="005C25FA" w:rsidRPr="000B32DD" w:rsidRDefault="000F5B51" w:rsidP="00800C73">
            <w:pPr>
              <w:spacing w:after="0" w:line="240" w:lineRule="auto"/>
              <w:jc w:val="center"/>
              <w:rPr>
                <w:b/>
                <w:bCs/>
                <w:i/>
                <w:iCs/>
                <w:color w:val="000000"/>
              </w:rPr>
            </w:pPr>
            <w:r w:rsidRPr="000B32DD">
              <w:rPr>
                <w:b/>
                <w:bCs/>
                <w:i/>
                <w:iCs/>
                <w:color w:val="000000"/>
              </w:rPr>
              <w:t>Passenger Cars</w:t>
            </w:r>
          </w:p>
        </w:tc>
      </w:tr>
      <w:tr w:rsidR="005C5152" w14:paraId="27899371" w14:textId="77777777" w:rsidTr="00A35991">
        <w:trPr>
          <w:trHeight w:val="310"/>
          <w:jc w:val="center"/>
        </w:trPr>
        <w:tc>
          <w:tcPr>
            <w:tcW w:w="1488" w:type="dxa"/>
            <w:shd w:val="clear" w:color="auto" w:fill="auto"/>
            <w:noWrap/>
            <w:vAlign w:val="bottom"/>
          </w:tcPr>
          <w:p w14:paraId="12738A49" w14:textId="77777777" w:rsidR="005C5152" w:rsidRPr="00954B78" w:rsidRDefault="005C5152" w:rsidP="005C5152">
            <w:pPr>
              <w:spacing w:after="0" w:line="240" w:lineRule="auto"/>
              <w:rPr>
                <w:rFonts w:eastAsia="Times New Roman" w:cs="Times New Roman"/>
                <w:color w:val="000000"/>
                <w:szCs w:val="24"/>
              </w:rPr>
            </w:pPr>
            <w:r>
              <w:rPr>
                <w:rFonts w:eastAsia="Times New Roman" w:cs="Times New Roman"/>
                <w:color w:val="000000"/>
                <w:szCs w:val="24"/>
              </w:rPr>
              <w:t>MAIS 1</w:t>
            </w:r>
          </w:p>
        </w:tc>
        <w:tc>
          <w:tcPr>
            <w:tcW w:w="1949" w:type="dxa"/>
            <w:vAlign w:val="center"/>
          </w:tcPr>
          <w:p w14:paraId="758CBD00" w14:textId="3D316D0C" w:rsidR="005C5152" w:rsidRPr="00954B78" w:rsidRDefault="005C5152" w:rsidP="005C5152">
            <w:pPr>
              <w:spacing w:after="0" w:line="240" w:lineRule="auto"/>
              <w:jc w:val="center"/>
              <w:rPr>
                <w:rFonts w:cs="Times New Roman"/>
                <w:color w:val="000000"/>
                <w:szCs w:val="24"/>
              </w:rPr>
            </w:pPr>
            <w:r>
              <w:rPr>
                <w:color w:val="000000"/>
              </w:rPr>
              <w:t>29,842</w:t>
            </w:r>
          </w:p>
        </w:tc>
        <w:tc>
          <w:tcPr>
            <w:tcW w:w="1950" w:type="dxa"/>
            <w:shd w:val="clear" w:color="auto" w:fill="auto"/>
            <w:noWrap/>
          </w:tcPr>
          <w:p w14:paraId="333BA8D4" w14:textId="77777777" w:rsidR="005C5152" w:rsidRPr="00954B78" w:rsidRDefault="005C5152" w:rsidP="005C5152">
            <w:pPr>
              <w:spacing w:after="0" w:line="240" w:lineRule="auto"/>
              <w:jc w:val="center"/>
              <w:rPr>
                <w:rFonts w:eastAsia="Times New Roman" w:cs="Times New Roman"/>
                <w:color w:val="000000"/>
                <w:szCs w:val="24"/>
              </w:rPr>
            </w:pPr>
            <w:r w:rsidRPr="009C6EC5">
              <w:t>0.055</w:t>
            </w:r>
          </w:p>
        </w:tc>
        <w:tc>
          <w:tcPr>
            <w:tcW w:w="1950" w:type="dxa"/>
            <w:shd w:val="clear" w:color="auto" w:fill="auto"/>
            <w:noWrap/>
            <w:vAlign w:val="bottom"/>
          </w:tcPr>
          <w:p w14:paraId="12C8A25D" w14:textId="2C312B58" w:rsidR="005C5152" w:rsidRPr="00044F2E" w:rsidRDefault="005C5152" w:rsidP="005C5152">
            <w:pPr>
              <w:spacing w:after="0" w:line="240" w:lineRule="auto"/>
              <w:jc w:val="center"/>
              <w:rPr>
                <w:rFonts w:eastAsia="Times New Roman" w:cs="Times New Roman"/>
                <w:color w:val="000000"/>
                <w:szCs w:val="24"/>
              </w:rPr>
            </w:pPr>
            <w:r>
              <w:rPr>
                <w:rFonts w:cs="Times New Roman"/>
                <w:color w:val="000000"/>
                <w:szCs w:val="24"/>
              </w:rPr>
              <w:t>0.9202</w:t>
            </w:r>
          </w:p>
        </w:tc>
        <w:tc>
          <w:tcPr>
            <w:tcW w:w="1949" w:type="dxa"/>
            <w:shd w:val="clear" w:color="auto" w:fill="auto"/>
            <w:noWrap/>
            <w:vAlign w:val="center"/>
          </w:tcPr>
          <w:p w14:paraId="360978FE" w14:textId="75589B78" w:rsidR="005C5152" w:rsidRPr="00954B78" w:rsidRDefault="005C5152" w:rsidP="005C5152">
            <w:pPr>
              <w:spacing w:after="0" w:line="240" w:lineRule="auto"/>
              <w:jc w:val="center"/>
              <w:rPr>
                <w:rFonts w:eastAsia="Times New Roman" w:cs="Times New Roman"/>
                <w:color w:val="000000"/>
                <w:szCs w:val="24"/>
              </w:rPr>
            </w:pPr>
            <w:r>
              <w:rPr>
                <w:color w:val="000000"/>
              </w:rPr>
              <w:t>1,510</w:t>
            </w:r>
          </w:p>
        </w:tc>
        <w:tc>
          <w:tcPr>
            <w:tcW w:w="1950" w:type="dxa"/>
          </w:tcPr>
          <w:p w14:paraId="24736C63" w14:textId="635135E4" w:rsidR="005C5152" w:rsidRPr="00C43531" w:rsidRDefault="005C5152" w:rsidP="005C5152">
            <w:pPr>
              <w:spacing w:after="0" w:line="240" w:lineRule="auto"/>
              <w:jc w:val="center"/>
              <w:rPr>
                <w:rFonts w:eastAsia="Times New Roman" w:cs="Times New Roman"/>
                <w:color w:val="000000"/>
                <w:szCs w:val="24"/>
              </w:rPr>
            </w:pPr>
            <w:r>
              <w:t>0.9234</w:t>
            </w:r>
          </w:p>
        </w:tc>
        <w:tc>
          <w:tcPr>
            <w:tcW w:w="1950" w:type="dxa"/>
            <w:vAlign w:val="center"/>
          </w:tcPr>
          <w:p w14:paraId="7B11C9B5" w14:textId="3D8D49DD" w:rsidR="005C5152" w:rsidRPr="00954B78" w:rsidRDefault="005C5152" w:rsidP="005C5152">
            <w:pPr>
              <w:spacing w:after="0" w:line="240" w:lineRule="auto"/>
              <w:jc w:val="center"/>
              <w:rPr>
                <w:rFonts w:eastAsia="Times New Roman" w:cs="Times New Roman"/>
                <w:color w:val="000000"/>
                <w:szCs w:val="24"/>
              </w:rPr>
            </w:pPr>
            <w:r>
              <w:rPr>
                <w:color w:val="000000"/>
              </w:rPr>
              <w:t>1,516</w:t>
            </w:r>
          </w:p>
        </w:tc>
        <w:tc>
          <w:tcPr>
            <w:tcW w:w="1950" w:type="dxa"/>
            <w:vAlign w:val="center"/>
          </w:tcPr>
          <w:p w14:paraId="74742A59" w14:textId="70577B8C" w:rsidR="005C5152" w:rsidRPr="00954B78" w:rsidRDefault="005C5152" w:rsidP="005C5152">
            <w:pPr>
              <w:spacing w:after="0" w:line="240" w:lineRule="auto"/>
              <w:jc w:val="center"/>
              <w:rPr>
                <w:rFonts w:eastAsia="Times New Roman" w:cs="Times New Roman"/>
                <w:color w:val="000000"/>
                <w:szCs w:val="24"/>
              </w:rPr>
            </w:pPr>
            <w:r>
              <w:rPr>
                <w:color w:val="000000"/>
              </w:rPr>
              <w:t>5</w:t>
            </w:r>
          </w:p>
        </w:tc>
      </w:tr>
      <w:tr w:rsidR="005C5152" w14:paraId="367CBD0B" w14:textId="77777777" w:rsidTr="00A35991">
        <w:trPr>
          <w:trHeight w:val="310"/>
          <w:jc w:val="center"/>
        </w:trPr>
        <w:tc>
          <w:tcPr>
            <w:tcW w:w="1488" w:type="dxa"/>
            <w:shd w:val="clear" w:color="auto" w:fill="auto"/>
            <w:noWrap/>
          </w:tcPr>
          <w:p w14:paraId="63EA1A4F" w14:textId="77777777" w:rsidR="005C5152" w:rsidRPr="00954B78" w:rsidRDefault="005C5152" w:rsidP="005C5152">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2</w:t>
            </w:r>
          </w:p>
        </w:tc>
        <w:tc>
          <w:tcPr>
            <w:tcW w:w="1949" w:type="dxa"/>
            <w:vAlign w:val="center"/>
          </w:tcPr>
          <w:p w14:paraId="270034BF" w14:textId="672BA903" w:rsidR="005C5152" w:rsidRPr="00954B78" w:rsidRDefault="005C5152" w:rsidP="005C5152">
            <w:pPr>
              <w:spacing w:after="0" w:line="240" w:lineRule="auto"/>
              <w:jc w:val="center"/>
              <w:rPr>
                <w:rFonts w:cs="Times New Roman"/>
                <w:color w:val="000000"/>
                <w:szCs w:val="24"/>
              </w:rPr>
            </w:pPr>
            <w:r>
              <w:rPr>
                <w:color w:val="000000"/>
              </w:rPr>
              <w:t>22,964</w:t>
            </w:r>
          </w:p>
        </w:tc>
        <w:tc>
          <w:tcPr>
            <w:tcW w:w="1950" w:type="dxa"/>
            <w:shd w:val="clear" w:color="auto" w:fill="auto"/>
            <w:noWrap/>
          </w:tcPr>
          <w:p w14:paraId="4DF45A61" w14:textId="77777777" w:rsidR="005C5152" w:rsidRPr="00954B78" w:rsidRDefault="005C5152" w:rsidP="005C5152">
            <w:pPr>
              <w:spacing w:after="0" w:line="240" w:lineRule="auto"/>
              <w:jc w:val="center"/>
              <w:rPr>
                <w:rFonts w:eastAsia="Times New Roman" w:cs="Times New Roman"/>
                <w:color w:val="000000"/>
                <w:szCs w:val="24"/>
              </w:rPr>
            </w:pPr>
            <w:r w:rsidRPr="009C6EC5">
              <w:t>0.5</w:t>
            </w:r>
            <w:r>
              <w:t>00</w:t>
            </w:r>
          </w:p>
        </w:tc>
        <w:tc>
          <w:tcPr>
            <w:tcW w:w="1950" w:type="dxa"/>
            <w:shd w:val="clear" w:color="auto" w:fill="auto"/>
            <w:noWrap/>
            <w:vAlign w:val="bottom"/>
          </w:tcPr>
          <w:p w14:paraId="323C10A8" w14:textId="10FFBB5F" w:rsidR="005C5152" w:rsidRPr="00044F2E" w:rsidRDefault="005C5152" w:rsidP="005C5152">
            <w:pPr>
              <w:spacing w:after="0" w:line="240" w:lineRule="auto"/>
              <w:jc w:val="center"/>
              <w:rPr>
                <w:rFonts w:eastAsia="Times New Roman" w:cs="Times New Roman"/>
                <w:color w:val="000000"/>
                <w:szCs w:val="24"/>
              </w:rPr>
            </w:pPr>
            <w:r w:rsidRPr="00CC5ED5">
              <w:rPr>
                <w:rFonts w:cs="Times New Roman"/>
                <w:color w:val="000000"/>
                <w:szCs w:val="24"/>
              </w:rPr>
              <w:t>0.9202</w:t>
            </w:r>
          </w:p>
        </w:tc>
        <w:tc>
          <w:tcPr>
            <w:tcW w:w="1949" w:type="dxa"/>
            <w:shd w:val="clear" w:color="auto" w:fill="auto"/>
            <w:noWrap/>
            <w:vAlign w:val="center"/>
          </w:tcPr>
          <w:p w14:paraId="4557D991" w14:textId="3DC3F8D7" w:rsidR="005C5152" w:rsidRPr="00954B78" w:rsidRDefault="005C5152" w:rsidP="005C5152">
            <w:pPr>
              <w:spacing w:after="0" w:line="240" w:lineRule="auto"/>
              <w:jc w:val="center"/>
              <w:rPr>
                <w:rFonts w:eastAsia="Times New Roman" w:cs="Times New Roman"/>
                <w:color w:val="000000"/>
                <w:szCs w:val="24"/>
              </w:rPr>
            </w:pPr>
            <w:r>
              <w:rPr>
                <w:color w:val="000000"/>
              </w:rPr>
              <w:t>10,566</w:t>
            </w:r>
          </w:p>
        </w:tc>
        <w:tc>
          <w:tcPr>
            <w:tcW w:w="1950" w:type="dxa"/>
          </w:tcPr>
          <w:p w14:paraId="56427607" w14:textId="222E14F7" w:rsidR="005C5152" w:rsidRPr="00954B78" w:rsidRDefault="005C5152" w:rsidP="005C5152">
            <w:pPr>
              <w:spacing w:after="0" w:line="240" w:lineRule="auto"/>
              <w:jc w:val="center"/>
              <w:rPr>
                <w:rFonts w:eastAsia="Times New Roman" w:cs="Times New Roman"/>
                <w:color w:val="000000"/>
                <w:szCs w:val="24"/>
              </w:rPr>
            </w:pPr>
            <w:r w:rsidRPr="00CC5ED5">
              <w:t>0.9234</w:t>
            </w:r>
          </w:p>
        </w:tc>
        <w:tc>
          <w:tcPr>
            <w:tcW w:w="1950" w:type="dxa"/>
            <w:vAlign w:val="center"/>
          </w:tcPr>
          <w:p w14:paraId="4EB6C907" w14:textId="5CE71ECC" w:rsidR="005C5152" w:rsidRPr="00954B78" w:rsidRDefault="005C5152" w:rsidP="005C5152">
            <w:pPr>
              <w:spacing w:after="0" w:line="240" w:lineRule="auto"/>
              <w:jc w:val="center"/>
              <w:rPr>
                <w:rFonts w:eastAsia="Times New Roman" w:cs="Times New Roman"/>
                <w:color w:val="000000"/>
                <w:szCs w:val="24"/>
              </w:rPr>
            </w:pPr>
            <w:r>
              <w:rPr>
                <w:color w:val="000000"/>
              </w:rPr>
              <w:t>10,602</w:t>
            </w:r>
          </w:p>
        </w:tc>
        <w:tc>
          <w:tcPr>
            <w:tcW w:w="1950" w:type="dxa"/>
            <w:vAlign w:val="center"/>
          </w:tcPr>
          <w:p w14:paraId="554AED41" w14:textId="2995547F" w:rsidR="005C5152" w:rsidRPr="00954B78" w:rsidRDefault="005C5152" w:rsidP="005C5152">
            <w:pPr>
              <w:spacing w:after="0" w:line="240" w:lineRule="auto"/>
              <w:jc w:val="center"/>
              <w:rPr>
                <w:rFonts w:eastAsia="Times New Roman" w:cs="Times New Roman"/>
                <w:color w:val="000000"/>
                <w:szCs w:val="24"/>
              </w:rPr>
            </w:pPr>
            <w:r>
              <w:rPr>
                <w:color w:val="000000"/>
              </w:rPr>
              <w:t>37</w:t>
            </w:r>
          </w:p>
        </w:tc>
      </w:tr>
      <w:tr w:rsidR="005C5152" w14:paraId="19FF8D30" w14:textId="77777777" w:rsidTr="00A35991">
        <w:trPr>
          <w:trHeight w:val="310"/>
          <w:jc w:val="center"/>
        </w:trPr>
        <w:tc>
          <w:tcPr>
            <w:tcW w:w="1488" w:type="dxa"/>
            <w:shd w:val="clear" w:color="auto" w:fill="auto"/>
            <w:noWrap/>
          </w:tcPr>
          <w:p w14:paraId="6A6D0E15" w14:textId="77777777" w:rsidR="005C5152" w:rsidRPr="00954B78" w:rsidRDefault="005C5152" w:rsidP="005C5152">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3</w:t>
            </w:r>
          </w:p>
        </w:tc>
        <w:tc>
          <w:tcPr>
            <w:tcW w:w="1949" w:type="dxa"/>
            <w:vAlign w:val="center"/>
          </w:tcPr>
          <w:p w14:paraId="74C23995" w14:textId="60D7648D" w:rsidR="005C5152" w:rsidRPr="00954B78" w:rsidRDefault="005C5152" w:rsidP="005C5152">
            <w:pPr>
              <w:spacing w:after="0" w:line="240" w:lineRule="auto"/>
              <w:jc w:val="center"/>
              <w:rPr>
                <w:rFonts w:cs="Times New Roman"/>
                <w:color w:val="000000"/>
                <w:szCs w:val="24"/>
              </w:rPr>
            </w:pPr>
            <w:r>
              <w:rPr>
                <w:color w:val="000000"/>
              </w:rPr>
              <w:t>6,338</w:t>
            </w:r>
          </w:p>
        </w:tc>
        <w:tc>
          <w:tcPr>
            <w:tcW w:w="1950" w:type="dxa"/>
            <w:shd w:val="clear" w:color="auto" w:fill="auto"/>
            <w:noWrap/>
          </w:tcPr>
          <w:p w14:paraId="5A27EFEE" w14:textId="77777777" w:rsidR="005C5152" w:rsidRPr="00954B78" w:rsidRDefault="005C5152" w:rsidP="005C5152">
            <w:pPr>
              <w:spacing w:after="0" w:line="240" w:lineRule="auto"/>
              <w:jc w:val="center"/>
              <w:rPr>
                <w:rFonts w:eastAsia="Times New Roman" w:cs="Times New Roman"/>
                <w:color w:val="000000"/>
                <w:szCs w:val="24"/>
              </w:rPr>
            </w:pPr>
            <w:r w:rsidRPr="009C6EC5">
              <w:t>0.5</w:t>
            </w:r>
            <w:r>
              <w:t>00</w:t>
            </w:r>
          </w:p>
        </w:tc>
        <w:tc>
          <w:tcPr>
            <w:tcW w:w="1950" w:type="dxa"/>
            <w:shd w:val="clear" w:color="auto" w:fill="auto"/>
            <w:noWrap/>
            <w:vAlign w:val="bottom"/>
          </w:tcPr>
          <w:p w14:paraId="492C5F64" w14:textId="42395BF3" w:rsidR="005C5152" w:rsidRPr="00044F2E" w:rsidRDefault="005C5152" w:rsidP="005C5152">
            <w:pPr>
              <w:spacing w:after="0" w:line="240" w:lineRule="auto"/>
              <w:jc w:val="center"/>
              <w:rPr>
                <w:rFonts w:eastAsia="Times New Roman" w:cs="Times New Roman"/>
                <w:color w:val="000000"/>
                <w:szCs w:val="24"/>
              </w:rPr>
            </w:pPr>
            <w:r w:rsidRPr="00CC5ED5">
              <w:rPr>
                <w:rFonts w:cs="Times New Roman"/>
                <w:color w:val="000000"/>
                <w:szCs w:val="24"/>
              </w:rPr>
              <w:t>0.9202</w:t>
            </w:r>
          </w:p>
        </w:tc>
        <w:tc>
          <w:tcPr>
            <w:tcW w:w="1949" w:type="dxa"/>
            <w:shd w:val="clear" w:color="auto" w:fill="auto"/>
            <w:noWrap/>
            <w:vAlign w:val="center"/>
          </w:tcPr>
          <w:p w14:paraId="465468AD" w14:textId="2D89543E" w:rsidR="005C5152" w:rsidRPr="00954B78" w:rsidRDefault="005C5152" w:rsidP="005C5152">
            <w:pPr>
              <w:spacing w:after="0" w:line="240" w:lineRule="auto"/>
              <w:jc w:val="center"/>
              <w:rPr>
                <w:rFonts w:eastAsia="Times New Roman" w:cs="Times New Roman"/>
                <w:color w:val="000000"/>
                <w:szCs w:val="24"/>
              </w:rPr>
            </w:pPr>
            <w:r>
              <w:rPr>
                <w:color w:val="000000"/>
              </w:rPr>
              <w:t>2,916</w:t>
            </w:r>
          </w:p>
        </w:tc>
        <w:tc>
          <w:tcPr>
            <w:tcW w:w="1950" w:type="dxa"/>
          </w:tcPr>
          <w:p w14:paraId="2F409D86" w14:textId="087195A2" w:rsidR="005C5152" w:rsidRPr="00954B78" w:rsidRDefault="005C5152" w:rsidP="005C5152">
            <w:pPr>
              <w:spacing w:after="0" w:line="240" w:lineRule="auto"/>
              <w:jc w:val="center"/>
              <w:rPr>
                <w:rFonts w:eastAsia="Times New Roman" w:cs="Times New Roman"/>
                <w:color w:val="000000"/>
                <w:szCs w:val="24"/>
              </w:rPr>
            </w:pPr>
            <w:r w:rsidRPr="00CC5ED5">
              <w:t>0.9234</w:t>
            </w:r>
          </w:p>
        </w:tc>
        <w:tc>
          <w:tcPr>
            <w:tcW w:w="1950" w:type="dxa"/>
            <w:vAlign w:val="center"/>
          </w:tcPr>
          <w:p w14:paraId="5CE7EE00" w14:textId="088629CB" w:rsidR="005C5152" w:rsidRPr="00954B78" w:rsidRDefault="005C5152" w:rsidP="005C5152">
            <w:pPr>
              <w:spacing w:after="0" w:line="240" w:lineRule="auto"/>
              <w:jc w:val="center"/>
              <w:rPr>
                <w:rFonts w:eastAsia="Times New Roman" w:cs="Times New Roman"/>
                <w:color w:val="000000"/>
                <w:szCs w:val="24"/>
              </w:rPr>
            </w:pPr>
            <w:r>
              <w:rPr>
                <w:color w:val="000000"/>
              </w:rPr>
              <w:t>2,926</w:t>
            </w:r>
          </w:p>
        </w:tc>
        <w:tc>
          <w:tcPr>
            <w:tcW w:w="1950" w:type="dxa"/>
            <w:vAlign w:val="center"/>
          </w:tcPr>
          <w:p w14:paraId="48A26B6A" w14:textId="1DFDFE3B" w:rsidR="005C5152" w:rsidRPr="00954B78" w:rsidRDefault="005C5152" w:rsidP="005C5152">
            <w:pPr>
              <w:spacing w:after="0" w:line="240" w:lineRule="auto"/>
              <w:jc w:val="center"/>
              <w:rPr>
                <w:rFonts w:eastAsia="Times New Roman" w:cs="Times New Roman"/>
                <w:color w:val="000000"/>
                <w:szCs w:val="24"/>
              </w:rPr>
            </w:pPr>
            <w:r>
              <w:rPr>
                <w:color w:val="000000"/>
              </w:rPr>
              <w:t>10</w:t>
            </w:r>
          </w:p>
        </w:tc>
      </w:tr>
      <w:tr w:rsidR="005C5152" w14:paraId="2B771148" w14:textId="77777777" w:rsidTr="00A35991">
        <w:trPr>
          <w:trHeight w:val="310"/>
          <w:jc w:val="center"/>
        </w:trPr>
        <w:tc>
          <w:tcPr>
            <w:tcW w:w="1488" w:type="dxa"/>
            <w:shd w:val="clear" w:color="auto" w:fill="auto"/>
            <w:noWrap/>
          </w:tcPr>
          <w:p w14:paraId="7BD82F71" w14:textId="77777777" w:rsidR="005C5152" w:rsidRPr="00954B78" w:rsidRDefault="005C5152" w:rsidP="005C5152">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4</w:t>
            </w:r>
          </w:p>
        </w:tc>
        <w:tc>
          <w:tcPr>
            <w:tcW w:w="1949" w:type="dxa"/>
            <w:vAlign w:val="center"/>
          </w:tcPr>
          <w:p w14:paraId="2FA10D6B" w14:textId="340EDABA" w:rsidR="005C5152" w:rsidRPr="00954B78" w:rsidRDefault="005C5152" w:rsidP="005C5152">
            <w:pPr>
              <w:spacing w:after="0" w:line="240" w:lineRule="auto"/>
              <w:jc w:val="center"/>
              <w:rPr>
                <w:rFonts w:cs="Times New Roman"/>
                <w:color w:val="000000"/>
                <w:szCs w:val="24"/>
              </w:rPr>
            </w:pPr>
            <w:r>
              <w:rPr>
                <w:color w:val="000000"/>
              </w:rPr>
              <w:t>4,584</w:t>
            </w:r>
          </w:p>
        </w:tc>
        <w:tc>
          <w:tcPr>
            <w:tcW w:w="1950" w:type="dxa"/>
            <w:shd w:val="clear" w:color="auto" w:fill="auto"/>
            <w:noWrap/>
          </w:tcPr>
          <w:p w14:paraId="508C9604" w14:textId="77777777" w:rsidR="005C5152" w:rsidRPr="00954B78" w:rsidRDefault="005C5152" w:rsidP="005C5152">
            <w:pPr>
              <w:spacing w:after="0" w:line="240" w:lineRule="auto"/>
              <w:jc w:val="center"/>
              <w:rPr>
                <w:rFonts w:eastAsia="Times New Roman" w:cs="Times New Roman"/>
                <w:color w:val="000000"/>
                <w:szCs w:val="24"/>
              </w:rPr>
            </w:pPr>
            <w:r w:rsidRPr="009C6EC5">
              <w:t>0.5</w:t>
            </w:r>
            <w:r>
              <w:t>00</w:t>
            </w:r>
          </w:p>
        </w:tc>
        <w:tc>
          <w:tcPr>
            <w:tcW w:w="1950" w:type="dxa"/>
            <w:shd w:val="clear" w:color="auto" w:fill="auto"/>
            <w:noWrap/>
            <w:vAlign w:val="bottom"/>
          </w:tcPr>
          <w:p w14:paraId="3C63F09E" w14:textId="38E9DB60" w:rsidR="005C5152" w:rsidRPr="00044F2E" w:rsidRDefault="005C5152" w:rsidP="005C5152">
            <w:pPr>
              <w:spacing w:after="0" w:line="240" w:lineRule="auto"/>
              <w:jc w:val="center"/>
              <w:rPr>
                <w:rFonts w:eastAsia="Times New Roman" w:cs="Times New Roman"/>
                <w:color w:val="000000"/>
                <w:szCs w:val="24"/>
              </w:rPr>
            </w:pPr>
            <w:r w:rsidRPr="00CC5ED5">
              <w:rPr>
                <w:rFonts w:cs="Times New Roman"/>
                <w:color w:val="000000"/>
                <w:szCs w:val="24"/>
              </w:rPr>
              <w:t>0.9202</w:t>
            </w:r>
          </w:p>
        </w:tc>
        <w:tc>
          <w:tcPr>
            <w:tcW w:w="1949" w:type="dxa"/>
            <w:shd w:val="clear" w:color="auto" w:fill="auto"/>
            <w:noWrap/>
            <w:vAlign w:val="center"/>
          </w:tcPr>
          <w:p w14:paraId="6112BD15" w14:textId="7E91C87D" w:rsidR="005C5152" w:rsidRPr="00954B78" w:rsidRDefault="005C5152" w:rsidP="005C5152">
            <w:pPr>
              <w:spacing w:after="0" w:line="240" w:lineRule="auto"/>
              <w:jc w:val="center"/>
              <w:rPr>
                <w:rFonts w:eastAsia="Times New Roman" w:cs="Times New Roman"/>
                <w:color w:val="000000"/>
                <w:szCs w:val="24"/>
              </w:rPr>
            </w:pPr>
            <w:r>
              <w:rPr>
                <w:color w:val="000000"/>
              </w:rPr>
              <w:t>2,109</w:t>
            </w:r>
          </w:p>
        </w:tc>
        <w:tc>
          <w:tcPr>
            <w:tcW w:w="1950" w:type="dxa"/>
          </w:tcPr>
          <w:p w14:paraId="26ECA6BF" w14:textId="39C562B7" w:rsidR="005C5152" w:rsidRPr="00954B78" w:rsidRDefault="005C5152" w:rsidP="005C5152">
            <w:pPr>
              <w:spacing w:after="0" w:line="240" w:lineRule="auto"/>
              <w:jc w:val="center"/>
              <w:rPr>
                <w:rFonts w:eastAsia="Times New Roman" w:cs="Times New Roman"/>
                <w:color w:val="000000"/>
                <w:szCs w:val="24"/>
              </w:rPr>
            </w:pPr>
            <w:r w:rsidRPr="00CC5ED5">
              <w:t>0.9234</w:t>
            </w:r>
          </w:p>
        </w:tc>
        <w:tc>
          <w:tcPr>
            <w:tcW w:w="1950" w:type="dxa"/>
            <w:vAlign w:val="center"/>
          </w:tcPr>
          <w:p w14:paraId="5FC5B83D" w14:textId="6468D155" w:rsidR="005C5152" w:rsidRPr="00954B78" w:rsidRDefault="005C5152" w:rsidP="005C5152">
            <w:pPr>
              <w:spacing w:after="0" w:line="240" w:lineRule="auto"/>
              <w:jc w:val="center"/>
              <w:rPr>
                <w:rFonts w:eastAsia="Times New Roman" w:cs="Times New Roman"/>
                <w:color w:val="000000"/>
                <w:szCs w:val="24"/>
              </w:rPr>
            </w:pPr>
            <w:r>
              <w:rPr>
                <w:color w:val="000000"/>
              </w:rPr>
              <w:t>2,116</w:t>
            </w:r>
          </w:p>
        </w:tc>
        <w:tc>
          <w:tcPr>
            <w:tcW w:w="1950" w:type="dxa"/>
            <w:vAlign w:val="center"/>
          </w:tcPr>
          <w:p w14:paraId="3F39E79C" w14:textId="24339554" w:rsidR="005C5152" w:rsidRPr="00954B78" w:rsidRDefault="005C5152" w:rsidP="005C5152">
            <w:pPr>
              <w:spacing w:after="0" w:line="240" w:lineRule="auto"/>
              <w:jc w:val="center"/>
              <w:rPr>
                <w:rFonts w:eastAsia="Times New Roman" w:cs="Times New Roman"/>
                <w:color w:val="000000"/>
                <w:szCs w:val="24"/>
              </w:rPr>
            </w:pPr>
            <w:r>
              <w:rPr>
                <w:color w:val="000000"/>
              </w:rPr>
              <w:t>7</w:t>
            </w:r>
          </w:p>
        </w:tc>
      </w:tr>
      <w:tr w:rsidR="005C5152" w14:paraId="3FC8AC73" w14:textId="77777777" w:rsidTr="00A35991">
        <w:trPr>
          <w:trHeight w:val="310"/>
          <w:jc w:val="center"/>
        </w:trPr>
        <w:tc>
          <w:tcPr>
            <w:tcW w:w="1488" w:type="dxa"/>
            <w:shd w:val="clear" w:color="auto" w:fill="auto"/>
            <w:noWrap/>
          </w:tcPr>
          <w:p w14:paraId="11DEC72F" w14:textId="77777777" w:rsidR="005C5152" w:rsidRPr="00954B78" w:rsidRDefault="005C5152" w:rsidP="005C5152">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5</w:t>
            </w:r>
          </w:p>
        </w:tc>
        <w:tc>
          <w:tcPr>
            <w:tcW w:w="1949" w:type="dxa"/>
            <w:vAlign w:val="center"/>
          </w:tcPr>
          <w:p w14:paraId="2A8C0940" w14:textId="69F47D1F" w:rsidR="005C5152" w:rsidRPr="00954B78" w:rsidRDefault="005C5152" w:rsidP="005C5152">
            <w:pPr>
              <w:spacing w:after="0" w:line="240" w:lineRule="auto"/>
              <w:jc w:val="center"/>
              <w:rPr>
                <w:rFonts w:cs="Times New Roman"/>
                <w:color w:val="000000"/>
                <w:szCs w:val="24"/>
              </w:rPr>
            </w:pPr>
            <w:r>
              <w:rPr>
                <w:color w:val="000000"/>
              </w:rPr>
              <w:t>111</w:t>
            </w:r>
          </w:p>
        </w:tc>
        <w:tc>
          <w:tcPr>
            <w:tcW w:w="1950" w:type="dxa"/>
            <w:shd w:val="clear" w:color="auto" w:fill="auto"/>
            <w:noWrap/>
          </w:tcPr>
          <w:p w14:paraId="594BB869" w14:textId="77777777" w:rsidR="005C5152" w:rsidRPr="00954B78" w:rsidRDefault="005C5152" w:rsidP="005C5152">
            <w:pPr>
              <w:spacing w:after="0" w:line="240" w:lineRule="auto"/>
              <w:jc w:val="center"/>
              <w:rPr>
                <w:rFonts w:eastAsia="Times New Roman" w:cs="Times New Roman"/>
                <w:color w:val="000000"/>
                <w:szCs w:val="24"/>
              </w:rPr>
            </w:pPr>
            <w:r w:rsidRPr="009C6EC5">
              <w:t>0.5</w:t>
            </w:r>
            <w:r>
              <w:t>00</w:t>
            </w:r>
          </w:p>
        </w:tc>
        <w:tc>
          <w:tcPr>
            <w:tcW w:w="1950" w:type="dxa"/>
            <w:shd w:val="clear" w:color="auto" w:fill="auto"/>
            <w:noWrap/>
            <w:vAlign w:val="bottom"/>
          </w:tcPr>
          <w:p w14:paraId="48EE7E05" w14:textId="637104A6" w:rsidR="005C5152" w:rsidRPr="00044F2E" w:rsidRDefault="005C5152" w:rsidP="005C5152">
            <w:pPr>
              <w:spacing w:after="0" w:line="240" w:lineRule="auto"/>
              <w:jc w:val="center"/>
              <w:rPr>
                <w:rFonts w:eastAsia="Times New Roman" w:cs="Times New Roman"/>
                <w:color w:val="000000"/>
                <w:szCs w:val="24"/>
              </w:rPr>
            </w:pPr>
            <w:r w:rsidRPr="00CC5ED5">
              <w:rPr>
                <w:rFonts w:cs="Times New Roman"/>
                <w:color w:val="000000"/>
                <w:szCs w:val="24"/>
              </w:rPr>
              <w:t>0.9202</w:t>
            </w:r>
          </w:p>
        </w:tc>
        <w:tc>
          <w:tcPr>
            <w:tcW w:w="1949" w:type="dxa"/>
            <w:shd w:val="clear" w:color="auto" w:fill="auto"/>
            <w:noWrap/>
            <w:vAlign w:val="center"/>
          </w:tcPr>
          <w:p w14:paraId="0065528C" w14:textId="01CC2DD9" w:rsidR="005C5152" w:rsidRPr="00954B78" w:rsidRDefault="005C5152" w:rsidP="005C5152">
            <w:pPr>
              <w:spacing w:after="0" w:line="240" w:lineRule="auto"/>
              <w:jc w:val="center"/>
              <w:rPr>
                <w:rFonts w:eastAsia="Times New Roman" w:cs="Times New Roman"/>
                <w:color w:val="000000"/>
                <w:szCs w:val="24"/>
              </w:rPr>
            </w:pPr>
            <w:r>
              <w:rPr>
                <w:color w:val="000000"/>
              </w:rPr>
              <w:t>51</w:t>
            </w:r>
          </w:p>
        </w:tc>
        <w:tc>
          <w:tcPr>
            <w:tcW w:w="1950" w:type="dxa"/>
          </w:tcPr>
          <w:p w14:paraId="4A1C7856" w14:textId="110793A2" w:rsidR="005C5152" w:rsidRPr="00954B78" w:rsidRDefault="005C5152" w:rsidP="005C5152">
            <w:pPr>
              <w:spacing w:after="0" w:line="240" w:lineRule="auto"/>
              <w:jc w:val="center"/>
              <w:rPr>
                <w:rFonts w:eastAsia="Times New Roman" w:cs="Times New Roman"/>
                <w:color w:val="000000"/>
                <w:szCs w:val="24"/>
              </w:rPr>
            </w:pPr>
            <w:r w:rsidRPr="00CC5ED5">
              <w:t>0.9234</w:t>
            </w:r>
          </w:p>
        </w:tc>
        <w:tc>
          <w:tcPr>
            <w:tcW w:w="1950" w:type="dxa"/>
            <w:vAlign w:val="center"/>
          </w:tcPr>
          <w:p w14:paraId="41414CEA" w14:textId="6AB7715D" w:rsidR="005C5152" w:rsidRPr="00954B78" w:rsidRDefault="005C5152" w:rsidP="005C5152">
            <w:pPr>
              <w:spacing w:after="0" w:line="240" w:lineRule="auto"/>
              <w:jc w:val="center"/>
              <w:rPr>
                <w:rFonts w:eastAsia="Times New Roman" w:cs="Times New Roman"/>
                <w:color w:val="000000"/>
                <w:szCs w:val="24"/>
              </w:rPr>
            </w:pPr>
            <w:r>
              <w:rPr>
                <w:color w:val="000000"/>
              </w:rPr>
              <w:t>51</w:t>
            </w:r>
          </w:p>
        </w:tc>
        <w:tc>
          <w:tcPr>
            <w:tcW w:w="1950" w:type="dxa"/>
            <w:vAlign w:val="center"/>
          </w:tcPr>
          <w:p w14:paraId="013094CA" w14:textId="1A84E084" w:rsidR="005C5152" w:rsidRPr="00954B78" w:rsidRDefault="005C5152" w:rsidP="005C5152">
            <w:pPr>
              <w:spacing w:after="0" w:line="240" w:lineRule="auto"/>
              <w:jc w:val="center"/>
              <w:rPr>
                <w:rFonts w:eastAsia="Times New Roman" w:cs="Times New Roman"/>
                <w:color w:val="000000"/>
                <w:szCs w:val="24"/>
              </w:rPr>
            </w:pPr>
            <w:r>
              <w:rPr>
                <w:color w:val="000000"/>
              </w:rPr>
              <w:t>0</w:t>
            </w:r>
          </w:p>
        </w:tc>
      </w:tr>
      <w:tr w:rsidR="00A15C2C" w14:paraId="749F4840" w14:textId="77777777" w:rsidTr="00800C73">
        <w:trPr>
          <w:trHeight w:val="310"/>
          <w:jc w:val="center"/>
        </w:trPr>
        <w:tc>
          <w:tcPr>
            <w:tcW w:w="1488" w:type="dxa"/>
            <w:shd w:val="clear" w:color="auto" w:fill="auto"/>
            <w:noWrap/>
            <w:vAlign w:val="bottom"/>
          </w:tcPr>
          <w:p w14:paraId="108C91EC" w14:textId="77777777" w:rsidR="005C25FA" w:rsidRPr="00012598" w:rsidRDefault="000F5B51" w:rsidP="00800C73">
            <w:pPr>
              <w:spacing w:after="0" w:line="240" w:lineRule="auto"/>
              <w:rPr>
                <w:rFonts w:eastAsia="Times New Roman" w:cs="Times New Roman"/>
                <w:b/>
                <w:bCs/>
                <w:color w:val="000000"/>
                <w:sz w:val="23"/>
                <w:szCs w:val="23"/>
              </w:rPr>
            </w:pPr>
            <w:r w:rsidRPr="00012598">
              <w:rPr>
                <w:rFonts w:eastAsia="Times New Roman" w:cs="Times New Roman"/>
                <w:b/>
                <w:bCs/>
                <w:color w:val="000000"/>
                <w:sz w:val="23"/>
                <w:szCs w:val="23"/>
              </w:rPr>
              <w:t>Non-Fatal Injuries</w:t>
            </w:r>
          </w:p>
          <w:p w14:paraId="7BC6B704" w14:textId="77777777" w:rsidR="005C25FA" w:rsidRPr="00012598" w:rsidRDefault="000F5B51" w:rsidP="00800C73">
            <w:pPr>
              <w:spacing w:after="0" w:line="240" w:lineRule="auto"/>
              <w:rPr>
                <w:rFonts w:eastAsia="Times New Roman" w:cs="Times New Roman"/>
                <w:b/>
                <w:bCs/>
                <w:color w:val="000000"/>
                <w:szCs w:val="24"/>
              </w:rPr>
            </w:pPr>
            <w:r w:rsidRPr="00012598">
              <w:rPr>
                <w:rFonts w:eastAsia="Times New Roman" w:cs="Times New Roman"/>
                <w:b/>
                <w:bCs/>
                <w:color w:val="000000"/>
                <w:sz w:val="23"/>
                <w:szCs w:val="23"/>
              </w:rPr>
              <w:t>(MAIS 1-5)</w:t>
            </w:r>
          </w:p>
        </w:tc>
        <w:tc>
          <w:tcPr>
            <w:tcW w:w="1949" w:type="dxa"/>
            <w:vAlign w:val="center"/>
          </w:tcPr>
          <w:p w14:paraId="1167FBB5" w14:textId="76A5F8B9" w:rsidR="005C25FA" w:rsidRPr="00954B78" w:rsidRDefault="00B50226" w:rsidP="00800C73">
            <w:pPr>
              <w:spacing w:after="0" w:line="240" w:lineRule="auto"/>
              <w:jc w:val="center"/>
              <w:rPr>
                <w:rFonts w:cs="Times New Roman"/>
                <w:b/>
                <w:bCs/>
                <w:color w:val="000000"/>
                <w:szCs w:val="24"/>
              </w:rPr>
            </w:pPr>
            <w:r>
              <w:rPr>
                <w:rFonts w:cs="Times New Roman"/>
                <w:b/>
                <w:bCs/>
                <w:color w:val="000000"/>
                <w:szCs w:val="24"/>
              </w:rPr>
              <w:t>63,839</w:t>
            </w:r>
          </w:p>
        </w:tc>
        <w:tc>
          <w:tcPr>
            <w:tcW w:w="1950" w:type="dxa"/>
            <w:shd w:val="clear" w:color="auto" w:fill="auto"/>
            <w:noWrap/>
            <w:vAlign w:val="center"/>
          </w:tcPr>
          <w:p w14:paraId="5D300DEB" w14:textId="77777777" w:rsidR="005C25FA" w:rsidRPr="00954B78" w:rsidRDefault="000F5B51" w:rsidP="00800C73">
            <w:pPr>
              <w:spacing w:after="0" w:line="240" w:lineRule="auto"/>
              <w:jc w:val="center"/>
              <w:rPr>
                <w:rFonts w:cs="Times New Roman"/>
                <w:color w:val="000000"/>
                <w:szCs w:val="24"/>
              </w:rPr>
            </w:pPr>
            <w:r>
              <w:rPr>
                <w:rFonts w:cs="Times New Roman"/>
                <w:color w:val="000000"/>
                <w:szCs w:val="24"/>
              </w:rPr>
              <w:t>-</w:t>
            </w:r>
          </w:p>
        </w:tc>
        <w:tc>
          <w:tcPr>
            <w:tcW w:w="1950" w:type="dxa"/>
            <w:shd w:val="clear" w:color="auto" w:fill="auto"/>
            <w:noWrap/>
            <w:vAlign w:val="center"/>
          </w:tcPr>
          <w:p w14:paraId="1792CEEF" w14:textId="77777777" w:rsidR="005C25FA" w:rsidRPr="0055589E" w:rsidRDefault="000F5B51" w:rsidP="00800C73">
            <w:pPr>
              <w:spacing w:after="0" w:line="240" w:lineRule="auto"/>
              <w:jc w:val="center"/>
              <w:rPr>
                <w:rFonts w:cs="Times New Roman"/>
                <w:b/>
                <w:bCs/>
                <w:color w:val="000000"/>
                <w:szCs w:val="24"/>
              </w:rPr>
            </w:pPr>
            <w:r w:rsidRPr="0055589E">
              <w:rPr>
                <w:rFonts w:cs="Times New Roman"/>
                <w:b/>
                <w:bCs/>
                <w:color w:val="000000"/>
                <w:szCs w:val="24"/>
              </w:rPr>
              <w:t>-</w:t>
            </w:r>
          </w:p>
        </w:tc>
        <w:tc>
          <w:tcPr>
            <w:tcW w:w="1949" w:type="dxa"/>
            <w:shd w:val="clear" w:color="auto" w:fill="auto"/>
            <w:noWrap/>
            <w:vAlign w:val="center"/>
          </w:tcPr>
          <w:p w14:paraId="76196323" w14:textId="5843CA11" w:rsidR="005C25FA" w:rsidRPr="0055589E" w:rsidRDefault="00B103B6" w:rsidP="00800C73">
            <w:pPr>
              <w:spacing w:after="0" w:line="240" w:lineRule="auto"/>
              <w:jc w:val="center"/>
              <w:rPr>
                <w:rFonts w:cs="Times New Roman"/>
                <w:b/>
                <w:bCs/>
                <w:color w:val="000000"/>
                <w:szCs w:val="24"/>
              </w:rPr>
            </w:pPr>
            <w:r>
              <w:rPr>
                <w:rFonts w:cs="Times New Roman"/>
                <w:b/>
                <w:bCs/>
                <w:color w:val="000000"/>
                <w:szCs w:val="24"/>
              </w:rPr>
              <w:t>17,152</w:t>
            </w:r>
          </w:p>
        </w:tc>
        <w:tc>
          <w:tcPr>
            <w:tcW w:w="1950" w:type="dxa"/>
            <w:vAlign w:val="center"/>
          </w:tcPr>
          <w:p w14:paraId="46FD3E62" w14:textId="77777777" w:rsidR="005C25FA" w:rsidRPr="0055589E" w:rsidRDefault="000F5B51" w:rsidP="00800C73">
            <w:pPr>
              <w:spacing w:after="0" w:line="240" w:lineRule="auto"/>
              <w:jc w:val="center"/>
              <w:rPr>
                <w:rFonts w:cs="Times New Roman"/>
                <w:b/>
                <w:bCs/>
                <w:color w:val="000000"/>
                <w:szCs w:val="24"/>
              </w:rPr>
            </w:pPr>
            <w:r w:rsidRPr="00236654">
              <w:rPr>
                <w:rFonts w:cs="Times New Roman"/>
                <w:b/>
                <w:bCs/>
                <w:color w:val="000000"/>
                <w:szCs w:val="24"/>
              </w:rPr>
              <w:t>-</w:t>
            </w:r>
          </w:p>
        </w:tc>
        <w:tc>
          <w:tcPr>
            <w:tcW w:w="1950" w:type="dxa"/>
            <w:vAlign w:val="center"/>
          </w:tcPr>
          <w:p w14:paraId="7C4F1B6D" w14:textId="3BABC791" w:rsidR="005C25FA" w:rsidRPr="0055589E" w:rsidRDefault="005C5152" w:rsidP="00800C73">
            <w:pPr>
              <w:spacing w:after="0" w:line="240" w:lineRule="auto"/>
              <w:jc w:val="center"/>
              <w:rPr>
                <w:rFonts w:cs="Times New Roman"/>
                <w:b/>
                <w:bCs/>
                <w:color w:val="000000"/>
                <w:szCs w:val="24"/>
              </w:rPr>
            </w:pPr>
            <w:r>
              <w:rPr>
                <w:rFonts w:cs="Times New Roman"/>
                <w:b/>
                <w:bCs/>
                <w:color w:val="000000"/>
                <w:szCs w:val="24"/>
              </w:rPr>
              <w:t>17,212</w:t>
            </w:r>
          </w:p>
        </w:tc>
        <w:tc>
          <w:tcPr>
            <w:tcW w:w="1950" w:type="dxa"/>
            <w:vAlign w:val="center"/>
          </w:tcPr>
          <w:p w14:paraId="01DC1F09" w14:textId="4813D3E7" w:rsidR="005C25FA" w:rsidRPr="0055589E" w:rsidRDefault="005C5152" w:rsidP="00800C73">
            <w:pPr>
              <w:spacing w:after="0" w:line="240" w:lineRule="auto"/>
              <w:jc w:val="center"/>
              <w:rPr>
                <w:rFonts w:cs="Times New Roman"/>
                <w:b/>
                <w:bCs/>
                <w:color w:val="000000"/>
                <w:szCs w:val="24"/>
              </w:rPr>
            </w:pPr>
            <w:r>
              <w:rPr>
                <w:rFonts w:cs="Times New Roman"/>
                <w:b/>
                <w:bCs/>
                <w:color w:val="000000"/>
                <w:szCs w:val="24"/>
              </w:rPr>
              <w:t>60</w:t>
            </w:r>
          </w:p>
        </w:tc>
      </w:tr>
      <w:tr w:rsidR="00A15C2C" w14:paraId="4E57B115" w14:textId="77777777" w:rsidTr="0055589E">
        <w:trPr>
          <w:trHeight w:val="310"/>
          <w:jc w:val="center"/>
        </w:trPr>
        <w:tc>
          <w:tcPr>
            <w:tcW w:w="1488" w:type="dxa"/>
            <w:shd w:val="clear" w:color="auto" w:fill="auto"/>
            <w:noWrap/>
            <w:vAlign w:val="bottom"/>
            <w:hideMark/>
          </w:tcPr>
          <w:p w14:paraId="1DA3B0FF" w14:textId="77777777" w:rsidR="00C3392E" w:rsidRPr="00012598" w:rsidRDefault="000F5B51" w:rsidP="00C3392E">
            <w:pPr>
              <w:spacing w:after="0" w:line="240" w:lineRule="auto"/>
              <w:rPr>
                <w:rFonts w:eastAsia="Times New Roman" w:cs="Times New Roman"/>
                <w:b/>
                <w:bCs/>
                <w:color w:val="000000"/>
                <w:szCs w:val="24"/>
              </w:rPr>
            </w:pPr>
            <w:r w:rsidRPr="00012598">
              <w:rPr>
                <w:rFonts w:eastAsia="Times New Roman" w:cs="Times New Roman"/>
                <w:b/>
                <w:bCs/>
                <w:color w:val="000000"/>
                <w:szCs w:val="24"/>
              </w:rPr>
              <w:t>Fatality</w:t>
            </w:r>
          </w:p>
        </w:tc>
        <w:tc>
          <w:tcPr>
            <w:tcW w:w="1949" w:type="dxa"/>
            <w:vAlign w:val="center"/>
          </w:tcPr>
          <w:p w14:paraId="2BC9E6DA" w14:textId="77777777" w:rsidR="00C3392E" w:rsidRPr="00954B78" w:rsidRDefault="000F5B51" w:rsidP="00C3392E">
            <w:pPr>
              <w:spacing w:after="0" w:line="240" w:lineRule="auto"/>
              <w:jc w:val="center"/>
              <w:rPr>
                <w:rFonts w:cs="Times New Roman"/>
                <w:b/>
                <w:bCs/>
                <w:color w:val="000000"/>
                <w:szCs w:val="24"/>
              </w:rPr>
            </w:pPr>
            <w:r>
              <w:rPr>
                <w:rFonts w:cs="Times New Roman"/>
                <w:b/>
                <w:bCs/>
                <w:color w:val="000000"/>
                <w:szCs w:val="24"/>
              </w:rPr>
              <w:t>9,427</w:t>
            </w:r>
          </w:p>
        </w:tc>
        <w:tc>
          <w:tcPr>
            <w:tcW w:w="1950" w:type="dxa"/>
            <w:shd w:val="clear" w:color="auto" w:fill="auto"/>
            <w:noWrap/>
            <w:vAlign w:val="center"/>
          </w:tcPr>
          <w:p w14:paraId="7BAA0638" w14:textId="77777777" w:rsidR="00C3392E" w:rsidRPr="00954B78" w:rsidRDefault="000F5B51" w:rsidP="00C3392E">
            <w:pPr>
              <w:spacing w:after="0" w:line="240" w:lineRule="auto"/>
              <w:jc w:val="center"/>
              <w:rPr>
                <w:rFonts w:eastAsia="Times New Roman" w:cs="Times New Roman"/>
                <w:b/>
                <w:bCs/>
                <w:color w:val="000000"/>
                <w:szCs w:val="24"/>
              </w:rPr>
            </w:pPr>
            <w:r>
              <w:rPr>
                <w:rFonts w:eastAsia="Times New Roman" w:cs="Times New Roman"/>
                <w:b/>
                <w:bCs/>
                <w:color w:val="000000"/>
                <w:szCs w:val="24"/>
              </w:rPr>
              <w:t>0.44</w:t>
            </w:r>
            <w:r w:rsidR="00CB07AD">
              <w:rPr>
                <w:rFonts w:eastAsia="Times New Roman" w:cs="Times New Roman"/>
                <w:b/>
                <w:bCs/>
                <w:color w:val="000000"/>
                <w:szCs w:val="24"/>
              </w:rPr>
              <w:t>0</w:t>
            </w:r>
          </w:p>
        </w:tc>
        <w:tc>
          <w:tcPr>
            <w:tcW w:w="1950" w:type="dxa"/>
            <w:shd w:val="clear" w:color="auto" w:fill="auto"/>
            <w:noWrap/>
            <w:vAlign w:val="center"/>
          </w:tcPr>
          <w:p w14:paraId="44BD880E" w14:textId="7498E49F" w:rsidR="00C3392E" w:rsidRPr="0055589E" w:rsidRDefault="000F5B51" w:rsidP="0055589E">
            <w:pPr>
              <w:spacing w:after="0" w:line="240" w:lineRule="auto"/>
              <w:jc w:val="center"/>
              <w:rPr>
                <w:rFonts w:cs="Times New Roman"/>
                <w:b/>
                <w:bCs/>
                <w:color w:val="000000"/>
                <w:szCs w:val="24"/>
              </w:rPr>
            </w:pPr>
            <w:r w:rsidRPr="0055589E">
              <w:rPr>
                <w:b/>
                <w:bCs/>
              </w:rPr>
              <w:t>0.7965</w:t>
            </w:r>
          </w:p>
        </w:tc>
        <w:tc>
          <w:tcPr>
            <w:tcW w:w="1949" w:type="dxa"/>
            <w:shd w:val="clear" w:color="auto" w:fill="auto"/>
            <w:noWrap/>
            <w:vAlign w:val="center"/>
          </w:tcPr>
          <w:p w14:paraId="361968B6" w14:textId="343BC8F3" w:rsidR="00C3392E" w:rsidRPr="005E3D4C" w:rsidRDefault="000F5B51" w:rsidP="00C3392E">
            <w:pPr>
              <w:spacing w:after="0" w:line="240" w:lineRule="auto"/>
              <w:jc w:val="center"/>
              <w:rPr>
                <w:b/>
                <w:bCs/>
                <w:color w:val="000000"/>
              </w:rPr>
            </w:pPr>
            <w:r w:rsidRPr="00897AED">
              <w:rPr>
                <w:b/>
                <w:bCs/>
                <w:color w:val="000000"/>
              </w:rPr>
              <w:t>3,304</w:t>
            </w:r>
          </w:p>
        </w:tc>
        <w:tc>
          <w:tcPr>
            <w:tcW w:w="1950" w:type="dxa"/>
          </w:tcPr>
          <w:p w14:paraId="07D2EFFA" w14:textId="166B7A34" w:rsidR="00C3392E" w:rsidRPr="005E3D4C" w:rsidRDefault="000F5B51" w:rsidP="00C3392E">
            <w:pPr>
              <w:spacing w:after="0" w:line="240" w:lineRule="auto"/>
              <w:jc w:val="center"/>
              <w:rPr>
                <w:rFonts w:eastAsia="Times New Roman" w:cs="Times New Roman"/>
                <w:b/>
                <w:bCs/>
                <w:color w:val="000000"/>
                <w:szCs w:val="24"/>
              </w:rPr>
            </w:pPr>
            <w:r w:rsidRPr="0055589E">
              <w:rPr>
                <w:b/>
                <w:bCs/>
              </w:rPr>
              <w:t>0.7993</w:t>
            </w:r>
          </w:p>
        </w:tc>
        <w:tc>
          <w:tcPr>
            <w:tcW w:w="1950" w:type="dxa"/>
          </w:tcPr>
          <w:p w14:paraId="424D05D7" w14:textId="667E4D61" w:rsidR="00C3392E" w:rsidRPr="00897AED" w:rsidRDefault="000F5B51" w:rsidP="00C3392E">
            <w:pPr>
              <w:spacing w:after="0" w:line="240" w:lineRule="auto"/>
              <w:jc w:val="center"/>
              <w:rPr>
                <w:rFonts w:eastAsia="Times New Roman" w:cs="Times New Roman"/>
                <w:b/>
                <w:bCs/>
                <w:color w:val="000000"/>
                <w:szCs w:val="24"/>
              </w:rPr>
            </w:pPr>
            <w:r w:rsidRPr="0055589E">
              <w:rPr>
                <w:b/>
                <w:bCs/>
              </w:rPr>
              <w:t>3,315</w:t>
            </w:r>
          </w:p>
        </w:tc>
        <w:tc>
          <w:tcPr>
            <w:tcW w:w="1950" w:type="dxa"/>
          </w:tcPr>
          <w:p w14:paraId="1FE5CF8A" w14:textId="7407B381" w:rsidR="00C3392E" w:rsidRPr="00897AED" w:rsidRDefault="000F5B51" w:rsidP="00C3392E">
            <w:pPr>
              <w:spacing w:after="0" w:line="240" w:lineRule="auto"/>
              <w:jc w:val="center"/>
              <w:rPr>
                <w:rFonts w:eastAsia="Times New Roman" w:cs="Times New Roman"/>
                <w:b/>
                <w:bCs/>
                <w:color w:val="000000"/>
                <w:szCs w:val="24"/>
              </w:rPr>
            </w:pPr>
            <w:r w:rsidRPr="0055589E">
              <w:rPr>
                <w:b/>
                <w:bCs/>
              </w:rPr>
              <w:t>1</w:t>
            </w:r>
            <w:r w:rsidR="008F1DDD" w:rsidRPr="0055589E">
              <w:rPr>
                <w:b/>
                <w:bCs/>
              </w:rPr>
              <w:t>2</w:t>
            </w:r>
          </w:p>
        </w:tc>
      </w:tr>
      <w:tr w:rsidR="00A15C2C" w14:paraId="1E3895D0" w14:textId="77777777" w:rsidTr="00800C73">
        <w:trPr>
          <w:trHeight w:val="310"/>
          <w:jc w:val="center"/>
        </w:trPr>
        <w:tc>
          <w:tcPr>
            <w:tcW w:w="15136" w:type="dxa"/>
            <w:gridSpan w:val="8"/>
            <w:shd w:val="clear" w:color="auto" w:fill="D9D9D9" w:themeFill="background1" w:themeFillShade="D9"/>
            <w:noWrap/>
            <w:vAlign w:val="bottom"/>
          </w:tcPr>
          <w:p w14:paraId="15314534" w14:textId="77777777" w:rsidR="005C25FA" w:rsidRPr="000B32DD" w:rsidRDefault="000F5B51" w:rsidP="00800C73">
            <w:pPr>
              <w:spacing w:after="0" w:line="240" w:lineRule="auto"/>
              <w:jc w:val="center"/>
              <w:rPr>
                <w:b/>
                <w:bCs/>
                <w:i/>
                <w:iCs/>
                <w:color w:val="000000"/>
              </w:rPr>
            </w:pPr>
            <w:r>
              <w:rPr>
                <w:b/>
                <w:bCs/>
                <w:i/>
                <w:iCs/>
                <w:color w:val="000000"/>
              </w:rPr>
              <w:t>Light Trucks</w:t>
            </w:r>
          </w:p>
        </w:tc>
      </w:tr>
      <w:tr w:rsidR="00234846" w14:paraId="2951969E" w14:textId="77777777" w:rsidTr="00A35991">
        <w:trPr>
          <w:trHeight w:val="170"/>
          <w:jc w:val="center"/>
        </w:trPr>
        <w:tc>
          <w:tcPr>
            <w:tcW w:w="1488" w:type="dxa"/>
            <w:shd w:val="clear" w:color="auto" w:fill="auto"/>
            <w:noWrap/>
            <w:vAlign w:val="bottom"/>
            <w:hideMark/>
          </w:tcPr>
          <w:p w14:paraId="7BD80FB2" w14:textId="77777777" w:rsidR="00234846" w:rsidRPr="00954B78" w:rsidRDefault="00234846" w:rsidP="00234846">
            <w:pPr>
              <w:spacing w:after="0" w:line="240" w:lineRule="auto"/>
              <w:rPr>
                <w:rFonts w:eastAsia="Times New Roman" w:cs="Times New Roman"/>
                <w:color w:val="000000"/>
                <w:szCs w:val="24"/>
              </w:rPr>
            </w:pPr>
            <w:r>
              <w:rPr>
                <w:rFonts w:eastAsia="Times New Roman" w:cs="Times New Roman"/>
                <w:color w:val="000000"/>
                <w:szCs w:val="24"/>
              </w:rPr>
              <w:t>MAIS 1</w:t>
            </w:r>
          </w:p>
        </w:tc>
        <w:tc>
          <w:tcPr>
            <w:tcW w:w="1949" w:type="dxa"/>
            <w:vAlign w:val="center"/>
          </w:tcPr>
          <w:p w14:paraId="2ADF1647" w14:textId="3BB510AC" w:rsidR="00234846" w:rsidRPr="00954B78" w:rsidRDefault="00234846" w:rsidP="00234846">
            <w:pPr>
              <w:spacing w:after="0" w:line="240" w:lineRule="auto"/>
              <w:jc w:val="center"/>
              <w:rPr>
                <w:rFonts w:cs="Times New Roman"/>
                <w:color w:val="000000"/>
                <w:szCs w:val="24"/>
              </w:rPr>
            </w:pPr>
            <w:r>
              <w:rPr>
                <w:color w:val="000000"/>
              </w:rPr>
              <w:t>21,418</w:t>
            </w:r>
          </w:p>
        </w:tc>
        <w:tc>
          <w:tcPr>
            <w:tcW w:w="1950" w:type="dxa"/>
            <w:shd w:val="clear" w:color="auto" w:fill="auto"/>
            <w:noWrap/>
          </w:tcPr>
          <w:p w14:paraId="4B6669F3" w14:textId="77777777" w:rsidR="00234846" w:rsidRPr="00954B78" w:rsidRDefault="00234846" w:rsidP="00234846">
            <w:pPr>
              <w:spacing w:after="0" w:line="240" w:lineRule="auto"/>
              <w:jc w:val="center"/>
              <w:rPr>
                <w:rFonts w:eastAsia="Times New Roman" w:cs="Times New Roman"/>
                <w:color w:val="000000"/>
                <w:szCs w:val="24"/>
              </w:rPr>
            </w:pPr>
            <w:r w:rsidRPr="009C6EC5">
              <w:t>0.055</w:t>
            </w:r>
          </w:p>
        </w:tc>
        <w:tc>
          <w:tcPr>
            <w:tcW w:w="1950" w:type="dxa"/>
            <w:shd w:val="clear" w:color="auto" w:fill="auto"/>
            <w:noWrap/>
            <w:vAlign w:val="bottom"/>
          </w:tcPr>
          <w:p w14:paraId="32FB660C" w14:textId="2C4D6277" w:rsidR="00234846" w:rsidRPr="00954B78" w:rsidRDefault="00234846" w:rsidP="00234846">
            <w:pPr>
              <w:spacing w:after="0" w:line="240" w:lineRule="auto"/>
              <w:jc w:val="center"/>
              <w:rPr>
                <w:rFonts w:eastAsia="Times New Roman" w:cs="Times New Roman"/>
                <w:color w:val="000000"/>
                <w:szCs w:val="24"/>
              </w:rPr>
            </w:pPr>
            <w:r w:rsidRPr="00CC5ED5">
              <w:rPr>
                <w:rFonts w:cs="Times New Roman"/>
                <w:color w:val="000000"/>
                <w:szCs w:val="24"/>
              </w:rPr>
              <w:t>0.9202</w:t>
            </w:r>
          </w:p>
        </w:tc>
        <w:tc>
          <w:tcPr>
            <w:tcW w:w="1949" w:type="dxa"/>
            <w:shd w:val="clear" w:color="auto" w:fill="auto"/>
            <w:noWrap/>
            <w:vAlign w:val="center"/>
          </w:tcPr>
          <w:p w14:paraId="71869ADF" w14:textId="2FC729C0" w:rsidR="00234846" w:rsidRPr="00954B78" w:rsidRDefault="00234846" w:rsidP="00234846">
            <w:pPr>
              <w:spacing w:after="0" w:line="240" w:lineRule="auto"/>
              <w:jc w:val="center"/>
              <w:rPr>
                <w:rFonts w:eastAsia="Times New Roman" w:cs="Times New Roman"/>
                <w:color w:val="000000"/>
                <w:szCs w:val="24"/>
              </w:rPr>
            </w:pPr>
            <w:r>
              <w:rPr>
                <w:color w:val="000000"/>
              </w:rPr>
              <w:t>1,084</w:t>
            </w:r>
          </w:p>
        </w:tc>
        <w:tc>
          <w:tcPr>
            <w:tcW w:w="1950" w:type="dxa"/>
          </w:tcPr>
          <w:p w14:paraId="53F045E9" w14:textId="06997F46" w:rsidR="00234846" w:rsidRPr="00954B78" w:rsidRDefault="00234846" w:rsidP="00234846">
            <w:pPr>
              <w:spacing w:after="0" w:line="240" w:lineRule="auto"/>
              <w:jc w:val="center"/>
              <w:rPr>
                <w:rFonts w:eastAsia="Times New Roman" w:cs="Times New Roman"/>
                <w:color w:val="000000"/>
                <w:szCs w:val="24"/>
              </w:rPr>
            </w:pPr>
            <w:r w:rsidRPr="00CC5ED5">
              <w:t>0.9234</w:t>
            </w:r>
          </w:p>
        </w:tc>
        <w:tc>
          <w:tcPr>
            <w:tcW w:w="1950" w:type="dxa"/>
            <w:vAlign w:val="center"/>
          </w:tcPr>
          <w:p w14:paraId="43B6E0DF" w14:textId="49B44FB6" w:rsidR="00234846" w:rsidRPr="00954B78" w:rsidRDefault="00234846" w:rsidP="00234846">
            <w:pPr>
              <w:spacing w:after="0" w:line="240" w:lineRule="auto"/>
              <w:jc w:val="center"/>
              <w:rPr>
                <w:rFonts w:eastAsia="Times New Roman" w:cs="Times New Roman"/>
                <w:color w:val="000000"/>
                <w:szCs w:val="24"/>
              </w:rPr>
            </w:pPr>
            <w:r>
              <w:rPr>
                <w:color w:val="000000"/>
              </w:rPr>
              <w:t>1,088</w:t>
            </w:r>
          </w:p>
        </w:tc>
        <w:tc>
          <w:tcPr>
            <w:tcW w:w="1950" w:type="dxa"/>
            <w:vAlign w:val="center"/>
          </w:tcPr>
          <w:p w14:paraId="59DDB40F" w14:textId="2562C433" w:rsidR="00234846" w:rsidRPr="00954B78" w:rsidRDefault="00234846" w:rsidP="00234846">
            <w:pPr>
              <w:spacing w:after="0" w:line="240" w:lineRule="auto"/>
              <w:jc w:val="center"/>
              <w:rPr>
                <w:rFonts w:eastAsia="Times New Roman" w:cs="Times New Roman"/>
                <w:color w:val="000000"/>
                <w:szCs w:val="24"/>
              </w:rPr>
            </w:pPr>
            <w:r>
              <w:rPr>
                <w:color w:val="000000"/>
              </w:rPr>
              <w:t>4</w:t>
            </w:r>
          </w:p>
        </w:tc>
      </w:tr>
      <w:tr w:rsidR="00234846" w14:paraId="68415A33" w14:textId="77777777" w:rsidTr="00A35991">
        <w:trPr>
          <w:trHeight w:val="310"/>
          <w:jc w:val="center"/>
        </w:trPr>
        <w:tc>
          <w:tcPr>
            <w:tcW w:w="1488" w:type="dxa"/>
            <w:shd w:val="clear" w:color="auto" w:fill="auto"/>
            <w:noWrap/>
            <w:hideMark/>
          </w:tcPr>
          <w:p w14:paraId="3A0BE5D8" w14:textId="77777777" w:rsidR="00234846" w:rsidRPr="00954B78" w:rsidRDefault="00234846" w:rsidP="00234846">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2</w:t>
            </w:r>
          </w:p>
        </w:tc>
        <w:tc>
          <w:tcPr>
            <w:tcW w:w="1949" w:type="dxa"/>
            <w:vAlign w:val="center"/>
          </w:tcPr>
          <w:p w14:paraId="757D5D04" w14:textId="590D8C27" w:rsidR="00234846" w:rsidRPr="00954B78" w:rsidRDefault="00234846" w:rsidP="00234846">
            <w:pPr>
              <w:spacing w:after="0" w:line="240" w:lineRule="auto"/>
              <w:jc w:val="center"/>
              <w:rPr>
                <w:rFonts w:cs="Times New Roman"/>
                <w:color w:val="000000"/>
                <w:szCs w:val="24"/>
              </w:rPr>
            </w:pPr>
            <w:r>
              <w:rPr>
                <w:color w:val="000000"/>
              </w:rPr>
              <w:t>12,789</w:t>
            </w:r>
          </w:p>
        </w:tc>
        <w:tc>
          <w:tcPr>
            <w:tcW w:w="1950" w:type="dxa"/>
            <w:shd w:val="clear" w:color="auto" w:fill="auto"/>
            <w:noWrap/>
          </w:tcPr>
          <w:p w14:paraId="65666294" w14:textId="77777777" w:rsidR="00234846" w:rsidRPr="00954B78" w:rsidRDefault="00234846" w:rsidP="00234846">
            <w:pPr>
              <w:spacing w:after="0" w:line="240" w:lineRule="auto"/>
              <w:jc w:val="center"/>
              <w:rPr>
                <w:rFonts w:eastAsia="Times New Roman" w:cs="Times New Roman"/>
                <w:color w:val="000000"/>
                <w:szCs w:val="24"/>
              </w:rPr>
            </w:pPr>
            <w:r w:rsidRPr="009C6EC5">
              <w:t>0.5</w:t>
            </w:r>
            <w:r>
              <w:t>00</w:t>
            </w:r>
          </w:p>
        </w:tc>
        <w:tc>
          <w:tcPr>
            <w:tcW w:w="1950" w:type="dxa"/>
            <w:shd w:val="clear" w:color="auto" w:fill="auto"/>
            <w:noWrap/>
            <w:vAlign w:val="bottom"/>
          </w:tcPr>
          <w:p w14:paraId="23E0B8FC" w14:textId="77C693C6" w:rsidR="00234846" w:rsidRPr="00954B78" w:rsidRDefault="00234846" w:rsidP="00234846">
            <w:pPr>
              <w:spacing w:after="0" w:line="240" w:lineRule="auto"/>
              <w:jc w:val="center"/>
              <w:rPr>
                <w:rFonts w:eastAsia="Times New Roman" w:cs="Times New Roman"/>
                <w:color w:val="000000"/>
                <w:szCs w:val="24"/>
              </w:rPr>
            </w:pPr>
            <w:r w:rsidRPr="00CC5ED5">
              <w:rPr>
                <w:rFonts w:cs="Times New Roman"/>
                <w:color w:val="000000"/>
                <w:szCs w:val="24"/>
              </w:rPr>
              <w:t>0.9202</w:t>
            </w:r>
          </w:p>
        </w:tc>
        <w:tc>
          <w:tcPr>
            <w:tcW w:w="1949" w:type="dxa"/>
            <w:shd w:val="clear" w:color="auto" w:fill="auto"/>
            <w:noWrap/>
            <w:vAlign w:val="center"/>
          </w:tcPr>
          <w:p w14:paraId="7F2560A1" w14:textId="18200A71" w:rsidR="00234846" w:rsidRPr="00954B78" w:rsidRDefault="00234846" w:rsidP="00234846">
            <w:pPr>
              <w:spacing w:after="0" w:line="240" w:lineRule="auto"/>
              <w:jc w:val="center"/>
              <w:rPr>
                <w:rFonts w:eastAsia="Times New Roman" w:cs="Times New Roman"/>
                <w:color w:val="000000"/>
                <w:szCs w:val="24"/>
              </w:rPr>
            </w:pPr>
            <w:r>
              <w:rPr>
                <w:color w:val="000000"/>
              </w:rPr>
              <w:t>5,884</w:t>
            </w:r>
          </w:p>
        </w:tc>
        <w:tc>
          <w:tcPr>
            <w:tcW w:w="1950" w:type="dxa"/>
          </w:tcPr>
          <w:p w14:paraId="57F8EC75" w14:textId="203D601A" w:rsidR="00234846" w:rsidRPr="00954B78" w:rsidRDefault="00234846" w:rsidP="00234846">
            <w:pPr>
              <w:spacing w:after="0" w:line="240" w:lineRule="auto"/>
              <w:jc w:val="center"/>
              <w:rPr>
                <w:rFonts w:eastAsia="Times New Roman" w:cs="Times New Roman"/>
                <w:color w:val="000000"/>
                <w:szCs w:val="24"/>
              </w:rPr>
            </w:pPr>
            <w:r w:rsidRPr="00CC5ED5">
              <w:t>0.9234</w:t>
            </w:r>
          </w:p>
        </w:tc>
        <w:tc>
          <w:tcPr>
            <w:tcW w:w="1950" w:type="dxa"/>
            <w:vAlign w:val="center"/>
          </w:tcPr>
          <w:p w14:paraId="03943AF8" w14:textId="6D9C911F" w:rsidR="00234846" w:rsidRPr="00954B78" w:rsidRDefault="00234846" w:rsidP="00234846">
            <w:pPr>
              <w:spacing w:after="0" w:line="240" w:lineRule="auto"/>
              <w:jc w:val="center"/>
              <w:rPr>
                <w:rFonts w:eastAsia="Times New Roman" w:cs="Times New Roman"/>
                <w:color w:val="000000"/>
                <w:szCs w:val="24"/>
              </w:rPr>
            </w:pPr>
            <w:r>
              <w:rPr>
                <w:color w:val="000000"/>
              </w:rPr>
              <w:t>5,905</w:t>
            </w:r>
          </w:p>
        </w:tc>
        <w:tc>
          <w:tcPr>
            <w:tcW w:w="1950" w:type="dxa"/>
            <w:vAlign w:val="center"/>
          </w:tcPr>
          <w:p w14:paraId="68A6F63C" w14:textId="2A783DA3" w:rsidR="00234846" w:rsidRPr="00954B78" w:rsidRDefault="00234846" w:rsidP="00234846">
            <w:pPr>
              <w:spacing w:after="0" w:line="240" w:lineRule="auto"/>
              <w:jc w:val="center"/>
              <w:rPr>
                <w:rFonts w:eastAsia="Times New Roman" w:cs="Times New Roman"/>
                <w:color w:val="000000"/>
                <w:szCs w:val="24"/>
              </w:rPr>
            </w:pPr>
            <w:r>
              <w:rPr>
                <w:color w:val="000000"/>
              </w:rPr>
              <w:t>20</w:t>
            </w:r>
          </w:p>
        </w:tc>
      </w:tr>
      <w:tr w:rsidR="00234846" w14:paraId="02ADECA4" w14:textId="77777777" w:rsidTr="00A35991">
        <w:trPr>
          <w:trHeight w:val="310"/>
          <w:jc w:val="center"/>
        </w:trPr>
        <w:tc>
          <w:tcPr>
            <w:tcW w:w="1488" w:type="dxa"/>
            <w:shd w:val="clear" w:color="auto" w:fill="auto"/>
            <w:noWrap/>
            <w:hideMark/>
          </w:tcPr>
          <w:p w14:paraId="2E2E40C7" w14:textId="77777777" w:rsidR="00234846" w:rsidRPr="00954B78" w:rsidRDefault="00234846" w:rsidP="00234846">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3</w:t>
            </w:r>
          </w:p>
        </w:tc>
        <w:tc>
          <w:tcPr>
            <w:tcW w:w="1949" w:type="dxa"/>
            <w:vAlign w:val="center"/>
          </w:tcPr>
          <w:p w14:paraId="3F77DB80" w14:textId="61E154EE" w:rsidR="00234846" w:rsidRPr="00954B78" w:rsidRDefault="00234846" w:rsidP="00234846">
            <w:pPr>
              <w:spacing w:after="0" w:line="240" w:lineRule="auto"/>
              <w:jc w:val="center"/>
              <w:rPr>
                <w:rFonts w:cs="Times New Roman"/>
                <w:color w:val="000000"/>
                <w:szCs w:val="24"/>
              </w:rPr>
            </w:pPr>
            <w:r>
              <w:rPr>
                <w:color w:val="000000"/>
              </w:rPr>
              <w:t>83</w:t>
            </w:r>
          </w:p>
        </w:tc>
        <w:tc>
          <w:tcPr>
            <w:tcW w:w="1950" w:type="dxa"/>
            <w:shd w:val="clear" w:color="auto" w:fill="auto"/>
            <w:noWrap/>
          </w:tcPr>
          <w:p w14:paraId="742C82BB" w14:textId="77777777" w:rsidR="00234846" w:rsidRPr="00954B78" w:rsidRDefault="00234846" w:rsidP="00234846">
            <w:pPr>
              <w:spacing w:after="0" w:line="240" w:lineRule="auto"/>
              <w:jc w:val="center"/>
              <w:rPr>
                <w:rFonts w:eastAsia="Times New Roman" w:cs="Times New Roman"/>
                <w:color w:val="000000"/>
                <w:szCs w:val="24"/>
              </w:rPr>
            </w:pPr>
            <w:r w:rsidRPr="009C6EC5">
              <w:t>0.5</w:t>
            </w:r>
            <w:r>
              <w:t>00</w:t>
            </w:r>
          </w:p>
        </w:tc>
        <w:tc>
          <w:tcPr>
            <w:tcW w:w="1950" w:type="dxa"/>
            <w:shd w:val="clear" w:color="auto" w:fill="auto"/>
            <w:noWrap/>
            <w:vAlign w:val="bottom"/>
          </w:tcPr>
          <w:p w14:paraId="6AA039D7" w14:textId="1C840994" w:rsidR="00234846" w:rsidRPr="00954B78" w:rsidRDefault="00234846" w:rsidP="00234846">
            <w:pPr>
              <w:spacing w:after="0" w:line="240" w:lineRule="auto"/>
              <w:jc w:val="center"/>
              <w:rPr>
                <w:rFonts w:eastAsia="Times New Roman" w:cs="Times New Roman"/>
                <w:color w:val="000000"/>
                <w:szCs w:val="24"/>
              </w:rPr>
            </w:pPr>
            <w:r w:rsidRPr="00CC5ED5">
              <w:rPr>
                <w:rFonts w:cs="Times New Roman"/>
                <w:color w:val="000000"/>
                <w:szCs w:val="24"/>
              </w:rPr>
              <w:t>0.9202</w:t>
            </w:r>
          </w:p>
        </w:tc>
        <w:tc>
          <w:tcPr>
            <w:tcW w:w="1949" w:type="dxa"/>
            <w:shd w:val="clear" w:color="auto" w:fill="auto"/>
            <w:noWrap/>
            <w:vAlign w:val="center"/>
          </w:tcPr>
          <w:p w14:paraId="1FD7DB54" w14:textId="10702173" w:rsidR="00234846" w:rsidRPr="00954B78" w:rsidRDefault="00234846" w:rsidP="00234846">
            <w:pPr>
              <w:spacing w:after="0" w:line="240" w:lineRule="auto"/>
              <w:jc w:val="center"/>
              <w:rPr>
                <w:rFonts w:eastAsia="Times New Roman" w:cs="Times New Roman"/>
                <w:color w:val="000000"/>
                <w:szCs w:val="24"/>
              </w:rPr>
            </w:pPr>
            <w:r>
              <w:rPr>
                <w:color w:val="000000"/>
              </w:rPr>
              <w:t>38</w:t>
            </w:r>
          </w:p>
        </w:tc>
        <w:tc>
          <w:tcPr>
            <w:tcW w:w="1950" w:type="dxa"/>
          </w:tcPr>
          <w:p w14:paraId="3705E069" w14:textId="38BFF279" w:rsidR="00234846" w:rsidRPr="00954B78" w:rsidRDefault="00234846" w:rsidP="00234846">
            <w:pPr>
              <w:spacing w:after="0" w:line="240" w:lineRule="auto"/>
              <w:jc w:val="center"/>
              <w:rPr>
                <w:rFonts w:eastAsia="Times New Roman" w:cs="Times New Roman"/>
                <w:color w:val="000000"/>
                <w:szCs w:val="24"/>
              </w:rPr>
            </w:pPr>
            <w:r w:rsidRPr="00CC5ED5">
              <w:t>0.9234</w:t>
            </w:r>
          </w:p>
        </w:tc>
        <w:tc>
          <w:tcPr>
            <w:tcW w:w="1950" w:type="dxa"/>
            <w:vAlign w:val="center"/>
          </w:tcPr>
          <w:p w14:paraId="777EED24" w14:textId="36C5E08D" w:rsidR="00234846" w:rsidRPr="00954B78" w:rsidRDefault="00234846" w:rsidP="00234846">
            <w:pPr>
              <w:spacing w:after="0" w:line="240" w:lineRule="auto"/>
              <w:jc w:val="center"/>
              <w:rPr>
                <w:rFonts w:eastAsia="Times New Roman" w:cs="Times New Roman"/>
                <w:color w:val="000000"/>
                <w:szCs w:val="24"/>
              </w:rPr>
            </w:pPr>
            <w:r>
              <w:rPr>
                <w:color w:val="000000"/>
              </w:rPr>
              <w:t>38</w:t>
            </w:r>
          </w:p>
        </w:tc>
        <w:tc>
          <w:tcPr>
            <w:tcW w:w="1950" w:type="dxa"/>
            <w:tcBorders>
              <w:right w:val="single" w:sz="4" w:space="0" w:color="auto"/>
            </w:tcBorders>
            <w:vAlign w:val="center"/>
          </w:tcPr>
          <w:p w14:paraId="5B5C657A" w14:textId="60445DD5" w:rsidR="00234846" w:rsidRPr="00954B78" w:rsidRDefault="00234846" w:rsidP="00234846">
            <w:pPr>
              <w:spacing w:after="0" w:line="240" w:lineRule="auto"/>
              <w:jc w:val="center"/>
              <w:rPr>
                <w:rFonts w:eastAsia="Times New Roman" w:cs="Times New Roman"/>
                <w:color w:val="000000"/>
                <w:szCs w:val="24"/>
              </w:rPr>
            </w:pPr>
            <w:r>
              <w:rPr>
                <w:color w:val="000000"/>
              </w:rPr>
              <w:t>0</w:t>
            </w:r>
          </w:p>
        </w:tc>
      </w:tr>
      <w:tr w:rsidR="00234846" w14:paraId="7EB2A8B2" w14:textId="77777777" w:rsidTr="00A35991">
        <w:trPr>
          <w:trHeight w:val="310"/>
          <w:jc w:val="center"/>
        </w:trPr>
        <w:tc>
          <w:tcPr>
            <w:tcW w:w="1488" w:type="dxa"/>
            <w:shd w:val="clear" w:color="auto" w:fill="auto"/>
            <w:noWrap/>
            <w:hideMark/>
          </w:tcPr>
          <w:p w14:paraId="655BF198" w14:textId="77777777" w:rsidR="00234846" w:rsidRPr="00954B78" w:rsidRDefault="00234846" w:rsidP="00234846">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4</w:t>
            </w:r>
          </w:p>
        </w:tc>
        <w:tc>
          <w:tcPr>
            <w:tcW w:w="1949" w:type="dxa"/>
            <w:vAlign w:val="center"/>
          </w:tcPr>
          <w:p w14:paraId="13503FE5" w14:textId="39D0A1B3" w:rsidR="00234846" w:rsidRPr="00954B78" w:rsidRDefault="00234846" w:rsidP="00234846">
            <w:pPr>
              <w:spacing w:after="0" w:line="240" w:lineRule="auto"/>
              <w:jc w:val="center"/>
              <w:rPr>
                <w:rFonts w:cs="Times New Roman"/>
                <w:color w:val="000000"/>
                <w:szCs w:val="24"/>
              </w:rPr>
            </w:pPr>
            <w:r>
              <w:rPr>
                <w:color w:val="000000"/>
              </w:rPr>
              <w:t>600</w:t>
            </w:r>
          </w:p>
        </w:tc>
        <w:tc>
          <w:tcPr>
            <w:tcW w:w="1950" w:type="dxa"/>
            <w:shd w:val="clear" w:color="auto" w:fill="auto"/>
            <w:noWrap/>
          </w:tcPr>
          <w:p w14:paraId="08AFFF59" w14:textId="77777777" w:rsidR="00234846" w:rsidRPr="00954B78" w:rsidRDefault="00234846" w:rsidP="00234846">
            <w:pPr>
              <w:spacing w:after="0" w:line="240" w:lineRule="auto"/>
              <w:jc w:val="center"/>
              <w:rPr>
                <w:rFonts w:eastAsia="Times New Roman" w:cs="Times New Roman"/>
                <w:color w:val="000000"/>
                <w:szCs w:val="24"/>
              </w:rPr>
            </w:pPr>
            <w:r w:rsidRPr="009C6EC5">
              <w:t>0.5</w:t>
            </w:r>
            <w:r>
              <w:t>00</w:t>
            </w:r>
          </w:p>
        </w:tc>
        <w:tc>
          <w:tcPr>
            <w:tcW w:w="1950" w:type="dxa"/>
            <w:shd w:val="clear" w:color="auto" w:fill="auto"/>
            <w:noWrap/>
            <w:vAlign w:val="bottom"/>
          </w:tcPr>
          <w:p w14:paraId="62E3B3ED" w14:textId="13D82A65" w:rsidR="00234846" w:rsidRPr="00954B78" w:rsidRDefault="00234846" w:rsidP="00234846">
            <w:pPr>
              <w:spacing w:after="0" w:line="240" w:lineRule="auto"/>
              <w:jc w:val="center"/>
              <w:rPr>
                <w:rFonts w:eastAsia="Times New Roman" w:cs="Times New Roman"/>
                <w:color w:val="000000"/>
                <w:szCs w:val="24"/>
              </w:rPr>
            </w:pPr>
            <w:r w:rsidRPr="00CC5ED5">
              <w:rPr>
                <w:rFonts w:cs="Times New Roman"/>
                <w:color w:val="000000"/>
                <w:szCs w:val="24"/>
              </w:rPr>
              <w:t>0.9202</w:t>
            </w:r>
          </w:p>
        </w:tc>
        <w:tc>
          <w:tcPr>
            <w:tcW w:w="1949" w:type="dxa"/>
            <w:shd w:val="clear" w:color="auto" w:fill="auto"/>
            <w:noWrap/>
            <w:vAlign w:val="center"/>
          </w:tcPr>
          <w:p w14:paraId="547A6696" w14:textId="66DF1A6A" w:rsidR="00234846" w:rsidRPr="00954B78" w:rsidRDefault="00234846" w:rsidP="00234846">
            <w:pPr>
              <w:spacing w:after="0" w:line="240" w:lineRule="auto"/>
              <w:jc w:val="center"/>
              <w:rPr>
                <w:rFonts w:eastAsia="Times New Roman" w:cs="Times New Roman"/>
                <w:color w:val="000000"/>
                <w:szCs w:val="24"/>
              </w:rPr>
            </w:pPr>
            <w:r>
              <w:rPr>
                <w:color w:val="000000"/>
              </w:rPr>
              <w:t>276</w:t>
            </w:r>
          </w:p>
        </w:tc>
        <w:tc>
          <w:tcPr>
            <w:tcW w:w="1950" w:type="dxa"/>
          </w:tcPr>
          <w:p w14:paraId="76BE5A03" w14:textId="1805376A" w:rsidR="00234846" w:rsidRPr="00954B78" w:rsidRDefault="00234846" w:rsidP="00234846">
            <w:pPr>
              <w:spacing w:after="0" w:line="240" w:lineRule="auto"/>
              <w:jc w:val="center"/>
              <w:rPr>
                <w:rFonts w:eastAsia="Times New Roman" w:cs="Times New Roman"/>
                <w:color w:val="000000"/>
                <w:szCs w:val="24"/>
              </w:rPr>
            </w:pPr>
            <w:r w:rsidRPr="00CC5ED5">
              <w:t>0.9234</w:t>
            </w:r>
          </w:p>
        </w:tc>
        <w:tc>
          <w:tcPr>
            <w:tcW w:w="1950" w:type="dxa"/>
            <w:vAlign w:val="center"/>
          </w:tcPr>
          <w:p w14:paraId="7F9016E7" w14:textId="1B2BAE5C" w:rsidR="00234846" w:rsidRPr="00954B78" w:rsidRDefault="00234846" w:rsidP="00234846">
            <w:pPr>
              <w:spacing w:after="0" w:line="240" w:lineRule="auto"/>
              <w:jc w:val="center"/>
              <w:rPr>
                <w:rFonts w:eastAsia="Times New Roman" w:cs="Times New Roman"/>
                <w:color w:val="000000"/>
                <w:szCs w:val="24"/>
              </w:rPr>
            </w:pPr>
            <w:r>
              <w:rPr>
                <w:color w:val="000000"/>
              </w:rPr>
              <w:t>277</w:t>
            </w:r>
          </w:p>
        </w:tc>
        <w:tc>
          <w:tcPr>
            <w:tcW w:w="1950" w:type="dxa"/>
            <w:tcBorders>
              <w:right w:val="single" w:sz="4" w:space="0" w:color="auto"/>
            </w:tcBorders>
            <w:vAlign w:val="center"/>
          </w:tcPr>
          <w:p w14:paraId="55CB98D3" w14:textId="75CCB285" w:rsidR="00234846" w:rsidRPr="00954B78" w:rsidRDefault="00234846" w:rsidP="00234846">
            <w:pPr>
              <w:spacing w:after="0" w:line="240" w:lineRule="auto"/>
              <w:jc w:val="center"/>
              <w:rPr>
                <w:rFonts w:eastAsia="Times New Roman" w:cs="Times New Roman"/>
                <w:color w:val="000000"/>
                <w:szCs w:val="24"/>
              </w:rPr>
            </w:pPr>
            <w:r>
              <w:rPr>
                <w:color w:val="000000"/>
              </w:rPr>
              <w:t>1</w:t>
            </w:r>
          </w:p>
        </w:tc>
      </w:tr>
      <w:tr w:rsidR="00234846" w14:paraId="318871F9" w14:textId="77777777" w:rsidTr="00A35991">
        <w:trPr>
          <w:trHeight w:val="310"/>
          <w:jc w:val="center"/>
        </w:trPr>
        <w:tc>
          <w:tcPr>
            <w:tcW w:w="1488" w:type="dxa"/>
            <w:shd w:val="clear" w:color="auto" w:fill="auto"/>
            <w:noWrap/>
            <w:hideMark/>
          </w:tcPr>
          <w:p w14:paraId="26FEB0E6" w14:textId="77777777" w:rsidR="00234846" w:rsidRPr="00954B78" w:rsidRDefault="00234846" w:rsidP="00234846">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5</w:t>
            </w:r>
          </w:p>
        </w:tc>
        <w:tc>
          <w:tcPr>
            <w:tcW w:w="1949" w:type="dxa"/>
            <w:vAlign w:val="center"/>
          </w:tcPr>
          <w:p w14:paraId="13D52154" w14:textId="48E993DF" w:rsidR="00234846" w:rsidRPr="00954B78" w:rsidRDefault="00234846" w:rsidP="00234846">
            <w:pPr>
              <w:spacing w:after="0" w:line="240" w:lineRule="auto"/>
              <w:jc w:val="center"/>
              <w:rPr>
                <w:rFonts w:cs="Times New Roman"/>
                <w:color w:val="000000"/>
                <w:szCs w:val="24"/>
              </w:rPr>
            </w:pPr>
            <w:r>
              <w:rPr>
                <w:color w:val="000000"/>
              </w:rPr>
              <w:t>43</w:t>
            </w:r>
          </w:p>
        </w:tc>
        <w:tc>
          <w:tcPr>
            <w:tcW w:w="1950" w:type="dxa"/>
            <w:shd w:val="clear" w:color="auto" w:fill="auto"/>
            <w:noWrap/>
          </w:tcPr>
          <w:p w14:paraId="726C48B6" w14:textId="77777777" w:rsidR="00234846" w:rsidRPr="00954B78" w:rsidRDefault="00234846" w:rsidP="00234846">
            <w:pPr>
              <w:spacing w:after="0" w:line="240" w:lineRule="auto"/>
              <w:jc w:val="center"/>
              <w:rPr>
                <w:rFonts w:eastAsia="Times New Roman" w:cs="Times New Roman"/>
                <w:color w:val="000000"/>
                <w:szCs w:val="24"/>
              </w:rPr>
            </w:pPr>
            <w:r w:rsidRPr="009C6EC5">
              <w:t>0.5</w:t>
            </w:r>
            <w:r>
              <w:t>00</w:t>
            </w:r>
          </w:p>
        </w:tc>
        <w:tc>
          <w:tcPr>
            <w:tcW w:w="1950" w:type="dxa"/>
            <w:shd w:val="clear" w:color="auto" w:fill="auto"/>
            <w:noWrap/>
            <w:vAlign w:val="bottom"/>
          </w:tcPr>
          <w:p w14:paraId="3F2E6CF9" w14:textId="43DAC015" w:rsidR="00234846" w:rsidRPr="00954B78" w:rsidRDefault="00234846" w:rsidP="00234846">
            <w:pPr>
              <w:spacing w:after="0" w:line="240" w:lineRule="auto"/>
              <w:jc w:val="center"/>
              <w:rPr>
                <w:rFonts w:eastAsia="Times New Roman" w:cs="Times New Roman"/>
                <w:color w:val="000000"/>
                <w:szCs w:val="24"/>
              </w:rPr>
            </w:pPr>
            <w:r w:rsidRPr="00CC5ED5">
              <w:rPr>
                <w:rFonts w:cs="Times New Roman"/>
                <w:color w:val="000000"/>
                <w:szCs w:val="24"/>
              </w:rPr>
              <w:t>0.9202</w:t>
            </w:r>
          </w:p>
        </w:tc>
        <w:tc>
          <w:tcPr>
            <w:tcW w:w="1949" w:type="dxa"/>
            <w:shd w:val="clear" w:color="auto" w:fill="auto"/>
            <w:noWrap/>
            <w:vAlign w:val="center"/>
          </w:tcPr>
          <w:p w14:paraId="731753DC" w14:textId="3A07B8F3" w:rsidR="00234846" w:rsidRPr="00954B78" w:rsidRDefault="00234846" w:rsidP="00234846">
            <w:pPr>
              <w:spacing w:after="0" w:line="240" w:lineRule="auto"/>
              <w:jc w:val="center"/>
              <w:rPr>
                <w:rFonts w:eastAsia="Times New Roman" w:cs="Times New Roman"/>
                <w:color w:val="000000"/>
                <w:szCs w:val="24"/>
              </w:rPr>
            </w:pPr>
            <w:r>
              <w:rPr>
                <w:color w:val="000000"/>
              </w:rPr>
              <w:t>20</w:t>
            </w:r>
          </w:p>
        </w:tc>
        <w:tc>
          <w:tcPr>
            <w:tcW w:w="1950" w:type="dxa"/>
          </w:tcPr>
          <w:p w14:paraId="60F92318" w14:textId="554F1B84" w:rsidR="00234846" w:rsidRPr="00954B78" w:rsidRDefault="00234846" w:rsidP="00234846">
            <w:pPr>
              <w:spacing w:after="0" w:line="240" w:lineRule="auto"/>
              <w:jc w:val="center"/>
              <w:rPr>
                <w:rFonts w:eastAsia="Times New Roman" w:cs="Times New Roman"/>
                <w:color w:val="000000"/>
                <w:szCs w:val="24"/>
              </w:rPr>
            </w:pPr>
            <w:r w:rsidRPr="00CC5ED5">
              <w:t>0.9234</w:t>
            </w:r>
          </w:p>
        </w:tc>
        <w:tc>
          <w:tcPr>
            <w:tcW w:w="1950" w:type="dxa"/>
            <w:vAlign w:val="center"/>
          </w:tcPr>
          <w:p w14:paraId="50C43971" w14:textId="56DF7D9B" w:rsidR="00234846" w:rsidRPr="00954B78" w:rsidRDefault="00234846" w:rsidP="00234846">
            <w:pPr>
              <w:spacing w:after="0" w:line="240" w:lineRule="auto"/>
              <w:jc w:val="center"/>
              <w:rPr>
                <w:rFonts w:eastAsia="Times New Roman" w:cs="Times New Roman"/>
                <w:color w:val="000000"/>
                <w:szCs w:val="24"/>
              </w:rPr>
            </w:pPr>
            <w:r>
              <w:rPr>
                <w:color w:val="000000"/>
              </w:rPr>
              <w:t>20</w:t>
            </w:r>
          </w:p>
        </w:tc>
        <w:tc>
          <w:tcPr>
            <w:tcW w:w="1950" w:type="dxa"/>
            <w:vAlign w:val="center"/>
          </w:tcPr>
          <w:p w14:paraId="12DC8935" w14:textId="56E2774D" w:rsidR="00234846" w:rsidRPr="00954B78" w:rsidRDefault="00234846" w:rsidP="00234846">
            <w:pPr>
              <w:spacing w:after="0" w:line="240" w:lineRule="auto"/>
              <w:jc w:val="center"/>
              <w:rPr>
                <w:rFonts w:eastAsia="Times New Roman" w:cs="Times New Roman"/>
                <w:color w:val="000000"/>
                <w:szCs w:val="24"/>
              </w:rPr>
            </w:pPr>
            <w:r>
              <w:rPr>
                <w:color w:val="000000"/>
              </w:rPr>
              <w:t>0</w:t>
            </w:r>
          </w:p>
        </w:tc>
      </w:tr>
      <w:tr w:rsidR="00A15C2C" w14:paraId="760B6835" w14:textId="77777777" w:rsidTr="00800C73">
        <w:trPr>
          <w:trHeight w:val="310"/>
          <w:jc w:val="center"/>
        </w:trPr>
        <w:tc>
          <w:tcPr>
            <w:tcW w:w="1488" w:type="dxa"/>
            <w:shd w:val="clear" w:color="auto" w:fill="auto"/>
            <w:noWrap/>
            <w:vAlign w:val="bottom"/>
          </w:tcPr>
          <w:p w14:paraId="5A892E61" w14:textId="77777777" w:rsidR="00A4354A" w:rsidRPr="00012598" w:rsidRDefault="000F5B51" w:rsidP="00A4354A">
            <w:pPr>
              <w:spacing w:after="0" w:line="240" w:lineRule="auto"/>
              <w:rPr>
                <w:rFonts w:eastAsia="Times New Roman" w:cs="Times New Roman"/>
                <w:b/>
                <w:bCs/>
                <w:color w:val="000000"/>
                <w:sz w:val="23"/>
                <w:szCs w:val="23"/>
              </w:rPr>
            </w:pPr>
            <w:r w:rsidRPr="00012598">
              <w:rPr>
                <w:rFonts w:eastAsia="Times New Roman" w:cs="Times New Roman"/>
                <w:b/>
                <w:bCs/>
                <w:color w:val="000000"/>
                <w:sz w:val="23"/>
                <w:szCs w:val="23"/>
              </w:rPr>
              <w:t xml:space="preserve">Non-Fatal Injuries </w:t>
            </w:r>
          </w:p>
          <w:p w14:paraId="5BC51FAB" w14:textId="77777777" w:rsidR="00A4354A" w:rsidRPr="00012598" w:rsidRDefault="000F5B51" w:rsidP="00A4354A">
            <w:pPr>
              <w:spacing w:after="0" w:line="240" w:lineRule="auto"/>
              <w:rPr>
                <w:rFonts w:eastAsia="Times New Roman" w:cs="Times New Roman"/>
                <w:b/>
                <w:bCs/>
                <w:color w:val="000000"/>
                <w:sz w:val="23"/>
                <w:szCs w:val="23"/>
              </w:rPr>
            </w:pPr>
            <w:r w:rsidRPr="00012598">
              <w:rPr>
                <w:rFonts w:eastAsia="Times New Roman" w:cs="Times New Roman"/>
                <w:b/>
                <w:bCs/>
                <w:color w:val="000000"/>
                <w:sz w:val="23"/>
                <w:szCs w:val="23"/>
              </w:rPr>
              <w:t>(MAIS 1-5)</w:t>
            </w:r>
          </w:p>
        </w:tc>
        <w:tc>
          <w:tcPr>
            <w:tcW w:w="1949" w:type="dxa"/>
            <w:vAlign w:val="center"/>
          </w:tcPr>
          <w:p w14:paraId="345CDA8F" w14:textId="4907B690" w:rsidR="00A4354A" w:rsidRPr="008F4449" w:rsidRDefault="00B50226" w:rsidP="00A4354A">
            <w:pPr>
              <w:spacing w:after="0" w:line="240" w:lineRule="auto"/>
              <w:jc w:val="center"/>
              <w:rPr>
                <w:rFonts w:cs="Times New Roman"/>
                <w:b/>
                <w:color w:val="000000"/>
                <w:szCs w:val="24"/>
              </w:rPr>
            </w:pPr>
            <w:r>
              <w:rPr>
                <w:rFonts w:cs="Times New Roman"/>
                <w:b/>
                <w:color w:val="000000"/>
                <w:szCs w:val="24"/>
              </w:rPr>
              <w:t>34,933</w:t>
            </w:r>
          </w:p>
        </w:tc>
        <w:tc>
          <w:tcPr>
            <w:tcW w:w="1950" w:type="dxa"/>
            <w:shd w:val="clear" w:color="auto" w:fill="auto"/>
            <w:noWrap/>
            <w:vAlign w:val="center"/>
          </w:tcPr>
          <w:p w14:paraId="693967F4" w14:textId="77777777" w:rsidR="00A4354A" w:rsidRPr="0055589E" w:rsidRDefault="000F5B51" w:rsidP="00A4354A">
            <w:pPr>
              <w:spacing w:after="0" w:line="240" w:lineRule="auto"/>
              <w:jc w:val="center"/>
              <w:rPr>
                <w:rFonts w:cs="Times New Roman"/>
                <w:b/>
                <w:bCs/>
                <w:color w:val="000000"/>
                <w:szCs w:val="24"/>
              </w:rPr>
            </w:pPr>
            <w:r w:rsidRPr="0055589E">
              <w:rPr>
                <w:rFonts w:cs="Times New Roman"/>
                <w:b/>
                <w:bCs/>
                <w:color w:val="000000"/>
                <w:szCs w:val="24"/>
              </w:rPr>
              <w:t>-</w:t>
            </w:r>
          </w:p>
        </w:tc>
        <w:tc>
          <w:tcPr>
            <w:tcW w:w="1950" w:type="dxa"/>
            <w:shd w:val="clear" w:color="auto" w:fill="auto"/>
            <w:noWrap/>
            <w:vAlign w:val="center"/>
          </w:tcPr>
          <w:p w14:paraId="5A55EAD5" w14:textId="77777777" w:rsidR="00A4354A" w:rsidRPr="0055589E" w:rsidRDefault="000F5B51" w:rsidP="00A4354A">
            <w:pPr>
              <w:spacing w:after="0" w:line="240" w:lineRule="auto"/>
              <w:jc w:val="center"/>
              <w:rPr>
                <w:rFonts w:cs="Times New Roman"/>
                <w:b/>
                <w:bCs/>
                <w:color w:val="000000"/>
                <w:szCs w:val="24"/>
              </w:rPr>
            </w:pPr>
            <w:r w:rsidRPr="0055589E">
              <w:rPr>
                <w:rFonts w:cs="Times New Roman"/>
                <w:b/>
                <w:bCs/>
                <w:color w:val="000000"/>
                <w:szCs w:val="24"/>
              </w:rPr>
              <w:t>-</w:t>
            </w:r>
          </w:p>
        </w:tc>
        <w:tc>
          <w:tcPr>
            <w:tcW w:w="1949" w:type="dxa"/>
            <w:shd w:val="clear" w:color="auto" w:fill="auto"/>
            <w:noWrap/>
            <w:vAlign w:val="center"/>
          </w:tcPr>
          <w:p w14:paraId="2D1EDC80" w14:textId="47F39A3D" w:rsidR="00A4354A" w:rsidRPr="008F4449" w:rsidRDefault="00E67F9D" w:rsidP="00A4354A">
            <w:pPr>
              <w:spacing w:after="0" w:line="240" w:lineRule="auto"/>
              <w:jc w:val="center"/>
              <w:rPr>
                <w:rFonts w:cs="Times New Roman"/>
                <w:b/>
                <w:color w:val="000000"/>
                <w:szCs w:val="24"/>
              </w:rPr>
            </w:pPr>
            <w:r>
              <w:rPr>
                <w:rFonts w:cs="Times New Roman"/>
                <w:b/>
                <w:color w:val="000000"/>
                <w:szCs w:val="24"/>
              </w:rPr>
              <w:t>7,302</w:t>
            </w:r>
          </w:p>
        </w:tc>
        <w:tc>
          <w:tcPr>
            <w:tcW w:w="1950" w:type="dxa"/>
            <w:vAlign w:val="center"/>
          </w:tcPr>
          <w:p w14:paraId="13FDDC4A" w14:textId="77777777" w:rsidR="00A4354A" w:rsidRPr="008F4449" w:rsidRDefault="000F5B51" w:rsidP="00A4354A">
            <w:pPr>
              <w:spacing w:after="0" w:line="240" w:lineRule="auto"/>
              <w:jc w:val="center"/>
              <w:rPr>
                <w:rFonts w:cs="Times New Roman"/>
                <w:b/>
                <w:color w:val="000000"/>
                <w:szCs w:val="24"/>
              </w:rPr>
            </w:pPr>
            <w:r w:rsidRPr="008F4449">
              <w:rPr>
                <w:rFonts w:cs="Times New Roman"/>
                <w:b/>
                <w:color w:val="000000"/>
                <w:szCs w:val="24"/>
              </w:rPr>
              <w:t>-</w:t>
            </w:r>
          </w:p>
        </w:tc>
        <w:tc>
          <w:tcPr>
            <w:tcW w:w="1950" w:type="dxa"/>
            <w:vAlign w:val="center"/>
          </w:tcPr>
          <w:p w14:paraId="0CF8C8CB" w14:textId="6770ED86" w:rsidR="00A4354A" w:rsidRPr="008F4449" w:rsidRDefault="00234846" w:rsidP="00A4354A">
            <w:pPr>
              <w:spacing w:after="0" w:line="240" w:lineRule="auto"/>
              <w:jc w:val="center"/>
              <w:rPr>
                <w:rFonts w:cs="Times New Roman"/>
                <w:b/>
                <w:color w:val="000000"/>
                <w:szCs w:val="24"/>
              </w:rPr>
            </w:pPr>
            <w:r>
              <w:rPr>
                <w:rFonts w:cs="Times New Roman"/>
                <w:b/>
                <w:color w:val="000000"/>
                <w:szCs w:val="24"/>
              </w:rPr>
              <w:t>7,</w:t>
            </w:r>
            <w:r w:rsidR="00C12ACE">
              <w:rPr>
                <w:rFonts w:cs="Times New Roman"/>
                <w:b/>
                <w:color w:val="000000"/>
                <w:szCs w:val="24"/>
              </w:rPr>
              <w:t>328</w:t>
            </w:r>
          </w:p>
        </w:tc>
        <w:tc>
          <w:tcPr>
            <w:tcW w:w="1950" w:type="dxa"/>
            <w:vAlign w:val="center"/>
          </w:tcPr>
          <w:p w14:paraId="3F3BD948" w14:textId="479D567B" w:rsidR="00A4354A" w:rsidRPr="008F4449" w:rsidRDefault="00C12ACE" w:rsidP="00A4354A">
            <w:pPr>
              <w:spacing w:after="0" w:line="240" w:lineRule="auto"/>
              <w:jc w:val="center"/>
              <w:rPr>
                <w:rFonts w:cs="Times New Roman"/>
                <w:b/>
                <w:color w:val="000000"/>
                <w:szCs w:val="24"/>
              </w:rPr>
            </w:pPr>
            <w:r>
              <w:rPr>
                <w:rFonts w:cs="Times New Roman"/>
                <w:b/>
                <w:color w:val="000000"/>
                <w:szCs w:val="24"/>
              </w:rPr>
              <w:t>25</w:t>
            </w:r>
          </w:p>
        </w:tc>
      </w:tr>
      <w:tr w:rsidR="00A15C2C" w14:paraId="10970049" w14:textId="77777777" w:rsidTr="0055589E">
        <w:trPr>
          <w:trHeight w:val="310"/>
          <w:jc w:val="center"/>
        </w:trPr>
        <w:tc>
          <w:tcPr>
            <w:tcW w:w="1488" w:type="dxa"/>
            <w:shd w:val="clear" w:color="auto" w:fill="auto"/>
            <w:noWrap/>
            <w:vAlign w:val="bottom"/>
            <w:hideMark/>
          </w:tcPr>
          <w:p w14:paraId="2EA9BD47" w14:textId="77777777" w:rsidR="008F4449" w:rsidRPr="00012598" w:rsidRDefault="000F5B51" w:rsidP="008F4449">
            <w:pPr>
              <w:spacing w:after="0" w:line="240" w:lineRule="auto"/>
              <w:rPr>
                <w:rFonts w:eastAsia="Times New Roman" w:cs="Times New Roman"/>
                <w:b/>
                <w:bCs/>
                <w:color w:val="000000"/>
                <w:szCs w:val="24"/>
              </w:rPr>
            </w:pPr>
            <w:r w:rsidRPr="00012598">
              <w:rPr>
                <w:rFonts w:eastAsia="Times New Roman" w:cs="Times New Roman"/>
                <w:b/>
                <w:bCs/>
                <w:color w:val="000000"/>
                <w:szCs w:val="24"/>
              </w:rPr>
              <w:t>Fatality</w:t>
            </w:r>
          </w:p>
        </w:tc>
        <w:tc>
          <w:tcPr>
            <w:tcW w:w="1949" w:type="dxa"/>
            <w:vAlign w:val="center"/>
          </w:tcPr>
          <w:p w14:paraId="40CF28BB" w14:textId="77777777" w:rsidR="008F4449" w:rsidRPr="008F4449" w:rsidRDefault="000F5B51" w:rsidP="008F4449">
            <w:pPr>
              <w:spacing w:after="0" w:line="240" w:lineRule="auto"/>
              <w:jc w:val="center"/>
              <w:rPr>
                <w:rFonts w:cs="Times New Roman"/>
                <w:b/>
                <w:color w:val="000000"/>
                <w:szCs w:val="24"/>
              </w:rPr>
            </w:pPr>
            <w:r w:rsidRPr="008F4449">
              <w:rPr>
                <w:rFonts w:cs="Times New Roman"/>
                <w:b/>
                <w:color w:val="000000"/>
                <w:szCs w:val="24"/>
              </w:rPr>
              <w:t>10,081</w:t>
            </w:r>
          </w:p>
        </w:tc>
        <w:tc>
          <w:tcPr>
            <w:tcW w:w="1950" w:type="dxa"/>
            <w:shd w:val="clear" w:color="auto" w:fill="auto"/>
            <w:noWrap/>
            <w:vAlign w:val="center"/>
          </w:tcPr>
          <w:p w14:paraId="665A62E6" w14:textId="77777777" w:rsidR="008F4449" w:rsidRPr="008F4449" w:rsidRDefault="000F5B51" w:rsidP="008F4449">
            <w:pPr>
              <w:spacing w:after="0" w:line="240" w:lineRule="auto"/>
              <w:jc w:val="center"/>
              <w:rPr>
                <w:rFonts w:eastAsia="Times New Roman" w:cs="Times New Roman"/>
                <w:b/>
                <w:color w:val="000000"/>
                <w:szCs w:val="24"/>
              </w:rPr>
            </w:pPr>
            <w:r w:rsidRPr="008F4449">
              <w:rPr>
                <w:rFonts w:eastAsia="Times New Roman" w:cs="Times New Roman"/>
                <w:b/>
                <w:color w:val="000000"/>
                <w:szCs w:val="24"/>
              </w:rPr>
              <w:t>0.73</w:t>
            </w:r>
            <w:r w:rsidR="00CB07AD">
              <w:rPr>
                <w:rFonts w:eastAsia="Times New Roman" w:cs="Times New Roman"/>
                <w:b/>
                <w:color w:val="000000"/>
                <w:szCs w:val="24"/>
              </w:rPr>
              <w:t>0</w:t>
            </w:r>
          </w:p>
        </w:tc>
        <w:tc>
          <w:tcPr>
            <w:tcW w:w="1950" w:type="dxa"/>
            <w:shd w:val="clear" w:color="auto" w:fill="auto"/>
            <w:noWrap/>
            <w:vAlign w:val="center"/>
          </w:tcPr>
          <w:p w14:paraId="34911102" w14:textId="732E5FAD" w:rsidR="008F4449" w:rsidRPr="008F4449" w:rsidRDefault="000F5B51" w:rsidP="008F4449">
            <w:pPr>
              <w:spacing w:after="0" w:line="240" w:lineRule="auto"/>
              <w:jc w:val="center"/>
              <w:rPr>
                <w:rFonts w:eastAsia="Times New Roman" w:cs="Times New Roman"/>
                <w:b/>
                <w:color w:val="000000"/>
                <w:szCs w:val="24"/>
              </w:rPr>
            </w:pPr>
            <w:r w:rsidRPr="0055589E">
              <w:rPr>
                <w:b/>
                <w:bCs/>
              </w:rPr>
              <w:t>0.7965</w:t>
            </w:r>
          </w:p>
        </w:tc>
        <w:tc>
          <w:tcPr>
            <w:tcW w:w="1949" w:type="dxa"/>
            <w:shd w:val="clear" w:color="auto" w:fill="auto"/>
            <w:noWrap/>
            <w:vAlign w:val="center"/>
          </w:tcPr>
          <w:p w14:paraId="3C465271" w14:textId="068D3B73" w:rsidR="008F4449" w:rsidRPr="005E3D4C" w:rsidRDefault="000F5B51" w:rsidP="008F4449">
            <w:pPr>
              <w:spacing w:after="0" w:line="240" w:lineRule="auto"/>
              <w:jc w:val="center"/>
              <w:rPr>
                <w:rFonts w:eastAsia="Times New Roman" w:cs="Times New Roman"/>
                <w:b/>
                <w:bCs/>
                <w:color w:val="000000"/>
                <w:szCs w:val="24"/>
              </w:rPr>
            </w:pPr>
            <w:r w:rsidRPr="00897AED">
              <w:rPr>
                <w:rFonts w:eastAsia="Times New Roman" w:cs="Times New Roman"/>
                <w:b/>
                <w:bCs/>
                <w:color w:val="000000"/>
                <w:szCs w:val="24"/>
              </w:rPr>
              <w:t>5,862</w:t>
            </w:r>
          </w:p>
        </w:tc>
        <w:tc>
          <w:tcPr>
            <w:tcW w:w="1950" w:type="dxa"/>
          </w:tcPr>
          <w:p w14:paraId="70D59549" w14:textId="5553AFD4" w:rsidR="008F4449" w:rsidRPr="00897AED" w:rsidRDefault="000F5B51" w:rsidP="008F4449">
            <w:pPr>
              <w:spacing w:after="0" w:line="240" w:lineRule="auto"/>
              <w:jc w:val="center"/>
              <w:rPr>
                <w:b/>
                <w:bCs/>
                <w:color w:val="000000"/>
              </w:rPr>
            </w:pPr>
            <w:r w:rsidRPr="0055589E">
              <w:rPr>
                <w:b/>
                <w:bCs/>
              </w:rPr>
              <w:t>0.7993</w:t>
            </w:r>
          </w:p>
        </w:tc>
        <w:tc>
          <w:tcPr>
            <w:tcW w:w="1950" w:type="dxa"/>
          </w:tcPr>
          <w:p w14:paraId="4CCD025C" w14:textId="14B74160" w:rsidR="008F4449" w:rsidRPr="00897AED" w:rsidRDefault="000F5B51" w:rsidP="008F4449">
            <w:pPr>
              <w:spacing w:after="0" w:line="240" w:lineRule="auto"/>
              <w:jc w:val="center"/>
              <w:rPr>
                <w:rFonts w:eastAsia="Times New Roman" w:cs="Times New Roman"/>
                <w:b/>
                <w:bCs/>
                <w:color w:val="000000"/>
                <w:szCs w:val="24"/>
              </w:rPr>
            </w:pPr>
            <w:r w:rsidRPr="0055589E">
              <w:rPr>
                <w:b/>
                <w:bCs/>
              </w:rPr>
              <w:t>5,882</w:t>
            </w:r>
          </w:p>
        </w:tc>
        <w:tc>
          <w:tcPr>
            <w:tcW w:w="1950" w:type="dxa"/>
          </w:tcPr>
          <w:p w14:paraId="6FE0728A" w14:textId="2625D709" w:rsidR="008F4449" w:rsidRPr="00897AED" w:rsidRDefault="000F5B51" w:rsidP="008F4449">
            <w:pPr>
              <w:spacing w:after="0" w:line="240" w:lineRule="auto"/>
              <w:jc w:val="center"/>
              <w:rPr>
                <w:rFonts w:eastAsia="Times New Roman" w:cs="Times New Roman"/>
                <w:b/>
                <w:bCs/>
                <w:color w:val="000000"/>
                <w:szCs w:val="24"/>
              </w:rPr>
            </w:pPr>
            <w:r w:rsidRPr="0055589E">
              <w:rPr>
                <w:b/>
                <w:bCs/>
              </w:rPr>
              <w:t>20</w:t>
            </w:r>
          </w:p>
        </w:tc>
      </w:tr>
    </w:tbl>
    <w:p w14:paraId="0BF2B695" w14:textId="77777777" w:rsidR="004C7A1C" w:rsidRDefault="000F5B51" w:rsidP="004C7A1C">
      <w:pPr>
        <w:rPr>
          <w:rFonts w:eastAsia="Times New Roman" w:cs="Times New Roman"/>
          <w:szCs w:val="24"/>
        </w:rPr>
      </w:pPr>
      <w:r w:rsidRPr="00934F2C">
        <w:rPr>
          <w:sz w:val="18"/>
          <w:szCs w:val="18"/>
        </w:rPr>
        <w:t>Note: Values may not sum due to rounding. Totals are rounded to the nearest whole number for presentation purposes</w:t>
      </w:r>
      <w:r>
        <w:rPr>
          <w:sz w:val="18"/>
          <w:szCs w:val="18"/>
        </w:rPr>
        <w:t>.</w:t>
      </w:r>
    </w:p>
    <w:p w14:paraId="79531F3C" w14:textId="77777777" w:rsidR="00036C09" w:rsidRPr="005E3D4C" w:rsidRDefault="00036C09" w:rsidP="0055589E">
      <w:pPr>
        <w:sectPr w:rsidR="00036C09" w:rsidRPr="005E3D4C" w:rsidSect="0055589E">
          <w:pgSz w:w="15840" w:h="12240" w:orient="landscape" w:code="1"/>
          <w:pgMar w:top="1440" w:right="1440" w:bottom="1440" w:left="1440" w:header="720" w:footer="720" w:gutter="0"/>
          <w:cols w:space="720"/>
          <w:docGrid w:linePitch="360"/>
        </w:sectPr>
      </w:pPr>
    </w:p>
    <w:p w14:paraId="04E227FA" w14:textId="61931AC3" w:rsidR="00770757" w:rsidRDefault="000F5B51" w:rsidP="00770757">
      <w:r>
        <w:rPr>
          <w:rFonts w:eastAsia="Times New Roman" w:cs="Times New Roman"/>
          <w:szCs w:val="24"/>
        </w:rPr>
        <w:lastRenderedPageBreak/>
        <w:fldChar w:fldCharType="begin"/>
      </w:r>
      <w:r>
        <w:rPr>
          <w:rFonts w:eastAsia="Times New Roman" w:cs="Times New Roman"/>
          <w:szCs w:val="24"/>
        </w:rPr>
        <w:instrText xml:space="preserve"> REF _Ref126225732 \h </w:instrText>
      </w:r>
      <w:r>
        <w:rPr>
          <w:rFonts w:eastAsia="Times New Roman" w:cs="Times New Roman"/>
          <w:szCs w:val="24"/>
        </w:rPr>
      </w:r>
      <w:r>
        <w:rPr>
          <w:rFonts w:eastAsia="Times New Roman" w:cs="Times New Roman"/>
          <w:szCs w:val="24"/>
        </w:rPr>
        <w:fldChar w:fldCharType="separate"/>
      </w:r>
      <w:r w:rsidR="00A65CB3">
        <w:t xml:space="preserve">Table </w:t>
      </w:r>
      <w:r w:rsidR="00A65CB3">
        <w:rPr>
          <w:noProof/>
        </w:rPr>
        <w:t>59</w:t>
      </w:r>
      <w:r>
        <w:rPr>
          <w:rFonts w:eastAsia="Times New Roman" w:cs="Times New Roman"/>
          <w:szCs w:val="24"/>
        </w:rPr>
        <w:fldChar w:fldCharType="end"/>
      </w:r>
      <w:r>
        <w:rPr>
          <w:rFonts w:eastAsia="Times New Roman" w:cs="Times New Roman"/>
          <w:szCs w:val="24"/>
        </w:rPr>
        <w:t xml:space="preserve"> </w:t>
      </w:r>
      <w:r>
        <w:t>presents a summary of the</w:t>
      </w:r>
      <w:r w:rsidR="00C00EBC">
        <w:t xml:space="preserve"> annual</w:t>
      </w:r>
      <w:r>
        <w:t xml:space="preserve"> incremental benefits for </w:t>
      </w:r>
      <w:r w:rsidR="00C00EBC">
        <w:t>drivers</w:t>
      </w:r>
      <w:r>
        <w:t xml:space="preserve"> associated with the proposed </w:t>
      </w:r>
      <w:r w:rsidRPr="008B4065">
        <w:t>rule</w:t>
      </w:r>
      <w:r w:rsidR="001F2F92" w:rsidRPr="008B4065">
        <w:t xml:space="preserve">. </w:t>
      </w:r>
      <w:r w:rsidR="00AD3FDE" w:rsidRPr="008B4065">
        <w:t xml:space="preserve">For drivers in passenger cars, the requirements for an indefinite warning would prevent </w:t>
      </w:r>
      <w:r w:rsidR="00841B98" w:rsidRPr="008B4065">
        <w:t>25 fatalities and 1</w:t>
      </w:r>
      <w:r w:rsidR="008B4065" w:rsidRPr="00957074">
        <w:t>26</w:t>
      </w:r>
      <w:r w:rsidR="00841B98" w:rsidRPr="008B4065">
        <w:t xml:space="preserve"> non-fatal injuries, annually</w:t>
      </w:r>
      <w:r w:rsidR="001F2F92" w:rsidRPr="008B4065">
        <w:t xml:space="preserve">. </w:t>
      </w:r>
      <w:r w:rsidR="00841B98" w:rsidRPr="008B4065">
        <w:t xml:space="preserve">For drivers in LTVs, the requirements for an </w:t>
      </w:r>
      <w:r w:rsidR="006128DC" w:rsidRPr="008B4065">
        <w:t>indefinite</w:t>
      </w:r>
      <w:r w:rsidR="00841B98" w:rsidRPr="008B4065">
        <w:t xml:space="preserve"> warning would prevent </w:t>
      </w:r>
      <w:r w:rsidR="006128DC" w:rsidRPr="008B4065">
        <w:t>41 fatalities and 5</w:t>
      </w:r>
      <w:r w:rsidR="008B4065" w:rsidRPr="00957074">
        <w:t>4</w:t>
      </w:r>
      <w:r w:rsidR="006128DC" w:rsidRPr="008B4065">
        <w:t xml:space="preserve"> non-fatal injuries, annually.</w:t>
      </w:r>
    </w:p>
    <w:p w14:paraId="732459F0" w14:textId="2A5336E4" w:rsidR="00770757" w:rsidRDefault="000F5B51" w:rsidP="00770757">
      <w:pPr>
        <w:pStyle w:val="Caption"/>
      </w:pPr>
      <w:r>
        <w:t xml:space="preserve">Table </w:t>
      </w:r>
      <w:r w:rsidR="00115BAB">
        <w:fldChar w:fldCharType="begin"/>
      </w:r>
      <w:r>
        <w:instrText xml:space="preserve"> SEQ Table \* ARABIC </w:instrText>
      </w:r>
      <w:r w:rsidR="00115BAB">
        <w:fldChar w:fldCharType="separate"/>
      </w:r>
      <w:r w:rsidR="00A65CB3">
        <w:rPr>
          <w:noProof/>
        </w:rPr>
        <w:t>52</w:t>
      </w:r>
      <w:r w:rsidR="00115BAB">
        <w:rPr>
          <w:noProof/>
        </w:rPr>
        <w:fldChar w:fldCharType="end"/>
      </w:r>
      <w:r>
        <w:t xml:space="preserve">: Summary of </w:t>
      </w:r>
      <w:r w:rsidR="00AD3FDE">
        <w:t xml:space="preserve">Annual </w:t>
      </w:r>
      <w:r>
        <w:t>Incremental Benefits for Drivers</w:t>
      </w:r>
    </w:p>
    <w:tbl>
      <w:tblPr>
        <w:tblStyle w:val="TableGrid"/>
        <w:tblW w:w="9887" w:type="dxa"/>
        <w:tblLook w:val="04A0" w:firstRow="1" w:lastRow="0" w:firstColumn="1" w:lastColumn="0" w:noHBand="0" w:noVBand="1"/>
      </w:tblPr>
      <w:tblGrid>
        <w:gridCol w:w="2471"/>
        <w:gridCol w:w="2471"/>
        <w:gridCol w:w="2473"/>
        <w:gridCol w:w="2472"/>
      </w:tblGrid>
      <w:tr w:rsidR="00A15C2C" w14:paraId="22A5B2A8" w14:textId="77777777" w:rsidTr="00800C73">
        <w:trPr>
          <w:trHeight w:val="433"/>
        </w:trPr>
        <w:tc>
          <w:tcPr>
            <w:tcW w:w="2471" w:type="dxa"/>
            <w:vMerge w:val="restart"/>
            <w:shd w:val="clear" w:color="auto" w:fill="D9D9D9" w:themeFill="background1" w:themeFillShade="D9"/>
            <w:vAlign w:val="center"/>
          </w:tcPr>
          <w:p w14:paraId="549B4E43" w14:textId="77777777" w:rsidR="0018650A" w:rsidRDefault="000F5B51" w:rsidP="0018650A">
            <w:pPr>
              <w:spacing w:line="240" w:lineRule="auto"/>
              <w:rPr>
                <w:b/>
                <w:bCs/>
              </w:rPr>
            </w:pPr>
            <w:r>
              <w:rPr>
                <w:b/>
                <w:bCs/>
              </w:rPr>
              <w:t>Injury Severity</w:t>
            </w:r>
          </w:p>
        </w:tc>
        <w:tc>
          <w:tcPr>
            <w:tcW w:w="7416" w:type="dxa"/>
            <w:gridSpan w:val="3"/>
            <w:shd w:val="clear" w:color="auto" w:fill="D9D9D9" w:themeFill="background1" w:themeFillShade="D9"/>
            <w:vAlign w:val="center"/>
          </w:tcPr>
          <w:p w14:paraId="651646C4" w14:textId="77777777" w:rsidR="0018650A" w:rsidRPr="00DA0C97" w:rsidRDefault="000F5B51" w:rsidP="0018650A">
            <w:pPr>
              <w:spacing w:line="240" w:lineRule="auto"/>
              <w:jc w:val="center"/>
              <w:rPr>
                <w:b/>
                <w:bCs/>
              </w:rPr>
            </w:pPr>
            <w:r>
              <w:rPr>
                <w:b/>
                <w:bCs/>
              </w:rPr>
              <w:t>Incremental Benefits</w:t>
            </w:r>
          </w:p>
        </w:tc>
      </w:tr>
      <w:tr w:rsidR="00A15C2C" w14:paraId="41CB108F" w14:textId="77777777" w:rsidTr="0055589E">
        <w:trPr>
          <w:trHeight w:val="433"/>
        </w:trPr>
        <w:tc>
          <w:tcPr>
            <w:tcW w:w="2471" w:type="dxa"/>
            <w:vMerge/>
            <w:shd w:val="clear" w:color="auto" w:fill="D9D9D9" w:themeFill="background1" w:themeFillShade="D9"/>
            <w:vAlign w:val="center"/>
          </w:tcPr>
          <w:p w14:paraId="49C3AE9F" w14:textId="77777777" w:rsidR="0018650A" w:rsidRPr="00DA0C97" w:rsidRDefault="0018650A" w:rsidP="0018650A">
            <w:pPr>
              <w:spacing w:line="240" w:lineRule="auto"/>
              <w:rPr>
                <w:b/>
                <w:bCs/>
              </w:rPr>
            </w:pPr>
          </w:p>
        </w:tc>
        <w:tc>
          <w:tcPr>
            <w:tcW w:w="2471" w:type="dxa"/>
            <w:shd w:val="clear" w:color="auto" w:fill="D9D9D9" w:themeFill="background1" w:themeFillShade="D9"/>
            <w:vAlign w:val="center"/>
          </w:tcPr>
          <w:p w14:paraId="730EF08F" w14:textId="77777777" w:rsidR="0018650A" w:rsidRPr="00DA0C97" w:rsidRDefault="000F5B51" w:rsidP="0018650A">
            <w:pPr>
              <w:spacing w:line="240" w:lineRule="auto"/>
              <w:jc w:val="center"/>
              <w:rPr>
                <w:b/>
                <w:bCs/>
              </w:rPr>
            </w:pPr>
            <w:r>
              <w:rPr>
                <w:b/>
                <w:bCs/>
              </w:rPr>
              <w:t>7-Second</w:t>
            </w:r>
          </w:p>
        </w:tc>
        <w:tc>
          <w:tcPr>
            <w:tcW w:w="2473" w:type="dxa"/>
            <w:shd w:val="clear" w:color="auto" w:fill="D9D9D9" w:themeFill="background1" w:themeFillShade="D9"/>
            <w:vAlign w:val="center"/>
          </w:tcPr>
          <w:p w14:paraId="1F2FA63F" w14:textId="77777777" w:rsidR="0018650A" w:rsidRPr="00DA0C97" w:rsidRDefault="000F5B51" w:rsidP="0018650A">
            <w:pPr>
              <w:spacing w:line="240" w:lineRule="auto"/>
              <w:jc w:val="center"/>
              <w:rPr>
                <w:b/>
                <w:bCs/>
              </w:rPr>
            </w:pPr>
            <w:r>
              <w:rPr>
                <w:b/>
                <w:bCs/>
              </w:rPr>
              <w:t>90-Second</w:t>
            </w:r>
          </w:p>
        </w:tc>
        <w:tc>
          <w:tcPr>
            <w:tcW w:w="2472" w:type="dxa"/>
            <w:shd w:val="clear" w:color="auto" w:fill="D9D9D9" w:themeFill="background1" w:themeFillShade="D9"/>
            <w:vAlign w:val="center"/>
          </w:tcPr>
          <w:p w14:paraId="020981F4" w14:textId="77777777" w:rsidR="006700E8" w:rsidRPr="00DA0C97" w:rsidRDefault="000F5B51">
            <w:pPr>
              <w:spacing w:line="240" w:lineRule="auto"/>
              <w:jc w:val="center"/>
              <w:rPr>
                <w:b/>
                <w:bCs/>
              </w:rPr>
            </w:pPr>
            <w:r>
              <w:rPr>
                <w:b/>
                <w:bCs/>
              </w:rPr>
              <w:t>Total</w:t>
            </w:r>
          </w:p>
        </w:tc>
      </w:tr>
      <w:tr w:rsidR="00A15C2C" w14:paraId="0E5D6099" w14:textId="77777777" w:rsidTr="0055589E">
        <w:trPr>
          <w:trHeight w:val="144"/>
        </w:trPr>
        <w:tc>
          <w:tcPr>
            <w:tcW w:w="9887" w:type="dxa"/>
            <w:gridSpan w:val="4"/>
            <w:shd w:val="clear" w:color="auto" w:fill="D9D9D9" w:themeFill="background1" w:themeFillShade="D9"/>
            <w:vAlign w:val="center"/>
          </w:tcPr>
          <w:p w14:paraId="26470A28" w14:textId="77777777" w:rsidR="0018650A" w:rsidRPr="0055589E" w:rsidRDefault="000F5B51" w:rsidP="00044F2E">
            <w:pPr>
              <w:spacing w:line="240" w:lineRule="auto"/>
              <w:jc w:val="center"/>
              <w:rPr>
                <w:b/>
                <w:bCs/>
                <w:i/>
                <w:iCs/>
              </w:rPr>
            </w:pPr>
            <w:r>
              <w:rPr>
                <w:b/>
                <w:bCs/>
                <w:i/>
                <w:iCs/>
              </w:rPr>
              <w:t>Passenger Cars</w:t>
            </w:r>
          </w:p>
        </w:tc>
      </w:tr>
      <w:tr w:rsidR="001A1550" w14:paraId="51EC1B23" w14:textId="77777777" w:rsidTr="0055589E">
        <w:trPr>
          <w:trHeight w:val="288"/>
        </w:trPr>
        <w:tc>
          <w:tcPr>
            <w:tcW w:w="2471" w:type="dxa"/>
            <w:vAlign w:val="center"/>
          </w:tcPr>
          <w:p w14:paraId="2F4F8CAC" w14:textId="77777777" w:rsidR="001A1550" w:rsidRDefault="001A1550" w:rsidP="001A1550">
            <w:pPr>
              <w:spacing w:line="240" w:lineRule="auto"/>
            </w:pPr>
            <w:r>
              <w:rPr>
                <w:color w:val="000000"/>
              </w:rPr>
              <w:t>MAIS 1</w:t>
            </w:r>
          </w:p>
        </w:tc>
        <w:tc>
          <w:tcPr>
            <w:tcW w:w="2471" w:type="dxa"/>
            <w:vAlign w:val="center"/>
          </w:tcPr>
          <w:p w14:paraId="19D47A14" w14:textId="5BFB853E" w:rsidR="001A1550" w:rsidRDefault="001A1550" w:rsidP="001A1550">
            <w:pPr>
              <w:spacing w:line="240" w:lineRule="auto"/>
              <w:jc w:val="center"/>
            </w:pPr>
            <w:r>
              <w:rPr>
                <w:color w:val="000000"/>
              </w:rPr>
              <w:t>7</w:t>
            </w:r>
          </w:p>
        </w:tc>
        <w:tc>
          <w:tcPr>
            <w:tcW w:w="2473" w:type="dxa"/>
            <w:vAlign w:val="center"/>
          </w:tcPr>
          <w:p w14:paraId="075C11B5" w14:textId="5B3372E3" w:rsidR="001A1550" w:rsidRDefault="001A1550" w:rsidP="001A1550">
            <w:pPr>
              <w:spacing w:line="240" w:lineRule="auto"/>
              <w:jc w:val="center"/>
            </w:pPr>
            <w:r>
              <w:rPr>
                <w:color w:val="000000"/>
              </w:rPr>
              <w:t>5</w:t>
            </w:r>
          </w:p>
        </w:tc>
        <w:tc>
          <w:tcPr>
            <w:tcW w:w="2472" w:type="dxa"/>
            <w:vAlign w:val="center"/>
          </w:tcPr>
          <w:p w14:paraId="72200852" w14:textId="5FCB66B9" w:rsidR="001A1550" w:rsidRDefault="001A1550" w:rsidP="001A1550">
            <w:pPr>
              <w:spacing w:line="240" w:lineRule="auto"/>
              <w:jc w:val="center"/>
            </w:pPr>
            <w:r>
              <w:rPr>
                <w:color w:val="000000"/>
              </w:rPr>
              <w:t>12</w:t>
            </w:r>
          </w:p>
        </w:tc>
      </w:tr>
      <w:tr w:rsidR="001A1550" w14:paraId="6DCCBD6D" w14:textId="77777777" w:rsidTr="0055589E">
        <w:trPr>
          <w:trHeight w:val="288"/>
        </w:trPr>
        <w:tc>
          <w:tcPr>
            <w:tcW w:w="2471" w:type="dxa"/>
            <w:vAlign w:val="center"/>
          </w:tcPr>
          <w:p w14:paraId="69D9F68A" w14:textId="77777777" w:rsidR="001A1550" w:rsidRDefault="001A1550" w:rsidP="001A1550">
            <w:pPr>
              <w:spacing w:line="240" w:lineRule="auto"/>
            </w:pPr>
            <w:r>
              <w:rPr>
                <w:color w:val="000000"/>
              </w:rPr>
              <w:t>MAIS 2</w:t>
            </w:r>
          </w:p>
        </w:tc>
        <w:tc>
          <w:tcPr>
            <w:tcW w:w="2471" w:type="dxa"/>
            <w:vAlign w:val="center"/>
          </w:tcPr>
          <w:p w14:paraId="69D3EA64" w14:textId="1930B581" w:rsidR="001A1550" w:rsidRDefault="001A1550" w:rsidP="001A1550">
            <w:pPr>
              <w:spacing w:line="240" w:lineRule="auto"/>
              <w:jc w:val="center"/>
            </w:pPr>
            <w:r>
              <w:rPr>
                <w:color w:val="000000"/>
              </w:rPr>
              <w:t>40</w:t>
            </w:r>
          </w:p>
        </w:tc>
        <w:tc>
          <w:tcPr>
            <w:tcW w:w="2473" w:type="dxa"/>
            <w:vAlign w:val="center"/>
          </w:tcPr>
          <w:p w14:paraId="01D3EB81" w14:textId="7CAFD7B9" w:rsidR="001A1550" w:rsidRDefault="001A1550" w:rsidP="001A1550">
            <w:pPr>
              <w:spacing w:line="240" w:lineRule="auto"/>
              <w:jc w:val="center"/>
            </w:pPr>
            <w:r>
              <w:rPr>
                <w:color w:val="000000"/>
              </w:rPr>
              <w:t>37</w:t>
            </w:r>
          </w:p>
        </w:tc>
        <w:tc>
          <w:tcPr>
            <w:tcW w:w="2472" w:type="dxa"/>
            <w:vAlign w:val="center"/>
          </w:tcPr>
          <w:p w14:paraId="39FE59ED" w14:textId="00F3C773" w:rsidR="001A1550" w:rsidRDefault="001A1550" w:rsidP="001A1550">
            <w:pPr>
              <w:spacing w:line="240" w:lineRule="auto"/>
              <w:jc w:val="center"/>
            </w:pPr>
            <w:r>
              <w:rPr>
                <w:color w:val="000000"/>
              </w:rPr>
              <w:t>77</w:t>
            </w:r>
          </w:p>
        </w:tc>
      </w:tr>
      <w:tr w:rsidR="001A1550" w14:paraId="74810A93" w14:textId="77777777" w:rsidTr="0055589E">
        <w:trPr>
          <w:trHeight w:val="288"/>
        </w:trPr>
        <w:tc>
          <w:tcPr>
            <w:tcW w:w="2471" w:type="dxa"/>
            <w:vAlign w:val="center"/>
          </w:tcPr>
          <w:p w14:paraId="628BF7C1" w14:textId="77777777" w:rsidR="001A1550" w:rsidRDefault="001A1550" w:rsidP="001A1550">
            <w:pPr>
              <w:spacing w:line="240" w:lineRule="auto"/>
            </w:pPr>
            <w:r>
              <w:rPr>
                <w:color w:val="000000"/>
              </w:rPr>
              <w:t>MAIS 3</w:t>
            </w:r>
          </w:p>
        </w:tc>
        <w:tc>
          <w:tcPr>
            <w:tcW w:w="2471" w:type="dxa"/>
            <w:vAlign w:val="center"/>
          </w:tcPr>
          <w:p w14:paraId="2EAC9C61" w14:textId="23374857" w:rsidR="001A1550" w:rsidRDefault="001A1550" w:rsidP="001A1550">
            <w:pPr>
              <w:spacing w:line="240" w:lineRule="auto"/>
              <w:jc w:val="center"/>
            </w:pPr>
            <w:r>
              <w:rPr>
                <w:color w:val="000000"/>
              </w:rPr>
              <w:t>11</w:t>
            </w:r>
          </w:p>
        </w:tc>
        <w:tc>
          <w:tcPr>
            <w:tcW w:w="2473" w:type="dxa"/>
            <w:vAlign w:val="center"/>
          </w:tcPr>
          <w:p w14:paraId="2EF7F2FB" w14:textId="1ADF08FA" w:rsidR="001A1550" w:rsidRDefault="001A1550" w:rsidP="001A1550">
            <w:pPr>
              <w:spacing w:line="240" w:lineRule="auto"/>
              <w:jc w:val="center"/>
            </w:pPr>
            <w:r>
              <w:rPr>
                <w:color w:val="000000"/>
              </w:rPr>
              <w:t>10</w:t>
            </w:r>
          </w:p>
        </w:tc>
        <w:tc>
          <w:tcPr>
            <w:tcW w:w="2472" w:type="dxa"/>
            <w:vAlign w:val="center"/>
          </w:tcPr>
          <w:p w14:paraId="7931546E" w14:textId="796815DA" w:rsidR="001A1550" w:rsidRDefault="001A1550" w:rsidP="001A1550">
            <w:pPr>
              <w:spacing w:line="240" w:lineRule="auto"/>
              <w:jc w:val="center"/>
            </w:pPr>
            <w:r>
              <w:rPr>
                <w:color w:val="000000"/>
              </w:rPr>
              <w:t>21</w:t>
            </w:r>
          </w:p>
        </w:tc>
      </w:tr>
      <w:tr w:rsidR="001A1550" w14:paraId="1B8846D3" w14:textId="77777777" w:rsidTr="0055589E">
        <w:trPr>
          <w:trHeight w:val="288"/>
        </w:trPr>
        <w:tc>
          <w:tcPr>
            <w:tcW w:w="2471" w:type="dxa"/>
            <w:vAlign w:val="center"/>
          </w:tcPr>
          <w:p w14:paraId="157FAB1B" w14:textId="77777777" w:rsidR="001A1550" w:rsidRDefault="001A1550" w:rsidP="001A1550">
            <w:pPr>
              <w:spacing w:line="240" w:lineRule="auto"/>
            </w:pPr>
            <w:r>
              <w:rPr>
                <w:color w:val="000000"/>
              </w:rPr>
              <w:t>MAIS 4</w:t>
            </w:r>
          </w:p>
        </w:tc>
        <w:tc>
          <w:tcPr>
            <w:tcW w:w="2471" w:type="dxa"/>
            <w:vAlign w:val="center"/>
          </w:tcPr>
          <w:p w14:paraId="5DD3EE78" w14:textId="291B4924" w:rsidR="001A1550" w:rsidRDefault="001A1550" w:rsidP="001A1550">
            <w:pPr>
              <w:spacing w:line="240" w:lineRule="auto"/>
              <w:jc w:val="center"/>
            </w:pPr>
            <w:r>
              <w:rPr>
                <w:color w:val="000000"/>
              </w:rPr>
              <w:t>8</w:t>
            </w:r>
          </w:p>
        </w:tc>
        <w:tc>
          <w:tcPr>
            <w:tcW w:w="2473" w:type="dxa"/>
            <w:vAlign w:val="center"/>
          </w:tcPr>
          <w:p w14:paraId="26704C42" w14:textId="16D1AC64" w:rsidR="001A1550" w:rsidRDefault="001A1550" w:rsidP="001A1550">
            <w:pPr>
              <w:spacing w:line="240" w:lineRule="auto"/>
              <w:jc w:val="center"/>
            </w:pPr>
            <w:r>
              <w:rPr>
                <w:color w:val="000000"/>
              </w:rPr>
              <w:t>7</w:t>
            </w:r>
          </w:p>
        </w:tc>
        <w:tc>
          <w:tcPr>
            <w:tcW w:w="2472" w:type="dxa"/>
            <w:vAlign w:val="center"/>
          </w:tcPr>
          <w:p w14:paraId="3D2A5193" w14:textId="04CF48A8" w:rsidR="001A1550" w:rsidRDefault="001A1550" w:rsidP="001A1550">
            <w:pPr>
              <w:spacing w:line="240" w:lineRule="auto"/>
              <w:jc w:val="center"/>
            </w:pPr>
            <w:r>
              <w:rPr>
                <w:color w:val="000000"/>
              </w:rPr>
              <w:t>15</w:t>
            </w:r>
          </w:p>
        </w:tc>
      </w:tr>
      <w:tr w:rsidR="001A1550" w14:paraId="609A0CAA" w14:textId="77777777" w:rsidTr="0055589E">
        <w:trPr>
          <w:trHeight w:val="288"/>
        </w:trPr>
        <w:tc>
          <w:tcPr>
            <w:tcW w:w="2471" w:type="dxa"/>
            <w:vAlign w:val="center"/>
          </w:tcPr>
          <w:p w14:paraId="5611DEFF" w14:textId="77777777" w:rsidR="001A1550" w:rsidRDefault="001A1550" w:rsidP="001A1550">
            <w:pPr>
              <w:spacing w:line="240" w:lineRule="auto"/>
            </w:pPr>
            <w:r>
              <w:rPr>
                <w:color w:val="000000"/>
              </w:rPr>
              <w:t>MAIS 5</w:t>
            </w:r>
          </w:p>
        </w:tc>
        <w:tc>
          <w:tcPr>
            <w:tcW w:w="2471" w:type="dxa"/>
            <w:vAlign w:val="center"/>
          </w:tcPr>
          <w:p w14:paraId="06A4CE62" w14:textId="1F22FDB8" w:rsidR="001A1550" w:rsidRDefault="001A1550" w:rsidP="001A1550">
            <w:pPr>
              <w:spacing w:line="240" w:lineRule="auto"/>
              <w:jc w:val="center"/>
            </w:pPr>
            <w:r>
              <w:rPr>
                <w:color w:val="000000"/>
              </w:rPr>
              <w:t>0</w:t>
            </w:r>
          </w:p>
        </w:tc>
        <w:tc>
          <w:tcPr>
            <w:tcW w:w="2473" w:type="dxa"/>
            <w:vAlign w:val="center"/>
          </w:tcPr>
          <w:p w14:paraId="7B8E2EBC" w14:textId="1C6C4786" w:rsidR="001A1550" w:rsidRDefault="001A1550" w:rsidP="001A1550">
            <w:pPr>
              <w:spacing w:line="240" w:lineRule="auto"/>
              <w:jc w:val="center"/>
            </w:pPr>
            <w:r>
              <w:rPr>
                <w:color w:val="000000"/>
              </w:rPr>
              <w:t>0</w:t>
            </w:r>
          </w:p>
        </w:tc>
        <w:tc>
          <w:tcPr>
            <w:tcW w:w="2472" w:type="dxa"/>
            <w:vAlign w:val="center"/>
          </w:tcPr>
          <w:p w14:paraId="18A3D7CA" w14:textId="0100A4B1" w:rsidR="001A1550" w:rsidRDefault="001A1550" w:rsidP="001A1550">
            <w:pPr>
              <w:spacing w:line="240" w:lineRule="auto"/>
              <w:jc w:val="center"/>
            </w:pPr>
            <w:r>
              <w:rPr>
                <w:color w:val="000000"/>
              </w:rPr>
              <w:t>0</w:t>
            </w:r>
          </w:p>
        </w:tc>
      </w:tr>
      <w:tr w:rsidR="00A15C2C" w14:paraId="27C4D0A9" w14:textId="77777777" w:rsidTr="0055589E">
        <w:trPr>
          <w:trHeight w:val="288"/>
        </w:trPr>
        <w:tc>
          <w:tcPr>
            <w:tcW w:w="2471" w:type="dxa"/>
            <w:vAlign w:val="center"/>
          </w:tcPr>
          <w:p w14:paraId="10E4BD03" w14:textId="77777777" w:rsidR="00E12A6A" w:rsidRPr="00A47008" w:rsidRDefault="000F5B51" w:rsidP="00E12A6A">
            <w:pPr>
              <w:spacing w:line="240" w:lineRule="auto"/>
            </w:pPr>
            <w:r w:rsidRPr="0055589E">
              <w:rPr>
                <w:color w:val="000000"/>
                <w:sz w:val="23"/>
                <w:szCs w:val="23"/>
              </w:rPr>
              <w:t>Non-Fatal Injuries (MAIS 1-5)</w:t>
            </w:r>
          </w:p>
        </w:tc>
        <w:tc>
          <w:tcPr>
            <w:tcW w:w="2471" w:type="dxa"/>
            <w:vAlign w:val="center"/>
          </w:tcPr>
          <w:p w14:paraId="3233DB1B" w14:textId="10BAD8F2" w:rsidR="00E12A6A" w:rsidRPr="0055589E" w:rsidRDefault="00000130" w:rsidP="00E12A6A">
            <w:pPr>
              <w:spacing w:line="240" w:lineRule="auto"/>
              <w:jc w:val="center"/>
              <w:rPr>
                <w:b/>
                <w:bCs/>
              </w:rPr>
            </w:pPr>
            <w:r>
              <w:rPr>
                <w:color w:val="000000"/>
              </w:rPr>
              <w:t>67</w:t>
            </w:r>
          </w:p>
        </w:tc>
        <w:tc>
          <w:tcPr>
            <w:tcW w:w="2473" w:type="dxa"/>
            <w:vAlign w:val="center"/>
          </w:tcPr>
          <w:p w14:paraId="0A696B6F" w14:textId="6B2169B2" w:rsidR="00E12A6A" w:rsidRPr="0055589E" w:rsidRDefault="00000130" w:rsidP="00E12A6A">
            <w:pPr>
              <w:spacing w:line="240" w:lineRule="auto"/>
              <w:jc w:val="center"/>
              <w:rPr>
                <w:b/>
                <w:bCs/>
              </w:rPr>
            </w:pPr>
            <w:r>
              <w:rPr>
                <w:color w:val="000000"/>
              </w:rPr>
              <w:t>60</w:t>
            </w:r>
          </w:p>
        </w:tc>
        <w:tc>
          <w:tcPr>
            <w:tcW w:w="2472" w:type="dxa"/>
            <w:vAlign w:val="center"/>
          </w:tcPr>
          <w:p w14:paraId="094B45E3" w14:textId="7BE0B654" w:rsidR="00E12A6A" w:rsidRPr="0055589E" w:rsidRDefault="00000130" w:rsidP="00E12A6A">
            <w:pPr>
              <w:spacing w:line="240" w:lineRule="auto"/>
              <w:jc w:val="center"/>
              <w:rPr>
                <w:b/>
                <w:bCs/>
              </w:rPr>
            </w:pPr>
            <w:r>
              <w:rPr>
                <w:color w:val="000000"/>
              </w:rPr>
              <w:t>126</w:t>
            </w:r>
          </w:p>
        </w:tc>
      </w:tr>
      <w:tr w:rsidR="0068450D" w14:paraId="180DE37C" w14:textId="77777777" w:rsidTr="0055589E">
        <w:trPr>
          <w:trHeight w:val="288"/>
        </w:trPr>
        <w:tc>
          <w:tcPr>
            <w:tcW w:w="2471" w:type="dxa"/>
            <w:vAlign w:val="center"/>
          </w:tcPr>
          <w:p w14:paraId="4485A9E7" w14:textId="77777777" w:rsidR="0068450D" w:rsidRPr="00A47008" w:rsidRDefault="0068450D" w:rsidP="0068450D">
            <w:pPr>
              <w:spacing w:line="240" w:lineRule="auto"/>
            </w:pPr>
            <w:r w:rsidRPr="00A47008">
              <w:t xml:space="preserve">Fatality </w:t>
            </w:r>
          </w:p>
        </w:tc>
        <w:tc>
          <w:tcPr>
            <w:tcW w:w="2471" w:type="dxa"/>
            <w:vAlign w:val="center"/>
          </w:tcPr>
          <w:p w14:paraId="56D3D9D5" w14:textId="76BFA2E2" w:rsidR="0068450D" w:rsidRPr="00957074" w:rsidRDefault="0068450D" w:rsidP="0068450D">
            <w:pPr>
              <w:spacing w:line="240" w:lineRule="auto"/>
              <w:jc w:val="center"/>
            </w:pPr>
            <w:r w:rsidRPr="0068450D">
              <w:rPr>
                <w:color w:val="000000"/>
              </w:rPr>
              <w:t>13</w:t>
            </w:r>
          </w:p>
        </w:tc>
        <w:tc>
          <w:tcPr>
            <w:tcW w:w="2473" w:type="dxa"/>
            <w:vAlign w:val="center"/>
          </w:tcPr>
          <w:p w14:paraId="1858B532" w14:textId="30D8A75F" w:rsidR="0068450D" w:rsidRPr="0068450D" w:rsidRDefault="0068450D" w:rsidP="0068450D">
            <w:pPr>
              <w:spacing w:line="240" w:lineRule="auto"/>
              <w:jc w:val="center"/>
            </w:pPr>
            <w:r w:rsidRPr="00957074">
              <w:rPr>
                <w:color w:val="000000"/>
              </w:rPr>
              <w:t>12</w:t>
            </w:r>
          </w:p>
        </w:tc>
        <w:tc>
          <w:tcPr>
            <w:tcW w:w="2472" w:type="dxa"/>
            <w:vAlign w:val="center"/>
          </w:tcPr>
          <w:p w14:paraId="1E2BF976" w14:textId="0299B750" w:rsidR="0068450D" w:rsidRPr="00957074" w:rsidRDefault="0068450D" w:rsidP="0068450D">
            <w:pPr>
              <w:spacing w:line="240" w:lineRule="auto"/>
              <w:jc w:val="center"/>
            </w:pPr>
            <w:r w:rsidRPr="0068450D">
              <w:rPr>
                <w:color w:val="000000"/>
              </w:rPr>
              <w:t>25</w:t>
            </w:r>
          </w:p>
        </w:tc>
      </w:tr>
      <w:tr w:rsidR="00A15C2C" w14:paraId="1BE59B42" w14:textId="77777777" w:rsidTr="0055589E">
        <w:trPr>
          <w:trHeight w:val="260"/>
        </w:trPr>
        <w:tc>
          <w:tcPr>
            <w:tcW w:w="9887" w:type="dxa"/>
            <w:gridSpan w:val="4"/>
            <w:shd w:val="clear" w:color="auto" w:fill="D9D9D9" w:themeFill="background1" w:themeFillShade="D9"/>
            <w:vAlign w:val="center"/>
          </w:tcPr>
          <w:p w14:paraId="67DCC7B0" w14:textId="77777777" w:rsidR="0018650A" w:rsidRDefault="000F5B51" w:rsidP="0018650A">
            <w:pPr>
              <w:spacing w:line="240" w:lineRule="auto"/>
              <w:jc w:val="center"/>
            </w:pPr>
            <w:r>
              <w:rPr>
                <w:b/>
                <w:bCs/>
                <w:i/>
                <w:iCs/>
              </w:rPr>
              <w:t>Light Trucks</w:t>
            </w:r>
          </w:p>
        </w:tc>
      </w:tr>
      <w:tr w:rsidR="007210C1" w14:paraId="5C726D2A" w14:textId="77777777" w:rsidTr="0055589E">
        <w:trPr>
          <w:trHeight w:val="288"/>
        </w:trPr>
        <w:tc>
          <w:tcPr>
            <w:tcW w:w="2471" w:type="dxa"/>
            <w:vAlign w:val="center"/>
          </w:tcPr>
          <w:p w14:paraId="5281F12B" w14:textId="77777777" w:rsidR="007210C1" w:rsidRDefault="007210C1" w:rsidP="007210C1">
            <w:pPr>
              <w:spacing w:line="240" w:lineRule="auto"/>
            </w:pPr>
            <w:r>
              <w:rPr>
                <w:color w:val="000000"/>
              </w:rPr>
              <w:t>MAIS 1</w:t>
            </w:r>
          </w:p>
        </w:tc>
        <w:tc>
          <w:tcPr>
            <w:tcW w:w="2471" w:type="dxa"/>
            <w:vAlign w:val="center"/>
          </w:tcPr>
          <w:p w14:paraId="5E0DCF51" w14:textId="5E1A3CB2" w:rsidR="007210C1" w:rsidRDefault="007210C1" w:rsidP="007210C1">
            <w:pPr>
              <w:spacing w:line="240" w:lineRule="auto"/>
              <w:jc w:val="center"/>
            </w:pPr>
            <w:r>
              <w:rPr>
                <w:color w:val="000000"/>
              </w:rPr>
              <w:t>5</w:t>
            </w:r>
          </w:p>
        </w:tc>
        <w:tc>
          <w:tcPr>
            <w:tcW w:w="2473" w:type="dxa"/>
            <w:vAlign w:val="center"/>
          </w:tcPr>
          <w:p w14:paraId="52D74851" w14:textId="2F976131" w:rsidR="007210C1" w:rsidRDefault="007210C1" w:rsidP="007210C1">
            <w:pPr>
              <w:spacing w:line="240" w:lineRule="auto"/>
              <w:jc w:val="center"/>
            </w:pPr>
            <w:r>
              <w:rPr>
                <w:color w:val="000000"/>
              </w:rPr>
              <w:t>4</w:t>
            </w:r>
          </w:p>
        </w:tc>
        <w:tc>
          <w:tcPr>
            <w:tcW w:w="2472" w:type="dxa"/>
            <w:vAlign w:val="center"/>
          </w:tcPr>
          <w:p w14:paraId="27FE28DD" w14:textId="5D786E30" w:rsidR="007210C1" w:rsidRDefault="007210C1" w:rsidP="007210C1">
            <w:pPr>
              <w:spacing w:line="240" w:lineRule="auto"/>
              <w:jc w:val="center"/>
            </w:pPr>
            <w:r>
              <w:rPr>
                <w:color w:val="000000"/>
              </w:rPr>
              <w:t>9</w:t>
            </w:r>
          </w:p>
        </w:tc>
      </w:tr>
      <w:tr w:rsidR="007210C1" w14:paraId="3223F373" w14:textId="77777777" w:rsidTr="0055589E">
        <w:trPr>
          <w:trHeight w:val="288"/>
        </w:trPr>
        <w:tc>
          <w:tcPr>
            <w:tcW w:w="2471" w:type="dxa"/>
            <w:vAlign w:val="center"/>
          </w:tcPr>
          <w:p w14:paraId="2CD2DE05" w14:textId="77777777" w:rsidR="007210C1" w:rsidRDefault="007210C1" w:rsidP="007210C1">
            <w:pPr>
              <w:spacing w:line="240" w:lineRule="auto"/>
            </w:pPr>
            <w:r>
              <w:rPr>
                <w:color w:val="000000"/>
              </w:rPr>
              <w:t>MAIS 2</w:t>
            </w:r>
          </w:p>
        </w:tc>
        <w:tc>
          <w:tcPr>
            <w:tcW w:w="2471" w:type="dxa"/>
            <w:vAlign w:val="center"/>
          </w:tcPr>
          <w:p w14:paraId="309C1FAA" w14:textId="70281C06" w:rsidR="007210C1" w:rsidRDefault="007210C1" w:rsidP="007210C1">
            <w:pPr>
              <w:spacing w:line="240" w:lineRule="auto"/>
              <w:jc w:val="center"/>
            </w:pPr>
            <w:r>
              <w:rPr>
                <w:color w:val="000000"/>
              </w:rPr>
              <w:t>22</w:t>
            </w:r>
          </w:p>
        </w:tc>
        <w:tc>
          <w:tcPr>
            <w:tcW w:w="2473" w:type="dxa"/>
            <w:vAlign w:val="center"/>
          </w:tcPr>
          <w:p w14:paraId="707778EC" w14:textId="4DC8044C" w:rsidR="007210C1" w:rsidRDefault="007210C1" w:rsidP="007210C1">
            <w:pPr>
              <w:spacing w:line="240" w:lineRule="auto"/>
              <w:jc w:val="center"/>
            </w:pPr>
            <w:r>
              <w:rPr>
                <w:color w:val="000000"/>
              </w:rPr>
              <w:t>20</w:t>
            </w:r>
          </w:p>
        </w:tc>
        <w:tc>
          <w:tcPr>
            <w:tcW w:w="2472" w:type="dxa"/>
            <w:vAlign w:val="center"/>
          </w:tcPr>
          <w:p w14:paraId="3266F078" w14:textId="0D59A3AA" w:rsidR="007210C1" w:rsidRDefault="007210C1" w:rsidP="007210C1">
            <w:pPr>
              <w:spacing w:line="240" w:lineRule="auto"/>
              <w:jc w:val="center"/>
            </w:pPr>
            <w:r>
              <w:rPr>
                <w:color w:val="000000"/>
              </w:rPr>
              <w:t>43</w:t>
            </w:r>
          </w:p>
        </w:tc>
      </w:tr>
      <w:tr w:rsidR="007210C1" w14:paraId="3D45C739" w14:textId="77777777" w:rsidTr="0055589E">
        <w:trPr>
          <w:trHeight w:val="288"/>
        </w:trPr>
        <w:tc>
          <w:tcPr>
            <w:tcW w:w="2471" w:type="dxa"/>
            <w:vAlign w:val="center"/>
          </w:tcPr>
          <w:p w14:paraId="283F6409" w14:textId="77777777" w:rsidR="007210C1" w:rsidRDefault="007210C1" w:rsidP="007210C1">
            <w:pPr>
              <w:spacing w:line="240" w:lineRule="auto"/>
            </w:pPr>
            <w:r>
              <w:rPr>
                <w:color w:val="000000"/>
              </w:rPr>
              <w:t>MAIS 3</w:t>
            </w:r>
          </w:p>
        </w:tc>
        <w:tc>
          <w:tcPr>
            <w:tcW w:w="2471" w:type="dxa"/>
            <w:vAlign w:val="center"/>
          </w:tcPr>
          <w:p w14:paraId="22ED7E45" w14:textId="42E8723F" w:rsidR="007210C1" w:rsidRDefault="007210C1" w:rsidP="007210C1">
            <w:pPr>
              <w:spacing w:line="240" w:lineRule="auto"/>
              <w:jc w:val="center"/>
            </w:pPr>
            <w:r>
              <w:rPr>
                <w:color w:val="000000"/>
              </w:rPr>
              <w:t>0</w:t>
            </w:r>
          </w:p>
        </w:tc>
        <w:tc>
          <w:tcPr>
            <w:tcW w:w="2473" w:type="dxa"/>
            <w:vAlign w:val="center"/>
          </w:tcPr>
          <w:p w14:paraId="0C11DE1C" w14:textId="6A73AB48" w:rsidR="007210C1" w:rsidRDefault="007210C1" w:rsidP="007210C1">
            <w:pPr>
              <w:spacing w:line="240" w:lineRule="auto"/>
              <w:jc w:val="center"/>
            </w:pPr>
            <w:r>
              <w:rPr>
                <w:color w:val="000000"/>
              </w:rPr>
              <w:t>0</w:t>
            </w:r>
          </w:p>
        </w:tc>
        <w:tc>
          <w:tcPr>
            <w:tcW w:w="2472" w:type="dxa"/>
            <w:vAlign w:val="center"/>
          </w:tcPr>
          <w:p w14:paraId="24827EC3" w14:textId="727EE589" w:rsidR="007210C1" w:rsidRDefault="007210C1" w:rsidP="007210C1">
            <w:pPr>
              <w:spacing w:line="240" w:lineRule="auto"/>
              <w:jc w:val="center"/>
            </w:pPr>
            <w:r>
              <w:rPr>
                <w:color w:val="000000"/>
              </w:rPr>
              <w:t>0</w:t>
            </w:r>
          </w:p>
        </w:tc>
      </w:tr>
      <w:tr w:rsidR="007210C1" w14:paraId="715670E3" w14:textId="77777777" w:rsidTr="0055589E">
        <w:trPr>
          <w:trHeight w:val="288"/>
        </w:trPr>
        <w:tc>
          <w:tcPr>
            <w:tcW w:w="2471" w:type="dxa"/>
            <w:vAlign w:val="center"/>
          </w:tcPr>
          <w:p w14:paraId="38F89B04" w14:textId="77777777" w:rsidR="007210C1" w:rsidRDefault="007210C1" w:rsidP="007210C1">
            <w:pPr>
              <w:spacing w:line="240" w:lineRule="auto"/>
            </w:pPr>
            <w:r>
              <w:rPr>
                <w:color w:val="000000"/>
              </w:rPr>
              <w:t>MAIS 4</w:t>
            </w:r>
          </w:p>
        </w:tc>
        <w:tc>
          <w:tcPr>
            <w:tcW w:w="2471" w:type="dxa"/>
            <w:vAlign w:val="center"/>
          </w:tcPr>
          <w:p w14:paraId="345FC2F8" w14:textId="0938A6B1" w:rsidR="007210C1" w:rsidRDefault="007210C1" w:rsidP="007210C1">
            <w:pPr>
              <w:spacing w:line="240" w:lineRule="auto"/>
              <w:jc w:val="center"/>
            </w:pPr>
            <w:r>
              <w:rPr>
                <w:color w:val="000000"/>
              </w:rPr>
              <w:t>1</w:t>
            </w:r>
          </w:p>
        </w:tc>
        <w:tc>
          <w:tcPr>
            <w:tcW w:w="2473" w:type="dxa"/>
            <w:vAlign w:val="center"/>
          </w:tcPr>
          <w:p w14:paraId="58C767C1" w14:textId="5D5F99C2" w:rsidR="007210C1" w:rsidRDefault="007210C1" w:rsidP="007210C1">
            <w:pPr>
              <w:spacing w:line="240" w:lineRule="auto"/>
              <w:jc w:val="center"/>
            </w:pPr>
            <w:r>
              <w:rPr>
                <w:color w:val="000000"/>
              </w:rPr>
              <w:t>1</w:t>
            </w:r>
          </w:p>
        </w:tc>
        <w:tc>
          <w:tcPr>
            <w:tcW w:w="2472" w:type="dxa"/>
            <w:vAlign w:val="center"/>
          </w:tcPr>
          <w:p w14:paraId="74E431C6" w14:textId="379A8FED" w:rsidR="007210C1" w:rsidRDefault="007210C1" w:rsidP="007210C1">
            <w:pPr>
              <w:spacing w:line="240" w:lineRule="auto"/>
              <w:jc w:val="center"/>
            </w:pPr>
            <w:r>
              <w:rPr>
                <w:color w:val="000000"/>
              </w:rPr>
              <w:t>2</w:t>
            </w:r>
          </w:p>
        </w:tc>
      </w:tr>
      <w:tr w:rsidR="007210C1" w14:paraId="30777959" w14:textId="77777777" w:rsidTr="0055589E">
        <w:trPr>
          <w:trHeight w:val="288"/>
        </w:trPr>
        <w:tc>
          <w:tcPr>
            <w:tcW w:w="2471" w:type="dxa"/>
            <w:vAlign w:val="center"/>
          </w:tcPr>
          <w:p w14:paraId="1C35AD54" w14:textId="77777777" w:rsidR="007210C1" w:rsidRDefault="007210C1" w:rsidP="007210C1">
            <w:pPr>
              <w:spacing w:line="240" w:lineRule="auto"/>
            </w:pPr>
            <w:r>
              <w:rPr>
                <w:color w:val="000000"/>
              </w:rPr>
              <w:t>MAIS 5</w:t>
            </w:r>
          </w:p>
        </w:tc>
        <w:tc>
          <w:tcPr>
            <w:tcW w:w="2471" w:type="dxa"/>
            <w:vAlign w:val="center"/>
          </w:tcPr>
          <w:p w14:paraId="5247228A" w14:textId="3F9058E1" w:rsidR="007210C1" w:rsidRDefault="007210C1" w:rsidP="007210C1">
            <w:pPr>
              <w:spacing w:line="240" w:lineRule="auto"/>
              <w:jc w:val="center"/>
            </w:pPr>
            <w:r>
              <w:rPr>
                <w:color w:val="000000"/>
              </w:rPr>
              <w:t>0</w:t>
            </w:r>
          </w:p>
        </w:tc>
        <w:tc>
          <w:tcPr>
            <w:tcW w:w="2473" w:type="dxa"/>
            <w:vAlign w:val="center"/>
          </w:tcPr>
          <w:p w14:paraId="0E04FCB9" w14:textId="1FAE8B27" w:rsidR="007210C1" w:rsidRDefault="007210C1" w:rsidP="007210C1">
            <w:pPr>
              <w:spacing w:line="240" w:lineRule="auto"/>
              <w:jc w:val="center"/>
            </w:pPr>
            <w:r>
              <w:rPr>
                <w:color w:val="000000"/>
              </w:rPr>
              <w:t>0</w:t>
            </w:r>
          </w:p>
        </w:tc>
        <w:tc>
          <w:tcPr>
            <w:tcW w:w="2472" w:type="dxa"/>
            <w:vAlign w:val="center"/>
          </w:tcPr>
          <w:p w14:paraId="706010F5" w14:textId="061D21BA" w:rsidR="007210C1" w:rsidRDefault="007210C1" w:rsidP="007210C1">
            <w:pPr>
              <w:spacing w:line="240" w:lineRule="auto"/>
              <w:jc w:val="center"/>
            </w:pPr>
            <w:r>
              <w:rPr>
                <w:color w:val="000000"/>
              </w:rPr>
              <w:t>0</w:t>
            </w:r>
          </w:p>
        </w:tc>
      </w:tr>
      <w:tr w:rsidR="00A15C2C" w14:paraId="763D35E5" w14:textId="77777777" w:rsidTr="0055589E">
        <w:trPr>
          <w:trHeight w:val="288"/>
        </w:trPr>
        <w:tc>
          <w:tcPr>
            <w:tcW w:w="2471" w:type="dxa"/>
            <w:vAlign w:val="center"/>
          </w:tcPr>
          <w:p w14:paraId="72770600" w14:textId="77777777" w:rsidR="000D19CE" w:rsidRPr="00A47008" w:rsidRDefault="000F5B51" w:rsidP="000D19CE">
            <w:pPr>
              <w:spacing w:line="240" w:lineRule="auto"/>
            </w:pPr>
            <w:r w:rsidRPr="0055589E">
              <w:rPr>
                <w:color w:val="000000"/>
                <w:sz w:val="23"/>
                <w:szCs w:val="23"/>
              </w:rPr>
              <w:t>Non-Fatal Injuries (MAIS 1-5)</w:t>
            </w:r>
          </w:p>
        </w:tc>
        <w:tc>
          <w:tcPr>
            <w:tcW w:w="2471" w:type="dxa"/>
            <w:vAlign w:val="center"/>
          </w:tcPr>
          <w:p w14:paraId="5B2E1074" w14:textId="26A385C8" w:rsidR="000D19CE" w:rsidRPr="0055589E" w:rsidRDefault="007210C1" w:rsidP="000D19CE">
            <w:pPr>
              <w:spacing w:line="240" w:lineRule="auto"/>
              <w:jc w:val="center"/>
              <w:rPr>
                <w:b/>
                <w:bCs/>
              </w:rPr>
            </w:pPr>
            <w:r>
              <w:rPr>
                <w:color w:val="000000"/>
              </w:rPr>
              <w:t>29</w:t>
            </w:r>
          </w:p>
        </w:tc>
        <w:tc>
          <w:tcPr>
            <w:tcW w:w="2473" w:type="dxa"/>
            <w:vAlign w:val="center"/>
          </w:tcPr>
          <w:p w14:paraId="113A260F" w14:textId="6A501FBF" w:rsidR="000D19CE" w:rsidRPr="0055589E" w:rsidRDefault="007210C1" w:rsidP="000D19CE">
            <w:pPr>
              <w:spacing w:line="240" w:lineRule="auto"/>
              <w:jc w:val="center"/>
              <w:rPr>
                <w:b/>
                <w:bCs/>
              </w:rPr>
            </w:pPr>
            <w:r>
              <w:rPr>
                <w:color w:val="000000"/>
              </w:rPr>
              <w:t>25</w:t>
            </w:r>
          </w:p>
        </w:tc>
        <w:tc>
          <w:tcPr>
            <w:tcW w:w="2472" w:type="dxa"/>
            <w:vAlign w:val="center"/>
          </w:tcPr>
          <w:p w14:paraId="7ED2C0D9" w14:textId="1EDED747" w:rsidR="000D19CE" w:rsidRPr="0055589E" w:rsidRDefault="008B4065" w:rsidP="000D19CE">
            <w:pPr>
              <w:spacing w:line="240" w:lineRule="auto"/>
              <w:jc w:val="center"/>
              <w:rPr>
                <w:b/>
                <w:bCs/>
              </w:rPr>
            </w:pPr>
            <w:r>
              <w:rPr>
                <w:color w:val="000000"/>
              </w:rPr>
              <w:t>5</w:t>
            </w:r>
            <w:r w:rsidR="007210C1">
              <w:rPr>
                <w:color w:val="000000"/>
              </w:rPr>
              <w:t>4</w:t>
            </w:r>
          </w:p>
        </w:tc>
      </w:tr>
      <w:tr w:rsidR="00A15C2C" w14:paraId="7121D6CE" w14:textId="77777777" w:rsidTr="0055589E">
        <w:trPr>
          <w:trHeight w:val="288"/>
        </w:trPr>
        <w:tc>
          <w:tcPr>
            <w:tcW w:w="2471" w:type="dxa"/>
            <w:vAlign w:val="center"/>
          </w:tcPr>
          <w:p w14:paraId="25499624" w14:textId="77777777" w:rsidR="000D19CE" w:rsidRPr="00A47008" w:rsidRDefault="000F5B51" w:rsidP="000D19CE">
            <w:pPr>
              <w:spacing w:line="240" w:lineRule="auto"/>
            </w:pPr>
            <w:r w:rsidRPr="00A47008">
              <w:t xml:space="preserve">Fatality </w:t>
            </w:r>
          </w:p>
        </w:tc>
        <w:tc>
          <w:tcPr>
            <w:tcW w:w="2471" w:type="dxa"/>
            <w:vAlign w:val="center"/>
          </w:tcPr>
          <w:p w14:paraId="1311B7FA" w14:textId="65F5800E" w:rsidR="000D19CE" w:rsidRPr="00236654" w:rsidRDefault="007210C1" w:rsidP="000D19CE">
            <w:pPr>
              <w:spacing w:line="240" w:lineRule="auto"/>
              <w:jc w:val="center"/>
            </w:pPr>
            <w:r>
              <w:rPr>
                <w:color w:val="000000"/>
              </w:rPr>
              <w:t>20</w:t>
            </w:r>
          </w:p>
        </w:tc>
        <w:tc>
          <w:tcPr>
            <w:tcW w:w="2473" w:type="dxa"/>
            <w:vAlign w:val="center"/>
          </w:tcPr>
          <w:p w14:paraId="29CB9D95" w14:textId="163E7AF2" w:rsidR="000D19CE" w:rsidRPr="00236654" w:rsidRDefault="007210C1" w:rsidP="000D19CE">
            <w:pPr>
              <w:spacing w:line="240" w:lineRule="auto"/>
              <w:jc w:val="center"/>
            </w:pPr>
            <w:r>
              <w:rPr>
                <w:color w:val="000000"/>
              </w:rPr>
              <w:t>21</w:t>
            </w:r>
          </w:p>
        </w:tc>
        <w:tc>
          <w:tcPr>
            <w:tcW w:w="2472" w:type="dxa"/>
            <w:vAlign w:val="center"/>
          </w:tcPr>
          <w:p w14:paraId="0369139B" w14:textId="75FF51EE" w:rsidR="000D19CE" w:rsidRPr="00236654" w:rsidRDefault="007210C1" w:rsidP="000D19CE">
            <w:pPr>
              <w:spacing w:line="240" w:lineRule="auto"/>
              <w:jc w:val="center"/>
            </w:pPr>
            <w:r>
              <w:rPr>
                <w:color w:val="000000"/>
              </w:rPr>
              <w:t>41</w:t>
            </w:r>
          </w:p>
        </w:tc>
      </w:tr>
    </w:tbl>
    <w:p w14:paraId="3A3A9133" w14:textId="77777777" w:rsidR="00A91931" w:rsidRDefault="000F5B51" w:rsidP="00377A5B">
      <w:pPr>
        <w:spacing w:after="0" w:line="240" w:lineRule="auto"/>
        <w:rPr>
          <w:rFonts w:eastAsia="Times New Roman" w:cs="Times New Roman"/>
          <w:szCs w:val="24"/>
        </w:rPr>
      </w:pPr>
      <w:r w:rsidRPr="00934F2C">
        <w:rPr>
          <w:sz w:val="18"/>
          <w:szCs w:val="18"/>
        </w:rPr>
        <w:t>Note: Values may not sum due to rounding. Totals are rounded to the nearest whole number for presentation purposes</w:t>
      </w:r>
      <w:r>
        <w:rPr>
          <w:sz w:val="18"/>
          <w:szCs w:val="18"/>
        </w:rPr>
        <w:t>.</w:t>
      </w:r>
    </w:p>
    <w:p w14:paraId="73E12ECF" w14:textId="77777777" w:rsidR="001F10E9" w:rsidRDefault="001F10E9" w:rsidP="0055589E">
      <w:pPr>
        <w:pStyle w:val="NoSpaceTimes"/>
      </w:pPr>
    </w:p>
    <w:p w14:paraId="20CDC0E0" w14:textId="3B26B5A7" w:rsidR="000F525C" w:rsidRDefault="000F5B51" w:rsidP="000F525C">
      <w:pPr>
        <w:rPr>
          <w:rFonts w:eastAsia="Times New Roman" w:cs="Times New Roman"/>
          <w:szCs w:val="24"/>
        </w:rPr>
      </w:pPr>
      <w:r>
        <w:rPr>
          <w:rFonts w:eastAsia="Times New Roman" w:cs="Times New Roman"/>
          <w:szCs w:val="24"/>
        </w:rPr>
        <w:t xml:space="preserve">Similarly, this analysis follows the same process to estimate the incremental benefits for right front seat </w:t>
      </w:r>
      <w:r w:rsidR="00A73362">
        <w:rPr>
          <w:rFonts w:eastAsia="Times New Roman" w:cs="Times New Roman"/>
          <w:szCs w:val="24"/>
        </w:rPr>
        <w:t>occupants</w:t>
      </w:r>
      <w:r w:rsidR="001F2F92">
        <w:rPr>
          <w:rFonts w:eastAsia="Times New Roman" w:cs="Times New Roman"/>
          <w:szCs w:val="24"/>
        </w:rPr>
        <w:t xml:space="preserve">. </w:t>
      </w:r>
      <w:r w:rsidR="00A945E0">
        <w:rPr>
          <w:rFonts w:eastAsia="Times New Roman" w:cs="Times New Roman"/>
          <w:szCs w:val="24"/>
        </w:rPr>
        <w:fldChar w:fldCharType="begin"/>
      </w:r>
      <w:r w:rsidR="00A945E0">
        <w:rPr>
          <w:rFonts w:eastAsia="Times New Roman" w:cs="Times New Roman"/>
          <w:szCs w:val="24"/>
        </w:rPr>
        <w:instrText xml:space="preserve"> REF _Ref126653899 \h </w:instrText>
      </w:r>
      <w:r w:rsidR="00A945E0">
        <w:rPr>
          <w:rFonts w:eastAsia="Times New Roman" w:cs="Times New Roman"/>
          <w:szCs w:val="24"/>
        </w:rPr>
      </w:r>
      <w:r w:rsidR="00A945E0">
        <w:rPr>
          <w:rFonts w:eastAsia="Times New Roman" w:cs="Times New Roman"/>
          <w:szCs w:val="24"/>
        </w:rPr>
        <w:fldChar w:fldCharType="separate"/>
      </w:r>
      <w:r w:rsidR="00A65CB3" w:rsidRPr="00DA0C97">
        <w:t xml:space="preserve">Table </w:t>
      </w:r>
      <w:r w:rsidR="00A65CB3">
        <w:rPr>
          <w:noProof/>
        </w:rPr>
        <w:t>53</w:t>
      </w:r>
      <w:r w:rsidR="00A945E0">
        <w:rPr>
          <w:rFonts w:eastAsia="Times New Roman" w:cs="Times New Roman"/>
          <w:szCs w:val="24"/>
        </w:rPr>
        <w:fldChar w:fldCharType="end"/>
      </w:r>
      <w:r w:rsidR="00A945E0">
        <w:rPr>
          <w:rFonts w:eastAsia="Times New Roman" w:cs="Times New Roman"/>
          <w:szCs w:val="24"/>
        </w:rPr>
        <w:t xml:space="preserve"> presents the adjusted target population for right front seat occupants by warning type</w:t>
      </w:r>
      <w:r w:rsidR="001F2F92">
        <w:rPr>
          <w:rFonts w:eastAsia="Times New Roman" w:cs="Times New Roman"/>
          <w:szCs w:val="24"/>
        </w:rPr>
        <w:t xml:space="preserve">. </w:t>
      </w:r>
      <w:r>
        <w:rPr>
          <w:rFonts w:eastAsia="Times New Roman" w:cs="Times New Roman"/>
          <w:szCs w:val="24"/>
        </w:rPr>
        <w:t>The adjusted target population for each warning type is calculated by reflect</w:t>
      </w:r>
      <w:r w:rsidR="006128DC">
        <w:rPr>
          <w:rFonts w:eastAsia="Times New Roman" w:cs="Times New Roman"/>
          <w:szCs w:val="24"/>
        </w:rPr>
        <w:t>ing</w:t>
      </w:r>
      <w:r>
        <w:rPr>
          <w:rFonts w:eastAsia="Times New Roman" w:cs="Times New Roman"/>
          <w:szCs w:val="24"/>
        </w:rPr>
        <w:t xml:space="preserve"> the sale</w:t>
      </w:r>
      <w:r w:rsidR="006F75D4">
        <w:rPr>
          <w:rFonts w:eastAsia="Times New Roman" w:cs="Times New Roman"/>
          <w:szCs w:val="24"/>
        </w:rPr>
        <w:t>s</w:t>
      </w:r>
      <w:r>
        <w:rPr>
          <w:rFonts w:eastAsia="Times New Roman" w:cs="Times New Roman"/>
          <w:szCs w:val="24"/>
        </w:rPr>
        <w:t xml:space="preserve"> proportion</w:t>
      </w:r>
      <w:r w:rsidR="006F75D4">
        <w:rPr>
          <w:rFonts w:eastAsia="Times New Roman" w:cs="Times New Roman"/>
          <w:szCs w:val="24"/>
        </w:rPr>
        <w:t>s</w:t>
      </w:r>
      <w:r>
        <w:rPr>
          <w:rFonts w:eastAsia="Times New Roman" w:cs="Times New Roman"/>
          <w:szCs w:val="24"/>
        </w:rPr>
        <w:t xml:space="preserve"> for that warning type</w:t>
      </w:r>
      <w:r w:rsidR="006128DC">
        <w:rPr>
          <w:rFonts w:eastAsia="Times New Roman" w:cs="Times New Roman"/>
          <w:szCs w:val="24"/>
        </w:rPr>
        <w:t xml:space="preserve"> in </w:t>
      </w:r>
      <w:r w:rsidR="007A6E1F">
        <w:rPr>
          <w:rFonts w:eastAsia="Times New Roman" w:cs="Times New Roman"/>
          <w:szCs w:val="24"/>
        </w:rPr>
        <w:fldChar w:fldCharType="begin"/>
      </w:r>
      <w:r w:rsidR="007A6E1F">
        <w:rPr>
          <w:rFonts w:eastAsia="Times New Roman" w:cs="Times New Roman"/>
          <w:szCs w:val="24"/>
        </w:rPr>
        <w:instrText xml:space="preserve"> REF _Ref128036762 \h </w:instrText>
      </w:r>
      <w:r w:rsidR="007A6E1F">
        <w:rPr>
          <w:rFonts w:eastAsia="Times New Roman" w:cs="Times New Roman"/>
          <w:szCs w:val="24"/>
        </w:rPr>
      </w:r>
      <w:r w:rsidR="007A6E1F">
        <w:rPr>
          <w:rFonts w:eastAsia="Times New Roman" w:cs="Times New Roman"/>
          <w:szCs w:val="24"/>
        </w:rPr>
        <w:fldChar w:fldCharType="separate"/>
      </w:r>
      <w:r w:rsidR="00A65CB3">
        <w:t xml:space="preserve">Table </w:t>
      </w:r>
      <w:r w:rsidR="00A65CB3">
        <w:rPr>
          <w:noProof/>
        </w:rPr>
        <w:t>8</w:t>
      </w:r>
      <w:r w:rsidR="007A6E1F">
        <w:rPr>
          <w:rFonts w:eastAsia="Times New Roman" w:cs="Times New Roman"/>
          <w:szCs w:val="24"/>
        </w:rPr>
        <w:fldChar w:fldCharType="end"/>
      </w:r>
      <w:r>
        <w:rPr>
          <w:rFonts w:eastAsia="Times New Roman" w:cs="Times New Roman"/>
          <w:szCs w:val="24"/>
        </w:rPr>
        <w:t xml:space="preserve"> on the number of non-fatal injuries and fatalities in the </w:t>
      </w:r>
      <w:r w:rsidR="006128DC">
        <w:rPr>
          <w:rFonts w:eastAsia="Times New Roman" w:cs="Times New Roman"/>
          <w:szCs w:val="24"/>
        </w:rPr>
        <w:t xml:space="preserve">adjusted </w:t>
      </w:r>
      <w:r>
        <w:rPr>
          <w:rFonts w:eastAsia="Times New Roman" w:cs="Times New Roman"/>
          <w:szCs w:val="24"/>
        </w:rPr>
        <w:t>target population</w:t>
      </w:r>
      <w:r w:rsidR="001F2F92">
        <w:rPr>
          <w:rFonts w:eastAsia="Times New Roman" w:cs="Times New Roman"/>
          <w:szCs w:val="24"/>
        </w:rPr>
        <w:t xml:space="preserve">. </w:t>
      </w:r>
      <w:r>
        <w:rPr>
          <w:rFonts w:eastAsia="Times New Roman" w:cs="Times New Roman"/>
          <w:szCs w:val="24"/>
        </w:rPr>
        <w:t xml:space="preserve">The following presentation of the calculation of incremental benefits for drivers will address the </w:t>
      </w:r>
      <w:r w:rsidR="006128DC">
        <w:rPr>
          <w:rFonts w:eastAsia="Times New Roman" w:cs="Times New Roman"/>
          <w:szCs w:val="24"/>
        </w:rPr>
        <w:t xml:space="preserve">adjusted </w:t>
      </w:r>
      <w:r>
        <w:rPr>
          <w:rFonts w:eastAsia="Times New Roman" w:cs="Times New Roman"/>
          <w:szCs w:val="24"/>
        </w:rPr>
        <w:t xml:space="preserve">target population by </w:t>
      </w:r>
      <w:r>
        <w:rPr>
          <w:rFonts w:eastAsia="Times New Roman" w:cs="Times New Roman"/>
          <w:szCs w:val="24"/>
        </w:rPr>
        <w:lastRenderedPageBreak/>
        <w:t>warning type</w:t>
      </w:r>
      <w:r w:rsidR="001F2F92">
        <w:rPr>
          <w:rFonts w:eastAsia="Times New Roman" w:cs="Times New Roman"/>
          <w:szCs w:val="24"/>
        </w:rPr>
        <w:t xml:space="preserve">. </w:t>
      </w:r>
      <w:r>
        <w:rPr>
          <w:rFonts w:eastAsia="Times New Roman" w:cs="Times New Roman"/>
          <w:szCs w:val="24"/>
        </w:rPr>
        <w:t>Note that there are no incremental benefits for the proportion of the</w:t>
      </w:r>
      <w:r w:rsidR="006128DC">
        <w:rPr>
          <w:rFonts w:eastAsia="Times New Roman" w:cs="Times New Roman"/>
          <w:szCs w:val="24"/>
        </w:rPr>
        <w:t xml:space="preserve"> adjusted</w:t>
      </w:r>
      <w:r>
        <w:rPr>
          <w:rFonts w:eastAsia="Times New Roman" w:cs="Times New Roman"/>
          <w:szCs w:val="24"/>
        </w:rPr>
        <w:t xml:space="preserve"> target population which </w:t>
      </w:r>
      <w:r w:rsidR="00FE5B55">
        <w:rPr>
          <w:rFonts w:eastAsia="Times New Roman" w:cs="Times New Roman"/>
          <w:szCs w:val="24"/>
        </w:rPr>
        <w:t>is</w:t>
      </w:r>
      <w:r>
        <w:rPr>
          <w:rFonts w:eastAsia="Times New Roman" w:cs="Times New Roman"/>
          <w:szCs w:val="24"/>
        </w:rPr>
        <w:t xml:space="preserve"> already equipped with an indefinite warning system.</w:t>
      </w:r>
    </w:p>
    <w:p w14:paraId="106D06A7" w14:textId="30715112" w:rsidR="00F970A0" w:rsidRDefault="000F5B51" w:rsidP="00A945E0">
      <w:pPr>
        <w:pStyle w:val="Caption"/>
        <w:rPr>
          <w:rFonts w:eastAsia="Times New Roman" w:cs="Times New Roman"/>
          <w:szCs w:val="24"/>
        </w:rPr>
      </w:pPr>
      <w:bookmarkStart w:id="913" w:name="_Ref126653899"/>
      <w:r w:rsidRPr="00DA0C97">
        <w:t xml:space="preserve">Table </w:t>
      </w:r>
      <w:r w:rsidR="00115BAB">
        <w:fldChar w:fldCharType="begin"/>
      </w:r>
      <w:r>
        <w:instrText xml:space="preserve"> SEQ Table \* ARABIC </w:instrText>
      </w:r>
      <w:r w:rsidR="00115BAB">
        <w:fldChar w:fldCharType="separate"/>
      </w:r>
      <w:r w:rsidR="00A65CB3">
        <w:rPr>
          <w:noProof/>
        </w:rPr>
        <w:t>53</w:t>
      </w:r>
      <w:r w:rsidR="00115BAB">
        <w:rPr>
          <w:noProof/>
        </w:rPr>
        <w:fldChar w:fldCharType="end"/>
      </w:r>
      <w:bookmarkEnd w:id="913"/>
      <w:r w:rsidRPr="00DA0C97">
        <w:t xml:space="preserve">: Adjusted Target Population for </w:t>
      </w:r>
      <w:r>
        <w:t>Right Front Seat Occupant</w:t>
      </w:r>
      <w:r w:rsidRPr="00DA0C97">
        <w:t xml:space="preserve"> by Warning Type</w:t>
      </w:r>
    </w:p>
    <w:tbl>
      <w:tblPr>
        <w:tblW w:w="8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28"/>
        <w:gridCol w:w="1940"/>
        <w:gridCol w:w="1520"/>
        <w:gridCol w:w="1616"/>
        <w:gridCol w:w="1617"/>
      </w:tblGrid>
      <w:tr w:rsidR="00A15C2C" w14:paraId="119BD095" w14:textId="77777777" w:rsidTr="0055589E">
        <w:trPr>
          <w:trHeight w:val="792"/>
          <w:jc w:val="center"/>
        </w:trPr>
        <w:tc>
          <w:tcPr>
            <w:tcW w:w="1328" w:type="dxa"/>
            <w:vMerge w:val="restart"/>
            <w:shd w:val="clear" w:color="auto" w:fill="D9D9D9" w:themeFill="background1" w:themeFillShade="D9"/>
            <w:vAlign w:val="center"/>
          </w:tcPr>
          <w:p w14:paraId="41A4EDC3" w14:textId="77777777" w:rsidR="00F970A0" w:rsidRDefault="000F5B51" w:rsidP="00A73362">
            <w:pPr>
              <w:spacing w:line="240" w:lineRule="auto"/>
              <w:rPr>
                <w:rFonts w:eastAsia="Times New Roman" w:cs="Times New Roman"/>
                <w:b/>
                <w:bCs/>
                <w:color w:val="000000"/>
                <w:szCs w:val="24"/>
              </w:rPr>
            </w:pPr>
            <w:r>
              <w:rPr>
                <w:rFonts w:eastAsia="Times New Roman" w:cs="Times New Roman"/>
                <w:b/>
                <w:bCs/>
                <w:color w:val="000000"/>
                <w:szCs w:val="24"/>
              </w:rPr>
              <w:t>Injury Severity</w:t>
            </w:r>
          </w:p>
        </w:tc>
        <w:tc>
          <w:tcPr>
            <w:tcW w:w="1940" w:type="dxa"/>
            <w:vMerge w:val="restart"/>
            <w:shd w:val="clear" w:color="auto" w:fill="D9D9D9" w:themeFill="background1" w:themeFillShade="D9"/>
            <w:noWrap/>
            <w:vAlign w:val="center"/>
          </w:tcPr>
          <w:p w14:paraId="6F423B69" w14:textId="77777777" w:rsidR="00F970A0" w:rsidRDefault="000F5B51" w:rsidP="0055589E">
            <w:pPr>
              <w:spacing w:after="0" w:line="240" w:lineRule="auto"/>
              <w:jc w:val="center"/>
              <w:rPr>
                <w:rFonts w:eastAsia="Times New Roman" w:cs="Times New Roman"/>
                <w:b/>
                <w:bCs/>
                <w:color w:val="000000"/>
                <w:szCs w:val="24"/>
              </w:rPr>
            </w:pPr>
            <w:r>
              <w:rPr>
                <w:rFonts w:eastAsia="Times New Roman" w:cs="Times New Roman"/>
                <w:b/>
                <w:bCs/>
                <w:color w:val="000000"/>
                <w:szCs w:val="24"/>
              </w:rPr>
              <w:t>Adjusted Target Population</w:t>
            </w:r>
          </w:p>
          <w:p w14:paraId="5AEE28B9" w14:textId="77777777" w:rsidR="00F970A0" w:rsidRPr="0065045F" w:rsidRDefault="000F5B51" w:rsidP="0055589E">
            <w:pPr>
              <w:spacing w:after="0" w:line="240" w:lineRule="auto"/>
              <w:jc w:val="center"/>
              <w:rPr>
                <w:rFonts w:eastAsia="Times New Roman" w:cs="Times New Roman"/>
                <w:b/>
                <w:bCs/>
                <w:i/>
                <w:iCs/>
                <w:color w:val="000000"/>
                <w:szCs w:val="24"/>
              </w:rPr>
            </w:pPr>
            <w:r>
              <w:rPr>
                <w:rFonts w:eastAsia="Times New Roman" w:cs="Times New Roman"/>
                <w:b/>
                <w:bCs/>
                <w:i/>
                <w:iCs/>
                <w:color w:val="000000"/>
                <w:szCs w:val="24"/>
              </w:rPr>
              <w:t>(100%)</w:t>
            </w:r>
          </w:p>
        </w:tc>
        <w:tc>
          <w:tcPr>
            <w:tcW w:w="4753" w:type="dxa"/>
            <w:gridSpan w:val="3"/>
            <w:shd w:val="clear" w:color="auto" w:fill="D9D9D9" w:themeFill="background1" w:themeFillShade="D9"/>
            <w:noWrap/>
            <w:vAlign w:val="center"/>
          </w:tcPr>
          <w:p w14:paraId="7D9D2B87" w14:textId="77777777" w:rsidR="00F970A0" w:rsidRPr="00954B78" w:rsidRDefault="000F5B51" w:rsidP="0055589E">
            <w:pPr>
              <w:spacing w:after="0" w:line="240" w:lineRule="auto"/>
              <w:jc w:val="center"/>
              <w:rPr>
                <w:rFonts w:eastAsia="Times New Roman" w:cs="Times New Roman"/>
                <w:b/>
                <w:bCs/>
                <w:color w:val="000000"/>
                <w:szCs w:val="24"/>
              </w:rPr>
            </w:pPr>
            <w:r>
              <w:rPr>
                <w:rFonts w:eastAsia="Times New Roman" w:cs="Times New Roman"/>
                <w:b/>
                <w:bCs/>
                <w:color w:val="000000"/>
                <w:szCs w:val="24"/>
              </w:rPr>
              <w:t>Adjusted Target Population by Warning System</w:t>
            </w:r>
          </w:p>
        </w:tc>
      </w:tr>
      <w:tr w:rsidR="00A15C2C" w14:paraId="06BA0FB6" w14:textId="77777777" w:rsidTr="00A73362">
        <w:trPr>
          <w:trHeight w:val="792"/>
          <w:jc w:val="center"/>
        </w:trPr>
        <w:tc>
          <w:tcPr>
            <w:tcW w:w="1328" w:type="dxa"/>
            <w:vMerge/>
            <w:shd w:val="clear" w:color="auto" w:fill="D9D9D9" w:themeFill="background1" w:themeFillShade="D9"/>
            <w:vAlign w:val="center"/>
          </w:tcPr>
          <w:p w14:paraId="219DA565" w14:textId="77777777" w:rsidR="00F970A0" w:rsidRDefault="00F970A0" w:rsidP="0055589E">
            <w:pPr>
              <w:spacing w:after="0" w:line="240" w:lineRule="auto"/>
              <w:rPr>
                <w:rFonts w:eastAsia="Times New Roman" w:cs="Times New Roman"/>
                <w:b/>
                <w:bCs/>
                <w:color w:val="000000"/>
                <w:szCs w:val="24"/>
              </w:rPr>
            </w:pPr>
          </w:p>
        </w:tc>
        <w:tc>
          <w:tcPr>
            <w:tcW w:w="1940" w:type="dxa"/>
            <w:vMerge/>
            <w:shd w:val="clear" w:color="auto" w:fill="D9D9D9" w:themeFill="background1" w:themeFillShade="D9"/>
            <w:noWrap/>
            <w:vAlign w:val="center"/>
          </w:tcPr>
          <w:p w14:paraId="37DECF2F" w14:textId="77777777" w:rsidR="00F970A0" w:rsidRPr="00954B78" w:rsidRDefault="00F970A0" w:rsidP="0055589E">
            <w:pPr>
              <w:spacing w:after="0" w:line="240" w:lineRule="auto"/>
              <w:jc w:val="center"/>
              <w:rPr>
                <w:rFonts w:eastAsia="Times New Roman" w:cs="Times New Roman"/>
                <w:b/>
                <w:bCs/>
                <w:color w:val="000000"/>
                <w:szCs w:val="24"/>
              </w:rPr>
            </w:pPr>
          </w:p>
        </w:tc>
        <w:tc>
          <w:tcPr>
            <w:tcW w:w="1520" w:type="dxa"/>
            <w:shd w:val="clear" w:color="auto" w:fill="D9D9D9" w:themeFill="background1" w:themeFillShade="D9"/>
            <w:noWrap/>
            <w:vAlign w:val="center"/>
          </w:tcPr>
          <w:p w14:paraId="79BF2074" w14:textId="77777777" w:rsidR="00F970A0" w:rsidRDefault="000F5B51" w:rsidP="0055589E">
            <w:pPr>
              <w:spacing w:after="0" w:line="240" w:lineRule="auto"/>
              <w:jc w:val="center"/>
              <w:rPr>
                <w:rFonts w:eastAsia="Times New Roman" w:cs="Times New Roman"/>
                <w:b/>
                <w:bCs/>
                <w:color w:val="000000"/>
                <w:szCs w:val="24"/>
              </w:rPr>
            </w:pPr>
            <w:r>
              <w:rPr>
                <w:rFonts w:eastAsia="Times New Roman" w:cs="Times New Roman"/>
                <w:b/>
                <w:bCs/>
                <w:color w:val="000000"/>
                <w:szCs w:val="24"/>
              </w:rPr>
              <w:t>7-Second Warning</w:t>
            </w:r>
          </w:p>
          <w:p w14:paraId="344CEEF0" w14:textId="77777777" w:rsidR="00F970A0" w:rsidRPr="0065045F" w:rsidRDefault="000F5B51" w:rsidP="0055589E">
            <w:pPr>
              <w:spacing w:after="0" w:line="240" w:lineRule="auto"/>
              <w:jc w:val="center"/>
              <w:rPr>
                <w:rFonts w:eastAsia="Times New Roman" w:cs="Times New Roman"/>
                <w:b/>
                <w:bCs/>
                <w:i/>
                <w:iCs/>
                <w:color w:val="000000"/>
                <w:szCs w:val="24"/>
              </w:rPr>
            </w:pPr>
            <w:r>
              <w:rPr>
                <w:rFonts w:eastAsia="Times New Roman" w:cs="Times New Roman"/>
                <w:b/>
                <w:bCs/>
                <w:i/>
                <w:iCs/>
                <w:color w:val="000000"/>
                <w:szCs w:val="24"/>
              </w:rPr>
              <w:t>(7.63%)</w:t>
            </w:r>
          </w:p>
        </w:tc>
        <w:tc>
          <w:tcPr>
            <w:tcW w:w="1616" w:type="dxa"/>
            <w:shd w:val="clear" w:color="auto" w:fill="D9D9D9" w:themeFill="background1" w:themeFillShade="D9"/>
            <w:noWrap/>
            <w:vAlign w:val="center"/>
          </w:tcPr>
          <w:p w14:paraId="06773D24" w14:textId="77777777" w:rsidR="00F970A0" w:rsidRDefault="000F5B51" w:rsidP="0055589E">
            <w:pPr>
              <w:spacing w:after="0" w:line="240" w:lineRule="auto"/>
              <w:jc w:val="center"/>
              <w:rPr>
                <w:rFonts w:eastAsia="Times New Roman" w:cs="Times New Roman"/>
                <w:b/>
                <w:bCs/>
                <w:color w:val="000000"/>
                <w:szCs w:val="24"/>
              </w:rPr>
            </w:pPr>
            <w:r>
              <w:rPr>
                <w:rFonts w:eastAsia="Times New Roman" w:cs="Times New Roman"/>
                <w:b/>
                <w:bCs/>
                <w:color w:val="000000"/>
                <w:szCs w:val="24"/>
              </w:rPr>
              <w:t>90-Second Warning</w:t>
            </w:r>
          </w:p>
          <w:p w14:paraId="27713A4A" w14:textId="77777777" w:rsidR="00F970A0" w:rsidRPr="0065045F" w:rsidRDefault="000F5B51" w:rsidP="0055589E">
            <w:pPr>
              <w:spacing w:after="0" w:line="240" w:lineRule="auto"/>
              <w:jc w:val="center"/>
              <w:rPr>
                <w:rFonts w:eastAsia="Times New Roman" w:cs="Times New Roman"/>
                <w:b/>
                <w:bCs/>
                <w:i/>
                <w:iCs/>
                <w:color w:val="000000"/>
                <w:szCs w:val="24"/>
              </w:rPr>
            </w:pPr>
            <w:r w:rsidRPr="0065045F">
              <w:rPr>
                <w:rFonts w:eastAsia="Times New Roman" w:cs="Times New Roman"/>
                <w:b/>
                <w:bCs/>
                <w:i/>
                <w:iCs/>
                <w:color w:val="000000"/>
                <w:szCs w:val="24"/>
              </w:rPr>
              <w:t>(85.14%)</w:t>
            </w:r>
          </w:p>
        </w:tc>
        <w:tc>
          <w:tcPr>
            <w:tcW w:w="1617" w:type="dxa"/>
            <w:shd w:val="clear" w:color="auto" w:fill="D9D9D9" w:themeFill="background1" w:themeFillShade="D9"/>
          </w:tcPr>
          <w:p w14:paraId="3DD5E2CE" w14:textId="77777777" w:rsidR="00F970A0" w:rsidRDefault="000F5B51" w:rsidP="0055589E">
            <w:pPr>
              <w:spacing w:after="0" w:line="240" w:lineRule="auto"/>
              <w:jc w:val="center"/>
              <w:rPr>
                <w:rFonts w:eastAsia="Times New Roman" w:cs="Times New Roman"/>
                <w:b/>
                <w:bCs/>
                <w:color w:val="000000"/>
                <w:szCs w:val="24"/>
              </w:rPr>
            </w:pPr>
            <w:r>
              <w:rPr>
                <w:rFonts w:eastAsia="Times New Roman" w:cs="Times New Roman"/>
                <w:b/>
                <w:bCs/>
                <w:color w:val="000000"/>
                <w:szCs w:val="24"/>
              </w:rPr>
              <w:t>Indefinite Warning</w:t>
            </w:r>
          </w:p>
          <w:p w14:paraId="516ABBF9" w14:textId="77777777" w:rsidR="00F970A0" w:rsidRPr="0065045F" w:rsidRDefault="000F5B51" w:rsidP="0055589E">
            <w:pPr>
              <w:spacing w:after="0" w:line="240" w:lineRule="auto"/>
              <w:jc w:val="center"/>
              <w:rPr>
                <w:rFonts w:eastAsia="Times New Roman" w:cs="Times New Roman"/>
                <w:b/>
                <w:bCs/>
                <w:i/>
                <w:iCs/>
                <w:color w:val="000000"/>
                <w:szCs w:val="24"/>
              </w:rPr>
            </w:pPr>
            <w:r>
              <w:rPr>
                <w:rFonts w:eastAsia="Times New Roman" w:cs="Times New Roman"/>
                <w:b/>
                <w:bCs/>
                <w:i/>
                <w:iCs/>
                <w:color w:val="000000"/>
                <w:szCs w:val="24"/>
              </w:rPr>
              <w:t>(7.23%)</w:t>
            </w:r>
          </w:p>
        </w:tc>
      </w:tr>
      <w:tr w:rsidR="00A15C2C" w14:paraId="3B1E938B" w14:textId="77777777" w:rsidTr="0055589E">
        <w:trPr>
          <w:trHeight w:val="17"/>
          <w:jc w:val="center"/>
        </w:trPr>
        <w:tc>
          <w:tcPr>
            <w:tcW w:w="8021" w:type="dxa"/>
            <w:gridSpan w:val="5"/>
            <w:shd w:val="clear" w:color="auto" w:fill="D9D9D9" w:themeFill="background1" w:themeFillShade="D9"/>
          </w:tcPr>
          <w:p w14:paraId="2AF95AD6" w14:textId="77777777" w:rsidR="00F970A0" w:rsidRPr="00012598" w:rsidRDefault="000F5B51" w:rsidP="00A73362">
            <w:pPr>
              <w:spacing w:after="0" w:line="240" w:lineRule="auto"/>
              <w:ind w:firstLineChars="100" w:firstLine="241"/>
              <w:jc w:val="center"/>
              <w:rPr>
                <w:rFonts w:eastAsia="Times New Roman" w:cs="Times New Roman"/>
                <w:b/>
                <w:bCs/>
                <w:i/>
                <w:iCs/>
                <w:color w:val="000000"/>
                <w:szCs w:val="24"/>
              </w:rPr>
            </w:pPr>
            <w:r w:rsidRPr="00012598">
              <w:rPr>
                <w:rFonts w:eastAsia="Times New Roman" w:cs="Times New Roman"/>
                <w:b/>
                <w:bCs/>
                <w:i/>
                <w:iCs/>
                <w:color w:val="000000"/>
                <w:szCs w:val="24"/>
              </w:rPr>
              <w:t>Passenger Car</w:t>
            </w:r>
          </w:p>
        </w:tc>
      </w:tr>
      <w:tr w:rsidR="00A15C2C" w14:paraId="7F65E718" w14:textId="77777777" w:rsidTr="0055589E">
        <w:trPr>
          <w:trHeight w:val="269"/>
          <w:jc w:val="center"/>
        </w:trPr>
        <w:tc>
          <w:tcPr>
            <w:tcW w:w="1328" w:type="dxa"/>
            <w:vAlign w:val="center"/>
          </w:tcPr>
          <w:p w14:paraId="1F0F0022" w14:textId="77777777" w:rsidR="00C764B0" w:rsidRPr="008C3B0A" w:rsidRDefault="000F5B51" w:rsidP="00C764B0">
            <w:pPr>
              <w:spacing w:after="0" w:line="240" w:lineRule="auto"/>
              <w:rPr>
                <w:rFonts w:eastAsia="Times New Roman" w:cs="Times New Roman"/>
                <w:color w:val="000000"/>
                <w:szCs w:val="24"/>
              </w:rPr>
            </w:pPr>
            <w:r>
              <w:rPr>
                <w:rFonts w:eastAsia="Times New Roman" w:cs="Times New Roman"/>
                <w:color w:val="000000"/>
                <w:szCs w:val="24"/>
              </w:rPr>
              <w:t>MAIS 1</w:t>
            </w:r>
          </w:p>
        </w:tc>
        <w:tc>
          <w:tcPr>
            <w:tcW w:w="1940" w:type="dxa"/>
            <w:shd w:val="clear" w:color="auto" w:fill="auto"/>
            <w:noWrap/>
          </w:tcPr>
          <w:p w14:paraId="1D84DA84" w14:textId="77777777" w:rsidR="00C764B0" w:rsidRPr="00954B78" w:rsidRDefault="000F5B51" w:rsidP="00C764B0">
            <w:pPr>
              <w:spacing w:after="0" w:line="240" w:lineRule="auto"/>
              <w:jc w:val="center"/>
              <w:rPr>
                <w:rFonts w:eastAsia="Times New Roman" w:cs="Times New Roman"/>
                <w:color w:val="000000"/>
                <w:szCs w:val="24"/>
              </w:rPr>
            </w:pPr>
            <w:r w:rsidRPr="008358A9">
              <w:t>7,755</w:t>
            </w:r>
          </w:p>
        </w:tc>
        <w:tc>
          <w:tcPr>
            <w:tcW w:w="1520" w:type="dxa"/>
            <w:shd w:val="clear" w:color="auto" w:fill="auto"/>
            <w:noWrap/>
          </w:tcPr>
          <w:p w14:paraId="0CBFBC58" w14:textId="77777777" w:rsidR="00C764B0" w:rsidRPr="00954B78" w:rsidRDefault="000F5B51" w:rsidP="00C764B0">
            <w:pPr>
              <w:spacing w:after="0" w:line="240" w:lineRule="auto"/>
              <w:jc w:val="center"/>
              <w:rPr>
                <w:rFonts w:eastAsia="Times New Roman" w:cs="Times New Roman"/>
                <w:color w:val="000000"/>
                <w:szCs w:val="24"/>
              </w:rPr>
            </w:pPr>
            <w:r w:rsidRPr="008358A9">
              <w:t>592</w:t>
            </w:r>
          </w:p>
        </w:tc>
        <w:tc>
          <w:tcPr>
            <w:tcW w:w="1616" w:type="dxa"/>
            <w:shd w:val="clear" w:color="auto" w:fill="auto"/>
            <w:noWrap/>
          </w:tcPr>
          <w:p w14:paraId="32A92CE6" w14:textId="77777777" w:rsidR="00C764B0" w:rsidRPr="00954B78" w:rsidRDefault="000F5B51" w:rsidP="00C764B0">
            <w:pPr>
              <w:spacing w:after="0" w:line="240" w:lineRule="auto"/>
              <w:jc w:val="center"/>
              <w:rPr>
                <w:rFonts w:eastAsia="Times New Roman" w:cs="Times New Roman"/>
                <w:color w:val="000000"/>
                <w:szCs w:val="24"/>
              </w:rPr>
            </w:pPr>
            <w:r w:rsidRPr="008358A9">
              <w:t>6,603</w:t>
            </w:r>
          </w:p>
        </w:tc>
        <w:tc>
          <w:tcPr>
            <w:tcW w:w="1617" w:type="dxa"/>
          </w:tcPr>
          <w:p w14:paraId="1F2C3E7C" w14:textId="77777777" w:rsidR="00C764B0" w:rsidRDefault="000F5B51" w:rsidP="00C764B0">
            <w:pPr>
              <w:spacing w:after="0" w:line="240" w:lineRule="auto"/>
              <w:jc w:val="center"/>
              <w:rPr>
                <w:color w:val="000000"/>
              </w:rPr>
            </w:pPr>
            <w:r w:rsidRPr="008358A9">
              <w:t>560</w:t>
            </w:r>
          </w:p>
        </w:tc>
      </w:tr>
      <w:tr w:rsidR="00A15C2C" w14:paraId="2806F4BC" w14:textId="77777777" w:rsidTr="0055589E">
        <w:trPr>
          <w:trHeight w:val="269"/>
          <w:jc w:val="center"/>
        </w:trPr>
        <w:tc>
          <w:tcPr>
            <w:tcW w:w="1328" w:type="dxa"/>
            <w:vAlign w:val="center"/>
          </w:tcPr>
          <w:p w14:paraId="035F91F0" w14:textId="77777777" w:rsidR="00C764B0" w:rsidRPr="008C3B0A" w:rsidRDefault="000F5B51" w:rsidP="00C764B0">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2</w:t>
            </w:r>
          </w:p>
        </w:tc>
        <w:tc>
          <w:tcPr>
            <w:tcW w:w="1940" w:type="dxa"/>
            <w:shd w:val="clear" w:color="auto" w:fill="auto"/>
            <w:noWrap/>
          </w:tcPr>
          <w:p w14:paraId="046E4E60" w14:textId="77777777" w:rsidR="00C764B0" w:rsidRPr="00954B78" w:rsidRDefault="000F5B51" w:rsidP="00C764B0">
            <w:pPr>
              <w:spacing w:after="0" w:line="240" w:lineRule="auto"/>
              <w:jc w:val="center"/>
              <w:rPr>
                <w:rFonts w:eastAsia="Times New Roman" w:cs="Times New Roman"/>
                <w:color w:val="000000"/>
                <w:szCs w:val="24"/>
              </w:rPr>
            </w:pPr>
            <w:r w:rsidRPr="008358A9">
              <w:t>3,394</w:t>
            </w:r>
          </w:p>
        </w:tc>
        <w:tc>
          <w:tcPr>
            <w:tcW w:w="1520" w:type="dxa"/>
            <w:shd w:val="clear" w:color="auto" w:fill="auto"/>
            <w:noWrap/>
          </w:tcPr>
          <w:p w14:paraId="16C17678" w14:textId="77777777" w:rsidR="00C764B0" w:rsidRPr="00954B78" w:rsidRDefault="000F5B51" w:rsidP="00C764B0">
            <w:pPr>
              <w:spacing w:after="0" w:line="240" w:lineRule="auto"/>
              <w:jc w:val="center"/>
              <w:rPr>
                <w:rFonts w:eastAsia="Times New Roman" w:cs="Times New Roman"/>
                <w:color w:val="000000"/>
                <w:szCs w:val="24"/>
              </w:rPr>
            </w:pPr>
            <w:r w:rsidRPr="008358A9">
              <w:t>259</w:t>
            </w:r>
          </w:p>
        </w:tc>
        <w:tc>
          <w:tcPr>
            <w:tcW w:w="1616" w:type="dxa"/>
            <w:shd w:val="clear" w:color="auto" w:fill="auto"/>
            <w:noWrap/>
          </w:tcPr>
          <w:p w14:paraId="16EA98E9" w14:textId="77777777" w:rsidR="00C764B0" w:rsidRPr="00954B78" w:rsidRDefault="000F5B51" w:rsidP="00C764B0">
            <w:pPr>
              <w:spacing w:after="0" w:line="240" w:lineRule="auto"/>
              <w:jc w:val="center"/>
              <w:rPr>
                <w:rFonts w:eastAsia="Times New Roman" w:cs="Times New Roman"/>
                <w:color w:val="000000"/>
                <w:szCs w:val="24"/>
              </w:rPr>
            </w:pPr>
            <w:r w:rsidRPr="008358A9">
              <w:t>2,890</w:t>
            </w:r>
          </w:p>
        </w:tc>
        <w:tc>
          <w:tcPr>
            <w:tcW w:w="1617" w:type="dxa"/>
          </w:tcPr>
          <w:p w14:paraId="40F8E8C7" w14:textId="77777777" w:rsidR="00C764B0" w:rsidRDefault="000F5B51" w:rsidP="00C764B0">
            <w:pPr>
              <w:spacing w:after="0" w:line="240" w:lineRule="auto"/>
              <w:jc w:val="center"/>
              <w:rPr>
                <w:color w:val="000000"/>
              </w:rPr>
            </w:pPr>
            <w:r w:rsidRPr="008358A9">
              <w:t>245</w:t>
            </w:r>
          </w:p>
        </w:tc>
      </w:tr>
      <w:tr w:rsidR="00A15C2C" w14:paraId="012F60AD" w14:textId="77777777" w:rsidTr="0055589E">
        <w:trPr>
          <w:trHeight w:val="269"/>
          <w:jc w:val="center"/>
        </w:trPr>
        <w:tc>
          <w:tcPr>
            <w:tcW w:w="1328" w:type="dxa"/>
            <w:vAlign w:val="center"/>
          </w:tcPr>
          <w:p w14:paraId="2DE78CFD" w14:textId="77777777" w:rsidR="00C764B0" w:rsidRPr="008C3B0A" w:rsidRDefault="000F5B51" w:rsidP="00C764B0">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3</w:t>
            </w:r>
          </w:p>
        </w:tc>
        <w:tc>
          <w:tcPr>
            <w:tcW w:w="1940" w:type="dxa"/>
            <w:shd w:val="clear" w:color="auto" w:fill="auto"/>
            <w:noWrap/>
          </w:tcPr>
          <w:p w14:paraId="2718A4B2" w14:textId="77777777" w:rsidR="00C764B0" w:rsidRPr="00954B78" w:rsidRDefault="000F5B51" w:rsidP="00C764B0">
            <w:pPr>
              <w:spacing w:after="0" w:line="240" w:lineRule="auto"/>
              <w:jc w:val="center"/>
              <w:rPr>
                <w:rFonts w:eastAsia="Times New Roman" w:cs="Times New Roman"/>
                <w:color w:val="000000"/>
                <w:szCs w:val="24"/>
              </w:rPr>
            </w:pPr>
            <w:r w:rsidRPr="008358A9">
              <w:t>937</w:t>
            </w:r>
          </w:p>
        </w:tc>
        <w:tc>
          <w:tcPr>
            <w:tcW w:w="1520" w:type="dxa"/>
            <w:shd w:val="clear" w:color="auto" w:fill="auto"/>
            <w:noWrap/>
          </w:tcPr>
          <w:p w14:paraId="777311E2" w14:textId="77777777" w:rsidR="00C764B0" w:rsidRPr="00954B78" w:rsidRDefault="000F5B51" w:rsidP="00C764B0">
            <w:pPr>
              <w:spacing w:after="0" w:line="240" w:lineRule="auto"/>
              <w:jc w:val="center"/>
              <w:rPr>
                <w:rFonts w:eastAsia="Times New Roman" w:cs="Times New Roman"/>
                <w:color w:val="000000"/>
                <w:szCs w:val="24"/>
              </w:rPr>
            </w:pPr>
            <w:r w:rsidRPr="008358A9">
              <w:t>71</w:t>
            </w:r>
          </w:p>
        </w:tc>
        <w:tc>
          <w:tcPr>
            <w:tcW w:w="1616" w:type="dxa"/>
            <w:shd w:val="clear" w:color="auto" w:fill="auto"/>
            <w:noWrap/>
          </w:tcPr>
          <w:p w14:paraId="14820769" w14:textId="77777777" w:rsidR="00C764B0" w:rsidRPr="00954B78" w:rsidRDefault="000F5B51" w:rsidP="00C764B0">
            <w:pPr>
              <w:spacing w:after="0" w:line="240" w:lineRule="auto"/>
              <w:jc w:val="center"/>
              <w:rPr>
                <w:rFonts w:eastAsia="Times New Roman" w:cs="Times New Roman"/>
                <w:color w:val="000000"/>
                <w:szCs w:val="24"/>
              </w:rPr>
            </w:pPr>
            <w:r w:rsidRPr="008358A9">
              <w:t>798</w:t>
            </w:r>
          </w:p>
        </w:tc>
        <w:tc>
          <w:tcPr>
            <w:tcW w:w="1617" w:type="dxa"/>
          </w:tcPr>
          <w:p w14:paraId="5B6307CE" w14:textId="77777777" w:rsidR="00C764B0" w:rsidRDefault="000F5B51" w:rsidP="00C764B0">
            <w:pPr>
              <w:spacing w:after="0" w:line="240" w:lineRule="auto"/>
              <w:jc w:val="center"/>
              <w:rPr>
                <w:color w:val="000000"/>
              </w:rPr>
            </w:pPr>
            <w:r w:rsidRPr="008358A9">
              <w:t>68</w:t>
            </w:r>
          </w:p>
        </w:tc>
      </w:tr>
      <w:tr w:rsidR="00A15C2C" w14:paraId="3711FBFC" w14:textId="77777777" w:rsidTr="0055589E">
        <w:trPr>
          <w:trHeight w:val="269"/>
          <w:jc w:val="center"/>
        </w:trPr>
        <w:tc>
          <w:tcPr>
            <w:tcW w:w="1328" w:type="dxa"/>
            <w:vAlign w:val="center"/>
          </w:tcPr>
          <w:p w14:paraId="119C8379" w14:textId="77777777" w:rsidR="00C764B0" w:rsidRPr="008C3B0A" w:rsidRDefault="000F5B51" w:rsidP="00C764B0">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4</w:t>
            </w:r>
          </w:p>
        </w:tc>
        <w:tc>
          <w:tcPr>
            <w:tcW w:w="1940" w:type="dxa"/>
            <w:shd w:val="clear" w:color="auto" w:fill="auto"/>
            <w:noWrap/>
          </w:tcPr>
          <w:p w14:paraId="3C6C7C65" w14:textId="77777777" w:rsidR="00C764B0" w:rsidRPr="00954B78" w:rsidRDefault="000F5B51" w:rsidP="00C764B0">
            <w:pPr>
              <w:spacing w:after="0" w:line="240" w:lineRule="auto"/>
              <w:jc w:val="center"/>
              <w:rPr>
                <w:rFonts w:eastAsia="Times New Roman" w:cs="Times New Roman"/>
                <w:color w:val="000000"/>
                <w:szCs w:val="24"/>
              </w:rPr>
            </w:pPr>
            <w:r w:rsidRPr="008358A9">
              <w:t>677</w:t>
            </w:r>
          </w:p>
        </w:tc>
        <w:tc>
          <w:tcPr>
            <w:tcW w:w="1520" w:type="dxa"/>
            <w:shd w:val="clear" w:color="auto" w:fill="auto"/>
            <w:noWrap/>
          </w:tcPr>
          <w:p w14:paraId="28ECFFF4" w14:textId="77777777" w:rsidR="00C764B0" w:rsidRPr="00954B78" w:rsidRDefault="000F5B51" w:rsidP="00C764B0">
            <w:pPr>
              <w:spacing w:after="0" w:line="240" w:lineRule="auto"/>
              <w:jc w:val="center"/>
              <w:rPr>
                <w:rFonts w:eastAsia="Times New Roman" w:cs="Times New Roman"/>
                <w:color w:val="000000"/>
                <w:szCs w:val="24"/>
              </w:rPr>
            </w:pPr>
            <w:r w:rsidRPr="008358A9">
              <w:t>52</w:t>
            </w:r>
          </w:p>
        </w:tc>
        <w:tc>
          <w:tcPr>
            <w:tcW w:w="1616" w:type="dxa"/>
            <w:shd w:val="clear" w:color="auto" w:fill="auto"/>
            <w:noWrap/>
          </w:tcPr>
          <w:p w14:paraId="2723F9ED" w14:textId="77777777" w:rsidR="00C764B0" w:rsidRPr="00954B78" w:rsidRDefault="000F5B51" w:rsidP="00C764B0">
            <w:pPr>
              <w:spacing w:after="0" w:line="240" w:lineRule="auto"/>
              <w:jc w:val="center"/>
              <w:rPr>
                <w:rFonts w:eastAsia="Times New Roman" w:cs="Times New Roman"/>
                <w:color w:val="000000"/>
                <w:szCs w:val="24"/>
              </w:rPr>
            </w:pPr>
            <w:r w:rsidRPr="008358A9">
              <w:t>576</w:t>
            </w:r>
          </w:p>
        </w:tc>
        <w:tc>
          <w:tcPr>
            <w:tcW w:w="1617" w:type="dxa"/>
          </w:tcPr>
          <w:p w14:paraId="2A37BB1C" w14:textId="77777777" w:rsidR="00C764B0" w:rsidRDefault="000F5B51" w:rsidP="00C764B0">
            <w:pPr>
              <w:spacing w:after="0" w:line="240" w:lineRule="auto"/>
              <w:jc w:val="center"/>
              <w:rPr>
                <w:color w:val="000000"/>
              </w:rPr>
            </w:pPr>
            <w:r w:rsidRPr="008358A9">
              <w:t>49</w:t>
            </w:r>
          </w:p>
        </w:tc>
      </w:tr>
      <w:tr w:rsidR="00A15C2C" w14:paraId="3523BD8C" w14:textId="77777777" w:rsidTr="0055589E">
        <w:trPr>
          <w:trHeight w:val="269"/>
          <w:jc w:val="center"/>
        </w:trPr>
        <w:tc>
          <w:tcPr>
            <w:tcW w:w="1328" w:type="dxa"/>
            <w:vAlign w:val="center"/>
          </w:tcPr>
          <w:p w14:paraId="47FCD215" w14:textId="77777777" w:rsidR="00C764B0" w:rsidRPr="008C3B0A" w:rsidRDefault="000F5B51" w:rsidP="00C764B0">
            <w:pPr>
              <w:spacing w:after="0" w:line="240" w:lineRule="auto"/>
              <w:rPr>
                <w:rFonts w:eastAsia="Times New Roman" w:cs="Times New Roman"/>
                <w:color w:val="000000"/>
                <w:szCs w:val="24"/>
              </w:rPr>
            </w:pPr>
            <w:r>
              <w:rPr>
                <w:rFonts w:eastAsia="Times New Roman" w:cs="Times New Roman"/>
                <w:color w:val="000000"/>
                <w:szCs w:val="24"/>
              </w:rPr>
              <w:t>MAIS 5</w:t>
            </w:r>
          </w:p>
        </w:tc>
        <w:tc>
          <w:tcPr>
            <w:tcW w:w="1940" w:type="dxa"/>
            <w:shd w:val="clear" w:color="auto" w:fill="auto"/>
            <w:noWrap/>
          </w:tcPr>
          <w:p w14:paraId="491439CF" w14:textId="77777777" w:rsidR="00C764B0" w:rsidRPr="00954B78" w:rsidRDefault="000F5B51" w:rsidP="00C764B0">
            <w:pPr>
              <w:spacing w:after="0" w:line="240" w:lineRule="auto"/>
              <w:jc w:val="center"/>
              <w:rPr>
                <w:rFonts w:cs="Times New Roman"/>
                <w:color w:val="000000"/>
                <w:szCs w:val="24"/>
              </w:rPr>
            </w:pPr>
            <w:r w:rsidRPr="008358A9">
              <w:t>16</w:t>
            </w:r>
          </w:p>
        </w:tc>
        <w:tc>
          <w:tcPr>
            <w:tcW w:w="1520" w:type="dxa"/>
            <w:shd w:val="clear" w:color="auto" w:fill="auto"/>
            <w:noWrap/>
          </w:tcPr>
          <w:p w14:paraId="27FA8D4C" w14:textId="77777777" w:rsidR="00C764B0" w:rsidRPr="00954B78" w:rsidRDefault="000F5B51" w:rsidP="00C764B0">
            <w:pPr>
              <w:spacing w:after="0" w:line="240" w:lineRule="auto"/>
              <w:jc w:val="center"/>
              <w:rPr>
                <w:rFonts w:cs="Times New Roman"/>
                <w:color w:val="000000"/>
                <w:szCs w:val="24"/>
              </w:rPr>
            </w:pPr>
            <w:r w:rsidRPr="008358A9">
              <w:t>1</w:t>
            </w:r>
          </w:p>
        </w:tc>
        <w:tc>
          <w:tcPr>
            <w:tcW w:w="1616" w:type="dxa"/>
            <w:shd w:val="clear" w:color="auto" w:fill="auto"/>
            <w:noWrap/>
          </w:tcPr>
          <w:p w14:paraId="520B60F1" w14:textId="77777777" w:rsidR="00C764B0" w:rsidRPr="00954B78" w:rsidRDefault="000F5B51" w:rsidP="00C764B0">
            <w:pPr>
              <w:spacing w:after="0" w:line="240" w:lineRule="auto"/>
              <w:jc w:val="center"/>
              <w:rPr>
                <w:rFonts w:cs="Times New Roman"/>
                <w:color w:val="000000"/>
                <w:szCs w:val="24"/>
              </w:rPr>
            </w:pPr>
            <w:r w:rsidRPr="008358A9">
              <w:t>14</w:t>
            </w:r>
          </w:p>
        </w:tc>
        <w:tc>
          <w:tcPr>
            <w:tcW w:w="1617" w:type="dxa"/>
          </w:tcPr>
          <w:p w14:paraId="1992F092" w14:textId="77777777" w:rsidR="00C764B0" w:rsidRDefault="000F5B51" w:rsidP="00C764B0">
            <w:pPr>
              <w:spacing w:after="0" w:line="240" w:lineRule="auto"/>
              <w:jc w:val="center"/>
              <w:rPr>
                <w:color w:val="000000"/>
              </w:rPr>
            </w:pPr>
            <w:r w:rsidRPr="008358A9">
              <w:t>1</w:t>
            </w:r>
          </w:p>
        </w:tc>
      </w:tr>
      <w:tr w:rsidR="00A15C2C" w14:paraId="7E06AAC5" w14:textId="77777777" w:rsidTr="0055589E">
        <w:trPr>
          <w:trHeight w:val="269"/>
          <w:jc w:val="center"/>
        </w:trPr>
        <w:tc>
          <w:tcPr>
            <w:tcW w:w="1328" w:type="dxa"/>
            <w:vAlign w:val="center"/>
          </w:tcPr>
          <w:p w14:paraId="372B79A7" w14:textId="77777777" w:rsidR="00C764B0" w:rsidRPr="0055589E" w:rsidRDefault="000F5B51" w:rsidP="00C764B0">
            <w:pPr>
              <w:spacing w:after="0" w:line="240" w:lineRule="auto"/>
              <w:rPr>
                <w:rFonts w:eastAsia="Times New Roman" w:cs="Times New Roman"/>
                <w:color w:val="000000"/>
                <w:szCs w:val="24"/>
              </w:rPr>
            </w:pPr>
            <w:r w:rsidRPr="0055589E">
              <w:rPr>
                <w:rFonts w:eastAsia="Times New Roman" w:cs="Times New Roman"/>
                <w:color w:val="000000"/>
                <w:szCs w:val="24"/>
              </w:rPr>
              <w:t>Fatality</w:t>
            </w:r>
          </w:p>
        </w:tc>
        <w:tc>
          <w:tcPr>
            <w:tcW w:w="1940" w:type="dxa"/>
            <w:shd w:val="clear" w:color="auto" w:fill="auto"/>
            <w:noWrap/>
          </w:tcPr>
          <w:p w14:paraId="19E6D4AF" w14:textId="77777777" w:rsidR="00C764B0" w:rsidRPr="00DA0C97" w:rsidRDefault="000F5B51" w:rsidP="00C764B0">
            <w:pPr>
              <w:spacing w:after="0" w:line="240" w:lineRule="auto"/>
              <w:jc w:val="center"/>
              <w:rPr>
                <w:rFonts w:eastAsia="Times New Roman" w:cs="Times New Roman"/>
                <w:b/>
                <w:bCs/>
                <w:color w:val="000000"/>
                <w:szCs w:val="24"/>
              </w:rPr>
            </w:pPr>
            <w:r w:rsidRPr="008358A9">
              <w:t>1,676</w:t>
            </w:r>
          </w:p>
        </w:tc>
        <w:tc>
          <w:tcPr>
            <w:tcW w:w="1520" w:type="dxa"/>
            <w:shd w:val="clear" w:color="auto" w:fill="auto"/>
            <w:noWrap/>
          </w:tcPr>
          <w:p w14:paraId="477A0F52" w14:textId="77777777" w:rsidR="00C764B0" w:rsidRPr="00DA0C97" w:rsidRDefault="000F5B51" w:rsidP="00C764B0">
            <w:pPr>
              <w:spacing w:after="0" w:line="240" w:lineRule="auto"/>
              <w:jc w:val="center"/>
              <w:rPr>
                <w:rFonts w:eastAsia="Times New Roman" w:cs="Times New Roman"/>
                <w:b/>
                <w:bCs/>
                <w:color w:val="000000"/>
                <w:szCs w:val="24"/>
              </w:rPr>
            </w:pPr>
            <w:r w:rsidRPr="008358A9">
              <w:t>128</w:t>
            </w:r>
          </w:p>
        </w:tc>
        <w:tc>
          <w:tcPr>
            <w:tcW w:w="1616" w:type="dxa"/>
            <w:shd w:val="clear" w:color="auto" w:fill="auto"/>
            <w:noWrap/>
          </w:tcPr>
          <w:p w14:paraId="30AA9D26" w14:textId="77777777" w:rsidR="00C764B0" w:rsidRPr="00DA0C97" w:rsidRDefault="000F5B51" w:rsidP="00C764B0">
            <w:pPr>
              <w:spacing w:after="0" w:line="240" w:lineRule="auto"/>
              <w:jc w:val="center"/>
              <w:rPr>
                <w:rFonts w:eastAsia="Times New Roman" w:cs="Times New Roman"/>
                <w:b/>
                <w:bCs/>
                <w:color w:val="000000"/>
                <w:szCs w:val="24"/>
              </w:rPr>
            </w:pPr>
            <w:r w:rsidRPr="008358A9">
              <w:t>1,427</w:t>
            </w:r>
          </w:p>
        </w:tc>
        <w:tc>
          <w:tcPr>
            <w:tcW w:w="1617" w:type="dxa"/>
          </w:tcPr>
          <w:p w14:paraId="1C5B84E9" w14:textId="77777777" w:rsidR="00C764B0" w:rsidRPr="00DA0C97" w:rsidRDefault="000F5B51" w:rsidP="00C764B0">
            <w:pPr>
              <w:spacing w:after="0" w:line="240" w:lineRule="auto"/>
              <w:jc w:val="center"/>
              <w:rPr>
                <w:b/>
                <w:bCs/>
                <w:color w:val="000000"/>
              </w:rPr>
            </w:pPr>
            <w:r w:rsidRPr="008358A9">
              <w:t>121</w:t>
            </w:r>
          </w:p>
        </w:tc>
      </w:tr>
      <w:tr w:rsidR="00A15C2C" w14:paraId="7B7D4050" w14:textId="77777777" w:rsidTr="0055589E">
        <w:trPr>
          <w:trHeight w:val="269"/>
          <w:jc w:val="center"/>
        </w:trPr>
        <w:tc>
          <w:tcPr>
            <w:tcW w:w="8021" w:type="dxa"/>
            <w:gridSpan w:val="5"/>
            <w:shd w:val="clear" w:color="auto" w:fill="D9D9D9" w:themeFill="background1" w:themeFillShade="D9"/>
          </w:tcPr>
          <w:p w14:paraId="60D23662" w14:textId="77777777" w:rsidR="00F970A0" w:rsidRDefault="000F5B51" w:rsidP="00A73362">
            <w:pPr>
              <w:spacing w:after="0" w:line="240" w:lineRule="auto"/>
              <w:ind w:firstLineChars="100" w:firstLine="241"/>
              <w:jc w:val="center"/>
              <w:rPr>
                <w:rFonts w:eastAsia="Times New Roman" w:cs="Times New Roman"/>
                <w:b/>
                <w:bCs/>
                <w:i/>
                <w:iCs/>
                <w:color w:val="000000"/>
                <w:szCs w:val="24"/>
              </w:rPr>
            </w:pPr>
            <w:r>
              <w:rPr>
                <w:rFonts w:eastAsia="Times New Roman" w:cs="Times New Roman"/>
                <w:b/>
                <w:bCs/>
                <w:i/>
                <w:iCs/>
                <w:color w:val="000000"/>
                <w:szCs w:val="24"/>
              </w:rPr>
              <w:t>Light Trucks</w:t>
            </w:r>
          </w:p>
        </w:tc>
      </w:tr>
      <w:tr w:rsidR="00A15C2C" w14:paraId="20F7944D" w14:textId="77777777" w:rsidTr="0055589E">
        <w:trPr>
          <w:trHeight w:val="328"/>
          <w:jc w:val="center"/>
        </w:trPr>
        <w:tc>
          <w:tcPr>
            <w:tcW w:w="1328" w:type="dxa"/>
            <w:vAlign w:val="center"/>
          </w:tcPr>
          <w:p w14:paraId="0F1940CA" w14:textId="77777777" w:rsidR="009D244B" w:rsidRPr="008C3B0A" w:rsidRDefault="000F5B51" w:rsidP="009D244B">
            <w:pPr>
              <w:spacing w:after="0" w:line="240" w:lineRule="auto"/>
              <w:rPr>
                <w:rFonts w:eastAsia="Times New Roman" w:cs="Times New Roman"/>
                <w:color w:val="000000"/>
                <w:szCs w:val="24"/>
              </w:rPr>
            </w:pPr>
            <w:r>
              <w:rPr>
                <w:rFonts w:eastAsia="Times New Roman" w:cs="Times New Roman"/>
                <w:color w:val="000000"/>
                <w:szCs w:val="24"/>
              </w:rPr>
              <w:t>MAIS 1</w:t>
            </w:r>
          </w:p>
        </w:tc>
        <w:tc>
          <w:tcPr>
            <w:tcW w:w="1940" w:type="dxa"/>
            <w:shd w:val="clear" w:color="auto" w:fill="auto"/>
            <w:noWrap/>
            <w:vAlign w:val="center"/>
          </w:tcPr>
          <w:p w14:paraId="56D74572" w14:textId="77777777" w:rsidR="009D244B" w:rsidRPr="0040689A" w:rsidRDefault="000F5B51" w:rsidP="009D244B">
            <w:pPr>
              <w:spacing w:after="0" w:line="240" w:lineRule="auto"/>
              <w:jc w:val="center"/>
              <w:rPr>
                <w:rFonts w:eastAsia="Times New Roman" w:cs="Times New Roman"/>
                <w:color w:val="000000"/>
                <w:szCs w:val="24"/>
              </w:rPr>
            </w:pPr>
            <w:r w:rsidRPr="00044F2E">
              <w:rPr>
                <w:rFonts w:cs="Times New Roman"/>
                <w:color w:val="000000"/>
                <w:szCs w:val="24"/>
              </w:rPr>
              <w:t>4,737</w:t>
            </w:r>
          </w:p>
        </w:tc>
        <w:tc>
          <w:tcPr>
            <w:tcW w:w="1520" w:type="dxa"/>
            <w:shd w:val="clear" w:color="auto" w:fill="auto"/>
            <w:noWrap/>
            <w:vAlign w:val="bottom"/>
          </w:tcPr>
          <w:p w14:paraId="1B900BDF" w14:textId="77777777" w:rsidR="009D244B" w:rsidRPr="00044F2E" w:rsidRDefault="000F5B51" w:rsidP="009D244B">
            <w:pPr>
              <w:spacing w:after="0" w:line="240" w:lineRule="auto"/>
              <w:jc w:val="center"/>
              <w:rPr>
                <w:rFonts w:eastAsia="Times New Roman" w:cs="Times New Roman"/>
                <w:color w:val="000000"/>
                <w:szCs w:val="24"/>
              </w:rPr>
            </w:pPr>
            <w:r w:rsidRPr="0055589E">
              <w:rPr>
                <w:rFonts w:cs="Times New Roman"/>
                <w:color w:val="000000"/>
                <w:szCs w:val="24"/>
              </w:rPr>
              <w:t>361</w:t>
            </w:r>
          </w:p>
        </w:tc>
        <w:tc>
          <w:tcPr>
            <w:tcW w:w="1616" w:type="dxa"/>
            <w:shd w:val="clear" w:color="auto" w:fill="auto"/>
            <w:noWrap/>
            <w:vAlign w:val="bottom"/>
          </w:tcPr>
          <w:p w14:paraId="00241B3E" w14:textId="77777777" w:rsidR="009D244B" w:rsidRPr="00044F2E" w:rsidRDefault="000F5B51" w:rsidP="009D244B">
            <w:pPr>
              <w:spacing w:after="0" w:line="240" w:lineRule="auto"/>
              <w:jc w:val="center"/>
              <w:rPr>
                <w:rFonts w:eastAsia="Times New Roman" w:cs="Times New Roman"/>
                <w:color w:val="000000"/>
                <w:szCs w:val="24"/>
              </w:rPr>
            </w:pPr>
            <w:r w:rsidRPr="0055589E">
              <w:rPr>
                <w:rFonts w:cs="Times New Roman"/>
                <w:color w:val="000000"/>
                <w:szCs w:val="24"/>
              </w:rPr>
              <w:t>4,033</w:t>
            </w:r>
          </w:p>
        </w:tc>
        <w:tc>
          <w:tcPr>
            <w:tcW w:w="1617" w:type="dxa"/>
            <w:vAlign w:val="center"/>
          </w:tcPr>
          <w:p w14:paraId="0435D9F7" w14:textId="77777777" w:rsidR="009D244B" w:rsidRPr="00897AED" w:rsidRDefault="000F5B51" w:rsidP="009D244B">
            <w:pPr>
              <w:spacing w:after="0" w:line="240" w:lineRule="auto"/>
              <w:jc w:val="center"/>
              <w:rPr>
                <w:rFonts w:cs="Times New Roman"/>
                <w:color w:val="000000"/>
                <w:szCs w:val="24"/>
              </w:rPr>
            </w:pPr>
            <w:r w:rsidRPr="0040689A">
              <w:rPr>
                <w:rFonts w:cs="Times New Roman"/>
                <w:color w:val="000000"/>
                <w:szCs w:val="24"/>
              </w:rPr>
              <w:t>343</w:t>
            </w:r>
          </w:p>
        </w:tc>
      </w:tr>
      <w:tr w:rsidR="00A15C2C" w14:paraId="634685E7" w14:textId="77777777" w:rsidTr="0055589E">
        <w:trPr>
          <w:trHeight w:val="269"/>
          <w:jc w:val="center"/>
        </w:trPr>
        <w:tc>
          <w:tcPr>
            <w:tcW w:w="1328" w:type="dxa"/>
            <w:vAlign w:val="center"/>
          </w:tcPr>
          <w:p w14:paraId="55011F54" w14:textId="77777777" w:rsidR="009D244B" w:rsidRPr="008C3B0A" w:rsidRDefault="000F5B51" w:rsidP="009D244B">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2</w:t>
            </w:r>
          </w:p>
        </w:tc>
        <w:tc>
          <w:tcPr>
            <w:tcW w:w="1940" w:type="dxa"/>
            <w:shd w:val="clear" w:color="auto" w:fill="auto"/>
            <w:noWrap/>
            <w:vAlign w:val="center"/>
          </w:tcPr>
          <w:p w14:paraId="271BCCDF" w14:textId="77777777" w:rsidR="009D244B" w:rsidRPr="0040689A" w:rsidRDefault="000F5B51" w:rsidP="009D244B">
            <w:pPr>
              <w:spacing w:after="0" w:line="240" w:lineRule="auto"/>
              <w:jc w:val="center"/>
              <w:rPr>
                <w:rFonts w:eastAsia="Times New Roman" w:cs="Times New Roman"/>
                <w:color w:val="000000"/>
                <w:szCs w:val="24"/>
              </w:rPr>
            </w:pPr>
            <w:r w:rsidRPr="00044F2E">
              <w:rPr>
                <w:rFonts w:cs="Times New Roman"/>
                <w:color w:val="000000"/>
                <w:szCs w:val="24"/>
              </w:rPr>
              <w:t>1,609</w:t>
            </w:r>
          </w:p>
        </w:tc>
        <w:tc>
          <w:tcPr>
            <w:tcW w:w="1520" w:type="dxa"/>
            <w:shd w:val="clear" w:color="auto" w:fill="auto"/>
            <w:noWrap/>
            <w:vAlign w:val="bottom"/>
          </w:tcPr>
          <w:p w14:paraId="708F3FA8" w14:textId="77777777" w:rsidR="009D244B" w:rsidRPr="00044F2E" w:rsidRDefault="000F5B51" w:rsidP="009D244B">
            <w:pPr>
              <w:spacing w:after="0" w:line="240" w:lineRule="auto"/>
              <w:jc w:val="center"/>
              <w:rPr>
                <w:rFonts w:eastAsia="Times New Roman" w:cs="Times New Roman"/>
                <w:color w:val="000000"/>
                <w:szCs w:val="24"/>
              </w:rPr>
            </w:pPr>
            <w:r w:rsidRPr="0055589E">
              <w:rPr>
                <w:rFonts w:cs="Times New Roman"/>
                <w:color w:val="000000"/>
                <w:szCs w:val="24"/>
              </w:rPr>
              <w:t>123</w:t>
            </w:r>
          </w:p>
        </w:tc>
        <w:tc>
          <w:tcPr>
            <w:tcW w:w="1616" w:type="dxa"/>
            <w:shd w:val="clear" w:color="auto" w:fill="auto"/>
            <w:noWrap/>
            <w:vAlign w:val="bottom"/>
          </w:tcPr>
          <w:p w14:paraId="4289F629" w14:textId="77777777" w:rsidR="009D244B" w:rsidRPr="00044F2E" w:rsidRDefault="000F5B51" w:rsidP="009D244B">
            <w:pPr>
              <w:spacing w:after="0" w:line="240" w:lineRule="auto"/>
              <w:jc w:val="center"/>
              <w:rPr>
                <w:rFonts w:eastAsia="Times New Roman" w:cs="Times New Roman"/>
                <w:color w:val="000000"/>
                <w:szCs w:val="24"/>
              </w:rPr>
            </w:pPr>
            <w:r w:rsidRPr="0055589E">
              <w:rPr>
                <w:rFonts w:cs="Times New Roman"/>
                <w:color w:val="000000"/>
                <w:szCs w:val="24"/>
              </w:rPr>
              <w:t>1,370</w:t>
            </w:r>
          </w:p>
        </w:tc>
        <w:tc>
          <w:tcPr>
            <w:tcW w:w="1617" w:type="dxa"/>
            <w:vAlign w:val="center"/>
          </w:tcPr>
          <w:p w14:paraId="41B54C8D" w14:textId="77777777" w:rsidR="009D244B" w:rsidRPr="00897AED" w:rsidRDefault="000F5B51" w:rsidP="009D244B">
            <w:pPr>
              <w:spacing w:after="0" w:line="240" w:lineRule="auto"/>
              <w:jc w:val="center"/>
              <w:rPr>
                <w:rFonts w:cs="Times New Roman"/>
                <w:color w:val="000000"/>
                <w:szCs w:val="24"/>
              </w:rPr>
            </w:pPr>
            <w:r w:rsidRPr="0040689A">
              <w:rPr>
                <w:rFonts w:cs="Times New Roman"/>
                <w:color w:val="000000"/>
                <w:szCs w:val="24"/>
              </w:rPr>
              <w:t>116</w:t>
            </w:r>
          </w:p>
        </w:tc>
      </w:tr>
      <w:tr w:rsidR="00A15C2C" w14:paraId="5A34E570" w14:textId="77777777" w:rsidTr="0055589E">
        <w:trPr>
          <w:trHeight w:val="269"/>
          <w:jc w:val="center"/>
        </w:trPr>
        <w:tc>
          <w:tcPr>
            <w:tcW w:w="1328" w:type="dxa"/>
            <w:vAlign w:val="center"/>
          </w:tcPr>
          <w:p w14:paraId="238BD01A" w14:textId="77777777" w:rsidR="009D244B" w:rsidRPr="008C3B0A" w:rsidRDefault="000F5B51" w:rsidP="009D244B">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3</w:t>
            </w:r>
          </w:p>
        </w:tc>
        <w:tc>
          <w:tcPr>
            <w:tcW w:w="1940" w:type="dxa"/>
            <w:shd w:val="clear" w:color="auto" w:fill="auto"/>
            <w:noWrap/>
            <w:vAlign w:val="center"/>
          </w:tcPr>
          <w:p w14:paraId="45BB3F79" w14:textId="77777777" w:rsidR="009D244B" w:rsidRPr="0040689A" w:rsidRDefault="000F5B51" w:rsidP="009D244B">
            <w:pPr>
              <w:spacing w:after="0" w:line="240" w:lineRule="auto"/>
              <w:jc w:val="center"/>
              <w:rPr>
                <w:rFonts w:cs="Times New Roman"/>
                <w:color w:val="000000"/>
                <w:szCs w:val="24"/>
              </w:rPr>
            </w:pPr>
            <w:r w:rsidRPr="00044F2E">
              <w:rPr>
                <w:rFonts w:cs="Times New Roman"/>
                <w:color w:val="000000"/>
                <w:szCs w:val="24"/>
              </w:rPr>
              <w:t>11</w:t>
            </w:r>
          </w:p>
        </w:tc>
        <w:tc>
          <w:tcPr>
            <w:tcW w:w="1520" w:type="dxa"/>
            <w:shd w:val="clear" w:color="auto" w:fill="auto"/>
            <w:noWrap/>
            <w:vAlign w:val="bottom"/>
          </w:tcPr>
          <w:p w14:paraId="3B7EF07B" w14:textId="77777777" w:rsidR="009D244B" w:rsidRPr="00044F2E" w:rsidRDefault="000F5B51" w:rsidP="009D244B">
            <w:pPr>
              <w:spacing w:after="0" w:line="240" w:lineRule="auto"/>
              <w:jc w:val="center"/>
              <w:rPr>
                <w:rFonts w:cs="Times New Roman"/>
                <w:color w:val="000000"/>
                <w:szCs w:val="24"/>
              </w:rPr>
            </w:pPr>
            <w:r w:rsidRPr="0055589E">
              <w:rPr>
                <w:rFonts w:cs="Times New Roman"/>
                <w:color w:val="000000"/>
                <w:szCs w:val="24"/>
              </w:rPr>
              <w:t>1</w:t>
            </w:r>
          </w:p>
        </w:tc>
        <w:tc>
          <w:tcPr>
            <w:tcW w:w="1616" w:type="dxa"/>
            <w:shd w:val="clear" w:color="auto" w:fill="auto"/>
            <w:noWrap/>
            <w:vAlign w:val="bottom"/>
          </w:tcPr>
          <w:p w14:paraId="0FDC6B43" w14:textId="77777777" w:rsidR="009D244B" w:rsidRPr="00044F2E" w:rsidRDefault="000F5B51" w:rsidP="009D244B">
            <w:pPr>
              <w:spacing w:after="0" w:line="240" w:lineRule="auto"/>
              <w:jc w:val="center"/>
              <w:rPr>
                <w:rFonts w:cs="Times New Roman"/>
                <w:color w:val="000000"/>
                <w:szCs w:val="24"/>
              </w:rPr>
            </w:pPr>
            <w:r w:rsidRPr="0055589E">
              <w:rPr>
                <w:rFonts w:cs="Times New Roman"/>
                <w:color w:val="000000"/>
                <w:szCs w:val="24"/>
              </w:rPr>
              <w:t>9</w:t>
            </w:r>
          </w:p>
        </w:tc>
        <w:tc>
          <w:tcPr>
            <w:tcW w:w="1617" w:type="dxa"/>
            <w:vAlign w:val="center"/>
          </w:tcPr>
          <w:p w14:paraId="160BB53F" w14:textId="77777777" w:rsidR="009D244B" w:rsidRPr="00897AED" w:rsidRDefault="000F5B51" w:rsidP="009D244B">
            <w:pPr>
              <w:spacing w:after="0" w:line="240" w:lineRule="auto"/>
              <w:jc w:val="center"/>
              <w:rPr>
                <w:rFonts w:cs="Times New Roman"/>
                <w:color w:val="000000"/>
                <w:szCs w:val="24"/>
              </w:rPr>
            </w:pPr>
            <w:r w:rsidRPr="0040689A">
              <w:rPr>
                <w:rFonts w:cs="Times New Roman"/>
                <w:color w:val="000000"/>
                <w:szCs w:val="24"/>
              </w:rPr>
              <w:t>1</w:t>
            </w:r>
          </w:p>
        </w:tc>
      </w:tr>
      <w:tr w:rsidR="00A15C2C" w14:paraId="35BEBE7C" w14:textId="77777777" w:rsidTr="0055589E">
        <w:trPr>
          <w:trHeight w:val="269"/>
          <w:jc w:val="center"/>
        </w:trPr>
        <w:tc>
          <w:tcPr>
            <w:tcW w:w="1328" w:type="dxa"/>
            <w:vAlign w:val="center"/>
          </w:tcPr>
          <w:p w14:paraId="3A52D254" w14:textId="77777777" w:rsidR="009D244B" w:rsidRPr="008C3B0A" w:rsidRDefault="000F5B51" w:rsidP="009D244B">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4</w:t>
            </w:r>
          </w:p>
        </w:tc>
        <w:tc>
          <w:tcPr>
            <w:tcW w:w="1940" w:type="dxa"/>
            <w:shd w:val="clear" w:color="auto" w:fill="auto"/>
            <w:noWrap/>
            <w:vAlign w:val="center"/>
          </w:tcPr>
          <w:p w14:paraId="165BB5C9" w14:textId="77777777" w:rsidR="009D244B" w:rsidRPr="0040689A" w:rsidRDefault="000F5B51" w:rsidP="009D244B">
            <w:pPr>
              <w:spacing w:after="0" w:line="240" w:lineRule="auto"/>
              <w:jc w:val="center"/>
              <w:rPr>
                <w:rFonts w:cs="Times New Roman"/>
                <w:color w:val="000000"/>
                <w:szCs w:val="24"/>
              </w:rPr>
            </w:pPr>
            <w:r w:rsidRPr="00044F2E">
              <w:rPr>
                <w:rFonts w:cs="Times New Roman"/>
                <w:color w:val="000000"/>
                <w:szCs w:val="24"/>
              </w:rPr>
              <w:t>76</w:t>
            </w:r>
          </w:p>
        </w:tc>
        <w:tc>
          <w:tcPr>
            <w:tcW w:w="1520" w:type="dxa"/>
            <w:shd w:val="clear" w:color="auto" w:fill="auto"/>
            <w:noWrap/>
            <w:vAlign w:val="bottom"/>
          </w:tcPr>
          <w:p w14:paraId="5759AE9E" w14:textId="77777777" w:rsidR="009D244B" w:rsidRPr="00044F2E" w:rsidRDefault="000F5B51" w:rsidP="009D244B">
            <w:pPr>
              <w:spacing w:after="0" w:line="240" w:lineRule="auto"/>
              <w:jc w:val="center"/>
              <w:rPr>
                <w:rFonts w:cs="Times New Roman"/>
                <w:color w:val="000000"/>
                <w:szCs w:val="24"/>
              </w:rPr>
            </w:pPr>
            <w:r w:rsidRPr="0055589E">
              <w:rPr>
                <w:rFonts w:cs="Times New Roman"/>
                <w:color w:val="000000"/>
                <w:szCs w:val="24"/>
              </w:rPr>
              <w:t>6</w:t>
            </w:r>
          </w:p>
        </w:tc>
        <w:tc>
          <w:tcPr>
            <w:tcW w:w="1616" w:type="dxa"/>
            <w:shd w:val="clear" w:color="auto" w:fill="auto"/>
            <w:noWrap/>
            <w:vAlign w:val="bottom"/>
          </w:tcPr>
          <w:p w14:paraId="268CD1FF" w14:textId="77777777" w:rsidR="009D244B" w:rsidRPr="00044F2E" w:rsidRDefault="000F5B51" w:rsidP="009D244B">
            <w:pPr>
              <w:spacing w:after="0" w:line="240" w:lineRule="auto"/>
              <w:jc w:val="center"/>
              <w:rPr>
                <w:rFonts w:cs="Times New Roman"/>
                <w:color w:val="000000"/>
                <w:szCs w:val="24"/>
              </w:rPr>
            </w:pPr>
            <w:r w:rsidRPr="0055589E">
              <w:rPr>
                <w:rFonts w:cs="Times New Roman"/>
                <w:color w:val="000000"/>
                <w:szCs w:val="24"/>
              </w:rPr>
              <w:t>65</w:t>
            </w:r>
          </w:p>
        </w:tc>
        <w:tc>
          <w:tcPr>
            <w:tcW w:w="1617" w:type="dxa"/>
            <w:vAlign w:val="center"/>
          </w:tcPr>
          <w:p w14:paraId="0360DB03" w14:textId="77777777" w:rsidR="009D244B" w:rsidRPr="00897AED" w:rsidRDefault="000F5B51" w:rsidP="009D244B">
            <w:pPr>
              <w:spacing w:after="0" w:line="240" w:lineRule="auto"/>
              <w:jc w:val="center"/>
              <w:rPr>
                <w:rFonts w:cs="Times New Roman"/>
                <w:color w:val="000000"/>
                <w:szCs w:val="24"/>
              </w:rPr>
            </w:pPr>
            <w:r w:rsidRPr="0040689A">
              <w:rPr>
                <w:rFonts w:cs="Times New Roman"/>
                <w:color w:val="000000"/>
                <w:szCs w:val="24"/>
              </w:rPr>
              <w:t>5</w:t>
            </w:r>
          </w:p>
        </w:tc>
      </w:tr>
      <w:tr w:rsidR="00A15C2C" w14:paraId="75F2E5C8" w14:textId="77777777" w:rsidTr="0055589E">
        <w:trPr>
          <w:trHeight w:val="269"/>
          <w:jc w:val="center"/>
        </w:trPr>
        <w:tc>
          <w:tcPr>
            <w:tcW w:w="1328" w:type="dxa"/>
            <w:vAlign w:val="center"/>
          </w:tcPr>
          <w:p w14:paraId="719E5DF5" w14:textId="77777777" w:rsidR="009D244B" w:rsidRPr="008C3B0A" w:rsidRDefault="000F5B51" w:rsidP="009D244B">
            <w:pPr>
              <w:spacing w:after="0" w:line="240" w:lineRule="auto"/>
              <w:rPr>
                <w:rFonts w:eastAsia="Times New Roman" w:cs="Times New Roman"/>
                <w:color w:val="000000"/>
                <w:szCs w:val="24"/>
              </w:rPr>
            </w:pPr>
            <w:r>
              <w:rPr>
                <w:rFonts w:eastAsia="Times New Roman" w:cs="Times New Roman"/>
                <w:color w:val="000000"/>
                <w:szCs w:val="24"/>
              </w:rPr>
              <w:t>MAIS 5</w:t>
            </w:r>
          </w:p>
        </w:tc>
        <w:tc>
          <w:tcPr>
            <w:tcW w:w="1940" w:type="dxa"/>
            <w:shd w:val="clear" w:color="auto" w:fill="auto"/>
            <w:noWrap/>
            <w:vAlign w:val="center"/>
          </w:tcPr>
          <w:p w14:paraId="638761B5" w14:textId="77777777" w:rsidR="009D244B" w:rsidRPr="0040689A" w:rsidRDefault="000F5B51" w:rsidP="009D244B">
            <w:pPr>
              <w:spacing w:after="0" w:line="240" w:lineRule="auto"/>
              <w:jc w:val="center"/>
              <w:rPr>
                <w:rFonts w:cs="Times New Roman"/>
                <w:color w:val="000000"/>
                <w:szCs w:val="24"/>
              </w:rPr>
            </w:pPr>
            <w:r w:rsidRPr="00044F2E">
              <w:rPr>
                <w:rFonts w:cs="Times New Roman"/>
                <w:color w:val="000000"/>
                <w:szCs w:val="24"/>
              </w:rPr>
              <w:t>5</w:t>
            </w:r>
          </w:p>
        </w:tc>
        <w:tc>
          <w:tcPr>
            <w:tcW w:w="1520" w:type="dxa"/>
            <w:shd w:val="clear" w:color="auto" w:fill="auto"/>
            <w:noWrap/>
            <w:vAlign w:val="bottom"/>
          </w:tcPr>
          <w:p w14:paraId="5BBC578F" w14:textId="77777777" w:rsidR="009D244B" w:rsidRPr="00044F2E" w:rsidRDefault="000F5B51" w:rsidP="009D244B">
            <w:pPr>
              <w:spacing w:after="0" w:line="240" w:lineRule="auto"/>
              <w:jc w:val="center"/>
              <w:rPr>
                <w:rFonts w:cs="Times New Roman"/>
                <w:color w:val="000000"/>
                <w:szCs w:val="24"/>
              </w:rPr>
            </w:pPr>
            <w:r w:rsidRPr="0055589E">
              <w:rPr>
                <w:rFonts w:cs="Times New Roman"/>
                <w:color w:val="000000"/>
                <w:szCs w:val="24"/>
              </w:rPr>
              <w:t>0</w:t>
            </w:r>
          </w:p>
        </w:tc>
        <w:tc>
          <w:tcPr>
            <w:tcW w:w="1616" w:type="dxa"/>
            <w:shd w:val="clear" w:color="auto" w:fill="auto"/>
            <w:noWrap/>
            <w:vAlign w:val="bottom"/>
          </w:tcPr>
          <w:p w14:paraId="6377FDFC" w14:textId="77777777" w:rsidR="009D244B" w:rsidRPr="00044F2E" w:rsidRDefault="000F5B51" w:rsidP="009D244B">
            <w:pPr>
              <w:spacing w:after="0" w:line="240" w:lineRule="auto"/>
              <w:jc w:val="center"/>
              <w:rPr>
                <w:rFonts w:cs="Times New Roman"/>
                <w:color w:val="000000"/>
                <w:szCs w:val="24"/>
              </w:rPr>
            </w:pPr>
            <w:r w:rsidRPr="0055589E">
              <w:rPr>
                <w:rFonts w:cs="Times New Roman"/>
                <w:color w:val="000000"/>
                <w:szCs w:val="24"/>
              </w:rPr>
              <w:t>4</w:t>
            </w:r>
          </w:p>
        </w:tc>
        <w:tc>
          <w:tcPr>
            <w:tcW w:w="1617" w:type="dxa"/>
            <w:vAlign w:val="center"/>
          </w:tcPr>
          <w:p w14:paraId="0D57A21D" w14:textId="77777777" w:rsidR="009D244B" w:rsidRPr="00897AED" w:rsidRDefault="000F5B51" w:rsidP="009D244B">
            <w:pPr>
              <w:spacing w:after="0" w:line="240" w:lineRule="auto"/>
              <w:jc w:val="center"/>
              <w:rPr>
                <w:rFonts w:cs="Times New Roman"/>
                <w:color w:val="000000"/>
                <w:szCs w:val="24"/>
              </w:rPr>
            </w:pPr>
            <w:r w:rsidRPr="0040689A">
              <w:rPr>
                <w:rFonts w:cs="Times New Roman"/>
                <w:color w:val="000000"/>
                <w:szCs w:val="24"/>
              </w:rPr>
              <w:t>1</w:t>
            </w:r>
          </w:p>
        </w:tc>
      </w:tr>
      <w:tr w:rsidR="00A15C2C" w14:paraId="42D081E1" w14:textId="77777777" w:rsidTr="0055589E">
        <w:trPr>
          <w:trHeight w:val="269"/>
          <w:jc w:val="center"/>
        </w:trPr>
        <w:tc>
          <w:tcPr>
            <w:tcW w:w="1328" w:type="dxa"/>
            <w:vAlign w:val="center"/>
          </w:tcPr>
          <w:p w14:paraId="02663327" w14:textId="77777777" w:rsidR="009D244B" w:rsidRPr="0055589E" w:rsidRDefault="000F5B51" w:rsidP="009D244B">
            <w:pPr>
              <w:spacing w:after="0" w:line="240" w:lineRule="auto"/>
              <w:rPr>
                <w:rFonts w:eastAsia="Times New Roman" w:cs="Times New Roman"/>
                <w:color w:val="000000"/>
                <w:szCs w:val="24"/>
              </w:rPr>
            </w:pPr>
            <w:r w:rsidRPr="0055589E">
              <w:rPr>
                <w:rFonts w:eastAsia="Times New Roman" w:cs="Times New Roman"/>
                <w:color w:val="000000"/>
                <w:szCs w:val="24"/>
              </w:rPr>
              <w:t>Fatality</w:t>
            </w:r>
          </w:p>
        </w:tc>
        <w:tc>
          <w:tcPr>
            <w:tcW w:w="1940" w:type="dxa"/>
            <w:shd w:val="clear" w:color="auto" w:fill="auto"/>
            <w:noWrap/>
            <w:vAlign w:val="bottom"/>
          </w:tcPr>
          <w:p w14:paraId="25C51EA2" w14:textId="77777777" w:rsidR="009D244B" w:rsidRPr="00044F2E" w:rsidRDefault="000F5B51" w:rsidP="009D244B">
            <w:pPr>
              <w:spacing w:after="0" w:line="240" w:lineRule="auto"/>
              <w:jc w:val="center"/>
              <w:rPr>
                <w:rFonts w:eastAsia="Times New Roman" w:cs="Times New Roman"/>
                <w:b/>
                <w:bCs/>
                <w:color w:val="000000"/>
                <w:szCs w:val="24"/>
              </w:rPr>
            </w:pPr>
            <w:r w:rsidRPr="0055589E">
              <w:rPr>
                <w:rFonts w:cs="Times New Roman"/>
                <w:color w:val="000000"/>
                <w:szCs w:val="24"/>
              </w:rPr>
              <w:t>983</w:t>
            </w:r>
          </w:p>
        </w:tc>
        <w:tc>
          <w:tcPr>
            <w:tcW w:w="1520" w:type="dxa"/>
            <w:shd w:val="clear" w:color="auto" w:fill="auto"/>
            <w:noWrap/>
            <w:vAlign w:val="bottom"/>
          </w:tcPr>
          <w:p w14:paraId="163500ED" w14:textId="77777777" w:rsidR="009D244B" w:rsidRPr="00044F2E" w:rsidRDefault="000F5B51" w:rsidP="009D244B">
            <w:pPr>
              <w:spacing w:after="0" w:line="240" w:lineRule="auto"/>
              <w:jc w:val="center"/>
              <w:rPr>
                <w:rFonts w:eastAsia="Times New Roman" w:cs="Times New Roman"/>
                <w:b/>
                <w:bCs/>
                <w:color w:val="000000"/>
                <w:szCs w:val="24"/>
              </w:rPr>
            </w:pPr>
            <w:r w:rsidRPr="0055589E">
              <w:rPr>
                <w:rFonts w:cs="Times New Roman"/>
                <w:color w:val="000000"/>
                <w:szCs w:val="24"/>
              </w:rPr>
              <w:t>75</w:t>
            </w:r>
          </w:p>
        </w:tc>
        <w:tc>
          <w:tcPr>
            <w:tcW w:w="1616" w:type="dxa"/>
            <w:shd w:val="clear" w:color="auto" w:fill="auto"/>
            <w:noWrap/>
            <w:vAlign w:val="bottom"/>
          </w:tcPr>
          <w:p w14:paraId="0A7146F0" w14:textId="77777777" w:rsidR="009D244B" w:rsidRPr="00044F2E" w:rsidRDefault="000F5B51" w:rsidP="009D244B">
            <w:pPr>
              <w:spacing w:after="0" w:line="240" w:lineRule="auto"/>
              <w:jc w:val="center"/>
              <w:rPr>
                <w:rFonts w:eastAsia="Times New Roman" w:cs="Times New Roman"/>
                <w:b/>
                <w:bCs/>
                <w:color w:val="000000"/>
                <w:szCs w:val="24"/>
              </w:rPr>
            </w:pPr>
            <w:r w:rsidRPr="0055589E">
              <w:rPr>
                <w:rFonts w:cs="Times New Roman"/>
                <w:color w:val="000000"/>
                <w:szCs w:val="24"/>
              </w:rPr>
              <w:t>837</w:t>
            </w:r>
          </w:p>
        </w:tc>
        <w:tc>
          <w:tcPr>
            <w:tcW w:w="1617" w:type="dxa"/>
            <w:vAlign w:val="center"/>
          </w:tcPr>
          <w:p w14:paraId="36BB1990" w14:textId="77777777" w:rsidR="009D244B" w:rsidRPr="005E3D4C" w:rsidRDefault="000F5B51" w:rsidP="009D244B">
            <w:pPr>
              <w:spacing w:after="0" w:line="240" w:lineRule="auto"/>
              <w:jc w:val="center"/>
              <w:rPr>
                <w:rFonts w:cs="Times New Roman"/>
                <w:b/>
                <w:bCs/>
                <w:color w:val="000000"/>
                <w:szCs w:val="24"/>
              </w:rPr>
            </w:pPr>
            <w:r w:rsidRPr="00897AED">
              <w:rPr>
                <w:rFonts w:cs="Times New Roman"/>
                <w:color w:val="000000"/>
                <w:szCs w:val="24"/>
              </w:rPr>
              <w:t>71</w:t>
            </w:r>
          </w:p>
        </w:tc>
      </w:tr>
    </w:tbl>
    <w:p w14:paraId="5413630A" w14:textId="77777777" w:rsidR="001B6292" w:rsidRDefault="001B6292" w:rsidP="0055589E">
      <w:pPr>
        <w:pStyle w:val="NoSpaceTimes"/>
      </w:pPr>
    </w:p>
    <w:p w14:paraId="06CB495C" w14:textId="1846ED0E" w:rsidR="005F258C" w:rsidRDefault="000F5B51" w:rsidP="001B6292">
      <w:r>
        <w:rPr>
          <w:rFonts w:eastAsia="Times New Roman" w:cs="Times New Roman"/>
          <w:szCs w:val="24"/>
        </w:rPr>
        <w:fldChar w:fldCharType="begin"/>
      </w:r>
      <w:r>
        <w:rPr>
          <w:rFonts w:eastAsia="Times New Roman" w:cs="Times New Roman"/>
          <w:szCs w:val="24"/>
        </w:rPr>
        <w:instrText xml:space="preserve"> REF _Ref127429653 \h </w:instrText>
      </w:r>
      <w:r>
        <w:rPr>
          <w:rFonts w:eastAsia="Times New Roman" w:cs="Times New Roman"/>
          <w:szCs w:val="24"/>
        </w:rPr>
      </w:r>
      <w:r>
        <w:rPr>
          <w:rFonts w:eastAsia="Times New Roman" w:cs="Times New Roman"/>
          <w:szCs w:val="24"/>
        </w:rPr>
        <w:fldChar w:fldCharType="separate"/>
      </w:r>
      <w:r w:rsidR="00A65CB3">
        <w:t xml:space="preserve">Table </w:t>
      </w:r>
      <w:r w:rsidR="00A65CB3">
        <w:rPr>
          <w:noProof/>
        </w:rPr>
        <w:t>54</w:t>
      </w:r>
      <w:r>
        <w:rPr>
          <w:rFonts w:eastAsia="Times New Roman" w:cs="Times New Roman"/>
          <w:szCs w:val="24"/>
        </w:rPr>
        <w:fldChar w:fldCharType="end"/>
      </w:r>
      <w:r w:rsidR="00895F49">
        <w:rPr>
          <w:rFonts w:eastAsia="Times New Roman" w:cs="Times New Roman"/>
          <w:szCs w:val="24"/>
        </w:rPr>
        <w:t xml:space="preserve"> and </w:t>
      </w:r>
      <w:r w:rsidR="00895F49">
        <w:rPr>
          <w:rFonts w:eastAsia="Times New Roman" w:cs="Times New Roman"/>
          <w:szCs w:val="24"/>
        </w:rPr>
        <w:fldChar w:fldCharType="begin"/>
      </w:r>
      <w:r w:rsidR="00895F49">
        <w:rPr>
          <w:rFonts w:eastAsia="Times New Roman" w:cs="Times New Roman"/>
          <w:szCs w:val="24"/>
        </w:rPr>
        <w:instrText xml:space="preserve"> REF _Ref127429669 \h </w:instrText>
      </w:r>
      <w:r w:rsidR="00895F49">
        <w:rPr>
          <w:rFonts w:eastAsia="Times New Roman" w:cs="Times New Roman"/>
          <w:szCs w:val="24"/>
        </w:rPr>
      </w:r>
      <w:r w:rsidR="00895F49">
        <w:rPr>
          <w:rFonts w:eastAsia="Times New Roman" w:cs="Times New Roman"/>
          <w:szCs w:val="24"/>
        </w:rPr>
        <w:fldChar w:fldCharType="separate"/>
      </w:r>
      <w:r w:rsidR="00A65CB3">
        <w:t xml:space="preserve">Table </w:t>
      </w:r>
      <w:r w:rsidR="00A65CB3">
        <w:rPr>
          <w:noProof/>
        </w:rPr>
        <w:t>55</w:t>
      </w:r>
      <w:r w:rsidR="00895F49">
        <w:rPr>
          <w:rFonts w:eastAsia="Times New Roman" w:cs="Times New Roman"/>
          <w:szCs w:val="24"/>
        </w:rPr>
        <w:fldChar w:fldCharType="end"/>
      </w:r>
      <w:r>
        <w:rPr>
          <w:rFonts w:eastAsia="Times New Roman" w:cs="Times New Roman"/>
          <w:szCs w:val="24"/>
        </w:rPr>
        <w:t xml:space="preserve"> </w:t>
      </w:r>
      <w:r w:rsidR="001B6292">
        <w:rPr>
          <w:rFonts w:eastAsia="Times New Roman" w:cs="Times New Roman"/>
          <w:szCs w:val="24"/>
        </w:rPr>
        <w:t>present the potential injuries and fatalities for the proportions of the</w:t>
      </w:r>
      <w:r w:rsidR="00590A72">
        <w:rPr>
          <w:rFonts w:eastAsia="Times New Roman" w:cs="Times New Roman"/>
          <w:szCs w:val="24"/>
        </w:rPr>
        <w:t xml:space="preserve"> adjusted</w:t>
      </w:r>
      <w:r w:rsidR="001B6292">
        <w:rPr>
          <w:rFonts w:eastAsia="Times New Roman" w:cs="Times New Roman"/>
          <w:szCs w:val="24"/>
        </w:rPr>
        <w:t xml:space="preserve"> target population that start with a </w:t>
      </w:r>
      <w:r w:rsidR="00590A72">
        <w:rPr>
          <w:rFonts w:eastAsia="Times New Roman" w:cs="Times New Roman"/>
          <w:szCs w:val="24"/>
        </w:rPr>
        <w:t>seven</w:t>
      </w:r>
      <w:r w:rsidR="001B6292">
        <w:rPr>
          <w:rFonts w:eastAsia="Times New Roman" w:cs="Times New Roman"/>
          <w:szCs w:val="24"/>
        </w:rPr>
        <w:t>-second and 90-second warning, respectively. This analysis makes use of equation (</w:t>
      </w:r>
      <w:r w:rsidR="00590A72">
        <w:rPr>
          <w:rFonts w:eastAsia="Times New Roman" w:cs="Times New Roman"/>
          <w:szCs w:val="24"/>
        </w:rPr>
        <w:t>7</w:t>
      </w:r>
      <w:r w:rsidR="001B6292">
        <w:rPr>
          <w:rFonts w:eastAsia="Times New Roman" w:cs="Times New Roman"/>
          <w:szCs w:val="24"/>
        </w:rPr>
        <w:t xml:space="preserve">) which was presented in section </w:t>
      </w:r>
      <w:r w:rsidR="001B6292">
        <w:rPr>
          <w:rFonts w:eastAsia="Times New Roman" w:cs="Times New Roman"/>
          <w:szCs w:val="24"/>
        </w:rPr>
        <w:fldChar w:fldCharType="begin"/>
      </w:r>
      <w:r w:rsidR="001B6292">
        <w:rPr>
          <w:rFonts w:eastAsia="Times New Roman" w:cs="Times New Roman"/>
          <w:szCs w:val="24"/>
        </w:rPr>
        <w:instrText xml:space="preserve"> REF _Ref126140874 \r \h </w:instrText>
      </w:r>
      <w:r w:rsidR="001B6292">
        <w:rPr>
          <w:rFonts w:eastAsia="Times New Roman" w:cs="Times New Roman"/>
          <w:szCs w:val="24"/>
        </w:rPr>
      </w:r>
      <w:r w:rsidR="001B6292">
        <w:rPr>
          <w:rFonts w:eastAsia="Times New Roman" w:cs="Times New Roman"/>
          <w:szCs w:val="24"/>
        </w:rPr>
        <w:fldChar w:fldCharType="separate"/>
      </w:r>
      <w:r w:rsidR="00A65CB3">
        <w:rPr>
          <w:rFonts w:eastAsia="Times New Roman" w:cs="Times New Roman"/>
          <w:szCs w:val="24"/>
        </w:rPr>
        <w:t>5.1</w:t>
      </w:r>
      <w:r w:rsidR="001B6292">
        <w:rPr>
          <w:rFonts w:eastAsia="Times New Roman" w:cs="Times New Roman"/>
          <w:szCs w:val="24"/>
        </w:rPr>
        <w:fldChar w:fldCharType="end"/>
      </w:r>
      <w:r w:rsidR="001B6292">
        <w:rPr>
          <w:rFonts w:eastAsia="Times New Roman" w:cs="Times New Roman"/>
          <w:szCs w:val="24"/>
        </w:rPr>
        <w:t xml:space="preserve"> when estimating incremental benefits for rear seat occupants</w:t>
      </w:r>
      <w:r w:rsidR="001F2F92">
        <w:rPr>
          <w:rFonts w:eastAsia="Times New Roman" w:cs="Times New Roman"/>
          <w:szCs w:val="24"/>
        </w:rPr>
        <w:t xml:space="preserve">. </w:t>
      </w:r>
      <w:r w:rsidR="001B6292">
        <w:rPr>
          <w:rFonts w:eastAsia="Times New Roman" w:cs="Times New Roman"/>
          <w:szCs w:val="24"/>
        </w:rPr>
        <w:t>Making use of the available information, this analysis calculates the potential injuries and fatalities in the hypothetical scenario that there is no seat belt use</w:t>
      </w:r>
      <w:r w:rsidR="001F2F92">
        <w:rPr>
          <w:rFonts w:eastAsia="Times New Roman" w:cs="Times New Roman"/>
          <w:szCs w:val="24"/>
        </w:rPr>
        <w:t xml:space="preserve">. </w:t>
      </w:r>
      <w:r w:rsidR="00E10278">
        <w:t xml:space="preserve">Although those potential injuries and fatalities reflect a hypothetical case in which the seat belt use rate is zero, this analysis uses potential injuries and fatalities to calculate the </w:t>
      </w:r>
      <w:r w:rsidR="00A35991">
        <w:t>fatalities and non-fatal injuries prevented given the</w:t>
      </w:r>
      <w:r w:rsidR="00E10278">
        <w:t xml:space="preserve"> seat belt use rates under both the baseline and proposed rule.</w:t>
      </w:r>
    </w:p>
    <w:p w14:paraId="3FC9EFEA" w14:textId="77777777" w:rsidR="00377A5B" w:rsidRDefault="00377A5B" w:rsidP="001B6292"/>
    <w:p w14:paraId="4105C544" w14:textId="54B81FA7" w:rsidR="001B6292" w:rsidRDefault="000F5B51" w:rsidP="001B6292">
      <w:pPr>
        <w:pStyle w:val="Caption"/>
        <w:rPr>
          <w:rFonts w:eastAsia="Times New Roman" w:cs="Times New Roman"/>
          <w:szCs w:val="24"/>
        </w:rPr>
      </w:pPr>
      <w:bookmarkStart w:id="914" w:name="_Ref127429653"/>
      <w:r>
        <w:lastRenderedPageBreak/>
        <w:t xml:space="preserve">Table </w:t>
      </w:r>
      <w:r w:rsidR="00115BAB">
        <w:fldChar w:fldCharType="begin"/>
      </w:r>
      <w:r>
        <w:instrText xml:space="preserve"> SEQ Table \* ARABIC </w:instrText>
      </w:r>
      <w:r w:rsidR="00115BAB">
        <w:fldChar w:fldCharType="separate"/>
      </w:r>
      <w:r w:rsidR="00A65CB3">
        <w:rPr>
          <w:noProof/>
        </w:rPr>
        <w:t>54</w:t>
      </w:r>
      <w:r w:rsidR="00115BAB">
        <w:rPr>
          <w:noProof/>
        </w:rPr>
        <w:fldChar w:fldCharType="end"/>
      </w:r>
      <w:bookmarkEnd w:id="914"/>
      <w:r>
        <w:rPr>
          <w:noProof/>
        </w:rPr>
        <w:t xml:space="preserve">: </w:t>
      </w:r>
      <w:r>
        <w:t xml:space="preserve">Potential Injuries and Fatalities for Right Front Seat Occupants 7-second Warning </w:t>
      </w:r>
    </w:p>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65"/>
        <w:gridCol w:w="2113"/>
        <w:gridCol w:w="2114"/>
        <w:gridCol w:w="2114"/>
        <w:gridCol w:w="2114"/>
      </w:tblGrid>
      <w:tr w:rsidR="00A15C2C" w14:paraId="298E9698" w14:textId="77777777" w:rsidTr="00800C73">
        <w:trPr>
          <w:trHeight w:val="1264"/>
          <w:jc w:val="center"/>
        </w:trPr>
        <w:tc>
          <w:tcPr>
            <w:tcW w:w="2065" w:type="dxa"/>
            <w:shd w:val="clear" w:color="auto" w:fill="D9D9D9" w:themeFill="background1" w:themeFillShade="D9"/>
            <w:noWrap/>
            <w:vAlign w:val="bottom"/>
          </w:tcPr>
          <w:p w14:paraId="156D92B4" w14:textId="77777777" w:rsidR="001B6292" w:rsidRDefault="001B6292" w:rsidP="00800C73">
            <w:pPr>
              <w:spacing w:line="240" w:lineRule="auto"/>
              <w:rPr>
                <w:rFonts w:eastAsia="Times New Roman" w:cs="Times New Roman"/>
                <w:b/>
                <w:bCs/>
                <w:color w:val="000000"/>
                <w:szCs w:val="24"/>
              </w:rPr>
            </w:pPr>
          </w:p>
          <w:p w14:paraId="27A1C46E" w14:textId="77777777" w:rsidR="001B6292" w:rsidRDefault="000F5B51" w:rsidP="00800C73">
            <w:pPr>
              <w:spacing w:line="240" w:lineRule="auto"/>
              <w:rPr>
                <w:rFonts w:eastAsia="Times New Roman" w:cs="Times New Roman"/>
                <w:b/>
                <w:bCs/>
                <w:color w:val="000000"/>
                <w:szCs w:val="24"/>
              </w:rPr>
            </w:pPr>
            <w:r>
              <w:rPr>
                <w:rFonts w:eastAsia="Times New Roman" w:cs="Times New Roman"/>
                <w:b/>
                <w:bCs/>
                <w:color w:val="000000"/>
                <w:szCs w:val="24"/>
              </w:rPr>
              <w:t xml:space="preserve">Injury Severity </w:t>
            </w:r>
          </w:p>
        </w:tc>
        <w:tc>
          <w:tcPr>
            <w:tcW w:w="2113" w:type="dxa"/>
            <w:shd w:val="clear" w:color="auto" w:fill="D9D9D9" w:themeFill="background1" w:themeFillShade="D9"/>
            <w:noWrap/>
            <w:vAlign w:val="center"/>
          </w:tcPr>
          <w:p w14:paraId="03F97CEB" w14:textId="77777777" w:rsidR="001B6292" w:rsidRPr="00954B78" w:rsidRDefault="000F5B51" w:rsidP="00800C73">
            <w:pPr>
              <w:spacing w:line="240" w:lineRule="auto"/>
              <w:jc w:val="center"/>
              <w:rPr>
                <w:rFonts w:eastAsia="Times New Roman" w:cs="Times New Roman"/>
                <w:b/>
                <w:bCs/>
                <w:color w:val="000000"/>
                <w:szCs w:val="24"/>
              </w:rPr>
            </w:pPr>
            <w:r>
              <w:rPr>
                <w:rFonts w:eastAsia="Times New Roman" w:cs="Times New Roman"/>
                <w:b/>
                <w:bCs/>
                <w:color w:val="000000"/>
                <w:szCs w:val="24"/>
              </w:rPr>
              <w:t>Total Observed (Restrained and Unrestrained)</w:t>
            </w:r>
          </w:p>
        </w:tc>
        <w:tc>
          <w:tcPr>
            <w:tcW w:w="2114" w:type="dxa"/>
            <w:shd w:val="clear" w:color="auto" w:fill="D9D9D9" w:themeFill="background1" w:themeFillShade="D9"/>
            <w:noWrap/>
            <w:vAlign w:val="center"/>
          </w:tcPr>
          <w:p w14:paraId="1539E564" w14:textId="77777777" w:rsidR="001B6292" w:rsidRPr="00954B78" w:rsidRDefault="000F5B51" w:rsidP="00800C73">
            <w:pPr>
              <w:spacing w:line="240" w:lineRule="auto"/>
              <w:jc w:val="center"/>
              <w:rPr>
                <w:rFonts w:eastAsia="Times New Roman" w:cs="Times New Roman"/>
                <w:b/>
                <w:bCs/>
                <w:color w:val="000000"/>
                <w:szCs w:val="24"/>
              </w:rPr>
            </w:pPr>
            <w:r>
              <w:rPr>
                <w:rFonts w:eastAsia="Times New Roman" w:cs="Times New Roman"/>
                <w:b/>
                <w:bCs/>
                <w:color w:val="000000"/>
                <w:szCs w:val="24"/>
              </w:rPr>
              <w:t>Seat Belt Effectiveness</w:t>
            </w:r>
          </w:p>
        </w:tc>
        <w:tc>
          <w:tcPr>
            <w:tcW w:w="2114" w:type="dxa"/>
            <w:shd w:val="clear" w:color="auto" w:fill="D9D9D9" w:themeFill="background1" w:themeFillShade="D9"/>
            <w:noWrap/>
            <w:vAlign w:val="center"/>
          </w:tcPr>
          <w:p w14:paraId="6921F2A2" w14:textId="77777777" w:rsidR="001B6292" w:rsidRPr="00954B78" w:rsidRDefault="000F5B51" w:rsidP="00800C73">
            <w:pPr>
              <w:spacing w:line="240" w:lineRule="auto"/>
              <w:jc w:val="center"/>
              <w:rPr>
                <w:rFonts w:eastAsia="Times New Roman" w:cs="Times New Roman"/>
                <w:b/>
                <w:bCs/>
                <w:color w:val="000000"/>
                <w:szCs w:val="24"/>
              </w:rPr>
            </w:pPr>
            <w:r>
              <w:rPr>
                <w:rFonts w:eastAsia="Times New Roman" w:cs="Times New Roman"/>
                <w:b/>
                <w:bCs/>
                <w:color w:val="000000"/>
                <w:szCs w:val="24"/>
              </w:rPr>
              <w:t>Current Seat Belt Use Rate</w:t>
            </w:r>
          </w:p>
        </w:tc>
        <w:tc>
          <w:tcPr>
            <w:tcW w:w="2114" w:type="dxa"/>
            <w:shd w:val="clear" w:color="auto" w:fill="D9D9D9" w:themeFill="background1" w:themeFillShade="D9"/>
            <w:noWrap/>
            <w:vAlign w:val="center"/>
          </w:tcPr>
          <w:p w14:paraId="566631BA" w14:textId="77777777" w:rsidR="001B6292" w:rsidRPr="00954B78" w:rsidRDefault="000F5B51" w:rsidP="00800C73">
            <w:pPr>
              <w:spacing w:line="240" w:lineRule="auto"/>
              <w:jc w:val="center"/>
              <w:rPr>
                <w:rFonts w:eastAsia="Times New Roman" w:cs="Times New Roman"/>
                <w:b/>
                <w:bCs/>
                <w:color w:val="000000"/>
                <w:szCs w:val="24"/>
              </w:rPr>
            </w:pPr>
            <w:r w:rsidRPr="00954B78">
              <w:rPr>
                <w:rFonts w:eastAsia="Times New Roman" w:cs="Times New Roman"/>
                <w:b/>
                <w:bCs/>
                <w:color w:val="000000"/>
                <w:szCs w:val="24"/>
              </w:rPr>
              <w:t>Potential Injuries</w:t>
            </w:r>
            <w:r>
              <w:rPr>
                <w:rFonts w:eastAsia="Times New Roman" w:cs="Times New Roman"/>
                <w:b/>
                <w:bCs/>
                <w:color w:val="000000"/>
                <w:szCs w:val="24"/>
              </w:rPr>
              <w:t xml:space="preserve"> and Fatalities</w:t>
            </w:r>
          </w:p>
        </w:tc>
      </w:tr>
      <w:tr w:rsidR="00A15C2C" w14:paraId="10B7F2B4" w14:textId="77777777" w:rsidTr="00800C73">
        <w:trPr>
          <w:trHeight w:val="20"/>
          <w:jc w:val="center"/>
        </w:trPr>
        <w:tc>
          <w:tcPr>
            <w:tcW w:w="10520" w:type="dxa"/>
            <w:gridSpan w:val="5"/>
            <w:shd w:val="clear" w:color="auto" w:fill="D9D9D9" w:themeFill="background1" w:themeFillShade="D9"/>
            <w:noWrap/>
            <w:vAlign w:val="center"/>
            <w:hideMark/>
          </w:tcPr>
          <w:p w14:paraId="5E341FE1" w14:textId="77777777" w:rsidR="001B6292" w:rsidRPr="00012598" w:rsidRDefault="000F5B51" w:rsidP="00800C73">
            <w:pPr>
              <w:spacing w:after="0" w:line="240" w:lineRule="auto"/>
              <w:ind w:firstLineChars="100" w:firstLine="241"/>
              <w:jc w:val="center"/>
              <w:rPr>
                <w:rFonts w:eastAsia="Times New Roman" w:cs="Times New Roman"/>
                <w:b/>
                <w:bCs/>
                <w:i/>
                <w:iCs/>
                <w:color w:val="000000"/>
                <w:szCs w:val="24"/>
              </w:rPr>
            </w:pPr>
            <w:r w:rsidRPr="00012598">
              <w:rPr>
                <w:rFonts w:eastAsia="Times New Roman" w:cs="Times New Roman"/>
                <w:b/>
                <w:bCs/>
                <w:i/>
                <w:iCs/>
                <w:color w:val="000000"/>
                <w:szCs w:val="24"/>
              </w:rPr>
              <w:t>Passenger Car</w:t>
            </w:r>
          </w:p>
        </w:tc>
      </w:tr>
      <w:tr w:rsidR="00A15C2C" w14:paraId="554518FE" w14:textId="77777777" w:rsidTr="00800C73">
        <w:trPr>
          <w:trHeight w:val="300"/>
          <w:jc w:val="center"/>
        </w:trPr>
        <w:tc>
          <w:tcPr>
            <w:tcW w:w="2065" w:type="dxa"/>
            <w:shd w:val="clear" w:color="auto" w:fill="auto"/>
            <w:noWrap/>
            <w:vAlign w:val="bottom"/>
          </w:tcPr>
          <w:p w14:paraId="7BE68F72" w14:textId="77777777" w:rsidR="009C17F1" w:rsidRPr="00954B78" w:rsidRDefault="000F5B51" w:rsidP="009C17F1">
            <w:pPr>
              <w:spacing w:after="0" w:line="240" w:lineRule="auto"/>
              <w:rPr>
                <w:rFonts w:eastAsia="Times New Roman" w:cs="Times New Roman"/>
                <w:color w:val="000000"/>
                <w:szCs w:val="24"/>
              </w:rPr>
            </w:pPr>
            <w:r>
              <w:rPr>
                <w:rFonts w:eastAsia="Times New Roman" w:cs="Times New Roman"/>
                <w:color w:val="000000"/>
                <w:szCs w:val="24"/>
              </w:rPr>
              <w:t>MAIS 1</w:t>
            </w:r>
          </w:p>
        </w:tc>
        <w:tc>
          <w:tcPr>
            <w:tcW w:w="2113" w:type="dxa"/>
            <w:shd w:val="clear" w:color="auto" w:fill="auto"/>
            <w:noWrap/>
          </w:tcPr>
          <w:p w14:paraId="571A011F" w14:textId="77777777" w:rsidR="009C17F1" w:rsidRPr="00954B78" w:rsidRDefault="000F5B51" w:rsidP="009C17F1">
            <w:pPr>
              <w:spacing w:after="0" w:line="240" w:lineRule="auto"/>
              <w:jc w:val="center"/>
              <w:rPr>
                <w:rFonts w:eastAsia="Times New Roman" w:cs="Times New Roman"/>
                <w:color w:val="000000"/>
                <w:szCs w:val="24"/>
              </w:rPr>
            </w:pPr>
            <w:r w:rsidRPr="00E11E4E">
              <w:t>592</w:t>
            </w:r>
          </w:p>
        </w:tc>
        <w:tc>
          <w:tcPr>
            <w:tcW w:w="2114" w:type="dxa"/>
            <w:shd w:val="clear" w:color="auto" w:fill="auto"/>
            <w:noWrap/>
          </w:tcPr>
          <w:p w14:paraId="1BA9F415" w14:textId="77777777" w:rsidR="009C17F1" w:rsidRPr="00954B78" w:rsidRDefault="000F5B51" w:rsidP="009C17F1">
            <w:pPr>
              <w:spacing w:after="0" w:line="240" w:lineRule="auto"/>
              <w:jc w:val="center"/>
              <w:rPr>
                <w:rFonts w:eastAsia="Times New Roman" w:cs="Times New Roman"/>
                <w:color w:val="000000"/>
                <w:szCs w:val="24"/>
              </w:rPr>
            </w:pPr>
            <w:r w:rsidRPr="00E11E4E">
              <w:t>0.055</w:t>
            </w:r>
          </w:p>
        </w:tc>
        <w:tc>
          <w:tcPr>
            <w:tcW w:w="2114" w:type="dxa"/>
            <w:shd w:val="clear" w:color="auto" w:fill="auto"/>
            <w:noWrap/>
          </w:tcPr>
          <w:p w14:paraId="620579BB" w14:textId="77777777" w:rsidR="009C17F1" w:rsidRPr="00954B78" w:rsidRDefault="000F5B51" w:rsidP="009C17F1">
            <w:pPr>
              <w:spacing w:after="0" w:line="240" w:lineRule="auto"/>
              <w:jc w:val="center"/>
              <w:rPr>
                <w:rFonts w:eastAsia="Times New Roman" w:cs="Times New Roman"/>
                <w:color w:val="000000"/>
                <w:szCs w:val="24"/>
              </w:rPr>
            </w:pPr>
            <w:r w:rsidRPr="00E11E4E">
              <w:t>0.6673</w:t>
            </w:r>
          </w:p>
        </w:tc>
        <w:tc>
          <w:tcPr>
            <w:tcW w:w="2114" w:type="dxa"/>
            <w:shd w:val="clear" w:color="auto" w:fill="auto"/>
            <w:noWrap/>
          </w:tcPr>
          <w:p w14:paraId="071BEC4E" w14:textId="77777777" w:rsidR="009C17F1" w:rsidRPr="00954B78" w:rsidRDefault="000F5B51" w:rsidP="009C17F1">
            <w:pPr>
              <w:spacing w:after="0" w:line="240" w:lineRule="auto"/>
              <w:jc w:val="center"/>
              <w:rPr>
                <w:rFonts w:eastAsia="Times New Roman" w:cs="Times New Roman"/>
                <w:color w:val="000000"/>
                <w:szCs w:val="24"/>
              </w:rPr>
            </w:pPr>
            <w:r w:rsidRPr="00E11E4E">
              <w:t>614</w:t>
            </w:r>
          </w:p>
        </w:tc>
      </w:tr>
      <w:tr w:rsidR="00A15C2C" w14:paraId="301BD581" w14:textId="77777777" w:rsidTr="00800C73">
        <w:trPr>
          <w:trHeight w:val="300"/>
          <w:jc w:val="center"/>
        </w:trPr>
        <w:tc>
          <w:tcPr>
            <w:tcW w:w="2065" w:type="dxa"/>
            <w:shd w:val="clear" w:color="auto" w:fill="auto"/>
            <w:noWrap/>
          </w:tcPr>
          <w:p w14:paraId="56DCAC00" w14:textId="77777777" w:rsidR="009C17F1" w:rsidRPr="00954B78" w:rsidRDefault="000F5B51" w:rsidP="009C17F1">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2</w:t>
            </w:r>
          </w:p>
        </w:tc>
        <w:tc>
          <w:tcPr>
            <w:tcW w:w="2113" w:type="dxa"/>
            <w:shd w:val="clear" w:color="auto" w:fill="auto"/>
            <w:noWrap/>
          </w:tcPr>
          <w:p w14:paraId="6ABF7322" w14:textId="77777777" w:rsidR="009C17F1" w:rsidRPr="00954B78" w:rsidRDefault="000F5B51" w:rsidP="009C17F1">
            <w:pPr>
              <w:spacing w:after="0" w:line="240" w:lineRule="auto"/>
              <w:jc w:val="center"/>
              <w:rPr>
                <w:rFonts w:eastAsia="Times New Roman" w:cs="Times New Roman"/>
                <w:color w:val="000000"/>
                <w:szCs w:val="24"/>
              </w:rPr>
            </w:pPr>
            <w:r w:rsidRPr="00E11E4E">
              <w:t>259</w:t>
            </w:r>
          </w:p>
        </w:tc>
        <w:tc>
          <w:tcPr>
            <w:tcW w:w="2114" w:type="dxa"/>
            <w:shd w:val="clear" w:color="auto" w:fill="auto"/>
            <w:noWrap/>
          </w:tcPr>
          <w:p w14:paraId="4DB0D836" w14:textId="77777777" w:rsidR="009C17F1" w:rsidRPr="00954B78" w:rsidRDefault="000F5B51" w:rsidP="009C17F1">
            <w:pPr>
              <w:spacing w:after="0" w:line="240" w:lineRule="auto"/>
              <w:jc w:val="center"/>
              <w:rPr>
                <w:rFonts w:eastAsia="Times New Roman" w:cs="Times New Roman"/>
                <w:color w:val="000000"/>
                <w:szCs w:val="24"/>
              </w:rPr>
            </w:pPr>
            <w:r w:rsidRPr="00E11E4E">
              <w:t>0.5</w:t>
            </w:r>
            <w:r w:rsidR="00635C8E">
              <w:t>00</w:t>
            </w:r>
          </w:p>
        </w:tc>
        <w:tc>
          <w:tcPr>
            <w:tcW w:w="2114" w:type="dxa"/>
            <w:shd w:val="clear" w:color="auto" w:fill="auto"/>
            <w:noWrap/>
          </w:tcPr>
          <w:p w14:paraId="146368EF" w14:textId="77777777" w:rsidR="009C17F1" w:rsidRPr="00954B78" w:rsidRDefault="000F5B51" w:rsidP="009C17F1">
            <w:pPr>
              <w:spacing w:after="0" w:line="240" w:lineRule="auto"/>
              <w:jc w:val="center"/>
              <w:rPr>
                <w:rFonts w:eastAsia="Times New Roman" w:cs="Times New Roman"/>
                <w:color w:val="000000"/>
                <w:szCs w:val="24"/>
              </w:rPr>
            </w:pPr>
            <w:r w:rsidRPr="00E11E4E">
              <w:t>0.6673</w:t>
            </w:r>
          </w:p>
        </w:tc>
        <w:tc>
          <w:tcPr>
            <w:tcW w:w="2114" w:type="dxa"/>
            <w:shd w:val="clear" w:color="auto" w:fill="auto"/>
            <w:noWrap/>
          </w:tcPr>
          <w:p w14:paraId="44BD6015" w14:textId="77777777" w:rsidR="009C17F1" w:rsidRPr="00954B78" w:rsidRDefault="000F5B51" w:rsidP="009C17F1">
            <w:pPr>
              <w:spacing w:after="0" w:line="240" w:lineRule="auto"/>
              <w:jc w:val="center"/>
              <w:rPr>
                <w:rFonts w:eastAsia="Times New Roman" w:cs="Times New Roman"/>
                <w:color w:val="000000"/>
                <w:szCs w:val="24"/>
              </w:rPr>
            </w:pPr>
            <w:r w:rsidRPr="00E11E4E">
              <w:t>389</w:t>
            </w:r>
          </w:p>
        </w:tc>
      </w:tr>
      <w:tr w:rsidR="00A15C2C" w14:paraId="39F3F050" w14:textId="77777777" w:rsidTr="00800C73">
        <w:trPr>
          <w:trHeight w:val="300"/>
          <w:jc w:val="center"/>
        </w:trPr>
        <w:tc>
          <w:tcPr>
            <w:tcW w:w="2065" w:type="dxa"/>
            <w:shd w:val="clear" w:color="auto" w:fill="auto"/>
            <w:noWrap/>
          </w:tcPr>
          <w:p w14:paraId="36DA8178" w14:textId="77777777" w:rsidR="009C17F1" w:rsidRPr="00954B78" w:rsidRDefault="000F5B51" w:rsidP="009C17F1">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3</w:t>
            </w:r>
          </w:p>
        </w:tc>
        <w:tc>
          <w:tcPr>
            <w:tcW w:w="2113" w:type="dxa"/>
            <w:shd w:val="clear" w:color="auto" w:fill="auto"/>
            <w:noWrap/>
          </w:tcPr>
          <w:p w14:paraId="77A596A2" w14:textId="77777777" w:rsidR="009C17F1" w:rsidRPr="00954B78" w:rsidRDefault="000F5B51" w:rsidP="009C17F1">
            <w:pPr>
              <w:spacing w:after="0" w:line="240" w:lineRule="auto"/>
              <w:jc w:val="center"/>
              <w:rPr>
                <w:rFonts w:eastAsia="Times New Roman" w:cs="Times New Roman"/>
                <w:color w:val="000000"/>
                <w:szCs w:val="24"/>
              </w:rPr>
            </w:pPr>
            <w:r w:rsidRPr="00E11E4E">
              <w:t>71</w:t>
            </w:r>
          </w:p>
        </w:tc>
        <w:tc>
          <w:tcPr>
            <w:tcW w:w="2114" w:type="dxa"/>
            <w:shd w:val="clear" w:color="auto" w:fill="auto"/>
            <w:noWrap/>
          </w:tcPr>
          <w:p w14:paraId="2690ADFA" w14:textId="77777777" w:rsidR="009C17F1" w:rsidRPr="00954B78" w:rsidRDefault="000F5B51" w:rsidP="009C17F1">
            <w:pPr>
              <w:spacing w:after="0" w:line="240" w:lineRule="auto"/>
              <w:jc w:val="center"/>
              <w:rPr>
                <w:rFonts w:eastAsia="Times New Roman" w:cs="Times New Roman"/>
                <w:color w:val="000000"/>
                <w:szCs w:val="24"/>
              </w:rPr>
            </w:pPr>
            <w:r w:rsidRPr="00E11E4E">
              <w:t>0.5</w:t>
            </w:r>
            <w:r w:rsidR="00635C8E">
              <w:t>00</w:t>
            </w:r>
          </w:p>
        </w:tc>
        <w:tc>
          <w:tcPr>
            <w:tcW w:w="2114" w:type="dxa"/>
            <w:shd w:val="clear" w:color="auto" w:fill="auto"/>
            <w:noWrap/>
          </w:tcPr>
          <w:p w14:paraId="176F23AB" w14:textId="77777777" w:rsidR="009C17F1" w:rsidRPr="00954B78" w:rsidRDefault="000F5B51" w:rsidP="009C17F1">
            <w:pPr>
              <w:spacing w:after="0" w:line="240" w:lineRule="auto"/>
              <w:jc w:val="center"/>
              <w:rPr>
                <w:rFonts w:eastAsia="Times New Roman" w:cs="Times New Roman"/>
                <w:color w:val="000000"/>
                <w:szCs w:val="24"/>
              </w:rPr>
            </w:pPr>
            <w:r w:rsidRPr="00E11E4E">
              <w:t>0.6673</w:t>
            </w:r>
          </w:p>
        </w:tc>
        <w:tc>
          <w:tcPr>
            <w:tcW w:w="2114" w:type="dxa"/>
            <w:shd w:val="clear" w:color="auto" w:fill="auto"/>
            <w:noWrap/>
          </w:tcPr>
          <w:p w14:paraId="1DB8146A" w14:textId="77777777" w:rsidR="009C17F1" w:rsidRPr="00954B78" w:rsidRDefault="000F5B51" w:rsidP="009C17F1">
            <w:pPr>
              <w:spacing w:after="0" w:line="240" w:lineRule="auto"/>
              <w:jc w:val="center"/>
              <w:rPr>
                <w:rFonts w:eastAsia="Times New Roman" w:cs="Times New Roman"/>
                <w:color w:val="000000"/>
                <w:szCs w:val="24"/>
              </w:rPr>
            </w:pPr>
            <w:r w:rsidRPr="00E11E4E">
              <w:t>107</w:t>
            </w:r>
          </w:p>
        </w:tc>
      </w:tr>
      <w:tr w:rsidR="00A15C2C" w14:paraId="4BD3BFE2" w14:textId="77777777" w:rsidTr="00800C73">
        <w:trPr>
          <w:trHeight w:val="300"/>
          <w:jc w:val="center"/>
        </w:trPr>
        <w:tc>
          <w:tcPr>
            <w:tcW w:w="2065" w:type="dxa"/>
            <w:shd w:val="clear" w:color="auto" w:fill="auto"/>
            <w:noWrap/>
          </w:tcPr>
          <w:p w14:paraId="5E5703AE" w14:textId="77777777" w:rsidR="009C17F1" w:rsidRPr="00954B78" w:rsidRDefault="000F5B51" w:rsidP="009C17F1">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4</w:t>
            </w:r>
          </w:p>
        </w:tc>
        <w:tc>
          <w:tcPr>
            <w:tcW w:w="2113" w:type="dxa"/>
            <w:shd w:val="clear" w:color="auto" w:fill="auto"/>
            <w:noWrap/>
          </w:tcPr>
          <w:p w14:paraId="4B350327" w14:textId="77777777" w:rsidR="009C17F1" w:rsidRPr="00954B78" w:rsidRDefault="000F5B51" w:rsidP="009C17F1">
            <w:pPr>
              <w:spacing w:after="0" w:line="240" w:lineRule="auto"/>
              <w:jc w:val="center"/>
              <w:rPr>
                <w:rFonts w:eastAsia="Times New Roman" w:cs="Times New Roman"/>
                <w:color w:val="000000"/>
                <w:szCs w:val="24"/>
              </w:rPr>
            </w:pPr>
            <w:r w:rsidRPr="00E11E4E">
              <w:t>52</w:t>
            </w:r>
          </w:p>
        </w:tc>
        <w:tc>
          <w:tcPr>
            <w:tcW w:w="2114" w:type="dxa"/>
            <w:shd w:val="clear" w:color="auto" w:fill="auto"/>
            <w:noWrap/>
          </w:tcPr>
          <w:p w14:paraId="4BC6B9F2" w14:textId="77777777" w:rsidR="009C17F1" w:rsidRPr="00954B78" w:rsidRDefault="000F5B51" w:rsidP="009C17F1">
            <w:pPr>
              <w:spacing w:after="0" w:line="240" w:lineRule="auto"/>
              <w:jc w:val="center"/>
              <w:rPr>
                <w:rFonts w:eastAsia="Times New Roman" w:cs="Times New Roman"/>
                <w:color w:val="000000"/>
                <w:szCs w:val="24"/>
              </w:rPr>
            </w:pPr>
            <w:r w:rsidRPr="00E11E4E">
              <w:t>0.5</w:t>
            </w:r>
            <w:r w:rsidR="00635C8E">
              <w:t>00</w:t>
            </w:r>
          </w:p>
        </w:tc>
        <w:tc>
          <w:tcPr>
            <w:tcW w:w="2114" w:type="dxa"/>
            <w:shd w:val="clear" w:color="auto" w:fill="auto"/>
            <w:noWrap/>
          </w:tcPr>
          <w:p w14:paraId="21D85D65" w14:textId="77777777" w:rsidR="009C17F1" w:rsidRPr="00954B78" w:rsidRDefault="000F5B51" w:rsidP="009C17F1">
            <w:pPr>
              <w:spacing w:after="0" w:line="240" w:lineRule="auto"/>
              <w:jc w:val="center"/>
              <w:rPr>
                <w:rFonts w:eastAsia="Times New Roman" w:cs="Times New Roman"/>
                <w:color w:val="000000"/>
                <w:szCs w:val="24"/>
              </w:rPr>
            </w:pPr>
            <w:r w:rsidRPr="00E11E4E">
              <w:t>0.6673</w:t>
            </w:r>
          </w:p>
        </w:tc>
        <w:tc>
          <w:tcPr>
            <w:tcW w:w="2114" w:type="dxa"/>
            <w:shd w:val="clear" w:color="auto" w:fill="auto"/>
            <w:noWrap/>
          </w:tcPr>
          <w:p w14:paraId="0483B56D" w14:textId="77777777" w:rsidR="009C17F1" w:rsidRPr="00954B78" w:rsidRDefault="000F5B51" w:rsidP="009C17F1">
            <w:pPr>
              <w:spacing w:after="0" w:line="240" w:lineRule="auto"/>
              <w:jc w:val="center"/>
              <w:rPr>
                <w:rFonts w:eastAsia="Times New Roman" w:cs="Times New Roman"/>
                <w:color w:val="000000"/>
                <w:szCs w:val="24"/>
              </w:rPr>
            </w:pPr>
            <w:r w:rsidRPr="00E11E4E">
              <w:t>78</w:t>
            </w:r>
          </w:p>
        </w:tc>
      </w:tr>
      <w:tr w:rsidR="00A15C2C" w14:paraId="648CFEF7" w14:textId="77777777" w:rsidTr="00800C73">
        <w:trPr>
          <w:trHeight w:val="300"/>
          <w:jc w:val="center"/>
        </w:trPr>
        <w:tc>
          <w:tcPr>
            <w:tcW w:w="2065" w:type="dxa"/>
            <w:shd w:val="clear" w:color="auto" w:fill="auto"/>
            <w:noWrap/>
          </w:tcPr>
          <w:p w14:paraId="15751E2A" w14:textId="77777777" w:rsidR="009C17F1" w:rsidRPr="00064F4A" w:rsidRDefault="000F5B51" w:rsidP="009C17F1">
            <w:pPr>
              <w:spacing w:after="0" w:line="240" w:lineRule="auto"/>
              <w:rPr>
                <w:rFonts w:eastAsia="Times New Roman" w:cs="Times New Roman"/>
                <w:color w:val="000000"/>
                <w:szCs w:val="24"/>
              </w:rPr>
            </w:pPr>
            <w:r>
              <w:rPr>
                <w:rFonts w:eastAsia="Times New Roman" w:cs="Times New Roman"/>
                <w:color w:val="000000"/>
                <w:szCs w:val="24"/>
              </w:rPr>
              <w:t>MAIS 5</w:t>
            </w:r>
          </w:p>
        </w:tc>
        <w:tc>
          <w:tcPr>
            <w:tcW w:w="2113" w:type="dxa"/>
            <w:shd w:val="clear" w:color="auto" w:fill="auto"/>
            <w:noWrap/>
          </w:tcPr>
          <w:p w14:paraId="4912FBA9" w14:textId="77777777" w:rsidR="009C17F1" w:rsidRPr="00954B78" w:rsidRDefault="000F5B51" w:rsidP="009C17F1">
            <w:pPr>
              <w:spacing w:after="0" w:line="240" w:lineRule="auto"/>
              <w:jc w:val="center"/>
              <w:rPr>
                <w:rFonts w:eastAsia="Times New Roman" w:cs="Times New Roman"/>
                <w:color w:val="000000"/>
                <w:szCs w:val="24"/>
              </w:rPr>
            </w:pPr>
            <w:r w:rsidRPr="00E11E4E">
              <w:t>1</w:t>
            </w:r>
          </w:p>
        </w:tc>
        <w:tc>
          <w:tcPr>
            <w:tcW w:w="2114" w:type="dxa"/>
            <w:shd w:val="clear" w:color="auto" w:fill="auto"/>
            <w:noWrap/>
          </w:tcPr>
          <w:p w14:paraId="784D6A64" w14:textId="77777777" w:rsidR="009C17F1" w:rsidRPr="00954B78" w:rsidRDefault="000F5B51" w:rsidP="009C17F1">
            <w:pPr>
              <w:spacing w:after="0" w:line="240" w:lineRule="auto"/>
              <w:jc w:val="center"/>
              <w:rPr>
                <w:rFonts w:cs="Times New Roman"/>
                <w:color w:val="000000"/>
                <w:szCs w:val="24"/>
              </w:rPr>
            </w:pPr>
            <w:r w:rsidRPr="00E11E4E">
              <w:t>0.5</w:t>
            </w:r>
            <w:r w:rsidR="00635C8E">
              <w:t>00</w:t>
            </w:r>
          </w:p>
        </w:tc>
        <w:tc>
          <w:tcPr>
            <w:tcW w:w="2114" w:type="dxa"/>
            <w:shd w:val="clear" w:color="auto" w:fill="auto"/>
            <w:noWrap/>
          </w:tcPr>
          <w:p w14:paraId="4CF78307" w14:textId="77777777" w:rsidR="009C17F1" w:rsidRPr="00954B78" w:rsidRDefault="000F5B51" w:rsidP="009C17F1">
            <w:pPr>
              <w:spacing w:after="0" w:line="240" w:lineRule="auto"/>
              <w:jc w:val="center"/>
              <w:rPr>
                <w:rFonts w:cs="Times New Roman"/>
                <w:color w:val="000000"/>
                <w:szCs w:val="24"/>
              </w:rPr>
            </w:pPr>
            <w:r w:rsidRPr="00E11E4E">
              <w:t>0.6673</w:t>
            </w:r>
          </w:p>
        </w:tc>
        <w:tc>
          <w:tcPr>
            <w:tcW w:w="2114" w:type="dxa"/>
            <w:shd w:val="clear" w:color="auto" w:fill="auto"/>
            <w:noWrap/>
          </w:tcPr>
          <w:p w14:paraId="4E6A7165" w14:textId="77777777" w:rsidR="009C17F1" w:rsidRPr="00954B78" w:rsidRDefault="000F5B51" w:rsidP="009C17F1">
            <w:pPr>
              <w:spacing w:after="0" w:line="240" w:lineRule="auto"/>
              <w:jc w:val="center"/>
              <w:rPr>
                <w:rFonts w:cs="Times New Roman"/>
                <w:color w:val="000000"/>
                <w:szCs w:val="24"/>
              </w:rPr>
            </w:pPr>
            <w:r w:rsidRPr="00E11E4E">
              <w:t>2</w:t>
            </w:r>
          </w:p>
        </w:tc>
      </w:tr>
      <w:tr w:rsidR="00A15C2C" w14:paraId="0CD80AA4" w14:textId="77777777" w:rsidTr="00800C73">
        <w:trPr>
          <w:trHeight w:val="300"/>
          <w:jc w:val="center"/>
        </w:trPr>
        <w:tc>
          <w:tcPr>
            <w:tcW w:w="2065" w:type="dxa"/>
            <w:shd w:val="clear" w:color="auto" w:fill="auto"/>
            <w:noWrap/>
            <w:vAlign w:val="bottom"/>
            <w:hideMark/>
          </w:tcPr>
          <w:p w14:paraId="101E2A51" w14:textId="77777777" w:rsidR="009C17F1" w:rsidRPr="00DA0C97" w:rsidRDefault="000F5B51" w:rsidP="009C17F1">
            <w:pPr>
              <w:spacing w:after="0" w:line="240" w:lineRule="auto"/>
              <w:rPr>
                <w:rFonts w:eastAsia="Times New Roman" w:cs="Times New Roman"/>
                <w:color w:val="000000"/>
                <w:szCs w:val="24"/>
              </w:rPr>
            </w:pPr>
            <w:r w:rsidRPr="00DA0C97">
              <w:rPr>
                <w:rFonts w:eastAsia="Times New Roman" w:cs="Times New Roman"/>
                <w:color w:val="000000"/>
                <w:szCs w:val="24"/>
              </w:rPr>
              <w:t>Fatality</w:t>
            </w:r>
          </w:p>
        </w:tc>
        <w:tc>
          <w:tcPr>
            <w:tcW w:w="2113" w:type="dxa"/>
            <w:shd w:val="clear" w:color="auto" w:fill="auto"/>
            <w:noWrap/>
          </w:tcPr>
          <w:p w14:paraId="704A1E12" w14:textId="77777777" w:rsidR="009C17F1" w:rsidRPr="00934F2C" w:rsidRDefault="000F5B51" w:rsidP="009C17F1">
            <w:pPr>
              <w:spacing w:after="0" w:line="240" w:lineRule="auto"/>
              <w:jc w:val="center"/>
              <w:rPr>
                <w:rFonts w:eastAsia="Times New Roman" w:cs="Times New Roman"/>
                <w:color w:val="000000"/>
                <w:szCs w:val="24"/>
              </w:rPr>
            </w:pPr>
            <w:r w:rsidRPr="00E11E4E">
              <w:t>128</w:t>
            </w:r>
          </w:p>
        </w:tc>
        <w:tc>
          <w:tcPr>
            <w:tcW w:w="2114" w:type="dxa"/>
            <w:shd w:val="clear" w:color="auto" w:fill="auto"/>
            <w:noWrap/>
          </w:tcPr>
          <w:p w14:paraId="66707EAA" w14:textId="77777777" w:rsidR="009C17F1" w:rsidRPr="00DA0C97" w:rsidRDefault="000F5B51" w:rsidP="009C17F1">
            <w:pPr>
              <w:spacing w:after="0" w:line="240" w:lineRule="auto"/>
              <w:jc w:val="center"/>
              <w:rPr>
                <w:rFonts w:eastAsia="Times New Roman" w:cs="Times New Roman"/>
                <w:b/>
                <w:bCs/>
                <w:color w:val="000000"/>
                <w:szCs w:val="24"/>
              </w:rPr>
            </w:pPr>
            <w:r w:rsidRPr="00E11E4E">
              <w:t>0.44</w:t>
            </w:r>
            <w:r w:rsidR="00635C8E">
              <w:t>0</w:t>
            </w:r>
          </w:p>
        </w:tc>
        <w:tc>
          <w:tcPr>
            <w:tcW w:w="2114" w:type="dxa"/>
            <w:shd w:val="clear" w:color="auto" w:fill="auto"/>
            <w:noWrap/>
          </w:tcPr>
          <w:p w14:paraId="04B82FC8" w14:textId="77777777" w:rsidR="009C17F1" w:rsidRPr="00DA0C97" w:rsidRDefault="000F5B51" w:rsidP="009C17F1">
            <w:pPr>
              <w:spacing w:after="0" w:line="240" w:lineRule="auto"/>
              <w:jc w:val="center"/>
              <w:rPr>
                <w:rFonts w:eastAsia="Times New Roman" w:cs="Times New Roman"/>
                <w:b/>
                <w:bCs/>
                <w:color w:val="000000"/>
                <w:szCs w:val="24"/>
              </w:rPr>
            </w:pPr>
            <w:r w:rsidRPr="00E11E4E">
              <w:t>0.6006</w:t>
            </w:r>
          </w:p>
        </w:tc>
        <w:tc>
          <w:tcPr>
            <w:tcW w:w="2114" w:type="dxa"/>
            <w:shd w:val="clear" w:color="auto" w:fill="auto"/>
            <w:noWrap/>
          </w:tcPr>
          <w:p w14:paraId="290DADFA" w14:textId="77777777" w:rsidR="009C17F1" w:rsidRPr="00DA0C97" w:rsidRDefault="000F5B51" w:rsidP="009C17F1">
            <w:pPr>
              <w:spacing w:after="0" w:line="240" w:lineRule="auto"/>
              <w:jc w:val="center"/>
              <w:rPr>
                <w:rFonts w:eastAsia="Times New Roman" w:cs="Times New Roman"/>
                <w:b/>
                <w:bCs/>
                <w:color w:val="000000"/>
                <w:szCs w:val="24"/>
              </w:rPr>
            </w:pPr>
            <w:r w:rsidRPr="00E11E4E">
              <w:t>174</w:t>
            </w:r>
          </w:p>
        </w:tc>
      </w:tr>
      <w:tr w:rsidR="00A15C2C" w14:paraId="0E86C8D6" w14:textId="77777777" w:rsidTr="00800C73">
        <w:trPr>
          <w:trHeight w:val="300"/>
          <w:jc w:val="center"/>
        </w:trPr>
        <w:tc>
          <w:tcPr>
            <w:tcW w:w="10520" w:type="dxa"/>
            <w:gridSpan w:val="5"/>
            <w:shd w:val="clear" w:color="auto" w:fill="D9D9D9" w:themeFill="background1" w:themeFillShade="D9"/>
            <w:noWrap/>
            <w:vAlign w:val="center"/>
          </w:tcPr>
          <w:p w14:paraId="571CFF9B" w14:textId="77777777" w:rsidR="001B6292" w:rsidRPr="00012598" w:rsidRDefault="000F5B51" w:rsidP="00800C73">
            <w:pPr>
              <w:spacing w:after="0" w:line="240" w:lineRule="auto"/>
              <w:ind w:firstLineChars="100" w:firstLine="241"/>
              <w:jc w:val="center"/>
              <w:rPr>
                <w:rFonts w:eastAsia="Times New Roman" w:cs="Times New Roman"/>
                <w:b/>
                <w:bCs/>
                <w:i/>
                <w:iCs/>
                <w:color w:val="000000"/>
                <w:szCs w:val="24"/>
              </w:rPr>
            </w:pPr>
            <w:r>
              <w:rPr>
                <w:rFonts w:eastAsia="Times New Roman" w:cs="Times New Roman"/>
                <w:b/>
                <w:bCs/>
                <w:i/>
                <w:iCs/>
                <w:color w:val="000000"/>
                <w:szCs w:val="24"/>
              </w:rPr>
              <w:t>Light Trucks</w:t>
            </w:r>
          </w:p>
        </w:tc>
      </w:tr>
      <w:tr w:rsidR="00A15C2C" w14:paraId="71A8EF68" w14:textId="77777777" w:rsidTr="00800C73">
        <w:trPr>
          <w:trHeight w:val="300"/>
          <w:jc w:val="center"/>
        </w:trPr>
        <w:tc>
          <w:tcPr>
            <w:tcW w:w="2065" w:type="dxa"/>
            <w:shd w:val="clear" w:color="auto" w:fill="auto"/>
            <w:noWrap/>
            <w:vAlign w:val="bottom"/>
            <w:hideMark/>
          </w:tcPr>
          <w:p w14:paraId="63D35FF4" w14:textId="77777777" w:rsidR="002E0A55" w:rsidRPr="00954B78" w:rsidRDefault="000F5B51" w:rsidP="002E0A55">
            <w:pPr>
              <w:spacing w:after="0" w:line="240" w:lineRule="auto"/>
              <w:rPr>
                <w:rFonts w:eastAsia="Times New Roman" w:cs="Times New Roman"/>
                <w:color w:val="000000"/>
                <w:szCs w:val="24"/>
              </w:rPr>
            </w:pPr>
            <w:r>
              <w:rPr>
                <w:rFonts w:eastAsia="Times New Roman" w:cs="Times New Roman"/>
                <w:color w:val="000000"/>
                <w:szCs w:val="24"/>
              </w:rPr>
              <w:t>MAIS 1</w:t>
            </w:r>
          </w:p>
        </w:tc>
        <w:tc>
          <w:tcPr>
            <w:tcW w:w="2113" w:type="dxa"/>
            <w:shd w:val="clear" w:color="auto" w:fill="auto"/>
            <w:noWrap/>
          </w:tcPr>
          <w:p w14:paraId="3F1505E8" w14:textId="77777777" w:rsidR="002E0A55" w:rsidRPr="00954B78" w:rsidRDefault="000F5B51" w:rsidP="002E0A55">
            <w:pPr>
              <w:spacing w:after="0" w:line="240" w:lineRule="auto"/>
              <w:jc w:val="center"/>
              <w:rPr>
                <w:rFonts w:eastAsia="Times New Roman" w:cs="Times New Roman"/>
                <w:color w:val="000000"/>
                <w:szCs w:val="24"/>
              </w:rPr>
            </w:pPr>
            <w:r w:rsidRPr="003008BF">
              <w:t>361</w:t>
            </w:r>
          </w:p>
        </w:tc>
        <w:tc>
          <w:tcPr>
            <w:tcW w:w="2114" w:type="dxa"/>
            <w:shd w:val="clear" w:color="auto" w:fill="auto"/>
            <w:noWrap/>
          </w:tcPr>
          <w:p w14:paraId="24906F32" w14:textId="77777777" w:rsidR="002E0A55" w:rsidRPr="00954B78" w:rsidRDefault="000F5B51" w:rsidP="002E0A55">
            <w:pPr>
              <w:spacing w:after="0" w:line="240" w:lineRule="auto"/>
              <w:jc w:val="center"/>
              <w:rPr>
                <w:rFonts w:eastAsia="Times New Roman" w:cs="Times New Roman"/>
                <w:color w:val="000000"/>
                <w:szCs w:val="24"/>
              </w:rPr>
            </w:pPr>
            <w:r w:rsidRPr="003008BF">
              <w:t>0.055</w:t>
            </w:r>
          </w:p>
        </w:tc>
        <w:tc>
          <w:tcPr>
            <w:tcW w:w="2114" w:type="dxa"/>
            <w:shd w:val="clear" w:color="auto" w:fill="auto"/>
            <w:noWrap/>
          </w:tcPr>
          <w:p w14:paraId="5406A9CE" w14:textId="77777777" w:rsidR="002E0A55" w:rsidRPr="00954B78" w:rsidRDefault="000F5B51" w:rsidP="002E0A55">
            <w:pPr>
              <w:spacing w:after="0" w:line="240" w:lineRule="auto"/>
              <w:jc w:val="center"/>
              <w:rPr>
                <w:rFonts w:eastAsia="Times New Roman" w:cs="Times New Roman"/>
                <w:color w:val="000000"/>
                <w:szCs w:val="24"/>
              </w:rPr>
            </w:pPr>
            <w:r w:rsidRPr="003008BF">
              <w:t>0.6673</w:t>
            </w:r>
          </w:p>
        </w:tc>
        <w:tc>
          <w:tcPr>
            <w:tcW w:w="2114" w:type="dxa"/>
            <w:shd w:val="clear" w:color="auto" w:fill="auto"/>
            <w:noWrap/>
          </w:tcPr>
          <w:p w14:paraId="1EAD191B" w14:textId="77777777" w:rsidR="002E0A55" w:rsidRPr="00954B78" w:rsidRDefault="000F5B51" w:rsidP="002E0A55">
            <w:pPr>
              <w:spacing w:after="0" w:line="240" w:lineRule="auto"/>
              <w:jc w:val="center"/>
              <w:rPr>
                <w:rFonts w:eastAsia="Times New Roman" w:cs="Times New Roman"/>
                <w:color w:val="000000"/>
                <w:szCs w:val="24"/>
              </w:rPr>
            </w:pPr>
            <w:r w:rsidRPr="003008BF">
              <w:t>375</w:t>
            </w:r>
          </w:p>
        </w:tc>
      </w:tr>
      <w:tr w:rsidR="00A15C2C" w14:paraId="64A29C62" w14:textId="77777777" w:rsidTr="00800C73">
        <w:trPr>
          <w:trHeight w:val="300"/>
          <w:jc w:val="center"/>
        </w:trPr>
        <w:tc>
          <w:tcPr>
            <w:tcW w:w="2065" w:type="dxa"/>
            <w:shd w:val="clear" w:color="auto" w:fill="auto"/>
            <w:noWrap/>
            <w:hideMark/>
          </w:tcPr>
          <w:p w14:paraId="78F5575F" w14:textId="77777777" w:rsidR="002E0A55" w:rsidRPr="00954B78" w:rsidRDefault="000F5B51" w:rsidP="002E0A55">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2</w:t>
            </w:r>
          </w:p>
        </w:tc>
        <w:tc>
          <w:tcPr>
            <w:tcW w:w="2113" w:type="dxa"/>
            <w:shd w:val="clear" w:color="auto" w:fill="auto"/>
            <w:noWrap/>
          </w:tcPr>
          <w:p w14:paraId="7725DB9B" w14:textId="77777777" w:rsidR="002E0A55" w:rsidRPr="00954B78" w:rsidRDefault="000F5B51" w:rsidP="002E0A55">
            <w:pPr>
              <w:spacing w:after="0" w:line="240" w:lineRule="auto"/>
              <w:jc w:val="center"/>
              <w:rPr>
                <w:rFonts w:eastAsia="Times New Roman" w:cs="Times New Roman"/>
                <w:color w:val="000000"/>
                <w:szCs w:val="24"/>
              </w:rPr>
            </w:pPr>
            <w:r w:rsidRPr="003008BF">
              <w:t>123</w:t>
            </w:r>
          </w:p>
        </w:tc>
        <w:tc>
          <w:tcPr>
            <w:tcW w:w="2114" w:type="dxa"/>
            <w:shd w:val="clear" w:color="auto" w:fill="auto"/>
            <w:noWrap/>
          </w:tcPr>
          <w:p w14:paraId="0266D282" w14:textId="77777777" w:rsidR="002E0A55" w:rsidRPr="00954B78" w:rsidRDefault="000F5B51" w:rsidP="002E0A55">
            <w:pPr>
              <w:spacing w:after="0" w:line="240" w:lineRule="auto"/>
              <w:jc w:val="center"/>
              <w:rPr>
                <w:rFonts w:eastAsia="Times New Roman" w:cs="Times New Roman"/>
                <w:color w:val="000000"/>
                <w:szCs w:val="24"/>
              </w:rPr>
            </w:pPr>
            <w:r w:rsidRPr="003008BF">
              <w:t>0.5</w:t>
            </w:r>
            <w:r w:rsidR="00635C8E">
              <w:t>00</w:t>
            </w:r>
          </w:p>
        </w:tc>
        <w:tc>
          <w:tcPr>
            <w:tcW w:w="2114" w:type="dxa"/>
            <w:shd w:val="clear" w:color="auto" w:fill="auto"/>
            <w:noWrap/>
          </w:tcPr>
          <w:p w14:paraId="3DA668D1" w14:textId="77777777" w:rsidR="002E0A55" w:rsidRPr="00954B78" w:rsidRDefault="000F5B51" w:rsidP="002E0A55">
            <w:pPr>
              <w:spacing w:after="0" w:line="240" w:lineRule="auto"/>
              <w:jc w:val="center"/>
              <w:rPr>
                <w:rFonts w:eastAsia="Times New Roman" w:cs="Times New Roman"/>
                <w:color w:val="000000"/>
                <w:szCs w:val="24"/>
              </w:rPr>
            </w:pPr>
            <w:r w:rsidRPr="003008BF">
              <w:t>0.6673</w:t>
            </w:r>
          </w:p>
        </w:tc>
        <w:tc>
          <w:tcPr>
            <w:tcW w:w="2114" w:type="dxa"/>
            <w:shd w:val="clear" w:color="auto" w:fill="auto"/>
            <w:noWrap/>
          </w:tcPr>
          <w:p w14:paraId="340FFE7C" w14:textId="77777777" w:rsidR="002E0A55" w:rsidRPr="00954B78" w:rsidRDefault="000F5B51" w:rsidP="002E0A55">
            <w:pPr>
              <w:spacing w:after="0" w:line="240" w:lineRule="auto"/>
              <w:jc w:val="center"/>
              <w:rPr>
                <w:rFonts w:eastAsia="Times New Roman" w:cs="Times New Roman"/>
                <w:color w:val="000000"/>
                <w:szCs w:val="24"/>
              </w:rPr>
            </w:pPr>
            <w:r w:rsidRPr="003008BF">
              <w:t>184</w:t>
            </w:r>
          </w:p>
        </w:tc>
      </w:tr>
      <w:tr w:rsidR="00A15C2C" w14:paraId="5AD75BFD" w14:textId="77777777" w:rsidTr="00800C73">
        <w:trPr>
          <w:trHeight w:val="300"/>
          <w:jc w:val="center"/>
        </w:trPr>
        <w:tc>
          <w:tcPr>
            <w:tcW w:w="2065" w:type="dxa"/>
            <w:shd w:val="clear" w:color="auto" w:fill="auto"/>
            <w:noWrap/>
          </w:tcPr>
          <w:p w14:paraId="4D56446D" w14:textId="77777777" w:rsidR="002E0A55" w:rsidRPr="00064F4A" w:rsidRDefault="000F5B51" w:rsidP="002E0A55">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3</w:t>
            </w:r>
          </w:p>
        </w:tc>
        <w:tc>
          <w:tcPr>
            <w:tcW w:w="2113" w:type="dxa"/>
            <w:shd w:val="clear" w:color="auto" w:fill="auto"/>
            <w:noWrap/>
          </w:tcPr>
          <w:p w14:paraId="018BE7DD" w14:textId="77777777" w:rsidR="002E0A55" w:rsidRPr="00954B78" w:rsidRDefault="000F5B51" w:rsidP="002E0A55">
            <w:pPr>
              <w:spacing w:after="0" w:line="240" w:lineRule="auto"/>
              <w:jc w:val="center"/>
              <w:rPr>
                <w:rFonts w:cs="Times New Roman"/>
                <w:color w:val="000000"/>
                <w:szCs w:val="24"/>
              </w:rPr>
            </w:pPr>
            <w:r w:rsidRPr="003008BF">
              <w:t>1</w:t>
            </w:r>
          </w:p>
        </w:tc>
        <w:tc>
          <w:tcPr>
            <w:tcW w:w="2114" w:type="dxa"/>
            <w:shd w:val="clear" w:color="auto" w:fill="auto"/>
            <w:noWrap/>
          </w:tcPr>
          <w:p w14:paraId="6F4AA9BA" w14:textId="77777777" w:rsidR="002E0A55" w:rsidRPr="00954B78" w:rsidRDefault="000F5B51" w:rsidP="002E0A55">
            <w:pPr>
              <w:spacing w:after="0" w:line="240" w:lineRule="auto"/>
              <w:jc w:val="center"/>
              <w:rPr>
                <w:rFonts w:cs="Times New Roman"/>
                <w:color w:val="000000"/>
                <w:szCs w:val="24"/>
              </w:rPr>
            </w:pPr>
            <w:r w:rsidRPr="003008BF">
              <w:t>0.5</w:t>
            </w:r>
            <w:r w:rsidR="00635C8E">
              <w:t>00</w:t>
            </w:r>
          </w:p>
        </w:tc>
        <w:tc>
          <w:tcPr>
            <w:tcW w:w="2114" w:type="dxa"/>
            <w:shd w:val="clear" w:color="auto" w:fill="auto"/>
            <w:noWrap/>
          </w:tcPr>
          <w:p w14:paraId="1E5E375D" w14:textId="77777777" w:rsidR="002E0A55" w:rsidRPr="00954B78" w:rsidRDefault="000F5B51" w:rsidP="002E0A55">
            <w:pPr>
              <w:spacing w:after="0" w:line="240" w:lineRule="auto"/>
              <w:jc w:val="center"/>
              <w:rPr>
                <w:rFonts w:cs="Times New Roman"/>
                <w:color w:val="000000"/>
                <w:szCs w:val="24"/>
              </w:rPr>
            </w:pPr>
            <w:r w:rsidRPr="003008BF">
              <w:t>0.6673</w:t>
            </w:r>
          </w:p>
        </w:tc>
        <w:tc>
          <w:tcPr>
            <w:tcW w:w="2114" w:type="dxa"/>
            <w:shd w:val="clear" w:color="auto" w:fill="auto"/>
            <w:noWrap/>
          </w:tcPr>
          <w:p w14:paraId="1F7EB44B" w14:textId="77777777" w:rsidR="002E0A55" w:rsidRPr="00954B78" w:rsidRDefault="000F5B51" w:rsidP="002E0A55">
            <w:pPr>
              <w:spacing w:after="0" w:line="240" w:lineRule="auto"/>
              <w:jc w:val="center"/>
              <w:rPr>
                <w:rFonts w:cs="Times New Roman"/>
                <w:color w:val="000000"/>
                <w:szCs w:val="24"/>
              </w:rPr>
            </w:pPr>
            <w:r w:rsidRPr="003008BF">
              <w:t>1</w:t>
            </w:r>
          </w:p>
        </w:tc>
      </w:tr>
      <w:tr w:rsidR="00A15C2C" w14:paraId="12AA6D4C" w14:textId="77777777" w:rsidTr="00800C73">
        <w:trPr>
          <w:trHeight w:val="300"/>
          <w:jc w:val="center"/>
        </w:trPr>
        <w:tc>
          <w:tcPr>
            <w:tcW w:w="2065" w:type="dxa"/>
            <w:shd w:val="clear" w:color="auto" w:fill="auto"/>
            <w:noWrap/>
          </w:tcPr>
          <w:p w14:paraId="12F0E256" w14:textId="77777777" w:rsidR="002E0A55" w:rsidRPr="00064F4A" w:rsidRDefault="000F5B51" w:rsidP="002E0A55">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4</w:t>
            </w:r>
          </w:p>
        </w:tc>
        <w:tc>
          <w:tcPr>
            <w:tcW w:w="2113" w:type="dxa"/>
            <w:shd w:val="clear" w:color="auto" w:fill="auto"/>
            <w:noWrap/>
          </w:tcPr>
          <w:p w14:paraId="3E27C686" w14:textId="77777777" w:rsidR="002E0A55" w:rsidRPr="00954B78" w:rsidRDefault="000F5B51" w:rsidP="002E0A55">
            <w:pPr>
              <w:spacing w:after="0" w:line="240" w:lineRule="auto"/>
              <w:jc w:val="center"/>
              <w:rPr>
                <w:rFonts w:cs="Times New Roman"/>
                <w:color w:val="000000"/>
                <w:szCs w:val="24"/>
              </w:rPr>
            </w:pPr>
            <w:r w:rsidRPr="003008BF">
              <w:t>6</w:t>
            </w:r>
          </w:p>
        </w:tc>
        <w:tc>
          <w:tcPr>
            <w:tcW w:w="2114" w:type="dxa"/>
            <w:shd w:val="clear" w:color="auto" w:fill="auto"/>
            <w:noWrap/>
          </w:tcPr>
          <w:p w14:paraId="16F7CEE2" w14:textId="77777777" w:rsidR="002E0A55" w:rsidRPr="00954B78" w:rsidRDefault="000F5B51" w:rsidP="002E0A55">
            <w:pPr>
              <w:spacing w:after="0" w:line="240" w:lineRule="auto"/>
              <w:jc w:val="center"/>
              <w:rPr>
                <w:rFonts w:cs="Times New Roman"/>
                <w:color w:val="000000"/>
                <w:szCs w:val="24"/>
              </w:rPr>
            </w:pPr>
            <w:r w:rsidRPr="003008BF">
              <w:t>0.5</w:t>
            </w:r>
            <w:r w:rsidR="00635C8E">
              <w:t>00</w:t>
            </w:r>
          </w:p>
        </w:tc>
        <w:tc>
          <w:tcPr>
            <w:tcW w:w="2114" w:type="dxa"/>
            <w:shd w:val="clear" w:color="auto" w:fill="auto"/>
            <w:noWrap/>
          </w:tcPr>
          <w:p w14:paraId="3BC88387" w14:textId="77777777" w:rsidR="002E0A55" w:rsidRPr="00954B78" w:rsidRDefault="000F5B51" w:rsidP="002E0A55">
            <w:pPr>
              <w:spacing w:after="0" w:line="240" w:lineRule="auto"/>
              <w:jc w:val="center"/>
              <w:rPr>
                <w:rFonts w:cs="Times New Roman"/>
                <w:color w:val="000000"/>
                <w:szCs w:val="24"/>
              </w:rPr>
            </w:pPr>
            <w:r w:rsidRPr="003008BF">
              <w:t>0.6673</w:t>
            </w:r>
          </w:p>
        </w:tc>
        <w:tc>
          <w:tcPr>
            <w:tcW w:w="2114" w:type="dxa"/>
            <w:shd w:val="clear" w:color="auto" w:fill="auto"/>
            <w:noWrap/>
          </w:tcPr>
          <w:p w14:paraId="166A9A34" w14:textId="77777777" w:rsidR="002E0A55" w:rsidRPr="00954B78" w:rsidRDefault="000F5B51" w:rsidP="002E0A55">
            <w:pPr>
              <w:spacing w:after="0" w:line="240" w:lineRule="auto"/>
              <w:jc w:val="center"/>
              <w:rPr>
                <w:rFonts w:cs="Times New Roman"/>
                <w:color w:val="000000"/>
                <w:szCs w:val="24"/>
              </w:rPr>
            </w:pPr>
            <w:r w:rsidRPr="003008BF">
              <w:t>9</w:t>
            </w:r>
          </w:p>
        </w:tc>
      </w:tr>
      <w:tr w:rsidR="00A15C2C" w14:paraId="0C479B2C" w14:textId="77777777" w:rsidTr="00800C73">
        <w:trPr>
          <w:trHeight w:val="300"/>
          <w:jc w:val="center"/>
        </w:trPr>
        <w:tc>
          <w:tcPr>
            <w:tcW w:w="2065" w:type="dxa"/>
            <w:shd w:val="clear" w:color="auto" w:fill="auto"/>
            <w:noWrap/>
          </w:tcPr>
          <w:p w14:paraId="2F2FBD20" w14:textId="77777777" w:rsidR="002E0A55" w:rsidRPr="00064F4A" w:rsidRDefault="000F5B51" w:rsidP="002E0A55">
            <w:pPr>
              <w:spacing w:after="0" w:line="240" w:lineRule="auto"/>
              <w:rPr>
                <w:rFonts w:eastAsia="Times New Roman" w:cs="Times New Roman"/>
                <w:color w:val="000000"/>
                <w:szCs w:val="24"/>
              </w:rPr>
            </w:pPr>
            <w:r>
              <w:rPr>
                <w:rFonts w:eastAsia="Times New Roman" w:cs="Times New Roman"/>
                <w:color w:val="000000"/>
                <w:szCs w:val="24"/>
              </w:rPr>
              <w:t>MAIS 5</w:t>
            </w:r>
          </w:p>
        </w:tc>
        <w:tc>
          <w:tcPr>
            <w:tcW w:w="2113" w:type="dxa"/>
            <w:shd w:val="clear" w:color="auto" w:fill="auto"/>
            <w:noWrap/>
          </w:tcPr>
          <w:p w14:paraId="55773729" w14:textId="77777777" w:rsidR="002E0A55" w:rsidRPr="00954B78" w:rsidRDefault="000F5B51" w:rsidP="002E0A55">
            <w:pPr>
              <w:spacing w:after="0" w:line="240" w:lineRule="auto"/>
              <w:jc w:val="center"/>
              <w:rPr>
                <w:rFonts w:cs="Times New Roman"/>
                <w:color w:val="000000"/>
                <w:szCs w:val="24"/>
              </w:rPr>
            </w:pPr>
            <w:r w:rsidRPr="003008BF">
              <w:t>0</w:t>
            </w:r>
          </w:p>
        </w:tc>
        <w:tc>
          <w:tcPr>
            <w:tcW w:w="2114" w:type="dxa"/>
            <w:shd w:val="clear" w:color="auto" w:fill="auto"/>
            <w:noWrap/>
          </w:tcPr>
          <w:p w14:paraId="598C051F" w14:textId="77777777" w:rsidR="002E0A55" w:rsidRPr="00954B78" w:rsidRDefault="000F5B51" w:rsidP="002E0A55">
            <w:pPr>
              <w:spacing w:after="0" w:line="240" w:lineRule="auto"/>
              <w:jc w:val="center"/>
              <w:rPr>
                <w:rFonts w:cs="Times New Roman"/>
                <w:color w:val="000000"/>
                <w:szCs w:val="24"/>
              </w:rPr>
            </w:pPr>
            <w:r w:rsidRPr="003008BF">
              <w:t>0.5</w:t>
            </w:r>
            <w:r w:rsidR="00635C8E">
              <w:t>00</w:t>
            </w:r>
          </w:p>
        </w:tc>
        <w:tc>
          <w:tcPr>
            <w:tcW w:w="2114" w:type="dxa"/>
            <w:shd w:val="clear" w:color="auto" w:fill="auto"/>
            <w:noWrap/>
          </w:tcPr>
          <w:p w14:paraId="6BAD5F4F" w14:textId="77777777" w:rsidR="002E0A55" w:rsidRPr="00954B78" w:rsidRDefault="000F5B51" w:rsidP="002E0A55">
            <w:pPr>
              <w:spacing w:after="0" w:line="240" w:lineRule="auto"/>
              <w:jc w:val="center"/>
              <w:rPr>
                <w:rFonts w:cs="Times New Roman"/>
                <w:color w:val="000000"/>
                <w:szCs w:val="24"/>
              </w:rPr>
            </w:pPr>
            <w:r w:rsidRPr="003008BF">
              <w:t>0.6673</w:t>
            </w:r>
          </w:p>
        </w:tc>
        <w:tc>
          <w:tcPr>
            <w:tcW w:w="2114" w:type="dxa"/>
            <w:shd w:val="clear" w:color="auto" w:fill="auto"/>
            <w:noWrap/>
          </w:tcPr>
          <w:p w14:paraId="752E4CDC" w14:textId="77777777" w:rsidR="002E0A55" w:rsidRPr="00954B78" w:rsidRDefault="000F5B51" w:rsidP="002E0A55">
            <w:pPr>
              <w:spacing w:after="0" w:line="240" w:lineRule="auto"/>
              <w:jc w:val="center"/>
              <w:rPr>
                <w:rFonts w:cs="Times New Roman"/>
                <w:color w:val="000000"/>
                <w:szCs w:val="24"/>
              </w:rPr>
            </w:pPr>
            <w:r w:rsidRPr="003008BF">
              <w:t>1</w:t>
            </w:r>
          </w:p>
        </w:tc>
      </w:tr>
      <w:tr w:rsidR="00A15C2C" w14:paraId="6415BAD6" w14:textId="77777777" w:rsidTr="00800C73">
        <w:trPr>
          <w:trHeight w:val="300"/>
          <w:jc w:val="center"/>
        </w:trPr>
        <w:tc>
          <w:tcPr>
            <w:tcW w:w="2065" w:type="dxa"/>
            <w:shd w:val="clear" w:color="auto" w:fill="auto"/>
            <w:noWrap/>
            <w:vAlign w:val="bottom"/>
            <w:hideMark/>
          </w:tcPr>
          <w:p w14:paraId="32189537" w14:textId="77777777" w:rsidR="002E0A55" w:rsidRPr="00DA0C97" w:rsidRDefault="000F5B51" w:rsidP="002E0A55">
            <w:pPr>
              <w:spacing w:after="0" w:line="240" w:lineRule="auto"/>
              <w:rPr>
                <w:rFonts w:eastAsia="Times New Roman" w:cs="Times New Roman"/>
                <w:color w:val="000000"/>
                <w:szCs w:val="24"/>
              </w:rPr>
            </w:pPr>
            <w:r w:rsidRPr="00DA0C97">
              <w:rPr>
                <w:rFonts w:eastAsia="Times New Roman" w:cs="Times New Roman"/>
                <w:color w:val="000000"/>
                <w:szCs w:val="24"/>
              </w:rPr>
              <w:t>Fatality</w:t>
            </w:r>
          </w:p>
        </w:tc>
        <w:tc>
          <w:tcPr>
            <w:tcW w:w="2113" w:type="dxa"/>
            <w:shd w:val="clear" w:color="auto" w:fill="auto"/>
            <w:noWrap/>
          </w:tcPr>
          <w:p w14:paraId="74213B97" w14:textId="77777777" w:rsidR="002E0A55" w:rsidRPr="00934F2C" w:rsidRDefault="000F5B51" w:rsidP="002E0A55">
            <w:pPr>
              <w:spacing w:after="0" w:line="240" w:lineRule="auto"/>
              <w:jc w:val="center"/>
              <w:rPr>
                <w:rFonts w:eastAsia="Times New Roman" w:cs="Times New Roman"/>
                <w:b/>
                <w:bCs/>
                <w:color w:val="000000"/>
                <w:szCs w:val="24"/>
              </w:rPr>
            </w:pPr>
            <w:r w:rsidRPr="003008BF">
              <w:t>75</w:t>
            </w:r>
          </w:p>
        </w:tc>
        <w:tc>
          <w:tcPr>
            <w:tcW w:w="2114" w:type="dxa"/>
            <w:shd w:val="clear" w:color="auto" w:fill="auto"/>
            <w:noWrap/>
          </w:tcPr>
          <w:p w14:paraId="39F7FD2D" w14:textId="77777777" w:rsidR="002E0A55" w:rsidRPr="006D32C0" w:rsidRDefault="000F5B51" w:rsidP="002E0A55">
            <w:pPr>
              <w:spacing w:after="0" w:line="240" w:lineRule="auto"/>
              <w:jc w:val="center"/>
              <w:rPr>
                <w:rFonts w:eastAsia="Times New Roman" w:cs="Times New Roman"/>
                <w:b/>
                <w:bCs/>
                <w:color w:val="000000"/>
                <w:szCs w:val="24"/>
              </w:rPr>
            </w:pPr>
            <w:r w:rsidRPr="003008BF">
              <w:t>0.73</w:t>
            </w:r>
            <w:r w:rsidR="00635C8E">
              <w:t>0</w:t>
            </w:r>
          </w:p>
        </w:tc>
        <w:tc>
          <w:tcPr>
            <w:tcW w:w="2114" w:type="dxa"/>
            <w:shd w:val="clear" w:color="auto" w:fill="auto"/>
            <w:noWrap/>
          </w:tcPr>
          <w:p w14:paraId="79B881C8" w14:textId="77777777" w:rsidR="002E0A55" w:rsidRPr="006D32C0" w:rsidRDefault="000F5B51" w:rsidP="002E0A55">
            <w:pPr>
              <w:spacing w:after="0" w:line="240" w:lineRule="auto"/>
              <w:jc w:val="center"/>
              <w:rPr>
                <w:rFonts w:eastAsia="Times New Roman" w:cs="Times New Roman"/>
                <w:b/>
                <w:bCs/>
                <w:color w:val="000000"/>
                <w:szCs w:val="24"/>
              </w:rPr>
            </w:pPr>
            <w:r w:rsidRPr="003008BF">
              <w:t>0.6006</w:t>
            </w:r>
          </w:p>
        </w:tc>
        <w:tc>
          <w:tcPr>
            <w:tcW w:w="2114" w:type="dxa"/>
            <w:shd w:val="clear" w:color="auto" w:fill="auto"/>
            <w:noWrap/>
          </w:tcPr>
          <w:p w14:paraId="3657DF13" w14:textId="77777777" w:rsidR="002E0A55" w:rsidRPr="00934F2C" w:rsidRDefault="000F5B51" w:rsidP="002E0A55">
            <w:pPr>
              <w:spacing w:after="0" w:line="240" w:lineRule="auto"/>
              <w:jc w:val="center"/>
              <w:rPr>
                <w:rFonts w:eastAsia="Times New Roman" w:cs="Times New Roman"/>
                <w:b/>
                <w:bCs/>
                <w:color w:val="000000"/>
                <w:szCs w:val="24"/>
              </w:rPr>
            </w:pPr>
            <w:r w:rsidRPr="003008BF">
              <w:t>134</w:t>
            </w:r>
          </w:p>
        </w:tc>
      </w:tr>
    </w:tbl>
    <w:p w14:paraId="30AD82E7" w14:textId="77777777" w:rsidR="001B6292" w:rsidRPr="00DA0C97" w:rsidRDefault="000F5B51" w:rsidP="001B6292">
      <w:pPr>
        <w:pStyle w:val="NoSpaceTimes"/>
        <w:jc w:val="left"/>
        <w:rPr>
          <w:sz w:val="18"/>
          <w:szCs w:val="18"/>
        </w:rPr>
      </w:pPr>
      <w:r w:rsidRPr="00DA0C97">
        <w:rPr>
          <w:sz w:val="18"/>
          <w:szCs w:val="18"/>
        </w:rPr>
        <w:t>Note: Values may not sum due to rounding. Totals are rounded to the nearest whole number for presentation purposes.</w:t>
      </w:r>
    </w:p>
    <w:p w14:paraId="0B83A59F" w14:textId="77777777" w:rsidR="001B6292" w:rsidRDefault="001B6292" w:rsidP="001B6292">
      <w:pPr>
        <w:pStyle w:val="NoSpaceTimes"/>
      </w:pPr>
    </w:p>
    <w:p w14:paraId="54758619" w14:textId="1CDC43DC" w:rsidR="001B6292" w:rsidRDefault="000F5B51" w:rsidP="001B6292">
      <w:pPr>
        <w:pStyle w:val="Caption"/>
        <w:rPr>
          <w:rFonts w:eastAsia="Times New Roman" w:cs="Times New Roman"/>
          <w:szCs w:val="24"/>
        </w:rPr>
      </w:pPr>
      <w:bookmarkStart w:id="915" w:name="_Ref127429669"/>
      <w:r>
        <w:t xml:space="preserve">Table </w:t>
      </w:r>
      <w:r w:rsidR="00115BAB">
        <w:fldChar w:fldCharType="begin"/>
      </w:r>
      <w:r>
        <w:instrText xml:space="preserve"> SEQ Table \* ARABIC </w:instrText>
      </w:r>
      <w:r w:rsidR="00115BAB">
        <w:fldChar w:fldCharType="separate"/>
      </w:r>
      <w:r w:rsidR="00A65CB3">
        <w:rPr>
          <w:noProof/>
        </w:rPr>
        <w:t>55</w:t>
      </w:r>
      <w:r w:rsidR="00115BAB">
        <w:rPr>
          <w:noProof/>
        </w:rPr>
        <w:fldChar w:fldCharType="end"/>
      </w:r>
      <w:bookmarkEnd w:id="915"/>
      <w:r>
        <w:rPr>
          <w:noProof/>
        </w:rPr>
        <w:t xml:space="preserve">: </w:t>
      </w:r>
      <w:r>
        <w:t xml:space="preserve">Potential Injuries and Fatalities for Right Front Seat Occupants 90-second Warning </w:t>
      </w:r>
    </w:p>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65"/>
        <w:gridCol w:w="2113"/>
        <w:gridCol w:w="2114"/>
        <w:gridCol w:w="2114"/>
        <w:gridCol w:w="2114"/>
      </w:tblGrid>
      <w:tr w:rsidR="00A15C2C" w14:paraId="2CCE2463" w14:textId="77777777" w:rsidTr="00800C73">
        <w:trPr>
          <w:trHeight w:val="1264"/>
          <w:jc w:val="center"/>
        </w:trPr>
        <w:tc>
          <w:tcPr>
            <w:tcW w:w="2065" w:type="dxa"/>
            <w:shd w:val="clear" w:color="auto" w:fill="D9D9D9" w:themeFill="background1" w:themeFillShade="D9"/>
            <w:noWrap/>
            <w:vAlign w:val="bottom"/>
          </w:tcPr>
          <w:p w14:paraId="3BA655E8" w14:textId="77777777" w:rsidR="001B6292" w:rsidRDefault="001B6292" w:rsidP="00800C73">
            <w:pPr>
              <w:spacing w:line="240" w:lineRule="auto"/>
              <w:rPr>
                <w:rFonts w:eastAsia="Times New Roman" w:cs="Times New Roman"/>
                <w:b/>
                <w:bCs/>
                <w:color w:val="000000"/>
                <w:szCs w:val="24"/>
              </w:rPr>
            </w:pPr>
          </w:p>
          <w:p w14:paraId="773A838A" w14:textId="77777777" w:rsidR="001B6292" w:rsidRDefault="000F5B51" w:rsidP="00800C73">
            <w:pPr>
              <w:spacing w:line="240" w:lineRule="auto"/>
              <w:rPr>
                <w:rFonts w:eastAsia="Times New Roman" w:cs="Times New Roman"/>
                <w:b/>
                <w:bCs/>
                <w:color w:val="000000"/>
                <w:szCs w:val="24"/>
              </w:rPr>
            </w:pPr>
            <w:r>
              <w:rPr>
                <w:rFonts w:eastAsia="Times New Roman" w:cs="Times New Roman"/>
                <w:b/>
                <w:bCs/>
                <w:color w:val="000000"/>
                <w:szCs w:val="24"/>
              </w:rPr>
              <w:t xml:space="preserve">Injury Severity </w:t>
            </w:r>
          </w:p>
        </w:tc>
        <w:tc>
          <w:tcPr>
            <w:tcW w:w="2113" w:type="dxa"/>
            <w:shd w:val="clear" w:color="auto" w:fill="D9D9D9" w:themeFill="background1" w:themeFillShade="D9"/>
            <w:noWrap/>
            <w:vAlign w:val="center"/>
          </w:tcPr>
          <w:p w14:paraId="1AD5324E" w14:textId="77777777" w:rsidR="001B6292" w:rsidRPr="00954B78" w:rsidRDefault="000F5B51" w:rsidP="00800C73">
            <w:pPr>
              <w:spacing w:line="240" w:lineRule="auto"/>
              <w:jc w:val="center"/>
              <w:rPr>
                <w:rFonts w:eastAsia="Times New Roman" w:cs="Times New Roman"/>
                <w:b/>
                <w:bCs/>
                <w:color w:val="000000"/>
                <w:szCs w:val="24"/>
              </w:rPr>
            </w:pPr>
            <w:r>
              <w:rPr>
                <w:rFonts w:eastAsia="Times New Roman" w:cs="Times New Roman"/>
                <w:b/>
                <w:bCs/>
                <w:color w:val="000000"/>
                <w:szCs w:val="24"/>
              </w:rPr>
              <w:t>Total Observed (Restrained and Unrestrained)</w:t>
            </w:r>
          </w:p>
        </w:tc>
        <w:tc>
          <w:tcPr>
            <w:tcW w:w="2114" w:type="dxa"/>
            <w:shd w:val="clear" w:color="auto" w:fill="D9D9D9" w:themeFill="background1" w:themeFillShade="D9"/>
            <w:noWrap/>
            <w:vAlign w:val="center"/>
          </w:tcPr>
          <w:p w14:paraId="7FF7A6D6" w14:textId="77777777" w:rsidR="001B6292" w:rsidRPr="00954B78" w:rsidRDefault="000F5B51" w:rsidP="00800C73">
            <w:pPr>
              <w:spacing w:line="240" w:lineRule="auto"/>
              <w:jc w:val="center"/>
              <w:rPr>
                <w:rFonts w:eastAsia="Times New Roman" w:cs="Times New Roman"/>
                <w:b/>
                <w:bCs/>
                <w:color w:val="000000"/>
                <w:szCs w:val="24"/>
              </w:rPr>
            </w:pPr>
            <w:r>
              <w:rPr>
                <w:rFonts w:eastAsia="Times New Roman" w:cs="Times New Roman"/>
                <w:b/>
                <w:bCs/>
                <w:color w:val="000000"/>
                <w:szCs w:val="24"/>
              </w:rPr>
              <w:t>Seat Belt Effectiveness</w:t>
            </w:r>
          </w:p>
        </w:tc>
        <w:tc>
          <w:tcPr>
            <w:tcW w:w="2114" w:type="dxa"/>
            <w:shd w:val="clear" w:color="auto" w:fill="D9D9D9" w:themeFill="background1" w:themeFillShade="D9"/>
            <w:noWrap/>
            <w:vAlign w:val="center"/>
          </w:tcPr>
          <w:p w14:paraId="5AC84B0A" w14:textId="77777777" w:rsidR="001B6292" w:rsidRPr="00954B78" w:rsidRDefault="000F5B51" w:rsidP="00800C73">
            <w:pPr>
              <w:spacing w:line="240" w:lineRule="auto"/>
              <w:jc w:val="center"/>
              <w:rPr>
                <w:rFonts w:eastAsia="Times New Roman" w:cs="Times New Roman"/>
                <w:b/>
                <w:bCs/>
                <w:color w:val="000000"/>
                <w:szCs w:val="24"/>
              </w:rPr>
            </w:pPr>
            <w:r>
              <w:rPr>
                <w:rFonts w:eastAsia="Times New Roman" w:cs="Times New Roman"/>
                <w:b/>
                <w:bCs/>
                <w:color w:val="000000"/>
                <w:szCs w:val="24"/>
              </w:rPr>
              <w:t>Current Seat Belt Use Rate</w:t>
            </w:r>
          </w:p>
        </w:tc>
        <w:tc>
          <w:tcPr>
            <w:tcW w:w="2114" w:type="dxa"/>
            <w:shd w:val="clear" w:color="auto" w:fill="D9D9D9" w:themeFill="background1" w:themeFillShade="D9"/>
            <w:noWrap/>
            <w:vAlign w:val="center"/>
          </w:tcPr>
          <w:p w14:paraId="50F39CAB" w14:textId="77777777" w:rsidR="001B6292" w:rsidRPr="00954B78" w:rsidRDefault="000F5B51" w:rsidP="00800C73">
            <w:pPr>
              <w:spacing w:line="240" w:lineRule="auto"/>
              <w:jc w:val="center"/>
              <w:rPr>
                <w:rFonts w:eastAsia="Times New Roman" w:cs="Times New Roman"/>
                <w:b/>
                <w:bCs/>
                <w:color w:val="000000"/>
                <w:szCs w:val="24"/>
              </w:rPr>
            </w:pPr>
            <w:r w:rsidRPr="00954B78">
              <w:rPr>
                <w:rFonts w:eastAsia="Times New Roman" w:cs="Times New Roman"/>
                <w:b/>
                <w:bCs/>
                <w:color w:val="000000"/>
                <w:szCs w:val="24"/>
              </w:rPr>
              <w:t>Potential Injuries</w:t>
            </w:r>
            <w:r>
              <w:rPr>
                <w:rFonts w:eastAsia="Times New Roman" w:cs="Times New Roman"/>
                <w:b/>
                <w:bCs/>
                <w:color w:val="000000"/>
                <w:szCs w:val="24"/>
              </w:rPr>
              <w:t xml:space="preserve"> and Fatalities</w:t>
            </w:r>
          </w:p>
        </w:tc>
      </w:tr>
      <w:tr w:rsidR="00A15C2C" w14:paraId="4A7A4951" w14:textId="77777777" w:rsidTr="00800C73">
        <w:trPr>
          <w:trHeight w:val="20"/>
          <w:jc w:val="center"/>
        </w:trPr>
        <w:tc>
          <w:tcPr>
            <w:tcW w:w="10520" w:type="dxa"/>
            <w:gridSpan w:val="5"/>
            <w:shd w:val="clear" w:color="auto" w:fill="D9D9D9" w:themeFill="background1" w:themeFillShade="D9"/>
            <w:noWrap/>
            <w:vAlign w:val="center"/>
            <w:hideMark/>
          </w:tcPr>
          <w:p w14:paraId="7B56C2C0" w14:textId="77777777" w:rsidR="001B6292" w:rsidRPr="00012598" w:rsidRDefault="000F5B51" w:rsidP="00800C73">
            <w:pPr>
              <w:spacing w:after="0" w:line="240" w:lineRule="auto"/>
              <w:ind w:firstLineChars="100" w:firstLine="241"/>
              <w:jc w:val="center"/>
              <w:rPr>
                <w:rFonts w:eastAsia="Times New Roman" w:cs="Times New Roman"/>
                <w:b/>
                <w:bCs/>
                <w:i/>
                <w:iCs/>
                <w:color w:val="000000"/>
                <w:szCs w:val="24"/>
              </w:rPr>
            </w:pPr>
            <w:r w:rsidRPr="00012598">
              <w:rPr>
                <w:rFonts w:eastAsia="Times New Roman" w:cs="Times New Roman"/>
                <w:b/>
                <w:bCs/>
                <w:i/>
                <w:iCs/>
                <w:color w:val="000000"/>
                <w:szCs w:val="24"/>
              </w:rPr>
              <w:t>Passenger Car</w:t>
            </w:r>
          </w:p>
        </w:tc>
      </w:tr>
      <w:tr w:rsidR="00A15C2C" w14:paraId="089F5A62" w14:textId="77777777" w:rsidTr="00800C73">
        <w:trPr>
          <w:trHeight w:val="300"/>
          <w:jc w:val="center"/>
        </w:trPr>
        <w:tc>
          <w:tcPr>
            <w:tcW w:w="2065" w:type="dxa"/>
            <w:shd w:val="clear" w:color="auto" w:fill="auto"/>
            <w:noWrap/>
            <w:vAlign w:val="bottom"/>
          </w:tcPr>
          <w:p w14:paraId="505B9525" w14:textId="77777777" w:rsidR="007675CA" w:rsidRPr="00954B78" w:rsidRDefault="000F5B51" w:rsidP="007675CA">
            <w:pPr>
              <w:spacing w:after="0" w:line="240" w:lineRule="auto"/>
              <w:rPr>
                <w:rFonts w:eastAsia="Times New Roman" w:cs="Times New Roman"/>
                <w:color w:val="000000"/>
                <w:szCs w:val="24"/>
              </w:rPr>
            </w:pPr>
            <w:r>
              <w:rPr>
                <w:rFonts w:eastAsia="Times New Roman" w:cs="Times New Roman"/>
                <w:color w:val="000000"/>
                <w:szCs w:val="24"/>
              </w:rPr>
              <w:t>MAIS 1</w:t>
            </w:r>
          </w:p>
        </w:tc>
        <w:tc>
          <w:tcPr>
            <w:tcW w:w="2113" w:type="dxa"/>
            <w:shd w:val="clear" w:color="auto" w:fill="auto"/>
            <w:noWrap/>
          </w:tcPr>
          <w:p w14:paraId="64759BC8" w14:textId="77777777" w:rsidR="007675CA" w:rsidRPr="00954B78" w:rsidRDefault="000F5B51" w:rsidP="007675CA">
            <w:pPr>
              <w:spacing w:after="0" w:line="240" w:lineRule="auto"/>
              <w:jc w:val="center"/>
              <w:rPr>
                <w:rFonts w:eastAsia="Times New Roman" w:cs="Times New Roman"/>
                <w:color w:val="000000"/>
                <w:szCs w:val="24"/>
              </w:rPr>
            </w:pPr>
            <w:r w:rsidRPr="000415DA">
              <w:t>6,603</w:t>
            </w:r>
          </w:p>
        </w:tc>
        <w:tc>
          <w:tcPr>
            <w:tcW w:w="2114" w:type="dxa"/>
            <w:shd w:val="clear" w:color="auto" w:fill="auto"/>
            <w:noWrap/>
          </w:tcPr>
          <w:p w14:paraId="0EE644B7" w14:textId="77777777" w:rsidR="007675CA" w:rsidRPr="00954B78" w:rsidRDefault="000F5B51" w:rsidP="007675CA">
            <w:pPr>
              <w:spacing w:after="0" w:line="240" w:lineRule="auto"/>
              <w:jc w:val="center"/>
              <w:rPr>
                <w:rFonts w:eastAsia="Times New Roman" w:cs="Times New Roman"/>
                <w:color w:val="000000"/>
                <w:szCs w:val="24"/>
              </w:rPr>
            </w:pPr>
            <w:r w:rsidRPr="000415DA">
              <w:t>0.055</w:t>
            </w:r>
          </w:p>
        </w:tc>
        <w:tc>
          <w:tcPr>
            <w:tcW w:w="2114" w:type="dxa"/>
            <w:shd w:val="clear" w:color="auto" w:fill="auto"/>
            <w:noWrap/>
          </w:tcPr>
          <w:p w14:paraId="32E6DA07" w14:textId="77777777" w:rsidR="007675CA" w:rsidRPr="00954B78" w:rsidRDefault="000F5B51" w:rsidP="007675CA">
            <w:pPr>
              <w:spacing w:after="0" w:line="240" w:lineRule="auto"/>
              <w:jc w:val="center"/>
              <w:rPr>
                <w:rFonts w:eastAsia="Times New Roman" w:cs="Times New Roman"/>
                <w:color w:val="000000"/>
                <w:szCs w:val="24"/>
              </w:rPr>
            </w:pPr>
            <w:r w:rsidRPr="0090368F">
              <w:t>0.8674</w:t>
            </w:r>
          </w:p>
        </w:tc>
        <w:tc>
          <w:tcPr>
            <w:tcW w:w="2114" w:type="dxa"/>
            <w:shd w:val="clear" w:color="auto" w:fill="auto"/>
            <w:noWrap/>
          </w:tcPr>
          <w:p w14:paraId="5D470533" w14:textId="77777777" w:rsidR="007675CA" w:rsidRPr="00954B78" w:rsidRDefault="000F5B51" w:rsidP="007675CA">
            <w:pPr>
              <w:spacing w:after="0" w:line="240" w:lineRule="auto"/>
              <w:jc w:val="center"/>
              <w:rPr>
                <w:rFonts w:eastAsia="Times New Roman" w:cs="Times New Roman"/>
                <w:color w:val="000000"/>
                <w:szCs w:val="24"/>
              </w:rPr>
            </w:pPr>
            <w:r w:rsidRPr="000415DA">
              <w:t>6,933</w:t>
            </w:r>
          </w:p>
        </w:tc>
      </w:tr>
      <w:tr w:rsidR="00A15C2C" w14:paraId="449E7F35" w14:textId="77777777" w:rsidTr="00800C73">
        <w:trPr>
          <w:trHeight w:val="300"/>
          <w:jc w:val="center"/>
        </w:trPr>
        <w:tc>
          <w:tcPr>
            <w:tcW w:w="2065" w:type="dxa"/>
            <w:shd w:val="clear" w:color="auto" w:fill="auto"/>
            <w:noWrap/>
          </w:tcPr>
          <w:p w14:paraId="645B27CF" w14:textId="77777777" w:rsidR="007675CA" w:rsidRPr="00954B78" w:rsidRDefault="000F5B51" w:rsidP="007675CA">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2</w:t>
            </w:r>
          </w:p>
        </w:tc>
        <w:tc>
          <w:tcPr>
            <w:tcW w:w="2113" w:type="dxa"/>
            <w:shd w:val="clear" w:color="auto" w:fill="auto"/>
            <w:noWrap/>
          </w:tcPr>
          <w:p w14:paraId="1813119C" w14:textId="77777777" w:rsidR="007675CA" w:rsidRPr="00954B78" w:rsidRDefault="000F5B51" w:rsidP="007675CA">
            <w:pPr>
              <w:spacing w:after="0" w:line="240" w:lineRule="auto"/>
              <w:jc w:val="center"/>
              <w:rPr>
                <w:rFonts w:eastAsia="Times New Roman" w:cs="Times New Roman"/>
                <w:color w:val="000000"/>
                <w:szCs w:val="24"/>
              </w:rPr>
            </w:pPr>
            <w:r w:rsidRPr="000415DA">
              <w:t>2,890</w:t>
            </w:r>
          </w:p>
        </w:tc>
        <w:tc>
          <w:tcPr>
            <w:tcW w:w="2114" w:type="dxa"/>
            <w:shd w:val="clear" w:color="auto" w:fill="auto"/>
            <w:noWrap/>
          </w:tcPr>
          <w:p w14:paraId="2E97463E" w14:textId="77777777" w:rsidR="007675CA" w:rsidRPr="00954B78" w:rsidRDefault="000F5B51" w:rsidP="007675CA">
            <w:pPr>
              <w:spacing w:after="0" w:line="240" w:lineRule="auto"/>
              <w:jc w:val="center"/>
              <w:rPr>
                <w:rFonts w:eastAsia="Times New Roman" w:cs="Times New Roman"/>
                <w:color w:val="000000"/>
                <w:szCs w:val="24"/>
              </w:rPr>
            </w:pPr>
            <w:r w:rsidRPr="000415DA">
              <w:t>0.5</w:t>
            </w:r>
            <w:r w:rsidR="00635C8E">
              <w:t>00</w:t>
            </w:r>
          </w:p>
        </w:tc>
        <w:tc>
          <w:tcPr>
            <w:tcW w:w="2114" w:type="dxa"/>
            <w:shd w:val="clear" w:color="auto" w:fill="auto"/>
            <w:noWrap/>
          </w:tcPr>
          <w:p w14:paraId="7C6E97AE" w14:textId="77777777" w:rsidR="007675CA" w:rsidRPr="00954B78" w:rsidRDefault="000F5B51" w:rsidP="007675CA">
            <w:pPr>
              <w:spacing w:after="0" w:line="240" w:lineRule="auto"/>
              <w:jc w:val="center"/>
              <w:rPr>
                <w:rFonts w:eastAsia="Times New Roman" w:cs="Times New Roman"/>
                <w:color w:val="000000"/>
                <w:szCs w:val="24"/>
              </w:rPr>
            </w:pPr>
            <w:r w:rsidRPr="0090368F">
              <w:t>0.8674</w:t>
            </w:r>
          </w:p>
        </w:tc>
        <w:tc>
          <w:tcPr>
            <w:tcW w:w="2114" w:type="dxa"/>
            <w:shd w:val="clear" w:color="auto" w:fill="auto"/>
            <w:noWrap/>
          </w:tcPr>
          <w:p w14:paraId="39BDE247" w14:textId="77777777" w:rsidR="007675CA" w:rsidRPr="00954B78" w:rsidRDefault="000F5B51" w:rsidP="007675CA">
            <w:pPr>
              <w:spacing w:after="0" w:line="240" w:lineRule="auto"/>
              <w:jc w:val="center"/>
              <w:rPr>
                <w:rFonts w:eastAsia="Times New Roman" w:cs="Times New Roman"/>
                <w:color w:val="000000"/>
                <w:szCs w:val="24"/>
              </w:rPr>
            </w:pPr>
            <w:r w:rsidRPr="000415DA">
              <w:t>5,103</w:t>
            </w:r>
          </w:p>
        </w:tc>
      </w:tr>
      <w:tr w:rsidR="00A15C2C" w14:paraId="5D43A4A8" w14:textId="77777777" w:rsidTr="00800C73">
        <w:trPr>
          <w:trHeight w:val="300"/>
          <w:jc w:val="center"/>
        </w:trPr>
        <w:tc>
          <w:tcPr>
            <w:tcW w:w="2065" w:type="dxa"/>
            <w:shd w:val="clear" w:color="auto" w:fill="auto"/>
            <w:noWrap/>
          </w:tcPr>
          <w:p w14:paraId="0F82DDB0" w14:textId="77777777" w:rsidR="007675CA" w:rsidRPr="00954B78" w:rsidRDefault="000F5B51" w:rsidP="007675CA">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3</w:t>
            </w:r>
          </w:p>
        </w:tc>
        <w:tc>
          <w:tcPr>
            <w:tcW w:w="2113" w:type="dxa"/>
            <w:shd w:val="clear" w:color="auto" w:fill="auto"/>
            <w:noWrap/>
          </w:tcPr>
          <w:p w14:paraId="2A7F5CB7" w14:textId="77777777" w:rsidR="007675CA" w:rsidRPr="00954B78" w:rsidRDefault="000F5B51" w:rsidP="007675CA">
            <w:pPr>
              <w:spacing w:after="0" w:line="240" w:lineRule="auto"/>
              <w:jc w:val="center"/>
              <w:rPr>
                <w:rFonts w:eastAsia="Times New Roman" w:cs="Times New Roman"/>
                <w:color w:val="000000"/>
                <w:szCs w:val="24"/>
              </w:rPr>
            </w:pPr>
            <w:r w:rsidRPr="000415DA">
              <w:t>798</w:t>
            </w:r>
          </w:p>
        </w:tc>
        <w:tc>
          <w:tcPr>
            <w:tcW w:w="2114" w:type="dxa"/>
            <w:shd w:val="clear" w:color="auto" w:fill="auto"/>
            <w:noWrap/>
          </w:tcPr>
          <w:p w14:paraId="73149FA9" w14:textId="77777777" w:rsidR="007675CA" w:rsidRPr="00954B78" w:rsidRDefault="000F5B51" w:rsidP="007675CA">
            <w:pPr>
              <w:spacing w:after="0" w:line="240" w:lineRule="auto"/>
              <w:jc w:val="center"/>
              <w:rPr>
                <w:rFonts w:eastAsia="Times New Roman" w:cs="Times New Roman"/>
                <w:color w:val="000000"/>
                <w:szCs w:val="24"/>
              </w:rPr>
            </w:pPr>
            <w:r w:rsidRPr="000415DA">
              <w:t>0.5</w:t>
            </w:r>
            <w:r w:rsidR="00635C8E">
              <w:t>00</w:t>
            </w:r>
          </w:p>
        </w:tc>
        <w:tc>
          <w:tcPr>
            <w:tcW w:w="2114" w:type="dxa"/>
            <w:shd w:val="clear" w:color="auto" w:fill="auto"/>
            <w:noWrap/>
          </w:tcPr>
          <w:p w14:paraId="793E05A9" w14:textId="77777777" w:rsidR="007675CA" w:rsidRPr="00954B78" w:rsidRDefault="000F5B51" w:rsidP="007675CA">
            <w:pPr>
              <w:spacing w:after="0" w:line="240" w:lineRule="auto"/>
              <w:jc w:val="center"/>
              <w:rPr>
                <w:rFonts w:eastAsia="Times New Roman" w:cs="Times New Roman"/>
                <w:color w:val="000000"/>
                <w:szCs w:val="24"/>
              </w:rPr>
            </w:pPr>
            <w:r w:rsidRPr="0090368F">
              <w:t>0.8674</w:t>
            </w:r>
          </w:p>
        </w:tc>
        <w:tc>
          <w:tcPr>
            <w:tcW w:w="2114" w:type="dxa"/>
            <w:shd w:val="clear" w:color="auto" w:fill="auto"/>
            <w:noWrap/>
          </w:tcPr>
          <w:p w14:paraId="5B6C1A8E" w14:textId="77777777" w:rsidR="007675CA" w:rsidRPr="00954B78" w:rsidRDefault="000F5B51" w:rsidP="007675CA">
            <w:pPr>
              <w:spacing w:after="0" w:line="240" w:lineRule="auto"/>
              <w:jc w:val="center"/>
              <w:rPr>
                <w:rFonts w:eastAsia="Times New Roman" w:cs="Times New Roman"/>
                <w:color w:val="000000"/>
                <w:szCs w:val="24"/>
              </w:rPr>
            </w:pPr>
            <w:r w:rsidRPr="000415DA">
              <w:t>1,409</w:t>
            </w:r>
          </w:p>
        </w:tc>
      </w:tr>
      <w:tr w:rsidR="00A15C2C" w14:paraId="377AA16B" w14:textId="77777777" w:rsidTr="00800C73">
        <w:trPr>
          <w:trHeight w:val="300"/>
          <w:jc w:val="center"/>
        </w:trPr>
        <w:tc>
          <w:tcPr>
            <w:tcW w:w="2065" w:type="dxa"/>
            <w:shd w:val="clear" w:color="auto" w:fill="auto"/>
            <w:noWrap/>
          </w:tcPr>
          <w:p w14:paraId="0710B087" w14:textId="77777777" w:rsidR="007675CA" w:rsidRPr="00954B78" w:rsidRDefault="000F5B51" w:rsidP="007675CA">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4</w:t>
            </w:r>
          </w:p>
        </w:tc>
        <w:tc>
          <w:tcPr>
            <w:tcW w:w="2113" w:type="dxa"/>
            <w:shd w:val="clear" w:color="auto" w:fill="auto"/>
            <w:noWrap/>
          </w:tcPr>
          <w:p w14:paraId="2650E94F" w14:textId="77777777" w:rsidR="007675CA" w:rsidRPr="00954B78" w:rsidRDefault="000F5B51" w:rsidP="007675CA">
            <w:pPr>
              <w:spacing w:after="0" w:line="240" w:lineRule="auto"/>
              <w:jc w:val="center"/>
              <w:rPr>
                <w:rFonts w:eastAsia="Times New Roman" w:cs="Times New Roman"/>
                <w:color w:val="000000"/>
                <w:szCs w:val="24"/>
              </w:rPr>
            </w:pPr>
            <w:r w:rsidRPr="000415DA">
              <w:t>576</w:t>
            </w:r>
          </w:p>
        </w:tc>
        <w:tc>
          <w:tcPr>
            <w:tcW w:w="2114" w:type="dxa"/>
            <w:shd w:val="clear" w:color="auto" w:fill="auto"/>
            <w:noWrap/>
          </w:tcPr>
          <w:p w14:paraId="0913535E" w14:textId="77777777" w:rsidR="007675CA" w:rsidRPr="00954B78" w:rsidRDefault="000F5B51" w:rsidP="007675CA">
            <w:pPr>
              <w:spacing w:after="0" w:line="240" w:lineRule="auto"/>
              <w:jc w:val="center"/>
              <w:rPr>
                <w:rFonts w:eastAsia="Times New Roman" w:cs="Times New Roman"/>
                <w:color w:val="000000"/>
                <w:szCs w:val="24"/>
              </w:rPr>
            </w:pPr>
            <w:r w:rsidRPr="000415DA">
              <w:t>0.5</w:t>
            </w:r>
            <w:r w:rsidR="00635C8E">
              <w:t>00</w:t>
            </w:r>
          </w:p>
        </w:tc>
        <w:tc>
          <w:tcPr>
            <w:tcW w:w="2114" w:type="dxa"/>
            <w:shd w:val="clear" w:color="auto" w:fill="auto"/>
            <w:noWrap/>
          </w:tcPr>
          <w:p w14:paraId="4572048E" w14:textId="77777777" w:rsidR="007675CA" w:rsidRPr="00954B78" w:rsidRDefault="000F5B51" w:rsidP="007675CA">
            <w:pPr>
              <w:spacing w:after="0" w:line="240" w:lineRule="auto"/>
              <w:jc w:val="center"/>
              <w:rPr>
                <w:rFonts w:eastAsia="Times New Roman" w:cs="Times New Roman"/>
                <w:color w:val="000000"/>
                <w:szCs w:val="24"/>
              </w:rPr>
            </w:pPr>
            <w:r w:rsidRPr="0090368F">
              <w:t>0.8674</w:t>
            </w:r>
          </w:p>
        </w:tc>
        <w:tc>
          <w:tcPr>
            <w:tcW w:w="2114" w:type="dxa"/>
            <w:shd w:val="clear" w:color="auto" w:fill="auto"/>
            <w:noWrap/>
          </w:tcPr>
          <w:p w14:paraId="42259965" w14:textId="77777777" w:rsidR="007675CA" w:rsidRPr="00954B78" w:rsidRDefault="000F5B51" w:rsidP="007675CA">
            <w:pPr>
              <w:spacing w:after="0" w:line="240" w:lineRule="auto"/>
              <w:jc w:val="center"/>
              <w:rPr>
                <w:rFonts w:eastAsia="Times New Roman" w:cs="Times New Roman"/>
                <w:color w:val="000000"/>
                <w:szCs w:val="24"/>
              </w:rPr>
            </w:pPr>
            <w:r w:rsidRPr="000415DA">
              <w:t>1,018</w:t>
            </w:r>
          </w:p>
        </w:tc>
      </w:tr>
      <w:tr w:rsidR="00A15C2C" w14:paraId="0773995E" w14:textId="77777777" w:rsidTr="00800C73">
        <w:trPr>
          <w:trHeight w:val="300"/>
          <w:jc w:val="center"/>
        </w:trPr>
        <w:tc>
          <w:tcPr>
            <w:tcW w:w="2065" w:type="dxa"/>
            <w:shd w:val="clear" w:color="auto" w:fill="auto"/>
            <w:noWrap/>
          </w:tcPr>
          <w:p w14:paraId="768F44A8" w14:textId="77777777" w:rsidR="007675CA" w:rsidRPr="00064F4A" w:rsidRDefault="000F5B51" w:rsidP="007675CA">
            <w:pPr>
              <w:spacing w:after="0" w:line="240" w:lineRule="auto"/>
              <w:rPr>
                <w:rFonts w:eastAsia="Times New Roman" w:cs="Times New Roman"/>
                <w:color w:val="000000"/>
                <w:szCs w:val="24"/>
              </w:rPr>
            </w:pPr>
            <w:r>
              <w:rPr>
                <w:rFonts w:eastAsia="Times New Roman" w:cs="Times New Roman"/>
                <w:color w:val="000000"/>
                <w:szCs w:val="24"/>
              </w:rPr>
              <w:t>MAIS 5</w:t>
            </w:r>
          </w:p>
        </w:tc>
        <w:tc>
          <w:tcPr>
            <w:tcW w:w="2113" w:type="dxa"/>
            <w:shd w:val="clear" w:color="auto" w:fill="auto"/>
            <w:noWrap/>
          </w:tcPr>
          <w:p w14:paraId="7149E979" w14:textId="77777777" w:rsidR="007675CA" w:rsidRPr="00954B78" w:rsidRDefault="000F5B51" w:rsidP="007675CA">
            <w:pPr>
              <w:spacing w:after="0" w:line="240" w:lineRule="auto"/>
              <w:jc w:val="center"/>
              <w:rPr>
                <w:rFonts w:eastAsia="Times New Roman" w:cs="Times New Roman"/>
                <w:color w:val="000000"/>
                <w:szCs w:val="24"/>
              </w:rPr>
            </w:pPr>
            <w:r w:rsidRPr="000415DA">
              <w:t>14</w:t>
            </w:r>
          </w:p>
        </w:tc>
        <w:tc>
          <w:tcPr>
            <w:tcW w:w="2114" w:type="dxa"/>
            <w:shd w:val="clear" w:color="auto" w:fill="auto"/>
            <w:noWrap/>
          </w:tcPr>
          <w:p w14:paraId="3B8EBE52" w14:textId="77777777" w:rsidR="007675CA" w:rsidRPr="00954B78" w:rsidRDefault="000F5B51" w:rsidP="007675CA">
            <w:pPr>
              <w:spacing w:after="0" w:line="240" w:lineRule="auto"/>
              <w:jc w:val="center"/>
              <w:rPr>
                <w:rFonts w:cs="Times New Roman"/>
                <w:color w:val="000000"/>
                <w:szCs w:val="24"/>
              </w:rPr>
            </w:pPr>
            <w:r w:rsidRPr="000415DA">
              <w:t>0.5</w:t>
            </w:r>
            <w:r w:rsidR="00635C8E">
              <w:t>00</w:t>
            </w:r>
          </w:p>
        </w:tc>
        <w:tc>
          <w:tcPr>
            <w:tcW w:w="2114" w:type="dxa"/>
            <w:shd w:val="clear" w:color="auto" w:fill="auto"/>
            <w:noWrap/>
          </w:tcPr>
          <w:p w14:paraId="6E2810E6" w14:textId="77777777" w:rsidR="007675CA" w:rsidRPr="00954B78" w:rsidRDefault="000F5B51" w:rsidP="007675CA">
            <w:pPr>
              <w:spacing w:after="0" w:line="240" w:lineRule="auto"/>
              <w:jc w:val="center"/>
              <w:rPr>
                <w:rFonts w:cs="Times New Roman"/>
                <w:color w:val="000000"/>
                <w:szCs w:val="24"/>
              </w:rPr>
            </w:pPr>
            <w:r w:rsidRPr="0090368F">
              <w:t>0.8674</w:t>
            </w:r>
          </w:p>
        </w:tc>
        <w:tc>
          <w:tcPr>
            <w:tcW w:w="2114" w:type="dxa"/>
            <w:shd w:val="clear" w:color="auto" w:fill="auto"/>
            <w:noWrap/>
          </w:tcPr>
          <w:p w14:paraId="121D41D7" w14:textId="77777777" w:rsidR="007675CA" w:rsidRPr="00954B78" w:rsidRDefault="000F5B51" w:rsidP="007675CA">
            <w:pPr>
              <w:spacing w:after="0" w:line="240" w:lineRule="auto"/>
              <w:jc w:val="center"/>
              <w:rPr>
                <w:rFonts w:cs="Times New Roman"/>
                <w:color w:val="000000"/>
                <w:szCs w:val="24"/>
              </w:rPr>
            </w:pPr>
            <w:r w:rsidRPr="000415DA">
              <w:t>24</w:t>
            </w:r>
          </w:p>
        </w:tc>
      </w:tr>
      <w:tr w:rsidR="00A15C2C" w14:paraId="2BF1E199" w14:textId="77777777" w:rsidTr="00800C73">
        <w:trPr>
          <w:trHeight w:val="300"/>
          <w:jc w:val="center"/>
        </w:trPr>
        <w:tc>
          <w:tcPr>
            <w:tcW w:w="2065" w:type="dxa"/>
            <w:shd w:val="clear" w:color="auto" w:fill="auto"/>
            <w:noWrap/>
            <w:vAlign w:val="bottom"/>
            <w:hideMark/>
          </w:tcPr>
          <w:p w14:paraId="78CF70D4" w14:textId="77777777" w:rsidR="007675CA" w:rsidRPr="00DA0C97" w:rsidRDefault="000F5B51" w:rsidP="007675CA">
            <w:pPr>
              <w:spacing w:after="0" w:line="240" w:lineRule="auto"/>
              <w:rPr>
                <w:rFonts w:eastAsia="Times New Roman" w:cs="Times New Roman"/>
                <w:color w:val="000000"/>
                <w:szCs w:val="24"/>
              </w:rPr>
            </w:pPr>
            <w:r w:rsidRPr="00DA0C97">
              <w:rPr>
                <w:rFonts w:eastAsia="Times New Roman" w:cs="Times New Roman"/>
                <w:color w:val="000000"/>
                <w:szCs w:val="24"/>
              </w:rPr>
              <w:t>Fatality</w:t>
            </w:r>
          </w:p>
        </w:tc>
        <w:tc>
          <w:tcPr>
            <w:tcW w:w="2113" w:type="dxa"/>
            <w:shd w:val="clear" w:color="auto" w:fill="auto"/>
            <w:noWrap/>
          </w:tcPr>
          <w:p w14:paraId="4928725F" w14:textId="77777777" w:rsidR="007675CA" w:rsidRPr="00934F2C" w:rsidRDefault="000F5B51" w:rsidP="007675CA">
            <w:pPr>
              <w:spacing w:after="0" w:line="240" w:lineRule="auto"/>
              <w:jc w:val="center"/>
              <w:rPr>
                <w:rFonts w:eastAsia="Times New Roman" w:cs="Times New Roman"/>
                <w:color w:val="000000"/>
                <w:szCs w:val="24"/>
              </w:rPr>
            </w:pPr>
            <w:r w:rsidRPr="000415DA">
              <w:t>1,427</w:t>
            </w:r>
          </w:p>
        </w:tc>
        <w:tc>
          <w:tcPr>
            <w:tcW w:w="2114" w:type="dxa"/>
            <w:shd w:val="clear" w:color="auto" w:fill="auto"/>
            <w:noWrap/>
          </w:tcPr>
          <w:p w14:paraId="2FB87C02" w14:textId="77777777" w:rsidR="007675CA" w:rsidRPr="00DA0C97" w:rsidRDefault="000F5B51" w:rsidP="007675CA">
            <w:pPr>
              <w:spacing w:after="0" w:line="240" w:lineRule="auto"/>
              <w:jc w:val="center"/>
              <w:rPr>
                <w:rFonts w:eastAsia="Times New Roman" w:cs="Times New Roman"/>
                <w:b/>
                <w:bCs/>
                <w:color w:val="000000"/>
                <w:szCs w:val="24"/>
              </w:rPr>
            </w:pPr>
            <w:r w:rsidRPr="000415DA">
              <w:t>0.44</w:t>
            </w:r>
            <w:r w:rsidR="00635C8E">
              <w:t>0</w:t>
            </w:r>
          </w:p>
        </w:tc>
        <w:tc>
          <w:tcPr>
            <w:tcW w:w="2114" w:type="dxa"/>
            <w:shd w:val="clear" w:color="auto" w:fill="auto"/>
            <w:noWrap/>
          </w:tcPr>
          <w:p w14:paraId="537A15DE" w14:textId="77777777" w:rsidR="007675CA" w:rsidRPr="00DA0C97" w:rsidRDefault="000F5B51" w:rsidP="007675CA">
            <w:pPr>
              <w:spacing w:after="0" w:line="240" w:lineRule="auto"/>
              <w:jc w:val="center"/>
              <w:rPr>
                <w:rFonts w:eastAsia="Times New Roman" w:cs="Times New Roman"/>
                <w:b/>
                <w:bCs/>
                <w:color w:val="000000"/>
                <w:szCs w:val="24"/>
              </w:rPr>
            </w:pPr>
            <w:r w:rsidRPr="0090368F">
              <w:t>0.7808</w:t>
            </w:r>
          </w:p>
        </w:tc>
        <w:tc>
          <w:tcPr>
            <w:tcW w:w="2114" w:type="dxa"/>
            <w:shd w:val="clear" w:color="auto" w:fill="auto"/>
            <w:noWrap/>
          </w:tcPr>
          <w:p w14:paraId="0DA5C7E2" w14:textId="77777777" w:rsidR="007675CA" w:rsidRPr="00DA0C97" w:rsidRDefault="000F5B51" w:rsidP="007675CA">
            <w:pPr>
              <w:spacing w:after="0" w:line="240" w:lineRule="auto"/>
              <w:jc w:val="center"/>
              <w:rPr>
                <w:rFonts w:eastAsia="Times New Roman" w:cs="Times New Roman"/>
                <w:b/>
                <w:bCs/>
                <w:color w:val="000000"/>
                <w:szCs w:val="24"/>
              </w:rPr>
            </w:pPr>
            <w:r w:rsidRPr="000415DA">
              <w:t>2,174</w:t>
            </w:r>
          </w:p>
        </w:tc>
      </w:tr>
      <w:tr w:rsidR="00A15C2C" w14:paraId="396DB7C1" w14:textId="77777777" w:rsidTr="00800C73">
        <w:trPr>
          <w:trHeight w:val="300"/>
          <w:jc w:val="center"/>
        </w:trPr>
        <w:tc>
          <w:tcPr>
            <w:tcW w:w="10520" w:type="dxa"/>
            <w:gridSpan w:val="5"/>
            <w:shd w:val="clear" w:color="auto" w:fill="D9D9D9" w:themeFill="background1" w:themeFillShade="D9"/>
            <w:noWrap/>
            <w:vAlign w:val="center"/>
          </w:tcPr>
          <w:p w14:paraId="796882C5" w14:textId="77777777" w:rsidR="001B6292" w:rsidRPr="00012598" w:rsidRDefault="000F5B51" w:rsidP="00800C73">
            <w:pPr>
              <w:spacing w:after="0" w:line="240" w:lineRule="auto"/>
              <w:ind w:firstLineChars="100" w:firstLine="241"/>
              <w:jc w:val="center"/>
              <w:rPr>
                <w:rFonts w:eastAsia="Times New Roman" w:cs="Times New Roman"/>
                <w:b/>
                <w:bCs/>
                <w:i/>
                <w:iCs/>
                <w:color w:val="000000"/>
                <w:szCs w:val="24"/>
              </w:rPr>
            </w:pPr>
            <w:r>
              <w:rPr>
                <w:rFonts w:eastAsia="Times New Roman" w:cs="Times New Roman"/>
                <w:b/>
                <w:bCs/>
                <w:i/>
                <w:iCs/>
                <w:color w:val="000000"/>
                <w:szCs w:val="24"/>
              </w:rPr>
              <w:t>Light Trucks</w:t>
            </w:r>
          </w:p>
        </w:tc>
      </w:tr>
      <w:tr w:rsidR="00A15C2C" w14:paraId="1F0781F6" w14:textId="77777777" w:rsidTr="00800C73">
        <w:trPr>
          <w:trHeight w:val="300"/>
          <w:jc w:val="center"/>
        </w:trPr>
        <w:tc>
          <w:tcPr>
            <w:tcW w:w="2065" w:type="dxa"/>
            <w:shd w:val="clear" w:color="auto" w:fill="auto"/>
            <w:noWrap/>
            <w:vAlign w:val="bottom"/>
            <w:hideMark/>
          </w:tcPr>
          <w:p w14:paraId="412F2814" w14:textId="77777777" w:rsidR="007675CA" w:rsidRPr="00954B78" w:rsidRDefault="000F5B51" w:rsidP="007675CA">
            <w:pPr>
              <w:spacing w:after="0" w:line="240" w:lineRule="auto"/>
              <w:rPr>
                <w:rFonts w:eastAsia="Times New Roman" w:cs="Times New Roman"/>
                <w:color w:val="000000"/>
                <w:szCs w:val="24"/>
              </w:rPr>
            </w:pPr>
            <w:r>
              <w:rPr>
                <w:rFonts w:eastAsia="Times New Roman" w:cs="Times New Roman"/>
                <w:color w:val="000000"/>
                <w:szCs w:val="24"/>
              </w:rPr>
              <w:t>MAIS 1</w:t>
            </w:r>
          </w:p>
        </w:tc>
        <w:tc>
          <w:tcPr>
            <w:tcW w:w="2113" w:type="dxa"/>
            <w:shd w:val="clear" w:color="auto" w:fill="auto"/>
            <w:noWrap/>
          </w:tcPr>
          <w:p w14:paraId="49214D40" w14:textId="77777777" w:rsidR="007675CA" w:rsidRPr="00954B78" w:rsidRDefault="000F5B51" w:rsidP="007675CA">
            <w:pPr>
              <w:spacing w:after="0" w:line="240" w:lineRule="auto"/>
              <w:jc w:val="center"/>
              <w:rPr>
                <w:rFonts w:eastAsia="Times New Roman" w:cs="Times New Roman"/>
                <w:color w:val="000000"/>
                <w:szCs w:val="24"/>
              </w:rPr>
            </w:pPr>
            <w:r w:rsidRPr="00114B99">
              <w:t>4,033</w:t>
            </w:r>
          </w:p>
        </w:tc>
        <w:tc>
          <w:tcPr>
            <w:tcW w:w="2114" w:type="dxa"/>
            <w:shd w:val="clear" w:color="auto" w:fill="auto"/>
            <w:noWrap/>
          </w:tcPr>
          <w:p w14:paraId="1D9D5CC1" w14:textId="77777777" w:rsidR="007675CA" w:rsidRPr="00954B78" w:rsidRDefault="000F5B51" w:rsidP="007675CA">
            <w:pPr>
              <w:spacing w:after="0" w:line="240" w:lineRule="auto"/>
              <w:jc w:val="center"/>
              <w:rPr>
                <w:rFonts w:eastAsia="Times New Roman" w:cs="Times New Roman"/>
                <w:color w:val="000000"/>
                <w:szCs w:val="24"/>
              </w:rPr>
            </w:pPr>
            <w:r w:rsidRPr="00114B99">
              <w:t>0.055</w:t>
            </w:r>
          </w:p>
        </w:tc>
        <w:tc>
          <w:tcPr>
            <w:tcW w:w="2114" w:type="dxa"/>
            <w:shd w:val="clear" w:color="auto" w:fill="auto"/>
            <w:noWrap/>
          </w:tcPr>
          <w:p w14:paraId="38FC1D0C" w14:textId="77777777" w:rsidR="007675CA" w:rsidRPr="00954B78" w:rsidRDefault="000F5B51" w:rsidP="007675CA">
            <w:pPr>
              <w:spacing w:after="0" w:line="240" w:lineRule="auto"/>
              <w:jc w:val="center"/>
              <w:rPr>
                <w:rFonts w:eastAsia="Times New Roman" w:cs="Times New Roman"/>
                <w:color w:val="000000"/>
                <w:szCs w:val="24"/>
              </w:rPr>
            </w:pPr>
            <w:r w:rsidRPr="003E0C4D">
              <w:t>0.8674</w:t>
            </w:r>
          </w:p>
        </w:tc>
        <w:tc>
          <w:tcPr>
            <w:tcW w:w="2114" w:type="dxa"/>
            <w:shd w:val="clear" w:color="auto" w:fill="auto"/>
            <w:noWrap/>
          </w:tcPr>
          <w:p w14:paraId="3AF33365" w14:textId="77777777" w:rsidR="007675CA" w:rsidRPr="00954B78" w:rsidRDefault="000F5B51" w:rsidP="007675CA">
            <w:pPr>
              <w:spacing w:after="0" w:line="240" w:lineRule="auto"/>
              <w:jc w:val="center"/>
              <w:rPr>
                <w:rFonts w:eastAsia="Times New Roman" w:cs="Times New Roman"/>
                <w:color w:val="000000"/>
                <w:szCs w:val="24"/>
              </w:rPr>
            </w:pPr>
            <w:r w:rsidRPr="00114B99">
              <w:t>4,235</w:t>
            </w:r>
          </w:p>
        </w:tc>
      </w:tr>
      <w:tr w:rsidR="00A15C2C" w14:paraId="59A8072C" w14:textId="77777777" w:rsidTr="00800C73">
        <w:trPr>
          <w:trHeight w:val="300"/>
          <w:jc w:val="center"/>
        </w:trPr>
        <w:tc>
          <w:tcPr>
            <w:tcW w:w="2065" w:type="dxa"/>
            <w:shd w:val="clear" w:color="auto" w:fill="auto"/>
            <w:noWrap/>
            <w:hideMark/>
          </w:tcPr>
          <w:p w14:paraId="7E116CCA" w14:textId="77777777" w:rsidR="007675CA" w:rsidRPr="00954B78" w:rsidRDefault="000F5B51" w:rsidP="007675CA">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2</w:t>
            </w:r>
          </w:p>
        </w:tc>
        <w:tc>
          <w:tcPr>
            <w:tcW w:w="2113" w:type="dxa"/>
            <w:shd w:val="clear" w:color="auto" w:fill="auto"/>
            <w:noWrap/>
          </w:tcPr>
          <w:p w14:paraId="7D878AF3" w14:textId="77777777" w:rsidR="007675CA" w:rsidRPr="00954B78" w:rsidRDefault="000F5B51" w:rsidP="007675CA">
            <w:pPr>
              <w:spacing w:after="0" w:line="240" w:lineRule="auto"/>
              <w:jc w:val="center"/>
              <w:rPr>
                <w:rFonts w:eastAsia="Times New Roman" w:cs="Times New Roman"/>
                <w:color w:val="000000"/>
                <w:szCs w:val="24"/>
              </w:rPr>
            </w:pPr>
            <w:r w:rsidRPr="00114B99">
              <w:t>1,370</w:t>
            </w:r>
          </w:p>
        </w:tc>
        <w:tc>
          <w:tcPr>
            <w:tcW w:w="2114" w:type="dxa"/>
            <w:shd w:val="clear" w:color="auto" w:fill="auto"/>
            <w:noWrap/>
          </w:tcPr>
          <w:p w14:paraId="53EA78FF" w14:textId="77777777" w:rsidR="007675CA" w:rsidRPr="00954B78" w:rsidRDefault="000F5B51" w:rsidP="007675CA">
            <w:pPr>
              <w:spacing w:after="0" w:line="240" w:lineRule="auto"/>
              <w:jc w:val="center"/>
              <w:rPr>
                <w:rFonts w:eastAsia="Times New Roman" w:cs="Times New Roman"/>
                <w:color w:val="000000"/>
                <w:szCs w:val="24"/>
              </w:rPr>
            </w:pPr>
            <w:r w:rsidRPr="00114B99">
              <w:t>0.5</w:t>
            </w:r>
            <w:r w:rsidR="00635C8E">
              <w:t>00</w:t>
            </w:r>
          </w:p>
        </w:tc>
        <w:tc>
          <w:tcPr>
            <w:tcW w:w="2114" w:type="dxa"/>
            <w:shd w:val="clear" w:color="auto" w:fill="auto"/>
            <w:noWrap/>
          </w:tcPr>
          <w:p w14:paraId="6530BE0E" w14:textId="77777777" w:rsidR="007675CA" w:rsidRPr="00954B78" w:rsidRDefault="000F5B51" w:rsidP="007675CA">
            <w:pPr>
              <w:spacing w:after="0" w:line="240" w:lineRule="auto"/>
              <w:jc w:val="center"/>
              <w:rPr>
                <w:rFonts w:eastAsia="Times New Roman" w:cs="Times New Roman"/>
                <w:color w:val="000000"/>
                <w:szCs w:val="24"/>
              </w:rPr>
            </w:pPr>
            <w:r w:rsidRPr="003E0C4D">
              <w:t>0.8674</w:t>
            </w:r>
          </w:p>
        </w:tc>
        <w:tc>
          <w:tcPr>
            <w:tcW w:w="2114" w:type="dxa"/>
            <w:shd w:val="clear" w:color="auto" w:fill="auto"/>
            <w:noWrap/>
          </w:tcPr>
          <w:p w14:paraId="19F7FCC0" w14:textId="77777777" w:rsidR="007675CA" w:rsidRPr="00954B78" w:rsidRDefault="000F5B51" w:rsidP="007675CA">
            <w:pPr>
              <w:spacing w:after="0" w:line="240" w:lineRule="auto"/>
              <w:jc w:val="center"/>
              <w:rPr>
                <w:rFonts w:eastAsia="Times New Roman" w:cs="Times New Roman"/>
                <w:color w:val="000000"/>
                <w:szCs w:val="24"/>
              </w:rPr>
            </w:pPr>
            <w:r w:rsidRPr="00114B99">
              <w:t>2,419</w:t>
            </w:r>
          </w:p>
        </w:tc>
      </w:tr>
      <w:tr w:rsidR="00A15C2C" w14:paraId="642AA738" w14:textId="77777777" w:rsidTr="00800C73">
        <w:trPr>
          <w:trHeight w:val="300"/>
          <w:jc w:val="center"/>
        </w:trPr>
        <w:tc>
          <w:tcPr>
            <w:tcW w:w="2065" w:type="dxa"/>
            <w:shd w:val="clear" w:color="auto" w:fill="auto"/>
            <w:noWrap/>
          </w:tcPr>
          <w:p w14:paraId="1E281062" w14:textId="77777777" w:rsidR="007675CA" w:rsidRPr="00064F4A" w:rsidRDefault="000F5B51" w:rsidP="007675CA">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3</w:t>
            </w:r>
          </w:p>
        </w:tc>
        <w:tc>
          <w:tcPr>
            <w:tcW w:w="2113" w:type="dxa"/>
            <w:shd w:val="clear" w:color="auto" w:fill="auto"/>
            <w:noWrap/>
          </w:tcPr>
          <w:p w14:paraId="02093A93" w14:textId="77777777" w:rsidR="007675CA" w:rsidRPr="00954B78" w:rsidRDefault="000F5B51" w:rsidP="007675CA">
            <w:pPr>
              <w:spacing w:after="0" w:line="240" w:lineRule="auto"/>
              <w:jc w:val="center"/>
              <w:rPr>
                <w:rFonts w:cs="Times New Roman"/>
                <w:color w:val="000000"/>
                <w:szCs w:val="24"/>
              </w:rPr>
            </w:pPr>
            <w:r w:rsidRPr="00114B99">
              <w:t>9</w:t>
            </w:r>
          </w:p>
        </w:tc>
        <w:tc>
          <w:tcPr>
            <w:tcW w:w="2114" w:type="dxa"/>
            <w:shd w:val="clear" w:color="auto" w:fill="auto"/>
            <w:noWrap/>
          </w:tcPr>
          <w:p w14:paraId="3718CB01" w14:textId="77777777" w:rsidR="007675CA" w:rsidRPr="00954B78" w:rsidRDefault="000F5B51" w:rsidP="007675CA">
            <w:pPr>
              <w:spacing w:after="0" w:line="240" w:lineRule="auto"/>
              <w:jc w:val="center"/>
              <w:rPr>
                <w:rFonts w:cs="Times New Roman"/>
                <w:color w:val="000000"/>
                <w:szCs w:val="24"/>
              </w:rPr>
            </w:pPr>
            <w:r w:rsidRPr="00114B99">
              <w:t>0.5</w:t>
            </w:r>
            <w:r w:rsidR="00635C8E">
              <w:t>00</w:t>
            </w:r>
          </w:p>
        </w:tc>
        <w:tc>
          <w:tcPr>
            <w:tcW w:w="2114" w:type="dxa"/>
            <w:shd w:val="clear" w:color="auto" w:fill="auto"/>
            <w:noWrap/>
          </w:tcPr>
          <w:p w14:paraId="4D30C8A5" w14:textId="77777777" w:rsidR="007675CA" w:rsidRPr="00954B78" w:rsidRDefault="000F5B51" w:rsidP="007675CA">
            <w:pPr>
              <w:spacing w:after="0" w:line="240" w:lineRule="auto"/>
              <w:jc w:val="center"/>
              <w:rPr>
                <w:rFonts w:cs="Times New Roman"/>
                <w:color w:val="000000"/>
                <w:szCs w:val="24"/>
              </w:rPr>
            </w:pPr>
            <w:r w:rsidRPr="003E0C4D">
              <w:t>0.8674</w:t>
            </w:r>
          </w:p>
        </w:tc>
        <w:tc>
          <w:tcPr>
            <w:tcW w:w="2114" w:type="dxa"/>
            <w:shd w:val="clear" w:color="auto" w:fill="auto"/>
            <w:noWrap/>
          </w:tcPr>
          <w:p w14:paraId="638E4645" w14:textId="77777777" w:rsidR="007675CA" w:rsidRPr="00954B78" w:rsidRDefault="000F5B51" w:rsidP="007675CA">
            <w:pPr>
              <w:spacing w:after="0" w:line="240" w:lineRule="auto"/>
              <w:jc w:val="center"/>
              <w:rPr>
                <w:rFonts w:cs="Times New Roman"/>
                <w:color w:val="000000"/>
                <w:szCs w:val="24"/>
              </w:rPr>
            </w:pPr>
            <w:r w:rsidRPr="00114B99">
              <w:t>17</w:t>
            </w:r>
          </w:p>
        </w:tc>
      </w:tr>
      <w:tr w:rsidR="00A15C2C" w14:paraId="61A05E1F" w14:textId="77777777" w:rsidTr="00800C73">
        <w:trPr>
          <w:trHeight w:val="300"/>
          <w:jc w:val="center"/>
        </w:trPr>
        <w:tc>
          <w:tcPr>
            <w:tcW w:w="2065" w:type="dxa"/>
            <w:shd w:val="clear" w:color="auto" w:fill="auto"/>
            <w:noWrap/>
          </w:tcPr>
          <w:p w14:paraId="535E0D99" w14:textId="77777777" w:rsidR="007675CA" w:rsidRPr="00064F4A" w:rsidRDefault="000F5B51" w:rsidP="007675CA">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4</w:t>
            </w:r>
          </w:p>
        </w:tc>
        <w:tc>
          <w:tcPr>
            <w:tcW w:w="2113" w:type="dxa"/>
            <w:shd w:val="clear" w:color="auto" w:fill="auto"/>
            <w:noWrap/>
          </w:tcPr>
          <w:p w14:paraId="5A3C82E4" w14:textId="77777777" w:rsidR="007675CA" w:rsidRPr="00954B78" w:rsidRDefault="000F5B51" w:rsidP="007675CA">
            <w:pPr>
              <w:spacing w:after="0" w:line="240" w:lineRule="auto"/>
              <w:jc w:val="center"/>
              <w:rPr>
                <w:rFonts w:cs="Times New Roman"/>
                <w:color w:val="000000"/>
                <w:szCs w:val="24"/>
              </w:rPr>
            </w:pPr>
            <w:r w:rsidRPr="00114B99">
              <w:t>65</w:t>
            </w:r>
          </w:p>
        </w:tc>
        <w:tc>
          <w:tcPr>
            <w:tcW w:w="2114" w:type="dxa"/>
            <w:shd w:val="clear" w:color="auto" w:fill="auto"/>
            <w:noWrap/>
          </w:tcPr>
          <w:p w14:paraId="5E765CA3" w14:textId="77777777" w:rsidR="007675CA" w:rsidRPr="00954B78" w:rsidRDefault="000F5B51" w:rsidP="007675CA">
            <w:pPr>
              <w:spacing w:after="0" w:line="240" w:lineRule="auto"/>
              <w:jc w:val="center"/>
              <w:rPr>
                <w:rFonts w:cs="Times New Roman"/>
                <w:color w:val="000000"/>
                <w:szCs w:val="24"/>
              </w:rPr>
            </w:pPr>
            <w:r w:rsidRPr="00114B99">
              <w:t>0.5</w:t>
            </w:r>
            <w:r w:rsidR="00635C8E">
              <w:t>00</w:t>
            </w:r>
          </w:p>
        </w:tc>
        <w:tc>
          <w:tcPr>
            <w:tcW w:w="2114" w:type="dxa"/>
            <w:shd w:val="clear" w:color="auto" w:fill="auto"/>
            <w:noWrap/>
          </w:tcPr>
          <w:p w14:paraId="7DCCC40F" w14:textId="77777777" w:rsidR="007675CA" w:rsidRPr="00954B78" w:rsidRDefault="000F5B51" w:rsidP="007675CA">
            <w:pPr>
              <w:spacing w:after="0" w:line="240" w:lineRule="auto"/>
              <w:jc w:val="center"/>
              <w:rPr>
                <w:rFonts w:cs="Times New Roman"/>
                <w:color w:val="000000"/>
                <w:szCs w:val="24"/>
              </w:rPr>
            </w:pPr>
            <w:r w:rsidRPr="003E0C4D">
              <w:t>0.8674</w:t>
            </w:r>
          </w:p>
        </w:tc>
        <w:tc>
          <w:tcPr>
            <w:tcW w:w="2114" w:type="dxa"/>
            <w:shd w:val="clear" w:color="auto" w:fill="auto"/>
            <w:noWrap/>
          </w:tcPr>
          <w:p w14:paraId="338A7467" w14:textId="77777777" w:rsidR="007675CA" w:rsidRPr="00954B78" w:rsidRDefault="000F5B51" w:rsidP="007675CA">
            <w:pPr>
              <w:spacing w:after="0" w:line="240" w:lineRule="auto"/>
              <w:jc w:val="center"/>
              <w:rPr>
                <w:rFonts w:cs="Times New Roman"/>
                <w:color w:val="000000"/>
                <w:szCs w:val="24"/>
              </w:rPr>
            </w:pPr>
            <w:r w:rsidRPr="00114B99">
              <w:t>114</w:t>
            </w:r>
          </w:p>
        </w:tc>
      </w:tr>
      <w:tr w:rsidR="00A15C2C" w14:paraId="4A2DB47E" w14:textId="77777777" w:rsidTr="00800C73">
        <w:trPr>
          <w:trHeight w:val="300"/>
          <w:jc w:val="center"/>
        </w:trPr>
        <w:tc>
          <w:tcPr>
            <w:tcW w:w="2065" w:type="dxa"/>
            <w:shd w:val="clear" w:color="auto" w:fill="auto"/>
            <w:noWrap/>
          </w:tcPr>
          <w:p w14:paraId="6047A8C5" w14:textId="77777777" w:rsidR="007675CA" w:rsidRPr="00064F4A" w:rsidRDefault="000F5B51" w:rsidP="007675CA">
            <w:pPr>
              <w:spacing w:after="0" w:line="240" w:lineRule="auto"/>
              <w:rPr>
                <w:rFonts w:eastAsia="Times New Roman" w:cs="Times New Roman"/>
                <w:color w:val="000000"/>
                <w:szCs w:val="24"/>
              </w:rPr>
            </w:pPr>
            <w:r>
              <w:rPr>
                <w:rFonts w:eastAsia="Times New Roman" w:cs="Times New Roman"/>
                <w:color w:val="000000"/>
                <w:szCs w:val="24"/>
              </w:rPr>
              <w:t>MAIS 5</w:t>
            </w:r>
          </w:p>
        </w:tc>
        <w:tc>
          <w:tcPr>
            <w:tcW w:w="2113" w:type="dxa"/>
            <w:shd w:val="clear" w:color="auto" w:fill="auto"/>
            <w:noWrap/>
          </w:tcPr>
          <w:p w14:paraId="382281C8" w14:textId="77777777" w:rsidR="007675CA" w:rsidRPr="00954B78" w:rsidRDefault="000F5B51" w:rsidP="007675CA">
            <w:pPr>
              <w:spacing w:after="0" w:line="240" w:lineRule="auto"/>
              <w:jc w:val="center"/>
              <w:rPr>
                <w:rFonts w:cs="Times New Roman"/>
                <w:color w:val="000000"/>
                <w:szCs w:val="24"/>
              </w:rPr>
            </w:pPr>
            <w:r w:rsidRPr="00114B99">
              <w:t>4</w:t>
            </w:r>
          </w:p>
        </w:tc>
        <w:tc>
          <w:tcPr>
            <w:tcW w:w="2114" w:type="dxa"/>
            <w:shd w:val="clear" w:color="auto" w:fill="auto"/>
            <w:noWrap/>
          </w:tcPr>
          <w:p w14:paraId="1ED9A4EF" w14:textId="77777777" w:rsidR="007675CA" w:rsidRPr="00954B78" w:rsidRDefault="000F5B51" w:rsidP="007675CA">
            <w:pPr>
              <w:spacing w:after="0" w:line="240" w:lineRule="auto"/>
              <w:jc w:val="center"/>
              <w:rPr>
                <w:rFonts w:cs="Times New Roman"/>
                <w:color w:val="000000"/>
                <w:szCs w:val="24"/>
              </w:rPr>
            </w:pPr>
            <w:r w:rsidRPr="00114B99">
              <w:t>0.5</w:t>
            </w:r>
            <w:r w:rsidR="00635C8E">
              <w:t>00</w:t>
            </w:r>
          </w:p>
        </w:tc>
        <w:tc>
          <w:tcPr>
            <w:tcW w:w="2114" w:type="dxa"/>
            <w:shd w:val="clear" w:color="auto" w:fill="auto"/>
            <w:noWrap/>
          </w:tcPr>
          <w:p w14:paraId="1E991F0C" w14:textId="77777777" w:rsidR="007675CA" w:rsidRPr="00954B78" w:rsidRDefault="000F5B51" w:rsidP="007675CA">
            <w:pPr>
              <w:spacing w:after="0" w:line="240" w:lineRule="auto"/>
              <w:jc w:val="center"/>
              <w:rPr>
                <w:rFonts w:cs="Times New Roman"/>
                <w:color w:val="000000"/>
                <w:szCs w:val="24"/>
              </w:rPr>
            </w:pPr>
            <w:r w:rsidRPr="003E0C4D">
              <w:t>0.8674</w:t>
            </w:r>
          </w:p>
        </w:tc>
        <w:tc>
          <w:tcPr>
            <w:tcW w:w="2114" w:type="dxa"/>
            <w:shd w:val="clear" w:color="auto" w:fill="auto"/>
            <w:noWrap/>
          </w:tcPr>
          <w:p w14:paraId="7348C801" w14:textId="77777777" w:rsidR="007675CA" w:rsidRPr="00954B78" w:rsidRDefault="000F5B51" w:rsidP="007675CA">
            <w:pPr>
              <w:spacing w:after="0" w:line="240" w:lineRule="auto"/>
              <w:jc w:val="center"/>
              <w:rPr>
                <w:rFonts w:cs="Times New Roman"/>
                <w:color w:val="000000"/>
                <w:szCs w:val="24"/>
              </w:rPr>
            </w:pPr>
            <w:r w:rsidRPr="00114B99">
              <w:t>8</w:t>
            </w:r>
          </w:p>
        </w:tc>
      </w:tr>
      <w:tr w:rsidR="00A15C2C" w14:paraId="65EE7B73" w14:textId="77777777" w:rsidTr="00800C73">
        <w:trPr>
          <w:trHeight w:val="300"/>
          <w:jc w:val="center"/>
        </w:trPr>
        <w:tc>
          <w:tcPr>
            <w:tcW w:w="2065" w:type="dxa"/>
            <w:shd w:val="clear" w:color="auto" w:fill="auto"/>
            <w:noWrap/>
            <w:vAlign w:val="bottom"/>
            <w:hideMark/>
          </w:tcPr>
          <w:p w14:paraId="56720F6D" w14:textId="77777777" w:rsidR="007675CA" w:rsidRPr="00DA0C97" w:rsidRDefault="000F5B51" w:rsidP="007675CA">
            <w:pPr>
              <w:spacing w:after="0" w:line="240" w:lineRule="auto"/>
              <w:rPr>
                <w:rFonts w:eastAsia="Times New Roman" w:cs="Times New Roman"/>
                <w:color w:val="000000"/>
                <w:szCs w:val="24"/>
              </w:rPr>
            </w:pPr>
            <w:r w:rsidRPr="00DA0C97">
              <w:rPr>
                <w:rFonts w:eastAsia="Times New Roman" w:cs="Times New Roman"/>
                <w:color w:val="000000"/>
                <w:szCs w:val="24"/>
              </w:rPr>
              <w:t>Fatality</w:t>
            </w:r>
          </w:p>
        </w:tc>
        <w:tc>
          <w:tcPr>
            <w:tcW w:w="2113" w:type="dxa"/>
            <w:shd w:val="clear" w:color="auto" w:fill="auto"/>
            <w:noWrap/>
          </w:tcPr>
          <w:p w14:paraId="70C6B7A4" w14:textId="77777777" w:rsidR="007675CA" w:rsidRPr="00934F2C" w:rsidRDefault="000F5B51" w:rsidP="007675CA">
            <w:pPr>
              <w:spacing w:after="0" w:line="240" w:lineRule="auto"/>
              <w:jc w:val="center"/>
              <w:rPr>
                <w:rFonts w:eastAsia="Times New Roman" w:cs="Times New Roman"/>
                <w:b/>
                <w:bCs/>
                <w:color w:val="000000"/>
                <w:szCs w:val="24"/>
              </w:rPr>
            </w:pPr>
            <w:r w:rsidRPr="00114B99">
              <w:t>837</w:t>
            </w:r>
          </w:p>
        </w:tc>
        <w:tc>
          <w:tcPr>
            <w:tcW w:w="2114" w:type="dxa"/>
            <w:shd w:val="clear" w:color="auto" w:fill="auto"/>
            <w:noWrap/>
          </w:tcPr>
          <w:p w14:paraId="127FEFC3" w14:textId="77777777" w:rsidR="007675CA" w:rsidRPr="006D32C0" w:rsidRDefault="000F5B51" w:rsidP="007675CA">
            <w:pPr>
              <w:spacing w:after="0" w:line="240" w:lineRule="auto"/>
              <w:jc w:val="center"/>
              <w:rPr>
                <w:rFonts w:eastAsia="Times New Roman" w:cs="Times New Roman"/>
                <w:b/>
                <w:bCs/>
                <w:color w:val="000000"/>
                <w:szCs w:val="24"/>
              </w:rPr>
            </w:pPr>
            <w:r w:rsidRPr="00114B99">
              <w:t>0.73</w:t>
            </w:r>
            <w:r w:rsidR="00635C8E">
              <w:t>0</w:t>
            </w:r>
          </w:p>
        </w:tc>
        <w:tc>
          <w:tcPr>
            <w:tcW w:w="2114" w:type="dxa"/>
            <w:shd w:val="clear" w:color="auto" w:fill="auto"/>
            <w:noWrap/>
          </w:tcPr>
          <w:p w14:paraId="511DD5F1" w14:textId="77777777" w:rsidR="007675CA" w:rsidRPr="006D32C0" w:rsidRDefault="000F5B51" w:rsidP="007675CA">
            <w:pPr>
              <w:spacing w:after="0" w:line="240" w:lineRule="auto"/>
              <w:jc w:val="center"/>
              <w:rPr>
                <w:rFonts w:eastAsia="Times New Roman" w:cs="Times New Roman"/>
                <w:b/>
                <w:bCs/>
                <w:color w:val="000000"/>
                <w:szCs w:val="24"/>
              </w:rPr>
            </w:pPr>
            <w:r w:rsidRPr="003E0C4D">
              <w:t>0.7808</w:t>
            </w:r>
          </w:p>
        </w:tc>
        <w:tc>
          <w:tcPr>
            <w:tcW w:w="2114" w:type="dxa"/>
            <w:shd w:val="clear" w:color="auto" w:fill="auto"/>
            <w:noWrap/>
          </w:tcPr>
          <w:p w14:paraId="00A5710C" w14:textId="77777777" w:rsidR="007675CA" w:rsidRPr="00934F2C" w:rsidRDefault="000F5B51" w:rsidP="007675CA">
            <w:pPr>
              <w:spacing w:after="0" w:line="240" w:lineRule="auto"/>
              <w:jc w:val="center"/>
              <w:rPr>
                <w:rFonts w:eastAsia="Times New Roman" w:cs="Times New Roman"/>
                <w:b/>
                <w:bCs/>
                <w:color w:val="000000"/>
                <w:szCs w:val="24"/>
              </w:rPr>
            </w:pPr>
            <w:r w:rsidRPr="00114B99">
              <w:t>1,946</w:t>
            </w:r>
          </w:p>
        </w:tc>
      </w:tr>
    </w:tbl>
    <w:p w14:paraId="0902DD6C" w14:textId="77777777" w:rsidR="001B6292" w:rsidRPr="00DA0C97" w:rsidRDefault="000F5B51" w:rsidP="001B6292">
      <w:pPr>
        <w:pStyle w:val="NoSpaceTimes"/>
        <w:jc w:val="left"/>
        <w:rPr>
          <w:sz w:val="18"/>
          <w:szCs w:val="18"/>
        </w:rPr>
      </w:pPr>
      <w:r w:rsidRPr="00DA0C97">
        <w:rPr>
          <w:sz w:val="18"/>
          <w:szCs w:val="18"/>
        </w:rPr>
        <w:t>Note: Values may not sum due to rounding. Totals are rounded to the nearest whole number for presentation purposes.</w:t>
      </w:r>
    </w:p>
    <w:p w14:paraId="4DF533BA" w14:textId="77777777" w:rsidR="00F47E53" w:rsidRDefault="00F47E53" w:rsidP="00CC60EF">
      <w:pPr>
        <w:rPr>
          <w:rFonts w:eastAsia="Times New Roman" w:cs="Times New Roman"/>
          <w:szCs w:val="24"/>
        </w:rPr>
      </w:pPr>
    </w:p>
    <w:p w14:paraId="52CE48F3" w14:textId="31A5ED48" w:rsidR="009B78DF" w:rsidRDefault="000F5B51" w:rsidP="00CC60EF">
      <w:pPr>
        <w:rPr>
          <w:rFonts w:eastAsia="Times New Roman" w:cs="Times New Roman"/>
          <w:szCs w:val="24"/>
        </w:rPr>
        <w:sectPr w:rsidR="009B78DF" w:rsidSect="00A94EFF">
          <w:pgSz w:w="12240" w:h="15840" w:code="1"/>
          <w:pgMar w:top="1440" w:right="1440" w:bottom="1440" w:left="1440" w:header="720" w:footer="720" w:gutter="0"/>
          <w:cols w:space="720"/>
          <w:docGrid w:linePitch="360"/>
        </w:sectPr>
      </w:pPr>
      <w:r>
        <w:lastRenderedPageBreak/>
        <w:fldChar w:fldCharType="begin"/>
      </w:r>
      <w:r>
        <w:instrText xml:space="preserve"> REF _Ref127348733 \h </w:instrText>
      </w:r>
      <w:r>
        <w:fldChar w:fldCharType="separate"/>
      </w:r>
      <w:r w:rsidR="00A65CB3" w:rsidRPr="00DA0C97">
        <w:t xml:space="preserve">Table </w:t>
      </w:r>
      <w:r w:rsidR="00A65CB3">
        <w:rPr>
          <w:noProof/>
        </w:rPr>
        <w:t>56</w:t>
      </w:r>
      <w:r>
        <w:fldChar w:fldCharType="end"/>
      </w:r>
      <w:r>
        <w:t xml:space="preserve"> and </w:t>
      </w:r>
      <w:r>
        <w:fldChar w:fldCharType="begin"/>
      </w:r>
      <w:r>
        <w:instrText xml:space="preserve"> REF _Ref127348738 \h </w:instrText>
      </w:r>
      <w:r>
        <w:fldChar w:fldCharType="separate"/>
      </w:r>
      <w:r w:rsidR="00A65CB3" w:rsidRPr="00DA0C97">
        <w:t xml:space="preserve">Table </w:t>
      </w:r>
      <w:r w:rsidR="00A65CB3">
        <w:rPr>
          <w:noProof/>
        </w:rPr>
        <w:t>57</w:t>
      </w:r>
      <w:r>
        <w:fldChar w:fldCharType="end"/>
      </w:r>
      <w:r>
        <w:t xml:space="preserve"> present the calculation of benefits for right front seat occupants for the proportion of the adjusted target population starting with seven-second warning and 90-second warning, respectively.</w:t>
      </w:r>
    </w:p>
    <w:p w14:paraId="4ED17F13" w14:textId="4C53B773" w:rsidR="00D75645" w:rsidRDefault="000F5B51" w:rsidP="00D75645">
      <w:pPr>
        <w:pStyle w:val="Caption"/>
      </w:pPr>
      <w:bookmarkStart w:id="916" w:name="_Ref127348733"/>
      <w:bookmarkStart w:id="917" w:name="_Hlk126672516"/>
      <w:r w:rsidRPr="00DA0C97">
        <w:lastRenderedPageBreak/>
        <w:t xml:space="preserve">Table </w:t>
      </w:r>
      <w:r w:rsidR="00115BAB">
        <w:fldChar w:fldCharType="begin"/>
      </w:r>
      <w:r>
        <w:instrText xml:space="preserve"> SEQ Table \* ARABIC </w:instrText>
      </w:r>
      <w:r w:rsidR="00115BAB">
        <w:fldChar w:fldCharType="separate"/>
      </w:r>
      <w:r w:rsidR="00A65CB3">
        <w:rPr>
          <w:noProof/>
        </w:rPr>
        <w:t>56</w:t>
      </w:r>
      <w:r w:rsidR="00115BAB">
        <w:rPr>
          <w:noProof/>
        </w:rPr>
        <w:fldChar w:fldCharType="end"/>
      </w:r>
      <w:bookmarkEnd w:id="916"/>
      <w:r w:rsidRPr="00DA0C97">
        <w:t xml:space="preserve">: Incremental Benefits for </w:t>
      </w:r>
      <w:r>
        <w:t>Right Front Seat Occupant</w:t>
      </w:r>
      <w:r w:rsidRPr="00DA0C97">
        <w:t xml:space="preserve"> 7-Second Warning to Indefinite Warning</w:t>
      </w:r>
    </w:p>
    <w:tbl>
      <w:tblPr>
        <w:tblW w:w="15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88"/>
        <w:gridCol w:w="1949"/>
        <w:gridCol w:w="1950"/>
        <w:gridCol w:w="1950"/>
        <w:gridCol w:w="1949"/>
        <w:gridCol w:w="1950"/>
        <w:gridCol w:w="1950"/>
        <w:gridCol w:w="1950"/>
      </w:tblGrid>
      <w:tr w:rsidR="00A15C2C" w14:paraId="55CC0414" w14:textId="77777777" w:rsidTr="00800C73">
        <w:trPr>
          <w:trHeight w:val="1666"/>
          <w:jc w:val="center"/>
        </w:trPr>
        <w:tc>
          <w:tcPr>
            <w:tcW w:w="1488" w:type="dxa"/>
            <w:shd w:val="clear" w:color="auto" w:fill="D9D9D9" w:themeFill="background1" w:themeFillShade="D9"/>
            <w:noWrap/>
            <w:vAlign w:val="center"/>
          </w:tcPr>
          <w:p w14:paraId="5604CBDA" w14:textId="77777777" w:rsidR="00D75645" w:rsidRDefault="000F5B51" w:rsidP="00800C73">
            <w:pPr>
              <w:spacing w:after="0" w:line="240" w:lineRule="auto"/>
              <w:rPr>
                <w:rFonts w:eastAsia="Times New Roman" w:cs="Times New Roman"/>
                <w:b/>
                <w:bCs/>
                <w:color w:val="000000"/>
                <w:szCs w:val="24"/>
              </w:rPr>
            </w:pPr>
            <w:r>
              <w:rPr>
                <w:rFonts w:eastAsia="Times New Roman" w:cs="Times New Roman"/>
                <w:b/>
                <w:bCs/>
                <w:color w:val="000000"/>
                <w:szCs w:val="24"/>
              </w:rPr>
              <w:t xml:space="preserve">Injury Severity </w:t>
            </w:r>
          </w:p>
        </w:tc>
        <w:tc>
          <w:tcPr>
            <w:tcW w:w="1949" w:type="dxa"/>
            <w:shd w:val="clear" w:color="auto" w:fill="D9D9D9" w:themeFill="background1" w:themeFillShade="D9"/>
            <w:vAlign w:val="center"/>
          </w:tcPr>
          <w:p w14:paraId="110D3CC5" w14:textId="77777777" w:rsidR="00D75645" w:rsidRDefault="000F5B51" w:rsidP="00800C73">
            <w:pPr>
              <w:spacing w:after="0" w:line="240" w:lineRule="auto"/>
              <w:jc w:val="center"/>
              <w:rPr>
                <w:rFonts w:eastAsia="Times New Roman" w:cs="Times New Roman"/>
                <w:b/>
                <w:bCs/>
                <w:color w:val="000000"/>
                <w:szCs w:val="24"/>
              </w:rPr>
            </w:pPr>
            <w:r w:rsidRPr="00954B78">
              <w:rPr>
                <w:rFonts w:eastAsia="Times New Roman" w:cs="Times New Roman"/>
                <w:b/>
                <w:bCs/>
                <w:color w:val="000000"/>
                <w:szCs w:val="24"/>
              </w:rPr>
              <w:t>Potential Injuries</w:t>
            </w:r>
          </w:p>
          <w:p w14:paraId="43E10B7C" w14:textId="77777777" w:rsidR="00D75645" w:rsidRDefault="000F5B51" w:rsidP="00800C73">
            <w:pPr>
              <w:spacing w:after="0" w:line="240" w:lineRule="auto"/>
              <w:jc w:val="center"/>
              <w:rPr>
                <w:rFonts w:eastAsia="Times New Roman" w:cs="Times New Roman"/>
                <w:b/>
                <w:bCs/>
                <w:color w:val="000000"/>
                <w:szCs w:val="24"/>
              </w:rPr>
            </w:pPr>
            <w:r>
              <w:rPr>
                <w:rFonts w:eastAsia="Times New Roman" w:cs="Times New Roman"/>
                <w:b/>
                <w:bCs/>
                <w:color w:val="000000"/>
                <w:szCs w:val="24"/>
              </w:rPr>
              <w:t>(a)</w:t>
            </w:r>
          </w:p>
        </w:tc>
        <w:tc>
          <w:tcPr>
            <w:tcW w:w="1950" w:type="dxa"/>
            <w:shd w:val="clear" w:color="auto" w:fill="D9D9D9" w:themeFill="background1" w:themeFillShade="D9"/>
            <w:noWrap/>
            <w:vAlign w:val="center"/>
          </w:tcPr>
          <w:p w14:paraId="2B827D8C" w14:textId="77777777" w:rsidR="00D75645" w:rsidRDefault="000F5B51" w:rsidP="00800C73">
            <w:pPr>
              <w:spacing w:after="0" w:line="240" w:lineRule="auto"/>
              <w:jc w:val="center"/>
              <w:rPr>
                <w:rFonts w:eastAsia="Times New Roman" w:cs="Times New Roman"/>
                <w:b/>
                <w:bCs/>
                <w:color w:val="000000"/>
                <w:szCs w:val="24"/>
              </w:rPr>
            </w:pPr>
            <w:r>
              <w:rPr>
                <w:rFonts w:eastAsia="Times New Roman" w:cs="Times New Roman"/>
                <w:b/>
                <w:bCs/>
                <w:color w:val="000000"/>
                <w:szCs w:val="24"/>
              </w:rPr>
              <w:t>Seat Belt Effectiveness</w:t>
            </w:r>
          </w:p>
          <w:p w14:paraId="4817341B" w14:textId="77777777" w:rsidR="00D75645" w:rsidRPr="00954B78" w:rsidRDefault="000F5B51" w:rsidP="00800C73">
            <w:pPr>
              <w:spacing w:after="0" w:line="240" w:lineRule="auto"/>
              <w:jc w:val="center"/>
              <w:rPr>
                <w:rFonts w:eastAsia="Times New Roman" w:cs="Times New Roman"/>
                <w:b/>
                <w:bCs/>
                <w:color w:val="000000"/>
                <w:szCs w:val="24"/>
              </w:rPr>
            </w:pPr>
            <w:r>
              <w:rPr>
                <w:rFonts w:eastAsia="Times New Roman" w:cs="Times New Roman"/>
                <w:b/>
                <w:bCs/>
                <w:color w:val="000000"/>
                <w:szCs w:val="24"/>
              </w:rPr>
              <w:t>(b)</w:t>
            </w:r>
          </w:p>
        </w:tc>
        <w:tc>
          <w:tcPr>
            <w:tcW w:w="1950" w:type="dxa"/>
            <w:shd w:val="clear" w:color="auto" w:fill="D9D9D9" w:themeFill="background1" w:themeFillShade="D9"/>
            <w:noWrap/>
            <w:vAlign w:val="center"/>
          </w:tcPr>
          <w:p w14:paraId="3D36DE41" w14:textId="77777777" w:rsidR="00D75645" w:rsidRDefault="000F5B51" w:rsidP="00800C73">
            <w:pPr>
              <w:spacing w:after="0" w:line="240" w:lineRule="auto"/>
              <w:jc w:val="center"/>
              <w:rPr>
                <w:rFonts w:eastAsia="Times New Roman" w:cs="Times New Roman"/>
                <w:b/>
                <w:bCs/>
                <w:color w:val="000000"/>
                <w:szCs w:val="24"/>
              </w:rPr>
            </w:pPr>
            <w:r>
              <w:rPr>
                <w:rFonts w:eastAsia="Times New Roman" w:cs="Times New Roman"/>
                <w:b/>
                <w:bCs/>
                <w:color w:val="000000"/>
                <w:szCs w:val="24"/>
              </w:rPr>
              <w:t>Baseline Seat Belt Use Rate</w:t>
            </w:r>
          </w:p>
          <w:p w14:paraId="7CF93369" w14:textId="77777777" w:rsidR="00D75645" w:rsidRPr="00954B78" w:rsidRDefault="000F5B51" w:rsidP="00800C73">
            <w:pPr>
              <w:spacing w:after="0" w:line="240" w:lineRule="auto"/>
              <w:jc w:val="center"/>
              <w:rPr>
                <w:rFonts w:eastAsia="Times New Roman" w:cs="Times New Roman"/>
                <w:b/>
                <w:bCs/>
                <w:color w:val="000000"/>
                <w:szCs w:val="24"/>
              </w:rPr>
            </w:pPr>
            <w:r>
              <w:rPr>
                <w:rFonts w:eastAsia="Times New Roman" w:cs="Times New Roman"/>
                <w:b/>
                <w:bCs/>
                <w:color w:val="000000"/>
                <w:szCs w:val="24"/>
              </w:rPr>
              <w:t>(c)</w:t>
            </w:r>
          </w:p>
        </w:tc>
        <w:tc>
          <w:tcPr>
            <w:tcW w:w="1949" w:type="dxa"/>
            <w:shd w:val="clear" w:color="auto" w:fill="D9D9D9" w:themeFill="background1" w:themeFillShade="D9"/>
            <w:noWrap/>
            <w:vAlign w:val="center"/>
          </w:tcPr>
          <w:p w14:paraId="7F362E23" w14:textId="1889AD99" w:rsidR="00D75645" w:rsidRDefault="000F5B51" w:rsidP="00800C73">
            <w:pPr>
              <w:spacing w:after="0" w:line="240" w:lineRule="auto"/>
              <w:jc w:val="center"/>
              <w:rPr>
                <w:rFonts w:eastAsia="Times New Roman" w:cs="Times New Roman"/>
                <w:b/>
                <w:bCs/>
                <w:color w:val="000000"/>
                <w:szCs w:val="24"/>
              </w:rPr>
            </w:pPr>
            <w:r w:rsidRPr="00012598">
              <w:rPr>
                <w:rFonts w:eastAsia="Times New Roman" w:cs="Times New Roman"/>
                <w:b/>
                <w:bCs/>
                <w:color w:val="000000"/>
                <w:szCs w:val="24"/>
              </w:rPr>
              <w:t>Baseline</w:t>
            </w:r>
            <w:r w:rsidR="00011883">
              <w:rPr>
                <w:rFonts w:eastAsia="Times New Roman" w:cs="Times New Roman"/>
                <w:b/>
                <w:bCs/>
                <w:color w:val="000000"/>
                <w:szCs w:val="24"/>
              </w:rPr>
              <w:t xml:space="preserve"> Effects</w:t>
            </w:r>
          </w:p>
          <w:p w14:paraId="5C95039A" w14:textId="77777777" w:rsidR="00D75645" w:rsidRPr="0068771B" w:rsidRDefault="000F5B51" w:rsidP="00800C73">
            <w:pPr>
              <w:spacing w:after="0" w:line="240" w:lineRule="auto"/>
              <w:jc w:val="center"/>
              <w:rPr>
                <w:rFonts w:eastAsia="Times New Roman" w:cs="Times New Roman"/>
                <w:b/>
                <w:bCs/>
                <w:color w:val="000000"/>
                <w:szCs w:val="24"/>
              </w:rPr>
            </w:pPr>
            <w:r>
              <w:rPr>
                <w:rFonts w:eastAsia="Times New Roman" w:cs="Times New Roman"/>
                <w:b/>
                <w:bCs/>
                <w:color w:val="000000"/>
                <w:szCs w:val="24"/>
              </w:rPr>
              <w:t>(a) x (b) x (c)</w:t>
            </w:r>
          </w:p>
        </w:tc>
        <w:tc>
          <w:tcPr>
            <w:tcW w:w="1950" w:type="dxa"/>
            <w:shd w:val="clear" w:color="auto" w:fill="D9D9D9" w:themeFill="background1" w:themeFillShade="D9"/>
            <w:vAlign w:val="center"/>
          </w:tcPr>
          <w:p w14:paraId="5BB813C5" w14:textId="77777777" w:rsidR="00D75645" w:rsidRDefault="000F5B51" w:rsidP="00800C73">
            <w:pPr>
              <w:spacing w:after="0" w:line="240" w:lineRule="auto"/>
              <w:jc w:val="center"/>
              <w:rPr>
                <w:rFonts w:eastAsia="Times New Roman" w:cs="Times New Roman"/>
                <w:b/>
                <w:bCs/>
                <w:color w:val="000000"/>
                <w:szCs w:val="24"/>
              </w:rPr>
            </w:pPr>
            <w:r>
              <w:rPr>
                <w:rFonts w:eastAsia="Times New Roman" w:cs="Times New Roman"/>
                <w:b/>
                <w:bCs/>
                <w:color w:val="000000"/>
                <w:szCs w:val="24"/>
              </w:rPr>
              <w:t>Proposed Rule Seat Belt Use Rate</w:t>
            </w:r>
          </w:p>
        </w:tc>
        <w:tc>
          <w:tcPr>
            <w:tcW w:w="1950" w:type="dxa"/>
            <w:shd w:val="clear" w:color="auto" w:fill="D9D9D9" w:themeFill="background1" w:themeFillShade="D9"/>
            <w:vAlign w:val="center"/>
          </w:tcPr>
          <w:p w14:paraId="3FDB4AD4" w14:textId="7A130242" w:rsidR="00D75645" w:rsidRDefault="000F5B51" w:rsidP="00800C73">
            <w:pPr>
              <w:spacing w:after="0" w:line="240" w:lineRule="auto"/>
              <w:jc w:val="center"/>
              <w:rPr>
                <w:rFonts w:eastAsia="Times New Roman" w:cs="Times New Roman"/>
                <w:b/>
                <w:bCs/>
                <w:color w:val="000000"/>
                <w:szCs w:val="24"/>
              </w:rPr>
            </w:pPr>
            <w:r>
              <w:rPr>
                <w:rFonts w:eastAsia="Times New Roman" w:cs="Times New Roman"/>
                <w:b/>
                <w:bCs/>
                <w:color w:val="000000"/>
                <w:szCs w:val="24"/>
              </w:rPr>
              <w:t>Calculation of Benefits Under the Proposed Rule</w:t>
            </w:r>
            <w:r w:rsidR="00011883">
              <w:rPr>
                <w:rFonts w:eastAsia="Times New Roman" w:cs="Times New Roman"/>
                <w:b/>
                <w:bCs/>
                <w:color w:val="000000"/>
                <w:szCs w:val="24"/>
              </w:rPr>
              <w:t xml:space="preserve"> Unadjusted for Baseline Effects</w:t>
            </w:r>
          </w:p>
        </w:tc>
        <w:tc>
          <w:tcPr>
            <w:tcW w:w="1950" w:type="dxa"/>
            <w:shd w:val="clear" w:color="auto" w:fill="D9D9D9" w:themeFill="background1" w:themeFillShade="D9"/>
            <w:vAlign w:val="center"/>
          </w:tcPr>
          <w:p w14:paraId="5AD26DD2" w14:textId="74D57EC6" w:rsidR="00D75645" w:rsidRDefault="000F5B51" w:rsidP="00800C73">
            <w:pPr>
              <w:spacing w:after="0" w:line="240" w:lineRule="auto"/>
              <w:jc w:val="center"/>
              <w:rPr>
                <w:rFonts w:eastAsia="Times New Roman" w:cs="Times New Roman"/>
                <w:b/>
                <w:bCs/>
                <w:color w:val="000000"/>
                <w:szCs w:val="24"/>
              </w:rPr>
            </w:pPr>
            <w:r>
              <w:rPr>
                <w:rFonts w:eastAsia="Times New Roman" w:cs="Times New Roman"/>
                <w:b/>
                <w:bCs/>
                <w:color w:val="000000"/>
                <w:szCs w:val="24"/>
              </w:rPr>
              <w:t>Incremental Benefits (</w:t>
            </w:r>
            <w:r w:rsidR="00011883">
              <w:rPr>
                <w:rFonts w:eastAsia="Times New Roman" w:cs="Times New Roman"/>
                <w:b/>
                <w:bCs/>
                <w:color w:val="000000"/>
                <w:szCs w:val="24"/>
              </w:rPr>
              <w:t xml:space="preserve">Unadjusted </w:t>
            </w:r>
            <w:r>
              <w:rPr>
                <w:rFonts w:eastAsia="Times New Roman" w:cs="Times New Roman"/>
                <w:b/>
                <w:bCs/>
                <w:color w:val="000000"/>
                <w:szCs w:val="24"/>
              </w:rPr>
              <w:t>Proposed Rule minus Baseline)</w:t>
            </w:r>
          </w:p>
        </w:tc>
      </w:tr>
      <w:tr w:rsidR="00A15C2C" w14:paraId="43BE4460" w14:textId="77777777" w:rsidTr="00800C73">
        <w:trPr>
          <w:trHeight w:val="310"/>
          <w:jc w:val="center"/>
        </w:trPr>
        <w:tc>
          <w:tcPr>
            <w:tcW w:w="15136" w:type="dxa"/>
            <w:gridSpan w:val="8"/>
            <w:shd w:val="clear" w:color="auto" w:fill="D9D9D9" w:themeFill="background1" w:themeFillShade="D9"/>
            <w:noWrap/>
            <w:vAlign w:val="bottom"/>
          </w:tcPr>
          <w:p w14:paraId="0EC55799" w14:textId="77777777" w:rsidR="00D75645" w:rsidRPr="000B32DD" w:rsidRDefault="000F5B51" w:rsidP="00800C73">
            <w:pPr>
              <w:spacing w:after="0" w:line="240" w:lineRule="auto"/>
              <w:jc w:val="center"/>
              <w:rPr>
                <w:b/>
                <w:bCs/>
                <w:i/>
                <w:iCs/>
                <w:color w:val="000000"/>
              </w:rPr>
            </w:pPr>
            <w:r w:rsidRPr="000B32DD">
              <w:rPr>
                <w:b/>
                <w:bCs/>
                <w:i/>
                <w:iCs/>
                <w:color w:val="000000"/>
              </w:rPr>
              <w:t>Passenger Cars</w:t>
            </w:r>
          </w:p>
        </w:tc>
      </w:tr>
      <w:tr w:rsidR="00A15C2C" w14:paraId="38DD38C5" w14:textId="77777777" w:rsidTr="0055589E">
        <w:trPr>
          <w:trHeight w:val="310"/>
          <w:jc w:val="center"/>
        </w:trPr>
        <w:tc>
          <w:tcPr>
            <w:tcW w:w="1488" w:type="dxa"/>
            <w:shd w:val="clear" w:color="auto" w:fill="auto"/>
            <w:noWrap/>
            <w:vAlign w:val="bottom"/>
          </w:tcPr>
          <w:p w14:paraId="7551EEC3" w14:textId="77777777" w:rsidR="00514D6F" w:rsidRPr="00954B78" w:rsidRDefault="000F5B51" w:rsidP="00514D6F">
            <w:pPr>
              <w:spacing w:after="0" w:line="240" w:lineRule="auto"/>
              <w:rPr>
                <w:rFonts w:eastAsia="Times New Roman" w:cs="Times New Roman"/>
                <w:color w:val="000000"/>
                <w:szCs w:val="24"/>
              </w:rPr>
            </w:pPr>
            <w:r>
              <w:rPr>
                <w:rFonts w:eastAsia="Times New Roman" w:cs="Times New Roman"/>
                <w:color w:val="000000"/>
                <w:szCs w:val="24"/>
              </w:rPr>
              <w:t>MAIS 1</w:t>
            </w:r>
          </w:p>
        </w:tc>
        <w:tc>
          <w:tcPr>
            <w:tcW w:w="1949" w:type="dxa"/>
          </w:tcPr>
          <w:p w14:paraId="6341B183" w14:textId="77777777" w:rsidR="00514D6F" w:rsidRPr="00954B78" w:rsidRDefault="000F5B51" w:rsidP="00514D6F">
            <w:pPr>
              <w:spacing w:after="0" w:line="240" w:lineRule="auto"/>
              <w:jc w:val="center"/>
              <w:rPr>
                <w:rFonts w:cs="Times New Roman"/>
                <w:color w:val="000000"/>
                <w:szCs w:val="24"/>
              </w:rPr>
            </w:pPr>
            <w:r w:rsidRPr="00237F90">
              <w:t>614</w:t>
            </w:r>
          </w:p>
        </w:tc>
        <w:tc>
          <w:tcPr>
            <w:tcW w:w="1950" w:type="dxa"/>
            <w:shd w:val="clear" w:color="auto" w:fill="auto"/>
            <w:noWrap/>
          </w:tcPr>
          <w:p w14:paraId="6A43E666" w14:textId="77777777" w:rsidR="00514D6F" w:rsidRPr="00954B78" w:rsidRDefault="000F5B51" w:rsidP="00514D6F">
            <w:pPr>
              <w:spacing w:after="0" w:line="240" w:lineRule="auto"/>
              <w:jc w:val="center"/>
              <w:rPr>
                <w:rFonts w:eastAsia="Times New Roman" w:cs="Times New Roman"/>
                <w:color w:val="000000"/>
                <w:szCs w:val="24"/>
              </w:rPr>
            </w:pPr>
            <w:r w:rsidRPr="00237F90">
              <w:t>0.055</w:t>
            </w:r>
          </w:p>
        </w:tc>
        <w:tc>
          <w:tcPr>
            <w:tcW w:w="1950" w:type="dxa"/>
            <w:shd w:val="clear" w:color="auto" w:fill="auto"/>
            <w:noWrap/>
          </w:tcPr>
          <w:p w14:paraId="49EAC1E7" w14:textId="77777777" w:rsidR="00514D6F" w:rsidRPr="008C06A3" w:rsidRDefault="000F5B51" w:rsidP="00514D6F">
            <w:pPr>
              <w:spacing w:after="0" w:line="240" w:lineRule="auto"/>
              <w:jc w:val="center"/>
              <w:rPr>
                <w:rFonts w:eastAsia="Times New Roman" w:cs="Times New Roman"/>
                <w:color w:val="000000"/>
                <w:szCs w:val="24"/>
              </w:rPr>
            </w:pPr>
            <w:r w:rsidRPr="00237F90">
              <w:t>0.6673</w:t>
            </w:r>
          </w:p>
        </w:tc>
        <w:tc>
          <w:tcPr>
            <w:tcW w:w="1949" w:type="dxa"/>
            <w:shd w:val="clear" w:color="auto" w:fill="auto"/>
            <w:noWrap/>
          </w:tcPr>
          <w:p w14:paraId="4E1D9581" w14:textId="77777777" w:rsidR="00514D6F" w:rsidRPr="00954B78" w:rsidRDefault="000F5B51" w:rsidP="00514D6F">
            <w:pPr>
              <w:spacing w:after="0" w:line="240" w:lineRule="auto"/>
              <w:jc w:val="center"/>
              <w:rPr>
                <w:rFonts w:eastAsia="Times New Roman" w:cs="Times New Roman"/>
                <w:color w:val="000000"/>
                <w:szCs w:val="24"/>
              </w:rPr>
            </w:pPr>
            <w:r w:rsidRPr="00237F90">
              <w:t>23</w:t>
            </w:r>
          </w:p>
        </w:tc>
        <w:tc>
          <w:tcPr>
            <w:tcW w:w="1950" w:type="dxa"/>
          </w:tcPr>
          <w:p w14:paraId="5FFD66DB" w14:textId="77777777" w:rsidR="00514D6F" w:rsidRPr="00C43531" w:rsidRDefault="000F5B51" w:rsidP="00514D6F">
            <w:pPr>
              <w:spacing w:after="0" w:line="240" w:lineRule="auto"/>
              <w:jc w:val="center"/>
              <w:rPr>
                <w:rFonts w:eastAsia="Times New Roman" w:cs="Times New Roman"/>
                <w:color w:val="000000"/>
                <w:szCs w:val="24"/>
              </w:rPr>
            </w:pPr>
            <w:r w:rsidRPr="00A64298">
              <w:t>0.7088</w:t>
            </w:r>
          </w:p>
        </w:tc>
        <w:tc>
          <w:tcPr>
            <w:tcW w:w="1950" w:type="dxa"/>
          </w:tcPr>
          <w:p w14:paraId="175FB61B" w14:textId="77777777" w:rsidR="00514D6F" w:rsidRPr="00954B78" w:rsidRDefault="000F5B51" w:rsidP="00514D6F">
            <w:pPr>
              <w:spacing w:after="0" w:line="240" w:lineRule="auto"/>
              <w:jc w:val="center"/>
              <w:rPr>
                <w:rFonts w:eastAsia="Times New Roman" w:cs="Times New Roman"/>
                <w:color w:val="000000"/>
                <w:szCs w:val="24"/>
              </w:rPr>
            </w:pPr>
            <w:r w:rsidRPr="00A64298">
              <w:t>24</w:t>
            </w:r>
          </w:p>
        </w:tc>
        <w:tc>
          <w:tcPr>
            <w:tcW w:w="1950" w:type="dxa"/>
          </w:tcPr>
          <w:p w14:paraId="4DD9D56B" w14:textId="77777777" w:rsidR="00514D6F" w:rsidRPr="00954B78" w:rsidRDefault="000F5B51" w:rsidP="00514D6F">
            <w:pPr>
              <w:spacing w:after="0" w:line="240" w:lineRule="auto"/>
              <w:jc w:val="center"/>
              <w:rPr>
                <w:rFonts w:eastAsia="Times New Roman" w:cs="Times New Roman"/>
                <w:color w:val="000000"/>
                <w:szCs w:val="24"/>
              </w:rPr>
            </w:pPr>
            <w:r w:rsidRPr="00A64298">
              <w:t>1</w:t>
            </w:r>
          </w:p>
        </w:tc>
      </w:tr>
      <w:tr w:rsidR="00A15C2C" w14:paraId="049A412D" w14:textId="77777777" w:rsidTr="0055589E">
        <w:trPr>
          <w:trHeight w:val="310"/>
          <w:jc w:val="center"/>
        </w:trPr>
        <w:tc>
          <w:tcPr>
            <w:tcW w:w="1488" w:type="dxa"/>
            <w:shd w:val="clear" w:color="auto" w:fill="auto"/>
            <w:noWrap/>
          </w:tcPr>
          <w:p w14:paraId="19D7C1AC" w14:textId="77777777" w:rsidR="00514D6F" w:rsidRPr="00954B78" w:rsidRDefault="000F5B51" w:rsidP="00514D6F">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2</w:t>
            </w:r>
          </w:p>
        </w:tc>
        <w:tc>
          <w:tcPr>
            <w:tcW w:w="1949" w:type="dxa"/>
          </w:tcPr>
          <w:p w14:paraId="052DB0BD" w14:textId="77777777" w:rsidR="00514D6F" w:rsidRPr="00954B78" w:rsidRDefault="000F5B51" w:rsidP="00514D6F">
            <w:pPr>
              <w:spacing w:after="0" w:line="240" w:lineRule="auto"/>
              <w:jc w:val="center"/>
              <w:rPr>
                <w:rFonts w:cs="Times New Roman"/>
                <w:color w:val="000000"/>
                <w:szCs w:val="24"/>
              </w:rPr>
            </w:pPr>
            <w:r w:rsidRPr="00237F90">
              <w:t>389</w:t>
            </w:r>
          </w:p>
        </w:tc>
        <w:tc>
          <w:tcPr>
            <w:tcW w:w="1950" w:type="dxa"/>
            <w:shd w:val="clear" w:color="auto" w:fill="auto"/>
            <w:noWrap/>
          </w:tcPr>
          <w:p w14:paraId="44E2008D" w14:textId="77777777" w:rsidR="00514D6F" w:rsidRPr="00954B78" w:rsidRDefault="000F5B51" w:rsidP="00514D6F">
            <w:pPr>
              <w:spacing w:after="0" w:line="240" w:lineRule="auto"/>
              <w:jc w:val="center"/>
              <w:rPr>
                <w:rFonts w:eastAsia="Times New Roman" w:cs="Times New Roman"/>
                <w:color w:val="000000"/>
                <w:szCs w:val="24"/>
              </w:rPr>
            </w:pPr>
            <w:r w:rsidRPr="00237F90">
              <w:t>0.5</w:t>
            </w:r>
          </w:p>
        </w:tc>
        <w:tc>
          <w:tcPr>
            <w:tcW w:w="1950" w:type="dxa"/>
            <w:shd w:val="clear" w:color="auto" w:fill="auto"/>
            <w:noWrap/>
          </w:tcPr>
          <w:p w14:paraId="2D3BFC69" w14:textId="77777777" w:rsidR="00514D6F" w:rsidRPr="00954B78" w:rsidRDefault="000F5B51" w:rsidP="00514D6F">
            <w:pPr>
              <w:spacing w:after="0" w:line="240" w:lineRule="auto"/>
              <w:jc w:val="center"/>
              <w:rPr>
                <w:rFonts w:eastAsia="Times New Roman" w:cs="Times New Roman"/>
                <w:color w:val="000000"/>
                <w:szCs w:val="24"/>
              </w:rPr>
            </w:pPr>
            <w:r w:rsidRPr="00237F90">
              <w:t>0.6673</w:t>
            </w:r>
          </w:p>
        </w:tc>
        <w:tc>
          <w:tcPr>
            <w:tcW w:w="1949" w:type="dxa"/>
            <w:shd w:val="clear" w:color="auto" w:fill="auto"/>
            <w:noWrap/>
          </w:tcPr>
          <w:p w14:paraId="714F2427" w14:textId="77777777" w:rsidR="00514D6F" w:rsidRPr="00954B78" w:rsidRDefault="000F5B51" w:rsidP="00514D6F">
            <w:pPr>
              <w:spacing w:after="0" w:line="240" w:lineRule="auto"/>
              <w:jc w:val="center"/>
              <w:rPr>
                <w:rFonts w:eastAsia="Times New Roman" w:cs="Times New Roman"/>
                <w:color w:val="000000"/>
                <w:szCs w:val="24"/>
              </w:rPr>
            </w:pPr>
            <w:r w:rsidRPr="00237F90">
              <w:t>130</w:t>
            </w:r>
          </w:p>
        </w:tc>
        <w:tc>
          <w:tcPr>
            <w:tcW w:w="1950" w:type="dxa"/>
          </w:tcPr>
          <w:p w14:paraId="042AEE79" w14:textId="77777777" w:rsidR="00514D6F" w:rsidRPr="00954B78" w:rsidRDefault="000F5B51" w:rsidP="00514D6F">
            <w:pPr>
              <w:spacing w:after="0" w:line="240" w:lineRule="auto"/>
              <w:jc w:val="center"/>
              <w:rPr>
                <w:rFonts w:eastAsia="Times New Roman" w:cs="Times New Roman"/>
                <w:color w:val="000000"/>
                <w:szCs w:val="24"/>
              </w:rPr>
            </w:pPr>
            <w:r w:rsidRPr="00A64298">
              <w:t>0.7088</w:t>
            </w:r>
          </w:p>
        </w:tc>
        <w:tc>
          <w:tcPr>
            <w:tcW w:w="1950" w:type="dxa"/>
          </w:tcPr>
          <w:p w14:paraId="7E0B46A2" w14:textId="77777777" w:rsidR="00514D6F" w:rsidRPr="00954B78" w:rsidRDefault="000F5B51" w:rsidP="00514D6F">
            <w:pPr>
              <w:spacing w:after="0" w:line="240" w:lineRule="auto"/>
              <w:jc w:val="center"/>
              <w:rPr>
                <w:rFonts w:eastAsia="Times New Roman" w:cs="Times New Roman"/>
                <w:color w:val="000000"/>
                <w:szCs w:val="24"/>
              </w:rPr>
            </w:pPr>
            <w:r w:rsidRPr="00A64298">
              <w:t>138</w:t>
            </w:r>
          </w:p>
        </w:tc>
        <w:tc>
          <w:tcPr>
            <w:tcW w:w="1950" w:type="dxa"/>
          </w:tcPr>
          <w:p w14:paraId="11A1BB47" w14:textId="77777777" w:rsidR="00514D6F" w:rsidRPr="00954B78" w:rsidRDefault="000F5B51" w:rsidP="00514D6F">
            <w:pPr>
              <w:spacing w:after="0" w:line="240" w:lineRule="auto"/>
              <w:jc w:val="center"/>
              <w:rPr>
                <w:rFonts w:eastAsia="Times New Roman" w:cs="Times New Roman"/>
                <w:color w:val="000000"/>
                <w:szCs w:val="24"/>
              </w:rPr>
            </w:pPr>
            <w:r w:rsidRPr="00A64298">
              <w:t>8</w:t>
            </w:r>
          </w:p>
        </w:tc>
      </w:tr>
      <w:tr w:rsidR="00A15C2C" w14:paraId="04C6B5EF" w14:textId="77777777" w:rsidTr="0055589E">
        <w:trPr>
          <w:trHeight w:val="310"/>
          <w:jc w:val="center"/>
        </w:trPr>
        <w:tc>
          <w:tcPr>
            <w:tcW w:w="1488" w:type="dxa"/>
            <w:shd w:val="clear" w:color="auto" w:fill="auto"/>
            <w:noWrap/>
          </w:tcPr>
          <w:p w14:paraId="2CC31F89" w14:textId="77777777" w:rsidR="00514D6F" w:rsidRPr="00954B78" w:rsidRDefault="000F5B51" w:rsidP="00514D6F">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3</w:t>
            </w:r>
          </w:p>
        </w:tc>
        <w:tc>
          <w:tcPr>
            <w:tcW w:w="1949" w:type="dxa"/>
          </w:tcPr>
          <w:p w14:paraId="549D897C" w14:textId="77777777" w:rsidR="00514D6F" w:rsidRPr="00954B78" w:rsidRDefault="000F5B51" w:rsidP="00514D6F">
            <w:pPr>
              <w:spacing w:after="0" w:line="240" w:lineRule="auto"/>
              <w:jc w:val="center"/>
              <w:rPr>
                <w:rFonts w:cs="Times New Roman"/>
                <w:color w:val="000000"/>
                <w:szCs w:val="24"/>
              </w:rPr>
            </w:pPr>
            <w:r w:rsidRPr="00237F90">
              <w:t>107</w:t>
            </w:r>
          </w:p>
        </w:tc>
        <w:tc>
          <w:tcPr>
            <w:tcW w:w="1950" w:type="dxa"/>
            <w:shd w:val="clear" w:color="auto" w:fill="auto"/>
            <w:noWrap/>
          </w:tcPr>
          <w:p w14:paraId="3AB03529" w14:textId="77777777" w:rsidR="00514D6F" w:rsidRPr="00954B78" w:rsidRDefault="000F5B51" w:rsidP="00514D6F">
            <w:pPr>
              <w:spacing w:after="0" w:line="240" w:lineRule="auto"/>
              <w:jc w:val="center"/>
              <w:rPr>
                <w:rFonts w:eastAsia="Times New Roman" w:cs="Times New Roman"/>
                <w:color w:val="000000"/>
                <w:szCs w:val="24"/>
              </w:rPr>
            </w:pPr>
            <w:r w:rsidRPr="00237F90">
              <w:t>0.5</w:t>
            </w:r>
          </w:p>
        </w:tc>
        <w:tc>
          <w:tcPr>
            <w:tcW w:w="1950" w:type="dxa"/>
            <w:shd w:val="clear" w:color="auto" w:fill="auto"/>
            <w:noWrap/>
          </w:tcPr>
          <w:p w14:paraId="14F43AF1" w14:textId="77777777" w:rsidR="00514D6F" w:rsidRPr="00954B78" w:rsidRDefault="000F5B51" w:rsidP="00514D6F">
            <w:pPr>
              <w:spacing w:after="0" w:line="240" w:lineRule="auto"/>
              <w:jc w:val="center"/>
              <w:rPr>
                <w:rFonts w:eastAsia="Times New Roman" w:cs="Times New Roman"/>
                <w:color w:val="000000"/>
                <w:szCs w:val="24"/>
              </w:rPr>
            </w:pPr>
            <w:r w:rsidRPr="00237F90">
              <w:t>0.6673</w:t>
            </w:r>
          </w:p>
        </w:tc>
        <w:tc>
          <w:tcPr>
            <w:tcW w:w="1949" w:type="dxa"/>
            <w:shd w:val="clear" w:color="auto" w:fill="auto"/>
            <w:noWrap/>
          </w:tcPr>
          <w:p w14:paraId="7885E93E" w14:textId="77777777" w:rsidR="00514D6F" w:rsidRPr="00954B78" w:rsidRDefault="000F5B51" w:rsidP="00514D6F">
            <w:pPr>
              <w:spacing w:after="0" w:line="240" w:lineRule="auto"/>
              <w:jc w:val="center"/>
              <w:rPr>
                <w:rFonts w:eastAsia="Times New Roman" w:cs="Times New Roman"/>
                <w:color w:val="000000"/>
                <w:szCs w:val="24"/>
              </w:rPr>
            </w:pPr>
            <w:r w:rsidRPr="00237F90">
              <w:t>36</w:t>
            </w:r>
          </w:p>
        </w:tc>
        <w:tc>
          <w:tcPr>
            <w:tcW w:w="1950" w:type="dxa"/>
          </w:tcPr>
          <w:p w14:paraId="4451EA7B" w14:textId="77777777" w:rsidR="00514D6F" w:rsidRPr="00954B78" w:rsidRDefault="000F5B51" w:rsidP="00514D6F">
            <w:pPr>
              <w:spacing w:after="0" w:line="240" w:lineRule="auto"/>
              <w:jc w:val="center"/>
              <w:rPr>
                <w:rFonts w:eastAsia="Times New Roman" w:cs="Times New Roman"/>
                <w:color w:val="000000"/>
                <w:szCs w:val="24"/>
              </w:rPr>
            </w:pPr>
            <w:r w:rsidRPr="00A64298">
              <w:t>0.7088</w:t>
            </w:r>
          </w:p>
        </w:tc>
        <w:tc>
          <w:tcPr>
            <w:tcW w:w="1950" w:type="dxa"/>
          </w:tcPr>
          <w:p w14:paraId="159D4D5F" w14:textId="77777777" w:rsidR="00514D6F" w:rsidRPr="00954B78" w:rsidRDefault="000F5B51" w:rsidP="00514D6F">
            <w:pPr>
              <w:spacing w:after="0" w:line="240" w:lineRule="auto"/>
              <w:jc w:val="center"/>
              <w:rPr>
                <w:rFonts w:eastAsia="Times New Roman" w:cs="Times New Roman"/>
                <w:color w:val="000000"/>
                <w:szCs w:val="24"/>
              </w:rPr>
            </w:pPr>
            <w:r w:rsidRPr="00A64298">
              <w:t>38</w:t>
            </w:r>
          </w:p>
        </w:tc>
        <w:tc>
          <w:tcPr>
            <w:tcW w:w="1950" w:type="dxa"/>
          </w:tcPr>
          <w:p w14:paraId="4EAE0370" w14:textId="77777777" w:rsidR="00514D6F" w:rsidRPr="00954B78" w:rsidRDefault="000F5B51" w:rsidP="00514D6F">
            <w:pPr>
              <w:spacing w:after="0" w:line="240" w:lineRule="auto"/>
              <w:jc w:val="center"/>
              <w:rPr>
                <w:rFonts w:eastAsia="Times New Roman" w:cs="Times New Roman"/>
                <w:color w:val="000000"/>
                <w:szCs w:val="24"/>
              </w:rPr>
            </w:pPr>
            <w:r w:rsidRPr="00A64298">
              <w:t>2</w:t>
            </w:r>
          </w:p>
        </w:tc>
      </w:tr>
      <w:tr w:rsidR="00A15C2C" w14:paraId="7525BCC5" w14:textId="77777777" w:rsidTr="0055589E">
        <w:trPr>
          <w:trHeight w:val="310"/>
          <w:jc w:val="center"/>
        </w:trPr>
        <w:tc>
          <w:tcPr>
            <w:tcW w:w="1488" w:type="dxa"/>
            <w:shd w:val="clear" w:color="auto" w:fill="auto"/>
            <w:noWrap/>
          </w:tcPr>
          <w:p w14:paraId="563E47EC" w14:textId="77777777" w:rsidR="00514D6F" w:rsidRPr="00954B78" w:rsidRDefault="000F5B51" w:rsidP="00514D6F">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4</w:t>
            </w:r>
          </w:p>
        </w:tc>
        <w:tc>
          <w:tcPr>
            <w:tcW w:w="1949" w:type="dxa"/>
          </w:tcPr>
          <w:p w14:paraId="2E5A081F" w14:textId="77777777" w:rsidR="00514D6F" w:rsidRPr="00954B78" w:rsidRDefault="000F5B51" w:rsidP="00514D6F">
            <w:pPr>
              <w:spacing w:after="0" w:line="240" w:lineRule="auto"/>
              <w:jc w:val="center"/>
              <w:rPr>
                <w:rFonts w:cs="Times New Roman"/>
                <w:color w:val="000000"/>
                <w:szCs w:val="24"/>
              </w:rPr>
            </w:pPr>
            <w:r w:rsidRPr="00237F90">
              <w:t>78</w:t>
            </w:r>
          </w:p>
        </w:tc>
        <w:tc>
          <w:tcPr>
            <w:tcW w:w="1950" w:type="dxa"/>
            <w:shd w:val="clear" w:color="auto" w:fill="auto"/>
            <w:noWrap/>
          </w:tcPr>
          <w:p w14:paraId="4EF64981" w14:textId="77777777" w:rsidR="00514D6F" w:rsidRPr="00954B78" w:rsidRDefault="000F5B51" w:rsidP="00514D6F">
            <w:pPr>
              <w:spacing w:after="0" w:line="240" w:lineRule="auto"/>
              <w:jc w:val="center"/>
              <w:rPr>
                <w:rFonts w:eastAsia="Times New Roman" w:cs="Times New Roman"/>
                <w:color w:val="000000"/>
                <w:szCs w:val="24"/>
              </w:rPr>
            </w:pPr>
            <w:r w:rsidRPr="00237F90">
              <w:t>0.5</w:t>
            </w:r>
          </w:p>
        </w:tc>
        <w:tc>
          <w:tcPr>
            <w:tcW w:w="1950" w:type="dxa"/>
            <w:shd w:val="clear" w:color="auto" w:fill="auto"/>
            <w:noWrap/>
          </w:tcPr>
          <w:p w14:paraId="596EB533" w14:textId="77777777" w:rsidR="00514D6F" w:rsidRPr="00954B78" w:rsidRDefault="000F5B51" w:rsidP="00514D6F">
            <w:pPr>
              <w:spacing w:after="0" w:line="240" w:lineRule="auto"/>
              <w:jc w:val="center"/>
              <w:rPr>
                <w:rFonts w:eastAsia="Times New Roman" w:cs="Times New Roman"/>
                <w:color w:val="000000"/>
                <w:szCs w:val="24"/>
              </w:rPr>
            </w:pPr>
            <w:r w:rsidRPr="00237F90">
              <w:t>0.6673</w:t>
            </w:r>
          </w:p>
        </w:tc>
        <w:tc>
          <w:tcPr>
            <w:tcW w:w="1949" w:type="dxa"/>
            <w:shd w:val="clear" w:color="auto" w:fill="auto"/>
            <w:noWrap/>
          </w:tcPr>
          <w:p w14:paraId="072A4F7B" w14:textId="77777777" w:rsidR="00514D6F" w:rsidRPr="00954B78" w:rsidRDefault="000F5B51" w:rsidP="00514D6F">
            <w:pPr>
              <w:spacing w:after="0" w:line="240" w:lineRule="auto"/>
              <w:jc w:val="center"/>
              <w:rPr>
                <w:rFonts w:eastAsia="Times New Roman" w:cs="Times New Roman"/>
                <w:color w:val="000000"/>
                <w:szCs w:val="24"/>
              </w:rPr>
            </w:pPr>
            <w:r w:rsidRPr="00237F90">
              <w:t>26</w:t>
            </w:r>
          </w:p>
        </w:tc>
        <w:tc>
          <w:tcPr>
            <w:tcW w:w="1950" w:type="dxa"/>
          </w:tcPr>
          <w:p w14:paraId="7D37CF03" w14:textId="77777777" w:rsidR="00514D6F" w:rsidRPr="00954B78" w:rsidRDefault="000F5B51" w:rsidP="00514D6F">
            <w:pPr>
              <w:spacing w:after="0" w:line="240" w:lineRule="auto"/>
              <w:jc w:val="center"/>
              <w:rPr>
                <w:rFonts w:eastAsia="Times New Roman" w:cs="Times New Roman"/>
                <w:color w:val="000000"/>
                <w:szCs w:val="24"/>
              </w:rPr>
            </w:pPr>
            <w:r w:rsidRPr="00A64298">
              <w:t>0.7088</w:t>
            </w:r>
          </w:p>
        </w:tc>
        <w:tc>
          <w:tcPr>
            <w:tcW w:w="1950" w:type="dxa"/>
          </w:tcPr>
          <w:p w14:paraId="610DA22B" w14:textId="77777777" w:rsidR="00514D6F" w:rsidRPr="00954B78" w:rsidRDefault="000F5B51" w:rsidP="00514D6F">
            <w:pPr>
              <w:spacing w:after="0" w:line="240" w:lineRule="auto"/>
              <w:jc w:val="center"/>
              <w:rPr>
                <w:rFonts w:eastAsia="Times New Roman" w:cs="Times New Roman"/>
                <w:color w:val="000000"/>
                <w:szCs w:val="24"/>
              </w:rPr>
            </w:pPr>
            <w:r w:rsidRPr="00A64298">
              <w:t>28</w:t>
            </w:r>
          </w:p>
        </w:tc>
        <w:tc>
          <w:tcPr>
            <w:tcW w:w="1950" w:type="dxa"/>
          </w:tcPr>
          <w:p w14:paraId="63134407" w14:textId="77777777" w:rsidR="00514D6F" w:rsidRPr="00954B78" w:rsidRDefault="000F5B51" w:rsidP="00514D6F">
            <w:pPr>
              <w:spacing w:after="0" w:line="240" w:lineRule="auto"/>
              <w:jc w:val="center"/>
              <w:rPr>
                <w:rFonts w:eastAsia="Times New Roman" w:cs="Times New Roman"/>
                <w:color w:val="000000"/>
                <w:szCs w:val="24"/>
              </w:rPr>
            </w:pPr>
            <w:r w:rsidRPr="00A64298">
              <w:t>2</w:t>
            </w:r>
          </w:p>
        </w:tc>
      </w:tr>
      <w:tr w:rsidR="00A15C2C" w14:paraId="090231AB" w14:textId="77777777" w:rsidTr="0055589E">
        <w:trPr>
          <w:trHeight w:val="310"/>
          <w:jc w:val="center"/>
        </w:trPr>
        <w:tc>
          <w:tcPr>
            <w:tcW w:w="1488" w:type="dxa"/>
            <w:shd w:val="clear" w:color="auto" w:fill="auto"/>
            <w:noWrap/>
          </w:tcPr>
          <w:p w14:paraId="43C7D7EA" w14:textId="77777777" w:rsidR="00514D6F" w:rsidRPr="00954B78" w:rsidRDefault="000F5B51" w:rsidP="00514D6F">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5</w:t>
            </w:r>
          </w:p>
        </w:tc>
        <w:tc>
          <w:tcPr>
            <w:tcW w:w="1949" w:type="dxa"/>
          </w:tcPr>
          <w:p w14:paraId="64B2F9B5" w14:textId="77777777" w:rsidR="00514D6F" w:rsidRPr="00954B78" w:rsidRDefault="000F5B51" w:rsidP="00514D6F">
            <w:pPr>
              <w:spacing w:after="0" w:line="240" w:lineRule="auto"/>
              <w:jc w:val="center"/>
              <w:rPr>
                <w:rFonts w:cs="Times New Roman"/>
                <w:color w:val="000000"/>
                <w:szCs w:val="24"/>
              </w:rPr>
            </w:pPr>
            <w:r w:rsidRPr="00237F90">
              <w:t>2</w:t>
            </w:r>
          </w:p>
        </w:tc>
        <w:tc>
          <w:tcPr>
            <w:tcW w:w="1950" w:type="dxa"/>
            <w:shd w:val="clear" w:color="auto" w:fill="auto"/>
            <w:noWrap/>
          </w:tcPr>
          <w:p w14:paraId="41227C74" w14:textId="77777777" w:rsidR="00514D6F" w:rsidRPr="00954B78" w:rsidRDefault="000F5B51" w:rsidP="00514D6F">
            <w:pPr>
              <w:spacing w:after="0" w:line="240" w:lineRule="auto"/>
              <w:jc w:val="center"/>
              <w:rPr>
                <w:rFonts w:eastAsia="Times New Roman" w:cs="Times New Roman"/>
                <w:color w:val="000000"/>
                <w:szCs w:val="24"/>
              </w:rPr>
            </w:pPr>
            <w:r w:rsidRPr="00237F90">
              <w:t>0.5</w:t>
            </w:r>
          </w:p>
        </w:tc>
        <w:tc>
          <w:tcPr>
            <w:tcW w:w="1950" w:type="dxa"/>
            <w:shd w:val="clear" w:color="auto" w:fill="auto"/>
            <w:noWrap/>
          </w:tcPr>
          <w:p w14:paraId="630D56F7" w14:textId="77777777" w:rsidR="00514D6F" w:rsidRPr="00954B78" w:rsidRDefault="000F5B51" w:rsidP="00514D6F">
            <w:pPr>
              <w:spacing w:after="0" w:line="240" w:lineRule="auto"/>
              <w:jc w:val="center"/>
              <w:rPr>
                <w:rFonts w:eastAsia="Times New Roman" w:cs="Times New Roman"/>
                <w:color w:val="000000"/>
                <w:szCs w:val="24"/>
              </w:rPr>
            </w:pPr>
            <w:r w:rsidRPr="00237F90">
              <w:t>0.6673</w:t>
            </w:r>
          </w:p>
        </w:tc>
        <w:tc>
          <w:tcPr>
            <w:tcW w:w="1949" w:type="dxa"/>
            <w:shd w:val="clear" w:color="auto" w:fill="auto"/>
            <w:noWrap/>
          </w:tcPr>
          <w:p w14:paraId="11CE1FFE" w14:textId="77777777" w:rsidR="00514D6F" w:rsidRPr="00954B78" w:rsidRDefault="000F5B51" w:rsidP="00514D6F">
            <w:pPr>
              <w:spacing w:after="0" w:line="240" w:lineRule="auto"/>
              <w:jc w:val="center"/>
              <w:rPr>
                <w:rFonts w:eastAsia="Times New Roman" w:cs="Times New Roman"/>
                <w:color w:val="000000"/>
                <w:szCs w:val="24"/>
              </w:rPr>
            </w:pPr>
            <w:r w:rsidRPr="00237F90">
              <w:t>1</w:t>
            </w:r>
          </w:p>
        </w:tc>
        <w:tc>
          <w:tcPr>
            <w:tcW w:w="1950" w:type="dxa"/>
          </w:tcPr>
          <w:p w14:paraId="2BAE1A15" w14:textId="77777777" w:rsidR="00514D6F" w:rsidRPr="00954B78" w:rsidRDefault="000F5B51" w:rsidP="00514D6F">
            <w:pPr>
              <w:spacing w:after="0" w:line="240" w:lineRule="auto"/>
              <w:jc w:val="center"/>
              <w:rPr>
                <w:rFonts w:eastAsia="Times New Roman" w:cs="Times New Roman"/>
                <w:color w:val="000000"/>
                <w:szCs w:val="24"/>
              </w:rPr>
            </w:pPr>
            <w:r w:rsidRPr="00A64298">
              <w:t>0.7088</w:t>
            </w:r>
          </w:p>
        </w:tc>
        <w:tc>
          <w:tcPr>
            <w:tcW w:w="1950" w:type="dxa"/>
          </w:tcPr>
          <w:p w14:paraId="512B640E" w14:textId="77777777" w:rsidR="00514D6F" w:rsidRPr="00954B78" w:rsidRDefault="000F5B51" w:rsidP="00514D6F">
            <w:pPr>
              <w:spacing w:after="0" w:line="240" w:lineRule="auto"/>
              <w:jc w:val="center"/>
              <w:rPr>
                <w:rFonts w:eastAsia="Times New Roman" w:cs="Times New Roman"/>
                <w:color w:val="000000"/>
                <w:szCs w:val="24"/>
              </w:rPr>
            </w:pPr>
            <w:r w:rsidRPr="00A64298">
              <w:t>1</w:t>
            </w:r>
          </w:p>
        </w:tc>
        <w:tc>
          <w:tcPr>
            <w:tcW w:w="1950" w:type="dxa"/>
          </w:tcPr>
          <w:p w14:paraId="08AA516B" w14:textId="77777777" w:rsidR="00514D6F" w:rsidRPr="00954B78" w:rsidRDefault="000F5B51" w:rsidP="00514D6F">
            <w:pPr>
              <w:spacing w:after="0" w:line="240" w:lineRule="auto"/>
              <w:jc w:val="center"/>
              <w:rPr>
                <w:rFonts w:eastAsia="Times New Roman" w:cs="Times New Roman"/>
                <w:color w:val="000000"/>
                <w:szCs w:val="24"/>
              </w:rPr>
            </w:pPr>
            <w:r w:rsidRPr="00A64298">
              <w:t>0</w:t>
            </w:r>
          </w:p>
        </w:tc>
      </w:tr>
      <w:tr w:rsidR="00A15C2C" w14:paraId="46E15306" w14:textId="77777777" w:rsidTr="00800C73">
        <w:trPr>
          <w:trHeight w:val="310"/>
          <w:jc w:val="center"/>
        </w:trPr>
        <w:tc>
          <w:tcPr>
            <w:tcW w:w="1488" w:type="dxa"/>
            <w:shd w:val="clear" w:color="auto" w:fill="auto"/>
            <w:noWrap/>
            <w:vAlign w:val="bottom"/>
          </w:tcPr>
          <w:p w14:paraId="34381EA6" w14:textId="77777777" w:rsidR="00D75645" w:rsidRPr="00012598" w:rsidRDefault="000F5B51" w:rsidP="00800C73">
            <w:pPr>
              <w:spacing w:after="0" w:line="240" w:lineRule="auto"/>
              <w:rPr>
                <w:rFonts w:eastAsia="Times New Roman" w:cs="Times New Roman"/>
                <w:b/>
                <w:bCs/>
                <w:color w:val="000000"/>
                <w:sz w:val="23"/>
                <w:szCs w:val="23"/>
              </w:rPr>
            </w:pPr>
            <w:r w:rsidRPr="00012598">
              <w:rPr>
                <w:rFonts w:eastAsia="Times New Roman" w:cs="Times New Roman"/>
                <w:b/>
                <w:bCs/>
                <w:color w:val="000000"/>
                <w:sz w:val="23"/>
                <w:szCs w:val="23"/>
              </w:rPr>
              <w:t>Non-Fatal Injuries</w:t>
            </w:r>
          </w:p>
          <w:p w14:paraId="67FCA29D" w14:textId="77777777" w:rsidR="00D75645" w:rsidRPr="00012598" w:rsidRDefault="000F5B51" w:rsidP="00800C73">
            <w:pPr>
              <w:spacing w:after="0" w:line="240" w:lineRule="auto"/>
              <w:rPr>
                <w:rFonts w:eastAsia="Times New Roman" w:cs="Times New Roman"/>
                <w:b/>
                <w:bCs/>
                <w:color w:val="000000"/>
                <w:szCs w:val="24"/>
              </w:rPr>
            </w:pPr>
            <w:r w:rsidRPr="00012598">
              <w:rPr>
                <w:rFonts w:eastAsia="Times New Roman" w:cs="Times New Roman"/>
                <w:b/>
                <w:bCs/>
                <w:color w:val="000000"/>
                <w:sz w:val="23"/>
                <w:szCs w:val="23"/>
              </w:rPr>
              <w:t>(MAIS 1-5)</w:t>
            </w:r>
          </w:p>
        </w:tc>
        <w:tc>
          <w:tcPr>
            <w:tcW w:w="1949" w:type="dxa"/>
            <w:vAlign w:val="center"/>
          </w:tcPr>
          <w:p w14:paraId="61F758D8" w14:textId="77777777" w:rsidR="00D75645" w:rsidRPr="00954B78" w:rsidRDefault="000F5B51" w:rsidP="00800C73">
            <w:pPr>
              <w:spacing w:after="0" w:line="240" w:lineRule="auto"/>
              <w:jc w:val="center"/>
              <w:rPr>
                <w:rFonts w:cs="Times New Roman"/>
                <w:b/>
                <w:bCs/>
                <w:color w:val="000000"/>
                <w:szCs w:val="24"/>
              </w:rPr>
            </w:pPr>
            <w:r>
              <w:rPr>
                <w:rFonts w:cs="Times New Roman"/>
                <w:b/>
                <w:bCs/>
                <w:color w:val="000000"/>
                <w:szCs w:val="24"/>
              </w:rPr>
              <w:t>1,190</w:t>
            </w:r>
          </w:p>
        </w:tc>
        <w:tc>
          <w:tcPr>
            <w:tcW w:w="1950" w:type="dxa"/>
            <w:shd w:val="clear" w:color="auto" w:fill="auto"/>
            <w:noWrap/>
            <w:vAlign w:val="center"/>
          </w:tcPr>
          <w:p w14:paraId="69184150" w14:textId="77777777" w:rsidR="00D75645" w:rsidRPr="00FE5B55" w:rsidRDefault="000F5B51" w:rsidP="00800C73">
            <w:pPr>
              <w:spacing w:after="0" w:line="240" w:lineRule="auto"/>
              <w:jc w:val="center"/>
              <w:rPr>
                <w:rFonts w:cs="Times New Roman"/>
                <w:color w:val="000000"/>
                <w:szCs w:val="24"/>
              </w:rPr>
            </w:pPr>
            <w:r w:rsidRPr="00FE5B55">
              <w:rPr>
                <w:rFonts w:cs="Times New Roman"/>
                <w:color w:val="000000"/>
                <w:szCs w:val="24"/>
              </w:rPr>
              <w:t>-</w:t>
            </w:r>
          </w:p>
        </w:tc>
        <w:tc>
          <w:tcPr>
            <w:tcW w:w="1950" w:type="dxa"/>
            <w:shd w:val="clear" w:color="auto" w:fill="auto"/>
            <w:noWrap/>
            <w:vAlign w:val="center"/>
          </w:tcPr>
          <w:p w14:paraId="628E9B03" w14:textId="77777777" w:rsidR="00D75645" w:rsidRPr="00FE5B55" w:rsidRDefault="000F5B51" w:rsidP="00800C73">
            <w:pPr>
              <w:spacing w:after="0" w:line="240" w:lineRule="auto"/>
              <w:jc w:val="center"/>
              <w:rPr>
                <w:rFonts w:cs="Times New Roman"/>
                <w:color w:val="000000"/>
                <w:szCs w:val="24"/>
              </w:rPr>
            </w:pPr>
            <w:r w:rsidRPr="00FE5B55">
              <w:rPr>
                <w:rFonts w:cs="Times New Roman"/>
                <w:color w:val="000000"/>
                <w:szCs w:val="24"/>
              </w:rPr>
              <w:t>-</w:t>
            </w:r>
          </w:p>
        </w:tc>
        <w:tc>
          <w:tcPr>
            <w:tcW w:w="1949" w:type="dxa"/>
            <w:shd w:val="clear" w:color="auto" w:fill="auto"/>
            <w:noWrap/>
            <w:vAlign w:val="center"/>
          </w:tcPr>
          <w:p w14:paraId="13DDB316" w14:textId="77777777" w:rsidR="00D75645" w:rsidRPr="0055589E" w:rsidRDefault="000F5B51" w:rsidP="00800C73">
            <w:pPr>
              <w:spacing w:after="0" w:line="240" w:lineRule="auto"/>
              <w:jc w:val="center"/>
              <w:rPr>
                <w:rFonts w:cs="Times New Roman"/>
                <w:b/>
                <w:bCs/>
                <w:color w:val="000000"/>
                <w:szCs w:val="24"/>
              </w:rPr>
            </w:pPr>
            <w:r w:rsidRPr="0055589E">
              <w:rPr>
                <w:rFonts w:cs="Times New Roman"/>
                <w:b/>
                <w:bCs/>
                <w:color w:val="000000"/>
                <w:szCs w:val="24"/>
              </w:rPr>
              <w:t>215</w:t>
            </w:r>
          </w:p>
        </w:tc>
        <w:tc>
          <w:tcPr>
            <w:tcW w:w="1950" w:type="dxa"/>
            <w:vAlign w:val="center"/>
          </w:tcPr>
          <w:p w14:paraId="3B2C032C" w14:textId="77777777" w:rsidR="00D75645" w:rsidRPr="00FE5B55" w:rsidRDefault="000F5B51" w:rsidP="00800C73">
            <w:pPr>
              <w:spacing w:after="0" w:line="240" w:lineRule="auto"/>
              <w:jc w:val="center"/>
              <w:rPr>
                <w:rFonts w:cs="Times New Roman"/>
                <w:color w:val="000000"/>
                <w:szCs w:val="24"/>
              </w:rPr>
            </w:pPr>
            <w:r w:rsidRPr="0055589E">
              <w:rPr>
                <w:rFonts w:cs="Times New Roman"/>
                <w:color w:val="000000"/>
                <w:szCs w:val="24"/>
              </w:rPr>
              <w:t>-</w:t>
            </w:r>
          </w:p>
        </w:tc>
        <w:tc>
          <w:tcPr>
            <w:tcW w:w="1950" w:type="dxa"/>
            <w:vAlign w:val="center"/>
          </w:tcPr>
          <w:p w14:paraId="228280F5" w14:textId="77777777" w:rsidR="00D75645" w:rsidRPr="0055589E" w:rsidRDefault="000F5B51" w:rsidP="00800C73">
            <w:pPr>
              <w:spacing w:after="0" w:line="240" w:lineRule="auto"/>
              <w:jc w:val="center"/>
              <w:rPr>
                <w:rFonts w:cs="Times New Roman"/>
                <w:b/>
                <w:bCs/>
                <w:color w:val="000000"/>
                <w:szCs w:val="24"/>
              </w:rPr>
            </w:pPr>
            <w:r>
              <w:rPr>
                <w:rFonts w:cs="Times New Roman"/>
                <w:b/>
                <w:bCs/>
                <w:color w:val="000000"/>
                <w:szCs w:val="24"/>
              </w:rPr>
              <w:t>228</w:t>
            </w:r>
          </w:p>
        </w:tc>
        <w:tc>
          <w:tcPr>
            <w:tcW w:w="1950" w:type="dxa"/>
            <w:vAlign w:val="center"/>
          </w:tcPr>
          <w:p w14:paraId="039A05E8" w14:textId="77777777" w:rsidR="00D75645" w:rsidRPr="0055589E" w:rsidRDefault="000F5B51" w:rsidP="00800C73">
            <w:pPr>
              <w:spacing w:after="0" w:line="240" w:lineRule="auto"/>
              <w:jc w:val="center"/>
              <w:rPr>
                <w:rFonts w:cs="Times New Roman"/>
                <w:b/>
                <w:bCs/>
                <w:color w:val="000000"/>
                <w:szCs w:val="24"/>
              </w:rPr>
            </w:pPr>
            <w:r>
              <w:rPr>
                <w:rFonts w:cs="Times New Roman"/>
                <w:b/>
                <w:bCs/>
                <w:color w:val="000000"/>
                <w:szCs w:val="24"/>
              </w:rPr>
              <w:t>13</w:t>
            </w:r>
          </w:p>
        </w:tc>
      </w:tr>
      <w:tr w:rsidR="00A15C2C" w14:paraId="21C87889" w14:textId="77777777" w:rsidTr="0055589E">
        <w:trPr>
          <w:trHeight w:val="310"/>
          <w:jc w:val="center"/>
        </w:trPr>
        <w:tc>
          <w:tcPr>
            <w:tcW w:w="1488" w:type="dxa"/>
            <w:shd w:val="clear" w:color="auto" w:fill="auto"/>
            <w:noWrap/>
            <w:vAlign w:val="bottom"/>
            <w:hideMark/>
          </w:tcPr>
          <w:p w14:paraId="4D3ADA6E" w14:textId="77777777" w:rsidR="004460F7" w:rsidRPr="00012598" w:rsidRDefault="000F5B51" w:rsidP="004460F7">
            <w:pPr>
              <w:spacing w:after="0" w:line="240" w:lineRule="auto"/>
              <w:rPr>
                <w:rFonts w:eastAsia="Times New Roman" w:cs="Times New Roman"/>
                <w:b/>
                <w:bCs/>
                <w:color w:val="000000"/>
                <w:szCs w:val="24"/>
              </w:rPr>
            </w:pPr>
            <w:r w:rsidRPr="00012598">
              <w:rPr>
                <w:rFonts w:eastAsia="Times New Roman" w:cs="Times New Roman"/>
                <w:b/>
                <w:bCs/>
                <w:color w:val="000000"/>
                <w:szCs w:val="24"/>
              </w:rPr>
              <w:t>Fatality</w:t>
            </w:r>
          </w:p>
        </w:tc>
        <w:tc>
          <w:tcPr>
            <w:tcW w:w="1949" w:type="dxa"/>
          </w:tcPr>
          <w:p w14:paraId="65DA9237" w14:textId="77777777" w:rsidR="004460F7" w:rsidRPr="00044F2E" w:rsidRDefault="000F5B51" w:rsidP="004460F7">
            <w:pPr>
              <w:spacing w:after="0" w:line="240" w:lineRule="auto"/>
              <w:jc w:val="center"/>
              <w:rPr>
                <w:rFonts w:cs="Times New Roman"/>
                <w:b/>
                <w:bCs/>
                <w:color w:val="000000"/>
                <w:szCs w:val="24"/>
              </w:rPr>
            </w:pPr>
            <w:r w:rsidRPr="0055589E">
              <w:rPr>
                <w:b/>
                <w:bCs/>
              </w:rPr>
              <w:t>174</w:t>
            </w:r>
          </w:p>
        </w:tc>
        <w:tc>
          <w:tcPr>
            <w:tcW w:w="1950" w:type="dxa"/>
            <w:shd w:val="clear" w:color="auto" w:fill="auto"/>
            <w:noWrap/>
          </w:tcPr>
          <w:p w14:paraId="0D28232C" w14:textId="77777777" w:rsidR="004460F7" w:rsidRPr="00044F2E" w:rsidRDefault="000F5B51" w:rsidP="004460F7">
            <w:pPr>
              <w:spacing w:after="0" w:line="240" w:lineRule="auto"/>
              <w:jc w:val="center"/>
              <w:rPr>
                <w:rFonts w:eastAsia="Times New Roman" w:cs="Times New Roman"/>
                <w:b/>
                <w:bCs/>
                <w:color w:val="000000"/>
                <w:szCs w:val="24"/>
              </w:rPr>
            </w:pPr>
            <w:r w:rsidRPr="0055589E">
              <w:rPr>
                <w:b/>
                <w:bCs/>
              </w:rPr>
              <w:t>0.44</w:t>
            </w:r>
          </w:p>
        </w:tc>
        <w:tc>
          <w:tcPr>
            <w:tcW w:w="1950" w:type="dxa"/>
            <w:shd w:val="clear" w:color="auto" w:fill="auto"/>
            <w:noWrap/>
          </w:tcPr>
          <w:p w14:paraId="57DA04A2" w14:textId="77777777" w:rsidR="004460F7" w:rsidRPr="0055589E" w:rsidRDefault="000F5B51" w:rsidP="004460F7">
            <w:pPr>
              <w:spacing w:after="0" w:line="240" w:lineRule="auto"/>
              <w:jc w:val="center"/>
              <w:rPr>
                <w:rFonts w:ascii="Calibri" w:hAnsi="Calibri" w:cs="Calibri"/>
                <w:b/>
                <w:bCs/>
                <w:color w:val="000000"/>
                <w:sz w:val="22"/>
              </w:rPr>
            </w:pPr>
            <w:r w:rsidRPr="0055589E">
              <w:rPr>
                <w:b/>
                <w:bCs/>
              </w:rPr>
              <w:t>0.6006</w:t>
            </w:r>
          </w:p>
        </w:tc>
        <w:tc>
          <w:tcPr>
            <w:tcW w:w="1949" w:type="dxa"/>
            <w:shd w:val="clear" w:color="auto" w:fill="auto"/>
            <w:noWrap/>
          </w:tcPr>
          <w:p w14:paraId="61F096C9" w14:textId="77777777" w:rsidR="004460F7" w:rsidRPr="00044F2E" w:rsidRDefault="000F5B51" w:rsidP="004460F7">
            <w:pPr>
              <w:spacing w:after="0" w:line="240" w:lineRule="auto"/>
              <w:jc w:val="center"/>
              <w:rPr>
                <w:b/>
                <w:bCs/>
                <w:color w:val="000000"/>
              </w:rPr>
            </w:pPr>
            <w:r w:rsidRPr="0055589E">
              <w:rPr>
                <w:b/>
                <w:bCs/>
              </w:rPr>
              <w:t>46</w:t>
            </w:r>
          </w:p>
        </w:tc>
        <w:tc>
          <w:tcPr>
            <w:tcW w:w="1950" w:type="dxa"/>
            <w:vAlign w:val="bottom"/>
          </w:tcPr>
          <w:p w14:paraId="65D59859" w14:textId="77777777" w:rsidR="004460F7" w:rsidRPr="00897AED" w:rsidRDefault="000F5B51" w:rsidP="004460F7">
            <w:pPr>
              <w:spacing w:after="0" w:line="240" w:lineRule="auto"/>
              <w:jc w:val="center"/>
              <w:rPr>
                <w:rFonts w:eastAsia="Times New Roman" w:cs="Times New Roman"/>
                <w:b/>
                <w:bCs/>
                <w:color w:val="000000"/>
                <w:szCs w:val="24"/>
              </w:rPr>
            </w:pPr>
            <w:r w:rsidRPr="0055589E">
              <w:rPr>
                <w:b/>
                <w:bCs/>
                <w:color w:val="000000"/>
              </w:rPr>
              <w:t>0.6380</w:t>
            </w:r>
          </w:p>
        </w:tc>
        <w:tc>
          <w:tcPr>
            <w:tcW w:w="1950" w:type="dxa"/>
            <w:vAlign w:val="center"/>
          </w:tcPr>
          <w:p w14:paraId="4E428DC9" w14:textId="77777777" w:rsidR="004460F7" w:rsidRPr="004B126D" w:rsidRDefault="000F5B51" w:rsidP="004460F7">
            <w:pPr>
              <w:spacing w:after="0" w:line="240" w:lineRule="auto"/>
              <w:jc w:val="center"/>
              <w:rPr>
                <w:rFonts w:eastAsia="Times New Roman" w:cs="Times New Roman"/>
                <w:b/>
                <w:color w:val="000000"/>
                <w:szCs w:val="24"/>
              </w:rPr>
            </w:pPr>
            <w:r>
              <w:rPr>
                <w:b/>
                <w:bCs/>
                <w:color w:val="000000"/>
              </w:rPr>
              <w:t>49</w:t>
            </w:r>
          </w:p>
        </w:tc>
        <w:tc>
          <w:tcPr>
            <w:tcW w:w="1950" w:type="dxa"/>
            <w:vAlign w:val="center"/>
          </w:tcPr>
          <w:p w14:paraId="6A4630BB" w14:textId="77777777" w:rsidR="004460F7" w:rsidRPr="004B126D" w:rsidRDefault="000F5B51" w:rsidP="004460F7">
            <w:pPr>
              <w:spacing w:after="0" w:line="240" w:lineRule="auto"/>
              <w:jc w:val="center"/>
              <w:rPr>
                <w:rFonts w:eastAsia="Times New Roman" w:cs="Times New Roman"/>
                <w:b/>
                <w:color w:val="000000"/>
                <w:szCs w:val="24"/>
              </w:rPr>
            </w:pPr>
            <w:r>
              <w:rPr>
                <w:b/>
                <w:bCs/>
                <w:color w:val="000000"/>
              </w:rPr>
              <w:t>3</w:t>
            </w:r>
          </w:p>
        </w:tc>
      </w:tr>
      <w:tr w:rsidR="00A15C2C" w14:paraId="775B61DA" w14:textId="77777777" w:rsidTr="00800C73">
        <w:trPr>
          <w:trHeight w:val="310"/>
          <w:jc w:val="center"/>
        </w:trPr>
        <w:tc>
          <w:tcPr>
            <w:tcW w:w="15136" w:type="dxa"/>
            <w:gridSpan w:val="8"/>
            <w:shd w:val="clear" w:color="auto" w:fill="D9D9D9" w:themeFill="background1" w:themeFillShade="D9"/>
            <w:noWrap/>
            <w:vAlign w:val="bottom"/>
          </w:tcPr>
          <w:p w14:paraId="22C4EA40" w14:textId="77777777" w:rsidR="00D75645" w:rsidRPr="000B32DD" w:rsidRDefault="000F5B51" w:rsidP="00800C73">
            <w:pPr>
              <w:spacing w:after="0" w:line="240" w:lineRule="auto"/>
              <w:jc w:val="center"/>
              <w:rPr>
                <w:b/>
                <w:bCs/>
                <w:i/>
                <w:iCs/>
                <w:color w:val="000000"/>
              </w:rPr>
            </w:pPr>
            <w:r>
              <w:rPr>
                <w:b/>
                <w:bCs/>
                <w:i/>
                <w:iCs/>
                <w:color w:val="000000"/>
              </w:rPr>
              <w:t>Light Trucks</w:t>
            </w:r>
          </w:p>
        </w:tc>
      </w:tr>
      <w:tr w:rsidR="00A15C2C" w14:paraId="6CDE798F" w14:textId="77777777" w:rsidTr="0055589E">
        <w:trPr>
          <w:trHeight w:val="310"/>
          <w:jc w:val="center"/>
        </w:trPr>
        <w:tc>
          <w:tcPr>
            <w:tcW w:w="1488" w:type="dxa"/>
            <w:shd w:val="clear" w:color="auto" w:fill="auto"/>
            <w:noWrap/>
            <w:vAlign w:val="bottom"/>
            <w:hideMark/>
          </w:tcPr>
          <w:p w14:paraId="07C5E8C7" w14:textId="77777777" w:rsidR="004460F7" w:rsidRPr="00954B78" w:rsidRDefault="000F5B51" w:rsidP="004460F7">
            <w:pPr>
              <w:spacing w:after="0" w:line="240" w:lineRule="auto"/>
              <w:rPr>
                <w:rFonts w:eastAsia="Times New Roman" w:cs="Times New Roman"/>
                <w:color w:val="000000"/>
                <w:szCs w:val="24"/>
              </w:rPr>
            </w:pPr>
            <w:r>
              <w:rPr>
                <w:rFonts w:eastAsia="Times New Roman" w:cs="Times New Roman"/>
                <w:color w:val="000000"/>
                <w:szCs w:val="24"/>
              </w:rPr>
              <w:t>MAIS 1</w:t>
            </w:r>
          </w:p>
        </w:tc>
        <w:tc>
          <w:tcPr>
            <w:tcW w:w="1949" w:type="dxa"/>
          </w:tcPr>
          <w:p w14:paraId="4E7FC214" w14:textId="77777777" w:rsidR="004460F7" w:rsidRPr="00954B78" w:rsidRDefault="000F5B51" w:rsidP="004460F7">
            <w:pPr>
              <w:spacing w:after="0" w:line="240" w:lineRule="auto"/>
              <w:jc w:val="center"/>
              <w:rPr>
                <w:rFonts w:cs="Times New Roman"/>
                <w:color w:val="000000"/>
                <w:szCs w:val="24"/>
              </w:rPr>
            </w:pPr>
            <w:r w:rsidRPr="00B61791">
              <w:t>375</w:t>
            </w:r>
          </w:p>
        </w:tc>
        <w:tc>
          <w:tcPr>
            <w:tcW w:w="1950" w:type="dxa"/>
            <w:shd w:val="clear" w:color="auto" w:fill="auto"/>
            <w:noWrap/>
          </w:tcPr>
          <w:p w14:paraId="1645646A" w14:textId="77777777" w:rsidR="004460F7" w:rsidRPr="00954B78" w:rsidRDefault="000F5B51" w:rsidP="004460F7">
            <w:pPr>
              <w:spacing w:after="0" w:line="240" w:lineRule="auto"/>
              <w:jc w:val="center"/>
              <w:rPr>
                <w:rFonts w:eastAsia="Times New Roman" w:cs="Times New Roman"/>
                <w:color w:val="000000"/>
                <w:szCs w:val="24"/>
              </w:rPr>
            </w:pPr>
            <w:r w:rsidRPr="00B61791">
              <w:t>0.055</w:t>
            </w:r>
          </w:p>
        </w:tc>
        <w:tc>
          <w:tcPr>
            <w:tcW w:w="1950" w:type="dxa"/>
            <w:shd w:val="clear" w:color="auto" w:fill="auto"/>
            <w:noWrap/>
          </w:tcPr>
          <w:p w14:paraId="7F2A069A" w14:textId="77777777" w:rsidR="004460F7" w:rsidRPr="00954B78" w:rsidRDefault="000F5B51" w:rsidP="004460F7">
            <w:pPr>
              <w:spacing w:after="0" w:line="240" w:lineRule="auto"/>
              <w:jc w:val="center"/>
              <w:rPr>
                <w:rFonts w:eastAsia="Times New Roman" w:cs="Times New Roman"/>
                <w:color w:val="000000"/>
                <w:szCs w:val="24"/>
              </w:rPr>
            </w:pPr>
            <w:r w:rsidRPr="00B61791">
              <w:t>0.6673</w:t>
            </w:r>
          </w:p>
        </w:tc>
        <w:tc>
          <w:tcPr>
            <w:tcW w:w="1949" w:type="dxa"/>
            <w:shd w:val="clear" w:color="auto" w:fill="auto"/>
            <w:noWrap/>
          </w:tcPr>
          <w:p w14:paraId="0A4C48D2" w14:textId="77777777" w:rsidR="004460F7" w:rsidRPr="00954B78" w:rsidRDefault="000F5B51" w:rsidP="004460F7">
            <w:pPr>
              <w:spacing w:after="0" w:line="240" w:lineRule="auto"/>
              <w:jc w:val="center"/>
              <w:rPr>
                <w:rFonts w:eastAsia="Times New Roman" w:cs="Times New Roman"/>
                <w:color w:val="000000"/>
                <w:szCs w:val="24"/>
              </w:rPr>
            </w:pPr>
            <w:r w:rsidRPr="00B61791">
              <w:t>14</w:t>
            </w:r>
          </w:p>
        </w:tc>
        <w:tc>
          <w:tcPr>
            <w:tcW w:w="1950" w:type="dxa"/>
          </w:tcPr>
          <w:p w14:paraId="2B9251F8" w14:textId="77777777" w:rsidR="004460F7" w:rsidRPr="00954B78" w:rsidRDefault="000F5B51" w:rsidP="004460F7">
            <w:pPr>
              <w:spacing w:after="0" w:line="240" w:lineRule="auto"/>
              <w:jc w:val="center"/>
              <w:rPr>
                <w:rFonts w:eastAsia="Times New Roman" w:cs="Times New Roman"/>
                <w:color w:val="000000"/>
                <w:szCs w:val="24"/>
              </w:rPr>
            </w:pPr>
            <w:r w:rsidRPr="00CE7B07">
              <w:t>0.7088</w:t>
            </w:r>
          </w:p>
        </w:tc>
        <w:tc>
          <w:tcPr>
            <w:tcW w:w="1950" w:type="dxa"/>
          </w:tcPr>
          <w:p w14:paraId="275F5AFB" w14:textId="77777777" w:rsidR="004460F7" w:rsidRPr="00954B78" w:rsidRDefault="000F5B51" w:rsidP="004460F7">
            <w:pPr>
              <w:spacing w:after="0" w:line="240" w:lineRule="auto"/>
              <w:jc w:val="center"/>
              <w:rPr>
                <w:rFonts w:eastAsia="Times New Roman" w:cs="Times New Roman"/>
                <w:color w:val="000000"/>
                <w:szCs w:val="24"/>
              </w:rPr>
            </w:pPr>
            <w:r w:rsidRPr="00CE7B07">
              <w:t>15</w:t>
            </w:r>
          </w:p>
        </w:tc>
        <w:tc>
          <w:tcPr>
            <w:tcW w:w="1950" w:type="dxa"/>
          </w:tcPr>
          <w:p w14:paraId="10321864" w14:textId="77777777" w:rsidR="004460F7" w:rsidRPr="00954B78" w:rsidRDefault="000F5B51" w:rsidP="004460F7">
            <w:pPr>
              <w:spacing w:after="0" w:line="240" w:lineRule="auto"/>
              <w:jc w:val="center"/>
              <w:rPr>
                <w:rFonts w:eastAsia="Times New Roman" w:cs="Times New Roman"/>
                <w:color w:val="000000"/>
                <w:szCs w:val="24"/>
              </w:rPr>
            </w:pPr>
            <w:r w:rsidRPr="00CE7B07">
              <w:t>1</w:t>
            </w:r>
          </w:p>
        </w:tc>
      </w:tr>
      <w:tr w:rsidR="00A15C2C" w14:paraId="16E0253B" w14:textId="77777777" w:rsidTr="0055589E">
        <w:trPr>
          <w:trHeight w:val="310"/>
          <w:jc w:val="center"/>
        </w:trPr>
        <w:tc>
          <w:tcPr>
            <w:tcW w:w="1488" w:type="dxa"/>
            <w:shd w:val="clear" w:color="auto" w:fill="auto"/>
            <w:noWrap/>
            <w:hideMark/>
          </w:tcPr>
          <w:p w14:paraId="2DEA5CDC" w14:textId="77777777" w:rsidR="004460F7" w:rsidRPr="00954B78" w:rsidRDefault="000F5B51" w:rsidP="004460F7">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2</w:t>
            </w:r>
          </w:p>
        </w:tc>
        <w:tc>
          <w:tcPr>
            <w:tcW w:w="1949" w:type="dxa"/>
          </w:tcPr>
          <w:p w14:paraId="12F92BC8" w14:textId="77777777" w:rsidR="004460F7" w:rsidRPr="00954B78" w:rsidRDefault="000F5B51" w:rsidP="004460F7">
            <w:pPr>
              <w:spacing w:after="0" w:line="240" w:lineRule="auto"/>
              <w:jc w:val="center"/>
              <w:rPr>
                <w:rFonts w:cs="Times New Roman"/>
                <w:color w:val="000000"/>
                <w:szCs w:val="24"/>
              </w:rPr>
            </w:pPr>
            <w:r w:rsidRPr="00B61791">
              <w:t>184</w:t>
            </w:r>
          </w:p>
        </w:tc>
        <w:tc>
          <w:tcPr>
            <w:tcW w:w="1950" w:type="dxa"/>
            <w:shd w:val="clear" w:color="auto" w:fill="auto"/>
            <w:noWrap/>
          </w:tcPr>
          <w:p w14:paraId="7C11528C" w14:textId="77777777" w:rsidR="004460F7" w:rsidRPr="00954B78" w:rsidRDefault="000F5B51" w:rsidP="004460F7">
            <w:pPr>
              <w:spacing w:after="0" w:line="240" w:lineRule="auto"/>
              <w:jc w:val="center"/>
              <w:rPr>
                <w:rFonts w:eastAsia="Times New Roman" w:cs="Times New Roman"/>
                <w:color w:val="000000"/>
                <w:szCs w:val="24"/>
              </w:rPr>
            </w:pPr>
            <w:r w:rsidRPr="00B61791">
              <w:t>0.5</w:t>
            </w:r>
          </w:p>
        </w:tc>
        <w:tc>
          <w:tcPr>
            <w:tcW w:w="1950" w:type="dxa"/>
            <w:shd w:val="clear" w:color="auto" w:fill="auto"/>
            <w:noWrap/>
          </w:tcPr>
          <w:p w14:paraId="3F98BC38" w14:textId="77777777" w:rsidR="004460F7" w:rsidRPr="00954B78" w:rsidRDefault="000F5B51" w:rsidP="004460F7">
            <w:pPr>
              <w:spacing w:after="0" w:line="240" w:lineRule="auto"/>
              <w:jc w:val="center"/>
              <w:rPr>
                <w:rFonts w:eastAsia="Times New Roman" w:cs="Times New Roman"/>
                <w:color w:val="000000"/>
                <w:szCs w:val="24"/>
              </w:rPr>
            </w:pPr>
            <w:r w:rsidRPr="00B61791">
              <w:t>0.6673</w:t>
            </w:r>
          </w:p>
        </w:tc>
        <w:tc>
          <w:tcPr>
            <w:tcW w:w="1949" w:type="dxa"/>
            <w:shd w:val="clear" w:color="auto" w:fill="auto"/>
            <w:noWrap/>
          </w:tcPr>
          <w:p w14:paraId="617997D1" w14:textId="77777777" w:rsidR="004460F7" w:rsidRPr="00954B78" w:rsidRDefault="000F5B51" w:rsidP="004460F7">
            <w:pPr>
              <w:spacing w:after="0" w:line="240" w:lineRule="auto"/>
              <w:jc w:val="center"/>
              <w:rPr>
                <w:rFonts w:eastAsia="Times New Roman" w:cs="Times New Roman"/>
                <w:color w:val="000000"/>
                <w:szCs w:val="24"/>
              </w:rPr>
            </w:pPr>
            <w:r w:rsidRPr="00B61791">
              <w:t>61</w:t>
            </w:r>
          </w:p>
        </w:tc>
        <w:tc>
          <w:tcPr>
            <w:tcW w:w="1950" w:type="dxa"/>
          </w:tcPr>
          <w:p w14:paraId="10C22736" w14:textId="77777777" w:rsidR="004460F7" w:rsidRPr="00954B78" w:rsidRDefault="000F5B51" w:rsidP="004460F7">
            <w:pPr>
              <w:spacing w:after="0" w:line="240" w:lineRule="auto"/>
              <w:jc w:val="center"/>
              <w:rPr>
                <w:rFonts w:eastAsia="Times New Roman" w:cs="Times New Roman"/>
                <w:color w:val="000000"/>
                <w:szCs w:val="24"/>
              </w:rPr>
            </w:pPr>
            <w:r w:rsidRPr="00CE7B07">
              <w:t>0.7088</w:t>
            </w:r>
          </w:p>
        </w:tc>
        <w:tc>
          <w:tcPr>
            <w:tcW w:w="1950" w:type="dxa"/>
          </w:tcPr>
          <w:p w14:paraId="036706E2" w14:textId="77777777" w:rsidR="004460F7" w:rsidRPr="00954B78" w:rsidRDefault="000F5B51" w:rsidP="004460F7">
            <w:pPr>
              <w:spacing w:after="0" w:line="240" w:lineRule="auto"/>
              <w:jc w:val="center"/>
              <w:rPr>
                <w:rFonts w:eastAsia="Times New Roman" w:cs="Times New Roman"/>
                <w:color w:val="000000"/>
                <w:szCs w:val="24"/>
              </w:rPr>
            </w:pPr>
            <w:r w:rsidRPr="00CE7B07">
              <w:t>65</w:t>
            </w:r>
          </w:p>
        </w:tc>
        <w:tc>
          <w:tcPr>
            <w:tcW w:w="1950" w:type="dxa"/>
          </w:tcPr>
          <w:p w14:paraId="227FAB6C" w14:textId="77777777" w:rsidR="004460F7" w:rsidRPr="00954B78" w:rsidRDefault="000F5B51" w:rsidP="004460F7">
            <w:pPr>
              <w:spacing w:after="0" w:line="240" w:lineRule="auto"/>
              <w:jc w:val="center"/>
              <w:rPr>
                <w:rFonts w:eastAsia="Times New Roman" w:cs="Times New Roman"/>
                <w:color w:val="000000"/>
                <w:szCs w:val="24"/>
              </w:rPr>
            </w:pPr>
            <w:r w:rsidRPr="00CE7B07">
              <w:t>4</w:t>
            </w:r>
          </w:p>
        </w:tc>
      </w:tr>
      <w:tr w:rsidR="00A15C2C" w14:paraId="0F143DC8" w14:textId="77777777" w:rsidTr="0055589E">
        <w:trPr>
          <w:trHeight w:val="310"/>
          <w:jc w:val="center"/>
        </w:trPr>
        <w:tc>
          <w:tcPr>
            <w:tcW w:w="1488" w:type="dxa"/>
            <w:shd w:val="clear" w:color="auto" w:fill="auto"/>
            <w:noWrap/>
            <w:hideMark/>
          </w:tcPr>
          <w:p w14:paraId="3000F77D" w14:textId="77777777" w:rsidR="004460F7" w:rsidRPr="00954B78" w:rsidRDefault="000F5B51" w:rsidP="004460F7">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3</w:t>
            </w:r>
          </w:p>
        </w:tc>
        <w:tc>
          <w:tcPr>
            <w:tcW w:w="1949" w:type="dxa"/>
          </w:tcPr>
          <w:p w14:paraId="302352F3" w14:textId="77777777" w:rsidR="004460F7" w:rsidRPr="00954B78" w:rsidRDefault="000F5B51" w:rsidP="004460F7">
            <w:pPr>
              <w:spacing w:after="0" w:line="240" w:lineRule="auto"/>
              <w:jc w:val="center"/>
              <w:rPr>
                <w:rFonts w:cs="Times New Roman"/>
                <w:color w:val="000000"/>
                <w:szCs w:val="24"/>
              </w:rPr>
            </w:pPr>
            <w:r w:rsidRPr="00B61791">
              <w:t>1</w:t>
            </w:r>
          </w:p>
        </w:tc>
        <w:tc>
          <w:tcPr>
            <w:tcW w:w="1950" w:type="dxa"/>
            <w:shd w:val="clear" w:color="auto" w:fill="auto"/>
            <w:noWrap/>
          </w:tcPr>
          <w:p w14:paraId="5631F444" w14:textId="77777777" w:rsidR="004460F7" w:rsidRPr="00954B78" w:rsidRDefault="000F5B51" w:rsidP="004460F7">
            <w:pPr>
              <w:spacing w:after="0" w:line="240" w:lineRule="auto"/>
              <w:jc w:val="center"/>
              <w:rPr>
                <w:rFonts w:eastAsia="Times New Roman" w:cs="Times New Roman"/>
                <w:color w:val="000000"/>
                <w:szCs w:val="24"/>
              </w:rPr>
            </w:pPr>
            <w:r w:rsidRPr="00B61791">
              <w:t>0.5</w:t>
            </w:r>
          </w:p>
        </w:tc>
        <w:tc>
          <w:tcPr>
            <w:tcW w:w="1950" w:type="dxa"/>
            <w:shd w:val="clear" w:color="auto" w:fill="auto"/>
            <w:noWrap/>
          </w:tcPr>
          <w:p w14:paraId="5574B330" w14:textId="77777777" w:rsidR="004460F7" w:rsidRPr="00954B78" w:rsidRDefault="000F5B51" w:rsidP="004460F7">
            <w:pPr>
              <w:spacing w:after="0" w:line="240" w:lineRule="auto"/>
              <w:jc w:val="center"/>
              <w:rPr>
                <w:rFonts w:eastAsia="Times New Roman" w:cs="Times New Roman"/>
                <w:color w:val="000000"/>
                <w:szCs w:val="24"/>
              </w:rPr>
            </w:pPr>
            <w:r w:rsidRPr="00B61791">
              <w:t>0.6673</w:t>
            </w:r>
          </w:p>
        </w:tc>
        <w:tc>
          <w:tcPr>
            <w:tcW w:w="1949" w:type="dxa"/>
            <w:shd w:val="clear" w:color="auto" w:fill="auto"/>
            <w:noWrap/>
          </w:tcPr>
          <w:p w14:paraId="790B1426" w14:textId="77777777" w:rsidR="004460F7" w:rsidRPr="00954B78" w:rsidRDefault="000F5B51" w:rsidP="004460F7">
            <w:pPr>
              <w:spacing w:after="0" w:line="240" w:lineRule="auto"/>
              <w:jc w:val="center"/>
              <w:rPr>
                <w:rFonts w:eastAsia="Times New Roman" w:cs="Times New Roman"/>
                <w:color w:val="000000"/>
                <w:szCs w:val="24"/>
              </w:rPr>
            </w:pPr>
            <w:r w:rsidRPr="00B61791">
              <w:t>0</w:t>
            </w:r>
          </w:p>
        </w:tc>
        <w:tc>
          <w:tcPr>
            <w:tcW w:w="1950" w:type="dxa"/>
          </w:tcPr>
          <w:p w14:paraId="3910DC3B" w14:textId="77777777" w:rsidR="004460F7" w:rsidRPr="00954B78" w:rsidRDefault="000F5B51" w:rsidP="004460F7">
            <w:pPr>
              <w:spacing w:after="0" w:line="240" w:lineRule="auto"/>
              <w:jc w:val="center"/>
              <w:rPr>
                <w:rFonts w:eastAsia="Times New Roman" w:cs="Times New Roman"/>
                <w:color w:val="000000"/>
                <w:szCs w:val="24"/>
              </w:rPr>
            </w:pPr>
            <w:r w:rsidRPr="00CE7B07">
              <w:t>0.7088</w:t>
            </w:r>
          </w:p>
        </w:tc>
        <w:tc>
          <w:tcPr>
            <w:tcW w:w="1950" w:type="dxa"/>
          </w:tcPr>
          <w:p w14:paraId="56DDA8F6" w14:textId="77777777" w:rsidR="004460F7" w:rsidRPr="00954B78" w:rsidRDefault="000F5B51" w:rsidP="004460F7">
            <w:pPr>
              <w:spacing w:after="0" w:line="240" w:lineRule="auto"/>
              <w:jc w:val="center"/>
              <w:rPr>
                <w:rFonts w:eastAsia="Times New Roman" w:cs="Times New Roman"/>
                <w:color w:val="000000"/>
                <w:szCs w:val="24"/>
              </w:rPr>
            </w:pPr>
            <w:r w:rsidRPr="00CE7B07">
              <w:t>0</w:t>
            </w:r>
          </w:p>
        </w:tc>
        <w:tc>
          <w:tcPr>
            <w:tcW w:w="1950" w:type="dxa"/>
            <w:tcBorders>
              <w:right w:val="single" w:sz="4" w:space="0" w:color="auto"/>
            </w:tcBorders>
          </w:tcPr>
          <w:p w14:paraId="10A7C3EE" w14:textId="77777777" w:rsidR="004460F7" w:rsidRPr="00954B78" w:rsidRDefault="000F5B51" w:rsidP="004460F7">
            <w:pPr>
              <w:spacing w:after="0" w:line="240" w:lineRule="auto"/>
              <w:jc w:val="center"/>
              <w:rPr>
                <w:rFonts w:eastAsia="Times New Roman" w:cs="Times New Roman"/>
                <w:color w:val="000000"/>
                <w:szCs w:val="24"/>
              </w:rPr>
            </w:pPr>
            <w:r w:rsidRPr="00CE7B07">
              <w:t>0</w:t>
            </w:r>
          </w:p>
        </w:tc>
      </w:tr>
      <w:tr w:rsidR="00A15C2C" w14:paraId="6A5157DA" w14:textId="77777777" w:rsidTr="0055589E">
        <w:trPr>
          <w:trHeight w:val="310"/>
          <w:jc w:val="center"/>
        </w:trPr>
        <w:tc>
          <w:tcPr>
            <w:tcW w:w="1488" w:type="dxa"/>
            <w:shd w:val="clear" w:color="auto" w:fill="auto"/>
            <w:noWrap/>
            <w:hideMark/>
          </w:tcPr>
          <w:p w14:paraId="1692DD9A" w14:textId="77777777" w:rsidR="004460F7" w:rsidRPr="00954B78" w:rsidRDefault="000F5B51" w:rsidP="004460F7">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4</w:t>
            </w:r>
          </w:p>
        </w:tc>
        <w:tc>
          <w:tcPr>
            <w:tcW w:w="1949" w:type="dxa"/>
          </w:tcPr>
          <w:p w14:paraId="1B4C1C6A" w14:textId="77777777" w:rsidR="004460F7" w:rsidRPr="00954B78" w:rsidRDefault="000F5B51" w:rsidP="004460F7">
            <w:pPr>
              <w:spacing w:after="0" w:line="240" w:lineRule="auto"/>
              <w:jc w:val="center"/>
              <w:rPr>
                <w:rFonts w:cs="Times New Roman"/>
                <w:color w:val="000000"/>
                <w:szCs w:val="24"/>
              </w:rPr>
            </w:pPr>
            <w:r w:rsidRPr="00B61791">
              <w:t>9</w:t>
            </w:r>
          </w:p>
        </w:tc>
        <w:tc>
          <w:tcPr>
            <w:tcW w:w="1950" w:type="dxa"/>
            <w:shd w:val="clear" w:color="auto" w:fill="auto"/>
            <w:noWrap/>
          </w:tcPr>
          <w:p w14:paraId="51EABC37" w14:textId="77777777" w:rsidR="004460F7" w:rsidRPr="00954B78" w:rsidRDefault="000F5B51" w:rsidP="004460F7">
            <w:pPr>
              <w:spacing w:after="0" w:line="240" w:lineRule="auto"/>
              <w:jc w:val="center"/>
              <w:rPr>
                <w:rFonts w:eastAsia="Times New Roman" w:cs="Times New Roman"/>
                <w:color w:val="000000"/>
                <w:szCs w:val="24"/>
              </w:rPr>
            </w:pPr>
            <w:r w:rsidRPr="00B61791">
              <w:t>0.5</w:t>
            </w:r>
          </w:p>
        </w:tc>
        <w:tc>
          <w:tcPr>
            <w:tcW w:w="1950" w:type="dxa"/>
            <w:shd w:val="clear" w:color="auto" w:fill="auto"/>
            <w:noWrap/>
          </w:tcPr>
          <w:p w14:paraId="35435C2E" w14:textId="77777777" w:rsidR="004460F7" w:rsidRPr="00954B78" w:rsidRDefault="000F5B51" w:rsidP="004460F7">
            <w:pPr>
              <w:spacing w:after="0" w:line="240" w:lineRule="auto"/>
              <w:jc w:val="center"/>
              <w:rPr>
                <w:rFonts w:eastAsia="Times New Roman" w:cs="Times New Roman"/>
                <w:color w:val="000000"/>
                <w:szCs w:val="24"/>
              </w:rPr>
            </w:pPr>
            <w:r w:rsidRPr="00B61791">
              <w:t>0.6673</w:t>
            </w:r>
          </w:p>
        </w:tc>
        <w:tc>
          <w:tcPr>
            <w:tcW w:w="1949" w:type="dxa"/>
            <w:shd w:val="clear" w:color="auto" w:fill="auto"/>
            <w:noWrap/>
          </w:tcPr>
          <w:p w14:paraId="74340E26" w14:textId="77777777" w:rsidR="004460F7" w:rsidRPr="00954B78" w:rsidRDefault="000F5B51" w:rsidP="004460F7">
            <w:pPr>
              <w:spacing w:after="0" w:line="240" w:lineRule="auto"/>
              <w:jc w:val="center"/>
              <w:rPr>
                <w:rFonts w:eastAsia="Times New Roman" w:cs="Times New Roman"/>
                <w:color w:val="000000"/>
                <w:szCs w:val="24"/>
              </w:rPr>
            </w:pPr>
            <w:r w:rsidRPr="00B61791">
              <w:t>3</w:t>
            </w:r>
          </w:p>
        </w:tc>
        <w:tc>
          <w:tcPr>
            <w:tcW w:w="1950" w:type="dxa"/>
          </w:tcPr>
          <w:p w14:paraId="0C0FC5EA" w14:textId="77777777" w:rsidR="004460F7" w:rsidRPr="00954B78" w:rsidRDefault="000F5B51" w:rsidP="004460F7">
            <w:pPr>
              <w:spacing w:after="0" w:line="240" w:lineRule="auto"/>
              <w:jc w:val="center"/>
              <w:rPr>
                <w:rFonts w:eastAsia="Times New Roman" w:cs="Times New Roman"/>
                <w:color w:val="000000"/>
                <w:szCs w:val="24"/>
              </w:rPr>
            </w:pPr>
            <w:r w:rsidRPr="00CE7B07">
              <w:t>0.7088</w:t>
            </w:r>
          </w:p>
        </w:tc>
        <w:tc>
          <w:tcPr>
            <w:tcW w:w="1950" w:type="dxa"/>
          </w:tcPr>
          <w:p w14:paraId="54284A18" w14:textId="77777777" w:rsidR="004460F7" w:rsidRPr="00954B78" w:rsidRDefault="000F5B51" w:rsidP="004460F7">
            <w:pPr>
              <w:spacing w:after="0" w:line="240" w:lineRule="auto"/>
              <w:jc w:val="center"/>
              <w:rPr>
                <w:rFonts w:eastAsia="Times New Roman" w:cs="Times New Roman"/>
                <w:color w:val="000000"/>
                <w:szCs w:val="24"/>
              </w:rPr>
            </w:pPr>
            <w:r w:rsidRPr="00CE7B07">
              <w:t>3</w:t>
            </w:r>
          </w:p>
        </w:tc>
        <w:tc>
          <w:tcPr>
            <w:tcW w:w="1950" w:type="dxa"/>
            <w:tcBorders>
              <w:right w:val="single" w:sz="4" w:space="0" w:color="auto"/>
            </w:tcBorders>
          </w:tcPr>
          <w:p w14:paraId="28AF5B61" w14:textId="77777777" w:rsidR="004460F7" w:rsidRPr="00954B78" w:rsidRDefault="000F5B51" w:rsidP="004460F7">
            <w:pPr>
              <w:spacing w:after="0" w:line="240" w:lineRule="auto"/>
              <w:jc w:val="center"/>
              <w:rPr>
                <w:rFonts w:eastAsia="Times New Roman" w:cs="Times New Roman"/>
                <w:color w:val="000000"/>
                <w:szCs w:val="24"/>
              </w:rPr>
            </w:pPr>
            <w:r w:rsidRPr="00CE7B07">
              <w:t>0</w:t>
            </w:r>
          </w:p>
        </w:tc>
      </w:tr>
      <w:tr w:rsidR="00A15C2C" w14:paraId="5D9A316A" w14:textId="77777777" w:rsidTr="0055589E">
        <w:trPr>
          <w:trHeight w:val="310"/>
          <w:jc w:val="center"/>
        </w:trPr>
        <w:tc>
          <w:tcPr>
            <w:tcW w:w="1488" w:type="dxa"/>
            <w:shd w:val="clear" w:color="auto" w:fill="auto"/>
            <w:noWrap/>
            <w:hideMark/>
          </w:tcPr>
          <w:p w14:paraId="4DA42833" w14:textId="77777777" w:rsidR="004460F7" w:rsidRPr="00954B78" w:rsidRDefault="000F5B51" w:rsidP="004460F7">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5</w:t>
            </w:r>
          </w:p>
        </w:tc>
        <w:tc>
          <w:tcPr>
            <w:tcW w:w="1949" w:type="dxa"/>
          </w:tcPr>
          <w:p w14:paraId="2DA71CD9" w14:textId="77777777" w:rsidR="004460F7" w:rsidRPr="00954B78" w:rsidRDefault="000F5B51" w:rsidP="004460F7">
            <w:pPr>
              <w:spacing w:after="0" w:line="240" w:lineRule="auto"/>
              <w:jc w:val="center"/>
              <w:rPr>
                <w:rFonts w:cs="Times New Roman"/>
                <w:color w:val="000000"/>
                <w:szCs w:val="24"/>
              </w:rPr>
            </w:pPr>
            <w:r w:rsidRPr="00B61791">
              <w:t>1</w:t>
            </w:r>
          </w:p>
        </w:tc>
        <w:tc>
          <w:tcPr>
            <w:tcW w:w="1950" w:type="dxa"/>
            <w:shd w:val="clear" w:color="auto" w:fill="auto"/>
            <w:noWrap/>
          </w:tcPr>
          <w:p w14:paraId="7F0A6F05" w14:textId="77777777" w:rsidR="004460F7" w:rsidRPr="00954B78" w:rsidRDefault="000F5B51" w:rsidP="004460F7">
            <w:pPr>
              <w:spacing w:after="0" w:line="240" w:lineRule="auto"/>
              <w:jc w:val="center"/>
              <w:rPr>
                <w:rFonts w:eastAsia="Times New Roman" w:cs="Times New Roman"/>
                <w:color w:val="000000"/>
                <w:szCs w:val="24"/>
              </w:rPr>
            </w:pPr>
            <w:r w:rsidRPr="00B61791">
              <w:t>0.5</w:t>
            </w:r>
          </w:p>
        </w:tc>
        <w:tc>
          <w:tcPr>
            <w:tcW w:w="1950" w:type="dxa"/>
            <w:shd w:val="clear" w:color="auto" w:fill="auto"/>
            <w:noWrap/>
          </w:tcPr>
          <w:p w14:paraId="4E5209E0" w14:textId="77777777" w:rsidR="004460F7" w:rsidRPr="00954B78" w:rsidRDefault="000F5B51" w:rsidP="004460F7">
            <w:pPr>
              <w:spacing w:after="0" w:line="240" w:lineRule="auto"/>
              <w:jc w:val="center"/>
              <w:rPr>
                <w:rFonts w:eastAsia="Times New Roman" w:cs="Times New Roman"/>
                <w:color w:val="000000"/>
                <w:szCs w:val="24"/>
              </w:rPr>
            </w:pPr>
            <w:r w:rsidRPr="00B61791">
              <w:t>0.6673</w:t>
            </w:r>
          </w:p>
        </w:tc>
        <w:tc>
          <w:tcPr>
            <w:tcW w:w="1949" w:type="dxa"/>
            <w:shd w:val="clear" w:color="auto" w:fill="auto"/>
            <w:noWrap/>
          </w:tcPr>
          <w:p w14:paraId="3C51C857" w14:textId="77777777" w:rsidR="004460F7" w:rsidRPr="00954B78" w:rsidRDefault="000F5B51" w:rsidP="004460F7">
            <w:pPr>
              <w:spacing w:after="0" w:line="240" w:lineRule="auto"/>
              <w:jc w:val="center"/>
              <w:rPr>
                <w:rFonts w:eastAsia="Times New Roman" w:cs="Times New Roman"/>
                <w:color w:val="000000"/>
                <w:szCs w:val="24"/>
              </w:rPr>
            </w:pPr>
            <w:r w:rsidRPr="00B61791">
              <w:t>0</w:t>
            </w:r>
          </w:p>
        </w:tc>
        <w:tc>
          <w:tcPr>
            <w:tcW w:w="1950" w:type="dxa"/>
          </w:tcPr>
          <w:p w14:paraId="287F9603" w14:textId="77777777" w:rsidR="004460F7" w:rsidRPr="00954B78" w:rsidRDefault="000F5B51" w:rsidP="004460F7">
            <w:pPr>
              <w:spacing w:after="0" w:line="240" w:lineRule="auto"/>
              <w:jc w:val="center"/>
              <w:rPr>
                <w:rFonts w:eastAsia="Times New Roman" w:cs="Times New Roman"/>
                <w:color w:val="000000"/>
                <w:szCs w:val="24"/>
              </w:rPr>
            </w:pPr>
            <w:r w:rsidRPr="00CE7B07">
              <w:t>0.7088</w:t>
            </w:r>
          </w:p>
        </w:tc>
        <w:tc>
          <w:tcPr>
            <w:tcW w:w="1950" w:type="dxa"/>
          </w:tcPr>
          <w:p w14:paraId="41AAB3DA" w14:textId="77777777" w:rsidR="004460F7" w:rsidRPr="00954B78" w:rsidRDefault="000F5B51" w:rsidP="004460F7">
            <w:pPr>
              <w:spacing w:after="0" w:line="240" w:lineRule="auto"/>
              <w:jc w:val="center"/>
              <w:rPr>
                <w:rFonts w:eastAsia="Times New Roman" w:cs="Times New Roman"/>
                <w:color w:val="000000"/>
                <w:szCs w:val="24"/>
              </w:rPr>
            </w:pPr>
            <w:r w:rsidRPr="00CE7B07">
              <w:t>0</w:t>
            </w:r>
          </w:p>
        </w:tc>
        <w:tc>
          <w:tcPr>
            <w:tcW w:w="1950" w:type="dxa"/>
          </w:tcPr>
          <w:p w14:paraId="4CC285F7" w14:textId="77777777" w:rsidR="004460F7" w:rsidRPr="00954B78" w:rsidRDefault="000F5B51" w:rsidP="004460F7">
            <w:pPr>
              <w:spacing w:after="0" w:line="240" w:lineRule="auto"/>
              <w:jc w:val="center"/>
              <w:rPr>
                <w:rFonts w:eastAsia="Times New Roman" w:cs="Times New Roman"/>
                <w:color w:val="000000"/>
                <w:szCs w:val="24"/>
              </w:rPr>
            </w:pPr>
            <w:r w:rsidRPr="00CE7B07">
              <w:t>0</w:t>
            </w:r>
          </w:p>
        </w:tc>
      </w:tr>
      <w:tr w:rsidR="00A15C2C" w14:paraId="3C799D9E" w14:textId="77777777" w:rsidTr="00800C73">
        <w:trPr>
          <w:trHeight w:val="310"/>
          <w:jc w:val="center"/>
        </w:trPr>
        <w:tc>
          <w:tcPr>
            <w:tcW w:w="1488" w:type="dxa"/>
            <w:shd w:val="clear" w:color="auto" w:fill="auto"/>
            <w:noWrap/>
            <w:vAlign w:val="bottom"/>
          </w:tcPr>
          <w:p w14:paraId="7F66A3CB" w14:textId="77777777" w:rsidR="00D75645" w:rsidRPr="00012598" w:rsidRDefault="000F5B51" w:rsidP="00800C73">
            <w:pPr>
              <w:spacing w:after="0" w:line="240" w:lineRule="auto"/>
              <w:rPr>
                <w:rFonts w:eastAsia="Times New Roman" w:cs="Times New Roman"/>
                <w:b/>
                <w:bCs/>
                <w:color w:val="000000"/>
                <w:sz w:val="23"/>
                <w:szCs w:val="23"/>
              </w:rPr>
            </w:pPr>
            <w:r w:rsidRPr="00012598">
              <w:rPr>
                <w:rFonts w:eastAsia="Times New Roman" w:cs="Times New Roman"/>
                <w:b/>
                <w:bCs/>
                <w:color w:val="000000"/>
                <w:sz w:val="23"/>
                <w:szCs w:val="23"/>
              </w:rPr>
              <w:t xml:space="preserve">Non-Fatal Injuries </w:t>
            </w:r>
          </w:p>
          <w:p w14:paraId="1FA69F5B" w14:textId="77777777" w:rsidR="00D75645" w:rsidRPr="00012598" w:rsidRDefault="000F5B51" w:rsidP="00800C73">
            <w:pPr>
              <w:spacing w:after="0" w:line="240" w:lineRule="auto"/>
              <w:rPr>
                <w:rFonts w:eastAsia="Times New Roman" w:cs="Times New Roman"/>
                <w:b/>
                <w:bCs/>
                <w:color w:val="000000"/>
                <w:sz w:val="23"/>
                <w:szCs w:val="23"/>
              </w:rPr>
            </w:pPr>
            <w:r w:rsidRPr="00012598">
              <w:rPr>
                <w:rFonts w:eastAsia="Times New Roman" w:cs="Times New Roman"/>
                <w:b/>
                <w:bCs/>
                <w:color w:val="000000"/>
                <w:sz w:val="23"/>
                <w:szCs w:val="23"/>
              </w:rPr>
              <w:t>(MAIS 1-5)</w:t>
            </w:r>
          </w:p>
        </w:tc>
        <w:tc>
          <w:tcPr>
            <w:tcW w:w="1949" w:type="dxa"/>
            <w:vAlign w:val="center"/>
          </w:tcPr>
          <w:p w14:paraId="563C1C3B" w14:textId="77777777" w:rsidR="00D75645" w:rsidRPr="00D374E4" w:rsidRDefault="000F5B51" w:rsidP="00800C73">
            <w:pPr>
              <w:spacing w:after="0" w:line="240" w:lineRule="auto"/>
              <w:jc w:val="center"/>
              <w:rPr>
                <w:rFonts w:cs="Times New Roman"/>
                <w:b/>
                <w:color w:val="000000"/>
                <w:szCs w:val="24"/>
              </w:rPr>
            </w:pPr>
            <w:r w:rsidRPr="00044F2E">
              <w:rPr>
                <w:rFonts w:cs="Times New Roman"/>
                <w:b/>
                <w:bCs/>
                <w:color w:val="000000"/>
                <w:szCs w:val="24"/>
              </w:rPr>
              <w:t>570</w:t>
            </w:r>
          </w:p>
        </w:tc>
        <w:tc>
          <w:tcPr>
            <w:tcW w:w="1950" w:type="dxa"/>
            <w:shd w:val="clear" w:color="auto" w:fill="auto"/>
            <w:noWrap/>
            <w:vAlign w:val="center"/>
          </w:tcPr>
          <w:p w14:paraId="5B13E9C9" w14:textId="77777777" w:rsidR="00D75645" w:rsidRPr="00FE5B55" w:rsidRDefault="000F5B51" w:rsidP="00800C73">
            <w:pPr>
              <w:spacing w:after="0" w:line="240" w:lineRule="auto"/>
              <w:jc w:val="center"/>
              <w:rPr>
                <w:rFonts w:cs="Times New Roman"/>
                <w:color w:val="000000"/>
                <w:szCs w:val="24"/>
              </w:rPr>
            </w:pPr>
            <w:r w:rsidRPr="00FE5B55">
              <w:rPr>
                <w:rFonts w:cs="Times New Roman"/>
                <w:color w:val="000000"/>
                <w:szCs w:val="24"/>
              </w:rPr>
              <w:t>-</w:t>
            </w:r>
          </w:p>
        </w:tc>
        <w:tc>
          <w:tcPr>
            <w:tcW w:w="1950" w:type="dxa"/>
            <w:shd w:val="clear" w:color="auto" w:fill="auto"/>
            <w:noWrap/>
            <w:vAlign w:val="center"/>
          </w:tcPr>
          <w:p w14:paraId="25FCA282" w14:textId="77777777" w:rsidR="00D75645" w:rsidRPr="00FE5B55" w:rsidRDefault="000F5B51" w:rsidP="00800C73">
            <w:pPr>
              <w:spacing w:after="0" w:line="240" w:lineRule="auto"/>
              <w:jc w:val="center"/>
              <w:rPr>
                <w:rFonts w:cs="Times New Roman"/>
                <w:color w:val="000000"/>
                <w:szCs w:val="24"/>
              </w:rPr>
            </w:pPr>
            <w:r w:rsidRPr="00FE5B55">
              <w:rPr>
                <w:rFonts w:cs="Times New Roman"/>
                <w:color w:val="000000"/>
                <w:szCs w:val="24"/>
              </w:rPr>
              <w:t>-</w:t>
            </w:r>
          </w:p>
        </w:tc>
        <w:tc>
          <w:tcPr>
            <w:tcW w:w="1949" w:type="dxa"/>
            <w:shd w:val="clear" w:color="auto" w:fill="auto"/>
            <w:noWrap/>
            <w:vAlign w:val="center"/>
          </w:tcPr>
          <w:p w14:paraId="67F30A93" w14:textId="77777777" w:rsidR="00D75645" w:rsidRPr="00D374E4" w:rsidRDefault="000F5B51" w:rsidP="00800C73">
            <w:pPr>
              <w:spacing w:after="0" w:line="240" w:lineRule="auto"/>
              <w:jc w:val="center"/>
              <w:rPr>
                <w:rFonts w:cs="Times New Roman"/>
                <w:b/>
                <w:color w:val="000000"/>
                <w:szCs w:val="24"/>
              </w:rPr>
            </w:pPr>
            <w:r w:rsidRPr="00044F2E">
              <w:rPr>
                <w:rFonts w:cs="Times New Roman"/>
                <w:b/>
                <w:bCs/>
                <w:color w:val="000000"/>
                <w:szCs w:val="24"/>
              </w:rPr>
              <w:t>79</w:t>
            </w:r>
          </w:p>
        </w:tc>
        <w:tc>
          <w:tcPr>
            <w:tcW w:w="1950" w:type="dxa"/>
            <w:vAlign w:val="center"/>
          </w:tcPr>
          <w:p w14:paraId="71E98FD4" w14:textId="77777777" w:rsidR="00D75645" w:rsidRPr="0055589E" w:rsidRDefault="000F5B51" w:rsidP="00800C73">
            <w:pPr>
              <w:spacing w:after="0" w:line="240" w:lineRule="auto"/>
              <w:jc w:val="center"/>
              <w:rPr>
                <w:rFonts w:cs="Times New Roman"/>
                <w:bCs/>
                <w:color w:val="000000"/>
                <w:szCs w:val="24"/>
              </w:rPr>
            </w:pPr>
            <w:r w:rsidRPr="0055589E">
              <w:rPr>
                <w:rFonts w:cs="Times New Roman"/>
                <w:bCs/>
                <w:color w:val="000000"/>
                <w:szCs w:val="24"/>
              </w:rPr>
              <w:t>-</w:t>
            </w:r>
          </w:p>
        </w:tc>
        <w:tc>
          <w:tcPr>
            <w:tcW w:w="1950" w:type="dxa"/>
            <w:vAlign w:val="center"/>
          </w:tcPr>
          <w:p w14:paraId="283F9D78" w14:textId="77777777" w:rsidR="00D75645" w:rsidRPr="00D374E4" w:rsidRDefault="000F5B51" w:rsidP="00800C73">
            <w:pPr>
              <w:spacing w:after="0" w:line="240" w:lineRule="auto"/>
              <w:jc w:val="center"/>
              <w:rPr>
                <w:rFonts w:cs="Times New Roman"/>
                <w:b/>
                <w:color w:val="000000"/>
                <w:szCs w:val="24"/>
              </w:rPr>
            </w:pPr>
            <w:r>
              <w:rPr>
                <w:rFonts w:cs="Times New Roman"/>
                <w:b/>
                <w:color w:val="000000"/>
                <w:szCs w:val="24"/>
              </w:rPr>
              <w:t>84</w:t>
            </w:r>
          </w:p>
        </w:tc>
        <w:tc>
          <w:tcPr>
            <w:tcW w:w="1950" w:type="dxa"/>
            <w:vAlign w:val="center"/>
          </w:tcPr>
          <w:p w14:paraId="2B88DC56" w14:textId="77777777" w:rsidR="00D75645" w:rsidRPr="00D374E4" w:rsidRDefault="000F5B51" w:rsidP="00800C73">
            <w:pPr>
              <w:spacing w:after="0" w:line="240" w:lineRule="auto"/>
              <w:jc w:val="center"/>
              <w:rPr>
                <w:rFonts w:cs="Times New Roman"/>
                <w:b/>
                <w:color w:val="000000"/>
                <w:szCs w:val="24"/>
              </w:rPr>
            </w:pPr>
            <w:r>
              <w:rPr>
                <w:rFonts w:cs="Times New Roman"/>
                <w:b/>
                <w:color w:val="000000"/>
                <w:szCs w:val="24"/>
              </w:rPr>
              <w:t>5</w:t>
            </w:r>
          </w:p>
        </w:tc>
      </w:tr>
      <w:tr w:rsidR="00A15C2C" w14:paraId="5178B5CD" w14:textId="77777777" w:rsidTr="00460C7F">
        <w:trPr>
          <w:trHeight w:val="310"/>
          <w:jc w:val="center"/>
        </w:trPr>
        <w:tc>
          <w:tcPr>
            <w:tcW w:w="1488" w:type="dxa"/>
            <w:shd w:val="clear" w:color="auto" w:fill="auto"/>
            <w:noWrap/>
            <w:vAlign w:val="bottom"/>
            <w:hideMark/>
          </w:tcPr>
          <w:p w14:paraId="20A09017" w14:textId="77777777" w:rsidR="004460F7" w:rsidRPr="00012598" w:rsidRDefault="000F5B51" w:rsidP="004460F7">
            <w:pPr>
              <w:spacing w:after="0" w:line="240" w:lineRule="auto"/>
              <w:rPr>
                <w:rFonts w:eastAsia="Times New Roman" w:cs="Times New Roman"/>
                <w:b/>
                <w:bCs/>
                <w:color w:val="000000"/>
                <w:szCs w:val="24"/>
              </w:rPr>
            </w:pPr>
            <w:r w:rsidRPr="00012598">
              <w:rPr>
                <w:rFonts w:eastAsia="Times New Roman" w:cs="Times New Roman"/>
                <w:b/>
                <w:bCs/>
                <w:color w:val="000000"/>
                <w:szCs w:val="24"/>
              </w:rPr>
              <w:t>Fatality</w:t>
            </w:r>
          </w:p>
        </w:tc>
        <w:tc>
          <w:tcPr>
            <w:tcW w:w="1949" w:type="dxa"/>
          </w:tcPr>
          <w:p w14:paraId="4AC48617" w14:textId="77777777" w:rsidR="004460F7" w:rsidRPr="00044F2E" w:rsidRDefault="000F5B51" w:rsidP="004460F7">
            <w:pPr>
              <w:spacing w:after="0" w:line="240" w:lineRule="auto"/>
              <w:jc w:val="center"/>
              <w:rPr>
                <w:rFonts w:cs="Times New Roman"/>
                <w:b/>
                <w:bCs/>
                <w:color w:val="000000"/>
                <w:szCs w:val="24"/>
              </w:rPr>
            </w:pPr>
            <w:r w:rsidRPr="00460C7F">
              <w:rPr>
                <w:b/>
                <w:bCs/>
              </w:rPr>
              <w:t>134</w:t>
            </w:r>
          </w:p>
        </w:tc>
        <w:tc>
          <w:tcPr>
            <w:tcW w:w="1950" w:type="dxa"/>
            <w:shd w:val="clear" w:color="auto" w:fill="auto"/>
            <w:noWrap/>
          </w:tcPr>
          <w:p w14:paraId="705901FC" w14:textId="77777777" w:rsidR="004460F7" w:rsidRPr="00044F2E" w:rsidRDefault="000F5B51" w:rsidP="004460F7">
            <w:pPr>
              <w:spacing w:after="0" w:line="240" w:lineRule="auto"/>
              <w:jc w:val="center"/>
              <w:rPr>
                <w:rFonts w:eastAsia="Times New Roman" w:cs="Times New Roman"/>
                <w:b/>
                <w:bCs/>
                <w:color w:val="000000"/>
                <w:szCs w:val="24"/>
              </w:rPr>
            </w:pPr>
            <w:r w:rsidRPr="00460C7F">
              <w:rPr>
                <w:b/>
                <w:bCs/>
              </w:rPr>
              <w:t>0.73</w:t>
            </w:r>
          </w:p>
        </w:tc>
        <w:tc>
          <w:tcPr>
            <w:tcW w:w="1950" w:type="dxa"/>
            <w:shd w:val="clear" w:color="auto" w:fill="auto"/>
            <w:noWrap/>
          </w:tcPr>
          <w:p w14:paraId="21AE1463" w14:textId="77777777" w:rsidR="004460F7" w:rsidRPr="00044F2E" w:rsidRDefault="000F5B51" w:rsidP="004460F7">
            <w:pPr>
              <w:spacing w:after="0" w:line="240" w:lineRule="auto"/>
              <w:jc w:val="center"/>
              <w:rPr>
                <w:rFonts w:eastAsia="Times New Roman" w:cs="Times New Roman"/>
                <w:b/>
                <w:bCs/>
                <w:color w:val="000000"/>
                <w:szCs w:val="24"/>
              </w:rPr>
            </w:pPr>
            <w:r w:rsidRPr="00460C7F">
              <w:rPr>
                <w:b/>
                <w:bCs/>
              </w:rPr>
              <w:t>0.6006</w:t>
            </w:r>
          </w:p>
        </w:tc>
        <w:tc>
          <w:tcPr>
            <w:tcW w:w="1949" w:type="dxa"/>
            <w:shd w:val="clear" w:color="auto" w:fill="auto"/>
            <w:noWrap/>
          </w:tcPr>
          <w:p w14:paraId="2E50ECE9" w14:textId="77777777" w:rsidR="004460F7" w:rsidRPr="00044F2E" w:rsidRDefault="000F5B51" w:rsidP="004460F7">
            <w:pPr>
              <w:spacing w:after="0" w:line="240" w:lineRule="auto"/>
              <w:jc w:val="center"/>
              <w:rPr>
                <w:rFonts w:eastAsia="Times New Roman" w:cs="Times New Roman"/>
                <w:b/>
                <w:bCs/>
                <w:color w:val="000000"/>
                <w:szCs w:val="24"/>
              </w:rPr>
            </w:pPr>
            <w:r w:rsidRPr="00460C7F">
              <w:rPr>
                <w:b/>
                <w:bCs/>
              </w:rPr>
              <w:t>59</w:t>
            </w:r>
          </w:p>
        </w:tc>
        <w:tc>
          <w:tcPr>
            <w:tcW w:w="1950" w:type="dxa"/>
            <w:vAlign w:val="bottom"/>
          </w:tcPr>
          <w:p w14:paraId="719D8367" w14:textId="77777777" w:rsidR="004460F7" w:rsidRPr="00897AED" w:rsidRDefault="000F5B51" w:rsidP="004460F7">
            <w:pPr>
              <w:spacing w:after="0" w:line="240" w:lineRule="auto"/>
              <w:jc w:val="center"/>
              <w:rPr>
                <w:b/>
                <w:color w:val="000000"/>
              </w:rPr>
            </w:pPr>
            <w:r w:rsidRPr="00460C7F">
              <w:rPr>
                <w:b/>
                <w:color w:val="000000"/>
              </w:rPr>
              <w:t>0.6380</w:t>
            </w:r>
          </w:p>
        </w:tc>
        <w:tc>
          <w:tcPr>
            <w:tcW w:w="1950" w:type="dxa"/>
            <w:vAlign w:val="center"/>
          </w:tcPr>
          <w:p w14:paraId="42C701AD" w14:textId="77777777" w:rsidR="004460F7" w:rsidRPr="00044F2E" w:rsidRDefault="000F5B51" w:rsidP="004460F7">
            <w:pPr>
              <w:spacing w:after="0" w:line="240" w:lineRule="auto"/>
              <w:jc w:val="center"/>
              <w:rPr>
                <w:rFonts w:eastAsia="Times New Roman" w:cs="Times New Roman"/>
                <w:b/>
                <w:bCs/>
                <w:color w:val="000000"/>
                <w:szCs w:val="24"/>
              </w:rPr>
            </w:pPr>
            <w:r>
              <w:rPr>
                <w:b/>
                <w:bCs/>
                <w:color w:val="000000"/>
              </w:rPr>
              <w:t>62</w:t>
            </w:r>
          </w:p>
        </w:tc>
        <w:tc>
          <w:tcPr>
            <w:tcW w:w="1950" w:type="dxa"/>
            <w:vAlign w:val="center"/>
          </w:tcPr>
          <w:p w14:paraId="67981C0B" w14:textId="77777777" w:rsidR="004460F7" w:rsidRPr="00044F2E" w:rsidRDefault="000F5B51" w:rsidP="004460F7">
            <w:pPr>
              <w:spacing w:after="0" w:line="240" w:lineRule="auto"/>
              <w:jc w:val="center"/>
              <w:rPr>
                <w:rFonts w:eastAsia="Times New Roman" w:cs="Times New Roman"/>
                <w:b/>
                <w:bCs/>
                <w:color w:val="000000"/>
                <w:szCs w:val="24"/>
              </w:rPr>
            </w:pPr>
            <w:r>
              <w:rPr>
                <w:b/>
                <w:bCs/>
                <w:color w:val="000000"/>
              </w:rPr>
              <w:t>4</w:t>
            </w:r>
          </w:p>
        </w:tc>
      </w:tr>
    </w:tbl>
    <w:p w14:paraId="1EE35137" w14:textId="77777777" w:rsidR="00D75645" w:rsidRDefault="000F5B51" w:rsidP="00D75645">
      <w:pPr>
        <w:rPr>
          <w:rFonts w:eastAsia="Times New Roman" w:cs="Times New Roman"/>
          <w:szCs w:val="24"/>
        </w:rPr>
      </w:pPr>
      <w:r w:rsidRPr="00934F2C">
        <w:rPr>
          <w:sz w:val="18"/>
          <w:szCs w:val="18"/>
        </w:rPr>
        <w:t>Note: Values may not sum due to rounding. Totals are rounded to the nearest whole number for presentation purposes</w:t>
      </w:r>
      <w:r>
        <w:rPr>
          <w:sz w:val="18"/>
          <w:szCs w:val="18"/>
        </w:rPr>
        <w:t>.</w:t>
      </w:r>
    </w:p>
    <w:p w14:paraId="11AF795C" w14:textId="77777777" w:rsidR="00D75645" w:rsidRDefault="00D75645" w:rsidP="00D75645"/>
    <w:p w14:paraId="13CF71C0" w14:textId="46A47934" w:rsidR="00D75645" w:rsidRDefault="000F5B51" w:rsidP="00D75645">
      <w:pPr>
        <w:pStyle w:val="Caption"/>
      </w:pPr>
      <w:bookmarkStart w:id="918" w:name="_Ref127348738"/>
      <w:r w:rsidRPr="00DA0C97">
        <w:lastRenderedPageBreak/>
        <w:t xml:space="preserve">Table </w:t>
      </w:r>
      <w:r w:rsidR="00115BAB">
        <w:fldChar w:fldCharType="begin"/>
      </w:r>
      <w:r>
        <w:instrText xml:space="preserve"> SEQ Table \* ARABIC </w:instrText>
      </w:r>
      <w:r w:rsidR="00115BAB">
        <w:fldChar w:fldCharType="separate"/>
      </w:r>
      <w:r w:rsidR="00A65CB3">
        <w:rPr>
          <w:noProof/>
        </w:rPr>
        <w:t>57</w:t>
      </w:r>
      <w:r w:rsidR="00115BAB">
        <w:rPr>
          <w:noProof/>
        </w:rPr>
        <w:fldChar w:fldCharType="end"/>
      </w:r>
      <w:bookmarkEnd w:id="918"/>
      <w:r w:rsidRPr="00DA0C97">
        <w:t xml:space="preserve">: Incremental Benefits for </w:t>
      </w:r>
      <w:r>
        <w:t>Right Front Seat Occupant</w:t>
      </w:r>
      <w:r w:rsidRPr="00DA0C97">
        <w:t xml:space="preserve"> </w:t>
      </w:r>
      <w:r>
        <w:t>90</w:t>
      </w:r>
      <w:r w:rsidRPr="00DA0C97">
        <w:t>-Second Warning to Indefinite Warning</w:t>
      </w:r>
    </w:p>
    <w:tbl>
      <w:tblPr>
        <w:tblW w:w="15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88"/>
        <w:gridCol w:w="1949"/>
        <w:gridCol w:w="1950"/>
        <w:gridCol w:w="1950"/>
        <w:gridCol w:w="1949"/>
        <w:gridCol w:w="1950"/>
        <w:gridCol w:w="1950"/>
        <w:gridCol w:w="1950"/>
      </w:tblGrid>
      <w:tr w:rsidR="00A15C2C" w14:paraId="6CE154E0" w14:textId="77777777" w:rsidTr="00800C73">
        <w:trPr>
          <w:trHeight w:val="1666"/>
          <w:jc w:val="center"/>
        </w:trPr>
        <w:tc>
          <w:tcPr>
            <w:tcW w:w="1488" w:type="dxa"/>
            <w:shd w:val="clear" w:color="auto" w:fill="D9D9D9" w:themeFill="background1" w:themeFillShade="D9"/>
            <w:noWrap/>
            <w:vAlign w:val="center"/>
          </w:tcPr>
          <w:p w14:paraId="184B967D" w14:textId="77777777" w:rsidR="00D75645" w:rsidRDefault="000F5B51" w:rsidP="00800C73">
            <w:pPr>
              <w:spacing w:after="0" w:line="240" w:lineRule="auto"/>
              <w:rPr>
                <w:rFonts w:eastAsia="Times New Roman" w:cs="Times New Roman"/>
                <w:b/>
                <w:bCs/>
                <w:color w:val="000000"/>
                <w:szCs w:val="24"/>
              </w:rPr>
            </w:pPr>
            <w:r>
              <w:rPr>
                <w:rFonts w:eastAsia="Times New Roman" w:cs="Times New Roman"/>
                <w:b/>
                <w:bCs/>
                <w:color w:val="000000"/>
                <w:szCs w:val="24"/>
              </w:rPr>
              <w:t xml:space="preserve">Injury Severity </w:t>
            </w:r>
          </w:p>
        </w:tc>
        <w:tc>
          <w:tcPr>
            <w:tcW w:w="1949" w:type="dxa"/>
            <w:shd w:val="clear" w:color="auto" w:fill="D9D9D9" w:themeFill="background1" w:themeFillShade="D9"/>
            <w:vAlign w:val="center"/>
          </w:tcPr>
          <w:p w14:paraId="26D8F4AE" w14:textId="77777777" w:rsidR="00D75645" w:rsidRDefault="000F5B51" w:rsidP="00800C73">
            <w:pPr>
              <w:spacing w:after="0" w:line="240" w:lineRule="auto"/>
              <w:jc w:val="center"/>
              <w:rPr>
                <w:rFonts w:eastAsia="Times New Roman" w:cs="Times New Roman"/>
                <w:b/>
                <w:bCs/>
                <w:color w:val="000000"/>
                <w:szCs w:val="24"/>
              </w:rPr>
            </w:pPr>
            <w:r w:rsidRPr="00954B78">
              <w:rPr>
                <w:rFonts w:eastAsia="Times New Roman" w:cs="Times New Roman"/>
                <w:b/>
                <w:bCs/>
                <w:color w:val="000000"/>
                <w:szCs w:val="24"/>
              </w:rPr>
              <w:t>Potential Injuries</w:t>
            </w:r>
          </w:p>
          <w:p w14:paraId="6C2F84AF" w14:textId="77777777" w:rsidR="00D75645" w:rsidRDefault="000F5B51" w:rsidP="00800C73">
            <w:pPr>
              <w:spacing w:after="0" w:line="240" w:lineRule="auto"/>
              <w:jc w:val="center"/>
              <w:rPr>
                <w:rFonts w:eastAsia="Times New Roman" w:cs="Times New Roman"/>
                <w:b/>
                <w:bCs/>
                <w:color w:val="000000"/>
                <w:szCs w:val="24"/>
              </w:rPr>
            </w:pPr>
            <w:r>
              <w:rPr>
                <w:rFonts w:eastAsia="Times New Roman" w:cs="Times New Roman"/>
                <w:b/>
                <w:bCs/>
                <w:color w:val="000000"/>
                <w:szCs w:val="24"/>
              </w:rPr>
              <w:t>(a)</w:t>
            </w:r>
          </w:p>
        </w:tc>
        <w:tc>
          <w:tcPr>
            <w:tcW w:w="1950" w:type="dxa"/>
            <w:shd w:val="clear" w:color="auto" w:fill="D9D9D9" w:themeFill="background1" w:themeFillShade="D9"/>
            <w:noWrap/>
            <w:vAlign w:val="center"/>
          </w:tcPr>
          <w:p w14:paraId="760226BB" w14:textId="77777777" w:rsidR="00D75645" w:rsidRDefault="000F5B51" w:rsidP="00800C73">
            <w:pPr>
              <w:spacing w:after="0" w:line="240" w:lineRule="auto"/>
              <w:jc w:val="center"/>
              <w:rPr>
                <w:rFonts w:eastAsia="Times New Roman" w:cs="Times New Roman"/>
                <w:b/>
                <w:bCs/>
                <w:color w:val="000000"/>
                <w:szCs w:val="24"/>
              </w:rPr>
            </w:pPr>
            <w:r>
              <w:rPr>
                <w:rFonts w:eastAsia="Times New Roman" w:cs="Times New Roman"/>
                <w:b/>
                <w:bCs/>
                <w:color w:val="000000"/>
                <w:szCs w:val="24"/>
              </w:rPr>
              <w:t>Seat Belt Effectiveness</w:t>
            </w:r>
          </w:p>
          <w:p w14:paraId="4B94C932" w14:textId="77777777" w:rsidR="00D75645" w:rsidRPr="00954B78" w:rsidRDefault="000F5B51" w:rsidP="00800C73">
            <w:pPr>
              <w:spacing w:after="0" w:line="240" w:lineRule="auto"/>
              <w:jc w:val="center"/>
              <w:rPr>
                <w:rFonts w:eastAsia="Times New Roman" w:cs="Times New Roman"/>
                <w:b/>
                <w:bCs/>
                <w:color w:val="000000"/>
                <w:szCs w:val="24"/>
              </w:rPr>
            </w:pPr>
            <w:r>
              <w:rPr>
                <w:rFonts w:eastAsia="Times New Roman" w:cs="Times New Roman"/>
                <w:b/>
                <w:bCs/>
                <w:color w:val="000000"/>
                <w:szCs w:val="24"/>
              </w:rPr>
              <w:t>(b)</w:t>
            </w:r>
          </w:p>
        </w:tc>
        <w:tc>
          <w:tcPr>
            <w:tcW w:w="1950" w:type="dxa"/>
            <w:shd w:val="clear" w:color="auto" w:fill="D9D9D9" w:themeFill="background1" w:themeFillShade="D9"/>
            <w:noWrap/>
            <w:vAlign w:val="center"/>
          </w:tcPr>
          <w:p w14:paraId="25F76758" w14:textId="77777777" w:rsidR="00D75645" w:rsidRDefault="000F5B51" w:rsidP="00800C73">
            <w:pPr>
              <w:spacing w:after="0" w:line="240" w:lineRule="auto"/>
              <w:jc w:val="center"/>
              <w:rPr>
                <w:rFonts w:eastAsia="Times New Roman" w:cs="Times New Roman"/>
                <w:b/>
                <w:bCs/>
                <w:color w:val="000000"/>
                <w:szCs w:val="24"/>
              </w:rPr>
            </w:pPr>
            <w:r>
              <w:rPr>
                <w:rFonts w:eastAsia="Times New Roman" w:cs="Times New Roman"/>
                <w:b/>
                <w:bCs/>
                <w:color w:val="000000"/>
                <w:szCs w:val="24"/>
              </w:rPr>
              <w:t>Baseline Seat Belt Use Rate</w:t>
            </w:r>
          </w:p>
          <w:p w14:paraId="1F446F31" w14:textId="77777777" w:rsidR="00D75645" w:rsidRPr="00954B78" w:rsidRDefault="000F5B51" w:rsidP="00800C73">
            <w:pPr>
              <w:spacing w:after="0" w:line="240" w:lineRule="auto"/>
              <w:jc w:val="center"/>
              <w:rPr>
                <w:rFonts w:eastAsia="Times New Roman" w:cs="Times New Roman"/>
                <w:b/>
                <w:bCs/>
                <w:color w:val="000000"/>
                <w:szCs w:val="24"/>
              </w:rPr>
            </w:pPr>
            <w:r>
              <w:rPr>
                <w:rFonts w:eastAsia="Times New Roman" w:cs="Times New Roman"/>
                <w:b/>
                <w:bCs/>
                <w:color w:val="000000"/>
                <w:szCs w:val="24"/>
              </w:rPr>
              <w:t>(c)</w:t>
            </w:r>
          </w:p>
        </w:tc>
        <w:tc>
          <w:tcPr>
            <w:tcW w:w="1949" w:type="dxa"/>
            <w:shd w:val="clear" w:color="auto" w:fill="D9D9D9" w:themeFill="background1" w:themeFillShade="D9"/>
            <w:noWrap/>
            <w:vAlign w:val="center"/>
          </w:tcPr>
          <w:p w14:paraId="1F6A6493" w14:textId="3D6D7AF9" w:rsidR="00D75645" w:rsidRDefault="000F5B51" w:rsidP="00800C73">
            <w:pPr>
              <w:spacing w:after="0" w:line="240" w:lineRule="auto"/>
              <w:jc w:val="center"/>
              <w:rPr>
                <w:rFonts w:eastAsia="Times New Roman" w:cs="Times New Roman"/>
                <w:b/>
                <w:bCs/>
                <w:color w:val="000000"/>
                <w:szCs w:val="24"/>
              </w:rPr>
            </w:pPr>
            <w:r w:rsidRPr="00012598">
              <w:rPr>
                <w:rFonts w:eastAsia="Times New Roman" w:cs="Times New Roman"/>
                <w:b/>
                <w:bCs/>
                <w:color w:val="000000"/>
                <w:szCs w:val="24"/>
              </w:rPr>
              <w:t>Baseline</w:t>
            </w:r>
            <w:r w:rsidR="00011883">
              <w:rPr>
                <w:rFonts w:eastAsia="Times New Roman" w:cs="Times New Roman"/>
                <w:b/>
                <w:bCs/>
                <w:color w:val="000000"/>
                <w:szCs w:val="24"/>
              </w:rPr>
              <w:t xml:space="preserve"> Effects</w:t>
            </w:r>
          </w:p>
          <w:p w14:paraId="4FA1109A" w14:textId="77777777" w:rsidR="00D75645" w:rsidRPr="0068771B" w:rsidRDefault="000F5B51" w:rsidP="00800C73">
            <w:pPr>
              <w:spacing w:after="0" w:line="240" w:lineRule="auto"/>
              <w:jc w:val="center"/>
              <w:rPr>
                <w:rFonts w:eastAsia="Times New Roman" w:cs="Times New Roman"/>
                <w:b/>
                <w:bCs/>
                <w:color w:val="000000"/>
                <w:szCs w:val="24"/>
              </w:rPr>
            </w:pPr>
            <w:r>
              <w:rPr>
                <w:rFonts w:eastAsia="Times New Roman" w:cs="Times New Roman"/>
                <w:b/>
                <w:bCs/>
                <w:color w:val="000000"/>
                <w:szCs w:val="24"/>
              </w:rPr>
              <w:t>(a) x (b) x (c)</w:t>
            </w:r>
          </w:p>
        </w:tc>
        <w:tc>
          <w:tcPr>
            <w:tcW w:w="1950" w:type="dxa"/>
            <w:shd w:val="clear" w:color="auto" w:fill="D9D9D9" w:themeFill="background1" w:themeFillShade="D9"/>
            <w:vAlign w:val="center"/>
          </w:tcPr>
          <w:p w14:paraId="7106BC6F" w14:textId="77777777" w:rsidR="00D75645" w:rsidRDefault="000F5B51" w:rsidP="00800C73">
            <w:pPr>
              <w:spacing w:after="0" w:line="240" w:lineRule="auto"/>
              <w:jc w:val="center"/>
              <w:rPr>
                <w:rFonts w:eastAsia="Times New Roman" w:cs="Times New Roman"/>
                <w:b/>
                <w:bCs/>
                <w:color w:val="000000"/>
                <w:szCs w:val="24"/>
              </w:rPr>
            </w:pPr>
            <w:r>
              <w:rPr>
                <w:rFonts w:eastAsia="Times New Roman" w:cs="Times New Roman"/>
                <w:b/>
                <w:bCs/>
                <w:color w:val="000000"/>
                <w:szCs w:val="24"/>
              </w:rPr>
              <w:t>Proposed Rule Seat Belt Use Rate</w:t>
            </w:r>
          </w:p>
        </w:tc>
        <w:tc>
          <w:tcPr>
            <w:tcW w:w="1950" w:type="dxa"/>
            <w:shd w:val="clear" w:color="auto" w:fill="D9D9D9" w:themeFill="background1" w:themeFillShade="D9"/>
            <w:vAlign w:val="center"/>
          </w:tcPr>
          <w:p w14:paraId="2A77DC05" w14:textId="54DB2D3D" w:rsidR="00D75645" w:rsidRDefault="000F5B51" w:rsidP="00800C73">
            <w:pPr>
              <w:spacing w:after="0" w:line="240" w:lineRule="auto"/>
              <w:jc w:val="center"/>
              <w:rPr>
                <w:rFonts w:eastAsia="Times New Roman" w:cs="Times New Roman"/>
                <w:b/>
                <w:bCs/>
                <w:color w:val="000000"/>
                <w:szCs w:val="24"/>
              </w:rPr>
            </w:pPr>
            <w:r>
              <w:rPr>
                <w:rFonts w:eastAsia="Times New Roman" w:cs="Times New Roman"/>
                <w:b/>
                <w:bCs/>
                <w:color w:val="000000"/>
                <w:szCs w:val="24"/>
              </w:rPr>
              <w:t>Calculation of Benefits Under the Proposed Rule</w:t>
            </w:r>
            <w:r w:rsidR="00011883">
              <w:rPr>
                <w:rFonts w:eastAsia="Times New Roman" w:cs="Times New Roman"/>
                <w:b/>
                <w:bCs/>
                <w:color w:val="000000"/>
                <w:szCs w:val="24"/>
              </w:rPr>
              <w:t xml:space="preserve"> Unadjusted for Baseline Effects</w:t>
            </w:r>
          </w:p>
        </w:tc>
        <w:tc>
          <w:tcPr>
            <w:tcW w:w="1950" w:type="dxa"/>
            <w:shd w:val="clear" w:color="auto" w:fill="D9D9D9" w:themeFill="background1" w:themeFillShade="D9"/>
            <w:vAlign w:val="center"/>
          </w:tcPr>
          <w:p w14:paraId="534082A8" w14:textId="2C1384D7" w:rsidR="00D75645" w:rsidRDefault="000F5B51" w:rsidP="00800C73">
            <w:pPr>
              <w:spacing w:after="0" w:line="240" w:lineRule="auto"/>
              <w:jc w:val="center"/>
              <w:rPr>
                <w:rFonts w:eastAsia="Times New Roman" w:cs="Times New Roman"/>
                <w:b/>
                <w:bCs/>
                <w:color w:val="000000"/>
                <w:szCs w:val="24"/>
              </w:rPr>
            </w:pPr>
            <w:r>
              <w:rPr>
                <w:rFonts w:eastAsia="Times New Roman" w:cs="Times New Roman"/>
                <w:b/>
                <w:bCs/>
                <w:color w:val="000000"/>
                <w:szCs w:val="24"/>
              </w:rPr>
              <w:t>Incremental Benefits (</w:t>
            </w:r>
            <w:r w:rsidR="00011883">
              <w:rPr>
                <w:rFonts w:eastAsia="Times New Roman" w:cs="Times New Roman"/>
                <w:b/>
                <w:bCs/>
                <w:color w:val="000000"/>
                <w:szCs w:val="24"/>
              </w:rPr>
              <w:t xml:space="preserve">Unadjusted </w:t>
            </w:r>
            <w:r>
              <w:rPr>
                <w:rFonts w:eastAsia="Times New Roman" w:cs="Times New Roman"/>
                <w:b/>
                <w:bCs/>
                <w:color w:val="000000"/>
                <w:szCs w:val="24"/>
              </w:rPr>
              <w:t>Proposed Rule minus Baseline)</w:t>
            </w:r>
          </w:p>
        </w:tc>
      </w:tr>
      <w:tr w:rsidR="00A15C2C" w14:paraId="64668FD8" w14:textId="77777777" w:rsidTr="00800C73">
        <w:trPr>
          <w:trHeight w:val="310"/>
          <w:jc w:val="center"/>
        </w:trPr>
        <w:tc>
          <w:tcPr>
            <w:tcW w:w="15136" w:type="dxa"/>
            <w:gridSpan w:val="8"/>
            <w:shd w:val="clear" w:color="auto" w:fill="D9D9D9" w:themeFill="background1" w:themeFillShade="D9"/>
            <w:noWrap/>
            <w:vAlign w:val="bottom"/>
          </w:tcPr>
          <w:p w14:paraId="1B81FA28" w14:textId="77777777" w:rsidR="00D75645" w:rsidRPr="000B32DD" w:rsidRDefault="000F5B51" w:rsidP="00800C73">
            <w:pPr>
              <w:spacing w:after="0" w:line="240" w:lineRule="auto"/>
              <w:jc w:val="center"/>
              <w:rPr>
                <w:b/>
                <w:bCs/>
                <w:i/>
                <w:iCs/>
                <w:color w:val="000000"/>
              </w:rPr>
            </w:pPr>
            <w:r w:rsidRPr="000B32DD">
              <w:rPr>
                <w:b/>
                <w:bCs/>
                <w:i/>
                <w:iCs/>
                <w:color w:val="000000"/>
              </w:rPr>
              <w:t>Passenger Cars</w:t>
            </w:r>
          </w:p>
        </w:tc>
      </w:tr>
      <w:tr w:rsidR="00A15C2C" w14:paraId="6498B294" w14:textId="77777777" w:rsidTr="00460C7F">
        <w:trPr>
          <w:trHeight w:val="251"/>
          <w:jc w:val="center"/>
        </w:trPr>
        <w:tc>
          <w:tcPr>
            <w:tcW w:w="1488" w:type="dxa"/>
            <w:shd w:val="clear" w:color="auto" w:fill="auto"/>
            <w:noWrap/>
            <w:vAlign w:val="bottom"/>
          </w:tcPr>
          <w:p w14:paraId="4DA93DF7" w14:textId="77777777" w:rsidR="00476A75" w:rsidRPr="00954B78" w:rsidRDefault="000F5B51" w:rsidP="00476A75">
            <w:pPr>
              <w:spacing w:after="0" w:line="240" w:lineRule="auto"/>
              <w:rPr>
                <w:rFonts w:eastAsia="Times New Roman" w:cs="Times New Roman"/>
                <w:color w:val="000000"/>
                <w:szCs w:val="24"/>
              </w:rPr>
            </w:pPr>
            <w:r>
              <w:rPr>
                <w:rFonts w:eastAsia="Times New Roman" w:cs="Times New Roman"/>
                <w:color w:val="000000"/>
                <w:szCs w:val="24"/>
              </w:rPr>
              <w:t>MAIS 1</w:t>
            </w:r>
          </w:p>
        </w:tc>
        <w:tc>
          <w:tcPr>
            <w:tcW w:w="1949" w:type="dxa"/>
            <w:vAlign w:val="center"/>
          </w:tcPr>
          <w:p w14:paraId="70BB072B" w14:textId="77777777" w:rsidR="00476A75" w:rsidRPr="00954B78" w:rsidRDefault="000F5B51" w:rsidP="00476A75">
            <w:pPr>
              <w:spacing w:after="0" w:line="240" w:lineRule="auto"/>
              <w:jc w:val="center"/>
              <w:rPr>
                <w:rFonts w:cs="Times New Roman"/>
                <w:color w:val="000000"/>
                <w:szCs w:val="24"/>
              </w:rPr>
            </w:pPr>
            <w:r>
              <w:rPr>
                <w:color w:val="000000"/>
              </w:rPr>
              <w:t>6,933</w:t>
            </w:r>
          </w:p>
        </w:tc>
        <w:tc>
          <w:tcPr>
            <w:tcW w:w="1950" w:type="dxa"/>
            <w:shd w:val="clear" w:color="auto" w:fill="auto"/>
            <w:noWrap/>
            <w:vAlign w:val="center"/>
          </w:tcPr>
          <w:p w14:paraId="520EDFAD" w14:textId="77777777" w:rsidR="00476A75" w:rsidRPr="00954B78" w:rsidRDefault="000F5B51" w:rsidP="00476A75">
            <w:pPr>
              <w:spacing w:after="0" w:line="240" w:lineRule="auto"/>
              <w:jc w:val="center"/>
              <w:rPr>
                <w:rFonts w:eastAsia="Times New Roman" w:cs="Times New Roman"/>
                <w:color w:val="000000"/>
                <w:szCs w:val="24"/>
              </w:rPr>
            </w:pPr>
            <w:r>
              <w:rPr>
                <w:color w:val="000000"/>
              </w:rPr>
              <w:t>0.055</w:t>
            </w:r>
          </w:p>
        </w:tc>
        <w:tc>
          <w:tcPr>
            <w:tcW w:w="1950" w:type="dxa"/>
            <w:shd w:val="clear" w:color="auto" w:fill="auto"/>
            <w:noWrap/>
            <w:vAlign w:val="center"/>
          </w:tcPr>
          <w:p w14:paraId="1FA7CEC9" w14:textId="77777777" w:rsidR="00476A75" w:rsidRPr="00DA0C97" w:rsidRDefault="000F5B51" w:rsidP="00476A75">
            <w:pPr>
              <w:spacing w:after="0" w:line="240" w:lineRule="auto"/>
              <w:jc w:val="center"/>
              <w:rPr>
                <w:rFonts w:eastAsia="Times New Roman" w:cs="Times New Roman"/>
                <w:color w:val="000000"/>
                <w:szCs w:val="24"/>
              </w:rPr>
            </w:pPr>
            <w:r>
              <w:rPr>
                <w:color w:val="000000"/>
              </w:rPr>
              <w:t>0.8674</w:t>
            </w:r>
          </w:p>
        </w:tc>
        <w:tc>
          <w:tcPr>
            <w:tcW w:w="1949" w:type="dxa"/>
            <w:shd w:val="clear" w:color="auto" w:fill="auto"/>
            <w:noWrap/>
            <w:vAlign w:val="center"/>
          </w:tcPr>
          <w:p w14:paraId="03B4ADD2" w14:textId="77777777" w:rsidR="00476A75" w:rsidRPr="00954B78" w:rsidRDefault="000F5B51" w:rsidP="00476A75">
            <w:pPr>
              <w:spacing w:after="0" w:line="240" w:lineRule="auto"/>
              <w:jc w:val="center"/>
              <w:rPr>
                <w:rFonts w:eastAsia="Times New Roman" w:cs="Times New Roman"/>
                <w:color w:val="000000"/>
                <w:szCs w:val="24"/>
              </w:rPr>
            </w:pPr>
            <w:r>
              <w:rPr>
                <w:color w:val="000000"/>
              </w:rPr>
              <w:t>331</w:t>
            </w:r>
          </w:p>
        </w:tc>
        <w:tc>
          <w:tcPr>
            <w:tcW w:w="1950" w:type="dxa"/>
          </w:tcPr>
          <w:p w14:paraId="457CF8A0" w14:textId="77777777" w:rsidR="00476A75" w:rsidRPr="00C43531" w:rsidRDefault="000F5B51" w:rsidP="00476A75">
            <w:pPr>
              <w:spacing w:after="0" w:line="240" w:lineRule="auto"/>
              <w:jc w:val="center"/>
              <w:rPr>
                <w:rFonts w:eastAsia="Times New Roman" w:cs="Times New Roman"/>
                <w:color w:val="000000"/>
                <w:szCs w:val="24"/>
              </w:rPr>
            </w:pPr>
            <w:r w:rsidRPr="00480AA7">
              <w:t>0.8697</w:t>
            </w:r>
          </w:p>
        </w:tc>
        <w:tc>
          <w:tcPr>
            <w:tcW w:w="1950" w:type="dxa"/>
          </w:tcPr>
          <w:p w14:paraId="665AF9D3" w14:textId="77777777" w:rsidR="00476A75" w:rsidRPr="00954B78" w:rsidRDefault="000F5B51" w:rsidP="00476A75">
            <w:pPr>
              <w:spacing w:after="0" w:line="240" w:lineRule="auto"/>
              <w:jc w:val="center"/>
              <w:rPr>
                <w:rFonts w:eastAsia="Times New Roman" w:cs="Times New Roman"/>
                <w:color w:val="000000"/>
                <w:szCs w:val="24"/>
              </w:rPr>
            </w:pPr>
            <w:r w:rsidRPr="00480AA7">
              <w:t>332</w:t>
            </w:r>
          </w:p>
        </w:tc>
        <w:tc>
          <w:tcPr>
            <w:tcW w:w="1950" w:type="dxa"/>
          </w:tcPr>
          <w:p w14:paraId="4B2EFC7A" w14:textId="77777777" w:rsidR="00476A75" w:rsidRPr="00954B78" w:rsidRDefault="000F5B51" w:rsidP="00476A75">
            <w:pPr>
              <w:spacing w:after="0" w:line="240" w:lineRule="auto"/>
              <w:jc w:val="center"/>
              <w:rPr>
                <w:rFonts w:eastAsia="Times New Roman" w:cs="Times New Roman"/>
                <w:color w:val="000000"/>
                <w:szCs w:val="24"/>
              </w:rPr>
            </w:pPr>
            <w:r w:rsidRPr="00480AA7">
              <w:t>1</w:t>
            </w:r>
          </w:p>
        </w:tc>
      </w:tr>
      <w:tr w:rsidR="00A15C2C" w14:paraId="733ED6BE" w14:textId="77777777" w:rsidTr="00460C7F">
        <w:trPr>
          <w:trHeight w:val="310"/>
          <w:jc w:val="center"/>
        </w:trPr>
        <w:tc>
          <w:tcPr>
            <w:tcW w:w="1488" w:type="dxa"/>
            <w:shd w:val="clear" w:color="auto" w:fill="auto"/>
            <w:noWrap/>
          </w:tcPr>
          <w:p w14:paraId="5107C4EF" w14:textId="77777777" w:rsidR="00476A75" w:rsidRPr="00954B78" w:rsidRDefault="000F5B51" w:rsidP="00476A75">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2</w:t>
            </w:r>
          </w:p>
        </w:tc>
        <w:tc>
          <w:tcPr>
            <w:tcW w:w="1949" w:type="dxa"/>
            <w:vAlign w:val="center"/>
          </w:tcPr>
          <w:p w14:paraId="321AF79E" w14:textId="77777777" w:rsidR="00476A75" w:rsidRPr="00954B78" w:rsidRDefault="000F5B51" w:rsidP="00476A75">
            <w:pPr>
              <w:spacing w:after="0" w:line="240" w:lineRule="auto"/>
              <w:jc w:val="center"/>
              <w:rPr>
                <w:rFonts w:cs="Times New Roman"/>
                <w:color w:val="000000"/>
                <w:szCs w:val="24"/>
              </w:rPr>
            </w:pPr>
            <w:r>
              <w:rPr>
                <w:color w:val="000000"/>
              </w:rPr>
              <w:t>5,103</w:t>
            </w:r>
          </w:p>
        </w:tc>
        <w:tc>
          <w:tcPr>
            <w:tcW w:w="1950" w:type="dxa"/>
            <w:shd w:val="clear" w:color="auto" w:fill="auto"/>
            <w:noWrap/>
            <w:vAlign w:val="center"/>
          </w:tcPr>
          <w:p w14:paraId="4F9A265D" w14:textId="77777777" w:rsidR="00476A75" w:rsidRPr="00954B78" w:rsidRDefault="000F5B51" w:rsidP="00476A75">
            <w:pPr>
              <w:spacing w:after="0" w:line="240" w:lineRule="auto"/>
              <w:jc w:val="center"/>
              <w:rPr>
                <w:rFonts w:eastAsia="Times New Roman" w:cs="Times New Roman"/>
                <w:color w:val="000000"/>
                <w:szCs w:val="24"/>
              </w:rPr>
            </w:pPr>
            <w:r>
              <w:rPr>
                <w:color w:val="000000"/>
              </w:rPr>
              <w:t>0.5</w:t>
            </w:r>
          </w:p>
        </w:tc>
        <w:tc>
          <w:tcPr>
            <w:tcW w:w="1950" w:type="dxa"/>
            <w:shd w:val="clear" w:color="auto" w:fill="auto"/>
            <w:noWrap/>
            <w:vAlign w:val="center"/>
          </w:tcPr>
          <w:p w14:paraId="67BE9FF0" w14:textId="77777777" w:rsidR="00476A75" w:rsidRPr="00DA0C97" w:rsidRDefault="000F5B51" w:rsidP="00476A75">
            <w:pPr>
              <w:spacing w:after="0" w:line="240" w:lineRule="auto"/>
              <w:jc w:val="center"/>
              <w:rPr>
                <w:rFonts w:eastAsia="Times New Roman" w:cs="Times New Roman"/>
                <w:color w:val="000000"/>
                <w:szCs w:val="24"/>
              </w:rPr>
            </w:pPr>
            <w:r>
              <w:rPr>
                <w:color w:val="000000"/>
              </w:rPr>
              <w:t>0.8674</w:t>
            </w:r>
          </w:p>
        </w:tc>
        <w:tc>
          <w:tcPr>
            <w:tcW w:w="1949" w:type="dxa"/>
            <w:shd w:val="clear" w:color="auto" w:fill="auto"/>
            <w:noWrap/>
            <w:vAlign w:val="center"/>
          </w:tcPr>
          <w:p w14:paraId="170AB872" w14:textId="77777777" w:rsidR="00476A75" w:rsidRPr="00954B78" w:rsidRDefault="000F5B51" w:rsidP="00476A75">
            <w:pPr>
              <w:spacing w:after="0" w:line="240" w:lineRule="auto"/>
              <w:jc w:val="center"/>
              <w:rPr>
                <w:rFonts w:eastAsia="Times New Roman" w:cs="Times New Roman"/>
                <w:color w:val="000000"/>
                <w:szCs w:val="24"/>
              </w:rPr>
            </w:pPr>
            <w:r>
              <w:rPr>
                <w:color w:val="000000"/>
              </w:rPr>
              <w:t>2,213</w:t>
            </w:r>
          </w:p>
        </w:tc>
        <w:tc>
          <w:tcPr>
            <w:tcW w:w="1950" w:type="dxa"/>
          </w:tcPr>
          <w:p w14:paraId="1152A35E" w14:textId="77777777" w:rsidR="00476A75" w:rsidRPr="00954B78" w:rsidRDefault="000F5B51" w:rsidP="00476A75">
            <w:pPr>
              <w:spacing w:after="0" w:line="240" w:lineRule="auto"/>
              <w:jc w:val="center"/>
              <w:rPr>
                <w:rFonts w:eastAsia="Times New Roman" w:cs="Times New Roman"/>
                <w:color w:val="000000"/>
                <w:szCs w:val="24"/>
              </w:rPr>
            </w:pPr>
            <w:r w:rsidRPr="00480AA7">
              <w:t>0.8697</w:t>
            </w:r>
          </w:p>
        </w:tc>
        <w:tc>
          <w:tcPr>
            <w:tcW w:w="1950" w:type="dxa"/>
          </w:tcPr>
          <w:p w14:paraId="2A51F83C" w14:textId="77777777" w:rsidR="00476A75" w:rsidRPr="00954B78" w:rsidRDefault="000F5B51" w:rsidP="00476A75">
            <w:pPr>
              <w:spacing w:after="0" w:line="240" w:lineRule="auto"/>
              <w:jc w:val="center"/>
              <w:rPr>
                <w:rFonts w:eastAsia="Times New Roman" w:cs="Times New Roman"/>
                <w:color w:val="000000"/>
                <w:szCs w:val="24"/>
              </w:rPr>
            </w:pPr>
            <w:r w:rsidRPr="00480AA7">
              <w:t>2</w:t>
            </w:r>
            <w:r w:rsidR="00FE5B55">
              <w:t>,</w:t>
            </w:r>
            <w:r w:rsidRPr="00480AA7">
              <w:t>219</w:t>
            </w:r>
          </w:p>
        </w:tc>
        <w:tc>
          <w:tcPr>
            <w:tcW w:w="1950" w:type="dxa"/>
          </w:tcPr>
          <w:p w14:paraId="25ACDA49" w14:textId="77777777" w:rsidR="00476A75" w:rsidRPr="00954B78" w:rsidRDefault="000F5B51" w:rsidP="00476A75">
            <w:pPr>
              <w:spacing w:after="0" w:line="240" w:lineRule="auto"/>
              <w:jc w:val="center"/>
              <w:rPr>
                <w:rFonts w:eastAsia="Times New Roman" w:cs="Times New Roman"/>
                <w:color w:val="000000"/>
                <w:szCs w:val="24"/>
              </w:rPr>
            </w:pPr>
            <w:r w:rsidRPr="00480AA7">
              <w:t>6</w:t>
            </w:r>
          </w:p>
        </w:tc>
      </w:tr>
      <w:tr w:rsidR="00A15C2C" w14:paraId="21A73705" w14:textId="77777777" w:rsidTr="00460C7F">
        <w:trPr>
          <w:trHeight w:val="310"/>
          <w:jc w:val="center"/>
        </w:trPr>
        <w:tc>
          <w:tcPr>
            <w:tcW w:w="1488" w:type="dxa"/>
            <w:shd w:val="clear" w:color="auto" w:fill="auto"/>
            <w:noWrap/>
          </w:tcPr>
          <w:p w14:paraId="4CC12804" w14:textId="77777777" w:rsidR="00476A75" w:rsidRPr="00954B78" w:rsidRDefault="000F5B51" w:rsidP="00476A75">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3</w:t>
            </w:r>
          </w:p>
        </w:tc>
        <w:tc>
          <w:tcPr>
            <w:tcW w:w="1949" w:type="dxa"/>
            <w:vAlign w:val="center"/>
          </w:tcPr>
          <w:p w14:paraId="2928F7FF" w14:textId="77777777" w:rsidR="00476A75" w:rsidRPr="00954B78" w:rsidRDefault="000F5B51" w:rsidP="00476A75">
            <w:pPr>
              <w:spacing w:after="0" w:line="240" w:lineRule="auto"/>
              <w:jc w:val="center"/>
              <w:rPr>
                <w:rFonts w:cs="Times New Roman"/>
                <w:color w:val="000000"/>
                <w:szCs w:val="24"/>
              </w:rPr>
            </w:pPr>
            <w:r>
              <w:rPr>
                <w:color w:val="000000"/>
              </w:rPr>
              <w:t>1,409</w:t>
            </w:r>
          </w:p>
        </w:tc>
        <w:tc>
          <w:tcPr>
            <w:tcW w:w="1950" w:type="dxa"/>
            <w:shd w:val="clear" w:color="auto" w:fill="auto"/>
            <w:noWrap/>
            <w:vAlign w:val="center"/>
          </w:tcPr>
          <w:p w14:paraId="23BEC39C" w14:textId="77777777" w:rsidR="00476A75" w:rsidRPr="00954B78" w:rsidRDefault="000F5B51" w:rsidP="00476A75">
            <w:pPr>
              <w:spacing w:after="0" w:line="240" w:lineRule="auto"/>
              <w:jc w:val="center"/>
              <w:rPr>
                <w:rFonts w:eastAsia="Times New Roman" w:cs="Times New Roman"/>
                <w:color w:val="000000"/>
                <w:szCs w:val="24"/>
              </w:rPr>
            </w:pPr>
            <w:r>
              <w:rPr>
                <w:color w:val="000000"/>
              </w:rPr>
              <w:t>0.5</w:t>
            </w:r>
          </w:p>
        </w:tc>
        <w:tc>
          <w:tcPr>
            <w:tcW w:w="1950" w:type="dxa"/>
            <w:shd w:val="clear" w:color="auto" w:fill="auto"/>
            <w:noWrap/>
            <w:vAlign w:val="center"/>
          </w:tcPr>
          <w:p w14:paraId="68630692" w14:textId="77777777" w:rsidR="00476A75" w:rsidRPr="00DA0C97" w:rsidRDefault="000F5B51" w:rsidP="00476A75">
            <w:pPr>
              <w:spacing w:after="0" w:line="240" w:lineRule="auto"/>
              <w:jc w:val="center"/>
              <w:rPr>
                <w:rFonts w:eastAsia="Times New Roman" w:cs="Times New Roman"/>
                <w:color w:val="000000"/>
                <w:szCs w:val="24"/>
              </w:rPr>
            </w:pPr>
            <w:r>
              <w:rPr>
                <w:color w:val="000000"/>
              </w:rPr>
              <w:t>0.8674</w:t>
            </w:r>
          </w:p>
        </w:tc>
        <w:tc>
          <w:tcPr>
            <w:tcW w:w="1949" w:type="dxa"/>
            <w:shd w:val="clear" w:color="auto" w:fill="auto"/>
            <w:noWrap/>
            <w:vAlign w:val="center"/>
          </w:tcPr>
          <w:p w14:paraId="39FFF325" w14:textId="77777777" w:rsidR="00476A75" w:rsidRPr="00954B78" w:rsidRDefault="000F5B51" w:rsidP="00476A75">
            <w:pPr>
              <w:spacing w:after="0" w:line="240" w:lineRule="auto"/>
              <w:jc w:val="center"/>
              <w:rPr>
                <w:rFonts w:eastAsia="Times New Roman" w:cs="Times New Roman"/>
                <w:color w:val="000000"/>
                <w:szCs w:val="24"/>
              </w:rPr>
            </w:pPr>
            <w:r>
              <w:rPr>
                <w:color w:val="000000"/>
              </w:rPr>
              <w:t>611</w:t>
            </w:r>
          </w:p>
        </w:tc>
        <w:tc>
          <w:tcPr>
            <w:tcW w:w="1950" w:type="dxa"/>
          </w:tcPr>
          <w:p w14:paraId="2B1F9FB2" w14:textId="77777777" w:rsidR="00476A75" w:rsidRPr="00954B78" w:rsidRDefault="000F5B51" w:rsidP="00476A75">
            <w:pPr>
              <w:spacing w:after="0" w:line="240" w:lineRule="auto"/>
              <w:jc w:val="center"/>
              <w:rPr>
                <w:rFonts w:eastAsia="Times New Roman" w:cs="Times New Roman"/>
                <w:color w:val="000000"/>
                <w:szCs w:val="24"/>
              </w:rPr>
            </w:pPr>
            <w:r w:rsidRPr="00480AA7">
              <w:t>0.8697</w:t>
            </w:r>
          </w:p>
        </w:tc>
        <w:tc>
          <w:tcPr>
            <w:tcW w:w="1950" w:type="dxa"/>
          </w:tcPr>
          <w:p w14:paraId="773E2D8D" w14:textId="77777777" w:rsidR="00476A75" w:rsidRPr="00954B78" w:rsidRDefault="000F5B51" w:rsidP="00476A75">
            <w:pPr>
              <w:spacing w:after="0" w:line="240" w:lineRule="auto"/>
              <w:jc w:val="center"/>
              <w:rPr>
                <w:rFonts w:eastAsia="Times New Roman" w:cs="Times New Roman"/>
                <w:color w:val="000000"/>
                <w:szCs w:val="24"/>
              </w:rPr>
            </w:pPr>
            <w:r w:rsidRPr="00480AA7">
              <w:t>613</w:t>
            </w:r>
          </w:p>
        </w:tc>
        <w:tc>
          <w:tcPr>
            <w:tcW w:w="1950" w:type="dxa"/>
          </w:tcPr>
          <w:p w14:paraId="27667BC7" w14:textId="77777777" w:rsidR="00476A75" w:rsidRPr="00954B78" w:rsidRDefault="000F5B51" w:rsidP="00476A75">
            <w:pPr>
              <w:spacing w:after="0" w:line="240" w:lineRule="auto"/>
              <w:jc w:val="center"/>
              <w:rPr>
                <w:rFonts w:eastAsia="Times New Roman" w:cs="Times New Roman"/>
                <w:color w:val="000000"/>
                <w:szCs w:val="24"/>
              </w:rPr>
            </w:pPr>
            <w:r w:rsidRPr="00480AA7">
              <w:t>2</w:t>
            </w:r>
          </w:p>
        </w:tc>
      </w:tr>
      <w:tr w:rsidR="00A15C2C" w14:paraId="4D110734" w14:textId="77777777" w:rsidTr="00460C7F">
        <w:trPr>
          <w:trHeight w:val="310"/>
          <w:jc w:val="center"/>
        </w:trPr>
        <w:tc>
          <w:tcPr>
            <w:tcW w:w="1488" w:type="dxa"/>
            <w:shd w:val="clear" w:color="auto" w:fill="auto"/>
            <w:noWrap/>
          </w:tcPr>
          <w:p w14:paraId="26F6775C" w14:textId="77777777" w:rsidR="00476A75" w:rsidRPr="00954B78" w:rsidRDefault="000F5B51" w:rsidP="00476A75">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4</w:t>
            </w:r>
          </w:p>
        </w:tc>
        <w:tc>
          <w:tcPr>
            <w:tcW w:w="1949" w:type="dxa"/>
            <w:vAlign w:val="center"/>
          </w:tcPr>
          <w:p w14:paraId="584DD545" w14:textId="77777777" w:rsidR="00476A75" w:rsidRPr="00954B78" w:rsidRDefault="000F5B51" w:rsidP="00476A75">
            <w:pPr>
              <w:spacing w:after="0" w:line="240" w:lineRule="auto"/>
              <w:jc w:val="center"/>
              <w:rPr>
                <w:rFonts w:cs="Times New Roman"/>
                <w:color w:val="000000"/>
                <w:szCs w:val="24"/>
              </w:rPr>
            </w:pPr>
            <w:r>
              <w:rPr>
                <w:color w:val="000000"/>
              </w:rPr>
              <w:t>1,018</w:t>
            </w:r>
          </w:p>
        </w:tc>
        <w:tc>
          <w:tcPr>
            <w:tcW w:w="1950" w:type="dxa"/>
            <w:shd w:val="clear" w:color="auto" w:fill="auto"/>
            <w:noWrap/>
            <w:vAlign w:val="center"/>
          </w:tcPr>
          <w:p w14:paraId="3CFB9188" w14:textId="77777777" w:rsidR="00476A75" w:rsidRPr="00954B78" w:rsidRDefault="000F5B51" w:rsidP="00476A75">
            <w:pPr>
              <w:spacing w:after="0" w:line="240" w:lineRule="auto"/>
              <w:jc w:val="center"/>
              <w:rPr>
                <w:rFonts w:eastAsia="Times New Roman" w:cs="Times New Roman"/>
                <w:color w:val="000000"/>
                <w:szCs w:val="24"/>
              </w:rPr>
            </w:pPr>
            <w:r>
              <w:rPr>
                <w:color w:val="000000"/>
              </w:rPr>
              <w:t>0.5</w:t>
            </w:r>
          </w:p>
        </w:tc>
        <w:tc>
          <w:tcPr>
            <w:tcW w:w="1950" w:type="dxa"/>
            <w:shd w:val="clear" w:color="auto" w:fill="auto"/>
            <w:noWrap/>
            <w:vAlign w:val="center"/>
          </w:tcPr>
          <w:p w14:paraId="1A0AE39A" w14:textId="77777777" w:rsidR="00476A75" w:rsidRPr="00DA0C97" w:rsidRDefault="000F5B51" w:rsidP="00476A75">
            <w:pPr>
              <w:spacing w:after="0" w:line="240" w:lineRule="auto"/>
              <w:jc w:val="center"/>
              <w:rPr>
                <w:rFonts w:eastAsia="Times New Roman" w:cs="Times New Roman"/>
                <w:color w:val="000000"/>
                <w:szCs w:val="24"/>
              </w:rPr>
            </w:pPr>
            <w:r>
              <w:rPr>
                <w:color w:val="000000"/>
              </w:rPr>
              <w:t>0.8674</w:t>
            </w:r>
          </w:p>
        </w:tc>
        <w:tc>
          <w:tcPr>
            <w:tcW w:w="1949" w:type="dxa"/>
            <w:shd w:val="clear" w:color="auto" w:fill="auto"/>
            <w:noWrap/>
            <w:vAlign w:val="center"/>
          </w:tcPr>
          <w:p w14:paraId="2ECA5294" w14:textId="77777777" w:rsidR="00476A75" w:rsidRPr="00954B78" w:rsidRDefault="000F5B51" w:rsidP="00476A75">
            <w:pPr>
              <w:spacing w:after="0" w:line="240" w:lineRule="auto"/>
              <w:jc w:val="center"/>
              <w:rPr>
                <w:rFonts w:eastAsia="Times New Roman" w:cs="Times New Roman"/>
                <w:color w:val="000000"/>
                <w:szCs w:val="24"/>
              </w:rPr>
            </w:pPr>
            <w:r>
              <w:rPr>
                <w:color w:val="000000"/>
              </w:rPr>
              <w:t>442</w:t>
            </w:r>
          </w:p>
        </w:tc>
        <w:tc>
          <w:tcPr>
            <w:tcW w:w="1950" w:type="dxa"/>
          </w:tcPr>
          <w:p w14:paraId="22CEC41F" w14:textId="77777777" w:rsidR="00476A75" w:rsidRPr="00954B78" w:rsidRDefault="000F5B51" w:rsidP="00476A75">
            <w:pPr>
              <w:spacing w:after="0" w:line="240" w:lineRule="auto"/>
              <w:jc w:val="center"/>
              <w:rPr>
                <w:rFonts w:eastAsia="Times New Roman" w:cs="Times New Roman"/>
                <w:color w:val="000000"/>
                <w:szCs w:val="24"/>
              </w:rPr>
            </w:pPr>
            <w:r w:rsidRPr="00480AA7">
              <w:t>0.8697</w:t>
            </w:r>
          </w:p>
        </w:tc>
        <w:tc>
          <w:tcPr>
            <w:tcW w:w="1950" w:type="dxa"/>
          </w:tcPr>
          <w:p w14:paraId="71469042" w14:textId="77777777" w:rsidR="00476A75" w:rsidRPr="00954B78" w:rsidRDefault="000F5B51" w:rsidP="00476A75">
            <w:pPr>
              <w:spacing w:after="0" w:line="240" w:lineRule="auto"/>
              <w:jc w:val="center"/>
              <w:rPr>
                <w:rFonts w:eastAsia="Times New Roman" w:cs="Times New Roman"/>
                <w:color w:val="000000"/>
                <w:szCs w:val="24"/>
              </w:rPr>
            </w:pPr>
            <w:r w:rsidRPr="00480AA7">
              <w:t>443</w:t>
            </w:r>
          </w:p>
        </w:tc>
        <w:tc>
          <w:tcPr>
            <w:tcW w:w="1950" w:type="dxa"/>
          </w:tcPr>
          <w:p w14:paraId="3B191A41" w14:textId="77777777" w:rsidR="00476A75" w:rsidRPr="00954B78" w:rsidRDefault="000F5B51" w:rsidP="00476A75">
            <w:pPr>
              <w:spacing w:after="0" w:line="240" w:lineRule="auto"/>
              <w:jc w:val="center"/>
              <w:rPr>
                <w:rFonts w:eastAsia="Times New Roman" w:cs="Times New Roman"/>
                <w:color w:val="000000"/>
                <w:szCs w:val="24"/>
              </w:rPr>
            </w:pPr>
            <w:r w:rsidRPr="00480AA7">
              <w:t>1</w:t>
            </w:r>
          </w:p>
        </w:tc>
      </w:tr>
      <w:tr w:rsidR="00A15C2C" w14:paraId="12EA934C" w14:textId="77777777" w:rsidTr="00460C7F">
        <w:trPr>
          <w:trHeight w:val="310"/>
          <w:jc w:val="center"/>
        </w:trPr>
        <w:tc>
          <w:tcPr>
            <w:tcW w:w="1488" w:type="dxa"/>
            <w:shd w:val="clear" w:color="auto" w:fill="auto"/>
            <w:noWrap/>
          </w:tcPr>
          <w:p w14:paraId="214E3CB2" w14:textId="77777777" w:rsidR="00476A75" w:rsidRPr="00954B78" w:rsidRDefault="000F5B51" w:rsidP="00476A75">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5</w:t>
            </w:r>
          </w:p>
        </w:tc>
        <w:tc>
          <w:tcPr>
            <w:tcW w:w="1949" w:type="dxa"/>
            <w:vAlign w:val="center"/>
          </w:tcPr>
          <w:p w14:paraId="517B343B" w14:textId="77777777" w:rsidR="00476A75" w:rsidRPr="00954B78" w:rsidRDefault="000F5B51" w:rsidP="00476A75">
            <w:pPr>
              <w:spacing w:after="0" w:line="240" w:lineRule="auto"/>
              <w:jc w:val="center"/>
              <w:rPr>
                <w:rFonts w:cs="Times New Roman"/>
                <w:color w:val="000000"/>
                <w:szCs w:val="24"/>
              </w:rPr>
            </w:pPr>
            <w:r>
              <w:rPr>
                <w:color w:val="000000"/>
              </w:rPr>
              <w:t>24</w:t>
            </w:r>
          </w:p>
        </w:tc>
        <w:tc>
          <w:tcPr>
            <w:tcW w:w="1950" w:type="dxa"/>
            <w:shd w:val="clear" w:color="auto" w:fill="auto"/>
            <w:noWrap/>
            <w:vAlign w:val="center"/>
          </w:tcPr>
          <w:p w14:paraId="7E8FA4C7" w14:textId="77777777" w:rsidR="00476A75" w:rsidRPr="00954B78" w:rsidRDefault="000F5B51" w:rsidP="00476A75">
            <w:pPr>
              <w:spacing w:after="0" w:line="240" w:lineRule="auto"/>
              <w:jc w:val="center"/>
              <w:rPr>
                <w:rFonts w:eastAsia="Times New Roman" w:cs="Times New Roman"/>
                <w:color w:val="000000"/>
                <w:szCs w:val="24"/>
              </w:rPr>
            </w:pPr>
            <w:r>
              <w:rPr>
                <w:color w:val="000000"/>
              </w:rPr>
              <w:t>0.5</w:t>
            </w:r>
          </w:p>
        </w:tc>
        <w:tc>
          <w:tcPr>
            <w:tcW w:w="1950" w:type="dxa"/>
            <w:shd w:val="clear" w:color="auto" w:fill="auto"/>
            <w:noWrap/>
            <w:vAlign w:val="center"/>
          </w:tcPr>
          <w:p w14:paraId="67B17554" w14:textId="77777777" w:rsidR="00476A75" w:rsidRPr="00DA0C97" w:rsidRDefault="000F5B51" w:rsidP="00476A75">
            <w:pPr>
              <w:spacing w:after="0" w:line="240" w:lineRule="auto"/>
              <w:jc w:val="center"/>
              <w:rPr>
                <w:rFonts w:eastAsia="Times New Roman" w:cs="Times New Roman"/>
                <w:color w:val="000000"/>
                <w:szCs w:val="24"/>
              </w:rPr>
            </w:pPr>
            <w:r>
              <w:rPr>
                <w:color w:val="000000"/>
              </w:rPr>
              <w:t>0.8674</w:t>
            </w:r>
          </w:p>
        </w:tc>
        <w:tc>
          <w:tcPr>
            <w:tcW w:w="1949" w:type="dxa"/>
            <w:shd w:val="clear" w:color="auto" w:fill="auto"/>
            <w:noWrap/>
            <w:vAlign w:val="center"/>
          </w:tcPr>
          <w:p w14:paraId="1DEF0E48" w14:textId="77777777" w:rsidR="00476A75" w:rsidRPr="00954B78" w:rsidRDefault="000F5B51" w:rsidP="00476A75">
            <w:pPr>
              <w:spacing w:after="0" w:line="240" w:lineRule="auto"/>
              <w:jc w:val="center"/>
              <w:rPr>
                <w:rFonts w:eastAsia="Times New Roman" w:cs="Times New Roman"/>
                <w:color w:val="000000"/>
                <w:szCs w:val="24"/>
              </w:rPr>
            </w:pPr>
            <w:r>
              <w:rPr>
                <w:color w:val="000000"/>
              </w:rPr>
              <w:t>10</w:t>
            </w:r>
          </w:p>
        </w:tc>
        <w:tc>
          <w:tcPr>
            <w:tcW w:w="1950" w:type="dxa"/>
          </w:tcPr>
          <w:p w14:paraId="77038FCF" w14:textId="77777777" w:rsidR="00476A75" w:rsidRPr="00954B78" w:rsidRDefault="000F5B51" w:rsidP="00476A75">
            <w:pPr>
              <w:spacing w:after="0" w:line="240" w:lineRule="auto"/>
              <w:jc w:val="center"/>
              <w:rPr>
                <w:rFonts w:eastAsia="Times New Roman" w:cs="Times New Roman"/>
                <w:color w:val="000000"/>
                <w:szCs w:val="24"/>
              </w:rPr>
            </w:pPr>
            <w:r w:rsidRPr="00480AA7">
              <w:t>0.8697</w:t>
            </w:r>
          </w:p>
        </w:tc>
        <w:tc>
          <w:tcPr>
            <w:tcW w:w="1950" w:type="dxa"/>
          </w:tcPr>
          <w:p w14:paraId="5EB0E61E" w14:textId="77777777" w:rsidR="00476A75" w:rsidRPr="00954B78" w:rsidRDefault="000F5B51" w:rsidP="00476A75">
            <w:pPr>
              <w:spacing w:after="0" w:line="240" w:lineRule="auto"/>
              <w:jc w:val="center"/>
              <w:rPr>
                <w:rFonts w:eastAsia="Times New Roman" w:cs="Times New Roman"/>
                <w:color w:val="000000"/>
                <w:szCs w:val="24"/>
              </w:rPr>
            </w:pPr>
            <w:r w:rsidRPr="00480AA7">
              <w:t>10</w:t>
            </w:r>
          </w:p>
        </w:tc>
        <w:tc>
          <w:tcPr>
            <w:tcW w:w="1950" w:type="dxa"/>
          </w:tcPr>
          <w:p w14:paraId="4378F8B8" w14:textId="77777777" w:rsidR="00476A75" w:rsidRPr="00954B78" w:rsidRDefault="000F5B51" w:rsidP="00476A75">
            <w:pPr>
              <w:spacing w:after="0" w:line="240" w:lineRule="auto"/>
              <w:jc w:val="center"/>
              <w:rPr>
                <w:rFonts w:eastAsia="Times New Roman" w:cs="Times New Roman"/>
                <w:color w:val="000000"/>
                <w:szCs w:val="24"/>
              </w:rPr>
            </w:pPr>
            <w:r w:rsidRPr="00480AA7">
              <w:t>0</w:t>
            </w:r>
          </w:p>
        </w:tc>
      </w:tr>
      <w:tr w:rsidR="00A15C2C" w14:paraId="089725A1" w14:textId="77777777" w:rsidTr="00800C73">
        <w:trPr>
          <w:trHeight w:val="310"/>
          <w:jc w:val="center"/>
        </w:trPr>
        <w:tc>
          <w:tcPr>
            <w:tcW w:w="1488" w:type="dxa"/>
            <w:shd w:val="clear" w:color="auto" w:fill="auto"/>
            <w:noWrap/>
            <w:vAlign w:val="bottom"/>
          </w:tcPr>
          <w:p w14:paraId="4C218607" w14:textId="77777777" w:rsidR="00D75645" w:rsidRPr="00012598" w:rsidRDefault="000F5B51" w:rsidP="00800C73">
            <w:pPr>
              <w:spacing w:after="0" w:line="240" w:lineRule="auto"/>
              <w:rPr>
                <w:rFonts w:eastAsia="Times New Roman" w:cs="Times New Roman"/>
                <w:b/>
                <w:bCs/>
                <w:color w:val="000000"/>
                <w:sz w:val="23"/>
                <w:szCs w:val="23"/>
              </w:rPr>
            </w:pPr>
            <w:r w:rsidRPr="00012598">
              <w:rPr>
                <w:rFonts w:eastAsia="Times New Roman" w:cs="Times New Roman"/>
                <w:b/>
                <w:bCs/>
                <w:color w:val="000000"/>
                <w:sz w:val="23"/>
                <w:szCs w:val="23"/>
              </w:rPr>
              <w:t>Non-Fatal Injuries</w:t>
            </w:r>
          </w:p>
          <w:p w14:paraId="3D1F95F5" w14:textId="77777777" w:rsidR="00D75645" w:rsidRPr="00012598" w:rsidRDefault="000F5B51" w:rsidP="00800C73">
            <w:pPr>
              <w:spacing w:after="0" w:line="240" w:lineRule="auto"/>
              <w:rPr>
                <w:rFonts w:eastAsia="Times New Roman" w:cs="Times New Roman"/>
                <w:b/>
                <w:bCs/>
                <w:color w:val="000000"/>
                <w:szCs w:val="24"/>
              </w:rPr>
            </w:pPr>
            <w:r w:rsidRPr="00012598">
              <w:rPr>
                <w:rFonts w:eastAsia="Times New Roman" w:cs="Times New Roman"/>
                <w:b/>
                <w:bCs/>
                <w:color w:val="000000"/>
                <w:sz w:val="23"/>
                <w:szCs w:val="23"/>
              </w:rPr>
              <w:t>(MAIS 1-5)</w:t>
            </w:r>
          </w:p>
        </w:tc>
        <w:tc>
          <w:tcPr>
            <w:tcW w:w="1949" w:type="dxa"/>
            <w:vAlign w:val="center"/>
          </w:tcPr>
          <w:p w14:paraId="7FC8A28E" w14:textId="77777777" w:rsidR="00D75645" w:rsidRPr="00037863" w:rsidRDefault="000F5B51" w:rsidP="00800C73">
            <w:pPr>
              <w:spacing w:after="0" w:line="240" w:lineRule="auto"/>
              <w:jc w:val="center"/>
              <w:rPr>
                <w:rFonts w:cs="Times New Roman"/>
                <w:b/>
                <w:color w:val="000000"/>
                <w:szCs w:val="24"/>
              </w:rPr>
            </w:pPr>
            <w:r w:rsidRPr="00044F2E">
              <w:rPr>
                <w:rFonts w:cs="Times New Roman"/>
                <w:b/>
                <w:bCs/>
                <w:color w:val="000000"/>
                <w:szCs w:val="24"/>
              </w:rPr>
              <w:t>14,487</w:t>
            </w:r>
          </w:p>
        </w:tc>
        <w:tc>
          <w:tcPr>
            <w:tcW w:w="1950" w:type="dxa"/>
            <w:shd w:val="clear" w:color="auto" w:fill="auto"/>
            <w:noWrap/>
            <w:vAlign w:val="center"/>
          </w:tcPr>
          <w:p w14:paraId="4F111786" w14:textId="77777777" w:rsidR="00D75645" w:rsidRPr="00460C7F" w:rsidRDefault="000F5B51" w:rsidP="00800C73">
            <w:pPr>
              <w:spacing w:after="0" w:line="240" w:lineRule="auto"/>
              <w:jc w:val="center"/>
              <w:rPr>
                <w:rFonts w:cs="Times New Roman"/>
                <w:b/>
                <w:bCs/>
                <w:color w:val="000000"/>
                <w:szCs w:val="24"/>
              </w:rPr>
            </w:pPr>
            <w:r w:rsidRPr="00460C7F">
              <w:rPr>
                <w:rFonts w:cs="Times New Roman"/>
                <w:b/>
                <w:bCs/>
                <w:color w:val="000000"/>
                <w:szCs w:val="24"/>
              </w:rPr>
              <w:t>-</w:t>
            </w:r>
          </w:p>
        </w:tc>
        <w:tc>
          <w:tcPr>
            <w:tcW w:w="1950" w:type="dxa"/>
            <w:shd w:val="clear" w:color="auto" w:fill="auto"/>
            <w:noWrap/>
            <w:vAlign w:val="center"/>
          </w:tcPr>
          <w:p w14:paraId="5DC045EC" w14:textId="77777777" w:rsidR="00D75645" w:rsidRPr="00460C7F" w:rsidRDefault="000F5B51" w:rsidP="00800C73">
            <w:pPr>
              <w:spacing w:after="0" w:line="240" w:lineRule="auto"/>
              <w:jc w:val="center"/>
              <w:rPr>
                <w:rFonts w:cs="Times New Roman"/>
                <w:b/>
                <w:bCs/>
                <w:color w:val="000000"/>
                <w:szCs w:val="24"/>
              </w:rPr>
            </w:pPr>
            <w:r w:rsidRPr="00460C7F">
              <w:rPr>
                <w:rFonts w:cs="Times New Roman"/>
                <w:b/>
                <w:bCs/>
                <w:color w:val="000000"/>
                <w:szCs w:val="24"/>
              </w:rPr>
              <w:t>-</w:t>
            </w:r>
          </w:p>
        </w:tc>
        <w:tc>
          <w:tcPr>
            <w:tcW w:w="1949" w:type="dxa"/>
            <w:shd w:val="clear" w:color="auto" w:fill="auto"/>
            <w:noWrap/>
            <w:vAlign w:val="center"/>
          </w:tcPr>
          <w:p w14:paraId="34474B32" w14:textId="77777777" w:rsidR="00D75645" w:rsidRPr="00460C7F" w:rsidRDefault="000F5B51" w:rsidP="00800C73">
            <w:pPr>
              <w:spacing w:after="0" w:line="240" w:lineRule="auto"/>
              <w:jc w:val="center"/>
              <w:rPr>
                <w:rFonts w:cs="Times New Roman"/>
                <w:b/>
                <w:bCs/>
                <w:color w:val="000000"/>
                <w:szCs w:val="24"/>
              </w:rPr>
            </w:pPr>
            <w:r w:rsidRPr="00460C7F">
              <w:rPr>
                <w:rFonts w:cs="Times New Roman"/>
                <w:b/>
                <w:bCs/>
                <w:color w:val="000000"/>
                <w:szCs w:val="24"/>
              </w:rPr>
              <w:t>3,607</w:t>
            </w:r>
          </w:p>
        </w:tc>
        <w:tc>
          <w:tcPr>
            <w:tcW w:w="1950" w:type="dxa"/>
            <w:vAlign w:val="center"/>
          </w:tcPr>
          <w:p w14:paraId="2E1C9C8D" w14:textId="77777777" w:rsidR="00D75645" w:rsidRPr="00FE5B55" w:rsidRDefault="000F5B51" w:rsidP="00800C73">
            <w:pPr>
              <w:spacing w:after="0" w:line="240" w:lineRule="auto"/>
              <w:jc w:val="center"/>
              <w:rPr>
                <w:rFonts w:cs="Times New Roman"/>
                <w:color w:val="000000"/>
                <w:szCs w:val="24"/>
              </w:rPr>
            </w:pPr>
            <w:r w:rsidRPr="00460C7F">
              <w:rPr>
                <w:rFonts w:cs="Times New Roman"/>
                <w:color w:val="000000"/>
                <w:szCs w:val="24"/>
              </w:rPr>
              <w:t>-</w:t>
            </w:r>
          </w:p>
        </w:tc>
        <w:tc>
          <w:tcPr>
            <w:tcW w:w="1950" w:type="dxa"/>
            <w:vAlign w:val="center"/>
          </w:tcPr>
          <w:p w14:paraId="1AAE8978" w14:textId="77777777" w:rsidR="00D75645" w:rsidRPr="00460C7F" w:rsidRDefault="000F5B51" w:rsidP="00800C73">
            <w:pPr>
              <w:spacing w:after="0" w:line="240" w:lineRule="auto"/>
              <w:jc w:val="center"/>
              <w:rPr>
                <w:rFonts w:cs="Times New Roman"/>
                <w:b/>
                <w:bCs/>
                <w:color w:val="000000"/>
                <w:szCs w:val="24"/>
              </w:rPr>
            </w:pPr>
            <w:r>
              <w:rPr>
                <w:rFonts w:cs="Times New Roman"/>
                <w:b/>
                <w:bCs/>
                <w:color w:val="000000"/>
                <w:szCs w:val="24"/>
              </w:rPr>
              <w:t>3,616</w:t>
            </w:r>
          </w:p>
        </w:tc>
        <w:tc>
          <w:tcPr>
            <w:tcW w:w="1950" w:type="dxa"/>
            <w:vAlign w:val="center"/>
          </w:tcPr>
          <w:p w14:paraId="34DC7592" w14:textId="77777777" w:rsidR="00D75645" w:rsidRPr="00460C7F" w:rsidRDefault="000F5B51" w:rsidP="00800C73">
            <w:pPr>
              <w:spacing w:after="0" w:line="240" w:lineRule="auto"/>
              <w:jc w:val="center"/>
              <w:rPr>
                <w:rFonts w:cs="Times New Roman"/>
                <w:b/>
                <w:bCs/>
                <w:color w:val="000000"/>
                <w:szCs w:val="24"/>
              </w:rPr>
            </w:pPr>
            <w:r>
              <w:rPr>
                <w:rFonts w:cs="Times New Roman"/>
                <w:b/>
                <w:bCs/>
                <w:color w:val="000000"/>
                <w:szCs w:val="24"/>
              </w:rPr>
              <w:t>9</w:t>
            </w:r>
          </w:p>
        </w:tc>
      </w:tr>
      <w:tr w:rsidR="00A15C2C" w14:paraId="25EEFDFB" w14:textId="77777777" w:rsidTr="00460C7F">
        <w:trPr>
          <w:trHeight w:val="310"/>
          <w:jc w:val="center"/>
        </w:trPr>
        <w:tc>
          <w:tcPr>
            <w:tcW w:w="1488" w:type="dxa"/>
            <w:shd w:val="clear" w:color="auto" w:fill="auto"/>
            <w:noWrap/>
            <w:vAlign w:val="bottom"/>
            <w:hideMark/>
          </w:tcPr>
          <w:p w14:paraId="298B3ED2" w14:textId="77777777" w:rsidR="00476A75" w:rsidRPr="00012598" w:rsidRDefault="000F5B51" w:rsidP="00476A75">
            <w:pPr>
              <w:spacing w:after="0" w:line="240" w:lineRule="auto"/>
              <w:rPr>
                <w:rFonts w:eastAsia="Times New Roman" w:cs="Times New Roman"/>
                <w:b/>
                <w:bCs/>
                <w:color w:val="000000"/>
                <w:szCs w:val="24"/>
              </w:rPr>
            </w:pPr>
            <w:r w:rsidRPr="00012598">
              <w:rPr>
                <w:rFonts w:eastAsia="Times New Roman" w:cs="Times New Roman"/>
                <w:b/>
                <w:bCs/>
                <w:color w:val="000000"/>
                <w:szCs w:val="24"/>
              </w:rPr>
              <w:t>Fatality</w:t>
            </w:r>
          </w:p>
        </w:tc>
        <w:tc>
          <w:tcPr>
            <w:tcW w:w="1949" w:type="dxa"/>
          </w:tcPr>
          <w:p w14:paraId="5DF5D401" w14:textId="77777777" w:rsidR="00476A75" w:rsidRPr="00044F2E" w:rsidRDefault="000F5B51" w:rsidP="00476A75">
            <w:pPr>
              <w:spacing w:after="0" w:line="240" w:lineRule="auto"/>
              <w:jc w:val="center"/>
              <w:rPr>
                <w:rFonts w:cs="Times New Roman"/>
                <w:b/>
                <w:bCs/>
                <w:color w:val="000000"/>
                <w:szCs w:val="24"/>
              </w:rPr>
            </w:pPr>
            <w:r w:rsidRPr="00460C7F">
              <w:rPr>
                <w:b/>
                <w:bCs/>
              </w:rPr>
              <w:t>2,174</w:t>
            </w:r>
          </w:p>
        </w:tc>
        <w:tc>
          <w:tcPr>
            <w:tcW w:w="1950" w:type="dxa"/>
            <w:shd w:val="clear" w:color="auto" w:fill="auto"/>
            <w:noWrap/>
          </w:tcPr>
          <w:p w14:paraId="3AD322C6" w14:textId="77777777" w:rsidR="00476A75" w:rsidRPr="009E4565" w:rsidRDefault="000F5B51" w:rsidP="00476A75">
            <w:pPr>
              <w:spacing w:after="0" w:line="240" w:lineRule="auto"/>
              <w:jc w:val="center"/>
              <w:rPr>
                <w:rFonts w:eastAsia="Times New Roman" w:cs="Times New Roman"/>
                <w:b/>
                <w:color w:val="000000"/>
                <w:szCs w:val="24"/>
              </w:rPr>
            </w:pPr>
            <w:r w:rsidRPr="00460C7F">
              <w:rPr>
                <w:b/>
                <w:bCs/>
              </w:rPr>
              <w:t>0.44</w:t>
            </w:r>
          </w:p>
        </w:tc>
        <w:tc>
          <w:tcPr>
            <w:tcW w:w="1950" w:type="dxa"/>
            <w:shd w:val="clear" w:color="auto" w:fill="auto"/>
            <w:noWrap/>
          </w:tcPr>
          <w:p w14:paraId="50E9DBCC" w14:textId="77777777" w:rsidR="00476A75" w:rsidRPr="00460C7F" w:rsidRDefault="000F5B51" w:rsidP="00476A75">
            <w:pPr>
              <w:spacing w:after="0" w:line="240" w:lineRule="auto"/>
              <w:jc w:val="center"/>
              <w:rPr>
                <w:rFonts w:cs="Times New Roman"/>
                <w:b/>
                <w:bCs/>
                <w:color w:val="000000"/>
                <w:szCs w:val="24"/>
              </w:rPr>
            </w:pPr>
            <w:r w:rsidRPr="00460C7F">
              <w:rPr>
                <w:b/>
                <w:bCs/>
              </w:rPr>
              <w:t>0.7808</w:t>
            </w:r>
          </w:p>
        </w:tc>
        <w:tc>
          <w:tcPr>
            <w:tcW w:w="1949" w:type="dxa"/>
            <w:shd w:val="clear" w:color="auto" w:fill="auto"/>
            <w:noWrap/>
          </w:tcPr>
          <w:p w14:paraId="36A20118" w14:textId="77777777" w:rsidR="00476A75" w:rsidRPr="009E4565" w:rsidRDefault="000F5B51" w:rsidP="00476A75">
            <w:pPr>
              <w:spacing w:after="0" w:line="240" w:lineRule="auto"/>
              <w:jc w:val="center"/>
              <w:rPr>
                <w:b/>
                <w:color w:val="000000"/>
              </w:rPr>
            </w:pPr>
            <w:r w:rsidRPr="00460C7F">
              <w:rPr>
                <w:b/>
                <w:bCs/>
              </w:rPr>
              <w:t>747</w:t>
            </w:r>
          </w:p>
        </w:tc>
        <w:tc>
          <w:tcPr>
            <w:tcW w:w="1950" w:type="dxa"/>
            <w:vAlign w:val="bottom"/>
          </w:tcPr>
          <w:p w14:paraId="0010C359" w14:textId="77777777" w:rsidR="00476A75" w:rsidRPr="00460C7F" w:rsidRDefault="000F5B51" w:rsidP="00476A75">
            <w:pPr>
              <w:spacing w:after="0" w:line="240" w:lineRule="auto"/>
              <w:jc w:val="center"/>
              <w:rPr>
                <w:rFonts w:eastAsia="Times New Roman" w:cs="Times New Roman"/>
                <w:color w:val="000000"/>
                <w:szCs w:val="24"/>
              </w:rPr>
            </w:pPr>
            <w:r w:rsidRPr="00FE5B55">
              <w:rPr>
                <w:color w:val="000000"/>
              </w:rPr>
              <w:t>0.7829</w:t>
            </w:r>
          </w:p>
        </w:tc>
        <w:tc>
          <w:tcPr>
            <w:tcW w:w="1950" w:type="dxa"/>
            <w:vAlign w:val="center"/>
          </w:tcPr>
          <w:p w14:paraId="1E22E7B4" w14:textId="77777777" w:rsidR="00476A75" w:rsidRPr="009E4565" w:rsidRDefault="000F5B51" w:rsidP="00476A75">
            <w:pPr>
              <w:spacing w:after="0" w:line="240" w:lineRule="auto"/>
              <w:jc w:val="center"/>
              <w:rPr>
                <w:rFonts w:eastAsia="Times New Roman" w:cs="Times New Roman"/>
                <w:b/>
                <w:color w:val="000000"/>
                <w:szCs w:val="24"/>
              </w:rPr>
            </w:pPr>
            <w:r>
              <w:rPr>
                <w:b/>
                <w:bCs/>
                <w:color w:val="000000"/>
              </w:rPr>
              <w:t>749</w:t>
            </w:r>
          </w:p>
        </w:tc>
        <w:tc>
          <w:tcPr>
            <w:tcW w:w="1950" w:type="dxa"/>
            <w:vAlign w:val="center"/>
          </w:tcPr>
          <w:p w14:paraId="3C1FAAFA" w14:textId="77777777" w:rsidR="00476A75" w:rsidRPr="009E4565" w:rsidRDefault="000F5B51" w:rsidP="00476A75">
            <w:pPr>
              <w:spacing w:after="0" w:line="240" w:lineRule="auto"/>
              <w:jc w:val="center"/>
              <w:rPr>
                <w:rFonts w:eastAsia="Times New Roman" w:cs="Times New Roman"/>
                <w:b/>
                <w:color w:val="000000"/>
                <w:szCs w:val="24"/>
              </w:rPr>
            </w:pPr>
            <w:r>
              <w:rPr>
                <w:b/>
                <w:bCs/>
                <w:color w:val="000000"/>
              </w:rPr>
              <w:t>2</w:t>
            </w:r>
          </w:p>
        </w:tc>
      </w:tr>
      <w:tr w:rsidR="00A15C2C" w14:paraId="747DCEBD" w14:textId="77777777" w:rsidTr="00800C73">
        <w:trPr>
          <w:trHeight w:val="310"/>
          <w:jc w:val="center"/>
        </w:trPr>
        <w:tc>
          <w:tcPr>
            <w:tcW w:w="15136" w:type="dxa"/>
            <w:gridSpan w:val="8"/>
            <w:shd w:val="clear" w:color="auto" w:fill="D9D9D9" w:themeFill="background1" w:themeFillShade="D9"/>
            <w:noWrap/>
            <w:vAlign w:val="bottom"/>
          </w:tcPr>
          <w:p w14:paraId="5C9252C2" w14:textId="77777777" w:rsidR="00D75645" w:rsidRPr="000B32DD" w:rsidRDefault="000F5B51" w:rsidP="00800C73">
            <w:pPr>
              <w:spacing w:after="0" w:line="240" w:lineRule="auto"/>
              <w:jc w:val="center"/>
              <w:rPr>
                <w:b/>
                <w:bCs/>
                <w:i/>
                <w:iCs/>
                <w:color w:val="000000"/>
              </w:rPr>
            </w:pPr>
            <w:r>
              <w:rPr>
                <w:b/>
                <w:bCs/>
                <w:i/>
                <w:iCs/>
                <w:color w:val="000000"/>
              </w:rPr>
              <w:t>Light Trucks</w:t>
            </w:r>
          </w:p>
        </w:tc>
      </w:tr>
      <w:tr w:rsidR="00A15C2C" w14:paraId="78E1D548" w14:textId="77777777" w:rsidTr="00460C7F">
        <w:trPr>
          <w:trHeight w:val="170"/>
          <w:jc w:val="center"/>
        </w:trPr>
        <w:tc>
          <w:tcPr>
            <w:tcW w:w="1488" w:type="dxa"/>
            <w:shd w:val="clear" w:color="auto" w:fill="auto"/>
            <w:noWrap/>
            <w:vAlign w:val="bottom"/>
            <w:hideMark/>
          </w:tcPr>
          <w:p w14:paraId="197128F1" w14:textId="77777777" w:rsidR="00540BD9" w:rsidRPr="00954B78" w:rsidRDefault="000F5B51" w:rsidP="00540BD9">
            <w:pPr>
              <w:spacing w:after="0" w:line="240" w:lineRule="auto"/>
              <w:rPr>
                <w:rFonts w:eastAsia="Times New Roman" w:cs="Times New Roman"/>
                <w:color w:val="000000"/>
                <w:szCs w:val="24"/>
              </w:rPr>
            </w:pPr>
            <w:r>
              <w:rPr>
                <w:rFonts w:eastAsia="Times New Roman" w:cs="Times New Roman"/>
                <w:color w:val="000000"/>
                <w:szCs w:val="24"/>
              </w:rPr>
              <w:t>MAIS 1</w:t>
            </w:r>
          </w:p>
        </w:tc>
        <w:tc>
          <w:tcPr>
            <w:tcW w:w="1949" w:type="dxa"/>
          </w:tcPr>
          <w:p w14:paraId="253C57D4" w14:textId="77777777" w:rsidR="00540BD9" w:rsidRPr="00954B78" w:rsidRDefault="000F5B51" w:rsidP="00540BD9">
            <w:pPr>
              <w:spacing w:after="0" w:line="240" w:lineRule="auto"/>
              <w:jc w:val="center"/>
              <w:rPr>
                <w:rFonts w:cs="Times New Roman"/>
                <w:color w:val="000000"/>
                <w:szCs w:val="24"/>
              </w:rPr>
            </w:pPr>
            <w:r w:rsidRPr="009F6485">
              <w:t>4,235</w:t>
            </w:r>
          </w:p>
        </w:tc>
        <w:tc>
          <w:tcPr>
            <w:tcW w:w="1950" w:type="dxa"/>
            <w:shd w:val="clear" w:color="auto" w:fill="auto"/>
            <w:noWrap/>
          </w:tcPr>
          <w:p w14:paraId="17023549" w14:textId="77777777" w:rsidR="00540BD9" w:rsidRPr="00954B78" w:rsidRDefault="000F5B51" w:rsidP="00540BD9">
            <w:pPr>
              <w:spacing w:after="0" w:line="240" w:lineRule="auto"/>
              <w:jc w:val="center"/>
              <w:rPr>
                <w:rFonts w:eastAsia="Times New Roman" w:cs="Times New Roman"/>
                <w:color w:val="000000"/>
                <w:szCs w:val="24"/>
              </w:rPr>
            </w:pPr>
            <w:r w:rsidRPr="009F6485">
              <w:t>0.055</w:t>
            </w:r>
          </w:p>
        </w:tc>
        <w:tc>
          <w:tcPr>
            <w:tcW w:w="1950" w:type="dxa"/>
            <w:shd w:val="clear" w:color="auto" w:fill="auto"/>
            <w:noWrap/>
          </w:tcPr>
          <w:p w14:paraId="4AC3001E" w14:textId="77777777" w:rsidR="00540BD9" w:rsidRPr="00954B78" w:rsidRDefault="000F5B51" w:rsidP="00540BD9">
            <w:pPr>
              <w:spacing w:after="0" w:line="240" w:lineRule="auto"/>
              <w:jc w:val="center"/>
              <w:rPr>
                <w:rFonts w:eastAsia="Times New Roman" w:cs="Times New Roman"/>
                <w:color w:val="000000"/>
                <w:szCs w:val="24"/>
              </w:rPr>
            </w:pPr>
            <w:r w:rsidRPr="009F6485">
              <w:t>0.8674</w:t>
            </w:r>
          </w:p>
        </w:tc>
        <w:tc>
          <w:tcPr>
            <w:tcW w:w="1949" w:type="dxa"/>
            <w:shd w:val="clear" w:color="auto" w:fill="auto"/>
            <w:noWrap/>
          </w:tcPr>
          <w:p w14:paraId="35E86D7E" w14:textId="77777777" w:rsidR="00540BD9" w:rsidRPr="00954B78" w:rsidRDefault="000F5B51" w:rsidP="00540BD9">
            <w:pPr>
              <w:spacing w:after="0" w:line="240" w:lineRule="auto"/>
              <w:jc w:val="center"/>
              <w:rPr>
                <w:rFonts w:eastAsia="Times New Roman" w:cs="Times New Roman"/>
                <w:color w:val="000000"/>
                <w:szCs w:val="24"/>
              </w:rPr>
            </w:pPr>
            <w:r w:rsidRPr="009F6485">
              <w:t>202</w:t>
            </w:r>
          </w:p>
        </w:tc>
        <w:tc>
          <w:tcPr>
            <w:tcW w:w="1950" w:type="dxa"/>
          </w:tcPr>
          <w:p w14:paraId="30BD5883" w14:textId="77777777" w:rsidR="00540BD9" w:rsidRPr="00954B78" w:rsidRDefault="000F5B51" w:rsidP="00540BD9">
            <w:pPr>
              <w:spacing w:after="0" w:line="240" w:lineRule="auto"/>
              <w:jc w:val="center"/>
              <w:rPr>
                <w:rFonts w:eastAsia="Times New Roman" w:cs="Times New Roman"/>
                <w:color w:val="000000"/>
                <w:szCs w:val="24"/>
              </w:rPr>
            </w:pPr>
            <w:r w:rsidRPr="002F2E42">
              <w:t>0.8697</w:t>
            </w:r>
          </w:p>
        </w:tc>
        <w:tc>
          <w:tcPr>
            <w:tcW w:w="1950" w:type="dxa"/>
          </w:tcPr>
          <w:p w14:paraId="6AF955FB" w14:textId="77777777" w:rsidR="00540BD9" w:rsidRPr="00954B78" w:rsidRDefault="000F5B51" w:rsidP="00540BD9">
            <w:pPr>
              <w:spacing w:after="0" w:line="240" w:lineRule="auto"/>
              <w:jc w:val="center"/>
              <w:rPr>
                <w:rFonts w:eastAsia="Times New Roman" w:cs="Times New Roman"/>
                <w:color w:val="000000"/>
                <w:szCs w:val="24"/>
              </w:rPr>
            </w:pPr>
            <w:r w:rsidRPr="002F2E42">
              <w:t>203</w:t>
            </w:r>
          </w:p>
        </w:tc>
        <w:tc>
          <w:tcPr>
            <w:tcW w:w="1950" w:type="dxa"/>
          </w:tcPr>
          <w:p w14:paraId="7A646774" w14:textId="77777777" w:rsidR="00540BD9" w:rsidRPr="00954B78" w:rsidRDefault="000F5B51" w:rsidP="00540BD9">
            <w:pPr>
              <w:spacing w:after="0" w:line="240" w:lineRule="auto"/>
              <w:jc w:val="center"/>
              <w:rPr>
                <w:rFonts w:eastAsia="Times New Roman" w:cs="Times New Roman"/>
                <w:color w:val="000000"/>
                <w:szCs w:val="24"/>
              </w:rPr>
            </w:pPr>
            <w:r w:rsidRPr="002F2E42">
              <w:t>1</w:t>
            </w:r>
          </w:p>
        </w:tc>
      </w:tr>
      <w:tr w:rsidR="00A15C2C" w14:paraId="761BB629" w14:textId="77777777" w:rsidTr="00460C7F">
        <w:trPr>
          <w:trHeight w:val="310"/>
          <w:jc w:val="center"/>
        </w:trPr>
        <w:tc>
          <w:tcPr>
            <w:tcW w:w="1488" w:type="dxa"/>
            <w:shd w:val="clear" w:color="auto" w:fill="auto"/>
            <w:noWrap/>
            <w:hideMark/>
          </w:tcPr>
          <w:p w14:paraId="0AC02D03" w14:textId="77777777" w:rsidR="00540BD9" w:rsidRPr="00954B78" w:rsidRDefault="000F5B51" w:rsidP="00540BD9">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2</w:t>
            </w:r>
          </w:p>
        </w:tc>
        <w:tc>
          <w:tcPr>
            <w:tcW w:w="1949" w:type="dxa"/>
          </w:tcPr>
          <w:p w14:paraId="098B7754" w14:textId="77777777" w:rsidR="00540BD9" w:rsidRPr="00954B78" w:rsidRDefault="000F5B51" w:rsidP="00540BD9">
            <w:pPr>
              <w:spacing w:after="0" w:line="240" w:lineRule="auto"/>
              <w:jc w:val="center"/>
              <w:rPr>
                <w:rFonts w:cs="Times New Roman"/>
                <w:color w:val="000000"/>
                <w:szCs w:val="24"/>
              </w:rPr>
            </w:pPr>
            <w:r w:rsidRPr="009F6485">
              <w:t>2,419</w:t>
            </w:r>
          </w:p>
        </w:tc>
        <w:tc>
          <w:tcPr>
            <w:tcW w:w="1950" w:type="dxa"/>
            <w:shd w:val="clear" w:color="auto" w:fill="auto"/>
            <w:noWrap/>
          </w:tcPr>
          <w:p w14:paraId="466D7D93" w14:textId="77777777" w:rsidR="00540BD9" w:rsidRPr="00954B78" w:rsidRDefault="000F5B51" w:rsidP="00540BD9">
            <w:pPr>
              <w:spacing w:after="0" w:line="240" w:lineRule="auto"/>
              <w:jc w:val="center"/>
              <w:rPr>
                <w:rFonts w:eastAsia="Times New Roman" w:cs="Times New Roman"/>
                <w:color w:val="000000"/>
                <w:szCs w:val="24"/>
              </w:rPr>
            </w:pPr>
            <w:r w:rsidRPr="009F6485">
              <w:t>0.5</w:t>
            </w:r>
          </w:p>
        </w:tc>
        <w:tc>
          <w:tcPr>
            <w:tcW w:w="1950" w:type="dxa"/>
            <w:shd w:val="clear" w:color="auto" w:fill="auto"/>
            <w:noWrap/>
          </w:tcPr>
          <w:p w14:paraId="717742BF" w14:textId="77777777" w:rsidR="00540BD9" w:rsidRPr="00954B78" w:rsidRDefault="000F5B51" w:rsidP="00540BD9">
            <w:pPr>
              <w:spacing w:after="0" w:line="240" w:lineRule="auto"/>
              <w:jc w:val="center"/>
              <w:rPr>
                <w:rFonts w:eastAsia="Times New Roman" w:cs="Times New Roman"/>
                <w:color w:val="000000"/>
                <w:szCs w:val="24"/>
              </w:rPr>
            </w:pPr>
            <w:r w:rsidRPr="009F6485">
              <w:t>0.8674</w:t>
            </w:r>
          </w:p>
        </w:tc>
        <w:tc>
          <w:tcPr>
            <w:tcW w:w="1949" w:type="dxa"/>
            <w:shd w:val="clear" w:color="auto" w:fill="auto"/>
            <w:noWrap/>
          </w:tcPr>
          <w:p w14:paraId="07488B22" w14:textId="77777777" w:rsidR="00540BD9" w:rsidRPr="00954B78" w:rsidRDefault="000F5B51" w:rsidP="00540BD9">
            <w:pPr>
              <w:spacing w:after="0" w:line="240" w:lineRule="auto"/>
              <w:jc w:val="center"/>
              <w:rPr>
                <w:rFonts w:eastAsia="Times New Roman" w:cs="Times New Roman"/>
                <w:color w:val="000000"/>
                <w:szCs w:val="24"/>
              </w:rPr>
            </w:pPr>
            <w:r w:rsidRPr="009F6485">
              <w:t>1</w:t>
            </w:r>
            <w:r>
              <w:t>,</w:t>
            </w:r>
            <w:r w:rsidRPr="009F6485">
              <w:t>049</w:t>
            </w:r>
          </w:p>
        </w:tc>
        <w:tc>
          <w:tcPr>
            <w:tcW w:w="1950" w:type="dxa"/>
          </w:tcPr>
          <w:p w14:paraId="050E40A4" w14:textId="77777777" w:rsidR="00540BD9" w:rsidRPr="00954B78" w:rsidRDefault="000F5B51" w:rsidP="00540BD9">
            <w:pPr>
              <w:spacing w:after="0" w:line="240" w:lineRule="auto"/>
              <w:jc w:val="center"/>
              <w:rPr>
                <w:rFonts w:eastAsia="Times New Roman" w:cs="Times New Roman"/>
                <w:color w:val="000000"/>
                <w:szCs w:val="24"/>
              </w:rPr>
            </w:pPr>
            <w:r w:rsidRPr="002F2E42">
              <w:t>0.8697</w:t>
            </w:r>
          </w:p>
        </w:tc>
        <w:tc>
          <w:tcPr>
            <w:tcW w:w="1950" w:type="dxa"/>
          </w:tcPr>
          <w:p w14:paraId="0ED28A47" w14:textId="77777777" w:rsidR="00540BD9" w:rsidRPr="00954B78" w:rsidRDefault="000F5B51" w:rsidP="00540BD9">
            <w:pPr>
              <w:spacing w:after="0" w:line="240" w:lineRule="auto"/>
              <w:jc w:val="center"/>
              <w:rPr>
                <w:rFonts w:eastAsia="Times New Roman" w:cs="Times New Roman"/>
                <w:color w:val="000000"/>
                <w:szCs w:val="24"/>
              </w:rPr>
            </w:pPr>
            <w:r w:rsidRPr="002F2E42">
              <w:t>1052</w:t>
            </w:r>
          </w:p>
        </w:tc>
        <w:tc>
          <w:tcPr>
            <w:tcW w:w="1950" w:type="dxa"/>
          </w:tcPr>
          <w:p w14:paraId="3E0F9032" w14:textId="77777777" w:rsidR="00540BD9" w:rsidRPr="00954B78" w:rsidRDefault="000F5B51" w:rsidP="00540BD9">
            <w:pPr>
              <w:spacing w:after="0" w:line="240" w:lineRule="auto"/>
              <w:jc w:val="center"/>
              <w:rPr>
                <w:rFonts w:eastAsia="Times New Roman" w:cs="Times New Roman"/>
                <w:color w:val="000000"/>
                <w:szCs w:val="24"/>
              </w:rPr>
            </w:pPr>
            <w:r w:rsidRPr="002F2E42">
              <w:t>3</w:t>
            </w:r>
          </w:p>
        </w:tc>
      </w:tr>
      <w:tr w:rsidR="00A15C2C" w14:paraId="69C701FA" w14:textId="77777777" w:rsidTr="00460C7F">
        <w:trPr>
          <w:trHeight w:val="310"/>
          <w:jc w:val="center"/>
        </w:trPr>
        <w:tc>
          <w:tcPr>
            <w:tcW w:w="1488" w:type="dxa"/>
            <w:shd w:val="clear" w:color="auto" w:fill="auto"/>
            <w:noWrap/>
            <w:hideMark/>
          </w:tcPr>
          <w:p w14:paraId="20284798" w14:textId="77777777" w:rsidR="00540BD9" w:rsidRPr="00954B78" w:rsidRDefault="000F5B51" w:rsidP="00540BD9">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3</w:t>
            </w:r>
          </w:p>
        </w:tc>
        <w:tc>
          <w:tcPr>
            <w:tcW w:w="1949" w:type="dxa"/>
          </w:tcPr>
          <w:p w14:paraId="444F6012" w14:textId="77777777" w:rsidR="00540BD9" w:rsidRPr="00954B78" w:rsidRDefault="000F5B51" w:rsidP="00540BD9">
            <w:pPr>
              <w:spacing w:after="0" w:line="240" w:lineRule="auto"/>
              <w:jc w:val="center"/>
              <w:rPr>
                <w:rFonts w:cs="Times New Roman"/>
                <w:color w:val="000000"/>
                <w:szCs w:val="24"/>
              </w:rPr>
            </w:pPr>
            <w:r w:rsidRPr="009F6485">
              <w:t>17</w:t>
            </w:r>
          </w:p>
        </w:tc>
        <w:tc>
          <w:tcPr>
            <w:tcW w:w="1950" w:type="dxa"/>
            <w:shd w:val="clear" w:color="auto" w:fill="auto"/>
            <w:noWrap/>
          </w:tcPr>
          <w:p w14:paraId="342561D0" w14:textId="77777777" w:rsidR="00540BD9" w:rsidRPr="00954B78" w:rsidRDefault="000F5B51" w:rsidP="00540BD9">
            <w:pPr>
              <w:spacing w:after="0" w:line="240" w:lineRule="auto"/>
              <w:jc w:val="center"/>
              <w:rPr>
                <w:rFonts w:eastAsia="Times New Roman" w:cs="Times New Roman"/>
                <w:color w:val="000000"/>
                <w:szCs w:val="24"/>
              </w:rPr>
            </w:pPr>
            <w:r w:rsidRPr="009F6485">
              <w:t>0.5</w:t>
            </w:r>
          </w:p>
        </w:tc>
        <w:tc>
          <w:tcPr>
            <w:tcW w:w="1950" w:type="dxa"/>
            <w:shd w:val="clear" w:color="auto" w:fill="auto"/>
            <w:noWrap/>
          </w:tcPr>
          <w:p w14:paraId="19264926" w14:textId="77777777" w:rsidR="00540BD9" w:rsidRPr="00954B78" w:rsidRDefault="000F5B51" w:rsidP="00540BD9">
            <w:pPr>
              <w:spacing w:after="0" w:line="240" w:lineRule="auto"/>
              <w:jc w:val="center"/>
              <w:rPr>
                <w:rFonts w:eastAsia="Times New Roman" w:cs="Times New Roman"/>
                <w:color w:val="000000"/>
                <w:szCs w:val="24"/>
              </w:rPr>
            </w:pPr>
            <w:r w:rsidRPr="009F6485">
              <w:t>0.8674</w:t>
            </w:r>
          </w:p>
        </w:tc>
        <w:tc>
          <w:tcPr>
            <w:tcW w:w="1949" w:type="dxa"/>
            <w:shd w:val="clear" w:color="auto" w:fill="auto"/>
            <w:noWrap/>
          </w:tcPr>
          <w:p w14:paraId="6CD0EF73" w14:textId="77777777" w:rsidR="00540BD9" w:rsidRPr="00954B78" w:rsidRDefault="000F5B51" w:rsidP="00540BD9">
            <w:pPr>
              <w:spacing w:after="0" w:line="240" w:lineRule="auto"/>
              <w:jc w:val="center"/>
              <w:rPr>
                <w:rFonts w:eastAsia="Times New Roman" w:cs="Times New Roman"/>
                <w:color w:val="000000"/>
                <w:szCs w:val="24"/>
              </w:rPr>
            </w:pPr>
            <w:r w:rsidRPr="009F6485">
              <w:t>7</w:t>
            </w:r>
          </w:p>
        </w:tc>
        <w:tc>
          <w:tcPr>
            <w:tcW w:w="1950" w:type="dxa"/>
          </w:tcPr>
          <w:p w14:paraId="267EF4E8" w14:textId="77777777" w:rsidR="00540BD9" w:rsidRPr="00954B78" w:rsidRDefault="000F5B51" w:rsidP="00540BD9">
            <w:pPr>
              <w:spacing w:after="0" w:line="240" w:lineRule="auto"/>
              <w:jc w:val="center"/>
              <w:rPr>
                <w:rFonts w:eastAsia="Times New Roman" w:cs="Times New Roman"/>
                <w:color w:val="000000"/>
                <w:szCs w:val="24"/>
              </w:rPr>
            </w:pPr>
            <w:r w:rsidRPr="002F2E42">
              <w:t>0.8697</w:t>
            </w:r>
          </w:p>
        </w:tc>
        <w:tc>
          <w:tcPr>
            <w:tcW w:w="1950" w:type="dxa"/>
          </w:tcPr>
          <w:p w14:paraId="6F8631EF" w14:textId="77777777" w:rsidR="00540BD9" w:rsidRPr="00954B78" w:rsidRDefault="000F5B51" w:rsidP="00540BD9">
            <w:pPr>
              <w:spacing w:after="0" w:line="240" w:lineRule="auto"/>
              <w:jc w:val="center"/>
              <w:rPr>
                <w:rFonts w:eastAsia="Times New Roman" w:cs="Times New Roman"/>
                <w:color w:val="000000"/>
                <w:szCs w:val="24"/>
              </w:rPr>
            </w:pPr>
            <w:r w:rsidRPr="002F2E42">
              <w:t>7</w:t>
            </w:r>
          </w:p>
        </w:tc>
        <w:tc>
          <w:tcPr>
            <w:tcW w:w="1950" w:type="dxa"/>
            <w:tcBorders>
              <w:right w:val="single" w:sz="4" w:space="0" w:color="auto"/>
            </w:tcBorders>
          </w:tcPr>
          <w:p w14:paraId="0A368CDF" w14:textId="77777777" w:rsidR="00540BD9" w:rsidRPr="00954B78" w:rsidRDefault="000F5B51" w:rsidP="00540BD9">
            <w:pPr>
              <w:spacing w:after="0" w:line="240" w:lineRule="auto"/>
              <w:jc w:val="center"/>
              <w:rPr>
                <w:rFonts w:eastAsia="Times New Roman" w:cs="Times New Roman"/>
                <w:color w:val="000000"/>
                <w:szCs w:val="24"/>
              </w:rPr>
            </w:pPr>
            <w:r w:rsidRPr="002F2E42">
              <w:t>0</w:t>
            </w:r>
          </w:p>
        </w:tc>
      </w:tr>
      <w:tr w:rsidR="00A15C2C" w14:paraId="779F7290" w14:textId="77777777" w:rsidTr="00460C7F">
        <w:trPr>
          <w:trHeight w:val="310"/>
          <w:jc w:val="center"/>
        </w:trPr>
        <w:tc>
          <w:tcPr>
            <w:tcW w:w="1488" w:type="dxa"/>
            <w:shd w:val="clear" w:color="auto" w:fill="auto"/>
            <w:noWrap/>
            <w:hideMark/>
          </w:tcPr>
          <w:p w14:paraId="12A3D227" w14:textId="77777777" w:rsidR="00540BD9" w:rsidRPr="00954B78" w:rsidRDefault="000F5B51" w:rsidP="00540BD9">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4</w:t>
            </w:r>
          </w:p>
        </w:tc>
        <w:tc>
          <w:tcPr>
            <w:tcW w:w="1949" w:type="dxa"/>
          </w:tcPr>
          <w:p w14:paraId="31C1DF16" w14:textId="77777777" w:rsidR="00540BD9" w:rsidRPr="00954B78" w:rsidRDefault="000F5B51" w:rsidP="00540BD9">
            <w:pPr>
              <w:spacing w:after="0" w:line="240" w:lineRule="auto"/>
              <w:jc w:val="center"/>
              <w:rPr>
                <w:rFonts w:cs="Times New Roman"/>
                <w:color w:val="000000"/>
                <w:szCs w:val="24"/>
              </w:rPr>
            </w:pPr>
            <w:r w:rsidRPr="009F6485">
              <w:t>114</w:t>
            </w:r>
          </w:p>
        </w:tc>
        <w:tc>
          <w:tcPr>
            <w:tcW w:w="1950" w:type="dxa"/>
            <w:shd w:val="clear" w:color="auto" w:fill="auto"/>
            <w:noWrap/>
          </w:tcPr>
          <w:p w14:paraId="75981C51" w14:textId="77777777" w:rsidR="00540BD9" w:rsidRPr="00954B78" w:rsidRDefault="000F5B51" w:rsidP="00540BD9">
            <w:pPr>
              <w:spacing w:after="0" w:line="240" w:lineRule="auto"/>
              <w:jc w:val="center"/>
              <w:rPr>
                <w:rFonts w:eastAsia="Times New Roman" w:cs="Times New Roman"/>
                <w:color w:val="000000"/>
                <w:szCs w:val="24"/>
              </w:rPr>
            </w:pPr>
            <w:r w:rsidRPr="009F6485">
              <w:t>0.5</w:t>
            </w:r>
          </w:p>
        </w:tc>
        <w:tc>
          <w:tcPr>
            <w:tcW w:w="1950" w:type="dxa"/>
            <w:shd w:val="clear" w:color="auto" w:fill="auto"/>
            <w:noWrap/>
          </w:tcPr>
          <w:p w14:paraId="67833AA5" w14:textId="77777777" w:rsidR="00540BD9" w:rsidRPr="00954B78" w:rsidRDefault="000F5B51" w:rsidP="00540BD9">
            <w:pPr>
              <w:spacing w:after="0" w:line="240" w:lineRule="auto"/>
              <w:jc w:val="center"/>
              <w:rPr>
                <w:rFonts w:eastAsia="Times New Roman" w:cs="Times New Roman"/>
                <w:color w:val="000000"/>
                <w:szCs w:val="24"/>
              </w:rPr>
            </w:pPr>
            <w:r w:rsidRPr="009F6485">
              <w:t>0.8674</w:t>
            </w:r>
          </w:p>
        </w:tc>
        <w:tc>
          <w:tcPr>
            <w:tcW w:w="1949" w:type="dxa"/>
            <w:shd w:val="clear" w:color="auto" w:fill="auto"/>
            <w:noWrap/>
          </w:tcPr>
          <w:p w14:paraId="306DC973" w14:textId="77777777" w:rsidR="00540BD9" w:rsidRPr="00954B78" w:rsidRDefault="000F5B51" w:rsidP="00540BD9">
            <w:pPr>
              <w:spacing w:after="0" w:line="240" w:lineRule="auto"/>
              <w:jc w:val="center"/>
              <w:rPr>
                <w:rFonts w:eastAsia="Times New Roman" w:cs="Times New Roman"/>
                <w:color w:val="000000"/>
                <w:szCs w:val="24"/>
              </w:rPr>
            </w:pPr>
            <w:r w:rsidRPr="009F6485">
              <w:t>49</w:t>
            </w:r>
          </w:p>
        </w:tc>
        <w:tc>
          <w:tcPr>
            <w:tcW w:w="1950" w:type="dxa"/>
          </w:tcPr>
          <w:p w14:paraId="7ED5FDC4" w14:textId="77777777" w:rsidR="00540BD9" w:rsidRPr="00954B78" w:rsidRDefault="000F5B51" w:rsidP="00540BD9">
            <w:pPr>
              <w:spacing w:after="0" w:line="240" w:lineRule="auto"/>
              <w:jc w:val="center"/>
              <w:rPr>
                <w:rFonts w:eastAsia="Times New Roman" w:cs="Times New Roman"/>
                <w:color w:val="000000"/>
                <w:szCs w:val="24"/>
              </w:rPr>
            </w:pPr>
            <w:r w:rsidRPr="002F2E42">
              <w:t>0.8697</w:t>
            </w:r>
          </w:p>
        </w:tc>
        <w:tc>
          <w:tcPr>
            <w:tcW w:w="1950" w:type="dxa"/>
          </w:tcPr>
          <w:p w14:paraId="727542DC" w14:textId="77777777" w:rsidR="00540BD9" w:rsidRPr="00954B78" w:rsidRDefault="000F5B51" w:rsidP="00540BD9">
            <w:pPr>
              <w:spacing w:after="0" w:line="240" w:lineRule="auto"/>
              <w:jc w:val="center"/>
              <w:rPr>
                <w:rFonts w:eastAsia="Times New Roman" w:cs="Times New Roman"/>
                <w:color w:val="000000"/>
                <w:szCs w:val="24"/>
              </w:rPr>
            </w:pPr>
            <w:r w:rsidRPr="002F2E42">
              <w:t>50</w:t>
            </w:r>
          </w:p>
        </w:tc>
        <w:tc>
          <w:tcPr>
            <w:tcW w:w="1950" w:type="dxa"/>
            <w:tcBorders>
              <w:right w:val="single" w:sz="4" w:space="0" w:color="auto"/>
            </w:tcBorders>
          </w:tcPr>
          <w:p w14:paraId="1792D91A" w14:textId="77777777" w:rsidR="00540BD9" w:rsidRPr="00954B78" w:rsidRDefault="000F5B51" w:rsidP="00540BD9">
            <w:pPr>
              <w:spacing w:after="0" w:line="240" w:lineRule="auto"/>
              <w:jc w:val="center"/>
              <w:rPr>
                <w:rFonts w:eastAsia="Times New Roman" w:cs="Times New Roman"/>
                <w:color w:val="000000"/>
                <w:szCs w:val="24"/>
              </w:rPr>
            </w:pPr>
            <w:r w:rsidRPr="002F2E42">
              <w:t>0</w:t>
            </w:r>
          </w:p>
        </w:tc>
      </w:tr>
      <w:tr w:rsidR="00A15C2C" w14:paraId="259AA663" w14:textId="77777777" w:rsidTr="00460C7F">
        <w:trPr>
          <w:trHeight w:val="310"/>
          <w:jc w:val="center"/>
        </w:trPr>
        <w:tc>
          <w:tcPr>
            <w:tcW w:w="1488" w:type="dxa"/>
            <w:shd w:val="clear" w:color="auto" w:fill="auto"/>
            <w:noWrap/>
            <w:hideMark/>
          </w:tcPr>
          <w:p w14:paraId="3AFB0063" w14:textId="77777777" w:rsidR="00540BD9" w:rsidRPr="00954B78" w:rsidRDefault="000F5B51" w:rsidP="00540BD9">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5</w:t>
            </w:r>
          </w:p>
        </w:tc>
        <w:tc>
          <w:tcPr>
            <w:tcW w:w="1949" w:type="dxa"/>
          </w:tcPr>
          <w:p w14:paraId="4A4ABC64" w14:textId="77777777" w:rsidR="00540BD9" w:rsidRPr="00954B78" w:rsidRDefault="000F5B51" w:rsidP="00540BD9">
            <w:pPr>
              <w:spacing w:after="0" w:line="240" w:lineRule="auto"/>
              <w:jc w:val="center"/>
              <w:rPr>
                <w:rFonts w:cs="Times New Roman"/>
                <w:color w:val="000000"/>
                <w:szCs w:val="24"/>
              </w:rPr>
            </w:pPr>
            <w:r w:rsidRPr="009F6485">
              <w:t>8</w:t>
            </w:r>
          </w:p>
        </w:tc>
        <w:tc>
          <w:tcPr>
            <w:tcW w:w="1950" w:type="dxa"/>
            <w:shd w:val="clear" w:color="auto" w:fill="auto"/>
            <w:noWrap/>
          </w:tcPr>
          <w:p w14:paraId="302A2DC8" w14:textId="77777777" w:rsidR="00540BD9" w:rsidRPr="00954B78" w:rsidRDefault="000F5B51" w:rsidP="00540BD9">
            <w:pPr>
              <w:spacing w:after="0" w:line="240" w:lineRule="auto"/>
              <w:jc w:val="center"/>
              <w:rPr>
                <w:rFonts w:eastAsia="Times New Roman" w:cs="Times New Roman"/>
                <w:color w:val="000000"/>
                <w:szCs w:val="24"/>
              </w:rPr>
            </w:pPr>
            <w:r w:rsidRPr="009F6485">
              <w:t>0.5</w:t>
            </w:r>
          </w:p>
        </w:tc>
        <w:tc>
          <w:tcPr>
            <w:tcW w:w="1950" w:type="dxa"/>
            <w:shd w:val="clear" w:color="auto" w:fill="auto"/>
            <w:noWrap/>
          </w:tcPr>
          <w:p w14:paraId="5D2B293F" w14:textId="77777777" w:rsidR="00540BD9" w:rsidRPr="00954B78" w:rsidRDefault="000F5B51" w:rsidP="00540BD9">
            <w:pPr>
              <w:spacing w:after="0" w:line="240" w:lineRule="auto"/>
              <w:jc w:val="center"/>
              <w:rPr>
                <w:rFonts w:eastAsia="Times New Roman" w:cs="Times New Roman"/>
                <w:color w:val="000000"/>
                <w:szCs w:val="24"/>
              </w:rPr>
            </w:pPr>
            <w:r w:rsidRPr="009F6485">
              <w:t>0.8674</w:t>
            </w:r>
          </w:p>
        </w:tc>
        <w:tc>
          <w:tcPr>
            <w:tcW w:w="1949" w:type="dxa"/>
            <w:shd w:val="clear" w:color="auto" w:fill="auto"/>
            <w:noWrap/>
          </w:tcPr>
          <w:p w14:paraId="5BDA3CB0" w14:textId="77777777" w:rsidR="00540BD9" w:rsidRPr="00954B78" w:rsidRDefault="000F5B51" w:rsidP="00540BD9">
            <w:pPr>
              <w:spacing w:after="0" w:line="240" w:lineRule="auto"/>
              <w:jc w:val="center"/>
              <w:rPr>
                <w:rFonts w:eastAsia="Times New Roman" w:cs="Times New Roman"/>
                <w:color w:val="000000"/>
                <w:szCs w:val="24"/>
              </w:rPr>
            </w:pPr>
            <w:r w:rsidRPr="009F6485">
              <w:t>3</w:t>
            </w:r>
          </w:p>
        </w:tc>
        <w:tc>
          <w:tcPr>
            <w:tcW w:w="1950" w:type="dxa"/>
          </w:tcPr>
          <w:p w14:paraId="5E570DDE" w14:textId="77777777" w:rsidR="00540BD9" w:rsidRPr="00954B78" w:rsidRDefault="000F5B51" w:rsidP="00540BD9">
            <w:pPr>
              <w:spacing w:after="0" w:line="240" w:lineRule="auto"/>
              <w:jc w:val="center"/>
              <w:rPr>
                <w:rFonts w:eastAsia="Times New Roman" w:cs="Times New Roman"/>
                <w:color w:val="000000"/>
                <w:szCs w:val="24"/>
              </w:rPr>
            </w:pPr>
            <w:r w:rsidRPr="002F2E42">
              <w:t>0.8697</w:t>
            </w:r>
          </w:p>
        </w:tc>
        <w:tc>
          <w:tcPr>
            <w:tcW w:w="1950" w:type="dxa"/>
          </w:tcPr>
          <w:p w14:paraId="4CBBE6FF" w14:textId="77777777" w:rsidR="00540BD9" w:rsidRPr="00954B78" w:rsidRDefault="000F5B51" w:rsidP="00540BD9">
            <w:pPr>
              <w:spacing w:after="0" w:line="240" w:lineRule="auto"/>
              <w:jc w:val="center"/>
              <w:rPr>
                <w:rFonts w:eastAsia="Times New Roman" w:cs="Times New Roman"/>
                <w:color w:val="000000"/>
                <w:szCs w:val="24"/>
              </w:rPr>
            </w:pPr>
            <w:r w:rsidRPr="002F2E42">
              <w:t>3</w:t>
            </w:r>
          </w:p>
        </w:tc>
        <w:tc>
          <w:tcPr>
            <w:tcW w:w="1950" w:type="dxa"/>
          </w:tcPr>
          <w:p w14:paraId="5F99AD4F" w14:textId="77777777" w:rsidR="00540BD9" w:rsidRPr="00954B78" w:rsidRDefault="000F5B51" w:rsidP="00540BD9">
            <w:pPr>
              <w:spacing w:after="0" w:line="240" w:lineRule="auto"/>
              <w:jc w:val="center"/>
              <w:rPr>
                <w:rFonts w:eastAsia="Times New Roman" w:cs="Times New Roman"/>
                <w:color w:val="000000"/>
                <w:szCs w:val="24"/>
              </w:rPr>
            </w:pPr>
            <w:r w:rsidRPr="002F2E42">
              <w:t>0</w:t>
            </w:r>
          </w:p>
        </w:tc>
      </w:tr>
      <w:tr w:rsidR="00A15C2C" w14:paraId="2C02F7B2" w14:textId="77777777" w:rsidTr="00800C73">
        <w:trPr>
          <w:trHeight w:val="310"/>
          <w:jc w:val="center"/>
        </w:trPr>
        <w:tc>
          <w:tcPr>
            <w:tcW w:w="1488" w:type="dxa"/>
            <w:shd w:val="clear" w:color="auto" w:fill="auto"/>
            <w:noWrap/>
            <w:vAlign w:val="bottom"/>
          </w:tcPr>
          <w:p w14:paraId="38EDF304" w14:textId="77777777" w:rsidR="00D75645" w:rsidRPr="00012598" w:rsidRDefault="000F5B51" w:rsidP="00800C73">
            <w:pPr>
              <w:spacing w:after="0" w:line="240" w:lineRule="auto"/>
              <w:rPr>
                <w:rFonts w:eastAsia="Times New Roman" w:cs="Times New Roman"/>
                <w:b/>
                <w:bCs/>
                <w:color w:val="000000"/>
                <w:sz w:val="23"/>
                <w:szCs w:val="23"/>
              </w:rPr>
            </w:pPr>
            <w:r w:rsidRPr="00012598">
              <w:rPr>
                <w:rFonts w:eastAsia="Times New Roman" w:cs="Times New Roman"/>
                <w:b/>
                <w:bCs/>
                <w:color w:val="000000"/>
                <w:sz w:val="23"/>
                <w:szCs w:val="23"/>
              </w:rPr>
              <w:t xml:space="preserve">Non-Fatal Injuries </w:t>
            </w:r>
          </w:p>
          <w:p w14:paraId="1B90AC22" w14:textId="77777777" w:rsidR="00D75645" w:rsidRPr="00012598" w:rsidRDefault="000F5B51" w:rsidP="00800C73">
            <w:pPr>
              <w:spacing w:after="0" w:line="240" w:lineRule="auto"/>
              <w:rPr>
                <w:rFonts w:eastAsia="Times New Roman" w:cs="Times New Roman"/>
                <w:b/>
                <w:bCs/>
                <w:color w:val="000000"/>
                <w:sz w:val="23"/>
                <w:szCs w:val="23"/>
              </w:rPr>
            </w:pPr>
            <w:r w:rsidRPr="00012598">
              <w:rPr>
                <w:rFonts w:eastAsia="Times New Roman" w:cs="Times New Roman"/>
                <w:b/>
                <w:bCs/>
                <w:color w:val="000000"/>
                <w:sz w:val="23"/>
                <w:szCs w:val="23"/>
              </w:rPr>
              <w:t>(MAIS 1-5)</w:t>
            </w:r>
          </w:p>
        </w:tc>
        <w:tc>
          <w:tcPr>
            <w:tcW w:w="1949" w:type="dxa"/>
            <w:vAlign w:val="center"/>
          </w:tcPr>
          <w:p w14:paraId="1828595D" w14:textId="77777777" w:rsidR="00D75645" w:rsidRPr="00037863" w:rsidRDefault="000F5B51" w:rsidP="00800C73">
            <w:pPr>
              <w:spacing w:after="0" w:line="240" w:lineRule="auto"/>
              <w:jc w:val="center"/>
              <w:rPr>
                <w:rFonts w:cs="Times New Roman"/>
                <w:b/>
                <w:color w:val="000000"/>
                <w:szCs w:val="24"/>
              </w:rPr>
            </w:pPr>
            <w:r w:rsidRPr="00044F2E">
              <w:rPr>
                <w:rFonts w:cs="Times New Roman"/>
                <w:b/>
                <w:bCs/>
                <w:color w:val="000000"/>
                <w:szCs w:val="24"/>
              </w:rPr>
              <w:t>6,793</w:t>
            </w:r>
          </w:p>
        </w:tc>
        <w:tc>
          <w:tcPr>
            <w:tcW w:w="1950" w:type="dxa"/>
            <w:shd w:val="clear" w:color="auto" w:fill="auto"/>
            <w:noWrap/>
            <w:vAlign w:val="center"/>
          </w:tcPr>
          <w:p w14:paraId="5EF9036C" w14:textId="77777777" w:rsidR="00D75645" w:rsidRPr="00460C7F" w:rsidRDefault="000F5B51" w:rsidP="00800C73">
            <w:pPr>
              <w:spacing w:after="0" w:line="240" w:lineRule="auto"/>
              <w:jc w:val="center"/>
              <w:rPr>
                <w:rFonts w:cs="Times New Roman"/>
                <w:b/>
                <w:bCs/>
                <w:color w:val="000000"/>
                <w:szCs w:val="24"/>
              </w:rPr>
            </w:pPr>
            <w:r w:rsidRPr="00460C7F">
              <w:rPr>
                <w:rFonts w:cs="Times New Roman"/>
                <w:b/>
                <w:bCs/>
                <w:color w:val="000000"/>
                <w:szCs w:val="24"/>
              </w:rPr>
              <w:t>-</w:t>
            </w:r>
          </w:p>
        </w:tc>
        <w:tc>
          <w:tcPr>
            <w:tcW w:w="1950" w:type="dxa"/>
            <w:shd w:val="clear" w:color="auto" w:fill="auto"/>
            <w:noWrap/>
            <w:vAlign w:val="center"/>
          </w:tcPr>
          <w:p w14:paraId="120540BF" w14:textId="77777777" w:rsidR="00D75645" w:rsidRPr="00460C7F" w:rsidRDefault="000F5B51" w:rsidP="00800C73">
            <w:pPr>
              <w:spacing w:after="0" w:line="240" w:lineRule="auto"/>
              <w:jc w:val="center"/>
              <w:rPr>
                <w:rFonts w:cs="Times New Roman"/>
                <w:b/>
                <w:bCs/>
                <w:color w:val="000000"/>
                <w:szCs w:val="24"/>
              </w:rPr>
            </w:pPr>
            <w:r w:rsidRPr="00460C7F">
              <w:rPr>
                <w:rFonts w:cs="Times New Roman"/>
                <w:b/>
                <w:bCs/>
                <w:color w:val="000000"/>
                <w:szCs w:val="24"/>
              </w:rPr>
              <w:t>-</w:t>
            </w:r>
          </w:p>
        </w:tc>
        <w:tc>
          <w:tcPr>
            <w:tcW w:w="1949" w:type="dxa"/>
            <w:shd w:val="clear" w:color="auto" w:fill="auto"/>
            <w:noWrap/>
            <w:vAlign w:val="center"/>
          </w:tcPr>
          <w:p w14:paraId="6E919230" w14:textId="77777777" w:rsidR="00D75645" w:rsidRPr="005E3D4C" w:rsidRDefault="000F5B51" w:rsidP="00800C73">
            <w:pPr>
              <w:spacing w:after="0" w:line="240" w:lineRule="auto"/>
              <w:jc w:val="center"/>
              <w:rPr>
                <w:rFonts w:cs="Times New Roman"/>
                <w:b/>
                <w:bCs/>
                <w:color w:val="000000"/>
                <w:szCs w:val="24"/>
              </w:rPr>
            </w:pPr>
            <w:r w:rsidRPr="00897AED">
              <w:rPr>
                <w:rFonts w:cs="Times New Roman"/>
                <w:b/>
                <w:bCs/>
                <w:color w:val="000000"/>
                <w:szCs w:val="24"/>
              </w:rPr>
              <w:t>1,311</w:t>
            </w:r>
          </w:p>
        </w:tc>
        <w:tc>
          <w:tcPr>
            <w:tcW w:w="1950" w:type="dxa"/>
            <w:vAlign w:val="center"/>
          </w:tcPr>
          <w:p w14:paraId="61A21B1F" w14:textId="77777777" w:rsidR="00D75645" w:rsidRPr="005E3D4C" w:rsidRDefault="000F5B51" w:rsidP="00800C73">
            <w:pPr>
              <w:spacing w:after="0" w:line="240" w:lineRule="auto"/>
              <w:jc w:val="center"/>
              <w:rPr>
                <w:rFonts w:cs="Times New Roman"/>
                <w:b/>
                <w:bCs/>
                <w:color w:val="000000"/>
                <w:szCs w:val="24"/>
              </w:rPr>
            </w:pPr>
            <w:r w:rsidRPr="00FE5B55">
              <w:rPr>
                <w:rFonts w:cs="Times New Roman"/>
                <w:b/>
                <w:bCs/>
                <w:color w:val="000000"/>
                <w:szCs w:val="24"/>
              </w:rPr>
              <w:t>-</w:t>
            </w:r>
          </w:p>
        </w:tc>
        <w:tc>
          <w:tcPr>
            <w:tcW w:w="1950" w:type="dxa"/>
            <w:vAlign w:val="center"/>
          </w:tcPr>
          <w:p w14:paraId="22F74C74" w14:textId="77777777" w:rsidR="00D75645" w:rsidRPr="005E3D4C" w:rsidRDefault="000F5B51" w:rsidP="00800C73">
            <w:pPr>
              <w:spacing w:after="0" w:line="240" w:lineRule="auto"/>
              <w:jc w:val="center"/>
              <w:rPr>
                <w:rFonts w:cs="Times New Roman"/>
                <w:b/>
                <w:bCs/>
                <w:color w:val="000000"/>
                <w:szCs w:val="24"/>
              </w:rPr>
            </w:pPr>
            <w:r w:rsidRPr="00FE5B55">
              <w:rPr>
                <w:rFonts w:cs="Times New Roman"/>
                <w:b/>
                <w:bCs/>
                <w:color w:val="000000"/>
                <w:szCs w:val="24"/>
              </w:rPr>
              <w:t>1,315</w:t>
            </w:r>
          </w:p>
        </w:tc>
        <w:tc>
          <w:tcPr>
            <w:tcW w:w="1950" w:type="dxa"/>
            <w:vAlign w:val="center"/>
          </w:tcPr>
          <w:p w14:paraId="043CCFF7" w14:textId="77777777" w:rsidR="00D75645" w:rsidRPr="005E3D4C" w:rsidRDefault="000F5B51" w:rsidP="00800C73">
            <w:pPr>
              <w:spacing w:after="0" w:line="240" w:lineRule="auto"/>
              <w:jc w:val="center"/>
              <w:rPr>
                <w:rFonts w:cs="Times New Roman"/>
                <w:b/>
                <w:bCs/>
                <w:color w:val="000000"/>
                <w:szCs w:val="24"/>
              </w:rPr>
            </w:pPr>
            <w:r w:rsidRPr="00FE5B55">
              <w:rPr>
                <w:rFonts w:cs="Times New Roman"/>
                <w:b/>
                <w:bCs/>
                <w:color w:val="000000"/>
                <w:szCs w:val="24"/>
              </w:rPr>
              <w:t>3</w:t>
            </w:r>
          </w:p>
        </w:tc>
      </w:tr>
      <w:tr w:rsidR="00A15C2C" w14:paraId="222CEE21" w14:textId="77777777" w:rsidTr="00460C7F">
        <w:trPr>
          <w:trHeight w:val="310"/>
          <w:jc w:val="center"/>
        </w:trPr>
        <w:tc>
          <w:tcPr>
            <w:tcW w:w="1488" w:type="dxa"/>
            <w:shd w:val="clear" w:color="auto" w:fill="auto"/>
            <w:noWrap/>
            <w:vAlign w:val="bottom"/>
            <w:hideMark/>
          </w:tcPr>
          <w:p w14:paraId="08E52DA7" w14:textId="77777777" w:rsidR="00540BD9" w:rsidRPr="00012598" w:rsidRDefault="000F5B51" w:rsidP="00540BD9">
            <w:pPr>
              <w:spacing w:after="0" w:line="240" w:lineRule="auto"/>
              <w:rPr>
                <w:rFonts w:eastAsia="Times New Roman" w:cs="Times New Roman"/>
                <w:b/>
                <w:bCs/>
                <w:color w:val="000000"/>
                <w:szCs w:val="24"/>
              </w:rPr>
            </w:pPr>
            <w:r w:rsidRPr="00012598">
              <w:rPr>
                <w:rFonts w:eastAsia="Times New Roman" w:cs="Times New Roman"/>
                <w:b/>
                <w:bCs/>
                <w:color w:val="000000"/>
                <w:szCs w:val="24"/>
              </w:rPr>
              <w:t>Fatality</w:t>
            </w:r>
          </w:p>
        </w:tc>
        <w:tc>
          <w:tcPr>
            <w:tcW w:w="1949" w:type="dxa"/>
            <w:vAlign w:val="center"/>
          </w:tcPr>
          <w:p w14:paraId="5B1505CE" w14:textId="77777777" w:rsidR="00540BD9" w:rsidRPr="00037863" w:rsidRDefault="000F5B51" w:rsidP="00540BD9">
            <w:pPr>
              <w:spacing w:after="0" w:line="240" w:lineRule="auto"/>
              <w:jc w:val="center"/>
              <w:rPr>
                <w:rFonts w:cs="Times New Roman"/>
                <w:b/>
                <w:color w:val="000000"/>
                <w:szCs w:val="24"/>
              </w:rPr>
            </w:pPr>
            <w:r w:rsidRPr="00044F2E">
              <w:rPr>
                <w:b/>
                <w:bCs/>
                <w:color w:val="000000"/>
              </w:rPr>
              <w:t>1,946</w:t>
            </w:r>
          </w:p>
        </w:tc>
        <w:tc>
          <w:tcPr>
            <w:tcW w:w="1950" w:type="dxa"/>
            <w:shd w:val="clear" w:color="auto" w:fill="auto"/>
            <w:noWrap/>
            <w:vAlign w:val="center"/>
          </w:tcPr>
          <w:p w14:paraId="508C9B22" w14:textId="77777777" w:rsidR="00540BD9" w:rsidRPr="005E3D4C" w:rsidRDefault="000F5B51" w:rsidP="00540BD9">
            <w:pPr>
              <w:spacing w:after="0" w:line="240" w:lineRule="auto"/>
              <w:jc w:val="center"/>
              <w:rPr>
                <w:rFonts w:eastAsia="Times New Roman" w:cs="Times New Roman"/>
                <w:b/>
                <w:bCs/>
                <w:color w:val="000000"/>
                <w:szCs w:val="24"/>
              </w:rPr>
            </w:pPr>
            <w:r w:rsidRPr="00897AED">
              <w:rPr>
                <w:b/>
                <w:bCs/>
                <w:color w:val="000000"/>
              </w:rPr>
              <w:t>0.73</w:t>
            </w:r>
          </w:p>
        </w:tc>
        <w:tc>
          <w:tcPr>
            <w:tcW w:w="1950" w:type="dxa"/>
            <w:shd w:val="clear" w:color="auto" w:fill="auto"/>
            <w:noWrap/>
            <w:vAlign w:val="bottom"/>
          </w:tcPr>
          <w:p w14:paraId="3D284563" w14:textId="77777777" w:rsidR="00540BD9" w:rsidRPr="00897AED" w:rsidRDefault="000F5B51" w:rsidP="00540BD9">
            <w:pPr>
              <w:spacing w:after="0" w:line="240" w:lineRule="auto"/>
              <w:jc w:val="center"/>
              <w:rPr>
                <w:rFonts w:eastAsia="Times New Roman" w:cs="Times New Roman"/>
                <w:b/>
                <w:bCs/>
                <w:color w:val="000000"/>
                <w:szCs w:val="24"/>
              </w:rPr>
            </w:pPr>
            <w:r w:rsidRPr="00460C7F">
              <w:rPr>
                <w:b/>
                <w:bCs/>
                <w:color w:val="000000"/>
              </w:rPr>
              <w:t>0.7808</w:t>
            </w:r>
          </w:p>
        </w:tc>
        <w:tc>
          <w:tcPr>
            <w:tcW w:w="1949" w:type="dxa"/>
            <w:shd w:val="clear" w:color="auto" w:fill="auto"/>
            <w:noWrap/>
            <w:vAlign w:val="center"/>
          </w:tcPr>
          <w:p w14:paraId="4CFABF3B" w14:textId="77777777" w:rsidR="00540BD9" w:rsidRPr="005E3D4C" w:rsidRDefault="000F5B51" w:rsidP="00540BD9">
            <w:pPr>
              <w:spacing w:after="0" w:line="240" w:lineRule="auto"/>
              <w:jc w:val="center"/>
              <w:rPr>
                <w:rFonts w:eastAsia="Times New Roman" w:cs="Times New Roman"/>
                <w:b/>
                <w:bCs/>
                <w:color w:val="000000"/>
                <w:szCs w:val="24"/>
              </w:rPr>
            </w:pPr>
            <w:r w:rsidRPr="005E3D4C">
              <w:rPr>
                <w:b/>
                <w:bCs/>
                <w:color w:val="000000"/>
              </w:rPr>
              <w:t>1,109</w:t>
            </w:r>
          </w:p>
        </w:tc>
        <w:tc>
          <w:tcPr>
            <w:tcW w:w="1950" w:type="dxa"/>
            <w:vAlign w:val="bottom"/>
          </w:tcPr>
          <w:p w14:paraId="4A871339" w14:textId="77777777" w:rsidR="00540BD9" w:rsidRPr="00897AED" w:rsidRDefault="000F5B51" w:rsidP="00540BD9">
            <w:pPr>
              <w:spacing w:after="0" w:line="240" w:lineRule="auto"/>
              <w:jc w:val="center"/>
              <w:rPr>
                <w:b/>
                <w:bCs/>
                <w:color w:val="000000"/>
              </w:rPr>
            </w:pPr>
            <w:r w:rsidRPr="00460C7F">
              <w:rPr>
                <w:b/>
                <w:bCs/>
                <w:color w:val="000000"/>
              </w:rPr>
              <w:t>0.7829</w:t>
            </w:r>
          </w:p>
        </w:tc>
        <w:tc>
          <w:tcPr>
            <w:tcW w:w="1950" w:type="dxa"/>
            <w:vAlign w:val="center"/>
          </w:tcPr>
          <w:p w14:paraId="3AF954EA" w14:textId="77777777" w:rsidR="00540BD9" w:rsidRPr="005E3D4C" w:rsidRDefault="000F5B51" w:rsidP="00540BD9">
            <w:pPr>
              <w:spacing w:after="0" w:line="240" w:lineRule="auto"/>
              <w:jc w:val="center"/>
              <w:rPr>
                <w:rFonts w:eastAsia="Times New Roman" w:cs="Times New Roman"/>
                <w:b/>
                <w:bCs/>
                <w:color w:val="000000"/>
                <w:szCs w:val="24"/>
              </w:rPr>
            </w:pPr>
            <w:r w:rsidRPr="00FE5B55">
              <w:rPr>
                <w:b/>
                <w:bCs/>
                <w:color w:val="000000"/>
              </w:rPr>
              <w:t>1</w:t>
            </w:r>
            <w:r w:rsidR="00FE5B55">
              <w:rPr>
                <w:b/>
                <w:bCs/>
                <w:color w:val="000000"/>
              </w:rPr>
              <w:t>,</w:t>
            </w:r>
            <w:r w:rsidRPr="00FE5B55">
              <w:rPr>
                <w:b/>
                <w:bCs/>
                <w:color w:val="000000"/>
              </w:rPr>
              <w:t>112</w:t>
            </w:r>
          </w:p>
        </w:tc>
        <w:tc>
          <w:tcPr>
            <w:tcW w:w="1950" w:type="dxa"/>
            <w:vAlign w:val="center"/>
          </w:tcPr>
          <w:p w14:paraId="0A3B5B5E" w14:textId="77777777" w:rsidR="00540BD9" w:rsidRPr="005E3D4C" w:rsidRDefault="000F5B51" w:rsidP="00540BD9">
            <w:pPr>
              <w:spacing w:after="0" w:line="240" w:lineRule="auto"/>
              <w:jc w:val="center"/>
              <w:rPr>
                <w:rFonts w:eastAsia="Times New Roman" w:cs="Times New Roman"/>
                <w:b/>
                <w:bCs/>
                <w:color w:val="000000"/>
                <w:szCs w:val="24"/>
              </w:rPr>
            </w:pPr>
            <w:r w:rsidRPr="00FE5B55">
              <w:rPr>
                <w:b/>
                <w:bCs/>
                <w:color w:val="000000"/>
              </w:rPr>
              <w:t>3</w:t>
            </w:r>
          </w:p>
        </w:tc>
      </w:tr>
    </w:tbl>
    <w:p w14:paraId="30B83EAE" w14:textId="77777777" w:rsidR="00D75645" w:rsidRDefault="000F5B51" w:rsidP="00D75645">
      <w:pPr>
        <w:rPr>
          <w:rFonts w:eastAsia="Times New Roman" w:cs="Times New Roman"/>
          <w:szCs w:val="24"/>
        </w:rPr>
      </w:pPr>
      <w:r w:rsidRPr="00934F2C">
        <w:rPr>
          <w:sz w:val="18"/>
          <w:szCs w:val="18"/>
        </w:rPr>
        <w:t>Note: Values may not sum due to rounding. Totals are rounded to the nearest whole number for presentation purposes</w:t>
      </w:r>
      <w:r>
        <w:rPr>
          <w:sz w:val="18"/>
          <w:szCs w:val="18"/>
        </w:rPr>
        <w:t>.</w:t>
      </w:r>
    </w:p>
    <w:bookmarkEnd w:id="917"/>
    <w:p w14:paraId="2749791F" w14:textId="77777777" w:rsidR="00F47E53" w:rsidRDefault="00F47E53" w:rsidP="00CC60EF">
      <w:pPr>
        <w:rPr>
          <w:rFonts w:eastAsia="Times New Roman" w:cs="Times New Roman"/>
          <w:szCs w:val="24"/>
        </w:rPr>
        <w:sectPr w:rsidR="00F47E53" w:rsidSect="009B78DF">
          <w:pgSz w:w="15840" w:h="12240" w:orient="landscape" w:code="1"/>
          <w:pgMar w:top="1440" w:right="1440" w:bottom="1440" w:left="1440" w:header="720" w:footer="720" w:gutter="0"/>
          <w:cols w:space="720"/>
          <w:docGrid w:linePitch="360"/>
        </w:sectPr>
      </w:pPr>
    </w:p>
    <w:p w14:paraId="48B860EB" w14:textId="4FB635FE" w:rsidR="005E31F6" w:rsidRDefault="000F5B51" w:rsidP="005E31F6">
      <w:r>
        <w:rPr>
          <w:rFonts w:eastAsia="Times New Roman" w:cs="Times New Roman"/>
          <w:szCs w:val="24"/>
        </w:rPr>
        <w:lastRenderedPageBreak/>
        <w:fldChar w:fldCharType="begin"/>
      </w:r>
      <w:r>
        <w:rPr>
          <w:rFonts w:eastAsia="Times New Roman" w:cs="Times New Roman"/>
          <w:szCs w:val="24"/>
        </w:rPr>
        <w:instrText xml:space="preserve"> REF _Ref126657468 \h </w:instrText>
      </w:r>
      <w:r>
        <w:rPr>
          <w:rFonts w:eastAsia="Times New Roman" w:cs="Times New Roman"/>
          <w:szCs w:val="24"/>
        </w:rPr>
      </w:r>
      <w:r>
        <w:rPr>
          <w:rFonts w:eastAsia="Times New Roman" w:cs="Times New Roman"/>
          <w:szCs w:val="24"/>
        </w:rPr>
        <w:fldChar w:fldCharType="separate"/>
      </w:r>
      <w:r w:rsidR="00A65CB3">
        <w:t xml:space="preserve">Table </w:t>
      </w:r>
      <w:r w:rsidR="00A65CB3">
        <w:rPr>
          <w:noProof/>
        </w:rPr>
        <w:t>58</w:t>
      </w:r>
      <w:r>
        <w:rPr>
          <w:rFonts w:eastAsia="Times New Roman" w:cs="Times New Roman"/>
          <w:szCs w:val="24"/>
        </w:rPr>
        <w:fldChar w:fldCharType="end"/>
      </w:r>
      <w:r>
        <w:rPr>
          <w:rFonts w:eastAsia="Times New Roman" w:cs="Times New Roman"/>
          <w:szCs w:val="24"/>
        </w:rPr>
        <w:t xml:space="preserve"> </w:t>
      </w:r>
      <w:r w:rsidR="00F45D34">
        <w:t>presents a summary of the</w:t>
      </w:r>
      <w:r w:rsidR="00C00EBC">
        <w:t xml:space="preserve"> annual</w:t>
      </w:r>
      <w:r w:rsidR="00F45D34">
        <w:t xml:space="preserve"> incremental benefits for </w:t>
      </w:r>
      <w:r w:rsidR="00C00EBC">
        <w:t xml:space="preserve">right </w:t>
      </w:r>
      <w:r w:rsidR="00F45D34">
        <w:t>front seat occupants associated with the proposed rule</w:t>
      </w:r>
      <w:r w:rsidR="001F2F92">
        <w:t xml:space="preserve">. </w:t>
      </w:r>
      <w:r>
        <w:t xml:space="preserve">For right front seat occupants in passenger cars, the requirements for an indefinite warning would prevent </w:t>
      </w:r>
      <w:r w:rsidR="00725F27">
        <w:t>5</w:t>
      </w:r>
      <w:r>
        <w:t xml:space="preserve"> fatalities and </w:t>
      </w:r>
      <w:r w:rsidR="00725F27">
        <w:t>23</w:t>
      </w:r>
      <w:r>
        <w:t xml:space="preserve"> non-fatal injuries, annually</w:t>
      </w:r>
      <w:r w:rsidR="001F2F92">
        <w:t xml:space="preserve">. </w:t>
      </w:r>
      <w:r>
        <w:t xml:space="preserve">For </w:t>
      </w:r>
      <w:r w:rsidR="00725F27">
        <w:t>right front seat occupants</w:t>
      </w:r>
      <w:r>
        <w:t xml:space="preserve"> in LTVs, the requirements for an indefinite warning would prevent </w:t>
      </w:r>
      <w:r w:rsidR="00725F27">
        <w:t>7</w:t>
      </w:r>
      <w:r>
        <w:t xml:space="preserve"> fatalities and </w:t>
      </w:r>
      <w:r w:rsidR="00725F27">
        <w:t>8</w:t>
      </w:r>
      <w:r>
        <w:t xml:space="preserve"> non-fatal injuries, annually.</w:t>
      </w:r>
    </w:p>
    <w:p w14:paraId="646AFC39" w14:textId="549BC428" w:rsidR="00F45D34" w:rsidRDefault="000F5B51" w:rsidP="00F45D34">
      <w:pPr>
        <w:pStyle w:val="Caption"/>
      </w:pPr>
      <w:bookmarkStart w:id="919" w:name="_Ref126657468"/>
      <w:r>
        <w:t xml:space="preserve">Table </w:t>
      </w:r>
      <w:r w:rsidR="00115BAB">
        <w:fldChar w:fldCharType="begin"/>
      </w:r>
      <w:r>
        <w:instrText xml:space="preserve"> SEQ Table \* ARABIC </w:instrText>
      </w:r>
      <w:r w:rsidR="00115BAB">
        <w:fldChar w:fldCharType="separate"/>
      </w:r>
      <w:r w:rsidR="00A65CB3">
        <w:rPr>
          <w:noProof/>
        </w:rPr>
        <w:t>58</w:t>
      </w:r>
      <w:r w:rsidR="00115BAB">
        <w:rPr>
          <w:noProof/>
        </w:rPr>
        <w:fldChar w:fldCharType="end"/>
      </w:r>
      <w:bookmarkEnd w:id="919"/>
      <w:r>
        <w:t xml:space="preserve">: Summary of </w:t>
      </w:r>
      <w:r w:rsidR="00C00EBC">
        <w:t xml:space="preserve">Annual </w:t>
      </w:r>
      <w:r>
        <w:t xml:space="preserve">Incremental Benefits for </w:t>
      </w:r>
      <w:r w:rsidR="009A223E">
        <w:t>Right Front Seat Occupants</w:t>
      </w:r>
    </w:p>
    <w:tbl>
      <w:tblPr>
        <w:tblStyle w:val="TableGrid"/>
        <w:tblW w:w="9887" w:type="dxa"/>
        <w:tblLook w:val="04A0" w:firstRow="1" w:lastRow="0" w:firstColumn="1" w:lastColumn="0" w:noHBand="0" w:noVBand="1"/>
      </w:tblPr>
      <w:tblGrid>
        <w:gridCol w:w="2471"/>
        <w:gridCol w:w="2471"/>
        <w:gridCol w:w="2613"/>
        <w:gridCol w:w="2332"/>
      </w:tblGrid>
      <w:tr w:rsidR="00A15C2C" w14:paraId="150A2F77" w14:textId="77777777" w:rsidTr="00AD7711">
        <w:trPr>
          <w:trHeight w:val="433"/>
        </w:trPr>
        <w:tc>
          <w:tcPr>
            <w:tcW w:w="2471" w:type="dxa"/>
            <w:vMerge w:val="restart"/>
            <w:shd w:val="clear" w:color="auto" w:fill="D9D9D9" w:themeFill="background1" w:themeFillShade="D9"/>
            <w:vAlign w:val="center"/>
          </w:tcPr>
          <w:p w14:paraId="775B0346" w14:textId="77777777" w:rsidR="00F45D34" w:rsidRDefault="000F5B51" w:rsidP="00AD7711">
            <w:pPr>
              <w:spacing w:line="240" w:lineRule="auto"/>
              <w:rPr>
                <w:b/>
                <w:bCs/>
              </w:rPr>
            </w:pPr>
            <w:r>
              <w:rPr>
                <w:b/>
                <w:bCs/>
              </w:rPr>
              <w:t>Injury Severity</w:t>
            </w:r>
          </w:p>
        </w:tc>
        <w:tc>
          <w:tcPr>
            <w:tcW w:w="7416" w:type="dxa"/>
            <w:gridSpan w:val="3"/>
            <w:shd w:val="clear" w:color="auto" w:fill="D9D9D9" w:themeFill="background1" w:themeFillShade="D9"/>
            <w:vAlign w:val="center"/>
          </w:tcPr>
          <w:p w14:paraId="79999C32" w14:textId="77777777" w:rsidR="00F45D34" w:rsidRPr="00DA0C97" w:rsidRDefault="000F5B51" w:rsidP="00AD7711">
            <w:pPr>
              <w:spacing w:line="240" w:lineRule="auto"/>
              <w:jc w:val="center"/>
              <w:rPr>
                <w:b/>
                <w:bCs/>
              </w:rPr>
            </w:pPr>
            <w:r>
              <w:rPr>
                <w:b/>
                <w:bCs/>
              </w:rPr>
              <w:t>Incremental Benefits</w:t>
            </w:r>
          </w:p>
        </w:tc>
      </w:tr>
      <w:tr w:rsidR="00A15C2C" w14:paraId="3A90D309" w14:textId="77777777" w:rsidTr="00460C7F">
        <w:trPr>
          <w:trHeight w:val="433"/>
        </w:trPr>
        <w:tc>
          <w:tcPr>
            <w:tcW w:w="2471" w:type="dxa"/>
            <w:vMerge/>
            <w:shd w:val="clear" w:color="auto" w:fill="D9D9D9" w:themeFill="background1" w:themeFillShade="D9"/>
            <w:vAlign w:val="center"/>
          </w:tcPr>
          <w:p w14:paraId="42CBA11A" w14:textId="77777777" w:rsidR="00F45D34" w:rsidRPr="00DA0C97" w:rsidRDefault="00F45D34" w:rsidP="00AD7711">
            <w:pPr>
              <w:spacing w:line="240" w:lineRule="auto"/>
              <w:rPr>
                <w:b/>
                <w:bCs/>
              </w:rPr>
            </w:pPr>
          </w:p>
        </w:tc>
        <w:tc>
          <w:tcPr>
            <w:tcW w:w="2471" w:type="dxa"/>
            <w:shd w:val="clear" w:color="auto" w:fill="D9D9D9" w:themeFill="background1" w:themeFillShade="D9"/>
            <w:vAlign w:val="center"/>
          </w:tcPr>
          <w:p w14:paraId="18F0371E" w14:textId="77777777" w:rsidR="00F45D34" w:rsidRPr="00DA0C97" w:rsidRDefault="000F5B51" w:rsidP="00AD7711">
            <w:pPr>
              <w:spacing w:line="240" w:lineRule="auto"/>
              <w:jc w:val="center"/>
              <w:rPr>
                <w:b/>
                <w:bCs/>
              </w:rPr>
            </w:pPr>
            <w:r>
              <w:rPr>
                <w:b/>
                <w:bCs/>
              </w:rPr>
              <w:t>7-Second</w:t>
            </w:r>
            <w:r w:rsidR="00353619">
              <w:rPr>
                <w:b/>
                <w:bCs/>
              </w:rPr>
              <w:t xml:space="preserve"> to Indefinite</w:t>
            </w:r>
          </w:p>
        </w:tc>
        <w:tc>
          <w:tcPr>
            <w:tcW w:w="2613" w:type="dxa"/>
            <w:shd w:val="clear" w:color="auto" w:fill="D9D9D9" w:themeFill="background1" w:themeFillShade="D9"/>
            <w:vAlign w:val="center"/>
          </w:tcPr>
          <w:p w14:paraId="527F371D" w14:textId="77777777" w:rsidR="00F45D34" w:rsidRPr="00DA0C97" w:rsidRDefault="000F5B51" w:rsidP="00AD7711">
            <w:pPr>
              <w:spacing w:line="240" w:lineRule="auto"/>
              <w:jc w:val="center"/>
              <w:rPr>
                <w:b/>
                <w:bCs/>
              </w:rPr>
            </w:pPr>
            <w:r>
              <w:rPr>
                <w:b/>
                <w:bCs/>
              </w:rPr>
              <w:t>90-Second</w:t>
            </w:r>
            <w:r w:rsidR="00353619">
              <w:rPr>
                <w:b/>
                <w:bCs/>
              </w:rPr>
              <w:t xml:space="preserve"> to Indefinite</w:t>
            </w:r>
          </w:p>
        </w:tc>
        <w:tc>
          <w:tcPr>
            <w:tcW w:w="2332" w:type="dxa"/>
            <w:shd w:val="clear" w:color="auto" w:fill="D9D9D9" w:themeFill="background1" w:themeFillShade="D9"/>
            <w:vAlign w:val="center"/>
          </w:tcPr>
          <w:p w14:paraId="75723CBB" w14:textId="77777777" w:rsidR="00F45D34" w:rsidRPr="00DA0C97" w:rsidRDefault="000F5B51" w:rsidP="00AD7711">
            <w:pPr>
              <w:spacing w:line="240" w:lineRule="auto"/>
              <w:jc w:val="center"/>
              <w:rPr>
                <w:b/>
                <w:bCs/>
              </w:rPr>
            </w:pPr>
            <w:r>
              <w:rPr>
                <w:b/>
                <w:bCs/>
              </w:rPr>
              <w:t>Total</w:t>
            </w:r>
          </w:p>
        </w:tc>
      </w:tr>
      <w:tr w:rsidR="00A15C2C" w14:paraId="5F1A37E9" w14:textId="77777777" w:rsidTr="00AD7711">
        <w:trPr>
          <w:trHeight w:val="144"/>
        </w:trPr>
        <w:tc>
          <w:tcPr>
            <w:tcW w:w="9887" w:type="dxa"/>
            <w:gridSpan w:val="4"/>
            <w:shd w:val="clear" w:color="auto" w:fill="D9D9D9" w:themeFill="background1" w:themeFillShade="D9"/>
            <w:vAlign w:val="center"/>
          </w:tcPr>
          <w:p w14:paraId="60FCD8E8" w14:textId="77777777" w:rsidR="00F45D34" w:rsidRPr="009D65BE" w:rsidRDefault="000F5B51" w:rsidP="00AD7711">
            <w:pPr>
              <w:spacing w:line="240" w:lineRule="auto"/>
              <w:jc w:val="center"/>
              <w:rPr>
                <w:b/>
                <w:bCs/>
                <w:i/>
                <w:iCs/>
              </w:rPr>
            </w:pPr>
            <w:r>
              <w:rPr>
                <w:b/>
                <w:bCs/>
                <w:i/>
                <w:iCs/>
              </w:rPr>
              <w:t>Passenger Cars</w:t>
            </w:r>
          </w:p>
        </w:tc>
      </w:tr>
      <w:tr w:rsidR="00A15C2C" w14:paraId="04FB1283" w14:textId="77777777" w:rsidTr="00460C7F">
        <w:trPr>
          <w:trHeight w:val="288"/>
        </w:trPr>
        <w:tc>
          <w:tcPr>
            <w:tcW w:w="2471" w:type="dxa"/>
            <w:vAlign w:val="center"/>
          </w:tcPr>
          <w:p w14:paraId="0BDFDA9C" w14:textId="77777777" w:rsidR="008E75D6" w:rsidRDefault="000F5B51" w:rsidP="008E75D6">
            <w:pPr>
              <w:spacing w:line="240" w:lineRule="auto"/>
            </w:pPr>
            <w:r>
              <w:rPr>
                <w:color w:val="000000"/>
              </w:rPr>
              <w:t>MAIS 1</w:t>
            </w:r>
          </w:p>
        </w:tc>
        <w:tc>
          <w:tcPr>
            <w:tcW w:w="2471" w:type="dxa"/>
            <w:vAlign w:val="center"/>
          </w:tcPr>
          <w:p w14:paraId="25D25AE8" w14:textId="77777777" w:rsidR="008E75D6" w:rsidRDefault="000F5B51" w:rsidP="008E75D6">
            <w:pPr>
              <w:spacing w:line="240" w:lineRule="auto"/>
              <w:jc w:val="center"/>
            </w:pPr>
            <w:r>
              <w:rPr>
                <w:color w:val="000000"/>
              </w:rPr>
              <w:t>1</w:t>
            </w:r>
          </w:p>
        </w:tc>
        <w:tc>
          <w:tcPr>
            <w:tcW w:w="2613" w:type="dxa"/>
            <w:vAlign w:val="center"/>
          </w:tcPr>
          <w:p w14:paraId="11F62DA8" w14:textId="77777777" w:rsidR="008E75D6" w:rsidRDefault="000F5B51" w:rsidP="008E75D6">
            <w:pPr>
              <w:spacing w:line="240" w:lineRule="auto"/>
              <w:jc w:val="center"/>
            </w:pPr>
            <w:r>
              <w:rPr>
                <w:color w:val="000000"/>
              </w:rPr>
              <w:t>1</w:t>
            </w:r>
          </w:p>
        </w:tc>
        <w:tc>
          <w:tcPr>
            <w:tcW w:w="2332" w:type="dxa"/>
            <w:vAlign w:val="center"/>
          </w:tcPr>
          <w:p w14:paraId="2C42426D" w14:textId="77777777" w:rsidR="008E75D6" w:rsidRDefault="000F5B51" w:rsidP="008E75D6">
            <w:pPr>
              <w:spacing w:line="240" w:lineRule="auto"/>
              <w:jc w:val="center"/>
            </w:pPr>
            <w:r>
              <w:rPr>
                <w:color w:val="000000"/>
              </w:rPr>
              <w:t>2</w:t>
            </w:r>
          </w:p>
        </w:tc>
      </w:tr>
      <w:tr w:rsidR="00A15C2C" w14:paraId="7C39580F" w14:textId="77777777" w:rsidTr="00460C7F">
        <w:trPr>
          <w:trHeight w:val="288"/>
        </w:trPr>
        <w:tc>
          <w:tcPr>
            <w:tcW w:w="2471" w:type="dxa"/>
            <w:vAlign w:val="center"/>
          </w:tcPr>
          <w:p w14:paraId="2F01E6EF" w14:textId="77777777" w:rsidR="008E75D6" w:rsidRDefault="000F5B51" w:rsidP="008E75D6">
            <w:pPr>
              <w:spacing w:line="240" w:lineRule="auto"/>
            </w:pPr>
            <w:r>
              <w:rPr>
                <w:color w:val="000000"/>
              </w:rPr>
              <w:t>MAIS 2</w:t>
            </w:r>
          </w:p>
        </w:tc>
        <w:tc>
          <w:tcPr>
            <w:tcW w:w="2471" w:type="dxa"/>
            <w:vAlign w:val="center"/>
          </w:tcPr>
          <w:p w14:paraId="77053344" w14:textId="77777777" w:rsidR="008E75D6" w:rsidRDefault="000F5B51" w:rsidP="008E75D6">
            <w:pPr>
              <w:spacing w:line="240" w:lineRule="auto"/>
              <w:jc w:val="center"/>
            </w:pPr>
            <w:r>
              <w:rPr>
                <w:color w:val="000000"/>
              </w:rPr>
              <w:t>8</w:t>
            </w:r>
          </w:p>
        </w:tc>
        <w:tc>
          <w:tcPr>
            <w:tcW w:w="2613" w:type="dxa"/>
            <w:vAlign w:val="center"/>
          </w:tcPr>
          <w:p w14:paraId="1D8CACBE" w14:textId="77777777" w:rsidR="008E75D6" w:rsidRDefault="000F5B51" w:rsidP="008E75D6">
            <w:pPr>
              <w:spacing w:line="240" w:lineRule="auto"/>
              <w:jc w:val="center"/>
            </w:pPr>
            <w:r>
              <w:rPr>
                <w:color w:val="000000"/>
              </w:rPr>
              <w:t>6</w:t>
            </w:r>
          </w:p>
        </w:tc>
        <w:tc>
          <w:tcPr>
            <w:tcW w:w="2332" w:type="dxa"/>
            <w:vAlign w:val="center"/>
          </w:tcPr>
          <w:p w14:paraId="38CBC460" w14:textId="77777777" w:rsidR="008E75D6" w:rsidRDefault="000F5B51" w:rsidP="008E75D6">
            <w:pPr>
              <w:spacing w:line="240" w:lineRule="auto"/>
              <w:jc w:val="center"/>
            </w:pPr>
            <w:r>
              <w:rPr>
                <w:color w:val="000000"/>
              </w:rPr>
              <w:t>14</w:t>
            </w:r>
          </w:p>
        </w:tc>
      </w:tr>
      <w:tr w:rsidR="00A15C2C" w14:paraId="18920669" w14:textId="77777777" w:rsidTr="00460C7F">
        <w:trPr>
          <w:trHeight w:val="288"/>
        </w:trPr>
        <w:tc>
          <w:tcPr>
            <w:tcW w:w="2471" w:type="dxa"/>
            <w:vAlign w:val="center"/>
          </w:tcPr>
          <w:p w14:paraId="3EF438B3" w14:textId="77777777" w:rsidR="008E75D6" w:rsidRDefault="000F5B51" w:rsidP="008E75D6">
            <w:pPr>
              <w:spacing w:line="240" w:lineRule="auto"/>
            </w:pPr>
            <w:r>
              <w:rPr>
                <w:color w:val="000000"/>
              </w:rPr>
              <w:t>MAIS 3</w:t>
            </w:r>
          </w:p>
        </w:tc>
        <w:tc>
          <w:tcPr>
            <w:tcW w:w="2471" w:type="dxa"/>
            <w:vAlign w:val="center"/>
          </w:tcPr>
          <w:p w14:paraId="3A30119B" w14:textId="77777777" w:rsidR="008E75D6" w:rsidRDefault="000F5B51" w:rsidP="008E75D6">
            <w:pPr>
              <w:spacing w:line="240" w:lineRule="auto"/>
              <w:jc w:val="center"/>
            </w:pPr>
            <w:r>
              <w:rPr>
                <w:color w:val="000000"/>
              </w:rPr>
              <w:t>2</w:t>
            </w:r>
          </w:p>
        </w:tc>
        <w:tc>
          <w:tcPr>
            <w:tcW w:w="2613" w:type="dxa"/>
            <w:vAlign w:val="center"/>
          </w:tcPr>
          <w:p w14:paraId="61203455" w14:textId="77777777" w:rsidR="008E75D6" w:rsidRDefault="000F5B51" w:rsidP="008E75D6">
            <w:pPr>
              <w:spacing w:line="240" w:lineRule="auto"/>
              <w:jc w:val="center"/>
            </w:pPr>
            <w:r>
              <w:rPr>
                <w:color w:val="000000"/>
              </w:rPr>
              <w:t>2</w:t>
            </w:r>
          </w:p>
        </w:tc>
        <w:tc>
          <w:tcPr>
            <w:tcW w:w="2332" w:type="dxa"/>
            <w:vAlign w:val="center"/>
          </w:tcPr>
          <w:p w14:paraId="2B849698" w14:textId="77777777" w:rsidR="008E75D6" w:rsidRDefault="000F5B51" w:rsidP="008E75D6">
            <w:pPr>
              <w:spacing w:line="240" w:lineRule="auto"/>
              <w:jc w:val="center"/>
            </w:pPr>
            <w:r>
              <w:rPr>
                <w:color w:val="000000"/>
              </w:rPr>
              <w:t>4</w:t>
            </w:r>
          </w:p>
        </w:tc>
      </w:tr>
      <w:tr w:rsidR="00A15C2C" w14:paraId="4B37BDAC" w14:textId="77777777" w:rsidTr="00460C7F">
        <w:trPr>
          <w:trHeight w:val="288"/>
        </w:trPr>
        <w:tc>
          <w:tcPr>
            <w:tcW w:w="2471" w:type="dxa"/>
            <w:vAlign w:val="center"/>
          </w:tcPr>
          <w:p w14:paraId="350C9EAC" w14:textId="77777777" w:rsidR="008E75D6" w:rsidRDefault="000F5B51" w:rsidP="008E75D6">
            <w:pPr>
              <w:spacing w:line="240" w:lineRule="auto"/>
            </w:pPr>
            <w:r>
              <w:rPr>
                <w:color w:val="000000"/>
              </w:rPr>
              <w:t>MAIS 4</w:t>
            </w:r>
          </w:p>
        </w:tc>
        <w:tc>
          <w:tcPr>
            <w:tcW w:w="2471" w:type="dxa"/>
            <w:vAlign w:val="center"/>
          </w:tcPr>
          <w:p w14:paraId="402FECA0" w14:textId="77777777" w:rsidR="008E75D6" w:rsidRDefault="000F5B51" w:rsidP="008E75D6">
            <w:pPr>
              <w:spacing w:line="240" w:lineRule="auto"/>
              <w:jc w:val="center"/>
            </w:pPr>
            <w:r>
              <w:rPr>
                <w:color w:val="000000"/>
              </w:rPr>
              <w:t>2</w:t>
            </w:r>
          </w:p>
        </w:tc>
        <w:tc>
          <w:tcPr>
            <w:tcW w:w="2613" w:type="dxa"/>
            <w:vAlign w:val="center"/>
          </w:tcPr>
          <w:p w14:paraId="09957C30" w14:textId="77777777" w:rsidR="008E75D6" w:rsidRDefault="000F5B51" w:rsidP="008E75D6">
            <w:pPr>
              <w:spacing w:line="240" w:lineRule="auto"/>
              <w:jc w:val="center"/>
            </w:pPr>
            <w:r>
              <w:rPr>
                <w:color w:val="000000"/>
              </w:rPr>
              <w:t>1</w:t>
            </w:r>
          </w:p>
        </w:tc>
        <w:tc>
          <w:tcPr>
            <w:tcW w:w="2332" w:type="dxa"/>
            <w:vAlign w:val="center"/>
          </w:tcPr>
          <w:p w14:paraId="46C9EA8B" w14:textId="77777777" w:rsidR="008E75D6" w:rsidRDefault="000F5B51" w:rsidP="008E75D6">
            <w:pPr>
              <w:spacing w:line="240" w:lineRule="auto"/>
              <w:jc w:val="center"/>
            </w:pPr>
            <w:r>
              <w:rPr>
                <w:color w:val="000000"/>
              </w:rPr>
              <w:t>3</w:t>
            </w:r>
          </w:p>
        </w:tc>
      </w:tr>
      <w:tr w:rsidR="00A15C2C" w14:paraId="6CFDA1C8" w14:textId="77777777" w:rsidTr="00460C7F">
        <w:trPr>
          <w:trHeight w:val="288"/>
        </w:trPr>
        <w:tc>
          <w:tcPr>
            <w:tcW w:w="2471" w:type="dxa"/>
            <w:vAlign w:val="center"/>
          </w:tcPr>
          <w:p w14:paraId="34744DE5" w14:textId="77777777" w:rsidR="008E75D6" w:rsidRDefault="000F5B51" w:rsidP="008E75D6">
            <w:pPr>
              <w:spacing w:line="240" w:lineRule="auto"/>
            </w:pPr>
            <w:r>
              <w:rPr>
                <w:color w:val="000000"/>
              </w:rPr>
              <w:t>MAIS 5</w:t>
            </w:r>
          </w:p>
        </w:tc>
        <w:tc>
          <w:tcPr>
            <w:tcW w:w="2471" w:type="dxa"/>
            <w:vAlign w:val="center"/>
          </w:tcPr>
          <w:p w14:paraId="6CDD1EEF" w14:textId="77777777" w:rsidR="008E75D6" w:rsidRDefault="000F5B51" w:rsidP="008E75D6">
            <w:pPr>
              <w:spacing w:line="240" w:lineRule="auto"/>
              <w:jc w:val="center"/>
            </w:pPr>
            <w:r>
              <w:rPr>
                <w:color w:val="000000"/>
              </w:rPr>
              <w:t>0</w:t>
            </w:r>
          </w:p>
        </w:tc>
        <w:tc>
          <w:tcPr>
            <w:tcW w:w="2613" w:type="dxa"/>
            <w:vAlign w:val="center"/>
          </w:tcPr>
          <w:p w14:paraId="79F8A15E" w14:textId="77777777" w:rsidR="008E75D6" w:rsidRDefault="000F5B51" w:rsidP="008E75D6">
            <w:pPr>
              <w:spacing w:line="240" w:lineRule="auto"/>
              <w:jc w:val="center"/>
            </w:pPr>
            <w:r>
              <w:rPr>
                <w:color w:val="000000"/>
              </w:rPr>
              <w:t>0</w:t>
            </w:r>
          </w:p>
        </w:tc>
        <w:tc>
          <w:tcPr>
            <w:tcW w:w="2332" w:type="dxa"/>
            <w:vAlign w:val="center"/>
          </w:tcPr>
          <w:p w14:paraId="52539EBD" w14:textId="77777777" w:rsidR="008E75D6" w:rsidRDefault="000F5B51" w:rsidP="008E75D6">
            <w:pPr>
              <w:spacing w:line="240" w:lineRule="auto"/>
              <w:jc w:val="center"/>
            </w:pPr>
            <w:r>
              <w:rPr>
                <w:color w:val="000000"/>
              </w:rPr>
              <w:t>0</w:t>
            </w:r>
          </w:p>
        </w:tc>
      </w:tr>
      <w:tr w:rsidR="00A15C2C" w14:paraId="46C886E6" w14:textId="77777777" w:rsidTr="00460C7F">
        <w:trPr>
          <w:trHeight w:val="288"/>
        </w:trPr>
        <w:tc>
          <w:tcPr>
            <w:tcW w:w="2471" w:type="dxa"/>
            <w:vAlign w:val="center"/>
          </w:tcPr>
          <w:p w14:paraId="59346FCA" w14:textId="77777777" w:rsidR="008E75D6" w:rsidRPr="00E25A28" w:rsidRDefault="000F5B51" w:rsidP="008E75D6">
            <w:pPr>
              <w:spacing w:line="240" w:lineRule="auto"/>
            </w:pPr>
            <w:r w:rsidRPr="00460C7F">
              <w:rPr>
                <w:color w:val="000000"/>
                <w:sz w:val="23"/>
                <w:szCs w:val="23"/>
              </w:rPr>
              <w:t>Non-Fatal Injuries (MAIS 1-5)</w:t>
            </w:r>
          </w:p>
        </w:tc>
        <w:tc>
          <w:tcPr>
            <w:tcW w:w="2471" w:type="dxa"/>
            <w:vAlign w:val="center"/>
          </w:tcPr>
          <w:p w14:paraId="4BB17538" w14:textId="77777777" w:rsidR="008E75D6" w:rsidRDefault="000F5B51" w:rsidP="008E75D6">
            <w:pPr>
              <w:spacing w:line="240" w:lineRule="auto"/>
              <w:jc w:val="center"/>
            </w:pPr>
            <w:r>
              <w:rPr>
                <w:color w:val="000000"/>
              </w:rPr>
              <w:t>13</w:t>
            </w:r>
          </w:p>
        </w:tc>
        <w:tc>
          <w:tcPr>
            <w:tcW w:w="2613" w:type="dxa"/>
            <w:vAlign w:val="center"/>
          </w:tcPr>
          <w:p w14:paraId="71EAC134" w14:textId="77777777" w:rsidR="008E75D6" w:rsidRDefault="000F5B51" w:rsidP="008E75D6">
            <w:pPr>
              <w:spacing w:line="240" w:lineRule="auto"/>
              <w:jc w:val="center"/>
            </w:pPr>
            <w:r>
              <w:rPr>
                <w:color w:val="000000"/>
              </w:rPr>
              <w:t>9</w:t>
            </w:r>
          </w:p>
        </w:tc>
        <w:tc>
          <w:tcPr>
            <w:tcW w:w="2332" w:type="dxa"/>
            <w:vAlign w:val="center"/>
          </w:tcPr>
          <w:p w14:paraId="5602DC41" w14:textId="77777777" w:rsidR="008E75D6" w:rsidRPr="00C20886" w:rsidRDefault="000F5B51" w:rsidP="008E75D6">
            <w:pPr>
              <w:spacing w:line="240" w:lineRule="auto"/>
              <w:jc w:val="center"/>
              <w:rPr>
                <w:b/>
              </w:rPr>
            </w:pPr>
            <w:r>
              <w:rPr>
                <w:color w:val="000000"/>
              </w:rPr>
              <w:t>23</w:t>
            </w:r>
          </w:p>
        </w:tc>
      </w:tr>
      <w:tr w:rsidR="00A15C2C" w14:paraId="74BEDD17" w14:textId="77777777" w:rsidTr="00460C7F">
        <w:trPr>
          <w:trHeight w:val="288"/>
        </w:trPr>
        <w:tc>
          <w:tcPr>
            <w:tcW w:w="2471" w:type="dxa"/>
            <w:vAlign w:val="center"/>
          </w:tcPr>
          <w:p w14:paraId="15EC04DE" w14:textId="77777777" w:rsidR="008E75D6" w:rsidRDefault="000F5B51" w:rsidP="008E75D6">
            <w:pPr>
              <w:spacing w:line="240" w:lineRule="auto"/>
            </w:pPr>
            <w:r>
              <w:t xml:space="preserve">Fatality </w:t>
            </w:r>
          </w:p>
        </w:tc>
        <w:tc>
          <w:tcPr>
            <w:tcW w:w="2471" w:type="dxa"/>
            <w:vAlign w:val="center"/>
          </w:tcPr>
          <w:p w14:paraId="1A836DED" w14:textId="77777777" w:rsidR="008E75D6" w:rsidRDefault="000F5B51" w:rsidP="008E75D6">
            <w:pPr>
              <w:spacing w:line="240" w:lineRule="auto"/>
              <w:jc w:val="center"/>
            </w:pPr>
            <w:r>
              <w:rPr>
                <w:color w:val="000000"/>
              </w:rPr>
              <w:t>3</w:t>
            </w:r>
          </w:p>
        </w:tc>
        <w:tc>
          <w:tcPr>
            <w:tcW w:w="2613" w:type="dxa"/>
            <w:vAlign w:val="center"/>
          </w:tcPr>
          <w:p w14:paraId="3F1CD632" w14:textId="77777777" w:rsidR="008E75D6" w:rsidRDefault="000F5B51" w:rsidP="008E75D6">
            <w:pPr>
              <w:spacing w:line="240" w:lineRule="auto"/>
              <w:jc w:val="center"/>
            </w:pPr>
            <w:r>
              <w:rPr>
                <w:color w:val="000000"/>
              </w:rPr>
              <w:t>2</w:t>
            </w:r>
          </w:p>
        </w:tc>
        <w:tc>
          <w:tcPr>
            <w:tcW w:w="2332" w:type="dxa"/>
            <w:vAlign w:val="center"/>
          </w:tcPr>
          <w:p w14:paraId="5051FF60" w14:textId="77777777" w:rsidR="008E75D6" w:rsidRPr="00C20886" w:rsidRDefault="000F5B51" w:rsidP="008E75D6">
            <w:pPr>
              <w:spacing w:line="240" w:lineRule="auto"/>
              <w:jc w:val="center"/>
              <w:rPr>
                <w:b/>
              </w:rPr>
            </w:pPr>
            <w:r>
              <w:rPr>
                <w:color w:val="000000"/>
              </w:rPr>
              <w:t>5</w:t>
            </w:r>
          </w:p>
        </w:tc>
      </w:tr>
      <w:tr w:rsidR="00A15C2C" w14:paraId="53C4D475" w14:textId="77777777" w:rsidTr="00460C7F">
        <w:trPr>
          <w:trHeight w:val="288"/>
        </w:trPr>
        <w:tc>
          <w:tcPr>
            <w:tcW w:w="9887" w:type="dxa"/>
            <w:gridSpan w:val="4"/>
            <w:shd w:val="clear" w:color="auto" w:fill="D9D9D9" w:themeFill="background1" w:themeFillShade="D9"/>
            <w:vAlign w:val="center"/>
          </w:tcPr>
          <w:p w14:paraId="5934A5AD" w14:textId="77777777" w:rsidR="00F45D34" w:rsidRDefault="000F5B51" w:rsidP="00965AF2">
            <w:pPr>
              <w:spacing w:line="240" w:lineRule="auto"/>
              <w:jc w:val="center"/>
            </w:pPr>
            <w:r>
              <w:rPr>
                <w:b/>
                <w:bCs/>
                <w:i/>
                <w:iCs/>
              </w:rPr>
              <w:t>Light Trucks</w:t>
            </w:r>
          </w:p>
        </w:tc>
      </w:tr>
      <w:tr w:rsidR="00A15C2C" w14:paraId="04639F05" w14:textId="77777777" w:rsidTr="00460C7F">
        <w:trPr>
          <w:trHeight w:val="288"/>
        </w:trPr>
        <w:tc>
          <w:tcPr>
            <w:tcW w:w="2471" w:type="dxa"/>
            <w:vAlign w:val="center"/>
          </w:tcPr>
          <w:p w14:paraId="41177AF3" w14:textId="77777777" w:rsidR="0093640C" w:rsidRDefault="000F5B51" w:rsidP="0093640C">
            <w:pPr>
              <w:spacing w:line="240" w:lineRule="auto"/>
            </w:pPr>
            <w:r>
              <w:rPr>
                <w:color w:val="000000"/>
              </w:rPr>
              <w:t>MAIS 1</w:t>
            </w:r>
          </w:p>
        </w:tc>
        <w:tc>
          <w:tcPr>
            <w:tcW w:w="2471" w:type="dxa"/>
            <w:vAlign w:val="center"/>
          </w:tcPr>
          <w:p w14:paraId="3CD48C14" w14:textId="77777777" w:rsidR="0093640C" w:rsidRDefault="000F5B51" w:rsidP="0093640C">
            <w:pPr>
              <w:spacing w:line="240" w:lineRule="auto"/>
              <w:jc w:val="center"/>
            </w:pPr>
            <w:r>
              <w:rPr>
                <w:color w:val="000000"/>
              </w:rPr>
              <w:t>1</w:t>
            </w:r>
          </w:p>
        </w:tc>
        <w:tc>
          <w:tcPr>
            <w:tcW w:w="2613" w:type="dxa"/>
            <w:vAlign w:val="center"/>
          </w:tcPr>
          <w:p w14:paraId="410E9FE6" w14:textId="77777777" w:rsidR="0093640C" w:rsidRDefault="000F5B51" w:rsidP="0093640C">
            <w:pPr>
              <w:spacing w:line="240" w:lineRule="auto"/>
              <w:jc w:val="center"/>
            </w:pPr>
            <w:r>
              <w:rPr>
                <w:color w:val="000000"/>
              </w:rPr>
              <w:t>1</w:t>
            </w:r>
          </w:p>
        </w:tc>
        <w:tc>
          <w:tcPr>
            <w:tcW w:w="2332" w:type="dxa"/>
            <w:vAlign w:val="center"/>
          </w:tcPr>
          <w:p w14:paraId="69192314" w14:textId="77777777" w:rsidR="0093640C" w:rsidRDefault="000F5B51" w:rsidP="0093640C">
            <w:pPr>
              <w:spacing w:line="240" w:lineRule="auto"/>
              <w:jc w:val="center"/>
            </w:pPr>
            <w:r>
              <w:rPr>
                <w:color w:val="000000"/>
              </w:rPr>
              <w:t>1</w:t>
            </w:r>
          </w:p>
        </w:tc>
      </w:tr>
      <w:tr w:rsidR="00A15C2C" w14:paraId="20343462" w14:textId="77777777" w:rsidTr="00460C7F">
        <w:trPr>
          <w:trHeight w:val="288"/>
        </w:trPr>
        <w:tc>
          <w:tcPr>
            <w:tcW w:w="2471" w:type="dxa"/>
            <w:vAlign w:val="center"/>
          </w:tcPr>
          <w:p w14:paraId="7CD833BE" w14:textId="77777777" w:rsidR="0093640C" w:rsidRDefault="000F5B51" w:rsidP="0093640C">
            <w:pPr>
              <w:spacing w:line="240" w:lineRule="auto"/>
            </w:pPr>
            <w:r>
              <w:rPr>
                <w:color w:val="000000"/>
              </w:rPr>
              <w:t>MAIS 2</w:t>
            </w:r>
          </w:p>
        </w:tc>
        <w:tc>
          <w:tcPr>
            <w:tcW w:w="2471" w:type="dxa"/>
            <w:vAlign w:val="center"/>
          </w:tcPr>
          <w:p w14:paraId="0D45F152" w14:textId="77777777" w:rsidR="0093640C" w:rsidRDefault="000F5B51" w:rsidP="0093640C">
            <w:pPr>
              <w:spacing w:line="240" w:lineRule="auto"/>
              <w:jc w:val="center"/>
            </w:pPr>
            <w:r>
              <w:rPr>
                <w:color w:val="000000"/>
              </w:rPr>
              <w:t>4</w:t>
            </w:r>
          </w:p>
        </w:tc>
        <w:tc>
          <w:tcPr>
            <w:tcW w:w="2613" w:type="dxa"/>
            <w:vAlign w:val="center"/>
          </w:tcPr>
          <w:p w14:paraId="4F477C7A" w14:textId="77777777" w:rsidR="0093640C" w:rsidRDefault="000F5B51" w:rsidP="0093640C">
            <w:pPr>
              <w:spacing w:line="240" w:lineRule="auto"/>
              <w:jc w:val="center"/>
            </w:pPr>
            <w:r>
              <w:rPr>
                <w:color w:val="000000"/>
              </w:rPr>
              <w:t>3</w:t>
            </w:r>
          </w:p>
        </w:tc>
        <w:tc>
          <w:tcPr>
            <w:tcW w:w="2332" w:type="dxa"/>
            <w:vAlign w:val="center"/>
          </w:tcPr>
          <w:p w14:paraId="047F3C2D" w14:textId="77777777" w:rsidR="0093640C" w:rsidRDefault="000F5B51" w:rsidP="0093640C">
            <w:pPr>
              <w:spacing w:line="240" w:lineRule="auto"/>
              <w:jc w:val="center"/>
            </w:pPr>
            <w:r>
              <w:rPr>
                <w:color w:val="000000"/>
              </w:rPr>
              <w:t>7</w:t>
            </w:r>
          </w:p>
        </w:tc>
      </w:tr>
      <w:tr w:rsidR="00A15C2C" w14:paraId="01353723" w14:textId="77777777" w:rsidTr="00460C7F">
        <w:trPr>
          <w:trHeight w:val="288"/>
        </w:trPr>
        <w:tc>
          <w:tcPr>
            <w:tcW w:w="2471" w:type="dxa"/>
            <w:vAlign w:val="center"/>
          </w:tcPr>
          <w:p w14:paraId="0DCA699F" w14:textId="77777777" w:rsidR="0093640C" w:rsidRDefault="000F5B51" w:rsidP="0093640C">
            <w:pPr>
              <w:spacing w:line="240" w:lineRule="auto"/>
            </w:pPr>
            <w:r>
              <w:rPr>
                <w:color w:val="000000"/>
              </w:rPr>
              <w:t>MAIS 3</w:t>
            </w:r>
          </w:p>
        </w:tc>
        <w:tc>
          <w:tcPr>
            <w:tcW w:w="2471" w:type="dxa"/>
            <w:vAlign w:val="center"/>
          </w:tcPr>
          <w:p w14:paraId="2942C052" w14:textId="77777777" w:rsidR="0093640C" w:rsidRDefault="000F5B51" w:rsidP="0093640C">
            <w:pPr>
              <w:spacing w:line="240" w:lineRule="auto"/>
              <w:jc w:val="center"/>
            </w:pPr>
            <w:r>
              <w:rPr>
                <w:color w:val="000000"/>
              </w:rPr>
              <w:t>0</w:t>
            </w:r>
          </w:p>
        </w:tc>
        <w:tc>
          <w:tcPr>
            <w:tcW w:w="2613" w:type="dxa"/>
            <w:vAlign w:val="center"/>
          </w:tcPr>
          <w:p w14:paraId="00D8CF2D" w14:textId="77777777" w:rsidR="0093640C" w:rsidRDefault="000F5B51" w:rsidP="0093640C">
            <w:pPr>
              <w:spacing w:line="240" w:lineRule="auto"/>
              <w:jc w:val="center"/>
            </w:pPr>
            <w:r>
              <w:rPr>
                <w:color w:val="000000"/>
              </w:rPr>
              <w:t>0</w:t>
            </w:r>
          </w:p>
        </w:tc>
        <w:tc>
          <w:tcPr>
            <w:tcW w:w="2332" w:type="dxa"/>
            <w:vAlign w:val="center"/>
          </w:tcPr>
          <w:p w14:paraId="1890AC78" w14:textId="77777777" w:rsidR="0093640C" w:rsidRDefault="000F5B51" w:rsidP="0093640C">
            <w:pPr>
              <w:spacing w:line="240" w:lineRule="auto"/>
              <w:jc w:val="center"/>
            </w:pPr>
            <w:r>
              <w:rPr>
                <w:color w:val="000000"/>
              </w:rPr>
              <w:t>0</w:t>
            </w:r>
          </w:p>
        </w:tc>
      </w:tr>
      <w:tr w:rsidR="00A15C2C" w14:paraId="6EB22BDA" w14:textId="77777777" w:rsidTr="00460C7F">
        <w:trPr>
          <w:trHeight w:val="288"/>
        </w:trPr>
        <w:tc>
          <w:tcPr>
            <w:tcW w:w="2471" w:type="dxa"/>
            <w:vAlign w:val="center"/>
          </w:tcPr>
          <w:p w14:paraId="7190F9E3" w14:textId="77777777" w:rsidR="0093640C" w:rsidRDefault="000F5B51" w:rsidP="0093640C">
            <w:pPr>
              <w:spacing w:line="240" w:lineRule="auto"/>
            </w:pPr>
            <w:r>
              <w:rPr>
                <w:color w:val="000000"/>
              </w:rPr>
              <w:t>MAIS 4</w:t>
            </w:r>
          </w:p>
        </w:tc>
        <w:tc>
          <w:tcPr>
            <w:tcW w:w="2471" w:type="dxa"/>
            <w:vAlign w:val="center"/>
          </w:tcPr>
          <w:p w14:paraId="61CF7C8D" w14:textId="77777777" w:rsidR="0093640C" w:rsidRDefault="000F5B51" w:rsidP="0093640C">
            <w:pPr>
              <w:spacing w:line="240" w:lineRule="auto"/>
              <w:jc w:val="center"/>
            </w:pPr>
            <w:r>
              <w:rPr>
                <w:color w:val="000000"/>
              </w:rPr>
              <w:t>0</w:t>
            </w:r>
          </w:p>
        </w:tc>
        <w:tc>
          <w:tcPr>
            <w:tcW w:w="2613" w:type="dxa"/>
            <w:vAlign w:val="center"/>
          </w:tcPr>
          <w:p w14:paraId="6FEA1D63" w14:textId="77777777" w:rsidR="0093640C" w:rsidRDefault="000F5B51" w:rsidP="0093640C">
            <w:pPr>
              <w:spacing w:line="240" w:lineRule="auto"/>
              <w:jc w:val="center"/>
            </w:pPr>
            <w:r>
              <w:rPr>
                <w:color w:val="000000"/>
              </w:rPr>
              <w:t>0</w:t>
            </w:r>
          </w:p>
        </w:tc>
        <w:tc>
          <w:tcPr>
            <w:tcW w:w="2332" w:type="dxa"/>
            <w:vAlign w:val="center"/>
          </w:tcPr>
          <w:p w14:paraId="03765BF3" w14:textId="77777777" w:rsidR="0093640C" w:rsidRDefault="000F5B51" w:rsidP="0093640C">
            <w:pPr>
              <w:spacing w:line="240" w:lineRule="auto"/>
              <w:jc w:val="center"/>
            </w:pPr>
            <w:r>
              <w:rPr>
                <w:color w:val="000000"/>
              </w:rPr>
              <w:t>0</w:t>
            </w:r>
          </w:p>
        </w:tc>
      </w:tr>
      <w:tr w:rsidR="00A15C2C" w14:paraId="3F289D49" w14:textId="77777777" w:rsidTr="00460C7F">
        <w:trPr>
          <w:trHeight w:val="288"/>
        </w:trPr>
        <w:tc>
          <w:tcPr>
            <w:tcW w:w="2471" w:type="dxa"/>
            <w:vAlign w:val="center"/>
          </w:tcPr>
          <w:p w14:paraId="44493B56" w14:textId="77777777" w:rsidR="0093640C" w:rsidRDefault="000F5B51" w:rsidP="0093640C">
            <w:pPr>
              <w:spacing w:line="240" w:lineRule="auto"/>
            </w:pPr>
            <w:r>
              <w:rPr>
                <w:color w:val="000000"/>
              </w:rPr>
              <w:t>MAIS 5</w:t>
            </w:r>
          </w:p>
        </w:tc>
        <w:tc>
          <w:tcPr>
            <w:tcW w:w="2471" w:type="dxa"/>
            <w:vAlign w:val="center"/>
          </w:tcPr>
          <w:p w14:paraId="487636DF" w14:textId="77777777" w:rsidR="0093640C" w:rsidRDefault="000F5B51" w:rsidP="0093640C">
            <w:pPr>
              <w:spacing w:line="240" w:lineRule="auto"/>
              <w:jc w:val="center"/>
            </w:pPr>
            <w:r>
              <w:rPr>
                <w:color w:val="000000"/>
              </w:rPr>
              <w:t>0</w:t>
            </w:r>
          </w:p>
        </w:tc>
        <w:tc>
          <w:tcPr>
            <w:tcW w:w="2613" w:type="dxa"/>
            <w:vAlign w:val="center"/>
          </w:tcPr>
          <w:p w14:paraId="7A23E0AD" w14:textId="77777777" w:rsidR="0093640C" w:rsidRDefault="000F5B51" w:rsidP="0093640C">
            <w:pPr>
              <w:spacing w:line="240" w:lineRule="auto"/>
              <w:jc w:val="center"/>
            </w:pPr>
            <w:r>
              <w:rPr>
                <w:color w:val="000000"/>
              </w:rPr>
              <w:t>0</w:t>
            </w:r>
          </w:p>
        </w:tc>
        <w:tc>
          <w:tcPr>
            <w:tcW w:w="2332" w:type="dxa"/>
            <w:vAlign w:val="center"/>
          </w:tcPr>
          <w:p w14:paraId="4D6F3A9E" w14:textId="77777777" w:rsidR="0093640C" w:rsidRDefault="000F5B51" w:rsidP="0093640C">
            <w:pPr>
              <w:spacing w:line="240" w:lineRule="auto"/>
              <w:jc w:val="center"/>
            </w:pPr>
            <w:r>
              <w:rPr>
                <w:color w:val="000000"/>
              </w:rPr>
              <w:t>0</w:t>
            </w:r>
          </w:p>
        </w:tc>
      </w:tr>
      <w:tr w:rsidR="00A15C2C" w14:paraId="1082BB6E" w14:textId="77777777" w:rsidTr="00460C7F">
        <w:trPr>
          <w:trHeight w:val="288"/>
        </w:trPr>
        <w:tc>
          <w:tcPr>
            <w:tcW w:w="2471" w:type="dxa"/>
            <w:vAlign w:val="center"/>
          </w:tcPr>
          <w:p w14:paraId="1426C3DA" w14:textId="77777777" w:rsidR="0093640C" w:rsidRPr="00E25A28" w:rsidRDefault="000F5B51" w:rsidP="0093640C">
            <w:pPr>
              <w:spacing w:line="240" w:lineRule="auto"/>
            </w:pPr>
            <w:r w:rsidRPr="00460C7F">
              <w:rPr>
                <w:color w:val="000000"/>
                <w:sz w:val="23"/>
                <w:szCs w:val="23"/>
              </w:rPr>
              <w:t>Non-Fatal Injuries (MAIS 1-5)</w:t>
            </w:r>
          </w:p>
        </w:tc>
        <w:tc>
          <w:tcPr>
            <w:tcW w:w="2471" w:type="dxa"/>
            <w:vAlign w:val="center"/>
          </w:tcPr>
          <w:p w14:paraId="2E343CDE" w14:textId="77777777" w:rsidR="0093640C" w:rsidRDefault="000F5B51" w:rsidP="0093640C">
            <w:pPr>
              <w:spacing w:line="240" w:lineRule="auto"/>
              <w:jc w:val="center"/>
            </w:pPr>
            <w:r>
              <w:rPr>
                <w:color w:val="000000"/>
              </w:rPr>
              <w:t>5</w:t>
            </w:r>
          </w:p>
        </w:tc>
        <w:tc>
          <w:tcPr>
            <w:tcW w:w="2613" w:type="dxa"/>
            <w:vAlign w:val="center"/>
          </w:tcPr>
          <w:p w14:paraId="250FCCBE" w14:textId="77777777" w:rsidR="0093640C" w:rsidRDefault="000F5B51" w:rsidP="0093640C">
            <w:pPr>
              <w:spacing w:line="240" w:lineRule="auto"/>
              <w:jc w:val="center"/>
            </w:pPr>
            <w:r>
              <w:rPr>
                <w:color w:val="000000"/>
              </w:rPr>
              <w:t>3</w:t>
            </w:r>
          </w:p>
        </w:tc>
        <w:tc>
          <w:tcPr>
            <w:tcW w:w="2332" w:type="dxa"/>
            <w:vAlign w:val="center"/>
          </w:tcPr>
          <w:p w14:paraId="6A2E626C" w14:textId="77777777" w:rsidR="0093640C" w:rsidRPr="00C20886" w:rsidRDefault="000F5B51" w:rsidP="0093640C">
            <w:pPr>
              <w:spacing w:line="240" w:lineRule="auto"/>
              <w:jc w:val="center"/>
              <w:rPr>
                <w:b/>
              </w:rPr>
            </w:pPr>
            <w:r>
              <w:rPr>
                <w:color w:val="000000"/>
              </w:rPr>
              <w:t>8</w:t>
            </w:r>
          </w:p>
        </w:tc>
      </w:tr>
      <w:tr w:rsidR="00A15C2C" w14:paraId="2D3E4A7C" w14:textId="77777777" w:rsidTr="00460C7F">
        <w:trPr>
          <w:trHeight w:val="288"/>
        </w:trPr>
        <w:tc>
          <w:tcPr>
            <w:tcW w:w="2471" w:type="dxa"/>
            <w:vAlign w:val="center"/>
          </w:tcPr>
          <w:p w14:paraId="025D178C" w14:textId="77777777" w:rsidR="0093640C" w:rsidRDefault="000F5B51" w:rsidP="0093640C">
            <w:pPr>
              <w:spacing w:line="240" w:lineRule="auto"/>
            </w:pPr>
            <w:r>
              <w:t xml:space="preserve">Fatality </w:t>
            </w:r>
          </w:p>
        </w:tc>
        <w:tc>
          <w:tcPr>
            <w:tcW w:w="2471" w:type="dxa"/>
            <w:vAlign w:val="center"/>
          </w:tcPr>
          <w:p w14:paraId="485D0C42" w14:textId="77777777" w:rsidR="0093640C" w:rsidRDefault="000F5B51" w:rsidP="0093640C">
            <w:pPr>
              <w:spacing w:line="240" w:lineRule="auto"/>
              <w:jc w:val="center"/>
            </w:pPr>
            <w:r>
              <w:rPr>
                <w:color w:val="000000"/>
              </w:rPr>
              <w:t>4</w:t>
            </w:r>
          </w:p>
        </w:tc>
        <w:tc>
          <w:tcPr>
            <w:tcW w:w="2613" w:type="dxa"/>
            <w:vAlign w:val="center"/>
          </w:tcPr>
          <w:p w14:paraId="34AC14E0" w14:textId="77777777" w:rsidR="0093640C" w:rsidRDefault="000F5B51" w:rsidP="0093640C">
            <w:pPr>
              <w:spacing w:line="240" w:lineRule="auto"/>
              <w:jc w:val="center"/>
            </w:pPr>
            <w:r>
              <w:rPr>
                <w:color w:val="000000"/>
              </w:rPr>
              <w:t>3</w:t>
            </w:r>
          </w:p>
        </w:tc>
        <w:tc>
          <w:tcPr>
            <w:tcW w:w="2332" w:type="dxa"/>
            <w:vAlign w:val="center"/>
          </w:tcPr>
          <w:p w14:paraId="48A99823" w14:textId="77777777" w:rsidR="0093640C" w:rsidRPr="00C20886" w:rsidRDefault="000F5B51" w:rsidP="0093640C">
            <w:pPr>
              <w:spacing w:line="240" w:lineRule="auto"/>
              <w:jc w:val="center"/>
              <w:rPr>
                <w:b/>
              </w:rPr>
            </w:pPr>
            <w:r>
              <w:rPr>
                <w:color w:val="000000"/>
              </w:rPr>
              <w:t>7</w:t>
            </w:r>
          </w:p>
        </w:tc>
      </w:tr>
    </w:tbl>
    <w:p w14:paraId="3CCDB091" w14:textId="77777777" w:rsidR="00496220" w:rsidRDefault="000F5B51" w:rsidP="009C38F5">
      <w:pPr>
        <w:rPr>
          <w:rFonts w:eastAsia="Times New Roman" w:cs="Times New Roman"/>
          <w:sz w:val="18"/>
          <w:szCs w:val="18"/>
        </w:rPr>
      </w:pPr>
      <w:r>
        <w:rPr>
          <w:rFonts w:eastAsia="Times New Roman" w:cs="Times New Roman"/>
          <w:sz w:val="18"/>
          <w:szCs w:val="18"/>
        </w:rPr>
        <w:t>Note: Values may not sum due to rounding. Totals are rounded to the nearest whole number for presentation purposes</w:t>
      </w:r>
      <w:r w:rsidR="00496220">
        <w:rPr>
          <w:rFonts w:eastAsia="Times New Roman" w:cs="Times New Roman"/>
          <w:sz w:val="18"/>
          <w:szCs w:val="18"/>
        </w:rPr>
        <w:t>.</w:t>
      </w:r>
    </w:p>
    <w:p w14:paraId="58E52139" w14:textId="3774C274" w:rsidR="009C38F5" w:rsidRDefault="000F5B51" w:rsidP="009C38F5">
      <w:r>
        <w:rPr>
          <w:rFonts w:eastAsia="Times New Roman" w:cs="Times New Roman"/>
          <w:szCs w:val="24"/>
        </w:rPr>
        <w:fldChar w:fldCharType="begin"/>
      </w:r>
      <w:r>
        <w:rPr>
          <w:rFonts w:eastAsia="Times New Roman" w:cs="Times New Roman"/>
          <w:szCs w:val="24"/>
        </w:rPr>
        <w:instrText xml:space="preserve"> REF _Ref126225732 \h </w:instrText>
      </w:r>
      <w:r>
        <w:rPr>
          <w:rFonts w:eastAsia="Times New Roman" w:cs="Times New Roman"/>
          <w:szCs w:val="24"/>
        </w:rPr>
      </w:r>
      <w:r>
        <w:rPr>
          <w:rFonts w:eastAsia="Times New Roman" w:cs="Times New Roman"/>
          <w:szCs w:val="24"/>
        </w:rPr>
        <w:fldChar w:fldCharType="separate"/>
      </w:r>
      <w:r w:rsidR="00A65CB3">
        <w:t xml:space="preserve">Table </w:t>
      </w:r>
      <w:r w:rsidR="00A65CB3">
        <w:rPr>
          <w:noProof/>
        </w:rPr>
        <w:t>59</w:t>
      </w:r>
      <w:r>
        <w:rPr>
          <w:rFonts w:eastAsia="Times New Roman" w:cs="Times New Roman"/>
          <w:szCs w:val="24"/>
        </w:rPr>
        <w:fldChar w:fldCharType="end"/>
      </w:r>
      <w:r>
        <w:rPr>
          <w:rFonts w:eastAsia="Times New Roman" w:cs="Times New Roman"/>
          <w:szCs w:val="24"/>
        </w:rPr>
        <w:t xml:space="preserve"> </w:t>
      </w:r>
      <w:r>
        <w:t>presents a summary of the incremental benefits for front seat occupants associated with the proposed rule</w:t>
      </w:r>
      <w:r w:rsidR="001F2F92">
        <w:t xml:space="preserve">. </w:t>
      </w:r>
      <w:r w:rsidR="00725F27" w:rsidRPr="00D428F2">
        <w:t xml:space="preserve">As a result of the proposed rule, a total of 77 fatalities and </w:t>
      </w:r>
      <w:r w:rsidR="000F044E" w:rsidRPr="00A57826">
        <w:t>211</w:t>
      </w:r>
      <w:r w:rsidR="00725F27" w:rsidRPr="000F044E">
        <w:t xml:space="preserve"> non-fatal injuries would be prevented annually</w:t>
      </w:r>
      <w:r w:rsidR="001F2F92" w:rsidRPr="000F044E">
        <w:t xml:space="preserve">. </w:t>
      </w:r>
      <w:r w:rsidR="006401F8" w:rsidRPr="000F044E">
        <w:t>These totals are inclusive of both drivers and right front seat passengers as well as both passenger cars and LTVs.</w:t>
      </w:r>
    </w:p>
    <w:p w14:paraId="7F823FDB" w14:textId="77777777" w:rsidR="00496220" w:rsidRDefault="00496220" w:rsidP="009C38F5"/>
    <w:p w14:paraId="69385DF3" w14:textId="0268F479" w:rsidR="009C38F5" w:rsidRDefault="000F5B51" w:rsidP="00460C7F">
      <w:pPr>
        <w:pStyle w:val="Caption"/>
      </w:pPr>
      <w:bookmarkStart w:id="920" w:name="_Ref126225732"/>
      <w:r>
        <w:lastRenderedPageBreak/>
        <w:t xml:space="preserve">Table </w:t>
      </w:r>
      <w:r w:rsidR="00115BAB">
        <w:fldChar w:fldCharType="begin"/>
      </w:r>
      <w:r>
        <w:instrText xml:space="preserve"> SEQ Table \* ARABIC </w:instrText>
      </w:r>
      <w:r w:rsidR="00115BAB">
        <w:fldChar w:fldCharType="separate"/>
      </w:r>
      <w:r w:rsidR="00A65CB3">
        <w:rPr>
          <w:noProof/>
        </w:rPr>
        <w:t>59</w:t>
      </w:r>
      <w:r w:rsidR="00115BAB">
        <w:rPr>
          <w:noProof/>
        </w:rPr>
        <w:fldChar w:fldCharType="end"/>
      </w:r>
      <w:bookmarkEnd w:id="920"/>
      <w:r>
        <w:t>: Summary of Incremental Benefits for Front Seat Occupants</w:t>
      </w:r>
    </w:p>
    <w:tbl>
      <w:tblPr>
        <w:tblW w:w="6720" w:type="dxa"/>
        <w:jc w:val="center"/>
        <w:tblLook w:val="04A0" w:firstRow="1" w:lastRow="0" w:firstColumn="1" w:lastColumn="0" w:noHBand="0" w:noVBand="1"/>
      </w:tblPr>
      <w:tblGrid>
        <w:gridCol w:w="1645"/>
        <w:gridCol w:w="1655"/>
        <w:gridCol w:w="1790"/>
        <w:gridCol w:w="1630"/>
      </w:tblGrid>
      <w:tr w:rsidR="00A15C2C" w14:paraId="4891799A" w14:textId="77777777" w:rsidTr="00DC3B15">
        <w:trPr>
          <w:trHeight w:val="310"/>
          <w:jc w:val="center"/>
        </w:trPr>
        <w:tc>
          <w:tcPr>
            <w:tcW w:w="1645"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2790FBD" w14:textId="77777777" w:rsidR="00C06384" w:rsidRPr="00C06384" w:rsidRDefault="000F5B51" w:rsidP="00460C7F">
            <w:pPr>
              <w:spacing w:after="0" w:line="240" w:lineRule="auto"/>
              <w:jc w:val="center"/>
              <w:rPr>
                <w:rFonts w:eastAsia="Times New Roman" w:cs="Times New Roman"/>
                <w:b/>
                <w:bCs/>
                <w:color w:val="000000"/>
                <w:szCs w:val="24"/>
              </w:rPr>
            </w:pPr>
            <w:r w:rsidRPr="00C06384">
              <w:rPr>
                <w:rFonts w:eastAsia="Times New Roman" w:cs="Times New Roman"/>
                <w:b/>
                <w:bCs/>
                <w:color w:val="000000"/>
                <w:szCs w:val="24"/>
              </w:rPr>
              <w:t>Injury Severity</w:t>
            </w:r>
          </w:p>
        </w:tc>
        <w:tc>
          <w:tcPr>
            <w:tcW w:w="5075" w:type="dxa"/>
            <w:gridSpan w:val="3"/>
            <w:tcBorders>
              <w:top w:val="single" w:sz="8" w:space="0" w:color="auto"/>
              <w:left w:val="nil"/>
              <w:bottom w:val="single" w:sz="8" w:space="0" w:color="auto"/>
              <w:right w:val="single" w:sz="8" w:space="0" w:color="000000"/>
            </w:tcBorders>
            <w:shd w:val="clear" w:color="000000" w:fill="D9D9D9"/>
            <w:vAlign w:val="center"/>
            <w:hideMark/>
          </w:tcPr>
          <w:p w14:paraId="695DA50B" w14:textId="77777777" w:rsidR="00C06384" w:rsidRPr="00C06384" w:rsidRDefault="000F5B51" w:rsidP="00C06384">
            <w:pPr>
              <w:spacing w:after="0" w:line="240" w:lineRule="auto"/>
              <w:jc w:val="center"/>
              <w:rPr>
                <w:rFonts w:eastAsia="Times New Roman" w:cs="Times New Roman"/>
                <w:b/>
                <w:bCs/>
                <w:color w:val="000000"/>
                <w:szCs w:val="24"/>
              </w:rPr>
            </w:pPr>
            <w:r w:rsidRPr="00C06384">
              <w:rPr>
                <w:rFonts w:eastAsia="Times New Roman" w:cs="Times New Roman"/>
                <w:b/>
                <w:bCs/>
                <w:szCs w:val="24"/>
              </w:rPr>
              <w:t>Incremental Benefits</w:t>
            </w:r>
          </w:p>
        </w:tc>
      </w:tr>
      <w:tr w:rsidR="00A15C2C" w14:paraId="7912071E" w14:textId="77777777" w:rsidTr="004C5067">
        <w:trPr>
          <w:trHeight w:val="610"/>
          <w:jc w:val="center"/>
        </w:trPr>
        <w:tc>
          <w:tcPr>
            <w:tcW w:w="1645" w:type="dxa"/>
            <w:vMerge/>
            <w:tcBorders>
              <w:top w:val="single" w:sz="8" w:space="0" w:color="auto"/>
              <w:left w:val="single" w:sz="8" w:space="0" w:color="auto"/>
              <w:bottom w:val="single" w:sz="8" w:space="0" w:color="000000"/>
              <w:right w:val="single" w:sz="8" w:space="0" w:color="auto"/>
            </w:tcBorders>
            <w:vAlign w:val="center"/>
            <w:hideMark/>
          </w:tcPr>
          <w:p w14:paraId="0FF2E449" w14:textId="77777777" w:rsidR="00353619" w:rsidRPr="00C06384" w:rsidRDefault="00353619" w:rsidP="00460C7F">
            <w:pPr>
              <w:spacing w:after="0" w:line="240" w:lineRule="auto"/>
              <w:jc w:val="center"/>
              <w:rPr>
                <w:rFonts w:eastAsia="Times New Roman" w:cs="Times New Roman"/>
                <w:b/>
                <w:bCs/>
                <w:color w:val="000000"/>
                <w:szCs w:val="24"/>
              </w:rPr>
            </w:pPr>
          </w:p>
        </w:tc>
        <w:tc>
          <w:tcPr>
            <w:tcW w:w="1655" w:type="dxa"/>
            <w:tcBorders>
              <w:top w:val="nil"/>
              <w:left w:val="nil"/>
              <w:bottom w:val="single" w:sz="8" w:space="0" w:color="auto"/>
              <w:right w:val="single" w:sz="8" w:space="0" w:color="auto"/>
            </w:tcBorders>
            <w:shd w:val="clear" w:color="000000" w:fill="D9D9D9"/>
            <w:vAlign w:val="center"/>
          </w:tcPr>
          <w:p w14:paraId="742C881A" w14:textId="181A21EB" w:rsidR="00353619" w:rsidRPr="00C06384" w:rsidRDefault="00F5657F" w:rsidP="00353619">
            <w:pPr>
              <w:spacing w:after="0" w:line="240" w:lineRule="auto"/>
              <w:jc w:val="center"/>
              <w:rPr>
                <w:rFonts w:eastAsia="Times New Roman" w:cs="Times New Roman"/>
                <w:b/>
                <w:bCs/>
                <w:color w:val="000000"/>
                <w:szCs w:val="24"/>
              </w:rPr>
            </w:pPr>
            <w:r>
              <w:rPr>
                <w:rFonts w:eastAsia="Times New Roman" w:cs="Times New Roman"/>
                <w:b/>
                <w:bCs/>
                <w:szCs w:val="24"/>
              </w:rPr>
              <w:t>Drivers</w:t>
            </w:r>
          </w:p>
        </w:tc>
        <w:tc>
          <w:tcPr>
            <w:tcW w:w="1790" w:type="dxa"/>
            <w:tcBorders>
              <w:top w:val="nil"/>
              <w:left w:val="nil"/>
              <w:bottom w:val="single" w:sz="8" w:space="0" w:color="auto"/>
              <w:right w:val="single" w:sz="8" w:space="0" w:color="auto"/>
            </w:tcBorders>
            <w:shd w:val="clear" w:color="000000" w:fill="D9D9D9"/>
            <w:vAlign w:val="center"/>
          </w:tcPr>
          <w:p w14:paraId="6B6E4780" w14:textId="72820FD7" w:rsidR="00353619" w:rsidRPr="00C06384" w:rsidRDefault="00F5657F" w:rsidP="00353619">
            <w:pPr>
              <w:spacing w:after="0" w:line="240" w:lineRule="auto"/>
              <w:jc w:val="center"/>
              <w:rPr>
                <w:rFonts w:eastAsia="Times New Roman" w:cs="Times New Roman"/>
                <w:b/>
                <w:bCs/>
                <w:color w:val="000000"/>
                <w:szCs w:val="24"/>
              </w:rPr>
            </w:pPr>
            <w:r>
              <w:rPr>
                <w:b/>
                <w:bCs/>
              </w:rPr>
              <w:t>Right Front Seat</w:t>
            </w:r>
          </w:p>
        </w:tc>
        <w:tc>
          <w:tcPr>
            <w:tcW w:w="1630" w:type="dxa"/>
            <w:tcBorders>
              <w:top w:val="nil"/>
              <w:left w:val="nil"/>
              <w:bottom w:val="single" w:sz="8" w:space="0" w:color="auto"/>
              <w:right w:val="single" w:sz="8" w:space="0" w:color="auto"/>
            </w:tcBorders>
            <w:shd w:val="clear" w:color="000000" w:fill="D9D9D9"/>
            <w:vAlign w:val="center"/>
            <w:hideMark/>
          </w:tcPr>
          <w:p w14:paraId="00B9F5A9" w14:textId="77777777" w:rsidR="00353619" w:rsidRPr="00C06384" w:rsidRDefault="000F5B51" w:rsidP="00353619">
            <w:pPr>
              <w:spacing w:after="0" w:line="240" w:lineRule="auto"/>
              <w:jc w:val="center"/>
              <w:rPr>
                <w:rFonts w:eastAsia="Times New Roman" w:cs="Times New Roman"/>
                <w:b/>
                <w:bCs/>
                <w:color w:val="000000"/>
                <w:szCs w:val="24"/>
              </w:rPr>
            </w:pPr>
            <w:r w:rsidRPr="00C06384">
              <w:rPr>
                <w:rFonts w:eastAsia="Times New Roman" w:cs="Times New Roman"/>
                <w:b/>
                <w:bCs/>
                <w:szCs w:val="24"/>
              </w:rPr>
              <w:t>Total</w:t>
            </w:r>
          </w:p>
        </w:tc>
      </w:tr>
      <w:tr w:rsidR="00DC3B15" w14:paraId="5150A49D" w14:textId="77777777" w:rsidTr="00DC3B15">
        <w:trPr>
          <w:trHeight w:val="320"/>
          <w:jc w:val="center"/>
        </w:trPr>
        <w:tc>
          <w:tcPr>
            <w:tcW w:w="1645" w:type="dxa"/>
            <w:tcBorders>
              <w:top w:val="nil"/>
              <w:left w:val="single" w:sz="8" w:space="0" w:color="auto"/>
              <w:bottom w:val="single" w:sz="8" w:space="0" w:color="auto"/>
              <w:right w:val="single" w:sz="8" w:space="0" w:color="auto"/>
            </w:tcBorders>
            <w:shd w:val="clear" w:color="auto" w:fill="auto"/>
            <w:vAlign w:val="center"/>
            <w:hideMark/>
          </w:tcPr>
          <w:p w14:paraId="43A808FA" w14:textId="77777777" w:rsidR="00DC3B15" w:rsidRPr="00C06384" w:rsidRDefault="00DC3B15" w:rsidP="00DC3B15">
            <w:pPr>
              <w:spacing w:after="0" w:line="240" w:lineRule="auto"/>
              <w:rPr>
                <w:rFonts w:eastAsia="Times New Roman" w:cs="Times New Roman"/>
                <w:color w:val="000000"/>
                <w:szCs w:val="24"/>
              </w:rPr>
            </w:pPr>
            <w:r w:rsidRPr="00C06384">
              <w:rPr>
                <w:rFonts w:eastAsia="Times New Roman" w:cs="Times New Roman"/>
                <w:color w:val="000000"/>
                <w:szCs w:val="24"/>
              </w:rPr>
              <w:t>MAIS 1</w:t>
            </w:r>
          </w:p>
        </w:tc>
        <w:tc>
          <w:tcPr>
            <w:tcW w:w="1655" w:type="dxa"/>
            <w:tcBorders>
              <w:top w:val="nil"/>
              <w:left w:val="nil"/>
              <w:bottom w:val="single" w:sz="8" w:space="0" w:color="auto"/>
              <w:right w:val="single" w:sz="8" w:space="0" w:color="auto"/>
            </w:tcBorders>
            <w:shd w:val="clear" w:color="auto" w:fill="auto"/>
            <w:vAlign w:val="center"/>
          </w:tcPr>
          <w:p w14:paraId="206D4699" w14:textId="02A6A145" w:rsidR="00DC3B15" w:rsidRPr="00C06384" w:rsidRDefault="00DC3B15" w:rsidP="00DC3B15">
            <w:pPr>
              <w:spacing w:after="0" w:line="240" w:lineRule="auto"/>
              <w:jc w:val="center"/>
              <w:rPr>
                <w:rFonts w:eastAsia="Times New Roman" w:cs="Times New Roman"/>
                <w:color w:val="000000"/>
                <w:szCs w:val="24"/>
              </w:rPr>
            </w:pPr>
            <w:r>
              <w:rPr>
                <w:rFonts w:eastAsia="Times New Roman" w:cs="Times New Roman"/>
                <w:color w:val="000000"/>
                <w:szCs w:val="24"/>
              </w:rPr>
              <w:t>21</w:t>
            </w:r>
          </w:p>
        </w:tc>
        <w:tc>
          <w:tcPr>
            <w:tcW w:w="1790" w:type="dxa"/>
            <w:tcBorders>
              <w:top w:val="nil"/>
              <w:left w:val="nil"/>
              <w:bottom w:val="single" w:sz="8" w:space="0" w:color="auto"/>
              <w:right w:val="single" w:sz="8" w:space="0" w:color="auto"/>
            </w:tcBorders>
            <w:shd w:val="clear" w:color="auto" w:fill="auto"/>
            <w:vAlign w:val="center"/>
          </w:tcPr>
          <w:p w14:paraId="1B3A2504" w14:textId="4D8598C6" w:rsidR="00DC3B15" w:rsidRPr="00C06384" w:rsidRDefault="00DC3B15" w:rsidP="00DC3B15">
            <w:pPr>
              <w:spacing w:after="0" w:line="240" w:lineRule="auto"/>
              <w:jc w:val="center"/>
              <w:rPr>
                <w:rFonts w:eastAsia="Times New Roman" w:cs="Times New Roman"/>
                <w:color w:val="000000"/>
                <w:szCs w:val="24"/>
              </w:rPr>
            </w:pPr>
            <w:r w:rsidRPr="00733891">
              <w:rPr>
                <w:rFonts w:cs="Times New Roman"/>
                <w:color w:val="000000"/>
                <w:szCs w:val="24"/>
              </w:rPr>
              <w:t>4</w:t>
            </w:r>
          </w:p>
        </w:tc>
        <w:tc>
          <w:tcPr>
            <w:tcW w:w="1630" w:type="dxa"/>
            <w:tcBorders>
              <w:top w:val="nil"/>
              <w:left w:val="nil"/>
              <w:bottom w:val="single" w:sz="8" w:space="0" w:color="auto"/>
              <w:right w:val="single" w:sz="8" w:space="0" w:color="auto"/>
            </w:tcBorders>
            <w:shd w:val="clear" w:color="auto" w:fill="auto"/>
            <w:vAlign w:val="center"/>
          </w:tcPr>
          <w:p w14:paraId="20AABE3B" w14:textId="1942D36E" w:rsidR="00DC3B15" w:rsidRPr="00C06384" w:rsidRDefault="00DC3B15" w:rsidP="00DC3B15">
            <w:pPr>
              <w:spacing w:after="0" w:line="240" w:lineRule="auto"/>
              <w:jc w:val="center"/>
              <w:rPr>
                <w:rFonts w:eastAsia="Times New Roman" w:cs="Times New Roman"/>
                <w:color w:val="000000"/>
                <w:szCs w:val="24"/>
              </w:rPr>
            </w:pPr>
            <w:r w:rsidRPr="007557F6">
              <w:t>24</w:t>
            </w:r>
          </w:p>
        </w:tc>
      </w:tr>
      <w:tr w:rsidR="00DC3B15" w14:paraId="57C9F51B" w14:textId="77777777" w:rsidTr="00DC3B15">
        <w:trPr>
          <w:trHeight w:val="320"/>
          <w:jc w:val="center"/>
        </w:trPr>
        <w:tc>
          <w:tcPr>
            <w:tcW w:w="1645" w:type="dxa"/>
            <w:tcBorders>
              <w:top w:val="nil"/>
              <w:left w:val="single" w:sz="8" w:space="0" w:color="auto"/>
              <w:bottom w:val="single" w:sz="8" w:space="0" w:color="auto"/>
              <w:right w:val="single" w:sz="8" w:space="0" w:color="auto"/>
            </w:tcBorders>
            <w:shd w:val="clear" w:color="auto" w:fill="auto"/>
            <w:vAlign w:val="center"/>
            <w:hideMark/>
          </w:tcPr>
          <w:p w14:paraId="1DC80A4E" w14:textId="77777777" w:rsidR="00DC3B15" w:rsidRPr="00C06384" w:rsidRDefault="00DC3B15" w:rsidP="00DC3B15">
            <w:pPr>
              <w:spacing w:after="0" w:line="240" w:lineRule="auto"/>
              <w:rPr>
                <w:rFonts w:eastAsia="Times New Roman" w:cs="Times New Roman"/>
                <w:color w:val="000000"/>
                <w:szCs w:val="24"/>
              </w:rPr>
            </w:pPr>
            <w:r w:rsidRPr="00C06384">
              <w:rPr>
                <w:rFonts w:eastAsia="Times New Roman" w:cs="Times New Roman"/>
                <w:color w:val="000000"/>
                <w:szCs w:val="24"/>
              </w:rPr>
              <w:t>MAIS 2</w:t>
            </w:r>
          </w:p>
        </w:tc>
        <w:tc>
          <w:tcPr>
            <w:tcW w:w="1655" w:type="dxa"/>
            <w:tcBorders>
              <w:top w:val="nil"/>
              <w:left w:val="nil"/>
              <w:bottom w:val="single" w:sz="8" w:space="0" w:color="auto"/>
              <w:right w:val="single" w:sz="8" w:space="0" w:color="auto"/>
            </w:tcBorders>
            <w:shd w:val="clear" w:color="auto" w:fill="auto"/>
            <w:vAlign w:val="center"/>
          </w:tcPr>
          <w:p w14:paraId="1E402210" w14:textId="33B5D1DE" w:rsidR="00DC3B15" w:rsidRPr="00C06384" w:rsidRDefault="00DC3B15" w:rsidP="00DC3B15">
            <w:pPr>
              <w:spacing w:after="0" w:line="240" w:lineRule="auto"/>
              <w:jc w:val="center"/>
              <w:rPr>
                <w:rFonts w:eastAsia="Times New Roman" w:cs="Times New Roman"/>
                <w:color w:val="000000"/>
                <w:szCs w:val="24"/>
              </w:rPr>
            </w:pPr>
            <w:r>
              <w:rPr>
                <w:rFonts w:eastAsia="Times New Roman" w:cs="Times New Roman"/>
                <w:color w:val="000000"/>
                <w:szCs w:val="24"/>
              </w:rPr>
              <w:t>120</w:t>
            </w:r>
          </w:p>
        </w:tc>
        <w:tc>
          <w:tcPr>
            <w:tcW w:w="1790" w:type="dxa"/>
            <w:tcBorders>
              <w:top w:val="nil"/>
              <w:left w:val="nil"/>
              <w:bottom w:val="single" w:sz="8" w:space="0" w:color="auto"/>
              <w:right w:val="single" w:sz="8" w:space="0" w:color="auto"/>
            </w:tcBorders>
            <w:shd w:val="clear" w:color="auto" w:fill="auto"/>
            <w:vAlign w:val="center"/>
          </w:tcPr>
          <w:p w14:paraId="1D677D7B" w14:textId="6141003F" w:rsidR="00DC3B15" w:rsidRPr="00C06384" w:rsidRDefault="00DC3B15" w:rsidP="00DC3B15">
            <w:pPr>
              <w:spacing w:after="0" w:line="240" w:lineRule="auto"/>
              <w:jc w:val="center"/>
              <w:rPr>
                <w:rFonts w:eastAsia="Times New Roman" w:cs="Times New Roman"/>
                <w:color w:val="000000"/>
                <w:szCs w:val="24"/>
              </w:rPr>
            </w:pPr>
            <w:r w:rsidRPr="00733891">
              <w:rPr>
                <w:rFonts w:cs="Times New Roman"/>
                <w:color w:val="000000"/>
                <w:szCs w:val="24"/>
              </w:rPr>
              <w:t>20</w:t>
            </w:r>
          </w:p>
        </w:tc>
        <w:tc>
          <w:tcPr>
            <w:tcW w:w="1630" w:type="dxa"/>
            <w:tcBorders>
              <w:top w:val="nil"/>
              <w:left w:val="nil"/>
              <w:bottom w:val="single" w:sz="8" w:space="0" w:color="auto"/>
              <w:right w:val="single" w:sz="8" w:space="0" w:color="auto"/>
            </w:tcBorders>
            <w:shd w:val="clear" w:color="auto" w:fill="auto"/>
            <w:vAlign w:val="center"/>
          </w:tcPr>
          <w:p w14:paraId="26459DF8" w14:textId="15B35F7C" w:rsidR="00DC3B15" w:rsidRPr="00C06384" w:rsidRDefault="00DC3B15" w:rsidP="00DC3B15">
            <w:pPr>
              <w:spacing w:after="0" w:line="240" w:lineRule="auto"/>
              <w:jc w:val="center"/>
              <w:rPr>
                <w:rFonts w:eastAsia="Times New Roman" w:cs="Times New Roman"/>
                <w:color w:val="000000"/>
                <w:szCs w:val="24"/>
              </w:rPr>
            </w:pPr>
            <w:r w:rsidRPr="007557F6">
              <w:t>140</w:t>
            </w:r>
          </w:p>
        </w:tc>
      </w:tr>
      <w:tr w:rsidR="00DC3B15" w14:paraId="7D9ABFE8" w14:textId="77777777" w:rsidTr="00DC3B15">
        <w:trPr>
          <w:trHeight w:val="320"/>
          <w:jc w:val="center"/>
        </w:trPr>
        <w:tc>
          <w:tcPr>
            <w:tcW w:w="1645" w:type="dxa"/>
            <w:tcBorders>
              <w:top w:val="nil"/>
              <w:left w:val="single" w:sz="8" w:space="0" w:color="auto"/>
              <w:bottom w:val="single" w:sz="8" w:space="0" w:color="auto"/>
              <w:right w:val="single" w:sz="8" w:space="0" w:color="auto"/>
            </w:tcBorders>
            <w:shd w:val="clear" w:color="auto" w:fill="auto"/>
            <w:vAlign w:val="center"/>
            <w:hideMark/>
          </w:tcPr>
          <w:p w14:paraId="79CCE79E" w14:textId="77777777" w:rsidR="00DC3B15" w:rsidRPr="00C06384" w:rsidRDefault="00DC3B15" w:rsidP="00DC3B15">
            <w:pPr>
              <w:spacing w:after="0" w:line="240" w:lineRule="auto"/>
              <w:rPr>
                <w:rFonts w:eastAsia="Times New Roman" w:cs="Times New Roman"/>
                <w:color w:val="000000"/>
                <w:szCs w:val="24"/>
              </w:rPr>
            </w:pPr>
            <w:r w:rsidRPr="00C06384">
              <w:rPr>
                <w:rFonts w:eastAsia="Times New Roman" w:cs="Times New Roman"/>
                <w:color w:val="000000"/>
                <w:szCs w:val="24"/>
              </w:rPr>
              <w:t>MAIS 3</w:t>
            </w:r>
          </w:p>
        </w:tc>
        <w:tc>
          <w:tcPr>
            <w:tcW w:w="1655" w:type="dxa"/>
            <w:tcBorders>
              <w:top w:val="nil"/>
              <w:left w:val="nil"/>
              <w:bottom w:val="single" w:sz="8" w:space="0" w:color="auto"/>
              <w:right w:val="single" w:sz="8" w:space="0" w:color="auto"/>
            </w:tcBorders>
            <w:shd w:val="clear" w:color="auto" w:fill="auto"/>
            <w:vAlign w:val="center"/>
          </w:tcPr>
          <w:p w14:paraId="44DE9E4C" w14:textId="1D62CF6C" w:rsidR="00DC3B15" w:rsidRPr="00C06384" w:rsidRDefault="00DC3B15" w:rsidP="00DC3B15">
            <w:pPr>
              <w:spacing w:after="0" w:line="240" w:lineRule="auto"/>
              <w:jc w:val="center"/>
              <w:rPr>
                <w:rFonts w:eastAsia="Times New Roman" w:cs="Times New Roman"/>
                <w:color w:val="000000"/>
                <w:szCs w:val="24"/>
              </w:rPr>
            </w:pPr>
            <w:r>
              <w:rPr>
                <w:rFonts w:eastAsia="Times New Roman" w:cs="Times New Roman"/>
                <w:color w:val="000000"/>
                <w:szCs w:val="24"/>
              </w:rPr>
              <w:t>22</w:t>
            </w:r>
          </w:p>
        </w:tc>
        <w:tc>
          <w:tcPr>
            <w:tcW w:w="1790" w:type="dxa"/>
            <w:tcBorders>
              <w:top w:val="nil"/>
              <w:left w:val="nil"/>
              <w:bottom w:val="single" w:sz="8" w:space="0" w:color="auto"/>
              <w:right w:val="single" w:sz="8" w:space="0" w:color="auto"/>
            </w:tcBorders>
            <w:shd w:val="clear" w:color="auto" w:fill="auto"/>
            <w:vAlign w:val="center"/>
          </w:tcPr>
          <w:p w14:paraId="2B6B93DD" w14:textId="72BC1EA0" w:rsidR="00DC3B15" w:rsidRPr="00C06384" w:rsidRDefault="00DC3B15" w:rsidP="00DC3B15">
            <w:pPr>
              <w:spacing w:after="0" w:line="240" w:lineRule="auto"/>
              <w:jc w:val="center"/>
              <w:rPr>
                <w:rFonts w:eastAsia="Times New Roman" w:cs="Times New Roman"/>
                <w:color w:val="000000"/>
                <w:szCs w:val="24"/>
              </w:rPr>
            </w:pPr>
            <w:r w:rsidRPr="00733891">
              <w:rPr>
                <w:rFonts w:cs="Times New Roman"/>
                <w:color w:val="000000"/>
                <w:szCs w:val="24"/>
              </w:rPr>
              <w:t>4</w:t>
            </w:r>
          </w:p>
        </w:tc>
        <w:tc>
          <w:tcPr>
            <w:tcW w:w="1630" w:type="dxa"/>
            <w:tcBorders>
              <w:top w:val="nil"/>
              <w:left w:val="nil"/>
              <w:bottom w:val="single" w:sz="8" w:space="0" w:color="auto"/>
              <w:right w:val="single" w:sz="8" w:space="0" w:color="auto"/>
            </w:tcBorders>
            <w:shd w:val="clear" w:color="auto" w:fill="auto"/>
            <w:vAlign w:val="center"/>
          </w:tcPr>
          <w:p w14:paraId="59145F59" w14:textId="35EFC966" w:rsidR="00DC3B15" w:rsidRPr="00C06384" w:rsidRDefault="00DC3B15" w:rsidP="00DC3B15">
            <w:pPr>
              <w:spacing w:after="0" w:line="240" w:lineRule="auto"/>
              <w:jc w:val="center"/>
              <w:rPr>
                <w:rFonts w:eastAsia="Times New Roman" w:cs="Times New Roman"/>
                <w:color w:val="000000"/>
                <w:szCs w:val="24"/>
              </w:rPr>
            </w:pPr>
            <w:r w:rsidRPr="007557F6">
              <w:t>25</w:t>
            </w:r>
          </w:p>
        </w:tc>
      </w:tr>
      <w:tr w:rsidR="00DC3B15" w14:paraId="48FE5293" w14:textId="77777777" w:rsidTr="00DC3B15">
        <w:trPr>
          <w:trHeight w:val="320"/>
          <w:jc w:val="center"/>
        </w:trPr>
        <w:tc>
          <w:tcPr>
            <w:tcW w:w="1645" w:type="dxa"/>
            <w:tcBorders>
              <w:top w:val="nil"/>
              <w:left w:val="single" w:sz="8" w:space="0" w:color="auto"/>
              <w:bottom w:val="single" w:sz="8" w:space="0" w:color="auto"/>
              <w:right w:val="single" w:sz="8" w:space="0" w:color="auto"/>
            </w:tcBorders>
            <w:shd w:val="clear" w:color="auto" w:fill="auto"/>
            <w:vAlign w:val="center"/>
            <w:hideMark/>
          </w:tcPr>
          <w:p w14:paraId="34C11AAC" w14:textId="77777777" w:rsidR="00DC3B15" w:rsidRPr="00C06384" w:rsidRDefault="00DC3B15" w:rsidP="00DC3B15">
            <w:pPr>
              <w:spacing w:after="0" w:line="240" w:lineRule="auto"/>
              <w:rPr>
                <w:rFonts w:eastAsia="Times New Roman" w:cs="Times New Roman"/>
                <w:color w:val="000000"/>
                <w:szCs w:val="24"/>
              </w:rPr>
            </w:pPr>
            <w:r w:rsidRPr="00C06384">
              <w:rPr>
                <w:rFonts w:eastAsia="Times New Roman" w:cs="Times New Roman"/>
                <w:color w:val="000000"/>
                <w:szCs w:val="24"/>
              </w:rPr>
              <w:t>MAIS 4</w:t>
            </w:r>
          </w:p>
        </w:tc>
        <w:tc>
          <w:tcPr>
            <w:tcW w:w="1655" w:type="dxa"/>
            <w:tcBorders>
              <w:top w:val="nil"/>
              <w:left w:val="nil"/>
              <w:bottom w:val="single" w:sz="8" w:space="0" w:color="auto"/>
              <w:right w:val="single" w:sz="8" w:space="0" w:color="auto"/>
            </w:tcBorders>
            <w:shd w:val="clear" w:color="auto" w:fill="auto"/>
            <w:vAlign w:val="center"/>
          </w:tcPr>
          <w:p w14:paraId="6F2907D5" w14:textId="4B0E2FD6" w:rsidR="00DC3B15" w:rsidRPr="00C06384" w:rsidRDefault="00DC3B15" w:rsidP="00DC3B15">
            <w:pPr>
              <w:spacing w:after="0" w:line="240" w:lineRule="auto"/>
              <w:jc w:val="center"/>
              <w:rPr>
                <w:rFonts w:eastAsia="Times New Roman" w:cs="Times New Roman"/>
                <w:color w:val="000000"/>
                <w:szCs w:val="24"/>
              </w:rPr>
            </w:pPr>
            <w:r>
              <w:rPr>
                <w:rFonts w:eastAsia="Times New Roman" w:cs="Times New Roman"/>
                <w:color w:val="000000"/>
                <w:szCs w:val="24"/>
              </w:rPr>
              <w:t>17</w:t>
            </w:r>
          </w:p>
        </w:tc>
        <w:tc>
          <w:tcPr>
            <w:tcW w:w="1790" w:type="dxa"/>
            <w:tcBorders>
              <w:top w:val="nil"/>
              <w:left w:val="nil"/>
              <w:bottom w:val="single" w:sz="8" w:space="0" w:color="auto"/>
              <w:right w:val="single" w:sz="8" w:space="0" w:color="auto"/>
            </w:tcBorders>
            <w:shd w:val="clear" w:color="auto" w:fill="auto"/>
            <w:vAlign w:val="center"/>
          </w:tcPr>
          <w:p w14:paraId="141E5DEF" w14:textId="7A4E0027" w:rsidR="00DC3B15" w:rsidRPr="00C06384" w:rsidRDefault="00DC3B15" w:rsidP="00DC3B15">
            <w:pPr>
              <w:spacing w:after="0" w:line="240" w:lineRule="auto"/>
              <w:jc w:val="center"/>
              <w:rPr>
                <w:rFonts w:eastAsia="Times New Roman" w:cs="Times New Roman"/>
                <w:color w:val="000000"/>
                <w:szCs w:val="24"/>
              </w:rPr>
            </w:pPr>
            <w:r w:rsidRPr="00733891">
              <w:rPr>
                <w:rFonts w:cs="Times New Roman"/>
                <w:color w:val="000000"/>
                <w:szCs w:val="24"/>
              </w:rPr>
              <w:t>3</w:t>
            </w:r>
          </w:p>
        </w:tc>
        <w:tc>
          <w:tcPr>
            <w:tcW w:w="1630" w:type="dxa"/>
            <w:tcBorders>
              <w:top w:val="nil"/>
              <w:left w:val="nil"/>
              <w:bottom w:val="single" w:sz="8" w:space="0" w:color="auto"/>
              <w:right w:val="single" w:sz="8" w:space="0" w:color="auto"/>
            </w:tcBorders>
            <w:shd w:val="clear" w:color="auto" w:fill="auto"/>
            <w:vAlign w:val="center"/>
          </w:tcPr>
          <w:p w14:paraId="6C064E7F" w14:textId="1D68C916" w:rsidR="00DC3B15" w:rsidRPr="00C06384" w:rsidRDefault="00DC3B15" w:rsidP="00DC3B15">
            <w:pPr>
              <w:spacing w:after="0" w:line="240" w:lineRule="auto"/>
              <w:jc w:val="center"/>
              <w:rPr>
                <w:rFonts w:eastAsia="Times New Roman" w:cs="Times New Roman"/>
                <w:color w:val="000000"/>
                <w:szCs w:val="24"/>
              </w:rPr>
            </w:pPr>
            <w:r w:rsidRPr="007557F6">
              <w:t>20</w:t>
            </w:r>
          </w:p>
        </w:tc>
      </w:tr>
      <w:tr w:rsidR="00DC3B15" w14:paraId="1ACDD5FA" w14:textId="77777777" w:rsidTr="00DC3B15">
        <w:trPr>
          <w:trHeight w:val="320"/>
          <w:jc w:val="center"/>
        </w:trPr>
        <w:tc>
          <w:tcPr>
            <w:tcW w:w="1645" w:type="dxa"/>
            <w:tcBorders>
              <w:top w:val="nil"/>
              <w:left w:val="single" w:sz="8" w:space="0" w:color="auto"/>
              <w:bottom w:val="single" w:sz="8" w:space="0" w:color="auto"/>
              <w:right w:val="single" w:sz="8" w:space="0" w:color="auto"/>
            </w:tcBorders>
            <w:shd w:val="clear" w:color="auto" w:fill="auto"/>
            <w:vAlign w:val="center"/>
            <w:hideMark/>
          </w:tcPr>
          <w:p w14:paraId="5FB2B5BB" w14:textId="77777777" w:rsidR="00DC3B15" w:rsidRPr="00C06384" w:rsidRDefault="00DC3B15" w:rsidP="00DC3B15">
            <w:pPr>
              <w:spacing w:after="0" w:line="240" w:lineRule="auto"/>
              <w:rPr>
                <w:rFonts w:eastAsia="Times New Roman" w:cs="Times New Roman"/>
                <w:color w:val="000000"/>
                <w:szCs w:val="24"/>
              </w:rPr>
            </w:pPr>
            <w:r w:rsidRPr="00C06384">
              <w:rPr>
                <w:rFonts w:eastAsia="Times New Roman" w:cs="Times New Roman"/>
                <w:color w:val="000000"/>
                <w:szCs w:val="24"/>
              </w:rPr>
              <w:t>MAIS 5</w:t>
            </w:r>
          </w:p>
        </w:tc>
        <w:tc>
          <w:tcPr>
            <w:tcW w:w="1655" w:type="dxa"/>
            <w:tcBorders>
              <w:top w:val="nil"/>
              <w:left w:val="nil"/>
              <w:bottom w:val="single" w:sz="8" w:space="0" w:color="auto"/>
              <w:right w:val="single" w:sz="8" w:space="0" w:color="auto"/>
            </w:tcBorders>
            <w:shd w:val="clear" w:color="auto" w:fill="auto"/>
            <w:vAlign w:val="center"/>
          </w:tcPr>
          <w:p w14:paraId="65F2A916" w14:textId="57F720A4" w:rsidR="00DC3B15" w:rsidRPr="00C06384" w:rsidRDefault="00DC3B15" w:rsidP="00DC3B15">
            <w:pPr>
              <w:spacing w:after="0" w:line="240" w:lineRule="auto"/>
              <w:jc w:val="center"/>
              <w:rPr>
                <w:rFonts w:eastAsia="Times New Roman" w:cs="Times New Roman"/>
                <w:color w:val="000000"/>
                <w:szCs w:val="24"/>
              </w:rPr>
            </w:pPr>
            <w:r>
              <w:rPr>
                <w:rFonts w:eastAsia="Times New Roman" w:cs="Times New Roman"/>
                <w:color w:val="000000"/>
                <w:szCs w:val="24"/>
              </w:rPr>
              <w:t>1</w:t>
            </w:r>
          </w:p>
        </w:tc>
        <w:tc>
          <w:tcPr>
            <w:tcW w:w="1790" w:type="dxa"/>
            <w:tcBorders>
              <w:top w:val="nil"/>
              <w:left w:val="nil"/>
              <w:bottom w:val="single" w:sz="8" w:space="0" w:color="auto"/>
              <w:right w:val="single" w:sz="8" w:space="0" w:color="auto"/>
            </w:tcBorders>
            <w:shd w:val="clear" w:color="auto" w:fill="auto"/>
            <w:vAlign w:val="center"/>
          </w:tcPr>
          <w:p w14:paraId="294DAF40" w14:textId="3EAC10A4" w:rsidR="00DC3B15" w:rsidRPr="00C06384" w:rsidRDefault="00DC3B15" w:rsidP="00DC3B15">
            <w:pPr>
              <w:spacing w:after="0" w:line="240" w:lineRule="auto"/>
              <w:jc w:val="center"/>
              <w:rPr>
                <w:rFonts w:eastAsia="Times New Roman" w:cs="Times New Roman"/>
                <w:color w:val="000000"/>
                <w:szCs w:val="24"/>
              </w:rPr>
            </w:pPr>
            <w:r w:rsidRPr="00733891">
              <w:rPr>
                <w:rFonts w:cs="Times New Roman"/>
                <w:color w:val="000000"/>
                <w:szCs w:val="24"/>
              </w:rPr>
              <w:t>0</w:t>
            </w:r>
          </w:p>
        </w:tc>
        <w:tc>
          <w:tcPr>
            <w:tcW w:w="1630" w:type="dxa"/>
            <w:tcBorders>
              <w:top w:val="nil"/>
              <w:left w:val="nil"/>
              <w:bottom w:val="single" w:sz="8" w:space="0" w:color="auto"/>
              <w:right w:val="single" w:sz="8" w:space="0" w:color="auto"/>
            </w:tcBorders>
            <w:shd w:val="clear" w:color="auto" w:fill="auto"/>
            <w:vAlign w:val="center"/>
          </w:tcPr>
          <w:p w14:paraId="2448E033" w14:textId="6A072DFB" w:rsidR="00DC3B15" w:rsidRPr="00C06384" w:rsidRDefault="00DC3B15" w:rsidP="00DC3B15">
            <w:pPr>
              <w:spacing w:after="0" w:line="240" w:lineRule="auto"/>
              <w:jc w:val="center"/>
              <w:rPr>
                <w:rFonts w:eastAsia="Times New Roman" w:cs="Times New Roman"/>
                <w:color w:val="000000"/>
                <w:szCs w:val="24"/>
              </w:rPr>
            </w:pPr>
            <w:r w:rsidRPr="007557F6">
              <w:t>1</w:t>
            </w:r>
          </w:p>
        </w:tc>
      </w:tr>
      <w:tr w:rsidR="008F411A" w14:paraId="32669495" w14:textId="77777777" w:rsidTr="00DC3B15">
        <w:trPr>
          <w:trHeight w:val="880"/>
          <w:jc w:val="center"/>
        </w:trPr>
        <w:tc>
          <w:tcPr>
            <w:tcW w:w="1645" w:type="dxa"/>
            <w:tcBorders>
              <w:top w:val="nil"/>
              <w:left w:val="single" w:sz="8" w:space="0" w:color="auto"/>
              <w:bottom w:val="single" w:sz="8" w:space="0" w:color="auto"/>
              <w:right w:val="single" w:sz="8" w:space="0" w:color="auto"/>
            </w:tcBorders>
            <w:shd w:val="clear" w:color="auto" w:fill="auto"/>
            <w:vAlign w:val="center"/>
            <w:hideMark/>
          </w:tcPr>
          <w:p w14:paraId="65969C4E" w14:textId="77777777" w:rsidR="008F411A" w:rsidRPr="00460C7F" w:rsidRDefault="008F411A" w:rsidP="008F411A">
            <w:pPr>
              <w:spacing w:after="0" w:line="240" w:lineRule="auto"/>
              <w:rPr>
                <w:rFonts w:eastAsia="Times New Roman" w:cs="Times New Roman"/>
                <w:color w:val="000000"/>
                <w:sz w:val="23"/>
                <w:szCs w:val="23"/>
              </w:rPr>
            </w:pPr>
            <w:r w:rsidRPr="00460C7F">
              <w:rPr>
                <w:rFonts w:eastAsia="Times New Roman" w:cs="Times New Roman"/>
                <w:color w:val="000000"/>
                <w:sz w:val="23"/>
                <w:szCs w:val="23"/>
              </w:rPr>
              <w:t>Non-Fatal Injuries (MAIS 1-5)</w:t>
            </w:r>
          </w:p>
        </w:tc>
        <w:tc>
          <w:tcPr>
            <w:tcW w:w="1655" w:type="dxa"/>
            <w:tcBorders>
              <w:top w:val="nil"/>
              <w:left w:val="nil"/>
              <w:bottom w:val="single" w:sz="8" w:space="0" w:color="auto"/>
              <w:right w:val="single" w:sz="8" w:space="0" w:color="auto"/>
            </w:tcBorders>
            <w:shd w:val="clear" w:color="auto" w:fill="auto"/>
            <w:vAlign w:val="center"/>
          </w:tcPr>
          <w:p w14:paraId="5DF736EC" w14:textId="307BDE2F" w:rsidR="008F411A" w:rsidRPr="00460C7F" w:rsidRDefault="00120474" w:rsidP="008F411A">
            <w:pPr>
              <w:spacing w:after="0" w:line="240" w:lineRule="auto"/>
              <w:jc w:val="center"/>
              <w:rPr>
                <w:rFonts w:eastAsia="Times New Roman" w:cs="Times New Roman"/>
                <w:b/>
                <w:bCs/>
                <w:color w:val="000000"/>
                <w:szCs w:val="24"/>
              </w:rPr>
            </w:pPr>
            <w:r>
              <w:rPr>
                <w:color w:val="000000"/>
              </w:rPr>
              <w:t>180</w:t>
            </w:r>
          </w:p>
        </w:tc>
        <w:tc>
          <w:tcPr>
            <w:tcW w:w="1790" w:type="dxa"/>
            <w:tcBorders>
              <w:top w:val="nil"/>
              <w:left w:val="nil"/>
              <w:bottom w:val="single" w:sz="8" w:space="0" w:color="auto"/>
              <w:right w:val="single" w:sz="8" w:space="0" w:color="auto"/>
            </w:tcBorders>
            <w:shd w:val="clear" w:color="auto" w:fill="auto"/>
            <w:vAlign w:val="center"/>
          </w:tcPr>
          <w:p w14:paraId="7002ECB9" w14:textId="1B078F69" w:rsidR="008F411A" w:rsidRPr="00460C7F" w:rsidRDefault="000F044E" w:rsidP="008F411A">
            <w:pPr>
              <w:spacing w:after="0" w:line="240" w:lineRule="auto"/>
              <w:jc w:val="center"/>
              <w:rPr>
                <w:rFonts w:eastAsia="Times New Roman" w:cs="Times New Roman"/>
                <w:b/>
                <w:bCs/>
                <w:color w:val="000000"/>
                <w:szCs w:val="24"/>
              </w:rPr>
            </w:pPr>
            <w:r>
              <w:rPr>
                <w:color w:val="000000"/>
              </w:rPr>
              <w:t>31</w:t>
            </w:r>
          </w:p>
        </w:tc>
        <w:tc>
          <w:tcPr>
            <w:tcW w:w="1630" w:type="dxa"/>
            <w:tcBorders>
              <w:top w:val="nil"/>
              <w:left w:val="nil"/>
              <w:bottom w:val="single" w:sz="8" w:space="0" w:color="auto"/>
              <w:right w:val="single" w:sz="8" w:space="0" w:color="auto"/>
            </w:tcBorders>
            <w:shd w:val="clear" w:color="auto" w:fill="auto"/>
            <w:vAlign w:val="center"/>
          </w:tcPr>
          <w:p w14:paraId="3B40721D" w14:textId="0C157CEC" w:rsidR="008F411A" w:rsidRPr="00460C7F" w:rsidRDefault="000F044E" w:rsidP="008F411A">
            <w:pPr>
              <w:spacing w:after="0" w:line="240" w:lineRule="auto"/>
              <w:jc w:val="center"/>
              <w:rPr>
                <w:rFonts w:eastAsia="Times New Roman" w:cs="Times New Roman"/>
                <w:b/>
                <w:bCs/>
                <w:color w:val="000000"/>
                <w:szCs w:val="24"/>
              </w:rPr>
            </w:pPr>
            <w:r>
              <w:rPr>
                <w:color w:val="000000"/>
              </w:rPr>
              <w:t>211</w:t>
            </w:r>
          </w:p>
        </w:tc>
      </w:tr>
      <w:tr w:rsidR="008F411A" w14:paraId="20E60B9D" w14:textId="77777777" w:rsidTr="00DC3B15">
        <w:trPr>
          <w:trHeight w:val="320"/>
          <w:jc w:val="center"/>
        </w:trPr>
        <w:tc>
          <w:tcPr>
            <w:tcW w:w="1645" w:type="dxa"/>
            <w:tcBorders>
              <w:top w:val="nil"/>
              <w:left w:val="single" w:sz="8" w:space="0" w:color="auto"/>
              <w:bottom w:val="single" w:sz="8" w:space="0" w:color="auto"/>
              <w:right w:val="single" w:sz="8" w:space="0" w:color="auto"/>
            </w:tcBorders>
            <w:shd w:val="clear" w:color="auto" w:fill="auto"/>
            <w:vAlign w:val="center"/>
            <w:hideMark/>
          </w:tcPr>
          <w:p w14:paraId="245EEE00" w14:textId="77777777" w:rsidR="008F411A" w:rsidRPr="00E25A28" w:rsidRDefault="008F411A" w:rsidP="008F411A">
            <w:pPr>
              <w:spacing w:after="0" w:line="240" w:lineRule="auto"/>
              <w:rPr>
                <w:rFonts w:eastAsia="Times New Roman" w:cs="Times New Roman"/>
                <w:color w:val="000000"/>
                <w:szCs w:val="24"/>
              </w:rPr>
            </w:pPr>
            <w:r w:rsidRPr="00E25A28">
              <w:rPr>
                <w:rFonts w:eastAsia="Times New Roman" w:cs="Times New Roman"/>
                <w:color w:val="000000"/>
                <w:szCs w:val="24"/>
              </w:rPr>
              <w:t>Fatality</w:t>
            </w:r>
          </w:p>
        </w:tc>
        <w:tc>
          <w:tcPr>
            <w:tcW w:w="1655" w:type="dxa"/>
            <w:tcBorders>
              <w:top w:val="nil"/>
              <w:left w:val="nil"/>
              <w:bottom w:val="single" w:sz="8" w:space="0" w:color="auto"/>
              <w:right w:val="single" w:sz="8" w:space="0" w:color="auto"/>
            </w:tcBorders>
            <w:shd w:val="clear" w:color="auto" w:fill="auto"/>
            <w:vAlign w:val="center"/>
          </w:tcPr>
          <w:p w14:paraId="68DD2F9E" w14:textId="2F66320B" w:rsidR="008F411A" w:rsidRPr="00460C7F" w:rsidRDefault="00544F96" w:rsidP="008F411A">
            <w:pPr>
              <w:spacing w:after="0" w:line="240" w:lineRule="auto"/>
              <w:jc w:val="center"/>
              <w:rPr>
                <w:rFonts w:eastAsia="Times New Roman" w:cs="Times New Roman"/>
                <w:b/>
                <w:bCs/>
                <w:color w:val="000000"/>
                <w:szCs w:val="24"/>
              </w:rPr>
            </w:pPr>
            <w:r>
              <w:rPr>
                <w:color w:val="000000"/>
              </w:rPr>
              <w:t>66</w:t>
            </w:r>
          </w:p>
        </w:tc>
        <w:tc>
          <w:tcPr>
            <w:tcW w:w="1790" w:type="dxa"/>
            <w:tcBorders>
              <w:top w:val="nil"/>
              <w:left w:val="nil"/>
              <w:bottom w:val="single" w:sz="8" w:space="0" w:color="auto"/>
              <w:right w:val="single" w:sz="8" w:space="0" w:color="auto"/>
            </w:tcBorders>
            <w:shd w:val="clear" w:color="auto" w:fill="auto"/>
            <w:vAlign w:val="center"/>
          </w:tcPr>
          <w:p w14:paraId="0878B464" w14:textId="7E9A8E55" w:rsidR="008F411A" w:rsidRPr="00460C7F" w:rsidRDefault="00544F96" w:rsidP="008F411A">
            <w:pPr>
              <w:spacing w:after="0" w:line="240" w:lineRule="auto"/>
              <w:jc w:val="center"/>
              <w:rPr>
                <w:rFonts w:eastAsia="Times New Roman" w:cs="Times New Roman"/>
                <w:b/>
                <w:bCs/>
                <w:color w:val="000000"/>
                <w:szCs w:val="24"/>
              </w:rPr>
            </w:pPr>
            <w:r>
              <w:rPr>
                <w:color w:val="000000"/>
              </w:rPr>
              <w:t>11</w:t>
            </w:r>
          </w:p>
        </w:tc>
        <w:tc>
          <w:tcPr>
            <w:tcW w:w="1630" w:type="dxa"/>
            <w:tcBorders>
              <w:top w:val="nil"/>
              <w:left w:val="nil"/>
              <w:bottom w:val="single" w:sz="8" w:space="0" w:color="auto"/>
              <w:right w:val="single" w:sz="8" w:space="0" w:color="auto"/>
            </w:tcBorders>
            <w:shd w:val="clear" w:color="auto" w:fill="auto"/>
            <w:vAlign w:val="center"/>
          </w:tcPr>
          <w:p w14:paraId="19AD1AB3" w14:textId="0A5357E1" w:rsidR="008F411A" w:rsidRPr="00460C7F" w:rsidRDefault="00544F96" w:rsidP="008F411A">
            <w:pPr>
              <w:spacing w:after="0" w:line="240" w:lineRule="auto"/>
              <w:jc w:val="center"/>
              <w:rPr>
                <w:rFonts w:eastAsia="Times New Roman" w:cs="Times New Roman"/>
                <w:b/>
                <w:bCs/>
                <w:color w:val="000000"/>
                <w:szCs w:val="24"/>
              </w:rPr>
            </w:pPr>
            <w:r>
              <w:rPr>
                <w:color w:val="000000"/>
              </w:rPr>
              <w:t>77</w:t>
            </w:r>
          </w:p>
        </w:tc>
      </w:tr>
    </w:tbl>
    <w:p w14:paraId="34583D8F" w14:textId="77777777" w:rsidR="009C38F5" w:rsidRDefault="000F5B51" w:rsidP="00460C7F">
      <w:pPr>
        <w:pStyle w:val="NoSpaceTimes"/>
        <w:ind w:left="720" w:firstLine="720"/>
        <w:jc w:val="left"/>
        <w:rPr>
          <w:rFonts w:eastAsia="Times New Roman"/>
          <w:sz w:val="18"/>
          <w:szCs w:val="18"/>
        </w:rPr>
      </w:pPr>
      <w:r>
        <w:rPr>
          <w:rFonts w:eastAsia="Times New Roman"/>
          <w:sz w:val="18"/>
          <w:szCs w:val="18"/>
        </w:rPr>
        <w:t xml:space="preserve"> </w:t>
      </w:r>
      <w:r w:rsidR="00FE6BBF">
        <w:rPr>
          <w:rFonts w:eastAsia="Times New Roman"/>
          <w:sz w:val="18"/>
          <w:szCs w:val="18"/>
        </w:rPr>
        <w:t xml:space="preserve">Note: Values may not sum due to rounding. Totals are rounded to the nearest whole number </w:t>
      </w:r>
      <w:r>
        <w:rPr>
          <w:rFonts w:eastAsia="Times New Roman"/>
          <w:sz w:val="18"/>
          <w:szCs w:val="18"/>
        </w:rPr>
        <w:tab/>
      </w:r>
      <w:r>
        <w:rPr>
          <w:rFonts w:eastAsia="Times New Roman"/>
          <w:sz w:val="18"/>
          <w:szCs w:val="18"/>
        </w:rPr>
        <w:tab/>
      </w:r>
      <w:r>
        <w:rPr>
          <w:rFonts w:eastAsia="Times New Roman"/>
          <w:sz w:val="18"/>
          <w:szCs w:val="18"/>
        </w:rPr>
        <w:tab/>
        <w:t xml:space="preserve"> </w:t>
      </w:r>
      <w:r w:rsidR="00FE6BBF">
        <w:rPr>
          <w:rFonts w:eastAsia="Times New Roman"/>
          <w:sz w:val="18"/>
          <w:szCs w:val="18"/>
        </w:rPr>
        <w:t>for presentation purposes.</w:t>
      </w:r>
    </w:p>
    <w:p w14:paraId="383E6147" w14:textId="77777777" w:rsidR="006E4CBD" w:rsidRDefault="006E4CBD">
      <w:pPr>
        <w:pStyle w:val="NoSpaceTimes"/>
        <w:ind w:left="720"/>
        <w:rPr>
          <w:rFonts w:eastAsia="Times New Roman"/>
          <w:sz w:val="18"/>
          <w:szCs w:val="18"/>
        </w:rPr>
      </w:pPr>
    </w:p>
    <w:p w14:paraId="3CE1843B" w14:textId="4F50AFC4" w:rsidR="003F7BE7" w:rsidRDefault="000F5B51" w:rsidP="0045628D">
      <w:pPr>
        <w:sectPr w:rsidR="003F7BE7" w:rsidSect="00D07617">
          <w:pgSz w:w="12240" w:h="15840" w:code="1"/>
          <w:pgMar w:top="1440" w:right="1440" w:bottom="1440" w:left="1440" w:header="720" w:footer="720" w:gutter="0"/>
          <w:cols w:space="720"/>
          <w:docGrid w:linePitch="360"/>
        </w:sectPr>
      </w:pPr>
      <w:r w:rsidRPr="00460C7F">
        <w:t>Lastly</w:t>
      </w:r>
      <w:r>
        <w:t>,</w:t>
      </w:r>
      <w:r w:rsidRPr="00460C7F">
        <w:t xml:space="preserve"> this analysis reflects the </w:t>
      </w:r>
      <w:r w:rsidRPr="0045628D">
        <w:t>incremental</w:t>
      </w:r>
      <w:r w:rsidRPr="00460C7F">
        <w:t xml:space="preserve"> benefits </w:t>
      </w:r>
      <w:r>
        <w:t>on the observed injur</w:t>
      </w:r>
      <w:r w:rsidR="00054F8F">
        <w:t>ies to establish the overall effectiveness for the indefinite war</w:t>
      </w:r>
      <w:r w:rsidR="00F81ADA">
        <w:t>n</w:t>
      </w:r>
      <w:r w:rsidR="00054F8F">
        <w:t>ing</w:t>
      </w:r>
      <w:r w:rsidR="001F2F92">
        <w:t xml:space="preserve">. </w:t>
      </w:r>
      <w:r w:rsidR="003F7BE7">
        <w:fldChar w:fldCharType="begin"/>
      </w:r>
      <w:r w:rsidR="003F7BE7">
        <w:instrText xml:space="preserve"> REF _Ref126909159 \h </w:instrText>
      </w:r>
      <w:r w:rsidR="003F7BE7">
        <w:fldChar w:fldCharType="separate"/>
      </w:r>
      <w:r w:rsidR="00A65CB3">
        <w:t xml:space="preserve">Table </w:t>
      </w:r>
      <w:r w:rsidR="00A65CB3">
        <w:rPr>
          <w:noProof/>
        </w:rPr>
        <w:t>60</w:t>
      </w:r>
      <w:r w:rsidR="003F7BE7">
        <w:fldChar w:fldCharType="end"/>
      </w:r>
      <w:r w:rsidR="003F7BE7">
        <w:t xml:space="preserve"> presents the calculation of effectiveness for the indefinite warning</w:t>
      </w:r>
      <w:r w:rsidR="001F2F92">
        <w:t xml:space="preserve">. </w:t>
      </w:r>
      <w:r w:rsidR="00AA3DA6">
        <w:t>Overall, the effectiveness rate for the indefinite warning for front seat occupants ranges from 0.03 to 0.</w:t>
      </w:r>
      <w:r w:rsidR="002C0FB2">
        <w:t>5</w:t>
      </w:r>
      <w:r w:rsidR="00F770D6">
        <w:t>1</w:t>
      </w:r>
      <w:r w:rsidR="00AA3DA6">
        <w:t xml:space="preserve"> percent for non-fatal MAIS 1-5 injuries and is 0.52 percent for fatalities</w:t>
      </w:r>
      <w:r w:rsidR="001F2F92">
        <w:t xml:space="preserve">. </w:t>
      </w:r>
      <w:r w:rsidR="00A73264">
        <w:t>For drivers, the effectiveness rate for the indefinite warning ranges from 0.</w:t>
      </w:r>
      <w:r w:rsidR="00AA3DA6">
        <w:t>0</w:t>
      </w:r>
      <w:r w:rsidR="002C0FB2">
        <w:t>4</w:t>
      </w:r>
      <w:r w:rsidR="00A73264">
        <w:t xml:space="preserve"> to 0.</w:t>
      </w:r>
      <w:r w:rsidR="002C0FB2">
        <w:t>53</w:t>
      </w:r>
      <w:r w:rsidR="00A73264">
        <w:t xml:space="preserve"> percent for non-fatal MAIS 1-5 injuries and </w:t>
      </w:r>
      <w:r>
        <w:t>is 0.54 percent for fatalities</w:t>
      </w:r>
      <w:r w:rsidR="001F2F92">
        <w:t xml:space="preserve">. </w:t>
      </w:r>
      <w:r>
        <w:t>For right front seat occupants, the effectiveness rate for the indefinite warning ranges from 0.03 to 0.4</w:t>
      </w:r>
      <w:r w:rsidR="00AA3DA6">
        <w:t>1</w:t>
      </w:r>
      <w:r>
        <w:t xml:space="preserve"> percent for non-fatal MAIS 1-5 injuries and is 0.</w:t>
      </w:r>
      <w:r w:rsidR="00AA3DA6">
        <w:t>43</w:t>
      </w:r>
      <w:r>
        <w:t xml:space="preserve"> percent for fatalities. </w:t>
      </w:r>
    </w:p>
    <w:p w14:paraId="329A9E61" w14:textId="0A8E8EF7" w:rsidR="003F7BE7" w:rsidRDefault="000F5B51" w:rsidP="00460C7F">
      <w:pPr>
        <w:pStyle w:val="Caption"/>
        <w:rPr>
          <w:rFonts w:eastAsia="Times New Roman"/>
          <w:sz w:val="18"/>
        </w:rPr>
      </w:pPr>
      <w:bookmarkStart w:id="921" w:name="_Ref126909159"/>
      <w:r>
        <w:lastRenderedPageBreak/>
        <w:t xml:space="preserve">Table </w:t>
      </w:r>
      <w:r w:rsidR="00115BAB">
        <w:fldChar w:fldCharType="begin"/>
      </w:r>
      <w:r>
        <w:instrText xml:space="preserve"> SEQ Table \* ARABIC </w:instrText>
      </w:r>
      <w:r w:rsidR="00115BAB">
        <w:fldChar w:fldCharType="separate"/>
      </w:r>
      <w:r w:rsidR="00A65CB3">
        <w:rPr>
          <w:noProof/>
        </w:rPr>
        <w:t>60</w:t>
      </w:r>
      <w:r w:rsidR="00115BAB">
        <w:rPr>
          <w:noProof/>
        </w:rPr>
        <w:fldChar w:fldCharType="end"/>
      </w:r>
      <w:bookmarkEnd w:id="921"/>
      <w:r>
        <w:t>: Effectiveness for the Indefinite Warning</w:t>
      </w:r>
    </w:p>
    <w:tbl>
      <w:tblPr>
        <w:tblStyle w:val="TableGrid"/>
        <w:tblW w:w="13375" w:type="dxa"/>
        <w:tblLayout w:type="fixed"/>
        <w:tblLook w:val="04A0" w:firstRow="1" w:lastRow="0" w:firstColumn="1" w:lastColumn="0" w:noHBand="0" w:noVBand="1"/>
      </w:tblPr>
      <w:tblGrid>
        <w:gridCol w:w="1165"/>
        <w:gridCol w:w="1170"/>
        <w:gridCol w:w="1350"/>
        <w:gridCol w:w="1334"/>
        <w:gridCol w:w="1391"/>
        <w:gridCol w:w="1391"/>
        <w:gridCol w:w="1394"/>
        <w:gridCol w:w="1391"/>
        <w:gridCol w:w="1391"/>
        <w:gridCol w:w="1392"/>
        <w:gridCol w:w="6"/>
      </w:tblGrid>
      <w:tr w:rsidR="00A15C2C" w14:paraId="4D00BD4F" w14:textId="77777777" w:rsidTr="00A807D0">
        <w:trPr>
          <w:trHeight w:val="624"/>
        </w:trPr>
        <w:tc>
          <w:tcPr>
            <w:tcW w:w="1165" w:type="dxa"/>
            <w:vMerge w:val="restart"/>
            <w:shd w:val="clear" w:color="auto" w:fill="BFBFBF" w:themeFill="background1" w:themeFillShade="BF"/>
            <w:noWrap/>
            <w:vAlign w:val="center"/>
          </w:tcPr>
          <w:p w14:paraId="70BACBFF" w14:textId="77777777" w:rsidR="003F7BE7" w:rsidRPr="00733891" w:rsidRDefault="000F5B51" w:rsidP="00A807D0">
            <w:pPr>
              <w:spacing w:line="240" w:lineRule="auto"/>
              <w:rPr>
                <w:rFonts w:eastAsia="Times New Roman" w:cs="Times New Roman"/>
                <w:b/>
                <w:color w:val="000000"/>
                <w:szCs w:val="24"/>
              </w:rPr>
            </w:pPr>
            <w:r w:rsidRPr="00733891">
              <w:rPr>
                <w:rFonts w:eastAsia="Times New Roman" w:cs="Times New Roman"/>
                <w:b/>
                <w:color w:val="000000"/>
                <w:szCs w:val="24"/>
              </w:rPr>
              <w:t>Injury Severity</w:t>
            </w:r>
          </w:p>
        </w:tc>
        <w:tc>
          <w:tcPr>
            <w:tcW w:w="3854" w:type="dxa"/>
            <w:gridSpan w:val="3"/>
            <w:shd w:val="clear" w:color="auto" w:fill="BFBFBF" w:themeFill="background1" w:themeFillShade="BF"/>
            <w:noWrap/>
            <w:vAlign w:val="center"/>
          </w:tcPr>
          <w:p w14:paraId="4930F0E5" w14:textId="77777777" w:rsidR="003F7BE7" w:rsidRPr="00733891" w:rsidRDefault="000F5B51" w:rsidP="00A807D0">
            <w:pPr>
              <w:spacing w:line="240" w:lineRule="auto"/>
              <w:jc w:val="center"/>
              <w:rPr>
                <w:rFonts w:eastAsia="Times New Roman" w:cs="Times New Roman"/>
                <w:b/>
                <w:color w:val="000000"/>
                <w:szCs w:val="24"/>
              </w:rPr>
            </w:pPr>
            <w:r w:rsidRPr="00733891">
              <w:rPr>
                <w:rFonts w:eastAsia="Times New Roman" w:cs="Times New Roman"/>
                <w:b/>
                <w:color w:val="000000"/>
                <w:szCs w:val="24"/>
              </w:rPr>
              <w:t>Drivers</w:t>
            </w:r>
          </w:p>
        </w:tc>
        <w:tc>
          <w:tcPr>
            <w:tcW w:w="4176" w:type="dxa"/>
            <w:gridSpan w:val="3"/>
            <w:shd w:val="clear" w:color="auto" w:fill="BFBFBF" w:themeFill="background1" w:themeFillShade="BF"/>
            <w:vAlign w:val="center"/>
          </w:tcPr>
          <w:p w14:paraId="75965363" w14:textId="77777777" w:rsidR="003F7BE7" w:rsidRPr="00733891" w:rsidRDefault="000F5B51" w:rsidP="00A807D0">
            <w:pPr>
              <w:spacing w:line="240" w:lineRule="auto"/>
              <w:jc w:val="center"/>
              <w:rPr>
                <w:rFonts w:eastAsia="Times New Roman" w:cs="Times New Roman"/>
                <w:b/>
                <w:color w:val="000000"/>
                <w:szCs w:val="24"/>
              </w:rPr>
            </w:pPr>
            <w:r w:rsidRPr="00733891">
              <w:rPr>
                <w:rFonts w:eastAsia="Times New Roman" w:cs="Times New Roman"/>
                <w:b/>
                <w:color w:val="000000"/>
                <w:szCs w:val="24"/>
              </w:rPr>
              <w:t>Right Front Seat Occupants</w:t>
            </w:r>
          </w:p>
        </w:tc>
        <w:tc>
          <w:tcPr>
            <w:tcW w:w="4180" w:type="dxa"/>
            <w:gridSpan w:val="4"/>
            <w:shd w:val="clear" w:color="auto" w:fill="BFBFBF" w:themeFill="background1" w:themeFillShade="BF"/>
            <w:vAlign w:val="center"/>
          </w:tcPr>
          <w:p w14:paraId="2309E0C5" w14:textId="77777777" w:rsidR="003F7BE7" w:rsidRPr="00733891" w:rsidRDefault="000F5B51" w:rsidP="00A807D0">
            <w:pPr>
              <w:spacing w:line="240" w:lineRule="auto"/>
              <w:jc w:val="center"/>
              <w:rPr>
                <w:rFonts w:eastAsia="Times New Roman" w:cs="Times New Roman"/>
                <w:b/>
                <w:color w:val="000000"/>
                <w:szCs w:val="24"/>
              </w:rPr>
            </w:pPr>
            <w:r w:rsidRPr="00733891">
              <w:rPr>
                <w:rFonts w:eastAsia="Times New Roman" w:cs="Times New Roman"/>
                <w:b/>
                <w:color w:val="000000"/>
                <w:szCs w:val="24"/>
              </w:rPr>
              <w:t>All Front Seat Occupants</w:t>
            </w:r>
          </w:p>
        </w:tc>
      </w:tr>
      <w:tr w:rsidR="00A15C2C" w14:paraId="11B55651" w14:textId="77777777" w:rsidTr="00A807D0">
        <w:trPr>
          <w:gridAfter w:val="1"/>
          <w:wAfter w:w="6" w:type="dxa"/>
          <w:trHeight w:val="624"/>
        </w:trPr>
        <w:tc>
          <w:tcPr>
            <w:tcW w:w="1165" w:type="dxa"/>
            <w:vMerge/>
            <w:shd w:val="clear" w:color="auto" w:fill="BFBFBF" w:themeFill="background1" w:themeFillShade="BF"/>
            <w:noWrap/>
            <w:vAlign w:val="center"/>
            <w:hideMark/>
          </w:tcPr>
          <w:p w14:paraId="306B4E13" w14:textId="77777777" w:rsidR="003F7BE7" w:rsidRPr="00733891" w:rsidRDefault="003F7BE7" w:rsidP="00A807D0">
            <w:pPr>
              <w:spacing w:line="240" w:lineRule="auto"/>
              <w:rPr>
                <w:rFonts w:eastAsia="Times New Roman" w:cs="Times New Roman"/>
                <w:b/>
                <w:color w:val="000000"/>
                <w:szCs w:val="24"/>
              </w:rPr>
            </w:pPr>
          </w:p>
        </w:tc>
        <w:tc>
          <w:tcPr>
            <w:tcW w:w="1170" w:type="dxa"/>
            <w:shd w:val="clear" w:color="auto" w:fill="BFBFBF" w:themeFill="background1" w:themeFillShade="BF"/>
            <w:noWrap/>
            <w:vAlign w:val="center"/>
            <w:hideMark/>
          </w:tcPr>
          <w:p w14:paraId="1F9F0898" w14:textId="77777777" w:rsidR="003F7BE7" w:rsidRPr="00733891" w:rsidRDefault="000F5B51" w:rsidP="00A807D0">
            <w:pPr>
              <w:spacing w:line="240" w:lineRule="auto"/>
              <w:jc w:val="center"/>
              <w:rPr>
                <w:rFonts w:eastAsia="Times New Roman" w:cs="Times New Roman"/>
                <w:b/>
                <w:color w:val="000000"/>
                <w:szCs w:val="24"/>
              </w:rPr>
            </w:pPr>
            <w:r w:rsidRPr="00733891">
              <w:rPr>
                <w:rFonts w:eastAsia="Times New Roman" w:cs="Times New Roman"/>
                <w:b/>
                <w:color w:val="000000"/>
                <w:szCs w:val="24"/>
              </w:rPr>
              <w:t>Observed Injuries</w:t>
            </w:r>
          </w:p>
        </w:tc>
        <w:tc>
          <w:tcPr>
            <w:tcW w:w="1350" w:type="dxa"/>
            <w:shd w:val="clear" w:color="auto" w:fill="BFBFBF" w:themeFill="background1" w:themeFillShade="BF"/>
            <w:noWrap/>
            <w:vAlign w:val="center"/>
            <w:hideMark/>
          </w:tcPr>
          <w:p w14:paraId="331972F4" w14:textId="77777777" w:rsidR="003F7BE7" w:rsidRPr="00733891" w:rsidRDefault="000F5B51" w:rsidP="00A807D0">
            <w:pPr>
              <w:spacing w:line="240" w:lineRule="auto"/>
              <w:jc w:val="center"/>
              <w:rPr>
                <w:rFonts w:eastAsia="Times New Roman" w:cs="Times New Roman"/>
                <w:b/>
                <w:color w:val="000000"/>
                <w:szCs w:val="24"/>
              </w:rPr>
            </w:pPr>
            <w:r w:rsidRPr="00733891">
              <w:rPr>
                <w:rFonts w:eastAsia="Times New Roman" w:cs="Times New Roman"/>
                <w:b/>
                <w:color w:val="000000"/>
                <w:szCs w:val="24"/>
              </w:rPr>
              <w:t>Incremental Benefits</w:t>
            </w:r>
          </w:p>
        </w:tc>
        <w:tc>
          <w:tcPr>
            <w:tcW w:w="1334" w:type="dxa"/>
            <w:shd w:val="clear" w:color="auto" w:fill="BFBFBF" w:themeFill="background1" w:themeFillShade="BF"/>
            <w:noWrap/>
            <w:vAlign w:val="center"/>
            <w:hideMark/>
          </w:tcPr>
          <w:p w14:paraId="725BDC45" w14:textId="77777777" w:rsidR="003F7BE7" w:rsidRPr="00733891" w:rsidRDefault="000F5B51" w:rsidP="00A807D0">
            <w:pPr>
              <w:spacing w:line="240" w:lineRule="auto"/>
              <w:jc w:val="center"/>
              <w:rPr>
                <w:rFonts w:eastAsia="Times New Roman" w:cs="Times New Roman"/>
                <w:b/>
                <w:color w:val="000000"/>
                <w:szCs w:val="24"/>
              </w:rPr>
            </w:pPr>
            <w:r w:rsidRPr="00733891">
              <w:rPr>
                <w:rFonts w:eastAsia="Times New Roman" w:cs="Times New Roman"/>
                <w:b/>
                <w:color w:val="000000"/>
                <w:szCs w:val="24"/>
              </w:rPr>
              <w:t>Effectiveness</w:t>
            </w:r>
          </w:p>
        </w:tc>
        <w:tc>
          <w:tcPr>
            <w:tcW w:w="1391" w:type="dxa"/>
            <w:shd w:val="clear" w:color="auto" w:fill="BFBFBF" w:themeFill="background1" w:themeFillShade="BF"/>
            <w:vAlign w:val="center"/>
          </w:tcPr>
          <w:p w14:paraId="491E36E8" w14:textId="77777777" w:rsidR="003F7BE7" w:rsidRPr="00733891" w:rsidRDefault="000F5B51" w:rsidP="00A807D0">
            <w:pPr>
              <w:spacing w:line="240" w:lineRule="auto"/>
              <w:jc w:val="center"/>
              <w:rPr>
                <w:rFonts w:eastAsia="Times New Roman" w:cs="Times New Roman"/>
                <w:b/>
                <w:color w:val="000000"/>
                <w:szCs w:val="24"/>
              </w:rPr>
            </w:pPr>
            <w:r w:rsidRPr="00733891">
              <w:rPr>
                <w:rFonts w:eastAsia="Times New Roman" w:cs="Times New Roman"/>
                <w:b/>
                <w:color w:val="000000"/>
                <w:szCs w:val="24"/>
              </w:rPr>
              <w:t>Observed Injuries</w:t>
            </w:r>
          </w:p>
        </w:tc>
        <w:tc>
          <w:tcPr>
            <w:tcW w:w="1391" w:type="dxa"/>
            <w:shd w:val="clear" w:color="auto" w:fill="BFBFBF" w:themeFill="background1" w:themeFillShade="BF"/>
            <w:vAlign w:val="center"/>
          </w:tcPr>
          <w:p w14:paraId="272D353B" w14:textId="77777777" w:rsidR="003F7BE7" w:rsidRPr="00733891" w:rsidRDefault="000F5B51" w:rsidP="00A807D0">
            <w:pPr>
              <w:spacing w:line="240" w:lineRule="auto"/>
              <w:jc w:val="center"/>
              <w:rPr>
                <w:rFonts w:eastAsia="Times New Roman" w:cs="Times New Roman"/>
                <w:b/>
                <w:color w:val="000000"/>
                <w:szCs w:val="24"/>
              </w:rPr>
            </w:pPr>
            <w:r w:rsidRPr="00733891">
              <w:rPr>
                <w:rFonts w:cs="Times New Roman"/>
                <w:b/>
                <w:color w:val="000000"/>
                <w:szCs w:val="24"/>
              </w:rPr>
              <w:t>Incremental Benefits</w:t>
            </w:r>
          </w:p>
        </w:tc>
        <w:tc>
          <w:tcPr>
            <w:tcW w:w="1394" w:type="dxa"/>
            <w:shd w:val="clear" w:color="auto" w:fill="BFBFBF" w:themeFill="background1" w:themeFillShade="BF"/>
            <w:vAlign w:val="center"/>
          </w:tcPr>
          <w:p w14:paraId="0C5FCED6" w14:textId="77777777" w:rsidR="003F7BE7" w:rsidRPr="00733891" w:rsidRDefault="000F5B51" w:rsidP="00A807D0">
            <w:pPr>
              <w:spacing w:line="240" w:lineRule="auto"/>
              <w:jc w:val="center"/>
              <w:rPr>
                <w:rFonts w:eastAsia="Times New Roman" w:cs="Times New Roman"/>
                <w:b/>
                <w:color w:val="000000"/>
                <w:szCs w:val="24"/>
              </w:rPr>
            </w:pPr>
            <w:r w:rsidRPr="00733891">
              <w:rPr>
                <w:rFonts w:eastAsia="Times New Roman" w:cs="Times New Roman"/>
                <w:b/>
                <w:color w:val="000000"/>
                <w:szCs w:val="24"/>
              </w:rPr>
              <w:t>Effectiveness</w:t>
            </w:r>
          </w:p>
        </w:tc>
        <w:tc>
          <w:tcPr>
            <w:tcW w:w="1391" w:type="dxa"/>
            <w:shd w:val="clear" w:color="auto" w:fill="BFBFBF" w:themeFill="background1" w:themeFillShade="BF"/>
            <w:vAlign w:val="center"/>
          </w:tcPr>
          <w:p w14:paraId="528E9646" w14:textId="77777777" w:rsidR="003F7BE7" w:rsidRPr="00733891" w:rsidRDefault="000F5B51" w:rsidP="00A807D0">
            <w:pPr>
              <w:spacing w:line="240" w:lineRule="auto"/>
              <w:jc w:val="center"/>
              <w:rPr>
                <w:rFonts w:eastAsia="Times New Roman" w:cs="Times New Roman"/>
                <w:b/>
                <w:color w:val="000000"/>
                <w:szCs w:val="24"/>
              </w:rPr>
            </w:pPr>
            <w:r w:rsidRPr="00733891">
              <w:rPr>
                <w:rFonts w:eastAsia="Times New Roman" w:cs="Times New Roman"/>
                <w:b/>
                <w:color w:val="000000"/>
                <w:szCs w:val="24"/>
              </w:rPr>
              <w:t>Observed Injuries</w:t>
            </w:r>
          </w:p>
        </w:tc>
        <w:tc>
          <w:tcPr>
            <w:tcW w:w="1391" w:type="dxa"/>
            <w:shd w:val="clear" w:color="auto" w:fill="BFBFBF" w:themeFill="background1" w:themeFillShade="BF"/>
            <w:vAlign w:val="center"/>
          </w:tcPr>
          <w:p w14:paraId="4327CD8D" w14:textId="77777777" w:rsidR="003F7BE7" w:rsidRPr="00733891" w:rsidRDefault="000F5B51" w:rsidP="00A807D0">
            <w:pPr>
              <w:spacing w:line="240" w:lineRule="auto"/>
              <w:jc w:val="center"/>
              <w:rPr>
                <w:rFonts w:eastAsia="Times New Roman" w:cs="Times New Roman"/>
                <w:b/>
                <w:color w:val="000000"/>
                <w:szCs w:val="24"/>
              </w:rPr>
            </w:pPr>
            <w:r w:rsidRPr="00733891">
              <w:rPr>
                <w:rFonts w:cs="Times New Roman"/>
                <w:b/>
                <w:color w:val="000000"/>
                <w:szCs w:val="24"/>
              </w:rPr>
              <w:t>Incremental Benefits</w:t>
            </w:r>
          </w:p>
        </w:tc>
        <w:tc>
          <w:tcPr>
            <w:tcW w:w="1392" w:type="dxa"/>
            <w:shd w:val="clear" w:color="auto" w:fill="BFBFBF" w:themeFill="background1" w:themeFillShade="BF"/>
            <w:vAlign w:val="center"/>
          </w:tcPr>
          <w:p w14:paraId="6905770E" w14:textId="77777777" w:rsidR="003F7BE7" w:rsidRPr="00733891" w:rsidRDefault="000F5B51" w:rsidP="00A807D0">
            <w:pPr>
              <w:spacing w:line="240" w:lineRule="auto"/>
              <w:jc w:val="center"/>
              <w:rPr>
                <w:rFonts w:eastAsia="Times New Roman" w:cs="Times New Roman"/>
                <w:b/>
                <w:color w:val="000000"/>
                <w:szCs w:val="24"/>
              </w:rPr>
            </w:pPr>
            <w:r w:rsidRPr="00733891">
              <w:rPr>
                <w:rFonts w:eastAsia="Times New Roman" w:cs="Times New Roman"/>
                <w:b/>
                <w:color w:val="000000"/>
                <w:szCs w:val="24"/>
              </w:rPr>
              <w:t>Effectiveness</w:t>
            </w:r>
          </w:p>
        </w:tc>
      </w:tr>
      <w:tr w:rsidR="00DC2C96" w14:paraId="14CB83D1" w14:textId="77777777" w:rsidTr="00A57826">
        <w:trPr>
          <w:gridAfter w:val="1"/>
          <w:wAfter w:w="6" w:type="dxa"/>
          <w:trHeight w:val="624"/>
        </w:trPr>
        <w:tc>
          <w:tcPr>
            <w:tcW w:w="1165" w:type="dxa"/>
            <w:noWrap/>
            <w:vAlign w:val="center"/>
            <w:hideMark/>
          </w:tcPr>
          <w:p w14:paraId="74BD090F" w14:textId="77777777" w:rsidR="00DC2C96" w:rsidRPr="00733891" w:rsidRDefault="00DC2C96" w:rsidP="00DC2C96">
            <w:pPr>
              <w:spacing w:line="240" w:lineRule="auto"/>
              <w:rPr>
                <w:rFonts w:eastAsia="Times New Roman" w:cs="Times New Roman"/>
                <w:color w:val="000000"/>
                <w:szCs w:val="24"/>
              </w:rPr>
            </w:pPr>
            <w:r w:rsidRPr="00733891">
              <w:rPr>
                <w:rFonts w:eastAsia="Times New Roman" w:cs="Times New Roman"/>
                <w:color w:val="000000"/>
                <w:szCs w:val="24"/>
              </w:rPr>
              <w:t>MAIS 1</w:t>
            </w:r>
          </w:p>
        </w:tc>
        <w:tc>
          <w:tcPr>
            <w:tcW w:w="1170" w:type="dxa"/>
            <w:noWrap/>
            <w:vAlign w:val="center"/>
          </w:tcPr>
          <w:p w14:paraId="13118807" w14:textId="256ABDBD" w:rsidR="00DC2C96" w:rsidRPr="00733891" w:rsidRDefault="00DC2C96" w:rsidP="00DC2C96">
            <w:pPr>
              <w:spacing w:line="240" w:lineRule="auto"/>
              <w:jc w:val="center"/>
              <w:rPr>
                <w:rFonts w:eastAsia="Times New Roman" w:cs="Times New Roman"/>
                <w:color w:val="000000"/>
                <w:szCs w:val="24"/>
              </w:rPr>
            </w:pPr>
            <w:r w:rsidRPr="00FF3AEE">
              <w:t>57,159</w:t>
            </w:r>
          </w:p>
        </w:tc>
        <w:tc>
          <w:tcPr>
            <w:tcW w:w="1350" w:type="dxa"/>
            <w:noWrap/>
            <w:vAlign w:val="center"/>
          </w:tcPr>
          <w:p w14:paraId="229C2686" w14:textId="0AFDBCB4" w:rsidR="00DC2C96" w:rsidRPr="00733891" w:rsidRDefault="00DC2C96" w:rsidP="00DC2C96">
            <w:pPr>
              <w:spacing w:line="240" w:lineRule="auto"/>
              <w:jc w:val="center"/>
              <w:rPr>
                <w:rFonts w:eastAsia="Times New Roman" w:cs="Times New Roman"/>
                <w:color w:val="000000"/>
                <w:szCs w:val="24"/>
              </w:rPr>
            </w:pPr>
            <w:r>
              <w:rPr>
                <w:rFonts w:eastAsia="Times New Roman" w:cs="Times New Roman"/>
                <w:color w:val="000000"/>
                <w:szCs w:val="24"/>
              </w:rPr>
              <w:t>21</w:t>
            </w:r>
          </w:p>
        </w:tc>
        <w:tc>
          <w:tcPr>
            <w:tcW w:w="1334" w:type="dxa"/>
            <w:noWrap/>
            <w:vAlign w:val="center"/>
          </w:tcPr>
          <w:p w14:paraId="5B7E9C13" w14:textId="433CEBFB" w:rsidR="00DC2C96" w:rsidRPr="00733891" w:rsidRDefault="00DC2C96" w:rsidP="00D428F2">
            <w:pPr>
              <w:spacing w:line="240" w:lineRule="auto"/>
              <w:jc w:val="center"/>
              <w:rPr>
                <w:rFonts w:eastAsia="Times New Roman" w:cs="Times New Roman"/>
                <w:color w:val="000000"/>
                <w:szCs w:val="24"/>
              </w:rPr>
            </w:pPr>
            <w:r w:rsidRPr="0074030E">
              <w:t>0.04%</w:t>
            </w:r>
          </w:p>
        </w:tc>
        <w:tc>
          <w:tcPr>
            <w:tcW w:w="1391" w:type="dxa"/>
            <w:vAlign w:val="center"/>
          </w:tcPr>
          <w:p w14:paraId="233663FD" w14:textId="77777777" w:rsidR="00DC2C96" w:rsidRPr="00733891" w:rsidRDefault="00DC2C96" w:rsidP="00DC2C96">
            <w:pPr>
              <w:spacing w:line="240" w:lineRule="auto"/>
              <w:jc w:val="center"/>
              <w:rPr>
                <w:rFonts w:eastAsia="Times New Roman" w:cs="Times New Roman"/>
                <w:color w:val="000000"/>
                <w:szCs w:val="24"/>
              </w:rPr>
            </w:pPr>
            <w:r w:rsidRPr="00733891">
              <w:rPr>
                <w:rFonts w:cs="Times New Roman"/>
                <w:color w:val="000000"/>
                <w:szCs w:val="24"/>
              </w:rPr>
              <w:t>12,492</w:t>
            </w:r>
          </w:p>
        </w:tc>
        <w:tc>
          <w:tcPr>
            <w:tcW w:w="1391" w:type="dxa"/>
            <w:vAlign w:val="center"/>
          </w:tcPr>
          <w:p w14:paraId="78A6A7A4" w14:textId="77777777" w:rsidR="00DC2C96" w:rsidRPr="00733891" w:rsidRDefault="00DC2C96" w:rsidP="00DC2C96">
            <w:pPr>
              <w:spacing w:line="240" w:lineRule="auto"/>
              <w:jc w:val="center"/>
              <w:rPr>
                <w:rFonts w:eastAsia="Times New Roman" w:cs="Times New Roman"/>
                <w:color w:val="000000"/>
                <w:szCs w:val="24"/>
              </w:rPr>
            </w:pPr>
            <w:r w:rsidRPr="00733891">
              <w:rPr>
                <w:rFonts w:cs="Times New Roman"/>
                <w:color w:val="000000"/>
                <w:szCs w:val="24"/>
              </w:rPr>
              <w:t>4</w:t>
            </w:r>
          </w:p>
        </w:tc>
        <w:tc>
          <w:tcPr>
            <w:tcW w:w="1394" w:type="dxa"/>
            <w:vAlign w:val="center"/>
          </w:tcPr>
          <w:p w14:paraId="2C7A2A67" w14:textId="77777777" w:rsidR="00DC2C96" w:rsidRPr="00733891" w:rsidRDefault="00DC2C96" w:rsidP="00DC2C96">
            <w:pPr>
              <w:spacing w:line="240" w:lineRule="auto"/>
              <w:jc w:val="center"/>
              <w:rPr>
                <w:rFonts w:eastAsia="Times New Roman" w:cs="Times New Roman"/>
                <w:color w:val="000000"/>
                <w:szCs w:val="24"/>
              </w:rPr>
            </w:pPr>
            <w:r w:rsidRPr="00733891">
              <w:rPr>
                <w:rFonts w:cs="Times New Roman"/>
                <w:color w:val="000000"/>
                <w:szCs w:val="24"/>
              </w:rPr>
              <w:t>0.03%</w:t>
            </w:r>
          </w:p>
        </w:tc>
        <w:tc>
          <w:tcPr>
            <w:tcW w:w="1391" w:type="dxa"/>
            <w:vAlign w:val="center"/>
          </w:tcPr>
          <w:p w14:paraId="65B97394" w14:textId="1335C491" w:rsidR="00DC2C96" w:rsidRPr="00733891" w:rsidRDefault="00DC2C96" w:rsidP="00DC2C96">
            <w:pPr>
              <w:spacing w:line="240" w:lineRule="auto"/>
              <w:jc w:val="center"/>
              <w:rPr>
                <w:rFonts w:eastAsia="Times New Roman" w:cs="Times New Roman"/>
                <w:color w:val="000000"/>
                <w:szCs w:val="24"/>
              </w:rPr>
            </w:pPr>
            <w:r w:rsidRPr="008B788F">
              <w:t>69,651</w:t>
            </w:r>
          </w:p>
        </w:tc>
        <w:tc>
          <w:tcPr>
            <w:tcW w:w="1391" w:type="dxa"/>
            <w:vAlign w:val="center"/>
          </w:tcPr>
          <w:p w14:paraId="1693DD85" w14:textId="10C2B3FD" w:rsidR="00DC2C96" w:rsidRPr="00733891" w:rsidRDefault="00DC2C96" w:rsidP="00DC2C96">
            <w:pPr>
              <w:spacing w:line="240" w:lineRule="auto"/>
              <w:jc w:val="center"/>
              <w:rPr>
                <w:rFonts w:eastAsia="Times New Roman" w:cs="Times New Roman"/>
                <w:color w:val="000000"/>
                <w:szCs w:val="24"/>
              </w:rPr>
            </w:pPr>
            <w:r w:rsidRPr="007557F6">
              <w:t>24</w:t>
            </w:r>
          </w:p>
        </w:tc>
        <w:tc>
          <w:tcPr>
            <w:tcW w:w="1392" w:type="dxa"/>
            <w:vAlign w:val="center"/>
          </w:tcPr>
          <w:p w14:paraId="41A5E83F" w14:textId="187FA510" w:rsidR="00DC2C96" w:rsidRPr="00733891" w:rsidRDefault="00DC2C96" w:rsidP="00D428F2">
            <w:pPr>
              <w:spacing w:line="240" w:lineRule="auto"/>
              <w:jc w:val="center"/>
              <w:rPr>
                <w:rFonts w:eastAsia="Times New Roman" w:cs="Times New Roman"/>
                <w:color w:val="000000"/>
                <w:szCs w:val="24"/>
              </w:rPr>
            </w:pPr>
            <w:r w:rsidRPr="002854D2">
              <w:t>0.03%</w:t>
            </w:r>
          </w:p>
        </w:tc>
      </w:tr>
      <w:tr w:rsidR="00DC2C96" w14:paraId="1D1D8302" w14:textId="77777777" w:rsidTr="00A57826">
        <w:trPr>
          <w:gridAfter w:val="1"/>
          <w:wAfter w:w="6" w:type="dxa"/>
          <w:trHeight w:val="624"/>
        </w:trPr>
        <w:tc>
          <w:tcPr>
            <w:tcW w:w="1165" w:type="dxa"/>
            <w:noWrap/>
            <w:vAlign w:val="center"/>
            <w:hideMark/>
          </w:tcPr>
          <w:p w14:paraId="5E8CB4FA" w14:textId="77777777" w:rsidR="00DC2C96" w:rsidRPr="00733891" w:rsidRDefault="00DC2C96" w:rsidP="00DC2C96">
            <w:pPr>
              <w:spacing w:line="240" w:lineRule="auto"/>
              <w:rPr>
                <w:rFonts w:eastAsia="Times New Roman" w:cs="Times New Roman"/>
                <w:color w:val="000000"/>
                <w:szCs w:val="24"/>
              </w:rPr>
            </w:pPr>
            <w:r w:rsidRPr="00733891">
              <w:rPr>
                <w:rFonts w:eastAsia="Times New Roman" w:cs="Times New Roman"/>
                <w:color w:val="000000"/>
                <w:szCs w:val="24"/>
              </w:rPr>
              <w:t>MAIS 2</w:t>
            </w:r>
          </w:p>
        </w:tc>
        <w:tc>
          <w:tcPr>
            <w:tcW w:w="1170" w:type="dxa"/>
            <w:noWrap/>
            <w:vAlign w:val="center"/>
          </w:tcPr>
          <w:p w14:paraId="5707C2AB" w14:textId="73EC1A78" w:rsidR="00DC2C96" w:rsidRPr="00733891" w:rsidRDefault="00DC2C96" w:rsidP="00DC2C96">
            <w:pPr>
              <w:spacing w:line="240" w:lineRule="auto"/>
              <w:jc w:val="center"/>
              <w:rPr>
                <w:rFonts w:eastAsia="Times New Roman" w:cs="Times New Roman"/>
                <w:color w:val="000000"/>
                <w:szCs w:val="24"/>
              </w:rPr>
            </w:pPr>
            <w:r w:rsidRPr="00FF3AEE">
              <w:t>22,672</w:t>
            </w:r>
          </w:p>
        </w:tc>
        <w:tc>
          <w:tcPr>
            <w:tcW w:w="1350" w:type="dxa"/>
            <w:noWrap/>
            <w:vAlign w:val="center"/>
          </w:tcPr>
          <w:p w14:paraId="5FC410E1" w14:textId="43C06E9F" w:rsidR="00DC2C96" w:rsidRPr="00733891" w:rsidRDefault="00DC2C96" w:rsidP="00DC2C96">
            <w:pPr>
              <w:spacing w:line="240" w:lineRule="auto"/>
              <w:jc w:val="center"/>
              <w:rPr>
                <w:rFonts w:eastAsia="Times New Roman" w:cs="Times New Roman"/>
                <w:color w:val="000000"/>
                <w:szCs w:val="24"/>
              </w:rPr>
            </w:pPr>
            <w:r>
              <w:rPr>
                <w:rFonts w:eastAsia="Times New Roman" w:cs="Times New Roman"/>
                <w:color w:val="000000"/>
                <w:szCs w:val="24"/>
              </w:rPr>
              <w:t>120</w:t>
            </w:r>
          </w:p>
        </w:tc>
        <w:tc>
          <w:tcPr>
            <w:tcW w:w="1334" w:type="dxa"/>
            <w:noWrap/>
            <w:vAlign w:val="center"/>
          </w:tcPr>
          <w:p w14:paraId="7FC8841E" w14:textId="48609B82" w:rsidR="00DC2C96" w:rsidRPr="00733891" w:rsidRDefault="00DC2C96" w:rsidP="00D428F2">
            <w:pPr>
              <w:spacing w:line="240" w:lineRule="auto"/>
              <w:jc w:val="center"/>
              <w:rPr>
                <w:rFonts w:eastAsia="Times New Roman" w:cs="Times New Roman"/>
                <w:color w:val="000000"/>
                <w:szCs w:val="24"/>
              </w:rPr>
            </w:pPr>
            <w:r w:rsidRPr="0074030E">
              <w:t>0.53%</w:t>
            </w:r>
          </w:p>
        </w:tc>
        <w:tc>
          <w:tcPr>
            <w:tcW w:w="1391" w:type="dxa"/>
            <w:vAlign w:val="center"/>
          </w:tcPr>
          <w:p w14:paraId="4A8160D1" w14:textId="77777777" w:rsidR="00DC2C96" w:rsidRPr="00733891" w:rsidRDefault="00DC2C96" w:rsidP="00DC2C96">
            <w:pPr>
              <w:spacing w:line="240" w:lineRule="auto"/>
              <w:jc w:val="center"/>
              <w:rPr>
                <w:rFonts w:eastAsia="Times New Roman" w:cs="Times New Roman"/>
                <w:color w:val="000000"/>
                <w:szCs w:val="24"/>
              </w:rPr>
            </w:pPr>
            <w:r w:rsidRPr="00733891">
              <w:rPr>
                <w:rFonts w:cs="Times New Roman"/>
                <w:color w:val="000000"/>
                <w:szCs w:val="24"/>
              </w:rPr>
              <w:t>5,003</w:t>
            </w:r>
          </w:p>
        </w:tc>
        <w:tc>
          <w:tcPr>
            <w:tcW w:w="1391" w:type="dxa"/>
            <w:vAlign w:val="center"/>
          </w:tcPr>
          <w:p w14:paraId="606C1DBF" w14:textId="77777777" w:rsidR="00DC2C96" w:rsidRPr="00733891" w:rsidRDefault="00DC2C96" w:rsidP="00DC2C96">
            <w:pPr>
              <w:spacing w:line="240" w:lineRule="auto"/>
              <w:jc w:val="center"/>
              <w:rPr>
                <w:rFonts w:eastAsia="Times New Roman" w:cs="Times New Roman"/>
                <w:color w:val="000000"/>
                <w:szCs w:val="24"/>
              </w:rPr>
            </w:pPr>
            <w:r w:rsidRPr="00733891">
              <w:rPr>
                <w:rFonts w:cs="Times New Roman"/>
                <w:color w:val="000000"/>
                <w:szCs w:val="24"/>
              </w:rPr>
              <w:t>20</w:t>
            </w:r>
          </w:p>
        </w:tc>
        <w:tc>
          <w:tcPr>
            <w:tcW w:w="1394" w:type="dxa"/>
            <w:vAlign w:val="center"/>
          </w:tcPr>
          <w:p w14:paraId="2EBE10D7" w14:textId="77777777" w:rsidR="00DC2C96" w:rsidRPr="00733891" w:rsidRDefault="00DC2C96" w:rsidP="00DC2C96">
            <w:pPr>
              <w:spacing w:line="240" w:lineRule="auto"/>
              <w:jc w:val="center"/>
              <w:rPr>
                <w:rFonts w:eastAsia="Times New Roman" w:cs="Times New Roman"/>
                <w:color w:val="000000"/>
                <w:szCs w:val="24"/>
              </w:rPr>
            </w:pPr>
            <w:r w:rsidRPr="00733891">
              <w:rPr>
                <w:rFonts w:cs="Times New Roman"/>
                <w:color w:val="000000"/>
                <w:szCs w:val="24"/>
              </w:rPr>
              <w:t>0.41%</w:t>
            </w:r>
          </w:p>
        </w:tc>
        <w:tc>
          <w:tcPr>
            <w:tcW w:w="1391" w:type="dxa"/>
            <w:vAlign w:val="center"/>
          </w:tcPr>
          <w:p w14:paraId="4C98C386" w14:textId="3D3AAA96" w:rsidR="00DC2C96" w:rsidRPr="00733891" w:rsidRDefault="00DC2C96" w:rsidP="00DC2C96">
            <w:pPr>
              <w:spacing w:line="240" w:lineRule="auto"/>
              <w:jc w:val="center"/>
              <w:rPr>
                <w:rFonts w:eastAsia="Times New Roman" w:cs="Times New Roman"/>
                <w:color w:val="000000"/>
                <w:szCs w:val="24"/>
              </w:rPr>
            </w:pPr>
            <w:r w:rsidRPr="008B788F">
              <w:t>27,675</w:t>
            </w:r>
          </w:p>
        </w:tc>
        <w:tc>
          <w:tcPr>
            <w:tcW w:w="1391" w:type="dxa"/>
            <w:vAlign w:val="center"/>
          </w:tcPr>
          <w:p w14:paraId="1B91C718" w14:textId="0EAF0699" w:rsidR="00DC2C96" w:rsidRPr="00733891" w:rsidRDefault="00DC2C96" w:rsidP="00DC2C96">
            <w:pPr>
              <w:spacing w:line="240" w:lineRule="auto"/>
              <w:jc w:val="center"/>
              <w:rPr>
                <w:rFonts w:eastAsia="Times New Roman" w:cs="Times New Roman"/>
                <w:color w:val="000000"/>
                <w:szCs w:val="24"/>
              </w:rPr>
            </w:pPr>
            <w:r w:rsidRPr="007557F6">
              <w:t>140</w:t>
            </w:r>
          </w:p>
        </w:tc>
        <w:tc>
          <w:tcPr>
            <w:tcW w:w="1392" w:type="dxa"/>
            <w:vAlign w:val="center"/>
          </w:tcPr>
          <w:p w14:paraId="428FAE46" w14:textId="6B9CE7B5" w:rsidR="00DC2C96" w:rsidRPr="00733891" w:rsidRDefault="00DC2C96" w:rsidP="00D428F2">
            <w:pPr>
              <w:spacing w:line="240" w:lineRule="auto"/>
              <w:jc w:val="center"/>
              <w:rPr>
                <w:rFonts w:eastAsia="Times New Roman" w:cs="Times New Roman"/>
                <w:color w:val="000000"/>
                <w:szCs w:val="24"/>
              </w:rPr>
            </w:pPr>
            <w:r w:rsidRPr="002854D2">
              <w:t>0.51%</w:t>
            </w:r>
          </w:p>
        </w:tc>
      </w:tr>
      <w:tr w:rsidR="00DC2C96" w14:paraId="0B70CFB5" w14:textId="77777777" w:rsidTr="00A57826">
        <w:trPr>
          <w:gridAfter w:val="1"/>
          <w:wAfter w:w="6" w:type="dxa"/>
          <w:trHeight w:val="624"/>
        </w:trPr>
        <w:tc>
          <w:tcPr>
            <w:tcW w:w="1165" w:type="dxa"/>
            <w:noWrap/>
            <w:vAlign w:val="center"/>
            <w:hideMark/>
          </w:tcPr>
          <w:p w14:paraId="10379376" w14:textId="77777777" w:rsidR="00DC2C96" w:rsidRPr="00733891" w:rsidRDefault="00DC2C96" w:rsidP="00DC2C96">
            <w:pPr>
              <w:spacing w:line="240" w:lineRule="auto"/>
              <w:rPr>
                <w:rFonts w:eastAsia="Times New Roman" w:cs="Times New Roman"/>
                <w:color w:val="000000"/>
                <w:szCs w:val="24"/>
              </w:rPr>
            </w:pPr>
            <w:r w:rsidRPr="00733891">
              <w:rPr>
                <w:rFonts w:eastAsia="Times New Roman" w:cs="Times New Roman"/>
                <w:color w:val="000000"/>
                <w:szCs w:val="24"/>
              </w:rPr>
              <w:t>MAIS 3</w:t>
            </w:r>
          </w:p>
        </w:tc>
        <w:tc>
          <w:tcPr>
            <w:tcW w:w="1170" w:type="dxa"/>
            <w:noWrap/>
            <w:vAlign w:val="center"/>
          </w:tcPr>
          <w:p w14:paraId="3F20BE07" w14:textId="7D71F992" w:rsidR="00DC2C96" w:rsidRPr="00733891" w:rsidRDefault="00DC2C96" w:rsidP="00DC2C96">
            <w:pPr>
              <w:spacing w:line="240" w:lineRule="auto"/>
              <w:jc w:val="center"/>
              <w:rPr>
                <w:rFonts w:eastAsia="Times New Roman" w:cs="Times New Roman"/>
                <w:color w:val="000000"/>
                <w:szCs w:val="24"/>
              </w:rPr>
            </w:pPr>
            <w:r w:rsidRPr="00FF3AEE">
              <w:t>4,072</w:t>
            </w:r>
          </w:p>
        </w:tc>
        <w:tc>
          <w:tcPr>
            <w:tcW w:w="1350" w:type="dxa"/>
            <w:noWrap/>
            <w:vAlign w:val="center"/>
          </w:tcPr>
          <w:p w14:paraId="6626FA2B" w14:textId="188048C2" w:rsidR="00DC2C96" w:rsidRPr="00733891" w:rsidRDefault="00DC2C96" w:rsidP="00DC2C96">
            <w:pPr>
              <w:spacing w:line="240" w:lineRule="auto"/>
              <w:jc w:val="center"/>
              <w:rPr>
                <w:rFonts w:eastAsia="Times New Roman" w:cs="Times New Roman"/>
                <w:color w:val="000000"/>
                <w:szCs w:val="24"/>
              </w:rPr>
            </w:pPr>
            <w:r>
              <w:rPr>
                <w:rFonts w:eastAsia="Times New Roman" w:cs="Times New Roman"/>
                <w:color w:val="000000"/>
                <w:szCs w:val="24"/>
              </w:rPr>
              <w:t>22</w:t>
            </w:r>
          </w:p>
        </w:tc>
        <w:tc>
          <w:tcPr>
            <w:tcW w:w="1334" w:type="dxa"/>
            <w:noWrap/>
            <w:vAlign w:val="center"/>
          </w:tcPr>
          <w:p w14:paraId="0058257B" w14:textId="0C73F18D" w:rsidR="00DC2C96" w:rsidRPr="00733891" w:rsidRDefault="00DC2C96" w:rsidP="00D428F2">
            <w:pPr>
              <w:spacing w:line="240" w:lineRule="auto"/>
              <w:jc w:val="center"/>
              <w:rPr>
                <w:rFonts w:eastAsia="Times New Roman" w:cs="Times New Roman"/>
                <w:color w:val="000000"/>
                <w:szCs w:val="24"/>
              </w:rPr>
            </w:pPr>
            <w:r w:rsidRPr="0074030E">
              <w:t>0.53%</w:t>
            </w:r>
          </w:p>
        </w:tc>
        <w:tc>
          <w:tcPr>
            <w:tcW w:w="1391" w:type="dxa"/>
            <w:vAlign w:val="center"/>
          </w:tcPr>
          <w:p w14:paraId="50A29BB3" w14:textId="77777777" w:rsidR="00DC2C96" w:rsidRPr="00733891" w:rsidRDefault="00DC2C96" w:rsidP="00DC2C96">
            <w:pPr>
              <w:spacing w:line="240" w:lineRule="auto"/>
              <w:jc w:val="center"/>
              <w:rPr>
                <w:rFonts w:eastAsia="Times New Roman" w:cs="Times New Roman"/>
                <w:color w:val="000000"/>
                <w:szCs w:val="24"/>
              </w:rPr>
            </w:pPr>
            <w:r w:rsidRPr="00733891">
              <w:rPr>
                <w:rFonts w:cs="Times New Roman"/>
                <w:color w:val="000000"/>
                <w:szCs w:val="24"/>
              </w:rPr>
              <w:t>948</w:t>
            </w:r>
          </w:p>
        </w:tc>
        <w:tc>
          <w:tcPr>
            <w:tcW w:w="1391" w:type="dxa"/>
            <w:vAlign w:val="center"/>
          </w:tcPr>
          <w:p w14:paraId="093C0ED4" w14:textId="77777777" w:rsidR="00DC2C96" w:rsidRPr="00733891" w:rsidRDefault="00DC2C96" w:rsidP="00DC2C96">
            <w:pPr>
              <w:spacing w:line="240" w:lineRule="auto"/>
              <w:jc w:val="center"/>
              <w:rPr>
                <w:rFonts w:eastAsia="Times New Roman" w:cs="Times New Roman"/>
                <w:color w:val="000000"/>
                <w:szCs w:val="24"/>
              </w:rPr>
            </w:pPr>
            <w:r w:rsidRPr="00733891">
              <w:rPr>
                <w:rFonts w:cs="Times New Roman"/>
                <w:color w:val="000000"/>
                <w:szCs w:val="24"/>
              </w:rPr>
              <w:t>4</w:t>
            </w:r>
          </w:p>
        </w:tc>
        <w:tc>
          <w:tcPr>
            <w:tcW w:w="1394" w:type="dxa"/>
            <w:vAlign w:val="center"/>
          </w:tcPr>
          <w:p w14:paraId="601192FC" w14:textId="77777777" w:rsidR="00DC2C96" w:rsidRPr="00733891" w:rsidRDefault="00DC2C96" w:rsidP="00DC2C96">
            <w:pPr>
              <w:spacing w:line="240" w:lineRule="auto"/>
              <w:jc w:val="center"/>
              <w:rPr>
                <w:rFonts w:eastAsia="Times New Roman" w:cs="Times New Roman"/>
                <w:color w:val="000000"/>
                <w:szCs w:val="24"/>
              </w:rPr>
            </w:pPr>
            <w:r w:rsidRPr="00733891">
              <w:rPr>
                <w:rFonts w:cs="Times New Roman"/>
                <w:color w:val="000000"/>
                <w:szCs w:val="24"/>
              </w:rPr>
              <w:t>0.41%</w:t>
            </w:r>
          </w:p>
        </w:tc>
        <w:tc>
          <w:tcPr>
            <w:tcW w:w="1391" w:type="dxa"/>
            <w:vAlign w:val="center"/>
          </w:tcPr>
          <w:p w14:paraId="1D40C1B0" w14:textId="5706751B" w:rsidR="00DC2C96" w:rsidRPr="00733891" w:rsidRDefault="00DC2C96" w:rsidP="00DC2C96">
            <w:pPr>
              <w:spacing w:line="240" w:lineRule="auto"/>
              <w:jc w:val="center"/>
              <w:rPr>
                <w:rFonts w:eastAsia="Times New Roman" w:cs="Times New Roman"/>
                <w:color w:val="000000"/>
                <w:szCs w:val="24"/>
              </w:rPr>
            </w:pPr>
            <w:r w:rsidRPr="008B788F">
              <w:t>5,020</w:t>
            </w:r>
          </w:p>
        </w:tc>
        <w:tc>
          <w:tcPr>
            <w:tcW w:w="1391" w:type="dxa"/>
            <w:vAlign w:val="center"/>
          </w:tcPr>
          <w:p w14:paraId="5853453E" w14:textId="2DC76035" w:rsidR="00DC2C96" w:rsidRPr="00733891" w:rsidRDefault="00DC2C96" w:rsidP="00DC2C96">
            <w:pPr>
              <w:spacing w:line="240" w:lineRule="auto"/>
              <w:jc w:val="center"/>
              <w:rPr>
                <w:rFonts w:eastAsia="Times New Roman" w:cs="Times New Roman"/>
                <w:color w:val="000000"/>
                <w:szCs w:val="24"/>
              </w:rPr>
            </w:pPr>
            <w:r w:rsidRPr="007557F6">
              <w:t>25</w:t>
            </w:r>
          </w:p>
        </w:tc>
        <w:tc>
          <w:tcPr>
            <w:tcW w:w="1392" w:type="dxa"/>
            <w:vAlign w:val="center"/>
          </w:tcPr>
          <w:p w14:paraId="0D94403B" w14:textId="54C28B19" w:rsidR="00DC2C96" w:rsidRPr="00733891" w:rsidRDefault="00DC2C96" w:rsidP="00D428F2">
            <w:pPr>
              <w:spacing w:line="240" w:lineRule="auto"/>
              <w:jc w:val="center"/>
              <w:rPr>
                <w:rFonts w:eastAsia="Times New Roman" w:cs="Times New Roman"/>
                <w:color w:val="000000"/>
                <w:szCs w:val="24"/>
              </w:rPr>
            </w:pPr>
            <w:r w:rsidRPr="002854D2">
              <w:t>0.51%</w:t>
            </w:r>
          </w:p>
        </w:tc>
      </w:tr>
      <w:tr w:rsidR="00DC2C96" w14:paraId="205B95BA" w14:textId="77777777" w:rsidTr="00A57826">
        <w:trPr>
          <w:gridAfter w:val="1"/>
          <w:wAfter w:w="6" w:type="dxa"/>
          <w:trHeight w:val="624"/>
        </w:trPr>
        <w:tc>
          <w:tcPr>
            <w:tcW w:w="1165" w:type="dxa"/>
            <w:noWrap/>
            <w:vAlign w:val="center"/>
            <w:hideMark/>
          </w:tcPr>
          <w:p w14:paraId="01DD160B" w14:textId="77777777" w:rsidR="00DC2C96" w:rsidRPr="00733891" w:rsidRDefault="00DC2C96" w:rsidP="00DC2C96">
            <w:pPr>
              <w:spacing w:line="240" w:lineRule="auto"/>
              <w:rPr>
                <w:rFonts w:eastAsia="Times New Roman" w:cs="Times New Roman"/>
                <w:color w:val="000000"/>
                <w:szCs w:val="24"/>
              </w:rPr>
            </w:pPr>
            <w:r w:rsidRPr="00733891">
              <w:rPr>
                <w:rFonts w:eastAsia="Times New Roman" w:cs="Times New Roman"/>
                <w:color w:val="000000"/>
                <w:szCs w:val="24"/>
              </w:rPr>
              <w:t>MAIS 4</w:t>
            </w:r>
          </w:p>
        </w:tc>
        <w:tc>
          <w:tcPr>
            <w:tcW w:w="1170" w:type="dxa"/>
            <w:noWrap/>
            <w:vAlign w:val="center"/>
          </w:tcPr>
          <w:p w14:paraId="19A35BD2" w14:textId="465F209D" w:rsidR="00DC2C96" w:rsidRPr="00733891" w:rsidRDefault="00DC2C96" w:rsidP="00DC2C96">
            <w:pPr>
              <w:spacing w:line="240" w:lineRule="auto"/>
              <w:jc w:val="center"/>
              <w:rPr>
                <w:rFonts w:eastAsia="Times New Roman" w:cs="Times New Roman"/>
                <w:color w:val="000000"/>
                <w:szCs w:val="24"/>
              </w:rPr>
            </w:pPr>
            <w:r w:rsidRPr="00FF3AEE">
              <w:t>3,288</w:t>
            </w:r>
          </w:p>
        </w:tc>
        <w:tc>
          <w:tcPr>
            <w:tcW w:w="1350" w:type="dxa"/>
            <w:noWrap/>
            <w:vAlign w:val="center"/>
          </w:tcPr>
          <w:p w14:paraId="2B064722" w14:textId="4A72FB67" w:rsidR="00DC2C96" w:rsidRPr="00733891" w:rsidRDefault="00DC2C96" w:rsidP="00DC2C96">
            <w:pPr>
              <w:spacing w:line="240" w:lineRule="auto"/>
              <w:jc w:val="center"/>
              <w:rPr>
                <w:rFonts w:eastAsia="Times New Roman" w:cs="Times New Roman"/>
                <w:color w:val="000000"/>
                <w:szCs w:val="24"/>
              </w:rPr>
            </w:pPr>
            <w:r>
              <w:rPr>
                <w:rFonts w:eastAsia="Times New Roman" w:cs="Times New Roman"/>
                <w:color w:val="000000"/>
                <w:szCs w:val="24"/>
              </w:rPr>
              <w:t>17</w:t>
            </w:r>
          </w:p>
        </w:tc>
        <w:tc>
          <w:tcPr>
            <w:tcW w:w="1334" w:type="dxa"/>
            <w:noWrap/>
            <w:vAlign w:val="center"/>
          </w:tcPr>
          <w:p w14:paraId="2AE3A48A" w14:textId="38238C7D" w:rsidR="00DC2C96" w:rsidRPr="00733891" w:rsidRDefault="00DC2C96" w:rsidP="00D428F2">
            <w:pPr>
              <w:spacing w:line="240" w:lineRule="auto"/>
              <w:jc w:val="center"/>
              <w:rPr>
                <w:rFonts w:eastAsia="Times New Roman" w:cs="Times New Roman"/>
                <w:color w:val="000000"/>
                <w:szCs w:val="24"/>
              </w:rPr>
            </w:pPr>
            <w:r w:rsidRPr="0074030E">
              <w:t>0.53%</w:t>
            </w:r>
          </w:p>
        </w:tc>
        <w:tc>
          <w:tcPr>
            <w:tcW w:w="1391" w:type="dxa"/>
            <w:vAlign w:val="center"/>
          </w:tcPr>
          <w:p w14:paraId="7A2C1D05" w14:textId="77777777" w:rsidR="00DC2C96" w:rsidRPr="00733891" w:rsidRDefault="00DC2C96" w:rsidP="00DC2C96">
            <w:pPr>
              <w:spacing w:line="240" w:lineRule="auto"/>
              <w:jc w:val="center"/>
              <w:rPr>
                <w:rFonts w:eastAsia="Times New Roman" w:cs="Times New Roman"/>
                <w:color w:val="000000"/>
                <w:szCs w:val="24"/>
              </w:rPr>
            </w:pPr>
            <w:r w:rsidRPr="00733891">
              <w:rPr>
                <w:rFonts w:cs="Times New Roman"/>
                <w:color w:val="000000"/>
                <w:szCs w:val="24"/>
              </w:rPr>
              <w:t>753</w:t>
            </w:r>
          </w:p>
        </w:tc>
        <w:tc>
          <w:tcPr>
            <w:tcW w:w="1391" w:type="dxa"/>
            <w:vAlign w:val="center"/>
          </w:tcPr>
          <w:p w14:paraId="09622F52" w14:textId="77777777" w:rsidR="00DC2C96" w:rsidRPr="00733891" w:rsidRDefault="00DC2C96" w:rsidP="00DC2C96">
            <w:pPr>
              <w:spacing w:line="240" w:lineRule="auto"/>
              <w:jc w:val="center"/>
              <w:rPr>
                <w:rFonts w:eastAsia="Times New Roman" w:cs="Times New Roman"/>
                <w:color w:val="000000"/>
                <w:szCs w:val="24"/>
              </w:rPr>
            </w:pPr>
            <w:r w:rsidRPr="00733891">
              <w:rPr>
                <w:rFonts w:cs="Times New Roman"/>
                <w:color w:val="000000"/>
                <w:szCs w:val="24"/>
              </w:rPr>
              <w:t>3</w:t>
            </w:r>
          </w:p>
        </w:tc>
        <w:tc>
          <w:tcPr>
            <w:tcW w:w="1394" w:type="dxa"/>
            <w:vAlign w:val="center"/>
          </w:tcPr>
          <w:p w14:paraId="16BE22DA" w14:textId="77777777" w:rsidR="00DC2C96" w:rsidRPr="00733891" w:rsidRDefault="00DC2C96" w:rsidP="00DC2C96">
            <w:pPr>
              <w:spacing w:line="240" w:lineRule="auto"/>
              <w:jc w:val="center"/>
              <w:rPr>
                <w:rFonts w:eastAsia="Times New Roman" w:cs="Times New Roman"/>
                <w:color w:val="000000"/>
                <w:szCs w:val="24"/>
              </w:rPr>
            </w:pPr>
            <w:r w:rsidRPr="00733891">
              <w:rPr>
                <w:rFonts w:cs="Times New Roman"/>
                <w:color w:val="000000"/>
                <w:szCs w:val="24"/>
              </w:rPr>
              <w:t>0.41%</w:t>
            </w:r>
          </w:p>
        </w:tc>
        <w:tc>
          <w:tcPr>
            <w:tcW w:w="1391" w:type="dxa"/>
            <w:vAlign w:val="center"/>
          </w:tcPr>
          <w:p w14:paraId="174BB24E" w14:textId="46D16ABB" w:rsidR="00DC2C96" w:rsidRPr="00733891" w:rsidRDefault="00DC2C96" w:rsidP="00DC2C96">
            <w:pPr>
              <w:spacing w:line="240" w:lineRule="auto"/>
              <w:jc w:val="center"/>
              <w:rPr>
                <w:rFonts w:eastAsia="Times New Roman" w:cs="Times New Roman"/>
                <w:color w:val="000000"/>
                <w:szCs w:val="24"/>
              </w:rPr>
            </w:pPr>
            <w:r w:rsidRPr="008B788F">
              <w:t>4,041</w:t>
            </w:r>
          </w:p>
        </w:tc>
        <w:tc>
          <w:tcPr>
            <w:tcW w:w="1391" w:type="dxa"/>
            <w:vAlign w:val="center"/>
          </w:tcPr>
          <w:p w14:paraId="4E041B26" w14:textId="6AF8612C" w:rsidR="00DC2C96" w:rsidRPr="00733891" w:rsidRDefault="00DC2C96" w:rsidP="00DC2C96">
            <w:pPr>
              <w:spacing w:line="240" w:lineRule="auto"/>
              <w:jc w:val="center"/>
              <w:rPr>
                <w:rFonts w:eastAsia="Times New Roman" w:cs="Times New Roman"/>
                <w:color w:val="000000"/>
                <w:szCs w:val="24"/>
              </w:rPr>
            </w:pPr>
            <w:r w:rsidRPr="007557F6">
              <w:t>20</w:t>
            </w:r>
          </w:p>
        </w:tc>
        <w:tc>
          <w:tcPr>
            <w:tcW w:w="1392" w:type="dxa"/>
            <w:vAlign w:val="center"/>
          </w:tcPr>
          <w:p w14:paraId="0E925F38" w14:textId="55B4BBA3" w:rsidR="00DC2C96" w:rsidRPr="00733891" w:rsidRDefault="00DC2C96" w:rsidP="00D428F2">
            <w:pPr>
              <w:spacing w:line="240" w:lineRule="auto"/>
              <w:jc w:val="center"/>
              <w:rPr>
                <w:rFonts w:eastAsia="Times New Roman" w:cs="Times New Roman"/>
                <w:color w:val="000000"/>
                <w:szCs w:val="24"/>
              </w:rPr>
            </w:pPr>
            <w:r w:rsidRPr="002854D2">
              <w:t>0.51%</w:t>
            </w:r>
          </w:p>
        </w:tc>
      </w:tr>
      <w:tr w:rsidR="00DC2C96" w14:paraId="7F0EF5EC" w14:textId="77777777" w:rsidTr="00A57826">
        <w:trPr>
          <w:gridAfter w:val="1"/>
          <w:wAfter w:w="6" w:type="dxa"/>
          <w:trHeight w:val="624"/>
        </w:trPr>
        <w:tc>
          <w:tcPr>
            <w:tcW w:w="1165" w:type="dxa"/>
            <w:noWrap/>
            <w:vAlign w:val="center"/>
            <w:hideMark/>
          </w:tcPr>
          <w:p w14:paraId="748BC4C1" w14:textId="77777777" w:rsidR="00DC2C96" w:rsidRPr="00733891" w:rsidRDefault="00DC2C96" w:rsidP="00DC2C96">
            <w:pPr>
              <w:spacing w:line="240" w:lineRule="auto"/>
              <w:rPr>
                <w:rFonts w:eastAsia="Times New Roman" w:cs="Times New Roman"/>
                <w:color w:val="000000"/>
                <w:szCs w:val="24"/>
              </w:rPr>
            </w:pPr>
            <w:r w:rsidRPr="00733891">
              <w:rPr>
                <w:rFonts w:eastAsia="Times New Roman" w:cs="Times New Roman"/>
                <w:color w:val="000000"/>
                <w:szCs w:val="24"/>
              </w:rPr>
              <w:t>MAIS 5</w:t>
            </w:r>
          </w:p>
        </w:tc>
        <w:tc>
          <w:tcPr>
            <w:tcW w:w="1170" w:type="dxa"/>
            <w:noWrap/>
            <w:vAlign w:val="center"/>
          </w:tcPr>
          <w:p w14:paraId="31080531" w14:textId="118F305D" w:rsidR="00DC2C96" w:rsidRPr="00733891" w:rsidRDefault="00DC2C96" w:rsidP="00DC2C96">
            <w:pPr>
              <w:spacing w:line="240" w:lineRule="auto"/>
              <w:jc w:val="center"/>
              <w:rPr>
                <w:rFonts w:eastAsia="Times New Roman" w:cs="Times New Roman"/>
                <w:color w:val="000000"/>
                <w:szCs w:val="24"/>
              </w:rPr>
            </w:pPr>
            <w:r w:rsidRPr="00FF3AEE">
              <w:t>99</w:t>
            </w:r>
          </w:p>
        </w:tc>
        <w:tc>
          <w:tcPr>
            <w:tcW w:w="1350" w:type="dxa"/>
            <w:noWrap/>
            <w:vAlign w:val="center"/>
          </w:tcPr>
          <w:p w14:paraId="1BBC03FE" w14:textId="3D3F1296" w:rsidR="00DC2C96" w:rsidRPr="00733891" w:rsidRDefault="00DC2C96" w:rsidP="00DC2C96">
            <w:pPr>
              <w:spacing w:line="240" w:lineRule="auto"/>
              <w:jc w:val="center"/>
              <w:rPr>
                <w:rFonts w:eastAsia="Times New Roman" w:cs="Times New Roman"/>
                <w:color w:val="000000"/>
                <w:szCs w:val="24"/>
              </w:rPr>
            </w:pPr>
            <w:r>
              <w:rPr>
                <w:rFonts w:eastAsia="Times New Roman" w:cs="Times New Roman"/>
                <w:color w:val="000000"/>
                <w:szCs w:val="24"/>
              </w:rPr>
              <w:t>1</w:t>
            </w:r>
          </w:p>
        </w:tc>
        <w:tc>
          <w:tcPr>
            <w:tcW w:w="1334" w:type="dxa"/>
            <w:noWrap/>
            <w:vAlign w:val="center"/>
          </w:tcPr>
          <w:p w14:paraId="16F1DCED" w14:textId="37B8E42D" w:rsidR="00DC2C96" w:rsidRPr="00733891" w:rsidRDefault="00DC2C96" w:rsidP="00D428F2">
            <w:pPr>
              <w:spacing w:line="240" w:lineRule="auto"/>
              <w:jc w:val="center"/>
              <w:rPr>
                <w:rFonts w:eastAsia="Times New Roman" w:cs="Times New Roman"/>
                <w:color w:val="000000"/>
                <w:szCs w:val="24"/>
              </w:rPr>
            </w:pPr>
            <w:r w:rsidRPr="0074030E">
              <w:t>0.51%</w:t>
            </w:r>
          </w:p>
        </w:tc>
        <w:tc>
          <w:tcPr>
            <w:tcW w:w="1391" w:type="dxa"/>
            <w:vAlign w:val="center"/>
          </w:tcPr>
          <w:p w14:paraId="57B525AC" w14:textId="77777777" w:rsidR="00DC2C96" w:rsidRPr="00733891" w:rsidRDefault="00DC2C96" w:rsidP="00DC2C96">
            <w:pPr>
              <w:spacing w:line="240" w:lineRule="auto"/>
              <w:jc w:val="center"/>
              <w:rPr>
                <w:rFonts w:eastAsia="Times New Roman" w:cs="Times New Roman"/>
                <w:color w:val="000000"/>
                <w:szCs w:val="24"/>
              </w:rPr>
            </w:pPr>
            <w:r w:rsidRPr="00733891">
              <w:rPr>
                <w:rFonts w:cs="Times New Roman"/>
                <w:color w:val="000000"/>
                <w:szCs w:val="24"/>
              </w:rPr>
              <w:t>21</w:t>
            </w:r>
          </w:p>
        </w:tc>
        <w:tc>
          <w:tcPr>
            <w:tcW w:w="1391" w:type="dxa"/>
            <w:vAlign w:val="center"/>
          </w:tcPr>
          <w:p w14:paraId="5B730C74" w14:textId="77777777" w:rsidR="00DC2C96" w:rsidRPr="00733891" w:rsidRDefault="00DC2C96" w:rsidP="00DC2C96">
            <w:pPr>
              <w:spacing w:line="240" w:lineRule="auto"/>
              <w:jc w:val="center"/>
              <w:rPr>
                <w:rFonts w:eastAsia="Times New Roman" w:cs="Times New Roman"/>
                <w:color w:val="000000"/>
                <w:szCs w:val="24"/>
              </w:rPr>
            </w:pPr>
            <w:r w:rsidRPr="00733891">
              <w:rPr>
                <w:rFonts w:cs="Times New Roman"/>
                <w:color w:val="000000"/>
                <w:szCs w:val="24"/>
              </w:rPr>
              <w:t>0</w:t>
            </w:r>
          </w:p>
        </w:tc>
        <w:tc>
          <w:tcPr>
            <w:tcW w:w="1394" w:type="dxa"/>
            <w:vAlign w:val="center"/>
          </w:tcPr>
          <w:p w14:paraId="67B1973A" w14:textId="77777777" w:rsidR="00DC2C96" w:rsidRPr="00733891" w:rsidRDefault="00DC2C96" w:rsidP="00DC2C96">
            <w:pPr>
              <w:spacing w:line="240" w:lineRule="auto"/>
              <w:jc w:val="center"/>
              <w:rPr>
                <w:rFonts w:eastAsia="Times New Roman" w:cs="Times New Roman"/>
                <w:color w:val="000000"/>
                <w:szCs w:val="24"/>
              </w:rPr>
            </w:pPr>
            <w:r w:rsidRPr="00733891">
              <w:rPr>
                <w:rFonts w:cs="Times New Roman"/>
                <w:color w:val="000000"/>
                <w:szCs w:val="24"/>
              </w:rPr>
              <w:t>0.41%</w:t>
            </w:r>
          </w:p>
        </w:tc>
        <w:tc>
          <w:tcPr>
            <w:tcW w:w="1391" w:type="dxa"/>
            <w:vAlign w:val="center"/>
          </w:tcPr>
          <w:p w14:paraId="23038B27" w14:textId="4B166A77" w:rsidR="00DC2C96" w:rsidRPr="00733891" w:rsidRDefault="00DC2C96" w:rsidP="00DC2C96">
            <w:pPr>
              <w:spacing w:line="240" w:lineRule="auto"/>
              <w:jc w:val="center"/>
              <w:rPr>
                <w:rFonts w:eastAsia="Times New Roman" w:cs="Times New Roman"/>
                <w:color w:val="000000"/>
                <w:szCs w:val="24"/>
              </w:rPr>
            </w:pPr>
            <w:r w:rsidRPr="008B788F">
              <w:t>120</w:t>
            </w:r>
          </w:p>
        </w:tc>
        <w:tc>
          <w:tcPr>
            <w:tcW w:w="1391" w:type="dxa"/>
            <w:vAlign w:val="center"/>
          </w:tcPr>
          <w:p w14:paraId="59FE0D0A" w14:textId="35FF2216" w:rsidR="00DC2C96" w:rsidRPr="00733891" w:rsidRDefault="00DC2C96" w:rsidP="00DC2C96">
            <w:pPr>
              <w:spacing w:line="240" w:lineRule="auto"/>
              <w:jc w:val="center"/>
              <w:rPr>
                <w:rFonts w:eastAsia="Times New Roman" w:cs="Times New Roman"/>
                <w:color w:val="000000"/>
                <w:szCs w:val="24"/>
              </w:rPr>
            </w:pPr>
            <w:r w:rsidRPr="007557F6">
              <w:t>1</w:t>
            </w:r>
          </w:p>
        </w:tc>
        <w:tc>
          <w:tcPr>
            <w:tcW w:w="1392" w:type="dxa"/>
            <w:vAlign w:val="center"/>
          </w:tcPr>
          <w:p w14:paraId="0247297B" w14:textId="17CB6B14" w:rsidR="00DC2C96" w:rsidRPr="00733891" w:rsidRDefault="00DC2C96" w:rsidP="00D428F2">
            <w:pPr>
              <w:spacing w:line="240" w:lineRule="auto"/>
              <w:jc w:val="center"/>
              <w:rPr>
                <w:rFonts w:eastAsia="Times New Roman" w:cs="Times New Roman"/>
                <w:color w:val="000000"/>
                <w:szCs w:val="24"/>
              </w:rPr>
            </w:pPr>
            <w:r w:rsidRPr="002854D2">
              <w:t>0.50%</w:t>
            </w:r>
          </w:p>
        </w:tc>
      </w:tr>
      <w:tr w:rsidR="00CD468B" w14:paraId="668C73BE" w14:textId="77777777" w:rsidTr="001001F2">
        <w:trPr>
          <w:gridAfter w:val="1"/>
          <w:wAfter w:w="6" w:type="dxa"/>
          <w:trHeight w:val="624"/>
        </w:trPr>
        <w:tc>
          <w:tcPr>
            <w:tcW w:w="1165" w:type="dxa"/>
            <w:noWrap/>
            <w:vAlign w:val="center"/>
            <w:hideMark/>
          </w:tcPr>
          <w:p w14:paraId="7BFD5F4F" w14:textId="77777777" w:rsidR="00CD468B" w:rsidRPr="00733891" w:rsidRDefault="00CD468B" w:rsidP="00CD468B">
            <w:pPr>
              <w:spacing w:line="240" w:lineRule="auto"/>
              <w:rPr>
                <w:rFonts w:eastAsia="Times New Roman" w:cs="Times New Roman"/>
                <w:color w:val="000000"/>
                <w:szCs w:val="24"/>
              </w:rPr>
            </w:pPr>
            <w:r w:rsidRPr="00733891">
              <w:rPr>
                <w:rFonts w:eastAsia="Times New Roman" w:cs="Times New Roman"/>
                <w:color w:val="000000"/>
                <w:szCs w:val="24"/>
              </w:rPr>
              <w:t>Fatal</w:t>
            </w:r>
          </w:p>
        </w:tc>
        <w:tc>
          <w:tcPr>
            <w:tcW w:w="1170" w:type="dxa"/>
            <w:noWrap/>
            <w:vAlign w:val="center"/>
          </w:tcPr>
          <w:p w14:paraId="423E654A" w14:textId="3A247BEE" w:rsidR="00CD468B" w:rsidRPr="00733891" w:rsidRDefault="00CD468B" w:rsidP="001001F2">
            <w:pPr>
              <w:spacing w:line="240" w:lineRule="auto"/>
              <w:jc w:val="center"/>
              <w:rPr>
                <w:rFonts w:eastAsia="Times New Roman" w:cs="Times New Roman"/>
                <w:color w:val="000000"/>
                <w:szCs w:val="24"/>
              </w:rPr>
            </w:pPr>
            <w:r w:rsidRPr="00733891">
              <w:rPr>
                <w:rFonts w:eastAsia="Times New Roman" w:cs="Times New Roman"/>
                <w:color w:val="000000"/>
                <w:szCs w:val="24"/>
              </w:rPr>
              <w:t>12,148</w:t>
            </w:r>
          </w:p>
        </w:tc>
        <w:tc>
          <w:tcPr>
            <w:tcW w:w="1350" w:type="dxa"/>
            <w:noWrap/>
            <w:vAlign w:val="center"/>
          </w:tcPr>
          <w:p w14:paraId="6EC0B101" w14:textId="71D7A3DF" w:rsidR="00CD468B" w:rsidRPr="00733891" w:rsidRDefault="001001F2" w:rsidP="00CD468B">
            <w:pPr>
              <w:spacing w:line="240" w:lineRule="auto"/>
              <w:jc w:val="center"/>
              <w:rPr>
                <w:rFonts w:eastAsia="Times New Roman" w:cs="Times New Roman"/>
                <w:color w:val="000000"/>
                <w:szCs w:val="24"/>
              </w:rPr>
            </w:pPr>
            <w:r>
              <w:rPr>
                <w:rFonts w:eastAsia="Times New Roman" w:cs="Times New Roman"/>
                <w:color w:val="000000"/>
                <w:szCs w:val="24"/>
              </w:rPr>
              <w:t>66</w:t>
            </w:r>
          </w:p>
        </w:tc>
        <w:tc>
          <w:tcPr>
            <w:tcW w:w="1334" w:type="dxa"/>
            <w:noWrap/>
            <w:vAlign w:val="center"/>
          </w:tcPr>
          <w:p w14:paraId="71536D7E" w14:textId="2843B5E2" w:rsidR="00CD468B" w:rsidRPr="00733891" w:rsidRDefault="00CD468B" w:rsidP="001001F2">
            <w:pPr>
              <w:spacing w:line="240" w:lineRule="auto"/>
              <w:jc w:val="center"/>
              <w:rPr>
                <w:rFonts w:eastAsia="Times New Roman" w:cs="Times New Roman"/>
                <w:color w:val="000000"/>
                <w:szCs w:val="24"/>
              </w:rPr>
            </w:pPr>
            <w:r w:rsidRPr="00733891">
              <w:rPr>
                <w:rFonts w:eastAsia="Times New Roman" w:cs="Times New Roman"/>
                <w:color w:val="000000"/>
                <w:szCs w:val="24"/>
              </w:rPr>
              <w:t>0.54%</w:t>
            </w:r>
          </w:p>
        </w:tc>
        <w:tc>
          <w:tcPr>
            <w:tcW w:w="1391" w:type="dxa"/>
            <w:vAlign w:val="center"/>
          </w:tcPr>
          <w:p w14:paraId="289C7DFA" w14:textId="7EC64B83" w:rsidR="00CD468B" w:rsidRPr="00733891" w:rsidRDefault="00CD468B" w:rsidP="00CD468B">
            <w:pPr>
              <w:spacing w:line="240" w:lineRule="auto"/>
              <w:jc w:val="center"/>
              <w:rPr>
                <w:rFonts w:eastAsia="Times New Roman" w:cs="Times New Roman"/>
                <w:color w:val="000000"/>
                <w:szCs w:val="24"/>
              </w:rPr>
            </w:pPr>
            <w:r w:rsidRPr="00733891">
              <w:rPr>
                <w:rFonts w:cs="Times New Roman"/>
                <w:color w:val="000000"/>
                <w:szCs w:val="24"/>
              </w:rPr>
              <w:t>2,659</w:t>
            </w:r>
          </w:p>
        </w:tc>
        <w:tc>
          <w:tcPr>
            <w:tcW w:w="1391" w:type="dxa"/>
            <w:vAlign w:val="center"/>
          </w:tcPr>
          <w:p w14:paraId="16999566" w14:textId="77777777" w:rsidR="00CD468B" w:rsidRPr="00733891" w:rsidRDefault="00CD468B" w:rsidP="00CD468B">
            <w:pPr>
              <w:spacing w:line="240" w:lineRule="auto"/>
              <w:jc w:val="center"/>
              <w:rPr>
                <w:rFonts w:eastAsia="Times New Roman" w:cs="Times New Roman"/>
                <w:color w:val="000000"/>
                <w:szCs w:val="24"/>
              </w:rPr>
            </w:pPr>
            <w:r w:rsidRPr="00733891">
              <w:rPr>
                <w:rFonts w:cs="Times New Roman"/>
                <w:color w:val="000000"/>
                <w:szCs w:val="24"/>
              </w:rPr>
              <w:t>11</w:t>
            </w:r>
          </w:p>
        </w:tc>
        <w:tc>
          <w:tcPr>
            <w:tcW w:w="1394" w:type="dxa"/>
            <w:vAlign w:val="center"/>
          </w:tcPr>
          <w:p w14:paraId="1D0518AA" w14:textId="77777777" w:rsidR="00CD468B" w:rsidRPr="00733891" w:rsidRDefault="00CD468B" w:rsidP="00CD468B">
            <w:pPr>
              <w:spacing w:line="240" w:lineRule="auto"/>
              <w:jc w:val="center"/>
              <w:rPr>
                <w:rFonts w:eastAsia="Times New Roman" w:cs="Times New Roman"/>
                <w:color w:val="000000"/>
                <w:szCs w:val="24"/>
              </w:rPr>
            </w:pPr>
            <w:r w:rsidRPr="00733891">
              <w:rPr>
                <w:rFonts w:cs="Times New Roman"/>
                <w:color w:val="000000"/>
                <w:szCs w:val="24"/>
              </w:rPr>
              <w:t>0.43%</w:t>
            </w:r>
          </w:p>
        </w:tc>
        <w:tc>
          <w:tcPr>
            <w:tcW w:w="1391" w:type="dxa"/>
            <w:vAlign w:val="center"/>
          </w:tcPr>
          <w:p w14:paraId="678FE47B" w14:textId="184BDCC0" w:rsidR="00CD468B" w:rsidRPr="00733891" w:rsidRDefault="00CD468B" w:rsidP="001001F2">
            <w:pPr>
              <w:spacing w:line="240" w:lineRule="auto"/>
              <w:jc w:val="center"/>
              <w:rPr>
                <w:rFonts w:eastAsia="Times New Roman" w:cs="Times New Roman"/>
                <w:color w:val="000000"/>
                <w:szCs w:val="24"/>
              </w:rPr>
            </w:pPr>
            <w:r w:rsidRPr="00733891">
              <w:rPr>
                <w:rFonts w:cs="Times New Roman"/>
                <w:color w:val="000000"/>
                <w:szCs w:val="24"/>
              </w:rPr>
              <w:t>14,807</w:t>
            </w:r>
          </w:p>
        </w:tc>
        <w:tc>
          <w:tcPr>
            <w:tcW w:w="1391" w:type="dxa"/>
            <w:vAlign w:val="center"/>
          </w:tcPr>
          <w:p w14:paraId="163D41C4" w14:textId="3160647A" w:rsidR="00CD468B" w:rsidRPr="00733891" w:rsidRDefault="00CD468B" w:rsidP="001001F2">
            <w:pPr>
              <w:spacing w:line="240" w:lineRule="auto"/>
              <w:jc w:val="center"/>
              <w:rPr>
                <w:rFonts w:eastAsia="Times New Roman" w:cs="Times New Roman"/>
                <w:color w:val="000000"/>
                <w:szCs w:val="24"/>
              </w:rPr>
            </w:pPr>
            <w:r w:rsidRPr="00733891">
              <w:rPr>
                <w:rFonts w:cs="Times New Roman"/>
                <w:color w:val="000000"/>
                <w:szCs w:val="24"/>
              </w:rPr>
              <w:t>77</w:t>
            </w:r>
          </w:p>
        </w:tc>
        <w:tc>
          <w:tcPr>
            <w:tcW w:w="1392" w:type="dxa"/>
            <w:vAlign w:val="center"/>
          </w:tcPr>
          <w:p w14:paraId="4710B214" w14:textId="64B232F5" w:rsidR="00CD468B" w:rsidRPr="00733891" w:rsidRDefault="00CD468B" w:rsidP="00CD468B">
            <w:pPr>
              <w:spacing w:line="240" w:lineRule="auto"/>
              <w:jc w:val="center"/>
              <w:rPr>
                <w:rFonts w:eastAsia="Times New Roman" w:cs="Times New Roman"/>
                <w:color w:val="000000"/>
                <w:szCs w:val="24"/>
              </w:rPr>
            </w:pPr>
            <w:r w:rsidRPr="00733891">
              <w:rPr>
                <w:rFonts w:cs="Times New Roman"/>
                <w:color w:val="000000"/>
                <w:szCs w:val="24"/>
              </w:rPr>
              <w:t>0.52%</w:t>
            </w:r>
          </w:p>
        </w:tc>
      </w:tr>
    </w:tbl>
    <w:p w14:paraId="35412EFE" w14:textId="3C69418D" w:rsidR="003F7BE7" w:rsidRPr="009C499C" w:rsidRDefault="00F56F49" w:rsidP="003F7BE7">
      <w:pPr>
        <w:rPr>
          <w:sz w:val="18"/>
          <w:szCs w:val="16"/>
        </w:rPr>
      </w:pPr>
      <w:r w:rsidRPr="009C499C">
        <w:rPr>
          <w:sz w:val="18"/>
          <w:szCs w:val="16"/>
        </w:rPr>
        <w:t>Note: Values may not sum due to rounding. Incremental benefits are rounded to the nearest whole number for presentation purposes.</w:t>
      </w:r>
    </w:p>
    <w:p w14:paraId="20B4A07D" w14:textId="77777777" w:rsidR="003F7BE7" w:rsidRDefault="003F7BE7">
      <w:pPr>
        <w:pStyle w:val="NoSpaceTimes"/>
        <w:ind w:left="720"/>
        <w:rPr>
          <w:rFonts w:eastAsia="Times New Roman"/>
          <w:sz w:val="18"/>
          <w:szCs w:val="18"/>
        </w:rPr>
      </w:pPr>
    </w:p>
    <w:p w14:paraId="4C7DA98F" w14:textId="77777777" w:rsidR="0045628D" w:rsidRDefault="0045628D" w:rsidP="00460C7F">
      <w:pPr>
        <w:pStyle w:val="NoSpaceTimes"/>
        <w:ind w:left="720"/>
      </w:pPr>
    </w:p>
    <w:p w14:paraId="0BDEBE1A" w14:textId="77777777" w:rsidR="00F81ADA" w:rsidRDefault="00F81ADA">
      <w:pPr>
        <w:pStyle w:val="Heading2"/>
        <w:spacing w:line="240" w:lineRule="auto"/>
        <w:rPr>
          <w:rFonts w:cs="Times New Roman"/>
          <w:szCs w:val="24"/>
        </w:rPr>
        <w:sectPr w:rsidR="00F81ADA" w:rsidSect="00460C7F">
          <w:pgSz w:w="15840" w:h="12240" w:orient="landscape" w:code="1"/>
          <w:pgMar w:top="1440" w:right="1440" w:bottom="1440" w:left="1440" w:header="720" w:footer="720" w:gutter="0"/>
          <w:cols w:space="720"/>
          <w:docGrid w:linePitch="360"/>
        </w:sectPr>
      </w:pPr>
      <w:bookmarkStart w:id="922" w:name="_Toc126588325"/>
      <w:bookmarkStart w:id="923" w:name="_Toc126909818"/>
      <w:bookmarkStart w:id="924" w:name="_Toc127263558"/>
      <w:bookmarkStart w:id="925" w:name="_Toc126588326"/>
      <w:bookmarkStart w:id="926" w:name="_Toc126909819"/>
      <w:bookmarkStart w:id="927" w:name="_Toc127263559"/>
      <w:bookmarkStart w:id="928" w:name="_Toc126588327"/>
      <w:bookmarkStart w:id="929" w:name="_Toc126909820"/>
      <w:bookmarkStart w:id="930" w:name="_Toc127263560"/>
      <w:bookmarkStart w:id="931" w:name="_Toc126588328"/>
      <w:bookmarkStart w:id="932" w:name="_Toc126909821"/>
      <w:bookmarkStart w:id="933" w:name="_Toc127263561"/>
      <w:bookmarkStart w:id="934" w:name="_Toc126588329"/>
      <w:bookmarkStart w:id="935" w:name="_Toc126909822"/>
      <w:bookmarkStart w:id="936" w:name="_Toc127263562"/>
      <w:bookmarkStart w:id="937" w:name="_Toc126588481"/>
      <w:bookmarkStart w:id="938" w:name="_Toc126909974"/>
      <w:bookmarkStart w:id="939" w:name="_Toc127263714"/>
      <w:bookmarkStart w:id="940" w:name="_Toc126588482"/>
      <w:bookmarkStart w:id="941" w:name="_Toc126909975"/>
      <w:bookmarkStart w:id="942" w:name="_Toc127263715"/>
      <w:bookmarkStart w:id="943" w:name="_Toc126588483"/>
      <w:bookmarkStart w:id="944" w:name="_Toc126909976"/>
      <w:bookmarkStart w:id="945" w:name="_Toc127263716"/>
      <w:bookmarkStart w:id="946" w:name="_Toc126588506"/>
      <w:bookmarkStart w:id="947" w:name="_Toc126909999"/>
      <w:bookmarkStart w:id="948" w:name="_Toc127263739"/>
      <w:bookmarkStart w:id="949" w:name="_Toc126588507"/>
      <w:bookmarkStart w:id="950" w:name="_Toc126910000"/>
      <w:bookmarkStart w:id="951" w:name="_Toc127263740"/>
      <w:bookmarkStart w:id="952" w:name="_Toc126588508"/>
      <w:bookmarkStart w:id="953" w:name="_Toc126910001"/>
      <w:bookmarkStart w:id="954" w:name="_Toc127263741"/>
      <w:bookmarkStart w:id="955" w:name="_Toc126588561"/>
      <w:bookmarkStart w:id="956" w:name="_Toc126910054"/>
      <w:bookmarkStart w:id="957" w:name="_Toc127263794"/>
      <w:bookmarkStart w:id="958" w:name="_Toc126588607"/>
      <w:bookmarkStart w:id="959" w:name="_Toc126910100"/>
      <w:bookmarkStart w:id="960" w:name="_Toc127263840"/>
      <w:bookmarkStart w:id="961" w:name="_Toc126588608"/>
      <w:bookmarkStart w:id="962" w:name="_Toc126910101"/>
      <w:bookmarkStart w:id="963" w:name="_Toc127263841"/>
      <w:bookmarkStart w:id="964" w:name="_Toc126588609"/>
      <w:bookmarkStart w:id="965" w:name="_Toc126910102"/>
      <w:bookmarkStart w:id="966" w:name="_Toc127263842"/>
      <w:bookmarkStart w:id="967" w:name="_Toc126588610"/>
      <w:bookmarkStart w:id="968" w:name="_Toc126910103"/>
      <w:bookmarkStart w:id="969" w:name="_Toc127263843"/>
      <w:bookmarkStart w:id="970" w:name="_Toc126588611"/>
      <w:bookmarkStart w:id="971" w:name="_Toc126910104"/>
      <w:bookmarkStart w:id="972" w:name="_Toc127263844"/>
      <w:bookmarkStart w:id="973" w:name="_Toc126588612"/>
      <w:bookmarkStart w:id="974" w:name="_Toc126910105"/>
      <w:bookmarkStart w:id="975" w:name="_Toc127263845"/>
      <w:bookmarkStart w:id="976" w:name="_Toc126588613"/>
      <w:bookmarkStart w:id="977" w:name="_Toc126910106"/>
      <w:bookmarkStart w:id="978" w:name="_Toc127263846"/>
      <w:bookmarkStart w:id="979" w:name="_Toc126588633"/>
      <w:bookmarkStart w:id="980" w:name="_Toc126910126"/>
      <w:bookmarkStart w:id="981" w:name="_Toc127263866"/>
      <w:bookmarkStart w:id="982" w:name="_Toc126588634"/>
      <w:bookmarkStart w:id="983" w:name="_Toc126910127"/>
      <w:bookmarkStart w:id="984" w:name="_Toc127263867"/>
      <w:bookmarkStart w:id="985" w:name="_Toc126588635"/>
      <w:bookmarkStart w:id="986" w:name="_Toc126910128"/>
      <w:bookmarkStart w:id="987" w:name="_Toc127263868"/>
      <w:bookmarkStart w:id="988" w:name="_Toc126588636"/>
      <w:bookmarkStart w:id="989" w:name="_Toc126910129"/>
      <w:bookmarkStart w:id="990" w:name="_Toc127263869"/>
      <w:bookmarkStart w:id="991" w:name="_Toc126588657"/>
      <w:bookmarkStart w:id="992" w:name="_Toc126910150"/>
      <w:bookmarkStart w:id="993" w:name="_Toc127263890"/>
      <w:bookmarkStart w:id="994" w:name="_Toc126588658"/>
      <w:bookmarkStart w:id="995" w:name="_Toc126910151"/>
      <w:bookmarkStart w:id="996" w:name="_Toc127263891"/>
      <w:bookmarkStart w:id="997" w:name="_Toc126588668"/>
      <w:bookmarkStart w:id="998" w:name="_Toc126910161"/>
      <w:bookmarkStart w:id="999" w:name="_Toc127263901"/>
      <w:bookmarkStart w:id="1000" w:name="_Toc126588669"/>
      <w:bookmarkStart w:id="1001" w:name="_Toc126910162"/>
      <w:bookmarkStart w:id="1002" w:name="_Toc127263902"/>
      <w:bookmarkStart w:id="1003" w:name="_Toc126588690"/>
      <w:bookmarkStart w:id="1004" w:name="_Toc126910183"/>
      <w:bookmarkStart w:id="1005" w:name="_Toc127263923"/>
      <w:bookmarkStart w:id="1006" w:name="_Toc126588691"/>
      <w:bookmarkStart w:id="1007" w:name="_Toc126910184"/>
      <w:bookmarkStart w:id="1008" w:name="_Toc127263924"/>
      <w:bookmarkStart w:id="1009" w:name="_Toc126588704"/>
      <w:bookmarkStart w:id="1010" w:name="_Toc126910197"/>
      <w:bookmarkStart w:id="1011" w:name="_Toc127263937"/>
      <w:bookmarkStart w:id="1012" w:name="_Toc126588705"/>
      <w:bookmarkStart w:id="1013" w:name="_Toc126910198"/>
      <w:bookmarkStart w:id="1014" w:name="_Toc127263938"/>
      <w:bookmarkStart w:id="1015" w:name="_Toc126588706"/>
      <w:bookmarkStart w:id="1016" w:name="_Toc126910199"/>
      <w:bookmarkStart w:id="1017" w:name="_Toc127263939"/>
      <w:bookmarkStart w:id="1018" w:name="_Toc126588755"/>
      <w:bookmarkStart w:id="1019" w:name="_Toc126910248"/>
      <w:bookmarkStart w:id="1020" w:name="_Toc127263988"/>
      <w:bookmarkStart w:id="1021" w:name="_Toc126588756"/>
      <w:bookmarkStart w:id="1022" w:name="_Toc126910249"/>
      <w:bookmarkStart w:id="1023" w:name="_Toc127263989"/>
      <w:bookmarkStart w:id="1024" w:name="_Toc126588757"/>
      <w:bookmarkStart w:id="1025" w:name="_Toc126910250"/>
      <w:bookmarkStart w:id="1026" w:name="_Toc127263990"/>
      <w:bookmarkStart w:id="1027" w:name="_Toc126588890"/>
      <w:bookmarkStart w:id="1028" w:name="_Toc126910383"/>
      <w:bookmarkStart w:id="1029" w:name="_Toc127264123"/>
      <w:bookmarkStart w:id="1030" w:name="_Toc126588891"/>
      <w:bookmarkStart w:id="1031" w:name="_Toc126910384"/>
      <w:bookmarkStart w:id="1032" w:name="_Toc127264124"/>
      <w:bookmarkStart w:id="1033" w:name="_Toc126588892"/>
      <w:bookmarkStart w:id="1034" w:name="_Toc126910385"/>
      <w:bookmarkStart w:id="1035" w:name="_Toc127264125"/>
      <w:bookmarkStart w:id="1036" w:name="_Toc126588893"/>
      <w:bookmarkStart w:id="1037" w:name="_Toc126910386"/>
      <w:bookmarkStart w:id="1038" w:name="_Toc127264126"/>
      <w:bookmarkStart w:id="1039" w:name="_Toc126588945"/>
      <w:bookmarkStart w:id="1040" w:name="_Toc126910438"/>
      <w:bookmarkStart w:id="1041" w:name="_Toc127264178"/>
      <w:bookmarkStart w:id="1042" w:name="_Toc126588946"/>
      <w:bookmarkStart w:id="1043" w:name="_Toc126910439"/>
      <w:bookmarkStart w:id="1044" w:name="_Toc127264179"/>
      <w:bookmarkStart w:id="1045" w:name="_Toc126588947"/>
      <w:bookmarkStart w:id="1046" w:name="_Toc126910440"/>
      <w:bookmarkStart w:id="1047" w:name="_Toc127264180"/>
      <w:bookmarkStart w:id="1048" w:name="_Toc126588948"/>
      <w:bookmarkStart w:id="1049" w:name="_Toc126910441"/>
      <w:bookmarkStart w:id="1050" w:name="_Toc127264181"/>
      <w:bookmarkStart w:id="1051" w:name="_Toc126589073"/>
      <w:bookmarkStart w:id="1052" w:name="_Toc126910566"/>
      <w:bookmarkStart w:id="1053" w:name="_Toc127264306"/>
      <w:bookmarkStart w:id="1054" w:name="_Toc126589125"/>
      <w:bookmarkStart w:id="1055" w:name="_Toc126910618"/>
      <w:bookmarkStart w:id="1056" w:name="_Toc127264358"/>
      <w:bookmarkStart w:id="1057" w:name="_Toc126589126"/>
      <w:bookmarkStart w:id="1058" w:name="_Toc126910619"/>
      <w:bookmarkStart w:id="1059" w:name="_Toc127264359"/>
      <w:bookmarkStart w:id="1060" w:name="_Toc126589253"/>
      <w:bookmarkStart w:id="1061" w:name="_Toc126910746"/>
      <w:bookmarkStart w:id="1062" w:name="_Toc127264486"/>
      <w:bookmarkStart w:id="1063" w:name="_Toc126589254"/>
      <w:bookmarkStart w:id="1064" w:name="_Toc126910747"/>
      <w:bookmarkStart w:id="1065" w:name="_Toc127264487"/>
      <w:bookmarkStart w:id="1066" w:name="_Toc126589264"/>
      <w:bookmarkStart w:id="1067" w:name="_Toc126910757"/>
      <w:bookmarkStart w:id="1068" w:name="_Toc127264497"/>
      <w:bookmarkStart w:id="1069" w:name="_Toc126589265"/>
      <w:bookmarkStart w:id="1070" w:name="_Toc126910758"/>
      <w:bookmarkStart w:id="1071" w:name="_Toc127264498"/>
      <w:bookmarkStart w:id="1072" w:name="_Toc126589266"/>
      <w:bookmarkStart w:id="1073" w:name="_Toc126910759"/>
      <w:bookmarkStart w:id="1074" w:name="_Toc127264499"/>
      <w:bookmarkStart w:id="1075" w:name="_Toc126589393"/>
      <w:bookmarkStart w:id="1076" w:name="_Toc126910886"/>
      <w:bookmarkStart w:id="1077" w:name="_Toc127264626"/>
      <w:bookmarkStart w:id="1078" w:name="_Toc126589394"/>
      <w:bookmarkStart w:id="1079" w:name="_Toc126910887"/>
      <w:bookmarkStart w:id="1080" w:name="_Toc127264627"/>
      <w:bookmarkStart w:id="1081" w:name="_Toc126589395"/>
      <w:bookmarkStart w:id="1082" w:name="_Toc126910888"/>
      <w:bookmarkStart w:id="1083" w:name="_Toc127264628"/>
      <w:bookmarkStart w:id="1084" w:name="_Toc126589423"/>
      <w:bookmarkStart w:id="1085" w:name="_Toc126910916"/>
      <w:bookmarkStart w:id="1086" w:name="_Toc127264656"/>
      <w:bookmarkStart w:id="1087" w:name="_Toc126589424"/>
      <w:bookmarkStart w:id="1088" w:name="_Toc126910917"/>
      <w:bookmarkStart w:id="1089" w:name="_Toc127264657"/>
      <w:bookmarkStart w:id="1090" w:name="_Toc126589425"/>
      <w:bookmarkStart w:id="1091" w:name="_Toc126910918"/>
      <w:bookmarkStart w:id="1092" w:name="_Toc127264658"/>
      <w:bookmarkStart w:id="1093" w:name="_Toc126589426"/>
      <w:bookmarkStart w:id="1094" w:name="_Toc126910919"/>
      <w:bookmarkStart w:id="1095" w:name="_Toc127264659"/>
      <w:bookmarkStart w:id="1096" w:name="_Toc126589427"/>
      <w:bookmarkStart w:id="1097" w:name="_Toc126910920"/>
      <w:bookmarkStart w:id="1098" w:name="_Toc127264660"/>
      <w:bookmarkStart w:id="1099" w:name="_Toc126589428"/>
      <w:bookmarkStart w:id="1100" w:name="_Toc126910921"/>
      <w:bookmarkStart w:id="1101" w:name="_Toc127264661"/>
      <w:bookmarkStart w:id="1102" w:name="_Toc126589429"/>
      <w:bookmarkStart w:id="1103" w:name="_Toc126910922"/>
      <w:bookmarkStart w:id="1104" w:name="_Toc127264662"/>
      <w:bookmarkStart w:id="1105" w:name="_Toc126589430"/>
      <w:bookmarkStart w:id="1106" w:name="_Toc126910923"/>
      <w:bookmarkStart w:id="1107" w:name="_Toc127264663"/>
      <w:bookmarkStart w:id="1108" w:name="_Toc126589504"/>
      <w:bookmarkStart w:id="1109" w:name="_Toc126910997"/>
      <w:bookmarkStart w:id="1110" w:name="_Toc127264737"/>
      <w:bookmarkStart w:id="1111" w:name="_Toc126589505"/>
      <w:bookmarkStart w:id="1112" w:name="_Toc126910998"/>
      <w:bookmarkStart w:id="1113" w:name="_Toc127264738"/>
      <w:bookmarkStart w:id="1114" w:name="_Toc126589544"/>
      <w:bookmarkStart w:id="1115" w:name="_Toc126911037"/>
      <w:bookmarkStart w:id="1116" w:name="_Toc127264777"/>
      <w:bookmarkStart w:id="1117" w:name="_Toc126589545"/>
      <w:bookmarkStart w:id="1118" w:name="_Toc126911038"/>
      <w:bookmarkStart w:id="1119" w:name="_Toc127264778"/>
      <w:bookmarkStart w:id="1120" w:name="_Toc126589716"/>
      <w:bookmarkStart w:id="1121" w:name="_Toc126911209"/>
      <w:bookmarkStart w:id="1122" w:name="_Toc127264949"/>
      <w:bookmarkStart w:id="1123" w:name="_Toc126589717"/>
      <w:bookmarkStart w:id="1124" w:name="_Toc126911210"/>
      <w:bookmarkStart w:id="1125" w:name="_Toc127264950"/>
      <w:bookmarkStart w:id="1126" w:name="_Toc126589718"/>
      <w:bookmarkStart w:id="1127" w:name="_Toc126911211"/>
      <w:bookmarkStart w:id="1128" w:name="_Toc127264951"/>
      <w:bookmarkStart w:id="1129" w:name="_Toc126589771"/>
      <w:bookmarkStart w:id="1130" w:name="_Toc126911264"/>
      <w:bookmarkStart w:id="1131" w:name="_Toc127265004"/>
      <w:bookmarkStart w:id="1132" w:name="_Toc126589772"/>
      <w:bookmarkStart w:id="1133" w:name="_Toc126911265"/>
      <w:bookmarkStart w:id="1134" w:name="_Toc127265005"/>
      <w:bookmarkStart w:id="1135" w:name="_Toc126589773"/>
      <w:bookmarkStart w:id="1136" w:name="_Toc126911266"/>
      <w:bookmarkStart w:id="1137" w:name="_Toc127265006"/>
      <w:bookmarkStart w:id="1138" w:name="_Toc126589826"/>
      <w:bookmarkStart w:id="1139" w:name="_Toc126911319"/>
      <w:bookmarkStart w:id="1140" w:name="_Toc127265059"/>
      <w:bookmarkStart w:id="1141" w:name="_Toc126589827"/>
      <w:bookmarkStart w:id="1142" w:name="_Toc126911320"/>
      <w:bookmarkStart w:id="1143" w:name="_Toc127265060"/>
      <w:bookmarkStart w:id="1144" w:name="_Toc126589828"/>
      <w:bookmarkStart w:id="1145" w:name="_Toc126911321"/>
      <w:bookmarkStart w:id="1146" w:name="_Toc127265061"/>
      <w:bookmarkStart w:id="1147" w:name="_Toc126589881"/>
      <w:bookmarkStart w:id="1148" w:name="_Toc126911374"/>
      <w:bookmarkStart w:id="1149" w:name="_Toc127265114"/>
      <w:bookmarkStart w:id="1150" w:name="_Toc126589882"/>
      <w:bookmarkStart w:id="1151" w:name="_Toc126911375"/>
      <w:bookmarkStart w:id="1152" w:name="_Toc127265115"/>
      <w:bookmarkStart w:id="1153" w:name="_Toc126589883"/>
      <w:bookmarkStart w:id="1154" w:name="_Toc126911376"/>
      <w:bookmarkStart w:id="1155" w:name="_Toc127265116"/>
      <w:bookmarkStart w:id="1156" w:name="_Toc126589884"/>
      <w:bookmarkStart w:id="1157" w:name="_Toc126911377"/>
      <w:bookmarkStart w:id="1158" w:name="_Toc127265117"/>
      <w:bookmarkStart w:id="1159" w:name="_Toc126589946"/>
      <w:bookmarkStart w:id="1160" w:name="_Toc126911439"/>
      <w:bookmarkStart w:id="1161" w:name="_Toc127265179"/>
      <w:bookmarkStart w:id="1162" w:name="_Toc126589947"/>
      <w:bookmarkStart w:id="1163" w:name="_Toc126911440"/>
      <w:bookmarkStart w:id="1164" w:name="_Toc127265180"/>
      <w:bookmarkStart w:id="1165" w:name="_Toc126590009"/>
      <w:bookmarkStart w:id="1166" w:name="_Toc126911502"/>
      <w:bookmarkStart w:id="1167" w:name="_Toc127265242"/>
      <w:bookmarkStart w:id="1168" w:name="_Toc126590010"/>
      <w:bookmarkStart w:id="1169" w:name="_Toc126911503"/>
      <w:bookmarkStart w:id="1170" w:name="_Toc127265243"/>
      <w:bookmarkStart w:id="1171" w:name="_Toc126590072"/>
      <w:bookmarkStart w:id="1172" w:name="_Toc126911565"/>
      <w:bookmarkStart w:id="1173" w:name="_Toc127265305"/>
      <w:bookmarkStart w:id="1174" w:name="_Toc126590073"/>
      <w:bookmarkStart w:id="1175" w:name="_Toc126911566"/>
      <w:bookmarkStart w:id="1176" w:name="_Toc127265306"/>
      <w:bookmarkStart w:id="1177" w:name="_Toc126590074"/>
      <w:bookmarkStart w:id="1178" w:name="_Toc126911567"/>
      <w:bookmarkStart w:id="1179" w:name="_Toc127265307"/>
      <w:bookmarkStart w:id="1180" w:name="_Toc126590075"/>
      <w:bookmarkStart w:id="1181" w:name="_Toc126911568"/>
      <w:bookmarkStart w:id="1182" w:name="_Toc127265308"/>
      <w:bookmarkStart w:id="1183" w:name="_Toc126590076"/>
      <w:bookmarkStart w:id="1184" w:name="_Toc126911569"/>
      <w:bookmarkStart w:id="1185" w:name="_Toc127265309"/>
      <w:bookmarkStart w:id="1186" w:name="_Toc126590077"/>
      <w:bookmarkStart w:id="1187" w:name="_Toc126911570"/>
      <w:bookmarkStart w:id="1188" w:name="_Toc127265310"/>
      <w:bookmarkStart w:id="1189" w:name="_Toc126590078"/>
      <w:bookmarkStart w:id="1190" w:name="_Toc126911571"/>
      <w:bookmarkStart w:id="1191" w:name="_Toc127265311"/>
      <w:bookmarkStart w:id="1192" w:name="_Toc126590079"/>
      <w:bookmarkStart w:id="1193" w:name="_Toc126911572"/>
      <w:bookmarkStart w:id="1194" w:name="_Toc127265312"/>
      <w:bookmarkStart w:id="1195" w:name="_Toc126590158"/>
      <w:bookmarkStart w:id="1196" w:name="_Toc126911651"/>
      <w:bookmarkStart w:id="1197" w:name="_Toc127265391"/>
      <w:bookmarkStart w:id="1198" w:name="_Toc126590159"/>
      <w:bookmarkStart w:id="1199" w:name="_Toc126911652"/>
      <w:bookmarkStart w:id="1200" w:name="_Toc127265392"/>
      <w:bookmarkStart w:id="1201" w:name="_Toc126590160"/>
      <w:bookmarkStart w:id="1202" w:name="_Toc126911653"/>
      <w:bookmarkStart w:id="1203" w:name="_Toc127265393"/>
      <w:bookmarkStart w:id="1204" w:name="_Toc126590231"/>
      <w:bookmarkStart w:id="1205" w:name="_Toc126911724"/>
      <w:bookmarkStart w:id="1206" w:name="_Toc127265464"/>
      <w:bookmarkStart w:id="1207" w:name="_Toc126590232"/>
      <w:bookmarkStart w:id="1208" w:name="_Toc126911725"/>
      <w:bookmarkStart w:id="1209" w:name="_Toc127265465"/>
      <w:bookmarkStart w:id="1210" w:name="_Toc126590233"/>
      <w:bookmarkStart w:id="1211" w:name="_Toc126911726"/>
      <w:bookmarkStart w:id="1212" w:name="_Toc127265466"/>
      <w:bookmarkStart w:id="1213" w:name="_Toc126590234"/>
      <w:bookmarkStart w:id="1214" w:name="_Toc126911727"/>
      <w:bookmarkStart w:id="1215" w:name="_Toc127265467"/>
      <w:bookmarkStart w:id="1216" w:name="_Toc126590235"/>
      <w:bookmarkStart w:id="1217" w:name="_Toc126911728"/>
      <w:bookmarkStart w:id="1218" w:name="_Toc127265468"/>
      <w:bookmarkStart w:id="1219" w:name="_Toc126590284"/>
      <w:bookmarkStart w:id="1220" w:name="_Toc126911777"/>
      <w:bookmarkStart w:id="1221" w:name="_Toc127265517"/>
      <w:bookmarkStart w:id="1222" w:name="_Toc126590285"/>
      <w:bookmarkStart w:id="1223" w:name="_Toc126911778"/>
      <w:bookmarkStart w:id="1224" w:name="_Toc127265518"/>
      <w:bookmarkStart w:id="1225" w:name="_Toc126590309"/>
      <w:bookmarkStart w:id="1226" w:name="_Toc126911802"/>
      <w:bookmarkStart w:id="1227" w:name="_Toc127265542"/>
      <w:bookmarkStart w:id="1228" w:name="_Toc126590310"/>
      <w:bookmarkStart w:id="1229" w:name="_Toc126911803"/>
      <w:bookmarkStart w:id="1230" w:name="_Toc127265543"/>
      <w:bookmarkStart w:id="1231" w:name="_Toc126590311"/>
      <w:bookmarkStart w:id="1232" w:name="_Toc126911804"/>
      <w:bookmarkStart w:id="1233" w:name="_Toc127265544"/>
      <w:bookmarkStart w:id="1234" w:name="_Toc126590312"/>
      <w:bookmarkStart w:id="1235" w:name="_Toc126911805"/>
      <w:bookmarkStart w:id="1236" w:name="_Toc127265545"/>
      <w:bookmarkStart w:id="1237" w:name="_Toc126590313"/>
      <w:bookmarkStart w:id="1238" w:name="_Toc126911806"/>
      <w:bookmarkStart w:id="1239" w:name="_Toc127265546"/>
      <w:bookmarkStart w:id="1240" w:name="_Toc126590314"/>
      <w:bookmarkStart w:id="1241" w:name="_Toc126911807"/>
      <w:bookmarkStart w:id="1242" w:name="_Toc127265547"/>
      <w:bookmarkStart w:id="1243" w:name="_Toc126590315"/>
      <w:bookmarkStart w:id="1244" w:name="_Toc126911808"/>
      <w:bookmarkStart w:id="1245" w:name="_Toc127265548"/>
      <w:bookmarkStart w:id="1246" w:name="_Toc126590389"/>
      <w:bookmarkStart w:id="1247" w:name="_Toc126911882"/>
      <w:bookmarkStart w:id="1248" w:name="_Toc127265622"/>
      <w:bookmarkStart w:id="1249" w:name="_Toc126590390"/>
      <w:bookmarkStart w:id="1250" w:name="_Toc126911883"/>
      <w:bookmarkStart w:id="1251" w:name="_Toc127265623"/>
      <w:bookmarkStart w:id="1252" w:name="_Toc126590428"/>
      <w:bookmarkStart w:id="1253" w:name="_Toc126911921"/>
      <w:bookmarkStart w:id="1254" w:name="_Toc127265661"/>
      <w:bookmarkStart w:id="1255" w:name="_Toc126590429"/>
      <w:bookmarkStart w:id="1256" w:name="_Toc126911922"/>
      <w:bookmarkStart w:id="1257" w:name="_Toc127265662"/>
      <w:bookmarkStart w:id="1258" w:name="_Toc126590430"/>
      <w:bookmarkStart w:id="1259" w:name="_Toc126911923"/>
      <w:bookmarkStart w:id="1260" w:name="_Toc127265663"/>
      <w:bookmarkStart w:id="1261" w:name="_Toc126590431"/>
      <w:bookmarkStart w:id="1262" w:name="_Toc126911924"/>
      <w:bookmarkStart w:id="1263" w:name="_Toc127265664"/>
      <w:bookmarkStart w:id="1264" w:name="_Toc126590432"/>
      <w:bookmarkStart w:id="1265" w:name="_Toc126911925"/>
      <w:bookmarkStart w:id="1266" w:name="_Toc127265665"/>
      <w:bookmarkStart w:id="1267" w:name="_Toc126590485"/>
      <w:bookmarkStart w:id="1268" w:name="_Toc126911978"/>
      <w:bookmarkStart w:id="1269" w:name="_Toc127265718"/>
      <w:bookmarkStart w:id="1270" w:name="_Toc126590486"/>
      <w:bookmarkStart w:id="1271" w:name="_Toc126911979"/>
      <w:bookmarkStart w:id="1272" w:name="_Toc127265719"/>
      <w:bookmarkStart w:id="1273" w:name="_Toc126590487"/>
      <w:bookmarkStart w:id="1274" w:name="_Toc126911980"/>
      <w:bookmarkStart w:id="1275" w:name="_Toc127265720"/>
      <w:bookmarkStart w:id="1276" w:name="_Toc126590540"/>
      <w:bookmarkStart w:id="1277" w:name="_Toc126912033"/>
      <w:bookmarkStart w:id="1278" w:name="_Toc127265773"/>
      <w:bookmarkStart w:id="1279" w:name="_Toc126590541"/>
      <w:bookmarkStart w:id="1280" w:name="_Toc126912034"/>
      <w:bookmarkStart w:id="1281" w:name="_Toc127265774"/>
      <w:bookmarkStart w:id="1282" w:name="_Toc126590542"/>
      <w:bookmarkStart w:id="1283" w:name="_Toc126912035"/>
      <w:bookmarkStart w:id="1284" w:name="_Toc127265775"/>
      <w:bookmarkStart w:id="1285" w:name="_Toc126590595"/>
      <w:bookmarkStart w:id="1286" w:name="_Toc126912088"/>
      <w:bookmarkStart w:id="1287" w:name="_Toc127265828"/>
      <w:bookmarkStart w:id="1288" w:name="_Toc126590596"/>
      <w:bookmarkStart w:id="1289" w:name="_Toc126912089"/>
      <w:bookmarkStart w:id="1290" w:name="_Toc127265829"/>
      <w:bookmarkStart w:id="1291" w:name="_Toc126590597"/>
      <w:bookmarkStart w:id="1292" w:name="_Toc126912090"/>
      <w:bookmarkStart w:id="1293" w:name="_Toc127265830"/>
      <w:bookmarkStart w:id="1294" w:name="_Toc126590659"/>
      <w:bookmarkStart w:id="1295" w:name="_Toc126912152"/>
      <w:bookmarkStart w:id="1296" w:name="_Toc127265892"/>
      <w:bookmarkStart w:id="1297" w:name="_Toc126590660"/>
      <w:bookmarkStart w:id="1298" w:name="_Toc126912153"/>
      <w:bookmarkStart w:id="1299" w:name="_Toc127265893"/>
      <w:bookmarkStart w:id="1300" w:name="_Toc126590722"/>
      <w:bookmarkStart w:id="1301" w:name="_Toc126912215"/>
      <w:bookmarkStart w:id="1302" w:name="_Toc127265955"/>
      <w:bookmarkStart w:id="1303" w:name="_Toc126590723"/>
      <w:bookmarkStart w:id="1304" w:name="_Toc126912216"/>
      <w:bookmarkStart w:id="1305" w:name="_Toc127265956"/>
      <w:bookmarkStart w:id="1306" w:name="_Toc126590785"/>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14:paraId="7B2F952D" w14:textId="77777777" w:rsidR="00AC1B9B" w:rsidRDefault="000F5B51" w:rsidP="00CC65F7">
      <w:pPr>
        <w:pStyle w:val="Heading2"/>
        <w:spacing w:line="240" w:lineRule="auto"/>
      </w:pPr>
      <w:bookmarkStart w:id="1307" w:name="_Toc126912278"/>
      <w:bookmarkStart w:id="1308" w:name="_Toc127266018"/>
      <w:bookmarkStart w:id="1309" w:name="_Toc126590786"/>
      <w:bookmarkStart w:id="1310" w:name="_Toc126912279"/>
      <w:bookmarkStart w:id="1311" w:name="_Toc127266019"/>
      <w:bookmarkStart w:id="1312" w:name="_Toc142902985"/>
      <w:bookmarkEnd w:id="1307"/>
      <w:bookmarkEnd w:id="1308"/>
      <w:bookmarkEnd w:id="1309"/>
      <w:bookmarkEnd w:id="1310"/>
      <w:bookmarkEnd w:id="1311"/>
      <w:r>
        <w:lastRenderedPageBreak/>
        <w:t>Change of Status Warning</w:t>
      </w:r>
      <w:bookmarkEnd w:id="1312"/>
    </w:p>
    <w:p w14:paraId="6B7AE637" w14:textId="77777777" w:rsidR="00FA1618" w:rsidRDefault="000F5B51">
      <w:pPr>
        <w:spacing w:after="0"/>
        <w:rPr>
          <w:rFonts w:eastAsia="Times New Roman" w:cs="Times New Roman"/>
        </w:rPr>
      </w:pPr>
      <w:r w:rsidRPr="4CA445B8">
        <w:rPr>
          <w:rFonts w:eastAsia="Times New Roman" w:cs="Times New Roman"/>
        </w:rPr>
        <w:t>This section discusses the</w:t>
      </w:r>
      <w:r>
        <w:t xml:space="preserve"> benefits </w:t>
      </w:r>
      <w:r w:rsidR="00B47C55">
        <w:t>associated with the</w:t>
      </w:r>
      <w:r>
        <w:t xml:space="preserve"> </w:t>
      </w:r>
      <w:r w:rsidR="00B47C55">
        <w:t xml:space="preserve">requirements for a change in status warning </w:t>
      </w:r>
      <w:r>
        <w:t>in the proposed rule</w:t>
      </w:r>
      <w:r w:rsidR="001F2F92">
        <w:rPr>
          <w:rFonts w:eastAsia="Times New Roman" w:cs="Times New Roman"/>
        </w:rPr>
        <w:t xml:space="preserve">. </w:t>
      </w:r>
      <w:r>
        <w:t xml:space="preserve">The agency is </w:t>
      </w:r>
      <w:r w:rsidRPr="00B821A6">
        <w:t>proposing</w:t>
      </w:r>
      <w:r>
        <w:t xml:space="preserve"> to require</w:t>
      </w:r>
      <w:r w:rsidRPr="00B821A6">
        <w:t xml:space="preserve"> an audiovisual warning whenever a fastened </w:t>
      </w:r>
      <w:r>
        <w:t xml:space="preserve">front </w:t>
      </w:r>
      <w:r w:rsidR="533ACC61">
        <w:t>outboard</w:t>
      </w:r>
      <w:r w:rsidR="3D417625">
        <w:t xml:space="preserve"> </w:t>
      </w:r>
      <w:r>
        <w:t xml:space="preserve">or rear passenger </w:t>
      </w:r>
      <w:r w:rsidRPr="00B821A6">
        <w:t>seat belt becomes unfastened while the vehicle's ignition switch is in the “on” or “start” position and the vehicle’s transmission selector is in a forward or reverse gear</w:t>
      </w:r>
      <w:r w:rsidR="001F2F92">
        <w:t xml:space="preserve">. </w:t>
      </w:r>
      <w:r w:rsidR="003140CB">
        <w:t xml:space="preserve">The system would be required to </w:t>
      </w:r>
      <w:r w:rsidR="000A4CA4" w:rsidRPr="4CA445B8">
        <w:rPr>
          <w:rFonts w:eastAsia="Times New Roman" w:cs="Times New Roman"/>
        </w:rPr>
        <w:t xml:space="preserve">provide an audiovisual warning indicating a seat belt was unfastened for at least 30 seconds </w:t>
      </w:r>
      <w:r w:rsidR="77201433" w:rsidRPr="4CA445B8">
        <w:rPr>
          <w:rFonts w:eastAsia="Times New Roman" w:cs="Times New Roman"/>
        </w:rPr>
        <w:t xml:space="preserve">for rear seats </w:t>
      </w:r>
      <w:r w:rsidR="000A4CA4" w:rsidRPr="4CA445B8">
        <w:rPr>
          <w:rFonts w:eastAsia="Times New Roman" w:cs="Times New Roman"/>
        </w:rPr>
        <w:t>or until the seat belt is refastened</w:t>
      </w:r>
      <w:r w:rsidR="01676911" w:rsidRPr="4CA445B8">
        <w:rPr>
          <w:rFonts w:eastAsia="Times New Roman" w:cs="Times New Roman"/>
        </w:rPr>
        <w:t xml:space="preserve"> for the front outboard seats</w:t>
      </w:r>
      <w:r w:rsidR="000A4CA4" w:rsidRPr="4CA445B8">
        <w:rPr>
          <w:rFonts w:eastAsia="Times New Roman" w:cs="Times New Roman"/>
        </w:rPr>
        <w:t xml:space="preserve">. </w:t>
      </w:r>
    </w:p>
    <w:p w14:paraId="64DECA62" w14:textId="77777777" w:rsidR="003A501C" w:rsidRDefault="000F5B51">
      <w:pPr>
        <w:spacing w:after="0"/>
        <w:rPr>
          <w:rFonts w:eastAsia="Times New Roman" w:cs="Times New Roman"/>
          <w:szCs w:val="24"/>
        </w:rPr>
      </w:pPr>
      <w:r>
        <w:rPr>
          <w:rFonts w:eastAsia="Times New Roman" w:cs="Times New Roman"/>
          <w:szCs w:val="24"/>
        </w:rPr>
        <w:t xml:space="preserve">The </w:t>
      </w:r>
      <w:r w:rsidRPr="008D657C">
        <w:rPr>
          <w:rFonts w:eastAsia="Times New Roman" w:cs="Times New Roman"/>
          <w:szCs w:val="24"/>
        </w:rPr>
        <w:t>Euro NCAP assessment protocol requires a change of status warning when a seat belt experiences a change of status (from buckled to unbuckled) at vehicle speeds above 25 km/h</w:t>
      </w:r>
      <w:r w:rsidRPr="00571174">
        <w:t xml:space="preserve"> </w:t>
      </w:r>
      <w:r w:rsidRPr="00571174">
        <w:rPr>
          <w:rFonts w:eastAsia="Times New Roman" w:cs="Times New Roman"/>
          <w:szCs w:val="24"/>
        </w:rPr>
        <w:t xml:space="preserve">or </w:t>
      </w:r>
      <w:r>
        <w:rPr>
          <w:rFonts w:eastAsia="Times New Roman" w:cs="Times New Roman"/>
          <w:szCs w:val="24"/>
        </w:rPr>
        <w:t xml:space="preserve">a </w:t>
      </w:r>
      <w:r w:rsidRPr="00571174">
        <w:rPr>
          <w:rFonts w:eastAsia="Times New Roman" w:cs="Times New Roman"/>
          <w:szCs w:val="24"/>
        </w:rPr>
        <w:t>distance traveled threshold for systems with occupant detection</w:t>
      </w:r>
      <w:r w:rsidR="001F2F92">
        <w:rPr>
          <w:rFonts w:eastAsia="Times New Roman" w:cs="Times New Roman"/>
          <w:szCs w:val="24"/>
        </w:rPr>
        <w:t xml:space="preserve">. </w:t>
      </w:r>
      <w:r>
        <w:rPr>
          <w:rFonts w:eastAsia="Times New Roman" w:cs="Times New Roman"/>
          <w:szCs w:val="24"/>
        </w:rPr>
        <w:t>For rear seats</w:t>
      </w:r>
      <w:r w:rsidR="001B1109">
        <w:rPr>
          <w:rFonts w:eastAsia="Times New Roman" w:cs="Times New Roman"/>
          <w:szCs w:val="24"/>
        </w:rPr>
        <w:t>,</w:t>
      </w:r>
      <w:r>
        <w:rPr>
          <w:rFonts w:eastAsia="Times New Roman" w:cs="Times New Roman"/>
          <w:szCs w:val="24"/>
        </w:rPr>
        <w:t xml:space="preserve"> the system must also activate a 30 second audible signal</w:t>
      </w:r>
      <w:r w:rsidR="00151991">
        <w:rPr>
          <w:rFonts w:eastAsia="Times New Roman" w:cs="Times New Roman"/>
          <w:szCs w:val="24"/>
        </w:rPr>
        <w:t xml:space="preserve"> and a 60 second visual signal</w:t>
      </w:r>
      <w:r w:rsidRPr="008D657C">
        <w:rPr>
          <w:rFonts w:eastAsia="Times New Roman" w:cs="Times New Roman"/>
          <w:szCs w:val="24"/>
        </w:rPr>
        <w:t xml:space="preserve">. </w:t>
      </w:r>
      <w:r w:rsidR="004A24C6">
        <w:rPr>
          <w:rFonts w:eastAsia="Times New Roman" w:cs="Times New Roman"/>
          <w:szCs w:val="24"/>
        </w:rPr>
        <w:t>In contrast to</w:t>
      </w:r>
      <w:r w:rsidR="004A24C6" w:rsidRPr="008D657C">
        <w:rPr>
          <w:rFonts w:eastAsia="Times New Roman" w:cs="Times New Roman"/>
          <w:szCs w:val="24"/>
        </w:rPr>
        <w:t xml:space="preserve"> the Euro NCAP assessment protocol for the change of status warning, </w:t>
      </w:r>
      <w:r w:rsidR="004A24C6">
        <w:rPr>
          <w:rFonts w:eastAsia="Times New Roman" w:cs="Times New Roman"/>
          <w:szCs w:val="24"/>
        </w:rPr>
        <w:t>this rulemaking</w:t>
      </w:r>
      <w:r w:rsidR="004A24C6" w:rsidRPr="008D657C">
        <w:rPr>
          <w:rFonts w:eastAsia="Times New Roman" w:cs="Times New Roman"/>
          <w:szCs w:val="24"/>
        </w:rPr>
        <w:t xml:space="preserve"> propose</w:t>
      </w:r>
      <w:r w:rsidR="004A24C6">
        <w:rPr>
          <w:rFonts w:eastAsia="Times New Roman" w:cs="Times New Roman"/>
          <w:szCs w:val="24"/>
        </w:rPr>
        <w:t>s</w:t>
      </w:r>
      <w:r w:rsidR="004A24C6" w:rsidRPr="008D657C">
        <w:rPr>
          <w:rFonts w:eastAsia="Times New Roman" w:cs="Times New Roman"/>
          <w:szCs w:val="24"/>
        </w:rPr>
        <w:t xml:space="preserve"> that the change of status warning </w:t>
      </w:r>
      <w:r w:rsidR="00015A10">
        <w:rPr>
          <w:rFonts w:eastAsia="Times New Roman" w:cs="Times New Roman"/>
          <w:szCs w:val="24"/>
        </w:rPr>
        <w:t>to</w:t>
      </w:r>
      <w:r w:rsidR="004A24C6" w:rsidRPr="008D657C">
        <w:rPr>
          <w:rFonts w:eastAsia="Times New Roman" w:cs="Times New Roman"/>
          <w:szCs w:val="24"/>
        </w:rPr>
        <w:t xml:space="preserve"> activate when the transmission is in any forward or reverse position instead of using a s</w:t>
      </w:r>
      <w:r w:rsidR="00015A10">
        <w:rPr>
          <w:rFonts w:eastAsia="Times New Roman" w:cs="Times New Roman"/>
          <w:szCs w:val="24"/>
        </w:rPr>
        <w:t>pecific s</w:t>
      </w:r>
      <w:r w:rsidR="004A24C6" w:rsidRPr="008D657C">
        <w:rPr>
          <w:rFonts w:eastAsia="Times New Roman" w:cs="Times New Roman"/>
          <w:szCs w:val="24"/>
        </w:rPr>
        <w:t>peed threshold</w:t>
      </w:r>
      <w:r w:rsidR="001F2F92">
        <w:rPr>
          <w:rFonts w:eastAsia="Times New Roman" w:cs="Times New Roman"/>
          <w:szCs w:val="24"/>
        </w:rPr>
        <w:t xml:space="preserve">. </w:t>
      </w:r>
      <w:r w:rsidR="004A24C6" w:rsidRPr="008D657C">
        <w:rPr>
          <w:rFonts w:eastAsia="Times New Roman" w:cs="Times New Roman"/>
          <w:szCs w:val="24"/>
        </w:rPr>
        <w:t>This would allow the change of status warning to activate at low speeds or when the vehicle is stopped (e.g., at a traffic light, in traffic, etc.)</w:t>
      </w:r>
      <w:r w:rsidR="001F2F92">
        <w:rPr>
          <w:rFonts w:eastAsia="Times New Roman" w:cs="Times New Roman"/>
          <w:szCs w:val="24"/>
        </w:rPr>
        <w:t xml:space="preserve">. </w:t>
      </w:r>
      <w:r>
        <w:rPr>
          <w:rFonts w:eastAsia="Times New Roman" w:cs="Times New Roman"/>
          <w:szCs w:val="24"/>
        </w:rPr>
        <w:t>We believe</w:t>
      </w:r>
      <w:r w:rsidRPr="008D657C">
        <w:rPr>
          <w:rFonts w:eastAsia="Times New Roman" w:cs="Times New Roman"/>
          <w:szCs w:val="24"/>
        </w:rPr>
        <w:t xml:space="preserve"> th</w:t>
      </w:r>
      <w:r w:rsidR="007222CB">
        <w:rPr>
          <w:rFonts w:eastAsia="Times New Roman" w:cs="Times New Roman"/>
          <w:szCs w:val="24"/>
        </w:rPr>
        <w:t>at the</w:t>
      </w:r>
      <w:r w:rsidRPr="008D657C">
        <w:rPr>
          <w:rFonts w:eastAsia="Times New Roman" w:cs="Times New Roman"/>
          <w:szCs w:val="24"/>
        </w:rPr>
        <w:t xml:space="preserve"> </w:t>
      </w:r>
      <w:r>
        <w:rPr>
          <w:rFonts w:eastAsia="Times New Roman" w:cs="Times New Roman"/>
          <w:szCs w:val="24"/>
        </w:rPr>
        <w:t>SBWS</w:t>
      </w:r>
      <w:r w:rsidRPr="008D657C">
        <w:rPr>
          <w:rFonts w:eastAsia="Times New Roman" w:cs="Times New Roman"/>
          <w:szCs w:val="24"/>
        </w:rPr>
        <w:t>s for rear seating positions that are available in vehicles</w:t>
      </w:r>
      <w:r w:rsidR="007222CB">
        <w:rPr>
          <w:rFonts w:eastAsia="Times New Roman" w:cs="Times New Roman"/>
          <w:szCs w:val="24"/>
        </w:rPr>
        <w:t xml:space="preserve"> in the United States</w:t>
      </w:r>
      <w:r w:rsidRPr="008D657C">
        <w:rPr>
          <w:rFonts w:eastAsia="Times New Roman" w:cs="Times New Roman"/>
          <w:szCs w:val="24"/>
        </w:rPr>
        <w:t xml:space="preserve"> </w:t>
      </w:r>
      <w:r w:rsidR="00E04E33">
        <w:rPr>
          <w:rFonts w:eastAsia="Times New Roman" w:cs="Times New Roman"/>
          <w:szCs w:val="24"/>
        </w:rPr>
        <w:t>are capable of</w:t>
      </w:r>
      <w:r w:rsidRPr="008D657C">
        <w:rPr>
          <w:rFonts w:eastAsia="Times New Roman" w:cs="Times New Roman"/>
          <w:szCs w:val="24"/>
        </w:rPr>
        <w:t xml:space="preserve"> providing </w:t>
      </w:r>
      <w:r w:rsidR="008103C5">
        <w:rPr>
          <w:rFonts w:eastAsia="Times New Roman" w:cs="Times New Roman"/>
          <w:szCs w:val="24"/>
        </w:rPr>
        <w:t>th</w:t>
      </w:r>
      <w:r w:rsidR="004A24C6">
        <w:rPr>
          <w:rFonts w:eastAsia="Times New Roman" w:cs="Times New Roman"/>
          <w:szCs w:val="24"/>
        </w:rPr>
        <w:t>is</w:t>
      </w:r>
      <w:r w:rsidRPr="008D657C">
        <w:rPr>
          <w:rFonts w:eastAsia="Times New Roman" w:cs="Times New Roman"/>
          <w:szCs w:val="24"/>
        </w:rPr>
        <w:t xml:space="preserve"> </w:t>
      </w:r>
      <w:r w:rsidR="00CC7A82">
        <w:rPr>
          <w:rFonts w:eastAsia="Times New Roman" w:cs="Times New Roman"/>
          <w:szCs w:val="24"/>
        </w:rPr>
        <w:t>type of</w:t>
      </w:r>
      <w:r w:rsidR="008103C5">
        <w:rPr>
          <w:rFonts w:eastAsia="Times New Roman" w:cs="Times New Roman"/>
          <w:szCs w:val="24"/>
        </w:rPr>
        <w:t xml:space="preserve"> </w:t>
      </w:r>
      <w:r w:rsidRPr="008D657C">
        <w:rPr>
          <w:rFonts w:eastAsia="Times New Roman" w:cs="Times New Roman"/>
          <w:szCs w:val="24"/>
        </w:rPr>
        <w:t xml:space="preserve">change of status warning to the driver. </w:t>
      </w:r>
    </w:p>
    <w:p w14:paraId="5206FBED" w14:textId="77777777" w:rsidR="00AC1B9B" w:rsidRDefault="000F5B51">
      <w:pPr>
        <w:spacing w:after="0"/>
        <w:rPr>
          <w:rFonts w:eastAsia="Times New Roman" w:cs="Times New Roman"/>
          <w:szCs w:val="24"/>
        </w:rPr>
      </w:pPr>
      <w:r>
        <w:rPr>
          <w:rFonts w:eastAsia="Times New Roman" w:cs="Times New Roman"/>
          <w:szCs w:val="24"/>
        </w:rPr>
        <w:t>F</w:t>
      </w:r>
      <w:r w:rsidRPr="008D657C">
        <w:rPr>
          <w:rFonts w:eastAsia="Times New Roman" w:cs="Times New Roman"/>
          <w:szCs w:val="24"/>
        </w:rPr>
        <w:t xml:space="preserve">or drivers that transport children restrained by seat belts, </w:t>
      </w:r>
      <w:r w:rsidR="00B91B73">
        <w:rPr>
          <w:rFonts w:eastAsia="Times New Roman" w:cs="Times New Roman"/>
          <w:szCs w:val="24"/>
        </w:rPr>
        <w:t>this feature</w:t>
      </w:r>
      <w:r w:rsidRPr="008D657C">
        <w:rPr>
          <w:rFonts w:eastAsia="Times New Roman" w:cs="Times New Roman"/>
          <w:szCs w:val="24"/>
        </w:rPr>
        <w:t xml:space="preserve"> may reduce the risk of injury to children by alerting the driver that the child has unbuckled his or her seat belt and may potentially prevent such a behavior in the future</w:t>
      </w:r>
      <w:r w:rsidR="001F2F92">
        <w:rPr>
          <w:rFonts w:eastAsia="Times New Roman" w:cs="Times New Roman"/>
          <w:szCs w:val="24"/>
        </w:rPr>
        <w:t xml:space="preserve">. </w:t>
      </w:r>
      <w:r w:rsidRPr="008D657C">
        <w:rPr>
          <w:rFonts w:eastAsia="Times New Roman" w:cs="Times New Roman"/>
          <w:szCs w:val="24"/>
        </w:rPr>
        <w:t xml:space="preserve">In fact, the 2012 IIHS survey found that more than three-quarters of drivers supported belt </w:t>
      </w:r>
      <w:r>
        <w:rPr>
          <w:rFonts w:eastAsia="Times New Roman" w:cs="Times New Roman"/>
          <w:szCs w:val="24"/>
        </w:rPr>
        <w:t>warning</w:t>
      </w:r>
      <w:r w:rsidRPr="008D657C">
        <w:rPr>
          <w:rFonts w:eastAsia="Times New Roman" w:cs="Times New Roman"/>
          <w:szCs w:val="24"/>
        </w:rPr>
        <w:t xml:space="preserve">s that would alert them when children in </w:t>
      </w:r>
      <w:r w:rsidRPr="008D657C">
        <w:rPr>
          <w:rFonts w:eastAsia="Times New Roman" w:cs="Times New Roman"/>
          <w:szCs w:val="24"/>
        </w:rPr>
        <w:lastRenderedPageBreak/>
        <w:t>rear seats are not buckled.</w:t>
      </w:r>
      <w:r>
        <w:rPr>
          <w:rFonts w:eastAsia="Times New Roman" w:cs="Times New Roman"/>
          <w:szCs w:val="24"/>
          <w:vertAlign w:val="superscript"/>
        </w:rPr>
        <w:footnoteReference w:id="63"/>
      </w:r>
      <w:r w:rsidRPr="008D657C">
        <w:rPr>
          <w:rFonts w:eastAsia="Times New Roman" w:cs="Times New Roman"/>
          <w:szCs w:val="24"/>
        </w:rPr>
        <w:t xml:space="preserve">  The study also reported that 55 percent of the drivers, who transport children in the rear seat and who said their children do not always use seat belts, have had the experience of their child unbuckling during a trip</w:t>
      </w:r>
      <w:r w:rsidR="001F2F92">
        <w:rPr>
          <w:rFonts w:eastAsia="Times New Roman" w:cs="Times New Roman"/>
          <w:szCs w:val="24"/>
        </w:rPr>
        <w:t xml:space="preserve">. </w:t>
      </w:r>
      <w:r w:rsidRPr="008D657C">
        <w:rPr>
          <w:rFonts w:eastAsia="Times New Roman" w:cs="Times New Roman"/>
          <w:szCs w:val="24"/>
        </w:rPr>
        <w:t xml:space="preserve">ASC, Volvo, IEE, the Consumers Union, and one individual expressed their support for requiring a change of status warning signal in response to the </w:t>
      </w:r>
      <w:r>
        <w:rPr>
          <w:rFonts w:eastAsia="Times New Roman" w:cs="Times New Roman"/>
          <w:szCs w:val="24"/>
        </w:rPr>
        <w:t>request for comment (</w:t>
      </w:r>
      <w:r w:rsidRPr="008D657C">
        <w:rPr>
          <w:rFonts w:eastAsia="Times New Roman" w:cs="Times New Roman"/>
          <w:szCs w:val="24"/>
        </w:rPr>
        <w:t>RFC</w:t>
      </w:r>
      <w:r>
        <w:rPr>
          <w:rFonts w:eastAsia="Times New Roman" w:cs="Times New Roman"/>
          <w:szCs w:val="24"/>
        </w:rPr>
        <w:t>) (75 FR 37343)</w:t>
      </w:r>
      <w:r w:rsidR="001F2F92">
        <w:rPr>
          <w:rFonts w:eastAsia="Times New Roman" w:cs="Times New Roman"/>
          <w:szCs w:val="24"/>
        </w:rPr>
        <w:t xml:space="preserve">. </w:t>
      </w:r>
    </w:p>
    <w:p w14:paraId="70FB8345" w14:textId="77777777" w:rsidR="00D963CD" w:rsidRDefault="000F5B51" w:rsidP="00CC65F7">
      <w:pPr>
        <w:spacing w:after="0"/>
        <w:rPr>
          <w:rFonts w:eastAsia="Times New Roman" w:cs="Times New Roman"/>
        </w:rPr>
      </w:pPr>
      <w:r w:rsidRPr="4CA445B8">
        <w:rPr>
          <w:rFonts w:eastAsia="Times New Roman" w:cs="Times New Roman"/>
        </w:rPr>
        <w:t xml:space="preserve">While this analysis was unable to quantify the benefits associated with this requirement due to data limitations, </w:t>
      </w:r>
      <w:r w:rsidR="00991719" w:rsidRPr="4CA445B8">
        <w:rPr>
          <w:rFonts w:eastAsia="Times New Roman" w:cs="Times New Roman"/>
        </w:rPr>
        <w:t>there are potential safety benefits for the requirement for a change of status signal</w:t>
      </w:r>
      <w:r w:rsidR="001F2F92">
        <w:rPr>
          <w:rFonts w:eastAsia="Times New Roman" w:cs="Times New Roman"/>
        </w:rPr>
        <w:t xml:space="preserve">. </w:t>
      </w:r>
      <w:r w:rsidR="000912CD" w:rsidRPr="4CA445B8">
        <w:rPr>
          <w:rFonts w:eastAsia="Times New Roman" w:cs="Times New Roman"/>
        </w:rPr>
        <w:t xml:space="preserve">We are </w:t>
      </w:r>
      <w:r w:rsidR="54EEDE5F" w:rsidRPr="4CA445B8">
        <w:rPr>
          <w:rFonts w:eastAsia="Times New Roman" w:cs="Times New Roman"/>
        </w:rPr>
        <w:t>request</w:t>
      </w:r>
      <w:r w:rsidR="629096DF" w:rsidRPr="4CA445B8">
        <w:rPr>
          <w:rFonts w:eastAsia="Times New Roman" w:cs="Times New Roman"/>
        </w:rPr>
        <w:t>ing</w:t>
      </w:r>
      <w:r w:rsidR="000912CD" w:rsidRPr="4CA445B8">
        <w:rPr>
          <w:rFonts w:eastAsia="Times New Roman" w:cs="Times New Roman"/>
        </w:rPr>
        <w:t xml:space="preserve"> comment on this requirement and </w:t>
      </w:r>
      <w:r w:rsidR="00AB55D0" w:rsidRPr="4CA445B8">
        <w:rPr>
          <w:rFonts w:eastAsia="Times New Roman" w:cs="Times New Roman"/>
        </w:rPr>
        <w:t xml:space="preserve">the </w:t>
      </w:r>
      <w:r w:rsidR="000912CD" w:rsidRPr="4CA445B8">
        <w:rPr>
          <w:rFonts w:eastAsia="Times New Roman" w:cs="Times New Roman"/>
        </w:rPr>
        <w:t xml:space="preserve">associated </w:t>
      </w:r>
      <w:r w:rsidR="00AB55D0" w:rsidRPr="4CA445B8">
        <w:rPr>
          <w:rFonts w:eastAsia="Times New Roman" w:cs="Times New Roman"/>
        </w:rPr>
        <w:t xml:space="preserve">qualitative </w:t>
      </w:r>
      <w:r w:rsidR="000912CD" w:rsidRPr="4CA445B8">
        <w:rPr>
          <w:rFonts w:eastAsia="Times New Roman" w:cs="Times New Roman"/>
        </w:rPr>
        <w:t>discussion of potential safe</w:t>
      </w:r>
      <w:r w:rsidR="00AB55D0" w:rsidRPr="4CA445B8">
        <w:rPr>
          <w:rFonts w:eastAsia="Times New Roman" w:cs="Times New Roman"/>
        </w:rPr>
        <w:t>ty benefits</w:t>
      </w:r>
      <w:r w:rsidR="001F2F92">
        <w:rPr>
          <w:rFonts w:eastAsia="Times New Roman" w:cs="Times New Roman"/>
        </w:rPr>
        <w:t xml:space="preserve">. </w:t>
      </w:r>
    </w:p>
    <w:p w14:paraId="7BE7D58A" w14:textId="77777777" w:rsidR="00C34EF4" w:rsidRDefault="000F5B51" w:rsidP="00CC65F7">
      <w:pPr>
        <w:pStyle w:val="Heading2"/>
        <w:spacing w:line="240" w:lineRule="auto"/>
      </w:pPr>
      <w:bookmarkStart w:id="1313" w:name="_Toc142902986"/>
      <w:r>
        <w:t>Unquantified Benefits/Alternate Uses</w:t>
      </w:r>
      <w:bookmarkEnd w:id="1313"/>
    </w:p>
    <w:p w14:paraId="07F8097F" w14:textId="77777777" w:rsidR="00AC1B9B" w:rsidRDefault="000F5B51" w:rsidP="00AC1B9B">
      <w:r>
        <w:t xml:space="preserve">Seat belt sensors and occupant detection technology have been discussed in the context of SBWS, but there exists the possibility that these technologies would perhaps aid in potential benefits through alternative uses. Vehicles equipped with automatic emergency </w:t>
      </w:r>
      <w:r w:rsidR="00373378">
        <w:t xml:space="preserve">notification </w:t>
      </w:r>
      <w:r>
        <w:t>during a crash may be able to provide more data to first responders about the number of occupants in the vehicle</w:t>
      </w:r>
      <w:r w:rsidR="00C308AE">
        <w:t xml:space="preserve">. </w:t>
      </w:r>
      <w:r w:rsidR="0013330D">
        <w:t xml:space="preserve">Given current data limitations, </w:t>
      </w:r>
      <w:r>
        <w:t xml:space="preserve">NHTSA is </w:t>
      </w:r>
      <w:r w:rsidR="003E0E1E">
        <w:t xml:space="preserve">unable to quantify the potential safety benefit associated with </w:t>
      </w:r>
      <w:r w:rsidR="002978FD">
        <w:t>alternative uses</w:t>
      </w:r>
      <w:r>
        <w:t xml:space="preserve"> at this time</w:t>
      </w:r>
      <w:r w:rsidR="001F2F92">
        <w:t xml:space="preserve">. </w:t>
      </w:r>
      <w:r w:rsidR="0013330D">
        <w:t xml:space="preserve">However, the agency notes that </w:t>
      </w:r>
      <w:r>
        <w:t xml:space="preserve">increased information about the number of individuals involved in a motor vehicle accident, </w:t>
      </w:r>
      <w:r w:rsidR="00D228C9">
        <w:t>as well as</w:t>
      </w:r>
      <w:r>
        <w:t xml:space="preserve"> their restraint status, might lead to a potential for better safety outcomes</w:t>
      </w:r>
      <w:r w:rsidR="001F2F92">
        <w:t xml:space="preserve">. </w:t>
      </w:r>
    </w:p>
    <w:p w14:paraId="5190F213" w14:textId="77777777" w:rsidR="001D2FEB" w:rsidRDefault="000F5B51" w:rsidP="00AC1B9B">
      <w:r w:rsidRPr="00CC65F7">
        <w:t xml:space="preserve">Additionally, </w:t>
      </w:r>
      <w:r w:rsidR="00F272A7">
        <w:t>increased seat belt use for rear seat occupants</w:t>
      </w:r>
      <w:r w:rsidR="00622B96">
        <w:t xml:space="preserve"> resulting from the proposed rule may generate safety benefits for</w:t>
      </w:r>
      <w:r w:rsidR="00F272A7">
        <w:t xml:space="preserve"> front seat occupants</w:t>
      </w:r>
      <w:r w:rsidR="00622B96">
        <w:t>. That is, front seat occupants</w:t>
      </w:r>
      <w:r w:rsidR="00F272A7">
        <w:t xml:space="preserve"> may avoid injurious </w:t>
      </w:r>
      <w:r w:rsidR="00622B96" w:rsidRPr="000815CA">
        <w:t>interactions from unrestrained rear seat occupants</w:t>
      </w:r>
      <w:r w:rsidR="001F2F92">
        <w:t xml:space="preserve">. </w:t>
      </w:r>
      <w:r w:rsidR="001820E7">
        <w:t>However, due to data limitations, this analysis was not able to quantify those potential safety benefits</w:t>
      </w:r>
      <w:r w:rsidR="001F2F92">
        <w:t xml:space="preserve">. </w:t>
      </w:r>
      <w:r w:rsidRPr="00CC65F7">
        <w:t xml:space="preserve">NHTSA requests comments </w:t>
      </w:r>
      <w:r w:rsidRPr="00CC65F7">
        <w:lastRenderedPageBreak/>
        <w:t xml:space="preserve">on injury rates for </w:t>
      </w:r>
      <w:r w:rsidR="000B0497">
        <w:t xml:space="preserve">cases in which front seat occupants incur injuries resulting from impacts with unrestrained </w:t>
      </w:r>
      <w:r w:rsidRPr="00CC65F7">
        <w:t xml:space="preserve">rear </w:t>
      </w:r>
      <w:r w:rsidR="000B0497">
        <w:t xml:space="preserve">seat </w:t>
      </w:r>
      <w:r w:rsidRPr="00CC65F7">
        <w:t>occupant</w:t>
      </w:r>
      <w:r w:rsidR="000B0497">
        <w:t>s</w:t>
      </w:r>
      <w:r w:rsidRPr="00CC65F7">
        <w:t>.</w:t>
      </w:r>
    </w:p>
    <w:p w14:paraId="329699D0" w14:textId="0CA7B77C" w:rsidR="00051168" w:rsidRPr="00DD4ACB" w:rsidRDefault="00051168" w:rsidP="00AC1B9B">
      <w:r>
        <w:t xml:space="preserve">Lastly, this analysis acknowledges that it is possible that </w:t>
      </w:r>
      <w:r w:rsidR="00C31B41">
        <w:t xml:space="preserve">increases in </w:t>
      </w:r>
      <w:r w:rsidR="0008636C">
        <w:t xml:space="preserve">seat belt usage may correspond with </w:t>
      </w:r>
      <w:r w:rsidR="00264067">
        <w:t xml:space="preserve">an </w:t>
      </w:r>
      <w:r w:rsidR="0008636C">
        <w:t>increase in risky behavior.</w:t>
      </w:r>
      <w:r w:rsidR="00992799">
        <w:rPr>
          <w:rStyle w:val="FootnoteReference"/>
        </w:rPr>
        <w:footnoteReference w:id="64"/>
      </w:r>
      <w:r w:rsidR="0008636C">
        <w:t xml:space="preserve"> </w:t>
      </w:r>
      <w:r w:rsidR="00A83BA9">
        <w:t>Potential increases in risky behavior</w:t>
      </w:r>
      <w:r w:rsidR="00055F92">
        <w:t xml:space="preserve"> </w:t>
      </w:r>
      <w:r w:rsidR="00A83BA9">
        <w:t>could increase the chance of being in a crash</w:t>
      </w:r>
      <w:r w:rsidR="00055F92">
        <w:t xml:space="preserve"> </w:t>
      </w:r>
      <w:r w:rsidR="003645DC">
        <w:t>but would have lower chances of injuries and fatalities due to the effectiveness of seat belt</w:t>
      </w:r>
      <w:r w:rsidR="00A83BA9">
        <w:t>.</w:t>
      </w:r>
      <w:r w:rsidR="003645DC">
        <w:t xml:space="preserve"> </w:t>
      </w:r>
      <w:r w:rsidR="00A07D8B">
        <w:t>However, d</w:t>
      </w:r>
      <w:r w:rsidR="00A83BA9">
        <w:t xml:space="preserve">ue to limitations, this analysis is unable to </w:t>
      </w:r>
      <w:r w:rsidR="003645DC">
        <w:t xml:space="preserve">estimate the potential </w:t>
      </w:r>
      <w:r w:rsidR="0027589B">
        <w:t>disbenefits resulting from increased risk</w:t>
      </w:r>
      <w:r w:rsidR="00A07D8B">
        <w:t>y</w:t>
      </w:r>
      <w:r w:rsidR="0027589B">
        <w:t xml:space="preserve"> behavior.</w:t>
      </w:r>
    </w:p>
    <w:p w14:paraId="40A3B1CC" w14:textId="77777777" w:rsidR="00AC1B9B" w:rsidRDefault="000F5B51" w:rsidP="00CC65F7">
      <w:pPr>
        <w:pStyle w:val="Heading2"/>
        <w:spacing w:line="240" w:lineRule="auto"/>
      </w:pPr>
      <w:bookmarkStart w:id="1314" w:name="_Toc142902987"/>
      <w:r>
        <w:t>Summary of Benefits</w:t>
      </w:r>
      <w:bookmarkEnd w:id="1314"/>
    </w:p>
    <w:p w14:paraId="62E8B25A" w14:textId="77777777" w:rsidR="005E3369" w:rsidRDefault="000F5B51" w:rsidP="005E3369">
      <w:pPr>
        <w:spacing w:after="0"/>
        <w:rPr>
          <w:rFonts w:eastAsia="Times New Roman" w:cs="Times New Roman"/>
          <w:szCs w:val="24"/>
        </w:rPr>
      </w:pPr>
      <w:r>
        <w:rPr>
          <w:rFonts w:eastAsia="Times New Roman" w:cs="Times New Roman"/>
          <w:szCs w:val="24"/>
        </w:rPr>
        <w:t>This chapter presented the incremental benefits for rear seat occupants from the requirements for SBWS and the incremental benefits for front seat occupants from the requirements for indefinite warnings</w:t>
      </w:r>
      <w:r w:rsidR="001F2F92">
        <w:rPr>
          <w:rFonts w:eastAsia="Times New Roman" w:cs="Times New Roman"/>
          <w:szCs w:val="24"/>
        </w:rPr>
        <w:t xml:space="preserve">. </w:t>
      </w:r>
      <w:r w:rsidR="00902A46">
        <w:rPr>
          <w:rFonts w:eastAsia="Times New Roman" w:cs="Times New Roman"/>
          <w:szCs w:val="24"/>
        </w:rPr>
        <w:t>Incremental benefits in both cases represent those that would be realized as a result of the respective requirements specified in the proposed rule relative to the baseline.</w:t>
      </w:r>
    </w:p>
    <w:p w14:paraId="79DB1FB7" w14:textId="77777777" w:rsidR="00A65CB3" w:rsidRDefault="000F5B51" w:rsidP="00CC65F7">
      <w:pPr>
        <w:pStyle w:val="Caption"/>
      </w:pPr>
      <w:r>
        <w:rPr>
          <w:rFonts w:eastAsia="Times New Roman" w:cs="Times New Roman"/>
          <w:szCs w:val="24"/>
        </w:rPr>
        <w:fldChar w:fldCharType="begin"/>
      </w:r>
      <w:r>
        <w:rPr>
          <w:rFonts w:eastAsia="Times New Roman" w:cs="Times New Roman"/>
          <w:szCs w:val="24"/>
        </w:rPr>
        <w:instrText xml:space="preserve"> REF _Ref126226725 \h </w:instrText>
      </w:r>
      <w:r>
        <w:rPr>
          <w:rFonts w:eastAsia="Times New Roman" w:cs="Times New Roman"/>
          <w:szCs w:val="24"/>
        </w:rPr>
      </w:r>
      <w:r>
        <w:rPr>
          <w:rFonts w:eastAsia="Times New Roman" w:cs="Times New Roman"/>
          <w:szCs w:val="24"/>
        </w:rPr>
        <w:fldChar w:fldCharType="separate"/>
      </w:r>
    </w:p>
    <w:p w14:paraId="140F1F55" w14:textId="0BBE6A7B" w:rsidR="00B4699A" w:rsidRDefault="00A65CB3" w:rsidP="00B4699A">
      <w:pPr>
        <w:spacing w:after="0"/>
        <w:rPr>
          <w:rFonts w:eastAsia="Times New Roman" w:cs="Times New Roman"/>
          <w:szCs w:val="24"/>
        </w:rPr>
      </w:pPr>
      <w:r>
        <w:t xml:space="preserve">Table </w:t>
      </w:r>
      <w:r>
        <w:rPr>
          <w:noProof/>
        </w:rPr>
        <w:t>61</w:t>
      </w:r>
      <w:r w:rsidR="000F5B51">
        <w:rPr>
          <w:rFonts w:eastAsia="Times New Roman" w:cs="Times New Roman"/>
          <w:szCs w:val="24"/>
        </w:rPr>
        <w:fldChar w:fldCharType="end"/>
      </w:r>
      <w:r w:rsidR="000F5B51">
        <w:rPr>
          <w:rFonts w:eastAsia="Times New Roman" w:cs="Times New Roman"/>
          <w:szCs w:val="24"/>
        </w:rPr>
        <w:t xml:space="preserve"> presents a summary of the annual incremental benefits associated with the proposed rule</w:t>
      </w:r>
      <w:r w:rsidR="001F2F92">
        <w:rPr>
          <w:rFonts w:eastAsia="Times New Roman" w:cs="Times New Roman"/>
          <w:szCs w:val="24"/>
        </w:rPr>
        <w:t xml:space="preserve">. </w:t>
      </w:r>
      <w:r w:rsidR="000F5B51">
        <w:rPr>
          <w:rFonts w:eastAsia="Times New Roman" w:cs="Times New Roman"/>
          <w:szCs w:val="24"/>
        </w:rPr>
        <w:t>Overall, the proposed rule would prevent approximately 100 to 111 fatalities and 2</w:t>
      </w:r>
      <w:r w:rsidR="00BC4728">
        <w:rPr>
          <w:rFonts w:eastAsia="Times New Roman" w:cs="Times New Roman"/>
          <w:szCs w:val="24"/>
        </w:rPr>
        <w:t>86</w:t>
      </w:r>
      <w:r w:rsidR="000F5B51">
        <w:rPr>
          <w:rFonts w:eastAsia="Times New Roman" w:cs="Times New Roman"/>
          <w:szCs w:val="24"/>
        </w:rPr>
        <w:t xml:space="preserve"> to 3</w:t>
      </w:r>
      <w:r w:rsidR="00BC4728">
        <w:rPr>
          <w:rFonts w:eastAsia="Times New Roman" w:cs="Times New Roman"/>
          <w:szCs w:val="24"/>
        </w:rPr>
        <w:t>23</w:t>
      </w:r>
      <w:r w:rsidR="000F5B51">
        <w:rPr>
          <w:rFonts w:eastAsia="Times New Roman" w:cs="Times New Roman"/>
          <w:szCs w:val="24"/>
        </w:rPr>
        <w:t xml:space="preserve"> non-fatal MAIS 1-5 injuries annually</w:t>
      </w:r>
      <w:r w:rsidR="001F2F92">
        <w:rPr>
          <w:rFonts w:eastAsia="Times New Roman" w:cs="Times New Roman"/>
          <w:szCs w:val="24"/>
        </w:rPr>
        <w:t xml:space="preserve">. </w:t>
      </w:r>
      <w:r w:rsidR="000F5B51">
        <w:rPr>
          <w:rFonts w:eastAsia="Times New Roman" w:cs="Times New Roman"/>
          <w:szCs w:val="24"/>
        </w:rPr>
        <w:t>When taking into account the Lo and Hi cases, the requirements specified in the proposed rule for SBWS for rear seat occupants would prevent 22 to 34 fatalities and 75 to 112 non-fatal MAIS 1-5 injuries annually</w:t>
      </w:r>
      <w:r w:rsidR="001F2F92">
        <w:rPr>
          <w:rFonts w:eastAsia="Times New Roman" w:cs="Times New Roman"/>
          <w:szCs w:val="24"/>
        </w:rPr>
        <w:t xml:space="preserve">. </w:t>
      </w:r>
      <w:r w:rsidR="000F5B51">
        <w:rPr>
          <w:rFonts w:eastAsia="Times New Roman" w:cs="Times New Roman"/>
          <w:szCs w:val="24"/>
        </w:rPr>
        <w:t xml:space="preserve">The requirements for the indefinite warning for front seat occupants would prevent 77 fatalities and </w:t>
      </w:r>
      <w:r w:rsidR="00BC4728">
        <w:rPr>
          <w:rFonts w:eastAsia="Times New Roman" w:cs="Times New Roman"/>
          <w:szCs w:val="24"/>
        </w:rPr>
        <w:t>211</w:t>
      </w:r>
      <w:r w:rsidR="000F5B51">
        <w:rPr>
          <w:rFonts w:eastAsia="Times New Roman" w:cs="Times New Roman"/>
          <w:szCs w:val="24"/>
        </w:rPr>
        <w:t xml:space="preserve"> non-fatal MAIS 1-5 injuries annually.</w:t>
      </w:r>
    </w:p>
    <w:p w14:paraId="1B67BE01" w14:textId="24EBFE86" w:rsidR="00435D89" w:rsidRDefault="00435D89" w:rsidP="00B4699A">
      <w:pPr>
        <w:spacing w:after="0"/>
        <w:rPr>
          <w:rFonts w:eastAsia="Times New Roman" w:cs="Times New Roman"/>
          <w:szCs w:val="24"/>
        </w:rPr>
      </w:pPr>
    </w:p>
    <w:p w14:paraId="0C9014FA" w14:textId="572544D5" w:rsidR="00435D89" w:rsidRDefault="00435D89" w:rsidP="00B4699A">
      <w:pPr>
        <w:spacing w:after="0"/>
        <w:rPr>
          <w:rFonts w:eastAsia="Times New Roman" w:cs="Times New Roman"/>
          <w:szCs w:val="24"/>
        </w:rPr>
      </w:pPr>
    </w:p>
    <w:p w14:paraId="4D831B42" w14:textId="77777777" w:rsidR="00435D89" w:rsidRDefault="00435D89" w:rsidP="00CC65F7">
      <w:pPr>
        <w:pStyle w:val="Caption"/>
      </w:pPr>
      <w:bookmarkStart w:id="1315" w:name="_Ref126226725"/>
    </w:p>
    <w:p w14:paraId="2331C44A" w14:textId="0122A822" w:rsidR="00902A46" w:rsidRDefault="000F5B51" w:rsidP="00CC65F7">
      <w:pPr>
        <w:pStyle w:val="Caption"/>
        <w:rPr>
          <w:rFonts w:eastAsia="Times New Roman" w:cs="Times New Roman"/>
          <w:szCs w:val="24"/>
        </w:rPr>
      </w:pPr>
      <w:r>
        <w:t xml:space="preserve">Table </w:t>
      </w:r>
      <w:r w:rsidR="00115BAB">
        <w:fldChar w:fldCharType="begin"/>
      </w:r>
      <w:r>
        <w:instrText xml:space="preserve"> SEQ Table \* ARABIC </w:instrText>
      </w:r>
      <w:r w:rsidR="00115BAB">
        <w:fldChar w:fldCharType="separate"/>
      </w:r>
      <w:r w:rsidR="00A65CB3">
        <w:rPr>
          <w:noProof/>
        </w:rPr>
        <w:t>61</w:t>
      </w:r>
      <w:r w:rsidR="00115BAB">
        <w:rPr>
          <w:noProof/>
        </w:rPr>
        <w:fldChar w:fldCharType="end"/>
      </w:r>
      <w:bookmarkEnd w:id="1315"/>
      <w:r>
        <w:t xml:space="preserve">: Summary of </w:t>
      </w:r>
      <w:r w:rsidR="006B45D4">
        <w:t xml:space="preserve">Annual </w:t>
      </w:r>
      <w:r>
        <w:t>Incremental Benefits</w:t>
      </w:r>
    </w:p>
    <w:tbl>
      <w:tblPr>
        <w:tblStyle w:val="TableGrid"/>
        <w:tblW w:w="0" w:type="auto"/>
        <w:tblLook w:val="04A0" w:firstRow="1" w:lastRow="0" w:firstColumn="1" w:lastColumn="0" w:noHBand="0" w:noVBand="1"/>
      </w:tblPr>
      <w:tblGrid>
        <w:gridCol w:w="2965"/>
        <w:gridCol w:w="1530"/>
        <w:gridCol w:w="1890"/>
        <w:gridCol w:w="1440"/>
        <w:gridCol w:w="1525"/>
      </w:tblGrid>
      <w:tr w:rsidR="00A15C2C" w14:paraId="55EF7A62" w14:textId="77777777" w:rsidTr="00CC65F7">
        <w:tc>
          <w:tcPr>
            <w:tcW w:w="2965" w:type="dxa"/>
            <w:shd w:val="clear" w:color="auto" w:fill="D9D9D9" w:themeFill="background1" w:themeFillShade="D9"/>
            <w:vAlign w:val="center"/>
          </w:tcPr>
          <w:p w14:paraId="47441E81" w14:textId="77777777" w:rsidR="00584BE8" w:rsidRPr="00CC65F7" w:rsidRDefault="000F5B51" w:rsidP="00CC65F7">
            <w:pPr>
              <w:spacing w:line="240" w:lineRule="auto"/>
              <w:rPr>
                <w:rFonts w:eastAsia="Times New Roman" w:cs="Times New Roman"/>
                <w:b/>
                <w:bCs/>
                <w:szCs w:val="24"/>
              </w:rPr>
            </w:pPr>
            <w:r>
              <w:rPr>
                <w:rFonts w:eastAsia="Times New Roman" w:cs="Times New Roman"/>
                <w:b/>
                <w:bCs/>
                <w:szCs w:val="24"/>
              </w:rPr>
              <w:t>Category</w:t>
            </w:r>
          </w:p>
        </w:tc>
        <w:tc>
          <w:tcPr>
            <w:tcW w:w="3420" w:type="dxa"/>
            <w:gridSpan w:val="2"/>
            <w:shd w:val="clear" w:color="auto" w:fill="D9D9D9" w:themeFill="background1" w:themeFillShade="D9"/>
            <w:vAlign w:val="center"/>
          </w:tcPr>
          <w:p w14:paraId="1B53099E" w14:textId="77777777" w:rsidR="00584BE8" w:rsidRPr="00CC65F7" w:rsidRDefault="000F5B51" w:rsidP="00CC65F7">
            <w:pPr>
              <w:spacing w:line="240" w:lineRule="auto"/>
              <w:jc w:val="center"/>
              <w:rPr>
                <w:rFonts w:eastAsia="Times New Roman" w:cs="Times New Roman"/>
                <w:b/>
                <w:bCs/>
                <w:szCs w:val="24"/>
              </w:rPr>
            </w:pPr>
            <w:r>
              <w:rPr>
                <w:rFonts w:eastAsia="Times New Roman" w:cs="Times New Roman"/>
                <w:b/>
                <w:bCs/>
                <w:szCs w:val="24"/>
              </w:rPr>
              <w:t>Total Injuries Prevented (MAIS 1-5)</w:t>
            </w:r>
          </w:p>
        </w:tc>
        <w:tc>
          <w:tcPr>
            <w:tcW w:w="2965" w:type="dxa"/>
            <w:gridSpan w:val="2"/>
            <w:shd w:val="clear" w:color="auto" w:fill="D9D9D9" w:themeFill="background1" w:themeFillShade="D9"/>
            <w:vAlign w:val="center"/>
          </w:tcPr>
          <w:p w14:paraId="5BA4A234" w14:textId="77777777" w:rsidR="00584BE8" w:rsidRPr="00CC65F7" w:rsidRDefault="000F5B51" w:rsidP="00CC65F7">
            <w:pPr>
              <w:spacing w:line="240" w:lineRule="auto"/>
              <w:jc w:val="center"/>
              <w:rPr>
                <w:rFonts w:eastAsia="Times New Roman" w:cs="Times New Roman"/>
                <w:b/>
                <w:bCs/>
                <w:szCs w:val="24"/>
              </w:rPr>
            </w:pPr>
            <w:r>
              <w:rPr>
                <w:rFonts w:eastAsia="Times New Roman" w:cs="Times New Roman"/>
                <w:b/>
                <w:bCs/>
                <w:szCs w:val="24"/>
              </w:rPr>
              <w:t>Total Fatalities Prevented</w:t>
            </w:r>
          </w:p>
        </w:tc>
      </w:tr>
      <w:tr w:rsidR="00A15C2C" w14:paraId="58001F0A" w14:textId="77777777" w:rsidTr="00CC65F7">
        <w:tc>
          <w:tcPr>
            <w:tcW w:w="9350" w:type="dxa"/>
            <w:gridSpan w:val="5"/>
            <w:shd w:val="clear" w:color="auto" w:fill="D9D9D9" w:themeFill="background1" w:themeFillShade="D9"/>
            <w:vAlign w:val="center"/>
          </w:tcPr>
          <w:p w14:paraId="5F36E51B" w14:textId="77777777" w:rsidR="003D2FED" w:rsidRPr="00CC65F7" w:rsidRDefault="000F5B51" w:rsidP="00CC65F7">
            <w:pPr>
              <w:spacing w:line="240" w:lineRule="auto"/>
              <w:jc w:val="center"/>
              <w:rPr>
                <w:rFonts w:eastAsia="Times New Roman" w:cs="Times New Roman"/>
                <w:b/>
                <w:bCs/>
                <w:i/>
                <w:iCs/>
                <w:szCs w:val="24"/>
              </w:rPr>
            </w:pPr>
            <w:r w:rsidRPr="00CC65F7">
              <w:rPr>
                <w:rFonts w:eastAsia="Times New Roman" w:cs="Times New Roman"/>
                <w:b/>
                <w:bCs/>
                <w:i/>
                <w:iCs/>
                <w:szCs w:val="24"/>
              </w:rPr>
              <w:t>Rear Seat Occupants</w:t>
            </w:r>
          </w:p>
        </w:tc>
      </w:tr>
      <w:tr w:rsidR="00A15C2C" w14:paraId="3B8E2FC2" w14:textId="77777777" w:rsidTr="00CC65F7">
        <w:tc>
          <w:tcPr>
            <w:tcW w:w="2965" w:type="dxa"/>
            <w:shd w:val="clear" w:color="auto" w:fill="D9D9D9" w:themeFill="background1" w:themeFillShade="D9"/>
            <w:vAlign w:val="center"/>
          </w:tcPr>
          <w:p w14:paraId="17B3A17F" w14:textId="77777777" w:rsidR="00584BE8" w:rsidRPr="00BB51AF" w:rsidRDefault="00584BE8">
            <w:pPr>
              <w:spacing w:line="240" w:lineRule="auto"/>
              <w:rPr>
                <w:rFonts w:eastAsia="Times New Roman" w:cs="Times New Roman"/>
                <w:b/>
                <w:bCs/>
                <w:i/>
                <w:iCs/>
                <w:szCs w:val="24"/>
              </w:rPr>
            </w:pPr>
          </w:p>
        </w:tc>
        <w:tc>
          <w:tcPr>
            <w:tcW w:w="1530" w:type="dxa"/>
            <w:shd w:val="clear" w:color="auto" w:fill="D9D9D9" w:themeFill="background1" w:themeFillShade="D9"/>
            <w:vAlign w:val="center"/>
          </w:tcPr>
          <w:p w14:paraId="614736F6" w14:textId="77777777" w:rsidR="00584BE8" w:rsidRPr="00BB51AF" w:rsidRDefault="000F5B51">
            <w:pPr>
              <w:spacing w:line="240" w:lineRule="auto"/>
              <w:jc w:val="center"/>
              <w:rPr>
                <w:rFonts w:eastAsia="Times New Roman" w:cs="Times New Roman"/>
                <w:b/>
                <w:bCs/>
                <w:i/>
                <w:iCs/>
                <w:szCs w:val="24"/>
              </w:rPr>
            </w:pPr>
            <w:r w:rsidRPr="00BB51AF">
              <w:rPr>
                <w:rFonts w:eastAsia="Times New Roman" w:cs="Times New Roman"/>
                <w:b/>
                <w:bCs/>
                <w:i/>
                <w:iCs/>
                <w:szCs w:val="24"/>
              </w:rPr>
              <w:t>Lo</w:t>
            </w:r>
          </w:p>
        </w:tc>
        <w:tc>
          <w:tcPr>
            <w:tcW w:w="1890" w:type="dxa"/>
            <w:shd w:val="clear" w:color="auto" w:fill="D9D9D9" w:themeFill="background1" w:themeFillShade="D9"/>
            <w:vAlign w:val="center"/>
          </w:tcPr>
          <w:p w14:paraId="0414738E" w14:textId="77777777" w:rsidR="00584BE8" w:rsidRPr="00BB51AF" w:rsidRDefault="000F5B51">
            <w:pPr>
              <w:spacing w:line="240" w:lineRule="auto"/>
              <w:jc w:val="center"/>
              <w:rPr>
                <w:rFonts w:eastAsia="Times New Roman" w:cs="Times New Roman"/>
                <w:b/>
                <w:bCs/>
                <w:i/>
                <w:iCs/>
                <w:szCs w:val="24"/>
              </w:rPr>
            </w:pPr>
            <w:r w:rsidRPr="00BB51AF">
              <w:rPr>
                <w:rFonts w:eastAsia="Times New Roman" w:cs="Times New Roman"/>
                <w:b/>
                <w:bCs/>
                <w:i/>
                <w:iCs/>
                <w:szCs w:val="24"/>
              </w:rPr>
              <w:t>Hi</w:t>
            </w:r>
          </w:p>
        </w:tc>
        <w:tc>
          <w:tcPr>
            <w:tcW w:w="1440" w:type="dxa"/>
            <w:shd w:val="clear" w:color="auto" w:fill="D9D9D9" w:themeFill="background1" w:themeFillShade="D9"/>
            <w:vAlign w:val="center"/>
          </w:tcPr>
          <w:p w14:paraId="1FA1CF8D" w14:textId="77777777" w:rsidR="00584BE8" w:rsidRPr="00BB51AF" w:rsidRDefault="000F5B51">
            <w:pPr>
              <w:spacing w:line="240" w:lineRule="auto"/>
              <w:jc w:val="center"/>
              <w:rPr>
                <w:rFonts w:eastAsia="Times New Roman" w:cs="Times New Roman"/>
                <w:b/>
                <w:bCs/>
                <w:i/>
                <w:iCs/>
                <w:szCs w:val="24"/>
              </w:rPr>
            </w:pPr>
            <w:r w:rsidRPr="00BB51AF">
              <w:rPr>
                <w:rFonts w:eastAsia="Times New Roman" w:cs="Times New Roman"/>
                <w:b/>
                <w:bCs/>
                <w:i/>
                <w:iCs/>
                <w:szCs w:val="24"/>
              </w:rPr>
              <w:t>Lo</w:t>
            </w:r>
          </w:p>
        </w:tc>
        <w:tc>
          <w:tcPr>
            <w:tcW w:w="1525" w:type="dxa"/>
            <w:shd w:val="clear" w:color="auto" w:fill="D9D9D9" w:themeFill="background1" w:themeFillShade="D9"/>
            <w:vAlign w:val="center"/>
          </w:tcPr>
          <w:p w14:paraId="1DA41A35" w14:textId="77777777" w:rsidR="00584BE8" w:rsidRPr="00BB51AF" w:rsidRDefault="000F5B51">
            <w:pPr>
              <w:spacing w:line="240" w:lineRule="auto"/>
              <w:jc w:val="center"/>
              <w:rPr>
                <w:rFonts w:eastAsia="Times New Roman" w:cs="Times New Roman"/>
                <w:b/>
                <w:bCs/>
                <w:i/>
                <w:iCs/>
                <w:szCs w:val="24"/>
              </w:rPr>
            </w:pPr>
            <w:r w:rsidRPr="00BB51AF">
              <w:rPr>
                <w:rFonts w:eastAsia="Times New Roman" w:cs="Times New Roman"/>
                <w:b/>
                <w:bCs/>
                <w:i/>
                <w:iCs/>
                <w:szCs w:val="24"/>
              </w:rPr>
              <w:t>Hi</w:t>
            </w:r>
          </w:p>
        </w:tc>
      </w:tr>
      <w:tr w:rsidR="00A15C2C" w14:paraId="33F1B7E1" w14:textId="77777777" w:rsidTr="00CC65F7">
        <w:tc>
          <w:tcPr>
            <w:tcW w:w="2965" w:type="dxa"/>
            <w:vAlign w:val="center"/>
          </w:tcPr>
          <w:p w14:paraId="58CAEA69" w14:textId="77777777" w:rsidR="00584BE8" w:rsidRDefault="000F5B51" w:rsidP="00CC65F7">
            <w:pPr>
              <w:spacing w:line="240" w:lineRule="auto"/>
              <w:rPr>
                <w:rFonts w:eastAsia="Times New Roman" w:cs="Times New Roman"/>
                <w:szCs w:val="24"/>
              </w:rPr>
            </w:pPr>
            <w:r>
              <w:rPr>
                <w:rFonts w:eastAsia="Times New Roman" w:cs="Times New Roman"/>
                <w:szCs w:val="24"/>
              </w:rPr>
              <w:t>Ages 6-10</w:t>
            </w:r>
          </w:p>
        </w:tc>
        <w:tc>
          <w:tcPr>
            <w:tcW w:w="1530" w:type="dxa"/>
            <w:vAlign w:val="center"/>
          </w:tcPr>
          <w:p w14:paraId="7B8F9C2D" w14:textId="77777777" w:rsidR="00584BE8" w:rsidRDefault="000F5B51" w:rsidP="00CC65F7">
            <w:pPr>
              <w:spacing w:line="240" w:lineRule="auto"/>
              <w:jc w:val="center"/>
              <w:rPr>
                <w:rFonts w:eastAsia="Times New Roman" w:cs="Times New Roman"/>
                <w:szCs w:val="24"/>
              </w:rPr>
            </w:pPr>
            <w:r>
              <w:rPr>
                <w:rFonts w:eastAsia="Times New Roman" w:cs="Times New Roman"/>
                <w:szCs w:val="24"/>
              </w:rPr>
              <w:t>1</w:t>
            </w:r>
          </w:p>
        </w:tc>
        <w:tc>
          <w:tcPr>
            <w:tcW w:w="1890" w:type="dxa"/>
            <w:vAlign w:val="center"/>
          </w:tcPr>
          <w:p w14:paraId="4F6768FA" w14:textId="77777777" w:rsidR="00584BE8" w:rsidRDefault="000F5B51" w:rsidP="00CC65F7">
            <w:pPr>
              <w:spacing w:line="240" w:lineRule="auto"/>
              <w:jc w:val="center"/>
              <w:rPr>
                <w:rFonts w:eastAsia="Times New Roman" w:cs="Times New Roman"/>
                <w:szCs w:val="24"/>
              </w:rPr>
            </w:pPr>
            <w:r>
              <w:rPr>
                <w:rFonts w:eastAsia="Times New Roman" w:cs="Times New Roman"/>
                <w:szCs w:val="24"/>
              </w:rPr>
              <w:t>2</w:t>
            </w:r>
          </w:p>
        </w:tc>
        <w:tc>
          <w:tcPr>
            <w:tcW w:w="1440" w:type="dxa"/>
            <w:vAlign w:val="center"/>
          </w:tcPr>
          <w:p w14:paraId="4D3317C2" w14:textId="77777777" w:rsidR="00584BE8" w:rsidRDefault="000F5B51" w:rsidP="00CC65F7">
            <w:pPr>
              <w:spacing w:line="240" w:lineRule="auto"/>
              <w:jc w:val="center"/>
              <w:rPr>
                <w:rFonts w:eastAsia="Times New Roman" w:cs="Times New Roman"/>
                <w:szCs w:val="24"/>
              </w:rPr>
            </w:pPr>
            <w:r>
              <w:rPr>
                <w:rFonts w:eastAsia="Times New Roman" w:cs="Times New Roman"/>
                <w:szCs w:val="24"/>
              </w:rPr>
              <w:t>0</w:t>
            </w:r>
          </w:p>
        </w:tc>
        <w:tc>
          <w:tcPr>
            <w:tcW w:w="1525" w:type="dxa"/>
            <w:vAlign w:val="center"/>
          </w:tcPr>
          <w:p w14:paraId="3C235E9E" w14:textId="77777777" w:rsidR="00584BE8" w:rsidRDefault="000F5B51" w:rsidP="00CC65F7">
            <w:pPr>
              <w:spacing w:line="240" w:lineRule="auto"/>
              <w:jc w:val="center"/>
              <w:rPr>
                <w:rFonts w:eastAsia="Times New Roman" w:cs="Times New Roman"/>
                <w:szCs w:val="24"/>
              </w:rPr>
            </w:pPr>
            <w:r>
              <w:rPr>
                <w:rFonts w:eastAsia="Times New Roman" w:cs="Times New Roman"/>
                <w:szCs w:val="24"/>
              </w:rPr>
              <w:t>1</w:t>
            </w:r>
          </w:p>
        </w:tc>
      </w:tr>
      <w:tr w:rsidR="00A15C2C" w14:paraId="7D621922" w14:textId="77777777" w:rsidTr="00CC65F7">
        <w:tc>
          <w:tcPr>
            <w:tcW w:w="2965" w:type="dxa"/>
            <w:vAlign w:val="center"/>
          </w:tcPr>
          <w:p w14:paraId="5B27FC77" w14:textId="77777777" w:rsidR="00584BE8" w:rsidRDefault="000F5B51" w:rsidP="00CC65F7">
            <w:pPr>
              <w:spacing w:line="240" w:lineRule="auto"/>
              <w:rPr>
                <w:rFonts w:eastAsia="Times New Roman" w:cs="Times New Roman"/>
                <w:szCs w:val="24"/>
              </w:rPr>
            </w:pPr>
            <w:r>
              <w:rPr>
                <w:rFonts w:eastAsia="Times New Roman" w:cs="Times New Roman"/>
                <w:szCs w:val="24"/>
              </w:rPr>
              <w:t>Ages 11+</w:t>
            </w:r>
          </w:p>
        </w:tc>
        <w:tc>
          <w:tcPr>
            <w:tcW w:w="1530" w:type="dxa"/>
            <w:vAlign w:val="center"/>
          </w:tcPr>
          <w:p w14:paraId="280D573F" w14:textId="77777777" w:rsidR="00584BE8" w:rsidRDefault="000F5B51" w:rsidP="00CC65F7">
            <w:pPr>
              <w:spacing w:line="240" w:lineRule="auto"/>
              <w:jc w:val="center"/>
              <w:rPr>
                <w:rFonts w:eastAsia="Times New Roman" w:cs="Times New Roman"/>
                <w:szCs w:val="24"/>
              </w:rPr>
            </w:pPr>
            <w:r>
              <w:rPr>
                <w:rFonts w:eastAsia="Times New Roman" w:cs="Times New Roman"/>
                <w:szCs w:val="24"/>
              </w:rPr>
              <w:t>74</w:t>
            </w:r>
          </w:p>
        </w:tc>
        <w:tc>
          <w:tcPr>
            <w:tcW w:w="1890" w:type="dxa"/>
            <w:vAlign w:val="center"/>
          </w:tcPr>
          <w:p w14:paraId="22D8C296" w14:textId="77777777" w:rsidR="00584BE8" w:rsidRDefault="000F5B51" w:rsidP="00CC65F7">
            <w:pPr>
              <w:spacing w:line="240" w:lineRule="auto"/>
              <w:jc w:val="center"/>
              <w:rPr>
                <w:rFonts w:eastAsia="Times New Roman" w:cs="Times New Roman"/>
                <w:szCs w:val="24"/>
              </w:rPr>
            </w:pPr>
            <w:r>
              <w:rPr>
                <w:rFonts w:eastAsia="Times New Roman" w:cs="Times New Roman"/>
                <w:szCs w:val="24"/>
              </w:rPr>
              <w:t>110</w:t>
            </w:r>
          </w:p>
        </w:tc>
        <w:tc>
          <w:tcPr>
            <w:tcW w:w="1440" w:type="dxa"/>
            <w:vAlign w:val="center"/>
          </w:tcPr>
          <w:p w14:paraId="70ADBEE5" w14:textId="77777777" w:rsidR="00584BE8" w:rsidRDefault="000F5B51" w:rsidP="00CC65F7">
            <w:pPr>
              <w:spacing w:line="240" w:lineRule="auto"/>
              <w:jc w:val="center"/>
              <w:rPr>
                <w:rFonts w:eastAsia="Times New Roman" w:cs="Times New Roman"/>
                <w:szCs w:val="24"/>
              </w:rPr>
            </w:pPr>
            <w:r>
              <w:rPr>
                <w:rFonts w:eastAsia="Times New Roman" w:cs="Times New Roman"/>
                <w:szCs w:val="24"/>
              </w:rPr>
              <w:t>22</w:t>
            </w:r>
          </w:p>
        </w:tc>
        <w:tc>
          <w:tcPr>
            <w:tcW w:w="1525" w:type="dxa"/>
            <w:vAlign w:val="center"/>
          </w:tcPr>
          <w:p w14:paraId="54813F31" w14:textId="77777777" w:rsidR="00584BE8" w:rsidRDefault="000F5B51" w:rsidP="00CC65F7">
            <w:pPr>
              <w:spacing w:line="240" w:lineRule="auto"/>
              <w:jc w:val="center"/>
              <w:rPr>
                <w:rFonts w:eastAsia="Times New Roman" w:cs="Times New Roman"/>
                <w:szCs w:val="24"/>
              </w:rPr>
            </w:pPr>
            <w:r>
              <w:rPr>
                <w:rFonts w:eastAsia="Times New Roman" w:cs="Times New Roman"/>
                <w:szCs w:val="24"/>
              </w:rPr>
              <w:t>33</w:t>
            </w:r>
          </w:p>
        </w:tc>
      </w:tr>
      <w:tr w:rsidR="00A15C2C" w14:paraId="6A7F0444" w14:textId="77777777" w:rsidTr="00CC65F7">
        <w:tc>
          <w:tcPr>
            <w:tcW w:w="2965" w:type="dxa"/>
            <w:vAlign w:val="center"/>
          </w:tcPr>
          <w:p w14:paraId="376B217E" w14:textId="77777777" w:rsidR="00584BE8" w:rsidRPr="00BB51AF" w:rsidRDefault="000F5B51">
            <w:pPr>
              <w:spacing w:line="240" w:lineRule="auto"/>
              <w:rPr>
                <w:rFonts w:eastAsia="Times New Roman" w:cs="Times New Roman"/>
                <w:b/>
                <w:bCs/>
                <w:szCs w:val="24"/>
              </w:rPr>
            </w:pPr>
            <w:r w:rsidRPr="00BB51AF">
              <w:rPr>
                <w:rFonts w:eastAsia="Times New Roman" w:cs="Times New Roman"/>
                <w:b/>
                <w:bCs/>
                <w:szCs w:val="24"/>
              </w:rPr>
              <w:t>Total</w:t>
            </w:r>
          </w:p>
        </w:tc>
        <w:tc>
          <w:tcPr>
            <w:tcW w:w="1530" w:type="dxa"/>
            <w:vAlign w:val="center"/>
          </w:tcPr>
          <w:p w14:paraId="23F0A73B" w14:textId="77777777" w:rsidR="00584BE8" w:rsidRPr="00CC65F7" w:rsidRDefault="000F5B51">
            <w:pPr>
              <w:spacing w:line="240" w:lineRule="auto"/>
              <w:jc w:val="center"/>
              <w:rPr>
                <w:rFonts w:eastAsia="Times New Roman" w:cs="Times New Roman"/>
                <w:szCs w:val="24"/>
              </w:rPr>
            </w:pPr>
            <w:r w:rsidRPr="00CC65F7">
              <w:rPr>
                <w:rFonts w:eastAsia="Times New Roman" w:cs="Times New Roman"/>
                <w:szCs w:val="24"/>
              </w:rPr>
              <w:t>75</w:t>
            </w:r>
          </w:p>
        </w:tc>
        <w:tc>
          <w:tcPr>
            <w:tcW w:w="1890" w:type="dxa"/>
            <w:vAlign w:val="center"/>
          </w:tcPr>
          <w:p w14:paraId="624C4EB5" w14:textId="77777777" w:rsidR="00584BE8" w:rsidRPr="00CC65F7" w:rsidRDefault="000F5B51">
            <w:pPr>
              <w:spacing w:line="240" w:lineRule="auto"/>
              <w:jc w:val="center"/>
              <w:rPr>
                <w:rFonts w:eastAsia="Times New Roman" w:cs="Times New Roman"/>
                <w:szCs w:val="24"/>
              </w:rPr>
            </w:pPr>
            <w:r w:rsidRPr="00CC65F7">
              <w:rPr>
                <w:rFonts w:eastAsia="Times New Roman" w:cs="Times New Roman"/>
                <w:szCs w:val="24"/>
              </w:rPr>
              <w:t>112</w:t>
            </w:r>
          </w:p>
        </w:tc>
        <w:tc>
          <w:tcPr>
            <w:tcW w:w="1440" w:type="dxa"/>
            <w:vAlign w:val="center"/>
          </w:tcPr>
          <w:p w14:paraId="24747283" w14:textId="77777777" w:rsidR="00584BE8" w:rsidRPr="00CC65F7" w:rsidRDefault="000F5B51">
            <w:pPr>
              <w:spacing w:line="240" w:lineRule="auto"/>
              <w:jc w:val="center"/>
              <w:rPr>
                <w:rFonts w:eastAsia="Times New Roman" w:cs="Times New Roman"/>
                <w:szCs w:val="24"/>
              </w:rPr>
            </w:pPr>
            <w:r w:rsidRPr="00CC65F7">
              <w:rPr>
                <w:rFonts w:eastAsia="Times New Roman" w:cs="Times New Roman"/>
                <w:szCs w:val="24"/>
              </w:rPr>
              <w:t>22</w:t>
            </w:r>
          </w:p>
        </w:tc>
        <w:tc>
          <w:tcPr>
            <w:tcW w:w="1525" w:type="dxa"/>
            <w:vAlign w:val="center"/>
          </w:tcPr>
          <w:p w14:paraId="2259CFA0" w14:textId="77777777" w:rsidR="00584BE8" w:rsidRPr="00A72C08" w:rsidRDefault="000F5B51">
            <w:pPr>
              <w:spacing w:line="240" w:lineRule="auto"/>
              <w:jc w:val="center"/>
              <w:rPr>
                <w:rFonts w:eastAsia="Times New Roman" w:cs="Times New Roman"/>
                <w:szCs w:val="24"/>
              </w:rPr>
            </w:pPr>
            <w:r w:rsidRPr="00CC65F7">
              <w:rPr>
                <w:rFonts w:eastAsia="Times New Roman" w:cs="Times New Roman"/>
                <w:szCs w:val="24"/>
              </w:rPr>
              <w:t>34</w:t>
            </w:r>
          </w:p>
        </w:tc>
      </w:tr>
      <w:tr w:rsidR="00A15C2C" w14:paraId="3F177BBE" w14:textId="77777777" w:rsidTr="00CC65F7">
        <w:tc>
          <w:tcPr>
            <w:tcW w:w="9350" w:type="dxa"/>
            <w:gridSpan w:val="5"/>
            <w:shd w:val="clear" w:color="auto" w:fill="D9D9D9" w:themeFill="background1" w:themeFillShade="D9"/>
            <w:vAlign w:val="center"/>
          </w:tcPr>
          <w:p w14:paraId="25D3880F" w14:textId="77777777" w:rsidR="00057265" w:rsidRPr="00CC65F7" w:rsidRDefault="000F5B51" w:rsidP="00972E7E">
            <w:pPr>
              <w:spacing w:line="240" w:lineRule="auto"/>
              <w:jc w:val="center"/>
              <w:rPr>
                <w:rFonts w:eastAsia="Times New Roman" w:cs="Times New Roman"/>
                <w:b/>
                <w:bCs/>
                <w:i/>
                <w:iCs/>
                <w:szCs w:val="24"/>
              </w:rPr>
            </w:pPr>
            <w:r w:rsidRPr="00CC65F7">
              <w:rPr>
                <w:rFonts w:eastAsia="Times New Roman" w:cs="Times New Roman"/>
                <w:b/>
                <w:bCs/>
                <w:i/>
                <w:iCs/>
                <w:szCs w:val="24"/>
                <w:shd w:val="clear" w:color="auto" w:fill="D9D9D9" w:themeFill="background1" w:themeFillShade="D9"/>
              </w:rPr>
              <w:t>Front</w:t>
            </w:r>
            <w:r w:rsidRPr="00CC65F7">
              <w:rPr>
                <w:rFonts w:eastAsia="Times New Roman" w:cs="Times New Roman"/>
                <w:b/>
                <w:bCs/>
                <w:i/>
                <w:iCs/>
                <w:szCs w:val="24"/>
              </w:rPr>
              <w:t xml:space="preserve"> Seat Occupants</w:t>
            </w:r>
          </w:p>
        </w:tc>
      </w:tr>
      <w:tr w:rsidR="00A15C2C" w14:paraId="6B4B77CF" w14:textId="77777777" w:rsidTr="00CC65F7">
        <w:tc>
          <w:tcPr>
            <w:tcW w:w="2965" w:type="dxa"/>
            <w:vAlign w:val="center"/>
          </w:tcPr>
          <w:p w14:paraId="02F30F21" w14:textId="77777777" w:rsidR="00FA4F43" w:rsidRDefault="000F5B51" w:rsidP="00FA4F43">
            <w:pPr>
              <w:spacing w:line="240" w:lineRule="auto"/>
              <w:rPr>
                <w:rFonts w:eastAsia="Times New Roman" w:cs="Times New Roman"/>
                <w:szCs w:val="24"/>
              </w:rPr>
            </w:pPr>
            <w:r>
              <w:rPr>
                <w:rFonts w:eastAsia="Times New Roman" w:cs="Times New Roman"/>
                <w:szCs w:val="24"/>
              </w:rPr>
              <w:t>Drivers</w:t>
            </w:r>
          </w:p>
        </w:tc>
        <w:tc>
          <w:tcPr>
            <w:tcW w:w="3420" w:type="dxa"/>
            <w:gridSpan w:val="2"/>
            <w:vAlign w:val="center"/>
          </w:tcPr>
          <w:p w14:paraId="41981611" w14:textId="77C433FB" w:rsidR="00FA4F43" w:rsidRDefault="000F044E" w:rsidP="00FA4F43">
            <w:pPr>
              <w:spacing w:line="240" w:lineRule="auto"/>
              <w:jc w:val="center"/>
              <w:rPr>
                <w:rFonts w:eastAsia="Times New Roman" w:cs="Times New Roman"/>
                <w:szCs w:val="24"/>
              </w:rPr>
            </w:pPr>
            <w:r>
              <w:rPr>
                <w:rFonts w:eastAsia="Times New Roman" w:cs="Times New Roman"/>
                <w:szCs w:val="24"/>
              </w:rPr>
              <w:t>180</w:t>
            </w:r>
          </w:p>
        </w:tc>
        <w:tc>
          <w:tcPr>
            <w:tcW w:w="2965" w:type="dxa"/>
            <w:gridSpan w:val="2"/>
            <w:vAlign w:val="center"/>
          </w:tcPr>
          <w:p w14:paraId="0293630C" w14:textId="77777777" w:rsidR="00FA4F43" w:rsidRDefault="000F5B51" w:rsidP="00FA4F43">
            <w:pPr>
              <w:spacing w:line="240" w:lineRule="auto"/>
              <w:jc w:val="center"/>
              <w:rPr>
                <w:rFonts w:eastAsia="Times New Roman" w:cs="Times New Roman"/>
                <w:szCs w:val="24"/>
              </w:rPr>
            </w:pPr>
            <w:r>
              <w:rPr>
                <w:rFonts w:eastAsia="Times New Roman" w:cs="Times New Roman"/>
                <w:szCs w:val="24"/>
              </w:rPr>
              <w:t>66</w:t>
            </w:r>
          </w:p>
        </w:tc>
      </w:tr>
      <w:tr w:rsidR="00A15C2C" w14:paraId="001C59A5" w14:textId="77777777" w:rsidTr="00CC65F7">
        <w:tc>
          <w:tcPr>
            <w:tcW w:w="2965" w:type="dxa"/>
            <w:vAlign w:val="center"/>
          </w:tcPr>
          <w:p w14:paraId="49401FBC" w14:textId="77777777" w:rsidR="00FA4F43" w:rsidRDefault="000F5B51" w:rsidP="00FA4F43">
            <w:pPr>
              <w:spacing w:line="240" w:lineRule="auto"/>
              <w:rPr>
                <w:rFonts w:eastAsia="Times New Roman" w:cs="Times New Roman"/>
                <w:szCs w:val="24"/>
              </w:rPr>
            </w:pPr>
            <w:r>
              <w:rPr>
                <w:rFonts w:eastAsia="Times New Roman" w:cs="Times New Roman"/>
                <w:szCs w:val="24"/>
              </w:rPr>
              <w:t>Right Front Seat Passenger</w:t>
            </w:r>
          </w:p>
        </w:tc>
        <w:tc>
          <w:tcPr>
            <w:tcW w:w="3420" w:type="dxa"/>
            <w:gridSpan w:val="2"/>
            <w:vAlign w:val="center"/>
          </w:tcPr>
          <w:p w14:paraId="3C0E507B" w14:textId="3D0B1327" w:rsidR="00FA4F43" w:rsidRDefault="000F044E" w:rsidP="00FA4F43">
            <w:pPr>
              <w:spacing w:line="240" w:lineRule="auto"/>
              <w:jc w:val="center"/>
              <w:rPr>
                <w:rFonts w:eastAsia="Times New Roman" w:cs="Times New Roman"/>
                <w:szCs w:val="24"/>
              </w:rPr>
            </w:pPr>
            <w:r>
              <w:rPr>
                <w:rFonts w:eastAsia="Times New Roman" w:cs="Times New Roman"/>
                <w:szCs w:val="24"/>
              </w:rPr>
              <w:t>31</w:t>
            </w:r>
          </w:p>
        </w:tc>
        <w:tc>
          <w:tcPr>
            <w:tcW w:w="2965" w:type="dxa"/>
            <w:gridSpan w:val="2"/>
            <w:vAlign w:val="center"/>
          </w:tcPr>
          <w:p w14:paraId="0C3248B7" w14:textId="77777777" w:rsidR="00FA4F43" w:rsidRDefault="000F5B51" w:rsidP="00FA4F43">
            <w:pPr>
              <w:spacing w:line="240" w:lineRule="auto"/>
              <w:jc w:val="center"/>
              <w:rPr>
                <w:rFonts w:eastAsia="Times New Roman" w:cs="Times New Roman"/>
                <w:szCs w:val="24"/>
              </w:rPr>
            </w:pPr>
            <w:r>
              <w:rPr>
                <w:rFonts w:eastAsia="Times New Roman" w:cs="Times New Roman"/>
                <w:szCs w:val="24"/>
              </w:rPr>
              <w:t>11</w:t>
            </w:r>
          </w:p>
        </w:tc>
      </w:tr>
      <w:tr w:rsidR="00A15C2C" w14:paraId="27ED12F9" w14:textId="77777777" w:rsidTr="00CC65F7">
        <w:tc>
          <w:tcPr>
            <w:tcW w:w="2965" w:type="dxa"/>
            <w:vAlign w:val="center"/>
          </w:tcPr>
          <w:p w14:paraId="5AA7B527" w14:textId="77777777" w:rsidR="00FA4F43" w:rsidRDefault="000F5B51" w:rsidP="00FA4F43">
            <w:pPr>
              <w:spacing w:line="240" w:lineRule="auto"/>
              <w:rPr>
                <w:rFonts w:eastAsia="Times New Roman" w:cs="Times New Roman"/>
                <w:szCs w:val="24"/>
              </w:rPr>
            </w:pPr>
            <w:r>
              <w:rPr>
                <w:rFonts w:eastAsia="Times New Roman" w:cs="Times New Roman"/>
                <w:szCs w:val="24"/>
              </w:rPr>
              <w:t>Total</w:t>
            </w:r>
          </w:p>
        </w:tc>
        <w:tc>
          <w:tcPr>
            <w:tcW w:w="3420" w:type="dxa"/>
            <w:gridSpan w:val="2"/>
            <w:vAlign w:val="center"/>
          </w:tcPr>
          <w:p w14:paraId="6EDD8B6F" w14:textId="6CEA9974" w:rsidR="00FA4F43" w:rsidRDefault="000F044E" w:rsidP="00FA4F43">
            <w:pPr>
              <w:spacing w:line="240" w:lineRule="auto"/>
              <w:jc w:val="center"/>
              <w:rPr>
                <w:rFonts w:eastAsia="Times New Roman" w:cs="Times New Roman"/>
                <w:szCs w:val="24"/>
              </w:rPr>
            </w:pPr>
            <w:r>
              <w:rPr>
                <w:rFonts w:eastAsia="Times New Roman" w:cs="Times New Roman"/>
                <w:szCs w:val="24"/>
              </w:rPr>
              <w:t>211</w:t>
            </w:r>
          </w:p>
        </w:tc>
        <w:tc>
          <w:tcPr>
            <w:tcW w:w="2965" w:type="dxa"/>
            <w:gridSpan w:val="2"/>
            <w:vAlign w:val="center"/>
          </w:tcPr>
          <w:p w14:paraId="443B09A0" w14:textId="77777777" w:rsidR="00FA4F43" w:rsidRDefault="000F5B51" w:rsidP="00FA4F43">
            <w:pPr>
              <w:spacing w:line="240" w:lineRule="auto"/>
              <w:jc w:val="center"/>
              <w:rPr>
                <w:rFonts w:eastAsia="Times New Roman" w:cs="Times New Roman"/>
                <w:szCs w:val="24"/>
              </w:rPr>
            </w:pPr>
            <w:r>
              <w:rPr>
                <w:rFonts w:eastAsia="Times New Roman" w:cs="Times New Roman"/>
                <w:szCs w:val="24"/>
              </w:rPr>
              <w:t>77</w:t>
            </w:r>
          </w:p>
        </w:tc>
      </w:tr>
      <w:tr w:rsidR="00A15C2C" w14:paraId="37B36A8E" w14:textId="77777777" w:rsidTr="00CC65F7">
        <w:trPr>
          <w:trHeight w:val="233"/>
        </w:trPr>
        <w:tc>
          <w:tcPr>
            <w:tcW w:w="9350" w:type="dxa"/>
            <w:gridSpan w:val="5"/>
            <w:shd w:val="clear" w:color="auto" w:fill="D9D9D9" w:themeFill="background1" w:themeFillShade="D9"/>
            <w:vAlign w:val="center"/>
          </w:tcPr>
          <w:p w14:paraId="4CFD97BF" w14:textId="77777777" w:rsidR="00057265" w:rsidRPr="00CC65F7" w:rsidRDefault="000F5B51" w:rsidP="00972E7E">
            <w:pPr>
              <w:spacing w:line="240" w:lineRule="auto"/>
              <w:jc w:val="center"/>
              <w:rPr>
                <w:rFonts w:eastAsia="Times New Roman" w:cs="Times New Roman"/>
                <w:b/>
                <w:bCs/>
                <w:i/>
                <w:iCs/>
                <w:szCs w:val="24"/>
              </w:rPr>
            </w:pPr>
            <w:r>
              <w:rPr>
                <w:rFonts w:eastAsia="Times New Roman" w:cs="Times New Roman"/>
                <w:b/>
                <w:bCs/>
                <w:i/>
                <w:iCs/>
                <w:szCs w:val="24"/>
              </w:rPr>
              <w:t>Proposed Rule</w:t>
            </w:r>
          </w:p>
        </w:tc>
      </w:tr>
      <w:tr w:rsidR="00A15C2C" w14:paraId="145B6BA5" w14:textId="77777777" w:rsidTr="00CC65F7">
        <w:tc>
          <w:tcPr>
            <w:tcW w:w="2965" w:type="dxa"/>
            <w:vAlign w:val="center"/>
          </w:tcPr>
          <w:p w14:paraId="790BA033" w14:textId="77777777" w:rsidR="007B2BD4" w:rsidRPr="00CC65F7" w:rsidRDefault="000F5B51" w:rsidP="007B2BD4">
            <w:pPr>
              <w:spacing w:line="240" w:lineRule="auto"/>
              <w:rPr>
                <w:rFonts w:eastAsia="Times New Roman" w:cs="Times New Roman"/>
                <w:b/>
                <w:bCs/>
                <w:szCs w:val="24"/>
              </w:rPr>
            </w:pPr>
            <w:r>
              <w:rPr>
                <w:rFonts w:eastAsia="Times New Roman" w:cs="Times New Roman"/>
                <w:b/>
                <w:bCs/>
                <w:szCs w:val="24"/>
              </w:rPr>
              <w:t>Total</w:t>
            </w:r>
          </w:p>
        </w:tc>
        <w:tc>
          <w:tcPr>
            <w:tcW w:w="1530" w:type="dxa"/>
            <w:vAlign w:val="center"/>
          </w:tcPr>
          <w:p w14:paraId="4E0DC3D4" w14:textId="7F0DF29E" w:rsidR="007B2BD4" w:rsidRPr="00CC65F7" w:rsidRDefault="009354DB">
            <w:pPr>
              <w:spacing w:line="240" w:lineRule="auto"/>
              <w:jc w:val="center"/>
              <w:rPr>
                <w:rFonts w:eastAsia="Times New Roman" w:cs="Times New Roman"/>
                <w:b/>
                <w:bCs/>
                <w:szCs w:val="24"/>
              </w:rPr>
            </w:pPr>
            <w:r>
              <w:rPr>
                <w:rFonts w:eastAsia="Times New Roman" w:cs="Times New Roman"/>
                <w:b/>
                <w:bCs/>
                <w:szCs w:val="24"/>
              </w:rPr>
              <w:t>286</w:t>
            </w:r>
          </w:p>
        </w:tc>
        <w:tc>
          <w:tcPr>
            <w:tcW w:w="1890" w:type="dxa"/>
            <w:vAlign w:val="center"/>
          </w:tcPr>
          <w:p w14:paraId="011E8D3D" w14:textId="5521A4CA" w:rsidR="007B2BD4" w:rsidRPr="00CC65F7" w:rsidRDefault="00BC4728">
            <w:pPr>
              <w:spacing w:line="240" w:lineRule="auto"/>
              <w:jc w:val="center"/>
              <w:rPr>
                <w:rFonts w:eastAsia="Times New Roman" w:cs="Times New Roman"/>
                <w:b/>
                <w:bCs/>
                <w:szCs w:val="24"/>
              </w:rPr>
            </w:pPr>
            <w:r>
              <w:rPr>
                <w:rFonts w:eastAsia="Times New Roman" w:cs="Times New Roman"/>
                <w:b/>
                <w:bCs/>
                <w:szCs w:val="24"/>
              </w:rPr>
              <w:t>323</w:t>
            </w:r>
          </w:p>
        </w:tc>
        <w:tc>
          <w:tcPr>
            <w:tcW w:w="1440" w:type="dxa"/>
            <w:vAlign w:val="center"/>
          </w:tcPr>
          <w:p w14:paraId="0C1CFBE2" w14:textId="77777777" w:rsidR="007B2BD4" w:rsidRPr="00CC65F7" w:rsidRDefault="000F5B51">
            <w:pPr>
              <w:spacing w:line="240" w:lineRule="auto"/>
              <w:jc w:val="center"/>
              <w:rPr>
                <w:rFonts w:eastAsia="Times New Roman" w:cs="Times New Roman"/>
                <w:b/>
                <w:bCs/>
                <w:szCs w:val="24"/>
              </w:rPr>
            </w:pPr>
            <w:r>
              <w:rPr>
                <w:rFonts w:eastAsia="Times New Roman" w:cs="Times New Roman"/>
                <w:b/>
                <w:bCs/>
                <w:szCs w:val="24"/>
              </w:rPr>
              <w:t>100</w:t>
            </w:r>
          </w:p>
        </w:tc>
        <w:tc>
          <w:tcPr>
            <w:tcW w:w="1525" w:type="dxa"/>
            <w:vAlign w:val="center"/>
          </w:tcPr>
          <w:p w14:paraId="4EF7D2B6" w14:textId="77777777" w:rsidR="007B2BD4" w:rsidRPr="00CC65F7" w:rsidRDefault="000F5B51">
            <w:pPr>
              <w:spacing w:line="240" w:lineRule="auto"/>
              <w:jc w:val="center"/>
              <w:rPr>
                <w:rFonts w:eastAsia="Times New Roman" w:cs="Times New Roman"/>
                <w:b/>
                <w:bCs/>
                <w:szCs w:val="24"/>
              </w:rPr>
            </w:pPr>
            <w:r>
              <w:rPr>
                <w:rFonts w:eastAsia="Times New Roman" w:cs="Times New Roman"/>
                <w:b/>
                <w:bCs/>
                <w:szCs w:val="24"/>
              </w:rPr>
              <w:t>111</w:t>
            </w:r>
          </w:p>
        </w:tc>
      </w:tr>
    </w:tbl>
    <w:p w14:paraId="123D5ABB" w14:textId="77777777" w:rsidR="00E971ED" w:rsidRDefault="000F5B51" w:rsidP="00CC65F7">
      <w:pPr>
        <w:pStyle w:val="NoSpaceTimes"/>
        <w:jc w:val="left"/>
        <w:rPr>
          <w:sz w:val="18"/>
          <w:szCs w:val="18"/>
        </w:rPr>
      </w:pPr>
      <w:r>
        <w:rPr>
          <w:sz w:val="18"/>
          <w:szCs w:val="18"/>
        </w:rPr>
        <w:t>Note: Values may not sum due to rounding. Totals are rounded to the nearest whole number for presentation purposes.</w:t>
      </w:r>
    </w:p>
    <w:p w14:paraId="4ABE8D00" w14:textId="77777777" w:rsidR="00AC1B9B" w:rsidRDefault="000F5B51" w:rsidP="00CC65F7">
      <w:pPr>
        <w:pStyle w:val="Heading1"/>
        <w:keepNext w:val="0"/>
        <w:keepLines w:val="0"/>
        <w:widowControl w:val="0"/>
        <w:spacing w:line="240" w:lineRule="auto"/>
      </w:pPr>
      <w:bookmarkStart w:id="1316" w:name="_Toc127266023"/>
      <w:bookmarkStart w:id="1317" w:name="_Ref128052609"/>
      <w:bookmarkStart w:id="1318" w:name="_Toc142902988"/>
      <w:bookmarkEnd w:id="1316"/>
      <w:r>
        <w:t>Costs</w:t>
      </w:r>
      <w:bookmarkEnd w:id="1317"/>
      <w:bookmarkEnd w:id="1318"/>
    </w:p>
    <w:p w14:paraId="0B34286C" w14:textId="77777777" w:rsidR="00BB6960" w:rsidRPr="00CB2C12" w:rsidRDefault="000F5B51" w:rsidP="00CC65F7">
      <w:r>
        <w:t>This chapter presents the costs associated with meeting the requirements specified in the proposed rule</w:t>
      </w:r>
      <w:r w:rsidR="001F2F92">
        <w:t xml:space="preserve">. </w:t>
      </w:r>
      <w:r w:rsidR="006A01D0">
        <w:t xml:space="preserve">The following sections discuss the costs associated with meeting the requirements specified for SBWS for rear seat occupants and indefinite warnings for front </w:t>
      </w:r>
      <w:r w:rsidR="033B5E28">
        <w:t>outboard</w:t>
      </w:r>
      <w:r w:rsidR="006A01D0">
        <w:t xml:space="preserve"> seat occupants, respectively</w:t>
      </w:r>
      <w:r w:rsidR="001F2F92">
        <w:t xml:space="preserve">. </w:t>
      </w:r>
      <w:r w:rsidR="00522CE4">
        <w:t>The last section provides a summary of the chapter.</w:t>
      </w:r>
    </w:p>
    <w:p w14:paraId="6AFF6E87" w14:textId="77777777" w:rsidR="00AC1B9B" w:rsidRDefault="000F5B51" w:rsidP="00CC65F7">
      <w:pPr>
        <w:pStyle w:val="Heading2"/>
        <w:spacing w:line="240" w:lineRule="auto"/>
      </w:pPr>
      <w:bookmarkStart w:id="1319" w:name="_Toc142902989"/>
      <w:r>
        <w:t>SBWS</w:t>
      </w:r>
      <w:r w:rsidR="00334A45">
        <w:t xml:space="preserve"> for Rear Seat Occupants</w:t>
      </w:r>
      <w:bookmarkEnd w:id="1319"/>
    </w:p>
    <w:p w14:paraId="64403331" w14:textId="77777777" w:rsidR="006B0051" w:rsidRDefault="000F5B51" w:rsidP="00CC65F7">
      <w:pPr>
        <w:rPr>
          <w:rFonts w:eastAsia="Times New Roman" w:cs="Times New Roman"/>
        </w:rPr>
      </w:pPr>
      <w:r>
        <w:t>This section discusses the costs associated with meeting the requirements specified in the proposed rule for SBSW for rear seat occupants</w:t>
      </w:r>
      <w:r w:rsidR="001F2F92">
        <w:t xml:space="preserve">. </w:t>
      </w:r>
      <w:r w:rsidRPr="4D6C609F">
        <w:rPr>
          <w:rFonts w:eastAsia="Times New Roman" w:cs="Times New Roman"/>
        </w:rPr>
        <w:t>The proposal contains three compliance options for the rear SBWS.</w:t>
      </w:r>
      <w:r>
        <w:rPr>
          <w:rStyle w:val="FootnoteReference"/>
          <w:rFonts w:eastAsia="Times New Roman" w:cs="Times New Roman"/>
        </w:rPr>
        <w:footnoteReference w:id="65"/>
      </w:r>
      <w:r w:rsidRPr="4D6C609F">
        <w:rPr>
          <w:rFonts w:eastAsia="Times New Roman" w:cs="Times New Roman"/>
        </w:rPr>
        <w:t xml:space="preserve">  The least costly option requires that the SBWS visually</w:t>
      </w:r>
      <w:r w:rsidR="0AAF0264" w:rsidRPr="4D6C609F">
        <w:rPr>
          <w:rFonts w:eastAsia="Times New Roman" w:cs="Times New Roman"/>
        </w:rPr>
        <w:t>,</w:t>
      </w:r>
      <w:r w:rsidRPr="4D6C609F">
        <w:rPr>
          <w:rFonts w:eastAsia="Times New Roman" w:cs="Times New Roman"/>
        </w:rPr>
        <w:t xml:space="preserve"> through icons or text</w:t>
      </w:r>
      <w:r w:rsidR="4B6AC594" w:rsidRPr="4D6C609F">
        <w:rPr>
          <w:rFonts w:eastAsia="Times New Roman" w:cs="Times New Roman"/>
        </w:rPr>
        <w:t>,</w:t>
      </w:r>
      <w:r w:rsidR="005C3B4E" w:rsidRPr="4D6C609F">
        <w:rPr>
          <w:rFonts w:eastAsia="Times New Roman" w:cs="Times New Roman"/>
        </w:rPr>
        <w:t xml:space="preserve"> </w:t>
      </w:r>
      <w:r w:rsidRPr="4D6C609F">
        <w:rPr>
          <w:rFonts w:eastAsia="Times New Roman" w:cs="Times New Roman"/>
        </w:rPr>
        <w:t>report which or how many rear seat belts are in use, rather than notify the driver of rear seat belt non-use</w:t>
      </w:r>
      <w:r w:rsidR="001F2F92">
        <w:rPr>
          <w:rFonts w:eastAsia="Times New Roman" w:cs="Times New Roman"/>
        </w:rPr>
        <w:t xml:space="preserve">. </w:t>
      </w:r>
      <w:r w:rsidRPr="4D6C609F">
        <w:rPr>
          <w:rFonts w:eastAsia="Times New Roman" w:cs="Times New Roman"/>
        </w:rPr>
        <w:t>This type of system does not require occupant detection</w:t>
      </w:r>
      <w:r w:rsidR="001F2F92">
        <w:rPr>
          <w:rFonts w:eastAsia="Times New Roman" w:cs="Times New Roman"/>
        </w:rPr>
        <w:t xml:space="preserve">. </w:t>
      </w:r>
      <w:r w:rsidR="00FA7E42" w:rsidRPr="4D6C609F">
        <w:rPr>
          <w:rFonts w:eastAsia="Times New Roman" w:cs="Times New Roman"/>
        </w:rPr>
        <w:t>I</w:t>
      </w:r>
      <w:r w:rsidRPr="4D6C609F">
        <w:rPr>
          <w:rFonts w:eastAsia="Times New Roman" w:cs="Times New Roman"/>
        </w:rPr>
        <w:t>nstead</w:t>
      </w:r>
      <w:r w:rsidR="00FA7E42" w:rsidRPr="4D6C609F">
        <w:rPr>
          <w:rFonts w:eastAsia="Times New Roman" w:cs="Times New Roman"/>
        </w:rPr>
        <w:t>, it</w:t>
      </w:r>
      <w:r w:rsidRPr="4D6C609F">
        <w:rPr>
          <w:rFonts w:eastAsia="Times New Roman" w:cs="Times New Roman"/>
        </w:rPr>
        <w:t xml:space="preserve"> relies on the driver or the human factor to determine </w:t>
      </w:r>
      <w:r w:rsidR="00FA7E42" w:rsidRPr="4D6C609F">
        <w:rPr>
          <w:rFonts w:eastAsia="Times New Roman" w:cs="Times New Roman"/>
        </w:rPr>
        <w:t xml:space="preserve">the number of </w:t>
      </w:r>
      <w:r w:rsidRPr="4D6C609F">
        <w:rPr>
          <w:rFonts w:eastAsia="Times New Roman" w:cs="Times New Roman"/>
        </w:rPr>
        <w:t xml:space="preserve">rear seat occupants and </w:t>
      </w:r>
      <w:r w:rsidR="00FA7E42" w:rsidRPr="4D6C609F">
        <w:rPr>
          <w:rFonts w:eastAsia="Times New Roman" w:cs="Times New Roman"/>
        </w:rPr>
        <w:t xml:space="preserve">then </w:t>
      </w:r>
      <w:r w:rsidRPr="4D6C609F">
        <w:rPr>
          <w:rFonts w:eastAsia="Times New Roman" w:cs="Times New Roman"/>
        </w:rPr>
        <w:t>decide if that number equals the number of seat belts that are reported by the SBWS as being buckled</w:t>
      </w:r>
      <w:r w:rsidR="001F2F92">
        <w:rPr>
          <w:rFonts w:eastAsia="Times New Roman" w:cs="Times New Roman"/>
        </w:rPr>
        <w:t xml:space="preserve">. </w:t>
      </w:r>
      <w:r w:rsidRPr="4D6C609F">
        <w:rPr>
          <w:rFonts w:eastAsia="Times New Roman" w:cs="Times New Roman"/>
        </w:rPr>
        <w:t xml:space="preserve">It would also provide an audible warning signal in the event that the status of a rear seat belt buckle </w:t>
      </w:r>
      <w:r w:rsidRPr="4D6C609F">
        <w:rPr>
          <w:rFonts w:eastAsia="Times New Roman" w:cs="Times New Roman"/>
        </w:rPr>
        <w:lastRenderedPageBreak/>
        <w:t>changes during the course of the trip</w:t>
      </w:r>
      <w:r w:rsidR="001F2F92">
        <w:rPr>
          <w:rFonts w:eastAsia="Times New Roman" w:cs="Times New Roman"/>
        </w:rPr>
        <w:t xml:space="preserve">. </w:t>
      </w:r>
      <w:r w:rsidRPr="4D6C609F">
        <w:rPr>
          <w:rFonts w:eastAsia="Times New Roman" w:cs="Times New Roman"/>
        </w:rPr>
        <w:t>The majority of U.S. vehicle models with rear SBWSs employ this type of system</w:t>
      </w:r>
      <w:r w:rsidR="001F2F92">
        <w:rPr>
          <w:rFonts w:eastAsia="Times New Roman" w:cs="Times New Roman"/>
        </w:rPr>
        <w:t xml:space="preserve">. </w:t>
      </w:r>
      <w:r w:rsidRPr="4D6C609F">
        <w:rPr>
          <w:rFonts w:eastAsia="Times New Roman" w:cs="Times New Roman"/>
        </w:rPr>
        <w:t>While the main limitation of such a system is its reliance on the driver to know the number of rear seat passengers and compare it to the visual reporting of the rear SBWS, it eliminates the false alarm concerns</w:t>
      </w:r>
      <w:r>
        <w:rPr>
          <w:rStyle w:val="FootnoteReference"/>
          <w:rFonts w:eastAsia="Times New Roman" w:cs="Times New Roman"/>
        </w:rPr>
        <w:footnoteReference w:id="66"/>
      </w:r>
      <w:r w:rsidRPr="4D6C609F">
        <w:rPr>
          <w:rFonts w:eastAsia="Times New Roman" w:cs="Times New Roman"/>
        </w:rPr>
        <w:t xml:space="preserve"> associated with a system that integrates occupant detection</w:t>
      </w:r>
      <w:r w:rsidR="001F2F92">
        <w:rPr>
          <w:rFonts w:eastAsia="Times New Roman" w:cs="Times New Roman"/>
        </w:rPr>
        <w:t xml:space="preserve">. </w:t>
      </w:r>
    </w:p>
    <w:p w14:paraId="0DF8CC46" w14:textId="00CEA8BC" w:rsidR="00A22E2F" w:rsidRDefault="000F5B51" w:rsidP="00756D9B">
      <w:pPr>
        <w:spacing w:after="0"/>
        <w:rPr>
          <w:rFonts w:eastAsia="Times New Roman" w:cs="Times New Roman"/>
          <w:szCs w:val="24"/>
        </w:rPr>
      </w:pPr>
      <w:r>
        <w:rPr>
          <w:rFonts w:eastAsia="Times New Roman" w:cs="Times New Roman"/>
          <w:szCs w:val="24"/>
        </w:rPr>
        <w:t xml:space="preserve">For the analysis, </w:t>
      </w:r>
      <w:r w:rsidRPr="00021622">
        <w:rPr>
          <w:rFonts w:eastAsia="Times New Roman" w:cs="Times New Roman"/>
          <w:szCs w:val="24"/>
        </w:rPr>
        <w:t xml:space="preserve">we estimated the cost of a rear </w:t>
      </w:r>
      <w:r>
        <w:rPr>
          <w:rFonts w:eastAsia="Times New Roman" w:cs="Times New Roman"/>
          <w:szCs w:val="24"/>
        </w:rPr>
        <w:t>SBWS</w:t>
      </w:r>
      <w:r w:rsidRPr="00021622">
        <w:rPr>
          <w:rFonts w:eastAsia="Times New Roman" w:cs="Times New Roman"/>
          <w:szCs w:val="24"/>
        </w:rPr>
        <w:t xml:space="preserve"> without occupant detection.</w:t>
      </w:r>
      <w:r>
        <w:rPr>
          <w:rFonts w:eastAsia="Times New Roman" w:cs="Times New Roman"/>
          <w:szCs w:val="24"/>
          <w:vertAlign w:val="superscript"/>
        </w:rPr>
        <w:footnoteReference w:id="67"/>
      </w:r>
      <w:r w:rsidRPr="00021622">
        <w:rPr>
          <w:rFonts w:eastAsia="Times New Roman" w:cs="Times New Roman"/>
          <w:szCs w:val="24"/>
        </w:rPr>
        <w:t xml:space="preserve">  </w:t>
      </w:r>
      <w:r w:rsidR="007D1A9F">
        <w:rPr>
          <w:rFonts w:eastAsia="Times New Roman" w:cs="Times New Roman"/>
          <w:szCs w:val="24"/>
        </w:rPr>
        <w:t>As the</w:t>
      </w:r>
      <w:r>
        <w:rPr>
          <w:rFonts w:eastAsia="Times New Roman" w:cs="Times New Roman"/>
          <w:szCs w:val="24"/>
        </w:rPr>
        <w:t xml:space="preserve"> </w:t>
      </w:r>
      <w:r w:rsidRPr="00CE2168">
        <w:rPr>
          <w:rFonts w:eastAsia="Times New Roman" w:cs="Times New Roman"/>
          <w:szCs w:val="24"/>
        </w:rPr>
        <w:t>202</w:t>
      </w:r>
      <w:r w:rsidR="003C6403">
        <w:rPr>
          <w:rFonts w:eastAsia="Times New Roman" w:cs="Times New Roman"/>
          <w:szCs w:val="24"/>
        </w:rPr>
        <w:t>2</w:t>
      </w:r>
      <w:r>
        <w:rPr>
          <w:rFonts w:eastAsia="Times New Roman" w:cs="Times New Roman"/>
          <w:szCs w:val="24"/>
        </w:rPr>
        <w:t xml:space="preserve"> NCAP data shows that </w:t>
      </w:r>
      <w:r w:rsidRPr="00CE2168">
        <w:rPr>
          <w:rFonts w:eastAsia="Times New Roman" w:cs="Times New Roman"/>
          <w:szCs w:val="24"/>
        </w:rPr>
        <w:t>46.9</w:t>
      </w:r>
      <w:r w:rsidR="007D1A9F">
        <w:rPr>
          <w:rFonts w:eastAsia="Times New Roman" w:cs="Times New Roman"/>
          <w:szCs w:val="24"/>
        </w:rPr>
        <w:t xml:space="preserve"> percent</w:t>
      </w:r>
      <w:r>
        <w:rPr>
          <w:rFonts w:eastAsia="Times New Roman" w:cs="Times New Roman"/>
          <w:szCs w:val="24"/>
        </w:rPr>
        <w:t xml:space="preserve"> of vehicles are equipped with rear SBWS, </w:t>
      </w:r>
      <w:r w:rsidR="000379CD">
        <w:rPr>
          <w:rFonts w:eastAsia="Times New Roman" w:cs="Times New Roman"/>
          <w:szCs w:val="24"/>
        </w:rPr>
        <w:t>this analysis</w:t>
      </w:r>
      <w:r>
        <w:rPr>
          <w:rFonts w:eastAsia="Times New Roman" w:cs="Times New Roman"/>
          <w:szCs w:val="24"/>
        </w:rPr>
        <w:t xml:space="preserve"> assume</w:t>
      </w:r>
      <w:r w:rsidR="000379CD">
        <w:rPr>
          <w:rFonts w:eastAsia="Times New Roman" w:cs="Times New Roman"/>
          <w:szCs w:val="24"/>
        </w:rPr>
        <w:t>s</w:t>
      </w:r>
      <w:r>
        <w:rPr>
          <w:rFonts w:eastAsia="Times New Roman" w:cs="Times New Roman"/>
          <w:szCs w:val="24"/>
        </w:rPr>
        <w:t xml:space="preserve"> that </w:t>
      </w:r>
      <w:r w:rsidRPr="00CE2168">
        <w:rPr>
          <w:rFonts w:eastAsia="Times New Roman" w:cs="Times New Roman"/>
          <w:szCs w:val="24"/>
        </w:rPr>
        <w:t>53.1</w:t>
      </w:r>
      <w:r>
        <w:rPr>
          <w:rFonts w:eastAsia="Times New Roman" w:cs="Times New Roman"/>
          <w:szCs w:val="24"/>
        </w:rPr>
        <w:t xml:space="preserve"> percent of the vehicles do not have rear SBWS</w:t>
      </w:r>
      <w:r w:rsidR="001F2F92">
        <w:rPr>
          <w:rFonts w:eastAsia="Times New Roman" w:cs="Times New Roman"/>
          <w:szCs w:val="24"/>
        </w:rPr>
        <w:t xml:space="preserve">. </w:t>
      </w:r>
      <w:r>
        <w:rPr>
          <w:rFonts w:eastAsia="Times New Roman" w:cs="Times New Roman"/>
          <w:szCs w:val="24"/>
        </w:rPr>
        <w:t xml:space="preserve">Based on that assumption, we </w:t>
      </w:r>
      <w:r w:rsidR="00891C1E">
        <w:rPr>
          <w:rFonts w:eastAsia="Times New Roman" w:cs="Times New Roman"/>
          <w:szCs w:val="24"/>
        </w:rPr>
        <w:t xml:space="preserve">estimate that </w:t>
      </w:r>
      <w:r w:rsidR="00206F08">
        <w:rPr>
          <w:rFonts w:eastAsia="Times New Roman" w:cs="Times New Roman"/>
          <w:szCs w:val="24"/>
        </w:rPr>
        <w:t xml:space="preserve">approximately </w:t>
      </w:r>
      <w:r w:rsidR="00891C1E">
        <w:rPr>
          <w:rFonts w:eastAsia="Times New Roman" w:cs="Times New Roman"/>
          <w:szCs w:val="24"/>
        </w:rPr>
        <w:t>8.5 million of the</w:t>
      </w:r>
      <w:r w:rsidR="009128D1">
        <w:rPr>
          <w:rFonts w:eastAsia="Times New Roman" w:cs="Times New Roman"/>
          <w:szCs w:val="24"/>
        </w:rPr>
        <w:t xml:space="preserve"> </w:t>
      </w:r>
      <w:r w:rsidR="00891C1E">
        <w:rPr>
          <w:rFonts w:eastAsia="Times New Roman" w:cs="Times New Roman"/>
          <w:szCs w:val="24"/>
        </w:rPr>
        <w:t xml:space="preserve">16 million vehicles sold annually would be impacted by the proposed rule. </w:t>
      </w:r>
      <w:r w:rsidR="00400EF9">
        <w:rPr>
          <w:rFonts w:eastAsia="Times New Roman" w:cs="Times New Roman"/>
          <w:szCs w:val="24"/>
        </w:rPr>
        <w:t>Furthermore, based on Wards,</w:t>
      </w:r>
      <w:r w:rsidR="00400EF9">
        <w:rPr>
          <w:rStyle w:val="FootnoteReference"/>
          <w:rFonts w:eastAsia="Times New Roman" w:cs="Times New Roman"/>
          <w:szCs w:val="24"/>
        </w:rPr>
        <w:footnoteReference w:id="68"/>
      </w:r>
      <w:r w:rsidR="00400EF9">
        <w:rPr>
          <w:rFonts w:eastAsia="Times New Roman" w:cs="Times New Roman"/>
          <w:szCs w:val="24"/>
        </w:rPr>
        <w:t xml:space="preserve"> approximately </w:t>
      </w:r>
      <w:r w:rsidR="00A61F43">
        <w:rPr>
          <w:rFonts w:eastAsia="Times New Roman" w:cs="Times New Roman"/>
          <w:szCs w:val="24"/>
        </w:rPr>
        <w:t>70.9</w:t>
      </w:r>
      <w:r w:rsidR="003A7098">
        <w:rPr>
          <w:rFonts w:eastAsia="Times New Roman" w:cs="Times New Roman"/>
          <w:szCs w:val="24"/>
        </w:rPr>
        <w:t xml:space="preserve"> percent</w:t>
      </w:r>
      <w:r w:rsidR="00A61F43">
        <w:rPr>
          <w:rFonts w:eastAsia="Times New Roman" w:cs="Times New Roman"/>
          <w:szCs w:val="24"/>
        </w:rPr>
        <w:t xml:space="preserve"> of new vehicle sales in the United States were</w:t>
      </w:r>
      <w:r w:rsidR="00C70DD5">
        <w:rPr>
          <w:rFonts w:eastAsia="Times New Roman" w:cs="Times New Roman"/>
          <w:szCs w:val="24"/>
        </w:rPr>
        <w:t xml:space="preserve"> vehicles </w:t>
      </w:r>
      <w:r w:rsidR="00A61F43">
        <w:rPr>
          <w:rFonts w:eastAsia="Times New Roman" w:cs="Times New Roman"/>
          <w:szCs w:val="24"/>
        </w:rPr>
        <w:t>from foreign manufacturers and approximately 2</w:t>
      </w:r>
      <w:r w:rsidR="00C70DD5">
        <w:rPr>
          <w:rFonts w:eastAsia="Times New Roman" w:cs="Times New Roman"/>
          <w:szCs w:val="24"/>
        </w:rPr>
        <w:t>9.1</w:t>
      </w:r>
      <w:r w:rsidR="003A7098">
        <w:rPr>
          <w:rFonts w:eastAsia="Times New Roman" w:cs="Times New Roman"/>
          <w:szCs w:val="24"/>
        </w:rPr>
        <w:t xml:space="preserve"> percent</w:t>
      </w:r>
      <w:r w:rsidR="00C70DD5">
        <w:rPr>
          <w:rFonts w:eastAsia="Times New Roman" w:cs="Times New Roman"/>
          <w:szCs w:val="24"/>
        </w:rPr>
        <w:t xml:space="preserve"> were vehicles from domestic manufacturers. </w:t>
      </w:r>
    </w:p>
    <w:p w14:paraId="1CC15B5E" w14:textId="074E52E7" w:rsidR="00C826ED" w:rsidRPr="00876C9D" w:rsidRDefault="00537CA8" w:rsidP="00CC65F7">
      <w:pPr>
        <w:spacing w:after="0"/>
        <w:rPr>
          <w:rFonts w:eastAsia="Calibri" w:cs="Times New Roman"/>
        </w:rPr>
      </w:pPr>
      <w:r>
        <w:rPr>
          <w:rFonts w:eastAsia="Times New Roman" w:cs="Times New Roman"/>
        </w:rPr>
        <w:t>Cost estimates are from</w:t>
      </w:r>
      <w:r w:rsidR="004B48CD" w:rsidRPr="004B48CD">
        <w:t xml:space="preserve"> </w:t>
      </w:r>
      <w:r w:rsidR="004B48CD" w:rsidRPr="004B48CD">
        <w:rPr>
          <w:rFonts w:eastAsia="Times New Roman" w:cs="Times New Roman"/>
        </w:rPr>
        <w:t>Cost and Weight Analysis of Enhanced Seat Belt Reminder Systems</w:t>
      </w:r>
      <w:r w:rsidR="008933FA">
        <w:rPr>
          <w:rFonts w:eastAsia="Times New Roman" w:cs="Times New Roman"/>
        </w:rPr>
        <w:t xml:space="preserve"> </w:t>
      </w:r>
      <w:r w:rsidR="00EC14AE">
        <w:rPr>
          <w:rFonts w:eastAsia="Times New Roman" w:cs="Times New Roman"/>
        </w:rPr>
        <w:t>completed in 2019 for NHTSA by Ricard Strategic Consulting.</w:t>
      </w:r>
      <w:r w:rsidR="00EC14AE">
        <w:rPr>
          <w:rStyle w:val="FootnoteReference"/>
          <w:rFonts w:eastAsia="Times New Roman" w:cs="Times New Roman"/>
        </w:rPr>
        <w:footnoteReference w:id="69"/>
      </w:r>
      <w:r w:rsidR="00EC14AE">
        <w:rPr>
          <w:rFonts w:eastAsia="Times New Roman" w:cs="Times New Roman"/>
        </w:rPr>
        <w:t xml:space="preserve"> </w:t>
      </w:r>
      <w:r w:rsidR="000F5B51" w:rsidRPr="2746C212">
        <w:rPr>
          <w:rFonts w:eastAsia="Times New Roman" w:cs="Times New Roman"/>
        </w:rPr>
        <w:t>The teardown analysis provides three values for system cost for rear SBWSs (without occupant detection) in vehicles</w:t>
      </w:r>
      <w:r w:rsidR="001F2F92">
        <w:rPr>
          <w:rFonts w:eastAsia="Times New Roman" w:cs="Times New Roman"/>
        </w:rPr>
        <w:t xml:space="preserve">. </w:t>
      </w:r>
      <w:r w:rsidR="000F5B51" w:rsidRPr="2746C212">
        <w:rPr>
          <w:rFonts w:eastAsia="Times New Roman" w:cs="Times New Roman"/>
        </w:rPr>
        <w:t>One vehicle had three seats in the rear with a</w:t>
      </w:r>
      <w:r w:rsidR="00671252" w:rsidRPr="2746C212">
        <w:rPr>
          <w:rFonts w:eastAsia="Times New Roman" w:cs="Times New Roman"/>
        </w:rPr>
        <w:t xml:space="preserve">n overall </w:t>
      </w:r>
      <w:r w:rsidR="000F5B51" w:rsidRPr="2746C212">
        <w:rPr>
          <w:rFonts w:eastAsia="Times New Roman" w:cs="Times New Roman"/>
        </w:rPr>
        <w:t xml:space="preserve">system cost of $12.32, which </w:t>
      </w:r>
      <w:r w:rsidR="00671252" w:rsidRPr="2746C212">
        <w:rPr>
          <w:rFonts w:eastAsia="Times New Roman" w:cs="Times New Roman"/>
        </w:rPr>
        <w:t>translates to a cost of</w:t>
      </w:r>
      <w:r w:rsidR="000F5B51" w:rsidRPr="2746C212">
        <w:rPr>
          <w:rFonts w:eastAsia="Times New Roman" w:cs="Times New Roman"/>
        </w:rPr>
        <w:t xml:space="preserve"> $4.11 per seat</w:t>
      </w:r>
      <w:r w:rsidR="001F2F92">
        <w:rPr>
          <w:rFonts w:eastAsia="Times New Roman" w:cs="Times New Roman"/>
        </w:rPr>
        <w:t xml:space="preserve">. </w:t>
      </w:r>
      <w:r w:rsidR="000F5B51" w:rsidRPr="2746C212">
        <w:rPr>
          <w:rFonts w:eastAsia="Times New Roman" w:cs="Times New Roman"/>
        </w:rPr>
        <w:t xml:space="preserve">The other two vehicles had </w:t>
      </w:r>
      <w:r w:rsidR="00671252" w:rsidRPr="2746C212">
        <w:rPr>
          <w:rFonts w:eastAsia="Times New Roman" w:cs="Times New Roman"/>
        </w:rPr>
        <w:t>five</w:t>
      </w:r>
      <w:r w:rsidR="000F5B51" w:rsidRPr="2746C212">
        <w:rPr>
          <w:rFonts w:eastAsia="Times New Roman" w:cs="Times New Roman"/>
        </w:rPr>
        <w:t xml:space="preserve"> rear seats </w:t>
      </w:r>
      <w:r w:rsidR="00642917" w:rsidRPr="2746C212">
        <w:rPr>
          <w:rFonts w:eastAsia="Times New Roman" w:cs="Times New Roman"/>
        </w:rPr>
        <w:t>with overall</w:t>
      </w:r>
      <w:r w:rsidR="000F5B51" w:rsidRPr="2746C212">
        <w:rPr>
          <w:rFonts w:eastAsia="Times New Roman" w:cs="Times New Roman"/>
        </w:rPr>
        <w:t xml:space="preserve"> rear SBWS costs of </w:t>
      </w:r>
      <w:r w:rsidR="000F5B51" w:rsidRPr="2746C212">
        <w:rPr>
          <w:rFonts w:eastAsia="Times New Roman" w:cs="Times New Roman"/>
        </w:rPr>
        <w:lastRenderedPageBreak/>
        <w:t>$19.54 and $18.99</w:t>
      </w:r>
      <w:r w:rsidR="00197A95" w:rsidRPr="2746C212">
        <w:rPr>
          <w:rFonts w:eastAsia="Times New Roman" w:cs="Times New Roman"/>
        </w:rPr>
        <w:t>,</w:t>
      </w:r>
      <w:r w:rsidR="00642917" w:rsidRPr="2746C212">
        <w:rPr>
          <w:rFonts w:eastAsia="Times New Roman" w:cs="Times New Roman"/>
        </w:rPr>
        <w:t xml:space="preserve"> which translates to a</w:t>
      </w:r>
      <w:r w:rsidR="000F5B51" w:rsidRPr="2746C212">
        <w:rPr>
          <w:rFonts w:eastAsia="Times New Roman" w:cs="Times New Roman"/>
        </w:rPr>
        <w:t xml:space="preserve"> per seat cost of $3.91 and $3.80</w:t>
      </w:r>
      <w:r w:rsidR="00B85FB8" w:rsidRPr="2746C212">
        <w:rPr>
          <w:rFonts w:eastAsia="Times New Roman" w:cs="Times New Roman"/>
        </w:rPr>
        <w:t>, respectively</w:t>
      </w:r>
      <w:r w:rsidR="001F2F92">
        <w:rPr>
          <w:rFonts w:eastAsia="Times New Roman" w:cs="Times New Roman"/>
        </w:rPr>
        <w:t xml:space="preserve">. </w:t>
      </w:r>
      <w:r w:rsidR="002761E5" w:rsidRPr="2746C212">
        <w:rPr>
          <w:rFonts w:eastAsia="Times New Roman" w:cs="Times New Roman"/>
        </w:rPr>
        <w:t xml:space="preserve">Based on that information, </w:t>
      </w:r>
      <w:r w:rsidR="00CE2CF6" w:rsidRPr="2746C212">
        <w:rPr>
          <w:rFonts w:eastAsia="Times New Roman" w:cs="Times New Roman"/>
        </w:rPr>
        <w:t>the</w:t>
      </w:r>
      <w:r w:rsidR="000F5B51" w:rsidRPr="2746C212">
        <w:rPr>
          <w:rFonts w:eastAsia="Times New Roman" w:cs="Times New Roman"/>
        </w:rPr>
        <w:t xml:space="preserve"> average per-seat cost of $3.94 in 2017</w:t>
      </w:r>
      <w:r w:rsidR="00CE2CF6" w:rsidRPr="2746C212">
        <w:rPr>
          <w:rFonts w:eastAsia="Times New Roman" w:cs="Times New Roman"/>
        </w:rPr>
        <w:t xml:space="preserve"> dollars</w:t>
      </w:r>
      <w:r w:rsidR="001F2F92">
        <w:rPr>
          <w:rFonts w:eastAsia="Times New Roman" w:cs="Times New Roman"/>
        </w:rPr>
        <w:t xml:space="preserve">. </w:t>
      </w:r>
      <w:r w:rsidR="000F5B51" w:rsidRPr="2746C212">
        <w:rPr>
          <w:rFonts w:eastAsia="Times New Roman" w:cs="Times New Roman"/>
        </w:rPr>
        <w:t>Converted to 2020</w:t>
      </w:r>
      <w:r w:rsidR="00CE2CF6" w:rsidRPr="2746C212">
        <w:rPr>
          <w:rFonts w:eastAsia="Times New Roman" w:cs="Times New Roman"/>
        </w:rPr>
        <w:t xml:space="preserve"> dollars</w:t>
      </w:r>
      <w:r w:rsidR="000F5B51" w:rsidRPr="2746C212">
        <w:rPr>
          <w:rFonts w:eastAsia="Times New Roman" w:cs="Times New Roman"/>
        </w:rPr>
        <w:t>, this amounts to $4.16 per seat before markup factor</w:t>
      </w:r>
      <w:r w:rsidR="001F2F92">
        <w:rPr>
          <w:rFonts w:eastAsia="Times New Roman" w:cs="Times New Roman"/>
        </w:rPr>
        <w:t xml:space="preserve">. </w:t>
      </w:r>
      <w:r w:rsidR="000F5B51" w:rsidRPr="2746C212">
        <w:rPr>
          <w:rFonts w:eastAsia="Times New Roman" w:cs="Times New Roman"/>
        </w:rPr>
        <w:t>Multiplying costs by 1.51 for markup yields a final cost of $6.28 per seat</w:t>
      </w:r>
      <w:r w:rsidR="001F2F92">
        <w:rPr>
          <w:rFonts w:eastAsia="Times New Roman" w:cs="Times New Roman"/>
        </w:rPr>
        <w:t xml:space="preserve">. </w:t>
      </w:r>
      <w:r w:rsidR="000F5B51" w:rsidRPr="2746C212">
        <w:rPr>
          <w:rFonts w:eastAsia="Times New Roman" w:cs="Times New Roman"/>
        </w:rPr>
        <w:t xml:space="preserve">Given an average of 3.12 </w:t>
      </w:r>
      <w:r w:rsidR="26064E76" w:rsidRPr="2746C212">
        <w:rPr>
          <w:rFonts w:eastAsia="Times New Roman" w:cs="Times New Roman"/>
        </w:rPr>
        <w:t>rear</w:t>
      </w:r>
      <w:r w:rsidR="000F5B51" w:rsidRPr="2746C212">
        <w:rPr>
          <w:rFonts w:eastAsia="Times New Roman" w:cs="Times New Roman"/>
        </w:rPr>
        <w:t xml:space="preserve"> seats per vehicle, this yields a </w:t>
      </w:r>
      <w:r w:rsidR="00CE2CF6" w:rsidRPr="2746C212">
        <w:rPr>
          <w:rFonts w:eastAsia="Times New Roman" w:cs="Times New Roman"/>
        </w:rPr>
        <w:t>per vehicles</w:t>
      </w:r>
      <w:r w:rsidR="000F5B51" w:rsidRPr="2746C212">
        <w:rPr>
          <w:rFonts w:eastAsia="Times New Roman" w:cs="Times New Roman"/>
        </w:rPr>
        <w:t xml:space="preserve"> cost of $19.59 in 2020</w:t>
      </w:r>
      <w:r w:rsidR="00CE2CF6" w:rsidRPr="2746C212">
        <w:rPr>
          <w:rFonts w:eastAsia="Times New Roman" w:cs="Times New Roman"/>
        </w:rPr>
        <w:t xml:space="preserve"> dollars</w:t>
      </w:r>
      <w:r w:rsidR="001F2F92">
        <w:rPr>
          <w:rFonts w:eastAsia="Times New Roman" w:cs="Times New Roman"/>
        </w:rPr>
        <w:t xml:space="preserve">. </w:t>
      </w:r>
      <w:r w:rsidR="005C2B88">
        <w:rPr>
          <w:rFonts w:eastAsia="Times New Roman" w:cs="Times New Roman"/>
        </w:rPr>
        <w:t xml:space="preserve">We request comment on our estimate of the annual cost for SBWS for rear seat occupants and the supporting assumptions.  </w:t>
      </w:r>
    </w:p>
    <w:p w14:paraId="40DAF8FE" w14:textId="5608580B" w:rsidR="00443BB8" w:rsidRDefault="000F5B51" w:rsidP="000E2416">
      <w:pPr>
        <w:spacing w:after="0"/>
        <w:rPr>
          <w:rFonts w:eastAsia="Times New Roman" w:cs="Times New Roman"/>
          <w:szCs w:val="24"/>
        </w:rPr>
      </w:pPr>
      <w:r>
        <w:rPr>
          <w:rFonts w:eastAsia="Times New Roman" w:cs="Times New Roman"/>
          <w:szCs w:val="24"/>
        </w:rPr>
        <w:fldChar w:fldCharType="begin"/>
      </w:r>
      <w:r>
        <w:rPr>
          <w:rFonts w:eastAsia="Times New Roman" w:cs="Times New Roman"/>
          <w:szCs w:val="24"/>
        </w:rPr>
        <w:instrText xml:space="preserve"> REF _Ref126228172 \h </w:instrText>
      </w:r>
      <w:r>
        <w:rPr>
          <w:rFonts w:eastAsia="Times New Roman" w:cs="Times New Roman"/>
          <w:szCs w:val="24"/>
        </w:rPr>
      </w:r>
      <w:r>
        <w:rPr>
          <w:rFonts w:eastAsia="Times New Roman" w:cs="Times New Roman"/>
          <w:szCs w:val="24"/>
        </w:rPr>
        <w:fldChar w:fldCharType="separate"/>
      </w:r>
      <w:r w:rsidR="00A65CB3">
        <w:t xml:space="preserve">Table </w:t>
      </w:r>
      <w:r w:rsidR="00A65CB3">
        <w:rPr>
          <w:noProof/>
        </w:rPr>
        <w:t>62</w:t>
      </w:r>
      <w:r>
        <w:rPr>
          <w:rFonts w:eastAsia="Times New Roman" w:cs="Times New Roman"/>
          <w:szCs w:val="24"/>
        </w:rPr>
        <w:fldChar w:fldCharType="end"/>
      </w:r>
      <w:r w:rsidR="00AA3A97">
        <w:rPr>
          <w:rFonts w:eastAsia="Times New Roman" w:cs="Times New Roman"/>
          <w:szCs w:val="24"/>
        </w:rPr>
        <w:t xml:space="preserve"> presents the total cost to meet the requirements specified in the proposed rule for SBWS for rear seat occupants</w:t>
      </w:r>
      <w:r w:rsidR="001F2F92">
        <w:rPr>
          <w:rFonts w:eastAsia="Times New Roman" w:cs="Times New Roman"/>
          <w:szCs w:val="24"/>
        </w:rPr>
        <w:t xml:space="preserve">. </w:t>
      </w:r>
      <w:r w:rsidR="00AA3A97">
        <w:rPr>
          <w:rFonts w:eastAsia="Times New Roman" w:cs="Times New Roman"/>
          <w:szCs w:val="24"/>
        </w:rPr>
        <w:t xml:space="preserve">Total cost is calculated by </w:t>
      </w:r>
      <w:r w:rsidR="00D86B7D">
        <w:rPr>
          <w:rFonts w:eastAsia="Times New Roman" w:cs="Times New Roman"/>
          <w:szCs w:val="24"/>
        </w:rPr>
        <w:t>reflecting the cost per vehicle across the number of vehicles impacted by the proposed rule annually</w:t>
      </w:r>
      <w:r w:rsidR="001F2F92">
        <w:rPr>
          <w:rFonts w:eastAsia="Times New Roman" w:cs="Times New Roman"/>
          <w:szCs w:val="24"/>
        </w:rPr>
        <w:t xml:space="preserve">. </w:t>
      </w:r>
      <w:r w:rsidR="006B1E0F">
        <w:rPr>
          <w:rFonts w:eastAsia="Times New Roman" w:cs="Times New Roman"/>
          <w:szCs w:val="24"/>
        </w:rPr>
        <w:t>Based</w:t>
      </w:r>
      <w:r w:rsidR="00B10275">
        <w:rPr>
          <w:rFonts w:eastAsia="Times New Roman" w:cs="Times New Roman"/>
          <w:szCs w:val="24"/>
        </w:rPr>
        <w:t xml:space="preserve"> the cost per vehicle of $19.59 for the approximately</w:t>
      </w:r>
      <w:r w:rsidR="006B1E0F">
        <w:rPr>
          <w:rFonts w:eastAsia="Times New Roman" w:cs="Times New Roman"/>
          <w:szCs w:val="24"/>
        </w:rPr>
        <w:t xml:space="preserve"> 8.5 million vehicles impacted, the total annual</w:t>
      </w:r>
      <w:r w:rsidR="00206F08">
        <w:rPr>
          <w:rFonts w:eastAsia="Times New Roman" w:cs="Times New Roman"/>
          <w:szCs w:val="24"/>
        </w:rPr>
        <w:t xml:space="preserve"> </w:t>
      </w:r>
      <w:r w:rsidR="006B1E0F">
        <w:rPr>
          <w:rFonts w:eastAsia="Times New Roman" w:cs="Times New Roman"/>
          <w:szCs w:val="24"/>
        </w:rPr>
        <w:t>cost associated with</w:t>
      </w:r>
      <w:r w:rsidR="006B1E0F" w:rsidRPr="006B1E0F">
        <w:rPr>
          <w:rFonts w:eastAsia="Times New Roman" w:cs="Times New Roman"/>
          <w:szCs w:val="24"/>
        </w:rPr>
        <w:t xml:space="preserve"> </w:t>
      </w:r>
      <w:r w:rsidR="006B1E0F">
        <w:rPr>
          <w:rFonts w:eastAsia="Times New Roman" w:cs="Times New Roman"/>
          <w:szCs w:val="24"/>
        </w:rPr>
        <w:t>meeting the requirements specified in the proposed rule for SBWS for rear seat occupants is approximately $166.4 million.</w:t>
      </w:r>
    </w:p>
    <w:p w14:paraId="2B8F0BEE" w14:textId="7B356454" w:rsidR="006B0051" w:rsidRDefault="000F5B51" w:rsidP="00CC65F7">
      <w:pPr>
        <w:pStyle w:val="Caption"/>
      </w:pPr>
      <w:bookmarkStart w:id="1320" w:name="_Ref126228172"/>
      <w:r>
        <w:t xml:space="preserve">Table </w:t>
      </w:r>
      <w:r w:rsidR="00115BAB">
        <w:fldChar w:fldCharType="begin"/>
      </w:r>
      <w:r>
        <w:instrText xml:space="preserve"> SEQ Table \* ARABIC </w:instrText>
      </w:r>
      <w:r w:rsidR="00115BAB">
        <w:fldChar w:fldCharType="separate"/>
      </w:r>
      <w:r w:rsidR="00A65CB3">
        <w:rPr>
          <w:noProof/>
        </w:rPr>
        <w:t>62</w:t>
      </w:r>
      <w:r w:rsidR="00115BAB">
        <w:rPr>
          <w:noProof/>
        </w:rPr>
        <w:fldChar w:fldCharType="end"/>
      </w:r>
      <w:bookmarkEnd w:id="1320"/>
      <w:r>
        <w:t>: Total</w:t>
      </w:r>
      <w:r w:rsidR="006B1E0F">
        <w:t xml:space="preserve"> Annual</w:t>
      </w:r>
      <w:r>
        <w:t xml:space="preserve"> Cost for SBWS for Rear Seat Occupants</w:t>
      </w:r>
    </w:p>
    <w:tbl>
      <w:tblPr>
        <w:tblStyle w:val="TableGrid"/>
        <w:tblW w:w="6772" w:type="dxa"/>
        <w:jc w:val="center"/>
        <w:tblLook w:val="04A0" w:firstRow="1" w:lastRow="0" w:firstColumn="1" w:lastColumn="0" w:noHBand="0" w:noVBand="1"/>
      </w:tblPr>
      <w:tblGrid>
        <w:gridCol w:w="1774"/>
        <w:gridCol w:w="3267"/>
        <w:gridCol w:w="1731"/>
      </w:tblGrid>
      <w:tr w:rsidR="00A15C2C" w14:paraId="285CE8B7" w14:textId="77777777" w:rsidTr="00CC65F7">
        <w:trPr>
          <w:trHeight w:val="923"/>
          <w:jc w:val="center"/>
        </w:trPr>
        <w:tc>
          <w:tcPr>
            <w:tcW w:w="1774" w:type="dxa"/>
            <w:shd w:val="clear" w:color="auto" w:fill="D9D9D9" w:themeFill="background1" w:themeFillShade="D9"/>
            <w:vAlign w:val="center"/>
          </w:tcPr>
          <w:p w14:paraId="29C97344" w14:textId="77777777" w:rsidR="00425A50" w:rsidRPr="00A53650" w:rsidRDefault="000F5B51" w:rsidP="003C04C4">
            <w:pPr>
              <w:pStyle w:val="NoSpacing"/>
              <w:rPr>
                <w:rFonts w:eastAsia="Times New Roman"/>
                <w:b/>
                <w:szCs w:val="24"/>
              </w:rPr>
            </w:pPr>
            <w:r>
              <w:rPr>
                <w:b/>
                <w:szCs w:val="24"/>
              </w:rPr>
              <w:t>Number of Vehicles Impacted</w:t>
            </w:r>
          </w:p>
        </w:tc>
        <w:tc>
          <w:tcPr>
            <w:tcW w:w="3267" w:type="dxa"/>
            <w:shd w:val="clear" w:color="auto" w:fill="D9D9D9" w:themeFill="background1" w:themeFillShade="D9"/>
            <w:vAlign w:val="center"/>
          </w:tcPr>
          <w:p w14:paraId="3057CE52" w14:textId="77777777" w:rsidR="00425A50" w:rsidRPr="00A53650" w:rsidRDefault="000F5B51" w:rsidP="003C04C4">
            <w:pPr>
              <w:pStyle w:val="NoSpacing"/>
              <w:rPr>
                <w:rFonts w:eastAsia="Times New Roman"/>
                <w:b/>
                <w:szCs w:val="24"/>
              </w:rPr>
            </w:pPr>
            <w:r>
              <w:rPr>
                <w:b/>
                <w:szCs w:val="24"/>
              </w:rPr>
              <w:t>Per Vehicle Cost</w:t>
            </w:r>
          </w:p>
        </w:tc>
        <w:tc>
          <w:tcPr>
            <w:tcW w:w="1731" w:type="dxa"/>
            <w:shd w:val="clear" w:color="auto" w:fill="D9D9D9" w:themeFill="background1" w:themeFillShade="D9"/>
            <w:vAlign w:val="center"/>
          </w:tcPr>
          <w:p w14:paraId="3392F8BB" w14:textId="77777777" w:rsidR="00425A50" w:rsidRPr="00A53650" w:rsidRDefault="000F5B51" w:rsidP="003C04C4">
            <w:pPr>
              <w:pStyle w:val="NoSpacing"/>
              <w:rPr>
                <w:rFonts w:eastAsia="Times New Roman"/>
                <w:b/>
                <w:szCs w:val="24"/>
              </w:rPr>
            </w:pPr>
            <w:r w:rsidRPr="00A53650">
              <w:rPr>
                <w:b/>
                <w:szCs w:val="24"/>
              </w:rPr>
              <w:t>Total Cost</w:t>
            </w:r>
          </w:p>
        </w:tc>
      </w:tr>
      <w:tr w:rsidR="00A15C2C" w14:paraId="3362282E" w14:textId="77777777" w:rsidTr="00CC65F7">
        <w:trPr>
          <w:trHeight w:val="311"/>
          <w:jc w:val="center"/>
        </w:trPr>
        <w:tc>
          <w:tcPr>
            <w:tcW w:w="1774" w:type="dxa"/>
            <w:vAlign w:val="center"/>
          </w:tcPr>
          <w:p w14:paraId="0F587299" w14:textId="77777777" w:rsidR="00425A50" w:rsidRPr="008325BB" w:rsidRDefault="000F5B51" w:rsidP="003C04C4">
            <w:pPr>
              <w:pStyle w:val="NoSpacing"/>
              <w:rPr>
                <w:rFonts w:eastAsia="Times New Roman"/>
                <w:szCs w:val="24"/>
              </w:rPr>
            </w:pPr>
            <w:r w:rsidRPr="005C41FD">
              <w:rPr>
                <w:szCs w:val="24"/>
              </w:rPr>
              <w:t>8,496,000</w:t>
            </w:r>
          </w:p>
        </w:tc>
        <w:tc>
          <w:tcPr>
            <w:tcW w:w="3267" w:type="dxa"/>
            <w:vAlign w:val="center"/>
          </w:tcPr>
          <w:p w14:paraId="4F312150" w14:textId="77777777" w:rsidR="00425A50" w:rsidRPr="008325BB" w:rsidRDefault="000F5B51" w:rsidP="003C04C4">
            <w:pPr>
              <w:pStyle w:val="NoSpacing"/>
              <w:rPr>
                <w:rFonts w:eastAsia="Times New Roman"/>
                <w:szCs w:val="24"/>
              </w:rPr>
            </w:pPr>
            <w:bookmarkStart w:id="1321" w:name="_Hlk127945664"/>
            <w:r w:rsidRPr="00CE2168">
              <w:rPr>
                <w:rFonts w:eastAsia="Times New Roman"/>
                <w:szCs w:val="24"/>
              </w:rPr>
              <w:t>$19.59</w:t>
            </w:r>
            <w:bookmarkEnd w:id="1321"/>
          </w:p>
        </w:tc>
        <w:tc>
          <w:tcPr>
            <w:tcW w:w="1731" w:type="dxa"/>
            <w:vAlign w:val="center"/>
          </w:tcPr>
          <w:p w14:paraId="2AD7C9B7" w14:textId="77777777" w:rsidR="00425A50" w:rsidRPr="008325BB" w:rsidRDefault="000F5B51" w:rsidP="003C04C4">
            <w:pPr>
              <w:pStyle w:val="NoSpacing"/>
              <w:rPr>
                <w:rFonts w:eastAsia="Times New Roman"/>
                <w:szCs w:val="24"/>
              </w:rPr>
            </w:pPr>
            <w:r w:rsidRPr="00CE2168">
              <w:rPr>
                <w:szCs w:val="24"/>
              </w:rPr>
              <w:t>$166</w:t>
            </w:r>
            <w:r>
              <w:rPr>
                <w:szCs w:val="24"/>
              </w:rPr>
              <w:t>,</w:t>
            </w:r>
            <w:r w:rsidR="00B10275">
              <w:rPr>
                <w:szCs w:val="24"/>
              </w:rPr>
              <w:t>436,640</w:t>
            </w:r>
          </w:p>
        </w:tc>
      </w:tr>
    </w:tbl>
    <w:p w14:paraId="57AC371D" w14:textId="77777777" w:rsidR="007F4014" w:rsidRPr="00CB2C12" w:rsidRDefault="007F4014" w:rsidP="00CC65F7">
      <w:pPr>
        <w:pStyle w:val="NoSpaceTimes"/>
      </w:pPr>
    </w:p>
    <w:p w14:paraId="04CB3B8A" w14:textId="77777777" w:rsidR="00AC1B9B" w:rsidRDefault="000F5B51" w:rsidP="00CC65F7">
      <w:pPr>
        <w:pStyle w:val="Heading2"/>
        <w:spacing w:line="240" w:lineRule="auto"/>
      </w:pPr>
      <w:bookmarkStart w:id="1322" w:name="_Toc126590792"/>
      <w:bookmarkStart w:id="1323" w:name="_Toc126912285"/>
      <w:bookmarkStart w:id="1324" w:name="_Toc127266026"/>
      <w:bookmarkStart w:id="1325" w:name="_Toc142902990"/>
      <w:bookmarkStart w:id="1326" w:name="_Hlk137847013"/>
      <w:bookmarkEnd w:id="1322"/>
      <w:bookmarkEnd w:id="1323"/>
      <w:bookmarkEnd w:id="1324"/>
      <w:r>
        <w:t>Indefinite Warning for Front Seat Occupants</w:t>
      </w:r>
      <w:bookmarkEnd w:id="1325"/>
    </w:p>
    <w:bookmarkEnd w:id="1326"/>
    <w:p w14:paraId="03B7D51C" w14:textId="06BBA9EF" w:rsidR="007F4014" w:rsidRPr="00CC65F7" w:rsidRDefault="000F5B51" w:rsidP="00CC65F7">
      <w:pPr>
        <w:rPr>
          <w:rFonts w:eastAsia="Calibri" w:cs="Times New Roman"/>
        </w:rPr>
      </w:pPr>
      <w:r>
        <w:t>This section discusses the costs associated with meeting the requirements specified in the proposed rule for indefinite warnings for front seat occupants</w:t>
      </w:r>
      <w:r w:rsidR="001F2F92">
        <w:t xml:space="preserve">. </w:t>
      </w:r>
      <w:r w:rsidR="00430AF4">
        <w:t>F</w:t>
      </w:r>
      <w:r w:rsidR="00C22BA1">
        <w:rPr>
          <w:rFonts w:eastAsia="Calibri" w:cs="Times New Roman"/>
          <w:szCs w:val="24"/>
        </w:rPr>
        <w:t>or driver</w:t>
      </w:r>
      <w:r w:rsidR="004430C2">
        <w:rPr>
          <w:rFonts w:eastAsia="Calibri" w:cs="Times New Roman"/>
          <w:szCs w:val="24"/>
        </w:rPr>
        <w:t>s</w:t>
      </w:r>
      <w:r w:rsidR="00C22BA1">
        <w:rPr>
          <w:rFonts w:eastAsia="Calibri" w:cs="Times New Roman"/>
          <w:szCs w:val="24"/>
        </w:rPr>
        <w:t>, no additional hardware would be required to meet the specified requirements</w:t>
      </w:r>
      <w:r w:rsidR="001F2F92">
        <w:rPr>
          <w:rFonts w:eastAsia="Calibri" w:cs="Times New Roman"/>
          <w:szCs w:val="24"/>
        </w:rPr>
        <w:t xml:space="preserve">. </w:t>
      </w:r>
      <w:r w:rsidR="00C22BA1">
        <w:rPr>
          <w:rFonts w:eastAsia="Calibri" w:cs="Times New Roman"/>
          <w:szCs w:val="24"/>
        </w:rPr>
        <w:t xml:space="preserve">That is, </w:t>
      </w:r>
      <w:r w:rsidR="001E5454">
        <w:rPr>
          <w:rFonts w:eastAsia="Calibri" w:cs="Times New Roman"/>
          <w:szCs w:val="24"/>
        </w:rPr>
        <w:t>drivers</w:t>
      </w:r>
      <w:r w:rsidR="00760CE0">
        <w:rPr>
          <w:rFonts w:eastAsia="Calibri" w:cs="Times New Roman"/>
          <w:szCs w:val="24"/>
        </w:rPr>
        <w:t>’</w:t>
      </w:r>
      <w:r w:rsidR="001E5454">
        <w:rPr>
          <w:rFonts w:eastAsia="Calibri" w:cs="Times New Roman"/>
          <w:szCs w:val="24"/>
        </w:rPr>
        <w:t xml:space="preserve"> seats are already equipped with the alarm function and</w:t>
      </w:r>
      <w:r w:rsidR="00C22BA1">
        <w:rPr>
          <w:rFonts w:eastAsia="Calibri" w:cs="Times New Roman"/>
          <w:szCs w:val="24"/>
        </w:rPr>
        <w:t xml:space="preserve"> the changes would be limited to settings</w:t>
      </w:r>
      <w:r w:rsidR="00430AF4">
        <w:rPr>
          <w:rFonts w:eastAsia="Calibri" w:cs="Times New Roman"/>
          <w:szCs w:val="24"/>
        </w:rPr>
        <w:t xml:space="preserve"> a</w:t>
      </w:r>
      <w:r w:rsidR="00C22BA1">
        <w:rPr>
          <w:rFonts w:eastAsia="Calibri" w:cs="Times New Roman"/>
          <w:szCs w:val="24"/>
        </w:rPr>
        <w:t>djustment</w:t>
      </w:r>
      <w:r w:rsidR="00430AF4">
        <w:rPr>
          <w:rFonts w:eastAsia="Calibri" w:cs="Times New Roman"/>
          <w:szCs w:val="24"/>
        </w:rPr>
        <w:t xml:space="preserve"> or </w:t>
      </w:r>
      <w:r w:rsidR="00C22BA1">
        <w:rPr>
          <w:rFonts w:eastAsia="Calibri" w:cs="Times New Roman"/>
          <w:szCs w:val="24"/>
        </w:rPr>
        <w:t>reprogramming of the alarm</w:t>
      </w:r>
      <w:r w:rsidR="001F2F92">
        <w:rPr>
          <w:rFonts w:eastAsia="Calibri" w:cs="Times New Roman"/>
          <w:szCs w:val="24"/>
        </w:rPr>
        <w:t xml:space="preserve">. </w:t>
      </w:r>
      <w:r w:rsidR="001E5454">
        <w:rPr>
          <w:rFonts w:eastAsia="Calibri" w:cs="Times New Roman"/>
          <w:szCs w:val="24"/>
        </w:rPr>
        <w:t>Therefore,</w:t>
      </w:r>
      <w:r w:rsidR="00C22BA1">
        <w:rPr>
          <w:rFonts w:eastAsia="Calibri" w:cs="Times New Roman"/>
          <w:szCs w:val="24"/>
        </w:rPr>
        <w:t xml:space="preserve"> there incremental cost for drivers</w:t>
      </w:r>
      <w:r w:rsidR="004430C2">
        <w:rPr>
          <w:rFonts w:eastAsia="Calibri" w:cs="Times New Roman"/>
          <w:szCs w:val="24"/>
        </w:rPr>
        <w:t>’ seats</w:t>
      </w:r>
      <w:r w:rsidR="00C22BA1">
        <w:rPr>
          <w:rFonts w:eastAsia="Calibri" w:cs="Times New Roman"/>
          <w:szCs w:val="24"/>
        </w:rPr>
        <w:t xml:space="preserve"> to meet the requirements of the proposed rule</w:t>
      </w:r>
      <w:r w:rsidR="003814E0">
        <w:rPr>
          <w:rFonts w:eastAsia="Calibri" w:cs="Times New Roman"/>
          <w:szCs w:val="24"/>
        </w:rPr>
        <w:t xml:space="preserve"> would be </w:t>
      </w:r>
      <w:r w:rsidR="003814E0" w:rsidRPr="003814E0">
        <w:rPr>
          <w:rFonts w:eastAsia="Calibri" w:cs="Times New Roman"/>
          <w:szCs w:val="24"/>
        </w:rPr>
        <w:t>de minimis</w:t>
      </w:r>
      <w:r w:rsidR="003814E0">
        <w:rPr>
          <w:rFonts w:eastAsia="Calibri" w:cs="Times New Roman"/>
          <w:szCs w:val="24"/>
        </w:rPr>
        <w:t xml:space="preserve"> </w:t>
      </w:r>
      <w:r w:rsidR="001F2F92">
        <w:rPr>
          <w:rFonts w:eastAsia="Calibri" w:cs="Times New Roman"/>
          <w:szCs w:val="24"/>
        </w:rPr>
        <w:t xml:space="preserve">. </w:t>
      </w:r>
      <w:r w:rsidR="00F130B1">
        <w:rPr>
          <w:rFonts w:eastAsia="Calibri" w:cs="Times New Roman"/>
          <w:szCs w:val="24"/>
        </w:rPr>
        <w:t xml:space="preserve">We request comment on this assumption. </w:t>
      </w:r>
    </w:p>
    <w:p w14:paraId="3E773A96" w14:textId="77777777" w:rsidR="00D8581C" w:rsidRDefault="000F5B51" w:rsidP="00D8581C">
      <w:pPr>
        <w:spacing w:after="0"/>
        <w:rPr>
          <w:rFonts w:eastAsia="Times New Roman" w:cs="Times New Roman"/>
        </w:rPr>
      </w:pPr>
      <w:r w:rsidRPr="4D6C609F">
        <w:rPr>
          <w:rFonts w:eastAsia="Times New Roman" w:cs="Times New Roman"/>
        </w:rPr>
        <w:lastRenderedPageBreak/>
        <w:t>T</w:t>
      </w:r>
      <w:r w:rsidR="006272A6" w:rsidRPr="4D6C609F">
        <w:rPr>
          <w:rFonts w:eastAsia="Times New Roman" w:cs="Times New Roman"/>
        </w:rPr>
        <w:t>he 202</w:t>
      </w:r>
      <w:r w:rsidR="002F3F02">
        <w:rPr>
          <w:rFonts w:eastAsia="Times New Roman" w:cs="Times New Roman"/>
        </w:rPr>
        <w:t>2</w:t>
      </w:r>
      <w:r w:rsidR="006272A6" w:rsidRPr="4D6C609F">
        <w:rPr>
          <w:rFonts w:eastAsia="Times New Roman" w:cs="Times New Roman"/>
        </w:rPr>
        <w:t xml:space="preserve"> NCAP data shows that SBWS </w:t>
      </w:r>
      <w:r w:rsidR="47EFAF2E" w:rsidRPr="4D6C609F">
        <w:rPr>
          <w:rFonts w:eastAsia="Times New Roman" w:cs="Times New Roman"/>
        </w:rPr>
        <w:t>are</w:t>
      </w:r>
      <w:r w:rsidR="006272A6" w:rsidRPr="4D6C609F">
        <w:rPr>
          <w:rFonts w:eastAsia="Times New Roman" w:cs="Times New Roman"/>
        </w:rPr>
        <w:t xml:space="preserve"> already available</w:t>
      </w:r>
      <w:r w:rsidR="007E7FCA" w:rsidRPr="4D6C609F">
        <w:rPr>
          <w:rFonts w:eastAsia="Times New Roman" w:cs="Times New Roman"/>
        </w:rPr>
        <w:t xml:space="preserve"> for right front seat occupants</w:t>
      </w:r>
      <w:r w:rsidR="006272A6" w:rsidRPr="4D6C609F">
        <w:rPr>
          <w:rFonts w:eastAsia="Times New Roman" w:cs="Times New Roman"/>
        </w:rPr>
        <w:t xml:space="preserve"> in 96</w:t>
      </w:r>
      <w:r w:rsidRPr="4D6C609F">
        <w:rPr>
          <w:rFonts w:eastAsia="Times New Roman" w:cs="Times New Roman"/>
        </w:rPr>
        <w:t xml:space="preserve"> percent</w:t>
      </w:r>
      <w:r w:rsidR="006272A6" w:rsidRPr="4D6C609F">
        <w:rPr>
          <w:rFonts w:eastAsia="Times New Roman" w:cs="Times New Roman"/>
        </w:rPr>
        <w:t xml:space="preserve"> of new vehicles</w:t>
      </w:r>
      <w:r w:rsidR="001F2F92">
        <w:rPr>
          <w:rFonts w:eastAsia="Times New Roman" w:cs="Times New Roman"/>
        </w:rPr>
        <w:t xml:space="preserve">. </w:t>
      </w:r>
      <w:r w:rsidRPr="4D6C609F">
        <w:rPr>
          <w:rFonts w:eastAsia="Times New Roman" w:cs="Times New Roman"/>
        </w:rPr>
        <w:t>Therefore,</w:t>
      </w:r>
      <w:r w:rsidR="00254DF5" w:rsidRPr="4D6C609F">
        <w:rPr>
          <w:rFonts w:eastAsia="Times New Roman" w:cs="Times New Roman"/>
        </w:rPr>
        <w:t xml:space="preserve"> </w:t>
      </w:r>
      <w:r w:rsidR="000910D7" w:rsidRPr="4D6C609F">
        <w:rPr>
          <w:rFonts w:eastAsia="Times New Roman" w:cs="Times New Roman"/>
        </w:rPr>
        <w:t>this analysis</w:t>
      </w:r>
      <w:r w:rsidRPr="4D6C609F">
        <w:rPr>
          <w:rFonts w:eastAsia="Times New Roman" w:cs="Times New Roman"/>
        </w:rPr>
        <w:t xml:space="preserve"> assume</w:t>
      </w:r>
      <w:r w:rsidR="000910D7" w:rsidRPr="4D6C609F">
        <w:rPr>
          <w:rFonts w:eastAsia="Times New Roman" w:cs="Times New Roman"/>
        </w:rPr>
        <w:t>s</w:t>
      </w:r>
      <w:r w:rsidRPr="4D6C609F">
        <w:rPr>
          <w:rFonts w:eastAsia="Times New Roman" w:cs="Times New Roman"/>
        </w:rPr>
        <w:t xml:space="preserve"> that </w:t>
      </w:r>
      <w:r w:rsidR="00254DF5" w:rsidRPr="4D6C609F">
        <w:rPr>
          <w:rFonts w:eastAsia="Times New Roman" w:cs="Times New Roman"/>
        </w:rPr>
        <w:t>four</w:t>
      </w:r>
      <w:r w:rsidRPr="4D6C609F">
        <w:rPr>
          <w:rFonts w:eastAsia="Times New Roman" w:cs="Times New Roman"/>
        </w:rPr>
        <w:t xml:space="preserve"> percent of the vehicles do not have </w:t>
      </w:r>
      <w:r w:rsidR="00254DF5" w:rsidRPr="4D6C609F">
        <w:rPr>
          <w:rFonts w:eastAsia="Times New Roman" w:cs="Times New Roman"/>
        </w:rPr>
        <w:t>front</w:t>
      </w:r>
      <w:r w:rsidRPr="4D6C609F">
        <w:rPr>
          <w:rFonts w:eastAsia="Times New Roman" w:cs="Times New Roman"/>
        </w:rPr>
        <w:t xml:space="preserve"> SBWS</w:t>
      </w:r>
      <w:r w:rsidR="007E7FCA" w:rsidRPr="4D6C609F">
        <w:rPr>
          <w:rFonts w:eastAsia="Times New Roman" w:cs="Times New Roman"/>
        </w:rPr>
        <w:t xml:space="preserve"> for that seating position</w:t>
      </w:r>
      <w:r w:rsidR="001F2F92">
        <w:rPr>
          <w:rFonts w:eastAsia="Times New Roman" w:cs="Times New Roman"/>
        </w:rPr>
        <w:t xml:space="preserve">. </w:t>
      </w:r>
      <w:r w:rsidRPr="4D6C609F">
        <w:rPr>
          <w:rFonts w:eastAsia="Times New Roman" w:cs="Times New Roman"/>
        </w:rPr>
        <w:t xml:space="preserve">Based on that assumption, we estimate that approximately </w:t>
      </w:r>
      <w:r w:rsidR="00254DF5" w:rsidRPr="4D6C609F">
        <w:rPr>
          <w:rFonts w:eastAsia="Times New Roman" w:cs="Times New Roman"/>
        </w:rPr>
        <w:t>640,000</w:t>
      </w:r>
      <w:r w:rsidRPr="4D6C609F">
        <w:rPr>
          <w:rFonts w:eastAsia="Times New Roman" w:cs="Times New Roman"/>
        </w:rPr>
        <w:t xml:space="preserve"> of the 16 million vehicles sold annually would be impacted by the proposed rule. </w:t>
      </w:r>
    </w:p>
    <w:p w14:paraId="7F0F54CB" w14:textId="0EA8442D" w:rsidR="00E458B8" w:rsidRPr="002106A0" w:rsidRDefault="000F5B51" w:rsidP="00E458B8">
      <w:r>
        <w:t>This analysis makes use of the estimates presented in the previous section to estimate the costs for right front seat passengers</w:t>
      </w:r>
      <w:r w:rsidR="001F2F92">
        <w:t xml:space="preserve">. </w:t>
      </w:r>
      <w:r w:rsidR="00943549">
        <w:t xml:space="preserve">Making use of the cost estimate in the </w:t>
      </w:r>
      <w:r w:rsidR="008F6419">
        <w:t>tear down study</w:t>
      </w:r>
      <w:r w:rsidR="004315CD">
        <w:t>,</w:t>
      </w:r>
      <w:r w:rsidR="002561F1">
        <w:rPr>
          <w:rStyle w:val="FootnoteReference"/>
        </w:rPr>
        <w:footnoteReference w:id="70"/>
      </w:r>
      <w:r w:rsidR="008F6419">
        <w:t xml:space="preserve"> </w:t>
      </w:r>
      <w:r w:rsidR="00943549">
        <w:t xml:space="preserve">for one seat </w:t>
      </w:r>
      <w:r w:rsidR="00943549" w:rsidRPr="4D6C609F">
        <w:rPr>
          <w:rFonts w:eastAsia="Times New Roman" w:cs="Times New Roman"/>
        </w:rPr>
        <w:t>the average cost to equip the front outboard passenger seat with SBWS is $2.13</w:t>
      </w:r>
      <w:r w:rsidR="129BD2A0" w:rsidRPr="4D6C609F">
        <w:rPr>
          <w:rFonts w:eastAsia="Times New Roman" w:cs="Times New Roman"/>
        </w:rPr>
        <w:t>, for a buckle sensor,</w:t>
      </w:r>
      <w:r w:rsidR="00943549" w:rsidRPr="4D6C609F">
        <w:rPr>
          <w:rFonts w:eastAsia="Times New Roman" w:cs="Times New Roman"/>
        </w:rPr>
        <w:t xml:space="preserve"> in 2020</w:t>
      </w:r>
      <w:r w:rsidR="00B850FD" w:rsidRPr="4D6C609F">
        <w:rPr>
          <w:rFonts w:eastAsia="Times New Roman" w:cs="Times New Roman"/>
        </w:rPr>
        <w:t xml:space="preserve"> dollars</w:t>
      </w:r>
      <w:r w:rsidR="008F6419" w:rsidRPr="4D6C609F">
        <w:rPr>
          <w:rFonts w:eastAsia="Times New Roman" w:cs="Times New Roman"/>
        </w:rPr>
        <w:t>.</w:t>
      </w:r>
    </w:p>
    <w:p w14:paraId="0A34FAD1" w14:textId="3705B7E4" w:rsidR="00655D5C" w:rsidRDefault="000F5B51" w:rsidP="00655D5C">
      <w:pPr>
        <w:spacing w:after="0"/>
        <w:rPr>
          <w:rFonts w:eastAsia="Times New Roman" w:cs="Times New Roman"/>
        </w:rPr>
      </w:pPr>
      <w:r w:rsidRPr="4D6C609F">
        <w:rPr>
          <w:rFonts w:eastAsia="Times New Roman" w:cs="Times New Roman"/>
        </w:rPr>
        <w:fldChar w:fldCharType="begin"/>
      </w:r>
      <w:r w:rsidRPr="4D6C609F">
        <w:rPr>
          <w:rFonts w:eastAsia="Times New Roman" w:cs="Times New Roman"/>
        </w:rPr>
        <w:instrText xml:space="preserve"> REF _Ref126229474 \h </w:instrText>
      </w:r>
      <w:r w:rsidRPr="4D6C609F">
        <w:rPr>
          <w:rFonts w:eastAsia="Times New Roman" w:cs="Times New Roman"/>
        </w:rPr>
      </w:r>
      <w:r w:rsidRPr="4D6C609F">
        <w:rPr>
          <w:rFonts w:eastAsia="Times New Roman" w:cs="Times New Roman"/>
        </w:rPr>
        <w:fldChar w:fldCharType="separate"/>
      </w:r>
      <w:r w:rsidR="00A65CB3">
        <w:t xml:space="preserve">Table </w:t>
      </w:r>
      <w:r w:rsidR="00A65CB3">
        <w:rPr>
          <w:noProof/>
        </w:rPr>
        <w:t>63</w:t>
      </w:r>
      <w:r w:rsidRPr="4D6C609F">
        <w:rPr>
          <w:rFonts w:eastAsia="Times New Roman" w:cs="Times New Roman"/>
        </w:rPr>
        <w:fldChar w:fldCharType="end"/>
      </w:r>
      <w:r w:rsidRPr="4D6C609F">
        <w:rPr>
          <w:rFonts w:eastAsia="Times New Roman" w:cs="Times New Roman"/>
        </w:rPr>
        <w:t xml:space="preserve"> presents the total cost to meet the requirements specified in the proposed rule for the indefinite warning for front seat occupants</w:t>
      </w:r>
      <w:r w:rsidR="001F2F92">
        <w:rPr>
          <w:rFonts w:eastAsia="Times New Roman" w:cs="Times New Roman"/>
        </w:rPr>
        <w:t xml:space="preserve">. </w:t>
      </w:r>
      <w:r w:rsidRPr="4D6C609F">
        <w:rPr>
          <w:rFonts w:eastAsia="Times New Roman" w:cs="Times New Roman"/>
        </w:rPr>
        <w:t>Total cost is calculated by reflecting the cost per vehicle across the number of vehicles impacted by the proposed rule annually</w:t>
      </w:r>
      <w:r w:rsidR="001F2F92">
        <w:rPr>
          <w:rFonts w:eastAsia="Times New Roman" w:cs="Times New Roman"/>
        </w:rPr>
        <w:t xml:space="preserve">. </w:t>
      </w:r>
      <w:r w:rsidRPr="4D6C609F">
        <w:rPr>
          <w:rFonts w:eastAsia="Times New Roman" w:cs="Times New Roman"/>
        </w:rPr>
        <w:t>Based</w:t>
      </w:r>
      <w:r w:rsidR="0D7398BD" w:rsidRPr="4D6C609F">
        <w:rPr>
          <w:rFonts w:eastAsia="Times New Roman" w:cs="Times New Roman"/>
        </w:rPr>
        <w:t xml:space="preserve"> on</w:t>
      </w:r>
      <w:r w:rsidRPr="4D6C609F">
        <w:rPr>
          <w:rFonts w:eastAsia="Times New Roman" w:cs="Times New Roman"/>
        </w:rPr>
        <w:t xml:space="preserve"> the cost per vehicle of $2.13 for the approximately </w:t>
      </w:r>
      <w:r w:rsidR="005F27D8" w:rsidRPr="4D6C609F">
        <w:rPr>
          <w:rFonts w:eastAsia="Times New Roman" w:cs="Times New Roman"/>
        </w:rPr>
        <w:t>640,000</w:t>
      </w:r>
      <w:r w:rsidRPr="4D6C609F">
        <w:rPr>
          <w:rFonts w:eastAsia="Times New Roman" w:cs="Times New Roman"/>
        </w:rPr>
        <w:t xml:space="preserve"> vehicles impacted, the total annual cost associated with meeting the requirements specified in the proposed rule for SBWS for </w:t>
      </w:r>
      <w:r w:rsidR="5666D2DA" w:rsidRPr="4D6C609F">
        <w:rPr>
          <w:rFonts w:eastAsia="Times New Roman" w:cs="Times New Roman"/>
        </w:rPr>
        <w:t xml:space="preserve">right front </w:t>
      </w:r>
      <w:r w:rsidRPr="4D6C609F">
        <w:rPr>
          <w:rFonts w:eastAsia="Times New Roman" w:cs="Times New Roman"/>
        </w:rPr>
        <w:t>seat occupants is approximately $</w:t>
      </w:r>
      <w:r w:rsidR="005F27D8" w:rsidRPr="4D6C609F">
        <w:rPr>
          <w:rFonts w:eastAsia="Times New Roman" w:cs="Times New Roman"/>
        </w:rPr>
        <w:t>1.4</w:t>
      </w:r>
      <w:r w:rsidRPr="4D6C609F">
        <w:rPr>
          <w:rFonts w:eastAsia="Times New Roman" w:cs="Times New Roman"/>
        </w:rPr>
        <w:t xml:space="preserve"> million.</w:t>
      </w:r>
      <w:r w:rsidR="005C2B88">
        <w:rPr>
          <w:rFonts w:eastAsia="Times New Roman" w:cs="Times New Roman"/>
        </w:rPr>
        <w:t xml:space="preserve"> We request comment on our estimate of the</w:t>
      </w:r>
      <w:r w:rsidR="005C2B88" w:rsidRPr="005C2B88">
        <w:t xml:space="preserve"> </w:t>
      </w:r>
      <w:r w:rsidR="005C2B88">
        <w:rPr>
          <w:rFonts w:eastAsia="Times New Roman" w:cs="Times New Roman"/>
        </w:rPr>
        <w:t>annual cost for i</w:t>
      </w:r>
      <w:r w:rsidR="005C2B88" w:rsidRPr="005C2B88">
        <w:rPr>
          <w:rFonts w:eastAsia="Times New Roman" w:cs="Times New Roman"/>
        </w:rPr>
        <w:t xml:space="preserve">ndefinite </w:t>
      </w:r>
      <w:r w:rsidR="005C2B88">
        <w:rPr>
          <w:rFonts w:eastAsia="Times New Roman" w:cs="Times New Roman"/>
        </w:rPr>
        <w:t>w</w:t>
      </w:r>
      <w:r w:rsidR="005C2B88" w:rsidRPr="005C2B88">
        <w:rPr>
          <w:rFonts w:eastAsia="Times New Roman" w:cs="Times New Roman"/>
        </w:rPr>
        <w:t xml:space="preserve">arning for </w:t>
      </w:r>
      <w:r w:rsidR="005C2B88">
        <w:rPr>
          <w:rFonts w:eastAsia="Times New Roman" w:cs="Times New Roman"/>
        </w:rPr>
        <w:t>f</w:t>
      </w:r>
      <w:r w:rsidR="005C2B88" w:rsidRPr="005C2B88">
        <w:rPr>
          <w:rFonts w:eastAsia="Times New Roman" w:cs="Times New Roman"/>
        </w:rPr>
        <w:t xml:space="preserve">ront </w:t>
      </w:r>
      <w:r w:rsidR="005C2B88">
        <w:rPr>
          <w:rFonts w:eastAsia="Times New Roman" w:cs="Times New Roman"/>
        </w:rPr>
        <w:t>s</w:t>
      </w:r>
      <w:r w:rsidR="005C2B88" w:rsidRPr="005C2B88">
        <w:rPr>
          <w:rFonts w:eastAsia="Times New Roman" w:cs="Times New Roman"/>
        </w:rPr>
        <w:t xml:space="preserve">eat </w:t>
      </w:r>
      <w:r w:rsidR="005C2B88">
        <w:rPr>
          <w:rFonts w:eastAsia="Times New Roman" w:cs="Times New Roman"/>
        </w:rPr>
        <w:t>o</w:t>
      </w:r>
      <w:r w:rsidR="005C2B88" w:rsidRPr="005C2B88">
        <w:rPr>
          <w:rFonts w:eastAsia="Times New Roman" w:cs="Times New Roman"/>
        </w:rPr>
        <w:t>ccupants</w:t>
      </w:r>
      <w:r w:rsidR="005C2B88">
        <w:rPr>
          <w:rFonts w:eastAsia="Times New Roman" w:cs="Times New Roman"/>
        </w:rPr>
        <w:t xml:space="preserve"> and the supporting assumptions.  </w:t>
      </w:r>
    </w:p>
    <w:p w14:paraId="2D86DC33" w14:textId="113FF0F5" w:rsidR="00655D5C" w:rsidRDefault="000F5B51" w:rsidP="00655D5C">
      <w:pPr>
        <w:pStyle w:val="Caption"/>
      </w:pPr>
      <w:bookmarkStart w:id="1327" w:name="_Ref126229474"/>
      <w:r>
        <w:t xml:space="preserve">Table </w:t>
      </w:r>
      <w:r w:rsidR="00115BAB">
        <w:fldChar w:fldCharType="begin"/>
      </w:r>
      <w:r>
        <w:instrText xml:space="preserve"> SEQ Table \* ARABIC </w:instrText>
      </w:r>
      <w:r w:rsidR="00115BAB">
        <w:fldChar w:fldCharType="separate"/>
      </w:r>
      <w:r w:rsidR="00A65CB3">
        <w:rPr>
          <w:noProof/>
        </w:rPr>
        <w:t>63</w:t>
      </w:r>
      <w:r w:rsidR="00115BAB">
        <w:rPr>
          <w:noProof/>
        </w:rPr>
        <w:fldChar w:fldCharType="end"/>
      </w:r>
      <w:bookmarkEnd w:id="1327"/>
      <w:r>
        <w:t>: Total Annual Cost for Indefinite Alert for Front Seat Occupants</w:t>
      </w:r>
    </w:p>
    <w:tbl>
      <w:tblPr>
        <w:tblStyle w:val="TableGrid"/>
        <w:tblW w:w="8546" w:type="dxa"/>
        <w:jc w:val="center"/>
        <w:tblLook w:val="04A0" w:firstRow="1" w:lastRow="0" w:firstColumn="1" w:lastColumn="0" w:noHBand="0" w:noVBand="1"/>
      </w:tblPr>
      <w:tblGrid>
        <w:gridCol w:w="1774"/>
        <w:gridCol w:w="1774"/>
        <w:gridCol w:w="746"/>
        <w:gridCol w:w="2521"/>
        <w:gridCol w:w="1731"/>
      </w:tblGrid>
      <w:tr w:rsidR="00A15C2C" w14:paraId="31F3BD60" w14:textId="77777777" w:rsidTr="00377A5B">
        <w:trPr>
          <w:trHeight w:val="923"/>
          <w:jc w:val="center"/>
        </w:trPr>
        <w:tc>
          <w:tcPr>
            <w:tcW w:w="1774" w:type="dxa"/>
            <w:shd w:val="clear" w:color="auto" w:fill="D9D9D9" w:themeFill="background1" w:themeFillShade="D9"/>
            <w:vAlign w:val="center"/>
          </w:tcPr>
          <w:p w14:paraId="29BA53D1" w14:textId="77777777" w:rsidR="00655D5C" w:rsidRDefault="000F5B51" w:rsidP="00CC65F7">
            <w:pPr>
              <w:pStyle w:val="NoSpacing"/>
              <w:jc w:val="left"/>
              <w:rPr>
                <w:b/>
                <w:szCs w:val="24"/>
              </w:rPr>
            </w:pPr>
            <w:r>
              <w:rPr>
                <w:b/>
                <w:szCs w:val="24"/>
              </w:rPr>
              <w:t>Seating Position</w:t>
            </w:r>
          </w:p>
        </w:tc>
        <w:tc>
          <w:tcPr>
            <w:tcW w:w="2520" w:type="dxa"/>
            <w:gridSpan w:val="2"/>
            <w:shd w:val="clear" w:color="auto" w:fill="D9D9D9" w:themeFill="background1" w:themeFillShade="D9"/>
            <w:vAlign w:val="center"/>
          </w:tcPr>
          <w:p w14:paraId="6C2E30BF" w14:textId="77777777" w:rsidR="00655D5C" w:rsidRPr="00A53650" w:rsidRDefault="000F5B51" w:rsidP="003C04C4">
            <w:pPr>
              <w:pStyle w:val="NoSpacing"/>
              <w:rPr>
                <w:rFonts w:eastAsia="Times New Roman"/>
                <w:b/>
                <w:szCs w:val="24"/>
              </w:rPr>
            </w:pPr>
            <w:r>
              <w:rPr>
                <w:b/>
                <w:szCs w:val="24"/>
              </w:rPr>
              <w:t>Number of Vehicles Impacted</w:t>
            </w:r>
          </w:p>
        </w:tc>
        <w:tc>
          <w:tcPr>
            <w:tcW w:w="2521" w:type="dxa"/>
            <w:shd w:val="clear" w:color="auto" w:fill="D9D9D9" w:themeFill="background1" w:themeFillShade="D9"/>
            <w:vAlign w:val="center"/>
          </w:tcPr>
          <w:p w14:paraId="4310F597" w14:textId="77777777" w:rsidR="00655D5C" w:rsidRPr="00A53650" w:rsidRDefault="000F5B51" w:rsidP="003C04C4">
            <w:pPr>
              <w:pStyle w:val="NoSpacing"/>
              <w:rPr>
                <w:rFonts w:eastAsia="Times New Roman"/>
                <w:b/>
                <w:szCs w:val="24"/>
              </w:rPr>
            </w:pPr>
            <w:r w:rsidRPr="00A53650">
              <w:rPr>
                <w:b/>
                <w:szCs w:val="24"/>
              </w:rPr>
              <w:t>Per Vehicle Cost</w:t>
            </w:r>
          </w:p>
        </w:tc>
        <w:tc>
          <w:tcPr>
            <w:tcW w:w="1731" w:type="dxa"/>
            <w:shd w:val="clear" w:color="auto" w:fill="D9D9D9" w:themeFill="background1" w:themeFillShade="D9"/>
            <w:vAlign w:val="center"/>
          </w:tcPr>
          <w:p w14:paraId="7CAA7266" w14:textId="77777777" w:rsidR="00655D5C" w:rsidRPr="00A53650" w:rsidRDefault="000F5B51" w:rsidP="003C04C4">
            <w:pPr>
              <w:pStyle w:val="NoSpacing"/>
              <w:rPr>
                <w:rFonts w:eastAsia="Times New Roman"/>
                <w:b/>
                <w:szCs w:val="24"/>
              </w:rPr>
            </w:pPr>
            <w:r w:rsidRPr="00A53650">
              <w:rPr>
                <w:b/>
                <w:szCs w:val="24"/>
              </w:rPr>
              <w:t>Total Cost</w:t>
            </w:r>
          </w:p>
        </w:tc>
      </w:tr>
      <w:tr w:rsidR="00A15C2C" w14:paraId="44352BFF" w14:textId="77777777" w:rsidTr="00377A5B">
        <w:trPr>
          <w:trHeight w:val="311"/>
          <w:jc w:val="center"/>
        </w:trPr>
        <w:tc>
          <w:tcPr>
            <w:tcW w:w="1774" w:type="dxa"/>
            <w:vAlign w:val="center"/>
          </w:tcPr>
          <w:p w14:paraId="6EB4CB56" w14:textId="77777777" w:rsidR="00655D5C" w:rsidRPr="005C41FD" w:rsidRDefault="000F5B51" w:rsidP="00CC65F7">
            <w:pPr>
              <w:pStyle w:val="NoSpacing"/>
              <w:jc w:val="left"/>
              <w:rPr>
                <w:szCs w:val="24"/>
              </w:rPr>
            </w:pPr>
            <w:r>
              <w:rPr>
                <w:szCs w:val="24"/>
              </w:rPr>
              <w:t>Driver</w:t>
            </w:r>
          </w:p>
        </w:tc>
        <w:tc>
          <w:tcPr>
            <w:tcW w:w="2520" w:type="dxa"/>
            <w:gridSpan w:val="2"/>
            <w:vAlign w:val="center"/>
          </w:tcPr>
          <w:p w14:paraId="28E99CAD" w14:textId="77777777" w:rsidR="00655D5C" w:rsidRPr="008325BB" w:rsidRDefault="000F5B51" w:rsidP="003C04C4">
            <w:pPr>
              <w:pStyle w:val="NoSpacing"/>
              <w:rPr>
                <w:rFonts w:eastAsia="Times New Roman"/>
                <w:szCs w:val="24"/>
              </w:rPr>
            </w:pPr>
            <w:r>
              <w:rPr>
                <w:szCs w:val="24"/>
              </w:rPr>
              <w:t>0</w:t>
            </w:r>
          </w:p>
        </w:tc>
        <w:tc>
          <w:tcPr>
            <w:tcW w:w="2521" w:type="dxa"/>
            <w:vAlign w:val="center"/>
          </w:tcPr>
          <w:p w14:paraId="252C6B32" w14:textId="77777777" w:rsidR="00655D5C" w:rsidRPr="008325BB" w:rsidRDefault="000F5B51" w:rsidP="003C04C4">
            <w:pPr>
              <w:pStyle w:val="NoSpacing"/>
              <w:rPr>
                <w:rFonts w:eastAsia="Times New Roman"/>
                <w:szCs w:val="24"/>
              </w:rPr>
            </w:pPr>
            <w:r>
              <w:rPr>
                <w:rFonts w:eastAsia="Times New Roman"/>
                <w:szCs w:val="24"/>
              </w:rPr>
              <w:t>$0</w:t>
            </w:r>
          </w:p>
        </w:tc>
        <w:tc>
          <w:tcPr>
            <w:tcW w:w="1731" w:type="dxa"/>
            <w:vAlign w:val="center"/>
          </w:tcPr>
          <w:p w14:paraId="3419288B" w14:textId="77777777" w:rsidR="00655D5C" w:rsidRPr="008325BB" w:rsidRDefault="000F5B51" w:rsidP="003C04C4">
            <w:pPr>
              <w:pStyle w:val="NoSpacing"/>
              <w:rPr>
                <w:rFonts w:eastAsia="Times New Roman"/>
                <w:szCs w:val="24"/>
              </w:rPr>
            </w:pPr>
            <w:r>
              <w:rPr>
                <w:szCs w:val="24"/>
              </w:rPr>
              <w:t>$0</w:t>
            </w:r>
          </w:p>
        </w:tc>
      </w:tr>
      <w:tr w:rsidR="00A15C2C" w14:paraId="53E01946" w14:textId="77777777" w:rsidTr="00377A5B">
        <w:trPr>
          <w:trHeight w:val="311"/>
          <w:jc w:val="center"/>
        </w:trPr>
        <w:tc>
          <w:tcPr>
            <w:tcW w:w="1774" w:type="dxa"/>
            <w:vAlign w:val="center"/>
          </w:tcPr>
          <w:p w14:paraId="46E5A4C3" w14:textId="77777777" w:rsidR="00655D5C" w:rsidRPr="005C41FD" w:rsidRDefault="000F5B51" w:rsidP="00CC65F7">
            <w:pPr>
              <w:pStyle w:val="NoSpacing"/>
              <w:jc w:val="left"/>
              <w:rPr>
                <w:szCs w:val="24"/>
              </w:rPr>
            </w:pPr>
            <w:r>
              <w:rPr>
                <w:szCs w:val="24"/>
              </w:rPr>
              <w:t>Right Front Seat Passenger</w:t>
            </w:r>
          </w:p>
        </w:tc>
        <w:tc>
          <w:tcPr>
            <w:tcW w:w="2520" w:type="dxa"/>
            <w:gridSpan w:val="2"/>
            <w:vAlign w:val="center"/>
          </w:tcPr>
          <w:p w14:paraId="72EE9F7C" w14:textId="77777777" w:rsidR="00655D5C" w:rsidRPr="005C41FD" w:rsidRDefault="000F5B51" w:rsidP="003C04C4">
            <w:pPr>
              <w:pStyle w:val="NoSpacing"/>
              <w:rPr>
                <w:szCs w:val="24"/>
              </w:rPr>
            </w:pPr>
            <w:r>
              <w:rPr>
                <w:szCs w:val="24"/>
              </w:rPr>
              <w:t>640,000</w:t>
            </w:r>
          </w:p>
        </w:tc>
        <w:tc>
          <w:tcPr>
            <w:tcW w:w="2521" w:type="dxa"/>
            <w:vAlign w:val="center"/>
          </w:tcPr>
          <w:p w14:paraId="47693F4C" w14:textId="77777777" w:rsidR="00655D5C" w:rsidRPr="00CE2168" w:rsidRDefault="000F5B51" w:rsidP="003C04C4">
            <w:pPr>
              <w:pStyle w:val="NoSpacing"/>
              <w:rPr>
                <w:rFonts w:eastAsia="Times New Roman"/>
                <w:szCs w:val="24"/>
              </w:rPr>
            </w:pPr>
            <w:r>
              <w:rPr>
                <w:rFonts w:eastAsia="Times New Roman"/>
                <w:szCs w:val="24"/>
              </w:rPr>
              <w:t>$2.13</w:t>
            </w:r>
          </w:p>
        </w:tc>
        <w:tc>
          <w:tcPr>
            <w:tcW w:w="1731" w:type="dxa"/>
            <w:vAlign w:val="center"/>
          </w:tcPr>
          <w:p w14:paraId="2BAE2C24" w14:textId="77777777" w:rsidR="00655D5C" w:rsidRPr="00CE2168" w:rsidRDefault="000F5B51" w:rsidP="003C04C4">
            <w:pPr>
              <w:pStyle w:val="NoSpacing"/>
              <w:rPr>
                <w:szCs w:val="24"/>
              </w:rPr>
            </w:pPr>
            <w:r>
              <w:rPr>
                <w:szCs w:val="24"/>
              </w:rPr>
              <w:t>$1,363,200</w:t>
            </w:r>
          </w:p>
        </w:tc>
      </w:tr>
      <w:tr w:rsidR="00A15C2C" w14:paraId="6A95BBB8" w14:textId="77777777" w:rsidTr="00CC65F7">
        <w:trPr>
          <w:trHeight w:val="311"/>
          <w:jc w:val="center"/>
        </w:trPr>
        <w:tc>
          <w:tcPr>
            <w:tcW w:w="1774" w:type="dxa"/>
            <w:tcBorders>
              <w:right w:val="single" w:sz="4" w:space="0" w:color="FFFFFF" w:themeColor="background1"/>
            </w:tcBorders>
            <w:vAlign w:val="center"/>
          </w:tcPr>
          <w:p w14:paraId="5736751C" w14:textId="77777777" w:rsidR="00655D5C" w:rsidRPr="00CC65F7" w:rsidRDefault="000F5B51" w:rsidP="00CC65F7">
            <w:pPr>
              <w:pStyle w:val="NoSpacing"/>
              <w:jc w:val="left"/>
              <w:rPr>
                <w:b/>
                <w:bCs/>
                <w:szCs w:val="24"/>
              </w:rPr>
            </w:pPr>
            <w:r w:rsidRPr="00CC65F7">
              <w:rPr>
                <w:b/>
                <w:bCs/>
                <w:szCs w:val="24"/>
              </w:rPr>
              <w:t>Total Cost</w:t>
            </w:r>
          </w:p>
        </w:tc>
        <w:tc>
          <w:tcPr>
            <w:tcW w:w="1774" w:type="dxa"/>
            <w:tcBorders>
              <w:left w:val="single" w:sz="4" w:space="0" w:color="FFFFFF" w:themeColor="background1"/>
              <w:right w:val="single" w:sz="4" w:space="0" w:color="FFFFFF" w:themeColor="background1"/>
            </w:tcBorders>
            <w:vAlign w:val="center"/>
          </w:tcPr>
          <w:p w14:paraId="5F37957A" w14:textId="77777777" w:rsidR="00655D5C" w:rsidRPr="00CC65F7" w:rsidRDefault="00655D5C" w:rsidP="003C04C4">
            <w:pPr>
              <w:pStyle w:val="NoSpacing"/>
              <w:rPr>
                <w:b/>
                <w:bCs/>
                <w:szCs w:val="24"/>
              </w:rPr>
            </w:pPr>
          </w:p>
        </w:tc>
        <w:tc>
          <w:tcPr>
            <w:tcW w:w="3267" w:type="dxa"/>
            <w:gridSpan w:val="2"/>
            <w:tcBorders>
              <w:left w:val="single" w:sz="4" w:space="0" w:color="FFFFFF" w:themeColor="background1"/>
              <w:right w:val="single" w:sz="4" w:space="0" w:color="FFFFFF" w:themeColor="background1"/>
            </w:tcBorders>
            <w:vAlign w:val="center"/>
          </w:tcPr>
          <w:p w14:paraId="726E4F25" w14:textId="77777777" w:rsidR="00655D5C" w:rsidRPr="00CC65F7" w:rsidRDefault="00655D5C" w:rsidP="003C04C4">
            <w:pPr>
              <w:pStyle w:val="NoSpacing"/>
              <w:rPr>
                <w:rFonts w:eastAsia="Times New Roman"/>
                <w:b/>
                <w:bCs/>
                <w:szCs w:val="24"/>
              </w:rPr>
            </w:pPr>
          </w:p>
        </w:tc>
        <w:tc>
          <w:tcPr>
            <w:tcW w:w="1731" w:type="dxa"/>
            <w:tcBorders>
              <w:left w:val="single" w:sz="4" w:space="0" w:color="FFFFFF" w:themeColor="background1"/>
            </w:tcBorders>
            <w:vAlign w:val="center"/>
          </w:tcPr>
          <w:p w14:paraId="0CDF38E1" w14:textId="77777777" w:rsidR="00655D5C" w:rsidRPr="00CC65F7" w:rsidRDefault="000F5B51" w:rsidP="003C04C4">
            <w:pPr>
              <w:pStyle w:val="NoSpacing"/>
              <w:rPr>
                <w:b/>
                <w:bCs/>
                <w:szCs w:val="24"/>
              </w:rPr>
            </w:pPr>
            <w:r w:rsidRPr="00CC65F7">
              <w:rPr>
                <w:b/>
                <w:bCs/>
                <w:szCs w:val="24"/>
              </w:rPr>
              <w:t>$1,363,200</w:t>
            </w:r>
          </w:p>
        </w:tc>
      </w:tr>
    </w:tbl>
    <w:p w14:paraId="0D4F7397" w14:textId="77777777" w:rsidR="00A53650" w:rsidRPr="008325BB" w:rsidRDefault="00A53650" w:rsidP="00A53650">
      <w:pPr>
        <w:spacing w:after="0" w:line="240" w:lineRule="auto"/>
        <w:contextualSpacing/>
        <w:jc w:val="center"/>
        <w:rPr>
          <w:rFonts w:eastAsia="Times New Roman" w:cs="Times New Roman"/>
          <w:szCs w:val="24"/>
        </w:rPr>
      </w:pPr>
    </w:p>
    <w:p w14:paraId="3C1210FE" w14:textId="77777777" w:rsidR="00131E07" w:rsidRDefault="000F5B51" w:rsidP="00CC65F7">
      <w:pPr>
        <w:pStyle w:val="Heading2"/>
        <w:spacing w:before="0" w:line="240" w:lineRule="auto"/>
      </w:pPr>
      <w:bookmarkStart w:id="1328" w:name="_Toc142902991"/>
      <w:r>
        <w:lastRenderedPageBreak/>
        <w:t>Summary</w:t>
      </w:r>
      <w:bookmarkEnd w:id="1328"/>
    </w:p>
    <w:p w14:paraId="1C22AF66" w14:textId="77777777" w:rsidR="00A8383E" w:rsidRDefault="000F5B51" w:rsidP="00291FCB">
      <w:pPr>
        <w:spacing w:after="0"/>
        <w:rPr>
          <w:rFonts w:eastAsia="Calibri" w:cs="Times New Roman"/>
          <w:szCs w:val="24"/>
        </w:rPr>
      </w:pPr>
      <w:r>
        <w:t>This chapter presented the incremental costs</w:t>
      </w:r>
      <w:r w:rsidR="00C22BA1">
        <w:t xml:space="preserve"> </w:t>
      </w:r>
      <w:r>
        <w:t>associated with meeting the requirements specified for SBWS for rear seat occupants and indefinite warnings for front seat occupants</w:t>
      </w:r>
      <w:r w:rsidR="001F2F92">
        <w:t xml:space="preserve">. </w:t>
      </w:r>
      <w:r>
        <w:t xml:space="preserve">The incremental costs associated with the proposed rule are the </w:t>
      </w:r>
      <w:r>
        <w:rPr>
          <w:rFonts w:eastAsia="Calibri" w:cs="Times New Roman"/>
          <w:szCs w:val="24"/>
        </w:rPr>
        <w:t>equipment costs associated with the alarm and seat belt buckle sensor hardware</w:t>
      </w:r>
      <w:r w:rsidR="001F2F92">
        <w:rPr>
          <w:rFonts w:eastAsia="Calibri" w:cs="Times New Roman"/>
          <w:szCs w:val="24"/>
        </w:rPr>
        <w:t xml:space="preserve">. </w:t>
      </w:r>
      <w:r>
        <w:rPr>
          <w:rFonts w:eastAsia="Calibri" w:cs="Times New Roman"/>
          <w:szCs w:val="24"/>
        </w:rPr>
        <w:t>For driver seats, no additional hardware would be required to meet the specified requirements</w:t>
      </w:r>
      <w:r w:rsidR="001F2F92">
        <w:rPr>
          <w:rFonts w:eastAsia="Calibri" w:cs="Times New Roman"/>
          <w:szCs w:val="24"/>
        </w:rPr>
        <w:t xml:space="preserve">. </w:t>
      </w:r>
      <w:r>
        <w:rPr>
          <w:rFonts w:eastAsia="Calibri" w:cs="Times New Roman"/>
          <w:szCs w:val="24"/>
        </w:rPr>
        <w:t>As the changes would be limited to settings adjustment</w:t>
      </w:r>
      <w:r w:rsidR="0015411B">
        <w:rPr>
          <w:rFonts w:eastAsia="Calibri" w:cs="Times New Roman"/>
          <w:szCs w:val="24"/>
        </w:rPr>
        <w:t xml:space="preserve"> or </w:t>
      </w:r>
      <w:r>
        <w:rPr>
          <w:rFonts w:eastAsia="Calibri" w:cs="Times New Roman"/>
          <w:szCs w:val="24"/>
        </w:rPr>
        <w:t>reprogramming of the alarm, there is no incremental cost for drivers to meet the requirements of the proposed rule</w:t>
      </w:r>
      <w:r w:rsidR="001F2F92">
        <w:rPr>
          <w:rFonts w:eastAsia="Calibri" w:cs="Times New Roman"/>
          <w:szCs w:val="24"/>
        </w:rPr>
        <w:t xml:space="preserve">. </w:t>
      </w:r>
      <w:r>
        <w:rPr>
          <w:rFonts w:eastAsia="Calibri" w:cs="Times New Roman"/>
          <w:szCs w:val="24"/>
        </w:rPr>
        <w:t xml:space="preserve">For the unit cost per vehicle for the right front </w:t>
      </w:r>
      <w:r w:rsidR="00C00946">
        <w:rPr>
          <w:rFonts w:eastAsia="Calibri" w:cs="Times New Roman"/>
          <w:szCs w:val="24"/>
        </w:rPr>
        <w:t>occupant</w:t>
      </w:r>
      <w:r>
        <w:rPr>
          <w:rFonts w:eastAsia="Calibri" w:cs="Times New Roman"/>
          <w:szCs w:val="24"/>
        </w:rPr>
        <w:t xml:space="preserve"> seat, the cost per vehicle is</w:t>
      </w:r>
      <w:r w:rsidRPr="002903EF">
        <w:rPr>
          <w:rFonts w:eastAsia="Calibri" w:cs="Times New Roman"/>
          <w:szCs w:val="24"/>
        </w:rPr>
        <w:t xml:space="preserve"> $2.13 </w:t>
      </w:r>
      <w:r>
        <w:rPr>
          <w:rFonts w:eastAsia="Calibri" w:cs="Times New Roman"/>
          <w:szCs w:val="24"/>
        </w:rPr>
        <w:t xml:space="preserve">and for the rear seat </w:t>
      </w:r>
      <w:r w:rsidR="00C00946">
        <w:rPr>
          <w:rFonts w:eastAsia="Calibri" w:cs="Times New Roman"/>
          <w:szCs w:val="24"/>
        </w:rPr>
        <w:t>occupants</w:t>
      </w:r>
      <w:r>
        <w:rPr>
          <w:rFonts w:eastAsia="Calibri" w:cs="Times New Roman"/>
          <w:szCs w:val="24"/>
        </w:rPr>
        <w:t xml:space="preserve"> is </w:t>
      </w:r>
      <w:r w:rsidRPr="00876C9D">
        <w:rPr>
          <w:rFonts w:eastAsia="Calibri" w:cs="Times New Roman"/>
          <w:szCs w:val="24"/>
        </w:rPr>
        <w:t>$</w:t>
      </w:r>
      <w:r w:rsidRPr="00993575">
        <w:rPr>
          <w:rFonts w:eastAsia="Calibri" w:cs="Times New Roman"/>
          <w:szCs w:val="24"/>
        </w:rPr>
        <w:t>19.59</w:t>
      </w:r>
      <w:r w:rsidR="001F2F92">
        <w:rPr>
          <w:rFonts w:eastAsia="Calibri" w:cs="Times New Roman"/>
          <w:szCs w:val="24"/>
        </w:rPr>
        <w:t xml:space="preserve">. </w:t>
      </w:r>
      <w:r>
        <w:rPr>
          <w:rFonts w:eastAsia="Calibri" w:cs="Times New Roman"/>
          <w:szCs w:val="24"/>
        </w:rPr>
        <w:t>Taking into account the number of affected vehicles annually, the total annual cost associated with the proposed rule is estimated at approximately $168 million</w:t>
      </w:r>
      <w:r w:rsidR="001144BB">
        <w:rPr>
          <w:rFonts w:eastAsia="Calibri" w:cs="Times New Roman"/>
          <w:szCs w:val="24"/>
        </w:rPr>
        <w:t xml:space="preserve"> in </w:t>
      </w:r>
      <w:r w:rsidR="001144BB" w:rsidRPr="00993575">
        <w:rPr>
          <w:rFonts w:eastAsia="Calibri" w:cs="Times New Roman"/>
          <w:szCs w:val="24"/>
        </w:rPr>
        <w:t>2020</w:t>
      </w:r>
      <w:r w:rsidR="001144BB">
        <w:rPr>
          <w:rFonts w:eastAsia="Calibri" w:cs="Times New Roman"/>
          <w:szCs w:val="24"/>
        </w:rPr>
        <w:t xml:space="preserve"> dollars</w:t>
      </w:r>
      <w:r w:rsidR="001F2F92">
        <w:rPr>
          <w:rFonts w:eastAsia="Calibri" w:cs="Times New Roman"/>
          <w:szCs w:val="24"/>
        </w:rPr>
        <w:t xml:space="preserve">. </w:t>
      </w:r>
      <w:r>
        <w:rPr>
          <w:rFonts w:eastAsia="Calibri" w:cs="Times New Roman"/>
          <w:szCs w:val="24"/>
        </w:rPr>
        <w:t>Lastly,</w:t>
      </w:r>
      <w:r w:rsidR="002F1603">
        <w:rPr>
          <w:rFonts w:eastAsia="Calibri" w:cs="Times New Roman"/>
          <w:szCs w:val="24"/>
        </w:rPr>
        <w:t xml:space="preserve"> as</w:t>
      </w:r>
      <w:r>
        <w:rPr>
          <w:rFonts w:eastAsia="Calibri" w:cs="Times New Roman"/>
          <w:szCs w:val="24"/>
        </w:rPr>
        <w:t xml:space="preserve"> the</w:t>
      </w:r>
      <w:r w:rsidR="002F1603">
        <w:rPr>
          <w:rFonts w:eastAsia="Calibri" w:cs="Times New Roman"/>
          <w:szCs w:val="24"/>
        </w:rPr>
        <w:t xml:space="preserve"> incremental weight of the</w:t>
      </w:r>
      <w:r>
        <w:rPr>
          <w:rFonts w:eastAsia="Calibri" w:cs="Times New Roman"/>
          <w:szCs w:val="24"/>
        </w:rPr>
        <w:t xml:space="preserve"> </w:t>
      </w:r>
      <w:r w:rsidR="002F1603">
        <w:rPr>
          <w:rFonts w:eastAsia="Calibri" w:cs="Times New Roman"/>
          <w:szCs w:val="24"/>
        </w:rPr>
        <w:t>required sensors are negligible, the proposed rule is not expected to impact fuel consumption.</w:t>
      </w:r>
    </w:p>
    <w:p w14:paraId="79AFAEB3" w14:textId="511BCEA8" w:rsidR="00291FCB" w:rsidRPr="00876C9D" w:rsidRDefault="000F5B51" w:rsidP="00291FCB">
      <w:pPr>
        <w:pStyle w:val="Caption"/>
        <w:rPr>
          <w:rFonts w:eastAsia="Calibri"/>
        </w:rPr>
      </w:pPr>
      <w:r>
        <w:t xml:space="preserve">Table </w:t>
      </w:r>
      <w:r w:rsidR="00115BAB">
        <w:fldChar w:fldCharType="begin"/>
      </w:r>
      <w:r>
        <w:instrText xml:space="preserve"> SEQ Table \* ARABIC </w:instrText>
      </w:r>
      <w:r w:rsidR="00115BAB">
        <w:fldChar w:fldCharType="separate"/>
      </w:r>
      <w:r w:rsidR="00A65CB3">
        <w:rPr>
          <w:noProof/>
        </w:rPr>
        <w:t>64</w:t>
      </w:r>
      <w:r w:rsidR="00115BAB">
        <w:rPr>
          <w:noProof/>
        </w:rPr>
        <w:fldChar w:fldCharType="end"/>
      </w:r>
      <w:r>
        <w:t>: Summary of Annual Costs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465"/>
        <w:gridCol w:w="325"/>
        <w:gridCol w:w="810"/>
        <w:gridCol w:w="1711"/>
        <w:gridCol w:w="1704"/>
      </w:tblGrid>
      <w:tr w:rsidR="00A15C2C" w14:paraId="3586CF23" w14:textId="77777777" w:rsidTr="00CC65F7">
        <w:trPr>
          <w:jc w:val="center"/>
        </w:trPr>
        <w:tc>
          <w:tcPr>
            <w:tcW w:w="1249" w:type="pct"/>
            <w:shd w:val="clear" w:color="auto" w:fill="D9D9D9" w:themeFill="background1" w:themeFillShade="D9"/>
            <w:vAlign w:val="center"/>
          </w:tcPr>
          <w:p w14:paraId="63CDF047" w14:textId="77777777" w:rsidR="00470D92" w:rsidRPr="008E0746" w:rsidRDefault="000F5B51" w:rsidP="00CC65F7">
            <w:pPr>
              <w:spacing w:after="0" w:line="240" w:lineRule="auto"/>
              <w:rPr>
                <w:rFonts w:eastAsia="Times New Roman" w:cs="Times New Roman"/>
                <w:b/>
                <w:bCs/>
                <w:color w:val="000000"/>
                <w:szCs w:val="24"/>
              </w:rPr>
            </w:pPr>
            <w:r w:rsidRPr="008E0746">
              <w:rPr>
                <w:rFonts w:eastAsia="Times New Roman" w:cs="Times New Roman"/>
                <w:b/>
                <w:bCs/>
                <w:color w:val="000000"/>
                <w:szCs w:val="24"/>
              </w:rPr>
              <w:t>Seat</w:t>
            </w:r>
            <w:r w:rsidR="00377A5B">
              <w:rPr>
                <w:rFonts w:eastAsia="Times New Roman" w:cs="Times New Roman"/>
                <w:b/>
                <w:bCs/>
                <w:color w:val="000000"/>
                <w:szCs w:val="24"/>
              </w:rPr>
              <w:t>ing Position</w:t>
            </w:r>
          </w:p>
        </w:tc>
        <w:tc>
          <w:tcPr>
            <w:tcW w:w="1492" w:type="pct"/>
            <w:gridSpan w:val="2"/>
            <w:shd w:val="clear" w:color="auto" w:fill="D9D9D9" w:themeFill="background1" w:themeFillShade="D9"/>
            <w:vAlign w:val="center"/>
          </w:tcPr>
          <w:p w14:paraId="6E87B951" w14:textId="77777777" w:rsidR="00470D92" w:rsidRPr="008E0746" w:rsidRDefault="000F5B51" w:rsidP="00470D92">
            <w:pPr>
              <w:spacing w:after="0" w:line="240" w:lineRule="auto"/>
              <w:jc w:val="center"/>
              <w:rPr>
                <w:rFonts w:eastAsia="Times New Roman" w:cs="Times New Roman"/>
                <w:b/>
                <w:bCs/>
                <w:color w:val="000000"/>
                <w:szCs w:val="24"/>
              </w:rPr>
            </w:pPr>
            <w:r>
              <w:rPr>
                <w:b/>
                <w:szCs w:val="24"/>
              </w:rPr>
              <w:t>Number of Vehicles Impacted</w:t>
            </w:r>
          </w:p>
        </w:tc>
        <w:tc>
          <w:tcPr>
            <w:tcW w:w="1348" w:type="pct"/>
            <w:gridSpan w:val="2"/>
            <w:shd w:val="clear" w:color="auto" w:fill="D9D9D9" w:themeFill="background1" w:themeFillShade="D9"/>
            <w:vAlign w:val="center"/>
          </w:tcPr>
          <w:p w14:paraId="67DD5D59" w14:textId="77777777" w:rsidR="00470D92" w:rsidRPr="008E0746" w:rsidRDefault="000F5B51" w:rsidP="00470D92">
            <w:pPr>
              <w:spacing w:after="0" w:line="240" w:lineRule="auto"/>
              <w:jc w:val="center"/>
              <w:rPr>
                <w:rFonts w:eastAsia="Times New Roman" w:cs="Times New Roman"/>
                <w:b/>
                <w:bCs/>
                <w:color w:val="000000"/>
                <w:szCs w:val="24"/>
              </w:rPr>
            </w:pPr>
            <w:r>
              <w:rPr>
                <w:rFonts w:eastAsia="Times New Roman" w:cs="Times New Roman"/>
                <w:b/>
                <w:bCs/>
                <w:color w:val="000000"/>
                <w:szCs w:val="24"/>
              </w:rPr>
              <w:t>Per Vehicle Cost</w:t>
            </w:r>
          </w:p>
        </w:tc>
        <w:tc>
          <w:tcPr>
            <w:tcW w:w="911" w:type="pct"/>
            <w:shd w:val="clear" w:color="auto" w:fill="D9D9D9" w:themeFill="background1" w:themeFillShade="D9"/>
            <w:vAlign w:val="center"/>
          </w:tcPr>
          <w:p w14:paraId="3253022A" w14:textId="77777777" w:rsidR="00470D92" w:rsidRPr="008E0746" w:rsidRDefault="000F5B51" w:rsidP="00470D92">
            <w:pPr>
              <w:spacing w:after="0" w:line="240" w:lineRule="auto"/>
              <w:jc w:val="center"/>
              <w:rPr>
                <w:rFonts w:eastAsia="Times New Roman" w:cs="Times New Roman"/>
                <w:b/>
                <w:bCs/>
                <w:color w:val="000000"/>
                <w:szCs w:val="24"/>
              </w:rPr>
            </w:pPr>
            <w:r w:rsidRPr="008E0746">
              <w:rPr>
                <w:rFonts w:eastAsia="Times New Roman" w:cs="Times New Roman"/>
                <w:b/>
                <w:bCs/>
                <w:color w:val="000000"/>
                <w:szCs w:val="24"/>
              </w:rPr>
              <w:t xml:space="preserve">Total </w:t>
            </w:r>
            <w:r>
              <w:rPr>
                <w:rFonts w:eastAsia="Times New Roman" w:cs="Times New Roman"/>
                <w:b/>
                <w:bCs/>
                <w:color w:val="000000"/>
                <w:szCs w:val="24"/>
              </w:rPr>
              <w:t>Cost</w:t>
            </w:r>
          </w:p>
        </w:tc>
      </w:tr>
      <w:tr w:rsidR="00A15C2C" w14:paraId="35F73014" w14:textId="77777777" w:rsidTr="00CC65F7">
        <w:trPr>
          <w:jc w:val="center"/>
        </w:trPr>
        <w:tc>
          <w:tcPr>
            <w:tcW w:w="1249" w:type="pct"/>
            <w:shd w:val="clear" w:color="000000" w:fill="FFFFFF"/>
            <w:vAlign w:val="center"/>
          </w:tcPr>
          <w:p w14:paraId="0FC54F4E" w14:textId="77777777" w:rsidR="00470D92" w:rsidRPr="00876C9D" w:rsidRDefault="000F5B51" w:rsidP="00CC65F7">
            <w:pPr>
              <w:spacing w:after="0" w:line="240" w:lineRule="auto"/>
              <w:rPr>
                <w:rFonts w:eastAsia="Times New Roman" w:cs="Times New Roman"/>
                <w:color w:val="000000"/>
                <w:szCs w:val="24"/>
              </w:rPr>
            </w:pPr>
            <w:r>
              <w:rPr>
                <w:rFonts w:eastAsia="Times New Roman" w:cs="Times New Roman"/>
                <w:color w:val="000000"/>
                <w:szCs w:val="24"/>
              </w:rPr>
              <w:t>Driver</w:t>
            </w:r>
          </w:p>
        </w:tc>
        <w:tc>
          <w:tcPr>
            <w:tcW w:w="1492" w:type="pct"/>
            <w:gridSpan w:val="2"/>
            <w:shd w:val="clear" w:color="000000" w:fill="FFFFFF"/>
            <w:vAlign w:val="center"/>
          </w:tcPr>
          <w:p w14:paraId="1F8011CB" w14:textId="77777777" w:rsidR="00470D92" w:rsidRPr="00876C9D" w:rsidRDefault="000F5B51" w:rsidP="00470D92">
            <w:pPr>
              <w:spacing w:after="0" w:line="240" w:lineRule="auto"/>
              <w:jc w:val="center"/>
              <w:rPr>
                <w:rFonts w:eastAsia="Times New Roman" w:cs="Times New Roman"/>
                <w:color w:val="000000"/>
                <w:szCs w:val="24"/>
              </w:rPr>
            </w:pPr>
            <w:r>
              <w:rPr>
                <w:rFonts w:eastAsia="Times New Roman" w:cs="Times New Roman"/>
                <w:color w:val="000000"/>
                <w:szCs w:val="24"/>
              </w:rPr>
              <w:t>0</w:t>
            </w:r>
          </w:p>
        </w:tc>
        <w:tc>
          <w:tcPr>
            <w:tcW w:w="1348" w:type="pct"/>
            <w:gridSpan w:val="2"/>
            <w:shd w:val="clear" w:color="000000" w:fill="FFFFFF"/>
            <w:vAlign w:val="center"/>
          </w:tcPr>
          <w:p w14:paraId="0F3763E7" w14:textId="77777777" w:rsidR="00470D92" w:rsidRPr="00876C9D" w:rsidRDefault="000F5B51" w:rsidP="00470D92">
            <w:pPr>
              <w:spacing w:after="0" w:line="240" w:lineRule="auto"/>
              <w:jc w:val="center"/>
              <w:rPr>
                <w:rFonts w:eastAsia="Times New Roman" w:cs="Times New Roman"/>
                <w:color w:val="000000"/>
                <w:szCs w:val="24"/>
              </w:rPr>
            </w:pPr>
            <w:r>
              <w:rPr>
                <w:rFonts w:eastAsia="Times New Roman" w:cs="Times New Roman"/>
                <w:color w:val="000000"/>
                <w:szCs w:val="24"/>
              </w:rPr>
              <w:t>$0</w:t>
            </w:r>
          </w:p>
        </w:tc>
        <w:tc>
          <w:tcPr>
            <w:tcW w:w="911" w:type="pct"/>
            <w:shd w:val="clear" w:color="000000" w:fill="FFFFFF"/>
            <w:vAlign w:val="center"/>
          </w:tcPr>
          <w:p w14:paraId="5B004F83" w14:textId="77777777" w:rsidR="00470D92" w:rsidRPr="00876C9D" w:rsidRDefault="000F5B51" w:rsidP="00470D92">
            <w:pPr>
              <w:spacing w:after="0" w:line="240" w:lineRule="auto"/>
              <w:jc w:val="center"/>
              <w:rPr>
                <w:rFonts w:eastAsia="Times New Roman" w:cs="Times New Roman"/>
                <w:color w:val="000000"/>
                <w:szCs w:val="24"/>
              </w:rPr>
            </w:pPr>
            <w:r>
              <w:rPr>
                <w:rFonts w:eastAsia="Times New Roman" w:cs="Times New Roman"/>
                <w:color w:val="000000"/>
                <w:szCs w:val="24"/>
              </w:rPr>
              <w:t>$0</w:t>
            </w:r>
          </w:p>
        </w:tc>
      </w:tr>
      <w:tr w:rsidR="00A15C2C" w14:paraId="0EDE3887" w14:textId="77777777" w:rsidTr="00CC65F7">
        <w:trPr>
          <w:jc w:val="center"/>
        </w:trPr>
        <w:tc>
          <w:tcPr>
            <w:tcW w:w="1249" w:type="pct"/>
            <w:shd w:val="clear" w:color="000000" w:fill="FFFFFF"/>
            <w:vAlign w:val="center"/>
          </w:tcPr>
          <w:p w14:paraId="66FC40C9" w14:textId="77777777" w:rsidR="0022023E" w:rsidRDefault="000F5B51" w:rsidP="0022023E">
            <w:pPr>
              <w:spacing w:after="0" w:line="240" w:lineRule="auto"/>
              <w:rPr>
                <w:rFonts w:eastAsia="Times New Roman" w:cs="Times New Roman"/>
                <w:color w:val="000000"/>
                <w:szCs w:val="24"/>
              </w:rPr>
            </w:pPr>
            <w:r>
              <w:rPr>
                <w:rFonts w:eastAsia="Calibri" w:cs="Times New Roman"/>
                <w:color w:val="000000"/>
                <w:szCs w:val="24"/>
              </w:rPr>
              <w:t>Right Front Seat</w:t>
            </w:r>
          </w:p>
        </w:tc>
        <w:tc>
          <w:tcPr>
            <w:tcW w:w="1492" w:type="pct"/>
            <w:gridSpan w:val="2"/>
            <w:shd w:val="clear" w:color="000000" w:fill="FFFFFF"/>
            <w:vAlign w:val="center"/>
          </w:tcPr>
          <w:p w14:paraId="764E50D5" w14:textId="77777777" w:rsidR="0022023E" w:rsidRDefault="000F5B51" w:rsidP="0022023E">
            <w:pPr>
              <w:spacing w:after="0" w:line="240" w:lineRule="auto"/>
              <w:jc w:val="center"/>
              <w:rPr>
                <w:rFonts w:eastAsia="Times New Roman" w:cs="Times New Roman"/>
                <w:color w:val="000000"/>
                <w:szCs w:val="24"/>
              </w:rPr>
            </w:pPr>
            <w:r>
              <w:rPr>
                <w:rFonts w:eastAsia="Times New Roman" w:cs="Times New Roman"/>
                <w:color w:val="000000"/>
                <w:szCs w:val="24"/>
              </w:rPr>
              <w:t>640,000</w:t>
            </w:r>
          </w:p>
        </w:tc>
        <w:tc>
          <w:tcPr>
            <w:tcW w:w="1348" w:type="pct"/>
            <w:gridSpan w:val="2"/>
            <w:shd w:val="clear" w:color="000000" w:fill="FFFFFF"/>
            <w:vAlign w:val="center"/>
          </w:tcPr>
          <w:p w14:paraId="357FF836" w14:textId="77777777" w:rsidR="0022023E" w:rsidRDefault="000F5B51" w:rsidP="0022023E">
            <w:pPr>
              <w:spacing w:after="0" w:line="240" w:lineRule="auto"/>
              <w:jc w:val="center"/>
              <w:rPr>
                <w:rFonts w:eastAsia="Times New Roman" w:cs="Times New Roman"/>
                <w:color w:val="000000"/>
                <w:szCs w:val="24"/>
              </w:rPr>
            </w:pPr>
            <w:r>
              <w:rPr>
                <w:rFonts w:eastAsia="Times New Roman" w:cs="Times New Roman"/>
                <w:color w:val="000000"/>
                <w:szCs w:val="24"/>
              </w:rPr>
              <w:t>$2.13</w:t>
            </w:r>
          </w:p>
        </w:tc>
        <w:tc>
          <w:tcPr>
            <w:tcW w:w="911" w:type="pct"/>
            <w:shd w:val="clear" w:color="000000" w:fill="FFFFFF"/>
            <w:vAlign w:val="center"/>
          </w:tcPr>
          <w:p w14:paraId="0961FAC6" w14:textId="77777777" w:rsidR="0022023E" w:rsidRDefault="000F5B51" w:rsidP="0022023E">
            <w:pPr>
              <w:spacing w:after="0" w:line="240" w:lineRule="auto"/>
              <w:jc w:val="center"/>
              <w:rPr>
                <w:rFonts w:eastAsia="Times New Roman" w:cs="Times New Roman"/>
                <w:color w:val="000000"/>
                <w:szCs w:val="24"/>
              </w:rPr>
            </w:pPr>
            <w:r>
              <w:rPr>
                <w:szCs w:val="24"/>
              </w:rPr>
              <w:t>$1,363,200</w:t>
            </w:r>
          </w:p>
        </w:tc>
      </w:tr>
      <w:tr w:rsidR="00A15C2C" w14:paraId="27FAE666" w14:textId="77777777" w:rsidTr="00CC65F7">
        <w:trPr>
          <w:jc w:val="center"/>
        </w:trPr>
        <w:tc>
          <w:tcPr>
            <w:tcW w:w="1249" w:type="pct"/>
            <w:vAlign w:val="center"/>
          </w:tcPr>
          <w:p w14:paraId="7E2B482A" w14:textId="77777777" w:rsidR="00470D92" w:rsidRPr="00876C9D" w:rsidRDefault="000F5B51" w:rsidP="00CC65F7">
            <w:pPr>
              <w:spacing w:after="0" w:line="240" w:lineRule="auto"/>
              <w:rPr>
                <w:rFonts w:eastAsia="Times New Roman" w:cs="Times New Roman"/>
                <w:color w:val="000000"/>
                <w:szCs w:val="24"/>
              </w:rPr>
            </w:pPr>
            <w:r>
              <w:rPr>
                <w:rFonts w:eastAsia="Calibri" w:cs="Times New Roman"/>
                <w:color w:val="000000"/>
                <w:szCs w:val="24"/>
              </w:rPr>
              <w:t>Rear</w:t>
            </w:r>
          </w:p>
        </w:tc>
        <w:tc>
          <w:tcPr>
            <w:tcW w:w="1492" w:type="pct"/>
            <w:gridSpan w:val="2"/>
            <w:vAlign w:val="center"/>
          </w:tcPr>
          <w:p w14:paraId="5D7C6B24" w14:textId="77777777" w:rsidR="00470D92" w:rsidRPr="00876C9D" w:rsidRDefault="000F5B51" w:rsidP="00470D92">
            <w:pPr>
              <w:spacing w:after="0" w:line="240" w:lineRule="auto"/>
              <w:jc w:val="center"/>
              <w:rPr>
                <w:rFonts w:eastAsia="Times New Roman" w:cs="Times New Roman"/>
                <w:color w:val="000000"/>
                <w:szCs w:val="24"/>
              </w:rPr>
            </w:pPr>
            <w:r>
              <w:rPr>
                <w:rFonts w:eastAsia="Times New Roman" w:cs="Times New Roman"/>
                <w:color w:val="000000"/>
                <w:szCs w:val="24"/>
              </w:rPr>
              <w:t>8,496,00</w:t>
            </w:r>
          </w:p>
        </w:tc>
        <w:tc>
          <w:tcPr>
            <w:tcW w:w="1348" w:type="pct"/>
            <w:gridSpan w:val="2"/>
            <w:vAlign w:val="center"/>
          </w:tcPr>
          <w:p w14:paraId="092735E6" w14:textId="77777777" w:rsidR="00470D92" w:rsidRPr="00876C9D" w:rsidRDefault="000F5B51" w:rsidP="00470D92">
            <w:pPr>
              <w:spacing w:after="0" w:line="240" w:lineRule="auto"/>
              <w:jc w:val="center"/>
              <w:rPr>
                <w:rFonts w:eastAsia="Times New Roman" w:cs="Times New Roman"/>
                <w:color w:val="000000"/>
                <w:szCs w:val="24"/>
              </w:rPr>
            </w:pPr>
            <w:r>
              <w:rPr>
                <w:rFonts w:eastAsia="Times New Roman" w:cs="Times New Roman"/>
                <w:color w:val="000000"/>
                <w:szCs w:val="24"/>
              </w:rPr>
              <w:t>$19.59</w:t>
            </w:r>
          </w:p>
        </w:tc>
        <w:tc>
          <w:tcPr>
            <w:tcW w:w="911" w:type="pct"/>
            <w:shd w:val="clear" w:color="auto" w:fill="auto"/>
            <w:vAlign w:val="center"/>
          </w:tcPr>
          <w:p w14:paraId="404B68A9" w14:textId="77777777" w:rsidR="00470D92" w:rsidRPr="00876C9D" w:rsidRDefault="000F5B51" w:rsidP="00470D92">
            <w:pPr>
              <w:spacing w:after="0" w:line="240" w:lineRule="auto"/>
              <w:jc w:val="center"/>
              <w:rPr>
                <w:rFonts w:eastAsia="Times New Roman" w:cs="Times New Roman"/>
                <w:color w:val="000000"/>
                <w:szCs w:val="24"/>
              </w:rPr>
            </w:pPr>
            <w:r w:rsidRPr="00CE2168">
              <w:rPr>
                <w:szCs w:val="24"/>
              </w:rPr>
              <w:t>$166</w:t>
            </w:r>
            <w:r>
              <w:rPr>
                <w:szCs w:val="24"/>
              </w:rPr>
              <w:t>,436,640</w:t>
            </w:r>
          </w:p>
        </w:tc>
      </w:tr>
      <w:tr w:rsidR="00A15C2C" w14:paraId="18794E14" w14:textId="77777777" w:rsidTr="0022023E">
        <w:trPr>
          <w:jc w:val="center"/>
        </w:trPr>
        <w:tc>
          <w:tcPr>
            <w:tcW w:w="2567" w:type="pct"/>
            <w:gridSpan w:val="2"/>
            <w:tcBorders>
              <w:right w:val="single" w:sz="4" w:space="0" w:color="FFFFFF" w:themeColor="background1"/>
            </w:tcBorders>
            <w:vAlign w:val="center"/>
          </w:tcPr>
          <w:p w14:paraId="5F65AA13" w14:textId="77777777" w:rsidR="00291FCB" w:rsidRPr="008E0746" w:rsidRDefault="000F5B51" w:rsidP="003C04C4">
            <w:pPr>
              <w:spacing w:after="0" w:line="240" w:lineRule="auto"/>
              <w:rPr>
                <w:rFonts w:eastAsia="Calibri" w:cs="Times New Roman"/>
                <w:b/>
                <w:bCs/>
                <w:color w:val="000000"/>
                <w:szCs w:val="24"/>
              </w:rPr>
            </w:pPr>
            <w:r w:rsidRPr="008E0746">
              <w:rPr>
                <w:rFonts w:eastAsia="Calibri" w:cs="Times New Roman"/>
                <w:b/>
                <w:bCs/>
                <w:color w:val="000000"/>
                <w:szCs w:val="24"/>
              </w:rPr>
              <w:t>Total Annual Cost</w:t>
            </w:r>
          </w:p>
        </w:tc>
        <w:tc>
          <w:tcPr>
            <w:tcW w:w="607" w:type="pct"/>
            <w:gridSpan w:val="2"/>
            <w:tcBorders>
              <w:left w:val="single" w:sz="4" w:space="0" w:color="FFFFFF" w:themeColor="background1"/>
              <w:right w:val="single" w:sz="4" w:space="0" w:color="FFFFFF" w:themeColor="background1"/>
            </w:tcBorders>
            <w:vAlign w:val="bottom"/>
          </w:tcPr>
          <w:p w14:paraId="5A3A7EA1" w14:textId="77777777" w:rsidR="00291FCB" w:rsidRPr="00993575" w:rsidRDefault="00291FCB" w:rsidP="003C04C4">
            <w:pPr>
              <w:spacing w:after="0" w:line="240" w:lineRule="auto"/>
              <w:jc w:val="center"/>
              <w:rPr>
                <w:rFonts w:eastAsia="Calibri" w:cs="Times New Roman"/>
                <w:color w:val="000000"/>
                <w:szCs w:val="24"/>
              </w:rPr>
            </w:pPr>
          </w:p>
        </w:tc>
        <w:tc>
          <w:tcPr>
            <w:tcW w:w="915" w:type="pct"/>
            <w:tcBorders>
              <w:left w:val="single" w:sz="4" w:space="0" w:color="FFFFFF" w:themeColor="background1"/>
              <w:right w:val="single" w:sz="4" w:space="0" w:color="FFFFFF" w:themeColor="background1"/>
            </w:tcBorders>
          </w:tcPr>
          <w:p w14:paraId="1118DDA1" w14:textId="77777777" w:rsidR="00291FCB" w:rsidRPr="00993575" w:rsidRDefault="00291FCB" w:rsidP="003C04C4">
            <w:pPr>
              <w:spacing w:after="0" w:line="240" w:lineRule="auto"/>
              <w:jc w:val="center"/>
              <w:rPr>
                <w:rFonts w:eastAsia="Times New Roman" w:cs="Times New Roman"/>
                <w:color w:val="000000"/>
                <w:szCs w:val="24"/>
              </w:rPr>
            </w:pPr>
          </w:p>
        </w:tc>
        <w:tc>
          <w:tcPr>
            <w:tcW w:w="911" w:type="pct"/>
            <w:tcBorders>
              <w:left w:val="single" w:sz="4" w:space="0" w:color="FFFFFF" w:themeColor="background1"/>
            </w:tcBorders>
            <w:shd w:val="clear" w:color="auto" w:fill="auto"/>
            <w:vAlign w:val="center"/>
          </w:tcPr>
          <w:p w14:paraId="01FB15A0" w14:textId="77777777" w:rsidR="00291FCB" w:rsidRPr="008E0746" w:rsidRDefault="000F5B51" w:rsidP="003C04C4">
            <w:pPr>
              <w:spacing w:after="0" w:line="240" w:lineRule="auto"/>
              <w:jc w:val="center"/>
              <w:rPr>
                <w:rFonts w:eastAsia="Times New Roman" w:cs="Times New Roman"/>
                <w:b/>
                <w:bCs/>
                <w:color w:val="000000"/>
                <w:szCs w:val="24"/>
              </w:rPr>
            </w:pPr>
            <w:r>
              <w:rPr>
                <w:rFonts w:eastAsia="Times New Roman" w:cs="Times New Roman"/>
                <w:b/>
                <w:bCs/>
                <w:color w:val="000000"/>
                <w:szCs w:val="24"/>
              </w:rPr>
              <w:t>$167,</w:t>
            </w:r>
            <w:r w:rsidR="000D576D">
              <w:rPr>
                <w:rFonts w:eastAsia="Times New Roman" w:cs="Times New Roman"/>
                <w:b/>
                <w:bCs/>
                <w:color w:val="000000"/>
                <w:szCs w:val="24"/>
              </w:rPr>
              <w:t>799,840</w:t>
            </w:r>
          </w:p>
        </w:tc>
      </w:tr>
    </w:tbl>
    <w:p w14:paraId="00B51C87" w14:textId="77777777" w:rsidR="00A53650" w:rsidRPr="00A53650" w:rsidRDefault="00A53650" w:rsidP="00CC65F7">
      <w:pPr>
        <w:pStyle w:val="NoSpaceTimes"/>
      </w:pPr>
    </w:p>
    <w:p w14:paraId="3F14278E" w14:textId="77777777" w:rsidR="00C34EF4" w:rsidRDefault="000F5B51" w:rsidP="00CC65F7">
      <w:pPr>
        <w:pStyle w:val="Heading1"/>
        <w:spacing w:before="0" w:line="240" w:lineRule="auto"/>
      </w:pPr>
      <w:bookmarkStart w:id="1329" w:name="_Toc142902992"/>
      <w:r>
        <w:t>Lead Time</w:t>
      </w:r>
      <w:bookmarkEnd w:id="1329"/>
    </w:p>
    <w:p w14:paraId="033E5B7E" w14:textId="77777777" w:rsidR="00A53650" w:rsidRPr="00177362" w:rsidRDefault="000F5B51" w:rsidP="00CC65F7">
      <w:pPr>
        <w:rPr>
          <w:rFonts w:eastAsia="Calibri" w:cs="Times New Roman"/>
          <w:szCs w:val="24"/>
        </w:rPr>
      </w:pPr>
      <w:r w:rsidRPr="00876C9D">
        <w:rPr>
          <w:rFonts w:eastAsia="Calibri" w:cs="Times New Roman"/>
          <w:szCs w:val="24"/>
        </w:rPr>
        <w:t xml:space="preserve">The agency is proposing a lead time of </w:t>
      </w:r>
      <w:r>
        <w:rPr>
          <w:rFonts w:eastAsia="Calibri" w:cs="Times New Roman"/>
          <w:szCs w:val="24"/>
        </w:rPr>
        <w:t xml:space="preserve">one year from the first September after the final rule is published for those requirements for front seat occupants and two years from the first September for those requirements for rear seat occupants. </w:t>
      </w:r>
      <w:r w:rsidRPr="00177362">
        <w:rPr>
          <w:rFonts w:eastAsia="Calibri" w:cs="Times New Roman"/>
          <w:szCs w:val="24"/>
        </w:rPr>
        <w:t>Consistent with 49 CFR 571.8(b), multi-stage manufacturers and alterers have an additional year to comply</w:t>
      </w:r>
      <w:r w:rsidR="001F2F92">
        <w:rPr>
          <w:rFonts w:eastAsia="Calibri" w:cs="Times New Roman"/>
          <w:szCs w:val="24"/>
        </w:rPr>
        <w:t xml:space="preserve">. </w:t>
      </w:r>
    </w:p>
    <w:p w14:paraId="0A4894BE" w14:textId="77777777" w:rsidR="00A53650" w:rsidRPr="00177362" w:rsidRDefault="000F5B51" w:rsidP="00CC65F7">
      <w:pPr>
        <w:spacing w:after="0"/>
        <w:rPr>
          <w:rFonts w:eastAsia="Calibri" w:cs="Times New Roman"/>
        </w:rPr>
      </w:pPr>
      <w:r w:rsidRPr="147CE7FB">
        <w:rPr>
          <w:rFonts w:eastAsia="Calibri" w:cs="Times New Roman"/>
        </w:rPr>
        <w:t xml:space="preserve">In order to equip vehicles with one of the proposed </w:t>
      </w:r>
      <w:r w:rsidR="00D3610D" w:rsidRPr="147CE7FB">
        <w:rPr>
          <w:rFonts w:eastAsia="Calibri" w:cs="Times New Roman"/>
        </w:rPr>
        <w:t>SBWS for rear seat occupants</w:t>
      </w:r>
      <w:r w:rsidRPr="147CE7FB">
        <w:rPr>
          <w:rFonts w:eastAsia="Calibri" w:cs="Times New Roman"/>
        </w:rPr>
        <w:t>, a manufacturer would likely be able to utilize existing vehicle components such as audible signals and the center console display</w:t>
      </w:r>
      <w:r w:rsidR="001F2F92">
        <w:rPr>
          <w:rFonts w:eastAsia="Calibri" w:cs="Times New Roman"/>
        </w:rPr>
        <w:t xml:space="preserve">. </w:t>
      </w:r>
      <w:r w:rsidRPr="147CE7FB">
        <w:rPr>
          <w:rFonts w:eastAsia="Calibri" w:cs="Times New Roman"/>
        </w:rPr>
        <w:t xml:space="preserve">However, integrating a rear seat belt warning system in vehicles </w:t>
      </w:r>
      <w:r w:rsidRPr="147CE7FB">
        <w:rPr>
          <w:rFonts w:eastAsia="Calibri" w:cs="Times New Roman"/>
        </w:rPr>
        <w:lastRenderedPageBreak/>
        <w:t>would require equipping the rear seats with certain components most vehicles do not already have, such as the appropriate seat belt use sensing technology (seat belt buckle sensors, which are readily available), redesigning the hardware and software as necessary to incorporate the required signals, incorporating new visual signals in the instrument panel (if the visual signal is located there) and validating the performance of these components and systems</w:t>
      </w:r>
      <w:r w:rsidR="001F2F92">
        <w:rPr>
          <w:rFonts w:eastAsia="Calibri" w:cs="Times New Roman"/>
        </w:rPr>
        <w:t xml:space="preserve">. </w:t>
      </w:r>
    </w:p>
    <w:p w14:paraId="1D7EF7B2" w14:textId="77777777" w:rsidR="00A53650" w:rsidRPr="00177362" w:rsidRDefault="000F5B51" w:rsidP="00CC65F7">
      <w:pPr>
        <w:spacing w:after="0"/>
        <w:rPr>
          <w:rFonts w:eastAsia="Calibri" w:cs="Times New Roman"/>
          <w:szCs w:val="24"/>
        </w:rPr>
      </w:pPr>
      <w:r w:rsidRPr="00177362">
        <w:rPr>
          <w:rFonts w:eastAsia="Calibri" w:cs="Times New Roman"/>
          <w:szCs w:val="24"/>
        </w:rPr>
        <w:t>Occupant detection technology</w:t>
      </w:r>
      <w:r w:rsidR="00097ABA">
        <w:rPr>
          <w:rFonts w:eastAsia="Calibri" w:cs="Times New Roman"/>
          <w:szCs w:val="24"/>
        </w:rPr>
        <w:t xml:space="preserve"> for the front seats</w:t>
      </w:r>
      <w:r w:rsidRPr="00177362">
        <w:rPr>
          <w:rFonts w:eastAsia="Calibri" w:cs="Times New Roman"/>
          <w:szCs w:val="24"/>
        </w:rPr>
        <w:t xml:space="preserve"> is readily available</w:t>
      </w:r>
      <w:r>
        <w:rPr>
          <w:rFonts w:eastAsia="Calibri" w:cs="Times New Roman"/>
          <w:szCs w:val="24"/>
        </w:rPr>
        <w:t>,</w:t>
      </w:r>
      <w:r w:rsidRPr="00177362">
        <w:rPr>
          <w:rFonts w:eastAsia="Calibri" w:cs="Times New Roman"/>
          <w:szCs w:val="24"/>
        </w:rPr>
        <w:t xml:space="preserve"> and the majority of the front outboard passenger seats already have either a seat belt warning</w:t>
      </w:r>
      <w:r>
        <w:rPr>
          <w:rFonts w:eastAsia="Calibri" w:cs="Times New Roman"/>
          <w:szCs w:val="24"/>
        </w:rPr>
        <w:t xml:space="preserve"> system</w:t>
      </w:r>
      <w:r w:rsidRPr="00177362">
        <w:rPr>
          <w:rFonts w:eastAsia="Calibri" w:cs="Times New Roman"/>
          <w:szCs w:val="24"/>
        </w:rPr>
        <w:t xml:space="preserve"> or occupant sensing technology needed to meet the proposed requirements</w:t>
      </w:r>
      <w:r w:rsidR="001F2F92">
        <w:rPr>
          <w:rFonts w:eastAsia="Calibri" w:cs="Times New Roman"/>
          <w:szCs w:val="24"/>
        </w:rPr>
        <w:t xml:space="preserve">. </w:t>
      </w:r>
      <w:r>
        <w:rPr>
          <w:rFonts w:eastAsia="Calibri" w:cs="Times New Roman"/>
          <w:szCs w:val="24"/>
        </w:rPr>
        <w:t>Installation rates within the rear seat are much lower</w:t>
      </w:r>
      <w:r w:rsidR="001F2F92">
        <w:rPr>
          <w:rFonts w:eastAsia="Calibri" w:cs="Times New Roman"/>
          <w:szCs w:val="24"/>
        </w:rPr>
        <w:t xml:space="preserve">. </w:t>
      </w:r>
    </w:p>
    <w:p w14:paraId="2AF13AC0" w14:textId="77777777" w:rsidR="00A53650" w:rsidRPr="00177362" w:rsidRDefault="000F5B51" w:rsidP="00CC65F7">
      <w:pPr>
        <w:spacing w:after="0"/>
        <w:rPr>
          <w:rFonts w:eastAsia="Calibri" w:cs="Times New Roman"/>
          <w:szCs w:val="24"/>
        </w:rPr>
      </w:pPr>
      <w:bookmarkStart w:id="1330" w:name="_Hlk141706848"/>
      <w:r w:rsidRPr="00177362">
        <w:rPr>
          <w:rFonts w:eastAsia="Calibri" w:cs="Times New Roman"/>
          <w:szCs w:val="24"/>
        </w:rPr>
        <w:t>The proposed driver seat belt warning for buses with a GVWR greater than 3,855 kg (8,500 lb</w:t>
      </w:r>
      <w:r w:rsidR="008B5583">
        <w:rPr>
          <w:rFonts w:eastAsia="Calibri" w:cs="Times New Roman"/>
          <w:szCs w:val="24"/>
        </w:rPr>
        <w:t>s.</w:t>
      </w:r>
      <w:r w:rsidRPr="00177362">
        <w:rPr>
          <w:rFonts w:eastAsia="Calibri" w:cs="Times New Roman"/>
          <w:szCs w:val="24"/>
        </w:rPr>
        <w:t>) and less than or equal to 4,536 kg (10,000 lb</w:t>
      </w:r>
      <w:r w:rsidR="008B5583">
        <w:rPr>
          <w:rFonts w:eastAsia="Calibri" w:cs="Times New Roman"/>
          <w:szCs w:val="24"/>
        </w:rPr>
        <w:t>s.</w:t>
      </w:r>
      <w:r w:rsidRPr="00177362">
        <w:rPr>
          <w:rFonts w:eastAsia="Calibri" w:cs="Times New Roman"/>
          <w:szCs w:val="24"/>
        </w:rPr>
        <w:t>) would also require little or no effort from vehicle manufacturers to comply since, as previously discussed, the majority of these buses already meet or surpass the driver seat belt warning requirements voluntarily.</w:t>
      </w:r>
    </w:p>
    <w:bookmarkEnd w:id="1330"/>
    <w:p w14:paraId="0367B334" w14:textId="77777777" w:rsidR="00A53650" w:rsidRPr="00177362" w:rsidRDefault="000F5B51" w:rsidP="00CC65F7">
      <w:pPr>
        <w:spacing w:after="0"/>
        <w:rPr>
          <w:rFonts w:eastAsia="Calibri" w:cs="Times New Roman"/>
          <w:szCs w:val="24"/>
        </w:rPr>
      </w:pPr>
      <w:r w:rsidRPr="00177362">
        <w:rPr>
          <w:rFonts w:eastAsia="Calibri" w:cs="Times New Roman"/>
          <w:szCs w:val="24"/>
        </w:rPr>
        <w:t>Overall, the proposed seat belt warning requirements should not require much interior redesign, nor should they require the use of much new technology</w:t>
      </w:r>
      <w:r w:rsidR="001F2F92">
        <w:rPr>
          <w:rFonts w:eastAsia="Calibri" w:cs="Times New Roman"/>
          <w:szCs w:val="24"/>
        </w:rPr>
        <w:t xml:space="preserve">. </w:t>
      </w:r>
      <w:r w:rsidRPr="00177362">
        <w:rPr>
          <w:rFonts w:eastAsia="Calibri" w:cs="Times New Roman"/>
          <w:szCs w:val="24"/>
        </w:rPr>
        <w:t>When the FMVSS No. 208 driver’s seat belt warning was first required in 1971, less than a year of lead-time was given for vehicles that chose a compliance option that required the warning</w:t>
      </w:r>
      <w:r w:rsidR="001F2F92">
        <w:rPr>
          <w:rFonts w:eastAsia="Calibri" w:cs="Times New Roman"/>
          <w:szCs w:val="24"/>
        </w:rPr>
        <w:t xml:space="preserve">. </w:t>
      </w:r>
      <w:r w:rsidRPr="00177362">
        <w:rPr>
          <w:rFonts w:eastAsia="Calibri" w:cs="Times New Roman"/>
          <w:szCs w:val="24"/>
        </w:rPr>
        <w:t>We believe that two years of lead-time will provide manufacturers with ample time to integrate the proposed rear passenger seat belt warnings (if one is not already in place).</w:t>
      </w:r>
    </w:p>
    <w:p w14:paraId="3C528CBF" w14:textId="77777777" w:rsidR="00A53650" w:rsidRDefault="000F5B51" w:rsidP="00CC65F7">
      <w:pPr>
        <w:spacing w:after="0"/>
        <w:rPr>
          <w:rFonts w:eastAsia="Times New Roman" w:cs="Times New Roman"/>
          <w:szCs w:val="24"/>
        </w:rPr>
      </w:pPr>
      <w:r w:rsidRPr="00177362">
        <w:rPr>
          <w:rFonts w:eastAsia="Calibri" w:cs="Times New Roman"/>
          <w:szCs w:val="24"/>
        </w:rPr>
        <w:t>At the same time, we appreciate the challenges multi-stage manufacturers and alterers may face as a result of these new requirements in terms of obtaining and implementing the necessary hardware</w:t>
      </w:r>
      <w:r w:rsidR="001F2F92">
        <w:rPr>
          <w:rFonts w:eastAsia="Calibri" w:cs="Times New Roman"/>
          <w:szCs w:val="24"/>
        </w:rPr>
        <w:t xml:space="preserve">. </w:t>
      </w:r>
      <w:r w:rsidRPr="00177362">
        <w:rPr>
          <w:rFonts w:eastAsia="Calibri" w:cs="Times New Roman"/>
          <w:szCs w:val="24"/>
        </w:rPr>
        <w:t xml:space="preserve">However, most of the components necessary to meet the proposed minimum performance requirements for the proposed seat belt warnings are readily available from original </w:t>
      </w:r>
      <w:r w:rsidRPr="00177362">
        <w:rPr>
          <w:rFonts w:eastAsia="Calibri" w:cs="Times New Roman"/>
          <w:szCs w:val="24"/>
        </w:rPr>
        <w:lastRenderedPageBreak/>
        <w:t>equipment manufacturers and we do not foresee any major delays in obtaining them</w:t>
      </w:r>
      <w:r w:rsidR="001F2F92">
        <w:rPr>
          <w:rFonts w:eastAsia="Calibri" w:cs="Times New Roman"/>
          <w:szCs w:val="24"/>
        </w:rPr>
        <w:t xml:space="preserve">. </w:t>
      </w:r>
      <w:r w:rsidRPr="00177362">
        <w:rPr>
          <w:rFonts w:eastAsia="Calibri" w:cs="Times New Roman"/>
          <w:szCs w:val="24"/>
        </w:rPr>
        <w:t>In accordance with 49 CFR 571.8(b), multi-stage manufacturers and alterers c</w:t>
      </w:r>
      <w:r>
        <w:rPr>
          <w:rFonts w:eastAsia="Calibri" w:cs="Times New Roman"/>
          <w:szCs w:val="24"/>
        </w:rPr>
        <w:t>ould</w:t>
      </w:r>
      <w:r w:rsidRPr="00177362">
        <w:rPr>
          <w:rFonts w:eastAsia="Calibri" w:cs="Times New Roman"/>
          <w:szCs w:val="24"/>
        </w:rPr>
        <w:t xml:space="preserve"> defer compliance by one year.</w:t>
      </w:r>
      <w:r>
        <w:rPr>
          <w:rFonts w:eastAsia="Calibri" w:cs="Times New Roman"/>
          <w:szCs w:val="24"/>
        </w:rPr>
        <w:t xml:space="preserve"> </w:t>
      </w:r>
    </w:p>
    <w:p w14:paraId="45EE5C15" w14:textId="77777777" w:rsidR="00AC1B9B" w:rsidRDefault="000F5B51" w:rsidP="00CC65F7">
      <w:pPr>
        <w:pStyle w:val="Heading1"/>
        <w:keepNext w:val="0"/>
        <w:keepLines w:val="0"/>
        <w:widowControl w:val="0"/>
        <w:spacing w:before="0" w:line="240" w:lineRule="auto"/>
      </w:pPr>
      <w:bookmarkStart w:id="1331" w:name="_Toc142902993"/>
      <w:r>
        <w:t>Cost-</w:t>
      </w:r>
      <w:r w:rsidR="000D576D">
        <w:t>E</w:t>
      </w:r>
      <w:r>
        <w:t>ffectiveness and Net Benefit</w:t>
      </w:r>
      <w:r w:rsidR="00A07000">
        <w:t>s</w:t>
      </w:r>
      <w:bookmarkEnd w:id="1331"/>
    </w:p>
    <w:p w14:paraId="644F67F2" w14:textId="77777777" w:rsidR="000E3C3D" w:rsidRDefault="000F5B51" w:rsidP="000E3C3D">
      <w:pPr>
        <w:spacing w:after="0"/>
        <w:textAlignment w:val="baseline"/>
        <w:rPr>
          <w:rFonts w:eastAsia="Times New Roman" w:cs="Times New Roman"/>
          <w:szCs w:val="24"/>
        </w:rPr>
      </w:pPr>
      <w:r>
        <w:rPr>
          <w:rFonts w:eastAsia="Times New Roman" w:cs="Times New Roman"/>
          <w:szCs w:val="24"/>
        </w:rPr>
        <w:t>This chapter presents the cost-effectiveness and benefit-cost analyses for the proposed rule</w:t>
      </w:r>
      <w:r w:rsidR="001F2F92">
        <w:rPr>
          <w:rFonts w:eastAsia="Times New Roman" w:cs="Times New Roman"/>
          <w:szCs w:val="24"/>
        </w:rPr>
        <w:t xml:space="preserve">. </w:t>
      </w:r>
      <w:r>
        <w:rPr>
          <w:rFonts w:eastAsia="Times New Roman" w:cs="Times New Roman"/>
          <w:szCs w:val="24"/>
        </w:rPr>
        <w:t>Cost-effectiveness and benefit-cost analyses provide useful information about the relative performance of regulatory alternatives</w:t>
      </w:r>
      <w:r w:rsidR="001F2F92">
        <w:rPr>
          <w:rFonts w:eastAsia="Times New Roman" w:cs="Times New Roman"/>
          <w:szCs w:val="24"/>
        </w:rPr>
        <w:t xml:space="preserve">. </w:t>
      </w:r>
      <w:r>
        <w:rPr>
          <w:rFonts w:eastAsia="Times New Roman" w:cs="Times New Roman"/>
          <w:szCs w:val="24"/>
        </w:rPr>
        <w:t>Impacts associated with regulatory alternatives are broadly categorized into benefits and costs and are then converted from impact quantities, such as fatal crashes, into dollar values</w:t>
      </w:r>
      <w:r w:rsidR="001F2F92">
        <w:rPr>
          <w:rFonts w:eastAsia="Times New Roman" w:cs="Times New Roman"/>
          <w:szCs w:val="24"/>
        </w:rPr>
        <w:t xml:space="preserve">. </w:t>
      </w:r>
      <w:r>
        <w:rPr>
          <w:rFonts w:eastAsia="Times New Roman" w:cs="Times New Roman"/>
          <w:szCs w:val="24"/>
        </w:rPr>
        <w:t>As a result, decision-makers are able to make direct comparisons across regulatory alternatives and identify those that achieve the most effective use of available resources</w:t>
      </w:r>
      <w:r w:rsidR="001F2F92">
        <w:rPr>
          <w:rFonts w:eastAsia="Times New Roman" w:cs="Times New Roman"/>
          <w:szCs w:val="24"/>
        </w:rPr>
        <w:t xml:space="preserve">. </w:t>
      </w:r>
      <w:r w:rsidR="004B468C">
        <w:rPr>
          <w:rFonts w:eastAsia="Times New Roman" w:cs="Times New Roman"/>
          <w:szCs w:val="24"/>
        </w:rPr>
        <w:t>In addition, commenters to the rulemaking are able to weigh the relative value of both costs and benefits</w:t>
      </w:r>
      <w:r w:rsidR="00F85A8D">
        <w:rPr>
          <w:rFonts w:eastAsia="Times New Roman" w:cs="Times New Roman"/>
          <w:szCs w:val="24"/>
        </w:rPr>
        <w:t xml:space="preserve"> using a consistent metric</w:t>
      </w:r>
      <w:r w:rsidR="004B468C">
        <w:rPr>
          <w:rFonts w:eastAsia="Times New Roman" w:cs="Times New Roman"/>
          <w:szCs w:val="24"/>
        </w:rPr>
        <w:t>.</w:t>
      </w:r>
    </w:p>
    <w:p w14:paraId="55539258" w14:textId="77777777" w:rsidR="003549D6" w:rsidRDefault="000F5B51" w:rsidP="003549D6">
      <w:pPr>
        <w:spacing w:after="0"/>
      </w:pPr>
      <w:r w:rsidRPr="005057C1">
        <w:t>Th</w:t>
      </w:r>
      <w:r>
        <w:t>is section first presents the values used to convert benefits measures and to account for the timing in which benefits will be realized</w:t>
      </w:r>
      <w:r w:rsidR="001F2F92">
        <w:t xml:space="preserve">. </w:t>
      </w:r>
      <w:r>
        <w:t>The</w:t>
      </w:r>
      <w:r w:rsidRPr="005057C1">
        <w:t xml:space="preserve"> following sections</w:t>
      </w:r>
      <w:r>
        <w:t xml:space="preserve"> then make use of those values as well as the benefits and cost presented in previous chapters to calculate</w:t>
      </w:r>
      <w:r w:rsidRPr="005057C1">
        <w:t xml:space="preserve"> the measures employed in the cost-effectiveness and benefit-cost analyses. </w:t>
      </w:r>
    </w:p>
    <w:p w14:paraId="0222153C" w14:textId="1CC4DDBE" w:rsidR="007C33A7" w:rsidRDefault="000F5B51" w:rsidP="007C33A7">
      <w:pPr>
        <w:spacing w:after="0"/>
        <w:rPr>
          <w:rFonts w:eastAsia="Calibri" w:cs="Times New Roman"/>
        </w:rPr>
      </w:pPr>
      <w:r w:rsidRPr="55D4EEC5">
        <w:rPr>
          <w:rFonts w:eastAsia="Calibri" w:cs="Times New Roman"/>
        </w:rPr>
        <w:fldChar w:fldCharType="begin"/>
      </w:r>
      <w:r w:rsidRPr="55D4EEC5">
        <w:rPr>
          <w:rFonts w:eastAsia="Calibri" w:cs="Times New Roman"/>
        </w:rPr>
        <w:instrText xml:space="preserve"> REF _Ref126229924 \h </w:instrText>
      </w:r>
      <w:r w:rsidRPr="55D4EEC5">
        <w:rPr>
          <w:rFonts w:eastAsia="Calibri" w:cs="Times New Roman"/>
        </w:rPr>
      </w:r>
      <w:r w:rsidRPr="55D4EEC5">
        <w:rPr>
          <w:rFonts w:eastAsia="Calibri" w:cs="Times New Roman"/>
        </w:rPr>
        <w:fldChar w:fldCharType="separate"/>
      </w:r>
      <w:r w:rsidR="00A65CB3">
        <w:t xml:space="preserve">Table </w:t>
      </w:r>
      <w:r w:rsidR="00A65CB3">
        <w:rPr>
          <w:noProof/>
        </w:rPr>
        <w:t>65</w:t>
      </w:r>
      <w:r w:rsidRPr="55D4EEC5">
        <w:rPr>
          <w:rFonts w:eastAsia="Calibri" w:cs="Times New Roman"/>
        </w:rPr>
        <w:fldChar w:fldCharType="end"/>
      </w:r>
      <w:r w:rsidRPr="55D4EEC5">
        <w:rPr>
          <w:rFonts w:eastAsia="Calibri" w:cs="Times New Roman"/>
        </w:rPr>
        <w:t xml:space="preserve"> presents the relative injury factors used to determine the proportional comprehensive benefits attributed to non-fatal injuries of each MAIS severity</w:t>
      </w:r>
      <w:r w:rsidR="001F2F92">
        <w:rPr>
          <w:rFonts w:eastAsia="Calibri" w:cs="Times New Roman"/>
        </w:rPr>
        <w:t xml:space="preserve">. </w:t>
      </w:r>
      <w:r w:rsidR="00C369A6" w:rsidRPr="55D4EEC5">
        <w:rPr>
          <w:rFonts w:eastAsia="Calibri" w:cs="Times New Roman"/>
        </w:rPr>
        <w:t>In August 2016, the U</w:t>
      </w:r>
      <w:r w:rsidR="00404BE2" w:rsidRPr="55D4EEC5">
        <w:rPr>
          <w:rFonts w:eastAsia="Calibri" w:cs="Times New Roman"/>
        </w:rPr>
        <w:t xml:space="preserve">nited </w:t>
      </w:r>
      <w:r w:rsidR="00C369A6" w:rsidRPr="55D4EEC5">
        <w:rPr>
          <w:rFonts w:eastAsia="Calibri" w:cs="Times New Roman"/>
        </w:rPr>
        <w:t>S</w:t>
      </w:r>
      <w:r w:rsidR="00404BE2" w:rsidRPr="55D4EEC5">
        <w:rPr>
          <w:rFonts w:eastAsia="Calibri" w:cs="Times New Roman"/>
        </w:rPr>
        <w:t>tates</w:t>
      </w:r>
      <w:r w:rsidR="00C369A6" w:rsidRPr="55D4EEC5">
        <w:rPr>
          <w:rFonts w:eastAsia="Calibri" w:cs="Times New Roman"/>
        </w:rPr>
        <w:t xml:space="preserve"> DOT issued revised guidance regarding the treatment of </w:t>
      </w:r>
      <w:r w:rsidR="191A6169" w:rsidRPr="55BE2448">
        <w:rPr>
          <w:rFonts w:eastAsia="Calibri" w:cs="Times New Roman"/>
        </w:rPr>
        <w:t xml:space="preserve">the </w:t>
      </w:r>
      <w:r w:rsidR="00C369A6" w:rsidRPr="55D4EEC5">
        <w:rPr>
          <w:rFonts w:eastAsia="Calibri" w:cs="Times New Roman"/>
        </w:rPr>
        <w:t>value of a statistical life in regulatory analyses.</w:t>
      </w:r>
      <w:r>
        <w:rPr>
          <w:rStyle w:val="FootnoteReference"/>
          <w:rFonts w:eastAsia="Calibri" w:cs="Times New Roman"/>
        </w:rPr>
        <w:footnoteReference w:id="71"/>
      </w:r>
      <w:r w:rsidR="00C369A6" w:rsidRPr="55D4EEC5">
        <w:rPr>
          <w:rFonts w:eastAsia="Calibri" w:cs="Times New Roman"/>
        </w:rPr>
        <w:t xml:space="preserve">  Adjusted to current economics, we estimated a fatal comprehensive cost of $11.9 million in 2020 dollars (see </w:t>
      </w:r>
      <w:r w:rsidR="00C369A6" w:rsidRPr="55D4EEC5">
        <w:rPr>
          <w:rFonts w:eastAsia="Calibri" w:cs="Times New Roman"/>
        </w:rPr>
        <w:fldChar w:fldCharType="begin"/>
      </w:r>
      <w:r w:rsidR="00C369A6" w:rsidRPr="55D4EEC5">
        <w:rPr>
          <w:rFonts w:eastAsia="Calibri" w:cs="Times New Roman"/>
        </w:rPr>
        <w:instrText xml:space="preserve"> REF _Ref126229804 \h </w:instrText>
      </w:r>
      <w:r w:rsidR="00C369A6" w:rsidRPr="55D4EEC5">
        <w:rPr>
          <w:rFonts w:eastAsia="Calibri" w:cs="Times New Roman"/>
        </w:rPr>
      </w:r>
      <w:r w:rsidR="00C369A6" w:rsidRPr="55D4EEC5">
        <w:rPr>
          <w:rFonts w:eastAsia="Calibri" w:cs="Times New Roman"/>
        </w:rPr>
        <w:fldChar w:fldCharType="separate"/>
      </w:r>
      <w:r w:rsidR="00A65CB3">
        <w:t>Appendix B</w:t>
      </w:r>
      <w:r w:rsidR="00C369A6" w:rsidRPr="55D4EEC5">
        <w:rPr>
          <w:rFonts w:eastAsia="Calibri" w:cs="Times New Roman"/>
        </w:rPr>
        <w:fldChar w:fldCharType="end"/>
      </w:r>
      <w:r w:rsidR="00C369A6" w:rsidRPr="55D4EEC5">
        <w:rPr>
          <w:rFonts w:eastAsia="Calibri" w:cs="Times New Roman"/>
        </w:rPr>
        <w:t xml:space="preserve"> for details)</w:t>
      </w:r>
      <w:r w:rsidR="001F2F92">
        <w:rPr>
          <w:rFonts w:eastAsia="Calibri" w:cs="Times New Roman"/>
        </w:rPr>
        <w:t xml:space="preserve">. </w:t>
      </w:r>
      <w:r w:rsidRPr="55D4EEC5">
        <w:rPr>
          <w:rFonts w:eastAsia="Calibri" w:cs="Times New Roman"/>
        </w:rPr>
        <w:t xml:space="preserve">Comprehensive costs include not </w:t>
      </w:r>
      <w:r w:rsidRPr="55D4EEC5">
        <w:rPr>
          <w:rFonts w:eastAsia="Calibri" w:cs="Times New Roman"/>
        </w:rPr>
        <w:lastRenderedPageBreak/>
        <w:t>only a monetary value for the loss of life or the injury suffered, but also after-tax lost productivity due to the injury</w:t>
      </w:r>
      <w:r w:rsidR="00D90C1D" w:rsidRPr="55D4EEC5">
        <w:rPr>
          <w:rFonts w:eastAsia="Calibri" w:cs="Times New Roman"/>
        </w:rPr>
        <w:t xml:space="preserve"> or </w:t>
      </w:r>
      <w:r w:rsidRPr="55D4EEC5">
        <w:rPr>
          <w:rFonts w:eastAsia="Calibri" w:cs="Times New Roman"/>
        </w:rPr>
        <w:t xml:space="preserve">fatality, plus the additional societal economic costs including medical care, emergency services, insurance administrative costs, workplace costs, and legal costs. </w:t>
      </w:r>
    </w:p>
    <w:p w14:paraId="70955B69" w14:textId="5714E2D0" w:rsidR="00C369A6" w:rsidRDefault="000F5B51" w:rsidP="00CC65F7">
      <w:pPr>
        <w:pStyle w:val="Caption"/>
        <w:rPr>
          <w:rFonts w:eastAsia="Calibri" w:cs="Times New Roman"/>
          <w:szCs w:val="24"/>
        </w:rPr>
      </w:pPr>
      <w:bookmarkStart w:id="1332" w:name="_Ref126229924"/>
      <w:r>
        <w:t xml:space="preserve">Table </w:t>
      </w:r>
      <w:r w:rsidR="00115BAB">
        <w:fldChar w:fldCharType="begin"/>
      </w:r>
      <w:r>
        <w:instrText xml:space="preserve"> SEQ Table \* ARABIC </w:instrText>
      </w:r>
      <w:r w:rsidR="00115BAB">
        <w:fldChar w:fldCharType="separate"/>
      </w:r>
      <w:r w:rsidR="00A65CB3">
        <w:rPr>
          <w:noProof/>
        </w:rPr>
        <w:t>65</w:t>
      </w:r>
      <w:r w:rsidR="00115BAB">
        <w:rPr>
          <w:noProof/>
        </w:rPr>
        <w:fldChar w:fldCharType="end"/>
      </w:r>
      <w:bookmarkEnd w:id="1332"/>
      <w:r>
        <w:t xml:space="preserve">: </w:t>
      </w:r>
      <w:r w:rsidRPr="00794EE6">
        <w:t xml:space="preserve">Relative Injury Factors </w:t>
      </w:r>
      <w:r w:rsidR="00404BE2">
        <w:t xml:space="preserve">and Comprehensive Unit Costs </w:t>
      </w:r>
      <w:r w:rsidRPr="00794EE6">
        <w:t xml:space="preserve">by Injury Severity Level </w:t>
      </w:r>
    </w:p>
    <w:tbl>
      <w:tblPr>
        <w:tblW w:w="782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3"/>
        <w:gridCol w:w="1978"/>
        <w:gridCol w:w="1952"/>
        <w:gridCol w:w="1952"/>
      </w:tblGrid>
      <w:tr w:rsidR="00A15C2C" w14:paraId="6A24E8D8" w14:textId="77777777" w:rsidTr="004B5470">
        <w:trPr>
          <w:trHeight w:val="270"/>
          <w:jc w:val="center"/>
        </w:trPr>
        <w:tc>
          <w:tcPr>
            <w:tcW w:w="19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CE0C954" w14:textId="77777777" w:rsidR="0073248D" w:rsidRDefault="000F5B51" w:rsidP="0073248D">
            <w:pPr>
              <w:pStyle w:val="Caption"/>
              <w:rPr>
                <w:rFonts w:eastAsia="Times New Roman" w:cs="Times New Roman"/>
                <w:b/>
                <w:bCs/>
                <w:szCs w:val="24"/>
              </w:rPr>
            </w:pPr>
            <w:r>
              <w:rPr>
                <w:rFonts w:eastAsia="Times New Roman" w:cs="Times New Roman"/>
                <w:b/>
                <w:bCs/>
                <w:szCs w:val="24"/>
              </w:rPr>
              <w:t>MAIS Level </w:t>
            </w:r>
          </w:p>
        </w:tc>
        <w:tc>
          <w:tcPr>
            <w:tcW w:w="1978"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46986193" w14:textId="77777777" w:rsidR="0073248D" w:rsidRDefault="000F5B51" w:rsidP="0073248D">
            <w:pPr>
              <w:spacing w:after="0" w:line="240" w:lineRule="auto"/>
              <w:jc w:val="center"/>
              <w:textAlignment w:val="baseline"/>
              <w:rPr>
                <w:rFonts w:eastAsia="Times New Roman" w:cs="Times New Roman"/>
                <w:b/>
                <w:bCs/>
                <w:szCs w:val="24"/>
              </w:rPr>
            </w:pPr>
            <w:r>
              <w:rPr>
                <w:rFonts w:eastAsia="Times New Roman" w:cs="Times New Roman"/>
                <w:b/>
                <w:bCs/>
                <w:szCs w:val="24"/>
              </w:rPr>
              <w:t>Non-fatal Injury Severity </w:t>
            </w:r>
          </w:p>
        </w:tc>
        <w:tc>
          <w:tcPr>
            <w:tcW w:w="1952" w:type="dxa"/>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5EE417DF" w14:textId="77777777" w:rsidR="0073248D" w:rsidRDefault="000F5B51" w:rsidP="0073248D">
            <w:pPr>
              <w:spacing w:after="0" w:line="240" w:lineRule="auto"/>
              <w:jc w:val="center"/>
              <w:textAlignment w:val="baseline"/>
              <w:rPr>
                <w:rFonts w:eastAsia="Times New Roman" w:cs="Times New Roman"/>
                <w:b/>
                <w:bCs/>
                <w:szCs w:val="24"/>
              </w:rPr>
            </w:pPr>
            <w:r>
              <w:rPr>
                <w:rFonts w:eastAsia="Times New Roman" w:cs="Times New Roman"/>
                <w:b/>
                <w:bCs/>
                <w:szCs w:val="24"/>
              </w:rPr>
              <w:t>Relative Injury Factor </w:t>
            </w:r>
          </w:p>
        </w:tc>
        <w:tc>
          <w:tcPr>
            <w:tcW w:w="1952"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6F74AD2F" w14:textId="77777777" w:rsidR="0073248D" w:rsidRDefault="000F5B51" w:rsidP="0073248D">
            <w:pPr>
              <w:spacing w:after="0" w:line="240" w:lineRule="auto"/>
              <w:jc w:val="center"/>
              <w:textAlignment w:val="baseline"/>
              <w:rPr>
                <w:rFonts w:eastAsia="Times New Roman" w:cs="Times New Roman"/>
                <w:b/>
                <w:bCs/>
                <w:szCs w:val="24"/>
              </w:rPr>
            </w:pPr>
            <w:r>
              <w:rPr>
                <w:rFonts w:eastAsia="Times New Roman" w:cs="Times New Roman"/>
                <w:b/>
                <w:bCs/>
                <w:szCs w:val="24"/>
              </w:rPr>
              <w:t>Comprehensive Unit Cost</w:t>
            </w:r>
          </w:p>
        </w:tc>
      </w:tr>
      <w:tr w:rsidR="00A15C2C" w14:paraId="28C76008" w14:textId="77777777" w:rsidTr="004B5470">
        <w:trPr>
          <w:trHeight w:val="270"/>
          <w:jc w:val="center"/>
        </w:trPr>
        <w:tc>
          <w:tcPr>
            <w:tcW w:w="1943" w:type="dxa"/>
            <w:tcBorders>
              <w:top w:val="nil"/>
              <w:left w:val="single" w:sz="6" w:space="0" w:color="auto"/>
              <w:bottom w:val="single" w:sz="6" w:space="0" w:color="auto"/>
              <w:right w:val="single" w:sz="6" w:space="0" w:color="auto"/>
            </w:tcBorders>
            <w:hideMark/>
          </w:tcPr>
          <w:p w14:paraId="2505A194" w14:textId="77777777" w:rsidR="0073248D" w:rsidRDefault="000F5B51" w:rsidP="0073248D">
            <w:pPr>
              <w:spacing w:after="0" w:line="240" w:lineRule="auto"/>
              <w:jc w:val="center"/>
              <w:textAlignment w:val="baseline"/>
              <w:rPr>
                <w:rFonts w:eastAsia="Times New Roman" w:cs="Times New Roman"/>
                <w:szCs w:val="24"/>
              </w:rPr>
            </w:pPr>
            <w:r>
              <w:rPr>
                <w:rFonts w:eastAsia="Times New Roman" w:cs="Times New Roman"/>
                <w:szCs w:val="24"/>
              </w:rPr>
              <w:t>MAIS 1 </w:t>
            </w:r>
          </w:p>
        </w:tc>
        <w:tc>
          <w:tcPr>
            <w:tcW w:w="1978" w:type="dxa"/>
            <w:tcBorders>
              <w:top w:val="nil"/>
              <w:left w:val="nil"/>
              <w:bottom w:val="single" w:sz="6" w:space="0" w:color="auto"/>
              <w:right w:val="single" w:sz="6" w:space="0" w:color="auto"/>
            </w:tcBorders>
            <w:vAlign w:val="center"/>
            <w:hideMark/>
          </w:tcPr>
          <w:p w14:paraId="64146EF3" w14:textId="77777777" w:rsidR="0073248D" w:rsidRDefault="000F5B51" w:rsidP="0073248D">
            <w:pPr>
              <w:spacing w:after="0" w:line="240" w:lineRule="auto"/>
              <w:jc w:val="center"/>
              <w:textAlignment w:val="baseline"/>
              <w:rPr>
                <w:rFonts w:eastAsia="Times New Roman" w:cs="Times New Roman"/>
                <w:szCs w:val="24"/>
              </w:rPr>
            </w:pPr>
            <w:r>
              <w:rPr>
                <w:rFonts w:eastAsia="Times New Roman" w:cs="Times New Roman"/>
                <w:szCs w:val="24"/>
              </w:rPr>
              <w:t>Minor </w:t>
            </w:r>
          </w:p>
        </w:tc>
        <w:tc>
          <w:tcPr>
            <w:tcW w:w="1952" w:type="dxa"/>
            <w:tcBorders>
              <w:top w:val="nil"/>
              <w:left w:val="single" w:sz="4" w:space="0" w:color="auto"/>
              <w:bottom w:val="single" w:sz="6" w:space="0" w:color="auto"/>
              <w:right w:val="single" w:sz="4" w:space="0" w:color="auto"/>
            </w:tcBorders>
            <w:vAlign w:val="center"/>
          </w:tcPr>
          <w:p w14:paraId="7EF1455A" w14:textId="77777777" w:rsidR="0073248D" w:rsidRPr="00306A03" w:rsidRDefault="000F5B51" w:rsidP="0073248D">
            <w:pPr>
              <w:spacing w:after="0" w:line="240" w:lineRule="auto"/>
              <w:jc w:val="center"/>
              <w:textAlignment w:val="baseline"/>
              <w:rPr>
                <w:rFonts w:eastAsia="Times New Roman" w:cs="Times New Roman"/>
                <w:color w:val="000000"/>
                <w:szCs w:val="24"/>
              </w:rPr>
            </w:pPr>
            <w:r>
              <w:rPr>
                <w:rFonts w:eastAsia="Times New Roman" w:cs="Times New Roman"/>
                <w:szCs w:val="24"/>
              </w:rPr>
              <w:t>0.0038 </w:t>
            </w:r>
          </w:p>
        </w:tc>
        <w:tc>
          <w:tcPr>
            <w:tcW w:w="1952" w:type="dxa"/>
            <w:tcBorders>
              <w:top w:val="nil"/>
              <w:left w:val="single" w:sz="4" w:space="0" w:color="auto"/>
              <w:bottom w:val="single" w:sz="6" w:space="0" w:color="auto"/>
              <w:right w:val="single" w:sz="4" w:space="0" w:color="auto"/>
            </w:tcBorders>
            <w:vAlign w:val="bottom"/>
          </w:tcPr>
          <w:p w14:paraId="08FE8F2D" w14:textId="77777777" w:rsidR="0073248D" w:rsidRDefault="000F5B51" w:rsidP="0073248D">
            <w:pPr>
              <w:spacing w:after="0" w:line="240" w:lineRule="auto"/>
              <w:jc w:val="center"/>
              <w:textAlignment w:val="baseline"/>
              <w:rPr>
                <w:rFonts w:eastAsia="Times New Roman" w:cs="Times New Roman"/>
                <w:szCs w:val="24"/>
              </w:rPr>
            </w:pPr>
            <w:r w:rsidRPr="00306A03">
              <w:rPr>
                <w:rFonts w:eastAsia="Times New Roman" w:cs="Times New Roman"/>
                <w:color w:val="000000"/>
                <w:szCs w:val="24"/>
              </w:rPr>
              <w:t xml:space="preserve">$56,035 </w:t>
            </w:r>
          </w:p>
        </w:tc>
      </w:tr>
      <w:tr w:rsidR="00A15C2C" w14:paraId="0CD88656" w14:textId="77777777" w:rsidTr="004B5470">
        <w:trPr>
          <w:trHeight w:val="270"/>
          <w:jc w:val="center"/>
        </w:trPr>
        <w:tc>
          <w:tcPr>
            <w:tcW w:w="1943" w:type="dxa"/>
            <w:tcBorders>
              <w:top w:val="nil"/>
              <w:left w:val="single" w:sz="6" w:space="0" w:color="auto"/>
              <w:bottom w:val="single" w:sz="6" w:space="0" w:color="auto"/>
              <w:right w:val="single" w:sz="6" w:space="0" w:color="auto"/>
            </w:tcBorders>
            <w:hideMark/>
          </w:tcPr>
          <w:p w14:paraId="03BBCC9B" w14:textId="77777777" w:rsidR="0073248D" w:rsidRDefault="000F5B51" w:rsidP="0073248D">
            <w:pPr>
              <w:spacing w:after="0" w:line="240" w:lineRule="auto"/>
              <w:jc w:val="center"/>
              <w:textAlignment w:val="baseline"/>
              <w:rPr>
                <w:rFonts w:eastAsia="Times New Roman" w:cs="Times New Roman"/>
                <w:szCs w:val="24"/>
              </w:rPr>
            </w:pPr>
            <w:r>
              <w:rPr>
                <w:rFonts w:eastAsia="Times New Roman" w:cs="Times New Roman"/>
                <w:szCs w:val="24"/>
              </w:rPr>
              <w:t>MAIS 2 </w:t>
            </w:r>
          </w:p>
        </w:tc>
        <w:tc>
          <w:tcPr>
            <w:tcW w:w="1978" w:type="dxa"/>
            <w:tcBorders>
              <w:top w:val="nil"/>
              <w:left w:val="nil"/>
              <w:bottom w:val="single" w:sz="6" w:space="0" w:color="auto"/>
              <w:right w:val="single" w:sz="6" w:space="0" w:color="auto"/>
            </w:tcBorders>
            <w:vAlign w:val="center"/>
            <w:hideMark/>
          </w:tcPr>
          <w:p w14:paraId="56A5048A" w14:textId="77777777" w:rsidR="0073248D" w:rsidRDefault="000F5B51" w:rsidP="0073248D">
            <w:pPr>
              <w:spacing w:after="0" w:line="240" w:lineRule="auto"/>
              <w:jc w:val="center"/>
              <w:textAlignment w:val="baseline"/>
              <w:rPr>
                <w:rFonts w:eastAsia="Times New Roman" w:cs="Times New Roman"/>
                <w:szCs w:val="24"/>
              </w:rPr>
            </w:pPr>
            <w:r>
              <w:rPr>
                <w:rFonts w:eastAsia="Times New Roman" w:cs="Times New Roman"/>
                <w:szCs w:val="24"/>
              </w:rPr>
              <w:t>Moderate </w:t>
            </w:r>
          </w:p>
        </w:tc>
        <w:tc>
          <w:tcPr>
            <w:tcW w:w="1952" w:type="dxa"/>
            <w:tcBorders>
              <w:top w:val="nil"/>
              <w:left w:val="single" w:sz="4" w:space="0" w:color="auto"/>
              <w:bottom w:val="single" w:sz="6" w:space="0" w:color="auto"/>
              <w:right w:val="single" w:sz="4" w:space="0" w:color="auto"/>
            </w:tcBorders>
            <w:vAlign w:val="center"/>
          </w:tcPr>
          <w:p w14:paraId="13ABFEBF" w14:textId="77777777" w:rsidR="0073248D" w:rsidRPr="00306A03" w:rsidRDefault="000F5B51" w:rsidP="0073248D">
            <w:pPr>
              <w:spacing w:after="0" w:line="240" w:lineRule="auto"/>
              <w:jc w:val="center"/>
              <w:textAlignment w:val="baseline"/>
              <w:rPr>
                <w:rFonts w:eastAsia="Times New Roman" w:cs="Times New Roman"/>
                <w:color w:val="000000"/>
                <w:szCs w:val="24"/>
              </w:rPr>
            </w:pPr>
            <w:r>
              <w:rPr>
                <w:rFonts w:eastAsia="Times New Roman" w:cs="Times New Roman"/>
                <w:szCs w:val="24"/>
              </w:rPr>
              <w:t>0.0454</w:t>
            </w:r>
          </w:p>
        </w:tc>
        <w:tc>
          <w:tcPr>
            <w:tcW w:w="1952" w:type="dxa"/>
            <w:tcBorders>
              <w:top w:val="nil"/>
              <w:left w:val="single" w:sz="4" w:space="0" w:color="auto"/>
              <w:bottom w:val="single" w:sz="6" w:space="0" w:color="auto"/>
              <w:right w:val="single" w:sz="4" w:space="0" w:color="auto"/>
            </w:tcBorders>
            <w:vAlign w:val="bottom"/>
          </w:tcPr>
          <w:p w14:paraId="4858AC58" w14:textId="77777777" w:rsidR="0073248D" w:rsidRDefault="000F5B51" w:rsidP="0073248D">
            <w:pPr>
              <w:spacing w:after="0" w:line="240" w:lineRule="auto"/>
              <w:jc w:val="center"/>
              <w:textAlignment w:val="baseline"/>
              <w:rPr>
                <w:rFonts w:eastAsia="Times New Roman" w:cs="Times New Roman"/>
                <w:szCs w:val="24"/>
              </w:rPr>
            </w:pPr>
            <w:r w:rsidRPr="00306A03">
              <w:rPr>
                <w:rFonts w:eastAsia="Times New Roman" w:cs="Times New Roman"/>
                <w:color w:val="000000"/>
                <w:szCs w:val="24"/>
              </w:rPr>
              <w:t xml:space="preserve">$553,146 </w:t>
            </w:r>
          </w:p>
        </w:tc>
      </w:tr>
      <w:tr w:rsidR="00A15C2C" w14:paraId="4091ADFD" w14:textId="77777777" w:rsidTr="004B5470">
        <w:trPr>
          <w:trHeight w:val="255"/>
          <w:jc w:val="center"/>
        </w:trPr>
        <w:tc>
          <w:tcPr>
            <w:tcW w:w="1943" w:type="dxa"/>
            <w:tcBorders>
              <w:top w:val="nil"/>
              <w:left w:val="single" w:sz="6" w:space="0" w:color="auto"/>
              <w:bottom w:val="single" w:sz="6" w:space="0" w:color="auto"/>
              <w:right w:val="single" w:sz="6" w:space="0" w:color="auto"/>
            </w:tcBorders>
            <w:hideMark/>
          </w:tcPr>
          <w:p w14:paraId="69A646F7" w14:textId="77777777" w:rsidR="0073248D" w:rsidRDefault="000F5B51" w:rsidP="0073248D">
            <w:pPr>
              <w:spacing w:after="0" w:line="240" w:lineRule="auto"/>
              <w:jc w:val="center"/>
              <w:textAlignment w:val="baseline"/>
              <w:rPr>
                <w:rFonts w:eastAsia="Times New Roman" w:cs="Times New Roman"/>
                <w:szCs w:val="24"/>
              </w:rPr>
            </w:pPr>
            <w:r>
              <w:rPr>
                <w:rFonts w:eastAsia="Times New Roman" w:cs="Times New Roman"/>
                <w:szCs w:val="24"/>
              </w:rPr>
              <w:t>MAIS 3 </w:t>
            </w:r>
          </w:p>
        </w:tc>
        <w:tc>
          <w:tcPr>
            <w:tcW w:w="1978" w:type="dxa"/>
            <w:tcBorders>
              <w:top w:val="nil"/>
              <w:left w:val="nil"/>
              <w:bottom w:val="single" w:sz="6" w:space="0" w:color="auto"/>
              <w:right w:val="single" w:sz="6" w:space="0" w:color="auto"/>
            </w:tcBorders>
            <w:vAlign w:val="center"/>
            <w:hideMark/>
          </w:tcPr>
          <w:p w14:paraId="2AFD54A3" w14:textId="77777777" w:rsidR="0073248D" w:rsidRDefault="000F5B51" w:rsidP="0073248D">
            <w:pPr>
              <w:spacing w:after="0" w:line="240" w:lineRule="auto"/>
              <w:jc w:val="center"/>
              <w:textAlignment w:val="baseline"/>
              <w:rPr>
                <w:rFonts w:eastAsia="Times New Roman" w:cs="Times New Roman"/>
                <w:szCs w:val="24"/>
              </w:rPr>
            </w:pPr>
            <w:r>
              <w:rPr>
                <w:rFonts w:eastAsia="Times New Roman" w:cs="Times New Roman"/>
                <w:szCs w:val="24"/>
              </w:rPr>
              <w:t>Serious </w:t>
            </w:r>
          </w:p>
        </w:tc>
        <w:tc>
          <w:tcPr>
            <w:tcW w:w="1952" w:type="dxa"/>
            <w:tcBorders>
              <w:top w:val="nil"/>
              <w:left w:val="single" w:sz="4" w:space="0" w:color="auto"/>
              <w:bottom w:val="single" w:sz="6" w:space="0" w:color="auto"/>
              <w:right w:val="single" w:sz="4" w:space="0" w:color="auto"/>
            </w:tcBorders>
            <w:vAlign w:val="center"/>
          </w:tcPr>
          <w:p w14:paraId="53A4C210" w14:textId="77777777" w:rsidR="0073248D" w:rsidRPr="00306A03" w:rsidRDefault="000F5B51" w:rsidP="0073248D">
            <w:pPr>
              <w:spacing w:after="0" w:line="240" w:lineRule="auto"/>
              <w:jc w:val="center"/>
              <w:textAlignment w:val="baseline"/>
              <w:rPr>
                <w:rFonts w:eastAsia="Times New Roman" w:cs="Times New Roman"/>
                <w:color w:val="000000"/>
                <w:szCs w:val="24"/>
              </w:rPr>
            </w:pPr>
            <w:r>
              <w:rPr>
                <w:rFonts w:eastAsia="Times New Roman" w:cs="Times New Roman"/>
                <w:szCs w:val="24"/>
              </w:rPr>
              <w:t>0.1078 </w:t>
            </w:r>
          </w:p>
        </w:tc>
        <w:tc>
          <w:tcPr>
            <w:tcW w:w="1952" w:type="dxa"/>
            <w:tcBorders>
              <w:top w:val="nil"/>
              <w:left w:val="single" w:sz="4" w:space="0" w:color="auto"/>
              <w:bottom w:val="single" w:sz="6" w:space="0" w:color="auto"/>
              <w:right w:val="single" w:sz="4" w:space="0" w:color="auto"/>
            </w:tcBorders>
            <w:vAlign w:val="bottom"/>
          </w:tcPr>
          <w:p w14:paraId="72B5B946" w14:textId="77777777" w:rsidR="0073248D" w:rsidRDefault="000F5B51" w:rsidP="0073248D">
            <w:pPr>
              <w:spacing w:after="0" w:line="240" w:lineRule="auto"/>
              <w:jc w:val="center"/>
              <w:textAlignment w:val="baseline"/>
              <w:rPr>
                <w:rFonts w:eastAsia="Times New Roman" w:cs="Times New Roman"/>
                <w:szCs w:val="24"/>
              </w:rPr>
            </w:pPr>
            <w:r w:rsidRPr="00306A03">
              <w:rPr>
                <w:rFonts w:eastAsia="Times New Roman" w:cs="Times New Roman"/>
                <w:color w:val="000000"/>
                <w:szCs w:val="24"/>
              </w:rPr>
              <w:t xml:space="preserve">$1,307,335 </w:t>
            </w:r>
          </w:p>
        </w:tc>
      </w:tr>
      <w:tr w:rsidR="00A15C2C" w14:paraId="2D65F027" w14:textId="77777777" w:rsidTr="004B5470">
        <w:trPr>
          <w:trHeight w:val="270"/>
          <w:jc w:val="center"/>
        </w:trPr>
        <w:tc>
          <w:tcPr>
            <w:tcW w:w="1943" w:type="dxa"/>
            <w:tcBorders>
              <w:top w:val="nil"/>
              <w:left w:val="single" w:sz="6" w:space="0" w:color="auto"/>
              <w:bottom w:val="single" w:sz="6" w:space="0" w:color="auto"/>
              <w:right w:val="single" w:sz="6" w:space="0" w:color="auto"/>
            </w:tcBorders>
            <w:hideMark/>
          </w:tcPr>
          <w:p w14:paraId="2FCC8A9E" w14:textId="77777777" w:rsidR="0073248D" w:rsidRDefault="000F5B51" w:rsidP="0073248D">
            <w:pPr>
              <w:spacing w:after="0" w:line="240" w:lineRule="auto"/>
              <w:jc w:val="center"/>
              <w:textAlignment w:val="baseline"/>
              <w:rPr>
                <w:rFonts w:eastAsia="Times New Roman" w:cs="Times New Roman"/>
                <w:szCs w:val="24"/>
              </w:rPr>
            </w:pPr>
            <w:r>
              <w:rPr>
                <w:rFonts w:eastAsia="Times New Roman" w:cs="Times New Roman"/>
                <w:szCs w:val="24"/>
              </w:rPr>
              <w:t>MAIS 4 </w:t>
            </w:r>
          </w:p>
        </w:tc>
        <w:tc>
          <w:tcPr>
            <w:tcW w:w="1978" w:type="dxa"/>
            <w:tcBorders>
              <w:top w:val="nil"/>
              <w:left w:val="nil"/>
              <w:bottom w:val="single" w:sz="6" w:space="0" w:color="auto"/>
              <w:right w:val="single" w:sz="6" w:space="0" w:color="auto"/>
            </w:tcBorders>
            <w:vAlign w:val="center"/>
            <w:hideMark/>
          </w:tcPr>
          <w:p w14:paraId="54EEA2B8" w14:textId="77777777" w:rsidR="0073248D" w:rsidRDefault="000F5B51" w:rsidP="0073248D">
            <w:pPr>
              <w:spacing w:after="0" w:line="240" w:lineRule="auto"/>
              <w:jc w:val="center"/>
              <w:textAlignment w:val="baseline"/>
              <w:rPr>
                <w:rFonts w:eastAsia="Times New Roman" w:cs="Times New Roman"/>
                <w:szCs w:val="24"/>
              </w:rPr>
            </w:pPr>
            <w:r>
              <w:rPr>
                <w:rFonts w:eastAsia="Times New Roman" w:cs="Times New Roman"/>
                <w:szCs w:val="24"/>
              </w:rPr>
              <w:t>Severe </w:t>
            </w:r>
          </w:p>
        </w:tc>
        <w:tc>
          <w:tcPr>
            <w:tcW w:w="1952" w:type="dxa"/>
            <w:tcBorders>
              <w:top w:val="nil"/>
              <w:left w:val="single" w:sz="4" w:space="0" w:color="auto"/>
              <w:bottom w:val="single" w:sz="6" w:space="0" w:color="auto"/>
              <w:right w:val="single" w:sz="4" w:space="0" w:color="auto"/>
            </w:tcBorders>
            <w:vAlign w:val="center"/>
          </w:tcPr>
          <w:p w14:paraId="61E54615" w14:textId="77777777" w:rsidR="0073248D" w:rsidRPr="00306A03" w:rsidRDefault="000F5B51" w:rsidP="0073248D">
            <w:pPr>
              <w:spacing w:after="0" w:line="240" w:lineRule="auto"/>
              <w:jc w:val="center"/>
              <w:textAlignment w:val="baseline"/>
              <w:rPr>
                <w:rFonts w:eastAsia="Times New Roman" w:cs="Times New Roman"/>
                <w:color w:val="000000"/>
                <w:szCs w:val="24"/>
              </w:rPr>
            </w:pPr>
            <w:r>
              <w:rPr>
                <w:rFonts w:eastAsia="Times New Roman" w:cs="Times New Roman"/>
                <w:szCs w:val="24"/>
              </w:rPr>
              <w:t>0.2677 </w:t>
            </w:r>
          </w:p>
        </w:tc>
        <w:tc>
          <w:tcPr>
            <w:tcW w:w="1952" w:type="dxa"/>
            <w:tcBorders>
              <w:top w:val="nil"/>
              <w:left w:val="single" w:sz="4" w:space="0" w:color="auto"/>
              <w:bottom w:val="single" w:sz="6" w:space="0" w:color="auto"/>
              <w:right w:val="single" w:sz="4" w:space="0" w:color="auto"/>
            </w:tcBorders>
            <w:vAlign w:val="bottom"/>
          </w:tcPr>
          <w:p w14:paraId="33BE7A48" w14:textId="77777777" w:rsidR="0073248D" w:rsidRDefault="000F5B51" w:rsidP="0073248D">
            <w:pPr>
              <w:spacing w:after="0" w:line="240" w:lineRule="auto"/>
              <w:jc w:val="center"/>
              <w:textAlignment w:val="baseline"/>
              <w:rPr>
                <w:rFonts w:eastAsia="Times New Roman" w:cs="Times New Roman"/>
                <w:szCs w:val="24"/>
              </w:rPr>
            </w:pPr>
            <w:r w:rsidRPr="00306A03">
              <w:rPr>
                <w:rFonts w:eastAsia="Times New Roman" w:cs="Times New Roman"/>
                <w:color w:val="000000"/>
                <w:szCs w:val="24"/>
              </w:rPr>
              <w:t xml:space="preserve">$3,215,701 </w:t>
            </w:r>
          </w:p>
        </w:tc>
      </w:tr>
      <w:tr w:rsidR="00A15C2C" w14:paraId="28919361" w14:textId="77777777" w:rsidTr="004B5470">
        <w:trPr>
          <w:trHeight w:val="270"/>
          <w:jc w:val="center"/>
        </w:trPr>
        <w:tc>
          <w:tcPr>
            <w:tcW w:w="1943" w:type="dxa"/>
            <w:tcBorders>
              <w:top w:val="nil"/>
              <w:left w:val="single" w:sz="6" w:space="0" w:color="auto"/>
              <w:bottom w:val="single" w:sz="6" w:space="0" w:color="auto"/>
              <w:right w:val="single" w:sz="6" w:space="0" w:color="auto"/>
            </w:tcBorders>
            <w:hideMark/>
          </w:tcPr>
          <w:p w14:paraId="3ABAD366" w14:textId="77777777" w:rsidR="0073248D" w:rsidRDefault="000F5B51" w:rsidP="0073248D">
            <w:pPr>
              <w:spacing w:after="0" w:line="240" w:lineRule="auto"/>
              <w:jc w:val="center"/>
              <w:textAlignment w:val="baseline"/>
              <w:rPr>
                <w:rFonts w:eastAsia="Times New Roman" w:cs="Times New Roman"/>
                <w:szCs w:val="24"/>
              </w:rPr>
            </w:pPr>
            <w:r>
              <w:rPr>
                <w:rFonts w:eastAsia="Times New Roman" w:cs="Times New Roman"/>
                <w:szCs w:val="24"/>
              </w:rPr>
              <w:t>MAIS 5 </w:t>
            </w:r>
          </w:p>
        </w:tc>
        <w:tc>
          <w:tcPr>
            <w:tcW w:w="1978" w:type="dxa"/>
            <w:tcBorders>
              <w:top w:val="nil"/>
              <w:left w:val="nil"/>
              <w:bottom w:val="single" w:sz="6" w:space="0" w:color="auto"/>
              <w:right w:val="single" w:sz="6" w:space="0" w:color="auto"/>
            </w:tcBorders>
            <w:vAlign w:val="center"/>
            <w:hideMark/>
          </w:tcPr>
          <w:p w14:paraId="2C4CB19E" w14:textId="77777777" w:rsidR="0073248D" w:rsidRDefault="000F5B51" w:rsidP="0073248D">
            <w:pPr>
              <w:spacing w:after="0" w:line="240" w:lineRule="auto"/>
              <w:jc w:val="center"/>
              <w:textAlignment w:val="baseline"/>
              <w:rPr>
                <w:rFonts w:eastAsia="Times New Roman" w:cs="Times New Roman"/>
                <w:szCs w:val="24"/>
              </w:rPr>
            </w:pPr>
            <w:r>
              <w:rPr>
                <w:rFonts w:eastAsia="Times New Roman" w:cs="Times New Roman"/>
                <w:szCs w:val="24"/>
              </w:rPr>
              <w:t>Critical </w:t>
            </w:r>
          </w:p>
        </w:tc>
        <w:tc>
          <w:tcPr>
            <w:tcW w:w="1952" w:type="dxa"/>
            <w:tcBorders>
              <w:top w:val="nil"/>
              <w:left w:val="single" w:sz="4" w:space="0" w:color="auto"/>
              <w:bottom w:val="single" w:sz="6" w:space="0" w:color="auto"/>
              <w:right w:val="single" w:sz="4" w:space="0" w:color="auto"/>
            </w:tcBorders>
            <w:vAlign w:val="center"/>
          </w:tcPr>
          <w:p w14:paraId="1546D1C5" w14:textId="77777777" w:rsidR="0073248D" w:rsidRPr="00306A03" w:rsidRDefault="000F5B51" w:rsidP="0073248D">
            <w:pPr>
              <w:spacing w:after="0" w:line="240" w:lineRule="auto"/>
              <w:jc w:val="center"/>
              <w:textAlignment w:val="baseline"/>
              <w:rPr>
                <w:rFonts w:eastAsia="Times New Roman" w:cs="Times New Roman"/>
                <w:color w:val="000000"/>
                <w:szCs w:val="24"/>
              </w:rPr>
            </w:pPr>
            <w:r>
              <w:rPr>
                <w:rFonts w:eastAsia="Times New Roman" w:cs="Times New Roman"/>
                <w:szCs w:val="24"/>
              </w:rPr>
              <w:t>0.6125 </w:t>
            </w:r>
          </w:p>
        </w:tc>
        <w:tc>
          <w:tcPr>
            <w:tcW w:w="1952" w:type="dxa"/>
            <w:tcBorders>
              <w:top w:val="nil"/>
              <w:left w:val="single" w:sz="4" w:space="0" w:color="auto"/>
              <w:bottom w:val="single" w:sz="6" w:space="0" w:color="auto"/>
              <w:right w:val="single" w:sz="4" w:space="0" w:color="auto"/>
            </w:tcBorders>
            <w:vAlign w:val="bottom"/>
          </w:tcPr>
          <w:p w14:paraId="58EA1E19" w14:textId="77777777" w:rsidR="0073248D" w:rsidRDefault="000F5B51" w:rsidP="0073248D">
            <w:pPr>
              <w:spacing w:after="0" w:line="240" w:lineRule="auto"/>
              <w:jc w:val="center"/>
              <w:textAlignment w:val="baseline"/>
              <w:rPr>
                <w:rFonts w:eastAsia="Times New Roman" w:cs="Times New Roman"/>
                <w:szCs w:val="24"/>
              </w:rPr>
            </w:pPr>
            <w:r w:rsidRPr="00306A03">
              <w:rPr>
                <w:rFonts w:eastAsia="Times New Roman" w:cs="Times New Roman"/>
                <w:color w:val="000000"/>
                <w:szCs w:val="24"/>
              </w:rPr>
              <w:t xml:space="preserve">$7,327,043 </w:t>
            </w:r>
          </w:p>
        </w:tc>
      </w:tr>
      <w:tr w:rsidR="00A15C2C" w14:paraId="074609CF" w14:textId="77777777" w:rsidTr="004B5470">
        <w:trPr>
          <w:trHeight w:val="270"/>
          <w:jc w:val="center"/>
        </w:trPr>
        <w:tc>
          <w:tcPr>
            <w:tcW w:w="1943" w:type="dxa"/>
            <w:tcBorders>
              <w:top w:val="nil"/>
              <w:left w:val="single" w:sz="6" w:space="0" w:color="auto"/>
              <w:bottom w:val="single" w:sz="6" w:space="0" w:color="auto"/>
              <w:right w:val="single" w:sz="6" w:space="0" w:color="auto"/>
            </w:tcBorders>
            <w:hideMark/>
          </w:tcPr>
          <w:p w14:paraId="73CFB219" w14:textId="77777777" w:rsidR="0073248D" w:rsidRDefault="000F5B51" w:rsidP="0073248D">
            <w:pPr>
              <w:spacing w:after="0" w:line="240" w:lineRule="auto"/>
              <w:jc w:val="center"/>
              <w:textAlignment w:val="baseline"/>
              <w:rPr>
                <w:rFonts w:eastAsia="Times New Roman" w:cs="Times New Roman"/>
                <w:szCs w:val="24"/>
              </w:rPr>
            </w:pPr>
            <w:r>
              <w:rPr>
                <w:rFonts w:eastAsia="Times New Roman" w:cs="Times New Roman"/>
                <w:szCs w:val="24"/>
              </w:rPr>
              <w:t>MAIS 6 </w:t>
            </w:r>
          </w:p>
        </w:tc>
        <w:tc>
          <w:tcPr>
            <w:tcW w:w="1978" w:type="dxa"/>
            <w:tcBorders>
              <w:top w:val="nil"/>
              <w:left w:val="nil"/>
              <w:bottom w:val="single" w:sz="6" w:space="0" w:color="auto"/>
              <w:right w:val="single" w:sz="6" w:space="0" w:color="auto"/>
            </w:tcBorders>
            <w:vAlign w:val="center"/>
            <w:hideMark/>
          </w:tcPr>
          <w:p w14:paraId="01F05C53" w14:textId="77777777" w:rsidR="0073248D" w:rsidRDefault="000F5B51" w:rsidP="0073248D">
            <w:pPr>
              <w:spacing w:after="0" w:line="240" w:lineRule="auto"/>
              <w:jc w:val="center"/>
              <w:textAlignment w:val="baseline"/>
              <w:rPr>
                <w:rFonts w:eastAsia="Times New Roman" w:cs="Times New Roman"/>
                <w:szCs w:val="24"/>
              </w:rPr>
            </w:pPr>
            <w:r>
              <w:rPr>
                <w:rFonts w:eastAsia="Times New Roman" w:cs="Times New Roman"/>
                <w:szCs w:val="24"/>
              </w:rPr>
              <w:t>Unsurvivable </w:t>
            </w:r>
          </w:p>
        </w:tc>
        <w:tc>
          <w:tcPr>
            <w:tcW w:w="1952" w:type="dxa"/>
            <w:tcBorders>
              <w:top w:val="nil"/>
              <w:left w:val="single" w:sz="4" w:space="0" w:color="auto"/>
              <w:bottom w:val="single" w:sz="6" w:space="0" w:color="auto"/>
              <w:right w:val="single" w:sz="4" w:space="0" w:color="auto"/>
            </w:tcBorders>
            <w:vAlign w:val="center"/>
          </w:tcPr>
          <w:p w14:paraId="7D129DB6" w14:textId="77777777" w:rsidR="0073248D" w:rsidRPr="00306A03" w:rsidRDefault="000F5B51" w:rsidP="0073248D">
            <w:pPr>
              <w:spacing w:after="0" w:line="240" w:lineRule="auto"/>
              <w:jc w:val="center"/>
              <w:textAlignment w:val="baseline"/>
              <w:rPr>
                <w:rFonts w:eastAsia="Times New Roman" w:cs="Times New Roman"/>
                <w:color w:val="000000"/>
                <w:szCs w:val="24"/>
              </w:rPr>
            </w:pPr>
            <w:r>
              <w:rPr>
                <w:rFonts w:eastAsia="Times New Roman" w:cs="Times New Roman"/>
                <w:szCs w:val="24"/>
              </w:rPr>
              <w:t>1.000 </w:t>
            </w:r>
          </w:p>
        </w:tc>
        <w:tc>
          <w:tcPr>
            <w:tcW w:w="1952" w:type="dxa"/>
            <w:tcBorders>
              <w:top w:val="nil"/>
              <w:left w:val="single" w:sz="4" w:space="0" w:color="auto"/>
              <w:bottom w:val="single" w:sz="6" w:space="0" w:color="auto"/>
              <w:right w:val="single" w:sz="4" w:space="0" w:color="auto"/>
            </w:tcBorders>
            <w:vAlign w:val="bottom"/>
          </w:tcPr>
          <w:p w14:paraId="4E394CD9" w14:textId="77777777" w:rsidR="0073248D" w:rsidRDefault="000F5B51" w:rsidP="0073248D">
            <w:pPr>
              <w:spacing w:after="0" w:line="240" w:lineRule="auto"/>
              <w:jc w:val="center"/>
              <w:textAlignment w:val="baseline"/>
              <w:rPr>
                <w:rFonts w:eastAsia="Times New Roman" w:cs="Times New Roman"/>
                <w:szCs w:val="24"/>
              </w:rPr>
            </w:pPr>
            <w:r w:rsidRPr="00306A03">
              <w:rPr>
                <w:rFonts w:eastAsia="Times New Roman" w:cs="Times New Roman"/>
                <w:color w:val="000000"/>
                <w:szCs w:val="24"/>
              </w:rPr>
              <w:t xml:space="preserve">$11,950,834 </w:t>
            </w:r>
          </w:p>
        </w:tc>
      </w:tr>
    </w:tbl>
    <w:p w14:paraId="24F31009" w14:textId="77777777" w:rsidR="007C33A7" w:rsidRDefault="007C33A7" w:rsidP="00CC65F7">
      <w:pPr>
        <w:pStyle w:val="NoSpaceTimes"/>
      </w:pPr>
    </w:p>
    <w:p w14:paraId="1BBAE7D6" w14:textId="77777777" w:rsidR="007C33A7" w:rsidRDefault="000F5B51" w:rsidP="007C33A7">
      <w:pPr>
        <w:spacing w:after="0"/>
        <w:textAlignment w:val="baseline"/>
        <w:rPr>
          <w:rFonts w:eastAsia="Times New Roman" w:cs="Times New Roman"/>
          <w:szCs w:val="24"/>
        </w:rPr>
      </w:pPr>
      <w:r>
        <w:rPr>
          <w:rFonts w:eastAsia="Times New Roman" w:cs="Times New Roman"/>
          <w:szCs w:val="24"/>
        </w:rPr>
        <w:t>Furthermore, both cost-effectiveness and benefit-cost analyses must account for the timing in which impacts are realized</w:t>
      </w:r>
      <w:r w:rsidR="001F2F92">
        <w:rPr>
          <w:rFonts w:eastAsia="Times New Roman" w:cs="Times New Roman"/>
          <w:szCs w:val="24"/>
        </w:rPr>
        <w:t xml:space="preserve">. </w:t>
      </w:r>
      <w:r>
        <w:rPr>
          <w:rFonts w:eastAsia="Times New Roman" w:cs="Times New Roman"/>
          <w:szCs w:val="24"/>
        </w:rPr>
        <w:t>That is, these analyses must consider impacts in the present as well as those in all relevant future years</w:t>
      </w:r>
      <w:r w:rsidR="001F2F92">
        <w:rPr>
          <w:rFonts w:eastAsia="Times New Roman" w:cs="Times New Roman"/>
          <w:szCs w:val="24"/>
        </w:rPr>
        <w:t xml:space="preserve">. </w:t>
      </w:r>
      <w:r>
        <w:rPr>
          <w:rFonts w:eastAsia="Times New Roman" w:cs="Times New Roman"/>
          <w:szCs w:val="24"/>
        </w:rPr>
        <w:t>To account for the greater value of impacts occurring in the present relative to those occurring further in the future, future impacts are discounted so that all values are represented as present values</w:t>
      </w:r>
      <w:r w:rsidR="001F2F92">
        <w:rPr>
          <w:rFonts w:eastAsia="Times New Roman" w:cs="Times New Roman"/>
          <w:szCs w:val="24"/>
        </w:rPr>
        <w:t xml:space="preserve">. </w:t>
      </w:r>
      <w:r>
        <w:rPr>
          <w:rFonts w:eastAsia="Times New Roman" w:cs="Times New Roman"/>
          <w:szCs w:val="24"/>
        </w:rPr>
        <w:t>Consistent with the Office of Management and Budget’s (OMB) guidance, these analyses use discount rates of three and seven percent.</w:t>
      </w:r>
      <w:r>
        <w:rPr>
          <w:rStyle w:val="FootnoteReference"/>
          <w:rFonts w:eastAsia="Times New Roman" w:cs="Times New Roman"/>
          <w:szCs w:val="24"/>
        </w:rPr>
        <w:footnoteReference w:id="72"/>
      </w:r>
    </w:p>
    <w:p w14:paraId="6C5CC9EA" w14:textId="71122923" w:rsidR="007C33A7" w:rsidRDefault="000F5B51" w:rsidP="00CC65F7">
      <w:r>
        <w:fldChar w:fldCharType="begin"/>
      </w:r>
      <w:r>
        <w:instrText xml:space="preserve"> REF _Ref126230753 \h </w:instrText>
      </w:r>
      <w:r w:rsidR="00C716D6">
        <w:instrText xml:space="preserve"> \* MERGEFORMAT </w:instrText>
      </w:r>
      <w:r>
        <w:fldChar w:fldCharType="separate"/>
      </w:r>
      <w:r w:rsidR="00A65CB3">
        <w:t xml:space="preserve">Table </w:t>
      </w:r>
      <w:r w:rsidR="00A65CB3">
        <w:rPr>
          <w:noProof/>
        </w:rPr>
        <w:t>66</w:t>
      </w:r>
      <w:r>
        <w:fldChar w:fldCharType="end"/>
      </w:r>
      <w:r w:rsidR="003378CC">
        <w:t xml:space="preserve"> presents the discount factor for both passenger cars and LTVs by discount rate (see</w:t>
      </w:r>
      <w:r w:rsidR="000773B3">
        <w:t xml:space="preserve"> </w:t>
      </w:r>
      <w:r w:rsidR="00432BF7">
        <w:fldChar w:fldCharType="begin"/>
      </w:r>
      <w:r w:rsidR="00432BF7">
        <w:instrText xml:space="preserve"> REF _Ref127515607 \h </w:instrText>
      </w:r>
      <w:r w:rsidR="00432BF7">
        <w:fldChar w:fldCharType="separate"/>
      </w:r>
      <w:r w:rsidR="00A65CB3">
        <w:t>Appendix A</w:t>
      </w:r>
      <w:r w:rsidR="00432BF7">
        <w:fldChar w:fldCharType="end"/>
      </w:r>
      <w:r w:rsidR="00432BF7">
        <w:t xml:space="preserve"> </w:t>
      </w:r>
      <w:r w:rsidR="003378CC">
        <w:t>for details)</w:t>
      </w:r>
      <w:r w:rsidR="001F2F92">
        <w:t xml:space="preserve">. </w:t>
      </w:r>
      <w:r w:rsidR="00F177CC">
        <w:t xml:space="preserve">For passenger cars, </w:t>
      </w:r>
      <w:r w:rsidR="00D47765">
        <w:t>the discount factor is 0.8354 and 0.6816 for a three and seven percent discount rate, respectively</w:t>
      </w:r>
      <w:r w:rsidR="001F2F92">
        <w:t xml:space="preserve">. </w:t>
      </w:r>
      <w:r w:rsidR="00D47765">
        <w:t>For LTVs, the</w:t>
      </w:r>
      <w:r w:rsidR="00D47765" w:rsidRPr="00D47765">
        <w:t xml:space="preserve"> </w:t>
      </w:r>
      <w:r w:rsidR="00D47765">
        <w:t xml:space="preserve">discount factor is </w:t>
      </w:r>
      <w:r w:rsidR="005B368C">
        <w:t>0.8216</w:t>
      </w:r>
      <w:r w:rsidR="00D47765">
        <w:t xml:space="preserve"> and 0.6</w:t>
      </w:r>
      <w:r w:rsidR="005B368C">
        <w:t>626</w:t>
      </w:r>
      <w:r w:rsidR="00D47765">
        <w:t xml:space="preserve"> for a three and seven percent discount rate, respectively.</w:t>
      </w:r>
    </w:p>
    <w:p w14:paraId="2E451357" w14:textId="7FFFB285" w:rsidR="00F1151E" w:rsidRDefault="00F1151E" w:rsidP="00CC65F7"/>
    <w:p w14:paraId="0F709347" w14:textId="77777777" w:rsidR="00F1151E" w:rsidRDefault="00F1151E" w:rsidP="00CC65F7"/>
    <w:p w14:paraId="3EBB19A8" w14:textId="1F427F2E" w:rsidR="007C33A7" w:rsidRPr="00C27242" w:rsidRDefault="000F5B51" w:rsidP="007C33A7">
      <w:pPr>
        <w:pStyle w:val="Caption"/>
      </w:pPr>
      <w:bookmarkStart w:id="1333" w:name="_Ref126230753"/>
      <w:r>
        <w:lastRenderedPageBreak/>
        <w:t xml:space="preserve">Table </w:t>
      </w:r>
      <w:r w:rsidR="00115BAB">
        <w:fldChar w:fldCharType="begin"/>
      </w:r>
      <w:r>
        <w:instrText xml:space="preserve"> SEQ Table \* ARABIC </w:instrText>
      </w:r>
      <w:r w:rsidR="00115BAB">
        <w:fldChar w:fldCharType="separate"/>
      </w:r>
      <w:r w:rsidR="00A65CB3">
        <w:rPr>
          <w:noProof/>
        </w:rPr>
        <w:t>66</w:t>
      </w:r>
      <w:r w:rsidR="00115BAB">
        <w:rPr>
          <w:noProof/>
        </w:rPr>
        <w:fldChar w:fldCharType="end"/>
      </w:r>
      <w:bookmarkEnd w:id="1333"/>
      <w:r>
        <w:t xml:space="preserve">: </w:t>
      </w:r>
      <w:r w:rsidRPr="00283AC4">
        <w:t>Discount Factor by Discount Rate and Vehicle Type</w:t>
      </w:r>
    </w:p>
    <w:tbl>
      <w:tblPr>
        <w:tblW w:w="3977" w:type="dxa"/>
        <w:jc w:val="center"/>
        <w:tblLook w:val="04A0" w:firstRow="1" w:lastRow="0" w:firstColumn="1" w:lastColumn="0" w:noHBand="0" w:noVBand="1"/>
      </w:tblPr>
      <w:tblGrid>
        <w:gridCol w:w="1975"/>
        <w:gridCol w:w="1001"/>
        <w:gridCol w:w="1001"/>
      </w:tblGrid>
      <w:tr w:rsidR="00A15C2C" w14:paraId="15ADADE0" w14:textId="77777777" w:rsidTr="00CC65F7">
        <w:trPr>
          <w:trHeight w:val="375"/>
          <w:jc w:val="center"/>
        </w:trPr>
        <w:tc>
          <w:tcPr>
            <w:tcW w:w="1975" w:type="dxa"/>
            <w:vMerge w:val="restart"/>
            <w:tcBorders>
              <w:top w:val="single" w:sz="4" w:space="0" w:color="auto"/>
              <w:left w:val="single" w:sz="4" w:space="0" w:color="auto"/>
              <w:right w:val="nil"/>
            </w:tcBorders>
            <w:shd w:val="clear" w:color="auto" w:fill="D9D9D9" w:themeFill="background1" w:themeFillShade="D9"/>
            <w:noWrap/>
            <w:vAlign w:val="center"/>
          </w:tcPr>
          <w:p w14:paraId="2AD4216B" w14:textId="77777777" w:rsidR="00BF5259" w:rsidRPr="00B144D9" w:rsidRDefault="000F5B51" w:rsidP="00CC65F7">
            <w:pPr>
              <w:keepNext/>
              <w:spacing w:after="0" w:line="240" w:lineRule="auto"/>
              <w:rPr>
                <w:rFonts w:eastAsia="Times New Roman" w:cs="Times New Roman"/>
                <w:b/>
                <w:bCs/>
                <w:szCs w:val="24"/>
              </w:rPr>
            </w:pPr>
            <w:r w:rsidRPr="00B144D9">
              <w:rPr>
                <w:rFonts w:eastAsia="Times New Roman" w:cs="Times New Roman"/>
                <w:b/>
                <w:bCs/>
                <w:szCs w:val="24"/>
              </w:rPr>
              <w:t>Vehicle Type</w:t>
            </w:r>
          </w:p>
        </w:tc>
        <w:tc>
          <w:tcPr>
            <w:tcW w:w="2002" w:type="dxa"/>
            <w:gridSpan w:val="2"/>
            <w:tcBorders>
              <w:top w:val="single" w:sz="4" w:space="0" w:color="3F3F3F"/>
              <w:left w:val="single" w:sz="4" w:space="0" w:color="3F3F3F"/>
              <w:bottom w:val="single" w:sz="4" w:space="0" w:color="3F3F3F"/>
              <w:right w:val="single" w:sz="4" w:space="0" w:color="3F3F3F"/>
            </w:tcBorders>
            <w:shd w:val="clear" w:color="auto" w:fill="D9D9D9" w:themeFill="background1" w:themeFillShade="D9"/>
            <w:noWrap/>
            <w:vAlign w:val="center"/>
          </w:tcPr>
          <w:p w14:paraId="2712C21E" w14:textId="77777777" w:rsidR="00BF5259" w:rsidRPr="00035137" w:rsidRDefault="000F5B51">
            <w:pPr>
              <w:keepNext/>
              <w:spacing w:after="0" w:line="240" w:lineRule="auto"/>
              <w:jc w:val="center"/>
              <w:rPr>
                <w:rFonts w:eastAsia="Times New Roman" w:cs="Times New Roman"/>
                <w:b/>
                <w:bCs/>
                <w:szCs w:val="24"/>
              </w:rPr>
            </w:pPr>
            <w:r>
              <w:rPr>
                <w:rFonts w:eastAsia="Times New Roman" w:cs="Times New Roman"/>
                <w:b/>
                <w:bCs/>
                <w:szCs w:val="24"/>
              </w:rPr>
              <w:t>Discount Rate</w:t>
            </w:r>
          </w:p>
        </w:tc>
      </w:tr>
      <w:tr w:rsidR="00A15C2C" w14:paraId="74097C73" w14:textId="77777777" w:rsidTr="00CC65F7">
        <w:trPr>
          <w:trHeight w:val="375"/>
          <w:jc w:val="center"/>
        </w:trPr>
        <w:tc>
          <w:tcPr>
            <w:tcW w:w="1975" w:type="dxa"/>
            <w:vMerge/>
            <w:tcBorders>
              <w:left w:val="single" w:sz="4" w:space="0" w:color="auto"/>
              <w:bottom w:val="single" w:sz="4" w:space="0" w:color="8EA9DB"/>
              <w:right w:val="nil"/>
            </w:tcBorders>
            <w:shd w:val="clear" w:color="auto" w:fill="D9D9D9" w:themeFill="background1" w:themeFillShade="D9"/>
            <w:noWrap/>
            <w:vAlign w:val="bottom"/>
            <w:hideMark/>
          </w:tcPr>
          <w:p w14:paraId="42F42DF6" w14:textId="77777777" w:rsidR="00BF5259" w:rsidRPr="00B144D9" w:rsidRDefault="00BF5259" w:rsidP="003C04C4">
            <w:pPr>
              <w:keepNext/>
              <w:spacing w:after="0" w:line="240" w:lineRule="auto"/>
              <w:jc w:val="center"/>
              <w:rPr>
                <w:rFonts w:eastAsia="Times New Roman" w:cs="Times New Roman"/>
                <w:b/>
                <w:bCs/>
                <w:szCs w:val="24"/>
              </w:rPr>
            </w:pPr>
          </w:p>
        </w:tc>
        <w:tc>
          <w:tcPr>
            <w:tcW w:w="1001" w:type="dxa"/>
            <w:tcBorders>
              <w:top w:val="single" w:sz="4" w:space="0" w:color="3F3F3F"/>
              <w:left w:val="single" w:sz="4" w:space="0" w:color="3F3F3F"/>
              <w:bottom w:val="single" w:sz="4" w:space="0" w:color="3F3F3F"/>
              <w:right w:val="single" w:sz="4" w:space="0" w:color="3F3F3F"/>
            </w:tcBorders>
            <w:shd w:val="clear" w:color="auto" w:fill="D9D9D9" w:themeFill="background1" w:themeFillShade="D9"/>
            <w:noWrap/>
            <w:vAlign w:val="center"/>
            <w:hideMark/>
          </w:tcPr>
          <w:p w14:paraId="2C940A10" w14:textId="77777777" w:rsidR="00BF5259" w:rsidRPr="00C97862" w:rsidRDefault="000F5B51">
            <w:pPr>
              <w:keepNext/>
              <w:spacing w:after="0" w:line="240" w:lineRule="auto"/>
              <w:jc w:val="center"/>
              <w:rPr>
                <w:rFonts w:eastAsia="Times New Roman" w:cs="Times New Roman"/>
                <w:b/>
                <w:bCs/>
                <w:szCs w:val="24"/>
              </w:rPr>
            </w:pPr>
            <w:r w:rsidRPr="00C97862">
              <w:rPr>
                <w:rFonts w:eastAsia="Times New Roman" w:cs="Times New Roman"/>
                <w:b/>
                <w:bCs/>
                <w:szCs w:val="24"/>
              </w:rPr>
              <w:t>3%</w:t>
            </w:r>
          </w:p>
        </w:tc>
        <w:tc>
          <w:tcPr>
            <w:tcW w:w="1001" w:type="dxa"/>
            <w:tcBorders>
              <w:top w:val="single" w:sz="4" w:space="0" w:color="3F3F3F"/>
              <w:left w:val="single" w:sz="4" w:space="0" w:color="3F3F3F"/>
              <w:bottom w:val="single" w:sz="4" w:space="0" w:color="3F3F3F"/>
              <w:right w:val="single" w:sz="4" w:space="0" w:color="3F3F3F"/>
            </w:tcBorders>
            <w:shd w:val="clear" w:color="auto" w:fill="D9D9D9" w:themeFill="background1" w:themeFillShade="D9"/>
            <w:noWrap/>
            <w:vAlign w:val="center"/>
            <w:hideMark/>
          </w:tcPr>
          <w:p w14:paraId="4652DD88" w14:textId="77777777" w:rsidR="00BF5259" w:rsidRPr="00035137" w:rsidRDefault="000F5B51">
            <w:pPr>
              <w:keepNext/>
              <w:spacing w:after="0" w:line="240" w:lineRule="auto"/>
              <w:jc w:val="center"/>
              <w:rPr>
                <w:rFonts w:eastAsia="Times New Roman" w:cs="Times New Roman"/>
                <w:b/>
                <w:bCs/>
                <w:szCs w:val="24"/>
              </w:rPr>
            </w:pPr>
            <w:r w:rsidRPr="00035137">
              <w:rPr>
                <w:rFonts w:eastAsia="Times New Roman" w:cs="Times New Roman"/>
                <w:b/>
                <w:bCs/>
                <w:szCs w:val="24"/>
              </w:rPr>
              <w:t>7%</w:t>
            </w:r>
          </w:p>
        </w:tc>
      </w:tr>
      <w:tr w:rsidR="00A15C2C" w14:paraId="6AE3F489" w14:textId="77777777" w:rsidTr="00CC65F7">
        <w:trPr>
          <w:trHeight w:val="375"/>
          <w:jc w:val="center"/>
        </w:trPr>
        <w:tc>
          <w:tcPr>
            <w:tcW w:w="1975"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2AF84403" w14:textId="77777777" w:rsidR="007C33A7" w:rsidRPr="00B144D9" w:rsidRDefault="000F5B51">
            <w:pPr>
              <w:keepNext/>
              <w:spacing w:after="0" w:line="240" w:lineRule="auto"/>
              <w:rPr>
                <w:rFonts w:eastAsia="Times New Roman" w:cs="Times New Roman"/>
                <w:bCs/>
                <w:szCs w:val="24"/>
              </w:rPr>
            </w:pPr>
            <w:r w:rsidRPr="00B144D9">
              <w:rPr>
                <w:rFonts w:eastAsia="Times New Roman" w:cs="Times New Roman"/>
                <w:bCs/>
                <w:szCs w:val="24"/>
              </w:rPr>
              <w:t>Passenger Car</w:t>
            </w:r>
          </w:p>
        </w:tc>
        <w:tc>
          <w:tcPr>
            <w:tcW w:w="1001"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1155E0DD" w14:textId="77777777" w:rsidR="007C33A7" w:rsidRPr="00B144D9" w:rsidRDefault="000F5B51" w:rsidP="00CC65F7">
            <w:pPr>
              <w:keepNext/>
              <w:spacing w:after="0" w:line="240" w:lineRule="auto"/>
              <w:jc w:val="center"/>
              <w:rPr>
                <w:rFonts w:eastAsia="Times New Roman" w:cs="Times New Roman"/>
                <w:bCs/>
                <w:szCs w:val="24"/>
              </w:rPr>
            </w:pPr>
            <w:r w:rsidRPr="00B144D9">
              <w:rPr>
                <w:rFonts w:eastAsia="Times New Roman" w:cs="Times New Roman"/>
                <w:bCs/>
                <w:szCs w:val="24"/>
              </w:rPr>
              <w:t>0.8354</w:t>
            </w:r>
          </w:p>
        </w:tc>
        <w:tc>
          <w:tcPr>
            <w:tcW w:w="1001"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26A0337C" w14:textId="77777777" w:rsidR="007C33A7" w:rsidRPr="00B144D9" w:rsidRDefault="000F5B51" w:rsidP="00CC65F7">
            <w:pPr>
              <w:keepNext/>
              <w:spacing w:after="0" w:line="240" w:lineRule="auto"/>
              <w:jc w:val="center"/>
              <w:rPr>
                <w:rFonts w:eastAsia="Times New Roman" w:cs="Times New Roman"/>
                <w:bCs/>
                <w:szCs w:val="24"/>
              </w:rPr>
            </w:pPr>
            <w:r w:rsidRPr="00B144D9">
              <w:rPr>
                <w:rFonts w:eastAsia="Times New Roman" w:cs="Times New Roman"/>
                <w:bCs/>
                <w:szCs w:val="24"/>
              </w:rPr>
              <w:t>0.6816</w:t>
            </w:r>
          </w:p>
        </w:tc>
      </w:tr>
      <w:tr w:rsidR="00A15C2C" w14:paraId="1AEF3D62" w14:textId="77777777" w:rsidTr="00CC65F7">
        <w:trPr>
          <w:trHeight w:val="375"/>
          <w:jc w:val="center"/>
        </w:trPr>
        <w:tc>
          <w:tcPr>
            <w:tcW w:w="1975"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46291977" w14:textId="77777777" w:rsidR="007C33A7" w:rsidRPr="00B144D9" w:rsidRDefault="000F5B51">
            <w:pPr>
              <w:keepNext/>
              <w:spacing w:after="0" w:line="240" w:lineRule="auto"/>
              <w:rPr>
                <w:rFonts w:eastAsia="Times New Roman" w:cs="Times New Roman"/>
                <w:bCs/>
                <w:szCs w:val="24"/>
              </w:rPr>
            </w:pPr>
            <w:r w:rsidRPr="00B144D9">
              <w:rPr>
                <w:rFonts w:eastAsia="Times New Roman" w:cs="Times New Roman"/>
                <w:bCs/>
                <w:szCs w:val="24"/>
              </w:rPr>
              <w:t>Light Truck</w:t>
            </w:r>
          </w:p>
        </w:tc>
        <w:tc>
          <w:tcPr>
            <w:tcW w:w="1001"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31C2C113" w14:textId="77777777" w:rsidR="007C33A7" w:rsidRPr="00B144D9" w:rsidRDefault="000F5B51" w:rsidP="00CC65F7">
            <w:pPr>
              <w:keepNext/>
              <w:spacing w:after="0" w:line="240" w:lineRule="auto"/>
              <w:jc w:val="center"/>
              <w:rPr>
                <w:rFonts w:eastAsia="Times New Roman" w:cs="Times New Roman"/>
                <w:bCs/>
                <w:szCs w:val="24"/>
              </w:rPr>
            </w:pPr>
            <w:r w:rsidRPr="00B144D9">
              <w:rPr>
                <w:rFonts w:eastAsia="Times New Roman" w:cs="Times New Roman"/>
                <w:bCs/>
                <w:szCs w:val="24"/>
              </w:rPr>
              <w:t>0.8216</w:t>
            </w:r>
          </w:p>
        </w:tc>
        <w:tc>
          <w:tcPr>
            <w:tcW w:w="1001"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1775BD63" w14:textId="77777777" w:rsidR="007C33A7" w:rsidRPr="00B144D9" w:rsidRDefault="000F5B51" w:rsidP="00CC65F7">
            <w:pPr>
              <w:keepNext/>
              <w:spacing w:after="0" w:line="240" w:lineRule="auto"/>
              <w:jc w:val="center"/>
              <w:rPr>
                <w:rFonts w:eastAsia="Times New Roman" w:cs="Times New Roman"/>
                <w:bCs/>
                <w:szCs w:val="24"/>
              </w:rPr>
            </w:pPr>
            <w:r w:rsidRPr="00B144D9">
              <w:rPr>
                <w:rFonts w:eastAsia="Times New Roman" w:cs="Times New Roman"/>
                <w:bCs/>
                <w:szCs w:val="24"/>
              </w:rPr>
              <w:t>0.6626</w:t>
            </w:r>
          </w:p>
        </w:tc>
      </w:tr>
    </w:tbl>
    <w:p w14:paraId="671297D7" w14:textId="77777777" w:rsidR="003549D6" w:rsidRDefault="003549D6" w:rsidP="00CC65F7">
      <w:pPr>
        <w:pStyle w:val="NoSpaceTimes"/>
      </w:pPr>
    </w:p>
    <w:p w14:paraId="4F57F8A2" w14:textId="77777777" w:rsidR="000E3C3D" w:rsidRDefault="000F5B51" w:rsidP="000E3C3D">
      <w:pPr>
        <w:rPr>
          <w:rFonts w:eastAsia="Times New Roman" w:cs="Times New Roman"/>
          <w:szCs w:val="24"/>
        </w:rPr>
      </w:pPr>
      <w:r>
        <w:rPr>
          <w:rFonts w:eastAsia="Times New Roman" w:cs="Times New Roman"/>
          <w:szCs w:val="24"/>
        </w:rPr>
        <w:t>The following sections detail the measures employed in the cost-effectiveness and benefit-cost analyses</w:t>
      </w:r>
      <w:r w:rsidR="001F2F92">
        <w:rPr>
          <w:rFonts w:eastAsia="Times New Roman" w:cs="Times New Roman"/>
          <w:szCs w:val="24"/>
        </w:rPr>
        <w:t xml:space="preserve">. </w:t>
      </w:r>
      <w:r>
        <w:rPr>
          <w:rFonts w:eastAsia="Times New Roman" w:cs="Times New Roman"/>
          <w:szCs w:val="24"/>
        </w:rPr>
        <w:t>These analyses make use of the benefits and costs presented in previous chapters to calculate the measures used to compare and categorize regulatory alternatives.</w:t>
      </w:r>
    </w:p>
    <w:p w14:paraId="7CEA3D68" w14:textId="77777777" w:rsidR="00AC1B9B" w:rsidRDefault="000F5B51" w:rsidP="00CC65F7">
      <w:pPr>
        <w:pStyle w:val="Heading2"/>
        <w:spacing w:before="0" w:line="240" w:lineRule="auto"/>
      </w:pPr>
      <w:bookmarkStart w:id="1334" w:name="_Toc126128013"/>
      <w:bookmarkStart w:id="1335" w:name="_Toc126128395"/>
      <w:bookmarkStart w:id="1336" w:name="_Toc126590797"/>
      <w:bookmarkStart w:id="1337" w:name="_Toc126912290"/>
      <w:bookmarkStart w:id="1338" w:name="_Toc127266031"/>
      <w:bookmarkStart w:id="1339" w:name="_Toc142902994"/>
      <w:bookmarkEnd w:id="1334"/>
      <w:bookmarkEnd w:id="1335"/>
      <w:bookmarkEnd w:id="1336"/>
      <w:bookmarkEnd w:id="1337"/>
      <w:bookmarkEnd w:id="1338"/>
      <w:r>
        <w:t>Cost-Effectiveness</w:t>
      </w:r>
      <w:bookmarkEnd w:id="1339"/>
    </w:p>
    <w:p w14:paraId="4142C7D3" w14:textId="77777777" w:rsidR="002079C1" w:rsidRDefault="000F5B51" w:rsidP="002079C1">
      <w:pPr>
        <w:spacing w:after="0"/>
        <w:textAlignment w:val="baseline"/>
        <w:rPr>
          <w:rFonts w:eastAsia="Times New Roman" w:cs="Times New Roman"/>
          <w:sz w:val="18"/>
          <w:szCs w:val="18"/>
        </w:rPr>
      </w:pPr>
      <w:r>
        <w:rPr>
          <w:rFonts w:eastAsia="Times New Roman" w:cs="Times New Roman"/>
          <w:szCs w:val="24"/>
        </w:rPr>
        <w:t>The purpose of a cost-effectiveness analysis is to compare a set of regulatory alternatives with the same primary outcome in order to identify the most effective use of the resources available. A regulatory alternative is considered to be cost-effective if the estimated cost per unit of change is less than an appropriate benchmark</w:t>
      </w:r>
      <w:r w:rsidR="001F2F92">
        <w:rPr>
          <w:rFonts w:eastAsia="Times New Roman" w:cs="Times New Roman"/>
          <w:szCs w:val="24"/>
        </w:rPr>
        <w:t xml:space="preserve">. </w:t>
      </w:r>
      <w:r>
        <w:rPr>
          <w:rFonts w:eastAsia="Times New Roman" w:cs="Times New Roman"/>
          <w:szCs w:val="24"/>
        </w:rPr>
        <w:t>While cost-effectiveness measures serve as a means of comparing regulatory alternatives, it must be noted that the results of a cost-benefit analysis are based on averages and, therefore, must be treated with great care</w:t>
      </w:r>
      <w:r w:rsidR="001F2F92">
        <w:rPr>
          <w:rFonts w:eastAsia="Times New Roman" w:cs="Times New Roman"/>
          <w:szCs w:val="24"/>
        </w:rPr>
        <w:t xml:space="preserve">. </w:t>
      </w:r>
      <w:r>
        <w:rPr>
          <w:rFonts w:eastAsia="Times New Roman" w:cs="Times New Roman"/>
          <w:szCs w:val="24"/>
        </w:rPr>
        <w:t>Furthermore, the most cost-effective regulatory alternative may not always maximize net benefits. </w:t>
      </w:r>
    </w:p>
    <w:p w14:paraId="39F8CC09" w14:textId="77777777" w:rsidR="002079C1" w:rsidRDefault="000F5B51" w:rsidP="002079C1">
      <w:pPr>
        <w:spacing w:after="0"/>
        <w:textAlignment w:val="baseline"/>
        <w:rPr>
          <w:rFonts w:eastAsia="Times New Roman" w:cs="Times New Roman"/>
          <w:sz w:val="18"/>
          <w:szCs w:val="18"/>
        </w:rPr>
      </w:pPr>
      <w:r>
        <w:rPr>
          <w:rFonts w:eastAsia="Times New Roman" w:cs="Times New Roman"/>
          <w:szCs w:val="24"/>
        </w:rPr>
        <w:t>In order to make a comparison across alternatives, the primary outcome of the regulatory action must be quantified on a single numerical index</w:t>
      </w:r>
      <w:r w:rsidR="001F2F92">
        <w:rPr>
          <w:rFonts w:eastAsia="Times New Roman" w:cs="Times New Roman"/>
          <w:szCs w:val="24"/>
        </w:rPr>
        <w:t xml:space="preserve">. </w:t>
      </w:r>
      <w:r>
        <w:rPr>
          <w:rFonts w:eastAsia="Times New Roman" w:cs="Times New Roman"/>
          <w:szCs w:val="24"/>
        </w:rPr>
        <w:t xml:space="preserve">As the proposed rule addresses an issue of safety, the objective is to </w:t>
      </w:r>
      <w:r w:rsidR="009D1D1B">
        <w:rPr>
          <w:rFonts w:eastAsia="Times New Roman" w:cs="Times New Roman"/>
          <w:szCs w:val="24"/>
        </w:rPr>
        <w:t>prevent</w:t>
      </w:r>
      <w:r>
        <w:rPr>
          <w:rFonts w:eastAsia="Times New Roman" w:cs="Times New Roman"/>
          <w:szCs w:val="24"/>
        </w:rPr>
        <w:t xml:space="preserve"> fatalities and non-fatal injuries which are not measured on the same scale</w:t>
      </w:r>
      <w:r w:rsidR="001F2F92">
        <w:rPr>
          <w:rFonts w:eastAsia="Times New Roman" w:cs="Times New Roman"/>
          <w:szCs w:val="24"/>
        </w:rPr>
        <w:t xml:space="preserve">. </w:t>
      </w:r>
      <w:r>
        <w:rPr>
          <w:rFonts w:eastAsia="Times New Roman" w:cs="Times New Roman"/>
          <w:szCs w:val="24"/>
        </w:rPr>
        <w:t>Therefore, in order to compare outcomes across regulatory alternatives, fatalities and non-fatal injuries must be reflected on a single numerical index</w:t>
      </w:r>
      <w:r w:rsidR="001F2F92">
        <w:rPr>
          <w:rFonts w:eastAsia="Times New Roman" w:cs="Times New Roman"/>
          <w:szCs w:val="24"/>
        </w:rPr>
        <w:t xml:space="preserve">. </w:t>
      </w:r>
      <w:r>
        <w:rPr>
          <w:rFonts w:eastAsia="Times New Roman" w:cs="Times New Roman"/>
          <w:szCs w:val="24"/>
        </w:rPr>
        <w:t xml:space="preserve">Equivalent lives saved </w:t>
      </w:r>
      <w:r w:rsidR="00E40C72">
        <w:rPr>
          <w:rFonts w:eastAsia="Times New Roman" w:cs="Times New Roman"/>
          <w:szCs w:val="24"/>
        </w:rPr>
        <w:t xml:space="preserve">(ELS) </w:t>
      </w:r>
      <w:r>
        <w:rPr>
          <w:rFonts w:eastAsia="Times New Roman" w:cs="Times New Roman"/>
          <w:szCs w:val="24"/>
        </w:rPr>
        <w:t>is a single numerical index that reflects both fatalities and non-fatal injuries and, therefore, is used to measure and compare the benefits associated with regulatory alternatives that address an issue of safety</w:t>
      </w:r>
      <w:r w:rsidR="001F2F92">
        <w:rPr>
          <w:rFonts w:eastAsia="Times New Roman" w:cs="Times New Roman"/>
          <w:szCs w:val="24"/>
        </w:rPr>
        <w:t xml:space="preserve">. </w:t>
      </w:r>
    </w:p>
    <w:p w14:paraId="18B83BB4" w14:textId="77777777" w:rsidR="00BD7B21" w:rsidRDefault="000F5B51" w:rsidP="007C33A7">
      <w:pPr>
        <w:spacing w:after="0"/>
        <w:rPr>
          <w:rFonts w:eastAsia="Times New Roman" w:cs="Times New Roman"/>
          <w:szCs w:val="24"/>
        </w:rPr>
      </w:pPr>
      <w:r>
        <w:rPr>
          <w:rFonts w:eastAsia="Times New Roman" w:cs="Times New Roman"/>
          <w:szCs w:val="24"/>
        </w:rPr>
        <w:lastRenderedPageBreak/>
        <w:t xml:space="preserve">To calculate </w:t>
      </w:r>
      <w:r w:rsidR="00530B31">
        <w:rPr>
          <w:rFonts w:eastAsia="Times New Roman" w:cs="Times New Roman"/>
          <w:szCs w:val="24"/>
        </w:rPr>
        <w:t>ELS</w:t>
      </w:r>
      <w:r>
        <w:rPr>
          <w:rFonts w:eastAsia="Times New Roman" w:cs="Times New Roman"/>
          <w:szCs w:val="24"/>
        </w:rPr>
        <w:t>, non-fatal injuries must be expressed in terms of fatalities</w:t>
      </w:r>
      <w:r w:rsidR="001F2F92">
        <w:rPr>
          <w:rFonts w:eastAsia="Times New Roman" w:cs="Times New Roman"/>
          <w:szCs w:val="24"/>
        </w:rPr>
        <w:t xml:space="preserve">. </w:t>
      </w:r>
      <w:r>
        <w:rPr>
          <w:rFonts w:eastAsia="Times New Roman" w:cs="Times New Roman"/>
          <w:szCs w:val="24"/>
        </w:rPr>
        <w:t>Non-fatal injuries are expressed in terms of equivalent fatalities by comparing the value of preventing non-fatal injuries to the value of preventing a fatality</w:t>
      </w:r>
      <w:r w:rsidR="001F2F92">
        <w:rPr>
          <w:rFonts w:eastAsia="Times New Roman" w:cs="Times New Roman"/>
          <w:szCs w:val="24"/>
        </w:rPr>
        <w:t xml:space="preserve">. </w:t>
      </w:r>
      <w:r>
        <w:rPr>
          <w:rFonts w:eastAsia="Times New Roman" w:cs="Times New Roman"/>
          <w:szCs w:val="24"/>
        </w:rPr>
        <w:t>Comprehensive values, which include both economic impacts and lost quality or value of life considerations, are used to determine the relative value of fatalities and non-fatal injuries</w:t>
      </w:r>
      <w:r w:rsidR="001F2F92">
        <w:rPr>
          <w:rFonts w:eastAsia="Times New Roman" w:cs="Times New Roman"/>
          <w:szCs w:val="24"/>
        </w:rPr>
        <w:t xml:space="preserve">. </w:t>
      </w:r>
      <w:r>
        <w:rPr>
          <w:rFonts w:eastAsia="Times New Roman" w:cs="Times New Roman"/>
          <w:szCs w:val="24"/>
        </w:rPr>
        <w:t xml:space="preserve">By applying the </w:t>
      </w:r>
      <w:r w:rsidR="00034D97">
        <w:rPr>
          <w:rFonts w:eastAsia="Times New Roman" w:cs="Times New Roman"/>
          <w:szCs w:val="24"/>
        </w:rPr>
        <w:t>r</w:t>
      </w:r>
      <w:r w:rsidR="00034D97" w:rsidRPr="00034D97">
        <w:rPr>
          <w:rFonts w:eastAsia="Times New Roman" w:cs="Times New Roman"/>
          <w:szCs w:val="24"/>
        </w:rPr>
        <w:t xml:space="preserve">elative </w:t>
      </w:r>
      <w:r w:rsidR="00034D97">
        <w:rPr>
          <w:rFonts w:eastAsia="Times New Roman" w:cs="Times New Roman"/>
          <w:szCs w:val="24"/>
        </w:rPr>
        <w:t>i</w:t>
      </w:r>
      <w:r w:rsidR="00034D97" w:rsidRPr="00034D97">
        <w:rPr>
          <w:rFonts w:eastAsia="Times New Roman" w:cs="Times New Roman"/>
          <w:szCs w:val="24"/>
        </w:rPr>
        <w:t xml:space="preserve">njury </w:t>
      </w:r>
      <w:r w:rsidR="00034D97">
        <w:rPr>
          <w:rFonts w:eastAsia="Times New Roman" w:cs="Times New Roman"/>
          <w:szCs w:val="24"/>
        </w:rPr>
        <w:t>f</w:t>
      </w:r>
      <w:r w:rsidR="00034D97" w:rsidRPr="00034D97">
        <w:rPr>
          <w:rFonts w:eastAsia="Times New Roman" w:cs="Times New Roman"/>
          <w:szCs w:val="24"/>
        </w:rPr>
        <w:t xml:space="preserve">actor </w:t>
      </w:r>
      <w:r>
        <w:rPr>
          <w:rFonts w:eastAsia="Times New Roman" w:cs="Times New Roman"/>
          <w:szCs w:val="24"/>
        </w:rPr>
        <w:t>to the number of non-fatal injuries by MAIS level, the number of non-fatal injuries can be converted to equivalent fatalities.</w:t>
      </w:r>
    </w:p>
    <w:p w14:paraId="6ED73856" w14:textId="573FF16C" w:rsidR="00D65411" w:rsidRDefault="000F5B51" w:rsidP="00B3217B">
      <w:r>
        <w:rPr>
          <w:rFonts w:eastAsia="Times New Roman" w:cs="Times New Roman"/>
          <w:szCs w:val="24"/>
        </w:rPr>
        <w:fldChar w:fldCharType="begin"/>
      </w:r>
      <w:r>
        <w:rPr>
          <w:rFonts w:eastAsia="Times New Roman" w:cs="Times New Roman"/>
          <w:szCs w:val="24"/>
        </w:rPr>
        <w:instrText xml:space="preserve"> REF _Ref126834817 \h </w:instrText>
      </w:r>
      <w:r>
        <w:rPr>
          <w:rFonts w:eastAsia="Times New Roman" w:cs="Times New Roman"/>
          <w:szCs w:val="24"/>
        </w:rPr>
      </w:r>
      <w:r>
        <w:rPr>
          <w:rFonts w:eastAsia="Times New Roman" w:cs="Times New Roman"/>
          <w:szCs w:val="24"/>
        </w:rPr>
        <w:fldChar w:fldCharType="separate"/>
      </w:r>
      <w:r w:rsidR="00A65CB3">
        <w:t xml:space="preserve">Table </w:t>
      </w:r>
      <w:r w:rsidR="00A65CB3">
        <w:rPr>
          <w:noProof/>
        </w:rPr>
        <w:t>67</w:t>
      </w:r>
      <w:r>
        <w:rPr>
          <w:rFonts w:eastAsia="Times New Roman" w:cs="Times New Roman"/>
          <w:szCs w:val="24"/>
        </w:rPr>
        <w:fldChar w:fldCharType="end"/>
      </w:r>
      <w:r>
        <w:rPr>
          <w:rFonts w:eastAsia="Times New Roman" w:cs="Times New Roman"/>
          <w:szCs w:val="24"/>
        </w:rPr>
        <w:t xml:space="preserve"> presents the </w:t>
      </w:r>
      <w:r w:rsidR="00CF52E7">
        <w:rPr>
          <w:rFonts w:eastAsia="Times New Roman" w:cs="Times New Roman"/>
          <w:szCs w:val="24"/>
        </w:rPr>
        <w:t>calculation of ELS for rear seat occupants</w:t>
      </w:r>
      <w:r w:rsidR="00A0749F">
        <w:rPr>
          <w:rFonts w:eastAsia="Times New Roman" w:cs="Times New Roman"/>
          <w:szCs w:val="24"/>
        </w:rPr>
        <w:t xml:space="preserve"> based on the benefits estimated in</w:t>
      </w:r>
      <w:r w:rsidR="00465429">
        <w:rPr>
          <w:rFonts w:eastAsia="Times New Roman" w:cs="Times New Roman"/>
          <w:szCs w:val="24"/>
        </w:rPr>
        <w:t xml:space="preserve"> Chapter</w:t>
      </w:r>
      <w:r w:rsidR="00A0749F">
        <w:rPr>
          <w:rFonts w:eastAsia="Times New Roman" w:cs="Times New Roman"/>
          <w:szCs w:val="24"/>
        </w:rPr>
        <w:t xml:space="preserve"> </w:t>
      </w:r>
      <w:r w:rsidR="00A0749F">
        <w:rPr>
          <w:rFonts w:eastAsia="Times New Roman" w:cs="Times New Roman"/>
          <w:szCs w:val="24"/>
        </w:rPr>
        <w:fldChar w:fldCharType="begin"/>
      </w:r>
      <w:r w:rsidR="00A0749F">
        <w:rPr>
          <w:rFonts w:eastAsia="Times New Roman" w:cs="Times New Roman"/>
          <w:szCs w:val="24"/>
        </w:rPr>
        <w:instrText xml:space="preserve"> REF _Ref127358454 \r \h </w:instrText>
      </w:r>
      <w:r w:rsidR="00A0749F">
        <w:rPr>
          <w:rFonts w:eastAsia="Times New Roman" w:cs="Times New Roman"/>
          <w:szCs w:val="24"/>
        </w:rPr>
      </w:r>
      <w:r w:rsidR="00A0749F">
        <w:rPr>
          <w:rFonts w:eastAsia="Times New Roman" w:cs="Times New Roman"/>
          <w:szCs w:val="24"/>
        </w:rPr>
        <w:fldChar w:fldCharType="separate"/>
      </w:r>
      <w:r w:rsidR="00A65CB3">
        <w:rPr>
          <w:rFonts w:eastAsia="Times New Roman" w:cs="Times New Roman"/>
          <w:szCs w:val="24"/>
        </w:rPr>
        <w:t>5</w:t>
      </w:r>
      <w:r w:rsidR="00A0749F">
        <w:rPr>
          <w:rFonts w:eastAsia="Times New Roman" w:cs="Times New Roman"/>
          <w:szCs w:val="24"/>
        </w:rPr>
        <w:fldChar w:fldCharType="end"/>
      </w:r>
      <w:r w:rsidR="00465429">
        <w:rPr>
          <w:rFonts w:eastAsia="Times New Roman" w:cs="Times New Roman"/>
          <w:szCs w:val="24"/>
        </w:rPr>
        <w:t xml:space="preserve"> and the relative</w:t>
      </w:r>
      <w:r w:rsidR="00465429">
        <w:rPr>
          <w:rFonts w:eastAsia="Times New Roman" w:cs="Times New Roman"/>
          <w:b/>
          <w:bCs/>
          <w:szCs w:val="24"/>
        </w:rPr>
        <w:t xml:space="preserve"> </w:t>
      </w:r>
      <w:r w:rsidR="00034D97">
        <w:rPr>
          <w:rFonts w:eastAsia="Times New Roman" w:cs="Times New Roman"/>
          <w:szCs w:val="24"/>
        </w:rPr>
        <w:t>injury factors</w:t>
      </w:r>
      <w:r w:rsidR="00465429">
        <w:rPr>
          <w:rFonts w:eastAsia="Times New Roman" w:cs="Times New Roman"/>
          <w:szCs w:val="24"/>
        </w:rPr>
        <w:t xml:space="preserve"> from </w:t>
      </w:r>
      <w:r w:rsidR="007C4210">
        <w:rPr>
          <w:rFonts w:eastAsia="Times New Roman" w:cs="Times New Roman"/>
          <w:szCs w:val="24"/>
        </w:rPr>
        <w:fldChar w:fldCharType="begin"/>
      </w:r>
      <w:r w:rsidR="007C4210">
        <w:rPr>
          <w:rFonts w:eastAsia="Times New Roman" w:cs="Times New Roman"/>
          <w:szCs w:val="24"/>
        </w:rPr>
        <w:instrText xml:space="preserve"> REF _Ref126229924 \h </w:instrText>
      </w:r>
      <w:r w:rsidR="007C4210">
        <w:rPr>
          <w:rFonts w:eastAsia="Times New Roman" w:cs="Times New Roman"/>
          <w:szCs w:val="24"/>
        </w:rPr>
      </w:r>
      <w:r w:rsidR="007C4210">
        <w:rPr>
          <w:rFonts w:eastAsia="Times New Roman" w:cs="Times New Roman"/>
          <w:szCs w:val="24"/>
        </w:rPr>
        <w:fldChar w:fldCharType="separate"/>
      </w:r>
      <w:r w:rsidR="00A65CB3">
        <w:t xml:space="preserve">Table </w:t>
      </w:r>
      <w:r w:rsidR="00A65CB3">
        <w:rPr>
          <w:noProof/>
        </w:rPr>
        <w:t>65</w:t>
      </w:r>
      <w:r w:rsidR="007C4210">
        <w:rPr>
          <w:rFonts w:eastAsia="Times New Roman" w:cs="Times New Roman"/>
          <w:szCs w:val="24"/>
        </w:rPr>
        <w:fldChar w:fldCharType="end"/>
      </w:r>
      <w:r w:rsidR="001F2F92">
        <w:rPr>
          <w:rFonts w:eastAsia="Times New Roman" w:cs="Times New Roman"/>
          <w:szCs w:val="24"/>
        </w:rPr>
        <w:t xml:space="preserve">. </w:t>
      </w:r>
      <w:r w:rsidR="00CF52E7">
        <w:rPr>
          <w:rFonts w:eastAsia="Times New Roman" w:cs="Times New Roman"/>
          <w:szCs w:val="24"/>
        </w:rPr>
        <w:t xml:space="preserve">As a result of the requirement for SBWS for rear seat occupants, a total of </w:t>
      </w:r>
      <w:r w:rsidR="00CF3443">
        <w:rPr>
          <w:rFonts w:eastAsia="Times New Roman" w:cs="Times New Roman"/>
          <w:szCs w:val="24"/>
        </w:rPr>
        <w:t>approximately 26.36 to 39.70 equivalent fatalities would be prevented</w:t>
      </w:r>
      <w:r w:rsidR="001F2F92">
        <w:rPr>
          <w:rFonts w:eastAsia="Times New Roman" w:cs="Times New Roman"/>
          <w:szCs w:val="24"/>
        </w:rPr>
        <w:t xml:space="preserve">. </w:t>
      </w:r>
      <w:r w:rsidR="00CF3443">
        <w:rPr>
          <w:rFonts w:eastAsia="Times New Roman" w:cs="Times New Roman"/>
          <w:szCs w:val="24"/>
        </w:rPr>
        <w:t xml:space="preserve">This range takes into account the Lo and Hi </w:t>
      </w:r>
      <w:r w:rsidR="00806057">
        <w:rPr>
          <w:rFonts w:eastAsia="Times New Roman" w:cs="Times New Roman"/>
          <w:szCs w:val="24"/>
        </w:rPr>
        <w:t>increases</w:t>
      </w:r>
      <w:r w:rsidR="00CF3443">
        <w:rPr>
          <w:rFonts w:eastAsia="Times New Roman" w:cs="Times New Roman"/>
          <w:szCs w:val="24"/>
        </w:rPr>
        <w:t xml:space="preserve"> in seat belt use resulting from the </w:t>
      </w:r>
      <w:r w:rsidR="00782FD3">
        <w:rPr>
          <w:rFonts w:eastAsia="Times New Roman" w:cs="Times New Roman"/>
          <w:szCs w:val="24"/>
        </w:rPr>
        <w:t>SBWS</w:t>
      </w:r>
      <w:r w:rsidR="00B3217B">
        <w:rPr>
          <w:rFonts w:eastAsia="Times New Roman" w:cs="Times New Roman"/>
          <w:szCs w:val="24"/>
        </w:rPr>
        <w:t xml:space="preserve">. </w:t>
      </w:r>
      <w:r w:rsidR="00E91D17">
        <w:rPr>
          <w:rFonts w:eastAsia="Times New Roman" w:cs="Times New Roman"/>
          <w:szCs w:val="24"/>
        </w:rPr>
        <w:fldChar w:fldCharType="begin"/>
      </w:r>
      <w:r w:rsidR="00E91D17">
        <w:rPr>
          <w:rFonts w:eastAsia="Times New Roman" w:cs="Times New Roman"/>
          <w:szCs w:val="24"/>
        </w:rPr>
        <w:instrText xml:space="preserve"> REF _Ref130387495 \h </w:instrText>
      </w:r>
      <w:r w:rsidR="00E91D17">
        <w:rPr>
          <w:rFonts w:eastAsia="Times New Roman" w:cs="Times New Roman"/>
          <w:szCs w:val="24"/>
        </w:rPr>
      </w:r>
      <w:r w:rsidR="00E91D17">
        <w:rPr>
          <w:rFonts w:eastAsia="Times New Roman" w:cs="Times New Roman"/>
          <w:szCs w:val="24"/>
        </w:rPr>
        <w:fldChar w:fldCharType="separate"/>
      </w:r>
      <w:r w:rsidR="00A65CB3">
        <w:t>Appendix H</w:t>
      </w:r>
      <w:r w:rsidR="00E91D17">
        <w:rPr>
          <w:rFonts w:eastAsia="Times New Roman" w:cs="Times New Roman"/>
          <w:szCs w:val="24"/>
        </w:rPr>
        <w:fldChar w:fldCharType="end"/>
      </w:r>
      <w:r w:rsidR="00E91D17">
        <w:rPr>
          <w:rFonts w:eastAsia="Times New Roman" w:cs="Times New Roman"/>
          <w:szCs w:val="24"/>
        </w:rPr>
        <w:t xml:space="preserve"> </w:t>
      </w:r>
      <w:r w:rsidR="00EC406C" w:rsidRPr="00CC65F7">
        <w:t>presents the</w:t>
      </w:r>
      <w:r w:rsidR="002470B3" w:rsidRPr="00CC65F7">
        <w:t xml:space="preserve"> calculation of</w:t>
      </w:r>
      <w:r w:rsidR="00EC406C" w:rsidRPr="00CC65F7">
        <w:t xml:space="preserve"> fatal equivalents specific to passenger </w:t>
      </w:r>
      <w:r w:rsidR="0065659B">
        <w:t>car</w:t>
      </w:r>
      <w:r w:rsidR="00EC406C" w:rsidRPr="00CC65F7">
        <w:t xml:space="preserve">s and LTVs separately in order to calculate discounted </w:t>
      </w:r>
      <w:r w:rsidR="00DD5C3E" w:rsidRPr="00CC65F7">
        <w:t>fatal equivalents</w:t>
      </w:r>
      <w:r w:rsidR="00EC406C" w:rsidRPr="00CC65F7">
        <w:t xml:space="preserve"> for rear seat occupants which are presented later in this section.</w:t>
      </w:r>
    </w:p>
    <w:p w14:paraId="070FC2A8" w14:textId="618932DB" w:rsidR="00F1151E" w:rsidRDefault="00F1151E" w:rsidP="00B3217B"/>
    <w:p w14:paraId="6770D623" w14:textId="546246F6" w:rsidR="00F1151E" w:rsidRDefault="00F1151E" w:rsidP="00B3217B"/>
    <w:p w14:paraId="59492189" w14:textId="3EC003B3" w:rsidR="00F1151E" w:rsidRDefault="00F1151E" w:rsidP="00B3217B"/>
    <w:p w14:paraId="675AC8E2" w14:textId="78EB7C85" w:rsidR="00F1151E" w:rsidRDefault="00F1151E" w:rsidP="00B3217B"/>
    <w:p w14:paraId="7D14E6A9" w14:textId="557DB61E" w:rsidR="00F1151E" w:rsidRDefault="00F1151E" w:rsidP="00B3217B"/>
    <w:p w14:paraId="52C071CB" w14:textId="30CD87E9" w:rsidR="00F1151E" w:rsidRDefault="00F1151E" w:rsidP="00B3217B"/>
    <w:p w14:paraId="57E3C3A5" w14:textId="77777777" w:rsidR="00F1151E" w:rsidRDefault="00F1151E" w:rsidP="00B3217B">
      <w:pPr>
        <w:rPr>
          <w:rFonts w:eastAsia="Times New Roman" w:cs="Times New Roman"/>
          <w:szCs w:val="24"/>
        </w:rPr>
      </w:pPr>
    </w:p>
    <w:p w14:paraId="5199342D" w14:textId="6BD69343" w:rsidR="008B0F0C" w:rsidRDefault="000F5B51" w:rsidP="00D65411">
      <w:pPr>
        <w:pStyle w:val="Caption"/>
        <w:rPr>
          <w:rFonts w:eastAsia="Times New Roman" w:cs="Times New Roman"/>
          <w:szCs w:val="24"/>
        </w:rPr>
      </w:pPr>
      <w:bookmarkStart w:id="1340" w:name="_Ref126834817"/>
      <w:r>
        <w:lastRenderedPageBreak/>
        <w:t xml:space="preserve">Table </w:t>
      </w:r>
      <w:r w:rsidR="00115BAB">
        <w:fldChar w:fldCharType="begin"/>
      </w:r>
      <w:r>
        <w:instrText xml:space="preserve"> SEQ Table \* ARABIC </w:instrText>
      </w:r>
      <w:r w:rsidR="00115BAB">
        <w:fldChar w:fldCharType="separate"/>
      </w:r>
      <w:r w:rsidR="00A65CB3">
        <w:rPr>
          <w:noProof/>
        </w:rPr>
        <w:t>67</w:t>
      </w:r>
      <w:r w:rsidR="00115BAB">
        <w:rPr>
          <w:noProof/>
        </w:rPr>
        <w:fldChar w:fldCharType="end"/>
      </w:r>
      <w:bookmarkEnd w:id="1340"/>
      <w:r>
        <w:t>: Calculation of Equivalent Lives Sa</w:t>
      </w:r>
      <w:r w:rsidR="00B94C16">
        <w:t>v</w:t>
      </w:r>
      <w:r>
        <w:t>ed for Rear Seat Occupants</w:t>
      </w:r>
    </w:p>
    <w:tbl>
      <w:tblPr>
        <w:tblStyle w:val="TableGrid"/>
        <w:tblW w:w="8649" w:type="dxa"/>
        <w:jc w:val="center"/>
        <w:tblLook w:val="04A0" w:firstRow="1" w:lastRow="0" w:firstColumn="1" w:lastColumn="0" w:noHBand="0" w:noVBand="1"/>
      </w:tblPr>
      <w:tblGrid>
        <w:gridCol w:w="1163"/>
        <w:gridCol w:w="1150"/>
        <w:gridCol w:w="1163"/>
        <w:gridCol w:w="1430"/>
        <w:gridCol w:w="1150"/>
        <w:gridCol w:w="1163"/>
        <w:gridCol w:w="1430"/>
      </w:tblGrid>
      <w:tr w:rsidR="00A15C2C" w14:paraId="40457A1F" w14:textId="77777777" w:rsidTr="00CC65F7">
        <w:trPr>
          <w:trHeight w:val="252"/>
          <w:jc w:val="center"/>
        </w:trPr>
        <w:tc>
          <w:tcPr>
            <w:tcW w:w="1163" w:type="dxa"/>
            <w:vMerge w:val="restart"/>
            <w:shd w:val="clear" w:color="auto" w:fill="D9D9D9" w:themeFill="background1" w:themeFillShade="D9"/>
            <w:vAlign w:val="center"/>
          </w:tcPr>
          <w:p w14:paraId="7D7382C7" w14:textId="77777777" w:rsidR="00080E5C" w:rsidRPr="00080E5C" w:rsidRDefault="000F5B51" w:rsidP="00080E5C">
            <w:pPr>
              <w:spacing w:line="240" w:lineRule="auto"/>
              <w:rPr>
                <w:b/>
                <w:bCs/>
                <w:szCs w:val="24"/>
              </w:rPr>
            </w:pPr>
            <w:r w:rsidRPr="00080E5C">
              <w:rPr>
                <w:b/>
                <w:bCs/>
                <w:szCs w:val="24"/>
              </w:rPr>
              <w:t>Category</w:t>
            </w:r>
          </w:p>
        </w:tc>
        <w:tc>
          <w:tcPr>
            <w:tcW w:w="3743" w:type="dxa"/>
            <w:gridSpan w:val="3"/>
            <w:shd w:val="clear" w:color="auto" w:fill="D9D9D9" w:themeFill="background1" w:themeFillShade="D9"/>
          </w:tcPr>
          <w:p w14:paraId="536D03BA" w14:textId="77777777" w:rsidR="00080E5C" w:rsidRPr="00080E5C" w:rsidRDefault="000F5B51" w:rsidP="007C506D">
            <w:pPr>
              <w:spacing w:line="240" w:lineRule="auto"/>
              <w:jc w:val="center"/>
              <w:rPr>
                <w:b/>
                <w:bCs/>
                <w:color w:val="000000"/>
                <w:szCs w:val="24"/>
              </w:rPr>
            </w:pPr>
            <w:r w:rsidRPr="00080E5C">
              <w:rPr>
                <w:b/>
                <w:bCs/>
                <w:color w:val="000000"/>
                <w:szCs w:val="24"/>
              </w:rPr>
              <w:t>Lo</w:t>
            </w:r>
          </w:p>
        </w:tc>
        <w:tc>
          <w:tcPr>
            <w:tcW w:w="3743" w:type="dxa"/>
            <w:gridSpan w:val="3"/>
            <w:shd w:val="clear" w:color="auto" w:fill="D9D9D9" w:themeFill="background1" w:themeFillShade="D9"/>
            <w:vAlign w:val="center"/>
          </w:tcPr>
          <w:p w14:paraId="1834E518" w14:textId="77777777" w:rsidR="00080E5C" w:rsidRPr="00080E5C" w:rsidRDefault="000F5B51" w:rsidP="007C506D">
            <w:pPr>
              <w:spacing w:line="240" w:lineRule="auto"/>
              <w:jc w:val="center"/>
              <w:rPr>
                <w:b/>
                <w:bCs/>
                <w:color w:val="000000"/>
                <w:szCs w:val="24"/>
              </w:rPr>
            </w:pPr>
            <w:r w:rsidRPr="00080E5C">
              <w:rPr>
                <w:b/>
                <w:bCs/>
                <w:color w:val="000000"/>
                <w:szCs w:val="24"/>
              </w:rPr>
              <w:t>Hi</w:t>
            </w:r>
          </w:p>
        </w:tc>
      </w:tr>
      <w:tr w:rsidR="00A15C2C" w14:paraId="17284D0D" w14:textId="77777777" w:rsidTr="00CC65F7">
        <w:trPr>
          <w:trHeight w:val="252"/>
          <w:jc w:val="center"/>
        </w:trPr>
        <w:tc>
          <w:tcPr>
            <w:tcW w:w="1163" w:type="dxa"/>
            <w:vMerge/>
            <w:shd w:val="clear" w:color="auto" w:fill="D9D9D9" w:themeFill="background1" w:themeFillShade="D9"/>
          </w:tcPr>
          <w:p w14:paraId="446ADE23" w14:textId="77777777" w:rsidR="00080E5C" w:rsidRPr="00080E5C" w:rsidRDefault="00080E5C" w:rsidP="00080E5C">
            <w:pPr>
              <w:spacing w:line="240" w:lineRule="auto"/>
              <w:rPr>
                <w:b/>
                <w:bCs/>
                <w:szCs w:val="24"/>
              </w:rPr>
            </w:pPr>
          </w:p>
        </w:tc>
        <w:tc>
          <w:tcPr>
            <w:tcW w:w="1150" w:type="dxa"/>
            <w:shd w:val="clear" w:color="auto" w:fill="D9D9D9" w:themeFill="background1" w:themeFillShade="D9"/>
            <w:vAlign w:val="center"/>
          </w:tcPr>
          <w:p w14:paraId="52D8CD9D" w14:textId="77777777" w:rsidR="00080E5C" w:rsidRPr="00080E5C" w:rsidRDefault="000F5B51">
            <w:pPr>
              <w:spacing w:line="240" w:lineRule="auto"/>
              <w:jc w:val="center"/>
              <w:rPr>
                <w:b/>
                <w:bCs/>
                <w:szCs w:val="24"/>
              </w:rPr>
            </w:pPr>
            <w:r w:rsidRPr="00080E5C">
              <w:rPr>
                <w:b/>
                <w:bCs/>
                <w:szCs w:val="24"/>
              </w:rPr>
              <w:t>Safety Benefits</w:t>
            </w:r>
          </w:p>
        </w:tc>
        <w:tc>
          <w:tcPr>
            <w:tcW w:w="1163" w:type="dxa"/>
            <w:shd w:val="clear" w:color="auto" w:fill="D9D9D9" w:themeFill="background1" w:themeFillShade="D9"/>
            <w:vAlign w:val="center"/>
          </w:tcPr>
          <w:p w14:paraId="6254E543" w14:textId="77777777" w:rsidR="00080E5C" w:rsidRPr="00080E5C" w:rsidRDefault="000F5B51" w:rsidP="00080E5C">
            <w:pPr>
              <w:spacing w:line="240" w:lineRule="auto"/>
              <w:jc w:val="center"/>
              <w:rPr>
                <w:rFonts w:eastAsia="Times New Roman" w:cs="Times New Roman"/>
                <w:b/>
                <w:szCs w:val="24"/>
              </w:rPr>
            </w:pPr>
            <w:r>
              <w:rPr>
                <w:rFonts w:eastAsia="Times New Roman" w:cs="Times New Roman"/>
                <w:b/>
                <w:bCs/>
                <w:szCs w:val="24"/>
              </w:rPr>
              <w:t>Relative Injury Factor </w:t>
            </w:r>
          </w:p>
        </w:tc>
        <w:tc>
          <w:tcPr>
            <w:tcW w:w="1430" w:type="dxa"/>
            <w:shd w:val="clear" w:color="auto" w:fill="D9D9D9" w:themeFill="background1" w:themeFillShade="D9"/>
            <w:vAlign w:val="center"/>
          </w:tcPr>
          <w:p w14:paraId="6DEC2463" w14:textId="77777777" w:rsidR="00080E5C" w:rsidRPr="00080E5C" w:rsidRDefault="000F5B51" w:rsidP="00080E5C">
            <w:pPr>
              <w:spacing w:line="240" w:lineRule="auto"/>
              <w:jc w:val="center"/>
              <w:rPr>
                <w:b/>
                <w:bCs/>
                <w:color w:val="000000"/>
                <w:szCs w:val="24"/>
              </w:rPr>
            </w:pPr>
            <w:r>
              <w:rPr>
                <w:b/>
                <w:bCs/>
                <w:sz w:val="22"/>
              </w:rPr>
              <w:t>Equivalent Lives Saved</w:t>
            </w:r>
          </w:p>
        </w:tc>
        <w:tc>
          <w:tcPr>
            <w:tcW w:w="1150" w:type="dxa"/>
            <w:shd w:val="clear" w:color="auto" w:fill="D9D9D9" w:themeFill="background1" w:themeFillShade="D9"/>
            <w:vAlign w:val="center"/>
          </w:tcPr>
          <w:p w14:paraId="173CDD22" w14:textId="77777777" w:rsidR="00080E5C" w:rsidRPr="00080E5C" w:rsidRDefault="000F5B51">
            <w:pPr>
              <w:spacing w:line="240" w:lineRule="auto"/>
              <w:jc w:val="center"/>
              <w:rPr>
                <w:b/>
                <w:bCs/>
                <w:color w:val="000000"/>
                <w:szCs w:val="24"/>
              </w:rPr>
            </w:pPr>
            <w:r w:rsidRPr="00080E5C">
              <w:rPr>
                <w:b/>
                <w:bCs/>
                <w:szCs w:val="24"/>
              </w:rPr>
              <w:t>Safety Benefits</w:t>
            </w:r>
          </w:p>
        </w:tc>
        <w:tc>
          <w:tcPr>
            <w:tcW w:w="1163" w:type="dxa"/>
            <w:shd w:val="clear" w:color="auto" w:fill="D9D9D9" w:themeFill="background1" w:themeFillShade="D9"/>
            <w:vAlign w:val="center"/>
          </w:tcPr>
          <w:p w14:paraId="14FC1BE0" w14:textId="77777777" w:rsidR="00080E5C" w:rsidRPr="00080E5C" w:rsidRDefault="000F5B51" w:rsidP="00080E5C">
            <w:pPr>
              <w:spacing w:line="240" w:lineRule="auto"/>
              <w:jc w:val="center"/>
              <w:rPr>
                <w:rFonts w:eastAsia="Times New Roman" w:cs="Times New Roman"/>
                <w:b/>
                <w:bCs/>
                <w:szCs w:val="24"/>
              </w:rPr>
            </w:pPr>
            <w:r>
              <w:rPr>
                <w:rFonts w:eastAsia="Times New Roman" w:cs="Times New Roman"/>
                <w:b/>
                <w:bCs/>
                <w:szCs w:val="24"/>
              </w:rPr>
              <w:t>Relative Injury Factor </w:t>
            </w:r>
          </w:p>
        </w:tc>
        <w:tc>
          <w:tcPr>
            <w:tcW w:w="1430" w:type="dxa"/>
            <w:shd w:val="clear" w:color="auto" w:fill="D9D9D9" w:themeFill="background1" w:themeFillShade="D9"/>
            <w:vAlign w:val="center"/>
          </w:tcPr>
          <w:p w14:paraId="26C60E88" w14:textId="77777777" w:rsidR="00080E5C" w:rsidRPr="00080E5C" w:rsidRDefault="000F5B51" w:rsidP="00080E5C">
            <w:pPr>
              <w:spacing w:line="240" w:lineRule="auto"/>
              <w:jc w:val="center"/>
              <w:rPr>
                <w:b/>
                <w:bCs/>
                <w:color w:val="000000"/>
                <w:szCs w:val="24"/>
              </w:rPr>
            </w:pPr>
            <w:r>
              <w:rPr>
                <w:b/>
                <w:bCs/>
                <w:sz w:val="22"/>
              </w:rPr>
              <w:t>Equivalent Lives Saved</w:t>
            </w:r>
          </w:p>
        </w:tc>
      </w:tr>
      <w:tr w:rsidR="00A15C2C" w14:paraId="0211B077" w14:textId="77777777" w:rsidTr="00CC65F7">
        <w:trPr>
          <w:trHeight w:val="252"/>
          <w:jc w:val="center"/>
        </w:trPr>
        <w:tc>
          <w:tcPr>
            <w:tcW w:w="8649" w:type="dxa"/>
            <w:gridSpan w:val="7"/>
          </w:tcPr>
          <w:p w14:paraId="0020B6CE" w14:textId="77777777" w:rsidR="00080E5C" w:rsidRDefault="000F5B51" w:rsidP="007C506D">
            <w:pPr>
              <w:spacing w:line="240" w:lineRule="auto"/>
              <w:jc w:val="center"/>
              <w:rPr>
                <w:color w:val="000000"/>
                <w:sz w:val="22"/>
              </w:rPr>
            </w:pPr>
            <w:r w:rsidRPr="00CC65F7">
              <w:rPr>
                <w:b/>
                <w:bCs/>
                <w:i/>
                <w:iCs/>
                <w:sz w:val="22"/>
                <w:szCs w:val="20"/>
              </w:rPr>
              <w:t>Rear Seat Occupants 6-10</w:t>
            </w:r>
          </w:p>
        </w:tc>
      </w:tr>
      <w:tr w:rsidR="00A15C2C" w14:paraId="1E4A3FC9" w14:textId="77777777" w:rsidTr="00CC65F7">
        <w:trPr>
          <w:trHeight w:val="252"/>
          <w:jc w:val="center"/>
        </w:trPr>
        <w:tc>
          <w:tcPr>
            <w:tcW w:w="1163" w:type="dxa"/>
          </w:tcPr>
          <w:p w14:paraId="7BAB7E79" w14:textId="77777777" w:rsidR="00E3017D" w:rsidRPr="00CC65F7" w:rsidRDefault="000F5B51" w:rsidP="00E3017D">
            <w:pPr>
              <w:spacing w:line="240" w:lineRule="auto"/>
              <w:rPr>
                <w:b/>
                <w:bCs/>
                <w:sz w:val="22"/>
              </w:rPr>
            </w:pPr>
            <w:r w:rsidRPr="008B0F0C">
              <w:rPr>
                <w:sz w:val="22"/>
              </w:rPr>
              <w:t>MAIS 1</w:t>
            </w:r>
          </w:p>
        </w:tc>
        <w:tc>
          <w:tcPr>
            <w:tcW w:w="1150" w:type="dxa"/>
          </w:tcPr>
          <w:p w14:paraId="7D1FEDD7" w14:textId="77777777" w:rsidR="00E3017D" w:rsidRPr="008B0F0C" w:rsidRDefault="000F5B51" w:rsidP="00E3017D">
            <w:pPr>
              <w:spacing w:line="240" w:lineRule="auto"/>
              <w:jc w:val="center"/>
              <w:rPr>
                <w:sz w:val="22"/>
              </w:rPr>
            </w:pPr>
            <w:r w:rsidRPr="00B7360C">
              <w:t>0.6</w:t>
            </w:r>
          </w:p>
        </w:tc>
        <w:tc>
          <w:tcPr>
            <w:tcW w:w="1163" w:type="dxa"/>
            <w:vAlign w:val="center"/>
          </w:tcPr>
          <w:p w14:paraId="4CF441DF" w14:textId="77777777" w:rsidR="00E3017D" w:rsidRPr="008B0F0C" w:rsidRDefault="000F5B51" w:rsidP="00E3017D">
            <w:pPr>
              <w:spacing w:line="240" w:lineRule="auto"/>
              <w:jc w:val="center"/>
              <w:rPr>
                <w:sz w:val="22"/>
              </w:rPr>
            </w:pPr>
            <w:r w:rsidRPr="00CC65F7">
              <w:rPr>
                <w:rFonts w:eastAsia="Times New Roman" w:cs="Times New Roman"/>
                <w:sz w:val="22"/>
              </w:rPr>
              <w:t>0.0038 </w:t>
            </w:r>
          </w:p>
        </w:tc>
        <w:tc>
          <w:tcPr>
            <w:tcW w:w="1430" w:type="dxa"/>
            <w:vAlign w:val="center"/>
          </w:tcPr>
          <w:p w14:paraId="518FF016" w14:textId="77777777" w:rsidR="00E3017D" w:rsidRPr="008B0F0C" w:rsidRDefault="000F5B51" w:rsidP="00E3017D">
            <w:pPr>
              <w:spacing w:line="240" w:lineRule="auto"/>
              <w:jc w:val="center"/>
              <w:rPr>
                <w:sz w:val="22"/>
              </w:rPr>
            </w:pPr>
            <w:r>
              <w:rPr>
                <w:color w:val="000000"/>
                <w:sz w:val="22"/>
              </w:rPr>
              <w:t>0.0023</w:t>
            </w:r>
          </w:p>
        </w:tc>
        <w:tc>
          <w:tcPr>
            <w:tcW w:w="1150" w:type="dxa"/>
            <w:vAlign w:val="center"/>
          </w:tcPr>
          <w:p w14:paraId="19FA614C" w14:textId="77777777" w:rsidR="00E3017D" w:rsidRPr="008B0F0C" w:rsidRDefault="000F5B51" w:rsidP="00E3017D">
            <w:pPr>
              <w:spacing w:line="240" w:lineRule="auto"/>
              <w:jc w:val="center"/>
              <w:rPr>
                <w:sz w:val="22"/>
              </w:rPr>
            </w:pPr>
            <w:r>
              <w:rPr>
                <w:color w:val="000000"/>
                <w:sz w:val="22"/>
              </w:rPr>
              <w:t>0.9</w:t>
            </w:r>
          </w:p>
        </w:tc>
        <w:tc>
          <w:tcPr>
            <w:tcW w:w="1163" w:type="dxa"/>
            <w:vAlign w:val="center"/>
          </w:tcPr>
          <w:p w14:paraId="35736A44" w14:textId="77777777" w:rsidR="00E3017D" w:rsidRPr="008B0F0C" w:rsidRDefault="000F5B51" w:rsidP="00E3017D">
            <w:pPr>
              <w:spacing w:line="240" w:lineRule="auto"/>
              <w:jc w:val="center"/>
              <w:rPr>
                <w:sz w:val="22"/>
              </w:rPr>
            </w:pPr>
            <w:r w:rsidRPr="00934F2C">
              <w:rPr>
                <w:rFonts w:eastAsia="Times New Roman" w:cs="Times New Roman"/>
                <w:sz w:val="22"/>
              </w:rPr>
              <w:t>0.0038 </w:t>
            </w:r>
          </w:p>
        </w:tc>
        <w:tc>
          <w:tcPr>
            <w:tcW w:w="1430" w:type="dxa"/>
            <w:vAlign w:val="center"/>
          </w:tcPr>
          <w:p w14:paraId="27C07B63" w14:textId="77777777" w:rsidR="00E3017D" w:rsidRPr="008B0F0C" w:rsidRDefault="000F5B51" w:rsidP="00E3017D">
            <w:pPr>
              <w:spacing w:line="240" w:lineRule="auto"/>
              <w:jc w:val="center"/>
              <w:rPr>
                <w:sz w:val="22"/>
              </w:rPr>
            </w:pPr>
            <w:r>
              <w:rPr>
                <w:color w:val="000000"/>
                <w:sz w:val="22"/>
              </w:rPr>
              <w:t>0.0033</w:t>
            </w:r>
          </w:p>
        </w:tc>
      </w:tr>
      <w:tr w:rsidR="00A15C2C" w14:paraId="4CBE929E" w14:textId="77777777" w:rsidTr="00CC65F7">
        <w:trPr>
          <w:trHeight w:val="236"/>
          <w:jc w:val="center"/>
        </w:trPr>
        <w:tc>
          <w:tcPr>
            <w:tcW w:w="1163" w:type="dxa"/>
          </w:tcPr>
          <w:p w14:paraId="217DCC0D" w14:textId="77777777" w:rsidR="00E3017D" w:rsidRPr="00CC65F7" w:rsidRDefault="000F5B51" w:rsidP="00E3017D">
            <w:pPr>
              <w:spacing w:line="240" w:lineRule="auto"/>
              <w:rPr>
                <w:b/>
                <w:bCs/>
                <w:sz w:val="22"/>
              </w:rPr>
            </w:pPr>
            <w:r w:rsidRPr="008B0F0C">
              <w:rPr>
                <w:color w:val="000000"/>
                <w:sz w:val="22"/>
              </w:rPr>
              <w:t>MAIS 2</w:t>
            </w:r>
          </w:p>
        </w:tc>
        <w:tc>
          <w:tcPr>
            <w:tcW w:w="1150" w:type="dxa"/>
          </w:tcPr>
          <w:p w14:paraId="7209D3E1" w14:textId="77777777" w:rsidR="00E3017D" w:rsidRPr="008B0F0C" w:rsidRDefault="000F5B51" w:rsidP="00E3017D">
            <w:pPr>
              <w:spacing w:line="240" w:lineRule="auto"/>
              <w:jc w:val="center"/>
              <w:rPr>
                <w:sz w:val="22"/>
              </w:rPr>
            </w:pPr>
            <w:r w:rsidRPr="00B7360C">
              <w:t>0.5</w:t>
            </w:r>
          </w:p>
        </w:tc>
        <w:tc>
          <w:tcPr>
            <w:tcW w:w="1163" w:type="dxa"/>
            <w:vAlign w:val="center"/>
          </w:tcPr>
          <w:p w14:paraId="7E1251AD" w14:textId="77777777" w:rsidR="00E3017D" w:rsidRPr="008B0F0C" w:rsidRDefault="000F5B51" w:rsidP="00E3017D">
            <w:pPr>
              <w:spacing w:line="240" w:lineRule="auto"/>
              <w:jc w:val="center"/>
              <w:rPr>
                <w:sz w:val="22"/>
              </w:rPr>
            </w:pPr>
            <w:r w:rsidRPr="00CC65F7">
              <w:rPr>
                <w:rFonts w:eastAsia="Times New Roman" w:cs="Times New Roman"/>
                <w:sz w:val="22"/>
              </w:rPr>
              <w:t>0.0454</w:t>
            </w:r>
          </w:p>
        </w:tc>
        <w:tc>
          <w:tcPr>
            <w:tcW w:w="1430" w:type="dxa"/>
            <w:vAlign w:val="center"/>
          </w:tcPr>
          <w:p w14:paraId="1FD44C44" w14:textId="77777777" w:rsidR="00E3017D" w:rsidRPr="008B0F0C" w:rsidRDefault="000F5B51" w:rsidP="00E3017D">
            <w:pPr>
              <w:spacing w:line="240" w:lineRule="auto"/>
              <w:jc w:val="center"/>
              <w:rPr>
                <w:sz w:val="22"/>
              </w:rPr>
            </w:pPr>
            <w:r>
              <w:rPr>
                <w:color w:val="000000"/>
                <w:sz w:val="22"/>
              </w:rPr>
              <w:t>0.0248</w:t>
            </w:r>
          </w:p>
        </w:tc>
        <w:tc>
          <w:tcPr>
            <w:tcW w:w="1150" w:type="dxa"/>
            <w:vAlign w:val="center"/>
          </w:tcPr>
          <w:p w14:paraId="2E7E8E44" w14:textId="77777777" w:rsidR="00E3017D" w:rsidRPr="008B0F0C" w:rsidRDefault="000F5B51" w:rsidP="00E3017D">
            <w:pPr>
              <w:spacing w:line="240" w:lineRule="auto"/>
              <w:jc w:val="center"/>
              <w:rPr>
                <w:sz w:val="22"/>
              </w:rPr>
            </w:pPr>
            <w:r>
              <w:rPr>
                <w:color w:val="000000"/>
                <w:sz w:val="22"/>
              </w:rPr>
              <w:t>0.8</w:t>
            </w:r>
          </w:p>
        </w:tc>
        <w:tc>
          <w:tcPr>
            <w:tcW w:w="1163" w:type="dxa"/>
            <w:vAlign w:val="center"/>
          </w:tcPr>
          <w:p w14:paraId="48249E12" w14:textId="77777777" w:rsidR="00E3017D" w:rsidRPr="008B0F0C" w:rsidRDefault="000F5B51" w:rsidP="00E3017D">
            <w:pPr>
              <w:spacing w:line="240" w:lineRule="auto"/>
              <w:jc w:val="center"/>
              <w:rPr>
                <w:sz w:val="22"/>
              </w:rPr>
            </w:pPr>
            <w:r w:rsidRPr="00934F2C">
              <w:rPr>
                <w:rFonts w:eastAsia="Times New Roman" w:cs="Times New Roman"/>
                <w:sz w:val="22"/>
              </w:rPr>
              <w:t>0.0454</w:t>
            </w:r>
          </w:p>
        </w:tc>
        <w:tc>
          <w:tcPr>
            <w:tcW w:w="1430" w:type="dxa"/>
            <w:vAlign w:val="center"/>
          </w:tcPr>
          <w:p w14:paraId="3FD0EA70" w14:textId="77777777" w:rsidR="00E3017D" w:rsidRPr="008B0F0C" w:rsidRDefault="000F5B51" w:rsidP="00E3017D">
            <w:pPr>
              <w:spacing w:line="240" w:lineRule="auto"/>
              <w:jc w:val="center"/>
              <w:rPr>
                <w:sz w:val="22"/>
              </w:rPr>
            </w:pPr>
            <w:r>
              <w:rPr>
                <w:color w:val="000000"/>
                <w:sz w:val="22"/>
              </w:rPr>
              <w:t>0.0363</w:t>
            </w:r>
          </w:p>
        </w:tc>
      </w:tr>
      <w:tr w:rsidR="00A15C2C" w14:paraId="59FC5B63" w14:textId="77777777" w:rsidTr="00CC65F7">
        <w:trPr>
          <w:trHeight w:val="252"/>
          <w:jc w:val="center"/>
        </w:trPr>
        <w:tc>
          <w:tcPr>
            <w:tcW w:w="1163" w:type="dxa"/>
          </w:tcPr>
          <w:p w14:paraId="460B9FA0" w14:textId="77777777" w:rsidR="00E3017D" w:rsidRPr="00CC65F7" w:rsidRDefault="000F5B51" w:rsidP="00E3017D">
            <w:pPr>
              <w:spacing w:line="240" w:lineRule="auto"/>
              <w:rPr>
                <w:b/>
                <w:bCs/>
                <w:sz w:val="22"/>
              </w:rPr>
            </w:pPr>
            <w:r w:rsidRPr="008B0F0C">
              <w:rPr>
                <w:sz w:val="22"/>
              </w:rPr>
              <w:t>MAIS 3</w:t>
            </w:r>
          </w:p>
        </w:tc>
        <w:tc>
          <w:tcPr>
            <w:tcW w:w="1150" w:type="dxa"/>
          </w:tcPr>
          <w:p w14:paraId="46F78A00" w14:textId="77777777" w:rsidR="00E3017D" w:rsidRPr="008B0F0C" w:rsidRDefault="000F5B51" w:rsidP="00E3017D">
            <w:pPr>
              <w:spacing w:line="240" w:lineRule="auto"/>
              <w:jc w:val="center"/>
              <w:rPr>
                <w:sz w:val="22"/>
              </w:rPr>
            </w:pPr>
            <w:r w:rsidRPr="00B7360C">
              <w:t>0.0</w:t>
            </w:r>
          </w:p>
        </w:tc>
        <w:tc>
          <w:tcPr>
            <w:tcW w:w="1163" w:type="dxa"/>
            <w:vAlign w:val="center"/>
          </w:tcPr>
          <w:p w14:paraId="217609C7" w14:textId="77777777" w:rsidR="00E3017D" w:rsidRPr="008B0F0C" w:rsidRDefault="000F5B51" w:rsidP="00E3017D">
            <w:pPr>
              <w:spacing w:line="240" w:lineRule="auto"/>
              <w:jc w:val="center"/>
              <w:rPr>
                <w:sz w:val="22"/>
              </w:rPr>
            </w:pPr>
            <w:r w:rsidRPr="00CC65F7">
              <w:rPr>
                <w:rFonts w:eastAsia="Times New Roman" w:cs="Times New Roman"/>
                <w:sz w:val="22"/>
              </w:rPr>
              <w:t>0.1078 </w:t>
            </w:r>
          </w:p>
        </w:tc>
        <w:tc>
          <w:tcPr>
            <w:tcW w:w="1430" w:type="dxa"/>
            <w:vAlign w:val="center"/>
          </w:tcPr>
          <w:p w14:paraId="4861E0B9" w14:textId="77777777" w:rsidR="00E3017D" w:rsidRPr="008B0F0C" w:rsidRDefault="000F5B51" w:rsidP="00E3017D">
            <w:pPr>
              <w:spacing w:line="240" w:lineRule="auto"/>
              <w:jc w:val="center"/>
              <w:rPr>
                <w:sz w:val="22"/>
              </w:rPr>
            </w:pPr>
            <w:r>
              <w:rPr>
                <w:color w:val="000000"/>
                <w:sz w:val="22"/>
              </w:rPr>
              <w:t>0.0000</w:t>
            </w:r>
          </w:p>
        </w:tc>
        <w:tc>
          <w:tcPr>
            <w:tcW w:w="1150" w:type="dxa"/>
            <w:vAlign w:val="center"/>
          </w:tcPr>
          <w:p w14:paraId="6DF6F358" w14:textId="77777777" w:rsidR="00E3017D" w:rsidRPr="008B0F0C" w:rsidRDefault="000F5B51" w:rsidP="00E3017D">
            <w:pPr>
              <w:spacing w:line="240" w:lineRule="auto"/>
              <w:jc w:val="center"/>
              <w:rPr>
                <w:sz w:val="22"/>
              </w:rPr>
            </w:pPr>
            <w:r>
              <w:rPr>
                <w:color w:val="000000"/>
                <w:sz w:val="22"/>
              </w:rPr>
              <w:t>0.0</w:t>
            </w:r>
          </w:p>
        </w:tc>
        <w:tc>
          <w:tcPr>
            <w:tcW w:w="1163" w:type="dxa"/>
            <w:vAlign w:val="center"/>
          </w:tcPr>
          <w:p w14:paraId="35E26484" w14:textId="77777777" w:rsidR="00E3017D" w:rsidRPr="008B0F0C" w:rsidRDefault="000F5B51" w:rsidP="00E3017D">
            <w:pPr>
              <w:spacing w:line="240" w:lineRule="auto"/>
              <w:jc w:val="center"/>
              <w:rPr>
                <w:sz w:val="22"/>
              </w:rPr>
            </w:pPr>
            <w:r w:rsidRPr="00934F2C">
              <w:rPr>
                <w:rFonts w:eastAsia="Times New Roman" w:cs="Times New Roman"/>
                <w:sz w:val="22"/>
              </w:rPr>
              <w:t>0.1078 </w:t>
            </w:r>
          </w:p>
        </w:tc>
        <w:tc>
          <w:tcPr>
            <w:tcW w:w="1430" w:type="dxa"/>
            <w:vAlign w:val="center"/>
          </w:tcPr>
          <w:p w14:paraId="4936E502" w14:textId="77777777" w:rsidR="00E3017D" w:rsidRPr="008B0F0C" w:rsidRDefault="000F5B51" w:rsidP="00E3017D">
            <w:pPr>
              <w:spacing w:line="240" w:lineRule="auto"/>
              <w:jc w:val="center"/>
              <w:rPr>
                <w:sz w:val="22"/>
              </w:rPr>
            </w:pPr>
            <w:r>
              <w:rPr>
                <w:color w:val="000000"/>
                <w:sz w:val="22"/>
              </w:rPr>
              <w:t>0.0000</w:t>
            </w:r>
          </w:p>
        </w:tc>
      </w:tr>
      <w:tr w:rsidR="00A15C2C" w14:paraId="512BCDAC" w14:textId="77777777" w:rsidTr="00CC65F7">
        <w:trPr>
          <w:trHeight w:val="236"/>
          <w:jc w:val="center"/>
        </w:trPr>
        <w:tc>
          <w:tcPr>
            <w:tcW w:w="1163" w:type="dxa"/>
          </w:tcPr>
          <w:p w14:paraId="414AC0C1" w14:textId="77777777" w:rsidR="00E3017D" w:rsidRPr="00CC65F7" w:rsidRDefault="000F5B51" w:rsidP="00E3017D">
            <w:pPr>
              <w:spacing w:line="240" w:lineRule="auto"/>
              <w:rPr>
                <w:b/>
                <w:bCs/>
                <w:sz w:val="22"/>
              </w:rPr>
            </w:pPr>
            <w:r w:rsidRPr="008B0F0C">
              <w:rPr>
                <w:color w:val="000000"/>
                <w:sz w:val="22"/>
              </w:rPr>
              <w:t>MAIS 4</w:t>
            </w:r>
          </w:p>
        </w:tc>
        <w:tc>
          <w:tcPr>
            <w:tcW w:w="1150" w:type="dxa"/>
          </w:tcPr>
          <w:p w14:paraId="6BD17325" w14:textId="77777777" w:rsidR="00E3017D" w:rsidRPr="008B0F0C" w:rsidRDefault="000F5B51" w:rsidP="00E3017D">
            <w:pPr>
              <w:spacing w:line="240" w:lineRule="auto"/>
              <w:jc w:val="center"/>
              <w:rPr>
                <w:sz w:val="22"/>
              </w:rPr>
            </w:pPr>
            <w:r w:rsidRPr="00B7360C">
              <w:t>0.0</w:t>
            </w:r>
          </w:p>
        </w:tc>
        <w:tc>
          <w:tcPr>
            <w:tcW w:w="1163" w:type="dxa"/>
            <w:vAlign w:val="center"/>
          </w:tcPr>
          <w:p w14:paraId="5D3B33C6" w14:textId="77777777" w:rsidR="00E3017D" w:rsidRPr="008B0F0C" w:rsidRDefault="000F5B51" w:rsidP="00E3017D">
            <w:pPr>
              <w:spacing w:line="240" w:lineRule="auto"/>
              <w:jc w:val="center"/>
              <w:rPr>
                <w:sz w:val="22"/>
              </w:rPr>
            </w:pPr>
            <w:r w:rsidRPr="00CC65F7">
              <w:rPr>
                <w:rFonts w:eastAsia="Times New Roman" w:cs="Times New Roman"/>
                <w:sz w:val="22"/>
              </w:rPr>
              <w:t>0.2677 </w:t>
            </w:r>
          </w:p>
        </w:tc>
        <w:tc>
          <w:tcPr>
            <w:tcW w:w="1430" w:type="dxa"/>
            <w:vAlign w:val="center"/>
          </w:tcPr>
          <w:p w14:paraId="433E0AF8" w14:textId="77777777" w:rsidR="00E3017D" w:rsidRPr="008B0F0C" w:rsidRDefault="000F5B51" w:rsidP="00E3017D">
            <w:pPr>
              <w:spacing w:line="240" w:lineRule="auto"/>
              <w:jc w:val="center"/>
              <w:rPr>
                <w:sz w:val="22"/>
              </w:rPr>
            </w:pPr>
            <w:r>
              <w:rPr>
                <w:color w:val="000000"/>
                <w:sz w:val="22"/>
              </w:rPr>
              <w:t>0.0000</w:t>
            </w:r>
          </w:p>
        </w:tc>
        <w:tc>
          <w:tcPr>
            <w:tcW w:w="1150" w:type="dxa"/>
            <w:vAlign w:val="center"/>
          </w:tcPr>
          <w:p w14:paraId="3E37B658" w14:textId="77777777" w:rsidR="00E3017D" w:rsidRPr="008B0F0C" w:rsidRDefault="000F5B51" w:rsidP="00E3017D">
            <w:pPr>
              <w:spacing w:line="240" w:lineRule="auto"/>
              <w:jc w:val="center"/>
              <w:rPr>
                <w:sz w:val="22"/>
              </w:rPr>
            </w:pPr>
            <w:r>
              <w:rPr>
                <w:color w:val="000000"/>
                <w:sz w:val="22"/>
              </w:rPr>
              <w:t>0.0</w:t>
            </w:r>
          </w:p>
        </w:tc>
        <w:tc>
          <w:tcPr>
            <w:tcW w:w="1163" w:type="dxa"/>
            <w:vAlign w:val="center"/>
          </w:tcPr>
          <w:p w14:paraId="7A5B172C" w14:textId="77777777" w:rsidR="00E3017D" w:rsidRPr="008B0F0C" w:rsidRDefault="000F5B51" w:rsidP="00E3017D">
            <w:pPr>
              <w:spacing w:line="240" w:lineRule="auto"/>
              <w:jc w:val="center"/>
              <w:rPr>
                <w:sz w:val="22"/>
              </w:rPr>
            </w:pPr>
            <w:r w:rsidRPr="00934F2C">
              <w:rPr>
                <w:rFonts w:eastAsia="Times New Roman" w:cs="Times New Roman"/>
                <w:sz w:val="22"/>
              </w:rPr>
              <w:t>0.2677 </w:t>
            </w:r>
          </w:p>
        </w:tc>
        <w:tc>
          <w:tcPr>
            <w:tcW w:w="1430" w:type="dxa"/>
            <w:vAlign w:val="center"/>
          </w:tcPr>
          <w:p w14:paraId="1394DE96" w14:textId="77777777" w:rsidR="00E3017D" w:rsidRPr="008B0F0C" w:rsidRDefault="000F5B51" w:rsidP="00E3017D">
            <w:pPr>
              <w:spacing w:line="240" w:lineRule="auto"/>
              <w:jc w:val="center"/>
              <w:rPr>
                <w:sz w:val="22"/>
              </w:rPr>
            </w:pPr>
            <w:r>
              <w:rPr>
                <w:color w:val="000000"/>
                <w:sz w:val="22"/>
              </w:rPr>
              <w:t>0.0000</w:t>
            </w:r>
          </w:p>
        </w:tc>
      </w:tr>
      <w:tr w:rsidR="00A15C2C" w14:paraId="3033CC3F" w14:textId="77777777" w:rsidTr="00CC65F7">
        <w:trPr>
          <w:trHeight w:val="236"/>
          <w:jc w:val="center"/>
        </w:trPr>
        <w:tc>
          <w:tcPr>
            <w:tcW w:w="1163" w:type="dxa"/>
          </w:tcPr>
          <w:p w14:paraId="187E2DA2" w14:textId="77777777" w:rsidR="00E3017D" w:rsidRPr="00CC65F7" w:rsidRDefault="000F5B51" w:rsidP="00E3017D">
            <w:pPr>
              <w:spacing w:line="240" w:lineRule="auto"/>
              <w:rPr>
                <w:b/>
                <w:bCs/>
                <w:sz w:val="22"/>
              </w:rPr>
            </w:pPr>
            <w:r w:rsidRPr="008B0F0C">
              <w:rPr>
                <w:sz w:val="22"/>
              </w:rPr>
              <w:t>MAIS 5</w:t>
            </w:r>
          </w:p>
        </w:tc>
        <w:tc>
          <w:tcPr>
            <w:tcW w:w="1150" w:type="dxa"/>
          </w:tcPr>
          <w:p w14:paraId="3BA953C7" w14:textId="77777777" w:rsidR="00E3017D" w:rsidRPr="008B0F0C" w:rsidRDefault="000F5B51" w:rsidP="00E3017D">
            <w:pPr>
              <w:spacing w:line="240" w:lineRule="auto"/>
              <w:jc w:val="center"/>
              <w:rPr>
                <w:sz w:val="22"/>
              </w:rPr>
            </w:pPr>
            <w:r w:rsidRPr="00B7360C">
              <w:t>0.0</w:t>
            </w:r>
          </w:p>
        </w:tc>
        <w:tc>
          <w:tcPr>
            <w:tcW w:w="1163" w:type="dxa"/>
            <w:vAlign w:val="center"/>
          </w:tcPr>
          <w:p w14:paraId="69FFCE69" w14:textId="77777777" w:rsidR="00E3017D" w:rsidRPr="008B0F0C" w:rsidRDefault="000F5B51" w:rsidP="00E3017D">
            <w:pPr>
              <w:spacing w:line="240" w:lineRule="auto"/>
              <w:jc w:val="center"/>
              <w:rPr>
                <w:sz w:val="22"/>
              </w:rPr>
            </w:pPr>
            <w:r w:rsidRPr="00CC65F7">
              <w:rPr>
                <w:rFonts w:eastAsia="Times New Roman" w:cs="Times New Roman"/>
                <w:sz w:val="22"/>
              </w:rPr>
              <w:t>0.6125 </w:t>
            </w:r>
          </w:p>
        </w:tc>
        <w:tc>
          <w:tcPr>
            <w:tcW w:w="1430" w:type="dxa"/>
            <w:vAlign w:val="center"/>
          </w:tcPr>
          <w:p w14:paraId="159E792D" w14:textId="77777777" w:rsidR="00E3017D" w:rsidRPr="008B0F0C" w:rsidRDefault="000F5B51" w:rsidP="00E3017D">
            <w:pPr>
              <w:spacing w:line="240" w:lineRule="auto"/>
              <w:jc w:val="center"/>
              <w:rPr>
                <w:sz w:val="22"/>
              </w:rPr>
            </w:pPr>
            <w:r>
              <w:rPr>
                <w:color w:val="000000"/>
                <w:sz w:val="22"/>
              </w:rPr>
              <w:t>0.0000</w:t>
            </w:r>
          </w:p>
        </w:tc>
        <w:tc>
          <w:tcPr>
            <w:tcW w:w="1150" w:type="dxa"/>
            <w:vAlign w:val="center"/>
          </w:tcPr>
          <w:p w14:paraId="7B9B5D74" w14:textId="77777777" w:rsidR="00E3017D" w:rsidRPr="008B0F0C" w:rsidRDefault="000F5B51" w:rsidP="00E3017D">
            <w:pPr>
              <w:spacing w:line="240" w:lineRule="auto"/>
              <w:jc w:val="center"/>
              <w:rPr>
                <w:sz w:val="22"/>
              </w:rPr>
            </w:pPr>
            <w:r>
              <w:rPr>
                <w:color w:val="000000"/>
                <w:sz w:val="22"/>
              </w:rPr>
              <w:t>0.0</w:t>
            </w:r>
          </w:p>
        </w:tc>
        <w:tc>
          <w:tcPr>
            <w:tcW w:w="1163" w:type="dxa"/>
            <w:vAlign w:val="center"/>
          </w:tcPr>
          <w:p w14:paraId="125D2E7E" w14:textId="77777777" w:rsidR="00E3017D" w:rsidRPr="008B0F0C" w:rsidRDefault="000F5B51" w:rsidP="00E3017D">
            <w:pPr>
              <w:spacing w:line="240" w:lineRule="auto"/>
              <w:jc w:val="center"/>
              <w:rPr>
                <w:sz w:val="22"/>
              </w:rPr>
            </w:pPr>
            <w:r w:rsidRPr="00934F2C">
              <w:rPr>
                <w:rFonts w:eastAsia="Times New Roman" w:cs="Times New Roman"/>
                <w:sz w:val="22"/>
              </w:rPr>
              <w:t>0.6125 </w:t>
            </w:r>
          </w:p>
        </w:tc>
        <w:tc>
          <w:tcPr>
            <w:tcW w:w="1430" w:type="dxa"/>
            <w:vAlign w:val="center"/>
          </w:tcPr>
          <w:p w14:paraId="1BCD5B49" w14:textId="77777777" w:rsidR="00E3017D" w:rsidRPr="008B0F0C" w:rsidRDefault="000F5B51" w:rsidP="00E3017D">
            <w:pPr>
              <w:spacing w:line="240" w:lineRule="auto"/>
              <w:jc w:val="center"/>
              <w:rPr>
                <w:sz w:val="22"/>
              </w:rPr>
            </w:pPr>
            <w:r>
              <w:rPr>
                <w:color w:val="000000"/>
                <w:sz w:val="22"/>
              </w:rPr>
              <w:t>0.0000</w:t>
            </w:r>
          </w:p>
        </w:tc>
      </w:tr>
      <w:tr w:rsidR="00A15C2C" w14:paraId="0B8700AB" w14:textId="77777777" w:rsidTr="00CC65F7">
        <w:trPr>
          <w:trHeight w:val="236"/>
          <w:jc w:val="center"/>
        </w:trPr>
        <w:tc>
          <w:tcPr>
            <w:tcW w:w="1163" w:type="dxa"/>
          </w:tcPr>
          <w:p w14:paraId="4E2F66BA" w14:textId="77777777" w:rsidR="00E3017D" w:rsidRPr="00CC65F7" w:rsidRDefault="000F5B51" w:rsidP="00E3017D">
            <w:pPr>
              <w:spacing w:line="240" w:lineRule="auto"/>
              <w:rPr>
                <w:b/>
                <w:bCs/>
                <w:sz w:val="22"/>
              </w:rPr>
            </w:pPr>
            <w:r w:rsidRPr="00CC65F7">
              <w:rPr>
                <w:sz w:val="22"/>
              </w:rPr>
              <w:t>Fatalities</w:t>
            </w:r>
          </w:p>
        </w:tc>
        <w:tc>
          <w:tcPr>
            <w:tcW w:w="1150" w:type="dxa"/>
          </w:tcPr>
          <w:p w14:paraId="0B84BF3F" w14:textId="77777777" w:rsidR="00E3017D" w:rsidRPr="008B0F0C" w:rsidRDefault="000F5B51" w:rsidP="00E3017D">
            <w:pPr>
              <w:spacing w:line="240" w:lineRule="auto"/>
              <w:jc w:val="center"/>
              <w:rPr>
                <w:sz w:val="22"/>
              </w:rPr>
            </w:pPr>
            <w:r w:rsidRPr="00B7360C">
              <w:t>0.4</w:t>
            </w:r>
          </w:p>
        </w:tc>
        <w:tc>
          <w:tcPr>
            <w:tcW w:w="1163" w:type="dxa"/>
            <w:vAlign w:val="center"/>
          </w:tcPr>
          <w:p w14:paraId="7EA986E9" w14:textId="77777777" w:rsidR="00E3017D" w:rsidRPr="008B0F0C" w:rsidRDefault="000F5B51" w:rsidP="00E3017D">
            <w:pPr>
              <w:spacing w:line="240" w:lineRule="auto"/>
              <w:jc w:val="center"/>
              <w:rPr>
                <w:sz w:val="22"/>
              </w:rPr>
            </w:pPr>
            <w:r w:rsidRPr="00CC65F7">
              <w:rPr>
                <w:rFonts w:eastAsia="Times New Roman" w:cs="Times New Roman"/>
                <w:sz w:val="22"/>
              </w:rPr>
              <w:t>1.000 </w:t>
            </w:r>
          </w:p>
        </w:tc>
        <w:tc>
          <w:tcPr>
            <w:tcW w:w="1430" w:type="dxa"/>
            <w:vAlign w:val="center"/>
          </w:tcPr>
          <w:p w14:paraId="48A98D3C" w14:textId="77777777" w:rsidR="00E3017D" w:rsidRPr="008B0F0C" w:rsidRDefault="000F5B51" w:rsidP="00E3017D">
            <w:pPr>
              <w:spacing w:line="240" w:lineRule="auto"/>
              <w:jc w:val="center"/>
              <w:rPr>
                <w:sz w:val="22"/>
              </w:rPr>
            </w:pPr>
            <w:r>
              <w:rPr>
                <w:color w:val="000000"/>
                <w:sz w:val="22"/>
              </w:rPr>
              <w:t>0.4056</w:t>
            </w:r>
          </w:p>
        </w:tc>
        <w:tc>
          <w:tcPr>
            <w:tcW w:w="1150" w:type="dxa"/>
            <w:vAlign w:val="center"/>
          </w:tcPr>
          <w:p w14:paraId="2B9C028D" w14:textId="77777777" w:rsidR="00E3017D" w:rsidRPr="008B0F0C" w:rsidRDefault="000F5B51" w:rsidP="00E3017D">
            <w:pPr>
              <w:spacing w:line="240" w:lineRule="auto"/>
              <w:jc w:val="center"/>
              <w:rPr>
                <w:sz w:val="22"/>
              </w:rPr>
            </w:pPr>
            <w:r>
              <w:rPr>
                <w:color w:val="000000"/>
                <w:sz w:val="22"/>
              </w:rPr>
              <w:t>0.6</w:t>
            </w:r>
          </w:p>
        </w:tc>
        <w:tc>
          <w:tcPr>
            <w:tcW w:w="1163" w:type="dxa"/>
            <w:vAlign w:val="center"/>
          </w:tcPr>
          <w:p w14:paraId="1B1AA734" w14:textId="77777777" w:rsidR="00E3017D" w:rsidRPr="008B0F0C" w:rsidRDefault="000F5B51" w:rsidP="00E3017D">
            <w:pPr>
              <w:spacing w:line="240" w:lineRule="auto"/>
              <w:jc w:val="center"/>
              <w:rPr>
                <w:sz w:val="22"/>
              </w:rPr>
            </w:pPr>
            <w:r w:rsidRPr="00934F2C">
              <w:rPr>
                <w:rFonts w:eastAsia="Times New Roman" w:cs="Times New Roman"/>
                <w:sz w:val="22"/>
              </w:rPr>
              <w:t>1.000 </w:t>
            </w:r>
          </w:p>
        </w:tc>
        <w:tc>
          <w:tcPr>
            <w:tcW w:w="1430" w:type="dxa"/>
            <w:vAlign w:val="center"/>
          </w:tcPr>
          <w:p w14:paraId="688D3068" w14:textId="77777777" w:rsidR="00E3017D" w:rsidRPr="008B0F0C" w:rsidRDefault="000F5B51" w:rsidP="00E3017D">
            <w:pPr>
              <w:spacing w:line="240" w:lineRule="auto"/>
              <w:jc w:val="center"/>
              <w:rPr>
                <w:sz w:val="22"/>
              </w:rPr>
            </w:pPr>
            <w:r>
              <w:rPr>
                <w:color w:val="000000"/>
                <w:sz w:val="22"/>
              </w:rPr>
              <w:t>0.6084</w:t>
            </w:r>
          </w:p>
        </w:tc>
      </w:tr>
      <w:tr w:rsidR="00A15C2C" w14:paraId="7F837989" w14:textId="77777777" w:rsidTr="00CC65F7">
        <w:trPr>
          <w:trHeight w:val="236"/>
          <w:jc w:val="center"/>
        </w:trPr>
        <w:tc>
          <w:tcPr>
            <w:tcW w:w="2313" w:type="dxa"/>
            <w:gridSpan w:val="2"/>
            <w:vAlign w:val="center"/>
          </w:tcPr>
          <w:p w14:paraId="55314F66" w14:textId="77777777" w:rsidR="00682B15" w:rsidRPr="00CC65F7" w:rsidRDefault="000F5B51" w:rsidP="00CC65F7">
            <w:pPr>
              <w:spacing w:line="240" w:lineRule="auto"/>
              <w:rPr>
                <w:b/>
                <w:bCs/>
                <w:sz w:val="22"/>
              </w:rPr>
            </w:pPr>
            <w:r w:rsidRPr="00CC65F7">
              <w:rPr>
                <w:b/>
                <w:bCs/>
                <w:sz w:val="22"/>
              </w:rPr>
              <w:t>Total Ages 6-10</w:t>
            </w:r>
          </w:p>
        </w:tc>
        <w:tc>
          <w:tcPr>
            <w:tcW w:w="1163" w:type="dxa"/>
          </w:tcPr>
          <w:p w14:paraId="5FBFED7F" w14:textId="77777777" w:rsidR="00682B15" w:rsidRPr="00CC65F7" w:rsidRDefault="00682B15" w:rsidP="003C04C4">
            <w:pPr>
              <w:spacing w:line="240" w:lineRule="auto"/>
              <w:jc w:val="center"/>
              <w:rPr>
                <w:b/>
                <w:bCs/>
                <w:sz w:val="22"/>
              </w:rPr>
            </w:pPr>
          </w:p>
        </w:tc>
        <w:tc>
          <w:tcPr>
            <w:tcW w:w="1430" w:type="dxa"/>
            <w:vAlign w:val="center"/>
          </w:tcPr>
          <w:p w14:paraId="6106FB20" w14:textId="77777777" w:rsidR="00682B15" w:rsidRPr="00CC65F7" w:rsidRDefault="000F5B51" w:rsidP="0028568D">
            <w:pPr>
              <w:spacing w:line="240" w:lineRule="auto"/>
              <w:jc w:val="center"/>
              <w:rPr>
                <w:b/>
                <w:bCs/>
                <w:color w:val="000000"/>
                <w:sz w:val="22"/>
              </w:rPr>
            </w:pPr>
            <w:r>
              <w:rPr>
                <w:b/>
                <w:bCs/>
                <w:color w:val="000000"/>
                <w:sz w:val="22"/>
              </w:rPr>
              <w:t>0.4327</w:t>
            </w:r>
          </w:p>
        </w:tc>
        <w:tc>
          <w:tcPr>
            <w:tcW w:w="1150" w:type="dxa"/>
            <w:vAlign w:val="center"/>
          </w:tcPr>
          <w:p w14:paraId="63DCDA3B" w14:textId="77777777" w:rsidR="00682B15" w:rsidRPr="00CB2C12" w:rsidRDefault="00682B15">
            <w:pPr>
              <w:spacing w:line="240" w:lineRule="auto"/>
              <w:jc w:val="center"/>
              <w:rPr>
                <w:b/>
                <w:bCs/>
                <w:color w:val="000000"/>
                <w:sz w:val="22"/>
              </w:rPr>
            </w:pPr>
          </w:p>
        </w:tc>
        <w:tc>
          <w:tcPr>
            <w:tcW w:w="1163" w:type="dxa"/>
            <w:vAlign w:val="center"/>
          </w:tcPr>
          <w:p w14:paraId="2AAD00F2" w14:textId="77777777" w:rsidR="00682B15" w:rsidRPr="0028568D" w:rsidRDefault="00682B15">
            <w:pPr>
              <w:spacing w:line="240" w:lineRule="auto"/>
              <w:jc w:val="center"/>
              <w:rPr>
                <w:b/>
                <w:bCs/>
                <w:color w:val="000000"/>
                <w:sz w:val="22"/>
              </w:rPr>
            </w:pPr>
          </w:p>
        </w:tc>
        <w:tc>
          <w:tcPr>
            <w:tcW w:w="1430" w:type="dxa"/>
            <w:vAlign w:val="center"/>
          </w:tcPr>
          <w:p w14:paraId="4A0A12E3" w14:textId="77777777" w:rsidR="00682B15" w:rsidRPr="0028568D" w:rsidRDefault="000F5B51">
            <w:pPr>
              <w:spacing w:line="240" w:lineRule="auto"/>
              <w:jc w:val="center"/>
              <w:rPr>
                <w:b/>
                <w:bCs/>
                <w:color w:val="000000"/>
                <w:sz w:val="22"/>
              </w:rPr>
            </w:pPr>
            <w:r>
              <w:rPr>
                <w:b/>
                <w:bCs/>
                <w:color w:val="000000"/>
                <w:sz w:val="22"/>
              </w:rPr>
              <w:t>0.6481</w:t>
            </w:r>
          </w:p>
        </w:tc>
      </w:tr>
      <w:tr w:rsidR="00A15C2C" w14:paraId="63782AF7" w14:textId="77777777" w:rsidTr="00CC65F7">
        <w:trPr>
          <w:trHeight w:val="252"/>
          <w:jc w:val="center"/>
        </w:trPr>
        <w:tc>
          <w:tcPr>
            <w:tcW w:w="8649" w:type="dxa"/>
            <w:gridSpan w:val="7"/>
            <w:shd w:val="clear" w:color="auto" w:fill="D9D9D9" w:themeFill="background1" w:themeFillShade="D9"/>
          </w:tcPr>
          <w:p w14:paraId="71DA6C43" w14:textId="77777777" w:rsidR="00CB2C12" w:rsidRPr="00CB2C12" w:rsidRDefault="000F5B51" w:rsidP="003C04C4">
            <w:pPr>
              <w:spacing w:line="240" w:lineRule="auto"/>
              <w:jc w:val="center"/>
              <w:rPr>
                <w:b/>
                <w:bCs/>
                <w:i/>
                <w:iCs/>
                <w:sz w:val="22"/>
              </w:rPr>
            </w:pPr>
            <w:r w:rsidRPr="00CC65F7">
              <w:rPr>
                <w:b/>
                <w:bCs/>
                <w:i/>
                <w:iCs/>
                <w:sz w:val="22"/>
              </w:rPr>
              <w:t>Rear Seat Occupants 11+</w:t>
            </w:r>
          </w:p>
        </w:tc>
      </w:tr>
      <w:tr w:rsidR="00A15C2C" w14:paraId="191280E9" w14:textId="77777777" w:rsidTr="00CC65F7">
        <w:trPr>
          <w:trHeight w:val="236"/>
          <w:jc w:val="center"/>
        </w:trPr>
        <w:tc>
          <w:tcPr>
            <w:tcW w:w="1163" w:type="dxa"/>
          </w:tcPr>
          <w:p w14:paraId="141543D6" w14:textId="77777777" w:rsidR="00EF296D" w:rsidRPr="00CC65F7" w:rsidRDefault="000F5B51" w:rsidP="00EF296D">
            <w:pPr>
              <w:spacing w:line="240" w:lineRule="auto"/>
              <w:rPr>
                <w:b/>
                <w:bCs/>
                <w:color w:val="000000"/>
                <w:sz w:val="22"/>
              </w:rPr>
            </w:pPr>
            <w:r w:rsidRPr="008B0F0C">
              <w:rPr>
                <w:sz w:val="22"/>
              </w:rPr>
              <w:t>MAIS 1</w:t>
            </w:r>
          </w:p>
        </w:tc>
        <w:tc>
          <w:tcPr>
            <w:tcW w:w="1150" w:type="dxa"/>
            <w:vAlign w:val="center"/>
          </w:tcPr>
          <w:p w14:paraId="0ED8371F" w14:textId="77777777" w:rsidR="00EF296D" w:rsidRPr="008B0F0C" w:rsidRDefault="000F5B51" w:rsidP="00EF296D">
            <w:pPr>
              <w:spacing w:line="240" w:lineRule="auto"/>
              <w:jc w:val="center"/>
              <w:rPr>
                <w:sz w:val="22"/>
              </w:rPr>
            </w:pPr>
            <w:r>
              <w:rPr>
                <w:color w:val="000000"/>
                <w:sz w:val="22"/>
              </w:rPr>
              <w:t>21.6</w:t>
            </w:r>
          </w:p>
        </w:tc>
        <w:tc>
          <w:tcPr>
            <w:tcW w:w="1163" w:type="dxa"/>
            <w:vAlign w:val="center"/>
          </w:tcPr>
          <w:p w14:paraId="17C75397" w14:textId="77777777" w:rsidR="00EF296D" w:rsidRPr="008B0F0C" w:rsidRDefault="000F5B51" w:rsidP="00EF296D">
            <w:pPr>
              <w:spacing w:line="240" w:lineRule="auto"/>
              <w:jc w:val="center"/>
              <w:rPr>
                <w:sz w:val="22"/>
              </w:rPr>
            </w:pPr>
            <w:r w:rsidRPr="00CC65F7">
              <w:rPr>
                <w:rFonts w:eastAsia="Times New Roman" w:cs="Times New Roman"/>
                <w:sz w:val="22"/>
              </w:rPr>
              <w:t>0.0038 </w:t>
            </w:r>
          </w:p>
        </w:tc>
        <w:tc>
          <w:tcPr>
            <w:tcW w:w="1430" w:type="dxa"/>
            <w:vAlign w:val="center"/>
          </w:tcPr>
          <w:p w14:paraId="54DE8B97" w14:textId="77777777" w:rsidR="00EF296D" w:rsidRPr="008B0F0C" w:rsidRDefault="000F5B51" w:rsidP="00EF296D">
            <w:pPr>
              <w:spacing w:line="240" w:lineRule="auto"/>
              <w:jc w:val="center"/>
              <w:rPr>
                <w:sz w:val="22"/>
              </w:rPr>
            </w:pPr>
            <w:r>
              <w:rPr>
                <w:color w:val="000000"/>
                <w:sz w:val="22"/>
              </w:rPr>
              <w:t>0.0822</w:t>
            </w:r>
          </w:p>
        </w:tc>
        <w:tc>
          <w:tcPr>
            <w:tcW w:w="1150" w:type="dxa"/>
            <w:vAlign w:val="center"/>
          </w:tcPr>
          <w:p w14:paraId="789E017C" w14:textId="77777777" w:rsidR="00EF296D" w:rsidRPr="008B0F0C" w:rsidRDefault="000F5B51" w:rsidP="00EF296D">
            <w:pPr>
              <w:spacing w:line="240" w:lineRule="auto"/>
              <w:jc w:val="center"/>
              <w:rPr>
                <w:sz w:val="22"/>
              </w:rPr>
            </w:pPr>
            <w:r>
              <w:rPr>
                <w:color w:val="000000"/>
                <w:sz w:val="22"/>
              </w:rPr>
              <w:t>32.5</w:t>
            </w:r>
          </w:p>
        </w:tc>
        <w:tc>
          <w:tcPr>
            <w:tcW w:w="1163" w:type="dxa"/>
            <w:vAlign w:val="center"/>
          </w:tcPr>
          <w:p w14:paraId="60ABE5E2" w14:textId="77777777" w:rsidR="00EF296D" w:rsidRPr="008B0F0C" w:rsidRDefault="000F5B51" w:rsidP="00EF296D">
            <w:pPr>
              <w:spacing w:line="240" w:lineRule="auto"/>
              <w:jc w:val="center"/>
              <w:rPr>
                <w:sz w:val="22"/>
              </w:rPr>
            </w:pPr>
            <w:r w:rsidRPr="00934F2C">
              <w:rPr>
                <w:rFonts w:eastAsia="Times New Roman" w:cs="Times New Roman"/>
                <w:sz w:val="22"/>
              </w:rPr>
              <w:t>0.0038 </w:t>
            </w:r>
          </w:p>
        </w:tc>
        <w:tc>
          <w:tcPr>
            <w:tcW w:w="1430" w:type="dxa"/>
            <w:vAlign w:val="center"/>
          </w:tcPr>
          <w:p w14:paraId="3D9F0869" w14:textId="77777777" w:rsidR="00EF296D" w:rsidRPr="008B0F0C" w:rsidRDefault="000F5B51" w:rsidP="00EF296D">
            <w:pPr>
              <w:spacing w:line="240" w:lineRule="auto"/>
              <w:jc w:val="center"/>
              <w:rPr>
                <w:sz w:val="22"/>
              </w:rPr>
            </w:pPr>
            <w:r>
              <w:rPr>
                <w:color w:val="000000"/>
                <w:sz w:val="22"/>
              </w:rPr>
              <w:t>0.1235</w:t>
            </w:r>
          </w:p>
        </w:tc>
      </w:tr>
      <w:tr w:rsidR="00A15C2C" w14:paraId="5A54426E" w14:textId="77777777" w:rsidTr="00CC65F7">
        <w:trPr>
          <w:trHeight w:val="252"/>
          <w:jc w:val="center"/>
        </w:trPr>
        <w:tc>
          <w:tcPr>
            <w:tcW w:w="1163" w:type="dxa"/>
          </w:tcPr>
          <w:p w14:paraId="75E8192C" w14:textId="77777777" w:rsidR="00EF296D" w:rsidRPr="00CC65F7" w:rsidRDefault="000F5B51" w:rsidP="00EF296D">
            <w:pPr>
              <w:spacing w:line="240" w:lineRule="auto"/>
              <w:rPr>
                <w:b/>
                <w:bCs/>
                <w:sz w:val="22"/>
              </w:rPr>
            </w:pPr>
            <w:r w:rsidRPr="008B0F0C">
              <w:rPr>
                <w:color w:val="000000"/>
                <w:sz w:val="22"/>
              </w:rPr>
              <w:t>MAIS 2</w:t>
            </w:r>
          </w:p>
        </w:tc>
        <w:tc>
          <w:tcPr>
            <w:tcW w:w="1150" w:type="dxa"/>
            <w:vAlign w:val="center"/>
          </w:tcPr>
          <w:p w14:paraId="641AA578" w14:textId="77777777" w:rsidR="00EF296D" w:rsidRPr="008B0F0C" w:rsidRDefault="000F5B51" w:rsidP="00EF296D">
            <w:pPr>
              <w:spacing w:line="240" w:lineRule="auto"/>
              <w:jc w:val="center"/>
              <w:rPr>
                <w:sz w:val="22"/>
              </w:rPr>
            </w:pPr>
            <w:r>
              <w:rPr>
                <w:color w:val="000000"/>
                <w:sz w:val="22"/>
              </w:rPr>
              <w:t>39.6</w:t>
            </w:r>
          </w:p>
        </w:tc>
        <w:tc>
          <w:tcPr>
            <w:tcW w:w="1163" w:type="dxa"/>
            <w:vAlign w:val="center"/>
          </w:tcPr>
          <w:p w14:paraId="6D4AC96D" w14:textId="77777777" w:rsidR="00EF296D" w:rsidRPr="008B0F0C" w:rsidRDefault="000F5B51" w:rsidP="00EF296D">
            <w:pPr>
              <w:spacing w:line="240" w:lineRule="auto"/>
              <w:jc w:val="center"/>
              <w:rPr>
                <w:sz w:val="22"/>
              </w:rPr>
            </w:pPr>
            <w:r w:rsidRPr="00CC65F7">
              <w:rPr>
                <w:rFonts w:eastAsia="Times New Roman" w:cs="Times New Roman"/>
                <w:sz w:val="22"/>
              </w:rPr>
              <w:t>0.0454</w:t>
            </w:r>
          </w:p>
        </w:tc>
        <w:tc>
          <w:tcPr>
            <w:tcW w:w="1430" w:type="dxa"/>
            <w:vAlign w:val="center"/>
          </w:tcPr>
          <w:p w14:paraId="691E5CD2" w14:textId="77777777" w:rsidR="00EF296D" w:rsidRPr="008B0F0C" w:rsidRDefault="000F5B51" w:rsidP="00EF296D">
            <w:pPr>
              <w:spacing w:line="240" w:lineRule="auto"/>
              <w:jc w:val="center"/>
              <w:rPr>
                <w:sz w:val="22"/>
              </w:rPr>
            </w:pPr>
            <w:r>
              <w:rPr>
                <w:color w:val="000000"/>
                <w:sz w:val="22"/>
              </w:rPr>
              <w:t>1.7990</w:t>
            </w:r>
          </w:p>
        </w:tc>
        <w:tc>
          <w:tcPr>
            <w:tcW w:w="1150" w:type="dxa"/>
            <w:vAlign w:val="center"/>
          </w:tcPr>
          <w:p w14:paraId="4CDBD8CD" w14:textId="77777777" w:rsidR="00EF296D" w:rsidRPr="008B0F0C" w:rsidRDefault="000F5B51" w:rsidP="00EF296D">
            <w:pPr>
              <w:spacing w:line="240" w:lineRule="auto"/>
              <w:jc w:val="center"/>
              <w:rPr>
                <w:sz w:val="22"/>
              </w:rPr>
            </w:pPr>
            <w:r>
              <w:rPr>
                <w:color w:val="000000"/>
                <w:sz w:val="22"/>
              </w:rPr>
              <w:t>59.5</w:t>
            </w:r>
          </w:p>
        </w:tc>
        <w:tc>
          <w:tcPr>
            <w:tcW w:w="1163" w:type="dxa"/>
            <w:vAlign w:val="center"/>
          </w:tcPr>
          <w:p w14:paraId="29191B9F" w14:textId="77777777" w:rsidR="00EF296D" w:rsidRPr="008B0F0C" w:rsidRDefault="000F5B51" w:rsidP="00EF296D">
            <w:pPr>
              <w:spacing w:line="240" w:lineRule="auto"/>
              <w:jc w:val="center"/>
              <w:rPr>
                <w:sz w:val="22"/>
              </w:rPr>
            </w:pPr>
            <w:r w:rsidRPr="00934F2C">
              <w:rPr>
                <w:rFonts w:eastAsia="Times New Roman" w:cs="Times New Roman"/>
                <w:sz w:val="22"/>
              </w:rPr>
              <w:t>0.0454</w:t>
            </w:r>
          </w:p>
        </w:tc>
        <w:tc>
          <w:tcPr>
            <w:tcW w:w="1430" w:type="dxa"/>
            <w:vAlign w:val="center"/>
          </w:tcPr>
          <w:p w14:paraId="434572DC" w14:textId="77777777" w:rsidR="00EF296D" w:rsidRPr="008B0F0C" w:rsidRDefault="000F5B51" w:rsidP="00EF296D">
            <w:pPr>
              <w:spacing w:line="240" w:lineRule="auto"/>
              <w:jc w:val="center"/>
              <w:rPr>
                <w:sz w:val="22"/>
              </w:rPr>
            </w:pPr>
            <w:r>
              <w:rPr>
                <w:color w:val="000000"/>
                <w:sz w:val="22"/>
              </w:rPr>
              <w:t>2.7035</w:t>
            </w:r>
          </w:p>
        </w:tc>
      </w:tr>
      <w:tr w:rsidR="00A15C2C" w14:paraId="42ED034A" w14:textId="77777777" w:rsidTr="00CC65F7">
        <w:trPr>
          <w:trHeight w:val="236"/>
          <w:jc w:val="center"/>
        </w:trPr>
        <w:tc>
          <w:tcPr>
            <w:tcW w:w="1163" w:type="dxa"/>
          </w:tcPr>
          <w:p w14:paraId="6D854E00" w14:textId="77777777" w:rsidR="00EF296D" w:rsidRPr="00CC65F7" w:rsidRDefault="000F5B51" w:rsidP="00EF296D">
            <w:pPr>
              <w:spacing w:line="240" w:lineRule="auto"/>
              <w:rPr>
                <w:b/>
                <w:bCs/>
                <w:color w:val="000000"/>
                <w:sz w:val="22"/>
              </w:rPr>
            </w:pPr>
            <w:r w:rsidRPr="008B0F0C">
              <w:rPr>
                <w:sz w:val="22"/>
              </w:rPr>
              <w:t>MAIS 3</w:t>
            </w:r>
          </w:p>
        </w:tc>
        <w:tc>
          <w:tcPr>
            <w:tcW w:w="1150" w:type="dxa"/>
            <w:vAlign w:val="center"/>
          </w:tcPr>
          <w:p w14:paraId="2E0E4040" w14:textId="77777777" w:rsidR="00EF296D" w:rsidRPr="008B0F0C" w:rsidRDefault="000F5B51" w:rsidP="00EF296D">
            <w:pPr>
              <w:spacing w:line="240" w:lineRule="auto"/>
              <w:jc w:val="center"/>
              <w:rPr>
                <w:sz w:val="22"/>
              </w:rPr>
            </w:pPr>
            <w:r>
              <w:rPr>
                <w:color w:val="000000"/>
                <w:sz w:val="22"/>
              </w:rPr>
              <w:t>5.4</w:t>
            </w:r>
          </w:p>
        </w:tc>
        <w:tc>
          <w:tcPr>
            <w:tcW w:w="1163" w:type="dxa"/>
            <w:vAlign w:val="center"/>
          </w:tcPr>
          <w:p w14:paraId="73C3A09A" w14:textId="77777777" w:rsidR="00EF296D" w:rsidRPr="008B0F0C" w:rsidRDefault="000F5B51" w:rsidP="00EF296D">
            <w:pPr>
              <w:spacing w:line="240" w:lineRule="auto"/>
              <w:jc w:val="center"/>
              <w:rPr>
                <w:sz w:val="22"/>
              </w:rPr>
            </w:pPr>
            <w:r w:rsidRPr="00CC65F7">
              <w:rPr>
                <w:rFonts w:eastAsia="Times New Roman" w:cs="Times New Roman"/>
                <w:sz w:val="22"/>
              </w:rPr>
              <w:t>0.1078 </w:t>
            </w:r>
          </w:p>
        </w:tc>
        <w:tc>
          <w:tcPr>
            <w:tcW w:w="1430" w:type="dxa"/>
            <w:vAlign w:val="center"/>
          </w:tcPr>
          <w:p w14:paraId="32F52D7B" w14:textId="77777777" w:rsidR="00EF296D" w:rsidRPr="008B0F0C" w:rsidRDefault="000F5B51" w:rsidP="00EF296D">
            <w:pPr>
              <w:spacing w:line="240" w:lineRule="auto"/>
              <w:jc w:val="center"/>
              <w:rPr>
                <w:sz w:val="22"/>
              </w:rPr>
            </w:pPr>
            <w:r>
              <w:rPr>
                <w:color w:val="000000"/>
                <w:sz w:val="22"/>
              </w:rPr>
              <w:t>0.5871</w:t>
            </w:r>
          </w:p>
        </w:tc>
        <w:tc>
          <w:tcPr>
            <w:tcW w:w="1150" w:type="dxa"/>
            <w:vAlign w:val="center"/>
          </w:tcPr>
          <w:p w14:paraId="02DE9324" w14:textId="77777777" w:rsidR="00EF296D" w:rsidRPr="008B0F0C" w:rsidRDefault="000F5B51" w:rsidP="00EF296D">
            <w:pPr>
              <w:spacing w:line="240" w:lineRule="auto"/>
              <w:jc w:val="center"/>
              <w:rPr>
                <w:sz w:val="22"/>
              </w:rPr>
            </w:pPr>
            <w:r>
              <w:rPr>
                <w:color w:val="000000"/>
                <w:sz w:val="22"/>
              </w:rPr>
              <w:t>8.2</w:t>
            </w:r>
          </w:p>
        </w:tc>
        <w:tc>
          <w:tcPr>
            <w:tcW w:w="1163" w:type="dxa"/>
            <w:vAlign w:val="center"/>
          </w:tcPr>
          <w:p w14:paraId="2FBF7C2F" w14:textId="77777777" w:rsidR="00EF296D" w:rsidRPr="008B0F0C" w:rsidRDefault="000F5B51" w:rsidP="00EF296D">
            <w:pPr>
              <w:spacing w:line="240" w:lineRule="auto"/>
              <w:jc w:val="center"/>
              <w:rPr>
                <w:sz w:val="22"/>
              </w:rPr>
            </w:pPr>
            <w:r w:rsidRPr="00934F2C">
              <w:rPr>
                <w:rFonts w:eastAsia="Times New Roman" w:cs="Times New Roman"/>
                <w:sz w:val="22"/>
              </w:rPr>
              <w:t>0.1078 </w:t>
            </w:r>
          </w:p>
        </w:tc>
        <w:tc>
          <w:tcPr>
            <w:tcW w:w="1430" w:type="dxa"/>
            <w:vAlign w:val="center"/>
          </w:tcPr>
          <w:p w14:paraId="600BE214" w14:textId="77777777" w:rsidR="00EF296D" w:rsidRPr="008B0F0C" w:rsidRDefault="000F5B51" w:rsidP="00EF296D">
            <w:pPr>
              <w:spacing w:line="240" w:lineRule="auto"/>
              <w:jc w:val="center"/>
              <w:rPr>
                <w:sz w:val="22"/>
              </w:rPr>
            </w:pPr>
            <w:r>
              <w:rPr>
                <w:color w:val="000000"/>
                <w:sz w:val="22"/>
              </w:rPr>
              <w:t>0.8823</w:t>
            </w:r>
          </w:p>
        </w:tc>
      </w:tr>
      <w:tr w:rsidR="00A15C2C" w14:paraId="49F36BBD" w14:textId="77777777" w:rsidTr="00CC65F7">
        <w:trPr>
          <w:trHeight w:val="252"/>
          <w:jc w:val="center"/>
        </w:trPr>
        <w:tc>
          <w:tcPr>
            <w:tcW w:w="1163" w:type="dxa"/>
          </w:tcPr>
          <w:p w14:paraId="19A4088C" w14:textId="77777777" w:rsidR="00EF296D" w:rsidRPr="00CC65F7" w:rsidRDefault="000F5B51" w:rsidP="00EF296D">
            <w:pPr>
              <w:spacing w:line="240" w:lineRule="auto"/>
              <w:rPr>
                <w:b/>
                <w:bCs/>
                <w:sz w:val="22"/>
              </w:rPr>
            </w:pPr>
            <w:r w:rsidRPr="008B0F0C">
              <w:rPr>
                <w:color w:val="000000"/>
                <w:sz w:val="22"/>
              </w:rPr>
              <w:t>MAIS 4</w:t>
            </w:r>
          </w:p>
        </w:tc>
        <w:tc>
          <w:tcPr>
            <w:tcW w:w="1150" w:type="dxa"/>
            <w:vAlign w:val="center"/>
          </w:tcPr>
          <w:p w14:paraId="44E8B475" w14:textId="77777777" w:rsidR="00EF296D" w:rsidRPr="008B0F0C" w:rsidRDefault="000F5B51" w:rsidP="00EF296D">
            <w:pPr>
              <w:spacing w:line="240" w:lineRule="auto"/>
              <w:jc w:val="center"/>
              <w:rPr>
                <w:sz w:val="22"/>
              </w:rPr>
            </w:pPr>
            <w:r>
              <w:rPr>
                <w:color w:val="000000"/>
                <w:sz w:val="22"/>
              </w:rPr>
              <w:t>5.4</w:t>
            </w:r>
          </w:p>
        </w:tc>
        <w:tc>
          <w:tcPr>
            <w:tcW w:w="1163" w:type="dxa"/>
            <w:vAlign w:val="center"/>
          </w:tcPr>
          <w:p w14:paraId="2E5FBEED" w14:textId="77777777" w:rsidR="00EF296D" w:rsidRPr="008B0F0C" w:rsidRDefault="000F5B51" w:rsidP="00EF296D">
            <w:pPr>
              <w:spacing w:line="240" w:lineRule="auto"/>
              <w:jc w:val="center"/>
              <w:rPr>
                <w:sz w:val="22"/>
              </w:rPr>
            </w:pPr>
            <w:r w:rsidRPr="00CC65F7">
              <w:rPr>
                <w:rFonts w:eastAsia="Times New Roman" w:cs="Times New Roman"/>
                <w:sz w:val="22"/>
              </w:rPr>
              <w:t>0.2677 </w:t>
            </w:r>
          </w:p>
        </w:tc>
        <w:tc>
          <w:tcPr>
            <w:tcW w:w="1430" w:type="dxa"/>
            <w:vAlign w:val="center"/>
          </w:tcPr>
          <w:p w14:paraId="2A2C5C72" w14:textId="77777777" w:rsidR="00EF296D" w:rsidRPr="008B0F0C" w:rsidRDefault="000F5B51" w:rsidP="00EF296D">
            <w:pPr>
              <w:spacing w:line="240" w:lineRule="auto"/>
              <w:jc w:val="center"/>
              <w:rPr>
                <w:sz w:val="22"/>
              </w:rPr>
            </w:pPr>
            <w:r>
              <w:rPr>
                <w:color w:val="000000"/>
                <w:sz w:val="22"/>
              </w:rPr>
              <w:t>1.4527</w:t>
            </w:r>
          </w:p>
        </w:tc>
        <w:tc>
          <w:tcPr>
            <w:tcW w:w="1150" w:type="dxa"/>
            <w:vAlign w:val="center"/>
          </w:tcPr>
          <w:p w14:paraId="02E34CCC" w14:textId="77777777" w:rsidR="00EF296D" w:rsidRPr="008B0F0C" w:rsidRDefault="000F5B51" w:rsidP="00EF296D">
            <w:pPr>
              <w:spacing w:line="240" w:lineRule="auto"/>
              <w:jc w:val="center"/>
              <w:rPr>
                <w:sz w:val="22"/>
              </w:rPr>
            </w:pPr>
            <w:r>
              <w:rPr>
                <w:color w:val="000000"/>
                <w:sz w:val="22"/>
              </w:rPr>
              <w:t>8.2</w:t>
            </w:r>
          </w:p>
        </w:tc>
        <w:tc>
          <w:tcPr>
            <w:tcW w:w="1163" w:type="dxa"/>
            <w:vAlign w:val="center"/>
          </w:tcPr>
          <w:p w14:paraId="6505D73E" w14:textId="77777777" w:rsidR="00EF296D" w:rsidRPr="008B0F0C" w:rsidRDefault="000F5B51" w:rsidP="00EF296D">
            <w:pPr>
              <w:spacing w:line="240" w:lineRule="auto"/>
              <w:jc w:val="center"/>
              <w:rPr>
                <w:sz w:val="22"/>
              </w:rPr>
            </w:pPr>
            <w:r w:rsidRPr="00934F2C">
              <w:rPr>
                <w:rFonts w:eastAsia="Times New Roman" w:cs="Times New Roman"/>
                <w:sz w:val="22"/>
              </w:rPr>
              <w:t>0.2677 </w:t>
            </w:r>
          </w:p>
        </w:tc>
        <w:tc>
          <w:tcPr>
            <w:tcW w:w="1430" w:type="dxa"/>
            <w:vAlign w:val="center"/>
          </w:tcPr>
          <w:p w14:paraId="2C1F5B04" w14:textId="77777777" w:rsidR="00EF296D" w:rsidRPr="008B0F0C" w:rsidRDefault="000F5B51" w:rsidP="00EF296D">
            <w:pPr>
              <w:spacing w:line="240" w:lineRule="auto"/>
              <w:jc w:val="center"/>
              <w:rPr>
                <w:sz w:val="22"/>
              </w:rPr>
            </w:pPr>
            <w:r>
              <w:rPr>
                <w:color w:val="000000"/>
                <w:sz w:val="22"/>
              </w:rPr>
              <w:t>2.1831</w:t>
            </w:r>
          </w:p>
        </w:tc>
      </w:tr>
      <w:tr w:rsidR="00A15C2C" w14:paraId="21F7CC86" w14:textId="77777777" w:rsidTr="00CC65F7">
        <w:trPr>
          <w:trHeight w:val="236"/>
          <w:jc w:val="center"/>
        </w:trPr>
        <w:tc>
          <w:tcPr>
            <w:tcW w:w="1163" w:type="dxa"/>
          </w:tcPr>
          <w:p w14:paraId="1A790FD9" w14:textId="77777777" w:rsidR="00EF296D" w:rsidRPr="00CC65F7" w:rsidRDefault="000F5B51" w:rsidP="00EF296D">
            <w:pPr>
              <w:spacing w:line="240" w:lineRule="auto"/>
              <w:rPr>
                <w:sz w:val="22"/>
              </w:rPr>
            </w:pPr>
            <w:r w:rsidRPr="008B0F0C">
              <w:rPr>
                <w:sz w:val="22"/>
              </w:rPr>
              <w:t>MAIS 5</w:t>
            </w:r>
          </w:p>
        </w:tc>
        <w:tc>
          <w:tcPr>
            <w:tcW w:w="1150" w:type="dxa"/>
            <w:vAlign w:val="center"/>
          </w:tcPr>
          <w:p w14:paraId="3161B7AC" w14:textId="77777777" w:rsidR="00EF296D" w:rsidRPr="008B0F0C" w:rsidRDefault="000F5B51" w:rsidP="00EF296D">
            <w:pPr>
              <w:spacing w:line="240" w:lineRule="auto"/>
              <w:jc w:val="center"/>
              <w:rPr>
                <w:sz w:val="22"/>
              </w:rPr>
            </w:pPr>
            <w:r>
              <w:rPr>
                <w:color w:val="000000"/>
                <w:sz w:val="22"/>
              </w:rPr>
              <w:t>0.2</w:t>
            </w:r>
          </w:p>
        </w:tc>
        <w:tc>
          <w:tcPr>
            <w:tcW w:w="1163" w:type="dxa"/>
            <w:vAlign w:val="center"/>
          </w:tcPr>
          <w:p w14:paraId="0CD01209" w14:textId="77777777" w:rsidR="00EF296D" w:rsidRPr="008B0F0C" w:rsidRDefault="000F5B51" w:rsidP="00EF296D">
            <w:pPr>
              <w:spacing w:line="240" w:lineRule="auto"/>
              <w:jc w:val="center"/>
              <w:rPr>
                <w:sz w:val="22"/>
              </w:rPr>
            </w:pPr>
            <w:r w:rsidRPr="00CC65F7">
              <w:rPr>
                <w:rFonts w:eastAsia="Times New Roman" w:cs="Times New Roman"/>
                <w:sz w:val="22"/>
              </w:rPr>
              <w:t>0.6125 </w:t>
            </w:r>
          </w:p>
        </w:tc>
        <w:tc>
          <w:tcPr>
            <w:tcW w:w="1430" w:type="dxa"/>
            <w:vAlign w:val="center"/>
          </w:tcPr>
          <w:p w14:paraId="2550A0DD" w14:textId="77777777" w:rsidR="00EF296D" w:rsidRPr="008B0F0C" w:rsidRDefault="000F5B51" w:rsidP="00EF296D">
            <w:pPr>
              <w:spacing w:line="240" w:lineRule="auto"/>
              <w:jc w:val="center"/>
              <w:rPr>
                <w:sz w:val="22"/>
              </w:rPr>
            </w:pPr>
            <w:r>
              <w:rPr>
                <w:color w:val="000000"/>
                <w:sz w:val="22"/>
              </w:rPr>
              <w:t>0.0965</w:t>
            </w:r>
          </w:p>
        </w:tc>
        <w:tc>
          <w:tcPr>
            <w:tcW w:w="1150" w:type="dxa"/>
            <w:vAlign w:val="center"/>
          </w:tcPr>
          <w:p w14:paraId="2137FD9A" w14:textId="77777777" w:rsidR="00EF296D" w:rsidRPr="008B0F0C" w:rsidRDefault="000F5B51" w:rsidP="00EF296D">
            <w:pPr>
              <w:spacing w:line="240" w:lineRule="auto"/>
              <w:jc w:val="center"/>
              <w:rPr>
                <w:sz w:val="22"/>
              </w:rPr>
            </w:pPr>
            <w:r>
              <w:rPr>
                <w:color w:val="000000"/>
                <w:sz w:val="22"/>
              </w:rPr>
              <w:t>0.2</w:t>
            </w:r>
          </w:p>
        </w:tc>
        <w:tc>
          <w:tcPr>
            <w:tcW w:w="1163" w:type="dxa"/>
            <w:vAlign w:val="center"/>
          </w:tcPr>
          <w:p w14:paraId="7C08C313" w14:textId="77777777" w:rsidR="00EF296D" w:rsidRPr="008B0F0C" w:rsidRDefault="000F5B51" w:rsidP="00EF296D">
            <w:pPr>
              <w:spacing w:line="240" w:lineRule="auto"/>
              <w:jc w:val="center"/>
              <w:rPr>
                <w:sz w:val="22"/>
              </w:rPr>
            </w:pPr>
            <w:r w:rsidRPr="00934F2C">
              <w:rPr>
                <w:rFonts w:eastAsia="Times New Roman" w:cs="Times New Roman"/>
                <w:sz w:val="22"/>
              </w:rPr>
              <w:t>0.6125 </w:t>
            </w:r>
          </w:p>
        </w:tc>
        <w:tc>
          <w:tcPr>
            <w:tcW w:w="1430" w:type="dxa"/>
            <w:vAlign w:val="center"/>
          </w:tcPr>
          <w:p w14:paraId="7730B0B3" w14:textId="77777777" w:rsidR="00EF296D" w:rsidRPr="008B0F0C" w:rsidRDefault="000F5B51" w:rsidP="00EF296D">
            <w:pPr>
              <w:spacing w:line="240" w:lineRule="auto"/>
              <w:jc w:val="center"/>
              <w:rPr>
                <w:sz w:val="22"/>
              </w:rPr>
            </w:pPr>
            <w:r>
              <w:rPr>
                <w:color w:val="000000"/>
                <w:sz w:val="22"/>
              </w:rPr>
              <w:t>0.1450</w:t>
            </w:r>
          </w:p>
        </w:tc>
      </w:tr>
      <w:tr w:rsidR="00A15C2C" w14:paraId="74285061" w14:textId="77777777" w:rsidTr="00CC65F7">
        <w:trPr>
          <w:trHeight w:val="236"/>
          <w:jc w:val="center"/>
        </w:trPr>
        <w:tc>
          <w:tcPr>
            <w:tcW w:w="1163" w:type="dxa"/>
          </w:tcPr>
          <w:p w14:paraId="3A6DF025" w14:textId="77777777" w:rsidR="00EF296D" w:rsidRPr="00CC65F7" w:rsidRDefault="000F5B51" w:rsidP="00EF296D">
            <w:pPr>
              <w:spacing w:line="240" w:lineRule="auto"/>
              <w:rPr>
                <w:b/>
                <w:bCs/>
                <w:color w:val="000000"/>
                <w:sz w:val="22"/>
              </w:rPr>
            </w:pPr>
            <w:r w:rsidRPr="00CC65F7">
              <w:rPr>
                <w:color w:val="000000"/>
                <w:sz w:val="22"/>
              </w:rPr>
              <w:t>Fatalities</w:t>
            </w:r>
          </w:p>
        </w:tc>
        <w:tc>
          <w:tcPr>
            <w:tcW w:w="1150" w:type="dxa"/>
            <w:vAlign w:val="center"/>
          </w:tcPr>
          <w:p w14:paraId="26A28F83" w14:textId="77777777" w:rsidR="00EF296D" w:rsidRPr="008B0F0C" w:rsidRDefault="000F5B51" w:rsidP="00EF296D">
            <w:pPr>
              <w:spacing w:line="240" w:lineRule="auto"/>
              <w:jc w:val="center"/>
              <w:rPr>
                <w:sz w:val="22"/>
              </w:rPr>
            </w:pPr>
            <w:r>
              <w:rPr>
                <w:color w:val="000000"/>
                <w:sz w:val="22"/>
              </w:rPr>
              <w:t>21.9</w:t>
            </w:r>
          </w:p>
        </w:tc>
        <w:tc>
          <w:tcPr>
            <w:tcW w:w="1163" w:type="dxa"/>
            <w:vAlign w:val="center"/>
          </w:tcPr>
          <w:p w14:paraId="456866C9" w14:textId="77777777" w:rsidR="00EF296D" w:rsidRPr="008B0F0C" w:rsidRDefault="000F5B51" w:rsidP="00EF296D">
            <w:pPr>
              <w:spacing w:line="240" w:lineRule="auto"/>
              <w:jc w:val="center"/>
              <w:rPr>
                <w:sz w:val="22"/>
              </w:rPr>
            </w:pPr>
            <w:r w:rsidRPr="00CC65F7">
              <w:rPr>
                <w:rFonts w:eastAsia="Times New Roman" w:cs="Times New Roman"/>
                <w:sz w:val="22"/>
              </w:rPr>
              <w:t>1.000 </w:t>
            </w:r>
          </w:p>
        </w:tc>
        <w:tc>
          <w:tcPr>
            <w:tcW w:w="1430" w:type="dxa"/>
            <w:vAlign w:val="center"/>
          </w:tcPr>
          <w:p w14:paraId="513C10D3" w14:textId="77777777" w:rsidR="00EF296D" w:rsidRPr="008B0F0C" w:rsidRDefault="000F5B51" w:rsidP="00EF296D">
            <w:pPr>
              <w:spacing w:line="240" w:lineRule="auto"/>
              <w:jc w:val="center"/>
              <w:rPr>
                <w:sz w:val="22"/>
              </w:rPr>
            </w:pPr>
            <w:r>
              <w:rPr>
                <w:color w:val="000000"/>
                <w:sz w:val="22"/>
              </w:rPr>
              <w:t>21.9076</w:t>
            </w:r>
          </w:p>
        </w:tc>
        <w:tc>
          <w:tcPr>
            <w:tcW w:w="1150" w:type="dxa"/>
            <w:vAlign w:val="center"/>
          </w:tcPr>
          <w:p w14:paraId="085E4666" w14:textId="77777777" w:rsidR="00EF296D" w:rsidRPr="008B0F0C" w:rsidRDefault="000F5B51" w:rsidP="00EF296D">
            <w:pPr>
              <w:spacing w:line="240" w:lineRule="auto"/>
              <w:jc w:val="center"/>
              <w:rPr>
                <w:sz w:val="22"/>
              </w:rPr>
            </w:pPr>
            <w:r>
              <w:rPr>
                <w:color w:val="000000"/>
                <w:sz w:val="22"/>
              </w:rPr>
              <w:t>33.0</w:t>
            </w:r>
          </w:p>
        </w:tc>
        <w:tc>
          <w:tcPr>
            <w:tcW w:w="1163" w:type="dxa"/>
            <w:vAlign w:val="center"/>
          </w:tcPr>
          <w:p w14:paraId="23BF5F12" w14:textId="77777777" w:rsidR="00EF296D" w:rsidRPr="008B0F0C" w:rsidRDefault="000F5B51" w:rsidP="00EF296D">
            <w:pPr>
              <w:spacing w:line="240" w:lineRule="auto"/>
              <w:jc w:val="center"/>
              <w:rPr>
                <w:sz w:val="22"/>
              </w:rPr>
            </w:pPr>
            <w:r w:rsidRPr="00934F2C">
              <w:rPr>
                <w:rFonts w:eastAsia="Times New Roman" w:cs="Times New Roman"/>
                <w:sz w:val="22"/>
              </w:rPr>
              <w:t>1.000 </w:t>
            </w:r>
          </w:p>
        </w:tc>
        <w:tc>
          <w:tcPr>
            <w:tcW w:w="1430" w:type="dxa"/>
            <w:vAlign w:val="center"/>
          </w:tcPr>
          <w:p w14:paraId="7FAEE8DD" w14:textId="77777777" w:rsidR="00EF296D" w:rsidRPr="008B0F0C" w:rsidRDefault="000F5B51" w:rsidP="00EF296D">
            <w:pPr>
              <w:spacing w:line="240" w:lineRule="auto"/>
              <w:jc w:val="center"/>
              <w:rPr>
                <w:sz w:val="22"/>
              </w:rPr>
            </w:pPr>
            <w:r>
              <w:rPr>
                <w:color w:val="000000"/>
                <w:sz w:val="22"/>
              </w:rPr>
              <w:t>33.0186</w:t>
            </w:r>
          </w:p>
        </w:tc>
      </w:tr>
      <w:tr w:rsidR="00A15C2C" w14:paraId="65B72740" w14:textId="77777777" w:rsidTr="00CC65F7">
        <w:trPr>
          <w:trHeight w:val="236"/>
          <w:jc w:val="center"/>
        </w:trPr>
        <w:tc>
          <w:tcPr>
            <w:tcW w:w="2313" w:type="dxa"/>
            <w:gridSpan w:val="2"/>
            <w:vAlign w:val="center"/>
          </w:tcPr>
          <w:p w14:paraId="49A0A13C" w14:textId="77777777" w:rsidR="00A321B8" w:rsidRPr="00CC65F7" w:rsidRDefault="000F5B51" w:rsidP="00CC65F7">
            <w:pPr>
              <w:spacing w:line="240" w:lineRule="auto"/>
              <w:rPr>
                <w:b/>
                <w:bCs/>
                <w:sz w:val="22"/>
              </w:rPr>
            </w:pPr>
            <w:r w:rsidRPr="00CC65F7">
              <w:rPr>
                <w:b/>
                <w:bCs/>
                <w:color w:val="000000"/>
                <w:sz w:val="22"/>
              </w:rPr>
              <w:t>Total Ages 11+</w:t>
            </w:r>
          </w:p>
        </w:tc>
        <w:tc>
          <w:tcPr>
            <w:tcW w:w="1163" w:type="dxa"/>
          </w:tcPr>
          <w:p w14:paraId="32564859" w14:textId="77777777" w:rsidR="00A321B8" w:rsidRPr="00CC65F7" w:rsidRDefault="00A321B8" w:rsidP="00A321B8">
            <w:pPr>
              <w:spacing w:line="240" w:lineRule="auto"/>
              <w:jc w:val="center"/>
              <w:rPr>
                <w:b/>
                <w:bCs/>
                <w:color w:val="000000" w:themeColor="text1"/>
                <w:sz w:val="22"/>
              </w:rPr>
            </w:pPr>
          </w:p>
        </w:tc>
        <w:tc>
          <w:tcPr>
            <w:tcW w:w="1430" w:type="dxa"/>
          </w:tcPr>
          <w:p w14:paraId="33225819" w14:textId="77777777" w:rsidR="00A321B8" w:rsidRPr="00CC65F7" w:rsidRDefault="000F5B51" w:rsidP="00A321B8">
            <w:pPr>
              <w:spacing w:line="240" w:lineRule="auto"/>
              <w:jc w:val="center"/>
              <w:rPr>
                <w:b/>
                <w:bCs/>
                <w:sz w:val="22"/>
              </w:rPr>
            </w:pPr>
            <w:r>
              <w:rPr>
                <w:b/>
                <w:bCs/>
                <w:color w:val="000000"/>
                <w:sz w:val="22"/>
              </w:rPr>
              <w:t>25.9252</w:t>
            </w:r>
          </w:p>
        </w:tc>
        <w:tc>
          <w:tcPr>
            <w:tcW w:w="1150" w:type="dxa"/>
            <w:vAlign w:val="center"/>
          </w:tcPr>
          <w:p w14:paraId="479A81C9" w14:textId="77777777" w:rsidR="00A321B8" w:rsidRPr="0028568D" w:rsidRDefault="00A321B8" w:rsidP="00A321B8">
            <w:pPr>
              <w:spacing w:line="240" w:lineRule="auto"/>
              <w:jc w:val="center"/>
              <w:rPr>
                <w:b/>
                <w:bCs/>
                <w:sz w:val="22"/>
              </w:rPr>
            </w:pPr>
          </w:p>
        </w:tc>
        <w:tc>
          <w:tcPr>
            <w:tcW w:w="1163" w:type="dxa"/>
          </w:tcPr>
          <w:p w14:paraId="0D71D989" w14:textId="77777777" w:rsidR="00A321B8" w:rsidRPr="00682B15" w:rsidRDefault="00A321B8" w:rsidP="00A321B8">
            <w:pPr>
              <w:spacing w:line="240" w:lineRule="auto"/>
              <w:jc w:val="center"/>
              <w:rPr>
                <w:b/>
                <w:sz w:val="22"/>
              </w:rPr>
            </w:pPr>
          </w:p>
        </w:tc>
        <w:tc>
          <w:tcPr>
            <w:tcW w:w="1430" w:type="dxa"/>
          </w:tcPr>
          <w:p w14:paraId="63B30441" w14:textId="77777777" w:rsidR="00A321B8" w:rsidRPr="00CC65F7" w:rsidRDefault="000F5B51" w:rsidP="0028568D">
            <w:pPr>
              <w:spacing w:line="240" w:lineRule="auto"/>
              <w:jc w:val="center"/>
              <w:rPr>
                <w:b/>
                <w:bCs/>
                <w:color w:val="000000"/>
                <w:sz w:val="22"/>
              </w:rPr>
            </w:pPr>
            <w:r>
              <w:rPr>
                <w:b/>
                <w:bCs/>
                <w:color w:val="000000"/>
                <w:sz w:val="22"/>
              </w:rPr>
              <w:t>39.0561</w:t>
            </w:r>
          </w:p>
        </w:tc>
      </w:tr>
      <w:tr w:rsidR="00A15C2C" w14:paraId="7598A463" w14:textId="77777777" w:rsidTr="00CC65F7">
        <w:trPr>
          <w:trHeight w:val="236"/>
          <w:jc w:val="center"/>
        </w:trPr>
        <w:tc>
          <w:tcPr>
            <w:tcW w:w="8649" w:type="dxa"/>
            <w:gridSpan w:val="7"/>
            <w:shd w:val="clear" w:color="auto" w:fill="D9D9D9" w:themeFill="background1" w:themeFillShade="D9"/>
          </w:tcPr>
          <w:p w14:paraId="3E69A2D5" w14:textId="77777777" w:rsidR="00CB2C12" w:rsidRPr="00CB2C12" w:rsidRDefault="000F5B51" w:rsidP="003C04C4">
            <w:pPr>
              <w:spacing w:line="240" w:lineRule="auto"/>
              <w:jc w:val="center"/>
              <w:rPr>
                <w:b/>
                <w:bCs/>
                <w:i/>
                <w:iCs/>
                <w:sz w:val="22"/>
              </w:rPr>
            </w:pPr>
            <w:r w:rsidRPr="00CC65F7">
              <w:rPr>
                <w:b/>
                <w:bCs/>
                <w:i/>
                <w:iCs/>
                <w:sz w:val="22"/>
              </w:rPr>
              <w:t>All Rear Seat Occupants</w:t>
            </w:r>
          </w:p>
        </w:tc>
      </w:tr>
      <w:tr w:rsidR="00A15C2C" w14:paraId="26FBF120" w14:textId="77777777" w:rsidTr="00CC65F7">
        <w:trPr>
          <w:trHeight w:val="252"/>
          <w:jc w:val="center"/>
        </w:trPr>
        <w:tc>
          <w:tcPr>
            <w:tcW w:w="1163" w:type="dxa"/>
          </w:tcPr>
          <w:p w14:paraId="7BE75017" w14:textId="77777777" w:rsidR="00120335" w:rsidRPr="00CC65F7" w:rsidRDefault="000F5B51" w:rsidP="00120335">
            <w:pPr>
              <w:spacing w:line="240" w:lineRule="auto"/>
              <w:rPr>
                <w:b/>
                <w:bCs/>
                <w:color w:val="000000"/>
                <w:sz w:val="22"/>
              </w:rPr>
            </w:pPr>
            <w:r w:rsidRPr="008B0F0C">
              <w:rPr>
                <w:sz w:val="22"/>
              </w:rPr>
              <w:t>MAIS 1</w:t>
            </w:r>
          </w:p>
        </w:tc>
        <w:tc>
          <w:tcPr>
            <w:tcW w:w="1150" w:type="dxa"/>
            <w:vAlign w:val="center"/>
          </w:tcPr>
          <w:p w14:paraId="73F8725F" w14:textId="77777777" w:rsidR="00120335" w:rsidRPr="008B0F0C" w:rsidRDefault="000F5B51" w:rsidP="00120335">
            <w:pPr>
              <w:spacing w:line="240" w:lineRule="auto"/>
              <w:jc w:val="center"/>
              <w:rPr>
                <w:sz w:val="22"/>
              </w:rPr>
            </w:pPr>
            <w:r>
              <w:rPr>
                <w:color w:val="000000"/>
                <w:sz w:val="22"/>
              </w:rPr>
              <w:t>22.2</w:t>
            </w:r>
          </w:p>
        </w:tc>
        <w:tc>
          <w:tcPr>
            <w:tcW w:w="1163" w:type="dxa"/>
            <w:vAlign w:val="center"/>
          </w:tcPr>
          <w:p w14:paraId="1D4895A2" w14:textId="77777777" w:rsidR="00120335" w:rsidRPr="00CC65F7" w:rsidRDefault="000F5B51" w:rsidP="00120335">
            <w:pPr>
              <w:spacing w:line="240" w:lineRule="auto"/>
              <w:jc w:val="center"/>
              <w:rPr>
                <w:b/>
                <w:bCs/>
                <w:sz w:val="22"/>
              </w:rPr>
            </w:pPr>
            <w:r w:rsidRPr="00CC65F7">
              <w:rPr>
                <w:rFonts w:eastAsia="Times New Roman" w:cs="Times New Roman"/>
                <w:sz w:val="22"/>
              </w:rPr>
              <w:t>0.0038 </w:t>
            </w:r>
          </w:p>
        </w:tc>
        <w:tc>
          <w:tcPr>
            <w:tcW w:w="1430" w:type="dxa"/>
            <w:vAlign w:val="center"/>
          </w:tcPr>
          <w:p w14:paraId="04A129B8" w14:textId="77777777" w:rsidR="00120335" w:rsidRPr="008B0F0C" w:rsidRDefault="000F5B51" w:rsidP="00120335">
            <w:pPr>
              <w:spacing w:line="240" w:lineRule="auto"/>
              <w:jc w:val="center"/>
              <w:rPr>
                <w:sz w:val="22"/>
              </w:rPr>
            </w:pPr>
            <w:r>
              <w:rPr>
                <w:color w:val="000000"/>
                <w:sz w:val="22"/>
              </w:rPr>
              <w:t>0.0845</w:t>
            </w:r>
          </w:p>
        </w:tc>
        <w:tc>
          <w:tcPr>
            <w:tcW w:w="1150" w:type="dxa"/>
            <w:vAlign w:val="center"/>
          </w:tcPr>
          <w:p w14:paraId="35CA1E5C" w14:textId="77777777" w:rsidR="00120335" w:rsidRPr="008B0F0C" w:rsidRDefault="000F5B51" w:rsidP="00120335">
            <w:pPr>
              <w:spacing w:line="240" w:lineRule="auto"/>
              <w:jc w:val="center"/>
              <w:rPr>
                <w:sz w:val="22"/>
              </w:rPr>
            </w:pPr>
            <w:r>
              <w:rPr>
                <w:color w:val="000000"/>
                <w:sz w:val="22"/>
              </w:rPr>
              <w:t>33.4</w:t>
            </w:r>
          </w:p>
        </w:tc>
        <w:tc>
          <w:tcPr>
            <w:tcW w:w="1163" w:type="dxa"/>
            <w:vAlign w:val="center"/>
          </w:tcPr>
          <w:p w14:paraId="25FB70D6" w14:textId="77777777" w:rsidR="00120335" w:rsidRPr="008B0F0C" w:rsidRDefault="000F5B51" w:rsidP="00120335">
            <w:pPr>
              <w:spacing w:line="240" w:lineRule="auto"/>
              <w:jc w:val="center"/>
              <w:rPr>
                <w:sz w:val="22"/>
              </w:rPr>
            </w:pPr>
            <w:r w:rsidRPr="00934F2C">
              <w:rPr>
                <w:rFonts w:eastAsia="Times New Roman" w:cs="Times New Roman"/>
                <w:sz w:val="22"/>
              </w:rPr>
              <w:t>0.0038 </w:t>
            </w:r>
          </w:p>
        </w:tc>
        <w:tc>
          <w:tcPr>
            <w:tcW w:w="1430" w:type="dxa"/>
            <w:vAlign w:val="center"/>
          </w:tcPr>
          <w:p w14:paraId="3A248B2C" w14:textId="77777777" w:rsidR="00120335" w:rsidRPr="008B0F0C" w:rsidRDefault="000F5B51" w:rsidP="00120335">
            <w:pPr>
              <w:spacing w:line="240" w:lineRule="auto"/>
              <w:jc w:val="center"/>
              <w:rPr>
                <w:sz w:val="22"/>
              </w:rPr>
            </w:pPr>
            <w:r>
              <w:rPr>
                <w:color w:val="000000"/>
                <w:sz w:val="22"/>
              </w:rPr>
              <w:t>0.1268</w:t>
            </w:r>
          </w:p>
        </w:tc>
      </w:tr>
      <w:tr w:rsidR="00A15C2C" w14:paraId="2D7DD851" w14:textId="77777777" w:rsidTr="00CC65F7">
        <w:trPr>
          <w:trHeight w:val="236"/>
          <w:jc w:val="center"/>
        </w:trPr>
        <w:tc>
          <w:tcPr>
            <w:tcW w:w="1163" w:type="dxa"/>
          </w:tcPr>
          <w:p w14:paraId="2A5E1FCF" w14:textId="77777777" w:rsidR="00120335" w:rsidRPr="00CC65F7" w:rsidRDefault="000F5B51" w:rsidP="00120335">
            <w:pPr>
              <w:spacing w:line="240" w:lineRule="auto"/>
              <w:rPr>
                <w:b/>
                <w:bCs/>
                <w:sz w:val="22"/>
              </w:rPr>
            </w:pPr>
            <w:r w:rsidRPr="008B0F0C">
              <w:rPr>
                <w:color w:val="000000"/>
                <w:sz w:val="22"/>
              </w:rPr>
              <w:t>MAIS 2</w:t>
            </w:r>
          </w:p>
        </w:tc>
        <w:tc>
          <w:tcPr>
            <w:tcW w:w="1150" w:type="dxa"/>
            <w:vAlign w:val="center"/>
          </w:tcPr>
          <w:p w14:paraId="77F7111A" w14:textId="77777777" w:rsidR="00120335" w:rsidRPr="008B0F0C" w:rsidRDefault="000F5B51" w:rsidP="00120335">
            <w:pPr>
              <w:spacing w:line="240" w:lineRule="auto"/>
              <w:jc w:val="center"/>
              <w:rPr>
                <w:sz w:val="22"/>
              </w:rPr>
            </w:pPr>
            <w:r>
              <w:rPr>
                <w:color w:val="000000"/>
                <w:sz w:val="22"/>
              </w:rPr>
              <w:t>40.2</w:t>
            </w:r>
          </w:p>
        </w:tc>
        <w:tc>
          <w:tcPr>
            <w:tcW w:w="1163" w:type="dxa"/>
            <w:vAlign w:val="center"/>
          </w:tcPr>
          <w:p w14:paraId="5C580888" w14:textId="77777777" w:rsidR="00120335" w:rsidRPr="00CC65F7" w:rsidRDefault="000F5B51" w:rsidP="00120335">
            <w:pPr>
              <w:spacing w:line="240" w:lineRule="auto"/>
              <w:jc w:val="center"/>
              <w:rPr>
                <w:b/>
                <w:bCs/>
                <w:sz w:val="22"/>
              </w:rPr>
            </w:pPr>
            <w:r w:rsidRPr="00CC65F7">
              <w:rPr>
                <w:rFonts w:eastAsia="Times New Roman" w:cs="Times New Roman"/>
                <w:sz w:val="22"/>
              </w:rPr>
              <w:t>0.0454</w:t>
            </w:r>
          </w:p>
        </w:tc>
        <w:tc>
          <w:tcPr>
            <w:tcW w:w="1430" w:type="dxa"/>
            <w:vAlign w:val="center"/>
          </w:tcPr>
          <w:p w14:paraId="384C2D70" w14:textId="77777777" w:rsidR="00120335" w:rsidRPr="008B0F0C" w:rsidRDefault="000F5B51" w:rsidP="00120335">
            <w:pPr>
              <w:spacing w:line="240" w:lineRule="auto"/>
              <w:jc w:val="center"/>
              <w:rPr>
                <w:sz w:val="22"/>
              </w:rPr>
            </w:pPr>
            <w:r>
              <w:rPr>
                <w:color w:val="000000"/>
                <w:sz w:val="22"/>
              </w:rPr>
              <w:t>1.8238</w:t>
            </w:r>
          </w:p>
        </w:tc>
        <w:tc>
          <w:tcPr>
            <w:tcW w:w="1150" w:type="dxa"/>
            <w:vAlign w:val="center"/>
          </w:tcPr>
          <w:p w14:paraId="5D77E7F8" w14:textId="77777777" w:rsidR="00120335" w:rsidRPr="008B0F0C" w:rsidRDefault="000F5B51" w:rsidP="00120335">
            <w:pPr>
              <w:spacing w:line="240" w:lineRule="auto"/>
              <w:jc w:val="center"/>
              <w:rPr>
                <w:sz w:val="22"/>
              </w:rPr>
            </w:pPr>
            <w:r>
              <w:rPr>
                <w:color w:val="000000"/>
                <w:sz w:val="22"/>
              </w:rPr>
              <w:t>60.3</w:t>
            </w:r>
          </w:p>
        </w:tc>
        <w:tc>
          <w:tcPr>
            <w:tcW w:w="1163" w:type="dxa"/>
            <w:vAlign w:val="center"/>
          </w:tcPr>
          <w:p w14:paraId="5C0AFD78" w14:textId="77777777" w:rsidR="00120335" w:rsidRPr="008B0F0C" w:rsidRDefault="000F5B51" w:rsidP="00120335">
            <w:pPr>
              <w:spacing w:line="240" w:lineRule="auto"/>
              <w:jc w:val="center"/>
              <w:rPr>
                <w:sz w:val="22"/>
              </w:rPr>
            </w:pPr>
            <w:r w:rsidRPr="00934F2C">
              <w:rPr>
                <w:rFonts w:eastAsia="Times New Roman" w:cs="Times New Roman"/>
                <w:sz w:val="22"/>
              </w:rPr>
              <w:t>0.0454</w:t>
            </w:r>
          </w:p>
        </w:tc>
        <w:tc>
          <w:tcPr>
            <w:tcW w:w="1430" w:type="dxa"/>
            <w:vAlign w:val="center"/>
          </w:tcPr>
          <w:p w14:paraId="2CAABF69" w14:textId="77777777" w:rsidR="00120335" w:rsidRPr="008B0F0C" w:rsidRDefault="000F5B51" w:rsidP="00120335">
            <w:pPr>
              <w:spacing w:line="240" w:lineRule="auto"/>
              <w:jc w:val="center"/>
              <w:rPr>
                <w:sz w:val="22"/>
              </w:rPr>
            </w:pPr>
            <w:r>
              <w:rPr>
                <w:color w:val="000000"/>
                <w:sz w:val="22"/>
              </w:rPr>
              <w:t>2.7398</w:t>
            </w:r>
          </w:p>
        </w:tc>
      </w:tr>
      <w:tr w:rsidR="00A15C2C" w14:paraId="69BD9B0E" w14:textId="77777777" w:rsidTr="00CC65F7">
        <w:trPr>
          <w:trHeight w:val="252"/>
          <w:jc w:val="center"/>
        </w:trPr>
        <w:tc>
          <w:tcPr>
            <w:tcW w:w="1163" w:type="dxa"/>
          </w:tcPr>
          <w:p w14:paraId="4FE0659B" w14:textId="77777777" w:rsidR="00120335" w:rsidRPr="00CC65F7" w:rsidRDefault="000F5B51" w:rsidP="00120335">
            <w:pPr>
              <w:spacing w:line="240" w:lineRule="auto"/>
              <w:rPr>
                <w:b/>
                <w:bCs/>
                <w:color w:val="000000"/>
                <w:sz w:val="22"/>
              </w:rPr>
            </w:pPr>
            <w:r w:rsidRPr="008B0F0C">
              <w:rPr>
                <w:sz w:val="22"/>
              </w:rPr>
              <w:t>MAIS 3</w:t>
            </w:r>
          </w:p>
        </w:tc>
        <w:tc>
          <w:tcPr>
            <w:tcW w:w="1150" w:type="dxa"/>
            <w:vAlign w:val="center"/>
          </w:tcPr>
          <w:p w14:paraId="6EA6BE67" w14:textId="77777777" w:rsidR="00120335" w:rsidRPr="008B0F0C" w:rsidRDefault="000F5B51" w:rsidP="00120335">
            <w:pPr>
              <w:spacing w:line="240" w:lineRule="auto"/>
              <w:jc w:val="center"/>
              <w:rPr>
                <w:sz w:val="22"/>
              </w:rPr>
            </w:pPr>
            <w:r>
              <w:rPr>
                <w:color w:val="000000"/>
                <w:sz w:val="22"/>
              </w:rPr>
              <w:t>5.4</w:t>
            </w:r>
          </w:p>
        </w:tc>
        <w:tc>
          <w:tcPr>
            <w:tcW w:w="1163" w:type="dxa"/>
            <w:vAlign w:val="center"/>
          </w:tcPr>
          <w:p w14:paraId="0DE3601F" w14:textId="77777777" w:rsidR="00120335" w:rsidRPr="00CC65F7" w:rsidRDefault="000F5B51" w:rsidP="00120335">
            <w:pPr>
              <w:spacing w:line="240" w:lineRule="auto"/>
              <w:jc w:val="center"/>
              <w:rPr>
                <w:b/>
                <w:bCs/>
                <w:sz w:val="22"/>
              </w:rPr>
            </w:pPr>
            <w:r w:rsidRPr="00CC65F7">
              <w:rPr>
                <w:rFonts w:eastAsia="Times New Roman" w:cs="Times New Roman"/>
                <w:sz w:val="22"/>
              </w:rPr>
              <w:t>0.1078 </w:t>
            </w:r>
          </w:p>
        </w:tc>
        <w:tc>
          <w:tcPr>
            <w:tcW w:w="1430" w:type="dxa"/>
            <w:vAlign w:val="center"/>
          </w:tcPr>
          <w:p w14:paraId="66EB2B8C" w14:textId="77777777" w:rsidR="00120335" w:rsidRPr="008B0F0C" w:rsidRDefault="000F5B51" w:rsidP="00120335">
            <w:pPr>
              <w:spacing w:line="240" w:lineRule="auto"/>
              <w:jc w:val="center"/>
              <w:rPr>
                <w:sz w:val="22"/>
              </w:rPr>
            </w:pPr>
            <w:r>
              <w:rPr>
                <w:color w:val="000000"/>
                <w:sz w:val="22"/>
              </w:rPr>
              <w:t>0.5871</w:t>
            </w:r>
          </w:p>
        </w:tc>
        <w:tc>
          <w:tcPr>
            <w:tcW w:w="1150" w:type="dxa"/>
            <w:vAlign w:val="center"/>
          </w:tcPr>
          <w:p w14:paraId="66F29317" w14:textId="77777777" w:rsidR="00120335" w:rsidRPr="008B0F0C" w:rsidRDefault="000F5B51" w:rsidP="00120335">
            <w:pPr>
              <w:spacing w:line="240" w:lineRule="auto"/>
              <w:jc w:val="center"/>
              <w:rPr>
                <w:sz w:val="22"/>
              </w:rPr>
            </w:pPr>
            <w:r>
              <w:rPr>
                <w:color w:val="000000"/>
                <w:sz w:val="22"/>
              </w:rPr>
              <w:t>8.2</w:t>
            </w:r>
          </w:p>
        </w:tc>
        <w:tc>
          <w:tcPr>
            <w:tcW w:w="1163" w:type="dxa"/>
            <w:vAlign w:val="center"/>
          </w:tcPr>
          <w:p w14:paraId="0301D584" w14:textId="77777777" w:rsidR="00120335" w:rsidRPr="008B0F0C" w:rsidRDefault="000F5B51" w:rsidP="00120335">
            <w:pPr>
              <w:spacing w:line="240" w:lineRule="auto"/>
              <w:jc w:val="center"/>
              <w:rPr>
                <w:sz w:val="22"/>
              </w:rPr>
            </w:pPr>
            <w:r w:rsidRPr="00934F2C">
              <w:rPr>
                <w:rFonts w:eastAsia="Times New Roman" w:cs="Times New Roman"/>
                <w:sz w:val="22"/>
              </w:rPr>
              <w:t>0.1078 </w:t>
            </w:r>
          </w:p>
        </w:tc>
        <w:tc>
          <w:tcPr>
            <w:tcW w:w="1430" w:type="dxa"/>
            <w:vAlign w:val="center"/>
          </w:tcPr>
          <w:p w14:paraId="7868DB9A" w14:textId="77777777" w:rsidR="00120335" w:rsidRPr="008B0F0C" w:rsidRDefault="000F5B51" w:rsidP="00120335">
            <w:pPr>
              <w:spacing w:line="240" w:lineRule="auto"/>
              <w:jc w:val="center"/>
              <w:rPr>
                <w:sz w:val="22"/>
              </w:rPr>
            </w:pPr>
            <w:r>
              <w:rPr>
                <w:color w:val="000000"/>
                <w:sz w:val="22"/>
              </w:rPr>
              <w:t>0.8823</w:t>
            </w:r>
          </w:p>
        </w:tc>
      </w:tr>
      <w:tr w:rsidR="00A15C2C" w14:paraId="6D11264F" w14:textId="77777777" w:rsidTr="00CC65F7">
        <w:trPr>
          <w:trHeight w:val="236"/>
          <w:jc w:val="center"/>
        </w:trPr>
        <w:tc>
          <w:tcPr>
            <w:tcW w:w="1163" w:type="dxa"/>
          </w:tcPr>
          <w:p w14:paraId="29F25F73" w14:textId="77777777" w:rsidR="00120335" w:rsidRPr="00CC65F7" w:rsidRDefault="000F5B51" w:rsidP="00120335">
            <w:pPr>
              <w:spacing w:line="240" w:lineRule="auto"/>
              <w:rPr>
                <w:b/>
                <w:bCs/>
                <w:sz w:val="22"/>
              </w:rPr>
            </w:pPr>
            <w:r w:rsidRPr="008B0F0C">
              <w:rPr>
                <w:color w:val="000000"/>
                <w:sz w:val="22"/>
              </w:rPr>
              <w:t>MAIS 4</w:t>
            </w:r>
          </w:p>
        </w:tc>
        <w:tc>
          <w:tcPr>
            <w:tcW w:w="1150" w:type="dxa"/>
            <w:vAlign w:val="center"/>
          </w:tcPr>
          <w:p w14:paraId="52447FD0" w14:textId="77777777" w:rsidR="00120335" w:rsidRPr="008B0F0C" w:rsidRDefault="000F5B51" w:rsidP="00120335">
            <w:pPr>
              <w:spacing w:line="240" w:lineRule="auto"/>
              <w:jc w:val="center"/>
              <w:rPr>
                <w:sz w:val="22"/>
              </w:rPr>
            </w:pPr>
            <w:r>
              <w:rPr>
                <w:color w:val="000000"/>
                <w:sz w:val="22"/>
              </w:rPr>
              <w:t>5.4</w:t>
            </w:r>
          </w:p>
        </w:tc>
        <w:tc>
          <w:tcPr>
            <w:tcW w:w="1163" w:type="dxa"/>
            <w:vAlign w:val="center"/>
          </w:tcPr>
          <w:p w14:paraId="28E841E1" w14:textId="77777777" w:rsidR="00120335" w:rsidRPr="00CC65F7" w:rsidRDefault="000F5B51" w:rsidP="00120335">
            <w:pPr>
              <w:spacing w:line="240" w:lineRule="auto"/>
              <w:jc w:val="center"/>
              <w:rPr>
                <w:b/>
                <w:bCs/>
                <w:sz w:val="22"/>
              </w:rPr>
            </w:pPr>
            <w:r w:rsidRPr="00CC65F7">
              <w:rPr>
                <w:rFonts w:eastAsia="Times New Roman" w:cs="Times New Roman"/>
                <w:sz w:val="22"/>
              </w:rPr>
              <w:t>0.2677 </w:t>
            </w:r>
          </w:p>
        </w:tc>
        <w:tc>
          <w:tcPr>
            <w:tcW w:w="1430" w:type="dxa"/>
            <w:vAlign w:val="center"/>
          </w:tcPr>
          <w:p w14:paraId="71341D1E" w14:textId="77777777" w:rsidR="00120335" w:rsidRPr="008B0F0C" w:rsidRDefault="000F5B51" w:rsidP="00120335">
            <w:pPr>
              <w:spacing w:line="240" w:lineRule="auto"/>
              <w:jc w:val="center"/>
              <w:rPr>
                <w:sz w:val="22"/>
              </w:rPr>
            </w:pPr>
            <w:r>
              <w:rPr>
                <w:color w:val="000000"/>
                <w:sz w:val="22"/>
              </w:rPr>
              <w:t>1.4527</w:t>
            </w:r>
          </w:p>
        </w:tc>
        <w:tc>
          <w:tcPr>
            <w:tcW w:w="1150" w:type="dxa"/>
            <w:vAlign w:val="center"/>
          </w:tcPr>
          <w:p w14:paraId="774DF391" w14:textId="77777777" w:rsidR="00120335" w:rsidRPr="008B0F0C" w:rsidRDefault="000F5B51" w:rsidP="00120335">
            <w:pPr>
              <w:spacing w:line="240" w:lineRule="auto"/>
              <w:jc w:val="center"/>
              <w:rPr>
                <w:sz w:val="22"/>
              </w:rPr>
            </w:pPr>
            <w:r>
              <w:rPr>
                <w:color w:val="000000"/>
                <w:sz w:val="22"/>
              </w:rPr>
              <w:t>8.2</w:t>
            </w:r>
          </w:p>
        </w:tc>
        <w:tc>
          <w:tcPr>
            <w:tcW w:w="1163" w:type="dxa"/>
            <w:vAlign w:val="center"/>
          </w:tcPr>
          <w:p w14:paraId="048602A2" w14:textId="77777777" w:rsidR="00120335" w:rsidRPr="008B0F0C" w:rsidRDefault="000F5B51" w:rsidP="00120335">
            <w:pPr>
              <w:spacing w:line="240" w:lineRule="auto"/>
              <w:jc w:val="center"/>
              <w:rPr>
                <w:sz w:val="22"/>
              </w:rPr>
            </w:pPr>
            <w:r w:rsidRPr="00934F2C">
              <w:rPr>
                <w:rFonts w:eastAsia="Times New Roman" w:cs="Times New Roman"/>
                <w:sz w:val="22"/>
              </w:rPr>
              <w:t>0.2677 </w:t>
            </w:r>
          </w:p>
        </w:tc>
        <w:tc>
          <w:tcPr>
            <w:tcW w:w="1430" w:type="dxa"/>
            <w:vAlign w:val="center"/>
          </w:tcPr>
          <w:p w14:paraId="241FA532" w14:textId="77777777" w:rsidR="00120335" w:rsidRPr="008B0F0C" w:rsidRDefault="000F5B51" w:rsidP="00120335">
            <w:pPr>
              <w:spacing w:line="240" w:lineRule="auto"/>
              <w:jc w:val="center"/>
              <w:rPr>
                <w:sz w:val="22"/>
              </w:rPr>
            </w:pPr>
            <w:r>
              <w:rPr>
                <w:color w:val="000000"/>
                <w:sz w:val="22"/>
              </w:rPr>
              <w:t>2.1831</w:t>
            </w:r>
          </w:p>
        </w:tc>
      </w:tr>
      <w:tr w:rsidR="00A15C2C" w14:paraId="06EF89B0" w14:textId="77777777" w:rsidTr="00CC65F7">
        <w:trPr>
          <w:trHeight w:val="252"/>
          <w:jc w:val="center"/>
        </w:trPr>
        <w:tc>
          <w:tcPr>
            <w:tcW w:w="1163" w:type="dxa"/>
          </w:tcPr>
          <w:p w14:paraId="45F798EA" w14:textId="77777777" w:rsidR="00120335" w:rsidRPr="00CC65F7" w:rsidRDefault="000F5B51" w:rsidP="00120335">
            <w:pPr>
              <w:spacing w:line="240" w:lineRule="auto"/>
              <w:rPr>
                <w:b/>
                <w:bCs/>
                <w:color w:val="000000"/>
                <w:sz w:val="22"/>
              </w:rPr>
            </w:pPr>
            <w:r w:rsidRPr="008B0F0C">
              <w:rPr>
                <w:sz w:val="22"/>
              </w:rPr>
              <w:t>MAIS 5</w:t>
            </w:r>
          </w:p>
        </w:tc>
        <w:tc>
          <w:tcPr>
            <w:tcW w:w="1150" w:type="dxa"/>
            <w:vAlign w:val="center"/>
          </w:tcPr>
          <w:p w14:paraId="46B2185B" w14:textId="77777777" w:rsidR="00120335" w:rsidRPr="008B0F0C" w:rsidRDefault="000F5B51" w:rsidP="00120335">
            <w:pPr>
              <w:spacing w:line="240" w:lineRule="auto"/>
              <w:jc w:val="center"/>
              <w:rPr>
                <w:sz w:val="22"/>
              </w:rPr>
            </w:pPr>
            <w:r>
              <w:rPr>
                <w:color w:val="000000"/>
                <w:sz w:val="22"/>
              </w:rPr>
              <w:t>0.2</w:t>
            </w:r>
          </w:p>
        </w:tc>
        <w:tc>
          <w:tcPr>
            <w:tcW w:w="1163" w:type="dxa"/>
            <w:vAlign w:val="center"/>
          </w:tcPr>
          <w:p w14:paraId="395D429C" w14:textId="77777777" w:rsidR="00120335" w:rsidRPr="00CC65F7" w:rsidRDefault="000F5B51" w:rsidP="00120335">
            <w:pPr>
              <w:spacing w:line="240" w:lineRule="auto"/>
              <w:jc w:val="center"/>
              <w:rPr>
                <w:b/>
                <w:bCs/>
                <w:sz w:val="22"/>
              </w:rPr>
            </w:pPr>
            <w:r w:rsidRPr="00CC65F7">
              <w:rPr>
                <w:rFonts w:eastAsia="Times New Roman" w:cs="Times New Roman"/>
                <w:sz w:val="22"/>
              </w:rPr>
              <w:t>0.6125 </w:t>
            </w:r>
          </w:p>
        </w:tc>
        <w:tc>
          <w:tcPr>
            <w:tcW w:w="1430" w:type="dxa"/>
            <w:vAlign w:val="center"/>
          </w:tcPr>
          <w:p w14:paraId="49D1358F" w14:textId="77777777" w:rsidR="00120335" w:rsidRPr="008B0F0C" w:rsidRDefault="000F5B51" w:rsidP="00120335">
            <w:pPr>
              <w:spacing w:line="240" w:lineRule="auto"/>
              <w:jc w:val="center"/>
              <w:rPr>
                <w:sz w:val="22"/>
              </w:rPr>
            </w:pPr>
            <w:r>
              <w:rPr>
                <w:color w:val="000000"/>
                <w:sz w:val="22"/>
              </w:rPr>
              <w:t>0.0965</w:t>
            </w:r>
          </w:p>
        </w:tc>
        <w:tc>
          <w:tcPr>
            <w:tcW w:w="1150" w:type="dxa"/>
            <w:vAlign w:val="center"/>
          </w:tcPr>
          <w:p w14:paraId="7A009573" w14:textId="77777777" w:rsidR="00120335" w:rsidRPr="008B0F0C" w:rsidRDefault="000F5B51" w:rsidP="00120335">
            <w:pPr>
              <w:spacing w:line="240" w:lineRule="auto"/>
              <w:jc w:val="center"/>
              <w:rPr>
                <w:sz w:val="22"/>
              </w:rPr>
            </w:pPr>
            <w:r>
              <w:rPr>
                <w:color w:val="000000"/>
                <w:sz w:val="22"/>
              </w:rPr>
              <w:t>0.2</w:t>
            </w:r>
          </w:p>
        </w:tc>
        <w:tc>
          <w:tcPr>
            <w:tcW w:w="1163" w:type="dxa"/>
            <w:vAlign w:val="center"/>
          </w:tcPr>
          <w:p w14:paraId="03724934" w14:textId="77777777" w:rsidR="00120335" w:rsidRPr="008B0F0C" w:rsidRDefault="000F5B51" w:rsidP="00120335">
            <w:pPr>
              <w:spacing w:line="240" w:lineRule="auto"/>
              <w:jc w:val="center"/>
              <w:rPr>
                <w:sz w:val="22"/>
              </w:rPr>
            </w:pPr>
            <w:r w:rsidRPr="00934F2C">
              <w:rPr>
                <w:rFonts w:eastAsia="Times New Roman" w:cs="Times New Roman"/>
                <w:sz w:val="22"/>
              </w:rPr>
              <w:t>0.6125 </w:t>
            </w:r>
          </w:p>
        </w:tc>
        <w:tc>
          <w:tcPr>
            <w:tcW w:w="1430" w:type="dxa"/>
            <w:vAlign w:val="center"/>
          </w:tcPr>
          <w:p w14:paraId="526EFD12" w14:textId="77777777" w:rsidR="00120335" w:rsidRPr="008B0F0C" w:rsidRDefault="000F5B51" w:rsidP="00120335">
            <w:pPr>
              <w:spacing w:line="240" w:lineRule="auto"/>
              <w:jc w:val="center"/>
              <w:rPr>
                <w:sz w:val="22"/>
              </w:rPr>
            </w:pPr>
            <w:r>
              <w:rPr>
                <w:color w:val="000000"/>
                <w:sz w:val="22"/>
              </w:rPr>
              <w:t>0.1450</w:t>
            </w:r>
          </w:p>
        </w:tc>
      </w:tr>
      <w:tr w:rsidR="00A15C2C" w14:paraId="2DBDB1B7" w14:textId="77777777" w:rsidTr="00CC65F7">
        <w:trPr>
          <w:trHeight w:val="236"/>
          <w:jc w:val="center"/>
        </w:trPr>
        <w:tc>
          <w:tcPr>
            <w:tcW w:w="1163" w:type="dxa"/>
          </w:tcPr>
          <w:p w14:paraId="2E81D8DD" w14:textId="77777777" w:rsidR="00120335" w:rsidRPr="00CC65F7" w:rsidRDefault="000F5B51" w:rsidP="00120335">
            <w:pPr>
              <w:spacing w:line="240" w:lineRule="auto"/>
              <w:rPr>
                <w:b/>
                <w:bCs/>
                <w:sz w:val="22"/>
              </w:rPr>
            </w:pPr>
            <w:r w:rsidRPr="008B0F0C">
              <w:rPr>
                <w:color w:val="000000"/>
                <w:sz w:val="22"/>
              </w:rPr>
              <w:t>Fatalit</w:t>
            </w:r>
            <w:r w:rsidRPr="00CC65F7">
              <w:rPr>
                <w:color w:val="000000"/>
                <w:sz w:val="22"/>
              </w:rPr>
              <w:t>ies</w:t>
            </w:r>
          </w:p>
        </w:tc>
        <w:tc>
          <w:tcPr>
            <w:tcW w:w="1150" w:type="dxa"/>
            <w:vAlign w:val="center"/>
          </w:tcPr>
          <w:p w14:paraId="46696B67" w14:textId="77777777" w:rsidR="00120335" w:rsidRPr="008B0F0C" w:rsidRDefault="000F5B51" w:rsidP="00120335">
            <w:pPr>
              <w:spacing w:line="240" w:lineRule="auto"/>
              <w:jc w:val="center"/>
              <w:rPr>
                <w:sz w:val="22"/>
              </w:rPr>
            </w:pPr>
            <w:r>
              <w:rPr>
                <w:color w:val="000000"/>
                <w:sz w:val="22"/>
              </w:rPr>
              <w:t>22.3</w:t>
            </w:r>
          </w:p>
        </w:tc>
        <w:tc>
          <w:tcPr>
            <w:tcW w:w="1163" w:type="dxa"/>
            <w:vAlign w:val="center"/>
          </w:tcPr>
          <w:p w14:paraId="554A3572" w14:textId="77777777" w:rsidR="00120335" w:rsidRPr="00CC65F7" w:rsidRDefault="000F5B51" w:rsidP="00120335">
            <w:pPr>
              <w:spacing w:line="240" w:lineRule="auto"/>
              <w:jc w:val="center"/>
              <w:rPr>
                <w:b/>
                <w:bCs/>
                <w:sz w:val="22"/>
              </w:rPr>
            </w:pPr>
            <w:r w:rsidRPr="00CC65F7">
              <w:rPr>
                <w:rFonts w:eastAsia="Times New Roman" w:cs="Times New Roman"/>
                <w:sz w:val="22"/>
              </w:rPr>
              <w:t>1.000 </w:t>
            </w:r>
          </w:p>
        </w:tc>
        <w:tc>
          <w:tcPr>
            <w:tcW w:w="1430" w:type="dxa"/>
            <w:vAlign w:val="center"/>
          </w:tcPr>
          <w:p w14:paraId="1AF126E4" w14:textId="77777777" w:rsidR="00120335" w:rsidRPr="008B0F0C" w:rsidRDefault="000F5B51" w:rsidP="00120335">
            <w:pPr>
              <w:spacing w:line="240" w:lineRule="auto"/>
              <w:jc w:val="center"/>
              <w:rPr>
                <w:sz w:val="22"/>
              </w:rPr>
            </w:pPr>
            <w:r>
              <w:rPr>
                <w:color w:val="000000"/>
                <w:sz w:val="22"/>
              </w:rPr>
              <w:t>22.3132</w:t>
            </w:r>
          </w:p>
        </w:tc>
        <w:tc>
          <w:tcPr>
            <w:tcW w:w="1150" w:type="dxa"/>
            <w:vAlign w:val="center"/>
          </w:tcPr>
          <w:p w14:paraId="306DAF74" w14:textId="77777777" w:rsidR="00120335" w:rsidRPr="008B0F0C" w:rsidRDefault="000F5B51" w:rsidP="00120335">
            <w:pPr>
              <w:spacing w:line="240" w:lineRule="auto"/>
              <w:jc w:val="center"/>
              <w:rPr>
                <w:sz w:val="22"/>
              </w:rPr>
            </w:pPr>
            <w:r>
              <w:rPr>
                <w:color w:val="000000"/>
                <w:sz w:val="22"/>
              </w:rPr>
              <w:t>33.6</w:t>
            </w:r>
          </w:p>
        </w:tc>
        <w:tc>
          <w:tcPr>
            <w:tcW w:w="1163" w:type="dxa"/>
            <w:vAlign w:val="center"/>
          </w:tcPr>
          <w:p w14:paraId="7AF0B893" w14:textId="77777777" w:rsidR="00120335" w:rsidRPr="008B0F0C" w:rsidRDefault="000F5B51" w:rsidP="00120335">
            <w:pPr>
              <w:spacing w:line="240" w:lineRule="auto"/>
              <w:jc w:val="center"/>
              <w:rPr>
                <w:sz w:val="22"/>
              </w:rPr>
            </w:pPr>
            <w:r w:rsidRPr="00934F2C">
              <w:rPr>
                <w:rFonts w:eastAsia="Times New Roman" w:cs="Times New Roman"/>
                <w:sz w:val="22"/>
              </w:rPr>
              <w:t>1.000 </w:t>
            </w:r>
          </w:p>
        </w:tc>
        <w:tc>
          <w:tcPr>
            <w:tcW w:w="1430" w:type="dxa"/>
            <w:vAlign w:val="center"/>
          </w:tcPr>
          <w:p w14:paraId="7FE5CB85" w14:textId="77777777" w:rsidR="00120335" w:rsidRPr="008B0F0C" w:rsidRDefault="000F5B51" w:rsidP="00120335">
            <w:pPr>
              <w:spacing w:line="240" w:lineRule="auto"/>
              <w:jc w:val="center"/>
              <w:rPr>
                <w:sz w:val="22"/>
              </w:rPr>
            </w:pPr>
            <w:r>
              <w:rPr>
                <w:color w:val="000000"/>
                <w:sz w:val="22"/>
              </w:rPr>
              <w:t>33.6270</w:t>
            </w:r>
          </w:p>
        </w:tc>
      </w:tr>
      <w:tr w:rsidR="00A15C2C" w14:paraId="1C5A585F" w14:textId="77777777" w:rsidTr="00BE0A50">
        <w:trPr>
          <w:trHeight w:val="188"/>
          <w:jc w:val="center"/>
        </w:trPr>
        <w:tc>
          <w:tcPr>
            <w:tcW w:w="2313" w:type="dxa"/>
            <w:gridSpan w:val="2"/>
            <w:vAlign w:val="center"/>
          </w:tcPr>
          <w:p w14:paraId="615791D2" w14:textId="77777777" w:rsidR="00682B15" w:rsidRPr="0028568D" w:rsidRDefault="000F5B51" w:rsidP="00CC65F7">
            <w:pPr>
              <w:spacing w:line="240" w:lineRule="auto"/>
              <w:rPr>
                <w:b/>
                <w:bCs/>
              </w:rPr>
            </w:pPr>
            <w:r w:rsidRPr="00CC65F7">
              <w:rPr>
                <w:b/>
                <w:bCs/>
                <w:color w:val="000000"/>
              </w:rPr>
              <w:t>Total</w:t>
            </w:r>
          </w:p>
        </w:tc>
        <w:tc>
          <w:tcPr>
            <w:tcW w:w="1163" w:type="dxa"/>
          </w:tcPr>
          <w:p w14:paraId="7782050B" w14:textId="77777777" w:rsidR="00682B15" w:rsidRPr="00682B15" w:rsidRDefault="00682B15" w:rsidP="003C04C4">
            <w:pPr>
              <w:spacing w:line="240" w:lineRule="auto"/>
              <w:jc w:val="center"/>
              <w:rPr>
                <w:rFonts w:ascii="Calibri" w:hAnsi="Calibri" w:cs="Calibri"/>
                <w:b/>
                <w:color w:val="000000" w:themeColor="text1"/>
              </w:rPr>
            </w:pPr>
          </w:p>
        </w:tc>
        <w:tc>
          <w:tcPr>
            <w:tcW w:w="1430" w:type="dxa"/>
          </w:tcPr>
          <w:p w14:paraId="52087C71" w14:textId="77777777" w:rsidR="00682B15" w:rsidRPr="0028568D" w:rsidRDefault="000F5B51" w:rsidP="0028568D">
            <w:pPr>
              <w:spacing w:line="240" w:lineRule="auto"/>
              <w:jc w:val="center"/>
              <w:rPr>
                <w:b/>
                <w:bCs/>
                <w:color w:val="000000"/>
              </w:rPr>
            </w:pPr>
            <w:r>
              <w:rPr>
                <w:b/>
                <w:bCs/>
                <w:color w:val="000000"/>
              </w:rPr>
              <w:t>26.3578</w:t>
            </w:r>
          </w:p>
        </w:tc>
        <w:tc>
          <w:tcPr>
            <w:tcW w:w="1150" w:type="dxa"/>
          </w:tcPr>
          <w:p w14:paraId="2A9AE839" w14:textId="77777777" w:rsidR="00682B15" w:rsidRPr="00682B15" w:rsidRDefault="00682B15" w:rsidP="003C04C4">
            <w:pPr>
              <w:spacing w:line="240" w:lineRule="auto"/>
              <w:jc w:val="center"/>
              <w:rPr>
                <w:b/>
                <w:color w:val="000000"/>
              </w:rPr>
            </w:pPr>
          </w:p>
        </w:tc>
        <w:tc>
          <w:tcPr>
            <w:tcW w:w="1163" w:type="dxa"/>
          </w:tcPr>
          <w:p w14:paraId="13CB9F23" w14:textId="77777777" w:rsidR="00682B15" w:rsidRPr="00682B15" w:rsidRDefault="00682B15" w:rsidP="003C04C4">
            <w:pPr>
              <w:spacing w:line="240" w:lineRule="auto"/>
              <w:jc w:val="center"/>
              <w:rPr>
                <w:b/>
                <w:color w:val="000000"/>
              </w:rPr>
            </w:pPr>
          </w:p>
        </w:tc>
        <w:tc>
          <w:tcPr>
            <w:tcW w:w="1430" w:type="dxa"/>
          </w:tcPr>
          <w:p w14:paraId="05A4BFAF" w14:textId="77777777" w:rsidR="00682B15" w:rsidRPr="0028568D" w:rsidRDefault="000F5B51" w:rsidP="0028568D">
            <w:pPr>
              <w:spacing w:line="240" w:lineRule="auto"/>
              <w:jc w:val="center"/>
              <w:rPr>
                <w:b/>
                <w:bCs/>
                <w:color w:val="000000"/>
              </w:rPr>
            </w:pPr>
            <w:r>
              <w:rPr>
                <w:b/>
                <w:bCs/>
                <w:color w:val="000000"/>
              </w:rPr>
              <w:t>39.7042</w:t>
            </w:r>
          </w:p>
        </w:tc>
      </w:tr>
    </w:tbl>
    <w:p w14:paraId="50FCE60A" w14:textId="6627830B" w:rsidR="0067363A" w:rsidRPr="00934F2C" w:rsidRDefault="000F5B51" w:rsidP="0067363A">
      <w:pPr>
        <w:spacing w:after="0"/>
        <w:contextualSpacing/>
        <w:rPr>
          <w:rFonts w:cs="Times New Roman"/>
          <w:sz w:val="18"/>
          <w:szCs w:val="18"/>
        </w:rPr>
      </w:pPr>
      <w:r>
        <w:rPr>
          <w:rFonts w:cs="Times New Roman"/>
          <w:sz w:val="18"/>
          <w:szCs w:val="18"/>
        </w:rPr>
        <w:t xml:space="preserve">       </w:t>
      </w:r>
      <w:r w:rsidRPr="00934F2C">
        <w:rPr>
          <w:rFonts w:cs="Times New Roman"/>
          <w:sz w:val="18"/>
          <w:szCs w:val="18"/>
        </w:rPr>
        <w:t xml:space="preserve">Note: </w:t>
      </w:r>
      <w:r w:rsidR="00496220">
        <w:rPr>
          <w:rFonts w:cs="Times New Roman"/>
          <w:sz w:val="18"/>
          <w:szCs w:val="18"/>
        </w:rPr>
        <w:t>V</w:t>
      </w:r>
      <w:r w:rsidRPr="00934F2C">
        <w:rPr>
          <w:rFonts w:cs="Times New Roman"/>
          <w:sz w:val="18"/>
          <w:szCs w:val="18"/>
        </w:rPr>
        <w:t>alues may not sum due to rounding.</w:t>
      </w:r>
    </w:p>
    <w:p w14:paraId="00A7C1AF" w14:textId="44916906" w:rsidR="003F00F5" w:rsidRDefault="000F5B51" w:rsidP="007C33A7">
      <w:pPr>
        <w:spacing w:after="0"/>
        <w:rPr>
          <w:rFonts w:eastAsia="Times New Roman" w:cs="Times New Roman"/>
          <w:szCs w:val="24"/>
        </w:rPr>
      </w:pPr>
      <w:r>
        <w:rPr>
          <w:rFonts w:eastAsia="Times New Roman" w:cs="Times New Roman"/>
          <w:szCs w:val="24"/>
        </w:rPr>
        <w:fldChar w:fldCharType="begin"/>
      </w:r>
      <w:r>
        <w:rPr>
          <w:rFonts w:eastAsia="Times New Roman" w:cs="Times New Roman"/>
          <w:szCs w:val="24"/>
        </w:rPr>
        <w:instrText xml:space="preserve"> REF _Ref126834823 \h </w:instrText>
      </w:r>
      <w:r>
        <w:rPr>
          <w:rFonts w:eastAsia="Times New Roman" w:cs="Times New Roman"/>
          <w:szCs w:val="24"/>
        </w:rPr>
      </w:r>
      <w:r>
        <w:rPr>
          <w:rFonts w:eastAsia="Times New Roman" w:cs="Times New Roman"/>
          <w:szCs w:val="24"/>
        </w:rPr>
        <w:fldChar w:fldCharType="separate"/>
      </w:r>
      <w:r w:rsidR="00A65CB3">
        <w:t xml:space="preserve">Table </w:t>
      </w:r>
      <w:r w:rsidR="00A65CB3">
        <w:rPr>
          <w:noProof/>
        </w:rPr>
        <w:t>68</w:t>
      </w:r>
      <w:r>
        <w:rPr>
          <w:rFonts w:eastAsia="Times New Roman" w:cs="Times New Roman"/>
          <w:szCs w:val="24"/>
        </w:rPr>
        <w:fldChar w:fldCharType="end"/>
      </w:r>
      <w:r w:rsidR="00782FD3" w:rsidRPr="00782FD3">
        <w:rPr>
          <w:rFonts w:eastAsia="Times New Roman" w:cs="Times New Roman"/>
          <w:szCs w:val="24"/>
        </w:rPr>
        <w:t xml:space="preserve"> </w:t>
      </w:r>
      <w:r w:rsidR="00782FD3">
        <w:rPr>
          <w:rFonts w:eastAsia="Times New Roman" w:cs="Times New Roman"/>
          <w:szCs w:val="24"/>
        </w:rPr>
        <w:t>presents the calculation of ELS for drivers</w:t>
      </w:r>
      <w:r w:rsidR="001F2F92">
        <w:rPr>
          <w:rFonts w:eastAsia="Times New Roman" w:cs="Times New Roman"/>
          <w:szCs w:val="24"/>
        </w:rPr>
        <w:t xml:space="preserve">. </w:t>
      </w:r>
      <w:r w:rsidR="00782FD3">
        <w:rPr>
          <w:rFonts w:eastAsia="Times New Roman" w:cs="Times New Roman"/>
          <w:szCs w:val="24"/>
        </w:rPr>
        <w:t xml:space="preserve">As a result of the requirement for the indefinite warning for </w:t>
      </w:r>
      <w:r w:rsidR="00E413A0">
        <w:rPr>
          <w:rFonts w:eastAsia="Times New Roman" w:cs="Times New Roman"/>
          <w:szCs w:val="24"/>
        </w:rPr>
        <w:t>drivers</w:t>
      </w:r>
      <w:r w:rsidR="00782FD3">
        <w:rPr>
          <w:rFonts w:eastAsia="Times New Roman" w:cs="Times New Roman"/>
          <w:szCs w:val="24"/>
        </w:rPr>
        <w:t>, a total of approximately 7</w:t>
      </w:r>
      <w:r w:rsidR="00FC1651">
        <w:rPr>
          <w:rFonts w:eastAsia="Times New Roman" w:cs="Times New Roman"/>
          <w:szCs w:val="24"/>
        </w:rPr>
        <w:t>8.</w:t>
      </w:r>
      <w:r w:rsidR="003C4A96">
        <w:rPr>
          <w:rFonts w:eastAsia="Times New Roman" w:cs="Times New Roman"/>
          <w:szCs w:val="24"/>
        </w:rPr>
        <w:t>72</w:t>
      </w:r>
      <w:r w:rsidR="00782FD3">
        <w:rPr>
          <w:rFonts w:eastAsia="Times New Roman" w:cs="Times New Roman"/>
          <w:szCs w:val="24"/>
        </w:rPr>
        <w:t xml:space="preserve"> equivalent fatalities </w:t>
      </w:r>
      <w:r w:rsidR="0058724E">
        <w:rPr>
          <w:rFonts w:eastAsia="Times New Roman" w:cs="Times New Roman"/>
          <w:szCs w:val="24"/>
        </w:rPr>
        <w:t xml:space="preserve">for drivers </w:t>
      </w:r>
      <w:r w:rsidR="00782FD3">
        <w:rPr>
          <w:rFonts w:eastAsia="Times New Roman" w:cs="Times New Roman"/>
          <w:szCs w:val="24"/>
        </w:rPr>
        <w:t>would be prevented.</w:t>
      </w:r>
    </w:p>
    <w:p w14:paraId="4006AAA2" w14:textId="22FABCBB" w:rsidR="00F1151E" w:rsidRDefault="00F1151E" w:rsidP="007C33A7">
      <w:pPr>
        <w:spacing w:after="0"/>
        <w:rPr>
          <w:rFonts w:eastAsia="Times New Roman" w:cs="Times New Roman"/>
          <w:szCs w:val="24"/>
        </w:rPr>
      </w:pPr>
    </w:p>
    <w:p w14:paraId="08270D81" w14:textId="40E7348D" w:rsidR="00F1151E" w:rsidRDefault="00F1151E" w:rsidP="007C33A7">
      <w:pPr>
        <w:spacing w:after="0"/>
        <w:rPr>
          <w:rFonts w:eastAsia="Times New Roman" w:cs="Times New Roman"/>
          <w:szCs w:val="24"/>
        </w:rPr>
      </w:pPr>
    </w:p>
    <w:p w14:paraId="00D7D447" w14:textId="3FEC0554" w:rsidR="00F1151E" w:rsidRDefault="00F1151E" w:rsidP="007C33A7">
      <w:pPr>
        <w:spacing w:after="0"/>
        <w:rPr>
          <w:rFonts w:eastAsia="Times New Roman" w:cs="Times New Roman"/>
          <w:szCs w:val="24"/>
        </w:rPr>
      </w:pPr>
    </w:p>
    <w:p w14:paraId="5C954194" w14:textId="6C0C8AFC" w:rsidR="00F1151E" w:rsidRDefault="00F1151E" w:rsidP="007C33A7">
      <w:pPr>
        <w:spacing w:after="0"/>
        <w:rPr>
          <w:rFonts w:eastAsia="Times New Roman" w:cs="Times New Roman"/>
          <w:szCs w:val="24"/>
        </w:rPr>
      </w:pPr>
    </w:p>
    <w:p w14:paraId="383CCD19" w14:textId="77777777" w:rsidR="00F1151E" w:rsidRDefault="00F1151E" w:rsidP="007C33A7">
      <w:pPr>
        <w:spacing w:after="0"/>
        <w:rPr>
          <w:rFonts w:eastAsia="Times New Roman" w:cs="Times New Roman"/>
          <w:szCs w:val="24"/>
        </w:rPr>
      </w:pPr>
    </w:p>
    <w:p w14:paraId="7748BA5C" w14:textId="1974A274" w:rsidR="0049136A" w:rsidRDefault="000F5B51" w:rsidP="0049136A">
      <w:pPr>
        <w:pStyle w:val="Caption"/>
        <w:rPr>
          <w:rFonts w:eastAsia="Times New Roman" w:cs="Times New Roman"/>
          <w:szCs w:val="24"/>
        </w:rPr>
      </w:pPr>
      <w:bookmarkStart w:id="1341" w:name="_Ref126834823"/>
      <w:r>
        <w:lastRenderedPageBreak/>
        <w:t xml:space="preserve">Table </w:t>
      </w:r>
      <w:r w:rsidR="00115BAB">
        <w:fldChar w:fldCharType="begin"/>
      </w:r>
      <w:r>
        <w:instrText xml:space="preserve"> SEQ Table \* ARABIC </w:instrText>
      </w:r>
      <w:r w:rsidR="00115BAB">
        <w:fldChar w:fldCharType="separate"/>
      </w:r>
      <w:r w:rsidR="00A65CB3">
        <w:rPr>
          <w:noProof/>
        </w:rPr>
        <w:t>68</w:t>
      </w:r>
      <w:r w:rsidR="00115BAB">
        <w:rPr>
          <w:noProof/>
        </w:rPr>
        <w:fldChar w:fldCharType="end"/>
      </w:r>
      <w:bookmarkEnd w:id="1341"/>
      <w:r>
        <w:t>: Calculation of Equivalent Lives Sa</w:t>
      </w:r>
      <w:r w:rsidR="00B94C16">
        <w:t>v</w:t>
      </w:r>
      <w:r>
        <w:t xml:space="preserve">ed for </w:t>
      </w:r>
      <w:r w:rsidR="00AE1BC4">
        <w:t>Drivers</w:t>
      </w:r>
    </w:p>
    <w:tbl>
      <w:tblPr>
        <w:tblStyle w:val="TableGrid"/>
        <w:tblW w:w="9872" w:type="dxa"/>
        <w:tblLook w:val="04A0" w:firstRow="1" w:lastRow="0" w:firstColumn="1" w:lastColumn="0" w:noHBand="0" w:noVBand="1"/>
      </w:tblPr>
      <w:tblGrid>
        <w:gridCol w:w="2468"/>
        <w:gridCol w:w="2468"/>
        <w:gridCol w:w="2468"/>
        <w:gridCol w:w="2468"/>
      </w:tblGrid>
      <w:tr w:rsidR="00A15C2C" w14:paraId="74C75890" w14:textId="77777777" w:rsidTr="00CC65F7">
        <w:trPr>
          <w:trHeight w:val="337"/>
        </w:trPr>
        <w:tc>
          <w:tcPr>
            <w:tcW w:w="2468" w:type="dxa"/>
            <w:shd w:val="clear" w:color="auto" w:fill="BFBFBF" w:themeFill="background1" w:themeFillShade="BF"/>
            <w:vAlign w:val="center"/>
          </w:tcPr>
          <w:p w14:paraId="3C224645" w14:textId="77777777" w:rsidR="0049136A" w:rsidRPr="00A52D46" w:rsidRDefault="000F5B51">
            <w:pPr>
              <w:spacing w:line="240" w:lineRule="auto"/>
              <w:rPr>
                <w:b/>
                <w:bCs/>
              </w:rPr>
            </w:pPr>
            <w:r w:rsidRPr="00A52D46">
              <w:rPr>
                <w:b/>
                <w:bCs/>
              </w:rPr>
              <w:t>Category</w:t>
            </w:r>
          </w:p>
        </w:tc>
        <w:tc>
          <w:tcPr>
            <w:tcW w:w="2468" w:type="dxa"/>
            <w:shd w:val="clear" w:color="auto" w:fill="BFBFBF" w:themeFill="background1" w:themeFillShade="BF"/>
            <w:vAlign w:val="center"/>
          </w:tcPr>
          <w:p w14:paraId="09EE9FCF" w14:textId="77777777" w:rsidR="0049136A" w:rsidRPr="00A52D46" w:rsidRDefault="000F5B51">
            <w:pPr>
              <w:spacing w:line="240" w:lineRule="auto"/>
              <w:jc w:val="center"/>
              <w:rPr>
                <w:b/>
                <w:bCs/>
              </w:rPr>
            </w:pPr>
            <w:r w:rsidRPr="00A52D46">
              <w:rPr>
                <w:b/>
                <w:bCs/>
              </w:rPr>
              <w:t>Safety Benefits</w:t>
            </w:r>
          </w:p>
        </w:tc>
        <w:tc>
          <w:tcPr>
            <w:tcW w:w="2468" w:type="dxa"/>
            <w:shd w:val="clear" w:color="auto" w:fill="BFBFBF" w:themeFill="background1" w:themeFillShade="BF"/>
          </w:tcPr>
          <w:p w14:paraId="22757A67" w14:textId="77777777" w:rsidR="0049136A" w:rsidRPr="00A52D46" w:rsidRDefault="000F5B51" w:rsidP="003C04C4">
            <w:pPr>
              <w:spacing w:line="240" w:lineRule="auto"/>
              <w:jc w:val="center"/>
              <w:rPr>
                <w:b/>
                <w:bCs/>
              </w:rPr>
            </w:pPr>
            <w:r>
              <w:rPr>
                <w:rFonts w:eastAsia="Times New Roman" w:cs="Times New Roman"/>
                <w:b/>
                <w:bCs/>
                <w:szCs w:val="24"/>
              </w:rPr>
              <w:t>Relative Injury Factor </w:t>
            </w:r>
          </w:p>
        </w:tc>
        <w:tc>
          <w:tcPr>
            <w:tcW w:w="2468" w:type="dxa"/>
            <w:shd w:val="clear" w:color="auto" w:fill="BFBFBF" w:themeFill="background1" w:themeFillShade="BF"/>
            <w:vAlign w:val="center"/>
          </w:tcPr>
          <w:p w14:paraId="0FE58FB9" w14:textId="77777777" w:rsidR="0049136A" w:rsidRPr="00A52D46" w:rsidRDefault="000F5B51">
            <w:pPr>
              <w:spacing w:line="240" w:lineRule="auto"/>
              <w:jc w:val="center"/>
              <w:rPr>
                <w:b/>
                <w:bCs/>
              </w:rPr>
            </w:pPr>
            <w:r>
              <w:rPr>
                <w:b/>
                <w:bCs/>
                <w:sz w:val="22"/>
              </w:rPr>
              <w:t>Equivalent Lives Saved</w:t>
            </w:r>
          </w:p>
        </w:tc>
      </w:tr>
      <w:tr w:rsidR="00A15C2C" w14:paraId="1A7294BE" w14:textId="77777777" w:rsidTr="003C04C4">
        <w:trPr>
          <w:trHeight w:val="233"/>
        </w:trPr>
        <w:tc>
          <w:tcPr>
            <w:tcW w:w="9872" w:type="dxa"/>
            <w:gridSpan w:val="4"/>
            <w:shd w:val="clear" w:color="auto" w:fill="D9D9D9" w:themeFill="background1" w:themeFillShade="D9"/>
          </w:tcPr>
          <w:p w14:paraId="1E9D7A89" w14:textId="77777777" w:rsidR="0049136A" w:rsidRPr="00934F2C" w:rsidRDefault="000F5B51" w:rsidP="003C04C4">
            <w:pPr>
              <w:spacing w:line="240" w:lineRule="auto"/>
              <w:jc w:val="center"/>
              <w:rPr>
                <w:b/>
                <w:bCs/>
                <w:i/>
                <w:iCs/>
              </w:rPr>
            </w:pPr>
            <w:r>
              <w:rPr>
                <w:b/>
                <w:bCs/>
                <w:i/>
                <w:iCs/>
                <w:sz w:val="22"/>
                <w:szCs w:val="20"/>
              </w:rPr>
              <w:t>Passenger Cars</w:t>
            </w:r>
          </w:p>
        </w:tc>
      </w:tr>
      <w:tr w:rsidR="00422DCD" w14:paraId="40E71EF9" w14:textId="77777777" w:rsidTr="00BE0A50">
        <w:trPr>
          <w:trHeight w:val="248"/>
        </w:trPr>
        <w:tc>
          <w:tcPr>
            <w:tcW w:w="2468" w:type="dxa"/>
          </w:tcPr>
          <w:p w14:paraId="38C0EEA0" w14:textId="77777777" w:rsidR="00422DCD" w:rsidRPr="00934F2C" w:rsidRDefault="00422DCD" w:rsidP="00422DCD">
            <w:pPr>
              <w:spacing w:line="240" w:lineRule="auto"/>
              <w:rPr>
                <w:b/>
                <w:bCs/>
                <w:sz w:val="22"/>
              </w:rPr>
            </w:pPr>
            <w:r w:rsidRPr="00934F2C">
              <w:rPr>
                <w:sz w:val="22"/>
              </w:rPr>
              <w:t>MAIS 1</w:t>
            </w:r>
          </w:p>
        </w:tc>
        <w:tc>
          <w:tcPr>
            <w:tcW w:w="2468" w:type="dxa"/>
          </w:tcPr>
          <w:p w14:paraId="5C8F5367" w14:textId="66E06A91" w:rsidR="00422DCD" w:rsidRPr="00D428F2" w:rsidRDefault="00422DCD" w:rsidP="00422DCD">
            <w:pPr>
              <w:spacing w:line="240" w:lineRule="auto"/>
              <w:jc w:val="center"/>
              <w:rPr>
                <w:sz w:val="22"/>
                <w:szCs w:val="20"/>
              </w:rPr>
            </w:pPr>
            <w:r w:rsidRPr="00BE0A50">
              <w:rPr>
                <w:sz w:val="22"/>
                <w:szCs w:val="20"/>
              </w:rPr>
              <w:t>12.07</w:t>
            </w:r>
          </w:p>
        </w:tc>
        <w:tc>
          <w:tcPr>
            <w:tcW w:w="2468" w:type="dxa"/>
            <w:vAlign w:val="center"/>
          </w:tcPr>
          <w:p w14:paraId="017F8A1D" w14:textId="77777777" w:rsidR="00422DCD" w:rsidRPr="00934F2C" w:rsidRDefault="00422DCD" w:rsidP="00422DCD">
            <w:pPr>
              <w:spacing w:line="240" w:lineRule="auto"/>
              <w:jc w:val="center"/>
              <w:rPr>
                <w:sz w:val="22"/>
              </w:rPr>
            </w:pPr>
            <w:r>
              <w:rPr>
                <w:color w:val="000000"/>
                <w:sz w:val="22"/>
              </w:rPr>
              <w:t>0.0038</w:t>
            </w:r>
          </w:p>
        </w:tc>
        <w:tc>
          <w:tcPr>
            <w:tcW w:w="2468" w:type="dxa"/>
            <w:vAlign w:val="center"/>
          </w:tcPr>
          <w:p w14:paraId="14E21909" w14:textId="4A653D7A" w:rsidR="00422DCD" w:rsidRPr="00D428F2" w:rsidRDefault="00422DCD" w:rsidP="00422DCD">
            <w:pPr>
              <w:spacing w:line="240" w:lineRule="auto"/>
              <w:jc w:val="center"/>
              <w:rPr>
                <w:sz w:val="22"/>
              </w:rPr>
            </w:pPr>
            <w:r w:rsidRPr="00BE0A50">
              <w:rPr>
                <w:color w:val="000000"/>
                <w:sz w:val="22"/>
              </w:rPr>
              <w:t>0.0459</w:t>
            </w:r>
          </w:p>
        </w:tc>
      </w:tr>
      <w:tr w:rsidR="00422DCD" w14:paraId="63401688" w14:textId="77777777" w:rsidTr="00BE0A50">
        <w:trPr>
          <w:trHeight w:val="233"/>
        </w:trPr>
        <w:tc>
          <w:tcPr>
            <w:tcW w:w="2468" w:type="dxa"/>
          </w:tcPr>
          <w:p w14:paraId="7D9C1E57" w14:textId="77777777" w:rsidR="00422DCD" w:rsidRPr="00934F2C" w:rsidRDefault="00422DCD" w:rsidP="00422DCD">
            <w:pPr>
              <w:spacing w:line="240" w:lineRule="auto"/>
              <w:rPr>
                <w:b/>
                <w:bCs/>
                <w:sz w:val="22"/>
              </w:rPr>
            </w:pPr>
            <w:r w:rsidRPr="00934F2C">
              <w:rPr>
                <w:color w:val="000000"/>
                <w:sz w:val="22"/>
              </w:rPr>
              <w:t>MAIS 2</w:t>
            </w:r>
          </w:p>
        </w:tc>
        <w:tc>
          <w:tcPr>
            <w:tcW w:w="2468" w:type="dxa"/>
          </w:tcPr>
          <w:p w14:paraId="6944FD11" w14:textId="28F45461" w:rsidR="00422DCD" w:rsidRPr="00D428F2" w:rsidRDefault="00422DCD" w:rsidP="00422DCD">
            <w:pPr>
              <w:spacing w:line="240" w:lineRule="auto"/>
              <w:jc w:val="center"/>
              <w:rPr>
                <w:sz w:val="22"/>
                <w:szCs w:val="20"/>
              </w:rPr>
            </w:pPr>
            <w:r w:rsidRPr="00BE0A50">
              <w:rPr>
                <w:sz w:val="22"/>
                <w:szCs w:val="20"/>
              </w:rPr>
              <w:t>77.08</w:t>
            </w:r>
          </w:p>
        </w:tc>
        <w:tc>
          <w:tcPr>
            <w:tcW w:w="2468" w:type="dxa"/>
            <w:vAlign w:val="center"/>
          </w:tcPr>
          <w:p w14:paraId="16AD72FC" w14:textId="77777777" w:rsidR="00422DCD" w:rsidRPr="00934F2C" w:rsidRDefault="00422DCD" w:rsidP="00422DCD">
            <w:pPr>
              <w:spacing w:line="240" w:lineRule="auto"/>
              <w:jc w:val="center"/>
              <w:rPr>
                <w:sz w:val="22"/>
              </w:rPr>
            </w:pPr>
            <w:r>
              <w:rPr>
                <w:color w:val="000000"/>
                <w:sz w:val="22"/>
              </w:rPr>
              <w:t>0.0454</w:t>
            </w:r>
          </w:p>
        </w:tc>
        <w:tc>
          <w:tcPr>
            <w:tcW w:w="2468" w:type="dxa"/>
            <w:vAlign w:val="center"/>
          </w:tcPr>
          <w:p w14:paraId="1720E00D" w14:textId="4055C5A9" w:rsidR="00422DCD" w:rsidRPr="00D428F2" w:rsidRDefault="00422DCD" w:rsidP="00422DCD">
            <w:pPr>
              <w:spacing w:line="240" w:lineRule="auto"/>
              <w:jc w:val="center"/>
              <w:rPr>
                <w:sz w:val="22"/>
              </w:rPr>
            </w:pPr>
            <w:r w:rsidRPr="00BE0A50">
              <w:rPr>
                <w:color w:val="000000"/>
                <w:sz w:val="22"/>
              </w:rPr>
              <w:t>3.4993</w:t>
            </w:r>
          </w:p>
        </w:tc>
      </w:tr>
      <w:tr w:rsidR="00422DCD" w14:paraId="14EE1FD4" w14:textId="77777777" w:rsidTr="00BE0A50">
        <w:trPr>
          <w:trHeight w:val="248"/>
        </w:trPr>
        <w:tc>
          <w:tcPr>
            <w:tcW w:w="2468" w:type="dxa"/>
          </w:tcPr>
          <w:p w14:paraId="2CAD4802" w14:textId="77777777" w:rsidR="00422DCD" w:rsidRPr="00934F2C" w:rsidRDefault="00422DCD" w:rsidP="00422DCD">
            <w:pPr>
              <w:spacing w:line="240" w:lineRule="auto"/>
              <w:rPr>
                <w:b/>
                <w:bCs/>
                <w:sz w:val="22"/>
              </w:rPr>
            </w:pPr>
            <w:r w:rsidRPr="00934F2C">
              <w:rPr>
                <w:sz w:val="22"/>
              </w:rPr>
              <w:t>MAIS 3</w:t>
            </w:r>
          </w:p>
        </w:tc>
        <w:tc>
          <w:tcPr>
            <w:tcW w:w="2468" w:type="dxa"/>
          </w:tcPr>
          <w:p w14:paraId="0EB03E16" w14:textId="358CB59E" w:rsidR="00422DCD" w:rsidRPr="00D428F2" w:rsidRDefault="00422DCD" w:rsidP="00422DCD">
            <w:pPr>
              <w:spacing w:line="240" w:lineRule="auto"/>
              <w:jc w:val="center"/>
              <w:rPr>
                <w:sz w:val="22"/>
                <w:szCs w:val="20"/>
              </w:rPr>
            </w:pPr>
            <w:r w:rsidRPr="00BE0A50">
              <w:rPr>
                <w:sz w:val="22"/>
                <w:szCs w:val="20"/>
              </w:rPr>
              <w:t>21.28</w:t>
            </w:r>
          </w:p>
        </w:tc>
        <w:tc>
          <w:tcPr>
            <w:tcW w:w="2468" w:type="dxa"/>
            <w:vAlign w:val="center"/>
          </w:tcPr>
          <w:p w14:paraId="1A4A7ECD" w14:textId="77777777" w:rsidR="00422DCD" w:rsidRPr="00934F2C" w:rsidRDefault="00422DCD" w:rsidP="00422DCD">
            <w:pPr>
              <w:spacing w:line="240" w:lineRule="auto"/>
              <w:jc w:val="center"/>
              <w:rPr>
                <w:sz w:val="22"/>
              </w:rPr>
            </w:pPr>
            <w:r>
              <w:rPr>
                <w:color w:val="000000"/>
                <w:sz w:val="22"/>
              </w:rPr>
              <w:t>0.1078</w:t>
            </w:r>
          </w:p>
        </w:tc>
        <w:tc>
          <w:tcPr>
            <w:tcW w:w="2468" w:type="dxa"/>
            <w:vAlign w:val="center"/>
          </w:tcPr>
          <w:p w14:paraId="36EF49C7" w14:textId="72204457" w:rsidR="00422DCD" w:rsidRPr="00D428F2" w:rsidRDefault="00422DCD" w:rsidP="00422DCD">
            <w:pPr>
              <w:spacing w:line="240" w:lineRule="auto"/>
              <w:jc w:val="center"/>
              <w:rPr>
                <w:sz w:val="22"/>
              </w:rPr>
            </w:pPr>
            <w:r w:rsidRPr="00BE0A50">
              <w:rPr>
                <w:color w:val="000000"/>
                <w:sz w:val="22"/>
              </w:rPr>
              <w:t>2.2939</w:t>
            </w:r>
          </w:p>
        </w:tc>
      </w:tr>
      <w:tr w:rsidR="00422DCD" w14:paraId="5CCCEA0A" w14:textId="77777777" w:rsidTr="00BE0A50">
        <w:trPr>
          <w:trHeight w:val="233"/>
        </w:trPr>
        <w:tc>
          <w:tcPr>
            <w:tcW w:w="2468" w:type="dxa"/>
          </w:tcPr>
          <w:p w14:paraId="0E47B4E7" w14:textId="77777777" w:rsidR="00422DCD" w:rsidRPr="00934F2C" w:rsidRDefault="00422DCD" w:rsidP="00422DCD">
            <w:pPr>
              <w:spacing w:line="240" w:lineRule="auto"/>
              <w:rPr>
                <w:b/>
                <w:bCs/>
                <w:sz w:val="22"/>
              </w:rPr>
            </w:pPr>
            <w:r w:rsidRPr="00934F2C">
              <w:rPr>
                <w:color w:val="000000"/>
                <w:sz w:val="22"/>
              </w:rPr>
              <w:t>MAIS 4</w:t>
            </w:r>
          </w:p>
        </w:tc>
        <w:tc>
          <w:tcPr>
            <w:tcW w:w="2468" w:type="dxa"/>
          </w:tcPr>
          <w:p w14:paraId="6FF3ADD3" w14:textId="5AEAA48E" w:rsidR="00422DCD" w:rsidRPr="00D428F2" w:rsidRDefault="00422DCD" w:rsidP="00422DCD">
            <w:pPr>
              <w:spacing w:line="240" w:lineRule="auto"/>
              <w:jc w:val="center"/>
              <w:rPr>
                <w:sz w:val="22"/>
                <w:szCs w:val="20"/>
              </w:rPr>
            </w:pPr>
            <w:r w:rsidRPr="00BE0A50">
              <w:rPr>
                <w:sz w:val="22"/>
                <w:szCs w:val="20"/>
              </w:rPr>
              <w:t>15.40</w:t>
            </w:r>
          </w:p>
        </w:tc>
        <w:tc>
          <w:tcPr>
            <w:tcW w:w="2468" w:type="dxa"/>
            <w:vAlign w:val="center"/>
          </w:tcPr>
          <w:p w14:paraId="7260626C" w14:textId="77777777" w:rsidR="00422DCD" w:rsidRPr="00934F2C" w:rsidRDefault="00422DCD" w:rsidP="00422DCD">
            <w:pPr>
              <w:spacing w:line="240" w:lineRule="auto"/>
              <w:jc w:val="center"/>
              <w:rPr>
                <w:sz w:val="22"/>
              </w:rPr>
            </w:pPr>
            <w:r>
              <w:rPr>
                <w:color w:val="000000"/>
                <w:sz w:val="22"/>
              </w:rPr>
              <w:t>0.2677</w:t>
            </w:r>
          </w:p>
        </w:tc>
        <w:tc>
          <w:tcPr>
            <w:tcW w:w="2468" w:type="dxa"/>
            <w:vAlign w:val="center"/>
          </w:tcPr>
          <w:p w14:paraId="76ACC34A" w14:textId="76B7CB9A" w:rsidR="00422DCD" w:rsidRPr="00D428F2" w:rsidRDefault="00422DCD" w:rsidP="00422DCD">
            <w:pPr>
              <w:spacing w:line="240" w:lineRule="auto"/>
              <w:jc w:val="center"/>
              <w:rPr>
                <w:sz w:val="22"/>
              </w:rPr>
            </w:pPr>
            <w:r w:rsidRPr="00BE0A50">
              <w:rPr>
                <w:color w:val="000000"/>
                <w:sz w:val="22"/>
              </w:rPr>
              <w:t>4.1229</w:t>
            </w:r>
          </w:p>
        </w:tc>
      </w:tr>
      <w:tr w:rsidR="00422DCD" w14:paraId="6FEF41CA" w14:textId="77777777" w:rsidTr="00BE0A50">
        <w:trPr>
          <w:trHeight w:val="233"/>
        </w:trPr>
        <w:tc>
          <w:tcPr>
            <w:tcW w:w="2468" w:type="dxa"/>
          </w:tcPr>
          <w:p w14:paraId="3C3B5AB9" w14:textId="77777777" w:rsidR="00422DCD" w:rsidRPr="00934F2C" w:rsidRDefault="00422DCD" w:rsidP="00422DCD">
            <w:pPr>
              <w:spacing w:line="240" w:lineRule="auto"/>
              <w:rPr>
                <w:b/>
                <w:bCs/>
                <w:sz w:val="22"/>
              </w:rPr>
            </w:pPr>
            <w:r w:rsidRPr="00934F2C">
              <w:rPr>
                <w:sz w:val="22"/>
              </w:rPr>
              <w:t>MAIS 5</w:t>
            </w:r>
          </w:p>
        </w:tc>
        <w:tc>
          <w:tcPr>
            <w:tcW w:w="2468" w:type="dxa"/>
          </w:tcPr>
          <w:p w14:paraId="4C1443EC" w14:textId="040AC1FE" w:rsidR="00422DCD" w:rsidRPr="00D428F2" w:rsidRDefault="00422DCD" w:rsidP="00422DCD">
            <w:pPr>
              <w:spacing w:line="240" w:lineRule="auto"/>
              <w:jc w:val="center"/>
              <w:rPr>
                <w:sz w:val="22"/>
                <w:szCs w:val="20"/>
              </w:rPr>
            </w:pPr>
            <w:r w:rsidRPr="00BE0A50">
              <w:rPr>
                <w:sz w:val="22"/>
                <w:szCs w:val="20"/>
              </w:rPr>
              <w:t>0.37</w:t>
            </w:r>
          </w:p>
        </w:tc>
        <w:tc>
          <w:tcPr>
            <w:tcW w:w="2468" w:type="dxa"/>
            <w:vAlign w:val="center"/>
          </w:tcPr>
          <w:p w14:paraId="407E90F9" w14:textId="77777777" w:rsidR="00422DCD" w:rsidRPr="00934F2C" w:rsidRDefault="00422DCD" w:rsidP="00422DCD">
            <w:pPr>
              <w:spacing w:line="240" w:lineRule="auto"/>
              <w:jc w:val="center"/>
              <w:rPr>
                <w:sz w:val="22"/>
              </w:rPr>
            </w:pPr>
            <w:r>
              <w:rPr>
                <w:color w:val="000000"/>
                <w:sz w:val="22"/>
              </w:rPr>
              <w:t>0.6125</w:t>
            </w:r>
          </w:p>
        </w:tc>
        <w:tc>
          <w:tcPr>
            <w:tcW w:w="2468" w:type="dxa"/>
            <w:vAlign w:val="center"/>
          </w:tcPr>
          <w:p w14:paraId="528C6AEF" w14:textId="2BC0E83E" w:rsidR="00422DCD" w:rsidRPr="00D428F2" w:rsidRDefault="00422DCD" w:rsidP="00422DCD">
            <w:pPr>
              <w:spacing w:line="240" w:lineRule="auto"/>
              <w:jc w:val="center"/>
              <w:rPr>
                <w:sz w:val="22"/>
              </w:rPr>
            </w:pPr>
            <w:r w:rsidRPr="00BE0A50">
              <w:rPr>
                <w:color w:val="000000"/>
                <w:sz w:val="22"/>
              </w:rPr>
              <w:t>0.2237</w:t>
            </w:r>
          </w:p>
        </w:tc>
      </w:tr>
      <w:tr w:rsidR="00422DCD" w14:paraId="68CC99BE" w14:textId="77777777" w:rsidTr="00BE0A50">
        <w:trPr>
          <w:trHeight w:val="233"/>
        </w:trPr>
        <w:tc>
          <w:tcPr>
            <w:tcW w:w="2468" w:type="dxa"/>
          </w:tcPr>
          <w:p w14:paraId="48BBE2F6" w14:textId="77777777" w:rsidR="00422DCD" w:rsidRPr="00934F2C" w:rsidRDefault="00422DCD" w:rsidP="00422DCD">
            <w:pPr>
              <w:spacing w:line="240" w:lineRule="auto"/>
              <w:rPr>
                <w:b/>
                <w:bCs/>
                <w:sz w:val="22"/>
              </w:rPr>
            </w:pPr>
            <w:r w:rsidRPr="00934F2C">
              <w:rPr>
                <w:sz w:val="22"/>
              </w:rPr>
              <w:t>Fatalities</w:t>
            </w:r>
          </w:p>
        </w:tc>
        <w:tc>
          <w:tcPr>
            <w:tcW w:w="2468" w:type="dxa"/>
          </w:tcPr>
          <w:p w14:paraId="6AFEC584" w14:textId="229A6A7E" w:rsidR="00422DCD" w:rsidRPr="00D428F2" w:rsidRDefault="00422DCD" w:rsidP="00422DCD">
            <w:pPr>
              <w:spacing w:line="240" w:lineRule="auto"/>
              <w:jc w:val="center"/>
              <w:rPr>
                <w:sz w:val="22"/>
                <w:szCs w:val="20"/>
              </w:rPr>
            </w:pPr>
            <w:r w:rsidRPr="00BE0A50">
              <w:rPr>
                <w:sz w:val="22"/>
                <w:szCs w:val="20"/>
              </w:rPr>
              <w:t>25.03</w:t>
            </w:r>
          </w:p>
        </w:tc>
        <w:tc>
          <w:tcPr>
            <w:tcW w:w="2468" w:type="dxa"/>
            <w:vAlign w:val="center"/>
          </w:tcPr>
          <w:p w14:paraId="4AEC441A" w14:textId="77777777" w:rsidR="00422DCD" w:rsidRPr="00934F2C" w:rsidRDefault="00422DCD" w:rsidP="00422DCD">
            <w:pPr>
              <w:spacing w:line="240" w:lineRule="auto"/>
              <w:jc w:val="center"/>
              <w:rPr>
                <w:sz w:val="22"/>
              </w:rPr>
            </w:pPr>
            <w:r>
              <w:rPr>
                <w:color w:val="000000"/>
                <w:sz w:val="22"/>
              </w:rPr>
              <w:t>1.0000</w:t>
            </w:r>
          </w:p>
        </w:tc>
        <w:tc>
          <w:tcPr>
            <w:tcW w:w="2468" w:type="dxa"/>
            <w:vAlign w:val="center"/>
          </w:tcPr>
          <w:p w14:paraId="64FD69B1" w14:textId="18F420B1" w:rsidR="00422DCD" w:rsidRPr="00D428F2" w:rsidRDefault="00422DCD" w:rsidP="00422DCD">
            <w:pPr>
              <w:spacing w:line="240" w:lineRule="auto"/>
              <w:jc w:val="center"/>
              <w:rPr>
                <w:sz w:val="22"/>
              </w:rPr>
            </w:pPr>
            <w:r w:rsidRPr="00BE0A50">
              <w:rPr>
                <w:color w:val="000000"/>
                <w:sz w:val="22"/>
              </w:rPr>
              <w:t>25.0336</w:t>
            </w:r>
          </w:p>
        </w:tc>
      </w:tr>
      <w:tr w:rsidR="00422DCD" w14:paraId="7CCB869A" w14:textId="77777777" w:rsidTr="00CC65F7">
        <w:trPr>
          <w:trHeight w:val="233"/>
        </w:trPr>
        <w:tc>
          <w:tcPr>
            <w:tcW w:w="2468" w:type="dxa"/>
          </w:tcPr>
          <w:p w14:paraId="0C330430" w14:textId="77777777" w:rsidR="00422DCD" w:rsidRPr="00934F2C" w:rsidRDefault="00422DCD" w:rsidP="00422DCD">
            <w:pPr>
              <w:spacing w:line="240" w:lineRule="auto"/>
              <w:rPr>
                <w:sz w:val="22"/>
              </w:rPr>
            </w:pPr>
            <w:r w:rsidRPr="00934F2C">
              <w:rPr>
                <w:sz w:val="22"/>
              </w:rPr>
              <w:t xml:space="preserve">Total </w:t>
            </w:r>
            <w:r>
              <w:rPr>
                <w:sz w:val="22"/>
              </w:rPr>
              <w:t>PC</w:t>
            </w:r>
          </w:p>
        </w:tc>
        <w:tc>
          <w:tcPr>
            <w:tcW w:w="2468" w:type="dxa"/>
            <w:vAlign w:val="center"/>
          </w:tcPr>
          <w:p w14:paraId="1C346A13" w14:textId="77777777" w:rsidR="00422DCD" w:rsidRPr="00934F2C" w:rsidRDefault="00422DCD" w:rsidP="00422DCD">
            <w:pPr>
              <w:spacing w:line="240" w:lineRule="auto"/>
              <w:jc w:val="center"/>
              <w:rPr>
                <w:b/>
                <w:bCs/>
                <w:sz w:val="22"/>
              </w:rPr>
            </w:pPr>
          </w:p>
        </w:tc>
        <w:tc>
          <w:tcPr>
            <w:tcW w:w="2468" w:type="dxa"/>
            <w:vAlign w:val="center"/>
          </w:tcPr>
          <w:p w14:paraId="21D61D11" w14:textId="77777777" w:rsidR="00422DCD" w:rsidRPr="00934F2C" w:rsidRDefault="00422DCD" w:rsidP="00422DCD">
            <w:pPr>
              <w:spacing w:line="240" w:lineRule="auto"/>
              <w:jc w:val="center"/>
              <w:rPr>
                <w:b/>
                <w:bCs/>
                <w:sz w:val="22"/>
              </w:rPr>
            </w:pPr>
          </w:p>
        </w:tc>
        <w:tc>
          <w:tcPr>
            <w:tcW w:w="2468" w:type="dxa"/>
            <w:vAlign w:val="center"/>
          </w:tcPr>
          <w:p w14:paraId="2E25D790" w14:textId="6896F3A0" w:rsidR="00422DCD" w:rsidRPr="00FC1651" w:rsidRDefault="00422DCD" w:rsidP="00422DCD">
            <w:pPr>
              <w:spacing w:line="240" w:lineRule="auto"/>
              <w:jc w:val="center"/>
              <w:rPr>
                <w:b/>
                <w:bCs/>
                <w:color w:val="000000"/>
                <w:sz w:val="22"/>
              </w:rPr>
            </w:pPr>
            <w:r w:rsidRPr="00BE0A50">
              <w:rPr>
                <w:b/>
                <w:bCs/>
                <w:color w:val="000000"/>
                <w:szCs w:val="24"/>
              </w:rPr>
              <w:t>35.2192</w:t>
            </w:r>
          </w:p>
        </w:tc>
      </w:tr>
      <w:tr w:rsidR="00A15C2C" w14:paraId="07A3F737" w14:textId="77777777" w:rsidTr="003C04C4">
        <w:trPr>
          <w:trHeight w:val="248"/>
        </w:trPr>
        <w:tc>
          <w:tcPr>
            <w:tcW w:w="9872" w:type="dxa"/>
            <w:gridSpan w:val="4"/>
            <w:shd w:val="clear" w:color="auto" w:fill="D9D9D9" w:themeFill="background1" w:themeFillShade="D9"/>
          </w:tcPr>
          <w:p w14:paraId="26F7B33D" w14:textId="77777777" w:rsidR="0049136A" w:rsidRPr="00934F2C" w:rsidRDefault="000F5B51" w:rsidP="003C04C4">
            <w:pPr>
              <w:spacing w:line="240" w:lineRule="auto"/>
              <w:jc w:val="center"/>
              <w:rPr>
                <w:b/>
                <w:bCs/>
                <w:i/>
                <w:iCs/>
                <w:sz w:val="22"/>
              </w:rPr>
            </w:pPr>
            <w:r>
              <w:rPr>
                <w:b/>
                <w:bCs/>
                <w:i/>
                <w:iCs/>
                <w:sz w:val="22"/>
              </w:rPr>
              <w:t>LTVs</w:t>
            </w:r>
          </w:p>
        </w:tc>
      </w:tr>
      <w:tr w:rsidR="00FC1651" w14:paraId="40607F38" w14:textId="77777777" w:rsidTr="00BE0A50">
        <w:trPr>
          <w:trHeight w:val="107"/>
        </w:trPr>
        <w:tc>
          <w:tcPr>
            <w:tcW w:w="2468" w:type="dxa"/>
          </w:tcPr>
          <w:p w14:paraId="384FBA78" w14:textId="77777777" w:rsidR="00FC1651" w:rsidRPr="00934F2C" w:rsidRDefault="00FC1651" w:rsidP="00FC1651">
            <w:pPr>
              <w:spacing w:line="240" w:lineRule="auto"/>
              <w:rPr>
                <w:b/>
                <w:bCs/>
                <w:color w:val="000000"/>
                <w:sz w:val="22"/>
              </w:rPr>
            </w:pPr>
            <w:r w:rsidRPr="00934F2C">
              <w:rPr>
                <w:sz w:val="22"/>
              </w:rPr>
              <w:t>MAIS 1</w:t>
            </w:r>
          </w:p>
        </w:tc>
        <w:tc>
          <w:tcPr>
            <w:tcW w:w="2468" w:type="dxa"/>
          </w:tcPr>
          <w:p w14:paraId="65B15DFD" w14:textId="020D2C5A" w:rsidR="00FC1651" w:rsidRPr="00D428F2" w:rsidRDefault="00FC1651" w:rsidP="00FC1651">
            <w:pPr>
              <w:spacing w:line="240" w:lineRule="auto"/>
              <w:jc w:val="center"/>
              <w:rPr>
                <w:sz w:val="22"/>
                <w:szCs w:val="20"/>
              </w:rPr>
            </w:pPr>
            <w:r w:rsidRPr="00BE0A50">
              <w:rPr>
                <w:sz w:val="22"/>
                <w:szCs w:val="20"/>
              </w:rPr>
              <w:t>8.66</w:t>
            </w:r>
          </w:p>
        </w:tc>
        <w:tc>
          <w:tcPr>
            <w:tcW w:w="2468" w:type="dxa"/>
            <w:vAlign w:val="center"/>
          </w:tcPr>
          <w:p w14:paraId="606FAF4A" w14:textId="77777777" w:rsidR="00FC1651" w:rsidRPr="00934F2C" w:rsidRDefault="00FC1651" w:rsidP="00FC1651">
            <w:pPr>
              <w:spacing w:line="240" w:lineRule="auto"/>
              <w:jc w:val="center"/>
              <w:rPr>
                <w:sz w:val="22"/>
              </w:rPr>
            </w:pPr>
            <w:r>
              <w:rPr>
                <w:color w:val="000000"/>
                <w:sz w:val="22"/>
              </w:rPr>
              <w:t>0.0038</w:t>
            </w:r>
          </w:p>
        </w:tc>
        <w:tc>
          <w:tcPr>
            <w:tcW w:w="2468" w:type="dxa"/>
            <w:vAlign w:val="center"/>
          </w:tcPr>
          <w:p w14:paraId="37A497CE" w14:textId="4E6B2966" w:rsidR="00FC1651" w:rsidRPr="00D428F2" w:rsidRDefault="00FC1651" w:rsidP="00FC1651">
            <w:pPr>
              <w:spacing w:line="240" w:lineRule="auto"/>
              <w:jc w:val="center"/>
              <w:rPr>
                <w:sz w:val="22"/>
              </w:rPr>
            </w:pPr>
            <w:r w:rsidRPr="00BE0A50">
              <w:rPr>
                <w:color w:val="000000"/>
                <w:sz w:val="22"/>
              </w:rPr>
              <w:t>0.0329</w:t>
            </w:r>
          </w:p>
        </w:tc>
      </w:tr>
      <w:tr w:rsidR="00FC1651" w14:paraId="7AC05EB4" w14:textId="77777777" w:rsidTr="00BE0A50">
        <w:trPr>
          <w:trHeight w:val="248"/>
        </w:trPr>
        <w:tc>
          <w:tcPr>
            <w:tcW w:w="2468" w:type="dxa"/>
          </w:tcPr>
          <w:p w14:paraId="50FD68D3" w14:textId="77777777" w:rsidR="00FC1651" w:rsidRPr="00934F2C" w:rsidRDefault="00FC1651" w:rsidP="00FC1651">
            <w:pPr>
              <w:spacing w:line="240" w:lineRule="auto"/>
              <w:rPr>
                <w:b/>
                <w:bCs/>
                <w:sz w:val="22"/>
              </w:rPr>
            </w:pPr>
            <w:r w:rsidRPr="00934F2C">
              <w:rPr>
                <w:color w:val="000000"/>
                <w:sz w:val="22"/>
              </w:rPr>
              <w:t>MAIS 2</w:t>
            </w:r>
          </w:p>
        </w:tc>
        <w:tc>
          <w:tcPr>
            <w:tcW w:w="2468" w:type="dxa"/>
          </w:tcPr>
          <w:p w14:paraId="24AB4C8F" w14:textId="00200A73" w:rsidR="00FC1651" w:rsidRPr="00D428F2" w:rsidRDefault="00FC1651" w:rsidP="00FC1651">
            <w:pPr>
              <w:spacing w:line="240" w:lineRule="auto"/>
              <w:jc w:val="center"/>
              <w:rPr>
                <w:sz w:val="22"/>
                <w:szCs w:val="20"/>
              </w:rPr>
            </w:pPr>
            <w:r w:rsidRPr="00BE0A50">
              <w:rPr>
                <w:sz w:val="22"/>
                <w:szCs w:val="20"/>
              </w:rPr>
              <w:t>42.93</w:t>
            </w:r>
          </w:p>
        </w:tc>
        <w:tc>
          <w:tcPr>
            <w:tcW w:w="2468" w:type="dxa"/>
            <w:vAlign w:val="center"/>
          </w:tcPr>
          <w:p w14:paraId="5AA4BE9F" w14:textId="77777777" w:rsidR="00FC1651" w:rsidRPr="00934F2C" w:rsidRDefault="00FC1651" w:rsidP="00FC1651">
            <w:pPr>
              <w:spacing w:line="240" w:lineRule="auto"/>
              <w:jc w:val="center"/>
              <w:rPr>
                <w:sz w:val="22"/>
              </w:rPr>
            </w:pPr>
            <w:r>
              <w:rPr>
                <w:color w:val="000000"/>
                <w:sz w:val="22"/>
              </w:rPr>
              <w:t>0.0454</w:t>
            </w:r>
          </w:p>
        </w:tc>
        <w:tc>
          <w:tcPr>
            <w:tcW w:w="2468" w:type="dxa"/>
            <w:vAlign w:val="center"/>
          </w:tcPr>
          <w:p w14:paraId="7D31CE32" w14:textId="683D8078" w:rsidR="00FC1651" w:rsidRPr="00D428F2" w:rsidRDefault="00FC1651" w:rsidP="00FC1651">
            <w:pPr>
              <w:spacing w:line="240" w:lineRule="auto"/>
              <w:jc w:val="center"/>
              <w:rPr>
                <w:sz w:val="22"/>
              </w:rPr>
            </w:pPr>
            <w:r w:rsidRPr="00BE0A50">
              <w:rPr>
                <w:color w:val="000000"/>
                <w:sz w:val="22"/>
              </w:rPr>
              <w:t>1.9489</w:t>
            </w:r>
          </w:p>
        </w:tc>
      </w:tr>
      <w:tr w:rsidR="00FC1651" w14:paraId="065050B1" w14:textId="77777777" w:rsidTr="00BE0A50">
        <w:trPr>
          <w:trHeight w:val="233"/>
        </w:trPr>
        <w:tc>
          <w:tcPr>
            <w:tcW w:w="2468" w:type="dxa"/>
          </w:tcPr>
          <w:p w14:paraId="40FE1A0C" w14:textId="77777777" w:rsidR="00FC1651" w:rsidRPr="00934F2C" w:rsidRDefault="00FC1651" w:rsidP="00FC1651">
            <w:pPr>
              <w:spacing w:line="240" w:lineRule="auto"/>
              <w:rPr>
                <w:b/>
                <w:bCs/>
                <w:color w:val="000000"/>
                <w:sz w:val="22"/>
              </w:rPr>
            </w:pPr>
            <w:r w:rsidRPr="00934F2C">
              <w:rPr>
                <w:sz w:val="22"/>
              </w:rPr>
              <w:t>MAIS 3</w:t>
            </w:r>
          </w:p>
        </w:tc>
        <w:tc>
          <w:tcPr>
            <w:tcW w:w="2468" w:type="dxa"/>
          </w:tcPr>
          <w:p w14:paraId="6F3A2588" w14:textId="1A765942" w:rsidR="00FC1651" w:rsidRPr="00D428F2" w:rsidRDefault="00FC1651" w:rsidP="00FC1651">
            <w:pPr>
              <w:spacing w:line="240" w:lineRule="auto"/>
              <w:jc w:val="center"/>
              <w:rPr>
                <w:sz w:val="22"/>
                <w:szCs w:val="20"/>
              </w:rPr>
            </w:pPr>
            <w:r w:rsidRPr="00BE0A50">
              <w:rPr>
                <w:sz w:val="22"/>
                <w:szCs w:val="20"/>
              </w:rPr>
              <w:t>0.27</w:t>
            </w:r>
          </w:p>
        </w:tc>
        <w:tc>
          <w:tcPr>
            <w:tcW w:w="2468" w:type="dxa"/>
            <w:vAlign w:val="center"/>
          </w:tcPr>
          <w:p w14:paraId="24BED72E" w14:textId="77777777" w:rsidR="00FC1651" w:rsidRPr="00934F2C" w:rsidRDefault="00FC1651" w:rsidP="00FC1651">
            <w:pPr>
              <w:spacing w:line="240" w:lineRule="auto"/>
              <w:jc w:val="center"/>
              <w:rPr>
                <w:sz w:val="22"/>
              </w:rPr>
            </w:pPr>
            <w:r>
              <w:rPr>
                <w:color w:val="000000"/>
                <w:sz w:val="22"/>
              </w:rPr>
              <w:t>0.1078</w:t>
            </w:r>
          </w:p>
        </w:tc>
        <w:tc>
          <w:tcPr>
            <w:tcW w:w="2468" w:type="dxa"/>
            <w:vAlign w:val="center"/>
          </w:tcPr>
          <w:p w14:paraId="4851D474" w14:textId="494AFCC9" w:rsidR="00FC1651" w:rsidRPr="00D428F2" w:rsidRDefault="00FC1651" w:rsidP="00FC1651">
            <w:pPr>
              <w:spacing w:line="240" w:lineRule="auto"/>
              <w:jc w:val="center"/>
              <w:rPr>
                <w:sz w:val="22"/>
              </w:rPr>
            </w:pPr>
            <w:r w:rsidRPr="00BE0A50">
              <w:rPr>
                <w:color w:val="000000"/>
                <w:sz w:val="22"/>
              </w:rPr>
              <w:t>0.0295</w:t>
            </w:r>
          </w:p>
        </w:tc>
      </w:tr>
      <w:tr w:rsidR="00FC1651" w14:paraId="6D51CC82" w14:textId="77777777" w:rsidTr="00BE0A50">
        <w:trPr>
          <w:trHeight w:val="248"/>
        </w:trPr>
        <w:tc>
          <w:tcPr>
            <w:tcW w:w="2468" w:type="dxa"/>
          </w:tcPr>
          <w:p w14:paraId="52345504" w14:textId="77777777" w:rsidR="00FC1651" w:rsidRPr="00934F2C" w:rsidRDefault="00FC1651" w:rsidP="00FC1651">
            <w:pPr>
              <w:spacing w:line="240" w:lineRule="auto"/>
              <w:rPr>
                <w:b/>
                <w:bCs/>
                <w:sz w:val="22"/>
              </w:rPr>
            </w:pPr>
            <w:r w:rsidRPr="00934F2C">
              <w:rPr>
                <w:color w:val="000000"/>
                <w:sz w:val="22"/>
              </w:rPr>
              <w:t>MAIS 4</w:t>
            </w:r>
          </w:p>
        </w:tc>
        <w:tc>
          <w:tcPr>
            <w:tcW w:w="2468" w:type="dxa"/>
          </w:tcPr>
          <w:p w14:paraId="3CAE5591" w14:textId="5CD0939E" w:rsidR="00FC1651" w:rsidRPr="00D428F2" w:rsidRDefault="00FC1651" w:rsidP="00FC1651">
            <w:pPr>
              <w:spacing w:line="240" w:lineRule="auto"/>
              <w:jc w:val="center"/>
              <w:rPr>
                <w:sz w:val="22"/>
                <w:szCs w:val="20"/>
              </w:rPr>
            </w:pPr>
            <w:r w:rsidRPr="00BE0A50">
              <w:rPr>
                <w:sz w:val="22"/>
                <w:szCs w:val="20"/>
              </w:rPr>
              <w:t>2.02</w:t>
            </w:r>
          </w:p>
        </w:tc>
        <w:tc>
          <w:tcPr>
            <w:tcW w:w="2468" w:type="dxa"/>
            <w:vAlign w:val="center"/>
          </w:tcPr>
          <w:p w14:paraId="071570B9" w14:textId="77777777" w:rsidR="00FC1651" w:rsidRPr="00934F2C" w:rsidRDefault="00FC1651" w:rsidP="00FC1651">
            <w:pPr>
              <w:spacing w:line="240" w:lineRule="auto"/>
              <w:jc w:val="center"/>
              <w:rPr>
                <w:sz w:val="22"/>
              </w:rPr>
            </w:pPr>
            <w:r>
              <w:rPr>
                <w:color w:val="000000"/>
                <w:sz w:val="22"/>
              </w:rPr>
              <w:t>0.2677</w:t>
            </w:r>
          </w:p>
        </w:tc>
        <w:tc>
          <w:tcPr>
            <w:tcW w:w="2468" w:type="dxa"/>
            <w:vAlign w:val="center"/>
          </w:tcPr>
          <w:p w14:paraId="5C9222E7" w14:textId="48BC041E" w:rsidR="00FC1651" w:rsidRPr="00D428F2" w:rsidRDefault="00FC1651" w:rsidP="00FC1651">
            <w:pPr>
              <w:spacing w:line="240" w:lineRule="auto"/>
              <w:jc w:val="center"/>
              <w:rPr>
                <w:sz w:val="22"/>
              </w:rPr>
            </w:pPr>
            <w:r w:rsidRPr="00BE0A50">
              <w:rPr>
                <w:color w:val="000000"/>
                <w:sz w:val="22"/>
              </w:rPr>
              <w:t>0.5395</w:t>
            </w:r>
          </w:p>
        </w:tc>
      </w:tr>
      <w:tr w:rsidR="00FC1651" w14:paraId="1E51BC33" w14:textId="77777777" w:rsidTr="00BE0A50">
        <w:trPr>
          <w:trHeight w:val="305"/>
        </w:trPr>
        <w:tc>
          <w:tcPr>
            <w:tcW w:w="2468" w:type="dxa"/>
          </w:tcPr>
          <w:p w14:paraId="761F9A33" w14:textId="77777777" w:rsidR="00FC1651" w:rsidRPr="00934F2C" w:rsidRDefault="00FC1651" w:rsidP="00FC1651">
            <w:pPr>
              <w:spacing w:line="240" w:lineRule="auto"/>
              <w:rPr>
                <w:sz w:val="22"/>
              </w:rPr>
            </w:pPr>
            <w:r w:rsidRPr="00934F2C">
              <w:rPr>
                <w:sz w:val="22"/>
              </w:rPr>
              <w:t>MAIS 5</w:t>
            </w:r>
          </w:p>
        </w:tc>
        <w:tc>
          <w:tcPr>
            <w:tcW w:w="2468" w:type="dxa"/>
          </w:tcPr>
          <w:p w14:paraId="356B83D9" w14:textId="6FF6C611" w:rsidR="00FC1651" w:rsidRPr="00D428F2" w:rsidRDefault="00FC1651" w:rsidP="00FC1651">
            <w:pPr>
              <w:spacing w:line="240" w:lineRule="auto"/>
              <w:jc w:val="center"/>
              <w:rPr>
                <w:sz w:val="22"/>
                <w:szCs w:val="20"/>
              </w:rPr>
            </w:pPr>
            <w:r w:rsidRPr="00BE0A50">
              <w:rPr>
                <w:sz w:val="22"/>
                <w:szCs w:val="20"/>
              </w:rPr>
              <w:t>0.14</w:t>
            </w:r>
          </w:p>
        </w:tc>
        <w:tc>
          <w:tcPr>
            <w:tcW w:w="2468" w:type="dxa"/>
            <w:vAlign w:val="center"/>
          </w:tcPr>
          <w:p w14:paraId="78ADF644" w14:textId="77777777" w:rsidR="00FC1651" w:rsidRPr="00934F2C" w:rsidRDefault="00FC1651" w:rsidP="00FC1651">
            <w:pPr>
              <w:spacing w:line="240" w:lineRule="auto"/>
              <w:jc w:val="center"/>
              <w:rPr>
                <w:sz w:val="22"/>
              </w:rPr>
            </w:pPr>
            <w:r>
              <w:rPr>
                <w:color w:val="000000"/>
                <w:sz w:val="22"/>
              </w:rPr>
              <w:t>0.6125</w:t>
            </w:r>
          </w:p>
        </w:tc>
        <w:tc>
          <w:tcPr>
            <w:tcW w:w="2468" w:type="dxa"/>
            <w:vAlign w:val="center"/>
          </w:tcPr>
          <w:p w14:paraId="44CD981F" w14:textId="69196BD7" w:rsidR="00FC1651" w:rsidRPr="00D428F2" w:rsidRDefault="00FC1651" w:rsidP="00FC1651">
            <w:pPr>
              <w:spacing w:line="240" w:lineRule="auto"/>
              <w:jc w:val="center"/>
              <w:rPr>
                <w:sz w:val="22"/>
              </w:rPr>
            </w:pPr>
            <w:r w:rsidRPr="00BE0A50">
              <w:rPr>
                <w:color w:val="000000"/>
                <w:sz w:val="22"/>
              </w:rPr>
              <w:t>0.0852</w:t>
            </w:r>
          </w:p>
        </w:tc>
      </w:tr>
      <w:tr w:rsidR="00FC1651" w14:paraId="3A4F55B7" w14:textId="77777777" w:rsidTr="00BE0A50">
        <w:trPr>
          <w:trHeight w:val="233"/>
        </w:trPr>
        <w:tc>
          <w:tcPr>
            <w:tcW w:w="2468" w:type="dxa"/>
          </w:tcPr>
          <w:p w14:paraId="40ADA953" w14:textId="77777777" w:rsidR="00FC1651" w:rsidRPr="00934F2C" w:rsidRDefault="00FC1651" w:rsidP="00FC1651">
            <w:pPr>
              <w:spacing w:line="240" w:lineRule="auto"/>
              <w:rPr>
                <w:b/>
                <w:bCs/>
                <w:color w:val="000000"/>
                <w:sz w:val="22"/>
              </w:rPr>
            </w:pPr>
            <w:r w:rsidRPr="00934F2C">
              <w:rPr>
                <w:color w:val="000000"/>
                <w:sz w:val="22"/>
              </w:rPr>
              <w:t>Fatalities</w:t>
            </w:r>
          </w:p>
        </w:tc>
        <w:tc>
          <w:tcPr>
            <w:tcW w:w="2468" w:type="dxa"/>
          </w:tcPr>
          <w:p w14:paraId="6145A2DA" w14:textId="0F4B0614" w:rsidR="00FC1651" w:rsidRPr="00D428F2" w:rsidRDefault="00FC1651" w:rsidP="00FC1651">
            <w:pPr>
              <w:spacing w:line="240" w:lineRule="auto"/>
              <w:jc w:val="center"/>
              <w:rPr>
                <w:sz w:val="22"/>
                <w:szCs w:val="20"/>
              </w:rPr>
            </w:pPr>
            <w:r w:rsidRPr="00BE0A50">
              <w:rPr>
                <w:sz w:val="22"/>
                <w:szCs w:val="20"/>
              </w:rPr>
              <w:t>40.86</w:t>
            </w:r>
          </w:p>
        </w:tc>
        <w:tc>
          <w:tcPr>
            <w:tcW w:w="2468" w:type="dxa"/>
            <w:vAlign w:val="center"/>
          </w:tcPr>
          <w:p w14:paraId="47856CE5" w14:textId="77777777" w:rsidR="00FC1651" w:rsidRPr="00934F2C" w:rsidRDefault="00FC1651" w:rsidP="00FC1651">
            <w:pPr>
              <w:spacing w:line="240" w:lineRule="auto"/>
              <w:jc w:val="center"/>
              <w:rPr>
                <w:sz w:val="22"/>
              </w:rPr>
            </w:pPr>
            <w:r>
              <w:rPr>
                <w:color w:val="000000"/>
                <w:sz w:val="22"/>
              </w:rPr>
              <w:t>1.0000</w:t>
            </w:r>
          </w:p>
        </w:tc>
        <w:tc>
          <w:tcPr>
            <w:tcW w:w="2468" w:type="dxa"/>
            <w:vAlign w:val="center"/>
          </w:tcPr>
          <w:p w14:paraId="64AF7604" w14:textId="4C34E11E" w:rsidR="00FC1651" w:rsidRPr="00D428F2" w:rsidRDefault="00FC1651" w:rsidP="00FC1651">
            <w:pPr>
              <w:spacing w:line="240" w:lineRule="auto"/>
              <w:jc w:val="center"/>
              <w:rPr>
                <w:sz w:val="22"/>
              </w:rPr>
            </w:pPr>
            <w:r w:rsidRPr="00BE0A50">
              <w:rPr>
                <w:color w:val="000000"/>
                <w:sz w:val="22"/>
              </w:rPr>
              <w:t>40.8612</w:t>
            </w:r>
          </w:p>
        </w:tc>
      </w:tr>
      <w:tr w:rsidR="00FC1651" w14:paraId="1408B6EC" w14:textId="77777777" w:rsidTr="00CC65F7">
        <w:trPr>
          <w:trHeight w:val="233"/>
        </w:trPr>
        <w:tc>
          <w:tcPr>
            <w:tcW w:w="2468" w:type="dxa"/>
          </w:tcPr>
          <w:p w14:paraId="1098144A" w14:textId="77777777" w:rsidR="00FC1651" w:rsidRPr="00934F2C" w:rsidRDefault="00FC1651" w:rsidP="00FC1651">
            <w:pPr>
              <w:spacing w:line="240" w:lineRule="auto"/>
              <w:rPr>
                <w:color w:val="000000"/>
                <w:sz w:val="22"/>
              </w:rPr>
            </w:pPr>
            <w:r w:rsidRPr="00934F2C">
              <w:rPr>
                <w:color w:val="000000"/>
                <w:sz w:val="22"/>
              </w:rPr>
              <w:t xml:space="preserve">Total </w:t>
            </w:r>
            <w:r>
              <w:rPr>
                <w:color w:val="000000"/>
                <w:sz w:val="22"/>
              </w:rPr>
              <w:t>LTV</w:t>
            </w:r>
          </w:p>
        </w:tc>
        <w:tc>
          <w:tcPr>
            <w:tcW w:w="2468" w:type="dxa"/>
            <w:vAlign w:val="center"/>
          </w:tcPr>
          <w:p w14:paraId="354F2750" w14:textId="77777777" w:rsidR="00FC1651" w:rsidRPr="00934F2C" w:rsidRDefault="00FC1651" w:rsidP="00FC1651">
            <w:pPr>
              <w:spacing w:line="240" w:lineRule="auto"/>
              <w:jc w:val="center"/>
              <w:rPr>
                <w:b/>
                <w:bCs/>
                <w:sz w:val="22"/>
              </w:rPr>
            </w:pPr>
          </w:p>
        </w:tc>
        <w:tc>
          <w:tcPr>
            <w:tcW w:w="2468" w:type="dxa"/>
            <w:vAlign w:val="center"/>
          </w:tcPr>
          <w:p w14:paraId="38A3E607" w14:textId="77777777" w:rsidR="00FC1651" w:rsidRPr="00934F2C" w:rsidRDefault="00FC1651" w:rsidP="00FC1651">
            <w:pPr>
              <w:spacing w:line="240" w:lineRule="auto"/>
              <w:jc w:val="center"/>
              <w:rPr>
                <w:b/>
                <w:bCs/>
                <w:color w:val="000000" w:themeColor="text1"/>
                <w:sz w:val="22"/>
              </w:rPr>
            </w:pPr>
          </w:p>
        </w:tc>
        <w:tc>
          <w:tcPr>
            <w:tcW w:w="2468" w:type="dxa"/>
            <w:vAlign w:val="center"/>
          </w:tcPr>
          <w:p w14:paraId="02BC7CB4" w14:textId="23AD0A0D" w:rsidR="00FC1651" w:rsidRPr="00FC1651" w:rsidRDefault="00FC1651" w:rsidP="00FC1651">
            <w:pPr>
              <w:spacing w:line="240" w:lineRule="auto"/>
              <w:jc w:val="center"/>
              <w:rPr>
                <w:b/>
                <w:bCs/>
                <w:sz w:val="22"/>
              </w:rPr>
            </w:pPr>
            <w:r w:rsidRPr="00BE0A50">
              <w:rPr>
                <w:b/>
                <w:bCs/>
                <w:color w:val="000000"/>
                <w:szCs w:val="24"/>
              </w:rPr>
              <w:t>43.4972</w:t>
            </w:r>
          </w:p>
        </w:tc>
      </w:tr>
      <w:tr w:rsidR="00A15C2C" w14:paraId="11A4EF07" w14:textId="77777777" w:rsidTr="003C04C4">
        <w:trPr>
          <w:trHeight w:val="233"/>
        </w:trPr>
        <w:tc>
          <w:tcPr>
            <w:tcW w:w="9872" w:type="dxa"/>
            <w:gridSpan w:val="4"/>
            <w:shd w:val="clear" w:color="auto" w:fill="D9D9D9" w:themeFill="background1" w:themeFillShade="D9"/>
          </w:tcPr>
          <w:p w14:paraId="2D5E31B0" w14:textId="77777777" w:rsidR="0049136A" w:rsidRPr="00934F2C" w:rsidRDefault="000F5B51" w:rsidP="003C04C4">
            <w:pPr>
              <w:spacing w:line="240" w:lineRule="auto"/>
              <w:jc w:val="center"/>
              <w:rPr>
                <w:b/>
                <w:bCs/>
                <w:i/>
                <w:iCs/>
                <w:sz w:val="22"/>
              </w:rPr>
            </w:pPr>
            <w:r>
              <w:rPr>
                <w:b/>
                <w:bCs/>
                <w:i/>
                <w:iCs/>
                <w:sz w:val="22"/>
              </w:rPr>
              <w:t>Total</w:t>
            </w:r>
          </w:p>
        </w:tc>
      </w:tr>
      <w:tr w:rsidR="00FC1651" w14:paraId="5FBE860B" w14:textId="77777777" w:rsidTr="00BE0A50">
        <w:trPr>
          <w:trHeight w:val="248"/>
        </w:trPr>
        <w:tc>
          <w:tcPr>
            <w:tcW w:w="2468" w:type="dxa"/>
          </w:tcPr>
          <w:p w14:paraId="7F729AF5" w14:textId="77777777" w:rsidR="00FC1651" w:rsidRPr="00934F2C" w:rsidRDefault="00FC1651" w:rsidP="00FC1651">
            <w:pPr>
              <w:spacing w:line="240" w:lineRule="auto"/>
              <w:rPr>
                <w:b/>
                <w:bCs/>
                <w:color w:val="000000"/>
                <w:sz w:val="22"/>
              </w:rPr>
            </w:pPr>
            <w:r w:rsidRPr="00934F2C">
              <w:rPr>
                <w:sz w:val="22"/>
              </w:rPr>
              <w:t>MAIS 1</w:t>
            </w:r>
          </w:p>
        </w:tc>
        <w:tc>
          <w:tcPr>
            <w:tcW w:w="2468" w:type="dxa"/>
          </w:tcPr>
          <w:p w14:paraId="6AAFAAC7" w14:textId="40675982" w:rsidR="00FC1651" w:rsidRPr="00D428F2" w:rsidRDefault="00FC1651" w:rsidP="00FC1651">
            <w:pPr>
              <w:spacing w:line="240" w:lineRule="auto"/>
              <w:jc w:val="center"/>
              <w:rPr>
                <w:sz w:val="22"/>
                <w:szCs w:val="20"/>
              </w:rPr>
            </w:pPr>
            <w:r w:rsidRPr="00BE0A50">
              <w:rPr>
                <w:sz w:val="22"/>
                <w:szCs w:val="20"/>
              </w:rPr>
              <w:t>20.73</w:t>
            </w:r>
          </w:p>
        </w:tc>
        <w:tc>
          <w:tcPr>
            <w:tcW w:w="2468" w:type="dxa"/>
            <w:vAlign w:val="center"/>
          </w:tcPr>
          <w:p w14:paraId="70378535" w14:textId="77777777" w:rsidR="00FC1651" w:rsidRPr="00934F2C" w:rsidRDefault="00FC1651" w:rsidP="00FC1651">
            <w:pPr>
              <w:spacing w:line="240" w:lineRule="auto"/>
              <w:jc w:val="center"/>
              <w:rPr>
                <w:b/>
                <w:bCs/>
                <w:sz w:val="22"/>
              </w:rPr>
            </w:pPr>
            <w:r>
              <w:rPr>
                <w:color w:val="000000"/>
                <w:sz w:val="22"/>
              </w:rPr>
              <w:t>0.0038</w:t>
            </w:r>
          </w:p>
        </w:tc>
        <w:tc>
          <w:tcPr>
            <w:tcW w:w="2468" w:type="dxa"/>
            <w:vAlign w:val="center"/>
          </w:tcPr>
          <w:p w14:paraId="1CFE3832" w14:textId="57E1A053" w:rsidR="00FC1651" w:rsidRPr="00934F2C" w:rsidRDefault="00FC1651" w:rsidP="00FC1651">
            <w:pPr>
              <w:spacing w:line="240" w:lineRule="auto"/>
              <w:jc w:val="center"/>
              <w:rPr>
                <w:sz w:val="22"/>
              </w:rPr>
            </w:pPr>
            <w:r>
              <w:rPr>
                <w:color w:val="000000"/>
                <w:sz w:val="22"/>
              </w:rPr>
              <w:t>0.0788</w:t>
            </w:r>
          </w:p>
        </w:tc>
      </w:tr>
      <w:tr w:rsidR="00FC1651" w14:paraId="0C214654" w14:textId="77777777" w:rsidTr="00BE0A50">
        <w:trPr>
          <w:trHeight w:val="233"/>
        </w:trPr>
        <w:tc>
          <w:tcPr>
            <w:tcW w:w="2468" w:type="dxa"/>
          </w:tcPr>
          <w:p w14:paraId="2B293076" w14:textId="77777777" w:rsidR="00FC1651" w:rsidRPr="00934F2C" w:rsidRDefault="00FC1651" w:rsidP="00FC1651">
            <w:pPr>
              <w:spacing w:line="240" w:lineRule="auto"/>
              <w:rPr>
                <w:b/>
                <w:bCs/>
                <w:sz w:val="22"/>
              </w:rPr>
            </w:pPr>
            <w:r w:rsidRPr="00934F2C">
              <w:rPr>
                <w:color w:val="000000"/>
                <w:sz w:val="22"/>
              </w:rPr>
              <w:t>MAIS 2</w:t>
            </w:r>
          </w:p>
        </w:tc>
        <w:tc>
          <w:tcPr>
            <w:tcW w:w="2468" w:type="dxa"/>
          </w:tcPr>
          <w:p w14:paraId="6634D7E3" w14:textId="05D070AA" w:rsidR="00FC1651" w:rsidRPr="00D428F2" w:rsidRDefault="00FC1651" w:rsidP="00FC1651">
            <w:pPr>
              <w:spacing w:line="240" w:lineRule="auto"/>
              <w:jc w:val="center"/>
              <w:rPr>
                <w:sz w:val="22"/>
                <w:szCs w:val="20"/>
              </w:rPr>
            </w:pPr>
            <w:r w:rsidRPr="00BE0A50">
              <w:rPr>
                <w:sz w:val="22"/>
                <w:szCs w:val="20"/>
              </w:rPr>
              <w:t>120.00</w:t>
            </w:r>
          </w:p>
        </w:tc>
        <w:tc>
          <w:tcPr>
            <w:tcW w:w="2468" w:type="dxa"/>
            <w:vAlign w:val="center"/>
          </w:tcPr>
          <w:p w14:paraId="144B0213" w14:textId="77777777" w:rsidR="00FC1651" w:rsidRPr="00934F2C" w:rsidRDefault="00FC1651" w:rsidP="00FC1651">
            <w:pPr>
              <w:spacing w:line="240" w:lineRule="auto"/>
              <w:jc w:val="center"/>
              <w:rPr>
                <w:b/>
                <w:bCs/>
                <w:sz w:val="22"/>
              </w:rPr>
            </w:pPr>
            <w:r>
              <w:rPr>
                <w:color w:val="000000"/>
                <w:sz w:val="22"/>
              </w:rPr>
              <w:t>0.0454</w:t>
            </w:r>
          </w:p>
        </w:tc>
        <w:tc>
          <w:tcPr>
            <w:tcW w:w="2468" w:type="dxa"/>
            <w:vAlign w:val="center"/>
          </w:tcPr>
          <w:p w14:paraId="1C9B47E1" w14:textId="287EDB70" w:rsidR="00FC1651" w:rsidRPr="00934F2C" w:rsidRDefault="00FC1651" w:rsidP="00FC1651">
            <w:pPr>
              <w:spacing w:line="240" w:lineRule="auto"/>
              <w:jc w:val="center"/>
              <w:rPr>
                <w:sz w:val="22"/>
              </w:rPr>
            </w:pPr>
            <w:r>
              <w:rPr>
                <w:color w:val="000000"/>
                <w:sz w:val="22"/>
              </w:rPr>
              <w:t>5.4482</w:t>
            </w:r>
          </w:p>
        </w:tc>
      </w:tr>
      <w:tr w:rsidR="00FC1651" w14:paraId="1A2FBACF" w14:textId="77777777" w:rsidTr="00BE0A50">
        <w:trPr>
          <w:trHeight w:val="248"/>
        </w:trPr>
        <w:tc>
          <w:tcPr>
            <w:tcW w:w="2468" w:type="dxa"/>
          </w:tcPr>
          <w:p w14:paraId="7393B1D8" w14:textId="77777777" w:rsidR="00FC1651" w:rsidRPr="00934F2C" w:rsidRDefault="00FC1651" w:rsidP="00FC1651">
            <w:pPr>
              <w:spacing w:line="240" w:lineRule="auto"/>
              <w:rPr>
                <w:b/>
                <w:bCs/>
                <w:color w:val="000000"/>
                <w:sz w:val="22"/>
              </w:rPr>
            </w:pPr>
            <w:r w:rsidRPr="00934F2C">
              <w:rPr>
                <w:sz w:val="22"/>
              </w:rPr>
              <w:t>MAIS 3</w:t>
            </w:r>
          </w:p>
        </w:tc>
        <w:tc>
          <w:tcPr>
            <w:tcW w:w="2468" w:type="dxa"/>
          </w:tcPr>
          <w:p w14:paraId="041AA78E" w14:textId="25B51B93" w:rsidR="00FC1651" w:rsidRPr="00D428F2" w:rsidRDefault="00FC1651" w:rsidP="00FC1651">
            <w:pPr>
              <w:spacing w:line="240" w:lineRule="auto"/>
              <w:jc w:val="center"/>
              <w:rPr>
                <w:sz w:val="22"/>
                <w:szCs w:val="20"/>
              </w:rPr>
            </w:pPr>
            <w:r w:rsidRPr="00BE0A50">
              <w:rPr>
                <w:sz w:val="22"/>
                <w:szCs w:val="20"/>
              </w:rPr>
              <w:t>21.55</w:t>
            </w:r>
          </w:p>
        </w:tc>
        <w:tc>
          <w:tcPr>
            <w:tcW w:w="2468" w:type="dxa"/>
            <w:vAlign w:val="center"/>
          </w:tcPr>
          <w:p w14:paraId="0D9A9E46" w14:textId="77777777" w:rsidR="00FC1651" w:rsidRPr="00934F2C" w:rsidRDefault="00FC1651" w:rsidP="00FC1651">
            <w:pPr>
              <w:spacing w:line="240" w:lineRule="auto"/>
              <w:jc w:val="center"/>
              <w:rPr>
                <w:b/>
                <w:bCs/>
                <w:sz w:val="22"/>
              </w:rPr>
            </w:pPr>
            <w:r>
              <w:rPr>
                <w:color w:val="000000"/>
                <w:sz w:val="22"/>
              </w:rPr>
              <w:t>0.1078</w:t>
            </w:r>
          </w:p>
        </w:tc>
        <w:tc>
          <w:tcPr>
            <w:tcW w:w="2468" w:type="dxa"/>
            <w:vAlign w:val="center"/>
          </w:tcPr>
          <w:p w14:paraId="7FB692EE" w14:textId="2FEF9F9C" w:rsidR="00FC1651" w:rsidRPr="00934F2C" w:rsidRDefault="00FC1651" w:rsidP="00FC1651">
            <w:pPr>
              <w:spacing w:line="240" w:lineRule="auto"/>
              <w:jc w:val="center"/>
              <w:rPr>
                <w:sz w:val="22"/>
              </w:rPr>
            </w:pPr>
            <w:r>
              <w:rPr>
                <w:color w:val="000000"/>
                <w:sz w:val="22"/>
              </w:rPr>
              <w:t>2.3234</w:t>
            </w:r>
          </w:p>
        </w:tc>
      </w:tr>
      <w:tr w:rsidR="00FC1651" w14:paraId="5121543C" w14:textId="77777777" w:rsidTr="00BE0A50">
        <w:trPr>
          <w:trHeight w:val="233"/>
        </w:trPr>
        <w:tc>
          <w:tcPr>
            <w:tcW w:w="2468" w:type="dxa"/>
          </w:tcPr>
          <w:p w14:paraId="341E64E7" w14:textId="77777777" w:rsidR="00FC1651" w:rsidRPr="00934F2C" w:rsidRDefault="00FC1651" w:rsidP="00FC1651">
            <w:pPr>
              <w:spacing w:line="240" w:lineRule="auto"/>
              <w:rPr>
                <w:b/>
                <w:bCs/>
                <w:sz w:val="22"/>
              </w:rPr>
            </w:pPr>
            <w:r w:rsidRPr="00934F2C">
              <w:rPr>
                <w:color w:val="000000"/>
                <w:sz w:val="22"/>
              </w:rPr>
              <w:t>MAIS 4</w:t>
            </w:r>
          </w:p>
        </w:tc>
        <w:tc>
          <w:tcPr>
            <w:tcW w:w="2468" w:type="dxa"/>
          </w:tcPr>
          <w:p w14:paraId="0D11B342" w14:textId="16CAE8E9" w:rsidR="00FC1651" w:rsidRPr="00D428F2" w:rsidRDefault="00FC1651" w:rsidP="00FC1651">
            <w:pPr>
              <w:spacing w:line="240" w:lineRule="auto"/>
              <w:jc w:val="center"/>
              <w:rPr>
                <w:sz w:val="22"/>
                <w:szCs w:val="20"/>
              </w:rPr>
            </w:pPr>
            <w:r w:rsidRPr="00BE0A50">
              <w:rPr>
                <w:sz w:val="22"/>
                <w:szCs w:val="20"/>
              </w:rPr>
              <w:t>17.42</w:t>
            </w:r>
          </w:p>
        </w:tc>
        <w:tc>
          <w:tcPr>
            <w:tcW w:w="2468" w:type="dxa"/>
            <w:vAlign w:val="center"/>
          </w:tcPr>
          <w:p w14:paraId="7B16AD6F" w14:textId="77777777" w:rsidR="00FC1651" w:rsidRPr="00934F2C" w:rsidRDefault="00FC1651" w:rsidP="00FC1651">
            <w:pPr>
              <w:spacing w:line="240" w:lineRule="auto"/>
              <w:jc w:val="center"/>
              <w:rPr>
                <w:b/>
                <w:bCs/>
                <w:sz w:val="22"/>
              </w:rPr>
            </w:pPr>
            <w:r>
              <w:rPr>
                <w:color w:val="000000"/>
                <w:sz w:val="22"/>
              </w:rPr>
              <w:t>0.2677</w:t>
            </w:r>
          </w:p>
        </w:tc>
        <w:tc>
          <w:tcPr>
            <w:tcW w:w="2468" w:type="dxa"/>
            <w:vAlign w:val="center"/>
          </w:tcPr>
          <w:p w14:paraId="30087FF3" w14:textId="56788FCC" w:rsidR="00FC1651" w:rsidRPr="00934F2C" w:rsidRDefault="00FC1651" w:rsidP="00FC1651">
            <w:pPr>
              <w:spacing w:line="240" w:lineRule="auto"/>
              <w:jc w:val="center"/>
              <w:rPr>
                <w:sz w:val="22"/>
              </w:rPr>
            </w:pPr>
            <w:r>
              <w:rPr>
                <w:color w:val="000000"/>
                <w:sz w:val="22"/>
              </w:rPr>
              <w:t>4.6624</w:t>
            </w:r>
          </w:p>
        </w:tc>
      </w:tr>
      <w:tr w:rsidR="00FC1651" w14:paraId="70BC975A" w14:textId="77777777" w:rsidTr="00BE0A50">
        <w:trPr>
          <w:trHeight w:val="248"/>
        </w:trPr>
        <w:tc>
          <w:tcPr>
            <w:tcW w:w="2468" w:type="dxa"/>
          </w:tcPr>
          <w:p w14:paraId="06A95C2A" w14:textId="77777777" w:rsidR="00FC1651" w:rsidRPr="00934F2C" w:rsidRDefault="00FC1651" w:rsidP="00FC1651">
            <w:pPr>
              <w:spacing w:line="240" w:lineRule="auto"/>
              <w:rPr>
                <w:b/>
                <w:bCs/>
                <w:color w:val="000000"/>
                <w:sz w:val="22"/>
              </w:rPr>
            </w:pPr>
            <w:r w:rsidRPr="00934F2C">
              <w:rPr>
                <w:sz w:val="22"/>
              </w:rPr>
              <w:t>MAIS 5</w:t>
            </w:r>
          </w:p>
        </w:tc>
        <w:tc>
          <w:tcPr>
            <w:tcW w:w="2468" w:type="dxa"/>
          </w:tcPr>
          <w:p w14:paraId="2A416CFC" w14:textId="6A315F66" w:rsidR="00FC1651" w:rsidRPr="00D428F2" w:rsidRDefault="00FC1651" w:rsidP="00FC1651">
            <w:pPr>
              <w:spacing w:line="240" w:lineRule="auto"/>
              <w:jc w:val="center"/>
              <w:rPr>
                <w:sz w:val="22"/>
                <w:szCs w:val="20"/>
              </w:rPr>
            </w:pPr>
            <w:r w:rsidRPr="00BE0A50">
              <w:rPr>
                <w:sz w:val="22"/>
                <w:szCs w:val="20"/>
              </w:rPr>
              <w:t>0.50</w:t>
            </w:r>
          </w:p>
        </w:tc>
        <w:tc>
          <w:tcPr>
            <w:tcW w:w="2468" w:type="dxa"/>
            <w:vAlign w:val="center"/>
          </w:tcPr>
          <w:p w14:paraId="2AFEBC17" w14:textId="77777777" w:rsidR="00FC1651" w:rsidRPr="00934F2C" w:rsidRDefault="00FC1651" w:rsidP="00FC1651">
            <w:pPr>
              <w:spacing w:line="240" w:lineRule="auto"/>
              <w:jc w:val="center"/>
              <w:rPr>
                <w:b/>
                <w:bCs/>
                <w:sz w:val="22"/>
              </w:rPr>
            </w:pPr>
            <w:r>
              <w:rPr>
                <w:color w:val="000000"/>
                <w:sz w:val="22"/>
              </w:rPr>
              <w:t>0.6125</w:t>
            </w:r>
          </w:p>
        </w:tc>
        <w:tc>
          <w:tcPr>
            <w:tcW w:w="2468" w:type="dxa"/>
            <w:vAlign w:val="center"/>
          </w:tcPr>
          <w:p w14:paraId="09828F35" w14:textId="0325ACA4" w:rsidR="00FC1651" w:rsidRPr="00934F2C" w:rsidRDefault="00FC1651" w:rsidP="00FC1651">
            <w:pPr>
              <w:spacing w:line="240" w:lineRule="auto"/>
              <w:jc w:val="center"/>
              <w:rPr>
                <w:sz w:val="22"/>
              </w:rPr>
            </w:pPr>
            <w:r>
              <w:rPr>
                <w:color w:val="000000"/>
                <w:sz w:val="22"/>
              </w:rPr>
              <w:t>0.3089</w:t>
            </w:r>
          </w:p>
        </w:tc>
      </w:tr>
      <w:tr w:rsidR="00FC1651" w14:paraId="70C8C2CB" w14:textId="77777777" w:rsidTr="00BE0A50">
        <w:trPr>
          <w:trHeight w:val="233"/>
        </w:trPr>
        <w:tc>
          <w:tcPr>
            <w:tcW w:w="2468" w:type="dxa"/>
          </w:tcPr>
          <w:p w14:paraId="0E075341" w14:textId="77777777" w:rsidR="00FC1651" w:rsidRPr="00934F2C" w:rsidRDefault="00FC1651" w:rsidP="00FC1651">
            <w:pPr>
              <w:spacing w:line="240" w:lineRule="auto"/>
              <w:rPr>
                <w:b/>
                <w:bCs/>
                <w:sz w:val="22"/>
              </w:rPr>
            </w:pPr>
            <w:r w:rsidRPr="00934F2C">
              <w:rPr>
                <w:color w:val="000000"/>
                <w:sz w:val="22"/>
              </w:rPr>
              <w:t>Fatalities</w:t>
            </w:r>
          </w:p>
        </w:tc>
        <w:tc>
          <w:tcPr>
            <w:tcW w:w="2468" w:type="dxa"/>
          </w:tcPr>
          <w:p w14:paraId="4A11AC52" w14:textId="575CC839" w:rsidR="00FC1651" w:rsidRPr="00D428F2" w:rsidRDefault="00FC1651" w:rsidP="00FC1651">
            <w:pPr>
              <w:spacing w:line="240" w:lineRule="auto"/>
              <w:jc w:val="center"/>
              <w:rPr>
                <w:sz w:val="22"/>
                <w:szCs w:val="20"/>
              </w:rPr>
            </w:pPr>
            <w:r w:rsidRPr="00BE0A50">
              <w:rPr>
                <w:sz w:val="22"/>
                <w:szCs w:val="20"/>
              </w:rPr>
              <w:t>65.89</w:t>
            </w:r>
          </w:p>
        </w:tc>
        <w:tc>
          <w:tcPr>
            <w:tcW w:w="2468" w:type="dxa"/>
            <w:vAlign w:val="center"/>
          </w:tcPr>
          <w:p w14:paraId="230C991D" w14:textId="77777777" w:rsidR="00FC1651" w:rsidRPr="00934F2C" w:rsidRDefault="00FC1651" w:rsidP="00FC1651">
            <w:pPr>
              <w:spacing w:line="240" w:lineRule="auto"/>
              <w:jc w:val="center"/>
              <w:rPr>
                <w:b/>
                <w:bCs/>
                <w:sz w:val="22"/>
              </w:rPr>
            </w:pPr>
            <w:r>
              <w:rPr>
                <w:color w:val="000000"/>
                <w:sz w:val="22"/>
              </w:rPr>
              <w:t>1.0000</w:t>
            </w:r>
          </w:p>
        </w:tc>
        <w:tc>
          <w:tcPr>
            <w:tcW w:w="2468" w:type="dxa"/>
            <w:vAlign w:val="center"/>
          </w:tcPr>
          <w:p w14:paraId="355AA06A" w14:textId="1D7A18D7" w:rsidR="00FC1651" w:rsidRPr="00934F2C" w:rsidRDefault="00FC1651" w:rsidP="00FC1651">
            <w:pPr>
              <w:spacing w:line="240" w:lineRule="auto"/>
              <w:jc w:val="center"/>
              <w:rPr>
                <w:sz w:val="22"/>
              </w:rPr>
            </w:pPr>
            <w:r>
              <w:rPr>
                <w:color w:val="000000"/>
                <w:sz w:val="22"/>
              </w:rPr>
              <w:t>65.8948</w:t>
            </w:r>
          </w:p>
        </w:tc>
      </w:tr>
      <w:tr w:rsidR="00FC1651" w14:paraId="39B48082" w14:textId="77777777" w:rsidTr="00CC65F7">
        <w:trPr>
          <w:trHeight w:val="233"/>
        </w:trPr>
        <w:tc>
          <w:tcPr>
            <w:tcW w:w="2468" w:type="dxa"/>
          </w:tcPr>
          <w:p w14:paraId="60E5E01A" w14:textId="77777777" w:rsidR="00FC1651" w:rsidRPr="00934F2C" w:rsidRDefault="00FC1651" w:rsidP="00FC1651">
            <w:pPr>
              <w:spacing w:line="240" w:lineRule="auto"/>
              <w:rPr>
                <w:b/>
                <w:bCs/>
                <w:color w:val="000000"/>
              </w:rPr>
            </w:pPr>
            <w:r w:rsidRPr="00934F2C">
              <w:rPr>
                <w:b/>
                <w:bCs/>
                <w:color w:val="000000"/>
              </w:rPr>
              <w:t>Total</w:t>
            </w:r>
            <w:r>
              <w:rPr>
                <w:b/>
                <w:bCs/>
                <w:color w:val="000000"/>
              </w:rPr>
              <w:t xml:space="preserve"> </w:t>
            </w:r>
          </w:p>
        </w:tc>
        <w:tc>
          <w:tcPr>
            <w:tcW w:w="2468" w:type="dxa"/>
          </w:tcPr>
          <w:p w14:paraId="6DD3371C" w14:textId="77777777" w:rsidR="00FC1651" w:rsidRPr="00334AE5" w:rsidRDefault="00FC1651" w:rsidP="00FC1651">
            <w:pPr>
              <w:spacing w:line="240" w:lineRule="auto"/>
              <w:jc w:val="center"/>
              <w:rPr>
                <w:b/>
                <w:bCs/>
              </w:rPr>
            </w:pPr>
          </w:p>
        </w:tc>
        <w:tc>
          <w:tcPr>
            <w:tcW w:w="2468" w:type="dxa"/>
            <w:vAlign w:val="center"/>
          </w:tcPr>
          <w:p w14:paraId="5AF61C10" w14:textId="77777777" w:rsidR="00FC1651" w:rsidRPr="00334AE5" w:rsidRDefault="00FC1651" w:rsidP="00FC1651">
            <w:pPr>
              <w:spacing w:line="240" w:lineRule="auto"/>
              <w:jc w:val="center"/>
              <w:rPr>
                <w:rFonts w:ascii="Calibri" w:hAnsi="Calibri" w:cs="Calibri"/>
                <w:b/>
                <w:bCs/>
                <w:color w:val="000000" w:themeColor="text1"/>
              </w:rPr>
            </w:pPr>
          </w:p>
        </w:tc>
        <w:tc>
          <w:tcPr>
            <w:tcW w:w="2468" w:type="dxa"/>
            <w:vAlign w:val="center"/>
          </w:tcPr>
          <w:p w14:paraId="2E9F8B6C" w14:textId="56EE1129" w:rsidR="00FC1651" w:rsidRPr="00334AE5" w:rsidRDefault="00FC1651" w:rsidP="00FC1651">
            <w:pPr>
              <w:spacing w:line="240" w:lineRule="auto"/>
              <w:jc w:val="center"/>
              <w:rPr>
                <w:b/>
                <w:bCs/>
                <w:color w:val="000000"/>
              </w:rPr>
            </w:pPr>
            <w:r>
              <w:rPr>
                <w:b/>
                <w:bCs/>
                <w:color w:val="000000"/>
              </w:rPr>
              <w:t>78.7164</w:t>
            </w:r>
          </w:p>
        </w:tc>
      </w:tr>
    </w:tbl>
    <w:p w14:paraId="5CB2BFA2" w14:textId="3535B3D6" w:rsidR="0067363A" w:rsidRDefault="000F5B51" w:rsidP="0067363A">
      <w:pPr>
        <w:spacing w:after="0"/>
        <w:contextualSpacing/>
        <w:rPr>
          <w:rFonts w:cs="Times New Roman"/>
          <w:sz w:val="18"/>
          <w:szCs w:val="18"/>
        </w:rPr>
      </w:pPr>
      <w:r w:rsidRPr="00934F2C">
        <w:rPr>
          <w:rFonts w:cs="Times New Roman"/>
          <w:sz w:val="18"/>
          <w:szCs w:val="18"/>
        </w:rPr>
        <w:t>Note</w:t>
      </w:r>
      <w:r w:rsidR="00496220">
        <w:rPr>
          <w:rFonts w:cs="Times New Roman"/>
          <w:sz w:val="18"/>
          <w:szCs w:val="18"/>
        </w:rPr>
        <w:t>: Values</w:t>
      </w:r>
      <w:r w:rsidRPr="00934F2C">
        <w:rPr>
          <w:rFonts w:cs="Times New Roman"/>
          <w:sz w:val="18"/>
          <w:szCs w:val="18"/>
        </w:rPr>
        <w:t xml:space="preserve"> may not sum due to rounding.</w:t>
      </w:r>
    </w:p>
    <w:p w14:paraId="506EA3D6" w14:textId="0C666692" w:rsidR="005B15EC" w:rsidRDefault="000F5B51" w:rsidP="0067363A">
      <w:pPr>
        <w:spacing w:after="0"/>
        <w:rPr>
          <w:rFonts w:eastAsia="Times New Roman" w:cs="Times New Roman"/>
          <w:szCs w:val="24"/>
        </w:rPr>
      </w:pPr>
      <w:r>
        <w:rPr>
          <w:rFonts w:cs="Times New Roman"/>
          <w:sz w:val="18"/>
          <w:szCs w:val="18"/>
        </w:rPr>
        <w:fldChar w:fldCharType="begin"/>
      </w:r>
      <w:r>
        <w:rPr>
          <w:rFonts w:cs="Times New Roman"/>
          <w:sz w:val="18"/>
          <w:szCs w:val="18"/>
        </w:rPr>
        <w:instrText xml:space="preserve"> REF _Ref126834831 \h </w:instrText>
      </w:r>
      <w:r>
        <w:rPr>
          <w:rFonts w:cs="Times New Roman"/>
          <w:sz w:val="18"/>
          <w:szCs w:val="18"/>
        </w:rPr>
      </w:r>
      <w:r>
        <w:rPr>
          <w:rFonts w:cs="Times New Roman"/>
          <w:sz w:val="18"/>
          <w:szCs w:val="18"/>
        </w:rPr>
        <w:fldChar w:fldCharType="separate"/>
      </w:r>
      <w:r w:rsidR="00A65CB3">
        <w:t xml:space="preserve">Table </w:t>
      </w:r>
      <w:r w:rsidR="00A65CB3">
        <w:rPr>
          <w:noProof/>
        </w:rPr>
        <w:t>69</w:t>
      </w:r>
      <w:r>
        <w:rPr>
          <w:rFonts w:cs="Times New Roman"/>
          <w:sz w:val="18"/>
          <w:szCs w:val="18"/>
        </w:rPr>
        <w:fldChar w:fldCharType="end"/>
      </w:r>
      <w:r w:rsidR="0058724E" w:rsidRPr="0058724E">
        <w:rPr>
          <w:rFonts w:eastAsia="Times New Roman" w:cs="Times New Roman"/>
          <w:szCs w:val="24"/>
        </w:rPr>
        <w:t xml:space="preserve"> </w:t>
      </w:r>
      <w:r w:rsidR="0058724E">
        <w:rPr>
          <w:rFonts w:eastAsia="Times New Roman" w:cs="Times New Roman"/>
          <w:szCs w:val="24"/>
        </w:rPr>
        <w:t>presents the calculation of ELS for right front seat occupants</w:t>
      </w:r>
      <w:r w:rsidR="001F2F92">
        <w:rPr>
          <w:rFonts w:eastAsia="Times New Roman" w:cs="Times New Roman"/>
          <w:szCs w:val="24"/>
        </w:rPr>
        <w:t xml:space="preserve">. </w:t>
      </w:r>
      <w:r w:rsidR="0058724E">
        <w:rPr>
          <w:rFonts w:eastAsia="Times New Roman" w:cs="Times New Roman"/>
          <w:szCs w:val="24"/>
        </w:rPr>
        <w:t>As a result of the requirement for the indefinite warning for front seat occupants, a total of approximately 13.63 equivalent fatalities for right front seat occupants would be prevented.</w:t>
      </w:r>
    </w:p>
    <w:p w14:paraId="245FF875" w14:textId="60D98AC3" w:rsidR="00F1151E" w:rsidRDefault="00F1151E" w:rsidP="0067363A">
      <w:pPr>
        <w:spacing w:after="0"/>
        <w:rPr>
          <w:rFonts w:eastAsia="Times New Roman" w:cs="Times New Roman"/>
          <w:szCs w:val="24"/>
        </w:rPr>
      </w:pPr>
    </w:p>
    <w:p w14:paraId="14AD488A" w14:textId="0C2038BC" w:rsidR="00F1151E" w:rsidRDefault="00F1151E" w:rsidP="0067363A">
      <w:pPr>
        <w:spacing w:after="0"/>
        <w:rPr>
          <w:rFonts w:eastAsia="Times New Roman" w:cs="Times New Roman"/>
          <w:szCs w:val="24"/>
        </w:rPr>
      </w:pPr>
    </w:p>
    <w:p w14:paraId="4B2D4389" w14:textId="67A1324D" w:rsidR="00F1151E" w:rsidRDefault="00F1151E" w:rsidP="0067363A">
      <w:pPr>
        <w:spacing w:after="0"/>
        <w:rPr>
          <w:rFonts w:eastAsia="Times New Roman" w:cs="Times New Roman"/>
          <w:szCs w:val="24"/>
        </w:rPr>
      </w:pPr>
    </w:p>
    <w:p w14:paraId="2E139648" w14:textId="1A78E794" w:rsidR="00F1151E" w:rsidRDefault="00F1151E" w:rsidP="0067363A">
      <w:pPr>
        <w:spacing w:after="0"/>
        <w:rPr>
          <w:rFonts w:eastAsia="Times New Roman" w:cs="Times New Roman"/>
          <w:szCs w:val="24"/>
        </w:rPr>
      </w:pPr>
    </w:p>
    <w:p w14:paraId="2B58D649" w14:textId="0785A3FC" w:rsidR="00F1151E" w:rsidRDefault="00F1151E" w:rsidP="0067363A">
      <w:pPr>
        <w:spacing w:after="0"/>
        <w:rPr>
          <w:rFonts w:eastAsia="Times New Roman" w:cs="Times New Roman"/>
          <w:szCs w:val="24"/>
        </w:rPr>
      </w:pPr>
    </w:p>
    <w:p w14:paraId="2CF0BAC3" w14:textId="26749431" w:rsidR="00F1151E" w:rsidRDefault="00F1151E" w:rsidP="0067363A">
      <w:pPr>
        <w:spacing w:after="0"/>
        <w:rPr>
          <w:rFonts w:eastAsia="Times New Roman" w:cs="Times New Roman"/>
          <w:szCs w:val="24"/>
        </w:rPr>
      </w:pPr>
    </w:p>
    <w:p w14:paraId="6165D079" w14:textId="77777777" w:rsidR="00F1151E" w:rsidRDefault="00F1151E" w:rsidP="0067363A">
      <w:pPr>
        <w:spacing w:after="0"/>
        <w:rPr>
          <w:rFonts w:cs="Times New Roman"/>
          <w:sz w:val="18"/>
          <w:szCs w:val="18"/>
        </w:rPr>
      </w:pPr>
    </w:p>
    <w:p w14:paraId="3F90177E" w14:textId="6B3A68DD" w:rsidR="00AE1BC4" w:rsidRDefault="000F5B51" w:rsidP="00AE1BC4">
      <w:pPr>
        <w:pStyle w:val="Caption"/>
        <w:rPr>
          <w:rFonts w:eastAsia="Times New Roman" w:cs="Times New Roman"/>
          <w:szCs w:val="24"/>
        </w:rPr>
      </w:pPr>
      <w:bookmarkStart w:id="1342" w:name="_Ref126834831"/>
      <w:r>
        <w:lastRenderedPageBreak/>
        <w:t xml:space="preserve">Table </w:t>
      </w:r>
      <w:r w:rsidR="00115BAB">
        <w:fldChar w:fldCharType="begin"/>
      </w:r>
      <w:r>
        <w:instrText xml:space="preserve"> SEQ Table \* ARABIC </w:instrText>
      </w:r>
      <w:r w:rsidR="00115BAB">
        <w:fldChar w:fldCharType="separate"/>
      </w:r>
      <w:r w:rsidR="00A65CB3">
        <w:rPr>
          <w:noProof/>
        </w:rPr>
        <w:t>69</w:t>
      </w:r>
      <w:r w:rsidR="00115BAB">
        <w:rPr>
          <w:noProof/>
        </w:rPr>
        <w:fldChar w:fldCharType="end"/>
      </w:r>
      <w:bookmarkEnd w:id="1342"/>
      <w:r>
        <w:t>: Calculation of Equivalent Lives Saved for Right Front Seat Occupants</w:t>
      </w:r>
    </w:p>
    <w:tbl>
      <w:tblPr>
        <w:tblStyle w:val="TableGrid"/>
        <w:tblW w:w="9872" w:type="dxa"/>
        <w:tblLook w:val="04A0" w:firstRow="1" w:lastRow="0" w:firstColumn="1" w:lastColumn="0" w:noHBand="0" w:noVBand="1"/>
      </w:tblPr>
      <w:tblGrid>
        <w:gridCol w:w="2468"/>
        <w:gridCol w:w="2468"/>
        <w:gridCol w:w="2468"/>
        <w:gridCol w:w="2468"/>
      </w:tblGrid>
      <w:tr w:rsidR="00A15C2C" w14:paraId="0A58B6CC" w14:textId="77777777" w:rsidTr="00CC65F7">
        <w:trPr>
          <w:trHeight w:val="337"/>
        </w:trPr>
        <w:tc>
          <w:tcPr>
            <w:tcW w:w="2468" w:type="dxa"/>
            <w:shd w:val="clear" w:color="auto" w:fill="BFBFBF" w:themeFill="background1" w:themeFillShade="BF"/>
            <w:vAlign w:val="center"/>
          </w:tcPr>
          <w:p w14:paraId="15E212F2" w14:textId="77777777" w:rsidR="00AE1BC4" w:rsidRPr="00A52D46" w:rsidRDefault="000F5B51">
            <w:pPr>
              <w:spacing w:line="240" w:lineRule="auto"/>
              <w:rPr>
                <w:b/>
                <w:bCs/>
              </w:rPr>
            </w:pPr>
            <w:r w:rsidRPr="00A52D46">
              <w:rPr>
                <w:b/>
                <w:bCs/>
              </w:rPr>
              <w:t>Category</w:t>
            </w:r>
          </w:p>
        </w:tc>
        <w:tc>
          <w:tcPr>
            <w:tcW w:w="2468" w:type="dxa"/>
            <w:shd w:val="clear" w:color="auto" w:fill="BFBFBF" w:themeFill="background1" w:themeFillShade="BF"/>
            <w:vAlign w:val="center"/>
          </w:tcPr>
          <w:p w14:paraId="1CFD7D0C" w14:textId="77777777" w:rsidR="00AE1BC4" w:rsidRPr="00A52D46" w:rsidRDefault="000F5B51">
            <w:pPr>
              <w:spacing w:line="240" w:lineRule="auto"/>
              <w:jc w:val="center"/>
              <w:rPr>
                <w:b/>
                <w:bCs/>
              </w:rPr>
            </w:pPr>
            <w:r w:rsidRPr="00A52D46">
              <w:rPr>
                <w:b/>
                <w:bCs/>
              </w:rPr>
              <w:t>Safety Benefits</w:t>
            </w:r>
          </w:p>
        </w:tc>
        <w:tc>
          <w:tcPr>
            <w:tcW w:w="2468" w:type="dxa"/>
            <w:shd w:val="clear" w:color="auto" w:fill="BFBFBF" w:themeFill="background1" w:themeFillShade="BF"/>
            <w:vAlign w:val="center"/>
          </w:tcPr>
          <w:p w14:paraId="43B2F280" w14:textId="77777777" w:rsidR="00AE1BC4" w:rsidRPr="00A52D46" w:rsidRDefault="000F5B51">
            <w:pPr>
              <w:spacing w:line="240" w:lineRule="auto"/>
              <w:jc w:val="center"/>
              <w:rPr>
                <w:b/>
                <w:bCs/>
              </w:rPr>
            </w:pPr>
            <w:r>
              <w:rPr>
                <w:rFonts w:eastAsia="Times New Roman" w:cs="Times New Roman"/>
                <w:b/>
                <w:bCs/>
                <w:szCs w:val="24"/>
              </w:rPr>
              <w:t>Relative Injury Factor </w:t>
            </w:r>
          </w:p>
        </w:tc>
        <w:tc>
          <w:tcPr>
            <w:tcW w:w="2468" w:type="dxa"/>
            <w:shd w:val="clear" w:color="auto" w:fill="BFBFBF" w:themeFill="background1" w:themeFillShade="BF"/>
            <w:vAlign w:val="center"/>
          </w:tcPr>
          <w:p w14:paraId="430DFABB" w14:textId="77777777" w:rsidR="00AE1BC4" w:rsidRPr="00A52D46" w:rsidRDefault="000F5B51">
            <w:pPr>
              <w:spacing w:line="240" w:lineRule="auto"/>
              <w:jc w:val="center"/>
              <w:rPr>
                <w:b/>
                <w:bCs/>
              </w:rPr>
            </w:pPr>
            <w:r>
              <w:rPr>
                <w:b/>
                <w:bCs/>
                <w:sz w:val="22"/>
              </w:rPr>
              <w:t>Equivalent Lives Saved</w:t>
            </w:r>
          </w:p>
        </w:tc>
      </w:tr>
      <w:tr w:rsidR="00A15C2C" w14:paraId="4DDF0602" w14:textId="77777777" w:rsidTr="00A807D0">
        <w:trPr>
          <w:trHeight w:val="233"/>
        </w:trPr>
        <w:tc>
          <w:tcPr>
            <w:tcW w:w="9872" w:type="dxa"/>
            <w:gridSpan w:val="4"/>
            <w:shd w:val="clear" w:color="auto" w:fill="D9D9D9" w:themeFill="background1" w:themeFillShade="D9"/>
          </w:tcPr>
          <w:p w14:paraId="086961F1" w14:textId="77777777" w:rsidR="00AE1BC4" w:rsidRPr="00934F2C" w:rsidRDefault="000F5B51" w:rsidP="00A807D0">
            <w:pPr>
              <w:spacing w:line="240" w:lineRule="auto"/>
              <w:jc w:val="center"/>
              <w:rPr>
                <w:b/>
                <w:bCs/>
                <w:i/>
                <w:iCs/>
              </w:rPr>
            </w:pPr>
            <w:r>
              <w:rPr>
                <w:b/>
                <w:bCs/>
                <w:i/>
                <w:iCs/>
                <w:sz w:val="22"/>
                <w:szCs w:val="20"/>
              </w:rPr>
              <w:t>Passenger Cars</w:t>
            </w:r>
          </w:p>
        </w:tc>
      </w:tr>
      <w:tr w:rsidR="00A15C2C" w14:paraId="2CB9F247" w14:textId="77777777" w:rsidTr="00A807D0">
        <w:trPr>
          <w:trHeight w:val="248"/>
        </w:trPr>
        <w:tc>
          <w:tcPr>
            <w:tcW w:w="2468" w:type="dxa"/>
          </w:tcPr>
          <w:p w14:paraId="7FF6620D" w14:textId="77777777" w:rsidR="002F7707" w:rsidRPr="00934F2C" w:rsidRDefault="000F5B51" w:rsidP="002F7707">
            <w:pPr>
              <w:spacing w:line="240" w:lineRule="auto"/>
              <w:rPr>
                <w:b/>
                <w:bCs/>
                <w:sz w:val="22"/>
              </w:rPr>
            </w:pPr>
            <w:r w:rsidRPr="00934F2C">
              <w:rPr>
                <w:sz w:val="22"/>
              </w:rPr>
              <w:t>MAIS 1</w:t>
            </w:r>
          </w:p>
        </w:tc>
        <w:tc>
          <w:tcPr>
            <w:tcW w:w="2468" w:type="dxa"/>
            <w:vAlign w:val="center"/>
          </w:tcPr>
          <w:p w14:paraId="2A1C7912" w14:textId="77777777" w:rsidR="002F7707" w:rsidRPr="00D428F2" w:rsidRDefault="000F5B51" w:rsidP="002F7707">
            <w:pPr>
              <w:spacing w:line="240" w:lineRule="auto"/>
              <w:jc w:val="center"/>
              <w:rPr>
                <w:sz w:val="22"/>
              </w:rPr>
            </w:pPr>
            <w:r w:rsidRPr="00BE0A50">
              <w:rPr>
                <w:color w:val="000000"/>
                <w:sz w:val="22"/>
              </w:rPr>
              <w:t>2.27</w:t>
            </w:r>
          </w:p>
        </w:tc>
        <w:tc>
          <w:tcPr>
            <w:tcW w:w="2468" w:type="dxa"/>
            <w:vAlign w:val="center"/>
          </w:tcPr>
          <w:p w14:paraId="215D7431" w14:textId="77777777" w:rsidR="002F7707" w:rsidRPr="001D0BC2" w:rsidRDefault="000F5B51" w:rsidP="002F7707">
            <w:pPr>
              <w:spacing w:line="240" w:lineRule="auto"/>
              <w:jc w:val="center"/>
              <w:rPr>
                <w:sz w:val="22"/>
              </w:rPr>
            </w:pPr>
            <w:r w:rsidRPr="005F0E59">
              <w:rPr>
                <w:color w:val="000000"/>
                <w:sz w:val="22"/>
              </w:rPr>
              <w:t>0.0038</w:t>
            </w:r>
          </w:p>
        </w:tc>
        <w:tc>
          <w:tcPr>
            <w:tcW w:w="2468" w:type="dxa"/>
            <w:vAlign w:val="center"/>
          </w:tcPr>
          <w:p w14:paraId="193F4EAD" w14:textId="77777777" w:rsidR="002F7707" w:rsidRPr="00D428F2" w:rsidRDefault="000F5B51" w:rsidP="002F7707">
            <w:pPr>
              <w:spacing w:line="240" w:lineRule="auto"/>
              <w:jc w:val="center"/>
              <w:rPr>
                <w:sz w:val="22"/>
              </w:rPr>
            </w:pPr>
            <w:r w:rsidRPr="00BE0A50">
              <w:rPr>
                <w:color w:val="000000"/>
                <w:sz w:val="22"/>
              </w:rPr>
              <w:t>0.0085</w:t>
            </w:r>
          </w:p>
        </w:tc>
      </w:tr>
      <w:tr w:rsidR="00A15C2C" w14:paraId="7E8840C9" w14:textId="77777777" w:rsidTr="00A807D0">
        <w:trPr>
          <w:trHeight w:val="233"/>
        </w:trPr>
        <w:tc>
          <w:tcPr>
            <w:tcW w:w="2468" w:type="dxa"/>
          </w:tcPr>
          <w:p w14:paraId="749066CE" w14:textId="77777777" w:rsidR="002F7707" w:rsidRPr="00934F2C" w:rsidRDefault="000F5B51" w:rsidP="002F7707">
            <w:pPr>
              <w:spacing w:line="240" w:lineRule="auto"/>
              <w:rPr>
                <w:b/>
                <w:bCs/>
                <w:sz w:val="22"/>
              </w:rPr>
            </w:pPr>
            <w:r w:rsidRPr="00934F2C">
              <w:rPr>
                <w:color w:val="000000"/>
                <w:sz w:val="22"/>
              </w:rPr>
              <w:t>MAIS 2</w:t>
            </w:r>
          </w:p>
        </w:tc>
        <w:tc>
          <w:tcPr>
            <w:tcW w:w="2468" w:type="dxa"/>
            <w:vAlign w:val="center"/>
          </w:tcPr>
          <w:p w14:paraId="62C4E4F2" w14:textId="77777777" w:rsidR="002F7707" w:rsidRPr="00D428F2" w:rsidRDefault="000F5B51" w:rsidP="002F7707">
            <w:pPr>
              <w:spacing w:line="240" w:lineRule="auto"/>
              <w:jc w:val="center"/>
              <w:rPr>
                <w:sz w:val="22"/>
              </w:rPr>
            </w:pPr>
            <w:r w:rsidRPr="00BE0A50">
              <w:rPr>
                <w:color w:val="000000"/>
                <w:sz w:val="22"/>
              </w:rPr>
              <w:t>13.89</w:t>
            </w:r>
          </w:p>
        </w:tc>
        <w:tc>
          <w:tcPr>
            <w:tcW w:w="2468" w:type="dxa"/>
            <w:vAlign w:val="center"/>
          </w:tcPr>
          <w:p w14:paraId="368FF859" w14:textId="77777777" w:rsidR="002F7707" w:rsidRPr="001D0BC2" w:rsidRDefault="000F5B51" w:rsidP="002F7707">
            <w:pPr>
              <w:spacing w:line="240" w:lineRule="auto"/>
              <w:jc w:val="center"/>
              <w:rPr>
                <w:sz w:val="22"/>
              </w:rPr>
            </w:pPr>
            <w:r w:rsidRPr="005F0E59">
              <w:rPr>
                <w:color w:val="000000"/>
                <w:sz w:val="22"/>
              </w:rPr>
              <w:t>0.0454</w:t>
            </w:r>
          </w:p>
        </w:tc>
        <w:tc>
          <w:tcPr>
            <w:tcW w:w="2468" w:type="dxa"/>
            <w:vAlign w:val="center"/>
          </w:tcPr>
          <w:p w14:paraId="4C373F67" w14:textId="77777777" w:rsidR="002F7707" w:rsidRPr="00D428F2" w:rsidRDefault="000F5B51" w:rsidP="002F7707">
            <w:pPr>
              <w:spacing w:line="240" w:lineRule="auto"/>
              <w:jc w:val="center"/>
              <w:rPr>
                <w:sz w:val="22"/>
              </w:rPr>
            </w:pPr>
            <w:r w:rsidRPr="00BE0A50">
              <w:rPr>
                <w:color w:val="000000"/>
                <w:sz w:val="22"/>
              </w:rPr>
              <w:t>0.630</w:t>
            </w:r>
            <w:r w:rsidR="006430BF" w:rsidRPr="00BE0A50">
              <w:rPr>
                <w:color w:val="000000"/>
                <w:sz w:val="22"/>
              </w:rPr>
              <w:t>3</w:t>
            </w:r>
          </w:p>
        </w:tc>
      </w:tr>
      <w:tr w:rsidR="00A15C2C" w14:paraId="563D0278" w14:textId="77777777" w:rsidTr="00A807D0">
        <w:trPr>
          <w:trHeight w:val="248"/>
        </w:trPr>
        <w:tc>
          <w:tcPr>
            <w:tcW w:w="2468" w:type="dxa"/>
          </w:tcPr>
          <w:p w14:paraId="4C2A4E36" w14:textId="77777777" w:rsidR="002F7707" w:rsidRPr="00934F2C" w:rsidRDefault="000F5B51" w:rsidP="002F7707">
            <w:pPr>
              <w:spacing w:line="240" w:lineRule="auto"/>
              <w:rPr>
                <w:b/>
                <w:bCs/>
                <w:sz w:val="22"/>
              </w:rPr>
            </w:pPr>
            <w:r w:rsidRPr="00934F2C">
              <w:rPr>
                <w:sz w:val="22"/>
              </w:rPr>
              <w:t>MAIS 3</w:t>
            </w:r>
          </w:p>
        </w:tc>
        <w:tc>
          <w:tcPr>
            <w:tcW w:w="2468" w:type="dxa"/>
            <w:vAlign w:val="center"/>
          </w:tcPr>
          <w:p w14:paraId="0E075CBD" w14:textId="77777777" w:rsidR="002F7707" w:rsidRPr="00D428F2" w:rsidRDefault="000F5B51" w:rsidP="002F7707">
            <w:pPr>
              <w:spacing w:line="240" w:lineRule="auto"/>
              <w:jc w:val="center"/>
              <w:rPr>
                <w:sz w:val="22"/>
              </w:rPr>
            </w:pPr>
            <w:r w:rsidRPr="00BE0A50">
              <w:rPr>
                <w:color w:val="000000"/>
                <w:sz w:val="22"/>
              </w:rPr>
              <w:t>3.8</w:t>
            </w:r>
            <w:r w:rsidR="00BD5A40" w:rsidRPr="00BE0A50">
              <w:rPr>
                <w:color w:val="000000"/>
                <w:sz w:val="22"/>
              </w:rPr>
              <w:t>4</w:t>
            </w:r>
          </w:p>
        </w:tc>
        <w:tc>
          <w:tcPr>
            <w:tcW w:w="2468" w:type="dxa"/>
            <w:vAlign w:val="center"/>
          </w:tcPr>
          <w:p w14:paraId="4B7D8072" w14:textId="77777777" w:rsidR="002F7707" w:rsidRPr="001D0BC2" w:rsidRDefault="000F5B51" w:rsidP="002F7707">
            <w:pPr>
              <w:spacing w:line="240" w:lineRule="auto"/>
              <w:jc w:val="center"/>
              <w:rPr>
                <w:sz w:val="22"/>
              </w:rPr>
            </w:pPr>
            <w:r w:rsidRPr="005F0E59">
              <w:rPr>
                <w:color w:val="000000"/>
                <w:sz w:val="22"/>
              </w:rPr>
              <w:t>0.1078</w:t>
            </w:r>
          </w:p>
        </w:tc>
        <w:tc>
          <w:tcPr>
            <w:tcW w:w="2468" w:type="dxa"/>
            <w:vAlign w:val="center"/>
          </w:tcPr>
          <w:p w14:paraId="28B581B0" w14:textId="77777777" w:rsidR="002F7707" w:rsidRPr="00D428F2" w:rsidRDefault="000F5B51" w:rsidP="002F7707">
            <w:pPr>
              <w:spacing w:line="240" w:lineRule="auto"/>
              <w:jc w:val="center"/>
              <w:rPr>
                <w:sz w:val="22"/>
              </w:rPr>
            </w:pPr>
            <w:r w:rsidRPr="00BE0A50">
              <w:rPr>
                <w:color w:val="000000"/>
                <w:sz w:val="22"/>
              </w:rPr>
              <w:t>0.4136</w:t>
            </w:r>
          </w:p>
        </w:tc>
      </w:tr>
      <w:tr w:rsidR="00A15C2C" w14:paraId="4B322F5F" w14:textId="77777777" w:rsidTr="00A807D0">
        <w:trPr>
          <w:trHeight w:val="233"/>
        </w:trPr>
        <w:tc>
          <w:tcPr>
            <w:tcW w:w="2468" w:type="dxa"/>
          </w:tcPr>
          <w:p w14:paraId="7D94A502" w14:textId="77777777" w:rsidR="002F7707" w:rsidRPr="00934F2C" w:rsidRDefault="000F5B51" w:rsidP="002F7707">
            <w:pPr>
              <w:spacing w:line="240" w:lineRule="auto"/>
              <w:rPr>
                <w:b/>
                <w:bCs/>
                <w:sz w:val="22"/>
              </w:rPr>
            </w:pPr>
            <w:r w:rsidRPr="00934F2C">
              <w:rPr>
                <w:color w:val="000000"/>
                <w:sz w:val="22"/>
              </w:rPr>
              <w:t>MAIS 4</w:t>
            </w:r>
          </w:p>
        </w:tc>
        <w:tc>
          <w:tcPr>
            <w:tcW w:w="2468" w:type="dxa"/>
            <w:vAlign w:val="center"/>
          </w:tcPr>
          <w:p w14:paraId="4A8B41C0" w14:textId="77777777" w:rsidR="002F7707" w:rsidRPr="00D428F2" w:rsidRDefault="000F5B51" w:rsidP="002F7707">
            <w:pPr>
              <w:spacing w:line="240" w:lineRule="auto"/>
              <w:jc w:val="center"/>
              <w:rPr>
                <w:sz w:val="22"/>
              </w:rPr>
            </w:pPr>
            <w:r w:rsidRPr="00BE0A50">
              <w:rPr>
                <w:color w:val="000000"/>
                <w:sz w:val="22"/>
              </w:rPr>
              <w:t>2.77</w:t>
            </w:r>
          </w:p>
        </w:tc>
        <w:tc>
          <w:tcPr>
            <w:tcW w:w="2468" w:type="dxa"/>
            <w:vAlign w:val="center"/>
          </w:tcPr>
          <w:p w14:paraId="5B663EB0" w14:textId="77777777" w:rsidR="002F7707" w:rsidRPr="001D0BC2" w:rsidRDefault="000F5B51" w:rsidP="002F7707">
            <w:pPr>
              <w:spacing w:line="240" w:lineRule="auto"/>
              <w:jc w:val="center"/>
              <w:rPr>
                <w:sz w:val="22"/>
              </w:rPr>
            </w:pPr>
            <w:r w:rsidRPr="005F0E59">
              <w:rPr>
                <w:color w:val="000000"/>
                <w:sz w:val="22"/>
              </w:rPr>
              <w:t>0.2677</w:t>
            </w:r>
          </w:p>
        </w:tc>
        <w:tc>
          <w:tcPr>
            <w:tcW w:w="2468" w:type="dxa"/>
            <w:vAlign w:val="center"/>
          </w:tcPr>
          <w:p w14:paraId="7C7FBAE7" w14:textId="77777777" w:rsidR="002F7707" w:rsidRPr="00D428F2" w:rsidRDefault="000F5B51" w:rsidP="002F7707">
            <w:pPr>
              <w:spacing w:line="240" w:lineRule="auto"/>
              <w:jc w:val="center"/>
              <w:rPr>
                <w:sz w:val="22"/>
              </w:rPr>
            </w:pPr>
            <w:r w:rsidRPr="00BE0A50">
              <w:rPr>
                <w:color w:val="000000"/>
                <w:sz w:val="22"/>
              </w:rPr>
              <w:t>0.742</w:t>
            </w:r>
            <w:r w:rsidR="0075461D" w:rsidRPr="00BE0A50">
              <w:rPr>
                <w:color w:val="000000"/>
                <w:sz w:val="22"/>
              </w:rPr>
              <w:t>1</w:t>
            </w:r>
          </w:p>
        </w:tc>
      </w:tr>
      <w:tr w:rsidR="00A15C2C" w14:paraId="1CDD8029" w14:textId="77777777" w:rsidTr="00A807D0">
        <w:trPr>
          <w:trHeight w:val="233"/>
        </w:trPr>
        <w:tc>
          <w:tcPr>
            <w:tcW w:w="2468" w:type="dxa"/>
          </w:tcPr>
          <w:p w14:paraId="5F50284D" w14:textId="77777777" w:rsidR="002F7707" w:rsidRPr="00934F2C" w:rsidRDefault="000F5B51" w:rsidP="002F7707">
            <w:pPr>
              <w:spacing w:line="240" w:lineRule="auto"/>
              <w:rPr>
                <w:b/>
                <w:bCs/>
                <w:sz w:val="22"/>
              </w:rPr>
            </w:pPr>
            <w:r w:rsidRPr="00934F2C">
              <w:rPr>
                <w:sz w:val="22"/>
              </w:rPr>
              <w:t>MAIS 5</w:t>
            </w:r>
          </w:p>
        </w:tc>
        <w:tc>
          <w:tcPr>
            <w:tcW w:w="2468" w:type="dxa"/>
            <w:vAlign w:val="center"/>
          </w:tcPr>
          <w:p w14:paraId="2126F52E" w14:textId="77777777" w:rsidR="002F7707" w:rsidRPr="00D428F2" w:rsidRDefault="000F5B51" w:rsidP="002F7707">
            <w:pPr>
              <w:spacing w:line="240" w:lineRule="auto"/>
              <w:jc w:val="center"/>
              <w:rPr>
                <w:sz w:val="22"/>
              </w:rPr>
            </w:pPr>
            <w:r w:rsidRPr="00BE0A50">
              <w:rPr>
                <w:color w:val="000000"/>
                <w:sz w:val="22"/>
              </w:rPr>
              <w:t>0.0</w:t>
            </w:r>
            <w:r w:rsidR="00BD5A40" w:rsidRPr="00BE0A50">
              <w:rPr>
                <w:color w:val="000000"/>
                <w:sz w:val="22"/>
              </w:rPr>
              <w:t>7</w:t>
            </w:r>
          </w:p>
        </w:tc>
        <w:tc>
          <w:tcPr>
            <w:tcW w:w="2468" w:type="dxa"/>
            <w:vAlign w:val="center"/>
          </w:tcPr>
          <w:p w14:paraId="6E98AC11" w14:textId="77777777" w:rsidR="002F7707" w:rsidRPr="001D0BC2" w:rsidRDefault="000F5B51" w:rsidP="002F7707">
            <w:pPr>
              <w:spacing w:line="240" w:lineRule="auto"/>
              <w:jc w:val="center"/>
              <w:rPr>
                <w:sz w:val="22"/>
              </w:rPr>
            </w:pPr>
            <w:r w:rsidRPr="005F0E59">
              <w:rPr>
                <w:color w:val="000000"/>
                <w:sz w:val="22"/>
              </w:rPr>
              <w:t>0.6125</w:t>
            </w:r>
          </w:p>
        </w:tc>
        <w:tc>
          <w:tcPr>
            <w:tcW w:w="2468" w:type="dxa"/>
            <w:vAlign w:val="center"/>
          </w:tcPr>
          <w:p w14:paraId="720DF784" w14:textId="77777777" w:rsidR="002F7707" w:rsidRPr="00D428F2" w:rsidRDefault="000F5B51" w:rsidP="002F7707">
            <w:pPr>
              <w:spacing w:line="240" w:lineRule="auto"/>
              <w:jc w:val="center"/>
              <w:rPr>
                <w:sz w:val="22"/>
              </w:rPr>
            </w:pPr>
            <w:r w:rsidRPr="00BE0A50">
              <w:rPr>
                <w:color w:val="000000"/>
                <w:sz w:val="22"/>
              </w:rPr>
              <w:t>0.0401</w:t>
            </w:r>
          </w:p>
        </w:tc>
      </w:tr>
      <w:tr w:rsidR="00A15C2C" w14:paraId="2325D7CD" w14:textId="77777777" w:rsidTr="00A807D0">
        <w:trPr>
          <w:trHeight w:val="233"/>
        </w:trPr>
        <w:tc>
          <w:tcPr>
            <w:tcW w:w="2468" w:type="dxa"/>
          </w:tcPr>
          <w:p w14:paraId="788A6C73" w14:textId="77777777" w:rsidR="002F7707" w:rsidRPr="00934F2C" w:rsidRDefault="000F5B51" w:rsidP="002F7707">
            <w:pPr>
              <w:spacing w:line="240" w:lineRule="auto"/>
              <w:rPr>
                <w:b/>
                <w:bCs/>
                <w:sz w:val="22"/>
              </w:rPr>
            </w:pPr>
            <w:r w:rsidRPr="00934F2C">
              <w:rPr>
                <w:sz w:val="22"/>
              </w:rPr>
              <w:t>Fatalities</w:t>
            </w:r>
          </w:p>
        </w:tc>
        <w:tc>
          <w:tcPr>
            <w:tcW w:w="2468" w:type="dxa"/>
            <w:vAlign w:val="center"/>
          </w:tcPr>
          <w:p w14:paraId="716F6386" w14:textId="77777777" w:rsidR="002F7707" w:rsidRPr="00D428F2" w:rsidRDefault="000F5B51" w:rsidP="002F7707">
            <w:pPr>
              <w:spacing w:line="240" w:lineRule="auto"/>
              <w:jc w:val="center"/>
              <w:rPr>
                <w:sz w:val="22"/>
              </w:rPr>
            </w:pPr>
            <w:r w:rsidRPr="00BE0A50">
              <w:rPr>
                <w:color w:val="000000"/>
                <w:sz w:val="22"/>
              </w:rPr>
              <w:t>4.82</w:t>
            </w:r>
          </w:p>
        </w:tc>
        <w:tc>
          <w:tcPr>
            <w:tcW w:w="2468" w:type="dxa"/>
            <w:vAlign w:val="center"/>
          </w:tcPr>
          <w:p w14:paraId="5949ED4F" w14:textId="77777777" w:rsidR="002F7707" w:rsidRPr="001D0BC2" w:rsidRDefault="000F5B51" w:rsidP="002F7707">
            <w:pPr>
              <w:spacing w:line="240" w:lineRule="auto"/>
              <w:jc w:val="center"/>
              <w:rPr>
                <w:sz w:val="22"/>
              </w:rPr>
            </w:pPr>
            <w:r w:rsidRPr="005F0E59">
              <w:rPr>
                <w:color w:val="000000"/>
                <w:sz w:val="22"/>
              </w:rPr>
              <w:t>1</w:t>
            </w:r>
          </w:p>
        </w:tc>
        <w:tc>
          <w:tcPr>
            <w:tcW w:w="2468" w:type="dxa"/>
            <w:vAlign w:val="center"/>
          </w:tcPr>
          <w:p w14:paraId="0421E39E" w14:textId="77777777" w:rsidR="002F7707" w:rsidRPr="00D428F2" w:rsidRDefault="000F5B51" w:rsidP="002F7707">
            <w:pPr>
              <w:spacing w:line="240" w:lineRule="auto"/>
              <w:jc w:val="center"/>
              <w:rPr>
                <w:sz w:val="22"/>
              </w:rPr>
            </w:pPr>
            <w:r w:rsidRPr="00BE0A50">
              <w:rPr>
                <w:color w:val="000000"/>
                <w:sz w:val="22"/>
              </w:rPr>
              <w:t>4.8242</w:t>
            </w:r>
          </w:p>
        </w:tc>
      </w:tr>
      <w:tr w:rsidR="00A15C2C" w14:paraId="03C70C7A" w14:textId="77777777" w:rsidTr="00A807D0">
        <w:trPr>
          <w:trHeight w:val="233"/>
        </w:trPr>
        <w:tc>
          <w:tcPr>
            <w:tcW w:w="2468" w:type="dxa"/>
          </w:tcPr>
          <w:p w14:paraId="7DD49E2C" w14:textId="77777777" w:rsidR="002F7707" w:rsidRPr="00934F2C" w:rsidRDefault="000F5B51" w:rsidP="002F7707">
            <w:pPr>
              <w:spacing w:line="240" w:lineRule="auto"/>
              <w:rPr>
                <w:sz w:val="22"/>
              </w:rPr>
            </w:pPr>
            <w:r w:rsidRPr="00934F2C">
              <w:rPr>
                <w:sz w:val="22"/>
              </w:rPr>
              <w:t xml:space="preserve">Total </w:t>
            </w:r>
            <w:r w:rsidR="00A84146">
              <w:rPr>
                <w:sz w:val="22"/>
              </w:rPr>
              <w:t>PC</w:t>
            </w:r>
          </w:p>
        </w:tc>
        <w:tc>
          <w:tcPr>
            <w:tcW w:w="2468" w:type="dxa"/>
            <w:vAlign w:val="center"/>
          </w:tcPr>
          <w:p w14:paraId="60C501DB" w14:textId="77777777" w:rsidR="002F7707" w:rsidRPr="00934F2C" w:rsidRDefault="000F5B51" w:rsidP="002F7707">
            <w:pPr>
              <w:spacing w:line="240" w:lineRule="auto"/>
              <w:jc w:val="center"/>
              <w:rPr>
                <w:b/>
                <w:bCs/>
                <w:sz w:val="22"/>
              </w:rPr>
            </w:pPr>
            <w:r>
              <w:rPr>
                <w:b/>
                <w:bCs/>
                <w:color w:val="000000"/>
                <w:sz w:val="22"/>
              </w:rPr>
              <w:t> </w:t>
            </w:r>
          </w:p>
        </w:tc>
        <w:tc>
          <w:tcPr>
            <w:tcW w:w="2468" w:type="dxa"/>
            <w:vAlign w:val="center"/>
          </w:tcPr>
          <w:p w14:paraId="00E522C7" w14:textId="77777777" w:rsidR="002F7707" w:rsidRPr="00934F2C" w:rsidRDefault="000F5B51" w:rsidP="002F7707">
            <w:pPr>
              <w:spacing w:line="240" w:lineRule="auto"/>
              <w:jc w:val="center"/>
              <w:rPr>
                <w:b/>
                <w:bCs/>
                <w:sz w:val="22"/>
              </w:rPr>
            </w:pPr>
            <w:r>
              <w:rPr>
                <w:b/>
                <w:bCs/>
                <w:color w:val="000000"/>
                <w:sz w:val="22"/>
              </w:rPr>
              <w:t> </w:t>
            </w:r>
          </w:p>
        </w:tc>
        <w:tc>
          <w:tcPr>
            <w:tcW w:w="2468" w:type="dxa"/>
            <w:vAlign w:val="center"/>
          </w:tcPr>
          <w:p w14:paraId="7173D533" w14:textId="77777777" w:rsidR="002F7707" w:rsidRPr="00934F2C" w:rsidRDefault="000F5B51" w:rsidP="002F7707">
            <w:pPr>
              <w:spacing w:line="240" w:lineRule="auto"/>
              <w:jc w:val="center"/>
              <w:rPr>
                <w:b/>
                <w:bCs/>
                <w:color w:val="000000"/>
                <w:sz w:val="22"/>
              </w:rPr>
            </w:pPr>
            <w:r w:rsidRPr="00BE0A50">
              <w:rPr>
                <w:b/>
                <w:bCs/>
                <w:color w:val="000000"/>
                <w:szCs w:val="24"/>
              </w:rPr>
              <w:t>6.658</w:t>
            </w:r>
            <w:r w:rsidR="0075461D" w:rsidRPr="00BE0A50">
              <w:rPr>
                <w:b/>
                <w:bCs/>
                <w:color w:val="000000"/>
                <w:szCs w:val="24"/>
              </w:rPr>
              <w:t>9</w:t>
            </w:r>
          </w:p>
        </w:tc>
      </w:tr>
      <w:tr w:rsidR="00A15C2C" w14:paraId="7056E1CF" w14:textId="77777777" w:rsidTr="00A807D0">
        <w:trPr>
          <w:trHeight w:val="248"/>
        </w:trPr>
        <w:tc>
          <w:tcPr>
            <w:tcW w:w="9872" w:type="dxa"/>
            <w:gridSpan w:val="4"/>
            <w:shd w:val="clear" w:color="auto" w:fill="D9D9D9" w:themeFill="background1" w:themeFillShade="D9"/>
          </w:tcPr>
          <w:p w14:paraId="06366895" w14:textId="77777777" w:rsidR="00AE1BC4" w:rsidRPr="00934F2C" w:rsidRDefault="000F5B51" w:rsidP="00A807D0">
            <w:pPr>
              <w:spacing w:line="240" w:lineRule="auto"/>
              <w:jc w:val="center"/>
              <w:rPr>
                <w:b/>
                <w:bCs/>
                <w:i/>
                <w:iCs/>
                <w:sz w:val="22"/>
              </w:rPr>
            </w:pPr>
            <w:r>
              <w:rPr>
                <w:b/>
                <w:bCs/>
                <w:i/>
                <w:iCs/>
                <w:sz w:val="22"/>
              </w:rPr>
              <w:t>LTVs</w:t>
            </w:r>
          </w:p>
        </w:tc>
      </w:tr>
      <w:tr w:rsidR="00A15C2C" w14:paraId="50E7CDF8" w14:textId="77777777" w:rsidTr="00A807D0">
        <w:trPr>
          <w:trHeight w:val="107"/>
        </w:trPr>
        <w:tc>
          <w:tcPr>
            <w:tcW w:w="2468" w:type="dxa"/>
          </w:tcPr>
          <w:p w14:paraId="5021BF8E" w14:textId="77777777" w:rsidR="00403DCA" w:rsidRPr="00934F2C" w:rsidRDefault="000F5B51" w:rsidP="00403DCA">
            <w:pPr>
              <w:spacing w:line="240" w:lineRule="auto"/>
              <w:rPr>
                <w:b/>
                <w:bCs/>
                <w:color w:val="000000"/>
                <w:sz w:val="22"/>
              </w:rPr>
            </w:pPr>
            <w:r w:rsidRPr="00934F2C">
              <w:rPr>
                <w:sz w:val="22"/>
              </w:rPr>
              <w:t>MAIS 1</w:t>
            </w:r>
          </w:p>
        </w:tc>
        <w:tc>
          <w:tcPr>
            <w:tcW w:w="2468" w:type="dxa"/>
            <w:vAlign w:val="center"/>
          </w:tcPr>
          <w:p w14:paraId="39BE8014" w14:textId="77777777" w:rsidR="00403DCA" w:rsidRPr="00D428F2" w:rsidRDefault="000F5B51" w:rsidP="00403DCA">
            <w:pPr>
              <w:spacing w:line="240" w:lineRule="auto"/>
              <w:jc w:val="center"/>
              <w:rPr>
                <w:sz w:val="22"/>
              </w:rPr>
            </w:pPr>
            <w:r w:rsidRPr="00BE0A50">
              <w:rPr>
                <w:color w:val="000000"/>
                <w:sz w:val="22"/>
              </w:rPr>
              <w:t>1.3</w:t>
            </w:r>
            <w:r w:rsidR="00BD5A40" w:rsidRPr="00BE0A50">
              <w:rPr>
                <w:color w:val="000000"/>
                <w:sz w:val="22"/>
              </w:rPr>
              <w:t>9</w:t>
            </w:r>
          </w:p>
        </w:tc>
        <w:tc>
          <w:tcPr>
            <w:tcW w:w="2468" w:type="dxa"/>
            <w:vAlign w:val="center"/>
          </w:tcPr>
          <w:p w14:paraId="5C4462C5" w14:textId="77777777" w:rsidR="00403DCA" w:rsidRPr="001D0BC2" w:rsidRDefault="000F5B51" w:rsidP="00403DCA">
            <w:pPr>
              <w:spacing w:line="240" w:lineRule="auto"/>
              <w:jc w:val="center"/>
              <w:rPr>
                <w:sz w:val="22"/>
              </w:rPr>
            </w:pPr>
            <w:r w:rsidRPr="005F0E59">
              <w:rPr>
                <w:color w:val="000000"/>
                <w:sz w:val="22"/>
              </w:rPr>
              <w:t>0.0038</w:t>
            </w:r>
          </w:p>
        </w:tc>
        <w:tc>
          <w:tcPr>
            <w:tcW w:w="2468" w:type="dxa"/>
            <w:vAlign w:val="center"/>
          </w:tcPr>
          <w:p w14:paraId="468E01CC" w14:textId="77777777" w:rsidR="00403DCA" w:rsidRPr="00D428F2" w:rsidRDefault="000F5B51" w:rsidP="00403DCA">
            <w:pPr>
              <w:spacing w:line="240" w:lineRule="auto"/>
              <w:jc w:val="center"/>
              <w:rPr>
                <w:sz w:val="22"/>
              </w:rPr>
            </w:pPr>
            <w:r w:rsidRPr="00BE0A50">
              <w:rPr>
                <w:color w:val="000000"/>
                <w:sz w:val="22"/>
              </w:rPr>
              <w:t>0.0052</w:t>
            </w:r>
          </w:p>
        </w:tc>
      </w:tr>
      <w:tr w:rsidR="00A15C2C" w14:paraId="3670F4B4" w14:textId="77777777" w:rsidTr="00A807D0">
        <w:trPr>
          <w:trHeight w:val="248"/>
        </w:trPr>
        <w:tc>
          <w:tcPr>
            <w:tcW w:w="2468" w:type="dxa"/>
          </w:tcPr>
          <w:p w14:paraId="67D57B48" w14:textId="77777777" w:rsidR="00403DCA" w:rsidRPr="00934F2C" w:rsidRDefault="000F5B51" w:rsidP="00403DCA">
            <w:pPr>
              <w:spacing w:line="240" w:lineRule="auto"/>
              <w:rPr>
                <w:b/>
                <w:bCs/>
                <w:sz w:val="22"/>
              </w:rPr>
            </w:pPr>
            <w:r w:rsidRPr="00934F2C">
              <w:rPr>
                <w:color w:val="000000"/>
                <w:sz w:val="22"/>
              </w:rPr>
              <w:t>MAIS 2</w:t>
            </w:r>
          </w:p>
        </w:tc>
        <w:tc>
          <w:tcPr>
            <w:tcW w:w="2468" w:type="dxa"/>
            <w:vAlign w:val="center"/>
          </w:tcPr>
          <w:p w14:paraId="03E77158" w14:textId="77777777" w:rsidR="00403DCA" w:rsidRPr="00D428F2" w:rsidRDefault="000F5B51" w:rsidP="00403DCA">
            <w:pPr>
              <w:spacing w:line="240" w:lineRule="auto"/>
              <w:jc w:val="center"/>
              <w:rPr>
                <w:sz w:val="22"/>
              </w:rPr>
            </w:pPr>
            <w:r w:rsidRPr="00BE0A50">
              <w:rPr>
                <w:color w:val="000000"/>
                <w:sz w:val="22"/>
              </w:rPr>
              <w:t>6.5</w:t>
            </w:r>
            <w:r w:rsidR="00BD5A40" w:rsidRPr="00BE0A50">
              <w:rPr>
                <w:color w:val="000000"/>
                <w:sz w:val="22"/>
              </w:rPr>
              <w:t>9</w:t>
            </w:r>
          </w:p>
        </w:tc>
        <w:tc>
          <w:tcPr>
            <w:tcW w:w="2468" w:type="dxa"/>
            <w:vAlign w:val="center"/>
          </w:tcPr>
          <w:p w14:paraId="60F3FDEE" w14:textId="77777777" w:rsidR="00403DCA" w:rsidRPr="001D0BC2" w:rsidRDefault="000F5B51" w:rsidP="00403DCA">
            <w:pPr>
              <w:spacing w:line="240" w:lineRule="auto"/>
              <w:jc w:val="center"/>
              <w:rPr>
                <w:sz w:val="22"/>
              </w:rPr>
            </w:pPr>
            <w:r w:rsidRPr="005F0E59">
              <w:rPr>
                <w:color w:val="000000"/>
                <w:sz w:val="22"/>
              </w:rPr>
              <w:t>0.0454</w:t>
            </w:r>
          </w:p>
        </w:tc>
        <w:tc>
          <w:tcPr>
            <w:tcW w:w="2468" w:type="dxa"/>
            <w:vAlign w:val="center"/>
          </w:tcPr>
          <w:p w14:paraId="0B617FD0" w14:textId="77777777" w:rsidR="00403DCA" w:rsidRPr="00D428F2" w:rsidRDefault="000F5B51" w:rsidP="00403DCA">
            <w:pPr>
              <w:spacing w:line="240" w:lineRule="auto"/>
              <w:jc w:val="center"/>
              <w:rPr>
                <w:sz w:val="22"/>
              </w:rPr>
            </w:pPr>
            <w:r w:rsidRPr="00BE0A50">
              <w:rPr>
                <w:color w:val="000000"/>
                <w:sz w:val="22"/>
              </w:rPr>
              <w:t>0.2988</w:t>
            </w:r>
          </w:p>
        </w:tc>
      </w:tr>
      <w:tr w:rsidR="00A15C2C" w14:paraId="572BAAEA" w14:textId="77777777" w:rsidTr="00A807D0">
        <w:trPr>
          <w:trHeight w:val="233"/>
        </w:trPr>
        <w:tc>
          <w:tcPr>
            <w:tcW w:w="2468" w:type="dxa"/>
          </w:tcPr>
          <w:p w14:paraId="26686254" w14:textId="77777777" w:rsidR="00403DCA" w:rsidRPr="00934F2C" w:rsidRDefault="000F5B51" w:rsidP="00403DCA">
            <w:pPr>
              <w:spacing w:line="240" w:lineRule="auto"/>
              <w:rPr>
                <w:b/>
                <w:bCs/>
                <w:color w:val="000000"/>
                <w:sz w:val="22"/>
              </w:rPr>
            </w:pPr>
            <w:r w:rsidRPr="00934F2C">
              <w:rPr>
                <w:sz w:val="22"/>
              </w:rPr>
              <w:t>MAIS 3</w:t>
            </w:r>
          </w:p>
        </w:tc>
        <w:tc>
          <w:tcPr>
            <w:tcW w:w="2468" w:type="dxa"/>
            <w:vAlign w:val="center"/>
          </w:tcPr>
          <w:p w14:paraId="0D90E831" w14:textId="77777777" w:rsidR="00403DCA" w:rsidRPr="00D428F2" w:rsidRDefault="000F5B51" w:rsidP="00403DCA">
            <w:pPr>
              <w:spacing w:line="240" w:lineRule="auto"/>
              <w:jc w:val="center"/>
              <w:rPr>
                <w:sz w:val="22"/>
              </w:rPr>
            </w:pPr>
            <w:r w:rsidRPr="00BE0A50">
              <w:rPr>
                <w:color w:val="000000"/>
                <w:sz w:val="22"/>
              </w:rPr>
              <w:t>0.0</w:t>
            </w:r>
            <w:r w:rsidR="00BD5A40" w:rsidRPr="00BE0A50">
              <w:rPr>
                <w:color w:val="000000"/>
                <w:sz w:val="22"/>
              </w:rPr>
              <w:t>5</w:t>
            </w:r>
          </w:p>
        </w:tc>
        <w:tc>
          <w:tcPr>
            <w:tcW w:w="2468" w:type="dxa"/>
            <w:vAlign w:val="center"/>
          </w:tcPr>
          <w:p w14:paraId="0B2851B5" w14:textId="77777777" w:rsidR="00403DCA" w:rsidRPr="001D0BC2" w:rsidRDefault="000F5B51" w:rsidP="00403DCA">
            <w:pPr>
              <w:spacing w:line="240" w:lineRule="auto"/>
              <w:jc w:val="center"/>
              <w:rPr>
                <w:sz w:val="22"/>
              </w:rPr>
            </w:pPr>
            <w:r w:rsidRPr="005F0E59">
              <w:rPr>
                <w:color w:val="000000"/>
                <w:sz w:val="22"/>
              </w:rPr>
              <w:t>0.1078</w:t>
            </w:r>
          </w:p>
        </w:tc>
        <w:tc>
          <w:tcPr>
            <w:tcW w:w="2468" w:type="dxa"/>
            <w:vAlign w:val="center"/>
          </w:tcPr>
          <w:p w14:paraId="24D33F2F" w14:textId="77777777" w:rsidR="00403DCA" w:rsidRPr="00D428F2" w:rsidRDefault="000F5B51" w:rsidP="00403DCA">
            <w:pPr>
              <w:spacing w:line="240" w:lineRule="auto"/>
              <w:jc w:val="center"/>
              <w:rPr>
                <w:sz w:val="22"/>
              </w:rPr>
            </w:pPr>
            <w:r w:rsidRPr="00BE0A50">
              <w:rPr>
                <w:color w:val="000000"/>
                <w:sz w:val="22"/>
              </w:rPr>
              <w:t>0.004</w:t>
            </w:r>
            <w:r w:rsidR="0075461D" w:rsidRPr="00BE0A50">
              <w:rPr>
                <w:color w:val="000000"/>
                <w:sz w:val="22"/>
              </w:rPr>
              <w:t>9</w:t>
            </w:r>
          </w:p>
        </w:tc>
      </w:tr>
      <w:tr w:rsidR="00A15C2C" w14:paraId="1028BBD9" w14:textId="77777777" w:rsidTr="00A807D0">
        <w:trPr>
          <w:trHeight w:val="248"/>
        </w:trPr>
        <w:tc>
          <w:tcPr>
            <w:tcW w:w="2468" w:type="dxa"/>
          </w:tcPr>
          <w:p w14:paraId="4148BFBB" w14:textId="77777777" w:rsidR="00403DCA" w:rsidRPr="00934F2C" w:rsidRDefault="000F5B51" w:rsidP="00403DCA">
            <w:pPr>
              <w:spacing w:line="240" w:lineRule="auto"/>
              <w:rPr>
                <w:b/>
                <w:bCs/>
                <w:sz w:val="22"/>
              </w:rPr>
            </w:pPr>
            <w:r w:rsidRPr="00934F2C">
              <w:rPr>
                <w:color w:val="000000"/>
                <w:sz w:val="22"/>
              </w:rPr>
              <w:t>MAIS 4</w:t>
            </w:r>
          </w:p>
        </w:tc>
        <w:tc>
          <w:tcPr>
            <w:tcW w:w="2468" w:type="dxa"/>
            <w:vAlign w:val="center"/>
          </w:tcPr>
          <w:p w14:paraId="1EF031EB" w14:textId="77777777" w:rsidR="00403DCA" w:rsidRPr="00D428F2" w:rsidRDefault="000F5B51" w:rsidP="00403DCA">
            <w:pPr>
              <w:spacing w:line="240" w:lineRule="auto"/>
              <w:jc w:val="center"/>
              <w:rPr>
                <w:sz w:val="22"/>
              </w:rPr>
            </w:pPr>
            <w:r w:rsidRPr="00BE0A50">
              <w:rPr>
                <w:color w:val="000000"/>
                <w:sz w:val="22"/>
              </w:rPr>
              <w:t>0.31</w:t>
            </w:r>
          </w:p>
        </w:tc>
        <w:tc>
          <w:tcPr>
            <w:tcW w:w="2468" w:type="dxa"/>
            <w:vAlign w:val="center"/>
          </w:tcPr>
          <w:p w14:paraId="7FB7B4B2" w14:textId="77777777" w:rsidR="00403DCA" w:rsidRPr="001D0BC2" w:rsidRDefault="000F5B51" w:rsidP="00403DCA">
            <w:pPr>
              <w:spacing w:line="240" w:lineRule="auto"/>
              <w:jc w:val="center"/>
              <w:rPr>
                <w:sz w:val="22"/>
              </w:rPr>
            </w:pPr>
            <w:r w:rsidRPr="005F0E59">
              <w:rPr>
                <w:color w:val="000000"/>
                <w:sz w:val="22"/>
              </w:rPr>
              <w:t>0.2677</w:t>
            </w:r>
          </w:p>
        </w:tc>
        <w:tc>
          <w:tcPr>
            <w:tcW w:w="2468" w:type="dxa"/>
            <w:vAlign w:val="center"/>
          </w:tcPr>
          <w:p w14:paraId="459C16EF" w14:textId="77777777" w:rsidR="00403DCA" w:rsidRPr="00D428F2" w:rsidRDefault="000F5B51" w:rsidP="00403DCA">
            <w:pPr>
              <w:spacing w:line="240" w:lineRule="auto"/>
              <w:jc w:val="center"/>
              <w:rPr>
                <w:sz w:val="22"/>
              </w:rPr>
            </w:pPr>
            <w:r w:rsidRPr="00BE0A50">
              <w:rPr>
                <w:color w:val="000000"/>
                <w:sz w:val="22"/>
              </w:rPr>
              <w:t>0.0833</w:t>
            </w:r>
          </w:p>
        </w:tc>
      </w:tr>
      <w:tr w:rsidR="00A15C2C" w14:paraId="62ABDA6F" w14:textId="77777777" w:rsidTr="00A807D0">
        <w:trPr>
          <w:trHeight w:val="233"/>
        </w:trPr>
        <w:tc>
          <w:tcPr>
            <w:tcW w:w="2468" w:type="dxa"/>
          </w:tcPr>
          <w:p w14:paraId="05BB3253" w14:textId="77777777" w:rsidR="00403DCA" w:rsidRPr="00934F2C" w:rsidRDefault="000F5B51" w:rsidP="00403DCA">
            <w:pPr>
              <w:spacing w:line="240" w:lineRule="auto"/>
              <w:rPr>
                <w:sz w:val="22"/>
              </w:rPr>
            </w:pPr>
            <w:r w:rsidRPr="00934F2C">
              <w:rPr>
                <w:sz w:val="22"/>
              </w:rPr>
              <w:t>MAIS 5</w:t>
            </w:r>
          </w:p>
        </w:tc>
        <w:tc>
          <w:tcPr>
            <w:tcW w:w="2468" w:type="dxa"/>
            <w:vAlign w:val="center"/>
          </w:tcPr>
          <w:p w14:paraId="7986605B" w14:textId="77777777" w:rsidR="00403DCA" w:rsidRPr="00D428F2" w:rsidRDefault="000F5B51" w:rsidP="00403DCA">
            <w:pPr>
              <w:spacing w:line="240" w:lineRule="auto"/>
              <w:jc w:val="center"/>
              <w:rPr>
                <w:sz w:val="22"/>
              </w:rPr>
            </w:pPr>
            <w:r w:rsidRPr="00BE0A50">
              <w:rPr>
                <w:color w:val="000000"/>
                <w:sz w:val="22"/>
              </w:rPr>
              <w:t>0.02</w:t>
            </w:r>
          </w:p>
        </w:tc>
        <w:tc>
          <w:tcPr>
            <w:tcW w:w="2468" w:type="dxa"/>
            <w:vAlign w:val="center"/>
          </w:tcPr>
          <w:p w14:paraId="332B8AD4" w14:textId="77777777" w:rsidR="00403DCA" w:rsidRPr="001D0BC2" w:rsidRDefault="000F5B51" w:rsidP="00403DCA">
            <w:pPr>
              <w:spacing w:line="240" w:lineRule="auto"/>
              <w:jc w:val="center"/>
              <w:rPr>
                <w:sz w:val="22"/>
              </w:rPr>
            </w:pPr>
            <w:r w:rsidRPr="005F0E59">
              <w:rPr>
                <w:color w:val="000000"/>
                <w:sz w:val="22"/>
              </w:rPr>
              <w:t>0.6125</w:t>
            </w:r>
          </w:p>
        </w:tc>
        <w:tc>
          <w:tcPr>
            <w:tcW w:w="2468" w:type="dxa"/>
            <w:vAlign w:val="center"/>
          </w:tcPr>
          <w:p w14:paraId="2879C5F4" w14:textId="77777777" w:rsidR="00403DCA" w:rsidRPr="00D428F2" w:rsidRDefault="000F5B51" w:rsidP="00403DCA">
            <w:pPr>
              <w:spacing w:line="240" w:lineRule="auto"/>
              <w:jc w:val="center"/>
              <w:rPr>
                <w:sz w:val="22"/>
              </w:rPr>
            </w:pPr>
            <w:r w:rsidRPr="00BE0A50">
              <w:rPr>
                <w:color w:val="000000"/>
                <w:sz w:val="22"/>
              </w:rPr>
              <w:t>0.0125</w:t>
            </w:r>
          </w:p>
        </w:tc>
      </w:tr>
      <w:tr w:rsidR="00A15C2C" w14:paraId="73B2D848" w14:textId="77777777" w:rsidTr="00A807D0">
        <w:trPr>
          <w:trHeight w:val="233"/>
        </w:trPr>
        <w:tc>
          <w:tcPr>
            <w:tcW w:w="2468" w:type="dxa"/>
          </w:tcPr>
          <w:p w14:paraId="75E7C863" w14:textId="77777777" w:rsidR="00403DCA" w:rsidRPr="00934F2C" w:rsidRDefault="000F5B51" w:rsidP="00403DCA">
            <w:pPr>
              <w:spacing w:line="240" w:lineRule="auto"/>
              <w:rPr>
                <w:b/>
                <w:bCs/>
                <w:color w:val="000000"/>
                <w:sz w:val="22"/>
              </w:rPr>
            </w:pPr>
            <w:r w:rsidRPr="00934F2C">
              <w:rPr>
                <w:color w:val="000000"/>
                <w:sz w:val="22"/>
              </w:rPr>
              <w:t>Fatalities</w:t>
            </w:r>
          </w:p>
        </w:tc>
        <w:tc>
          <w:tcPr>
            <w:tcW w:w="2468" w:type="dxa"/>
            <w:vAlign w:val="center"/>
          </w:tcPr>
          <w:p w14:paraId="57FF65AA" w14:textId="77777777" w:rsidR="00403DCA" w:rsidRPr="00D428F2" w:rsidRDefault="000F5B51" w:rsidP="00403DCA">
            <w:pPr>
              <w:spacing w:line="240" w:lineRule="auto"/>
              <w:jc w:val="center"/>
              <w:rPr>
                <w:sz w:val="22"/>
              </w:rPr>
            </w:pPr>
            <w:r w:rsidRPr="00BE0A50">
              <w:rPr>
                <w:color w:val="000000"/>
                <w:sz w:val="22"/>
              </w:rPr>
              <w:t>6.56</w:t>
            </w:r>
          </w:p>
        </w:tc>
        <w:tc>
          <w:tcPr>
            <w:tcW w:w="2468" w:type="dxa"/>
            <w:vAlign w:val="center"/>
          </w:tcPr>
          <w:p w14:paraId="7BEC1394" w14:textId="77777777" w:rsidR="00403DCA" w:rsidRPr="001D0BC2" w:rsidRDefault="000F5B51" w:rsidP="00403DCA">
            <w:pPr>
              <w:spacing w:line="240" w:lineRule="auto"/>
              <w:jc w:val="center"/>
              <w:rPr>
                <w:sz w:val="22"/>
              </w:rPr>
            </w:pPr>
            <w:r w:rsidRPr="005F0E59">
              <w:rPr>
                <w:color w:val="000000"/>
                <w:sz w:val="22"/>
              </w:rPr>
              <w:t>1</w:t>
            </w:r>
          </w:p>
        </w:tc>
        <w:tc>
          <w:tcPr>
            <w:tcW w:w="2468" w:type="dxa"/>
            <w:vAlign w:val="center"/>
          </w:tcPr>
          <w:p w14:paraId="2AB81964" w14:textId="77777777" w:rsidR="00403DCA" w:rsidRPr="00D428F2" w:rsidRDefault="000F5B51" w:rsidP="00403DCA">
            <w:pPr>
              <w:spacing w:line="240" w:lineRule="auto"/>
              <w:jc w:val="center"/>
              <w:rPr>
                <w:sz w:val="22"/>
              </w:rPr>
            </w:pPr>
            <w:r w:rsidRPr="00BE0A50">
              <w:rPr>
                <w:color w:val="000000"/>
                <w:sz w:val="22"/>
              </w:rPr>
              <w:t>6.56</w:t>
            </w:r>
            <w:r w:rsidR="009B7632" w:rsidRPr="00BE0A50">
              <w:rPr>
                <w:color w:val="000000"/>
                <w:sz w:val="22"/>
              </w:rPr>
              <w:t>40</w:t>
            </w:r>
          </w:p>
        </w:tc>
      </w:tr>
      <w:tr w:rsidR="00A15C2C" w14:paraId="62DC03DE" w14:textId="77777777" w:rsidTr="00A807D0">
        <w:trPr>
          <w:trHeight w:val="233"/>
        </w:trPr>
        <w:tc>
          <w:tcPr>
            <w:tcW w:w="2468" w:type="dxa"/>
          </w:tcPr>
          <w:p w14:paraId="2F2042E2" w14:textId="77777777" w:rsidR="00403DCA" w:rsidRPr="00934F2C" w:rsidRDefault="000F5B51" w:rsidP="00403DCA">
            <w:pPr>
              <w:spacing w:line="240" w:lineRule="auto"/>
              <w:rPr>
                <w:color w:val="000000"/>
                <w:sz w:val="22"/>
              </w:rPr>
            </w:pPr>
            <w:r w:rsidRPr="00934F2C">
              <w:rPr>
                <w:color w:val="000000"/>
                <w:sz w:val="22"/>
              </w:rPr>
              <w:t xml:space="preserve">Total </w:t>
            </w:r>
            <w:r w:rsidR="00A84146">
              <w:rPr>
                <w:color w:val="000000"/>
                <w:sz w:val="22"/>
              </w:rPr>
              <w:t>LTV</w:t>
            </w:r>
          </w:p>
        </w:tc>
        <w:tc>
          <w:tcPr>
            <w:tcW w:w="2468" w:type="dxa"/>
            <w:vAlign w:val="center"/>
          </w:tcPr>
          <w:p w14:paraId="03B2B458" w14:textId="77777777" w:rsidR="00403DCA" w:rsidRPr="00934F2C" w:rsidRDefault="000F5B51" w:rsidP="00403DCA">
            <w:pPr>
              <w:spacing w:line="240" w:lineRule="auto"/>
              <w:jc w:val="center"/>
              <w:rPr>
                <w:b/>
                <w:bCs/>
                <w:sz w:val="22"/>
              </w:rPr>
            </w:pPr>
            <w:r>
              <w:rPr>
                <w:b/>
                <w:bCs/>
                <w:color w:val="000000"/>
                <w:sz w:val="22"/>
              </w:rPr>
              <w:t> </w:t>
            </w:r>
          </w:p>
        </w:tc>
        <w:tc>
          <w:tcPr>
            <w:tcW w:w="2468" w:type="dxa"/>
            <w:vAlign w:val="center"/>
          </w:tcPr>
          <w:p w14:paraId="79BD3815" w14:textId="77777777" w:rsidR="00403DCA" w:rsidRPr="00934F2C" w:rsidRDefault="000F5B51" w:rsidP="00403DCA">
            <w:pPr>
              <w:spacing w:line="240" w:lineRule="auto"/>
              <w:jc w:val="center"/>
              <w:rPr>
                <w:b/>
                <w:bCs/>
                <w:color w:val="000000" w:themeColor="text1"/>
                <w:sz w:val="22"/>
              </w:rPr>
            </w:pPr>
            <w:r>
              <w:rPr>
                <w:b/>
                <w:bCs/>
                <w:color w:val="000000" w:themeColor="text1"/>
                <w:sz w:val="22"/>
              </w:rPr>
              <w:t> </w:t>
            </w:r>
          </w:p>
        </w:tc>
        <w:tc>
          <w:tcPr>
            <w:tcW w:w="2468" w:type="dxa"/>
            <w:vAlign w:val="center"/>
          </w:tcPr>
          <w:p w14:paraId="6B1D6C98" w14:textId="77777777" w:rsidR="00403DCA" w:rsidRPr="00934F2C" w:rsidRDefault="000F5B51" w:rsidP="00403DCA">
            <w:pPr>
              <w:spacing w:line="240" w:lineRule="auto"/>
              <w:jc w:val="center"/>
              <w:rPr>
                <w:b/>
                <w:bCs/>
                <w:sz w:val="22"/>
              </w:rPr>
            </w:pPr>
            <w:r w:rsidRPr="00BE0A50">
              <w:rPr>
                <w:b/>
                <w:bCs/>
                <w:color w:val="000000"/>
                <w:szCs w:val="24"/>
              </w:rPr>
              <w:t>6.968</w:t>
            </w:r>
            <w:r w:rsidR="009B7632" w:rsidRPr="00BE0A50">
              <w:rPr>
                <w:b/>
                <w:bCs/>
                <w:color w:val="000000"/>
                <w:szCs w:val="24"/>
              </w:rPr>
              <w:t>7</w:t>
            </w:r>
          </w:p>
        </w:tc>
      </w:tr>
      <w:tr w:rsidR="00A15C2C" w14:paraId="225753E3" w14:textId="77777777" w:rsidTr="00A807D0">
        <w:trPr>
          <w:trHeight w:val="233"/>
        </w:trPr>
        <w:tc>
          <w:tcPr>
            <w:tcW w:w="9872" w:type="dxa"/>
            <w:gridSpan w:val="4"/>
            <w:shd w:val="clear" w:color="auto" w:fill="D9D9D9" w:themeFill="background1" w:themeFillShade="D9"/>
          </w:tcPr>
          <w:p w14:paraId="2D8D5735" w14:textId="77777777" w:rsidR="00AE1BC4" w:rsidRPr="00934F2C" w:rsidRDefault="000F5B51" w:rsidP="00A807D0">
            <w:pPr>
              <w:spacing w:line="240" w:lineRule="auto"/>
              <w:jc w:val="center"/>
              <w:rPr>
                <w:b/>
                <w:bCs/>
                <w:i/>
                <w:iCs/>
                <w:sz w:val="22"/>
              </w:rPr>
            </w:pPr>
            <w:r>
              <w:rPr>
                <w:b/>
                <w:bCs/>
                <w:i/>
                <w:iCs/>
                <w:sz w:val="22"/>
              </w:rPr>
              <w:t>Total</w:t>
            </w:r>
          </w:p>
        </w:tc>
      </w:tr>
      <w:tr w:rsidR="00A15C2C" w14:paraId="1A7D96F6" w14:textId="77777777" w:rsidTr="00A807D0">
        <w:trPr>
          <w:trHeight w:val="248"/>
        </w:trPr>
        <w:tc>
          <w:tcPr>
            <w:tcW w:w="2468" w:type="dxa"/>
          </w:tcPr>
          <w:p w14:paraId="0B39F7D2" w14:textId="77777777" w:rsidR="00E873B6" w:rsidRPr="00934F2C" w:rsidRDefault="000F5B51" w:rsidP="00E873B6">
            <w:pPr>
              <w:spacing w:line="240" w:lineRule="auto"/>
              <w:rPr>
                <w:b/>
                <w:bCs/>
                <w:color w:val="000000"/>
                <w:sz w:val="22"/>
              </w:rPr>
            </w:pPr>
            <w:r w:rsidRPr="00934F2C">
              <w:rPr>
                <w:sz w:val="22"/>
              </w:rPr>
              <w:t>MAIS 1</w:t>
            </w:r>
          </w:p>
        </w:tc>
        <w:tc>
          <w:tcPr>
            <w:tcW w:w="2468" w:type="dxa"/>
            <w:vAlign w:val="center"/>
          </w:tcPr>
          <w:p w14:paraId="49E4EA49" w14:textId="77777777" w:rsidR="00E873B6" w:rsidRPr="00D428F2" w:rsidRDefault="000F5B51" w:rsidP="00E873B6">
            <w:pPr>
              <w:spacing w:line="240" w:lineRule="auto"/>
              <w:jc w:val="center"/>
              <w:rPr>
                <w:sz w:val="22"/>
              </w:rPr>
            </w:pPr>
            <w:r w:rsidRPr="00BE0A50">
              <w:rPr>
                <w:color w:val="000000"/>
                <w:sz w:val="22"/>
              </w:rPr>
              <w:t>3.66</w:t>
            </w:r>
          </w:p>
        </w:tc>
        <w:tc>
          <w:tcPr>
            <w:tcW w:w="2468" w:type="dxa"/>
            <w:vAlign w:val="center"/>
          </w:tcPr>
          <w:p w14:paraId="6DFCD8CB" w14:textId="77777777" w:rsidR="00E873B6" w:rsidRPr="001D0BC2" w:rsidRDefault="000F5B51" w:rsidP="00E873B6">
            <w:pPr>
              <w:spacing w:line="240" w:lineRule="auto"/>
              <w:jc w:val="center"/>
              <w:rPr>
                <w:b/>
                <w:bCs/>
                <w:sz w:val="22"/>
              </w:rPr>
            </w:pPr>
            <w:r w:rsidRPr="005F0E59">
              <w:rPr>
                <w:color w:val="000000"/>
                <w:sz w:val="22"/>
              </w:rPr>
              <w:t>0.0038</w:t>
            </w:r>
          </w:p>
        </w:tc>
        <w:tc>
          <w:tcPr>
            <w:tcW w:w="2468" w:type="dxa"/>
            <w:vAlign w:val="center"/>
          </w:tcPr>
          <w:p w14:paraId="1815E1A1" w14:textId="77777777" w:rsidR="00E873B6" w:rsidRPr="00DE446C" w:rsidRDefault="000F5B51" w:rsidP="00E873B6">
            <w:pPr>
              <w:spacing w:line="240" w:lineRule="auto"/>
              <w:jc w:val="center"/>
              <w:rPr>
                <w:sz w:val="22"/>
              </w:rPr>
            </w:pPr>
            <w:r w:rsidRPr="001D0BC2">
              <w:rPr>
                <w:color w:val="000000"/>
                <w:sz w:val="22"/>
              </w:rPr>
              <w:t>0.0137</w:t>
            </w:r>
          </w:p>
        </w:tc>
      </w:tr>
      <w:tr w:rsidR="00A15C2C" w14:paraId="78E7762F" w14:textId="77777777" w:rsidTr="00A807D0">
        <w:trPr>
          <w:trHeight w:val="233"/>
        </w:trPr>
        <w:tc>
          <w:tcPr>
            <w:tcW w:w="2468" w:type="dxa"/>
          </w:tcPr>
          <w:p w14:paraId="5F151B0E" w14:textId="77777777" w:rsidR="00E873B6" w:rsidRPr="00934F2C" w:rsidRDefault="000F5B51" w:rsidP="00E873B6">
            <w:pPr>
              <w:spacing w:line="240" w:lineRule="auto"/>
              <w:rPr>
                <w:b/>
                <w:bCs/>
                <w:sz w:val="22"/>
              </w:rPr>
            </w:pPr>
            <w:r w:rsidRPr="00934F2C">
              <w:rPr>
                <w:color w:val="000000"/>
                <w:sz w:val="22"/>
              </w:rPr>
              <w:t>MAIS 2</w:t>
            </w:r>
          </w:p>
        </w:tc>
        <w:tc>
          <w:tcPr>
            <w:tcW w:w="2468" w:type="dxa"/>
            <w:vAlign w:val="center"/>
          </w:tcPr>
          <w:p w14:paraId="47BBD10F" w14:textId="77777777" w:rsidR="00E873B6" w:rsidRPr="00D428F2" w:rsidRDefault="000F5B51" w:rsidP="00E873B6">
            <w:pPr>
              <w:spacing w:line="240" w:lineRule="auto"/>
              <w:jc w:val="center"/>
              <w:rPr>
                <w:sz w:val="22"/>
              </w:rPr>
            </w:pPr>
            <w:r w:rsidRPr="00BE0A50">
              <w:rPr>
                <w:color w:val="000000"/>
                <w:sz w:val="22"/>
              </w:rPr>
              <w:t>20.48</w:t>
            </w:r>
          </w:p>
        </w:tc>
        <w:tc>
          <w:tcPr>
            <w:tcW w:w="2468" w:type="dxa"/>
            <w:vAlign w:val="center"/>
          </w:tcPr>
          <w:p w14:paraId="0B5018A6" w14:textId="77777777" w:rsidR="00E873B6" w:rsidRPr="001D0BC2" w:rsidRDefault="000F5B51" w:rsidP="00E873B6">
            <w:pPr>
              <w:spacing w:line="240" w:lineRule="auto"/>
              <w:jc w:val="center"/>
              <w:rPr>
                <w:b/>
                <w:bCs/>
                <w:sz w:val="22"/>
              </w:rPr>
            </w:pPr>
            <w:r w:rsidRPr="005F0E59">
              <w:rPr>
                <w:color w:val="000000"/>
                <w:sz w:val="22"/>
              </w:rPr>
              <w:t>0.0454</w:t>
            </w:r>
          </w:p>
        </w:tc>
        <w:tc>
          <w:tcPr>
            <w:tcW w:w="2468" w:type="dxa"/>
            <w:vAlign w:val="center"/>
          </w:tcPr>
          <w:p w14:paraId="1ACE56DF" w14:textId="77777777" w:rsidR="00E873B6" w:rsidRPr="006E7185" w:rsidRDefault="000F5B51" w:rsidP="00E873B6">
            <w:pPr>
              <w:spacing w:line="240" w:lineRule="auto"/>
              <w:jc w:val="center"/>
              <w:rPr>
                <w:sz w:val="22"/>
              </w:rPr>
            </w:pPr>
            <w:r w:rsidRPr="001D0BC2">
              <w:rPr>
                <w:color w:val="000000"/>
                <w:sz w:val="22"/>
              </w:rPr>
              <w:t>0.929</w:t>
            </w:r>
            <w:r w:rsidR="009B7632" w:rsidRPr="00DE446C">
              <w:rPr>
                <w:color w:val="000000"/>
                <w:sz w:val="22"/>
              </w:rPr>
              <w:t>1</w:t>
            </w:r>
          </w:p>
        </w:tc>
      </w:tr>
      <w:tr w:rsidR="00A15C2C" w14:paraId="51BE55EA" w14:textId="77777777" w:rsidTr="00A807D0">
        <w:trPr>
          <w:trHeight w:val="248"/>
        </w:trPr>
        <w:tc>
          <w:tcPr>
            <w:tcW w:w="2468" w:type="dxa"/>
          </w:tcPr>
          <w:p w14:paraId="62ADECB9" w14:textId="77777777" w:rsidR="00E873B6" w:rsidRPr="00934F2C" w:rsidRDefault="000F5B51" w:rsidP="00E873B6">
            <w:pPr>
              <w:spacing w:line="240" w:lineRule="auto"/>
              <w:rPr>
                <w:b/>
                <w:bCs/>
                <w:color w:val="000000"/>
                <w:sz w:val="22"/>
              </w:rPr>
            </w:pPr>
            <w:r w:rsidRPr="00934F2C">
              <w:rPr>
                <w:sz w:val="22"/>
              </w:rPr>
              <w:t>MAIS 3</w:t>
            </w:r>
          </w:p>
        </w:tc>
        <w:tc>
          <w:tcPr>
            <w:tcW w:w="2468" w:type="dxa"/>
            <w:vAlign w:val="center"/>
          </w:tcPr>
          <w:p w14:paraId="455F5497" w14:textId="77777777" w:rsidR="00E873B6" w:rsidRPr="00D428F2" w:rsidRDefault="000F5B51" w:rsidP="00E873B6">
            <w:pPr>
              <w:spacing w:line="240" w:lineRule="auto"/>
              <w:jc w:val="center"/>
              <w:rPr>
                <w:sz w:val="22"/>
              </w:rPr>
            </w:pPr>
            <w:r w:rsidRPr="00BE0A50">
              <w:rPr>
                <w:color w:val="000000"/>
                <w:sz w:val="22"/>
              </w:rPr>
              <w:t>3.88</w:t>
            </w:r>
          </w:p>
        </w:tc>
        <w:tc>
          <w:tcPr>
            <w:tcW w:w="2468" w:type="dxa"/>
            <w:vAlign w:val="center"/>
          </w:tcPr>
          <w:p w14:paraId="753D0775" w14:textId="77777777" w:rsidR="00E873B6" w:rsidRPr="001D0BC2" w:rsidRDefault="000F5B51" w:rsidP="00E873B6">
            <w:pPr>
              <w:spacing w:line="240" w:lineRule="auto"/>
              <w:jc w:val="center"/>
              <w:rPr>
                <w:b/>
                <w:bCs/>
                <w:sz w:val="22"/>
              </w:rPr>
            </w:pPr>
            <w:r w:rsidRPr="005F0E59">
              <w:rPr>
                <w:color w:val="000000"/>
                <w:sz w:val="22"/>
              </w:rPr>
              <w:t>0.1078</w:t>
            </w:r>
          </w:p>
        </w:tc>
        <w:tc>
          <w:tcPr>
            <w:tcW w:w="2468" w:type="dxa"/>
            <w:vAlign w:val="center"/>
          </w:tcPr>
          <w:p w14:paraId="41541534" w14:textId="77777777" w:rsidR="00E873B6" w:rsidRPr="006E7185" w:rsidRDefault="000F5B51" w:rsidP="00E873B6">
            <w:pPr>
              <w:spacing w:line="240" w:lineRule="auto"/>
              <w:jc w:val="center"/>
              <w:rPr>
                <w:sz w:val="22"/>
              </w:rPr>
            </w:pPr>
            <w:r w:rsidRPr="001D0BC2">
              <w:rPr>
                <w:color w:val="000000"/>
                <w:sz w:val="22"/>
              </w:rPr>
              <w:t>0.418</w:t>
            </w:r>
            <w:r w:rsidR="009B7632" w:rsidRPr="00DE446C">
              <w:rPr>
                <w:color w:val="000000"/>
                <w:sz w:val="22"/>
              </w:rPr>
              <w:t>5</w:t>
            </w:r>
          </w:p>
        </w:tc>
      </w:tr>
      <w:tr w:rsidR="00A15C2C" w14:paraId="3C1A4AEB" w14:textId="77777777" w:rsidTr="00A807D0">
        <w:trPr>
          <w:trHeight w:val="233"/>
        </w:trPr>
        <w:tc>
          <w:tcPr>
            <w:tcW w:w="2468" w:type="dxa"/>
          </w:tcPr>
          <w:p w14:paraId="0DF2CCAD" w14:textId="77777777" w:rsidR="00E873B6" w:rsidRPr="00934F2C" w:rsidRDefault="000F5B51" w:rsidP="00E873B6">
            <w:pPr>
              <w:spacing w:line="240" w:lineRule="auto"/>
              <w:rPr>
                <w:b/>
                <w:bCs/>
                <w:sz w:val="22"/>
              </w:rPr>
            </w:pPr>
            <w:r w:rsidRPr="00934F2C">
              <w:rPr>
                <w:color w:val="000000"/>
                <w:sz w:val="22"/>
              </w:rPr>
              <w:t>MAIS 4</w:t>
            </w:r>
          </w:p>
        </w:tc>
        <w:tc>
          <w:tcPr>
            <w:tcW w:w="2468" w:type="dxa"/>
            <w:vAlign w:val="center"/>
          </w:tcPr>
          <w:p w14:paraId="36A2B415" w14:textId="77777777" w:rsidR="00E873B6" w:rsidRPr="00D428F2" w:rsidRDefault="000F5B51" w:rsidP="00E873B6">
            <w:pPr>
              <w:spacing w:line="240" w:lineRule="auto"/>
              <w:jc w:val="center"/>
              <w:rPr>
                <w:sz w:val="22"/>
              </w:rPr>
            </w:pPr>
            <w:r w:rsidRPr="00BE0A50">
              <w:rPr>
                <w:color w:val="000000"/>
                <w:sz w:val="22"/>
              </w:rPr>
              <w:t>3.08</w:t>
            </w:r>
          </w:p>
        </w:tc>
        <w:tc>
          <w:tcPr>
            <w:tcW w:w="2468" w:type="dxa"/>
            <w:vAlign w:val="center"/>
          </w:tcPr>
          <w:p w14:paraId="1AE35C0D" w14:textId="77777777" w:rsidR="00E873B6" w:rsidRPr="001D0BC2" w:rsidRDefault="000F5B51" w:rsidP="00E873B6">
            <w:pPr>
              <w:spacing w:line="240" w:lineRule="auto"/>
              <w:jc w:val="center"/>
              <w:rPr>
                <w:b/>
                <w:bCs/>
                <w:sz w:val="22"/>
              </w:rPr>
            </w:pPr>
            <w:r w:rsidRPr="005F0E59">
              <w:rPr>
                <w:color w:val="000000"/>
                <w:sz w:val="22"/>
              </w:rPr>
              <w:t>0.2677</w:t>
            </w:r>
          </w:p>
        </w:tc>
        <w:tc>
          <w:tcPr>
            <w:tcW w:w="2468" w:type="dxa"/>
            <w:vAlign w:val="center"/>
          </w:tcPr>
          <w:p w14:paraId="1F4F3112" w14:textId="77777777" w:rsidR="00E873B6" w:rsidRPr="00DE446C" w:rsidRDefault="000F5B51" w:rsidP="00E873B6">
            <w:pPr>
              <w:spacing w:line="240" w:lineRule="auto"/>
              <w:jc w:val="center"/>
              <w:rPr>
                <w:sz w:val="22"/>
              </w:rPr>
            </w:pPr>
            <w:r w:rsidRPr="001D0BC2">
              <w:rPr>
                <w:color w:val="000000"/>
                <w:sz w:val="22"/>
              </w:rPr>
              <w:t>0.8254</w:t>
            </w:r>
          </w:p>
        </w:tc>
      </w:tr>
      <w:tr w:rsidR="00A15C2C" w14:paraId="273C5EBC" w14:textId="77777777" w:rsidTr="00A807D0">
        <w:trPr>
          <w:trHeight w:val="248"/>
        </w:trPr>
        <w:tc>
          <w:tcPr>
            <w:tcW w:w="2468" w:type="dxa"/>
          </w:tcPr>
          <w:p w14:paraId="57B8E8DE" w14:textId="77777777" w:rsidR="00E873B6" w:rsidRPr="00934F2C" w:rsidRDefault="000F5B51" w:rsidP="00E873B6">
            <w:pPr>
              <w:spacing w:line="240" w:lineRule="auto"/>
              <w:rPr>
                <w:b/>
                <w:bCs/>
                <w:color w:val="000000"/>
                <w:sz w:val="22"/>
              </w:rPr>
            </w:pPr>
            <w:r w:rsidRPr="00934F2C">
              <w:rPr>
                <w:sz w:val="22"/>
              </w:rPr>
              <w:t>MAIS 5</w:t>
            </w:r>
          </w:p>
        </w:tc>
        <w:tc>
          <w:tcPr>
            <w:tcW w:w="2468" w:type="dxa"/>
            <w:vAlign w:val="center"/>
          </w:tcPr>
          <w:p w14:paraId="6BCA8222" w14:textId="77777777" w:rsidR="00E873B6" w:rsidRPr="00D428F2" w:rsidRDefault="000F5B51" w:rsidP="00E873B6">
            <w:pPr>
              <w:spacing w:line="240" w:lineRule="auto"/>
              <w:jc w:val="center"/>
              <w:rPr>
                <w:sz w:val="22"/>
              </w:rPr>
            </w:pPr>
            <w:r w:rsidRPr="00BE0A50">
              <w:rPr>
                <w:color w:val="000000"/>
                <w:sz w:val="22"/>
              </w:rPr>
              <w:t>0.08</w:t>
            </w:r>
            <w:r w:rsidR="00BD5A40" w:rsidRPr="00BE0A50">
              <w:rPr>
                <w:color w:val="000000"/>
                <w:sz w:val="22"/>
              </w:rPr>
              <w:t>6</w:t>
            </w:r>
          </w:p>
        </w:tc>
        <w:tc>
          <w:tcPr>
            <w:tcW w:w="2468" w:type="dxa"/>
            <w:vAlign w:val="center"/>
          </w:tcPr>
          <w:p w14:paraId="52EF4B5C" w14:textId="77777777" w:rsidR="00E873B6" w:rsidRPr="001D0BC2" w:rsidRDefault="000F5B51" w:rsidP="00E873B6">
            <w:pPr>
              <w:spacing w:line="240" w:lineRule="auto"/>
              <w:jc w:val="center"/>
              <w:rPr>
                <w:b/>
                <w:bCs/>
                <w:sz w:val="22"/>
              </w:rPr>
            </w:pPr>
            <w:r w:rsidRPr="005F0E59">
              <w:rPr>
                <w:color w:val="000000"/>
                <w:sz w:val="22"/>
              </w:rPr>
              <w:t>0.6125</w:t>
            </w:r>
          </w:p>
        </w:tc>
        <w:tc>
          <w:tcPr>
            <w:tcW w:w="2468" w:type="dxa"/>
            <w:vAlign w:val="center"/>
          </w:tcPr>
          <w:p w14:paraId="412AEFC0" w14:textId="77777777" w:rsidR="00E873B6" w:rsidRPr="006E7185" w:rsidRDefault="000F5B51" w:rsidP="00E873B6">
            <w:pPr>
              <w:spacing w:line="240" w:lineRule="auto"/>
              <w:jc w:val="center"/>
              <w:rPr>
                <w:sz w:val="22"/>
              </w:rPr>
            </w:pPr>
            <w:r w:rsidRPr="001D0BC2">
              <w:rPr>
                <w:color w:val="000000"/>
                <w:sz w:val="22"/>
              </w:rPr>
              <w:t>0.052</w:t>
            </w:r>
            <w:r w:rsidR="009B7632" w:rsidRPr="00DE446C">
              <w:rPr>
                <w:color w:val="000000"/>
                <w:sz w:val="22"/>
              </w:rPr>
              <w:t>7</w:t>
            </w:r>
          </w:p>
        </w:tc>
      </w:tr>
      <w:tr w:rsidR="00A15C2C" w14:paraId="5C3FACBD" w14:textId="77777777" w:rsidTr="00A807D0">
        <w:trPr>
          <w:trHeight w:val="233"/>
        </w:trPr>
        <w:tc>
          <w:tcPr>
            <w:tcW w:w="2468" w:type="dxa"/>
          </w:tcPr>
          <w:p w14:paraId="520B1ECC" w14:textId="77777777" w:rsidR="00E873B6" w:rsidRPr="00934F2C" w:rsidRDefault="000F5B51" w:rsidP="00E873B6">
            <w:pPr>
              <w:spacing w:line="240" w:lineRule="auto"/>
              <w:rPr>
                <w:b/>
                <w:bCs/>
                <w:sz w:val="22"/>
              </w:rPr>
            </w:pPr>
            <w:r w:rsidRPr="00934F2C">
              <w:rPr>
                <w:color w:val="000000"/>
                <w:sz w:val="22"/>
              </w:rPr>
              <w:t>Fatalities</w:t>
            </w:r>
          </w:p>
        </w:tc>
        <w:tc>
          <w:tcPr>
            <w:tcW w:w="2468" w:type="dxa"/>
            <w:vAlign w:val="center"/>
          </w:tcPr>
          <w:p w14:paraId="0FA96369" w14:textId="77777777" w:rsidR="00E873B6" w:rsidRPr="00D428F2" w:rsidRDefault="000F5B51" w:rsidP="00E873B6">
            <w:pPr>
              <w:spacing w:line="240" w:lineRule="auto"/>
              <w:jc w:val="center"/>
              <w:rPr>
                <w:sz w:val="22"/>
              </w:rPr>
            </w:pPr>
            <w:r w:rsidRPr="00BE0A50">
              <w:rPr>
                <w:color w:val="000000"/>
                <w:sz w:val="22"/>
              </w:rPr>
              <w:t>11.3</w:t>
            </w:r>
            <w:r w:rsidR="00BD5A40" w:rsidRPr="00BE0A50">
              <w:rPr>
                <w:color w:val="000000"/>
                <w:sz w:val="22"/>
              </w:rPr>
              <w:t>9</w:t>
            </w:r>
          </w:p>
        </w:tc>
        <w:tc>
          <w:tcPr>
            <w:tcW w:w="2468" w:type="dxa"/>
            <w:vAlign w:val="center"/>
          </w:tcPr>
          <w:p w14:paraId="70576AD0" w14:textId="77777777" w:rsidR="00E873B6" w:rsidRPr="001D0BC2" w:rsidRDefault="000F5B51" w:rsidP="00E873B6">
            <w:pPr>
              <w:spacing w:line="240" w:lineRule="auto"/>
              <w:jc w:val="center"/>
              <w:rPr>
                <w:b/>
                <w:bCs/>
                <w:sz w:val="22"/>
              </w:rPr>
            </w:pPr>
            <w:r w:rsidRPr="005F0E59">
              <w:rPr>
                <w:color w:val="000000"/>
                <w:sz w:val="22"/>
              </w:rPr>
              <w:t>1</w:t>
            </w:r>
          </w:p>
        </w:tc>
        <w:tc>
          <w:tcPr>
            <w:tcW w:w="2468" w:type="dxa"/>
            <w:vAlign w:val="center"/>
          </w:tcPr>
          <w:p w14:paraId="64A9AC30" w14:textId="77777777" w:rsidR="00E873B6" w:rsidRPr="00DE446C" w:rsidRDefault="000F5B51" w:rsidP="00E873B6">
            <w:pPr>
              <w:spacing w:line="240" w:lineRule="auto"/>
              <w:jc w:val="center"/>
              <w:rPr>
                <w:sz w:val="22"/>
              </w:rPr>
            </w:pPr>
            <w:r w:rsidRPr="001D0BC2">
              <w:rPr>
                <w:color w:val="000000"/>
                <w:sz w:val="22"/>
              </w:rPr>
              <w:t>11.3882</w:t>
            </w:r>
          </w:p>
        </w:tc>
      </w:tr>
      <w:tr w:rsidR="00A15C2C" w14:paraId="4C8102F4" w14:textId="77777777" w:rsidTr="00A807D0">
        <w:trPr>
          <w:trHeight w:val="233"/>
        </w:trPr>
        <w:tc>
          <w:tcPr>
            <w:tcW w:w="2468" w:type="dxa"/>
          </w:tcPr>
          <w:p w14:paraId="11D2BFCE" w14:textId="77777777" w:rsidR="00E873B6" w:rsidRPr="00934F2C" w:rsidRDefault="000F5B51" w:rsidP="00E873B6">
            <w:pPr>
              <w:spacing w:line="240" w:lineRule="auto"/>
              <w:rPr>
                <w:b/>
                <w:bCs/>
                <w:color w:val="000000"/>
              </w:rPr>
            </w:pPr>
            <w:r w:rsidRPr="00934F2C">
              <w:rPr>
                <w:b/>
                <w:bCs/>
                <w:color w:val="000000"/>
              </w:rPr>
              <w:t>Total</w:t>
            </w:r>
            <w:r>
              <w:rPr>
                <w:b/>
                <w:bCs/>
                <w:color w:val="000000"/>
              </w:rPr>
              <w:t xml:space="preserve"> </w:t>
            </w:r>
          </w:p>
        </w:tc>
        <w:tc>
          <w:tcPr>
            <w:tcW w:w="2468" w:type="dxa"/>
            <w:vAlign w:val="center"/>
          </w:tcPr>
          <w:p w14:paraId="5D14FFF3" w14:textId="77777777" w:rsidR="00E873B6" w:rsidRPr="00334AE5" w:rsidRDefault="000F5B51" w:rsidP="00E873B6">
            <w:pPr>
              <w:spacing w:line="240" w:lineRule="auto"/>
              <w:jc w:val="center"/>
              <w:rPr>
                <w:b/>
                <w:bCs/>
              </w:rPr>
            </w:pPr>
            <w:r>
              <w:rPr>
                <w:b/>
                <w:bCs/>
                <w:color w:val="000000"/>
              </w:rPr>
              <w:t> </w:t>
            </w:r>
          </w:p>
        </w:tc>
        <w:tc>
          <w:tcPr>
            <w:tcW w:w="2468" w:type="dxa"/>
            <w:vAlign w:val="center"/>
          </w:tcPr>
          <w:p w14:paraId="09ABFD60" w14:textId="77777777" w:rsidR="00E873B6" w:rsidRPr="00334AE5" w:rsidRDefault="000F5B51" w:rsidP="00E873B6">
            <w:pPr>
              <w:spacing w:line="240" w:lineRule="auto"/>
              <w:jc w:val="center"/>
              <w:rPr>
                <w:rFonts w:ascii="Calibri" w:hAnsi="Calibri" w:cs="Calibri"/>
                <w:b/>
                <w:bCs/>
                <w:color w:val="000000" w:themeColor="text1"/>
              </w:rPr>
            </w:pPr>
            <w:r>
              <w:rPr>
                <w:rFonts w:ascii="Calibri" w:hAnsi="Calibri" w:cs="Calibri"/>
                <w:b/>
                <w:bCs/>
                <w:color w:val="000000" w:themeColor="text1"/>
              </w:rPr>
              <w:t> </w:t>
            </w:r>
          </w:p>
        </w:tc>
        <w:tc>
          <w:tcPr>
            <w:tcW w:w="2468" w:type="dxa"/>
            <w:vAlign w:val="center"/>
          </w:tcPr>
          <w:p w14:paraId="2623F52A" w14:textId="77777777" w:rsidR="00E873B6" w:rsidRPr="00334AE5" w:rsidRDefault="000F5B51" w:rsidP="00E873B6">
            <w:pPr>
              <w:spacing w:line="240" w:lineRule="auto"/>
              <w:jc w:val="center"/>
              <w:rPr>
                <w:b/>
                <w:bCs/>
                <w:color w:val="000000"/>
              </w:rPr>
            </w:pPr>
            <w:r>
              <w:rPr>
                <w:b/>
                <w:bCs/>
                <w:color w:val="000000"/>
              </w:rPr>
              <w:t>13.627</w:t>
            </w:r>
            <w:r w:rsidR="009B7632">
              <w:rPr>
                <w:b/>
                <w:bCs/>
                <w:color w:val="000000"/>
              </w:rPr>
              <w:t>6</w:t>
            </w:r>
          </w:p>
        </w:tc>
      </w:tr>
    </w:tbl>
    <w:p w14:paraId="0C5B3B69" w14:textId="1CFAC313" w:rsidR="00AE1BC4" w:rsidRDefault="000F5B51" w:rsidP="00AE1BC4">
      <w:pPr>
        <w:spacing w:after="0"/>
        <w:contextualSpacing/>
        <w:rPr>
          <w:rFonts w:cs="Times New Roman"/>
          <w:sz w:val="18"/>
          <w:szCs w:val="18"/>
        </w:rPr>
      </w:pPr>
      <w:r w:rsidRPr="00934F2C">
        <w:rPr>
          <w:rFonts w:cs="Times New Roman"/>
          <w:sz w:val="18"/>
          <w:szCs w:val="18"/>
        </w:rPr>
        <w:t>Note</w:t>
      </w:r>
      <w:r w:rsidR="00496220">
        <w:rPr>
          <w:rFonts w:cs="Times New Roman"/>
          <w:sz w:val="18"/>
          <w:szCs w:val="18"/>
        </w:rPr>
        <w:t>: Values</w:t>
      </w:r>
      <w:r w:rsidRPr="00934F2C">
        <w:rPr>
          <w:rFonts w:cs="Times New Roman"/>
          <w:sz w:val="18"/>
          <w:szCs w:val="18"/>
        </w:rPr>
        <w:t xml:space="preserve"> may not sum due to rounding.</w:t>
      </w:r>
    </w:p>
    <w:p w14:paraId="2302ECC9" w14:textId="33B8BE44" w:rsidR="0058724E" w:rsidRPr="00CC65F7" w:rsidRDefault="000F5B51" w:rsidP="00AE1BC4">
      <w:pPr>
        <w:spacing w:after="0"/>
        <w:contextualSpacing/>
        <w:rPr>
          <w:rFonts w:cs="Times New Roman"/>
          <w:szCs w:val="24"/>
        </w:rPr>
      </w:pPr>
      <w:r>
        <w:rPr>
          <w:rFonts w:cs="Times New Roman"/>
          <w:szCs w:val="24"/>
        </w:rPr>
        <w:fldChar w:fldCharType="begin"/>
      </w:r>
      <w:r>
        <w:rPr>
          <w:rFonts w:cs="Times New Roman"/>
          <w:szCs w:val="24"/>
        </w:rPr>
        <w:instrText xml:space="preserve"> REF _Ref126835869 \h </w:instrText>
      </w:r>
      <w:r>
        <w:rPr>
          <w:rFonts w:cs="Times New Roman"/>
          <w:szCs w:val="24"/>
        </w:rPr>
      </w:r>
      <w:r>
        <w:rPr>
          <w:rFonts w:cs="Times New Roman"/>
          <w:szCs w:val="24"/>
        </w:rPr>
        <w:fldChar w:fldCharType="separate"/>
      </w:r>
      <w:r w:rsidR="00A65CB3">
        <w:t xml:space="preserve">Table </w:t>
      </w:r>
      <w:r w:rsidR="00A65CB3">
        <w:rPr>
          <w:noProof/>
        </w:rPr>
        <w:t>70</w:t>
      </w:r>
      <w:r>
        <w:rPr>
          <w:rFonts w:cs="Times New Roman"/>
          <w:szCs w:val="24"/>
        </w:rPr>
        <w:fldChar w:fldCharType="end"/>
      </w:r>
      <w:r w:rsidR="001E7FF4">
        <w:rPr>
          <w:rFonts w:cs="Times New Roman"/>
          <w:szCs w:val="24"/>
        </w:rPr>
        <w:t xml:space="preserve"> presents the total fatal equivalents for front seat occupants. As a result of the indefinite warning, a total of approximately 9</w:t>
      </w:r>
      <w:r w:rsidR="002D2524">
        <w:rPr>
          <w:rFonts w:cs="Times New Roman"/>
          <w:szCs w:val="24"/>
        </w:rPr>
        <w:t>2.34</w:t>
      </w:r>
      <w:r w:rsidR="001E7FF4">
        <w:rPr>
          <w:rFonts w:cs="Times New Roman"/>
          <w:szCs w:val="24"/>
        </w:rPr>
        <w:t xml:space="preserve"> equivalents </w:t>
      </w:r>
      <w:r w:rsidR="00EB59D7">
        <w:rPr>
          <w:rFonts w:cs="Times New Roman"/>
          <w:szCs w:val="24"/>
        </w:rPr>
        <w:t xml:space="preserve">fatalities </w:t>
      </w:r>
      <w:r w:rsidR="001E7FF4">
        <w:rPr>
          <w:rFonts w:cs="Times New Roman"/>
          <w:szCs w:val="24"/>
        </w:rPr>
        <w:t>would be prevented for front s</w:t>
      </w:r>
      <w:r w:rsidR="00197B6A">
        <w:rPr>
          <w:rFonts w:cs="Times New Roman"/>
          <w:szCs w:val="24"/>
        </w:rPr>
        <w:t>e</w:t>
      </w:r>
      <w:r w:rsidR="001E7FF4">
        <w:rPr>
          <w:rFonts w:cs="Times New Roman"/>
          <w:szCs w:val="24"/>
        </w:rPr>
        <w:t>at occupants</w:t>
      </w:r>
      <w:r w:rsidR="001F2F92">
        <w:rPr>
          <w:rFonts w:cs="Times New Roman"/>
          <w:szCs w:val="24"/>
        </w:rPr>
        <w:t xml:space="preserve">. </w:t>
      </w:r>
      <w:r w:rsidR="00197B6A">
        <w:rPr>
          <w:rFonts w:cs="Times New Roman"/>
          <w:szCs w:val="24"/>
        </w:rPr>
        <w:t xml:space="preserve">Of those </w:t>
      </w:r>
      <w:r w:rsidR="00EB59D7">
        <w:rPr>
          <w:rFonts w:cs="Times New Roman"/>
          <w:szCs w:val="24"/>
        </w:rPr>
        <w:t>ELS</w:t>
      </w:r>
      <w:r w:rsidR="00197B6A">
        <w:rPr>
          <w:rFonts w:cs="Times New Roman"/>
          <w:szCs w:val="24"/>
        </w:rPr>
        <w:t>, 7</w:t>
      </w:r>
      <w:r w:rsidR="003C4A96">
        <w:rPr>
          <w:rFonts w:cs="Times New Roman"/>
          <w:szCs w:val="24"/>
        </w:rPr>
        <w:t>8.72</w:t>
      </w:r>
      <w:r w:rsidR="00197B6A">
        <w:rPr>
          <w:rFonts w:cs="Times New Roman"/>
          <w:szCs w:val="24"/>
        </w:rPr>
        <w:t xml:space="preserve"> a</w:t>
      </w:r>
      <w:r w:rsidR="00FF10FA">
        <w:rPr>
          <w:rFonts w:cs="Times New Roman"/>
          <w:szCs w:val="24"/>
        </w:rPr>
        <w:t xml:space="preserve">re safety benefits </w:t>
      </w:r>
      <w:r w:rsidR="00C03755">
        <w:rPr>
          <w:rFonts w:cs="Times New Roman"/>
          <w:szCs w:val="24"/>
        </w:rPr>
        <w:t xml:space="preserve">are </w:t>
      </w:r>
      <w:r w:rsidR="00FF10FA">
        <w:rPr>
          <w:rFonts w:cs="Times New Roman"/>
          <w:szCs w:val="24"/>
        </w:rPr>
        <w:t>from</w:t>
      </w:r>
      <w:r w:rsidR="00C03755">
        <w:rPr>
          <w:rFonts w:cs="Times New Roman"/>
          <w:szCs w:val="24"/>
        </w:rPr>
        <w:t xml:space="preserve"> an increase in seat belt use for</w:t>
      </w:r>
      <w:r w:rsidR="00FF10FA">
        <w:rPr>
          <w:rFonts w:cs="Times New Roman"/>
          <w:szCs w:val="24"/>
        </w:rPr>
        <w:t xml:space="preserve"> drivers and 13.63 are from</w:t>
      </w:r>
      <w:r w:rsidR="00C03755">
        <w:rPr>
          <w:rFonts w:cs="Times New Roman"/>
          <w:szCs w:val="24"/>
        </w:rPr>
        <w:t xml:space="preserve"> an increase in seat belt use for</w:t>
      </w:r>
      <w:r w:rsidR="00FF10FA">
        <w:rPr>
          <w:rFonts w:cs="Times New Roman"/>
          <w:szCs w:val="24"/>
        </w:rPr>
        <w:t xml:space="preserve"> right front seat occupants.</w:t>
      </w:r>
    </w:p>
    <w:p w14:paraId="424292FE" w14:textId="592BBCD7" w:rsidR="00AE1BC4" w:rsidRDefault="000F5B51" w:rsidP="0036292F">
      <w:pPr>
        <w:pStyle w:val="Caption"/>
        <w:rPr>
          <w:rFonts w:cs="Times New Roman"/>
          <w:sz w:val="18"/>
        </w:rPr>
      </w:pPr>
      <w:bookmarkStart w:id="1343" w:name="_Ref126835869"/>
      <w:r>
        <w:t xml:space="preserve">Table </w:t>
      </w:r>
      <w:r w:rsidR="00115BAB">
        <w:fldChar w:fldCharType="begin"/>
      </w:r>
      <w:r>
        <w:instrText xml:space="preserve"> SEQ Table \* ARABIC </w:instrText>
      </w:r>
      <w:r w:rsidR="00115BAB">
        <w:fldChar w:fldCharType="separate"/>
      </w:r>
      <w:r w:rsidR="00A65CB3">
        <w:rPr>
          <w:noProof/>
        </w:rPr>
        <w:t>70</w:t>
      </w:r>
      <w:r w:rsidR="00115BAB">
        <w:rPr>
          <w:noProof/>
        </w:rPr>
        <w:fldChar w:fldCharType="end"/>
      </w:r>
      <w:bookmarkEnd w:id="1343"/>
      <w:r>
        <w:t>: Total Fatal Equivalents for Front Seat Occupants</w:t>
      </w:r>
    </w:p>
    <w:tbl>
      <w:tblPr>
        <w:tblStyle w:val="TableGrid"/>
        <w:tblW w:w="9872" w:type="dxa"/>
        <w:tblLook w:val="04A0" w:firstRow="1" w:lastRow="0" w:firstColumn="1" w:lastColumn="0" w:noHBand="0" w:noVBand="1"/>
      </w:tblPr>
      <w:tblGrid>
        <w:gridCol w:w="2468"/>
        <w:gridCol w:w="2468"/>
        <w:gridCol w:w="2468"/>
        <w:gridCol w:w="2468"/>
      </w:tblGrid>
      <w:tr w:rsidR="00A15C2C" w14:paraId="26E8D2F8" w14:textId="77777777" w:rsidTr="00CC65F7">
        <w:trPr>
          <w:trHeight w:val="337"/>
        </w:trPr>
        <w:tc>
          <w:tcPr>
            <w:tcW w:w="2468" w:type="dxa"/>
            <w:shd w:val="clear" w:color="auto" w:fill="BFBFBF" w:themeFill="background1" w:themeFillShade="BF"/>
            <w:vAlign w:val="center"/>
          </w:tcPr>
          <w:p w14:paraId="0F0DE80D" w14:textId="77777777" w:rsidR="00DB0F4B" w:rsidRPr="00A52D46" w:rsidRDefault="000F5B51">
            <w:pPr>
              <w:spacing w:line="240" w:lineRule="auto"/>
              <w:rPr>
                <w:b/>
                <w:bCs/>
              </w:rPr>
            </w:pPr>
            <w:r w:rsidRPr="00A52D46">
              <w:rPr>
                <w:b/>
                <w:bCs/>
              </w:rPr>
              <w:t>Category</w:t>
            </w:r>
          </w:p>
        </w:tc>
        <w:tc>
          <w:tcPr>
            <w:tcW w:w="2468" w:type="dxa"/>
            <w:shd w:val="clear" w:color="auto" w:fill="BFBFBF" w:themeFill="background1" w:themeFillShade="BF"/>
            <w:vAlign w:val="center"/>
          </w:tcPr>
          <w:p w14:paraId="238C0308" w14:textId="77777777" w:rsidR="00DB0F4B" w:rsidRPr="00A52D46" w:rsidRDefault="000F5B51">
            <w:pPr>
              <w:spacing w:line="240" w:lineRule="auto"/>
              <w:jc w:val="center"/>
              <w:rPr>
                <w:b/>
                <w:bCs/>
              </w:rPr>
            </w:pPr>
            <w:r>
              <w:rPr>
                <w:b/>
                <w:bCs/>
              </w:rPr>
              <w:t>Drivers</w:t>
            </w:r>
          </w:p>
        </w:tc>
        <w:tc>
          <w:tcPr>
            <w:tcW w:w="2468" w:type="dxa"/>
            <w:shd w:val="clear" w:color="auto" w:fill="BFBFBF" w:themeFill="background1" w:themeFillShade="BF"/>
            <w:vAlign w:val="center"/>
          </w:tcPr>
          <w:p w14:paraId="4D5D083F" w14:textId="77777777" w:rsidR="00DB0F4B" w:rsidRPr="00A52D46" w:rsidRDefault="000F5B51">
            <w:pPr>
              <w:spacing w:line="240" w:lineRule="auto"/>
              <w:jc w:val="center"/>
              <w:rPr>
                <w:b/>
                <w:bCs/>
              </w:rPr>
            </w:pPr>
            <w:r>
              <w:rPr>
                <w:b/>
                <w:bCs/>
              </w:rPr>
              <w:t>Right Front Seat Occupants</w:t>
            </w:r>
          </w:p>
        </w:tc>
        <w:tc>
          <w:tcPr>
            <w:tcW w:w="2468" w:type="dxa"/>
            <w:shd w:val="clear" w:color="auto" w:fill="BFBFBF" w:themeFill="background1" w:themeFillShade="BF"/>
            <w:vAlign w:val="center"/>
          </w:tcPr>
          <w:p w14:paraId="05123786" w14:textId="77777777" w:rsidR="00DB0F4B" w:rsidRPr="00A52D46" w:rsidRDefault="000F5B51">
            <w:pPr>
              <w:spacing w:line="240" w:lineRule="auto"/>
              <w:jc w:val="center"/>
              <w:rPr>
                <w:b/>
                <w:bCs/>
              </w:rPr>
            </w:pPr>
            <w:r>
              <w:rPr>
                <w:b/>
                <w:bCs/>
              </w:rPr>
              <w:t>Total</w:t>
            </w:r>
            <w:r w:rsidR="00A30417">
              <w:rPr>
                <w:b/>
                <w:bCs/>
              </w:rPr>
              <w:t xml:space="preserve"> </w:t>
            </w:r>
            <w:r w:rsidR="00A30417">
              <w:rPr>
                <w:b/>
                <w:bCs/>
                <w:sz w:val="22"/>
              </w:rPr>
              <w:t>Equivalent Lives Saved</w:t>
            </w:r>
          </w:p>
        </w:tc>
      </w:tr>
      <w:tr w:rsidR="00A15C2C" w14:paraId="4BA331C2" w14:textId="77777777" w:rsidTr="00CC65F7">
        <w:trPr>
          <w:trHeight w:val="233"/>
        </w:trPr>
        <w:tc>
          <w:tcPr>
            <w:tcW w:w="2468" w:type="dxa"/>
            <w:vAlign w:val="center"/>
          </w:tcPr>
          <w:p w14:paraId="4CF22BEA" w14:textId="77777777" w:rsidR="00DB0F4B" w:rsidRPr="00934F2C" w:rsidRDefault="000F5B51">
            <w:pPr>
              <w:spacing w:line="240" w:lineRule="auto"/>
              <w:rPr>
                <w:sz w:val="22"/>
              </w:rPr>
            </w:pPr>
            <w:r>
              <w:rPr>
                <w:sz w:val="22"/>
              </w:rPr>
              <w:t>Passenger Cars</w:t>
            </w:r>
          </w:p>
        </w:tc>
        <w:tc>
          <w:tcPr>
            <w:tcW w:w="2468" w:type="dxa"/>
            <w:vAlign w:val="center"/>
          </w:tcPr>
          <w:p w14:paraId="018B9637" w14:textId="301D858E" w:rsidR="00DB0F4B" w:rsidRPr="00CC65F7" w:rsidRDefault="003C4A96" w:rsidP="00DB0F4B">
            <w:pPr>
              <w:spacing w:line="240" w:lineRule="auto"/>
              <w:jc w:val="center"/>
              <w:rPr>
                <w:sz w:val="22"/>
              </w:rPr>
            </w:pPr>
            <w:r>
              <w:rPr>
                <w:color w:val="000000"/>
                <w:sz w:val="22"/>
              </w:rPr>
              <w:t>35.</w:t>
            </w:r>
            <w:r w:rsidR="00442865">
              <w:rPr>
                <w:color w:val="000000"/>
                <w:sz w:val="22"/>
              </w:rPr>
              <w:t>22</w:t>
            </w:r>
          </w:p>
        </w:tc>
        <w:tc>
          <w:tcPr>
            <w:tcW w:w="2468" w:type="dxa"/>
            <w:vAlign w:val="center"/>
          </w:tcPr>
          <w:p w14:paraId="630E662A" w14:textId="77777777" w:rsidR="00DB0F4B" w:rsidRPr="00CC65F7" w:rsidRDefault="000F5B51" w:rsidP="00DB0F4B">
            <w:pPr>
              <w:spacing w:line="240" w:lineRule="auto"/>
              <w:jc w:val="center"/>
              <w:rPr>
                <w:sz w:val="22"/>
              </w:rPr>
            </w:pPr>
            <w:r w:rsidRPr="00CC65F7">
              <w:rPr>
                <w:color w:val="000000"/>
                <w:sz w:val="22"/>
              </w:rPr>
              <w:t>6.6</w:t>
            </w:r>
            <w:r w:rsidR="006F0FF5" w:rsidRPr="00CC65F7">
              <w:rPr>
                <w:color w:val="000000"/>
                <w:sz w:val="22"/>
              </w:rPr>
              <w:t>6</w:t>
            </w:r>
          </w:p>
        </w:tc>
        <w:tc>
          <w:tcPr>
            <w:tcW w:w="2468" w:type="dxa"/>
            <w:vAlign w:val="center"/>
          </w:tcPr>
          <w:p w14:paraId="3A723D37" w14:textId="77995799" w:rsidR="00DB0F4B" w:rsidRPr="00CC65F7" w:rsidRDefault="00F212C8" w:rsidP="00DB0F4B">
            <w:pPr>
              <w:spacing w:line="240" w:lineRule="auto"/>
              <w:jc w:val="center"/>
              <w:rPr>
                <w:color w:val="000000"/>
                <w:sz w:val="22"/>
              </w:rPr>
            </w:pPr>
            <w:r>
              <w:rPr>
                <w:color w:val="000000"/>
                <w:sz w:val="22"/>
              </w:rPr>
              <w:t>41.</w:t>
            </w:r>
            <w:r w:rsidR="002D2524">
              <w:rPr>
                <w:color w:val="000000"/>
                <w:sz w:val="22"/>
              </w:rPr>
              <w:t>88</w:t>
            </w:r>
          </w:p>
        </w:tc>
      </w:tr>
      <w:tr w:rsidR="00A15C2C" w14:paraId="4F8AA739" w14:textId="77777777" w:rsidTr="00CC65F7">
        <w:trPr>
          <w:trHeight w:val="233"/>
        </w:trPr>
        <w:tc>
          <w:tcPr>
            <w:tcW w:w="2468" w:type="dxa"/>
            <w:vAlign w:val="center"/>
          </w:tcPr>
          <w:p w14:paraId="4EB8C3F4" w14:textId="77777777" w:rsidR="00DB0F4B" w:rsidRPr="00934F2C" w:rsidRDefault="000F5B51">
            <w:pPr>
              <w:spacing w:line="240" w:lineRule="auto"/>
              <w:rPr>
                <w:color w:val="000000"/>
                <w:sz w:val="22"/>
              </w:rPr>
            </w:pPr>
            <w:r>
              <w:rPr>
                <w:color w:val="000000"/>
                <w:sz w:val="22"/>
              </w:rPr>
              <w:t>LTVs</w:t>
            </w:r>
          </w:p>
        </w:tc>
        <w:tc>
          <w:tcPr>
            <w:tcW w:w="2468" w:type="dxa"/>
            <w:vAlign w:val="center"/>
          </w:tcPr>
          <w:p w14:paraId="214257BC" w14:textId="50C27F91" w:rsidR="00DB0F4B" w:rsidRPr="00CC65F7" w:rsidRDefault="00442865" w:rsidP="00DB0F4B">
            <w:pPr>
              <w:spacing w:line="240" w:lineRule="auto"/>
              <w:jc w:val="center"/>
              <w:rPr>
                <w:sz w:val="22"/>
              </w:rPr>
            </w:pPr>
            <w:r>
              <w:rPr>
                <w:sz w:val="22"/>
              </w:rPr>
              <w:t>43.50</w:t>
            </w:r>
          </w:p>
        </w:tc>
        <w:tc>
          <w:tcPr>
            <w:tcW w:w="2468" w:type="dxa"/>
            <w:vAlign w:val="center"/>
          </w:tcPr>
          <w:p w14:paraId="092C96F3" w14:textId="77777777" w:rsidR="00DB0F4B" w:rsidRPr="00CC65F7" w:rsidRDefault="000F5B51" w:rsidP="00DB0F4B">
            <w:pPr>
              <w:spacing w:line="240" w:lineRule="auto"/>
              <w:jc w:val="center"/>
              <w:rPr>
                <w:color w:val="000000" w:themeColor="text1"/>
                <w:sz w:val="22"/>
              </w:rPr>
            </w:pPr>
            <w:r w:rsidRPr="00CC65F7">
              <w:rPr>
                <w:color w:val="000000"/>
                <w:sz w:val="22"/>
              </w:rPr>
              <w:t>6.9</w:t>
            </w:r>
            <w:r w:rsidR="006F0FF5" w:rsidRPr="00CC65F7">
              <w:rPr>
                <w:color w:val="000000"/>
                <w:sz w:val="22"/>
              </w:rPr>
              <w:t>7</w:t>
            </w:r>
          </w:p>
        </w:tc>
        <w:tc>
          <w:tcPr>
            <w:tcW w:w="2468" w:type="dxa"/>
            <w:vAlign w:val="center"/>
          </w:tcPr>
          <w:p w14:paraId="0EA79EFA" w14:textId="5CB07723" w:rsidR="00DB0F4B" w:rsidRPr="00CC65F7" w:rsidRDefault="002D2524" w:rsidP="00DB0F4B">
            <w:pPr>
              <w:spacing w:line="240" w:lineRule="auto"/>
              <w:jc w:val="center"/>
              <w:rPr>
                <w:sz w:val="22"/>
              </w:rPr>
            </w:pPr>
            <w:r>
              <w:rPr>
                <w:sz w:val="22"/>
              </w:rPr>
              <w:t>50.47</w:t>
            </w:r>
          </w:p>
        </w:tc>
      </w:tr>
      <w:tr w:rsidR="00A15C2C" w14:paraId="2C7F54BD" w14:textId="77777777" w:rsidTr="00CC65F7">
        <w:trPr>
          <w:trHeight w:val="233"/>
        </w:trPr>
        <w:tc>
          <w:tcPr>
            <w:tcW w:w="2468" w:type="dxa"/>
            <w:vAlign w:val="center"/>
          </w:tcPr>
          <w:p w14:paraId="153E1DB6" w14:textId="77777777" w:rsidR="00AC38DE" w:rsidRPr="00CC65F7" w:rsidRDefault="000F5B51">
            <w:pPr>
              <w:spacing w:line="240" w:lineRule="auto"/>
              <w:rPr>
                <w:b/>
                <w:bCs/>
                <w:color w:val="000000"/>
                <w:sz w:val="22"/>
              </w:rPr>
            </w:pPr>
            <w:r w:rsidRPr="00CC65F7">
              <w:rPr>
                <w:b/>
                <w:bCs/>
                <w:color w:val="000000"/>
                <w:sz w:val="22"/>
              </w:rPr>
              <w:t xml:space="preserve">Total </w:t>
            </w:r>
          </w:p>
        </w:tc>
        <w:tc>
          <w:tcPr>
            <w:tcW w:w="2468" w:type="dxa"/>
            <w:vAlign w:val="center"/>
          </w:tcPr>
          <w:p w14:paraId="0B068718" w14:textId="78D76695" w:rsidR="00AC38DE" w:rsidRPr="008C4A9C" w:rsidRDefault="003C4A96" w:rsidP="00DB0F4B">
            <w:pPr>
              <w:spacing w:line="240" w:lineRule="auto"/>
              <w:jc w:val="center"/>
              <w:rPr>
                <w:b/>
                <w:bCs/>
                <w:sz w:val="22"/>
              </w:rPr>
            </w:pPr>
            <w:r>
              <w:rPr>
                <w:b/>
                <w:bCs/>
                <w:sz w:val="22"/>
              </w:rPr>
              <w:t>78.72</w:t>
            </w:r>
          </w:p>
        </w:tc>
        <w:tc>
          <w:tcPr>
            <w:tcW w:w="2468" w:type="dxa"/>
            <w:vAlign w:val="center"/>
          </w:tcPr>
          <w:p w14:paraId="14794B22" w14:textId="77777777" w:rsidR="00AC38DE" w:rsidRDefault="000F5B51" w:rsidP="00DB0F4B">
            <w:pPr>
              <w:spacing w:line="240" w:lineRule="auto"/>
              <w:jc w:val="center"/>
              <w:rPr>
                <w:b/>
                <w:bCs/>
                <w:color w:val="000000"/>
                <w:sz w:val="22"/>
              </w:rPr>
            </w:pPr>
            <w:r>
              <w:rPr>
                <w:b/>
                <w:bCs/>
                <w:color w:val="000000"/>
                <w:sz w:val="22"/>
              </w:rPr>
              <w:t>13.63</w:t>
            </w:r>
          </w:p>
        </w:tc>
        <w:tc>
          <w:tcPr>
            <w:tcW w:w="2468" w:type="dxa"/>
            <w:vAlign w:val="center"/>
          </w:tcPr>
          <w:p w14:paraId="0C441FA9" w14:textId="7A875F68" w:rsidR="00AC38DE" w:rsidRPr="00934F2C" w:rsidRDefault="002D2524" w:rsidP="00DB0F4B">
            <w:pPr>
              <w:spacing w:line="240" w:lineRule="auto"/>
              <w:jc w:val="center"/>
              <w:rPr>
                <w:b/>
                <w:bCs/>
                <w:sz w:val="22"/>
              </w:rPr>
            </w:pPr>
            <w:r>
              <w:rPr>
                <w:b/>
                <w:bCs/>
                <w:sz w:val="22"/>
              </w:rPr>
              <w:t>92.34</w:t>
            </w:r>
          </w:p>
        </w:tc>
      </w:tr>
    </w:tbl>
    <w:p w14:paraId="2BE28EEF" w14:textId="77777777" w:rsidR="00BD7B21" w:rsidRPr="00CC65F7" w:rsidRDefault="000F5B51" w:rsidP="007C33A7">
      <w:pPr>
        <w:spacing w:after="0"/>
        <w:contextualSpacing/>
        <w:rPr>
          <w:rFonts w:cs="Times New Roman"/>
          <w:sz w:val="18"/>
          <w:szCs w:val="18"/>
        </w:rPr>
      </w:pPr>
      <w:r>
        <w:rPr>
          <w:rFonts w:cs="Times New Roman"/>
          <w:sz w:val="18"/>
          <w:szCs w:val="18"/>
        </w:rPr>
        <w:t>Note: Values may not sum due to rounding.</w:t>
      </w:r>
    </w:p>
    <w:p w14:paraId="2D922A1C" w14:textId="77777777" w:rsidR="00BC30FA" w:rsidRDefault="000F5B51" w:rsidP="00BC30FA">
      <w:pPr>
        <w:spacing w:after="0"/>
        <w:textAlignment w:val="baseline"/>
      </w:pPr>
      <w:r w:rsidRPr="005057C1">
        <w:t xml:space="preserve">A cost-effectiveness analysis must take into account the timing </w:t>
      </w:r>
      <w:r>
        <w:t>in which</w:t>
      </w:r>
      <w:r w:rsidRPr="005057C1">
        <w:t xml:space="preserve"> benefits and costs </w:t>
      </w:r>
      <w:r>
        <w:t>are</w:t>
      </w:r>
      <w:r w:rsidRPr="005057C1">
        <w:t xml:space="preserve"> realized</w:t>
      </w:r>
      <w:r w:rsidR="001F2F92">
        <w:t xml:space="preserve">. </w:t>
      </w:r>
      <w:r w:rsidRPr="005057C1">
        <w:t xml:space="preserve">Therefore, this analysis considers the benefits and costs associated with the </w:t>
      </w:r>
      <w:r w:rsidRPr="005057C1">
        <w:lastRenderedPageBreak/>
        <w:t xml:space="preserve">requirements specified in the proposed rule over the lifetime of one </w:t>
      </w:r>
      <w:r>
        <w:t>MY</w:t>
      </w:r>
      <w:r w:rsidRPr="005057C1">
        <w:t>’s production</w:t>
      </w:r>
      <w:r w:rsidR="001F2F92">
        <w:t xml:space="preserve">. </w:t>
      </w:r>
      <w:r w:rsidRPr="005057C1">
        <w:t xml:space="preserve">The costs associated with the proposed rule are incurred in the year </w:t>
      </w:r>
      <w:r>
        <w:t xml:space="preserve">in which </w:t>
      </w:r>
      <w:r w:rsidRPr="005057C1">
        <w:t>the vehicle is manufactured and, therefore, do not require discounting</w:t>
      </w:r>
      <w:r w:rsidR="001F2F92">
        <w:t xml:space="preserve">. </w:t>
      </w:r>
      <w:r w:rsidRPr="005057C1">
        <w:t>On the other hand, the benefits associated with the proposed rule occur over the course of a vehicle’s lifetime</w:t>
      </w:r>
      <w:r w:rsidR="001F2F92">
        <w:t xml:space="preserve">. </w:t>
      </w:r>
      <w:r w:rsidRPr="005057C1">
        <w:t xml:space="preserve">Therefore, </w:t>
      </w:r>
      <w:r>
        <w:t xml:space="preserve">the </w:t>
      </w:r>
      <w:r w:rsidR="00782C51">
        <w:t>ESL</w:t>
      </w:r>
      <w:r>
        <w:t xml:space="preserve"> by the proposed rule</w:t>
      </w:r>
      <w:r w:rsidRPr="005057C1">
        <w:t xml:space="preserve"> are discounted to reflect their present value. </w:t>
      </w:r>
    </w:p>
    <w:p w14:paraId="5B66525B" w14:textId="203FB1AC" w:rsidR="00F65507" w:rsidRDefault="000F5B51" w:rsidP="00B3217B">
      <w:r>
        <w:rPr>
          <w:rFonts w:eastAsia="Times New Roman" w:cs="Times New Roman"/>
          <w:szCs w:val="24"/>
        </w:rPr>
        <w:fldChar w:fldCharType="begin"/>
      </w:r>
      <w:r>
        <w:rPr>
          <w:rFonts w:eastAsia="Times New Roman" w:cs="Times New Roman"/>
          <w:szCs w:val="24"/>
        </w:rPr>
        <w:instrText xml:space="preserve"> REF _Ref118366683 \h </w:instrText>
      </w:r>
      <w:r>
        <w:rPr>
          <w:rFonts w:eastAsia="Times New Roman" w:cs="Times New Roman"/>
          <w:szCs w:val="24"/>
        </w:rPr>
      </w:r>
      <w:r>
        <w:rPr>
          <w:rFonts w:eastAsia="Times New Roman" w:cs="Times New Roman"/>
          <w:szCs w:val="24"/>
        </w:rPr>
        <w:fldChar w:fldCharType="separate"/>
      </w:r>
      <w:r w:rsidR="00A65CB3">
        <w:t xml:space="preserve">Table </w:t>
      </w:r>
      <w:r w:rsidR="00A65CB3">
        <w:rPr>
          <w:noProof/>
        </w:rPr>
        <w:t>71</w:t>
      </w:r>
      <w:r>
        <w:rPr>
          <w:rFonts w:eastAsia="Times New Roman" w:cs="Times New Roman"/>
          <w:szCs w:val="24"/>
        </w:rPr>
        <w:fldChar w:fldCharType="end"/>
      </w:r>
      <w:r>
        <w:rPr>
          <w:rFonts w:eastAsia="Times New Roman" w:cs="Times New Roman"/>
          <w:szCs w:val="24"/>
        </w:rPr>
        <w:t xml:space="preserve"> </w:t>
      </w:r>
      <w:r w:rsidR="00632E91" w:rsidRPr="005F0E59">
        <w:t xml:space="preserve">presents the </w:t>
      </w:r>
      <w:r w:rsidR="00EA2588" w:rsidRPr="001D0BC2">
        <w:t>ELS</w:t>
      </w:r>
      <w:r w:rsidR="00632E91" w:rsidRPr="001D0BC2">
        <w:t xml:space="preserve"> discounted at three and seven pe</w:t>
      </w:r>
      <w:r w:rsidR="00632E91" w:rsidRPr="00DE446C">
        <w:t xml:space="preserve">rcent. </w:t>
      </w:r>
      <w:r w:rsidR="00EA2588" w:rsidRPr="006E7185">
        <w:rPr>
          <w:rFonts w:eastAsia="Times New Roman" w:cs="Times New Roman"/>
          <w:szCs w:val="24"/>
        </w:rPr>
        <w:t>ELS</w:t>
      </w:r>
      <w:r w:rsidR="00EA2588" w:rsidRPr="006E7185">
        <w:t xml:space="preserve"> </w:t>
      </w:r>
      <w:r w:rsidR="00632E91" w:rsidRPr="00F559C5">
        <w:t xml:space="preserve">for each category were discounted using the discount factors presented in </w:t>
      </w:r>
      <w:r w:rsidR="00632E91" w:rsidRPr="001D0BC2">
        <w:fldChar w:fldCharType="begin"/>
      </w:r>
      <w:r w:rsidR="00632E91" w:rsidRPr="00BE0A50">
        <w:instrText xml:space="preserve"> REF _Ref126230753 \h </w:instrText>
      </w:r>
      <w:r w:rsidR="002A252E" w:rsidRPr="00BE0A50">
        <w:instrText xml:space="preserve"> \* MERGEFORMAT </w:instrText>
      </w:r>
      <w:r w:rsidR="00632E91" w:rsidRPr="001D0BC2">
        <w:fldChar w:fldCharType="separate"/>
      </w:r>
      <w:r w:rsidR="00A65CB3">
        <w:t xml:space="preserve">Table </w:t>
      </w:r>
      <w:r w:rsidR="00A65CB3">
        <w:rPr>
          <w:noProof/>
        </w:rPr>
        <w:t>66</w:t>
      </w:r>
      <w:r w:rsidR="00632E91" w:rsidRPr="001D0BC2">
        <w:fldChar w:fldCharType="end"/>
      </w:r>
      <w:r w:rsidR="00632E91" w:rsidRPr="005F0E59">
        <w:t>.</w:t>
      </w:r>
      <w:r w:rsidR="00807EDC" w:rsidRPr="001D0BC2">
        <w:t xml:space="preserve"> When discounted</w:t>
      </w:r>
      <w:r w:rsidR="00807EDC" w:rsidRPr="00DE446C">
        <w:t xml:space="preserve"> at three percent, </w:t>
      </w:r>
      <w:r w:rsidR="002C76E0" w:rsidRPr="006E7185">
        <w:t xml:space="preserve">the proposed rule </w:t>
      </w:r>
      <w:r w:rsidR="005561D6" w:rsidRPr="006E7185">
        <w:t>would result in</w:t>
      </w:r>
      <w:r w:rsidR="002C76E0" w:rsidRPr="00F559C5">
        <w:t xml:space="preserve"> </w:t>
      </w:r>
      <w:r w:rsidR="007B6B15" w:rsidRPr="00F559C5">
        <w:t>9</w:t>
      </w:r>
      <w:r w:rsidR="00ED14A6" w:rsidRPr="00BE0A50">
        <w:t>8.3</w:t>
      </w:r>
      <w:r w:rsidR="007B6B15" w:rsidRPr="00ED14A6">
        <w:t xml:space="preserve"> </w:t>
      </w:r>
      <w:r w:rsidR="005561D6" w:rsidRPr="00ED14A6">
        <w:t>and</w:t>
      </w:r>
      <w:r w:rsidR="007B6B15" w:rsidRPr="00ED14A6">
        <w:t xml:space="preserve"> 10</w:t>
      </w:r>
      <w:r w:rsidR="00ED14A6" w:rsidRPr="00BE0A50">
        <w:t>9.4</w:t>
      </w:r>
      <w:r w:rsidRPr="005F0E59">
        <w:t xml:space="preserve"> </w:t>
      </w:r>
      <w:r w:rsidR="005561D6" w:rsidRPr="001D0BC2">
        <w:t>ELS,</w:t>
      </w:r>
      <w:r w:rsidR="00514BB9" w:rsidRPr="001D0BC2">
        <w:t xml:space="preserve"> </w:t>
      </w:r>
      <w:r w:rsidR="00D25C68" w:rsidRPr="00DE446C">
        <w:t>annually</w:t>
      </w:r>
      <w:r w:rsidR="001F2F92" w:rsidRPr="006E7185">
        <w:t xml:space="preserve">. </w:t>
      </w:r>
      <w:r w:rsidR="009667E1" w:rsidRPr="006E7185">
        <w:t xml:space="preserve">When discounted at seven percent, </w:t>
      </w:r>
      <w:r w:rsidR="002C76E0" w:rsidRPr="00F559C5">
        <w:t>the proposed rule w</w:t>
      </w:r>
      <w:r w:rsidR="00FC7514" w:rsidRPr="00F559C5">
        <w:t>ould result in</w:t>
      </w:r>
      <w:r w:rsidR="002C76E0" w:rsidRPr="00F559C5">
        <w:t xml:space="preserve"> </w:t>
      </w:r>
      <w:r w:rsidR="00DD10F8" w:rsidRPr="0008636C">
        <w:t>7</w:t>
      </w:r>
      <w:r w:rsidR="00ED14A6" w:rsidRPr="00BE0A50">
        <w:t>9.7</w:t>
      </w:r>
      <w:r w:rsidR="00FC7514" w:rsidRPr="00905D24">
        <w:t xml:space="preserve"> and</w:t>
      </w:r>
      <w:r w:rsidR="00DD10F8" w:rsidRPr="00905D24">
        <w:t xml:space="preserve"> </w:t>
      </w:r>
      <w:r w:rsidR="00E33963">
        <w:t>88.7</w:t>
      </w:r>
      <w:r w:rsidR="00DD10F8" w:rsidRPr="00905D24">
        <w:t xml:space="preserve"> </w:t>
      </w:r>
      <w:r w:rsidR="00FC7514" w:rsidRPr="00905D24">
        <w:t>ELS</w:t>
      </w:r>
      <w:r w:rsidR="005561D6" w:rsidRPr="00905D24">
        <w:t>,</w:t>
      </w:r>
      <w:r w:rsidR="00514BB9" w:rsidRPr="00905D24">
        <w:t xml:space="preserve"> </w:t>
      </w:r>
      <w:r w:rsidR="009667E1" w:rsidRPr="00905D24">
        <w:t>annually.</w:t>
      </w:r>
      <w:r w:rsidR="005561D6" w:rsidRPr="00905D24">
        <w:t xml:space="preserve"> </w:t>
      </w:r>
      <w:r w:rsidRPr="00905D24">
        <w:t>T</w:t>
      </w:r>
      <w:r w:rsidR="002E4A39" w:rsidRPr="00905D24">
        <w:t>aking into account the Lo and Hi increase in seat belt use, t</w:t>
      </w:r>
      <w:r w:rsidRPr="00905D24">
        <w:t xml:space="preserve">he </w:t>
      </w:r>
      <w:r w:rsidR="00D25C68" w:rsidRPr="00905D24">
        <w:t>requirements specified for SBWS for rear seat occupants w</w:t>
      </w:r>
      <w:r w:rsidR="00FC7514" w:rsidRPr="00905D24">
        <w:t>ould result in</w:t>
      </w:r>
      <w:r w:rsidR="00D25C68" w:rsidRPr="00905D24">
        <w:t xml:space="preserve"> 21.9 </w:t>
      </w:r>
      <w:r w:rsidR="005561D6" w:rsidRPr="00905D24">
        <w:t>and</w:t>
      </w:r>
      <w:r w:rsidR="00D25C68" w:rsidRPr="00905D24">
        <w:t xml:space="preserve"> 32.9</w:t>
      </w:r>
      <w:r w:rsidR="00FC7514" w:rsidRPr="00905D24">
        <w:t xml:space="preserve"> ELS</w:t>
      </w:r>
      <w:r w:rsidR="00D25C68" w:rsidRPr="00905D24">
        <w:t xml:space="preserve"> when discounted at three percent and 17.7 </w:t>
      </w:r>
      <w:r w:rsidR="005561D6" w:rsidRPr="00905D24">
        <w:t xml:space="preserve">and </w:t>
      </w:r>
      <w:r w:rsidR="00D25C68" w:rsidRPr="00905D24">
        <w:t xml:space="preserve">26.7 </w:t>
      </w:r>
      <w:r w:rsidR="005561D6" w:rsidRPr="00905D24">
        <w:t xml:space="preserve">ELS </w:t>
      </w:r>
      <w:r w:rsidR="00D25C68" w:rsidRPr="00905D24">
        <w:t xml:space="preserve">when discounted at seven percent. </w:t>
      </w:r>
      <w:r w:rsidR="00F74629" w:rsidRPr="00905D24">
        <w:t>When discounted at three and seven percent, t</w:t>
      </w:r>
      <w:r w:rsidR="00D25C68" w:rsidRPr="00905D24">
        <w:t>he requirements specified for the indefinite warning for front seat occupants w</w:t>
      </w:r>
      <w:r w:rsidR="00FC7514" w:rsidRPr="00905D24">
        <w:t xml:space="preserve">ould result in </w:t>
      </w:r>
      <w:r w:rsidR="00F74629" w:rsidRPr="00905D24">
        <w:t>7</w:t>
      </w:r>
      <w:r w:rsidR="00905D24" w:rsidRPr="00BE0A50">
        <w:t>6.4</w:t>
      </w:r>
      <w:r w:rsidR="00F74629" w:rsidRPr="00905D24">
        <w:t xml:space="preserve"> and 6</w:t>
      </w:r>
      <w:r w:rsidR="00905D24" w:rsidRPr="00BE0A50">
        <w:t>2.0</w:t>
      </w:r>
      <w:r w:rsidR="00F74629" w:rsidRPr="00905D24">
        <w:t xml:space="preserve"> </w:t>
      </w:r>
      <w:r w:rsidR="00FC7514" w:rsidRPr="00905D24">
        <w:t>ELS</w:t>
      </w:r>
      <w:r w:rsidR="00F74629" w:rsidRPr="00905D24">
        <w:t>,</w:t>
      </w:r>
      <w:r w:rsidR="00F74629">
        <w:t xml:space="preserve"> respectively.</w:t>
      </w:r>
      <w:r w:rsidR="000E6CCE">
        <w:t xml:space="preserve"> See</w:t>
      </w:r>
      <w:r w:rsidR="000E6CCE">
        <w:rPr>
          <w:rFonts w:eastAsia="Times New Roman" w:cs="Times New Roman"/>
          <w:szCs w:val="24"/>
        </w:rPr>
        <w:t xml:space="preserve"> </w:t>
      </w:r>
      <w:r w:rsidR="00E91D17">
        <w:rPr>
          <w:rFonts w:eastAsia="Times New Roman" w:cs="Times New Roman"/>
          <w:szCs w:val="24"/>
        </w:rPr>
        <w:fldChar w:fldCharType="begin"/>
      </w:r>
      <w:r w:rsidR="00E91D17">
        <w:rPr>
          <w:rFonts w:eastAsia="Times New Roman" w:cs="Times New Roman"/>
          <w:szCs w:val="24"/>
        </w:rPr>
        <w:instrText xml:space="preserve"> REF _Ref130387495 \h </w:instrText>
      </w:r>
      <w:r w:rsidR="00E91D17">
        <w:rPr>
          <w:rFonts w:eastAsia="Times New Roman" w:cs="Times New Roman"/>
          <w:szCs w:val="24"/>
        </w:rPr>
      </w:r>
      <w:r w:rsidR="00E91D17">
        <w:rPr>
          <w:rFonts w:eastAsia="Times New Roman" w:cs="Times New Roman"/>
          <w:szCs w:val="24"/>
        </w:rPr>
        <w:fldChar w:fldCharType="separate"/>
      </w:r>
      <w:r w:rsidR="00A65CB3">
        <w:t>Appendix H</w:t>
      </w:r>
      <w:r w:rsidR="00E91D17">
        <w:rPr>
          <w:rFonts w:eastAsia="Times New Roman" w:cs="Times New Roman"/>
          <w:szCs w:val="24"/>
        </w:rPr>
        <w:fldChar w:fldCharType="end"/>
      </w:r>
      <w:r w:rsidR="00B3217B">
        <w:rPr>
          <w:rFonts w:eastAsia="Times New Roman" w:cs="Times New Roman"/>
          <w:szCs w:val="24"/>
        </w:rPr>
        <w:t xml:space="preserve"> </w:t>
      </w:r>
      <w:r w:rsidR="000E6CCE">
        <w:t xml:space="preserve">for detailed calculations of discounted </w:t>
      </w:r>
      <w:r w:rsidR="00C21BE5">
        <w:t>ELS</w:t>
      </w:r>
      <w:r w:rsidR="000E6CCE">
        <w:t xml:space="preserve"> for both rear and front seat occupants.</w:t>
      </w:r>
    </w:p>
    <w:p w14:paraId="7290DF6B" w14:textId="3A5FD3B3" w:rsidR="00EC3220" w:rsidRDefault="000F5B51" w:rsidP="00EC3220">
      <w:pPr>
        <w:pStyle w:val="Caption"/>
      </w:pPr>
      <w:bookmarkStart w:id="1344" w:name="_Ref118366683"/>
      <w:r>
        <w:t xml:space="preserve">Table </w:t>
      </w:r>
      <w:r w:rsidR="00115BAB">
        <w:fldChar w:fldCharType="begin"/>
      </w:r>
      <w:r>
        <w:instrText xml:space="preserve"> SEQ Table \* ARABIC </w:instrText>
      </w:r>
      <w:r w:rsidR="00115BAB">
        <w:fldChar w:fldCharType="separate"/>
      </w:r>
      <w:r w:rsidR="00A65CB3">
        <w:rPr>
          <w:noProof/>
        </w:rPr>
        <w:t>71</w:t>
      </w:r>
      <w:r w:rsidR="00115BAB">
        <w:rPr>
          <w:noProof/>
        </w:rPr>
        <w:fldChar w:fldCharType="end"/>
      </w:r>
      <w:bookmarkEnd w:id="1344"/>
      <w:r>
        <w:t xml:space="preserve">: </w:t>
      </w:r>
      <w:r w:rsidRPr="007142E5">
        <w:t xml:space="preserve">Discounted </w:t>
      </w:r>
      <w:r w:rsidR="00EA2588">
        <w:t>Equivalent Lives Saved</w:t>
      </w:r>
    </w:p>
    <w:tbl>
      <w:tblPr>
        <w:tblStyle w:val="TableGrid"/>
        <w:tblW w:w="0" w:type="auto"/>
        <w:tblLook w:val="04A0" w:firstRow="1" w:lastRow="0" w:firstColumn="1" w:lastColumn="0" w:noHBand="0" w:noVBand="1"/>
      </w:tblPr>
      <w:tblGrid>
        <w:gridCol w:w="3292"/>
        <w:gridCol w:w="1833"/>
        <w:gridCol w:w="2112"/>
        <w:gridCol w:w="2113"/>
      </w:tblGrid>
      <w:tr w:rsidR="00A15C2C" w14:paraId="32F29826" w14:textId="77777777" w:rsidTr="00CC65F7">
        <w:tc>
          <w:tcPr>
            <w:tcW w:w="3292" w:type="dxa"/>
            <w:shd w:val="clear" w:color="auto" w:fill="D9D9D9" w:themeFill="background1" w:themeFillShade="D9"/>
          </w:tcPr>
          <w:p w14:paraId="3AD7F43F" w14:textId="77777777" w:rsidR="00EC3220" w:rsidRPr="00B56E71" w:rsidRDefault="000F5B51" w:rsidP="003C04C4">
            <w:pPr>
              <w:spacing w:line="240" w:lineRule="auto"/>
              <w:rPr>
                <w:b/>
                <w:bCs/>
              </w:rPr>
            </w:pPr>
            <w:r w:rsidRPr="00B56E71">
              <w:rPr>
                <w:b/>
                <w:bCs/>
              </w:rPr>
              <w:t>Category</w:t>
            </w:r>
          </w:p>
        </w:tc>
        <w:tc>
          <w:tcPr>
            <w:tcW w:w="1833" w:type="dxa"/>
            <w:shd w:val="clear" w:color="auto" w:fill="D9D9D9" w:themeFill="background1" w:themeFillShade="D9"/>
            <w:vAlign w:val="center"/>
          </w:tcPr>
          <w:p w14:paraId="09C1EFC7" w14:textId="77777777" w:rsidR="00EC3220" w:rsidRPr="00B56E71" w:rsidRDefault="000F5B51" w:rsidP="003C04C4">
            <w:pPr>
              <w:spacing w:line="240" w:lineRule="auto"/>
              <w:jc w:val="center"/>
              <w:rPr>
                <w:b/>
                <w:bCs/>
              </w:rPr>
            </w:pPr>
            <w:r w:rsidRPr="00B56E71">
              <w:rPr>
                <w:b/>
                <w:bCs/>
              </w:rPr>
              <w:t>Undiscounted</w:t>
            </w:r>
          </w:p>
        </w:tc>
        <w:tc>
          <w:tcPr>
            <w:tcW w:w="2112" w:type="dxa"/>
            <w:shd w:val="clear" w:color="auto" w:fill="D9D9D9" w:themeFill="background1" w:themeFillShade="D9"/>
            <w:vAlign w:val="center"/>
          </w:tcPr>
          <w:p w14:paraId="7018656E" w14:textId="77777777" w:rsidR="00EC3220" w:rsidRPr="00B56E71" w:rsidRDefault="000F5B51" w:rsidP="003C04C4">
            <w:pPr>
              <w:spacing w:line="240" w:lineRule="auto"/>
              <w:jc w:val="center"/>
              <w:rPr>
                <w:b/>
                <w:bCs/>
              </w:rPr>
            </w:pPr>
            <w:r w:rsidRPr="00B56E71">
              <w:rPr>
                <w:b/>
                <w:bCs/>
              </w:rPr>
              <w:t>Discounted at 3%</w:t>
            </w:r>
          </w:p>
        </w:tc>
        <w:tc>
          <w:tcPr>
            <w:tcW w:w="2113" w:type="dxa"/>
            <w:shd w:val="clear" w:color="auto" w:fill="D9D9D9" w:themeFill="background1" w:themeFillShade="D9"/>
            <w:vAlign w:val="center"/>
          </w:tcPr>
          <w:p w14:paraId="72F81961" w14:textId="77777777" w:rsidR="00EC3220" w:rsidRPr="00B56E71" w:rsidRDefault="000F5B51" w:rsidP="003C04C4">
            <w:pPr>
              <w:spacing w:line="240" w:lineRule="auto"/>
              <w:jc w:val="center"/>
              <w:rPr>
                <w:b/>
                <w:bCs/>
              </w:rPr>
            </w:pPr>
            <w:r w:rsidRPr="00B56E71">
              <w:rPr>
                <w:b/>
                <w:bCs/>
              </w:rPr>
              <w:t>Discounted at 7%</w:t>
            </w:r>
          </w:p>
        </w:tc>
      </w:tr>
      <w:tr w:rsidR="00A15C2C" w14:paraId="318381A7" w14:textId="77777777" w:rsidTr="00CC65F7">
        <w:trPr>
          <w:trHeight w:val="305"/>
        </w:trPr>
        <w:tc>
          <w:tcPr>
            <w:tcW w:w="9350" w:type="dxa"/>
            <w:gridSpan w:val="4"/>
            <w:shd w:val="clear" w:color="auto" w:fill="D9D9D9" w:themeFill="background1" w:themeFillShade="D9"/>
            <w:vAlign w:val="center"/>
          </w:tcPr>
          <w:p w14:paraId="1FC3B1AA" w14:textId="77777777" w:rsidR="00EC3220" w:rsidRPr="00CC65F7" w:rsidRDefault="000F5B51" w:rsidP="003C04C4">
            <w:pPr>
              <w:spacing w:line="240" w:lineRule="auto"/>
              <w:jc w:val="center"/>
              <w:rPr>
                <w:b/>
                <w:bCs/>
                <w:i/>
                <w:iCs/>
              </w:rPr>
            </w:pPr>
            <w:r w:rsidRPr="00CC65F7">
              <w:rPr>
                <w:b/>
                <w:bCs/>
                <w:i/>
                <w:iCs/>
              </w:rPr>
              <w:t>Rear Seat Occupants</w:t>
            </w:r>
          </w:p>
        </w:tc>
      </w:tr>
      <w:tr w:rsidR="00A15C2C" w14:paraId="122C0E4B" w14:textId="77777777" w:rsidTr="00CC65F7">
        <w:tc>
          <w:tcPr>
            <w:tcW w:w="3292" w:type="dxa"/>
            <w:vAlign w:val="center"/>
          </w:tcPr>
          <w:p w14:paraId="1D11B4AB" w14:textId="77777777" w:rsidR="00EC3220" w:rsidRDefault="000F5B51" w:rsidP="00EC3220">
            <w:pPr>
              <w:spacing w:line="240" w:lineRule="auto"/>
            </w:pPr>
            <w:r>
              <w:t>Rear Seat Occupants Ages 6-10</w:t>
            </w:r>
          </w:p>
        </w:tc>
        <w:tc>
          <w:tcPr>
            <w:tcW w:w="1833" w:type="dxa"/>
            <w:vAlign w:val="center"/>
          </w:tcPr>
          <w:p w14:paraId="4B4CC529" w14:textId="77777777" w:rsidR="00EC3220" w:rsidRDefault="000F5B51">
            <w:pPr>
              <w:spacing w:line="240" w:lineRule="auto"/>
              <w:jc w:val="center"/>
            </w:pPr>
            <w:r>
              <w:t>0.</w:t>
            </w:r>
            <w:r w:rsidR="00A20AE7">
              <w:t xml:space="preserve">43 </w:t>
            </w:r>
            <w:r w:rsidR="00230ADD">
              <w:t>–</w:t>
            </w:r>
            <w:r w:rsidR="00A20AE7">
              <w:t xml:space="preserve"> </w:t>
            </w:r>
            <w:r w:rsidR="00230ADD">
              <w:t>0.65</w:t>
            </w:r>
          </w:p>
        </w:tc>
        <w:tc>
          <w:tcPr>
            <w:tcW w:w="2112" w:type="dxa"/>
            <w:vAlign w:val="center"/>
          </w:tcPr>
          <w:p w14:paraId="5B3482D8" w14:textId="77777777" w:rsidR="00EC3220" w:rsidRDefault="000F5B51">
            <w:pPr>
              <w:spacing w:line="240" w:lineRule="auto"/>
              <w:jc w:val="center"/>
            </w:pPr>
            <w:r>
              <w:t xml:space="preserve">0.38 </w:t>
            </w:r>
            <w:r w:rsidR="005A03DC">
              <w:t>–</w:t>
            </w:r>
            <w:r>
              <w:t xml:space="preserve"> </w:t>
            </w:r>
            <w:r w:rsidR="005A03DC">
              <w:t>0.57</w:t>
            </w:r>
          </w:p>
        </w:tc>
        <w:tc>
          <w:tcPr>
            <w:tcW w:w="2113" w:type="dxa"/>
            <w:vAlign w:val="center"/>
          </w:tcPr>
          <w:p w14:paraId="088C8737" w14:textId="77777777" w:rsidR="00EC3220" w:rsidRDefault="000F5B51">
            <w:pPr>
              <w:spacing w:line="240" w:lineRule="auto"/>
              <w:jc w:val="center"/>
            </w:pPr>
            <w:r>
              <w:t xml:space="preserve">0.31 </w:t>
            </w:r>
            <w:r w:rsidR="008F3A1E">
              <w:t>–</w:t>
            </w:r>
            <w:r>
              <w:t xml:space="preserve"> </w:t>
            </w:r>
            <w:r w:rsidR="008F3A1E">
              <w:t>0.</w:t>
            </w:r>
            <w:r w:rsidR="00401049">
              <w:t>46</w:t>
            </w:r>
          </w:p>
        </w:tc>
      </w:tr>
      <w:tr w:rsidR="00A15C2C" w14:paraId="1912CD0E" w14:textId="77777777" w:rsidTr="00CC65F7">
        <w:tc>
          <w:tcPr>
            <w:tcW w:w="3292" w:type="dxa"/>
            <w:vAlign w:val="center"/>
          </w:tcPr>
          <w:p w14:paraId="3F2D0766" w14:textId="77777777" w:rsidR="00EC3220" w:rsidRDefault="000F5B51" w:rsidP="00EC3220">
            <w:pPr>
              <w:spacing w:line="240" w:lineRule="auto"/>
            </w:pPr>
            <w:r>
              <w:t xml:space="preserve">Rear Seat Occupants Ages </w:t>
            </w:r>
            <w:r w:rsidR="00F34C0F">
              <w:t>11+</w:t>
            </w:r>
          </w:p>
        </w:tc>
        <w:tc>
          <w:tcPr>
            <w:tcW w:w="1833" w:type="dxa"/>
            <w:vAlign w:val="center"/>
          </w:tcPr>
          <w:p w14:paraId="3D8197B7" w14:textId="77777777" w:rsidR="00EC3220" w:rsidRDefault="000F5B51">
            <w:pPr>
              <w:spacing w:line="240" w:lineRule="auto"/>
              <w:jc w:val="center"/>
            </w:pPr>
            <w:r>
              <w:t xml:space="preserve">25.9 </w:t>
            </w:r>
            <w:r w:rsidR="002F3890">
              <w:t>–</w:t>
            </w:r>
            <w:r>
              <w:t xml:space="preserve"> </w:t>
            </w:r>
            <w:r w:rsidR="002F3890">
              <w:t>39.1</w:t>
            </w:r>
          </w:p>
        </w:tc>
        <w:tc>
          <w:tcPr>
            <w:tcW w:w="2112" w:type="dxa"/>
            <w:vAlign w:val="center"/>
          </w:tcPr>
          <w:p w14:paraId="2FA62225" w14:textId="77777777" w:rsidR="00EC3220" w:rsidRDefault="000F5B51">
            <w:pPr>
              <w:spacing w:line="240" w:lineRule="auto"/>
              <w:jc w:val="center"/>
            </w:pPr>
            <w:r>
              <w:t xml:space="preserve">21.5 </w:t>
            </w:r>
            <w:r w:rsidR="00023C38">
              <w:t>–</w:t>
            </w:r>
            <w:r>
              <w:t xml:space="preserve"> </w:t>
            </w:r>
            <w:r w:rsidR="00023C38">
              <w:t>32.4</w:t>
            </w:r>
          </w:p>
        </w:tc>
        <w:tc>
          <w:tcPr>
            <w:tcW w:w="2113" w:type="dxa"/>
            <w:vAlign w:val="center"/>
          </w:tcPr>
          <w:p w14:paraId="1378B70B" w14:textId="77777777" w:rsidR="00EC3220" w:rsidRDefault="000F5B51">
            <w:pPr>
              <w:spacing w:line="240" w:lineRule="auto"/>
              <w:jc w:val="center"/>
            </w:pPr>
            <w:r>
              <w:t xml:space="preserve">17.4 </w:t>
            </w:r>
            <w:r w:rsidR="00CA796F">
              <w:t>–</w:t>
            </w:r>
            <w:r>
              <w:t xml:space="preserve"> </w:t>
            </w:r>
            <w:r w:rsidR="00CA796F">
              <w:t>26.3</w:t>
            </w:r>
          </w:p>
        </w:tc>
      </w:tr>
      <w:tr w:rsidR="00A15C2C" w14:paraId="0D3EE170" w14:textId="77777777" w:rsidTr="00CC65F7">
        <w:tc>
          <w:tcPr>
            <w:tcW w:w="3292" w:type="dxa"/>
            <w:vAlign w:val="center"/>
          </w:tcPr>
          <w:p w14:paraId="01516470" w14:textId="77777777" w:rsidR="00667542" w:rsidRPr="0099555A" w:rsidRDefault="000F5B51" w:rsidP="00EC3220">
            <w:pPr>
              <w:spacing w:line="240" w:lineRule="auto"/>
            </w:pPr>
            <w:r w:rsidRPr="0099555A">
              <w:t>Total Rear Seat Occupants</w:t>
            </w:r>
          </w:p>
        </w:tc>
        <w:tc>
          <w:tcPr>
            <w:tcW w:w="1833" w:type="dxa"/>
            <w:vAlign w:val="center"/>
          </w:tcPr>
          <w:p w14:paraId="2A86C1B4" w14:textId="77777777" w:rsidR="00667542" w:rsidRDefault="000F5B51">
            <w:pPr>
              <w:spacing w:line="240" w:lineRule="auto"/>
              <w:jc w:val="center"/>
            </w:pPr>
            <w:r>
              <w:t>26.4 - 39.7</w:t>
            </w:r>
          </w:p>
        </w:tc>
        <w:tc>
          <w:tcPr>
            <w:tcW w:w="2112" w:type="dxa"/>
            <w:vAlign w:val="center"/>
          </w:tcPr>
          <w:p w14:paraId="0EC1E5E5" w14:textId="77777777" w:rsidR="00667542" w:rsidRDefault="000F5B51">
            <w:pPr>
              <w:spacing w:line="240" w:lineRule="auto"/>
              <w:jc w:val="center"/>
            </w:pPr>
            <w:r>
              <w:t>21.9 – 32.9</w:t>
            </w:r>
          </w:p>
        </w:tc>
        <w:tc>
          <w:tcPr>
            <w:tcW w:w="2113" w:type="dxa"/>
            <w:vAlign w:val="center"/>
          </w:tcPr>
          <w:p w14:paraId="3F9D3674" w14:textId="77777777" w:rsidR="00667542" w:rsidRDefault="000F5B51">
            <w:pPr>
              <w:spacing w:line="240" w:lineRule="auto"/>
              <w:jc w:val="center"/>
            </w:pPr>
            <w:r>
              <w:t>17.7 – 26.7</w:t>
            </w:r>
          </w:p>
        </w:tc>
      </w:tr>
      <w:tr w:rsidR="00A15C2C" w14:paraId="08C09A02" w14:textId="77777777" w:rsidTr="00CC65F7">
        <w:trPr>
          <w:trHeight w:val="377"/>
        </w:trPr>
        <w:tc>
          <w:tcPr>
            <w:tcW w:w="9350" w:type="dxa"/>
            <w:gridSpan w:val="4"/>
            <w:shd w:val="clear" w:color="auto" w:fill="D9D9D9" w:themeFill="background1" w:themeFillShade="D9"/>
            <w:vAlign w:val="center"/>
          </w:tcPr>
          <w:p w14:paraId="405B4706" w14:textId="77777777" w:rsidR="00EC3220" w:rsidRDefault="000F5B51" w:rsidP="003C04C4">
            <w:pPr>
              <w:spacing w:line="240" w:lineRule="auto"/>
              <w:jc w:val="center"/>
            </w:pPr>
            <w:r>
              <w:rPr>
                <w:b/>
                <w:bCs/>
                <w:i/>
                <w:iCs/>
              </w:rPr>
              <w:t xml:space="preserve">Front </w:t>
            </w:r>
            <w:r w:rsidRPr="00934F2C">
              <w:rPr>
                <w:b/>
                <w:bCs/>
                <w:i/>
                <w:iCs/>
              </w:rPr>
              <w:t>Seat Occupants</w:t>
            </w:r>
          </w:p>
        </w:tc>
      </w:tr>
      <w:tr w:rsidR="00A15C2C" w14:paraId="2FFE99EC" w14:textId="77777777" w:rsidTr="00CC65F7">
        <w:tc>
          <w:tcPr>
            <w:tcW w:w="3292" w:type="dxa"/>
            <w:vAlign w:val="center"/>
          </w:tcPr>
          <w:p w14:paraId="5FE0F69F" w14:textId="77777777" w:rsidR="00EC3220" w:rsidRDefault="000F5B51" w:rsidP="00EC3220">
            <w:pPr>
              <w:spacing w:line="240" w:lineRule="auto"/>
            </w:pPr>
            <w:r>
              <w:t>Drivers</w:t>
            </w:r>
          </w:p>
        </w:tc>
        <w:tc>
          <w:tcPr>
            <w:tcW w:w="1833" w:type="dxa"/>
            <w:vAlign w:val="center"/>
          </w:tcPr>
          <w:p w14:paraId="54621EEE" w14:textId="4EE66449" w:rsidR="00EC3220" w:rsidRDefault="00C06ADD">
            <w:pPr>
              <w:spacing w:line="240" w:lineRule="auto"/>
              <w:jc w:val="center"/>
            </w:pPr>
            <w:r>
              <w:t>78.7</w:t>
            </w:r>
          </w:p>
        </w:tc>
        <w:tc>
          <w:tcPr>
            <w:tcW w:w="2112" w:type="dxa"/>
            <w:vAlign w:val="center"/>
          </w:tcPr>
          <w:p w14:paraId="53498340" w14:textId="77A211EB" w:rsidR="00EC3220" w:rsidRDefault="009F0036">
            <w:pPr>
              <w:spacing w:line="240" w:lineRule="auto"/>
              <w:jc w:val="center"/>
            </w:pPr>
            <w:r>
              <w:t>6</w:t>
            </w:r>
            <w:r w:rsidR="00C06ADD">
              <w:t>5.2</w:t>
            </w:r>
          </w:p>
        </w:tc>
        <w:tc>
          <w:tcPr>
            <w:tcW w:w="2113" w:type="dxa"/>
            <w:vAlign w:val="center"/>
          </w:tcPr>
          <w:p w14:paraId="463D1294" w14:textId="1F965690" w:rsidR="00EC3220" w:rsidRDefault="00C06ADD">
            <w:pPr>
              <w:spacing w:line="240" w:lineRule="auto"/>
              <w:jc w:val="center"/>
            </w:pPr>
            <w:r>
              <w:t>52.8</w:t>
            </w:r>
          </w:p>
        </w:tc>
      </w:tr>
      <w:tr w:rsidR="00A15C2C" w14:paraId="75AA77FC" w14:textId="77777777" w:rsidTr="00CC65F7">
        <w:tc>
          <w:tcPr>
            <w:tcW w:w="3292" w:type="dxa"/>
            <w:vAlign w:val="center"/>
          </w:tcPr>
          <w:p w14:paraId="5563CAA0" w14:textId="77777777" w:rsidR="00EC3220" w:rsidRDefault="000F5B51" w:rsidP="00EC3220">
            <w:pPr>
              <w:spacing w:line="240" w:lineRule="auto"/>
            </w:pPr>
            <w:r>
              <w:t xml:space="preserve">Right Front Seat Occupants </w:t>
            </w:r>
          </w:p>
        </w:tc>
        <w:tc>
          <w:tcPr>
            <w:tcW w:w="1833" w:type="dxa"/>
            <w:vAlign w:val="center"/>
          </w:tcPr>
          <w:p w14:paraId="7061386F" w14:textId="77777777" w:rsidR="00EC3220" w:rsidRDefault="000F5B51">
            <w:pPr>
              <w:spacing w:line="240" w:lineRule="auto"/>
              <w:jc w:val="center"/>
            </w:pPr>
            <w:r>
              <w:t>13.</w:t>
            </w:r>
            <w:r w:rsidR="00431E83">
              <w:t>7</w:t>
            </w:r>
          </w:p>
        </w:tc>
        <w:tc>
          <w:tcPr>
            <w:tcW w:w="2112" w:type="dxa"/>
            <w:vAlign w:val="center"/>
          </w:tcPr>
          <w:p w14:paraId="5CBEF222" w14:textId="77777777" w:rsidR="00EC3220" w:rsidRDefault="000F5B51">
            <w:pPr>
              <w:spacing w:line="240" w:lineRule="auto"/>
              <w:jc w:val="center"/>
            </w:pPr>
            <w:r>
              <w:t>11.3</w:t>
            </w:r>
          </w:p>
        </w:tc>
        <w:tc>
          <w:tcPr>
            <w:tcW w:w="2113" w:type="dxa"/>
            <w:vAlign w:val="center"/>
          </w:tcPr>
          <w:p w14:paraId="245BED47" w14:textId="77777777" w:rsidR="00EC3220" w:rsidRDefault="000F5B51">
            <w:pPr>
              <w:spacing w:line="240" w:lineRule="auto"/>
              <w:jc w:val="center"/>
            </w:pPr>
            <w:r>
              <w:t xml:space="preserve"> 9.2</w:t>
            </w:r>
          </w:p>
        </w:tc>
      </w:tr>
      <w:tr w:rsidR="00A15C2C" w14:paraId="6EEFCC72" w14:textId="77777777" w:rsidTr="00CC65F7">
        <w:tc>
          <w:tcPr>
            <w:tcW w:w="3292" w:type="dxa"/>
            <w:vAlign w:val="center"/>
          </w:tcPr>
          <w:p w14:paraId="27C9EB6B" w14:textId="77777777" w:rsidR="00667542" w:rsidRPr="0099555A" w:rsidRDefault="000F5B51" w:rsidP="00EC3220">
            <w:pPr>
              <w:spacing w:line="240" w:lineRule="auto"/>
            </w:pPr>
            <w:r w:rsidRPr="0099555A">
              <w:t>Total Front Seat Occupants</w:t>
            </w:r>
          </w:p>
        </w:tc>
        <w:tc>
          <w:tcPr>
            <w:tcW w:w="1833" w:type="dxa"/>
            <w:vAlign w:val="center"/>
          </w:tcPr>
          <w:p w14:paraId="08593EDE" w14:textId="0667B1BE" w:rsidR="00667542" w:rsidRDefault="00976311">
            <w:pPr>
              <w:spacing w:line="240" w:lineRule="auto"/>
              <w:jc w:val="center"/>
            </w:pPr>
            <w:r>
              <w:t>92.3</w:t>
            </w:r>
          </w:p>
        </w:tc>
        <w:tc>
          <w:tcPr>
            <w:tcW w:w="2112" w:type="dxa"/>
            <w:vAlign w:val="center"/>
          </w:tcPr>
          <w:p w14:paraId="62CD79B4" w14:textId="531A748E" w:rsidR="00667542" w:rsidRDefault="007B14AF">
            <w:pPr>
              <w:spacing w:line="240" w:lineRule="auto"/>
              <w:jc w:val="center"/>
            </w:pPr>
            <w:r>
              <w:t>76.</w:t>
            </w:r>
            <w:r w:rsidR="00C06ADD">
              <w:t>5</w:t>
            </w:r>
          </w:p>
        </w:tc>
        <w:tc>
          <w:tcPr>
            <w:tcW w:w="2113" w:type="dxa"/>
            <w:vAlign w:val="center"/>
          </w:tcPr>
          <w:p w14:paraId="7FC2CAEC" w14:textId="38F63DB5" w:rsidR="00667542" w:rsidRDefault="003118A3">
            <w:pPr>
              <w:spacing w:line="240" w:lineRule="auto"/>
              <w:jc w:val="center"/>
            </w:pPr>
            <w:r>
              <w:t>6</w:t>
            </w:r>
            <w:r w:rsidR="00C06ADD">
              <w:t>2.0</w:t>
            </w:r>
          </w:p>
        </w:tc>
      </w:tr>
      <w:tr w:rsidR="00A15C2C" w14:paraId="44CB43DE" w14:textId="77777777" w:rsidTr="00CC65F7">
        <w:tc>
          <w:tcPr>
            <w:tcW w:w="9350" w:type="dxa"/>
            <w:gridSpan w:val="4"/>
            <w:shd w:val="clear" w:color="auto" w:fill="D9D9D9" w:themeFill="background1" w:themeFillShade="D9"/>
            <w:vAlign w:val="center"/>
          </w:tcPr>
          <w:p w14:paraId="0083366A" w14:textId="77777777" w:rsidR="006F3C18" w:rsidRPr="00CC65F7" w:rsidRDefault="000F5B51" w:rsidP="00EC3220">
            <w:pPr>
              <w:spacing w:line="240" w:lineRule="auto"/>
              <w:jc w:val="center"/>
              <w:rPr>
                <w:b/>
                <w:bCs/>
                <w:i/>
                <w:iCs/>
              </w:rPr>
            </w:pPr>
            <w:r w:rsidRPr="00CC65F7">
              <w:rPr>
                <w:b/>
                <w:bCs/>
                <w:i/>
                <w:iCs/>
              </w:rPr>
              <w:t>Total</w:t>
            </w:r>
          </w:p>
        </w:tc>
      </w:tr>
      <w:tr w:rsidR="00A15C2C" w14:paraId="063B7C7E" w14:textId="77777777" w:rsidTr="00CC65F7">
        <w:tc>
          <w:tcPr>
            <w:tcW w:w="3292" w:type="dxa"/>
            <w:vAlign w:val="center"/>
          </w:tcPr>
          <w:p w14:paraId="44F780CE" w14:textId="77777777" w:rsidR="005B4EB3" w:rsidRDefault="000F5B51" w:rsidP="005B4EB3">
            <w:pPr>
              <w:spacing w:line="240" w:lineRule="auto"/>
            </w:pPr>
            <w:r>
              <w:t>Rear Seat Occupants</w:t>
            </w:r>
          </w:p>
        </w:tc>
        <w:tc>
          <w:tcPr>
            <w:tcW w:w="1833" w:type="dxa"/>
            <w:vAlign w:val="center"/>
          </w:tcPr>
          <w:p w14:paraId="66152604" w14:textId="77777777" w:rsidR="005B4EB3" w:rsidRDefault="000F5B51" w:rsidP="005B4EB3">
            <w:pPr>
              <w:spacing w:line="240" w:lineRule="auto"/>
              <w:jc w:val="center"/>
            </w:pPr>
            <w:r>
              <w:t>26.4 - 39.7</w:t>
            </w:r>
          </w:p>
        </w:tc>
        <w:tc>
          <w:tcPr>
            <w:tcW w:w="2112" w:type="dxa"/>
            <w:vAlign w:val="center"/>
          </w:tcPr>
          <w:p w14:paraId="546056B9" w14:textId="77777777" w:rsidR="005B4EB3" w:rsidRPr="001F5B6E" w:rsidRDefault="000F5B51" w:rsidP="005B4EB3">
            <w:pPr>
              <w:spacing w:line="240" w:lineRule="auto"/>
              <w:jc w:val="center"/>
            </w:pPr>
            <w:r>
              <w:t>21.9 – 32.9</w:t>
            </w:r>
          </w:p>
        </w:tc>
        <w:tc>
          <w:tcPr>
            <w:tcW w:w="2113" w:type="dxa"/>
            <w:vAlign w:val="center"/>
          </w:tcPr>
          <w:p w14:paraId="0EEBC6EF" w14:textId="77777777" w:rsidR="005B4EB3" w:rsidRPr="001F5B6E" w:rsidRDefault="000F5B51" w:rsidP="005B4EB3">
            <w:pPr>
              <w:spacing w:line="240" w:lineRule="auto"/>
              <w:jc w:val="center"/>
            </w:pPr>
            <w:r>
              <w:t>17.7 – 26.7</w:t>
            </w:r>
          </w:p>
        </w:tc>
      </w:tr>
      <w:tr w:rsidR="00A15C2C" w14:paraId="7DFEDDA3" w14:textId="77777777" w:rsidTr="00CC65F7">
        <w:tc>
          <w:tcPr>
            <w:tcW w:w="3292" w:type="dxa"/>
            <w:vAlign w:val="center"/>
          </w:tcPr>
          <w:p w14:paraId="3323B40F" w14:textId="77777777" w:rsidR="000730AB" w:rsidRDefault="000F5B51" w:rsidP="000730AB">
            <w:pPr>
              <w:spacing w:line="240" w:lineRule="auto"/>
            </w:pPr>
            <w:r>
              <w:t>Front Seat Occupants</w:t>
            </w:r>
          </w:p>
        </w:tc>
        <w:tc>
          <w:tcPr>
            <w:tcW w:w="1833" w:type="dxa"/>
            <w:vAlign w:val="center"/>
          </w:tcPr>
          <w:p w14:paraId="7BBF6575" w14:textId="59AA2597" w:rsidR="000730AB" w:rsidRDefault="00787F5D" w:rsidP="000730AB">
            <w:pPr>
              <w:spacing w:line="240" w:lineRule="auto"/>
              <w:jc w:val="center"/>
            </w:pPr>
            <w:r>
              <w:t>92.3</w:t>
            </w:r>
          </w:p>
        </w:tc>
        <w:tc>
          <w:tcPr>
            <w:tcW w:w="2112" w:type="dxa"/>
            <w:vAlign w:val="center"/>
          </w:tcPr>
          <w:p w14:paraId="78A43AAD" w14:textId="6F70EDB7" w:rsidR="000730AB" w:rsidRPr="001F5B6E" w:rsidRDefault="00787F5D" w:rsidP="000730AB">
            <w:pPr>
              <w:spacing w:line="240" w:lineRule="auto"/>
              <w:jc w:val="center"/>
            </w:pPr>
            <w:r>
              <w:t>76.</w:t>
            </w:r>
            <w:r w:rsidR="00C4172C">
              <w:t>4</w:t>
            </w:r>
          </w:p>
        </w:tc>
        <w:tc>
          <w:tcPr>
            <w:tcW w:w="2113" w:type="dxa"/>
            <w:vAlign w:val="center"/>
          </w:tcPr>
          <w:p w14:paraId="4F6C04BE" w14:textId="5A5C79D8" w:rsidR="000730AB" w:rsidRPr="001F5B6E" w:rsidRDefault="00787F5D" w:rsidP="000730AB">
            <w:pPr>
              <w:spacing w:line="240" w:lineRule="auto"/>
              <w:jc w:val="center"/>
            </w:pPr>
            <w:r>
              <w:t>62.0</w:t>
            </w:r>
          </w:p>
        </w:tc>
      </w:tr>
      <w:tr w:rsidR="00A15C2C" w14:paraId="63882F4E" w14:textId="77777777" w:rsidTr="00504723">
        <w:tc>
          <w:tcPr>
            <w:tcW w:w="3292" w:type="dxa"/>
            <w:vAlign w:val="center"/>
          </w:tcPr>
          <w:p w14:paraId="3589B6A5" w14:textId="77777777" w:rsidR="005B4EB3" w:rsidRDefault="000F5B51" w:rsidP="005B4EB3">
            <w:pPr>
              <w:spacing w:line="240" w:lineRule="auto"/>
            </w:pPr>
            <w:r w:rsidRPr="00572735">
              <w:rPr>
                <w:b/>
                <w:bCs/>
                <w:sz w:val="28"/>
                <w:szCs w:val="24"/>
              </w:rPr>
              <w:t>Total, Proposed Rule</w:t>
            </w:r>
          </w:p>
        </w:tc>
        <w:tc>
          <w:tcPr>
            <w:tcW w:w="1833" w:type="dxa"/>
            <w:vAlign w:val="center"/>
          </w:tcPr>
          <w:p w14:paraId="7F30984D" w14:textId="304A3B6C" w:rsidR="005B4EB3" w:rsidRPr="00B8171F" w:rsidRDefault="00BD5935" w:rsidP="005B4EB3">
            <w:pPr>
              <w:spacing w:line="240" w:lineRule="auto"/>
              <w:jc w:val="center"/>
              <w:rPr>
                <w:b/>
                <w:bCs/>
                <w:szCs w:val="24"/>
              </w:rPr>
            </w:pPr>
            <w:r>
              <w:rPr>
                <w:b/>
                <w:bCs/>
                <w:szCs w:val="24"/>
              </w:rPr>
              <w:t>11</w:t>
            </w:r>
            <w:r w:rsidR="00037EDC">
              <w:rPr>
                <w:b/>
                <w:bCs/>
                <w:szCs w:val="24"/>
              </w:rPr>
              <w:t>8.7 – 132.0</w:t>
            </w:r>
          </w:p>
        </w:tc>
        <w:tc>
          <w:tcPr>
            <w:tcW w:w="2112" w:type="dxa"/>
            <w:vAlign w:val="center"/>
          </w:tcPr>
          <w:p w14:paraId="064FC34E" w14:textId="2AD679E0" w:rsidR="005B4EB3" w:rsidRPr="005F0E59" w:rsidRDefault="000936FD" w:rsidP="005B4EB3">
            <w:pPr>
              <w:spacing w:line="240" w:lineRule="auto"/>
              <w:jc w:val="center"/>
              <w:rPr>
                <w:b/>
                <w:bCs/>
                <w:szCs w:val="24"/>
              </w:rPr>
            </w:pPr>
            <w:r w:rsidRPr="00BE0A50">
              <w:rPr>
                <w:b/>
                <w:bCs/>
                <w:szCs w:val="24"/>
              </w:rPr>
              <w:t xml:space="preserve">98.3 </w:t>
            </w:r>
            <w:r w:rsidR="005A7E1B" w:rsidRPr="00BE0A50">
              <w:rPr>
                <w:b/>
                <w:bCs/>
                <w:szCs w:val="24"/>
              </w:rPr>
              <w:t>–</w:t>
            </w:r>
            <w:r w:rsidRPr="00BE0A50">
              <w:rPr>
                <w:b/>
                <w:bCs/>
                <w:szCs w:val="24"/>
              </w:rPr>
              <w:t xml:space="preserve"> </w:t>
            </w:r>
            <w:r w:rsidR="005A7E1B" w:rsidRPr="00BE0A50">
              <w:rPr>
                <w:b/>
                <w:bCs/>
                <w:szCs w:val="24"/>
              </w:rPr>
              <w:t>109.4</w:t>
            </w:r>
          </w:p>
        </w:tc>
        <w:tc>
          <w:tcPr>
            <w:tcW w:w="2113" w:type="dxa"/>
            <w:vAlign w:val="center"/>
          </w:tcPr>
          <w:p w14:paraId="3D04283B" w14:textId="6F7E6D02" w:rsidR="005B4EB3" w:rsidRPr="00CC65F7" w:rsidRDefault="005A7E1B" w:rsidP="005B4EB3">
            <w:pPr>
              <w:spacing w:line="240" w:lineRule="auto"/>
              <w:jc w:val="center"/>
              <w:rPr>
                <w:b/>
                <w:bCs/>
              </w:rPr>
            </w:pPr>
            <w:r>
              <w:rPr>
                <w:b/>
                <w:bCs/>
              </w:rPr>
              <w:t xml:space="preserve">79.7 – </w:t>
            </w:r>
            <w:r w:rsidR="00E33963">
              <w:rPr>
                <w:b/>
                <w:bCs/>
              </w:rPr>
              <w:t>88.7</w:t>
            </w:r>
          </w:p>
        </w:tc>
      </w:tr>
    </w:tbl>
    <w:p w14:paraId="7A8BB54C" w14:textId="77777777" w:rsidR="0067363A" w:rsidRPr="00934F2C" w:rsidRDefault="000F5B51" w:rsidP="0067363A">
      <w:pPr>
        <w:spacing w:after="0"/>
        <w:contextualSpacing/>
        <w:rPr>
          <w:rFonts w:cs="Times New Roman"/>
          <w:sz w:val="18"/>
          <w:szCs w:val="18"/>
        </w:rPr>
      </w:pPr>
      <w:r w:rsidRPr="00934F2C">
        <w:rPr>
          <w:rFonts w:cs="Times New Roman"/>
          <w:sz w:val="18"/>
          <w:szCs w:val="18"/>
        </w:rPr>
        <w:t xml:space="preserve">Note: </w:t>
      </w:r>
      <w:r w:rsidR="0002064A">
        <w:rPr>
          <w:rFonts w:cs="Times New Roman"/>
          <w:sz w:val="18"/>
          <w:szCs w:val="18"/>
        </w:rPr>
        <w:t>V</w:t>
      </w:r>
      <w:r w:rsidRPr="00934F2C">
        <w:rPr>
          <w:rFonts w:cs="Times New Roman"/>
          <w:sz w:val="18"/>
          <w:szCs w:val="18"/>
        </w:rPr>
        <w:t>alues may not sum due to rounding.</w:t>
      </w:r>
    </w:p>
    <w:p w14:paraId="5CB72F60" w14:textId="77777777" w:rsidR="003D4100" w:rsidRDefault="000F5B51" w:rsidP="003D4100">
      <w:pPr>
        <w:spacing w:after="0"/>
        <w:textAlignment w:val="baseline"/>
        <w:rPr>
          <w:rFonts w:eastAsia="Times New Roman" w:cs="Times New Roman"/>
          <w:szCs w:val="24"/>
        </w:rPr>
      </w:pPr>
      <w:r>
        <w:rPr>
          <w:rFonts w:eastAsia="Times New Roman" w:cs="Times New Roman"/>
          <w:szCs w:val="24"/>
        </w:rPr>
        <w:lastRenderedPageBreak/>
        <w:t>As t</w:t>
      </w:r>
      <w:r w:rsidRPr="005057C1">
        <w:rPr>
          <w:rFonts w:eastAsia="Times New Roman" w:cs="Times New Roman"/>
          <w:szCs w:val="24"/>
        </w:rPr>
        <w:t xml:space="preserve">he unit of change used in this cost-effectiveness analysis is the number of </w:t>
      </w:r>
      <w:r>
        <w:rPr>
          <w:rFonts w:eastAsia="Times New Roman" w:cs="Times New Roman"/>
          <w:szCs w:val="24"/>
        </w:rPr>
        <w:t>ELS,</w:t>
      </w:r>
      <w:r w:rsidRPr="005057C1">
        <w:rPr>
          <w:rFonts w:eastAsia="Times New Roman" w:cs="Times New Roman"/>
          <w:szCs w:val="24"/>
        </w:rPr>
        <w:t xml:space="preserve"> a regulatory alternative is considered to be cost-effective if the average cost per </w:t>
      </w:r>
      <w:r>
        <w:rPr>
          <w:rFonts w:eastAsia="Times New Roman" w:cs="Times New Roman"/>
          <w:szCs w:val="24"/>
        </w:rPr>
        <w:t>ELS</w:t>
      </w:r>
      <w:r w:rsidRPr="005057C1">
        <w:rPr>
          <w:rFonts w:eastAsia="Times New Roman" w:cs="Times New Roman"/>
          <w:szCs w:val="24"/>
        </w:rPr>
        <w:t xml:space="preserve"> is less than the comprehensive economic cost of a fatality</w:t>
      </w:r>
      <w:r w:rsidR="001F2F92">
        <w:rPr>
          <w:rFonts w:eastAsia="Times New Roman" w:cs="Times New Roman"/>
          <w:sz w:val="16"/>
          <w:szCs w:val="16"/>
        </w:rPr>
        <w:t xml:space="preserve">. </w:t>
      </w:r>
      <w:r w:rsidRPr="005057C1">
        <w:rPr>
          <w:rFonts w:eastAsia="Times New Roman" w:cs="Times New Roman"/>
          <w:szCs w:val="24"/>
        </w:rPr>
        <w:t xml:space="preserve">That is, the regulatory alternative yields safety benefits at a lower cost than the benchmark value for those benefits. </w:t>
      </w:r>
    </w:p>
    <w:p w14:paraId="7AA15EFF" w14:textId="0D02059F" w:rsidR="003A0AC3" w:rsidRDefault="000F5B51" w:rsidP="003A0AC3">
      <w:pPr>
        <w:spacing w:after="0"/>
      </w:pPr>
      <w:r>
        <w:rPr>
          <w:rFonts w:eastAsia="Times New Roman" w:cs="Times New Roman"/>
          <w:szCs w:val="24"/>
        </w:rPr>
        <w:fldChar w:fldCharType="begin"/>
      </w:r>
      <w:r>
        <w:rPr>
          <w:rFonts w:eastAsia="Times New Roman" w:cs="Times New Roman"/>
          <w:szCs w:val="24"/>
        </w:rPr>
        <w:instrText xml:space="preserve"> REF _Ref118367423 \h </w:instrText>
      </w:r>
      <w:r>
        <w:rPr>
          <w:rFonts w:eastAsia="Times New Roman" w:cs="Times New Roman"/>
          <w:szCs w:val="24"/>
        </w:rPr>
      </w:r>
      <w:r>
        <w:rPr>
          <w:rFonts w:eastAsia="Times New Roman" w:cs="Times New Roman"/>
          <w:szCs w:val="24"/>
        </w:rPr>
        <w:fldChar w:fldCharType="separate"/>
      </w:r>
      <w:r w:rsidR="00A65CB3">
        <w:t xml:space="preserve">Table </w:t>
      </w:r>
      <w:r w:rsidR="00A65CB3">
        <w:rPr>
          <w:noProof/>
        </w:rPr>
        <w:t>72</w:t>
      </w:r>
      <w:r>
        <w:rPr>
          <w:rFonts w:eastAsia="Times New Roman" w:cs="Times New Roman"/>
          <w:szCs w:val="24"/>
        </w:rPr>
        <w:fldChar w:fldCharType="end"/>
      </w:r>
      <w:r>
        <w:rPr>
          <w:rFonts w:eastAsia="Times New Roman" w:cs="Times New Roman"/>
          <w:szCs w:val="24"/>
        </w:rPr>
        <w:t xml:space="preserve"> </w:t>
      </w:r>
      <w:r>
        <w:t>presents the summary of the cost-effectiveness analysis</w:t>
      </w:r>
      <w:r w:rsidR="001F2F92">
        <w:t xml:space="preserve">. </w:t>
      </w:r>
      <w:r w:rsidR="004E0F2F">
        <w:rPr>
          <w:rFonts w:eastAsia="Calibri" w:cs="Times New Roman"/>
          <w:szCs w:val="24"/>
        </w:rPr>
        <w:t>As this analysis considered a lower and higher estimated increase in seat belt use for rear seat occupants, both the lower (Lo) and higher (Hi) case estimates are included in this cost-effectiveness analysis</w:t>
      </w:r>
      <w:r w:rsidR="001F2F92">
        <w:rPr>
          <w:rFonts w:eastAsia="Calibri" w:cs="Times New Roman"/>
          <w:szCs w:val="24"/>
        </w:rPr>
        <w:t xml:space="preserve">. </w:t>
      </w:r>
      <w:r w:rsidR="004D31E4">
        <w:rPr>
          <w:rFonts w:eastAsia="Calibri" w:cs="Times New Roman"/>
          <w:szCs w:val="24"/>
        </w:rPr>
        <w:t>Therefore, cost-effectiveness measures</w:t>
      </w:r>
      <w:r w:rsidR="004E0F2F">
        <w:rPr>
          <w:rFonts w:eastAsia="Calibri" w:cs="Times New Roman"/>
          <w:szCs w:val="24"/>
        </w:rPr>
        <w:t xml:space="preserve"> for both rear seat occupants and the proposed rule as a whole</w:t>
      </w:r>
      <w:r w:rsidR="004D31E4">
        <w:rPr>
          <w:rFonts w:eastAsia="Calibri" w:cs="Times New Roman"/>
          <w:szCs w:val="24"/>
        </w:rPr>
        <w:t xml:space="preserve"> are presented for both the Lo and Hi cases</w:t>
      </w:r>
      <w:r w:rsidR="001F2F92">
        <w:rPr>
          <w:rFonts w:eastAsia="Calibri" w:cs="Times New Roman"/>
          <w:szCs w:val="24"/>
        </w:rPr>
        <w:t xml:space="preserve">. </w:t>
      </w:r>
      <w:r>
        <w:t>When discounted at three percent, the cost per equivalent live saved</w:t>
      </w:r>
      <w:r w:rsidR="002C1A6F">
        <w:t xml:space="preserve"> </w:t>
      </w:r>
      <w:r w:rsidR="006C7A60">
        <w:t>for the Lo and Hi cases are</w:t>
      </w:r>
      <w:r>
        <w:t xml:space="preserve"> </w:t>
      </w:r>
      <w:r w:rsidR="0056034A">
        <w:t>$</w:t>
      </w:r>
      <w:r w:rsidR="008B5E87">
        <w:t>1.7</w:t>
      </w:r>
      <w:r w:rsidR="002E32DF">
        <w:t>1</w:t>
      </w:r>
      <w:r w:rsidR="008B5E87">
        <w:t xml:space="preserve"> million</w:t>
      </w:r>
      <w:r w:rsidR="00D76AA6">
        <w:t xml:space="preserve"> and $1.5</w:t>
      </w:r>
      <w:r w:rsidR="002E32DF">
        <w:t>3</w:t>
      </w:r>
      <w:r w:rsidR="006C7A60">
        <w:t xml:space="preserve"> million, respectively</w:t>
      </w:r>
      <w:r>
        <w:t xml:space="preserve">. </w:t>
      </w:r>
      <w:r w:rsidR="002C1A6F">
        <w:t>When discounted at seven percent, the cost per equivalent live saved</w:t>
      </w:r>
      <w:r w:rsidR="006C7A60">
        <w:t xml:space="preserve"> for the Lo and Hi cases are $2.</w:t>
      </w:r>
      <w:r w:rsidR="002E32DF">
        <w:t>10</w:t>
      </w:r>
      <w:r w:rsidR="006C7A60">
        <w:t xml:space="preserve"> million and</w:t>
      </w:r>
      <w:r w:rsidR="002C1A6F">
        <w:t xml:space="preserve"> </w:t>
      </w:r>
      <w:r w:rsidR="008B5E87">
        <w:t>$1.</w:t>
      </w:r>
      <w:r w:rsidR="00723024">
        <w:t>89</w:t>
      </w:r>
      <w:r w:rsidR="008B5E87">
        <w:t xml:space="preserve"> million</w:t>
      </w:r>
      <w:r w:rsidR="006C7A60">
        <w:t>, respectively</w:t>
      </w:r>
      <w:r w:rsidR="001F2F92">
        <w:t xml:space="preserve">. </w:t>
      </w:r>
      <w:r w:rsidR="003872B6">
        <w:t>C</w:t>
      </w:r>
      <w:r>
        <w:t>omparing these estimates to the comprehensive cost of a fatality</w:t>
      </w:r>
      <w:r w:rsidR="0035635A">
        <w:t xml:space="preserve"> of approximately $11.95 million</w:t>
      </w:r>
      <w:r>
        <w:t xml:space="preserve">, this analysis finds that the proposed rule is cost-effective. </w:t>
      </w:r>
    </w:p>
    <w:p w14:paraId="1BC656C6" w14:textId="2763C33C" w:rsidR="00D31AAC" w:rsidRDefault="000F5B51" w:rsidP="007C33A7">
      <w:pPr>
        <w:spacing w:after="0"/>
      </w:pPr>
      <w:r>
        <w:t xml:space="preserve">Additionally, </w:t>
      </w:r>
      <w:r w:rsidRPr="005F0E59">
        <w:t xml:space="preserve">when only considering the costs and benefits for rear seat occupants, the cost per equivalent live saved </w:t>
      </w:r>
      <w:r w:rsidR="006C7A60" w:rsidRPr="001D0BC2">
        <w:t xml:space="preserve">for the Lo and Hi </w:t>
      </w:r>
      <w:r w:rsidR="006C7A60" w:rsidRPr="00DE446C">
        <w:t>cases</w:t>
      </w:r>
      <w:r w:rsidRPr="006E7185">
        <w:t xml:space="preserve"> </w:t>
      </w:r>
      <w:r w:rsidR="00F4547B" w:rsidRPr="006E7185">
        <w:t>is</w:t>
      </w:r>
      <w:r w:rsidR="006C7A60" w:rsidRPr="00F559C5">
        <w:t xml:space="preserve"> $7.61 million and</w:t>
      </w:r>
      <w:r w:rsidRPr="00F559C5">
        <w:t xml:space="preserve"> </w:t>
      </w:r>
      <w:r w:rsidR="00125144" w:rsidRPr="0008636C">
        <w:t>$5.05 million</w:t>
      </w:r>
      <w:r w:rsidRPr="00992799">
        <w:t xml:space="preserve"> </w:t>
      </w:r>
      <w:r w:rsidR="008E321A" w:rsidRPr="0027589B">
        <w:t xml:space="preserve">when discounted at three percent and </w:t>
      </w:r>
      <w:r w:rsidR="006C7A60" w:rsidRPr="002709E8">
        <w:t xml:space="preserve">$9.38 million and </w:t>
      </w:r>
      <w:r w:rsidR="006229AB" w:rsidRPr="00AE3641">
        <w:t>$6.23 million</w:t>
      </w:r>
      <w:r w:rsidR="008E321A" w:rsidRPr="003F2897">
        <w:t xml:space="preserve"> when discounted at seven percent</w:t>
      </w:r>
      <w:r w:rsidR="001F2F92" w:rsidRPr="00D34405">
        <w:t xml:space="preserve">. </w:t>
      </w:r>
      <w:r w:rsidRPr="00D34405">
        <w:t xml:space="preserve">Lastly, when only considering the costs and benefits for front seat occupants, the cost per equivalent live saved </w:t>
      </w:r>
      <w:r w:rsidR="00F4547B" w:rsidRPr="00005799">
        <w:t>is</w:t>
      </w:r>
      <w:r w:rsidR="00144DE2" w:rsidRPr="000002F8">
        <w:t xml:space="preserve"> </w:t>
      </w:r>
      <w:r w:rsidR="006229AB" w:rsidRPr="00D75BCB">
        <w:t>$0.0</w:t>
      </w:r>
      <w:r w:rsidR="0093163A" w:rsidRPr="00716965">
        <w:t xml:space="preserve">2 </w:t>
      </w:r>
      <w:r w:rsidR="006229AB" w:rsidRPr="005F0E59">
        <w:t xml:space="preserve">million </w:t>
      </w:r>
      <w:r w:rsidR="006A7B88" w:rsidRPr="001D0BC2">
        <w:t>when discounted</w:t>
      </w:r>
      <w:r w:rsidRPr="001D0BC2">
        <w:t xml:space="preserve"> </w:t>
      </w:r>
      <w:r w:rsidR="006A7B88" w:rsidRPr="00DE446C">
        <w:t>at t</w:t>
      </w:r>
      <w:r w:rsidRPr="006E7185">
        <w:t>hree and seven percen</w:t>
      </w:r>
      <w:r w:rsidR="0093163A" w:rsidRPr="00716965">
        <w:t>t</w:t>
      </w:r>
      <w:r w:rsidRPr="0093163A">
        <w:t xml:space="preserve">. </w:t>
      </w:r>
      <w:r w:rsidR="00451985" w:rsidRPr="0093163A">
        <w:t>Therefore,</w:t>
      </w:r>
      <w:r w:rsidRPr="0093163A">
        <w:t xml:space="preserve"> when considering the requirements specific to rear and front seat occupants separately</w:t>
      </w:r>
      <w:r w:rsidR="00716EEE" w:rsidRPr="0093163A">
        <w:t>,</w:t>
      </w:r>
      <w:r w:rsidRPr="0093163A">
        <w:t xml:space="preserve"> both remain </w:t>
      </w:r>
      <w:r w:rsidR="00451985" w:rsidRPr="0093163A">
        <w:t>cost-effective</w:t>
      </w:r>
      <w:r w:rsidRPr="0093163A">
        <w:t>.</w:t>
      </w:r>
    </w:p>
    <w:p w14:paraId="39458E91" w14:textId="75BBE5FF" w:rsidR="00F1151E" w:rsidRDefault="00F1151E" w:rsidP="007C33A7">
      <w:pPr>
        <w:spacing w:after="0"/>
      </w:pPr>
    </w:p>
    <w:p w14:paraId="447364D8" w14:textId="6A1D1C94" w:rsidR="00F1151E" w:rsidRDefault="00F1151E" w:rsidP="007C33A7">
      <w:pPr>
        <w:spacing w:after="0"/>
      </w:pPr>
    </w:p>
    <w:p w14:paraId="79DE3FAA" w14:textId="77777777" w:rsidR="00F1151E" w:rsidRDefault="00F1151E" w:rsidP="007C33A7">
      <w:pPr>
        <w:spacing w:after="0"/>
      </w:pPr>
    </w:p>
    <w:p w14:paraId="22FBA068" w14:textId="26D906F9" w:rsidR="00BD7B21" w:rsidRDefault="000F5B51" w:rsidP="00CC65F7">
      <w:pPr>
        <w:pStyle w:val="Caption"/>
        <w:rPr>
          <w:rFonts w:eastAsia="Times New Roman" w:cs="Times New Roman"/>
          <w:szCs w:val="24"/>
        </w:rPr>
      </w:pPr>
      <w:bookmarkStart w:id="1345" w:name="_Ref118367423"/>
      <w:r>
        <w:lastRenderedPageBreak/>
        <w:t xml:space="preserve">Table </w:t>
      </w:r>
      <w:r w:rsidR="00115BAB">
        <w:fldChar w:fldCharType="begin"/>
      </w:r>
      <w:r>
        <w:instrText xml:space="preserve"> SEQ Table \* ARABIC </w:instrText>
      </w:r>
      <w:r w:rsidR="00115BAB">
        <w:fldChar w:fldCharType="separate"/>
      </w:r>
      <w:r w:rsidR="00A65CB3">
        <w:rPr>
          <w:noProof/>
        </w:rPr>
        <w:t>72</w:t>
      </w:r>
      <w:r w:rsidR="00115BAB">
        <w:rPr>
          <w:noProof/>
        </w:rPr>
        <w:fldChar w:fldCharType="end"/>
      </w:r>
      <w:bookmarkEnd w:id="1345"/>
      <w:r>
        <w:t xml:space="preserve">: </w:t>
      </w:r>
      <w:r w:rsidRPr="00762D62">
        <w:t>Summary of Cost-Effectiveness Analysis</w:t>
      </w:r>
      <w:r w:rsidR="00F06237">
        <w:t xml:space="preserve"> </w:t>
      </w:r>
    </w:p>
    <w:tbl>
      <w:tblPr>
        <w:tblStyle w:val="TableGrid"/>
        <w:tblW w:w="9996" w:type="dxa"/>
        <w:tblLayout w:type="fixed"/>
        <w:tblLook w:val="04A0" w:firstRow="1" w:lastRow="0" w:firstColumn="1" w:lastColumn="0" w:noHBand="0" w:noVBand="1"/>
      </w:tblPr>
      <w:tblGrid>
        <w:gridCol w:w="1255"/>
        <w:gridCol w:w="720"/>
        <w:gridCol w:w="1350"/>
        <w:gridCol w:w="1260"/>
        <w:gridCol w:w="1350"/>
        <w:gridCol w:w="1353"/>
        <w:gridCol w:w="1354"/>
        <w:gridCol w:w="1354"/>
      </w:tblGrid>
      <w:tr w:rsidR="00A15C2C" w14:paraId="16364F5E" w14:textId="77777777" w:rsidTr="00716965">
        <w:trPr>
          <w:trHeight w:val="118"/>
        </w:trPr>
        <w:tc>
          <w:tcPr>
            <w:tcW w:w="1975" w:type="dxa"/>
            <w:gridSpan w:val="2"/>
            <w:vMerge w:val="restart"/>
            <w:shd w:val="clear" w:color="auto" w:fill="BFBFBF" w:themeFill="background1" w:themeFillShade="BF"/>
            <w:vAlign w:val="center"/>
          </w:tcPr>
          <w:p w14:paraId="2A456B48" w14:textId="77777777" w:rsidR="00D31AAC" w:rsidRPr="004B3295" w:rsidRDefault="000F5B51" w:rsidP="003C04C4">
            <w:pPr>
              <w:spacing w:line="240" w:lineRule="auto"/>
              <w:jc w:val="center"/>
              <w:rPr>
                <w:b/>
                <w:szCs w:val="24"/>
              </w:rPr>
            </w:pPr>
            <w:r w:rsidRPr="004B3295">
              <w:rPr>
                <w:b/>
                <w:szCs w:val="24"/>
              </w:rPr>
              <w:t>Category</w:t>
            </w:r>
          </w:p>
        </w:tc>
        <w:tc>
          <w:tcPr>
            <w:tcW w:w="3960" w:type="dxa"/>
            <w:gridSpan w:val="3"/>
            <w:shd w:val="clear" w:color="auto" w:fill="BFBFBF" w:themeFill="background1" w:themeFillShade="BF"/>
            <w:vAlign w:val="center"/>
          </w:tcPr>
          <w:p w14:paraId="44317728" w14:textId="77777777" w:rsidR="00D31AAC" w:rsidRPr="004B3295" w:rsidRDefault="000F5B51" w:rsidP="003C04C4">
            <w:pPr>
              <w:spacing w:line="240" w:lineRule="auto"/>
              <w:jc w:val="center"/>
              <w:rPr>
                <w:b/>
                <w:szCs w:val="24"/>
              </w:rPr>
            </w:pPr>
            <w:r w:rsidRPr="004B3295">
              <w:rPr>
                <w:b/>
                <w:szCs w:val="24"/>
              </w:rPr>
              <w:t>Discounted at 3%</w:t>
            </w:r>
          </w:p>
        </w:tc>
        <w:tc>
          <w:tcPr>
            <w:tcW w:w="4061" w:type="dxa"/>
            <w:gridSpan w:val="3"/>
            <w:shd w:val="clear" w:color="auto" w:fill="BFBFBF" w:themeFill="background1" w:themeFillShade="BF"/>
            <w:vAlign w:val="center"/>
          </w:tcPr>
          <w:p w14:paraId="38B516BE" w14:textId="77777777" w:rsidR="00D31AAC" w:rsidRPr="004B3295" w:rsidRDefault="000F5B51" w:rsidP="003C04C4">
            <w:pPr>
              <w:spacing w:line="240" w:lineRule="auto"/>
              <w:jc w:val="center"/>
              <w:rPr>
                <w:b/>
                <w:szCs w:val="24"/>
              </w:rPr>
            </w:pPr>
            <w:r w:rsidRPr="004B3295">
              <w:rPr>
                <w:b/>
                <w:szCs w:val="24"/>
              </w:rPr>
              <w:t>Discounted at 7%</w:t>
            </w:r>
          </w:p>
        </w:tc>
      </w:tr>
      <w:tr w:rsidR="00A15C2C" w14:paraId="364D73BC" w14:textId="77777777" w:rsidTr="00716965">
        <w:trPr>
          <w:trHeight w:val="114"/>
        </w:trPr>
        <w:tc>
          <w:tcPr>
            <w:tcW w:w="1975" w:type="dxa"/>
            <w:gridSpan w:val="2"/>
            <w:vMerge/>
            <w:shd w:val="clear" w:color="auto" w:fill="BFBFBF" w:themeFill="background1" w:themeFillShade="BF"/>
          </w:tcPr>
          <w:p w14:paraId="3C8F828B" w14:textId="77777777" w:rsidR="00D31AAC" w:rsidRPr="004B3295" w:rsidRDefault="00D31AAC" w:rsidP="003C04C4">
            <w:pPr>
              <w:spacing w:line="240" w:lineRule="auto"/>
              <w:jc w:val="center"/>
              <w:rPr>
                <w:b/>
                <w:szCs w:val="24"/>
              </w:rPr>
            </w:pPr>
          </w:p>
        </w:tc>
        <w:tc>
          <w:tcPr>
            <w:tcW w:w="1350" w:type="dxa"/>
            <w:shd w:val="clear" w:color="auto" w:fill="BFBFBF" w:themeFill="background1" w:themeFillShade="BF"/>
            <w:vAlign w:val="center"/>
          </w:tcPr>
          <w:p w14:paraId="688FED94" w14:textId="77777777" w:rsidR="00D31AAC" w:rsidRPr="004B3295" w:rsidRDefault="000F5B51" w:rsidP="003C04C4">
            <w:pPr>
              <w:spacing w:line="240" w:lineRule="auto"/>
              <w:jc w:val="center"/>
              <w:rPr>
                <w:b/>
                <w:szCs w:val="24"/>
              </w:rPr>
            </w:pPr>
            <w:r w:rsidRPr="004B3295">
              <w:rPr>
                <w:b/>
                <w:szCs w:val="24"/>
              </w:rPr>
              <w:t>Equivalent Lives Saved</w:t>
            </w:r>
          </w:p>
        </w:tc>
        <w:tc>
          <w:tcPr>
            <w:tcW w:w="1260" w:type="dxa"/>
            <w:shd w:val="clear" w:color="auto" w:fill="BFBFBF" w:themeFill="background1" w:themeFillShade="BF"/>
            <w:vAlign w:val="center"/>
          </w:tcPr>
          <w:p w14:paraId="5F4B3BB6" w14:textId="77777777" w:rsidR="00D31AAC" w:rsidRDefault="000F5B51" w:rsidP="003C04C4">
            <w:pPr>
              <w:spacing w:line="240" w:lineRule="auto"/>
              <w:jc w:val="center"/>
              <w:rPr>
                <w:rFonts w:cs="Times New Roman"/>
                <w:b/>
                <w:szCs w:val="24"/>
              </w:rPr>
            </w:pPr>
            <w:r w:rsidRPr="004B3295">
              <w:rPr>
                <w:rFonts w:cs="Times New Roman"/>
                <w:b/>
                <w:szCs w:val="24"/>
              </w:rPr>
              <w:t>Cost</w:t>
            </w:r>
          </w:p>
          <w:p w14:paraId="749A33DC" w14:textId="0D4F8C2A" w:rsidR="00FD219C" w:rsidRPr="004B3295" w:rsidRDefault="00FD219C" w:rsidP="003C04C4">
            <w:pPr>
              <w:spacing w:line="240" w:lineRule="auto"/>
              <w:jc w:val="center"/>
              <w:rPr>
                <w:rFonts w:cs="Times New Roman"/>
                <w:b/>
                <w:szCs w:val="24"/>
              </w:rPr>
            </w:pPr>
            <w:r w:rsidRPr="00FD219C">
              <w:rPr>
                <w:rFonts w:cs="Times New Roman"/>
                <w:b/>
                <w:szCs w:val="24"/>
              </w:rPr>
              <w:t>(Millions)</w:t>
            </w:r>
          </w:p>
        </w:tc>
        <w:tc>
          <w:tcPr>
            <w:tcW w:w="1350" w:type="dxa"/>
            <w:shd w:val="clear" w:color="auto" w:fill="BFBFBF" w:themeFill="background1" w:themeFillShade="BF"/>
            <w:vAlign w:val="center"/>
          </w:tcPr>
          <w:p w14:paraId="6318C10A" w14:textId="77777777" w:rsidR="00D31AAC" w:rsidRDefault="000F5B51" w:rsidP="003C04C4">
            <w:pPr>
              <w:spacing w:line="240" w:lineRule="auto"/>
              <w:jc w:val="center"/>
              <w:rPr>
                <w:b/>
                <w:szCs w:val="24"/>
              </w:rPr>
            </w:pPr>
            <w:r w:rsidRPr="004B3295">
              <w:rPr>
                <w:b/>
                <w:szCs w:val="24"/>
              </w:rPr>
              <w:t>Cost per Equivalent Live Saved</w:t>
            </w:r>
          </w:p>
          <w:p w14:paraId="5AC46ABE" w14:textId="02D99484" w:rsidR="00FD219C" w:rsidRPr="004B3295" w:rsidRDefault="00FD219C" w:rsidP="003C04C4">
            <w:pPr>
              <w:spacing w:line="240" w:lineRule="auto"/>
              <w:jc w:val="center"/>
              <w:rPr>
                <w:rFonts w:cs="Times New Roman"/>
                <w:b/>
                <w:szCs w:val="24"/>
              </w:rPr>
            </w:pPr>
            <w:r w:rsidRPr="00FD219C">
              <w:rPr>
                <w:rFonts w:cs="Times New Roman"/>
                <w:b/>
                <w:szCs w:val="24"/>
              </w:rPr>
              <w:t>(Millions)</w:t>
            </w:r>
          </w:p>
        </w:tc>
        <w:tc>
          <w:tcPr>
            <w:tcW w:w="1353" w:type="dxa"/>
            <w:shd w:val="clear" w:color="auto" w:fill="BFBFBF" w:themeFill="background1" w:themeFillShade="BF"/>
            <w:vAlign w:val="center"/>
          </w:tcPr>
          <w:p w14:paraId="3C3FE38D" w14:textId="77777777" w:rsidR="00D31AAC" w:rsidRPr="004B3295" w:rsidRDefault="000F5B51" w:rsidP="003C04C4">
            <w:pPr>
              <w:spacing w:line="240" w:lineRule="auto"/>
              <w:jc w:val="center"/>
              <w:rPr>
                <w:b/>
                <w:szCs w:val="24"/>
              </w:rPr>
            </w:pPr>
            <w:r w:rsidRPr="004B3295">
              <w:rPr>
                <w:b/>
                <w:szCs w:val="24"/>
              </w:rPr>
              <w:t>Equivalent Lives Saved</w:t>
            </w:r>
          </w:p>
        </w:tc>
        <w:tc>
          <w:tcPr>
            <w:tcW w:w="1354" w:type="dxa"/>
            <w:shd w:val="clear" w:color="auto" w:fill="BFBFBF" w:themeFill="background1" w:themeFillShade="BF"/>
            <w:vAlign w:val="center"/>
          </w:tcPr>
          <w:p w14:paraId="308C0FA0" w14:textId="77777777" w:rsidR="00FD219C" w:rsidRDefault="000F5B51" w:rsidP="003C04C4">
            <w:pPr>
              <w:spacing w:line="240" w:lineRule="auto"/>
              <w:jc w:val="center"/>
              <w:rPr>
                <w:b/>
                <w:szCs w:val="24"/>
              </w:rPr>
            </w:pPr>
            <w:r w:rsidRPr="004B3295">
              <w:rPr>
                <w:b/>
                <w:szCs w:val="24"/>
              </w:rPr>
              <w:t>Cost</w:t>
            </w:r>
          </w:p>
          <w:p w14:paraId="7A095A9B" w14:textId="458F9676" w:rsidR="00D31AAC" w:rsidRPr="004B3295" w:rsidRDefault="00FD219C" w:rsidP="003C04C4">
            <w:pPr>
              <w:spacing w:line="240" w:lineRule="auto"/>
              <w:jc w:val="center"/>
              <w:rPr>
                <w:b/>
                <w:szCs w:val="24"/>
              </w:rPr>
            </w:pPr>
            <w:r w:rsidRPr="00FD219C">
              <w:rPr>
                <w:b/>
                <w:szCs w:val="24"/>
              </w:rPr>
              <w:t>(Millions)</w:t>
            </w:r>
          </w:p>
        </w:tc>
        <w:tc>
          <w:tcPr>
            <w:tcW w:w="1354" w:type="dxa"/>
            <w:shd w:val="clear" w:color="auto" w:fill="BFBFBF" w:themeFill="background1" w:themeFillShade="BF"/>
            <w:vAlign w:val="center"/>
          </w:tcPr>
          <w:p w14:paraId="1092E1E5" w14:textId="77777777" w:rsidR="00FD219C" w:rsidRDefault="000F5B51" w:rsidP="003C04C4">
            <w:pPr>
              <w:spacing w:line="240" w:lineRule="auto"/>
              <w:jc w:val="center"/>
              <w:rPr>
                <w:b/>
                <w:szCs w:val="24"/>
              </w:rPr>
            </w:pPr>
            <w:r w:rsidRPr="004B3295">
              <w:rPr>
                <w:b/>
                <w:szCs w:val="24"/>
              </w:rPr>
              <w:t>Cost per Equivalent Live Saved</w:t>
            </w:r>
          </w:p>
          <w:p w14:paraId="53E5E9F6" w14:textId="1FC98227" w:rsidR="00D31AAC" w:rsidRPr="004B3295" w:rsidRDefault="00FD219C" w:rsidP="003C04C4">
            <w:pPr>
              <w:spacing w:line="240" w:lineRule="auto"/>
              <w:jc w:val="center"/>
              <w:rPr>
                <w:b/>
                <w:szCs w:val="24"/>
              </w:rPr>
            </w:pPr>
            <w:r w:rsidRPr="00FD219C">
              <w:rPr>
                <w:b/>
                <w:szCs w:val="24"/>
              </w:rPr>
              <w:t>(Millions)</w:t>
            </w:r>
          </w:p>
        </w:tc>
      </w:tr>
      <w:tr w:rsidR="00A15C2C" w14:paraId="07495F94" w14:textId="77777777" w:rsidTr="00716965">
        <w:trPr>
          <w:trHeight w:val="114"/>
        </w:trPr>
        <w:tc>
          <w:tcPr>
            <w:tcW w:w="1255" w:type="dxa"/>
            <w:vMerge w:val="restart"/>
          </w:tcPr>
          <w:p w14:paraId="545DC651" w14:textId="77777777" w:rsidR="001D5CD6" w:rsidRPr="004B3295" w:rsidRDefault="000F5B51" w:rsidP="001D5CD6">
            <w:pPr>
              <w:spacing w:line="240" w:lineRule="auto"/>
              <w:rPr>
                <w:szCs w:val="24"/>
              </w:rPr>
            </w:pPr>
            <w:bookmarkStart w:id="1346" w:name="_Hlk126850179"/>
            <w:r w:rsidRPr="004B3295">
              <w:rPr>
                <w:szCs w:val="24"/>
              </w:rPr>
              <w:t>Rear Seat Occupants</w:t>
            </w:r>
          </w:p>
        </w:tc>
        <w:tc>
          <w:tcPr>
            <w:tcW w:w="720" w:type="dxa"/>
          </w:tcPr>
          <w:p w14:paraId="2C8DF528" w14:textId="77777777" w:rsidR="001D5CD6" w:rsidRPr="004B3295" w:rsidRDefault="000F5B51" w:rsidP="001D5CD6">
            <w:pPr>
              <w:spacing w:line="240" w:lineRule="auto"/>
              <w:jc w:val="center"/>
              <w:rPr>
                <w:rFonts w:cs="Times New Roman"/>
                <w:szCs w:val="24"/>
              </w:rPr>
            </w:pPr>
            <w:r w:rsidRPr="004B3295">
              <w:rPr>
                <w:rFonts w:cs="Times New Roman"/>
                <w:szCs w:val="24"/>
              </w:rPr>
              <w:t>Lo</w:t>
            </w:r>
          </w:p>
        </w:tc>
        <w:tc>
          <w:tcPr>
            <w:tcW w:w="1350" w:type="dxa"/>
          </w:tcPr>
          <w:p w14:paraId="5D02D04D" w14:textId="77777777" w:rsidR="001D5CD6" w:rsidRPr="004B3295" w:rsidRDefault="000F5B51" w:rsidP="001D5CD6">
            <w:pPr>
              <w:spacing w:line="240" w:lineRule="auto"/>
              <w:jc w:val="center"/>
              <w:rPr>
                <w:rFonts w:cs="Times New Roman"/>
                <w:szCs w:val="24"/>
              </w:rPr>
            </w:pPr>
            <w:r w:rsidRPr="004B3295">
              <w:rPr>
                <w:szCs w:val="24"/>
              </w:rPr>
              <w:t>21.9</w:t>
            </w:r>
          </w:p>
        </w:tc>
        <w:tc>
          <w:tcPr>
            <w:tcW w:w="1260" w:type="dxa"/>
            <w:vMerge w:val="restart"/>
            <w:vAlign w:val="center"/>
          </w:tcPr>
          <w:p w14:paraId="4FFE12D5" w14:textId="77777777" w:rsidR="001D5CD6" w:rsidRPr="004B3295" w:rsidRDefault="000F5B51" w:rsidP="001D5CD6">
            <w:pPr>
              <w:spacing w:line="240" w:lineRule="auto"/>
              <w:jc w:val="center"/>
              <w:rPr>
                <w:szCs w:val="24"/>
              </w:rPr>
            </w:pPr>
            <w:r w:rsidRPr="004B3295">
              <w:rPr>
                <w:szCs w:val="24"/>
              </w:rPr>
              <w:t>$166.4</w:t>
            </w:r>
          </w:p>
        </w:tc>
        <w:tc>
          <w:tcPr>
            <w:tcW w:w="1350" w:type="dxa"/>
            <w:vAlign w:val="center"/>
          </w:tcPr>
          <w:p w14:paraId="61254EB1" w14:textId="77777777" w:rsidR="001D5CD6" w:rsidRPr="004B3295" w:rsidRDefault="000F5B51" w:rsidP="001D5CD6">
            <w:pPr>
              <w:spacing w:line="240" w:lineRule="auto"/>
              <w:jc w:val="center"/>
              <w:rPr>
                <w:szCs w:val="24"/>
              </w:rPr>
            </w:pPr>
            <w:r w:rsidRPr="004B3295">
              <w:rPr>
                <w:szCs w:val="24"/>
              </w:rPr>
              <w:t>$7.61</w:t>
            </w:r>
          </w:p>
        </w:tc>
        <w:tc>
          <w:tcPr>
            <w:tcW w:w="1353" w:type="dxa"/>
            <w:vAlign w:val="center"/>
          </w:tcPr>
          <w:p w14:paraId="6F48C9EB" w14:textId="77777777" w:rsidR="001D5CD6" w:rsidRPr="004B3295" w:rsidRDefault="000F5B51" w:rsidP="001D5CD6">
            <w:pPr>
              <w:spacing w:line="240" w:lineRule="auto"/>
              <w:jc w:val="center"/>
              <w:rPr>
                <w:szCs w:val="24"/>
              </w:rPr>
            </w:pPr>
            <w:r w:rsidRPr="004B3295">
              <w:rPr>
                <w:szCs w:val="24"/>
              </w:rPr>
              <w:t>17.7</w:t>
            </w:r>
          </w:p>
        </w:tc>
        <w:tc>
          <w:tcPr>
            <w:tcW w:w="1354" w:type="dxa"/>
            <w:vMerge w:val="restart"/>
            <w:vAlign w:val="center"/>
          </w:tcPr>
          <w:p w14:paraId="5677329B" w14:textId="77777777" w:rsidR="001D5CD6" w:rsidRPr="004B3295" w:rsidRDefault="000F5B51" w:rsidP="001D5CD6">
            <w:pPr>
              <w:spacing w:line="240" w:lineRule="auto"/>
              <w:jc w:val="center"/>
              <w:rPr>
                <w:szCs w:val="24"/>
              </w:rPr>
            </w:pPr>
            <w:r w:rsidRPr="004B3295">
              <w:rPr>
                <w:szCs w:val="24"/>
              </w:rPr>
              <w:t>$166.4</w:t>
            </w:r>
          </w:p>
        </w:tc>
        <w:tc>
          <w:tcPr>
            <w:tcW w:w="1354" w:type="dxa"/>
            <w:vAlign w:val="center"/>
          </w:tcPr>
          <w:p w14:paraId="35DD566D" w14:textId="77777777" w:rsidR="001D5CD6" w:rsidRPr="004B3295" w:rsidRDefault="000F5B51" w:rsidP="001D5CD6">
            <w:pPr>
              <w:spacing w:line="240" w:lineRule="auto"/>
              <w:jc w:val="center"/>
              <w:rPr>
                <w:szCs w:val="24"/>
              </w:rPr>
            </w:pPr>
            <w:r w:rsidRPr="004B3295">
              <w:rPr>
                <w:szCs w:val="24"/>
              </w:rPr>
              <w:t>$9.38</w:t>
            </w:r>
          </w:p>
        </w:tc>
      </w:tr>
      <w:tr w:rsidR="00A15C2C" w14:paraId="23EC806A" w14:textId="77777777" w:rsidTr="00716965">
        <w:trPr>
          <w:trHeight w:val="114"/>
        </w:trPr>
        <w:tc>
          <w:tcPr>
            <w:tcW w:w="1255" w:type="dxa"/>
            <w:vMerge/>
          </w:tcPr>
          <w:p w14:paraId="24E46B49" w14:textId="77777777" w:rsidR="001D5CD6" w:rsidRPr="004B3295" w:rsidRDefault="001D5CD6" w:rsidP="001D5CD6">
            <w:pPr>
              <w:spacing w:line="240" w:lineRule="auto"/>
              <w:rPr>
                <w:szCs w:val="24"/>
              </w:rPr>
            </w:pPr>
          </w:p>
        </w:tc>
        <w:tc>
          <w:tcPr>
            <w:tcW w:w="720" w:type="dxa"/>
          </w:tcPr>
          <w:p w14:paraId="69F4A409" w14:textId="77777777" w:rsidR="001D5CD6" w:rsidRPr="004B3295" w:rsidRDefault="000F5B51" w:rsidP="001D5CD6">
            <w:pPr>
              <w:spacing w:line="240" w:lineRule="auto"/>
              <w:jc w:val="center"/>
              <w:rPr>
                <w:rFonts w:cs="Times New Roman"/>
                <w:szCs w:val="24"/>
              </w:rPr>
            </w:pPr>
            <w:r w:rsidRPr="004B3295">
              <w:rPr>
                <w:rFonts w:cs="Times New Roman"/>
                <w:szCs w:val="24"/>
              </w:rPr>
              <w:t>Hi</w:t>
            </w:r>
          </w:p>
        </w:tc>
        <w:tc>
          <w:tcPr>
            <w:tcW w:w="1350" w:type="dxa"/>
          </w:tcPr>
          <w:p w14:paraId="6945E946" w14:textId="77777777" w:rsidR="001D5CD6" w:rsidRPr="004B3295" w:rsidRDefault="000F5B51" w:rsidP="001D5CD6">
            <w:pPr>
              <w:spacing w:line="240" w:lineRule="auto"/>
              <w:jc w:val="center"/>
              <w:rPr>
                <w:rFonts w:cs="Times New Roman"/>
                <w:szCs w:val="24"/>
              </w:rPr>
            </w:pPr>
            <w:r w:rsidRPr="004B3295">
              <w:rPr>
                <w:rFonts w:cs="Times New Roman"/>
                <w:szCs w:val="24"/>
              </w:rPr>
              <w:t>32.9</w:t>
            </w:r>
          </w:p>
        </w:tc>
        <w:tc>
          <w:tcPr>
            <w:tcW w:w="1260" w:type="dxa"/>
            <w:vMerge/>
            <w:vAlign w:val="center"/>
          </w:tcPr>
          <w:p w14:paraId="3A1313DF" w14:textId="77777777" w:rsidR="001D5CD6" w:rsidRPr="004B3295" w:rsidRDefault="001D5CD6" w:rsidP="001D5CD6">
            <w:pPr>
              <w:spacing w:line="240" w:lineRule="auto"/>
              <w:jc w:val="center"/>
              <w:rPr>
                <w:szCs w:val="24"/>
              </w:rPr>
            </w:pPr>
          </w:p>
        </w:tc>
        <w:tc>
          <w:tcPr>
            <w:tcW w:w="1350" w:type="dxa"/>
            <w:vAlign w:val="center"/>
          </w:tcPr>
          <w:p w14:paraId="08EE2C01" w14:textId="77777777" w:rsidR="001D5CD6" w:rsidRPr="004B3295" w:rsidRDefault="000F5B51" w:rsidP="001D5CD6">
            <w:pPr>
              <w:spacing w:line="240" w:lineRule="auto"/>
              <w:jc w:val="center"/>
              <w:rPr>
                <w:szCs w:val="24"/>
              </w:rPr>
            </w:pPr>
            <w:r w:rsidRPr="004B3295">
              <w:rPr>
                <w:szCs w:val="24"/>
              </w:rPr>
              <w:t>$5.05</w:t>
            </w:r>
          </w:p>
        </w:tc>
        <w:tc>
          <w:tcPr>
            <w:tcW w:w="1353" w:type="dxa"/>
            <w:vAlign w:val="center"/>
          </w:tcPr>
          <w:p w14:paraId="341ADB9C" w14:textId="77777777" w:rsidR="001D5CD6" w:rsidRPr="004B3295" w:rsidRDefault="000F5B51" w:rsidP="001D5CD6">
            <w:pPr>
              <w:spacing w:line="240" w:lineRule="auto"/>
              <w:jc w:val="center"/>
              <w:rPr>
                <w:szCs w:val="24"/>
              </w:rPr>
            </w:pPr>
            <w:r w:rsidRPr="004B3295">
              <w:rPr>
                <w:szCs w:val="24"/>
              </w:rPr>
              <w:t>26.7</w:t>
            </w:r>
          </w:p>
        </w:tc>
        <w:tc>
          <w:tcPr>
            <w:tcW w:w="1354" w:type="dxa"/>
            <w:vMerge/>
            <w:vAlign w:val="center"/>
          </w:tcPr>
          <w:p w14:paraId="0567C0D3" w14:textId="77777777" w:rsidR="001D5CD6" w:rsidRPr="004B3295" w:rsidRDefault="001D5CD6" w:rsidP="001D5CD6">
            <w:pPr>
              <w:spacing w:line="240" w:lineRule="auto"/>
              <w:jc w:val="center"/>
              <w:rPr>
                <w:szCs w:val="24"/>
              </w:rPr>
            </w:pPr>
          </w:p>
        </w:tc>
        <w:tc>
          <w:tcPr>
            <w:tcW w:w="1354" w:type="dxa"/>
            <w:vAlign w:val="center"/>
          </w:tcPr>
          <w:p w14:paraId="785D0743" w14:textId="77777777" w:rsidR="001D5CD6" w:rsidRPr="004B3295" w:rsidRDefault="000F5B51" w:rsidP="001D5CD6">
            <w:pPr>
              <w:spacing w:line="240" w:lineRule="auto"/>
              <w:jc w:val="center"/>
              <w:rPr>
                <w:szCs w:val="24"/>
              </w:rPr>
            </w:pPr>
            <w:r w:rsidRPr="004B3295">
              <w:rPr>
                <w:szCs w:val="24"/>
              </w:rPr>
              <w:t>$6.23</w:t>
            </w:r>
          </w:p>
        </w:tc>
      </w:tr>
      <w:bookmarkEnd w:id="1346"/>
      <w:tr w:rsidR="00A15C2C" w14:paraId="71A8432E" w14:textId="77777777" w:rsidTr="00716965">
        <w:trPr>
          <w:trHeight w:val="114"/>
        </w:trPr>
        <w:tc>
          <w:tcPr>
            <w:tcW w:w="1975" w:type="dxa"/>
            <w:gridSpan w:val="2"/>
            <w:vAlign w:val="center"/>
          </w:tcPr>
          <w:p w14:paraId="43072BB7" w14:textId="77777777" w:rsidR="00D33D60" w:rsidRPr="004B3295" w:rsidRDefault="000F5B51" w:rsidP="00CC65F7">
            <w:pPr>
              <w:spacing w:line="240" w:lineRule="auto"/>
              <w:rPr>
                <w:rFonts w:cs="Times New Roman"/>
                <w:szCs w:val="24"/>
              </w:rPr>
            </w:pPr>
            <w:r w:rsidRPr="004B3295">
              <w:rPr>
                <w:szCs w:val="24"/>
              </w:rPr>
              <w:t>Front Seat Occupants</w:t>
            </w:r>
          </w:p>
        </w:tc>
        <w:tc>
          <w:tcPr>
            <w:tcW w:w="1350" w:type="dxa"/>
            <w:vAlign w:val="center"/>
          </w:tcPr>
          <w:p w14:paraId="0524D0B8" w14:textId="774E967B" w:rsidR="00D33D60" w:rsidRPr="004B3295" w:rsidRDefault="00423086" w:rsidP="00D33D60">
            <w:pPr>
              <w:spacing w:line="240" w:lineRule="auto"/>
              <w:jc w:val="center"/>
              <w:rPr>
                <w:rFonts w:cs="Times New Roman"/>
                <w:szCs w:val="24"/>
              </w:rPr>
            </w:pPr>
            <w:r>
              <w:rPr>
                <w:szCs w:val="24"/>
              </w:rPr>
              <w:t>76.4</w:t>
            </w:r>
          </w:p>
        </w:tc>
        <w:tc>
          <w:tcPr>
            <w:tcW w:w="1260" w:type="dxa"/>
            <w:vAlign w:val="center"/>
          </w:tcPr>
          <w:p w14:paraId="7067D006" w14:textId="77777777" w:rsidR="00D33D60" w:rsidRPr="004B3295" w:rsidRDefault="000F5B51" w:rsidP="00D33D60">
            <w:pPr>
              <w:spacing w:line="240" w:lineRule="auto"/>
              <w:jc w:val="center"/>
              <w:rPr>
                <w:szCs w:val="24"/>
              </w:rPr>
            </w:pPr>
            <w:r>
              <w:rPr>
                <w:szCs w:val="24"/>
              </w:rPr>
              <w:t>$1.4</w:t>
            </w:r>
          </w:p>
        </w:tc>
        <w:tc>
          <w:tcPr>
            <w:tcW w:w="1350" w:type="dxa"/>
            <w:vAlign w:val="center"/>
          </w:tcPr>
          <w:p w14:paraId="59A46453" w14:textId="1CEFF116" w:rsidR="00D33D60" w:rsidRPr="004B3295" w:rsidRDefault="00C135C6" w:rsidP="00D33D60">
            <w:pPr>
              <w:spacing w:line="240" w:lineRule="auto"/>
              <w:jc w:val="center"/>
              <w:rPr>
                <w:szCs w:val="24"/>
              </w:rPr>
            </w:pPr>
            <w:r>
              <w:rPr>
                <w:szCs w:val="24"/>
              </w:rPr>
              <w:t>$0.02</w:t>
            </w:r>
          </w:p>
        </w:tc>
        <w:tc>
          <w:tcPr>
            <w:tcW w:w="1353" w:type="dxa"/>
            <w:vAlign w:val="center"/>
          </w:tcPr>
          <w:p w14:paraId="12A99E98" w14:textId="3C009682" w:rsidR="00D33D60" w:rsidRPr="004B3295" w:rsidRDefault="00423086" w:rsidP="00D33D60">
            <w:pPr>
              <w:spacing w:line="240" w:lineRule="auto"/>
              <w:jc w:val="center"/>
              <w:rPr>
                <w:szCs w:val="24"/>
              </w:rPr>
            </w:pPr>
            <w:r>
              <w:rPr>
                <w:szCs w:val="24"/>
              </w:rPr>
              <w:t>62.0</w:t>
            </w:r>
          </w:p>
        </w:tc>
        <w:tc>
          <w:tcPr>
            <w:tcW w:w="1354" w:type="dxa"/>
            <w:vAlign w:val="center"/>
          </w:tcPr>
          <w:p w14:paraId="1035E9EA" w14:textId="77777777" w:rsidR="00D33D60" w:rsidRPr="004B3295" w:rsidRDefault="000F5B51" w:rsidP="00D33D60">
            <w:pPr>
              <w:spacing w:line="240" w:lineRule="auto"/>
              <w:jc w:val="center"/>
              <w:rPr>
                <w:szCs w:val="24"/>
              </w:rPr>
            </w:pPr>
            <w:r>
              <w:rPr>
                <w:szCs w:val="24"/>
              </w:rPr>
              <w:t>$1.4</w:t>
            </w:r>
          </w:p>
        </w:tc>
        <w:tc>
          <w:tcPr>
            <w:tcW w:w="1354" w:type="dxa"/>
            <w:vAlign w:val="center"/>
          </w:tcPr>
          <w:p w14:paraId="7F5B6E6D" w14:textId="7D9AD7EF" w:rsidR="00D33D60" w:rsidRPr="004B3295" w:rsidRDefault="00C135C6" w:rsidP="00D33D60">
            <w:pPr>
              <w:spacing w:line="240" w:lineRule="auto"/>
              <w:jc w:val="center"/>
              <w:rPr>
                <w:szCs w:val="24"/>
              </w:rPr>
            </w:pPr>
            <w:r>
              <w:rPr>
                <w:szCs w:val="24"/>
              </w:rPr>
              <w:t>$0.02</w:t>
            </w:r>
          </w:p>
        </w:tc>
      </w:tr>
      <w:tr w:rsidR="00A15C2C" w14:paraId="0A34A1C5" w14:textId="77777777" w:rsidTr="00716965">
        <w:trPr>
          <w:trHeight w:val="114"/>
        </w:trPr>
        <w:tc>
          <w:tcPr>
            <w:tcW w:w="1255" w:type="dxa"/>
            <w:vMerge w:val="restart"/>
            <w:vAlign w:val="center"/>
          </w:tcPr>
          <w:p w14:paraId="5F263804" w14:textId="77777777" w:rsidR="00D33D60" w:rsidRPr="004B3295" w:rsidRDefault="000F5B51">
            <w:pPr>
              <w:spacing w:line="240" w:lineRule="auto"/>
              <w:rPr>
                <w:b/>
                <w:szCs w:val="24"/>
              </w:rPr>
            </w:pPr>
            <w:r w:rsidRPr="004B3295">
              <w:rPr>
                <w:b/>
                <w:szCs w:val="24"/>
              </w:rPr>
              <w:t>Total</w:t>
            </w:r>
          </w:p>
        </w:tc>
        <w:tc>
          <w:tcPr>
            <w:tcW w:w="720" w:type="dxa"/>
          </w:tcPr>
          <w:p w14:paraId="583FD87A" w14:textId="77777777" w:rsidR="00D33D60" w:rsidRPr="004B3295" w:rsidRDefault="000F5B51" w:rsidP="00D33D60">
            <w:pPr>
              <w:spacing w:line="240" w:lineRule="auto"/>
              <w:jc w:val="center"/>
              <w:rPr>
                <w:rFonts w:cs="Times New Roman"/>
                <w:b/>
                <w:szCs w:val="24"/>
              </w:rPr>
            </w:pPr>
            <w:r w:rsidRPr="004B3295">
              <w:rPr>
                <w:rFonts w:cs="Times New Roman"/>
                <w:b/>
                <w:szCs w:val="24"/>
              </w:rPr>
              <w:t>Lo</w:t>
            </w:r>
          </w:p>
        </w:tc>
        <w:tc>
          <w:tcPr>
            <w:tcW w:w="1350" w:type="dxa"/>
          </w:tcPr>
          <w:p w14:paraId="2460B729" w14:textId="385ADC71" w:rsidR="00D33D60" w:rsidRPr="004B3295" w:rsidRDefault="00D428F2" w:rsidP="00D33D60">
            <w:pPr>
              <w:spacing w:line="240" w:lineRule="auto"/>
              <w:jc w:val="center"/>
              <w:rPr>
                <w:rFonts w:cs="Times New Roman"/>
                <w:b/>
                <w:szCs w:val="24"/>
              </w:rPr>
            </w:pPr>
            <w:r>
              <w:rPr>
                <w:b/>
                <w:szCs w:val="24"/>
              </w:rPr>
              <w:t>98.3</w:t>
            </w:r>
          </w:p>
        </w:tc>
        <w:tc>
          <w:tcPr>
            <w:tcW w:w="1260" w:type="dxa"/>
            <w:vMerge w:val="restart"/>
            <w:vAlign w:val="center"/>
          </w:tcPr>
          <w:p w14:paraId="2D5F5685" w14:textId="77777777" w:rsidR="00D33D60" w:rsidRPr="004B3295" w:rsidRDefault="000F5B51" w:rsidP="00D33D60">
            <w:pPr>
              <w:spacing w:line="240" w:lineRule="auto"/>
              <w:jc w:val="center"/>
              <w:rPr>
                <w:b/>
                <w:szCs w:val="24"/>
              </w:rPr>
            </w:pPr>
            <w:r w:rsidRPr="004B3295">
              <w:rPr>
                <w:b/>
                <w:szCs w:val="24"/>
              </w:rPr>
              <w:t>$167.8</w:t>
            </w:r>
          </w:p>
        </w:tc>
        <w:tc>
          <w:tcPr>
            <w:tcW w:w="1350" w:type="dxa"/>
            <w:vAlign w:val="center"/>
          </w:tcPr>
          <w:p w14:paraId="3D86EFC1" w14:textId="10C7B531" w:rsidR="00D33D60" w:rsidRPr="004B3295" w:rsidRDefault="000E65EA" w:rsidP="00D33D60">
            <w:pPr>
              <w:spacing w:line="240" w:lineRule="auto"/>
              <w:jc w:val="center"/>
              <w:rPr>
                <w:b/>
                <w:szCs w:val="24"/>
              </w:rPr>
            </w:pPr>
            <w:r>
              <w:rPr>
                <w:b/>
                <w:szCs w:val="24"/>
              </w:rPr>
              <w:t>$1.71</w:t>
            </w:r>
          </w:p>
        </w:tc>
        <w:tc>
          <w:tcPr>
            <w:tcW w:w="1353" w:type="dxa"/>
            <w:vAlign w:val="center"/>
          </w:tcPr>
          <w:p w14:paraId="7CA884DE" w14:textId="587EDFFB" w:rsidR="00D33D60" w:rsidRPr="004B3295" w:rsidRDefault="00D428F2" w:rsidP="00D33D60">
            <w:pPr>
              <w:spacing w:line="240" w:lineRule="auto"/>
              <w:jc w:val="center"/>
              <w:rPr>
                <w:b/>
                <w:szCs w:val="24"/>
              </w:rPr>
            </w:pPr>
            <w:r>
              <w:rPr>
                <w:b/>
                <w:szCs w:val="24"/>
              </w:rPr>
              <w:t>79.7</w:t>
            </w:r>
          </w:p>
        </w:tc>
        <w:tc>
          <w:tcPr>
            <w:tcW w:w="1354" w:type="dxa"/>
            <w:vMerge w:val="restart"/>
            <w:vAlign w:val="center"/>
          </w:tcPr>
          <w:p w14:paraId="67FE3CF8" w14:textId="77777777" w:rsidR="00D33D60" w:rsidRPr="004B3295" w:rsidRDefault="000F5B51" w:rsidP="00D33D60">
            <w:pPr>
              <w:spacing w:line="240" w:lineRule="auto"/>
              <w:jc w:val="center"/>
              <w:rPr>
                <w:b/>
                <w:szCs w:val="24"/>
              </w:rPr>
            </w:pPr>
            <w:r w:rsidRPr="004B3295">
              <w:rPr>
                <w:b/>
                <w:szCs w:val="24"/>
              </w:rPr>
              <w:t>$167.8</w:t>
            </w:r>
          </w:p>
        </w:tc>
        <w:tc>
          <w:tcPr>
            <w:tcW w:w="1354" w:type="dxa"/>
            <w:vAlign w:val="center"/>
          </w:tcPr>
          <w:p w14:paraId="1F75EDE8" w14:textId="16638F74" w:rsidR="00D33D60" w:rsidRPr="004B3295" w:rsidRDefault="000E65EA" w:rsidP="00D33D60">
            <w:pPr>
              <w:spacing w:line="240" w:lineRule="auto"/>
              <w:jc w:val="center"/>
              <w:rPr>
                <w:b/>
                <w:szCs w:val="24"/>
              </w:rPr>
            </w:pPr>
            <w:r>
              <w:rPr>
                <w:b/>
                <w:szCs w:val="24"/>
              </w:rPr>
              <w:t>$2.10</w:t>
            </w:r>
          </w:p>
        </w:tc>
      </w:tr>
      <w:tr w:rsidR="00A15C2C" w14:paraId="34BA320F" w14:textId="77777777" w:rsidTr="00716965">
        <w:trPr>
          <w:trHeight w:val="114"/>
        </w:trPr>
        <w:tc>
          <w:tcPr>
            <w:tcW w:w="1255" w:type="dxa"/>
            <w:vMerge/>
          </w:tcPr>
          <w:p w14:paraId="202EB6CB" w14:textId="77777777" w:rsidR="00D33D60" w:rsidRPr="004B3295" w:rsidRDefault="00D33D60" w:rsidP="00D33D60">
            <w:pPr>
              <w:spacing w:line="240" w:lineRule="auto"/>
              <w:rPr>
                <w:szCs w:val="24"/>
              </w:rPr>
            </w:pPr>
          </w:p>
        </w:tc>
        <w:tc>
          <w:tcPr>
            <w:tcW w:w="720" w:type="dxa"/>
          </w:tcPr>
          <w:p w14:paraId="3B275460" w14:textId="77777777" w:rsidR="00D33D60" w:rsidRPr="004B3295" w:rsidRDefault="000F5B51" w:rsidP="00D33D60">
            <w:pPr>
              <w:spacing w:line="240" w:lineRule="auto"/>
              <w:jc w:val="center"/>
              <w:rPr>
                <w:rFonts w:cs="Times New Roman"/>
                <w:b/>
                <w:szCs w:val="24"/>
              </w:rPr>
            </w:pPr>
            <w:r w:rsidRPr="004B3295">
              <w:rPr>
                <w:rFonts w:cs="Times New Roman"/>
                <w:b/>
                <w:szCs w:val="24"/>
              </w:rPr>
              <w:t>Hi</w:t>
            </w:r>
          </w:p>
        </w:tc>
        <w:tc>
          <w:tcPr>
            <w:tcW w:w="1350" w:type="dxa"/>
          </w:tcPr>
          <w:p w14:paraId="6EDCBD6A" w14:textId="048324DE" w:rsidR="00D33D60" w:rsidRPr="004B3295" w:rsidRDefault="00D428F2" w:rsidP="00D33D60">
            <w:pPr>
              <w:spacing w:line="240" w:lineRule="auto"/>
              <w:jc w:val="center"/>
              <w:rPr>
                <w:rFonts w:cs="Times New Roman"/>
                <w:b/>
                <w:szCs w:val="24"/>
              </w:rPr>
            </w:pPr>
            <w:r>
              <w:rPr>
                <w:b/>
                <w:szCs w:val="24"/>
              </w:rPr>
              <w:t>109.4</w:t>
            </w:r>
          </w:p>
        </w:tc>
        <w:tc>
          <w:tcPr>
            <w:tcW w:w="1260" w:type="dxa"/>
            <w:vMerge/>
            <w:vAlign w:val="center"/>
          </w:tcPr>
          <w:p w14:paraId="255B83D8" w14:textId="77777777" w:rsidR="00D33D60" w:rsidRPr="004B3295" w:rsidRDefault="00D33D60" w:rsidP="00D33D60">
            <w:pPr>
              <w:spacing w:line="240" w:lineRule="auto"/>
              <w:jc w:val="center"/>
              <w:rPr>
                <w:b/>
                <w:szCs w:val="24"/>
              </w:rPr>
            </w:pPr>
          </w:p>
        </w:tc>
        <w:tc>
          <w:tcPr>
            <w:tcW w:w="1350" w:type="dxa"/>
            <w:vAlign w:val="center"/>
          </w:tcPr>
          <w:p w14:paraId="42DDC485" w14:textId="362A1651" w:rsidR="00D33D60" w:rsidRPr="004B3295" w:rsidRDefault="000E65EA" w:rsidP="00D33D60">
            <w:pPr>
              <w:spacing w:line="240" w:lineRule="auto"/>
              <w:jc w:val="center"/>
              <w:rPr>
                <w:b/>
                <w:szCs w:val="24"/>
              </w:rPr>
            </w:pPr>
            <w:r>
              <w:rPr>
                <w:b/>
                <w:szCs w:val="24"/>
              </w:rPr>
              <w:t>$1.53</w:t>
            </w:r>
          </w:p>
        </w:tc>
        <w:tc>
          <w:tcPr>
            <w:tcW w:w="1353" w:type="dxa"/>
            <w:vAlign w:val="center"/>
          </w:tcPr>
          <w:p w14:paraId="50C8EDFE" w14:textId="19496CF8" w:rsidR="00D33D60" w:rsidRPr="004B3295" w:rsidRDefault="00E33963" w:rsidP="00D33D60">
            <w:pPr>
              <w:spacing w:line="240" w:lineRule="auto"/>
              <w:jc w:val="center"/>
              <w:rPr>
                <w:b/>
                <w:szCs w:val="24"/>
              </w:rPr>
            </w:pPr>
            <w:r>
              <w:rPr>
                <w:b/>
                <w:szCs w:val="24"/>
              </w:rPr>
              <w:t>88.7</w:t>
            </w:r>
          </w:p>
        </w:tc>
        <w:tc>
          <w:tcPr>
            <w:tcW w:w="1354" w:type="dxa"/>
            <w:vMerge/>
            <w:vAlign w:val="center"/>
          </w:tcPr>
          <w:p w14:paraId="475F14A5" w14:textId="77777777" w:rsidR="00D33D60" w:rsidRPr="004B3295" w:rsidRDefault="00D33D60" w:rsidP="00D33D60">
            <w:pPr>
              <w:spacing w:line="240" w:lineRule="auto"/>
              <w:jc w:val="center"/>
              <w:rPr>
                <w:b/>
                <w:szCs w:val="24"/>
              </w:rPr>
            </w:pPr>
          </w:p>
        </w:tc>
        <w:tc>
          <w:tcPr>
            <w:tcW w:w="1354" w:type="dxa"/>
            <w:vAlign w:val="center"/>
          </w:tcPr>
          <w:p w14:paraId="25A7E2F2" w14:textId="30E63345" w:rsidR="00D33D60" w:rsidRPr="004B3295" w:rsidRDefault="000E65EA" w:rsidP="00D33D60">
            <w:pPr>
              <w:spacing w:line="240" w:lineRule="auto"/>
              <w:jc w:val="center"/>
              <w:rPr>
                <w:b/>
                <w:szCs w:val="24"/>
              </w:rPr>
            </w:pPr>
            <w:r>
              <w:rPr>
                <w:b/>
                <w:szCs w:val="24"/>
              </w:rPr>
              <w:t>$1.</w:t>
            </w:r>
            <w:r w:rsidR="00723024">
              <w:rPr>
                <w:b/>
                <w:szCs w:val="24"/>
              </w:rPr>
              <w:t>89</w:t>
            </w:r>
          </w:p>
        </w:tc>
      </w:tr>
    </w:tbl>
    <w:p w14:paraId="661F429D" w14:textId="0F61C597" w:rsidR="0067363A" w:rsidRPr="00934F2C" w:rsidRDefault="000F5B51" w:rsidP="0067363A">
      <w:pPr>
        <w:spacing w:after="0"/>
        <w:contextualSpacing/>
        <w:rPr>
          <w:rFonts w:cs="Times New Roman"/>
          <w:sz w:val="18"/>
          <w:szCs w:val="18"/>
        </w:rPr>
      </w:pPr>
      <w:r w:rsidRPr="00934F2C">
        <w:rPr>
          <w:rFonts w:cs="Times New Roman"/>
          <w:sz w:val="18"/>
          <w:szCs w:val="18"/>
        </w:rPr>
        <w:t xml:space="preserve">Note: </w:t>
      </w:r>
      <w:r w:rsidR="00496220">
        <w:rPr>
          <w:rFonts w:cs="Times New Roman"/>
          <w:sz w:val="18"/>
          <w:szCs w:val="18"/>
        </w:rPr>
        <w:t>V</w:t>
      </w:r>
      <w:r w:rsidRPr="00934F2C">
        <w:rPr>
          <w:rFonts w:cs="Times New Roman"/>
          <w:sz w:val="18"/>
          <w:szCs w:val="18"/>
        </w:rPr>
        <w:t>alues may not sum due to rounding.</w:t>
      </w:r>
    </w:p>
    <w:p w14:paraId="584B60B8" w14:textId="77777777" w:rsidR="00AC1B9B" w:rsidRDefault="000F5B51" w:rsidP="00D56CE7">
      <w:pPr>
        <w:pStyle w:val="Heading2"/>
        <w:spacing w:line="240" w:lineRule="auto"/>
      </w:pPr>
      <w:bookmarkStart w:id="1347" w:name="_Toc126912292"/>
      <w:bookmarkStart w:id="1348" w:name="_Toc127266033"/>
      <w:bookmarkStart w:id="1349" w:name="_Toc126912293"/>
      <w:bookmarkStart w:id="1350" w:name="_Toc127266034"/>
      <w:bookmarkStart w:id="1351" w:name="_Toc126912294"/>
      <w:bookmarkStart w:id="1352" w:name="_Toc127266035"/>
      <w:bookmarkStart w:id="1353" w:name="_Toc126912295"/>
      <w:bookmarkStart w:id="1354" w:name="_Toc127266036"/>
      <w:bookmarkStart w:id="1355" w:name="_Toc126912296"/>
      <w:bookmarkStart w:id="1356" w:name="_Toc127266037"/>
      <w:bookmarkStart w:id="1357" w:name="_Toc126912297"/>
      <w:bookmarkStart w:id="1358" w:name="_Toc127266038"/>
      <w:bookmarkStart w:id="1359" w:name="_Toc126912313"/>
      <w:bookmarkStart w:id="1360" w:name="_Toc127266054"/>
      <w:bookmarkStart w:id="1361" w:name="_Toc126912314"/>
      <w:bookmarkStart w:id="1362" w:name="_Toc127266055"/>
      <w:bookmarkStart w:id="1363" w:name="_Toc126912315"/>
      <w:bookmarkStart w:id="1364" w:name="_Toc127266056"/>
      <w:bookmarkStart w:id="1365" w:name="_Toc126912316"/>
      <w:bookmarkStart w:id="1366" w:name="_Toc127266057"/>
      <w:bookmarkStart w:id="1367" w:name="_Toc126912317"/>
      <w:bookmarkStart w:id="1368" w:name="_Toc127266058"/>
      <w:bookmarkStart w:id="1369" w:name="_Toc126912330"/>
      <w:bookmarkStart w:id="1370" w:name="_Toc127266071"/>
      <w:bookmarkStart w:id="1371" w:name="_Toc126912331"/>
      <w:bookmarkStart w:id="1372" w:name="_Toc127266072"/>
      <w:bookmarkStart w:id="1373" w:name="_Toc126912332"/>
      <w:bookmarkStart w:id="1374" w:name="_Toc127266073"/>
      <w:bookmarkStart w:id="1375" w:name="_Toc126912685"/>
      <w:bookmarkStart w:id="1376" w:name="_Toc127266426"/>
      <w:bookmarkStart w:id="1377" w:name="_Toc126912686"/>
      <w:bookmarkStart w:id="1378" w:name="_Toc127266427"/>
      <w:bookmarkStart w:id="1379" w:name="_Toc126913017"/>
      <w:bookmarkStart w:id="1380" w:name="_Toc127266758"/>
      <w:bookmarkStart w:id="1381" w:name="_Toc126913018"/>
      <w:bookmarkStart w:id="1382" w:name="_Toc127266759"/>
      <w:bookmarkStart w:id="1383" w:name="_Toc126913107"/>
      <w:bookmarkStart w:id="1384" w:name="_Toc127266848"/>
      <w:bookmarkStart w:id="1385" w:name="_Toc126913108"/>
      <w:bookmarkStart w:id="1386" w:name="_Toc127266849"/>
      <w:bookmarkStart w:id="1387" w:name="_Toc126913197"/>
      <w:bookmarkStart w:id="1388" w:name="_Toc127266938"/>
      <w:bookmarkStart w:id="1389" w:name="_Toc126913198"/>
      <w:bookmarkStart w:id="1390" w:name="_Toc127266939"/>
      <w:bookmarkStart w:id="1391" w:name="_Toc126913199"/>
      <w:bookmarkStart w:id="1392" w:name="_Toc127266940"/>
      <w:bookmarkStart w:id="1393" w:name="_Toc126913200"/>
      <w:bookmarkStart w:id="1394" w:name="_Toc127266941"/>
      <w:bookmarkStart w:id="1395" w:name="_Toc126913201"/>
      <w:bookmarkStart w:id="1396" w:name="_Toc127266942"/>
      <w:bookmarkStart w:id="1397" w:name="_Toc126913301"/>
      <w:bookmarkStart w:id="1398" w:name="_Toc127267042"/>
      <w:bookmarkStart w:id="1399" w:name="_Toc126913302"/>
      <w:bookmarkStart w:id="1400" w:name="_Toc127267043"/>
      <w:bookmarkStart w:id="1401" w:name="_Toc126913303"/>
      <w:bookmarkStart w:id="1402" w:name="_Toc127267044"/>
      <w:bookmarkStart w:id="1403" w:name="_Toc126913403"/>
      <w:bookmarkStart w:id="1404" w:name="_Toc127267144"/>
      <w:bookmarkStart w:id="1405" w:name="_Toc126913404"/>
      <w:bookmarkStart w:id="1406" w:name="_Toc127267145"/>
      <w:bookmarkStart w:id="1407" w:name="_Toc126913405"/>
      <w:bookmarkStart w:id="1408" w:name="_Toc127267146"/>
      <w:bookmarkStart w:id="1409" w:name="_Toc126913406"/>
      <w:bookmarkStart w:id="1410" w:name="_Toc127267147"/>
      <w:bookmarkStart w:id="1411" w:name="_Toc126913441"/>
      <w:bookmarkStart w:id="1412" w:name="_Toc127267182"/>
      <w:bookmarkStart w:id="1413" w:name="_Toc126913442"/>
      <w:bookmarkStart w:id="1414" w:name="_Toc127267183"/>
      <w:bookmarkStart w:id="1415" w:name="_Toc126913443"/>
      <w:bookmarkStart w:id="1416" w:name="_Toc127267184"/>
      <w:bookmarkStart w:id="1417" w:name="_Toc126913478"/>
      <w:bookmarkStart w:id="1418" w:name="_Toc127267219"/>
      <w:bookmarkStart w:id="1419" w:name="_Toc502652947"/>
      <w:bookmarkStart w:id="1420" w:name="_Toc502662647"/>
      <w:bookmarkStart w:id="1421" w:name="_Toc502664304"/>
      <w:bookmarkStart w:id="1422" w:name="_Toc502666973"/>
      <w:bookmarkStart w:id="1423" w:name="_Toc502652948"/>
      <w:bookmarkStart w:id="1424" w:name="_Toc502662648"/>
      <w:bookmarkStart w:id="1425" w:name="_Toc502664305"/>
      <w:bookmarkStart w:id="1426" w:name="_Toc502666974"/>
      <w:bookmarkStart w:id="1427" w:name="_Toc502652949"/>
      <w:bookmarkStart w:id="1428" w:name="_Toc502662649"/>
      <w:bookmarkStart w:id="1429" w:name="_Toc502664306"/>
      <w:bookmarkStart w:id="1430" w:name="_Toc502666975"/>
      <w:bookmarkStart w:id="1431" w:name="_Toc502652980"/>
      <w:bookmarkStart w:id="1432" w:name="_Toc502662680"/>
      <w:bookmarkStart w:id="1433" w:name="_Toc502664337"/>
      <w:bookmarkStart w:id="1434" w:name="_Toc502667006"/>
      <w:bookmarkStart w:id="1435" w:name="_Toc502652981"/>
      <w:bookmarkStart w:id="1436" w:name="_Toc502662681"/>
      <w:bookmarkStart w:id="1437" w:name="_Toc502664338"/>
      <w:bookmarkStart w:id="1438" w:name="_Toc502667007"/>
      <w:bookmarkStart w:id="1439" w:name="_Toc502652982"/>
      <w:bookmarkStart w:id="1440" w:name="_Toc502662682"/>
      <w:bookmarkStart w:id="1441" w:name="_Toc502664339"/>
      <w:bookmarkStart w:id="1442" w:name="_Toc502667008"/>
      <w:bookmarkStart w:id="1443" w:name="_Toc502652983"/>
      <w:bookmarkStart w:id="1444" w:name="_Toc502662683"/>
      <w:bookmarkStart w:id="1445" w:name="_Toc502664340"/>
      <w:bookmarkStart w:id="1446" w:name="_Toc502667009"/>
      <w:bookmarkStart w:id="1447" w:name="_Toc502652996"/>
      <w:bookmarkStart w:id="1448" w:name="_Toc502662696"/>
      <w:bookmarkStart w:id="1449" w:name="_Toc502664353"/>
      <w:bookmarkStart w:id="1450" w:name="_Toc502667022"/>
      <w:bookmarkStart w:id="1451" w:name="_Toc502653002"/>
      <w:bookmarkStart w:id="1452" w:name="_Toc502662702"/>
      <w:bookmarkStart w:id="1453" w:name="_Toc502664359"/>
      <w:bookmarkStart w:id="1454" w:name="_Toc502667028"/>
      <w:bookmarkStart w:id="1455" w:name="_Toc502653014"/>
      <w:bookmarkStart w:id="1456" w:name="_Toc502662714"/>
      <w:bookmarkStart w:id="1457" w:name="_Toc502664371"/>
      <w:bookmarkStart w:id="1458" w:name="_Toc502667040"/>
      <w:bookmarkStart w:id="1459" w:name="_Toc502653020"/>
      <w:bookmarkStart w:id="1460" w:name="_Toc502662720"/>
      <w:bookmarkStart w:id="1461" w:name="_Toc502664377"/>
      <w:bookmarkStart w:id="1462" w:name="_Toc502667046"/>
      <w:bookmarkStart w:id="1463" w:name="_Toc502653032"/>
      <w:bookmarkStart w:id="1464" w:name="_Toc502662732"/>
      <w:bookmarkStart w:id="1465" w:name="_Toc502664389"/>
      <w:bookmarkStart w:id="1466" w:name="_Toc502667058"/>
      <w:bookmarkStart w:id="1467" w:name="_Toc502653038"/>
      <w:bookmarkStart w:id="1468" w:name="_Toc502662738"/>
      <w:bookmarkStart w:id="1469" w:name="_Toc502664395"/>
      <w:bookmarkStart w:id="1470" w:name="_Toc502667064"/>
      <w:bookmarkStart w:id="1471" w:name="_Toc502653050"/>
      <w:bookmarkStart w:id="1472" w:name="_Toc502662750"/>
      <w:bookmarkStart w:id="1473" w:name="_Toc502664407"/>
      <w:bookmarkStart w:id="1474" w:name="_Toc502667076"/>
      <w:bookmarkStart w:id="1475" w:name="_Toc502653056"/>
      <w:bookmarkStart w:id="1476" w:name="_Toc502662756"/>
      <w:bookmarkStart w:id="1477" w:name="_Toc502664413"/>
      <w:bookmarkStart w:id="1478" w:name="_Toc502667082"/>
      <w:bookmarkStart w:id="1479" w:name="_Toc502653074"/>
      <w:bookmarkStart w:id="1480" w:name="_Toc502662774"/>
      <w:bookmarkStart w:id="1481" w:name="_Toc502664431"/>
      <w:bookmarkStart w:id="1482" w:name="_Toc502667100"/>
      <w:bookmarkStart w:id="1483" w:name="_Toc502653075"/>
      <w:bookmarkStart w:id="1484" w:name="_Toc502662775"/>
      <w:bookmarkStart w:id="1485" w:name="_Toc502664432"/>
      <w:bookmarkStart w:id="1486" w:name="_Toc502667101"/>
      <w:bookmarkStart w:id="1487" w:name="_Toc502653076"/>
      <w:bookmarkStart w:id="1488" w:name="_Toc502662776"/>
      <w:bookmarkStart w:id="1489" w:name="_Toc502664433"/>
      <w:bookmarkStart w:id="1490" w:name="_Toc502667102"/>
      <w:bookmarkStart w:id="1491" w:name="_Toc126913479"/>
      <w:bookmarkStart w:id="1492" w:name="_Toc127267220"/>
      <w:bookmarkStart w:id="1493" w:name="_Toc126913480"/>
      <w:bookmarkStart w:id="1494" w:name="_Toc127267221"/>
      <w:bookmarkStart w:id="1495" w:name="_Toc126913481"/>
      <w:bookmarkStart w:id="1496" w:name="_Toc127267222"/>
      <w:bookmarkStart w:id="1497" w:name="_Toc126913482"/>
      <w:bookmarkStart w:id="1498" w:name="_Toc127267223"/>
      <w:bookmarkStart w:id="1499" w:name="_Toc126913507"/>
      <w:bookmarkStart w:id="1500" w:name="_Toc127267248"/>
      <w:bookmarkStart w:id="1501" w:name="_Toc126913508"/>
      <w:bookmarkStart w:id="1502" w:name="_Toc127267249"/>
      <w:bookmarkStart w:id="1503" w:name="_Toc126913509"/>
      <w:bookmarkStart w:id="1504" w:name="_Toc127267250"/>
      <w:bookmarkStart w:id="1505" w:name="_Toc126913534"/>
      <w:bookmarkStart w:id="1506" w:name="_Toc127267275"/>
      <w:bookmarkStart w:id="1507" w:name="_Toc126913535"/>
      <w:bookmarkStart w:id="1508" w:name="_Toc127267276"/>
      <w:bookmarkStart w:id="1509" w:name="_Toc126913536"/>
      <w:bookmarkStart w:id="1510" w:name="_Toc127267277"/>
      <w:bookmarkStart w:id="1511" w:name="_Toc126913561"/>
      <w:bookmarkStart w:id="1512" w:name="_Toc127267302"/>
      <w:bookmarkStart w:id="1513" w:name="_Toc502653078"/>
      <w:bookmarkStart w:id="1514" w:name="_Toc502662778"/>
      <w:bookmarkStart w:id="1515" w:name="_Toc502664435"/>
      <w:bookmarkStart w:id="1516" w:name="_Toc502667104"/>
      <w:bookmarkStart w:id="1517" w:name="_Toc502653091"/>
      <w:bookmarkStart w:id="1518" w:name="_Toc502662791"/>
      <w:bookmarkStart w:id="1519" w:name="_Toc502664448"/>
      <w:bookmarkStart w:id="1520" w:name="_Toc502667117"/>
      <w:bookmarkStart w:id="1521" w:name="_Toc502653103"/>
      <w:bookmarkStart w:id="1522" w:name="_Toc502662803"/>
      <w:bookmarkStart w:id="1523" w:name="_Toc502664460"/>
      <w:bookmarkStart w:id="1524" w:name="_Toc502667129"/>
      <w:bookmarkStart w:id="1525" w:name="_Toc502653119"/>
      <w:bookmarkStart w:id="1526" w:name="_Toc502662819"/>
      <w:bookmarkStart w:id="1527" w:name="_Toc502664476"/>
      <w:bookmarkStart w:id="1528" w:name="_Toc502667145"/>
      <w:bookmarkStart w:id="1529" w:name="_Toc502653120"/>
      <w:bookmarkStart w:id="1530" w:name="_Toc502662820"/>
      <w:bookmarkStart w:id="1531" w:name="_Toc502664477"/>
      <w:bookmarkStart w:id="1532" w:name="_Toc502667146"/>
      <w:bookmarkStart w:id="1533" w:name="_Toc502653121"/>
      <w:bookmarkStart w:id="1534" w:name="_Toc502662821"/>
      <w:bookmarkStart w:id="1535" w:name="_Toc502664478"/>
      <w:bookmarkStart w:id="1536" w:name="_Toc502667147"/>
      <w:bookmarkStart w:id="1537" w:name="_Toc502653122"/>
      <w:bookmarkStart w:id="1538" w:name="_Toc502662822"/>
      <w:bookmarkStart w:id="1539" w:name="_Toc502664479"/>
      <w:bookmarkStart w:id="1540" w:name="_Toc502667148"/>
      <w:bookmarkStart w:id="1541" w:name="_Toc502653135"/>
      <w:bookmarkStart w:id="1542" w:name="_Toc502662835"/>
      <w:bookmarkStart w:id="1543" w:name="_Toc502664492"/>
      <w:bookmarkStart w:id="1544" w:name="_Toc502667161"/>
      <w:bookmarkStart w:id="1545" w:name="_Toc502653147"/>
      <w:bookmarkStart w:id="1546" w:name="_Toc502662847"/>
      <w:bookmarkStart w:id="1547" w:name="_Toc502664504"/>
      <w:bookmarkStart w:id="1548" w:name="_Toc502667173"/>
      <w:bookmarkStart w:id="1549" w:name="_Toc502653163"/>
      <w:bookmarkStart w:id="1550" w:name="_Toc502662863"/>
      <w:bookmarkStart w:id="1551" w:name="_Toc502664520"/>
      <w:bookmarkStart w:id="1552" w:name="_Toc502667189"/>
      <w:bookmarkStart w:id="1553" w:name="_Toc142902995"/>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r>
        <w:t>Net Benefits</w:t>
      </w:r>
      <w:bookmarkEnd w:id="1553"/>
    </w:p>
    <w:p w14:paraId="5ECA4AF5" w14:textId="77777777" w:rsidR="00F53E71" w:rsidRPr="005057C1" w:rsidRDefault="000F5B51" w:rsidP="00F53E71">
      <w:pPr>
        <w:spacing w:after="0"/>
        <w:textAlignment w:val="baseline"/>
        <w:rPr>
          <w:sz w:val="18"/>
          <w:szCs w:val="18"/>
        </w:rPr>
      </w:pPr>
      <w:r w:rsidRPr="005057C1">
        <w:t>Net benefits are used as an absolute measure of the returns offered by a particular regulatory alternative</w:t>
      </w:r>
      <w:r w:rsidR="001F2F92">
        <w:t xml:space="preserve">. </w:t>
      </w:r>
      <w:r w:rsidRPr="005057C1">
        <w:t>Net benefits may be positive (negative) indicating that benefits are greater (less) than the costs</w:t>
      </w:r>
      <w:r w:rsidR="001F2F92">
        <w:t xml:space="preserve">. </w:t>
      </w:r>
      <w:r w:rsidRPr="005057C1">
        <w:t xml:space="preserve">Additionally, net benefits may be zero if benefits </w:t>
      </w:r>
      <w:r>
        <w:t xml:space="preserve">and costs </w:t>
      </w:r>
      <w:r w:rsidRPr="005057C1">
        <w:t>are equal</w:t>
      </w:r>
      <w:r>
        <w:t xml:space="preserve"> or if there are no benefits and costs associated with a regulatory action</w:t>
      </w:r>
      <w:r w:rsidR="001F2F92">
        <w:t xml:space="preserve">. </w:t>
      </w:r>
      <w:r>
        <w:t>A</w:t>
      </w:r>
      <w:r w:rsidRPr="005057C1">
        <w:t xml:space="preserve"> positive value for net benefits indicate</w:t>
      </w:r>
      <w:r>
        <w:t>s</w:t>
      </w:r>
      <w:r w:rsidRPr="005057C1">
        <w:t xml:space="preserve"> that society would be better off under the </w:t>
      </w:r>
      <w:r>
        <w:t xml:space="preserve">regulatory </w:t>
      </w:r>
      <w:r w:rsidRPr="005057C1">
        <w:t>alternative</w:t>
      </w:r>
      <w:r w:rsidR="001F2F92">
        <w:t xml:space="preserve">. </w:t>
      </w:r>
      <w:r w:rsidRPr="005057C1">
        <w:t>On the other hand, a negative net benefit indicate</w:t>
      </w:r>
      <w:r>
        <w:t>s</w:t>
      </w:r>
      <w:r w:rsidRPr="005057C1">
        <w:t xml:space="preserve"> that society would be worse off</w:t>
      </w:r>
      <w:r w:rsidR="001F2F92">
        <w:t xml:space="preserve">. </w:t>
      </w:r>
      <w:r w:rsidRPr="005057C1">
        <w:t xml:space="preserve">However, as was noted earlier, the results of </w:t>
      </w:r>
      <w:r>
        <w:t>a benefit-cost analysis</w:t>
      </w:r>
      <w:r w:rsidRPr="005057C1">
        <w:t xml:space="preserve"> are based on averages and must be treated with great care</w:t>
      </w:r>
      <w:r w:rsidR="001F2F92">
        <w:t xml:space="preserve">. </w:t>
      </w:r>
    </w:p>
    <w:p w14:paraId="11AA8A39" w14:textId="77777777" w:rsidR="00F53E71" w:rsidRDefault="000F5B51" w:rsidP="00F53E71">
      <w:pPr>
        <w:spacing w:after="0"/>
        <w:textAlignment w:val="baseline"/>
      </w:pPr>
      <w:r w:rsidRPr="005057C1">
        <w:t>Net benefits are calculated by subtracting total costs from total benefits</w:t>
      </w:r>
      <w:r w:rsidR="001F2F92">
        <w:t xml:space="preserve">. </w:t>
      </w:r>
      <w:r>
        <w:t>Therefore, the</w:t>
      </w:r>
      <w:r w:rsidRPr="005057C1">
        <w:t xml:space="preserve"> calculation </w:t>
      </w:r>
      <w:r>
        <w:t xml:space="preserve">of net benefits </w:t>
      </w:r>
      <w:r w:rsidRPr="005057C1">
        <w:t>require</w:t>
      </w:r>
      <w:r>
        <w:t>s</w:t>
      </w:r>
      <w:r w:rsidRPr="005057C1">
        <w:t xml:space="preserve"> that benefits and costs are represented in commeasurable units</w:t>
      </w:r>
      <w:r w:rsidR="001F2F92">
        <w:t xml:space="preserve">. </w:t>
      </w:r>
      <w:r w:rsidRPr="005057C1">
        <w:t>Therefore,</w:t>
      </w:r>
      <w:r>
        <w:t xml:space="preserve"> </w:t>
      </w:r>
      <w:r w:rsidRPr="005057C1">
        <w:t xml:space="preserve">benefits which </w:t>
      </w:r>
      <w:r>
        <w:t xml:space="preserve">are measured in fatalities and non-fatal injuries </w:t>
      </w:r>
      <w:r w:rsidRPr="005057C1">
        <w:t>must be translated into monetary value</w:t>
      </w:r>
      <w:r w:rsidR="001F2F92">
        <w:t xml:space="preserve">. </w:t>
      </w:r>
    </w:p>
    <w:p w14:paraId="568571CA" w14:textId="6E71A14E" w:rsidR="005B15EC" w:rsidRDefault="000F5B51" w:rsidP="00B3217B">
      <w:r>
        <w:fldChar w:fldCharType="begin"/>
      </w:r>
      <w:r>
        <w:instrText xml:space="preserve"> REF _Ref126236369 \h </w:instrText>
      </w:r>
      <w:r>
        <w:fldChar w:fldCharType="separate"/>
      </w:r>
      <w:r w:rsidR="00A65CB3">
        <w:t xml:space="preserve">Table </w:t>
      </w:r>
      <w:r w:rsidR="00A65CB3">
        <w:rPr>
          <w:noProof/>
        </w:rPr>
        <w:t>73</w:t>
      </w:r>
      <w:r>
        <w:fldChar w:fldCharType="end"/>
      </w:r>
      <w:r>
        <w:t xml:space="preserve"> </w:t>
      </w:r>
      <w:r w:rsidR="00EB5C10">
        <w:t>present</w:t>
      </w:r>
      <w:r w:rsidR="00CC0B77">
        <w:t>s</w:t>
      </w:r>
      <w:r w:rsidR="00EB5C10">
        <w:t xml:space="preserve"> the calculation of monetized benefits associated with the proposed rule</w:t>
      </w:r>
      <w:r w:rsidR="00B11ED5">
        <w:t xml:space="preserve"> </w:t>
      </w:r>
      <w:r w:rsidR="008B7658">
        <w:t>for rear seat occupants</w:t>
      </w:r>
      <w:r w:rsidR="001F2F92">
        <w:t xml:space="preserve">. </w:t>
      </w:r>
      <w:r w:rsidR="00EB5C10">
        <w:t xml:space="preserve">Monetized benefits are calculated by multiplying the comprehensive unit costs </w:t>
      </w:r>
      <w:r w:rsidR="00C62FB6">
        <w:t xml:space="preserve">from </w:t>
      </w:r>
      <w:r w:rsidR="00C62FB6">
        <w:fldChar w:fldCharType="begin"/>
      </w:r>
      <w:r w:rsidR="00C62FB6">
        <w:instrText xml:space="preserve"> REF _Ref126229924 \h </w:instrText>
      </w:r>
      <w:r w:rsidR="00C62FB6">
        <w:fldChar w:fldCharType="separate"/>
      </w:r>
      <w:r w:rsidR="00A65CB3">
        <w:t xml:space="preserve">Table </w:t>
      </w:r>
      <w:r w:rsidR="00A65CB3">
        <w:rPr>
          <w:noProof/>
        </w:rPr>
        <w:t>65</w:t>
      </w:r>
      <w:r w:rsidR="00C62FB6">
        <w:fldChar w:fldCharType="end"/>
      </w:r>
      <w:r w:rsidR="00C62FB6">
        <w:t xml:space="preserve"> </w:t>
      </w:r>
      <w:r w:rsidR="00EB5C10">
        <w:t xml:space="preserve">by the corresponding safety benefits. </w:t>
      </w:r>
      <w:r w:rsidR="00C62FB6">
        <w:t xml:space="preserve">Monetized benefits </w:t>
      </w:r>
      <w:r w:rsidR="008F3A2D">
        <w:t xml:space="preserve">associated with the SBWS for rear seat occupants are estimated at approximately $316 million for Lo case and </w:t>
      </w:r>
      <w:r w:rsidR="002D758C">
        <w:t>approximately $476 million for the Hi case</w:t>
      </w:r>
      <w:r w:rsidR="001F2F92">
        <w:t xml:space="preserve">. </w:t>
      </w:r>
      <w:r w:rsidR="00E91D17">
        <w:rPr>
          <w:rFonts w:eastAsia="Times New Roman" w:cs="Times New Roman"/>
          <w:szCs w:val="24"/>
        </w:rPr>
        <w:fldChar w:fldCharType="begin"/>
      </w:r>
      <w:r w:rsidR="00E91D17">
        <w:rPr>
          <w:rFonts w:eastAsia="Times New Roman" w:cs="Times New Roman"/>
          <w:szCs w:val="24"/>
        </w:rPr>
        <w:instrText xml:space="preserve"> REF _Ref130387495 \h </w:instrText>
      </w:r>
      <w:r w:rsidR="00E91D17">
        <w:rPr>
          <w:rFonts w:eastAsia="Times New Roman" w:cs="Times New Roman"/>
          <w:szCs w:val="24"/>
        </w:rPr>
      </w:r>
      <w:r w:rsidR="00E91D17">
        <w:rPr>
          <w:rFonts w:eastAsia="Times New Roman" w:cs="Times New Roman"/>
          <w:szCs w:val="24"/>
        </w:rPr>
        <w:fldChar w:fldCharType="separate"/>
      </w:r>
      <w:r w:rsidR="00A65CB3">
        <w:t>Appendix H</w:t>
      </w:r>
      <w:r w:rsidR="00E91D17">
        <w:rPr>
          <w:rFonts w:eastAsia="Times New Roman" w:cs="Times New Roman"/>
          <w:szCs w:val="24"/>
        </w:rPr>
        <w:fldChar w:fldCharType="end"/>
      </w:r>
      <w:r w:rsidR="000E6CCE" w:rsidRPr="003B2875">
        <w:rPr>
          <w:rFonts w:eastAsia="Times New Roman" w:cs="Times New Roman"/>
          <w:szCs w:val="24"/>
        </w:rPr>
        <w:t xml:space="preserve"> </w:t>
      </w:r>
      <w:r w:rsidR="006F2410" w:rsidRPr="003B2875">
        <w:t xml:space="preserve">presents the </w:t>
      </w:r>
      <w:r w:rsidR="00DD5C3E" w:rsidRPr="00D56CE7">
        <w:t>monetized</w:t>
      </w:r>
      <w:r w:rsidR="006F2410" w:rsidRPr="003B2875">
        <w:t xml:space="preserve"> benefits </w:t>
      </w:r>
      <w:r w:rsidR="00DD5C3E" w:rsidRPr="00D56CE7">
        <w:t xml:space="preserve">specific </w:t>
      </w:r>
      <w:r w:rsidR="00DD5C3E" w:rsidRPr="00D56CE7">
        <w:lastRenderedPageBreak/>
        <w:t>to</w:t>
      </w:r>
      <w:r w:rsidR="006F2410" w:rsidRPr="003B2875">
        <w:t xml:space="preserve"> passenger </w:t>
      </w:r>
      <w:r w:rsidR="0065659B">
        <w:t>car</w:t>
      </w:r>
      <w:r w:rsidR="006F2410" w:rsidRPr="003B2875">
        <w:t xml:space="preserve">s and LTVs separately in order to calculate </w:t>
      </w:r>
      <w:r w:rsidR="00EC406C" w:rsidRPr="003B2875">
        <w:t>discounted monetized benefits for rear seat occupants which are presented later in this section.</w:t>
      </w:r>
    </w:p>
    <w:p w14:paraId="586B3E5A" w14:textId="7B9487BD" w:rsidR="00B94C16" w:rsidRDefault="000F5B51" w:rsidP="00B94C16">
      <w:pPr>
        <w:pStyle w:val="Caption"/>
        <w:rPr>
          <w:rFonts w:eastAsia="Times New Roman" w:cs="Times New Roman"/>
          <w:szCs w:val="24"/>
        </w:rPr>
      </w:pPr>
      <w:bookmarkStart w:id="1554" w:name="_Ref126236369"/>
      <w:r>
        <w:t xml:space="preserve">Table </w:t>
      </w:r>
      <w:r w:rsidR="00115BAB">
        <w:fldChar w:fldCharType="begin"/>
      </w:r>
      <w:r>
        <w:instrText xml:space="preserve"> SEQ Table \* ARABIC </w:instrText>
      </w:r>
      <w:r w:rsidR="00115BAB">
        <w:fldChar w:fldCharType="separate"/>
      </w:r>
      <w:r w:rsidR="00A65CB3">
        <w:rPr>
          <w:noProof/>
        </w:rPr>
        <w:t>73</w:t>
      </w:r>
      <w:r w:rsidR="00115BAB">
        <w:rPr>
          <w:noProof/>
        </w:rPr>
        <w:fldChar w:fldCharType="end"/>
      </w:r>
      <w:bookmarkEnd w:id="1554"/>
      <w:r>
        <w:t>: Calculation of Monetized Benefits for Rear Seat Occupants</w:t>
      </w:r>
    </w:p>
    <w:tbl>
      <w:tblPr>
        <w:tblStyle w:val="TableGrid"/>
        <w:tblW w:w="10167" w:type="dxa"/>
        <w:tblLook w:val="04A0" w:firstRow="1" w:lastRow="0" w:firstColumn="1" w:lastColumn="0" w:noHBand="0" w:noVBand="1"/>
      </w:tblPr>
      <w:tblGrid>
        <w:gridCol w:w="1163"/>
        <w:gridCol w:w="1150"/>
        <w:gridCol w:w="1816"/>
        <w:gridCol w:w="1536"/>
        <w:gridCol w:w="1150"/>
        <w:gridCol w:w="1816"/>
        <w:gridCol w:w="1536"/>
      </w:tblGrid>
      <w:tr w:rsidR="00A15C2C" w14:paraId="2E49EF88" w14:textId="77777777" w:rsidTr="00D56CE7">
        <w:trPr>
          <w:trHeight w:val="342"/>
        </w:trPr>
        <w:tc>
          <w:tcPr>
            <w:tcW w:w="1163" w:type="dxa"/>
            <w:vMerge w:val="restart"/>
            <w:shd w:val="clear" w:color="auto" w:fill="BFBFBF" w:themeFill="background1" w:themeFillShade="BF"/>
            <w:vAlign w:val="center"/>
          </w:tcPr>
          <w:p w14:paraId="2543F915" w14:textId="77777777" w:rsidR="004745BF" w:rsidRPr="00A52D46" w:rsidRDefault="000F5B51">
            <w:pPr>
              <w:spacing w:line="240" w:lineRule="auto"/>
              <w:rPr>
                <w:b/>
                <w:bCs/>
              </w:rPr>
            </w:pPr>
            <w:r w:rsidRPr="00A52D46">
              <w:rPr>
                <w:b/>
                <w:bCs/>
              </w:rPr>
              <w:t>Category</w:t>
            </w:r>
          </w:p>
        </w:tc>
        <w:tc>
          <w:tcPr>
            <w:tcW w:w="4502" w:type="dxa"/>
            <w:gridSpan w:val="3"/>
            <w:shd w:val="clear" w:color="auto" w:fill="BFBFBF" w:themeFill="background1" w:themeFillShade="BF"/>
            <w:vAlign w:val="center"/>
          </w:tcPr>
          <w:p w14:paraId="3BB7742B" w14:textId="77777777" w:rsidR="004745BF" w:rsidRPr="00A52D46" w:rsidRDefault="000F5B51" w:rsidP="003C04C4">
            <w:pPr>
              <w:spacing w:line="240" w:lineRule="auto"/>
              <w:jc w:val="center"/>
              <w:rPr>
                <w:b/>
                <w:bCs/>
              </w:rPr>
            </w:pPr>
            <w:r>
              <w:rPr>
                <w:b/>
                <w:bCs/>
              </w:rPr>
              <w:t>Lo</w:t>
            </w:r>
          </w:p>
        </w:tc>
        <w:tc>
          <w:tcPr>
            <w:tcW w:w="4502" w:type="dxa"/>
            <w:gridSpan w:val="3"/>
            <w:shd w:val="clear" w:color="auto" w:fill="BFBFBF" w:themeFill="background1" w:themeFillShade="BF"/>
            <w:vAlign w:val="center"/>
          </w:tcPr>
          <w:p w14:paraId="07F071C9" w14:textId="77777777" w:rsidR="004745BF" w:rsidRPr="00A52D46" w:rsidRDefault="000F5B51" w:rsidP="003C04C4">
            <w:pPr>
              <w:spacing w:line="240" w:lineRule="auto"/>
              <w:jc w:val="center"/>
              <w:rPr>
                <w:b/>
                <w:bCs/>
              </w:rPr>
            </w:pPr>
            <w:r>
              <w:rPr>
                <w:b/>
                <w:bCs/>
              </w:rPr>
              <w:t>Hi</w:t>
            </w:r>
          </w:p>
        </w:tc>
      </w:tr>
      <w:tr w:rsidR="00A15C2C" w14:paraId="50E2942E" w14:textId="77777777" w:rsidTr="00D56CE7">
        <w:trPr>
          <w:trHeight w:val="342"/>
        </w:trPr>
        <w:tc>
          <w:tcPr>
            <w:tcW w:w="1163" w:type="dxa"/>
            <w:vMerge/>
            <w:shd w:val="clear" w:color="auto" w:fill="BFBFBF" w:themeFill="background1" w:themeFillShade="BF"/>
          </w:tcPr>
          <w:p w14:paraId="65770122" w14:textId="77777777" w:rsidR="004745BF" w:rsidRPr="00A52D46" w:rsidRDefault="004745BF" w:rsidP="003C04C4">
            <w:pPr>
              <w:spacing w:line="240" w:lineRule="auto"/>
              <w:rPr>
                <w:b/>
                <w:bCs/>
              </w:rPr>
            </w:pPr>
          </w:p>
        </w:tc>
        <w:tc>
          <w:tcPr>
            <w:tcW w:w="1150" w:type="dxa"/>
            <w:shd w:val="clear" w:color="auto" w:fill="BFBFBF" w:themeFill="background1" w:themeFillShade="BF"/>
            <w:vAlign w:val="center"/>
          </w:tcPr>
          <w:p w14:paraId="21734F31" w14:textId="77777777" w:rsidR="004745BF" w:rsidRPr="00A52D46" w:rsidRDefault="000F5B51">
            <w:pPr>
              <w:spacing w:line="240" w:lineRule="auto"/>
              <w:jc w:val="center"/>
              <w:rPr>
                <w:b/>
                <w:bCs/>
              </w:rPr>
            </w:pPr>
            <w:r w:rsidRPr="00A52D46">
              <w:rPr>
                <w:b/>
                <w:bCs/>
              </w:rPr>
              <w:t>Safety Benefits</w:t>
            </w:r>
          </w:p>
        </w:tc>
        <w:tc>
          <w:tcPr>
            <w:tcW w:w="1816" w:type="dxa"/>
            <w:shd w:val="clear" w:color="auto" w:fill="BFBFBF" w:themeFill="background1" w:themeFillShade="BF"/>
            <w:vAlign w:val="center"/>
          </w:tcPr>
          <w:p w14:paraId="5FB1DC79" w14:textId="77777777" w:rsidR="004745BF" w:rsidRPr="00A52D46" w:rsidRDefault="000F5B51">
            <w:pPr>
              <w:spacing w:line="240" w:lineRule="auto"/>
              <w:jc w:val="center"/>
              <w:rPr>
                <w:b/>
                <w:bCs/>
              </w:rPr>
            </w:pPr>
            <w:r>
              <w:rPr>
                <w:b/>
                <w:bCs/>
              </w:rPr>
              <w:t>Comprehensive Cost</w:t>
            </w:r>
          </w:p>
        </w:tc>
        <w:tc>
          <w:tcPr>
            <w:tcW w:w="1536" w:type="dxa"/>
            <w:shd w:val="clear" w:color="auto" w:fill="BFBFBF" w:themeFill="background1" w:themeFillShade="BF"/>
            <w:vAlign w:val="center"/>
          </w:tcPr>
          <w:p w14:paraId="4563E759" w14:textId="77777777" w:rsidR="004745BF" w:rsidRPr="00A52D46" w:rsidRDefault="000F5B51">
            <w:pPr>
              <w:spacing w:line="240" w:lineRule="auto"/>
              <w:jc w:val="center"/>
              <w:rPr>
                <w:b/>
                <w:bCs/>
              </w:rPr>
            </w:pPr>
            <w:r>
              <w:rPr>
                <w:b/>
                <w:bCs/>
              </w:rPr>
              <w:t>Monetized Benefits</w:t>
            </w:r>
          </w:p>
        </w:tc>
        <w:tc>
          <w:tcPr>
            <w:tcW w:w="1150" w:type="dxa"/>
            <w:shd w:val="clear" w:color="auto" w:fill="BFBFBF" w:themeFill="background1" w:themeFillShade="BF"/>
            <w:vAlign w:val="center"/>
          </w:tcPr>
          <w:p w14:paraId="24AF0F8F" w14:textId="77777777" w:rsidR="004745BF" w:rsidRPr="00A52D46" w:rsidRDefault="000F5B51">
            <w:pPr>
              <w:spacing w:line="240" w:lineRule="auto"/>
              <w:jc w:val="center"/>
              <w:rPr>
                <w:b/>
                <w:bCs/>
              </w:rPr>
            </w:pPr>
            <w:r w:rsidRPr="00A52D46">
              <w:rPr>
                <w:b/>
                <w:bCs/>
              </w:rPr>
              <w:t>Safety Benefits</w:t>
            </w:r>
          </w:p>
        </w:tc>
        <w:tc>
          <w:tcPr>
            <w:tcW w:w="1816" w:type="dxa"/>
            <w:shd w:val="clear" w:color="auto" w:fill="BFBFBF" w:themeFill="background1" w:themeFillShade="BF"/>
            <w:vAlign w:val="center"/>
          </w:tcPr>
          <w:p w14:paraId="6AF4ACB3" w14:textId="77777777" w:rsidR="004745BF" w:rsidRPr="00A52D46" w:rsidRDefault="000F5B51">
            <w:pPr>
              <w:spacing w:line="240" w:lineRule="auto"/>
              <w:jc w:val="center"/>
              <w:rPr>
                <w:b/>
                <w:bCs/>
              </w:rPr>
            </w:pPr>
            <w:r>
              <w:rPr>
                <w:b/>
                <w:bCs/>
              </w:rPr>
              <w:t>Comprehensive Cost</w:t>
            </w:r>
          </w:p>
        </w:tc>
        <w:tc>
          <w:tcPr>
            <w:tcW w:w="1536" w:type="dxa"/>
            <w:shd w:val="clear" w:color="auto" w:fill="BFBFBF" w:themeFill="background1" w:themeFillShade="BF"/>
            <w:vAlign w:val="center"/>
          </w:tcPr>
          <w:p w14:paraId="4792415E" w14:textId="77777777" w:rsidR="004745BF" w:rsidRPr="00A52D46" w:rsidRDefault="000F5B51">
            <w:pPr>
              <w:spacing w:line="240" w:lineRule="auto"/>
              <w:jc w:val="center"/>
              <w:rPr>
                <w:b/>
                <w:bCs/>
              </w:rPr>
            </w:pPr>
            <w:r>
              <w:rPr>
                <w:b/>
                <w:bCs/>
              </w:rPr>
              <w:t>Monetized Benefits</w:t>
            </w:r>
          </w:p>
        </w:tc>
      </w:tr>
      <w:tr w:rsidR="00A15C2C" w14:paraId="15F6BE06" w14:textId="77777777" w:rsidTr="0020055E">
        <w:trPr>
          <w:trHeight w:val="236"/>
        </w:trPr>
        <w:tc>
          <w:tcPr>
            <w:tcW w:w="10167" w:type="dxa"/>
            <w:gridSpan w:val="7"/>
            <w:shd w:val="clear" w:color="auto" w:fill="D9D9D9" w:themeFill="background1" w:themeFillShade="D9"/>
          </w:tcPr>
          <w:p w14:paraId="1F5B8B2B" w14:textId="77777777" w:rsidR="004745BF" w:rsidRPr="00CB2C12" w:rsidRDefault="000F5B51" w:rsidP="003C04C4">
            <w:pPr>
              <w:spacing w:line="240" w:lineRule="auto"/>
              <w:jc w:val="center"/>
              <w:rPr>
                <w:b/>
                <w:bCs/>
                <w:i/>
                <w:iCs/>
                <w:sz w:val="22"/>
                <w:szCs w:val="20"/>
              </w:rPr>
            </w:pPr>
            <w:r w:rsidRPr="00934F2C">
              <w:rPr>
                <w:b/>
                <w:bCs/>
                <w:i/>
                <w:iCs/>
                <w:sz w:val="22"/>
                <w:szCs w:val="20"/>
              </w:rPr>
              <w:t xml:space="preserve">Rear Seat Occupants 6-10 </w:t>
            </w:r>
          </w:p>
        </w:tc>
      </w:tr>
      <w:tr w:rsidR="00A15C2C" w14:paraId="59DCA632" w14:textId="77777777" w:rsidTr="00D56CE7">
        <w:trPr>
          <w:trHeight w:val="252"/>
        </w:trPr>
        <w:tc>
          <w:tcPr>
            <w:tcW w:w="1163" w:type="dxa"/>
          </w:tcPr>
          <w:p w14:paraId="35E4B802" w14:textId="77777777" w:rsidR="004310A8" w:rsidRPr="00934F2C" w:rsidRDefault="000F5B51" w:rsidP="004310A8">
            <w:pPr>
              <w:spacing w:line="240" w:lineRule="auto"/>
              <w:rPr>
                <w:b/>
                <w:bCs/>
                <w:sz w:val="22"/>
              </w:rPr>
            </w:pPr>
            <w:r w:rsidRPr="008B0F0C">
              <w:rPr>
                <w:sz w:val="22"/>
              </w:rPr>
              <w:t>MAIS 1</w:t>
            </w:r>
          </w:p>
        </w:tc>
        <w:tc>
          <w:tcPr>
            <w:tcW w:w="1150" w:type="dxa"/>
          </w:tcPr>
          <w:p w14:paraId="2273F7AD" w14:textId="77777777" w:rsidR="004310A8" w:rsidRPr="008B0F0C" w:rsidRDefault="000F5B51" w:rsidP="004310A8">
            <w:pPr>
              <w:spacing w:line="240" w:lineRule="auto"/>
              <w:jc w:val="center"/>
              <w:rPr>
                <w:sz w:val="22"/>
              </w:rPr>
            </w:pPr>
            <w:r w:rsidRPr="00F34170">
              <w:t>0.6</w:t>
            </w:r>
          </w:p>
        </w:tc>
        <w:tc>
          <w:tcPr>
            <w:tcW w:w="1816" w:type="dxa"/>
            <w:vAlign w:val="bottom"/>
          </w:tcPr>
          <w:p w14:paraId="55F15E3F" w14:textId="77777777" w:rsidR="004310A8" w:rsidRPr="008B0F0C" w:rsidRDefault="000F5B51" w:rsidP="004310A8">
            <w:pPr>
              <w:spacing w:line="240" w:lineRule="auto"/>
              <w:jc w:val="center"/>
              <w:rPr>
                <w:sz w:val="22"/>
              </w:rPr>
            </w:pPr>
            <w:r w:rsidRPr="00934F2C">
              <w:rPr>
                <w:rFonts w:eastAsia="Times New Roman" w:cs="Times New Roman"/>
                <w:color w:val="000000"/>
                <w:sz w:val="22"/>
              </w:rPr>
              <w:t xml:space="preserve">$56,035 </w:t>
            </w:r>
          </w:p>
        </w:tc>
        <w:tc>
          <w:tcPr>
            <w:tcW w:w="1536" w:type="dxa"/>
          </w:tcPr>
          <w:p w14:paraId="27B96BC8" w14:textId="77777777" w:rsidR="004310A8" w:rsidRPr="0028568D" w:rsidRDefault="000F5B51" w:rsidP="004310A8">
            <w:pPr>
              <w:spacing w:line="240" w:lineRule="auto"/>
              <w:jc w:val="center"/>
              <w:rPr>
                <w:sz w:val="22"/>
              </w:rPr>
            </w:pPr>
            <w:r w:rsidRPr="00D56CE7">
              <w:rPr>
                <w:sz w:val="22"/>
              </w:rPr>
              <w:t>$33,408</w:t>
            </w:r>
          </w:p>
        </w:tc>
        <w:tc>
          <w:tcPr>
            <w:tcW w:w="1150" w:type="dxa"/>
            <w:vAlign w:val="center"/>
          </w:tcPr>
          <w:p w14:paraId="0F68A9C8" w14:textId="77777777" w:rsidR="004310A8" w:rsidRPr="00F772CC" w:rsidRDefault="000F5B51" w:rsidP="004310A8">
            <w:pPr>
              <w:spacing w:line="240" w:lineRule="auto"/>
              <w:jc w:val="center"/>
              <w:rPr>
                <w:sz w:val="22"/>
              </w:rPr>
            </w:pPr>
            <w:r>
              <w:rPr>
                <w:color w:val="000000"/>
                <w:sz w:val="22"/>
              </w:rPr>
              <w:t>0.9</w:t>
            </w:r>
          </w:p>
        </w:tc>
        <w:tc>
          <w:tcPr>
            <w:tcW w:w="1816" w:type="dxa"/>
            <w:vAlign w:val="bottom"/>
          </w:tcPr>
          <w:p w14:paraId="3D461421" w14:textId="77777777" w:rsidR="004310A8" w:rsidRPr="00F772CC" w:rsidRDefault="000F5B51" w:rsidP="004310A8">
            <w:pPr>
              <w:spacing w:line="240" w:lineRule="auto"/>
              <w:jc w:val="center"/>
              <w:rPr>
                <w:sz w:val="22"/>
              </w:rPr>
            </w:pPr>
            <w:r w:rsidRPr="00F772CC">
              <w:rPr>
                <w:rFonts w:eastAsia="Times New Roman" w:cs="Times New Roman"/>
                <w:color w:val="000000"/>
                <w:sz w:val="22"/>
              </w:rPr>
              <w:t xml:space="preserve">$56,035 </w:t>
            </w:r>
          </w:p>
        </w:tc>
        <w:tc>
          <w:tcPr>
            <w:tcW w:w="1536" w:type="dxa"/>
          </w:tcPr>
          <w:p w14:paraId="447F11DA" w14:textId="77777777" w:rsidR="004310A8" w:rsidRPr="0028568D" w:rsidRDefault="000F5B51" w:rsidP="004310A8">
            <w:pPr>
              <w:spacing w:line="240" w:lineRule="auto"/>
              <w:jc w:val="center"/>
              <w:rPr>
                <w:sz w:val="22"/>
              </w:rPr>
            </w:pPr>
            <w:r w:rsidRPr="00D56CE7">
              <w:rPr>
                <w:sz w:val="22"/>
              </w:rPr>
              <w:t>$48,998</w:t>
            </w:r>
          </w:p>
        </w:tc>
      </w:tr>
      <w:tr w:rsidR="00A15C2C" w14:paraId="10FA377D" w14:textId="77777777" w:rsidTr="00D56CE7">
        <w:trPr>
          <w:trHeight w:val="236"/>
        </w:trPr>
        <w:tc>
          <w:tcPr>
            <w:tcW w:w="1163" w:type="dxa"/>
          </w:tcPr>
          <w:p w14:paraId="00E0A961" w14:textId="77777777" w:rsidR="004310A8" w:rsidRPr="00934F2C" w:rsidRDefault="000F5B51" w:rsidP="004310A8">
            <w:pPr>
              <w:spacing w:line="240" w:lineRule="auto"/>
              <w:rPr>
                <w:b/>
                <w:bCs/>
                <w:sz w:val="22"/>
              </w:rPr>
            </w:pPr>
            <w:r w:rsidRPr="008B0F0C">
              <w:rPr>
                <w:color w:val="000000"/>
                <w:sz w:val="22"/>
              </w:rPr>
              <w:t>MAIS 2</w:t>
            </w:r>
          </w:p>
        </w:tc>
        <w:tc>
          <w:tcPr>
            <w:tcW w:w="1150" w:type="dxa"/>
          </w:tcPr>
          <w:p w14:paraId="45CEA037" w14:textId="77777777" w:rsidR="004310A8" w:rsidRPr="008B0F0C" w:rsidRDefault="000F5B51" w:rsidP="004310A8">
            <w:pPr>
              <w:spacing w:line="240" w:lineRule="auto"/>
              <w:jc w:val="center"/>
              <w:rPr>
                <w:sz w:val="22"/>
              </w:rPr>
            </w:pPr>
            <w:r w:rsidRPr="00F34170">
              <w:t>0.5</w:t>
            </w:r>
          </w:p>
        </w:tc>
        <w:tc>
          <w:tcPr>
            <w:tcW w:w="1816" w:type="dxa"/>
            <w:vAlign w:val="bottom"/>
          </w:tcPr>
          <w:p w14:paraId="22E53DBE" w14:textId="77777777" w:rsidR="004310A8" w:rsidRPr="008B0F0C" w:rsidRDefault="000F5B51" w:rsidP="004310A8">
            <w:pPr>
              <w:spacing w:line="240" w:lineRule="auto"/>
              <w:jc w:val="center"/>
              <w:rPr>
                <w:sz w:val="22"/>
              </w:rPr>
            </w:pPr>
            <w:r w:rsidRPr="00934F2C">
              <w:rPr>
                <w:rFonts w:eastAsia="Times New Roman" w:cs="Times New Roman"/>
                <w:color w:val="000000"/>
                <w:sz w:val="22"/>
              </w:rPr>
              <w:t xml:space="preserve">$553,146 </w:t>
            </w:r>
          </w:p>
        </w:tc>
        <w:tc>
          <w:tcPr>
            <w:tcW w:w="1536" w:type="dxa"/>
          </w:tcPr>
          <w:p w14:paraId="4F7E6635" w14:textId="77777777" w:rsidR="004310A8" w:rsidRPr="0028568D" w:rsidRDefault="000F5B51" w:rsidP="004310A8">
            <w:pPr>
              <w:spacing w:line="240" w:lineRule="auto"/>
              <w:jc w:val="center"/>
              <w:rPr>
                <w:sz w:val="22"/>
              </w:rPr>
            </w:pPr>
            <w:r w:rsidRPr="00D56CE7">
              <w:rPr>
                <w:sz w:val="22"/>
              </w:rPr>
              <w:t>$301,897</w:t>
            </w:r>
          </w:p>
        </w:tc>
        <w:tc>
          <w:tcPr>
            <w:tcW w:w="1150" w:type="dxa"/>
            <w:vAlign w:val="center"/>
          </w:tcPr>
          <w:p w14:paraId="3F23E455" w14:textId="77777777" w:rsidR="004310A8" w:rsidRPr="00F772CC" w:rsidRDefault="000F5B51" w:rsidP="004310A8">
            <w:pPr>
              <w:spacing w:line="240" w:lineRule="auto"/>
              <w:jc w:val="center"/>
              <w:rPr>
                <w:sz w:val="22"/>
              </w:rPr>
            </w:pPr>
            <w:r>
              <w:rPr>
                <w:color w:val="000000"/>
                <w:sz w:val="22"/>
              </w:rPr>
              <w:t>0.8</w:t>
            </w:r>
          </w:p>
        </w:tc>
        <w:tc>
          <w:tcPr>
            <w:tcW w:w="1816" w:type="dxa"/>
            <w:vAlign w:val="bottom"/>
          </w:tcPr>
          <w:p w14:paraId="5EFB6BFD" w14:textId="77777777" w:rsidR="004310A8" w:rsidRPr="00F772CC" w:rsidRDefault="000F5B51" w:rsidP="004310A8">
            <w:pPr>
              <w:spacing w:line="240" w:lineRule="auto"/>
              <w:jc w:val="center"/>
              <w:rPr>
                <w:sz w:val="22"/>
              </w:rPr>
            </w:pPr>
            <w:r w:rsidRPr="00F772CC">
              <w:rPr>
                <w:rFonts w:eastAsia="Times New Roman" w:cs="Times New Roman"/>
                <w:color w:val="000000"/>
                <w:sz w:val="22"/>
              </w:rPr>
              <w:t xml:space="preserve">$553,146 </w:t>
            </w:r>
          </w:p>
        </w:tc>
        <w:tc>
          <w:tcPr>
            <w:tcW w:w="1536" w:type="dxa"/>
          </w:tcPr>
          <w:p w14:paraId="6E6AC451" w14:textId="77777777" w:rsidR="004310A8" w:rsidRPr="0028568D" w:rsidRDefault="000F5B51" w:rsidP="004310A8">
            <w:pPr>
              <w:spacing w:line="240" w:lineRule="auto"/>
              <w:jc w:val="center"/>
              <w:rPr>
                <w:sz w:val="22"/>
              </w:rPr>
            </w:pPr>
            <w:r w:rsidRPr="00D56CE7">
              <w:rPr>
                <w:sz w:val="22"/>
              </w:rPr>
              <w:t>$442,783</w:t>
            </w:r>
          </w:p>
        </w:tc>
      </w:tr>
      <w:tr w:rsidR="00A15C2C" w14:paraId="7C1D6525" w14:textId="77777777" w:rsidTr="00D56CE7">
        <w:trPr>
          <w:trHeight w:val="252"/>
        </w:trPr>
        <w:tc>
          <w:tcPr>
            <w:tcW w:w="1163" w:type="dxa"/>
          </w:tcPr>
          <w:p w14:paraId="6A2F64CA" w14:textId="77777777" w:rsidR="004310A8" w:rsidRPr="00934F2C" w:rsidRDefault="000F5B51" w:rsidP="004310A8">
            <w:pPr>
              <w:spacing w:line="240" w:lineRule="auto"/>
              <w:rPr>
                <w:b/>
                <w:bCs/>
                <w:sz w:val="22"/>
              </w:rPr>
            </w:pPr>
            <w:r w:rsidRPr="008B0F0C">
              <w:rPr>
                <w:sz w:val="22"/>
              </w:rPr>
              <w:t>MAIS 3</w:t>
            </w:r>
          </w:p>
        </w:tc>
        <w:tc>
          <w:tcPr>
            <w:tcW w:w="1150" w:type="dxa"/>
          </w:tcPr>
          <w:p w14:paraId="373A83EF" w14:textId="77777777" w:rsidR="004310A8" w:rsidRPr="008B0F0C" w:rsidRDefault="000F5B51" w:rsidP="004310A8">
            <w:pPr>
              <w:spacing w:line="240" w:lineRule="auto"/>
              <w:jc w:val="center"/>
              <w:rPr>
                <w:sz w:val="22"/>
              </w:rPr>
            </w:pPr>
            <w:r w:rsidRPr="00F34170">
              <w:t>0.0</w:t>
            </w:r>
          </w:p>
        </w:tc>
        <w:tc>
          <w:tcPr>
            <w:tcW w:w="1816" w:type="dxa"/>
            <w:vAlign w:val="bottom"/>
          </w:tcPr>
          <w:p w14:paraId="5AE4268A" w14:textId="77777777" w:rsidR="004310A8" w:rsidRPr="008B0F0C" w:rsidRDefault="000F5B51" w:rsidP="004310A8">
            <w:pPr>
              <w:spacing w:line="240" w:lineRule="auto"/>
              <w:jc w:val="center"/>
              <w:rPr>
                <w:sz w:val="22"/>
              </w:rPr>
            </w:pPr>
            <w:r w:rsidRPr="00934F2C">
              <w:rPr>
                <w:rFonts w:eastAsia="Times New Roman" w:cs="Times New Roman"/>
                <w:color w:val="000000"/>
                <w:sz w:val="22"/>
              </w:rPr>
              <w:t xml:space="preserve">$1,307,335 </w:t>
            </w:r>
          </w:p>
        </w:tc>
        <w:tc>
          <w:tcPr>
            <w:tcW w:w="1536" w:type="dxa"/>
          </w:tcPr>
          <w:p w14:paraId="7DA7573E" w14:textId="77777777" w:rsidR="004310A8" w:rsidRPr="0028568D" w:rsidRDefault="000F5B51" w:rsidP="004310A8">
            <w:pPr>
              <w:spacing w:line="240" w:lineRule="auto"/>
              <w:jc w:val="center"/>
              <w:rPr>
                <w:sz w:val="22"/>
              </w:rPr>
            </w:pPr>
            <w:r w:rsidRPr="00D56CE7">
              <w:rPr>
                <w:sz w:val="22"/>
              </w:rPr>
              <w:t>$0</w:t>
            </w:r>
          </w:p>
        </w:tc>
        <w:tc>
          <w:tcPr>
            <w:tcW w:w="1150" w:type="dxa"/>
            <w:vAlign w:val="center"/>
          </w:tcPr>
          <w:p w14:paraId="17CAE0EF" w14:textId="77777777" w:rsidR="004310A8" w:rsidRPr="00F772CC" w:rsidRDefault="000F5B51" w:rsidP="004310A8">
            <w:pPr>
              <w:spacing w:line="240" w:lineRule="auto"/>
              <w:jc w:val="center"/>
              <w:rPr>
                <w:sz w:val="22"/>
              </w:rPr>
            </w:pPr>
            <w:r>
              <w:rPr>
                <w:color w:val="000000"/>
                <w:sz w:val="22"/>
              </w:rPr>
              <w:t>0.0</w:t>
            </w:r>
          </w:p>
        </w:tc>
        <w:tc>
          <w:tcPr>
            <w:tcW w:w="1816" w:type="dxa"/>
            <w:vAlign w:val="bottom"/>
          </w:tcPr>
          <w:p w14:paraId="5D23EA98" w14:textId="77777777" w:rsidR="004310A8" w:rsidRPr="00F772CC" w:rsidRDefault="000F5B51" w:rsidP="004310A8">
            <w:pPr>
              <w:spacing w:line="240" w:lineRule="auto"/>
              <w:jc w:val="center"/>
              <w:rPr>
                <w:sz w:val="22"/>
              </w:rPr>
            </w:pPr>
            <w:r w:rsidRPr="00F772CC">
              <w:rPr>
                <w:rFonts w:eastAsia="Times New Roman" w:cs="Times New Roman"/>
                <w:color w:val="000000"/>
                <w:sz w:val="22"/>
              </w:rPr>
              <w:t xml:space="preserve">$1,307,335 </w:t>
            </w:r>
          </w:p>
        </w:tc>
        <w:tc>
          <w:tcPr>
            <w:tcW w:w="1536" w:type="dxa"/>
          </w:tcPr>
          <w:p w14:paraId="45EBA4C8" w14:textId="77777777" w:rsidR="004310A8" w:rsidRPr="0028568D" w:rsidRDefault="000F5B51" w:rsidP="004310A8">
            <w:pPr>
              <w:spacing w:line="240" w:lineRule="auto"/>
              <w:jc w:val="center"/>
              <w:rPr>
                <w:sz w:val="22"/>
              </w:rPr>
            </w:pPr>
            <w:r w:rsidRPr="00D56CE7">
              <w:rPr>
                <w:sz w:val="22"/>
              </w:rPr>
              <w:t>$0</w:t>
            </w:r>
          </w:p>
        </w:tc>
      </w:tr>
      <w:tr w:rsidR="00A15C2C" w14:paraId="1AEE8A37" w14:textId="77777777" w:rsidTr="00D56CE7">
        <w:trPr>
          <w:trHeight w:val="236"/>
        </w:trPr>
        <w:tc>
          <w:tcPr>
            <w:tcW w:w="1163" w:type="dxa"/>
          </w:tcPr>
          <w:p w14:paraId="0EBE2A24" w14:textId="77777777" w:rsidR="004310A8" w:rsidRPr="00934F2C" w:rsidRDefault="000F5B51" w:rsidP="004310A8">
            <w:pPr>
              <w:spacing w:line="240" w:lineRule="auto"/>
              <w:rPr>
                <w:b/>
                <w:bCs/>
                <w:sz w:val="22"/>
              </w:rPr>
            </w:pPr>
            <w:r w:rsidRPr="008B0F0C">
              <w:rPr>
                <w:color w:val="000000"/>
                <w:sz w:val="22"/>
              </w:rPr>
              <w:t>MAIS 4</w:t>
            </w:r>
          </w:p>
        </w:tc>
        <w:tc>
          <w:tcPr>
            <w:tcW w:w="1150" w:type="dxa"/>
          </w:tcPr>
          <w:p w14:paraId="3063578F" w14:textId="77777777" w:rsidR="004310A8" w:rsidRPr="008B0F0C" w:rsidRDefault="000F5B51" w:rsidP="004310A8">
            <w:pPr>
              <w:spacing w:line="240" w:lineRule="auto"/>
              <w:jc w:val="center"/>
              <w:rPr>
                <w:sz w:val="22"/>
              </w:rPr>
            </w:pPr>
            <w:r w:rsidRPr="00F34170">
              <w:t>0.0</w:t>
            </w:r>
          </w:p>
        </w:tc>
        <w:tc>
          <w:tcPr>
            <w:tcW w:w="1816" w:type="dxa"/>
            <w:vAlign w:val="bottom"/>
          </w:tcPr>
          <w:p w14:paraId="6E22D06E" w14:textId="77777777" w:rsidR="004310A8" w:rsidRPr="008B0F0C" w:rsidRDefault="000F5B51" w:rsidP="004310A8">
            <w:pPr>
              <w:spacing w:line="240" w:lineRule="auto"/>
              <w:jc w:val="center"/>
              <w:rPr>
                <w:sz w:val="22"/>
              </w:rPr>
            </w:pPr>
            <w:r w:rsidRPr="00934F2C">
              <w:rPr>
                <w:rFonts w:eastAsia="Times New Roman" w:cs="Times New Roman"/>
                <w:color w:val="000000"/>
                <w:sz w:val="22"/>
              </w:rPr>
              <w:t xml:space="preserve">$3,215,701 </w:t>
            </w:r>
          </w:p>
        </w:tc>
        <w:tc>
          <w:tcPr>
            <w:tcW w:w="1536" w:type="dxa"/>
          </w:tcPr>
          <w:p w14:paraId="48A2F0BD" w14:textId="77777777" w:rsidR="004310A8" w:rsidRPr="0028568D" w:rsidRDefault="000F5B51" w:rsidP="004310A8">
            <w:pPr>
              <w:spacing w:line="240" w:lineRule="auto"/>
              <w:jc w:val="center"/>
              <w:rPr>
                <w:sz w:val="22"/>
              </w:rPr>
            </w:pPr>
            <w:r w:rsidRPr="00D56CE7">
              <w:rPr>
                <w:sz w:val="22"/>
              </w:rPr>
              <w:t>$0</w:t>
            </w:r>
          </w:p>
        </w:tc>
        <w:tc>
          <w:tcPr>
            <w:tcW w:w="1150" w:type="dxa"/>
            <w:vAlign w:val="center"/>
          </w:tcPr>
          <w:p w14:paraId="2DFA6857" w14:textId="77777777" w:rsidR="004310A8" w:rsidRPr="00F772CC" w:rsidRDefault="000F5B51" w:rsidP="004310A8">
            <w:pPr>
              <w:spacing w:line="240" w:lineRule="auto"/>
              <w:jc w:val="center"/>
              <w:rPr>
                <w:sz w:val="22"/>
              </w:rPr>
            </w:pPr>
            <w:r>
              <w:rPr>
                <w:color w:val="000000"/>
                <w:sz w:val="22"/>
              </w:rPr>
              <w:t>0.0</w:t>
            </w:r>
          </w:p>
        </w:tc>
        <w:tc>
          <w:tcPr>
            <w:tcW w:w="1816" w:type="dxa"/>
            <w:vAlign w:val="bottom"/>
          </w:tcPr>
          <w:p w14:paraId="7A8197BC" w14:textId="77777777" w:rsidR="004310A8" w:rsidRPr="00F772CC" w:rsidRDefault="000F5B51" w:rsidP="004310A8">
            <w:pPr>
              <w:spacing w:line="240" w:lineRule="auto"/>
              <w:jc w:val="center"/>
              <w:rPr>
                <w:sz w:val="22"/>
              </w:rPr>
            </w:pPr>
            <w:r w:rsidRPr="00F772CC">
              <w:rPr>
                <w:rFonts w:eastAsia="Times New Roman" w:cs="Times New Roman"/>
                <w:color w:val="000000"/>
                <w:sz w:val="22"/>
              </w:rPr>
              <w:t xml:space="preserve">$3,215,701 </w:t>
            </w:r>
          </w:p>
        </w:tc>
        <w:tc>
          <w:tcPr>
            <w:tcW w:w="1536" w:type="dxa"/>
          </w:tcPr>
          <w:p w14:paraId="58A70819" w14:textId="77777777" w:rsidR="004310A8" w:rsidRPr="0028568D" w:rsidRDefault="000F5B51" w:rsidP="004310A8">
            <w:pPr>
              <w:spacing w:line="240" w:lineRule="auto"/>
              <w:jc w:val="center"/>
              <w:rPr>
                <w:sz w:val="22"/>
              </w:rPr>
            </w:pPr>
            <w:r w:rsidRPr="00D56CE7">
              <w:rPr>
                <w:sz w:val="22"/>
              </w:rPr>
              <w:t>$0</w:t>
            </w:r>
          </w:p>
        </w:tc>
      </w:tr>
      <w:tr w:rsidR="00A15C2C" w14:paraId="2A691B8F" w14:textId="77777777" w:rsidTr="00D56CE7">
        <w:trPr>
          <w:trHeight w:val="236"/>
        </w:trPr>
        <w:tc>
          <w:tcPr>
            <w:tcW w:w="1163" w:type="dxa"/>
          </w:tcPr>
          <w:p w14:paraId="4C391F5F" w14:textId="77777777" w:rsidR="004310A8" w:rsidRPr="00934F2C" w:rsidRDefault="000F5B51" w:rsidP="004310A8">
            <w:pPr>
              <w:spacing w:line="240" w:lineRule="auto"/>
              <w:rPr>
                <w:b/>
                <w:bCs/>
                <w:sz w:val="22"/>
              </w:rPr>
            </w:pPr>
            <w:r w:rsidRPr="008B0F0C">
              <w:rPr>
                <w:sz w:val="22"/>
              </w:rPr>
              <w:t>MAIS 5</w:t>
            </w:r>
          </w:p>
        </w:tc>
        <w:tc>
          <w:tcPr>
            <w:tcW w:w="1150" w:type="dxa"/>
          </w:tcPr>
          <w:p w14:paraId="46754C9D" w14:textId="77777777" w:rsidR="004310A8" w:rsidRPr="008B0F0C" w:rsidRDefault="000F5B51" w:rsidP="004310A8">
            <w:pPr>
              <w:spacing w:line="240" w:lineRule="auto"/>
              <w:jc w:val="center"/>
              <w:rPr>
                <w:sz w:val="22"/>
              </w:rPr>
            </w:pPr>
            <w:r w:rsidRPr="00F34170">
              <w:t>0.0</w:t>
            </w:r>
          </w:p>
        </w:tc>
        <w:tc>
          <w:tcPr>
            <w:tcW w:w="1816" w:type="dxa"/>
            <w:vAlign w:val="bottom"/>
          </w:tcPr>
          <w:p w14:paraId="1D08F95B" w14:textId="77777777" w:rsidR="004310A8" w:rsidRPr="008B0F0C" w:rsidRDefault="000F5B51" w:rsidP="004310A8">
            <w:pPr>
              <w:spacing w:line="240" w:lineRule="auto"/>
              <w:jc w:val="center"/>
              <w:rPr>
                <w:sz w:val="22"/>
              </w:rPr>
            </w:pPr>
            <w:r w:rsidRPr="00934F2C">
              <w:rPr>
                <w:rFonts w:eastAsia="Times New Roman" w:cs="Times New Roman"/>
                <w:color w:val="000000"/>
                <w:sz w:val="22"/>
              </w:rPr>
              <w:t xml:space="preserve">$7,327,043 </w:t>
            </w:r>
          </w:p>
        </w:tc>
        <w:tc>
          <w:tcPr>
            <w:tcW w:w="1536" w:type="dxa"/>
          </w:tcPr>
          <w:p w14:paraId="7C52D51F" w14:textId="77777777" w:rsidR="004310A8" w:rsidRPr="0028568D" w:rsidRDefault="000F5B51" w:rsidP="004310A8">
            <w:pPr>
              <w:spacing w:line="240" w:lineRule="auto"/>
              <w:jc w:val="center"/>
              <w:rPr>
                <w:sz w:val="22"/>
              </w:rPr>
            </w:pPr>
            <w:r w:rsidRPr="00D56CE7">
              <w:rPr>
                <w:sz w:val="22"/>
              </w:rPr>
              <w:t>$0</w:t>
            </w:r>
          </w:p>
        </w:tc>
        <w:tc>
          <w:tcPr>
            <w:tcW w:w="1150" w:type="dxa"/>
            <w:vAlign w:val="center"/>
          </w:tcPr>
          <w:p w14:paraId="10C707E4" w14:textId="77777777" w:rsidR="004310A8" w:rsidRPr="00F772CC" w:rsidRDefault="000F5B51" w:rsidP="004310A8">
            <w:pPr>
              <w:spacing w:line="240" w:lineRule="auto"/>
              <w:jc w:val="center"/>
              <w:rPr>
                <w:sz w:val="22"/>
              </w:rPr>
            </w:pPr>
            <w:r>
              <w:rPr>
                <w:color w:val="000000"/>
                <w:sz w:val="22"/>
              </w:rPr>
              <w:t>0.0</w:t>
            </w:r>
          </w:p>
        </w:tc>
        <w:tc>
          <w:tcPr>
            <w:tcW w:w="1816" w:type="dxa"/>
            <w:vAlign w:val="bottom"/>
          </w:tcPr>
          <w:p w14:paraId="3E867298" w14:textId="77777777" w:rsidR="004310A8" w:rsidRPr="00F772CC" w:rsidRDefault="000F5B51" w:rsidP="004310A8">
            <w:pPr>
              <w:spacing w:line="240" w:lineRule="auto"/>
              <w:jc w:val="center"/>
              <w:rPr>
                <w:sz w:val="22"/>
              </w:rPr>
            </w:pPr>
            <w:r w:rsidRPr="00F772CC">
              <w:rPr>
                <w:rFonts w:eastAsia="Times New Roman" w:cs="Times New Roman"/>
                <w:color w:val="000000"/>
                <w:sz w:val="22"/>
              </w:rPr>
              <w:t xml:space="preserve">$7,327,043 </w:t>
            </w:r>
          </w:p>
        </w:tc>
        <w:tc>
          <w:tcPr>
            <w:tcW w:w="1536" w:type="dxa"/>
          </w:tcPr>
          <w:p w14:paraId="46E716F9" w14:textId="77777777" w:rsidR="004310A8" w:rsidRPr="0028568D" w:rsidRDefault="000F5B51" w:rsidP="004310A8">
            <w:pPr>
              <w:spacing w:line="240" w:lineRule="auto"/>
              <w:jc w:val="center"/>
              <w:rPr>
                <w:sz w:val="22"/>
              </w:rPr>
            </w:pPr>
            <w:r w:rsidRPr="00D56CE7">
              <w:rPr>
                <w:sz w:val="22"/>
              </w:rPr>
              <w:t>$0</w:t>
            </w:r>
          </w:p>
        </w:tc>
      </w:tr>
      <w:tr w:rsidR="00A15C2C" w14:paraId="5CEB8276" w14:textId="77777777" w:rsidTr="00D56CE7">
        <w:trPr>
          <w:trHeight w:val="236"/>
        </w:trPr>
        <w:tc>
          <w:tcPr>
            <w:tcW w:w="1163" w:type="dxa"/>
          </w:tcPr>
          <w:p w14:paraId="1D531345" w14:textId="77777777" w:rsidR="004310A8" w:rsidRPr="00934F2C" w:rsidRDefault="000F5B51" w:rsidP="004310A8">
            <w:pPr>
              <w:spacing w:line="240" w:lineRule="auto"/>
              <w:rPr>
                <w:b/>
                <w:bCs/>
                <w:sz w:val="22"/>
              </w:rPr>
            </w:pPr>
            <w:r w:rsidRPr="00934F2C">
              <w:rPr>
                <w:sz w:val="22"/>
              </w:rPr>
              <w:t>Fatalities</w:t>
            </w:r>
          </w:p>
        </w:tc>
        <w:tc>
          <w:tcPr>
            <w:tcW w:w="1150" w:type="dxa"/>
          </w:tcPr>
          <w:p w14:paraId="1716FB23" w14:textId="77777777" w:rsidR="004310A8" w:rsidRPr="008B0F0C" w:rsidRDefault="000F5B51" w:rsidP="004310A8">
            <w:pPr>
              <w:spacing w:line="240" w:lineRule="auto"/>
              <w:jc w:val="center"/>
              <w:rPr>
                <w:sz w:val="22"/>
              </w:rPr>
            </w:pPr>
            <w:r w:rsidRPr="00F34170">
              <w:t>0.4</w:t>
            </w:r>
          </w:p>
        </w:tc>
        <w:tc>
          <w:tcPr>
            <w:tcW w:w="1816" w:type="dxa"/>
            <w:vAlign w:val="bottom"/>
          </w:tcPr>
          <w:p w14:paraId="67AD229D" w14:textId="77777777" w:rsidR="004310A8" w:rsidRPr="008B0F0C" w:rsidRDefault="000F5B51" w:rsidP="004310A8">
            <w:pPr>
              <w:spacing w:line="240" w:lineRule="auto"/>
              <w:jc w:val="center"/>
              <w:rPr>
                <w:sz w:val="22"/>
              </w:rPr>
            </w:pPr>
            <w:r w:rsidRPr="00934F2C">
              <w:rPr>
                <w:rFonts w:eastAsia="Times New Roman" w:cs="Times New Roman"/>
                <w:color w:val="000000"/>
                <w:sz w:val="22"/>
              </w:rPr>
              <w:t xml:space="preserve">$11,950,834 </w:t>
            </w:r>
          </w:p>
        </w:tc>
        <w:tc>
          <w:tcPr>
            <w:tcW w:w="1536" w:type="dxa"/>
          </w:tcPr>
          <w:p w14:paraId="7815C403" w14:textId="77777777" w:rsidR="004310A8" w:rsidRPr="0028568D" w:rsidRDefault="000F5B51" w:rsidP="004310A8">
            <w:pPr>
              <w:spacing w:line="240" w:lineRule="auto"/>
              <w:jc w:val="center"/>
              <w:rPr>
                <w:sz w:val="22"/>
              </w:rPr>
            </w:pPr>
            <w:r w:rsidRPr="00D56CE7">
              <w:rPr>
                <w:sz w:val="22"/>
              </w:rPr>
              <w:t>$4,847,637</w:t>
            </w:r>
          </w:p>
        </w:tc>
        <w:tc>
          <w:tcPr>
            <w:tcW w:w="1150" w:type="dxa"/>
            <w:vAlign w:val="center"/>
          </w:tcPr>
          <w:p w14:paraId="760DA544" w14:textId="77777777" w:rsidR="004310A8" w:rsidRPr="00F772CC" w:rsidRDefault="000F5B51" w:rsidP="004310A8">
            <w:pPr>
              <w:spacing w:line="240" w:lineRule="auto"/>
              <w:jc w:val="center"/>
              <w:rPr>
                <w:sz w:val="22"/>
              </w:rPr>
            </w:pPr>
            <w:r>
              <w:rPr>
                <w:color w:val="000000"/>
                <w:sz w:val="22"/>
              </w:rPr>
              <w:t>0.6</w:t>
            </w:r>
          </w:p>
        </w:tc>
        <w:tc>
          <w:tcPr>
            <w:tcW w:w="1816" w:type="dxa"/>
            <w:vAlign w:val="bottom"/>
          </w:tcPr>
          <w:p w14:paraId="048A1D6A" w14:textId="77777777" w:rsidR="004310A8" w:rsidRPr="00F772CC" w:rsidRDefault="000F5B51" w:rsidP="004310A8">
            <w:pPr>
              <w:spacing w:line="240" w:lineRule="auto"/>
              <w:jc w:val="center"/>
              <w:rPr>
                <w:sz w:val="22"/>
              </w:rPr>
            </w:pPr>
            <w:r w:rsidRPr="00F772CC">
              <w:rPr>
                <w:rFonts w:eastAsia="Times New Roman" w:cs="Times New Roman"/>
                <w:color w:val="000000"/>
                <w:sz w:val="22"/>
              </w:rPr>
              <w:t xml:space="preserve">$11,950,834 </w:t>
            </w:r>
          </w:p>
        </w:tc>
        <w:tc>
          <w:tcPr>
            <w:tcW w:w="1536" w:type="dxa"/>
          </w:tcPr>
          <w:p w14:paraId="41971ACA" w14:textId="77777777" w:rsidR="004310A8" w:rsidRPr="0028568D" w:rsidRDefault="000F5B51" w:rsidP="004310A8">
            <w:pPr>
              <w:spacing w:line="240" w:lineRule="auto"/>
              <w:jc w:val="center"/>
              <w:rPr>
                <w:sz w:val="22"/>
              </w:rPr>
            </w:pPr>
            <w:r w:rsidRPr="00D56CE7">
              <w:rPr>
                <w:sz w:val="22"/>
              </w:rPr>
              <w:t>$7,271,456</w:t>
            </w:r>
          </w:p>
        </w:tc>
      </w:tr>
      <w:tr w:rsidR="00A15C2C" w14:paraId="25839C3B" w14:textId="77777777" w:rsidTr="00DE6F57">
        <w:trPr>
          <w:trHeight w:val="197"/>
        </w:trPr>
        <w:tc>
          <w:tcPr>
            <w:tcW w:w="2313" w:type="dxa"/>
            <w:gridSpan w:val="2"/>
            <w:tcBorders>
              <w:right w:val="single" w:sz="4" w:space="0" w:color="FFFFFF" w:themeColor="background1"/>
            </w:tcBorders>
            <w:vAlign w:val="center"/>
          </w:tcPr>
          <w:p w14:paraId="51F8C2DB" w14:textId="77777777" w:rsidR="004745BF" w:rsidRPr="00D56CE7" w:rsidRDefault="000F5B51" w:rsidP="003C04C4">
            <w:pPr>
              <w:spacing w:line="240" w:lineRule="auto"/>
              <w:rPr>
                <w:sz w:val="22"/>
              </w:rPr>
            </w:pPr>
            <w:r w:rsidRPr="00D56CE7">
              <w:rPr>
                <w:szCs w:val="24"/>
              </w:rPr>
              <w:t>Total Ages 6-10</w:t>
            </w:r>
          </w:p>
        </w:tc>
        <w:tc>
          <w:tcPr>
            <w:tcW w:w="1816" w:type="dxa"/>
            <w:tcBorders>
              <w:left w:val="single" w:sz="4" w:space="0" w:color="FFFFFF" w:themeColor="background1"/>
              <w:right w:val="single" w:sz="4" w:space="0" w:color="FFFFFF" w:themeColor="background1"/>
            </w:tcBorders>
            <w:vAlign w:val="center"/>
          </w:tcPr>
          <w:p w14:paraId="4F582B2B" w14:textId="77777777" w:rsidR="004745BF" w:rsidRPr="00D56CE7" w:rsidRDefault="004745BF" w:rsidP="0028568D">
            <w:pPr>
              <w:spacing w:line="240" w:lineRule="auto"/>
              <w:jc w:val="center"/>
              <w:rPr>
                <w:szCs w:val="24"/>
              </w:rPr>
            </w:pPr>
          </w:p>
        </w:tc>
        <w:tc>
          <w:tcPr>
            <w:tcW w:w="1536" w:type="dxa"/>
            <w:tcBorders>
              <w:left w:val="single" w:sz="4" w:space="0" w:color="FFFFFF" w:themeColor="background1"/>
              <w:right w:val="single" w:sz="4" w:space="0" w:color="FFFFFF" w:themeColor="background1"/>
            </w:tcBorders>
            <w:vAlign w:val="center"/>
          </w:tcPr>
          <w:p w14:paraId="047CE1C6" w14:textId="77777777" w:rsidR="004745BF" w:rsidRPr="00DE6F57" w:rsidRDefault="000F5B51">
            <w:pPr>
              <w:spacing w:line="240" w:lineRule="auto"/>
              <w:jc w:val="center"/>
              <w:rPr>
                <w:b/>
                <w:bCs/>
                <w:color w:val="000000"/>
                <w:szCs w:val="24"/>
              </w:rPr>
            </w:pPr>
            <w:r w:rsidRPr="00DE6F57">
              <w:rPr>
                <w:b/>
                <w:bCs/>
                <w:color w:val="000000"/>
                <w:szCs w:val="24"/>
              </w:rPr>
              <w:t>$5,182,943</w:t>
            </w:r>
          </w:p>
        </w:tc>
        <w:tc>
          <w:tcPr>
            <w:tcW w:w="1150" w:type="dxa"/>
            <w:tcBorders>
              <w:left w:val="single" w:sz="4" w:space="0" w:color="FFFFFF" w:themeColor="background1"/>
              <w:right w:val="single" w:sz="4" w:space="0" w:color="FFFFFF" w:themeColor="background1"/>
            </w:tcBorders>
            <w:vAlign w:val="center"/>
          </w:tcPr>
          <w:p w14:paraId="45EE118A" w14:textId="77777777" w:rsidR="004745BF" w:rsidRPr="00D56CE7" w:rsidRDefault="004745BF">
            <w:pPr>
              <w:spacing w:line="240" w:lineRule="auto"/>
              <w:jc w:val="center"/>
              <w:rPr>
                <w:color w:val="000000"/>
                <w:szCs w:val="24"/>
              </w:rPr>
            </w:pPr>
          </w:p>
        </w:tc>
        <w:tc>
          <w:tcPr>
            <w:tcW w:w="1816" w:type="dxa"/>
            <w:tcBorders>
              <w:left w:val="single" w:sz="4" w:space="0" w:color="FFFFFF" w:themeColor="background1"/>
              <w:right w:val="single" w:sz="4" w:space="0" w:color="FFFFFF" w:themeColor="background1"/>
            </w:tcBorders>
            <w:vAlign w:val="center"/>
          </w:tcPr>
          <w:p w14:paraId="5923C634" w14:textId="77777777" w:rsidR="004745BF" w:rsidRPr="00D56CE7" w:rsidRDefault="004745BF">
            <w:pPr>
              <w:spacing w:line="240" w:lineRule="auto"/>
              <w:jc w:val="center"/>
              <w:rPr>
                <w:color w:val="000000"/>
                <w:szCs w:val="24"/>
              </w:rPr>
            </w:pPr>
          </w:p>
        </w:tc>
        <w:tc>
          <w:tcPr>
            <w:tcW w:w="1536" w:type="dxa"/>
            <w:tcBorders>
              <w:left w:val="single" w:sz="4" w:space="0" w:color="FFFFFF" w:themeColor="background1"/>
            </w:tcBorders>
            <w:vAlign w:val="center"/>
          </w:tcPr>
          <w:p w14:paraId="4C77A862" w14:textId="77777777" w:rsidR="004745BF" w:rsidRPr="00DE6F57" w:rsidRDefault="000F5B51">
            <w:pPr>
              <w:spacing w:line="240" w:lineRule="auto"/>
              <w:jc w:val="center"/>
              <w:rPr>
                <w:b/>
                <w:bCs/>
                <w:color w:val="000000"/>
                <w:szCs w:val="24"/>
              </w:rPr>
            </w:pPr>
            <w:r w:rsidRPr="00DE6F57">
              <w:rPr>
                <w:b/>
                <w:bCs/>
                <w:color w:val="000000"/>
                <w:szCs w:val="24"/>
              </w:rPr>
              <w:t>$7,763,237</w:t>
            </w:r>
          </w:p>
        </w:tc>
      </w:tr>
      <w:tr w:rsidR="00A15C2C" w14:paraId="2C6CBBDA" w14:textId="77777777" w:rsidTr="00D56CE7">
        <w:trPr>
          <w:trHeight w:val="55"/>
        </w:trPr>
        <w:tc>
          <w:tcPr>
            <w:tcW w:w="10167" w:type="dxa"/>
            <w:gridSpan w:val="7"/>
            <w:shd w:val="clear" w:color="auto" w:fill="D9D9D9" w:themeFill="background1" w:themeFillShade="D9"/>
          </w:tcPr>
          <w:p w14:paraId="450D5B1A" w14:textId="77777777" w:rsidR="004745BF" w:rsidRPr="00CB2C12" w:rsidRDefault="000F5B51" w:rsidP="003C04C4">
            <w:pPr>
              <w:spacing w:line="240" w:lineRule="auto"/>
              <w:jc w:val="center"/>
              <w:rPr>
                <w:b/>
                <w:bCs/>
                <w:i/>
                <w:iCs/>
                <w:sz w:val="22"/>
              </w:rPr>
            </w:pPr>
            <w:r w:rsidRPr="00934F2C">
              <w:rPr>
                <w:b/>
                <w:bCs/>
                <w:i/>
                <w:iCs/>
                <w:sz w:val="22"/>
              </w:rPr>
              <w:t>Rear Seat Occupants 11+</w:t>
            </w:r>
          </w:p>
        </w:tc>
      </w:tr>
      <w:tr w:rsidR="00A15C2C" w14:paraId="54EE9658" w14:textId="77777777" w:rsidTr="00D56CE7">
        <w:trPr>
          <w:trHeight w:val="236"/>
        </w:trPr>
        <w:tc>
          <w:tcPr>
            <w:tcW w:w="1163" w:type="dxa"/>
          </w:tcPr>
          <w:p w14:paraId="626F7801" w14:textId="77777777" w:rsidR="000D1997" w:rsidRPr="00934F2C" w:rsidRDefault="000F5B51" w:rsidP="000D1997">
            <w:pPr>
              <w:spacing w:line="240" w:lineRule="auto"/>
              <w:rPr>
                <w:b/>
                <w:bCs/>
                <w:color w:val="000000"/>
                <w:sz w:val="22"/>
              </w:rPr>
            </w:pPr>
            <w:r w:rsidRPr="008B0F0C">
              <w:rPr>
                <w:sz w:val="22"/>
              </w:rPr>
              <w:t>MAIS 1</w:t>
            </w:r>
          </w:p>
        </w:tc>
        <w:tc>
          <w:tcPr>
            <w:tcW w:w="1150" w:type="dxa"/>
            <w:vAlign w:val="center"/>
          </w:tcPr>
          <w:p w14:paraId="695BA816" w14:textId="77777777" w:rsidR="000D1997" w:rsidRPr="008B0F0C" w:rsidRDefault="000F5B51" w:rsidP="000D1997">
            <w:pPr>
              <w:spacing w:line="240" w:lineRule="auto"/>
              <w:jc w:val="center"/>
              <w:rPr>
                <w:sz w:val="22"/>
              </w:rPr>
            </w:pPr>
            <w:r>
              <w:rPr>
                <w:color w:val="000000"/>
                <w:sz w:val="22"/>
              </w:rPr>
              <w:t>21.6</w:t>
            </w:r>
          </w:p>
        </w:tc>
        <w:tc>
          <w:tcPr>
            <w:tcW w:w="1816" w:type="dxa"/>
            <w:vAlign w:val="bottom"/>
          </w:tcPr>
          <w:p w14:paraId="7C4C3924" w14:textId="77777777" w:rsidR="000D1997" w:rsidRPr="008B0F0C" w:rsidRDefault="000F5B51" w:rsidP="000D1997">
            <w:pPr>
              <w:spacing w:line="240" w:lineRule="auto"/>
              <w:jc w:val="center"/>
              <w:rPr>
                <w:sz w:val="22"/>
              </w:rPr>
            </w:pPr>
            <w:r w:rsidRPr="00934F2C">
              <w:rPr>
                <w:rFonts w:eastAsia="Times New Roman" w:cs="Times New Roman"/>
                <w:color w:val="000000"/>
                <w:sz w:val="22"/>
              </w:rPr>
              <w:t xml:space="preserve">$56,035 </w:t>
            </w:r>
          </w:p>
        </w:tc>
        <w:tc>
          <w:tcPr>
            <w:tcW w:w="1536" w:type="dxa"/>
          </w:tcPr>
          <w:p w14:paraId="13392287" w14:textId="77777777" w:rsidR="000D1997" w:rsidRPr="0028568D" w:rsidRDefault="000F5B51" w:rsidP="000D1997">
            <w:pPr>
              <w:spacing w:line="240" w:lineRule="auto"/>
              <w:jc w:val="center"/>
              <w:rPr>
                <w:sz w:val="22"/>
              </w:rPr>
            </w:pPr>
            <w:r w:rsidRPr="00D56CE7">
              <w:rPr>
                <w:sz w:val="22"/>
              </w:rPr>
              <w:t>$1,211,917</w:t>
            </w:r>
          </w:p>
        </w:tc>
        <w:tc>
          <w:tcPr>
            <w:tcW w:w="1150" w:type="dxa"/>
            <w:vAlign w:val="center"/>
          </w:tcPr>
          <w:p w14:paraId="11EE3FAE" w14:textId="77777777" w:rsidR="000D1997" w:rsidRPr="00F772CC" w:rsidRDefault="000F5B51" w:rsidP="000D1997">
            <w:pPr>
              <w:spacing w:line="240" w:lineRule="auto"/>
              <w:jc w:val="center"/>
              <w:rPr>
                <w:sz w:val="22"/>
              </w:rPr>
            </w:pPr>
            <w:r>
              <w:rPr>
                <w:color w:val="000000"/>
                <w:sz w:val="22"/>
              </w:rPr>
              <w:t>32.5</w:t>
            </w:r>
          </w:p>
        </w:tc>
        <w:tc>
          <w:tcPr>
            <w:tcW w:w="1816" w:type="dxa"/>
            <w:vAlign w:val="bottom"/>
          </w:tcPr>
          <w:p w14:paraId="7C0DB73F" w14:textId="77777777" w:rsidR="000D1997" w:rsidRPr="00F772CC" w:rsidRDefault="000F5B51" w:rsidP="000D1997">
            <w:pPr>
              <w:spacing w:line="240" w:lineRule="auto"/>
              <w:jc w:val="center"/>
              <w:rPr>
                <w:sz w:val="22"/>
              </w:rPr>
            </w:pPr>
            <w:r w:rsidRPr="00F772CC">
              <w:rPr>
                <w:rFonts w:eastAsia="Times New Roman" w:cs="Times New Roman"/>
                <w:color w:val="000000"/>
                <w:sz w:val="22"/>
              </w:rPr>
              <w:t xml:space="preserve">$56,035 </w:t>
            </w:r>
          </w:p>
        </w:tc>
        <w:tc>
          <w:tcPr>
            <w:tcW w:w="1536" w:type="dxa"/>
          </w:tcPr>
          <w:p w14:paraId="353BDF34" w14:textId="77777777" w:rsidR="000D1997" w:rsidRPr="0028568D" w:rsidRDefault="000F5B51" w:rsidP="000D1997">
            <w:pPr>
              <w:spacing w:line="240" w:lineRule="auto"/>
              <w:jc w:val="center"/>
              <w:rPr>
                <w:sz w:val="22"/>
              </w:rPr>
            </w:pPr>
            <w:r w:rsidRPr="00D56CE7">
              <w:rPr>
                <w:sz w:val="22"/>
              </w:rPr>
              <w:t>$1,821,223</w:t>
            </w:r>
          </w:p>
        </w:tc>
      </w:tr>
      <w:tr w:rsidR="00A15C2C" w14:paraId="19C71837" w14:textId="77777777" w:rsidTr="00D56CE7">
        <w:trPr>
          <w:trHeight w:val="252"/>
        </w:trPr>
        <w:tc>
          <w:tcPr>
            <w:tcW w:w="1163" w:type="dxa"/>
          </w:tcPr>
          <w:p w14:paraId="600AA09B" w14:textId="77777777" w:rsidR="000D1997" w:rsidRPr="00934F2C" w:rsidRDefault="000F5B51" w:rsidP="000D1997">
            <w:pPr>
              <w:spacing w:line="240" w:lineRule="auto"/>
              <w:rPr>
                <w:b/>
                <w:bCs/>
                <w:sz w:val="22"/>
              </w:rPr>
            </w:pPr>
            <w:r w:rsidRPr="008B0F0C">
              <w:rPr>
                <w:color w:val="000000"/>
                <w:sz w:val="22"/>
              </w:rPr>
              <w:t>MAIS 2</w:t>
            </w:r>
          </w:p>
        </w:tc>
        <w:tc>
          <w:tcPr>
            <w:tcW w:w="1150" w:type="dxa"/>
            <w:vAlign w:val="center"/>
          </w:tcPr>
          <w:p w14:paraId="12C05711" w14:textId="77777777" w:rsidR="000D1997" w:rsidRPr="008B0F0C" w:rsidRDefault="000F5B51" w:rsidP="000D1997">
            <w:pPr>
              <w:spacing w:line="240" w:lineRule="auto"/>
              <w:jc w:val="center"/>
              <w:rPr>
                <w:sz w:val="22"/>
              </w:rPr>
            </w:pPr>
            <w:r>
              <w:rPr>
                <w:color w:val="000000"/>
                <w:sz w:val="22"/>
              </w:rPr>
              <w:t>39.6</w:t>
            </w:r>
          </w:p>
        </w:tc>
        <w:tc>
          <w:tcPr>
            <w:tcW w:w="1816" w:type="dxa"/>
            <w:vAlign w:val="bottom"/>
          </w:tcPr>
          <w:p w14:paraId="77D8EB35" w14:textId="77777777" w:rsidR="000D1997" w:rsidRPr="008B0F0C" w:rsidRDefault="000F5B51" w:rsidP="000D1997">
            <w:pPr>
              <w:spacing w:line="240" w:lineRule="auto"/>
              <w:jc w:val="center"/>
              <w:rPr>
                <w:sz w:val="22"/>
              </w:rPr>
            </w:pPr>
            <w:r w:rsidRPr="00934F2C">
              <w:rPr>
                <w:rFonts w:eastAsia="Times New Roman" w:cs="Times New Roman"/>
                <w:color w:val="000000"/>
                <w:sz w:val="22"/>
              </w:rPr>
              <w:t xml:space="preserve">$553,146 </w:t>
            </w:r>
          </w:p>
        </w:tc>
        <w:tc>
          <w:tcPr>
            <w:tcW w:w="1536" w:type="dxa"/>
          </w:tcPr>
          <w:p w14:paraId="57C44DC2" w14:textId="77777777" w:rsidR="000D1997" w:rsidRPr="0028568D" w:rsidRDefault="000F5B51" w:rsidP="000D1997">
            <w:pPr>
              <w:spacing w:line="240" w:lineRule="auto"/>
              <w:jc w:val="center"/>
              <w:rPr>
                <w:sz w:val="22"/>
              </w:rPr>
            </w:pPr>
            <w:r w:rsidRPr="00D56CE7">
              <w:rPr>
                <w:sz w:val="22"/>
              </w:rPr>
              <w:t>$21,918,916</w:t>
            </w:r>
          </w:p>
        </w:tc>
        <w:tc>
          <w:tcPr>
            <w:tcW w:w="1150" w:type="dxa"/>
            <w:vAlign w:val="center"/>
          </w:tcPr>
          <w:p w14:paraId="20E7EEE9" w14:textId="77777777" w:rsidR="000D1997" w:rsidRPr="00F772CC" w:rsidRDefault="000F5B51" w:rsidP="000D1997">
            <w:pPr>
              <w:spacing w:line="240" w:lineRule="auto"/>
              <w:jc w:val="center"/>
              <w:rPr>
                <w:sz w:val="22"/>
              </w:rPr>
            </w:pPr>
            <w:r>
              <w:rPr>
                <w:color w:val="000000"/>
                <w:sz w:val="22"/>
              </w:rPr>
              <w:t>59.5</w:t>
            </w:r>
          </w:p>
        </w:tc>
        <w:tc>
          <w:tcPr>
            <w:tcW w:w="1816" w:type="dxa"/>
            <w:vAlign w:val="bottom"/>
          </w:tcPr>
          <w:p w14:paraId="7CC5158A" w14:textId="77777777" w:rsidR="000D1997" w:rsidRPr="00F772CC" w:rsidRDefault="000F5B51" w:rsidP="000D1997">
            <w:pPr>
              <w:spacing w:line="240" w:lineRule="auto"/>
              <w:jc w:val="center"/>
              <w:rPr>
                <w:sz w:val="22"/>
              </w:rPr>
            </w:pPr>
            <w:r w:rsidRPr="00F772CC">
              <w:rPr>
                <w:rFonts w:eastAsia="Times New Roman" w:cs="Times New Roman"/>
                <w:color w:val="000000"/>
                <w:sz w:val="22"/>
              </w:rPr>
              <w:t xml:space="preserve">$553,146 </w:t>
            </w:r>
          </w:p>
        </w:tc>
        <w:tc>
          <w:tcPr>
            <w:tcW w:w="1536" w:type="dxa"/>
          </w:tcPr>
          <w:p w14:paraId="2FD8587A" w14:textId="77777777" w:rsidR="000D1997" w:rsidRPr="0028568D" w:rsidRDefault="000F5B51" w:rsidP="000D1997">
            <w:pPr>
              <w:spacing w:line="240" w:lineRule="auto"/>
              <w:jc w:val="center"/>
              <w:rPr>
                <w:sz w:val="22"/>
              </w:rPr>
            </w:pPr>
            <w:r w:rsidRPr="00D56CE7">
              <w:rPr>
                <w:sz w:val="22"/>
              </w:rPr>
              <w:t>$32,938,924</w:t>
            </w:r>
          </w:p>
        </w:tc>
      </w:tr>
      <w:tr w:rsidR="00A15C2C" w14:paraId="38267977" w14:textId="77777777" w:rsidTr="00D56CE7">
        <w:trPr>
          <w:trHeight w:val="236"/>
        </w:trPr>
        <w:tc>
          <w:tcPr>
            <w:tcW w:w="1163" w:type="dxa"/>
          </w:tcPr>
          <w:p w14:paraId="05F8ABEF" w14:textId="77777777" w:rsidR="000D1997" w:rsidRPr="00934F2C" w:rsidRDefault="000F5B51" w:rsidP="000D1997">
            <w:pPr>
              <w:spacing w:line="240" w:lineRule="auto"/>
              <w:rPr>
                <w:b/>
                <w:bCs/>
                <w:color w:val="000000"/>
                <w:sz w:val="22"/>
              </w:rPr>
            </w:pPr>
            <w:r w:rsidRPr="008B0F0C">
              <w:rPr>
                <w:sz w:val="22"/>
              </w:rPr>
              <w:t>MAIS 3</w:t>
            </w:r>
          </w:p>
        </w:tc>
        <w:tc>
          <w:tcPr>
            <w:tcW w:w="1150" w:type="dxa"/>
            <w:vAlign w:val="center"/>
          </w:tcPr>
          <w:p w14:paraId="2FE89AE9" w14:textId="77777777" w:rsidR="000D1997" w:rsidRPr="008B0F0C" w:rsidRDefault="000F5B51" w:rsidP="000D1997">
            <w:pPr>
              <w:spacing w:line="240" w:lineRule="auto"/>
              <w:jc w:val="center"/>
              <w:rPr>
                <w:sz w:val="22"/>
              </w:rPr>
            </w:pPr>
            <w:r>
              <w:rPr>
                <w:color w:val="000000"/>
                <w:sz w:val="22"/>
              </w:rPr>
              <w:t>5.4</w:t>
            </w:r>
          </w:p>
        </w:tc>
        <w:tc>
          <w:tcPr>
            <w:tcW w:w="1816" w:type="dxa"/>
            <w:vAlign w:val="bottom"/>
          </w:tcPr>
          <w:p w14:paraId="098BA122" w14:textId="77777777" w:rsidR="000D1997" w:rsidRPr="008B0F0C" w:rsidRDefault="000F5B51" w:rsidP="000D1997">
            <w:pPr>
              <w:spacing w:line="240" w:lineRule="auto"/>
              <w:jc w:val="center"/>
              <w:rPr>
                <w:sz w:val="22"/>
              </w:rPr>
            </w:pPr>
            <w:r w:rsidRPr="00934F2C">
              <w:rPr>
                <w:rFonts w:eastAsia="Times New Roman" w:cs="Times New Roman"/>
                <w:color w:val="000000"/>
                <w:sz w:val="22"/>
              </w:rPr>
              <w:t xml:space="preserve">$1,307,335 </w:t>
            </w:r>
          </w:p>
        </w:tc>
        <w:tc>
          <w:tcPr>
            <w:tcW w:w="1536" w:type="dxa"/>
          </w:tcPr>
          <w:p w14:paraId="4CB14993" w14:textId="77777777" w:rsidR="000D1997" w:rsidRPr="0028568D" w:rsidRDefault="000F5B51" w:rsidP="000D1997">
            <w:pPr>
              <w:spacing w:line="240" w:lineRule="auto"/>
              <w:jc w:val="center"/>
              <w:rPr>
                <w:sz w:val="22"/>
              </w:rPr>
            </w:pPr>
            <w:r w:rsidRPr="00D56CE7">
              <w:rPr>
                <w:sz w:val="22"/>
              </w:rPr>
              <w:t>$7,120,554</w:t>
            </w:r>
          </w:p>
        </w:tc>
        <w:tc>
          <w:tcPr>
            <w:tcW w:w="1150" w:type="dxa"/>
            <w:vAlign w:val="center"/>
          </w:tcPr>
          <w:p w14:paraId="48607D65" w14:textId="77777777" w:rsidR="000D1997" w:rsidRPr="00F772CC" w:rsidRDefault="000F5B51" w:rsidP="000D1997">
            <w:pPr>
              <w:spacing w:line="240" w:lineRule="auto"/>
              <w:jc w:val="center"/>
              <w:rPr>
                <w:sz w:val="22"/>
              </w:rPr>
            </w:pPr>
            <w:r>
              <w:rPr>
                <w:color w:val="000000"/>
                <w:sz w:val="22"/>
              </w:rPr>
              <w:t>8.2</w:t>
            </w:r>
          </w:p>
        </w:tc>
        <w:tc>
          <w:tcPr>
            <w:tcW w:w="1816" w:type="dxa"/>
            <w:vAlign w:val="bottom"/>
          </w:tcPr>
          <w:p w14:paraId="38B7623C" w14:textId="77777777" w:rsidR="000D1997" w:rsidRPr="00F772CC" w:rsidRDefault="000F5B51" w:rsidP="000D1997">
            <w:pPr>
              <w:spacing w:line="240" w:lineRule="auto"/>
              <w:jc w:val="center"/>
              <w:rPr>
                <w:sz w:val="22"/>
              </w:rPr>
            </w:pPr>
            <w:r w:rsidRPr="00F772CC">
              <w:rPr>
                <w:rFonts w:eastAsia="Times New Roman" w:cs="Times New Roman"/>
                <w:color w:val="000000"/>
                <w:sz w:val="22"/>
              </w:rPr>
              <w:t xml:space="preserve">$1,307,335 </w:t>
            </w:r>
          </w:p>
        </w:tc>
        <w:tc>
          <w:tcPr>
            <w:tcW w:w="1536" w:type="dxa"/>
          </w:tcPr>
          <w:p w14:paraId="6E4069C4" w14:textId="77777777" w:rsidR="000D1997" w:rsidRPr="0028568D" w:rsidRDefault="000F5B51" w:rsidP="000D1997">
            <w:pPr>
              <w:spacing w:line="240" w:lineRule="auto"/>
              <w:jc w:val="center"/>
              <w:rPr>
                <w:sz w:val="22"/>
              </w:rPr>
            </w:pPr>
            <w:r w:rsidRPr="00D56CE7">
              <w:rPr>
                <w:sz w:val="22"/>
              </w:rPr>
              <w:t>$10,700,501</w:t>
            </w:r>
          </w:p>
        </w:tc>
      </w:tr>
      <w:tr w:rsidR="00A15C2C" w14:paraId="44386845" w14:textId="77777777" w:rsidTr="00D56CE7">
        <w:trPr>
          <w:trHeight w:val="252"/>
        </w:trPr>
        <w:tc>
          <w:tcPr>
            <w:tcW w:w="1163" w:type="dxa"/>
          </w:tcPr>
          <w:p w14:paraId="370EAE69" w14:textId="77777777" w:rsidR="000D1997" w:rsidRPr="00934F2C" w:rsidRDefault="000F5B51" w:rsidP="000D1997">
            <w:pPr>
              <w:spacing w:line="240" w:lineRule="auto"/>
              <w:rPr>
                <w:b/>
                <w:bCs/>
                <w:sz w:val="22"/>
              </w:rPr>
            </w:pPr>
            <w:r w:rsidRPr="008B0F0C">
              <w:rPr>
                <w:color w:val="000000"/>
                <w:sz w:val="22"/>
              </w:rPr>
              <w:t>MAIS 4</w:t>
            </w:r>
          </w:p>
        </w:tc>
        <w:tc>
          <w:tcPr>
            <w:tcW w:w="1150" w:type="dxa"/>
            <w:vAlign w:val="center"/>
          </w:tcPr>
          <w:p w14:paraId="4945C65D" w14:textId="77777777" w:rsidR="000D1997" w:rsidRPr="008B0F0C" w:rsidRDefault="000F5B51" w:rsidP="000D1997">
            <w:pPr>
              <w:spacing w:line="240" w:lineRule="auto"/>
              <w:jc w:val="center"/>
              <w:rPr>
                <w:sz w:val="22"/>
              </w:rPr>
            </w:pPr>
            <w:r>
              <w:rPr>
                <w:color w:val="000000"/>
                <w:sz w:val="22"/>
              </w:rPr>
              <w:t>5.4</w:t>
            </w:r>
          </w:p>
        </w:tc>
        <w:tc>
          <w:tcPr>
            <w:tcW w:w="1816" w:type="dxa"/>
            <w:vAlign w:val="bottom"/>
          </w:tcPr>
          <w:p w14:paraId="14D7BDEC" w14:textId="77777777" w:rsidR="000D1997" w:rsidRPr="008B0F0C" w:rsidRDefault="000F5B51" w:rsidP="000D1997">
            <w:pPr>
              <w:spacing w:line="240" w:lineRule="auto"/>
              <w:jc w:val="center"/>
              <w:rPr>
                <w:sz w:val="22"/>
              </w:rPr>
            </w:pPr>
            <w:r w:rsidRPr="00934F2C">
              <w:rPr>
                <w:rFonts w:eastAsia="Times New Roman" w:cs="Times New Roman"/>
                <w:color w:val="000000"/>
                <w:sz w:val="22"/>
              </w:rPr>
              <w:t xml:space="preserve">$3,215,701 </w:t>
            </w:r>
          </w:p>
        </w:tc>
        <w:tc>
          <w:tcPr>
            <w:tcW w:w="1536" w:type="dxa"/>
          </w:tcPr>
          <w:p w14:paraId="339DBBEF" w14:textId="77777777" w:rsidR="000D1997" w:rsidRPr="0028568D" w:rsidRDefault="000F5B51" w:rsidP="000D1997">
            <w:pPr>
              <w:spacing w:line="240" w:lineRule="auto"/>
              <w:jc w:val="center"/>
              <w:rPr>
                <w:sz w:val="22"/>
              </w:rPr>
            </w:pPr>
            <w:r w:rsidRPr="00D56CE7">
              <w:rPr>
                <w:sz w:val="22"/>
              </w:rPr>
              <w:t>$17,450,673</w:t>
            </w:r>
          </w:p>
        </w:tc>
        <w:tc>
          <w:tcPr>
            <w:tcW w:w="1150" w:type="dxa"/>
            <w:vAlign w:val="center"/>
          </w:tcPr>
          <w:p w14:paraId="453F9851" w14:textId="77777777" w:rsidR="000D1997" w:rsidRPr="00F772CC" w:rsidRDefault="000F5B51" w:rsidP="000D1997">
            <w:pPr>
              <w:spacing w:line="240" w:lineRule="auto"/>
              <w:jc w:val="center"/>
              <w:rPr>
                <w:sz w:val="22"/>
              </w:rPr>
            </w:pPr>
            <w:r>
              <w:rPr>
                <w:color w:val="000000"/>
                <w:sz w:val="22"/>
              </w:rPr>
              <w:t>8.2</w:t>
            </w:r>
          </w:p>
        </w:tc>
        <w:tc>
          <w:tcPr>
            <w:tcW w:w="1816" w:type="dxa"/>
            <w:vAlign w:val="bottom"/>
          </w:tcPr>
          <w:p w14:paraId="33C322C2" w14:textId="77777777" w:rsidR="000D1997" w:rsidRPr="00F772CC" w:rsidRDefault="000F5B51" w:rsidP="000D1997">
            <w:pPr>
              <w:spacing w:line="240" w:lineRule="auto"/>
              <w:jc w:val="center"/>
              <w:rPr>
                <w:sz w:val="22"/>
              </w:rPr>
            </w:pPr>
            <w:r w:rsidRPr="00F772CC">
              <w:rPr>
                <w:rFonts w:eastAsia="Times New Roman" w:cs="Times New Roman"/>
                <w:color w:val="000000"/>
                <w:sz w:val="22"/>
              </w:rPr>
              <w:t xml:space="preserve">$3,215,701 </w:t>
            </w:r>
          </w:p>
        </w:tc>
        <w:tc>
          <w:tcPr>
            <w:tcW w:w="1536" w:type="dxa"/>
          </w:tcPr>
          <w:p w14:paraId="60194351" w14:textId="77777777" w:rsidR="000D1997" w:rsidRPr="0028568D" w:rsidRDefault="000F5B51" w:rsidP="000D1997">
            <w:pPr>
              <w:spacing w:line="240" w:lineRule="auto"/>
              <w:jc w:val="center"/>
              <w:rPr>
                <w:sz w:val="22"/>
              </w:rPr>
            </w:pPr>
            <w:r w:rsidRPr="00D56CE7">
              <w:rPr>
                <w:sz w:val="22"/>
              </w:rPr>
              <w:t>$26,224,216</w:t>
            </w:r>
          </w:p>
        </w:tc>
      </w:tr>
      <w:tr w:rsidR="00A15C2C" w14:paraId="3B62190C" w14:textId="77777777" w:rsidTr="00D56CE7">
        <w:trPr>
          <w:trHeight w:val="236"/>
        </w:trPr>
        <w:tc>
          <w:tcPr>
            <w:tcW w:w="1163" w:type="dxa"/>
          </w:tcPr>
          <w:p w14:paraId="430503D8" w14:textId="77777777" w:rsidR="000D1997" w:rsidRPr="00934F2C" w:rsidRDefault="000F5B51" w:rsidP="000D1997">
            <w:pPr>
              <w:spacing w:line="240" w:lineRule="auto"/>
              <w:rPr>
                <w:sz w:val="22"/>
              </w:rPr>
            </w:pPr>
            <w:r w:rsidRPr="008B0F0C">
              <w:rPr>
                <w:sz w:val="22"/>
              </w:rPr>
              <w:t>MAIS 5</w:t>
            </w:r>
          </w:p>
        </w:tc>
        <w:tc>
          <w:tcPr>
            <w:tcW w:w="1150" w:type="dxa"/>
            <w:vAlign w:val="center"/>
          </w:tcPr>
          <w:p w14:paraId="32715B13" w14:textId="77777777" w:rsidR="000D1997" w:rsidRPr="008B0F0C" w:rsidRDefault="000F5B51" w:rsidP="000D1997">
            <w:pPr>
              <w:spacing w:line="240" w:lineRule="auto"/>
              <w:jc w:val="center"/>
              <w:rPr>
                <w:sz w:val="22"/>
              </w:rPr>
            </w:pPr>
            <w:r>
              <w:rPr>
                <w:color w:val="000000"/>
                <w:sz w:val="22"/>
              </w:rPr>
              <w:t>0.2</w:t>
            </w:r>
          </w:p>
        </w:tc>
        <w:tc>
          <w:tcPr>
            <w:tcW w:w="1816" w:type="dxa"/>
            <w:vAlign w:val="bottom"/>
          </w:tcPr>
          <w:p w14:paraId="41BFA711" w14:textId="77777777" w:rsidR="000D1997" w:rsidRPr="008B0F0C" w:rsidRDefault="000F5B51" w:rsidP="000D1997">
            <w:pPr>
              <w:spacing w:line="240" w:lineRule="auto"/>
              <w:jc w:val="center"/>
              <w:rPr>
                <w:sz w:val="22"/>
              </w:rPr>
            </w:pPr>
            <w:r w:rsidRPr="00934F2C">
              <w:rPr>
                <w:rFonts w:eastAsia="Times New Roman" w:cs="Times New Roman"/>
                <w:color w:val="000000"/>
                <w:sz w:val="22"/>
              </w:rPr>
              <w:t xml:space="preserve">$7,327,043 </w:t>
            </w:r>
          </w:p>
        </w:tc>
        <w:tc>
          <w:tcPr>
            <w:tcW w:w="1536" w:type="dxa"/>
          </w:tcPr>
          <w:p w14:paraId="707915BC" w14:textId="77777777" w:rsidR="000D1997" w:rsidRPr="0028568D" w:rsidRDefault="000F5B51" w:rsidP="000D1997">
            <w:pPr>
              <w:spacing w:line="240" w:lineRule="auto"/>
              <w:jc w:val="center"/>
              <w:rPr>
                <w:sz w:val="22"/>
              </w:rPr>
            </w:pPr>
            <w:r w:rsidRPr="00D56CE7">
              <w:rPr>
                <w:sz w:val="22"/>
              </w:rPr>
              <w:t>$1,154,520</w:t>
            </w:r>
          </w:p>
        </w:tc>
        <w:tc>
          <w:tcPr>
            <w:tcW w:w="1150" w:type="dxa"/>
            <w:vAlign w:val="center"/>
          </w:tcPr>
          <w:p w14:paraId="7043AFFA" w14:textId="77777777" w:rsidR="000D1997" w:rsidRPr="00F772CC" w:rsidRDefault="000F5B51" w:rsidP="000D1997">
            <w:pPr>
              <w:spacing w:line="240" w:lineRule="auto"/>
              <w:jc w:val="center"/>
              <w:rPr>
                <w:sz w:val="22"/>
              </w:rPr>
            </w:pPr>
            <w:r>
              <w:rPr>
                <w:color w:val="000000"/>
                <w:sz w:val="22"/>
              </w:rPr>
              <w:t>0.2</w:t>
            </w:r>
          </w:p>
        </w:tc>
        <w:tc>
          <w:tcPr>
            <w:tcW w:w="1816" w:type="dxa"/>
            <w:vAlign w:val="bottom"/>
          </w:tcPr>
          <w:p w14:paraId="6FC2EC33" w14:textId="77777777" w:rsidR="000D1997" w:rsidRPr="00F772CC" w:rsidRDefault="000F5B51" w:rsidP="000D1997">
            <w:pPr>
              <w:spacing w:line="240" w:lineRule="auto"/>
              <w:jc w:val="center"/>
              <w:rPr>
                <w:sz w:val="22"/>
              </w:rPr>
            </w:pPr>
            <w:r w:rsidRPr="00F772CC">
              <w:rPr>
                <w:rFonts w:eastAsia="Times New Roman" w:cs="Times New Roman"/>
                <w:color w:val="000000"/>
                <w:sz w:val="22"/>
              </w:rPr>
              <w:t xml:space="preserve">$7,327,043 </w:t>
            </w:r>
          </w:p>
        </w:tc>
        <w:tc>
          <w:tcPr>
            <w:tcW w:w="1536" w:type="dxa"/>
          </w:tcPr>
          <w:p w14:paraId="23EC4D66" w14:textId="77777777" w:rsidR="000D1997" w:rsidRPr="0028568D" w:rsidRDefault="000F5B51" w:rsidP="000D1997">
            <w:pPr>
              <w:spacing w:line="240" w:lineRule="auto"/>
              <w:jc w:val="center"/>
              <w:rPr>
                <w:sz w:val="22"/>
              </w:rPr>
            </w:pPr>
            <w:r w:rsidRPr="00D56CE7">
              <w:rPr>
                <w:sz w:val="22"/>
              </w:rPr>
              <w:t>$1,734,970</w:t>
            </w:r>
          </w:p>
        </w:tc>
      </w:tr>
      <w:tr w:rsidR="00A15C2C" w14:paraId="5E1A6B20" w14:textId="77777777" w:rsidTr="00D56CE7">
        <w:trPr>
          <w:trHeight w:val="236"/>
        </w:trPr>
        <w:tc>
          <w:tcPr>
            <w:tcW w:w="1163" w:type="dxa"/>
          </w:tcPr>
          <w:p w14:paraId="3D67B6C7" w14:textId="77777777" w:rsidR="000D1997" w:rsidRPr="00934F2C" w:rsidRDefault="000F5B51" w:rsidP="000D1997">
            <w:pPr>
              <w:spacing w:line="240" w:lineRule="auto"/>
              <w:rPr>
                <w:b/>
                <w:bCs/>
                <w:color w:val="000000"/>
                <w:sz w:val="22"/>
              </w:rPr>
            </w:pPr>
            <w:r w:rsidRPr="00934F2C">
              <w:rPr>
                <w:color w:val="000000"/>
                <w:sz w:val="22"/>
              </w:rPr>
              <w:t>Fatalities</w:t>
            </w:r>
          </w:p>
        </w:tc>
        <w:tc>
          <w:tcPr>
            <w:tcW w:w="1150" w:type="dxa"/>
            <w:vAlign w:val="center"/>
          </w:tcPr>
          <w:p w14:paraId="4EDBCCD4" w14:textId="77777777" w:rsidR="000D1997" w:rsidRPr="008B0F0C" w:rsidRDefault="000F5B51" w:rsidP="000D1997">
            <w:pPr>
              <w:spacing w:line="240" w:lineRule="auto"/>
              <w:jc w:val="center"/>
              <w:rPr>
                <w:sz w:val="22"/>
              </w:rPr>
            </w:pPr>
            <w:r>
              <w:rPr>
                <w:color w:val="000000"/>
                <w:sz w:val="22"/>
              </w:rPr>
              <w:t>21.9</w:t>
            </w:r>
          </w:p>
        </w:tc>
        <w:tc>
          <w:tcPr>
            <w:tcW w:w="1816" w:type="dxa"/>
            <w:vAlign w:val="bottom"/>
          </w:tcPr>
          <w:p w14:paraId="614DC75E" w14:textId="77777777" w:rsidR="000D1997" w:rsidRPr="008B0F0C" w:rsidRDefault="000F5B51" w:rsidP="000D1997">
            <w:pPr>
              <w:spacing w:line="240" w:lineRule="auto"/>
              <w:jc w:val="center"/>
              <w:rPr>
                <w:sz w:val="22"/>
              </w:rPr>
            </w:pPr>
            <w:r w:rsidRPr="00934F2C">
              <w:rPr>
                <w:rFonts w:eastAsia="Times New Roman" w:cs="Times New Roman"/>
                <w:color w:val="000000"/>
                <w:sz w:val="22"/>
              </w:rPr>
              <w:t xml:space="preserve">$11,950,834 </w:t>
            </w:r>
          </w:p>
        </w:tc>
        <w:tc>
          <w:tcPr>
            <w:tcW w:w="1536" w:type="dxa"/>
          </w:tcPr>
          <w:p w14:paraId="7FE63FA1" w14:textId="77777777" w:rsidR="000D1997" w:rsidRPr="0028568D" w:rsidRDefault="000F5B51" w:rsidP="000D1997">
            <w:pPr>
              <w:spacing w:line="240" w:lineRule="auto"/>
              <w:jc w:val="center"/>
              <w:rPr>
                <w:sz w:val="22"/>
              </w:rPr>
            </w:pPr>
            <w:r w:rsidRPr="00D56CE7">
              <w:rPr>
                <w:sz w:val="22"/>
              </w:rPr>
              <w:t>$261,813,734</w:t>
            </w:r>
          </w:p>
        </w:tc>
        <w:tc>
          <w:tcPr>
            <w:tcW w:w="1150" w:type="dxa"/>
            <w:vAlign w:val="center"/>
          </w:tcPr>
          <w:p w14:paraId="3F240590" w14:textId="77777777" w:rsidR="000D1997" w:rsidRPr="00F772CC" w:rsidRDefault="000F5B51" w:rsidP="000D1997">
            <w:pPr>
              <w:spacing w:line="240" w:lineRule="auto"/>
              <w:jc w:val="center"/>
              <w:rPr>
                <w:sz w:val="22"/>
              </w:rPr>
            </w:pPr>
            <w:r>
              <w:rPr>
                <w:color w:val="000000"/>
                <w:sz w:val="22"/>
              </w:rPr>
              <w:t>33.0</w:t>
            </w:r>
          </w:p>
        </w:tc>
        <w:tc>
          <w:tcPr>
            <w:tcW w:w="1816" w:type="dxa"/>
            <w:vAlign w:val="bottom"/>
          </w:tcPr>
          <w:p w14:paraId="63F64BBD" w14:textId="77777777" w:rsidR="000D1997" w:rsidRPr="00F772CC" w:rsidRDefault="000F5B51" w:rsidP="000D1997">
            <w:pPr>
              <w:spacing w:line="240" w:lineRule="auto"/>
              <w:jc w:val="center"/>
              <w:rPr>
                <w:sz w:val="22"/>
              </w:rPr>
            </w:pPr>
            <w:r w:rsidRPr="00F772CC">
              <w:rPr>
                <w:rFonts w:eastAsia="Times New Roman" w:cs="Times New Roman"/>
                <w:color w:val="000000"/>
                <w:sz w:val="22"/>
              </w:rPr>
              <w:t xml:space="preserve">$11,950,834 </w:t>
            </w:r>
          </w:p>
        </w:tc>
        <w:tc>
          <w:tcPr>
            <w:tcW w:w="1536" w:type="dxa"/>
          </w:tcPr>
          <w:p w14:paraId="7AC4771C" w14:textId="77777777" w:rsidR="000D1997" w:rsidRPr="0028568D" w:rsidRDefault="000F5B51" w:rsidP="000D1997">
            <w:pPr>
              <w:spacing w:line="240" w:lineRule="auto"/>
              <w:jc w:val="center"/>
              <w:rPr>
                <w:sz w:val="22"/>
              </w:rPr>
            </w:pPr>
            <w:r w:rsidRPr="00D56CE7">
              <w:rPr>
                <w:sz w:val="22"/>
              </w:rPr>
              <w:t>$394,599,647</w:t>
            </w:r>
          </w:p>
        </w:tc>
      </w:tr>
      <w:tr w:rsidR="00A15C2C" w14:paraId="791A42BD" w14:textId="77777777" w:rsidTr="00DE6F57">
        <w:trPr>
          <w:trHeight w:val="80"/>
        </w:trPr>
        <w:tc>
          <w:tcPr>
            <w:tcW w:w="2313" w:type="dxa"/>
            <w:gridSpan w:val="2"/>
            <w:tcBorders>
              <w:right w:val="single" w:sz="4" w:space="0" w:color="FFFFFF" w:themeColor="background1"/>
            </w:tcBorders>
            <w:vAlign w:val="center"/>
          </w:tcPr>
          <w:p w14:paraId="368C9181" w14:textId="77777777" w:rsidR="004745BF" w:rsidRPr="00DE6F57" w:rsidRDefault="000F5B51" w:rsidP="003C04C4">
            <w:pPr>
              <w:spacing w:line="240" w:lineRule="auto"/>
              <w:rPr>
                <w:b/>
                <w:bCs/>
                <w:sz w:val="22"/>
              </w:rPr>
            </w:pPr>
            <w:r w:rsidRPr="00DE6F57">
              <w:rPr>
                <w:b/>
                <w:bCs/>
                <w:color w:val="000000"/>
                <w:szCs w:val="24"/>
              </w:rPr>
              <w:t>Total Ages 11+</w:t>
            </w:r>
          </w:p>
        </w:tc>
        <w:tc>
          <w:tcPr>
            <w:tcW w:w="1816" w:type="dxa"/>
            <w:tcBorders>
              <w:left w:val="single" w:sz="4" w:space="0" w:color="FFFFFF" w:themeColor="background1"/>
              <w:right w:val="single" w:sz="4" w:space="0" w:color="FFFFFF" w:themeColor="background1"/>
            </w:tcBorders>
            <w:vAlign w:val="center"/>
          </w:tcPr>
          <w:p w14:paraId="49B6C466" w14:textId="77777777" w:rsidR="004745BF" w:rsidRPr="00DE6F57" w:rsidRDefault="004745BF" w:rsidP="0028568D">
            <w:pPr>
              <w:spacing w:line="240" w:lineRule="auto"/>
              <w:jc w:val="center"/>
              <w:rPr>
                <w:b/>
                <w:bCs/>
                <w:color w:val="000000" w:themeColor="text1"/>
                <w:szCs w:val="24"/>
              </w:rPr>
            </w:pPr>
          </w:p>
        </w:tc>
        <w:tc>
          <w:tcPr>
            <w:tcW w:w="1536" w:type="dxa"/>
            <w:tcBorders>
              <w:left w:val="single" w:sz="4" w:space="0" w:color="FFFFFF" w:themeColor="background1"/>
              <w:right w:val="single" w:sz="4" w:space="0" w:color="FFFFFF" w:themeColor="background1"/>
            </w:tcBorders>
            <w:vAlign w:val="center"/>
          </w:tcPr>
          <w:p w14:paraId="03996249" w14:textId="77777777" w:rsidR="004745BF" w:rsidRPr="00DE6F57" w:rsidRDefault="000F5B51">
            <w:pPr>
              <w:spacing w:line="240" w:lineRule="auto"/>
              <w:jc w:val="center"/>
              <w:rPr>
                <w:b/>
                <w:bCs/>
                <w:szCs w:val="24"/>
              </w:rPr>
            </w:pPr>
            <w:r w:rsidRPr="00DE6F57">
              <w:rPr>
                <w:b/>
                <w:bCs/>
                <w:szCs w:val="24"/>
              </w:rPr>
              <w:t>$310,670,314</w:t>
            </w:r>
          </w:p>
        </w:tc>
        <w:tc>
          <w:tcPr>
            <w:tcW w:w="1150" w:type="dxa"/>
            <w:tcBorders>
              <w:left w:val="single" w:sz="4" w:space="0" w:color="FFFFFF" w:themeColor="background1"/>
              <w:right w:val="single" w:sz="4" w:space="0" w:color="FFFFFF" w:themeColor="background1"/>
            </w:tcBorders>
            <w:vAlign w:val="center"/>
          </w:tcPr>
          <w:p w14:paraId="2E5C4D35" w14:textId="77777777" w:rsidR="004745BF" w:rsidRPr="00DE6F57" w:rsidRDefault="004745BF">
            <w:pPr>
              <w:spacing w:line="240" w:lineRule="auto"/>
              <w:jc w:val="center"/>
              <w:rPr>
                <w:b/>
                <w:bCs/>
                <w:szCs w:val="24"/>
              </w:rPr>
            </w:pPr>
          </w:p>
        </w:tc>
        <w:tc>
          <w:tcPr>
            <w:tcW w:w="1816" w:type="dxa"/>
            <w:tcBorders>
              <w:left w:val="single" w:sz="4" w:space="0" w:color="FFFFFF" w:themeColor="background1"/>
              <w:right w:val="single" w:sz="4" w:space="0" w:color="FFFFFF" w:themeColor="background1"/>
            </w:tcBorders>
            <w:vAlign w:val="center"/>
          </w:tcPr>
          <w:p w14:paraId="260AB70F" w14:textId="77777777" w:rsidR="004745BF" w:rsidRPr="00DE6F57" w:rsidRDefault="004745BF">
            <w:pPr>
              <w:spacing w:line="240" w:lineRule="auto"/>
              <w:jc w:val="center"/>
              <w:rPr>
                <w:b/>
                <w:bCs/>
                <w:szCs w:val="24"/>
              </w:rPr>
            </w:pPr>
          </w:p>
        </w:tc>
        <w:tc>
          <w:tcPr>
            <w:tcW w:w="1536" w:type="dxa"/>
            <w:tcBorders>
              <w:left w:val="single" w:sz="4" w:space="0" w:color="FFFFFF" w:themeColor="background1"/>
            </w:tcBorders>
            <w:vAlign w:val="center"/>
          </w:tcPr>
          <w:p w14:paraId="041D74E6" w14:textId="77777777" w:rsidR="004745BF" w:rsidRPr="00DE6F57" w:rsidRDefault="000F5B51">
            <w:pPr>
              <w:spacing w:line="240" w:lineRule="auto"/>
              <w:jc w:val="center"/>
              <w:rPr>
                <w:b/>
                <w:bCs/>
                <w:color w:val="000000"/>
                <w:szCs w:val="24"/>
              </w:rPr>
            </w:pPr>
            <w:r w:rsidRPr="00DE6F57">
              <w:rPr>
                <w:b/>
                <w:bCs/>
                <w:color w:val="000000"/>
                <w:szCs w:val="24"/>
              </w:rPr>
              <w:t>$468,019,480</w:t>
            </w:r>
          </w:p>
        </w:tc>
      </w:tr>
      <w:tr w:rsidR="00A15C2C" w14:paraId="51B1AC3C" w14:textId="77777777" w:rsidTr="0020055E">
        <w:trPr>
          <w:trHeight w:val="236"/>
        </w:trPr>
        <w:tc>
          <w:tcPr>
            <w:tcW w:w="10167" w:type="dxa"/>
            <w:gridSpan w:val="7"/>
            <w:shd w:val="clear" w:color="auto" w:fill="D9D9D9" w:themeFill="background1" w:themeFillShade="D9"/>
          </w:tcPr>
          <w:p w14:paraId="7F7F4CC9" w14:textId="77777777" w:rsidR="004745BF" w:rsidRPr="00CB2C12" w:rsidRDefault="000F5B51" w:rsidP="003C04C4">
            <w:pPr>
              <w:spacing w:line="240" w:lineRule="auto"/>
              <w:jc w:val="center"/>
              <w:rPr>
                <w:b/>
                <w:bCs/>
                <w:i/>
                <w:iCs/>
                <w:sz w:val="22"/>
              </w:rPr>
            </w:pPr>
            <w:r w:rsidRPr="00934F2C">
              <w:rPr>
                <w:b/>
                <w:bCs/>
                <w:i/>
                <w:iCs/>
                <w:sz w:val="22"/>
              </w:rPr>
              <w:t>All Rear Seat Occupants</w:t>
            </w:r>
          </w:p>
        </w:tc>
      </w:tr>
      <w:tr w:rsidR="00A15C2C" w14:paraId="0516C0A2" w14:textId="77777777" w:rsidTr="00D56CE7">
        <w:trPr>
          <w:trHeight w:val="252"/>
        </w:trPr>
        <w:tc>
          <w:tcPr>
            <w:tcW w:w="1163" w:type="dxa"/>
          </w:tcPr>
          <w:p w14:paraId="28296552" w14:textId="77777777" w:rsidR="0032219D" w:rsidRPr="00934F2C" w:rsidRDefault="000F5B51" w:rsidP="0032219D">
            <w:pPr>
              <w:spacing w:line="240" w:lineRule="auto"/>
              <w:rPr>
                <w:b/>
                <w:bCs/>
                <w:color w:val="000000"/>
                <w:sz w:val="22"/>
              </w:rPr>
            </w:pPr>
            <w:r w:rsidRPr="008B0F0C">
              <w:rPr>
                <w:sz w:val="22"/>
              </w:rPr>
              <w:t>MAIS 1</w:t>
            </w:r>
          </w:p>
        </w:tc>
        <w:tc>
          <w:tcPr>
            <w:tcW w:w="1150" w:type="dxa"/>
            <w:vAlign w:val="center"/>
          </w:tcPr>
          <w:p w14:paraId="5720C75D" w14:textId="77777777" w:rsidR="0032219D" w:rsidRPr="008B0F0C" w:rsidRDefault="000F5B51" w:rsidP="0032219D">
            <w:pPr>
              <w:spacing w:line="240" w:lineRule="auto"/>
              <w:jc w:val="center"/>
              <w:rPr>
                <w:sz w:val="22"/>
              </w:rPr>
            </w:pPr>
            <w:r>
              <w:rPr>
                <w:color w:val="000000"/>
                <w:sz w:val="22"/>
              </w:rPr>
              <w:t>22.2</w:t>
            </w:r>
          </w:p>
        </w:tc>
        <w:tc>
          <w:tcPr>
            <w:tcW w:w="1816" w:type="dxa"/>
            <w:vAlign w:val="bottom"/>
          </w:tcPr>
          <w:p w14:paraId="1F8D2D0E" w14:textId="77777777" w:rsidR="0032219D" w:rsidRPr="00934F2C" w:rsidRDefault="000F5B51" w:rsidP="0032219D">
            <w:pPr>
              <w:spacing w:line="240" w:lineRule="auto"/>
              <w:jc w:val="center"/>
              <w:rPr>
                <w:b/>
                <w:bCs/>
                <w:sz w:val="22"/>
              </w:rPr>
            </w:pPr>
            <w:r w:rsidRPr="00934F2C">
              <w:rPr>
                <w:rFonts w:eastAsia="Times New Roman" w:cs="Times New Roman"/>
                <w:color w:val="000000"/>
                <w:sz w:val="22"/>
              </w:rPr>
              <w:t xml:space="preserve">$56,035 </w:t>
            </w:r>
          </w:p>
        </w:tc>
        <w:tc>
          <w:tcPr>
            <w:tcW w:w="1536" w:type="dxa"/>
          </w:tcPr>
          <w:p w14:paraId="060625A4" w14:textId="77777777" w:rsidR="0032219D" w:rsidRPr="0028568D" w:rsidRDefault="000F5B51" w:rsidP="0032219D">
            <w:pPr>
              <w:spacing w:line="240" w:lineRule="auto"/>
              <w:jc w:val="center"/>
              <w:rPr>
                <w:sz w:val="22"/>
              </w:rPr>
            </w:pPr>
            <w:r w:rsidRPr="00D56CE7">
              <w:rPr>
                <w:sz w:val="22"/>
              </w:rPr>
              <w:t>$1,245,324</w:t>
            </w:r>
          </w:p>
        </w:tc>
        <w:tc>
          <w:tcPr>
            <w:tcW w:w="1150" w:type="dxa"/>
            <w:vAlign w:val="center"/>
          </w:tcPr>
          <w:p w14:paraId="34DEB6DB" w14:textId="77777777" w:rsidR="0032219D" w:rsidRPr="00F772CC" w:rsidRDefault="000F5B51" w:rsidP="0032219D">
            <w:pPr>
              <w:spacing w:line="240" w:lineRule="auto"/>
              <w:jc w:val="center"/>
              <w:rPr>
                <w:sz w:val="22"/>
              </w:rPr>
            </w:pPr>
            <w:r>
              <w:rPr>
                <w:color w:val="000000"/>
                <w:sz w:val="22"/>
              </w:rPr>
              <w:t>33.4</w:t>
            </w:r>
          </w:p>
        </w:tc>
        <w:tc>
          <w:tcPr>
            <w:tcW w:w="1816" w:type="dxa"/>
            <w:vAlign w:val="bottom"/>
          </w:tcPr>
          <w:p w14:paraId="5F19C4D3" w14:textId="77777777" w:rsidR="0032219D" w:rsidRPr="00F772CC" w:rsidRDefault="000F5B51" w:rsidP="0032219D">
            <w:pPr>
              <w:spacing w:line="240" w:lineRule="auto"/>
              <w:jc w:val="center"/>
              <w:rPr>
                <w:sz w:val="22"/>
              </w:rPr>
            </w:pPr>
            <w:r w:rsidRPr="00F772CC">
              <w:rPr>
                <w:rFonts w:eastAsia="Times New Roman" w:cs="Times New Roman"/>
                <w:color w:val="000000"/>
                <w:sz w:val="22"/>
              </w:rPr>
              <w:t xml:space="preserve">$56,035 </w:t>
            </w:r>
          </w:p>
        </w:tc>
        <w:tc>
          <w:tcPr>
            <w:tcW w:w="1536" w:type="dxa"/>
          </w:tcPr>
          <w:p w14:paraId="7AA0C79D" w14:textId="77777777" w:rsidR="0032219D" w:rsidRPr="0028568D" w:rsidRDefault="000F5B51" w:rsidP="0032219D">
            <w:pPr>
              <w:spacing w:line="240" w:lineRule="auto"/>
              <w:jc w:val="center"/>
              <w:rPr>
                <w:sz w:val="22"/>
              </w:rPr>
            </w:pPr>
            <w:r w:rsidRPr="00D56CE7">
              <w:rPr>
                <w:sz w:val="22"/>
              </w:rPr>
              <w:t>$1,870,221</w:t>
            </w:r>
          </w:p>
        </w:tc>
      </w:tr>
      <w:tr w:rsidR="00A15C2C" w14:paraId="065759D2" w14:textId="77777777" w:rsidTr="00D56CE7">
        <w:trPr>
          <w:trHeight w:val="236"/>
        </w:trPr>
        <w:tc>
          <w:tcPr>
            <w:tcW w:w="1163" w:type="dxa"/>
          </w:tcPr>
          <w:p w14:paraId="54E8BE39" w14:textId="77777777" w:rsidR="0032219D" w:rsidRPr="00934F2C" w:rsidRDefault="000F5B51" w:rsidP="0032219D">
            <w:pPr>
              <w:spacing w:line="240" w:lineRule="auto"/>
              <w:rPr>
                <w:b/>
                <w:bCs/>
                <w:sz w:val="22"/>
              </w:rPr>
            </w:pPr>
            <w:r w:rsidRPr="008B0F0C">
              <w:rPr>
                <w:color w:val="000000"/>
                <w:sz w:val="22"/>
              </w:rPr>
              <w:t>MAIS 2</w:t>
            </w:r>
          </w:p>
        </w:tc>
        <w:tc>
          <w:tcPr>
            <w:tcW w:w="1150" w:type="dxa"/>
            <w:vAlign w:val="center"/>
          </w:tcPr>
          <w:p w14:paraId="7FD67375" w14:textId="77777777" w:rsidR="0032219D" w:rsidRPr="008B0F0C" w:rsidRDefault="000F5B51" w:rsidP="0032219D">
            <w:pPr>
              <w:spacing w:line="240" w:lineRule="auto"/>
              <w:jc w:val="center"/>
              <w:rPr>
                <w:sz w:val="22"/>
              </w:rPr>
            </w:pPr>
            <w:r>
              <w:rPr>
                <w:color w:val="000000"/>
                <w:sz w:val="22"/>
              </w:rPr>
              <w:t>40.2</w:t>
            </w:r>
          </w:p>
        </w:tc>
        <w:tc>
          <w:tcPr>
            <w:tcW w:w="1816" w:type="dxa"/>
            <w:vAlign w:val="bottom"/>
          </w:tcPr>
          <w:p w14:paraId="61185F24" w14:textId="77777777" w:rsidR="0032219D" w:rsidRPr="00934F2C" w:rsidRDefault="000F5B51" w:rsidP="0032219D">
            <w:pPr>
              <w:spacing w:line="240" w:lineRule="auto"/>
              <w:jc w:val="center"/>
              <w:rPr>
                <w:b/>
                <w:bCs/>
                <w:sz w:val="22"/>
              </w:rPr>
            </w:pPr>
            <w:r w:rsidRPr="00934F2C">
              <w:rPr>
                <w:rFonts w:eastAsia="Times New Roman" w:cs="Times New Roman"/>
                <w:color w:val="000000"/>
                <w:sz w:val="22"/>
              </w:rPr>
              <w:t xml:space="preserve">$553,146 </w:t>
            </w:r>
          </w:p>
        </w:tc>
        <w:tc>
          <w:tcPr>
            <w:tcW w:w="1536" w:type="dxa"/>
          </w:tcPr>
          <w:p w14:paraId="7F06C9DB" w14:textId="77777777" w:rsidR="0032219D" w:rsidRPr="0028568D" w:rsidRDefault="000F5B51" w:rsidP="0032219D">
            <w:pPr>
              <w:spacing w:line="240" w:lineRule="auto"/>
              <w:jc w:val="center"/>
              <w:rPr>
                <w:sz w:val="22"/>
              </w:rPr>
            </w:pPr>
            <w:r w:rsidRPr="00D56CE7">
              <w:rPr>
                <w:sz w:val="22"/>
              </w:rPr>
              <w:t>$22,220,814</w:t>
            </w:r>
          </w:p>
        </w:tc>
        <w:tc>
          <w:tcPr>
            <w:tcW w:w="1150" w:type="dxa"/>
            <w:vAlign w:val="center"/>
          </w:tcPr>
          <w:p w14:paraId="427AD856" w14:textId="77777777" w:rsidR="0032219D" w:rsidRPr="00F772CC" w:rsidRDefault="000F5B51" w:rsidP="0032219D">
            <w:pPr>
              <w:spacing w:line="240" w:lineRule="auto"/>
              <w:jc w:val="center"/>
              <w:rPr>
                <w:sz w:val="22"/>
              </w:rPr>
            </w:pPr>
            <w:r>
              <w:rPr>
                <w:color w:val="000000"/>
                <w:sz w:val="22"/>
              </w:rPr>
              <w:t>60.3</w:t>
            </w:r>
          </w:p>
        </w:tc>
        <w:tc>
          <w:tcPr>
            <w:tcW w:w="1816" w:type="dxa"/>
            <w:vAlign w:val="bottom"/>
          </w:tcPr>
          <w:p w14:paraId="7DCA25CB" w14:textId="77777777" w:rsidR="0032219D" w:rsidRPr="00F772CC" w:rsidRDefault="000F5B51" w:rsidP="0032219D">
            <w:pPr>
              <w:spacing w:line="240" w:lineRule="auto"/>
              <w:jc w:val="center"/>
              <w:rPr>
                <w:sz w:val="22"/>
              </w:rPr>
            </w:pPr>
            <w:r w:rsidRPr="00F772CC">
              <w:rPr>
                <w:rFonts w:eastAsia="Times New Roman" w:cs="Times New Roman"/>
                <w:color w:val="000000"/>
                <w:sz w:val="22"/>
              </w:rPr>
              <w:t xml:space="preserve">$553,146 </w:t>
            </w:r>
          </w:p>
        </w:tc>
        <w:tc>
          <w:tcPr>
            <w:tcW w:w="1536" w:type="dxa"/>
          </w:tcPr>
          <w:p w14:paraId="4F18D2AF" w14:textId="77777777" w:rsidR="0032219D" w:rsidRPr="0028568D" w:rsidRDefault="000F5B51" w:rsidP="0032219D">
            <w:pPr>
              <w:spacing w:line="240" w:lineRule="auto"/>
              <w:jc w:val="center"/>
              <w:rPr>
                <w:sz w:val="22"/>
              </w:rPr>
            </w:pPr>
            <w:r w:rsidRPr="00D56CE7">
              <w:rPr>
                <w:sz w:val="22"/>
              </w:rPr>
              <w:t>$33,381,707</w:t>
            </w:r>
          </w:p>
        </w:tc>
      </w:tr>
      <w:tr w:rsidR="00A15C2C" w14:paraId="603CDDCA" w14:textId="77777777" w:rsidTr="00D56CE7">
        <w:trPr>
          <w:trHeight w:val="252"/>
        </w:trPr>
        <w:tc>
          <w:tcPr>
            <w:tcW w:w="1163" w:type="dxa"/>
          </w:tcPr>
          <w:p w14:paraId="601D8363" w14:textId="77777777" w:rsidR="0032219D" w:rsidRPr="00934F2C" w:rsidRDefault="000F5B51" w:rsidP="0032219D">
            <w:pPr>
              <w:spacing w:line="240" w:lineRule="auto"/>
              <w:rPr>
                <w:b/>
                <w:bCs/>
                <w:color w:val="000000"/>
                <w:sz w:val="22"/>
              </w:rPr>
            </w:pPr>
            <w:r w:rsidRPr="008B0F0C">
              <w:rPr>
                <w:sz w:val="22"/>
              </w:rPr>
              <w:t>MAIS 3</w:t>
            </w:r>
          </w:p>
        </w:tc>
        <w:tc>
          <w:tcPr>
            <w:tcW w:w="1150" w:type="dxa"/>
            <w:vAlign w:val="center"/>
          </w:tcPr>
          <w:p w14:paraId="67464C59" w14:textId="77777777" w:rsidR="0032219D" w:rsidRPr="008B0F0C" w:rsidRDefault="000F5B51" w:rsidP="0032219D">
            <w:pPr>
              <w:spacing w:line="240" w:lineRule="auto"/>
              <w:jc w:val="center"/>
              <w:rPr>
                <w:sz w:val="22"/>
              </w:rPr>
            </w:pPr>
            <w:r>
              <w:rPr>
                <w:color w:val="000000"/>
                <w:sz w:val="22"/>
              </w:rPr>
              <w:t>5.4</w:t>
            </w:r>
          </w:p>
        </w:tc>
        <w:tc>
          <w:tcPr>
            <w:tcW w:w="1816" w:type="dxa"/>
            <w:vAlign w:val="bottom"/>
          </w:tcPr>
          <w:p w14:paraId="0EEBD4F1" w14:textId="77777777" w:rsidR="0032219D" w:rsidRPr="00934F2C" w:rsidRDefault="000F5B51" w:rsidP="0032219D">
            <w:pPr>
              <w:spacing w:line="240" w:lineRule="auto"/>
              <w:jc w:val="center"/>
              <w:rPr>
                <w:b/>
                <w:bCs/>
                <w:sz w:val="22"/>
              </w:rPr>
            </w:pPr>
            <w:r w:rsidRPr="00934F2C">
              <w:rPr>
                <w:rFonts w:eastAsia="Times New Roman" w:cs="Times New Roman"/>
                <w:color w:val="000000"/>
                <w:sz w:val="22"/>
              </w:rPr>
              <w:t xml:space="preserve">$1,307,335 </w:t>
            </w:r>
          </w:p>
        </w:tc>
        <w:tc>
          <w:tcPr>
            <w:tcW w:w="1536" w:type="dxa"/>
          </w:tcPr>
          <w:p w14:paraId="0854D687" w14:textId="77777777" w:rsidR="0032219D" w:rsidRPr="0028568D" w:rsidRDefault="000F5B51" w:rsidP="0032219D">
            <w:pPr>
              <w:spacing w:line="240" w:lineRule="auto"/>
              <w:jc w:val="center"/>
              <w:rPr>
                <w:sz w:val="22"/>
              </w:rPr>
            </w:pPr>
            <w:r w:rsidRPr="00D56CE7">
              <w:rPr>
                <w:sz w:val="22"/>
              </w:rPr>
              <w:t>$7,120,554</w:t>
            </w:r>
          </w:p>
        </w:tc>
        <w:tc>
          <w:tcPr>
            <w:tcW w:w="1150" w:type="dxa"/>
            <w:vAlign w:val="center"/>
          </w:tcPr>
          <w:p w14:paraId="39B6BCA1" w14:textId="77777777" w:rsidR="0032219D" w:rsidRPr="00F772CC" w:rsidRDefault="000F5B51" w:rsidP="0032219D">
            <w:pPr>
              <w:spacing w:line="240" w:lineRule="auto"/>
              <w:jc w:val="center"/>
              <w:rPr>
                <w:sz w:val="22"/>
              </w:rPr>
            </w:pPr>
            <w:r>
              <w:rPr>
                <w:color w:val="000000"/>
                <w:sz w:val="22"/>
              </w:rPr>
              <w:t>8.2</w:t>
            </w:r>
          </w:p>
        </w:tc>
        <w:tc>
          <w:tcPr>
            <w:tcW w:w="1816" w:type="dxa"/>
            <w:vAlign w:val="bottom"/>
          </w:tcPr>
          <w:p w14:paraId="326F402F" w14:textId="77777777" w:rsidR="0032219D" w:rsidRPr="00F772CC" w:rsidRDefault="000F5B51" w:rsidP="0032219D">
            <w:pPr>
              <w:spacing w:line="240" w:lineRule="auto"/>
              <w:jc w:val="center"/>
              <w:rPr>
                <w:sz w:val="22"/>
              </w:rPr>
            </w:pPr>
            <w:r w:rsidRPr="00F772CC">
              <w:rPr>
                <w:rFonts w:eastAsia="Times New Roman" w:cs="Times New Roman"/>
                <w:color w:val="000000"/>
                <w:sz w:val="22"/>
              </w:rPr>
              <w:t xml:space="preserve">$1,307,335 </w:t>
            </w:r>
          </w:p>
        </w:tc>
        <w:tc>
          <w:tcPr>
            <w:tcW w:w="1536" w:type="dxa"/>
          </w:tcPr>
          <w:p w14:paraId="70FE20CA" w14:textId="77777777" w:rsidR="0032219D" w:rsidRPr="0028568D" w:rsidRDefault="000F5B51" w:rsidP="0032219D">
            <w:pPr>
              <w:spacing w:line="240" w:lineRule="auto"/>
              <w:jc w:val="center"/>
              <w:rPr>
                <w:sz w:val="22"/>
              </w:rPr>
            </w:pPr>
            <w:r w:rsidRPr="00D56CE7">
              <w:rPr>
                <w:sz w:val="22"/>
              </w:rPr>
              <w:t>$10,700,501</w:t>
            </w:r>
          </w:p>
        </w:tc>
      </w:tr>
      <w:tr w:rsidR="00A15C2C" w14:paraId="368BC974" w14:textId="77777777" w:rsidTr="00D56CE7">
        <w:trPr>
          <w:trHeight w:val="236"/>
        </w:trPr>
        <w:tc>
          <w:tcPr>
            <w:tcW w:w="1163" w:type="dxa"/>
          </w:tcPr>
          <w:p w14:paraId="1A158AB1" w14:textId="77777777" w:rsidR="0032219D" w:rsidRPr="00934F2C" w:rsidRDefault="000F5B51" w:rsidP="0032219D">
            <w:pPr>
              <w:spacing w:line="240" w:lineRule="auto"/>
              <w:rPr>
                <w:b/>
                <w:bCs/>
                <w:sz w:val="22"/>
              </w:rPr>
            </w:pPr>
            <w:r w:rsidRPr="008B0F0C">
              <w:rPr>
                <w:color w:val="000000"/>
                <w:sz w:val="22"/>
              </w:rPr>
              <w:t>MAIS 4</w:t>
            </w:r>
          </w:p>
        </w:tc>
        <w:tc>
          <w:tcPr>
            <w:tcW w:w="1150" w:type="dxa"/>
            <w:vAlign w:val="center"/>
          </w:tcPr>
          <w:p w14:paraId="477668E4" w14:textId="77777777" w:rsidR="0032219D" w:rsidRPr="008B0F0C" w:rsidRDefault="000F5B51" w:rsidP="0032219D">
            <w:pPr>
              <w:spacing w:line="240" w:lineRule="auto"/>
              <w:jc w:val="center"/>
              <w:rPr>
                <w:sz w:val="22"/>
              </w:rPr>
            </w:pPr>
            <w:r>
              <w:rPr>
                <w:color w:val="000000"/>
                <w:sz w:val="22"/>
              </w:rPr>
              <w:t>5.4</w:t>
            </w:r>
          </w:p>
        </w:tc>
        <w:tc>
          <w:tcPr>
            <w:tcW w:w="1816" w:type="dxa"/>
            <w:vAlign w:val="bottom"/>
          </w:tcPr>
          <w:p w14:paraId="24A2BC56" w14:textId="77777777" w:rsidR="0032219D" w:rsidRPr="00934F2C" w:rsidRDefault="000F5B51" w:rsidP="0032219D">
            <w:pPr>
              <w:spacing w:line="240" w:lineRule="auto"/>
              <w:jc w:val="center"/>
              <w:rPr>
                <w:b/>
                <w:bCs/>
                <w:sz w:val="22"/>
              </w:rPr>
            </w:pPr>
            <w:r w:rsidRPr="00934F2C">
              <w:rPr>
                <w:rFonts w:eastAsia="Times New Roman" w:cs="Times New Roman"/>
                <w:color w:val="000000"/>
                <w:sz w:val="22"/>
              </w:rPr>
              <w:t xml:space="preserve">$3,215,701 </w:t>
            </w:r>
          </w:p>
        </w:tc>
        <w:tc>
          <w:tcPr>
            <w:tcW w:w="1536" w:type="dxa"/>
          </w:tcPr>
          <w:p w14:paraId="121FE9FD" w14:textId="77777777" w:rsidR="0032219D" w:rsidRPr="0028568D" w:rsidRDefault="000F5B51" w:rsidP="0032219D">
            <w:pPr>
              <w:spacing w:line="240" w:lineRule="auto"/>
              <w:jc w:val="center"/>
              <w:rPr>
                <w:sz w:val="22"/>
              </w:rPr>
            </w:pPr>
            <w:r w:rsidRPr="00D56CE7">
              <w:rPr>
                <w:sz w:val="22"/>
              </w:rPr>
              <w:t>$17,450,673</w:t>
            </w:r>
          </w:p>
        </w:tc>
        <w:tc>
          <w:tcPr>
            <w:tcW w:w="1150" w:type="dxa"/>
            <w:vAlign w:val="center"/>
          </w:tcPr>
          <w:p w14:paraId="6D6051F8" w14:textId="77777777" w:rsidR="0032219D" w:rsidRPr="00F772CC" w:rsidRDefault="000F5B51" w:rsidP="0032219D">
            <w:pPr>
              <w:spacing w:line="240" w:lineRule="auto"/>
              <w:jc w:val="center"/>
              <w:rPr>
                <w:sz w:val="22"/>
              </w:rPr>
            </w:pPr>
            <w:r>
              <w:rPr>
                <w:color w:val="000000"/>
                <w:sz w:val="22"/>
              </w:rPr>
              <w:t>8.2</w:t>
            </w:r>
          </w:p>
        </w:tc>
        <w:tc>
          <w:tcPr>
            <w:tcW w:w="1816" w:type="dxa"/>
            <w:vAlign w:val="bottom"/>
          </w:tcPr>
          <w:p w14:paraId="233586BD" w14:textId="77777777" w:rsidR="0032219D" w:rsidRPr="00F772CC" w:rsidRDefault="000F5B51" w:rsidP="0032219D">
            <w:pPr>
              <w:spacing w:line="240" w:lineRule="auto"/>
              <w:jc w:val="center"/>
              <w:rPr>
                <w:sz w:val="22"/>
              </w:rPr>
            </w:pPr>
            <w:r w:rsidRPr="00F772CC">
              <w:rPr>
                <w:rFonts w:eastAsia="Times New Roman" w:cs="Times New Roman"/>
                <w:color w:val="000000"/>
                <w:sz w:val="22"/>
              </w:rPr>
              <w:t xml:space="preserve">$3,215,701 </w:t>
            </w:r>
          </w:p>
        </w:tc>
        <w:tc>
          <w:tcPr>
            <w:tcW w:w="1536" w:type="dxa"/>
          </w:tcPr>
          <w:p w14:paraId="577ECD03" w14:textId="77777777" w:rsidR="0032219D" w:rsidRPr="0028568D" w:rsidRDefault="000F5B51" w:rsidP="0032219D">
            <w:pPr>
              <w:spacing w:line="240" w:lineRule="auto"/>
              <w:jc w:val="center"/>
              <w:rPr>
                <w:sz w:val="22"/>
              </w:rPr>
            </w:pPr>
            <w:r w:rsidRPr="00D56CE7">
              <w:rPr>
                <w:sz w:val="22"/>
              </w:rPr>
              <w:t>$26,224,216</w:t>
            </w:r>
          </w:p>
        </w:tc>
      </w:tr>
      <w:tr w:rsidR="00A15C2C" w14:paraId="4FAC672C" w14:textId="77777777" w:rsidTr="00D56CE7">
        <w:trPr>
          <w:trHeight w:val="252"/>
        </w:trPr>
        <w:tc>
          <w:tcPr>
            <w:tcW w:w="1163" w:type="dxa"/>
          </w:tcPr>
          <w:p w14:paraId="2BBC270E" w14:textId="77777777" w:rsidR="0032219D" w:rsidRPr="00934F2C" w:rsidRDefault="000F5B51" w:rsidP="0032219D">
            <w:pPr>
              <w:spacing w:line="240" w:lineRule="auto"/>
              <w:rPr>
                <w:b/>
                <w:bCs/>
                <w:color w:val="000000"/>
                <w:sz w:val="22"/>
              </w:rPr>
            </w:pPr>
            <w:r w:rsidRPr="008B0F0C">
              <w:rPr>
                <w:sz w:val="22"/>
              </w:rPr>
              <w:t>MAIS 5</w:t>
            </w:r>
          </w:p>
        </w:tc>
        <w:tc>
          <w:tcPr>
            <w:tcW w:w="1150" w:type="dxa"/>
            <w:vAlign w:val="center"/>
          </w:tcPr>
          <w:p w14:paraId="6C331B9A" w14:textId="77777777" w:rsidR="0032219D" w:rsidRPr="008B0F0C" w:rsidRDefault="000F5B51" w:rsidP="0032219D">
            <w:pPr>
              <w:spacing w:line="240" w:lineRule="auto"/>
              <w:jc w:val="center"/>
              <w:rPr>
                <w:sz w:val="22"/>
              </w:rPr>
            </w:pPr>
            <w:r>
              <w:rPr>
                <w:color w:val="000000"/>
                <w:sz w:val="22"/>
              </w:rPr>
              <w:t>0.2</w:t>
            </w:r>
          </w:p>
        </w:tc>
        <w:tc>
          <w:tcPr>
            <w:tcW w:w="1816" w:type="dxa"/>
            <w:vAlign w:val="bottom"/>
          </w:tcPr>
          <w:p w14:paraId="7FB6C2C6" w14:textId="77777777" w:rsidR="0032219D" w:rsidRPr="00934F2C" w:rsidRDefault="000F5B51" w:rsidP="0032219D">
            <w:pPr>
              <w:spacing w:line="240" w:lineRule="auto"/>
              <w:jc w:val="center"/>
              <w:rPr>
                <w:b/>
                <w:bCs/>
                <w:sz w:val="22"/>
              </w:rPr>
            </w:pPr>
            <w:r w:rsidRPr="00934F2C">
              <w:rPr>
                <w:rFonts w:eastAsia="Times New Roman" w:cs="Times New Roman"/>
                <w:color w:val="000000"/>
                <w:sz w:val="22"/>
              </w:rPr>
              <w:t xml:space="preserve">$7,327,043 </w:t>
            </w:r>
          </w:p>
        </w:tc>
        <w:tc>
          <w:tcPr>
            <w:tcW w:w="1536" w:type="dxa"/>
          </w:tcPr>
          <w:p w14:paraId="215B326C" w14:textId="77777777" w:rsidR="0032219D" w:rsidRPr="0028568D" w:rsidRDefault="000F5B51" w:rsidP="0032219D">
            <w:pPr>
              <w:spacing w:line="240" w:lineRule="auto"/>
              <w:jc w:val="center"/>
              <w:rPr>
                <w:sz w:val="22"/>
              </w:rPr>
            </w:pPr>
            <w:r w:rsidRPr="00D56CE7">
              <w:rPr>
                <w:sz w:val="22"/>
              </w:rPr>
              <w:t>$1,154,520</w:t>
            </w:r>
          </w:p>
        </w:tc>
        <w:tc>
          <w:tcPr>
            <w:tcW w:w="1150" w:type="dxa"/>
            <w:vAlign w:val="center"/>
          </w:tcPr>
          <w:p w14:paraId="42AA22E4" w14:textId="77777777" w:rsidR="0032219D" w:rsidRPr="00F772CC" w:rsidRDefault="000F5B51" w:rsidP="0032219D">
            <w:pPr>
              <w:spacing w:line="240" w:lineRule="auto"/>
              <w:jc w:val="center"/>
              <w:rPr>
                <w:sz w:val="22"/>
              </w:rPr>
            </w:pPr>
            <w:r>
              <w:rPr>
                <w:color w:val="000000"/>
                <w:sz w:val="22"/>
              </w:rPr>
              <w:t>0.2</w:t>
            </w:r>
          </w:p>
        </w:tc>
        <w:tc>
          <w:tcPr>
            <w:tcW w:w="1816" w:type="dxa"/>
            <w:vAlign w:val="bottom"/>
          </w:tcPr>
          <w:p w14:paraId="14094D83" w14:textId="77777777" w:rsidR="0032219D" w:rsidRPr="00F772CC" w:rsidRDefault="000F5B51" w:rsidP="0032219D">
            <w:pPr>
              <w:spacing w:line="240" w:lineRule="auto"/>
              <w:jc w:val="center"/>
              <w:rPr>
                <w:sz w:val="22"/>
              </w:rPr>
            </w:pPr>
            <w:r w:rsidRPr="00F772CC">
              <w:rPr>
                <w:rFonts w:eastAsia="Times New Roman" w:cs="Times New Roman"/>
                <w:color w:val="000000"/>
                <w:sz w:val="22"/>
              </w:rPr>
              <w:t xml:space="preserve">$7,327,043 </w:t>
            </w:r>
          </w:p>
        </w:tc>
        <w:tc>
          <w:tcPr>
            <w:tcW w:w="1536" w:type="dxa"/>
          </w:tcPr>
          <w:p w14:paraId="43EF5569" w14:textId="77777777" w:rsidR="0032219D" w:rsidRPr="0028568D" w:rsidRDefault="000F5B51" w:rsidP="0032219D">
            <w:pPr>
              <w:spacing w:line="240" w:lineRule="auto"/>
              <w:jc w:val="center"/>
              <w:rPr>
                <w:sz w:val="22"/>
              </w:rPr>
            </w:pPr>
            <w:r w:rsidRPr="00D56CE7">
              <w:rPr>
                <w:sz w:val="22"/>
              </w:rPr>
              <w:t>$1,734,970</w:t>
            </w:r>
          </w:p>
        </w:tc>
      </w:tr>
      <w:tr w:rsidR="00A15C2C" w14:paraId="5AF6914F" w14:textId="77777777" w:rsidTr="00D56CE7">
        <w:trPr>
          <w:trHeight w:val="236"/>
        </w:trPr>
        <w:tc>
          <w:tcPr>
            <w:tcW w:w="1163" w:type="dxa"/>
          </w:tcPr>
          <w:p w14:paraId="23FEEE82" w14:textId="77777777" w:rsidR="0032219D" w:rsidRPr="00934F2C" w:rsidRDefault="000F5B51" w:rsidP="0032219D">
            <w:pPr>
              <w:spacing w:line="240" w:lineRule="auto"/>
              <w:rPr>
                <w:b/>
                <w:bCs/>
                <w:sz w:val="22"/>
              </w:rPr>
            </w:pPr>
            <w:r w:rsidRPr="008B0F0C">
              <w:rPr>
                <w:color w:val="000000"/>
                <w:sz w:val="22"/>
              </w:rPr>
              <w:t>Fatalit</w:t>
            </w:r>
            <w:r w:rsidRPr="00934F2C">
              <w:rPr>
                <w:color w:val="000000"/>
                <w:sz w:val="22"/>
              </w:rPr>
              <w:t>ies</w:t>
            </w:r>
          </w:p>
        </w:tc>
        <w:tc>
          <w:tcPr>
            <w:tcW w:w="1150" w:type="dxa"/>
            <w:vAlign w:val="center"/>
          </w:tcPr>
          <w:p w14:paraId="0610BDCF" w14:textId="77777777" w:rsidR="0032219D" w:rsidRPr="008B0F0C" w:rsidRDefault="000F5B51" w:rsidP="0032219D">
            <w:pPr>
              <w:spacing w:line="240" w:lineRule="auto"/>
              <w:jc w:val="center"/>
              <w:rPr>
                <w:sz w:val="22"/>
              </w:rPr>
            </w:pPr>
            <w:r>
              <w:rPr>
                <w:color w:val="000000"/>
                <w:sz w:val="22"/>
              </w:rPr>
              <w:t>22.3</w:t>
            </w:r>
          </w:p>
        </w:tc>
        <w:tc>
          <w:tcPr>
            <w:tcW w:w="1816" w:type="dxa"/>
            <w:vAlign w:val="bottom"/>
          </w:tcPr>
          <w:p w14:paraId="4B4E53BD" w14:textId="77777777" w:rsidR="0032219D" w:rsidRPr="00934F2C" w:rsidRDefault="000F5B51" w:rsidP="0032219D">
            <w:pPr>
              <w:spacing w:line="240" w:lineRule="auto"/>
              <w:jc w:val="center"/>
              <w:rPr>
                <w:b/>
                <w:bCs/>
                <w:sz w:val="22"/>
              </w:rPr>
            </w:pPr>
            <w:r w:rsidRPr="00934F2C">
              <w:rPr>
                <w:rFonts w:eastAsia="Times New Roman" w:cs="Times New Roman"/>
                <w:color w:val="000000"/>
                <w:sz w:val="22"/>
              </w:rPr>
              <w:t xml:space="preserve">$11,950,834 </w:t>
            </w:r>
          </w:p>
        </w:tc>
        <w:tc>
          <w:tcPr>
            <w:tcW w:w="1536" w:type="dxa"/>
          </w:tcPr>
          <w:p w14:paraId="16EF5394" w14:textId="77777777" w:rsidR="0032219D" w:rsidRPr="0028568D" w:rsidRDefault="000F5B51" w:rsidP="0032219D">
            <w:pPr>
              <w:spacing w:line="240" w:lineRule="auto"/>
              <w:jc w:val="center"/>
              <w:rPr>
                <w:sz w:val="22"/>
              </w:rPr>
            </w:pPr>
            <w:r w:rsidRPr="00D56CE7">
              <w:rPr>
                <w:sz w:val="22"/>
              </w:rPr>
              <w:t>$266,661,371</w:t>
            </w:r>
          </w:p>
        </w:tc>
        <w:tc>
          <w:tcPr>
            <w:tcW w:w="1150" w:type="dxa"/>
            <w:vAlign w:val="center"/>
          </w:tcPr>
          <w:p w14:paraId="7666070A" w14:textId="77777777" w:rsidR="0032219D" w:rsidRPr="00F772CC" w:rsidRDefault="000F5B51" w:rsidP="0032219D">
            <w:pPr>
              <w:spacing w:line="240" w:lineRule="auto"/>
              <w:jc w:val="center"/>
              <w:rPr>
                <w:sz w:val="22"/>
              </w:rPr>
            </w:pPr>
            <w:r>
              <w:rPr>
                <w:color w:val="000000"/>
                <w:sz w:val="22"/>
              </w:rPr>
              <w:t>33.6</w:t>
            </w:r>
          </w:p>
        </w:tc>
        <w:tc>
          <w:tcPr>
            <w:tcW w:w="1816" w:type="dxa"/>
            <w:vAlign w:val="bottom"/>
          </w:tcPr>
          <w:p w14:paraId="43290644" w14:textId="77777777" w:rsidR="0032219D" w:rsidRPr="00F772CC" w:rsidRDefault="000F5B51" w:rsidP="0032219D">
            <w:pPr>
              <w:spacing w:line="240" w:lineRule="auto"/>
              <w:jc w:val="center"/>
              <w:rPr>
                <w:sz w:val="22"/>
              </w:rPr>
            </w:pPr>
            <w:r w:rsidRPr="00F772CC">
              <w:rPr>
                <w:rFonts w:eastAsia="Times New Roman" w:cs="Times New Roman"/>
                <w:color w:val="000000"/>
                <w:sz w:val="22"/>
              </w:rPr>
              <w:t xml:space="preserve">$11,950,834 </w:t>
            </w:r>
          </w:p>
        </w:tc>
        <w:tc>
          <w:tcPr>
            <w:tcW w:w="1536" w:type="dxa"/>
          </w:tcPr>
          <w:p w14:paraId="17E22D75" w14:textId="77777777" w:rsidR="0032219D" w:rsidRPr="0028568D" w:rsidRDefault="000F5B51" w:rsidP="0032219D">
            <w:pPr>
              <w:spacing w:line="240" w:lineRule="auto"/>
              <w:jc w:val="center"/>
              <w:rPr>
                <w:sz w:val="22"/>
              </w:rPr>
            </w:pPr>
            <w:r w:rsidRPr="00D56CE7">
              <w:rPr>
                <w:sz w:val="22"/>
              </w:rPr>
              <w:t>$401,871,103</w:t>
            </w:r>
          </w:p>
        </w:tc>
      </w:tr>
      <w:tr w:rsidR="00A15C2C" w14:paraId="4261BD44" w14:textId="77777777" w:rsidTr="00DE6F57">
        <w:trPr>
          <w:trHeight w:val="197"/>
        </w:trPr>
        <w:tc>
          <w:tcPr>
            <w:tcW w:w="4129" w:type="dxa"/>
            <w:gridSpan w:val="3"/>
            <w:tcBorders>
              <w:right w:val="single" w:sz="4" w:space="0" w:color="FFFFFF" w:themeColor="background1"/>
            </w:tcBorders>
            <w:vAlign w:val="center"/>
          </w:tcPr>
          <w:p w14:paraId="40315931" w14:textId="77777777" w:rsidR="00354EC2" w:rsidRPr="00934F2C" w:rsidRDefault="000F5B51" w:rsidP="00D56CE7">
            <w:pPr>
              <w:spacing w:line="240" w:lineRule="auto"/>
              <w:rPr>
                <w:rFonts w:ascii="Calibri" w:hAnsi="Calibri" w:cs="Calibri"/>
                <w:b/>
                <w:bCs/>
                <w:color w:val="000000" w:themeColor="text1"/>
              </w:rPr>
            </w:pPr>
            <w:r w:rsidRPr="00934F2C">
              <w:rPr>
                <w:b/>
                <w:bCs/>
                <w:color w:val="000000"/>
              </w:rPr>
              <w:t>Total</w:t>
            </w:r>
            <w:r>
              <w:rPr>
                <w:b/>
                <w:bCs/>
                <w:color w:val="000000"/>
              </w:rPr>
              <w:t xml:space="preserve"> Rear Seat Occupants</w:t>
            </w:r>
          </w:p>
        </w:tc>
        <w:tc>
          <w:tcPr>
            <w:tcW w:w="1536" w:type="dxa"/>
            <w:tcBorders>
              <w:left w:val="single" w:sz="4" w:space="0" w:color="FFFFFF" w:themeColor="background1"/>
              <w:right w:val="single" w:sz="4" w:space="0" w:color="FFFFFF" w:themeColor="background1"/>
            </w:tcBorders>
            <w:vAlign w:val="center"/>
          </w:tcPr>
          <w:p w14:paraId="4037904E" w14:textId="77777777" w:rsidR="00354EC2" w:rsidRPr="00934F2C" w:rsidRDefault="000F5B51" w:rsidP="0028568D">
            <w:pPr>
              <w:spacing w:line="240" w:lineRule="auto"/>
              <w:jc w:val="center"/>
              <w:rPr>
                <w:b/>
                <w:bCs/>
                <w:color w:val="000000"/>
              </w:rPr>
            </w:pPr>
            <w:r w:rsidRPr="00A9517E">
              <w:rPr>
                <w:b/>
                <w:bCs/>
                <w:color w:val="000000"/>
              </w:rPr>
              <w:t>$315,853,257</w:t>
            </w:r>
          </w:p>
        </w:tc>
        <w:tc>
          <w:tcPr>
            <w:tcW w:w="1150" w:type="dxa"/>
            <w:tcBorders>
              <w:left w:val="single" w:sz="4" w:space="0" w:color="FFFFFF" w:themeColor="background1"/>
              <w:right w:val="single" w:sz="4" w:space="0" w:color="FFFFFF" w:themeColor="background1"/>
            </w:tcBorders>
            <w:vAlign w:val="center"/>
          </w:tcPr>
          <w:p w14:paraId="2EA7E291" w14:textId="77777777" w:rsidR="00354EC2" w:rsidRPr="00934F2C" w:rsidRDefault="00354EC2">
            <w:pPr>
              <w:spacing w:line="240" w:lineRule="auto"/>
              <w:jc w:val="center"/>
              <w:rPr>
                <w:b/>
                <w:bCs/>
                <w:color w:val="000000"/>
              </w:rPr>
            </w:pPr>
          </w:p>
        </w:tc>
        <w:tc>
          <w:tcPr>
            <w:tcW w:w="1816" w:type="dxa"/>
            <w:tcBorders>
              <w:left w:val="single" w:sz="4" w:space="0" w:color="FFFFFF" w:themeColor="background1"/>
              <w:right w:val="single" w:sz="4" w:space="0" w:color="FFFFFF" w:themeColor="background1"/>
            </w:tcBorders>
            <w:vAlign w:val="center"/>
          </w:tcPr>
          <w:p w14:paraId="79ABB388" w14:textId="77777777" w:rsidR="00354EC2" w:rsidRPr="00934F2C" w:rsidRDefault="00354EC2">
            <w:pPr>
              <w:spacing w:line="240" w:lineRule="auto"/>
              <w:jc w:val="center"/>
              <w:rPr>
                <w:b/>
                <w:bCs/>
                <w:color w:val="000000"/>
              </w:rPr>
            </w:pPr>
          </w:p>
        </w:tc>
        <w:tc>
          <w:tcPr>
            <w:tcW w:w="1536" w:type="dxa"/>
            <w:tcBorders>
              <w:left w:val="single" w:sz="4" w:space="0" w:color="FFFFFF" w:themeColor="background1"/>
            </w:tcBorders>
            <w:vAlign w:val="center"/>
          </w:tcPr>
          <w:p w14:paraId="4B1366F6" w14:textId="77777777" w:rsidR="00354EC2" w:rsidRPr="00934F2C" w:rsidRDefault="000F5B51">
            <w:pPr>
              <w:spacing w:line="240" w:lineRule="auto"/>
              <w:jc w:val="center"/>
              <w:rPr>
                <w:b/>
                <w:bCs/>
                <w:color w:val="000000"/>
              </w:rPr>
            </w:pPr>
            <w:r w:rsidRPr="00F772CC">
              <w:rPr>
                <w:b/>
                <w:bCs/>
                <w:color w:val="000000"/>
              </w:rPr>
              <w:t>$475,782,717</w:t>
            </w:r>
          </w:p>
        </w:tc>
      </w:tr>
    </w:tbl>
    <w:p w14:paraId="3AA6A1A3" w14:textId="75EBB966" w:rsidR="004745BF" w:rsidRDefault="000F5B51" w:rsidP="004745BF">
      <w:pPr>
        <w:spacing w:after="0"/>
        <w:contextualSpacing/>
        <w:rPr>
          <w:rFonts w:cs="Times New Roman"/>
          <w:sz w:val="18"/>
          <w:szCs w:val="18"/>
        </w:rPr>
      </w:pPr>
      <w:r w:rsidRPr="00934F2C">
        <w:rPr>
          <w:rFonts w:cs="Times New Roman"/>
          <w:sz w:val="18"/>
          <w:szCs w:val="18"/>
        </w:rPr>
        <w:t xml:space="preserve">Note: </w:t>
      </w:r>
      <w:r w:rsidR="00496220">
        <w:rPr>
          <w:rFonts w:cs="Times New Roman"/>
          <w:sz w:val="18"/>
          <w:szCs w:val="18"/>
        </w:rPr>
        <w:t>V</w:t>
      </w:r>
      <w:r w:rsidRPr="00934F2C">
        <w:rPr>
          <w:rFonts w:cs="Times New Roman"/>
          <w:sz w:val="18"/>
          <w:szCs w:val="18"/>
        </w:rPr>
        <w:t>alues may not sum due to rounding.</w:t>
      </w:r>
    </w:p>
    <w:p w14:paraId="67CDA9B0" w14:textId="6010CE18" w:rsidR="00F1151E" w:rsidRDefault="000F5B51" w:rsidP="004745BF">
      <w:pPr>
        <w:spacing w:after="0"/>
        <w:contextualSpacing/>
        <w:rPr>
          <w:rFonts w:cs="Times New Roman"/>
          <w:szCs w:val="24"/>
        </w:rPr>
      </w:pPr>
      <w:r>
        <w:rPr>
          <w:rFonts w:cs="Times New Roman"/>
          <w:szCs w:val="24"/>
        </w:rPr>
        <w:fldChar w:fldCharType="begin"/>
      </w:r>
      <w:r>
        <w:rPr>
          <w:rFonts w:cs="Times New Roman"/>
          <w:szCs w:val="24"/>
        </w:rPr>
        <w:instrText xml:space="preserve"> REF _Ref126847928 \h </w:instrText>
      </w:r>
      <w:r>
        <w:rPr>
          <w:rFonts w:cs="Times New Roman"/>
          <w:szCs w:val="24"/>
        </w:rPr>
      </w:r>
      <w:r>
        <w:rPr>
          <w:rFonts w:cs="Times New Roman"/>
          <w:szCs w:val="24"/>
        </w:rPr>
        <w:fldChar w:fldCharType="separate"/>
      </w:r>
      <w:r w:rsidR="00A65CB3">
        <w:t xml:space="preserve">Table </w:t>
      </w:r>
      <w:r w:rsidR="00A65CB3">
        <w:rPr>
          <w:noProof/>
        </w:rPr>
        <w:t>74</w:t>
      </w:r>
      <w:r>
        <w:rPr>
          <w:rFonts w:cs="Times New Roman"/>
          <w:szCs w:val="24"/>
        </w:rPr>
        <w:fldChar w:fldCharType="end"/>
      </w:r>
      <w:r w:rsidR="00CC0B77">
        <w:rPr>
          <w:rFonts w:cs="Times New Roman"/>
          <w:szCs w:val="24"/>
        </w:rPr>
        <w:t xml:space="preserve"> </w:t>
      </w:r>
      <w:r w:rsidR="00CC0B77" w:rsidRPr="00D428F2">
        <w:rPr>
          <w:rFonts w:cs="Times New Roman"/>
          <w:szCs w:val="24"/>
        </w:rPr>
        <w:t>presents the calculations of monetized benefits for drivers</w:t>
      </w:r>
      <w:r w:rsidR="001F2F92" w:rsidRPr="00D428F2">
        <w:rPr>
          <w:rFonts w:cs="Times New Roman"/>
          <w:szCs w:val="24"/>
        </w:rPr>
        <w:t xml:space="preserve">. </w:t>
      </w:r>
      <w:r w:rsidR="001A0B27" w:rsidRPr="00D428F2">
        <w:rPr>
          <w:rFonts w:cs="Times New Roman"/>
          <w:szCs w:val="24"/>
        </w:rPr>
        <w:t xml:space="preserve">Monetized benefits </w:t>
      </w:r>
      <w:r w:rsidR="00656247" w:rsidRPr="005F0E59">
        <w:rPr>
          <w:rFonts w:cs="Times New Roman"/>
          <w:szCs w:val="24"/>
        </w:rPr>
        <w:t>result</w:t>
      </w:r>
      <w:r w:rsidR="001A0B27" w:rsidRPr="001D0BC2">
        <w:rPr>
          <w:rFonts w:cs="Times New Roman"/>
          <w:szCs w:val="24"/>
        </w:rPr>
        <w:t>ing</w:t>
      </w:r>
      <w:r w:rsidR="00656247" w:rsidRPr="00DE446C">
        <w:rPr>
          <w:rFonts w:cs="Times New Roman"/>
          <w:szCs w:val="24"/>
        </w:rPr>
        <w:t xml:space="preserve"> </w:t>
      </w:r>
      <w:r w:rsidR="001A0B27" w:rsidRPr="006E7185">
        <w:rPr>
          <w:rFonts w:cs="Times New Roman"/>
          <w:szCs w:val="24"/>
        </w:rPr>
        <w:t>from</w:t>
      </w:r>
      <w:r w:rsidR="0019502D" w:rsidRPr="00F559C5">
        <w:rPr>
          <w:rFonts w:cs="Times New Roman"/>
          <w:szCs w:val="24"/>
        </w:rPr>
        <w:t xml:space="preserve"> the </w:t>
      </w:r>
      <w:r w:rsidR="001A0B27" w:rsidRPr="0008636C">
        <w:rPr>
          <w:rFonts w:cs="Times New Roman"/>
          <w:szCs w:val="24"/>
        </w:rPr>
        <w:t xml:space="preserve">increase in seat belt use for drivers from the indefinite </w:t>
      </w:r>
      <w:r w:rsidR="001A0B27" w:rsidRPr="00992799">
        <w:rPr>
          <w:rFonts w:cs="Times New Roman"/>
          <w:szCs w:val="24"/>
        </w:rPr>
        <w:t>warning are estimated at approximately $9</w:t>
      </w:r>
      <w:r w:rsidR="005329BD" w:rsidRPr="00716965">
        <w:rPr>
          <w:rFonts w:cs="Times New Roman"/>
          <w:szCs w:val="24"/>
        </w:rPr>
        <w:t>43</w:t>
      </w:r>
      <w:r w:rsidR="001A0B27" w:rsidRPr="00BF4EA6">
        <w:rPr>
          <w:rFonts w:cs="Times New Roman"/>
          <w:szCs w:val="24"/>
        </w:rPr>
        <w:t xml:space="preserve"> million</w:t>
      </w:r>
      <w:r w:rsidR="001F2F92" w:rsidRPr="00BF4EA6">
        <w:rPr>
          <w:rFonts w:cs="Times New Roman"/>
          <w:szCs w:val="24"/>
        </w:rPr>
        <w:t xml:space="preserve">. </w:t>
      </w:r>
      <w:r w:rsidR="00236197" w:rsidRPr="00BF4EA6">
        <w:rPr>
          <w:rFonts w:cs="Times New Roman"/>
          <w:szCs w:val="24"/>
        </w:rPr>
        <w:t>Of that total,</w:t>
      </w:r>
      <w:r w:rsidR="001A0B27" w:rsidRPr="00BF4EA6">
        <w:rPr>
          <w:rFonts w:cs="Times New Roman"/>
          <w:szCs w:val="24"/>
        </w:rPr>
        <w:t xml:space="preserve"> </w:t>
      </w:r>
      <w:r w:rsidR="00236197" w:rsidRPr="00BF4EA6">
        <w:rPr>
          <w:rFonts w:cs="Times New Roman"/>
          <w:szCs w:val="24"/>
        </w:rPr>
        <w:t>m</w:t>
      </w:r>
      <w:r w:rsidR="009B403A" w:rsidRPr="00BF4EA6">
        <w:rPr>
          <w:rFonts w:cs="Times New Roman"/>
          <w:szCs w:val="24"/>
        </w:rPr>
        <w:t xml:space="preserve">onetized benefits specific to </w:t>
      </w:r>
      <w:r w:rsidR="00236197" w:rsidRPr="00BF4EA6">
        <w:rPr>
          <w:rFonts w:cs="Times New Roman"/>
          <w:szCs w:val="24"/>
        </w:rPr>
        <w:t xml:space="preserve">passenger cars are </w:t>
      </w:r>
    </w:p>
    <w:p w14:paraId="2593AC14" w14:textId="57F3B361" w:rsidR="005B15EC" w:rsidRDefault="00236197" w:rsidP="004745BF">
      <w:pPr>
        <w:spacing w:after="0"/>
        <w:contextualSpacing/>
        <w:rPr>
          <w:rFonts w:cs="Times New Roman"/>
          <w:szCs w:val="24"/>
        </w:rPr>
      </w:pPr>
      <w:r w:rsidRPr="00BF4EA6">
        <w:rPr>
          <w:rFonts w:cs="Times New Roman"/>
          <w:szCs w:val="24"/>
        </w:rPr>
        <w:t>estimated at approximately $4</w:t>
      </w:r>
      <w:r w:rsidR="005329BD" w:rsidRPr="00716965">
        <w:rPr>
          <w:rFonts w:cs="Times New Roman"/>
          <w:szCs w:val="24"/>
        </w:rPr>
        <w:t>23</w:t>
      </w:r>
      <w:r w:rsidRPr="00BF4EA6">
        <w:rPr>
          <w:rFonts w:cs="Times New Roman"/>
          <w:szCs w:val="24"/>
        </w:rPr>
        <w:t xml:space="preserve"> and</w:t>
      </w:r>
      <w:r w:rsidR="001D047F" w:rsidRPr="00BF4EA6">
        <w:rPr>
          <w:rFonts w:cs="Times New Roman"/>
          <w:szCs w:val="24"/>
        </w:rPr>
        <w:t xml:space="preserve"> approximately $5</w:t>
      </w:r>
      <w:r w:rsidR="00BF4EA6" w:rsidRPr="00716965">
        <w:rPr>
          <w:rFonts w:cs="Times New Roman"/>
          <w:szCs w:val="24"/>
        </w:rPr>
        <w:t>20</w:t>
      </w:r>
      <w:r w:rsidR="001D047F" w:rsidRPr="00BF4EA6">
        <w:rPr>
          <w:rFonts w:cs="Times New Roman"/>
          <w:szCs w:val="24"/>
        </w:rPr>
        <w:t xml:space="preserve"> million for LTVs.</w:t>
      </w:r>
      <w:r w:rsidR="001D047F">
        <w:rPr>
          <w:rFonts w:cs="Times New Roman"/>
          <w:szCs w:val="24"/>
        </w:rPr>
        <w:t xml:space="preserve"> </w:t>
      </w:r>
    </w:p>
    <w:p w14:paraId="3B358667" w14:textId="76425AA2" w:rsidR="00F1151E" w:rsidRDefault="00F1151E" w:rsidP="004745BF">
      <w:pPr>
        <w:spacing w:after="0"/>
        <w:contextualSpacing/>
        <w:rPr>
          <w:rFonts w:cs="Times New Roman"/>
          <w:szCs w:val="24"/>
        </w:rPr>
      </w:pPr>
    </w:p>
    <w:p w14:paraId="6A9BF681" w14:textId="3279CBDF" w:rsidR="00F1151E" w:rsidRDefault="00F1151E" w:rsidP="004745BF">
      <w:pPr>
        <w:spacing w:after="0"/>
        <w:contextualSpacing/>
        <w:rPr>
          <w:rFonts w:cs="Times New Roman"/>
          <w:szCs w:val="24"/>
        </w:rPr>
      </w:pPr>
    </w:p>
    <w:p w14:paraId="2D3D4825" w14:textId="0E8E4268" w:rsidR="008B7658" w:rsidRDefault="000F5B51" w:rsidP="008B7658">
      <w:pPr>
        <w:pStyle w:val="Caption"/>
        <w:rPr>
          <w:rFonts w:eastAsia="Times New Roman" w:cs="Times New Roman"/>
          <w:szCs w:val="24"/>
        </w:rPr>
      </w:pPr>
      <w:bookmarkStart w:id="1555" w:name="_Ref126236380"/>
      <w:bookmarkStart w:id="1556" w:name="_Ref126847928"/>
      <w:r>
        <w:lastRenderedPageBreak/>
        <w:t xml:space="preserve">Table </w:t>
      </w:r>
      <w:r w:rsidR="00115BAB">
        <w:fldChar w:fldCharType="begin"/>
      </w:r>
      <w:r>
        <w:instrText xml:space="preserve"> SEQ Table \* ARABIC </w:instrText>
      </w:r>
      <w:r w:rsidR="00115BAB">
        <w:fldChar w:fldCharType="separate"/>
      </w:r>
      <w:r w:rsidR="00A65CB3">
        <w:rPr>
          <w:noProof/>
        </w:rPr>
        <w:t>74</w:t>
      </w:r>
      <w:r w:rsidR="00115BAB">
        <w:rPr>
          <w:noProof/>
        </w:rPr>
        <w:fldChar w:fldCharType="end"/>
      </w:r>
      <w:bookmarkEnd w:id="1555"/>
      <w:bookmarkEnd w:id="1556"/>
      <w:r>
        <w:t xml:space="preserve">: Calculation of </w:t>
      </w:r>
      <w:r w:rsidR="00B94C16">
        <w:t>Monetized Benefits</w:t>
      </w:r>
      <w:r>
        <w:t xml:space="preserve"> for </w:t>
      </w:r>
      <w:r w:rsidR="0054321D">
        <w:t>Drivers</w:t>
      </w:r>
    </w:p>
    <w:tbl>
      <w:tblPr>
        <w:tblStyle w:val="TableGrid"/>
        <w:tblW w:w="9872" w:type="dxa"/>
        <w:tblLook w:val="04A0" w:firstRow="1" w:lastRow="0" w:firstColumn="1" w:lastColumn="0" w:noHBand="0" w:noVBand="1"/>
      </w:tblPr>
      <w:tblGrid>
        <w:gridCol w:w="2468"/>
        <w:gridCol w:w="2468"/>
        <w:gridCol w:w="2468"/>
        <w:gridCol w:w="2468"/>
      </w:tblGrid>
      <w:tr w:rsidR="00A15C2C" w14:paraId="0FE25C31" w14:textId="77777777" w:rsidTr="00D56CE7">
        <w:trPr>
          <w:trHeight w:val="337"/>
        </w:trPr>
        <w:tc>
          <w:tcPr>
            <w:tcW w:w="2468" w:type="dxa"/>
            <w:shd w:val="clear" w:color="auto" w:fill="BFBFBF" w:themeFill="background1" w:themeFillShade="BF"/>
            <w:vAlign w:val="center"/>
          </w:tcPr>
          <w:p w14:paraId="230574DB" w14:textId="77777777" w:rsidR="008B7658" w:rsidRPr="00A52D46" w:rsidRDefault="000F5B51">
            <w:pPr>
              <w:spacing w:line="240" w:lineRule="auto"/>
              <w:rPr>
                <w:b/>
                <w:bCs/>
              </w:rPr>
            </w:pPr>
            <w:r w:rsidRPr="00A52D46">
              <w:rPr>
                <w:b/>
                <w:bCs/>
              </w:rPr>
              <w:t>Category</w:t>
            </w:r>
          </w:p>
        </w:tc>
        <w:tc>
          <w:tcPr>
            <w:tcW w:w="2468" w:type="dxa"/>
            <w:shd w:val="clear" w:color="auto" w:fill="BFBFBF" w:themeFill="background1" w:themeFillShade="BF"/>
            <w:vAlign w:val="center"/>
          </w:tcPr>
          <w:p w14:paraId="2360BEFE" w14:textId="77777777" w:rsidR="008B7658" w:rsidRPr="00A52D46" w:rsidRDefault="000F5B51">
            <w:pPr>
              <w:spacing w:line="240" w:lineRule="auto"/>
              <w:jc w:val="center"/>
              <w:rPr>
                <w:b/>
                <w:bCs/>
              </w:rPr>
            </w:pPr>
            <w:r w:rsidRPr="00A52D46">
              <w:rPr>
                <w:b/>
                <w:bCs/>
              </w:rPr>
              <w:t>Safety Benefits</w:t>
            </w:r>
          </w:p>
        </w:tc>
        <w:tc>
          <w:tcPr>
            <w:tcW w:w="2468" w:type="dxa"/>
            <w:shd w:val="clear" w:color="auto" w:fill="BFBFBF" w:themeFill="background1" w:themeFillShade="BF"/>
            <w:vAlign w:val="center"/>
          </w:tcPr>
          <w:p w14:paraId="518BCA0C" w14:textId="77777777" w:rsidR="008B7658" w:rsidRPr="00A52D46" w:rsidRDefault="000F5B51">
            <w:pPr>
              <w:spacing w:line="240" w:lineRule="auto"/>
              <w:jc w:val="center"/>
              <w:rPr>
                <w:b/>
                <w:bCs/>
              </w:rPr>
            </w:pPr>
            <w:r w:rsidRPr="00A52D46">
              <w:rPr>
                <w:b/>
                <w:bCs/>
              </w:rPr>
              <w:t>Relative Disutility Factors</w:t>
            </w:r>
          </w:p>
        </w:tc>
        <w:tc>
          <w:tcPr>
            <w:tcW w:w="2468" w:type="dxa"/>
            <w:shd w:val="clear" w:color="auto" w:fill="BFBFBF" w:themeFill="background1" w:themeFillShade="BF"/>
            <w:vAlign w:val="center"/>
          </w:tcPr>
          <w:p w14:paraId="7AD31BE7" w14:textId="77777777" w:rsidR="008B7658" w:rsidRPr="00A52D46" w:rsidRDefault="000F5B51">
            <w:pPr>
              <w:spacing w:line="240" w:lineRule="auto"/>
              <w:jc w:val="center"/>
              <w:rPr>
                <w:b/>
                <w:bCs/>
              </w:rPr>
            </w:pPr>
            <w:r>
              <w:rPr>
                <w:b/>
                <w:bCs/>
              </w:rPr>
              <w:t>Monetized Benefits</w:t>
            </w:r>
          </w:p>
        </w:tc>
      </w:tr>
      <w:tr w:rsidR="00A15C2C" w14:paraId="242681CC" w14:textId="77777777" w:rsidTr="003C04C4">
        <w:trPr>
          <w:trHeight w:val="233"/>
        </w:trPr>
        <w:tc>
          <w:tcPr>
            <w:tcW w:w="9872" w:type="dxa"/>
            <w:gridSpan w:val="4"/>
            <w:shd w:val="clear" w:color="auto" w:fill="D9D9D9" w:themeFill="background1" w:themeFillShade="D9"/>
          </w:tcPr>
          <w:p w14:paraId="79F76D3C" w14:textId="77777777" w:rsidR="008B7658" w:rsidRPr="00934F2C" w:rsidRDefault="000F5B51" w:rsidP="003C04C4">
            <w:pPr>
              <w:spacing w:line="240" w:lineRule="auto"/>
              <w:jc w:val="center"/>
              <w:rPr>
                <w:b/>
                <w:bCs/>
                <w:i/>
                <w:iCs/>
              </w:rPr>
            </w:pPr>
            <w:r>
              <w:rPr>
                <w:b/>
                <w:bCs/>
                <w:i/>
                <w:iCs/>
                <w:sz w:val="22"/>
                <w:szCs w:val="20"/>
              </w:rPr>
              <w:t>Passenger Cars</w:t>
            </w:r>
          </w:p>
        </w:tc>
      </w:tr>
      <w:tr w:rsidR="005329BD" w14:paraId="217D7D23" w14:textId="77777777" w:rsidTr="00D56CE7">
        <w:trPr>
          <w:trHeight w:val="248"/>
        </w:trPr>
        <w:tc>
          <w:tcPr>
            <w:tcW w:w="2468" w:type="dxa"/>
          </w:tcPr>
          <w:p w14:paraId="744E3145" w14:textId="77777777" w:rsidR="005329BD" w:rsidRPr="00934F2C" w:rsidRDefault="005329BD" w:rsidP="005329BD">
            <w:pPr>
              <w:spacing w:line="240" w:lineRule="auto"/>
              <w:rPr>
                <w:b/>
                <w:bCs/>
                <w:sz w:val="22"/>
              </w:rPr>
            </w:pPr>
            <w:r w:rsidRPr="00934F2C">
              <w:rPr>
                <w:sz w:val="22"/>
              </w:rPr>
              <w:t>MAIS 1</w:t>
            </w:r>
          </w:p>
        </w:tc>
        <w:tc>
          <w:tcPr>
            <w:tcW w:w="2468" w:type="dxa"/>
          </w:tcPr>
          <w:p w14:paraId="76C50CD0" w14:textId="4F712C3F" w:rsidR="005329BD" w:rsidRPr="00934F2C" w:rsidRDefault="005329BD" w:rsidP="005329BD">
            <w:pPr>
              <w:spacing w:line="240" w:lineRule="auto"/>
              <w:jc w:val="center"/>
              <w:rPr>
                <w:sz w:val="22"/>
              </w:rPr>
            </w:pPr>
            <w:r w:rsidRPr="003E48BD">
              <w:rPr>
                <w:sz w:val="22"/>
                <w:szCs w:val="20"/>
              </w:rPr>
              <w:t>12.07</w:t>
            </w:r>
          </w:p>
        </w:tc>
        <w:tc>
          <w:tcPr>
            <w:tcW w:w="2468" w:type="dxa"/>
            <w:vAlign w:val="center"/>
          </w:tcPr>
          <w:p w14:paraId="0089855F" w14:textId="77777777" w:rsidR="005329BD" w:rsidRPr="00901065" w:rsidRDefault="005329BD" w:rsidP="005329BD">
            <w:pPr>
              <w:spacing w:line="240" w:lineRule="auto"/>
              <w:jc w:val="center"/>
              <w:rPr>
                <w:sz w:val="22"/>
              </w:rPr>
            </w:pPr>
            <w:r>
              <w:rPr>
                <w:color w:val="000000"/>
                <w:sz w:val="22"/>
              </w:rPr>
              <w:t xml:space="preserve">$56,035 </w:t>
            </w:r>
          </w:p>
        </w:tc>
        <w:tc>
          <w:tcPr>
            <w:tcW w:w="2468" w:type="dxa"/>
          </w:tcPr>
          <w:p w14:paraId="36CE4017" w14:textId="43BB5377" w:rsidR="005329BD" w:rsidRPr="00D428F2" w:rsidRDefault="005329BD" w:rsidP="005329BD">
            <w:pPr>
              <w:spacing w:line="240" w:lineRule="auto"/>
              <w:jc w:val="center"/>
              <w:rPr>
                <w:sz w:val="22"/>
                <w:szCs w:val="20"/>
              </w:rPr>
            </w:pPr>
            <w:r w:rsidRPr="00716965">
              <w:rPr>
                <w:sz w:val="22"/>
                <w:szCs w:val="20"/>
              </w:rPr>
              <w:t xml:space="preserve">$676,187 </w:t>
            </w:r>
          </w:p>
        </w:tc>
      </w:tr>
      <w:tr w:rsidR="005329BD" w14:paraId="2B5DA68F" w14:textId="77777777" w:rsidTr="00D56CE7">
        <w:trPr>
          <w:trHeight w:val="233"/>
        </w:trPr>
        <w:tc>
          <w:tcPr>
            <w:tcW w:w="2468" w:type="dxa"/>
          </w:tcPr>
          <w:p w14:paraId="6636714B" w14:textId="77777777" w:rsidR="005329BD" w:rsidRPr="00934F2C" w:rsidRDefault="005329BD" w:rsidP="005329BD">
            <w:pPr>
              <w:spacing w:line="240" w:lineRule="auto"/>
              <w:rPr>
                <w:b/>
                <w:bCs/>
                <w:sz w:val="22"/>
              </w:rPr>
            </w:pPr>
            <w:r w:rsidRPr="00934F2C">
              <w:rPr>
                <w:color w:val="000000"/>
                <w:sz w:val="22"/>
              </w:rPr>
              <w:t>MAIS 2</w:t>
            </w:r>
          </w:p>
        </w:tc>
        <w:tc>
          <w:tcPr>
            <w:tcW w:w="2468" w:type="dxa"/>
          </w:tcPr>
          <w:p w14:paraId="51A53252" w14:textId="047DC943" w:rsidR="005329BD" w:rsidRPr="00934F2C" w:rsidRDefault="005329BD" w:rsidP="005329BD">
            <w:pPr>
              <w:spacing w:line="240" w:lineRule="auto"/>
              <w:jc w:val="center"/>
              <w:rPr>
                <w:sz w:val="22"/>
              </w:rPr>
            </w:pPr>
            <w:r w:rsidRPr="003E48BD">
              <w:rPr>
                <w:sz w:val="22"/>
                <w:szCs w:val="20"/>
              </w:rPr>
              <w:t>77.08</w:t>
            </w:r>
          </w:p>
        </w:tc>
        <w:tc>
          <w:tcPr>
            <w:tcW w:w="2468" w:type="dxa"/>
            <w:vAlign w:val="center"/>
          </w:tcPr>
          <w:p w14:paraId="49885918" w14:textId="77777777" w:rsidR="005329BD" w:rsidRPr="00901065" w:rsidRDefault="005329BD" w:rsidP="005329BD">
            <w:pPr>
              <w:spacing w:line="240" w:lineRule="auto"/>
              <w:jc w:val="center"/>
              <w:rPr>
                <w:sz w:val="22"/>
              </w:rPr>
            </w:pPr>
            <w:r>
              <w:rPr>
                <w:color w:val="000000"/>
                <w:sz w:val="22"/>
              </w:rPr>
              <w:t xml:space="preserve">$553,146 </w:t>
            </w:r>
          </w:p>
        </w:tc>
        <w:tc>
          <w:tcPr>
            <w:tcW w:w="2468" w:type="dxa"/>
          </w:tcPr>
          <w:p w14:paraId="0ECEB760" w14:textId="689EB853" w:rsidR="005329BD" w:rsidRPr="00D428F2" w:rsidRDefault="005329BD" w:rsidP="005329BD">
            <w:pPr>
              <w:spacing w:line="240" w:lineRule="auto"/>
              <w:jc w:val="center"/>
              <w:rPr>
                <w:sz w:val="22"/>
                <w:szCs w:val="20"/>
              </w:rPr>
            </w:pPr>
            <w:r w:rsidRPr="00716965">
              <w:rPr>
                <w:sz w:val="22"/>
                <w:szCs w:val="20"/>
              </w:rPr>
              <w:t xml:space="preserve">$42,634,502 </w:t>
            </w:r>
          </w:p>
        </w:tc>
      </w:tr>
      <w:tr w:rsidR="005329BD" w14:paraId="67F193FF" w14:textId="77777777" w:rsidTr="00D56CE7">
        <w:trPr>
          <w:trHeight w:val="248"/>
        </w:trPr>
        <w:tc>
          <w:tcPr>
            <w:tcW w:w="2468" w:type="dxa"/>
          </w:tcPr>
          <w:p w14:paraId="42CB76C5" w14:textId="77777777" w:rsidR="005329BD" w:rsidRPr="00934F2C" w:rsidRDefault="005329BD" w:rsidP="005329BD">
            <w:pPr>
              <w:spacing w:line="240" w:lineRule="auto"/>
              <w:rPr>
                <w:b/>
                <w:bCs/>
                <w:sz w:val="22"/>
              </w:rPr>
            </w:pPr>
            <w:r w:rsidRPr="00934F2C">
              <w:rPr>
                <w:sz w:val="22"/>
              </w:rPr>
              <w:t>MAIS 3</w:t>
            </w:r>
          </w:p>
        </w:tc>
        <w:tc>
          <w:tcPr>
            <w:tcW w:w="2468" w:type="dxa"/>
          </w:tcPr>
          <w:p w14:paraId="12982D99" w14:textId="2C122FB4" w:rsidR="005329BD" w:rsidRPr="00934F2C" w:rsidRDefault="005329BD" w:rsidP="005329BD">
            <w:pPr>
              <w:spacing w:line="240" w:lineRule="auto"/>
              <w:jc w:val="center"/>
              <w:rPr>
                <w:sz w:val="22"/>
              </w:rPr>
            </w:pPr>
            <w:r w:rsidRPr="003E48BD">
              <w:rPr>
                <w:sz w:val="22"/>
                <w:szCs w:val="20"/>
              </w:rPr>
              <w:t>21.28</w:t>
            </w:r>
          </w:p>
        </w:tc>
        <w:tc>
          <w:tcPr>
            <w:tcW w:w="2468" w:type="dxa"/>
            <w:vAlign w:val="center"/>
          </w:tcPr>
          <w:p w14:paraId="731A0BBD" w14:textId="77777777" w:rsidR="005329BD" w:rsidRPr="00901065" w:rsidRDefault="005329BD" w:rsidP="005329BD">
            <w:pPr>
              <w:spacing w:line="240" w:lineRule="auto"/>
              <w:jc w:val="center"/>
              <w:rPr>
                <w:sz w:val="22"/>
              </w:rPr>
            </w:pPr>
            <w:r>
              <w:rPr>
                <w:color w:val="000000"/>
                <w:sz w:val="22"/>
              </w:rPr>
              <w:t xml:space="preserve">$1,307,335 </w:t>
            </w:r>
          </w:p>
        </w:tc>
        <w:tc>
          <w:tcPr>
            <w:tcW w:w="2468" w:type="dxa"/>
          </w:tcPr>
          <w:p w14:paraId="4941449A" w14:textId="50BCE747" w:rsidR="005329BD" w:rsidRPr="00D428F2" w:rsidRDefault="005329BD" w:rsidP="005329BD">
            <w:pPr>
              <w:spacing w:line="240" w:lineRule="auto"/>
              <w:jc w:val="center"/>
              <w:rPr>
                <w:sz w:val="22"/>
                <w:szCs w:val="20"/>
              </w:rPr>
            </w:pPr>
            <w:r w:rsidRPr="00716965">
              <w:rPr>
                <w:sz w:val="22"/>
                <w:szCs w:val="20"/>
              </w:rPr>
              <w:t xml:space="preserve">$27,819,500 </w:t>
            </w:r>
          </w:p>
        </w:tc>
      </w:tr>
      <w:tr w:rsidR="005329BD" w14:paraId="00FC414E" w14:textId="77777777" w:rsidTr="00D56CE7">
        <w:trPr>
          <w:trHeight w:val="233"/>
        </w:trPr>
        <w:tc>
          <w:tcPr>
            <w:tcW w:w="2468" w:type="dxa"/>
          </w:tcPr>
          <w:p w14:paraId="39C7857D" w14:textId="77777777" w:rsidR="005329BD" w:rsidRPr="00934F2C" w:rsidRDefault="005329BD" w:rsidP="005329BD">
            <w:pPr>
              <w:spacing w:line="240" w:lineRule="auto"/>
              <w:rPr>
                <w:b/>
                <w:bCs/>
                <w:sz w:val="22"/>
              </w:rPr>
            </w:pPr>
            <w:r w:rsidRPr="00934F2C">
              <w:rPr>
                <w:color w:val="000000"/>
                <w:sz w:val="22"/>
              </w:rPr>
              <w:t>MAIS 4</w:t>
            </w:r>
          </w:p>
        </w:tc>
        <w:tc>
          <w:tcPr>
            <w:tcW w:w="2468" w:type="dxa"/>
          </w:tcPr>
          <w:p w14:paraId="3658DCCF" w14:textId="7A01754B" w:rsidR="005329BD" w:rsidRPr="00934F2C" w:rsidRDefault="005329BD" w:rsidP="005329BD">
            <w:pPr>
              <w:spacing w:line="240" w:lineRule="auto"/>
              <w:jc w:val="center"/>
              <w:rPr>
                <w:sz w:val="22"/>
              </w:rPr>
            </w:pPr>
            <w:r w:rsidRPr="003E48BD">
              <w:rPr>
                <w:sz w:val="22"/>
                <w:szCs w:val="20"/>
              </w:rPr>
              <w:t>15.40</w:t>
            </w:r>
          </w:p>
        </w:tc>
        <w:tc>
          <w:tcPr>
            <w:tcW w:w="2468" w:type="dxa"/>
            <w:vAlign w:val="center"/>
          </w:tcPr>
          <w:p w14:paraId="0A1BC738" w14:textId="77777777" w:rsidR="005329BD" w:rsidRPr="00901065" w:rsidRDefault="005329BD" w:rsidP="005329BD">
            <w:pPr>
              <w:spacing w:line="240" w:lineRule="auto"/>
              <w:jc w:val="center"/>
              <w:rPr>
                <w:sz w:val="22"/>
              </w:rPr>
            </w:pPr>
            <w:r>
              <w:rPr>
                <w:color w:val="000000"/>
                <w:sz w:val="22"/>
              </w:rPr>
              <w:t xml:space="preserve">$3,215,701 </w:t>
            </w:r>
          </w:p>
        </w:tc>
        <w:tc>
          <w:tcPr>
            <w:tcW w:w="2468" w:type="dxa"/>
          </w:tcPr>
          <w:p w14:paraId="66B676E6" w14:textId="24FDAAAB" w:rsidR="005329BD" w:rsidRPr="00D428F2" w:rsidRDefault="005329BD" w:rsidP="005329BD">
            <w:pPr>
              <w:spacing w:line="240" w:lineRule="auto"/>
              <w:jc w:val="center"/>
              <w:rPr>
                <w:sz w:val="22"/>
                <w:szCs w:val="20"/>
              </w:rPr>
            </w:pPr>
            <w:r w:rsidRPr="00716965">
              <w:rPr>
                <w:sz w:val="22"/>
                <w:szCs w:val="20"/>
              </w:rPr>
              <w:t xml:space="preserve">$49,525,654 </w:t>
            </w:r>
          </w:p>
        </w:tc>
      </w:tr>
      <w:tr w:rsidR="005329BD" w14:paraId="54D5C16B" w14:textId="77777777" w:rsidTr="00D56CE7">
        <w:trPr>
          <w:trHeight w:val="233"/>
        </w:trPr>
        <w:tc>
          <w:tcPr>
            <w:tcW w:w="2468" w:type="dxa"/>
          </w:tcPr>
          <w:p w14:paraId="68620874" w14:textId="77777777" w:rsidR="005329BD" w:rsidRPr="00934F2C" w:rsidRDefault="005329BD" w:rsidP="005329BD">
            <w:pPr>
              <w:spacing w:line="240" w:lineRule="auto"/>
              <w:rPr>
                <w:b/>
                <w:bCs/>
                <w:sz w:val="22"/>
              </w:rPr>
            </w:pPr>
            <w:r w:rsidRPr="00934F2C">
              <w:rPr>
                <w:sz w:val="22"/>
              </w:rPr>
              <w:t>MAIS 5</w:t>
            </w:r>
          </w:p>
        </w:tc>
        <w:tc>
          <w:tcPr>
            <w:tcW w:w="2468" w:type="dxa"/>
          </w:tcPr>
          <w:p w14:paraId="13EB300C" w14:textId="328935AB" w:rsidR="005329BD" w:rsidRPr="00934F2C" w:rsidRDefault="005329BD" w:rsidP="005329BD">
            <w:pPr>
              <w:spacing w:line="240" w:lineRule="auto"/>
              <w:jc w:val="center"/>
              <w:rPr>
                <w:sz w:val="22"/>
              </w:rPr>
            </w:pPr>
            <w:r w:rsidRPr="003E48BD">
              <w:rPr>
                <w:sz w:val="22"/>
                <w:szCs w:val="20"/>
              </w:rPr>
              <w:t>0.37</w:t>
            </w:r>
          </w:p>
        </w:tc>
        <w:tc>
          <w:tcPr>
            <w:tcW w:w="2468" w:type="dxa"/>
            <w:vAlign w:val="center"/>
          </w:tcPr>
          <w:p w14:paraId="409EFC80" w14:textId="77777777" w:rsidR="005329BD" w:rsidRPr="00901065" w:rsidRDefault="005329BD" w:rsidP="005329BD">
            <w:pPr>
              <w:spacing w:line="240" w:lineRule="auto"/>
              <w:jc w:val="center"/>
              <w:rPr>
                <w:sz w:val="22"/>
              </w:rPr>
            </w:pPr>
            <w:r>
              <w:rPr>
                <w:color w:val="000000"/>
                <w:sz w:val="22"/>
              </w:rPr>
              <w:t xml:space="preserve">$7,327,043 </w:t>
            </w:r>
          </w:p>
        </w:tc>
        <w:tc>
          <w:tcPr>
            <w:tcW w:w="2468" w:type="dxa"/>
          </w:tcPr>
          <w:p w14:paraId="2E49808F" w14:textId="54DCA8E7" w:rsidR="005329BD" w:rsidRPr="00D428F2" w:rsidRDefault="005329BD" w:rsidP="005329BD">
            <w:pPr>
              <w:spacing w:line="240" w:lineRule="auto"/>
              <w:jc w:val="center"/>
              <w:rPr>
                <w:sz w:val="22"/>
                <w:szCs w:val="20"/>
              </w:rPr>
            </w:pPr>
            <w:r w:rsidRPr="00716965">
              <w:rPr>
                <w:sz w:val="22"/>
                <w:szCs w:val="20"/>
              </w:rPr>
              <w:t xml:space="preserve">$2,675,836 </w:t>
            </w:r>
          </w:p>
        </w:tc>
      </w:tr>
      <w:tr w:rsidR="005329BD" w14:paraId="71560BF6" w14:textId="77777777" w:rsidTr="00D56CE7">
        <w:trPr>
          <w:trHeight w:val="233"/>
        </w:trPr>
        <w:tc>
          <w:tcPr>
            <w:tcW w:w="2468" w:type="dxa"/>
          </w:tcPr>
          <w:p w14:paraId="276A0D0D" w14:textId="77777777" w:rsidR="005329BD" w:rsidRPr="00934F2C" w:rsidRDefault="005329BD" w:rsidP="005329BD">
            <w:pPr>
              <w:spacing w:line="240" w:lineRule="auto"/>
              <w:rPr>
                <w:b/>
                <w:bCs/>
                <w:sz w:val="22"/>
              </w:rPr>
            </w:pPr>
            <w:r w:rsidRPr="00934F2C">
              <w:rPr>
                <w:sz w:val="22"/>
              </w:rPr>
              <w:t>Fatalities</w:t>
            </w:r>
          </w:p>
        </w:tc>
        <w:tc>
          <w:tcPr>
            <w:tcW w:w="2468" w:type="dxa"/>
          </w:tcPr>
          <w:p w14:paraId="2A8363C5" w14:textId="30488035" w:rsidR="005329BD" w:rsidRPr="00934F2C" w:rsidRDefault="005329BD" w:rsidP="005329BD">
            <w:pPr>
              <w:spacing w:line="240" w:lineRule="auto"/>
              <w:jc w:val="center"/>
              <w:rPr>
                <w:sz w:val="22"/>
              </w:rPr>
            </w:pPr>
            <w:r w:rsidRPr="003E48BD">
              <w:rPr>
                <w:sz w:val="22"/>
                <w:szCs w:val="20"/>
              </w:rPr>
              <w:t>25.03</w:t>
            </w:r>
          </w:p>
        </w:tc>
        <w:tc>
          <w:tcPr>
            <w:tcW w:w="2468" w:type="dxa"/>
            <w:vAlign w:val="center"/>
          </w:tcPr>
          <w:p w14:paraId="0D975150" w14:textId="77777777" w:rsidR="005329BD" w:rsidRPr="00901065" w:rsidRDefault="005329BD" w:rsidP="005329BD">
            <w:pPr>
              <w:spacing w:line="240" w:lineRule="auto"/>
              <w:jc w:val="center"/>
              <w:rPr>
                <w:sz w:val="22"/>
              </w:rPr>
            </w:pPr>
            <w:r>
              <w:rPr>
                <w:color w:val="000000"/>
                <w:sz w:val="22"/>
              </w:rPr>
              <w:t xml:space="preserve">$11,950,834 </w:t>
            </w:r>
          </w:p>
        </w:tc>
        <w:tc>
          <w:tcPr>
            <w:tcW w:w="2468" w:type="dxa"/>
          </w:tcPr>
          <w:p w14:paraId="01172E40" w14:textId="686B465F" w:rsidR="005329BD" w:rsidRPr="00D428F2" w:rsidRDefault="005329BD" w:rsidP="005329BD">
            <w:pPr>
              <w:spacing w:line="240" w:lineRule="auto"/>
              <w:jc w:val="center"/>
              <w:rPr>
                <w:sz w:val="22"/>
                <w:szCs w:val="20"/>
              </w:rPr>
            </w:pPr>
            <w:r w:rsidRPr="00716965">
              <w:rPr>
                <w:sz w:val="22"/>
                <w:szCs w:val="20"/>
              </w:rPr>
              <w:t xml:space="preserve">$299,172,355 </w:t>
            </w:r>
          </w:p>
        </w:tc>
      </w:tr>
      <w:tr w:rsidR="005329BD" w14:paraId="12C2AC78" w14:textId="77777777" w:rsidTr="00DE6F57">
        <w:trPr>
          <w:trHeight w:val="233"/>
        </w:trPr>
        <w:tc>
          <w:tcPr>
            <w:tcW w:w="2468" w:type="dxa"/>
            <w:tcBorders>
              <w:bottom w:val="single" w:sz="4" w:space="0" w:color="FFFFFF" w:themeColor="background1"/>
              <w:right w:val="single" w:sz="4" w:space="0" w:color="FFFFFF" w:themeColor="background1"/>
            </w:tcBorders>
            <w:vAlign w:val="center"/>
          </w:tcPr>
          <w:p w14:paraId="0D15DDD9" w14:textId="77777777" w:rsidR="005329BD" w:rsidRPr="00DE6F57" w:rsidRDefault="005329BD" w:rsidP="00D973B8">
            <w:pPr>
              <w:spacing w:line="240" w:lineRule="auto"/>
              <w:rPr>
                <w:b/>
                <w:bCs/>
                <w:sz w:val="22"/>
              </w:rPr>
            </w:pPr>
            <w:r w:rsidRPr="00DE6F57">
              <w:rPr>
                <w:b/>
                <w:bCs/>
                <w:sz w:val="22"/>
              </w:rPr>
              <w:t>Total Drivers</w:t>
            </w:r>
          </w:p>
        </w:tc>
        <w:tc>
          <w:tcPr>
            <w:tcW w:w="2468" w:type="dxa"/>
            <w:tcBorders>
              <w:left w:val="single" w:sz="4" w:space="0" w:color="FFFFFF" w:themeColor="background1"/>
              <w:right w:val="single" w:sz="4" w:space="0" w:color="FFFFFF" w:themeColor="background1"/>
            </w:tcBorders>
            <w:vAlign w:val="center"/>
          </w:tcPr>
          <w:p w14:paraId="1AEC880E" w14:textId="77777777" w:rsidR="005329BD" w:rsidRPr="003E21CB" w:rsidRDefault="005329BD" w:rsidP="005329BD">
            <w:pPr>
              <w:spacing w:line="240" w:lineRule="auto"/>
              <w:jc w:val="center"/>
              <w:rPr>
                <w:b/>
                <w:bCs/>
                <w:sz w:val="22"/>
              </w:rPr>
            </w:pPr>
            <w:r w:rsidRPr="00D973B8">
              <w:rPr>
                <w:b/>
                <w:bCs/>
                <w:color w:val="000000"/>
                <w:sz w:val="22"/>
              </w:rPr>
              <w:t> </w:t>
            </w:r>
          </w:p>
        </w:tc>
        <w:tc>
          <w:tcPr>
            <w:tcW w:w="2468" w:type="dxa"/>
            <w:tcBorders>
              <w:left w:val="single" w:sz="4" w:space="0" w:color="FFFFFF" w:themeColor="background1"/>
              <w:right w:val="single" w:sz="4" w:space="0" w:color="FFFFFF" w:themeColor="background1"/>
            </w:tcBorders>
            <w:vAlign w:val="center"/>
          </w:tcPr>
          <w:p w14:paraId="7F2C39BA" w14:textId="77777777" w:rsidR="005329BD" w:rsidRPr="00DE6F57" w:rsidRDefault="005329BD" w:rsidP="005329BD">
            <w:pPr>
              <w:spacing w:line="240" w:lineRule="auto"/>
              <w:jc w:val="center"/>
              <w:rPr>
                <w:b/>
                <w:bCs/>
                <w:sz w:val="22"/>
              </w:rPr>
            </w:pPr>
            <w:r w:rsidRPr="00766110">
              <w:rPr>
                <w:b/>
                <w:bCs/>
                <w:color w:val="000000"/>
                <w:sz w:val="22"/>
              </w:rPr>
              <w:t> </w:t>
            </w:r>
          </w:p>
        </w:tc>
        <w:tc>
          <w:tcPr>
            <w:tcW w:w="2468" w:type="dxa"/>
            <w:tcBorders>
              <w:left w:val="single" w:sz="4" w:space="0" w:color="FFFFFF" w:themeColor="background1"/>
            </w:tcBorders>
          </w:tcPr>
          <w:p w14:paraId="5EAFA10F" w14:textId="76779189" w:rsidR="005329BD" w:rsidRPr="00D973B8" w:rsidRDefault="005329BD" w:rsidP="005329BD">
            <w:pPr>
              <w:spacing w:line="240" w:lineRule="auto"/>
              <w:jc w:val="center"/>
              <w:rPr>
                <w:b/>
                <w:bCs/>
                <w:color w:val="000000"/>
                <w:sz w:val="22"/>
              </w:rPr>
            </w:pPr>
            <w:r w:rsidRPr="00DE6F57">
              <w:rPr>
                <w:b/>
                <w:bCs/>
              </w:rPr>
              <w:t xml:space="preserve">$422,504,035 </w:t>
            </w:r>
          </w:p>
        </w:tc>
      </w:tr>
      <w:tr w:rsidR="00A15C2C" w14:paraId="4E319E9C" w14:textId="77777777" w:rsidTr="003C04C4">
        <w:trPr>
          <w:trHeight w:val="248"/>
        </w:trPr>
        <w:tc>
          <w:tcPr>
            <w:tcW w:w="9872" w:type="dxa"/>
            <w:gridSpan w:val="4"/>
            <w:shd w:val="clear" w:color="auto" w:fill="D9D9D9" w:themeFill="background1" w:themeFillShade="D9"/>
          </w:tcPr>
          <w:p w14:paraId="515F4046" w14:textId="77777777" w:rsidR="008B7658" w:rsidRPr="00901065" w:rsidRDefault="000F5B51" w:rsidP="003C04C4">
            <w:pPr>
              <w:spacing w:line="240" w:lineRule="auto"/>
              <w:jc w:val="center"/>
              <w:rPr>
                <w:b/>
                <w:bCs/>
                <w:i/>
                <w:iCs/>
                <w:sz w:val="22"/>
              </w:rPr>
            </w:pPr>
            <w:r>
              <w:rPr>
                <w:b/>
                <w:bCs/>
                <w:i/>
                <w:iCs/>
                <w:sz w:val="22"/>
              </w:rPr>
              <w:t>LTVs</w:t>
            </w:r>
          </w:p>
        </w:tc>
      </w:tr>
      <w:tr w:rsidR="005329BD" w14:paraId="396748B7" w14:textId="77777777" w:rsidTr="00716965">
        <w:trPr>
          <w:trHeight w:val="233"/>
        </w:trPr>
        <w:tc>
          <w:tcPr>
            <w:tcW w:w="2468" w:type="dxa"/>
          </w:tcPr>
          <w:p w14:paraId="609EB710" w14:textId="77777777" w:rsidR="005329BD" w:rsidRPr="00934F2C" w:rsidRDefault="005329BD" w:rsidP="005329BD">
            <w:pPr>
              <w:spacing w:line="240" w:lineRule="auto"/>
              <w:rPr>
                <w:b/>
                <w:bCs/>
                <w:color w:val="000000"/>
                <w:sz w:val="22"/>
              </w:rPr>
            </w:pPr>
            <w:r w:rsidRPr="00934F2C">
              <w:rPr>
                <w:sz w:val="22"/>
              </w:rPr>
              <w:t>MAIS 1</w:t>
            </w:r>
          </w:p>
        </w:tc>
        <w:tc>
          <w:tcPr>
            <w:tcW w:w="2468" w:type="dxa"/>
          </w:tcPr>
          <w:p w14:paraId="43E1CC56" w14:textId="64172B9B" w:rsidR="005329BD" w:rsidRPr="00934F2C" w:rsidRDefault="005329BD" w:rsidP="005329BD">
            <w:pPr>
              <w:spacing w:line="240" w:lineRule="auto"/>
              <w:jc w:val="center"/>
              <w:rPr>
                <w:sz w:val="22"/>
              </w:rPr>
            </w:pPr>
            <w:r w:rsidRPr="003E48BD">
              <w:rPr>
                <w:sz w:val="22"/>
                <w:szCs w:val="20"/>
              </w:rPr>
              <w:t>8.66</w:t>
            </w:r>
          </w:p>
        </w:tc>
        <w:tc>
          <w:tcPr>
            <w:tcW w:w="2468" w:type="dxa"/>
            <w:vAlign w:val="center"/>
          </w:tcPr>
          <w:p w14:paraId="4868CBD2" w14:textId="77777777" w:rsidR="005329BD" w:rsidRPr="00901065" w:rsidRDefault="005329BD" w:rsidP="005329BD">
            <w:pPr>
              <w:spacing w:line="240" w:lineRule="auto"/>
              <w:jc w:val="center"/>
              <w:rPr>
                <w:sz w:val="22"/>
              </w:rPr>
            </w:pPr>
            <w:r>
              <w:rPr>
                <w:color w:val="000000"/>
                <w:sz w:val="22"/>
              </w:rPr>
              <w:t xml:space="preserve">$56,035 </w:t>
            </w:r>
          </w:p>
        </w:tc>
        <w:tc>
          <w:tcPr>
            <w:tcW w:w="2468" w:type="dxa"/>
            <w:vAlign w:val="center"/>
          </w:tcPr>
          <w:p w14:paraId="77600330" w14:textId="67F0B671" w:rsidR="005329BD" w:rsidRPr="00D428F2" w:rsidRDefault="005329BD" w:rsidP="005329BD">
            <w:pPr>
              <w:spacing w:line="240" w:lineRule="auto"/>
              <w:jc w:val="center"/>
              <w:rPr>
                <w:sz w:val="22"/>
                <w:szCs w:val="20"/>
              </w:rPr>
            </w:pPr>
            <w:r w:rsidRPr="00716965">
              <w:rPr>
                <w:color w:val="000000"/>
                <w:sz w:val="22"/>
                <w:szCs w:val="20"/>
              </w:rPr>
              <w:t xml:space="preserve">$485,280 </w:t>
            </w:r>
          </w:p>
        </w:tc>
      </w:tr>
      <w:tr w:rsidR="005329BD" w14:paraId="2733C79D" w14:textId="77777777" w:rsidTr="00716965">
        <w:trPr>
          <w:trHeight w:val="248"/>
        </w:trPr>
        <w:tc>
          <w:tcPr>
            <w:tcW w:w="2468" w:type="dxa"/>
          </w:tcPr>
          <w:p w14:paraId="4A5D6D1F" w14:textId="77777777" w:rsidR="005329BD" w:rsidRPr="00934F2C" w:rsidRDefault="005329BD" w:rsidP="005329BD">
            <w:pPr>
              <w:spacing w:line="240" w:lineRule="auto"/>
              <w:rPr>
                <w:b/>
                <w:bCs/>
                <w:sz w:val="22"/>
              </w:rPr>
            </w:pPr>
            <w:r w:rsidRPr="00934F2C">
              <w:rPr>
                <w:color w:val="000000"/>
                <w:sz w:val="22"/>
              </w:rPr>
              <w:t>MAIS 2</w:t>
            </w:r>
          </w:p>
        </w:tc>
        <w:tc>
          <w:tcPr>
            <w:tcW w:w="2468" w:type="dxa"/>
          </w:tcPr>
          <w:p w14:paraId="7D301387" w14:textId="189404CA" w:rsidR="005329BD" w:rsidRPr="00934F2C" w:rsidRDefault="005329BD" w:rsidP="005329BD">
            <w:pPr>
              <w:spacing w:line="240" w:lineRule="auto"/>
              <w:jc w:val="center"/>
              <w:rPr>
                <w:sz w:val="22"/>
              </w:rPr>
            </w:pPr>
            <w:r w:rsidRPr="003E48BD">
              <w:rPr>
                <w:sz w:val="22"/>
                <w:szCs w:val="20"/>
              </w:rPr>
              <w:t>42.93</w:t>
            </w:r>
          </w:p>
        </w:tc>
        <w:tc>
          <w:tcPr>
            <w:tcW w:w="2468" w:type="dxa"/>
            <w:vAlign w:val="center"/>
          </w:tcPr>
          <w:p w14:paraId="386A1702" w14:textId="77777777" w:rsidR="005329BD" w:rsidRPr="00901065" w:rsidRDefault="005329BD" w:rsidP="005329BD">
            <w:pPr>
              <w:spacing w:line="240" w:lineRule="auto"/>
              <w:jc w:val="center"/>
              <w:rPr>
                <w:sz w:val="22"/>
              </w:rPr>
            </w:pPr>
            <w:r>
              <w:rPr>
                <w:color w:val="000000"/>
                <w:sz w:val="22"/>
              </w:rPr>
              <w:t xml:space="preserve">$553,146 </w:t>
            </w:r>
          </w:p>
        </w:tc>
        <w:tc>
          <w:tcPr>
            <w:tcW w:w="2468" w:type="dxa"/>
            <w:vAlign w:val="center"/>
          </w:tcPr>
          <w:p w14:paraId="59017008" w14:textId="018876E7" w:rsidR="005329BD" w:rsidRPr="00D428F2" w:rsidRDefault="005329BD" w:rsidP="005329BD">
            <w:pPr>
              <w:spacing w:line="240" w:lineRule="auto"/>
              <w:jc w:val="center"/>
              <w:rPr>
                <w:sz w:val="22"/>
                <w:szCs w:val="20"/>
              </w:rPr>
            </w:pPr>
            <w:r w:rsidRPr="00716965">
              <w:rPr>
                <w:color w:val="000000"/>
                <w:sz w:val="22"/>
                <w:szCs w:val="20"/>
              </w:rPr>
              <w:t xml:space="preserve">$23,745,175 </w:t>
            </w:r>
          </w:p>
        </w:tc>
      </w:tr>
      <w:tr w:rsidR="005329BD" w14:paraId="719BDB43" w14:textId="77777777" w:rsidTr="00716965">
        <w:trPr>
          <w:trHeight w:val="233"/>
        </w:trPr>
        <w:tc>
          <w:tcPr>
            <w:tcW w:w="2468" w:type="dxa"/>
          </w:tcPr>
          <w:p w14:paraId="087D8A4F" w14:textId="77777777" w:rsidR="005329BD" w:rsidRPr="00934F2C" w:rsidRDefault="005329BD" w:rsidP="005329BD">
            <w:pPr>
              <w:spacing w:line="240" w:lineRule="auto"/>
              <w:rPr>
                <w:b/>
                <w:bCs/>
                <w:color w:val="000000"/>
                <w:sz w:val="22"/>
              </w:rPr>
            </w:pPr>
            <w:r w:rsidRPr="00934F2C">
              <w:rPr>
                <w:sz w:val="22"/>
              </w:rPr>
              <w:t>MAIS 3</w:t>
            </w:r>
          </w:p>
        </w:tc>
        <w:tc>
          <w:tcPr>
            <w:tcW w:w="2468" w:type="dxa"/>
          </w:tcPr>
          <w:p w14:paraId="532FBBFC" w14:textId="6B463443" w:rsidR="005329BD" w:rsidRPr="00934F2C" w:rsidRDefault="005329BD" w:rsidP="005329BD">
            <w:pPr>
              <w:spacing w:line="240" w:lineRule="auto"/>
              <w:jc w:val="center"/>
              <w:rPr>
                <w:sz w:val="22"/>
              </w:rPr>
            </w:pPr>
            <w:r w:rsidRPr="003E48BD">
              <w:rPr>
                <w:sz w:val="22"/>
                <w:szCs w:val="20"/>
              </w:rPr>
              <w:t>0.27</w:t>
            </w:r>
          </w:p>
        </w:tc>
        <w:tc>
          <w:tcPr>
            <w:tcW w:w="2468" w:type="dxa"/>
            <w:vAlign w:val="center"/>
          </w:tcPr>
          <w:p w14:paraId="694B90BB" w14:textId="77777777" w:rsidR="005329BD" w:rsidRPr="00901065" w:rsidRDefault="005329BD" w:rsidP="005329BD">
            <w:pPr>
              <w:spacing w:line="240" w:lineRule="auto"/>
              <w:jc w:val="center"/>
              <w:rPr>
                <w:sz w:val="22"/>
              </w:rPr>
            </w:pPr>
            <w:r>
              <w:rPr>
                <w:color w:val="000000"/>
                <w:sz w:val="22"/>
              </w:rPr>
              <w:t xml:space="preserve">$1,307,335 </w:t>
            </w:r>
          </w:p>
        </w:tc>
        <w:tc>
          <w:tcPr>
            <w:tcW w:w="2468" w:type="dxa"/>
            <w:vAlign w:val="center"/>
          </w:tcPr>
          <w:p w14:paraId="12FC3C24" w14:textId="7F4FDEF4" w:rsidR="005329BD" w:rsidRPr="00D428F2" w:rsidRDefault="005329BD" w:rsidP="005329BD">
            <w:pPr>
              <w:spacing w:line="240" w:lineRule="auto"/>
              <w:jc w:val="center"/>
              <w:rPr>
                <w:sz w:val="22"/>
                <w:szCs w:val="20"/>
              </w:rPr>
            </w:pPr>
            <w:r w:rsidRPr="00716965">
              <w:rPr>
                <w:color w:val="000000"/>
                <w:sz w:val="22"/>
                <w:szCs w:val="20"/>
              </w:rPr>
              <w:t xml:space="preserve">$357,556 </w:t>
            </w:r>
          </w:p>
        </w:tc>
      </w:tr>
      <w:tr w:rsidR="005329BD" w14:paraId="658D56C3" w14:textId="77777777" w:rsidTr="00716965">
        <w:trPr>
          <w:trHeight w:val="248"/>
        </w:trPr>
        <w:tc>
          <w:tcPr>
            <w:tcW w:w="2468" w:type="dxa"/>
          </w:tcPr>
          <w:p w14:paraId="03377D4C" w14:textId="77777777" w:rsidR="005329BD" w:rsidRPr="00934F2C" w:rsidRDefault="005329BD" w:rsidP="005329BD">
            <w:pPr>
              <w:spacing w:line="240" w:lineRule="auto"/>
              <w:rPr>
                <w:b/>
                <w:bCs/>
                <w:sz w:val="22"/>
              </w:rPr>
            </w:pPr>
            <w:r w:rsidRPr="00934F2C">
              <w:rPr>
                <w:color w:val="000000"/>
                <w:sz w:val="22"/>
              </w:rPr>
              <w:t>MAIS 4</w:t>
            </w:r>
          </w:p>
        </w:tc>
        <w:tc>
          <w:tcPr>
            <w:tcW w:w="2468" w:type="dxa"/>
          </w:tcPr>
          <w:p w14:paraId="02CE8C14" w14:textId="362942AF" w:rsidR="005329BD" w:rsidRPr="00934F2C" w:rsidRDefault="005329BD" w:rsidP="005329BD">
            <w:pPr>
              <w:spacing w:line="240" w:lineRule="auto"/>
              <w:jc w:val="center"/>
              <w:rPr>
                <w:sz w:val="22"/>
              </w:rPr>
            </w:pPr>
            <w:r w:rsidRPr="003E48BD">
              <w:rPr>
                <w:sz w:val="22"/>
                <w:szCs w:val="20"/>
              </w:rPr>
              <w:t>2.02</w:t>
            </w:r>
          </w:p>
        </w:tc>
        <w:tc>
          <w:tcPr>
            <w:tcW w:w="2468" w:type="dxa"/>
            <w:vAlign w:val="center"/>
          </w:tcPr>
          <w:p w14:paraId="48E088F9" w14:textId="77777777" w:rsidR="005329BD" w:rsidRPr="00901065" w:rsidRDefault="005329BD" w:rsidP="005329BD">
            <w:pPr>
              <w:spacing w:line="240" w:lineRule="auto"/>
              <w:jc w:val="center"/>
              <w:rPr>
                <w:sz w:val="22"/>
              </w:rPr>
            </w:pPr>
            <w:r>
              <w:rPr>
                <w:color w:val="000000"/>
                <w:sz w:val="22"/>
              </w:rPr>
              <w:t xml:space="preserve">$3,215,701 </w:t>
            </w:r>
          </w:p>
        </w:tc>
        <w:tc>
          <w:tcPr>
            <w:tcW w:w="2468" w:type="dxa"/>
            <w:vAlign w:val="center"/>
          </w:tcPr>
          <w:p w14:paraId="68F3A1A6" w14:textId="67EFF9C8" w:rsidR="005329BD" w:rsidRPr="00D428F2" w:rsidRDefault="005329BD" w:rsidP="005329BD">
            <w:pPr>
              <w:spacing w:line="240" w:lineRule="auto"/>
              <w:jc w:val="center"/>
              <w:rPr>
                <w:sz w:val="22"/>
                <w:szCs w:val="20"/>
              </w:rPr>
            </w:pPr>
            <w:r w:rsidRPr="00716965">
              <w:rPr>
                <w:color w:val="000000"/>
                <w:sz w:val="22"/>
                <w:szCs w:val="20"/>
              </w:rPr>
              <w:t xml:space="preserve">$6,480,441 </w:t>
            </w:r>
          </w:p>
        </w:tc>
      </w:tr>
      <w:tr w:rsidR="005329BD" w14:paraId="3C98C28A" w14:textId="77777777" w:rsidTr="00716965">
        <w:trPr>
          <w:trHeight w:val="233"/>
        </w:trPr>
        <w:tc>
          <w:tcPr>
            <w:tcW w:w="2468" w:type="dxa"/>
          </w:tcPr>
          <w:p w14:paraId="7A466189" w14:textId="77777777" w:rsidR="005329BD" w:rsidRPr="00934F2C" w:rsidRDefault="005329BD" w:rsidP="005329BD">
            <w:pPr>
              <w:spacing w:line="240" w:lineRule="auto"/>
              <w:rPr>
                <w:sz w:val="22"/>
              </w:rPr>
            </w:pPr>
            <w:r w:rsidRPr="00934F2C">
              <w:rPr>
                <w:sz w:val="22"/>
              </w:rPr>
              <w:t>MAIS 5</w:t>
            </w:r>
          </w:p>
        </w:tc>
        <w:tc>
          <w:tcPr>
            <w:tcW w:w="2468" w:type="dxa"/>
          </w:tcPr>
          <w:p w14:paraId="7918B7C8" w14:textId="7C4E4F0F" w:rsidR="005329BD" w:rsidRPr="00934F2C" w:rsidRDefault="005329BD" w:rsidP="005329BD">
            <w:pPr>
              <w:spacing w:line="240" w:lineRule="auto"/>
              <w:jc w:val="center"/>
              <w:rPr>
                <w:sz w:val="22"/>
              </w:rPr>
            </w:pPr>
            <w:r w:rsidRPr="003E48BD">
              <w:rPr>
                <w:sz w:val="22"/>
                <w:szCs w:val="20"/>
              </w:rPr>
              <w:t>0.14</w:t>
            </w:r>
          </w:p>
        </w:tc>
        <w:tc>
          <w:tcPr>
            <w:tcW w:w="2468" w:type="dxa"/>
            <w:vAlign w:val="center"/>
          </w:tcPr>
          <w:p w14:paraId="444F6CF7" w14:textId="77777777" w:rsidR="005329BD" w:rsidRPr="00901065" w:rsidRDefault="005329BD" w:rsidP="005329BD">
            <w:pPr>
              <w:spacing w:line="240" w:lineRule="auto"/>
              <w:jc w:val="center"/>
              <w:rPr>
                <w:sz w:val="22"/>
              </w:rPr>
            </w:pPr>
            <w:r>
              <w:rPr>
                <w:color w:val="000000"/>
                <w:sz w:val="22"/>
              </w:rPr>
              <w:t xml:space="preserve">$7,327,043 </w:t>
            </w:r>
          </w:p>
        </w:tc>
        <w:tc>
          <w:tcPr>
            <w:tcW w:w="2468" w:type="dxa"/>
            <w:vAlign w:val="center"/>
          </w:tcPr>
          <w:p w14:paraId="36141C91" w14:textId="633BF7BF" w:rsidR="005329BD" w:rsidRPr="00D428F2" w:rsidRDefault="005329BD" w:rsidP="005329BD">
            <w:pPr>
              <w:spacing w:line="240" w:lineRule="auto"/>
              <w:jc w:val="center"/>
              <w:rPr>
                <w:sz w:val="22"/>
                <w:szCs w:val="20"/>
              </w:rPr>
            </w:pPr>
            <w:r w:rsidRPr="00716965">
              <w:rPr>
                <w:color w:val="000000"/>
                <w:sz w:val="22"/>
                <w:szCs w:val="20"/>
              </w:rPr>
              <w:t xml:space="preserve">$1,019,558 </w:t>
            </w:r>
          </w:p>
        </w:tc>
      </w:tr>
      <w:tr w:rsidR="005329BD" w14:paraId="24A82DAF" w14:textId="77777777" w:rsidTr="00716965">
        <w:trPr>
          <w:trHeight w:val="233"/>
        </w:trPr>
        <w:tc>
          <w:tcPr>
            <w:tcW w:w="2468" w:type="dxa"/>
          </w:tcPr>
          <w:p w14:paraId="4B6BF622" w14:textId="77777777" w:rsidR="005329BD" w:rsidRPr="00934F2C" w:rsidRDefault="005329BD" w:rsidP="005329BD">
            <w:pPr>
              <w:spacing w:line="240" w:lineRule="auto"/>
              <w:rPr>
                <w:b/>
                <w:bCs/>
                <w:color w:val="000000"/>
                <w:sz w:val="22"/>
              </w:rPr>
            </w:pPr>
            <w:r w:rsidRPr="00934F2C">
              <w:rPr>
                <w:color w:val="000000"/>
                <w:sz w:val="22"/>
              </w:rPr>
              <w:t>Fatalities</w:t>
            </w:r>
          </w:p>
        </w:tc>
        <w:tc>
          <w:tcPr>
            <w:tcW w:w="2468" w:type="dxa"/>
          </w:tcPr>
          <w:p w14:paraId="07CE5391" w14:textId="0E9C39A0" w:rsidR="005329BD" w:rsidRPr="00934F2C" w:rsidRDefault="005329BD" w:rsidP="005329BD">
            <w:pPr>
              <w:spacing w:line="240" w:lineRule="auto"/>
              <w:jc w:val="center"/>
              <w:rPr>
                <w:sz w:val="22"/>
              </w:rPr>
            </w:pPr>
            <w:r w:rsidRPr="003E48BD">
              <w:rPr>
                <w:sz w:val="22"/>
                <w:szCs w:val="20"/>
              </w:rPr>
              <w:t>40.86</w:t>
            </w:r>
          </w:p>
        </w:tc>
        <w:tc>
          <w:tcPr>
            <w:tcW w:w="2468" w:type="dxa"/>
            <w:vAlign w:val="center"/>
          </w:tcPr>
          <w:p w14:paraId="116893A8" w14:textId="77777777" w:rsidR="005329BD" w:rsidRPr="00901065" w:rsidRDefault="005329BD" w:rsidP="005329BD">
            <w:pPr>
              <w:spacing w:line="240" w:lineRule="auto"/>
              <w:jc w:val="center"/>
              <w:rPr>
                <w:sz w:val="22"/>
              </w:rPr>
            </w:pPr>
            <w:r>
              <w:rPr>
                <w:color w:val="000000"/>
                <w:sz w:val="22"/>
              </w:rPr>
              <w:t xml:space="preserve">$11,950,834 </w:t>
            </w:r>
          </w:p>
        </w:tc>
        <w:tc>
          <w:tcPr>
            <w:tcW w:w="2468" w:type="dxa"/>
            <w:vAlign w:val="center"/>
          </w:tcPr>
          <w:p w14:paraId="73F54D6C" w14:textId="1A5B5D6F" w:rsidR="005329BD" w:rsidRPr="00D428F2" w:rsidRDefault="005329BD" w:rsidP="005329BD">
            <w:pPr>
              <w:spacing w:line="240" w:lineRule="auto"/>
              <w:jc w:val="center"/>
              <w:rPr>
                <w:sz w:val="22"/>
                <w:szCs w:val="20"/>
              </w:rPr>
            </w:pPr>
            <w:r w:rsidRPr="00716965">
              <w:rPr>
                <w:color w:val="000000"/>
                <w:sz w:val="22"/>
                <w:szCs w:val="20"/>
              </w:rPr>
              <w:t xml:space="preserve">$488,325,015 </w:t>
            </w:r>
          </w:p>
        </w:tc>
      </w:tr>
      <w:tr w:rsidR="005329BD" w14:paraId="0972C784" w14:textId="77777777" w:rsidTr="00DE6F57">
        <w:trPr>
          <w:trHeight w:val="233"/>
        </w:trPr>
        <w:tc>
          <w:tcPr>
            <w:tcW w:w="2468" w:type="dxa"/>
            <w:tcBorders>
              <w:right w:val="single" w:sz="4" w:space="0" w:color="FFFFFF" w:themeColor="background1"/>
            </w:tcBorders>
            <w:vAlign w:val="center"/>
          </w:tcPr>
          <w:p w14:paraId="62ED5961" w14:textId="77777777" w:rsidR="005329BD" w:rsidRPr="00DE6F57" w:rsidRDefault="005329BD" w:rsidP="00D973B8">
            <w:pPr>
              <w:spacing w:line="240" w:lineRule="auto"/>
              <w:rPr>
                <w:b/>
                <w:bCs/>
                <w:color w:val="000000"/>
                <w:sz w:val="22"/>
              </w:rPr>
            </w:pPr>
            <w:r w:rsidRPr="00DE6F57">
              <w:rPr>
                <w:b/>
                <w:bCs/>
                <w:color w:val="000000"/>
                <w:sz w:val="22"/>
              </w:rPr>
              <w:t>Total Right Front Seat</w:t>
            </w:r>
          </w:p>
        </w:tc>
        <w:tc>
          <w:tcPr>
            <w:tcW w:w="2468" w:type="dxa"/>
            <w:tcBorders>
              <w:left w:val="single" w:sz="4" w:space="0" w:color="FFFFFF" w:themeColor="background1"/>
              <w:right w:val="single" w:sz="4" w:space="0" w:color="FFFFFF" w:themeColor="background1"/>
            </w:tcBorders>
            <w:vAlign w:val="center"/>
          </w:tcPr>
          <w:p w14:paraId="468AD107" w14:textId="77777777" w:rsidR="005329BD" w:rsidRPr="00D973B8" w:rsidRDefault="005329BD" w:rsidP="005329BD">
            <w:pPr>
              <w:spacing w:line="240" w:lineRule="auto"/>
              <w:jc w:val="center"/>
              <w:rPr>
                <w:b/>
                <w:bCs/>
                <w:sz w:val="22"/>
              </w:rPr>
            </w:pPr>
            <w:r w:rsidRPr="00DE6F57">
              <w:rPr>
                <w:b/>
                <w:bCs/>
                <w:color w:val="000000"/>
              </w:rPr>
              <w:t> </w:t>
            </w:r>
          </w:p>
        </w:tc>
        <w:tc>
          <w:tcPr>
            <w:tcW w:w="2468" w:type="dxa"/>
            <w:tcBorders>
              <w:left w:val="single" w:sz="4" w:space="0" w:color="FFFFFF" w:themeColor="background1"/>
              <w:right w:val="single" w:sz="4" w:space="0" w:color="FFFFFF" w:themeColor="background1"/>
            </w:tcBorders>
            <w:vAlign w:val="center"/>
          </w:tcPr>
          <w:p w14:paraId="5681DDDF" w14:textId="77777777" w:rsidR="005329BD" w:rsidRPr="00DE6F57" w:rsidRDefault="005329BD" w:rsidP="005329BD">
            <w:pPr>
              <w:spacing w:line="240" w:lineRule="auto"/>
              <w:jc w:val="center"/>
              <w:rPr>
                <w:b/>
                <w:bCs/>
                <w:color w:val="000000" w:themeColor="text1"/>
                <w:sz w:val="22"/>
              </w:rPr>
            </w:pPr>
            <w:r w:rsidRPr="00766110">
              <w:rPr>
                <w:b/>
                <w:bCs/>
                <w:color w:val="000000"/>
                <w:sz w:val="22"/>
              </w:rPr>
              <w:t> </w:t>
            </w:r>
          </w:p>
        </w:tc>
        <w:tc>
          <w:tcPr>
            <w:tcW w:w="2468" w:type="dxa"/>
            <w:tcBorders>
              <w:left w:val="single" w:sz="4" w:space="0" w:color="FFFFFF" w:themeColor="background1"/>
            </w:tcBorders>
            <w:vAlign w:val="center"/>
          </w:tcPr>
          <w:p w14:paraId="4F29962B" w14:textId="3E1C288B" w:rsidR="005329BD" w:rsidRPr="00D973B8" w:rsidRDefault="005329BD" w:rsidP="005329BD">
            <w:pPr>
              <w:spacing w:line="240" w:lineRule="auto"/>
              <w:jc w:val="center"/>
              <w:rPr>
                <w:b/>
                <w:bCs/>
                <w:sz w:val="22"/>
              </w:rPr>
            </w:pPr>
            <w:r w:rsidRPr="00DE6F57">
              <w:rPr>
                <w:b/>
                <w:bCs/>
                <w:color w:val="000000"/>
              </w:rPr>
              <w:t xml:space="preserve">$520,413,025 </w:t>
            </w:r>
          </w:p>
        </w:tc>
      </w:tr>
      <w:tr w:rsidR="00A15C2C" w14:paraId="6994175D" w14:textId="77777777" w:rsidTr="003C04C4">
        <w:trPr>
          <w:trHeight w:val="233"/>
        </w:trPr>
        <w:tc>
          <w:tcPr>
            <w:tcW w:w="9872" w:type="dxa"/>
            <w:gridSpan w:val="4"/>
            <w:shd w:val="clear" w:color="auto" w:fill="D9D9D9" w:themeFill="background1" w:themeFillShade="D9"/>
          </w:tcPr>
          <w:p w14:paraId="135CC8E8" w14:textId="77777777" w:rsidR="008B7658" w:rsidRPr="00901065" w:rsidRDefault="000F5B51" w:rsidP="003C04C4">
            <w:pPr>
              <w:spacing w:line="240" w:lineRule="auto"/>
              <w:jc w:val="center"/>
              <w:rPr>
                <w:b/>
                <w:bCs/>
                <w:i/>
                <w:iCs/>
                <w:sz w:val="22"/>
              </w:rPr>
            </w:pPr>
            <w:r>
              <w:rPr>
                <w:b/>
                <w:bCs/>
                <w:i/>
                <w:iCs/>
                <w:sz w:val="22"/>
              </w:rPr>
              <w:t>Total</w:t>
            </w:r>
          </w:p>
        </w:tc>
      </w:tr>
      <w:tr w:rsidR="005329BD" w14:paraId="7C34F7F9" w14:textId="77777777" w:rsidTr="00716965">
        <w:trPr>
          <w:trHeight w:val="248"/>
        </w:trPr>
        <w:tc>
          <w:tcPr>
            <w:tcW w:w="2468" w:type="dxa"/>
          </w:tcPr>
          <w:p w14:paraId="715135A1" w14:textId="77777777" w:rsidR="005329BD" w:rsidRPr="00934F2C" w:rsidRDefault="005329BD" w:rsidP="005329BD">
            <w:pPr>
              <w:spacing w:line="240" w:lineRule="auto"/>
              <w:rPr>
                <w:b/>
                <w:bCs/>
                <w:color w:val="000000"/>
                <w:sz w:val="22"/>
              </w:rPr>
            </w:pPr>
            <w:r w:rsidRPr="00934F2C">
              <w:rPr>
                <w:sz w:val="22"/>
              </w:rPr>
              <w:t>MAIS 1</w:t>
            </w:r>
          </w:p>
        </w:tc>
        <w:tc>
          <w:tcPr>
            <w:tcW w:w="2468" w:type="dxa"/>
          </w:tcPr>
          <w:p w14:paraId="53836270" w14:textId="594C1F55" w:rsidR="005329BD" w:rsidRPr="00934F2C" w:rsidRDefault="005329BD" w:rsidP="005329BD">
            <w:pPr>
              <w:spacing w:line="240" w:lineRule="auto"/>
              <w:jc w:val="center"/>
              <w:rPr>
                <w:sz w:val="22"/>
              </w:rPr>
            </w:pPr>
            <w:r w:rsidRPr="003E48BD">
              <w:rPr>
                <w:sz w:val="22"/>
                <w:szCs w:val="20"/>
              </w:rPr>
              <w:t>20.73</w:t>
            </w:r>
          </w:p>
        </w:tc>
        <w:tc>
          <w:tcPr>
            <w:tcW w:w="2468" w:type="dxa"/>
            <w:vAlign w:val="center"/>
          </w:tcPr>
          <w:p w14:paraId="726453C0" w14:textId="77777777" w:rsidR="005329BD" w:rsidRPr="00901065" w:rsidRDefault="005329BD" w:rsidP="005329BD">
            <w:pPr>
              <w:spacing w:line="240" w:lineRule="auto"/>
              <w:jc w:val="center"/>
              <w:rPr>
                <w:b/>
                <w:bCs/>
                <w:sz w:val="22"/>
              </w:rPr>
            </w:pPr>
            <w:r>
              <w:rPr>
                <w:color w:val="000000"/>
                <w:sz w:val="22"/>
              </w:rPr>
              <w:t xml:space="preserve">$56,035 </w:t>
            </w:r>
          </w:p>
        </w:tc>
        <w:tc>
          <w:tcPr>
            <w:tcW w:w="2468" w:type="dxa"/>
            <w:vAlign w:val="center"/>
          </w:tcPr>
          <w:p w14:paraId="0DEDF0A1" w14:textId="585ADA9E" w:rsidR="005329BD" w:rsidRPr="00D428F2" w:rsidRDefault="005329BD" w:rsidP="005329BD">
            <w:pPr>
              <w:spacing w:line="240" w:lineRule="auto"/>
              <w:jc w:val="center"/>
              <w:rPr>
                <w:sz w:val="22"/>
                <w:szCs w:val="20"/>
              </w:rPr>
            </w:pPr>
            <w:r w:rsidRPr="00716965">
              <w:rPr>
                <w:color w:val="000000"/>
                <w:sz w:val="22"/>
                <w:szCs w:val="20"/>
              </w:rPr>
              <w:t xml:space="preserve">$1,161,467 </w:t>
            </w:r>
          </w:p>
        </w:tc>
      </w:tr>
      <w:tr w:rsidR="005329BD" w14:paraId="78EAD41F" w14:textId="77777777" w:rsidTr="00716965">
        <w:trPr>
          <w:trHeight w:val="233"/>
        </w:trPr>
        <w:tc>
          <w:tcPr>
            <w:tcW w:w="2468" w:type="dxa"/>
          </w:tcPr>
          <w:p w14:paraId="171A0119" w14:textId="77777777" w:rsidR="005329BD" w:rsidRPr="00934F2C" w:rsidRDefault="005329BD" w:rsidP="005329BD">
            <w:pPr>
              <w:spacing w:line="240" w:lineRule="auto"/>
              <w:rPr>
                <w:b/>
                <w:bCs/>
                <w:sz w:val="22"/>
              </w:rPr>
            </w:pPr>
            <w:r w:rsidRPr="00934F2C">
              <w:rPr>
                <w:color w:val="000000"/>
                <w:sz w:val="22"/>
              </w:rPr>
              <w:t>MAIS 2</w:t>
            </w:r>
          </w:p>
        </w:tc>
        <w:tc>
          <w:tcPr>
            <w:tcW w:w="2468" w:type="dxa"/>
          </w:tcPr>
          <w:p w14:paraId="5BA8D673" w14:textId="3081B7F7" w:rsidR="005329BD" w:rsidRPr="00934F2C" w:rsidRDefault="005329BD" w:rsidP="005329BD">
            <w:pPr>
              <w:spacing w:line="240" w:lineRule="auto"/>
              <w:jc w:val="center"/>
              <w:rPr>
                <w:sz w:val="22"/>
              </w:rPr>
            </w:pPr>
            <w:r w:rsidRPr="003E48BD">
              <w:rPr>
                <w:sz w:val="22"/>
                <w:szCs w:val="20"/>
              </w:rPr>
              <w:t>120.00</w:t>
            </w:r>
          </w:p>
        </w:tc>
        <w:tc>
          <w:tcPr>
            <w:tcW w:w="2468" w:type="dxa"/>
            <w:vAlign w:val="center"/>
          </w:tcPr>
          <w:p w14:paraId="7737E6B8" w14:textId="77777777" w:rsidR="005329BD" w:rsidRPr="00901065" w:rsidRDefault="005329BD" w:rsidP="005329BD">
            <w:pPr>
              <w:spacing w:line="240" w:lineRule="auto"/>
              <w:jc w:val="center"/>
              <w:rPr>
                <w:b/>
                <w:bCs/>
                <w:sz w:val="22"/>
              </w:rPr>
            </w:pPr>
            <w:r>
              <w:rPr>
                <w:color w:val="000000"/>
                <w:sz w:val="22"/>
              </w:rPr>
              <w:t xml:space="preserve">$553,146 </w:t>
            </w:r>
          </w:p>
        </w:tc>
        <w:tc>
          <w:tcPr>
            <w:tcW w:w="2468" w:type="dxa"/>
            <w:vAlign w:val="center"/>
          </w:tcPr>
          <w:p w14:paraId="369B2518" w14:textId="7B7B4D07" w:rsidR="005329BD" w:rsidRPr="00D428F2" w:rsidRDefault="005329BD" w:rsidP="005329BD">
            <w:pPr>
              <w:spacing w:line="240" w:lineRule="auto"/>
              <w:jc w:val="center"/>
              <w:rPr>
                <w:sz w:val="22"/>
                <w:szCs w:val="20"/>
              </w:rPr>
            </w:pPr>
            <w:r w:rsidRPr="00716965">
              <w:rPr>
                <w:color w:val="000000"/>
                <w:sz w:val="22"/>
                <w:szCs w:val="20"/>
              </w:rPr>
              <w:t xml:space="preserve">$66,379,677 </w:t>
            </w:r>
          </w:p>
        </w:tc>
      </w:tr>
      <w:tr w:rsidR="005329BD" w14:paraId="05D5CDAB" w14:textId="77777777" w:rsidTr="00716965">
        <w:trPr>
          <w:trHeight w:val="248"/>
        </w:trPr>
        <w:tc>
          <w:tcPr>
            <w:tcW w:w="2468" w:type="dxa"/>
          </w:tcPr>
          <w:p w14:paraId="63D89143" w14:textId="77777777" w:rsidR="005329BD" w:rsidRPr="00934F2C" w:rsidRDefault="005329BD" w:rsidP="005329BD">
            <w:pPr>
              <w:spacing w:line="240" w:lineRule="auto"/>
              <w:rPr>
                <w:b/>
                <w:bCs/>
                <w:color w:val="000000"/>
                <w:sz w:val="22"/>
              </w:rPr>
            </w:pPr>
            <w:r w:rsidRPr="00934F2C">
              <w:rPr>
                <w:sz w:val="22"/>
              </w:rPr>
              <w:t>MAIS 3</w:t>
            </w:r>
          </w:p>
        </w:tc>
        <w:tc>
          <w:tcPr>
            <w:tcW w:w="2468" w:type="dxa"/>
          </w:tcPr>
          <w:p w14:paraId="064995AE" w14:textId="4446FEA1" w:rsidR="005329BD" w:rsidRPr="00934F2C" w:rsidRDefault="005329BD" w:rsidP="005329BD">
            <w:pPr>
              <w:spacing w:line="240" w:lineRule="auto"/>
              <w:jc w:val="center"/>
              <w:rPr>
                <w:sz w:val="22"/>
              </w:rPr>
            </w:pPr>
            <w:r w:rsidRPr="003E48BD">
              <w:rPr>
                <w:sz w:val="22"/>
                <w:szCs w:val="20"/>
              </w:rPr>
              <w:t>21.55</w:t>
            </w:r>
          </w:p>
        </w:tc>
        <w:tc>
          <w:tcPr>
            <w:tcW w:w="2468" w:type="dxa"/>
            <w:vAlign w:val="center"/>
          </w:tcPr>
          <w:p w14:paraId="4FFFDB9F" w14:textId="77777777" w:rsidR="005329BD" w:rsidRPr="00901065" w:rsidRDefault="005329BD" w:rsidP="005329BD">
            <w:pPr>
              <w:spacing w:line="240" w:lineRule="auto"/>
              <w:jc w:val="center"/>
              <w:rPr>
                <w:b/>
                <w:bCs/>
                <w:sz w:val="22"/>
              </w:rPr>
            </w:pPr>
            <w:r>
              <w:rPr>
                <w:color w:val="000000"/>
                <w:sz w:val="22"/>
              </w:rPr>
              <w:t xml:space="preserve">$1,307,335 </w:t>
            </w:r>
          </w:p>
        </w:tc>
        <w:tc>
          <w:tcPr>
            <w:tcW w:w="2468" w:type="dxa"/>
            <w:vAlign w:val="center"/>
          </w:tcPr>
          <w:p w14:paraId="2599516F" w14:textId="72A32E57" w:rsidR="005329BD" w:rsidRPr="00D428F2" w:rsidRDefault="005329BD" w:rsidP="005329BD">
            <w:pPr>
              <w:spacing w:line="240" w:lineRule="auto"/>
              <w:jc w:val="center"/>
              <w:rPr>
                <w:sz w:val="22"/>
                <w:szCs w:val="20"/>
              </w:rPr>
            </w:pPr>
            <w:r w:rsidRPr="00716965">
              <w:rPr>
                <w:color w:val="000000"/>
                <w:sz w:val="22"/>
                <w:szCs w:val="20"/>
              </w:rPr>
              <w:t xml:space="preserve">$28,177,057 </w:t>
            </w:r>
          </w:p>
        </w:tc>
      </w:tr>
      <w:tr w:rsidR="005329BD" w14:paraId="121E9228" w14:textId="77777777" w:rsidTr="00716965">
        <w:trPr>
          <w:trHeight w:val="233"/>
        </w:trPr>
        <w:tc>
          <w:tcPr>
            <w:tcW w:w="2468" w:type="dxa"/>
          </w:tcPr>
          <w:p w14:paraId="763FD164" w14:textId="77777777" w:rsidR="005329BD" w:rsidRPr="00934F2C" w:rsidRDefault="005329BD" w:rsidP="005329BD">
            <w:pPr>
              <w:spacing w:line="240" w:lineRule="auto"/>
              <w:rPr>
                <w:b/>
                <w:bCs/>
                <w:sz w:val="22"/>
              </w:rPr>
            </w:pPr>
            <w:r w:rsidRPr="00934F2C">
              <w:rPr>
                <w:color w:val="000000"/>
                <w:sz w:val="22"/>
              </w:rPr>
              <w:t>MAIS 4</w:t>
            </w:r>
          </w:p>
        </w:tc>
        <w:tc>
          <w:tcPr>
            <w:tcW w:w="2468" w:type="dxa"/>
          </w:tcPr>
          <w:p w14:paraId="0950D2FB" w14:textId="7935C739" w:rsidR="005329BD" w:rsidRPr="00934F2C" w:rsidRDefault="005329BD" w:rsidP="005329BD">
            <w:pPr>
              <w:spacing w:line="240" w:lineRule="auto"/>
              <w:jc w:val="center"/>
              <w:rPr>
                <w:sz w:val="22"/>
              </w:rPr>
            </w:pPr>
            <w:r w:rsidRPr="003E48BD">
              <w:rPr>
                <w:sz w:val="22"/>
                <w:szCs w:val="20"/>
              </w:rPr>
              <w:t>17.42</w:t>
            </w:r>
          </w:p>
        </w:tc>
        <w:tc>
          <w:tcPr>
            <w:tcW w:w="2468" w:type="dxa"/>
            <w:vAlign w:val="center"/>
          </w:tcPr>
          <w:p w14:paraId="7CBA9F27" w14:textId="77777777" w:rsidR="005329BD" w:rsidRPr="00901065" w:rsidRDefault="005329BD" w:rsidP="005329BD">
            <w:pPr>
              <w:spacing w:line="240" w:lineRule="auto"/>
              <w:jc w:val="center"/>
              <w:rPr>
                <w:b/>
                <w:bCs/>
                <w:sz w:val="22"/>
              </w:rPr>
            </w:pPr>
            <w:r>
              <w:rPr>
                <w:color w:val="000000"/>
                <w:sz w:val="22"/>
              </w:rPr>
              <w:t xml:space="preserve">$3,215,701 </w:t>
            </w:r>
          </w:p>
        </w:tc>
        <w:tc>
          <w:tcPr>
            <w:tcW w:w="2468" w:type="dxa"/>
            <w:vAlign w:val="center"/>
          </w:tcPr>
          <w:p w14:paraId="1E788F4F" w14:textId="1F28CD38" w:rsidR="005329BD" w:rsidRPr="00D428F2" w:rsidRDefault="005329BD" w:rsidP="005329BD">
            <w:pPr>
              <w:spacing w:line="240" w:lineRule="auto"/>
              <w:jc w:val="center"/>
              <w:rPr>
                <w:sz w:val="22"/>
                <w:szCs w:val="20"/>
              </w:rPr>
            </w:pPr>
            <w:r w:rsidRPr="00716965">
              <w:rPr>
                <w:color w:val="000000"/>
                <w:sz w:val="22"/>
                <w:szCs w:val="20"/>
              </w:rPr>
              <w:t xml:space="preserve">$56,006,096 </w:t>
            </w:r>
          </w:p>
        </w:tc>
      </w:tr>
      <w:tr w:rsidR="005329BD" w14:paraId="38F21178" w14:textId="77777777" w:rsidTr="00716965">
        <w:trPr>
          <w:trHeight w:val="248"/>
        </w:trPr>
        <w:tc>
          <w:tcPr>
            <w:tcW w:w="2468" w:type="dxa"/>
          </w:tcPr>
          <w:p w14:paraId="39D9D4CF" w14:textId="77777777" w:rsidR="005329BD" w:rsidRPr="00934F2C" w:rsidRDefault="005329BD" w:rsidP="005329BD">
            <w:pPr>
              <w:spacing w:line="240" w:lineRule="auto"/>
              <w:rPr>
                <w:b/>
                <w:bCs/>
                <w:color w:val="000000"/>
                <w:sz w:val="22"/>
              </w:rPr>
            </w:pPr>
            <w:r w:rsidRPr="00934F2C">
              <w:rPr>
                <w:sz w:val="22"/>
              </w:rPr>
              <w:t>MAIS 5</w:t>
            </w:r>
          </w:p>
        </w:tc>
        <w:tc>
          <w:tcPr>
            <w:tcW w:w="2468" w:type="dxa"/>
          </w:tcPr>
          <w:p w14:paraId="74C5DF97" w14:textId="7B55AC64" w:rsidR="005329BD" w:rsidRPr="00934F2C" w:rsidRDefault="005329BD" w:rsidP="005329BD">
            <w:pPr>
              <w:spacing w:line="240" w:lineRule="auto"/>
              <w:jc w:val="center"/>
              <w:rPr>
                <w:sz w:val="22"/>
              </w:rPr>
            </w:pPr>
            <w:r w:rsidRPr="003E48BD">
              <w:rPr>
                <w:sz w:val="22"/>
                <w:szCs w:val="20"/>
              </w:rPr>
              <w:t>0.50</w:t>
            </w:r>
          </w:p>
        </w:tc>
        <w:tc>
          <w:tcPr>
            <w:tcW w:w="2468" w:type="dxa"/>
            <w:vAlign w:val="center"/>
          </w:tcPr>
          <w:p w14:paraId="661F8E40" w14:textId="77777777" w:rsidR="005329BD" w:rsidRPr="00901065" w:rsidRDefault="005329BD" w:rsidP="005329BD">
            <w:pPr>
              <w:spacing w:line="240" w:lineRule="auto"/>
              <w:jc w:val="center"/>
              <w:rPr>
                <w:b/>
                <w:bCs/>
                <w:sz w:val="22"/>
              </w:rPr>
            </w:pPr>
            <w:r>
              <w:rPr>
                <w:color w:val="000000"/>
                <w:sz w:val="22"/>
              </w:rPr>
              <w:t xml:space="preserve">$7,327,043 </w:t>
            </w:r>
          </w:p>
        </w:tc>
        <w:tc>
          <w:tcPr>
            <w:tcW w:w="2468" w:type="dxa"/>
            <w:vAlign w:val="center"/>
          </w:tcPr>
          <w:p w14:paraId="63A12AC1" w14:textId="20C36A5F" w:rsidR="005329BD" w:rsidRPr="00D428F2" w:rsidRDefault="005329BD" w:rsidP="005329BD">
            <w:pPr>
              <w:spacing w:line="240" w:lineRule="auto"/>
              <w:jc w:val="center"/>
              <w:rPr>
                <w:sz w:val="22"/>
                <w:szCs w:val="20"/>
              </w:rPr>
            </w:pPr>
            <w:r w:rsidRPr="00716965">
              <w:rPr>
                <w:color w:val="000000"/>
                <w:sz w:val="22"/>
                <w:szCs w:val="20"/>
              </w:rPr>
              <w:t xml:space="preserve">$3,695,394 </w:t>
            </w:r>
          </w:p>
        </w:tc>
      </w:tr>
      <w:tr w:rsidR="005329BD" w14:paraId="19D7B304" w14:textId="77777777" w:rsidTr="00716965">
        <w:trPr>
          <w:trHeight w:val="233"/>
        </w:trPr>
        <w:tc>
          <w:tcPr>
            <w:tcW w:w="2468" w:type="dxa"/>
          </w:tcPr>
          <w:p w14:paraId="3994FCE4" w14:textId="77777777" w:rsidR="005329BD" w:rsidRPr="00934F2C" w:rsidRDefault="005329BD" w:rsidP="005329BD">
            <w:pPr>
              <w:spacing w:line="240" w:lineRule="auto"/>
              <w:rPr>
                <w:b/>
                <w:bCs/>
                <w:sz w:val="22"/>
              </w:rPr>
            </w:pPr>
            <w:r w:rsidRPr="00934F2C">
              <w:rPr>
                <w:color w:val="000000"/>
                <w:sz w:val="22"/>
              </w:rPr>
              <w:t>Fatalities</w:t>
            </w:r>
          </w:p>
        </w:tc>
        <w:tc>
          <w:tcPr>
            <w:tcW w:w="2468" w:type="dxa"/>
          </w:tcPr>
          <w:p w14:paraId="23B67791" w14:textId="03D483AD" w:rsidR="005329BD" w:rsidRPr="00934F2C" w:rsidRDefault="005329BD" w:rsidP="005329BD">
            <w:pPr>
              <w:spacing w:line="240" w:lineRule="auto"/>
              <w:jc w:val="center"/>
              <w:rPr>
                <w:sz w:val="22"/>
              </w:rPr>
            </w:pPr>
            <w:r w:rsidRPr="003E48BD">
              <w:rPr>
                <w:sz w:val="22"/>
                <w:szCs w:val="20"/>
              </w:rPr>
              <w:t>65.89</w:t>
            </w:r>
          </w:p>
        </w:tc>
        <w:tc>
          <w:tcPr>
            <w:tcW w:w="2468" w:type="dxa"/>
            <w:vAlign w:val="center"/>
          </w:tcPr>
          <w:p w14:paraId="2A15CD1E" w14:textId="77777777" w:rsidR="005329BD" w:rsidRPr="00901065" w:rsidRDefault="005329BD" w:rsidP="005329BD">
            <w:pPr>
              <w:spacing w:line="240" w:lineRule="auto"/>
              <w:jc w:val="center"/>
              <w:rPr>
                <w:b/>
                <w:bCs/>
                <w:sz w:val="22"/>
              </w:rPr>
            </w:pPr>
            <w:r>
              <w:rPr>
                <w:color w:val="000000"/>
                <w:sz w:val="22"/>
              </w:rPr>
              <w:t xml:space="preserve">$11,950,834 </w:t>
            </w:r>
          </w:p>
        </w:tc>
        <w:tc>
          <w:tcPr>
            <w:tcW w:w="2468" w:type="dxa"/>
            <w:vAlign w:val="center"/>
          </w:tcPr>
          <w:p w14:paraId="216AD0C4" w14:textId="0ACC2A11" w:rsidR="005329BD" w:rsidRPr="00D428F2" w:rsidRDefault="005329BD" w:rsidP="005329BD">
            <w:pPr>
              <w:spacing w:line="240" w:lineRule="auto"/>
              <w:jc w:val="center"/>
              <w:rPr>
                <w:sz w:val="22"/>
                <w:szCs w:val="20"/>
              </w:rPr>
            </w:pPr>
            <w:r w:rsidRPr="00716965">
              <w:rPr>
                <w:color w:val="000000"/>
                <w:sz w:val="22"/>
                <w:szCs w:val="20"/>
              </w:rPr>
              <w:t xml:space="preserve">$787,497,370 </w:t>
            </w:r>
          </w:p>
        </w:tc>
      </w:tr>
      <w:tr w:rsidR="00A15C2C" w14:paraId="10409086" w14:textId="77777777" w:rsidTr="00DE6F57">
        <w:trPr>
          <w:trHeight w:val="233"/>
        </w:trPr>
        <w:tc>
          <w:tcPr>
            <w:tcW w:w="2468" w:type="dxa"/>
            <w:tcBorders>
              <w:right w:val="single" w:sz="4" w:space="0" w:color="FFFFFF" w:themeColor="background1"/>
            </w:tcBorders>
            <w:vAlign w:val="center"/>
          </w:tcPr>
          <w:p w14:paraId="02FB62B2" w14:textId="77777777" w:rsidR="00A21468" w:rsidRPr="00934F2C" w:rsidRDefault="000F5B51" w:rsidP="00D973B8">
            <w:pPr>
              <w:spacing w:line="240" w:lineRule="auto"/>
              <w:rPr>
                <w:b/>
                <w:bCs/>
                <w:color w:val="000000"/>
              </w:rPr>
            </w:pPr>
            <w:r w:rsidRPr="00934F2C">
              <w:rPr>
                <w:b/>
                <w:bCs/>
                <w:color w:val="000000"/>
              </w:rPr>
              <w:t>Total</w:t>
            </w:r>
            <w:r w:rsidR="00E17C1F">
              <w:rPr>
                <w:b/>
                <w:bCs/>
                <w:color w:val="000000"/>
              </w:rPr>
              <w:t>, Drivers</w:t>
            </w:r>
            <w:r>
              <w:rPr>
                <w:b/>
                <w:bCs/>
                <w:color w:val="000000"/>
              </w:rPr>
              <w:t xml:space="preserve"> </w:t>
            </w:r>
          </w:p>
        </w:tc>
        <w:tc>
          <w:tcPr>
            <w:tcW w:w="2468" w:type="dxa"/>
            <w:tcBorders>
              <w:left w:val="single" w:sz="4" w:space="0" w:color="FFFFFF" w:themeColor="background1"/>
              <w:right w:val="single" w:sz="4" w:space="0" w:color="FFFFFF" w:themeColor="background1"/>
            </w:tcBorders>
            <w:vAlign w:val="center"/>
          </w:tcPr>
          <w:p w14:paraId="0105E9A9" w14:textId="77777777" w:rsidR="00A21468" w:rsidRPr="00334AE5" w:rsidRDefault="000F5B51" w:rsidP="00A21468">
            <w:pPr>
              <w:spacing w:line="240" w:lineRule="auto"/>
              <w:jc w:val="center"/>
              <w:rPr>
                <w:b/>
                <w:bCs/>
              </w:rPr>
            </w:pPr>
            <w:r>
              <w:rPr>
                <w:b/>
                <w:bCs/>
                <w:color w:val="000000"/>
              </w:rPr>
              <w:t> </w:t>
            </w:r>
          </w:p>
        </w:tc>
        <w:tc>
          <w:tcPr>
            <w:tcW w:w="2468" w:type="dxa"/>
            <w:tcBorders>
              <w:left w:val="single" w:sz="4" w:space="0" w:color="FFFFFF" w:themeColor="background1"/>
              <w:right w:val="single" w:sz="4" w:space="0" w:color="FFFFFF" w:themeColor="background1"/>
            </w:tcBorders>
            <w:vAlign w:val="center"/>
          </w:tcPr>
          <w:p w14:paraId="5AE1A534" w14:textId="77777777" w:rsidR="00A21468" w:rsidRPr="00D56CE7" w:rsidRDefault="000F5B51" w:rsidP="00A21468">
            <w:pPr>
              <w:spacing w:line="240" w:lineRule="auto"/>
              <w:jc w:val="center"/>
              <w:rPr>
                <w:rFonts w:ascii="Calibri" w:hAnsi="Calibri" w:cs="Calibri"/>
                <w:b/>
                <w:bCs/>
                <w:color w:val="000000" w:themeColor="text1"/>
                <w:sz w:val="22"/>
              </w:rPr>
            </w:pPr>
            <w:r>
              <w:rPr>
                <w:rFonts w:ascii="Calibri" w:hAnsi="Calibri" w:cs="Calibri"/>
                <w:b/>
                <w:bCs/>
                <w:color w:val="000000"/>
              </w:rPr>
              <w:t> </w:t>
            </w:r>
          </w:p>
        </w:tc>
        <w:tc>
          <w:tcPr>
            <w:tcW w:w="2468" w:type="dxa"/>
            <w:tcBorders>
              <w:left w:val="single" w:sz="4" w:space="0" w:color="FFFFFF" w:themeColor="background1"/>
            </w:tcBorders>
          </w:tcPr>
          <w:p w14:paraId="1D8B9E31" w14:textId="557673B7" w:rsidR="00A21468" w:rsidRPr="00897AED" w:rsidRDefault="005329BD" w:rsidP="00A21468">
            <w:pPr>
              <w:spacing w:line="240" w:lineRule="auto"/>
              <w:jc w:val="center"/>
              <w:rPr>
                <w:rFonts w:cs="Times New Roman"/>
                <w:b/>
                <w:bCs/>
                <w:color w:val="000000"/>
              </w:rPr>
            </w:pPr>
            <w:r w:rsidRPr="005329BD">
              <w:rPr>
                <w:b/>
                <w:bCs/>
              </w:rPr>
              <w:t xml:space="preserve">$942,917,061 </w:t>
            </w:r>
          </w:p>
        </w:tc>
      </w:tr>
    </w:tbl>
    <w:p w14:paraId="17F52C8A" w14:textId="47D48A14" w:rsidR="0067363A" w:rsidRDefault="000F5B51" w:rsidP="0067363A">
      <w:pPr>
        <w:spacing w:after="0"/>
        <w:contextualSpacing/>
        <w:rPr>
          <w:rFonts w:cs="Times New Roman"/>
          <w:sz w:val="18"/>
          <w:szCs w:val="18"/>
        </w:rPr>
      </w:pPr>
      <w:r w:rsidRPr="00934F2C">
        <w:rPr>
          <w:rFonts w:cs="Times New Roman"/>
          <w:sz w:val="18"/>
          <w:szCs w:val="18"/>
        </w:rPr>
        <w:t xml:space="preserve">Note: </w:t>
      </w:r>
      <w:r w:rsidR="00496220">
        <w:rPr>
          <w:rFonts w:cs="Times New Roman"/>
          <w:sz w:val="18"/>
          <w:szCs w:val="18"/>
        </w:rPr>
        <w:t>V</w:t>
      </w:r>
      <w:r w:rsidRPr="00934F2C">
        <w:rPr>
          <w:rFonts w:cs="Times New Roman"/>
          <w:sz w:val="18"/>
          <w:szCs w:val="18"/>
        </w:rPr>
        <w:t>alues may not sum due to rounding.</w:t>
      </w:r>
    </w:p>
    <w:p w14:paraId="33BA6507" w14:textId="3AEF7EB7" w:rsidR="005B15EC" w:rsidRDefault="000F5B51" w:rsidP="0067363A">
      <w:pPr>
        <w:spacing w:after="0"/>
        <w:contextualSpacing/>
        <w:rPr>
          <w:rFonts w:cs="Times New Roman"/>
          <w:szCs w:val="24"/>
        </w:rPr>
      </w:pPr>
      <w:r>
        <w:rPr>
          <w:rFonts w:cs="Times New Roman"/>
          <w:sz w:val="18"/>
          <w:szCs w:val="18"/>
        </w:rPr>
        <w:fldChar w:fldCharType="begin"/>
      </w:r>
      <w:r>
        <w:rPr>
          <w:rFonts w:cs="Times New Roman"/>
          <w:sz w:val="18"/>
          <w:szCs w:val="18"/>
        </w:rPr>
        <w:instrText xml:space="preserve"> REF _Ref126847937 \h </w:instrText>
      </w:r>
      <w:r>
        <w:rPr>
          <w:rFonts w:cs="Times New Roman"/>
          <w:sz w:val="18"/>
          <w:szCs w:val="18"/>
        </w:rPr>
      </w:r>
      <w:r>
        <w:rPr>
          <w:rFonts w:cs="Times New Roman"/>
          <w:sz w:val="18"/>
          <w:szCs w:val="18"/>
        </w:rPr>
        <w:fldChar w:fldCharType="separate"/>
      </w:r>
      <w:r w:rsidR="00A65CB3">
        <w:t xml:space="preserve">Table </w:t>
      </w:r>
      <w:r w:rsidR="00A65CB3">
        <w:rPr>
          <w:noProof/>
        </w:rPr>
        <w:t>75</w:t>
      </w:r>
      <w:r>
        <w:rPr>
          <w:rFonts w:cs="Times New Roman"/>
          <w:sz w:val="18"/>
          <w:szCs w:val="18"/>
        </w:rPr>
        <w:fldChar w:fldCharType="end"/>
      </w:r>
      <w:r w:rsidR="001D047F">
        <w:rPr>
          <w:rFonts w:cs="Times New Roman"/>
          <w:sz w:val="18"/>
          <w:szCs w:val="18"/>
        </w:rPr>
        <w:t xml:space="preserve"> </w:t>
      </w:r>
      <w:r w:rsidR="001D047F">
        <w:rPr>
          <w:rFonts w:cs="Times New Roman"/>
          <w:szCs w:val="24"/>
        </w:rPr>
        <w:t>presents the calculations of monetized benefits for right front seat occupants</w:t>
      </w:r>
      <w:r w:rsidR="001F2F92">
        <w:rPr>
          <w:rFonts w:cs="Times New Roman"/>
          <w:szCs w:val="24"/>
        </w:rPr>
        <w:t xml:space="preserve">. </w:t>
      </w:r>
      <w:r w:rsidR="001D047F">
        <w:rPr>
          <w:rFonts w:cs="Times New Roman"/>
          <w:szCs w:val="24"/>
        </w:rPr>
        <w:t>Monetized benefits resulting from the increase in seat belt use for right front seat occupants from the indefinite warning are estimated at approximately $</w:t>
      </w:r>
      <w:r w:rsidR="008A71D0">
        <w:rPr>
          <w:rFonts w:cs="Times New Roman"/>
          <w:szCs w:val="24"/>
        </w:rPr>
        <w:t>163</w:t>
      </w:r>
      <w:r w:rsidR="001D047F">
        <w:rPr>
          <w:rFonts w:cs="Times New Roman"/>
          <w:szCs w:val="24"/>
        </w:rPr>
        <w:t xml:space="preserve"> million</w:t>
      </w:r>
      <w:r w:rsidR="001F2F92">
        <w:rPr>
          <w:rFonts w:cs="Times New Roman"/>
          <w:szCs w:val="24"/>
        </w:rPr>
        <w:t xml:space="preserve">. </w:t>
      </w:r>
      <w:r w:rsidR="001D047F">
        <w:rPr>
          <w:rFonts w:cs="Times New Roman"/>
          <w:szCs w:val="24"/>
        </w:rPr>
        <w:t>Of that total, monetized benefits specific to passenger cars are estimated at approximately $</w:t>
      </w:r>
      <w:r w:rsidR="0034208D">
        <w:rPr>
          <w:rFonts w:cs="Times New Roman"/>
          <w:szCs w:val="24"/>
        </w:rPr>
        <w:t>80</w:t>
      </w:r>
      <w:r w:rsidR="001D047F">
        <w:rPr>
          <w:rFonts w:cs="Times New Roman"/>
          <w:szCs w:val="24"/>
        </w:rPr>
        <w:t xml:space="preserve"> and approximately $</w:t>
      </w:r>
      <w:r w:rsidR="0034208D">
        <w:rPr>
          <w:rFonts w:cs="Times New Roman"/>
          <w:szCs w:val="24"/>
        </w:rPr>
        <w:t>83</w:t>
      </w:r>
      <w:r w:rsidR="001D047F">
        <w:rPr>
          <w:rFonts w:cs="Times New Roman"/>
          <w:szCs w:val="24"/>
        </w:rPr>
        <w:t xml:space="preserve"> million for LTVs. </w:t>
      </w:r>
    </w:p>
    <w:p w14:paraId="6ADD5E06" w14:textId="50E580E4" w:rsidR="00F1151E" w:rsidRDefault="00F1151E" w:rsidP="0067363A">
      <w:pPr>
        <w:spacing w:after="0"/>
        <w:contextualSpacing/>
        <w:rPr>
          <w:rFonts w:cs="Times New Roman"/>
          <w:szCs w:val="24"/>
        </w:rPr>
      </w:pPr>
    </w:p>
    <w:p w14:paraId="0F8E7F93" w14:textId="78471D26" w:rsidR="00F1151E" w:rsidRDefault="00F1151E" w:rsidP="0067363A">
      <w:pPr>
        <w:spacing w:after="0"/>
        <w:contextualSpacing/>
        <w:rPr>
          <w:rFonts w:cs="Times New Roman"/>
          <w:szCs w:val="24"/>
        </w:rPr>
      </w:pPr>
    </w:p>
    <w:p w14:paraId="5B363636" w14:textId="522E4F8D" w:rsidR="00F1151E" w:rsidRDefault="00F1151E" w:rsidP="0067363A">
      <w:pPr>
        <w:spacing w:after="0"/>
        <w:contextualSpacing/>
        <w:rPr>
          <w:rFonts w:cs="Times New Roman"/>
          <w:szCs w:val="24"/>
        </w:rPr>
      </w:pPr>
    </w:p>
    <w:p w14:paraId="55AEC1FE" w14:textId="1F0E77DA" w:rsidR="00F1151E" w:rsidRDefault="00F1151E" w:rsidP="0067363A">
      <w:pPr>
        <w:spacing w:after="0"/>
        <w:contextualSpacing/>
        <w:rPr>
          <w:rFonts w:cs="Times New Roman"/>
          <w:szCs w:val="24"/>
        </w:rPr>
      </w:pPr>
    </w:p>
    <w:p w14:paraId="0918A1EB" w14:textId="77777777" w:rsidR="00F1151E" w:rsidRDefault="00F1151E" w:rsidP="0067363A">
      <w:pPr>
        <w:spacing w:after="0"/>
        <w:contextualSpacing/>
        <w:rPr>
          <w:rFonts w:cs="Times New Roman"/>
          <w:sz w:val="18"/>
          <w:szCs w:val="18"/>
        </w:rPr>
      </w:pPr>
    </w:p>
    <w:p w14:paraId="10C28E8B" w14:textId="1E4BBAE5" w:rsidR="00472C07" w:rsidRDefault="000F5B51" w:rsidP="00472C07">
      <w:pPr>
        <w:pStyle w:val="Caption"/>
        <w:rPr>
          <w:rFonts w:eastAsia="Times New Roman" w:cs="Times New Roman"/>
          <w:szCs w:val="24"/>
        </w:rPr>
      </w:pPr>
      <w:bookmarkStart w:id="1557" w:name="_Ref126847937"/>
      <w:r>
        <w:lastRenderedPageBreak/>
        <w:t xml:space="preserve">Table </w:t>
      </w:r>
      <w:r w:rsidR="00115BAB">
        <w:fldChar w:fldCharType="begin"/>
      </w:r>
      <w:r>
        <w:instrText xml:space="preserve"> SEQ Table \* ARABIC </w:instrText>
      </w:r>
      <w:r w:rsidR="00115BAB">
        <w:fldChar w:fldCharType="separate"/>
      </w:r>
      <w:r w:rsidR="00A65CB3">
        <w:rPr>
          <w:noProof/>
        </w:rPr>
        <w:t>75</w:t>
      </w:r>
      <w:r w:rsidR="00115BAB">
        <w:rPr>
          <w:noProof/>
        </w:rPr>
        <w:fldChar w:fldCharType="end"/>
      </w:r>
      <w:bookmarkEnd w:id="1557"/>
      <w:r>
        <w:t xml:space="preserve">: Calculation of Monetized Benefits for </w:t>
      </w:r>
      <w:r w:rsidR="0054321D">
        <w:t xml:space="preserve">Right </w:t>
      </w:r>
      <w:r>
        <w:t>Front Seat Occupants</w:t>
      </w:r>
    </w:p>
    <w:tbl>
      <w:tblPr>
        <w:tblStyle w:val="TableGrid"/>
        <w:tblW w:w="9872" w:type="dxa"/>
        <w:tblLook w:val="04A0" w:firstRow="1" w:lastRow="0" w:firstColumn="1" w:lastColumn="0" w:noHBand="0" w:noVBand="1"/>
      </w:tblPr>
      <w:tblGrid>
        <w:gridCol w:w="2468"/>
        <w:gridCol w:w="2468"/>
        <w:gridCol w:w="2468"/>
        <w:gridCol w:w="2468"/>
      </w:tblGrid>
      <w:tr w:rsidR="00A15C2C" w14:paraId="30273BC6" w14:textId="77777777" w:rsidTr="00D56CE7">
        <w:trPr>
          <w:trHeight w:val="337"/>
        </w:trPr>
        <w:tc>
          <w:tcPr>
            <w:tcW w:w="2468" w:type="dxa"/>
            <w:shd w:val="clear" w:color="auto" w:fill="BFBFBF" w:themeFill="background1" w:themeFillShade="BF"/>
            <w:vAlign w:val="center"/>
          </w:tcPr>
          <w:p w14:paraId="12E32B89" w14:textId="77777777" w:rsidR="00472C07" w:rsidRPr="00A52D46" w:rsidRDefault="000F5B51">
            <w:pPr>
              <w:spacing w:line="240" w:lineRule="auto"/>
              <w:rPr>
                <w:b/>
                <w:bCs/>
              </w:rPr>
            </w:pPr>
            <w:r w:rsidRPr="00A52D46">
              <w:rPr>
                <w:b/>
                <w:bCs/>
              </w:rPr>
              <w:t>Category</w:t>
            </w:r>
          </w:p>
        </w:tc>
        <w:tc>
          <w:tcPr>
            <w:tcW w:w="2468" w:type="dxa"/>
            <w:shd w:val="clear" w:color="auto" w:fill="BFBFBF" w:themeFill="background1" w:themeFillShade="BF"/>
            <w:vAlign w:val="center"/>
          </w:tcPr>
          <w:p w14:paraId="3009F3B9" w14:textId="77777777" w:rsidR="00472C07" w:rsidRPr="00A52D46" w:rsidRDefault="000F5B51">
            <w:pPr>
              <w:spacing w:line="240" w:lineRule="auto"/>
              <w:jc w:val="center"/>
              <w:rPr>
                <w:b/>
                <w:bCs/>
              </w:rPr>
            </w:pPr>
            <w:r w:rsidRPr="00A52D46">
              <w:rPr>
                <w:b/>
                <w:bCs/>
              </w:rPr>
              <w:t>Safety Benefits</w:t>
            </w:r>
          </w:p>
        </w:tc>
        <w:tc>
          <w:tcPr>
            <w:tcW w:w="2468" w:type="dxa"/>
            <w:shd w:val="clear" w:color="auto" w:fill="BFBFBF" w:themeFill="background1" w:themeFillShade="BF"/>
            <w:vAlign w:val="center"/>
          </w:tcPr>
          <w:p w14:paraId="08D7C897" w14:textId="77777777" w:rsidR="00472C07" w:rsidRPr="00A52D46" w:rsidRDefault="000F5B51">
            <w:pPr>
              <w:spacing w:line="240" w:lineRule="auto"/>
              <w:jc w:val="center"/>
              <w:rPr>
                <w:b/>
                <w:bCs/>
              </w:rPr>
            </w:pPr>
            <w:r w:rsidRPr="00A52D46">
              <w:rPr>
                <w:b/>
                <w:bCs/>
              </w:rPr>
              <w:t>Relative Disutility Factors</w:t>
            </w:r>
          </w:p>
        </w:tc>
        <w:tc>
          <w:tcPr>
            <w:tcW w:w="2468" w:type="dxa"/>
            <w:shd w:val="clear" w:color="auto" w:fill="BFBFBF" w:themeFill="background1" w:themeFillShade="BF"/>
            <w:vAlign w:val="center"/>
          </w:tcPr>
          <w:p w14:paraId="59370E2A" w14:textId="77777777" w:rsidR="00472C07" w:rsidRPr="00A52D46" w:rsidRDefault="000F5B51">
            <w:pPr>
              <w:spacing w:line="240" w:lineRule="auto"/>
              <w:jc w:val="center"/>
              <w:rPr>
                <w:b/>
                <w:bCs/>
              </w:rPr>
            </w:pPr>
            <w:r>
              <w:rPr>
                <w:b/>
                <w:bCs/>
              </w:rPr>
              <w:t>Monetized Benefits</w:t>
            </w:r>
          </w:p>
        </w:tc>
      </w:tr>
      <w:tr w:rsidR="00A15C2C" w14:paraId="10642186" w14:textId="77777777" w:rsidTr="00A807D0">
        <w:trPr>
          <w:trHeight w:val="233"/>
        </w:trPr>
        <w:tc>
          <w:tcPr>
            <w:tcW w:w="9872" w:type="dxa"/>
            <w:gridSpan w:val="4"/>
            <w:shd w:val="clear" w:color="auto" w:fill="D9D9D9" w:themeFill="background1" w:themeFillShade="D9"/>
          </w:tcPr>
          <w:p w14:paraId="6C2CDE96" w14:textId="77777777" w:rsidR="00472C07" w:rsidRPr="00934F2C" w:rsidRDefault="000F5B51" w:rsidP="00A807D0">
            <w:pPr>
              <w:spacing w:line="240" w:lineRule="auto"/>
              <w:jc w:val="center"/>
              <w:rPr>
                <w:b/>
                <w:bCs/>
                <w:i/>
                <w:iCs/>
              </w:rPr>
            </w:pPr>
            <w:r>
              <w:rPr>
                <w:b/>
                <w:bCs/>
                <w:i/>
                <w:iCs/>
                <w:sz w:val="22"/>
                <w:szCs w:val="20"/>
              </w:rPr>
              <w:t>Passenger Cars</w:t>
            </w:r>
            <w:r w:rsidRPr="00934F2C">
              <w:rPr>
                <w:b/>
                <w:bCs/>
                <w:i/>
                <w:iCs/>
                <w:sz w:val="22"/>
                <w:szCs w:val="20"/>
              </w:rPr>
              <w:t xml:space="preserve"> </w:t>
            </w:r>
          </w:p>
        </w:tc>
      </w:tr>
      <w:tr w:rsidR="00A15C2C" w14:paraId="0340544A" w14:textId="77777777" w:rsidTr="00D56CE7">
        <w:trPr>
          <w:trHeight w:val="248"/>
        </w:trPr>
        <w:tc>
          <w:tcPr>
            <w:tcW w:w="2468" w:type="dxa"/>
          </w:tcPr>
          <w:p w14:paraId="6C66BD10" w14:textId="77777777" w:rsidR="00701E39" w:rsidRPr="00934F2C" w:rsidRDefault="000F5B51" w:rsidP="00701E39">
            <w:pPr>
              <w:spacing w:line="240" w:lineRule="auto"/>
              <w:rPr>
                <w:b/>
                <w:bCs/>
                <w:sz w:val="22"/>
              </w:rPr>
            </w:pPr>
            <w:r w:rsidRPr="00934F2C">
              <w:rPr>
                <w:sz w:val="22"/>
              </w:rPr>
              <w:t>MAIS 1</w:t>
            </w:r>
          </w:p>
        </w:tc>
        <w:tc>
          <w:tcPr>
            <w:tcW w:w="2468" w:type="dxa"/>
          </w:tcPr>
          <w:p w14:paraId="3C6FEF2C" w14:textId="77777777" w:rsidR="00701E39" w:rsidRPr="00934F2C" w:rsidRDefault="000F5B51" w:rsidP="00701E39">
            <w:pPr>
              <w:spacing w:line="240" w:lineRule="auto"/>
              <w:jc w:val="center"/>
              <w:rPr>
                <w:sz w:val="22"/>
              </w:rPr>
            </w:pPr>
            <w:r w:rsidRPr="0033673E">
              <w:t>2.27</w:t>
            </w:r>
          </w:p>
        </w:tc>
        <w:tc>
          <w:tcPr>
            <w:tcW w:w="2468" w:type="dxa"/>
            <w:vAlign w:val="center"/>
          </w:tcPr>
          <w:p w14:paraId="2D37353D" w14:textId="77777777" w:rsidR="00701E39" w:rsidRPr="00901065" w:rsidRDefault="000F5B51" w:rsidP="00701E39">
            <w:pPr>
              <w:spacing w:line="240" w:lineRule="auto"/>
              <w:jc w:val="center"/>
              <w:rPr>
                <w:sz w:val="22"/>
              </w:rPr>
            </w:pPr>
            <w:r>
              <w:rPr>
                <w:color w:val="000000"/>
                <w:sz w:val="22"/>
              </w:rPr>
              <w:t xml:space="preserve">$56,035 </w:t>
            </w:r>
          </w:p>
        </w:tc>
        <w:tc>
          <w:tcPr>
            <w:tcW w:w="2468" w:type="dxa"/>
          </w:tcPr>
          <w:p w14:paraId="3A023F3A" w14:textId="77777777" w:rsidR="00701E39" w:rsidRPr="00934F2C" w:rsidRDefault="000F5B51" w:rsidP="00701E39">
            <w:pPr>
              <w:spacing w:line="240" w:lineRule="auto"/>
              <w:jc w:val="center"/>
              <w:rPr>
                <w:sz w:val="22"/>
              </w:rPr>
            </w:pPr>
            <w:r w:rsidRPr="00C81E8D">
              <w:t xml:space="preserve">$127,409 </w:t>
            </w:r>
          </w:p>
        </w:tc>
      </w:tr>
      <w:tr w:rsidR="00A15C2C" w14:paraId="13EA6C25" w14:textId="77777777" w:rsidTr="00D56CE7">
        <w:trPr>
          <w:trHeight w:val="233"/>
        </w:trPr>
        <w:tc>
          <w:tcPr>
            <w:tcW w:w="2468" w:type="dxa"/>
          </w:tcPr>
          <w:p w14:paraId="55EE418B" w14:textId="77777777" w:rsidR="00701E39" w:rsidRPr="00934F2C" w:rsidRDefault="000F5B51" w:rsidP="00701E39">
            <w:pPr>
              <w:spacing w:line="240" w:lineRule="auto"/>
              <w:rPr>
                <w:b/>
                <w:bCs/>
                <w:sz w:val="22"/>
              </w:rPr>
            </w:pPr>
            <w:r w:rsidRPr="00934F2C">
              <w:rPr>
                <w:color w:val="000000"/>
                <w:sz w:val="22"/>
              </w:rPr>
              <w:t>MAIS 2</w:t>
            </w:r>
          </w:p>
        </w:tc>
        <w:tc>
          <w:tcPr>
            <w:tcW w:w="2468" w:type="dxa"/>
          </w:tcPr>
          <w:p w14:paraId="30556736" w14:textId="77777777" w:rsidR="00701E39" w:rsidRPr="00934F2C" w:rsidRDefault="000F5B51" w:rsidP="00701E39">
            <w:pPr>
              <w:spacing w:line="240" w:lineRule="auto"/>
              <w:jc w:val="center"/>
              <w:rPr>
                <w:sz w:val="22"/>
              </w:rPr>
            </w:pPr>
            <w:r w:rsidRPr="0033673E">
              <w:t>13.89</w:t>
            </w:r>
          </w:p>
        </w:tc>
        <w:tc>
          <w:tcPr>
            <w:tcW w:w="2468" w:type="dxa"/>
            <w:vAlign w:val="center"/>
          </w:tcPr>
          <w:p w14:paraId="57655ACF" w14:textId="77777777" w:rsidR="00701E39" w:rsidRPr="00901065" w:rsidRDefault="000F5B51" w:rsidP="00701E39">
            <w:pPr>
              <w:spacing w:line="240" w:lineRule="auto"/>
              <w:jc w:val="center"/>
              <w:rPr>
                <w:sz w:val="22"/>
              </w:rPr>
            </w:pPr>
            <w:r>
              <w:rPr>
                <w:color w:val="000000"/>
                <w:sz w:val="22"/>
              </w:rPr>
              <w:t xml:space="preserve">$553,146 </w:t>
            </w:r>
          </w:p>
        </w:tc>
        <w:tc>
          <w:tcPr>
            <w:tcW w:w="2468" w:type="dxa"/>
          </w:tcPr>
          <w:p w14:paraId="66598905" w14:textId="77777777" w:rsidR="00701E39" w:rsidRPr="00934F2C" w:rsidRDefault="000F5B51" w:rsidP="00701E39">
            <w:pPr>
              <w:spacing w:line="240" w:lineRule="auto"/>
              <w:jc w:val="center"/>
              <w:rPr>
                <w:sz w:val="22"/>
              </w:rPr>
            </w:pPr>
            <w:r w:rsidRPr="00C81E8D">
              <w:t xml:space="preserve">$7,685,887 </w:t>
            </w:r>
          </w:p>
        </w:tc>
      </w:tr>
      <w:tr w:rsidR="00A15C2C" w14:paraId="50F001B2" w14:textId="77777777" w:rsidTr="00D56CE7">
        <w:trPr>
          <w:trHeight w:val="248"/>
        </w:trPr>
        <w:tc>
          <w:tcPr>
            <w:tcW w:w="2468" w:type="dxa"/>
          </w:tcPr>
          <w:p w14:paraId="23438D6D" w14:textId="77777777" w:rsidR="00701E39" w:rsidRPr="00934F2C" w:rsidRDefault="000F5B51" w:rsidP="00701E39">
            <w:pPr>
              <w:spacing w:line="240" w:lineRule="auto"/>
              <w:rPr>
                <w:b/>
                <w:bCs/>
                <w:sz w:val="22"/>
              </w:rPr>
            </w:pPr>
            <w:r w:rsidRPr="00934F2C">
              <w:rPr>
                <w:sz w:val="22"/>
              </w:rPr>
              <w:t>MAIS 3</w:t>
            </w:r>
          </w:p>
        </w:tc>
        <w:tc>
          <w:tcPr>
            <w:tcW w:w="2468" w:type="dxa"/>
          </w:tcPr>
          <w:p w14:paraId="71955B19" w14:textId="77777777" w:rsidR="00701E39" w:rsidRPr="00934F2C" w:rsidRDefault="000F5B51" w:rsidP="00701E39">
            <w:pPr>
              <w:spacing w:line="240" w:lineRule="auto"/>
              <w:jc w:val="center"/>
              <w:rPr>
                <w:sz w:val="22"/>
              </w:rPr>
            </w:pPr>
            <w:r w:rsidRPr="0033673E">
              <w:t>3.84</w:t>
            </w:r>
          </w:p>
        </w:tc>
        <w:tc>
          <w:tcPr>
            <w:tcW w:w="2468" w:type="dxa"/>
            <w:vAlign w:val="center"/>
          </w:tcPr>
          <w:p w14:paraId="09D4B962" w14:textId="77777777" w:rsidR="00701E39" w:rsidRPr="00901065" w:rsidRDefault="000F5B51" w:rsidP="00701E39">
            <w:pPr>
              <w:spacing w:line="240" w:lineRule="auto"/>
              <w:jc w:val="center"/>
              <w:rPr>
                <w:sz w:val="22"/>
              </w:rPr>
            </w:pPr>
            <w:r>
              <w:rPr>
                <w:color w:val="000000"/>
                <w:sz w:val="22"/>
              </w:rPr>
              <w:t xml:space="preserve">$1,307,335 </w:t>
            </w:r>
          </w:p>
        </w:tc>
        <w:tc>
          <w:tcPr>
            <w:tcW w:w="2468" w:type="dxa"/>
          </w:tcPr>
          <w:p w14:paraId="40D89C46" w14:textId="77777777" w:rsidR="00701E39" w:rsidRPr="00934F2C" w:rsidRDefault="000F5B51" w:rsidP="00701E39">
            <w:pPr>
              <w:spacing w:line="240" w:lineRule="auto"/>
              <w:jc w:val="center"/>
              <w:rPr>
                <w:sz w:val="22"/>
              </w:rPr>
            </w:pPr>
            <w:r w:rsidRPr="00C81E8D">
              <w:t xml:space="preserve">$5,014,976 </w:t>
            </w:r>
          </w:p>
        </w:tc>
      </w:tr>
      <w:tr w:rsidR="00A15C2C" w14:paraId="5B782AD9" w14:textId="77777777" w:rsidTr="00D56CE7">
        <w:trPr>
          <w:trHeight w:val="233"/>
        </w:trPr>
        <w:tc>
          <w:tcPr>
            <w:tcW w:w="2468" w:type="dxa"/>
          </w:tcPr>
          <w:p w14:paraId="227DE275" w14:textId="77777777" w:rsidR="00701E39" w:rsidRPr="00934F2C" w:rsidRDefault="000F5B51" w:rsidP="00701E39">
            <w:pPr>
              <w:spacing w:line="240" w:lineRule="auto"/>
              <w:rPr>
                <w:b/>
                <w:bCs/>
                <w:sz w:val="22"/>
              </w:rPr>
            </w:pPr>
            <w:r w:rsidRPr="00934F2C">
              <w:rPr>
                <w:color w:val="000000"/>
                <w:sz w:val="22"/>
              </w:rPr>
              <w:t>MAIS 4</w:t>
            </w:r>
          </w:p>
        </w:tc>
        <w:tc>
          <w:tcPr>
            <w:tcW w:w="2468" w:type="dxa"/>
          </w:tcPr>
          <w:p w14:paraId="52655F58" w14:textId="77777777" w:rsidR="00701E39" w:rsidRPr="00934F2C" w:rsidRDefault="000F5B51" w:rsidP="00701E39">
            <w:pPr>
              <w:spacing w:line="240" w:lineRule="auto"/>
              <w:jc w:val="center"/>
              <w:rPr>
                <w:sz w:val="22"/>
              </w:rPr>
            </w:pPr>
            <w:r w:rsidRPr="0033673E">
              <w:t>2.77</w:t>
            </w:r>
          </w:p>
        </w:tc>
        <w:tc>
          <w:tcPr>
            <w:tcW w:w="2468" w:type="dxa"/>
            <w:vAlign w:val="center"/>
          </w:tcPr>
          <w:p w14:paraId="16079FB1" w14:textId="77777777" w:rsidR="00701E39" w:rsidRPr="00901065" w:rsidRDefault="000F5B51" w:rsidP="00701E39">
            <w:pPr>
              <w:spacing w:line="240" w:lineRule="auto"/>
              <w:jc w:val="center"/>
              <w:rPr>
                <w:sz w:val="22"/>
              </w:rPr>
            </w:pPr>
            <w:r>
              <w:rPr>
                <w:color w:val="000000"/>
                <w:sz w:val="22"/>
              </w:rPr>
              <w:t xml:space="preserve">$3,215,701 </w:t>
            </w:r>
          </w:p>
        </w:tc>
        <w:tc>
          <w:tcPr>
            <w:tcW w:w="2468" w:type="dxa"/>
          </w:tcPr>
          <w:p w14:paraId="3D861248" w14:textId="77777777" w:rsidR="00701E39" w:rsidRPr="00934F2C" w:rsidRDefault="000F5B51" w:rsidP="00701E39">
            <w:pPr>
              <w:spacing w:line="240" w:lineRule="auto"/>
              <w:jc w:val="center"/>
              <w:rPr>
                <w:sz w:val="22"/>
              </w:rPr>
            </w:pPr>
            <w:r w:rsidRPr="00C81E8D">
              <w:t xml:space="preserve">$8,912,647 </w:t>
            </w:r>
          </w:p>
        </w:tc>
      </w:tr>
      <w:tr w:rsidR="00A15C2C" w14:paraId="6EF0D401" w14:textId="77777777" w:rsidTr="00D56CE7">
        <w:trPr>
          <w:trHeight w:val="233"/>
        </w:trPr>
        <w:tc>
          <w:tcPr>
            <w:tcW w:w="2468" w:type="dxa"/>
          </w:tcPr>
          <w:p w14:paraId="2C10A6BE" w14:textId="77777777" w:rsidR="00701E39" w:rsidRPr="00934F2C" w:rsidRDefault="000F5B51" w:rsidP="00701E39">
            <w:pPr>
              <w:spacing w:line="240" w:lineRule="auto"/>
              <w:rPr>
                <w:b/>
                <w:bCs/>
                <w:sz w:val="22"/>
              </w:rPr>
            </w:pPr>
            <w:r w:rsidRPr="00934F2C">
              <w:rPr>
                <w:sz w:val="22"/>
              </w:rPr>
              <w:t>MAIS 5</w:t>
            </w:r>
          </w:p>
        </w:tc>
        <w:tc>
          <w:tcPr>
            <w:tcW w:w="2468" w:type="dxa"/>
          </w:tcPr>
          <w:p w14:paraId="15D98DAF" w14:textId="77777777" w:rsidR="00701E39" w:rsidRPr="00934F2C" w:rsidRDefault="000F5B51" w:rsidP="00701E39">
            <w:pPr>
              <w:spacing w:line="240" w:lineRule="auto"/>
              <w:jc w:val="center"/>
              <w:rPr>
                <w:sz w:val="22"/>
              </w:rPr>
            </w:pPr>
            <w:r w:rsidRPr="0033673E">
              <w:t>0.07</w:t>
            </w:r>
          </w:p>
        </w:tc>
        <w:tc>
          <w:tcPr>
            <w:tcW w:w="2468" w:type="dxa"/>
            <w:vAlign w:val="center"/>
          </w:tcPr>
          <w:p w14:paraId="561D3110" w14:textId="77777777" w:rsidR="00701E39" w:rsidRPr="00901065" w:rsidRDefault="000F5B51" w:rsidP="00701E39">
            <w:pPr>
              <w:spacing w:line="240" w:lineRule="auto"/>
              <w:jc w:val="center"/>
              <w:rPr>
                <w:sz w:val="22"/>
              </w:rPr>
            </w:pPr>
            <w:r>
              <w:rPr>
                <w:color w:val="000000"/>
                <w:sz w:val="22"/>
              </w:rPr>
              <w:t xml:space="preserve">$7,327,043 </w:t>
            </w:r>
          </w:p>
        </w:tc>
        <w:tc>
          <w:tcPr>
            <w:tcW w:w="2468" w:type="dxa"/>
          </w:tcPr>
          <w:p w14:paraId="38F01F62" w14:textId="77777777" w:rsidR="00701E39" w:rsidRPr="00934F2C" w:rsidRDefault="000F5B51" w:rsidP="00701E39">
            <w:pPr>
              <w:spacing w:line="240" w:lineRule="auto"/>
              <w:jc w:val="center"/>
              <w:rPr>
                <w:sz w:val="22"/>
              </w:rPr>
            </w:pPr>
            <w:r w:rsidRPr="00C81E8D">
              <w:t xml:space="preserve">$479,945 </w:t>
            </w:r>
          </w:p>
        </w:tc>
      </w:tr>
      <w:tr w:rsidR="00A15C2C" w14:paraId="21E4AB1D" w14:textId="77777777" w:rsidTr="00D56CE7">
        <w:trPr>
          <w:trHeight w:val="233"/>
        </w:trPr>
        <w:tc>
          <w:tcPr>
            <w:tcW w:w="2468" w:type="dxa"/>
          </w:tcPr>
          <w:p w14:paraId="28022FAA" w14:textId="77777777" w:rsidR="00701E39" w:rsidRPr="00934F2C" w:rsidRDefault="000F5B51" w:rsidP="00701E39">
            <w:pPr>
              <w:spacing w:line="240" w:lineRule="auto"/>
              <w:rPr>
                <w:b/>
                <w:bCs/>
                <w:sz w:val="22"/>
              </w:rPr>
            </w:pPr>
            <w:r w:rsidRPr="00934F2C">
              <w:rPr>
                <w:sz w:val="22"/>
              </w:rPr>
              <w:t>Fatalities</w:t>
            </w:r>
          </w:p>
        </w:tc>
        <w:tc>
          <w:tcPr>
            <w:tcW w:w="2468" w:type="dxa"/>
          </w:tcPr>
          <w:p w14:paraId="76EB45A0" w14:textId="77777777" w:rsidR="00701E39" w:rsidRPr="00934F2C" w:rsidRDefault="000F5B51" w:rsidP="00701E39">
            <w:pPr>
              <w:spacing w:line="240" w:lineRule="auto"/>
              <w:jc w:val="center"/>
              <w:rPr>
                <w:sz w:val="22"/>
              </w:rPr>
            </w:pPr>
            <w:r w:rsidRPr="0033673E">
              <w:t>4.82</w:t>
            </w:r>
          </w:p>
        </w:tc>
        <w:tc>
          <w:tcPr>
            <w:tcW w:w="2468" w:type="dxa"/>
            <w:vAlign w:val="center"/>
          </w:tcPr>
          <w:p w14:paraId="3ADB0628" w14:textId="77777777" w:rsidR="00701E39" w:rsidRPr="00901065" w:rsidRDefault="000F5B51" w:rsidP="00701E39">
            <w:pPr>
              <w:spacing w:line="240" w:lineRule="auto"/>
              <w:jc w:val="center"/>
              <w:rPr>
                <w:sz w:val="22"/>
              </w:rPr>
            </w:pPr>
            <w:r>
              <w:rPr>
                <w:color w:val="000000"/>
                <w:sz w:val="22"/>
              </w:rPr>
              <w:t xml:space="preserve">$11,950,834 </w:t>
            </w:r>
          </w:p>
        </w:tc>
        <w:tc>
          <w:tcPr>
            <w:tcW w:w="2468" w:type="dxa"/>
          </w:tcPr>
          <w:p w14:paraId="7F881042" w14:textId="77777777" w:rsidR="00701E39" w:rsidRPr="00934F2C" w:rsidRDefault="000F5B51" w:rsidP="00701E39">
            <w:pPr>
              <w:spacing w:line="240" w:lineRule="auto"/>
              <w:jc w:val="center"/>
              <w:rPr>
                <w:sz w:val="22"/>
              </w:rPr>
            </w:pPr>
            <w:r w:rsidRPr="00C81E8D">
              <w:t xml:space="preserve">$57,653,496 </w:t>
            </w:r>
          </w:p>
        </w:tc>
      </w:tr>
      <w:tr w:rsidR="00A15C2C" w14:paraId="2C98A627" w14:textId="77777777" w:rsidTr="00DE6F57">
        <w:trPr>
          <w:trHeight w:val="233"/>
        </w:trPr>
        <w:tc>
          <w:tcPr>
            <w:tcW w:w="2468" w:type="dxa"/>
            <w:tcBorders>
              <w:right w:val="single" w:sz="4" w:space="0" w:color="FFFFFF"/>
            </w:tcBorders>
            <w:vAlign w:val="center"/>
          </w:tcPr>
          <w:p w14:paraId="5C854A2E" w14:textId="77777777" w:rsidR="00701E39" w:rsidRPr="00DE6F57" w:rsidRDefault="000F5B51" w:rsidP="00D973B8">
            <w:pPr>
              <w:spacing w:line="240" w:lineRule="auto"/>
              <w:rPr>
                <w:b/>
                <w:bCs/>
                <w:sz w:val="22"/>
              </w:rPr>
            </w:pPr>
            <w:r w:rsidRPr="00DE6F57">
              <w:rPr>
                <w:b/>
                <w:bCs/>
                <w:sz w:val="22"/>
              </w:rPr>
              <w:t>Total Drivers</w:t>
            </w:r>
          </w:p>
        </w:tc>
        <w:tc>
          <w:tcPr>
            <w:tcW w:w="2468" w:type="dxa"/>
            <w:tcBorders>
              <w:left w:val="single" w:sz="4" w:space="0" w:color="FFFFFF"/>
              <w:right w:val="single" w:sz="4" w:space="0" w:color="FFFFFF"/>
            </w:tcBorders>
            <w:vAlign w:val="center"/>
          </w:tcPr>
          <w:p w14:paraId="007BADF7" w14:textId="77777777" w:rsidR="00701E39" w:rsidRPr="003E21CB" w:rsidRDefault="000F5B51" w:rsidP="00701E39">
            <w:pPr>
              <w:spacing w:line="240" w:lineRule="auto"/>
              <w:jc w:val="center"/>
              <w:rPr>
                <w:b/>
                <w:bCs/>
                <w:sz w:val="22"/>
              </w:rPr>
            </w:pPr>
            <w:r w:rsidRPr="00D973B8">
              <w:rPr>
                <w:b/>
                <w:bCs/>
                <w:color w:val="000000"/>
                <w:sz w:val="22"/>
              </w:rPr>
              <w:t> </w:t>
            </w:r>
          </w:p>
        </w:tc>
        <w:tc>
          <w:tcPr>
            <w:tcW w:w="2468" w:type="dxa"/>
            <w:tcBorders>
              <w:left w:val="single" w:sz="4" w:space="0" w:color="FFFFFF"/>
              <w:right w:val="single" w:sz="4" w:space="0" w:color="FFFFFF"/>
            </w:tcBorders>
            <w:vAlign w:val="center"/>
          </w:tcPr>
          <w:p w14:paraId="23CD9BBF" w14:textId="77777777" w:rsidR="00701E39" w:rsidRPr="00DE6F57" w:rsidRDefault="000F5B51" w:rsidP="00701E39">
            <w:pPr>
              <w:spacing w:line="240" w:lineRule="auto"/>
              <w:jc w:val="center"/>
              <w:rPr>
                <w:b/>
                <w:bCs/>
                <w:sz w:val="22"/>
              </w:rPr>
            </w:pPr>
            <w:r w:rsidRPr="00766110">
              <w:rPr>
                <w:b/>
                <w:bCs/>
                <w:color w:val="000000"/>
                <w:sz w:val="22"/>
              </w:rPr>
              <w:t> </w:t>
            </w:r>
          </w:p>
        </w:tc>
        <w:tc>
          <w:tcPr>
            <w:tcW w:w="2468" w:type="dxa"/>
            <w:tcBorders>
              <w:left w:val="single" w:sz="4" w:space="0" w:color="FFFFFF"/>
            </w:tcBorders>
          </w:tcPr>
          <w:p w14:paraId="21DCBF03" w14:textId="77777777" w:rsidR="00701E39" w:rsidRPr="00D973B8" w:rsidRDefault="000F5B51" w:rsidP="00701E39">
            <w:pPr>
              <w:spacing w:line="240" w:lineRule="auto"/>
              <w:jc w:val="center"/>
              <w:rPr>
                <w:b/>
                <w:bCs/>
                <w:color w:val="000000"/>
                <w:sz w:val="22"/>
              </w:rPr>
            </w:pPr>
            <w:r w:rsidRPr="00DE6F57">
              <w:rPr>
                <w:b/>
                <w:bCs/>
              </w:rPr>
              <w:t xml:space="preserve">$79,874,359 </w:t>
            </w:r>
          </w:p>
        </w:tc>
      </w:tr>
      <w:tr w:rsidR="00A15C2C" w14:paraId="45466A02" w14:textId="77777777" w:rsidTr="00A807D0">
        <w:trPr>
          <w:trHeight w:val="248"/>
        </w:trPr>
        <w:tc>
          <w:tcPr>
            <w:tcW w:w="9872" w:type="dxa"/>
            <w:gridSpan w:val="4"/>
            <w:shd w:val="clear" w:color="auto" w:fill="D9D9D9" w:themeFill="background1" w:themeFillShade="D9"/>
          </w:tcPr>
          <w:p w14:paraId="772AF002" w14:textId="77777777" w:rsidR="00472C07" w:rsidRPr="00901065" w:rsidRDefault="000F5B51" w:rsidP="00A807D0">
            <w:pPr>
              <w:spacing w:line="240" w:lineRule="auto"/>
              <w:jc w:val="center"/>
              <w:rPr>
                <w:b/>
                <w:bCs/>
                <w:i/>
                <w:iCs/>
                <w:sz w:val="22"/>
              </w:rPr>
            </w:pPr>
            <w:r>
              <w:rPr>
                <w:b/>
                <w:bCs/>
                <w:i/>
                <w:iCs/>
                <w:sz w:val="22"/>
              </w:rPr>
              <w:t>LTVs</w:t>
            </w:r>
          </w:p>
        </w:tc>
      </w:tr>
      <w:tr w:rsidR="00A15C2C" w14:paraId="3C34AA85" w14:textId="77777777" w:rsidTr="00D56CE7">
        <w:trPr>
          <w:trHeight w:val="233"/>
        </w:trPr>
        <w:tc>
          <w:tcPr>
            <w:tcW w:w="2468" w:type="dxa"/>
          </w:tcPr>
          <w:p w14:paraId="395DB8E7" w14:textId="77777777" w:rsidR="005F440D" w:rsidRPr="00934F2C" w:rsidRDefault="000F5B51" w:rsidP="005F440D">
            <w:pPr>
              <w:spacing w:line="240" w:lineRule="auto"/>
              <w:rPr>
                <w:b/>
                <w:bCs/>
                <w:color w:val="000000"/>
                <w:sz w:val="22"/>
              </w:rPr>
            </w:pPr>
            <w:r w:rsidRPr="00934F2C">
              <w:rPr>
                <w:sz w:val="22"/>
              </w:rPr>
              <w:t>MAIS 1</w:t>
            </w:r>
          </w:p>
        </w:tc>
        <w:tc>
          <w:tcPr>
            <w:tcW w:w="2468" w:type="dxa"/>
          </w:tcPr>
          <w:p w14:paraId="5B8B3827" w14:textId="77777777" w:rsidR="005F440D" w:rsidRPr="00934F2C" w:rsidRDefault="000F5B51" w:rsidP="005F440D">
            <w:pPr>
              <w:spacing w:line="240" w:lineRule="auto"/>
              <w:jc w:val="center"/>
              <w:rPr>
                <w:sz w:val="22"/>
              </w:rPr>
            </w:pPr>
            <w:r w:rsidRPr="00D06D55">
              <w:t>1.39</w:t>
            </w:r>
          </w:p>
        </w:tc>
        <w:tc>
          <w:tcPr>
            <w:tcW w:w="2468" w:type="dxa"/>
            <w:vAlign w:val="center"/>
          </w:tcPr>
          <w:p w14:paraId="06F61FE4" w14:textId="77777777" w:rsidR="005F440D" w:rsidRPr="00901065" w:rsidRDefault="000F5B51" w:rsidP="005F440D">
            <w:pPr>
              <w:spacing w:line="240" w:lineRule="auto"/>
              <w:jc w:val="center"/>
              <w:rPr>
                <w:sz w:val="22"/>
              </w:rPr>
            </w:pPr>
            <w:r>
              <w:rPr>
                <w:color w:val="000000"/>
                <w:sz w:val="22"/>
              </w:rPr>
              <w:t xml:space="preserve">$56,035 </w:t>
            </w:r>
          </w:p>
        </w:tc>
        <w:tc>
          <w:tcPr>
            <w:tcW w:w="2468" w:type="dxa"/>
          </w:tcPr>
          <w:p w14:paraId="2B321AA3" w14:textId="77777777" w:rsidR="005F440D" w:rsidRPr="00934F2C" w:rsidRDefault="000F5B51" w:rsidP="005F440D">
            <w:pPr>
              <w:spacing w:line="240" w:lineRule="auto"/>
              <w:jc w:val="center"/>
              <w:rPr>
                <w:sz w:val="22"/>
              </w:rPr>
            </w:pPr>
            <w:r w:rsidRPr="00080FE7">
              <w:t xml:space="preserve">$77,889 </w:t>
            </w:r>
          </w:p>
        </w:tc>
      </w:tr>
      <w:tr w:rsidR="00A15C2C" w14:paraId="4A16DB1E" w14:textId="77777777" w:rsidTr="00D56CE7">
        <w:trPr>
          <w:trHeight w:val="248"/>
        </w:trPr>
        <w:tc>
          <w:tcPr>
            <w:tcW w:w="2468" w:type="dxa"/>
          </w:tcPr>
          <w:p w14:paraId="4B7E78D9" w14:textId="77777777" w:rsidR="005F440D" w:rsidRPr="00934F2C" w:rsidRDefault="000F5B51" w:rsidP="005F440D">
            <w:pPr>
              <w:spacing w:line="240" w:lineRule="auto"/>
              <w:rPr>
                <w:b/>
                <w:bCs/>
                <w:sz w:val="22"/>
              </w:rPr>
            </w:pPr>
            <w:r w:rsidRPr="00934F2C">
              <w:rPr>
                <w:color w:val="000000"/>
                <w:sz w:val="22"/>
              </w:rPr>
              <w:t>MAIS 2</w:t>
            </w:r>
          </w:p>
        </w:tc>
        <w:tc>
          <w:tcPr>
            <w:tcW w:w="2468" w:type="dxa"/>
          </w:tcPr>
          <w:p w14:paraId="4DEEF014" w14:textId="77777777" w:rsidR="005F440D" w:rsidRPr="00934F2C" w:rsidRDefault="000F5B51" w:rsidP="005F440D">
            <w:pPr>
              <w:spacing w:line="240" w:lineRule="auto"/>
              <w:jc w:val="center"/>
              <w:rPr>
                <w:sz w:val="22"/>
              </w:rPr>
            </w:pPr>
            <w:r w:rsidRPr="00D06D55">
              <w:t>6.59</w:t>
            </w:r>
          </w:p>
        </w:tc>
        <w:tc>
          <w:tcPr>
            <w:tcW w:w="2468" w:type="dxa"/>
            <w:vAlign w:val="center"/>
          </w:tcPr>
          <w:p w14:paraId="627D0189" w14:textId="77777777" w:rsidR="005F440D" w:rsidRPr="00901065" w:rsidRDefault="000F5B51" w:rsidP="005F440D">
            <w:pPr>
              <w:spacing w:line="240" w:lineRule="auto"/>
              <w:jc w:val="center"/>
              <w:rPr>
                <w:sz w:val="22"/>
              </w:rPr>
            </w:pPr>
            <w:r>
              <w:rPr>
                <w:color w:val="000000"/>
                <w:sz w:val="22"/>
              </w:rPr>
              <w:t xml:space="preserve">$553,146 </w:t>
            </w:r>
          </w:p>
        </w:tc>
        <w:tc>
          <w:tcPr>
            <w:tcW w:w="2468" w:type="dxa"/>
          </w:tcPr>
          <w:p w14:paraId="70B0CF8A" w14:textId="77777777" w:rsidR="005F440D" w:rsidRPr="00934F2C" w:rsidRDefault="000F5B51" w:rsidP="005F440D">
            <w:pPr>
              <w:spacing w:line="240" w:lineRule="auto"/>
              <w:jc w:val="center"/>
              <w:rPr>
                <w:sz w:val="22"/>
              </w:rPr>
            </w:pPr>
            <w:r w:rsidRPr="00080FE7">
              <w:t xml:space="preserve">$3,645,232 </w:t>
            </w:r>
          </w:p>
        </w:tc>
      </w:tr>
      <w:tr w:rsidR="00A15C2C" w14:paraId="4754E842" w14:textId="77777777" w:rsidTr="00D56CE7">
        <w:trPr>
          <w:trHeight w:val="233"/>
        </w:trPr>
        <w:tc>
          <w:tcPr>
            <w:tcW w:w="2468" w:type="dxa"/>
          </w:tcPr>
          <w:p w14:paraId="69E0DCA5" w14:textId="77777777" w:rsidR="005F440D" w:rsidRPr="00934F2C" w:rsidRDefault="000F5B51" w:rsidP="005F440D">
            <w:pPr>
              <w:spacing w:line="240" w:lineRule="auto"/>
              <w:rPr>
                <w:b/>
                <w:bCs/>
                <w:color w:val="000000"/>
                <w:sz w:val="22"/>
              </w:rPr>
            </w:pPr>
            <w:r w:rsidRPr="00934F2C">
              <w:rPr>
                <w:sz w:val="22"/>
              </w:rPr>
              <w:t>MAIS 3</w:t>
            </w:r>
          </w:p>
        </w:tc>
        <w:tc>
          <w:tcPr>
            <w:tcW w:w="2468" w:type="dxa"/>
          </w:tcPr>
          <w:p w14:paraId="727DA278" w14:textId="77777777" w:rsidR="005F440D" w:rsidRPr="00934F2C" w:rsidRDefault="000F5B51" w:rsidP="005F440D">
            <w:pPr>
              <w:spacing w:line="240" w:lineRule="auto"/>
              <w:jc w:val="center"/>
              <w:rPr>
                <w:sz w:val="22"/>
              </w:rPr>
            </w:pPr>
            <w:r w:rsidRPr="00D06D55">
              <w:t>0.05</w:t>
            </w:r>
          </w:p>
        </w:tc>
        <w:tc>
          <w:tcPr>
            <w:tcW w:w="2468" w:type="dxa"/>
            <w:vAlign w:val="center"/>
          </w:tcPr>
          <w:p w14:paraId="58CED173" w14:textId="77777777" w:rsidR="005F440D" w:rsidRPr="00901065" w:rsidRDefault="000F5B51" w:rsidP="005F440D">
            <w:pPr>
              <w:spacing w:line="240" w:lineRule="auto"/>
              <w:jc w:val="center"/>
              <w:rPr>
                <w:sz w:val="22"/>
              </w:rPr>
            </w:pPr>
            <w:r>
              <w:rPr>
                <w:color w:val="000000"/>
                <w:sz w:val="22"/>
              </w:rPr>
              <w:t xml:space="preserve">$1,307,335 </w:t>
            </w:r>
          </w:p>
        </w:tc>
        <w:tc>
          <w:tcPr>
            <w:tcW w:w="2468" w:type="dxa"/>
          </w:tcPr>
          <w:p w14:paraId="11460C5C" w14:textId="77777777" w:rsidR="005F440D" w:rsidRPr="00934F2C" w:rsidRDefault="000F5B51" w:rsidP="005F440D">
            <w:pPr>
              <w:spacing w:line="240" w:lineRule="auto"/>
              <w:jc w:val="center"/>
              <w:rPr>
                <w:sz w:val="22"/>
              </w:rPr>
            </w:pPr>
            <w:r w:rsidRPr="00080FE7">
              <w:t xml:space="preserve">$65,367 </w:t>
            </w:r>
          </w:p>
        </w:tc>
      </w:tr>
      <w:tr w:rsidR="00A15C2C" w14:paraId="02693DC2" w14:textId="77777777" w:rsidTr="00D56CE7">
        <w:trPr>
          <w:trHeight w:val="248"/>
        </w:trPr>
        <w:tc>
          <w:tcPr>
            <w:tcW w:w="2468" w:type="dxa"/>
          </w:tcPr>
          <w:p w14:paraId="1F5F06B8" w14:textId="77777777" w:rsidR="005F440D" w:rsidRPr="00934F2C" w:rsidRDefault="000F5B51" w:rsidP="005F440D">
            <w:pPr>
              <w:spacing w:line="240" w:lineRule="auto"/>
              <w:rPr>
                <w:b/>
                <w:bCs/>
                <w:sz w:val="22"/>
              </w:rPr>
            </w:pPr>
            <w:r w:rsidRPr="00934F2C">
              <w:rPr>
                <w:color w:val="000000"/>
                <w:sz w:val="22"/>
              </w:rPr>
              <w:t>MAIS 4</w:t>
            </w:r>
          </w:p>
        </w:tc>
        <w:tc>
          <w:tcPr>
            <w:tcW w:w="2468" w:type="dxa"/>
          </w:tcPr>
          <w:p w14:paraId="1B91730C" w14:textId="77777777" w:rsidR="005F440D" w:rsidRPr="00934F2C" w:rsidRDefault="000F5B51" w:rsidP="005F440D">
            <w:pPr>
              <w:spacing w:line="240" w:lineRule="auto"/>
              <w:jc w:val="center"/>
              <w:rPr>
                <w:sz w:val="22"/>
              </w:rPr>
            </w:pPr>
            <w:r w:rsidRPr="00D06D55">
              <w:t>0.31</w:t>
            </w:r>
          </w:p>
        </w:tc>
        <w:tc>
          <w:tcPr>
            <w:tcW w:w="2468" w:type="dxa"/>
            <w:vAlign w:val="center"/>
          </w:tcPr>
          <w:p w14:paraId="35F761A9" w14:textId="77777777" w:rsidR="005F440D" w:rsidRPr="00901065" w:rsidRDefault="000F5B51" w:rsidP="005F440D">
            <w:pPr>
              <w:spacing w:line="240" w:lineRule="auto"/>
              <w:jc w:val="center"/>
              <w:rPr>
                <w:sz w:val="22"/>
              </w:rPr>
            </w:pPr>
            <w:r>
              <w:rPr>
                <w:color w:val="000000"/>
                <w:sz w:val="22"/>
              </w:rPr>
              <w:t xml:space="preserve">$3,215,701 </w:t>
            </w:r>
          </w:p>
        </w:tc>
        <w:tc>
          <w:tcPr>
            <w:tcW w:w="2468" w:type="dxa"/>
          </w:tcPr>
          <w:p w14:paraId="6E6A631D" w14:textId="77777777" w:rsidR="005F440D" w:rsidRPr="00934F2C" w:rsidRDefault="000F5B51" w:rsidP="005F440D">
            <w:pPr>
              <w:spacing w:line="240" w:lineRule="auto"/>
              <w:jc w:val="center"/>
              <w:rPr>
                <w:sz w:val="22"/>
              </w:rPr>
            </w:pPr>
            <w:r w:rsidRPr="00080FE7">
              <w:t xml:space="preserve">$996,867 </w:t>
            </w:r>
          </w:p>
        </w:tc>
      </w:tr>
      <w:tr w:rsidR="00A15C2C" w14:paraId="0412AD3D" w14:textId="77777777" w:rsidTr="00D56CE7">
        <w:trPr>
          <w:trHeight w:val="233"/>
        </w:trPr>
        <w:tc>
          <w:tcPr>
            <w:tcW w:w="2468" w:type="dxa"/>
          </w:tcPr>
          <w:p w14:paraId="1A72F673" w14:textId="77777777" w:rsidR="005F440D" w:rsidRPr="00934F2C" w:rsidRDefault="000F5B51" w:rsidP="005F440D">
            <w:pPr>
              <w:spacing w:line="240" w:lineRule="auto"/>
              <w:rPr>
                <w:sz w:val="22"/>
              </w:rPr>
            </w:pPr>
            <w:r w:rsidRPr="00934F2C">
              <w:rPr>
                <w:sz w:val="22"/>
              </w:rPr>
              <w:t>MAIS 5</w:t>
            </w:r>
          </w:p>
        </w:tc>
        <w:tc>
          <w:tcPr>
            <w:tcW w:w="2468" w:type="dxa"/>
          </w:tcPr>
          <w:p w14:paraId="47654B62" w14:textId="77777777" w:rsidR="005F440D" w:rsidRPr="00934F2C" w:rsidRDefault="000F5B51" w:rsidP="005F440D">
            <w:pPr>
              <w:spacing w:line="240" w:lineRule="auto"/>
              <w:jc w:val="center"/>
              <w:rPr>
                <w:sz w:val="22"/>
              </w:rPr>
            </w:pPr>
            <w:r w:rsidRPr="00D06D55">
              <w:t>0.02</w:t>
            </w:r>
          </w:p>
        </w:tc>
        <w:tc>
          <w:tcPr>
            <w:tcW w:w="2468" w:type="dxa"/>
            <w:vAlign w:val="center"/>
          </w:tcPr>
          <w:p w14:paraId="1409C286" w14:textId="77777777" w:rsidR="005F440D" w:rsidRPr="00901065" w:rsidRDefault="000F5B51" w:rsidP="005F440D">
            <w:pPr>
              <w:spacing w:line="240" w:lineRule="auto"/>
              <w:jc w:val="center"/>
              <w:rPr>
                <w:sz w:val="22"/>
              </w:rPr>
            </w:pPr>
            <w:r>
              <w:rPr>
                <w:color w:val="000000"/>
                <w:sz w:val="22"/>
              </w:rPr>
              <w:t xml:space="preserve">$7,327,043 </w:t>
            </w:r>
          </w:p>
        </w:tc>
        <w:tc>
          <w:tcPr>
            <w:tcW w:w="2468" w:type="dxa"/>
          </w:tcPr>
          <w:p w14:paraId="557852F0" w14:textId="77777777" w:rsidR="005F440D" w:rsidRPr="00934F2C" w:rsidRDefault="000F5B51" w:rsidP="005F440D">
            <w:pPr>
              <w:spacing w:line="240" w:lineRule="auto"/>
              <w:jc w:val="center"/>
              <w:rPr>
                <w:sz w:val="22"/>
              </w:rPr>
            </w:pPr>
            <w:r w:rsidRPr="00080FE7">
              <w:t xml:space="preserve">$146,541 </w:t>
            </w:r>
          </w:p>
        </w:tc>
      </w:tr>
      <w:tr w:rsidR="00A15C2C" w14:paraId="2B4220C0" w14:textId="77777777" w:rsidTr="00D56CE7">
        <w:trPr>
          <w:trHeight w:val="233"/>
        </w:trPr>
        <w:tc>
          <w:tcPr>
            <w:tcW w:w="2468" w:type="dxa"/>
          </w:tcPr>
          <w:p w14:paraId="5B8CADCA" w14:textId="77777777" w:rsidR="005F440D" w:rsidRPr="00934F2C" w:rsidRDefault="000F5B51" w:rsidP="005F440D">
            <w:pPr>
              <w:spacing w:line="240" w:lineRule="auto"/>
              <w:rPr>
                <w:b/>
                <w:bCs/>
                <w:color w:val="000000"/>
                <w:sz w:val="22"/>
              </w:rPr>
            </w:pPr>
            <w:r w:rsidRPr="00934F2C">
              <w:rPr>
                <w:color w:val="000000"/>
                <w:sz w:val="22"/>
              </w:rPr>
              <w:t>Fatalities</w:t>
            </w:r>
          </w:p>
        </w:tc>
        <w:tc>
          <w:tcPr>
            <w:tcW w:w="2468" w:type="dxa"/>
          </w:tcPr>
          <w:p w14:paraId="3EF3F3CD" w14:textId="77777777" w:rsidR="005F440D" w:rsidRPr="00934F2C" w:rsidRDefault="000F5B51" w:rsidP="005F440D">
            <w:pPr>
              <w:spacing w:line="240" w:lineRule="auto"/>
              <w:jc w:val="center"/>
              <w:rPr>
                <w:sz w:val="22"/>
              </w:rPr>
            </w:pPr>
            <w:r w:rsidRPr="00D06D55">
              <w:t>6.56</w:t>
            </w:r>
          </w:p>
        </w:tc>
        <w:tc>
          <w:tcPr>
            <w:tcW w:w="2468" w:type="dxa"/>
            <w:vAlign w:val="center"/>
          </w:tcPr>
          <w:p w14:paraId="2FDCDC03" w14:textId="77777777" w:rsidR="005F440D" w:rsidRPr="00901065" w:rsidRDefault="000F5B51" w:rsidP="005F440D">
            <w:pPr>
              <w:spacing w:line="240" w:lineRule="auto"/>
              <w:jc w:val="center"/>
              <w:rPr>
                <w:sz w:val="22"/>
              </w:rPr>
            </w:pPr>
            <w:r>
              <w:rPr>
                <w:color w:val="000000"/>
                <w:sz w:val="22"/>
              </w:rPr>
              <w:t xml:space="preserve">$11,950,834 </w:t>
            </w:r>
          </w:p>
        </w:tc>
        <w:tc>
          <w:tcPr>
            <w:tcW w:w="2468" w:type="dxa"/>
          </w:tcPr>
          <w:p w14:paraId="46F11F14" w14:textId="77777777" w:rsidR="005F440D" w:rsidRPr="00934F2C" w:rsidRDefault="000F5B51" w:rsidP="005F440D">
            <w:pPr>
              <w:spacing w:line="240" w:lineRule="auto"/>
              <w:jc w:val="center"/>
              <w:rPr>
                <w:sz w:val="22"/>
              </w:rPr>
            </w:pPr>
            <w:r w:rsidRPr="00080FE7">
              <w:t xml:space="preserve">$78,397,471 </w:t>
            </w:r>
          </w:p>
        </w:tc>
      </w:tr>
      <w:tr w:rsidR="00A15C2C" w14:paraId="74520232" w14:textId="77777777" w:rsidTr="00DE6F57">
        <w:trPr>
          <w:trHeight w:val="233"/>
        </w:trPr>
        <w:tc>
          <w:tcPr>
            <w:tcW w:w="2468" w:type="dxa"/>
            <w:tcBorders>
              <w:right w:val="single" w:sz="4" w:space="0" w:color="FFFFFF"/>
            </w:tcBorders>
            <w:vAlign w:val="center"/>
          </w:tcPr>
          <w:p w14:paraId="22EF4177" w14:textId="77777777" w:rsidR="005F440D" w:rsidRPr="00DE6F57" w:rsidRDefault="000F5B51" w:rsidP="00D973B8">
            <w:pPr>
              <w:spacing w:line="240" w:lineRule="auto"/>
              <w:rPr>
                <w:b/>
                <w:bCs/>
                <w:color w:val="000000"/>
                <w:sz w:val="22"/>
              </w:rPr>
            </w:pPr>
            <w:r w:rsidRPr="00DE6F57">
              <w:rPr>
                <w:b/>
                <w:bCs/>
                <w:color w:val="000000"/>
                <w:sz w:val="22"/>
              </w:rPr>
              <w:t>Total Right Front Seat</w:t>
            </w:r>
          </w:p>
        </w:tc>
        <w:tc>
          <w:tcPr>
            <w:tcW w:w="2468" w:type="dxa"/>
            <w:tcBorders>
              <w:left w:val="single" w:sz="4" w:space="0" w:color="FFFFFF"/>
              <w:right w:val="single" w:sz="4" w:space="0" w:color="FFFFFF"/>
            </w:tcBorders>
            <w:vAlign w:val="center"/>
          </w:tcPr>
          <w:p w14:paraId="4FAF324B" w14:textId="77777777" w:rsidR="005F440D" w:rsidRPr="00D973B8" w:rsidRDefault="000F5B51" w:rsidP="005F440D">
            <w:pPr>
              <w:spacing w:line="240" w:lineRule="auto"/>
              <w:jc w:val="center"/>
              <w:rPr>
                <w:b/>
                <w:bCs/>
                <w:sz w:val="22"/>
              </w:rPr>
            </w:pPr>
            <w:r w:rsidRPr="00DE6F57">
              <w:rPr>
                <w:b/>
                <w:bCs/>
                <w:color w:val="000000"/>
              </w:rPr>
              <w:t> </w:t>
            </w:r>
          </w:p>
        </w:tc>
        <w:tc>
          <w:tcPr>
            <w:tcW w:w="2468" w:type="dxa"/>
            <w:tcBorders>
              <w:left w:val="single" w:sz="4" w:space="0" w:color="FFFFFF"/>
              <w:right w:val="single" w:sz="4" w:space="0" w:color="FFFFFF"/>
            </w:tcBorders>
            <w:vAlign w:val="center"/>
          </w:tcPr>
          <w:p w14:paraId="0F294CB4" w14:textId="77777777" w:rsidR="005F440D" w:rsidRPr="00DE6F57" w:rsidRDefault="000F5B51" w:rsidP="005F440D">
            <w:pPr>
              <w:spacing w:line="240" w:lineRule="auto"/>
              <w:jc w:val="center"/>
              <w:rPr>
                <w:b/>
                <w:bCs/>
                <w:color w:val="000000" w:themeColor="text1"/>
                <w:sz w:val="22"/>
              </w:rPr>
            </w:pPr>
            <w:r w:rsidRPr="00766110">
              <w:rPr>
                <w:b/>
                <w:bCs/>
                <w:color w:val="000000"/>
                <w:sz w:val="22"/>
              </w:rPr>
              <w:t> </w:t>
            </w:r>
          </w:p>
        </w:tc>
        <w:tc>
          <w:tcPr>
            <w:tcW w:w="2468" w:type="dxa"/>
            <w:tcBorders>
              <w:left w:val="single" w:sz="4" w:space="0" w:color="FFFFFF"/>
            </w:tcBorders>
          </w:tcPr>
          <w:p w14:paraId="3E70469E" w14:textId="77777777" w:rsidR="005F440D" w:rsidRPr="00D973B8" w:rsidRDefault="000F5B51" w:rsidP="005F440D">
            <w:pPr>
              <w:spacing w:line="240" w:lineRule="auto"/>
              <w:jc w:val="center"/>
              <w:rPr>
                <w:b/>
                <w:bCs/>
                <w:sz w:val="22"/>
              </w:rPr>
            </w:pPr>
            <w:r w:rsidRPr="00DE6F57">
              <w:rPr>
                <w:b/>
                <w:bCs/>
              </w:rPr>
              <w:t xml:space="preserve">$83,329,367 </w:t>
            </w:r>
          </w:p>
        </w:tc>
      </w:tr>
      <w:tr w:rsidR="00A15C2C" w14:paraId="5B54B1ED" w14:textId="77777777" w:rsidTr="00A807D0">
        <w:trPr>
          <w:trHeight w:val="233"/>
        </w:trPr>
        <w:tc>
          <w:tcPr>
            <w:tcW w:w="9872" w:type="dxa"/>
            <w:gridSpan w:val="4"/>
            <w:shd w:val="clear" w:color="auto" w:fill="D9D9D9" w:themeFill="background1" w:themeFillShade="D9"/>
          </w:tcPr>
          <w:p w14:paraId="092B4076" w14:textId="77777777" w:rsidR="00472C07" w:rsidRPr="00901065" w:rsidRDefault="000F5B51" w:rsidP="00A807D0">
            <w:pPr>
              <w:spacing w:line="240" w:lineRule="auto"/>
              <w:jc w:val="center"/>
              <w:rPr>
                <w:b/>
                <w:bCs/>
                <w:i/>
                <w:iCs/>
                <w:sz w:val="22"/>
              </w:rPr>
            </w:pPr>
            <w:r>
              <w:rPr>
                <w:b/>
                <w:bCs/>
                <w:i/>
                <w:iCs/>
                <w:sz w:val="22"/>
              </w:rPr>
              <w:t>Total</w:t>
            </w:r>
          </w:p>
        </w:tc>
      </w:tr>
      <w:tr w:rsidR="00A15C2C" w14:paraId="14D53D04" w14:textId="77777777" w:rsidTr="00D56CE7">
        <w:trPr>
          <w:trHeight w:val="248"/>
        </w:trPr>
        <w:tc>
          <w:tcPr>
            <w:tcW w:w="2468" w:type="dxa"/>
          </w:tcPr>
          <w:p w14:paraId="5B3AC0BD" w14:textId="77777777" w:rsidR="00B83E88" w:rsidRPr="00934F2C" w:rsidRDefault="000F5B51" w:rsidP="00B83E88">
            <w:pPr>
              <w:spacing w:line="240" w:lineRule="auto"/>
              <w:rPr>
                <w:b/>
                <w:bCs/>
                <w:color w:val="000000"/>
                <w:sz w:val="22"/>
              </w:rPr>
            </w:pPr>
            <w:r w:rsidRPr="00934F2C">
              <w:rPr>
                <w:sz w:val="22"/>
              </w:rPr>
              <w:t>MAIS 1</w:t>
            </w:r>
          </w:p>
        </w:tc>
        <w:tc>
          <w:tcPr>
            <w:tcW w:w="2468" w:type="dxa"/>
          </w:tcPr>
          <w:p w14:paraId="78010539" w14:textId="77777777" w:rsidR="00B83E88" w:rsidRPr="00934F2C" w:rsidRDefault="000F5B51" w:rsidP="00B83E88">
            <w:pPr>
              <w:spacing w:line="240" w:lineRule="auto"/>
              <w:jc w:val="center"/>
              <w:rPr>
                <w:sz w:val="22"/>
              </w:rPr>
            </w:pPr>
            <w:r w:rsidRPr="00730FC4">
              <w:t>3.66</w:t>
            </w:r>
          </w:p>
        </w:tc>
        <w:tc>
          <w:tcPr>
            <w:tcW w:w="2468" w:type="dxa"/>
            <w:vAlign w:val="center"/>
          </w:tcPr>
          <w:p w14:paraId="5A32517E" w14:textId="77777777" w:rsidR="00B83E88" w:rsidRPr="00901065" w:rsidRDefault="000F5B51" w:rsidP="00B83E88">
            <w:pPr>
              <w:spacing w:line="240" w:lineRule="auto"/>
              <w:jc w:val="center"/>
              <w:rPr>
                <w:b/>
                <w:bCs/>
                <w:sz w:val="22"/>
              </w:rPr>
            </w:pPr>
            <w:r>
              <w:rPr>
                <w:color w:val="000000"/>
                <w:sz w:val="22"/>
              </w:rPr>
              <w:t xml:space="preserve">$56,035 </w:t>
            </w:r>
          </w:p>
        </w:tc>
        <w:tc>
          <w:tcPr>
            <w:tcW w:w="2468" w:type="dxa"/>
            <w:vAlign w:val="center"/>
          </w:tcPr>
          <w:p w14:paraId="576D3D4B" w14:textId="77777777" w:rsidR="00B83E88" w:rsidRPr="00934F2C" w:rsidRDefault="000F5B51" w:rsidP="00B83E88">
            <w:pPr>
              <w:spacing w:line="240" w:lineRule="auto"/>
              <w:jc w:val="center"/>
              <w:rPr>
                <w:sz w:val="22"/>
              </w:rPr>
            </w:pPr>
            <w:r>
              <w:rPr>
                <w:color w:val="000000"/>
                <w:sz w:val="22"/>
              </w:rPr>
              <w:t xml:space="preserve">$205,234 </w:t>
            </w:r>
          </w:p>
        </w:tc>
      </w:tr>
      <w:tr w:rsidR="00A15C2C" w14:paraId="4E6BBA35" w14:textId="77777777" w:rsidTr="00D56CE7">
        <w:trPr>
          <w:trHeight w:val="233"/>
        </w:trPr>
        <w:tc>
          <w:tcPr>
            <w:tcW w:w="2468" w:type="dxa"/>
          </w:tcPr>
          <w:p w14:paraId="539282F7" w14:textId="77777777" w:rsidR="00B83E88" w:rsidRPr="00934F2C" w:rsidRDefault="000F5B51" w:rsidP="00B83E88">
            <w:pPr>
              <w:spacing w:line="240" w:lineRule="auto"/>
              <w:rPr>
                <w:b/>
                <w:bCs/>
                <w:sz w:val="22"/>
              </w:rPr>
            </w:pPr>
            <w:r w:rsidRPr="00934F2C">
              <w:rPr>
                <w:color w:val="000000"/>
                <w:sz w:val="22"/>
              </w:rPr>
              <w:t>MAIS 2</w:t>
            </w:r>
          </w:p>
        </w:tc>
        <w:tc>
          <w:tcPr>
            <w:tcW w:w="2468" w:type="dxa"/>
          </w:tcPr>
          <w:p w14:paraId="36B726A2" w14:textId="77777777" w:rsidR="00B83E88" w:rsidRPr="00934F2C" w:rsidRDefault="000F5B51" w:rsidP="00B83E88">
            <w:pPr>
              <w:spacing w:line="240" w:lineRule="auto"/>
              <w:jc w:val="center"/>
              <w:rPr>
                <w:sz w:val="22"/>
              </w:rPr>
            </w:pPr>
            <w:r w:rsidRPr="00730FC4">
              <w:t>20.48</w:t>
            </w:r>
          </w:p>
        </w:tc>
        <w:tc>
          <w:tcPr>
            <w:tcW w:w="2468" w:type="dxa"/>
            <w:vAlign w:val="center"/>
          </w:tcPr>
          <w:p w14:paraId="2B51D3B8" w14:textId="77777777" w:rsidR="00B83E88" w:rsidRPr="00901065" w:rsidRDefault="000F5B51" w:rsidP="00B83E88">
            <w:pPr>
              <w:spacing w:line="240" w:lineRule="auto"/>
              <w:jc w:val="center"/>
              <w:rPr>
                <w:b/>
                <w:bCs/>
                <w:sz w:val="22"/>
              </w:rPr>
            </w:pPr>
            <w:r>
              <w:rPr>
                <w:color w:val="000000"/>
                <w:sz w:val="22"/>
              </w:rPr>
              <w:t xml:space="preserve">$553,146 </w:t>
            </w:r>
          </w:p>
        </w:tc>
        <w:tc>
          <w:tcPr>
            <w:tcW w:w="2468" w:type="dxa"/>
            <w:vAlign w:val="center"/>
          </w:tcPr>
          <w:p w14:paraId="7D33FC87" w14:textId="77777777" w:rsidR="00B83E88" w:rsidRPr="00934F2C" w:rsidRDefault="000F5B51" w:rsidP="00B83E88">
            <w:pPr>
              <w:spacing w:line="240" w:lineRule="auto"/>
              <w:jc w:val="center"/>
              <w:rPr>
                <w:sz w:val="22"/>
              </w:rPr>
            </w:pPr>
            <w:r>
              <w:rPr>
                <w:color w:val="000000"/>
                <w:sz w:val="22"/>
              </w:rPr>
              <w:t xml:space="preserve">$11,329,550 </w:t>
            </w:r>
          </w:p>
        </w:tc>
      </w:tr>
      <w:tr w:rsidR="00A15C2C" w14:paraId="5A670C20" w14:textId="77777777" w:rsidTr="00D56CE7">
        <w:trPr>
          <w:trHeight w:val="248"/>
        </w:trPr>
        <w:tc>
          <w:tcPr>
            <w:tcW w:w="2468" w:type="dxa"/>
          </w:tcPr>
          <w:p w14:paraId="15D36424" w14:textId="77777777" w:rsidR="00B83E88" w:rsidRPr="00934F2C" w:rsidRDefault="000F5B51" w:rsidP="00B83E88">
            <w:pPr>
              <w:spacing w:line="240" w:lineRule="auto"/>
              <w:rPr>
                <w:b/>
                <w:bCs/>
                <w:color w:val="000000"/>
                <w:sz w:val="22"/>
              </w:rPr>
            </w:pPr>
            <w:r w:rsidRPr="00934F2C">
              <w:rPr>
                <w:sz w:val="22"/>
              </w:rPr>
              <w:t>MAIS 3</w:t>
            </w:r>
          </w:p>
        </w:tc>
        <w:tc>
          <w:tcPr>
            <w:tcW w:w="2468" w:type="dxa"/>
          </w:tcPr>
          <w:p w14:paraId="69B5673B" w14:textId="77777777" w:rsidR="00B83E88" w:rsidRPr="00934F2C" w:rsidRDefault="000F5B51" w:rsidP="00B83E88">
            <w:pPr>
              <w:spacing w:line="240" w:lineRule="auto"/>
              <w:jc w:val="center"/>
              <w:rPr>
                <w:sz w:val="22"/>
              </w:rPr>
            </w:pPr>
            <w:r w:rsidRPr="00730FC4">
              <w:t>3.88</w:t>
            </w:r>
          </w:p>
        </w:tc>
        <w:tc>
          <w:tcPr>
            <w:tcW w:w="2468" w:type="dxa"/>
            <w:vAlign w:val="center"/>
          </w:tcPr>
          <w:p w14:paraId="6F463E70" w14:textId="77777777" w:rsidR="00B83E88" w:rsidRPr="00901065" w:rsidRDefault="000F5B51" w:rsidP="00B83E88">
            <w:pPr>
              <w:spacing w:line="240" w:lineRule="auto"/>
              <w:jc w:val="center"/>
              <w:rPr>
                <w:b/>
                <w:bCs/>
                <w:sz w:val="22"/>
              </w:rPr>
            </w:pPr>
            <w:r>
              <w:rPr>
                <w:color w:val="000000"/>
                <w:sz w:val="22"/>
              </w:rPr>
              <w:t xml:space="preserve">$1,307,335 </w:t>
            </w:r>
          </w:p>
        </w:tc>
        <w:tc>
          <w:tcPr>
            <w:tcW w:w="2468" w:type="dxa"/>
            <w:vAlign w:val="center"/>
          </w:tcPr>
          <w:p w14:paraId="74D64020" w14:textId="77777777" w:rsidR="00B83E88" w:rsidRPr="00934F2C" w:rsidRDefault="000F5B51" w:rsidP="00B83E88">
            <w:pPr>
              <w:spacing w:line="240" w:lineRule="auto"/>
              <w:jc w:val="center"/>
              <w:rPr>
                <w:sz w:val="22"/>
              </w:rPr>
            </w:pPr>
            <w:r>
              <w:rPr>
                <w:color w:val="000000"/>
                <w:sz w:val="22"/>
              </w:rPr>
              <w:t xml:space="preserve">$5,073,850 </w:t>
            </w:r>
          </w:p>
        </w:tc>
      </w:tr>
      <w:tr w:rsidR="00A15C2C" w14:paraId="41C37B44" w14:textId="77777777" w:rsidTr="00D56CE7">
        <w:trPr>
          <w:trHeight w:val="233"/>
        </w:trPr>
        <w:tc>
          <w:tcPr>
            <w:tcW w:w="2468" w:type="dxa"/>
          </w:tcPr>
          <w:p w14:paraId="3E49153F" w14:textId="77777777" w:rsidR="00B83E88" w:rsidRPr="00934F2C" w:rsidRDefault="000F5B51" w:rsidP="00B83E88">
            <w:pPr>
              <w:spacing w:line="240" w:lineRule="auto"/>
              <w:rPr>
                <w:b/>
                <w:bCs/>
                <w:sz w:val="22"/>
              </w:rPr>
            </w:pPr>
            <w:r w:rsidRPr="00934F2C">
              <w:rPr>
                <w:color w:val="000000"/>
                <w:sz w:val="22"/>
              </w:rPr>
              <w:t>MAIS 4</w:t>
            </w:r>
          </w:p>
        </w:tc>
        <w:tc>
          <w:tcPr>
            <w:tcW w:w="2468" w:type="dxa"/>
          </w:tcPr>
          <w:p w14:paraId="14C0E1C3" w14:textId="77777777" w:rsidR="00B83E88" w:rsidRPr="00934F2C" w:rsidRDefault="000F5B51" w:rsidP="00B83E88">
            <w:pPr>
              <w:spacing w:line="240" w:lineRule="auto"/>
              <w:jc w:val="center"/>
              <w:rPr>
                <w:sz w:val="22"/>
              </w:rPr>
            </w:pPr>
            <w:r w:rsidRPr="00730FC4">
              <w:t>3.08</w:t>
            </w:r>
          </w:p>
        </w:tc>
        <w:tc>
          <w:tcPr>
            <w:tcW w:w="2468" w:type="dxa"/>
            <w:vAlign w:val="center"/>
          </w:tcPr>
          <w:p w14:paraId="46A1C171" w14:textId="77777777" w:rsidR="00B83E88" w:rsidRPr="00901065" w:rsidRDefault="000F5B51" w:rsidP="00B83E88">
            <w:pPr>
              <w:spacing w:line="240" w:lineRule="auto"/>
              <w:jc w:val="center"/>
              <w:rPr>
                <w:b/>
                <w:bCs/>
                <w:sz w:val="22"/>
              </w:rPr>
            </w:pPr>
            <w:r>
              <w:rPr>
                <w:color w:val="000000"/>
                <w:sz w:val="22"/>
              </w:rPr>
              <w:t xml:space="preserve">$3,215,701 </w:t>
            </w:r>
          </w:p>
        </w:tc>
        <w:tc>
          <w:tcPr>
            <w:tcW w:w="2468" w:type="dxa"/>
            <w:vAlign w:val="center"/>
          </w:tcPr>
          <w:p w14:paraId="4686F074" w14:textId="77777777" w:rsidR="00B83E88" w:rsidRPr="00934F2C" w:rsidRDefault="000F5B51" w:rsidP="00B83E88">
            <w:pPr>
              <w:spacing w:line="240" w:lineRule="auto"/>
              <w:jc w:val="center"/>
              <w:rPr>
                <w:sz w:val="22"/>
              </w:rPr>
            </w:pPr>
            <w:r>
              <w:rPr>
                <w:color w:val="000000"/>
                <w:sz w:val="22"/>
              </w:rPr>
              <w:t xml:space="preserve">$9,913,180 </w:t>
            </w:r>
          </w:p>
        </w:tc>
      </w:tr>
      <w:tr w:rsidR="00A15C2C" w14:paraId="13AA914B" w14:textId="77777777" w:rsidTr="00D56CE7">
        <w:trPr>
          <w:trHeight w:val="75"/>
        </w:trPr>
        <w:tc>
          <w:tcPr>
            <w:tcW w:w="2468" w:type="dxa"/>
          </w:tcPr>
          <w:p w14:paraId="035CB37A" w14:textId="77777777" w:rsidR="00B83E88" w:rsidRPr="00934F2C" w:rsidRDefault="000F5B51" w:rsidP="00B83E88">
            <w:pPr>
              <w:spacing w:line="240" w:lineRule="auto"/>
              <w:rPr>
                <w:b/>
                <w:bCs/>
                <w:color w:val="000000"/>
                <w:sz w:val="22"/>
              </w:rPr>
            </w:pPr>
            <w:r w:rsidRPr="00934F2C">
              <w:rPr>
                <w:sz w:val="22"/>
              </w:rPr>
              <w:t>MAIS 5</w:t>
            </w:r>
          </w:p>
        </w:tc>
        <w:tc>
          <w:tcPr>
            <w:tcW w:w="2468" w:type="dxa"/>
          </w:tcPr>
          <w:p w14:paraId="165E05A5" w14:textId="77777777" w:rsidR="00B83E88" w:rsidRPr="00934F2C" w:rsidRDefault="000F5B51" w:rsidP="00B83E88">
            <w:pPr>
              <w:spacing w:line="240" w:lineRule="auto"/>
              <w:jc w:val="center"/>
              <w:rPr>
                <w:sz w:val="22"/>
              </w:rPr>
            </w:pPr>
            <w:r w:rsidRPr="00730FC4">
              <w:t>0.09</w:t>
            </w:r>
          </w:p>
        </w:tc>
        <w:tc>
          <w:tcPr>
            <w:tcW w:w="2468" w:type="dxa"/>
            <w:vAlign w:val="center"/>
          </w:tcPr>
          <w:p w14:paraId="300B58DE" w14:textId="77777777" w:rsidR="00B83E88" w:rsidRPr="00901065" w:rsidRDefault="000F5B51" w:rsidP="00B83E88">
            <w:pPr>
              <w:spacing w:line="240" w:lineRule="auto"/>
              <w:jc w:val="center"/>
              <w:rPr>
                <w:b/>
                <w:bCs/>
                <w:sz w:val="22"/>
              </w:rPr>
            </w:pPr>
            <w:r>
              <w:rPr>
                <w:color w:val="000000"/>
                <w:sz w:val="22"/>
              </w:rPr>
              <w:t xml:space="preserve">$7,327,043 </w:t>
            </w:r>
          </w:p>
        </w:tc>
        <w:tc>
          <w:tcPr>
            <w:tcW w:w="2468" w:type="dxa"/>
            <w:vAlign w:val="center"/>
          </w:tcPr>
          <w:p w14:paraId="3E5D12E4" w14:textId="77777777" w:rsidR="00B83E88" w:rsidRPr="00934F2C" w:rsidRDefault="000F5B51" w:rsidP="00B83E88">
            <w:pPr>
              <w:spacing w:line="240" w:lineRule="auto"/>
              <w:jc w:val="center"/>
              <w:rPr>
                <w:sz w:val="22"/>
              </w:rPr>
            </w:pPr>
            <w:r>
              <w:rPr>
                <w:color w:val="000000"/>
                <w:sz w:val="22"/>
              </w:rPr>
              <w:t xml:space="preserve">$629,927 </w:t>
            </w:r>
          </w:p>
        </w:tc>
      </w:tr>
      <w:tr w:rsidR="00A15C2C" w14:paraId="1C3CC30B" w14:textId="77777777" w:rsidTr="00D56CE7">
        <w:trPr>
          <w:trHeight w:val="233"/>
        </w:trPr>
        <w:tc>
          <w:tcPr>
            <w:tcW w:w="2468" w:type="dxa"/>
          </w:tcPr>
          <w:p w14:paraId="1194A345" w14:textId="77777777" w:rsidR="00B83E88" w:rsidRPr="00934F2C" w:rsidRDefault="000F5B51" w:rsidP="00B83E88">
            <w:pPr>
              <w:spacing w:line="240" w:lineRule="auto"/>
              <w:rPr>
                <w:b/>
                <w:bCs/>
                <w:sz w:val="22"/>
              </w:rPr>
            </w:pPr>
            <w:r w:rsidRPr="00934F2C">
              <w:rPr>
                <w:color w:val="000000"/>
                <w:sz w:val="22"/>
              </w:rPr>
              <w:t>Fatalities</w:t>
            </w:r>
          </w:p>
        </w:tc>
        <w:tc>
          <w:tcPr>
            <w:tcW w:w="2468" w:type="dxa"/>
          </w:tcPr>
          <w:p w14:paraId="0E484A50" w14:textId="77777777" w:rsidR="00B83E88" w:rsidRPr="00934F2C" w:rsidRDefault="000F5B51" w:rsidP="00B83E88">
            <w:pPr>
              <w:spacing w:line="240" w:lineRule="auto"/>
              <w:jc w:val="center"/>
              <w:rPr>
                <w:sz w:val="22"/>
              </w:rPr>
            </w:pPr>
            <w:r w:rsidRPr="00730FC4">
              <w:t>11.39</w:t>
            </w:r>
          </w:p>
        </w:tc>
        <w:tc>
          <w:tcPr>
            <w:tcW w:w="2468" w:type="dxa"/>
            <w:vAlign w:val="center"/>
          </w:tcPr>
          <w:p w14:paraId="0657940A" w14:textId="77777777" w:rsidR="00B83E88" w:rsidRPr="00901065" w:rsidRDefault="000F5B51" w:rsidP="00B83E88">
            <w:pPr>
              <w:spacing w:line="240" w:lineRule="auto"/>
              <w:jc w:val="center"/>
              <w:rPr>
                <w:b/>
                <w:bCs/>
                <w:sz w:val="22"/>
              </w:rPr>
            </w:pPr>
            <w:r>
              <w:rPr>
                <w:color w:val="000000"/>
                <w:sz w:val="22"/>
              </w:rPr>
              <w:t xml:space="preserve">$11,950,834 </w:t>
            </w:r>
          </w:p>
        </w:tc>
        <w:tc>
          <w:tcPr>
            <w:tcW w:w="2468" w:type="dxa"/>
            <w:vAlign w:val="center"/>
          </w:tcPr>
          <w:p w14:paraId="68D70737" w14:textId="77777777" w:rsidR="00B83E88" w:rsidRPr="00934F2C" w:rsidRDefault="000F5B51" w:rsidP="00B83E88">
            <w:pPr>
              <w:spacing w:line="240" w:lineRule="auto"/>
              <w:jc w:val="center"/>
              <w:rPr>
                <w:sz w:val="22"/>
              </w:rPr>
            </w:pPr>
            <w:r>
              <w:rPr>
                <w:color w:val="000000"/>
                <w:sz w:val="22"/>
              </w:rPr>
              <w:t xml:space="preserve">$136,098,602 </w:t>
            </w:r>
          </w:p>
        </w:tc>
      </w:tr>
      <w:tr w:rsidR="00621618" w14:paraId="21914B31" w14:textId="77777777" w:rsidTr="00DE6F57">
        <w:trPr>
          <w:trHeight w:val="233"/>
        </w:trPr>
        <w:tc>
          <w:tcPr>
            <w:tcW w:w="4936" w:type="dxa"/>
            <w:gridSpan w:val="2"/>
            <w:tcBorders>
              <w:right w:val="single" w:sz="4" w:space="0" w:color="FFFFFF"/>
            </w:tcBorders>
            <w:vAlign w:val="center"/>
          </w:tcPr>
          <w:p w14:paraId="14994ABF" w14:textId="4D08B455" w:rsidR="00621618" w:rsidRPr="00334AE5" w:rsidRDefault="00621618" w:rsidP="00DE6F57">
            <w:pPr>
              <w:spacing w:line="240" w:lineRule="auto"/>
              <w:rPr>
                <w:b/>
                <w:bCs/>
              </w:rPr>
            </w:pPr>
            <w:r w:rsidRPr="00934F2C">
              <w:rPr>
                <w:b/>
                <w:bCs/>
                <w:color w:val="000000"/>
              </w:rPr>
              <w:t>Total</w:t>
            </w:r>
            <w:r>
              <w:rPr>
                <w:b/>
                <w:bCs/>
                <w:color w:val="000000"/>
              </w:rPr>
              <w:t>, Right Front Seat Occupants</w:t>
            </w:r>
          </w:p>
        </w:tc>
        <w:tc>
          <w:tcPr>
            <w:tcW w:w="2468" w:type="dxa"/>
            <w:tcBorders>
              <w:left w:val="single" w:sz="4" w:space="0" w:color="FFFFFF"/>
              <w:right w:val="single" w:sz="4" w:space="0" w:color="FFFFFF"/>
            </w:tcBorders>
            <w:vAlign w:val="center"/>
          </w:tcPr>
          <w:p w14:paraId="57D530E4" w14:textId="77777777" w:rsidR="00621618" w:rsidRPr="00572735" w:rsidRDefault="00621618" w:rsidP="00B83E88">
            <w:pPr>
              <w:spacing w:line="240" w:lineRule="auto"/>
              <w:jc w:val="center"/>
              <w:rPr>
                <w:rFonts w:ascii="Calibri" w:hAnsi="Calibri" w:cs="Calibri"/>
                <w:b/>
                <w:bCs/>
                <w:color w:val="000000" w:themeColor="text1"/>
                <w:sz w:val="22"/>
              </w:rPr>
            </w:pPr>
            <w:r>
              <w:rPr>
                <w:rFonts w:ascii="Calibri" w:hAnsi="Calibri" w:cs="Calibri"/>
                <w:b/>
                <w:bCs/>
                <w:color w:val="000000"/>
              </w:rPr>
              <w:t> </w:t>
            </w:r>
          </w:p>
        </w:tc>
        <w:tc>
          <w:tcPr>
            <w:tcW w:w="2468" w:type="dxa"/>
            <w:tcBorders>
              <w:left w:val="single" w:sz="4" w:space="0" w:color="FFFFFF"/>
            </w:tcBorders>
            <w:vAlign w:val="center"/>
          </w:tcPr>
          <w:p w14:paraId="28C17AD0" w14:textId="77777777" w:rsidR="00621618" w:rsidRPr="00F06316" w:rsidRDefault="00621618" w:rsidP="00B83E88">
            <w:pPr>
              <w:spacing w:line="240" w:lineRule="auto"/>
              <w:jc w:val="center"/>
              <w:rPr>
                <w:b/>
                <w:color w:val="000000"/>
              </w:rPr>
            </w:pPr>
            <w:r>
              <w:rPr>
                <w:b/>
                <w:bCs/>
                <w:color w:val="000000"/>
              </w:rPr>
              <w:t>$163,250,343</w:t>
            </w:r>
          </w:p>
        </w:tc>
      </w:tr>
    </w:tbl>
    <w:p w14:paraId="5DFE512B" w14:textId="0D3BA9F8" w:rsidR="00472C07" w:rsidRPr="00934F2C" w:rsidRDefault="000F5B51" w:rsidP="00472C07">
      <w:pPr>
        <w:spacing w:after="0"/>
        <w:contextualSpacing/>
        <w:rPr>
          <w:rFonts w:cs="Times New Roman"/>
          <w:sz w:val="18"/>
          <w:szCs w:val="18"/>
        </w:rPr>
      </w:pPr>
      <w:r w:rsidRPr="00934F2C">
        <w:rPr>
          <w:rFonts w:cs="Times New Roman"/>
          <w:sz w:val="18"/>
          <w:szCs w:val="18"/>
        </w:rPr>
        <w:t xml:space="preserve">Note: </w:t>
      </w:r>
      <w:r w:rsidR="00496220">
        <w:rPr>
          <w:rFonts w:cs="Times New Roman"/>
          <w:sz w:val="18"/>
          <w:szCs w:val="18"/>
        </w:rPr>
        <w:t>V</w:t>
      </w:r>
      <w:r w:rsidRPr="00934F2C">
        <w:rPr>
          <w:rFonts w:cs="Times New Roman"/>
          <w:sz w:val="18"/>
          <w:szCs w:val="18"/>
        </w:rPr>
        <w:t>alues may not sum due to rounding.</w:t>
      </w:r>
    </w:p>
    <w:p w14:paraId="4E9A578F" w14:textId="36302318" w:rsidR="005411DB" w:rsidRDefault="000F5B51" w:rsidP="004C5067">
      <w:pPr>
        <w:spacing w:after="0"/>
        <w:contextualSpacing/>
        <w:rPr>
          <w:rFonts w:cs="Times New Roman"/>
          <w:szCs w:val="24"/>
        </w:rPr>
      </w:pPr>
      <w:r w:rsidRPr="00D428F2">
        <w:fldChar w:fldCharType="begin"/>
      </w:r>
      <w:r w:rsidRPr="00716965">
        <w:instrText xml:space="preserve"> REF _Ref126847322 \h </w:instrText>
      </w:r>
      <w:r w:rsidR="00650A09">
        <w:instrText xml:space="preserve"> \* MERGEFORMAT </w:instrText>
      </w:r>
      <w:r w:rsidRPr="00D428F2">
        <w:fldChar w:fldCharType="separate"/>
      </w:r>
      <w:r w:rsidR="00A65CB3">
        <w:t xml:space="preserve">Table </w:t>
      </w:r>
      <w:r w:rsidR="00A65CB3">
        <w:rPr>
          <w:noProof/>
        </w:rPr>
        <w:t>76</w:t>
      </w:r>
      <w:r w:rsidRPr="00D428F2">
        <w:fldChar w:fldCharType="end"/>
      </w:r>
      <w:r w:rsidRPr="00D428F2">
        <w:t xml:space="preserve"> </w:t>
      </w:r>
      <w:r w:rsidR="001A7784" w:rsidRPr="00D428F2">
        <w:t>presents the monetized benefits for all front seat occupants</w:t>
      </w:r>
      <w:r w:rsidR="001F2F92" w:rsidRPr="00D428F2">
        <w:t xml:space="preserve">. </w:t>
      </w:r>
      <w:r w:rsidR="00044C6F" w:rsidRPr="005F0E59">
        <w:t>Monetized benefits associated with r</w:t>
      </w:r>
      <w:r w:rsidR="00044C6F" w:rsidRPr="001D0BC2">
        <w:rPr>
          <w:rFonts w:cs="Times New Roman"/>
          <w:szCs w:val="24"/>
        </w:rPr>
        <w:t>equirements for</w:t>
      </w:r>
      <w:r w:rsidR="001A7784" w:rsidRPr="00DE446C">
        <w:rPr>
          <w:rFonts w:cs="Times New Roman"/>
          <w:szCs w:val="24"/>
        </w:rPr>
        <w:t xml:space="preserve"> the indefinite warning</w:t>
      </w:r>
      <w:r w:rsidR="00044C6F" w:rsidRPr="006E7185">
        <w:rPr>
          <w:rFonts w:cs="Times New Roman"/>
          <w:szCs w:val="24"/>
        </w:rPr>
        <w:t xml:space="preserve"> for front </w:t>
      </w:r>
      <w:r w:rsidR="00044C6F" w:rsidRPr="00F559C5">
        <w:rPr>
          <w:rFonts w:cs="Times New Roman"/>
          <w:szCs w:val="24"/>
        </w:rPr>
        <w:t xml:space="preserve">seat occupants are estimated at </w:t>
      </w:r>
      <w:r w:rsidR="00F14F6C" w:rsidRPr="0008636C">
        <w:rPr>
          <w:rFonts w:cs="Times New Roman"/>
          <w:szCs w:val="24"/>
        </w:rPr>
        <w:t xml:space="preserve">approximately </w:t>
      </w:r>
      <w:r w:rsidR="00044C6F" w:rsidRPr="00A83BA9">
        <w:rPr>
          <w:rFonts w:cs="Times New Roman"/>
          <w:szCs w:val="24"/>
        </w:rPr>
        <w:t>$1</w:t>
      </w:r>
      <w:r w:rsidR="00F14F6C" w:rsidRPr="0027589B">
        <w:rPr>
          <w:rFonts w:cs="Times New Roman"/>
          <w:szCs w:val="24"/>
        </w:rPr>
        <w:t>.1</w:t>
      </w:r>
      <w:r w:rsidR="00996852" w:rsidRPr="00E42BB8">
        <w:rPr>
          <w:rFonts w:cs="Times New Roman"/>
          <w:szCs w:val="24"/>
        </w:rPr>
        <w:t>1</w:t>
      </w:r>
      <w:r w:rsidR="00044C6F" w:rsidRPr="00650A09">
        <w:rPr>
          <w:rFonts w:cs="Times New Roman"/>
          <w:szCs w:val="24"/>
        </w:rPr>
        <w:t xml:space="preserve"> </w:t>
      </w:r>
      <w:r w:rsidR="00F14F6C" w:rsidRPr="00650A09">
        <w:rPr>
          <w:rFonts w:cs="Times New Roman"/>
          <w:szCs w:val="24"/>
        </w:rPr>
        <w:t>b</w:t>
      </w:r>
      <w:r w:rsidR="00044C6F" w:rsidRPr="00650A09">
        <w:rPr>
          <w:rFonts w:cs="Times New Roman"/>
          <w:szCs w:val="24"/>
        </w:rPr>
        <w:t>illion, annually</w:t>
      </w:r>
      <w:r w:rsidR="001F2F92" w:rsidRPr="00650A09">
        <w:rPr>
          <w:rFonts w:cs="Times New Roman"/>
          <w:szCs w:val="24"/>
        </w:rPr>
        <w:t xml:space="preserve">. </w:t>
      </w:r>
      <w:r w:rsidR="00C03755" w:rsidRPr="00650A09">
        <w:rPr>
          <w:rFonts w:cs="Times New Roman"/>
          <w:szCs w:val="24"/>
        </w:rPr>
        <w:t>Approximately $9</w:t>
      </w:r>
      <w:r w:rsidR="00996852" w:rsidRPr="00E42BB8">
        <w:rPr>
          <w:rFonts w:cs="Times New Roman"/>
          <w:szCs w:val="24"/>
        </w:rPr>
        <w:t>43</w:t>
      </w:r>
      <w:r w:rsidR="00C03755" w:rsidRPr="00650A09">
        <w:rPr>
          <w:rFonts w:cs="Times New Roman"/>
          <w:szCs w:val="24"/>
        </w:rPr>
        <w:t xml:space="preserve"> million of those monetized benefits are the result of increase seat belt use for drivers and approximately $163 million are from the increase in seat belt use for right front seat occupants.</w:t>
      </w:r>
    </w:p>
    <w:p w14:paraId="121DF9A5" w14:textId="4775A8BE" w:rsidR="00472C07" w:rsidRDefault="000F5B51" w:rsidP="00472C07">
      <w:pPr>
        <w:pStyle w:val="Caption"/>
        <w:rPr>
          <w:rFonts w:cs="Times New Roman"/>
          <w:sz w:val="18"/>
        </w:rPr>
      </w:pPr>
      <w:bookmarkStart w:id="1558" w:name="_Ref126847288"/>
      <w:bookmarkStart w:id="1559" w:name="_Ref126847322"/>
      <w:r>
        <w:t>Table</w:t>
      </w:r>
      <w:bookmarkEnd w:id="1558"/>
      <w:r>
        <w:t xml:space="preserve"> </w:t>
      </w:r>
      <w:r w:rsidR="00115BAB">
        <w:fldChar w:fldCharType="begin"/>
      </w:r>
      <w:r>
        <w:instrText xml:space="preserve"> SEQ Table \* ARABIC </w:instrText>
      </w:r>
      <w:r w:rsidR="00115BAB">
        <w:fldChar w:fldCharType="separate"/>
      </w:r>
      <w:r w:rsidR="00A65CB3">
        <w:rPr>
          <w:noProof/>
        </w:rPr>
        <w:t>76</w:t>
      </w:r>
      <w:r w:rsidR="00115BAB">
        <w:rPr>
          <w:noProof/>
        </w:rPr>
        <w:fldChar w:fldCharType="end"/>
      </w:r>
      <w:bookmarkEnd w:id="1559"/>
      <w:r>
        <w:t xml:space="preserve">: </w:t>
      </w:r>
      <w:r w:rsidR="005700A0">
        <w:t>Monetized Benefits</w:t>
      </w:r>
      <w:r>
        <w:t xml:space="preserve"> for Front Seat Occupants</w:t>
      </w:r>
      <w:r w:rsidR="00AC6780">
        <w:t xml:space="preserve"> (Millions)</w:t>
      </w:r>
    </w:p>
    <w:tbl>
      <w:tblPr>
        <w:tblStyle w:val="TableGrid"/>
        <w:tblW w:w="9872" w:type="dxa"/>
        <w:tblLook w:val="04A0" w:firstRow="1" w:lastRow="0" w:firstColumn="1" w:lastColumn="0" w:noHBand="0" w:noVBand="1"/>
      </w:tblPr>
      <w:tblGrid>
        <w:gridCol w:w="2468"/>
        <w:gridCol w:w="2468"/>
        <w:gridCol w:w="2468"/>
        <w:gridCol w:w="2468"/>
      </w:tblGrid>
      <w:tr w:rsidR="00A15C2C" w14:paraId="3CD5AFEF" w14:textId="77777777" w:rsidTr="00D56CE7">
        <w:trPr>
          <w:trHeight w:val="337"/>
        </w:trPr>
        <w:tc>
          <w:tcPr>
            <w:tcW w:w="2468" w:type="dxa"/>
            <w:shd w:val="clear" w:color="auto" w:fill="BFBFBF" w:themeFill="background1" w:themeFillShade="BF"/>
            <w:vAlign w:val="center"/>
          </w:tcPr>
          <w:p w14:paraId="22FEF514" w14:textId="77777777" w:rsidR="00472C07" w:rsidRPr="00A52D46" w:rsidRDefault="000F5B51">
            <w:pPr>
              <w:spacing w:line="240" w:lineRule="auto"/>
              <w:rPr>
                <w:b/>
                <w:bCs/>
              </w:rPr>
            </w:pPr>
            <w:r w:rsidRPr="00A52D46">
              <w:rPr>
                <w:b/>
                <w:bCs/>
              </w:rPr>
              <w:t>Category</w:t>
            </w:r>
          </w:p>
        </w:tc>
        <w:tc>
          <w:tcPr>
            <w:tcW w:w="2468" w:type="dxa"/>
            <w:shd w:val="clear" w:color="auto" w:fill="BFBFBF" w:themeFill="background1" w:themeFillShade="BF"/>
            <w:vAlign w:val="center"/>
          </w:tcPr>
          <w:p w14:paraId="2A0CB458" w14:textId="77777777" w:rsidR="00472C07" w:rsidRPr="00A52D46" w:rsidRDefault="000F5B51">
            <w:pPr>
              <w:spacing w:line="240" w:lineRule="auto"/>
              <w:jc w:val="center"/>
              <w:rPr>
                <w:b/>
                <w:bCs/>
              </w:rPr>
            </w:pPr>
            <w:r>
              <w:rPr>
                <w:b/>
                <w:bCs/>
              </w:rPr>
              <w:t>Drivers</w:t>
            </w:r>
          </w:p>
        </w:tc>
        <w:tc>
          <w:tcPr>
            <w:tcW w:w="2468" w:type="dxa"/>
            <w:shd w:val="clear" w:color="auto" w:fill="BFBFBF" w:themeFill="background1" w:themeFillShade="BF"/>
            <w:vAlign w:val="center"/>
          </w:tcPr>
          <w:p w14:paraId="446F50A9" w14:textId="77777777" w:rsidR="00472C07" w:rsidRPr="00A52D46" w:rsidRDefault="000F5B51">
            <w:pPr>
              <w:spacing w:line="240" w:lineRule="auto"/>
              <w:jc w:val="center"/>
              <w:rPr>
                <w:b/>
                <w:bCs/>
              </w:rPr>
            </w:pPr>
            <w:r>
              <w:rPr>
                <w:b/>
                <w:bCs/>
              </w:rPr>
              <w:t>Right Front Seat Occupants</w:t>
            </w:r>
          </w:p>
        </w:tc>
        <w:tc>
          <w:tcPr>
            <w:tcW w:w="2468" w:type="dxa"/>
            <w:shd w:val="clear" w:color="auto" w:fill="BFBFBF" w:themeFill="background1" w:themeFillShade="BF"/>
            <w:vAlign w:val="center"/>
          </w:tcPr>
          <w:p w14:paraId="7D76422D" w14:textId="77777777" w:rsidR="00472C07" w:rsidRPr="00A52D46" w:rsidRDefault="000F5B51">
            <w:pPr>
              <w:spacing w:line="240" w:lineRule="auto"/>
              <w:jc w:val="center"/>
              <w:rPr>
                <w:b/>
                <w:bCs/>
              </w:rPr>
            </w:pPr>
            <w:r>
              <w:rPr>
                <w:b/>
                <w:bCs/>
              </w:rPr>
              <w:t>Total</w:t>
            </w:r>
          </w:p>
        </w:tc>
      </w:tr>
      <w:tr w:rsidR="00A15C2C" w14:paraId="36322115" w14:textId="77777777" w:rsidTr="00D56CE7">
        <w:trPr>
          <w:trHeight w:val="233"/>
        </w:trPr>
        <w:tc>
          <w:tcPr>
            <w:tcW w:w="2468" w:type="dxa"/>
            <w:vAlign w:val="center"/>
          </w:tcPr>
          <w:p w14:paraId="6CCB39C4" w14:textId="77777777" w:rsidR="00472C07" w:rsidRPr="00934F2C" w:rsidRDefault="000F5B51">
            <w:pPr>
              <w:spacing w:line="240" w:lineRule="auto"/>
              <w:rPr>
                <w:sz w:val="22"/>
              </w:rPr>
            </w:pPr>
            <w:r>
              <w:rPr>
                <w:sz w:val="22"/>
              </w:rPr>
              <w:t>Passenger Cars</w:t>
            </w:r>
          </w:p>
        </w:tc>
        <w:tc>
          <w:tcPr>
            <w:tcW w:w="2468" w:type="dxa"/>
            <w:vAlign w:val="center"/>
          </w:tcPr>
          <w:p w14:paraId="4B73FB27" w14:textId="34FD889F" w:rsidR="00472C07" w:rsidRPr="00572735" w:rsidRDefault="00BF4EA6" w:rsidP="00A807D0">
            <w:pPr>
              <w:spacing w:line="240" w:lineRule="auto"/>
              <w:jc w:val="center"/>
              <w:rPr>
                <w:sz w:val="22"/>
              </w:rPr>
            </w:pPr>
            <w:r>
              <w:rPr>
                <w:sz w:val="22"/>
              </w:rPr>
              <w:t>$422.5</w:t>
            </w:r>
          </w:p>
        </w:tc>
        <w:tc>
          <w:tcPr>
            <w:tcW w:w="2468" w:type="dxa"/>
            <w:vAlign w:val="center"/>
          </w:tcPr>
          <w:p w14:paraId="3B76F730" w14:textId="77777777" w:rsidR="00472C07" w:rsidRPr="00572735" w:rsidRDefault="000F5B51" w:rsidP="00A807D0">
            <w:pPr>
              <w:spacing w:line="240" w:lineRule="auto"/>
              <w:jc w:val="center"/>
              <w:rPr>
                <w:sz w:val="22"/>
              </w:rPr>
            </w:pPr>
            <w:r>
              <w:rPr>
                <w:sz w:val="22"/>
              </w:rPr>
              <w:t>$</w:t>
            </w:r>
            <w:r w:rsidR="00840B29">
              <w:rPr>
                <w:sz w:val="22"/>
              </w:rPr>
              <w:t>79.9</w:t>
            </w:r>
          </w:p>
        </w:tc>
        <w:tc>
          <w:tcPr>
            <w:tcW w:w="2468" w:type="dxa"/>
            <w:vAlign w:val="center"/>
          </w:tcPr>
          <w:p w14:paraId="5DF5B51E" w14:textId="04F62120" w:rsidR="00472C07" w:rsidRPr="00572735" w:rsidRDefault="00E43342" w:rsidP="00A807D0">
            <w:pPr>
              <w:spacing w:line="240" w:lineRule="auto"/>
              <w:jc w:val="center"/>
              <w:rPr>
                <w:color w:val="000000"/>
                <w:sz w:val="22"/>
              </w:rPr>
            </w:pPr>
            <w:r>
              <w:rPr>
                <w:color w:val="000000"/>
                <w:sz w:val="22"/>
              </w:rPr>
              <w:t>$502.4</w:t>
            </w:r>
          </w:p>
        </w:tc>
      </w:tr>
      <w:tr w:rsidR="00A15C2C" w14:paraId="0745F18E" w14:textId="77777777" w:rsidTr="00D56CE7">
        <w:trPr>
          <w:trHeight w:val="233"/>
        </w:trPr>
        <w:tc>
          <w:tcPr>
            <w:tcW w:w="2468" w:type="dxa"/>
            <w:vAlign w:val="center"/>
          </w:tcPr>
          <w:p w14:paraId="3C2BECA9" w14:textId="77777777" w:rsidR="00472C07" w:rsidRPr="00934F2C" w:rsidRDefault="000F5B51">
            <w:pPr>
              <w:spacing w:line="240" w:lineRule="auto"/>
              <w:rPr>
                <w:color w:val="000000"/>
                <w:sz w:val="22"/>
              </w:rPr>
            </w:pPr>
            <w:r>
              <w:rPr>
                <w:color w:val="000000"/>
                <w:sz w:val="22"/>
              </w:rPr>
              <w:t>LTVs</w:t>
            </w:r>
          </w:p>
        </w:tc>
        <w:tc>
          <w:tcPr>
            <w:tcW w:w="2468" w:type="dxa"/>
            <w:vAlign w:val="center"/>
          </w:tcPr>
          <w:p w14:paraId="7C22D48D" w14:textId="7161859D" w:rsidR="00472C07" w:rsidRPr="00572735" w:rsidRDefault="00BF4EA6" w:rsidP="00A807D0">
            <w:pPr>
              <w:spacing w:line="240" w:lineRule="auto"/>
              <w:jc w:val="center"/>
              <w:rPr>
                <w:sz w:val="22"/>
              </w:rPr>
            </w:pPr>
            <w:r>
              <w:rPr>
                <w:sz w:val="22"/>
              </w:rPr>
              <w:t>$520.4</w:t>
            </w:r>
          </w:p>
        </w:tc>
        <w:tc>
          <w:tcPr>
            <w:tcW w:w="2468" w:type="dxa"/>
            <w:vAlign w:val="center"/>
          </w:tcPr>
          <w:p w14:paraId="5F411829" w14:textId="77777777" w:rsidR="00472C07" w:rsidRPr="00572735" w:rsidRDefault="000F5B51" w:rsidP="00A807D0">
            <w:pPr>
              <w:spacing w:line="240" w:lineRule="auto"/>
              <w:jc w:val="center"/>
              <w:rPr>
                <w:color w:val="000000" w:themeColor="text1"/>
                <w:sz w:val="22"/>
              </w:rPr>
            </w:pPr>
            <w:r>
              <w:rPr>
                <w:color w:val="000000" w:themeColor="text1"/>
                <w:sz w:val="22"/>
              </w:rPr>
              <w:t>$83.3</w:t>
            </w:r>
          </w:p>
        </w:tc>
        <w:tc>
          <w:tcPr>
            <w:tcW w:w="2468" w:type="dxa"/>
            <w:vAlign w:val="center"/>
          </w:tcPr>
          <w:p w14:paraId="5F48CF4F" w14:textId="454FD2B1" w:rsidR="00472C07" w:rsidRPr="00572735" w:rsidRDefault="00E43342" w:rsidP="00A807D0">
            <w:pPr>
              <w:spacing w:line="240" w:lineRule="auto"/>
              <w:jc w:val="center"/>
              <w:rPr>
                <w:sz w:val="22"/>
              </w:rPr>
            </w:pPr>
            <w:r>
              <w:rPr>
                <w:sz w:val="22"/>
              </w:rPr>
              <w:t>$603,8</w:t>
            </w:r>
          </w:p>
        </w:tc>
      </w:tr>
      <w:tr w:rsidR="00A15C2C" w14:paraId="00A7D36C" w14:textId="77777777" w:rsidTr="00D56CE7">
        <w:trPr>
          <w:trHeight w:val="233"/>
        </w:trPr>
        <w:tc>
          <w:tcPr>
            <w:tcW w:w="2468" w:type="dxa"/>
            <w:vAlign w:val="center"/>
          </w:tcPr>
          <w:p w14:paraId="21507E9F" w14:textId="77777777" w:rsidR="00472C07" w:rsidRPr="00D56CE7" w:rsidRDefault="000F5B51">
            <w:pPr>
              <w:spacing w:line="240" w:lineRule="auto"/>
              <w:rPr>
                <w:b/>
                <w:bCs/>
                <w:color w:val="000000"/>
                <w:sz w:val="22"/>
              </w:rPr>
            </w:pPr>
            <w:r w:rsidRPr="00D56CE7">
              <w:rPr>
                <w:b/>
                <w:bCs/>
                <w:color w:val="000000"/>
                <w:sz w:val="22"/>
              </w:rPr>
              <w:t xml:space="preserve">Total </w:t>
            </w:r>
          </w:p>
        </w:tc>
        <w:tc>
          <w:tcPr>
            <w:tcW w:w="2468" w:type="dxa"/>
            <w:vAlign w:val="center"/>
          </w:tcPr>
          <w:p w14:paraId="28166FC8" w14:textId="222A57AE" w:rsidR="00472C07" w:rsidRPr="008C4A9C" w:rsidRDefault="00BF4EA6" w:rsidP="00A807D0">
            <w:pPr>
              <w:spacing w:line="240" w:lineRule="auto"/>
              <w:jc w:val="center"/>
              <w:rPr>
                <w:b/>
                <w:bCs/>
                <w:sz w:val="22"/>
              </w:rPr>
            </w:pPr>
            <w:r>
              <w:rPr>
                <w:b/>
                <w:bCs/>
                <w:sz w:val="22"/>
              </w:rPr>
              <w:t>$942.9</w:t>
            </w:r>
          </w:p>
        </w:tc>
        <w:tc>
          <w:tcPr>
            <w:tcW w:w="2468" w:type="dxa"/>
            <w:vAlign w:val="center"/>
          </w:tcPr>
          <w:p w14:paraId="7FCB1336" w14:textId="77777777" w:rsidR="00472C07" w:rsidRDefault="000F5B51" w:rsidP="00A807D0">
            <w:pPr>
              <w:spacing w:line="240" w:lineRule="auto"/>
              <w:jc w:val="center"/>
              <w:rPr>
                <w:b/>
                <w:bCs/>
                <w:color w:val="000000"/>
                <w:sz w:val="22"/>
              </w:rPr>
            </w:pPr>
            <w:r>
              <w:rPr>
                <w:b/>
                <w:bCs/>
                <w:color w:val="000000"/>
                <w:sz w:val="22"/>
              </w:rPr>
              <w:t>$1</w:t>
            </w:r>
            <w:r w:rsidR="00D87A81">
              <w:rPr>
                <w:b/>
                <w:bCs/>
                <w:color w:val="000000"/>
                <w:sz w:val="22"/>
              </w:rPr>
              <w:t>63.2</w:t>
            </w:r>
          </w:p>
        </w:tc>
        <w:tc>
          <w:tcPr>
            <w:tcW w:w="2468" w:type="dxa"/>
            <w:vAlign w:val="center"/>
          </w:tcPr>
          <w:p w14:paraId="2CACEA5E" w14:textId="3A9B71C5" w:rsidR="00472C07" w:rsidRPr="00934F2C" w:rsidRDefault="00996852" w:rsidP="00A807D0">
            <w:pPr>
              <w:spacing w:line="240" w:lineRule="auto"/>
              <w:jc w:val="center"/>
              <w:rPr>
                <w:b/>
                <w:bCs/>
                <w:sz w:val="22"/>
              </w:rPr>
            </w:pPr>
            <w:r>
              <w:rPr>
                <w:b/>
                <w:bCs/>
                <w:sz w:val="22"/>
              </w:rPr>
              <w:t>$1,106.</w:t>
            </w:r>
            <w:r w:rsidR="00E43342">
              <w:rPr>
                <w:b/>
                <w:bCs/>
                <w:sz w:val="22"/>
              </w:rPr>
              <w:t>2</w:t>
            </w:r>
          </w:p>
        </w:tc>
      </w:tr>
    </w:tbl>
    <w:p w14:paraId="41667D59" w14:textId="77777777" w:rsidR="00472C07" w:rsidRDefault="000F5B51" w:rsidP="00472C07">
      <w:pPr>
        <w:spacing w:after="0"/>
        <w:contextualSpacing/>
        <w:rPr>
          <w:rFonts w:cs="Times New Roman"/>
          <w:sz w:val="18"/>
          <w:szCs w:val="18"/>
        </w:rPr>
      </w:pPr>
      <w:r>
        <w:rPr>
          <w:rFonts w:cs="Times New Roman"/>
          <w:sz w:val="18"/>
          <w:szCs w:val="18"/>
        </w:rPr>
        <w:t>Note: Values may not sum due to rounding.</w:t>
      </w:r>
    </w:p>
    <w:p w14:paraId="13E39222" w14:textId="12863035" w:rsidR="00DF4B86" w:rsidRPr="00D428F2" w:rsidRDefault="000F5B51" w:rsidP="000E6CCE">
      <w:pPr>
        <w:spacing w:after="0"/>
        <w:rPr>
          <w:szCs w:val="24"/>
        </w:rPr>
      </w:pPr>
      <w:r>
        <w:lastRenderedPageBreak/>
        <w:fldChar w:fldCharType="begin"/>
      </w:r>
      <w:r>
        <w:instrText xml:space="preserve"> REF _Ref126236922 \h </w:instrText>
      </w:r>
      <w:r>
        <w:fldChar w:fldCharType="separate"/>
      </w:r>
      <w:r w:rsidR="00A65CB3">
        <w:t xml:space="preserve">Table </w:t>
      </w:r>
      <w:r w:rsidR="00A65CB3">
        <w:rPr>
          <w:noProof/>
        </w:rPr>
        <w:t>77</w:t>
      </w:r>
      <w:r>
        <w:fldChar w:fldCharType="end"/>
      </w:r>
      <w:r>
        <w:t xml:space="preserve"> presents the discounted monetized benefits associated with the proposed rule.</w:t>
      </w:r>
      <w:r w:rsidR="008503FE" w:rsidRPr="008503FE">
        <w:t xml:space="preserve"> </w:t>
      </w:r>
      <w:r w:rsidR="008503FE">
        <w:t xml:space="preserve">Monetized benefits for each category were discounted using the discount factors presented in </w:t>
      </w:r>
      <w:r w:rsidR="008503FE">
        <w:fldChar w:fldCharType="begin"/>
      </w:r>
      <w:r w:rsidR="008503FE">
        <w:instrText xml:space="preserve"> REF _Ref126230753 \h </w:instrText>
      </w:r>
      <w:r w:rsidR="008503FE">
        <w:fldChar w:fldCharType="separate"/>
      </w:r>
      <w:r w:rsidR="00A65CB3">
        <w:t xml:space="preserve">Table </w:t>
      </w:r>
      <w:r w:rsidR="00A65CB3">
        <w:rPr>
          <w:noProof/>
        </w:rPr>
        <w:t>66</w:t>
      </w:r>
      <w:r w:rsidR="008503FE">
        <w:fldChar w:fldCharType="end"/>
      </w:r>
      <w:r w:rsidR="001F2F92">
        <w:t xml:space="preserve">. </w:t>
      </w:r>
      <w:r w:rsidR="00B0383A">
        <w:rPr>
          <w:rFonts w:eastAsia="Calibri" w:cs="Times New Roman"/>
          <w:szCs w:val="24"/>
        </w:rPr>
        <w:t>As this analysis considered a lower and higher estimated increase in seat belt use for rear seat occupants, both the lower (Lo) and higher (Hi) case estimates are included when calculating monetized benefits</w:t>
      </w:r>
      <w:r w:rsidR="001F2F92">
        <w:rPr>
          <w:rFonts w:eastAsia="Calibri" w:cs="Times New Roman"/>
          <w:szCs w:val="24"/>
        </w:rPr>
        <w:t xml:space="preserve">. </w:t>
      </w:r>
      <w:r w:rsidR="00B0383A">
        <w:rPr>
          <w:rFonts w:eastAsia="Calibri" w:cs="Times New Roman"/>
          <w:szCs w:val="24"/>
        </w:rPr>
        <w:t xml:space="preserve">Therefore, </w:t>
      </w:r>
      <w:r w:rsidR="00DC1592">
        <w:rPr>
          <w:rFonts w:eastAsia="Calibri" w:cs="Times New Roman"/>
          <w:szCs w:val="24"/>
        </w:rPr>
        <w:t>monetized benefits</w:t>
      </w:r>
      <w:r w:rsidR="00B0383A">
        <w:rPr>
          <w:rFonts w:eastAsia="Calibri" w:cs="Times New Roman"/>
          <w:szCs w:val="24"/>
        </w:rPr>
        <w:t xml:space="preserve"> for both rear seat occupants and </w:t>
      </w:r>
      <w:r w:rsidR="00B0383A" w:rsidRPr="005F0E59">
        <w:rPr>
          <w:rFonts w:eastAsia="Calibri" w:cs="Times New Roman"/>
          <w:szCs w:val="24"/>
        </w:rPr>
        <w:t>the proposed rule as a whole are presented for both the Lo and Hi cases</w:t>
      </w:r>
      <w:r w:rsidR="001F2F92" w:rsidRPr="001D0BC2">
        <w:rPr>
          <w:rFonts w:eastAsia="Calibri" w:cs="Times New Roman"/>
          <w:szCs w:val="24"/>
        </w:rPr>
        <w:t xml:space="preserve">. </w:t>
      </w:r>
      <w:r w:rsidR="008503FE" w:rsidRPr="00DE446C">
        <w:t>When discounted at three percent, annual monetized benefits associated with the propose</w:t>
      </w:r>
      <w:r w:rsidR="008503FE" w:rsidRPr="006E7185">
        <w:t>d rule are estimated at</w:t>
      </w:r>
      <w:r w:rsidR="001A7784" w:rsidRPr="00F559C5">
        <w:t xml:space="preserve"> </w:t>
      </w:r>
      <w:r w:rsidR="001A7784" w:rsidRPr="00F559C5">
        <w:rPr>
          <w:szCs w:val="24"/>
        </w:rPr>
        <w:t>approximately</w:t>
      </w:r>
      <w:r w:rsidR="00B37EA2" w:rsidRPr="0008636C">
        <w:rPr>
          <w:szCs w:val="24"/>
        </w:rPr>
        <w:t xml:space="preserve"> </w:t>
      </w:r>
      <w:r w:rsidR="00B37EA2" w:rsidRPr="002B5152">
        <w:rPr>
          <w:rFonts w:cs="Times New Roman"/>
          <w:szCs w:val="24"/>
        </w:rPr>
        <w:t>$1</w:t>
      </w:r>
      <w:r w:rsidR="007A5AC0" w:rsidRPr="002B5152">
        <w:rPr>
          <w:rFonts w:cs="Times New Roman"/>
          <w:szCs w:val="24"/>
        </w:rPr>
        <w:t>.2 billion</w:t>
      </w:r>
      <w:r w:rsidR="00B37EA2" w:rsidRPr="002B5152">
        <w:rPr>
          <w:rFonts w:cs="Times New Roman"/>
          <w:szCs w:val="24"/>
        </w:rPr>
        <w:t xml:space="preserve"> </w:t>
      </w:r>
      <w:r w:rsidRPr="002B5152">
        <w:rPr>
          <w:rFonts w:cs="Times New Roman"/>
          <w:szCs w:val="24"/>
        </w:rPr>
        <w:t>and</w:t>
      </w:r>
      <w:r w:rsidR="00B37EA2" w:rsidRPr="002B5152">
        <w:rPr>
          <w:rFonts w:cs="Times New Roman"/>
          <w:szCs w:val="24"/>
        </w:rPr>
        <w:t xml:space="preserve"> $1</w:t>
      </w:r>
      <w:r w:rsidR="007A5AC0" w:rsidRPr="002B5152">
        <w:rPr>
          <w:rFonts w:cs="Times New Roman"/>
          <w:szCs w:val="24"/>
        </w:rPr>
        <w:t>.3 b</w:t>
      </w:r>
      <w:r w:rsidR="00C45F81" w:rsidRPr="002B5152">
        <w:rPr>
          <w:rFonts w:cs="Times New Roman"/>
          <w:szCs w:val="24"/>
        </w:rPr>
        <w:t>illion</w:t>
      </w:r>
      <w:r w:rsidR="008503FE" w:rsidRPr="005F0E59">
        <w:rPr>
          <w:szCs w:val="24"/>
        </w:rPr>
        <w:t>, respectively</w:t>
      </w:r>
      <w:r w:rsidR="001F2F92" w:rsidRPr="001D0BC2">
        <w:t xml:space="preserve">. </w:t>
      </w:r>
      <w:r w:rsidRPr="00DE446C">
        <w:rPr>
          <w:szCs w:val="24"/>
        </w:rPr>
        <w:t xml:space="preserve">When discounted at seven percent, annual monetized benefits associated with the proposed rule are estimated at approximately </w:t>
      </w:r>
      <w:r w:rsidRPr="002B5152">
        <w:rPr>
          <w:szCs w:val="24"/>
        </w:rPr>
        <w:t>$9</w:t>
      </w:r>
      <w:r w:rsidR="000336EE" w:rsidRPr="002B5152">
        <w:rPr>
          <w:szCs w:val="24"/>
        </w:rPr>
        <w:t>55</w:t>
      </w:r>
      <w:r w:rsidR="007A5AC0" w:rsidRPr="004C5067">
        <w:rPr>
          <w:szCs w:val="24"/>
        </w:rPr>
        <w:t xml:space="preserve"> million</w:t>
      </w:r>
      <w:r w:rsidRPr="004C5067">
        <w:rPr>
          <w:szCs w:val="24"/>
        </w:rPr>
        <w:t xml:space="preserve"> and $1</w:t>
      </w:r>
      <w:r w:rsidR="007A5AC0" w:rsidRPr="004C5067">
        <w:rPr>
          <w:szCs w:val="24"/>
        </w:rPr>
        <w:t xml:space="preserve">.1 </w:t>
      </w:r>
      <w:r w:rsidR="007F3011" w:rsidRPr="004C5067">
        <w:rPr>
          <w:szCs w:val="24"/>
        </w:rPr>
        <w:t>billion</w:t>
      </w:r>
      <w:r w:rsidRPr="005F0E59">
        <w:rPr>
          <w:szCs w:val="24"/>
        </w:rPr>
        <w:t xml:space="preserve">, </w:t>
      </w:r>
      <w:r w:rsidRPr="001D0BC2">
        <w:rPr>
          <w:szCs w:val="24"/>
        </w:rPr>
        <w:t>respectively.</w:t>
      </w:r>
    </w:p>
    <w:p w14:paraId="1C69D648" w14:textId="74410787" w:rsidR="005B15EC" w:rsidRDefault="000F5B51" w:rsidP="00B3217B">
      <w:r w:rsidRPr="005F0E59">
        <w:t xml:space="preserve">Monetized benefits associated with the requirements specified for SBWS for rear seat occupants are estimated at </w:t>
      </w:r>
      <w:r w:rsidR="001A7784" w:rsidRPr="001D0BC2">
        <w:t xml:space="preserve">approximately </w:t>
      </w:r>
      <w:r w:rsidR="00C43644" w:rsidRPr="00DE446C">
        <w:t>$262</w:t>
      </w:r>
      <w:r w:rsidR="00F51F1E" w:rsidRPr="006E7185">
        <w:t xml:space="preserve"> million</w:t>
      </w:r>
      <w:r w:rsidR="00C43644" w:rsidRPr="00F559C5">
        <w:t xml:space="preserve"> to $390 million </w:t>
      </w:r>
      <w:r w:rsidRPr="00F559C5">
        <w:t>when discounted at three percent and</w:t>
      </w:r>
      <w:r w:rsidR="001A7784" w:rsidRPr="00A83BA9">
        <w:t xml:space="preserve"> approximately</w:t>
      </w:r>
      <w:r w:rsidRPr="0027589B">
        <w:t xml:space="preserve"> </w:t>
      </w:r>
      <w:r w:rsidR="00C43644" w:rsidRPr="002709E8">
        <w:t>$213</w:t>
      </w:r>
      <w:r w:rsidR="002C15A2" w:rsidRPr="00AE3641">
        <w:t xml:space="preserve"> million</w:t>
      </w:r>
      <w:r w:rsidR="00C43644" w:rsidRPr="003F2897">
        <w:t xml:space="preserve"> to $320</w:t>
      </w:r>
      <w:r w:rsidR="002C15A2" w:rsidRPr="00D34405">
        <w:t xml:space="preserve"> million</w:t>
      </w:r>
      <w:r w:rsidRPr="00D34405">
        <w:t xml:space="preserve"> when discounted at seven percent</w:t>
      </w:r>
      <w:r w:rsidR="001F2F92" w:rsidRPr="00D34405">
        <w:t xml:space="preserve">. </w:t>
      </w:r>
      <w:r w:rsidRPr="00D34405">
        <w:t xml:space="preserve">When discounted at three and seven percent, </w:t>
      </w:r>
      <w:r w:rsidR="00C43644" w:rsidRPr="00005799">
        <w:t>monetized benefits associated with the</w:t>
      </w:r>
      <w:r w:rsidRPr="000002F8">
        <w:t xml:space="preserve"> requirements specified for the indefinite warning for front seat occupants </w:t>
      </w:r>
      <w:r w:rsidR="00C43644" w:rsidRPr="00D75BCB">
        <w:t>are estimated at</w:t>
      </w:r>
      <w:r w:rsidR="001A7784" w:rsidRPr="00346F7B">
        <w:t xml:space="preserve"> approximately $9</w:t>
      </w:r>
      <w:r w:rsidR="000956EA" w:rsidRPr="002B5152">
        <w:t>16</w:t>
      </w:r>
      <w:r w:rsidR="001A7784" w:rsidRPr="000956EA">
        <w:t xml:space="preserve"> million and $7</w:t>
      </w:r>
      <w:r w:rsidR="000956EA" w:rsidRPr="002B5152">
        <w:t>43</w:t>
      </w:r>
      <w:r w:rsidR="001A7784" w:rsidRPr="000956EA">
        <w:t xml:space="preserve"> million</w:t>
      </w:r>
      <w:r w:rsidRPr="000956EA">
        <w:t>, respectively</w:t>
      </w:r>
      <w:r w:rsidR="001F2F92" w:rsidRPr="000956EA">
        <w:t xml:space="preserve">. </w:t>
      </w:r>
      <w:r w:rsidR="000E6CCE" w:rsidRPr="000956EA">
        <w:t>See</w:t>
      </w:r>
      <w:r w:rsidR="000E6CCE" w:rsidRPr="000956EA">
        <w:rPr>
          <w:rFonts w:eastAsia="Times New Roman" w:cs="Times New Roman"/>
          <w:szCs w:val="24"/>
        </w:rPr>
        <w:t xml:space="preserve"> </w:t>
      </w:r>
      <w:r w:rsidR="00E91D17" w:rsidRPr="00D428F2">
        <w:rPr>
          <w:rFonts w:eastAsia="Times New Roman" w:cs="Times New Roman"/>
          <w:szCs w:val="24"/>
        </w:rPr>
        <w:fldChar w:fldCharType="begin"/>
      </w:r>
      <w:r w:rsidR="00E91D17" w:rsidRPr="002B5152">
        <w:rPr>
          <w:rFonts w:eastAsia="Times New Roman" w:cs="Times New Roman"/>
          <w:szCs w:val="24"/>
        </w:rPr>
        <w:instrText xml:space="preserve"> REF _Ref130387495 \h </w:instrText>
      </w:r>
      <w:r w:rsidR="000956EA">
        <w:rPr>
          <w:rFonts w:eastAsia="Times New Roman" w:cs="Times New Roman"/>
          <w:szCs w:val="24"/>
        </w:rPr>
        <w:instrText xml:space="preserve"> \* MERGEFORMAT </w:instrText>
      </w:r>
      <w:r w:rsidR="00E91D17" w:rsidRPr="00D428F2">
        <w:rPr>
          <w:rFonts w:eastAsia="Times New Roman" w:cs="Times New Roman"/>
          <w:szCs w:val="24"/>
        </w:rPr>
      </w:r>
      <w:r w:rsidR="00E91D17" w:rsidRPr="00D428F2">
        <w:rPr>
          <w:rFonts w:eastAsia="Times New Roman" w:cs="Times New Roman"/>
          <w:szCs w:val="24"/>
        </w:rPr>
        <w:fldChar w:fldCharType="separate"/>
      </w:r>
      <w:r w:rsidR="00A65CB3">
        <w:t>Appendix H</w:t>
      </w:r>
      <w:r w:rsidR="00E91D17" w:rsidRPr="00D428F2">
        <w:rPr>
          <w:rFonts w:eastAsia="Times New Roman" w:cs="Times New Roman"/>
          <w:szCs w:val="24"/>
        </w:rPr>
        <w:fldChar w:fldCharType="end"/>
      </w:r>
      <w:r w:rsidR="00B3217B" w:rsidRPr="00D428F2">
        <w:rPr>
          <w:rFonts w:eastAsia="Times New Roman" w:cs="Times New Roman"/>
          <w:szCs w:val="24"/>
        </w:rPr>
        <w:t xml:space="preserve"> </w:t>
      </w:r>
      <w:r w:rsidR="000E6CCE" w:rsidRPr="00D428F2">
        <w:t>for detailed</w:t>
      </w:r>
      <w:r w:rsidR="000E6CCE">
        <w:t xml:space="preserve"> calculations of discounted monetized benefits for both rear and front seat occupants.</w:t>
      </w:r>
    </w:p>
    <w:p w14:paraId="77DA82B5" w14:textId="531D2A0E" w:rsidR="00F1151E" w:rsidRDefault="00F1151E" w:rsidP="00B3217B"/>
    <w:p w14:paraId="20E3475C" w14:textId="62A27E1C" w:rsidR="00F1151E" w:rsidRDefault="00F1151E" w:rsidP="00B3217B"/>
    <w:p w14:paraId="0ECCD41D" w14:textId="3D117356" w:rsidR="00F1151E" w:rsidRDefault="00F1151E" w:rsidP="00B3217B"/>
    <w:p w14:paraId="6182867A" w14:textId="77C33E7F" w:rsidR="00F1151E" w:rsidRDefault="00F1151E" w:rsidP="00B3217B"/>
    <w:p w14:paraId="184182A7" w14:textId="77777777" w:rsidR="00F1151E" w:rsidRDefault="00F1151E" w:rsidP="00B3217B"/>
    <w:p w14:paraId="234E36EA" w14:textId="33E0FAE8" w:rsidR="00B11ED5" w:rsidRDefault="000F5B51" w:rsidP="00D56CE7">
      <w:pPr>
        <w:pStyle w:val="Caption"/>
        <w:rPr>
          <w:rFonts w:eastAsia="Calibri" w:cs="Times New Roman"/>
          <w:szCs w:val="24"/>
        </w:rPr>
      </w:pPr>
      <w:bookmarkStart w:id="1560" w:name="_Ref126236922"/>
      <w:r>
        <w:lastRenderedPageBreak/>
        <w:t xml:space="preserve">Table </w:t>
      </w:r>
      <w:r w:rsidR="00115BAB">
        <w:fldChar w:fldCharType="begin"/>
      </w:r>
      <w:r>
        <w:instrText xml:space="preserve"> SEQ Table \* ARABIC </w:instrText>
      </w:r>
      <w:r w:rsidR="00115BAB">
        <w:fldChar w:fldCharType="separate"/>
      </w:r>
      <w:r w:rsidR="00A65CB3">
        <w:rPr>
          <w:noProof/>
        </w:rPr>
        <w:t>77</w:t>
      </w:r>
      <w:r w:rsidR="00115BAB">
        <w:rPr>
          <w:noProof/>
        </w:rPr>
        <w:fldChar w:fldCharType="end"/>
      </w:r>
      <w:bookmarkEnd w:id="1560"/>
      <w:r>
        <w:t>: Discounted Monetized Benefits</w:t>
      </w:r>
      <w:r w:rsidR="00525292">
        <w:t xml:space="preserve"> (Millions)</w:t>
      </w:r>
    </w:p>
    <w:tbl>
      <w:tblPr>
        <w:tblStyle w:val="TableGrid"/>
        <w:tblW w:w="0" w:type="auto"/>
        <w:tblLook w:val="04A0" w:firstRow="1" w:lastRow="0" w:firstColumn="1" w:lastColumn="0" w:noHBand="0" w:noVBand="1"/>
      </w:tblPr>
      <w:tblGrid>
        <w:gridCol w:w="3251"/>
        <w:gridCol w:w="1896"/>
        <w:gridCol w:w="2101"/>
        <w:gridCol w:w="2102"/>
      </w:tblGrid>
      <w:tr w:rsidR="00A15C2C" w14:paraId="5985AAE0" w14:textId="77777777" w:rsidTr="002D22A9">
        <w:tc>
          <w:tcPr>
            <w:tcW w:w="3251" w:type="dxa"/>
            <w:shd w:val="clear" w:color="auto" w:fill="D9D9D9" w:themeFill="background1" w:themeFillShade="D9"/>
          </w:tcPr>
          <w:p w14:paraId="0A9D6FAD" w14:textId="77777777" w:rsidR="00504723" w:rsidRPr="00B56E71" w:rsidRDefault="000F5B51" w:rsidP="003C04C4">
            <w:pPr>
              <w:spacing w:line="240" w:lineRule="auto"/>
              <w:rPr>
                <w:b/>
                <w:bCs/>
              </w:rPr>
            </w:pPr>
            <w:r w:rsidRPr="00B56E71">
              <w:rPr>
                <w:b/>
                <w:bCs/>
              </w:rPr>
              <w:t>Category</w:t>
            </w:r>
          </w:p>
        </w:tc>
        <w:tc>
          <w:tcPr>
            <w:tcW w:w="1896" w:type="dxa"/>
            <w:shd w:val="clear" w:color="auto" w:fill="D9D9D9" w:themeFill="background1" w:themeFillShade="D9"/>
            <w:vAlign w:val="center"/>
          </w:tcPr>
          <w:p w14:paraId="54D1E9F5" w14:textId="77777777" w:rsidR="00504723" w:rsidRPr="00B56E71" w:rsidRDefault="000F5B51" w:rsidP="003C04C4">
            <w:pPr>
              <w:spacing w:line="240" w:lineRule="auto"/>
              <w:jc w:val="center"/>
              <w:rPr>
                <w:b/>
                <w:bCs/>
              </w:rPr>
            </w:pPr>
            <w:r w:rsidRPr="00B56E71">
              <w:rPr>
                <w:b/>
                <w:bCs/>
              </w:rPr>
              <w:t>Undiscounted</w:t>
            </w:r>
          </w:p>
        </w:tc>
        <w:tc>
          <w:tcPr>
            <w:tcW w:w="2101" w:type="dxa"/>
            <w:shd w:val="clear" w:color="auto" w:fill="D9D9D9" w:themeFill="background1" w:themeFillShade="D9"/>
            <w:vAlign w:val="center"/>
          </w:tcPr>
          <w:p w14:paraId="140938FE" w14:textId="77777777" w:rsidR="00504723" w:rsidRPr="00B56E71" w:rsidRDefault="000F5B51" w:rsidP="003C04C4">
            <w:pPr>
              <w:spacing w:line="240" w:lineRule="auto"/>
              <w:jc w:val="center"/>
              <w:rPr>
                <w:b/>
                <w:bCs/>
              </w:rPr>
            </w:pPr>
            <w:r w:rsidRPr="00B56E71">
              <w:rPr>
                <w:b/>
                <w:bCs/>
              </w:rPr>
              <w:t>Discounted at 3%</w:t>
            </w:r>
          </w:p>
        </w:tc>
        <w:tc>
          <w:tcPr>
            <w:tcW w:w="2102" w:type="dxa"/>
            <w:shd w:val="clear" w:color="auto" w:fill="D9D9D9" w:themeFill="background1" w:themeFillShade="D9"/>
            <w:vAlign w:val="center"/>
          </w:tcPr>
          <w:p w14:paraId="40DC2BB6" w14:textId="77777777" w:rsidR="00504723" w:rsidRPr="00B56E71" w:rsidRDefault="000F5B51" w:rsidP="003C04C4">
            <w:pPr>
              <w:spacing w:line="240" w:lineRule="auto"/>
              <w:jc w:val="center"/>
              <w:rPr>
                <w:b/>
                <w:bCs/>
              </w:rPr>
            </w:pPr>
            <w:r w:rsidRPr="00B56E71">
              <w:rPr>
                <w:b/>
                <w:bCs/>
              </w:rPr>
              <w:t>Discounted at 7%</w:t>
            </w:r>
          </w:p>
        </w:tc>
      </w:tr>
      <w:tr w:rsidR="00A15C2C" w14:paraId="2DE6818A" w14:textId="77777777" w:rsidTr="003C04C4">
        <w:trPr>
          <w:trHeight w:val="305"/>
        </w:trPr>
        <w:tc>
          <w:tcPr>
            <w:tcW w:w="9350" w:type="dxa"/>
            <w:gridSpan w:val="4"/>
            <w:shd w:val="clear" w:color="auto" w:fill="D9D9D9" w:themeFill="background1" w:themeFillShade="D9"/>
            <w:vAlign w:val="center"/>
          </w:tcPr>
          <w:p w14:paraId="77F93155" w14:textId="77777777" w:rsidR="00504723" w:rsidRPr="00934F2C" w:rsidRDefault="000F5B51" w:rsidP="003C04C4">
            <w:pPr>
              <w:spacing w:line="240" w:lineRule="auto"/>
              <w:jc w:val="center"/>
              <w:rPr>
                <w:b/>
                <w:bCs/>
                <w:i/>
                <w:iCs/>
              </w:rPr>
            </w:pPr>
            <w:r w:rsidRPr="00934F2C">
              <w:rPr>
                <w:b/>
                <w:bCs/>
                <w:i/>
                <w:iCs/>
              </w:rPr>
              <w:t>Rear Seat Occupants</w:t>
            </w:r>
          </w:p>
        </w:tc>
      </w:tr>
      <w:tr w:rsidR="00A15C2C" w14:paraId="218E427C" w14:textId="77777777" w:rsidTr="002D22A9">
        <w:tc>
          <w:tcPr>
            <w:tcW w:w="3251" w:type="dxa"/>
            <w:vAlign w:val="center"/>
          </w:tcPr>
          <w:p w14:paraId="7F04681E" w14:textId="77777777" w:rsidR="00504723" w:rsidRDefault="000F5B51" w:rsidP="003C04C4">
            <w:pPr>
              <w:spacing w:line="240" w:lineRule="auto"/>
            </w:pPr>
            <w:r>
              <w:t>Rear Seat Occupants Ages 6-10</w:t>
            </w:r>
          </w:p>
        </w:tc>
        <w:tc>
          <w:tcPr>
            <w:tcW w:w="1896" w:type="dxa"/>
            <w:vAlign w:val="center"/>
          </w:tcPr>
          <w:p w14:paraId="671B30B2" w14:textId="77777777" w:rsidR="00504723" w:rsidRDefault="000F5B51" w:rsidP="003C04C4">
            <w:pPr>
              <w:spacing w:line="240" w:lineRule="auto"/>
              <w:jc w:val="center"/>
            </w:pPr>
            <w:r>
              <w:t>$</w:t>
            </w:r>
            <w:r w:rsidR="006F4E76">
              <w:t>5.2-$</w:t>
            </w:r>
            <w:r w:rsidR="00D4742B">
              <w:t>7.8</w:t>
            </w:r>
          </w:p>
        </w:tc>
        <w:tc>
          <w:tcPr>
            <w:tcW w:w="2101" w:type="dxa"/>
            <w:vAlign w:val="center"/>
          </w:tcPr>
          <w:p w14:paraId="192808CA" w14:textId="2EDAA17C" w:rsidR="00504723" w:rsidRDefault="000F5B51" w:rsidP="003C04C4">
            <w:pPr>
              <w:spacing w:line="240" w:lineRule="auto"/>
              <w:jc w:val="center"/>
            </w:pPr>
            <w:r>
              <w:t xml:space="preserve">$4.5 </w:t>
            </w:r>
            <w:r w:rsidR="00DA62F1">
              <w:t>-</w:t>
            </w:r>
            <w:r>
              <w:t xml:space="preserve"> </w:t>
            </w:r>
            <w:r w:rsidR="001575E9">
              <w:t>$6.8</w:t>
            </w:r>
          </w:p>
        </w:tc>
        <w:tc>
          <w:tcPr>
            <w:tcW w:w="2102" w:type="dxa"/>
            <w:vAlign w:val="center"/>
          </w:tcPr>
          <w:p w14:paraId="2FE5E4FB" w14:textId="77777777" w:rsidR="00504723" w:rsidRDefault="000F5B51" w:rsidP="003C04C4">
            <w:pPr>
              <w:spacing w:line="240" w:lineRule="auto"/>
              <w:jc w:val="center"/>
            </w:pPr>
            <w:r>
              <w:t>$3.7 - $</w:t>
            </w:r>
            <w:r w:rsidR="00A66C3B">
              <w:t>5.5</w:t>
            </w:r>
          </w:p>
        </w:tc>
      </w:tr>
      <w:tr w:rsidR="00A15C2C" w14:paraId="33BA063A" w14:textId="77777777" w:rsidTr="002D22A9">
        <w:tc>
          <w:tcPr>
            <w:tcW w:w="3251" w:type="dxa"/>
            <w:vAlign w:val="center"/>
          </w:tcPr>
          <w:p w14:paraId="69994598" w14:textId="77777777" w:rsidR="00261AF5" w:rsidRDefault="000F5B51" w:rsidP="00261AF5">
            <w:pPr>
              <w:spacing w:line="240" w:lineRule="auto"/>
            </w:pPr>
            <w:r>
              <w:t>Rear Seat Occupants Ages 11+</w:t>
            </w:r>
          </w:p>
        </w:tc>
        <w:tc>
          <w:tcPr>
            <w:tcW w:w="1896" w:type="dxa"/>
            <w:vAlign w:val="center"/>
          </w:tcPr>
          <w:p w14:paraId="380FBB0D" w14:textId="77777777" w:rsidR="00261AF5" w:rsidRDefault="000F5B51" w:rsidP="00261AF5">
            <w:pPr>
              <w:spacing w:line="240" w:lineRule="auto"/>
              <w:jc w:val="center"/>
            </w:pPr>
            <w:r>
              <w:t>$311</w:t>
            </w:r>
            <w:r w:rsidR="008A1180">
              <w:t xml:space="preserve"> </w:t>
            </w:r>
            <w:r>
              <w:t>-</w:t>
            </w:r>
            <w:r w:rsidR="008A1180">
              <w:t xml:space="preserve"> </w:t>
            </w:r>
            <w:r>
              <w:t>$468</w:t>
            </w:r>
          </w:p>
        </w:tc>
        <w:tc>
          <w:tcPr>
            <w:tcW w:w="2101" w:type="dxa"/>
            <w:vAlign w:val="center"/>
          </w:tcPr>
          <w:p w14:paraId="4E87AB9A" w14:textId="77777777" w:rsidR="00261AF5" w:rsidRDefault="000F5B51" w:rsidP="00261AF5">
            <w:pPr>
              <w:spacing w:line="240" w:lineRule="auto"/>
              <w:jc w:val="center"/>
            </w:pPr>
            <w:r>
              <w:t>$258 - $388</w:t>
            </w:r>
          </w:p>
        </w:tc>
        <w:tc>
          <w:tcPr>
            <w:tcW w:w="2102" w:type="dxa"/>
            <w:vAlign w:val="center"/>
          </w:tcPr>
          <w:p w14:paraId="45CF1088" w14:textId="77777777" w:rsidR="00261AF5" w:rsidRDefault="000F5B51" w:rsidP="00261AF5">
            <w:pPr>
              <w:spacing w:line="240" w:lineRule="auto"/>
              <w:jc w:val="center"/>
            </w:pPr>
            <w:r>
              <w:t>$209 - $315</w:t>
            </w:r>
          </w:p>
        </w:tc>
      </w:tr>
      <w:tr w:rsidR="00A15C2C" w14:paraId="155B97E6" w14:textId="77777777" w:rsidTr="002D22A9">
        <w:tc>
          <w:tcPr>
            <w:tcW w:w="3251" w:type="dxa"/>
            <w:vAlign w:val="center"/>
          </w:tcPr>
          <w:p w14:paraId="028DAA3A" w14:textId="77777777" w:rsidR="00504723" w:rsidRPr="00D56CE7" w:rsidRDefault="000F5B51" w:rsidP="003C04C4">
            <w:pPr>
              <w:spacing w:line="240" w:lineRule="auto"/>
            </w:pPr>
            <w:r w:rsidRPr="00D56CE7">
              <w:t>Total Rear Seat Occupants</w:t>
            </w:r>
          </w:p>
        </w:tc>
        <w:tc>
          <w:tcPr>
            <w:tcW w:w="1896" w:type="dxa"/>
            <w:vAlign w:val="center"/>
          </w:tcPr>
          <w:p w14:paraId="0FC82DAB" w14:textId="77777777" w:rsidR="00504723" w:rsidRDefault="000F5B51" w:rsidP="003C04C4">
            <w:pPr>
              <w:spacing w:line="240" w:lineRule="auto"/>
              <w:jc w:val="center"/>
            </w:pPr>
            <w:r>
              <w:t>$316 - $476</w:t>
            </w:r>
          </w:p>
        </w:tc>
        <w:tc>
          <w:tcPr>
            <w:tcW w:w="2101" w:type="dxa"/>
            <w:vAlign w:val="center"/>
          </w:tcPr>
          <w:p w14:paraId="0D8CAE40" w14:textId="77777777" w:rsidR="00504723" w:rsidRDefault="000F5B51" w:rsidP="003C04C4">
            <w:pPr>
              <w:spacing w:line="240" w:lineRule="auto"/>
              <w:jc w:val="center"/>
            </w:pPr>
            <w:r>
              <w:t>$2</w:t>
            </w:r>
            <w:r w:rsidR="004B698D">
              <w:t>62 -$395</w:t>
            </w:r>
          </w:p>
        </w:tc>
        <w:tc>
          <w:tcPr>
            <w:tcW w:w="2102" w:type="dxa"/>
            <w:vAlign w:val="center"/>
          </w:tcPr>
          <w:p w14:paraId="69058F69" w14:textId="77777777" w:rsidR="00504723" w:rsidRDefault="000F5B51" w:rsidP="003C04C4">
            <w:pPr>
              <w:spacing w:line="240" w:lineRule="auto"/>
              <w:jc w:val="center"/>
            </w:pPr>
            <w:r>
              <w:t>$</w:t>
            </w:r>
            <w:r w:rsidR="007B267D">
              <w:t>213 - $320</w:t>
            </w:r>
          </w:p>
        </w:tc>
      </w:tr>
      <w:tr w:rsidR="00A15C2C" w14:paraId="079576FB" w14:textId="77777777" w:rsidTr="003C04C4">
        <w:trPr>
          <w:trHeight w:val="377"/>
        </w:trPr>
        <w:tc>
          <w:tcPr>
            <w:tcW w:w="9350" w:type="dxa"/>
            <w:gridSpan w:val="4"/>
            <w:shd w:val="clear" w:color="auto" w:fill="D9D9D9" w:themeFill="background1" w:themeFillShade="D9"/>
            <w:vAlign w:val="center"/>
          </w:tcPr>
          <w:p w14:paraId="75DF037B" w14:textId="77777777" w:rsidR="00504723" w:rsidRDefault="000F5B51" w:rsidP="003C04C4">
            <w:pPr>
              <w:spacing w:line="240" w:lineRule="auto"/>
              <w:jc w:val="center"/>
            </w:pPr>
            <w:r>
              <w:rPr>
                <w:b/>
                <w:bCs/>
                <w:i/>
                <w:iCs/>
              </w:rPr>
              <w:t xml:space="preserve">Front </w:t>
            </w:r>
            <w:r w:rsidRPr="00934F2C">
              <w:rPr>
                <w:b/>
                <w:bCs/>
                <w:i/>
                <w:iCs/>
              </w:rPr>
              <w:t>Seat Occupants</w:t>
            </w:r>
          </w:p>
        </w:tc>
      </w:tr>
      <w:tr w:rsidR="00A15C2C" w14:paraId="0CE799C7" w14:textId="77777777" w:rsidTr="002D22A9">
        <w:tc>
          <w:tcPr>
            <w:tcW w:w="3251" w:type="dxa"/>
            <w:vAlign w:val="center"/>
          </w:tcPr>
          <w:p w14:paraId="0C0220E0" w14:textId="77777777" w:rsidR="00504723" w:rsidRDefault="000F5B51" w:rsidP="003C04C4">
            <w:pPr>
              <w:spacing w:line="240" w:lineRule="auto"/>
            </w:pPr>
            <w:r>
              <w:t>Drivers</w:t>
            </w:r>
          </w:p>
        </w:tc>
        <w:tc>
          <w:tcPr>
            <w:tcW w:w="1896" w:type="dxa"/>
            <w:vAlign w:val="center"/>
          </w:tcPr>
          <w:p w14:paraId="48B3F2DD" w14:textId="6E6B72E5" w:rsidR="00504723" w:rsidRPr="00D428F2" w:rsidRDefault="00A54A70" w:rsidP="003C04C4">
            <w:pPr>
              <w:spacing w:line="240" w:lineRule="auto"/>
              <w:jc w:val="center"/>
              <w:rPr>
                <w:szCs w:val="24"/>
              </w:rPr>
            </w:pPr>
            <w:r w:rsidRPr="002B5152">
              <w:rPr>
                <w:szCs w:val="24"/>
              </w:rPr>
              <w:t>$942.9</w:t>
            </w:r>
          </w:p>
        </w:tc>
        <w:tc>
          <w:tcPr>
            <w:tcW w:w="2101" w:type="dxa"/>
            <w:vAlign w:val="center"/>
          </w:tcPr>
          <w:p w14:paraId="3A78D8AF" w14:textId="1465E89D" w:rsidR="00504723" w:rsidRDefault="00C439C2" w:rsidP="003C04C4">
            <w:pPr>
              <w:spacing w:line="240" w:lineRule="auto"/>
              <w:jc w:val="center"/>
            </w:pPr>
            <w:r>
              <w:t>$780.</w:t>
            </w:r>
            <w:r w:rsidR="002D22A9">
              <w:t>5</w:t>
            </w:r>
          </w:p>
        </w:tc>
        <w:tc>
          <w:tcPr>
            <w:tcW w:w="2102" w:type="dxa"/>
            <w:vAlign w:val="center"/>
          </w:tcPr>
          <w:p w14:paraId="491D8797" w14:textId="2499946C" w:rsidR="00504723" w:rsidRDefault="002D22A9" w:rsidP="003C04C4">
            <w:pPr>
              <w:spacing w:line="240" w:lineRule="auto"/>
              <w:jc w:val="center"/>
            </w:pPr>
            <w:r>
              <w:t>$632.8</w:t>
            </w:r>
          </w:p>
        </w:tc>
      </w:tr>
      <w:tr w:rsidR="00A15C2C" w14:paraId="31EB7DCC" w14:textId="77777777" w:rsidTr="002D22A9">
        <w:tc>
          <w:tcPr>
            <w:tcW w:w="3251" w:type="dxa"/>
            <w:vAlign w:val="center"/>
          </w:tcPr>
          <w:p w14:paraId="2C032CAE" w14:textId="77777777" w:rsidR="00504723" w:rsidRDefault="000F5B51" w:rsidP="003C04C4">
            <w:pPr>
              <w:spacing w:line="240" w:lineRule="auto"/>
            </w:pPr>
            <w:r>
              <w:t xml:space="preserve">Right Front Seat Occupants </w:t>
            </w:r>
          </w:p>
        </w:tc>
        <w:tc>
          <w:tcPr>
            <w:tcW w:w="1896" w:type="dxa"/>
            <w:vAlign w:val="center"/>
          </w:tcPr>
          <w:p w14:paraId="10D5CA55" w14:textId="77777777" w:rsidR="00504723" w:rsidRPr="00D428F2" w:rsidRDefault="000F5B51" w:rsidP="003C04C4">
            <w:pPr>
              <w:spacing w:line="240" w:lineRule="auto"/>
              <w:jc w:val="center"/>
              <w:rPr>
                <w:szCs w:val="24"/>
              </w:rPr>
            </w:pPr>
            <w:r w:rsidRPr="002B5152">
              <w:rPr>
                <w:color w:val="000000"/>
                <w:szCs w:val="24"/>
              </w:rPr>
              <w:t>$163.3</w:t>
            </w:r>
          </w:p>
        </w:tc>
        <w:tc>
          <w:tcPr>
            <w:tcW w:w="2101" w:type="dxa"/>
            <w:vAlign w:val="center"/>
          </w:tcPr>
          <w:p w14:paraId="74BFDE6A" w14:textId="77777777" w:rsidR="00504723" w:rsidRDefault="000F5B51" w:rsidP="003C04C4">
            <w:pPr>
              <w:spacing w:line="240" w:lineRule="auto"/>
              <w:jc w:val="center"/>
            </w:pPr>
            <w:r>
              <w:t>$</w:t>
            </w:r>
            <w:r w:rsidR="00217B40">
              <w:t>1</w:t>
            </w:r>
            <w:r>
              <w:t>35.2</w:t>
            </w:r>
          </w:p>
        </w:tc>
        <w:tc>
          <w:tcPr>
            <w:tcW w:w="2102" w:type="dxa"/>
            <w:vAlign w:val="center"/>
          </w:tcPr>
          <w:p w14:paraId="7FC489E8" w14:textId="77777777" w:rsidR="00504723" w:rsidRDefault="000F5B51" w:rsidP="003C04C4">
            <w:pPr>
              <w:spacing w:line="240" w:lineRule="auto"/>
              <w:jc w:val="center"/>
            </w:pPr>
            <w:r>
              <w:t>$109.7</w:t>
            </w:r>
          </w:p>
        </w:tc>
      </w:tr>
      <w:tr w:rsidR="00A15C2C" w14:paraId="63F95EC4" w14:textId="77777777" w:rsidTr="002D22A9">
        <w:tc>
          <w:tcPr>
            <w:tcW w:w="3251" w:type="dxa"/>
            <w:vAlign w:val="center"/>
          </w:tcPr>
          <w:p w14:paraId="3245BFF8" w14:textId="77777777" w:rsidR="00504723" w:rsidRPr="00D56CE7" w:rsidRDefault="000F5B51" w:rsidP="003C04C4">
            <w:pPr>
              <w:spacing w:line="240" w:lineRule="auto"/>
            </w:pPr>
            <w:r w:rsidRPr="00D56CE7">
              <w:t>Total Front Seat Occupants</w:t>
            </w:r>
          </w:p>
        </w:tc>
        <w:tc>
          <w:tcPr>
            <w:tcW w:w="1896" w:type="dxa"/>
            <w:vAlign w:val="center"/>
          </w:tcPr>
          <w:p w14:paraId="38E26429" w14:textId="32DFAE5B" w:rsidR="00504723" w:rsidRPr="00D428F2" w:rsidRDefault="00246C9A" w:rsidP="003C04C4">
            <w:pPr>
              <w:spacing w:line="240" w:lineRule="auto"/>
              <w:jc w:val="center"/>
              <w:rPr>
                <w:szCs w:val="24"/>
              </w:rPr>
            </w:pPr>
            <w:r w:rsidRPr="002B5152">
              <w:rPr>
                <w:szCs w:val="24"/>
              </w:rPr>
              <w:t>$1,106.2</w:t>
            </w:r>
          </w:p>
        </w:tc>
        <w:tc>
          <w:tcPr>
            <w:tcW w:w="2101" w:type="dxa"/>
            <w:vAlign w:val="center"/>
          </w:tcPr>
          <w:p w14:paraId="60295548" w14:textId="4F33A1D6" w:rsidR="00504723" w:rsidRDefault="00246C9A" w:rsidP="003C04C4">
            <w:pPr>
              <w:spacing w:line="240" w:lineRule="auto"/>
              <w:jc w:val="center"/>
            </w:pPr>
            <w:r>
              <w:t>$</w:t>
            </w:r>
            <w:r w:rsidR="00195380">
              <w:t>915.8</w:t>
            </w:r>
          </w:p>
        </w:tc>
        <w:tc>
          <w:tcPr>
            <w:tcW w:w="2102" w:type="dxa"/>
            <w:vAlign w:val="center"/>
          </w:tcPr>
          <w:p w14:paraId="2CB98393" w14:textId="0AD472ED" w:rsidR="00504723" w:rsidRDefault="00195380" w:rsidP="003C04C4">
            <w:pPr>
              <w:spacing w:line="240" w:lineRule="auto"/>
              <w:jc w:val="center"/>
            </w:pPr>
            <w:r>
              <w:t>$742.5</w:t>
            </w:r>
          </w:p>
        </w:tc>
      </w:tr>
      <w:tr w:rsidR="00A15C2C" w14:paraId="793718BA" w14:textId="77777777" w:rsidTr="003C04C4">
        <w:tc>
          <w:tcPr>
            <w:tcW w:w="9350" w:type="dxa"/>
            <w:gridSpan w:val="4"/>
            <w:shd w:val="clear" w:color="auto" w:fill="D9D9D9" w:themeFill="background1" w:themeFillShade="D9"/>
            <w:vAlign w:val="center"/>
          </w:tcPr>
          <w:p w14:paraId="70B5602A" w14:textId="77777777" w:rsidR="00504723" w:rsidRPr="00934F2C" w:rsidRDefault="000F5B51" w:rsidP="003C04C4">
            <w:pPr>
              <w:spacing w:line="240" w:lineRule="auto"/>
              <w:jc w:val="center"/>
              <w:rPr>
                <w:b/>
                <w:bCs/>
                <w:i/>
                <w:iCs/>
              </w:rPr>
            </w:pPr>
            <w:r w:rsidRPr="00934F2C">
              <w:rPr>
                <w:b/>
                <w:bCs/>
                <w:i/>
                <w:iCs/>
              </w:rPr>
              <w:t>Total</w:t>
            </w:r>
          </w:p>
        </w:tc>
      </w:tr>
      <w:tr w:rsidR="00A15C2C" w14:paraId="6F9DAA35" w14:textId="77777777" w:rsidTr="002D22A9">
        <w:tc>
          <w:tcPr>
            <w:tcW w:w="3251" w:type="dxa"/>
            <w:vAlign w:val="center"/>
          </w:tcPr>
          <w:p w14:paraId="51BC7FF2" w14:textId="77777777" w:rsidR="00653080" w:rsidRDefault="000F5B51" w:rsidP="00653080">
            <w:pPr>
              <w:spacing w:line="240" w:lineRule="auto"/>
            </w:pPr>
            <w:r>
              <w:t>Rear Seat Occupants</w:t>
            </w:r>
          </w:p>
        </w:tc>
        <w:tc>
          <w:tcPr>
            <w:tcW w:w="1896" w:type="dxa"/>
            <w:vAlign w:val="center"/>
          </w:tcPr>
          <w:p w14:paraId="478541CD" w14:textId="77777777" w:rsidR="00653080" w:rsidRDefault="000F5B51" w:rsidP="00653080">
            <w:pPr>
              <w:spacing w:line="240" w:lineRule="auto"/>
              <w:jc w:val="center"/>
            </w:pPr>
            <w:r>
              <w:t>$316 - $476</w:t>
            </w:r>
          </w:p>
        </w:tc>
        <w:tc>
          <w:tcPr>
            <w:tcW w:w="2101" w:type="dxa"/>
            <w:vAlign w:val="center"/>
          </w:tcPr>
          <w:p w14:paraId="5E3A3BF9" w14:textId="5D37F411" w:rsidR="00653080" w:rsidRPr="001F5B6E" w:rsidRDefault="000F5B51" w:rsidP="00653080">
            <w:pPr>
              <w:spacing w:line="240" w:lineRule="auto"/>
              <w:jc w:val="center"/>
            </w:pPr>
            <w:r>
              <w:t>$262 -</w:t>
            </w:r>
            <w:r w:rsidR="009E5A5D">
              <w:t xml:space="preserve"> </w:t>
            </w:r>
            <w:r>
              <w:t>$395</w:t>
            </w:r>
          </w:p>
        </w:tc>
        <w:tc>
          <w:tcPr>
            <w:tcW w:w="2102" w:type="dxa"/>
            <w:vAlign w:val="center"/>
          </w:tcPr>
          <w:p w14:paraId="7B1BABE0" w14:textId="77777777" w:rsidR="00653080" w:rsidRPr="001F5B6E" w:rsidRDefault="000F5B51" w:rsidP="00653080">
            <w:pPr>
              <w:spacing w:line="240" w:lineRule="auto"/>
              <w:jc w:val="center"/>
            </w:pPr>
            <w:r>
              <w:t>$213 - $320</w:t>
            </w:r>
          </w:p>
        </w:tc>
      </w:tr>
      <w:tr w:rsidR="002D22A9" w14:paraId="1F36E5FE" w14:textId="77777777" w:rsidTr="002B5152">
        <w:tc>
          <w:tcPr>
            <w:tcW w:w="3251" w:type="dxa"/>
            <w:vAlign w:val="center"/>
          </w:tcPr>
          <w:p w14:paraId="0E979A95" w14:textId="77777777" w:rsidR="002D22A9" w:rsidRDefault="002D22A9" w:rsidP="002D22A9">
            <w:pPr>
              <w:spacing w:line="240" w:lineRule="auto"/>
            </w:pPr>
            <w:r>
              <w:t>Front Seat Occupants</w:t>
            </w:r>
          </w:p>
        </w:tc>
        <w:tc>
          <w:tcPr>
            <w:tcW w:w="1896" w:type="dxa"/>
            <w:vAlign w:val="center"/>
          </w:tcPr>
          <w:p w14:paraId="69120C2F" w14:textId="13499BF5" w:rsidR="002D22A9" w:rsidRDefault="002D22A9" w:rsidP="002D22A9">
            <w:pPr>
              <w:spacing w:line="240" w:lineRule="auto"/>
              <w:jc w:val="center"/>
            </w:pPr>
            <w:r w:rsidRPr="003E48BD">
              <w:rPr>
                <w:szCs w:val="24"/>
              </w:rPr>
              <w:t>$1,106.2</w:t>
            </w:r>
          </w:p>
        </w:tc>
        <w:tc>
          <w:tcPr>
            <w:tcW w:w="2101" w:type="dxa"/>
            <w:vAlign w:val="center"/>
          </w:tcPr>
          <w:p w14:paraId="746A60E8" w14:textId="09F0BFC7" w:rsidR="002D22A9" w:rsidRPr="001F5B6E" w:rsidRDefault="002D22A9" w:rsidP="002D22A9">
            <w:pPr>
              <w:spacing w:line="240" w:lineRule="auto"/>
              <w:jc w:val="center"/>
            </w:pPr>
            <w:r>
              <w:t>$915.8</w:t>
            </w:r>
          </w:p>
        </w:tc>
        <w:tc>
          <w:tcPr>
            <w:tcW w:w="2102" w:type="dxa"/>
            <w:vAlign w:val="center"/>
          </w:tcPr>
          <w:p w14:paraId="30148B75" w14:textId="73F9EA7D" w:rsidR="002D22A9" w:rsidRPr="001F5B6E" w:rsidRDefault="002D22A9" w:rsidP="002D22A9">
            <w:pPr>
              <w:spacing w:line="240" w:lineRule="auto"/>
              <w:jc w:val="center"/>
            </w:pPr>
            <w:r>
              <w:t>$742.5</w:t>
            </w:r>
          </w:p>
        </w:tc>
      </w:tr>
      <w:tr w:rsidR="00A15C2C" w14:paraId="1B3B67C0" w14:textId="77777777" w:rsidTr="002D22A9">
        <w:tc>
          <w:tcPr>
            <w:tcW w:w="3251" w:type="dxa"/>
            <w:vAlign w:val="center"/>
          </w:tcPr>
          <w:p w14:paraId="1821F6A0" w14:textId="77777777" w:rsidR="00653080" w:rsidRDefault="000F5B51" w:rsidP="00D25799">
            <w:pPr>
              <w:spacing w:line="240" w:lineRule="auto"/>
            </w:pPr>
            <w:r w:rsidRPr="00D56CE7">
              <w:rPr>
                <w:b/>
                <w:bCs/>
              </w:rPr>
              <w:t>Total, Proposed Rule</w:t>
            </w:r>
          </w:p>
        </w:tc>
        <w:tc>
          <w:tcPr>
            <w:tcW w:w="1896" w:type="dxa"/>
            <w:vAlign w:val="center"/>
          </w:tcPr>
          <w:p w14:paraId="69FF1830" w14:textId="5234441C" w:rsidR="00653080" w:rsidRPr="00D57241" w:rsidRDefault="00FA37F7" w:rsidP="00D25799">
            <w:pPr>
              <w:spacing w:line="240" w:lineRule="auto"/>
              <w:jc w:val="center"/>
              <w:rPr>
                <w:b/>
                <w:bCs/>
              </w:rPr>
            </w:pPr>
            <w:r>
              <w:rPr>
                <w:b/>
                <w:bCs/>
              </w:rPr>
              <w:t>$1,422</w:t>
            </w:r>
            <w:r w:rsidR="000336EE">
              <w:rPr>
                <w:b/>
                <w:bCs/>
              </w:rPr>
              <w:t xml:space="preserve"> - $1,582</w:t>
            </w:r>
          </w:p>
        </w:tc>
        <w:tc>
          <w:tcPr>
            <w:tcW w:w="2101" w:type="dxa"/>
            <w:vAlign w:val="center"/>
          </w:tcPr>
          <w:p w14:paraId="7A4FCEE3" w14:textId="7293DCB4" w:rsidR="00653080" w:rsidRPr="005F0E59" w:rsidRDefault="002105A5" w:rsidP="00D25799">
            <w:pPr>
              <w:spacing w:line="240" w:lineRule="auto"/>
              <w:jc w:val="center"/>
              <w:rPr>
                <w:b/>
                <w:bCs/>
              </w:rPr>
            </w:pPr>
            <w:r w:rsidRPr="002B5152">
              <w:rPr>
                <w:rFonts w:cs="Times New Roman"/>
                <w:b/>
                <w:bCs/>
              </w:rPr>
              <w:t>$1,17</w:t>
            </w:r>
            <w:r w:rsidR="009E5A5D" w:rsidRPr="002B5152">
              <w:rPr>
                <w:rFonts w:cs="Times New Roman"/>
                <w:b/>
                <w:bCs/>
              </w:rPr>
              <w:t>8 - $1,311</w:t>
            </w:r>
          </w:p>
        </w:tc>
        <w:tc>
          <w:tcPr>
            <w:tcW w:w="2102" w:type="dxa"/>
            <w:vAlign w:val="center"/>
          </w:tcPr>
          <w:p w14:paraId="62C0D86B" w14:textId="7CB5828F" w:rsidR="00653080" w:rsidRPr="005F0E59" w:rsidRDefault="002105A5" w:rsidP="00D25799">
            <w:pPr>
              <w:spacing w:line="240" w:lineRule="auto"/>
              <w:jc w:val="center"/>
              <w:rPr>
                <w:b/>
                <w:bCs/>
              </w:rPr>
            </w:pPr>
            <w:r w:rsidRPr="002B5152">
              <w:rPr>
                <w:b/>
                <w:bCs/>
              </w:rPr>
              <w:t>$</w:t>
            </w:r>
            <w:r w:rsidR="009E5A5D" w:rsidRPr="002B5152">
              <w:rPr>
                <w:b/>
                <w:bCs/>
              </w:rPr>
              <w:t>955 - $1,06</w:t>
            </w:r>
            <w:r w:rsidR="00D57241" w:rsidRPr="002B5152">
              <w:rPr>
                <w:b/>
                <w:bCs/>
              </w:rPr>
              <w:t>3</w:t>
            </w:r>
          </w:p>
        </w:tc>
      </w:tr>
    </w:tbl>
    <w:p w14:paraId="5107F349" w14:textId="6C6DCCE5" w:rsidR="0067363A" w:rsidRPr="00934F2C" w:rsidRDefault="000F5B51" w:rsidP="0067363A">
      <w:pPr>
        <w:spacing w:after="0"/>
        <w:contextualSpacing/>
        <w:rPr>
          <w:rFonts w:cs="Times New Roman"/>
          <w:sz w:val="18"/>
          <w:szCs w:val="18"/>
        </w:rPr>
      </w:pPr>
      <w:r w:rsidRPr="00934F2C">
        <w:rPr>
          <w:rFonts w:cs="Times New Roman"/>
          <w:sz w:val="18"/>
          <w:szCs w:val="18"/>
        </w:rPr>
        <w:t xml:space="preserve">Note: </w:t>
      </w:r>
      <w:r w:rsidR="00496220">
        <w:rPr>
          <w:rFonts w:cs="Times New Roman"/>
          <w:sz w:val="18"/>
          <w:szCs w:val="18"/>
        </w:rPr>
        <w:t>V</w:t>
      </w:r>
      <w:r w:rsidRPr="00934F2C">
        <w:rPr>
          <w:rFonts w:cs="Times New Roman"/>
          <w:sz w:val="18"/>
          <w:szCs w:val="18"/>
        </w:rPr>
        <w:t>alues may not sum due to rounding.</w:t>
      </w:r>
    </w:p>
    <w:p w14:paraId="390D1CC0" w14:textId="0FF045A6" w:rsidR="00AD6440" w:rsidRDefault="000F5B51" w:rsidP="002A0030">
      <w:pPr>
        <w:spacing w:after="0"/>
      </w:pPr>
      <w:r>
        <w:rPr>
          <w:rFonts w:eastAsia="Calibri" w:cs="Times New Roman"/>
          <w:szCs w:val="24"/>
        </w:rPr>
        <w:fldChar w:fldCharType="begin"/>
      </w:r>
      <w:r>
        <w:rPr>
          <w:rFonts w:eastAsia="Calibri" w:cs="Times New Roman"/>
          <w:szCs w:val="24"/>
        </w:rPr>
        <w:instrText xml:space="preserve"> REF _Ref120859830 \h </w:instrText>
      </w:r>
      <w:r>
        <w:rPr>
          <w:rFonts w:eastAsia="Calibri" w:cs="Times New Roman"/>
          <w:szCs w:val="24"/>
        </w:rPr>
      </w:r>
      <w:r>
        <w:rPr>
          <w:rFonts w:eastAsia="Calibri" w:cs="Times New Roman"/>
          <w:szCs w:val="24"/>
        </w:rPr>
        <w:fldChar w:fldCharType="separate"/>
      </w:r>
      <w:r w:rsidR="00A65CB3">
        <w:t xml:space="preserve">Table </w:t>
      </w:r>
      <w:r w:rsidR="00A65CB3">
        <w:rPr>
          <w:noProof/>
        </w:rPr>
        <w:t>78</w:t>
      </w:r>
      <w:r>
        <w:rPr>
          <w:rFonts w:eastAsia="Calibri" w:cs="Times New Roman"/>
          <w:szCs w:val="24"/>
        </w:rPr>
        <w:fldChar w:fldCharType="end"/>
      </w:r>
      <w:r>
        <w:rPr>
          <w:rFonts w:eastAsia="Calibri" w:cs="Times New Roman"/>
          <w:szCs w:val="24"/>
        </w:rPr>
        <w:t xml:space="preserve"> </w:t>
      </w:r>
      <w:r w:rsidR="002A0030">
        <w:t xml:space="preserve">the summary of the benefit-cost analysis. </w:t>
      </w:r>
      <w:r w:rsidR="004D31E4">
        <w:rPr>
          <w:rFonts w:eastAsia="Calibri" w:cs="Times New Roman"/>
          <w:szCs w:val="24"/>
        </w:rPr>
        <w:t>As this analysis considered a lower and higher estimated increase in seat belt use for rear seat occupants, both the lower (Lo) and higher (Hi) case estimates are included in this benefit-cost analysis</w:t>
      </w:r>
      <w:r w:rsidR="001F2F92">
        <w:rPr>
          <w:rFonts w:eastAsia="Calibri" w:cs="Times New Roman"/>
          <w:szCs w:val="24"/>
        </w:rPr>
        <w:t xml:space="preserve">. </w:t>
      </w:r>
      <w:r w:rsidR="004D31E4">
        <w:rPr>
          <w:rFonts w:eastAsia="Calibri" w:cs="Times New Roman"/>
          <w:szCs w:val="24"/>
        </w:rPr>
        <w:t>Therefore, net benefits measures for both rear seat occupants and the proposed rule as a whole are presented for both the Lo and Hi cases</w:t>
      </w:r>
      <w:r w:rsidR="001F2F92">
        <w:rPr>
          <w:rFonts w:eastAsia="Calibri" w:cs="Times New Roman"/>
          <w:szCs w:val="24"/>
        </w:rPr>
        <w:t xml:space="preserve">. </w:t>
      </w:r>
      <w:r w:rsidR="002A0030" w:rsidRPr="005F0E59">
        <w:t xml:space="preserve">When discounted at three percent, net benefits associated </w:t>
      </w:r>
      <w:r w:rsidR="002A0030" w:rsidRPr="001D0BC2">
        <w:t>with the proposed rule are estimate at approximately</w:t>
      </w:r>
      <w:r w:rsidR="002A0030" w:rsidRPr="00B8171F">
        <w:rPr>
          <w:szCs w:val="24"/>
        </w:rPr>
        <w:t xml:space="preserve"> </w:t>
      </w:r>
      <w:r w:rsidR="00C45F81" w:rsidRPr="002B5152">
        <w:rPr>
          <w:szCs w:val="24"/>
        </w:rPr>
        <w:t>$1</w:t>
      </w:r>
      <w:r w:rsidR="005150DA" w:rsidRPr="002B5152">
        <w:rPr>
          <w:szCs w:val="24"/>
        </w:rPr>
        <w:t>.1</w:t>
      </w:r>
      <w:r w:rsidR="00C45F81" w:rsidRPr="002B5152">
        <w:rPr>
          <w:szCs w:val="24"/>
        </w:rPr>
        <w:t xml:space="preserve"> </w:t>
      </w:r>
      <w:r w:rsidR="005150DA" w:rsidRPr="002B5152">
        <w:rPr>
          <w:szCs w:val="24"/>
        </w:rPr>
        <w:t>b</w:t>
      </w:r>
      <w:r w:rsidR="00C45F81" w:rsidRPr="002B5152">
        <w:rPr>
          <w:szCs w:val="24"/>
        </w:rPr>
        <w:t>illion</w:t>
      </w:r>
      <w:r w:rsidR="001F2F92" w:rsidRPr="00AD1BDE">
        <w:t xml:space="preserve">. </w:t>
      </w:r>
      <w:r w:rsidRPr="00AD1BDE">
        <w:t xml:space="preserve">When discounted at seven percent, net benefits associated with the proposed rule are estimate at </w:t>
      </w:r>
      <w:r w:rsidRPr="004315CD">
        <w:rPr>
          <w:szCs w:val="24"/>
        </w:rPr>
        <w:t xml:space="preserve">approximately </w:t>
      </w:r>
      <w:r w:rsidR="00930EF0" w:rsidRPr="002B5152">
        <w:rPr>
          <w:szCs w:val="24"/>
        </w:rPr>
        <w:t>$7</w:t>
      </w:r>
      <w:r w:rsidR="00EE5051" w:rsidRPr="002B5152">
        <w:rPr>
          <w:szCs w:val="24"/>
        </w:rPr>
        <w:t>87</w:t>
      </w:r>
      <w:r w:rsidR="00930EF0" w:rsidRPr="004C5067">
        <w:rPr>
          <w:szCs w:val="24"/>
        </w:rPr>
        <w:t xml:space="preserve"> million </w:t>
      </w:r>
      <w:r w:rsidRPr="005F0E59">
        <w:rPr>
          <w:szCs w:val="24"/>
        </w:rPr>
        <w:t xml:space="preserve">and </w:t>
      </w:r>
      <w:r w:rsidR="00930EF0" w:rsidRPr="002B5152">
        <w:rPr>
          <w:szCs w:val="24"/>
        </w:rPr>
        <w:t>$8</w:t>
      </w:r>
      <w:r w:rsidR="00AD1BDE" w:rsidRPr="002B5152">
        <w:rPr>
          <w:szCs w:val="24"/>
        </w:rPr>
        <w:t>95</w:t>
      </w:r>
      <w:r w:rsidR="00930EF0" w:rsidRPr="004C5067">
        <w:rPr>
          <w:szCs w:val="24"/>
        </w:rPr>
        <w:t xml:space="preserve"> million, </w:t>
      </w:r>
      <w:r w:rsidRPr="005F0E59">
        <w:rPr>
          <w:szCs w:val="24"/>
        </w:rPr>
        <w:t>respectively</w:t>
      </w:r>
      <w:r w:rsidR="001F2F92" w:rsidRPr="001D0BC2">
        <w:t xml:space="preserve">. </w:t>
      </w:r>
      <w:r w:rsidR="002A0030" w:rsidRPr="00DE446C">
        <w:t>Th</w:t>
      </w:r>
      <w:r w:rsidR="002A0030" w:rsidRPr="006E7185">
        <w:t>erefore, the proposed rule is considered to be net beneficial.</w:t>
      </w:r>
      <w:r w:rsidR="002A0030">
        <w:t xml:space="preserve"> </w:t>
      </w:r>
    </w:p>
    <w:p w14:paraId="4714B470" w14:textId="0B2A472F" w:rsidR="002A0030" w:rsidRDefault="000F5B51" w:rsidP="002A0030">
      <w:pPr>
        <w:spacing w:after="0"/>
      </w:pPr>
      <w:r>
        <w:t xml:space="preserve">When only considering the costs and benefits for rear seat occupants, net benefits </w:t>
      </w:r>
      <w:r w:rsidR="004342FF">
        <w:t>are approximately $96 million and $228 million when discounted at three percent and $</w:t>
      </w:r>
      <w:r w:rsidR="00484CC3">
        <w:t>46 million and $154 million when discounted at seven percent</w:t>
      </w:r>
      <w:r w:rsidR="001F2F92">
        <w:t xml:space="preserve">. </w:t>
      </w:r>
      <w:r w:rsidR="00735BB6">
        <w:t xml:space="preserve">Lastly, when only considering the costs and benefits for front seat occupants, net benefits </w:t>
      </w:r>
      <w:r w:rsidR="0092798A">
        <w:t xml:space="preserve">are estimated at </w:t>
      </w:r>
      <w:r w:rsidR="00A64E96">
        <w:t>approximately $</w:t>
      </w:r>
      <w:r w:rsidR="00462904">
        <w:t>914</w:t>
      </w:r>
      <w:r w:rsidR="00FE4C5A">
        <w:t xml:space="preserve"> million and </w:t>
      </w:r>
      <w:r w:rsidR="00A866E6">
        <w:t>$7</w:t>
      </w:r>
      <w:r w:rsidR="005E5258">
        <w:t>41</w:t>
      </w:r>
      <w:r w:rsidR="00A866E6">
        <w:t xml:space="preserve"> million when discounted at</w:t>
      </w:r>
      <w:r w:rsidR="00735BB6">
        <w:t xml:space="preserve"> three and seven percent</w:t>
      </w:r>
      <w:r w:rsidR="00A866E6">
        <w:t>, respectively</w:t>
      </w:r>
      <w:r w:rsidR="001F2F92">
        <w:t xml:space="preserve">. </w:t>
      </w:r>
      <w:r w:rsidR="00451985">
        <w:t xml:space="preserve">Therefore, when considering </w:t>
      </w:r>
      <w:r w:rsidR="00735BB6">
        <w:t xml:space="preserve">the requirements specific to rear and front seat occupants separately both remain net beneficial. </w:t>
      </w:r>
    </w:p>
    <w:p w14:paraId="76D56D2E" w14:textId="77777777" w:rsidR="009B3F37" w:rsidRDefault="009B3F37" w:rsidP="002A0030">
      <w:pPr>
        <w:spacing w:after="0"/>
      </w:pPr>
    </w:p>
    <w:p w14:paraId="005AF97E" w14:textId="1F656201" w:rsidR="00C10077" w:rsidRDefault="000F5B51" w:rsidP="00D56CE7">
      <w:pPr>
        <w:pStyle w:val="Caption"/>
      </w:pPr>
      <w:bookmarkStart w:id="1561" w:name="_Ref120859830"/>
      <w:r>
        <w:t xml:space="preserve">Table </w:t>
      </w:r>
      <w:r w:rsidR="00115BAB">
        <w:fldChar w:fldCharType="begin"/>
      </w:r>
      <w:r>
        <w:instrText xml:space="preserve"> SEQ Table \* ARABIC </w:instrText>
      </w:r>
      <w:r w:rsidR="00115BAB">
        <w:fldChar w:fldCharType="separate"/>
      </w:r>
      <w:r w:rsidR="00A65CB3">
        <w:rPr>
          <w:noProof/>
        </w:rPr>
        <w:t>78</w:t>
      </w:r>
      <w:r w:rsidR="00115BAB">
        <w:rPr>
          <w:noProof/>
        </w:rPr>
        <w:fldChar w:fldCharType="end"/>
      </w:r>
      <w:bookmarkEnd w:id="1561"/>
      <w:r>
        <w:t xml:space="preserve">: </w:t>
      </w:r>
      <w:r w:rsidRPr="00F70637">
        <w:t>Summary of Net Benefits</w:t>
      </w:r>
      <w:r w:rsidR="00964AA7">
        <w:t xml:space="preserve"> (Millions)</w:t>
      </w:r>
    </w:p>
    <w:tbl>
      <w:tblPr>
        <w:tblStyle w:val="TableGrid"/>
        <w:tblW w:w="9996" w:type="dxa"/>
        <w:tblLayout w:type="fixed"/>
        <w:tblLook w:val="04A0" w:firstRow="1" w:lastRow="0" w:firstColumn="1" w:lastColumn="0" w:noHBand="0" w:noVBand="1"/>
      </w:tblPr>
      <w:tblGrid>
        <w:gridCol w:w="1165"/>
        <w:gridCol w:w="540"/>
        <w:gridCol w:w="1530"/>
        <w:gridCol w:w="1350"/>
        <w:gridCol w:w="1350"/>
        <w:gridCol w:w="1353"/>
        <w:gridCol w:w="1354"/>
        <w:gridCol w:w="1354"/>
      </w:tblGrid>
      <w:tr w:rsidR="00A15C2C" w14:paraId="477A78E0" w14:textId="77777777" w:rsidTr="003C04C4">
        <w:trPr>
          <w:trHeight w:val="118"/>
        </w:trPr>
        <w:tc>
          <w:tcPr>
            <w:tcW w:w="1705" w:type="dxa"/>
            <w:gridSpan w:val="2"/>
            <w:vMerge w:val="restart"/>
            <w:shd w:val="clear" w:color="auto" w:fill="BFBFBF" w:themeFill="background1" w:themeFillShade="BF"/>
            <w:vAlign w:val="center"/>
          </w:tcPr>
          <w:p w14:paraId="3D221138" w14:textId="77777777" w:rsidR="00C10077" w:rsidRPr="00FF04E1" w:rsidRDefault="000F5B51" w:rsidP="003C04C4">
            <w:pPr>
              <w:spacing w:line="240" w:lineRule="auto"/>
              <w:jc w:val="center"/>
              <w:rPr>
                <w:b/>
                <w:bCs/>
                <w:sz w:val="22"/>
              </w:rPr>
            </w:pPr>
            <w:r w:rsidRPr="00FF04E1">
              <w:rPr>
                <w:b/>
                <w:bCs/>
                <w:sz w:val="22"/>
              </w:rPr>
              <w:t>Category</w:t>
            </w:r>
          </w:p>
        </w:tc>
        <w:tc>
          <w:tcPr>
            <w:tcW w:w="4230" w:type="dxa"/>
            <w:gridSpan w:val="3"/>
            <w:shd w:val="clear" w:color="auto" w:fill="BFBFBF" w:themeFill="background1" w:themeFillShade="BF"/>
            <w:vAlign w:val="center"/>
          </w:tcPr>
          <w:p w14:paraId="5EFB5EE5" w14:textId="77777777" w:rsidR="00C10077" w:rsidRPr="00FF04E1" w:rsidRDefault="000F5B51" w:rsidP="003C04C4">
            <w:pPr>
              <w:spacing w:line="240" w:lineRule="auto"/>
              <w:jc w:val="center"/>
              <w:rPr>
                <w:b/>
                <w:bCs/>
                <w:sz w:val="22"/>
              </w:rPr>
            </w:pPr>
            <w:r w:rsidRPr="00FF04E1">
              <w:rPr>
                <w:b/>
                <w:bCs/>
                <w:sz w:val="22"/>
              </w:rPr>
              <w:t>Discounted at 3%</w:t>
            </w:r>
          </w:p>
        </w:tc>
        <w:tc>
          <w:tcPr>
            <w:tcW w:w="4061" w:type="dxa"/>
            <w:gridSpan w:val="3"/>
            <w:shd w:val="clear" w:color="auto" w:fill="BFBFBF" w:themeFill="background1" w:themeFillShade="BF"/>
            <w:vAlign w:val="center"/>
          </w:tcPr>
          <w:p w14:paraId="6C745F57" w14:textId="77777777" w:rsidR="00C10077" w:rsidRPr="00FF04E1" w:rsidRDefault="000F5B51" w:rsidP="003C04C4">
            <w:pPr>
              <w:spacing w:line="240" w:lineRule="auto"/>
              <w:jc w:val="center"/>
              <w:rPr>
                <w:b/>
                <w:bCs/>
                <w:sz w:val="22"/>
              </w:rPr>
            </w:pPr>
            <w:r w:rsidRPr="00FF04E1">
              <w:rPr>
                <w:b/>
                <w:bCs/>
                <w:sz w:val="22"/>
              </w:rPr>
              <w:t>Discounted at 7%</w:t>
            </w:r>
          </w:p>
        </w:tc>
      </w:tr>
      <w:tr w:rsidR="00A15C2C" w14:paraId="4F0CB8AD" w14:textId="77777777" w:rsidTr="003C04C4">
        <w:trPr>
          <w:trHeight w:val="114"/>
        </w:trPr>
        <w:tc>
          <w:tcPr>
            <w:tcW w:w="1705" w:type="dxa"/>
            <w:gridSpan w:val="2"/>
            <w:vMerge/>
            <w:shd w:val="clear" w:color="auto" w:fill="BFBFBF" w:themeFill="background1" w:themeFillShade="BF"/>
          </w:tcPr>
          <w:p w14:paraId="407C1559" w14:textId="77777777" w:rsidR="001D5CD6" w:rsidRPr="00FF04E1" w:rsidRDefault="001D5CD6" w:rsidP="001D5CD6">
            <w:pPr>
              <w:spacing w:line="240" w:lineRule="auto"/>
              <w:jc w:val="center"/>
              <w:rPr>
                <w:b/>
                <w:bCs/>
                <w:sz w:val="22"/>
              </w:rPr>
            </w:pPr>
          </w:p>
        </w:tc>
        <w:tc>
          <w:tcPr>
            <w:tcW w:w="1530" w:type="dxa"/>
            <w:shd w:val="clear" w:color="auto" w:fill="BFBFBF" w:themeFill="background1" w:themeFillShade="BF"/>
            <w:vAlign w:val="center"/>
          </w:tcPr>
          <w:p w14:paraId="734BC75A" w14:textId="77777777" w:rsidR="001D5CD6" w:rsidRPr="00FF04E1" w:rsidRDefault="000F5B51" w:rsidP="001D5CD6">
            <w:pPr>
              <w:spacing w:line="240" w:lineRule="auto"/>
              <w:jc w:val="center"/>
              <w:rPr>
                <w:b/>
                <w:bCs/>
                <w:sz w:val="22"/>
              </w:rPr>
            </w:pPr>
            <w:r>
              <w:rPr>
                <w:b/>
                <w:bCs/>
                <w:sz w:val="22"/>
              </w:rPr>
              <w:t>Monetized Benefits</w:t>
            </w:r>
          </w:p>
        </w:tc>
        <w:tc>
          <w:tcPr>
            <w:tcW w:w="1350" w:type="dxa"/>
            <w:shd w:val="clear" w:color="auto" w:fill="BFBFBF" w:themeFill="background1" w:themeFillShade="BF"/>
            <w:vAlign w:val="center"/>
          </w:tcPr>
          <w:p w14:paraId="3D2BC799" w14:textId="77777777" w:rsidR="001D5CD6" w:rsidRPr="00FF04E1" w:rsidRDefault="000F5B51" w:rsidP="001D5CD6">
            <w:pPr>
              <w:spacing w:line="240" w:lineRule="auto"/>
              <w:jc w:val="center"/>
              <w:rPr>
                <w:rFonts w:cs="Times New Roman"/>
                <w:b/>
                <w:bCs/>
                <w:sz w:val="22"/>
              </w:rPr>
            </w:pPr>
            <w:r w:rsidRPr="00FF04E1">
              <w:rPr>
                <w:rFonts w:cs="Times New Roman"/>
                <w:b/>
                <w:bCs/>
                <w:sz w:val="22"/>
              </w:rPr>
              <w:t>Cost</w:t>
            </w:r>
          </w:p>
        </w:tc>
        <w:tc>
          <w:tcPr>
            <w:tcW w:w="1350" w:type="dxa"/>
            <w:shd w:val="clear" w:color="auto" w:fill="BFBFBF" w:themeFill="background1" w:themeFillShade="BF"/>
            <w:vAlign w:val="center"/>
          </w:tcPr>
          <w:p w14:paraId="539514D1" w14:textId="77777777" w:rsidR="001D5CD6" w:rsidRPr="00FF04E1" w:rsidRDefault="000F5B51" w:rsidP="001D5CD6">
            <w:pPr>
              <w:spacing w:line="240" w:lineRule="auto"/>
              <w:jc w:val="center"/>
              <w:rPr>
                <w:rFonts w:cs="Times New Roman"/>
                <w:b/>
                <w:bCs/>
                <w:sz w:val="22"/>
              </w:rPr>
            </w:pPr>
            <w:r>
              <w:rPr>
                <w:b/>
                <w:bCs/>
                <w:sz w:val="22"/>
              </w:rPr>
              <w:t>Net Benefits</w:t>
            </w:r>
          </w:p>
        </w:tc>
        <w:tc>
          <w:tcPr>
            <w:tcW w:w="1353" w:type="dxa"/>
            <w:shd w:val="clear" w:color="auto" w:fill="BFBFBF" w:themeFill="background1" w:themeFillShade="BF"/>
            <w:vAlign w:val="center"/>
          </w:tcPr>
          <w:p w14:paraId="194C86C5" w14:textId="77777777" w:rsidR="001D5CD6" w:rsidRPr="00FF04E1" w:rsidRDefault="000F5B51" w:rsidP="001D5CD6">
            <w:pPr>
              <w:spacing w:line="240" w:lineRule="auto"/>
              <w:jc w:val="center"/>
              <w:rPr>
                <w:b/>
                <w:bCs/>
                <w:sz w:val="22"/>
              </w:rPr>
            </w:pPr>
            <w:r>
              <w:rPr>
                <w:b/>
                <w:bCs/>
                <w:sz w:val="22"/>
              </w:rPr>
              <w:t>Monetized Benefits</w:t>
            </w:r>
          </w:p>
        </w:tc>
        <w:tc>
          <w:tcPr>
            <w:tcW w:w="1354" w:type="dxa"/>
            <w:shd w:val="clear" w:color="auto" w:fill="BFBFBF" w:themeFill="background1" w:themeFillShade="BF"/>
            <w:vAlign w:val="center"/>
          </w:tcPr>
          <w:p w14:paraId="27DAFC2C" w14:textId="77777777" w:rsidR="001D5CD6" w:rsidRPr="00FF04E1" w:rsidRDefault="000F5B51" w:rsidP="001D5CD6">
            <w:pPr>
              <w:spacing w:line="240" w:lineRule="auto"/>
              <w:jc w:val="center"/>
              <w:rPr>
                <w:b/>
                <w:bCs/>
                <w:sz w:val="22"/>
              </w:rPr>
            </w:pPr>
            <w:r w:rsidRPr="00FF04E1">
              <w:rPr>
                <w:rFonts w:cs="Times New Roman"/>
                <w:b/>
                <w:bCs/>
                <w:sz w:val="22"/>
              </w:rPr>
              <w:t>Cost</w:t>
            </w:r>
          </w:p>
        </w:tc>
        <w:tc>
          <w:tcPr>
            <w:tcW w:w="1354" w:type="dxa"/>
            <w:shd w:val="clear" w:color="auto" w:fill="BFBFBF" w:themeFill="background1" w:themeFillShade="BF"/>
            <w:vAlign w:val="center"/>
          </w:tcPr>
          <w:p w14:paraId="1708FE33" w14:textId="77777777" w:rsidR="001D5CD6" w:rsidRPr="00FF04E1" w:rsidRDefault="000F5B51" w:rsidP="001D5CD6">
            <w:pPr>
              <w:spacing w:line="240" w:lineRule="auto"/>
              <w:jc w:val="center"/>
              <w:rPr>
                <w:b/>
                <w:bCs/>
                <w:sz w:val="22"/>
              </w:rPr>
            </w:pPr>
            <w:r>
              <w:rPr>
                <w:b/>
                <w:bCs/>
                <w:sz w:val="22"/>
              </w:rPr>
              <w:t>Net Benefits</w:t>
            </w:r>
          </w:p>
        </w:tc>
      </w:tr>
      <w:tr w:rsidR="00A15C2C" w14:paraId="268B6C69" w14:textId="77777777" w:rsidTr="003C04C4">
        <w:trPr>
          <w:trHeight w:val="114"/>
        </w:trPr>
        <w:tc>
          <w:tcPr>
            <w:tcW w:w="1165" w:type="dxa"/>
            <w:vMerge w:val="restart"/>
          </w:tcPr>
          <w:p w14:paraId="3615AFFF" w14:textId="77777777" w:rsidR="001D5CD6" w:rsidRPr="00934F2C" w:rsidRDefault="000F5B51" w:rsidP="001D5CD6">
            <w:pPr>
              <w:spacing w:line="240" w:lineRule="auto"/>
              <w:rPr>
                <w:sz w:val="22"/>
              </w:rPr>
            </w:pPr>
            <w:r w:rsidRPr="00934F2C">
              <w:rPr>
                <w:sz w:val="22"/>
              </w:rPr>
              <w:t>Rear Seat Occupants</w:t>
            </w:r>
          </w:p>
        </w:tc>
        <w:tc>
          <w:tcPr>
            <w:tcW w:w="540" w:type="dxa"/>
          </w:tcPr>
          <w:p w14:paraId="790D99BB" w14:textId="77777777" w:rsidR="001D5CD6" w:rsidRPr="00934F2C" w:rsidRDefault="000F5B51" w:rsidP="001D5CD6">
            <w:pPr>
              <w:spacing w:line="240" w:lineRule="auto"/>
              <w:jc w:val="center"/>
              <w:rPr>
                <w:rFonts w:cs="Times New Roman"/>
                <w:sz w:val="22"/>
              </w:rPr>
            </w:pPr>
            <w:r w:rsidRPr="00934F2C">
              <w:rPr>
                <w:rFonts w:cs="Times New Roman"/>
                <w:sz w:val="22"/>
              </w:rPr>
              <w:t>Lo</w:t>
            </w:r>
          </w:p>
        </w:tc>
        <w:tc>
          <w:tcPr>
            <w:tcW w:w="1530" w:type="dxa"/>
          </w:tcPr>
          <w:p w14:paraId="19CFA1CF" w14:textId="77777777" w:rsidR="001D5CD6" w:rsidRPr="00934F2C" w:rsidRDefault="000F5B51" w:rsidP="001D5CD6">
            <w:pPr>
              <w:spacing w:line="240" w:lineRule="auto"/>
              <w:jc w:val="center"/>
              <w:rPr>
                <w:rFonts w:cs="Times New Roman"/>
                <w:sz w:val="22"/>
              </w:rPr>
            </w:pPr>
            <w:r>
              <w:rPr>
                <w:rFonts w:cs="Times New Roman"/>
                <w:sz w:val="22"/>
              </w:rPr>
              <w:t>$262</w:t>
            </w:r>
            <w:r w:rsidR="00A96214">
              <w:rPr>
                <w:rFonts w:cs="Times New Roman"/>
                <w:sz w:val="22"/>
              </w:rPr>
              <w:t>.1</w:t>
            </w:r>
          </w:p>
        </w:tc>
        <w:tc>
          <w:tcPr>
            <w:tcW w:w="1350" w:type="dxa"/>
            <w:vMerge w:val="restart"/>
            <w:vAlign w:val="center"/>
          </w:tcPr>
          <w:p w14:paraId="4D7F33E0" w14:textId="77777777" w:rsidR="001D5CD6" w:rsidRPr="00934F2C" w:rsidRDefault="000F5B51" w:rsidP="001D5CD6">
            <w:pPr>
              <w:spacing w:line="240" w:lineRule="auto"/>
              <w:jc w:val="center"/>
              <w:rPr>
                <w:sz w:val="22"/>
              </w:rPr>
            </w:pPr>
            <w:r w:rsidRPr="00934F2C">
              <w:rPr>
                <w:sz w:val="22"/>
              </w:rPr>
              <w:t>$166</w:t>
            </w:r>
            <w:r>
              <w:rPr>
                <w:sz w:val="22"/>
              </w:rPr>
              <w:t>.4</w:t>
            </w:r>
          </w:p>
        </w:tc>
        <w:tc>
          <w:tcPr>
            <w:tcW w:w="1350" w:type="dxa"/>
            <w:vAlign w:val="center"/>
          </w:tcPr>
          <w:p w14:paraId="23F602A0" w14:textId="77777777" w:rsidR="001D5CD6" w:rsidRPr="00934F2C" w:rsidRDefault="000F5B51" w:rsidP="001D5CD6">
            <w:pPr>
              <w:spacing w:line="240" w:lineRule="auto"/>
              <w:jc w:val="center"/>
              <w:rPr>
                <w:sz w:val="22"/>
              </w:rPr>
            </w:pPr>
            <w:r>
              <w:rPr>
                <w:sz w:val="22"/>
              </w:rPr>
              <w:t>$</w:t>
            </w:r>
            <w:r w:rsidR="0099553A">
              <w:rPr>
                <w:sz w:val="22"/>
              </w:rPr>
              <w:t>95.6</w:t>
            </w:r>
          </w:p>
        </w:tc>
        <w:tc>
          <w:tcPr>
            <w:tcW w:w="1353" w:type="dxa"/>
            <w:vAlign w:val="center"/>
          </w:tcPr>
          <w:p w14:paraId="2FCF7D55" w14:textId="77777777" w:rsidR="001D5CD6" w:rsidRPr="00934F2C" w:rsidRDefault="000F5B51" w:rsidP="001D5CD6">
            <w:pPr>
              <w:spacing w:line="240" w:lineRule="auto"/>
              <w:jc w:val="center"/>
              <w:rPr>
                <w:sz w:val="22"/>
              </w:rPr>
            </w:pPr>
            <w:r>
              <w:rPr>
                <w:sz w:val="22"/>
              </w:rPr>
              <w:t>$</w:t>
            </w:r>
            <w:r w:rsidR="007C2D00">
              <w:rPr>
                <w:sz w:val="22"/>
              </w:rPr>
              <w:t>21</w:t>
            </w:r>
            <w:r w:rsidR="001F5BA2">
              <w:rPr>
                <w:sz w:val="22"/>
              </w:rPr>
              <w:t>2.7</w:t>
            </w:r>
          </w:p>
        </w:tc>
        <w:tc>
          <w:tcPr>
            <w:tcW w:w="1354" w:type="dxa"/>
            <w:vMerge w:val="restart"/>
            <w:vAlign w:val="center"/>
          </w:tcPr>
          <w:p w14:paraId="4607EB1D" w14:textId="77777777" w:rsidR="001D5CD6" w:rsidRPr="00934F2C" w:rsidRDefault="000F5B51" w:rsidP="001D5CD6">
            <w:pPr>
              <w:spacing w:line="240" w:lineRule="auto"/>
              <w:jc w:val="center"/>
              <w:rPr>
                <w:sz w:val="22"/>
              </w:rPr>
            </w:pPr>
            <w:r w:rsidRPr="00934F2C">
              <w:rPr>
                <w:sz w:val="22"/>
              </w:rPr>
              <w:t>$166</w:t>
            </w:r>
            <w:r>
              <w:rPr>
                <w:sz w:val="22"/>
              </w:rPr>
              <w:t>.4</w:t>
            </w:r>
          </w:p>
        </w:tc>
        <w:tc>
          <w:tcPr>
            <w:tcW w:w="1354" w:type="dxa"/>
            <w:vAlign w:val="center"/>
          </w:tcPr>
          <w:p w14:paraId="38D38B15" w14:textId="77777777" w:rsidR="001D5CD6" w:rsidRPr="00934F2C" w:rsidRDefault="000F5B51" w:rsidP="001D5CD6">
            <w:pPr>
              <w:spacing w:line="240" w:lineRule="auto"/>
              <w:jc w:val="center"/>
              <w:rPr>
                <w:sz w:val="22"/>
              </w:rPr>
            </w:pPr>
            <w:r>
              <w:rPr>
                <w:sz w:val="22"/>
              </w:rPr>
              <w:t>$46.2</w:t>
            </w:r>
          </w:p>
        </w:tc>
      </w:tr>
      <w:tr w:rsidR="00A15C2C" w14:paraId="5AF5199A" w14:textId="77777777" w:rsidTr="003C04C4">
        <w:trPr>
          <w:trHeight w:val="114"/>
        </w:trPr>
        <w:tc>
          <w:tcPr>
            <w:tcW w:w="1165" w:type="dxa"/>
            <w:vMerge/>
          </w:tcPr>
          <w:p w14:paraId="4DCAD26F" w14:textId="77777777" w:rsidR="001D5CD6" w:rsidRPr="00934F2C" w:rsidRDefault="001D5CD6" w:rsidP="001D5CD6">
            <w:pPr>
              <w:spacing w:line="240" w:lineRule="auto"/>
              <w:rPr>
                <w:sz w:val="22"/>
              </w:rPr>
            </w:pPr>
          </w:p>
        </w:tc>
        <w:tc>
          <w:tcPr>
            <w:tcW w:w="540" w:type="dxa"/>
          </w:tcPr>
          <w:p w14:paraId="78F7C171" w14:textId="77777777" w:rsidR="001D5CD6" w:rsidRPr="00934F2C" w:rsidRDefault="000F5B51" w:rsidP="001D5CD6">
            <w:pPr>
              <w:spacing w:line="240" w:lineRule="auto"/>
              <w:jc w:val="center"/>
              <w:rPr>
                <w:rFonts w:cs="Times New Roman"/>
                <w:sz w:val="22"/>
              </w:rPr>
            </w:pPr>
            <w:r w:rsidRPr="00934F2C">
              <w:rPr>
                <w:rFonts w:cs="Times New Roman"/>
                <w:sz w:val="22"/>
              </w:rPr>
              <w:t>Hi</w:t>
            </w:r>
          </w:p>
        </w:tc>
        <w:tc>
          <w:tcPr>
            <w:tcW w:w="1530" w:type="dxa"/>
          </w:tcPr>
          <w:p w14:paraId="53C4F314" w14:textId="77777777" w:rsidR="001D5CD6" w:rsidRPr="00934F2C" w:rsidRDefault="000F5B51" w:rsidP="001D5CD6">
            <w:pPr>
              <w:spacing w:line="240" w:lineRule="auto"/>
              <w:jc w:val="center"/>
              <w:rPr>
                <w:rFonts w:cs="Times New Roman"/>
                <w:sz w:val="22"/>
              </w:rPr>
            </w:pPr>
            <w:r>
              <w:rPr>
                <w:rFonts w:cs="Times New Roman"/>
                <w:sz w:val="22"/>
              </w:rPr>
              <w:t>$39</w:t>
            </w:r>
            <w:r w:rsidR="00A92193">
              <w:rPr>
                <w:rFonts w:cs="Times New Roman"/>
                <w:sz w:val="22"/>
              </w:rPr>
              <w:t>4.8</w:t>
            </w:r>
          </w:p>
        </w:tc>
        <w:tc>
          <w:tcPr>
            <w:tcW w:w="1350" w:type="dxa"/>
            <w:vMerge/>
            <w:vAlign w:val="center"/>
          </w:tcPr>
          <w:p w14:paraId="45AE16D0" w14:textId="77777777" w:rsidR="001D5CD6" w:rsidRPr="00934F2C" w:rsidRDefault="001D5CD6" w:rsidP="001D5CD6">
            <w:pPr>
              <w:spacing w:line="240" w:lineRule="auto"/>
              <w:jc w:val="center"/>
              <w:rPr>
                <w:sz w:val="22"/>
              </w:rPr>
            </w:pPr>
          </w:p>
        </w:tc>
        <w:tc>
          <w:tcPr>
            <w:tcW w:w="1350" w:type="dxa"/>
            <w:vAlign w:val="center"/>
          </w:tcPr>
          <w:p w14:paraId="42AE0D84" w14:textId="77777777" w:rsidR="001D5CD6" w:rsidRPr="00934F2C" w:rsidRDefault="000F5B51" w:rsidP="001D5CD6">
            <w:pPr>
              <w:spacing w:line="240" w:lineRule="auto"/>
              <w:jc w:val="center"/>
              <w:rPr>
                <w:sz w:val="22"/>
              </w:rPr>
            </w:pPr>
            <w:r>
              <w:rPr>
                <w:sz w:val="22"/>
              </w:rPr>
              <w:t>$</w:t>
            </w:r>
            <w:r w:rsidR="00FD3493">
              <w:rPr>
                <w:sz w:val="22"/>
              </w:rPr>
              <w:t>228.3</w:t>
            </w:r>
          </w:p>
        </w:tc>
        <w:tc>
          <w:tcPr>
            <w:tcW w:w="1353" w:type="dxa"/>
            <w:vAlign w:val="center"/>
          </w:tcPr>
          <w:p w14:paraId="2A4966A2" w14:textId="77777777" w:rsidR="001D5CD6" w:rsidRPr="00934F2C" w:rsidRDefault="000F5B51" w:rsidP="001D5CD6">
            <w:pPr>
              <w:spacing w:line="240" w:lineRule="auto"/>
              <w:jc w:val="center"/>
              <w:rPr>
                <w:sz w:val="22"/>
              </w:rPr>
            </w:pPr>
            <w:r>
              <w:rPr>
                <w:sz w:val="22"/>
              </w:rPr>
              <w:t>$320</w:t>
            </w:r>
            <w:r w:rsidR="00D71C05">
              <w:rPr>
                <w:sz w:val="22"/>
              </w:rPr>
              <w:t>.4</w:t>
            </w:r>
          </w:p>
        </w:tc>
        <w:tc>
          <w:tcPr>
            <w:tcW w:w="1354" w:type="dxa"/>
            <w:vMerge/>
            <w:vAlign w:val="center"/>
          </w:tcPr>
          <w:p w14:paraId="5CF31AFC" w14:textId="77777777" w:rsidR="001D5CD6" w:rsidRPr="00934F2C" w:rsidRDefault="001D5CD6" w:rsidP="001D5CD6">
            <w:pPr>
              <w:spacing w:line="240" w:lineRule="auto"/>
              <w:jc w:val="center"/>
              <w:rPr>
                <w:sz w:val="22"/>
              </w:rPr>
            </w:pPr>
          </w:p>
        </w:tc>
        <w:tc>
          <w:tcPr>
            <w:tcW w:w="1354" w:type="dxa"/>
            <w:vAlign w:val="center"/>
          </w:tcPr>
          <w:p w14:paraId="755F0FFB" w14:textId="77777777" w:rsidR="001D5CD6" w:rsidRPr="00934F2C" w:rsidRDefault="000F5B51" w:rsidP="001D5CD6">
            <w:pPr>
              <w:spacing w:line="240" w:lineRule="auto"/>
              <w:jc w:val="center"/>
              <w:rPr>
                <w:sz w:val="22"/>
              </w:rPr>
            </w:pPr>
            <w:r>
              <w:rPr>
                <w:sz w:val="22"/>
              </w:rPr>
              <w:t>$</w:t>
            </w:r>
            <w:r w:rsidR="00540E9F">
              <w:rPr>
                <w:sz w:val="22"/>
              </w:rPr>
              <w:t>153.9</w:t>
            </w:r>
          </w:p>
        </w:tc>
      </w:tr>
      <w:tr w:rsidR="00A15C2C" w14:paraId="622A5DAA" w14:textId="77777777" w:rsidTr="00D56CE7">
        <w:trPr>
          <w:trHeight w:val="114"/>
        </w:trPr>
        <w:tc>
          <w:tcPr>
            <w:tcW w:w="1705" w:type="dxa"/>
            <w:gridSpan w:val="2"/>
          </w:tcPr>
          <w:p w14:paraId="07E407E2" w14:textId="77777777" w:rsidR="00D33D60" w:rsidRPr="00934F2C" w:rsidRDefault="000F5B51" w:rsidP="00D33D60">
            <w:pPr>
              <w:spacing w:line="240" w:lineRule="auto"/>
              <w:jc w:val="center"/>
              <w:rPr>
                <w:rFonts w:cs="Times New Roman"/>
                <w:sz w:val="22"/>
              </w:rPr>
            </w:pPr>
            <w:r w:rsidRPr="00934F2C">
              <w:rPr>
                <w:sz w:val="22"/>
              </w:rPr>
              <w:t>Front Seat Occupants</w:t>
            </w:r>
          </w:p>
        </w:tc>
        <w:tc>
          <w:tcPr>
            <w:tcW w:w="1530" w:type="dxa"/>
            <w:vAlign w:val="center"/>
          </w:tcPr>
          <w:p w14:paraId="520F21E5" w14:textId="6FF99A1B" w:rsidR="00D33D60" w:rsidRDefault="00B15651" w:rsidP="00D33D60">
            <w:pPr>
              <w:spacing w:line="240" w:lineRule="auto"/>
              <w:jc w:val="center"/>
              <w:rPr>
                <w:rFonts w:cs="Times New Roman"/>
                <w:sz w:val="22"/>
              </w:rPr>
            </w:pPr>
            <w:r w:rsidRPr="00B15651">
              <w:rPr>
                <w:rFonts w:cs="Times New Roman"/>
                <w:sz w:val="22"/>
              </w:rPr>
              <w:t>$915.8</w:t>
            </w:r>
          </w:p>
        </w:tc>
        <w:tc>
          <w:tcPr>
            <w:tcW w:w="1350" w:type="dxa"/>
            <w:vAlign w:val="center"/>
          </w:tcPr>
          <w:p w14:paraId="29944242" w14:textId="77777777" w:rsidR="00D33D60" w:rsidRPr="00934F2C" w:rsidRDefault="000F5B51" w:rsidP="00D33D60">
            <w:pPr>
              <w:spacing w:line="240" w:lineRule="auto"/>
              <w:jc w:val="center"/>
              <w:rPr>
                <w:sz w:val="22"/>
              </w:rPr>
            </w:pPr>
            <w:r w:rsidRPr="002B5152">
              <w:rPr>
                <w:sz w:val="22"/>
              </w:rPr>
              <w:t>$1.4</w:t>
            </w:r>
          </w:p>
        </w:tc>
        <w:tc>
          <w:tcPr>
            <w:tcW w:w="1350" w:type="dxa"/>
            <w:vAlign w:val="center"/>
          </w:tcPr>
          <w:p w14:paraId="37BE9F51" w14:textId="5599FB50" w:rsidR="00D33D60" w:rsidRPr="00D428F2" w:rsidRDefault="000039F7" w:rsidP="00D33D60">
            <w:pPr>
              <w:spacing w:line="240" w:lineRule="auto"/>
              <w:jc w:val="center"/>
              <w:rPr>
                <w:sz w:val="22"/>
              </w:rPr>
            </w:pPr>
            <w:r w:rsidRPr="002B5152">
              <w:rPr>
                <w:sz w:val="22"/>
              </w:rPr>
              <w:t>$914.</w:t>
            </w:r>
            <w:r w:rsidR="00462904">
              <w:rPr>
                <w:sz w:val="22"/>
              </w:rPr>
              <w:t>4</w:t>
            </w:r>
          </w:p>
        </w:tc>
        <w:tc>
          <w:tcPr>
            <w:tcW w:w="1353" w:type="dxa"/>
            <w:vAlign w:val="center"/>
          </w:tcPr>
          <w:p w14:paraId="26F2A8E4" w14:textId="0F4B0F7F" w:rsidR="00D33D60" w:rsidRPr="00462904" w:rsidRDefault="00B15651" w:rsidP="00D33D60">
            <w:pPr>
              <w:spacing w:line="240" w:lineRule="auto"/>
              <w:jc w:val="center"/>
              <w:rPr>
                <w:sz w:val="22"/>
              </w:rPr>
            </w:pPr>
            <w:r w:rsidRPr="005F0E59">
              <w:rPr>
                <w:sz w:val="22"/>
              </w:rPr>
              <w:t>$742.5</w:t>
            </w:r>
          </w:p>
        </w:tc>
        <w:tc>
          <w:tcPr>
            <w:tcW w:w="1354" w:type="dxa"/>
            <w:vAlign w:val="center"/>
          </w:tcPr>
          <w:p w14:paraId="4645EAB9" w14:textId="77777777" w:rsidR="00D33D60" w:rsidRPr="00D428F2" w:rsidRDefault="000F5B51" w:rsidP="00D33D60">
            <w:pPr>
              <w:spacing w:line="240" w:lineRule="auto"/>
              <w:jc w:val="center"/>
              <w:rPr>
                <w:sz w:val="22"/>
              </w:rPr>
            </w:pPr>
            <w:r w:rsidRPr="002B5152">
              <w:rPr>
                <w:sz w:val="22"/>
              </w:rPr>
              <w:t>$1.4</w:t>
            </w:r>
          </w:p>
        </w:tc>
        <w:tc>
          <w:tcPr>
            <w:tcW w:w="1354" w:type="dxa"/>
            <w:vAlign w:val="center"/>
          </w:tcPr>
          <w:p w14:paraId="034AA862" w14:textId="4D9E3009" w:rsidR="00D33D60" w:rsidRPr="00D428F2" w:rsidRDefault="00462904" w:rsidP="00D33D60">
            <w:pPr>
              <w:spacing w:line="240" w:lineRule="auto"/>
              <w:jc w:val="center"/>
              <w:rPr>
                <w:sz w:val="22"/>
              </w:rPr>
            </w:pPr>
            <w:r>
              <w:rPr>
                <w:sz w:val="22"/>
              </w:rPr>
              <w:t>$741.1</w:t>
            </w:r>
          </w:p>
        </w:tc>
      </w:tr>
      <w:tr w:rsidR="00A15C2C" w14:paraId="1A60E3BD" w14:textId="77777777" w:rsidTr="002B5152">
        <w:trPr>
          <w:trHeight w:val="287"/>
        </w:trPr>
        <w:tc>
          <w:tcPr>
            <w:tcW w:w="1165" w:type="dxa"/>
            <w:vMerge w:val="restart"/>
            <w:vAlign w:val="center"/>
          </w:tcPr>
          <w:p w14:paraId="0E582718" w14:textId="77777777" w:rsidR="00D33D60" w:rsidRPr="00934F2C" w:rsidRDefault="000F5B51">
            <w:pPr>
              <w:spacing w:line="240" w:lineRule="auto"/>
              <w:rPr>
                <w:sz w:val="22"/>
              </w:rPr>
            </w:pPr>
            <w:r w:rsidRPr="00934F2C">
              <w:rPr>
                <w:b/>
                <w:bCs/>
                <w:sz w:val="22"/>
              </w:rPr>
              <w:t>Total</w:t>
            </w:r>
          </w:p>
        </w:tc>
        <w:tc>
          <w:tcPr>
            <w:tcW w:w="540" w:type="dxa"/>
          </w:tcPr>
          <w:p w14:paraId="66E07026" w14:textId="77777777" w:rsidR="00D33D60" w:rsidRPr="00934F2C" w:rsidRDefault="000F5B51" w:rsidP="001D5CD6">
            <w:pPr>
              <w:spacing w:line="240" w:lineRule="auto"/>
              <w:jc w:val="center"/>
              <w:rPr>
                <w:rFonts w:cs="Times New Roman"/>
                <w:sz w:val="22"/>
              </w:rPr>
            </w:pPr>
            <w:r>
              <w:rPr>
                <w:rFonts w:cs="Times New Roman"/>
                <w:sz w:val="22"/>
              </w:rPr>
              <w:t>Lo</w:t>
            </w:r>
          </w:p>
        </w:tc>
        <w:tc>
          <w:tcPr>
            <w:tcW w:w="1530" w:type="dxa"/>
          </w:tcPr>
          <w:p w14:paraId="4B3B56FE" w14:textId="48A5AC40" w:rsidR="00D33D60" w:rsidRDefault="00F55DDF" w:rsidP="001D5CD6">
            <w:pPr>
              <w:spacing w:line="240" w:lineRule="auto"/>
              <w:jc w:val="center"/>
              <w:rPr>
                <w:rFonts w:cs="Times New Roman"/>
                <w:sz w:val="22"/>
              </w:rPr>
            </w:pPr>
            <w:r w:rsidRPr="00F55DDF">
              <w:rPr>
                <w:rFonts w:cs="Times New Roman"/>
                <w:sz w:val="22"/>
              </w:rPr>
              <w:t>$1,17</w:t>
            </w:r>
            <w:r w:rsidR="00777E59">
              <w:rPr>
                <w:rFonts w:cs="Times New Roman"/>
                <w:sz w:val="22"/>
              </w:rPr>
              <w:t>7.9</w:t>
            </w:r>
          </w:p>
        </w:tc>
        <w:tc>
          <w:tcPr>
            <w:tcW w:w="1350" w:type="dxa"/>
            <w:vMerge w:val="restart"/>
            <w:vAlign w:val="center"/>
          </w:tcPr>
          <w:p w14:paraId="3E852B69" w14:textId="77777777" w:rsidR="00D33D60" w:rsidRPr="00934F2C" w:rsidRDefault="000F5B51" w:rsidP="001D5CD6">
            <w:pPr>
              <w:spacing w:line="240" w:lineRule="auto"/>
              <w:jc w:val="center"/>
              <w:rPr>
                <w:sz w:val="22"/>
              </w:rPr>
            </w:pPr>
            <w:r w:rsidRPr="00934F2C">
              <w:rPr>
                <w:rFonts w:eastAsia="Times New Roman" w:cs="Times New Roman"/>
                <w:b/>
                <w:bCs/>
                <w:sz w:val="22"/>
              </w:rPr>
              <w:t>$167</w:t>
            </w:r>
            <w:r>
              <w:rPr>
                <w:rFonts w:eastAsia="Times New Roman" w:cs="Times New Roman"/>
                <w:b/>
                <w:bCs/>
                <w:sz w:val="22"/>
              </w:rPr>
              <w:t>.8</w:t>
            </w:r>
          </w:p>
        </w:tc>
        <w:tc>
          <w:tcPr>
            <w:tcW w:w="1350" w:type="dxa"/>
            <w:vAlign w:val="center"/>
          </w:tcPr>
          <w:p w14:paraId="15DF2C85" w14:textId="16CDEB12" w:rsidR="00D33D60" w:rsidRDefault="00777E59" w:rsidP="001D5CD6">
            <w:pPr>
              <w:spacing w:line="240" w:lineRule="auto"/>
              <w:jc w:val="center"/>
              <w:rPr>
                <w:sz w:val="22"/>
              </w:rPr>
            </w:pPr>
            <w:r>
              <w:rPr>
                <w:sz w:val="22"/>
              </w:rPr>
              <w:t>$1,010.0</w:t>
            </w:r>
          </w:p>
        </w:tc>
        <w:tc>
          <w:tcPr>
            <w:tcW w:w="1353" w:type="dxa"/>
            <w:vAlign w:val="center"/>
          </w:tcPr>
          <w:p w14:paraId="2DBBA7D5" w14:textId="74BFC084" w:rsidR="00D33D60" w:rsidRDefault="00777E59" w:rsidP="001D5CD6">
            <w:pPr>
              <w:spacing w:line="240" w:lineRule="auto"/>
              <w:jc w:val="center"/>
              <w:rPr>
                <w:sz w:val="22"/>
              </w:rPr>
            </w:pPr>
            <w:r>
              <w:rPr>
                <w:sz w:val="22"/>
              </w:rPr>
              <w:t>$955.2</w:t>
            </w:r>
          </w:p>
        </w:tc>
        <w:tc>
          <w:tcPr>
            <w:tcW w:w="1354" w:type="dxa"/>
            <w:vMerge w:val="restart"/>
            <w:vAlign w:val="center"/>
          </w:tcPr>
          <w:p w14:paraId="13227517" w14:textId="77777777" w:rsidR="00D33D60" w:rsidRPr="00934F2C" w:rsidRDefault="000F5B51" w:rsidP="001D5CD6">
            <w:pPr>
              <w:spacing w:line="240" w:lineRule="auto"/>
              <w:jc w:val="center"/>
              <w:rPr>
                <w:sz w:val="22"/>
              </w:rPr>
            </w:pPr>
            <w:r w:rsidRPr="00934F2C">
              <w:rPr>
                <w:rFonts w:eastAsia="Times New Roman" w:cs="Times New Roman"/>
                <w:b/>
                <w:bCs/>
                <w:sz w:val="22"/>
              </w:rPr>
              <w:t>$167</w:t>
            </w:r>
            <w:r>
              <w:rPr>
                <w:rFonts w:eastAsia="Times New Roman" w:cs="Times New Roman"/>
                <w:b/>
                <w:bCs/>
                <w:sz w:val="22"/>
              </w:rPr>
              <w:t>.8</w:t>
            </w:r>
          </w:p>
        </w:tc>
        <w:tc>
          <w:tcPr>
            <w:tcW w:w="1354" w:type="dxa"/>
            <w:vAlign w:val="center"/>
          </w:tcPr>
          <w:p w14:paraId="2BF2BD9C" w14:textId="4E555FB9" w:rsidR="00D33D60" w:rsidRDefault="00CB3AA8" w:rsidP="001D5CD6">
            <w:pPr>
              <w:spacing w:line="240" w:lineRule="auto"/>
              <w:jc w:val="center"/>
              <w:rPr>
                <w:sz w:val="22"/>
              </w:rPr>
            </w:pPr>
            <w:r>
              <w:rPr>
                <w:sz w:val="22"/>
              </w:rPr>
              <w:t>$787.4</w:t>
            </w:r>
          </w:p>
        </w:tc>
      </w:tr>
      <w:tr w:rsidR="00A15C2C" w14:paraId="15F7A492" w14:textId="77777777" w:rsidTr="003C04C4">
        <w:trPr>
          <w:trHeight w:val="114"/>
        </w:trPr>
        <w:tc>
          <w:tcPr>
            <w:tcW w:w="1165" w:type="dxa"/>
            <w:vMerge/>
          </w:tcPr>
          <w:p w14:paraId="120D89E0" w14:textId="77777777" w:rsidR="00D33D60" w:rsidRPr="00934F2C" w:rsidRDefault="00D33D60" w:rsidP="001D5CD6">
            <w:pPr>
              <w:spacing w:line="240" w:lineRule="auto"/>
              <w:rPr>
                <w:sz w:val="22"/>
              </w:rPr>
            </w:pPr>
          </w:p>
        </w:tc>
        <w:tc>
          <w:tcPr>
            <w:tcW w:w="540" w:type="dxa"/>
          </w:tcPr>
          <w:p w14:paraId="2C6F2367" w14:textId="77777777" w:rsidR="00D33D60" w:rsidRPr="00934F2C" w:rsidRDefault="000F5B51" w:rsidP="001D5CD6">
            <w:pPr>
              <w:spacing w:line="240" w:lineRule="auto"/>
              <w:jc w:val="center"/>
              <w:rPr>
                <w:rFonts w:cs="Times New Roman"/>
                <w:sz w:val="22"/>
              </w:rPr>
            </w:pPr>
            <w:r>
              <w:rPr>
                <w:rFonts w:cs="Times New Roman"/>
                <w:sz w:val="22"/>
              </w:rPr>
              <w:t>Hi</w:t>
            </w:r>
          </w:p>
        </w:tc>
        <w:tc>
          <w:tcPr>
            <w:tcW w:w="1530" w:type="dxa"/>
          </w:tcPr>
          <w:p w14:paraId="3EADF5C4" w14:textId="6A85FC79" w:rsidR="00D33D60" w:rsidRDefault="00F55DDF" w:rsidP="001D5CD6">
            <w:pPr>
              <w:spacing w:line="240" w:lineRule="auto"/>
              <w:jc w:val="center"/>
              <w:rPr>
                <w:rFonts w:cs="Times New Roman"/>
                <w:sz w:val="22"/>
              </w:rPr>
            </w:pPr>
            <w:r w:rsidRPr="00F55DDF">
              <w:rPr>
                <w:rFonts w:cs="Times New Roman"/>
                <w:sz w:val="22"/>
              </w:rPr>
              <w:t>$1,31</w:t>
            </w:r>
            <w:r w:rsidR="00777E59">
              <w:rPr>
                <w:rFonts w:cs="Times New Roman"/>
                <w:sz w:val="22"/>
              </w:rPr>
              <w:t>0.5</w:t>
            </w:r>
          </w:p>
        </w:tc>
        <w:tc>
          <w:tcPr>
            <w:tcW w:w="1350" w:type="dxa"/>
            <w:vMerge/>
            <w:vAlign w:val="center"/>
          </w:tcPr>
          <w:p w14:paraId="32BA47C1" w14:textId="77777777" w:rsidR="00D33D60" w:rsidRPr="00934F2C" w:rsidRDefault="00D33D60" w:rsidP="001D5CD6">
            <w:pPr>
              <w:spacing w:line="240" w:lineRule="auto"/>
              <w:jc w:val="center"/>
              <w:rPr>
                <w:sz w:val="22"/>
              </w:rPr>
            </w:pPr>
          </w:p>
        </w:tc>
        <w:tc>
          <w:tcPr>
            <w:tcW w:w="1350" w:type="dxa"/>
            <w:vAlign w:val="center"/>
          </w:tcPr>
          <w:p w14:paraId="2F5F9201" w14:textId="3133A59E" w:rsidR="00D33D60" w:rsidRDefault="00777E59" w:rsidP="001D5CD6">
            <w:pPr>
              <w:spacing w:line="240" w:lineRule="auto"/>
              <w:jc w:val="center"/>
              <w:rPr>
                <w:sz w:val="22"/>
              </w:rPr>
            </w:pPr>
            <w:r>
              <w:rPr>
                <w:sz w:val="22"/>
              </w:rPr>
              <w:t>$1,</w:t>
            </w:r>
            <w:r w:rsidR="00F97F09">
              <w:rPr>
                <w:sz w:val="22"/>
              </w:rPr>
              <w:t>142</w:t>
            </w:r>
            <w:r w:rsidR="0026394B">
              <w:rPr>
                <w:sz w:val="22"/>
              </w:rPr>
              <w:t>.7</w:t>
            </w:r>
            <w:r w:rsidR="00F97F09" w:rsidDel="00DA0182">
              <w:rPr>
                <w:sz w:val="22"/>
              </w:rPr>
              <w:t xml:space="preserve"> </w:t>
            </w:r>
          </w:p>
        </w:tc>
        <w:tc>
          <w:tcPr>
            <w:tcW w:w="1353" w:type="dxa"/>
            <w:vAlign w:val="center"/>
          </w:tcPr>
          <w:p w14:paraId="0070F082" w14:textId="25657B50" w:rsidR="00D33D60" w:rsidRDefault="00777E59" w:rsidP="001D5CD6">
            <w:pPr>
              <w:spacing w:line="240" w:lineRule="auto"/>
              <w:jc w:val="center"/>
              <w:rPr>
                <w:sz w:val="22"/>
              </w:rPr>
            </w:pPr>
            <w:r>
              <w:rPr>
                <w:sz w:val="22"/>
              </w:rPr>
              <w:t>$1,062.8</w:t>
            </w:r>
          </w:p>
        </w:tc>
        <w:tc>
          <w:tcPr>
            <w:tcW w:w="1354" w:type="dxa"/>
            <w:vMerge/>
            <w:vAlign w:val="center"/>
          </w:tcPr>
          <w:p w14:paraId="07C74AED" w14:textId="77777777" w:rsidR="00D33D60" w:rsidRPr="00934F2C" w:rsidRDefault="00D33D60" w:rsidP="001D5CD6">
            <w:pPr>
              <w:spacing w:line="240" w:lineRule="auto"/>
              <w:jc w:val="center"/>
              <w:rPr>
                <w:sz w:val="22"/>
              </w:rPr>
            </w:pPr>
          </w:p>
        </w:tc>
        <w:tc>
          <w:tcPr>
            <w:tcW w:w="1354" w:type="dxa"/>
            <w:vAlign w:val="center"/>
          </w:tcPr>
          <w:p w14:paraId="03921336" w14:textId="41386888" w:rsidR="00D33D60" w:rsidRDefault="00CB3AA8" w:rsidP="001D5CD6">
            <w:pPr>
              <w:spacing w:line="240" w:lineRule="auto"/>
              <w:jc w:val="center"/>
              <w:rPr>
                <w:sz w:val="22"/>
              </w:rPr>
            </w:pPr>
            <w:r>
              <w:rPr>
                <w:sz w:val="22"/>
              </w:rPr>
              <w:t>$895.0</w:t>
            </w:r>
          </w:p>
        </w:tc>
      </w:tr>
    </w:tbl>
    <w:p w14:paraId="58713BBC" w14:textId="649FAA68" w:rsidR="00451985" w:rsidRPr="0078467B" w:rsidRDefault="000F5B51" w:rsidP="00D56CE7">
      <w:pPr>
        <w:spacing w:after="0"/>
        <w:contextualSpacing/>
        <w:rPr>
          <w:rFonts w:eastAsia="Calibri" w:cs="Times New Roman"/>
          <w:szCs w:val="24"/>
        </w:rPr>
      </w:pPr>
      <w:r w:rsidRPr="00934F2C">
        <w:rPr>
          <w:rFonts w:cs="Times New Roman"/>
          <w:sz w:val="18"/>
          <w:szCs w:val="18"/>
        </w:rPr>
        <w:t xml:space="preserve">Note: </w:t>
      </w:r>
      <w:r w:rsidR="00496220">
        <w:rPr>
          <w:rFonts w:cs="Times New Roman"/>
          <w:sz w:val="18"/>
          <w:szCs w:val="18"/>
        </w:rPr>
        <w:t>V</w:t>
      </w:r>
      <w:r w:rsidRPr="00934F2C">
        <w:rPr>
          <w:rFonts w:cs="Times New Roman"/>
          <w:sz w:val="18"/>
          <w:szCs w:val="18"/>
        </w:rPr>
        <w:t>alues may not sum due to rounding.</w:t>
      </w:r>
    </w:p>
    <w:p w14:paraId="0B0D7075" w14:textId="77777777" w:rsidR="001D6419" w:rsidRPr="001D6419" w:rsidRDefault="000F5B51" w:rsidP="0021691D">
      <w:pPr>
        <w:pStyle w:val="Heading2"/>
        <w:spacing w:line="240" w:lineRule="auto"/>
      </w:pPr>
      <w:bookmarkStart w:id="1562" w:name="_Toc126590800"/>
      <w:bookmarkStart w:id="1563" w:name="_Toc126913563"/>
      <w:bookmarkStart w:id="1564" w:name="_Toc127267304"/>
      <w:bookmarkStart w:id="1565" w:name="_Toc126590801"/>
      <w:bookmarkStart w:id="1566" w:name="_Toc126913564"/>
      <w:bookmarkStart w:id="1567" w:name="_Toc127267305"/>
      <w:bookmarkStart w:id="1568" w:name="_Toc126590802"/>
      <w:bookmarkStart w:id="1569" w:name="_Toc126913565"/>
      <w:bookmarkStart w:id="1570" w:name="_Toc127267306"/>
      <w:bookmarkStart w:id="1571" w:name="_Toc126590827"/>
      <w:bookmarkStart w:id="1572" w:name="_Toc126913590"/>
      <w:bookmarkStart w:id="1573" w:name="_Toc127267331"/>
      <w:bookmarkStart w:id="1574" w:name="_Toc126590828"/>
      <w:bookmarkStart w:id="1575" w:name="_Toc126913591"/>
      <w:bookmarkStart w:id="1576" w:name="_Toc127267332"/>
      <w:bookmarkStart w:id="1577" w:name="_Toc126590829"/>
      <w:bookmarkStart w:id="1578" w:name="_Toc126913592"/>
      <w:bookmarkStart w:id="1579" w:name="_Toc127267333"/>
      <w:bookmarkStart w:id="1580" w:name="_Toc126590854"/>
      <w:bookmarkStart w:id="1581" w:name="_Toc126913617"/>
      <w:bookmarkStart w:id="1582" w:name="_Toc127267358"/>
      <w:bookmarkStart w:id="1583" w:name="_Toc126590855"/>
      <w:bookmarkStart w:id="1584" w:name="_Toc126913618"/>
      <w:bookmarkStart w:id="1585" w:name="_Toc127267359"/>
      <w:bookmarkStart w:id="1586" w:name="_Toc126590856"/>
      <w:bookmarkStart w:id="1587" w:name="_Toc126913619"/>
      <w:bookmarkStart w:id="1588" w:name="_Toc127267360"/>
      <w:bookmarkStart w:id="1589" w:name="_Toc126590881"/>
      <w:bookmarkStart w:id="1590" w:name="_Toc126913644"/>
      <w:bookmarkStart w:id="1591" w:name="_Toc127267385"/>
      <w:bookmarkStart w:id="1592" w:name="_Toc126590882"/>
      <w:bookmarkStart w:id="1593" w:name="_Toc126913645"/>
      <w:bookmarkStart w:id="1594" w:name="_Toc127267386"/>
      <w:bookmarkStart w:id="1595" w:name="_Toc126590883"/>
      <w:bookmarkStart w:id="1596" w:name="_Toc126913646"/>
      <w:bookmarkStart w:id="1597" w:name="_Toc127267387"/>
      <w:bookmarkStart w:id="1598" w:name="_Toc126590884"/>
      <w:bookmarkStart w:id="1599" w:name="_Toc126913647"/>
      <w:bookmarkStart w:id="1600" w:name="_Toc127267388"/>
      <w:bookmarkStart w:id="1601" w:name="_Toc126590885"/>
      <w:bookmarkStart w:id="1602" w:name="_Toc126913648"/>
      <w:bookmarkStart w:id="1603" w:name="_Toc127267389"/>
      <w:bookmarkStart w:id="1604" w:name="_Toc126590886"/>
      <w:bookmarkStart w:id="1605" w:name="_Toc126913649"/>
      <w:bookmarkStart w:id="1606" w:name="_Toc127267390"/>
      <w:bookmarkStart w:id="1607" w:name="_Toc126590901"/>
      <w:bookmarkStart w:id="1608" w:name="_Toc126913664"/>
      <w:bookmarkStart w:id="1609" w:name="_Toc127267405"/>
      <w:bookmarkStart w:id="1610" w:name="_Toc126590902"/>
      <w:bookmarkStart w:id="1611" w:name="_Toc126913665"/>
      <w:bookmarkStart w:id="1612" w:name="_Toc127267406"/>
      <w:bookmarkStart w:id="1613" w:name="_Toc126590938"/>
      <w:bookmarkStart w:id="1614" w:name="_Toc126913701"/>
      <w:bookmarkStart w:id="1615" w:name="_Toc127267442"/>
      <w:bookmarkStart w:id="1616" w:name="_Toc126590963"/>
      <w:bookmarkStart w:id="1617" w:name="_Toc126913726"/>
      <w:bookmarkStart w:id="1618" w:name="_Toc127267467"/>
      <w:bookmarkStart w:id="1619" w:name="_Toc126590964"/>
      <w:bookmarkStart w:id="1620" w:name="_Toc126913727"/>
      <w:bookmarkStart w:id="1621" w:name="_Toc127267468"/>
      <w:bookmarkStart w:id="1622" w:name="_Toc126590965"/>
      <w:bookmarkStart w:id="1623" w:name="_Toc126913728"/>
      <w:bookmarkStart w:id="1624" w:name="_Toc127267469"/>
      <w:bookmarkStart w:id="1625" w:name="_Toc126591006"/>
      <w:bookmarkStart w:id="1626" w:name="_Toc126913769"/>
      <w:bookmarkStart w:id="1627" w:name="_Toc127267510"/>
      <w:bookmarkStart w:id="1628" w:name="_Toc126591007"/>
      <w:bookmarkStart w:id="1629" w:name="_Toc126913770"/>
      <w:bookmarkStart w:id="1630" w:name="_Toc127267511"/>
      <w:bookmarkStart w:id="1631" w:name="_Toc126591008"/>
      <w:bookmarkStart w:id="1632" w:name="_Toc126913771"/>
      <w:bookmarkStart w:id="1633" w:name="_Toc127267512"/>
      <w:bookmarkStart w:id="1634" w:name="_Toc126591009"/>
      <w:bookmarkStart w:id="1635" w:name="_Toc126913772"/>
      <w:bookmarkStart w:id="1636" w:name="_Toc127267513"/>
      <w:bookmarkStart w:id="1637" w:name="_Toc126591030"/>
      <w:bookmarkStart w:id="1638" w:name="_Toc126913793"/>
      <w:bookmarkStart w:id="1639" w:name="_Toc127267534"/>
      <w:bookmarkStart w:id="1640" w:name="_Toc126591031"/>
      <w:bookmarkStart w:id="1641" w:name="_Toc126913794"/>
      <w:bookmarkStart w:id="1642" w:name="_Toc127267535"/>
      <w:bookmarkStart w:id="1643" w:name="_Toc126591032"/>
      <w:bookmarkStart w:id="1644" w:name="_Toc126913795"/>
      <w:bookmarkStart w:id="1645" w:name="_Toc127267536"/>
      <w:bookmarkStart w:id="1646" w:name="_Toc126591033"/>
      <w:bookmarkStart w:id="1647" w:name="_Toc126913796"/>
      <w:bookmarkStart w:id="1648" w:name="_Toc127267537"/>
      <w:bookmarkStart w:id="1649" w:name="_Toc126591034"/>
      <w:bookmarkStart w:id="1650" w:name="_Toc126913797"/>
      <w:bookmarkStart w:id="1651" w:name="_Toc127267538"/>
      <w:bookmarkStart w:id="1652" w:name="_Toc126591104"/>
      <w:bookmarkStart w:id="1653" w:name="_Toc126913867"/>
      <w:bookmarkStart w:id="1654" w:name="_Toc127267608"/>
      <w:bookmarkStart w:id="1655" w:name="_Toc126591105"/>
      <w:bookmarkStart w:id="1656" w:name="_Toc126913868"/>
      <w:bookmarkStart w:id="1657" w:name="_Toc127267609"/>
      <w:bookmarkStart w:id="1658" w:name="_Toc126591106"/>
      <w:bookmarkStart w:id="1659" w:name="_Toc126913869"/>
      <w:bookmarkStart w:id="1660" w:name="_Toc127267610"/>
      <w:bookmarkStart w:id="1661" w:name="_Toc126591107"/>
      <w:bookmarkStart w:id="1662" w:name="_Toc126913870"/>
      <w:bookmarkStart w:id="1663" w:name="_Toc127267611"/>
      <w:bookmarkStart w:id="1664" w:name="_Toc126591108"/>
      <w:bookmarkStart w:id="1665" w:name="_Toc126913871"/>
      <w:bookmarkStart w:id="1666" w:name="_Toc127267612"/>
      <w:bookmarkStart w:id="1667" w:name="_Toc126591109"/>
      <w:bookmarkStart w:id="1668" w:name="_Toc126913872"/>
      <w:bookmarkStart w:id="1669" w:name="_Toc127267613"/>
      <w:bookmarkStart w:id="1670" w:name="_Toc126591125"/>
      <w:bookmarkStart w:id="1671" w:name="_Toc126913888"/>
      <w:bookmarkStart w:id="1672" w:name="_Toc127267629"/>
      <w:bookmarkStart w:id="1673" w:name="_Toc126591126"/>
      <w:bookmarkStart w:id="1674" w:name="_Toc126913889"/>
      <w:bookmarkStart w:id="1675" w:name="_Toc127267630"/>
      <w:bookmarkStart w:id="1676" w:name="_Toc126591127"/>
      <w:bookmarkStart w:id="1677" w:name="_Toc126913890"/>
      <w:bookmarkStart w:id="1678" w:name="_Toc127267631"/>
      <w:bookmarkStart w:id="1679" w:name="_Toc126591128"/>
      <w:bookmarkStart w:id="1680" w:name="_Toc126913891"/>
      <w:bookmarkStart w:id="1681" w:name="_Toc127267632"/>
      <w:bookmarkStart w:id="1682" w:name="_Toc126591180"/>
      <w:bookmarkStart w:id="1683" w:name="_Toc126913943"/>
      <w:bookmarkStart w:id="1684" w:name="_Toc127267684"/>
      <w:bookmarkStart w:id="1685" w:name="_Toc126591181"/>
      <w:bookmarkStart w:id="1686" w:name="_Toc126913944"/>
      <w:bookmarkStart w:id="1687" w:name="_Toc127267685"/>
      <w:bookmarkStart w:id="1688" w:name="_Toc126591182"/>
      <w:bookmarkStart w:id="1689" w:name="_Toc126913945"/>
      <w:bookmarkStart w:id="1690" w:name="_Toc127267686"/>
      <w:bookmarkStart w:id="1691" w:name="_Toc126591183"/>
      <w:bookmarkStart w:id="1692" w:name="_Toc126913946"/>
      <w:bookmarkStart w:id="1693" w:name="_Toc127267687"/>
      <w:bookmarkStart w:id="1694" w:name="_Toc126591254"/>
      <w:bookmarkStart w:id="1695" w:name="_Toc126914017"/>
      <w:bookmarkStart w:id="1696" w:name="_Toc127267758"/>
      <w:bookmarkStart w:id="1697" w:name="_Toc126591255"/>
      <w:bookmarkStart w:id="1698" w:name="_Toc126914018"/>
      <w:bookmarkStart w:id="1699" w:name="_Toc127267759"/>
      <w:bookmarkStart w:id="1700" w:name="_Toc126591256"/>
      <w:bookmarkStart w:id="1701" w:name="_Toc126914019"/>
      <w:bookmarkStart w:id="1702" w:name="_Toc127267760"/>
      <w:bookmarkStart w:id="1703" w:name="_Toc126591257"/>
      <w:bookmarkStart w:id="1704" w:name="_Toc126914020"/>
      <w:bookmarkStart w:id="1705" w:name="_Toc127267761"/>
      <w:bookmarkStart w:id="1706" w:name="_Toc126591258"/>
      <w:bookmarkStart w:id="1707" w:name="_Toc126914021"/>
      <w:bookmarkStart w:id="1708" w:name="_Toc127267762"/>
      <w:bookmarkStart w:id="1709" w:name="_Toc126591259"/>
      <w:bookmarkStart w:id="1710" w:name="_Toc126914022"/>
      <w:bookmarkStart w:id="1711" w:name="_Toc127267763"/>
      <w:bookmarkStart w:id="1712" w:name="_Toc126591284"/>
      <w:bookmarkStart w:id="1713" w:name="_Toc126914047"/>
      <w:bookmarkStart w:id="1714" w:name="_Toc127267788"/>
      <w:bookmarkStart w:id="1715" w:name="_Toc126591285"/>
      <w:bookmarkStart w:id="1716" w:name="_Toc126914048"/>
      <w:bookmarkStart w:id="1717" w:name="_Toc127267789"/>
      <w:bookmarkStart w:id="1718" w:name="_Toc126591286"/>
      <w:bookmarkStart w:id="1719" w:name="_Toc126914049"/>
      <w:bookmarkStart w:id="1720" w:name="_Toc127267790"/>
      <w:bookmarkStart w:id="1721" w:name="_Toc126591287"/>
      <w:bookmarkStart w:id="1722" w:name="_Toc126914050"/>
      <w:bookmarkStart w:id="1723" w:name="_Toc127267791"/>
      <w:bookmarkStart w:id="1724" w:name="_Toc142902996"/>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r>
        <w:t>Summary</w:t>
      </w:r>
      <w:bookmarkEnd w:id="1724"/>
    </w:p>
    <w:p w14:paraId="1D9FE982" w14:textId="2D2610D8" w:rsidR="00F060B2" w:rsidRDefault="000F5B51" w:rsidP="00F060B2">
      <w:pPr>
        <w:spacing w:after="0"/>
      </w:pPr>
      <w:r w:rsidRPr="00CA004F">
        <w:t xml:space="preserve">This chapter presented the cost-effectiveness and benefit-cost analyses for the proposed rule. </w:t>
      </w:r>
      <w:r>
        <w:t xml:space="preserve">Benefits </w:t>
      </w:r>
      <w:r w:rsidRPr="005F0E59">
        <w:t>associated with the proposed rule, which are measured in fatalities prevented and non-fatal injuries reduced, were converted into equivalent lives saved</w:t>
      </w:r>
      <w:r w:rsidR="001F2F92" w:rsidRPr="001D0BC2">
        <w:t xml:space="preserve">. </w:t>
      </w:r>
      <w:r w:rsidRPr="00DE446C">
        <w:t xml:space="preserve">When discounting at three and seven percent, the cost per equivalent live saved </w:t>
      </w:r>
      <w:r w:rsidR="009F63C4" w:rsidRPr="006E7185">
        <w:t>is</w:t>
      </w:r>
      <w:r w:rsidRPr="00F559C5">
        <w:t xml:space="preserve"> approximately </w:t>
      </w:r>
      <w:r w:rsidRPr="0008636C">
        <w:t>$</w:t>
      </w:r>
      <w:r w:rsidR="008355DA" w:rsidRPr="00A83BA9">
        <w:t>1.5</w:t>
      </w:r>
      <w:r w:rsidR="00AD1BDE" w:rsidRPr="002B5152">
        <w:t>3</w:t>
      </w:r>
      <w:r w:rsidR="008355DA" w:rsidRPr="00AD1BDE">
        <w:t xml:space="preserve"> to $1.7</w:t>
      </w:r>
      <w:r w:rsidR="00AD1BDE" w:rsidRPr="002B5152">
        <w:t>1</w:t>
      </w:r>
      <w:r w:rsidR="00E61D98" w:rsidRPr="005F0E59">
        <w:t xml:space="preserve"> million</w:t>
      </w:r>
      <w:r w:rsidR="00FB31C9" w:rsidRPr="001D0BC2">
        <w:t xml:space="preserve"> for the Lo case</w:t>
      </w:r>
      <w:r w:rsidRPr="00DE446C">
        <w:t xml:space="preserve"> and</w:t>
      </w:r>
      <w:r w:rsidR="008355DA" w:rsidRPr="006E7185">
        <w:t xml:space="preserve"> $</w:t>
      </w:r>
      <w:r w:rsidR="000575BC" w:rsidRPr="00F559C5">
        <w:t>1.</w:t>
      </w:r>
      <w:r w:rsidR="006870B8">
        <w:t>89</w:t>
      </w:r>
      <w:r w:rsidR="0060001A" w:rsidRPr="00AD1BDE">
        <w:t xml:space="preserve"> and</w:t>
      </w:r>
      <w:r w:rsidR="000575BC" w:rsidRPr="00AD1BDE">
        <w:t xml:space="preserve"> $2.1</w:t>
      </w:r>
      <w:r w:rsidR="00AD1BDE" w:rsidRPr="002B5152">
        <w:t>0</w:t>
      </w:r>
      <w:r w:rsidR="00E61D98" w:rsidRPr="00AD1BDE">
        <w:t xml:space="preserve"> million</w:t>
      </w:r>
      <w:r w:rsidR="00FB31C9" w:rsidRPr="00AD1BDE">
        <w:t xml:space="preserve"> for the Hi case</w:t>
      </w:r>
      <w:r w:rsidR="000575BC" w:rsidRPr="00AD1BDE">
        <w:t>, respectively</w:t>
      </w:r>
      <w:r w:rsidR="001F2F92" w:rsidRPr="00AD1BDE">
        <w:t xml:space="preserve">. </w:t>
      </w:r>
      <w:r w:rsidRPr="00AD1BDE">
        <w:t>As these estimates are</w:t>
      </w:r>
      <w:r>
        <w:t xml:space="preserve"> less than the comprehensive cost of a fatality</w:t>
      </w:r>
      <w:r w:rsidRPr="00CA004F">
        <w:t xml:space="preserve">, the proposed rule is considered </w:t>
      </w:r>
      <w:r>
        <w:t xml:space="preserve">to </w:t>
      </w:r>
      <w:r w:rsidRPr="00CA004F">
        <w:t>be cost-effective.</w:t>
      </w:r>
    </w:p>
    <w:p w14:paraId="1ACDF220" w14:textId="5EE7CB82" w:rsidR="00F060B2" w:rsidRPr="001D20D7" w:rsidRDefault="000F5B51" w:rsidP="00F060B2">
      <w:pPr>
        <w:spacing w:after="0"/>
      </w:pPr>
      <w:r>
        <w:t xml:space="preserve">To calculate net benefits, benefits and costs must be </w:t>
      </w:r>
      <w:r w:rsidRPr="003B540A">
        <w:t xml:space="preserve">represented in commeasurable units. </w:t>
      </w:r>
      <w:r w:rsidRPr="005F0E59">
        <w:t xml:space="preserve">Therefore, </w:t>
      </w:r>
      <w:r w:rsidRPr="001D0BC2">
        <w:t>the safety benefits associated with the proposed rule are translated into monetary value</w:t>
      </w:r>
      <w:r w:rsidR="001F2F92" w:rsidRPr="00DE446C">
        <w:t>.</w:t>
      </w:r>
      <w:r w:rsidR="001F2F92" w:rsidRPr="006E7185">
        <w:t xml:space="preserve"> </w:t>
      </w:r>
      <w:r w:rsidRPr="00F559C5">
        <w:t xml:space="preserve">When discounted at three and seven percent, the net benefits associated with the proposed rule </w:t>
      </w:r>
      <w:r w:rsidR="00C62201" w:rsidRPr="002B5152">
        <w:t>are</w:t>
      </w:r>
      <w:r w:rsidR="00C62201" w:rsidRPr="005F0E59">
        <w:t xml:space="preserve"> </w:t>
      </w:r>
      <w:r w:rsidRPr="00C62201">
        <w:t>approximately</w:t>
      </w:r>
      <w:r w:rsidR="00E61D98" w:rsidRPr="00C62201">
        <w:t xml:space="preserve"> $1</w:t>
      </w:r>
      <w:r w:rsidR="00C0631C" w:rsidRPr="00C62201">
        <w:t>.</w:t>
      </w:r>
      <w:r w:rsidR="00E61D98" w:rsidRPr="00C62201">
        <w:t>1</w:t>
      </w:r>
      <w:r w:rsidRPr="00C62201">
        <w:t xml:space="preserve"> </w:t>
      </w:r>
      <w:r w:rsidR="00C0631C" w:rsidRPr="00C62201">
        <w:t>b</w:t>
      </w:r>
      <w:r w:rsidR="00E61D98" w:rsidRPr="00C62201">
        <w:t>illion</w:t>
      </w:r>
      <w:r w:rsidR="00FB31C9" w:rsidRPr="00C62201">
        <w:t xml:space="preserve"> for the Lo case</w:t>
      </w:r>
      <w:r w:rsidR="00E61D98" w:rsidRPr="00C62201">
        <w:t xml:space="preserve"> </w:t>
      </w:r>
      <w:r w:rsidRPr="00C62201">
        <w:t>and</w:t>
      </w:r>
      <w:r w:rsidR="00C62201" w:rsidRPr="002B5152">
        <w:t xml:space="preserve"> range from</w:t>
      </w:r>
      <w:r w:rsidRPr="005F0E59">
        <w:t xml:space="preserve"> $</w:t>
      </w:r>
      <w:r w:rsidR="00F0257C" w:rsidRPr="001D0BC2">
        <w:t>7</w:t>
      </w:r>
      <w:r w:rsidR="00C62201" w:rsidRPr="002B5152">
        <w:t>87</w:t>
      </w:r>
      <w:r w:rsidR="00F0257C" w:rsidRPr="00C62201">
        <w:t xml:space="preserve"> </w:t>
      </w:r>
      <w:r w:rsidR="00C0631C" w:rsidRPr="00C62201">
        <w:t xml:space="preserve">million </w:t>
      </w:r>
      <w:r w:rsidR="00F0257C" w:rsidRPr="00C62201">
        <w:t>to $8</w:t>
      </w:r>
      <w:r w:rsidR="00C62201" w:rsidRPr="002B5152">
        <w:t>95</w:t>
      </w:r>
      <w:r w:rsidR="00F0257C" w:rsidRPr="00C62201">
        <w:t xml:space="preserve"> million</w:t>
      </w:r>
      <w:r w:rsidR="00FB31C9" w:rsidRPr="00C62201">
        <w:t xml:space="preserve"> for the Hi case</w:t>
      </w:r>
      <w:r w:rsidR="00F0257C" w:rsidRPr="00C62201">
        <w:t>,</w:t>
      </w:r>
      <w:r w:rsidRPr="00C62201">
        <w:t xml:space="preserve"> respectively</w:t>
      </w:r>
      <w:r w:rsidR="001F2F92" w:rsidRPr="00C62201">
        <w:t xml:space="preserve">. </w:t>
      </w:r>
      <w:r w:rsidRPr="00C62201">
        <w:t>Therefore, the proposed rule</w:t>
      </w:r>
      <w:r w:rsidRPr="0049345B">
        <w:t xml:space="preserve"> is considered to be net beneficial</w:t>
      </w:r>
      <w:r w:rsidR="001F2F92">
        <w:t xml:space="preserve">. </w:t>
      </w:r>
    </w:p>
    <w:p w14:paraId="69CE7D8E" w14:textId="77777777" w:rsidR="004B2BB7" w:rsidRDefault="000F5B51" w:rsidP="004B2BB7">
      <w:pPr>
        <w:pStyle w:val="Heading1"/>
        <w:keepNext w:val="0"/>
        <w:keepLines w:val="0"/>
        <w:widowControl w:val="0"/>
        <w:spacing w:before="0" w:line="240" w:lineRule="auto"/>
      </w:pPr>
      <w:bookmarkStart w:id="1725" w:name="_Toc126591289"/>
      <w:bookmarkStart w:id="1726" w:name="_Toc126914052"/>
      <w:bookmarkStart w:id="1727" w:name="_Toc127267793"/>
      <w:bookmarkStart w:id="1728" w:name="_Toc142902997"/>
      <w:bookmarkEnd w:id="1725"/>
      <w:bookmarkEnd w:id="1726"/>
      <w:bookmarkEnd w:id="1727"/>
      <w:r>
        <w:t>Sensitivity Analysis</w:t>
      </w:r>
      <w:bookmarkEnd w:id="1728"/>
    </w:p>
    <w:p w14:paraId="31B398D0" w14:textId="77777777" w:rsidR="004B2BB7" w:rsidRPr="000867BC" w:rsidRDefault="000F5B51" w:rsidP="004B2BB7">
      <w:pPr>
        <w:spacing w:after="0"/>
        <w:rPr>
          <w:rFonts w:eastAsia="Times New Roman" w:cs="Times New Roman"/>
          <w:szCs w:val="24"/>
        </w:rPr>
      </w:pPr>
      <w:r>
        <w:t xml:space="preserve">This chapter presents the </w:t>
      </w:r>
      <w:r w:rsidRPr="00921AA2">
        <w:t xml:space="preserve">sensitivity analysis </w:t>
      </w:r>
      <w:r>
        <w:t>which considers how the conclusions drawn from the analyses in this PRIA may change based on the assumptions used in the analyses</w:t>
      </w:r>
      <w:r w:rsidR="001F2F92">
        <w:t xml:space="preserve">. </w:t>
      </w:r>
      <w:r w:rsidRPr="000867BC">
        <w:rPr>
          <w:rFonts w:eastAsia="Times New Roman" w:cs="Times New Roman"/>
          <w:szCs w:val="24"/>
        </w:rPr>
        <w:t>When inputs that affect the analysis are uncertain, the agency makes its best judgment about the probable values or range of values that will occur</w:t>
      </w:r>
      <w:r w:rsidR="001F2F92">
        <w:rPr>
          <w:rFonts w:eastAsia="Times New Roman" w:cs="Times New Roman"/>
          <w:szCs w:val="24"/>
        </w:rPr>
        <w:t xml:space="preserve">. </w:t>
      </w:r>
      <w:r w:rsidRPr="000867BC">
        <w:rPr>
          <w:rFonts w:eastAsia="Times New Roman" w:cs="Times New Roman"/>
          <w:szCs w:val="24"/>
        </w:rPr>
        <w:t>This analysis examine</w:t>
      </w:r>
      <w:r>
        <w:rPr>
          <w:rFonts w:eastAsia="Times New Roman" w:cs="Times New Roman"/>
          <w:szCs w:val="24"/>
        </w:rPr>
        <w:t>s</w:t>
      </w:r>
      <w:r w:rsidRPr="000867BC">
        <w:rPr>
          <w:rFonts w:eastAsia="Times New Roman" w:cs="Times New Roman"/>
          <w:szCs w:val="24"/>
        </w:rPr>
        <w:t xml:space="preserve"> alternatives to these </w:t>
      </w:r>
      <w:r>
        <w:rPr>
          <w:rFonts w:eastAsia="Times New Roman" w:cs="Times New Roman"/>
          <w:szCs w:val="24"/>
        </w:rPr>
        <w:t>assumptions</w:t>
      </w:r>
      <w:r w:rsidRPr="000867BC">
        <w:rPr>
          <w:rFonts w:eastAsia="Times New Roman" w:cs="Times New Roman"/>
          <w:szCs w:val="24"/>
        </w:rPr>
        <w:t xml:space="preserve"> to illustrate how sensitive the results are to the values initially selected</w:t>
      </w:r>
      <w:r w:rsidR="001F2F92">
        <w:rPr>
          <w:rFonts w:eastAsia="Times New Roman" w:cs="Times New Roman"/>
          <w:szCs w:val="24"/>
        </w:rPr>
        <w:t xml:space="preserve">. </w:t>
      </w:r>
      <w:r>
        <w:rPr>
          <w:rFonts w:eastAsia="Times New Roman" w:cs="Times New Roman"/>
          <w:szCs w:val="24"/>
        </w:rPr>
        <w:t xml:space="preserve">The next </w:t>
      </w:r>
      <w:r>
        <w:rPr>
          <w:rFonts w:eastAsia="Times New Roman" w:cs="Times New Roman"/>
          <w:szCs w:val="24"/>
        </w:rPr>
        <w:lastRenderedPageBreak/>
        <w:t>section presents a sensitivity analysis that considers the level of increase in seat belt usage for rear seat occupants</w:t>
      </w:r>
      <w:r w:rsidR="001F2F92">
        <w:rPr>
          <w:rFonts w:eastAsia="Times New Roman" w:cs="Times New Roman"/>
          <w:szCs w:val="24"/>
        </w:rPr>
        <w:t xml:space="preserve">. </w:t>
      </w:r>
      <w:r>
        <w:rPr>
          <w:rFonts w:eastAsia="Times New Roman" w:cs="Times New Roman"/>
          <w:szCs w:val="24"/>
        </w:rPr>
        <w:t xml:space="preserve">The following section then presents a balance point analysis for </w:t>
      </w:r>
      <w:r w:rsidR="00072F9B">
        <w:rPr>
          <w:rFonts w:eastAsia="Times New Roman" w:cs="Times New Roman"/>
          <w:szCs w:val="24"/>
        </w:rPr>
        <w:t xml:space="preserve">both </w:t>
      </w:r>
      <w:r>
        <w:rPr>
          <w:rFonts w:eastAsia="Times New Roman" w:cs="Times New Roman"/>
          <w:szCs w:val="24"/>
        </w:rPr>
        <w:t>rear</w:t>
      </w:r>
      <w:r w:rsidR="00072F9B">
        <w:rPr>
          <w:rFonts w:eastAsia="Times New Roman" w:cs="Times New Roman"/>
          <w:szCs w:val="24"/>
        </w:rPr>
        <w:t xml:space="preserve"> and front</w:t>
      </w:r>
      <w:r>
        <w:rPr>
          <w:rFonts w:eastAsia="Times New Roman" w:cs="Times New Roman"/>
          <w:szCs w:val="24"/>
        </w:rPr>
        <w:t xml:space="preserve"> seat occupants.</w:t>
      </w:r>
    </w:p>
    <w:p w14:paraId="51FA3070" w14:textId="77777777" w:rsidR="004B2BB7" w:rsidRDefault="000F5B51" w:rsidP="004B2BB7">
      <w:pPr>
        <w:pStyle w:val="Heading2"/>
        <w:spacing w:line="240" w:lineRule="auto"/>
      </w:pPr>
      <w:bookmarkStart w:id="1729" w:name="_Ref126919830"/>
      <w:bookmarkStart w:id="1730" w:name="_Toc142902998"/>
      <w:r>
        <w:t>Increase in Rear Occupant Seat Belt Usage</w:t>
      </w:r>
      <w:bookmarkEnd w:id="1729"/>
      <w:bookmarkEnd w:id="1730"/>
    </w:p>
    <w:p w14:paraId="06212078" w14:textId="77777777" w:rsidR="004B2BB7" w:rsidRDefault="000F5B51" w:rsidP="004B2BB7">
      <w:pPr>
        <w:spacing w:after="0"/>
        <w:contextualSpacing/>
        <w:rPr>
          <w:rFonts w:eastAsia="Times New Roman" w:cs="Times New Roman"/>
          <w:szCs w:val="24"/>
        </w:rPr>
      </w:pPr>
      <w:r>
        <w:rPr>
          <w:rFonts w:eastAsia="Times New Roman" w:cs="Times New Roman"/>
          <w:szCs w:val="24"/>
        </w:rPr>
        <w:t>This section presents a sensitivity analysis that considers the increase in seat belt use resulting from the requirements specified in the proposed rule for SBWS for rear seat occupants</w:t>
      </w:r>
      <w:r w:rsidR="001F2F92">
        <w:rPr>
          <w:rFonts w:eastAsia="Times New Roman" w:cs="Times New Roman"/>
          <w:szCs w:val="24"/>
        </w:rPr>
        <w:t xml:space="preserve">. </w:t>
      </w:r>
      <w:r>
        <w:rPr>
          <w:rFonts w:eastAsia="Times New Roman" w:cs="Times New Roman"/>
          <w:szCs w:val="24"/>
        </w:rPr>
        <w:t>The following subsections presents the sensitivity analysis considering the increase in seat belt use for SBWS for rear seat occupants by age group.</w:t>
      </w:r>
    </w:p>
    <w:p w14:paraId="3FE73EA9" w14:textId="77777777" w:rsidR="004B2BB7" w:rsidRDefault="000F5B51" w:rsidP="004B2BB7">
      <w:pPr>
        <w:pStyle w:val="Heading3"/>
        <w:spacing w:line="240" w:lineRule="auto"/>
      </w:pPr>
      <w:bookmarkStart w:id="1731" w:name="_Toc142902999"/>
      <w:r>
        <w:t>Rear Seat Occupants Age 11+</w:t>
      </w:r>
      <w:bookmarkEnd w:id="1731"/>
    </w:p>
    <w:p w14:paraId="255BB389" w14:textId="53B70DED" w:rsidR="004B2BB7" w:rsidRDefault="000F5B51" w:rsidP="004B2BB7">
      <w:pPr>
        <w:spacing w:after="0"/>
        <w:contextualSpacing/>
        <w:rPr>
          <w:rFonts w:eastAsia="Times New Roman" w:cs="Times New Roman"/>
          <w:szCs w:val="24"/>
        </w:rPr>
      </w:pPr>
      <w:r>
        <w:rPr>
          <w:rFonts w:eastAsia="Times New Roman" w:cs="Times New Roman"/>
          <w:szCs w:val="24"/>
        </w:rPr>
        <w:t xml:space="preserve">In the main analysis, this analysis estimates that the requirements for SBWS would increase seat belt usage by three to five percent for rear seat occupants age 11 years </w:t>
      </w:r>
      <w:r w:rsidR="00331AC8">
        <w:rPr>
          <w:rFonts w:eastAsia="Times New Roman" w:cs="Times New Roman"/>
          <w:szCs w:val="24"/>
        </w:rPr>
        <w:t>and</w:t>
      </w:r>
      <w:r>
        <w:rPr>
          <w:rFonts w:eastAsia="Times New Roman" w:cs="Times New Roman"/>
          <w:szCs w:val="24"/>
        </w:rPr>
        <w:t xml:space="preserve"> older</w:t>
      </w:r>
      <w:r w:rsidR="001F2F92">
        <w:rPr>
          <w:rFonts w:eastAsia="Times New Roman" w:cs="Times New Roman"/>
          <w:szCs w:val="24"/>
        </w:rPr>
        <w:t xml:space="preserve">. </w:t>
      </w:r>
      <w:r>
        <w:rPr>
          <w:rFonts w:eastAsia="Times New Roman" w:cs="Times New Roman"/>
          <w:szCs w:val="24"/>
        </w:rPr>
        <w:t xml:space="preserve">Alternatively, this sensitivity </w:t>
      </w:r>
      <w:r w:rsidR="005A2D00">
        <w:rPr>
          <w:rFonts w:eastAsia="Times New Roman" w:cs="Times New Roman"/>
          <w:szCs w:val="24"/>
        </w:rPr>
        <w:t xml:space="preserve">analysis considers </w:t>
      </w:r>
      <w:r>
        <w:rPr>
          <w:rFonts w:eastAsia="Times New Roman" w:cs="Times New Roman"/>
          <w:szCs w:val="24"/>
        </w:rPr>
        <w:t xml:space="preserve">the case in which seat belt usage for rear seat occupants age </w:t>
      </w:r>
      <w:r w:rsidR="00AD328D">
        <w:rPr>
          <w:rFonts w:eastAsia="Times New Roman" w:cs="Times New Roman"/>
          <w:szCs w:val="24"/>
        </w:rPr>
        <w:t>11 years and older</w:t>
      </w:r>
      <w:r>
        <w:rPr>
          <w:rFonts w:eastAsia="Times New Roman" w:cs="Times New Roman"/>
          <w:szCs w:val="24"/>
        </w:rPr>
        <w:t xml:space="preserve"> </w:t>
      </w:r>
      <w:r w:rsidR="00661700">
        <w:rPr>
          <w:rFonts w:eastAsia="Times New Roman" w:cs="Times New Roman"/>
          <w:szCs w:val="24"/>
        </w:rPr>
        <w:t>increases to match that of front seat occupants</w:t>
      </w:r>
      <w:r w:rsidR="001F2F92">
        <w:rPr>
          <w:rFonts w:eastAsia="Times New Roman" w:cs="Times New Roman"/>
          <w:szCs w:val="24"/>
        </w:rPr>
        <w:t xml:space="preserve">. </w:t>
      </w:r>
      <w:r>
        <w:rPr>
          <w:rFonts w:eastAsia="Times New Roman" w:cs="Times New Roman"/>
          <w:szCs w:val="24"/>
        </w:rPr>
        <w:t>An increase in seat belt usage of 11 percent represents the increase in seat belt use which would close the gap between use rates for front and rear seat occupants.</w:t>
      </w:r>
      <w:r>
        <w:rPr>
          <w:rStyle w:val="FootnoteReference"/>
          <w:rFonts w:eastAsia="Times New Roman" w:cs="Times New Roman"/>
          <w:szCs w:val="24"/>
        </w:rPr>
        <w:footnoteReference w:id="73"/>
      </w:r>
      <w:r w:rsidR="00C0409C">
        <w:rPr>
          <w:rFonts w:eastAsia="Times New Roman" w:cs="Times New Roman"/>
          <w:szCs w:val="24"/>
        </w:rPr>
        <w:t xml:space="preserve"> </w:t>
      </w:r>
      <w:r>
        <w:rPr>
          <w:rFonts w:eastAsia="Times New Roman" w:cs="Times New Roman"/>
          <w:szCs w:val="24"/>
        </w:rPr>
        <w:t xml:space="preserve"> </w:t>
      </w:r>
      <w:r w:rsidR="00C15FCE">
        <w:rPr>
          <w:rFonts w:eastAsia="Times New Roman" w:cs="Times New Roman"/>
          <w:szCs w:val="24"/>
        </w:rPr>
        <w:t xml:space="preserve">More specifically, </w:t>
      </w:r>
      <w:r>
        <w:rPr>
          <w:rFonts w:eastAsia="Times New Roman" w:cs="Times New Roman"/>
          <w:szCs w:val="24"/>
        </w:rPr>
        <w:t xml:space="preserve">an increase of 11 percent would result in a seat belt use rate of </w:t>
      </w:r>
      <w:r w:rsidR="00F4391F">
        <w:rPr>
          <w:color w:val="000000"/>
        </w:rPr>
        <w:t xml:space="preserve">0.8612 </w:t>
      </w:r>
      <w:r>
        <w:rPr>
          <w:rFonts w:eastAsia="Times New Roman" w:cs="Times New Roman"/>
          <w:szCs w:val="24"/>
        </w:rPr>
        <w:t xml:space="preserve">in crashes resulting in non-fatal injuries and </w:t>
      </w:r>
      <w:r w:rsidR="00F4391F">
        <w:rPr>
          <w:color w:val="000000"/>
        </w:rPr>
        <w:t>0.7272</w:t>
      </w:r>
      <w:r>
        <w:rPr>
          <w:rFonts w:eastAsia="Times New Roman" w:cs="Times New Roman"/>
          <w:szCs w:val="24"/>
        </w:rPr>
        <w:t xml:space="preserve"> in </w:t>
      </w:r>
      <w:r w:rsidR="0050128A">
        <w:rPr>
          <w:rFonts w:eastAsia="Times New Roman" w:cs="Times New Roman"/>
          <w:szCs w:val="24"/>
        </w:rPr>
        <w:t xml:space="preserve">potentially </w:t>
      </w:r>
      <w:r w:rsidR="00B00DC7">
        <w:rPr>
          <w:rFonts w:eastAsia="Times New Roman" w:cs="Times New Roman"/>
          <w:szCs w:val="24"/>
        </w:rPr>
        <w:t>fatal crashes</w:t>
      </w:r>
      <w:r>
        <w:rPr>
          <w:rFonts w:eastAsia="Times New Roman" w:cs="Times New Roman"/>
          <w:szCs w:val="24"/>
        </w:rPr>
        <w:t>.</w:t>
      </w:r>
      <w:r>
        <w:rPr>
          <w:rStyle w:val="FootnoteReference"/>
          <w:rFonts w:eastAsia="Times New Roman" w:cs="Times New Roman"/>
          <w:szCs w:val="24"/>
        </w:rPr>
        <w:footnoteReference w:id="74"/>
      </w:r>
      <w:r>
        <w:rPr>
          <w:rFonts w:eastAsia="Times New Roman" w:cs="Times New Roman"/>
          <w:szCs w:val="24"/>
        </w:rPr>
        <w:t xml:space="preserve"> </w:t>
      </w:r>
    </w:p>
    <w:p w14:paraId="4A0355F3" w14:textId="1B7C55BF" w:rsidR="004B2BB7" w:rsidRDefault="000F5B51" w:rsidP="004B2BB7">
      <w:pPr>
        <w:spacing w:after="0"/>
        <w:contextualSpacing/>
        <w:rPr>
          <w:rFonts w:eastAsia="Times New Roman" w:cs="Times New Roman"/>
          <w:szCs w:val="24"/>
        </w:rPr>
      </w:pPr>
      <w:r>
        <w:rPr>
          <w:rFonts w:eastAsia="Times New Roman" w:cs="Times New Roman"/>
          <w:szCs w:val="24"/>
        </w:rPr>
        <w:fldChar w:fldCharType="begin"/>
      </w:r>
      <w:r>
        <w:rPr>
          <w:rFonts w:eastAsia="Times New Roman" w:cs="Times New Roman"/>
          <w:szCs w:val="24"/>
        </w:rPr>
        <w:instrText xml:space="preserve"> REF _Ref127368854 \h </w:instrText>
      </w:r>
      <w:r>
        <w:rPr>
          <w:rFonts w:eastAsia="Times New Roman" w:cs="Times New Roman"/>
          <w:szCs w:val="24"/>
        </w:rPr>
      </w:r>
      <w:r>
        <w:rPr>
          <w:rFonts w:eastAsia="Times New Roman" w:cs="Times New Roman"/>
          <w:szCs w:val="24"/>
        </w:rPr>
        <w:fldChar w:fldCharType="separate"/>
      </w:r>
      <w:r w:rsidR="00A65CB3">
        <w:t xml:space="preserve">Table </w:t>
      </w:r>
      <w:r w:rsidR="00A65CB3">
        <w:rPr>
          <w:noProof/>
        </w:rPr>
        <w:t>79</w:t>
      </w:r>
      <w:r>
        <w:rPr>
          <w:rFonts w:eastAsia="Times New Roman" w:cs="Times New Roman"/>
          <w:szCs w:val="24"/>
        </w:rPr>
        <w:fldChar w:fldCharType="end"/>
      </w:r>
      <w:r>
        <w:rPr>
          <w:rFonts w:eastAsia="Times New Roman" w:cs="Times New Roman"/>
          <w:szCs w:val="24"/>
        </w:rPr>
        <w:t xml:space="preserve"> presents the calculation of incremental benefits for rear seat occupants 11 years and older for th</w:t>
      </w:r>
      <w:r w:rsidR="00F4391F">
        <w:rPr>
          <w:rFonts w:eastAsia="Times New Roman" w:cs="Times New Roman"/>
          <w:szCs w:val="24"/>
        </w:rPr>
        <w:t>is</w:t>
      </w:r>
      <w:r>
        <w:rPr>
          <w:rFonts w:eastAsia="Times New Roman" w:cs="Times New Roman"/>
          <w:szCs w:val="24"/>
        </w:rPr>
        <w:t xml:space="preserve"> sensitivity analysis</w:t>
      </w:r>
      <w:r w:rsidR="001F2F92">
        <w:rPr>
          <w:rFonts w:eastAsia="Times New Roman" w:cs="Times New Roman"/>
          <w:szCs w:val="24"/>
        </w:rPr>
        <w:t xml:space="preserve">. </w:t>
      </w:r>
      <w:r>
        <w:rPr>
          <w:rFonts w:eastAsia="Times New Roman" w:cs="Times New Roman"/>
          <w:szCs w:val="24"/>
        </w:rPr>
        <w:t xml:space="preserve">Taking into account rate of </w:t>
      </w:r>
      <w:r w:rsidR="00F4391F">
        <w:rPr>
          <w:color w:val="000000"/>
        </w:rPr>
        <w:t>0.8612</w:t>
      </w:r>
      <w:r>
        <w:rPr>
          <w:rFonts w:eastAsia="Times New Roman" w:cs="Times New Roman"/>
          <w:szCs w:val="24"/>
        </w:rPr>
        <w:t xml:space="preserve"> in crashes resulting in non-fatal injuries and </w:t>
      </w:r>
      <w:r w:rsidR="00F4391F">
        <w:rPr>
          <w:color w:val="000000"/>
        </w:rPr>
        <w:t xml:space="preserve">0.7272 </w:t>
      </w:r>
      <w:r>
        <w:rPr>
          <w:rFonts w:eastAsia="Times New Roman" w:cs="Times New Roman"/>
          <w:szCs w:val="24"/>
        </w:rPr>
        <w:t xml:space="preserve">in </w:t>
      </w:r>
      <w:r w:rsidR="00174E6F" w:rsidRPr="00174E6F">
        <w:rPr>
          <w:rFonts w:eastAsia="Times New Roman" w:cs="Times New Roman"/>
          <w:szCs w:val="24"/>
        </w:rPr>
        <w:t xml:space="preserve">potentially </w:t>
      </w:r>
      <w:r w:rsidR="00B00DC7">
        <w:rPr>
          <w:rFonts w:eastAsia="Times New Roman" w:cs="Times New Roman"/>
          <w:szCs w:val="24"/>
        </w:rPr>
        <w:t>fatal crashes</w:t>
      </w:r>
      <w:r>
        <w:rPr>
          <w:rFonts w:eastAsia="Times New Roman" w:cs="Times New Roman"/>
          <w:szCs w:val="24"/>
        </w:rPr>
        <w:t>, 315 non-fatal injuries and 69 fatalities would be prevented for rear seat occupants 11 years and older in passenger cars</w:t>
      </w:r>
      <w:r w:rsidR="001F2F92">
        <w:rPr>
          <w:rFonts w:eastAsia="Times New Roman" w:cs="Times New Roman"/>
          <w:szCs w:val="24"/>
        </w:rPr>
        <w:t xml:space="preserve">. </w:t>
      </w:r>
      <w:r>
        <w:rPr>
          <w:rFonts w:eastAsia="Times New Roman" w:cs="Times New Roman"/>
          <w:szCs w:val="24"/>
        </w:rPr>
        <w:t xml:space="preserve">For rear seat occupants 11 years and older in LTVs, 120 non-fatal injuries and 72 fatalities would be prevented. </w:t>
      </w:r>
    </w:p>
    <w:p w14:paraId="7D053A8B" w14:textId="77777777" w:rsidR="004B2BB7" w:rsidRDefault="004B2BB7" w:rsidP="004B2BB7">
      <w:pPr>
        <w:spacing w:after="0"/>
        <w:contextualSpacing/>
        <w:rPr>
          <w:rFonts w:eastAsia="Times New Roman" w:cs="Times New Roman"/>
          <w:szCs w:val="24"/>
        </w:rPr>
        <w:sectPr w:rsidR="004B2BB7" w:rsidSect="00D07617">
          <w:pgSz w:w="12240" w:h="15840" w:code="1"/>
          <w:pgMar w:top="1440" w:right="1440" w:bottom="1440" w:left="1440" w:header="720" w:footer="720" w:gutter="0"/>
          <w:cols w:space="720"/>
          <w:docGrid w:linePitch="360"/>
        </w:sectPr>
      </w:pPr>
    </w:p>
    <w:p w14:paraId="4CA3DC95" w14:textId="3D84C47C" w:rsidR="004B2BB7" w:rsidRDefault="000F5B51" w:rsidP="004B2BB7">
      <w:pPr>
        <w:pStyle w:val="Caption"/>
      </w:pPr>
      <w:bookmarkStart w:id="1732" w:name="_Ref127368854"/>
      <w:r>
        <w:lastRenderedPageBreak/>
        <w:t xml:space="preserve">Table </w:t>
      </w:r>
      <w:r w:rsidR="00115BAB">
        <w:fldChar w:fldCharType="begin"/>
      </w:r>
      <w:r>
        <w:instrText xml:space="preserve"> SEQ Table \* ARABIC </w:instrText>
      </w:r>
      <w:r w:rsidR="00115BAB">
        <w:fldChar w:fldCharType="separate"/>
      </w:r>
      <w:r w:rsidR="00A65CB3">
        <w:rPr>
          <w:noProof/>
        </w:rPr>
        <w:t>79</w:t>
      </w:r>
      <w:r w:rsidR="00115BAB">
        <w:rPr>
          <w:noProof/>
        </w:rPr>
        <w:fldChar w:fldCharType="end"/>
      </w:r>
      <w:bookmarkEnd w:id="1732"/>
      <w:r>
        <w:t xml:space="preserve">: Sensitivity Analysis: Incremental Benefits for Rear Seat Occupants 11 Years and Older </w:t>
      </w:r>
    </w:p>
    <w:tbl>
      <w:tblPr>
        <w:tblW w:w="15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88"/>
        <w:gridCol w:w="1949"/>
        <w:gridCol w:w="1950"/>
        <w:gridCol w:w="1950"/>
        <w:gridCol w:w="1949"/>
        <w:gridCol w:w="1950"/>
        <w:gridCol w:w="1950"/>
        <w:gridCol w:w="1950"/>
      </w:tblGrid>
      <w:tr w:rsidR="00A15C2C" w14:paraId="51D0639A" w14:textId="77777777" w:rsidTr="00A807D0">
        <w:trPr>
          <w:trHeight w:val="1666"/>
          <w:jc w:val="center"/>
        </w:trPr>
        <w:tc>
          <w:tcPr>
            <w:tcW w:w="1488" w:type="dxa"/>
            <w:shd w:val="clear" w:color="auto" w:fill="D9D9D9" w:themeFill="background1" w:themeFillShade="D9"/>
            <w:noWrap/>
            <w:vAlign w:val="center"/>
          </w:tcPr>
          <w:p w14:paraId="45522428" w14:textId="77777777" w:rsidR="004B2BB7" w:rsidRDefault="000F5B51" w:rsidP="00A807D0">
            <w:pPr>
              <w:spacing w:after="0" w:line="240" w:lineRule="auto"/>
              <w:rPr>
                <w:rFonts w:eastAsia="Times New Roman" w:cs="Times New Roman"/>
                <w:b/>
                <w:bCs/>
                <w:color w:val="000000"/>
                <w:szCs w:val="24"/>
              </w:rPr>
            </w:pPr>
            <w:r>
              <w:rPr>
                <w:rFonts w:eastAsia="Times New Roman" w:cs="Times New Roman"/>
                <w:b/>
                <w:bCs/>
                <w:color w:val="000000"/>
                <w:szCs w:val="24"/>
              </w:rPr>
              <w:t xml:space="preserve">Injury Severity </w:t>
            </w:r>
          </w:p>
        </w:tc>
        <w:tc>
          <w:tcPr>
            <w:tcW w:w="1949" w:type="dxa"/>
            <w:shd w:val="clear" w:color="auto" w:fill="D9D9D9" w:themeFill="background1" w:themeFillShade="D9"/>
            <w:vAlign w:val="center"/>
          </w:tcPr>
          <w:p w14:paraId="7B41FF2D" w14:textId="77777777" w:rsidR="004B2BB7" w:rsidRDefault="000F5B51" w:rsidP="00A807D0">
            <w:pPr>
              <w:spacing w:after="0" w:line="240" w:lineRule="auto"/>
              <w:jc w:val="center"/>
              <w:rPr>
                <w:rFonts w:eastAsia="Times New Roman" w:cs="Times New Roman"/>
                <w:b/>
                <w:bCs/>
                <w:color w:val="000000"/>
                <w:szCs w:val="24"/>
              </w:rPr>
            </w:pPr>
            <w:r w:rsidRPr="00954B78">
              <w:rPr>
                <w:rFonts w:eastAsia="Times New Roman" w:cs="Times New Roman"/>
                <w:b/>
                <w:bCs/>
                <w:color w:val="000000"/>
                <w:szCs w:val="24"/>
              </w:rPr>
              <w:t>Potential Injuries</w:t>
            </w:r>
          </w:p>
          <w:p w14:paraId="2DE749B9" w14:textId="77777777" w:rsidR="004B2BB7" w:rsidRDefault="000F5B51" w:rsidP="00A807D0">
            <w:pPr>
              <w:spacing w:after="0" w:line="240" w:lineRule="auto"/>
              <w:jc w:val="center"/>
              <w:rPr>
                <w:rFonts w:eastAsia="Times New Roman" w:cs="Times New Roman"/>
                <w:b/>
                <w:bCs/>
                <w:color w:val="000000"/>
                <w:szCs w:val="24"/>
              </w:rPr>
            </w:pPr>
            <w:r>
              <w:rPr>
                <w:rFonts w:eastAsia="Times New Roman" w:cs="Times New Roman"/>
                <w:b/>
                <w:bCs/>
                <w:color w:val="000000"/>
                <w:szCs w:val="24"/>
              </w:rPr>
              <w:t>(a)</w:t>
            </w:r>
          </w:p>
        </w:tc>
        <w:tc>
          <w:tcPr>
            <w:tcW w:w="1950" w:type="dxa"/>
            <w:shd w:val="clear" w:color="auto" w:fill="D9D9D9" w:themeFill="background1" w:themeFillShade="D9"/>
            <w:noWrap/>
            <w:vAlign w:val="center"/>
          </w:tcPr>
          <w:p w14:paraId="1D041919" w14:textId="77777777" w:rsidR="004B2BB7" w:rsidRDefault="000F5B51" w:rsidP="00A807D0">
            <w:pPr>
              <w:spacing w:after="0" w:line="240" w:lineRule="auto"/>
              <w:jc w:val="center"/>
              <w:rPr>
                <w:rFonts w:eastAsia="Times New Roman" w:cs="Times New Roman"/>
                <w:b/>
                <w:bCs/>
                <w:color w:val="000000"/>
                <w:szCs w:val="24"/>
              </w:rPr>
            </w:pPr>
            <w:r>
              <w:rPr>
                <w:rFonts w:eastAsia="Times New Roman" w:cs="Times New Roman"/>
                <w:b/>
                <w:bCs/>
                <w:color w:val="000000"/>
                <w:szCs w:val="24"/>
              </w:rPr>
              <w:t>Seat Belt Effectiveness</w:t>
            </w:r>
          </w:p>
          <w:p w14:paraId="41439439" w14:textId="77777777" w:rsidR="004B2BB7" w:rsidRPr="00954B78" w:rsidRDefault="000F5B51" w:rsidP="00A807D0">
            <w:pPr>
              <w:spacing w:after="0" w:line="240" w:lineRule="auto"/>
              <w:jc w:val="center"/>
              <w:rPr>
                <w:rFonts w:eastAsia="Times New Roman" w:cs="Times New Roman"/>
                <w:b/>
                <w:bCs/>
                <w:color w:val="000000"/>
                <w:szCs w:val="24"/>
              </w:rPr>
            </w:pPr>
            <w:r>
              <w:rPr>
                <w:rFonts w:eastAsia="Times New Roman" w:cs="Times New Roman"/>
                <w:b/>
                <w:bCs/>
                <w:color w:val="000000"/>
                <w:szCs w:val="24"/>
              </w:rPr>
              <w:t>(b)</w:t>
            </w:r>
          </w:p>
        </w:tc>
        <w:tc>
          <w:tcPr>
            <w:tcW w:w="1950" w:type="dxa"/>
            <w:shd w:val="clear" w:color="auto" w:fill="D9D9D9" w:themeFill="background1" w:themeFillShade="D9"/>
            <w:noWrap/>
            <w:vAlign w:val="center"/>
          </w:tcPr>
          <w:p w14:paraId="589A14C4" w14:textId="77777777" w:rsidR="004B2BB7" w:rsidRDefault="000F5B51" w:rsidP="00A807D0">
            <w:pPr>
              <w:spacing w:after="0" w:line="240" w:lineRule="auto"/>
              <w:jc w:val="center"/>
              <w:rPr>
                <w:rFonts w:eastAsia="Times New Roman" w:cs="Times New Roman"/>
                <w:b/>
                <w:bCs/>
                <w:color w:val="000000"/>
                <w:szCs w:val="24"/>
              </w:rPr>
            </w:pPr>
            <w:r>
              <w:rPr>
                <w:rFonts w:eastAsia="Times New Roman" w:cs="Times New Roman"/>
                <w:b/>
                <w:bCs/>
                <w:color w:val="000000"/>
                <w:szCs w:val="24"/>
              </w:rPr>
              <w:t>Baseline Seat Belt Use Rate</w:t>
            </w:r>
          </w:p>
          <w:p w14:paraId="2A1B76AD" w14:textId="77777777" w:rsidR="004B2BB7" w:rsidRPr="00954B78" w:rsidRDefault="000F5B51" w:rsidP="00A807D0">
            <w:pPr>
              <w:spacing w:after="0" w:line="240" w:lineRule="auto"/>
              <w:jc w:val="center"/>
              <w:rPr>
                <w:rFonts w:eastAsia="Times New Roman" w:cs="Times New Roman"/>
                <w:b/>
                <w:bCs/>
                <w:color w:val="000000"/>
                <w:szCs w:val="24"/>
              </w:rPr>
            </w:pPr>
            <w:r>
              <w:rPr>
                <w:rFonts w:eastAsia="Times New Roman" w:cs="Times New Roman"/>
                <w:b/>
                <w:bCs/>
                <w:color w:val="000000"/>
                <w:szCs w:val="24"/>
              </w:rPr>
              <w:t>(c)</w:t>
            </w:r>
          </w:p>
        </w:tc>
        <w:tc>
          <w:tcPr>
            <w:tcW w:w="1949" w:type="dxa"/>
            <w:shd w:val="clear" w:color="auto" w:fill="D9D9D9" w:themeFill="background1" w:themeFillShade="D9"/>
            <w:noWrap/>
            <w:vAlign w:val="center"/>
          </w:tcPr>
          <w:p w14:paraId="7AA48BA8" w14:textId="7D773315" w:rsidR="004B2BB7" w:rsidRDefault="004E6BB5" w:rsidP="00A807D0">
            <w:pPr>
              <w:spacing w:after="0" w:line="240" w:lineRule="auto"/>
              <w:jc w:val="center"/>
              <w:rPr>
                <w:rFonts w:eastAsia="Times New Roman" w:cs="Times New Roman"/>
                <w:b/>
                <w:bCs/>
                <w:color w:val="000000"/>
                <w:szCs w:val="24"/>
              </w:rPr>
            </w:pPr>
            <w:r>
              <w:rPr>
                <w:rFonts w:eastAsia="Times New Roman" w:cs="Times New Roman"/>
                <w:b/>
                <w:bCs/>
                <w:color w:val="000000"/>
                <w:szCs w:val="24"/>
              </w:rPr>
              <w:t>Baseline Effects</w:t>
            </w:r>
          </w:p>
          <w:p w14:paraId="158EB0CF" w14:textId="77777777" w:rsidR="004B2BB7" w:rsidRPr="0068771B" w:rsidRDefault="000F5B51" w:rsidP="00A807D0">
            <w:pPr>
              <w:spacing w:after="0" w:line="240" w:lineRule="auto"/>
              <w:jc w:val="center"/>
              <w:rPr>
                <w:rFonts w:eastAsia="Times New Roman" w:cs="Times New Roman"/>
                <w:b/>
                <w:bCs/>
                <w:color w:val="000000"/>
                <w:szCs w:val="24"/>
              </w:rPr>
            </w:pPr>
            <w:r>
              <w:rPr>
                <w:rFonts w:eastAsia="Times New Roman" w:cs="Times New Roman"/>
                <w:b/>
                <w:bCs/>
                <w:color w:val="000000"/>
                <w:szCs w:val="24"/>
              </w:rPr>
              <w:t>(a) x (b) x (c)</w:t>
            </w:r>
          </w:p>
        </w:tc>
        <w:tc>
          <w:tcPr>
            <w:tcW w:w="1950" w:type="dxa"/>
            <w:shd w:val="clear" w:color="auto" w:fill="D9D9D9" w:themeFill="background1" w:themeFillShade="D9"/>
            <w:vAlign w:val="center"/>
          </w:tcPr>
          <w:p w14:paraId="1E21A395" w14:textId="77777777" w:rsidR="004B2BB7" w:rsidRDefault="000F5B51" w:rsidP="00A807D0">
            <w:pPr>
              <w:spacing w:after="0" w:line="240" w:lineRule="auto"/>
              <w:jc w:val="center"/>
              <w:rPr>
                <w:rFonts w:eastAsia="Times New Roman" w:cs="Times New Roman"/>
                <w:b/>
                <w:bCs/>
                <w:color w:val="000000"/>
                <w:szCs w:val="24"/>
              </w:rPr>
            </w:pPr>
            <w:r>
              <w:rPr>
                <w:rFonts w:eastAsia="Times New Roman" w:cs="Times New Roman"/>
                <w:b/>
                <w:bCs/>
                <w:color w:val="000000"/>
                <w:szCs w:val="24"/>
              </w:rPr>
              <w:t>Use Rate Increase by 11%</w:t>
            </w:r>
          </w:p>
          <w:p w14:paraId="0B8D4F51" w14:textId="77777777" w:rsidR="00636CD9" w:rsidRDefault="000F5B51" w:rsidP="00A807D0">
            <w:pPr>
              <w:spacing w:after="0" w:line="240" w:lineRule="auto"/>
              <w:jc w:val="center"/>
              <w:rPr>
                <w:rFonts w:eastAsia="Times New Roman" w:cs="Times New Roman"/>
                <w:b/>
                <w:bCs/>
                <w:color w:val="000000"/>
                <w:szCs w:val="24"/>
              </w:rPr>
            </w:pPr>
            <w:r>
              <w:rPr>
                <w:rFonts w:eastAsia="Times New Roman" w:cs="Times New Roman"/>
                <w:b/>
                <w:bCs/>
                <w:color w:val="000000"/>
                <w:szCs w:val="24"/>
              </w:rPr>
              <w:t>(d)</w:t>
            </w:r>
          </w:p>
        </w:tc>
        <w:tc>
          <w:tcPr>
            <w:tcW w:w="1950" w:type="dxa"/>
            <w:shd w:val="clear" w:color="auto" w:fill="D9D9D9" w:themeFill="background1" w:themeFillShade="D9"/>
            <w:vAlign w:val="center"/>
          </w:tcPr>
          <w:p w14:paraId="47289524" w14:textId="77777777" w:rsidR="004B2BB7" w:rsidRDefault="000F5B51" w:rsidP="00A807D0">
            <w:pPr>
              <w:spacing w:after="0" w:line="240" w:lineRule="auto"/>
              <w:jc w:val="center"/>
              <w:rPr>
                <w:rFonts w:eastAsia="Times New Roman" w:cs="Times New Roman"/>
                <w:b/>
                <w:bCs/>
                <w:color w:val="000000"/>
                <w:szCs w:val="24"/>
              </w:rPr>
            </w:pPr>
            <w:r>
              <w:rPr>
                <w:rFonts w:eastAsia="Times New Roman" w:cs="Times New Roman"/>
                <w:b/>
                <w:bCs/>
                <w:color w:val="000000"/>
                <w:szCs w:val="24"/>
              </w:rPr>
              <w:t>Benefits Under Increase of 11%</w:t>
            </w:r>
          </w:p>
          <w:p w14:paraId="7AEE6130" w14:textId="77777777" w:rsidR="00636CD9" w:rsidRDefault="000F5B51" w:rsidP="00A807D0">
            <w:pPr>
              <w:spacing w:after="0" w:line="240" w:lineRule="auto"/>
              <w:jc w:val="center"/>
              <w:rPr>
                <w:rFonts w:eastAsia="Times New Roman" w:cs="Times New Roman"/>
                <w:b/>
                <w:bCs/>
                <w:color w:val="000000"/>
                <w:szCs w:val="24"/>
              </w:rPr>
            </w:pPr>
            <w:r>
              <w:rPr>
                <w:rFonts w:eastAsia="Times New Roman" w:cs="Times New Roman"/>
                <w:b/>
                <w:bCs/>
                <w:color w:val="000000"/>
                <w:szCs w:val="24"/>
              </w:rPr>
              <w:t>(a) x (b) x (d)</w:t>
            </w:r>
          </w:p>
        </w:tc>
        <w:tc>
          <w:tcPr>
            <w:tcW w:w="1950" w:type="dxa"/>
            <w:shd w:val="clear" w:color="auto" w:fill="D9D9D9" w:themeFill="background1" w:themeFillShade="D9"/>
            <w:vAlign w:val="center"/>
          </w:tcPr>
          <w:p w14:paraId="261369D9" w14:textId="77777777" w:rsidR="004B2BB7" w:rsidRDefault="000F5B51" w:rsidP="00A807D0">
            <w:pPr>
              <w:spacing w:after="0" w:line="240" w:lineRule="auto"/>
              <w:jc w:val="center"/>
              <w:rPr>
                <w:rFonts w:eastAsia="Times New Roman" w:cs="Times New Roman"/>
                <w:b/>
                <w:bCs/>
                <w:color w:val="000000"/>
                <w:szCs w:val="24"/>
              </w:rPr>
            </w:pPr>
            <w:r>
              <w:rPr>
                <w:rFonts w:eastAsia="Times New Roman" w:cs="Times New Roman"/>
                <w:b/>
                <w:bCs/>
                <w:color w:val="000000"/>
                <w:szCs w:val="24"/>
              </w:rPr>
              <w:t>Incremental Benefits</w:t>
            </w:r>
          </w:p>
        </w:tc>
      </w:tr>
      <w:tr w:rsidR="00A15C2C" w14:paraId="3F5CE1B8" w14:textId="77777777" w:rsidTr="00A807D0">
        <w:trPr>
          <w:trHeight w:val="310"/>
          <w:jc w:val="center"/>
        </w:trPr>
        <w:tc>
          <w:tcPr>
            <w:tcW w:w="15136" w:type="dxa"/>
            <w:gridSpan w:val="8"/>
            <w:shd w:val="clear" w:color="auto" w:fill="D9D9D9" w:themeFill="background1" w:themeFillShade="D9"/>
            <w:noWrap/>
            <w:vAlign w:val="bottom"/>
          </w:tcPr>
          <w:p w14:paraId="4289E682" w14:textId="77777777" w:rsidR="004B2BB7" w:rsidRPr="000B32DD" w:rsidRDefault="000F5B51" w:rsidP="00A807D0">
            <w:pPr>
              <w:spacing w:after="0" w:line="240" w:lineRule="auto"/>
              <w:jc w:val="center"/>
              <w:rPr>
                <w:b/>
                <w:bCs/>
                <w:i/>
                <w:iCs/>
                <w:color w:val="000000"/>
              </w:rPr>
            </w:pPr>
            <w:r w:rsidRPr="000B32DD">
              <w:rPr>
                <w:b/>
                <w:bCs/>
                <w:i/>
                <w:iCs/>
                <w:color w:val="000000"/>
              </w:rPr>
              <w:t>Passenger Cars</w:t>
            </w:r>
          </w:p>
        </w:tc>
      </w:tr>
      <w:tr w:rsidR="00A15C2C" w14:paraId="1751EB6C" w14:textId="77777777" w:rsidTr="00A807D0">
        <w:trPr>
          <w:trHeight w:val="310"/>
          <w:jc w:val="center"/>
        </w:trPr>
        <w:tc>
          <w:tcPr>
            <w:tcW w:w="1488" w:type="dxa"/>
            <w:shd w:val="clear" w:color="auto" w:fill="auto"/>
            <w:noWrap/>
            <w:vAlign w:val="bottom"/>
          </w:tcPr>
          <w:p w14:paraId="694C172C" w14:textId="77777777" w:rsidR="002307A1" w:rsidRPr="00954B78" w:rsidRDefault="000F5B51" w:rsidP="002307A1">
            <w:pPr>
              <w:spacing w:after="0" w:line="240" w:lineRule="auto"/>
              <w:rPr>
                <w:rFonts w:eastAsia="Times New Roman" w:cs="Times New Roman"/>
                <w:color w:val="000000"/>
                <w:szCs w:val="24"/>
              </w:rPr>
            </w:pPr>
            <w:r>
              <w:rPr>
                <w:rFonts w:eastAsia="Times New Roman" w:cs="Times New Roman"/>
                <w:color w:val="000000"/>
                <w:szCs w:val="24"/>
              </w:rPr>
              <w:t>MAIS 1</w:t>
            </w:r>
          </w:p>
        </w:tc>
        <w:tc>
          <w:tcPr>
            <w:tcW w:w="1949" w:type="dxa"/>
            <w:vAlign w:val="center"/>
          </w:tcPr>
          <w:p w14:paraId="2721F031" w14:textId="77777777" w:rsidR="002307A1" w:rsidRPr="00954B78" w:rsidRDefault="000F5B51" w:rsidP="002307A1">
            <w:pPr>
              <w:spacing w:after="0" w:line="240" w:lineRule="auto"/>
              <w:jc w:val="center"/>
              <w:rPr>
                <w:rFonts w:cs="Times New Roman"/>
                <w:color w:val="000000"/>
                <w:szCs w:val="24"/>
              </w:rPr>
            </w:pPr>
            <w:r>
              <w:rPr>
                <w:color w:val="000000"/>
              </w:rPr>
              <w:t>15,762</w:t>
            </w:r>
          </w:p>
        </w:tc>
        <w:tc>
          <w:tcPr>
            <w:tcW w:w="1950" w:type="dxa"/>
            <w:shd w:val="clear" w:color="auto" w:fill="auto"/>
            <w:noWrap/>
            <w:vAlign w:val="center"/>
          </w:tcPr>
          <w:p w14:paraId="5C084F48" w14:textId="77777777" w:rsidR="002307A1" w:rsidRPr="00954B78" w:rsidRDefault="000F5B51" w:rsidP="002307A1">
            <w:pPr>
              <w:spacing w:after="0" w:line="240" w:lineRule="auto"/>
              <w:jc w:val="center"/>
              <w:rPr>
                <w:rFonts w:eastAsia="Times New Roman" w:cs="Times New Roman"/>
                <w:color w:val="000000"/>
                <w:szCs w:val="24"/>
              </w:rPr>
            </w:pPr>
            <w:r>
              <w:rPr>
                <w:color w:val="000000"/>
              </w:rPr>
              <w:t>0.055</w:t>
            </w:r>
          </w:p>
        </w:tc>
        <w:tc>
          <w:tcPr>
            <w:tcW w:w="1950" w:type="dxa"/>
            <w:shd w:val="clear" w:color="auto" w:fill="auto"/>
            <w:noWrap/>
            <w:vAlign w:val="center"/>
          </w:tcPr>
          <w:p w14:paraId="45D661EF" w14:textId="77777777" w:rsidR="002307A1" w:rsidRPr="00954B78" w:rsidRDefault="000F5B51" w:rsidP="002307A1">
            <w:pPr>
              <w:spacing w:after="0" w:line="240" w:lineRule="auto"/>
              <w:jc w:val="center"/>
              <w:rPr>
                <w:rFonts w:eastAsia="Times New Roman" w:cs="Times New Roman"/>
                <w:color w:val="000000"/>
                <w:szCs w:val="24"/>
              </w:rPr>
            </w:pPr>
            <w:r>
              <w:rPr>
                <w:color w:val="000000"/>
              </w:rPr>
              <w:t>0.7512</w:t>
            </w:r>
          </w:p>
        </w:tc>
        <w:tc>
          <w:tcPr>
            <w:tcW w:w="1949" w:type="dxa"/>
            <w:shd w:val="clear" w:color="auto" w:fill="auto"/>
            <w:noWrap/>
            <w:vAlign w:val="center"/>
          </w:tcPr>
          <w:p w14:paraId="4C77F36D" w14:textId="77777777" w:rsidR="002307A1" w:rsidRPr="00954B78" w:rsidRDefault="000F5B51" w:rsidP="002307A1">
            <w:pPr>
              <w:spacing w:after="0" w:line="240" w:lineRule="auto"/>
              <w:jc w:val="center"/>
              <w:rPr>
                <w:rFonts w:eastAsia="Times New Roman" w:cs="Times New Roman"/>
                <w:color w:val="000000"/>
                <w:szCs w:val="24"/>
              </w:rPr>
            </w:pPr>
            <w:r>
              <w:rPr>
                <w:color w:val="000000"/>
              </w:rPr>
              <w:t>651</w:t>
            </w:r>
          </w:p>
        </w:tc>
        <w:tc>
          <w:tcPr>
            <w:tcW w:w="1950" w:type="dxa"/>
            <w:vAlign w:val="center"/>
          </w:tcPr>
          <w:p w14:paraId="30C28220" w14:textId="77777777" w:rsidR="002307A1" w:rsidRPr="00954B78" w:rsidRDefault="000F5B51" w:rsidP="002307A1">
            <w:pPr>
              <w:spacing w:after="0" w:line="240" w:lineRule="auto"/>
              <w:jc w:val="center"/>
              <w:rPr>
                <w:rFonts w:eastAsia="Times New Roman" w:cs="Times New Roman"/>
                <w:color w:val="000000"/>
                <w:szCs w:val="24"/>
              </w:rPr>
            </w:pPr>
            <w:r>
              <w:rPr>
                <w:color w:val="000000"/>
              </w:rPr>
              <w:t>0.8612</w:t>
            </w:r>
          </w:p>
        </w:tc>
        <w:tc>
          <w:tcPr>
            <w:tcW w:w="1950" w:type="dxa"/>
            <w:vAlign w:val="center"/>
          </w:tcPr>
          <w:p w14:paraId="3106E430" w14:textId="77777777" w:rsidR="002307A1" w:rsidRPr="00954B78" w:rsidRDefault="000F5B51" w:rsidP="002307A1">
            <w:pPr>
              <w:spacing w:after="0" w:line="240" w:lineRule="auto"/>
              <w:jc w:val="center"/>
              <w:rPr>
                <w:rFonts w:eastAsia="Times New Roman" w:cs="Times New Roman"/>
                <w:color w:val="000000"/>
                <w:szCs w:val="24"/>
              </w:rPr>
            </w:pPr>
            <w:r>
              <w:rPr>
                <w:color w:val="000000"/>
              </w:rPr>
              <w:t>747</w:t>
            </w:r>
          </w:p>
        </w:tc>
        <w:tc>
          <w:tcPr>
            <w:tcW w:w="1950" w:type="dxa"/>
            <w:vAlign w:val="center"/>
          </w:tcPr>
          <w:p w14:paraId="706CC1C1" w14:textId="77777777" w:rsidR="002307A1" w:rsidRPr="00954B78" w:rsidRDefault="000F5B51" w:rsidP="002307A1">
            <w:pPr>
              <w:spacing w:after="0" w:line="240" w:lineRule="auto"/>
              <w:jc w:val="center"/>
              <w:rPr>
                <w:rFonts w:eastAsia="Times New Roman" w:cs="Times New Roman"/>
                <w:color w:val="000000"/>
                <w:szCs w:val="24"/>
              </w:rPr>
            </w:pPr>
            <w:r>
              <w:rPr>
                <w:color w:val="000000"/>
              </w:rPr>
              <w:t>95</w:t>
            </w:r>
          </w:p>
        </w:tc>
      </w:tr>
      <w:tr w:rsidR="00A15C2C" w14:paraId="4F5C478A" w14:textId="77777777" w:rsidTr="0021691D">
        <w:trPr>
          <w:trHeight w:val="310"/>
          <w:jc w:val="center"/>
        </w:trPr>
        <w:tc>
          <w:tcPr>
            <w:tcW w:w="1488" w:type="dxa"/>
            <w:shd w:val="clear" w:color="auto" w:fill="auto"/>
            <w:noWrap/>
          </w:tcPr>
          <w:p w14:paraId="3CC14DB3" w14:textId="77777777" w:rsidR="002307A1" w:rsidRPr="00954B78" w:rsidRDefault="000F5B51" w:rsidP="002307A1">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2</w:t>
            </w:r>
          </w:p>
        </w:tc>
        <w:tc>
          <w:tcPr>
            <w:tcW w:w="1949" w:type="dxa"/>
            <w:vAlign w:val="center"/>
          </w:tcPr>
          <w:p w14:paraId="5ECEA018" w14:textId="77777777" w:rsidR="002307A1" w:rsidRPr="00954B78" w:rsidRDefault="000F5B51" w:rsidP="002307A1">
            <w:pPr>
              <w:spacing w:after="0" w:line="240" w:lineRule="auto"/>
              <w:jc w:val="center"/>
              <w:rPr>
                <w:rFonts w:cs="Times New Roman"/>
                <w:color w:val="000000"/>
                <w:szCs w:val="24"/>
              </w:rPr>
            </w:pPr>
            <w:r>
              <w:rPr>
                <w:color w:val="000000"/>
              </w:rPr>
              <w:t>2,398</w:t>
            </w:r>
          </w:p>
        </w:tc>
        <w:tc>
          <w:tcPr>
            <w:tcW w:w="1950" w:type="dxa"/>
            <w:shd w:val="clear" w:color="auto" w:fill="auto"/>
            <w:noWrap/>
            <w:vAlign w:val="center"/>
          </w:tcPr>
          <w:p w14:paraId="37E0B147" w14:textId="77777777" w:rsidR="002307A1" w:rsidRPr="00954B78" w:rsidRDefault="000F5B51" w:rsidP="002307A1">
            <w:pPr>
              <w:spacing w:after="0" w:line="240" w:lineRule="auto"/>
              <w:jc w:val="center"/>
              <w:rPr>
                <w:rFonts w:eastAsia="Times New Roman" w:cs="Times New Roman"/>
                <w:color w:val="000000"/>
                <w:szCs w:val="24"/>
              </w:rPr>
            </w:pPr>
            <w:r>
              <w:rPr>
                <w:color w:val="000000"/>
              </w:rPr>
              <w:t>0.625</w:t>
            </w:r>
          </w:p>
        </w:tc>
        <w:tc>
          <w:tcPr>
            <w:tcW w:w="1950" w:type="dxa"/>
            <w:shd w:val="clear" w:color="auto" w:fill="auto"/>
            <w:noWrap/>
            <w:vAlign w:val="center"/>
          </w:tcPr>
          <w:p w14:paraId="41FDD499" w14:textId="77777777" w:rsidR="002307A1" w:rsidRPr="00954B78" w:rsidRDefault="000F5B51" w:rsidP="002307A1">
            <w:pPr>
              <w:spacing w:after="0" w:line="240" w:lineRule="auto"/>
              <w:jc w:val="center"/>
              <w:rPr>
                <w:rFonts w:eastAsia="Times New Roman" w:cs="Times New Roman"/>
                <w:color w:val="000000"/>
                <w:szCs w:val="24"/>
              </w:rPr>
            </w:pPr>
            <w:r>
              <w:rPr>
                <w:color w:val="000000"/>
              </w:rPr>
              <w:t>0.7512</w:t>
            </w:r>
          </w:p>
        </w:tc>
        <w:tc>
          <w:tcPr>
            <w:tcW w:w="1949" w:type="dxa"/>
            <w:shd w:val="clear" w:color="auto" w:fill="auto"/>
            <w:noWrap/>
            <w:vAlign w:val="center"/>
          </w:tcPr>
          <w:p w14:paraId="41D1C953" w14:textId="77777777" w:rsidR="002307A1" w:rsidRPr="00954B78" w:rsidRDefault="000F5B51" w:rsidP="002307A1">
            <w:pPr>
              <w:spacing w:after="0" w:line="240" w:lineRule="auto"/>
              <w:jc w:val="center"/>
              <w:rPr>
                <w:rFonts w:eastAsia="Times New Roman" w:cs="Times New Roman"/>
                <w:color w:val="000000"/>
                <w:szCs w:val="24"/>
              </w:rPr>
            </w:pPr>
            <w:r>
              <w:rPr>
                <w:color w:val="000000"/>
              </w:rPr>
              <w:t>1,126</w:t>
            </w:r>
          </w:p>
        </w:tc>
        <w:tc>
          <w:tcPr>
            <w:tcW w:w="1950" w:type="dxa"/>
          </w:tcPr>
          <w:p w14:paraId="28254387" w14:textId="77777777" w:rsidR="002307A1" w:rsidRPr="00954B78" w:rsidRDefault="000F5B51" w:rsidP="002307A1">
            <w:pPr>
              <w:spacing w:after="0" w:line="240" w:lineRule="auto"/>
              <w:jc w:val="center"/>
              <w:rPr>
                <w:rFonts w:eastAsia="Times New Roman" w:cs="Times New Roman"/>
                <w:color w:val="000000"/>
                <w:szCs w:val="24"/>
              </w:rPr>
            </w:pPr>
            <w:r w:rsidRPr="002D2414">
              <w:rPr>
                <w:color w:val="000000"/>
              </w:rPr>
              <w:t>0.8612</w:t>
            </w:r>
          </w:p>
        </w:tc>
        <w:tc>
          <w:tcPr>
            <w:tcW w:w="1950" w:type="dxa"/>
            <w:vAlign w:val="center"/>
          </w:tcPr>
          <w:p w14:paraId="389C6BBC" w14:textId="77777777" w:rsidR="002307A1" w:rsidRPr="00954B78" w:rsidRDefault="000F5B51" w:rsidP="002307A1">
            <w:pPr>
              <w:spacing w:after="0" w:line="240" w:lineRule="auto"/>
              <w:jc w:val="center"/>
              <w:rPr>
                <w:rFonts w:eastAsia="Times New Roman" w:cs="Times New Roman"/>
                <w:color w:val="000000"/>
                <w:szCs w:val="24"/>
              </w:rPr>
            </w:pPr>
            <w:r>
              <w:rPr>
                <w:color w:val="000000"/>
              </w:rPr>
              <w:t>1291</w:t>
            </w:r>
          </w:p>
        </w:tc>
        <w:tc>
          <w:tcPr>
            <w:tcW w:w="1950" w:type="dxa"/>
            <w:vAlign w:val="center"/>
          </w:tcPr>
          <w:p w14:paraId="63DDCF08" w14:textId="77777777" w:rsidR="002307A1" w:rsidRPr="00954B78" w:rsidRDefault="000F5B51" w:rsidP="002307A1">
            <w:pPr>
              <w:spacing w:after="0" w:line="240" w:lineRule="auto"/>
              <w:jc w:val="center"/>
              <w:rPr>
                <w:rFonts w:eastAsia="Times New Roman" w:cs="Times New Roman"/>
                <w:color w:val="000000"/>
                <w:szCs w:val="24"/>
              </w:rPr>
            </w:pPr>
            <w:r>
              <w:rPr>
                <w:color w:val="000000"/>
              </w:rPr>
              <w:t>165</w:t>
            </w:r>
          </w:p>
        </w:tc>
      </w:tr>
      <w:tr w:rsidR="00A15C2C" w14:paraId="5F5B8EC9" w14:textId="77777777" w:rsidTr="0021691D">
        <w:trPr>
          <w:trHeight w:val="310"/>
          <w:jc w:val="center"/>
        </w:trPr>
        <w:tc>
          <w:tcPr>
            <w:tcW w:w="1488" w:type="dxa"/>
            <w:shd w:val="clear" w:color="auto" w:fill="auto"/>
            <w:noWrap/>
          </w:tcPr>
          <w:p w14:paraId="2231469C" w14:textId="77777777" w:rsidR="002307A1" w:rsidRPr="00954B78" w:rsidRDefault="000F5B51" w:rsidP="002307A1">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3</w:t>
            </w:r>
          </w:p>
        </w:tc>
        <w:tc>
          <w:tcPr>
            <w:tcW w:w="1949" w:type="dxa"/>
            <w:vAlign w:val="center"/>
          </w:tcPr>
          <w:p w14:paraId="576EA177" w14:textId="77777777" w:rsidR="002307A1" w:rsidRPr="00954B78" w:rsidRDefault="000F5B51" w:rsidP="002307A1">
            <w:pPr>
              <w:spacing w:after="0" w:line="240" w:lineRule="auto"/>
              <w:jc w:val="center"/>
              <w:rPr>
                <w:rFonts w:cs="Times New Roman"/>
                <w:color w:val="000000"/>
                <w:szCs w:val="24"/>
              </w:rPr>
            </w:pPr>
            <w:r>
              <w:rPr>
                <w:color w:val="000000"/>
              </w:rPr>
              <w:t>462</w:t>
            </w:r>
          </w:p>
        </w:tc>
        <w:tc>
          <w:tcPr>
            <w:tcW w:w="1950" w:type="dxa"/>
            <w:shd w:val="clear" w:color="auto" w:fill="auto"/>
            <w:noWrap/>
            <w:vAlign w:val="center"/>
          </w:tcPr>
          <w:p w14:paraId="4A35476B" w14:textId="77777777" w:rsidR="002307A1" w:rsidRPr="00954B78" w:rsidRDefault="000F5B51" w:rsidP="002307A1">
            <w:pPr>
              <w:spacing w:after="0" w:line="240" w:lineRule="auto"/>
              <w:jc w:val="center"/>
              <w:rPr>
                <w:rFonts w:eastAsia="Times New Roman" w:cs="Times New Roman"/>
                <w:color w:val="000000"/>
                <w:szCs w:val="24"/>
              </w:rPr>
            </w:pPr>
            <w:r>
              <w:rPr>
                <w:color w:val="000000"/>
              </w:rPr>
              <w:t>0.625</w:t>
            </w:r>
          </w:p>
        </w:tc>
        <w:tc>
          <w:tcPr>
            <w:tcW w:w="1950" w:type="dxa"/>
            <w:shd w:val="clear" w:color="auto" w:fill="auto"/>
            <w:noWrap/>
            <w:vAlign w:val="center"/>
          </w:tcPr>
          <w:p w14:paraId="7901B101" w14:textId="77777777" w:rsidR="002307A1" w:rsidRPr="00954B78" w:rsidRDefault="000F5B51" w:rsidP="002307A1">
            <w:pPr>
              <w:spacing w:after="0" w:line="240" w:lineRule="auto"/>
              <w:jc w:val="center"/>
              <w:rPr>
                <w:rFonts w:eastAsia="Times New Roman" w:cs="Times New Roman"/>
                <w:color w:val="000000"/>
                <w:szCs w:val="24"/>
              </w:rPr>
            </w:pPr>
            <w:r>
              <w:rPr>
                <w:color w:val="000000"/>
              </w:rPr>
              <w:t>0.7512</w:t>
            </w:r>
          </w:p>
        </w:tc>
        <w:tc>
          <w:tcPr>
            <w:tcW w:w="1949" w:type="dxa"/>
            <w:shd w:val="clear" w:color="auto" w:fill="auto"/>
            <w:noWrap/>
            <w:vAlign w:val="center"/>
          </w:tcPr>
          <w:p w14:paraId="50F06B19" w14:textId="77777777" w:rsidR="002307A1" w:rsidRPr="00954B78" w:rsidRDefault="000F5B51" w:rsidP="002307A1">
            <w:pPr>
              <w:spacing w:after="0" w:line="240" w:lineRule="auto"/>
              <w:jc w:val="center"/>
              <w:rPr>
                <w:rFonts w:eastAsia="Times New Roman" w:cs="Times New Roman"/>
                <w:color w:val="000000"/>
                <w:szCs w:val="24"/>
              </w:rPr>
            </w:pPr>
            <w:r>
              <w:rPr>
                <w:color w:val="000000"/>
              </w:rPr>
              <w:t>217</w:t>
            </w:r>
          </w:p>
        </w:tc>
        <w:tc>
          <w:tcPr>
            <w:tcW w:w="1950" w:type="dxa"/>
          </w:tcPr>
          <w:p w14:paraId="3249821D" w14:textId="77777777" w:rsidR="002307A1" w:rsidRPr="00954B78" w:rsidRDefault="000F5B51" w:rsidP="002307A1">
            <w:pPr>
              <w:spacing w:after="0" w:line="240" w:lineRule="auto"/>
              <w:jc w:val="center"/>
              <w:rPr>
                <w:rFonts w:eastAsia="Times New Roman" w:cs="Times New Roman"/>
                <w:color w:val="000000"/>
                <w:szCs w:val="24"/>
              </w:rPr>
            </w:pPr>
            <w:r w:rsidRPr="002D2414">
              <w:rPr>
                <w:color w:val="000000"/>
              </w:rPr>
              <w:t>0.8612</w:t>
            </w:r>
          </w:p>
        </w:tc>
        <w:tc>
          <w:tcPr>
            <w:tcW w:w="1950" w:type="dxa"/>
            <w:vAlign w:val="center"/>
          </w:tcPr>
          <w:p w14:paraId="491158D1" w14:textId="77777777" w:rsidR="002307A1" w:rsidRPr="00954B78" w:rsidRDefault="000F5B51" w:rsidP="002307A1">
            <w:pPr>
              <w:spacing w:after="0" w:line="240" w:lineRule="auto"/>
              <w:jc w:val="center"/>
              <w:rPr>
                <w:rFonts w:eastAsia="Times New Roman" w:cs="Times New Roman"/>
                <w:color w:val="000000"/>
                <w:szCs w:val="24"/>
              </w:rPr>
            </w:pPr>
            <w:r>
              <w:rPr>
                <w:color w:val="000000"/>
              </w:rPr>
              <w:t>249</w:t>
            </w:r>
          </w:p>
        </w:tc>
        <w:tc>
          <w:tcPr>
            <w:tcW w:w="1950" w:type="dxa"/>
            <w:vAlign w:val="center"/>
          </w:tcPr>
          <w:p w14:paraId="3989324D" w14:textId="77777777" w:rsidR="002307A1" w:rsidRPr="00954B78" w:rsidRDefault="000F5B51" w:rsidP="002307A1">
            <w:pPr>
              <w:spacing w:after="0" w:line="240" w:lineRule="auto"/>
              <w:jc w:val="center"/>
              <w:rPr>
                <w:rFonts w:eastAsia="Times New Roman" w:cs="Times New Roman"/>
                <w:color w:val="000000"/>
                <w:szCs w:val="24"/>
              </w:rPr>
            </w:pPr>
            <w:r>
              <w:rPr>
                <w:color w:val="000000"/>
              </w:rPr>
              <w:t>32</w:t>
            </w:r>
          </w:p>
        </w:tc>
      </w:tr>
      <w:tr w:rsidR="00A15C2C" w14:paraId="301F756C" w14:textId="77777777" w:rsidTr="0021691D">
        <w:trPr>
          <w:trHeight w:val="310"/>
          <w:jc w:val="center"/>
        </w:trPr>
        <w:tc>
          <w:tcPr>
            <w:tcW w:w="1488" w:type="dxa"/>
            <w:shd w:val="clear" w:color="auto" w:fill="auto"/>
            <w:noWrap/>
          </w:tcPr>
          <w:p w14:paraId="5681948D" w14:textId="77777777" w:rsidR="002307A1" w:rsidRPr="00954B78" w:rsidRDefault="000F5B51" w:rsidP="002307A1">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4</w:t>
            </w:r>
          </w:p>
        </w:tc>
        <w:tc>
          <w:tcPr>
            <w:tcW w:w="1949" w:type="dxa"/>
            <w:vAlign w:val="center"/>
          </w:tcPr>
          <w:p w14:paraId="442CD5C4" w14:textId="77777777" w:rsidR="002307A1" w:rsidRPr="00954B78" w:rsidRDefault="000F5B51" w:rsidP="002307A1">
            <w:pPr>
              <w:spacing w:after="0" w:line="240" w:lineRule="auto"/>
              <w:jc w:val="center"/>
              <w:rPr>
                <w:rFonts w:cs="Times New Roman"/>
                <w:color w:val="000000"/>
                <w:szCs w:val="24"/>
              </w:rPr>
            </w:pPr>
            <w:r>
              <w:rPr>
                <w:color w:val="000000"/>
              </w:rPr>
              <w:t>379</w:t>
            </w:r>
          </w:p>
        </w:tc>
        <w:tc>
          <w:tcPr>
            <w:tcW w:w="1950" w:type="dxa"/>
            <w:shd w:val="clear" w:color="auto" w:fill="auto"/>
            <w:noWrap/>
            <w:vAlign w:val="center"/>
          </w:tcPr>
          <w:p w14:paraId="0711934D" w14:textId="77777777" w:rsidR="002307A1" w:rsidRPr="00954B78" w:rsidRDefault="000F5B51" w:rsidP="002307A1">
            <w:pPr>
              <w:spacing w:after="0" w:line="240" w:lineRule="auto"/>
              <w:jc w:val="center"/>
              <w:rPr>
                <w:rFonts w:eastAsia="Times New Roman" w:cs="Times New Roman"/>
                <w:color w:val="000000"/>
                <w:szCs w:val="24"/>
              </w:rPr>
            </w:pPr>
            <w:r>
              <w:rPr>
                <w:color w:val="000000"/>
              </w:rPr>
              <w:t>0.625</w:t>
            </w:r>
          </w:p>
        </w:tc>
        <w:tc>
          <w:tcPr>
            <w:tcW w:w="1950" w:type="dxa"/>
            <w:shd w:val="clear" w:color="auto" w:fill="auto"/>
            <w:noWrap/>
            <w:vAlign w:val="center"/>
          </w:tcPr>
          <w:p w14:paraId="484CB54F" w14:textId="77777777" w:rsidR="002307A1" w:rsidRPr="00954B78" w:rsidRDefault="000F5B51" w:rsidP="002307A1">
            <w:pPr>
              <w:spacing w:after="0" w:line="240" w:lineRule="auto"/>
              <w:jc w:val="center"/>
              <w:rPr>
                <w:rFonts w:eastAsia="Times New Roman" w:cs="Times New Roman"/>
                <w:color w:val="000000"/>
                <w:szCs w:val="24"/>
              </w:rPr>
            </w:pPr>
            <w:r>
              <w:rPr>
                <w:color w:val="000000"/>
              </w:rPr>
              <w:t>0.7512</w:t>
            </w:r>
          </w:p>
        </w:tc>
        <w:tc>
          <w:tcPr>
            <w:tcW w:w="1949" w:type="dxa"/>
            <w:shd w:val="clear" w:color="auto" w:fill="auto"/>
            <w:noWrap/>
            <w:vAlign w:val="center"/>
          </w:tcPr>
          <w:p w14:paraId="41D4645A" w14:textId="77777777" w:rsidR="002307A1" w:rsidRPr="00954B78" w:rsidRDefault="000F5B51" w:rsidP="002307A1">
            <w:pPr>
              <w:spacing w:after="0" w:line="240" w:lineRule="auto"/>
              <w:jc w:val="center"/>
              <w:rPr>
                <w:rFonts w:eastAsia="Times New Roman" w:cs="Times New Roman"/>
                <w:color w:val="000000"/>
                <w:szCs w:val="24"/>
              </w:rPr>
            </w:pPr>
            <w:r>
              <w:rPr>
                <w:color w:val="000000"/>
              </w:rPr>
              <w:t>178</w:t>
            </w:r>
          </w:p>
        </w:tc>
        <w:tc>
          <w:tcPr>
            <w:tcW w:w="1950" w:type="dxa"/>
          </w:tcPr>
          <w:p w14:paraId="0C1AA392" w14:textId="77777777" w:rsidR="002307A1" w:rsidRPr="00954B78" w:rsidRDefault="000F5B51" w:rsidP="002307A1">
            <w:pPr>
              <w:spacing w:after="0" w:line="240" w:lineRule="auto"/>
              <w:jc w:val="center"/>
              <w:rPr>
                <w:rFonts w:eastAsia="Times New Roman" w:cs="Times New Roman"/>
                <w:color w:val="000000"/>
                <w:szCs w:val="24"/>
              </w:rPr>
            </w:pPr>
            <w:r w:rsidRPr="002D2414">
              <w:rPr>
                <w:color w:val="000000"/>
              </w:rPr>
              <w:t>0.8612</w:t>
            </w:r>
          </w:p>
        </w:tc>
        <w:tc>
          <w:tcPr>
            <w:tcW w:w="1950" w:type="dxa"/>
            <w:vAlign w:val="center"/>
          </w:tcPr>
          <w:p w14:paraId="7501C777" w14:textId="77777777" w:rsidR="002307A1" w:rsidRPr="00954B78" w:rsidRDefault="000F5B51" w:rsidP="002307A1">
            <w:pPr>
              <w:spacing w:after="0" w:line="240" w:lineRule="auto"/>
              <w:jc w:val="center"/>
              <w:rPr>
                <w:rFonts w:eastAsia="Times New Roman" w:cs="Times New Roman"/>
                <w:color w:val="000000"/>
                <w:szCs w:val="24"/>
              </w:rPr>
            </w:pPr>
            <w:r>
              <w:rPr>
                <w:color w:val="000000"/>
              </w:rPr>
              <w:t>204</w:t>
            </w:r>
          </w:p>
        </w:tc>
        <w:tc>
          <w:tcPr>
            <w:tcW w:w="1950" w:type="dxa"/>
            <w:vAlign w:val="center"/>
          </w:tcPr>
          <w:p w14:paraId="604E1F9B" w14:textId="77777777" w:rsidR="002307A1" w:rsidRPr="00954B78" w:rsidRDefault="000F5B51" w:rsidP="002307A1">
            <w:pPr>
              <w:spacing w:after="0" w:line="240" w:lineRule="auto"/>
              <w:jc w:val="center"/>
              <w:rPr>
                <w:rFonts w:eastAsia="Times New Roman" w:cs="Times New Roman"/>
                <w:color w:val="000000"/>
                <w:szCs w:val="24"/>
              </w:rPr>
            </w:pPr>
            <w:r>
              <w:rPr>
                <w:color w:val="000000"/>
              </w:rPr>
              <w:t>26</w:t>
            </w:r>
          </w:p>
        </w:tc>
      </w:tr>
      <w:tr w:rsidR="00A15C2C" w14:paraId="712B224B" w14:textId="77777777" w:rsidTr="0021691D">
        <w:trPr>
          <w:trHeight w:val="310"/>
          <w:jc w:val="center"/>
        </w:trPr>
        <w:tc>
          <w:tcPr>
            <w:tcW w:w="1488" w:type="dxa"/>
            <w:shd w:val="clear" w:color="auto" w:fill="auto"/>
            <w:noWrap/>
          </w:tcPr>
          <w:p w14:paraId="41E86A3B" w14:textId="77777777" w:rsidR="002307A1" w:rsidRPr="00954B78" w:rsidRDefault="000F5B51" w:rsidP="002307A1">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5</w:t>
            </w:r>
          </w:p>
        </w:tc>
        <w:tc>
          <w:tcPr>
            <w:tcW w:w="1949" w:type="dxa"/>
            <w:vAlign w:val="center"/>
          </w:tcPr>
          <w:p w14:paraId="0C40238B" w14:textId="77777777" w:rsidR="002307A1" w:rsidRPr="00954B78" w:rsidRDefault="000F5B51" w:rsidP="002307A1">
            <w:pPr>
              <w:spacing w:after="0" w:line="240" w:lineRule="auto"/>
              <w:jc w:val="center"/>
              <w:rPr>
                <w:rFonts w:cs="Times New Roman"/>
                <w:color w:val="000000"/>
                <w:szCs w:val="24"/>
              </w:rPr>
            </w:pPr>
            <w:r>
              <w:rPr>
                <w:color w:val="000000"/>
              </w:rPr>
              <w:t>11</w:t>
            </w:r>
          </w:p>
        </w:tc>
        <w:tc>
          <w:tcPr>
            <w:tcW w:w="1950" w:type="dxa"/>
            <w:shd w:val="clear" w:color="auto" w:fill="auto"/>
            <w:noWrap/>
            <w:vAlign w:val="center"/>
          </w:tcPr>
          <w:p w14:paraId="13A03143" w14:textId="77777777" w:rsidR="002307A1" w:rsidRPr="00954B78" w:rsidRDefault="000F5B51" w:rsidP="002307A1">
            <w:pPr>
              <w:spacing w:after="0" w:line="240" w:lineRule="auto"/>
              <w:jc w:val="center"/>
              <w:rPr>
                <w:rFonts w:eastAsia="Times New Roman" w:cs="Times New Roman"/>
                <w:color w:val="000000"/>
                <w:szCs w:val="24"/>
              </w:rPr>
            </w:pPr>
            <w:r>
              <w:rPr>
                <w:color w:val="000000"/>
              </w:rPr>
              <w:t>0.625</w:t>
            </w:r>
          </w:p>
        </w:tc>
        <w:tc>
          <w:tcPr>
            <w:tcW w:w="1950" w:type="dxa"/>
            <w:shd w:val="clear" w:color="auto" w:fill="auto"/>
            <w:noWrap/>
            <w:vAlign w:val="center"/>
          </w:tcPr>
          <w:p w14:paraId="038E9FCD" w14:textId="77777777" w:rsidR="002307A1" w:rsidRPr="00954B78" w:rsidRDefault="000F5B51" w:rsidP="002307A1">
            <w:pPr>
              <w:spacing w:after="0" w:line="240" w:lineRule="auto"/>
              <w:jc w:val="center"/>
              <w:rPr>
                <w:rFonts w:eastAsia="Times New Roman" w:cs="Times New Roman"/>
                <w:color w:val="000000"/>
                <w:szCs w:val="24"/>
              </w:rPr>
            </w:pPr>
            <w:r>
              <w:rPr>
                <w:color w:val="000000"/>
              </w:rPr>
              <w:t>0.7512</w:t>
            </w:r>
          </w:p>
        </w:tc>
        <w:tc>
          <w:tcPr>
            <w:tcW w:w="1949" w:type="dxa"/>
            <w:shd w:val="clear" w:color="auto" w:fill="auto"/>
            <w:noWrap/>
            <w:vAlign w:val="center"/>
          </w:tcPr>
          <w:p w14:paraId="11952164" w14:textId="77777777" w:rsidR="002307A1" w:rsidRPr="00954B78" w:rsidRDefault="000F5B51" w:rsidP="002307A1">
            <w:pPr>
              <w:spacing w:after="0" w:line="240" w:lineRule="auto"/>
              <w:jc w:val="center"/>
              <w:rPr>
                <w:rFonts w:eastAsia="Times New Roman" w:cs="Times New Roman"/>
                <w:color w:val="000000"/>
                <w:szCs w:val="24"/>
              </w:rPr>
            </w:pPr>
            <w:r>
              <w:rPr>
                <w:color w:val="000000"/>
              </w:rPr>
              <w:t>5</w:t>
            </w:r>
          </w:p>
        </w:tc>
        <w:tc>
          <w:tcPr>
            <w:tcW w:w="1950" w:type="dxa"/>
          </w:tcPr>
          <w:p w14:paraId="212EA95C" w14:textId="77777777" w:rsidR="002307A1" w:rsidRPr="00954B78" w:rsidRDefault="000F5B51" w:rsidP="002307A1">
            <w:pPr>
              <w:spacing w:after="0" w:line="240" w:lineRule="auto"/>
              <w:jc w:val="center"/>
              <w:rPr>
                <w:rFonts w:eastAsia="Times New Roman" w:cs="Times New Roman"/>
                <w:color w:val="000000"/>
                <w:szCs w:val="24"/>
              </w:rPr>
            </w:pPr>
            <w:r w:rsidRPr="002D2414">
              <w:rPr>
                <w:color w:val="000000"/>
              </w:rPr>
              <w:t>0.8612</w:t>
            </w:r>
          </w:p>
        </w:tc>
        <w:tc>
          <w:tcPr>
            <w:tcW w:w="1950" w:type="dxa"/>
            <w:vAlign w:val="center"/>
          </w:tcPr>
          <w:p w14:paraId="1623F276" w14:textId="77777777" w:rsidR="002307A1" w:rsidRPr="00954B78" w:rsidRDefault="000F5B51" w:rsidP="002307A1">
            <w:pPr>
              <w:spacing w:after="0" w:line="240" w:lineRule="auto"/>
              <w:jc w:val="center"/>
              <w:rPr>
                <w:rFonts w:eastAsia="Times New Roman" w:cs="Times New Roman"/>
                <w:color w:val="000000"/>
                <w:szCs w:val="24"/>
              </w:rPr>
            </w:pPr>
            <w:r>
              <w:rPr>
                <w:color w:val="000000"/>
              </w:rPr>
              <w:t>6</w:t>
            </w:r>
          </w:p>
        </w:tc>
        <w:tc>
          <w:tcPr>
            <w:tcW w:w="1950" w:type="dxa"/>
            <w:vAlign w:val="center"/>
          </w:tcPr>
          <w:p w14:paraId="7C1949A4" w14:textId="77777777" w:rsidR="002307A1" w:rsidRPr="00954B78" w:rsidRDefault="000F5B51" w:rsidP="002307A1">
            <w:pPr>
              <w:spacing w:after="0" w:line="240" w:lineRule="auto"/>
              <w:jc w:val="center"/>
              <w:rPr>
                <w:rFonts w:eastAsia="Times New Roman" w:cs="Times New Roman"/>
                <w:color w:val="000000"/>
                <w:szCs w:val="24"/>
              </w:rPr>
            </w:pPr>
            <w:r>
              <w:rPr>
                <w:color w:val="000000"/>
              </w:rPr>
              <w:t>1</w:t>
            </w:r>
          </w:p>
        </w:tc>
      </w:tr>
      <w:tr w:rsidR="00A15C2C" w14:paraId="3123F366" w14:textId="77777777" w:rsidTr="00A807D0">
        <w:trPr>
          <w:trHeight w:val="310"/>
          <w:jc w:val="center"/>
        </w:trPr>
        <w:tc>
          <w:tcPr>
            <w:tcW w:w="1488" w:type="dxa"/>
            <w:shd w:val="clear" w:color="auto" w:fill="auto"/>
            <w:noWrap/>
            <w:vAlign w:val="bottom"/>
          </w:tcPr>
          <w:p w14:paraId="1ECF920E" w14:textId="77777777" w:rsidR="00CB44A6" w:rsidRPr="00012598" w:rsidRDefault="000F5B51" w:rsidP="00CB44A6">
            <w:pPr>
              <w:spacing w:after="0" w:line="240" w:lineRule="auto"/>
              <w:rPr>
                <w:rFonts w:eastAsia="Times New Roman" w:cs="Times New Roman"/>
                <w:b/>
                <w:bCs/>
                <w:color w:val="000000"/>
                <w:sz w:val="23"/>
                <w:szCs w:val="23"/>
              </w:rPr>
            </w:pPr>
            <w:r w:rsidRPr="00012598">
              <w:rPr>
                <w:rFonts w:eastAsia="Times New Roman" w:cs="Times New Roman"/>
                <w:b/>
                <w:bCs/>
                <w:color w:val="000000"/>
                <w:sz w:val="23"/>
                <w:szCs w:val="23"/>
              </w:rPr>
              <w:t>Non-Fatal Injuries</w:t>
            </w:r>
          </w:p>
          <w:p w14:paraId="1C22F1D7" w14:textId="77777777" w:rsidR="00CB44A6" w:rsidRPr="00012598" w:rsidRDefault="000F5B51" w:rsidP="00CB44A6">
            <w:pPr>
              <w:spacing w:after="0" w:line="240" w:lineRule="auto"/>
              <w:rPr>
                <w:rFonts w:eastAsia="Times New Roman" w:cs="Times New Roman"/>
                <w:b/>
                <w:bCs/>
                <w:color w:val="000000"/>
                <w:szCs w:val="24"/>
              </w:rPr>
            </w:pPr>
            <w:r w:rsidRPr="00012598">
              <w:rPr>
                <w:rFonts w:eastAsia="Times New Roman" w:cs="Times New Roman"/>
                <w:b/>
                <w:bCs/>
                <w:color w:val="000000"/>
                <w:sz w:val="23"/>
                <w:szCs w:val="23"/>
              </w:rPr>
              <w:t>(MAIS 1-5)</w:t>
            </w:r>
          </w:p>
        </w:tc>
        <w:tc>
          <w:tcPr>
            <w:tcW w:w="1949" w:type="dxa"/>
            <w:vAlign w:val="center"/>
          </w:tcPr>
          <w:p w14:paraId="03A474EA" w14:textId="77777777" w:rsidR="00CB44A6" w:rsidRPr="00954B78" w:rsidRDefault="000F5B51" w:rsidP="00CB44A6">
            <w:pPr>
              <w:spacing w:after="0" w:line="240" w:lineRule="auto"/>
              <w:jc w:val="center"/>
              <w:rPr>
                <w:rFonts w:cs="Times New Roman"/>
                <w:b/>
                <w:bCs/>
                <w:color w:val="000000"/>
                <w:szCs w:val="24"/>
              </w:rPr>
            </w:pPr>
            <w:r>
              <w:rPr>
                <w:color w:val="000000"/>
              </w:rPr>
              <w:t>19,012</w:t>
            </w:r>
          </w:p>
        </w:tc>
        <w:tc>
          <w:tcPr>
            <w:tcW w:w="1950" w:type="dxa"/>
            <w:shd w:val="clear" w:color="auto" w:fill="auto"/>
            <w:noWrap/>
            <w:vAlign w:val="center"/>
          </w:tcPr>
          <w:p w14:paraId="5725E423" w14:textId="77777777" w:rsidR="00CB44A6" w:rsidRPr="00954B78" w:rsidRDefault="000F5B51" w:rsidP="00CB44A6">
            <w:pPr>
              <w:spacing w:after="0" w:line="240" w:lineRule="auto"/>
              <w:jc w:val="center"/>
              <w:rPr>
                <w:rFonts w:cs="Times New Roman"/>
                <w:color w:val="000000"/>
                <w:szCs w:val="24"/>
              </w:rPr>
            </w:pPr>
            <w:r>
              <w:rPr>
                <w:color w:val="000000"/>
              </w:rPr>
              <w:t>-</w:t>
            </w:r>
          </w:p>
        </w:tc>
        <w:tc>
          <w:tcPr>
            <w:tcW w:w="1950" w:type="dxa"/>
            <w:shd w:val="clear" w:color="auto" w:fill="auto"/>
            <w:noWrap/>
            <w:vAlign w:val="center"/>
          </w:tcPr>
          <w:p w14:paraId="63ADF638" w14:textId="77777777" w:rsidR="00CB44A6" w:rsidRPr="00954B78" w:rsidRDefault="000F5B51" w:rsidP="00CB44A6">
            <w:pPr>
              <w:spacing w:after="0" w:line="240" w:lineRule="auto"/>
              <w:jc w:val="center"/>
              <w:rPr>
                <w:rFonts w:cs="Times New Roman"/>
                <w:color w:val="000000"/>
                <w:szCs w:val="24"/>
              </w:rPr>
            </w:pPr>
            <w:r>
              <w:rPr>
                <w:color w:val="000000"/>
              </w:rPr>
              <w:t>0.7512</w:t>
            </w:r>
          </w:p>
        </w:tc>
        <w:tc>
          <w:tcPr>
            <w:tcW w:w="1949" w:type="dxa"/>
            <w:shd w:val="clear" w:color="auto" w:fill="auto"/>
            <w:noWrap/>
            <w:vAlign w:val="center"/>
          </w:tcPr>
          <w:p w14:paraId="23CBA494" w14:textId="77777777" w:rsidR="00CB44A6" w:rsidRPr="00954B78" w:rsidRDefault="000F5B51" w:rsidP="00CB44A6">
            <w:pPr>
              <w:spacing w:after="0" w:line="240" w:lineRule="auto"/>
              <w:jc w:val="center"/>
              <w:rPr>
                <w:rFonts w:cs="Times New Roman"/>
                <w:color w:val="000000"/>
                <w:szCs w:val="24"/>
              </w:rPr>
            </w:pPr>
            <w:r>
              <w:rPr>
                <w:color w:val="000000"/>
              </w:rPr>
              <w:t>2,177</w:t>
            </w:r>
          </w:p>
        </w:tc>
        <w:tc>
          <w:tcPr>
            <w:tcW w:w="1950" w:type="dxa"/>
            <w:vAlign w:val="center"/>
          </w:tcPr>
          <w:p w14:paraId="56757A43" w14:textId="77777777" w:rsidR="00CB44A6" w:rsidRPr="00954B78" w:rsidRDefault="000F5B51" w:rsidP="00CB44A6">
            <w:pPr>
              <w:spacing w:after="0" w:line="240" w:lineRule="auto"/>
              <w:jc w:val="center"/>
              <w:rPr>
                <w:rFonts w:cs="Times New Roman"/>
                <w:color w:val="000000"/>
                <w:szCs w:val="24"/>
              </w:rPr>
            </w:pPr>
            <w:r>
              <w:rPr>
                <w:color w:val="000000"/>
              </w:rPr>
              <w:t> -</w:t>
            </w:r>
          </w:p>
        </w:tc>
        <w:tc>
          <w:tcPr>
            <w:tcW w:w="1950" w:type="dxa"/>
            <w:vAlign w:val="center"/>
          </w:tcPr>
          <w:p w14:paraId="73E03487" w14:textId="77777777" w:rsidR="00CB44A6" w:rsidRPr="00954B78" w:rsidRDefault="000F5B51" w:rsidP="00CB44A6">
            <w:pPr>
              <w:spacing w:after="0" w:line="240" w:lineRule="auto"/>
              <w:jc w:val="center"/>
              <w:rPr>
                <w:rFonts w:cs="Times New Roman"/>
                <w:color w:val="000000"/>
                <w:szCs w:val="24"/>
              </w:rPr>
            </w:pPr>
            <w:r>
              <w:rPr>
                <w:color w:val="000000"/>
              </w:rPr>
              <w:t>2,496</w:t>
            </w:r>
          </w:p>
        </w:tc>
        <w:tc>
          <w:tcPr>
            <w:tcW w:w="1950" w:type="dxa"/>
            <w:vAlign w:val="center"/>
          </w:tcPr>
          <w:p w14:paraId="7B4C173A" w14:textId="77777777" w:rsidR="00CB44A6" w:rsidRPr="00954B78" w:rsidRDefault="000F5B51" w:rsidP="00CB44A6">
            <w:pPr>
              <w:spacing w:after="0" w:line="240" w:lineRule="auto"/>
              <w:jc w:val="center"/>
              <w:rPr>
                <w:rFonts w:cs="Times New Roman"/>
                <w:color w:val="000000"/>
                <w:szCs w:val="24"/>
              </w:rPr>
            </w:pPr>
            <w:r>
              <w:rPr>
                <w:color w:val="000000"/>
              </w:rPr>
              <w:t>31</w:t>
            </w:r>
            <w:r w:rsidR="002307A1">
              <w:rPr>
                <w:color w:val="000000"/>
              </w:rPr>
              <w:t>9</w:t>
            </w:r>
          </w:p>
        </w:tc>
      </w:tr>
      <w:tr w:rsidR="00A15C2C" w14:paraId="7157C911" w14:textId="77777777" w:rsidTr="00A807D0">
        <w:trPr>
          <w:trHeight w:val="310"/>
          <w:jc w:val="center"/>
        </w:trPr>
        <w:tc>
          <w:tcPr>
            <w:tcW w:w="1488" w:type="dxa"/>
            <w:shd w:val="clear" w:color="auto" w:fill="auto"/>
            <w:noWrap/>
            <w:vAlign w:val="bottom"/>
            <w:hideMark/>
          </w:tcPr>
          <w:p w14:paraId="4B3D561D" w14:textId="77777777" w:rsidR="004B2BB7" w:rsidRPr="00012598" w:rsidRDefault="000F5B51" w:rsidP="00A807D0">
            <w:pPr>
              <w:spacing w:after="0" w:line="240" w:lineRule="auto"/>
              <w:rPr>
                <w:rFonts w:eastAsia="Times New Roman" w:cs="Times New Roman"/>
                <w:b/>
                <w:bCs/>
                <w:color w:val="000000"/>
                <w:szCs w:val="24"/>
              </w:rPr>
            </w:pPr>
            <w:r w:rsidRPr="00012598">
              <w:rPr>
                <w:rFonts w:eastAsia="Times New Roman" w:cs="Times New Roman"/>
                <w:b/>
                <w:bCs/>
                <w:color w:val="000000"/>
                <w:szCs w:val="24"/>
              </w:rPr>
              <w:t>Fatality</w:t>
            </w:r>
          </w:p>
        </w:tc>
        <w:tc>
          <w:tcPr>
            <w:tcW w:w="1949" w:type="dxa"/>
            <w:vAlign w:val="center"/>
          </w:tcPr>
          <w:p w14:paraId="0B1D6A02" w14:textId="77777777" w:rsidR="004B2BB7" w:rsidRPr="00954B78" w:rsidRDefault="000F5B51" w:rsidP="00A807D0">
            <w:pPr>
              <w:spacing w:after="0" w:line="240" w:lineRule="auto"/>
              <w:jc w:val="center"/>
              <w:rPr>
                <w:rFonts w:cs="Times New Roman"/>
                <w:b/>
                <w:bCs/>
                <w:color w:val="000000"/>
                <w:szCs w:val="24"/>
              </w:rPr>
            </w:pPr>
            <w:r>
              <w:rPr>
                <w:color w:val="000000"/>
              </w:rPr>
              <w:t>937</w:t>
            </w:r>
          </w:p>
        </w:tc>
        <w:tc>
          <w:tcPr>
            <w:tcW w:w="1950" w:type="dxa"/>
            <w:shd w:val="clear" w:color="auto" w:fill="auto"/>
            <w:noWrap/>
            <w:vAlign w:val="center"/>
          </w:tcPr>
          <w:p w14:paraId="02788F8B" w14:textId="77777777" w:rsidR="004B2BB7" w:rsidRPr="00954B78" w:rsidRDefault="000F5B51" w:rsidP="00A807D0">
            <w:pPr>
              <w:spacing w:after="0" w:line="240" w:lineRule="auto"/>
              <w:jc w:val="center"/>
              <w:rPr>
                <w:rFonts w:eastAsia="Times New Roman" w:cs="Times New Roman"/>
                <w:b/>
                <w:bCs/>
                <w:color w:val="000000"/>
                <w:szCs w:val="24"/>
              </w:rPr>
            </w:pPr>
            <w:r>
              <w:rPr>
                <w:b/>
                <w:bCs/>
                <w:color w:val="000000"/>
              </w:rPr>
              <w:t>0.55</w:t>
            </w:r>
          </w:p>
        </w:tc>
        <w:tc>
          <w:tcPr>
            <w:tcW w:w="1950" w:type="dxa"/>
            <w:shd w:val="clear" w:color="auto" w:fill="auto"/>
            <w:noWrap/>
            <w:vAlign w:val="center"/>
          </w:tcPr>
          <w:p w14:paraId="66277F8A" w14:textId="77777777" w:rsidR="004B2BB7" w:rsidRPr="00954B78" w:rsidRDefault="000F5B51" w:rsidP="00A807D0">
            <w:pPr>
              <w:spacing w:after="0" w:line="240" w:lineRule="auto"/>
              <w:jc w:val="center"/>
              <w:rPr>
                <w:rFonts w:eastAsia="Times New Roman" w:cs="Times New Roman"/>
                <w:b/>
                <w:bCs/>
                <w:color w:val="000000"/>
                <w:szCs w:val="24"/>
              </w:rPr>
            </w:pPr>
            <w:r>
              <w:rPr>
                <w:b/>
                <w:bCs/>
                <w:color w:val="000000"/>
              </w:rPr>
              <w:t>0.5953</w:t>
            </w:r>
          </w:p>
        </w:tc>
        <w:tc>
          <w:tcPr>
            <w:tcW w:w="1949" w:type="dxa"/>
            <w:shd w:val="clear" w:color="auto" w:fill="auto"/>
            <w:noWrap/>
            <w:vAlign w:val="center"/>
          </w:tcPr>
          <w:p w14:paraId="1454CC3F" w14:textId="77777777" w:rsidR="004B2BB7" w:rsidRPr="00076A36" w:rsidRDefault="000F5B51" w:rsidP="00A807D0">
            <w:pPr>
              <w:spacing w:after="0" w:line="240" w:lineRule="auto"/>
              <w:jc w:val="center"/>
              <w:rPr>
                <w:b/>
                <w:bCs/>
                <w:color w:val="000000"/>
              </w:rPr>
            </w:pPr>
            <w:r>
              <w:rPr>
                <w:b/>
                <w:bCs/>
                <w:color w:val="000000"/>
              </w:rPr>
              <w:t>307</w:t>
            </w:r>
          </w:p>
        </w:tc>
        <w:tc>
          <w:tcPr>
            <w:tcW w:w="1950" w:type="dxa"/>
            <w:vAlign w:val="center"/>
          </w:tcPr>
          <w:p w14:paraId="142C41B7" w14:textId="77777777" w:rsidR="004B2BB7" w:rsidRPr="00954B78" w:rsidRDefault="000F5B51" w:rsidP="00A807D0">
            <w:pPr>
              <w:spacing w:after="0" w:line="240" w:lineRule="auto"/>
              <w:jc w:val="center"/>
              <w:rPr>
                <w:rFonts w:eastAsia="Times New Roman" w:cs="Times New Roman"/>
                <w:b/>
                <w:bCs/>
                <w:color w:val="000000"/>
                <w:szCs w:val="24"/>
              </w:rPr>
            </w:pPr>
            <w:r>
              <w:rPr>
                <w:color w:val="000000"/>
              </w:rPr>
              <w:t> 0.7</w:t>
            </w:r>
            <w:r w:rsidR="00B91D8F">
              <w:rPr>
                <w:color w:val="000000"/>
              </w:rPr>
              <w:t>272</w:t>
            </w:r>
          </w:p>
        </w:tc>
        <w:tc>
          <w:tcPr>
            <w:tcW w:w="1950" w:type="dxa"/>
            <w:vAlign w:val="center"/>
          </w:tcPr>
          <w:p w14:paraId="00E1BF22" w14:textId="77777777" w:rsidR="004B2BB7" w:rsidRPr="00954B78" w:rsidRDefault="000F5B51" w:rsidP="00A807D0">
            <w:pPr>
              <w:spacing w:after="0" w:line="240" w:lineRule="auto"/>
              <w:jc w:val="center"/>
              <w:rPr>
                <w:rFonts w:eastAsia="Times New Roman" w:cs="Times New Roman"/>
                <w:b/>
                <w:bCs/>
                <w:color w:val="000000"/>
                <w:szCs w:val="24"/>
              </w:rPr>
            </w:pPr>
            <w:r>
              <w:rPr>
                <w:rFonts w:eastAsia="Times New Roman" w:cs="Times New Roman"/>
                <w:b/>
                <w:bCs/>
                <w:color w:val="000000"/>
                <w:szCs w:val="24"/>
              </w:rPr>
              <w:t>37</w:t>
            </w:r>
            <w:r w:rsidR="00CB44A6">
              <w:rPr>
                <w:rFonts w:eastAsia="Times New Roman" w:cs="Times New Roman"/>
                <w:b/>
                <w:bCs/>
                <w:color w:val="000000"/>
                <w:szCs w:val="24"/>
              </w:rPr>
              <w:t>5</w:t>
            </w:r>
          </w:p>
        </w:tc>
        <w:tc>
          <w:tcPr>
            <w:tcW w:w="1950" w:type="dxa"/>
            <w:vAlign w:val="center"/>
          </w:tcPr>
          <w:p w14:paraId="6F6E30EC" w14:textId="77777777" w:rsidR="004B2BB7" w:rsidRPr="00954B78" w:rsidRDefault="000F5B51" w:rsidP="00A807D0">
            <w:pPr>
              <w:spacing w:after="0" w:line="240" w:lineRule="auto"/>
              <w:jc w:val="center"/>
              <w:rPr>
                <w:rFonts w:eastAsia="Times New Roman" w:cs="Times New Roman"/>
                <w:b/>
                <w:bCs/>
                <w:color w:val="000000"/>
                <w:szCs w:val="24"/>
              </w:rPr>
            </w:pPr>
            <w:r>
              <w:rPr>
                <w:rFonts w:eastAsia="Times New Roman" w:cs="Times New Roman"/>
                <w:b/>
                <w:bCs/>
                <w:color w:val="000000"/>
                <w:szCs w:val="24"/>
              </w:rPr>
              <w:t>6</w:t>
            </w:r>
            <w:r w:rsidR="002307A1">
              <w:rPr>
                <w:rFonts w:eastAsia="Times New Roman" w:cs="Times New Roman"/>
                <w:b/>
                <w:bCs/>
                <w:color w:val="000000"/>
                <w:szCs w:val="24"/>
              </w:rPr>
              <w:t>8</w:t>
            </w:r>
          </w:p>
        </w:tc>
      </w:tr>
      <w:tr w:rsidR="00A15C2C" w14:paraId="7EB93793" w14:textId="77777777" w:rsidTr="00A807D0">
        <w:trPr>
          <w:trHeight w:val="310"/>
          <w:jc w:val="center"/>
        </w:trPr>
        <w:tc>
          <w:tcPr>
            <w:tcW w:w="15136" w:type="dxa"/>
            <w:gridSpan w:val="8"/>
            <w:shd w:val="clear" w:color="auto" w:fill="D9D9D9" w:themeFill="background1" w:themeFillShade="D9"/>
            <w:noWrap/>
            <w:vAlign w:val="bottom"/>
          </w:tcPr>
          <w:p w14:paraId="4FC975CE" w14:textId="77777777" w:rsidR="004B2BB7" w:rsidRPr="000B32DD" w:rsidRDefault="000F5B51" w:rsidP="00A807D0">
            <w:pPr>
              <w:spacing w:after="0" w:line="240" w:lineRule="auto"/>
              <w:jc w:val="center"/>
              <w:rPr>
                <w:b/>
                <w:bCs/>
                <w:i/>
                <w:iCs/>
                <w:color w:val="000000"/>
              </w:rPr>
            </w:pPr>
            <w:r>
              <w:rPr>
                <w:b/>
                <w:bCs/>
                <w:i/>
                <w:iCs/>
                <w:color w:val="000000"/>
              </w:rPr>
              <w:t>Light Trucks</w:t>
            </w:r>
          </w:p>
        </w:tc>
      </w:tr>
      <w:tr w:rsidR="00A15C2C" w14:paraId="434FB4EE" w14:textId="77777777" w:rsidTr="00A807D0">
        <w:trPr>
          <w:trHeight w:val="310"/>
          <w:jc w:val="center"/>
        </w:trPr>
        <w:tc>
          <w:tcPr>
            <w:tcW w:w="1488" w:type="dxa"/>
            <w:shd w:val="clear" w:color="auto" w:fill="auto"/>
            <w:noWrap/>
            <w:vAlign w:val="bottom"/>
            <w:hideMark/>
          </w:tcPr>
          <w:p w14:paraId="2295F725" w14:textId="77777777" w:rsidR="002307A1" w:rsidRPr="00954B78" w:rsidRDefault="000F5B51" w:rsidP="002307A1">
            <w:pPr>
              <w:spacing w:after="0" w:line="240" w:lineRule="auto"/>
              <w:rPr>
                <w:rFonts w:eastAsia="Times New Roman" w:cs="Times New Roman"/>
                <w:color w:val="000000"/>
                <w:szCs w:val="24"/>
              </w:rPr>
            </w:pPr>
            <w:r>
              <w:rPr>
                <w:rFonts w:eastAsia="Times New Roman" w:cs="Times New Roman"/>
                <w:color w:val="000000"/>
                <w:szCs w:val="24"/>
              </w:rPr>
              <w:t>MAIS 1</w:t>
            </w:r>
          </w:p>
        </w:tc>
        <w:tc>
          <w:tcPr>
            <w:tcW w:w="1949" w:type="dxa"/>
            <w:vAlign w:val="center"/>
          </w:tcPr>
          <w:p w14:paraId="6E36F9EA" w14:textId="77777777" w:rsidR="002307A1" w:rsidRPr="00954B78" w:rsidRDefault="000F5B51" w:rsidP="002307A1">
            <w:pPr>
              <w:spacing w:after="0" w:line="240" w:lineRule="auto"/>
              <w:jc w:val="center"/>
              <w:rPr>
                <w:rFonts w:cs="Times New Roman"/>
                <w:color w:val="000000"/>
                <w:szCs w:val="24"/>
              </w:rPr>
            </w:pPr>
            <w:r>
              <w:rPr>
                <w:color w:val="000000"/>
              </w:rPr>
              <w:t>5,963</w:t>
            </w:r>
          </w:p>
        </w:tc>
        <w:tc>
          <w:tcPr>
            <w:tcW w:w="1950" w:type="dxa"/>
            <w:shd w:val="clear" w:color="auto" w:fill="auto"/>
            <w:noWrap/>
            <w:vAlign w:val="center"/>
          </w:tcPr>
          <w:p w14:paraId="4E1E7E0B" w14:textId="77777777" w:rsidR="002307A1" w:rsidRPr="00954B78" w:rsidRDefault="000F5B51" w:rsidP="002307A1">
            <w:pPr>
              <w:spacing w:after="0" w:line="240" w:lineRule="auto"/>
              <w:jc w:val="center"/>
              <w:rPr>
                <w:rFonts w:eastAsia="Times New Roman" w:cs="Times New Roman"/>
                <w:color w:val="000000"/>
                <w:szCs w:val="24"/>
              </w:rPr>
            </w:pPr>
            <w:r>
              <w:rPr>
                <w:color w:val="000000"/>
              </w:rPr>
              <w:t>0.055</w:t>
            </w:r>
          </w:p>
        </w:tc>
        <w:tc>
          <w:tcPr>
            <w:tcW w:w="1950" w:type="dxa"/>
            <w:shd w:val="clear" w:color="auto" w:fill="auto"/>
            <w:noWrap/>
            <w:vAlign w:val="center"/>
          </w:tcPr>
          <w:p w14:paraId="02D6458A" w14:textId="77777777" w:rsidR="002307A1" w:rsidRPr="00954B78" w:rsidRDefault="000F5B51" w:rsidP="002307A1">
            <w:pPr>
              <w:spacing w:after="0" w:line="240" w:lineRule="auto"/>
              <w:jc w:val="center"/>
              <w:rPr>
                <w:rFonts w:eastAsia="Times New Roman" w:cs="Times New Roman"/>
                <w:color w:val="000000"/>
                <w:szCs w:val="24"/>
              </w:rPr>
            </w:pPr>
            <w:r>
              <w:rPr>
                <w:color w:val="000000"/>
              </w:rPr>
              <w:t>0.7512</w:t>
            </w:r>
          </w:p>
        </w:tc>
        <w:tc>
          <w:tcPr>
            <w:tcW w:w="1949" w:type="dxa"/>
            <w:shd w:val="clear" w:color="auto" w:fill="auto"/>
            <w:noWrap/>
            <w:vAlign w:val="center"/>
          </w:tcPr>
          <w:p w14:paraId="713674EE" w14:textId="77777777" w:rsidR="002307A1" w:rsidRPr="00954B78" w:rsidRDefault="000F5B51" w:rsidP="002307A1">
            <w:pPr>
              <w:spacing w:after="0" w:line="240" w:lineRule="auto"/>
              <w:jc w:val="center"/>
              <w:rPr>
                <w:rFonts w:eastAsia="Times New Roman" w:cs="Times New Roman"/>
                <w:color w:val="000000"/>
                <w:szCs w:val="24"/>
              </w:rPr>
            </w:pPr>
            <w:r>
              <w:rPr>
                <w:color w:val="000000"/>
              </w:rPr>
              <w:t>246</w:t>
            </w:r>
          </w:p>
        </w:tc>
        <w:tc>
          <w:tcPr>
            <w:tcW w:w="1950" w:type="dxa"/>
            <w:vAlign w:val="center"/>
          </w:tcPr>
          <w:p w14:paraId="5130B856" w14:textId="77777777" w:rsidR="002307A1" w:rsidRPr="00954B78" w:rsidRDefault="000F5B51" w:rsidP="002307A1">
            <w:pPr>
              <w:spacing w:after="0" w:line="240" w:lineRule="auto"/>
              <w:jc w:val="center"/>
              <w:rPr>
                <w:rFonts w:eastAsia="Times New Roman" w:cs="Times New Roman"/>
                <w:color w:val="000000"/>
                <w:szCs w:val="24"/>
              </w:rPr>
            </w:pPr>
            <w:r>
              <w:rPr>
                <w:color w:val="000000"/>
              </w:rPr>
              <w:t>0.8612</w:t>
            </w:r>
          </w:p>
        </w:tc>
        <w:tc>
          <w:tcPr>
            <w:tcW w:w="1950" w:type="dxa"/>
            <w:vAlign w:val="center"/>
          </w:tcPr>
          <w:p w14:paraId="551C9EF9" w14:textId="77777777" w:rsidR="002307A1" w:rsidRPr="00954B78" w:rsidRDefault="000F5B51" w:rsidP="002307A1">
            <w:pPr>
              <w:spacing w:after="0" w:line="240" w:lineRule="auto"/>
              <w:jc w:val="center"/>
              <w:rPr>
                <w:rFonts w:eastAsia="Times New Roman" w:cs="Times New Roman"/>
                <w:color w:val="000000"/>
                <w:szCs w:val="24"/>
              </w:rPr>
            </w:pPr>
            <w:r>
              <w:rPr>
                <w:color w:val="000000"/>
              </w:rPr>
              <w:t>282</w:t>
            </w:r>
          </w:p>
        </w:tc>
        <w:tc>
          <w:tcPr>
            <w:tcW w:w="1950" w:type="dxa"/>
            <w:vAlign w:val="center"/>
          </w:tcPr>
          <w:p w14:paraId="460B873B" w14:textId="77777777" w:rsidR="002307A1" w:rsidRPr="00954B78" w:rsidRDefault="000F5B51" w:rsidP="002307A1">
            <w:pPr>
              <w:spacing w:after="0" w:line="240" w:lineRule="auto"/>
              <w:jc w:val="center"/>
              <w:rPr>
                <w:rFonts w:eastAsia="Times New Roman" w:cs="Times New Roman"/>
                <w:color w:val="000000"/>
                <w:szCs w:val="24"/>
              </w:rPr>
            </w:pPr>
            <w:r>
              <w:rPr>
                <w:color w:val="000000"/>
              </w:rPr>
              <w:t>36</w:t>
            </w:r>
          </w:p>
        </w:tc>
      </w:tr>
      <w:tr w:rsidR="00A15C2C" w14:paraId="0B34A346" w14:textId="77777777" w:rsidTr="0021691D">
        <w:trPr>
          <w:trHeight w:val="310"/>
          <w:jc w:val="center"/>
        </w:trPr>
        <w:tc>
          <w:tcPr>
            <w:tcW w:w="1488" w:type="dxa"/>
            <w:shd w:val="clear" w:color="auto" w:fill="auto"/>
            <w:noWrap/>
            <w:hideMark/>
          </w:tcPr>
          <w:p w14:paraId="63DCE7C6" w14:textId="77777777" w:rsidR="002307A1" w:rsidRPr="00954B78" w:rsidRDefault="000F5B51" w:rsidP="002307A1">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2</w:t>
            </w:r>
          </w:p>
        </w:tc>
        <w:tc>
          <w:tcPr>
            <w:tcW w:w="1949" w:type="dxa"/>
            <w:vAlign w:val="center"/>
          </w:tcPr>
          <w:p w14:paraId="2CB4848D" w14:textId="77777777" w:rsidR="002307A1" w:rsidRPr="00954B78" w:rsidRDefault="000F5B51" w:rsidP="002307A1">
            <w:pPr>
              <w:spacing w:after="0" w:line="240" w:lineRule="auto"/>
              <w:jc w:val="center"/>
              <w:rPr>
                <w:rFonts w:cs="Times New Roman"/>
                <w:color w:val="000000"/>
                <w:szCs w:val="24"/>
              </w:rPr>
            </w:pPr>
            <w:r>
              <w:rPr>
                <w:color w:val="000000"/>
              </w:rPr>
              <w:t>1,363</w:t>
            </w:r>
          </w:p>
        </w:tc>
        <w:tc>
          <w:tcPr>
            <w:tcW w:w="1950" w:type="dxa"/>
            <w:shd w:val="clear" w:color="auto" w:fill="auto"/>
            <w:noWrap/>
            <w:vAlign w:val="center"/>
          </w:tcPr>
          <w:p w14:paraId="244DE519" w14:textId="77777777" w:rsidR="002307A1" w:rsidRPr="00954B78" w:rsidRDefault="000F5B51" w:rsidP="002307A1">
            <w:pPr>
              <w:spacing w:after="0" w:line="240" w:lineRule="auto"/>
              <w:jc w:val="center"/>
              <w:rPr>
                <w:rFonts w:eastAsia="Times New Roman" w:cs="Times New Roman"/>
                <w:color w:val="000000"/>
                <w:szCs w:val="24"/>
              </w:rPr>
            </w:pPr>
            <w:r>
              <w:rPr>
                <w:color w:val="000000"/>
              </w:rPr>
              <w:t>0.5068</w:t>
            </w:r>
          </w:p>
        </w:tc>
        <w:tc>
          <w:tcPr>
            <w:tcW w:w="1950" w:type="dxa"/>
            <w:shd w:val="clear" w:color="auto" w:fill="auto"/>
            <w:noWrap/>
            <w:vAlign w:val="center"/>
          </w:tcPr>
          <w:p w14:paraId="5B5ABBAF" w14:textId="77777777" w:rsidR="002307A1" w:rsidRPr="00954B78" w:rsidRDefault="000F5B51" w:rsidP="002307A1">
            <w:pPr>
              <w:spacing w:after="0" w:line="240" w:lineRule="auto"/>
              <w:jc w:val="center"/>
              <w:rPr>
                <w:rFonts w:eastAsia="Times New Roman" w:cs="Times New Roman"/>
                <w:color w:val="000000"/>
                <w:szCs w:val="24"/>
              </w:rPr>
            </w:pPr>
            <w:r>
              <w:rPr>
                <w:color w:val="000000"/>
              </w:rPr>
              <w:t>0.7512</w:t>
            </w:r>
          </w:p>
        </w:tc>
        <w:tc>
          <w:tcPr>
            <w:tcW w:w="1949" w:type="dxa"/>
            <w:shd w:val="clear" w:color="auto" w:fill="auto"/>
            <w:noWrap/>
            <w:vAlign w:val="center"/>
          </w:tcPr>
          <w:p w14:paraId="42DF0CFA" w14:textId="77777777" w:rsidR="002307A1" w:rsidRPr="00954B78" w:rsidRDefault="000F5B51" w:rsidP="002307A1">
            <w:pPr>
              <w:spacing w:after="0" w:line="240" w:lineRule="auto"/>
              <w:jc w:val="center"/>
              <w:rPr>
                <w:rFonts w:eastAsia="Times New Roman" w:cs="Times New Roman"/>
                <w:color w:val="000000"/>
                <w:szCs w:val="24"/>
              </w:rPr>
            </w:pPr>
            <w:r>
              <w:rPr>
                <w:color w:val="000000"/>
              </w:rPr>
              <w:t>519</w:t>
            </w:r>
          </w:p>
        </w:tc>
        <w:tc>
          <w:tcPr>
            <w:tcW w:w="1950" w:type="dxa"/>
          </w:tcPr>
          <w:p w14:paraId="0201BBF3" w14:textId="77777777" w:rsidR="002307A1" w:rsidRPr="00954B78" w:rsidRDefault="000F5B51" w:rsidP="002307A1">
            <w:pPr>
              <w:spacing w:after="0" w:line="240" w:lineRule="auto"/>
              <w:jc w:val="center"/>
              <w:rPr>
                <w:rFonts w:eastAsia="Times New Roman" w:cs="Times New Roman"/>
                <w:color w:val="000000"/>
                <w:szCs w:val="24"/>
              </w:rPr>
            </w:pPr>
            <w:r w:rsidRPr="002D2414">
              <w:rPr>
                <w:color w:val="000000"/>
              </w:rPr>
              <w:t>0.8612</w:t>
            </w:r>
          </w:p>
        </w:tc>
        <w:tc>
          <w:tcPr>
            <w:tcW w:w="1950" w:type="dxa"/>
            <w:vAlign w:val="center"/>
          </w:tcPr>
          <w:p w14:paraId="179406B0" w14:textId="77777777" w:rsidR="002307A1" w:rsidRPr="00954B78" w:rsidRDefault="000F5B51" w:rsidP="002307A1">
            <w:pPr>
              <w:spacing w:after="0" w:line="240" w:lineRule="auto"/>
              <w:jc w:val="center"/>
              <w:rPr>
                <w:rFonts w:eastAsia="Times New Roman" w:cs="Times New Roman"/>
                <w:color w:val="000000"/>
                <w:szCs w:val="24"/>
              </w:rPr>
            </w:pPr>
            <w:r>
              <w:rPr>
                <w:color w:val="000000"/>
              </w:rPr>
              <w:t>594</w:t>
            </w:r>
          </w:p>
        </w:tc>
        <w:tc>
          <w:tcPr>
            <w:tcW w:w="1950" w:type="dxa"/>
            <w:vAlign w:val="center"/>
          </w:tcPr>
          <w:p w14:paraId="24D14444" w14:textId="77777777" w:rsidR="002307A1" w:rsidRPr="00954B78" w:rsidRDefault="000F5B51" w:rsidP="002307A1">
            <w:pPr>
              <w:spacing w:after="0" w:line="240" w:lineRule="auto"/>
              <w:jc w:val="center"/>
              <w:rPr>
                <w:rFonts w:eastAsia="Times New Roman" w:cs="Times New Roman"/>
                <w:color w:val="000000"/>
                <w:szCs w:val="24"/>
              </w:rPr>
            </w:pPr>
            <w:r>
              <w:rPr>
                <w:color w:val="000000"/>
              </w:rPr>
              <w:t>75</w:t>
            </w:r>
          </w:p>
        </w:tc>
      </w:tr>
      <w:tr w:rsidR="00A15C2C" w14:paraId="01C8E9A8" w14:textId="77777777" w:rsidTr="0021691D">
        <w:trPr>
          <w:trHeight w:val="310"/>
          <w:jc w:val="center"/>
        </w:trPr>
        <w:tc>
          <w:tcPr>
            <w:tcW w:w="1488" w:type="dxa"/>
            <w:shd w:val="clear" w:color="auto" w:fill="auto"/>
            <w:noWrap/>
            <w:hideMark/>
          </w:tcPr>
          <w:p w14:paraId="7D685B3D" w14:textId="77777777" w:rsidR="002307A1" w:rsidRPr="00954B78" w:rsidRDefault="000F5B51" w:rsidP="002307A1">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3</w:t>
            </w:r>
          </w:p>
        </w:tc>
        <w:tc>
          <w:tcPr>
            <w:tcW w:w="1949" w:type="dxa"/>
            <w:vAlign w:val="center"/>
          </w:tcPr>
          <w:p w14:paraId="278136D0" w14:textId="77777777" w:rsidR="002307A1" w:rsidRPr="00954B78" w:rsidRDefault="000F5B51" w:rsidP="002307A1">
            <w:pPr>
              <w:spacing w:after="0" w:line="240" w:lineRule="auto"/>
              <w:jc w:val="center"/>
              <w:rPr>
                <w:rFonts w:cs="Times New Roman"/>
                <w:color w:val="000000"/>
                <w:szCs w:val="24"/>
              </w:rPr>
            </w:pPr>
            <w:r>
              <w:rPr>
                <w:color w:val="000000"/>
              </w:rPr>
              <w:t>24</w:t>
            </w:r>
          </w:p>
        </w:tc>
        <w:tc>
          <w:tcPr>
            <w:tcW w:w="1950" w:type="dxa"/>
            <w:shd w:val="clear" w:color="auto" w:fill="auto"/>
            <w:noWrap/>
            <w:vAlign w:val="center"/>
          </w:tcPr>
          <w:p w14:paraId="23208296" w14:textId="77777777" w:rsidR="002307A1" w:rsidRPr="00954B78" w:rsidRDefault="000F5B51" w:rsidP="002307A1">
            <w:pPr>
              <w:spacing w:after="0" w:line="240" w:lineRule="auto"/>
              <w:jc w:val="center"/>
              <w:rPr>
                <w:rFonts w:eastAsia="Times New Roman" w:cs="Times New Roman"/>
                <w:color w:val="000000"/>
                <w:szCs w:val="24"/>
              </w:rPr>
            </w:pPr>
            <w:r>
              <w:rPr>
                <w:color w:val="000000"/>
              </w:rPr>
              <w:t>0.5068</w:t>
            </w:r>
          </w:p>
        </w:tc>
        <w:tc>
          <w:tcPr>
            <w:tcW w:w="1950" w:type="dxa"/>
            <w:shd w:val="clear" w:color="auto" w:fill="auto"/>
            <w:noWrap/>
            <w:vAlign w:val="center"/>
          </w:tcPr>
          <w:p w14:paraId="313E70BC" w14:textId="77777777" w:rsidR="002307A1" w:rsidRPr="00954B78" w:rsidRDefault="000F5B51" w:rsidP="002307A1">
            <w:pPr>
              <w:spacing w:after="0" w:line="240" w:lineRule="auto"/>
              <w:jc w:val="center"/>
              <w:rPr>
                <w:rFonts w:eastAsia="Times New Roman" w:cs="Times New Roman"/>
                <w:color w:val="000000"/>
                <w:szCs w:val="24"/>
              </w:rPr>
            </w:pPr>
            <w:r>
              <w:rPr>
                <w:color w:val="000000"/>
              </w:rPr>
              <w:t>0.7512</w:t>
            </w:r>
          </w:p>
        </w:tc>
        <w:tc>
          <w:tcPr>
            <w:tcW w:w="1949" w:type="dxa"/>
            <w:shd w:val="clear" w:color="auto" w:fill="auto"/>
            <w:noWrap/>
            <w:vAlign w:val="center"/>
          </w:tcPr>
          <w:p w14:paraId="4377B7A2" w14:textId="77777777" w:rsidR="002307A1" w:rsidRPr="00954B78" w:rsidRDefault="000F5B51" w:rsidP="002307A1">
            <w:pPr>
              <w:spacing w:after="0" w:line="240" w:lineRule="auto"/>
              <w:jc w:val="center"/>
              <w:rPr>
                <w:rFonts w:eastAsia="Times New Roman" w:cs="Times New Roman"/>
                <w:color w:val="000000"/>
                <w:szCs w:val="24"/>
              </w:rPr>
            </w:pPr>
            <w:r>
              <w:rPr>
                <w:color w:val="000000"/>
              </w:rPr>
              <w:t>9</w:t>
            </w:r>
          </w:p>
        </w:tc>
        <w:tc>
          <w:tcPr>
            <w:tcW w:w="1950" w:type="dxa"/>
          </w:tcPr>
          <w:p w14:paraId="62CCABCC" w14:textId="77777777" w:rsidR="002307A1" w:rsidRPr="00954B78" w:rsidRDefault="000F5B51" w:rsidP="002307A1">
            <w:pPr>
              <w:spacing w:after="0" w:line="240" w:lineRule="auto"/>
              <w:jc w:val="center"/>
              <w:rPr>
                <w:rFonts w:eastAsia="Times New Roman" w:cs="Times New Roman"/>
                <w:color w:val="000000"/>
                <w:szCs w:val="24"/>
              </w:rPr>
            </w:pPr>
            <w:r w:rsidRPr="002D2414">
              <w:rPr>
                <w:color w:val="000000"/>
              </w:rPr>
              <w:t>0.8612</w:t>
            </w:r>
          </w:p>
        </w:tc>
        <w:tc>
          <w:tcPr>
            <w:tcW w:w="1950" w:type="dxa"/>
            <w:vAlign w:val="center"/>
          </w:tcPr>
          <w:p w14:paraId="60E7AB2A" w14:textId="77777777" w:rsidR="002307A1" w:rsidRPr="00954B78" w:rsidRDefault="000F5B51" w:rsidP="002307A1">
            <w:pPr>
              <w:spacing w:after="0" w:line="240" w:lineRule="auto"/>
              <w:jc w:val="center"/>
              <w:rPr>
                <w:rFonts w:eastAsia="Times New Roman" w:cs="Times New Roman"/>
                <w:color w:val="000000"/>
                <w:szCs w:val="24"/>
              </w:rPr>
            </w:pPr>
            <w:r>
              <w:rPr>
                <w:color w:val="000000"/>
              </w:rPr>
              <w:t>11</w:t>
            </w:r>
          </w:p>
        </w:tc>
        <w:tc>
          <w:tcPr>
            <w:tcW w:w="1950" w:type="dxa"/>
            <w:tcBorders>
              <w:right w:val="single" w:sz="4" w:space="0" w:color="auto"/>
            </w:tcBorders>
            <w:vAlign w:val="center"/>
          </w:tcPr>
          <w:p w14:paraId="329E6657" w14:textId="77777777" w:rsidR="002307A1" w:rsidRPr="00954B78" w:rsidRDefault="000F5B51" w:rsidP="002307A1">
            <w:pPr>
              <w:spacing w:after="0" w:line="240" w:lineRule="auto"/>
              <w:jc w:val="center"/>
              <w:rPr>
                <w:rFonts w:eastAsia="Times New Roman" w:cs="Times New Roman"/>
                <w:color w:val="000000"/>
                <w:szCs w:val="24"/>
              </w:rPr>
            </w:pPr>
            <w:r>
              <w:rPr>
                <w:color w:val="000000"/>
              </w:rPr>
              <w:t>1</w:t>
            </w:r>
          </w:p>
        </w:tc>
      </w:tr>
      <w:tr w:rsidR="00A15C2C" w14:paraId="3C954777" w14:textId="77777777" w:rsidTr="0021691D">
        <w:trPr>
          <w:trHeight w:val="310"/>
          <w:jc w:val="center"/>
        </w:trPr>
        <w:tc>
          <w:tcPr>
            <w:tcW w:w="1488" w:type="dxa"/>
            <w:shd w:val="clear" w:color="auto" w:fill="auto"/>
            <w:noWrap/>
            <w:hideMark/>
          </w:tcPr>
          <w:p w14:paraId="13B8818A" w14:textId="77777777" w:rsidR="002307A1" w:rsidRPr="00954B78" w:rsidRDefault="000F5B51" w:rsidP="002307A1">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4</w:t>
            </w:r>
          </w:p>
        </w:tc>
        <w:tc>
          <w:tcPr>
            <w:tcW w:w="1949" w:type="dxa"/>
            <w:vAlign w:val="center"/>
          </w:tcPr>
          <w:p w14:paraId="284E44C2" w14:textId="77777777" w:rsidR="002307A1" w:rsidRPr="00954B78" w:rsidRDefault="000F5B51" w:rsidP="002307A1">
            <w:pPr>
              <w:spacing w:after="0" w:line="240" w:lineRule="auto"/>
              <w:jc w:val="center"/>
              <w:rPr>
                <w:rFonts w:cs="Times New Roman"/>
                <w:color w:val="000000"/>
                <w:szCs w:val="24"/>
              </w:rPr>
            </w:pPr>
            <w:r>
              <w:rPr>
                <w:color w:val="000000"/>
              </w:rPr>
              <w:t>124</w:t>
            </w:r>
          </w:p>
        </w:tc>
        <w:tc>
          <w:tcPr>
            <w:tcW w:w="1950" w:type="dxa"/>
            <w:shd w:val="clear" w:color="auto" w:fill="auto"/>
            <w:noWrap/>
            <w:vAlign w:val="center"/>
          </w:tcPr>
          <w:p w14:paraId="5DB084BE" w14:textId="77777777" w:rsidR="002307A1" w:rsidRPr="00954B78" w:rsidRDefault="000F5B51" w:rsidP="002307A1">
            <w:pPr>
              <w:spacing w:after="0" w:line="240" w:lineRule="auto"/>
              <w:jc w:val="center"/>
              <w:rPr>
                <w:rFonts w:eastAsia="Times New Roman" w:cs="Times New Roman"/>
                <w:color w:val="000000"/>
                <w:szCs w:val="24"/>
              </w:rPr>
            </w:pPr>
            <w:r>
              <w:rPr>
                <w:color w:val="000000"/>
              </w:rPr>
              <w:t>0.5068</w:t>
            </w:r>
          </w:p>
        </w:tc>
        <w:tc>
          <w:tcPr>
            <w:tcW w:w="1950" w:type="dxa"/>
            <w:shd w:val="clear" w:color="auto" w:fill="auto"/>
            <w:noWrap/>
            <w:vAlign w:val="center"/>
          </w:tcPr>
          <w:p w14:paraId="57E144B0" w14:textId="77777777" w:rsidR="002307A1" w:rsidRPr="00954B78" w:rsidRDefault="000F5B51" w:rsidP="002307A1">
            <w:pPr>
              <w:spacing w:after="0" w:line="240" w:lineRule="auto"/>
              <w:jc w:val="center"/>
              <w:rPr>
                <w:rFonts w:eastAsia="Times New Roman" w:cs="Times New Roman"/>
                <w:color w:val="000000"/>
                <w:szCs w:val="24"/>
              </w:rPr>
            </w:pPr>
            <w:r>
              <w:rPr>
                <w:color w:val="000000"/>
              </w:rPr>
              <w:t>0.7512</w:t>
            </w:r>
          </w:p>
        </w:tc>
        <w:tc>
          <w:tcPr>
            <w:tcW w:w="1949" w:type="dxa"/>
            <w:shd w:val="clear" w:color="auto" w:fill="auto"/>
            <w:noWrap/>
            <w:vAlign w:val="center"/>
          </w:tcPr>
          <w:p w14:paraId="781501B4" w14:textId="77777777" w:rsidR="002307A1" w:rsidRPr="00954B78" w:rsidRDefault="000F5B51" w:rsidP="002307A1">
            <w:pPr>
              <w:spacing w:after="0" w:line="240" w:lineRule="auto"/>
              <w:jc w:val="center"/>
              <w:rPr>
                <w:rFonts w:eastAsia="Times New Roman" w:cs="Times New Roman"/>
                <w:color w:val="000000"/>
                <w:szCs w:val="24"/>
              </w:rPr>
            </w:pPr>
            <w:r>
              <w:rPr>
                <w:color w:val="000000"/>
              </w:rPr>
              <w:t>47</w:t>
            </w:r>
          </w:p>
        </w:tc>
        <w:tc>
          <w:tcPr>
            <w:tcW w:w="1950" w:type="dxa"/>
          </w:tcPr>
          <w:p w14:paraId="58EF5A90" w14:textId="77777777" w:rsidR="002307A1" w:rsidRPr="00954B78" w:rsidRDefault="000F5B51" w:rsidP="002307A1">
            <w:pPr>
              <w:spacing w:after="0" w:line="240" w:lineRule="auto"/>
              <w:jc w:val="center"/>
              <w:rPr>
                <w:rFonts w:eastAsia="Times New Roman" w:cs="Times New Roman"/>
                <w:color w:val="000000"/>
                <w:szCs w:val="24"/>
              </w:rPr>
            </w:pPr>
            <w:r w:rsidRPr="002D2414">
              <w:rPr>
                <w:color w:val="000000"/>
              </w:rPr>
              <w:t>0.8612</w:t>
            </w:r>
          </w:p>
        </w:tc>
        <w:tc>
          <w:tcPr>
            <w:tcW w:w="1950" w:type="dxa"/>
            <w:vAlign w:val="center"/>
          </w:tcPr>
          <w:p w14:paraId="71723009" w14:textId="77777777" w:rsidR="002307A1" w:rsidRPr="00954B78" w:rsidRDefault="000F5B51" w:rsidP="002307A1">
            <w:pPr>
              <w:spacing w:after="0" w:line="240" w:lineRule="auto"/>
              <w:jc w:val="center"/>
              <w:rPr>
                <w:rFonts w:eastAsia="Times New Roman" w:cs="Times New Roman"/>
                <w:color w:val="000000"/>
                <w:szCs w:val="24"/>
              </w:rPr>
            </w:pPr>
            <w:r>
              <w:rPr>
                <w:color w:val="000000"/>
              </w:rPr>
              <w:t>54</w:t>
            </w:r>
          </w:p>
        </w:tc>
        <w:tc>
          <w:tcPr>
            <w:tcW w:w="1950" w:type="dxa"/>
            <w:tcBorders>
              <w:right w:val="single" w:sz="4" w:space="0" w:color="auto"/>
            </w:tcBorders>
            <w:vAlign w:val="center"/>
          </w:tcPr>
          <w:p w14:paraId="44A9AE6C" w14:textId="77777777" w:rsidR="002307A1" w:rsidRPr="00954B78" w:rsidRDefault="000F5B51" w:rsidP="002307A1">
            <w:pPr>
              <w:spacing w:after="0" w:line="240" w:lineRule="auto"/>
              <w:jc w:val="center"/>
              <w:rPr>
                <w:rFonts w:eastAsia="Times New Roman" w:cs="Times New Roman"/>
                <w:color w:val="000000"/>
                <w:szCs w:val="24"/>
              </w:rPr>
            </w:pPr>
            <w:r>
              <w:rPr>
                <w:color w:val="000000"/>
              </w:rPr>
              <w:t>7</w:t>
            </w:r>
          </w:p>
        </w:tc>
      </w:tr>
      <w:tr w:rsidR="00A15C2C" w14:paraId="32D9895A" w14:textId="77777777" w:rsidTr="0021691D">
        <w:trPr>
          <w:trHeight w:val="310"/>
          <w:jc w:val="center"/>
        </w:trPr>
        <w:tc>
          <w:tcPr>
            <w:tcW w:w="1488" w:type="dxa"/>
            <w:shd w:val="clear" w:color="auto" w:fill="auto"/>
            <w:noWrap/>
            <w:hideMark/>
          </w:tcPr>
          <w:p w14:paraId="45E37F17" w14:textId="77777777" w:rsidR="002307A1" w:rsidRPr="00954B78" w:rsidRDefault="000F5B51" w:rsidP="002307A1">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5</w:t>
            </w:r>
          </w:p>
        </w:tc>
        <w:tc>
          <w:tcPr>
            <w:tcW w:w="1949" w:type="dxa"/>
            <w:vAlign w:val="center"/>
          </w:tcPr>
          <w:p w14:paraId="438F6D8C" w14:textId="77777777" w:rsidR="002307A1" w:rsidRPr="00954B78" w:rsidRDefault="000F5B51" w:rsidP="002307A1">
            <w:pPr>
              <w:spacing w:after="0" w:line="240" w:lineRule="auto"/>
              <w:jc w:val="center"/>
              <w:rPr>
                <w:rFonts w:cs="Times New Roman"/>
                <w:color w:val="000000"/>
                <w:szCs w:val="24"/>
              </w:rPr>
            </w:pPr>
            <w:r>
              <w:rPr>
                <w:color w:val="000000"/>
              </w:rPr>
              <w:t>3</w:t>
            </w:r>
          </w:p>
        </w:tc>
        <w:tc>
          <w:tcPr>
            <w:tcW w:w="1950" w:type="dxa"/>
            <w:shd w:val="clear" w:color="auto" w:fill="auto"/>
            <w:noWrap/>
            <w:vAlign w:val="center"/>
          </w:tcPr>
          <w:p w14:paraId="706A65AE" w14:textId="77777777" w:rsidR="002307A1" w:rsidRPr="00954B78" w:rsidRDefault="000F5B51" w:rsidP="002307A1">
            <w:pPr>
              <w:spacing w:after="0" w:line="240" w:lineRule="auto"/>
              <w:jc w:val="center"/>
              <w:rPr>
                <w:rFonts w:eastAsia="Times New Roman" w:cs="Times New Roman"/>
                <w:color w:val="000000"/>
                <w:szCs w:val="24"/>
              </w:rPr>
            </w:pPr>
            <w:r>
              <w:rPr>
                <w:color w:val="000000"/>
              </w:rPr>
              <w:t>0.5068</w:t>
            </w:r>
          </w:p>
        </w:tc>
        <w:tc>
          <w:tcPr>
            <w:tcW w:w="1950" w:type="dxa"/>
            <w:shd w:val="clear" w:color="auto" w:fill="auto"/>
            <w:noWrap/>
            <w:vAlign w:val="center"/>
          </w:tcPr>
          <w:p w14:paraId="3CCBAB8A" w14:textId="77777777" w:rsidR="002307A1" w:rsidRPr="00954B78" w:rsidRDefault="000F5B51" w:rsidP="002307A1">
            <w:pPr>
              <w:spacing w:after="0" w:line="240" w:lineRule="auto"/>
              <w:jc w:val="center"/>
              <w:rPr>
                <w:rFonts w:eastAsia="Times New Roman" w:cs="Times New Roman"/>
                <w:color w:val="000000"/>
                <w:szCs w:val="24"/>
              </w:rPr>
            </w:pPr>
            <w:r>
              <w:rPr>
                <w:color w:val="000000"/>
              </w:rPr>
              <w:t>0.7512</w:t>
            </w:r>
          </w:p>
        </w:tc>
        <w:tc>
          <w:tcPr>
            <w:tcW w:w="1949" w:type="dxa"/>
            <w:shd w:val="clear" w:color="auto" w:fill="auto"/>
            <w:noWrap/>
            <w:vAlign w:val="center"/>
          </w:tcPr>
          <w:p w14:paraId="6C809330" w14:textId="77777777" w:rsidR="002307A1" w:rsidRPr="00954B78" w:rsidRDefault="000F5B51" w:rsidP="002307A1">
            <w:pPr>
              <w:spacing w:after="0" w:line="240" w:lineRule="auto"/>
              <w:jc w:val="center"/>
              <w:rPr>
                <w:rFonts w:eastAsia="Times New Roman" w:cs="Times New Roman"/>
                <w:color w:val="000000"/>
                <w:szCs w:val="24"/>
              </w:rPr>
            </w:pPr>
            <w:r>
              <w:rPr>
                <w:color w:val="000000"/>
              </w:rPr>
              <w:t>1</w:t>
            </w:r>
          </w:p>
        </w:tc>
        <w:tc>
          <w:tcPr>
            <w:tcW w:w="1950" w:type="dxa"/>
          </w:tcPr>
          <w:p w14:paraId="1B9B9246" w14:textId="77777777" w:rsidR="002307A1" w:rsidRPr="00954B78" w:rsidRDefault="000F5B51" w:rsidP="002307A1">
            <w:pPr>
              <w:spacing w:after="0" w:line="240" w:lineRule="auto"/>
              <w:jc w:val="center"/>
              <w:rPr>
                <w:rFonts w:eastAsia="Times New Roman" w:cs="Times New Roman"/>
                <w:color w:val="000000"/>
                <w:szCs w:val="24"/>
              </w:rPr>
            </w:pPr>
            <w:r w:rsidRPr="002D2414">
              <w:rPr>
                <w:color w:val="000000"/>
              </w:rPr>
              <w:t>0.8612</w:t>
            </w:r>
          </w:p>
        </w:tc>
        <w:tc>
          <w:tcPr>
            <w:tcW w:w="1950" w:type="dxa"/>
            <w:vAlign w:val="center"/>
          </w:tcPr>
          <w:p w14:paraId="3A474865" w14:textId="77777777" w:rsidR="002307A1" w:rsidRPr="00954B78" w:rsidRDefault="000F5B51" w:rsidP="002307A1">
            <w:pPr>
              <w:spacing w:after="0" w:line="240" w:lineRule="auto"/>
              <w:jc w:val="center"/>
              <w:rPr>
                <w:rFonts w:eastAsia="Times New Roman" w:cs="Times New Roman"/>
                <w:color w:val="000000"/>
                <w:szCs w:val="24"/>
              </w:rPr>
            </w:pPr>
            <w:r>
              <w:rPr>
                <w:color w:val="000000"/>
              </w:rPr>
              <w:t>1</w:t>
            </w:r>
          </w:p>
        </w:tc>
        <w:tc>
          <w:tcPr>
            <w:tcW w:w="1950" w:type="dxa"/>
            <w:vAlign w:val="center"/>
          </w:tcPr>
          <w:p w14:paraId="5BB110AC" w14:textId="77777777" w:rsidR="002307A1" w:rsidRPr="00954B78" w:rsidRDefault="000F5B51" w:rsidP="002307A1">
            <w:pPr>
              <w:spacing w:after="0" w:line="240" w:lineRule="auto"/>
              <w:jc w:val="center"/>
              <w:rPr>
                <w:rFonts w:eastAsia="Times New Roman" w:cs="Times New Roman"/>
                <w:color w:val="000000"/>
                <w:szCs w:val="24"/>
              </w:rPr>
            </w:pPr>
            <w:r>
              <w:rPr>
                <w:color w:val="000000"/>
              </w:rPr>
              <w:t>0</w:t>
            </w:r>
          </w:p>
        </w:tc>
      </w:tr>
      <w:tr w:rsidR="00A15C2C" w14:paraId="11234895" w14:textId="77777777" w:rsidTr="00A807D0">
        <w:trPr>
          <w:trHeight w:val="310"/>
          <w:jc w:val="center"/>
        </w:trPr>
        <w:tc>
          <w:tcPr>
            <w:tcW w:w="1488" w:type="dxa"/>
            <w:shd w:val="clear" w:color="auto" w:fill="auto"/>
            <w:noWrap/>
            <w:vAlign w:val="bottom"/>
          </w:tcPr>
          <w:p w14:paraId="5E7706A1" w14:textId="77777777" w:rsidR="002307A1" w:rsidRPr="00012598" w:rsidRDefault="000F5B51" w:rsidP="002307A1">
            <w:pPr>
              <w:spacing w:after="0" w:line="240" w:lineRule="auto"/>
              <w:rPr>
                <w:rFonts w:eastAsia="Times New Roman" w:cs="Times New Roman"/>
                <w:b/>
                <w:bCs/>
                <w:color w:val="000000"/>
                <w:sz w:val="23"/>
                <w:szCs w:val="23"/>
              </w:rPr>
            </w:pPr>
            <w:r w:rsidRPr="00012598">
              <w:rPr>
                <w:rFonts w:eastAsia="Times New Roman" w:cs="Times New Roman"/>
                <w:b/>
                <w:bCs/>
                <w:color w:val="000000"/>
                <w:sz w:val="23"/>
                <w:szCs w:val="23"/>
              </w:rPr>
              <w:t xml:space="preserve">Non-Fatal Injuries </w:t>
            </w:r>
          </w:p>
          <w:p w14:paraId="17462C87" w14:textId="77777777" w:rsidR="002307A1" w:rsidRPr="00012598" w:rsidRDefault="000F5B51" w:rsidP="002307A1">
            <w:pPr>
              <w:spacing w:after="0" w:line="240" w:lineRule="auto"/>
              <w:rPr>
                <w:rFonts w:eastAsia="Times New Roman" w:cs="Times New Roman"/>
                <w:b/>
                <w:bCs/>
                <w:color w:val="000000"/>
                <w:sz w:val="23"/>
                <w:szCs w:val="23"/>
              </w:rPr>
            </w:pPr>
            <w:r w:rsidRPr="00012598">
              <w:rPr>
                <w:rFonts w:eastAsia="Times New Roman" w:cs="Times New Roman"/>
                <w:b/>
                <w:bCs/>
                <w:color w:val="000000"/>
                <w:sz w:val="23"/>
                <w:szCs w:val="23"/>
              </w:rPr>
              <w:t>(MAIS 1-5)</w:t>
            </w:r>
          </w:p>
        </w:tc>
        <w:tc>
          <w:tcPr>
            <w:tcW w:w="1949" w:type="dxa"/>
            <w:vAlign w:val="center"/>
          </w:tcPr>
          <w:p w14:paraId="7A26E8F1" w14:textId="77777777" w:rsidR="002307A1" w:rsidRPr="00954B78" w:rsidRDefault="000F5B51" w:rsidP="002307A1">
            <w:pPr>
              <w:spacing w:after="0" w:line="240" w:lineRule="auto"/>
              <w:jc w:val="center"/>
              <w:rPr>
                <w:rFonts w:cs="Times New Roman"/>
                <w:b/>
                <w:bCs/>
                <w:color w:val="000000"/>
                <w:szCs w:val="24"/>
              </w:rPr>
            </w:pPr>
            <w:r>
              <w:rPr>
                <w:color w:val="000000"/>
              </w:rPr>
              <w:t>7,478</w:t>
            </w:r>
          </w:p>
        </w:tc>
        <w:tc>
          <w:tcPr>
            <w:tcW w:w="1950" w:type="dxa"/>
            <w:shd w:val="clear" w:color="auto" w:fill="auto"/>
            <w:noWrap/>
            <w:vAlign w:val="center"/>
          </w:tcPr>
          <w:p w14:paraId="41C364B4" w14:textId="77777777" w:rsidR="002307A1" w:rsidRPr="00954B78" w:rsidRDefault="000F5B51" w:rsidP="002307A1">
            <w:pPr>
              <w:spacing w:after="0" w:line="240" w:lineRule="auto"/>
              <w:jc w:val="center"/>
              <w:rPr>
                <w:rFonts w:cs="Times New Roman"/>
                <w:color w:val="000000"/>
                <w:szCs w:val="24"/>
              </w:rPr>
            </w:pPr>
            <w:r>
              <w:rPr>
                <w:color w:val="000000"/>
              </w:rPr>
              <w:t>-</w:t>
            </w:r>
          </w:p>
        </w:tc>
        <w:tc>
          <w:tcPr>
            <w:tcW w:w="1950" w:type="dxa"/>
            <w:shd w:val="clear" w:color="auto" w:fill="auto"/>
            <w:noWrap/>
            <w:vAlign w:val="center"/>
          </w:tcPr>
          <w:p w14:paraId="7FFB30AB" w14:textId="77777777" w:rsidR="002307A1" w:rsidRPr="00954B78" w:rsidRDefault="000F5B51" w:rsidP="002307A1">
            <w:pPr>
              <w:spacing w:after="0" w:line="240" w:lineRule="auto"/>
              <w:jc w:val="center"/>
              <w:rPr>
                <w:rFonts w:cs="Times New Roman"/>
                <w:color w:val="000000"/>
                <w:szCs w:val="24"/>
              </w:rPr>
            </w:pPr>
            <w:r>
              <w:rPr>
                <w:color w:val="000000"/>
              </w:rPr>
              <w:t>0.7512</w:t>
            </w:r>
          </w:p>
        </w:tc>
        <w:tc>
          <w:tcPr>
            <w:tcW w:w="1949" w:type="dxa"/>
            <w:shd w:val="clear" w:color="auto" w:fill="auto"/>
            <w:noWrap/>
            <w:vAlign w:val="center"/>
          </w:tcPr>
          <w:p w14:paraId="628703CF" w14:textId="77777777" w:rsidR="002307A1" w:rsidRPr="00DA0C97" w:rsidRDefault="000F5B51" w:rsidP="002307A1">
            <w:pPr>
              <w:spacing w:after="0" w:line="240" w:lineRule="auto"/>
              <w:jc w:val="center"/>
              <w:rPr>
                <w:rFonts w:cs="Times New Roman"/>
                <w:b/>
                <w:bCs/>
                <w:color w:val="000000"/>
                <w:szCs w:val="24"/>
              </w:rPr>
            </w:pPr>
            <w:r>
              <w:rPr>
                <w:color w:val="000000"/>
              </w:rPr>
              <w:t>822</w:t>
            </w:r>
          </w:p>
        </w:tc>
        <w:tc>
          <w:tcPr>
            <w:tcW w:w="1950" w:type="dxa"/>
            <w:vAlign w:val="center"/>
          </w:tcPr>
          <w:p w14:paraId="70AA076B" w14:textId="77777777" w:rsidR="002307A1" w:rsidRPr="00DA0C97" w:rsidRDefault="000F5B51" w:rsidP="002307A1">
            <w:pPr>
              <w:spacing w:after="0" w:line="240" w:lineRule="auto"/>
              <w:jc w:val="center"/>
              <w:rPr>
                <w:rFonts w:cs="Times New Roman"/>
                <w:b/>
                <w:bCs/>
                <w:color w:val="000000"/>
                <w:szCs w:val="24"/>
              </w:rPr>
            </w:pPr>
            <w:r>
              <w:rPr>
                <w:color w:val="000000"/>
              </w:rPr>
              <w:t> -</w:t>
            </w:r>
          </w:p>
        </w:tc>
        <w:tc>
          <w:tcPr>
            <w:tcW w:w="1950" w:type="dxa"/>
            <w:vAlign w:val="center"/>
          </w:tcPr>
          <w:p w14:paraId="45EB914D" w14:textId="77777777" w:rsidR="002307A1" w:rsidRPr="00DA0C97" w:rsidRDefault="000F5B51" w:rsidP="002307A1">
            <w:pPr>
              <w:spacing w:after="0" w:line="240" w:lineRule="auto"/>
              <w:jc w:val="center"/>
              <w:rPr>
                <w:rFonts w:cs="Times New Roman"/>
                <w:b/>
                <w:bCs/>
                <w:color w:val="000000"/>
                <w:szCs w:val="24"/>
              </w:rPr>
            </w:pPr>
            <w:r>
              <w:rPr>
                <w:color w:val="000000"/>
              </w:rPr>
              <w:t>942</w:t>
            </w:r>
          </w:p>
        </w:tc>
        <w:tc>
          <w:tcPr>
            <w:tcW w:w="1950" w:type="dxa"/>
            <w:vAlign w:val="center"/>
          </w:tcPr>
          <w:p w14:paraId="79321382" w14:textId="77777777" w:rsidR="002307A1" w:rsidRPr="00DA0C97" w:rsidRDefault="000F5B51" w:rsidP="002307A1">
            <w:pPr>
              <w:spacing w:after="0" w:line="240" w:lineRule="auto"/>
              <w:jc w:val="center"/>
              <w:rPr>
                <w:rFonts w:cs="Times New Roman"/>
                <w:b/>
                <w:bCs/>
                <w:color w:val="000000"/>
                <w:szCs w:val="24"/>
              </w:rPr>
            </w:pPr>
            <w:r>
              <w:rPr>
                <w:color w:val="000000"/>
              </w:rPr>
              <w:t>120</w:t>
            </w:r>
          </w:p>
        </w:tc>
      </w:tr>
      <w:tr w:rsidR="00A15C2C" w14:paraId="7793EFF6" w14:textId="77777777" w:rsidTr="00A807D0">
        <w:trPr>
          <w:trHeight w:val="310"/>
          <w:jc w:val="center"/>
        </w:trPr>
        <w:tc>
          <w:tcPr>
            <w:tcW w:w="1488" w:type="dxa"/>
            <w:shd w:val="clear" w:color="auto" w:fill="auto"/>
            <w:noWrap/>
            <w:vAlign w:val="bottom"/>
            <w:hideMark/>
          </w:tcPr>
          <w:p w14:paraId="11A43467" w14:textId="77777777" w:rsidR="00B91D8F" w:rsidRPr="00012598" w:rsidRDefault="000F5B51" w:rsidP="00B91D8F">
            <w:pPr>
              <w:spacing w:after="0" w:line="240" w:lineRule="auto"/>
              <w:rPr>
                <w:rFonts w:eastAsia="Times New Roman" w:cs="Times New Roman"/>
                <w:b/>
                <w:bCs/>
                <w:color w:val="000000"/>
                <w:szCs w:val="24"/>
              </w:rPr>
            </w:pPr>
            <w:r w:rsidRPr="00012598">
              <w:rPr>
                <w:rFonts w:eastAsia="Times New Roman" w:cs="Times New Roman"/>
                <w:b/>
                <w:bCs/>
                <w:color w:val="000000"/>
                <w:szCs w:val="24"/>
              </w:rPr>
              <w:t>Fatality</w:t>
            </w:r>
          </w:p>
        </w:tc>
        <w:tc>
          <w:tcPr>
            <w:tcW w:w="1949" w:type="dxa"/>
            <w:vAlign w:val="center"/>
          </w:tcPr>
          <w:p w14:paraId="637B16B4" w14:textId="77777777" w:rsidR="00B91D8F" w:rsidRPr="00954B78" w:rsidRDefault="000F5B51" w:rsidP="00B91D8F">
            <w:pPr>
              <w:spacing w:after="0" w:line="240" w:lineRule="auto"/>
              <w:jc w:val="center"/>
              <w:rPr>
                <w:rFonts w:cs="Times New Roman"/>
                <w:b/>
                <w:bCs/>
                <w:color w:val="000000"/>
                <w:szCs w:val="24"/>
              </w:rPr>
            </w:pPr>
            <w:r>
              <w:rPr>
                <w:color w:val="000000"/>
              </w:rPr>
              <w:t>720</w:t>
            </w:r>
          </w:p>
        </w:tc>
        <w:tc>
          <w:tcPr>
            <w:tcW w:w="1950" w:type="dxa"/>
            <w:shd w:val="clear" w:color="auto" w:fill="auto"/>
            <w:noWrap/>
            <w:vAlign w:val="center"/>
          </w:tcPr>
          <w:p w14:paraId="0422D594" w14:textId="77777777" w:rsidR="00B91D8F" w:rsidRPr="00954B78" w:rsidRDefault="000F5B51" w:rsidP="00B91D8F">
            <w:pPr>
              <w:spacing w:after="0" w:line="240" w:lineRule="auto"/>
              <w:jc w:val="center"/>
              <w:rPr>
                <w:rFonts w:eastAsia="Times New Roman" w:cs="Times New Roman"/>
                <w:b/>
                <w:bCs/>
                <w:color w:val="000000"/>
                <w:szCs w:val="24"/>
              </w:rPr>
            </w:pPr>
            <w:r>
              <w:rPr>
                <w:b/>
                <w:bCs/>
                <w:color w:val="000000"/>
              </w:rPr>
              <w:t>0.74</w:t>
            </w:r>
          </w:p>
        </w:tc>
        <w:tc>
          <w:tcPr>
            <w:tcW w:w="1950" w:type="dxa"/>
            <w:shd w:val="clear" w:color="auto" w:fill="auto"/>
            <w:noWrap/>
            <w:vAlign w:val="center"/>
          </w:tcPr>
          <w:p w14:paraId="47684E9B" w14:textId="77777777" w:rsidR="00B91D8F" w:rsidRPr="00954B78" w:rsidRDefault="000F5B51" w:rsidP="00B91D8F">
            <w:pPr>
              <w:spacing w:after="0" w:line="240" w:lineRule="auto"/>
              <w:jc w:val="center"/>
              <w:rPr>
                <w:rFonts w:eastAsia="Times New Roman" w:cs="Times New Roman"/>
                <w:b/>
                <w:bCs/>
                <w:color w:val="000000"/>
                <w:szCs w:val="24"/>
              </w:rPr>
            </w:pPr>
            <w:r>
              <w:rPr>
                <w:b/>
                <w:bCs/>
                <w:color w:val="000000"/>
              </w:rPr>
              <w:t>0.5953</w:t>
            </w:r>
          </w:p>
        </w:tc>
        <w:tc>
          <w:tcPr>
            <w:tcW w:w="1949" w:type="dxa"/>
            <w:shd w:val="clear" w:color="auto" w:fill="auto"/>
            <w:noWrap/>
            <w:vAlign w:val="center"/>
          </w:tcPr>
          <w:p w14:paraId="079C60DC" w14:textId="77777777" w:rsidR="00B91D8F" w:rsidRPr="00BE01CB" w:rsidRDefault="000F5B51" w:rsidP="00B91D8F">
            <w:pPr>
              <w:spacing w:after="0" w:line="240" w:lineRule="auto"/>
              <w:jc w:val="center"/>
              <w:rPr>
                <w:rFonts w:eastAsia="Times New Roman" w:cs="Times New Roman"/>
                <w:b/>
                <w:color w:val="000000"/>
                <w:szCs w:val="24"/>
              </w:rPr>
            </w:pPr>
            <w:r>
              <w:rPr>
                <w:color w:val="000000"/>
              </w:rPr>
              <w:t>317</w:t>
            </w:r>
          </w:p>
        </w:tc>
        <w:tc>
          <w:tcPr>
            <w:tcW w:w="1950" w:type="dxa"/>
            <w:vAlign w:val="center"/>
          </w:tcPr>
          <w:p w14:paraId="153C9584" w14:textId="77777777" w:rsidR="00B91D8F" w:rsidRPr="00BE01CB" w:rsidRDefault="000F5B51" w:rsidP="00B91D8F">
            <w:pPr>
              <w:spacing w:after="0" w:line="240" w:lineRule="auto"/>
              <w:jc w:val="center"/>
              <w:rPr>
                <w:b/>
                <w:color w:val="000000"/>
              </w:rPr>
            </w:pPr>
            <w:r>
              <w:rPr>
                <w:color w:val="000000"/>
              </w:rPr>
              <w:t> 0.7272</w:t>
            </w:r>
          </w:p>
        </w:tc>
        <w:tc>
          <w:tcPr>
            <w:tcW w:w="1950" w:type="dxa"/>
            <w:vAlign w:val="center"/>
          </w:tcPr>
          <w:p w14:paraId="5040A844" w14:textId="77777777" w:rsidR="00B91D8F" w:rsidRPr="00BE01CB" w:rsidRDefault="000F5B51" w:rsidP="00B91D8F">
            <w:pPr>
              <w:spacing w:after="0" w:line="240" w:lineRule="auto"/>
              <w:jc w:val="center"/>
              <w:rPr>
                <w:rFonts w:eastAsia="Times New Roman" w:cs="Times New Roman"/>
                <w:b/>
                <w:color w:val="000000"/>
                <w:szCs w:val="24"/>
              </w:rPr>
            </w:pPr>
            <w:r>
              <w:rPr>
                <w:rFonts w:eastAsia="Times New Roman" w:cs="Times New Roman"/>
                <w:b/>
                <w:color w:val="000000"/>
                <w:szCs w:val="24"/>
              </w:rPr>
              <w:t>38</w:t>
            </w:r>
            <w:r w:rsidR="00CB44A6">
              <w:rPr>
                <w:rFonts w:eastAsia="Times New Roman" w:cs="Times New Roman"/>
                <w:b/>
                <w:color w:val="000000"/>
                <w:szCs w:val="24"/>
              </w:rPr>
              <w:t>8</w:t>
            </w:r>
          </w:p>
        </w:tc>
        <w:tc>
          <w:tcPr>
            <w:tcW w:w="1950" w:type="dxa"/>
            <w:vAlign w:val="center"/>
          </w:tcPr>
          <w:p w14:paraId="5B842533" w14:textId="77777777" w:rsidR="00B91D8F" w:rsidRPr="00BE01CB" w:rsidRDefault="000F5B51" w:rsidP="00B91D8F">
            <w:pPr>
              <w:spacing w:after="0" w:line="240" w:lineRule="auto"/>
              <w:jc w:val="center"/>
              <w:rPr>
                <w:rFonts w:eastAsia="Times New Roman" w:cs="Times New Roman"/>
                <w:b/>
                <w:color w:val="000000"/>
                <w:szCs w:val="24"/>
              </w:rPr>
            </w:pPr>
            <w:r>
              <w:rPr>
                <w:rFonts w:eastAsia="Times New Roman" w:cs="Times New Roman"/>
                <w:b/>
                <w:color w:val="000000"/>
                <w:szCs w:val="24"/>
              </w:rPr>
              <w:t>7</w:t>
            </w:r>
            <w:r w:rsidR="002307A1">
              <w:rPr>
                <w:rFonts w:eastAsia="Times New Roman" w:cs="Times New Roman"/>
                <w:b/>
                <w:color w:val="000000"/>
                <w:szCs w:val="24"/>
              </w:rPr>
              <w:t>0</w:t>
            </w:r>
          </w:p>
        </w:tc>
      </w:tr>
    </w:tbl>
    <w:p w14:paraId="0169B9CA" w14:textId="77777777" w:rsidR="004B2BB7" w:rsidRDefault="000F5B51" w:rsidP="004B2BB7">
      <w:pPr>
        <w:rPr>
          <w:rFonts w:eastAsia="Times New Roman" w:cs="Times New Roman"/>
          <w:szCs w:val="24"/>
        </w:rPr>
      </w:pPr>
      <w:r w:rsidRPr="00934F2C">
        <w:rPr>
          <w:sz w:val="18"/>
          <w:szCs w:val="18"/>
        </w:rPr>
        <w:t>Note: Values may not sum due to rounding. Totals are rounded to the nearest whole number for presentation purposes</w:t>
      </w:r>
    </w:p>
    <w:p w14:paraId="500932F4" w14:textId="77777777" w:rsidR="004B2BB7" w:rsidRDefault="004B2BB7" w:rsidP="004B2BB7">
      <w:pPr>
        <w:spacing w:after="0"/>
        <w:contextualSpacing/>
        <w:rPr>
          <w:rFonts w:eastAsia="Times New Roman" w:cs="Times New Roman"/>
          <w:szCs w:val="24"/>
        </w:rPr>
        <w:sectPr w:rsidR="004B2BB7" w:rsidSect="00446501">
          <w:pgSz w:w="15840" w:h="12240" w:orient="landscape" w:code="1"/>
          <w:pgMar w:top="1440" w:right="1440" w:bottom="1440" w:left="1440" w:header="720" w:footer="720" w:gutter="0"/>
          <w:cols w:space="720"/>
          <w:docGrid w:linePitch="360"/>
        </w:sectPr>
      </w:pPr>
    </w:p>
    <w:p w14:paraId="0BF499CE" w14:textId="5339AB31" w:rsidR="004B2BB7" w:rsidRDefault="000F5B51" w:rsidP="004B2BB7">
      <w:pPr>
        <w:pStyle w:val="Caption"/>
        <w:spacing w:line="480" w:lineRule="auto"/>
        <w:jc w:val="left"/>
      </w:pPr>
      <w:r>
        <w:lastRenderedPageBreak/>
        <w:fldChar w:fldCharType="begin"/>
      </w:r>
      <w:r>
        <w:instrText xml:space="preserve"> REF _Ref127368868 \h </w:instrText>
      </w:r>
      <w:r>
        <w:fldChar w:fldCharType="separate"/>
      </w:r>
      <w:r w:rsidR="00A65CB3">
        <w:t xml:space="preserve">Table </w:t>
      </w:r>
      <w:r w:rsidR="00A65CB3">
        <w:rPr>
          <w:noProof/>
        </w:rPr>
        <w:t>80</w:t>
      </w:r>
      <w:r>
        <w:fldChar w:fldCharType="end"/>
      </w:r>
      <w:r>
        <w:t xml:space="preserve"> </w:t>
      </w:r>
      <w:r w:rsidRPr="00174C80">
        <w:t>presents a summary of the incremental benefits under the proposed rule, as well as those in this sensitivity analysis for rear seat occupants age 11 years and older</w:t>
      </w:r>
      <w:r w:rsidR="001F2F92">
        <w:t xml:space="preserve">. </w:t>
      </w:r>
      <w:r w:rsidR="00576881">
        <w:t xml:space="preserve">In the case that </w:t>
      </w:r>
      <w:r w:rsidR="009C1473">
        <w:t xml:space="preserve">seat belt use for rear seat occupants </w:t>
      </w:r>
      <w:r w:rsidR="00177E2A">
        <w:t>11 years and older increased to match that of front seat occupants, a total of 138 fatalities and 438 non-fatal injuries would be prevented annually.</w:t>
      </w:r>
      <w:r w:rsidR="00BC7222">
        <w:t xml:space="preserve"> Relative to those estimated in the main analysis, incremental benefits in this sensitivity anal</w:t>
      </w:r>
      <w:r w:rsidR="00413A63">
        <w:t>ysis are</w:t>
      </w:r>
      <w:r w:rsidR="00BF08C8">
        <w:t xml:space="preserve"> approximately</w:t>
      </w:r>
      <w:r w:rsidR="00413A63">
        <w:t xml:space="preserve"> </w:t>
      </w:r>
      <w:r w:rsidR="0060001A">
        <w:t>four</w:t>
      </w:r>
      <w:r w:rsidR="00BF08C8">
        <w:t xml:space="preserve"> to 5.9 times greater for fatalities prevented and</w:t>
      </w:r>
      <w:r w:rsidR="00E55920">
        <w:t xml:space="preserve"> a</w:t>
      </w:r>
      <w:r w:rsidR="00413A63">
        <w:t>pproximately 4.2 to 6.3 times greater for non-fatal injuries</w:t>
      </w:r>
      <w:r w:rsidR="00E55920">
        <w:t xml:space="preserve"> prevented.</w:t>
      </w:r>
    </w:p>
    <w:p w14:paraId="41BD26A3" w14:textId="216689D0" w:rsidR="004B2BB7" w:rsidRDefault="000F5B51" w:rsidP="004B2BB7">
      <w:pPr>
        <w:pStyle w:val="Caption"/>
        <w:rPr>
          <w:rFonts w:eastAsia="Times New Roman" w:cs="Times New Roman"/>
          <w:b/>
          <w:bCs/>
          <w:szCs w:val="24"/>
        </w:rPr>
      </w:pPr>
      <w:bookmarkStart w:id="1733" w:name="_Ref127368868"/>
      <w:r>
        <w:t xml:space="preserve">Table </w:t>
      </w:r>
      <w:r w:rsidR="00115BAB">
        <w:fldChar w:fldCharType="begin"/>
      </w:r>
      <w:r>
        <w:instrText xml:space="preserve"> SEQ Table \* ARABIC </w:instrText>
      </w:r>
      <w:r w:rsidR="00115BAB">
        <w:fldChar w:fldCharType="separate"/>
      </w:r>
      <w:r w:rsidR="00A65CB3">
        <w:rPr>
          <w:noProof/>
        </w:rPr>
        <w:t>80</w:t>
      </w:r>
      <w:r w:rsidR="00115BAB">
        <w:rPr>
          <w:noProof/>
        </w:rPr>
        <w:fldChar w:fldCharType="end"/>
      </w:r>
      <w:bookmarkEnd w:id="1733"/>
      <w:r>
        <w:t>: Sensitivity Analysis: Summary of Incremental Benefits for Rear Seat Occupants 11+</w:t>
      </w:r>
    </w:p>
    <w:tbl>
      <w:tblPr>
        <w:tblStyle w:val="TableGrid"/>
        <w:tblW w:w="9053" w:type="dxa"/>
        <w:tblLayout w:type="fixed"/>
        <w:tblLook w:val="04A0" w:firstRow="1" w:lastRow="0" w:firstColumn="1" w:lastColumn="0" w:noHBand="0" w:noVBand="1"/>
      </w:tblPr>
      <w:tblGrid>
        <w:gridCol w:w="3205"/>
        <w:gridCol w:w="1949"/>
        <w:gridCol w:w="1950"/>
        <w:gridCol w:w="1949"/>
      </w:tblGrid>
      <w:tr w:rsidR="00A15C2C" w14:paraId="6ED6AE56" w14:textId="77777777" w:rsidTr="00A807D0">
        <w:trPr>
          <w:trHeight w:val="376"/>
        </w:trPr>
        <w:tc>
          <w:tcPr>
            <w:tcW w:w="3205" w:type="dxa"/>
            <w:vMerge w:val="restart"/>
            <w:shd w:val="clear" w:color="auto" w:fill="D9D9D9" w:themeFill="background1" w:themeFillShade="D9"/>
            <w:vAlign w:val="center"/>
          </w:tcPr>
          <w:p w14:paraId="10801AE7" w14:textId="77777777" w:rsidR="004B2BB7" w:rsidRDefault="000F5B51" w:rsidP="00A807D0">
            <w:pPr>
              <w:spacing w:line="240" w:lineRule="auto"/>
              <w:rPr>
                <w:rFonts w:eastAsia="Times New Roman" w:cs="Times New Roman"/>
                <w:b/>
                <w:bCs/>
                <w:szCs w:val="24"/>
              </w:rPr>
            </w:pPr>
            <w:r>
              <w:rPr>
                <w:rFonts w:eastAsia="Times New Roman" w:cs="Times New Roman"/>
                <w:b/>
                <w:bCs/>
                <w:szCs w:val="24"/>
              </w:rPr>
              <w:t>Category</w:t>
            </w:r>
          </w:p>
        </w:tc>
        <w:tc>
          <w:tcPr>
            <w:tcW w:w="5848" w:type="dxa"/>
            <w:gridSpan w:val="3"/>
            <w:shd w:val="clear" w:color="auto" w:fill="D9D9D9" w:themeFill="background1" w:themeFillShade="D9"/>
            <w:vAlign w:val="center"/>
          </w:tcPr>
          <w:p w14:paraId="1D94C1AC" w14:textId="77777777" w:rsidR="004B2BB7" w:rsidRDefault="000F5B51" w:rsidP="00A807D0">
            <w:pPr>
              <w:spacing w:line="240" w:lineRule="auto"/>
              <w:jc w:val="center"/>
              <w:rPr>
                <w:rFonts w:eastAsia="Times New Roman" w:cs="Times New Roman"/>
                <w:b/>
                <w:bCs/>
                <w:szCs w:val="24"/>
              </w:rPr>
            </w:pPr>
            <w:r>
              <w:rPr>
                <w:rFonts w:eastAsia="Times New Roman" w:cs="Times New Roman"/>
                <w:b/>
                <w:bCs/>
                <w:szCs w:val="24"/>
              </w:rPr>
              <w:t>Incremental Benefits</w:t>
            </w:r>
          </w:p>
        </w:tc>
      </w:tr>
      <w:tr w:rsidR="00A15C2C" w14:paraId="4E95D671" w14:textId="77777777" w:rsidTr="00A807D0">
        <w:trPr>
          <w:trHeight w:val="376"/>
        </w:trPr>
        <w:tc>
          <w:tcPr>
            <w:tcW w:w="3205" w:type="dxa"/>
            <w:vMerge/>
            <w:shd w:val="clear" w:color="auto" w:fill="D9D9D9" w:themeFill="background1" w:themeFillShade="D9"/>
            <w:vAlign w:val="center"/>
          </w:tcPr>
          <w:p w14:paraId="3CEB04B1" w14:textId="77777777" w:rsidR="004B2BB7" w:rsidRPr="00713E02" w:rsidRDefault="004B2BB7" w:rsidP="00A807D0">
            <w:pPr>
              <w:spacing w:line="240" w:lineRule="auto"/>
              <w:rPr>
                <w:rFonts w:eastAsia="Times New Roman" w:cs="Times New Roman"/>
                <w:szCs w:val="24"/>
              </w:rPr>
            </w:pPr>
          </w:p>
        </w:tc>
        <w:tc>
          <w:tcPr>
            <w:tcW w:w="3899" w:type="dxa"/>
            <w:gridSpan w:val="2"/>
            <w:shd w:val="clear" w:color="auto" w:fill="D9D9D9" w:themeFill="background1" w:themeFillShade="D9"/>
            <w:vAlign w:val="center"/>
          </w:tcPr>
          <w:p w14:paraId="1F1FC010" w14:textId="77777777" w:rsidR="004B2BB7" w:rsidRDefault="000F5B51" w:rsidP="00A807D0">
            <w:pPr>
              <w:spacing w:line="240" w:lineRule="auto"/>
              <w:jc w:val="center"/>
              <w:rPr>
                <w:rFonts w:eastAsia="Times New Roman" w:cs="Times New Roman"/>
                <w:b/>
                <w:bCs/>
                <w:szCs w:val="24"/>
              </w:rPr>
            </w:pPr>
            <w:r>
              <w:rPr>
                <w:rFonts w:eastAsia="Times New Roman" w:cs="Times New Roman"/>
                <w:b/>
                <w:bCs/>
                <w:szCs w:val="24"/>
              </w:rPr>
              <w:t>Proposed Rule</w:t>
            </w:r>
          </w:p>
        </w:tc>
        <w:tc>
          <w:tcPr>
            <w:tcW w:w="1949" w:type="dxa"/>
            <w:vMerge w:val="restart"/>
            <w:shd w:val="clear" w:color="auto" w:fill="D9D9D9" w:themeFill="background1" w:themeFillShade="D9"/>
          </w:tcPr>
          <w:p w14:paraId="2017DD69" w14:textId="77777777" w:rsidR="004B2BB7" w:rsidRDefault="000F5B51" w:rsidP="00A807D0">
            <w:pPr>
              <w:spacing w:line="240" w:lineRule="auto"/>
              <w:jc w:val="center"/>
              <w:rPr>
                <w:rFonts w:eastAsia="Times New Roman" w:cs="Times New Roman"/>
                <w:b/>
                <w:bCs/>
                <w:szCs w:val="24"/>
              </w:rPr>
            </w:pPr>
            <w:r>
              <w:rPr>
                <w:rFonts w:eastAsia="Times New Roman" w:cs="Times New Roman"/>
                <w:b/>
                <w:bCs/>
                <w:szCs w:val="24"/>
              </w:rPr>
              <w:t xml:space="preserve">Sensitivity Analysis </w:t>
            </w:r>
          </w:p>
        </w:tc>
      </w:tr>
      <w:tr w:rsidR="00A15C2C" w14:paraId="7B9AA8F7" w14:textId="77777777" w:rsidTr="00A807D0">
        <w:trPr>
          <w:trHeight w:val="376"/>
        </w:trPr>
        <w:tc>
          <w:tcPr>
            <w:tcW w:w="3205" w:type="dxa"/>
            <w:vMerge/>
            <w:shd w:val="clear" w:color="auto" w:fill="D9D9D9" w:themeFill="background1" w:themeFillShade="D9"/>
            <w:vAlign w:val="center"/>
          </w:tcPr>
          <w:p w14:paraId="655089F6" w14:textId="77777777" w:rsidR="004B2BB7" w:rsidRPr="00713E02" w:rsidRDefault="004B2BB7" w:rsidP="00A807D0">
            <w:pPr>
              <w:spacing w:line="240" w:lineRule="auto"/>
              <w:rPr>
                <w:rFonts w:eastAsia="Times New Roman" w:cs="Times New Roman"/>
                <w:szCs w:val="24"/>
              </w:rPr>
            </w:pPr>
          </w:p>
        </w:tc>
        <w:tc>
          <w:tcPr>
            <w:tcW w:w="1949" w:type="dxa"/>
            <w:shd w:val="clear" w:color="auto" w:fill="D9D9D9" w:themeFill="background1" w:themeFillShade="D9"/>
            <w:vAlign w:val="center"/>
          </w:tcPr>
          <w:p w14:paraId="5DC98532" w14:textId="77777777" w:rsidR="004B2BB7" w:rsidRDefault="000F5B51" w:rsidP="00A807D0">
            <w:pPr>
              <w:spacing w:line="240" w:lineRule="auto"/>
              <w:jc w:val="center"/>
              <w:rPr>
                <w:rFonts w:eastAsia="Times New Roman" w:cs="Times New Roman"/>
                <w:b/>
                <w:bCs/>
                <w:szCs w:val="24"/>
              </w:rPr>
            </w:pPr>
            <w:r>
              <w:rPr>
                <w:rFonts w:eastAsia="Times New Roman" w:cs="Times New Roman"/>
                <w:b/>
                <w:bCs/>
                <w:szCs w:val="24"/>
              </w:rPr>
              <w:t xml:space="preserve">Lo </w:t>
            </w:r>
          </w:p>
        </w:tc>
        <w:tc>
          <w:tcPr>
            <w:tcW w:w="1950" w:type="dxa"/>
            <w:shd w:val="clear" w:color="auto" w:fill="D9D9D9" w:themeFill="background1" w:themeFillShade="D9"/>
            <w:vAlign w:val="center"/>
          </w:tcPr>
          <w:p w14:paraId="1707BF69" w14:textId="77777777" w:rsidR="004B2BB7" w:rsidRDefault="000F5B51" w:rsidP="00A807D0">
            <w:pPr>
              <w:spacing w:line="240" w:lineRule="auto"/>
              <w:jc w:val="center"/>
              <w:rPr>
                <w:rFonts w:eastAsia="Times New Roman" w:cs="Times New Roman"/>
                <w:b/>
                <w:bCs/>
                <w:szCs w:val="24"/>
              </w:rPr>
            </w:pPr>
            <w:r>
              <w:rPr>
                <w:rFonts w:eastAsia="Times New Roman" w:cs="Times New Roman"/>
                <w:b/>
                <w:bCs/>
                <w:szCs w:val="24"/>
              </w:rPr>
              <w:t>Hi</w:t>
            </w:r>
          </w:p>
        </w:tc>
        <w:tc>
          <w:tcPr>
            <w:tcW w:w="1949" w:type="dxa"/>
            <w:vMerge/>
            <w:shd w:val="clear" w:color="auto" w:fill="D9D9D9" w:themeFill="background1" w:themeFillShade="D9"/>
          </w:tcPr>
          <w:p w14:paraId="1F46D65E" w14:textId="77777777" w:rsidR="004B2BB7" w:rsidRDefault="004B2BB7" w:rsidP="00A807D0">
            <w:pPr>
              <w:spacing w:line="240" w:lineRule="auto"/>
              <w:jc w:val="center"/>
              <w:rPr>
                <w:rFonts w:eastAsia="Times New Roman" w:cs="Times New Roman"/>
                <w:b/>
                <w:bCs/>
                <w:szCs w:val="24"/>
              </w:rPr>
            </w:pPr>
          </w:p>
        </w:tc>
      </w:tr>
      <w:tr w:rsidR="00A15C2C" w14:paraId="611CEB88" w14:textId="77777777" w:rsidTr="00A807D0">
        <w:trPr>
          <w:trHeight w:val="458"/>
        </w:trPr>
        <w:tc>
          <w:tcPr>
            <w:tcW w:w="3205" w:type="dxa"/>
            <w:vAlign w:val="center"/>
          </w:tcPr>
          <w:p w14:paraId="7750FD3E" w14:textId="77777777" w:rsidR="004B2BB7" w:rsidRPr="00DA0C97" w:rsidRDefault="000F5B51" w:rsidP="00A807D0">
            <w:pPr>
              <w:spacing w:line="240" w:lineRule="auto"/>
              <w:rPr>
                <w:rFonts w:eastAsia="Times New Roman" w:cs="Times New Roman"/>
                <w:szCs w:val="24"/>
              </w:rPr>
            </w:pPr>
            <w:r w:rsidRPr="00DA0C97">
              <w:rPr>
                <w:rFonts w:eastAsia="Times New Roman" w:cs="Times New Roman"/>
                <w:szCs w:val="24"/>
              </w:rPr>
              <w:t>Non-fatal Injuries (MAIS 1-5)</w:t>
            </w:r>
          </w:p>
        </w:tc>
        <w:tc>
          <w:tcPr>
            <w:tcW w:w="1949" w:type="dxa"/>
            <w:vAlign w:val="center"/>
          </w:tcPr>
          <w:p w14:paraId="79103AEA" w14:textId="77777777" w:rsidR="004B2BB7" w:rsidRPr="0021691D" w:rsidRDefault="000F5B51" w:rsidP="00A807D0">
            <w:pPr>
              <w:spacing w:line="240" w:lineRule="auto"/>
              <w:jc w:val="center"/>
              <w:rPr>
                <w:rFonts w:eastAsia="Times New Roman" w:cs="Times New Roman"/>
                <w:szCs w:val="24"/>
              </w:rPr>
            </w:pPr>
            <w:r w:rsidRPr="0021691D">
              <w:rPr>
                <w:rFonts w:eastAsia="Times New Roman" w:cs="Times New Roman"/>
                <w:szCs w:val="24"/>
              </w:rPr>
              <w:t>74</w:t>
            </w:r>
          </w:p>
        </w:tc>
        <w:tc>
          <w:tcPr>
            <w:tcW w:w="1950" w:type="dxa"/>
            <w:vAlign w:val="center"/>
          </w:tcPr>
          <w:p w14:paraId="7EB12BE6" w14:textId="77777777" w:rsidR="004B2BB7" w:rsidRPr="0021691D" w:rsidRDefault="000F5B51" w:rsidP="00A807D0">
            <w:pPr>
              <w:spacing w:line="240" w:lineRule="auto"/>
              <w:jc w:val="center"/>
              <w:rPr>
                <w:rFonts w:eastAsia="Times New Roman" w:cs="Times New Roman"/>
                <w:szCs w:val="24"/>
              </w:rPr>
            </w:pPr>
            <w:r w:rsidRPr="0021691D">
              <w:rPr>
                <w:rFonts w:eastAsia="Times New Roman" w:cs="Times New Roman"/>
                <w:szCs w:val="24"/>
              </w:rPr>
              <w:t>110</w:t>
            </w:r>
          </w:p>
        </w:tc>
        <w:tc>
          <w:tcPr>
            <w:tcW w:w="1949" w:type="dxa"/>
            <w:vAlign w:val="center"/>
          </w:tcPr>
          <w:p w14:paraId="6DEE115C" w14:textId="77777777" w:rsidR="004B2BB7" w:rsidRPr="0021691D" w:rsidRDefault="000F5B51" w:rsidP="00A807D0">
            <w:pPr>
              <w:spacing w:line="240" w:lineRule="auto"/>
              <w:jc w:val="center"/>
              <w:rPr>
                <w:rFonts w:eastAsia="Times New Roman" w:cs="Times New Roman"/>
                <w:szCs w:val="24"/>
              </w:rPr>
            </w:pPr>
            <w:r w:rsidRPr="0021691D">
              <w:rPr>
                <w:rFonts w:eastAsia="Times New Roman" w:cs="Times New Roman"/>
                <w:szCs w:val="24"/>
              </w:rPr>
              <w:t>43</w:t>
            </w:r>
            <w:r w:rsidR="00B644E2" w:rsidRPr="0021691D">
              <w:rPr>
                <w:rFonts w:eastAsia="Times New Roman" w:cs="Times New Roman"/>
                <w:szCs w:val="24"/>
              </w:rPr>
              <w:t>8</w:t>
            </w:r>
          </w:p>
        </w:tc>
      </w:tr>
      <w:tr w:rsidR="00A15C2C" w14:paraId="768BF058" w14:textId="77777777" w:rsidTr="00A807D0">
        <w:trPr>
          <w:trHeight w:val="376"/>
        </w:trPr>
        <w:tc>
          <w:tcPr>
            <w:tcW w:w="3205" w:type="dxa"/>
            <w:vAlign w:val="center"/>
          </w:tcPr>
          <w:p w14:paraId="2D84BD03" w14:textId="77777777" w:rsidR="004B2BB7" w:rsidRPr="00DA0C97" w:rsidRDefault="000F5B51" w:rsidP="00A807D0">
            <w:pPr>
              <w:spacing w:line="240" w:lineRule="auto"/>
              <w:rPr>
                <w:rFonts w:eastAsia="Times New Roman" w:cs="Times New Roman"/>
                <w:szCs w:val="24"/>
              </w:rPr>
            </w:pPr>
            <w:r w:rsidRPr="00DA0C97">
              <w:rPr>
                <w:rFonts w:eastAsia="Times New Roman" w:cs="Times New Roman"/>
                <w:szCs w:val="24"/>
              </w:rPr>
              <w:t>Fatalities</w:t>
            </w:r>
          </w:p>
        </w:tc>
        <w:tc>
          <w:tcPr>
            <w:tcW w:w="1949" w:type="dxa"/>
            <w:vAlign w:val="center"/>
          </w:tcPr>
          <w:p w14:paraId="5853F88D" w14:textId="77777777" w:rsidR="004B2BB7" w:rsidRPr="0021691D" w:rsidRDefault="000F5B51" w:rsidP="00A807D0">
            <w:pPr>
              <w:spacing w:line="240" w:lineRule="auto"/>
              <w:jc w:val="center"/>
              <w:rPr>
                <w:rFonts w:eastAsia="Times New Roman" w:cs="Times New Roman"/>
                <w:szCs w:val="24"/>
              </w:rPr>
            </w:pPr>
            <w:r w:rsidRPr="0021691D">
              <w:rPr>
                <w:rFonts w:eastAsia="Times New Roman" w:cs="Times New Roman"/>
                <w:szCs w:val="24"/>
              </w:rPr>
              <w:t>22</w:t>
            </w:r>
          </w:p>
        </w:tc>
        <w:tc>
          <w:tcPr>
            <w:tcW w:w="1950" w:type="dxa"/>
            <w:vAlign w:val="center"/>
          </w:tcPr>
          <w:p w14:paraId="2873189C" w14:textId="77777777" w:rsidR="004B2BB7" w:rsidRPr="0021691D" w:rsidRDefault="000F5B51" w:rsidP="00A807D0">
            <w:pPr>
              <w:spacing w:line="240" w:lineRule="auto"/>
              <w:jc w:val="center"/>
              <w:rPr>
                <w:rFonts w:eastAsia="Times New Roman" w:cs="Times New Roman"/>
                <w:szCs w:val="24"/>
              </w:rPr>
            </w:pPr>
            <w:r w:rsidRPr="0021691D">
              <w:rPr>
                <w:rFonts w:eastAsia="Times New Roman" w:cs="Times New Roman"/>
                <w:szCs w:val="24"/>
              </w:rPr>
              <w:t>33</w:t>
            </w:r>
          </w:p>
        </w:tc>
        <w:tc>
          <w:tcPr>
            <w:tcW w:w="1949" w:type="dxa"/>
            <w:vAlign w:val="center"/>
          </w:tcPr>
          <w:p w14:paraId="6283D4EA" w14:textId="77777777" w:rsidR="004B2BB7" w:rsidRPr="0021691D" w:rsidRDefault="000F5B51" w:rsidP="00A807D0">
            <w:pPr>
              <w:spacing w:line="240" w:lineRule="auto"/>
              <w:jc w:val="center"/>
              <w:rPr>
                <w:rFonts w:eastAsia="Times New Roman" w:cs="Times New Roman"/>
                <w:szCs w:val="24"/>
              </w:rPr>
            </w:pPr>
            <w:r w:rsidRPr="0021691D">
              <w:rPr>
                <w:rFonts w:eastAsia="Times New Roman" w:cs="Times New Roman"/>
                <w:szCs w:val="24"/>
              </w:rPr>
              <w:t>1</w:t>
            </w:r>
            <w:r w:rsidR="007B4253" w:rsidRPr="0021691D">
              <w:rPr>
                <w:rFonts w:eastAsia="Times New Roman" w:cs="Times New Roman"/>
                <w:szCs w:val="24"/>
              </w:rPr>
              <w:t>38</w:t>
            </w:r>
          </w:p>
        </w:tc>
      </w:tr>
    </w:tbl>
    <w:p w14:paraId="719049EA" w14:textId="77777777" w:rsidR="004B2BB7" w:rsidRPr="0021691D" w:rsidRDefault="000F5B51" w:rsidP="004B2BB7">
      <w:pPr>
        <w:spacing w:after="0"/>
        <w:contextualSpacing/>
        <w:rPr>
          <w:rFonts w:eastAsia="Times New Roman" w:cs="Times New Roman"/>
          <w:sz w:val="18"/>
          <w:szCs w:val="18"/>
        </w:rPr>
      </w:pPr>
      <w:r>
        <w:rPr>
          <w:rFonts w:eastAsia="Times New Roman" w:cs="Times New Roman"/>
          <w:sz w:val="18"/>
          <w:szCs w:val="18"/>
        </w:rPr>
        <w:t>Note: Values may not sum due to rounding. Totals are rounded to the nearest whole number for presentation purposes.</w:t>
      </w:r>
    </w:p>
    <w:p w14:paraId="47709037" w14:textId="77777777" w:rsidR="004B2BB7" w:rsidRDefault="000F5B51" w:rsidP="004B2BB7">
      <w:pPr>
        <w:pStyle w:val="Heading3"/>
        <w:spacing w:line="240" w:lineRule="auto"/>
      </w:pPr>
      <w:bookmarkStart w:id="1734" w:name="_Toc142903000"/>
      <w:r>
        <w:t>Rear Seat Occupants Age 6 to 10</w:t>
      </w:r>
      <w:bookmarkEnd w:id="1734"/>
    </w:p>
    <w:p w14:paraId="445971B6" w14:textId="54F4ABFE" w:rsidR="004B2BB7" w:rsidRDefault="000F5B51" w:rsidP="004B2BB7">
      <w:pPr>
        <w:spacing w:after="0"/>
        <w:contextualSpacing/>
        <w:rPr>
          <w:rFonts w:eastAsia="Times New Roman" w:cs="Times New Roman"/>
          <w:szCs w:val="24"/>
        </w:rPr>
      </w:pPr>
      <w:r>
        <w:rPr>
          <w:rFonts w:eastAsia="Times New Roman" w:cs="Times New Roman"/>
          <w:szCs w:val="24"/>
        </w:rPr>
        <w:t>In the main analysis, this analysis estimates that the requirements for SBWS would increase seat belt usage by 0.3 percent to 0.5 percent for rear seat occupants ages six to ten</w:t>
      </w:r>
      <w:r w:rsidR="001F2F92">
        <w:rPr>
          <w:rFonts w:eastAsia="Times New Roman" w:cs="Times New Roman"/>
          <w:szCs w:val="24"/>
        </w:rPr>
        <w:t xml:space="preserve">. </w:t>
      </w:r>
      <w:r>
        <w:rPr>
          <w:rFonts w:eastAsia="Times New Roman" w:cs="Times New Roman"/>
          <w:szCs w:val="24"/>
        </w:rPr>
        <w:t>Alternatively, this sensitivity analysis also considers the case in which the increase in seat belt use rates for rear seat occupants ages six to ten is twice the Hi estimate in the main analysis</w:t>
      </w:r>
      <w:r w:rsidR="001F2F92">
        <w:rPr>
          <w:rFonts w:eastAsia="Times New Roman" w:cs="Times New Roman"/>
          <w:szCs w:val="24"/>
        </w:rPr>
        <w:t xml:space="preserve">. </w:t>
      </w:r>
      <w:r>
        <w:rPr>
          <w:rFonts w:eastAsia="Times New Roman" w:cs="Times New Roman"/>
          <w:szCs w:val="24"/>
        </w:rPr>
        <w:t xml:space="preserve">For rear seat occupants ages six to ten, doubling the increase in seat belt use for the Hi case would result in a seat belt use rate of </w:t>
      </w:r>
      <w:r w:rsidR="0030161F">
        <w:rPr>
          <w:rFonts w:eastAsia="Times New Roman" w:cs="Times New Roman"/>
          <w:szCs w:val="24"/>
        </w:rPr>
        <w:t>0.9840</w:t>
      </w:r>
      <w:r>
        <w:rPr>
          <w:rFonts w:eastAsia="Times New Roman" w:cs="Times New Roman"/>
          <w:szCs w:val="24"/>
        </w:rPr>
        <w:t xml:space="preserve"> in crashes resulting in non-fatal injuries and </w:t>
      </w:r>
      <w:r w:rsidR="0030161F">
        <w:rPr>
          <w:rFonts w:eastAsia="Times New Roman" w:cs="Times New Roman"/>
          <w:szCs w:val="24"/>
        </w:rPr>
        <w:t>0.</w:t>
      </w:r>
      <w:r>
        <w:rPr>
          <w:rFonts w:eastAsia="Times New Roman" w:cs="Times New Roman"/>
          <w:szCs w:val="24"/>
        </w:rPr>
        <w:t xml:space="preserve">8994 in </w:t>
      </w:r>
      <w:r w:rsidR="00174E6F" w:rsidRPr="00174E6F">
        <w:rPr>
          <w:rFonts w:eastAsia="Times New Roman" w:cs="Times New Roman"/>
          <w:szCs w:val="24"/>
        </w:rPr>
        <w:t xml:space="preserve">potentially </w:t>
      </w:r>
      <w:r w:rsidR="00B00DC7">
        <w:rPr>
          <w:rFonts w:eastAsia="Times New Roman" w:cs="Times New Roman"/>
          <w:szCs w:val="24"/>
        </w:rPr>
        <w:t xml:space="preserve">fatal </w:t>
      </w:r>
      <w:r>
        <w:rPr>
          <w:rFonts w:eastAsia="Times New Roman" w:cs="Times New Roman"/>
          <w:szCs w:val="24"/>
        </w:rPr>
        <w:t>crashes</w:t>
      </w:r>
      <w:r w:rsidR="00B00DC7">
        <w:rPr>
          <w:rFonts w:eastAsia="Times New Roman" w:cs="Times New Roman"/>
          <w:szCs w:val="24"/>
        </w:rPr>
        <w:t>.</w:t>
      </w:r>
      <w:r>
        <w:rPr>
          <w:rFonts w:eastAsia="Times New Roman" w:cs="Times New Roman"/>
          <w:szCs w:val="24"/>
        </w:rPr>
        <w:t xml:space="preserve"> </w:t>
      </w:r>
    </w:p>
    <w:p w14:paraId="366C23E4" w14:textId="5CEB4C4C" w:rsidR="004B2BB7" w:rsidRDefault="000F5B51" w:rsidP="004B2BB7">
      <w:pPr>
        <w:spacing w:after="0"/>
        <w:contextualSpacing/>
        <w:rPr>
          <w:rFonts w:eastAsia="Times New Roman" w:cs="Times New Roman"/>
          <w:szCs w:val="24"/>
        </w:rPr>
      </w:pPr>
      <w:r>
        <w:rPr>
          <w:rFonts w:eastAsia="Times New Roman" w:cs="Times New Roman"/>
          <w:szCs w:val="24"/>
        </w:rPr>
        <w:fldChar w:fldCharType="begin"/>
      </w:r>
      <w:r>
        <w:rPr>
          <w:rFonts w:eastAsia="Times New Roman" w:cs="Times New Roman"/>
          <w:szCs w:val="24"/>
        </w:rPr>
        <w:instrText xml:space="preserve"> REF _Ref127258302 \h </w:instrText>
      </w:r>
      <w:r>
        <w:rPr>
          <w:rFonts w:eastAsia="Times New Roman" w:cs="Times New Roman"/>
          <w:szCs w:val="24"/>
        </w:rPr>
      </w:r>
      <w:r>
        <w:rPr>
          <w:rFonts w:eastAsia="Times New Roman" w:cs="Times New Roman"/>
          <w:szCs w:val="24"/>
        </w:rPr>
        <w:fldChar w:fldCharType="separate"/>
      </w:r>
      <w:r w:rsidR="00A65CB3">
        <w:t xml:space="preserve">Table </w:t>
      </w:r>
      <w:r w:rsidR="00A65CB3">
        <w:rPr>
          <w:noProof/>
        </w:rPr>
        <w:t>81</w:t>
      </w:r>
      <w:r>
        <w:rPr>
          <w:rFonts w:eastAsia="Times New Roman" w:cs="Times New Roman"/>
          <w:szCs w:val="24"/>
        </w:rPr>
        <w:fldChar w:fldCharType="end"/>
      </w:r>
      <w:r w:rsidR="00B3220C">
        <w:rPr>
          <w:rFonts w:eastAsia="Times New Roman" w:cs="Times New Roman"/>
          <w:szCs w:val="24"/>
        </w:rPr>
        <w:t xml:space="preserve"> presents the calculation of incremental benefits for rear seat occupants six to ten years older for the sensitivity analysis</w:t>
      </w:r>
      <w:r w:rsidR="001F2F92">
        <w:rPr>
          <w:rFonts w:eastAsia="Times New Roman" w:cs="Times New Roman"/>
          <w:szCs w:val="24"/>
        </w:rPr>
        <w:t xml:space="preserve">. </w:t>
      </w:r>
      <w:r w:rsidR="00B3220C">
        <w:rPr>
          <w:rFonts w:eastAsia="Times New Roman" w:cs="Times New Roman"/>
          <w:szCs w:val="24"/>
        </w:rPr>
        <w:t xml:space="preserve">Taking into account rate of </w:t>
      </w:r>
      <w:r w:rsidR="0030161F">
        <w:rPr>
          <w:rFonts w:eastAsia="Times New Roman" w:cs="Times New Roman"/>
          <w:szCs w:val="24"/>
        </w:rPr>
        <w:t>0.9840</w:t>
      </w:r>
      <w:r w:rsidR="0060001A">
        <w:rPr>
          <w:rFonts w:eastAsia="Times New Roman" w:cs="Times New Roman"/>
          <w:szCs w:val="24"/>
        </w:rPr>
        <w:t xml:space="preserve"> </w:t>
      </w:r>
      <w:r w:rsidR="00B3220C">
        <w:rPr>
          <w:rFonts w:eastAsia="Times New Roman" w:cs="Times New Roman"/>
          <w:szCs w:val="24"/>
        </w:rPr>
        <w:t xml:space="preserve">in crashes resulting in non-fatal injuries and </w:t>
      </w:r>
      <w:r w:rsidR="0030161F">
        <w:rPr>
          <w:rFonts w:eastAsia="Times New Roman" w:cs="Times New Roman"/>
          <w:szCs w:val="24"/>
        </w:rPr>
        <w:t>0.</w:t>
      </w:r>
      <w:r w:rsidR="00841DF8">
        <w:rPr>
          <w:rFonts w:eastAsia="Times New Roman" w:cs="Times New Roman"/>
          <w:szCs w:val="24"/>
        </w:rPr>
        <w:t>89</w:t>
      </w:r>
      <w:r w:rsidR="0030161F">
        <w:rPr>
          <w:rFonts w:eastAsia="Times New Roman" w:cs="Times New Roman"/>
          <w:szCs w:val="24"/>
        </w:rPr>
        <w:t>9</w:t>
      </w:r>
      <w:r w:rsidR="00841DF8">
        <w:rPr>
          <w:rFonts w:eastAsia="Times New Roman" w:cs="Times New Roman"/>
          <w:szCs w:val="24"/>
        </w:rPr>
        <w:t>4</w:t>
      </w:r>
      <w:r w:rsidR="00B3220C">
        <w:rPr>
          <w:rFonts w:eastAsia="Times New Roman" w:cs="Times New Roman"/>
          <w:szCs w:val="24"/>
        </w:rPr>
        <w:t xml:space="preserve"> in </w:t>
      </w:r>
      <w:r w:rsidR="00174E6F" w:rsidRPr="00174E6F">
        <w:rPr>
          <w:rFonts w:eastAsia="Times New Roman" w:cs="Times New Roman"/>
          <w:szCs w:val="24"/>
        </w:rPr>
        <w:t xml:space="preserve">potentially </w:t>
      </w:r>
      <w:r w:rsidR="00B3220C">
        <w:rPr>
          <w:rFonts w:eastAsia="Times New Roman" w:cs="Times New Roman"/>
          <w:szCs w:val="24"/>
        </w:rPr>
        <w:t xml:space="preserve">fatal crashes, </w:t>
      </w:r>
      <w:r w:rsidR="00946E02">
        <w:rPr>
          <w:rFonts w:eastAsia="Times New Roman" w:cs="Times New Roman"/>
          <w:szCs w:val="24"/>
        </w:rPr>
        <w:t xml:space="preserve">two </w:t>
      </w:r>
      <w:r w:rsidR="00B3220C">
        <w:rPr>
          <w:rFonts w:eastAsia="Times New Roman" w:cs="Times New Roman"/>
          <w:szCs w:val="24"/>
        </w:rPr>
        <w:t xml:space="preserve">non-fatal injuries would be prevented for rear seat occupants </w:t>
      </w:r>
      <w:r w:rsidR="00946E02">
        <w:rPr>
          <w:rFonts w:eastAsia="Times New Roman" w:cs="Times New Roman"/>
          <w:szCs w:val="24"/>
        </w:rPr>
        <w:t>six to ten years old</w:t>
      </w:r>
      <w:r w:rsidR="00B3220C">
        <w:rPr>
          <w:rFonts w:eastAsia="Times New Roman" w:cs="Times New Roman"/>
          <w:szCs w:val="24"/>
        </w:rPr>
        <w:t xml:space="preserve"> in passenger cars</w:t>
      </w:r>
      <w:r w:rsidR="001F2F92">
        <w:rPr>
          <w:rFonts w:eastAsia="Times New Roman" w:cs="Times New Roman"/>
          <w:szCs w:val="24"/>
        </w:rPr>
        <w:t xml:space="preserve">. </w:t>
      </w:r>
      <w:r w:rsidR="00B3220C">
        <w:rPr>
          <w:rFonts w:eastAsia="Times New Roman" w:cs="Times New Roman"/>
          <w:szCs w:val="24"/>
        </w:rPr>
        <w:t xml:space="preserve">For rear seat occupants </w:t>
      </w:r>
      <w:r w:rsidR="006650A2">
        <w:rPr>
          <w:rFonts w:eastAsia="Times New Roman" w:cs="Times New Roman"/>
          <w:szCs w:val="24"/>
        </w:rPr>
        <w:t>six to ten years older</w:t>
      </w:r>
      <w:r w:rsidR="00B3220C">
        <w:rPr>
          <w:rFonts w:eastAsia="Times New Roman" w:cs="Times New Roman"/>
          <w:szCs w:val="24"/>
        </w:rPr>
        <w:t xml:space="preserve"> in LTVs, </w:t>
      </w:r>
      <w:r w:rsidR="0060001A">
        <w:rPr>
          <w:rFonts w:eastAsia="Times New Roman" w:cs="Times New Roman"/>
          <w:szCs w:val="24"/>
        </w:rPr>
        <w:t>two</w:t>
      </w:r>
      <w:r w:rsidR="00B3220C">
        <w:rPr>
          <w:rFonts w:eastAsia="Times New Roman" w:cs="Times New Roman"/>
          <w:szCs w:val="24"/>
        </w:rPr>
        <w:t xml:space="preserve"> non-fatal injuries and </w:t>
      </w:r>
      <w:r w:rsidR="006650A2">
        <w:rPr>
          <w:rFonts w:eastAsia="Times New Roman" w:cs="Times New Roman"/>
          <w:szCs w:val="24"/>
        </w:rPr>
        <w:t>one</w:t>
      </w:r>
      <w:r w:rsidR="00B3220C">
        <w:rPr>
          <w:rFonts w:eastAsia="Times New Roman" w:cs="Times New Roman"/>
          <w:szCs w:val="24"/>
        </w:rPr>
        <w:t xml:space="preserve"> fatalit</w:t>
      </w:r>
      <w:r w:rsidR="006650A2">
        <w:rPr>
          <w:rFonts w:eastAsia="Times New Roman" w:cs="Times New Roman"/>
          <w:szCs w:val="24"/>
        </w:rPr>
        <w:t>y</w:t>
      </w:r>
      <w:r w:rsidR="00B3220C">
        <w:rPr>
          <w:rFonts w:eastAsia="Times New Roman" w:cs="Times New Roman"/>
          <w:szCs w:val="24"/>
        </w:rPr>
        <w:t xml:space="preserve"> would be prevented. </w:t>
      </w:r>
    </w:p>
    <w:p w14:paraId="6DA9B452" w14:textId="77777777" w:rsidR="004B2BB7" w:rsidRDefault="004B2BB7" w:rsidP="004B2BB7">
      <w:pPr>
        <w:spacing w:after="0"/>
        <w:ind w:firstLine="720"/>
        <w:contextualSpacing/>
        <w:rPr>
          <w:rFonts w:eastAsia="Times New Roman" w:cs="Times New Roman"/>
          <w:szCs w:val="24"/>
        </w:rPr>
        <w:sectPr w:rsidR="004B2BB7" w:rsidSect="00D07617">
          <w:pgSz w:w="12240" w:h="15840" w:code="1"/>
          <w:pgMar w:top="1440" w:right="1440" w:bottom="1440" w:left="1440" w:header="720" w:footer="720" w:gutter="0"/>
          <w:cols w:space="720"/>
          <w:docGrid w:linePitch="360"/>
        </w:sectPr>
      </w:pPr>
    </w:p>
    <w:p w14:paraId="2277AD78" w14:textId="37D6E5E7" w:rsidR="004B2BB7" w:rsidRDefault="000F5B51" w:rsidP="004B2BB7">
      <w:pPr>
        <w:pStyle w:val="Caption"/>
      </w:pPr>
      <w:bookmarkStart w:id="1735" w:name="_Ref127258302"/>
      <w:r>
        <w:lastRenderedPageBreak/>
        <w:t xml:space="preserve">Table </w:t>
      </w:r>
      <w:r w:rsidR="00115BAB">
        <w:fldChar w:fldCharType="begin"/>
      </w:r>
      <w:r>
        <w:instrText xml:space="preserve"> SEQ Table \* ARABIC </w:instrText>
      </w:r>
      <w:r w:rsidR="00115BAB">
        <w:fldChar w:fldCharType="separate"/>
      </w:r>
      <w:r w:rsidR="00A65CB3">
        <w:rPr>
          <w:noProof/>
        </w:rPr>
        <w:t>81</w:t>
      </w:r>
      <w:r w:rsidR="00115BAB">
        <w:rPr>
          <w:noProof/>
        </w:rPr>
        <w:fldChar w:fldCharType="end"/>
      </w:r>
      <w:bookmarkEnd w:id="1735"/>
      <w:r>
        <w:t xml:space="preserve">: Sensitivity Analysis: Incremental Benefits for Rear Seat Occupants 6 to 10 Years Old </w:t>
      </w:r>
    </w:p>
    <w:tbl>
      <w:tblPr>
        <w:tblW w:w="15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88"/>
        <w:gridCol w:w="1949"/>
        <w:gridCol w:w="1950"/>
        <w:gridCol w:w="1950"/>
        <w:gridCol w:w="1949"/>
        <w:gridCol w:w="1950"/>
        <w:gridCol w:w="1950"/>
        <w:gridCol w:w="1950"/>
      </w:tblGrid>
      <w:tr w:rsidR="00A15C2C" w14:paraId="4A3074A2" w14:textId="77777777" w:rsidTr="00A807D0">
        <w:trPr>
          <w:trHeight w:val="1666"/>
          <w:jc w:val="center"/>
        </w:trPr>
        <w:tc>
          <w:tcPr>
            <w:tcW w:w="1488" w:type="dxa"/>
            <w:shd w:val="clear" w:color="auto" w:fill="D9D9D9" w:themeFill="background1" w:themeFillShade="D9"/>
            <w:noWrap/>
            <w:vAlign w:val="center"/>
          </w:tcPr>
          <w:p w14:paraId="64469BD9" w14:textId="77777777" w:rsidR="004B2BB7" w:rsidRDefault="000F5B51" w:rsidP="00A807D0">
            <w:pPr>
              <w:spacing w:after="0" w:line="240" w:lineRule="auto"/>
              <w:rPr>
                <w:rFonts w:eastAsia="Times New Roman" w:cs="Times New Roman"/>
                <w:b/>
                <w:bCs/>
                <w:color w:val="000000"/>
                <w:szCs w:val="24"/>
              </w:rPr>
            </w:pPr>
            <w:r>
              <w:rPr>
                <w:rFonts w:eastAsia="Times New Roman" w:cs="Times New Roman"/>
                <w:b/>
                <w:bCs/>
                <w:color w:val="000000"/>
                <w:szCs w:val="24"/>
              </w:rPr>
              <w:t xml:space="preserve">Injury Severity </w:t>
            </w:r>
          </w:p>
        </w:tc>
        <w:tc>
          <w:tcPr>
            <w:tcW w:w="1949" w:type="dxa"/>
            <w:shd w:val="clear" w:color="auto" w:fill="D9D9D9" w:themeFill="background1" w:themeFillShade="D9"/>
            <w:vAlign w:val="center"/>
          </w:tcPr>
          <w:p w14:paraId="03D5CA13" w14:textId="77777777" w:rsidR="004B2BB7" w:rsidRDefault="000F5B51" w:rsidP="00A807D0">
            <w:pPr>
              <w:spacing w:after="0" w:line="240" w:lineRule="auto"/>
              <w:jc w:val="center"/>
              <w:rPr>
                <w:rFonts w:eastAsia="Times New Roman" w:cs="Times New Roman"/>
                <w:b/>
                <w:bCs/>
                <w:color w:val="000000"/>
                <w:szCs w:val="24"/>
              </w:rPr>
            </w:pPr>
            <w:r w:rsidRPr="00954B78">
              <w:rPr>
                <w:rFonts w:eastAsia="Times New Roman" w:cs="Times New Roman"/>
                <w:b/>
                <w:bCs/>
                <w:color w:val="000000"/>
                <w:szCs w:val="24"/>
              </w:rPr>
              <w:t>Potential Injuries</w:t>
            </w:r>
          </w:p>
          <w:p w14:paraId="3BB5E024" w14:textId="77777777" w:rsidR="004B2BB7" w:rsidRDefault="000F5B51" w:rsidP="00A807D0">
            <w:pPr>
              <w:spacing w:after="0" w:line="240" w:lineRule="auto"/>
              <w:jc w:val="center"/>
              <w:rPr>
                <w:rFonts w:eastAsia="Times New Roman" w:cs="Times New Roman"/>
                <w:b/>
                <w:bCs/>
                <w:color w:val="000000"/>
                <w:szCs w:val="24"/>
              </w:rPr>
            </w:pPr>
            <w:r>
              <w:rPr>
                <w:rFonts w:eastAsia="Times New Roman" w:cs="Times New Roman"/>
                <w:b/>
                <w:bCs/>
                <w:color w:val="000000"/>
                <w:szCs w:val="24"/>
              </w:rPr>
              <w:t>(a)</w:t>
            </w:r>
          </w:p>
        </w:tc>
        <w:tc>
          <w:tcPr>
            <w:tcW w:w="1950" w:type="dxa"/>
            <w:shd w:val="clear" w:color="auto" w:fill="D9D9D9" w:themeFill="background1" w:themeFillShade="D9"/>
            <w:noWrap/>
            <w:vAlign w:val="center"/>
          </w:tcPr>
          <w:p w14:paraId="4B64A97B" w14:textId="77777777" w:rsidR="004B2BB7" w:rsidRDefault="000F5B51" w:rsidP="00A807D0">
            <w:pPr>
              <w:spacing w:after="0" w:line="240" w:lineRule="auto"/>
              <w:jc w:val="center"/>
              <w:rPr>
                <w:rFonts w:eastAsia="Times New Roman" w:cs="Times New Roman"/>
                <w:b/>
                <w:bCs/>
                <w:color w:val="000000"/>
                <w:szCs w:val="24"/>
              </w:rPr>
            </w:pPr>
            <w:r>
              <w:rPr>
                <w:rFonts w:eastAsia="Times New Roman" w:cs="Times New Roman"/>
                <w:b/>
                <w:bCs/>
                <w:color w:val="000000"/>
                <w:szCs w:val="24"/>
              </w:rPr>
              <w:t>Seat Belt Effectiveness</w:t>
            </w:r>
          </w:p>
          <w:p w14:paraId="6FC6BCCE" w14:textId="77777777" w:rsidR="004B2BB7" w:rsidRPr="00954B78" w:rsidRDefault="000F5B51" w:rsidP="00A807D0">
            <w:pPr>
              <w:spacing w:after="0" w:line="240" w:lineRule="auto"/>
              <w:jc w:val="center"/>
              <w:rPr>
                <w:rFonts w:eastAsia="Times New Roman" w:cs="Times New Roman"/>
                <w:b/>
                <w:bCs/>
                <w:color w:val="000000"/>
                <w:szCs w:val="24"/>
              </w:rPr>
            </w:pPr>
            <w:r>
              <w:rPr>
                <w:rFonts w:eastAsia="Times New Roman" w:cs="Times New Roman"/>
                <w:b/>
                <w:bCs/>
                <w:color w:val="000000"/>
                <w:szCs w:val="24"/>
              </w:rPr>
              <w:t>(b)</w:t>
            </w:r>
          </w:p>
        </w:tc>
        <w:tc>
          <w:tcPr>
            <w:tcW w:w="1950" w:type="dxa"/>
            <w:shd w:val="clear" w:color="auto" w:fill="D9D9D9" w:themeFill="background1" w:themeFillShade="D9"/>
            <w:noWrap/>
            <w:vAlign w:val="center"/>
          </w:tcPr>
          <w:p w14:paraId="364624F8" w14:textId="77777777" w:rsidR="004B2BB7" w:rsidRDefault="000F5B51" w:rsidP="00A807D0">
            <w:pPr>
              <w:spacing w:after="0" w:line="240" w:lineRule="auto"/>
              <w:jc w:val="center"/>
              <w:rPr>
                <w:rFonts w:eastAsia="Times New Roman" w:cs="Times New Roman"/>
                <w:b/>
                <w:bCs/>
                <w:color w:val="000000"/>
                <w:szCs w:val="24"/>
              </w:rPr>
            </w:pPr>
            <w:r>
              <w:rPr>
                <w:rFonts w:eastAsia="Times New Roman" w:cs="Times New Roman"/>
                <w:b/>
                <w:bCs/>
                <w:color w:val="000000"/>
                <w:szCs w:val="24"/>
              </w:rPr>
              <w:t>Baseline Seat Belt Use Rate</w:t>
            </w:r>
          </w:p>
          <w:p w14:paraId="3C051AEE" w14:textId="77777777" w:rsidR="004B2BB7" w:rsidRPr="00954B78" w:rsidRDefault="000F5B51" w:rsidP="00A807D0">
            <w:pPr>
              <w:spacing w:after="0" w:line="240" w:lineRule="auto"/>
              <w:jc w:val="center"/>
              <w:rPr>
                <w:rFonts w:eastAsia="Times New Roman" w:cs="Times New Roman"/>
                <w:b/>
                <w:bCs/>
                <w:color w:val="000000"/>
                <w:szCs w:val="24"/>
              </w:rPr>
            </w:pPr>
            <w:r>
              <w:rPr>
                <w:rFonts w:eastAsia="Times New Roman" w:cs="Times New Roman"/>
                <w:b/>
                <w:bCs/>
                <w:color w:val="000000"/>
                <w:szCs w:val="24"/>
              </w:rPr>
              <w:t>(c)</w:t>
            </w:r>
          </w:p>
        </w:tc>
        <w:tc>
          <w:tcPr>
            <w:tcW w:w="1949" w:type="dxa"/>
            <w:shd w:val="clear" w:color="auto" w:fill="D9D9D9" w:themeFill="background1" w:themeFillShade="D9"/>
            <w:noWrap/>
            <w:vAlign w:val="center"/>
          </w:tcPr>
          <w:p w14:paraId="2AE6F853" w14:textId="60EFAC4E" w:rsidR="004B2BB7" w:rsidRDefault="004E6BB5" w:rsidP="00A807D0">
            <w:pPr>
              <w:spacing w:after="0" w:line="240" w:lineRule="auto"/>
              <w:jc w:val="center"/>
              <w:rPr>
                <w:rFonts w:eastAsia="Times New Roman" w:cs="Times New Roman"/>
                <w:b/>
                <w:bCs/>
                <w:color w:val="000000"/>
                <w:szCs w:val="24"/>
              </w:rPr>
            </w:pPr>
            <w:r>
              <w:rPr>
                <w:rFonts w:eastAsia="Times New Roman" w:cs="Times New Roman"/>
                <w:b/>
                <w:bCs/>
                <w:color w:val="000000"/>
                <w:szCs w:val="24"/>
              </w:rPr>
              <w:t>Baseline Effects</w:t>
            </w:r>
          </w:p>
          <w:p w14:paraId="79D15626" w14:textId="77777777" w:rsidR="004B2BB7" w:rsidRPr="0068771B" w:rsidRDefault="000F5B51" w:rsidP="00A807D0">
            <w:pPr>
              <w:spacing w:after="0" w:line="240" w:lineRule="auto"/>
              <w:jc w:val="center"/>
              <w:rPr>
                <w:rFonts w:eastAsia="Times New Roman" w:cs="Times New Roman"/>
                <w:b/>
                <w:bCs/>
                <w:color w:val="000000"/>
                <w:szCs w:val="24"/>
              </w:rPr>
            </w:pPr>
            <w:r>
              <w:rPr>
                <w:rFonts w:eastAsia="Times New Roman" w:cs="Times New Roman"/>
                <w:b/>
                <w:bCs/>
                <w:color w:val="000000"/>
                <w:szCs w:val="24"/>
              </w:rPr>
              <w:t>(a) x (b) x (c)</w:t>
            </w:r>
          </w:p>
        </w:tc>
        <w:tc>
          <w:tcPr>
            <w:tcW w:w="1950" w:type="dxa"/>
            <w:shd w:val="clear" w:color="auto" w:fill="D9D9D9" w:themeFill="background1" w:themeFillShade="D9"/>
            <w:vAlign w:val="center"/>
          </w:tcPr>
          <w:p w14:paraId="6EE2F360" w14:textId="77777777" w:rsidR="004B2BB7" w:rsidRDefault="000F5B51" w:rsidP="00A807D0">
            <w:pPr>
              <w:spacing w:after="0" w:line="240" w:lineRule="auto"/>
              <w:jc w:val="center"/>
              <w:rPr>
                <w:rFonts w:eastAsia="Times New Roman" w:cs="Times New Roman"/>
                <w:b/>
                <w:bCs/>
                <w:color w:val="000000"/>
                <w:szCs w:val="24"/>
              </w:rPr>
            </w:pPr>
            <w:r>
              <w:rPr>
                <w:rFonts w:eastAsia="Times New Roman" w:cs="Times New Roman"/>
                <w:b/>
                <w:bCs/>
                <w:color w:val="000000"/>
                <w:szCs w:val="24"/>
              </w:rPr>
              <w:t>Double the Hi Increase</w:t>
            </w:r>
          </w:p>
        </w:tc>
        <w:tc>
          <w:tcPr>
            <w:tcW w:w="1950" w:type="dxa"/>
            <w:shd w:val="clear" w:color="auto" w:fill="D9D9D9" w:themeFill="background1" w:themeFillShade="D9"/>
            <w:vAlign w:val="center"/>
          </w:tcPr>
          <w:p w14:paraId="139FA895" w14:textId="77777777" w:rsidR="004B2BB7" w:rsidRDefault="000F5B51" w:rsidP="00A807D0">
            <w:pPr>
              <w:spacing w:after="0" w:line="240" w:lineRule="auto"/>
              <w:jc w:val="center"/>
              <w:rPr>
                <w:rFonts w:eastAsia="Times New Roman" w:cs="Times New Roman"/>
                <w:b/>
                <w:bCs/>
                <w:color w:val="000000"/>
                <w:szCs w:val="24"/>
              </w:rPr>
            </w:pPr>
            <w:r>
              <w:rPr>
                <w:rFonts w:eastAsia="Times New Roman" w:cs="Times New Roman"/>
                <w:b/>
                <w:bCs/>
                <w:color w:val="000000"/>
                <w:szCs w:val="24"/>
              </w:rPr>
              <w:t>Benefits when Doubling the Hi Increase</w:t>
            </w:r>
          </w:p>
        </w:tc>
        <w:tc>
          <w:tcPr>
            <w:tcW w:w="1950" w:type="dxa"/>
            <w:shd w:val="clear" w:color="auto" w:fill="D9D9D9" w:themeFill="background1" w:themeFillShade="D9"/>
            <w:vAlign w:val="center"/>
          </w:tcPr>
          <w:p w14:paraId="6F131599" w14:textId="77777777" w:rsidR="004B2BB7" w:rsidRDefault="000F5B51" w:rsidP="00A807D0">
            <w:pPr>
              <w:spacing w:after="0" w:line="240" w:lineRule="auto"/>
              <w:jc w:val="center"/>
              <w:rPr>
                <w:rFonts w:eastAsia="Times New Roman" w:cs="Times New Roman"/>
                <w:b/>
                <w:bCs/>
                <w:color w:val="000000"/>
                <w:szCs w:val="24"/>
              </w:rPr>
            </w:pPr>
            <w:r>
              <w:rPr>
                <w:rFonts w:eastAsia="Times New Roman" w:cs="Times New Roman"/>
                <w:b/>
                <w:bCs/>
                <w:color w:val="000000"/>
                <w:szCs w:val="24"/>
              </w:rPr>
              <w:t>Incremental Benefits</w:t>
            </w:r>
          </w:p>
        </w:tc>
      </w:tr>
      <w:tr w:rsidR="00A15C2C" w14:paraId="0E5D7198" w14:textId="77777777" w:rsidTr="00A807D0">
        <w:trPr>
          <w:trHeight w:val="310"/>
          <w:jc w:val="center"/>
        </w:trPr>
        <w:tc>
          <w:tcPr>
            <w:tcW w:w="15136" w:type="dxa"/>
            <w:gridSpan w:val="8"/>
            <w:shd w:val="clear" w:color="auto" w:fill="D9D9D9" w:themeFill="background1" w:themeFillShade="D9"/>
            <w:noWrap/>
            <w:vAlign w:val="bottom"/>
          </w:tcPr>
          <w:p w14:paraId="3FF753FA" w14:textId="77777777" w:rsidR="004B2BB7" w:rsidRPr="000B32DD" w:rsidRDefault="000F5B51" w:rsidP="00A807D0">
            <w:pPr>
              <w:spacing w:after="0" w:line="240" w:lineRule="auto"/>
              <w:jc w:val="center"/>
              <w:rPr>
                <w:b/>
                <w:bCs/>
                <w:i/>
                <w:iCs/>
                <w:color w:val="000000"/>
              </w:rPr>
            </w:pPr>
            <w:r w:rsidRPr="000B32DD">
              <w:rPr>
                <w:b/>
                <w:bCs/>
                <w:i/>
                <w:iCs/>
                <w:color w:val="000000"/>
              </w:rPr>
              <w:t>Passenger Cars</w:t>
            </w:r>
          </w:p>
        </w:tc>
      </w:tr>
      <w:tr w:rsidR="00A15C2C" w14:paraId="5F91B7E3" w14:textId="77777777" w:rsidTr="00A807D0">
        <w:trPr>
          <w:trHeight w:val="310"/>
          <w:jc w:val="center"/>
        </w:trPr>
        <w:tc>
          <w:tcPr>
            <w:tcW w:w="1488" w:type="dxa"/>
            <w:shd w:val="clear" w:color="auto" w:fill="auto"/>
            <w:noWrap/>
            <w:vAlign w:val="bottom"/>
          </w:tcPr>
          <w:p w14:paraId="31DB8A8B" w14:textId="77777777" w:rsidR="007D6E82" w:rsidRPr="00954B78" w:rsidRDefault="000F5B51" w:rsidP="007D6E82">
            <w:pPr>
              <w:spacing w:after="0" w:line="240" w:lineRule="auto"/>
              <w:rPr>
                <w:rFonts w:eastAsia="Times New Roman" w:cs="Times New Roman"/>
                <w:color w:val="000000"/>
                <w:szCs w:val="24"/>
              </w:rPr>
            </w:pPr>
            <w:r>
              <w:rPr>
                <w:rFonts w:eastAsia="Times New Roman" w:cs="Times New Roman"/>
                <w:color w:val="000000"/>
                <w:szCs w:val="24"/>
              </w:rPr>
              <w:t>MAIS 1</w:t>
            </w:r>
          </w:p>
        </w:tc>
        <w:tc>
          <w:tcPr>
            <w:tcW w:w="1949" w:type="dxa"/>
            <w:vAlign w:val="center"/>
          </w:tcPr>
          <w:p w14:paraId="4E5EC46C" w14:textId="77777777" w:rsidR="007D6E82" w:rsidRPr="00954B78" w:rsidRDefault="000F5B51" w:rsidP="007D6E82">
            <w:pPr>
              <w:spacing w:after="0" w:line="240" w:lineRule="auto"/>
              <w:jc w:val="center"/>
              <w:rPr>
                <w:rFonts w:cs="Times New Roman"/>
                <w:color w:val="000000"/>
                <w:szCs w:val="24"/>
              </w:rPr>
            </w:pPr>
            <w:r>
              <w:rPr>
                <w:color w:val="000000"/>
              </w:rPr>
              <w:t>3,176</w:t>
            </w:r>
          </w:p>
        </w:tc>
        <w:tc>
          <w:tcPr>
            <w:tcW w:w="1950" w:type="dxa"/>
            <w:shd w:val="clear" w:color="auto" w:fill="auto"/>
            <w:noWrap/>
            <w:vAlign w:val="center"/>
          </w:tcPr>
          <w:p w14:paraId="24A2397B" w14:textId="77777777" w:rsidR="007D6E82" w:rsidRPr="00954B78" w:rsidRDefault="000F5B51" w:rsidP="007D6E82">
            <w:pPr>
              <w:spacing w:after="0" w:line="240" w:lineRule="auto"/>
              <w:jc w:val="center"/>
              <w:rPr>
                <w:rFonts w:eastAsia="Times New Roman" w:cs="Times New Roman"/>
                <w:color w:val="000000"/>
                <w:szCs w:val="24"/>
              </w:rPr>
            </w:pPr>
            <w:r>
              <w:rPr>
                <w:color w:val="000000"/>
              </w:rPr>
              <w:t>0.055</w:t>
            </w:r>
          </w:p>
        </w:tc>
        <w:tc>
          <w:tcPr>
            <w:tcW w:w="1950" w:type="dxa"/>
            <w:shd w:val="clear" w:color="auto" w:fill="auto"/>
            <w:noWrap/>
            <w:vAlign w:val="center"/>
          </w:tcPr>
          <w:p w14:paraId="7E83D9C7" w14:textId="77777777" w:rsidR="007D6E82" w:rsidRPr="00954B78" w:rsidRDefault="000F5B51" w:rsidP="007D6E82">
            <w:pPr>
              <w:spacing w:after="0" w:line="240" w:lineRule="auto"/>
              <w:jc w:val="center"/>
              <w:rPr>
                <w:rFonts w:eastAsia="Times New Roman" w:cs="Times New Roman"/>
                <w:color w:val="000000"/>
                <w:szCs w:val="24"/>
              </w:rPr>
            </w:pPr>
            <w:r>
              <w:rPr>
                <w:color w:val="000000"/>
              </w:rPr>
              <w:t>0.98</w:t>
            </w:r>
            <w:r w:rsidR="008B5515">
              <w:rPr>
                <w:color w:val="000000"/>
              </w:rPr>
              <w:t>00</w:t>
            </w:r>
          </w:p>
        </w:tc>
        <w:tc>
          <w:tcPr>
            <w:tcW w:w="1949" w:type="dxa"/>
            <w:shd w:val="clear" w:color="auto" w:fill="auto"/>
            <w:noWrap/>
            <w:vAlign w:val="bottom"/>
          </w:tcPr>
          <w:p w14:paraId="2346AD0B" w14:textId="77777777" w:rsidR="007D6E82" w:rsidRPr="00954B78" w:rsidRDefault="000F5B51" w:rsidP="007D6E82">
            <w:pPr>
              <w:spacing w:after="0" w:line="240" w:lineRule="auto"/>
              <w:jc w:val="center"/>
              <w:rPr>
                <w:rFonts w:eastAsia="Times New Roman" w:cs="Times New Roman"/>
                <w:color w:val="000000"/>
                <w:szCs w:val="24"/>
              </w:rPr>
            </w:pPr>
            <w:r>
              <w:rPr>
                <w:color w:val="000000"/>
                <w:sz w:val="22"/>
              </w:rPr>
              <w:t>171</w:t>
            </w:r>
          </w:p>
        </w:tc>
        <w:tc>
          <w:tcPr>
            <w:tcW w:w="1950" w:type="dxa"/>
            <w:vAlign w:val="center"/>
          </w:tcPr>
          <w:p w14:paraId="69693B50" w14:textId="77777777" w:rsidR="007D6E82" w:rsidRPr="00954B78" w:rsidRDefault="000F5B51" w:rsidP="007D6E82">
            <w:pPr>
              <w:spacing w:after="0" w:line="240" w:lineRule="auto"/>
              <w:jc w:val="center"/>
              <w:rPr>
                <w:rFonts w:eastAsia="Times New Roman" w:cs="Times New Roman"/>
                <w:color w:val="000000"/>
                <w:szCs w:val="24"/>
              </w:rPr>
            </w:pPr>
            <w:r>
              <w:rPr>
                <w:color w:val="000000"/>
              </w:rPr>
              <w:t>0.984</w:t>
            </w:r>
            <w:r w:rsidR="008B5515">
              <w:rPr>
                <w:color w:val="000000"/>
              </w:rPr>
              <w:t>0</w:t>
            </w:r>
          </w:p>
        </w:tc>
        <w:tc>
          <w:tcPr>
            <w:tcW w:w="1950" w:type="dxa"/>
            <w:vAlign w:val="center"/>
          </w:tcPr>
          <w:p w14:paraId="05154E5F" w14:textId="77777777" w:rsidR="007D6E82" w:rsidRPr="00954B78" w:rsidRDefault="000F5B51" w:rsidP="007D6E82">
            <w:pPr>
              <w:spacing w:after="0" w:line="240" w:lineRule="auto"/>
              <w:jc w:val="center"/>
              <w:rPr>
                <w:rFonts w:eastAsia="Times New Roman" w:cs="Times New Roman"/>
                <w:color w:val="000000"/>
                <w:szCs w:val="24"/>
              </w:rPr>
            </w:pPr>
            <w:r>
              <w:rPr>
                <w:color w:val="000000"/>
              </w:rPr>
              <w:t>172</w:t>
            </w:r>
          </w:p>
        </w:tc>
        <w:tc>
          <w:tcPr>
            <w:tcW w:w="1950" w:type="dxa"/>
            <w:vAlign w:val="center"/>
          </w:tcPr>
          <w:p w14:paraId="1D6C51FA" w14:textId="77777777" w:rsidR="007D6E82" w:rsidRPr="00954B78" w:rsidRDefault="000F5B51" w:rsidP="007D6E82">
            <w:pPr>
              <w:spacing w:after="0" w:line="240" w:lineRule="auto"/>
              <w:jc w:val="center"/>
              <w:rPr>
                <w:rFonts w:eastAsia="Times New Roman" w:cs="Times New Roman"/>
                <w:color w:val="000000"/>
                <w:szCs w:val="24"/>
              </w:rPr>
            </w:pPr>
            <w:r>
              <w:rPr>
                <w:color w:val="000000"/>
              </w:rPr>
              <w:t>1</w:t>
            </w:r>
          </w:p>
        </w:tc>
      </w:tr>
      <w:tr w:rsidR="00A15C2C" w14:paraId="1DCAC7BE" w14:textId="77777777" w:rsidTr="00A807D0">
        <w:trPr>
          <w:trHeight w:val="310"/>
          <w:jc w:val="center"/>
        </w:trPr>
        <w:tc>
          <w:tcPr>
            <w:tcW w:w="1488" w:type="dxa"/>
            <w:shd w:val="clear" w:color="auto" w:fill="auto"/>
            <w:noWrap/>
          </w:tcPr>
          <w:p w14:paraId="74487806" w14:textId="77777777" w:rsidR="007D6E82" w:rsidRPr="00954B78" w:rsidRDefault="000F5B51" w:rsidP="007D6E82">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2</w:t>
            </w:r>
          </w:p>
        </w:tc>
        <w:tc>
          <w:tcPr>
            <w:tcW w:w="1949" w:type="dxa"/>
            <w:vAlign w:val="center"/>
          </w:tcPr>
          <w:p w14:paraId="1B3161FD" w14:textId="77777777" w:rsidR="007D6E82" w:rsidRPr="00954B78" w:rsidRDefault="000F5B51" w:rsidP="007D6E82">
            <w:pPr>
              <w:spacing w:after="0" w:line="240" w:lineRule="auto"/>
              <w:jc w:val="center"/>
              <w:rPr>
                <w:rFonts w:cs="Times New Roman"/>
                <w:color w:val="000000"/>
                <w:szCs w:val="24"/>
              </w:rPr>
            </w:pPr>
            <w:r>
              <w:rPr>
                <w:color w:val="000000"/>
              </w:rPr>
              <w:t>357</w:t>
            </w:r>
          </w:p>
        </w:tc>
        <w:tc>
          <w:tcPr>
            <w:tcW w:w="1950" w:type="dxa"/>
            <w:shd w:val="clear" w:color="auto" w:fill="auto"/>
            <w:noWrap/>
            <w:vAlign w:val="center"/>
          </w:tcPr>
          <w:p w14:paraId="5088D84A" w14:textId="77777777" w:rsidR="007D6E82" w:rsidRPr="00954B78" w:rsidRDefault="000F5B51" w:rsidP="007D6E82">
            <w:pPr>
              <w:spacing w:after="0" w:line="240" w:lineRule="auto"/>
              <w:jc w:val="center"/>
              <w:rPr>
                <w:rFonts w:eastAsia="Times New Roman" w:cs="Times New Roman"/>
                <w:color w:val="000000"/>
                <w:szCs w:val="24"/>
              </w:rPr>
            </w:pPr>
            <w:r>
              <w:rPr>
                <w:color w:val="000000"/>
              </w:rPr>
              <w:t>0.625</w:t>
            </w:r>
          </w:p>
        </w:tc>
        <w:tc>
          <w:tcPr>
            <w:tcW w:w="1950" w:type="dxa"/>
            <w:shd w:val="clear" w:color="auto" w:fill="auto"/>
            <w:noWrap/>
            <w:vAlign w:val="center"/>
          </w:tcPr>
          <w:p w14:paraId="2CDE5D42" w14:textId="77777777" w:rsidR="007D6E82" w:rsidRPr="00954B78" w:rsidRDefault="000F5B51" w:rsidP="007D6E82">
            <w:pPr>
              <w:spacing w:after="0" w:line="240" w:lineRule="auto"/>
              <w:jc w:val="center"/>
              <w:rPr>
                <w:rFonts w:eastAsia="Times New Roman" w:cs="Times New Roman"/>
                <w:color w:val="000000"/>
                <w:szCs w:val="24"/>
              </w:rPr>
            </w:pPr>
            <w:r>
              <w:rPr>
                <w:color w:val="000000"/>
              </w:rPr>
              <w:t>0.98</w:t>
            </w:r>
            <w:r w:rsidR="008B5515">
              <w:rPr>
                <w:color w:val="000000"/>
              </w:rPr>
              <w:t>00</w:t>
            </w:r>
          </w:p>
        </w:tc>
        <w:tc>
          <w:tcPr>
            <w:tcW w:w="1949" w:type="dxa"/>
            <w:shd w:val="clear" w:color="auto" w:fill="auto"/>
            <w:noWrap/>
            <w:vAlign w:val="bottom"/>
          </w:tcPr>
          <w:p w14:paraId="69AC86AA" w14:textId="77777777" w:rsidR="007D6E82" w:rsidRPr="00954B78" w:rsidRDefault="000F5B51" w:rsidP="007D6E82">
            <w:pPr>
              <w:spacing w:after="0" w:line="240" w:lineRule="auto"/>
              <w:jc w:val="center"/>
              <w:rPr>
                <w:rFonts w:eastAsia="Times New Roman" w:cs="Times New Roman"/>
                <w:color w:val="000000"/>
                <w:szCs w:val="24"/>
              </w:rPr>
            </w:pPr>
            <w:r>
              <w:rPr>
                <w:color w:val="000000"/>
                <w:sz w:val="22"/>
              </w:rPr>
              <w:t>2</w:t>
            </w:r>
            <w:r w:rsidR="001B0DCA">
              <w:rPr>
                <w:color w:val="000000"/>
                <w:sz w:val="22"/>
              </w:rPr>
              <w:t>19</w:t>
            </w:r>
          </w:p>
        </w:tc>
        <w:tc>
          <w:tcPr>
            <w:tcW w:w="1950" w:type="dxa"/>
            <w:vAlign w:val="center"/>
          </w:tcPr>
          <w:p w14:paraId="1AB711DC" w14:textId="77777777" w:rsidR="007D6E82" w:rsidRPr="00954B78" w:rsidRDefault="000F5B51" w:rsidP="007D6E82">
            <w:pPr>
              <w:spacing w:after="0" w:line="240" w:lineRule="auto"/>
              <w:jc w:val="center"/>
              <w:rPr>
                <w:rFonts w:eastAsia="Times New Roman" w:cs="Times New Roman"/>
                <w:color w:val="000000"/>
                <w:szCs w:val="24"/>
              </w:rPr>
            </w:pPr>
            <w:r>
              <w:rPr>
                <w:color w:val="000000"/>
              </w:rPr>
              <w:t>0.984</w:t>
            </w:r>
            <w:r w:rsidR="008B5515">
              <w:rPr>
                <w:color w:val="000000"/>
              </w:rPr>
              <w:t>0</w:t>
            </w:r>
          </w:p>
        </w:tc>
        <w:tc>
          <w:tcPr>
            <w:tcW w:w="1950" w:type="dxa"/>
            <w:vAlign w:val="center"/>
          </w:tcPr>
          <w:p w14:paraId="7C34E030" w14:textId="77777777" w:rsidR="007D6E82" w:rsidRPr="00954B78" w:rsidRDefault="000F5B51" w:rsidP="007D6E82">
            <w:pPr>
              <w:spacing w:after="0" w:line="240" w:lineRule="auto"/>
              <w:jc w:val="center"/>
              <w:rPr>
                <w:rFonts w:eastAsia="Times New Roman" w:cs="Times New Roman"/>
                <w:color w:val="000000"/>
                <w:szCs w:val="24"/>
              </w:rPr>
            </w:pPr>
            <w:r>
              <w:rPr>
                <w:color w:val="000000"/>
              </w:rPr>
              <w:t>22</w:t>
            </w:r>
            <w:r w:rsidR="001B0DCA">
              <w:rPr>
                <w:color w:val="000000"/>
              </w:rPr>
              <w:t>0</w:t>
            </w:r>
          </w:p>
        </w:tc>
        <w:tc>
          <w:tcPr>
            <w:tcW w:w="1950" w:type="dxa"/>
            <w:vAlign w:val="center"/>
          </w:tcPr>
          <w:p w14:paraId="13898548" w14:textId="77777777" w:rsidR="007D6E82" w:rsidRPr="00954B78" w:rsidRDefault="000F5B51" w:rsidP="007D6E82">
            <w:pPr>
              <w:spacing w:after="0" w:line="240" w:lineRule="auto"/>
              <w:jc w:val="center"/>
              <w:rPr>
                <w:rFonts w:eastAsia="Times New Roman" w:cs="Times New Roman"/>
                <w:color w:val="000000"/>
                <w:szCs w:val="24"/>
              </w:rPr>
            </w:pPr>
            <w:r>
              <w:rPr>
                <w:color w:val="000000"/>
              </w:rPr>
              <w:t>1</w:t>
            </w:r>
          </w:p>
        </w:tc>
      </w:tr>
      <w:tr w:rsidR="00A15C2C" w14:paraId="232CF856" w14:textId="77777777" w:rsidTr="00A807D0">
        <w:trPr>
          <w:trHeight w:val="310"/>
          <w:jc w:val="center"/>
        </w:trPr>
        <w:tc>
          <w:tcPr>
            <w:tcW w:w="1488" w:type="dxa"/>
            <w:shd w:val="clear" w:color="auto" w:fill="auto"/>
            <w:noWrap/>
          </w:tcPr>
          <w:p w14:paraId="075D7A6D" w14:textId="77777777" w:rsidR="007D6E82" w:rsidRPr="00954B78" w:rsidRDefault="000F5B51" w:rsidP="007D6E82">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3</w:t>
            </w:r>
          </w:p>
        </w:tc>
        <w:tc>
          <w:tcPr>
            <w:tcW w:w="1949" w:type="dxa"/>
            <w:vAlign w:val="center"/>
          </w:tcPr>
          <w:p w14:paraId="282E5621" w14:textId="77777777" w:rsidR="007D6E82" w:rsidRPr="00954B78" w:rsidRDefault="000F5B51" w:rsidP="007D6E82">
            <w:pPr>
              <w:spacing w:after="0" w:line="240" w:lineRule="auto"/>
              <w:jc w:val="center"/>
              <w:rPr>
                <w:rFonts w:cs="Times New Roman"/>
                <w:color w:val="000000"/>
                <w:szCs w:val="24"/>
              </w:rPr>
            </w:pPr>
            <w:r>
              <w:rPr>
                <w:color w:val="000000"/>
              </w:rPr>
              <w:t>138</w:t>
            </w:r>
          </w:p>
        </w:tc>
        <w:tc>
          <w:tcPr>
            <w:tcW w:w="1950" w:type="dxa"/>
            <w:shd w:val="clear" w:color="auto" w:fill="auto"/>
            <w:noWrap/>
            <w:vAlign w:val="center"/>
          </w:tcPr>
          <w:p w14:paraId="14AB021D" w14:textId="77777777" w:rsidR="007D6E82" w:rsidRPr="00954B78" w:rsidRDefault="000F5B51" w:rsidP="007D6E82">
            <w:pPr>
              <w:spacing w:after="0" w:line="240" w:lineRule="auto"/>
              <w:jc w:val="center"/>
              <w:rPr>
                <w:rFonts w:eastAsia="Times New Roman" w:cs="Times New Roman"/>
                <w:color w:val="000000"/>
                <w:szCs w:val="24"/>
              </w:rPr>
            </w:pPr>
            <w:r>
              <w:rPr>
                <w:color w:val="000000"/>
              </w:rPr>
              <w:t>0.625</w:t>
            </w:r>
          </w:p>
        </w:tc>
        <w:tc>
          <w:tcPr>
            <w:tcW w:w="1950" w:type="dxa"/>
            <w:shd w:val="clear" w:color="auto" w:fill="auto"/>
            <w:noWrap/>
            <w:vAlign w:val="center"/>
          </w:tcPr>
          <w:p w14:paraId="7F7CC901" w14:textId="77777777" w:rsidR="007D6E82" w:rsidRPr="00954B78" w:rsidRDefault="000F5B51" w:rsidP="007D6E82">
            <w:pPr>
              <w:spacing w:after="0" w:line="240" w:lineRule="auto"/>
              <w:jc w:val="center"/>
              <w:rPr>
                <w:rFonts w:eastAsia="Times New Roman" w:cs="Times New Roman"/>
                <w:color w:val="000000"/>
                <w:szCs w:val="24"/>
              </w:rPr>
            </w:pPr>
            <w:r>
              <w:rPr>
                <w:color w:val="000000"/>
              </w:rPr>
              <w:t>0.98</w:t>
            </w:r>
            <w:r w:rsidR="008B5515">
              <w:rPr>
                <w:color w:val="000000"/>
              </w:rPr>
              <w:t>00</w:t>
            </w:r>
          </w:p>
        </w:tc>
        <w:tc>
          <w:tcPr>
            <w:tcW w:w="1949" w:type="dxa"/>
            <w:shd w:val="clear" w:color="auto" w:fill="auto"/>
            <w:noWrap/>
            <w:vAlign w:val="bottom"/>
          </w:tcPr>
          <w:p w14:paraId="71382D96" w14:textId="77777777" w:rsidR="007D6E82" w:rsidRPr="00954B78" w:rsidRDefault="000F5B51" w:rsidP="007D6E82">
            <w:pPr>
              <w:spacing w:after="0" w:line="240" w:lineRule="auto"/>
              <w:jc w:val="center"/>
              <w:rPr>
                <w:rFonts w:eastAsia="Times New Roman" w:cs="Times New Roman"/>
                <w:color w:val="000000"/>
                <w:szCs w:val="24"/>
              </w:rPr>
            </w:pPr>
            <w:r>
              <w:rPr>
                <w:color w:val="000000"/>
                <w:sz w:val="22"/>
              </w:rPr>
              <w:t>8</w:t>
            </w:r>
            <w:r w:rsidR="001B0DCA">
              <w:rPr>
                <w:color w:val="000000"/>
                <w:sz w:val="22"/>
              </w:rPr>
              <w:t>5</w:t>
            </w:r>
          </w:p>
        </w:tc>
        <w:tc>
          <w:tcPr>
            <w:tcW w:w="1950" w:type="dxa"/>
            <w:vAlign w:val="center"/>
          </w:tcPr>
          <w:p w14:paraId="1339C802" w14:textId="77777777" w:rsidR="007D6E82" w:rsidRPr="00954B78" w:rsidRDefault="000F5B51" w:rsidP="007D6E82">
            <w:pPr>
              <w:spacing w:after="0" w:line="240" w:lineRule="auto"/>
              <w:jc w:val="center"/>
              <w:rPr>
                <w:rFonts w:eastAsia="Times New Roman" w:cs="Times New Roman"/>
                <w:color w:val="000000"/>
                <w:szCs w:val="24"/>
              </w:rPr>
            </w:pPr>
            <w:r>
              <w:rPr>
                <w:color w:val="000000"/>
              </w:rPr>
              <w:t>0.984</w:t>
            </w:r>
            <w:r w:rsidR="008B5515">
              <w:rPr>
                <w:color w:val="000000"/>
              </w:rPr>
              <w:t>0</w:t>
            </w:r>
          </w:p>
        </w:tc>
        <w:tc>
          <w:tcPr>
            <w:tcW w:w="1950" w:type="dxa"/>
            <w:vAlign w:val="center"/>
          </w:tcPr>
          <w:p w14:paraId="2ABAB996" w14:textId="77777777" w:rsidR="007D6E82" w:rsidRPr="00954B78" w:rsidRDefault="000F5B51" w:rsidP="007D6E82">
            <w:pPr>
              <w:spacing w:after="0" w:line="240" w:lineRule="auto"/>
              <w:jc w:val="center"/>
              <w:rPr>
                <w:rFonts w:eastAsia="Times New Roman" w:cs="Times New Roman"/>
                <w:color w:val="000000"/>
                <w:szCs w:val="24"/>
              </w:rPr>
            </w:pPr>
            <w:r>
              <w:rPr>
                <w:color w:val="000000"/>
              </w:rPr>
              <w:t>8</w:t>
            </w:r>
            <w:r w:rsidR="001B0DCA">
              <w:rPr>
                <w:color w:val="000000"/>
              </w:rPr>
              <w:t>5</w:t>
            </w:r>
          </w:p>
        </w:tc>
        <w:tc>
          <w:tcPr>
            <w:tcW w:w="1950" w:type="dxa"/>
            <w:vAlign w:val="center"/>
          </w:tcPr>
          <w:p w14:paraId="586E868F" w14:textId="77777777" w:rsidR="007D6E82" w:rsidRPr="00954B78" w:rsidRDefault="000F5B51" w:rsidP="007D6E82">
            <w:pPr>
              <w:spacing w:after="0" w:line="240" w:lineRule="auto"/>
              <w:jc w:val="center"/>
              <w:rPr>
                <w:rFonts w:eastAsia="Times New Roman" w:cs="Times New Roman"/>
                <w:color w:val="000000"/>
                <w:szCs w:val="24"/>
              </w:rPr>
            </w:pPr>
            <w:r>
              <w:rPr>
                <w:color w:val="000000"/>
              </w:rPr>
              <w:t>0</w:t>
            </w:r>
          </w:p>
        </w:tc>
      </w:tr>
      <w:tr w:rsidR="00A15C2C" w14:paraId="31617079" w14:textId="77777777" w:rsidTr="00A807D0">
        <w:trPr>
          <w:trHeight w:val="310"/>
          <w:jc w:val="center"/>
        </w:trPr>
        <w:tc>
          <w:tcPr>
            <w:tcW w:w="1488" w:type="dxa"/>
            <w:shd w:val="clear" w:color="auto" w:fill="auto"/>
            <w:noWrap/>
          </w:tcPr>
          <w:p w14:paraId="0F3FD3A9" w14:textId="77777777" w:rsidR="007D6E82" w:rsidRPr="00954B78" w:rsidRDefault="000F5B51" w:rsidP="007D6E82">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4</w:t>
            </w:r>
          </w:p>
        </w:tc>
        <w:tc>
          <w:tcPr>
            <w:tcW w:w="1949" w:type="dxa"/>
            <w:vAlign w:val="center"/>
          </w:tcPr>
          <w:p w14:paraId="1EA7BAC3" w14:textId="77777777" w:rsidR="007D6E82" w:rsidRPr="00954B78" w:rsidRDefault="000F5B51" w:rsidP="007D6E82">
            <w:pPr>
              <w:spacing w:after="0" w:line="240" w:lineRule="auto"/>
              <w:jc w:val="center"/>
              <w:rPr>
                <w:rFonts w:cs="Times New Roman"/>
                <w:color w:val="000000"/>
                <w:szCs w:val="24"/>
              </w:rPr>
            </w:pPr>
            <w:r>
              <w:rPr>
                <w:color w:val="000000"/>
              </w:rPr>
              <w:t>39</w:t>
            </w:r>
          </w:p>
        </w:tc>
        <w:tc>
          <w:tcPr>
            <w:tcW w:w="1950" w:type="dxa"/>
            <w:shd w:val="clear" w:color="auto" w:fill="auto"/>
            <w:noWrap/>
            <w:vAlign w:val="center"/>
          </w:tcPr>
          <w:p w14:paraId="23B47F71" w14:textId="77777777" w:rsidR="007D6E82" w:rsidRPr="00954B78" w:rsidRDefault="000F5B51" w:rsidP="007D6E82">
            <w:pPr>
              <w:spacing w:after="0" w:line="240" w:lineRule="auto"/>
              <w:jc w:val="center"/>
              <w:rPr>
                <w:rFonts w:eastAsia="Times New Roman" w:cs="Times New Roman"/>
                <w:color w:val="000000"/>
                <w:szCs w:val="24"/>
              </w:rPr>
            </w:pPr>
            <w:r>
              <w:rPr>
                <w:color w:val="000000"/>
              </w:rPr>
              <w:t>0.625</w:t>
            </w:r>
          </w:p>
        </w:tc>
        <w:tc>
          <w:tcPr>
            <w:tcW w:w="1950" w:type="dxa"/>
            <w:shd w:val="clear" w:color="auto" w:fill="auto"/>
            <w:noWrap/>
            <w:vAlign w:val="center"/>
          </w:tcPr>
          <w:p w14:paraId="5E89D928" w14:textId="77777777" w:rsidR="007D6E82" w:rsidRPr="00954B78" w:rsidRDefault="000F5B51" w:rsidP="007D6E82">
            <w:pPr>
              <w:spacing w:after="0" w:line="240" w:lineRule="auto"/>
              <w:jc w:val="center"/>
              <w:rPr>
                <w:rFonts w:eastAsia="Times New Roman" w:cs="Times New Roman"/>
                <w:color w:val="000000"/>
                <w:szCs w:val="24"/>
              </w:rPr>
            </w:pPr>
            <w:r>
              <w:rPr>
                <w:color w:val="000000"/>
              </w:rPr>
              <w:t>0.98</w:t>
            </w:r>
            <w:r w:rsidR="008B5515">
              <w:rPr>
                <w:color w:val="000000"/>
              </w:rPr>
              <w:t>00</w:t>
            </w:r>
          </w:p>
        </w:tc>
        <w:tc>
          <w:tcPr>
            <w:tcW w:w="1949" w:type="dxa"/>
            <w:shd w:val="clear" w:color="auto" w:fill="auto"/>
            <w:noWrap/>
            <w:vAlign w:val="bottom"/>
          </w:tcPr>
          <w:p w14:paraId="695CBBD4" w14:textId="77777777" w:rsidR="007D6E82" w:rsidRPr="00954B78" w:rsidRDefault="000F5B51" w:rsidP="007D6E82">
            <w:pPr>
              <w:spacing w:after="0" w:line="240" w:lineRule="auto"/>
              <w:jc w:val="center"/>
              <w:rPr>
                <w:rFonts w:eastAsia="Times New Roman" w:cs="Times New Roman"/>
                <w:color w:val="000000"/>
                <w:szCs w:val="24"/>
              </w:rPr>
            </w:pPr>
            <w:r>
              <w:rPr>
                <w:color w:val="000000"/>
                <w:sz w:val="22"/>
              </w:rPr>
              <w:t>24</w:t>
            </w:r>
          </w:p>
        </w:tc>
        <w:tc>
          <w:tcPr>
            <w:tcW w:w="1950" w:type="dxa"/>
            <w:vAlign w:val="center"/>
          </w:tcPr>
          <w:p w14:paraId="259EAE3A" w14:textId="77777777" w:rsidR="007D6E82" w:rsidRPr="00954B78" w:rsidRDefault="000F5B51" w:rsidP="007D6E82">
            <w:pPr>
              <w:spacing w:after="0" w:line="240" w:lineRule="auto"/>
              <w:jc w:val="center"/>
              <w:rPr>
                <w:rFonts w:eastAsia="Times New Roman" w:cs="Times New Roman"/>
                <w:color w:val="000000"/>
                <w:szCs w:val="24"/>
              </w:rPr>
            </w:pPr>
            <w:r>
              <w:rPr>
                <w:color w:val="000000"/>
              </w:rPr>
              <w:t>0.984</w:t>
            </w:r>
            <w:r w:rsidR="008B5515">
              <w:rPr>
                <w:color w:val="000000"/>
              </w:rPr>
              <w:t>0</w:t>
            </w:r>
          </w:p>
        </w:tc>
        <w:tc>
          <w:tcPr>
            <w:tcW w:w="1950" w:type="dxa"/>
            <w:vAlign w:val="center"/>
          </w:tcPr>
          <w:p w14:paraId="538EA45C" w14:textId="77777777" w:rsidR="007D6E82" w:rsidRPr="00954B78" w:rsidRDefault="000F5B51" w:rsidP="007D6E82">
            <w:pPr>
              <w:spacing w:after="0" w:line="240" w:lineRule="auto"/>
              <w:jc w:val="center"/>
              <w:rPr>
                <w:rFonts w:eastAsia="Times New Roman" w:cs="Times New Roman"/>
                <w:color w:val="000000"/>
                <w:szCs w:val="24"/>
              </w:rPr>
            </w:pPr>
            <w:r>
              <w:rPr>
                <w:color w:val="000000"/>
              </w:rPr>
              <w:t>24</w:t>
            </w:r>
          </w:p>
        </w:tc>
        <w:tc>
          <w:tcPr>
            <w:tcW w:w="1950" w:type="dxa"/>
            <w:vAlign w:val="center"/>
          </w:tcPr>
          <w:p w14:paraId="22444D97" w14:textId="77777777" w:rsidR="007D6E82" w:rsidRPr="00954B78" w:rsidRDefault="000F5B51" w:rsidP="007D6E82">
            <w:pPr>
              <w:spacing w:after="0" w:line="240" w:lineRule="auto"/>
              <w:jc w:val="center"/>
              <w:rPr>
                <w:rFonts w:eastAsia="Times New Roman" w:cs="Times New Roman"/>
                <w:color w:val="000000"/>
                <w:szCs w:val="24"/>
              </w:rPr>
            </w:pPr>
            <w:r>
              <w:rPr>
                <w:color w:val="000000"/>
              </w:rPr>
              <w:t>0</w:t>
            </w:r>
          </w:p>
        </w:tc>
      </w:tr>
      <w:tr w:rsidR="00A15C2C" w14:paraId="12603100" w14:textId="77777777" w:rsidTr="00A807D0">
        <w:trPr>
          <w:trHeight w:val="310"/>
          <w:jc w:val="center"/>
        </w:trPr>
        <w:tc>
          <w:tcPr>
            <w:tcW w:w="1488" w:type="dxa"/>
            <w:shd w:val="clear" w:color="auto" w:fill="auto"/>
            <w:noWrap/>
            <w:vAlign w:val="bottom"/>
          </w:tcPr>
          <w:p w14:paraId="0224AAE7" w14:textId="77777777" w:rsidR="007D6E82" w:rsidRPr="00012598" w:rsidRDefault="000F5B51" w:rsidP="007D6E82">
            <w:pPr>
              <w:spacing w:after="0" w:line="240" w:lineRule="auto"/>
              <w:rPr>
                <w:rFonts w:eastAsia="Times New Roman" w:cs="Times New Roman"/>
                <w:b/>
                <w:bCs/>
                <w:color w:val="000000"/>
                <w:sz w:val="23"/>
                <w:szCs w:val="23"/>
              </w:rPr>
            </w:pPr>
            <w:r w:rsidRPr="00012598">
              <w:rPr>
                <w:rFonts w:eastAsia="Times New Roman" w:cs="Times New Roman"/>
                <w:b/>
                <w:bCs/>
                <w:color w:val="000000"/>
                <w:sz w:val="23"/>
                <w:szCs w:val="23"/>
              </w:rPr>
              <w:t>Non-Fatal Injuries</w:t>
            </w:r>
          </w:p>
          <w:p w14:paraId="53BD0455" w14:textId="77777777" w:rsidR="007D6E82" w:rsidRPr="00012598" w:rsidRDefault="000F5B51" w:rsidP="007D6E82">
            <w:pPr>
              <w:spacing w:after="0" w:line="240" w:lineRule="auto"/>
              <w:rPr>
                <w:rFonts w:eastAsia="Times New Roman" w:cs="Times New Roman"/>
                <w:b/>
                <w:bCs/>
                <w:color w:val="000000"/>
                <w:szCs w:val="24"/>
              </w:rPr>
            </w:pPr>
            <w:r w:rsidRPr="00012598">
              <w:rPr>
                <w:rFonts w:eastAsia="Times New Roman" w:cs="Times New Roman"/>
                <w:b/>
                <w:bCs/>
                <w:color w:val="000000"/>
                <w:sz w:val="23"/>
                <w:szCs w:val="23"/>
              </w:rPr>
              <w:t>(MAIS 1-5)</w:t>
            </w:r>
          </w:p>
        </w:tc>
        <w:tc>
          <w:tcPr>
            <w:tcW w:w="1949" w:type="dxa"/>
            <w:vAlign w:val="center"/>
          </w:tcPr>
          <w:p w14:paraId="155C155D" w14:textId="77777777" w:rsidR="007D6E82" w:rsidRPr="00884F87" w:rsidRDefault="000F5B51" w:rsidP="007D6E82">
            <w:pPr>
              <w:spacing w:after="0" w:line="240" w:lineRule="auto"/>
              <w:jc w:val="center"/>
              <w:rPr>
                <w:rFonts w:cs="Times New Roman"/>
                <w:b/>
                <w:color w:val="000000"/>
                <w:szCs w:val="24"/>
              </w:rPr>
            </w:pPr>
            <w:r>
              <w:rPr>
                <w:b/>
                <w:bCs/>
                <w:color w:val="000000"/>
              </w:rPr>
              <w:t>3,710</w:t>
            </w:r>
          </w:p>
        </w:tc>
        <w:tc>
          <w:tcPr>
            <w:tcW w:w="1950" w:type="dxa"/>
            <w:shd w:val="clear" w:color="auto" w:fill="auto"/>
            <w:noWrap/>
            <w:vAlign w:val="center"/>
          </w:tcPr>
          <w:p w14:paraId="08AC4B28" w14:textId="77777777" w:rsidR="007D6E82" w:rsidRPr="004C7517" w:rsidRDefault="000F5B51" w:rsidP="007D6E82">
            <w:pPr>
              <w:spacing w:after="0" w:line="240" w:lineRule="auto"/>
              <w:jc w:val="center"/>
              <w:rPr>
                <w:rFonts w:cs="Times New Roman"/>
                <w:b/>
                <w:bCs/>
                <w:color w:val="000000"/>
                <w:szCs w:val="24"/>
              </w:rPr>
            </w:pPr>
            <w:r w:rsidRPr="004C7517">
              <w:rPr>
                <w:b/>
                <w:bCs/>
                <w:color w:val="000000"/>
              </w:rPr>
              <w:t>-</w:t>
            </w:r>
          </w:p>
        </w:tc>
        <w:tc>
          <w:tcPr>
            <w:tcW w:w="1950" w:type="dxa"/>
            <w:shd w:val="clear" w:color="auto" w:fill="auto"/>
            <w:noWrap/>
            <w:vAlign w:val="center"/>
          </w:tcPr>
          <w:p w14:paraId="54CC041D" w14:textId="77777777" w:rsidR="007D6E82" w:rsidRPr="004C7517" w:rsidRDefault="000F5B51" w:rsidP="007D6E82">
            <w:pPr>
              <w:spacing w:after="0" w:line="240" w:lineRule="auto"/>
              <w:jc w:val="center"/>
              <w:rPr>
                <w:rFonts w:cs="Times New Roman"/>
                <w:b/>
                <w:bCs/>
                <w:color w:val="000000"/>
                <w:szCs w:val="24"/>
              </w:rPr>
            </w:pPr>
            <w:r>
              <w:rPr>
                <w:b/>
                <w:bCs/>
                <w:color w:val="000000"/>
              </w:rPr>
              <w:t>-</w:t>
            </w:r>
          </w:p>
        </w:tc>
        <w:tc>
          <w:tcPr>
            <w:tcW w:w="1949" w:type="dxa"/>
            <w:shd w:val="clear" w:color="auto" w:fill="auto"/>
            <w:noWrap/>
            <w:vAlign w:val="center"/>
          </w:tcPr>
          <w:p w14:paraId="31C6AA6C" w14:textId="77777777" w:rsidR="007D6E82" w:rsidRPr="004C7517" w:rsidRDefault="000F5B51" w:rsidP="007D6E82">
            <w:pPr>
              <w:spacing w:after="0" w:line="240" w:lineRule="auto"/>
              <w:jc w:val="center"/>
              <w:rPr>
                <w:rFonts w:cs="Times New Roman"/>
                <w:b/>
                <w:bCs/>
                <w:color w:val="000000"/>
                <w:szCs w:val="24"/>
              </w:rPr>
            </w:pPr>
            <w:r>
              <w:rPr>
                <w:b/>
                <w:bCs/>
                <w:color w:val="000000"/>
                <w:sz w:val="22"/>
              </w:rPr>
              <w:t>498</w:t>
            </w:r>
          </w:p>
        </w:tc>
        <w:tc>
          <w:tcPr>
            <w:tcW w:w="1950" w:type="dxa"/>
            <w:vAlign w:val="center"/>
          </w:tcPr>
          <w:p w14:paraId="2D84BB91" w14:textId="77777777" w:rsidR="007D6E82" w:rsidRPr="004C7517" w:rsidRDefault="000F5B51" w:rsidP="007D6E82">
            <w:pPr>
              <w:spacing w:after="0" w:line="240" w:lineRule="auto"/>
              <w:jc w:val="center"/>
              <w:rPr>
                <w:rFonts w:cs="Times New Roman"/>
                <w:b/>
                <w:bCs/>
                <w:color w:val="000000"/>
                <w:szCs w:val="24"/>
              </w:rPr>
            </w:pPr>
            <w:r w:rsidRPr="004C7517">
              <w:rPr>
                <w:rFonts w:cs="Times New Roman"/>
                <w:b/>
                <w:bCs/>
                <w:color w:val="000000"/>
                <w:szCs w:val="24"/>
              </w:rPr>
              <w:t>-</w:t>
            </w:r>
          </w:p>
        </w:tc>
        <w:tc>
          <w:tcPr>
            <w:tcW w:w="1950" w:type="dxa"/>
            <w:vAlign w:val="center"/>
          </w:tcPr>
          <w:p w14:paraId="581C6458" w14:textId="77777777" w:rsidR="007D6E82" w:rsidRPr="004C7517" w:rsidRDefault="000F5B51" w:rsidP="007D6E82">
            <w:pPr>
              <w:spacing w:after="0" w:line="240" w:lineRule="auto"/>
              <w:jc w:val="center"/>
              <w:rPr>
                <w:rFonts w:cs="Times New Roman"/>
                <w:b/>
                <w:bCs/>
                <w:color w:val="000000"/>
                <w:szCs w:val="24"/>
              </w:rPr>
            </w:pPr>
            <w:r w:rsidRPr="004C7517">
              <w:rPr>
                <w:b/>
                <w:bCs/>
                <w:color w:val="000000"/>
              </w:rPr>
              <w:t>50</w:t>
            </w:r>
            <w:r w:rsidR="000F6CB6">
              <w:rPr>
                <w:b/>
                <w:bCs/>
                <w:color w:val="000000"/>
              </w:rPr>
              <w:t>1</w:t>
            </w:r>
          </w:p>
        </w:tc>
        <w:tc>
          <w:tcPr>
            <w:tcW w:w="1950" w:type="dxa"/>
            <w:vAlign w:val="center"/>
          </w:tcPr>
          <w:p w14:paraId="5442666C" w14:textId="77777777" w:rsidR="007D6E82" w:rsidRPr="004C7517" w:rsidRDefault="000F5B51" w:rsidP="007D6E82">
            <w:pPr>
              <w:spacing w:after="0" w:line="240" w:lineRule="auto"/>
              <w:jc w:val="center"/>
              <w:rPr>
                <w:rFonts w:cs="Times New Roman"/>
                <w:b/>
                <w:bCs/>
                <w:color w:val="000000"/>
                <w:szCs w:val="24"/>
              </w:rPr>
            </w:pPr>
            <w:r>
              <w:rPr>
                <w:b/>
                <w:bCs/>
                <w:color w:val="000000"/>
              </w:rPr>
              <w:t>2</w:t>
            </w:r>
          </w:p>
        </w:tc>
      </w:tr>
      <w:tr w:rsidR="00A15C2C" w14:paraId="32E03D72" w14:textId="77777777" w:rsidTr="00A807D0">
        <w:trPr>
          <w:trHeight w:val="310"/>
          <w:jc w:val="center"/>
        </w:trPr>
        <w:tc>
          <w:tcPr>
            <w:tcW w:w="1488" w:type="dxa"/>
            <w:shd w:val="clear" w:color="auto" w:fill="auto"/>
            <w:noWrap/>
            <w:vAlign w:val="bottom"/>
            <w:hideMark/>
          </w:tcPr>
          <w:p w14:paraId="0F4498D5" w14:textId="77777777" w:rsidR="007D6E82" w:rsidRPr="00012598" w:rsidRDefault="000F5B51" w:rsidP="007D6E82">
            <w:pPr>
              <w:spacing w:after="0" w:line="240" w:lineRule="auto"/>
              <w:rPr>
                <w:rFonts w:eastAsia="Times New Roman" w:cs="Times New Roman"/>
                <w:b/>
                <w:bCs/>
                <w:color w:val="000000"/>
                <w:szCs w:val="24"/>
              </w:rPr>
            </w:pPr>
            <w:r w:rsidRPr="00012598">
              <w:rPr>
                <w:rFonts w:eastAsia="Times New Roman" w:cs="Times New Roman"/>
                <w:b/>
                <w:bCs/>
                <w:color w:val="000000"/>
                <w:szCs w:val="24"/>
              </w:rPr>
              <w:t>Fatality</w:t>
            </w:r>
          </w:p>
        </w:tc>
        <w:tc>
          <w:tcPr>
            <w:tcW w:w="1949" w:type="dxa"/>
            <w:vAlign w:val="center"/>
          </w:tcPr>
          <w:p w14:paraId="55A7CFF6" w14:textId="77777777" w:rsidR="007D6E82" w:rsidRPr="00884F87" w:rsidRDefault="000F5B51" w:rsidP="007D6E82">
            <w:pPr>
              <w:spacing w:after="0" w:line="240" w:lineRule="auto"/>
              <w:jc w:val="center"/>
              <w:rPr>
                <w:rFonts w:cs="Times New Roman"/>
                <w:b/>
                <w:color w:val="000000"/>
                <w:szCs w:val="24"/>
              </w:rPr>
            </w:pPr>
            <w:r>
              <w:rPr>
                <w:rFonts w:cs="Times New Roman"/>
                <w:b/>
                <w:bCs/>
                <w:color w:val="000000"/>
                <w:szCs w:val="24"/>
              </w:rPr>
              <w:t>131</w:t>
            </w:r>
          </w:p>
        </w:tc>
        <w:tc>
          <w:tcPr>
            <w:tcW w:w="1950" w:type="dxa"/>
            <w:shd w:val="clear" w:color="auto" w:fill="auto"/>
            <w:noWrap/>
            <w:vAlign w:val="center"/>
          </w:tcPr>
          <w:p w14:paraId="21E1ED21" w14:textId="77777777" w:rsidR="007D6E82" w:rsidRPr="00884F87" w:rsidRDefault="000F5B51" w:rsidP="007D6E82">
            <w:pPr>
              <w:spacing w:after="0" w:line="240" w:lineRule="auto"/>
              <w:jc w:val="center"/>
              <w:rPr>
                <w:rFonts w:eastAsia="Times New Roman" w:cs="Times New Roman"/>
                <w:b/>
                <w:color w:val="000000"/>
                <w:szCs w:val="24"/>
              </w:rPr>
            </w:pPr>
            <w:r w:rsidRPr="00884F87">
              <w:rPr>
                <w:b/>
                <w:color w:val="000000"/>
              </w:rPr>
              <w:t>0.55</w:t>
            </w:r>
          </w:p>
        </w:tc>
        <w:tc>
          <w:tcPr>
            <w:tcW w:w="1950" w:type="dxa"/>
            <w:shd w:val="clear" w:color="auto" w:fill="auto"/>
            <w:noWrap/>
            <w:vAlign w:val="center"/>
          </w:tcPr>
          <w:p w14:paraId="7352DFE1" w14:textId="77777777" w:rsidR="007D6E82" w:rsidRPr="00884F87" w:rsidRDefault="000F5B51" w:rsidP="007D6E82">
            <w:pPr>
              <w:spacing w:after="0" w:line="240" w:lineRule="auto"/>
              <w:jc w:val="center"/>
              <w:rPr>
                <w:rFonts w:eastAsia="Times New Roman" w:cs="Times New Roman"/>
                <w:b/>
                <w:color w:val="000000"/>
                <w:szCs w:val="24"/>
              </w:rPr>
            </w:pPr>
            <w:r w:rsidRPr="004C7517">
              <w:rPr>
                <w:b/>
                <w:bCs/>
                <w:color w:val="000000"/>
              </w:rPr>
              <w:t>0.8825</w:t>
            </w:r>
          </w:p>
        </w:tc>
        <w:tc>
          <w:tcPr>
            <w:tcW w:w="1949" w:type="dxa"/>
            <w:shd w:val="clear" w:color="auto" w:fill="auto"/>
            <w:noWrap/>
            <w:vAlign w:val="center"/>
          </w:tcPr>
          <w:p w14:paraId="4D63B339" w14:textId="77777777" w:rsidR="007D6E82" w:rsidRPr="00884F87" w:rsidRDefault="000F5B51" w:rsidP="007D6E82">
            <w:pPr>
              <w:spacing w:after="0" w:line="240" w:lineRule="auto"/>
              <w:jc w:val="center"/>
              <w:rPr>
                <w:b/>
                <w:color w:val="000000"/>
              </w:rPr>
            </w:pPr>
            <w:r w:rsidRPr="004C7517">
              <w:rPr>
                <w:b/>
                <w:bCs/>
                <w:color w:val="000000"/>
                <w:sz w:val="22"/>
              </w:rPr>
              <w:t>6</w:t>
            </w:r>
            <w:r w:rsidR="001B0DCA">
              <w:rPr>
                <w:b/>
                <w:bCs/>
                <w:color w:val="000000"/>
                <w:sz w:val="22"/>
              </w:rPr>
              <w:t>4</w:t>
            </w:r>
          </w:p>
        </w:tc>
        <w:tc>
          <w:tcPr>
            <w:tcW w:w="1950" w:type="dxa"/>
            <w:vAlign w:val="center"/>
          </w:tcPr>
          <w:p w14:paraId="04DF6E8C" w14:textId="77777777" w:rsidR="007D6E82" w:rsidRPr="00884F87" w:rsidRDefault="000F5B51" w:rsidP="007D6E82">
            <w:pPr>
              <w:spacing w:after="0" w:line="240" w:lineRule="auto"/>
              <w:jc w:val="center"/>
              <w:rPr>
                <w:rFonts w:eastAsia="Times New Roman" w:cs="Times New Roman"/>
                <w:b/>
                <w:color w:val="000000"/>
                <w:szCs w:val="24"/>
              </w:rPr>
            </w:pPr>
            <w:r w:rsidRPr="004C7517">
              <w:rPr>
                <w:b/>
                <w:bCs/>
                <w:color w:val="000000"/>
              </w:rPr>
              <w:t>0.8994</w:t>
            </w:r>
          </w:p>
        </w:tc>
        <w:tc>
          <w:tcPr>
            <w:tcW w:w="1950" w:type="dxa"/>
            <w:vAlign w:val="center"/>
          </w:tcPr>
          <w:p w14:paraId="0AA0A65D" w14:textId="77777777" w:rsidR="007D6E82" w:rsidRPr="00884F87" w:rsidRDefault="000F5B51" w:rsidP="007D6E82">
            <w:pPr>
              <w:spacing w:after="0" w:line="240" w:lineRule="auto"/>
              <w:jc w:val="center"/>
              <w:rPr>
                <w:rFonts w:eastAsia="Times New Roman" w:cs="Times New Roman"/>
                <w:b/>
                <w:color w:val="000000"/>
                <w:szCs w:val="24"/>
              </w:rPr>
            </w:pPr>
            <w:r w:rsidRPr="004C7517">
              <w:rPr>
                <w:b/>
                <w:bCs/>
                <w:color w:val="000000"/>
              </w:rPr>
              <w:t>6</w:t>
            </w:r>
            <w:r w:rsidR="001B0DCA">
              <w:rPr>
                <w:b/>
                <w:bCs/>
                <w:color w:val="000000"/>
              </w:rPr>
              <w:t>4</w:t>
            </w:r>
          </w:p>
        </w:tc>
        <w:tc>
          <w:tcPr>
            <w:tcW w:w="1950" w:type="dxa"/>
            <w:vAlign w:val="center"/>
          </w:tcPr>
          <w:p w14:paraId="501AE56C" w14:textId="77777777" w:rsidR="007D6E82" w:rsidRPr="00884F87" w:rsidRDefault="000F5B51" w:rsidP="007D6E82">
            <w:pPr>
              <w:spacing w:after="0" w:line="240" w:lineRule="auto"/>
              <w:jc w:val="center"/>
              <w:rPr>
                <w:rFonts w:eastAsia="Times New Roman" w:cs="Times New Roman"/>
                <w:b/>
                <w:color w:val="000000"/>
                <w:szCs w:val="24"/>
              </w:rPr>
            </w:pPr>
            <w:r>
              <w:rPr>
                <w:rFonts w:eastAsia="Times New Roman" w:cs="Times New Roman"/>
                <w:b/>
                <w:color w:val="000000"/>
                <w:szCs w:val="24"/>
              </w:rPr>
              <w:t>0</w:t>
            </w:r>
          </w:p>
        </w:tc>
      </w:tr>
      <w:tr w:rsidR="00A15C2C" w14:paraId="684FC9DF" w14:textId="77777777" w:rsidTr="00A807D0">
        <w:trPr>
          <w:trHeight w:val="310"/>
          <w:jc w:val="center"/>
        </w:trPr>
        <w:tc>
          <w:tcPr>
            <w:tcW w:w="15136" w:type="dxa"/>
            <w:gridSpan w:val="8"/>
            <w:shd w:val="clear" w:color="auto" w:fill="D9D9D9" w:themeFill="background1" w:themeFillShade="D9"/>
            <w:noWrap/>
            <w:vAlign w:val="bottom"/>
          </w:tcPr>
          <w:p w14:paraId="5FA216C1" w14:textId="77777777" w:rsidR="004B2BB7" w:rsidRPr="000B32DD" w:rsidRDefault="000F5B51" w:rsidP="00A807D0">
            <w:pPr>
              <w:spacing w:after="0" w:line="240" w:lineRule="auto"/>
              <w:jc w:val="center"/>
              <w:rPr>
                <w:b/>
                <w:bCs/>
                <w:i/>
                <w:iCs/>
                <w:color w:val="000000"/>
              </w:rPr>
            </w:pPr>
            <w:r>
              <w:rPr>
                <w:b/>
                <w:bCs/>
                <w:i/>
                <w:iCs/>
                <w:color w:val="000000"/>
              </w:rPr>
              <w:t>Light Trucks</w:t>
            </w:r>
          </w:p>
        </w:tc>
      </w:tr>
      <w:tr w:rsidR="00A15C2C" w14:paraId="40B9FC60" w14:textId="77777777" w:rsidTr="00A807D0">
        <w:trPr>
          <w:trHeight w:val="310"/>
          <w:jc w:val="center"/>
        </w:trPr>
        <w:tc>
          <w:tcPr>
            <w:tcW w:w="1488" w:type="dxa"/>
            <w:shd w:val="clear" w:color="auto" w:fill="auto"/>
            <w:noWrap/>
            <w:vAlign w:val="bottom"/>
            <w:hideMark/>
          </w:tcPr>
          <w:p w14:paraId="58004F18" w14:textId="77777777" w:rsidR="004B2BB7" w:rsidRPr="00954B78" w:rsidRDefault="000F5B51" w:rsidP="00A807D0">
            <w:pPr>
              <w:spacing w:after="0" w:line="240" w:lineRule="auto"/>
              <w:rPr>
                <w:rFonts w:eastAsia="Times New Roman" w:cs="Times New Roman"/>
                <w:color w:val="000000"/>
                <w:szCs w:val="24"/>
              </w:rPr>
            </w:pPr>
            <w:r>
              <w:rPr>
                <w:rFonts w:eastAsia="Times New Roman" w:cs="Times New Roman"/>
                <w:color w:val="000000"/>
                <w:szCs w:val="24"/>
              </w:rPr>
              <w:t>MAIS 1</w:t>
            </w:r>
          </w:p>
        </w:tc>
        <w:tc>
          <w:tcPr>
            <w:tcW w:w="1949" w:type="dxa"/>
            <w:vAlign w:val="center"/>
          </w:tcPr>
          <w:p w14:paraId="1EE738D1" w14:textId="77777777" w:rsidR="004B2BB7" w:rsidRPr="00954B78" w:rsidRDefault="000F5B51" w:rsidP="00A807D0">
            <w:pPr>
              <w:spacing w:after="0" w:line="240" w:lineRule="auto"/>
              <w:jc w:val="center"/>
              <w:rPr>
                <w:rFonts w:cs="Times New Roman"/>
                <w:color w:val="000000"/>
                <w:szCs w:val="24"/>
              </w:rPr>
            </w:pPr>
            <w:r>
              <w:rPr>
                <w:color w:val="000000"/>
              </w:rPr>
              <w:t>4,050</w:t>
            </w:r>
          </w:p>
        </w:tc>
        <w:tc>
          <w:tcPr>
            <w:tcW w:w="1950" w:type="dxa"/>
            <w:shd w:val="clear" w:color="auto" w:fill="auto"/>
            <w:noWrap/>
            <w:vAlign w:val="center"/>
          </w:tcPr>
          <w:p w14:paraId="277B6F63" w14:textId="77777777" w:rsidR="004B2BB7" w:rsidRPr="00954B78" w:rsidRDefault="000F5B51" w:rsidP="00A807D0">
            <w:pPr>
              <w:spacing w:after="0" w:line="240" w:lineRule="auto"/>
              <w:jc w:val="center"/>
              <w:rPr>
                <w:rFonts w:eastAsia="Times New Roman" w:cs="Times New Roman"/>
                <w:color w:val="000000"/>
                <w:szCs w:val="24"/>
              </w:rPr>
            </w:pPr>
            <w:r>
              <w:rPr>
                <w:color w:val="000000"/>
              </w:rPr>
              <w:t>0.055</w:t>
            </w:r>
          </w:p>
        </w:tc>
        <w:tc>
          <w:tcPr>
            <w:tcW w:w="1950" w:type="dxa"/>
            <w:shd w:val="clear" w:color="auto" w:fill="auto"/>
            <w:noWrap/>
            <w:vAlign w:val="center"/>
          </w:tcPr>
          <w:p w14:paraId="456CEB0D" w14:textId="77777777" w:rsidR="004B2BB7" w:rsidRPr="00954B78" w:rsidRDefault="000F5B51" w:rsidP="00A807D0">
            <w:pPr>
              <w:spacing w:after="0" w:line="240" w:lineRule="auto"/>
              <w:jc w:val="center"/>
              <w:rPr>
                <w:rFonts w:eastAsia="Times New Roman" w:cs="Times New Roman"/>
                <w:color w:val="000000"/>
                <w:szCs w:val="24"/>
              </w:rPr>
            </w:pPr>
            <w:r>
              <w:rPr>
                <w:color w:val="000000"/>
              </w:rPr>
              <w:t>0.98</w:t>
            </w:r>
            <w:r w:rsidR="008B5515">
              <w:rPr>
                <w:color w:val="000000"/>
              </w:rPr>
              <w:t>00</w:t>
            </w:r>
          </w:p>
        </w:tc>
        <w:tc>
          <w:tcPr>
            <w:tcW w:w="1949" w:type="dxa"/>
            <w:shd w:val="clear" w:color="auto" w:fill="auto"/>
            <w:noWrap/>
            <w:vAlign w:val="bottom"/>
          </w:tcPr>
          <w:p w14:paraId="7E823380" w14:textId="77777777" w:rsidR="004B2BB7" w:rsidRPr="00954B78" w:rsidRDefault="000F5B51" w:rsidP="00A807D0">
            <w:pPr>
              <w:spacing w:after="0" w:line="240" w:lineRule="auto"/>
              <w:jc w:val="center"/>
              <w:rPr>
                <w:rFonts w:eastAsia="Times New Roman" w:cs="Times New Roman"/>
                <w:color w:val="000000"/>
                <w:szCs w:val="24"/>
              </w:rPr>
            </w:pPr>
            <w:r>
              <w:rPr>
                <w:color w:val="000000"/>
                <w:sz w:val="22"/>
              </w:rPr>
              <w:t>218</w:t>
            </w:r>
          </w:p>
        </w:tc>
        <w:tc>
          <w:tcPr>
            <w:tcW w:w="1950" w:type="dxa"/>
            <w:vAlign w:val="center"/>
          </w:tcPr>
          <w:p w14:paraId="63FEB746" w14:textId="77777777" w:rsidR="004B2BB7" w:rsidRPr="00954B78" w:rsidRDefault="000F5B51" w:rsidP="00A807D0">
            <w:pPr>
              <w:spacing w:after="0" w:line="240" w:lineRule="auto"/>
              <w:jc w:val="center"/>
              <w:rPr>
                <w:rFonts w:eastAsia="Times New Roman" w:cs="Times New Roman"/>
                <w:color w:val="000000"/>
                <w:szCs w:val="24"/>
              </w:rPr>
            </w:pPr>
            <w:r>
              <w:rPr>
                <w:color w:val="000000"/>
              </w:rPr>
              <w:t>0.984</w:t>
            </w:r>
            <w:r w:rsidR="008B5515">
              <w:rPr>
                <w:color w:val="000000"/>
              </w:rPr>
              <w:t>0</w:t>
            </w:r>
          </w:p>
        </w:tc>
        <w:tc>
          <w:tcPr>
            <w:tcW w:w="1950" w:type="dxa"/>
            <w:vAlign w:val="center"/>
          </w:tcPr>
          <w:p w14:paraId="3DC9E959" w14:textId="77777777" w:rsidR="004B2BB7" w:rsidRPr="00954B78" w:rsidRDefault="000F5B51" w:rsidP="00A807D0">
            <w:pPr>
              <w:spacing w:after="0" w:line="240" w:lineRule="auto"/>
              <w:jc w:val="center"/>
              <w:rPr>
                <w:rFonts w:eastAsia="Times New Roman" w:cs="Times New Roman"/>
                <w:color w:val="000000"/>
                <w:szCs w:val="24"/>
              </w:rPr>
            </w:pPr>
            <w:r>
              <w:rPr>
                <w:color w:val="000000"/>
              </w:rPr>
              <w:t>219</w:t>
            </w:r>
          </w:p>
        </w:tc>
        <w:tc>
          <w:tcPr>
            <w:tcW w:w="1950" w:type="dxa"/>
            <w:vAlign w:val="center"/>
          </w:tcPr>
          <w:p w14:paraId="0609CAE9" w14:textId="77777777" w:rsidR="004B2BB7" w:rsidRPr="00954B78" w:rsidRDefault="000F5B51" w:rsidP="00A807D0">
            <w:pPr>
              <w:spacing w:after="0" w:line="240" w:lineRule="auto"/>
              <w:jc w:val="center"/>
              <w:rPr>
                <w:rFonts w:eastAsia="Times New Roman" w:cs="Times New Roman"/>
                <w:color w:val="000000"/>
                <w:szCs w:val="24"/>
              </w:rPr>
            </w:pPr>
            <w:r>
              <w:rPr>
                <w:color w:val="000000"/>
              </w:rPr>
              <w:t>1</w:t>
            </w:r>
          </w:p>
        </w:tc>
      </w:tr>
      <w:tr w:rsidR="00A15C2C" w14:paraId="37A9DC1E" w14:textId="77777777" w:rsidTr="00A807D0">
        <w:trPr>
          <w:trHeight w:val="310"/>
          <w:jc w:val="center"/>
        </w:trPr>
        <w:tc>
          <w:tcPr>
            <w:tcW w:w="1488" w:type="dxa"/>
            <w:shd w:val="clear" w:color="auto" w:fill="auto"/>
            <w:noWrap/>
            <w:hideMark/>
          </w:tcPr>
          <w:p w14:paraId="3A13BD67" w14:textId="77777777" w:rsidR="004B2BB7" w:rsidRPr="00954B78" w:rsidRDefault="000F5B51" w:rsidP="00A807D0">
            <w:pPr>
              <w:spacing w:after="0" w:line="240" w:lineRule="auto"/>
              <w:rPr>
                <w:rFonts w:eastAsia="Times New Roman" w:cs="Times New Roman"/>
                <w:color w:val="000000"/>
                <w:szCs w:val="24"/>
              </w:rPr>
            </w:pPr>
            <w:r w:rsidRPr="00064F4A">
              <w:rPr>
                <w:rFonts w:eastAsia="Times New Roman" w:cs="Times New Roman"/>
                <w:color w:val="000000"/>
                <w:szCs w:val="24"/>
              </w:rPr>
              <w:t xml:space="preserve">MAIS </w:t>
            </w:r>
            <w:r>
              <w:rPr>
                <w:rFonts w:eastAsia="Times New Roman" w:cs="Times New Roman"/>
                <w:color w:val="000000"/>
                <w:szCs w:val="24"/>
              </w:rPr>
              <w:t>2</w:t>
            </w:r>
          </w:p>
        </w:tc>
        <w:tc>
          <w:tcPr>
            <w:tcW w:w="1949" w:type="dxa"/>
            <w:vAlign w:val="center"/>
          </w:tcPr>
          <w:p w14:paraId="2255D9AF" w14:textId="77777777" w:rsidR="004B2BB7" w:rsidRPr="00954B78" w:rsidRDefault="000F5B51" w:rsidP="00A807D0">
            <w:pPr>
              <w:spacing w:after="0" w:line="240" w:lineRule="auto"/>
              <w:jc w:val="center"/>
              <w:rPr>
                <w:rFonts w:cs="Times New Roman"/>
                <w:color w:val="000000"/>
                <w:szCs w:val="24"/>
              </w:rPr>
            </w:pPr>
            <w:r>
              <w:rPr>
                <w:color w:val="000000"/>
              </w:rPr>
              <w:t>274</w:t>
            </w:r>
          </w:p>
        </w:tc>
        <w:tc>
          <w:tcPr>
            <w:tcW w:w="1950" w:type="dxa"/>
            <w:shd w:val="clear" w:color="auto" w:fill="auto"/>
            <w:noWrap/>
            <w:vAlign w:val="center"/>
          </w:tcPr>
          <w:p w14:paraId="528CCA11" w14:textId="77777777" w:rsidR="004B2BB7" w:rsidRPr="00954B78" w:rsidRDefault="000F5B51" w:rsidP="00A807D0">
            <w:pPr>
              <w:spacing w:after="0" w:line="240" w:lineRule="auto"/>
              <w:jc w:val="center"/>
              <w:rPr>
                <w:rFonts w:eastAsia="Times New Roman" w:cs="Times New Roman"/>
                <w:color w:val="000000"/>
                <w:szCs w:val="24"/>
              </w:rPr>
            </w:pPr>
            <w:r>
              <w:rPr>
                <w:color w:val="000000"/>
              </w:rPr>
              <w:t>0.5068</w:t>
            </w:r>
          </w:p>
        </w:tc>
        <w:tc>
          <w:tcPr>
            <w:tcW w:w="1950" w:type="dxa"/>
            <w:shd w:val="clear" w:color="auto" w:fill="auto"/>
            <w:noWrap/>
            <w:vAlign w:val="center"/>
          </w:tcPr>
          <w:p w14:paraId="7E30D08E" w14:textId="77777777" w:rsidR="004B2BB7" w:rsidRPr="00954B78" w:rsidRDefault="000F5B51" w:rsidP="00A807D0">
            <w:pPr>
              <w:spacing w:after="0" w:line="240" w:lineRule="auto"/>
              <w:jc w:val="center"/>
              <w:rPr>
                <w:rFonts w:eastAsia="Times New Roman" w:cs="Times New Roman"/>
                <w:color w:val="000000"/>
                <w:szCs w:val="24"/>
              </w:rPr>
            </w:pPr>
            <w:r>
              <w:rPr>
                <w:color w:val="000000"/>
              </w:rPr>
              <w:t>0.98</w:t>
            </w:r>
            <w:r w:rsidR="008B5515">
              <w:rPr>
                <w:color w:val="000000"/>
              </w:rPr>
              <w:t>00</w:t>
            </w:r>
          </w:p>
        </w:tc>
        <w:tc>
          <w:tcPr>
            <w:tcW w:w="1949" w:type="dxa"/>
            <w:shd w:val="clear" w:color="auto" w:fill="auto"/>
            <w:noWrap/>
            <w:vAlign w:val="bottom"/>
          </w:tcPr>
          <w:p w14:paraId="31BDC462" w14:textId="77777777" w:rsidR="004B2BB7" w:rsidRPr="00954B78" w:rsidRDefault="000F5B51" w:rsidP="00A807D0">
            <w:pPr>
              <w:spacing w:after="0" w:line="240" w:lineRule="auto"/>
              <w:jc w:val="center"/>
              <w:rPr>
                <w:rFonts w:eastAsia="Times New Roman" w:cs="Times New Roman"/>
                <w:color w:val="000000"/>
                <w:szCs w:val="24"/>
              </w:rPr>
            </w:pPr>
            <w:r>
              <w:rPr>
                <w:color w:val="000000"/>
                <w:sz w:val="22"/>
              </w:rPr>
              <w:t>136</w:t>
            </w:r>
          </w:p>
        </w:tc>
        <w:tc>
          <w:tcPr>
            <w:tcW w:w="1950" w:type="dxa"/>
            <w:vAlign w:val="center"/>
          </w:tcPr>
          <w:p w14:paraId="5823B38D" w14:textId="77777777" w:rsidR="004B2BB7" w:rsidRPr="00954B78" w:rsidRDefault="000F5B51" w:rsidP="00A807D0">
            <w:pPr>
              <w:spacing w:after="0" w:line="240" w:lineRule="auto"/>
              <w:jc w:val="center"/>
              <w:rPr>
                <w:rFonts w:eastAsia="Times New Roman" w:cs="Times New Roman"/>
                <w:color w:val="000000"/>
                <w:szCs w:val="24"/>
              </w:rPr>
            </w:pPr>
            <w:r>
              <w:rPr>
                <w:color w:val="000000"/>
              </w:rPr>
              <w:t>0.984</w:t>
            </w:r>
            <w:r w:rsidR="008B5515">
              <w:rPr>
                <w:color w:val="000000"/>
              </w:rPr>
              <w:t>0</w:t>
            </w:r>
          </w:p>
        </w:tc>
        <w:tc>
          <w:tcPr>
            <w:tcW w:w="1950" w:type="dxa"/>
            <w:vAlign w:val="center"/>
          </w:tcPr>
          <w:p w14:paraId="6CABFACB" w14:textId="77777777" w:rsidR="004B2BB7" w:rsidRPr="00954B78" w:rsidRDefault="000F5B51" w:rsidP="00A807D0">
            <w:pPr>
              <w:spacing w:after="0" w:line="240" w:lineRule="auto"/>
              <w:jc w:val="center"/>
              <w:rPr>
                <w:rFonts w:eastAsia="Times New Roman" w:cs="Times New Roman"/>
                <w:color w:val="000000"/>
                <w:szCs w:val="24"/>
              </w:rPr>
            </w:pPr>
            <w:r>
              <w:rPr>
                <w:rFonts w:eastAsia="Times New Roman" w:cs="Times New Roman"/>
                <w:color w:val="000000"/>
                <w:szCs w:val="24"/>
              </w:rPr>
              <w:t>137</w:t>
            </w:r>
          </w:p>
        </w:tc>
        <w:tc>
          <w:tcPr>
            <w:tcW w:w="1950" w:type="dxa"/>
            <w:vAlign w:val="center"/>
          </w:tcPr>
          <w:p w14:paraId="1CC11E08" w14:textId="77777777" w:rsidR="004B2BB7" w:rsidRPr="00954B78" w:rsidRDefault="000F5B51" w:rsidP="00A807D0">
            <w:pPr>
              <w:spacing w:after="0" w:line="240" w:lineRule="auto"/>
              <w:jc w:val="center"/>
              <w:rPr>
                <w:rFonts w:eastAsia="Times New Roman" w:cs="Times New Roman"/>
                <w:color w:val="000000"/>
                <w:szCs w:val="24"/>
              </w:rPr>
            </w:pPr>
            <w:r>
              <w:rPr>
                <w:color w:val="000000"/>
              </w:rPr>
              <w:t>1</w:t>
            </w:r>
          </w:p>
        </w:tc>
      </w:tr>
      <w:tr w:rsidR="00A15C2C" w14:paraId="6E982852" w14:textId="77777777" w:rsidTr="00A807D0">
        <w:trPr>
          <w:trHeight w:val="310"/>
          <w:jc w:val="center"/>
        </w:trPr>
        <w:tc>
          <w:tcPr>
            <w:tcW w:w="1488" w:type="dxa"/>
            <w:shd w:val="clear" w:color="auto" w:fill="auto"/>
            <w:noWrap/>
            <w:vAlign w:val="bottom"/>
          </w:tcPr>
          <w:p w14:paraId="0A6E421E" w14:textId="77777777" w:rsidR="004B2BB7" w:rsidRPr="00012598" w:rsidRDefault="000F5B51" w:rsidP="00A807D0">
            <w:pPr>
              <w:spacing w:after="0" w:line="240" w:lineRule="auto"/>
              <w:rPr>
                <w:rFonts w:eastAsia="Times New Roman" w:cs="Times New Roman"/>
                <w:b/>
                <w:bCs/>
                <w:color w:val="000000"/>
                <w:sz w:val="23"/>
                <w:szCs w:val="23"/>
              </w:rPr>
            </w:pPr>
            <w:r w:rsidRPr="00012598">
              <w:rPr>
                <w:rFonts w:eastAsia="Times New Roman" w:cs="Times New Roman"/>
                <w:b/>
                <w:bCs/>
                <w:color w:val="000000"/>
                <w:sz w:val="23"/>
                <w:szCs w:val="23"/>
              </w:rPr>
              <w:t xml:space="preserve">Non-Fatal Injuries </w:t>
            </w:r>
          </w:p>
          <w:p w14:paraId="42EB3CDC" w14:textId="77777777" w:rsidR="004B2BB7" w:rsidRPr="00012598" w:rsidRDefault="000F5B51" w:rsidP="00A807D0">
            <w:pPr>
              <w:spacing w:after="0" w:line="240" w:lineRule="auto"/>
              <w:rPr>
                <w:rFonts w:eastAsia="Times New Roman" w:cs="Times New Roman"/>
                <w:b/>
                <w:bCs/>
                <w:color w:val="000000"/>
                <w:sz w:val="23"/>
                <w:szCs w:val="23"/>
              </w:rPr>
            </w:pPr>
            <w:r w:rsidRPr="00012598">
              <w:rPr>
                <w:rFonts w:eastAsia="Times New Roman" w:cs="Times New Roman"/>
                <w:b/>
                <w:bCs/>
                <w:color w:val="000000"/>
                <w:sz w:val="23"/>
                <w:szCs w:val="23"/>
              </w:rPr>
              <w:t>(MAIS 1-5)</w:t>
            </w:r>
          </w:p>
        </w:tc>
        <w:tc>
          <w:tcPr>
            <w:tcW w:w="1949" w:type="dxa"/>
            <w:vAlign w:val="center"/>
          </w:tcPr>
          <w:p w14:paraId="558A9418" w14:textId="77777777" w:rsidR="004B2BB7" w:rsidRPr="00884F87" w:rsidRDefault="000F5B51" w:rsidP="00A807D0">
            <w:pPr>
              <w:spacing w:after="0" w:line="240" w:lineRule="auto"/>
              <w:jc w:val="center"/>
              <w:rPr>
                <w:rFonts w:cs="Times New Roman"/>
                <w:b/>
                <w:color w:val="000000"/>
                <w:szCs w:val="24"/>
              </w:rPr>
            </w:pPr>
            <w:r w:rsidRPr="004C7517">
              <w:rPr>
                <w:b/>
                <w:bCs/>
                <w:color w:val="000000"/>
              </w:rPr>
              <w:t>4,325</w:t>
            </w:r>
          </w:p>
        </w:tc>
        <w:tc>
          <w:tcPr>
            <w:tcW w:w="1950" w:type="dxa"/>
            <w:shd w:val="clear" w:color="auto" w:fill="auto"/>
            <w:noWrap/>
            <w:vAlign w:val="center"/>
          </w:tcPr>
          <w:p w14:paraId="40604432" w14:textId="77777777" w:rsidR="004B2BB7" w:rsidRPr="004C7517" w:rsidRDefault="000F5B51" w:rsidP="00A807D0">
            <w:pPr>
              <w:spacing w:after="0" w:line="240" w:lineRule="auto"/>
              <w:jc w:val="center"/>
              <w:rPr>
                <w:rFonts w:cs="Times New Roman"/>
                <w:b/>
                <w:bCs/>
                <w:color w:val="000000"/>
                <w:szCs w:val="24"/>
              </w:rPr>
            </w:pPr>
            <w:r w:rsidRPr="004C7517">
              <w:rPr>
                <w:b/>
                <w:bCs/>
                <w:color w:val="000000"/>
              </w:rPr>
              <w:t>-</w:t>
            </w:r>
          </w:p>
        </w:tc>
        <w:tc>
          <w:tcPr>
            <w:tcW w:w="1950" w:type="dxa"/>
            <w:shd w:val="clear" w:color="auto" w:fill="auto"/>
            <w:noWrap/>
            <w:vAlign w:val="center"/>
          </w:tcPr>
          <w:p w14:paraId="48250615" w14:textId="77777777" w:rsidR="004B2BB7" w:rsidRPr="004C7517" w:rsidRDefault="000F5B51" w:rsidP="00A807D0">
            <w:pPr>
              <w:spacing w:after="0" w:line="240" w:lineRule="auto"/>
              <w:jc w:val="center"/>
              <w:rPr>
                <w:rFonts w:cs="Times New Roman"/>
                <w:b/>
                <w:bCs/>
                <w:color w:val="000000"/>
                <w:szCs w:val="24"/>
              </w:rPr>
            </w:pPr>
            <w:r>
              <w:rPr>
                <w:b/>
                <w:bCs/>
                <w:color w:val="000000"/>
              </w:rPr>
              <w:t>-</w:t>
            </w:r>
          </w:p>
        </w:tc>
        <w:tc>
          <w:tcPr>
            <w:tcW w:w="1949" w:type="dxa"/>
            <w:shd w:val="clear" w:color="auto" w:fill="auto"/>
            <w:noWrap/>
            <w:vAlign w:val="center"/>
          </w:tcPr>
          <w:p w14:paraId="4F673E40" w14:textId="77777777" w:rsidR="004B2BB7" w:rsidRPr="00884F87" w:rsidRDefault="000F5B51" w:rsidP="00A807D0">
            <w:pPr>
              <w:spacing w:after="0" w:line="240" w:lineRule="auto"/>
              <w:jc w:val="center"/>
              <w:rPr>
                <w:rFonts w:cs="Times New Roman"/>
                <w:b/>
                <w:color w:val="000000"/>
                <w:szCs w:val="24"/>
              </w:rPr>
            </w:pPr>
            <w:r w:rsidRPr="004C7517">
              <w:rPr>
                <w:b/>
                <w:bCs/>
                <w:color w:val="000000"/>
                <w:sz w:val="22"/>
              </w:rPr>
              <w:t>35</w:t>
            </w:r>
            <w:r w:rsidR="00E61795">
              <w:rPr>
                <w:b/>
                <w:bCs/>
                <w:color w:val="000000"/>
                <w:sz w:val="22"/>
              </w:rPr>
              <w:t>5</w:t>
            </w:r>
          </w:p>
        </w:tc>
        <w:tc>
          <w:tcPr>
            <w:tcW w:w="1950" w:type="dxa"/>
            <w:vAlign w:val="center"/>
          </w:tcPr>
          <w:p w14:paraId="46CC094C" w14:textId="77777777" w:rsidR="004B2BB7" w:rsidRPr="00884F87" w:rsidRDefault="000F5B51" w:rsidP="00A807D0">
            <w:pPr>
              <w:spacing w:after="0" w:line="240" w:lineRule="auto"/>
              <w:jc w:val="center"/>
              <w:rPr>
                <w:rFonts w:cs="Times New Roman"/>
                <w:b/>
                <w:color w:val="000000"/>
                <w:szCs w:val="24"/>
              </w:rPr>
            </w:pPr>
            <w:r w:rsidRPr="00884F87">
              <w:rPr>
                <w:rFonts w:cs="Times New Roman"/>
                <w:b/>
                <w:color w:val="000000"/>
                <w:szCs w:val="24"/>
              </w:rPr>
              <w:t>-</w:t>
            </w:r>
          </w:p>
        </w:tc>
        <w:tc>
          <w:tcPr>
            <w:tcW w:w="1950" w:type="dxa"/>
            <w:vAlign w:val="center"/>
          </w:tcPr>
          <w:p w14:paraId="1C8D7F9B" w14:textId="77777777" w:rsidR="004B2BB7" w:rsidRPr="00884F87" w:rsidRDefault="000F5B51" w:rsidP="00A807D0">
            <w:pPr>
              <w:spacing w:after="0" w:line="240" w:lineRule="auto"/>
              <w:jc w:val="center"/>
              <w:rPr>
                <w:rFonts w:cs="Times New Roman"/>
                <w:b/>
                <w:color w:val="000000"/>
                <w:szCs w:val="24"/>
              </w:rPr>
            </w:pPr>
            <w:r>
              <w:rPr>
                <w:rFonts w:cs="Times New Roman"/>
                <w:b/>
                <w:color w:val="000000"/>
                <w:szCs w:val="24"/>
              </w:rPr>
              <w:t>356</w:t>
            </w:r>
          </w:p>
        </w:tc>
        <w:tc>
          <w:tcPr>
            <w:tcW w:w="1950" w:type="dxa"/>
            <w:vAlign w:val="center"/>
          </w:tcPr>
          <w:p w14:paraId="7B650C5C" w14:textId="77777777" w:rsidR="004B2BB7" w:rsidRPr="00884F87" w:rsidRDefault="000F5B51" w:rsidP="00A807D0">
            <w:pPr>
              <w:spacing w:after="0" w:line="240" w:lineRule="auto"/>
              <w:jc w:val="center"/>
              <w:rPr>
                <w:rFonts w:cs="Times New Roman"/>
                <w:b/>
                <w:color w:val="000000"/>
                <w:szCs w:val="24"/>
              </w:rPr>
            </w:pPr>
            <w:r>
              <w:rPr>
                <w:b/>
                <w:bCs/>
                <w:color w:val="000000"/>
              </w:rPr>
              <w:t>2</w:t>
            </w:r>
          </w:p>
        </w:tc>
      </w:tr>
      <w:tr w:rsidR="00A15C2C" w14:paraId="68F507A2" w14:textId="77777777" w:rsidTr="00A807D0">
        <w:trPr>
          <w:trHeight w:val="310"/>
          <w:jc w:val="center"/>
        </w:trPr>
        <w:tc>
          <w:tcPr>
            <w:tcW w:w="1488" w:type="dxa"/>
            <w:shd w:val="clear" w:color="auto" w:fill="auto"/>
            <w:noWrap/>
            <w:vAlign w:val="bottom"/>
            <w:hideMark/>
          </w:tcPr>
          <w:p w14:paraId="5E4FB837" w14:textId="77777777" w:rsidR="004B2BB7" w:rsidRPr="00012598" w:rsidRDefault="000F5B51" w:rsidP="00A807D0">
            <w:pPr>
              <w:spacing w:after="0" w:line="240" w:lineRule="auto"/>
              <w:rPr>
                <w:rFonts w:eastAsia="Times New Roman" w:cs="Times New Roman"/>
                <w:b/>
                <w:bCs/>
                <w:color w:val="000000"/>
                <w:szCs w:val="24"/>
              </w:rPr>
            </w:pPr>
            <w:r w:rsidRPr="00012598">
              <w:rPr>
                <w:rFonts w:eastAsia="Times New Roman" w:cs="Times New Roman"/>
                <w:b/>
                <w:bCs/>
                <w:color w:val="000000"/>
                <w:szCs w:val="24"/>
              </w:rPr>
              <w:t>Fatality</w:t>
            </w:r>
          </w:p>
        </w:tc>
        <w:tc>
          <w:tcPr>
            <w:tcW w:w="1949" w:type="dxa"/>
            <w:vAlign w:val="center"/>
          </w:tcPr>
          <w:p w14:paraId="335AFB82" w14:textId="77777777" w:rsidR="004B2BB7" w:rsidRPr="00884F87" w:rsidRDefault="000F5B51" w:rsidP="00A807D0">
            <w:pPr>
              <w:spacing w:after="0" w:line="240" w:lineRule="auto"/>
              <w:jc w:val="center"/>
              <w:rPr>
                <w:rFonts w:cs="Times New Roman"/>
                <w:b/>
                <w:color w:val="000000"/>
                <w:szCs w:val="24"/>
              </w:rPr>
            </w:pPr>
            <w:r w:rsidRPr="004C7517">
              <w:rPr>
                <w:b/>
                <w:bCs/>
                <w:color w:val="000000"/>
              </w:rPr>
              <w:t>177</w:t>
            </w:r>
          </w:p>
        </w:tc>
        <w:tc>
          <w:tcPr>
            <w:tcW w:w="1950" w:type="dxa"/>
            <w:shd w:val="clear" w:color="auto" w:fill="auto"/>
            <w:noWrap/>
            <w:vAlign w:val="center"/>
          </w:tcPr>
          <w:p w14:paraId="446F88C9" w14:textId="77777777" w:rsidR="004B2BB7" w:rsidRPr="00884F87" w:rsidRDefault="000F5B51" w:rsidP="00A807D0">
            <w:pPr>
              <w:spacing w:after="0" w:line="240" w:lineRule="auto"/>
              <w:jc w:val="center"/>
              <w:rPr>
                <w:rFonts w:eastAsia="Times New Roman" w:cs="Times New Roman"/>
                <w:b/>
                <w:color w:val="000000"/>
                <w:szCs w:val="24"/>
              </w:rPr>
            </w:pPr>
            <w:r w:rsidRPr="00884F87">
              <w:rPr>
                <w:b/>
                <w:color w:val="000000"/>
              </w:rPr>
              <w:t>0.74</w:t>
            </w:r>
          </w:p>
        </w:tc>
        <w:tc>
          <w:tcPr>
            <w:tcW w:w="1950" w:type="dxa"/>
            <w:shd w:val="clear" w:color="auto" w:fill="auto"/>
            <w:noWrap/>
            <w:vAlign w:val="center"/>
          </w:tcPr>
          <w:p w14:paraId="05DF69B4" w14:textId="77777777" w:rsidR="004B2BB7" w:rsidRPr="00884F87" w:rsidRDefault="000F5B51" w:rsidP="00A807D0">
            <w:pPr>
              <w:spacing w:after="0" w:line="240" w:lineRule="auto"/>
              <w:jc w:val="center"/>
              <w:rPr>
                <w:rFonts w:eastAsia="Times New Roman" w:cs="Times New Roman"/>
                <w:b/>
                <w:color w:val="000000"/>
                <w:szCs w:val="24"/>
              </w:rPr>
            </w:pPr>
            <w:r w:rsidRPr="004C7517">
              <w:rPr>
                <w:b/>
                <w:bCs/>
                <w:color w:val="000000"/>
              </w:rPr>
              <w:t>0.8825</w:t>
            </w:r>
          </w:p>
        </w:tc>
        <w:tc>
          <w:tcPr>
            <w:tcW w:w="1949" w:type="dxa"/>
            <w:shd w:val="clear" w:color="auto" w:fill="auto"/>
            <w:noWrap/>
            <w:vAlign w:val="center"/>
          </w:tcPr>
          <w:p w14:paraId="66E6DA55" w14:textId="77777777" w:rsidR="004B2BB7" w:rsidRPr="004C7517" w:rsidRDefault="000F5B51" w:rsidP="00A807D0">
            <w:pPr>
              <w:spacing w:after="0" w:line="240" w:lineRule="auto"/>
              <w:jc w:val="center"/>
              <w:rPr>
                <w:rFonts w:eastAsia="Times New Roman" w:cs="Times New Roman"/>
                <w:b/>
                <w:bCs/>
                <w:color w:val="000000"/>
                <w:szCs w:val="24"/>
              </w:rPr>
            </w:pPr>
            <w:r w:rsidRPr="004C7517">
              <w:rPr>
                <w:b/>
                <w:bCs/>
                <w:color w:val="000000"/>
                <w:sz w:val="22"/>
              </w:rPr>
              <w:t>116</w:t>
            </w:r>
          </w:p>
        </w:tc>
        <w:tc>
          <w:tcPr>
            <w:tcW w:w="1950" w:type="dxa"/>
            <w:vAlign w:val="center"/>
          </w:tcPr>
          <w:p w14:paraId="4152D4B5" w14:textId="77777777" w:rsidR="004B2BB7" w:rsidRPr="004C7517" w:rsidRDefault="000F5B51" w:rsidP="00A807D0">
            <w:pPr>
              <w:spacing w:after="0" w:line="240" w:lineRule="auto"/>
              <w:jc w:val="center"/>
              <w:rPr>
                <w:b/>
                <w:bCs/>
                <w:color w:val="000000"/>
              </w:rPr>
            </w:pPr>
            <w:r w:rsidRPr="004C7517">
              <w:rPr>
                <w:b/>
                <w:bCs/>
                <w:color w:val="000000"/>
              </w:rPr>
              <w:t>0.8994</w:t>
            </w:r>
          </w:p>
        </w:tc>
        <w:tc>
          <w:tcPr>
            <w:tcW w:w="1950" w:type="dxa"/>
            <w:vAlign w:val="center"/>
          </w:tcPr>
          <w:p w14:paraId="21B6F7D3" w14:textId="77777777" w:rsidR="004B2BB7" w:rsidRPr="004C7517" w:rsidRDefault="000F5B51" w:rsidP="00A807D0">
            <w:pPr>
              <w:spacing w:after="0" w:line="240" w:lineRule="auto"/>
              <w:jc w:val="center"/>
              <w:rPr>
                <w:rFonts w:eastAsia="Times New Roman" w:cs="Times New Roman"/>
                <w:b/>
                <w:bCs/>
                <w:color w:val="000000"/>
                <w:szCs w:val="24"/>
              </w:rPr>
            </w:pPr>
            <w:r w:rsidRPr="004C7517">
              <w:rPr>
                <w:rFonts w:eastAsia="Times New Roman" w:cs="Times New Roman"/>
                <w:b/>
                <w:bCs/>
                <w:color w:val="000000"/>
                <w:szCs w:val="24"/>
              </w:rPr>
              <w:t>11</w:t>
            </w:r>
            <w:r w:rsidR="009A2DCC">
              <w:rPr>
                <w:rFonts w:eastAsia="Times New Roman" w:cs="Times New Roman"/>
                <w:b/>
                <w:bCs/>
                <w:color w:val="000000"/>
                <w:szCs w:val="24"/>
              </w:rPr>
              <w:t>6</w:t>
            </w:r>
          </w:p>
        </w:tc>
        <w:tc>
          <w:tcPr>
            <w:tcW w:w="1950" w:type="dxa"/>
            <w:vAlign w:val="center"/>
          </w:tcPr>
          <w:p w14:paraId="034E2BDA" w14:textId="77777777" w:rsidR="004B2BB7" w:rsidRPr="004C7517" w:rsidRDefault="000F5B51" w:rsidP="00A807D0">
            <w:pPr>
              <w:spacing w:after="0" w:line="240" w:lineRule="auto"/>
              <w:jc w:val="center"/>
              <w:rPr>
                <w:rFonts w:eastAsia="Times New Roman" w:cs="Times New Roman"/>
                <w:b/>
                <w:bCs/>
                <w:color w:val="000000"/>
                <w:szCs w:val="24"/>
              </w:rPr>
            </w:pPr>
            <w:r>
              <w:rPr>
                <w:rFonts w:eastAsia="Times New Roman" w:cs="Times New Roman"/>
                <w:b/>
                <w:bCs/>
                <w:color w:val="000000"/>
                <w:szCs w:val="24"/>
              </w:rPr>
              <w:t>1</w:t>
            </w:r>
          </w:p>
        </w:tc>
      </w:tr>
    </w:tbl>
    <w:p w14:paraId="1B32CFF6" w14:textId="77777777" w:rsidR="004B2BB7" w:rsidRDefault="000F5B51" w:rsidP="004B2BB7">
      <w:pPr>
        <w:rPr>
          <w:sz w:val="18"/>
          <w:szCs w:val="18"/>
        </w:rPr>
      </w:pPr>
      <w:r w:rsidRPr="00934F2C">
        <w:rPr>
          <w:sz w:val="18"/>
          <w:szCs w:val="18"/>
        </w:rPr>
        <w:t>Note: Values may not sum due to rounding. Totals are rounded to the nearest whole number for presentation purposes</w:t>
      </w:r>
      <w:r>
        <w:rPr>
          <w:sz w:val="18"/>
          <w:szCs w:val="18"/>
        </w:rPr>
        <w:t>.</w:t>
      </w:r>
    </w:p>
    <w:p w14:paraId="0760CF63" w14:textId="77777777" w:rsidR="004B2BB7" w:rsidRDefault="004B2BB7" w:rsidP="004B2BB7">
      <w:pPr>
        <w:rPr>
          <w:rFonts w:eastAsia="Times New Roman" w:cs="Times New Roman"/>
          <w:szCs w:val="24"/>
        </w:rPr>
        <w:sectPr w:rsidR="004B2BB7" w:rsidSect="00C41321">
          <w:pgSz w:w="15840" w:h="12240" w:orient="landscape" w:code="1"/>
          <w:pgMar w:top="1440" w:right="1440" w:bottom="1440" w:left="1440" w:header="720" w:footer="720" w:gutter="0"/>
          <w:cols w:space="720"/>
          <w:docGrid w:linePitch="360"/>
        </w:sectPr>
      </w:pPr>
    </w:p>
    <w:p w14:paraId="2800B33A" w14:textId="5E30DCBC" w:rsidR="006650A2" w:rsidRDefault="000F5B51" w:rsidP="006650A2">
      <w:pPr>
        <w:pStyle w:val="Caption"/>
        <w:spacing w:line="480" w:lineRule="auto"/>
        <w:jc w:val="left"/>
      </w:pPr>
      <w:r>
        <w:lastRenderedPageBreak/>
        <w:fldChar w:fldCharType="begin"/>
      </w:r>
      <w:r>
        <w:instrText xml:space="preserve"> REF _Ref127258650 \h </w:instrText>
      </w:r>
      <w:r>
        <w:fldChar w:fldCharType="separate"/>
      </w:r>
      <w:r w:rsidR="00A65CB3">
        <w:t xml:space="preserve">Table </w:t>
      </w:r>
      <w:r w:rsidR="00A65CB3">
        <w:rPr>
          <w:noProof/>
        </w:rPr>
        <w:t>82</w:t>
      </w:r>
      <w:r>
        <w:fldChar w:fldCharType="end"/>
      </w:r>
      <w:r>
        <w:t xml:space="preserve"> </w:t>
      </w:r>
      <w:r w:rsidRPr="00174C80">
        <w:t xml:space="preserve">presents a summary of the incremental benefits under the proposed rule, as well as those in this sensitivity analysis for rear seat occupants </w:t>
      </w:r>
      <w:r>
        <w:t>six to ten years old</w:t>
      </w:r>
      <w:r w:rsidR="001F2F92">
        <w:t xml:space="preserve">. </w:t>
      </w:r>
      <w:r>
        <w:t>In the case that seat belt use for rear seat occupants six to ten years old was double that of the Hi estimate, a total of one fatality and 4 non-fatal injuries would be prevented annually</w:t>
      </w:r>
      <w:r w:rsidR="001F2F92">
        <w:t xml:space="preserve">. </w:t>
      </w:r>
      <w:r>
        <w:t xml:space="preserve">Relative to those estimated in the main analysis, incremental benefits in this sensitivity analysis are approximately </w:t>
      </w:r>
      <w:r w:rsidR="0060001A">
        <w:t>two</w:t>
      </w:r>
      <w:r>
        <w:t xml:space="preserve"> to </w:t>
      </w:r>
      <w:r w:rsidR="0060001A">
        <w:t>four</w:t>
      </w:r>
      <w:r>
        <w:t xml:space="preserve"> times greater for non-fatal injuries prevented</w:t>
      </w:r>
      <w:r w:rsidR="001F2F92">
        <w:t xml:space="preserve">. </w:t>
      </w:r>
      <w:r>
        <w:t xml:space="preserve">In the case of fatalities, </w:t>
      </w:r>
      <w:r w:rsidR="00BC65C6">
        <w:t>the estimated fatalities prevented in this sensitivity analysis matches that of the Hi estimate in the main analysis.</w:t>
      </w:r>
    </w:p>
    <w:p w14:paraId="3DE87CA1" w14:textId="37341F2A" w:rsidR="004B2BB7" w:rsidRDefault="000F5B51" w:rsidP="004B2BB7">
      <w:pPr>
        <w:pStyle w:val="Caption"/>
        <w:rPr>
          <w:rFonts w:eastAsia="Times New Roman" w:cs="Times New Roman"/>
          <w:b/>
          <w:bCs/>
          <w:szCs w:val="24"/>
        </w:rPr>
      </w:pPr>
      <w:bookmarkStart w:id="1736" w:name="_Ref127258650"/>
      <w:r>
        <w:t xml:space="preserve">Table </w:t>
      </w:r>
      <w:r w:rsidR="00115BAB">
        <w:fldChar w:fldCharType="begin"/>
      </w:r>
      <w:r>
        <w:instrText xml:space="preserve"> SEQ Table \* ARABIC </w:instrText>
      </w:r>
      <w:r w:rsidR="00115BAB">
        <w:fldChar w:fldCharType="separate"/>
      </w:r>
      <w:r w:rsidR="00A65CB3">
        <w:rPr>
          <w:noProof/>
        </w:rPr>
        <w:t>82</w:t>
      </w:r>
      <w:r w:rsidR="00115BAB">
        <w:rPr>
          <w:noProof/>
        </w:rPr>
        <w:fldChar w:fldCharType="end"/>
      </w:r>
      <w:bookmarkEnd w:id="1736"/>
      <w:r>
        <w:t>: Sensitivity Analysis: Summary of Incremental Benefits for Rear Seat Occupants Age 6 to 10</w:t>
      </w:r>
    </w:p>
    <w:tbl>
      <w:tblPr>
        <w:tblStyle w:val="TableGrid"/>
        <w:tblW w:w="9053" w:type="dxa"/>
        <w:tblLayout w:type="fixed"/>
        <w:tblLook w:val="04A0" w:firstRow="1" w:lastRow="0" w:firstColumn="1" w:lastColumn="0" w:noHBand="0" w:noVBand="1"/>
      </w:tblPr>
      <w:tblGrid>
        <w:gridCol w:w="3205"/>
        <w:gridCol w:w="1949"/>
        <w:gridCol w:w="1950"/>
        <w:gridCol w:w="1949"/>
      </w:tblGrid>
      <w:tr w:rsidR="00A15C2C" w14:paraId="44182391" w14:textId="77777777" w:rsidTr="00A807D0">
        <w:trPr>
          <w:trHeight w:val="376"/>
        </w:trPr>
        <w:tc>
          <w:tcPr>
            <w:tcW w:w="3205" w:type="dxa"/>
            <w:vMerge w:val="restart"/>
            <w:shd w:val="clear" w:color="auto" w:fill="D9D9D9" w:themeFill="background1" w:themeFillShade="D9"/>
            <w:vAlign w:val="center"/>
          </w:tcPr>
          <w:p w14:paraId="1B020E0C" w14:textId="77777777" w:rsidR="004B2BB7" w:rsidRDefault="000F5B51" w:rsidP="00A807D0">
            <w:pPr>
              <w:spacing w:line="240" w:lineRule="auto"/>
              <w:rPr>
                <w:rFonts w:eastAsia="Times New Roman" w:cs="Times New Roman"/>
                <w:b/>
                <w:bCs/>
                <w:szCs w:val="24"/>
              </w:rPr>
            </w:pPr>
            <w:r>
              <w:rPr>
                <w:rFonts w:eastAsia="Times New Roman" w:cs="Times New Roman"/>
                <w:b/>
                <w:bCs/>
                <w:szCs w:val="24"/>
              </w:rPr>
              <w:t>Category</w:t>
            </w:r>
          </w:p>
        </w:tc>
        <w:tc>
          <w:tcPr>
            <w:tcW w:w="5848" w:type="dxa"/>
            <w:gridSpan w:val="3"/>
            <w:shd w:val="clear" w:color="auto" w:fill="D9D9D9" w:themeFill="background1" w:themeFillShade="D9"/>
            <w:vAlign w:val="center"/>
          </w:tcPr>
          <w:p w14:paraId="38E1A8DE" w14:textId="77777777" w:rsidR="004B2BB7" w:rsidRDefault="000F5B51" w:rsidP="00A807D0">
            <w:pPr>
              <w:spacing w:line="240" w:lineRule="auto"/>
              <w:jc w:val="center"/>
              <w:rPr>
                <w:rFonts w:eastAsia="Times New Roman" w:cs="Times New Roman"/>
                <w:b/>
                <w:bCs/>
                <w:szCs w:val="24"/>
              </w:rPr>
            </w:pPr>
            <w:r>
              <w:rPr>
                <w:rFonts w:eastAsia="Times New Roman" w:cs="Times New Roman"/>
                <w:b/>
                <w:bCs/>
                <w:szCs w:val="24"/>
              </w:rPr>
              <w:t>Incremental Benefits</w:t>
            </w:r>
          </w:p>
        </w:tc>
      </w:tr>
      <w:tr w:rsidR="00A15C2C" w14:paraId="332CF62D" w14:textId="77777777" w:rsidTr="00A807D0">
        <w:trPr>
          <w:trHeight w:val="376"/>
        </w:trPr>
        <w:tc>
          <w:tcPr>
            <w:tcW w:w="3205" w:type="dxa"/>
            <w:vMerge/>
            <w:shd w:val="clear" w:color="auto" w:fill="D9D9D9" w:themeFill="background1" w:themeFillShade="D9"/>
            <w:vAlign w:val="center"/>
          </w:tcPr>
          <w:p w14:paraId="6D194020" w14:textId="77777777" w:rsidR="004B2BB7" w:rsidRPr="00713E02" w:rsidRDefault="004B2BB7" w:rsidP="00A807D0">
            <w:pPr>
              <w:spacing w:line="240" w:lineRule="auto"/>
              <w:rPr>
                <w:rFonts w:eastAsia="Times New Roman" w:cs="Times New Roman"/>
                <w:szCs w:val="24"/>
              </w:rPr>
            </w:pPr>
          </w:p>
        </w:tc>
        <w:tc>
          <w:tcPr>
            <w:tcW w:w="3899" w:type="dxa"/>
            <w:gridSpan w:val="2"/>
            <w:shd w:val="clear" w:color="auto" w:fill="D9D9D9" w:themeFill="background1" w:themeFillShade="D9"/>
            <w:vAlign w:val="center"/>
          </w:tcPr>
          <w:p w14:paraId="7CBDEC47" w14:textId="77777777" w:rsidR="004B2BB7" w:rsidRDefault="000F5B51" w:rsidP="00A807D0">
            <w:pPr>
              <w:spacing w:line="240" w:lineRule="auto"/>
              <w:jc w:val="center"/>
              <w:rPr>
                <w:rFonts w:eastAsia="Times New Roman" w:cs="Times New Roman"/>
                <w:b/>
                <w:bCs/>
                <w:szCs w:val="24"/>
              </w:rPr>
            </w:pPr>
            <w:r>
              <w:rPr>
                <w:rFonts w:eastAsia="Times New Roman" w:cs="Times New Roman"/>
                <w:b/>
                <w:bCs/>
                <w:szCs w:val="24"/>
              </w:rPr>
              <w:t>Proposed Rule</w:t>
            </w:r>
          </w:p>
        </w:tc>
        <w:tc>
          <w:tcPr>
            <w:tcW w:w="1949" w:type="dxa"/>
            <w:vMerge w:val="restart"/>
            <w:shd w:val="clear" w:color="auto" w:fill="D9D9D9" w:themeFill="background1" w:themeFillShade="D9"/>
          </w:tcPr>
          <w:p w14:paraId="1D1E6C49" w14:textId="77777777" w:rsidR="004B2BB7" w:rsidRDefault="000F5B51" w:rsidP="00A807D0">
            <w:pPr>
              <w:spacing w:line="240" w:lineRule="auto"/>
              <w:jc w:val="center"/>
              <w:rPr>
                <w:rFonts w:eastAsia="Times New Roman" w:cs="Times New Roman"/>
                <w:b/>
                <w:bCs/>
                <w:szCs w:val="24"/>
              </w:rPr>
            </w:pPr>
            <w:r>
              <w:rPr>
                <w:rFonts w:eastAsia="Times New Roman" w:cs="Times New Roman"/>
                <w:b/>
                <w:bCs/>
                <w:szCs w:val="24"/>
              </w:rPr>
              <w:t xml:space="preserve">Sensitivity Analysis </w:t>
            </w:r>
          </w:p>
        </w:tc>
      </w:tr>
      <w:tr w:rsidR="00A15C2C" w14:paraId="66F5F462" w14:textId="77777777" w:rsidTr="00A807D0">
        <w:trPr>
          <w:trHeight w:val="376"/>
        </w:trPr>
        <w:tc>
          <w:tcPr>
            <w:tcW w:w="3205" w:type="dxa"/>
            <w:vMerge/>
            <w:shd w:val="clear" w:color="auto" w:fill="D9D9D9" w:themeFill="background1" w:themeFillShade="D9"/>
            <w:vAlign w:val="center"/>
          </w:tcPr>
          <w:p w14:paraId="5EECE507" w14:textId="77777777" w:rsidR="004B2BB7" w:rsidRPr="00713E02" w:rsidRDefault="004B2BB7" w:rsidP="00A807D0">
            <w:pPr>
              <w:spacing w:line="240" w:lineRule="auto"/>
              <w:rPr>
                <w:rFonts w:eastAsia="Times New Roman" w:cs="Times New Roman"/>
                <w:szCs w:val="24"/>
              </w:rPr>
            </w:pPr>
          </w:p>
        </w:tc>
        <w:tc>
          <w:tcPr>
            <w:tcW w:w="1949" w:type="dxa"/>
            <w:shd w:val="clear" w:color="auto" w:fill="D9D9D9" w:themeFill="background1" w:themeFillShade="D9"/>
            <w:vAlign w:val="center"/>
          </w:tcPr>
          <w:p w14:paraId="411B1EBA" w14:textId="77777777" w:rsidR="004B2BB7" w:rsidRDefault="000F5B51" w:rsidP="00A807D0">
            <w:pPr>
              <w:spacing w:line="240" w:lineRule="auto"/>
              <w:jc w:val="center"/>
              <w:rPr>
                <w:rFonts w:eastAsia="Times New Roman" w:cs="Times New Roman"/>
                <w:b/>
                <w:bCs/>
                <w:szCs w:val="24"/>
              </w:rPr>
            </w:pPr>
            <w:r>
              <w:rPr>
                <w:rFonts w:eastAsia="Times New Roman" w:cs="Times New Roman"/>
                <w:b/>
                <w:bCs/>
                <w:szCs w:val="24"/>
              </w:rPr>
              <w:t xml:space="preserve">Lo </w:t>
            </w:r>
          </w:p>
        </w:tc>
        <w:tc>
          <w:tcPr>
            <w:tcW w:w="1950" w:type="dxa"/>
            <w:shd w:val="clear" w:color="auto" w:fill="D9D9D9" w:themeFill="background1" w:themeFillShade="D9"/>
            <w:vAlign w:val="center"/>
          </w:tcPr>
          <w:p w14:paraId="48768F99" w14:textId="77777777" w:rsidR="004B2BB7" w:rsidRDefault="000F5B51" w:rsidP="00A807D0">
            <w:pPr>
              <w:spacing w:line="240" w:lineRule="auto"/>
              <w:jc w:val="center"/>
              <w:rPr>
                <w:rFonts w:eastAsia="Times New Roman" w:cs="Times New Roman"/>
                <w:b/>
                <w:bCs/>
                <w:szCs w:val="24"/>
              </w:rPr>
            </w:pPr>
            <w:r>
              <w:rPr>
                <w:rFonts w:eastAsia="Times New Roman" w:cs="Times New Roman"/>
                <w:b/>
                <w:bCs/>
                <w:szCs w:val="24"/>
              </w:rPr>
              <w:t>Hi</w:t>
            </w:r>
          </w:p>
        </w:tc>
        <w:tc>
          <w:tcPr>
            <w:tcW w:w="1949" w:type="dxa"/>
            <w:vMerge/>
            <w:shd w:val="clear" w:color="auto" w:fill="D9D9D9" w:themeFill="background1" w:themeFillShade="D9"/>
          </w:tcPr>
          <w:p w14:paraId="076FCC1C" w14:textId="77777777" w:rsidR="004B2BB7" w:rsidRDefault="004B2BB7" w:rsidP="00A807D0">
            <w:pPr>
              <w:spacing w:line="240" w:lineRule="auto"/>
              <w:jc w:val="center"/>
              <w:rPr>
                <w:rFonts w:eastAsia="Times New Roman" w:cs="Times New Roman"/>
                <w:b/>
                <w:bCs/>
                <w:szCs w:val="24"/>
              </w:rPr>
            </w:pPr>
          </w:p>
        </w:tc>
      </w:tr>
      <w:tr w:rsidR="00A15C2C" w14:paraId="0E71213F" w14:textId="77777777" w:rsidTr="00A807D0">
        <w:trPr>
          <w:trHeight w:val="458"/>
        </w:trPr>
        <w:tc>
          <w:tcPr>
            <w:tcW w:w="3205" w:type="dxa"/>
            <w:vAlign w:val="center"/>
          </w:tcPr>
          <w:p w14:paraId="04AD45DF" w14:textId="77777777" w:rsidR="004B2BB7" w:rsidRPr="00DA0C97" w:rsidRDefault="000F5B51" w:rsidP="00A807D0">
            <w:pPr>
              <w:spacing w:line="240" w:lineRule="auto"/>
              <w:rPr>
                <w:rFonts w:eastAsia="Times New Roman" w:cs="Times New Roman"/>
                <w:szCs w:val="24"/>
              </w:rPr>
            </w:pPr>
            <w:r w:rsidRPr="00DA0C97">
              <w:rPr>
                <w:rFonts w:eastAsia="Times New Roman" w:cs="Times New Roman"/>
                <w:szCs w:val="24"/>
              </w:rPr>
              <w:t>Non-fatal Injuries (MAIS 1-5)</w:t>
            </w:r>
          </w:p>
        </w:tc>
        <w:tc>
          <w:tcPr>
            <w:tcW w:w="1949" w:type="dxa"/>
            <w:vAlign w:val="center"/>
          </w:tcPr>
          <w:p w14:paraId="065E2F91" w14:textId="77777777" w:rsidR="004B2BB7" w:rsidRDefault="000F5B51" w:rsidP="00A807D0">
            <w:pPr>
              <w:spacing w:line="240" w:lineRule="auto"/>
              <w:jc w:val="center"/>
              <w:rPr>
                <w:rFonts w:eastAsia="Times New Roman" w:cs="Times New Roman"/>
                <w:b/>
                <w:bCs/>
                <w:szCs w:val="24"/>
              </w:rPr>
            </w:pPr>
            <w:r>
              <w:rPr>
                <w:rFonts w:eastAsia="Times New Roman" w:cs="Times New Roman"/>
                <w:b/>
                <w:bCs/>
                <w:szCs w:val="24"/>
              </w:rPr>
              <w:t>1</w:t>
            </w:r>
          </w:p>
        </w:tc>
        <w:tc>
          <w:tcPr>
            <w:tcW w:w="1950" w:type="dxa"/>
            <w:vAlign w:val="center"/>
          </w:tcPr>
          <w:p w14:paraId="66537FF3" w14:textId="77777777" w:rsidR="004B2BB7" w:rsidRDefault="000F5B51" w:rsidP="00A807D0">
            <w:pPr>
              <w:spacing w:line="240" w:lineRule="auto"/>
              <w:jc w:val="center"/>
              <w:rPr>
                <w:rFonts w:eastAsia="Times New Roman" w:cs="Times New Roman"/>
                <w:b/>
                <w:bCs/>
                <w:szCs w:val="24"/>
              </w:rPr>
            </w:pPr>
            <w:r>
              <w:rPr>
                <w:rFonts w:eastAsia="Times New Roman" w:cs="Times New Roman"/>
                <w:b/>
                <w:bCs/>
                <w:szCs w:val="24"/>
              </w:rPr>
              <w:t>2</w:t>
            </w:r>
          </w:p>
        </w:tc>
        <w:tc>
          <w:tcPr>
            <w:tcW w:w="1949" w:type="dxa"/>
            <w:vAlign w:val="center"/>
          </w:tcPr>
          <w:p w14:paraId="2C6088E9" w14:textId="77777777" w:rsidR="004B2BB7" w:rsidRDefault="000F5B51" w:rsidP="00A807D0">
            <w:pPr>
              <w:spacing w:line="240" w:lineRule="auto"/>
              <w:jc w:val="center"/>
              <w:rPr>
                <w:rFonts w:eastAsia="Times New Roman" w:cs="Times New Roman"/>
                <w:b/>
                <w:bCs/>
                <w:szCs w:val="24"/>
              </w:rPr>
            </w:pPr>
            <w:r>
              <w:rPr>
                <w:rFonts w:eastAsia="Times New Roman" w:cs="Times New Roman"/>
                <w:b/>
                <w:bCs/>
                <w:szCs w:val="24"/>
              </w:rPr>
              <w:t>4</w:t>
            </w:r>
          </w:p>
        </w:tc>
      </w:tr>
      <w:tr w:rsidR="00A15C2C" w14:paraId="2529FFD6" w14:textId="77777777" w:rsidTr="00A807D0">
        <w:trPr>
          <w:trHeight w:val="376"/>
        </w:trPr>
        <w:tc>
          <w:tcPr>
            <w:tcW w:w="3205" w:type="dxa"/>
            <w:vAlign w:val="center"/>
          </w:tcPr>
          <w:p w14:paraId="2515361F" w14:textId="77777777" w:rsidR="004B2BB7" w:rsidRPr="00DA0C97" w:rsidRDefault="000F5B51" w:rsidP="00A807D0">
            <w:pPr>
              <w:spacing w:line="240" w:lineRule="auto"/>
              <w:rPr>
                <w:rFonts w:eastAsia="Times New Roman" w:cs="Times New Roman"/>
                <w:szCs w:val="24"/>
              </w:rPr>
            </w:pPr>
            <w:r w:rsidRPr="00DA0C97">
              <w:rPr>
                <w:rFonts w:eastAsia="Times New Roman" w:cs="Times New Roman"/>
                <w:szCs w:val="24"/>
              </w:rPr>
              <w:t>Fatalities</w:t>
            </w:r>
          </w:p>
        </w:tc>
        <w:tc>
          <w:tcPr>
            <w:tcW w:w="1949" w:type="dxa"/>
            <w:vAlign w:val="center"/>
          </w:tcPr>
          <w:p w14:paraId="39C9FAA2" w14:textId="77777777" w:rsidR="004B2BB7" w:rsidRDefault="000F5B51" w:rsidP="00A807D0">
            <w:pPr>
              <w:spacing w:line="240" w:lineRule="auto"/>
              <w:jc w:val="center"/>
              <w:rPr>
                <w:rFonts w:eastAsia="Times New Roman" w:cs="Times New Roman"/>
                <w:b/>
                <w:bCs/>
                <w:szCs w:val="24"/>
              </w:rPr>
            </w:pPr>
            <w:r>
              <w:rPr>
                <w:rFonts w:eastAsia="Times New Roman" w:cs="Times New Roman"/>
                <w:b/>
                <w:bCs/>
                <w:szCs w:val="24"/>
              </w:rPr>
              <w:t>0</w:t>
            </w:r>
          </w:p>
        </w:tc>
        <w:tc>
          <w:tcPr>
            <w:tcW w:w="1950" w:type="dxa"/>
            <w:vAlign w:val="center"/>
          </w:tcPr>
          <w:p w14:paraId="14A0FB9C" w14:textId="77777777" w:rsidR="004B2BB7" w:rsidRDefault="000F5B51" w:rsidP="00A807D0">
            <w:pPr>
              <w:spacing w:line="240" w:lineRule="auto"/>
              <w:jc w:val="center"/>
              <w:rPr>
                <w:rFonts w:eastAsia="Times New Roman" w:cs="Times New Roman"/>
                <w:b/>
                <w:bCs/>
                <w:szCs w:val="24"/>
              </w:rPr>
            </w:pPr>
            <w:r>
              <w:rPr>
                <w:rFonts w:eastAsia="Times New Roman" w:cs="Times New Roman"/>
                <w:b/>
                <w:bCs/>
                <w:szCs w:val="24"/>
              </w:rPr>
              <w:t>1</w:t>
            </w:r>
          </w:p>
        </w:tc>
        <w:tc>
          <w:tcPr>
            <w:tcW w:w="1949" w:type="dxa"/>
            <w:vAlign w:val="center"/>
          </w:tcPr>
          <w:p w14:paraId="7EE15294" w14:textId="77777777" w:rsidR="004B2BB7" w:rsidRDefault="000F5B51" w:rsidP="00A807D0">
            <w:pPr>
              <w:spacing w:line="240" w:lineRule="auto"/>
              <w:jc w:val="center"/>
              <w:rPr>
                <w:rFonts w:eastAsia="Times New Roman" w:cs="Times New Roman"/>
                <w:b/>
                <w:bCs/>
                <w:szCs w:val="24"/>
              </w:rPr>
            </w:pPr>
            <w:r>
              <w:rPr>
                <w:rFonts w:eastAsia="Times New Roman" w:cs="Times New Roman"/>
                <w:b/>
                <w:bCs/>
                <w:szCs w:val="24"/>
              </w:rPr>
              <w:t>1</w:t>
            </w:r>
          </w:p>
        </w:tc>
      </w:tr>
    </w:tbl>
    <w:p w14:paraId="5748892F" w14:textId="77777777" w:rsidR="004B2BB7" w:rsidRPr="0021691D" w:rsidRDefault="000F5B51" w:rsidP="0021691D">
      <w:pPr>
        <w:pStyle w:val="NoSpaceTimes"/>
        <w:jc w:val="left"/>
        <w:rPr>
          <w:sz w:val="18"/>
          <w:szCs w:val="18"/>
        </w:rPr>
      </w:pPr>
      <w:r w:rsidRPr="0021691D">
        <w:rPr>
          <w:sz w:val="18"/>
          <w:szCs w:val="18"/>
        </w:rPr>
        <w:t>Note: Values may not sum due to rounding. Totals are rounded to the nearest whole number for pres</w:t>
      </w:r>
      <w:r w:rsidR="00DB04B9" w:rsidRPr="0021691D">
        <w:rPr>
          <w:sz w:val="18"/>
          <w:szCs w:val="18"/>
        </w:rPr>
        <w:t>entation purposes.</w:t>
      </w:r>
    </w:p>
    <w:p w14:paraId="14C3C51D" w14:textId="77777777" w:rsidR="004B2BB7" w:rsidRDefault="004B2BB7" w:rsidP="004B2BB7">
      <w:pPr>
        <w:pStyle w:val="Caption"/>
        <w:rPr>
          <w:rFonts w:eastAsia="Times New Roman" w:cs="Times New Roman"/>
          <w:szCs w:val="24"/>
        </w:rPr>
      </w:pPr>
    </w:p>
    <w:p w14:paraId="356DB8BC" w14:textId="77777777" w:rsidR="00505DC7" w:rsidRDefault="000F5B51" w:rsidP="00505DC7">
      <w:pPr>
        <w:pStyle w:val="Heading3"/>
        <w:spacing w:line="240" w:lineRule="auto"/>
      </w:pPr>
      <w:bookmarkStart w:id="1737" w:name="_Toc142903001"/>
      <w:r>
        <w:t>Comparison to Main Analysis</w:t>
      </w:r>
      <w:bookmarkEnd w:id="1737"/>
    </w:p>
    <w:p w14:paraId="4D54DDE9" w14:textId="77777777" w:rsidR="00505DC7" w:rsidRDefault="000F5B51" w:rsidP="00505DC7">
      <w:r>
        <w:t>This subsection makes use of the incremental benefits calculated in the previous subsections for rear seat occupants by age group to compare the findings of this sensitivity analysis to the main analysis</w:t>
      </w:r>
      <w:r w:rsidR="001F2F92">
        <w:t xml:space="preserve">. </w:t>
      </w:r>
      <w:r w:rsidR="00E412AF">
        <w:t>Taking into account the increase</w:t>
      </w:r>
      <w:r w:rsidR="6C360D65">
        <w:t>d</w:t>
      </w:r>
      <w:r w:rsidR="00E412AF">
        <w:t xml:space="preserve"> seat belt use rates considered in this sensiti</w:t>
      </w:r>
      <w:r w:rsidR="00B02D4E">
        <w:t xml:space="preserve">vity analysis for both age groups, </w:t>
      </w:r>
      <w:r w:rsidR="00971D7B">
        <w:t>ELS</w:t>
      </w:r>
      <w:r w:rsidR="00B02D4E">
        <w:t xml:space="preserve"> for rear seat occupants are estimated at 13</w:t>
      </w:r>
      <w:r w:rsidR="007E1A9E">
        <w:t>6.1</w:t>
      </w:r>
      <w:r w:rsidR="00B02D4E">
        <w:t xml:space="preserve"> and 11</w:t>
      </w:r>
      <w:r w:rsidR="007E1A9E">
        <w:t>0.4</w:t>
      </w:r>
      <w:r w:rsidR="00B02D4E">
        <w:t xml:space="preserve"> when discounted at three and seven percent, respectively</w:t>
      </w:r>
      <w:r w:rsidR="001F2F92">
        <w:t xml:space="preserve">. </w:t>
      </w:r>
      <w:r w:rsidR="008A1DBB">
        <w:t>The</w:t>
      </w:r>
      <w:r w:rsidR="00893372">
        <w:t xml:space="preserve"> </w:t>
      </w:r>
      <w:r w:rsidR="00971D7B">
        <w:t>estimated ELS</w:t>
      </w:r>
      <w:r w:rsidR="009E514D">
        <w:t xml:space="preserve"> in this sensitivity analysis reflect a</w:t>
      </w:r>
      <w:r w:rsidR="00373501">
        <w:t>n approximate 2</w:t>
      </w:r>
      <w:r w:rsidR="00D73CC2">
        <w:t>6</w:t>
      </w:r>
      <w:r w:rsidR="009E514D">
        <w:t xml:space="preserve"> </w:t>
      </w:r>
      <w:r w:rsidR="00373501">
        <w:t>to 4</w:t>
      </w:r>
      <w:r w:rsidR="00D73CC2">
        <w:t>0</w:t>
      </w:r>
      <w:r w:rsidR="00373501">
        <w:t xml:space="preserve"> percent increase from the Lo and Hi estimates in the main analysis. </w:t>
      </w:r>
    </w:p>
    <w:p w14:paraId="4BD216C6" w14:textId="77777777" w:rsidR="00373501" w:rsidRDefault="000F5B51" w:rsidP="00505DC7">
      <w:r>
        <w:t>Taking into account the increase</w:t>
      </w:r>
      <w:r w:rsidR="3D9BDE2E">
        <w:t>d</w:t>
      </w:r>
      <w:r>
        <w:t xml:space="preserve"> seat belt use rates considered in this sensitivity analysis for both age groups, monetized benefits for rear seat occupants are estimated at approximately $1</w:t>
      </w:r>
      <w:r w:rsidR="00ED2CEB">
        <w:t>.</w:t>
      </w:r>
      <w:r w:rsidR="007E1A9E">
        <w:t>42</w:t>
      </w:r>
      <w:r w:rsidR="00ED2CEB">
        <w:t xml:space="preserve"> and $1.1</w:t>
      </w:r>
      <w:r w:rsidR="007E1A9E">
        <w:t>5</w:t>
      </w:r>
      <w:r w:rsidR="00ED2CEB">
        <w:t xml:space="preserve"> billion</w:t>
      </w:r>
      <w:r>
        <w:t xml:space="preserve"> when discounted at three and seven percent, respectively</w:t>
      </w:r>
      <w:r w:rsidR="001F2F92">
        <w:t xml:space="preserve">. </w:t>
      </w:r>
      <w:r w:rsidR="00ED2CEB">
        <w:t>Monetized benefits</w:t>
      </w:r>
      <w:r>
        <w:t xml:space="preserve"> in </w:t>
      </w:r>
      <w:r>
        <w:lastRenderedPageBreak/>
        <w:t>this sensitivity analysis reflect an approximate</w:t>
      </w:r>
      <w:r w:rsidR="00991E55">
        <w:t xml:space="preserve"> nine</w:t>
      </w:r>
      <w:r w:rsidR="007B3200">
        <w:t xml:space="preserve"> to 2</w:t>
      </w:r>
      <w:r w:rsidR="00780F16">
        <w:t>2</w:t>
      </w:r>
      <w:r w:rsidR="007B3200">
        <w:t xml:space="preserve"> p</w:t>
      </w:r>
      <w:r>
        <w:t xml:space="preserve">ercent increase from those calculated for the Lo and Hi estimates in the main analysis. </w:t>
      </w:r>
    </w:p>
    <w:p w14:paraId="55C08FAE" w14:textId="7CE34235" w:rsidR="00505DC7" w:rsidRDefault="000F5B51" w:rsidP="00505DC7">
      <w:pPr>
        <w:pStyle w:val="Caption"/>
        <w:rPr>
          <w:rFonts w:eastAsia="Times New Roman" w:cs="Times New Roman"/>
          <w:szCs w:val="24"/>
        </w:rPr>
      </w:pPr>
      <w:r>
        <w:t xml:space="preserve">Table </w:t>
      </w:r>
      <w:r w:rsidR="00115BAB">
        <w:fldChar w:fldCharType="begin"/>
      </w:r>
      <w:r>
        <w:instrText xml:space="preserve"> SEQ Table \* ARABIC </w:instrText>
      </w:r>
      <w:r w:rsidR="00115BAB">
        <w:fldChar w:fldCharType="separate"/>
      </w:r>
      <w:r w:rsidR="00A65CB3">
        <w:rPr>
          <w:noProof/>
        </w:rPr>
        <w:t>83</w:t>
      </w:r>
      <w:r w:rsidR="00115BAB">
        <w:rPr>
          <w:noProof/>
        </w:rPr>
        <w:fldChar w:fldCharType="end"/>
      </w:r>
      <w:r>
        <w:t>: Sensitivity Analysis: Comparison of Fatal Equivalents and Monetized Benefits Rear Seat Occupants</w:t>
      </w:r>
    </w:p>
    <w:tbl>
      <w:tblPr>
        <w:tblStyle w:val="TableGrid"/>
        <w:tblW w:w="9246" w:type="dxa"/>
        <w:tblLayout w:type="fixed"/>
        <w:tblLook w:val="04A0" w:firstRow="1" w:lastRow="0" w:firstColumn="1" w:lastColumn="0" w:noHBand="0" w:noVBand="1"/>
      </w:tblPr>
      <w:tblGrid>
        <w:gridCol w:w="1255"/>
        <w:gridCol w:w="1260"/>
        <w:gridCol w:w="1682"/>
        <w:gridCol w:w="1683"/>
        <w:gridCol w:w="1683"/>
        <w:gridCol w:w="1683"/>
      </w:tblGrid>
      <w:tr w:rsidR="00A15C2C" w14:paraId="0889E947" w14:textId="77777777" w:rsidTr="00A807D0">
        <w:trPr>
          <w:trHeight w:val="96"/>
        </w:trPr>
        <w:tc>
          <w:tcPr>
            <w:tcW w:w="2515" w:type="dxa"/>
            <w:gridSpan w:val="2"/>
            <w:vMerge w:val="restart"/>
            <w:shd w:val="clear" w:color="auto" w:fill="BFBFBF" w:themeFill="background1" w:themeFillShade="BF"/>
            <w:vAlign w:val="center"/>
          </w:tcPr>
          <w:p w14:paraId="5754F9AD" w14:textId="77777777" w:rsidR="00505DC7" w:rsidRDefault="000F5B51" w:rsidP="00A807D0">
            <w:pPr>
              <w:spacing w:line="240" w:lineRule="auto"/>
              <w:rPr>
                <w:b/>
                <w:bCs/>
                <w:sz w:val="22"/>
              </w:rPr>
            </w:pPr>
            <w:r>
              <w:rPr>
                <w:b/>
                <w:bCs/>
                <w:sz w:val="22"/>
              </w:rPr>
              <w:t>Category</w:t>
            </w:r>
          </w:p>
        </w:tc>
        <w:tc>
          <w:tcPr>
            <w:tcW w:w="3365" w:type="dxa"/>
            <w:gridSpan w:val="2"/>
            <w:shd w:val="clear" w:color="auto" w:fill="BFBFBF" w:themeFill="background1" w:themeFillShade="BF"/>
            <w:vAlign w:val="center"/>
          </w:tcPr>
          <w:p w14:paraId="71FB382A" w14:textId="77777777" w:rsidR="00505DC7" w:rsidRPr="00FF04E1" w:rsidRDefault="000F5B51" w:rsidP="00A807D0">
            <w:pPr>
              <w:spacing w:line="240" w:lineRule="auto"/>
              <w:jc w:val="center"/>
              <w:rPr>
                <w:b/>
                <w:bCs/>
                <w:sz w:val="22"/>
              </w:rPr>
            </w:pPr>
            <w:r>
              <w:rPr>
                <w:b/>
                <w:bCs/>
                <w:sz w:val="22"/>
              </w:rPr>
              <w:t>Fatal Equivalents</w:t>
            </w:r>
          </w:p>
        </w:tc>
        <w:tc>
          <w:tcPr>
            <w:tcW w:w="3366" w:type="dxa"/>
            <w:gridSpan w:val="2"/>
            <w:shd w:val="clear" w:color="auto" w:fill="BFBFBF" w:themeFill="background1" w:themeFillShade="BF"/>
            <w:vAlign w:val="center"/>
          </w:tcPr>
          <w:p w14:paraId="4DA686B0" w14:textId="77777777" w:rsidR="00505DC7" w:rsidRPr="00FF04E1" w:rsidRDefault="000F5B51" w:rsidP="00A807D0">
            <w:pPr>
              <w:spacing w:line="240" w:lineRule="auto"/>
              <w:jc w:val="center"/>
              <w:rPr>
                <w:b/>
                <w:bCs/>
                <w:sz w:val="22"/>
              </w:rPr>
            </w:pPr>
            <w:r>
              <w:rPr>
                <w:b/>
                <w:bCs/>
                <w:sz w:val="22"/>
              </w:rPr>
              <w:t>Monetized Benefits (Millions)</w:t>
            </w:r>
          </w:p>
        </w:tc>
      </w:tr>
      <w:tr w:rsidR="00A15C2C" w14:paraId="299E5DC5" w14:textId="77777777" w:rsidTr="00A807D0">
        <w:trPr>
          <w:trHeight w:val="96"/>
        </w:trPr>
        <w:tc>
          <w:tcPr>
            <w:tcW w:w="2515" w:type="dxa"/>
            <w:gridSpan w:val="2"/>
            <w:vMerge/>
            <w:shd w:val="clear" w:color="auto" w:fill="BFBFBF" w:themeFill="background1" w:themeFillShade="BF"/>
            <w:vAlign w:val="center"/>
          </w:tcPr>
          <w:p w14:paraId="2DC70C61" w14:textId="77777777" w:rsidR="00505DC7" w:rsidRPr="00FF04E1" w:rsidRDefault="00505DC7" w:rsidP="00A807D0">
            <w:pPr>
              <w:spacing w:line="240" w:lineRule="auto"/>
              <w:rPr>
                <w:b/>
                <w:bCs/>
                <w:sz w:val="22"/>
              </w:rPr>
            </w:pPr>
          </w:p>
        </w:tc>
        <w:tc>
          <w:tcPr>
            <w:tcW w:w="1682" w:type="dxa"/>
            <w:shd w:val="clear" w:color="auto" w:fill="BFBFBF" w:themeFill="background1" w:themeFillShade="BF"/>
            <w:vAlign w:val="center"/>
          </w:tcPr>
          <w:p w14:paraId="4832B8EF" w14:textId="77777777" w:rsidR="00505DC7" w:rsidRPr="004C7517" w:rsidRDefault="000F5B51" w:rsidP="00A807D0">
            <w:pPr>
              <w:spacing w:line="240" w:lineRule="auto"/>
              <w:jc w:val="center"/>
              <w:rPr>
                <w:rFonts w:cs="Times New Roman"/>
                <w:b/>
                <w:bCs/>
                <w:sz w:val="20"/>
                <w:szCs w:val="20"/>
              </w:rPr>
            </w:pPr>
            <w:r w:rsidRPr="004C7517">
              <w:rPr>
                <w:rFonts w:cs="Times New Roman"/>
                <w:b/>
                <w:bCs/>
                <w:sz w:val="20"/>
                <w:szCs w:val="20"/>
              </w:rPr>
              <w:t>Discounted at 3%</w:t>
            </w:r>
          </w:p>
        </w:tc>
        <w:tc>
          <w:tcPr>
            <w:tcW w:w="1683" w:type="dxa"/>
            <w:shd w:val="clear" w:color="auto" w:fill="BFBFBF" w:themeFill="background1" w:themeFillShade="BF"/>
            <w:vAlign w:val="center"/>
          </w:tcPr>
          <w:p w14:paraId="5CED7E8A" w14:textId="77777777" w:rsidR="00505DC7" w:rsidRPr="004C7517" w:rsidRDefault="000F5B51" w:rsidP="00A807D0">
            <w:pPr>
              <w:spacing w:line="240" w:lineRule="auto"/>
              <w:jc w:val="center"/>
              <w:rPr>
                <w:b/>
                <w:bCs/>
                <w:sz w:val="20"/>
                <w:szCs w:val="20"/>
              </w:rPr>
            </w:pPr>
            <w:r w:rsidRPr="004C7517">
              <w:rPr>
                <w:rFonts w:cs="Times New Roman"/>
                <w:b/>
                <w:bCs/>
                <w:sz w:val="20"/>
                <w:szCs w:val="20"/>
              </w:rPr>
              <w:t>Discounted at 7%</w:t>
            </w:r>
          </w:p>
        </w:tc>
        <w:tc>
          <w:tcPr>
            <w:tcW w:w="1683" w:type="dxa"/>
            <w:shd w:val="clear" w:color="auto" w:fill="BFBFBF" w:themeFill="background1" w:themeFillShade="BF"/>
            <w:vAlign w:val="center"/>
          </w:tcPr>
          <w:p w14:paraId="1E1C6C8C" w14:textId="77777777" w:rsidR="00505DC7" w:rsidRPr="004C7517" w:rsidRDefault="000F5B51" w:rsidP="00A807D0">
            <w:pPr>
              <w:spacing w:line="240" w:lineRule="auto"/>
              <w:jc w:val="center"/>
              <w:rPr>
                <w:b/>
                <w:bCs/>
                <w:sz w:val="20"/>
                <w:szCs w:val="20"/>
              </w:rPr>
            </w:pPr>
            <w:r w:rsidRPr="004C7517">
              <w:rPr>
                <w:rFonts w:cs="Times New Roman"/>
                <w:b/>
                <w:bCs/>
                <w:sz w:val="20"/>
                <w:szCs w:val="20"/>
              </w:rPr>
              <w:t>Discounted at 3%</w:t>
            </w:r>
          </w:p>
        </w:tc>
        <w:tc>
          <w:tcPr>
            <w:tcW w:w="1683" w:type="dxa"/>
            <w:shd w:val="clear" w:color="auto" w:fill="BFBFBF" w:themeFill="background1" w:themeFillShade="BF"/>
            <w:vAlign w:val="center"/>
          </w:tcPr>
          <w:p w14:paraId="437CE65D" w14:textId="77777777" w:rsidR="00505DC7" w:rsidRPr="004C7517" w:rsidRDefault="000F5B51" w:rsidP="00A807D0">
            <w:pPr>
              <w:spacing w:line="240" w:lineRule="auto"/>
              <w:jc w:val="center"/>
              <w:rPr>
                <w:b/>
                <w:bCs/>
                <w:sz w:val="20"/>
                <w:szCs w:val="20"/>
              </w:rPr>
            </w:pPr>
            <w:r w:rsidRPr="004C7517">
              <w:rPr>
                <w:rFonts w:cs="Times New Roman"/>
                <w:b/>
                <w:bCs/>
                <w:sz w:val="20"/>
                <w:szCs w:val="20"/>
              </w:rPr>
              <w:t>Discounted at 7%</w:t>
            </w:r>
          </w:p>
        </w:tc>
      </w:tr>
      <w:tr w:rsidR="00A15C2C" w14:paraId="1BFD213A" w14:textId="77777777" w:rsidTr="0021691D">
        <w:trPr>
          <w:trHeight w:val="96"/>
        </w:trPr>
        <w:tc>
          <w:tcPr>
            <w:tcW w:w="1255" w:type="dxa"/>
            <w:vMerge w:val="restart"/>
          </w:tcPr>
          <w:p w14:paraId="3B801C31" w14:textId="77777777" w:rsidR="00591940" w:rsidRPr="00934F2C" w:rsidRDefault="000F5B51" w:rsidP="00591940">
            <w:pPr>
              <w:spacing w:line="240" w:lineRule="auto"/>
              <w:rPr>
                <w:sz w:val="22"/>
              </w:rPr>
            </w:pPr>
            <w:r>
              <w:rPr>
                <w:sz w:val="22"/>
              </w:rPr>
              <w:t>Proposed Rule</w:t>
            </w:r>
          </w:p>
        </w:tc>
        <w:tc>
          <w:tcPr>
            <w:tcW w:w="1260" w:type="dxa"/>
          </w:tcPr>
          <w:p w14:paraId="3CC66489" w14:textId="77777777" w:rsidR="00591940" w:rsidRPr="00934F2C" w:rsidRDefault="000F5B51" w:rsidP="00591940">
            <w:pPr>
              <w:spacing w:line="240" w:lineRule="auto"/>
              <w:jc w:val="center"/>
              <w:rPr>
                <w:rFonts w:cs="Times New Roman"/>
                <w:sz w:val="22"/>
              </w:rPr>
            </w:pPr>
            <w:r w:rsidRPr="00934F2C">
              <w:rPr>
                <w:rFonts w:cs="Times New Roman"/>
                <w:sz w:val="22"/>
              </w:rPr>
              <w:t>Lo</w:t>
            </w:r>
          </w:p>
        </w:tc>
        <w:tc>
          <w:tcPr>
            <w:tcW w:w="1682" w:type="dxa"/>
          </w:tcPr>
          <w:p w14:paraId="220BA25B" w14:textId="77777777" w:rsidR="00591940" w:rsidRPr="00591940" w:rsidRDefault="000F5B51" w:rsidP="00591940">
            <w:pPr>
              <w:spacing w:line="240" w:lineRule="auto"/>
              <w:jc w:val="center"/>
              <w:rPr>
                <w:sz w:val="22"/>
              </w:rPr>
            </w:pPr>
            <w:r w:rsidRPr="0021691D">
              <w:rPr>
                <w:sz w:val="22"/>
              </w:rPr>
              <w:t>97.1</w:t>
            </w:r>
          </w:p>
        </w:tc>
        <w:tc>
          <w:tcPr>
            <w:tcW w:w="1683" w:type="dxa"/>
            <w:vAlign w:val="center"/>
          </w:tcPr>
          <w:p w14:paraId="33603495" w14:textId="77777777" w:rsidR="00591940" w:rsidRPr="00591940" w:rsidRDefault="000F5B51" w:rsidP="00591940">
            <w:pPr>
              <w:spacing w:line="240" w:lineRule="auto"/>
              <w:jc w:val="center"/>
              <w:rPr>
                <w:sz w:val="22"/>
              </w:rPr>
            </w:pPr>
            <w:r w:rsidRPr="0021691D">
              <w:rPr>
                <w:sz w:val="22"/>
              </w:rPr>
              <w:t>78.7</w:t>
            </w:r>
          </w:p>
        </w:tc>
        <w:tc>
          <w:tcPr>
            <w:tcW w:w="1683" w:type="dxa"/>
          </w:tcPr>
          <w:p w14:paraId="0CCE0276" w14:textId="77777777" w:rsidR="00591940" w:rsidRPr="00934F2C" w:rsidRDefault="000F5B51" w:rsidP="00591940">
            <w:pPr>
              <w:spacing w:line="240" w:lineRule="auto"/>
              <w:jc w:val="center"/>
              <w:rPr>
                <w:sz w:val="22"/>
              </w:rPr>
            </w:pPr>
            <w:r>
              <w:rPr>
                <w:rFonts w:cs="Times New Roman"/>
                <w:sz w:val="22"/>
              </w:rPr>
              <w:t>$1,163</w:t>
            </w:r>
          </w:p>
        </w:tc>
        <w:tc>
          <w:tcPr>
            <w:tcW w:w="1683" w:type="dxa"/>
            <w:vAlign w:val="center"/>
          </w:tcPr>
          <w:p w14:paraId="56412389" w14:textId="77777777" w:rsidR="00591940" w:rsidRPr="00934F2C" w:rsidRDefault="000F5B51" w:rsidP="00591940">
            <w:pPr>
              <w:spacing w:line="240" w:lineRule="auto"/>
              <w:jc w:val="center"/>
              <w:rPr>
                <w:sz w:val="22"/>
              </w:rPr>
            </w:pPr>
            <w:r>
              <w:rPr>
                <w:sz w:val="22"/>
              </w:rPr>
              <w:t>$943.1</w:t>
            </w:r>
          </w:p>
        </w:tc>
      </w:tr>
      <w:tr w:rsidR="00A15C2C" w14:paraId="4256045C" w14:textId="77777777" w:rsidTr="0021691D">
        <w:trPr>
          <w:trHeight w:val="96"/>
        </w:trPr>
        <w:tc>
          <w:tcPr>
            <w:tcW w:w="1255" w:type="dxa"/>
            <w:vMerge/>
          </w:tcPr>
          <w:p w14:paraId="58F07B78" w14:textId="77777777" w:rsidR="00591940" w:rsidRPr="00934F2C" w:rsidRDefault="00591940" w:rsidP="00591940">
            <w:pPr>
              <w:spacing w:line="240" w:lineRule="auto"/>
              <w:rPr>
                <w:sz w:val="22"/>
              </w:rPr>
            </w:pPr>
          </w:p>
        </w:tc>
        <w:tc>
          <w:tcPr>
            <w:tcW w:w="1260" w:type="dxa"/>
          </w:tcPr>
          <w:p w14:paraId="1CBD9CC9" w14:textId="77777777" w:rsidR="00591940" w:rsidRPr="00934F2C" w:rsidRDefault="000F5B51" w:rsidP="00591940">
            <w:pPr>
              <w:spacing w:line="240" w:lineRule="auto"/>
              <w:jc w:val="center"/>
              <w:rPr>
                <w:rFonts w:cs="Times New Roman"/>
                <w:sz w:val="22"/>
              </w:rPr>
            </w:pPr>
            <w:r w:rsidRPr="00934F2C">
              <w:rPr>
                <w:rFonts w:cs="Times New Roman"/>
                <w:sz w:val="22"/>
              </w:rPr>
              <w:t>Hi</w:t>
            </w:r>
          </w:p>
        </w:tc>
        <w:tc>
          <w:tcPr>
            <w:tcW w:w="1682" w:type="dxa"/>
          </w:tcPr>
          <w:p w14:paraId="31349DF7" w14:textId="77777777" w:rsidR="00591940" w:rsidRPr="00591940" w:rsidRDefault="000F5B51" w:rsidP="00591940">
            <w:pPr>
              <w:spacing w:line="240" w:lineRule="auto"/>
              <w:jc w:val="center"/>
              <w:rPr>
                <w:sz w:val="22"/>
              </w:rPr>
            </w:pPr>
            <w:r w:rsidRPr="0021691D">
              <w:rPr>
                <w:sz w:val="22"/>
              </w:rPr>
              <w:t>108.2</w:t>
            </w:r>
          </w:p>
        </w:tc>
        <w:tc>
          <w:tcPr>
            <w:tcW w:w="1683" w:type="dxa"/>
            <w:vAlign w:val="center"/>
          </w:tcPr>
          <w:p w14:paraId="4A9CE97E" w14:textId="77777777" w:rsidR="00591940" w:rsidRPr="00591940" w:rsidRDefault="000F5B51" w:rsidP="00591940">
            <w:pPr>
              <w:spacing w:line="240" w:lineRule="auto"/>
              <w:jc w:val="center"/>
              <w:rPr>
                <w:sz w:val="22"/>
              </w:rPr>
            </w:pPr>
            <w:r w:rsidRPr="0021691D">
              <w:rPr>
                <w:sz w:val="22"/>
              </w:rPr>
              <w:t>87.7</w:t>
            </w:r>
          </w:p>
        </w:tc>
        <w:tc>
          <w:tcPr>
            <w:tcW w:w="1683" w:type="dxa"/>
          </w:tcPr>
          <w:p w14:paraId="00B65BAC" w14:textId="77777777" w:rsidR="00591940" w:rsidRPr="00934F2C" w:rsidRDefault="000F5B51" w:rsidP="00591940">
            <w:pPr>
              <w:spacing w:line="240" w:lineRule="auto"/>
              <w:jc w:val="center"/>
              <w:rPr>
                <w:sz w:val="22"/>
              </w:rPr>
            </w:pPr>
            <w:r>
              <w:rPr>
                <w:rFonts w:cs="Times New Roman"/>
                <w:sz w:val="22"/>
              </w:rPr>
              <w:t>$1,296</w:t>
            </w:r>
          </w:p>
        </w:tc>
        <w:tc>
          <w:tcPr>
            <w:tcW w:w="1683" w:type="dxa"/>
            <w:vAlign w:val="center"/>
          </w:tcPr>
          <w:p w14:paraId="6EE7813D" w14:textId="77777777" w:rsidR="00591940" w:rsidRPr="00934F2C" w:rsidRDefault="000F5B51" w:rsidP="00591940">
            <w:pPr>
              <w:spacing w:line="240" w:lineRule="auto"/>
              <w:jc w:val="center"/>
              <w:rPr>
                <w:sz w:val="22"/>
              </w:rPr>
            </w:pPr>
            <w:r>
              <w:rPr>
                <w:sz w:val="22"/>
              </w:rPr>
              <w:t>$1,051</w:t>
            </w:r>
          </w:p>
        </w:tc>
      </w:tr>
      <w:tr w:rsidR="00A15C2C" w14:paraId="5814AD0B" w14:textId="77777777" w:rsidTr="00A807D0">
        <w:trPr>
          <w:trHeight w:val="99"/>
        </w:trPr>
        <w:tc>
          <w:tcPr>
            <w:tcW w:w="2515" w:type="dxa"/>
            <w:gridSpan w:val="2"/>
          </w:tcPr>
          <w:p w14:paraId="78F224E5" w14:textId="77777777" w:rsidR="00505DC7" w:rsidRPr="00934F2C" w:rsidRDefault="000F5B51" w:rsidP="00A807D0">
            <w:pPr>
              <w:spacing w:line="240" w:lineRule="auto"/>
              <w:rPr>
                <w:rFonts w:cs="Times New Roman"/>
                <w:sz w:val="22"/>
              </w:rPr>
            </w:pPr>
            <w:r>
              <w:rPr>
                <w:sz w:val="22"/>
              </w:rPr>
              <w:t>Sensitivity Analysis</w:t>
            </w:r>
          </w:p>
        </w:tc>
        <w:tc>
          <w:tcPr>
            <w:tcW w:w="1682" w:type="dxa"/>
            <w:vAlign w:val="center"/>
          </w:tcPr>
          <w:p w14:paraId="7C7E5F79" w14:textId="77777777" w:rsidR="00505DC7" w:rsidRPr="00591940" w:rsidRDefault="000F5B51" w:rsidP="00A807D0">
            <w:pPr>
              <w:spacing w:line="240" w:lineRule="auto"/>
              <w:jc w:val="center"/>
              <w:rPr>
                <w:sz w:val="22"/>
              </w:rPr>
            </w:pPr>
            <w:r>
              <w:rPr>
                <w:sz w:val="22"/>
              </w:rPr>
              <w:t>136.1</w:t>
            </w:r>
          </w:p>
        </w:tc>
        <w:tc>
          <w:tcPr>
            <w:tcW w:w="1683" w:type="dxa"/>
            <w:vAlign w:val="center"/>
          </w:tcPr>
          <w:p w14:paraId="17218F95" w14:textId="77777777" w:rsidR="00505DC7" w:rsidRPr="00591940" w:rsidRDefault="000F5B51" w:rsidP="00A807D0">
            <w:pPr>
              <w:spacing w:line="240" w:lineRule="auto"/>
              <w:jc w:val="center"/>
              <w:rPr>
                <w:sz w:val="22"/>
              </w:rPr>
            </w:pPr>
            <w:r>
              <w:rPr>
                <w:sz w:val="22"/>
              </w:rPr>
              <w:t>110</w:t>
            </w:r>
            <w:r w:rsidR="008F48E6">
              <w:rPr>
                <w:sz w:val="22"/>
              </w:rPr>
              <w:t>.4</w:t>
            </w:r>
          </w:p>
        </w:tc>
        <w:tc>
          <w:tcPr>
            <w:tcW w:w="1683" w:type="dxa"/>
            <w:vAlign w:val="center"/>
          </w:tcPr>
          <w:p w14:paraId="7D8E0CE2" w14:textId="77777777" w:rsidR="00505DC7" w:rsidRPr="00934F2C" w:rsidRDefault="000F5B51" w:rsidP="00A807D0">
            <w:pPr>
              <w:spacing w:line="240" w:lineRule="auto"/>
              <w:jc w:val="center"/>
              <w:rPr>
                <w:sz w:val="22"/>
              </w:rPr>
            </w:pPr>
            <w:r>
              <w:rPr>
                <w:sz w:val="22"/>
              </w:rPr>
              <w:t>$1,415</w:t>
            </w:r>
          </w:p>
        </w:tc>
        <w:tc>
          <w:tcPr>
            <w:tcW w:w="1683" w:type="dxa"/>
            <w:vAlign w:val="center"/>
          </w:tcPr>
          <w:p w14:paraId="4D913E6D" w14:textId="77777777" w:rsidR="00505DC7" w:rsidRPr="00934F2C" w:rsidRDefault="000F5B51" w:rsidP="00A807D0">
            <w:pPr>
              <w:spacing w:line="240" w:lineRule="auto"/>
              <w:jc w:val="center"/>
              <w:rPr>
                <w:sz w:val="22"/>
              </w:rPr>
            </w:pPr>
            <w:r>
              <w:rPr>
                <w:sz w:val="22"/>
              </w:rPr>
              <w:t>$1,147.8</w:t>
            </w:r>
          </w:p>
        </w:tc>
      </w:tr>
    </w:tbl>
    <w:p w14:paraId="2C3F69D8" w14:textId="77777777" w:rsidR="00505DC7" w:rsidRPr="00897AED" w:rsidRDefault="00505DC7" w:rsidP="0021691D">
      <w:pPr>
        <w:pStyle w:val="NoSpaceTimes"/>
      </w:pPr>
    </w:p>
    <w:p w14:paraId="17CC5E0F" w14:textId="77777777" w:rsidR="004B2BB7" w:rsidRDefault="000F5B51" w:rsidP="004B2BB7">
      <w:pPr>
        <w:pStyle w:val="Heading2"/>
        <w:spacing w:line="240" w:lineRule="auto"/>
      </w:pPr>
      <w:bookmarkStart w:id="1738" w:name="_Toc142903002"/>
      <w:r>
        <w:t>Balance Point Analysis</w:t>
      </w:r>
      <w:bookmarkEnd w:id="1738"/>
    </w:p>
    <w:p w14:paraId="16413015" w14:textId="77777777" w:rsidR="004B2BB7" w:rsidRDefault="000F5B51" w:rsidP="004B2BB7">
      <w:r>
        <w:t>To account for</w:t>
      </w:r>
      <w:r w:rsidRPr="006002F7">
        <w:t xml:space="preserve"> uncertainty about the actual effectiveness of </w:t>
      </w:r>
      <w:r>
        <w:t>SBWS for rear seat occupants</w:t>
      </w:r>
      <w:r w:rsidR="0045100B">
        <w:t xml:space="preserve"> and the indefinite warning for </w:t>
      </w:r>
      <w:r w:rsidR="004D1F04">
        <w:t>front seat occupants</w:t>
      </w:r>
      <w:r w:rsidRPr="006002F7">
        <w:t xml:space="preserve">, the agency performed a </w:t>
      </w:r>
      <w:r w:rsidRPr="00CE2168">
        <w:t>balance point</w:t>
      </w:r>
      <w:r w:rsidRPr="006002F7">
        <w:t xml:space="preserve"> analysis to determine what increase in rear seat belt use would be needed to result in a cost-effective system</w:t>
      </w:r>
      <w:r w:rsidR="001F2F92">
        <w:t xml:space="preserve">. </w:t>
      </w:r>
      <w:r>
        <w:t>That is</w:t>
      </w:r>
      <w:r w:rsidRPr="00CE2168">
        <w:t>, a balance point is any specific circumstance for which all the monetized benefits of the rule are equal to all the monetized costs</w:t>
      </w:r>
      <w:r w:rsidR="001F2F92">
        <w:t xml:space="preserve">. </w:t>
      </w:r>
      <w:r>
        <w:t xml:space="preserve">The </w:t>
      </w:r>
      <w:r w:rsidRPr="00CE2168">
        <w:t xml:space="preserve">balance point </w:t>
      </w:r>
      <w:r>
        <w:t xml:space="preserve">analysis was </w:t>
      </w:r>
      <w:r w:rsidRPr="00874DF7">
        <w:t>performed using the Goal Seek function of Excel</w:t>
      </w:r>
      <w:r>
        <w:t>.</w:t>
      </w:r>
    </w:p>
    <w:p w14:paraId="5DDE45CE" w14:textId="77777777" w:rsidR="00877229" w:rsidRDefault="000F5B51" w:rsidP="004B2BB7">
      <w:r>
        <w:t>The balance point analysis indicated that in order for the benefits and costs associated with the requirements for SBWS for rear seat occupants seat belt use must increase by 2.13 percent when discounting at three percent and 2.64 when discounting at seven percent.</w:t>
      </w:r>
    </w:p>
    <w:p w14:paraId="3328E82C" w14:textId="77777777" w:rsidR="004B2BB7" w:rsidRPr="00874DF7" w:rsidRDefault="000F5B51" w:rsidP="0021691D">
      <w:pPr>
        <w:spacing w:after="0"/>
      </w:pPr>
      <w:r w:rsidRPr="0010305B">
        <w:t xml:space="preserve">Similarly, </w:t>
      </w:r>
      <w:r w:rsidR="00244DFC">
        <w:t>t</w:t>
      </w:r>
      <w:r w:rsidR="004D1F04">
        <w:t>he balance point analysis indicated that in order for the benefits and costs associated with the requirements for</w:t>
      </w:r>
      <w:r w:rsidR="00244DFC">
        <w:t xml:space="preserve"> the indefinite warning for front seat</w:t>
      </w:r>
      <w:r w:rsidR="004D1F04">
        <w:t xml:space="preserve"> occupants seat belt use must increase by </w:t>
      </w:r>
      <w:r w:rsidR="00244DFC">
        <w:t>0.15</w:t>
      </w:r>
      <w:r w:rsidR="004D1F04">
        <w:t xml:space="preserve"> percent when discounting at three percent and </w:t>
      </w:r>
      <w:r w:rsidR="005B043F">
        <w:t>0.19</w:t>
      </w:r>
      <w:r w:rsidR="004D1F04">
        <w:t xml:space="preserve"> when discounting at seven percent</w:t>
      </w:r>
      <w:r w:rsidR="001F2F92">
        <w:t xml:space="preserve">. </w:t>
      </w:r>
      <w:r w:rsidR="005B043F">
        <w:t>This analysis notes that seat belt use for front seat occupants is already high</w:t>
      </w:r>
      <w:r w:rsidR="001F2F92">
        <w:t xml:space="preserve">. </w:t>
      </w:r>
      <w:r w:rsidR="007C57AC">
        <w:t xml:space="preserve">As a result, there is less of an opportunity to increase seat belt rates for front seat occupants. Additionally, </w:t>
      </w:r>
      <w:r w:rsidRPr="0010305B">
        <w:t xml:space="preserve">it </w:t>
      </w:r>
      <w:r w:rsidR="007C57AC">
        <w:t>may be</w:t>
      </w:r>
      <w:r w:rsidRPr="0010305B">
        <w:t xml:space="preserve"> comparatively more difficult to change the behavior of the most reticent front seat occupant</w:t>
      </w:r>
      <w:r w:rsidR="00CC2172">
        <w:t>s</w:t>
      </w:r>
      <w:r>
        <w:t xml:space="preserve">. </w:t>
      </w:r>
    </w:p>
    <w:p w14:paraId="435FAEE2" w14:textId="77777777" w:rsidR="00536D00" w:rsidRDefault="000F5B51" w:rsidP="0021691D">
      <w:pPr>
        <w:pStyle w:val="Heading1"/>
        <w:keepNext w:val="0"/>
        <w:keepLines w:val="0"/>
        <w:widowControl w:val="0"/>
        <w:spacing w:line="240" w:lineRule="auto"/>
      </w:pPr>
      <w:bookmarkStart w:id="1739" w:name="_Toc142903003"/>
      <w:r>
        <w:lastRenderedPageBreak/>
        <w:t>Regulatory Alternatives</w:t>
      </w:r>
      <w:bookmarkEnd w:id="1739"/>
    </w:p>
    <w:p w14:paraId="48C4F835" w14:textId="77777777" w:rsidR="00536D00" w:rsidRPr="005D5762" w:rsidRDefault="000F5B51" w:rsidP="00C030DB">
      <w:pPr>
        <w:spacing w:after="0"/>
      </w:pPr>
      <w:r>
        <w:rPr>
          <w:rFonts w:cs="Times New Roman"/>
          <w:szCs w:val="24"/>
        </w:rPr>
        <w:t>This chapter presents the regulatory alternatives considered by the agency</w:t>
      </w:r>
      <w:r w:rsidR="001F2F92">
        <w:rPr>
          <w:rFonts w:cs="Times New Roman"/>
          <w:szCs w:val="24"/>
        </w:rPr>
        <w:t xml:space="preserve">. </w:t>
      </w:r>
      <w:r w:rsidR="002875D2">
        <w:t>The following sections discuss the regulatory options in detail</w:t>
      </w:r>
      <w:r w:rsidR="002877EE">
        <w:t xml:space="preserve"> and, when possible, present the benefits and costs associated with those alternatives</w:t>
      </w:r>
      <w:r w:rsidR="001F2F92">
        <w:t xml:space="preserve">. </w:t>
      </w:r>
      <w:r w:rsidR="00A403F3">
        <w:t>The final section provides a summary of the regulatory alternatives considered for this rulemaking.</w:t>
      </w:r>
    </w:p>
    <w:p w14:paraId="4772D681" w14:textId="77777777" w:rsidR="00A51F03" w:rsidRPr="00F37F62" w:rsidRDefault="000F5B51" w:rsidP="00553197">
      <w:pPr>
        <w:pStyle w:val="Heading2"/>
        <w:spacing w:line="240" w:lineRule="auto"/>
        <w:contextualSpacing/>
        <w:rPr>
          <w:rFonts w:cs="Times New Roman"/>
          <w:szCs w:val="24"/>
        </w:rPr>
      </w:pPr>
      <w:bookmarkStart w:id="1740" w:name="_Toc142903004"/>
      <w:r w:rsidRPr="006002F7">
        <w:t xml:space="preserve">Requiring Occupant Detection for Rear </w:t>
      </w:r>
      <w:r>
        <w:t xml:space="preserve">Seat Belt </w:t>
      </w:r>
      <w:r w:rsidRPr="006002F7">
        <w:t>Warning System</w:t>
      </w:r>
      <w:bookmarkEnd w:id="1740"/>
    </w:p>
    <w:p w14:paraId="1B9BF71F" w14:textId="77777777" w:rsidR="00214015" w:rsidRDefault="000F5B51" w:rsidP="00A51F03">
      <w:pPr>
        <w:spacing w:after="0"/>
        <w:contextualSpacing/>
        <w:rPr>
          <w:rFonts w:cs="Times New Roman"/>
          <w:szCs w:val="24"/>
        </w:rPr>
      </w:pPr>
      <w:r>
        <w:rPr>
          <w:rFonts w:cs="Times New Roman"/>
          <w:szCs w:val="24"/>
        </w:rPr>
        <w:t>NHTSA considered including a requirement for occupant detection for the rear seats</w:t>
      </w:r>
      <w:r w:rsidR="001F2F92">
        <w:rPr>
          <w:rFonts w:cs="Times New Roman"/>
          <w:szCs w:val="24"/>
        </w:rPr>
        <w:t xml:space="preserve">. </w:t>
      </w:r>
      <w:r>
        <w:rPr>
          <w:rFonts w:cs="Times New Roman"/>
          <w:szCs w:val="24"/>
        </w:rPr>
        <w:t>This section discusses</w:t>
      </w:r>
      <w:r w:rsidR="00536D00" w:rsidRPr="008325BB">
        <w:rPr>
          <w:rFonts w:cs="Times New Roman"/>
          <w:szCs w:val="24"/>
        </w:rPr>
        <w:t xml:space="preserve"> the </w:t>
      </w:r>
      <w:r>
        <w:rPr>
          <w:rFonts w:cs="Times New Roman"/>
          <w:szCs w:val="24"/>
        </w:rPr>
        <w:t>potential costs and benefits associated with this regulatory alternative.</w:t>
      </w:r>
    </w:p>
    <w:p w14:paraId="49641516" w14:textId="77777777" w:rsidR="00A51F03" w:rsidRDefault="000F5B51" w:rsidP="00A51F03">
      <w:pPr>
        <w:spacing w:after="0"/>
        <w:contextualSpacing/>
        <w:rPr>
          <w:rFonts w:cs="Times New Roman"/>
          <w:szCs w:val="24"/>
        </w:rPr>
      </w:pPr>
      <w:r>
        <w:rPr>
          <w:rFonts w:cs="Times New Roman"/>
          <w:szCs w:val="24"/>
        </w:rPr>
        <w:t>In estimating the cost associated with this regulatory alternative, this analysis first takes into account the estimated cost in the main analysis for SBWS for rear seat occupants</w:t>
      </w:r>
      <w:r w:rsidR="001F2F92">
        <w:rPr>
          <w:rFonts w:cs="Times New Roman"/>
          <w:szCs w:val="24"/>
        </w:rPr>
        <w:t xml:space="preserve">. </w:t>
      </w:r>
      <w:r w:rsidR="00766D9D">
        <w:rPr>
          <w:rFonts w:cs="Times New Roman"/>
          <w:szCs w:val="24"/>
        </w:rPr>
        <w:t>Furthermore, t</w:t>
      </w:r>
      <w:r w:rsidRPr="008325BB">
        <w:rPr>
          <w:rFonts w:cs="Times New Roman"/>
          <w:szCs w:val="24"/>
        </w:rPr>
        <w:t xml:space="preserve">he </w:t>
      </w:r>
      <w:r w:rsidR="00536D00" w:rsidRPr="008325BB">
        <w:rPr>
          <w:rFonts w:cs="Times New Roman"/>
          <w:szCs w:val="24"/>
        </w:rPr>
        <w:t>teardown report</w:t>
      </w:r>
      <w:r>
        <w:rPr>
          <w:rFonts w:cs="Times New Roman"/>
          <w:szCs w:val="24"/>
        </w:rPr>
        <w:t xml:space="preserve"> used to estimate costs in the main analysis included</w:t>
      </w:r>
      <w:r w:rsidR="00536D00" w:rsidRPr="008325BB">
        <w:rPr>
          <w:rFonts w:cs="Times New Roman"/>
          <w:szCs w:val="24"/>
        </w:rPr>
        <w:t xml:space="preserve"> one vehicle </w:t>
      </w:r>
      <w:r>
        <w:rPr>
          <w:rFonts w:cs="Times New Roman"/>
          <w:szCs w:val="24"/>
        </w:rPr>
        <w:t xml:space="preserve">which </w:t>
      </w:r>
      <w:r w:rsidR="00536D00" w:rsidRPr="008325BB">
        <w:rPr>
          <w:rFonts w:cs="Times New Roman"/>
          <w:szCs w:val="24"/>
        </w:rPr>
        <w:t>was equipped with occupant detection</w:t>
      </w:r>
      <w:r>
        <w:rPr>
          <w:rFonts w:cs="Times New Roman"/>
          <w:szCs w:val="24"/>
        </w:rPr>
        <w:t>,</w:t>
      </w:r>
      <w:r w:rsidR="00536D00" w:rsidRPr="008325BB">
        <w:rPr>
          <w:rFonts w:cs="Times New Roman"/>
          <w:szCs w:val="24"/>
        </w:rPr>
        <w:t xml:space="preserve"> and two teardown summaries were provided for the same vehicle</w:t>
      </w:r>
      <w:r w:rsidR="001F2F92">
        <w:rPr>
          <w:rFonts w:cs="Times New Roman"/>
          <w:szCs w:val="24"/>
        </w:rPr>
        <w:t xml:space="preserve">. </w:t>
      </w:r>
      <w:r w:rsidR="00536D00" w:rsidRPr="008325BB">
        <w:rPr>
          <w:rFonts w:cs="Times New Roman"/>
          <w:szCs w:val="24"/>
        </w:rPr>
        <w:t xml:space="preserve">One </w:t>
      </w:r>
      <w:r w:rsidR="00437E4E">
        <w:rPr>
          <w:rFonts w:cs="Times New Roman"/>
          <w:szCs w:val="24"/>
        </w:rPr>
        <w:t xml:space="preserve">of those summaries </w:t>
      </w:r>
      <w:r w:rsidR="00536D00" w:rsidRPr="008325BB">
        <w:rPr>
          <w:rFonts w:cs="Times New Roman"/>
          <w:szCs w:val="24"/>
        </w:rPr>
        <w:t>details the cost of the SBWS without occupant detection, as would be required by the rule</w:t>
      </w:r>
      <w:r w:rsidR="00437E4E">
        <w:rPr>
          <w:rFonts w:cs="Times New Roman"/>
          <w:szCs w:val="24"/>
        </w:rPr>
        <w:t>,</w:t>
      </w:r>
      <w:r w:rsidR="00536D00" w:rsidRPr="008325BB">
        <w:rPr>
          <w:rFonts w:cs="Times New Roman"/>
          <w:szCs w:val="24"/>
        </w:rPr>
        <w:t xml:space="preserve"> and </w:t>
      </w:r>
      <w:r w:rsidR="00437E4E">
        <w:rPr>
          <w:rFonts w:cs="Times New Roman"/>
          <w:szCs w:val="24"/>
        </w:rPr>
        <w:t>the other</w:t>
      </w:r>
      <w:r w:rsidR="00437E4E" w:rsidRPr="008325BB">
        <w:rPr>
          <w:rFonts w:cs="Times New Roman"/>
          <w:szCs w:val="24"/>
        </w:rPr>
        <w:t xml:space="preserve"> </w:t>
      </w:r>
      <w:r w:rsidR="00536D00" w:rsidRPr="008325BB">
        <w:rPr>
          <w:rFonts w:cs="Times New Roman"/>
          <w:szCs w:val="24"/>
        </w:rPr>
        <w:t>includes the SBWS with occupant detection</w:t>
      </w:r>
      <w:r>
        <w:rPr>
          <w:rFonts w:cs="Times New Roman"/>
          <w:szCs w:val="24"/>
        </w:rPr>
        <w:t xml:space="preserve"> which would be required under this regulatory alternative</w:t>
      </w:r>
      <w:r w:rsidR="001F2F92">
        <w:rPr>
          <w:rFonts w:cs="Times New Roman"/>
          <w:szCs w:val="24"/>
        </w:rPr>
        <w:t xml:space="preserve">. </w:t>
      </w:r>
      <w:r>
        <w:rPr>
          <w:rFonts w:cs="Times New Roman"/>
          <w:szCs w:val="24"/>
        </w:rPr>
        <w:t xml:space="preserve">Therefore, we can use the difference in those estimates to assess the cost associated </w:t>
      </w:r>
      <w:r w:rsidR="00766D9D">
        <w:rPr>
          <w:rFonts w:cs="Times New Roman"/>
          <w:szCs w:val="24"/>
        </w:rPr>
        <w:t>occupant detection</w:t>
      </w:r>
      <w:r>
        <w:rPr>
          <w:rFonts w:cs="Times New Roman"/>
          <w:szCs w:val="24"/>
        </w:rPr>
        <w:t>.</w:t>
      </w:r>
    </w:p>
    <w:p w14:paraId="1F89C902" w14:textId="77777777" w:rsidR="003110A5" w:rsidRDefault="000F5B51" w:rsidP="00A51F03">
      <w:pPr>
        <w:spacing w:after="0"/>
        <w:contextualSpacing/>
        <w:rPr>
          <w:rFonts w:cs="Times New Roman"/>
        </w:rPr>
      </w:pPr>
      <w:r>
        <w:rPr>
          <w:rFonts w:cs="Times New Roman"/>
        </w:rPr>
        <w:t>Based on the difference in cost between the SBWS with and without occupant detection, the manufacturer’s cost for occupant detection is $7.99 per seat in 2017 dollars</w:t>
      </w:r>
      <w:r w:rsidR="001F2F92">
        <w:rPr>
          <w:rFonts w:cs="Times New Roman"/>
        </w:rPr>
        <w:t xml:space="preserve">. </w:t>
      </w:r>
      <w:r w:rsidRPr="24E2D7EA">
        <w:rPr>
          <w:rFonts w:cs="Times New Roman"/>
        </w:rPr>
        <w:t>This analysis then updates this</w:t>
      </w:r>
      <w:r>
        <w:rPr>
          <w:rFonts w:cs="Times New Roman"/>
        </w:rPr>
        <w:t xml:space="preserve"> estimated</w:t>
      </w:r>
      <w:r w:rsidRPr="24E2D7EA">
        <w:rPr>
          <w:rFonts w:cs="Times New Roman"/>
        </w:rPr>
        <w:t xml:space="preserve"> cost to reflect 2020 dollars based on the 1.51 markup factor </w:t>
      </w:r>
      <w:r>
        <w:rPr>
          <w:rFonts w:cs="Times New Roman"/>
        </w:rPr>
        <w:t>for the end-user co</w:t>
      </w:r>
      <w:r w:rsidR="00CA7523">
        <w:rPr>
          <w:rFonts w:cs="Times New Roman"/>
        </w:rPr>
        <w:t>s</w:t>
      </w:r>
      <w:r>
        <w:rPr>
          <w:rFonts w:cs="Times New Roman"/>
        </w:rPr>
        <w:t xml:space="preserve">ts (or consumer costs) </w:t>
      </w:r>
      <w:r w:rsidRPr="24E2D7EA">
        <w:rPr>
          <w:rFonts w:cs="Times New Roman"/>
        </w:rPr>
        <w:t xml:space="preserve">and the 3.12 average </w:t>
      </w:r>
      <w:r w:rsidR="50D086E9" w:rsidRPr="2746C212">
        <w:rPr>
          <w:rFonts w:cs="Times New Roman"/>
        </w:rPr>
        <w:t xml:space="preserve">rear </w:t>
      </w:r>
      <w:r w:rsidRPr="24E2D7EA">
        <w:rPr>
          <w:rFonts w:cs="Times New Roman"/>
        </w:rPr>
        <w:t>seats per vehicle</w:t>
      </w:r>
      <w:r w:rsidR="001F2F92">
        <w:rPr>
          <w:rFonts w:cs="Times New Roman"/>
        </w:rPr>
        <w:t xml:space="preserve">. </w:t>
      </w:r>
      <w:r w:rsidRPr="24E2D7EA">
        <w:rPr>
          <w:rFonts w:cs="Times New Roman"/>
        </w:rPr>
        <w:t>Therefore, this analysis estimates a cost of $</w:t>
      </w:r>
      <w:r>
        <w:rPr>
          <w:rFonts w:cs="Times New Roman"/>
        </w:rPr>
        <w:t>39.74</w:t>
      </w:r>
      <w:r w:rsidRPr="24E2D7EA">
        <w:rPr>
          <w:rFonts w:cs="Times New Roman"/>
        </w:rPr>
        <w:t xml:space="preserve"> per vehicle for occupant detection</w:t>
      </w:r>
      <w:r w:rsidR="001F2F92">
        <w:rPr>
          <w:rFonts w:cs="Times New Roman"/>
        </w:rPr>
        <w:t xml:space="preserve">. </w:t>
      </w:r>
      <w:r w:rsidR="002B7EA0">
        <w:rPr>
          <w:rFonts w:cs="Times New Roman"/>
        </w:rPr>
        <w:t>The</w:t>
      </w:r>
      <w:r>
        <w:rPr>
          <w:rFonts w:cs="Times New Roman"/>
        </w:rPr>
        <w:t xml:space="preserve"> overall cost per vehicle </w:t>
      </w:r>
      <w:r w:rsidR="00FE35C1">
        <w:rPr>
          <w:rFonts w:cs="Times New Roman"/>
        </w:rPr>
        <w:t>for SBWS with occupant detection for rear seats is $</w:t>
      </w:r>
      <w:r w:rsidR="00516453">
        <w:rPr>
          <w:rFonts w:cs="Times New Roman"/>
        </w:rPr>
        <w:t>59.33</w:t>
      </w:r>
      <w:r w:rsidR="001F2F92">
        <w:rPr>
          <w:rFonts w:cs="Times New Roman"/>
        </w:rPr>
        <w:t xml:space="preserve">. </w:t>
      </w:r>
      <w:r w:rsidR="00516453">
        <w:rPr>
          <w:rFonts w:cs="Times New Roman"/>
        </w:rPr>
        <w:t>That estimated cost per vehicle reflects the cost of $19.59 in the main analysis for SBWS and the addition</w:t>
      </w:r>
      <w:r w:rsidR="00871675">
        <w:rPr>
          <w:rFonts w:cs="Times New Roman"/>
        </w:rPr>
        <w:t>al</w:t>
      </w:r>
      <w:r w:rsidR="00516453">
        <w:rPr>
          <w:rFonts w:cs="Times New Roman"/>
        </w:rPr>
        <w:t xml:space="preserve"> cost of $39.74 for occupant detection. </w:t>
      </w:r>
    </w:p>
    <w:p w14:paraId="03F1074E" w14:textId="21B2D767" w:rsidR="000A62B5" w:rsidRDefault="000F5B51" w:rsidP="002B7EA0">
      <w:pPr>
        <w:spacing w:after="0"/>
        <w:contextualSpacing/>
        <w:rPr>
          <w:rFonts w:eastAsia="Times New Roman" w:cs="Times New Roman"/>
          <w:szCs w:val="24"/>
        </w:rPr>
      </w:pPr>
      <w:r>
        <w:rPr>
          <w:rFonts w:cs="Times New Roman"/>
        </w:rPr>
        <w:lastRenderedPageBreak/>
        <w:fldChar w:fldCharType="begin"/>
      </w:r>
      <w:r>
        <w:rPr>
          <w:rFonts w:cs="Times New Roman"/>
        </w:rPr>
        <w:instrText xml:space="preserve"> REF _Ref127947503 \h </w:instrText>
      </w:r>
      <w:r>
        <w:rPr>
          <w:rFonts w:cs="Times New Roman"/>
        </w:rPr>
      </w:r>
      <w:r>
        <w:rPr>
          <w:rFonts w:cs="Times New Roman"/>
        </w:rPr>
        <w:fldChar w:fldCharType="separate"/>
      </w:r>
      <w:r w:rsidR="00A65CB3" w:rsidRPr="00D518C7">
        <w:t xml:space="preserve">Table </w:t>
      </w:r>
      <w:r w:rsidR="00A65CB3">
        <w:rPr>
          <w:noProof/>
        </w:rPr>
        <w:t>84</w:t>
      </w:r>
      <w:r>
        <w:rPr>
          <w:rFonts w:cs="Times New Roman"/>
        </w:rPr>
        <w:fldChar w:fldCharType="end"/>
      </w:r>
      <w:r>
        <w:rPr>
          <w:rFonts w:cs="Times New Roman"/>
        </w:rPr>
        <w:t xml:space="preserve"> presents the total annual cost for this regulatory alternative</w:t>
      </w:r>
      <w:r w:rsidR="001F2F92">
        <w:rPr>
          <w:rFonts w:cs="Times New Roman"/>
        </w:rPr>
        <w:t xml:space="preserve">. </w:t>
      </w:r>
      <w:r>
        <w:rPr>
          <w:rFonts w:cs="Times New Roman"/>
        </w:rPr>
        <w:t>In estimating total costs, th</w:t>
      </w:r>
      <w:r w:rsidR="009133D5">
        <w:rPr>
          <w:rFonts w:cs="Times New Roman"/>
        </w:rPr>
        <w:t xml:space="preserve">is analysis considers the percentage of light vehicles equipped with </w:t>
      </w:r>
      <w:r w:rsidR="002158B8">
        <w:rPr>
          <w:rFonts w:cs="Times New Roman"/>
        </w:rPr>
        <w:t>SBWS and those equipped with occupant detection for rear seat occupants under the baseline</w:t>
      </w:r>
      <w:r w:rsidR="001F2F92">
        <w:rPr>
          <w:rFonts w:cs="Times New Roman"/>
        </w:rPr>
        <w:t xml:space="preserve">. </w:t>
      </w:r>
      <w:r>
        <w:rPr>
          <w:rFonts w:eastAsia="Times New Roman" w:cs="Times New Roman"/>
          <w:szCs w:val="24"/>
        </w:rPr>
        <w:t>As was the case in the main analysis, this estimate reflects that 53.1 percent of vehicles do not have rear SBWS based on the</w:t>
      </w:r>
      <w:r w:rsidR="001330D3">
        <w:rPr>
          <w:rFonts w:eastAsia="Times New Roman" w:cs="Times New Roman"/>
          <w:szCs w:val="24"/>
        </w:rPr>
        <w:t xml:space="preserve"> </w:t>
      </w:r>
      <w:r>
        <w:rPr>
          <w:rFonts w:eastAsia="Times New Roman" w:cs="Times New Roman"/>
          <w:szCs w:val="24"/>
        </w:rPr>
        <w:t>202</w:t>
      </w:r>
      <w:r w:rsidR="002F3F02">
        <w:rPr>
          <w:rFonts w:eastAsia="Times New Roman" w:cs="Times New Roman"/>
          <w:szCs w:val="24"/>
        </w:rPr>
        <w:t>2</w:t>
      </w:r>
      <w:r>
        <w:rPr>
          <w:rFonts w:eastAsia="Times New Roman" w:cs="Times New Roman"/>
          <w:szCs w:val="24"/>
        </w:rPr>
        <w:t xml:space="preserve"> NCAP data</w:t>
      </w:r>
      <w:r w:rsidR="001F2F92">
        <w:rPr>
          <w:rFonts w:eastAsia="Times New Roman" w:cs="Times New Roman"/>
          <w:szCs w:val="24"/>
        </w:rPr>
        <w:t xml:space="preserve">. </w:t>
      </w:r>
      <w:r>
        <w:rPr>
          <w:rFonts w:eastAsia="Times New Roman" w:cs="Times New Roman"/>
          <w:szCs w:val="24"/>
        </w:rPr>
        <w:t xml:space="preserve">Additionally, </w:t>
      </w:r>
      <w:r w:rsidR="001330D3">
        <w:rPr>
          <w:rFonts w:eastAsia="Times New Roman" w:cs="Times New Roman"/>
          <w:szCs w:val="24"/>
        </w:rPr>
        <w:t>based on the 202</w:t>
      </w:r>
      <w:r w:rsidR="002F3F02">
        <w:rPr>
          <w:rFonts w:eastAsia="Times New Roman" w:cs="Times New Roman"/>
          <w:szCs w:val="24"/>
        </w:rPr>
        <w:t>2</w:t>
      </w:r>
      <w:r w:rsidR="001330D3">
        <w:rPr>
          <w:rFonts w:eastAsia="Times New Roman" w:cs="Times New Roman"/>
          <w:szCs w:val="24"/>
        </w:rPr>
        <w:t xml:space="preserve"> NCAP data, t</w:t>
      </w:r>
      <w:r w:rsidR="00A16869">
        <w:rPr>
          <w:rFonts w:eastAsia="Times New Roman" w:cs="Times New Roman"/>
          <w:szCs w:val="24"/>
        </w:rPr>
        <w:t xml:space="preserve">he cost estimate for this regulatory alternative takes into account that seven percent of </w:t>
      </w:r>
      <w:r w:rsidR="008E5585">
        <w:rPr>
          <w:rFonts w:eastAsia="Times New Roman" w:cs="Times New Roman"/>
          <w:szCs w:val="24"/>
        </w:rPr>
        <w:t>light vehicles have rear seat occupant detection</w:t>
      </w:r>
      <w:r w:rsidR="001F2F92">
        <w:rPr>
          <w:rFonts w:eastAsia="Times New Roman" w:cs="Times New Roman"/>
          <w:szCs w:val="24"/>
        </w:rPr>
        <w:t xml:space="preserve">. </w:t>
      </w:r>
      <w:r w:rsidR="008E5585">
        <w:rPr>
          <w:rFonts w:eastAsia="Times New Roman" w:cs="Times New Roman"/>
          <w:szCs w:val="24"/>
        </w:rPr>
        <w:t xml:space="preserve">Therefore, the cost per vehicle for occupant detection is applicable to 93 percent or approximately </w:t>
      </w:r>
      <w:r w:rsidR="00E9270D">
        <w:rPr>
          <w:rFonts w:eastAsia="Times New Roman" w:cs="Times New Roman"/>
          <w:szCs w:val="24"/>
        </w:rPr>
        <w:t>14.9 million vehicles</w:t>
      </w:r>
      <w:r w:rsidR="001F2F92">
        <w:rPr>
          <w:rFonts w:eastAsia="Times New Roman" w:cs="Times New Roman"/>
          <w:szCs w:val="24"/>
        </w:rPr>
        <w:t xml:space="preserve">. </w:t>
      </w:r>
      <w:r w:rsidR="00E74E81">
        <w:rPr>
          <w:rFonts w:eastAsia="Times New Roman" w:cs="Times New Roman"/>
          <w:szCs w:val="24"/>
        </w:rPr>
        <w:t>The total cost for this regulatory alternative is approximately $7</w:t>
      </w:r>
      <w:r w:rsidR="00486AA6">
        <w:rPr>
          <w:rFonts w:eastAsia="Times New Roman" w:cs="Times New Roman"/>
          <w:szCs w:val="24"/>
        </w:rPr>
        <w:t>57.</w:t>
      </w:r>
      <w:r w:rsidR="00BE78BE">
        <w:rPr>
          <w:rFonts w:eastAsia="Times New Roman" w:cs="Times New Roman"/>
          <w:szCs w:val="24"/>
        </w:rPr>
        <w:t>8 million</w:t>
      </w:r>
      <w:r w:rsidR="001F2F92">
        <w:rPr>
          <w:rFonts w:eastAsia="Times New Roman" w:cs="Times New Roman"/>
          <w:szCs w:val="24"/>
        </w:rPr>
        <w:t xml:space="preserve">. </w:t>
      </w:r>
      <w:r w:rsidR="00BE78BE">
        <w:rPr>
          <w:rFonts w:eastAsia="Times New Roman" w:cs="Times New Roman"/>
          <w:szCs w:val="24"/>
        </w:rPr>
        <w:t xml:space="preserve">This cost estimate reflects an increase in cost from that of the main analysis of approximately $591.3 million for occupant detection for rear seats. </w:t>
      </w:r>
    </w:p>
    <w:p w14:paraId="50B1E9F1" w14:textId="721CF44C" w:rsidR="00A51F03" w:rsidRPr="00D518C7" w:rsidRDefault="000F5B51" w:rsidP="00A51F03">
      <w:pPr>
        <w:pStyle w:val="Caption"/>
      </w:pPr>
      <w:bookmarkStart w:id="1741" w:name="_Ref127947503"/>
      <w:r w:rsidRPr="00D518C7">
        <w:t xml:space="preserve">Table </w:t>
      </w:r>
      <w:r w:rsidR="00115BAB">
        <w:fldChar w:fldCharType="begin"/>
      </w:r>
      <w:r>
        <w:instrText xml:space="preserve"> SEQ Table \* ARABIC </w:instrText>
      </w:r>
      <w:r w:rsidR="00115BAB">
        <w:fldChar w:fldCharType="separate"/>
      </w:r>
      <w:r w:rsidR="00A65CB3">
        <w:rPr>
          <w:noProof/>
        </w:rPr>
        <w:t>84</w:t>
      </w:r>
      <w:r w:rsidR="00115BAB">
        <w:rPr>
          <w:noProof/>
        </w:rPr>
        <w:fldChar w:fldCharType="end"/>
      </w:r>
      <w:bookmarkEnd w:id="1741"/>
      <w:r>
        <w:t>:</w:t>
      </w:r>
      <w:r w:rsidRPr="00D518C7">
        <w:t xml:space="preserve"> </w:t>
      </w:r>
      <w:r>
        <w:t>Total Annual</w:t>
      </w:r>
      <w:r w:rsidRPr="00D518C7">
        <w:t xml:space="preserve"> Cost of Rear Seat Occupant SBWS with Seat Belt Sensor and Occupant Detection Sensor</w:t>
      </w:r>
    </w:p>
    <w:tbl>
      <w:tblPr>
        <w:tblStyle w:val="TableGrid"/>
        <w:tblW w:w="0" w:type="auto"/>
        <w:jc w:val="center"/>
        <w:tblLook w:val="04A0" w:firstRow="1" w:lastRow="0" w:firstColumn="1" w:lastColumn="0" w:noHBand="0" w:noVBand="1"/>
      </w:tblPr>
      <w:tblGrid>
        <w:gridCol w:w="2219"/>
        <w:gridCol w:w="2370"/>
        <w:gridCol w:w="2337"/>
        <w:gridCol w:w="2424"/>
      </w:tblGrid>
      <w:tr w:rsidR="00A15C2C" w14:paraId="7CDFCEA5" w14:textId="77777777" w:rsidTr="00C76D8D">
        <w:trPr>
          <w:jc w:val="center"/>
        </w:trPr>
        <w:tc>
          <w:tcPr>
            <w:tcW w:w="2219" w:type="dxa"/>
            <w:shd w:val="clear" w:color="auto" w:fill="D9D9D9" w:themeFill="background1" w:themeFillShade="D9"/>
            <w:vAlign w:val="center"/>
          </w:tcPr>
          <w:p w14:paraId="54689BA4" w14:textId="77777777" w:rsidR="00E7505B" w:rsidRDefault="000F5B51" w:rsidP="00C76D8D">
            <w:pPr>
              <w:spacing w:line="240" w:lineRule="auto"/>
              <w:contextualSpacing/>
              <w:rPr>
                <w:b/>
                <w:bCs/>
                <w:szCs w:val="24"/>
              </w:rPr>
            </w:pPr>
            <w:r>
              <w:rPr>
                <w:b/>
                <w:bCs/>
                <w:szCs w:val="24"/>
              </w:rPr>
              <w:t>Addition to Meet Requirements</w:t>
            </w:r>
          </w:p>
        </w:tc>
        <w:tc>
          <w:tcPr>
            <w:tcW w:w="2370" w:type="dxa"/>
            <w:shd w:val="clear" w:color="auto" w:fill="D9D9D9" w:themeFill="background1" w:themeFillShade="D9"/>
            <w:vAlign w:val="center"/>
          </w:tcPr>
          <w:p w14:paraId="4C27BB4B" w14:textId="77777777" w:rsidR="00E7505B" w:rsidRPr="0021691D" w:rsidRDefault="000F5B51" w:rsidP="00A51F03">
            <w:pPr>
              <w:spacing w:line="240" w:lineRule="auto"/>
              <w:contextualSpacing/>
              <w:jc w:val="center"/>
              <w:rPr>
                <w:b/>
                <w:bCs/>
                <w:szCs w:val="24"/>
              </w:rPr>
            </w:pPr>
            <w:r>
              <w:rPr>
                <w:b/>
                <w:bCs/>
                <w:szCs w:val="24"/>
              </w:rPr>
              <w:t>Number of Impacted</w:t>
            </w:r>
            <w:r w:rsidRPr="0021691D">
              <w:rPr>
                <w:b/>
                <w:bCs/>
                <w:szCs w:val="24"/>
              </w:rPr>
              <w:t xml:space="preserve"> Vehicles</w:t>
            </w:r>
          </w:p>
        </w:tc>
        <w:tc>
          <w:tcPr>
            <w:tcW w:w="2337" w:type="dxa"/>
            <w:shd w:val="clear" w:color="auto" w:fill="D9D9D9" w:themeFill="background1" w:themeFillShade="D9"/>
            <w:vAlign w:val="center"/>
          </w:tcPr>
          <w:p w14:paraId="2B49087C" w14:textId="77777777" w:rsidR="00E7505B" w:rsidRPr="0021691D" w:rsidRDefault="000F5B51" w:rsidP="00A51F03">
            <w:pPr>
              <w:spacing w:line="240" w:lineRule="auto"/>
              <w:contextualSpacing/>
              <w:jc w:val="center"/>
              <w:rPr>
                <w:b/>
                <w:bCs/>
                <w:szCs w:val="24"/>
              </w:rPr>
            </w:pPr>
            <w:r>
              <w:rPr>
                <w:b/>
                <w:bCs/>
                <w:szCs w:val="24"/>
              </w:rPr>
              <w:t>Cost per Vehicle</w:t>
            </w:r>
          </w:p>
        </w:tc>
        <w:tc>
          <w:tcPr>
            <w:tcW w:w="2424" w:type="dxa"/>
            <w:shd w:val="clear" w:color="auto" w:fill="D9D9D9" w:themeFill="background1" w:themeFillShade="D9"/>
            <w:vAlign w:val="center"/>
          </w:tcPr>
          <w:p w14:paraId="2BD74787" w14:textId="77777777" w:rsidR="00E7505B" w:rsidRPr="0021691D" w:rsidRDefault="000F5B51" w:rsidP="00A51F03">
            <w:pPr>
              <w:spacing w:line="240" w:lineRule="auto"/>
              <w:contextualSpacing/>
              <w:jc w:val="center"/>
              <w:rPr>
                <w:b/>
                <w:bCs/>
                <w:szCs w:val="24"/>
              </w:rPr>
            </w:pPr>
            <w:r w:rsidRPr="0021691D">
              <w:rPr>
                <w:b/>
                <w:bCs/>
                <w:szCs w:val="24"/>
              </w:rPr>
              <w:t>Total Cost</w:t>
            </w:r>
          </w:p>
        </w:tc>
      </w:tr>
      <w:tr w:rsidR="00A15C2C" w14:paraId="62C414BF" w14:textId="77777777" w:rsidTr="00C76D8D">
        <w:trPr>
          <w:trHeight w:val="432"/>
          <w:jc w:val="center"/>
        </w:trPr>
        <w:tc>
          <w:tcPr>
            <w:tcW w:w="2219" w:type="dxa"/>
            <w:vAlign w:val="center"/>
          </w:tcPr>
          <w:p w14:paraId="31079085" w14:textId="77777777" w:rsidR="00E7505B" w:rsidRDefault="000F5B51" w:rsidP="00C76D8D">
            <w:pPr>
              <w:spacing w:line="240" w:lineRule="auto"/>
              <w:contextualSpacing/>
              <w:rPr>
                <w:rFonts w:eastAsia="Times New Roman" w:cs="Times New Roman"/>
                <w:color w:val="000000"/>
                <w:szCs w:val="24"/>
              </w:rPr>
            </w:pPr>
            <w:r>
              <w:rPr>
                <w:rFonts w:eastAsia="Times New Roman" w:cs="Times New Roman"/>
                <w:color w:val="000000"/>
                <w:szCs w:val="24"/>
              </w:rPr>
              <w:t>Adding SBWS</w:t>
            </w:r>
          </w:p>
        </w:tc>
        <w:tc>
          <w:tcPr>
            <w:tcW w:w="2370" w:type="dxa"/>
            <w:vAlign w:val="center"/>
          </w:tcPr>
          <w:p w14:paraId="0A400C78" w14:textId="77777777" w:rsidR="00E7505B" w:rsidRPr="00D518C7" w:rsidRDefault="000F5B51" w:rsidP="00A51F03">
            <w:pPr>
              <w:spacing w:line="240" w:lineRule="auto"/>
              <w:contextualSpacing/>
              <w:jc w:val="center"/>
              <w:rPr>
                <w:szCs w:val="24"/>
              </w:rPr>
            </w:pPr>
            <w:r>
              <w:rPr>
                <w:rFonts w:eastAsia="Times New Roman" w:cs="Times New Roman"/>
                <w:color w:val="000000"/>
                <w:szCs w:val="24"/>
              </w:rPr>
              <w:t>8,496,000</w:t>
            </w:r>
          </w:p>
        </w:tc>
        <w:tc>
          <w:tcPr>
            <w:tcW w:w="2337" w:type="dxa"/>
            <w:vAlign w:val="center"/>
          </w:tcPr>
          <w:p w14:paraId="562B1C60" w14:textId="77777777" w:rsidR="00E7505B" w:rsidRPr="00D518C7" w:rsidRDefault="000F5B51" w:rsidP="00A51F03">
            <w:pPr>
              <w:spacing w:line="240" w:lineRule="auto"/>
              <w:contextualSpacing/>
              <w:jc w:val="center"/>
              <w:rPr>
                <w:szCs w:val="24"/>
              </w:rPr>
            </w:pPr>
            <w:r w:rsidRPr="00993575">
              <w:rPr>
                <w:szCs w:val="24"/>
              </w:rPr>
              <w:t>$</w:t>
            </w:r>
            <w:r>
              <w:rPr>
                <w:szCs w:val="24"/>
              </w:rPr>
              <w:t>19.59</w:t>
            </w:r>
          </w:p>
        </w:tc>
        <w:tc>
          <w:tcPr>
            <w:tcW w:w="2424" w:type="dxa"/>
            <w:vAlign w:val="center"/>
          </w:tcPr>
          <w:p w14:paraId="4EEC8556" w14:textId="77777777" w:rsidR="00E7505B" w:rsidRPr="00D518C7" w:rsidRDefault="000F5B51" w:rsidP="00A51F03">
            <w:pPr>
              <w:spacing w:line="240" w:lineRule="auto"/>
              <w:contextualSpacing/>
              <w:jc w:val="center"/>
              <w:rPr>
                <w:szCs w:val="24"/>
              </w:rPr>
            </w:pPr>
            <w:r>
              <w:rPr>
                <w:szCs w:val="24"/>
              </w:rPr>
              <w:t>$166,436,640</w:t>
            </w:r>
          </w:p>
        </w:tc>
      </w:tr>
      <w:tr w:rsidR="00A15C2C" w14:paraId="5A07AD1E" w14:textId="77777777" w:rsidTr="00C76D8D">
        <w:trPr>
          <w:trHeight w:val="432"/>
          <w:jc w:val="center"/>
        </w:trPr>
        <w:tc>
          <w:tcPr>
            <w:tcW w:w="2219" w:type="dxa"/>
            <w:vAlign w:val="center"/>
          </w:tcPr>
          <w:p w14:paraId="175CE1CB" w14:textId="77777777" w:rsidR="00E7505B" w:rsidRDefault="000F5B51" w:rsidP="00C76D8D">
            <w:pPr>
              <w:spacing w:line="240" w:lineRule="auto"/>
              <w:contextualSpacing/>
              <w:rPr>
                <w:rFonts w:eastAsia="Times New Roman" w:cs="Times New Roman"/>
                <w:color w:val="000000"/>
                <w:szCs w:val="24"/>
              </w:rPr>
            </w:pPr>
            <w:r>
              <w:rPr>
                <w:rFonts w:eastAsia="Times New Roman" w:cs="Times New Roman"/>
                <w:color w:val="000000"/>
                <w:szCs w:val="24"/>
              </w:rPr>
              <w:t xml:space="preserve">Adding </w:t>
            </w:r>
            <w:r w:rsidR="000D5645">
              <w:rPr>
                <w:rFonts w:eastAsia="Times New Roman" w:cs="Times New Roman"/>
                <w:color w:val="000000"/>
                <w:szCs w:val="24"/>
              </w:rPr>
              <w:t>Occupant Detection</w:t>
            </w:r>
          </w:p>
        </w:tc>
        <w:tc>
          <w:tcPr>
            <w:tcW w:w="2370" w:type="dxa"/>
            <w:vAlign w:val="center"/>
          </w:tcPr>
          <w:p w14:paraId="614EECA1" w14:textId="77777777" w:rsidR="00E7505B" w:rsidRDefault="000F5B51" w:rsidP="00A51F03">
            <w:pPr>
              <w:spacing w:line="240" w:lineRule="auto"/>
              <w:contextualSpacing/>
              <w:jc w:val="center"/>
              <w:rPr>
                <w:rFonts w:eastAsia="Times New Roman" w:cs="Times New Roman"/>
                <w:color w:val="000000"/>
                <w:szCs w:val="24"/>
              </w:rPr>
            </w:pPr>
            <w:r>
              <w:rPr>
                <w:rFonts w:eastAsia="Times New Roman" w:cs="Times New Roman"/>
                <w:color w:val="000000"/>
                <w:szCs w:val="24"/>
              </w:rPr>
              <w:t>14,880,00</w:t>
            </w:r>
          </w:p>
        </w:tc>
        <w:tc>
          <w:tcPr>
            <w:tcW w:w="2337" w:type="dxa"/>
            <w:vAlign w:val="center"/>
          </w:tcPr>
          <w:p w14:paraId="2BD8CC0F" w14:textId="77777777" w:rsidR="00E7505B" w:rsidRPr="00993575" w:rsidRDefault="000F5B51" w:rsidP="00A51F03">
            <w:pPr>
              <w:spacing w:line="240" w:lineRule="auto"/>
              <w:contextualSpacing/>
              <w:jc w:val="center"/>
              <w:rPr>
                <w:szCs w:val="24"/>
              </w:rPr>
            </w:pPr>
            <w:r>
              <w:rPr>
                <w:szCs w:val="24"/>
              </w:rPr>
              <w:t>$39.74</w:t>
            </w:r>
          </w:p>
        </w:tc>
        <w:tc>
          <w:tcPr>
            <w:tcW w:w="2424" w:type="dxa"/>
            <w:vAlign w:val="center"/>
          </w:tcPr>
          <w:p w14:paraId="371920AF" w14:textId="77777777" w:rsidR="00E7505B" w:rsidRDefault="000F5B51" w:rsidP="00A51F03">
            <w:pPr>
              <w:spacing w:line="240" w:lineRule="auto"/>
              <w:contextualSpacing/>
              <w:jc w:val="center"/>
              <w:rPr>
                <w:szCs w:val="24"/>
              </w:rPr>
            </w:pPr>
            <w:r>
              <w:rPr>
                <w:szCs w:val="24"/>
              </w:rPr>
              <w:t>$591,331,200</w:t>
            </w:r>
          </w:p>
        </w:tc>
      </w:tr>
      <w:tr w:rsidR="00A15C2C" w14:paraId="67063BC1" w14:textId="77777777" w:rsidTr="00E7505B">
        <w:trPr>
          <w:trHeight w:val="432"/>
          <w:jc w:val="center"/>
        </w:trPr>
        <w:tc>
          <w:tcPr>
            <w:tcW w:w="2219" w:type="dxa"/>
            <w:vAlign w:val="center"/>
          </w:tcPr>
          <w:p w14:paraId="7389460A" w14:textId="77777777" w:rsidR="00BD133A" w:rsidRPr="002F3F02" w:rsidRDefault="000F5B51" w:rsidP="00E7505B">
            <w:pPr>
              <w:spacing w:line="240" w:lineRule="auto"/>
              <w:contextualSpacing/>
              <w:rPr>
                <w:rFonts w:eastAsia="Times New Roman" w:cs="Times New Roman"/>
                <w:b/>
                <w:bCs/>
                <w:color w:val="000000"/>
                <w:szCs w:val="24"/>
              </w:rPr>
            </w:pPr>
            <w:r w:rsidRPr="002F3F02">
              <w:rPr>
                <w:rFonts w:eastAsia="Times New Roman" w:cs="Times New Roman"/>
                <w:b/>
                <w:bCs/>
                <w:color w:val="000000"/>
                <w:szCs w:val="24"/>
              </w:rPr>
              <w:t>Total Cost</w:t>
            </w:r>
          </w:p>
        </w:tc>
        <w:tc>
          <w:tcPr>
            <w:tcW w:w="2370" w:type="dxa"/>
            <w:vAlign w:val="center"/>
          </w:tcPr>
          <w:p w14:paraId="7450EE48" w14:textId="77777777" w:rsidR="00BD133A" w:rsidRPr="002F3F02" w:rsidRDefault="00BD133A" w:rsidP="00A51F03">
            <w:pPr>
              <w:spacing w:line="240" w:lineRule="auto"/>
              <w:contextualSpacing/>
              <w:jc w:val="center"/>
              <w:rPr>
                <w:rFonts w:eastAsia="Times New Roman" w:cs="Times New Roman"/>
                <w:b/>
                <w:bCs/>
                <w:color w:val="000000"/>
                <w:szCs w:val="24"/>
              </w:rPr>
            </w:pPr>
          </w:p>
        </w:tc>
        <w:tc>
          <w:tcPr>
            <w:tcW w:w="2337" w:type="dxa"/>
            <w:vAlign w:val="center"/>
          </w:tcPr>
          <w:p w14:paraId="5FD23BB6" w14:textId="77777777" w:rsidR="00BD133A" w:rsidRPr="002F3F02" w:rsidRDefault="00BD133A" w:rsidP="00A51F03">
            <w:pPr>
              <w:spacing w:line="240" w:lineRule="auto"/>
              <w:contextualSpacing/>
              <w:jc w:val="center"/>
              <w:rPr>
                <w:b/>
                <w:bCs/>
                <w:szCs w:val="24"/>
              </w:rPr>
            </w:pPr>
          </w:p>
        </w:tc>
        <w:tc>
          <w:tcPr>
            <w:tcW w:w="2424" w:type="dxa"/>
            <w:vAlign w:val="center"/>
          </w:tcPr>
          <w:p w14:paraId="1F49A330" w14:textId="77777777" w:rsidR="00BD133A" w:rsidRPr="002F3F02" w:rsidRDefault="000F5B51" w:rsidP="00A51F03">
            <w:pPr>
              <w:spacing w:line="240" w:lineRule="auto"/>
              <w:contextualSpacing/>
              <w:jc w:val="center"/>
              <w:rPr>
                <w:b/>
                <w:bCs/>
                <w:szCs w:val="24"/>
              </w:rPr>
            </w:pPr>
            <w:r w:rsidRPr="002F3F02">
              <w:rPr>
                <w:b/>
                <w:bCs/>
                <w:szCs w:val="24"/>
              </w:rPr>
              <w:t>$757,767,840</w:t>
            </w:r>
          </w:p>
        </w:tc>
      </w:tr>
    </w:tbl>
    <w:p w14:paraId="752F5AB7" w14:textId="77777777" w:rsidR="00A51F03" w:rsidRPr="004E0A15" w:rsidRDefault="00A51F03" w:rsidP="00A51F03">
      <w:pPr>
        <w:pStyle w:val="NoSpaceTimes"/>
      </w:pPr>
    </w:p>
    <w:p w14:paraId="34B80522" w14:textId="77777777" w:rsidR="00A51F03" w:rsidRDefault="000F5B51" w:rsidP="00A51F03">
      <w:pPr>
        <w:pStyle w:val="Caption"/>
        <w:spacing w:line="480" w:lineRule="auto"/>
        <w:jc w:val="left"/>
      </w:pPr>
      <w:r>
        <w:t>While this analysis make</w:t>
      </w:r>
      <w:r w:rsidR="655939F5">
        <w:t>s</w:t>
      </w:r>
      <w:r>
        <w:t xml:space="preserve"> use of the teardown study to estimate the costs associated with this regulatory alternative, there is a lack of data to estimate the increase in seat belt use and resulting benefits</w:t>
      </w:r>
      <w:r w:rsidR="001F2F92">
        <w:t xml:space="preserve">. </w:t>
      </w:r>
      <w:r>
        <w:t>SBWS for rear seat occupants include positive-only systems, negative-only systems, and full-status systems</w:t>
      </w:r>
      <w:r w:rsidR="001F2F92">
        <w:t xml:space="preserve">. </w:t>
      </w:r>
      <w:r>
        <w:t>Positive-only systems are those which indicate how many or which seat belts are in use and, thus, do not require occupant detection</w:t>
      </w:r>
      <w:r w:rsidR="001F2F92">
        <w:t xml:space="preserve">. </w:t>
      </w:r>
      <w:r>
        <w:t>This PRIA expects that most manufacturers will meet the requirements under the proposed rule with a positive-only system.</w:t>
      </w:r>
    </w:p>
    <w:p w14:paraId="12A9BD80" w14:textId="77777777" w:rsidR="00A51F03" w:rsidRDefault="000F5B51" w:rsidP="00A51F03">
      <w:pPr>
        <w:pStyle w:val="Caption"/>
        <w:spacing w:line="480" w:lineRule="auto"/>
        <w:jc w:val="left"/>
      </w:pPr>
      <w:r>
        <w:t>Negative-only systems are those which a visual signal indicates, for occupied seats, which seat belts are not in use</w:t>
      </w:r>
      <w:r w:rsidR="001F2F92">
        <w:t xml:space="preserve">. </w:t>
      </w:r>
      <w:r>
        <w:t xml:space="preserve">Lastly, full-status systems are those which a visual signal indicates, for </w:t>
      </w:r>
      <w:r>
        <w:lastRenderedPageBreak/>
        <w:t xml:space="preserve">occupied seats, how many or which seat belts are and are not in use. The latter two systems would require occupant detection. </w:t>
      </w:r>
    </w:p>
    <w:p w14:paraId="14D78A4E" w14:textId="77777777" w:rsidR="00A51F03" w:rsidRDefault="000F5B51" w:rsidP="00A51F03">
      <w:r>
        <w:t>Given the expectation that most manufacturers would meet the requirements with a positive-only system, the benefits and costs estimates in the main analysis reflect that expectation</w:t>
      </w:r>
      <w:r w:rsidR="001F2F92">
        <w:t xml:space="preserve">. </w:t>
      </w:r>
      <w:r>
        <w:t>In considering the increase in seat belt use under this regulatory alternative, we consider how much more seat belt use may increase as a result of SBWS with occupant detection relative to SBWS without it</w:t>
      </w:r>
      <w:r w:rsidR="001F2F92">
        <w:t xml:space="preserve">. </w:t>
      </w:r>
      <w:r>
        <w:t>That is, there is uncertainty in how much more effective a SBWS with occupant detection will be in increasing seat belt use given the already estimated increase in seat belt use with a SBWS without occupant detection</w:t>
      </w:r>
      <w:r w:rsidR="001F2F92">
        <w:t xml:space="preserve">. </w:t>
      </w:r>
      <w:r>
        <w:t>Furthermore, those who are most resistant to seat belt use are most likely the most difficult to sway towards using seat belts.</w:t>
      </w:r>
    </w:p>
    <w:p w14:paraId="2BE18BA8" w14:textId="77777777" w:rsidR="00A51F03" w:rsidRDefault="000F5B51" w:rsidP="00A51F03">
      <w:r>
        <w:t>While cost-effectiveness and net benefits analyses are used to compare regulatory alternatives, this analysis considers the increase in seat belt use at which this regulatory alternative would be cost effective and net beneficial</w:t>
      </w:r>
      <w:r w:rsidR="001F2F92">
        <w:t xml:space="preserve">. </w:t>
      </w:r>
      <w:r>
        <w:t>As the seat belt use rate for rear seat occupants six to ten years old is already very high (0.9800 under the baseline and 0.9822 under the Hi estimate for the proposed rule), there is little room for increases as it is unlikely that the seat belt use rate will reach 100 percent</w:t>
      </w:r>
      <w:r w:rsidR="001F2F92">
        <w:t xml:space="preserve">. </w:t>
      </w:r>
      <w:r>
        <w:t>Therefore, for rear occupants six to ten years old, this analysis make</w:t>
      </w:r>
      <w:r w:rsidR="00621FF0">
        <w:t>s</w:t>
      </w:r>
      <w:r>
        <w:t xml:space="preserve"> use of the Hi estimated increase in seat belt use from the main analysis</w:t>
      </w:r>
      <w:r w:rsidR="001F2F92">
        <w:t xml:space="preserve">. </w:t>
      </w:r>
      <w:r>
        <w:t xml:space="preserve">Therefore, in order for benefits and costs to be equal for this regulatory option, seat belt use for rear seat occupants 11 years and older would need to increase by approximately </w:t>
      </w:r>
      <w:r w:rsidR="0096511C">
        <w:t>9.3</w:t>
      </w:r>
      <w:r w:rsidR="001E557B">
        <w:t>7</w:t>
      </w:r>
      <w:r>
        <w:t xml:space="preserve"> percent when discounted at three percent and </w:t>
      </w:r>
      <w:r w:rsidR="009A7186">
        <w:t>11.6</w:t>
      </w:r>
      <w:r>
        <w:t xml:space="preserve"> percent when discounted at seven percent. </w:t>
      </w:r>
    </w:p>
    <w:p w14:paraId="06B78427" w14:textId="77777777" w:rsidR="00A51F03" w:rsidRDefault="000F5B51" w:rsidP="00A51F03">
      <w:r>
        <w:t>In considering the findings of the breakeven analysis, we note that net benefits in a breakeven analysis are zero</w:t>
      </w:r>
      <w:r w:rsidR="001F2F92">
        <w:t xml:space="preserve">. </w:t>
      </w:r>
      <w:r>
        <w:t xml:space="preserve">Therefore, a </w:t>
      </w:r>
      <w:r w:rsidR="00C035F6">
        <w:t>9</w:t>
      </w:r>
      <w:r>
        <w:t xml:space="preserve"> to </w:t>
      </w:r>
      <w:r w:rsidR="00C035F6">
        <w:t>12</w:t>
      </w:r>
      <w:r>
        <w:t xml:space="preserve"> percent increase in seat belt use would result in this regulatory option to be net beneficial but would still make it less net beneficial than the proposed </w:t>
      </w:r>
      <w:r>
        <w:lastRenderedPageBreak/>
        <w:t>rule</w:t>
      </w:r>
      <w:r w:rsidR="001F2F92">
        <w:t xml:space="preserve">. </w:t>
      </w:r>
      <w:r>
        <w:t xml:space="preserve">Furthermore, a </w:t>
      </w:r>
      <w:r w:rsidR="00C035F6">
        <w:t>9</w:t>
      </w:r>
      <w:r w:rsidR="00DE06B6">
        <w:t xml:space="preserve"> to nearly 12</w:t>
      </w:r>
      <w:r>
        <w:t xml:space="preserve"> percent increase in seat belt use is </w:t>
      </w:r>
      <w:r w:rsidR="0066798B">
        <w:t>about</w:t>
      </w:r>
      <w:r w:rsidR="00DE06B6">
        <w:t xml:space="preserve"> three times</w:t>
      </w:r>
      <w:r>
        <w:t xml:space="preserve"> the estimated Lo increase of 3.4 percent</w:t>
      </w:r>
      <w:r w:rsidR="004821A6">
        <w:t xml:space="preserve"> and double the estimated Hi increase of </w:t>
      </w:r>
      <w:r w:rsidR="00867D9F">
        <w:t>5</w:t>
      </w:r>
      <w:r w:rsidR="004821A6">
        <w:t xml:space="preserve">.1 percent </w:t>
      </w:r>
      <w:r>
        <w:t>in the main analysis</w:t>
      </w:r>
      <w:r w:rsidR="001F2F92">
        <w:t xml:space="preserve">. </w:t>
      </w:r>
      <w:r>
        <w:t xml:space="preserve">As was noted earlier, the SBWS considered under this regulatory alternative are capable of letting the driver know </w:t>
      </w:r>
      <w:r w:rsidR="008F684E">
        <w:t xml:space="preserve">for occupied </w:t>
      </w:r>
      <w:r w:rsidR="00E2042A">
        <w:t xml:space="preserve">rear seats, </w:t>
      </w:r>
      <w:r w:rsidR="00355A90">
        <w:t xml:space="preserve">which </w:t>
      </w:r>
      <w:r w:rsidR="00BE742B">
        <w:t>seat belts are or are not in use</w:t>
      </w:r>
      <w:r>
        <w:t xml:space="preserve">. While we would expect some possible increase in seat belt use from that specific functionality, it is doubtful that it would be close to </w:t>
      </w:r>
      <w:r w:rsidR="00086AFB">
        <w:t xml:space="preserve">double </w:t>
      </w:r>
      <w:r>
        <w:t xml:space="preserve">or </w:t>
      </w:r>
      <w:r w:rsidR="00D04914">
        <w:t>triple</w:t>
      </w:r>
      <w:r>
        <w:t xml:space="preserve"> the increase in seat belt use estimated for SBWS without occupant detection</w:t>
      </w:r>
      <w:r w:rsidR="001F2F92">
        <w:t xml:space="preserve">. </w:t>
      </w:r>
      <w:r>
        <w:t xml:space="preserve">Lastly, there are also other factors that may impact the effectiveness of SBWS with occupant detection. </w:t>
      </w:r>
    </w:p>
    <w:p w14:paraId="495570A8" w14:textId="77777777" w:rsidR="00BE78BE" w:rsidRDefault="000F5B51" w:rsidP="00C3218B">
      <w:pPr>
        <w:spacing w:after="0"/>
      </w:pPr>
      <w:r w:rsidRPr="00114116">
        <w:t>Overall, this analysis was able to estimate the costs associated with this regulatory option, but due to limitations was not able to estimate increase in seat belt use and resulting benefits</w:t>
      </w:r>
      <w:r w:rsidR="001F2F92">
        <w:t xml:space="preserve">. </w:t>
      </w:r>
      <w:r w:rsidRPr="00114116">
        <w:t>As a result, this analysis considered how much more effective these systems would need to be in increasing seat belt use to make up for the additional cost</w:t>
      </w:r>
      <w:r w:rsidR="001F2F92">
        <w:t xml:space="preserve">. </w:t>
      </w:r>
      <w:r w:rsidRPr="00114116">
        <w:t>Based on the available information, the agency did not choose this regulatory alternative</w:t>
      </w:r>
      <w:r w:rsidR="001F2F92">
        <w:t xml:space="preserve">. </w:t>
      </w:r>
      <w:r w:rsidRPr="00114116">
        <w:t>However, due to the uncertainty in the effectiveness for SBWS with occupant detection for rear seat occupants, we request comments on these assumptions</w:t>
      </w:r>
      <w:r>
        <w:t xml:space="preserve">. </w:t>
      </w:r>
    </w:p>
    <w:p w14:paraId="6DCFC87A" w14:textId="77777777" w:rsidR="00536D00" w:rsidRDefault="000F5B51" w:rsidP="0021691D">
      <w:pPr>
        <w:pStyle w:val="Heading2"/>
        <w:spacing w:line="240" w:lineRule="auto"/>
      </w:pPr>
      <w:bookmarkStart w:id="1742" w:name="_Ref126929248"/>
      <w:bookmarkStart w:id="1743" w:name="_Toc142903005"/>
      <w:r>
        <w:t>Front Center Seat SBWS</w:t>
      </w:r>
      <w:bookmarkEnd w:id="1742"/>
      <w:bookmarkEnd w:id="1743"/>
    </w:p>
    <w:p w14:paraId="574ADC4A" w14:textId="237FFBE7" w:rsidR="000F0490" w:rsidRDefault="000F5B51" w:rsidP="000F0490">
      <w:pPr>
        <w:spacing w:after="0"/>
        <w:contextualSpacing/>
        <w:rPr>
          <w:rFonts w:eastAsia="Times New Roman" w:cs="Times New Roman"/>
          <w:color w:val="000000"/>
          <w:szCs w:val="24"/>
        </w:rPr>
      </w:pPr>
      <w:r>
        <w:rPr>
          <w:bCs/>
        </w:rPr>
        <w:t xml:space="preserve">NHTSA also considered </w:t>
      </w:r>
      <w:r w:rsidRPr="00E961A6">
        <w:rPr>
          <w:rFonts w:eastAsia="Times New Roman" w:cs="Times New Roman"/>
          <w:color w:val="000000"/>
          <w:szCs w:val="24"/>
        </w:rPr>
        <w:t xml:space="preserve">requiring a </w:t>
      </w:r>
      <w:r>
        <w:rPr>
          <w:rFonts w:eastAsia="Times New Roman" w:cs="Times New Roman"/>
          <w:color w:val="000000"/>
          <w:szCs w:val="24"/>
        </w:rPr>
        <w:t>SBWS</w:t>
      </w:r>
      <w:r w:rsidRPr="00E961A6">
        <w:rPr>
          <w:rFonts w:eastAsia="Times New Roman" w:cs="Times New Roman"/>
          <w:color w:val="000000"/>
          <w:szCs w:val="24"/>
        </w:rPr>
        <w:t xml:space="preserve"> for the front center seating position</w:t>
      </w:r>
      <w:r w:rsidR="001F2F92">
        <w:rPr>
          <w:rFonts w:eastAsia="Times New Roman" w:cs="Times New Roman"/>
          <w:color w:val="000000"/>
          <w:szCs w:val="24"/>
        </w:rPr>
        <w:t xml:space="preserve">. </w:t>
      </w:r>
      <w:r>
        <w:rPr>
          <w:rFonts w:eastAsia="Times New Roman" w:cs="Times New Roman"/>
          <w:color w:val="000000"/>
          <w:szCs w:val="24"/>
        </w:rPr>
        <w:t xml:space="preserve">To estimate incremental benefits, this analysis makes use of the </w:t>
      </w:r>
      <w:r>
        <w:t xml:space="preserve">2011-2015 FARS data to establish the </w:t>
      </w:r>
      <w:r>
        <w:rPr>
          <w:rFonts w:eastAsia="Times New Roman" w:cs="Times New Roman"/>
          <w:color w:val="000000"/>
          <w:szCs w:val="24"/>
        </w:rPr>
        <w:t xml:space="preserve">target population addressed by this regulatory alterative. Furthermore, this analysis makes use of the adjustment factors established in Chapter </w:t>
      </w:r>
      <w:r w:rsidR="006939E4">
        <w:rPr>
          <w:rFonts w:eastAsia="Times New Roman" w:cs="Times New Roman"/>
          <w:color w:val="000000"/>
          <w:szCs w:val="24"/>
        </w:rPr>
        <w:fldChar w:fldCharType="begin"/>
      </w:r>
      <w:r w:rsidR="006939E4">
        <w:rPr>
          <w:rFonts w:eastAsia="Times New Roman" w:cs="Times New Roman"/>
          <w:color w:val="000000"/>
          <w:szCs w:val="24"/>
        </w:rPr>
        <w:instrText xml:space="preserve"> REF _Ref128052499 \r \h </w:instrText>
      </w:r>
      <w:r w:rsidR="006939E4">
        <w:rPr>
          <w:rFonts w:eastAsia="Times New Roman" w:cs="Times New Roman"/>
          <w:color w:val="000000"/>
          <w:szCs w:val="24"/>
        </w:rPr>
      </w:r>
      <w:r w:rsidR="006939E4">
        <w:rPr>
          <w:rFonts w:eastAsia="Times New Roman" w:cs="Times New Roman"/>
          <w:color w:val="000000"/>
          <w:szCs w:val="24"/>
        </w:rPr>
        <w:fldChar w:fldCharType="separate"/>
      </w:r>
      <w:r w:rsidR="00A65CB3">
        <w:rPr>
          <w:rFonts w:eastAsia="Times New Roman" w:cs="Times New Roman"/>
          <w:color w:val="000000"/>
          <w:szCs w:val="24"/>
        </w:rPr>
        <w:t>3</w:t>
      </w:r>
      <w:r w:rsidR="006939E4">
        <w:rPr>
          <w:rFonts w:eastAsia="Times New Roman" w:cs="Times New Roman"/>
          <w:color w:val="000000"/>
          <w:szCs w:val="24"/>
        </w:rPr>
        <w:fldChar w:fldCharType="end"/>
      </w:r>
      <w:r>
        <w:rPr>
          <w:rFonts w:eastAsia="Times New Roman" w:cs="Times New Roman"/>
          <w:color w:val="000000"/>
          <w:szCs w:val="24"/>
        </w:rPr>
        <w:t xml:space="preserve"> to account for </w:t>
      </w:r>
      <w:r>
        <w:rPr>
          <w:rFonts w:eastAsia="Times New Roman" w:cs="Times New Roman"/>
          <w:szCs w:val="24"/>
        </w:rPr>
        <w:t>safety impacts of new required safety technologies that ha</w:t>
      </w:r>
      <w:r w:rsidR="003659F9">
        <w:rPr>
          <w:rFonts w:eastAsia="Times New Roman" w:cs="Times New Roman"/>
          <w:szCs w:val="24"/>
        </w:rPr>
        <w:t>ve</w:t>
      </w:r>
      <w:r>
        <w:rPr>
          <w:rFonts w:eastAsia="Times New Roman" w:cs="Times New Roman"/>
          <w:szCs w:val="24"/>
        </w:rPr>
        <w:t xml:space="preserve"> yet to be applied to the fleet </w:t>
      </w:r>
      <w:r>
        <w:rPr>
          <w:rFonts w:eastAsia="Times New Roman" w:cs="Times New Roman"/>
          <w:color w:val="000000"/>
          <w:szCs w:val="24"/>
        </w:rPr>
        <w:t xml:space="preserve">(see </w:t>
      </w:r>
      <w:r w:rsidR="006939E4">
        <w:rPr>
          <w:rFonts w:eastAsia="Times New Roman" w:cs="Times New Roman"/>
          <w:color w:val="000000"/>
          <w:szCs w:val="24"/>
        </w:rPr>
        <w:fldChar w:fldCharType="begin"/>
      </w:r>
      <w:r w:rsidR="006939E4">
        <w:rPr>
          <w:rFonts w:eastAsia="Times New Roman" w:cs="Times New Roman"/>
          <w:color w:val="000000"/>
          <w:szCs w:val="24"/>
        </w:rPr>
        <w:instrText xml:space="preserve"> REF _Ref126041145 \h </w:instrText>
      </w:r>
      <w:r w:rsidR="006939E4">
        <w:rPr>
          <w:rFonts w:eastAsia="Times New Roman" w:cs="Times New Roman"/>
          <w:color w:val="000000"/>
          <w:szCs w:val="24"/>
        </w:rPr>
      </w:r>
      <w:r w:rsidR="006939E4">
        <w:rPr>
          <w:rFonts w:eastAsia="Times New Roman" w:cs="Times New Roman"/>
          <w:color w:val="000000"/>
          <w:szCs w:val="24"/>
        </w:rPr>
        <w:fldChar w:fldCharType="separate"/>
      </w:r>
      <w:r w:rsidR="00A65CB3">
        <w:t>Appendix D</w:t>
      </w:r>
      <w:r w:rsidR="006939E4">
        <w:rPr>
          <w:rFonts w:eastAsia="Times New Roman" w:cs="Times New Roman"/>
          <w:color w:val="000000"/>
          <w:szCs w:val="24"/>
        </w:rPr>
        <w:fldChar w:fldCharType="end"/>
      </w:r>
      <w:r w:rsidR="00BA0A57">
        <w:rPr>
          <w:rFonts w:eastAsia="Times New Roman" w:cs="Times New Roman"/>
          <w:color w:val="000000"/>
          <w:szCs w:val="24"/>
        </w:rPr>
        <w:t xml:space="preserve"> </w:t>
      </w:r>
      <w:r>
        <w:rPr>
          <w:rFonts w:eastAsia="Times New Roman" w:cs="Times New Roman"/>
          <w:color w:val="000000"/>
          <w:szCs w:val="24"/>
        </w:rPr>
        <w:t>for the unadjusted fatalities).</w:t>
      </w:r>
    </w:p>
    <w:p w14:paraId="6DF1F958" w14:textId="4D91A1E5" w:rsidR="000F0490" w:rsidRDefault="000F5B51" w:rsidP="000F0490">
      <w:pPr>
        <w:spacing w:after="0"/>
        <w:contextualSpacing/>
        <w:rPr>
          <w:rFonts w:eastAsia="Times New Roman" w:cs="Times New Roman"/>
          <w:color w:val="000000"/>
          <w:szCs w:val="24"/>
        </w:rPr>
      </w:pPr>
      <w:r>
        <w:rPr>
          <w:rFonts w:eastAsia="Times New Roman" w:cs="Times New Roman"/>
          <w:color w:val="000000"/>
          <w:szCs w:val="24"/>
        </w:rPr>
        <w:fldChar w:fldCharType="begin"/>
      </w:r>
      <w:r>
        <w:rPr>
          <w:rFonts w:eastAsia="Times New Roman" w:cs="Times New Roman"/>
          <w:color w:val="000000"/>
          <w:szCs w:val="24"/>
        </w:rPr>
        <w:instrText xml:space="preserve"> REF _Ref127974644 \h </w:instrText>
      </w:r>
      <w:r>
        <w:rPr>
          <w:rFonts w:eastAsia="Times New Roman" w:cs="Times New Roman"/>
          <w:color w:val="000000"/>
          <w:szCs w:val="24"/>
        </w:rPr>
      </w:r>
      <w:r>
        <w:rPr>
          <w:rFonts w:eastAsia="Times New Roman" w:cs="Times New Roman"/>
          <w:color w:val="000000"/>
          <w:szCs w:val="24"/>
        </w:rPr>
        <w:fldChar w:fldCharType="separate"/>
      </w:r>
      <w:r w:rsidR="00A65CB3">
        <w:t xml:space="preserve">Table </w:t>
      </w:r>
      <w:r w:rsidR="00A65CB3">
        <w:rPr>
          <w:noProof/>
        </w:rPr>
        <w:t>85</w:t>
      </w:r>
      <w:r>
        <w:rPr>
          <w:rFonts w:eastAsia="Times New Roman" w:cs="Times New Roman"/>
          <w:color w:val="000000"/>
          <w:szCs w:val="24"/>
        </w:rPr>
        <w:fldChar w:fldCharType="end"/>
      </w:r>
      <w:r>
        <w:rPr>
          <w:rFonts w:eastAsia="Times New Roman" w:cs="Times New Roman"/>
          <w:color w:val="000000"/>
          <w:szCs w:val="24"/>
        </w:rPr>
        <w:t xml:space="preserve"> presents the annual adjusted fatalities for front center seat passengers by vehicle type and crash type. </w:t>
      </w:r>
      <w:r>
        <w:t xml:space="preserve">For passenger cars, </w:t>
      </w:r>
      <w:r w:rsidRPr="004059E6">
        <w:rPr>
          <w:rFonts w:cs="Times New Roman"/>
          <w:szCs w:val="24"/>
        </w:rPr>
        <w:t xml:space="preserve">there were a total of </w:t>
      </w:r>
      <w:r>
        <w:rPr>
          <w:rFonts w:cs="Times New Roman"/>
          <w:szCs w:val="24"/>
        </w:rPr>
        <w:t xml:space="preserve">six fatalities for front center seat </w:t>
      </w:r>
      <w:r>
        <w:rPr>
          <w:rFonts w:cs="Times New Roman"/>
          <w:szCs w:val="24"/>
        </w:rPr>
        <w:lastRenderedPageBreak/>
        <w:t>passengers, annually</w:t>
      </w:r>
      <w:r w:rsidR="001F2F92">
        <w:rPr>
          <w:rFonts w:cs="Times New Roman"/>
          <w:szCs w:val="24"/>
        </w:rPr>
        <w:t xml:space="preserve">. </w:t>
      </w:r>
      <w:r>
        <w:rPr>
          <w:rFonts w:cs="Times New Roman"/>
          <w:szCs w:val="24"/>
        </w:rPr>
        <w:t>Of those fatalities, two were</w:t>
      </w:r>
      <w:r w:rsidRPr="004059E6">
        <w:rPr>
          <w:rFonts w:cs="Times New Roman"/>
          <w:szCs w:val="24"/>
        </w:rPr>
        <w:t xml:space="preserve"> restrained and </w:t>
      </w:r>
      <w:r>
        <w:rPr>
          <w:rFonts w:cs="Times New Roman"/>
          <w:szCs w:val="24"/>
        </w:rPr>
        <w:t>three were</w:t>
      </w:r>
      <w:r w:rsidRPr="004059E6">
        <w:rPr>
          <w:rFonts w:cs="Times New Roman"/>
          <w:szCs w:val="24"/>
        </w:rPr>
        <w:t xml:space="preserve"> unrestrained </w:t>
      </w:r>
      <w:r>
        <w:t>front center seat passengers</w:t>
      </w:r>
      <w:r w:rsidRPr="009B7C81">
        <w:rPr>
          <w:rFonts w:cs="Times New Roman"/>
          <w:szCs w:val="24"/>
        </w:rPr>
        <w:t>.</w:t>
      </w:r>
      <w:r>
        <w:rPr>
          <w:rFonts w:cs="Times New Roman"/>
          <w:szCs w:val="24"/>
        </w:rPr>
        <w:t xml:space="preserve"> As noted in the table, fatalities presented in the table are rounded to the nearest whole number and, therefore, may not sum due to rounding. However, it is important to note that unrounded numbers are carried through the benefits calculations</w:t>
      </w:r>
      <w:r w:rsidR="001F2F92">
        <w:rPr>
          <w:rFonts w:cs="Times New Roman"/>
          <w:szCs w:val="24"/>
        </w:rPr>
        <w:t xml:space="preserve">. </w:t>
      </w:r>
      <w:r w:rsidRPr="009B7C81">
        <w:rPr>
          <w:rFonts w:cs="Times New Roman"/>
          <w:szCs w:val="24"/>
        </w:rPr>
        <w:t>For light trucks, there were</w:t>
      </w:r>
      <w:r w:rsidRPr="00D508D0">
        <w:t xml:space="preserve"> </w:t>
      </w:r>
      <w:r w:rsidRPr="00D508D0">
        <w:rPr>
          <w:rFonts w:cs="Times New Roman"/>
          <w:szCs w:val="24"/>
        </w:rPr>
        <w:t xml:space="preserve">a total of </w:t>
      </w:r>
      <w:r>
        <w:rPr>
          <w:rFonts w:cs="Times New Roman"/>
          <w:szCs w:val="24"/>
        </w:rPr>
        <w:t>28 fatalities for front center seat passengers, annually</w:t>
      </w:r>
      <w:r w:rsidR="001F2F92">
        <w:rPr>
          <w:rFonts w:cs="Times New Roman"/>
          <w:szCs w:val="24"/>
        </w:rPr>
        <w:t xml:space="preserve">. </w:t>
      </w:r>
      <w:r>
        <w:rPr>
          <w:rFonts w:cs="Times New Roman"/>
          <w:szCs w:val="24"/>
        </w:rPr>
        <w:t>Of those fatalities, five</w:t>
      </w:r>
      <w:r w:rsidRPr="00D508D0">
        <w:rPr>
          <w:rFonts w:cs="Times New Roman"/>
          <w:szCs w:val="24"/>
        </w:rPr>
        <w:t xml:space="preserve"> </w:t>
      </w:r>
      <w:r>
        <w:rPr>
          <w:rFonts w:cs="Times New Roman"/>
          <w:szCs w:val="24"/>
        </w:rPr>
        <w:t xml:space="preserve">were </w:t>
      </w:r>
      <w:r w:rsidRPr="00D508D0">
        <w:rPr>
          <w:rFonts w:cs="Times New Roman"/>
          <w:szCs w:val="24"/>
        </w:rPr>
        <w:t>restrained and</w:t>
      </w:r>
      <w:r w:rsidRPr="004059E6">
        <w:rPr>
          <w:rFonts w:cs="Times New Roman"/>
          <w:szCs w:val="24"/>
        </w:rPr>
        <w:t xml:space="preserve"> </w:t>
      </w:r>
      <w:r>
        <w:rPr>
          <w:rFonts w:cs="Times New Roman"/>
          <w:szCs w:val="24"/>
        </w:rPr>
        <w:t>23 were</w:t>
      </w:r>
      <w:r w:rsidRPr="004059E6">
        <w:rPr>
          <w:rFonts w:cs="Times New Roman"/>
          <w:szCs w:val="24"/>
        </w:rPr>
        <w:t xml:space="preserve"> unrestrained </w:t>
      </w:r>
      <w:r>
        <w:t xml:space="preserve">front center seat occupant </w:t>
      </w:r>
      <w:r w:rsidRPr="004059E6">
        <w:rPr>
          <w:rFonts w:cs="Times New Roman"/>
          <w:szCs w:val="24"/>
        </w:rPr>
        <w:t>fatalitie</w:t>
      </w:r>
      <w:r>
        <w:rPr>
          <w:rFonts w:cs="Times New Roman"/>
          <w:szCs w:val="24"/>
        </w:rPr>
        <w:t>s</w:t>
      </w:r>
      <w:r w:rsidR="001F2F92">
        <w:rPr>
          <w:rFonts w:cs="Times New Roman"/>
          <w:szCs w:val="24"/>
        </w:rPr>
        <w:t xml:space="preserve">. </w:t>
      </w:r>
    </w:p>
    <w:p w14:paraId="76F78579" w14:textId="20F81F20" w:rsidR="000F0490" w:rsidRPr="00AA5753" w:rsidRDefault="000F5B51" w:rsidP="000F0490">
      <w:pPr>
        <w:pStyle w:val="Caption"/>
        <w:rPr>
          <w:szCs w:val="22"/>
        </w:rPr>
      </w:pPr>
      <w:bookmarkStart w:id="1744" w:name="_Ref127974644"/>
      <w:r>
        <w:t xml:space="preserve">Table </w:t>
      </w:r>
      <w:r w:rsidR="00115BAB">
        <w:fldChar w:fldCharType="begin"/>
      </w:r>
      <w:r>
        <w:instrText xml:space="preserve"> SEQ Table \* ARABIC </w:instrText>
      </w:r>
      <w:r w:rsidR="00115BAB">
        <w:fldChar w:fldCharType="separate"/>
      </w:r>
      <w:r w:rsidR="00A65CB3">
        <w:rPr>
          <w:noProof/>
        </w:rPr>
        <w:t>85</w:t>
      </w:r>
      <w:r w:rsidR="00115BAB">
        <w:rPr>
          <w:noProof/>
        </w:rPr>
        <w:fldChar w:fldCharType="end"/>
      </w:r>
      <w:bookmarkEnd w:id="1744"/>
      <w:r>
        <w:t>: Annual Adjusted Fatalities for Front Center Seat Passengers</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461"/>
        <w:gridCol w:w="1976"/>
        <w:gridCol w:w="2234"/>
        <w:gridCol w:w="2234"/>
      </w:tblGrid>
      <w:tr w:rsidR="00A15C2C" w14:paraId="63F6135B" w14:textId="77777777" w:rsidTr="007550E2">
        <w:trPr>
          <w:trHeight w:val="260"/>
          <w:jc w:val="center"/>
        </w:trPr>
        <w:tc>
          <w:tcPr>
            <w:tcW w:w="1714" w:type="dxa"/>
            <w:shd w:val="clear" w:color="auto" w:fill="D9D9D9" w:themeFill="background1" w:themeFillShade="D9"/>
            <w:noWrap/>
            <w:vAlign w:val="center"/>
            <w:hideMark/>
          </w:tcPr>
          <w:p w14:paraId="10C8715D" w14:textId="77777777" w:rsidR="000F0490" w:rsidRPr="000F1504" w:rsidRDefault="000F5B51" w:rsidP="007550E2">
            <w:pPr>
              <w:spacing w:after="0" w:line="240" w:lineRule="auto"/>
              <w:rPr>
                <w:rFonts w:eastAsia="Times New Roman" w:cs="Times New Roman"/>
                <w:b/>
                <w:bCs/>
                <w:color w:val="000000"/>
                <w:szCs w:val="24"/>
              </w:rPr>
            </w:pPr>
            <w:r w:rsidRPr="000F1504">
              <w:rPr>
                <w:rFonts w:eastAsia="Times New Roman" w:cs="Times New Roman"/>
                <w:b/>
                <w:bCs/>
                <w:color w:val="000000"/>
                <w:szCs w:val="24"/>
              </w:rPr>
              <w:t>Vehicle Type</w:t>
            </w:r>
          </w:p>
        </w:tc>
        <w:tc>
          <w:tcPr>
            <w:tcW w:w="1461" w:type="dxa"/>
            <w:shd w:val="clear" w:color="auto" w:fill="D9D9D9" w:themeFill="background1" w:themeFillShade="D9"/>
            <w:noWrap/>
            <w:vAlign w:val="center"/>
            <w:hideMark/>
          </w:tcPr>
          <w:p w14:paraId="74B1C0BE" w14:textId="77777777" w:rsidR="000F0490" w:rsidRPr="000F1504" w:rsidRDefault="000F5B51" w:rsidP="007550E2">
            <w:pPr>
              <w:spacing w:after="0" w:line="240" w:lineRule="auto"/>
              <w:jc w:val="center"/>
              <w:rPr>
                <w:rFonts w:eastAsia="Times New Roman" w:cs="Times New Roman"/>
                <w:b/>
                <w:bCs/>
                <w:color w:val="000000"/>
                <w:szCs w:val="24"/>
              </w:rPr>
            </w:pPr>
            <w:r w:rsidRPr="000F1504">
              <w:rPr>
                <w:rFonts w:eastAsia="Times New Roman" w:cs="Times New Roman"/>
                <w:b/>
                <w:bCs/>
                <w:color w:val="000000"/>
                <w:szCs w:val="24"/>
              </w:rPr>
              <w:t>Crash type</w:t>
            </w:r>
          </w:p>
        </w:tc>
        <w:tc>
          <w:tcPr>
            <w:tcW w:w="1976" w:type="dxa"/>
            <w:shd w:val="clear" w:color="auto" w:fill="D9D9D9" w:themeFill="background1" w:themeFillShade="D9"/>
            <w:noWrap/>
            <w:vAlign w:val="center"/>
            <w:hideMark/>
          </w:tcPr>
          <w:p w14:paraId="623C2F8F" w14:textId="77777777" w:rsidR="000F0490" w:rsidRPr="000F1504" w:rsidRDefault="000F5B51" w:rsidP="007550E2">
            <w:pPr>
              <w:spacing w:after="0" w:line="240" w:lineRule="auto"/>
              <w:jc w:val="center"/>
              <w:rPr>
                <w:rFonts w:eastAsia="Times New Roman" w:cs="Times New Roman"/>
                <w:b/>
                <w:bCs/>
                <w:color w:val="000000"/>
                <w:szCs w:val="24"/>
              </w:rPr>
            </w:pPr>
            <w:r>
              <w:rPr>
                <w:rFonts w:eastAsia="Times New Roman" w:cs="Times New Roman"/>
                <w:b/>
                <w:bCs/>
                <w:color w:val="000000"/>
                <w:szCs w:val="24"/>
              </w:rPr>
              <w:t xml:space="preserve">Restrained </w:t>
            </w:r>
          </w:p>
        </w:tc>
        <w:tc>
          <w:tcPr>
            <w:tcW w:w="2234" w:type="dxa"/>
            <w:shd w:val="clear" w:color="auto" w:fill="D9D9D9" w:themeFill="background1" w:themeFillShade="D9"/>
            <w:noWrap/>
            <w:vAlign w:val="center"/>
            <w:hideMark/>
          </w:tcPr>
          <w:p w14:paraId="39F96893" w14:textId="77777777" w:rsidR="000F0490" w:rsidRPr="000F1504" w:rsidRDefault="000F5B51" w:rsidP="007550E2">
            <w:pPr>
              <w:spacing w:after="0" w:line="240" w:lineRule="auto"/>
              <w:jc w:val="center"/>
              <w:rPr>
                <w:rFonts w:eastAsia="Times New Roman" w:cs="Times New Roman"/>
                <w:b/>
                <w:bCs/>
                <w:color w:val="000000"/>
                <w:szCs w:val="24"/>
              </w:rPr>
            </w:pPr>
            <w:r>
              <w:rPr>
                <w:rFonts w:eastAsia="Times New Roman" w:cs="Times New Roman"/>
                <w:b/>
                <w:bCs/>
                <w:color w:val="000000"/>
                <w:szCs w:val="24"/>
              </w:rPr>
              <w:t>Unrestrained</w:t>
            </w:r>
          </w:p>
        </w:tc>
        <w:tc>
          <w:tcPr>
            <w:tcW w:w="2234" w:type="dxa"/>
            <w:shd w:val="clear" w:color="auto" w:fill="D9D9D9" w:themeFill="background1" w:themeFillShade="D9"/>
          </w:tcPr>
          <w:p w14:paraId="302DB143" w14:textId="77777777" w:rsidR="000F0490" w:rsidRDefault="000F5B51" w:rsidP="007550E2">
            <w:pPr>
              <w:spacing w:after="0" w:line="240" w:lineRule="auto"/>
              <w:jc w:val="center"/>
              <w:rPr>
                <w:rFonts w:eastAsia="Times New Roman" w:cs="Times New Roman"/>
                <w:b/>
                <w:bCs/>
                <w:color w:val="000000"/>
                <w:szCs w:val="24"/>
              </w:rPr>
            </w:pPr>
            <w:r>
              <w:rPr>
                <w:rFonts w:eastAsia="Times New Roman" w:cs="Times New Roman"/>
                <w:b/>
                <w:bCs/>
                <w:color w:val="000000"/>
                <w:szCs w:val="24"/>
              </w:rPr>
              <w:t>Total</w:t>
            </w:r>
          </w:p>
        </w:tc>
      </w:tr>
      <w:tr w:rsidR="00A15C2C" w14:paraId="54C2C877" w14:textId="77777777" w:rsidTr="007550E2">
        <w:trPr>
          <w:trHeight w:val="260"/>
          <w:jc w:val="center"/>
        </w:trPr>
        <w:tc>
          <w:tcPr>
            <w:tcW w:w="1714" w:type="dxa"/>
            <w:vMerge w:val="restart"/>
            <w:shd w:val="clear" w:color="auto" w:fill="auto"/>
            <w:noWrap/>
            <w:vAlign w:val="center"/>
            <w:hideMark/>
          </w:tcPr>
          <w:p w14:paraId="725176DA" w14:textId="77777777" w:rsidR="000F0490" w:rsidRPr="009F7CC9" w:rsidRDefault="000F5B51" w:rsidP="007550E2">
            <w:pPr>
              <w:spacing w:after="0" w:line="240" w:lineRule="auto"/>
              <w:rPr>
                <w:rFonts w:eastAsia="Times New Roman" w:cs="Times New Roman"/>
                <w:b/>
                <w:bCs/>
                <w:color w:val="000000"/>
                <w:szCs w:val="24"/>
              </w:rPr>
            </w:pPr>
            <w:r w:rsidRPr="009F7CC9">
              <w:rPr>
                <w:rFonts w:eastAsia="Times New Roman" w:cs="Times New Roman"/>
                <w:b/>
                <w:bCs/>
                <w:color w:val="000000"/>
                <w:szCs w:val="24"/>
              </w:rPr>
              <w:t>PC</w:t>
            </w:r>
          </w:p>
        </w:tc>
        <w:tc>
          <w:tcPr>
            <w:tcW w:w="1461" w:type="dxa"/>
            <w:shd w:val="clear" w:color="auto" w:fill="auto"/>
            <w:noWrap/>
            <w:vAlign w:val="center"/>
            <w:hideMark/>
          </w:tcPr>
          <w:p w14:paraId="3A497F82" w14:textId="77777777" w:rsidR="000F0490" w:rsidRPr="009F7CC9" w:rsidRDefault="000F5B51" w:rsidP="007550E2">
            <w:pPr>
              <w:spacing w:after="0" w:line="240" w:lineRule="auto"/>
              <w:jc w:val="center"/>
              <w:rPr>
                <w:rFonts w:eastAsia="Times New Roman" w:cs="Times New Roman"/>
                <w:color w:val="000000"/>
                <w:szCs w:val="24"/>
              </w:rPr>
            </w:pPr>
            <w:r w:rsidRPr="009F7CC9">
              <w:rPr>
                <w:rFonts w:eastAsia="Times New Roman" w:cs="Times New Roman"/>
                <w:color w:val="000000"/>
                <w:szCs w:val="24"/>
              </w:rPr>
              <w:t>Rollover</w:t>
            </w:r>
          </w:p>
        </w:tc>
        <w:tc>
          <w:tcPr>
            <w:tcW w:w="1976" w:type="dxa"/>
            <w:shd w:val="clear" w:color="auto" w:fill="auto"/>
            <w:noWrap/>
          </w:tcPr>
          <w:p w14:paraId="30AD70E0" w14:textId="77777777" w:rsidR="000F0490" w:rsidRPr="009F7CC9" w:rsidRDefault="000F5B51" w:rsidP="007550E2">
            <w:pPr>
              <w:spacing w:after="0" w:line="240" w:lineRule="auto"/>
              <w:jc w:val="center"/>
              <w:rPr>
                <w:rFonts w:eastAsia="Times New Roman" w:cs="Times New Roman"/>
                <w:color w:val="000000"/>
                <w:szCs w:val="24"/>
              </w:rPr>
            </w:pPr>
            <w:r w:rsidRPr="00A7763F">
              <w:t>1</w:t>
            </w:r>
          </w:p>
        </w:tc>
        <w:tc>
          <w:tcPr>
            <w:tcW w:w="2234" w:type="dxa"/>
            <w:shd w:val="clear" w:color="auto" w:fill="auto"/>
            <w:noWrap/>
          </w:tcPr>
          <w:p w14:paraId="08D00244" w14:textId="77777777" w:rsidR="000F0490" w:rsidRPr="009F7CC9" w:rsidRDefault="000F5B51" w:rsidP="007550E2">
            <w:pPr>
              <w:spacing w:after="0" w:line="240" w:lineRule="auto"/>
              <w:jc w:val="center"/>
              <w:rPr>
                <w:rFonts w:eastAsia="Times New Roman" w:cs="Times New Roman"/>
                <w:color w:val="000000"/>
                <w:szCs w:val="24"/>
              </w:rPr>
            </w:pPr>
            <w:r w:rsidRPr="00A7763F">
              <w:t>1</w:t>
            </w:r>
          </w:p>
        </w:tc>
        <w:tc>
          <w:tcPr>
            <w:tcW w:w="2234" w:type="dxa"/>
          </w:tcPr>
          <w:p w14:paraId="2EF3A9B8" w14:textId="77777777" w:rsidR="000F0490" w:rsidRPr="00A7763F" w:rsidRDefault="000F5B51" w:rsidP="007550E2">
            <w:pPr>
              <w:spacing w:after="0" w:line="240" w:lineRule="auto"/>
              <w:jc w:val="center"/>
            </w:pPr>
            <w:r>
              <w:t>1</w:t>
            </w:r>
          </w:p>
        </w:tc>
      </w:tr>
      <w:tr w:rsidR="00A15C2C" w14:paraId="7E2A5F69" w14:textId="77777777" w:rsidTr="007550E2">
        <w:trPr>
          <w:trHeight w:val="260"/>
          <w:jc w:val="center"/>
        </w:trPr>
        <w:tc>
          <w:tcPr>
            <w:tcW w:w="1714" w:type="dxa"/>
            <w:vMerge/>
            <w:shd w:val="clear" w:color="auto" w:fill="auto"/>
            <w:noWrap/>
            <w:vAlign w:val="center"/>
            <w:hideMark/>
          </w:tcPr>
          <w:p w14:paraId="4F916827" w14:textId="77777777" w:rsidR="000F0490" w:rsidRPr="009F7CC9" w:rsidRDefault="000F0490" w:rsidP="007550E2">
            <w:pPr>
              <w:spacing w:after="0" w:line="240" w:lineRule="auto"/>
              <w:rPr>
                <w:rFonts w:eastAsia="Times New Roman" w:cs="Times New Roman"/>
                <w:szCs w:val="24"/>
              </w:rPr>
            </w:pPr>
          </w:p>
        </w:tc>
        <w:tc>
          <w:tcPr>
            <w:tcW w:w="1461" w:type="dxa"/>
            <w:shd w:val="clear" w:color="auto" w:fill="auto"/>
            <w:noWrap/>
            <w:vAlign w:val="center"/>
            <w:hideMark/>
          </w:tcPr>
          <w:p w14:paraId="185581BA" w14:textId="77777777" w:rsidR="000F0490" w:rsidRPr="009F7CC9" w:rsidRDefault="000F5B51" w:rsidP="007550E2">
            <w:pPr>
              <w:spacing w:after="0" w:line="240" w:lineRule="auto"/>
              <w:jc w:val="center"/>
              <w:rPr>
                <w:rFonts w:eastAsia="Times New Roman" w:cs="Times New Roman"/>
                <w:color w:val="000000"/>
                <w:szCs w:val="24"/>
              </w:rPr>
            </w:pPr>
            <w:r w:rsidRPr="009F7CC9">
              <w:rPr>
                <w:rFonts w:eastAsia="Times New Roman" w:cs="Times New Roman"/>
                <w:color w:val="000000"/>
                <w:szCs w:val="24"/>
              </w:rPr>
              <w:t>Front</w:t>
            </w:r>
          </w:p>
        </w:tc>
        <w:tc>
          <w:tcPr>
            <w:tcW w:w="1976" w:type="dxa"/>
            <w:shd w:val="clear" w:color="auto" w:fill="auto"/>
            <w:noWrap/>
          </w:tcPr>
          <w:p w14:paraId="235E8314" w14:textId="77777777" w:rsidR="000F0490" w:rsidRPr="009F7CC9" w:rsidRDefault="000F5B51" w:rsidP="007550E2">
            <w:pPr>
              <w:spacing w:after="0" w:line="240" w:lineRule="auto"/>
              <w:jc w:val="center"/>
              <w:rPr>
                <w:rFonts w:eastAsia="Times New Roman" w:cs="Times New Roman"/>
                <w:color w:val="000000"/>
                <w:szCs w:val="24"/>
              </w:rPr>
            </w:pPr>
            <w:r w:rsidRPr="00A7763F">
              <w:t>1</w:t>
            </w:r>
          </w:p>
        </w:tc>
        <w:tc>
          <w:tcPr>
            <w:tcW w:w="2234" w:type="dxa"/>
            <w:shd w:val="clear" w:color="auto" w:fill="auto"/>
            <w:noWrap/>
          </w:tcPr>
          <w:p w14:paraId="7BD76D2E" w14:textId="77777777" w:rsidR="000F0490" w:rsidRPr="009F7CC9" w:rsidRDefault="000F5B51" w:rsidP="007550E2">
            <w:pPr>
              <w:spacing w:after="0" w:line="240" w:lineRule="auto"/>
              <w:jc w:val="center"/>
              <w:rPr>
                <w:rFonts w:eastAsia="Times New Roman" w:cs="Times New Roman"/>
                <w:color w:val="000000"/>
                <w:szCs w:val="24"/>
              </w:rPr>
            </w:pPr>
            <w:r w:rsidRPr="00A7763F">
              <w:t>2</w:t>
            </w:r>
          </w:p>
        </w:tc>
        <w:tc>
          <w:tcPr>
            <w:tcW w:w="2234" w:type="dxa"/>
          </w:tcPr>
          <w:p w14:paraId="12847287" w14:textId="77777777" w:rsidR="000F0490" w:rsidRPr="00A7763F" w:rsidRDefault="000F5B51" w:rsidP="007550E2">
            <w:pPr>
              <w:spacing w:after="0" w:line="240" w:lineRule="auto"/>
              <w:jc w:val="center"/>
            </w:pPr>
            <w:r>
              <w:t>3</w:t>
            </w:r>
          </w:p>
        </w:tc>
      </w:tr>
      <w:tr w:rsidR="00A15C2C" w14:paraId="043E4DF8" w14:textId="77777777" w:rsidTr="007550E2">
        <w:trPr>
          <w:trHeight w:val="260"/>
          <w:jc w:val="center"/>
        </w:trPr>
        <w:tc>
          <w:tcPr>
            <w:tcW w:w="1714" w:type="dxa"/>
            <w:vMerge/>
            <w:shd w:val="clear" w:color="auto" w:fill="auto"/>
            <w:noWrap/>
            <w:vAlign w:val="center"/>
            <w:hideMark/>
          </w:tcPr>
          <w:p w14:paraId="3A9B2C17" w14:textId="77777777" w:rsidR="000F0490" w:rsidRPr="009F7CC9" w:rsidRDefault="000F0490" w:rsidP="007550E2">
            <w:pPr>
              <w:spacing w:after="0" w:line="240" w:lineRule="auto"/>
              <w:rPr>
                <w:rFonts w:eastAsia="Times New Roman" w:cs="Times New Roman"/>
                <w:szCs w:val="24"/>
              </w:rPr>
            </w:pPr>
          </w:p>
        </w:tc>
        <w:tc>
          <w:tcPr>
            <w:tcW w:w="1461" w:type="dxa"/>
            <w:shd w:val="clear" w:color="auto" w:fill="auto"/>
            <w:noWrap/>
            <w:vAlign w:val="center"/>
            <w:hideMark/>
          </w:tcPr>
          <w:p w14:paraId="6DF74C63" w14:textId="77777777" w:rsidR="000F0490" w:rsidRPr="009F7CC9" w:rsidRDefault="000F5B51" w:rsidP="007550E2">
            <w:pPr>
              <w:spacing w:after="0" w:line="240" w:lineRule="auto"/>
              <w:jc w:val="center"/>
              <w:rPr>
                <w:rFonts w:eastAsia="Times New Roman" w:cs="Times New Roman"/>
                <w:color w:val="000000"/>
                <w:szCs w:val="24"/>
              </w:rPr>
            </w:pPr>
            <w:r w:rsidRPr="009F7CC9">
              <w:rPr>
                <w:rFonts w:eastAsia="Times New Roman" w:cs="Times New Roman"/>
                <w:color w:val="000000"/>
                <w:szCs w:val="24"/>
              </w:rPr>
              <w:t>Side</w:t>
            </w:r>
          </w:p>
        </w:tc>
        <w:tc>
          <w:tcPr>
            <w:tcW w:w="1976" w:type="dxa"/>
            <w:shd w:val="clear" w:color="auto" w:fill="auto"/>
            <w:noWrap/>
          </w:tcPr>
          <w:p w14:paraId="433A7098" w14:textId="77777777" w:rsidR="000F0490" w:rsidRPr="009F7CC9" w:rsidRDefault="000F5B51" w:rsidP="007550E2">
            <w:pPr>
              <w:spacing w:after="0" w:line="240" w:lineRule="auto"/>
              <w:jc w:val="center"/>
              <w:rPr>
                <w:rFonts w:eastAsia="Times New Roman" w:cs="Times New Roman"/>
                <w:color w:val="000000"/>
                <w:szCs w:val="24"/>
              </w:rPr>
            </w:pPr>
            <w:r w:rsidRPr="00A7763F">
              <w:t>1</w:t>
            </w:r>
          </w:p>
        </w:tc>
        <w:tc>
          <w:tcPr>
            <w:tcW w:w="2234" w:type="dxa"/>
            <w:shd w:val="clear" w:color="auto" w:fill="auto"/>
            <w:noWrap/>
          </w:tcPr>
          <w:p w14:paraId="33FE5029" w14:textId="77777777" w:rsidR="000F0490" w:rsidRPr="009F7CC9" w:rsidRDefault="000F5B51" w:rsidP="007550E2">
            <w:pPr>
              <w:spacing w:after="0" w:line="240" w:lineRule="auto"/>
              <w:jc w:val="center"/>
              <w:rPr>
                <w:rFonts w:eastAsia="Times New Roman" w:cs="Times New Roman"/>
                <w:color w:val="000000"/>
                <w:szCs w:val="24"/>
              </w:rPr>
            </w:pPr>
            <w:r w:rsidRPr="00A7763F">
              <w:t>1</w:t>
            </w:r>
          </w:p>
        </w:tc>
        <w:tc>
          <w:tcPr>
            <w:tcW w:w="2234" w:type="dxa"/>
          </w:tcPr>
          <w:p w14:paraId="3E55FFAC" w14:textId="77777777" w:rsidR="000F0490" w:rsidRPr="00A7763F" w:rsidRDefault="000F5B51" w:rsidP="007550E2">
            <w:pPr>
              <w:spacing w:after="0" w:line="240" w:lineRule="auto"/>
              <w:jc w:val="center"/>
            </w:pPr>
            <w:r>
              <w:t>1</w:t>
            </w:r>
          </w:p>
        </w:tc>
      </w:tr>
      <w:tr w:rsidR="00A15C2C" w14:paraId="103CA14A" w14:textId="77777777" w:rsidTr="007550E2">
        <w:trPr>
          <w:trHeight w:val="260"/>
          <w:jc w:val="center"/>
        </w:trPr>
        <w:tc>
          <w:tcPr>
            <w:tcW w:w="1714" w:type="dxa"/>
            <w:vMerge/>
            <w:shd w:val="clear" w:color="auto" w:fill="auto"/>
            <w:noWrap/>
            <w:vAlign w:val="center"/>
            <w:hideMark/>
          </w:tcPr>
          <w:p w14:paraId="6541C675" w14:textId="77777777" w:rsidR="000F0490" w:rsidRPr="009F7CC9" w:rsidRDefault="000F0490" w:rsidP="007550E2">
            <w:pPr>
              <w:spacing w:after="0" w:line="240" w:lineRule="auto"/>
              <w:rPr>
                <w:rFonts w:eastAsia="Times New Roman" w:cs="Times New Roman"/>
                <w:szCs w:val="24"/>
              </w:rPr>
            </w:pPr>
          </w:p>
        </w:tc>
        <w:tc>
          <w:tcPr>
            <w:tcW w:w="1461" w:type="dxa"/>
            <w:shd w:val="clear" w:color="auto" w:fill="auto"/>
            <w:noWrap/>
            <w:vAlign w:val="center"/>
            <w:hideMark/>
          </w:tcPr>
          <w:p w14:paraId="27676C85" w14:textId="77777777" w:rsidR="000F0490" w:rsidRPr="009F7CC9" w:rsidRDefault="000F5B51" w:rsidP="007550E2">
            <w:pPr>
              <w:spacing w:after="0" w:line="240" w:lineRule="auto"/>
              <w:jc w:val="center"/>
              <w:rPr>
                <w:rFonts w:eastAsia="Times New Roman" w:cs="Times New Roman"/>
                <w:color w:val="000000"/>
                <w:szCs w:val="24"/>
              </w:rPr>
            </w:pPr>
            <w:r w:rsidRPr="009F7CC9">
              <w:rPr>
                <w:rFonts w:eastAsia="Times New Roman" w:cs="Times New Roman"/>
                <w:color w:val="000000"/>
                <w:szCs w:val="24"/>
              </w:rPr>
              <w:t>Rear</w:t>
            </w:r>
          </w:p>
        </w:tc>
        <w:tc>
          <w:tcPr>
            <w:tcW w:w="1976" w:type="dxa"/>
            <w:shd w:val="clear" w:color="auto" w:fill="auto"/>
            <w:noWrap/>
          </w:tcPr>
          <w:p w14:paraId="45BAE104" w14:textId="77777777" w:rsidR="000F0490" w:rsidRPr="009F7CC9" w:rsidRDefault="000F5B51" w:rsidP="007550E2">
            <w:pPr>
              <w:spacing w:after="0" w:line="240" w:lineRule="auto"/>
              <w:jc w:val="center"/>
              <w:rPr>
                <w:rFonts w:eastAsia="Times New Roman" w:cs="Times New Roman"/>
                <w:color w:val="000000"/>
                <w:szCs w:val="24"/>
              </w:rPr>
            </w:pPr>
            <w:r w:rsidRPr="00A7763F">
              <w:t>0</w:t>
            </w:r>
          </w:p>
        </w:tc>
        <w:tc>
          <w:tcPr>
            <w:tcW w:w="2234" w:type="dxa"/>
            <w:shd w:val="clear" w:color="auto" w:fill="auto"/>
            <w:noWrap/>
          </w:tcPr>
          <w:p w14:paraId="2D5720DC" w14:textId="77777777" w:rsidR="000F0490" w:rsidRPr="009F7CC9" w:rsidRDefault="000F5B51" w:rsidP="007550E2">
            <w:pPr>
              <w:spacing w:after="0" w:line="240" w:lineRule="auto"/>
              <w:jc w:val="center"/>
              <w:rPr>
                <w:rFonts w:eastAsia="Times New Roman" w:cs="Times New Roman"/>
                <w:color w:val="000000"/>
                <w:szCs w:val="24"/>
              </w:rPr>
            </w:pPr>
            <w:r w:rsidRPr="00A7763F">
              <w:t>1</w:t>
            </w:r>
          </w:p>
        </w:tc>
        <w:tc>
          <w:tcPr>
            <w:tcW w:w="2234" w:type="dxa"/>
          </w:tcPr>
          <w:p w14:paraId="02945990" w14:textId="77777777" w:rsidR="000F0490" w:rsidRPr="00A7763F" w:rsidRDefault="000F5B51" w:rsidP="007550E2">
            <w:pPr>
              <w:spacing w:after="0" w:line="240" w:lineRule="auto"/>
              <w:jc w:val="center"/>
            </w:pPr>
            <w:r>
              <w:t>1</w:t>
            </w:r>
          </w:p>
        </w:tc>
      </w:tr>
      <w:tr w:rsidR="00A15C2C" w14:paraId="590DB5BF" w14:textId="77777777" w:rsidTr="007550E2">
        <w:trPr>
          <w:trHeight w:val="260"/>
          <w:jc w:val="center"/>
        </w:trPr>
        <w:tc>
          <w:tcPr>
            <w:tcW w:w="1714" w:type="dxa"/>
            <w:vMerge/>
            <w:shd w:val="clear" w:color="auto" w:fill="auto"/>
            <w:noWrap/>
            <w:vAlign w:val="center"/>
          </w:tcPr>
          <w:p w14:paraId="01043B4D" w14:textId="77777777" w:rsidR="000F0490" w:rsidRPr="009F7CC9" w:rsidRDefault="000F0490" w:rsidP="007550E2">
            <w:pPr>
              <w:spacing w:after="0" w:line="240" w:lineRule="auto"/>
              <w:rPr>
                <w:rFonts w:eastAsia="Times New Roman" w:cs="Times New Roman"/>
                <w:szCs w:val="24"/>
              </w:rPr>
            </w:pPr>
          </w:p>
        </w:tc>
        <w:tc>
          <w:tcPr>
            <w:tcW w:w="1461" w:type="dxa"/>
            <w:shd w:val="clear" w:color="auto" w:fill="auto"/>
            <w:noWrap/>
            <w:vAlign w:val="center"/>
          </w:tcPr>
          <w:p w14:paraId="1A63B1EC" w14:textId="77777777" w:rsidR="000F0490" w:rsidRPr="006C645B" w:rsidRDefault="000F5B51" w:rsidP="007550E2">
            <w:pPr>
              <w:spacing w:after="0" w:line="240" w:lineRule="auto"/>
              <w:jc w:val="center"/>
              <w:rPr>
                <w:rFonts w:eastAsia="Times New Roman" w:cs="Times New Roman"/>
                <w:b/>
                <w:bCs/>
                <w:color w:val="000000"/>
                <w:szCs w:val="24"/>
              </w:rPr>
            </w:pPr>
            <w:r w:rsidRPr="006C645B">
              <w:rPr>
                <w:rFonts w:eastAsia="Times New Roman" w:cs="Times New Roman"/>
                <w:b/>
                <w:bCs/>
                <w:color w:val="000000"/>
                <w:szCs w:val="24"/>
              </w:rPr>
              <w:t>Total</w:t>
            </w:r>
          </w:p>
        </w:tc>
        <w:tc>
          <w:tcPr>
            <w:tcW w:w="1976" w:type="dxa"/>
            <w:shd w:val="clear" w:color="auto" w:fill="auto"/>
            <w:noWrap/>
          </w:tcPr>
          <w:p w14:paraId="7DAD6002" w14:textId="77777777" w:rsidR="000F0490" w:rsidRPr="002F2E1D" w:rsidRDefault="000F5B51" w:rsidP="007550E2">
            <w:pPr>
              <w:spacing w:after="0" w:line="240" w:lineRule="auto"/>
              <w:jc w:val="center"/>
              <w:rPr>
                <w:b/>
                <w:bCs/>
              </w:rPr>
            </w:pPr>
            <w:r w:rsidRPr="002F2E1D">
              <w:rPr>
                <w:b/>
                <w:bCs/>
              </w:rPr>
              <w:t>2</w:t>
            </w:r>
          </w:p>
        </w:tc>
        <w:tc>
          <w:tcPr>
            <w:tcW w:w="2234" w:type="dxa"/>
            <w:shd w:val="clear" w:color="auto" w:fill="auto"/>
            <w:noWrap/>
          </w:tcPr>
          <w:p w14:paraId="7F4917AF" w14:textId="77777777" w:rsidR="000F0490" w:rsidRPr="002F2E1D" w:rsidRDefault="000F5B51" w:rsidP="007550E2">
            <w:pPr>
              <w:spacing w:after="0" w:line="240" w:lineRule="auto"/>
              <w:jc w:val="center"/>
              <w:rPr>
                <w:b/>
                <w:bCs/>
              </w:rPr>
            </w:pPr>
            <w:r w:rsidRPr="002F2E1D">
              <w:rPr>
                <w:b/>
                <w:bCs/>
              </w:rPr>
              <w:t>3</w:t>
            </w:r>
          </w:p>
        </w:tc>
        <w:tc>
          <w:tcPr>
            <w:tcW w:w="2234" w:type="dxa"/>
          </w:tcPr>
          <w:p w14:paraId="321E8CD6" w14:textId="77777777" w:rsidR="000F0490" w:rsidRPr="002F2E1D" w:rsidRDefault="000F5B51" w:rsidP="007550E2">
            <w:pPr>
              <w:spacing w:after="0" w:line="240" w:lineRule="auto"/>
              <w:jc w:val="center"/>
              <w:rPr>
                <w:b/>
                <w:bCs/>
              </w:rPr>
            </w:pPr>
            <w:r w:rsidRPr="002F2E1D">
              <w:rPr>
                <w:b/>
                <w:bCs/>
              </w:rPr>
              <w:t>6</w:t>
            </w:r>
          </w:p>
        </w:tc>
      </w:tr>
      <w:tr w:rsidR="00A15C2C" w14:paraId="12BF4151" w14:textId="77777777" w:rsidTr="007550E2">
        <w:trPr>
          <w:trHeight w:val="260"/>
          <w:jc w:val="center"/>
        </w:trPr>
        <w:tc>
          <w:tcPr>
            <w:tcW w:w="1714" w:type="dxa"/>
            <w:vMerge w:val="restart"/>
            <w:shd w:val="clear" w:color="auto" w:fill="auto"/>
            <w:noWrap/>
            <w:vAlign w:val="center"/>
            <w:hideMark/>
          </w:tcPr>
          <w:p w14:paraId="7E024F94" w14:textId="77777777" w:rsidR="000F0490" w:rsidRPr="009F7CC9" w:rsidRDefault="000F5B51" w:rsidP="007550E2">
            <w:pPr>
              <w:spacing w:after="0" w:line="240" w:lineRule="auto"/>
              <w:rPr>
                <w:rFonts w:eastAsia="Times New Roman" w:cs="Times New Roman"/>
                <w:b/>
                <w:bCs/>
                <w:color w:val="000000"/>
                <w:szCs w:val="24"/>
              </w:rPr>
            </w:pPr>
            <w:r w:rsidRPr="009F7CC9">
              <w:rPr>
                <w:rFonts w:eastAsia="Times New Roman" w:cs="Times New Roman"/>
                <w:b/>
                <w:bCs/>
                <w:color w:val="000000"/>
                <w:szCs w:val="24"/>
              </w:rPr>
              <w:t>LTV</w:t>
            </w:r>
          </w:p>
        </w:tc>
        <w:tc>
          <w:tcPr>
            <w:tcW w:w="1461" w:type="dxa"/>
            <w:shd w:val="clear" w:color="auto" w:fill="auto"/>
            <w:noWrap/>
            <w:vAlign w:val="center"/>
            <w:hideMark/>
          </w:tcPr>
          <w:p w14:paraId="39B3CFE3" w14:textId="77777777" w:rsidR="000F0490" w:rsidRPr="009F7CC9" w:rsidRDefault="000F5B51" w:rsidP="007550E2">
            <w:pPr>
              <w:spacing w:after="0" w:line="240" w:lineRule="auto"/>
              <w:jc w:val="center"/>
              <w:rPr>
                <w:rFonts w:eastAsia="Times New Roman" w:cs="Times New Roman"/>
                <w:color w:val="000000"/>
                <w:szCs w:val="24"/>
              </w:rPr>
            </w:pPr>
            <w:r w:rsidRPr="009F7CC9">
              <w:rPr>
                <w:rFonts w:eastAsia="Times New Roman" w:cs="Times New Roman"/>
                <w:color w:val="000000"/>
                <w:szCs w:val="24"/>
              </w:rPr>
              <w:t>Rollover</w:t>
            </w:r>
          </w:p>
        </w:tc>
        <w:tc>
          <w:tcPr>
            <w:tcW w:w="1976" w:type="dxa"/>
            <w:shd w:val="clear" w:color="auto" w:fill="auto"/>
            <w:noWrap/>
          </w:tcPr>
          <w:p w14:paraId="423AF954" w14:textId="77777777" w:rsidR="000F0490" w:rsidRPr="009F7CC9" w:rsidRDefault="000F5B51" w:rsidP="007550E2">
            <w:pPr>
              <w:spacing w:after="0" w:line="240" w:lineRule="auto"/>
              <w:jc w:val="center"/>
              <w:rPr>
                <w:rFonts w:eastAsia="Times New Roman" w:cs="Times New Roman"/>
                <w:color w:val="000000"/>
                <w:szCs w:val="24"/>
              </w:rPr>
            </w:pPr>
            <w:r w:rsidRPr="00BE35EF">
              <w:t>1</w:t>
            </w:r>
          </w:p>
        </w:tc>
        <w:tc>
          <w:tcPr>
            <w:tcW w:w="2234" w:type="dxa"/>
            <w:shd w:val="clear" w:color="auto" w:fill="auto"/>
            <w:noWrap/>
          </w:tcPr>
          <w:p w14:paraId="6B7BD864" w14:textId="77777777" w:rsidR="000F0490" w:rsidRPr="009F7CC9" w:rsidRDefault="000F5B51" w:rsidP="007550E2">
            <w:pPr>
              <w:spacing w:after="0" w:line="240" w:lineRule="auto"/>
              <w:jc w:val="center"/>
              <w:rPr>
                <w:rFonts w:eastAsia="Times New Roman" w:cs="Times New Roman"/>
                <w:color w:val="000000"/>
                <w:szCs w:val="24"/>
              </w:rPr>
            </w:pPr>
            <w:r w:rsidRPr="00BE35EF">
              <w:t>12</w:t>
            </w:r>
          </w:p>
        </w:tc>
        <w:tc>
          <w:tcPr>
            <w:tcW w:w="2234" w:type="dxa"/>
          </w:tcPr>
          <w:p w14:paraId="09295C1C" w14:textId="77777777" w:rsidR="000F0490" w:rsidRPr="00BE35EF" w:rsidRDefault="000F5B51" w:rsidP="007550E2">
            <w:pPr>
              <w:spacing w:after="0" w:line="240" w:lineRule="auto"/>
              <w:jc w:val="center"/>
            </w:pPr>
            <w:r>
              <w:t>13</w:t>
            </w:r>
          </w:p>
        </w:tc>
      </w:tr>
      <w:tr w:rsidR="00A15C2C" w14:paraId="566E1FA8" w14:textId="77777777" w:rsidTr="007550E2">
        <w:trPr>
          <w:trHeight w:val="260"/>
          <w:jc w:val="center"/>
        </w:trPr>
        <w:tc>
          <w:tcPr>
            <w:tcW w:w="1714" w:type="dxa"/>
            <w:vMerge/>
            <w:shd w:val="clear" w:color="auto" w:fill="auto"/>
            <w:noWrap/>
            <w:vAlign w:val="center"/>
            <w:hideMark/>
          </w:tcPr>
          <w:p w14:paraId="4E397B2B" w14:textId="77777777" w:rsidR="000F0490" w:rsidRPr="009F7CC9" w:rsidRDefault="000F0490" w:rsidP="007550E2">
            <w:pPr>
              <w:spacing w:after="0" w:line="240" w:lineRule="auto"/>
              <w:rPr>
                <w:rFonts w:eastAsia="Times New Roman" w:cs="Times New Roman"/>
                <w:szCs w:val="24"/>
              </w:rPr>
            </w:pPr>
          </w:p>
        </w:tc>
        <w:tc>
          <w:tcPr>
            <w:tcW w:w="1461" w:type="dxa"/>
            <w:shd w:val="clear" w:color="auto" w:fill="auto"/>
            <w:noWrap/>
            <w:vAlign w:val="center"/>
            <w:hideMark/>
          </w:tcPr>
          <w:p w14:paraId="0E370A0C" w14:textId="77777777" w:rsidR="000F0490" w:rsidRPr="009F7CC9" w:rsidRDefault="000F5B51" w:rsidP="007550E2">
            <w:pPr>
              <w:spacing w:after="0" w:line="240" w:lineRule="auto"/>
              <w:jc w:val="center"/>
              <w:rPr>
                <w:rFonts w:eastAsia="Times New Roman" w:cs="Times New Roman"/>
                <w:color w:val="000000"/>
                <w:szCs w:val="24"/>
              </w:rPr>
            </w:pPr>
            <w:r w:rsidRPr="009F7CC9">
              <w:rPr>
                <w:rFonts w:eastAsia="Times New Roman" w:cs="Times New Roman"/>
                <w:color w:val="000000"/>
                <w:szCs w:val="24"/>
              </w:rPr>
              <w:t>Front</w:t>
            </w:r>
          </w:p>
        </w:tc>
        <w:tc>
          <w:tcPr>
            <w:tcW w:w="1976" w:type="dxa"/>
            <w:shd w:val="clear" w:color="auto" w:fill="auto"/>
            <w:noWrap/>
          </w:tcPr>
          <w:p w14:paraId="708937A3" w14:textId="77777777" w:rsidR="000F0490" w:rsidRPr="009F7CC9" w:rsidRDefault="000F5B51" w:rsidP="007550E2">
            <w:pPr>
              <w:spacing w:after="0" w:line="240" w:lineRule="auto"/>
              <w:jc w:val="center"/>
              <w:rPr>
                <w:rFonts w:eastAsia="Times New Roman" w:cs="Times New Roman"/>
                <w:color w:val="000000"/>
                <w:szCs w:val="24"/>
              </w:rPr>
            </w:pPr>
            <w:r w:rsidRPr="00BE35EF">
              <w:t>2</w:t>
            </w:r>
          </w:p>
        </w:tc>
        <w:tc>
          <w:tcPr>
            <w:tcW w:w="2234" w:type="dxa"/>
            <w:shd w:val="clear" w:color="auto" w:fill="auto"/>
            <w:noWrap/>
          </w:tcPr>
          <w:p w14:paraId="5B285AC7" w14:textId="77777777" w:rsidR="000F0490" w:rsidRPr="009F7CC9" w:rsidRDefault="000F5B51" w:rsidP="007550E2">
            <w:pPr>
              <w:spacing w:after="0" w:line="240" w:lineRule="auto"/>
              <w:jc w:val="center"/>
              <w:rPr>
                <w:rFonts w:eastAsia="Times New Roman" w:cs="Times New Roman"/>
                <w:color w:val="000000"/>
                <w:szCs w:val="24"/>
              </w:rPr>
            </w:pPr>
            <w:r w:rsidRPr="00BE35EF">
              <w:t>9</w:t>
            </w:r>
          </w:p>
        </w:tc>
        <w:tc>
          <w:tcPr>
            <w:tcW w:w="2234" w:type="dxa"/>
          </w:tcPr>
          <w:p w14:paraId="362F7A28" w14:textId="77777777" w:rsidR="000F0490" w:rsidRPr="00BE35EF" w:rsidRDefault="000F5B51" w:rsidP="007550E2">
            <w:pPr>
              <w:spacing w:after="0" w:line="240" w:lineRule="auto"/>
              <w:jc w:val="center"/>
            </w:pPr>
            <w:r>
              <w:t>11</w:t>
            </w:r>
          </w:p>
        </w:tc>
      </w:tr>
      <w:tr w:rsidR="00A15C2C" w14:paraId="15C60570" w14:textId="77777777" w:rsidTr="007550E2">
        <w:trPr>
          <w:trHeight w:val="260"/>
          <w:jc w:val="center"/>
        </w:trPr>
        <w:tc>
          <w:tcPr>
            <w:tcW w:w="1714" w:type="dxa"/>
            <w:vMerge/>
            <w:shd w:val="clear" w:color="auto" w:fill="auto"/>
            <w:noWrap/>
            <w:vAlign w:val="center"/>
            <w:hideMark/>
          </w:tcPr>
          <w:p w14:paraId="59C142AD" w14:textId="77777777" w:rsidR="000F0490" w:rsidRPr="009F7CC9" w:rsidRDefault="000F0490" w:rsidP="007550E2">
            <w:pPr>
              <w:spacing w:after="0" w:line="240" w:lineRule="auto"/>
              <w:rPr>
                <w:rFonts w:eastAsia="Times New Roman" w:cs="Times New Roman"/>
                <w:szCs w:val="24"/>
              </w:rPr>
            </w:pPr>
          </w:p>
        </w:tc>
        <w:tc>
          <w:tcPr>
            <w:tcW w:w="1461" w:type="dxa"/>
            <w:shd w:val="clear" w:color="auto" w:fill="auto"/>
            <w:noWrap/>
            <w:vAlign w:val="center"/>
            <w:hideMark/>
          </w:tcPr>
          <w:p w14:paraId="6627CE19" w14:textId="77777777" w:rsidR="000F0490" w:rsidRPr="009F7CC9" w:rsidRDefault="000F5B51" w:rsidP="007550E2">
            <w:pPr>
              <w:spacing w:after="0" w:line="240" w:lineRule="auto"/>
              <w:jc w:val="center"/>
              <w:rPr>
                <w:rFonts w:eastAsia="Times New Roman" w:cs="Times New Roman"/>
                <w:color w:val="000000"/>
                <w:szCs w:val="24"/>
              </w:rPr>
            </w:pPr>
            <w:r w:rsidRPr="009F7CC9">
              <w:rPr>
                <w:rFonts w:eastAsia="Times New Roman" w:cs="Times New Roman"/>
                <w:color w:val="000000"/>
                <w:szCs w:val="24"/>
              </w:rPr>
              <w:t>Side</w:t>
            </w:r>
          </w:p>
        </w:tc>
        <w:tc>
          <w:tcPr>
            <w:tcW w:w="1976" w:type="dxa"/>
            <w:shd w:val="clear" w:color="auto" w:fill="auto"/>
            <w:noWrap/>
          </w:tcPr>
          <w:p w14:paraId="201A7A76" w14:textId="77777777" w:rsidR="000F0490" w:rsidRPr="009F7CC9" w:rsidRDefault="000F5B51" w:rsidP="007550E2">
            <w:pPr>
              <w:spacing w:after="0" w:line="240" w:lineRule="auto"/>
              <w:jc w:val="center"/>
              <w:rPr>
                <w:rFonts w:eastAsia="Times New Roman" w:cs="Times New Roman"/>
                <w:color w:val="000000"/>
                <w:szCs w:val="24"/>
              </w:rPr>
            </w:pPr>
            <w:r w:rsidRPr="00BE35EF">
              <w:t>1</w:t>
            </w:r>
          </w:p>
        </w:tc>
        <w:tc>
          <w:tcPr>
            <w:tcW w:w="2234" w:type="dxa"/>
            <w:shd w:val="clear" w:color="auto" w:fill="auto"/>
            <w:noWrap/>
          </w:tcPr>
          <w:p w14:paraId="32D8D17E" w14:textId="77777777" w:rsidR="000F0490" w:rsidRPr="009F7CC9" w:rsidRDefault="000F5B51" w:rsidP="007550E2">
            <w:pPr>
              <w:spacing w:after="0" w:line="240" w:lineRule="auto"/>
              <w:jc w:val="center"/>
              <w:rPr>
                <w:rFonts w:eastAsia="Times New Roman" w:cs="Times New Roman"/>
                <w:color w:val="000000"/>
                <w:szCs w:val="24"/>
              </w:rPr>
            </w:pPr>
            <w:r w:rsidRPr="00BE35EF">
              <w:t>2</w:t>
            </w:r>
          </w:p>
        </w:tc>
        <w:tc>
          <w:tcPr>
            <w:tcW w:w="2234" w:type="dxa"/>
          </w:tcPr>
          <w:p w14:paraId="42E99355" w14:textId="77777777" w:rsidR="000F0490" w:rsidRPr="00BE35EF" w:rsidRDefault="000F5B51" w:rsidP="007550E2">
            <w:pPr>
              <w:spacing w:after="0" w:line="240" w:lineRule="auto"/>
              <w:jc w:val="center"/>
            </w:pPr>
            <w:r>
              <w:t>3</w:t>
            </w:r>
          </w:p>
        </w:tc>
      </w:tr>
      <w:tr w:rsidR="00A15C2C" w14:paraId="203F9F20" w14:textId="77777777" w:rsidTr="007550E2">
        <w:trPr>
          <w:trHeight w:val="260"/>
          <w:jc w:val="center"/>
        </w:trPr>
        <w:tc>
          <w:tcPr>
            <w:tcW w:w="1714" w:type="dxa"/>
            <w:vMerge/>
            <w:shd w:val="clear" w:color="auto" w:fill="auto"/>
            <w:noWrap/>
            <w:vAlign w:val="center"/>
            <w:hideMark/>
          </w:tcPr>
          <w:p w14:paraId="68CB6031" w14:textId="77777777" w:rsidR="000F0490" w:rsidRPr="009F7CC9" w:rsidRDefault="000F0490" w:rsidP="007550E2">
            <w:pPr>
              <w:spacing w:after="0" w:line="240" w:lineRule="auto"/>
              <w:rPr>
                <w:rFonts w:eastAsia="Times New Roman" w:cs="Times New Roman"/>
                <w:szCs w:val="24"/>
              </w:rPr>
            </w:pPr>
          </w:p>
        </w:tc>
        <w:tc>
          <w:tcPr>
            <w:tcW w:w="1461" w:type="dxa"/>
            <w:shd w:val="clear" w:color="auto" w:fill="auto"/>
            <w:noWrap/>
            <w:vAlign w:val="center"/>
            <w:hideMark/>
          </w:tcPr>
          <w:p w14:paraId="5D363514" w14:textId="77777777" w:rsidR="000F0490" w:rsidRPr="009F7CC9" w:rsidRDefault="000F5B51" w:rsidP="007550E2">
            <w:pPr>
              <w:spacing w:after="0" w:line="240" w:lineRule="auto"/>
              <w:jc w:val="center"/>
              <w:rPr>
                <w:rFonts w:eastAsia="Times New Roman" w:cs="Times New Roman"/>
                <w:color w:val="000000"/>
                <w:szCs w:val="24"/>
              </w:rPr>
            </w:pPr>
            <w:r w:rsidRPr="009F7CC9">
              <w:rPr>
                <w:rFonts w:eastAsia="Times New Roman" w:cs="Times New Roman"/>
                <w:color w:val="000000"/>
                <w:szCs w:val="24"/>
              </w:rPr>
              <w:t>Rear</w:t>
            </w:r>
          </w:p>
        </w:tc>
        <w:tc>
          <w:tcPr>
            <w:tcW w:w="1976" w:type="dxa"/>
            <w:shd w:val="clear" w:color="auto" w:fill="auto"/>
            <w:noWrap/>
          </w:tcPr>
          <w:p w14:paraId="039F3515" w14:textId="77777777" w:rsidR="000F0490" w:rsidRPr="009F7CC9" w:rsidRDefault="000F5B51" w:rsidP="007550E2">
            <w:pPr>
              <w:spacing w:after="0" w:line="240" w:lineRule="auto"/>
              <w:jc w:val="center"/>
              <w:rPr>
                <w:rFonts w:eastAsia="Times New Roman" w:cs="Times New Roman"/>
                <w:color w:val="000000"/>
                <w:szCs w:val="24"/>
              </w:rPr>
            </w:pPr>
            <w:r w:rsidRPr="00BE35EF">
              <w:t>0</w:t>
            </w:r>
          </w:p>
        </w:tc>
        <w:tc>
          <w:tcPr>
            <w:tcW w:w="2234" w:type="dxa"/>
            <w:shd w:val="clear" w:color="auto" w:fill="auto"/>
            <w:noWrap/>
          </w:tcPr>
          <w:p w14:paraId="0DC420ED" w14:textId="77777777" w:rsidR="000F0490" w:rsidRPr="009F7CC9" w:rsidRDefault="000F5B51" w:rsidP="007550E2">
            <w:pPr>
              <w:spacing w:after="0" w:line="240" w:lineRule="auto"/>
              <w:jc w:val="center"/>
              <w:rPr>
                <w:rFonts w:eastAsia="Times New Roman" w:cs="Times New Roman"/>
                <w:color w:val="000000"/>
                <w:szCs w:val="24"/>
              </w:rPr>
            </w:pPr>
            <w:r w:rsidRPr="00BE35EF">
              <w:t>1</w:t>
            </w:r>
          </w:p>
        </w:tc>
        <w:tc>
          <w:tcPr>
            <w:tcW w:w="2234" w:type="dxa"/>
          </w:tcPr>
          <w:p w14:paraId="382FE3B6" w14:textId="77777777" w:rsidR="000F0490" w:rsidRPr="00BE35EF" w:rsidRDefault="000F5B51" w:rsidP="007550E2">
            <w:pPr>
              <w:spacing w:after="0" w:line="240" w:lineRule="auto"/>
              <w:jc w:val="center"/>
            </w:pPr>
            <w:r>
              <w:t>1</w:t>
            </w:r>
          </w:p>
        </w:tc>
      </w:tr>
      <w:tr w:rsidR="00A15C2C" w14:paraId="7C17F0C4" w14:textId="77777777" w:rsidTr="007550E2">
        <w:trPr>
          <w:trHeight w:val="260"/>
          <w:jc w:val="center"/>
        </w:trPr>
        <w:tc>
          <w:tcPr>
            <w:tcW w:w="1714" w:type="dxa"/>
            <w:vMerge/>
            <w:shd w:val="clear" w:color="auto" w:fill="auto"/>
            <w:noWrap/>
            <w:vAlign w:val="center"/>
          </w:tcPr>
          <w:p w14:paraId="43C85894" w14:textId="77777777" w:rsidR="000F0490" w:rsidRPr="009F7CC9" w:rsidRDefault="000F0490" w:rsidP="007550E2">
            <w:pPr>
              <w:spacing w:after="0" w:line="240" w:lineRule="auto"/>
              <w:rPr>
                <w:rFonts w:eastAsia="Times New Roman" w:cs="Times New Roman"/>
                <w:szCs w:val="24"/>
              </w:rPr>
            </w:pPr>
          </w:p>
        </w:tc>
        <w:tc>
          <w:tcPr>
            <w:tcW w:w="1461" w:type="dxa"/>
            <w:shd w:val="clear" w:color="auto" w:fill="auto"/>
            <w:noWrap/>
            <w:vAlign w:val="center"/>
          </w:tcPr>
          <w:p w14:paraId="77FB0A51" w14:textId="77777777" w:rsidR="000F0490" w:rsidRPr="006C645B" w:rsidRDefault="000F5B51" w:rsidP="007550E2">
            <w:pPr>
              <w:spacing w:after="0" w:line="240" w:lineRule="auto"/>
              <w:jc w:val="center"/>
              <w:rPr>
                <w:rFonts w:eastAsia="Times New Roman" w:cs="Times New Roman"/>
                <w:b/>
                <w:bCs/>
                <w:color w:val="000000"/>
                <w:szCs w:val="24"/>
              </w:rPr>
            </w:pPr>
            <w:r w:rsidRPr="006C645B">
              <w:rPr>
                <w:rFonts w:eastAsia="Times New Roman" w:cs="Times New Roman"/>
                <w:b/>
                <w:bCs/>
                <w:color w:val="000000"/>
                <w:szCs w:val="24"/>
              </w:rPr>
              <w:t>Total</w:t>
            </w:r>
          </w:p>
        </w:tc>
        <w:tc>
          <w:tcPr>
            <w:tcW w:w="1976" w:type="dxa"/>
            <w:shd w:val="clear" w:color="auto" w:fill="auto"/>
            <w:noWrap/>
          </w:tcPr>
          <w:p w14:paraId="74C7BC7C" w14:textId="77777777" w:rsidR="000F0490" w:rsidRPr="002F2E1D" w:rsidRDefault="000F5B51" w:rsidP="007550E2">
            <w:pPr>
              <w:spacing w:after="0" w:line="240" w:lineRule="auto"/>
              <w:jc w:val="center"/>
              <w:rPr>
                <w:b/>
                <w:bCs/>
              </w:rPr>
            </w:pPr>
            <w:r w:rsidRPr="002F2E1D">
              <w:rPr>
                <w:b/>
                <w:bCs/>
              </w:rPr>
              <w:t>5</w:t>
            </w:r>
          </w:p>
        </w:tc>
        <w:tc>
          <w:tcPr>
            <w:tcW w:w="2234" w:type="dxa"/>
            <w:shd w:val="clear" w:color="auto" w:fill="auto"/>
            <w:noWrap/>
          </w:tcPr>
          <w:p w14:paraId="2D96D304" w14:textId="77777777" w:rsidR="000F0490" w:rsidRPr="002F2E1D" w:rsidRDefault="000F5B51" w:rsidP="007550E2">
            <w:pPr>
              <w:spacing w:after="0" w:line="240" w:lineRule="auto"/>
              <w:jc w:val="center"/>
              <w:rPr>
                <w:b/>
                <w:bCs/>
              </w:rPr>
            </w:pPr>
            <w:r w:rsidRPr="002F2E1D">
              <w:rPr>
                <w:b/>
                <w:bCs/>
              </w:rPr>
              <w:t>23</w:t>
            </w:r>
          </w:p>
        </w:tc>
        <w:tc>
          <w:tcPr>
            <w:tcW w:w="2234" w:type="dxa"/>
          </w:tcPr>
          <w:p w14:paraId="0E29FE92" w14:textId="77777777" w:rsidR="000F0490" w:rsidRPr="002F2E1D" w:rsidRDefault="000F5B51" w:rsidP="007550E2">
            <w:pPr>
              <w:spacing w:after="0" w:line="240" w:lineRule="auto"/>
              <w:jc w:val="center"/>
              <w:rPr>
                <w:b/>
                <w:bCs/>
              </w:rPr>
            </w:pPr>
            <w:r w:rsidRPr="002F2E1D">
              <w:rPr>
                <w:b/>
                <w:bCs/>
              </w:rPr>
              <w:t>28</w:t>
            </w:r>
          </w:p>
        </w:tc>
      </w:tr>
    </w:tbl>
    <w:p w14:paraId="3D7C8537" w14:textId="77777777" w:rsidR="000F0490" w:rsidRPr="00B85DFD" w:rsidRDefault="000F5B51" w:rsidP="000F0490">
      <w:pPr>
        <w:spacing w:after="0" w:line="240" w:lineRule="auto"/>
        <w:rPr>
          <w:sz w:val="18"/>
          <w:szCs w:val="18"/>
        </w:rPr>
      </w:pPr>
      <w:r>
        <w:rPr>
          <w:sz w:val="18"/>
          <w:szCs w:val="18"/>
        </w:rPr>
        <w:t xml:space="preserve">Note: Values may not sum due to rounding. Fatalities were rounded to the nearest whole number for presentation purposes. Unrounded numbers were carried through the benefits calculations. Fatalities in which the occupant’s seat belt status was unknown were distributed and the resulting estimates were then rounded to the nearest whole number. </w:t>
      </w:r>
    </w:p>
    <w:p w14:paraId="6D0F6C1D" w14:textId="77777777" w:rsidR="000F0490" w:rsidRDefault="000F0490" w:rsidP="000F0490">
      <w:pPr>
        <w:pStyle w:val="NoSpaceTimes"/>
      </w:pPr>
    </w:p>
    <w:p w14:paraId="03B38C46" w14:textId="5849CB20" w:rsidR="000F0490" w:rsidRDefault="000F5B51" w:rsidP="000F0490">
      <w:pPr>
        <w:spacing w:after="0"/>
        <w:contextualSpacing/>
        <w:rPr>
          <w:rFonts w:cs="Times New Roman"/>
          <w:szCs w:val="24"/>
        </w:rPr>
      </w:pPr>
      <w:r>
        <w:rPr>
          <w:rFonts w:eastAsia="Times New Roman" w:cs="Times New Roman"/>
          <w:color w:val="000000"/>
          <w:szCs w:val="24"/>
        </w:rPr>
        <w:t>Due to a lack of data, this analysis makes use of the injury-to-fatality ratios by injury severity as presented in</w:t>
      </w:r>
      <w:r w:rsidR="006939E4">
        <w:rPr>
          <w:rFonts w:eastAsia="Times New Roman" w:cs="Times New Roman"/>
          <w:color w:val="000000"/>
          <w:szCs w:val="24"/>
        </w:rPr>
        <w:t xml:space="preserve"> </w:t>
      </w:r>
      <w:r w:rsidR="006939E4">
        <w:rPr>
          <w:rFonts w:eastAsia="Times New Roman" w:cs="Times New Roman"/>
          <w:color w:val="000000"/>
          <w:szCs w:val="24"/>
        </w:rPr>
        <w:fldChar w:fldCharType="begin"/>
      </w:r>
      <w:r w:rsidR="006939E4">
        <w:rPr>
          <w:rFonts w:eastAsia="Times New Roman" w:cs="Times New Roman"/>
          <w:color w:val="000000"/>
          <w:szCs w:val="24"/>
        </w:rPr>
        <w:instrText xml:space="preserve"> REF _Ref126148536 \h </w:instrText>
      </w:r>
      <w:r w:rsidR="006939E4">
        <w:rPr>
          <w:rFonts w:eastAsia="Times New Roman" w:cs="Times New Roman"/>
          <w:color w:val="000000"/>
          <w:szCs w:val="24"/>
        </w:rPr>
      </w:r>
      <w:r w:rsidR="006939E4">
        <w:rPr>
          <w:rFonts w:eastAsia="Times New Roman" w:cs="Times New Roman"/>
          <w:color w:val="000000"/>
          <w:szCs w:val="24"/>
        </w:rPr>
        <w:fldChar w:fldCharType="separate"/>
      </w:r>
      <w:r w:rsidR="00A65CB3">
        <w:t xml:space="preserve">Table </w:t>
      </w:r>
      <w:r w:rsidR="00A65CB3">
        <w:rPr>
          <w:noProof/>
        </w:rPr>
        <w:t>24</w:t>
      </w:r>
      <w:r w:rsidR="006939E4">
        <w:rPr>
          <w:rFonts w:eastAsia="Times New Roman" w:cs="Times New Roman"/>
          <w:color w:val="000000"/>
          <w:szCs w:val="24"/>
        </w:rPr>
        <w:fldChar w:fldCharType="end"/>
      </w:r>
      <w:r w:rsidR="006939E4">
        <w:rPr>
          <w:rFonts w:eastAsia="Times New Roman" w:cs="Times New Roman"/>
          <w:color w:val="000000"/>
          <w:szCs w:val="24"/>
        </w:rPr>
        <w:t>.</w:t>
      </w:r>
      <w:r>
        <w:rPr>
          <w:rFonts w:eastAsia="Times New Roman" w:cs="Times New Roman"/>
          <w:color w:val="000000"/>
          <w:szCs w:val="24"/>
        </w:rPr>
        <w:t xml:space="preserve"> </w:t>
      </w:r>
      <w:r>
        <w:rPr>
          <w:rFonts w:cs="Times New Roman"/>
          <w:szCs w:val="24"/>
        </w:rPr>
        <w:t xml:space="preserve">In order to estimate the number of non-fatal injures for front center seat passengers, we apply the appropriate ratio by injury severity and vehicle type to the number of fatalities presented in </w:t>
      </w:r>
      <w:r>
        <w:rPr>
          <w:rFonts w:cs="Times New Roman"/>
          <w:szCs w:val="24"/>
        </w:rPr>
        <w:fldChar w:fldCharType="begin"/>
      </w:r>
      <w:r>
        <w:rPr>
          <w:rFonts w:cs="Times New Roman"/>
          <w:szCs w:val="24"/>
        </w:rPr>
        <w:instrText xml:space="preserve"> REF _Ref127974644 \h </w:instrText>
      </w:r>
      <w:r>
        <w:rPr>
          <w:rFonts w:cs="Times New Roman"/>
          <w:szCs w:val="24"/>
        </w:rPr>
      </w:r>
      <w:r>
        <w:rPr>
          <w:rFonts w:cs="Times New Roman"/>
          <w:szCs w:val="24"/>
        </w:rPr>
        <w:fldChar w:fldCharType="separate"/>
      </w:r>
      <w:r w:rsidR="00A65CB3">
        <w:t xml:space="preserve">Table </w:t>
      </w:r>
      <w:r w:rsidR="00A65CB3">
        <w:rPr>
          <w:noProof/>
        </w:rPr>
        <w:t>85</w:t>
      </w:r>
      <w:r>
        <w:rPr>
          <w:rFonts w:cs="Times New Roman"/>
          <w:szCs w:val="24"/>
        </w:rPr>
        <w:fldChar w:fldCharType="end"/>
      </w:r>
      <w:r>
        <w:rPr>
          <w:rFonts w:cs="Times New Roman"/>
          <w:szCs w:val="24"/>
        </w:rPr>
        <w:t>.</w:t>
      </w:r>
    </w:p>
    <w:p w14:paraId="1A191719" w14:textId="45D0F74E" w:rsidR="000F0490" w:rsidRDefault="000F5B51" w:rsidP="000F0490">
      <w:pPr>
        <w:spacing w:after="0"/>
        <w:contextualSpacing/>
        <w:rPr>
          <w:rFonts w:cs="Times New Roman"/>
          <w:szCs w:val="24"/>
        </w:rPr>
      </w:pPr>
      <w:r>
        <w:rPr>
          <w:rFonts w:cs="Times New Roman"/>
          <w:szCs w:val="24"/>
        </w:rPr>
        <w:fldChar w:fldCharType="begin"/>
      </w:r>
      <w:r>
        <w:rPr>
          <w:rFonts w:cs="Times New Roman"/>
          <w:szCs w:val="24"/>
        </w:rPr>
        <w:instrText xml:space="preserve"> REF _Ref127974780 \h </w:instrText>
      </w:r>
      <w:r>
        <w:rPr>
          <w:rFonts w:cs="Times New Roman"/>
          <w:szCs w:val="24"/>
        </w:rPr>
      </w:r>
      <w:r>
        <w:rPr>
          <w:rFonts w:cs="Times New Roman"/>
          <w:szCs w:val="24"/>
        </w:rPr>
        <w:fldChar w:fldCharType="separate"/>
      </w:r>
      <w:r w:rsidR="00A65CB3">
        <w:t xml:space="preserve">Table </w:t>
      </w:r>
      <w:r w:rsidR="00A65CB3">
        <w:rPr>
          <w:noProof/>
        </w:rPr>
        <w:t>86</w:t>
      </w:r>
      <w:r>
        <w:rPr>
          <w:rFonts w:cs="Times New Roman"/>
          <w:szCs w:val="24"/>
        </w:rPr>
        <w:fldChar w:fldCharType="end"/>
      </w:r>
      <w:r>
        <w:rPr>
          <w:rFonts w:cs="Times New Roman"/>
          <w:szCs w:val="24"/>
        </w:rPr>
        <w:t xml:space="preserve"> presents the annual adjusted target population for front center seat passengers. </w:t>
      </w:r>
      <w:r>
        <w:t xml:space="preserve">For passenger cars, </w:t>
      </w:r>
      <w:r w:rsidRPr="004059E6">
        <w:rPr>
          <w:rFonts w:cs="Times New Roman"/>
          <w:szCs w:val="24"/>
        </w:rPr>
        <w:t xml:space="preserve">there were a total of </w:t>
      </w:r>
      <w:r>
        <w:rPr>
          <w:rFonts w:cs="Times New Roman"/>
          <w:szCs w:val="24"/>
        </w:rPr>
        <w:t>43 non-fatal injuries for front center seat passengers, annually</w:t>
      </w:r>
      <w:r w:rsidR="001F2F92">
        <w:rPr>
          <w:rFonts w:cs="Times New Roman"/>
          <w:szCs w:val="24"/>
        </w:rPr>
        <w:t xml:space="preserve">. </w:t>
      </w:r>
      <w:r>
        <w:rPr>
          <w:rFonts w:cs="Times New Roman"/>
          <w:szCs w:val="24"/>
        </w:rPr>
        <w:t>Of those non-fatal injuries, 25 were</w:t>
      </w:r>
      <w:r w:rsidRPr="004059E6">
        <w:rPr>
          <w:rFonts w:cs="Times New Roman"/>
          <w:szCs w:val="24"/>
        </w:rPr>
        <w:t xml:space="preserve"> restrained and </w:t>
      </w:r>
      <w:r>
        <w:rPr>
          <w:rFonts w:cs="Times New Roman"/>
          <w:szCs w:val="24"/>
        </w:rPr>
        <w:t>18 were</w:t>
      </w:r>
      <w:r w:rsidRPr="004059E6">
        <w:rPr>
          <w:rFonts w:cs="Times New Roman"/>
          <w:szCs w:val="24"/>
        </w:rPr>
        <w:t xml:space="preserve"> unrestrained </w:t>
      </w:r>
      <w:r>
        <w:t>front center seat passengers</w:t>
      </w:r>
      <w:r w:rsidR="001F2F92">
        <w:rPr>
          <w:rFonts w:cs="Times New Roman"/>
          <w:szCs w:val="24"/>
        </w:rPr>
        <w:t xml:space="preserve">. </w:t>
      </w:r>
      <w:r w:rsidRPr="009B7C81">
        <w:rPr>
          <w:rFonts w:cs="Times New Roman"/>
          <w:szCs w:val="24"/>
        </w:rPr>
        <w:t>For light trucks, there were</w:t>
      </w:r>
      <w:r w:rsidRPr="00D508D0">
        <w:t xml:space="preserve"> </w:t>
      </w:r>
      <w:r w:rsidRPr="00D508D0">
        <w:rPr>
          <w:rFonts w:cs="Times New Roman"/>
          <w:szCs w:val="24"/>
        </w:rPr>
        <w:t xml:space="preserve">a total of </w:t>
      </w:r>
      <w:r>
        <w:rPr>
          <w:rFonts w:cs="Times New Roman"/>
          <w:szCs w:val="24"/>
        </w:rPr>
        <w:t>28 non-fatal injuries for front center seat passengers</w:t>
      </w:r>
      <w:r w:rsidR="001F2F92">
        <w:rPr>
          <w:rFonts w:cs="Times New Roman"/>
          <w:szCs w:val="24"/>
        </w:rPr>
        <w:t xml:space="preserve">. </w:t>
      </w:r>
      <w:r>
        <w:rPr>
          <w:rFonts w:cs="Times New Roman"/>
          <w:szCs w:val="24"/>
        </w:rPr>
        <w:t>Of those fatalities, five</w:t>
      </w:r>
      <w:r w:rsidRPr="00D508D0">
        <w:rPr>
          <w:rFonts w:cs="Times New Roman"/>
          <w:szCs w:val="24"/>
        </w:rPr>
        <w:t xml:space="preserve"> </w:t>
      </w:r>
      <w:r>
        <w:rPr>
          <w:rFonts w:cs="Times New Roman"/>
          <w:szCs w:val="24"/>
        </w:rPr>
        <w:t xml:space="preserve">were </w:t>
      </w:r>
      <w:r w:rsidRPr="00D508D0">
        <w:rPr>
          <w:rFonts w:cs="Times New Roman"/>
          <w:szCs w:val="24"/>
        </w:rPr>
        <w:t>restrained and</w:t>
      </w:r>
      <w:r w:rsidRPr="004059E6">
        <w:rPr>
          <w:rFonts w:cs="Times New Roman"/>
          <w:szCs w:val="24"/>
        </w:rPr>
        <w:t xml:space="preserve"> </w:t>
      </w:r>
      <w:r>
        <w:rPr>
          <w:rFonts w:cs="Times New Roman"/>
          <w:szCs w:val="24"/>
        </w:rPr>
        <w:t>23 were</w:t>
      </w:r>
      <w:r w:rsidRPr="004059E6">
        <w:rPr>
          <w:rFonts w:cs="Times New Roman"/>
          <w:szCs w:val="24"/>
        </w:rPr>
        <w:t xml:space="preserve"> unrestrained </w:t>
      </w:r>
      <w:r>
        <w:t>front center seat passengers</w:t>
      </w:r>
      <w:r w:rsidR="001F2F92">
        <w:rPr>
          <w:rFonts w:cs="Times New Roman"/>
          <w:szCs w:val="24"/>
        </w:rPr>
        <w:t xml:space="preserve">. </w:t>
      </w:r>
    </w:p>
    <w:p w14:paraId="4F97E05D" w14:textId="06ADF618" w:rsidR="000F0490" w:rsidRDefault="000F5B51" w:rsidP="000F0490">
      <w:pPr>
        <w:pStyle w:val="Caption"/>
        <w:rPr>
          <w:noProof/>
        </w:rPr>
      </w:pPr>
      <w:bookmarkStart w:id="1745" w:name="_Ref127974780"/>
      <w:r>
        <w:lastRenderedPageBreak/>
        <w:t xml:space="preserve">Table </w:t>
      </w:r>
      <w:r w:rsidR="00115BAB">
        <w:fldChar w:fldCharType="begin"/>
      </w:r>
      <w:r>
        <w:instrText xml:space="preserve"> SEQ Table \* ARABIC </w:instrText>
      </w:r>
      <w:r w:rsidR="00115BAB">
        <w:fldChar w:fldCharType="separate"/>
      </w:r>
      <w:r w:rsidR="00A65CB3">
        <w:rPr>
          <w:noProof/>
        </w:rPr>
        <w:t>86</w:t>
      </w:r>
      <w:r w:rsidR="00115BAB">
        <w:rPr>
          <w:noProof/>
        </w:rPr>
        <w:fldChar w:fldCharType="end"/>
      </w:r>
      <w:bookmarkEnd w:id="1745"/>
      <w:r>
        <w:t>: Annual Adjusted Fatalities and Non-Fatal Injuries to</w:t>
      </w:r>
      <w:r>
        <w:rPr>
          <w:noProof/>
        </w:rPr>
        <w:t xml:space="preserve"> Front Center Seat Passengers</w:t>
      </w: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2629"/>
        <w:gridCol w:w="1533"/>
        <w:gridCol w:w="1780"/>
        <w:gridCol w:w="2142"/>
      </w:tblGrid>
      <w:tr w:rsidR="00A15C2C" w14:paraId="354DB1FB" w14:textId="77777777" w:rsidTr="007550E2">
        <w:trPr>
          <w:trHeight w:val="872"/>
          <w:jc w:val="center"/>
        </w:trPr>
        <w:tc>
          <w:tcPr>
            <w:tcW w:w="1066" w:type="dxa"/>
            <w:shd w:val="clear" w:color="auto" w:fill="D9D9D9" w:themeFill="background1" w:themeFillShade="D9"/>
            <w:vAlign w:val="center"/>
            <w:hideMark/>
          </w:tcPr>
          <w:p w14:paraId="1087382A" w14:textId="77777777" w:rsidR="000F0490" w:rsidRPr="00D742AE" w:rsidRDefault="000F5B51" w:rsidP="007550E2">
            <w:pPr>
              <w:spacing w:after="0" w:line="240" w:lineRule="auto"/>
              <w:contextualSpacing/>
              <w:rPr>
                <w:rFonts w:eastAsia="Times New Roman" w:cs="Times New Roman"/>
                <w:b/>
                <w:bCs/>
                <w:color w:val="000000"/>
                <w:szCs w:val="24"/>
              </w:rPr>
            </w:pPr>
            <w:r w:rsidRPr="00D742AE">
              <w:rPr>
                <w:rFonts w:eastAsia="Times New Roman" w:cs="Times New Roman"/>
                <w:b/>
                <w:bCs/>
                <w:color w:val="000000"/>
                <w:szCs w:val="24"/>
              </w:rPr>
              <w:t>Vehicle</w:t>
            </w:r>
            <w:r>
              <w:rPr>
                <w:rFonts w:eastAsia="Times New Roman" w:cs="Times New Roman"/>
                <w:b/>
                <w:bCs/>
                <w:color w:val="000000"/>
                <w:szCs w:val="24"/>
              </w:rPr>
              <w:t xml:space="preserve"> Type</w:t>
            </w:r>
          </w:p>
        </w:tc>
        <w:tc>
          <w:tcPr>
            <w:tcW w:w="2629" w:type="dxa"/>
            <w:shd w:val="clear" w:color="auto" w:fill="D9D9D9" w:themeFill="background1" w:themeFillShade="D9"/>
            <w:noWrap/>
            <w:vAlign w:val="center"/>
            <w:hideMark/>
          </w:tcPr>
          <w:p w14:paraId="2E8257B6" w14:textId="77777777" w:rsidR="000F0490" w:rsidRPr="00D742AE" w:rsidRDefault="000F5B51" w:rsidP="007550E2">
            <w:pPr>
              <w:spacing w:after="0" w:line="240" w:lineRule="auto"/>
              <w:contextualSpacing/>
              <w:jc w:val="center"/>
              <w:rPr>
                <w:rFonts w:eastAsia="Times New Roman" w:cs="Times New Roman"/>
                <w:b/>
                <w:bCs/>
                <w:color w:val="000000"/>
                <w:szCs w:val="24"/>
              </w:rPr>
            </w:pPr>
            <w:r w:rsidRPr="00D742AE">
              <w:rPr>
                <w:rFonts w:eastAsia="Times New Roman" w:cs="Times New Roman"/>
                <w:b/>
                <w:bCs/>
                <w:color w:val="000000"/>
                <w:szCs w:val="24"/>
              </w:rPr>
              <w:t>Injury Severity</w:t>
            </w:r>
          </w:p>
        </w:tc>
        <w:tc>
          <w:tcPr>
            <w:tcW w:w="1533" w:type="dxa"/>
            <w:shd w:val="clear" w:color="auto" w:fill="D9D9D9" w:themeFill="background1" w:themeFillShade="D9"/>
            <w:vAlign w:val="center"/>
            <w:hideMark/>
          </w:tcPr>
          <w:p w14:paraId="596B9A49" w14:textId="77777777" w:rsidR="000F0490" w:rsidRPr="00D742AE" w:rsidRDefault="000F5B51" w:rsidP="007550E2">
            <w:pPr>
              <w:spacing w:after="0" w:line="240" w:lineRule="auto"/>
              <w:contextualSpacing/>
              <w:jc w:val="center"/>
              <w:rPr>
                <w:rFonts w:eastAsia="Times New Roman" w:cs="Times New Roman"/>
                <w:b/>
                <w:bCs/>
                <w:color w:val="000000"/>
                <w:szCs w:val="24"/>
              </w:rPr>
            </w:pPr>
            <w:r w:rsidRPr="00D742AE">
              <w:rPr>
                <w:rFonts w:eastAsia="Times New Roman" w:cs="Times New Roman"/>
                <w:b/>
                <w:bCs/>
                <w:color w:val="000000"/>
                <w:szCs w:val="24"/>
              </w:rPr>
              <w:t>Restrained</w:t>
            </w:r>
          </w:p>
        </w:tc>
        <w:tc>
          <w:tcPr>
            <w:tcW w:w="1780" w:type="dxa"/>
            <w:shd w:val="clear" w:color="auto" w:fill="D9D9D9" w:themeFill="background1" w:themeFillShade="D9"/>
            <w:vAlign w:val="center"/>
            <w:hideMark/>
          </w:tcPr>
          <w:p w14:paraId="100AD311" w14:textId="77777777" w:rsidR="000F0490" w:rsidRPr="00D742AE" w:rsidRDefault="000F5B51" w:rsidP="007550E2">
            <w:pPr>
              <w:spacing w:after="0" w:line="240" w:lineRule="auto"/>
              <w:contextualSpacing/>
              <w:jc w:val="center"/>
              <w:rPr>
                <w:rFonts w:eastAsia="Times New Roman" w:cs="Times New Roman"/>
                <w:b/>
                <w:bCs/>
                <w:color w:val="000000"/>
                <w:szCs w:val="24"/>
              </w:rPr>
            </w:pPr>
            <w:r w:rsidRPr="00D742AE">
              <w:rPr>
                <w:rFonts w:eastAsia="Times New Roman" w:cs="Times New Roman"/>
                <w:b/>
                <w:bCs/>
                <w:color w:val="000000"/>
                <w:szCs w:val="24"/>
              </w:rPr>
              <w:t>Unrestrained</w:t>
            </w:r>
          </w:p>
        </w:tc>
        <w:tc>
          <w:tcPr>
            <w:tcW w:w="2142" w:type="dxa"/>
            <w:shd w:val="clear" w:color="auto" w:fill="D9D9D9" w:themeFill="background1" w:themeFillShade="D9"/>
            <w:vAlign w:val="center"/>
            <w:hideMark/>
          </w:tcPr>
          <w:p w14:paraId="0A4FDFE9" w14:textId="77777777" w:rsidR="000F0490" w:rsidRPr="00D742AE" w:rsidRDefault="000F5B51" w:rsidP="007550E2">
            <w:pPr>
              <w:spacing w:after="0" w:line="240" w:lineRule="auto"/>
              <w:contextualSpacing/>
              <w:jc w:val="center"/>
              <w:rPr>
                <w:rFonts w:eastAsia="Times New Roman" w:cs="Times New Roman"/>
                <w:b/>
                <w:bCs/>
                <w:color w:val="000000"/>
                <w:szCs w:val="24"/>
              </w:rPr>
            </w:pPr>
            <w:r w:rsidRPr="00D742AE">
              <w:rPr>
                <w:rFonts w:eastAsia="Times New Roman" w:cs="Times New Roman"/>
                <w:b/>
                <w:bCs/>
                <w:color w:val="000000"/>
                <w:szCs w:val="24"/>
              </w:rPr>
              <w:t>Total</w:t>
            </w:r>
          </w:p>
        </w:tc>
      </w:tr>
      <w:tr w:rsidR="00A15C2C" w14:paraId="25E9E0AC" w14:textId="77777777" w:rsidTr="007550E2">
        <w:trPr>
          <w:trHeight w:val="290"/>
          <w:jc w:val="center"/>
        </w:trPr>
        <w:tc>
          <w:tcPr>
            <w:tcW w:w="1066" w:type="dxa"/>
            <w:vMerge w:val="restart"/>
            <w:shd w:val="clear" w:color="auto" w:fill="auto"/>
            <w:noWrap/>
            <w:vAlign w:val="center"/>
            <w:hideMark/>
          </w:tcPr>
          <w:p w14:paraId="00B1B6D7" w14:textId="77777777" w:rsidR="000F0490" w:rsidRPr="00A01CA7" w:rsidRDefault="000F5B51" w:rsidP="007550E2">
            <w:pPr>
              <w:spacing w:after="0" w:line="240" w:lineRule="auto"/>
              <w:contextualSpacing/>
              <w:rPr>
                <w:rFonts w:eastAsia="Times New Roman" w:cs="Times New Roman"/>
                <w:color w:val="000000"/>
                <w:szCs w:val="24"/>
              </w:rPr>
            </w:pPr>
            <w:r w:rsidRPr="00A01CA7">
              <w:rPr>
                <w:rFonts w:eastAsia="Times New Roman" w:cs="Times New Roman"/>
                <w:color w:val="000000"/>
                <w:szCs w:val="24"/>
              </w:rPr>
              <w:t>PC</w:t>
            </w:r>
          </w:p>
          <w:p w14:paraId="3CC0029D" w14:textId="77777777" w:rsidR="000F0490" w:rsidRPr="00A01CA7" w:rsidRDefault="000F5B51" w:rsidP="007550E2">
            <w:pPr>
              <w:spacing w:after="0" w:line="240" w:lineRule="auto"/>
              <w:contextualSpacing/>
              <w:rPr>
                <w:rFonts w:eastAsia="Times New Roman" w:cs="Times New Roman"/>
                <w:color w:val="000000"/>
                <w:szCs w:val="24"/>
              </w:rPr>
            </w:pPr>
            <w:r w:rsidRPr="00A01CA7">
              <w:rPr>
                <w:rFonts w:eastAsia="Times New Roman" w:cs="Times New Roman"/>
                <w:color w:val="000000"/>
                <w:szCs w:val="24"/>
              </w:rPr>
              <w:t> </w:t>
            </w:r>
          </w:p>
        </w:tc>
        <w:tc>
          <w:tcPr>
            <w:tcW w:w="2629" w:type="dxa"/>
            <w:shd w:val="clear" w:color="auto" w:fill="auto"/>
            <w:noWrap/>
            <w:vAlign w:val="center"/>
            <w:hideMark/>
          </w:tcPr>
          <w:p w14:paraId="2D3116D5" w14:textId="77777777" w:rsidR="000F0490" w:rsidRPr="00A01CA7" w:rsidRDefault="000F5B51" w:rsidP="007550E2">
            <w:pPr>
              <w:spacing w:after="0" w:line="240" w:lineRule="auto"/>
              <w:contextualSpacing/>
              <w:rPr>
                <w:rFonts w:eastAsia="Times New Roman" w:cs="Times New Roman"/>
                <w:color w:val="000000"/>
                <w:szCs w:val="24"/>
              </w:rPr>
            </w:pPr>
            <w:r w:rsidRPr="00A01CA7">
              <w:rPr>
                <w:rFonts w:eastAsia="Times New Roman" w:cs="Times New Roman"/>
                <w:color w:val="000000"/>
                <w:szCs w:val="24"/>
              </w:rPr>
              <w:t>MAIS 1</w:t>
            </w:r>
          </w:p>
        </w:tc>
        <w:tc>
          <w:tcPr>
            <w:tcW w:w="1533" w:type="dxa"/>
            <w:shd w:val="clear" w:color="auto" w:fill="auto"/>
            <w:noWrap/>
            <w:vAlign w:val="center"/>
          </w:tcPr>
          <w:p w14:paraId="4F45A77E" w14:textId="77777777" w:rsidR="000F0490" w:rsidRPr="00A01CA7" w:rsidRDefault="000F5B51" w:rsidP="007550E2">
            <w:pPr>
              <w:spacing w:after="0" w:line="240" w:lineRule="auto"/>
              <w:contextualSpacing/>
              <w:jc w:val="center"/>
              <w:rPr>
                <w:rFonts w:eastAsia="Times New Roman" w:cs="Times New Roman"/>
                <w:color w:val="000000"/>
                <w:szCs w:val="24"/>
              </w:rPr>
            </w:pPr>
            <w:r w:rsidRPr="0098505F">
              <w:t>11</w:t>
            </w:r>
          </w:p>
        </w:tc>
        <w:tc>
          <w:tcPr>
            <w:tcW w:w="1780" w:type="dxa"/>
            <w:shd w:val="clear" w:color="auto" w:fill="auto"/>
            <w:noWrap/>
            <w:vAlign w:val="center"/>
          </w:tcPr>
          <w:p w14:paraId="3E377CDE" w14:textId="77777777" w:rsidR="000F0490" w:rsidRPr="00A01CA7" w:rsidRDefault="000F5B51" w:rsidP="007550E2">
            <w:pPr>
              <w:spacing w:after="0" w:line="240" w:lineRule="auto"/>
              <w:contextualSpacing/>
              <w:jc w:val="center"/>
              <w:rPr>
                <w:rFonts w:eastAsia="Times New Roman" w:cs="Times New Roman"/>
                <w:color w:val="000000"/>
                <w:szCs w:val="24"/>
              </w:rPr>
            </w:pPr>
            <w:r w:rsidRPr="0098505F">
              <w:t>15</w:t>
            </w:r>
          </w:p>
        </w:tc>
        <w:tc>
          <w:tcPr>
            <w:tcW w:w="2142" w:type="dxa"/>
            <w:shd w:val="clear" w:color="auto" w:fill="auto"/>
            <w:noWrap/>
            <w:vAlign w:val="center"/>
          </w:tcPr>
          <w:p w14:paraId="71BE204B" w14:textId="77777777" w:rsidR="000F0490" w:rsidRPr="00A01CA7" w:rsidRDefault="000F5B51" w:rsidP="007550E2">
            <w:pPr>
              <w:spacing w:after="0" w:line="240" w:lineRule="auto"/>
              <w:contextualSpacing/>
              <w:jc w:val="center"/>
              <w:rPr>
                <w:rFonts w:eastAsia="Times New Roman" w:cs="Times New Roman"/>
                <w:color w:val="000000"/>
                <w:szCs w:val="24"/>
              </w:rPr>
            </w:pPr>
            <w:r w:rsidRPr="0098505F">
              <w:t>26</w:t>
            </w:r>
          </w:p>
        </w:tc>
      </w:tr>
      <w:tr w:rsidR="00A15C2C" w14:paraId="519EE501" w14:textId="77777777" w:rsidTr="007550E2">
        <w:trPr>
          <w:trHeight w:val="290"/>
          <w:jc w:val="center"/>
        </w:trPr>
        <w:tc>
          <w:tcPr>
            <w:tcW w:w="1066" w:type="dxa"/>
            <w:vMerge/>
            <w:shd w:val="clear" w:color="auto" w:fill="auto"/>
            <w:noWrap/>
            <w:vAlign w:val="center"/>
            <w:hideMark/>
          </w:tcPr>
          <w:p w14:paraId="185CF10A" w14:textId="77777777" w:rsidR="000F0490" w:rsidRPr="00A01CA7" w:rsidRDefault="000F0490" w:rsidP="007550E2">
            <w:pPr>
              <w:spacing w:after="0" w:line="240" w:lineRule="auto"/>
              <w:contextualSpacing/>
              <w:rPr>
                <w:rFonts w:eastAsia="Times New Roman" w:cs="Times New Roman"/>
                <w:color w:val="000000"/>
                <w:szCs w:val="24"/>
              </w:rPr>
            </w:pPr>
          </w:p>
        </w:tc>
        <w:tc>
          <w:tcPr>
            <w:tcW w:w="2629" w:type="dxa"/>
            <w:shd w:val="clear" w:color="auto" w:fill="auto"/>
            <w:noWrap/>
            <w:vAlign w:val="center"/>
            <w:hideMark/>
          </w:tcPr>
          <w:p w14:paraId="4097DC35" w14:textId="77777777" w:rsidR="000F0490" w:rsidRPr="00A01CA7" w:rsidRDefault="000F5B51" w:rsidP="007550E2">
            <w:pPr>
              <w:spacing w:after="0" w:line="240" w:lineRule="auto"/>
              <w:contextualSpacing/>
              <w:rPr>
                <w:rFonts w:eastAsia="Times New Roman" w:cs="Times New Roman"/>
                <w:color w:val="000000"/>
                <w:szCs w:val="24"/>
              </w:rPr>
            </w:pPr>
            <w:r w:rsidRPr="00A01CA7">
              <w:rPr>
                <w:rFonts w:eastAsia="Times New Roman" w:cs="Times New Roman"/>
                <w:color w:val="000000"/>
                <w:szCs w:val="24"/>
              </w:rPr>
              <w:t>MAIS 2</w:t>
            </w:r>
          </w:p>
        </w:tc>
        <w:tc>
          <w:tcPr>
            <w:tcW w:w="1533" w:type="dxa"/>
            <w:shd w:val="clear" w:color="auto" w:fill="auto"/>
            <w:noWrap/>
            <w:vAlign w:val="center"/>
          </w:tcPr>
          <w:p w14:paraId="1CE7B359" w14:textId="77777777" w:rsidR="000F0490" w:rsidRPr="00A01CA7" w:rsidRDefault="000F5B51" w:rsidP="007550E2">
            <w:pPr>
              <w:spacing w:after="0" w:line="240" w:lineRule="auto"/>
              <w:contextualSpacing/>
              <w:jc w:val="center"/>
              <w:rPr>
                <w:rFonts w:eastAsia="Times New Roman" w:cs="Times New Roman"/>
                <w:color w:val="000000"/>
                <w:szCs w:val="24"/>
              </w:rPr>
            </w:pPr>
            <w:r w:rsidRPr="0098505F">
              <w:t>5</w:t>
            </w:r>
          </w:p>
        </w:tc>
        <w:tc>
          <w:tcPr>
            <w:tcW w:w="1780" w:type="dxa"/>
            <w:shd w:val="clear" w:color="auto" w:fill="auto"/>
            <w:noWrap/>
            <w:vAlign w:val="center"/>
          </w:tcPr>
          <w:p w14:paraId="7FD82BDA" w14:textId="77777777" w:rsidR="000F0490" w:rsidRPr="00A01CA7" w:rsidRDefault="000F5B51" w:rsidP="007550E2">
            <w:pPr>
              <w:spacing w:after="0" w:line="240" w:lineRule="auto"/>
              <w:contextualSpacing/>
              <w:jc w:val="center"/>
              <w:rPr>
                <w:rFonts w:eastAsia="Times New Roman" w:cs="Times New Roman"/>
                <w:color w:val="000000"/>
                <w:szCs w:val="24"/>
              </w:rPr>
            </w:pPr>
            <w:r w:rsidRPr="0098505F">
              <w:t>7</w:t>
            </w:r>
          </w:p>
        </w:tc>
        <w:tc>
          <w:tcPr>
            <w:tcW w:w="2142" w:type="dxa"/>
            <w:shd w:val="clear" w:color="auto" w:fill="auto"/>
            <w:noWrap/>
            <w:vAlign w:val="center"/>
          </w:tcPr>
          <w:p w14:paraId="23175830" w14:textId="77777777" w:rsidR="000F0490" w:rsidRPr="00A01CA7" w:rsidRDefault="000F5B51" w:rsidP="007550E2">
            <w:pPr>
              <w:spacing w:after="0" w:line="240" w:lineRule="auto"/>
              <w:contextualSpacing/>
              <w:jc w:val="center"/>
              <w:rPr>
                <w:rFonts w:eastAsia="Times New Roman" w:cs="Times New Roman"/>
                <w:color w:val="000000"/>
                <w:szCs w:val="24"/>
              </w:rPr>
            </w:pPr>
            <w:r w:rsidRPr="0098505F">
              <w:t>1</w:t>
            </w:r>
            <w:r>
              <w:t>1</w:t>
            </w:r>
          </w:p>
        </w:tc>
      </w:tr>
      <w:tr w:rsidR="00A15C2C" w14:paraId="622AABB9" w14:textId="77777777" w:rsidTr="007550E2">
        <w:trPr>
          <w:trHeight w:val="290"/>
          <w:jc w:val="center"/>
        </w:trPr>
        <w:tc>
          <w:tcPr>
            <w:tcW w:w="1066" w:type="dxa"/>
            <w:vMerge/>
            <w:shd w:val="clear" w:color="auto" w:fill="auto"/>
            <w:noWrap/>
            <w:vAlign w:val="center"/>
            <w:hideMark/>
          </w:tcPr>
          <w:p w14:paraId="57C440B6" w14:textId="77777777" w:rsidR="000F0490" w:rsidRPr="00A01CA7" w:rsidRDefault="000F0490" w:rsidP="007550E2">
            <w:pPr>
              <w:spacing w:after="0" w:line="240" w:lineRule="auto"/>
              <w:contextualSpacing/>
              <w:rPr>
                <w:rFonts w:eastAsia="Times New Roman" w:cs="Times New Roman"/>
                <w:color w:val="000000"/>
                <w:szCs w:val="24"/>
              </w:rPr>
            </w:pPr>
          </w:p>
        </w:tc>
        <w:tc>
          <w:tcPr>
            <w:tcW w:w="2629" w:type="dxa"/>
            <w:shd w:val="clear" w:color="auto" w:fill="auto"/>
            <w:noWrap/>
            <w:vAlign w:val="center"/>
            <w:hideMark/>
          </w:tcPr>
          <w:p w14:paraId="1EF36ECB" w14:textId="77777777" w:rsidR="000F0490" w:rsidRPr="00A01CA7" w:rsidRDefault="000F5B51" w:rsidP="007550E2">
            <w:pPr>
              <w:spacing w:after="0" w:line="240" w:lineRule="auto"/>
              <w:contextualSpacing/>
              <w:rPr>
                <w:rFonts w:eastAsia="Times New Roman" w:cs="Times New Roman"/>
                <w:color w:val="000000"/>
                <w:szCs w:val="24"/>
              </w:rPr>
            </w:pPr>
            <w:r w:rsidRPr="00A01CA7">
              <w:rPr>
                <w:rFonts w:eastAsia="Times New Roman" w:cs="Times New Roman"/>
                <w:color w:val="000000"/>
                <w:szCs w:val="24"/>
              </w:rPr>
              <w:t>MAIS 3</w:t>
            </w:r>
          </w:p>
        </w:tc>
        <w:tc>
          <w:tcPr>
            <w:tcW w:w="1533" w:type="dxa"/>
            <w:shd w:val="clear" w:color="auto" w:fill="auto"/>
            <w:noWrap/>
            <w:vAlign w:val="center"/>
          </w:tcPr>
          <w:p w14:paraId="7BEE3211" w14:textId="77777777" w:rsidR="000F0490" w:rsidRPr="00A01CA7" w:rsidRDefault="000F5B51" w:rsidP="007550E2">
            <w:pPr>
              <w:spacing w:after="0" w:line="240" w:lineRule="auto"/>
              <w:contextualSpacing/>
              <w:jc w:val="center"/>
              <w:rPr>
                <w:rFonts w:eastAsia="Times New Roman" w:cs="Times New Roman"/>
                <w:color w:val="000000"/>
                <w:szCs w:val="24"/>
              </w:rPr>
            </w:pPr>
            <w:r w:rsidRPr="0098505F">
              <w:t>1</w:t>
            </w:r>
          </w:p>
        </w:tc>
        <w:tc>
          <w:tcPr>
            <w:tcW w:w="1780" w:type="dxa"/>
            <w:shd w:val="clear" w:color="auto" w:fill="auto"/>
            <w:noWrap/>
            <w:vAlign w:val="center"/>
          </w:tcPr>
          <w:p w14:paraId="7C03AB96" w14:textId="77777777" w:rsidR="000F0490" w:rsidRPr="00A01CA7" w:rsidRDefault="000F5B51" w:rsidP="007550E2">
            <w:pPr>
              <w:spacing w:after="0" w:line="240" w:lineRule="auto"/>
              <w:contextualSpacing/>
              <w:jc w:val="center"/>
              <w:rPr>
                <w:rFonts w:eastAsia="Times New Roman" w:cs="Times New Roman"/>
                <w:color w:val="000000"/>
                <w:szCs w:val="24"/>
              </w:rPr>
            </w:pPr>
            <w:r w:rsidRPr="0098505F">
              <w:t>2</w:t>
            </w:r>
          </w:p>
        </w:tc>
        <w:tc>
          <w:tcPr>
            <w:tcW w:w="2142" w:type="dxa"/>
            <w:shd w:val="clear" w:color="auto" w:fill="auto"/>
            <w:noWrap/>
            <w:vAlign w:val="center"/>
          </w:tcPr>
          <w:p w14:paraId="33DA8B9C" w14:textId="77777777" w:rsidR="000F0490" w:rsidRPr="00A01CA7" w:rsidRDefault="000F5B51" w:rsidP="007550E2">
            <w:pPr>
              <w:spacing w:after="0" w:line="240" w:lineRule="auto"/>
              <w:contextualSpacing/>
              <w:jc w:val="center"/>
              <w:rPr>
                <w:rFonts w:eastAsia="Times New Roman" w:cs="Times New Roman"/>
                <w:color w:val="000000"/>
                <w:szCs w:val="24"/>
              </w:rPr>
            </w:pPr>
            <w:r w:rsidRPr="0098505F">
              <w:t>3</w:t>
            </w:r>
          </w:p>
        </w:tc>
      </w:tr>
      <w:tr w:rsidR="00A15C2C" w14:paraId="46DE79C5" w14:textId="77777777" w:rsidTr="007550E2">
        <w:trPr>
          <w:trHeight w:val="290"/>
          <w:jc w:val="center"/>
        </w:trPr>
        <w:tc>
          <w:tcPr>
            <w:tcW w:w="1066" w:type="dxa"/>
            <w:vMerge/>
            <w:shd w:val="clear" w:color="auto" w:fill="auto"/>
            <w:noWrap/>
            <w:vAlign w:val="center"/>
            <w:hideMark/>
          </w:tcPr>
          <w:p w14:paraId="1A0AC00F" w14:textId="77777777" w:rsidR="000F0490" w:rsidRPr="00A01CA7" w:rsidRDefault="000F0490" w:rsidP="007550E2">
            <w:pPr>
              <w:spacing w:after="0" w:line="240" w:lineRule="auto"/>
              <w:contextualSpacing/>
              <w:rPr>
                <w:rFonts w:eastAsia="Times New Roman" w:cs="Times New Roman"/>
                <w:color w:val="000000"/>
                <w:szCs w:val="24"/>
              </w:rPr>
            </w:pPr>
          </w:p>
        </w:tc>
        <w:tc>
          <w:tcPr>
            <w:tcW w:w="2629" w:type="dxa"/>
            <w:shd w:val="clear" w:color="auto" w:fill="auto"/>
            <w:noWrap/>
            <w:vAlign w:val="center"/>
            <w:hideMark/>
          </w:tcPr>
          <w:p w14:paraId="2976CFD9" w14:textId="77777777" w:rsidR="000F0490" w:rsidRPr="00A01CA7" w:rsidRDefault="000F5B51" w:rsidP="007550E2">
            <w:pPr>
              <w:spacing w:after="0" w:line="240" w:lineRule="auto"/>
              <w:contextualSpacing/>
              <w:rPr>
                <w:rFonts w:eastAsia="Times New Roman" w:cs="Times New Roman"/>
                <w:color w:val="000000"/>
                <w:szCs w:val="24"/>
              </w:rPr>
            </w:pPr>
            <w:r w:rsidRPr="00A01CA7">
              <w:rPr>
                <w:rFonts w:eastAsia="Times New Roman" w:cs="Times New Roman"/>
                <w:color w:val="000000"/>
                <w:szCs w:val="24"/>
              </w:rPr>
              <w:t>MAIS 4</w:t>
            </w:r>
          </w:p>
        </w:tc>
        <w:tc>
          <w:tcPr>
            <w:tcW w:w="1533" w:type="dxa"/>
            <w:shd w:val="clear" w:color="auto" w:fill="auto"/>
            <w:noWrap/>
            <w:vAlign w:val="center"/>
          </w:tcPr>
          <w:p w14:paraId="4E108DD9" w14:textId="77777777" w:rsidR="000F0490" w:rsidRPr="00A01CA7" w:rsidRDefault="000F5B51" w:rsidP="007550E2">
            <w:pPr>
              <w:spacing w:after="0" w:line="240" w:lineRule="auto"/>
              <w:contextualSpacing/>
              <w:jc w:val="center"/>
              <w:rPr>
                <w:rFonts w:eastAsia="Times New Roman" w:cs="Times New Roman"/>
                <w:color w:val="000000"/>
                <w:szCs w:val="24"/>
              </w:rPr>
            </w:pPr>
            <w:r w:rsidRPr="0098505F">
              <w:t>1</w:t>
            </w:r>
          </w:p>
        </w:tc>
        <w:tc>
          <w:tcPr>
            <w:tcW w:w="1780" w:type="dxa"/>
            <w:shd w:val="clear" w:color="auto" w:fill="auto"/>
            <w:noWrap/>
            <w:vAlign w:val="center"/>
          </w:tcPr>
          <w:p w14:paraId="6C1EABC0" w14:textId="77777777" w:rsidR="000F0490" w:rsidRPr="00A01CA7" w:rsidRDefault="000F5B51" w:rsidP="007550E2">
            <w:pPr>
              <w:spacing w:after="0" w:line="240" w:lineRule="auto"/>
              <w:contextualSpacing/>
              <w:jc w:val="center"/>
              <w:rPr>
                <w:rFonts w:eastAsia="Times New Roman" w:cs="Times New Roman"/>
                <w:color w:val="000000"/>
                <w:szCs w:val="24"/>
              </w:rPr>
            </w:pPr>
            <w:r w:rsidRPr="0098505F">
              <w:t>1</w:t>
            </w:r>
          </w:p>
        </w:tc>
        <w:tc>
          <w:tcPr>
            <w:tcW w:w="2142" w:type="dxa"/>
            <w:shd w:val="clear" w:color="auto" w:fill="auto"/>
            <w:noWrap/>
            <w:vAlign w:val="center"/>
          </w:tcPr>
          <w:p w14:paraId="6FAFD07F" w14:textId="77777777" w:rsidR="000F0490" w:rsidRPr="00A01CA7" w:rsidRDefault="000F5B51" w:rsidP="007550E2">
            <w:pPr>
              <w:spacing w:after="0" w:line="240" w:lineRule="auto"/>
              <w:contextualSpacing/>
              <w:jc w:val="center"/>
              <w:rPr>
                <w:rFonts w:eastAsia="Times New Roman" w:cs="Times New Roman"/>
                <w:color w:val="000000"/>
                <w:szCs w:val="24"/>
              </w:rPr>
            </w:pPr>
            <w:r w:rsidRPr="0098505F">
              <w:t>2</w:t>
            </w:r>
          </w:p>
        </w:tc>
      </w:tr>
      <w:tr w:rsidR="00A15C2C" w14:paraId="7A26E663" w14:textId="77777777" w:rsidTr="007550E2">
        <w:trPr>
          <w:trHeight w:val="290"/>
          <w:jc w:val="center"/>
        </w:trPr>
        <w:tc>
          <w:tcPr>
            <w:tcW w:w="1066" w:type="dxa"/>
            <w:vMerge/>
            <w:shd w:val="clear" w:color="auto" w:fill="auto"/>
            <w:noWrap/>
            <w:vAlign w:val="center"/>
            <w:hideMark/>
          </w:tcPr>
          <w:p w14:paraId="5FF2481E" w14:textId="77777777" w:rsidR="000F0490" w:rsidRPr="00A01CA7" w:rsidRDefault="000F0490" w:rsidP="007550E2">
            <w:pPr>
              <w:spacing w:after="0" w:line="240" w:lineRule="auto"/>
              <w:contextualSpacing/>
              <w:rPr>
                <w:rFonts w:eastAsia="Times New Roman" w:cs="Times New Roman"/>
                <w:color w:val="000000"/>
                <w:szCs w:val="24"/>
              </w:rPr>
            </w:pPr>
          </w:p>
        </w:tc>
        <w:tc>
          <w:tcPr>
            <w:tcW w:w="2629" w:type="dxa"/>
            <w:shd w:val="clear" w:color="auto" w:fill="auto"/>
            <w:noWrap/>
            <w:vAlign w:val="center"/>
            <w:hideMark/>
          </w:tcPr>
          <w:p w14:paraId="6CC580A9" w14:textId="77777777" w:rsidR="000F0490" w:rsidRPr="00A01CA7" w:rsidRDefault="000F5B51" w:rsidP="007550E2">
            <w:pPr>
              <w:spacing w:after="0" w:line="240" w:lineRule="auto"/>
              <w:contextualSpacing/>
              <w:rPr>
                <w:rFonts w:eastAsia="Times New Roman" w:cs="Times New Roman"/>
                <w:color w:val="000000"/>
                <w:szCs w:val="24"/>
              </w:rPr>
            </w:pPr>
            <w:r w:rsidRPr="00A01CA7">
              <w:rPr>
                <w:rFonts w:eastAsia="Times New Roman" w:cs="Times New Roman"/>
                <w:color w:val="000000"/>
                <w:szCs w:val="24"/>
              </w:rPr>
              <w:t>MAIS 5</w:t>
            </w:r>
          </w:p>
        </w:tc>
        <w:tc>
          <w:tcPr>
            <w:tcW w:w="1533" w:type="dxa"/>
            <w:shd w:val="clear" w:color="auto" w:fill="auto"/>
            <w:noWrap/>
            <w:vAlign w:val="center"/>
          </w:tcPr>
          <w:p w14:paraId="6FE5C475" w14:textId="77777777" w:rsidR="000F0490" w:rsidRPr="00A01CA7" w:rsidRDefault="000F5B51" w:rsidP="007550E2">
            <w:pPr>
              <w:spacing w:after="0" w:line="240" w:lineRule="auto"/>
              <w:contextualSpacing/>
              <w:jc w:val="center"/>
              <w:rPr>
                <w:rFonts w:eastAsia="Times New Roman" w:cs="Times New Roman"/>
                <w:color w:val="000000"/>
                <w:szCs w:val="24"/>
              </w:rPr>
            </w:pPr>
            <w:r w:rsidRPr="0098505F">
              <w:t>0</w:t>
            </w:r>
          </w:p>
        </w:tc>
        <w:tc>
          <w:tcPr>
            <w:tcW w:w="1780" w:type="dxa"/>
            <w:shd w:val="clear" w:color="auto" w:fill="auto"/>
            <w:noWrap/>
            <w:vAlign w:val="center"/>
          </w:tcPr>
          <w:p w14:paraId="5CAEC074" w14:textId="77777777" w:rsidR="000F0490" w:rsidRPr="00A01CA7" w:rsidRDefault="000F5B51" w:rsidP="007550E2">
            <w:pPr>
              <w:spacing w:after="0" w:line="240" w:lineRule="auto"/>
              <w:contextualSpacing/>
              <w:jc w:val="center"/>
              <w:rPr>
                <w:rFonts w:eastAsia="Times New Roman" w:cs="Times New Roman"/>
                <w:color w:val="000000"/>
                <w:szCs w:val="24"/>
              </w:rPr>
            </w:pPr>
            <w:r w:rsidRPr="0098505F">
              <w:t>0</w:t>
            </w:r>
          </w:p>
        </w:tc>
        <w:tc>
          <w:tcPr>
            <w:tcW w:w="2142" w:type="dxa"/>
            <w:shd w:val="clear" w:color="auto" w:fill="auto"/>
            <w:noWrap/>
            <w:vAlign w:val="center"/>
          </w:tcPr>
          <w:p w14:paraId="3719F709" w14:textId="77777777" w:rsidR="000F0490" w:rsidRPr="00A01CA7" w:rsidRDefault="000F5B51" w:rsidP="007550E2">
            <w:pPr>
              <w:spacing w:after="0" w:line="240" w:lineRule="auto"/>
              <w:contextualSpacing/>
              <w:jc w:val="center"/>
              <w:rPr>
                <w:rFonts w:eastAsia="Times New Roman" w:cs="Times New Roman"/>
                <w:color w:val="000000"/>
                <w:szCs w:val="24"/>
              </w:rPr>
            </w:pPr>
            <w:r w:rsidRPr="0098505F">
              <w:t>0</w:t>
            </w:r>
          </w:p>
        </w:tc>
      </w:tr>
      <w:tr w:rsidR="00A15C2C" w14:paraId="01B40989" w14:textId="77777777" w:rsidTr="007550E2">
        <w:trPr>
          <w:trHeight w:val="290"/>
          <w:jc w:val="center"/>
        </w:trPr>
        <w:tc>
          <w:tcPr>
            <w:tcW w:w="1066" w:type="dxa"/>
            <w:vMerge/>
            <w:shd w:val="clear" w:color="auto" w:fill="auto"/>
            <w:noWrap/>
            <w:vAlign w:val="center"/>
          </w:tcPr>
          <w:p w14:paraId="4161672A" w14:textId="77777777" w:rsidR="000F0490" w:rsidRPr="00A01CA7" w:rsidRDefault="000F0490" w:rsidP="007550E2">
            <w:pPr>
              <w:spacing w:after="0" w:line="240" w:lineRule="auto"/>
              <w:contextualSpacing/>
              <w:rPr>
                <w:rFonts w:eastAsia="Times New Roman" w:cs="Times New Roman"/>
                <w:color w:val="000000"/>
                <w:szCs w:val="24"/>
              </w:rPr>
            </w:pPr>
          </w:p>
        </w:tc>
        <w:tc>
          <w:tcPr>
            <w:tcW w:w="2629" w:type="dxa"/>
            <w:shd w:val="clear" w:color="auto" w:fill="auto"/>
            <w:noWrap/>
            <w:vAlign w:val="center"/>
          </w:tcPr>
          <w:p w14:paraId="50BF9232" w14:textId="77777777" w:rsidR="000F0490" w:rsidRPr="00934F2C" w:rsidRDefault="000F5B51" w:rsidP="007550E2">
            <w:pPr>
              <w:spacing w:after="0" w:line="240" w:lineRule="auto"/>
              <w:contextualSpacing/>
              <w:rPr>
                <w:rFonts w:eastAsia="Times New Roman" w:cs="Times New Roman"/>
                <w:b/>
                <w:bCs/>
                <w:color w:val="000000"/>
                <w:szCs w:val="24"/>
              </w:rPr>
            </w:pPr>
            <w:r w:rsidRPr="00934F2C">
              <w:rPr>
                <w:rFonts w:eastAsia="Times New Roman" w:cs="Times New Roman"/>
                <w:b/>
                <w:bCs/>
                <w:color w:val="000000"/>
                <w:szCs w:val="24"/>
              </w:rPr>
              <w:t>Total Injuries</w:t>
            </w:r>
          </w:p>
          <w:p w14:paraId="60585D22" w14:textId="77777777" w:rsidR="000F0490" w:rsidRPr="00934F2C" w:rsidRDefault="000F5B51" w:rsidP="007550E2">
            <w:pPr>
              <w:spacing w:after="0" w:line="240" w:lineRule="auto"/>
              <w:contextualSpacing/>
              <w:rPr>
                <w:rFonts w:eastAsia="Times New Roman" w:cs="Times New Roman"/>
                <w:b/>
                <w:bCs/>
                <w:color w:val="000000"/>
                <w:szCs w:val="24"/>
              </w:rPr>
            </w:pPr>
            <w:r w:rsidRPr="00934F2C">
              <w:rPr>
                <w:rFonts w:eastAsia="Times New Roman" w:cs="Times New Roman"/>
                <w:b/>
                <w:bCs/>
                <w:color w:val="000000"/>
                <w:szCs w:val="24"/>
              </w:rPr>
              <w:t xml:space="preserve"> (MAIS 1-5)</w:t>
            </w:r>
          </w:p>
        </w:tc>
        <w:tc>
          <w:tcPr>
            <w:tcW w:w="1533" w:type="dxa"/>
            <w:shd w:val="clear" w:color="auto" w:fill="auto"/>
            <w:noWrap/>
            <w:vAlign w:val="center"/>
          </w:tcPr>
          <w:p w14:paraId="38F9BA71" w14:textId="77777777" w:rsidR="000F0490" w:rsidRPr="002F2E1D" w:rsidRDefault="000F5B51" w:rsidP="007550E2">
            <w:pPr>
              <w:spacing w:after="0" w:line="240" w:lineRule="auto"/>
              <w:contextualSpacing/>
              <w:jc w:val="center"/>
              <w:rPr>
                <w:rFonts w:eastAsia="Times New Roman" w:cs="Times New Roman"/>
                <w:b/>
                <w:bCs/>
                <w:color w:val="000000"/>
                <w:szCs w:val="24"/>
              </w:rPr>
            </w:pPr>
            <w:r w:rsidRPr="002F2E1D">
              <w:rPr>
                <w:b/>
                <w:bCs/>
              </w:rPr>
              <w:t>18</w:t>
            </w:r>
          </w:p>
        </w:tc>
        <w:tc>
          <w:tcPr>
            <w:tcW w:w="1780" w:type="dxa"/>
            <w:shd w:val="clear" w:color="auto" w:fill="auto"/>
            <w:noWrap/>
            <w:vAlign w:val="center"/>
          </w:tcPr>
          <w:p w14:paraId="5F7259C4" w14:textId="77777777" w:rsidR="000F0490" w:rsidRPr="002F2E1D" w:rsidRDefault="000F5B51" w:rsidP="007550E2">
            <w:pPr>
              <w:spacing w:after="0" w:line="240" w:lineRule="auto"/>
              <w:contextualSpacing/>
              <w:jc w:val="center"/>
              <w:rPr>
                <w:rFonts w:eastAsia="Times New Roman" w:cs="Times New Roman"/>
                <w:b/>
                <w:bCs/>
                <w:color w:val="000000"/>
                <w:szCs w:val="24"/>
              </w:rPr>
            </w:pPr>
            <w:r w:rsidRPr="002F2E1D">
              <w:rPr>
                <w:b/>
                <w:bCs/>
              </w:rPr>
              <w:t>25</w:t>
            </w:r>
          </w:p>
        </w:tc>
        <w:tc>
          <w:tcPr>
            <w:tcW w:w="2142" w:type="dxa"/>
            <w:shd w:val="clear" w:color="auto" w:fill="auto"/>
            <w:noWrap/>
            <w:vAlign w:val="center"/>
          </w:tcPr>
          <w:p w14:paraId="40EA9071" w14:textId="77777777" w:rsidR="000F0490" w:rsidRPr="002F2E1D" w:rsidRDefault="000F5B51" w:rsidP="007550E2">
            <w:pPr>
              <w:spacing w:after="0" w:line="240" w:lineRule="auto"/>
              <w:contextualSpacing/>
              <w:jc w:val="center"/>
              <w:rPr>
                <w:rFonts w:eastAsia="Times New Roman" w:cs="Times New Roman"/>
                <w:b/>
                <w:bCs/>
                <w:color w:val="000000"/>
                <w:szCs w:val="24"/>
              </w:rPr>
            </w:pPr>
            <w:r w:rsidRPr="002F2E1D">
              <w:rPr>
                <w:b/>
                <w:bCs/>
              </w:rPr>
              <w:t>43</w:t>
            </w:r>
          </w:p>
        </w:tc>
      </w:tr>
      <w:tr w:rsidR="00A15C2C" w14:paraId="3149554D" w14:textId="77777777" w:rsidTr="007550E2">
        <w:trPr>
          <w:trHeight w:val="290"/>
          <w:jc w:val="center"/>
        </w:trPr>
        <w:tc>
          <w:tcPr>
            <w:tcW w:w="1066" w:type="dxa"/>
            <w:vMerge/>
            <w:shd w:val="clear" w:color="auto" w:fill="auto"/>
            <w:noWrap/>
            <w:vAlign w:val="center"/>
            <w:hideMark/>
          </w:tcPr>
          <w:p w14:paraId="72DE6F02" w14:textId="77777777" w:rsidR="000F0490" w:rsidRPr="00A01CA7" w:rsidRDefault="000F0490" w:rsidP="007550E2">
            <w:pPr>
              <w:spacing w:after="0" w:line="240" w:lineRule="auto"/>
              <w:contextualSpacing/>
              <w:rPr>
                <w:rFonts w:eastAsia="Times New Roman" w:cs="Times New Roman"/>
                <w:color w:val="000000"/>
                <w:szCs w:val="24"/>
              </w:rPr>
            </w:pPr>
          </w:p>
        </w:tc>
        <w:tc>
          <w:tcPr>
            <w:tcW w:w="2629" w:type="dxa"/>
            <w:shd w:val="clear" w:color="auto" w:fill="auto"/>
            <w:noWrap/>
            <w:vAlign w:val="center"/>
            <w:hideMark/>
          </w:tcPr>
          <w:p w14:paraId="5A55A04E" w14:textId="77777777" w:rsidR="000F0490" w:rsidRPr="00934F2C" w:rsidRDefault="000F5B51" w:rsidP="007550E2">
            <w:pPr>
              <w:spacing w:after="0" w:line="240" w:lineRule="auto"/>
              <w:contextualSpacing/>
              <w:rPr>
                <w:rFonts w:eastAsia="Times New Roman" w:cs="Times New Roman"/>
                <w:b/>
                <w:bCs/>
                <w:color w:val="000000"/>
                <w:szCs w:val="24"/>
              </w:rPr>
            </w:pPr>
            <w:r w:rsidRPr="00934F2C">
              <w:rPr>
                <w:rFonts w:eastAsia="Times New Roman" w:cs="Times New Roman"/>
                <w:b/>
                <w:bCs/>
                <w:color w:val="000000"/>
                <w:szCs w:val="24"/>
              </w:rPr>
              <w:t>Fatal</w:t>
            </w:r>
          </w:p>
        </w:tc>
        <w:tc>
          <w:tcPr>
            <w:tcW w:w="1533" w:type="dxa"/>
            <w:shd w:val="clear" w:color="auto" w:fill="auto"/>
            <w:noWrap/>
            <w:vAlign w:val="center"/>
          </w:tcPr>
          <w:p w14:paraId="21F3B591" w14:textId="77777777" w:rsidR="000F0490" w:rsidRPr="00742361" w:rsidRDefault="000F5B51" w:rsidP="007550E2">
            <w:pPr>
              <w:spacing w:after="0" w:line="240" w:lineRule="auto"/>
              <w:contextualSpacing/>
              <w:jc w:val="center"/>
              <w:rPr>
                <w:rFonts w:eastAsia="Times New Roman" w:cs="Times New Roman"/>
                <w:b/>
                <w:bCs/>
                <w:color w:val="000000"/>
                <w:szCs w:val="24"/>
              </w:rPr>
            </w:pPr>
            <w:r>
              <w:rPr>
                <w:rFonts w:eastAsia="Times New Roman" w:cs="Times New Roman"/>
                <w:b/>
                <w:bCs/>
                <w:color w:val="000000"/>
                <w:szCs w:val="24"/>
              </w:rPr>
              <w:t>2</w:t>
            </w:r>
          </w:p>
        </w:tc>
        <w:tc>
          <w:tcPr>
            <w:tcW w:w="1780" w:type="dxa"/>
            <w:shd w:val="clear" w:color="auto" w:fill="auto"/>
            <w:noWrap/>
            <w:vAlign w:val="center"/>
          </w:tcPr>
          <w:p w14:paraId="1D893E5D" w14:textId="77777777" w:rsidR="000F0490" w:rsidRPr="00742361" w:rsidRDefault="000F5B51" w:rsidP="007550E2">
            <w:pPr>
              <w:spacing w:after="0" w:line="240" w:lineRule="auto"/>
              <w:contextualSpacing/>
              <w:jc w:val="center"/>
              <w:rPr>
                <w:rFonts w:eastAsia="Times New Roman" w:cs="Times New Roman"/>
                <w:b/>
                <w:bCs/>
                <w:color w:val="000000"/>
                <w:szCs w:val="24"/>
              </w:rPr>
            </w:pPr>
            <w:r>
              <w:rPr>
                <w:rFonts w:eastAsia="Times New Roman" w:cs="Times New Roman"/>
                <w:b/>
                <w:bCs/>
                <w:color w:val="000000"/>
                <w:szCs w:val="24"/>
              </w:rPr>
              <w:t>3</w:t>
            </w:r>
          </w:p>
        </w:tc>
        <w:tc>
          <w:tcPr>
            <w:tcW w:w="2142" w:type="dxa"/>
            <w:shd w:val="clear" w:color="auto" w:fill="auto"/>
            <w:noWrap/>
            <w:vAlign w:val="center"/>
          </w:tcPr>
          <w:p w14:paraId="352A4296" w14:textId="77777777" w:rsidR="000F0490" w:rsidRPr="00742361" w:rsidRDefault="000F5B51" w:rsidP="007550E2">
            <w:pPr>
              <w:spacing w:after="0" w:line="240" w:lineRule="auto"/>
              <w:contextualSpacing/>
              <w:jc w:val="center"/>
              <w:rPr>
                <w:rFonts w:eastAsia="Times New Roman" w:cs="Times New Roman"/>
                <w:b/>
                <w:bCs/>
                <w:color w:val="000000"/>
                <w:szCs w:val="24"/>
              </w:rPr>
            </w:pPr>
            <w:r>
              <w:rPr>
                <w:rFonts w:eastAsia="Times New Roman" w:cs="Times New Roman"/>
                <w:b/>
                <w:bCs/>
                <w:color w:val="000000"/>
                <w:szCs w:val="24"/>
              </w:rPr>
              <w:t>6</w:t>
            </w:r>
          </w:p>
        </w:tc>
      </w:tr>
      <w:tr w:rsidR="00A15C2C" w14:paraId="1051A761" w14:textId="77777777" w:rsidTr="007550E2">
        <w:trPr>
          <w:trHeight w:val="290"/>
          <w:jc w:val="center"/>
        </w:trPr>
        <w:tc>
          <w:tcPr>
            <w:tcW w:w="1066" w:type="dxa"/>
            <w:vMerge w:val="restart"/>
            <w:shd w:val="clear" w:color="auto" w:fill="auto"/>
            <w:noWrap/>
            <w:vAlign w:val="center"/>
            <w:hideMark/>
          </w:tcPr>
          <w:p w14:paraId="655A3886" w14:textId="77777777" w:rsidR="000F0490" w:rsidRPr="00A01CA7" w:rsidRDefault="000F5B51" w:rsidP="007550E2">
            <w:pPr>
              <w:spacing w:after="0" w:line="240" w:lineRule="auto"/>
              <w:contextualSpacing/>
              <w:rPr>
                <w:rFonts w:eastAsia="Times New Roman" w:cs="Times New Roman"/>
                <w:color w:val="000000"/>
                <w:szCs w:val="24"/>
              </w:rPr>
            </w:pPr>
            <w:r w:rsidRPr="00A01CA7">
              <w:rPr>
                <w:rFonts w:eastAsia="Times New Roman" w:cs="Times New Roman"/>
                <w:color w:val="000000"/>
                <w:szCs w:val="24"/>
              </w:rPr>
              <w:t>LTV</w:t>
            </w:r>
          </w:p>
          <w:p w14:paraId="51374671" w14:textId="77777777" w:rsidR="000F0490" w:rsidRPr="00A01CA7" w:rsidRDefault="000F5B51" w:rsidP="007550E2">
            <w:pPr>
              <w:spacing w:after="0" w:line="240" w:lineRule="auto"/>
              <w:contextualSpacing/>
              <w:rPr>
                <w:rFonts w:eastAsia="Times New Roman" w:cs="Times New Roman"/>
                <w:color w:val="000000"/>
                <w:szCs w:val="24"/>
              </w:rPr>
            </w:pPr>
            <w:r w:rsidRPr="00A01CA7">
              <w:rPr>
                <w:rFonts w:eastAsia="Times New Roman" w:cs="Times New Roman"/>
                <w:color w:val="000000"/>
                <w:szCs w:val="24"/>
              </w:rPr>
              <w:t> </w:t>
            </w:r>
          </w:p>
        </w:tc>
        <w:tc>
          <w:tcPr>
            <w:tcW w:w="2629" w:type="dxa"/>
            <w:shd w:val="clear" w:color="auto" w:fill="auto"/>
            <w:noWrap/>
            <w:vAlign w:val="center"/>
            <w:hideMark/>
          </w:tcPr>
          <w:p w14:paraId="50964E1E" w14:textId="77777777" w:rsidR="000F0490" w:rsidRPr="00A01CA7" w:rsidRDefault="000F5B51" w:rsidP="007550E2">
            <w:pPr>
              <w:spacing w:after="0" w:line="240" w:lineRule="auto"/>
              <w:contextualSpacing/>
              <w:rPr>
                <w:rFonts w:eastAsia="Times New Roman" w:cs="Times New Roman"/>
                <w:color w:val="000000"/>
                <w:szCs w:val="24"/>
              </w:rPr>
            </w:pPr>
            <w:r w:rsidRPr="00A01CA7">
              <w:rPr>
                <w:rFonts w:eastAsia="Times New Roman" w:cs="Times New Roman"/>
                <w:color w:val="000000"/>
                <w:szCs w:val="24"/>
              </w:rPr>
              <w:t>MAIS 1</w:t>
            </w:r>
          </w:p>
        </w:tc>
        <w:tc>
          <w:tcPr>
            <w:tcW w:w="1533" w:type="dxa"/>
            <w:shd w:val="clear" w:color="auto" w:fill="auto"/>
            <w:noWrap/>
            <w:vAlign w:val="center"/>
          </w:tcPr>
          <w:p w14:paraId="313FB269" w14:textId="77777777" w:rsidR="000F0490" w:rsidRPr="00A01CA7" w:rsidRDefault="000F5B51" w:rsidP="007550E2">
            <w:pPr>
              <w:spacing w:after="0" w:line="240" w:lineRule="auto"/>
              <w:contextualSpacing/>
              <w:jc w:val="center"/>
              <w:rPr>
                <w:rFonts w:eastAsia="Times New Roman" w:cs="Times New Roman"/>
                <w:color w:val="000000"/>
                <w:szCs w:val="24"/>
              </w:rPr>
            </w:pPr>
            <w:r w:rsidRPr="00325D08">
              <w:t>23</w:t>
            </w:r>
          </w:p>
        </w:tc>
        <w:tc>
          <w:tcPr>
            <w:tcW w:w="1780" w:type="dxa"/>
            <w:shd w:val="clear" w:color="auto" w:fill="auto"/>
            <w:noWrap/>
            <w:vAlign w:val="center"/>
          </w:tcPr>
          <w:p w14:paraId="73AC33FE" w14:textId="77777777" w:rsidR="000F0490" w:rsidRPr="00A01CA7" w:rsidRDefault="000F5B51" w:rsidP="007550E2">
            <w:pPr>
              <w:spacing w:after="0" w:line="240" w:lineRule="auto"/>
              <w:contextualSpacing/>
              <w:jc w:val="center"/>
              <w:rPr>
                <w:rFonts w:eastAsia="Times New Roman" w:cs="Times New Roman"/>
                <w:color w:val="000000"/>
                <w:szCs w:val="24"/>
              </w:rPr>
            </w:pPr>
            <w:r w:rsidRPr="00325D08">
              <w:t>112</w:t>
            </w:r>
          </w:p>
        </w:tc>
        <w:tc>
          <w:tcPr>
            <w:tcW w:w="2142" w:type="dxa"/>
            <w:shd w:val="clear" w:color="auto" w:fill="auto"/>
            <w:noWrap/>
            <w:vAlign w:val="center"/>
          </w:tcPr>
          <w:p w14:paraId="30538CEA" w14:textId="77777777" w:rsidR="000F0490" w:rsidRPr="00A01CA7" w:rsidRDefault="000F5B51" w:rsidP="007550E2">
            <w:pPr>
              <w:spacing w:after="0" w:line="240" w:lineRule="auto"/>
              <w:contextualSpacing/>
              <w:jc w:val="center"/>
              <w:rPr>
                <w:rFonts w:eastAsia="Times New Roman" w:cs="Times New Roman"/>
                <w:color w:val="000000"/>
                <w:szCs w:val="24"/>
              </w:rPr>
            </w:pPr>
            <w:r w:rsidRPr="00325D08">
              <w:t>135</w:t>
            </w:r>
          </w:p>
        </w:tc>
      </w:tr>
      <w:tr w:rsidR="00A15C2C" w14:paraId="02118292" w14:textId="77777777" w:rsidTr="007550E2">
        <w:trPr>
          <w:trHeight w:val="300"/>
          <w:jc w:val="center"/>
        </w:trPr>
        <w:tc>
          <w:tcPr>
            <w:tcW w:w="1066" w:type="dxa"/>
            <w:vMerge/>
            <w:shd w:val="clear" w:color="auto" w:fill="auto"/>
            <w:noWrap/>
            <w:vAlign w:val="center"/>
            <w:hideMark/>
          </w:tcPr>
          <w:p w14:paraId="278EFAD3" w14:textId="77777777" w:rsidR="000F0490" w:rsidRPr="00A01CA7" w:rsidRDefault="000F0490" w:rsidP="007550E2">
            <w:pPr>
              <w:spacing w:after="0" w:line="240" w:lineRule="auto"/>
              <w:contextualSpacing/>
              <w:rPr>
                <w:rFonts w:eastAsia="Times New Roman" w:cs="Times New Roman"/>
                <w:color w:val="000000"/>
                <w:szCs w:val="24"/>
              </w:rPr>
            </w:pPr>
          </w:p>
        </w:tc>
        <w:tc>
          <w:tcPr>
            <w:tcW w:w="2629" w:type="dxa"/>
            <w:shd w:val="clear" w:color="auto" w:fill="auto"/>
            <w:noWrap/>
            <w:vAlign w:val="center"/>
            <w:hideMark/>
          </w:tcPr>
          <w:p w14:paraId="3339282D" w14:textId="77777777" w:rsidR="000F0490" w:rsidRPr="00A01CA7" w:rsidRDefault="000F5B51" w:rsidP="007550E2">
            <w:pPr>
              <w:spacing w:after="0" w:line="240" w:lineRule="auto"/>
              <w:contextualSpacing/>
              <w:rPr>
                <w:rFonts w:eastAsia="Times New Roman" w:cs="Times New Roman"/>
                <w:color w:val="000000"/>
                <w:szCs w:val="24"/>
              </w:rPr>
            </w:pPr>
            <w:r w:rsidRPr="00A01CA7">
              <w:rPr>
                <w:rFonts w:eastAsia="Times New Roman" w:cs="Times New Roman"/>
                <w:color w:val="000000"/>
                <w:szCs w:val="24"/>
              </w:rPr>
              <w:t>MAIS 2</w:t>
            </w:r>
          </w:p>
        </w:tc>
        <w:tc>
          <w:tcPr>
            <w:tcW w:w="1533" w:type="dxa"/>
            <w:shd w:val="clear" w:color="auto" w:fill="auto"/>
            <w:noWrap/>
            <w:vAlign w:val="center"/>
          </w:tcPr>
          <w:p w14:paraId="32C710AD" w14:textId="77777777" w:rsidR="000F0490" w:rsidRPr="00A01CA7" w:rsidRDefault="000F5B51" w:rsidP="007550E2">
            <w:pPr>
              <w:spacing w:after="0" w:line="240" w:lineRule="auto"/>
              <w:contextualSpacing/>
              <w:jc w:val="center"/>
              <w:rPr>
                <w:rFonts w:eastAsia="Times New Roman" w:cs="Times New Roman"/>
                <w:color w:val="000000"/>
                <w:szCs w:val="24"/>
              </w:rPr>
            </w:pPr>
            <w:r w:rsidRPr="00325D08">
              <w:t>8</w:t>
            </w:r>
          </w:p>
        </w:tc>
        <w:tc>
          <w:tcPr>
            <w:tcW w:w="1780" w:type="dxa"/>
            <w:shd w:val="clear" w:color="auto" w:fill="auto"/>
            <w:noWrap/>
            <w:vAlign w:val="center"/>
          </w:tcPr>
          <w:p w14:paraId="19D79DE2" w14:textId="77777777" w:rsidR="000F0490" w:rsidRPr="00A01CA7" w:rsidRDefault="000F5B51" w:rsidP="007550E2">
            <w:pPr>
              <w:spacing w:after="0" w:line="240" w:lineRule="auto"/>
              <w:contextualSpacing/>
              <w:jc w:val="center"/>
              <w:rPr>
                <w:rFonts w:eastAsia="Times New Roman" w:cs="Times New Roman"/>
                <w:color w:val="000000"/>
                <w:szCs w:val="24"/>
              </w:rPr>
            </w:pPr>
            <w:r w:rsidRPr="00325D08">
              <w:t>38</w:t>
            </w:r>
          </w:p>
        </w:tc>
        <w:tc>
          <w:tcPr>
            <w:tcW w:w="2142" w:type="dxa"/>
            <w:shd w:val="clear" w:color="auto" w:fill="auto"/>
            <w:noWrap/>
            <w:vAlign w:val="center"/>
          </w:tcPr>
          <w:p w14:paraId="7FD0A331" w14:textId="77777777" w:rsidR="000F0490" w:rsidRPr="00A01CA7" w:rsidRDefault="000F5B51" w:rsidP="007550E2">
            <w:pPr>
              <w:spacing w:after="0" w:line="240" w:lineRule="auto"/>
              <w:contextualSpacing/>
              <w:jc w:val="center"/>
              <w:rPr>
                <w:rFonts w:eastAsia="Times New Roman" w:cs="Times New Roman"/>
                <w:color w:val="000000"/>
                <w:szCs w:val="24"/>
              </w:rPr>
            </w:pPr>
            <w:r w:rsidRPr="00325D08">
              <w:t>46</w:t>
            </w:r>
          </w:p>
        </w:tc>
      </w:tr>
      <w:tr w:rsidR="00A15C2C" w14:paraId="2C01F710" w14:textId="77777777" w:rsidTr="007550E2">
        <w:trPr>
          <w:trHeight w:val="290"/>
          <w:jc w:val="center"/>
        </w:trPr>
        <w:tc>
          <w:tcPr>
            <w:tcW w:w="1066" w:type="dxa"/>
            <w:vMerge/>
            <w:shd w:val="clear" w:color="auto" w:fill="auto"/>
            <w:noWrap/>
            <w:vAlign w:val="center"/>
            <w:hideMark/>
          </w:tcPr>
          <w:p w14:paraId="74CAC093" w14:textId="77777777" w:rsidR="000F0490" w:rsidRPr="00A01CA7" w:rsidRDefault="000F0490" w:rsidP="007550E2">
            <w:pPr>
              <w:spacing w:after="0" w:line="240" w:lineRule="auto"/>
              <w:contextualSpacing/>
              <w:rPr>
                <w:rFonts w:eastAsia="Times New Roman" w:cs="Times New Roman"/>
                <w:color w:val="000000"/>
                <w:szCs w:val="24"/>
              </w:rPr>
            </w:pPr>
          </w:p>
        </w:tc>
        <w:tc>
          <w:tcPr>
            <w:tcW w:w="2629" w:type="dxa"/>
            <w:shd w:val="clear" w:color="auto" w:fill="auto"/>
            <w:noWrap/>
            <w:vAlign w:val="center"/>
            <w:hideMark/>
          </w:tcPr>
          <w:p w14:paraId="214AC7AF" w14:textId="77777777" w:rsidR="000F0490" w:rsidRPr="00A01CA7" w:rsidRDefault="000F5B51" w:rsidP="007550E2">
            <w:pPr>
              <w:spacing w:after="0" w:line="240" w:lineRule="auto"/>
              <w:contextualSpacing/>
              <w:rPr>
                <w:rFonts w:eastAsia="Times New Roman" w:cs="Times New Roman"/>
                <w:color w:val="000000"/>
                <w:szCs w:val="24"/>
              </w:rPr>
            </w:pPr>
            <w:r w:rsidRPr="00A01CA7">
              <w:rPr>
                <w:rFonts w:eastAsia="Times New Roman" w:cs="Times New Roman"/>
                <w:color w:val="000000"/>
                <w:szCs w:val="24"/>
              </w:rPr>
              <w:t>MAIS 3</w:t>
            </w:r>
          </w:p>
        </w:tc>
        <w:tc>
          <w:tcPr>
            <w:tcW w:w="1533" w:type="dxa"/>
            <w:shd w:val="clear" w:color="auto" w:fill="auto"/>
            <w:noWrap/>
            <w:vAlign w:val="center"/>
          </w:tcPr>
          <w:p w14:paraId="4CDB4DEE" w14:textId="77777777" w:rsidR="000F0490" w:rsidRPr="00A01CA7" w:rsidRDefault="000F5B51" w:rsidP="007550E2">
            <w:pPr>
              <w:spacing w:after="0" w:line="240" w:lineRule="auto"/>
              <w:contextualSpacing/>
              <w:jc w:val="center"/>
              <w:rPr>
                <w:rFonts w:eastAsia="Times New Roman" w:cs="Times New Roman"/>
                <w:color w:val="000000"/>
                <w:szCs w:val="24"/>
              </w:rPr>
            </w:pPr>
            <w:r w:rsidRPr="00325D08">
              <w:t>0</w:t>
            </w:r>
          </w:p>
        </w:tc>
        <w:tc>
          <w:tcPr>
            <w:tcW w:w="1780" w:type="dxa"/>
            <w:shd w:val="clear" w:color="auto" w:fill="auto"/>
            <w:noWrap/>
            <w:vAlign w:val="center"/>
          </w:tcPr>
          <w:p w14:paraId="144976A2" w14:textId="77777777" w:rsidR="000F0490" w:rsidRPr="00A01CA7" w:rsidRDefault="000F5B51" w:rsidP="007550E2">
            <w:pPr>
              <w:spacing w:after="0" w:line="240" w:lineRule="auto"/>
              <w:contextualSpacing/>
              <w:jc w:val="center"/>
              <w:rPr>
                <w:rFonts w:eastAsia="Times New Roman" w:cs="Times New Roman"/>
                <w:color w:val="000000"/>
                <w:szCs w:val="24"/>
              </w:rPr>
            </w:pPr>
            <w:r w:rsidRPr="00325D08">
              <w:t>0</w:t>
            </w:r>
          </w:p>
        </w:tc>
        <w:tc>
          <w:tcPr>
            <w:tcW w:w="2142" w:type="dxa"/>
            <w:shd w:val="clear" w:color="auto" w:fill="auto"/>
            <w:noWrap/>
            <w:vAlign w:val="center"/>
          </w:tcPr>
          <w:p w14:paraId="6158F027" w14:textId="77777777" w:rsidR="000F0490" w:rsidRPr="00A01CA7" w:rsidRDefault="000F5B51" w:rsidP="007550E2">
            <w:pPr>
              <w:spacing w:after="0" w:line="240" w:lineRule="auto"/>
              <w:contextualSpacing/>
              <w:jc w:val="center"/>
              <w:rPr>
                <w:rFonts w:eastAsia="Times New Roman" w:cs="Times New Roman"/>
                <w:color w:val="000000"/>
                <w:szCs w:val="24"/>
              </w:rPr>
            </w:pPr>
            <w:r w:rsidRPr="00325D08">
              <w:t>0</w:t>
            </w:r>
          </w:p>
        </w:tc>
      </w:tr>
      <w:tr w:rsidR="00A15C2C" w14:paraId="0ABB0FBD" w14:textId="77777777" w:rsidTr="007550E2">
        <w:trPr>
          <w:trHeight w:val="300"/>
          <w:jc w:val="center"/>
        </w:trPr>
        <w:tc>
          <w:tcPr>
            <w:tcW w:w="1066" w:type="dxa"/>
            <w:vMerge/>
            <w:shd w:val="clear" w:color="auto" w:fill="auto"/>
            <w:noWrap/>
            <w:vAlign w:val="center"/>
            <w:hideMark/>
          </w:tcPr>
          <w:p w14:paraId="626FF40E" w14:textId="77777777" w:rsidR="000F0490" w:rsidRPr="00A01CA7" w:rsidRDefault="000F0490" w:rsidP="007550E2">
            <w:pPr>
              <w:spacing w:after="0" w:line="240" w:lineRule="auto"/>
              <w:contextualSpacing/>
              <w:rPr>
                <w:rFonts w:eastAsia="Times New Roman" w:cs="Times New Roman"/>
                <w:color w:val="000000"/>
                <w:szCs w:val="24"/>
              </w:rPr>
            </w:pPr>
          </w:p>
        </w:tc>
        <w:tc>
          <w:tcPr>
            <w:tcW w:w="2629" w:type="dxa"/>
            <w:shd w:val="clear" w:color="auto" w:fill="auto"/>
            <w:noWrap/>
            <w:vAlign w:val="center"/>
            <w:hideMark/>
          </w:tcPr>
          <w:p w14:paraId="7BF2B5B8" w14:textId="77777777" w:rsidR="000F0490" w:rsidRPr="00A01CA7" w:rsidRDefault="000F5B51" w:rsidP="007550E2">
            <w:pPr>
              <w:spacing w:after="0" w:line="240" w:lineRule="auto"/>
              <w:contextualSpacing/>
              <w:rPr>
                <w:rFonts w:eastAsia="Times New Roman" w:cs="Times New Roman"/>
                <w:color w:val="000000"/>
                <w:szCs w:val="24"/>
              </w:rPr>
            </w:pPr>
            <w:r w:rsidRPr="00A01CA7">
              <w:rPr>
                <w:rFonts w:eastAsia="Times New Roman" w:cs="Times New Roman"/>
                <w:color w:val="000000"/>
                <w:szCs w:val="24"/>
              </w:rPr>
              <w:t>MAIS 4</w:t>
            </w:r>
          </w:p>
        </w:tc>
        <w:tc>
          <w:tcPr>
            <w:tcW w:w="1533" w:type="dxa"/>
            <w:shd w:val="clear" w:color="auto" w:fill="auto"/>
            <w:noWrap/>
            <w:vAlign w:val="center"/>
          </w:tcPr>
          <w:p w14:paraId="29323E9E" w14:textId="77777777" w:rsidR="000F0490" w:rsidRPr="00A01CA7" w:rsidRDefault="000F5B51" w:rsidP="007550E2">
            <w:pPr>
              <w:spacing w:after="0" w:line="240" w:lineRule="auto"/>
              <w:contextualSpacing/>
              <w:jc w:val="center"/>
              <w:rPr>
                <w:rFonts w:eastAsia="Times New Roman" w:cs="Times New Roman"/>
                <w:color w:val="000000"/>
                <w:szCs w:val="24"/>
              </w:rPr>
            </w:pPr>
            <w:r w:rsidRPr="00325D08">
              <w:t>0</w:t>
            </w:r>
          </w:p>
        </w:tc>
        <w:tc>
          <w:tcPr>
            <w:tcW w:w="1780" w:type="dxa"/>
            <w:shd w:val="clear" w:color="auto" w:fill="auto"/>
            <w:noWrap/>
            <w:vAlign w:val="center"/>
          </w:tcPr>
          <w:p w14:paraId="07990719" w14:textId="77777777" w:rsidR="000F0490" w:rsidRPr="00A01CA7" w:rsidRDefault="000F5B51" w:rsidP="007550E2">
            <w:pPr>
              <w:spacing w:after="0" w:line="240" w:lineRule="auto"/>
              <w:contextualSpacing/>
              <w:jc w:val="center"/>
              <w:rPr>
                <w:rFonts w:eastAsia="Times New Roman" w:cs="Times New Roman"/>
                <w:color w:val="000000"/>
                <w:szCs w:val="24"/>
              </w:rPr>
            </w:pPr>
            <w:r w:rsidRPr="00325D08">
              <w:t>2</w:t>
            </w:r>
          </w:p>
        </w:tc>
        <w:tc>
          <w:tcPr>
            <w:tcW w:w="2142" w:type="dxa"/>
            <w:shd w:val="clear" w:color="auto" w:fill="auto"/>
            <w:noWrap/>
            <w:vAlign w:val="center"/>
          </w:tcPr>
          <w:p w14:paraId="14B1F971" w14:textId="77777777" w:rsidR="000F0490" w:rsidRPr="00A01CA7" w:rsidRDefault="000F5B51" w:rsidP="007550E2">
            <w:pPr>
              <w:spacing w:after="0" w:line="240" w:lineRule="auto"/>
              <w:contextualSpacing/>
              <w:jc w:val="center"/>
              <w:rPr>
                <w:rFonts w:eastAsia="Times New Roman" w:cs="Times New Roman"/>
                <w:color w:val="000000"/>
                <w:szCs w:val="24"/>
              </w:rPr>
            </w:pPr>
            <w:r w:rsidRPr="00325D08">
              <w:t>2</w:t>
            </w:r>
          </w:p>
        </w:tc>
      </w:tr>
      <w:tr w:rsidR="00A15C2C" w14:paraId="07EAF45F" w14:textId="77777777" w:rsidTr="007550E2">
        <w:trPr>
          <w:trHeight w:val="290"/>
          <w:jc w:val="center"/>
        </w:trPr>
        <w:tc>
          <w:tcPr>
            <w:tcW w:w="1066" w:type="dxa"/>
            <w:vMerge/>
            <w:shd w:val="clear" w:color="auto" w:fill="auto"/>
            <w:noWrap/>
            <w:vAlign w:val="center"/>
            <w:hideMark/>
          </w:tcPr>
          <w:p w14:paraId="4557752A" w14:textId="77777777" w:rsidR="000F0490" w:rsidRPr="00A01CA7" w:rsidRDefault="000F0490" w:rsidP="007550E2">
            <w:pPr>
              <w:spacing w:after="0" w:line="240" w:lineRule="auto"/>
              <w:contextualSpacing/>
              <w:rPr>
                <w:rFonts w:eastAsia="Times New Roman" w:cs="Times New Roman"/>
                <w:color w:val="000000"/>
                <w:szCs w:val="24"/>
              </w:rPr>
            </w:pPr>
          </w:p>
        </w:tc>
        <w:tc>
          <w:tcPr>
            <w:tcW w:w="2629" w:type="dxa"/>
            <w:shd w:val="clear" w:color="auto" w:fill="auto"/>
            <w:noWrap/>
            <w:vAlign w:val="center"/>
            <w:hideMark/>
          </w:tcPr>
          <w:p w14:paraId="4736AC3E" w14:textId="77777777" w:rsidR="000F0490" w:rsidRPr="00A01CA7" w:rsidRDefault="000F5B51" w:rsidP="007550E2">
            <w:pPr>
              <w:spacing w:after="0" w:line="240" w:lineRule="auto"/>
              <w:contextualSpacing/>
              <w:rPr>
                <w:rFonts w:eastAsia="Times New Roman" w:cs="Times New Roman"/>
                <w:color w:val="000000"/>
                <w:szCs w:val="24"/>
              </w:rPr>
            </w:pPr>
            <w:r w:rsidRPr="00A01CA7">
              <w:rPr>
                <w:rFonts w:eastAsia="Times New Roman" w:cs="Times New Roman"/>
                <w:color w:val="000000"/>
                <w:szCs w:val="24"/>
              </w:rPr>
              <w:t>MAIS 5</w:t>
            </w:r>
          </w:p>
        </w:tc>
        <w:tc>
          <w:tcPr>
            <w:tcW w:w="1533" w:type="dxa"/>
            <w:shd w:val="clear" w:color="auto" w:fill="auto"/>
            <w:noWrap/>
            <w:vAlign w:val="center"/>
          </w:tcPr>
          <w:p w14:paraId="177A9427" w14:textId="77777777" w:rsidR="000F0490" w:rsidRPr="00A01CA7" w:rsidRDefault="000F5B51" w:rsidP="007550E2">
            <w:pPr>
              <w:spacing w:after="0" w:line="240" w:lineRule="auto"/>
              <w:contextualSpacing/>
              <w:jc w:val="center"/>
              <w:rPr>
                <w:rFonts w:eastAsia="Times New Roman" w:cs="Times New Roman"/>
                <w:color w:val="000000"/>
                <w:szCs w:val="24"/>
              </w:rPr>
            </w:pPr>
            <w:r w:rsidRPr="00325D08">
              <w:t>0</w:t>
            </w:r>
          </w:p>
        </w:tc>
        <w:tc>
          <w:tcPr>
            <w:tcW w:w="1780" w:type="dxa"/>
            <w:shd w:val="clear" w:color="auto" w:fill="auto"/>
            <w:noWrap/>
            <w:vAlign w:val="center"/>
          </w:tcPr>
          <w:p w14:paraId="54925689" w14:textId="77777777" w:rsidR="000F0490" w:rsidRPr="00A01CA7" w:rsidRDefault="000F5B51" w:rsidP="007550E2">
            <w:pPr>
              <w:spacing w:after="0" w:line="240" w:lineRule="auto"/>
              <w:contextualSpacing/>
              <w:jc w:val="center"/>
              <w:rPr>
                <w:rFonts w:eastAsia="Times New Roman" w:cs="Times New Roman"/>
                <w:color w:val="000000"/>
                <w:szCs w:val="24"/>
              </w:rPr>
            </w:pPr>
            <w:r w:rsidRPr="00325D08">
              <w:t>0</w:t>
            </w:r>
          </w:p>
        </w:tc>
        <w:tc>
          <w:tcPr>
            <w:tcW w:w="2142" w:type="dxa"/>
            <w:shd w:val="clear" w:color="auto" w:fill="auto"/>
            <w:noWrap/>
            <w:vAlign w:val="center"/>
          </w:tcPr>
          <w:p w14:paraId="0D0EB2B8" w14:textId="77777777" w:rsidR="000F0490" w:rsidRPr="00A01CA7" w:rsidRDefault="000F5B51" w:rsidP="007550E2">
            <w:pPr>
              <w:spacing w:after="0" w:line="240" w:lineRule="auto"/>
              <w:contextualSpacing/>
              <w:jc w:val="center"/>
              <w:rPr>
                <w:rFonts w:eastAsia="Times New Roman" w:cs="Times New Roman"/>
                <w:color w:val="000000"/>
                <w:szCs w:val="24"/>
              </w:rPr>
            </w:pPr>
            <w:r w:rsidRPr="00325D08">
              <w:t>0</w:t>
            </w:r>
          </w:p>
        </w:tc>
      </w:tr>
      <w:tr w:rsidR="00A15C2C" w14:paraId="20ADABFB" w14:textId="77777777" w:rsidTr="007550E2">
        <w:trPr>
          <w:trHeight w:val="290"/>
          <w:jc w:val="center"/>
        </w:trPr>
        <w:tc>
          <w:tcPr>
            <w:tcW w:w="1066" w:type="dxa"/>
            <w:vMerge/>
            <w:shd w:val="clear" w:color="auto" w:fill="auto"/>
            <w:noWrap/>
            <w:vAlign w:val="center"/>
          </w:tcPr>
          <w:p w14:paraId="5BAD847A" w14:textId="77777777" w:rsidR="000F0490" w:rsidRPr="00A01CA7" w:rsidRDefault="000F0490" w:rsidP="007550E2">
            <w:pPr>
              <w:spacing w:after="0" w:line="240" w:lineRule="auto"/>
              <w:contextualSpacing/>
              <w:rPr>
                <w:rFonts w:eastAsia="Times New Roman" w:cs="Times New Roman"/>
                <w:color w:val="000000"/>
                <w:szCs w:val="24"/>
              </w:rPr>
            </w:pPr>
          </w:p>
        </w:tc>
        <w:tc>
          <w:tcPr>
            <w:tcW w:w="2629" w:type="dxa"/>
            <w:shd w:val="clear" w:color="auto" w:fill="auto"/>
            <w:noWrap/>
            <w:vAlign w:val="center"/>
          </w:tcPr>
          <w:p w14:paraId="2AC01D5B" w14:textId="77777777" w:rsidR="000F0490" w:rsidRPr="00934F2C" w:rsidRDefault="000F5B51" w:rsidP="007550E2">
            <w:pPr>
              <w:spacing w:after="0" w:line="240" w:lineRule="auto"/>
              <w:contextualSpacing/>
              <w:rPr>
                <w:rFonts w:eastAsia="Times New Roman" w:cs="Times New Roman"/>
                <w:b/>
                <w:bCs/>
                <w:color w:val="000000"/>
                <w:szCs w:val="24"/>
              </w:rPr>
            </w:pPr>
            <w:r w:rsidRPr="00934F2C">
              <w:rPr>
                <w:rFonts w:eastAsia="Times New Roman" w:cs="Times New Roman"/>
                <w:b/>
                <w:bCs/>
                <w:color w:val="000000"/>
                <w:szCs w:val="24"/>
              </w:rPr>
              <w:t>Total Injuries</w:t>
            </w:r>
          </w:p>
          <w:p w14:paraId="2732E827" w14:textId="77777777" w:rsidR="000F0490" w:rsidRPr="00A01CA7" w:rsidRDefault="000F5B51" w:rsidP="007550E2">
            <w:pPr>
              <w:spacing w:after="0" w:line="240" w:lineRule="auto"/>
              <w:contextualSpacing/>
              <w:rPr>
                <w:rFonts w:eastAsia="Times New Roman" w:cs="Times New Roman"/>
                <w:color w:val="000000"/>
                <w:szCs w:val="24"/>
              </w:rPr>
            </w:pPr>
            <w:r w:rsidRPr="00934F2C">
              <w:rPr>
                <w:rFonts w:eastAsia="Times New Roman" w:cs="Times New Roman"/>
                <w:b/>
                <w:bCs/>
                <w:color w:val="000000"/>
                <w:szCs w:val="24"/>
              </w:rPr>
              <w:t xml:space="preserve"> (MAIS 1-5)</w:t>
            </w:r>
          </w:p>
        </w:tc>
        <w:tc>
          <w:tcPr>
            <w:tcW w:w="1533" w:type="dxa"/>
            <w:shd w:val="clear" w:color="auto" w:fill="auto"/>
            <w:noWrap/>
            <w:vAlign w:val="center"/>
          </w:tcPr>
          <w:p w14:paraId="6700ED91" w14:textId="77777777" w:rsidR="000F0490" w:rsidRPr="002F2E1D" w:rsidRDefault="000F5B51" w:rsidP="007550E2">
            <w:pPr>
              <w:spacing w:after="0" w:line="240" w:lineRule="auto"/>
              <w:contextualSpacing/>
              <w:jc w:val="center"/>
              <w:rPr>
                <w:rFonts w:eastAsia="Times New Roman" w:cs="Times New Roman"/>
                <w:b/>
                <w:bCs/>
                <w:color w:val="000000"/>
                <w:szCs w:val="24"/>
              </w:rPr>
            </w:pPr>
            <w:r w:rsidRPr="002F2E1D">
              <w:rPr>
                <w:b/>
                <w:bCs/>
              </w:rPr>
              <w:t>31</w:t>
            </w:r>
          </w:p>
        </w:tc>
        <w:tc>
          <w:tcPr>
            <w:tcW w:w="1780" w:type="dxa"/>
            <w:shd w:val="clear" w:color="auto" w:fill="auto"/>
            <w:noWrap/>
            <w:vAlign w:val="center"/>
          </w:tcPr>
          <w:p w14:paraId="29A6C5DE" w14:textId="77777777" w:rsidR="000F0490" w:rsidRPr="002F2E1D" w:rsidRDefault="000F5B51" w:rsidP="007550E2">
            <w:pPr>
              <w:spacing w:after="0" w:line="240" w:lineRule="auto"/>
              <w:contextualSpacing/>
              <w:jc w:val="center"/>
              <w:rPr>
                <w:rFonts w:eastAsia="Times New Roman" w:cs="Times New Roman"/>
                <w:b/>
                <w:bCs/>
                <w:color w:val="000000"/>
                <w:szCs w:val="24"/>
              </w:rPr>
            </w:pPr>
            <w:r w:rsidRPr="002F2E1D">
              <w:rPr>
                <w:b/>
                <w:bCs/>
              </w:rPr>
              <w:t>152</w:t>
            </w:r>
          </w:p>
        </w:tc>
        <w:tc>
          <w:tcPr>
            <w:tcW w:w="2142" w:type="dxa"/>
            <w:shd w:val="clear" w:color="auto" w:fill="auto"/>
            <w:noWrap/>
            <w:vAlign w:val="center"/>
          </w:tcPr>
          <w:p w14:paraId="7E01A897" w14:textId="77777777" w:rsidR="000F0490" w:rsidRPr="002F2E1D" w:rsidRDefault="000F5B51" w:rsidP="007550E2">
            <w:pPr>
              <w:spacing w:after="0" w:line="240" w:lineRule="auto"/>
              <w:contextualSpacing/>
              <w:jc w:val="center"/>
              <w:rPr>
                <w:rFonts w:eastAsia="Times New Roman" w:cs="Times New Roman"/>
                <w:b/>
                <w:bCs/>
                <w:color w:val="000000"/>
                <w:szCs w:val="24"/>
              </w:rPr>
            </w:pPr>
            <w:r w:rsidRPr="002F2E1D">
              <w:rPr>
                <w:b/>
                <w:bCs/>
              </w:rPr>
              <w:t>183</w:t>
            </w:r>
          </w:p>
        </w:tc>
      </w:tr>
      <w:tr w:rsidR="00A15C2C" w14:paraId="7E2BF06F" w14:textId="77777777" w:rsidTr="007550E2">
        <w:trPr>
          <w:trHeight w:val="300"/>
          <w:jc w:val="center"/>
        </w:trPr>
        <w:tc>
          <w:tcPr>
            <w:tcW w:w="1066" w:type="dxa"/>
            <w:vMerge/>
            <w:shd w:val="clear" w:color="auto" w:fill="auto"/>
            <w:noWrap/>
            <w:vAlign w:val="center"/>
            <w:hideMark/>
          </w:tcPr>
          <w:p w14:paraId="41AB913A" w14:textId="77777777" w:rsidR="000F0490" w:rsidRPr="00A01CA7" w:rsidRDefault="000F0490" w:rsidP="007550E2">
            <w:pPr>
              <w:spacing w:after="0" w:line="240" w:lineRule="auto"/>
              <w:contextualSpacing/>
              <w:rPr>
                <w:rFonts w:eastAsia="Times New Roman" w:cs="Times New Roman"/>
                <w:color w:val="000000"/>
                <w:szCs w:val="24"/>
              </w:rPr>
            </w:pPr>
          </w:p>
        </w:tc>
        <w:tc>
          <w:tcPr>
            <w:tcW w:w="2629" w:type="dxa"/>
            <w:shd w:val="clear" w:color="auto" w:fill="auto"/>
            <w:noWrap/>
            <w:vAlign w:val="center"/>
            <w:hideMark/>
          </w:tcPr>
          <w:p w14:paraId="6DEF3E20" w14:textId="77777777" w:rsidR="000F0490" w:rsidRPr="00934F2C" w:rsidRDefault="000F5B51" w:rsidP="007550E2">
            <w:pPr>
              <w:spacing w:after="0" w:line="240" w:lineRule="auto"/>
              <w:contextualSpacing/>
              <w:rPr>
                <w:rFonts w:eastAsia="Times New Roman" w:cs="Times New Roman"/>
                <w:b/>
                <w:bCs/>
                <w:color w:val="000000"/>
                <w:szCs w:val="24"/>
              </w:rPr>
            </w:pPr>
            <w:r w:rsidRPr="00934F2C">
              <w:rPr>
                <w:rFonts w:eastAsia="Times New Roman" w:cs="Times New Roman"/>
                <w:b/>
                <w:bCs/>
                <w:color w:val="000000"/>
                <w:szCs w:val="24"/>
              </w:rPr>
              <w:t>Fatal</w:t>
            </w:r>
          </w:p>
        </w:tc>
        <w:tc>
          <w:tcPr>
            <w:tcW w:w="1533" w:type="dxa"/>
            <w:shd w:val="clear" w:color="auto" w:fill="auto"/>
            <w:noWrap/>
          </w:tcPr>
          <w:p w14:paraId="0E2F4C96" w14:textId="77777777" w:rsidR="000F0490" w:rsidRPr="00742361" w:rsidRDefault="000F5B51" w:rsidP="007550E2">
            <w:pPr>
              <w:spacing w:after="0" w:line="240" w:lineRule="auto"/>
              <w:contextualSpacing/>
              <w:jc w:val="center"/>
              <w:rPr>
                <w:rFonts w:eastAsia="Times New Roman" w:cs="Times New Roman"/>
                <w:b/>
                <w:bCs/>
                <w:color w:val="000000"/>
                <w:szCs w:val="24"/>
              </w:rPr>
            </w:pPr>
            <w:r>
              <w:rPr>
                <w:rFonts w:eastAsia="Times New Roman" w:cs="Times New Roman"/>
                <w:b/>
                <w:bCs/>
                <w:color w:val="000000"/>
                <w:szCs w:val="24"/>
              </w:rPr>
              <w:t>5</w:t>
            </w:r>
          </w:p>
        </w:tc>
        <w:tc>
          <w:tcPr>
            <w:tcW w:w="1780" w:type="dxa"/>
            <w:shd w:val="clear" w:color="auto" w:fill="auto"/>
            <w:noWrap/>
          </w:tcPr>
          <w:p w14:paraId="4799CCD1" w14:textId="77777777" w:rsidR="000F0490" w:rsidRPr="00742361" w:rsidRDefault="000F5B51" w:rsidP="007550E2">
            <w:pPr>
              <w:spacing w:after="0" w:line="240" w:lineRule="auto"/>
              <w:contextualSpacing/>
              <w:jc w:val="center"/>
              <w:rPr>
                <w:rFonts w:eastAsia="Times New Roman" w:cs="Times New Roman"/>
                <w:b/>
                <w:bCs/>
                <w:color w:val="000000"/>
                <w:szCs w:val="24"/>
              </w:rPr>
            </w:pPr>
            <w:r>
              <w:rPr>
                <w:rFonts w:eastAsia="Times New Roman" w:cs="Times New Roman"/>
                <w:b/>
                <w:bCs/>
                <w:color w:val="000000"/>
                <w:szCs w:val="24"/>
              </w:rPr>
              <w:t>23</w:t>
            </w:r>
          </w:p>
        </w:tc>
        <w:tc>
          <w:tcPr>
            <w:tcW w:w="2142" w:type="dxa"/>
            <w:shd w:val="clear" w:color="auto" w:fill="auto"/>
            <w:noWrap/>
          </w:tcPr>
          <w:p w14:paraId="72533BD9" w14:textId="77777777" w:rsidR="000F0490" w:rsidRPr="00742361" w:rsidRDefault="000F5B51" w:rsidP="007550E2">
            <w:pPr>
              <w:spacing w:after="0" w:line="240" w:lineRule="auto"/>
              <w:contextualSpacing/>
              <w:jc w:val="center"/>
              <w:rPr>
                <w:rFonts w:eastAsia="Times New Roman" w:cs="Times New Roman"/>
                <w:b/>
                <w:bCs/>
                <w:color w:val="000000"/>
                <w:szCs w:val="24"/>
              </w:rPr>
            </w:pPr>
            <w:r>
              <w:rPr>
                <w:rFonts w:eastAsia="Times New Roman" w:cs="Times New Roman"/>
                <w:b/>
                <w:bCs/>
                <w:color w:val="000000"/>
                <w:szCs w:val="24"/>
              </w:rPr>
              <w:t>28</w:t>
            </w:r>
          </w:p>
        </w:tc>
      </w:tr>
    </w:tbl>
    <w:p w14:paraId="76B3D539" w14:textId="77777777" w:rsidR="000F0490" w:rsidRPr="00B62C87" w:rsidRDefault="000F5B51" w:rsidP="000F0490">
      <w:pPr>
        <w:spacing w:after="0" w:line="240" w:lineRule="auto"/>
        <w:rPr>
          <w:sz w:val="18"/>
          <w:szCs w:val="18"/>
        </w:rPr>
      </w:pPr>
      <w:r w:rsidRPr="00B62C87">
        <w:rPr>
          <w:sz w:val="18"/>
          <w:szCs w:val="18"/>
        </w:rPr>
        <w:t xml:space="preserve">Note: Values may not sum due to rounding. Injuries and fatalities are rounded to the nearest whole number for presentation purposes. Unrounded numbers </w:t>
      </w:r>
      <w:r>
        <w:rPr>
          <w:sz w:val="18"/>
          <w:szCs w:val="18"/>
        </w:rPr>
        <w:t>were</w:t>
      </w:r>
      <w:r w:rsidRPr="00B62C87">
        <w:rPr>
          <w:sz w:val="18"/>
          <w:szCs w:val="18"/>
        </w:rPr>
        <w:t xml:space="preserve"> carried through the benefits calculation. </w:t>
      </w:r>
    </w:p>
    <w:p w14:paraId="6C07D222" w14:textId="77777777" w:rsidR="000F0490" w:rsidRDefault="000F0490" w:rsidP="000F0490">
      <w:pPr>
        <w:pStyle w:val="NoSpaceTimes"/>
      </w:pPr>
    </w:p>
    <w:p w14:paraId="031547E2" w14:textId="5AA1A0A4" w:rsidR="000F0490" w:rsidRDefault="000F5B51" w:rsidP="000F0490">
      <w:r>
        <w:t xml:space="preserve">Due to a lack of data, this analysis is unable to establish the seat belt use rate for front center passengers under the baseline. Therefore, due to that limitation, this analysis also cannot estimate the increase in seat belt use rates under this regulatory alternative. Therefore, as front center seat passengers are most similar to right front seat passengers, this analysis makes use of the effectiveness rates calculated for right front seat passengers. Effectiveness rates for right front seat passengers are presented in </w:t>
      </w:r>
      <w:r w:rsidR="001972F4">
        <w:fldChar w:fldCharType="begin"/>
      </w:r>
      <w:r w:rsidR="001972F4">
        <w:instrText xml:space="preserve"> REF _Ref126909159 \h </w:instrText>
      </w:r>
      <w:r w:rsidR="001972F4">
        <w:fldChar w:fldCharType="separate"/>
      </w:r>
      <w:r w:rsidR="00A65CB3">
        <w:t xml:space="preserve">Table </w:t>
      </w:r>
      <w:r w:rsidR="00A65CB3">
        <w:rPr>
          <w:noProof/>
        </w:rPr>
        <w:t>60</w:t>
      </w:r>
      <w:r w:rsidR="001972F4">
        <w:fldChar w:fldCharType="end"/>
      </w:r>
      <w:r w:rsidR="001972F4">
        <w:t xml:space="preserve"> </w:t>
      </w:r>
      <w:r>
        <w:t xml:space="preserve">and are calculated by dividing incremental benefits by the number of observed fatalities and non-fatal injuries. In this analysis, we make use of that effectiveness rate to calculate incremental benefits by multiplying effectiveness by the number of observed fatalities and non-fatal injuries. </w:t>
      </w:r>
    </w:p>
    <w:p w14:paraId="6273615F" w14:textId="446564D7" w:rsidR="000F0490" w:rsidRDefault="000F5B51" w:rsidP="000F0490">
      <w:pPr>
        <w:tabs>
          <w:tab w:val="right" w:pos="9360"/>
        </w:tabs>
        <w:rPr>
          <w:rFonts w:eastAsia="Times New Roman" w:cs="Times New Roman"/>
          <w:color w:val="000000"/>
          <w:szCs w:val="24"/>
        </w:rPr>
      </w:pPr>
      <w:r>
        <w:rPr>
          <w:rFonts w:eastAsia="Times New Roman" w:cs="Times New Roman"/>
          <w:color w:val="000000"/>
          <w:szCs w:val="24"/>
        </w:rPr>
        <w:fldChar w:fldCharType="begin"/>
      </w:r>
      <w:r>
        <w:rPr>
          <w:rFonts w:eastAsia="Times New Roman" w:cs="Times New Roman"/>
          <w:color w:val="000000"/>
          <w:szCs w:val="24"/>
        </w:rPr>
        <w:instrText xml:space="preserve"> REF _Ref128030337 \h </w:instrText>
      </w:r>
      <w:r>
        <w:rPr>
          <w:rFonts w:eastAsia="Times New Roman" w:cs="Times New Roman"/>
          <w:color w:val="000000"/>
          <w:szCs w:val="24"/>
        </w:rPr>
      </w:r>
      <w:r>
        <w:rPr>
          <w:rFonts w:eastAsia="Times New Roman" w:cs="Times New Roman"/>
          <w:color w:val="000000"/>
          <w:szCs w:val="24"/>
        </w:rPr>
        <w:fldChar w:fldCharType="separate"/>
      </w:r>
      <w:r w:rsidR="00A65CB3">
        <w:t xml:space="preserve">Table </w:t>
      </w:r>
      <w:r w:rsidR="00A65CB3">
        <w:rPr>
          <w:noProof/>
        </w:rPr>
        <w:t>87</w:t>
      </w:r>
      <w:r>
        <w:rPr>
          <w:rFonts w:eastAsia="Times New Roman" w:cs="Times New Roman"/>
          <w:color w:val="000000"/>
          <w:szCs w:val="24"/>
        </w:rPr>
        <w:fldChar w:fldCharType="end"/>
      </w:r>
      <w:r>
        <w:rPr>
          <w:rFonts w:eastAsia="Times New Roman" w:cs="Times New Roman"/>
          <w:color w:val="000000"/>
          <w:szCs w:val="24"/>
        </w:rPr>
        <w:t xml:space="preserve"> presents the calculation of incremental benefits for front center seat passengers. Given the relatively small target population, when making use of the effectiveness rate from right front </w:t>
      </w:r>
      <w:r>
        <w:rPr>
          <w:rFonts w:eastAsia="Times New Roman" w:cs="Times New Roman"/>
          <w:color w:val="000000"/>
          <w:szCs w:val="24"/>
        </w:rPr>
        <w:lastRenderedPageBreak/>
        <w:t>seat passengers the resulting incremental benefits are small. Across all injury severity levels, incremental benefits are less than one. Additionally, we make note that using the effectiveness calculated for right front seat passengers may overestimate benefits in this analysis as the right front seat includes seat belts and air bags while the front center seat only includes seat belts.</w:t>
      </w:r>
      <w:r>
        <w:rPr>
          <w:rFonts w:eastAsia="Times New Roman" w:cs="Times New Roman"/>
          <w:color w:val="000000"/>
          <w:szCs w:val="24"/>
        </w:rPr>
        <w:tab/>
      </w:r>
    </w:p>
    <w:p w14:paraId="7F6B6329" w14:textId="1C2109D4" w:rsidR="000F0490" w:rsidRDefault="000F5B51" w:rsidP="000F0490">
      <w:pPr>
        <w:pStyle w:val="Caption"/>
        <w:rPr>
          <w:rFonts w:eastAsia="Times New Roman" w:cs="Times New Roman"/>
          <w:color w:val="000000"/>
          <w:szCs w:val="24"/>
        </w:rPr>
      </w:pPr>
      <w:bookmarkStart w:id="1746" w:name="_Ref128030337"/>
      <w:r>
        <w:t xml:space="preserve">Table </w:t>
      </w:r>
      <w:r w:rsidR="00115BAB">
        <w:fldChar w:fldCharType="begin"/>
      </w:r>
      <w:r>
        <w:instrText xml:space="preserve"> SEQ Table \* ARABIC </w:instrText>
      </w:r>
      <w:r w:rsidR="00115BAB">
        <w:fldChar w:fldCharType="separate"/>
      </w:r>
      <w:r w:rsidR="00A65CB3">
        <w:rPr>
          <w:noProof/>
        </w:rPr>
        <w:t>87</w:t>
      </w:r>
      <w:r w:rsidR="00115BAB">
        <w:rPr>
          <w:noProof/>
        </w:rPr>
        <w:fldChar w:fldCharType="end"/>
      </w:r>
      <w:bookmarkEnd w:id="1746"/>
      <w:r>
        <w:t>: Incremental Benefits for Front Center Seat Passengers</w:t>
      </w:r>
    </w:p>
    <w:tbl>
      <w:tblPr>
        <w:tblStyle w:val="TableGrid"/>
        <w:tblW w:w="8149" w:type="dxa"/>
        <w:jc w:val="center"/>
        <w:tblLayout w:type="fixed"/>
        <w:tblLook w:val="04A0" w:firstRow="1" w:lastRow="0" w:firstColumn="1" w:lastColumn="0" w:noHBand="0" w:noVBand="1"/>
      </w:tblPr>
      <w:tblGrid>
        <w:gridCol w:w="1890"/>
        <w:gridCol w:w="1899"/>
        <w:gridCol w:w="2191"/>
        <w:gridCol w:w="2169"/>
      </w:tblGrid>
      <w:tr w:rsidR="00A15C2C" w14:paraId="454B629B" w14:textId="77777777" w:rsidTr="007550E2">
        <w:trPr>
          <w:trHeight w:val="418"/>
          <w:jc w:val="center"/>
        </w:trPr>
        <w:tc>
          <w:tcPr>
            <w:tcW w:w="1890" w:type="dxa"/>
            <w:shd w:val="clear" w:color="auto" w:fill="BFBFBF" w:themeFill="background1" w:themeFillShade="BF"/>
            <w:noWrap/>
            <w:vAlign w:val="center"/>
          </w:tcPr>
          <w:p w14:paraId="55C81115" w14:textId="77777777" w:rsidR="000F0490" w:rsidRPr="002B54FC" w:rsidRDefault="000F5B51" w:rsidP="007550E2">
            <w:pPr>
              <w:spacing w:line="240" w:lineRule="auto"/>
              <w:rPr>
                <w:rFonts w:eastAsia="Times New Roman" w:cs="Times New Roman"/>
                <w:b/>
                <w:bCs/>
                <w:color w:val="000000"/>
                <w:szCs w:val="24"/>
              </w:rPr>
            </w:pPr>
            <w:r w:rsidRPr="002B54FC">
              <w:rPr>
                <w:rFonts w:eastAsia="Times New Roman" w:cs="Times New Roman"/>
                <w:b/>
                <w:bCs/>
                <w:color w:val="000000"/>
                <w:szCs w:val="24"/>
              </w:rPr>
              <w:t>Injury Severity</w:t>
            </w:r>
          </w:p>
        </w:tc>
        <w:tc>
          <w:tcPr>
            <w:tcW w:w="1899" w:type="dxa"/>
            <w:shd w:val="clear" w:color="auto" w:fill="BFBFBF" w:themeFill="background1" w:themeFillShade="BF"/>
            <w:noWrap/>
            <w:vAlign w:val="center"/>
          </w:tcPr>
          <w:p w14:paraId="77442FC3" w14:textId="77777777" w:rsidR="000F0490" w:rsidRPr="00733891" w:rsidRDefault="000F5B51" w:rsidP="007550E2">
            <w:pPr>
              <w:spacing w:line="240" w:lineRule="auto"/>
              <w:jc w:val="center"/>
              <w:rPr>
                <w:rFonts w:eastAsia="Times New Roman" w:cs="Times New Roman"/>
                <w:color w:val="000000"/>
                <w:szCs w:val="24"/>
              </w:rPr>
            </w:pPr>
            <w:r w:rsidRPr="00733891">
              <w:rPr>
                <w:rFonts w:eastAsia="Times New Roman" w:cs="Times New Roman"/>
                <w:b/>
                <w:color w:val="000000"/>
                <w:szCs w:val="24"/>
              </w:rPr>
              <w:t>Observed Injuries</w:t>
            </w:r>
          </w:p>
        </w:tc>
        <w:tc>
          <w:tcPr>
            <w:tcW w:w="2191" w:type="dxa"/>
            <w:shd w:val="clear" w:color="auto" w:fill="BFBFBF" w:themeFill="background1" w:themeFillShade="BF"/>
            <w:noWrap/>
            <w:vAlign w:val="center"/>
          </w:tcPr>
          <w:p w14:paraId="0DE94394" w14:textId="77777777" w:rsidR="000F0490" w:rsidRPr="00733891" w:rsidRDefault="000F5B51" w:rsidP="007550E2">
            <w:pPr>
              <w:spacing w:line="240" w:lineRule="auto"/>
              <w:jc w:val="center"/>
              <w:rPr>
                <w:rFonts w:eastAsia="Times New Roman" w:cs="Times New Roman"/>
                <w:color w:val="000000"/>
                <w:szCs w:val="24"/>
              </w:rPr>
            </w:pPr>
            <w:r>
              <w:rPr>
                <w:rFonts w:eastAsia="Times New Roman" w:cs="Times New Roman"/>
                <w:b/>
                <w:color w:val="000000"/>
                <w:szCs w:val="24"/>
              </w:rPr>
              <w:t>Effectiveness</w:t>
            </w:r>
          </w:p>
        </w:tc>
        <w:tc>
          <w:tcPr>
            <w:tcW w:w="2167" w:type="dxa"/>
            <w:shd w:val="clear" w:color="auto" w:fill="BFBFBF" w:themeFill="background1" w:themeFillShade="BF"/>
            <w:noWrap/>
            <w:vAlign w:val="center"/>
          </w:tcPr>
          <w:p w14:paraId="48D2426E" w14:textId="77777777" w:rsidR="000F0490" w:rsidRPr="00733891" w:rsidRDefault="000F5B51" w:rsidP="007550E2">
            <w:pPr>
              <w:spacing w:line="240" w:lineRule="auto"/>
              <w:jc w:val="center"/>
              <w:rPr>
                <w:rFonts w:eastAsia="Times New Roman" w:cs="Times New Roman"/>
                <w:color w:val="000000"/>
                <w:szCs w:val="24"/>
              </w:rPr>
            </w:pPr>
            <w:r>
              <w:rPr>
                <w:rFonts w:eastAsia="Times New Roman" w:cs="Times New Roman"/>
                <w:b/>
                <w:color w:val="000000"/>
                <w:szCs w:val="24"/>
              </w:rPr>
              <w:t>Incremental Benefits</w:t>
            </w:r>
          </w:p>
        </w:tc>
      </w:tr>
      <w:tr w:rsidR="00A15C2C" w14:paraId="01DD6064" w14:textId="77777777" w:rsidTr="007550E2">
        <w:trPr>
          <w:trHeight w:val="290"/>
          <w:jc w:val="center"/>
        </w:trPr>
        <w:tc>
          <w:tcPr>
            <w:tcW w:w="8149" w:type="dxa"/>
            <w:gridSpan w:val="4"/>
            <w:shd w:val="clear" w:color="auto" w:fill="BFBFBF" w:themeFill="background1" w:themeFillShade="BF"/>
            <w:noWrap/>
            <w:vAlign w:val="center"/>
          </w:tcPr>
          <w:p w14:paraId="7812BCAE" w14:textId="77777777" w:rsidR="000F0490" w:rsidRPr="002B54FC" w:rsidRDefault="000F5B51" w:rsidP="007550E2">
            <w:pPr>
              <w:spacing w:line="240" w:lineRule="auto"/>
              <w:jc w:val="center"/>
              <w:rPr>
                <w:rFonts w:eastAsia="Times New Roman" w:cs="Times New Roman"/>
                <w:b/>
                <w:bCs/>
                <w:i/>
                <w:iCs/>
                <w:color w:val="000000"/>
                <w:szCs w:val="24"/>
              </w:rPr>
            </w:pPr>
            <w:r w:rsidRPr="002B54FC">
              <w:rPr>
                <w:rFonts w:eastAsia="Times New Roman" w:cs="Times New Roman"/>
                <w:b/>
                <w:bCs/>
                <w:i/>
                <w:iCs/>
                <w:color w:val="000000"/>
                <w:szCs w:val="24"/>
              </w:rPr>
              <w:t>Passenger Cars</w:t>
            </w:r>
          </w:p>
        </w:tc>
      </w:tr>
      <w:tr w:rsidR="00A15C2C" w14:paraId="590D845B" w14:textId="77777777" w:rsidTr="007550E2">
        <w:trPr>
          <w:trHeight w:val="290"/>
          <w:jc w:val="center"/>
        </w:trPr>
        <w:tc>
          <w:tcPr>
            <w:tcW w:w="1890" w:type="dxa"/>
            <w:noWrap/>
            <w:vAlign w:val="center"/>
            <w:hideMark/>
          </w:tcPr>
          <w:p w14:paraId="24C79580" w14:textId="77777777" w:rsidR="000F0490" w:rsidRPr="00733891" w:rsidRDefault="000F5B51" w:rsidP="007550E2">
            <w:pPr>
              <w:spacing w:line="240" w:lineRule="auto"/>
              <w:rPr>
                <w:rFonts w:eastAsia="Times New Roman" w:cs="Times New Roman"/>
                <w:color w:val="000000"/>
                <w:szCs w:val="24"/>
              </w:rPr>
            </w:pPr>
            <w:r w:rsidRPr="00733891">
              <w:rPr>
                <w:rFonts w:eastAsia="Times New Roman" w:cs="Times New Roman"/>
                <w:color w:val="000000"/>
                <w:szCs w:val="24"/>
              </w:rPr>
              <w:t>MAIS 1</w:t>
            </w:r>
          </w:p>
        </w:tc>
        <w:tc>
          <w:tcPr>
            <w:tcW w:w="1899" w:type="dxa"/>
            <w:noWrap/>
            <w:vAlign w:val="center"/>
          </w:tcPr>
          <w:p w14:paraId="17BF19AF" w14:textId="77777777" w:rsidR="000F0490" w:rsidRPr="00733891" w:rsidRDefault="000F5B51" w:rsidP="007550E2">
            <w:pPr>
              <w:spacing w:line="240" w:lineRule="auto"/>
              <w:jc w:val="center"/>
              <w:rPr>
                <w:rFonts w:eastAsia="Times New Roman" w:cs="Times New Roman"/>
                <w:color w:val="000000"/>
                <w:szCs w:val="24"/>
              </w:rPr>
            </w:pPr>
            <w:r>
              <w:rPr>
                <w:rFonts w:eastAsia="Times New Roman" w:cs="Times New Roman"/>
                <w:color w:val="000000"/>
                <w:szCs w:val="24"/>
              </w:rPr>
              <w:t>26</w:t>
            </w:r>
          </w:p>
        </w:tc>
        <w:tc>
          <w:tcPr>
            <w:tcW w:w="2191" w:type="dxa"/>
            <w:noWrap/>
            <w:vAlign w:val="center"/>
          </w:tcPr>
          <w:p w14:paraId="19491250" w14:textId="77777777" w:rsidR="000F0490" w:rsidRPr="00733891" w:rsidRDefault="000F5B51" w:rsidP="007550E2">
            <w:pPr>
              <w:spacing w:line="240" w:lineRule="auto"/>
              <w:jc w:val="center"/>
              <w:rPr>
                <w:rFonts w:eastAsia="Times New Roman" w:cs="Times New Roman"/>
                <w:color w:val="000000"/>
                <w:szCs w:val="24"/>
              </w:rPr>
            </w:pPr>
            <w:r w:rsidRPr="00733891">
              <w:rPr>
                <w:rFonts w:cs="Times New Roman"/>
                <w:color w:val="000000"/>
                <w:szCs w:val="24"/>
              </w:rPr>
              <w:t>0.03%</w:t>
            </w:r>
          </w:p>
        </w:tc>
        <w:tc>
          <w:tcPr>
            <w:tcW w:w="2167" w:type="dxa"/>
            <w:noWrap/>
          </w:tcPr>
          <w:p w14:paraId="23504255" w14:textId="77777777" w:rsidR="000F0490" w:rsidRPr="00733891" w:rsidRDefault="000F5B51" w:rsidP="007550E2">
            <w:pPr>
              <w:spacing w:line="240" w:lineRule="auto"/>
              <w:jc w:val="center"/>
              <w:rPr>
                <w:rFonts w:eastAsia="Times New Roman" w:cs="Times New Roman"/>
                <w:color w:val="000000"/>
                <w:szCs w:val="24"/>
              </w:rPr>
            </w:pPr>
            <w:r w:rsidRPr="006727CF">
              <w:t>0.007</w:t>
            </w:r>
            <w:r>
              <w:t>8</w:t>
            </w:r>
          </w:p>
        </w:tc>
      </w:tr>
      <w:tr w:rsidR="00A15C2C" w14:paraId="3058EFF0" w14:textId="77777777" w:rsidTr="007550E2">
        <w:trPr>
          <w:trHeight w:val="290"/>
          <w:jc w:val="center"/>
        </w:trPr>
        <w:tc>
          <w:tcPr>
            <w:tcW w:w="1890" w:type="dxa"/>
            <w:noWrap/>
            <w:vAlign w:val="center"/>
            <w:hideMark/>
          </w:tcPr>
          <w:p w14:paraId="769B69DA" w14:textId="77777777" w:rsidR="000F0490" w:rsidRPr="00733891" w:rsidRDefault="000F5B51" w:rsidP="007550E2">
            <w:pPr>
              <w:spacing w:line="240" w:lineRule="auto"/>
              <w:rPr>
                <w:rFonts w:eastAsia="Times New Roman" w:cs="Times New Roman"/>
                <w:color w:val="000000"/>
                <w:szCs w:val="24"/>
              </w:rPr>
            </w:pPr>
            <w:r w:rsidRPr="00733891">
              <w:rPr>
                <w:rFonts w:eastAsia="Times New Roman" w:cs="Times New Roman"/>
                <w:color w:val="000000"/>
                <w:szCs w:val="24"/>
              </w:rPr>
              <w:t>MAIS 2</w:t>
            </w:r>
          </w:p>
        </w:tc>
        <w:tc>
          <w:tcPr>
            <w:tcW w:w="1899" w:type="dxa"/>
            <w:noWrap/>
            <w:vAlign w:val="center"/>
          </w:tcPr>
          <w:p w14:paraId="4338C562" w14:textId="77777777" w:rsidR="000F0490" w:rsidRPr="00733891" w:rsidRDefault="000F5B51" w:rsidP="007550E2">
            <w:pPr>
              <w:spacing w:line="240" w:lineRule="auto"/>
              <w:jc w:val="center"/>
              <w:rPr>
                <w:rFonts w:eastAsia="Times New Roman" w:cs="Times New Roman"/>
                <w:color w:val="000000"/>
                <w:szCs w:val="24"/>
              </w:rPr>
            </w:pPr>
            <w:r>
              <w:rPr>
                <w:rFonts w:eastAsia="Times New Roman" w:cs="Times New Roman"/>
                <w:color w:val="000000"/>
                <w:szCs w:val="24"/>
              </w:rPr>
              <w:t>11</w:t>
            </w:r>
          </w:p>
        </w:tc>
        <w:tc>
          <w:tcPr>
            <w:tcW w:w="2191" w:type="dxa"/>
            <w:noWrap/>
            <w:vAlign w:val="center"/>
          </w:tcPr>
          <w:p w14:paraId="73F91DBC" w14:textId="77777777" w:rsidR="000F0490" w:rsidRPr="00733891" w:rsidRDefault="000F5B51" w:rsidP="007550E2">
            <w:pPr>
              <w:spacing w:line="240" w:lineRule="auto"/>
              <w:jc w:val="center"/>
              <w:rPr>
                <w:rFonts w:eastAsia="Times New Roman" w:cs="Times New Roman"/>
                <w:color w:val="000000"/>
                <w:szCs w:val="24"/>
              </w:rPr>
            </w:pPr>
            <w:r w:rsidRPr="00733891">
              <w:rPr>
                <w:rFonts w:cs="Times New Roman"/>
                <w:color w:val="000000"/>
                <w:szCs w:val="24"/>
              </w:rPr>
              <w:t>0.41%</w:t>
            </w:r>
          </w:p>
        </w:tc>
        <w:tc>
          <w:tcPr>
            <w:tcW w:w="2167" w:type="dxa"/>
            <w:noWrap/>
          </w:tcPr>
          <w:p w14:paraId="36F6AD08" w14:textId="77777777" w:rsidR="000F0490" w:rsidRPr="00733891" w:rsidRDefault="000F5B51" w:rsidP="007550E2">
            <w:pPr>
              <w:spacing w:line="240" w:lineRule="auto"/>
              <w:jc w:val="center"/>
              <w:rPr>
                <w:rFonts w:eastAsia="Times New Roman" w:cs="Times New Roman"/>
                <w:color w:val="000000"/>
                <w:szCs w:val="24"/>
              </w:rPr>
            </w:pPr>
            <w:r w:rsidRPr="006727CF">
              <w:t>0.046</w:t>
            </w:r>
            <w:r>
              <w:t>6</w:t>
            </w:r>
          </w:p>
        </w:tc>
      </w:tr>
      <w:tr w:rsidR="00A15C2C" w14:paraId="0586761C" w14:textId="77777777" w:rsidTr="007550E2">
        <w:trPr>
          <w:trHeight w:val="290"/>
          <w:jc w:val="center"/>
        </w:trPr>
        <w:tc>
          <w:tcPr>
            <w:tcW w:w="1890" w:type="dxa"/>
            <w:noWrap/>
            <w:vAlign w:val="center"/>
            <w:hideMark/>
          </w:tcPr>
          <w:p w14:paraId="5EF99078" w14:textId="77777777" w:rsidR="000F0490" w:rsidRPr="00733891" w:rsidRDefault="000F5B51" w:rsidP="007550E2">
            <w:pPr>
              <w:spacing w:line="240" w:lineRule="auto"/>
              <w:rPr>
                <w:rFonts w:eastAsia="Times New Roman" w:cs="Times New Roman"/>
                <w:color w:val="000000"/>
                <w:szCs w:val="24"/>
              </w:rPr>
            </w:pPr>
            <w:r w:rsidRPr="00733891">
              <w:rPr>
                <w:rFonts w:eastAsia="Times New Roman" w:cs="Times New Roman"/>
                <w:color w:val="000000"/>
                <w:szCs w:val="24"/>
              </w:rPr>
              <w:t>MAIS 3</w:t>
            </w:r>
          </w:p>
        </w:tc>
        <w:tc>
          <w:tcPr>
            <w:tcW w:w="1899" w:type="dxa"/>
            <w:noWrap/>
            <w:vAlign w:val="center"/>
          </w:tcPr>
          <w:p w14:paraId="272833F8" w14:textId="77777777" w:rsidR="000F0490" w:rsidRPr="00733891" w:rsidRDefault="000F5B51" w:rsidP="007550E2">
            <w:pPr>
              <w:spacing w:line="240" w:lineRule="auto"/>
              <w:jc w:val="center"/>
              <w:rPr>
                <w:rFonts w:eastAsia="Times New Roman" w:cs="Times New Roman"/>
                <w:color w:val="000000"/>
                <w:szCs w:val="24"/>
              </w:rPr>
            </w:pPr>
            <w:r>
              <w:rPr>
                <w:rFonts w:eastAsia="Times New Roman" w:cs="Times New Roman"/>
                <w:color w:val="000000"/>
                <w:szCs w:val="24"/>
              </w:rPr>
              <w:t>3</w:t>
            </w:r>
          </w:p>
        </w:tc>
        <w:tc>
          <w:tcPr>
            <w:tcW w:w="2191" w:type="dxa"/>
            <w:noWrap/>
            <w:vAlign w:val="center"/>
          </w:tcPr>
          <w:p w14:paraId="4C5E8BE8" w14:textId="77777777" w:rsidR="000F0490" w:rsidRPr="00733891" w:rsidRDefault="000F5B51" w:rsidP="007550E2">
            <w:pPr>
              <w:spacing w:line="240" w:lineRule="auto"/>
              <w:jc w:val="center"/>
              <w:rPr>
                <w:rFonts w:eastAsia="Times New Roman" w:cs="Times New Roman"/>
                <w:color w:val="000000"/>
                <w:szCs w:val="24"/>
              </w:rPr>
            </w:pPr>
            <w:r w:rsidRPr="00733891">
              <w:rPr>
                <w:rFonts w:cs="Times New Roman"/>
                <w:color w:val="000000"/>
                <w:szCs w:val="24"/>
              </w:rPr>
              <w:t>0.41%</w:t>
            </w:r>
          </w:p>
        </w:tc>
        <w:tc>
          <w:tcPr>
            <w:tcW w:w="2167" w:type="dxa"/>
            <w:noWrap/>
          </w:tcPr>
          <w:p w14:paraId="622A22D0" w14:textId="77777777" w:rsidR="000F0490" w:rsidRPr="00733891" w:rsidRDefault="000F5B51" w:rsidP="007550E2">
            <w:pPr>
              <w:spacing w:line="240" w:lineRule="auto"/>
              <w:jc w:val="center"/>
              <w:rPr>
                <w:rFonts w:eastAsia="Times New Roman" w:cs="Times New Roman"/>
                <w:color w:val="000000"/>
                <w:szCs w:val="24"/>
              </w:rPr>
            </w:pPr>
            <w:r w:rsidRPr="006727CF">
              <w:t>0.012</w:t>
            </w:r>
            <w:r>
              <w:t>9</w:t>
            </w:r>
          </w:p>
        </w:tc>
      </w:tr>
      <w:tr w:rsidR="00A15C2C" w14:paraId="58DD1C03" w14:textId="77777777" w:rsidTr="007550E2">
        <w:trPr>
          <w:trHeight w:val="290"/>
          <w:jc w:val="center"/>
        </w:trPr>
        <w:tc>
          <w:tcPr>
            <w:tcW w:w="1890" w:type="dxa"/>
            <w:noWrap/>
            <w:vAlign w:val="center"/>
            <w:hideMark/>
          </w:tcPr>
          <w:p w14:paraId="126DBCE8" w14:textId="77777777" w:rsidR="000F0490" w:rsidRPr="00733891" w:rsidRDefault="000F5B51" w:rsidP="007550E2">
            <w:pPr>
              <w:spacing w:line="240" w:lineRule="auto"/>
              <w:rPr>
                <w:rFonts w:eastAsia="Times New Roman" w:cs="Times New Roman"/>
                <w:color w:val="000000"/>
                <w:szCs w:val="24"/>
              </w:rPr>
            </w:pPr>
            <w:r w:rsidRPr="00733891">
              <w:rPr>
                <w:rFonts w:eastAsia="Times New Roman" w:cs="Times New Roman"/>
                <w:color w:val="000000"/>
                <w:szCs w:val="24"/>
              </w:rPr>
              <w:t>MAIS 4</w:t>
            </w:r>
          </w:p>
        </w:tc>
        <w:tc>
          <w:tcPr>
            <w:tcW w:w="1899" w:type="dxa"/>
            <w:noWrap/>
            <w:vAlign w:val="center"/>
          </w:tcPr>
          <w:p w14:paraId="16F4D49E" w14:textId="77777777" w:rsidR="000F0490" w:rsidRPr="00733891" w:rsidRDefault="000F5B51" w:rsidP="007550E2">
            <w:pPr>
              <w:spacing w:line="240" w:lineRule="auto"/>
              <w:jc w:val="center"/>
              <w:rPr>
                <w:rFonts w:eastAsia="Times New Roman" w:cs="Times New Roman"/>
                <w:color w:val="000000"/>
                <w:szCs w:val="24"/>
              </w:rPr>
            </w:pPr>
            <w:r>
              <w:rPr>
                <w:rFonts w:eastAsia="Times New Roman" w:cs="Times New Roman"/>
                <w:color w:val="000000"/>
                <w:szCs w:val="24"/>
              </w:rPr>
              <w:t>2</w:t>
            </w:r>
          </w:p>
        </w:tc>
        <w:tc>
          <w:tcPr>
            <w:tcW w:w="2191" w:type="dxa"/>
            <w:noWrap/>
            <w:vAlign w:val="center"/>
          </w:tcPr>
          <w:p w14:paraId="498D7E0D" w14:textId="77777777" w:rsidR="000F0490" w:rsidRPr="00733891" w:rsidRDefault="000F5B51" w:rsidP="007550E2">
            <w:pPr>
              <w:spacing w:line="240" w:lineRule="auto"/>
              <w:jc w:val="center"/>
              <w:rPr>
                <w:rFonts w:eastAsia="Times New Roman" w:cs="Times New Roman"/>
                <w:color w:val="000000"/>
                <w:szCs w:val="24"/>
              </w:rPr>
            </w:pPr>
            <w:r w:rsidRPr="00733891">
              <w:rPr>
                <w:rFonts w:cs="Times New Roman"/>
                <w:color w:val="000000"/>
                <w:szCs w:val="24"/>
              </w:rPr>
              <w:t>0.41%</w:t>
            </w:r>
          </w:p>
        </w:tc>
        <w:tc>
          <w:tcPr>
            <w:tcW w:w="2167" w:type="dxa"/>
            <w:noWrap/>
          </w:tcPr>
          <w:p w14:paraId="54298B98" w14:textId="77777777" w:rsidR="000F0490" w:rsidRPr="00733891" w:rsidRDefault="000F5B51" w:rsidP="007550E2">
            <w:pPr>
              <w:spacing w:line="240" w:lineRule="auto"/>
              <w:jc w:val="center"/>
              <w:rPr>
                <w:rFonts w:eastAsia="Times New Roman" w:cs="Times New Roman"/>
                <w:color w:val="000000"/>
                <w:szCs w:val="24"/>
              </w:rPr>
            </w:pPr>
            <w:r w:rsidRPr="006727CF">
              <w:t>0.009</w:t>
            </w:r>
            <w:r>
              <w:t>3</w:t>
            </w:r>
          </w:p>
        </w:tc>
      </w:tr>
      <w:tr w:rsidR="00A15C2C" w14:paraId="593D89F1" w14:textId="77777777" w:rsidTr="007550E2">
        <w:trPr>
          <w:trHeight w:val="290"/>
          <w:jc w:val="center"/>
        </w:trPr>
        <w:tc>
          <w:tcPr>
            <w:tcW w:w="1890" w:type="dxa"/>
            <w:noWrap/>
            <w:vAlign w:val="center"/>
            <w:hideMark/>
          </w:tcPr>
          <w:p w14:paraId="3588781B" w14:textId="77777777" w:rsidR="000F0490" w:rsidRPr="00733891" w:rsidRDefault="000F5B51" w:rsidP="007550E2">
            <w:pPr>
              <w:spacing w:line="240" w:lineRule="auto"/>
              <w:rPr>
                <w:rFonts w:eastAsia="Times New Roman" w:cs="Times New Roman"/>
                <w:color w:val="000000"/>
                <w:szCs w:val="24"/>
              </w:rPr>
            </w:pPr>
            <w:r w:rsidRPr="00733891">
              <w:rPr>
                <w:rFonts w:eastAsia="Times New Roman" w:cs="Times New Roman"/>
                <w:color w:val="000000"/>
                <w:szCs w:val="24"/>
              </w:rPr>
              <w:t>MAIS 5</w:t>
            </w:r>
          </w:p>
        </w:tc>
        <w:tc>
          <w:tcPr>
            <w:tcW w:w="1899" w:type="dxa"/>
            <w:noWrap/>
            <w:vAlign w:val="center"/>
          </w:tcPr>
          <w:p w14:paraId="4F74758E" w14:textId="77777777" w:rsidR="000F0490" w:rsidRPr="00733891" w:rsidRDefault="000F5B51" w:rsidP="007550E2">
            <w:pPr>
              <w:spacing w:line="240" w:lineRule="auto"/>
              <w:jc w:val="center"/>
              <w:rPr>
                <w:rFonts w:eastAsia="Times New Roman" w:cs="Times New Roman"/>
                <w:color w:val="000000"/>
                <w:szCs w:val="24"/>
              </w:rPr>
            </w:pPr>
            <w:r>
              <w:rPr>
                <w:rFonts w:eastAsia="Times New Roman" w:cs="Times New Roman"/>
                <w:color w:val="000000"/>
                <w:szCs w:val="24"/>
              </w:rPr>
              <w:t>0</w:t>
            </w:r>
          </w:p>
        </w:tc>
        <w:tc>
          <w:tcPr>
            <w:tcW w:w="2191" w:type="dxa"/>
            <w:noWrap/>
            <w:vAlign w:val="center"/>
          </w:tcPr>
          <w:p w14:paraId="41CEA8F2" w14:textId="77777777" w:rsidR="000F0490" w:rsidRPr="00733891" w:rsidRDefault="000F5B51" w:rsidP="007550E2">
            <w:pPr>
              <w:spacing w:line="240" w:lineRule="auto"/>
              <w:jc w:val="center"/>
              <w:rPr>
                <w:rFonts w:eastAsia="Times New Roman" w:cs="Times New Roman"/>
                <w:color w:val="000000"/>
                <w:szCs w:val="24"/>
              </w:rPr>
            </w:pPr>
            <w:r w:rsidRPr="00733891">
              <w:rPr>
                <w:rFonts w:cs="Times New Roman"/>
                <w:color w:val="000000"/>
                <w:szCs w:val="24"/>
              </w:rPr>
              <w:t>0.41%</w:t>
            </w:r>
          </w:p>
        </w:tc>
        <w:tc>
          <w:tcPr>
            <w:tcW w:w="2167" w:type="dxa"/>
            <w:noWrap/>
          </w:tcPr>
          <w:p w14:paraId="30341605" w14:textId="77777777" w:rsidR="000F0490" w:rsidRPr="00733891" w:rsidRDefault="000F5B51" w:rsidP="007550E2">
            <w:pPr>
              <w:spacing w:line="240" w:lineRule="auto"/>
              <w:jc w:val="center"/>
              <w:rPr>
                <w:rFonts w:eastAsia="Times New Roman" w:cs="Times New Roman"/>
                <w:color w:val="000000"/>
                <w:szCs w:val="24"/>
              </w:rPr>
            </w:pPr>
            <w:r w:rsidRPr="006727CF">
              <w:t>0.0002</w:t>
            </w:r>
          </w:p>
        </w:tc>
      </w:tr>
      <w:tr w:rsidR="00A15C2C" w14:paraId="31D9C787" w14:textId="77777777" w:rsidTr="007550E2">
        <w:trPr>
          <w:trHeight w:val="290"/>
          <w:jc w:val="center"/>
        </w:trPr>
        <w:tc>
          <w:tcPr>
            <w:tcW w:w="1890" w:type="dxa"/>
            <w:noWrap/>
            <w:vAlign w:val="center"/>
            <w:hideMark/>
          </w:tcPr>
          <w:p w14:paraId="28E1D15F" w14:textId="77777777" w:rsidR="000F0490" w:rsidRPr="00733891" w:rsidRDefault="000F5B51" w:rsidP="007550E2">
            <w:pPr>
              <w:spacing w:line="240" w:lineRule="auto"/>
              <w:rPr>
                <w:rFonts w:eastAsia="Times New Roman" w:cs="Times New Roman"/>
                <w:color w:val="000000"/>
                <w:szCs w:val="24"/>
              </w:rPr>
            </w:pPr>
            <w:r w:rsidRPr="00733891">
              <w:rPr>
                <w:rFonts w:eastAsia="Times New Roman" w:cs="Times New Roman"/>
                <w:color w:val="000000"/>
                <w:szCs w:val="24"/>
              </w:rPr>
              <w:t>Fatal</w:t>
            </w:r>
          </w:p>
        </w:tc>
        <w:tc>
          <w:tcPr>
            <w:tcW w:w="1899" w:type="dxa"/>
            <w:noWrap/>
            <w:vAlign w:val="center"/>
          </w:tcPr>
          <w:p w14:paraId="7A29F5C9" w14:textId="77777777" w:rsidR="000F0490" w:rsidRPr="00733891" w:rsidRDefault="000F5B51" w:rsidP="007550E2">
            <w:pPr>
              <w:spacing w:line="240" w:lineRule="auto"/>
              <w:jc w:val="center"/>
              <w:rPr>
                <w:rFonts w:eastAsia="Times New Roman" w:cs="Times New Roman"/>
                <w:color w:val="000000"/>
                <w:szCs w:val="24"/>
              </w:rPr>
            </w:pPr>
            <w:r>
              <w:rPr>
                <w:rFonts w:eastAsia="Times New Roman" w:cs="Times New Roman"/>
                <w:color w:val="000000"/>
                <w:szCs w:val="24"/>
              </w:rPr>
              <w:t>6</w:t>
            </w:r>
          </w:p>
        </w:tc>
        <w:tc>
          <w:tcPr>
            <w:tcW w:w="2191" w:type="dxa"/>
            <w:noWrap/>
            <w:vAlign w:val="center"/>
          </w:tcPr>
          <w:p w14:paraId="36C71CC7" w14:textId="77777777" w:rsidR="000F0490" w:rsidRPr="00733891" w:rsidRDefault="000F5B51" w:rsidP="007550E2">
            <w:pPr>
              <w:spacing w:line="240" w:lineRule="auto"/>
              <w:jc w:val="center"/>
              <w:rPr>
                <w:rFonts w:eastAsia="Times New Roman" w:cs="Times New Roman"/>
                <w:color w:val="000000"/>
                <w:szCs w:val="24"/>
              </w:rPr>
            </w:pPr>
            <w:r w:rsidRPr="00733891">
              <w:rPr>
                <w:rFonts w:cs="Times New Roman"/>
                <w:color w:val="000000"/>
                <w:szCs w:val="24"/>
              </w:rPr>
              <w:t>0.43%</w:t>
            </w:r>
          </w:p>
        </w:tc>
        <w:tc>
          <w:tcPr>
            <w:tcW w:w="2167" w:type="dxa"/>
            <w:noWrap/>
          </w:tcPr>
          <w:p w14:paraId="0FA7C268" w14:textId="77777777" w:rsidR="000F0490" w:rsidRPr="00733891" w:rsidRDefault="000F5B51" w:rsidP="007550E2">
            <w:pPr>
              <w:spacing w:line="240" w:lineRule="auto"/>
              <w:jc w:val="center"/>
              <w:rPr>
                <w:rFonts w:eastAsia="Times New Roman" w:cs="Times New Roman"/>
                <w:color w:val="000000"/>
                <w:szCs w:val="24"/>
              </w:rPr>
            </w:pPr>
            <w:r w:rsidRPr="006727CF">
              <w:t>0.0241</w:t>
            </w:r>
          </w:p>
        </w:tc>
      </w:tr>
      <w:tr w:rsidR="00A15C2C" w14:paraId="44E22976" w14:textId="77777777" w:rsidTr="007550E2">
        <w:trPr>
          <w:trHeight w:val="290"/>
          <w:jc w:val="center"/>
        </w:trPr>
        <w:tc>
          <w:tcPr>
            <w:tcW w:w="8149" w:type="dxa"/>
            <w:gridSpan w:val="4"/>
            <w:shd w:val="clear" w:color="auto" w:fill="BFBFBF" w:themeFill="background1" w:themeFillShade="BF"/>
            <w:noWrap/>
            <w:vAlign w:val="center"/>
          </w:tcPr>
          <w:p w14:paraId="0AC86548" w14:textId="77777777" w:rsidR="000F0490" w:rsidRPr="002B54FC" w:rsidRDefault="000F5B51" w:rsidP="007550E2">
            <w:pPr>
              <w:spacing w:line="240" w:lineRule="auto"/>
              <w:jc w:val="center"/>
              <w:rPr>
                <w:rFonts w:eastAsia="Times New Roman" w:cs="Times New Roman"/>
                <w:b/>
                <w:bCs/>
                <w:i/>
                <w:iCs/>
                <w:color w:val="000000"/>
                <w:szCs w:val="24"/>
              </w:rPr>
            </w:pPr>
            <w:r w:rsidRPr="002B54FC">
              <w:rPr>
                <w:rFonts w:eastAsia="Times New Roman" w:cs="Times New Roman"/>
                <w:b/>
                <w:bCs/>
                <w:i/>
                <w:iCs/>
                <w:color w:val="000000"/>
                <w:szCs w:val="24"/>
              </w:rPr>
              <w:t>LTVs</w:t>
            </w:r>
          </w:p>
        </w:tc>
      </w:tr>
      <w:tr w:rsidR="00A15C2C" w14:paraId="0D8C1071" w14:textId="77777777" w:rsidTr="007550E2">
        <w:trPr>
          <w:trHeight w:val="290"/>
          <w:jc w:val="center"/>
        </w:trPr>
        <w:tc>
          <w:tcPr>
            <w:tcW w:w="1890" w:type="dxa"/>
            <w:noWrap/>
            <w:vAlign w:val="center"/>
          </w:tcPr>
          <w:p w14:paraId="335D7773" w14:textId="77777777" w:rsidR="000F0490" w:rsidRPr="00733891" w:rsidRDefault="000F5B51" w:rsidP="007550E2">
            <w:pPr>
              <w:spacing w:line="240" w:lineRule="auto"/>
              <w:rPr>
                <w:rFonts w:eastAsia="Times New Roman" w:cs="Times New Roman"/>
                <w:color w:val="000000"/>
                <w:szCs w:val="24"/>
              </w:rPr>
            </w:pPr>
            <w:r w:rsidRPr="00733891">
              <w:rPr>
                <w:rFonts w:eastAsia="Times New Roman" w:cs="Times New Roman"/>
                <w:color w:val="000000"/>
                <w:szCs w:val="24"/>
              </w:rPr>
              <w:t>MAIS 1</w:t>
            </w:r>
          </w:p>
        </w:tc>
        <w:tc>
          <w:tcPr>
            <w:tcW w:w="1899" w:type="dxa"/>
            <w:noWrap/>
            <w:vAlign w:val="center"/>
          </w:tcPr>
          <w:p w14:paraId="23BC399E" w14:textId="77777777" w:rsidR="000F0490" w:rsidRPr="00733891" w:rsidRDefault="000F5B51" w:rsidP="007550E2">
            <w:pPr>
              <w:spacing w:line="240" w:lineRule="auto"/>
              <w:jc w:val="center"/>
              <w:rPr>
                <w:rFonts w:eastAsia="Times New Roman" w:cs="Times New Roman"/>
                <w:color w:val="000000"/>
                <w:szCs w:val="24"/>
              </w:rPr>
            </w:pPr>
            <w:r>
              <w:rPr>
                <w:rFonts w:eastAsia="Times New Roman" w:cs="Times New Roman"/>
                <w:color w:val="000000"/>
                <w:szCs w:val="24"/>
              </w:rPr>
              <w:t>135</w:t>
            </w:r>
          </w:p>
        </w:tc>
        <w:tc>
          <w:tcPr>
            <w:tcW w:w="2191" w:type="dxa"/>
            <w:noWrap/>
            <w:vAlign w:val="center"/>
          </w:tcPr>
          <w:p w14:paraId="06FB16C7" w14:textId="77777777" w:rsidR="000F0490" w:rsidRPr="00733891" w:rsidRDefault="000F5B51" w:rsidP="007550E2">
            <w:pPr>
              <w:spacing w:line="240" w:lineRule="auto"/>
              <w:jc w:val="center"/>
              <w:rPr>
                <w:rFonts w:eastAsia="Times New Roman" w:cs="Times New Roman"/>
                <w:color w:val="000000"/>
                <w:szCs w:val="24"/>
              </w:rPr>
            </w:pPr>
            <w:r w:rsidRPr="00733891">
              <w:rPr>
                <w:rFonts w:cs="Times New Roman"/>
                <w:color w:val="000000"/>
                <w:szCs w:val="24"/>
              </w:rPr>
              <w:t>0.03%</w:t>
            </w:r>
          </w:p>
        </w:tc>
        <w:tc>
          <w:tcPr>
            <w:tcW w:w="2167" w:type="dxa"/>
            <w:noWrap/>
          </w:tcPr>
          <w:p w14:paraId="69A5827E" w14:textId="77777777" w:rsidR="000F0490" w:rsidRPr="00733891" w:rsidRDefault="000F5B51" w:rsidP="007550E2">
            <w:pPr>
              <w:spacing w:line="240" w:lineRule="auto"/>
              <w:jc w:val="center"/>
              <w:rPr>
                <w:rFonts w:eastAsia="Times New Roman" w:cs="Times New Roman"/>
                <w:color w:val="000000"/>
                <w:szCs w:val="24"/>
              </w:rPr>
            </w:pPr>
            <w:r w:rsidRPr="003A006D">
              <w:t>0.040</w:t>
            </w:r>
            <w:r>
              <w:t>5</w:t>
            </w:r>
          </w:p>
        </w:tc>
      </w:tr>
      <w:tr w:rsidR="00A15C2C" w14:paraId="3D0533DC" w14:textId="77777777" w:rsidTr="007550E2">
        <w:trPr>
          <w:trHeight w:val="290"/>
          <w:jc w:val="center"/>
        </w:trPr>
        <w:tc>
          <w:tcPr>
            <w:tcW w:w="1890" w:type="dxa"/>
            <w:noWrap/>
            <w:vAlign w:val="center"/>
          </w:tcPr>
          <w:p w14:paraId="515F6B68" w14:textId="77777777" w:rsidR="000F0490" w:rsidRPr="00733891" w:rsidRDefault="000F5B51" w:rsidP="007550E2">
            <w:pPr>
              <w:spacing w:line="240" w:lineRule="auto"/>
              <w:rPr>
                <w:rFonts w:eastAsia="Times New Roman" w:cs="Times New Roman"/>
                <w:color w:val="000000"/>
                <w:szCs w:val="24"/>
              </w:rPr>
            </w:pPr>
            <w:r w:rsidRPr="00733891">
              <w:rPr>
                <w:rFonts w:eastAsia="Times New Roman" w:cs="Times New Roman"/>
                <w:color w:val="000000"/>
                <w:szCs w:val="24"/>
              </w:rPr>
              <w:t>MAIS 2</w:t>
            </w:r>
          </w:p>
        </w:tc>
        <w:tc>
          <w:tcPr>
            <w:tcW w:w="1899" w:type="dxa"/>
            <w:noWrap/>
            <w:vAlign w:val="center"/>
          </w:tcPr>
          <w:p w14:paraId="54A86300" w14:textId="77777777" w:rsidR="000F0490" w:rsidRPr="00733891" w:rsidRDefault="000F5B51" w:rsidP="007550E2">
            <w:pPr>
              <w:spacing w:line="240" w:lineRule="auto"/>
              <w:jc w:val="center"/>
              <w:rPr>
                <w:rFonts w:eastAsia="Times New Roman" w:cs="Times New Roman"/>
                <w:color w:val="000000"/>
                <w:szCs w:val="24"/>
              </w:rPr>
            </w:pPr>
            <w:r>
              <w:rPr>
                <w:rFonts w:eastAsia="Times New Roman" w:cs="Times New Roman"/>
                <w:color w:val="000000"/>
                <w:szCs w:val="24"/>
              </w:rPr>
              <w:t>46</w:t>
            </w:r>
          </w:p>
        </w:tc>
        <w:tc>
          <w:tcPr>
            <w:tcW w:w="2191" w:type="dxa"/>
            <w:noWrap/>
            <w:vAlign w:val="center"/>
          </w:tcPr>
          <w:p w14:paraId="5AEAD841" w14:textId="77777777" w:rsidR="000F0490" w:rsidRPr="00733891" w:rsidRDefault="000F5B51" w:rsidP="007550E2">
            <w:pPr>
              <w:spacing w:line="240" w:lineRule="auto"/>
              <w:jc w:val="center"/>
              <w:rPr>
                <w:rFonts w:eastAsia="Times New Roman" w:cs="Times New Roman"/>
                <w:color w:val="000000"/>
                <w:szCs w:val="24"/>
              </w:rPr>
            </w:pPr>
            <w:r w:rsidRPr="00733891">
              <w:rPr>
                <w:rFonts w:cs="Times New Roman"/>
                <w:color w:val="000000"/>
                <w:szCs w:val="24"/>
              </w:rPr>
              <w:t>0.41%</w:t>
            </w:r>
          </w:p>
        </w:tc>
        <w:tc>
          <w:tcPr>
            <w:tcW w:w="2167" w:type="dxa"/>
            <w:noWrap/>
          </w:tcPr>
          <w:p w14:paraId="7E772CF8" w14:textId="77777777" w:rsidR="000F0490" w:rsidRPr="00733891" w:rsidRDefault="000F5B51" w:rsidP="007550E2">
            <w:pPr>
              <w:spacing w:line="240" w:lineRule="auto"/>
              <w:jc w:val="center"/>
              <w:rPr>
                <w:rFonts w:eastAsia="Times New Roman" w:cs="Times New Roman"/>
                <w:color w:val="000000"/>
                <w:szCs w:val="24"/>
              </w:rPr>
            </w:pPr>
            <w:r w:rsidRPr="003A006D">
              <w:t>0.1878</w:t>
            </w:r>
          </w:p>
        </w:tc>
      </w:tr>
      <w:tr w:rsidR="00A15C2C" w14:paraId="2735876F" w14:textId="77777777" w:rsidTr="007550E2">
        <w:trPr>
          <w:trHeight w:val="290"/>
          <w:jc w:val="center"/>
        </w:trPr>
        <w:tc>
          <w:tcPr>
            <w:tcW w:w="1890" w:type="dxa"/>
            <w:noWrap/>
            <w:vAlign w:val="center"/>
          </w:tcPr>
          <w:p w14:paraId="0BA34BE0" w14:textId="77777777" w:rsidR="000F0490" w:rsidRPr="00733891" w:rsidRDefault="000F5B51" w:rsidP="007550E2">
            <w:pPr>
              <w:spacing w:line="240" w:lineRule="auto"/>
              <w:rPr>
                <w:rFonts w:eastAsia="Times New Roman" w:cs="Times New Roman"/>
                <w:color w:val="000000"/>
                <w:szCs w:val="24"/>
              </w:rPr>
            </w:pPr>
            <w:r w:rsidRPr="00733891">
              <w:rPr>
                <w:rFonts w:eastAsia="Times New Roman" w:cs="Times New Roman"/>
                <w:color w:val="000000"/>
                <w:szCs w:val="24"/>
              </w:rPr>
              <w:t>MAIS 3</w:t>
            </w:r>
          </w:p>
        </w:tc>
        <w:tc>
          <w:tcPr>
            <w:tcW w:w="1899" w:type="dxa"/>
            <w:noWrap/>
            <w:vAlign w:val="center"/>
          </w:tcPr>
          <w:p w14:paraId="12A298C2" w14:textId="77777777" w:rsidR="000F0490" w:rsidRPr="00733891" w:rsidRDefault="000F5B51" w:rsidP="007550E2">
            <w:pPr>
              <w:spacing w:line="240" w:lineRule="auto"/>
              <w:jc w:val="center"/>
              <w:rPr>
                <w:rFonts w:eastAsia="Times New Roman" w:cs="Times New Roman"/>
                <w:color w:val="000000"/>
                <w:szCs w:val="24"/>
              </w:rPr>
            </w:pPr>
            <w:r>
              <w:rPr>
                <w:rFonts w:eastAsia="Times New Roman" w:cs="Times New Roman"/>
                <w:color w:val="000000"/>
                <w:szCs w:val="24"/>
              </w:rPr>
              <w:t>0</w:t>
            </w:r>
          </w:p>
        </w:tc>
        <w:tc>
          <w:tcPr>
            <w:tcW w:w="2191" w:type="dxa"/>
            <w:noWrap/>
            <w:vAlign w:val="center"/>
          </w:tcPr>
          <w:p w14:paraId="02CB0FCA" w14:textId="77777777" w:rsidR="000F0490" w:rsidRPr="00733891" w:rsidRDefault="000F5B51" w:rsidP="007550E2">
            <w:pPr>
              <w:spacing w:line="240" w:lineRule="auto"/>
              <w:jc w:val="center"/>
              <w:rPr>
                <w:rFonts w:eastAsia="Times New Roman" w:cs="Times New Roman"/>
                <w:color w:val="000000"/>
                <w:szCs w:val="24"/>
              </w:rPr>
            </w:pPr>
            <w:r w:rsidRPr="00733891">
              <w:rPr>
                <w:rFonts w:cs="Times New Roman"/>
                <w:color w:val="000000"/>
                <w:szCs w:val="24"/>
              </w:rPr>
              <w:t>0.41%</w:t>
            </w:r>
          </w:p>
        </w:tc>
        <w:tc>
          <w:tcPr>
            <w:tcW w:w="2167" w:type="dxa"/>
            <w:noWrap/>
          </w:tcPr>
          <w:p w14:paraId="43296C88" w14:textId="77777777" w:rsidR="000F0490" w:rsidRPr="00733891" w:rsidRDefault="000F5B51" w:rsidP="007550E2">
            <w:pPr>
              <w:spacing w:line="240" w:lineRule="auto"/>
              <w:jc w:val="center"/>
              <w:rPr>
                <w:rFonts w:eastAsia="Times New Roman" w:cs="Times New Roman"/>
                <w:color w:val="000000"/>
                <w:szCs w:val="24"/>
              </w:rPr>
            </w:pPr>
            <w:r w:rsidRPr="003A006D">
              <w:t>0.0012</w:t>
            </w:r>
          </w:p>
        </w:tc>
      </w:tr>
      <w:tr w:rsidR="00A15C2C" w14:paraId="026A5868" w14:textId="77777777" w:rsidTr="007550E2">
        <w:trPr>
          <w:trHeight w:val="290"/>
          <w:jc w:val="center"/>
        </w:trPr>
        <w:tc>
          <w:tcPr>
            <w:tcW w:w="1890" w:type="dxa"/>
            <w:noWrap/>
            <w:vAlign w:val="center"/>
          </w:tcPr>
          <w:p w14:paraId="4B9978A0" w14:textId="77777777" w:rsidR="000F0490" w:rsidRPr="00733891" w:rsidRDefault="000F5B51" w:rsidP="007550E2">
            <w:pPr>
              <w:spacing w:line="240" w:lineRule="auto"/>
              <w:rPr>
                <w:rFonts w:eastAsia="Times New Roman" w:cs="Times New Roman"/>
                <w:color w:val="000000"/>
                <w:szCs w:val="24"/>
              </w:rPr>
            </w:pPr>
            <w:r w:rsidRPr="00733891">
              <w:rPr>
                <w:rFonts w:eastAsia="Times New Roman" w:cs="Times New Roman"/>
                <w:color w:val="000000"/>
                <w:szCs w:val="24"/>
              </w:rPr>
              <w:t>MAIS 4</w:t>
            </w:r>
          </w:p>
        </w:tc>
        <w:tc>
          <w:tcPr>
            <w:tcW w:w="1899" w:type="dxa"/>
            <w:noWrap/>
            <w:vAlign w:val="center"/>
          </w:tcPr>
          <w:p w14:paraId="59B58105" w14:textId="77777777" w:rsidR="000F0490" w:rsidRPr="00733891" w:rsidRDefault="000F5B51" w:rsidP="007550E2">
            <w:pPr>
              <w:spacing w:line="240" w:lineRule="auto"/>
              <w:jc w:val="center"/>
              <w:rPr>
                <w:rFonts w:eastAsia="Times New Roman" w:cs="Times New Roman"/>
                <w:color w:val="000000"/>
                <w:szCs w:val="24"/>
              </w:rPr>
            </w:pPr>
            <w:r>
              <w:rPr>
                <w:rFonts w:eastAsia="Times New Roman" w:cs="Times New Roman"/>
                <w:color w:val="000000"/>
                <w:szCs w:val="24"/>
              </w:rPr>
              <w:t>2</w:t>
            </w:r>
          </w:p>
        </w:tc>
        <w:tc>
          <w:tcPr>
            <w:tcW w:w="2191" w:type="dxa"/>
            <w:noWrap/>
            <w:vAlign w:val="center"/>
          </w:tcPr>
          <w:p w14:paraId="23237010" w14:textId="77777777" w:rsidR="000F0490" w:rsidRPr="00733891" w:rsidRDefault="000F5B51" w:rsidP="007550E2">
            <w:pPr>
              <w:spacing w:line="240" w:lineRule="auto"/>
              <w:jc w:val="center"/>
              <w:rPr>
                <w:rFonts w:eastAsia="Times New Roman" w:cs="Times New Roman"/>
                <w:color w:val="000000"/>
                <w:szCs w:val="24"/>
              </w:rPr>
            </w:pPr>
            <w:r w:rsidRPr="00733891">
              <w:rPr>
                <w:rFonts w:cs="Times New Roman"/>
                <w:color w:val="000000"/>
                <w:szCs w:val="24"/>
              </w:rPr>
              <w:t>0.41%</w:t>
            </w:r>
          </w:p>
        </w:tc>
        <w:tc>
          <w:tcPr>
            <w:tcW w:w="2167" w:type="dxa"/>
            <w:noWrap/>
          </w:tcPr>
          <w:p w14:paraId="218EE816" w14:textId="77777777" w:rsidR="000F0490" w:rsidRPr="00733891" w:rsidRDefault="000F5B51" w:rsidP="007550E2">
            <w:pPr>
              <w:spacing w:line="240" w:lineRule="auto"/>
              <w:jc w:val="center"/>
              <w:rPr>
                <w:rFonts w:eastAsia="Times New Roman" w:cs="Times New Roman"/>
                <w:color w:val="000000"/>
                <w:szCs w:val="24"/>
              </w:rPr>
            </w:pPr>
            <w:r w:rsidRPr="003A006D">
              <w:t>0.0088</w:t>
            </w:r>
          </w:p>
        </w:tc>
      </w:tr>
      <w:tr w:rsidR="00A15C2C" w14:paraId="5A844C63" w14:textId="77777777" w:rsidTr="007550E2">
        <w:trPr>
          <w:trHeight w:val="290"/>
          <w:jc w:val="center"/>
        </w:trPr>
        <w:tc>
          <w:tcPr>
            <w:tcW w:w="1890" w:type="dxa"/>
            <w:noWrap/>
            <w:vAlign w:val="center"/>
          </w:tcPr>
          <w:p w14:paraId="44CE3B0A" w14:textId="77777777" w:rsidR="000F0490" w:rsidRPr="00733891" w:rsidRDefault="000F5B51" w:rsidP="007550E2">
            <w:pPr>
              <w:spacing w:line="240" w:lineRule="auto"/>
              <w:rPr>
                <w:rFonts w:eastAsia="Times New Roman" w:cs="Times New Roman"/>
                <w:color w:val="000000"/>
                <w:szCs w:val="24"/>
              </w:rPr>
            </w:pPr>
            <w:r w:rsidRPr="00733891">
              <w:rPr>
                <w:rFonts w:eastAsia="Times New Roman" w:cs="Times New Roman"/>
                <w:color w:val="000000"/>
                <w:szCs w:val="24"/>
              </w:rPr>
              <w:t>MAIS 5</w:t>
            </w:r>
          </w:p>
        </w:tc>
        <w:tc>
          <w:tcPr>
            <w:tcW w:w="1899" w:type="dxa"/>
            <w:noWrap/>
            <w:vAlign w:val="center"/>
          </w:tcPr>
          <w:p w14:paraId="36BBBD63" w14:textId="77777777" w:rsidR="000F0490" w:rsidRPr="00733891" w:rsidRDefault="000F5B51" w:rsidP="007550E2">
            <w:pPr>
              <w:spacing w:line="240" w:lineRule="auto"/>
              <w:jc w:val="center"/>
              <w:rPr>
                <w:rFonts w:eastAsia="Times New Roman" w:cs="Times New Roman"/>
                <w:color w:val="000000"/>
                <w:szCs w:val="24"/>
              </w:rPr>
            </w:pPr>
            <w:r>
              <w:rPr>
                <w:rFonts w:eastAsia="Times New Roman" w:cs="Times New Roman"/>
                <w:color w:val="000000"/>
                <w:szCs w:val="24"/>
              </w:rPr>
              <w:t>0</w:t>
            </w:r>
          </w:p>
        </w:tc>
        <w:tc>
          <w:tcPr>
            <w:tcW w:w="2191" w:type="dxa"/>
            <w:noWrap/>
            <w:vAlign w:val="center"/>
          </w:tcPr>
          <w:p w14:paraId="5B5D45C5" w14:textId="77777777" w:rsidR="000F0490" w:rsidRPr="00733891" w:rsidRDefault="000F5B51" w:rsidP="007550E2">
            <w:pPr>
              <w:spacing w:line="240" w:lineRule="auto"/>
              <w:jc w:val="center"/>
              <w:rPr>
                <w:rFonts w:eastAsia="Times New Roman" w:cs="Times New Roman"/>
                <w:color w:val="000000"/>
                <w:szCs w:val="24"/>
              </w:rPr>
            </w:pPr>
            <w:r w:rsidRPr="00733891">
              <w:rPr>
                <w:rFonts w:cs="Times New Roman"/>
                <w:color w:val="000000"/>
                <w:szCs w:val="24"/>
              </w:rPr>
              <w:t>0.41%</w:t>
            </w:r>
          </w:p>
        </w:tc>
        <w:tc>
          <w:tcPr>
            <w:tcW w:w="2167" w:type="dxa"/>
            <w:noWrap/>
          </w:tcPr>
          <w:p w14:paraId="244A895C" w14:textId="77777777" w:rsidR="000F0490" w:rsidRPr="00733891" w:rsidRDefault="000F5B51" w:rsidP="007550E2">
            <w:pPr>
              <w:spacing w:line="240" w:lineRule="auto"/>
              <w:jc w:val="center"/>
              <w:rPr>
                <w:rFonts w:eastAsia="Times New Roman" w:cs="Times New Roman"/>
                <w:color w:val="000000"/>
                <w:szCs w:val="24"/>
              </w:rPr>
            </w:pPr>
            <w:r w:rsidRPr="003A006D">
              <w:t>0.0006</w:t>
            </w:r>
          </w:p>
        </w:tc>
      </w:tr>
      <w:tr w:rsidR="00A15C2C" w14:paraId="127275D7" w14:textId="77777777" w:rsidTr="007550E2">
        <w:trPr>
          <w:trHeight w:val="290"/>
          <w:jc w:val="center"/>
        </w:trPr>
        <w:tc>
          <w:tcPr>
            <w:tcW w:w="1890" w:type="dxa"/>
            <w:noWrap/>
            <w:vAlign w:val="center"/>
          </w:tcPr>
          <w:p w14:paraId="20735420" w14:textId="77777777" w:rsidR="000F0490" w:rsidRPr="00733891" w:rsidRDefault="000F5B51" w:rsidP="007550E2">
            <w:pPr>
              <w:spacing w:line="240" w:lineRule="auto"/>
              <w:rPr>
                <w:rFonts w:eastAsia="Times New Roman" w:cs="Times New Roman"/>
                <w:color w:val="000000"/>
                <w:szCs w:val="24"/>
              </w:rPr>
            </w:pPr>
            <w:r w:rsidRPr="00733891">
              <w:rPr>
                <w:rFonts w:eastAsia="Times New Roman" w:cs="Times New Roman"/>
                <w:color w:val="000000"/>
                <w:szCs w:val="24"/>
              </w:rPr>
              <w:t>Fatal</w:t>
            </w:r>
          </w:p>
        </w:tc>
        <w:tc>
          <w:tcPr>
            <w:tcW w:w="1899" w:type="dxa"/>
            <w:noWrap/>
            <w:vAlign w:val="center"/>
          </w:tcPr>
          <w:p w14:paraId="036F0128" w14:textId="77777777" w:rsidR="000F0490" w:rsidRPr="00733891" w:rsidRDefault="000F5B51" w:rsidP="007550E2">
            <w:pPr>
              <w:spacing w:line="240" w:lineRule="auto"/>
              <w:jc w:val="center"/>
              <w:rPr>
                <w:rFonts w:eastAsia="Times New Roman" w:cs="Times New Roman"/>
                <w:color w:val="000000"/>
                <w:szCs w:val="24"/>
              </w:rPr>
            </w:pPr>
            <w:r>
              <w:rPr>
                <w:rFonts w:eastAsia="Times New Roman" w:cs="Times New Roman"/>
                <w:color w:val="000000"/>
                <w:szCs w:val="24"/>
              </w:rPr>
              <w:t>28</w:t>
            </w:r>
          </w:p>
        </w:tc>
        <w:tc>
          <w:tcPr>
            <w:tcW w:w="2191" w:type="dxa"/>
            <w:noWrap/>
            <w:vAlign w:val="center"/>
          </w:tcPr>
          <w:p w14:paraId="548C117B" w14:textId="77777777" w:rsidR="000F0490" w:rsidRPr="00733891" w:rsidRDefault="000F5B51" w:rsidP="007550E2">
            <w:pPr>
              <w:spacing w:line="240" w:lineRule="auto"/>
              <w:jc w:val="center"/>
              <w:rPr>
                <w:rFonts w:eastAsia="Times New Roman" w:cs="Times New Roman"/>
                <w:color w:val="000000"/>
                <w:szCs w:val="24"/>
              </w:rPr>
            </w:pPr>
            <w:r w:rsidRPr="00733891">
              <w:rPr>
                <w:rFonts w:cs="Times New Roman"/>
                <w:color w:val="000000"/>
                <w:szCs w:val="24"/>
              </w:rPr>
              <w:t>0.43%</w:t>
            </w:r>
          </w:p>
        </w:tc>
        <w:tc>
          <w:tcPr>
            <w:tcW w:w="2167" w:type="dxa"/>
            <w:noWrap/>
          </w:tcPr>
          <w:p w14:paraId="1C876D22" w14:textId="77777777" w:rsidR="000F0490" w:rsidRPr="00733891" w:rsidRDefault="000F5B51" w:rsidP="007550E2">
            <w:pPr>
              <w:spacing w:line="240" w:lineRule="auto"/>
              <w:jc w:val="center"/>
              <w:rPr>
                <w:rFonts w:eastAsia="Times New Roman" w:cs="Times New Roman"/>
                <w:color w:val="000000"/>
                <w:szCs w:val="24"/>
              </w:rPr>
            </w:pPr>
            <w:r w:rsidRPr="003A006D">
              <w:t>0.1203</w:t>
            </w:r>
          </w:p>
        </w:tc>
      </w:tr>
    </w:tbl>
    <w:p w14:paraId="4C1F6D55" w14:textId="77777777" w:rsidR="000F0490" w:rsidRDefault="000F5B51" w:rsidP="000F0490">
      <w:pPr>
        <w:spacing w:after="0"/>
        <w:ind w:firstLine="720"/>
        <w:rPr>
          <w:rFonts w:eastAsia="Times New Roman" w:cs="Times New Roman"/>
          <w:color w:val="000000"/>
          <w:sz w:val="18"/>
          <w:szCs w:val="18"/>
        </w:rPr>
      </w:pPr>
      <w:r w:rsidRPr="0078788C">
        <w:rPr>
          <w:rFonts w:eastAsia="Times New Roman" w:cs="Times New Roman"/>
          <w:color w:val="000000"/>
          <w:sz w:val="18"/>
          <w:szCs w:val="18"/>
        </w:rPr>
        <w:t>Note: Values may not sum due to rounding.</w:t>
      </w:r>
    </w:p>
    <w:p w14:paraId="6CB22081" w14:textId="7CEC5D02" w:rsidR="000F0490" w:rsidRDefault="000F5B51" w:rsidP="000F0490">
      <w:r>
        <w:fldChar w:fldCharType="begin"/>
      </w:r>
      <w:r>
        <w:instrText xml:space="preserve"> REF _Ref128032708 \h  \* MERGEFORMAT </w:instrText>
      </w:r>
      <w:r>
        <w:fldChar w:fldCharType="separate"/>
      </w:r>
      <w:r w:rsidR="00A65CB3">
        <w:t xml:space="preserve">Table </w:t>
      </w:r>
      <w:r w:rsidR="00A65CB3">
        <w:rPr>
          <w:noProof/>
        </w:rPr>
        <w:t>88</w:t>
      </w:r>
      <w:r>
        <w:fldChar w:fldCharType="end"/>
      </w:r>
      <w:r>
        <w:t xml:space="preserve"> presents the incremental benefits associated with this regulatory alternative by vehicle type and discount rate. Discounted incremental benefits are calculated by applying the discount factors presented in </w:t>
      </w:r>
      <w:r w:rsidR="008A2E63">
        <w:fldChar w:fldCharType="begin"/>
      </w:r>
      <w:r w:rsidR="008A2E63">
        <w:instrText xml:space="preserve"> REF _Ref126230753 \h </w:instrText>
      </w:r>
      <w:r w:rsidR="008A2E63">
        <w:fldChar w:fldCharType="separate"/>
      </w:r>
      <w:r w:rsidR="00A65CB3">
        <w:t xml:space="preserve">Table </w:t>
      </w:r>
      <w:r w:rsidR="00A65CB3">
        <w:rPr>
          <w:noProof/>
        </w:rPr>
        <w:t>66</w:t>
      </w:r>
      <w:r w:rsidR="008A2E63">
        <w:fldChar w:fldCharType="end"/>
      </w:r>
      <w:r w:rsidR="008A2E63">
        <w:t xml:space="preserve"> </w:t>
      </w:r>
      <w:r>
        <w:t xml:space="preserve">by discount rate and vehicle type. </w:t>
      </w:r>
    </w:p>
    <w:p w14:paraId="65C79770" w14:textId="6D9163E5" w:rsidR="00F1151E" w:rsidRDefault="00F1151E" w:rsidP="000F0490"/>
    <w:p w14:paraId="7DB22CF7" w14:textId="31A52D1F" w:rsidR="00F1151E" w:rsidRDefault="00F1151E" w:rsidP="000F0490"/>
    <w:p w14:paraId="28C0DD33" w14:textId="007911E6" w:rsidR="00F1151E" w:rsidRDefault="00F1151E" w:rsidP="000F0490"/>
    <w:p w14:paraId="3FB06704" w14:textId="5D53A8AC" w:rsidR="00F1151E" w:rsidRDefault="00F1151E" w:rsidP="000F0490"/>
    <w:p w14:paraId="6D7AB00A" w14:textId="77777777" w:rsidR="00F1151E" w:rsidRDefault="00F1151E" w:rsidP="000F0490"/>
    <w:p w14:paraId="0895F1C6" w14:textId="69AA1DB6" w:rsidR="000F0490" w:rsidRPr="0078788C" w:rsidRDefault="000F5B51" w:rsidP="000F0490">
      <w:pPr>
        <w:pStyle w:val="Caption"/>
        <w:rPr>
          <w:rFonts w:eastAsia="Times New Roman" w:cs="Times New Roman"/>
          <w:color w:val="000000"/>
          <w:sz w:val="18"/>
        </w:rPr>
      </w:pPr>
      <w:bookmarkStart w:id="1747" w:name="_Ref128032708"/>
      <w:r>
        <w:lastRenderedPageBreak/>
        <w:t xml:space="preserve">Table </w:t>
      </w:r>
      <w:r w:rsidR="00115BAB">
        <w:fldChar w:fldCharType="begin"/>
      </w:r>
      <w:r>
        <w:instrText xml:space="preserve"> SEQ Table \* ARABIC </w:instrText>
      </w:r>
      <w:r w:rsidR="00115BAB">
        <w:fldChar w:fldCharType="separate"/>
      </w:r>
      <w:r w:rsidR="00A65CB3">
        <w:rPr>
          <w:noProof/>
        </w:rPr>
        <w:t>88</w:t>
      </w:r>
      <w:r w:rsidR="00115BAB">
        <w:rPr>
          <w:noProof/>
        </w:rPr>
        <w:fldChar w:fldCharType="end"/>
      </w:r>
      <w:bookmarkEnd w:id="1747"/>
      <w:r>
        <w:t>: Discounted Benefits by Vehicle Type</w:t>
      </w:r>
    </w:p>
    <w:tbl>
      <w:tblPr>
        <w:tblStyle w:val="TableGrid3"/>
        <w:tblW w:w="9350" w:type="dxa"/>
        <w:tblLayout w:type="fixed"/>
        <w:tblLook w:val="04A0" w:firstRow="1" w:lastRow="0" w:firstColumn="1" w:lastColumn="0" w:noHBand="0" w:noVBand="1"/>
      </w:tblPr>
      <w:tblGrid>
        <w:gridCol w:w="1592"/>
        <w:gridCol w:w="1597"/>
        <w:gridCol w:w="2053"/>
        <w:gridCol w:w="2054"/>
        <w:gridCol w:w="2054"/>
      </w:tblGrid>
      <w:tr w:rsidR="00A15C2C" w14:paraId="76733982" w14:textId="77777777" w:rsidTr="007550E2">
        <w:trPr>
          <w:trHeight w:val="1380"/>
        </w:trPr>
        <w:tc>
          <w:tcPr>
            <w:tcW w:w="1592" w:type="dxa"/>
            <w:shd w:val="clear" w:color="auto" w:fill="D9D9D9" w:themeFill="background1" w:themeFillShade="D9"/>
            <w:noWrap/>
            <w:vAlign w:val="center"/>
            <w:hideMark/>
          </w:tcPr>
          <w:p w14:paraId="7B68E49C" w14:textId="77777777" w:rsidR="000F0490" w:rsidRPr="00A46F57" w:rsidRDefault="000F5B51" w:rsidP="007550E2">
            <w:pPr>
              <w:spacing w:line="240" w:lineRule="auto"/>
              <w:rPr>
                <w:b/>
                <w:bCs/>
              </w:rPr>
            </w:pPr>
            <w:r w:rsidRPr="006D7613">
              <w:rPr>
                <w:b/>
                <w:bCs/>
              </w:rPr>
              <w:t>Vehicle Type</w:t>
            </w:r>
          </w:p>
        </w:tc>
        <w:tc>
          <w:tcPr>
            <w:tcW w:w="1597" w:type="dxa"/>
            <w:shd w:val="clear" w:color="auto" w:fill="D9D9D9" w:themeFill="background1" w:themeFillShade="D9"/>
            <w:noWrap/>
            <w:hideMark/>
          </w:tcPr>
          <w:p w14:paraId="021730E8" w14:textId="77777777" w:rsidR="000F0490" w:rsidRPr="007F6FCD" w:rsidRDefault="000F5B51" w:rsidP="007550E2">
            <w:pPr>
              <w:spacing w:line="240" w:lineRule="auto"/>
              <w:rPr>
                <w:b/>
                <w:bCs/>
              </w:rPr>
            </w:pPr>
            <w:r w:rsidRPr="00A46F57">
              <w:rPr>
                <w:b/>
                <w:bCs/>
              </w:rPr>
              <w:t> </w:t>
            </w:r>
          </w:p>
          <w:p w14:paraId="4EBBEE0D" w14:textId="77777777" w:rsidR="000F0490" w:rsidRPr="00A46F57" w:rsidRDefault="000F5B51" w:rsidP="007550E2">
            <w:pPr>
              <w:spacing w:line="240" w:lineRule="auto"/>
              <w:rPr>
                <w:b/>
                <w:bCs/>
              </w:rPr>
            </w:pPr>
            <w:r w:rsidRPr="00A46F57">
              <w:rPr>
                <w:b/>
                <w:bCs/>
              </w:rPr>
              <w:t xml:space="preserve">Injury Severity </w:t>
            </w:r>
          </w:p>
        </w:tc>
        <w:tc>
          <w:tcPr>
            <w:tcW w:w="2053" w:type="dxa"/>
            <w:shd w:val="clear" w:color="auto" w:fill="D9D9D9" w:themeFill="background1" w:themeFillShade="D9"/>
            <w:noWrap/>
            <w:vAlign w:val="center"/>
            <w:hideMark/>
          </w:tcPr>
          <w:p w14:paraId="1AA8444A" w14:textId="77777777" w:rsidR="000F0490" w:rsidRPr="00A46F57" w:rsidRDefault="000F5B51" w:rsidP="007550E2">
            <w:pPr>
              <w:spacing w:line="240" w:lineRule="auto"/>
              <w:jc w:val="center"/>
              <w:rPr>
                <w:b/>
                <w:bCs/>
              </w:rPr>
            </w:pPr>
            <w:r w:rsidRPr="007F6FCD">
              <w:rPr>
                <w:b/>
                <w:bCs/>
              </w:rPr>
              <w:t xml:space="preserve">Undiscounted </w:t>
            </w:r>
            <w:r w:rsidRPr="00A46F57">
              <w:rPr>
                <w:b/>
                <w:bCs/>
              </w:rPr>
              <w:t>Incremental Benefits</w:t>
            </w:r>
          </w:p>
        </w:tc>
        <w:tc>
          <w:tcPr>
            <w:tcW w:w="2054" w:type="dxa"/>
            <w:shd w:val="clear" w:color="auto" w:fill="D9D9D9" w:themeFill="background1" w:themeFillShade="D9"/>
            <w:vAlign w:val="center"/>
          </w:tcPr>
          <w:p w14:paraId="44509403" w14:textId="77777777" w:rsidR="000F0490" w:rsidRPr="007F6FCD" w:rsidRDefault="000F5B51" w:rsidP="007550E2">
            <w:pPr>
              <w:spacing w:line="240" w:lineRule="auto"/>
              <w:jc w:val="center"/>
              <w:rPr>
                <w:b/>
                <w:bCs/>
              </w:rPr>
            </w:pPr>
            <w:r>
              <w:rPr>
                <w:b/>
                <w:bCs/>
              </w:rPr>
              <w:t>Discounted at 3%</w:t>
            </w:r>
          </w:p>
        </w:tc>
        <w:tc>
          <w:tcPr>
            <w:tcW w:w="2054" w:type="dxa"/>
            <w:shd w:val="clear" w:color="auto" w:fill="D9D9D9" w:themeFill="background1" w:themeFillShade="D9"/>
            <w:vAlign w:val="center"/>
          </w:tcPr>
          <w:p w14:paraId="624B1BB7" w14:textId="77777777" w:rsidR="000F0490" w:rsidRPr="007F6FCD" w:rsidRDefault="000F5B51" w:rsidP="007550E2">
            <w:pPr>
              <w:spacing w:line="240" w:lineRule="auto"/>
              <w:jc w:val="center"/>
              <w:rPr>
                <w:b/>
                <w:bCs/>
              </w:rPr>
            </w:pPr>
            <w:r>
              <w:rPr>
                <w:b/>
                <w:bCs/>
              </w:rPr>
              <w:t>Discounted at 7%</w:t>
            </w:r>
          </w:p>
        </w:tc>
      </w:tr>
      <w:tr w:rsidR="00A15C2C" w14:paraId="68C41F39" w14:textId="77777777" w:rsidTr="007550E2">
        <w:trPr>
          <w:trHeight w:val="320"/>
        </w:trPr>
        <w:tc>
          <w:tcPr>
            <w:tcW w:w="1592" w:type="dxa"/>
            <w:vMerge w:val="restart"/>
            <w:shd w:val="clear" w:color="auto" w:fill="D9D9D9" w:themeFill="background1" w:themeFillShade="D9"/>
            <w:noWrap/>
            <w:vAlign w:val="center"/>
            <w:hideMark/>
          </w:tcPr>
          <w:p w14:paraId="3D721DFF" w14:textId="77777777" w:rsidR="000F0490" w:rsidRPr="00A46F57" w:rsidRDefault="000F5B51" w:rsidP="007550E2">
            <w:pPr>
              <w:spacing w:line="240" w:lineRule="auto"/>
              <w:rPr>
                <w:b/>
                <w:bCs/>
              </w:rPr>
            </w:pPr>
            <w:r w:rsidRPr="006D7613">
              <w:rPr>
                <w:b/>
                <w:bCs/>
              </w:rPr>
              <w:t>PC</w:t>
            </w:r>
          </w:p>
        </w:tc>
        <w:tc>
          <w:tcPr>
            <w:tcW w:w="1597" w:type="dxa"/>
            <w:shd w:val="clear" w:color="auto" w:fill="D9D9D9" w:themeFill="background1" w:themeFillShade="D9"/>
            <w:noWrap/>
            <w:hideMark/>
          </w:tcPr>
          <w:p w14:paraId="5DF59D85" w14:textId="77777777" w:rsidR="000F0490" w:rsidRPr="00A46F57" w:rsidRDefault="000F5B51" w:rsidP="007550E2">
            <w:pPr>
              <w:spacing w:line="240" w:lineRule="auto"/>
            </w:pPr>
            <w:r w:rsidRPr="00A46F57">
              <w:t>MAIS 1</w:t>
            </w:r>
          </w:p>
        </w:tc>
        <w:tc>
          <w:tcPr>
            <w:tcW w:w="2053" w:type="dxa"/>
            <w:noWrap/>
            <w:vAlign w:val="center"/>
          </w:tcPr>
          <w:p w14:paraId="32A8E802" w14:textId="77777777" w:rsidR="000F0490" w:rsidRPr="00A46F57" w:rsidRDefault="000F5B51" w:rsidP="007550E2">
            <w:pPr>
              <w:spacing w:line="240" w:lineRule="auto"/>
              <w:jc w:val="center"/>
            </w:pPr>
            <w:r w:rsidRPr="006727CF">
              <w:t>0.007</w:t>
            </w:r>
            <w:r>
              <w:t>8</w:t>
            </w:r>
          </w:p>
        </w:tc>
        <w:tc>
          <w:tcPr>
            <w:tcW w:w="2054" w:type="dxa"/>
            <w:vAlign w:val="center"/>
          </w:tcPr>
          <w:p w14:paraId="14D975C3" w14:textId="77777777" w:rsidR="000F0490" w:rsidRPr="00A46F57" w:rsidRDefault="000F5B51" w:rsidP="007550E2">
            <w:pPr>
              <w:spacing w:line="240" w:lineRule="auto"/>
              <w:jc w:val="center"/>
            </w:pPr>
            <w:r w:rsidRPr="00D1488A">
              <w:t>0.0065</w:t>
            </w:r>
          </w:p>
        </w:tc>
        <w:tc>
          <w:tcPr>
            <w:tcW w:w="2054" w:type="dxa"/>
            <w:vAlign w:val="center"/>
          </w:tcPr>
          <w:p w14:paraId="758775EE" w14:textId="77777777" w:rsidR="000F0490" w:rsidRPr="00A46F57" w:rsidRDefault="000F5B51" w:rsidP="007550E2">
            <w:pPr>
              <w:spacing w:line="240" w:lineRule="auto"/>
              <w:jc w:val="center"/>
            </w:pPr>
            <w:r w:rsidRPr="00D1488A">
              <w:t>0.0053</w:t>
            </w:r>
          </w:p>
        </w:tc>
      </w:tr>
      <w:tr w:rsidR="00A15C2C" w14:paraId="6AB9151D" w14:textId="77777777" w:rsidTr="007550E2">
        <w:trPr>
          <w:trHeight w:val="320"/>
        </w:trPr>
        <w:tc>
          <w:tcPr>
            <w:tcW w:w="1592" w:type="dxa"/>
            <w:vMerge/>
            <w:shd w:val="clear" w:color="auto" w:fill="D9D9D9" w:themeFill="background1" w:themeFillShade="D9"/>
            <w:noWrap/>
            <w:vAlign w:val="center"/>
            <w:hideMark/>
          </w:tcPr>
          <w:p w14:paraId="46EEBFF9" w14:textId="77777777" w:rsidR="000F0490" w:rsidRPr="00A46F57" w:rsidRDefault="000F0490" w:rsidP="007550E2">
            <w:pPr>
              <w:spacing w:line="240" w:lineRule="auto"/>
              <w:rPr>
                <w:b/>
                <w:bCs/>
              </w:rPr>
            </w:pPr>
          </w:p>
        </w:tc>
        <w:tc>
          <w:tcPr>
            <w:tcW w:w="1597" w:type="dxa"/>
            <w:shd w:val="clear" w:color="auto" w:fill="D9D9D9" w:themeFill="background1" w:themeFillShade="D9"/>
            <w:noWrap/>
            <w:hideMark/>
          </w:tcPr>
          <w:p w14:paraId="50478D5F" w14:textId="77777777" w:rsidR="000F0490" w:rsidRPr="00A46F57" w:rsidRDefault="000F5B51" w:rsidP="007550E2">
            <w:pPr>
              <w:spacing w:line="240" w:lineRule="auto"/>
            </w:pPr>
            <w:r w:rsidRPr="00A46F57">
              <w:t>MAIS 2</w:t>
            </w:r>
          </w:p>
        </w:tc>
        <w:tc>
          <w:tcPr>
            <w:tcW w:w="2053" w:type="dxa"/>
            <w:noWrap/>
            <w:vAlign w:val="center"/>
          </w:tcPr>
          <w:p w14:paraId="64074E26" w14:textId="77777777" w:rsidR="000F0490" w:rsidRPr="00A46F57" w:rsidRDefault="000F5B51" w:rsidP="007550E2">
            <w:pPr>
              <w:spacing w:line="240" w:lineRule="auto"/>
              <w:jc w:val="center"/>
            </w:pPr>
            <w:r w:rsidRPr="006727CF">
              <w:t>0.046</w:t>
            </w:r>
            <w:r>
              <w:t>6</w:t>
            </w:r>
          </w:p>
        </w:tc>
        <w:tc>
          <w:tcPr>
            <w:tcW w:w="2054" w:type="dxa"/>
            <w:vAlign w:val="center"/>
          </w:tcPr>
          <w:p w14:paraId="074E0371" w14:textId="77777777" w:rsidR="000F0490" w:rsidRPr="00A46F57" w:rsidRDefault="000F5B51" w:rsidP="007550E2">
            <w:pPr>
              <w:spacing w:line="240" w:lineRule="auto"/>
              <w:jc w:val="center"/>
            </w:pPr>
            <w:r w:rsidRPr="00D1488A">
              <w:t>0.0389</w:t>
            </w:r>
          </w:p>
        </w:tc>
        <w:tc>
          <w:tcPr>
            <w:tcW w:w="2054" w:type="dxa"/>
            <w:vAlign w:val="center"/>
          </w:tcPr>
          <w:p w14:paraId="56E6AE49" w14:textId="77777777" w:rsidR="000F0490" w:rsidRPr="00A46F57" w:rsidRDefault="000F5B51" w:rsidP="007550E2">
            <w:pPr>
              <w:spacing w:line="240" w:lineRule="auto"/>
              <w:jc w:val="center"/>
            </w:pPr>
            <w:r w:rsidRPr="00D1488A">
              <w:t>0.0317</w:t>
            </w:r>
          </w:p>
        </w:tc>
      </w:tr>
      <w:tr w:rsidR="00A15C2C" w14:paraId="156EBC04" w14:textId="77777777" w:rsidTr="007550E2">
        <w:trPr>
          <w:trHeight w:val="320"/>
        </w:trPr>
        <w:tc>
          <w:tcPr>
            <w:tcW w:w="1592" w:type="dxa"/>
            <w:vMerge/>
            <w:shd w:val="clear" w:color="auto" w:fill="D9D9D9" w:themeFill="background1" w:themeFillShade="D9"/>
            <w:noWrap/>
            <w:vAlign w:val="center"/>
            <w:hideMark/>
          </w:tcPr>
          <w:p w14:paraId="596BD745" w14:textId="77777777" w:rsidR="000F0490" w:rsidRPr="00A46F57" w:rsidRDefault="000F0490" w:rsidP="007550E2">
            <w:pPr>
              <w:spacing w:line="240" w:lineRule="auto"/>
              <w:rPr>
                <w:b/>
                <w:bCs/>
              </w:rPr>
            </w:pPr>
          </w:p>
        </w:tc>
        <w:tc>
          <w:tcPr>
            <w:tcW w:w="1597" w:type="dxa"/>
            <w:shd w:val="clear" w:color="auto" w:fill="D9D9D9" w:themeFill="background1" w:themeFillShade="D9"/>
            <w:noWrap/>
            <w:hideMark/>
          </w:tcPr>
          <w:p w14:paraId="192E54D3" w14:textId="77777777" w:rsidR="000F0490" w:rsidRPr="00A46F57" w:rsidRDefault="000F5B51" w:rsidP="007550E2">
            <w:pPr>
              <w:spacing w:line="240" w:lineRule="auto"/>
            </w:pPr>
            <w:r w:rsidRPr="00A46F57">
              <w:t>MAIS 3</w:t>
            </w:r>
          </w:p>
        </w:tc>
        <w:tc>
          <w:tcPr>
            <w:tcW w:w="2053" w:type="dxa"/>
            <w:noWrap/>
            <w:vAlign w:val="center"/>
          </w:tcPr>
          <w:p w14:paraId="2178E591" w14:textId="77777777" w:rsidR="000F0490" w:rsidRPr="00A46F57" w:rsidRDefault="000F5B51" w:rsidP="007550E2">
            <w:pPr>
              <w:spacing w:line="240" w:lineRule="auto"/>
              <w:jc w:val="center"/>
            </w:pPr>
            <w:r w:rsidRPr="006727CF">
              <w:t>0.012</w:t>
            </w:r>
            <w:r>
              <w:t>9</w:t>
            </w:r>
          </w:p>
        </w:tc>
        <w:tc>
          <w:tcPr>
            <w:tcW w:w="2054" w:type="dxa"/>
            <w:vAlign w:val="center"/>
          </w:tcPr>
          <w:p w14:paraId="360BA705" w14:textId="77777777" w:rsidR="000F0490" w:rsidRPr="00A46F57" w:rsidRDefault="000F5B51" w:rsidP="007550E2">
            <w:pPr>
              <w:spacing w:line="240" w:lineRule="auto"/>
              <w:jc w:val="center"/>
            </w:pPr>
            <w:r w:rsidRPr="00D1488A">
              <w:t>0.0107</w:t>
            </w:r>
          </w:p>
        </w:tc>
        <w:tc>
          <w:tcPr>
            <w:tcW w:w="2054" w:type="dxa"/>
            <w:vAlign w:val="center"/>
          </w:tcPr>
          <w:p w14:paraId="78133F42" w14:textId="77777777" w:rsidR="000F0490" w:rsidRPr="00A46F57" w:rsidRDefault="000F5B51" w:rsidP="007550E2">
            <w:pPr>
              <w:spacing w:line="240" w:lineRule="auto"/>
              <w:jc w:val="center"/>
            </w:pPr>
            <w:r w:rsidRPr="00D1488A">
              <w:t>0.0088</w:t>
            </w:r>
          </w:p>
        </w:tc>
      </w:tr>
      <w:tr w:rsidR="00A15C2C" w14:paraId="56188A89" w14:textId="77777777" w:rsidTr="007550E2">
        <w:trPr>
          <w:trHeight w:val="320"/>
        </w:trPr>
        <w:tc>
          <w:tcPr>
            <w:tcW w:w="1592" w:type="dxa"/>
            <w:vMerge/>
            <w:shd w:val="clear" w:color="auto" w:fill="D9D9D9" w:themeFill="background1" w:themeFillShade="D9"/>
            <w:noWrap/>
            <w:vAlign w:val="center"/>
            <w:hideMark/>
          </w:tcPr>
          <w:p w14:paraId="542FB4CD" w14:textId="77777777" w:rsidR="000F0490" w:rsidRPr="00A46F57" w:rsidRDefault="000F0490" w:rsidP="007550E2">
            <w:pPr>
              <w:spacing w:line="240" w:lineRule="auto"/>
              <w:rPr>
                <w:b/>
                <w:bCs/>
              </w:rPr>
            </w:pPr>
          </w:p>
        </w:tc>
        <w:tc>
          <w:tcPr>
            <w:tcW w:w="1597" w:type="dxa"/>
            <w:shd w:val="clear" w:color="auto" w:fill="D9D9D9" w:themeFill="background1" w:themeFillShade="D9"/>
            <w:noWrap/>
            <w:hideMark/>
          </w:tcPr>
          <w:p w14:paraId="45380406" w14:textId="77777777" w:rsidR="000F0490" w:rsidRPr="00A46F57" w:rsidRDefault="000F5B51" w:rsidP="007550E2">
            <w:pPr>
              <w:spacing w:line="240" w:lineRule="auto"/>
            </w:pPr>
            <w:r w:rsidRPr="00A46F57">
              <w:t>MAIS 4</w:t>
            </w:r>
          </w:p>
        </w:tc>
        <w:tc>
          <w:tcPr>
            <w:tcW w:w="2053" w:type="dxa"/>
            <w:noWrap/>
            <w:vAlign w:val="center"/>
          </w:tcPr>
          <w:p w14:paraId="10FF3512" w14:textId="77777777" w:rsidR="000F0490" w:rsidRPr="00A46F57" w:rsidRDefault="000F5B51" w:rsidP="007550E2">
            <w:pPr>
              <w:spacing w:line="240" w:lineRule="auto"/>
              <w:jc w:val="center"/>
            </w:pPr>
            <w:r w:rsidRPr="006727CF">
              <w:t>0.009</w:t>
            </w:r>
            <w:r>
              <w:t>3</w:t>
            </w:r>
          </w:p>
        </w:tc>
        <w:tc>
          <w:tcPr>
            <w:tcW w:w="2054" w:type="dxa"/>
            <w:vAlign w:val="center"/>
          </w:tcPr>
          <w:p w14:paraId="29A3B3AE" w14:textId="77777777" w:rsidR="000F0490" w:rsidRPr="00A46F57" w:rsidRDefault="000F5B51" w:rsidP="007550E2">
            <w:pPr>
              <w:spacing w:line="240" w:lineRule="auto"/>
              <w:jc w:val="center"/>
            </w:pPr>
            <w:r w:rsidRPr="00D1488A">
              <w:t>0.0078</w:t>
            </w:r>
          </w:p>
        </w:tc>
        <w:tc>
          <w:tcPr>
            <w:tcW w:w="2054" w:type="dxa"/>
            <w:vAlign w:val="center"/>
          </w:tcPr>
          <w:p w14:paraId="0830E046" w14:textId="77777777" w:rsidR="000F0490" w:rsidRPr="00A46F57" w:rsidRDefault="000F5B51" w:rsidP="007550E2">
            <w:pPr>
              <w:spacing w:line="240" w:lineRule="auto"/>
              <w:jc w:val="center"/>
            </w:pPr>
            <w:r w:rsidRPr="00D1488A">
              <w:t>0.0063</w:t>
            </w:r>
          </w:p>
        </w:tc>
      </w:tr>
      <w:tr w:rsidR="00A15C2C" w14:paraId="549FA183" w14:textId="77777777" w:rsidTr="007550E2">
        <w:trPr>
          <w:trHeight w:val="320"/>
        </w:trPr>
        <w:tc>
          <w:tcPr>
            <w:tcW w:w="1592" w:type="dxa"/>
            <w:vMerge/>
            <w:shd w:val="clear" w:color="auto" w:fill="D9D9D9" w:themeFill="background1" w:themeFillShade="D9"/>
            <w:noWrap/>
            <w:vAlign w:val="center"/>
            <w:hideMark/>
          </w:tcPr>
          <w:p w14:paraId="068790F3" w14:textId="77777777" w:rsidR="000F0490" w:rsidRPr="00A46F57" w:rsidRDefault="000F0490" w:rsidP="007550E2">
            <w:pPr>
              <w:spacing w:line="240" w:lineRule="auto"/>
              <w:rPr>
                <w:b/>
                <w:bCs/>
              </w:rPr>
            </w:pPr>
          </w:p>
        </w:tc>
        <w:tc>
          <w:tcPr>
            <w:tcW w:w="1597" w:type="dxa"/>
            <w:shd w:val="clear" w:color="auto" w:fill="D9D9D9" w:themeFill="background1" w:themeFillShade="D9"/>
            <w:noWrap/>
            <w:hideMark/>
          </w:tcPr>
          <w:p w14:paraId="19D07254" w14:textId="77777777" w:rsidR="000F0490" w:rsidRPr="00A46F57" w:rsidRDefault="000F5B51" w:rsidP="007550E2">
            <w:pPr>
              <w:spacing w:line="240" w:lineRule="auto"/>
            </w:pPr>
            <w:r w:rsidRPr="00A46F57">
              <w:t>MAIS 5</w:t>
            </w:r>
          </w:p>
        </w:tc>
        <w:tc>
          <w:tcPr>
            <w:tcW w:w="2053" w:type="dxa"/>
            <w:noWrap/>
            <w:vAlign w:val="center"/>
          </w:tcPr>
          <w:p w14:paraId="6CBEAEE5" w14:textId="77777777" w:rsidR="000F0490" w:rsidRPr="00A46F57" w:rsidRDefault="000F5B51" w:rsidP="007550E2">
            <w:pPr>
              <w:spacing w:line="240" w:lineRule="auto"/>
              <w:jc w:val="center"/>
            </w:pPr>
            <w:r w:rsidRPr="006727CF">
              <w:t>0.0002</w:t>
            </w:r>
          </w:p>
        </w:tc>
        <w:tc>
          <w:tcPr>
            <w:tcW w:w="2054" w:type="dxa"/>
            <w:vAlign w:val="center"/>
          </w:tcPr>
          <w:p w14:paraId="6A4871BD" w14:textId="77777777" w:rsidR="000F0490" w:rsidRPr="00A46F57" w:rsidRDefault="000F5B51" w:rsidP="007550E2">
            <w:pPr>
              <w:spacing w:line="240" w:lineRule="auto"/>
              <w:jc w:val="center"/>
            </w:pPr>
            <w:r w:rsidRPr="00D1488A">
              <w:t>0.0002</w:t>
            </w:r>
          </w:p>
        </w:tc>
        <w:tc>
          <w:tcPr>
            <w:tcW w:w="2054" w:type="dxa"/>
            <w:vAlign w:val="center"/>
          </w:tcPr>
          <w:p w14:paraId="784044E3" w14:textId="77777777" w:rsidR="000F0490" w:rsidRPr="00A46F57" w:rsidRDefault="000F5B51" w:rsidP="007550E2">
            <w:pPr>
              <w:spacing w:line="240" w:lineRule="auto"/>
              <w:jc w:val="center"/>
            </w:pPr>
            <w:r w:rsidRPr="00D1488A">
              <w:t>0.0002</w:t>
            </w:r>
          </w:p>
        </w:tc>
      </w:tr>
      <w:tr w:rsidR="00A15C2C" w14:paraId="6B0E971A" w14:textId="77777777" w:rsidTr="007550E2">
        <w:trPr>
          <w:trHeight w:val="310"/>
        </w:trPr>
        <w:tc>
          <w:tcPr>
            <w:tcW w:w="1592" w:type="dxa"/>
            <w:vMerge/>
            <w:shd w:val="clear" w:color="auto" w:fill="D9D9D9" w:themeFill="background1" w:themeFillShade="D9"/>
            <w:noWrap/>
            <w:vAlign w:val="center"/>
            <w:hideMark/>
          </w:tcPr>
          <w:p w14:paraId="0B0411E8" w14:textId="77777777" w:rsidR="000F0490" w:rsidRPr="00A46F57" w:rsidRDefault="000F0490" w:rsidP="007550E2">
            <w:pPr>
              <w:spacing w:line="240" w:lineRule="auto"/>
              <w:rPr>
                <w:b/>
                <w:bCs/>
              </w:rPr>
            </w:pPr>
          </w:p>
        </w:tc>
        <w:tc>
          <w:tcPr>
            <w:tcW w:w="1597" w:type="dxa"/>
            <w:shd w:val="clear" w:color="auto" w:fill="D9D9D9" w:themeFill="background1" w:themeFillShade="D9"/>
            <w:noWrap/>
            <w:hideMark/>
          </w:tcPr>
          <w:p w14:paraId="362FB9AA" w14:textId="77777777" w:rsidR="000F0490" w:rsidRPr="006D12D0" w:rsidRDefault="000F5B51" w:rsidP="007550E2">
            <w:pPr>
              <w:spacing w:line="240" w:lineRule="auto"/>
            </w:pPr>
            <w:r w:rsidRPr="006D12D0">
              <w:t>Fatality</w:t>
            </w:r>
          </w:p>
        </w:tc>
        <w:tc>
          <w:tcPr>
            <w:tcW w:w="2053" w:type="dxa"/>
            <w:noWrap/>
            <w:vAlign w:val="center"/>
          </w:tcPr>
          <w:p w14:paraId="5FF27411" w14:textId="77777777" w:rsidR="000F0490" w:rsidRPr="00A46F57" w:rsidRDefault="000F5B51" w:rsidP="007550E2">
            <w:pPr>
              <w:spacing w:line="240" w:lineRule="auto"/>
              <w:jc w:val="center"/>
            </w:pPr>
            <w:r w:rsidRPr="006727CF">
              <w:t>0.0241</w:t>
            </w:r>
          </w:p>
        </w:tc>
        <w:tc>
          <w:tcPr>
            <w:tcW w:w="2054" w:type="dxa"/>
            <w:vAlign w:val="center"/>
          </w:tcPr>
          <w:p w14:paraId="735B8AB0" w14:textId="77777777" w:rsidR="000F0490" w:rsidRPr="00A46F57" w:rsidRDefault="000F5B51" w:rsidP="007550E2">
            <w:pPr>
              <w:spacing w:line="240" w:lineRule="auto"/>
              <w:jc w:val="center"/>
            </w:pPr>
            <w:r w:rsidRPr="00D1488A">
              <w:t>0.0202</w:t>
            </w:r>
          </w:p>
        </w:tc>
        <w:tc>
          <w:tcPr>
            <w:tcW w:w="2054" w:type="dxa"/>
            <w:vAlign w:val="center"/>
          </w:tcPr>
          <w:p w14:paraId="19E46BF7" w14:textId="77777777" w:rsidR="000F0490" w:rsidRPr="00A46F57" w:rsidRDefault="000F5B51" w:rsidP="007550E2">
            <w:pPr>
              <w:spacing w:line="240" w:lineRule="auto"/>
              <w:jc w:val="center"/>
            </w:pPr>
            <w:r w:rsidRPr="00D1488A">
              <w:t>0.0164</w:t>
            </w:r>
          </w:p>
        </w:tc>
      </w:tr>
      <w:tr w:rsidR="00A15C2C" w14:paraId="6E9B47F1" w14:textId="77777777" w:rsidTr="007550E2">
        <w:trPr>
          <w:trHeight w:val="320"/>
        </w:trPr>
        <w:tc>
          <w:tcPr>
            <w:tcW w:w="1592" w:type="dxa"/>
            <w:vMerge w:val="restart"/>
            <w:shd w:val="clear" w:color="auto" w:fill="D9D9D9" w:themeFill="background1" w:themeFillShade="D9"/>
            <w:noWrap/>
            <w:vAlign w:val="center"/>
            <w:hideMark/>
          </w:tcPr>
          <w:p w14:paraId="29C7BF60" w14:textId="77777777" w:rsidR="000F0490" w:rsidRPr="00A46F57" w:rsidRDefault="000F5B51" w:rsidP="007550E2">
            <w:pPr>
              <w:spacing w:line="240" w:lineRule="auto"/>
              <w:rPr>
                <w:b/>
                <w:bCs/>
              </w:rPr>
            </w:pPr>
            <w:r w:rsidRPr="006D7613">
              <w:rPr>
                <w:b/>
                <w:bCs/>
              </w:rPr>
              <w:t>LTV</w:t>
            </w:r>
          </w:p>
        </w:tc>
        <w:tc>
          <w:tcPr>
            <w:tcW w:w="1597" w:type="dxa"/>
            <w:shd w:val="clear" w:color="auto" w:fill="D9D9D9" w:themeFill="background1" w:themeFillShade="D9"/>
            <w:noWrap/>
            <w:hideMark/>
          </w:tcPr>
          <w:p w14:paraId="6F059453" w14:textId="77777777" w:rsidR="000F0490" w:rsidRPr="00A46F57" w:rsidRDefault="000F5B51" w:rsidP="007550E2">
            <w:pPr>
              <w:spacing w:line="240" w:lineRule="auto"/>
            </w:pPr>
            <w:r w:rsidRPr="00A46F57">
              <w:t>MAIS 1</w:t>
            </w:r>
          </w:p>
        </w:tc>
        <w:tc>
          <w:tcPr>
            <w:tcW w:w="2053" w:type="dxa"/>
            <w:noWrap/>
            <w:vAlign w:val="center"/>
          </w:tcPr>
          <w:p w14:paraId="441814CF" w14:textId="77777777" w:rsidR="000F0490" w:rsidRPr="00A46F57" w:rsidRDefault="000F5B51" w:rsidP="007550E2">
            <w:pPr>
              <w:spacing w:line="240" w:lineRule="auto"/>
              <w:jc w:val="center"/>
            </w:pPr>
            <w:r w:rsidRPr="003A006D">
              <w:t>0.040</w:t>
            </w:r>
            <w:r>
              <w:t>5</w:t>
            </w:r>
          </w:p>
        </w:tc>
        <w:tc>
          <w:tcPr>
            <w:tcW w:w="2054" w:type="dxa"/>
            <w:vAlign w:val="center"/>
          </w:tcPr>
          <w:p w14:paraId="6AE32F53" w14:textId="77777777" w:rsidR="000F0490" w:rsidRPr="00A46F57" w:rsidRDefault="000F5B51" w:rsidP="007550E2">
            <w:pPr>
              <w:spacing w:line="240" w:lineRule="auto"/>
              <w:jc w:val="center"/>
            </w:pPr>
            <w:r w:rsidRPr="00D1488A">
              <w:t>0.0333</w:t>
            </w:r>
          </w:p>
        </w:tc>
        <w:tc>
          <w:tcPr>
            <w:tcW w:w="2054" w:type="dxa"/>
            <w:vAlign w:val="center"/>
          </w:tcPr>
          <w:p w14:paraId="289B7319" w14:textId="77777777" w:rsidR="000F0490" w:rsidRPr="00A46F57" w:rsidRDefault="000F5B51" w:rsidP="007550E2">
            <w:pPr>
              <w:spacing w:line="240" w:lineRule="auto"/>
              <w:jc w:val="center"/>
            </w:pPr>
            <w:r w:rsidRPr="00D1488A">
              <w:t>0.0268</w:t>
            </w:r>
          </w:p>
        </w:tc>
      </w:tr>
      <w:tr w:rsidR="00A15C2C" w14:paraId="4FDCA39B" w14:textId="77777777" w:rsidTr="007550E2">
        <w:trPr>
          <w:trHeight w:val="320"/>
        </w:trPr>
        <w:tc>
          <w:tcPr>
            <w:tcW w:w="1592" w:type="dxa"/>
            <w:vMerge/>
            <w:shd w:val="clear" w:color="auto" w:fill="D9D9D9" w:themeFill="background1" w:themeFillShade="D9"/>
            <w:noWrap/>
            <w:hideMark/>
          </w:tcPr>
          <w:p w14:paraId="5623DBCA" w14:textId="77777777" w:rsidR="000F0490" w:rsidRPr="00A46F57" w:rsidRDefault="000F0490" w:rsidP="007550E2"/>
        </w:tc>
        <w:tc>
          <w:tcPr>
            <w:tcW w:w="1597" w:type="dxa"/>
            <w:shd w:val="clear" w:color="auto" w:fill="D9D9D9" w:themeFill="background1" w:themeFillShade="D9"/>
            <w:noWrap/>
            <w:hideMark/>
          </w:tcPr>
          <w:p w14:paraId="38B3BC4F" w14:textId="77777777" w:rsidR="000F0490" w:rsidRPr="00A46F57" w:rsidRDefault="000F5B51" w:rsidP="007550E2">
            <w:pPr>
              <w:spacing w:line="240" w:lineRule="auto"/>
            </w:pPr>
            <w:r w:rsidRPr="00A46F57">
              <w:t>MAIS 2</w:t>
            </w:r>
          </w:p>
        </w:tc>
        <w:tc>
          <w:tcPr>
            <w:tcW w:w="2053" w:type="dxa"/>
            <w:noWrap/>
            <w:vAlign w:val="center"/>
          </w:tcPr>
          <w:p w14:paraId="624BFA10" w14:textId="77777777" w:rsidR="000F0490" w:rsidRPr="00A46F57" w:rsidRDefault="000F5B51" w:rsidP="007550E2">
            <w:pPr>
              <w:spacing w:line="240" w:lineRule="auto"/>
              <w:jc w:val="center"/>
            </w:pPr>
            <w:r w:rsidRPr="003A006D">
              <w:t>0.1878</w:t>
            </w:r>
          </w:p>
        </w:tc>
        <w:tc>
          <w:tcPr>
            <w:tcW w:w="2054" w:type="dxa"/>
            <w:vAlign w:val="center"/>
          </w:tcPr>
          <w:p w14:paraId="17C53013" w14:textId="77777777" w:rsidR="000F0490" w:rsidRPr="00A46F57" w:rsidRDefault="000F5B51" w:rsidP="007550E2">
            <w:pPr>
              <w:spacing w:line="240" w:lineRule="auto"/>
              <w:jc w:val="center"/>
            </w:pPr>
            <w:r w:rsidRPr="00D1488A">
              <w:t>0.1543</w:t>
            </w:r>
          </w:p>
        </w:tc>
        <w:tc>
          <w:tcPr>
            <w:tcW w:w="2054" w:type="dxa"/>
            <w:vAlign w:val="center"/>
          </w:tcPr>
          <w:p w14:paraId="02D210D6" w14:textId="77777777" w:rsidR="000F0490" w:rsidRPr="00A46F57" w:rsidRDefault="000F5B51" w:rsidP="007550E2">
            <w:pPr>
              <w:spacing w:line="240" w:lineRule="auto"/>
              <w:jc w:val="center"/>
            </w:pPr>
            <w:r w:rsidRPr="00D1488A">
              <w:t>0.1245</w:t>
            </w:r>
          </w:p>
        </w:tc>
      </w:tr>
      <w:tr w:rsidR="00A15C2C" w14:paraId="1A257EA8" w14:textId="77777777" w:rsidTr="007550E2">
        <w:trPr>
          <w:trHeight w:val="320"/>
        </w:trPr>
        <w:tc>
          <w:tcPr>
            <w:tcW w:w="1592" w:type="dxa"/>
            <w:vMerge/>
            <w:shd w:val="clear" w:color="auto" w:fill="D9D9D9" w:themeFill="background1" w:themeFillShade="D9"/>
            <w:noWrap/>
            <w:hideMark/>
          </w:tcPr>
          <w:p w14:paraId="5E7D3E30" w14:textId="77777777" w:rsidR="000F0490" w:rsidRPr="00A46F57" w:rsidRDefault="000F0490" w:rsidP="007550E2"/>
        </w:tc>
        <w:tc>
          <w:tcPr>
            <w:tcW w:w="1597" w:type="dxa"/>
            <w:shd w:val="clear" w:color="auto" w:fill="D9D9D9" w:themeFill="background1" w:themeFillShade="D9"/>
            <w:noWrap/>
            <w:hideMark/>
          </w:tcPr>
          <w:p w14:paraId="05C78FDB" w14:textId="77777777" w:rsidR="000F0490" w:rsidRPr="00A46F57" w:rsidRDefault="000F5B51" w:rsidP="007550E2">
            <w:pPr>
              <w:spacing w:line="240" w:lineRule="auto"/>
            </w:pPr>
            <w:r w:rsidRPr="00A46F57">
              <w:t>MAIS 3</w:t>
            </w:r>
          </w:p>
        </w:tc>
        <w:tc>
          <w:tcPr>
            <w:tcW w:w="2053" w:type="dxa"/>
            <w:noWrap/>
            <w:vAlign w:val="center"/>
          </w:tcPr>
          <w:p w14:paraId="53E684EC" w14:textId="77777777" w:rsidR="000F0490" w:rsidRPr="00A46F57" w:rsidRDefault="000F5B51" w:rsidP="007550E2">
            <w:pPr>
              <w:spacing w:line="240" w:lineRule="auto"/>
              <w:jc w:val="center"/>
            </w:pPr>
            <w:r w:rsidRPr="003A006D">
              <w:t>0.0012</w:t>
            </w:r>
          </w:p>
        </w:tc>
        <w:tc>
          <w:tcPr>
            <w:tcW w:w="2054" w:type="dxa"/>
            <w:vAlign w:val="center"/>
          </w:tcPr>
          <w:p w14:paraId="4D862CB2" w14:textId="77777777" w:rsidR="000F0490" w:rsidRPr="00A46F57" w:rsidRDefault="000F5B51" w:rsidP="007550E2">
            <w:pPr>
              <w:spacing w:line="240" w:lineRule="auto"/>
              <w:jc w:val="center"/>
            </w:pPr>
            <w:r w:rsidRPr="00D1488A">
              <w:t>0.0010</w:t>
            </w:r>
          </w:p>
        </w:tc>
        <w:tc>
          <w:tcPr>
            <w:tcW w:w="2054" w:type="dxa"/>
            <w:vAlign w:val="center"/>
          </w:tcPr>
          <w:p w14:paraId="2F6D9623" w14:textId="77777777" w:rsidR="000F0490" w:rsidRPr="00A46F57" w:rsidRDefault="000F5B51" w:rsidP="007550E2">
            <w:pPr>
              <w:spacing w:line="240" w:lineRule="auto"/>
              <w:jc w:val="center"/>
            </w:pPr>
            <w:r w:rsidRPr="00D1488A">
              <w:t>0.0008</w:t>
            </w:r>
          </w:p>
        </w:tc>
      </w:tr>
      <w:tr w:rsidR="00A15C2C" w14:paraId="44BCAAD7" w14:textId="77777777" w:rsidTr="007550E2">
        <w:trPr>
          <w:trHeight w:val="320"/>
        </w:trPr>
        <w:tc>
          <w:tcPr>
            <w:tcW w:w="1592" w:type="dxa"/>
            <w:vMerge/>
            <w:shd w:val="clear" w:color="auto" w:fill="D9D9D9" w:themeFill="background1" w:themeFillShade="D9"/>
            <w:noWrap/>
            <w:hideMark/>
          </w:tcPr>
          <w:p w14:paraId="2B78A084" w14:textId="77777777" w:rsidR="000F0490" w:rsidRPr="00A46F57" w:rsidRDefault="000F0490" w:rsidP="007550E2"/>
        </w:tc>
        <w:tc>
          <w:tcPr>
            <w:tcW w:w="1597" w:type="dxa"/>
            <w:shd w:val="clear" w:color="auto" w:fill="D9D9D9" w:themeFill="background1" w:themeFillShade="D9"/>
            <w:noWrap/>
            <w:hideMark/>
          </w:tcPr>
          <w:p w14:paraId="4DB2A53E" w14:textId="77777777" w:rsidR="000F0490" w:rsidRPr="00A46F57" w:rsidRDefault="000F5B51" w:rsidP="007550E2">
            <w:pPr>
              <w:spacing w:line="240" w:lineRule="auto"/>
            </w:pPr>
            <w:r w:rsidRPr="00A46F57">
              <w:t>MAIS 4</w:t>
            </w:r>
          </w:p>
        </w:tc>
        <w:tc>
          <w:tcPr>
            <w:tcW w:w="2053" w:type="dxa"/>
            <w:noWrap/>
            <w:vAlign w:val="center"/>
          </w:tcPr>
          <w:p w14:paraId="597A2BB1" w14:textId="77777777" w:rsidR="000F0490" w:rsidRPr="00A46F57" w:rsidRDefault="000F5B51" w:rsidP="007550E2">
            <w:pPr>
              <w:spacing w:line="240" w:lineRule="auto"/>
              <w:jc w:val="center"/>
            </w:pPr>
            <w:r w:rsidRPr="003A006D">
              <w:t>0.0088</w:t>
            </w:r>
          </w:p>
        </w:tc>
        <w:tc>
          <w:tcPr>
            <w:tcW w:w="2054" w:type="dxa"/>
            <w:vAlign w:val="center"/>
          </w:tcPr>
          <w:p w14:paraId="3EEAFBEB" w14:textId="77777777" w:rsidR="000F0490" w:rsidRPr="00A46F57" w:rsidRDefault="000F5B51" w:rsidP="007550E2">
            <w:pPr>
              <w:spacing w:line="240" w:lineRule="auto"/>
              <w:jc w:val="center"/>
            </w:pPr>
            <w:r w:rsidRPr="00D1488A">
              <w:t>0.0072</w:t>
            </w:r>
          </w:p>
        </w:tc>
        <w:tc>
          <w:tcPr>
            <w:tcW w:w="2054" w:type="dxa"/>
            <w:vAlign w:val="center"/>
          </w:tcPr>
          <w:p w14:paraId="57CF3F4F" w14:textId="77777777" w:rsidR="000F0490" w:rsidRPr="00A46F57" w:rsidRDefault="000F5B51" w:rsidP="007550E2">
            <w:pPr>
              <w:spacing w:line="240" w:lineRule="auto"/>
              <w:jc w:val="center"/>
            </w:pPr>
            <w:r w:rsidRPr="00D1488A">
              <w:t>0.0058</w:t>
            </w:r>
          </w:p>
        </w:tc>
      </w:tr>
      <w:tr w:rsidR="00A15C2C" w14:paraId="3F0500C2" w14:textId="77777777" w:rsidTr="007550E2">
        <w:trPr>
          <w:trHeight w:val="320"/>
        </w:trPr>
        <w:tc>
          <w:tcPr>
            <w:tcW w:w="1592" w:type="dxa"/>
            <w:vMerge/>
            <w:shd w:val="clear" w:color="auto" w:fill="D9D9D9" w:themeFill="background1" w:themeFillShade="D9"/>
            <w:noWrap/>
            <w:hideMark/>
          </w:tcPr>
          <w:p w14:paraId="14F2DE96" w14:textId="77777777" w:rsidR="000F0490" w:rsidRPr="00A46F57" w:rsidRDefault="000F0490" w:rsidP="007550E2"/>
        </w:tc>
        <w:tc>
          <w:tcPr>
            <w:tcW w:w="1597" w:type="dxa"/>
            <w:shd w:val="clear" w:color="auto" w:fill="D9D9D9" w:themeFill="background1" w:themeFillShade="D9"/>
            <w:noWrap/>
            <w:hideMark/>
          </w:tcPr>
          <w:p w14:paraId="4451EA39" w14:textId="77777777" w:rsidR="000F0490" w:rsidRPr="00A46F57" w:rsidRDefault="000F5B51" w:rsidP="007550E2">
            <w:pPr>
              <w:spacing w:line="240" w:lineRule="auto"/>
            </w:pPr>
            <w:r w:rsidRPr="00A46F57">
              <w:t>MAIS 5</w:t>
            </w:r>
          </w:p>
        </w:tc>
        <w:tc>
          <w:tcPr>
            <w:tcW w:w="2053" w:type="dxa"/>
            <w:noWrap/>
            <w:vAlign w:val="center"/>
          </w:tcPr>
          <w:p w14:paraId="15935C5C" w14:textId="77777777" w:rsidR="000F0490" w:rsidRPr="00A46F57" w:rsidRDefault="000F5B51" w:rsidP="007550E2">
            <w:pPr>
              <w:spacing w:line="240" w:lineRule="auto"/>
              <w:jc w:val="center"/>
            </w:pPr>
            <w:r w:rsidRPr="003A006D">
              <w:t>0.0006</w:t>
            </w:r>
          </w:p>
        </w:tc>
        <w:tc>
          <w:tcPr>
            <w:tcW w:w="2054" w:type="dxa"/>
            <w:vAlign w:val="center"/>
          </w:tcPr>
          <w:p w14:paraId="514AEC1E" w14:textId="77777777" w:rsidR="000F0490" w:rsidRPr="00A46F57" w:rsidRDefault="000F5B51" w:rsidP="007550E2">
            <w:pPr>
              <w:spacing w:line="240" w:lineRule="auto"/>
              <w:jc w:val="center"/>
            </w:pPr>
            <w:r w:rsidRPr="00D1488A">
              <w:t>0.0005</w:t>
            </w:r>
          </w:p>
        </w:tc>
        <w:tc>
          <w:tcPr>
            <w:tcW w:w="2054" w:type="dxa"/>
            <w:vAlign w:val="center"/>
          </w:tcPr>
          <w:p w14:paraId="42512BAA" w14:textId="77777777" w:rsidR="000F0490" w:rsidRPr="00A46F57" w:rsidRDefault="000F5B51" w:rsidP="007550E2">
            <w:pPr>
              <w:spacing w:line="240" w:lineRule="auto"/>
              <w:jc w:val="center"/>
            </w:pPr>
            <w:r w:rsidRPr="00D1488A">
              <w:t>0.0004</w:t>
            </w:r>
          </w:p>
        </w:tc>
      </w:tr>
      <w:tr w:rsidR="00A15C2C" w14:paraId="2C39E675" w14:textId="77777777" w:rsidTr="007550E2">
        <w:trPr>
          <w:trHeight w:val="310"/>
        </w:trPr>
        <w:tc>
          <w:tcPr>
            <w:tcW w:w="1592" w:type="dxa"/>
            <w:vMerge/>
            <w:shd w:val="clear" w:color="auto" w:fill="D9D9D9" w:themeFill="background1" w:themeFillShade="D9"/>
            <w:noWrap/>
            <w:hideMark/>
          </w:tcPr>
          <w:p w14:paraId="3DFAF0D0" w14:textId="77777777" w:rsidR="000F0490" w:rsidRPr="00A46F57" w:rsidRDefault="000F0490" w:rsidP="007550E2"/>
        </w:tc>
        <w:tc>
          <w:tcPr>
            <w:tcW w:w="1597" w:type="dxa"/>
            <w:shd w:val="clear" w:color="auto" w:fill="D9D9D9" w:themeFill="background1" w:themeFillShade="D9"/>
            <w:noWrap/>
            <w:hideMark/>
          </w:tcPr>
          <w:p w14:paraId="5EF52956" w14:textId="77777777" w:rsidR="000F0490" w:rsidRPr="006D12D0" w:rsidRDefault="000F5B51" w:rsidP="007550E2">
            <w:pPr>
              <w:spacing w:line="240" w:lineRule="auto"/>
            </w:pPr>
            <w:r w:rsidRPr="006D12D0">
              <w:t>Fatality</w:t>
            </w:r>
          </w:p>
        </w:tc>
        <w:tc>
          <w:tcPr>
            <w:tcW w:w="2053" w:type="dxa"/>
            <w:noWrap/>
            <w:vAlign w:val="center"/>
          </w:tcPr>
          <w:p w14:paraId="7E3FB6E8" w14:textId="77777777" w:rsidR="000F0490" w:rsidRPr="00A46F57" w:rsidRDefault="000F5B51" w:rsidP="007550E2">
            <w:pPr>
              <w:spacing w:line="240" w:lineRule="auto"/>
              <w:jc w:val="center"/>
            </w:pPr>
            <w:r w:rsidRPr="003A006D">
              <w:t>0.1203</w:t>
            </w:r>
          </w:p>
        </w:tc>
        <w:tc>
          <w:tcPr>
            <w:tcW w:w="2054" w:type="dxa"/>
            <w:vAlign w:val="center"/>
          </w:tcPr>
          <w:p w14:paraId="6D58ED59" w14:textId="77777777" w:rsidR="000F0490" w:rsidRPr="00A46F57" w:rsidRDefault="000F5B51" w:rsidP="007550E2">
            <w:pPr>
              <w:spacing w:line="240" w:lineRule="auto"/>
              <w:jc w:val="center"/>
            </w:pPr>
            <w:r w:rsidRPr="00D1488A">
              <w:t>0.0989</w:t>
            </w:r>
          </w:p>
        </w:tc>
        <w:tc>
          <w:tcPr>
            <w:tcW w:w="2054" w:type="dxa"/>
            <w:vAlign w:val="center"/>
          </w:tcPr>
          <w:p w14:paraId="07964DF8" w14:textId="77777777" w:rsidR="000F0490" w:rsidRPr="00A46F57" w:rsidRDefault="000F5B51" w:rsidP="007550E2">
            <w:pPr>
              <w:spacing w:line="240" w:lineRule="auto"/>
              <w:jc w:val="center"/>
            </w:pPr>
            <w:r w:rsidRPr="00D1488A">
              <w:t>0.0798</w:t>
            </w:r>
          </w:p>
        </w:tc>
      </w:tr>
    </w:tbl>
    <w:p w14:paraId="444AD54B" w14:textId="77777777" w:rsidR="000F0490" w:rsidRDefault="000F0490" w:rsidP="000F0490">
      <w:pPr>
        <w:pStyle w:val="NoSpaceTimes"/>
      </w:pPr>
    </w:p>
    <w:p w14:paraId="05E58055" w14:textId="0F9A425E" w:rsidR="000F0490" w:rsidRDefault="000F5B51" w:rsidP="000F0490">
      <w:pPr>
        <w:spacing w:after="0"/>
        <w:rPr>
          <w:rFonts w:eastAsia="Times New Roman" w:cs="Times New Roman"/>
          <w:color w:val="000000"/>
          <w:szCs w:val="24"/>
        </w:rPr>
      </w:pPr>
      <w:r>
        <w:rPr>
          <w:rFonts w:eastAsia="Times New Roman" w:cs="Times New Roman"/>
          <w:color w:val="000000"/>
          <w:szCs w:val="24"/>
        </w:rPr>
        <w:fldChar w:fldCharType="begin"/>
      </w:r>
      <w:r>
        <w:rPr>
          <w:rFonts w:eastAsia="Times New Roman" w:cs="Times New Roman"/>
          <w:color w:val="000000"/>
          <w:szCs w:val="24"/>
        </w:rPr>
        <w:instrText xml:space="preserve"> REF _Ref128032714 \h </w:instrText>
      </w:r>
      <w:r>
        <w:rPr>
          <w:rFonts w:eastAsia="Times New Roman" w:cs="Times New Roman"/>
          <w:color w:val="000000"/>
          <w:szCs w:val="24"/>
        </w:rPr>
      </w:r>
      <w:r>
        <w:rPr>
          <w:rFonts w:eastAsia="Times New Roman" w:cs="Times New Roman"/>
          <w:color w:val="000000"/>
          <w:szCs w:val="24"/>
        </w:rPr>
        <w:fldChar w:fldCharType="separate"/>
      </w:r>
      <w:r w:rsidR="00A65CB3">
        <w:t xml:space="preserve">Table </w:t>
      </w:r>
      <w:r w:rsidR="00A65CB3">
        <w:rPr>
          <w:noProof/>
        </w:rPr>
        <w:t>89</w:t>
      </w:r>
      <w:r>
        <w:rPr>
          <w:rFonts w:eastAsia="Times New Roman" w:cs="Times New Roman"/>
          <w:color w:val="000000"/>
          <w:szCs w:val="24"/>
        </w:rPr>
        <w:fldChar w:fldCharType="end"/>
      </w:r>
      <w:r>
        <w:rPr>
          <w:rFonts w:eastAsia="Times New Roman" w:cs="Times New Roman"/>
          <w:color w:val="000000"/>
          <w:szCs w:val="24"/>
        </w:rPr>
        <w:t xml:space="preserve"> presents the </w:t>
      </w:r>
      <w:r>
        <w:t>incremental benefits associated with this regulatory alternative by vehicle type and discount rate. Total discounted benefits are calculated by summing the benefits for passenger cars and LTVs in the previous table by injury severity. The resulting discounted total benefits are used to calculate fatal equivalents and monetized benefits for this regulatory alternative.</w:t>
      </w:r>
    </w:p>
    <w:p w14:paraId="5078E770" w14:textId="66A677F9" w:rsidR="000F0490" w:rsidRDefault="000F5B51" w:rsidP="000F0490">
      <w:pPr>
        <w:pStyle w:val="Caption"/>
        <w:rPr>
          <w:rFonts w:eastAsia="Times New Roman" w:cs="Times New Roman"/>
          <w:color w:val="000000"/>
          <w:szCs w:val="24"/>
        </w:rPr>
      </w:pPr>
      <w:bookmarkStart w:id="1748" w:name="_Ref128032714"/>
      <w:r>
        <w:t xml:space="preserve">Table </w:t>
      </w:r>
      <w:r w:rsidR="00115BAB">
        <w:fldChar w:fldCharType="begin"/>
      </w:r>
      <w:r>
        <w:instrText xml:space="preserve"> SEQ Table \* ARABIC </w:instrText>
      </w:r>
      <w:r w:rsidR="00115BAB">
        <w:fldChar w:fldCharType="separate"/>
      </w:r>
      <w:r w:rsidR="00A65CB3">
        <w:rPr>
          <w:noProof/>
        </w:rPr>
        <w:t>89</w:t>
      </w:r>
      <w:r w:rsidR="00115BAB">
        <w:rPr>
          <w:noProof/>
        </w:rPr>
        <w:fldChar w:fldCharType="end"/>
      </w:r>
      <w:bookmarkEnd w:id="1748"/>
      <w:r>
        <w:t>: Discounted Benefits for Front Center Seat Passengers</w:t>
      </w:r>
    </w:p>
    <w:tbl>
      <w:tblPr>
        <w:tblStyle w:val="TableGrid3"/>
        <w:tblW w:w="9485" w:type="dxa"/>
        <w:tblLayout w:type="fixed"/>
        <w:tblLook w:val="04A0" w:firstRow="1" w:lastRow="0" w:firstColumn="1" w:lastColumn="0" w:noHBand="0" w:noVBand="1"/>
      </w:tblPr>
      <w:tblGrid>
        <w:gridCol w:w="2655"/>
        <w:gridCol w:w="3415"/>
        <w:gridCol w:w="3415"/>
      </w:tblGrid>
      <w:tr w:rsidR="00A15C2C" w14:paraId="27E10915" w14:textId="77777777" w:rsidTr="007550E2">
        <w:trPr>
          <w:trHeight w:val="377"/>
        </w:trPr>
        <w:tc>
          <w:tcPr>
            <w:tcW w:w="2655" w:type="dxa"/>
            <w:vMerge w:val="restart"/>
            <w:shd w:val="clear" w:color="auto" w:fill="D9D9D9" w:themeFill="background1" w:themeFillShade="D9"/>
            <w:noWrap/>
          </w:tcPr>
          <w:p w14:paraId="4953941F" w14:textId="77777777" w:rsidR="000F0490" w:rsidRPr="007F6FCD" w:rsidRDefault="000F5B51" w:rsidP="007550E2">
            <w:pPr>
              <w:spacing w:line="240" w:lineRule="auto"/>
              <w:rPr>
                <w:b/>
                <w:bCs/>
              </w:rPr>
            </w:pPr>
            <w:r w:rsidRPr="00A46F57">
              <w:rPr>
                <w:b/>
                <w:bCs/>
              </w:rPr>
              <w:t> </w:t>
            </w:r>
          </w:p>
          <w:p w14:paraId="26663A56" w14:textId="77777777" w:rsidR="000F0490" w:rsidRPr="00A46F57" w:rsidRDefault="000F5B51" w:rsidP="007550E2">
            <w:pPr>
              <w:spacing w:line="240" w:lineRule="auto"/>
              <w:rPr>
                <w:b/>
                <w:bCs/>
              </w:rPr>
            </w:pPr>
            <w:r w:rsidRPr="00A46F57">
              <w:rPr>
                <w:b/>
                <w:bCs/>
              </w:rPr>
              <w:t xml:space="preserve">Injury Severity </w:t>
            </w:r>
          </w:p>
        </w:tc>
        <w:tc>
          <w:tcPr>
            <w:tcW w:w="6830" w:type="dxa"/>
            <w:gridSpan w:val="2"/>
            <w:shd w:val="clear" w:color="auto" w:fill="D9D9D9" w:themeFill="background1" w:themeFillShade="D9"/>
            <w:vAlign w:val="center"/>
          </w:tcPr>
          <w:p w14:paraId="3AD8BD40" w14:textId="77777777" w:rsidR="000F0490" w:rsidRDefault="000F5B51" w:rsidP="007550E2">
            <w:pPr>
              <w:spacing w:line="240" w:lineRule="auto"/>
              <w:jc w:val="center"/>
              <w:rPr>
                <w:b/>
                <w:bCs/>
              </w:rPr>
            </w:pPr>
            <w:r>
              <w:rPr>
                <w:b/>
                <w:bCs/>
              </w:rPr>
              <w:t>Discounted Benefits</w:t>
            </w:r>
          </w:p>
        </w:tc>
      </w:tr>
      <w:tr w:rsidR="00A15C2C" w14:paraId="5660A387" w14:textId="77777777" w:rsidTr="007550E2">
        <w:trPr>
          <w:trHeight w:val="296"/>
        </w:trPr>
        <w:tc>
          <w:tcPr>
            <w:tcW w:w="2655" w:type="dxa"/>
            <w:vMerge/>
            <w:shd w:val="clear" w:color="auto" w:fill="D9D9D9" w:themeFill="background1" w:themeFillShade="D9"/>
            <w:noWrap/>
            <w:hideMark/>
          </w:tcPr>
          <w:p w14:paraId="7F263361" w14:textId="77777777" w:rsidR="000F0490" w:rsidRPr="00A46F57" w:rsidRDefault="000F0490" w:rsidP="007550E2">
            <w:pPr>
              <w:spacing w:line="240" w:lineRule="auto"/>
              <w:rPr>
                <w:b/>
                <w:bCs/>
              </w:rPr>
            </w:pPr>
          </w:p>
        </w:tc>
        <w:tc>
          <w:tcPr>
            <w:tcW w:w="3415" w:type="dxa"/>
            <w:shd w:val="clear" w:color="auto" w:fill="D9D9D9" w:themeFill="background1" w:themeFillShade="D9"/>
            <w:vAlign w:val="center"/>
          </w:tcPr>
          <w:p w14:paraId="778E1EC0" w14:textId="77777777" w:rsidR="000F0490" w:rsidRPr="007F6FCD" w:rsidRDefault="000F5B51" w:rsidP="007550E2">
            <w:pPr>
              <w:spacing w:line="240" w:lineRule="auto"/>
              <w:jc w:val="center"/>
              <w:rPr>
                <w:b/>
                <w:bCs/>
              </w:rPr>
            </w:pPr>
            <w:r>
              <w:rPr>
                <w:b/>
                <w:bCs/>
              </w:rPr>
              <w:t>3%</w:t>
            </w:r>
          </w:p>
        </w:tc>
        <w:tc>
          <w:tcPr>
            <w:tcW w:w="3415" w:type="dxa"/>
            <w:shd w:val="clear" w:color="auto" w:fill="D9D9D9" w:themeFill="background1" w:themeFillShade="D9"/>
            <w:vAlign w:val="center"/>
          </w:tcPr>
          <w:p w14:paraId="223E982C" w14:textId="77777777" w:rsidR="000F0490" w:rsidRPr="007F6FCD" w:rsidRDefault="000F5B51" w:rsidP="007550E2">
            <w:pPr>
              <w:spacing w:line="240" w:lineRule="auto"/>
              <w:jc w:val="center"/>
              <w:rPr>
                <w:b/>
                <w:bCs/>
              </w:rPr>
            </w:pPr>
            <w:r>
              <w:rPr>
                <w:b/>
                <w:bCs/>
              </w:rPr>
              <w:t>7%</w:t>
            </w:r>
          </w:p>
        </w:tc>
      </w:tr>
      <w:tr w:rsidR="00A15C2C" w14:paraId="48AC2DF7" w14:textId="77777777" w:rsidTr="007550E2">
        <w:trPr>
          <w:trHeight w:val="243"/>
        </w:trPr>
        <w:tc>
          <w:tcPr>
            <w:tcW w:w="2655" w:type="dxa"/>
            <w:shd w:val="clear" w:color="auto" w:fill="D9D9D9" w:themeFill="background1" w:themeFillShade="D9"/>
            <w:noWrap/>
            <w:hideMark/>
          </w:tcPr>
          <w:p w14:paraId="546E6030" w14:textId="77777777" w:rsidR="000F0490" w:rsidRPr="00A46F57" w:rsidRDefault="000F5B51" w:rsidP="007550E2">
            <w:pPr>
              <w:spacing w:line="240" w:lineRule="auto"/>
            </w:pPr>
            <w:r w:rsidRPr="00A46F57">
              <w:t>MAIS 1</w:t>
            </w:r>
          </w:p>
        </w:tc>
        <w:tc>
          <w:tcPr>
            <w:tcW w:w="3415" w:type="dxa"/>
          </w:tcPr>
          <w:p w14:paraId="296CEBBA" w14:textId="77777777" w:rsidR="000F0490" w:rsidRPr="00A46F57" w:rsidRDefault="000F5B51" w:rsidP="007550E2">
            <w:pPr>
              <w:spacing w:line="240" w:lineRule="auto"/>
              <w:jc w:val="center"/>
            </w:pPr>
            <w:r w:rsidRPr="00C7629F">
              <w:t>0.0398</w:t>
            </w:r>
          </w:p>
        </w:tc>
        <w:tc>
          <w:tcPr>
            <w:tcW w:w="3415" w:type="dxa"/>
          </w:tcPr>
          <w:p w14:paraId="529C13B0" w14:textId="77777777" w:rsidR="000F0490" w:rsidRPr="00A46F57" w:rsidRDefault="000F5B51" w:rsidP="007550E2">
            <w:pPr>
              <w:spacing w:line="240" w:lineRule="auto"/>
              <w:jc w:val="center"/>
            </w:pPr>
            <w:r w:rsidRPr="00C7629F">
              <w:t>0.0321</w:t>
            </w:r>
          </w:p>
        </w:tc>
      </w:tr>
      <w:tr w:rsidR="00A15C2C" w14:paraId="68FF331B" w14:textId="77777777" w:rsidTr="007550E2">
        <w:trPr>
          <w:trHeight w:val="243"/>
        </w:trPr>
        <w:tc>
          <w:tcPr>
            <w:tcW w:w="2655" w:type="dxa"/>
            <w:shd w:val="clear" w:color="auto" w:fill="D9D9D9" w:themeFill="background1" w:themeFillShade="D9"/>
            <w:noWrap/>
            <w:hideMark/>
          </w:tcPr>
          <w:p w14:paraId="106C2D35" w14:textId="77777777" w:rsidR="000F0490" w:rsidRPr="00A46F57" w:rsidRDefault="000F5B51" w:rsidP="007550E2">
            <w:pPr>
              <w:spacing w:line="240" w:lineRule="auto"/>
            </w:pPr>
            <w:r w:rsidRPr="00A46F57">
              <w:t>MAIS 2</w:t>
            </w:r>
          </w:p>
        </w:tc>
        <w:tc>
          <w:tcPr>
            <w:tcW w:w="3415" w:type="dxa"/>
          </w:tcPr>
          <w:p w14:paraId="210F00E1" w14:textId="77777777" w:rsidR="000F0490" w:rsidRPr="00A46F57" w:rsidRDefault="000F5B51" w:rsidP="007550E2">
            <w:pPr>
              <w:spacing w:line="240" w:lineRule="auto"/>
              <w:jc w:val="center"/>
            </w:pPr>
            <w:r w:rsidRPr="00C7629F">
              <w:t>0.1932</w:t>
            </w:r>
          </w:p>
        </w:tc>
        <w:tc>
          <w:tcPr>
            <w:tcW w:w="3415" w:type="dxa"/>
          </w:tcPr>
          <w:p w14:paraId="57A17B2C" w14:textId="77777777" w:rsidR="000F0490" w:rsidRPr="00A46F57" w:rsidRDefault="000F5B51" w:rsidP="007550E2">
            <w:pPr>
              <w:spacing w:line="240" w:lineRule="auto"/>
              <w:jc w:val="center"/>
            </w:pPr>
            <w:r w:rsidRPr="00C7629F">
              <w:t>0.1562</w:t>
            </w:r>
          </w:p>
        </w:tc>
      </w:tr>
      <w:tr w:rsidR="00A15C2C" w14:paraId="1C0045FF" w14:textId="77777777" w:rsidTr="007550E2">
        <w:trPr>
          <w:trHeight w:val="243"/>
        </w:trPr>
        <w:tc>
          <w:tcPr>
            <w:tcW w:w="2655" w:type="dxa"/>
            <w:shd w:val="clear" w:color="auto" w:fill="D9D9D9" w:themeFill="background1" w:themeFillShade="D9"/>
            <w:noWrap/>
            <w:hideMark/>
          </w:tcPr>
          <w:p w14:paraId="215870C5" w14:textId="77777777" w:rsidR="000F0490" w:rsidRPr="00A46F57" w:rsidRDefault="000F5B51" w:rsidP="007550E2">
            <w:pPr>
              <w:spacing w:line="240" w:lineRule="auto"/>
            </w:pPr>
            <w:r w:rsidRPr="00A46F57">
              <w:t>MAIS 3</w:t>
            </w:r>
          </w:p>
        </w:tc>
        <w:tc>
          <w:tcPr>
            <w:tcW w:w="3415" w:type="dxa"/>
          </w:tcPr>
          <w:p w14:paraId="58EB06DD" w14:textId="77777777" w:rsidR="000F0490" w:rsidRPr="00A46F57" w:rsidRDefault="000F5B51" w:rsidP="007550E2">
            <w:pPr>
              <w:spacing w:line="240" w:lineRule="auto"/>
              <w:jc w:val="center"/>
            </w:pPr>
            <w:r w:rsidRPr="00C7629F">
              <w:t>0.0117</w:t>
            </w:r>
          </w:p>
        </w:tc>
        <w:tc>
          <w:tcPr>
            <w:tcW w:w="3415" w:type="dxa"/>
          </w:tcPr>
          <w:p w14:paraId="4B732932" w14:textId="77777777" w:rsidR="000F0490" w:rsidRPr="00A46F57" w:rsidRDefault="000F5B51" w:rsidP="007550E2">
            <w:pPr>
              <w:spacing w:line="240" w:lineRule="auto"/>
              <w:jc w:val="center"/>
            </w:pPr>
            <w:r w:rsidRPr="00C7629F">
              <w:t>0.0096</w:t>
            </w:r>
          </w:p>
        </w:tc>
      </w:tr>
      <w:tr w:rsidR="00A15C2C" w14:paraId="691677CB" w14:textId="77777777" w:rsidTr="007550E2">
        <w:trPr>
          <w:trHeight w:val="243"/>
        </w:trPr>
        <w:tc>
          <w:tcPr>
            <w:tcW w:w="2655" w:type="dxa"/>
            <w:shd w:val="clear" w:color="auto" w:fill="D9D9D9" w:themeFill="background1" w:themeFillShade="D9"/>
            <w:noWrap/>
            <w:hideMark/>
          </w:tcPr>
          <w:p w14:paraId="518A1184" w14:textId="77777777" w:rsidR="000F0490" w:rsidRPr="00A46F57" w:rsidRDefault="000F5B51" w:rsidP="007550E2">
            <w:pPr>
              <w:spacing w:line="240" w:lineRule="auto"/>
            </w:pPr>
            <w:r w:rsidRPr="00A46F57">
              <w:t>MAIS 4</w:t>
            </w:r>
          </w:p>
        </w:tc>
        <w:tc>
          <w:tcPr>
            <w:tcW w:w="3415" w:type="dxa"/>
          </w:tcPr>
          <w:p w14:paraId="38CED28A" w14:textId="77777777" w:rsidR="000F0490" w:rsidRPr="00A46F57" w:rsidRDefault="000F5B51" w:rsidP="007550E2">
            <w:pPr>
              <w:spacing w:line="240" w:lineRule="auto"/>
              <w:jc w:val="center"/>
            </w:pPr>
            <w:r w:rsidRPr="00C7629F">
              <w:t>0.0150</w:t>
            </w:r>
          </w:p>
        </w:tc>
        <w:tc>
          <w:tcPr>
            <w:tcW w:w="3415" w:type="dxa"/>
          </w:tcPr>
          <w:p w14:paraId="716FCCF3" w14:textId="77777777" w:rsidR="000F0490" w:rsidRPr="00A46F57" w:rsidRDefault="000F5B51" w:rsidP="007550E2">
            <w:pPr>
              <w:spacing w:line="240" w:lineRule="auto"/>
              <w:jc w:val="center"/>
            </w:pPr>
            <w:r w:rsidRPr="00C7629F">
              <w:t>0.0122</w:t>
            </w:r>
          </w:p>
        </w:tc>
      </w:tr>
      <w:tr w:rsidR="00A15C2C" w14:paraId="00DB0200" w14:textId="77777777" w:rsidTr="007550E2">
        <w:trPr>
          <w:trHeight w:val="243"/>
        </w:trPr>
        <w:tc>
          <w:tcPr>
            <w:tcW w:w="2655" w:type="dxa"/>
            <w:shd w:val="clear" w:color="auto" w:fill="D9D9D9" w:themeFill="background1" w:themeFillShade="D9"/>
            <w:noWrap/>
            <w:hideMark/>
          </w:tcPr>
          <w:p w14:paraId="1DFE87C8" w14:textId="77777777" w:rsidR="000F0490" w:rsidRPr="00A46F57" w:rsidRDefault="000F5B51" w:rsidP="007550E2">
            <w:pPr>
              <w:spacing w:line="240" w:lineRule="auto"/>
            </w:pPr>
            <w:r w:rsidRPr="00A46F57">
              <w:t>MAIS 5</w:t>
            </w:r>
          </w:p>
        </w:tc>
        <w:tc>
          <w:tcPr>
            <w:tcW w:w="3415" w:type="dxa"/>
          </w:tcPr>
          <w:p w14:paraId="48ABBFC0" w14:textId="77777777" w:rsidR="000F0490" w:rsidRPr="00A46F57" w:rsidRDefault="000F5B51" w:rsidP="007550E2">
            <w:pPr>
              <w:spacing w:line="240" w:lineRule="auto"/>
              <w:jc w:val="center"/>
            </w:pPr>
            <w:r w:rsidRPr="00C7629F">
              <w:t>0.0007</w:t>
            </w:r>
          </w:p>
        </w:tc>
        <w:tc>
          <w:tcPr>
            <w:tcW w:w="3415" w:type="dxa"/>
          </w:tcPr>
          <w:p w14:paraId="7FE7F626" w14:textId="77777777" w:rsidR="000F0490" w:rsidRPr="00A46F57" w:rsidRDefault="000F5B51" w:rsidP="007550E2">
            <w:pPr>
              <w:spacing w:line="240" w:lineRule="auto"/>
              <w:jc w:val="center"/>
            </w:pPr>
            <w:r w:rsidRPr="00C7629F">
              <w:t>0.0006</w:t>
            </w:r>
          </w:p>
        </w:tc>
      </w:tr>
      <w:tr w:rsidR="00A15C2C" w14:paraId="521A8869" w14:textId="77777777" w:rsidTr="007550E2">
        <w:trPr>
          <w:trHeight w:val="235"/>
        </w:trPr>
        <w:tc>
          <w:tcPr>
            <w:tcW w:w="2655" w:type="dxa"/>
            <w:shd w:val="clear" w:color="auto" w:fill="D9D9D9" w:themeFill="background1" w:themeFillShade="D9"/>
            <w:noWrap/>
            <w:hideMark/>
          </w:tcPr>
          <w:p w14:paraId="6CE86694" w14:textId="77777777" w:rsidR="000F0490" w:rsidRPr="00A46F57" w:rsidRDefault="000F5B51" w:rsidP="007550E2">
            <w:pPr>
              <w:spacing w:line="240" w:lineRule="auto"/>
              <w:rPr>
                <w:b/>
                <w:bCs/>
              </w:rPr>
            </w:pPr>
            <w:r w:rsidRPr="00A46F57">
              <w:rPr>
                <w:b/>
                <w:bCs/>
              </w:rPr>
              <w:t>Fatality</w:t>
            </w:r>
          </w:p>
        </w:tc>
        <w:tc>
          <w:tcPr>
            <w:tcW w:w="3415" w:type="dxa"/>
          </w:tcPr>
          <w:p w14:paraId="2AB43EE5" w14:textId="77777777" w:rsidR="000F0490" w:rsidRPr="00A46F57" w:rsidRDefault="000F5B51" w:rsidP="007550E2">
            <w:pPr>
              <w:spacing w:line="240" w:lineRule="auto"/>
              <w:jc w:val="center"/>
            </w:pPr>
            <w:r w:rsidRPr="00C7629F">
              <w:t>0.1191</w:t>
            </w:r>
          </w:p>
        </w:tc>
        <w:tc>
          <w:tcPr>
            <w:tcW w:w="3415" w:type="dxa"/>
          </w:tcPr>
          <w:p w14:paraId="5FDD9142" w14:textId="77777777" w:rsidR="000F0490" w:rsidRPr="00A46F57" w:rsidRDefault="000F5B51" w:rsidP="007550E2">
            <w:pPr>
              <w:spacing w:line="240" w:lineRule="auto"/>
              <w:jc w:val="center"/>
            </w:pPr>
            <w:r w:rsidRPr="00C7629F">
              <w:t>0.0962</w:t>
            </w:r>
          </w:p>
        </w:tc>
      </w:tr>
    </w:tbl>
    <w:p w14:paraId="5EF01283" w14:textId="77777777" w:rsidR="000F0490" w:rsidRDefault="000F0490" w:rsidP="000F0490">
      <w:pPr>
        <w:pStyle w:val="NoSpaceTimes"/>
      </w:pPr>
    </w:p>
    <w:p w14:paraId="3B031AC9" w14:textId="2A9DBD54" w:rsidR="000F0490" w:rsidRDefault="000F5B51" w:rsidP="000F0490">
      <w:pPr>
        <w:spacing w:after="0"/>
        <w:rPr>
          <w:rFonts w:eastAsia="Times New Roman" w:cs="Times New Roman"/>
          <w:color w:val="000000"/>
          <w:szCs w:val="24"/>
        </w:rPr>
      </w:pPr>
      <w:r>
        <w:rPr>
          <w:rFonts w:eastAsia="Times New Roman" w:cs="Times New Roman"/>
          <w:color w:val="000000"/>
          <w:szCs w:val="24"/>
        </w:rPr>
        <w:fldChar w:fldCharType="begin"/>
      </w:r>
      <w:r>
        <w:rPr>
          <w:rFonts w:eastAsia="Times New Roman" w:cs="Times New Roman"/>
          <w:color w:val="000000"/>
          <w:szCs w:val="24"/>
        </w:rPr>
        <w:instrText xml:space="preserve"> REF _Ref128036858 \h </w:instrText>
      </w:r>
      <w:r>
        <w:rPr>
          <w:rFonts w:eastAsia="Times New Roman" w:cs="Times New Roman"/>
          <w:color w:val="000000"/>
          <w:szCs w:val="24"/>
        </w:rPr>
      </w:r>
      <w:r>
        <w:rPr>
          <w:rFonts w:eastAsia="Times New Roman" w:cs="Times New Roman"/>
          <w:color w:val="000000"/>
          <w:szCs w:val="24"/>
        </w:rPr>
        <w:fldChar w:fldCharType="separate"/>
      </w:r>
      <w:r w:rsidR="00A65CB3">
        <w:t xml:space="preserve">Table </w:t>
      </w:r>
      <w:r w:rsidR="00A65CB3">
        <w:rPr>
          <w:noProof/>
        </w:rPr>
        <w:t>90</w:t>
      </w:r>
      <w:r>
        <w:rPr>
          <w:rFonts w:eastAsia="Times New Roman" w:cs="Times New Roman"/>
          <w:color w:val="000000"/>
          <w:szCs w:val="24"/>
        </w:rPr>
        <w:fldChar w:fldCharType="end"/>
      </w:r>
      <w:r>
        <w:rPr>
          <w:rFonts w:eastAsia="Times New Roman" w:cs="Times New Roman"/>
          <w:color w:val="000000"/>
          <w:szCs w:val="24"/>
        </w:rPr>
        <w:t xml:space="preserve"> presents the annual ELS for front center seat passengers discounted at three and seven percent, respectively. When discounted at three and seven percent., this regulatory alternative </w:t>
      </w:r>
      <w:r>
        <w:rPr>
          <w:rFonts w:eastAsia="Times New Roman" w:cs="Times New Roman"/>
          <w:color w:val="000000"/>
          <w:szCs w:val="24"/>
        </w:rPr>
        <w:lastRenderedPageBreak/>
        <w:t>would result in approximately 0.1337 ELS and 0.1081 ELS, respectively. Discounted ELS are used in the cost-effectiveness analysis for this regulatory alternative.</w:t>
      </w:r>
    </w:p>
    <w:p w14:paraId="012759C7" w14:textId="41F8D866" w:rsidR="000F0490" w:rsidRDefault="000F5B51" w:rsidP="000D4CD2">
      <w:pPr>
        <w:spacing w:after="0"/>
        <w:rPr>
          <w:rFonts w:eastAsia="Times New Roman" w:cs="Times New Roman"/>
          <w:color w:val="000000"/>
          <w:szCs w:val="24"/>
        </w:rPr>
      </w:pPr>
      <w:r>
        <w:rPr>
          <w:rFonts w:eastAsia="Times New Roman" w:cs="Times New Roman"/>
          <w:color w:val="000000"/>
          <w:szCs w:val="24"/>
        </w:rPr>
        <w:fldChar w:fldCharType="begin"/>
      </w:r>
      <w:r>
        <w:rPr>
          <w:rFonts w:eastAsia="Times New Roman" w:cs="Times New Roman"/>
          <w:color w:val="000000"/>
          <w:szCs w:val="24"/>
        </w:rPr>
        <w:instrText xml:space="preserve"> REF _Ref128036861 \h </w:instrText>
      </w:r>
      <w:r>
        <w:rPr>
          <w:rFonts w:eastAsia="Times New Roman" w:cs="Times New Roman"/>
          <w:color w:val="000000"/>
          <w:szCs w:val="24"/>
        </w:rPr>
      </w:r>
      <w:r>
        <w:rPr>
          <w:rFonts w:eastAsia="Times New Roman" w:cs="Times New Roman"/>
          <w:color w:val="000000"/>
          <w:szCs w:val="24"/>
        </w:rPr>
        <w:fldChar w:fldCharType="separate"/>
      </w:r>
      <w:r w:rsidR="00A65CB3">
        <w:t xml:space="preserve">Table </w:t>
      </w:r>
      <w:r w:rsidR="00A65CB3">
        <w:rPr>
          <w:noProof/>
        </w:rPr>
        <w:t>91</w:t>
      </w:r>
      <w:r>
        <w:rPr>
          <w:rFonts w:eastAsia="Times New Roman" w:cs="Times New Roman"/>
          <w:color w:val="000000"/>
          <w:szCs w:val="24"/>
        </w:rPr>
        <w:fldChar w:fldCharType="end"/>
      </w:r>
      <w:r>
        <w:rPr>
          <w:rFonts w:eastAsia="Times New Roman" w:cs="Times New Roman"/>
          <w:color w:val="000000"/>
          <w:szCs w:val="24"/>
        </w:rPr>
        <w:t xml:space="preserve"> presents the annual monetized benefits for front center seat passengers discounted at three and seven percent, respectively. When discounted at three and seven percent., monetized benefits for regulatory alternative are approximately 1.60 million and 1.29 million, respectively. Discounted monetized benefits are used in the benefit-cost analysis for this regulatory alternative.</w:t>
      </w:r>
      <w:r>
        <w:rPr>
          <w:rFonts w:eastAsia="Times New Roman" w:cs="Times New Roman"/>
          <w:color w:val="000000"/>
          <w:szCs w:val="24"/>
        </w:rPr>
        <w:tab/>
      </w:r>
    </w:p>
    <w:p w14:paraId="5DABE914" w14:textId="77777777" w:rsidR="000F0490" w:rsidRDefault="000F0490" w:rsidP="000F0490">
      <w:pPr>
        <w:spacing w:after="0"/>
        <w:rPr>
          <w:rFonts w:eastAsia="Times New Roman" w:cs="Times New Roman"/>
          <w:color w:val="000000"/>
          <w:szCs w:val="24"/>
        </w:rPr>
        <w:sectPr w:rsidR="000F0490">
          <w:pgSz w:w="12240" w:h="15840"/>
          <w:pgMar w:top="1440" w:right="1440" w:bottom="1440" w:left="1440" w:header="720" w:footer="720" w:gutter="0"/>
          <w:cols w:space="720"/>
          <w:docGrid w:linePitch="360"/>
        </w:sectPr>
      </w:pPr>
    </w:p>
    <w:p w14:paraId="1ACACF22" w14:textId="5A351B75" w:rsidR="000F0490" w:rsidRDefault="000F5B51" w:rsidP="000F0490">
      <w:pPr>
        <w:pStyle w:val="Caption"/>
        <w:rPr>
          <w:rFonts w:eastAsia="Times New Roman" w:cs="Times New Roman"/>
          <w:color w:val="000000"/>
          <w:szCs w:val="24"/>
        </w:rPr>
      </w:pPr>
      <w:bookmarkStart w:id="1749" w:name="_Ref128036858"/>
      <w:r>
        <w:lastRenderedPageBreak/>
        <w:t xml:space="preserve">Table </w:t>
      </w:r>
      <w:r w:rsidR="00115BAB">
        <w:fldChar w:fldCharType="begin"/>
      </w:r>
      <w:r>
        <w:instrText xml:space="preserve"> SEQ Table \* ARABIC </w:instrText>
      </w:r>
      <w:r w:rsidR="00115BAB">
        <w:fldChar w:fldCharType="separate"/>
      </w:r>
      <w:r w:rsidR="00A65CB3">
        <w:rPr>
          <w:noProof/>
        </w:rPr>
        <w:t>90</w:t>
      </w:r>
      <w:r w:rsidR="00115BAB">
        <w:rPr>
          <w:noProof/>
        </w:rPr>
        <w:fldChar w:fldCharType="end"/>
      </w:r>
      <w:bookmarkEnd w:id="1749"/>
      <w:r>
        <w:t xml:space="preserve">: Annual </w:t>
      </w:r>
      <w:r w:rsidRPr="003D7B11">
        <w:t>Equivalent Lives Saved</w:t>
      </w:r>
      <w:r>
        <w:t xml:space="preserve"> by Discounted Rate</w:t>
      </w:r>
    </w:p>
    <w:tbl>
      <w:tblPr>
        <w:tblStyle w:val="TableGrid3"/>
        <w:tblW w:w="12778" w:type="dxa"/>
        <w:tblLook w:val="04A0" w:firstRow="1" w:lastRow="0" w:firstColumn="1" w:lastColumn="0" w:noHBand="0" w:noVBand="1"/>
      </w:tblPr>
      <w:tblGrid>
        <w:gridCol w:w="1157"/>
        <w:gridCol w:w="1439"/>
        <w:gridCol w:w="1917"/>
        <w:gridCol w:w="1876"/>
        <w:gridCol w:w="1157"/>
        <w:gridCol w:w="1439"/>
        <w:gridCol w:w="1917"/>
        <w:gridCol w:w="1876"/>
      </w:tblGrid>
      <w:tr w:rsidR="00A15C2C" w14:paraId="67DEDB84" w14:textId="77777777" w:rsidTr="007550E2">
        <w:trPr>
          <w:trHeight w:val="306"/>
        </w:trPr>
        <w:tc>
          <w:tcPr>
            <w:tcW w:w="1157" w:type="dxa"/>
            <w:shd w:val="clear" w:color="auto" w:fill="D9D9D9" w:themeFill="background1" w:themeFillShade="D9"/>
            <w:noWrap/>
            <w:vAlign w:val="center"/>
            <w:hideMark/>
          </w:tcPr>
          <w:p w14:paraId="71790C63" w14:textId="77777777" w:rsidR="000F0490" w:rsidRPr="009D65BE" w:rsidRDefault="000F5B51" w:rsidP="007550E2">
            <w:pPr>
              <w:spacing w:line="240" w:lineRule="auto"/>
              <w:rPr>
                <w:rFonts w:eastAsia="Times New Roman" w:cs="Times New Roman"/>
                <w:b/>
                <w:bCs/>
                <w:color w:val="000000"/>
              </w:rPr>
            </w:pPr>
            <w:r w:rsidRPr="009D65BE">
              <w:rPr>
                <w:rFonts w:eastAsia="Times New Roman" w:cs="Times New Roman"/>
                <w:b/>
                <w:bCs/>
                <w:color w:val="000000"/>
              </w:rPr>
              <w:t>Injury Severity</w:t>
            </w:r>
          </w:p>
        </w:tc>
        <w:tc>
          <w:tcPr>
            <w:tcW w:w="1439" w:type="dxa"/>
            <w:shd w:val="clear" w:color="auto" w:fill="D9D9D9" w:themeFill="background1" w:themeFillShade="D9"/>
            <w:noWrap/>
            <w:vAlign w:val="center"/>
            <w:hideMark/>
          </w:tcPr>
          <w:p w14:paraId="4BDD2547" w14:textId="77777777" w:rsidR="000F0490" w:rsidRPr="009D65BE" w:rsidRDefault="000F5B51" w:rsidP="007550E2">
            <w:pPr>
              <w:spacing w:line="240" w:lineRule="auto"/>
              <w:jc w:val="center"/>
              <w:rPr>
                <w:rFonts w:eastAsia="Times New Roman" w:cs="Times New Roman"/>
                <w:b/>
                <w:bCs/>
                <w:color w:val="000000"/>
              </w:rPr>
            </w:pPr>
            <w:r>
              <w:rPr>
                <w:rFonts w:eastAsia="Times New Roman" w:cs="Times New Roman"/>
                <w:b/>
                <w:bCs/>
                <w:color w:val="000000"/>
              </w:rPr>
              <w:t>Discounted Benefits at 3%</w:t>
            </w:r>
          </w:p>
        </w:tc>
        <w:tc>
          <w:tcPr>
            <w:tcW w:w="1917" w:type="dxa"/>
            <w:shd w:val="clear" w:color="auto" w:fill="D9D9D9" w:themeFill="background1" w:themeFillShade="D9"/>
            <w:noWrap/>
            <w:vAlign w:val="center"/>
          </w:tcPr>
          <w:p w14:paraId="7DEC039C" w14:textId="77777777" w:rsidR="000F0490" w:rsidRPr="009D65BE" w:rsidRDefault="000F5B51" w:rsidP="007550E2">
            <w:pPr>
              <w:spacing w:line="240" w:lineRule="auto"/>
              <w:jc w:val="center"/>
              <w:rPr>
                <w:rFonts w:eastAsia="Times New Roman" w:cs="Times New Roman"/>
                <w:b/>
                <w:bCs/>
              </w:rPr>
            </w:pPr>
            <w:r w:rsidRPr="006163DB">
              <w:rPr>
                <w:rFonts w:eastAsia="Times New Roman" w:cs="Times New Roman"/>
                <w:b/>
                <w:bCs/>
              </w:rPr>
              <w:t>Relative Disutility Factors</w:t>
            </w:r>
          </w:p>
        </w:tc>
        <w:tc>
          <w:tcPr>
            <w:tcW w:w="1876" w:type="dxa"/>
            <w:shd w:val="clear" w:color="auto" w:fill="D9D9D9" w:themeFill="background1" w:themeFillShade="D9"/>
            <w:noWrap/>
            <w:vAlign w:val="center"/>
          </w:tcPr>
          <w:p w14:paraId="62536A4F" w14:textId="77777777" w:rsidR="000F0490" w:rsidRPr="009D65BE" w:rsidRDefault="000F5B51" w:rsidP="007550E2">
            <w:pPr>
              <w:spacing w:line="240" w:lineRule="auto"/>
              <w:jc w:val="center"/>
              <w:rPr>
                <w:rFonts w:eastAsia="Times New Roman" w:cs="Times New Roman"/>
                <w:b/>
                <w:bCs/>
                <w:color w:val="000000"/>
              </w:rPr>
            </w:pPr>
            <w:r>
              <w:rPr>
                <w:rFonts w:eastAsia="Times New Roman" w:cs="Times New Roman"/>
                <w:b/>
                <w:bCs/>
                <w:color w:val="000000"/>
              </w:rPr>
              <w:t>Equivalent Lives Saved</w:t>
            </w:r>
          </w:p>
        </w:tc>
        <w:tc>
          <w:tcPr>
            <w:tcW w:w="1157" w:type="dxa"/>
            <w:shd w:val="clear" w:color="auto" w:fill="D9D9D9" w:themeFill="background1" w:themeFillShade="D9"/>
            <w:noWrap/>
            <w:vAlign w:val="center"/>
            <w:hideMark/>
          </w:tcPr>
          <w:p w14:paraId="3522559B" w14:textId="77777777" w:rsidR="000F0490" w:rsidRPr="009D65BE" w:rsidRDefault="000F5B51" w:rsidP="007550E2">
            <w:pPr>
              <w:spacing w:line="240" w:lineRule="auto"/>
              <w:rPr>
                <w:rFonts w:eastAsia="Times New Roman" w:cs="Times New Roman"/>
                <w:b/>
                <w:bCs/>
                <w:color w:val="000000"/>
              </w:rPr>
            </w:pPr>
            <w:r w:rsidRPr="009D65BE">
              <w:rPr>
                <w:rFonts w:eastAsia="Times New Roman" w:cs="Times New Roman"/>
                <w:b/>
                <w:bCs/>
                <w:color w:val="000000"/>
              </w:rPr>
              <w:t>Injury Severity</w:t>
            </w:r>
          </w:p>
        </w:tc>
        <w:tc>
          <w:tcPr>
            <w:tcW w:w="1439" w:type="dxa"/>
            <w:shd w:val="clear" w:color="auto" w:fill="D9D9D9" w:themeFill="background1" w:themeFillShade="D9"/>
            <w:noWrap/>
            <w:vAlign w:val="center"/>
            <w:hideMark/>
          </w:tcPr>
          <w:p w14:paraId="013AED49" w14:textId="77777777" w:rsidR="000F0490" w:rsidRPr="009D65BE" w:rsidRDefault="000F5B51" w:rsidP="007550E2">
            <w:pPr>
              <w:spacing w:line="240" w:lineRule="auto"/>
              <w:jc w:val="center"/>
              <w:rPr>
                <w:rFonts w:eastAsia="Times New Roman" w:cs="Times New Roman"/>
                <w:b/>
                <w:bCs/>
                <w:color w:val="000000"/>
              </w:rPr>
            </w:pPr>
            <w:r>
              <w:rPr>
                <w:rFonts w:eastAsia="Times New Roman" w:cs="Times New Roman"/>
                <w:b/>
                <w:bCs/>
                <w:color w:val="000000"/>
              </w:rPr>
              <w:t>Discounted Benefits at 7%</w:t>
            </w:r>
          </w:p>
        </w:tc>
        <w:tc>
          <w:tcPr>
            <w:tcW w:w="1917" w:type="dxa"/>
            <w:shd w:val="clear" w:color="auto" w:fill="D9D9D9" w:themeFill="background1" w:themeFillShade="D9"/>
            <w:noWrap/>
            <w:vAlign w:val="center"/>
          </w:tcPr>
          <w:p w14:paraId="4CADB20E" w14:textId="77777777" w:rsidR="000F0490" w:rsidRPr="009D65BE" w:rsidRDefault="000F5B51" w:rsidP="007550E2">
            <w:pPr>
              <w:spacing w:line="240" w:lineRule="auto"/>
              <w:jc w:val="center"/>
              <w:rPr>
                <w:rFonts w:eastAsia="Times New Roman" w:cs="Times New Roman"/>
                <w:b/>
                <w:bCs/>
              </w:rPr>
            </w:pPr>
            <w:r w:rsidRPr="006163DB">
              <w:rPr>
                <w:rFonts w:eastAsia="Times New Roman" w:cs="Times New Roman"/>
                <w:b/>
                <w:bCs/>
              </w:rPr>
              <w:t>Relative Disutility Factors</w:t>
            </w:r>
          </w:p>
        </w:tc>
        <w:tc>
          <w:tcPr>
            <w:tcW w:w="1876" w:type="dxa"/>
            <w:shd w:val="clear" w:color="auto" w:fill="D9D9D9" w:themeFill="background1" w:themeFillShade="D9"/>
            <w:noWrap/>
            <w:vAlign w:val="center"/>
          </w:tcPr>
          <w:p w14:paraId="3E94A731" w14:textId="77777777" w:rsidR="000F0490" w:rsidRPr="009D65BE" w:rsidRDefault="000F5B51" w:rsidP="007550E2">
            <w:pPr>
              <w:spacing w:line="240" w:lineRule="auto"/>
              <w:jc w:val="center"/>
              <w:rPr>
                <w:rFonts w:eastAsia="Times New Roman" w:cs="Times New Roman"/>
                <w:b/>
                <w:bCs/>
                <w:color w:val="000000"/>
              </w:rPr>
            </w:pPr>
            <w:r>
              <w:rPr>
                <w:rFonts w:eastAsia="Times New Roman" w:cs="Times New Roman"/>
                <w:b/>
                <w:bCs/>
                <w:color w:val="000000"/>
              </w:rPr>
              <w:t>Equivalent Lives Saved</w:t>
            </w:r>
          </w:p>
        </w:tc>
      </w:tr>
      <w:tr w:rsidR="00A15C2C" w14:paraId="12924623" w14:textId="77777777" w:rsidTr="007550E2">
        <w:trPr>
          <w:trHeight w:val="306"/>
        </w:trPr>
        <w:tc>
          <w:tcPr>
            <w:tcW w:w="1157" w:type="dxa"/>
            <w:noWrap/>
            <w:vAlign w:val="center"/>
            <w:hideMark/>
          </w:tcPr>
          <w:p w14:paraId="6B983330" w14:textId="77777777" w:rsidR="000F0490" w:rsidRPr="009D65BE" w:rsidRDefault="000F5B51" w:rsidP="007550E2">
            <w:pPr>
              <w:spacing w:line="240" w:lineRule="auto"/>
              <w:rPr>
                <w:rFonts w:eastAsia="Times New Roman" w:cs="Times New Roman"/>
                <w:color w:val="000000"/>
              </w:rPr>
            </w:pPr>
            <w:r w:rsidRPr="009D65BE">
              <w:rPr>
                <w:rFonts w:eastAsia="Times New Roman" w:cs="Times New Roman"/>
                <w:color w:val="000000"/>
              </w:rPr>
              <w:t>MAIS 1</w:t>
            </w:r>
          </w:p>
        </w:tc>
        <w:tc>
          <w:tcPr>
            <w:tcW w:w="1439" w:type="dxa"/>
            <w:noWrap/>
          </w:tcPr>
          <w:p w14:paraId="48F0A948" w14:textId="77777777" w:rsidR="000F0490" w:rsidRPr="009D65BE" w:rsidRDefault="000F5B51" w:rsidP="007550E2">
            <w:pPr>
              <w:spacing w:line="240" w:lineRule="auto"/>
              <w:jc w:val="center"/>
              <w:rPr>
                <w:rFonts w:eastAsia="Times New Roman" w:cs="Times New Roman"/>
                <w:color w:val="000000"/>
              </w:rPr>
            </w:pPr>
            <w:r w:rsidRPr="00C7629F">
              <w:t>0.0398</w:t>
            </w:r>
          </w:p>
        </w:tc>
        <w:tc>
          <w:tcPr>
            <w:tcW w:w="1917" w:type="dxa"/>
            <w:noWrap/>
            <w:vAlign w:val="center"/>
          </w:tcPr>
          <w:p w14:paraId="539AF7E9" w14:textId="77777777" w:rsidR="000F0490" w:rsidRPr="009D65BE" w:rsidRDefault="000F5B51" w:rsidP="007550E2">
            <w:pPr>
              <w:spacing w:line="240" w:lineRule="auto"/>
              <w:jc w:val="center"/>
              <w:rPr>
                <w:rFonts w:eastAsia="Times New Roman" w:cs="Times New Roman"/>
                <w:color w:val="000000"/>
              </w:rPr>
            </w:pPr>
            <w:r>
              <w:rPr>
                <w:color w:val="000000"/>
                <w:sz w:val="22"/>
                <w:szCs w:val="22"/>
              </w:rPr>
              <w:t>0.0038</w:t>
            </w:r>
          </w:p>
        </w:tc>
        <w:tc>
          <w:tcPr>
            <w:tcW w:w="1876" w:type="dxa"/>
            <w:noWrap/>
            <w:vAlign w:val="center"/>
          </w:tcPr>
          <w:p w14:paraId="7B258DCB" w14:textId="77777777" w:rsidR="000F0490" w:rsidRPr="00325C3E" w:rsidRDefault="000F5B51" w:rsidP="007550E2">
            <w:pPr>
              <w:spacing w:line="240" w:lineRule="auto"/>
              <w:jc w:val="center"/>
              <w:rPr>
                <w:rFonts w:eastAsia="Times New Roman" w:cs="Times New Roman"/>
                <w:color w:val="000000"/>
              </w:rPr>
            </w:pPr>
            <w:r>
              <w:rPr>
                <w:color w:val="000000"/>
              </w:rPr>
              <w:t>0.0002</w:t>
            </w:r>
          </w:p>
        </w:tc>
        <w:tc>
          <w:tcPr>
            <w:tcW w:w="1157" w:type="dxa"/>
            <w:noWrap/>
            <w:vAlign w:val="center"/>
            <w:hideMark/>
          </w:tcPr>
          <w:p w14:paraId="6ABD9104" w14:textId="77777777" w:rsidR="000F0490" w:rsidRPr="009D65BE" w:rsidRDefault="000F5B51" w:rsidP="007550E2">
            <w:pPr>
              <w:spacing w:line="240" w:lineRule="auto"/>
              <w:rPr>
                <w:rFonts w:eastAsia="Times New Roman" w:cs="Times New Roman"/>
                <w:color w:val="000000"/>
              </w:rPr>
            </w:pPr>
            <w:r w:rsidRPr="009D65BE">
              <w:rPr>
                <w:rFonts w:eastAsia="Times New Roman" w:cs="Times New Roman"/>
                <w:color w:val="000000"/>
              </w:rPr>
              <w:t>MAIS 1</w:t>
            </w:r>
          </w:p>
        </w:tc>
        <w:tc>
          <w:tcPr>
            <w:tcW w:w="1439" w:type="dxa"/>
            <w:noWrap/>
          </w:tcPr>
          <w:p w14:paraId="0571326E" w14:textId="77777777" w:rsidR="000F0490" w:rsidRPr="009D65BE" w:rsidRDefault="000F5B51" w:rsidP="007550E2">
            <w:pPr>
              <w:spacing w:line="240" w:lineRule="auto"/>
              <w:jc w:val="center"/>
              <w:rPr>
                <w:rFonts w:eastAsia="Times New Roman" w:cs="Times New Roman"/>
                <w:color w:val="000000"/>
              </w:rPr>
            </w:pPr>
            <w:r w:rsidRPr="00C7629F">
              <w:t>0.0321</w:t>
            </w:r>
          </w:p>
        </w:tc>
        <w:tc>
          <w:tcPr>
            <w:tcW w:w="1917" w:type="dxa"/>
            <w:noWrap/>
            <w:vAlign w:val="center"/>
          </w:tcPr>
          <w:p w14:paraId="62A84F9F" w14:textId="77777777" w:rsidR="000F0490" w:rsidRPr="009D65BE" w:rsidRDefault="000F5B51" w:rsidP="007550E2">
            <w:pPr>
              <w:spacing w:line="240" w:lineRule="auto"/>
              <w:jc w:val="center"/>
              <w:rPr>
                <w:rFonts w:eastAsia="Times New Roman" w:cs="Times New Roman"/>
                <w:color w:val="000000"/>
              </w:rPr>
            </w:pPr>
            <w:r>
              <w:rPr>
                <w:color w:val="000000"/>
                <w:sz w:val="22"/>
                <w:szCs w:val="22"/>
              </w:rPr>
              <w:t>0.0038</w:t>
            </w:r>
          </w:p>
        </w:tc>
        <w:tc>
          <w:tcPr>
            <w:tcW w:w="1876" w:type="dxa"/>
            <w:noWrap/>
            <w:vAlign w:val="center"/>
          </w:tcPr>
          <w:p w14:paraId="6E03604C" w14:textId="77777777" w:rsidR="000F0490" w:rsidRPr="009D65BE" w:rsidRDefault="000F5B51" w:rsidP="007550E2">
            <w:pPr>
              <w:spacing w:line="240" w:lineRule="auto"/>
              <w:jc w:val="center"/>
              <w:rPr>
                <w:rFonts w:eastAsia="Times New Roman" w:cs="Times New Roman"/>
                <w:color w:val="000000"/>
              </w:rPr>
            </w:pPr>
            <w:r>
              <w:rPr>
                <w:color w:val="000000"/>
              </w:rPr>
              <w:t>0.0001</w:t>
            </w:r>
          </w:p>
        </w:tc>
      </w:tr>
      <w:tr w:rsidR="00A15C2C" w14:paraId="36147F93" w14:textId="77777777" w:rsidTr="007550E2">
        <w:trPr>
          <w:trHeight w:val="306"/>
        </w:trPr>
        <w:tc>
          <w:tcPr>
            <w:tcW w:w="1157" w:type="dxa"/>
            <w:noWrap/>
            <w:vAlign w:val="center"/>
            <w:hideMark/>
          </w:tcPr>
          <w:p w14:paraId="10997061" w14:textId="77777777" w:rsidR="000F0490" w:rsidRPr="009D65BE" w:rsidRDefault="000F5B51" w:rsidP="007550E2">
            <w:pPr>
              <w:spacing w:line="240" w:lineRule="auto"/>
              <w:rPr>
                <w:rFonts w:eastAsia="Times New Roman" w:cs="Times New Roman"/>
                <w:color w:val="000000"/>
              </w:rPr>
            </w:pPr>
            <w:r w:rsidRPr="009D65BE">
              <w:rPr>
                <w:rFonts w:eastAsia="Times New Roman" w:cs="Times New Roman"/>
                <w:color w:val="000000"/>
              </w:rPr>
              <w:t>MAIS 2</w:t>
            </w:r>
          </w:p>
        </w:tc>
        <w:tc>
          <w:tcPr>
            <w:tcW w:w="1439" w:type="dxa"/>
            <w:noWrap/>
          </w:tcPr>
          <w:p w14:paraId="6978ED89" w14:textId="77777777" w:rsidR="000F0490" w:rsidRPr="009D65BE" w:rsidRDefault="000F5B51" w:rsidP="007550E2">
            <w:pPr>
              <w:spacing w:line="240" w:lineRule="auto"/>
              <w:jc w:val="center"/>
              <w:rPr>
                <w:rFonts w:eastAsia="Times New Roman" w:cs="Times New Roman"/>
                <w:color w:val="000000"/>
              </w:rPr>
            </w:pPr>
            <w:r w:rsidRPr="00C7629F">
              <w:t>0.1932</w:t>
            </w:r>
          </w:p>
        </w:tc>
        <w:tc>
          <w:tcPr>
            <w:tcW w:w="1917" w:type="dxa"/>
            <w:noWrap/>
            <w:vAlign w:val="center"/>
          </w:tcPr>
          <w:p w14:paraId="5F3D98BA" w14:textId="77777777" w:rsidR="000F0490" w:rsidRPr="009D65BE" w:rsidRDefault="000F5B51" w:rsidP="007550E2">
            <w:pPr>
              <w:spacing w:line="240" w:lineRule="auto"/>
              <w:jc w:val="center"/>
              <w:rPr>
                <w:rFonts w:eastAsia="Times New Roman" w:cs="Times New Roman"/>
                <w:color w:val="000000"/>
              </w:rPr>
            </w:pPr>
            <w:r>
              <w:rPr>
                <w:color w:val="000000"/>
                <w:sz w:val="22"/>
                <w:szCs w:val="22"/>
              </w:rPr>
              <w:t>0.0454</w:t>
            </w:r>
          </w:p>
        </w:tc>
        <w:tc>
          <w:tcPr>
            <w:tcW w:w="1876" w:type="dxa"/>
            <w:noWrap/>
            <w:vAlign w:val="center"/>
          </w:tcPr>
          <w:p w14:paraId="5919105A" w14:textId="77777777" w:rsidR="000F0490" w:rsidRPr="00325C3E" w:rsidRDefault="000F5B51" w:rsidP="007550E2">
            <w:pPr>
              <w:spacing w:line="240" w:lineRule="auto"/>
              <w:jc w:val="center"/>
              <w:rPr>
                <w:rFonts w:eastAsia="Times New Roman" w:cs="Times New Roman"/>
                <w:color w:val="000000"/>
              </w:rPr>
            </w:pPr>
            <w:r>
              <w:rPr>
                <w:color w:val="000000"/>
              </w:rPr>
              <w:t>0.0088</w:t>
            </w:r>
          </w:p>
        </w:tc>
        <w:tc>
          <w:tcPr>
            <w:tcW w:w="1157" w:type="dxa"/>
            <w:noWrap/>
            <w:vAlign w:val="center"/>
            <w:hideMark/>
          </w:tcPr>
          <w:p w14:paraId="31954568" w14:textId="77777777" w:rsidR="000F0490" w:rsidRPr="009D65BE" w:rsidRDefault="000F5B51" w:rsidP="007550E2">
            <w:pPr>
              <w:spacing w:line="240" w:lineRule="auto"/>
              <w:rPr>
                <w:rFonts w:eastAsia="Times New Roman" w:cs="Times New Roman"/>
                <w:color w:val="000000"/>
              </w:rPr>
            </w:pPr>
            <w:r w:rsidRPr="009D65BE">
              <w:rPr>
                <w:rFonts w:eastAsia="Times New Roman" w:cs="Times New Roman"/>
                <w:color w:val="000000"/>
              </w:rPr>
              <w:t>MAIS 2</w:t>
            </w:r>
          </w:p>
        </w:tc>
        <w:tc>
          <w:tcPr>
            <w:tcW w:w="1439" w:type="dxa"/>
            <w:noWrap/>
          </w:tcPr>
          <w:p w14:paraId="46947229" w14:textId="77777777" w:rsidR="000F0490" w:rsidRPr="009D65BE" w:rsidRDefault="000F5B51" w:rsidP="007550E2">
            <w:pPr>
              <w:spacing w:line="240" w:lineRule="auto"/>
              <w:jc w:val="center"/>
              <w:rPr>
                <w:rFonts w:eastAsia="Times New Roman" w:cs="Times New Roman"/>
                <w:color w:val="000000"/>
              </w:rPr>
            </w:pPr>
            <w:r w:rsidRPr="00C7629F">
              <w:t>0.1562</w:t>
            </w:r>
          </w:p>
        </w:tc>
        <w:tc>
          <w:tcPr>
            <w:tcW w:w="1917" w:type="dxa"/>
            <w:noWrap/>
            <w:vAlign w:val="center"/>
          </w:tcPr>
          <w:p w14:paraId="47EC5E65" w14:textId="77777777" w:rsidR="000F0490" w:rsidRPr="009D65BE" w:rsidRDefault="000F5B51" w:rsidP="007550E2">
            <w:pPr>
              <w:spacing w:line="240" w:lineRule="auto"/>
              <w:jc w:val="center"/>
              <w:rPr>
                <w:rFonts w:eastAsia="Times New Roman" w:cs="Times New Roman"/>
                <w:color w:val="000000"/>
              </w:rPr>
            </w:pPr>
            <w:r>
              <w:rPr>
                <w:color w:val="000000"/>
                <w:sz w:val="22"/>
                <w:szCs w:val="22"/>
              </w:rPr>
              <w:t>0.0454</w:t>
            </w:r>
          </w:p>
        </w:tc>
        <w:tc>
          <w:tcPr>
            <w:tcW w:w="1876" w:type="dxa"/>
            <w:noWrap/>
            <w:vAlign w:val="center"/>
          </w:tcPr>
          <w:p w14:paraId="51EE17D1" w14:textId="77777777" w:rsidR="000F0490" w:rsidRPr="009D65BE" w:rsidRDefault="000F5B51" w:rsidP="007550E2">
            <w:pPr>
              <w:spacing w:line="240" w:lineRule="auto"/>
              <w:jc w:val="center"/>
              <w:rPr>
                <w:rFonts w:eastAsia="Times New Roman" w:cs="Times New Roman"/>
                <w:color w:val="000000"/>
              </w:rPr>
            </w:pPr>
            <w:r>
              <w:rPr>
                <w:color w:val="000000"/>
              </w:rPr>
              <w:t>0.0071</w:t>
            </w:r>
          </w:p>
        </w:tc>
      </w:tr>
      <w:tr w:rsidR="00A15C2C" w14:paraId="5BC8AC1B" w14:textId="77777777" w:rsidTr="007550E2">
        <w:trPr>
          <w:trHeight w:val="306"/>
        </w:trPr>
        <w:tc>
          <w:tcPr>
            <w:tcW w:w="1157" w:type="dxa"/>
            <w:noWrap/>
            <w:vAlign w:val="center"/>
            <w:hideMark/>
          </w:tcPr>
          <w:p w14:paraId="4B6EEB4A" w14:textId="77777777" w:rsidR="000F0490" w:rsidRPr="009D65BE" w:rsidRDefault="000F5B51" w:rsidP="007550E2">
            <w:pPr>
              <w:spacing w:line="240" w:lineRule="auto"/>
              <w:rPr>
                <w:rFonts w:eastAsia="Times New Roman" w:cs="Times New Roman"/>
                <w:color w:val="000000"/>
              </w:rPr>
            </w:pPr>
            <w:r w:rsidRPr="009D65BE">
              <w:rPr>
                <w:rFonts w:eastAsia="Times New Roman" w:cs="Times New Roman"/>
                <w:color w:val="000000"/>
              </w:rPr>
              <w:t>MAIS 3</w:t>
            </w:r>
          </w:p>
        </w:tc>
        <w:tc>
          <w:tcPr>
            <w:tcW w:w="1439" w:type="dxa"/>
            <w:noWrap/>
          </w:tcPr>
          <w:p w14:paraId="79455B42" w14:textId="77777777" w:rsidR="000F0490" w:rsidRPr="009D65BE" w:rsidRDefault="000F5B51" w:rsidP="007550E2">
            <w:pPr>
              <w:spacing w:line="240" w:lineRule="auto"/>
              <w:jc w:val="center"/>
              <w:rPr>
                <w:rFonts w:eastAsia="Times New Roman" w:cs="Times New Roman"/>
                <w:color w:val="000000"/>
              </w:rPr>
            </w:pPr>
            <w:r w:rsidRPr="00C7629F">
              <w:t>0.0117</w:t>
            </w:r>
          </w:p>
        </w:tc>
        <w:tc>
          <w:tcPr>
            <w:tcW w:w="1917" w:type="dxa"/>
            <w:noWrap/>
            <w:vAlign w:val="center"/>
          </w:tcPr>
          <w:p w14:paraId="74CAE9F6" w14:textId="77777777" w:rsidR="000F0490" w:rsidRPr="009D65BE" w:rsidRDefault="000F5B51" w:rsidP="007550E2">
            <w:pPr>
              <w:spacing w:line="240" w:lineRule="auto"/>
              <w:jc w:val="center"/>
              <w:rPr>
                <w:rFonts w:eastAsia="Times New Roman" w:cs="Times New Roman"/>
                <w:color w:val="000000"/>
              </w:rPr>
            </w:pPr>
            <w:r>
              <w:rPr>
                <w:color w:val="000000"/>
                <w:sz w:val="22"/>
                <w:szCs w:val="22"/>
              </w:rPr>
              <w:t>0.1078</w:t>
            </w:r>
          </w:p>
        </w:tc>
        <w:tc>
          <w:tcPr>
            <w:tcW w:w="1876" w:type="dxa"/>
            <w:noWrap/>
            <w:vAlign w:val="center"/>
          </w:tcPr>
          <w:p w14:paraId="277E6D4B" w14:textId="77777777" w:rsidR="000F0490" w:rsidRPr="00325C3E" w:rsidRDefault="000F5B51" w:rsidP="007550E2">
            <w:pPr>
              <w:spacing w:line="240" w:lineRule="auto"/>
              <w:jc w:val="center"/>
              <w:rPr>
                <w:rFonts w:eastAsia="Times New Roman" w:cs="Times New Roman"/>
                <w:color w:val="000000"/>
              </w:rPr>
            </w:pPr>
            <w:r>
              <w:rPr>
                <w:color w:val="000000"/>
              </w:rPr>
              <w:t>0.0013</w:t>
            </w:r>
          </w:p>
        </w:tc>
        <w:tc>
          <w:tcPr>
            <w:tcW w:w="1157" w:type="dxa"/>
            <w:noWrap/>
            <w:vAlign w:val="center"/>
            <w:hideMark/>
          </w:tcPr>
          <w:p w14:paraId="38339184" w14:textId="77777777" w:rsidR="000F0490" w:rsidRPr="009D65BE" w:rsidRDefault="000F5B51" w:rsidP="007550E2">
            <w:pPr>
              <w:spacing w:line="240" w:lineRule="auto"/>
              <w:rPr>
                <w:rFonts w:eastAsia="Times New Roman" w:cs="Times New Roman"/>
                <w:color w:val="000000"/>
              </w:rPr>
            </w:pPr>
            <w:r w:rsidRPr="009D65BE">
              <w:rPr>
                <w:rFonts w:eastAsia="Times New Roman" w:cs="Times New Roman"/>
                <w:color w:val="000000"/>
              </w:rPr>
              <w:t>MAIS 3</w:t>
            </w:r>
          </w:p>
        </w:tc>
        <w:tc>
          <w:tcPr>
            <w:tcW w:w="1439" w:type="dxa"/>
            <w:noWrap/>
          </w:tcPr>
          <w:p w14:paraId="2D62426E" w14:textId="77777777" w:rsidR="000F0490" w:rsidRPr="009D65BE" w:rsidRDefault="000F5B51" w:rsidP="007550E2">
            <w:pPr>
              <w:spacing w:line="240" w:lineRule="auto"/>
              <w:jc w:val="center"/>
              <w:rPr>
                <w:rFonts w:eastAsia="Times New Roman" w:cs="Times New Roman"/>
                <w:color w:val="000000"/>
              </w:rPr>
            </w:pPr>
            <w:r w:rsidRPr="00C7629F">
              <w:t>0.0096</w:t>
            </w:r>
          </w:p>
        </w:tc>
        <w:tc>
          <w:tcPr>
            <w:tcW w:w="1917" w:type="dxa"/>
            <w:noWrap/>
            <w:vAlign w:val="center"/>
          </w:tcPr>
          <w:p w14:paraId="2D9B48C2" w14:textId="77777777" w:rsidR="000F0490" w:rsidRPr="009D65BE" w:rsidRDefault="000F5B51" w:rsidP="007550E2">
            <w:pPr>
              <w:spacing w:line="240" w:lineRule="auto"/>
              <w:jc w:val="center"/>
              <w:rPr>
                <w:rFonts w:eastAsia="Times New Roman" w:cs="Times New Roman"/>
                <w:color w:val="000000"/>
              </w:rPr>
            </w:pPr>
            <w:r>
              <w:rPr>
                <w:color w:val="000000"/>
                <w:sz w:val="22"/>
                <w:szCs w:val="22"/>
              </w:rPr>
              <w:t>0.1078</w:t>
            </w:r>
          </w:p>
        </w:tc>
        <w:tc>
          <w:tcPr>
            <w:tcW w:w="1876" w:type="dxa"/>
            <w:noWrap/>
            <w:vAlign w:val="center"/>
          </w:tcPr>
          <w:p w14:paraId="3943094D" w14:textId="77777777" w:rsidR="000F0490" w:rsidRPr="009D65BE" w:rsidRDefault="000F5B51" w:rsidP="007550E2">
            <w:pPr>
              <w:spacing w:line="240" w:lineRule="auto"/>
              <w:jc w:val="center"/>
              <w:rPr>
                <w:rFonts w:eastAsia="Times New Roman" w:cs="Times New Roman"/>
                <w:color w:val="000000"/>
              </w:rPr>
            </w:pPr>
            <w:r>
              <w:rPr>
                <w:color w:val="000000"/>
              </w:rPr>
              <w:t>0.0010</w:t>
            </w:r>
          </w:p>
        </w:tc>
      </w:tr>
      <w:tr w:rsidR="00A15C2C" w14:paraId="7039FDA3" w14:textId="77777777" w:rsidTr="007550E2">
        <w:trPr>
          <w:trHeight w:val="306"/>
        </w:trPr>
        <w:tc>
          <w:tcPr>
            <w:tcW w:w="1157" w:type="dxa"/>
            <w:noWrap/>
            <w:vAlign w:val="center"/>
            <w:hideMark/>
          </w:tcPr>
          <w:p w14:paraId="3C7F7F8B" w14:textId="77777777" w:rsidR="000F0490" w:rsidRPr="009D65BE" w:rsidRDefault="000F5B51" w:rsidP="007550E2">
            <w:pPr>
              <w:spacing w:line="240" w:lineRule="auto"/>
              <w:rPr>
                <w:rFonts w:eastAsia="Times New Roman" w:cs="Times New Roman"/>
                <w:color w:val="000000"/>
              </w:rPr>
            </w:pPr>
            <w:r w:rsidRPr="009D65BE">
              <w:rPr>
                <w:rFonts w:eastAsia="Times New Roman" w:cs="Times New Roman"/>
                <w:color w:val="000000"/>
              </w:rPr>
              <w:t>MAIS 4</w:t>
            </w:r>
          </w:p>
        </w:tc>
        <w:tc>
          <w:tcPr>
            <w:tcW w:w="1439" w:type="dxa"/>
            <w:noWrap/>
          </w:tcPr>
          <w:p w14:paraId="024CDB61" w14:textId="77777777" w:rsidR="000F0490" w:rsidRPr="009D65BE" w:rsidRDefault="000F5B51" w:rsidP="007550E2">
            <w:pPr>
              <w:spacing w:line="240" w:lineRule="auto"/>
              <w:jc w:val="center"/>
              <w:rPr>
                <w:rFonts w:eastAsia="Times New Roman" w:cs="Times New Roman"/>
                <w:color w:val="000000"/>
              </w:rPr>
            </w:pPr>
            <w:r w:rsidRPr="00C7629F">
              <w:t>0.0150</w:t>
            </w:r>
          </w:p>
        </w:tc>
        <w:tc>
          <w:tcPr>
            <w:tcW w:w="1917" w:type="dxa"/>
            <w:noWrap/>
            <w:vAlign w:val="center"/>
          </w:tcPr>
          <w:p w14:paraId="5988D095" w14:textId="77777777" w:rsidR="000F0490" w:rsidRPr="009D65BE" w:rsidRDefault="000F5B51" w:rsidP="007550E2">
            <w:pPr>
              <w:spacing w:line="240" w:lineRule="auto"/>
              <w:jc w:val="center"/>
              <w:rPr>
                <w:rFonts w:eastAsia="Times New Roman" w:cs="Times New Roman"/>
                <w:color w:val="000000"/>
              </w:rPr>
            </w:pPr>
            <w:r>
              <w:rPr>
                <w:color w:val="000000"/>
                <w:sz w:val="22"/>
                <w:szCs w:val="22"/>
              </w:rPr>
              <w:t>0.2677</w:t>
            </w:r>
          </w:p>
        </w:tc>
        <w:tc>
          <w:tcPr>
            <w:tcW w:w="1876" w:type="dxa"/>
            <w:noWrap/>
            <w:vAlign w:val="center"/>
          </w:tcPr>
          <w:p w14:paraId="70B6D4BF" w14:textId="77777777" w:rsidR="000F0490" w:rsidRPr="00325C3E" w:rsidRDefault="000F5B51" w:rsidP="007550E2">
            <w:pPr>
              <w:spacing w:line="240" w:lineRule="auto"/>
              <w:jc w:val="center"/>
              <w:rPr>
                <w:rFonts w:eastAsia="Times New Roman" w:cs="Times New Roman"/>
                <w:color w:val="000000"/>
              </w:rPr>
            </w:pPr>
            <w:r>
              <w:rPr>
                <w:color w:val="000000"/>
              </w:rPr>
              <w:t>0.0040</w:t>
            </w:r>
          </w:p>
        </w:tc>
        <w:tc>
          <w:tcPr>
            <w:tcW w:w="1157" w:type="dxa"/>
            <w:noWrap/>
            <w:vAlign w:val="center"/>
            <w:hideMark/>
          </w:tcPr>
          <w:p w14:paraId="310C9474" w14:textId="77777777" w:rsidR="000F0490" w:rsidRPr="009D65BE" w:rsidRDefault="000F5B51" w:rsidP="007550E2">
            <w:pPr>
              <w:spacing w:line="240" w:lineRule="auto"/>
              <w:rPr>
                <w:rFonts w:eastAsia="Times New Roman" w:cs="Times New Roman"/>
                <w:color w:val="000000"/>
              </w:rPr>
            </w:pPr>
            <w:r w:rsidRPr="009D65BE">
              <w:rPr>
                <w:rFonts w:eastAsia="Times New Roman" w:cs="Times New Roman"/>
                <w:color w:val="000000"/>
              </w:rPr>
              <w:t>MAIS 4</w:t>
            </w:r>
          </w:p>
        </w:tc>
        <w:tc>
          <w:tcPr>
            <w:tcW w:w="1439" w:type="dxa"/>
            <w:noWrap/>
          </w:tcPr>
          <w:p w14:paraId="4AA803BA" w14:textId="77777777" w:rsidR="000F0490" w:rsidRPr="009D65BE" w:rsidRDefault="000F5B51" w:rsidP="007550E2">
            <w:pPr>
              <w:spacing w:line="240" w:lineRule="auto"/>
              <w:jc w:val="center"/>
              <w:rPr>
                <w:rFonts w:eastAsia="Times New Roman" w:cs="Times New Roman"/>
                <w:color w:val="000000"/>
              </w:rPr>
            </w:pPr>
            <w:r w:rsidRPr="00C7629F">
              <w:t>0.0122</w:t>
            </w:r>
          </w:p>
        </w:tc>
        <w:tc>
          <w:tcPr>
            <w:tcW w:w="1917" w:type="dxa"/>
            <w:noWrap/>
            <w:vAlign w:val="center"/>
          </w:tcPr>
          <w:p w14:paraId="2AA3CB64" w14:textId="77777777" w:rsidR="000F0490" w:rsidRPr="009D65BE" w:rsidRDefault="000F5B51" w:rsidP="007550E2">
            <w:pPr>
              <w:spacing w:line="240" w:lineRule="auto"/>
              <w:jc w:val="center"/>
              <w:rPr>
                <w:rFonts w:eastAsia="Times New Roman" w:cs="Times New Roman"/>
                <w:color w:val="000000"/>
              </w:rPr>
            </w:pPr>
            <w:r>
              <w:rPr>
                <w:color w:val="000000"/>
                <w:sz w:val="22"/>
                <w:szCs w:val="22"/>
              </w:rPr>
              <w:t>0.2677</w:t>
            </w:r>
          </w:p>
        </w:tc>
        <w:tc>
          <w:tcPr>
            <w:tcW w:w="1876" w:type="dxa"/>
            <w:noWrap/>
            <w:vAlign w:val="center"/>
          </w:tcPr>
          <w:p w14:paraId="68BE867B" w14:textId="77777777" w:rsidR="000F0490" w:rsidRPr="009D65BE" w:rsidRDefault="000F5B51" w:rsidP="007550E2">
            <w:pPr>
              <w:spacing w:line="240" w:lineRule="auto"/>
              <w:jc w:val="center"/>
              <w:rPr>
                <w:rFonts w:eastAsia="Times New Roman" w:cs="Times New Roman"/>
                <w:color w:val="000000"/>
              </w:rPr>
            </w:pPr>
            <w:r>
              <w:rPr>
                <w:color w:val="000000"/>
              </w:rPr>
              <w:t>0.0033</w:t>
            </w:r>
          </w:p>
        </w:tc>
      </w:tr>
      <w:tr w:rsidR="00A15C2C" w14:paraId="4046C099" w14:textId="77777777" w:rsidTr="007550E2">
        <w:trPr>
          <w:trHeight w:val="306"/>
        </w:trPr>
        <w:tc>
          <w:tcPr>
            <w:tcW w:w="1157" w:type="dxa"/>
            <w:noWrap/>
            <w:vAlign w:val="center"/>
            <w:hideMark/>
          </w:tcPr>
          <w:p w14:paraId="7BC45810" w14:textId="77777777" w:rsidR="000F0490" w:rsidRPr="009D65BE" w:rsidRDefault="000F5B51" w:rsidP="007550E2">
            <w:pPr>
              <w:spacing w:line="240" w:lineRule="auto"/>
              <w:rPr>
                <w:rFonts w:eastAsia="Times New Roman" w:cs="Times New Roman"/>
                <w:color w:val="000000"/>
              </w:rPr>
            </w:pPr>
            <w:r w:rsidRPr="009D65BE">
              <w:rPr>
                <w:rFonts w:eastAsia="Times New Roman" w:cs="Times New Roman"/>
                <w:color w:val="000000"/>
              </w:rPr>
              <w:t>MAIS 5</w:t>
            </w:r>
          </w:p>
        </w:tc>
        <w:tc>
          <w:tcPr>
            <w:tcW w:w="1439" w:type="dxa"/>
            <w:noWrap/>
          </w:tcPr>
          <w:p w14:paraId="367355C6" w14:textId="77777777" w:rsidR="000F0490" w:rsidRPr="009D65BE" w:rsidRDefault="000F5B51" w:rsidP="007550E2">
            <w:pPr>
              <w:spacing w:line="240" w:lineRule="auto"/>
              <w:jc w:val="center"/>
              <w:rPr>
                <w:rFonts w:eastAsia="Times New Roman" w:cs="Times New Roman"/>
                <w:color w:val="000000"/>
              </w:rPr>
            </w:pPr>
            <w:r w:rsidRPr="00C7629F">
              <w:t>0.0007</w:t>
            </w:r>
          </w:p>
        </w:tc>
        <w:tc>
          <w:tcPr>
            <w:tcW w:w="1917" w:type="dxa"/>
            <w:noWrap/>
            <w:vAlign w:val="center"/>
          </w:tcPr>
          <w:p w14:paraId="01AE5F6E" w14:textId="77777777" w:rsidR="000F0490" w:rsidRPr="009D65BE" w:rsidRDefault="000F5B51" w:rsidP="007550E2">
            <w:pPr>
              <w:spacing w:line="240" w:lineRule="auto"/>
              <w:jc w:val="center"/>
              <w:rPr>
                <w:rFonts w:eastAsia="Times New Roman" w:cs="Times New Roman"/>
                <w:color w:val="000000"/>
              </w:rPr>
            </w:pPr>
            <w:r>
              <w:rPr>
                <w:color w:val="000000"/>
                <w:sz w:val="22"/>
                <w:szCs w:val="22"/>
              </w:rPr>
              <w:t>0.6125</w:t>
            </w:r>
          </w:p>
        </w:tc>
        <w:tc>
          <w:tcPr>
            <w:tcW w:w="1876" w:type="dxa"/>
            <w:noWrap/>
            <w:vAlign w:val="center"/>
          </w:tcPr>
          <w:p w14:paraId="198FB1EA" w14:textId="77777777" w:rsidR="000F0490" w:rsidRPr="00325C3E" w:rsidRDefault="000F5B51" w:rsidP="007550E2">
            <w:pPr>
              <w:spacing w:line="240" w:lineRule="auto"/>
              <w:jc w:val="center"/>
              <w:rPr>
                <w:rFonts w:eastAsia="Times New Roman" w:cs="Times New Roman"/>
                <w:color w:val="000000"/>
              </w:rPr>
            </w:pPr>
            <w:r>
              <w:rPr>
                <w:color w:val="000000"/>
              </w:rPr>
              <w:t>0.0004</w:t>
            </w:r>
          </w:p>
        </w:tc>
        <w:tc>
          <w:tcPr>
            <w:tcW w:w="1157" w:type="dxa"/>
            <w:noWrap/>
            <w:vAlign w:val="center"/>
            <w:hideMark/>
          </w:tcPr>
          <w:p w14:paraId="38A92545" w14:textId="77777777" w:rsidR="000F0490" w:rsidRPr="009D65BE" w:rsidRDefault="000F5B51" w:rsidP="007550E2">
            <w:pPr>
              <w:spacing w:line="240" w:lineRule="auto"/>
              <w:rPr>
                <w:rFonts w:eastAsia="Times New Roman" w:cs="Times New Roman"/>
                <w:color w:val="000000"/>
              </w:rPr>
            </w:pPr>
            <w:r w:rsidRPr="009D65BE">
              <w:rPr>
                <w:rFonts w:eastAsia="Times New Roman" w:cs="Times New Roman"/>
                <w:color w:val="000000"/>
              </w:rPr>
              <w:t>MAIS 5</w:t>
            </w:r>
          </w:p>
        </w:tc>
        <w:tc>
          <w:tcPr>
            <w:tcW w:w="1439" w:type="dxa"/>
            <w:noWrap/>
          </w:tcPr>
          <w:p w14:paraId="4C078894" w14:textId="77777777" w:rsidR="000F0490" w:rsidRPr="009D65BE" w:rsidRDefault="000F5B51" w:rsidP="007550E2">
            <w:pPr>
              <w:spacing w:line="240" w:lineRule="auto"/>
              <w:jc w:val="center"/>
              <w:rPr>
                <w:rFonts w:eastAsia="Times New Roman" w:cs="Times New Roman"/>
                <w:color w:val="000000"/>
              </w:rPr>
            </w:pPr>
            <w:r w:rsidRPr="00C7629F">
              <w:t>0.0006</w:t>
            </w:r>
          </w:p>
        </w:tc>
        <w:tc>
          <w:tcPr>
            <w:tcW w:w="1917" w:type="dxa"/>
            <w:noWrap/>
            <w:vAlign w:val="center"/>
          </w:tcPr>
          <w:p w14:paraId="580F7EAA" w14:textId="77777777" w:rsidR="000F0490" w:rsidRPr="009D65BE" w:rsidRDefault="000F5B51" w:rsidP="007550E2">
            <w:pPr>
              <w:spacing w:line="240" w:lineRule="auto"/>
              <w:jc w:val="center"/>
              <w:rPr>
                <w:rFonts w:eastAsia="Times New Roman" w:cs="Times New Roman"/>
                <w:color w:val="000000"/>
              </w:rPr>
            </w:pPr>
            <w:r>
              <w:rPr>
                <w:color w:val="000000"/>
                <w:sz w:val="22"/>
                <w:szCs w:val="22"/>
              </w:rPr>
              <w:t>0.6125</w:t>
            </w:r>
          </w:p>
        </w:tc>
        <w:tc>
          <w:tcPr>
            <w:tcW w:w="1876" w:type="dxa"/>
            <w:noWrap/>
            <w:vAlign w:val="center"/>
          </w:tcPr>
          <w:p w14:paraId="657B24FC" w14:textId="77777777" w:rsidR="000F0490" w:rsidRPr="009D65BE" w:rsidRDefault="000F5B51" w:rsidP="007550E2">
            <w:pPr>
              <w:spacing w:line="240" w:lineRule="auto"/>
              <w:jc w:val="center"/>
              <w:rPr>
                <w:rFonts w:eastAsia="Times New Roman" w:cs="Times New Roman"/>
                <w:color w:val="000000"/>
              </w:rPr>
            </w:pPr>
            <w:r>
              <w:rPr>
                <w:color w:val="000000"/>
              </w:rPr>
              <w:t>0.0004</w:t>
            </w:r>
          </w:p>
        </w:tc>
      </w:tr>
      <w:tr w:rsidR="00A15C2C" w14:paraId="310E2EBB" w14:textId="77777777" w:rsidTr="007550E2">
        <w:trPr>
          <w:trHeight w:val="306"/>
        </w:trPr>
        <w:tc>
          <w:tcPr>
            <w:tcW w:w="1157" w:type="dxa"/>
            <w:noWrap/>
            <w:vAlign w:val="center"/>
            <w:hideMark/>
          </w:tcPr>
          <w:p w14:paraId="75577A61" w14:textId="77777777" w:rsidR="000F0490" w:rsidRPr="009D65BE" w:rsidRDefault="000F5B51" w:rsidP="007550E2">
            <w:pPr>
              <w:spacing w:line="240" w:lineRule="auto"/>
              <w:rPr>
                <w:rFonts w:eastAsia="Times New Roman" w:cs="Times New Roman"/>
                <w:color w:val="000000"/>
              </w:rPr>
            </w:pPr>
            <w:r w:rsidRPr="009D65BE">
              <w:rPr>
                <w:rFonts w:eastAsia="Times New Roman" w:cs="Times New Roman"/>
                <w:color w:val="000000"/>
              </w:rPr>
              <w:t>Fatalities</w:t>
            </w:r>
          </w:p>
        </w:tc>
        <w:tc>
          <w:tcPr>
            <w:tcW w:w="1439" w:type="dxa"/>
            <w:noWrap/>
          </w:tcPr>
          <w:p w14:paraId="37FEE269" w14:textId="77777777" w:rsidR="000F0490" w:rsidRPr="009D65BE" w:rsidRDefault="000F5B51" w:rsidP="007550E2">
            <w:pPr>
              <w:spacing w:line="240" w:lineRule="auto"/>
              <w:jc w:val="center"/>
              <w:rPr>
                <w:rFonts w:eastAsia="Times New Roman" w:cs="Times New Roman"/>
                <w:color w:val="000000"/>
              </w:rPr>
            </w:pPr>
            <w:r w:rsidRPr="00C7629F">
              <w:t>0.1191</w:t>
            </w:r>
          </w:p>
        </w:tc>
        <w:tc>
          <w:tcPr>
            <w:tcW w:w="1917" w:type="dxa"/>
            <w:noWrap/>
            <w:vAlign w:val="center"/>
          </w:tcPr>
          <w:p w14:paraId="4840A3B2" w14:textId="77777777" w:rsidR="000F0490" w:rsidRPr="009D65BE" w:rsidRDefault="000F5B51" w:rsidP="007550E2">
            <w:pPr>
              <w:spacing w:line="240" w:lineRule="auto"/>
              <w:jc w:val="center"/>
              <w:rPr>
                <w:rFonts w:eastAsia="Times New Roman" w:cs="Times New Roman"/>
                <w:color w:val="000000"/>
              </w:rPr>
            </w:pPr>
            <w:r>
              <w:rPr>
                <w:color w:val="000000"/>
                <w:sz w:val="22"/>
                <w:szCs w:val="22"/>
              </w:rPr>
              <w:t>1.0000</w:t>
            </w:r>
          </w:p>
        </w:tc>
        <w:tc>
          <w:tcPr>
            <w:tcW w:w="1876" w:type="dxa"/>
            <w:noWrap/>
            <w:vAlign w:val="center"/>
          </w:tcPr>
          <w:p w14:paraId="72D4BD6D" w14:textId="77777777" w:rsidR="000F0490" w:rsidRPr="00325C3E" w:rsidRDefault="000F5B51" w:rsidP="007550E2">
            <w:pPr>
              <w:spacing w:line="240" w:lineRule="auto"/>
              <w:jc w:val="center"/>
              <w:rPr>
                <w:rFonts w:eastAsia="Times New Roman" w:cs="Times New Roman"/>
                <w:color w:val="000000"/>
              </w:rPr>
            </w:pPr>
            <w:r>
              <w:rPr>
                <w:color w:val="000000"/>
              </w:rPr>
              <w:t>0.1191</w:t>
            </w:r>
          </w:p>
        </w:tc>
        <w:tc>
          <w:tcPr>
            <w:tcW w:w="1157" w:type="dxa"/>
            <w:noWrap/>
            <w:vAlign w:val="center"/>
            <w:hideMark/>
          </w:tcPr>
          <w:p w14:paraId="6673EFAA" w14:textId="77777777" w:rsidR="000F0490" w:rsidRPr="009D65BE" w:rsidRDefault="000F5B51" w:rsidP="007550E2">
            <w:pPr>
              <w:spacing w:line="240" w:lineRule="auto"/>
              <w:rPr>
                <w:rFonts w:eastAsia="Times New Roman" w:cs="Times New Roman"/>
                <w:color w:val="000000"/>
              </w:rPr>
            </w:pPr>
            <w:r w:rsidRPr="009D65BE">
              <w:rPr>
                <w:rFonts w:eastAsia="Times New Roman" w:cs="Times New Roman"/>
                <w:color w:val="000000"/>
              </w:rPr>
              <w:t>Fatalities</w:t>
            </w:r>
          </w:p>
        </w:tc>
        <w:tc>
          <w:tcPr>
            <w:tcW w:w="1439" w:type="dxa"/>
            <w:noWrap/>
          </w:tcPr>
          <w:p w14:paraId="08BE2A59" w14:textId="77777777" w:rsidR="000F0490" w:rsidRPr="009D65BE" w:rsidRDefault="000F5B51" w:rsidP="007550E2">
            <w:pPr>
              <w:spacing w:line="240" w:lineRule="auto"/>
              <w:jc w:val="center"/>
              <w:rPr>
                <w:rFonts w:eastAsia="Times New Roman" w:cs="Times New Roman"/>
                <w:color w:val="000000"/>
              </w:rPr>
            </w:pPr>
            <w:r w:rsidRPr="00C7629F">
              <w:t>0.0962</w:t>
            </w:r>
          </w:p>
        </w:tc>
        <w:tc>
          <w:tcPr>
            <w:tcW w:w="1917" w:type="dxa"/>
            <w:noWrap/>
            <w:vAlign w:val="center"/>
          </w:tcPr>
          <w:p w14:paraId="026B46CB" w14:textId="77777777" w:rsidR="000F0490" w:rsidRPr="009D65BE" w:rsidRDefault="000F5B51" w:rsidP="007550E2">
            <w:pPr>
              <w:spacing w:line="240" w:lineRule="auto"/>
              <w:jc w:val="center"/>
              <w:rPr>
                <w:rFonts w:eastAsia="Times New Roman" w:cs="Times New Roman"/>
                <w:color w:val="000000"/>
              </w:rPr>
            </w:pPr>
            <w:r>
              <w:rPr>
                <w:color w:val="000000"/>
                <w:sz w:val="22"/>
                <w:szCs w:val="22"/>
              </w:rPr>
              <w:t>1.0000</w:t>
            </w:r>
          </w:p>
        </w:tc>
        <w:tc>
          <w:tcPr>
            <w:tcW w:w="1876" w:type="dxa"/>
            <w:noWrap/>
            <w:vAlign w:val="center"/>
          </w:tcPr>
          <w:p w14:paraId="68877E89" w14:textId="77777777" w:rsidR="000F0490" w:rsidRPr="009D65BE" w:rsidRDefault="000F5B51" w:rsidP="007550E2">
            <w:pPr>
              <w:spacing w:line="240" w:lineRule="auto"/>
              <w:jc w:val="center"/>
              <w:rPr>
                <w:rFonts w:eastAsia="Times New Roman" w:cs="Times New Roman"/>
                <w:color w:val="000000"/>
              </w:rPr>
            </w:pPr>
            <w:r>
              <w:rPr>
                <w:color w:val="000000"/>
              </w:rPr>
              <w:t>0.0962</w:t>
            </w:r>
          </w:p>
        </w:tc>
      </w:tr>
      <w:tr w:rsidR="00A15C2C" w14:paraId="3438C105" w14:textId="77777777" w:rsidTr="007550E2">
        <w:trPr>
          <w:trHeight w:val="306"/>
        </w:trPr>
        <w:tc>
          <w:tcPr>
            <w:tcW w:w="1157" w:type="dxa"/>
            <w:noWrap/>
            <w:vAlign w:val="center"/>
            <w:hideMark/>
          </w:tcPr>
          <w:p w14:paraId="08238811" w14:textId="77777777" w:rsidR="000F0490" w:rsidRPr="00726BAF" w:rsidRDefault="000F5B51" w:rsidP="007550E2">
            <w:pPr>
              <w:spacing w:line="240" w:lineRule="auto"/>
              <w:rPr>
                <w:rFonts w:eastAsia="Times New Roman" w:cs="Times New Roman"/>
                <w:b/>
                <w:bCs/>
                <w:color w:val="000000"/>
              </w:rPr>
            </w:pPr>
            <w:r w:rsidRPr="00726BAF">
              <w:rPr>
                <w:rFonts w:eastAsia="Times New Roman" w:cs="Times New Roman"/>
                <w:b/>
                <w:bCs/>
                <w:color w:val="000000"/>
              </w:rPr>
              <w:t>Total</w:t>
            </w:r>
          </w:p>
        </w:tc>
        <w:tc>
          <w:tcPr>
            <w:tcW w:w="1439" w:type="dxa"/>
            <w:noWrap/>
            <w:vAlign w:val="center"/>
            <w:hideMark/>
          </w:tcPr>
          <w:p w14:paraId="56279644" w14:textId="77777777" w:rsidR="000F0490" w:rsidRPr="00726BAF" w:rsidRDefault="000F0490" w:rsidP="007550E2">
            <w:pPr>
              <w:spacing w:line="240" w:lineRule="auto"/>
              <w:jc w:val="center"/>
              <w:rPr>
                <w:rFonts w:eastAsia="Times New Roman" w:cs="Times New Roman"/>
                <w:b/>
                <w:bCs/>
                <w:color w:val="000000"/>
              </w:rPr>
            </w:pPr>
          </w:p>
        </w:tc>
        <w:tc>
          <w:tcPr>
            <w:tcW w:w="1917" w:type="dxa"/>
            <w:noWrap/>
            <w:vAlign w:val="center"/>
          </w:tcPr>
          <w:p w14:paraId="47BCA158" w14:textId="77777777" w:rsidR="000F0490" w:rsidRPr="00726BAF" w:rsidRDefault="000F0490" w:rsidP="007550E2">
            <w:pPr>
              <w:spacing w:line="240" w:lineRule="auto"/>
              <w:jc w:val="center"/>
              <w:rPr>
                <w:rFonts w:eastAsia="Times New Roman" w:cs="Times New Roman"/>
                <w:b/>
                <w:bCs/>
              </w:rPr>
            </w:pPr>
          </w:p>
        </w:tc>
        <w:tc>
          <w:tcPr>
            <w:tcW w:w="1876" w:type="dxa"/>
            <w:noWrap/>
            <w:vAlign w:val="center"/>
          </w:tcPr>
          <w:p w14:paraId="2A86835D" w14:textId="77777777" w:rsidR="000F0490" w:rsidRPr="00726BAF" w:rsidRDefault="000F5B51" w:rsidP="007550E2">
            <w:pPr>
              <w:spacing w:line="240" w:lineRule="auto"/>
              <w:jc w:val="center"/>
              <w:rPr>
                <w:rFonts w:cs="Times New Roman"/>
                <w:b/>
                <w:bCs/>
                <w:color w:val="000000"/>
              </w:rPr>
            </w:pPr>
            <w:r>
              <w:rPr>
                <w:b/>
                <w:bCs/>
                <w:color w:val="000000"/>
              </w:rPr>
              <w:t>0.1337</w:t>
            </w:r>
          </w:p>
        </w:tc>
        <w:tc>
          <w:tcPr>
            <w:tcW w:w="1157" w:type="dxa"/>
            <w:noWrap/>
            <w:vAlign w:val="center"/>
            <w:hideMark/>
          </w:tcPr>
          <w:p w14:paraId="056A4AD3" w14:textId="77777777" w:rsidR="000F0490" w:rsidRPr="00726BAF" w:rsidRDefault="000F5B51" w:rsidP="007550E2">
            <w:pPr>
              <w:spacing w:line="240" w:lineRule="auto"/>
              <w:rPr>
                <w:rFonts w:eastAsia="Times New Roman" w:cs="Times New Roman"/>
                <w:b/>
                <w:bCs/>
                <w:color w:val="000000"/>
              </w:rPr>
            </w:pPr>
            <w:r w:rsidRPr="00726BAF">
              <w:rPr>
                <w:rFonts w:eastAsia="Times New Roman" w:cs="Times New Roman"/>
                <w:b/>
                <w:bCs/>
                <w:color w:val="000000"/>
              </w:rPr>
              <w:t>Total</w:t>
            </w:r>
          </w:p>
        </w:tc>
        <w:tc>
          <w:tcPr>
            <w:tcW w:w="1439" w:type="dxa"/>
            <w:noWrap/>
            <w:vAlign w:val="center"/>
            <w:hideMark/>
          </w:tcPr>
          <w:p w14:paraId="59C5316E" w14:textId="77777777" w:rsidR="000F0490" w:rsidRPr="00726BAF" w:rsidRDefault="000F0490" w:rsidP="007550E2">
            <w:pPr>
              <w:spacing w:line="240" w:lineRule="auto"/>
              <w:jc w:val="center"/>
              <w:rPr>
                <w:rFonts w:eastAsia="Times New Roman" w:cs="Times New Roman"/>
                <w:b/>
                <w:bCs/>
                <w:color w:val="000000"/>
              </w:rPr>
            </w:pPr>
          </w:p>
        </w:tc>
        <w:tc>
          <w:tcPr>
            <w:tcW w:w="1917" w:type="dxa"/>
            <w:noWrap/>
            <w:vAlign w:val="center"/>
          </w:tcPr>
          <w:p w14:paraId="7D062C50" w14:textId="77777777" w:rsidR="000F0490" w:rsidRPr="00726BAF" w:rsidRDefault="000F0490" w:rsidP="007550E2">
            <w:pPr>
              <w:spacing w:line="240" w:lineRule="auto"/>
              <w:jc w:val="center"/>
              <w:rPr>
                <w:rFonts w:eastAsia="Times New Roman" w:cs="Times New Roman"/>
                <w:b/>
                <w:bCs/>
              </w:rPr>
            </w:pPr>
          </w:p>
        </w:tc>
        <w:tc>
          <w:tcPr>
            <w:tcW w:w="1876" w:type="dxa"/>
            <w:noWrap/>
            <w:vAlign w:val="center"/>
          </w:tcPr>
          <w:p w14:paraId="70DEF3B8" w14:textId="77777777" w:rsidR="000F0490" w:rsidRPr="00726BAF" w:rsidRDefault="000F5B51" w:rsidP="007550E2">
            <w:pPr>
              <w:spacing w:line="240" w:lineRule="auto"/>
              <w:jc w:val="center"/>
              <w:rPr>
                <w:rFonts w:eastAsia="Times New Roman" w:cs="Times New Roman"/>
                <w:b/>
                <w:bCs/>
                <w:color w:val="000000"/>
              </w:rPr>
            </w:pPr>
            <w:r>
              <w:rPr>
                <w:b/>
                <w:bCs/>
                <w:color w:val="000000"/>
              </w:rPr>
              <w:t>0.1081</w:t>
            </w:r>
          </w:p>
        </w:tc>
      </w:tr>
    </w:tbl>
    <w:p w14:paraId="0051BB4E" w14:textId="77777777" w:rsidR="000F0490" w:rsidRDefault="000F5B51" w:rsidP="000F0490">
      <w:pPr>
        <w:spacing w:after="0"/>
        <w:rPr>
          <w:rFonts w:eastAsia="Times New Roman" w:cs="Times New Roman"/>
          <w:color w:val="000000"/>
          <w:szCs w:val="24"/>
          <w:highlight w:val="yellow"/>
        </w:rPr>
      </w:pPr>
      <w:r w:rsidRPr="00572735">
        <w:rPr>
          <w:sz w:val="18"/>
          <w:szCs w:val="16"/>
        </w:rPr>
        <w:t>Note: Values may not sum due to rounding</w:t>
      </w:r>
      <w:r>
        <w:rPr>
          <w:sz w:val="18"/>
          <w:szCs w:val="16"/>
        </w:rPr>
        <w:t>.</w:t>
      </w:r>
    </w:p>
    <w:p w14:paraId="5A8B54AF" w14:textId="02C5DF25" w:rsidR="000F0490" w:rsidRDefault="000F5B51" w:rsidP="000F0490">
      <w:pPr>
        <w:pStyle w:val="Caption"/>
        <w:rPr>
          <w:rFonts w:eastAsia="Times New Roman" w:cs="Times New Roman"/>
          <w:color w:val="000000"/>
          <w:szCs w:val="24"/>
          <w:highlight w:val="yellow"/>
        </w:rPr>
      </w:pPr>
      <w:bookmarkStart w:id="1750" w:name="_Ref128036861"/>
      <w:r>
        <w:t xml:space="preserve">Table </w:t>
      </w:r>
      <w:r w:rsidR="00115BAB">
        <w:fldChar w:fldCharType="begin"/>
      </w:r>
      <w:r>
        <w:instrText xml:space="preserve"> SEQ Table \* ARABIC </w:instrText>
      </w:r>
      <w:r w:rsidR="00115BAB">
        <w:fldChar w:fldCharType="separate"/>
      </w:r>
      <w:r w:rsidR="00A65CB3">
        <w:rPr>
          <w:noProof/>
        </w:rPr>
        <w:t>91</w:t>
      </w:r>
      <w:r w:rsidR="00115BAB">
        <w:rPr>
          <w:noProof/>
        </w:rPr>
        <w:fldChar w:fldCharType="end"/>
      </w:r>
      <w:bookmarkEnd w:id="1750"/>
      <w:r>
        <w:t>: Annual Monetized Benefits by Discounted Rate</w:t>
      </w:r>
    </w:p>
    <w:tbl>
      <w:tblPr>
        <w:tblStyle w:val="TableGrid3"/>
        <w:tblW w:w="12878" w:type="dxa"/>
        <w:tblLook w:val="04A0" w:firstRow="1" w:lastRow="0" w:firstColumn="1" w:lastColumn="0" w:noHBand="0" w:noVBand="1"/>
      </w:tblPr>
      <w:tblGrid>
        <w:gridCol w:w="1166"/>
        <w:gridCol w:w="1450"/>
        <w:gridCol w:w="1932"/>
        <w:gridCol w:w="1891"/>
        <w:gridCol w:w="1166"/>
        <w:gridCol w:w="1450"/>
        <w:gridCol w:w="1932"/>
        <w:gridCol w:w="1891"/>
      </w:tblGrid>
      <w:tr w:rsidR="00A15C2C" w14:paraId="647CCD3A" w14:textId="77777777" w:rsidTr="007550E2">
        <w:trPr>
          <w:trHeight w:val="311"/>
        </w:trPr>
        <w:tc>
          <w:tcPr>
            <w:tcW w:w="1166" w:type="dxa"/>
            <w:shd w:val="clear" w:color="auto" w:fill="D9D9D9" w:themeFill="background1" w:themeFillShade="D9"/>
            <w:noWrap/>
            <w:vAlign w:val="center"/>
            <w:hideMark/>
          </w:tcPr>
          <w:p w14:paraId="2E3CA401" w14:textId="77777777" w:rsidR="000F0490" w:rsidRPr="00CC4686" w:rsidRDefault="000F5B51" w:rsidP="007550E2">
            <w:pPr>
              <w:spacing w:line="240" w:lineRule="auto"/>
              <w:rPr>
                <w:rFonts w:eastAsia="Times New Roman" w:cs="Times New Roman"/>
                <w:b/>
                <w:bCs/>
                <w:color w:val="000000"/>
              </w:rPr>
            </w:pPr>
            <w:r w:rsidRPr="00CC4686">
              <w:rPr>
                <w:rFonts w:eastAsia="Times New Roman" w:cs="Times New Roman"/>
                <w:b/>
                <w:bCs/>
                <w:color w:val="000000"/>
              </w:rPr>
              <w:t>Injury Severity</w:t>
            </w:r>
          </w:p>
        </w:tc>
        <w:tc>
          <w:tcPr>
            <w:tcW w:w="1450" w:type="dxa"/>
            <w:shd w:val="clear" w:color="auto" w:fill="D9D9D9" w:themeFill="background1" w:themeFillShade="D9"/>
            <w:noWrap/>
            <w:vAlign w:val="center"/>
            <w:hideMark/>
          </w:tcPr>
          <w:p w14:paraId="676C87D6" w14:textId="77777777" w:rsidR="000F0490" w:rsidRPr="00CC4686" w:rsidRDefault="000F5B51" w:rsidP="007550E2">
            <w:pPr>
              <w:spacing w:line="240" w:lineRule="auto"/>
              <w:jc w:val="center"/>
              <w:rPr>
                <w:rFonts w:eastAsia="Times New Roman" w:cs="Times New Roman"/>
                <w:b/>
                <w:bCs/>
                <w:color w:val="000000"/>
              </w:rPr>
            </w:pPr>
            <w:r>
              <w:rPr>
                <w:rFonts w:eastAsia="Times New Roman" w:cs="Times New Roman"/>
                <w:b/>
                <w:bCs/>
                <w:color w:val="000000"/>
              </w:rPr>
              <w:t>Discounted Benefits at 3%</w:t>
            </w:r>
          </w:p>
        </w:tc>
        <w:tc>
          <w:tcPr>
            <w:tcW w:w="1932" w:type="dxa"/>
            <w:shd w:val="clear" w:color="auto" w:fill="D9D9D9" w:themeFill="background1" w:themeFillShade="D9"/>
            <w:noWrap/>
            <w:vAlign w:val="center"/>
            <w:hideMark/>
          </w:tcPr>
          <w:p w14:paraId="49A415E7" w14:textId="77777777" w:rsidR="000F0490" w:rsidRPr="00CC4686" w:rsidRDefault="000F5B51" w:rsidP="007550E2">
            <w:pPr>
              <w:spacing w:line="240" w:lineRule="auto"/>
              <w:jc w:val="center"/>
              <w:rPr>
                <w:rFonts w:eastAsia="Times New Roman" w:cs="Times New Roman"/>
                <w:b/>
                <w:bCs/>
              </w:rPr>
            </w:pPr>
            <w:r w:rsidRPr="00CC4686">
              <w:rPr>
                <w:rFonts w:eastAsia="Times New Roman" w:cs="Times New Roman"/>
                <w:b/>
                <w:szCs w:val="22"/>
              </w:rPr>
              <w:t>Comprehensive Unit Costs</w:t>
            </w:r>
          </w:p>
        </w:tc>
        <w:tc>
          <w:tcPr>
            <w:tcW w:w="1891" w:type="dxa"/>
            <w:shd w:val="clear" w:color="auto" w:fill="D9D9D9" w:themeFill="background1" w:themeFillShade="D9"/>
            <w:noWrap/>
            <w:vAlign w:val="center"/>
            <w:hideMark/>
          </w:tcPr>
          <w:p w14:paraId="36E90DBE" w14:textId="77777777" w:rsidR="000F0490" w:rsidRPr="00CC4686" w:rsidRDefault="000F5B51" w:rsidP="007550E2">
            <w:pPr>
              <w:spacing w:line="240" w:lineRule="auto"/>
              <w:jc w:val="center"/>
              <w:rPr>
                <w:rFonts w:eastAsia="Times New Roman" w:cs="Times New Roman"/>
                <w:b/>
                <w:bCs/>
                <w:color w:val="000000"/>
              </w:rPr>
            </w:pPr>
            <w:r w:rsidRPr="00CC4686">
              <w:rPr>
                <w:rFonts w:eastAsia="Times New Roman" w:cs="Times New Roman"/>
                <w:b/>
                <w:bCs/>
                <w:color w:val="000000"/>
              </w:rPr>
              <w:t>Monetized Benefits</w:t>
            </w:r>
          </w:p>
        </w:tc>
        <w:tc>
          <w:tcPr>
            <w:tcW w:w="1166" w:type="dxa"/>
            <w:shd w:val="clear" w:color="auto" w:fill="D9D9D9" w:themeFill="background1" w:themeFillShade="D9"/>
            <w:noWrap/>
            <w:vAlign w:val="center"/>
            <w:hideMark/>
          </w:tcPr>
          <w:p w14:paraId="25C10F29" w14:textId="77777777" w:rsidR="000F0490" w:rsidRPr="00CC4686" w:rsidRDefault="000F5B51" w:rsidP="007550E2">
            <w:pPr>
              <w:spacing w:line="240" w:lineRule="auto"/>
              <w:rPr>
                <w:rFonts w:eastAsia="Times New Roman" w:cs="Times New Roman"/>
                <w:b/>
                <w:bCs/>
                <w:color w:val="000000"/>
              </w:rPr>
            </w:pPr>
            <w:r w:rsidRPr="00CC4686">
              <w:rPr>
                <w:rFonts w:eastAsia="Times New Roman" w:cs="Times New Roman"/>
                <w:b/>
                <w:bCs/>
                <w:color w:val="000000"/>
              </w:rPr>
              <w:t>Injury Severity</w:t>
            </w:r>
          </w:p>
        </w:tc>
        <w:tc>
          <w:tcPr>
            <w:tcW w:w="1450" w:type="dxa"/>
            <w:shd w:val="clear" w:color="auto" w:fill="D9D9D9" w:themeFill="background1" w:themeFillShade="D9"/>
            <w:noWrap/>
            <w:vAlign w:val="center"/>
            <w:hideMark/>
          </w:tcPr>
          <w:p w14:paraId="7A6F6943" w14:textId="77777777" w:rsidR="000F0490" w:rsidRPr="00CC4686" w:rsidRDefault="000F5B51" w:rsidP="007550E2">
            <w:pPr>
              <w:spacing w:line="240" w:lineRule="auto"/>
              <w:jc w:val="center"/>
              <w:rPr>
                <w:rFonts w:eastAsia="Times New Roman" w:cs="Times New Roman"/>
                <w:b/>
                <w:bCs/>
                <w:color w:val="000000"/>
              </w:rPr>
            </w:pPr>
            <w:r>
              <w:rPr>
                <w:rFonts w:eastAsia="Times New Roman" w:cs="Times New Roman"/>
                <w:b/>
                <w:bCs/>
                <w:color w:val="000000"/>
              </w:rPr>
              <w:t>Discounted Benefits at 7%</w:t>
            </w:r>
          </w:p>
        </w:tc>
        <w:tc>
          <w:tcPr>
            <w:tcW w:w="1932" w:type="dxa"/>
            <w:shd w:val="clear" w:color="auto" w:fill="D9D9D9" w:themeFill="background1" w:themeFillShade="D9"/>
            <w:noWrap/>
            <w:vAlign w:val="center"/>
            <w:hideMark/>
          </w:tcPr>
          <w:p w14:paraId="1F263996" w14:textId="77777777" w:rsidR="000F0490" w:rsidRPr="00CC4686" w:rsidRDefault="000F5B51" w:rsidP="007550E2">
            <w:pPr>
              <w:spacing w:line="240" w:lineRule="auto"/>
              <w:jc w:val="center"/>
              <w:rPr>
                <w:rFonts w:eastAsia="Times New Roman" w:cs="Times New Roman"/>
                <w:b/>
                <w:bCs/>
              </w:rPr>
            </w:pPr>
            <w:r w:rsidRPr="00CC4686">
              <w:rPr>
                <w:rFonts w:eastAsia="Times New Roman" w:cs="Times New Roman"/>
                <w:b/>
                <w:szCs w:val="22"/>
              </w:rPr>
              <w:t>Comprehensive Unit Costs</w:t>
            </w:r>
          </w:p>
        </w:tc>
        <w:tc>
          <w:tcPr>
            <w:tcW w:w="1891" w:type="dxa"/>
            <w:shd w:val="clear" w:color="auto" w:fill="D9D9D9" w:themeFill="background1" w:themeFillShade="D9"/>
            <w:noWrap/>
            <w:vAlign w:val="center"/>
            <w:hideMark/>
          </w:tcPr>
          <w:p w14:paraId="187BE7EA" w14:textId="77777777" w:rsidR="000F0490" w:rsidRPr="00CC4686" w:rsidRDefault="000F5B51" w:rsidP="007550E2">
            <w:pPr>
              <w:spacing w:line="240" w:lineRule="auto"/>
              <w:jc w:val="center"/>
              <w:rPr>
                <w:rFonts w:eastAsia="Times New Roman" w:cs="Times New Roman"/>
                <w:b/>
                <w:bCs/>
                <w:color w:val="000000"/>
              </w:rPr>
            </w:pPr>
            <w:r w:rsidRPr="00CC4686">
              <w:rPr>
                <w:rFonts w:eastAsia="Times New Roman" w:cs="Times New Roman"/>
                <w:b/>
                <w:bCs/>
                <w:color w:val="000000"/>
              </w:rPr>
              <w:t>Monetized Benefits</w:t>
            </w:r>
          </w:p>
        </w:tc>
      </w:tr>
      <w:tr w:rsidR="00A15C2C" w14:paraId="02EE90BF" w14:textId="77777777" w:rsidTr="007550E2">
        <w:trPr>
          <w:trHeight w:val="311"/>
        </w:trPr>
        <w:tc>
          <w:tcPr>
            <w:tcW w:w="1166" w:type="dxa"/>
            <w:noWrap/>
            <w:vAlign w:val="center"/>
            <w:hideMark/>
          </w:tcPr>
          <w:p w14:paraId="22DA2661" w14:textId="77777777" w:rsidR="000F0490" w:rsidRPr="00CC4686" w:rsidRDefault="000F5B51" w:rsidP="007550E2">
            <w:pPr>
              <w:spacing w:line="240" w:lineRule="auto"/>
              <w:rPr>
                <w:rFonts w:eastAsia="Times New Roman" w:cs="Times New Roman"/>
                <w:color w:val="000000"/>
              </w:rPr>
            </w:pPr>
            <w:r w:rsidRPr="00CC4686">
              <w:rPr>
                <w:rFonts w:eastAsia="Times New Roman" w:cs="Times New Roman"/>
                <w:color w:val="000000"/>
              </w:rPr>
              <w:t>MAIS 1</w:t>
            </w:r>
          </w:p>
        </w:tc>
        <w:tc>
          <w:tcPr>
            <w:tcW w:w="1450" w:type="dxa"/>
            <w:noWrap/>
          </w:tcPr>
          <w:p w14:paraId="25FF17D4" w14:textId="77777777" w:rsidR="000F0490" w:rsidRPr="00CC4686" w:rsidRDefault="000F5B51" w:rsidP="007550E2">
            <w:pPr>
              <w:spacing w:line="240" w:lineRule="auto"/>
              <w:jc w:val="center"/>
              <w:rPr>
                <w:rFonts w:eastAsia="Times New Roman" w:cs="Times New Roman"/>
                <w:color w:val="000000"/>
              </w:rPr>
            </w:pPr>
            <w:r w:rsidRPr="00C7629F">
              <w:t>0.0398</w:t>
            </w:r>
          </w:p>
        </w:tc>
        <w:tc>
          <w:tcPr>
            <w:tcW w:w="1932" w:type="dxa"/>
            <w:noWrap/>
            <w:vAlign w:val="center"/>
            <w:hideMark/>
          </w:tcPr>
          <w:p w14:paraId="4641E985" w14:textId="77777777" w:rsidR="000F0490" w:rsidRPr="00CC4686" w:rsidRDefault="000F5B51" w:rsidP="007550E2">
            <w:pPr>
              <w:spacing w:line="240" w:lineRule="auto"/>
              <w:jc w:val="center"/>
              <w:rPr>
                <w:rFonts w:eastAsia="Times New Roman" w:cs="Times New Roman"/>
                <w:color w:val="000000"/>
              </w:rPr>
            </w:pPr>
            <w:r w:rsidRPr="00CC4686">
              <w:rPr>
                <w:rFonts w:eastAsia="Times New Roman" w:cs="Times New Roman"/>
                <w:color w:val="000000"/>
              </w:rPr>
              <w:t>$56,035</w:t>
            </w:r>
          </w:p>
        </w:tc>
        <w:tc>
          <w:tcPr>
            <w:tcW w:w="1891" w:type="dxa"/>
            <w:noWrap/>
            <w:vAlign w:val="center"/>
          </w:tcPr>
          <w:p w14:paraId="69A8746C" w14:textId="77777777" w:rsidR="000F0490" w:rsidRPr="00CC4686" w:rsidRDefault="000F5B51" w:rsidP="007550E2">
            <w:pPr>
              <w:spacing w:line="240" w:lineRule="auto"/>
              <w:jc w:val="center"/>
              <w:rPr>
                <w:rFonts w:eastAsia="Times New Roman" w:cs="Times New Roman"/>
                <w:color w:val="000000"/>
              </w:rPr>
            </w:pPr>
            <w:r>
              <w:rPr>
                <w:color w:val="000000"/>
              </w:rPr>
              <w:t xml:space="preserve">$2,228 </w:t>
            </w:r>
          </w:p>
        </w:tc>
        <w:tc>
          <w:tcPr>
            <w:tcW w:w="1166" w:type="dxa"/>
            <w:noWrap/>
            <w:vAlign w:val="center"/>
            <w:hideMark/>
          </w:tcPr>
          <w:p w14:paraId="7E873CA8" w14:textId="77777777" w:rsidR="000F0490" w:rsidRPr="00CC4686" w:rsidRDefault="000F5B51" w:rsidP="007550E2">
            <w:pPr>
              <w:spacing w:line="240" w:lineRule="auto"/>
              <w:rPr>
                <w:rFonts w:eastAsia="Times New Roman" w:cs="Times New Roman"/>
                <w:color w:val="000000"/>
              </w:rPr>
            </w:pPr>
            <w:r w:rsidRPr="00CC4686">
              <w:rPr>
                <w:rFonts w:eastAsia="Times New Roman" w:cs="Times New Roman"/>
                <w:color w:val="000000"/>
              </w:rPr>
              <w:t>MAIS 1</w:t>
            </w:r>
          </w:p>
        </w:tc>
        <w:tc>
          <w:tcPr>
            <w:tcW w:w="1450" w:type="dxa"/>
            <w:noWrap/>
          </w:tcPr>
          <w:p w14:paraId="252EE8AD" w14:textId="77777777" w:rsidR="000F0490" w:rsidRPr="00CC4686" w:rsidRDefault="000F5B51" w:rsidP="007550E2">
            <w:pPr>
              <w:spacing w:line="240" w:lineRule="auto"/>
              <w:jc w:val="center"/>
              <w:rPr>
                <w:rFonts w:eastAsia="Times New Roman" w:cs="Times New Roman"/>
                <w:color w:val="000000"/>
              </w:rPr>
            </w:pPr>
            <w:r w:rsidRPr="00C7629F">
              <w:t>0.0321</w:t>
            </w:r>
          </w:p>
        </w:tc>
        <w:tc>
          <w:tcPr>
            <w:tcW w:w="1932" w:type="dxa"/>
            <w:noWrap/>
            <w:vAlign w:val="center"/>
            <w:hideMark/>
          </w:tcPr>
          <w:p w14:paraId="13A10134" w14:textId="77777777" w:rsidR="000F0490" w:rsidRPr="00CC4686" w:rsidRDefault="000F5B51" w:rsidP="007550E2">
            <w:pPr>
              <w:spacing w:line="240" w:lineRule="auto"/>
              <w:jc w:val="center"/>
              <w:rPr>
                <w:rFonts w:eastAsia="Times New Roman" w:cs="Times New Roman"/>
                <w:color w:val="000000"/>
              </w:rPr>
            </w:pPr>
            <w:r w:rsidRPr="00CC4686">
              <w:rPr>
                <w:rFonts w:eastAsia="Times New Roman" w:cs="Times New Roman"/>
                <w:color w:val="000000"/>
              </w:rPr>
              <w:t>$56,035</w:t>
            </w:r>
          </w:p>
        </w:tc>
        <w:tc>
          <w:tcPr>
            <w:tcW w:w="1891" w:type="dxa"/>
            <w:noWrap/>
            <w:vAlign w:val="center"/>
          </w:tcPr>
          <w:p w14:paraId="22B7DEE4" w14:textId="77777777" w:rsidR="000F0490" w:rsidRPr="00CC4686" w:rsidRDefault="000F5B51" w:rsidP="007550E2">
            <w:pPr>
              <w:spacing w:line="240" w:lineRule="auto"/>
              <w:jc w:val="center"/>
              <w:rPr>
                <w:rFonts w:eastAsia="Times New Roman" w:cs="Times New Roman"/>
                <w:color w:val="000000"/>
              </w:rPr>
            </w:pPr>
            <w:r>
              <w:rPr>
                <w:color w:val="000000"/>
              </w:rPr>
              <w:t>$1,800</w:t>
            </w:r>
          </w:p>
        </w:tc>
      </w:tr>
      <w:tr w:rsidR="00A15C2C" w14:paraId="25CC8815" w14:textId="77777777" w:rsidTr="007550E2">
        <w:trPr>
          <w:trHeight w:val="311"/>
        </w:trPr>
        <w:tc>
          <w:tcPr>
            <w:tcW w:w="1166" w:type="dxa"/>
            <w:noWrap/>
            <w:vAlign w:val="center"/>
            <w:hideMark/>
          </w:tcPr>
          <w:p w14:paraId="1533A08B" w14:textId="77777777" w:rsidR="000F0490" w:rsidRPr="00CC4686" w:rsidRDefault="000F5B51" w:rsidP="007550E2">
            <w:pPr>
              <w:spacing w:line="240" w:lineRule="auto"/>
              <w:rPr>
                <w:rFonts w:eastAsia="Times New Roman" w:cs="Times New Roman"/>
                <w:color w:val="000000"/>
              </w:rPr>
            </w:pPr>
            <w:r w:rsidRPr="00CC4686">
              <w:rPr>
                <w:rFonts w:eastAsia="Times New Roman" w:cs="Times New Roman"/>
                <w:color w:val="000000"/>
              </w:rPr>
              <w:t>MAIS 2</w:t>
            </w:r>
          </w:p>
        </w:tc>
        <w:tc>
          <w:tcPr>
            <w:tcW w:w="1450" w:type="dxa"/>
            <w:noWrap/>
          </w:tcPr>
          <w:p w14:paraId="78A2ADF7" w14:textId="77777777" w:rsidR="000F0490" w:rsidRPr="00CC4686" w:rsidRDefault="000F5B51" w:rsidP="007550E2">
            <w:pPr>
              <w:spacing w:line="240" w:lineRule="auto"/>
              <w:jc w:val="center"/>
              <w:rPr>
                <w:rFonts w:eastAsia="Times New Roman" w:cs="Times New Roman"/>
                <w:color w:val="000000"/>
              </w:rPr>
            </w:pPr>
            <w:r w:rsidRPr="00C7629F">
              <w:t>0.1932</w:t>
            </w:r>
          </w:p>
        </w:tc>
        <w:tc>
          <w:tcPr>
            <w:tcW w:w="1932" w:type="dxa"/>
            <w:noWrap/>
            <w:vAlign w:val="center"/>
            <w:hideMark/>
          </w:tcPr>
          <w:p w14:paraId="13F8D9CA" w14:textId="77777777" w:rsidR="000F0490" w:rsidRPr="00CC4686" w:rsidRDefault="000F5B51" w:rsidP="007550E2">
            <w:pPr>
              <w:spacing w:line="240" w:lineRule="auto"/>
              <w:jc w:val="center"/>
              <w:rPr>
                <w:rFonts w:eastAsia="Times New Roman" w:cs="Times New Roman"/>
                <w:color w:val="000000"/>
              </w:rPr>
            </w:pPr>
            <w:r w:rsidRPr="00CC4686">
              <w:rPr>
                <w:rFonts w:eastAsia="Times New Roman" w:cs="Times New Roman"/>
                <w:color w:val="000000"/>
              </w:rPr>
              <w:t>$553,146</w:t>
            </w:r>
          </w:p>
        </w:tc>
        <w:tc>
          <w:tcPr>
            <w:tcW w:w="1891" w:type="dxa"/>
            <w:noWrap/>
            <w:vAlign w:val="center"/>
          </w:tcPr>
          <w:p w14:paraId="4CC7D401" w14:textId="77777777" w:rsidR="000F0490" w:rsidRPr="00CC4686" w:rsidRDefault="000F5B51" w:rsidP="007550E2">
            <w:pPr>
              <w:spacing w:line="240" w:lineRule="auto"/>
              <w:jc w:val="center"/>
              <w:rPr>
                <w:rFonts w:eastAsia="Times New Roman" w:cs="Times New Roman"/>
                <w:color w:val="000000"/>
              </w:rPr>
            </w:pPr>
            <w:r>
              <w:rPr>
                <w:color w:val="000000"/>
              </w:rPr>
              <w:t xml:space="preserve">$106,889 </w:t>
            </w:r>
          </w:p>
        </w:tc>
        <w:tc>
          <w:tcPr>
            <w:tcW w:w="1166" w:type="dxa"/>
            <w:noWrap/>
            <w:vAlign w:val="center"/>
            <w:hideMark/>
          </w:tcPr>
          <w:p w14:paraId="291CF7FE" w14:textId="77777777" w:rsidR="000F0490" w:rsidRPr="00CC4686" w:rsidRDefault="000F5B51" w:rsidP="007550E2">
            <w:pPr>
              <w:spacing w:line="240" w:lineRule="auto"/>
              <w:rPr>
                <w:rFonts w:eastAsia="Times New Roman" w:cs="Times New Roman"/>
                <w:color w:val="000000"/>
              </w:rPr>
            </w:pPr>
            <w:r w:rsidRPr="00CC4686">
              <w:rPr>
                <w:rFonts w:eastAsia="Times New Roman" w:cs="Times New Roman"/>
                <w:color w:val="000000"/>
              </w:rPr>
              <w:t>MAIS 2</w:t>
            </w:r>
          </w:p>
        </w:tc>
        <w:tc>
          <w:tcPr>
            <w:tcW w:w="1450" w:type="dxa"/>
            <w:noWrap/>
          </w:tcPr>
          <w:p w14:paraId="576285A4" w14:textId="77777777" w:rsidR="000F0490" w:rsidRPr="00CC4686" w:rsidRDefault="000F5B51" w:rsidP="007550E2">
            <w:pPr>
              <w:spacing w:line="240" w:lineRule="auto"/>
              <w:jc w:val="center"/>
              <w:rPr>
                <w:rFonts w:eastAsia="Times New Roman" w:cs="Times New Roman"/>
                <w:color w:val="000000"/>
              </w:rPr>
            </w:pPr>
            <w:r w:rsidRPr="00C7629F">
              <w:t>0.1562</w:t>
            </w:r>
          </w:p>
        </w:tc>
        <w:tc>
          <w:tcPr>
            <w:tcW w:w="1932" w:type="dxa"/>
            <w:noWrap/>
            <w:vAlign w:val="center"/>
            <w:hideMark/>
          </w:tcPr>
          <w:p w14:paraId="79ADD185" w14:textId="77777777" w:rsidR="000F0490" w:rsidRPr="00CC4686" w:rsidRDefault="000F5B51" w:rsidP="007550E2">
            <w:pPr>
              <w:spacing w:line="240" w:lineRule="auto"/>
              <w:jc w:val="center"/>
              <w:rPr>
                <w:rFonts w:eastAsia="Times New Roman" w:cs="Times New Roman"/>
                <w:color w:val="000000"/>
              </w:rPr>
            </w:pPr>
            <w:r w:rsidRPr="00CC4686">
              <w:rPr>
                <w:rFonts w:eastAsia="Times New Roman" w:cs="Times New Roman"/>
                <w:color w:val="000000"/>
              </w:rPr>
              <w:t>$553,146</w:t>
            </w:r>
          </w:p>
        </w:tc>
        <w:tc>
          <w:tcPr>
            <w:tcW w:w="1891" w:type="dxa"/>
            <w:noWrap/>
            <w:vAlign w:val="center"/>
          </w:tcPr>
          <w:p w14:paraId="1C4BDF91" w14:textId="77777777" w:rsidR="000F0490" w:rsidRPr="00CC4686" w:rsidRDefault="000F5B51" w:rsidP="007550E2">
            <w:pPr>
              <w:spacing w:line="240" w:lineRule="auto"/>
              <w:jc w:val="center"/>
              <w:rPr>
                <w:rFonts w:eastAsia="Times New Roman" w:cs="Times New Roman"/>
                <w:color w:val="000000"/>
              </w:rPr>
            </w:pPr>
            <w:r>
              <w:rPr>
                <w:color w:val="000000"/>
              </w:rPr>
              <w:t>$86,406</w:t>
            </w:r>
          </w:p>
        </w:tc>
      </w:tr>
      <w:tr w:rsidR="00A15C2C" w14:paraId="5C94AC01" w14:textId="77777777" w:rsidTr="007550E2">
        <w:trPr>
          <w:trHeight w:val="311"/>
        </w:trPr>
        <w:tc>
          <w:tcPr>
            <w:tcW w:w="1166" w:type="dxa"/>
            <w:noWrap/>
            <w:vAlign w:val="center"/>
            <w:hideMark/>
          </w:tcPr>
          <w:p w14:paraId="328D4F44" w14:textId="77777777" w:rsidR="000F0490" w:rsidRPr="00CC4686" w:rsidRDefault="000F5B51" w:rsidP="007550E2">
            <w:pPr>
              <w:spacing w:line="240" w:lineRule="auto"/>
              <w:rPr>
                <w:rFonts w:eastAsia="Times New Roman" w:cs="Times New Roman"/>
                <w:color w:val="000000"/>
              </w:rPr>
            </w:pPr>
            <w:r w:rsidRPr="00CC4686">
              <w:rPr>
                <w:rFonts w:eastAsia="Times New Roman" w:cs="Times New Roman"/>
                <w:color w:val="000000"/>
              </w:rPr>
              <w:t>MAIS 3</w:t>
            </w:r>
          </w:p>
        </w:tc>
        <w:tc>
          <w:tcPr>
            <w:tcW w:w="1450" w:type="dxa"/>
            <w:noWrap/>
          </w:tcPr>
          <w:p w14:paraId="7226C209" w14:textId="77777777" w:rsidR="000F0490" w:rsidRPr="00CC4686" w:rsidRDefault="000F5B51" w:rsidP="007550E2">
            <w:pPr>
              <w:spacing w:line="240" w:lineRule="auto"/>
              <w:jc w:val="center"/>
              <w:rPr>
                <w:rFonts w:eastAsia="Times New Roman" w:cs="Times New Roman"/>
                <w:color w:val="000000"/>
              </w:rPr>
            </w:pPr>
            <w:r w:rsidRPr="00C7629F">
              <w:t>0.0117</w:t>
            </w:r>
          </w:p>
        </w:tc>
        <w:tc>
          <w:tcPr>
            <w:tcW w:w="1932" w:type="dxa"/>
            <w:noWrap/>
            <w:vAlign w:val="center"/>
            <w:hideMark/>
          </w:tcPr>
          <w:p w14:paraId="53EEC768" w14:textId="77777777" w:rsidR="000F0490" w:rsidRPr="00CC4686" w:rsidRDefault="000F5B51" w:rsidP="007550E2">
            <w:pPr>
              <w:spacing w:line="240" w:lineRule="auto"/>
              <w:jc w:val="center"/>
              <w:rPr>
                <w:rFonts w:eastAsia="Times New Roman" w:cs="Times New Roman"/>
                <w:color w:val="000000"/>
              </w:rPr>
            </w:pPr>
            <w:r w:rsidRPr="00CC4686">
              <w:rPr>
                <w:rFonts w:eastAsia="Times New Roman" w:cs="Times New Roman"/>
                <w:color w:val="000000"/>
              </w:rPr>
              <w:t>$1,307,335</w:t>
            </w:r>
          </w:p>
        </w:tc>
        <w:tc>
          <w:tcPr>
            <w:tcW w:w="1891" w:type="dxa"/>
            <w:noWrap/>
            <w:vAlign w:val="center"/>
          </w:tcPr>
          <w:p w14:paraId="0A64CF9B" w14:textId="77777777" w:rsidR="000F0490" w:rsidRPr="00CC4686" w:rsidRDefault="000F5B51" w:rsidP="007550E2">
            <w:pPr>
              <w:spacing w:line="240" w:lineRule="auto"/>
              <w:jc w:val="center"/>
              <w:rPr>
                <w:rFonts w:eastAsia="Times New Roman" w:cs="Times New Roman"/>
                <w:color w:val="000000"/>
              </w:rPr>
            </w:pPr>
            <w:r>
              <w:rPr>
                <w:color w:val="000000"/>
              </w:rPr>
              <w:t xml:space="preserve">$15,360 </w:t>
            </w:r>
          </w:p>
        </w:tc>
        <w:tc>
          <w:tcPr>
            <w:tcW w:w="1166" w:type="dxa"/>
            <w:noWrap/>
            <w:vAlign w:val="center"/>
            <w:hideMark/>
          </w:tcPr>
          <w:p w14:paraId="587D1339" w14:textId="77777777" w:rsidR="000F0490" w:rsidRPr="00CC4686" w:rsidRDefault="000F5B51" w:rsidP="007550E2">
            <w:pPr>
              <w:spacing w:line="240" w:lineRule="auto"/>
              <w:rPr>
                <w:rFonts w:eastAsia="Times New Roman" w:cs="Times New Roman"/>
                <w:color w:val="000000"/>
              </w:rPr>
            </w:pPr>
            <w:r w:rsidRPr="00CC4686">
              <w:rPr>
                <w:rFonts w:eastAsia="Times New Roman" w:cs="Times New Roman"/>
                <w:color w:val="000000"/>
              </w:rPr>
              <w:t>MAIS 3</w:t>
            </w:r>
          </w:p>
        </w:tc>
        <w:tc>
          <w:tcPr>
            <w:tcW w:w="1450" w:type="dxa"/>
            <w:noWrap/>
          </w:tcPr>
          <w:p w14:paraId="51574819" w14:textId="77777777" w:rsidR="000F0490" w:rsidRPr="00CC4686" w:rsidRDefault="000F5B51" w:rsidP="007550E2">
            <w:pPr>
              <w:spacing w:line="240" w:lineRule="auto"/>
              <w:jc w:val="center"/>
              <w:rPr>
                <w:rFonts w:eastAsia="Times New Roman" w:cs="Times New Roman"/>
                <w:color w:val="000000"/>
              </w:rPr>
            </w:pPr>
            <w:r w:rsidRPr="00C7629F">
              <w:t>0.0096</w:t>
            </w:r>
          </w:p>
        </w:tc>
        <w:tc>
          <w:tcPr>
            <w:tcW w:w="1932" w:type="dxa"/>
            <w:noWrap/>
            <w:vAlign w:val="center"/>
            <w:hideMark/>
          </w:tcPr>
          <w:p w14:paraId="1C75D17C" w14:textId="77777777" w:rsidR="000F0490" w:rsidRPr="00CC4686" w:rsidRDefault="000F5B51" w:rsidP="007550E2">
            <w:pPr>
              <w:spacing w:line="240" w:lineRule="auto"/>
              <w:jc w:val="center"/>
              <w:rPr>
                <w:rFonts w:eastAsia="Times New Roman" w:cs="Times New Roman"/>
                <w:color w:val="000000"/>
              </w:rPr>
            </w:pPr>
            <w:r w:rsidRPr="00CC4686">
              <w:rPr>
                <w:rFonts w:eastAsia="Times New Roman" w:cs="Times New Roman"/>
                <w:color w:val="000000"/>
              </w:rPr>
              <w:t>$1,307,335</w:t>
            </w:r>
          </w:p>
        </w:tc>
        <w:tc>
          <w:tcPr>
            <w:tcW w:w="1891" w:type="dxa"/>
            <w:noWrap/>
            <w:vAlign w:val="center"/>
          </w:tcPr>
          <w:p w14:paraId="6EF232D3" w14:textId="77777777" w:rsidR="000F0490" w:rsidRPr="00CC4686" w:rsidRDefault="000F5B51" w:rsidP="007550E2">
            <w:pPr>
              <w:spacing w:line="240" w:lineRule="auto"/>
              <w:jc w:val="center"/>
              <w:rPr>
                <w:rFonts w:eastAsia="Times New Roman" w:cs="Times New Roman"/>
                <w:color w:val="000000"/>
              </w:rPr>
            </w:pPr>
            <w:r>
              <w:rPr>
                <w:color w:val="000000"/>
              </w:rPr>
              <w:t>$12,520</w:t>
            </w:r>
          </w:p>
        </w:tc>
      </w:tr>
      <w:tr w:rsidR="00A15C2C" w14:paraId="05DD981F" w14:textId="77777777" w:rsidTr="007550E2">
        <w:trPr>
          <w:trHeight w:val="311"/>
        </w:trPr>
        <w:tc>
          <w:tcPr>
            <w:tcW w:w="1166" w:type="dxa"/>
            <w:noWrap/>
            <w:vAlign w:val="center"/>
            <w:hideMark/>
          </w:tcPr>
          <w:p w14:paraId="4E979D2C" w14:textId="77777777" w:rsidR="000F0490" w:rsidRPr="00CC4686" w:rsidRDefault="000F5B51" w:rsidP="007550E2">
            <w:pPr>
              <w:spacing w:line="240" w:lineRule="auto"/>
              <w:rPr>
                <w:rFonts w:eastAsia="Times New Roman" w:cs="Times New Roman"/>
                <w:color w:val="000000"/>
              </w:rPr>
            </w:pPr>
            <w:r w:rsidRPr="00CC4686">
              <w:rPr>
                <w:rFonts w:eastAsia="Times New Roman" w:cs="Times New Roman"/>
                <w:color w:val="000000"/>
              </w:rPr>
              <w:t>MAIS 4</w:t>
            </w:r>
          </w:p>
        </w:tc>
        <w:tc>
          <w:tcPr>
            <w:tcW w:w="1450" w:type="dxa"/>
            <w:noWrap/>
          </w:tcPr>
          <w:p w14:paraId="29756FA9" w14:textId="77777777" w:rsidR="000F0490" w:rsidRPr="00CC4686" w:rsidRDefault="000F5B51" w:rsidP="007550E2">
            <w:pPr>
              <w:spacing w:line="240" w:lineRule="auto"/>
              <w:jc w:val="center"/>
              <w:rPr>
                <w:rFonts w:eastAsia="Times New Roman" w:cs="Times New Roman"/>
                <w:color w:val="000000"/>
              </w:rPr>
            </w:pPr>
            <w:r w:rsidRPr="00C7629F">
              <w:t>0.0150</w:t>
            </w:r>
          </w:p>
        </w:tc>
        <w:tc>
          <w:tcPr>
            <w:tcW w:w="1932" w:type="dxa"/>
            <w:noWrap/>
            <w:vAlign w:val="center"/>
            <w:hideMark/>
          </w:tcPr>
          <w:p w14:paraId="19497599" w14:textId="77777777" w:rsidR="000F0490" w:rsidRPr="00CC4686" w:rsidRDefault="000F5B51" w:rsidP="007550E2">
            <w:pPr>
              <w:spacing w:line="240" w:lineRule="auto"/>
              <w:jc w:val="center"/>
              <w:rPr>
                <w:rFonts w:eastAsia="Times New Roman" w:cs="Times New Roman"/>
                <w:color w:val="000000"/>
              </w:rPr>
            </w:pPr>
            <w:r w:rsidRPr="00CC4686">
              <w:rPr>
                <w:rFonts w:eastAsia="Times New Roman" w:cs="Times New Roman"/>
                <w:color w:val="000000"/>
              </w:rPr>
              <w:t>$3,215,701</w:t>
            </w:r>
          </w:p>
        </w:tc>
        <w:tc>
          <w:tcPr>
            <w:tcW w:w="1891" w:type="dxa"/>
            <w:noWrap/>
            <w:vAlign w:val="center"/>
          </w:tcPr>
          <w:p w14:paraId="323121D6" w14:textId="77777777" w:rsidR="000F0490" w:rsidRPr="00CC4686" w:rsidRDefault="000F5B51" w:rsidP="007550E2">
            <w:pPr>
              <w:spacing w:line="240" w:lineRule="auto"/>
              <w:jc w:val="center"/>
              <w:rPr>
                <w:rFonts w:eastAsia="Times New Roman" w:cs="Times New Roman"/>
                <w:color w:val="000000"/>
              </w:rPr>
            </w:pPr>
            <w:r>
              <w:rPr>
                <w:color w:val="000000"/>
              </w:rPr>
              <w:t xml:space="preserve">$48,285 </w:t>
            </w:r>
          </w:p>
        </w:tc>
        <w:tc>
          <w:tcPr>
            <w:tcW w:w="1166" w:type="dxa"/>
            <w:noWrap/>
            <w:vAlign w:val="center"/>
            <w:hideMark/>
          </w:tcPr>
          <w:p w14:paraId="21EBCB83" w14:textId="77777777" w:rsidR="000F0490" w:rsidRPr="00CC4686" w:rsidRDefault="000F5B51" w:rsidP="007550E2">
            <w:pPr>
              <w:spacing w:line="240" w:lineRule="auto"/>
              <w:rPr>
                <w:rFonts w:eastAsia="Times New Roman" w:cs="Times New Roman"/>
                <w:color w:val="000000"/>
              </w:rPr>
            </w:pPr>
            <w:r w:rsidRPr="00CC4686">
              <w:rPr>
                <w:rFonts w:eastAsia="Times New Roman" w:cs="Times New Roman"/>
                <w:color w:val="000000"/>
              </w:rPr>
              <w:t>MAIS 4</w:t>
            </w:r>
          </w:p>
        </w:tc>
        <w:tc>
          <w:tcPr>
            <w:tcW w:w="1450" w:type="dxa"/>
            <w:noWrap/>
          </w:tcPr>
          <w:p w14:paraId="6DEB1FFA" w14:textId="77777777" w:rsidR="000F0490" w:rsidRPr="00CC4686" w:rsidRDefault="000F5B51" w:rsidP="007550E2">
            <w:pPr>
              <w:spacing w:line="240" w:lineRule="auto"/>
              <w:jc w:val="center"/>
              <w:rPr>
                <w:rFonts w:eastAsia="Times New Roman" w:cs="Times New Roman"/>
                <w:color w:val="000000"/>
              </w:rPr>
            </w:pPr>
            <w:r w:rsidRPr="00C7629F">
              <w:t>0.0122</w:t>
            </w:r>
          </w:p>
        </w:tc>
        <w:tc>
          <w:tcPr>
            <w:tcW w:w="1932" w:type="dxa"/>
            <w:noWrap/>
            <w:vAlign w:val="center"/>
            <w:hideMark/>
          </w:tcPr>
          <w:p w14:paraId="7036AD48" w14:textId="77777777" w:rsidR="000F0490" w:rsidRPr="00CC4686" w:rsidRDefault="000F5B51" w:rsidP="007550E2">
            <w:pPr>
              <w:spacing w:line="240" w:lineRule="auto"/>
              <w:jc w:val="center"/>
              <w:rPr>
                <w:rFonts w:eastAsia="Times New Roman" w:cs="Times New Roman"/>
                <w:color w:val="000000"/>
              </w:rPr>
            </w:pPr>
            <w:r w:rsidRPr="00CC4686">
              <w:rPr>
                <w:rFonts w:eastAsia="Times New Roman" w:cs="Times New Roman"/>
                <w:color w:val="000000"/>
              </w:rPr>
              <w:t>$3,215,701</w:t>
            </w:r>
          </w:p>
        </w:tc>
        <w:tc>
          <w:tcPr>
            <w:tcW w:w="1891" w:type="dxa"/>
            <w:noWrap/>
            <w:vAlign w:val="center"/>
          </w:tcPr>
          <w:p w14:paraId="7CA29FE9" w14:textId="77777777" w:rsidR="000F0490" w:rsidRPr="00CC4686" w:rsidRDefault="000F5B51" w:rsidP="007550E2">
            <w:pPr>
              <w:spacing w:line="240" w:lineRule="auto"/>
              <w:jc w:val="center"/>
              <w:rPr>
                <w:rFonts w:eastAsia="Times New Roman" w:cs="Times New Roman"/>
                <w:color w:val="000000"/>
              </w:rPr>
            </w:pPr>
            <w:r>
              <w:rPr>
                <w:color w:val="000000"/>
              </w:rPr>
              <w:t>$39,176</w:t>
            </w:r>
          </w:p>
        </w:tc>
      </w:tr>
      <w:tr w:rsidR="00A15C2C" w14:paraId="500A336F" w14:textId="77777777" w:rsidTr="007550E2">
        <w:trPr>
          <w:trHeight w:val="311"/>
        </w:trPr>
        <w:tc>
          <w:tcPr>
            <w:tcW w:w="1166" w:type="dxa"/>
            <w:noWrap/>
            <w:vAlign w:val="center"/>
            <w:hideMark/>
          </w:tcPr>
          <w:p w14:paraId="21219516" w14:textId="77777777" w:rsidR="000F0490" w:rsidRPr="00CC4686" w:rsidRDefault="000F5B51" w:rsidP="007550E2">
            <w:pPr>
              <w:spacing w:line="240" w:lineRule="auto"/>
              <w:rPr>
                <w:rFonts w:eastAsia="Times New Roman" w:cs="Times New Roman"/>
                <w:color w:val="000000"/>
              </w:rPr>
            </w:pPr>
            <w:r w:rsidRPr="00CC4686">
              <w:rPr>
                <w:rFonts w:eastAsia="Times New Roman" w:cs="Times New Roman"/>
                <w:color w:val="000000"/>
              </w:rPr>
              <w:t>MAIS 5</w:t>
            </w:r>
          </w:p>
        </w:tc>
        <w:tc>
          <w:tcPr>
            <w:tcW w:w="1450" w:type="dxa"/>
            <w:noWrap/>
          </w:tcPr>
          <w:p w14:paraId="20612CD5" w14:textId="77777777" w:rsidR="000F0490" w:rsidRPr="00CC4686" w:rsidRDefault="000F5B51" w:rsidP="007550E2">
            <w:pPr>
              <w:spacing w:line="240" w:lineRule="auto"/>
              <w:jc w:val="center"/>
              <w:rPr>
                <w:rFonts w:eastAsia="Times New Roman" w:cs="Times New Roman"/>
                <w:color w:val="000000"/>
              </w:rPr>
            </w:pPr>
            <w:r w:rsidRPr="00C7629F">
              <w:t>0.0007</w:t>
            </w:r>
          </w:p>
        </w:tc>
        <w:tc>
          <w:tcPr>
            <w:tcW w:w="1932" w:type="dxa"/>
            <w:noWrap/>
            <w:vAlign w:val="center"/>
            <w:hideMark/>
          </w:tcPr>
          <w:p w14:paraId="4B01B7ED" w14:textId="77777777" w:rsidR="000F0490" w:rsidRPr="00CC4686" w:rsidRDefault="000F5B51" w:rsidP="007550E2">
            <w:pPr>
              <w:spacing w:line="240" w:lineRule="auto"/>
              <w:jc w:val="center"/>
              <w:rPr>
                <w:rFonts w:eastAsia="Times New Roman" w:cs="Times New Roman"/>
                <w:color w:val="000000"/>
              </w:rPr>
            </w:pPr>
            <w:r w:rsidRPr="00CC4686">
              <w:rPr>
                <w:rFonts w:eastAsia="Times New Roman" w:cs="Times New Roman"/>
                <w:color w:val="000000"/>
              </w:rPr>
              <w:t>$7,327,043</w:t>
            </w:r>
          </w:p>
        </w:tc>
        <w:tc>
          <w:tcPr>
            <w:tcW w:w="1891" w:type="dxa"/>
            <w:noWrap/>
            <w:vAlign w:val="center"/>
          </w:tcPr>
          <w:p w14:paraId="1BF9E30E" w14:textId="77777777" w:rsidR="000F0490" w:rsidRPr="00CC4686" w:rsidRDefault="000F5B51" w:rsidP="007550E2">
            <w:pPr>
              <w:spacing w:line="240" w:lineRule="auto"/>
              <w:jc w:val="center"/>
              <w:rPr>
                <w:rFonts w:eastAsia="Times New Roman" w:cs="Times New Roman"/>
                <w:color w:val="000000"/>
              </w:rPr>
            </w:pPr>
            <w:r>
              <w:rPr>
                <w:color w:val="000000"/>
              </w:rPr>
              <w:t xml:space="preserve">$5,222 </w:t>
            </w:r>
          </w:p>
        </w:tc>
        <w:tc>
          <w:tcPr>
            <w:tcW w:w="1166" w:type="dxa"/>
            <w:noWrap/>
            <w:vAlign w:val="center"/>
            <w:hideMark/>
          </w:tcPr>
          <w:p w14:paraId="5C884F66" w14:textId="77777777" w:rsidR="000F0490" w:rsidRPr="00CC4686" w:rsidRDefault="000F5B51" w:rsidP="007550E2">
            <w:pPr>
              <w:spacing w:line="240" w:lineRule="auto"/>
              <w:rPr>
                <w:rFonts w:eastAsia="Times New Roman" w:cs="Times New Roman"/>
                <w:color w:val="000000"/>
              </w:rPr>
            </w:pPr>
            <w:r w:rsidRPr="00CC4686">
              <w:rPr>
                <w:rFonts w:eastAsia="Times New Roman" w:cs="Times New Roman"/>
                <w:color w:val="000000"/>
              </w:rPr>
              <w:t>MAIS 5</w:t>
            </w:r>
          </w:p>
        </w:tc>
        <w:tc>
          <w:tcPr>
            <w:tcW w:w="1450" w:type="dxa"/>
            <w:noWrap/>
          </w:tcPr>
          <w:p w14:paraId="745AE88C" w14:textId="77777777" w:rsidR="000F0490" w:rsidRPr="00CC4686" w:rsidRDefault="000F5B51" w:rsidP="007550E2">
            <w:pPr>
              <w:spacing w:line="240" w:lineRule="auto"/>
              <w:jc w:val="center"/>
              <w:rPr>
                <w:rFonts w:eastAsia="Times New Roman" w:cs="Times New Roman"/>
                <w:color w:val="000000"/>
              </w:rPr>
            </w:pPr>
            <w:r w:rsidRPr="00C7629F">
              <w:t>0.0006</w:t>
            </w:r>
          </w:p>
        </w:tc>
        <w:tc>
          <w:tcPr>
            <w:tcW w:w="1932" w:type="dxa"/>
            <w:noWrap/>
            <w:vAlign w:val="center"/>
            <w:hideMark/>
          </w:tcPr>
          <w:p w14:paraId="5E9843A9" w14:textId="77777777" w:rsidR="000F0490" w:rsidRPr="00CC4686" w:rsidRDefault="000F5B51" w:rsidP="007550E2">
            <w:pPr>
              <w:spacing w:line="240" w:lineRule="auto"/>
              <w:jc w:val="center"/>
              <w:rPr>
                <w:rFonts w:eastAsia="Times New Roman" w:cs="Times New Roman"/>
                <w:color w:val="000000"/>
              </w:rPr>
            </w:pPr>
            <w:r w:rsidRPr="00CC4686">
              <w:rPr>
                <w:rFonts w:eastAsia="Times New Roman" w:cs="Times New Roman"/>
                <w:color w:val="000000"/>
              </w:rPr>
              <w:t>$7,327,043</w:t>
            </w:r>
          </w:p>
        </w:tc>
        <w:tc>
          <w:tcPr>
            <w:tcW w:w="1891" w:type="dxa"/>
            <w:noWrap/>
            <w:vAlign w:val="center"/>
          </w:tcPr>
          <w:p w14:paraId="12688D87" w14:textId="77777777" w:rsidR="000F0490" w:rsidRPr="00CC4686" w:rsidRDefault="000F5B51" w:rsidP="007550E2">
            <w:pPr>
              <w:spacing w:line="240" w:lineRule="auto"/>
              <w:jc w:val="center"/>
              <w:rPr>
                <w:rFonts w:eastAsia="Times New Roman" w:cs="Times New Roman"/>
                <w:color w:val="000000"/>
              </w:rPr>
            </w:pPr>
            <w:r>
              <w:rPr>
                <w:color w:val="000000"/>
              </w:rPr>
              <w:t>$4,225</w:t>
            </w:r>
          </w:p>
        </w:tc>
      </w:tr>
      <w:tr w:rsidR="00A15C2C" w14:paraId="03859836" w14:textId="77777777" w:rsidTr="007550E2">
        <w:trPr>
          <w:trHeight w:val="311"/>
        </w:trPr>
        <w:tc>
          <w:tcPr>
            <w:tcW w:w="1166" w:type="dxa"/>
            <w:noWrap/>
            <w:vAlign w:val="center"/>
            <w:hideMark/>
          </w:tcPr>
          <w:p w14:paraId="3263F66D" w14:textId="77777777" w:rsidR="000F0490" w:rsidRPr="00CC4686" w:rsidRDefault="000F5B51" w:rsidP="007550E2">
            <w:pPr>
              <w:spacing w:line="240" w:lineRule="auto"/>
              <w:rPr>
                <w:rFonts w:eastAsia="Times New Roman" w:cs="Times New Roman"/>
                <w:color w:val="000000"/>
              </w:rPr>
            </w:pPr>
            <w:r w:rsidRPr="00CC4686">
              <w:rPr>
                <w:rFonts w:eastAsia="Times New Roman" w:cs="Times New Roman"/>
                <w:color w:val="000000"/>
              </w:rPr>
              <w:t>Fatalities</w:t>
            </w:r>
          </w:p>
        </w:tc>
        <w:tc>
          <w:tcPr>
            <w:tcW w:w="1450" w:type="dxa"/>
            <w:noWrap/>
          </w:tcPr>
          <w:p w14:paraId="3FF189EA" w14:textId="77777777" w:rsidR="000F0490" w:rsidRPr="00CC4686" w:rsidRDefault="000F5B51" w:rsidP="007550E2">
            <w:pPr>
              <w:spacing w:line="240" w:lineRule="auto"/>
              <w:jc w:val="center"/>
              <w:rPr>
                <w:rFonts w:eastAsia="Times New Roman" w:cs="Times New Roman"/>
                <w:color w:val="000000"/>
              </w:rPr>
            </w:pPr>
            <w:r w:rsidRPr="00C7629F">
              <w:t>0.1191</w:t>
            </w:r>
          </w:p>
        </w:tc>
        <w:tc>
          <w:tcPr>
            <w:tcW w:w="1932" w:type="dxa"/>
            <w:noWrap/>
            <w:vAlign w:val="center"/>
            <w:hideMark/>
          </w:tcPr>
          <w:p w14:paraId="3044B970" w14:textId="77777777" w:rsidR="000F0490" w:rsidRPr="00CC4686" w:rsidRDefault="000F5B51" w:rsidP="007550E2">
            <w:pPr>
              <w:spacing w:line="240" w:lineRule="auto"/>
              <w:jc w:val="center"/>
              <w:rPr>
                <w:rFonts w:eastAsia="Times New Roman" w:cs="Times New Roman"/>
                <w:color w:val="000000"/>
              </w:rPr>
            </w:pPr>
            <w:r w:rsidRPr="00CC4686">
              <w:rPr>
                <w:rFonts w:eastAsia="Times New Roman" w:cs="Times New Roman"/>
                <w:color w:val="000000"/>
              </w:rPr>
              <w:t>$11,950,834</w:t>
            </w:r>
          </w:p>
        </w:tc>
        <w:tc>
          <w:tcPr>
            <w:tcW w:w="1891" w:type="dxa"/>
            <w:noWrap/>
            <w:vAlign w:val="center"/>
          </w:tcPr>
          <w:p w14:paraId="578AD8F3" w14:textId="77777777" w:rsidR="000F0490" w:rsidRPr="00CC4686" w:rsidRDefault="000F5B51" w:rsidP="007550E2">
            <w:pPr>
              <w:spacing w:line="240" w:lineRule="auto"/>
              <w:jc w:val="center"/>
              <w:rPr>
                <w:rFonts w:eastAsia="Times New Roman" w:cs="Times New Roman"/>
                <w:color w:val="000000"/>
              </w:rPr>
            </w:pPr>
            <w:r>
              <w:rPr>
                <w:color w:val="000000"/>
              </w:rPr>
              <w:t xml:space="preserve">$1,422,854 </w:t>
            </w:r>
          </w:p>
        </w:tc>
        <w:tc>
          <w:tcPr>
            <w:tcW w:w="1166" w:type="dxa"/>
            <w:noWrap/>
            <w:vAlign w:val="center"/>
            <w:hideMark/>
          </w:tcPr>
          <w:p w14:paraId="04B1C543" w14:textId="77777777" w:rsidR="000F0490" w:rsidRPr="00CC4686" w:rsidRDefault="000F5B51" w:rsidP="007550E2">
            <w:pPr>
              <w:spacing w:line="240" w:lineRule="auto"/>
              <w:rPr>
                <w:rFonts w:eastAsia="Times New Roman" w:cs="Times New Roman"/>
                <w:color w:val="000000"/>
              </w:rPr>
            </w:pPr>
            <w:r w:rsidRPr="00CC4686">
              <w:rPr>
                <w:rFonts w:eastAsia="Times New Roman" w:cs="Times New Roman"/>
                <w:color w:val="000000"/>
              </w:rPr>
              <w:t>Fatalities</w:t>
            </w:r>
          </w:p>
        </w:tc>
        <w:tc>
          <w:tcPr>
            <w:tcW w:w="1450" w:type="dxa"/>
            <w:noWrap/>
          </w:tcPr>
          <w:p w14:paraId="32E94CCB" w14:textId="77777777" w:rsidR="000F0490" w:rsidRPr="00CC4686" w:rsidRDefault="000F5B51" w:rsidP="007550E2">
            <w:pPr>
              <w:spacing w:line="240" w:lineRule="auto"/>
              <w:jc w:val="center"/>
              <w:rPr>
                <w:rFonts w:eastAsia="Times New Roman" w:cs="Times New Roman"/>
                <w:color w:val="000000"/>
              </w:rPr>
            </w:pPr>
            <w:r w:rsidRPr="00C7629F">
              <w:t>0.0962</w:t>
            </w:r>
          </w:p>
        </w:tc>
        <w:tc>
          <w:tcPr>
            <w:tcW w:w="1932" w:type="dxa"/>
            <w:noWrap/>
            <w:vAlign w:val="center"/>
            <w:hideMark/>
          </w:tcPr>
          <w:p w14:paraId="3B33DD17" w14:textId="77777777" w:rsidR="000F0490" w:rsidRPr="00CC4686" w:rsidRDefault="000F5B51" w:rsidP="007550E2">
            <w:pPr>
              <w:spacing w:line="240" w:lineRule="auto"/>
              <w:jc w:val="center"/>
              <w:rPr>
                <w:rFonts w:eastAsia="Times New Roman" w:cs="Times New Roman"/>
                <w:color w:val="000000"/>
              </w:rPr>
            </w:pPr>
            <w:r w:rsidRPr="00CC4686">
              <w:rPr>
                <w:rFonts w:eastAsia="Times New Roman" w:cs="Times New Roman"/>
                <w:color w:val="000000"/>
              </w:rPr>
              <w:t>$11,950,834</w:t>
            </w:r>
          </w:p>
        </w:tc>
        <w:tc>
          <w:tcPr>
            <w:tcW w:w="1891" w:type="dxa"/>
            <w:noWrap/>
            <w:vAlign w:val="center"/>
          </w:tcPr>
          <w:p w14:paraId="4FB590EC" w14:textId="77777777" w:rsidR="000F0490" w:rsidRPr="00CC4686" w:rsidRDefault="000F5B51" w:rsidP="007550E2">
            <w:pPr>
              <w:spacing w:line="240" w:lineRule="auto"/>
              <w:jc w:val="center"/>
              <w:rPr>
                <w:rFonts w:eastAsia="Times New Roman" w:cs="Times New Roman"/>
                <w:color w:val="000000"/>
              </w:rPr>
            </w:pPr>
            <w:r>
              <w:rPr>
                <w:color w:val="000000"/>
              </w:rPr>
              <w:t>$1,149,765</w:t>
            </w:r>
          </w:p>
        </w:tc>
      </w:tr>
      <w:tr w:rsidR="00A15C2C" w14:paraId="72438AE2" w14:textId="77777777" w:rsidTr="007550E2">
        <w:trPr>
          <w:trHeight w:val="311"/>
        </w:trPr>
        <w:tc>
          <w:tcPr>
            <w:tcW w:w="1166" w:type="dxa"/>
            <w:noWrap/>
            <w:vAlign w:val="center"/>
            <w:hideMark/>
          </w:tcPr>
          <w:p w14:paraId="372D075D" w14:textId="77777777" w:rsidR="000F0490" w:rsidRPr="00CC4686" w:rsidRDefault="000F5B51" w:rsidP="007550E2">
            <w:pPr>
              <w:spacing w:line="240" w:lineRule="auto"/>
              <w:rPr>
                <w:rFonts w:eastAsia="Times New Roman" w:cs="Times New Roman"/>
                <w:b/>
                <w:bCs/>
                <w:color w:val="000000"/>
              </w:rPr>
            </w:pPr>
            <w:r w:rsidRPr="00CC4686">
              <w:rPr>
                <w:rFonts w:eastAsia="Times New Roman" w:cs="Times New Roman"/>
                <w:b/>
                <w:bCs/>
                <w:color w:val="000000"/>
              </w:rPr>
              <w:t>Total</w:t>
            </w:r>
          </w:p>
        </w:tc>
        <w:tc>
          <w:tcPr>
            <w:tcW w:w="1450" w:type="dxa"/>
            <w:noWrap/>
            <w:vAlign w:val="center"/>
            <w:hideMark/>
          </w:tcPr>
          <w:p w14:paraId="55805A05" w14:textId="77777777" w:rsidR="000F0490" w:rsidRPr="00CC4686" w:rsidRDefault="000F0490" w:rsidP="007550E2">
            <w:pPr>
              <w:spacing w:line="240" w:lineRule="auto"/>
              <w:jc w:val="center"/>
              <w:rPr>
                <w:rFonts w:eastAsia="Times New Roman" w:cs="Times New Roman"/>
                <w:b/>
                <w:bCs/>
                <w:color w:val="000000"/>
              </w:rPr>
            </w:pPr>
          </w:p>
        </w:tc>
        <w:tc>
          <w:tcPr>
            <w:tcW w:w="1932" w:type="dxa"/>
            <w:noWrap/>
            <w:vAlign w:val="center"/>
            <w:hideMark/>
          </w:tcPr>
          <w:p w14:paraId="380A467C" w14:textId="77777777" w:rsidR="000F0490" w:rsidRPr="00CC4686" w:rsidRDefault="000F0490" w:rsidP="007550E2">
            <w:pPr>
              <w:spacing w:line="240" w:lineRule="auto"/>
              <w:jc w:val="center"/>
              <w:rPr>
                <w:rFonts w:eastAsia="Times New Roman" w:cs="Times New Roman"/>
                <w:b/>
                <w:bCs/>
              </w:rPr>
            </w:pPr>
          </w:p>
        </w:tc>
        <w:tc>
          <w:tcPr>
            <w:tcW w:w="1891" w:type="dxa"/>
            <w:noWrap/>
            <w:vAlign w:val="center"/>
          </w:tcPr>
          <w:p w14:paraId="7D3EE6A0" w14:textId="77777777" w:rsidR="000F0490" w:rsidRPr="00CC4686" w:rsidRDefault="000F5B51" w:rsidP="007550E2">
            <w:pPr>
              <w:spacing w:line="240" w:lineRule="auto"/>
              <w:jc w:val="center"/>
              <w:rPr>
                <w:rFonts w:eastAsia="Times New Roman" w:cs="Times New Roman"/>
                <w:b/>
                <w:bCs/>
                <w:color w:val="000000"/>
              </w:rPr>
            </w:pPr>
            <w:r>
              <w:rPr>
                <w:b/>
                <w:bCs/>
                <w:color w:val="000000"/>
              </w:rPr>
              <w:t xml:space="preserve">$1,600,838 </w:t>
            </w:r>
          </w:p>
        </w:tc>
        <w:tc>
          <w:tcPr>
            <w:tcW w:w="1166" w:type="dxa"/>
            <w:noWrap/>
            <w:vAlign w:val="center"/>
            <w:hideMark/>
          </w:tcPr>
          <w:p w14:paraId="71227152" w14:textId="77777777" w:rsidR="000F0490" w:rsidRPr="00CC4686" w:rsidRDefault="000F5B51" w:rsidP="007550E2">
            <w:pPr>
              <w:spacing w:line="240" w:lineRule="auto"/>
              <w:rPr>
                <w:rFonts w:eastAsia="Times New Roman" w:cs="Times New Roman"/>
                <w:b/>
                <w:bCs/>
                <w:color w:val="000000"/>
              </w:rPr>
            </w:pPr>
            <w:r w:rsidRPr="00CC4686">
              <w:rPr>
                <w:rFonts w:eastAsia="Times New Roman" w:cs="Times New Roman"/>
                <w:b/>
                <w:bCs/>
                <w:color w:val="000000"/>
              </w:rPr>
              <w:t>Total</w:t>
            </w:r>
          </w:p>
        </w:tc>
        <w:tc>
          <w:tcPr>
            <w:tcW w:w="1450" w:type="dxa"/>
            <w:noWrap/>
            <w:vAlign w:val="center"/>
            <w:hideMark/>
          </w:tcPr>
          <w:p w14:paraId="516257E4" w14:textId="77777777" w:rsidR="000F0490" w:rsidRPr="00CC4686" w:rsidRDefault="000F0490" w:rsidP="007550E2">
            <w:pPr>
              <w:spacing w:line="240" w:lineRule="auto"/>
              <w:jc w:val="center"/>
              <w:rPr>
                <w:rFonts w:eastAsia="Times New Roman" w:cs="Times New Roman"/>
                <w:b/>
                <w:bCs/>
                <w:color w:val="000000"/>
              </w:rPr>
            </w:pPr>
          </w:p>
        </w:tc>
        <w:tc>
          <w:tcPr>
            <w:tcW w:w="1932" w:type="dxa"/>
            <w:noWrap/>
            <w:vAlign w:val="center"/>
            <w:hideMark/>
          </w:tcPr>
          <w:p w14:paraId="44D29E78" w14:textId="77777777" w:rsidR="000F0490" w:rsidRPr="00CC4686" w:rsidRDefault="000F0490" w:rsidP="007550E2">
            <w:pPr>
              <w:spacing w:line="240" w:lineRule="auto"/>
              <w:jc w:val="center"/>
              <w:rPr>
                <w:rFonts w:eastAsia="Times New Roman" w:cs="Times New Roman"/>
                <w:b/>
                <w:bCs/>
              </w:rPr>
            </w:pPr>
          </w:p>
        </w:tc>
        <w:tc>
          <w:tcPr>
            <w:tcW w:w="1891" w:type="dxa"/>
            <w:noWrap/>
            <w:vAlign w:val="center"/>
          </w:tcPr>
          <w:p w14:paraId="5F1636DC" w14:textId="77777777" w:rsidR="000F0490" w:rsidRPr="00CC4686" w:rsidRDefault="000F5B51" w:rsidP="007550E2">
            <w:pPr>
              <w:spacing w:line="240" w:lineRule="auto"/>
              <w:jc w:val="center"/>
              <w:rPr>
                <w:rFonts w:eastAsia="Times New Roman" w:cs="Times New Roman"/>
                <w:b/>
                <w:bCs/>
                <w:color w:val="000000"/>
              </w:rPr>
            </w:pPr>
            <w:r>
              <w:rPr>
                <w:b/>
                <w:bCs/>
                <w:color w:val="000000"/>
              </w:rPr>
              <w:t>$1,293,892</w:t>
            </w:r>
          </w:p>
        </w:tc>
      </w:tr>
    </w:tbl>
    <w:p w14:paraId="2433EEB3" w14:textId="77777777" w:rsidR="000F0490" w:rsidRPr="00CC4686" w:rsidRDefault="000F5B51" w:rsidP="000F0490">
      <w:pPr>
        <w:rPr>
          <w:rFonts w:ascii="Calibri" w:eastAsia="Times New Roman" w:hAnsi="Calibri" w:cs="Calibri"/>
          <w:color w:val="000000"/>
          <w:sz w:val="22"/>
        </w:rPr>
      </w:pPr>
      <w:r w:rsidRPr="00572735">
        <w:rPr>
          <w:sz w:val="18"/>
          <w:szCs w:val="16"/>
        </w:rPr>
        <w:t>Note: Values may not sum due to rounding.</w:t>
      </w:r>
    </w:p>
    <w:p w14:paraId="77590065" w14:textId="77777777" w:rsidR="000F0490" w:rsidRDefault="000F0490" w:rsidP="000F0490">
      <w:pPr>
        <w:spacing w:after="0"/>
        <w:rPr>
          <w:rFonts w:eastAsia="Times New Roman" w:cs="Times New Roman"/>
          <w:color w:val="000000"/>
          <w:szCs w:val="24"/>
          <w:highlight w:val="yellow"/>
        </w:rPr>
        <w:sectPr w:rsidR="000F0490" w:rsidSect="007550E2">
          <w:pgSz w:w="15840" w:h="12240" w:orient="landscape"/>
          <w:pgMar w:top="1440" w:right="1440" w:bottom="1440" w:left="1440" w:header="720" w:footer="720" w:gutter="0"/>
          <w:cols w:space="720"/>
          <w:docGrid w:linePitch="360"/>
        </w:sectPr>
      </w:pPr>
    </w:p>
    <w:p w14:paraId="2C712BD0" w14:textId="4C222250" w:rsidR="000F0490" w:rsidRDefault="000F5B51" w:rsidP="000F0490">
      <w:pPr>
        <w:spacing w:after="0"/>
        <w:rPr>
          <w:rFonts w:eastAsia="Times New Roman" w:cs="Times New Roman"/>
        </w:rPr>
      </w:pPr>
      <w:bookmarkStart w:id="1751" w:name="_Hlk128035948"/>
      <w:r>
        <w:rPr>
          <w:rFonts w:eastAsia="Times New Roman" w:cs="Times New Roman"/>
          <w:color w:val="000000"/>
          <w:szCs w:val="24"/>
        </w:rPr>
        <w:lastRenderedPageBreak/>
        <w:t>In estimating the costs for this regulatory alternative, this analysis makes use of the cost estimates established in</w:t>
      </w:r>
      <w:r w:rsidR="000D4CD2">
        <w:rPr>
          <w:rFonts w:eastAsia="Times New Roman" w:cs="Times New Roman"/>
          <w:color w:val="000000"/>
          <w:szCs w:val="24"/>
        </w:rPr>
        <w:t xml:space="preserve"> Chapter </w:t>
      </w:r>
      <w:r w:rsidR="000D4CD2">
        <w:rPr>
          <w:rFonts w:eastAsia="Times New Roman" w:cs="Times New Roman"/>
          <w:color w:val="000000"/>
          <w:szCs w:val="24"/>
        </w:rPr>
        <w:fldChar w:fldCharType="begin"/>
      </w:r>
      <w:r w:rsidR="000D4CD2">
        <w:rPr>
          <w:rFonts w:eastAsia="Times New Roman" w:cs="Times New Roman"/>
          <w:color w:val="000000"/>
          <w:szCs w:val="24"/>
        </w:rPr>
        <w:instrText xml:space="preserve"> REF _Ref128052609 \r \h </w:instrText>
      </w:r>
      <w:r w:rsidR="000D4CD2">
        <w:rPr>
          <w:rFonts w:eastAsia="Times New Roman" w:cs="Times New Roman"/>
          <w:color w:val="000000"/>
          <w:szCs w:val="24"/>
        </w:rPr>
      </w:r>
      <w:r w:rsidR="000D4CD2">
        <w:rPr>
          <w:rFonts w:eastAsia="Times New Roman" w:cs="Times New Roman"/>
          <w:color w:val="000000"/>
          <w:szCs w:val="24"/>
        </w:rPr>
        <w:fldChar w:fldCharType="separate"/>
      </w:r>
      <w:r w:rsidR="00A65CB3">
        <w:rPr>
          <w:rFonts w:eastAsia="Times New Roman" w:cs="Times New Roman"/>
          <w:color w:val="000000"/>
          <w:szCs w:val="24"/>
        </w:rPr>
        <w:t>6</w:t>
      </w:r>
      <w:r w:rsidR="000D4CD2">
        <w:rPr>
          <w:rFonts w:eastAsia="Times New Roman" w:cs="Times New Roman"/>
          <w:color w:val="000000"/>
          <w:szCs w:val="24"/>
        </w:rPr>
        <w:fldChar w:fldCharType="end"/>
      </w:r>
      <w:r>
        <w:rPr>
          <w:rFonts w:eastAsia="Times New Roman" w:cs="Times New Roman"/>
          <w:color w:val="000000"/>
          <w:szCs w:val="24"/>
        </w:rPr>
        <w:t xml:space="preserve">, We assume that the cost for front center seat passengers would include the cost for a buckle sensor and occupant detection. Therefore, the cost per vehicle for this regulatory alternative is $14.86 in 2020 dollars. This cost estimate reflects a cost of $2.13 to add a buckle sensor and the cost to add occupant detection for $12.73. </w:t>
      </w:r>
    </w:p>
    <w:p w14:paraId="0CAA8DA0" w14:textId="77777777" w:rsidR="000F0490" w:rsidRPr="00026BB4" w:rsidRDefault="000F5B51" w:rsidP="000F0490">
      <w:pPr>
        <w:spacing w:after="0"/>
      </w:pPr>
      <w:r>
        <w:rPr>
          <w:rFonts w:eastAsia="Times New Roman" w:cs="Times New Roman"/>
        </w:rPr>
        <w:t xml:space="preserve">In assessing the number of vehicles that would be impacted by this regulatory alternative, we consider </w:t>
      </w:r>
      <w:r w:rsidRPr="00026BB4">
        <w:rPr>
          <w:rFonts w:eastAsia="Times New Roman" w:cs="Times New Roman"/>
        </w:rPr>
        <w:t>that</w:t>
      </w:r>
      <w:r>
        <w:rPr>
          <w:rFonts w:eastAsia="Times New Roman" w:cs="Times New Roman"/>
        </w:rPr>
        <w:t xml:space="preserve"> the</w:t>
      </w:r>
      <w:r w:rsidRPr="00026BB4">
        <w:rPr>
          <w:rFonts w:eastAsia="Times New Roman" w:cs="Times New Roman"/>
        </w:rPr>
        <w:t xml:space="preserve"> front center seat</w:t>
      </w:r>
      <w:r>
        <w:rPr>
          <w:rFonts w:eastAsia="Times New Roman" w:cs="Times New Roman"/>
        </w:rPr>
        <w:t xml:space="preserve"> is</w:t>
      </w:r>
      <w:r w:rsidRPr="00026BB4">
        <w:rPr>
          <w:rFonts w:eastAsia="Times New Roman" w:cs="Times New Roman"/>
        </w:rPr>
        <w:t xml:space="preserve"> not a common feature</w:t>
      </w:r>
      <w:r>
        <w:rPr>
          <w:rFonts w:eastAsia="Times New Roman" w:cs="Times New Roman"/>
        </w:rPr>
        <w:t xml:space="preserve"> in new light vehicles</w:t>
      </w:r>
      <w:r w:rsidRPr="00026BB4">
        <w:rPr>
          <w:rFonts w:eastAsia="Times New Roman" w:cs="Times New Roman"/>
        </w:rPr>
        <w:t>. Based on</w:t>
      </w:r>
      <w:r w:rsidRPr="00026BB4">
        <w:t xml:space="preserve"> our engineering judgement</w:t>
      </w:r>
      <w:r>
        <w:t>,</w:t>
      </w:r>
      <w:r w:rsidRPr="00026BB4">
        <w:t xml:space="preserve"> we expect that </w:t>
      </w:r>
      <w:r w:rsidRPr="00026BB4">
        <w:rPr>
          <w:rFonts w:eastAsia="Times New Roman" w:cs="Times New Roman"/>
          <w:color w:val="000000"/>
          <w:szCs w:val="24"/>
        </w:rPr>
        <w:t>800,000 vehicles or five percent of the new vehicle fleet include a center seating position</w:t>
      </w:r>
      <w:r w:rsidRPr="00026BB4">
        <w:t>. We request comment on this assumption.</w:t>
      </w:r>
    </w:p>
    <w:p w14:paraId="0607FC69" w14:textId="7E9040E5" w:rsidR="000F0490" w:rsidRDefault="000F5B51" w:rsidP="000F0490">
      <w:pPr>
        <w:spacing w:after="0"/>
        <w:rPr>
          <w:rFonts w:eastAsia="Times New Roman" w:cs="Times New Roman"/>
          <w:szCs w:val="24"/>
        </w:rPr>
      </w:pPr>
      <w:r>
        <w:rPr>
          <w:rFonts w:eastAsia="Times New Roman" w:cs="Times New Roman"/>
        </w:rPr>
        <w:fldChar w:fldCharType="begin"/>
      </w:r>
      <w:r>
        <w:rPr>
          <w:rFonts w:eastAsia="Times New Roman" w:cs="Times New Roman"/>
        </w:rPr>
        <w:instrText xml:space="preserve"> REF _Ref128038595 \h </w:instrText>
      </w:r>
      <w:r>
        <w:rPr>
          <w:rFonts w:eastAsia="Times New Roman" w:cs="Times New Roman"/>
        </w:rPr>
      </w:r>
      <w:r>
        <w:rPr>
          <w:rFonts w:eastAsia="Times New Roman" w:cs="Times New Roman"/>
        </w:rPr>
        <w:fldChar w:fldCharType="separate"/>
      </w:r>
      <w:r w:rsidR="00A65CB3">
        <w:t xml:space="preserve">Table </w:t>
      </w:r>
      <w:r w:rsidR="00A65CB3">
        <w:rPr>
          <w:noProof/>
        </w:rPr>
        <w:t>92</w:t>
      </w:r>
      <w:r>
        <w:rPr>
          <w:rFonts w:eastAsia="Times New Roman" w:cs="Times New Roman"/>
        </w:rPr>
        <w:fldChar w:fldCharType="end"/>
      </w:r>
      <w:r>
        <w:rPr>
          <w:rFonts w:eastAsia="Times New Roman" w:cs="Times New Roman"/>
        </w:rPr>
        <w:t xml:space="preserve"> </w:t>
      </w:r>
      <w:r>
        <w:rPr>
          <w:rFonts w:eastAsia="Times New Roman" w:cs="Times New Roman"/>
          <w:szCs w:val="24"/>
        </w:rPr>
        <w:t>presents the total cost to meet the requirements under this regulatory alternative for SBWS for front center seat passengers. Total cost is calculated by reflecting the cost per vehicle across the number of vehicles impacted by the proposed rule annually</w:t>
      </w:r>
      <w:r w:rsidR="001F2F92">
        <w:rPr>
          <w:rFonts w:eastAsia="Times New Roman" w:cs="Times New Roman"/>
          <w:szCs w:val="24"/>
        </w:rPr>
        <w:t xml:space="preserve">. </w:t>
      </w:r>
      <w:r>
        <w:rPr>
          <w:rFonts w:eastAsia="Times New Roman" w:cs="Times New Roman"/>
          <w:szCs w:val="24"/>
        </w:rPr>
        <w:t>Based on the cost per vehicle of $14.86 for the approximately 800,000 vehicles impacted, the total annual cost associated with</w:t>
      </w:r>
      <w:r w:rsidRPr="006B1E0F">
        <w:rPr>
          <w:rFonts w:eastAsia="Times New Roman" w:cs="Times New Roman"/>
          <w:szCs w:val="24"/>
        </w:rPr>
        <w:t xml:space="preserve"> </w:t>
      </w:r>
      <w:r>
        <w:rPr>
          <w:rFonts w:eastAsia="Times New Roman" w:cs="Times New Roman"/>
          <w:szCs w:val="24"/>
        </w:rPr>
        <w:t>meeting the requirements specified in the proposed rule for SBWS for rear seat occupants is approximately $11.89 million.</w:t>
      </w:r>
    </w:p>
    <w:p w14:paraId="7B6AEDFB" w14:textId="2A615553" w:rsidR="000F0490" w:rsidRDefault="000F5B51" w:rsidP="000F0490">
      <w:pPr>
        <w:pStyle w:val="Caption"/>
        <w:rPr>
          <w:rFonts w:eastAsia="Times New Roman" w:cs="Times New Roman"/>
          <w:color w:val="000000"/>
          <w:szCs w:val="24"/>
          <w:highlight w:val="yellow"/>
        </w:rPr>
      </w:pPr>
      <w:bookmarkStart w:id="1752" w:name="_Ref128038595"/>
      <w:r>
        <w:t xml:space="preserve">Table </w:t>
      </w:r>
      <w:r w:rsidR="00115BAB">
        <w:fldChar w:fldCharType="begin"/>
      </w:r>
      <w:r>
        <w:instrText xml:space="preserve"> SEQ Table \* ARABIC </w:instrText>
      </w:r>
      <w:r w:rsidR="00115BAB">
        <w:fldChar w:fldCharType="separate"/>
      </w:r>
      <w:r w:rsidR="00A65CB3">
        <w:rPr>
          <w:noProof/>
        </w:rPr>
        <w:t>92</w:t>
      </w:r>
      <w:r w:rsidR="00115BAB">
        <w:rPr>
          <w:noProof/>
        </w:rPr>
        <w:fldChar w:fldCharType="end"/>
      </w:r>
      <w:bookmarkEnd w:id="1752"/>
      <w:r>
        <w:t>: Total Cost for Front Center Seat Passengers</w:t>
      </w:r>
    </w:p>
    <w:tbl>
      <w:tblPr>
        <w:tblStyle w:val="TableGrid"/>
        <w:tblW w:w="6772" w:type="dxa"/>
        <w:jc w:val="center"/>
        <w:tblLook w:val="04A0" w:firstRow="1" w:lastRow="0" w:firstColumn="1" w:lastColumn="0" w:noHBand="0" w:noVBand="1"/>
      </w:tblPr>
      <w:tblGrid>
        <w:gridCol w:w="2520"/>
        <w:gridCol w:w="2521"/>
        <w:gridCol w:w="1731"/>
      </w:tblGrid>
      <w:tr w:rsidR="00A15C2C" w14:paraId="62EF9759" w14:textId="77777777" w:rsidTr="007550E2">
        <w:trPr>
          <w:trHeight w:val="923"/>
          <w:jc w:val="center"/>
        </w:trPr>
        <w:tc>
          <w:tcPr>
            <w:tcW w:w="2520" w:type="dxa"/>
            <w:shd w:val="clear" w:color="auto" w:fill="D9D9D9" w:themeFill="background1" w:themeFillShade="D9"/>
            <w:vAlign w:val="center"/>
          </w:tcPr>
          <w:p w14:paraId="5038ABF8" w14:textId="77777777" w:rsidR="000F0490" w:rsidRPr="00A53650" w:rsidRDefault="000F5B51" w:rsidP="007550E2">
            <w:pPr>
              <w:pStyle w:val="NoSpacing"/>
              <w:rPr>
                <w:rFonts w:eastAsia="Times New Roman"/>
                <w:b/>
                <w:szCs w:val="24"/>
              </w:rPr>
            </w:pPr>
            <w:r>
              <w:rPr>
                <w:b/>
                <w:szCs w:val="24"/>
              </w:rPr>
              <w:t>Number of Vehicles Impacted</w:t>
            </w:r>
          </w:p>
        </w:tc>
        <w:tc>
          <w:tcPr>
            <w:tcW w:w="2521" w:type="dxa"/>
            <w:shd w:val="clear" w:color="auto" w:fill="D9D9D9" w:themeFill="background1" w:themeFillShade="D9"/>
            <w:vAlign w:val="center"/>
          </w:tcPr>
          <w:p w14:paraId="292A379D" w14:textId="77777777" w:rsidR="000F0490" w:rsidRPr="00A53650" w:rsidRDefault="000F5B51" w:rsidP="007550E2">
            <w:pPr>
              <w:pStyle w:val="NoSpacing"/>
              <w:rPr>
                <w:rFonts w:eastAsia="Times New Roman"/>
                <w:b/>
                <w:szCs w:val="24"/>
              </w:rPr>
            </w:pPr>
            <w:r w:rsidRPr="00A53650">
              <w:rPr>
                <w:b/>
                <w:szCs w:val="24"/>
              </w:rPr>
              <w:t>Per Vehicle Cost</w:t>
            </w:r>
          </w:p>
        </w:tc>
        <w:tc>
          <w:tcPr>
            <w:tcW w:w="1731" w:type="dxa"/>
            <w:shd w:val="clear" w:color="auto" w:fill="D9D9D9" w:themeFill="background1" w:themeFillShade="D9"/>
            <w:vAlign w:val="center"/>
          </w:tcPr>
          <w:p w14:paraId="53A458CD" w14:textId="77777777" w:rsidR="000F0490" w:rsidRPr="00A53650" w:rsidRDefault="000F5B51" w:rsidP="007550E2">
            <w:pPr>
              <w:pStyle w:val="NoSpacing"/>
              <w:rPr>
                <w:rFonts w:eastAsia="Times New Roman"/>
                <w:b/>
                <w:szCs w:val="24"/>
              </w:rPr>
            </w:pPr>
            <w:r w:rsidRPr="00A53650">
              <w:rPr>
                <w:b/>
                <w:szCs w:val="24"/>
              </w:rPr>
              <w:t>Total Cost</w:t>
            </w:r>
          </w:p>
        </w:tc>
      </w:tr>
      <w:tr w:rsidR="00A15C2C" w14:paraId="39DCCC37" w14:textId="77777777" w:rsidTr="007550E2">
        <w:trPr>
          <w:trHeight w:val="311"/>
          <w:jc w:val="center"/>
        </w:trPr>
        <w:tc>
          <w:tcPr>
            <w:tcW w:w="2520" w:type="dxa"/>
            <w:vAlign w:val="center"/>
          </w:tcPr>
          <w:p w14:paraId="1C8E1A3C" w14:textId="77777777" w:rsidR="000F0490" w:rsidRPr="005C41FD" w:rsidRDefault="000F5B51" w:rsidP="007550E2">
            <w:pPr>
              <w:pStyle w:val="NoSpacing"/>
              <w:rPr>
                <w:szCs w:val="24"/>
              </w:rPr>
            </w:pPr>
            <w:r>
              <w:rPr>
                <w:szCs w:val="24"/>
              </w:rPr>
              <w:t>800,000</w:t>
            </w:r>
          </w:p>
        </w:tc>
        <w:tc>
          <w:tcPr>
            <w:tcW w:w="2521" w:type="dxa"/>
            <w:vAlign w:val="center"/>
          </w:tcPr>
          <w:p w14:paraId="12912EAA" w14:textId="77777777" w:rsidR="000F0490" w:rsidRPr="00CE2168" w:rsidRDefault="000F5B51" w:rsidP="007550E2">
            <w:pPr>
              <w:pStyle w:val="NoSpacing"/>
              <w:rPr>
                <w:rFonts w:eastAsia="Times New Roman"/>
                <w:szCs w:val="24"/>
              </w:rPr>
            </w:pPr>
            <w:r>
              <w:rPr>
                <w:rFonts w:eastAsia="Times New Roman"/>
                <w:szCs w:val="24"/>
              </w:rPr>
              <w:t>$14.86</w:t>
            </w:r>
          </w:p>
        </w:tc>
        <w:tc>
          <w:tcPr>
            <w:tcW w:w="1731" w:type="dxa"/>
            <w:vAlign w:val="center"/>
          </w:tcPr>
          <w:p w14:paraId="66B7F271" w14:textId="77777777" w:rsidR="000F0490" w:rsidRPr="00CE2168" w:rsidRDefault="000F5B51" w:rsidP="007550E2">
            <w:pPr>
              <w:pStyle w:val="NoSpacing"/>
              <w:rPr>
                <w:szCs w:val="24"/>
              </w:rPr>
            </w:pPr>
            <w:r>
              <w:rPr>
                <w:szCs w:val="24"/>
              </w:rPr>
              <w:t>$11,888,000</w:t>
            </w:r>
          </w:p>
        </w:tc>
      </w:tr>
      <w:bookmarkEnd w:id="1751"/>
    </w:tbl>
    <w:p w14:paraId="66933AC9" w14:textId="77777777" w:rsidR="000F0490" w:rsidRDefault="000F0490" w:rsidP="000F0490">
      <w:pPr>
        <w:pStyle w:val="NoSpaceTimes"/>
        <w:rPr>
          <w:highlight w:val="yellow"/>
        </w:rPr>
      </w:pPr>
    </w:p>
    <w:p w14:paraId="394324EF" w14:textId="373B6BB7" w:rsidR="000F0490" w:rsidRDefault="000F5B51" w:rsidP="000F0490">
      <w:pPr>
        <w:spacing w:after="0"/>
        <w:rPr>
          <w:rFonts w:cs="Times New Roman"/>
          <w:szCs w:val="24"/>
        </w:rPr>
      </w:pPr>
      <w:r w:rsidRPr="008371C8">
        <w:rPr>
          <w:rFonts w:eastAsia="Times New Roman" w:cs="Times New Roman"/>
          <w:color w:val="000000"/>
          <w:szCs w:val="24"/>
        </w:rPr>
        <w:fldChar w:fldCharType="begin"/>
      </w:r>
      <w:r w:rsidRPr="008371C8">
        <w:rPr>
          <w:rFonts w:eastAsia="Times New Roman" w:cs="Times New Roman"/>
          <w:color w:val="000000"/>
          <w:szCs w:val="24"/>
        </w:rPr>
        <w:instrText xml:space="preserve"> REF _Ref128039337 \h </w:instrText>
      </w:r>
      <w:r>
        <w:rPr>
          <w:rFonts w:eastAsia="Times New Roman" w:cs="Times New Roman"/>
          <w:color w:val="000000"/>
          <w:szCs w:val="24"/>
        </w:rPr>
        <w:instrText xml:space="preserve"> \* MERGEFORMAT </w:instrText>
      </w:r>
      <w:r w:rsidRPr="008371C8">
        <w:rPr>
          <w:rFonts w:eastAsia="Times New Roman" w:cs="Times New Roman"/>
          <w:color w:val="000000"/>
          <w:szCs w:val="24"/>
        </w:rPr>
      </w:r>
      <w:r w:rsidRPr="008371C8">
        <w:rPr>
          <w:rFonts w:eastAsia="Times New Roman" w:cs="Times New Roman"/>
          <w:color w:val="000000"/>
          <w:szCs w:val="24"/>
        </w:rPr>
        <w:fldChar w:fldCharType="separate"/>
      </w:r>
      <w:r w:rsidR="00A65CB3">
        <w:t xml:space="preserve">Table </w:t>
      </w:r>
      <w:r w:rsidR="00A65CB3">
        <w:rPr>
          <w:noProof/>
        </w:rPr>
        <w:t>93</w:t>
      </w:r>
      <w:r w:rsidRPr="008371C8">
        <w:rPr>
          <w:rFonts w:eastAsia="Times New Roman" w:cs="Times New Roman"/>
          <w:color w:val="000000"/>
          <w:szCs w:val="24"/>
        </w:rPr>
        <w:fldChar w:fldCharType="end"/>
      </w:r>
      <w:r w:rsidRPr="008371C8">
        <w:rPr>
          <w:rFonts w:eastAsia="Times New Roman" w:cs="Times New Roman"/>
          <w:color w:val="000000"/>
          <w:szCs w:val="24"/>
        </w:rPr>
        <w:t xml:space="preserve"> </w:t>
      </w:r>
      <w:r w:rsidRPr="008371C8">
        <w:t>presents</w:t>
      </w:r>
      <w:r>
        <w:t xml:space="preserve"> the of the cost-effectiveness analysis for this regulatory alternative. When discounted at three and seven percent, the cost per ELS for this regulatory alternative is </w:t>
      </w:r>
      <w:r>
        <w:rPr>
          <w:rFonts w:cs="Times New Roman"/>
          <w:szCs w:val="24"/>
        </w:rPr>
        <w:t xml:space="preserve">approximately $88.91 million and $110.00 million, respectively. As this </w:t>
      </w:r>
      <w:r w:rsidRPr="005D5230">
        <w:rPr>
          <w:rFonts w:cs="Times New Roman"/>
          <w:szCs w:val="24"/>
        </w:rPr>
        <w:t>cost is higher than</w:t>
      </w:r>
      <w:r>
        <w:rPr>
          <w:rFonts w:cs="Times New Roman"/>
          <w:szCs w:val="24"/>
        </w:rPr>
        <w:t xml:space="preserve"> the comprehensive cost of a fatalities, this analysis finds that this regulatory alternative is not cost-effective. </w:t>
      </w:r>
    </w:p>
    <w:p w14:paraId="18587190" w14:textId="615F0B98" w:rsidR="000F0490" w:rsidRDefault="000F5B51" w:rsidP="000F0490">
      <w:pPr>
        <w:pStyle w:val="Caption"/>
        <w:rPr>
          <w:rFonts w:eastAsia="Times New Roman" w:cs="Times New Roman"/>
          <w:color w:val="000000"/>
          <w:szCs w:val="24"/>
        </w:rPr>
      </w:pPr>
      <w:bookmarkStart w:id="1753" w:name="_Ref128039337"/>
      <w:r>
        <w:lastRenderedPageBreak/>
        <w:t xml:space="preserve">Table </w:t>
      </w:r>
      <w:r w:rsidR="00115BAB">
        <w:fldChar w:fldCharType="begin"/>
      </w:r>
      <w:r>
        <w:instrText xml:space="preserve"> SEQ Table \* ARABIC </w:instrText>
      </w:r>
      <w:r w:rsidR="00115BAB">
        <w:fldChar w:fldCharType="separate"/>
      </w:r>
      <w:r w:rsidR="00A65CB3">
        <w:rPr>
          <w:noProof/>
        </w:rPr>
        <w:t>93</w:t>
      </w:r>
      <w:r w:rsidR="00115BAB">
        <w:rPr>
          <w:noProof/>
        </w:rPr>
        <w:fldChar w:fldCharType="end"/>
      </w:r>
      <w:bookmarkEnd w:id="1753"/>
      <w:r>
        <w:t>: Cost-Effectiveness Analysis for Front Center Seat Passengers (Millions)</w:t>
      </w:r>
    </w:p>
    <w:tbl>
      <w:tblPr>
        <w:tblStyle w:val="TableGrid"/>
        <w:tblW w:w="9996" w:type="dxa"/>
        <w:tblLayout w:type="fixed"/>
        <w:tblLook w:val="04A0" w:firstRow="1" w:lastRow="0" w:firstColumn="1" w:lastColumn="0" w:noHBand="0" w:noVBand="1"/>
      </w:tblPr>
      <w:tblGrid>
        <w:gridCol w:w="2065"/>
        <w:gridCol w:w="1350"/>
        <w:gridCol w:w="1170"/>
        <w:gridCol w:w="1350"/>
        <w:gridCol w:w="1353"/>
        <w:gridCol w:w="1354"/>
        <w:gridCol w:w="1354"/>
      </w:tblGrid>
      <w:tr w:rsidR="00A15C2C" w14:paraId="00B30D7C" w14:textId="77777777" w:rsidTr="007550E2">
        <w:trPr>
          <w:trHeight w:val="118"/>
        </w:trPr>
        <w:tc>
          <w:tcPr>
            <w:tcW w:w="2065" w:type="dxa"/>
            <w:vMerge w:val="restart"/>
            <w:shd w:val="clear" w:color="auto" w:fill="BFBFBF" w:themeFill="background1" w:themeFillShade="BF"/>
            <w:vAlign w:val="center"/>
          </w:tcPr>
          <w:p w14:paraId="14095876" w14:textId="77777777" w:rsidR="000F0490" w:rsidRPr="004B3295" w:rsidRDefault="000F5B51" w:rsidP="007550E2">
            <w:pPr>
              <w:spacing w:line="240" w:lineRule="auto"/>
              <w:jc w:val="center"/>
              <w:rPr>
                <w:b/>
                <w:szCs w:val="24"/>
              </w:rPr>
            </w:pPr>
            <w:r w:rsidRPr="004B3295">
              <w:rPr>
                <w:b/>
                <w:szCs w:val="24"/>
              </w:rPr>
              <w:t>Category</w:t>
            </w:r>
          </w:p>
        </w:tc>
        <w:tc>
          <w:tcPr>
            <w:tcW w:w="3870" w:type="dxa"/>
            <w:gridSpan w:val="3"/>
            <w:shd w:val="clear" w:color="auto" w:fill="BFBFBF" w:themeFill="background1" w:themeFillShade="BF"/>
            <w:vAlign w:val="center"/>
          </w:tcPr>
          <w:p w14:paraId="459374B8" w14:textId="77777777" w:rsidR="000F0490" w:rsidRPr="004B3295" w:rsidRDefault="000F5B51" w:rsidP="007550E2">
            <w:pPr>
              <w:spacing w:line="240" w:lineRule="auto"/>
              <w:jc w:val="center"/>
              <w:rPr>
                <w:b/>
                <w:szCs w:val="24"/>
              </w:rPr>
            </w:pPr>
            <w:r w:rsidRPr="004B3295">
              <w:rPr>
                <w:b/>
                <w:szCs w:val="24"/>
              </w:rPr>
              <w:t>Discounted at 3%</w:t>
            </w:r>
          </w:p>
        </w:tc>
        <w:tc>
          <w:tcPr>
            <w:tcW w:w="4061" w:type="dxa"/>
            <w:gridSpan w:val="3"/>
            <w:shd w:val="clear" w:color="auto" w:fill="BFBFBF" w:themeFill="background1" w:themeFillShade="BF"/>
            <w:vAlign w:val="center"/>
          </w:tcPr>
          <w:p w14:paraId="44F1861E" w14:textId="77777777" w:rsidR="000F0490" w:rsidRPr="004B3295" w:rsidRDefault="000F5B51" w:rsidP="007550E2">
            <w:pPr>
              <w:spacing w:line="240" w:lineRule="auto"/>
              <w:jc w:val="center"/>
              <w:rPr>
                <w:b/>
                <w:szCs w:val="24"/>
              </w:rPr>
            </w:pPr>
            <w:r w:rsidRPr="004B3295">
              <w:rPr>
                <w:b/>
                <w:szCs w:val="24"/>
              </w:rPr>
              <w:t>Discounted at 7%</w:t>
            </w:r>
          </w:p>
        </w:tc>
      </w:tr>
      <w:tr w:rsidR="00A15C2C" w14:paraId="7BE02F7A" w14:textId="77777777" w:rsidTr="007550E2">
        <w:trPr>
          <w:trHeight w:val="114"/>
        </w:trPr>
        <w:tc>
          <w:tcPr>
            <w:tcW w:w="2065" w:type="dxa"/>
            <w:vMerge/>
            <w:shd w:val="clear" w:color="auto" w:fill="BFBFBF" w:themeFill="background1" w:themeFillShade="BF"/>
          </w:tcPr>
          <w:p w14:paraId="701906B1" w14:textId="77777777" w:rsidR="000F0490" w:rsidRPr="004B3295" w:rsidRDefault="000F0490" w:rsidP="007550E2">
            <w:pPr>
              <w:spacing w:line="240" w:lineRule="auto"/>
              <w:jc w:val="center"/>
              <w:rPr>
                <w:b/>
                <w:szCs w:val="24"/>
              </w:rPr>
            </w:pPr>
          </w:p>
        </w:tc>
        <w:tc>
          <w:tcPr>
            <w:tcW w:w="1350" w:type="dxa"/>
            <w:shd w:val="clear" w:color="auto" w:fill="BFBFBF" w:themeFill="background1" w:themeFillShade="BF"/>
            <w:vAlign w:val="center"/>
          </w:tcPr>
          <w:p w14:paraId="0B229A6F" w14:textId="77777777" w:rsidR="000F0490" w:rsidRPr="004B3295" w:rsidRDefault="000F5B51" w:rsidP="007550E2">
            <w:pPr>
              <w:spacing w:line="240" w:lineRule="auto"/>
              <w:jc w:val="center"/>
              <w:rPr>
                <w:b/>
                <w:szCs w:val="24"/>
              </w:rPr>
            </w:pPr>
            <w:r w:rsidRPr="004B3295">
              <w:rPr>
                <w:b/>
                <w:szCs w:val="24"/>
              </w:rPr>
              <w:t>Equivalent Lives Saved</w:t>
            </w:r>
          </w:p>
        </w:tc>
        <w:tc>
          <w:tcPr>
            <w:tcW w:w="1170" w:type="dxa"/>
            <w:shd w:val="clear" w:color="auto" w:fill="BFBFBF" w:themeFill="background1" w:themeFillShade="BF"/>
            <w:vAlign w:val="center"/>
          </w:tcPr>
          <w:p w14:paraId="498B4327" w14:textId="77777777" w:rsidR="000F0490" w:rsidRPr="004B3295" w:rsidRDefault="000F5B51" w:rsidP="007550E2">
            <w:pPr>
              <w:spacing w:line="240" w:lineRule="auto"/>
              <w:jc w:val="center"/>
              <w:rPr>
                <w:rFonts w:cs="Times New Roman"/>
                <w:b/>
                <w:szCs w:val="24"/>
              </w:rPr>
            </w:pPr>
            <w:r w:rsidRPr="004B3295">
              <w:rPr>
                <w:rFonts w:cs="Times New Roman"/>
                <w:b/>
                <w:szCs w:val="24"/>
              </w:rPr>
              <w:t>Cost</w:t>
            </w:r>
          </w:p>
        </w:tc>
        <w:tc>
          <w:tcPr>
            <w:tcW w:w="1350" w:type="dxa"/>
            <w:shd w:val="clear" w:color="auto" w:fill="BFBFBF" w:themeFill="background1" w:themeFillShade="BF"/>
            <w:vAlign w:val="center"/>
          </w:tcPr>
          <w:p w14:paraId="7E9C1D29" w14:textId="77777777" w:rsidR="000F0490" w:rsidRPr="004B3295" w:rsidRDefault="000F5B51" w:rsidP="007550E2">
            <w:pPr>
              <w:spacing w:line="240" w:lineRule="auto"/>
              <w:jc w:val="center"/>
              <w:rPr>
                <w:rFonts w:cs="Times New Roman"/>
                <w:b/>
                <w:szCs w:val="24"/>
              </w:rPr>
            </w:pPr>
            <w:r w:rsidRPr="004B3295">
              <w:rPr>
                <w:b/>
                <w:szCs w:val="24"/>
              </w:rPr>
              <w:t>Cost per Equivalent Live Saved</w:t>
            </w:r>
          </w:p>
        </w:tc>
        <w:tc>
          <w:tcPr>
            <w:tcW w:w="1353" w:type="dxa"/>
            <w:shd w:val="clear" w:color="auto" w:fill="BFBFBF" w:themeFill="background1" w:themeFillShade="BF"/>
            <w:vAlign w:val="center"/>
          </w:tcPr>
          <w:p w14:paraId="4617A09C" w14:textId="77777777" w:rsidR="000F0490" w:rsidRPr="004B3295" w:rsidRDefault="000F5B51" w:rsidP="007550E2">
            <w:pPr>
              <w:spacing w:line="240" w:lineRule="auto"/>
              <w:jc w:val="center"/>
              <w:rPr>
                <w:b/>
                <w:szCs w:val="24"/>
              </w:rPr>
            </w:pPr>
            <w:r w:rsidRPr="004B3295">
              <w:rPr>
                <w:b/>
                <w:szCs w:val="24"/>
              </w:rPr>
              <w:t>Equivalent Lives Saved</w:t>
            </w:r>
          </w:p>
        </w:tc>
        <w:tc>
          <w:tcPr>
            <w:tcW w:w="1354" w:type="dxa"/>
            <w:shd w:val="clear" w:color="auto" w:fill="BFBFBF" w:themeFill="background1" w:themeFillShade="BF"/>
            <w:vAlign w:val="center"/>
          </w:tcPr>
          <w:p w14:paraId="13795E1C" w14:textId="77777777" w:rsidR="000F0490" w:rsidRPr="004B3295" w:rsidRDefault="000F5B51" w:rsidP="007550E2">
            <w:pPr>
              <w:spacing w:line="240" w:lineRule="auto"/>
              <w:jc w:val="center"/>
              <w:rPr>
                <w:b/>
                <w:szCs w:val="24"/>
              </w:rPr>
            </w:pPr>
            <w:r w:rsidRPr="004B3295">
              <w:rPr>
                <w:b/>
                <w:szCs w:val="24"/>
              </w:rPr>
              <w:t>Cost</w:t>
            </w:r>
          </w:p>
        </w:tc>
        <w:tc>
          <w:tcPr>
            <w:tcW w:w="1354" w:type="dxa"/>
            <w:shd w:val="clear" w:color="auto" w:fill="BFBFBF" w:themeFill="background1" w:themeFillShade="BF"/>
            <w:vAlign w:val="center"/>
          </w:tcPr>
          <w:p w14:paraId="321C1F0E" w14:textId="77777777" w:rsidR="000F0490" w:rsidRPr="004B3295" w:rsidRDefault="000F5B51" w:rsidP="007550E2">
            <w:pPr>
              <w:spacing w:line="240" w:lineRule="auto"/>
              <w:jc w:val="center"/>
              <w:rPr>
                <w:b/>
                <w:szCs w:val="24"/>
              </w:rPr>
            </w:pPr>
            <w:r w:rsidRPr="004B3295">
              <w:rPr>
                <w:b/>
                <w:szCs w:val="24"/>
              </w:rPr>
              <w:t>Cost per Equivalent Live Saved</w:t>
            </w:r>
          </w:p>
        </w:tc>
      </w:tr>
      <w:tr w:rsidR="00A15C2C" w14:paraId="53FE2299" w14:textId="77777777" w:rsidTr="007550E2">
        <w:trPr>
          <w:trHeight w:val="114"/>
        </w:trPr>
        <w:tc>
          <w:tcPr>
            <w:tcW w:w="2065" w:type="dxa"/>
            <w:vAlign w:val="center"/>
          </w:tcPr>
          <w:p w14:paraId="628A61E4" w14:textId="77777777" w:rsidR="000F0490" w:rsidRPr="004B3295" w:rsidRDefault="000F5B51" w:rsidP="007550E2">
            <w:pPr>
              <w:spacing w:line="240" w:lineRule="auto"/>
              <w:rPr>
                <w:rFonts w:cs="Times New Roman"/>
                <w:szCs w:val="24"/>
              </w:rPr>
            </w:pPr>
            <w:r>
              <w:rPr>
                <w:rFonts w:cs="Times New Roman"/>
                <w:szCs w:val="24"/>
              </w:rPr>
              <w:t>Front Center Seat</w:t>
            </w:r>
          </w:p>
        </w:tc>
        <w:tc>
          <w:tcPr>
            <w:tcW w:w="1350" w:type="dxa"/>
            <w:vAlign w:val="center"/>
          </w:tcPr>
          <w:p w14:paraId="71DA4A5B" w14:textId="77777777" w:rsidR="000F0490" w:rsidRPr="002F517E" w:rsidRDefault="000F5B51" w:rsidP="007550E2">
            <w:pPr>
              <w:spacing w:line="240" w:lineRule="auto"/>
              <w:jc w:val="center"/>
              <w:rPr>
                <w:rFonts w:cs="Times New Roman"/>
                <w:szCs w:val="24"/>
              </w:rPr>
            </w:pPr>
            <w:r w:rsidRPr="002F517E">
              <w:rPr>
                <w:color w:val="000000"/>
              </w:rPr>
              <w:t>0.1337</w:t>
            </w:r>
          </w:p>
        </w:tc>
        <w:tc>
          <w:tcPr>
            <w:tcW w:w="1170" w:type="dxa"/>
            <w:vAlign w:val="center"/>
          </w:tcPr>
          <w:p w14:paraId="5E637FCA" w14:textId="77777777" w:rsidR="000F0490" w:rsidRPr="004B3295" w:rsidRDefault="000F5B51" w:rsidP="007550E2">
            <w:pPr>
              <w:spacing w:line="240" w:lineRule="auto"/>
              <w:jc w:val="center"/>
              <w:rPr>
                <w:szCs w:val="24"/>
              </w:rPr>
            </w:pPr>
            <w:r>
              <w:rPr>
                <w:szCs w:val="24"/>
              </w:rPr>
              <w:t>$11.89</w:t>
            </w:r>
          </w:p>
        </w:tc>
        <w:tc>
          <w:tcPr>
            <w:tcW w:w="1350" w:type="dxa"/>
            <w:vAlign w:val="center"/>
          </w:tcPr>
          <w:p w14:paraId="2A2A569B" w14:textId="77777777" w:rsidR="000F0490" w:rsidRPr="004B3295" w:rsidRDefault="000F5B51" w:rsidP="007550E2">
            <w:pPr>
              <w:spacing w:line="240" w:lineRule="auto"/>
              <w:jc w:val="center"/>
              <w:rPr>
                <w:szCs w:val="24"/>
              </w:rPr>
            </w:pPr>
            <w:r>
              <w:rPr>
                <w:szCs w:val="24"/>
              </w:rPr>
              <w:t>$88.91</w:t>
            </w:r>
          </w:p>
        </w:tc>
        <w:tc>
          <w:tcPr>
            <w:tcW w:w="1353" w:type="dxa"/>
            <w:vAlign w:val="center"/>
          </w:tcPr>
          <w:p w14:paraId="35493334" w14:textId="77777777" w:rsidR="000F0490" w:rsidRPr="002F517E" w:rsidRDefault="000F5B51" w:rsidP="007550E2">
            <w:pPr>
              <w:spacing w:line="240" w:lineRule="auto"/>
              <w:jc w:val="center"/>
              <w:rPr>
                <w:szCs w:val="24"/>
              </w:rPr>
            </w:pPr>
            <w:r w:rsidRPr="002F517E">
              <w:rPr>
                <w:color w:val="000000"/>
              </w:rPr>
              <w:t>0.1081</w:t>
            </w:r>
          </w:p>
        </w:tc>
        <w:tc>
          <w:tcPr>
            <w:tcW w:w="1354" w:type="dxa"/>
            <w:vAlign w:val="center"/>
          </w:tcPr>
          <w:p w14:paraId="543E22E3" w14:textId="77777777" w:rsidR="000F0490" w:rsidRPr="004B3295" w:rsidRDefault="000F5B51" w:rsidP="007550E2">
            <w:pPr>
              <w:spacing w:line="240" w:lineRule="auto"/>
              <w:jc w:val="center"/>
              <w:rPr>
                <w:szCs w:val="24"/>
              </w:rPr>
            </w:pPr>
            <w:r>
              <w:rPr>
                <w:szCs w:val="24"/>
              </w:rPr>
              <w:t>$11.89</w:t>
            </w:r>
          </w:p>
        </w:tc>
        <w:tc>
          <w:tcPr>
            <w:tcW w:w="1354" w:type="dxa"/>
            <w:vAlign w:val="center"/>
          </w:tcPr>
          <w:p w14:paraId="6ECD45DD" w14:textId="77777777" w:rsidR="000F0490" w:rsidRPr="004B3295" w:rsidRDefault="000F5B51" w:rsidP="007550E2">
            <w:pPr>
              <w:spacing w:line="240" w:lineRule="auto"/>
              <w:jc w:val="center"/>
              <w:rPr>
                <w:szCs w:val="24"/>
              </w:rPr>
            </w:pPr>
            <w:r>
              <w:rPr>
                <w:szCs w:val="24"/>
              </w:rPr>
              <w:t>$110.00</w:t>
            </w:r>
          </w:p>
        </w:tc>
      </w:tr>
    </w:tbl>
    <w:p w14:paraId="57823666" w14:textId="77777777" w:rsidR="000F0490" w:rsidRDefault="000F0490" w:rsidP="000F0490">
      <w:pPr>
        <w:pStyle w:val="NoSpaceTimes"/>
      </w:pPr>
    </w:p>
    <w:p w14:paraId="396DD9B2" w14:textId="00F601E5" w:rsidR="000F0490" w:rsidRDefault="000F5B51" w:rsidP="000F0490">
      <w:pPr>
        <w:spacing w:after="0"/>
        <w:rPr>
          <w:rFonts w:eastAsia="Times New Roman" w:cs="Times New Roman"/>
          <w:color w:val="000000"/>
          <w:szCs w:val="24"/>
        </w:rPr>
      </w:pPr>
      <w:r>
        <w:rPr>
          <w:rFonts w:eastAsia="Times New Roman" w:cs="Times New Roman"/>
          <w:color w:val="000000"/>
          <w:szCs w:val="24"/>
        </w:rPr>
        <w:fldChar w:fldCharType="begin"/>
      </w:r>
      <w:r>
        <w:rPr>
          <w:rFonts w:eastAsia="Times New Roman" w:cs="Times New Roman"/>
          <w:color w:val="000000"/>
          <w:szCs w:val="24"/>
        </w:rPr>
        <w:instrText xml:space="preserve"> REF _Ref128039354 \h </w:instrText>
      </w:r>
      <w:r>
        <w:rPr>
          <w:rFonts w:eastAsia="Times New Roman" w:cs="Times New Roman"/>
          <w:color w:val="000000"/>
          <w:szCs w:val="24"/>
        </w:rPr>
      </w:r>
      <w:r>
        <w:rPr>
          <w:rFonts w:eastAsia="Times New Roman" w:cs="Times New Roman"/>
          <w:color w:val="000000"/>
          <w:szCs w:val="24"/>
        </w:rPr>
        <w:fldChar w:fldCharType="separate"/>
      </w:r>
      <w:r w:rsidR="00A65CB3">
        <w:t xml:space="preserve">Table </w:t>
      </w:r>
      <w:r w:rsidR="00A65CB3">
        <w:rPr>
          <w:noProof/>
        </w:rPr>
        <w:t>94</w:t>
      </w:r>
      <w:r>
        <w:rPr>
          <w:rFonts w:eastAsia="Times New Roman" w:cs="Times New Roman"/>
          <w:color w:val="000000"/>
          <w:szCs w:val="24"/>
        </w:rPr>
        <w:fldChar w:fldCharType="end"/>
      </w:r>
      <w:r>
        <w:rPr>
          <w:rFonts w:eastAsia="Times New Roman" w:cs="Times New Roman"/>
          <w:color w:val="000000"/>
          <w:szCs w:val="24"/>
        </w:rPr>
        <w:t xml:space="preserve"> </w:t>
      </w:r>
      <w:r w:rsidRPr="008371C8">
        <w:t>presents</w:t>
      </w:r>
      <w:r>
        <w:t xml:space="preserve"> the of the benefit-cost analysis for this regulatory alternative. When discounted at three and seven percent, net benefits for this regulatory alternative are </w:t>
      </w:r>
      <w:r>
        <w:rPr>
          <w:rFonts w:cs="Times New Roman"/>
          <w:szCs w:val="24"/>
        </w:rPr>
        <w:t xml:space="preserve">negative. Negative net benefits indicate that the regulatory alternative is not net beneficial. </w:t>
      </w:r>
    </w:p>
    <w:p w14:paraId="4645580E" w14:textId="7E4AB6C1" w:rsidR="000F0490" w:rsidRDefault="000F5B51" w:rsidP="000F0490">
      <w:pPr>
        <w:pStyle w:val="Caption"/>
        <w:rPr>
          <w:rFonts w:eastAsia="Times New Roman" w:cs="Times New Roman"/>
          <w:color w:val="000000"/>
          <w:szCs w:val="24"/>
        </w:rPr>
      </w:pPr>
      <w:bookmarkStart w:id="1754" w:name="_Ref128039354"/>
      <w:r>
        <w:t xml:space="preserve">Table </w:t>
      </w:r>
      <w:r w:rsidR="00115BAB">
        <w:fldChar w:fldCharType="begin"/>
      </w:r>
      <w:r>
        <w:instrText xml:space="preserve"> SEQ Table \* ARABIC </w:instrText>
      </w:r>
      <w:r w:rsidR="00115BAB">
        <w:fldChar w:fldCharType="separate"/>
      </w:r>
      <w:r w:rsidR="00A65CB3">
        <w:rPr>
          <w:noProof/>
        </w:rPr>
        <w:t>94</w:t>
      </w:r>
      <w:r w:rsidR="00115BAB">
        <w:rPr>
          <w:noProof/>
        </w:rPr>
        <w:fldChar w:fldCharType="end"/>
      </w:r>
      <w:bookmarkEnd w:id="1754"/>
      <w:r>
        <w:t>: Benefit-Cost Analysis for Front Center Seat Passengers (Millions)</w:t>
      </w:r>
    </w:p>
    <w:tbl>
      <w:tblPr>
        <w:tblStyle w:val="TableGrid"/>
        <w:tblW w:w="9996" w:type="dxa"/>
        <w:tblLayout w:type="fixed"/>
        <w:tblLook w:val="04A0" w:firstRow="1" w:lastRow="0" w:firstColumn="1" w:lastColumn="0" w:noHBand="0" w:noVBand="1"/>
      </w:tblPr>
      <w:tblGrid>
        <w:gridCol w:w="2065"/>
        <w:gridCol w:w="1350"/>
        <w:gridCol w:w="1170"/>
        <w:gridCol w:w="1350"/>
        <w:gridCol w:w="1353"/>
        <w:gridCol w:w="1354"/>
        <w:gridCol w:w="1354"/>
      </w:tblGrid>
      <w:tr w:rsidR="00A15C2C" w14:paraId="7E8116E8" w14:textId="77777777" w:rsidTr="007550E2">
        <w:trPr>
          <w:trHeight w:val="118"/>
        </w:trPr>
        <w:tc>
          <w:tcPr>
            <w:tcW w:w="2065" w:type="dxa"/>
            <w:vMerge w:val="restart"/>
            <w:shd w:val="clear" w:color="auto" w:fill="BFBFBF" w:themeFill="background1" w:themeFillShade="BF"/>
            <w:vAlign w:val="center"/>
          </w:tcPr>
          <w:p w14:paraId="6D4FFB7B" w14:textId="77777777" w:rsidR="000F0490" w:rsidRPr="004B3295" w:rsidRDefault="000F5B51" w:rsidP="007550E2">
            <w:pPr>
              <w:spacing w:line="240" w:lineRule="auto"/>
              <w:jc w:val="center"/>
              <w:rPr>
                <w:b/>
                <w:szCs w:val="24"/>
              </w:rPr>
            </w:pPr>
            <w:r w:rsidRPr="004B3295">
              <w:rPr>
                <w:b/>
                <w:szCs w:val="24"/>
              </w:rPr>
              <w:t>Category</w:t>
            </w:r>
          </w:p>
        </w:tc>
        <w:tc>
          <w:tcPr>
            <w:tcW w:w="3870" w:type="dxa"/>
            <w:gridSpan w:val="3"/>
            <w:shd w:val="clear" w:color="auto" w:fill="BFBFBF" w:themeFill="background1" w:themeFillShade="BF"/>
            <w:vAlign w:val="center"/>
          </w:tcPr>
          <w:p w14:paraId="306F9B31" w14:textId="77777777" w:rsidR="000F0490" w:rsidRPr="004B3295" w:rsidRDefault="000F5B51" w:rsidP="007550E2">
            <w:pPr>
              <w:spacing w:line="240" w:lineRule="auto"/>
              <w:jc w:val="center"/>
              <w:rPr>
                <w:b/>
                <w:szCs w:val="24"/>
              </w:rPr>
            </w:pPr>
            <w:r w:rsidRPr="004B3295">
              <w:rPr>
                <w:b/>
                <w:szCs w:val="24"/>
              </w:rPr>
              <w:t>Discounted at 3%</w:t>
            </w:r>
          </w:p>
        </w:tc>
        <w:tc>
          <w:tcPr>
            <w:tcW w:w="4061" w:type="dxa"/>
            <w:gridSpan w:val="3"/>
            <w:shd w:val="clear" w:color="auto" w:fill="BFBFBF" w:themeFill="background1" w:themeFillShade="BF"/>
            <w:vAlign w:val="center"/>
          </w:tcPr>
          <w:p w14:paraId="44A163DE" w14:textId="77777777" w:rsidR="000F0490" w:rsidRPr="004B3295" w:rsidRDefault="000F5B51" w:rsidP="007550E2">
            <w:pPr>
              <w:spacing w:line="240" w:lineRule="auto"/>
              <w:jc w:val="center"/>
              <w:rPr>
                <w:b/>
                <w:szCs w:val="24"/>
              </w:rPr>
            </w:pPr>
            <w:r w:rsidRPr="004B3295">
              <w:rPr>
                <w:b/>
                <w:szCs w:val="24"/>
              </w:rPr>
              <w:t>Discounted at 7%</w:t>
            </w:r>
          </w:p>
        </w:tc>
      </w:tr>
      <w:tr w:rsidR="00A15C2C" w14:paraId="5015EA04" w14:textId="77777777" w:rsidTr="007550E2">
        <w:trPr>
          <w:trHeight w:val="114"/>
        </w:trPr>
        <w:tc>
          <w:tcPr>
            <w:tcW w:w="2065" w:type="dxa"/>
            <w:vMerge/>
            <w:shd w:val="clear" w:color="auto" w:fill="BFBFBF" w:themeFill="background1" w:themeFillShade="BF"/>
          </w:tcPr>
          <w:p w14:paraId="3958CBA0" w14:textId="77777777" w:rsidR="000F0490" w:rsidRPr="004B3295" w:rsidRDefault="000F0490" w:rsidP="007550E2">
            <w:pPr>
              <w:spacing w:line="240" w:lineRule="auto"/>
              <w:jc w:val="center"/>
              <w:rPr>
                <w:b/>
                <w:szCs w:val="24"/>
              </w:rPr>
            </w:pPr>
          </w:p>
        </w:tc>
        <w:tc>
          <w:tcPr>
            <w:tcW w:w="1350" w:type="dxa"/>
            <w:shd w:val="clear" w:color="auto" w:fill="BFBFBF" w:themeFill="background1" w:themeFillShade="BF"/>
            <w:vAlign w:val="center"/>
          </w:tcPr>
          <w:p w14:paraId="1E889105" w14:textId="77777777" w:rsidR="000F0490" w:rsidRPr="004B3295" w:rsidRDefault="000F5B51" w:rsidP="007550E2">
            <w:pPr>
              <w:spacing w:line="240" w:lineRule="auto"/>
              <w:jc w:val="center"/>
              <w:rPr>
                <w:b/>
                <w:szCs w:val="24"/>
              </w:rPr>
            </w:pPr>
            <w:r>
              <w:rPr>
                <w:b/>
                <w:szCs w:val="24"/>
              </w:rPr>
              <w:t>Monetized Benefits</w:t>
            </w:r>
          </w:p>
        </w:tc>
        <w:tc>
          <w:tcPr>
            <w:tcW w:w="1170" w:type="dxa"/>
            <w:shd w:val="clear" w:color="auto" w:fill="BFBFBF" w:themeFill="background1" w:themeFillShade="BF"/>
            <w:vAlign w:val="center"/>
          </w:tcPr>
          <w:p w14:paraId="783022C3" w14:textId="77777777" w:rsidR="000F0490" w:rsidRPr="004B3295" w:rsidRDefault="000F5B51" w:rsidP="007550E2">
            <w:pPr>
              <w:spacing w:line="240" w:lineRule="auto"/>
              <w:jc w:val="center"/>
              <w:rPr>
                <w:rFonts w:cs="Times New Roman"/>
                <w:b/>
                <w:szCs w:val="24"/>
              </w:rPr>
            </w:pPr>
            <w:r w:rsidRPr="004B3295">
              <w:rPr>
                <w:rFonts w:cs="Times New Roman"/>
                <w:b/>
                <w:szCs w:val="24"/>
              </w:rPr>
              <w:t>Cost</w:t>
            </w:r>
          </w:p>
        </w:tc>
        <w:tc>
          <w:tcPr>
            <w:tcW w:w="1350" w:type="dxa"/>
            <w:shd w:val="clear" w:color="auto" w:fill="BFBFBF" w:themeFill="background1" w:themeFillShade="BF"/>
            <w:vAlign w:val="center"/>
          </w:tcPr>
          <w:p w14:paraId="69B28AA6" w14:textId="77777777" w:rsidR="000F0490" w:rsidRPr="004B3295" w:rsidRDefault="000F5B51" w:rsidP="007550E2">
            <w:pPr>
              <w:spacing w:line="240" w:lineRule="auto"/>
              <w:jc w:val="center"/>
              <w:rPr>
                <w:rFonts w:cs="Times New Roman"/>
                <w:b/>
                <w:szCs w:val="24"/>
              </w:rPr>
            </w:pPr>
            <w:r>
              <w:rPr>
                <w:b/>
                <w:szCs w:val="24"/>
              </w:rPr>
              <w:t>Net Benefits</w:t>
            </w:r>
          </w:p>
        </w:tc>
        <w:tc>
          <w:tcPr>
            <w:tcW w:w="1353" w:type="dxa"/>
            <w:shd w:val="clear" w:color="auto" w:fill="BFBFBF" w:themeFill="background1" w:themeFillShade="BF"/>
            <w:vAlign w:val="center"/>
          </w:tcPr>
          <w:p w14:paraId="017DED3B" w14:textId="77777777" w:rsidR="000F0490" w:rsidRPr="004B3295" w:rsidRDefault="000F5B51" w:rsidP="007550E2">
            <w:pPr>
              <w:spacing w:line="240" w:lineRule="auto"/>
              <w:jc w:val="center"/>
              <w:rPr>
                <w:b/>
                <w:szCs w:val="24"/>
              </w:rPr>
            </w:pPr>
            <w:r>
              <w:rPr>
                <w:b/>
                <w:szCs w:val="24"/>
              </w:rPr>
              <w:t>Monetized Benefits</w:t>
            </w:r>
          </w:p>
        </w:tc>
        <w:tc>
          <w:tcPr>
            <w:tcW w:w="1354" w:type="dxa"/>
            <w:shd w:val="clear" w:color="auto" w:fill="BFBFBF" w:themeFill="background1" w:themeFillShade="BF"/>
            <w:vAlign w:val="center"/>
          </w:tcPr>
          <w:p w14:paraId="5702ABA0" w14:textId="77777777" w:rsidR="000F0490" w:rsidRPr="004B3295" w:rsidRDefault="000F5B51" w:rsidP="007550E2">
            <w:pPr>
              <w:spacing w:line="240" w:lineRule="auto"/>
              <w:jc w:val="center"/>
              <w:rPr>
                <w:b/>
                <w:szCs w:val="24"/>
              </w:rPr>
            </w:pPr>
            <w:r w:rsidRPr="004B3295">
              <w:rPr>
                <w:b/>
                <w:szCs w:val="24"/>
              </w:rPr>
              <w:t>Cost</w:t>
            </w:r>
          </w:p>
        </w:tc>
        <w:tc>
          <w:tcPr>
            <w:tcW w:w="1354" w:type="dxa"/>
            <w:shd w:val="clear" w:color="auto" w:fill="BFBFBF" w:themeFill="background1" w:themeFillShade="BF"/>
            <w:vAlign w:val="center"/>
          </w:tcPr>
          <w:p w14:paraId="1C7F0600" w14:textId="77777777" w:rsidR="000F0490" w:rsidRPr="004B3295" w:rsidRDefault="000F5B51" w:rsidP="007550E2">
            <w:pPr>
              <w:spacing w:line="240" w:lineRule="auto"/>
              <w:jc w:val="center"/>
              <w:rPr>
                <w:b/>
                <w:szCs w:val="24"/>
              </w:rPr>
            </w:pPr>
            <w:r>
              <w:rPr>
                <w:b/>
                <w:szCs w:val="24"/>
              </w:rPr>
              <w:t>Net Benefits</w:t>
            </w:r>
          </w:p>
        </w:tc>
      </w:tr>
      <w:tr w:rsidR="00A15C2C" w14:paraId="0D3B1A17" w14:textId="77777777" w:rsidTr="007550E2">
        <w:trPr>
          <w:trHeight w:val="114"/>
        </w:trPr>
        <w:tc>
          <w:tcPr>
            <w:tcW w:w="2065" w:type="dxa"/>
            <w:vAlign w:val="center"/>
          </w:tcPr>
          <w:p w14:paraId="73BF883F" w14:textId="77777777" w:rsidR="000F0490" w:rsidRPr="004B3295" w:rsidRDefault="000F5B51" w:rsidP="007550E2">
            <w:pPr>
              <w:spacing w:line="240" w:lineRule="auto"/>
              <w:rPr>
                <w:rFonts w:cs="Times New Roman"/>
                <w:szCs w:val="24"/>
              </w:rPr>
            </w:pPr>
            <w:r>
              <w:rPr>
                <w:rFonts w:cs="Times New Roman"/>
                <w:szCs w:val="24"/>
              </w:rPr>
              <w:t>Front Center Seat</w:t>
            </w:r>
          </w:p>
        </w:tc>
        <w:tc>
          <w:tcPr>
            <w:tcW w:w="1350" w:type="dxa"/>
            <w:vAlign w:val="center"/>
          </w:tcPr>
          <w:p w14:paraId="15DACF34" w14:textId="77777777" w:rsidR="000F0490" w:rsidRPr="004B3295" w:rsidRDefault="000F5B51" w:rsidP="007550E2">
            <w:pPr>
              <w:spacing w:line="240" w:lineRule="auto"/>
              <w:jc w:val="center"/>
              <w:rPr>
                <w:rFonts w:cs="Times New Roman"/>
                <w:szCs w:val="24"/>
              </w:rPr>
            </w:pPr>
            <w:r>
              <w:rPr>
                <w:rFonts w:cs="Times New Roman"/>
                <w:szCs w:val="24"/>
              </w:rPr>
              <w:t>$1.60</w:t>
            </w:r>
          </w:p>
        </w:tc>
        <w:tc>
          <w:tcPr>
            <w:tcW w:w="1170" w:type="dxa"/>
            <w:vAlign w:val="center"/>
          </w:tcPr>
          <w:p w14:paraId="064BAA2D" w14:textId="77777777" w:rsidR="000F0490" w:rsidRPr="004B3295" w:rsidRDefault="000F5B51" w:rsidP="007550E2">
            <w:pPr>
              <w:spacing w:line="240" w:lineRule="auto"/>
              <w:jc w:val="center"/>
              <w:rPr>
                <w:szCs w:val="24"/>
              </w:rPr>
            </w:pPr>
            <w:r>
              <w:rPr>
                <w:szCs w:val="24"/>
              </w:rPr>
              <w:t>$11.89</w:t>
            </w:r>
          </w:p>
        </w:tc>
        <w:tc>
          <w:tcPr>
            <w:tcW w:w="1350" w:type="dxa"/>
            <w:vAlign w:val="center"/>
          </w:tcPr>
          <w:p w14:paraId="1FCC413D" w14:textId="77777777" w:rsidR="000F0490" w:rsidRPr="004B3295" w:rsidRDefault="000F5B51" w:rsidP="007550E2">
            <w:pPr>
              <w:spacing w:line="240" w:lineRule="auto"/>
              <w:jc w:val="center"/>
              <w:rPr>
                <w:szCs w:val="24"/>
              </w:rPr>
            </w:pPr>
            <w:r>
              <w:rPr>
                <w:szCs w:val="24"/>
              </w:rPr>
              <w:t>-$10.29</w:t>
            </w:r>
          </w:p>
        </w:tc>
        <w:tc>
          <w:tcPr>
            <w:tcW w:w="1353" w:type="dxa"/>
            <w:vAlign w:val="center"/>
          </w:tcPr>
          <w:p w14:paraId="79EF802C" w14:textId="77777777" w:rsidR="000F0490" w:rsidRPr="004B3295" w:rsidRDefault="000F5B51" w:rsidP="007550E2">
            <w:pPr>
              <w:spacing w:line="240" w:lineRule="auto"/>
              <w:jc w:val="center"/>
              <w:rPr>
                <w:szCs w:val="24"/>
              </w:rPr>
            </w:pPr>
            <w:r>
              <w:rPr>
                <w:szCs w:val="24"/>
              </w:rPr>
              <w:t>$1.29</w:t>
            </w:r>
          </w:p>
        </w:tc>
        <w:tc>
          <w:tcPr>
            <w:tcW w:w="1354" w:type="dxa"/>
            <w:vAlign w:val="center"/>
          </w:tcPr>
          <w:p w14:paraId="74150EF8" w14:textId="77777777" w:rsidR="000F0490" w:rsidRPr="004B3295" w:rsidRDefault="000F5B51" w:rsidP="007550E2">
            <w:pPr>
              <w:spacing w:line="240" w:lineRule="auto"/>
              <w:jc w:val="center"/>
              <w:rPr>
                <w:szCs w:val="24"/>
              </w:rPr>
            </w:pPr>
            <w:r>
              <w:rPr>
                <w:szCs w:val="24"/>
              </w:rPr>
              <w:t>$11.89</w:t>
            </w:r>
          </w:p>
        </w:tc>
        <w:tc>
          <w:tcPr>
            <w:tcW w:w="1354" w:type="dxa"/>
            <w:vAlign w:val="center"/>
          </w:tcPr>
          <w:p w14:paraId="66EC2B04" w14:textId="77777777" w:rsidR="000F0490" w:rsidRPr="004B3295" w:rsidRDefault="000F5B51" w:rsidP="007550E2">
            <w:pPr>
              <w:spacing w:line="240" w:lineRule="auto"/>
              <w:jc w:val="center"/>
              <w:rPr>
                <w:szCs w:val="24"/>
              </w:rPr>
            </w:pPr>
            <w:r>
              <w:rPr>
                <w:szCs w:val="24"/>
              </w:rPr>
              <w:t>-$10.59</w:t>
            </w:r>
          </w:p>
        </w:tc>
      </w:tr>
    </w:tbl>
    <w:p w14:paraId="2F648B78" w14:textId="77777777" w:rsidR="000F0490" w:rsidRDefault="000F0490" w:rsidP="000F0490">
      <w:pPr>
        <w:pStyle w:val="NoSpaceTimes"/>
      </w:pPr>
    </w:p>
    <w:p w14:paraId="3F474D64" w14:textId="77777777" w:rsidR="000F0490" w:rsidRDefault="000F5B51" w:rsidP="000F0490">
      <w:pPr>
        <w:spacing w:after="0"/>
        <w:contextualSpacing/>
        <w:rPr>
          <w:rFonts w:eastAsia="Times New Roman" w:cs="Times New Roman"/>
          <w:color w:val="000000"/>
          <w:szCs w:val="24"/>
        </w:rPr>
      </w:pPr>
      <w:r w:rsidRPr="005D5230">
        <w:rPr>
          <w:rFonts w:eastAsia="Times New Roman" w:cs="Times New Roman"/>
          <w:color w:val="000000"/>
          <w:szCs w:val="24"/>
        </w:rPr>
        <w:t xml:space="preserve">As this analysis finds that </w:t>
      </w:r>
      <w:r>
        <w:rPr>
          <w:rFonts w:eastAsia="Times New Roman" w:cs="Times New Roman"/>
          <w:color w:val="000000"/>
          <w:szCs w:val="24"/>
        </w:rPr>
        <w:t xml:space="preserve">requirement for SBWS for </w:t>
      </w:r>
      <w:r w:rsidRPr="005D5230">
        <w:rPr>
          <w:rFonts w:eastAsia="Times New Roman" w:cs="Times New Roman"/>
          <w:color w:val="000000"/>
          <w:szCs w:val="24"/>
        </w:rPr>
        <w:t xml:space="preserve">front center seat </w:t>
      </w:r>
      <w:r>
        <w:rPr>
          <w:rFonts w:eastAsia="Times New Roman" w:cs="Times New Roman"/>
          <w:color w:val="000000"/>
          <w:szCs w:val="24"/>
        </w:rPr>
        <w:t>passengers</w:t>
      </w:r>
      <w:r w:rsidRPr="005D5230">
        <w:rPr>
          <w:rFonts w:eastAsia="Times New Roman" w:cs="Times New Roman"/>
          <w:color w:val="000000"/>
          <w:szCs w:val="24"/>
        </w:rPr>
        <w:t xml:space="preserve"> is not cost-effective or net beneficial</w:t>
      </w:r>
      <w:r>
        <w:rPr>
          <w:rFonts w:eastAsia="Times New Roman" w:cs="Times New Roman"/>
          <w:color w:val="000000"/>
          <w:szCs w:val="24"/>
        </w:rPr>
        <w:t>,</w:t>
      </w:r>
      <w:r w:rsidRPr="005D5230">
        <w:rPr>
          <w:rFonts w:eastAsia="Times New Roman" w:cs="Times New Roman"/>
          <w:color w:val="000000"/>
          <w:szCs w:val="24"/>
        </w:rPr>
        <w:t xml:space="preserve"> the agency did not include this requirement in the proposed rule. </w:t>
      </w:r>
    </w:p>
    <w:p w14:paraId="2D70C427" w14:textId="77777777" w:rsidR="00EE5291" w:rsidRDefault="000F5B51" w:rsidP="00EE5291">
      <w:pPr>
        <w:pStyle w:val="Heading2"/>
        <w:spacing w:line="240" w:lineRule="auto"/>
      </w:pPr>
      <w:bookmarkStart w:id="1755" w:name="_Toc142903006"/>
      <w:r>
        <w:t>90-Second Warning for Front Seat Occupants</w:t>
      </w:r>
      <w:bookmarkEnd w:id="1755"/>
    </w:p>
    <w:p w14:paraId="5A21E94D" w14:textId="77777777" w:rsidR="00A22E3F" w:rsidRPr="00897AED" w:rsidRDefault="000F5B51" w:rsidP="00A22E3F">
      <w:pPr>
        <w:spacing w:after="0"/>
        <w:contextualSpacing/>
        <w:rPr>
          <w:bCs/>
        </w:rPr>
      </w:pPr>
      <w:r>
        <w:rPr>
          <w:bCs/>
        </w:rPr>
        <w:t>NHTSA considered specifying a 90-second warning for front seat occupants instead of an indefinite warning system</w:t>
      </w:r>
      <w:r w:rsidR="001F2F92">
        <w:rPr>
          <w:bCs/>
        </w:rPr>
        <w:t xml:space="preserve">. </w:t>
      </w:r>
      <w:r w:rsidR="00564B39">
        <w:rPr>
          <w:bCs/>
        </w:rPr>
        <w:t xml:space="preserve">As was noted earlier, the </w:t>
      </w:r>
      <w:r w:rsidR="00564B39">
        <w:rPr>
          <w:rFonts w:cs="Times New Roman"/>
          <w:szCs w:val="24"/>
        </w:rPr>
        <w:t xml:space="preserve">Kidd study found that moving from a </w:t>
      </w:r>
      <w:r w:rsidR="005A1548">
        <w:rPr>
          <w:rFonts w:cs="Times New Roman"/>
          <w:szCs w:val="24"/>
        </w:rPr>
        <w:t>seven</w:t>
      </w:r>
      <w:r w:rsidR="00564B39">
        <w:rPr>
          <w:rFonts w:cs="Times New Roman"/>
          <w:szCs w:val="24"/>
        </w:rPr>
        <w:t xml:space="preserve">-second warning to a </w:t>
      </w:r>
      <w:r w:rsidR="00B1453F">
        <w:rPr>
          <w:rFonts w:cs="Times New Roman"/>
          <w:szCs w:val="24"/>
        </w:rPr>
        <w:t>90-second warning increase</w:t>
      </w:r>
      <w:r w:rsidR="00293FC0">
        <w:rPr>
          <w:rFonts w:cs="Times New Roman"/>
          <w:szCs w:val="24"/>
        </w:rPr>
        <w:t>d</w:t>
      </w:r>
      <w:r w:rsidR="00B1453F">
        <w:rPr>
          <w:rFonts w:cs="Times New Roman"/>
          <w:szCs w:val="24"/>
        </w:rPr>
        <w:t xml:space="preserve"> seat belt use by 30 percent</w:t>
      </w:r>
      <w:r w:rsidR="00DB63F4">
        <w:rPr>
          <w:rFonts w:cs="Times New Roman"/>
          <w:szCs w:val="24"/>
        </w:rPr>
        <w:t xml:space="preserve">. In comparison moving from a </w:t>
      </w:r>
      <w:r w:rsidR="005A1548">
        <w:rPr>
          <w:rFonts w:cs="Times New Roman"/>
          <w:szCs w:val="24"/>
        </w:rPr>
        <w:t>seven</w:t>
      </w:r>
      <w:r w:rsidR="00DB63F4">
        <w:rPr>
          <w:rFonts w:cs="Times New Roman"/>
          <w:szCs w:val="24"/>
        </w:rPr>
        <w:t>-second warning to the indefinite warning increased seat belt use by 34 percent</w:t>
      </w:r>
      <w:r w:rsidR="001F2F92">
        <w:rPr>
          <w:rFonts w:cs="Times New Roman"/>
          <w:szCs w:val="24"/>
        </w:rPr>
        <w:t xml:space="preserve">. </w:t>
      </w:r>
      <w:r w:rsidR="00DB63F4">
        <w:rPr>
          <w:rFonts w:cs="Times New Roman"/>
          <w:szCs w:val="24"/>
        </w:rPr>
        <w:t xml:space="preserve">Taking into account the lesser impact of the 90-second </w:t>
      </w:r>
      <w:r w:rsidR="00573B56">
        <w:rPr>
          <w:rFonts w:cs="Times New Roman"/>
          <w:szCs w:val="24"/>
        </w:rPr>
        <w:t>warning relative to an indefinite warning</w:t>
      </w:r>
      <w:r>
        <w:rPr>
          <w:rFonts w:cs="Times New Roman"/>
          <w:szCs w:val="24"/>
        </w:rPr>
        <w:t>, this analysis assumes that the 90-second warning system will only impact those who sometimes use seat belts</w:t>
      </w:r>
      <w:r w:rsidR="001F2F92">
        <w:rPr>
          <w:rFonts w:cs="Times New Roman"/>
          <w:szCs w:val="24"/>
        </w:rPr>
        <w:t xml:space="preserve">. </w:t>
      </w:r>
      <w:r>
        <w:rPr>
          <w:rFonts w:cs="Times New Roman"/>
          <w:szCs w:val="24"/>
        </w:rPr>
        <w:t xml:space="preserve">That is, the move from a </w:t>
      </w:r>
      <w:r w:rsidR="00293FC0">
        <w:rPr>
          <w:rFonts w:cs="Times New Roman"/>
          <w:szCs w:val="24"/>
        </w:rPr>
        <w:t>seven</w:t>
      </w:r>
      <w:r>
        <w:rPr>
          <w:rFonts w:cs="Times New Roman"/>
          <w:szCs w:val="24"/>
        </w:rPr>
        <w:t xml:space="preserve">-second warning to 90-second warning </w:t>
      </w:r>
      <w:r w:rsidR="00293FC0">
        <w:rPr>
          <w:rFonts w:cs="Times New Roman"/>
          <w:szCs w:val="24"/>
        </w:rPr>
        <w:t>would have</w:t>
      </w:r>
      <w:r>
        <w:rPr>
          <w:rFonts w:cs="Times New Roman"/>
          <w:szCs w:val="24"/>
        </w:rPr>
        <w:t xml:space="preserve"> no impact on th</w:t>
      </w:r>
      <w:r w:rsidR="00573B56">
        <w:rPr>
          <w:rFonts w:cs="Times New Roman"/>
          <w:szCs w:val="24"/>
        </w:rPr>
        <w:t>ose</w:t>
      </w:r>
      <w:r>
        <w:rPr>
          <w:rFonts w:cs="Times New Roman"/>
          <w:szCs w:val="24"/>
        </w:rPr>
        <w:t xml:space="preserve"> who never use seat belts</w:t>
      </w:r>
      <w:r w:rsidR="001F2F92">
        <w:rPr>
          <w:rFonts w:cs="Times New Roman"/>
          <w:szCs w:val="24"/>
        </w:rPr>
        <w:t xml:space="preserve">. </w:t>
      </w:r>
      <w:r>
        <w:rPr>
          <w:rFonts w:cs="Times New Roman"/>
          <w:szCs w:val="24"/>
        </w:rPr>
        <w:t>We request comment on that assumption.</w:t>
      </w:r>
    </w:p>
    <w:p w14:paraId="620026B5" w14:textId="25F2C891" w:rsidR="00DB2F37" w:rsidRDefault="000F5B51">
      <w:pPr>
        <w:spacing w:after="0"/>
        <w:contextualSpacing/>
        <w:rPr>
          <w:rFonts w:cs="Times New Roman"/>
          <w:szCs w:val="24"/>
        </w:rPr>
      </w:pPr>
      <w:r>
        <w:rPr>
          <w:bCs/>
        </w:rPr>
        <w:fldChar w:fldCharType="begin"/>
      </w:r>
      <w:r>
        <w:rPr>
          <w:bCs/>
        </w:rPr>
        <w:instrText xml:space="preserve"> REF _Ref126907310 \h </w:instrText>
      </w:r>
      <w:r>
        <w:rPr>
          <w:bCs/>
        </w:rPr>
      </w:r>
      <w:r>
        <w:rPr>
          <w:bCs/>
        </w:rPr>
        <w:fldChar w:fldCharType="separate"/>
      </w:r>
      <w:r w:rsidR="00A65CB3" w:rsidRPr="000F3C79">
        <w:t xml:space="preserve">Table </w:t>
      </w:r>
      <w:r w:rsidR="00A65CB3">
        <w:rPr>
          <w:noProof/>
        </w:rPr>
        <w:t>95</w:t>
      </w:r>
      <w:r>
        <w:rPr>
          <w:bCs/>
        </w:rPr>
        <w:fldChar w:fldCharType="end"/>
      </w:r>
      <w:r w:rsidR="008444AB">
        <w:rPr>
          <w:bCs/>
        </w:rPr>
        <w:t xml:space="preserve"> presents the ratio of increase in seat belt use for </w:t>
      </w:r>
      <w:r w:rsidR="001F710D">
        <w:rPr>
          <w:bCs/>
        </w:rPr>
        <w:t>front seat occupants</w:t>
      </w:r>
      <w:r w:rsidR="00FD20CA">
        <w:rPr>
          <w:bCs/>
        </w:rPr>
        <w:t xml:space="preserve"> when moving from a </w:t>
      </w:r>
      <w:r w:rsidR="00293FC0">
        <w:rPr>
          <w:bCs/>
        </w:rPr>
        <w:t>seven</w:t>
      </w:r>
      <w:r w:rsidR="00FD20CA">
        <w:rPr>
          <w:bCs/>
        </w:rPr>
        <w:t>-second warning to a 90-second warning</w:t>
      </w:r>
      <w:r w:rsidR="001F2F92">
        <w:rPr>
          <w:bCs/>
        </w:rPr>
        <w:t xml:space="preserve">. </w:t>
      </w:r>
      <w:r w:rsidR="00FD20CA">
        <w:rPr>
          <w:bCs/>
        </w:rPr>
        <w:t xml:space="preserve">The calculation of the ratio of increase follows </w:t>
      </w:r>
      <w:r w:rsidR="00FD20CA">
        <w:rPr>
          <w:bCs/>
        </w:rPr>
        <w:lastRenderedPageBreak/>
        <w:t xml:space="preserve">the same procedure as that in the main analysis with the exception of the impact that the warning system has on those who reported </w:t>
      </w:r>
      <w:r w:rsidR="001F710D">
        <w:rPr>
          <w:bCs/>
        </w:rPr>
        <w:t>never using seat belts.</w:t>
      </w:r>
    </w:p>
    <w:p w14:paraId="3AD9D1A2" w14:textId="139062AE" w:rsidR="00DB2F37" w:rsidRPr="000F3C79" w:rsidRDefault="000F5B51" w:rsidP="00DB2F37">
      <w:pPr>
        <w:pStyle w:val="Caption"/>
        <w:rPr>
          <w:rFonts w:cs="Times New Roman"/>
          <w:szCs w:val="24"/>
        </w:rPr>
      </w:pPr>
      <w:bookmarkStart w:id="1756" w:name="_Ref126907310"/>
      <w:r w:rsidRPr="000F3C79">
        <w:t xml:space="preserve">Table </w:t>
      </w:r>
      <w:r w:rsidRPr="00572735">
        <w:fldChar w:fldCharType="begin"/>
      </w:r>
      <w:r w:rsidRPr="000F3C79">
        <w:instrText xml:space="preserve"> SEQ Table \* ARABIC </w:instrText>
      </w:r>
      <w:r w:rsidRPr="00572735">
        <w:fldChar w:fldCharType="separate"/>
      </w:r>
      <w:r w:rsidR="00A65CB3">
        <w:rPr>
          <w:noProof/>
        </w:rPr>
        <w:t>95</w:t>
      </w:r>
      <w:r w:rsidRPr="00572735">
        <w:fldChar w:fldCharType="end"/>
      </w:r>
      <w:bookmarkEnd w:id="1756"/>
      <w:r w:rsidRPr="000F3C79">
        <w:t>: Ratio of Increase In Seat Belt Use for Front Seat Occupants</w:t>
      </w:r>
      <w:r w:rsidR="00573B56">
        <w:t xml:space="preserve"> for 90-Second Warning</w:t>
      </w:r>
    </w:p>
    <w:tbl>
      <w:tblPr>
        <w:tblW w:w="0" w:type="auto"/>
        <w:jc w:val="center"/>
        <w:tblCellMar>
          <w:left w:w="0" w:type="dxa"/>
          <w:right w:w="0" w:type="dxa"/>
        </w:tblCellMar>
        <w:tblLook w:val="04A0" w:firstRow="1" w:lastRow="0" w:firstColumn="1" w:lastColumn="0" w:noHBand="0" w:noVBand="1"/>
      </w:tblPr>
      <w:tblGrid>
        <w:gridCol w:w="3050"/>
        <w:gridCol w:w="2461"/>
        <w:gridCol w:w="2753"/>
      </w:tblGrid>
      <w:tr w:rsidR="00A15C2C" w14:paraId="429F2563" w14:textId="77777777" w:rsidTr="0021691D">
        <w:trPr>
          <w:trHeight w:val="894"/>
          <w:jc w:val="center"/>
        </w:trPr>
        <w:tc>
          <w:tcPr>
            <w:tcW w:w="30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14C128F" w14:textId="77777777" w:rsidR="00DB2F37" w:rsidRPr="00572735" w:rsidRDefault="000F5B51">
            <w:pPr>
              <w:spacing w:after="0" w:line="240" w:lineRule="auto"/>
              <w:rPr>
                <w:b/>
                <w:bCs/>
                <w:sz w:val="22"/>
              </w:rPr>
            </w:pPr>
            <w:r w:rsidRPr="00572735">
              <w:rPr>
                <w:b/>
                <w:bCs/>
              </w:rPr>
              <w:t>Seating position</w:t>
            </w:r>
          </w:p>
        </w:tc>
        <w:tc>
          <w:tcPr>
            <w:tcW w:w="24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E70E890" w14:textId="77777777" w:rsidR="00DB2F37" w:rsidRPr="00572735" w:rsidRDefault="000F5B51" w:rsidP="0021691D">
            <w:pPr>
              <w:spacing w:after="0" w:line="240" w:lineRule="auto"/>
              <w:jc w:val="center"/>
              <w:rPr>
                <w:b/>
                <w:bCs/>
              </w:rPr>
            </w:pPr>
            <w:r w:rsidRPr="00572735">
              <w:rPr>
                <w:b/>
                <w:bCs/>
              </w:rPr>
              <w:t>Warning system</w:t>
            </w:r>
            <w:r>
              <w:rPr>
                <w:b/>
                <w:bCs/>
              </w:rPr>
              <w:t xml:space="preserve"> Change</w:t>
            </w:r>
          </w:p>
        </w:tc>
        <w:tc>
          <w:tcPr>
            <w:tcW w:w="2753"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7C96DCBC" w14:textId="77777777" w:rsidR="00DB2F37" w:rsidRPr="001E7DC7" w:rsidRDefault="000F5B51" w:rsidP="00A807D0">
            <w:pPr>
              <w:spacing w:after="0" w:line="240" w:lineRule="auto"/>
              <w:jc w:val="center"/>
              <w:rPr>
                <w:b/>
              </w:rPr>
            </w:pPr>
            <w:r>
              <w:rPr>
                <w:b/>
                <w:bCs/>
              </w:rPr>
              <w:t>Ratio of Increase</w:t>
            </w:r>
          </w:p>
        </w:tc>
      </w:tr>
      <w:tr w:rsidR="00A15C2C" w14:paraId="4E7592AF" w14:textId="77777777" w:rsidTr="0021691D">
        <w:trPr>
          <w:trHeight w:val="304"/>
          <w:jc w:val="center"/>
        </w:trPr>
        <w:tc>
          <w:tcPr>
            <w:tcW w:w="3050" w:type="dxa"/>
            <w:tcBorders>
              <w:top w:val="nil"/>
              <w:left w:val="single" w:sz="8" w:space="0" w:color="auto"/>
              <w:bottom w:val="single" w:sz="8" w:space="0" w:color="auto"/>
              <w:right w:val="single" w:sz="8" w:space="0" w:color="auto"/>
            </w:tcBorders>
            <w:shd w:val="clear" w:color="auto" w:fill="auto"/>
            <w:vAlign w:val="center"/>
            <w:hideMark/>
          </w:tcPr>
          <w:p w14:paraId="6E6A2200" w14:textId="77777777" w:rsidR="004E7BF1" w:rsidRPr="00D65552" w:rsidRDefault="000F5B51">
            <w:pPr>
              <w:spacing w:after="0" w:line="240" w:lineRule="auto"/>
              <w:rPr>
                <w:rFonts w:cs="Times New Roman"/>
                <w:szCs w:val="24"/>
              </w:rPr>
            </w:pPr>
            <w:r w:rsidRPr="00D65552">
              <w:rPr>
                <w:rFonts w:cs="Times New Roman"/>
                <w:szCs w:val="24"/>
              </w:rPr>
              <w:t xml:space="preserve">  Driver</w:t>
            </w:r>
          </w:p>
        </w:tc>
        <w:tc>
          <w:tcPr>
            <w:tcW w:w="2461" w:type="dxa"/>
            <w:vMerge w:val="restart"/>
            <w:tcBorders>
              <w:top w:val="nil"/>
              <w:left w:val="nil"/>
              <w:right w:val="single" w:sz="8" w:space="0" w:color="auto"/>
            </w:tcBorders>
            <w:shd w:val="clear" w:color="auto" w:fill="auto"/>
            <w:tcMar>
              <w:top w:w="0" w:type="dxa"/>
              <w:left w:w="108" w:type="dxa"/>
              <w:bottom w:w="0" w:type="dxa"/>
              <w:right w:w="108" w:type="dxa"/>
            </w:tcMar>
            <w:vAlign w:val="center"/>
            <w:hideMark/>
          </w:tcPr>
          <w:p w14:paraId="78A74E6F" w14:textId="77777777" w:rsidR="004E7BF1" w:rsidRPr="00D65552" w:rsidRDefault="000F5B51" w:rsidP="0021691D">
            <w:pPr>
              <w:spacing w:after="0" w:line="240" w:lineRule="auto"/>
              <w:jc w:val="center"/>
            </w:pPr>
            <w:r w:rsidRPr="00D65552">
              <w:t>7-second to 90-second</w:t>
            </w:r>
          </w:p>
        </w:tc>
        <w:tc>
          <w:tcPr>
            <w:tcW w:w="2753" w:type="dxa"/>
            <w:tcBorders>
              <w:top w:val="nil"/>
              <w:left w:val="nil"/>
              <w:bottom w:val="single" w:sz="8" w:space="0" w:color="auto"/>
              <w:right w:val="single" w:sz="8" w:space="0" w:color="auto"/>
            </w:tcBorders>
            <w:shd w:val="clear" w:color="auto" w:fill="FFFFFF" w:themeFill="background1"/>
            <w:vAlign w:val="center"/>
          </w:tcPr>
          <w:p w14:paraId="45790304" w14:textId="77777777" w:rsidR="004E7BF1" w:rsidRPr="00572735" w:rsidRDefault="000F5B51" w:rsidP="00A807D0">
            <w:pPr>
              <w:spacing w:after="0" w:line="240" w:lineRule="auto"/>
              <w:jc w:val="center"/>
            </w:pPr>
            <w:r w:rsidRPr="00572735">
              <w:t>1.010396</w:t>
            </w:r>
          </w:p>
        </w:tc>
      </w:tr>
      <w:tr w:rsidR="00A15C2C" w14:paraId="562C9C41" w14:textId="77777777" w:rsidTr="0021691D">
        <w:trPr>
          <w:trHeight w:val="593"/>
          <w:jc w:val="center"/>
        </w:trPr>
        <w:tc>
          <w:tcPr>
            <w:tcW w:w="3050" w:type="dxa"/>
            <w:tcBorders>
              <w:top w:val="nil"/>
              <w:left w:val="single" w:sz="8" w:space="0" w:color="auto"/>
              <w:bottom w:val="single" w:sz="8" w:space="0" w:color="auto"/>
              <w:right w:val="single" w:sz="8" w:space="0" w:color="auto"/>
            </w:tcBorders>
            <w:shd w:val="clear" w:color="auto" w:fill="auto"/>
            <w:vAlign w:val="center"/>
          </w:tcPr>
          <w:p w14:paraId="0F892270" w14:textId="77777777" w:rsidR="004E7BF1" w:rsidRPr="00D65552" w:rsidRDefault="000F5B51">
            <w:pPr>
              <w:spacing w:after="0" w:line="240" w:lineRule="auto"/>
              <w:rPr>
                <w:rFonts w:cs="Times New Roman"/>
                <w:szCs w:val="24"/>
              </w:rPr>
            </w:pPr>
            <w:r w:rsidRPr="00D65552">
              <w:rPr>
                <w:rFonts w:cs="Times New Roman"/>
                <w:szCs w:val="24"/>
              </w:rPr>
              <w:t xml:space="preserve">  Right Front Seat </w:t>
            </w:r>
            <w:r w:rsidR="001905D2" w:rsidRPr="00D65552">
              <w:rPr>
                <w:rFonts w:cs="Times New Roman"/>
                <w:szCs w:val="24"/>
              </w:rPr>
              <w:t>O</w:t>
            </w:r>
            <w:r w:rsidRPr="00D65552">
              <w:rPr>
                <w:rFonts w:cs="Times New Roman"/>
                <w:szCs w:val="24"/>
              </w:rPr>
              <w:t>ccupant</w:t>
            </w:r>
          </w:p>
        </w:tc>
        <w:tc>
          <w:tcPr>
            <w:tcW w:w="2461"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AFAD484" w14:textId="77777777" w:rsidR="004E7BF1" w:rsidRPr="00D65552" w:rsidRDefault="004E7BF1" w:rsidP="00A807D0">
            <w:pPr>
              <w:spacing w:after="0" w:line="240" w:lineRule="auto"/>
            </w:pPr>
          </w:p>
        </w:tc>
        <w:tc>
          <w:tcPr>
            <w:tcW w:w="2753" w:type="dxa"/>
            <w:tcBorders>
              <w:top w:val="nil"/>
              <w:left w:val="nil"/>
              <w:bottom w:val="single" w:sz="8" w:space="0" w:color="auto"/>
              <w:right w:val="single" w:sz="8" w:space="0" w:color="auto"/>
            </w:tcBorders>
            <w:shd w:val="clear" w:color="auto" w:fill="FFFFFF" w:themeFill="background1"/>
            <w:vAlign w:val="center"/>
          </w:tcPr>
          <w:p w14:paraId="23B79DC7" w14:textId="77777777" w:rsidR="004E7BF1" w:rsidRPr="00572735" w:rsidRDefault="000F5B51" w:rsidP="00A807D0">
            <w:pPr>
              <w:spacing w:after="0" w:line="240" w:lineRule="auto"/>
              <w:jc w:val="center"/>
            </w:pPr>
            <w:r>
              <w:t>1.006173</w:t>
            </w:r>
          </w:p>
        </w:tc>
      </w:tr>
    </w:tbl>
    <w:p w14:paraId="087355F7" w14:textId="77777777" w:rsidR="00DB2F37" w:rsidRDefault="00DB2F37" w:rsidP="0021691D">
      <w:pPr>
        <w:pStyle w:val="NoSpaceTimes"/>
      </w:pPr>
    </w:p>
    <w:p w14:paraId="4BB58ADE" w14:textId="53E8C220" w:rsidR="00DB2F37" w:rsidRPr="00CB45B3" w:rsidRDefault="000F5B51" w:rsidP="00DB2F37">
      <w:pPr>
        <w:spacing w:after="0"/>
        <w:contextualSpacing/>
        <w:rPr>
          <w:rFonts w:cs="Times New Roman"/>
          <w:szCs w:val="24"/>
        </w:rPr>
      </w:pPr>
      <w:r>
        <w:rPr>
          <w:rFonts w:cs="Times New Roman"/>
          <w:szCs w:val="24"/>
        </w:rPr>
        <w:fldChar w:fldCharType="begin"/>
      </w:r>
      <w:r>
        <w:rPr>
          <w:rFonts w:cs="Times New Roman"/>
          <w:szCs w:val="24"/>
        </w:rPr>
        <w:instrText xml:space="preserve"> REF _Ref126907316 \h </w:instrText>
      </w:r>
      <w:r>
        <w:rPr>
          <w:rFonts w:cs="Times New Roman"/>
          <w:szCs w:val="24"/>
        </w:rPr>
      </w:r>
      <w:r>
        <w:rPr>
          <w:rFonts w:cs="Times New Roman"/>
          <w:szCs w:val="24"/>
        </w:rPr>
        <w:fldChar w:fldCharType="separate"/>
      </w:r>
      <w:r w:rsidR="00A65CB3" w:rsidRPr="00CB45B3">
        <w:t xml:space="preserve">Table </w:t>
      </w:r>
      <w:r w:rsidR="00A65CB3">
        <w:rPr>
          <w:noProof/>
        </w:rPr>
        <w:t>96</w:t>
      </w:r>
      <w:r>
        <w:rPr>
          <w:rFonts w:cs="Times New Roman"/>
          <w:szCs w:val="24"/>
        </w:rPr>
        <w:fldChar w:fldCharType="end"/>
      </w:r>
      <w:r w:rsidR="001F710D">
        <w:rPr>
          <w:rFonts w:cs="Times New Roman"/>
          <w:szCs w:val="24"/>
        </w:rPr>
        <w:t xml:space="preserve"> </w:t>
      </w:r>
      <w:r w:rsidR="001F710D" w:rsidRPr="00CB45B3">
        <w:rPr>
          <w:rFonts w:cs="Times New Roman"/>
          <w:szCs w:val="24"/>
        </w:rPr>
        <w:t>presents the increase in seat belt use for drivers when moving from a seven-second warning to a 90-second warning</w:t>
      </w:r>
      <w:r w:rsidR="001F2F92" w:rsidRPr="00CB45B3">
        <w:rPr>
          <w:rFonts w:cs="Times New Roman"/>
          <w:szCs w:val="24"/>
        </w:rPr>
        <w:t xml:space="preserve">. </w:t>
      </w:r>
      <w:r w:rsidR="008E0907" w:rsidRPr="00CB45B3">
        <w:rPr>
          <w:rFonts w:cs="Times New Roman"/>
          <w:szCs w:val="24"/>
        </w:rPr>
        <w:t xml:space="preserve">When moving from a </w:t>
      </w:r>
      <w:r w:rsidR="00181C41" w:rsidRPr="00CB45B3">
        <w:rPr>
          <w:rFonts w:cs="Times New Roman"/>
          <w:szCs w:val="24"/>
        </w:rPr>
        <w:t>seven-second to a 90-second</w:t>
      </w:r>
      <w:r w:rsidR="008E0907" w:rsidRPr="00CB45B3">
        <w:rPr>
          <w:rFonts w:cs="Times New Roman"/>
          <w:szCs w:val="24"/>
        </w:rPr>
        <w:t xml:space="preserve"> warning, seat belt use would increase</w:t>
      </w:r>
      <w:r w:rsidR="00EA2594" w:rsidRPr="00CB45B3">
        <w:rPr>
          <w:rFonts w:cs="Times New Roman"/>
          <w:szCs w:val="24"/>
        </w:rPr>
        <w:t xml:space="preserve"> from 0.6127</w:t>
      </w:r>
      <w:r w:rsidR="008E0907" w:rsidRPr="00CB45B3">
        <w:rPr>
          <w:rFonts w:cs="Times New Roman"/>
          <w:szCs w:val="24"/>
        </w:rPr>
        <w:t xml:space="preserve"> to approximately 0.</w:t>
      </w:r>
      <w:r w:rsidR="00181C41" w:rsidRPr="00CB45B3">
        <w:rPr>
          <w:rFonts w:cs="Times New Roman"/>
          <w:szCs w:val="24"/>
        </w:rPr>
        <w:t>6191</w:t>
      </w:r>
      <w:r w:rsidR="008E0907" w:rsidRPr="00CB45B3">
        <w:rPr>
          <w:rFonts w:cs="Times New Roman"/>
          <w:szCs w:val="24"/>
        </w:rPr>
        <w:t xml:space="preserve"> in</w:t>
      </w:r>
      <w:r w:rsidR="005F0E59" w:rsidRPr="00CB45B3">
        <w:rPr>
          <w:rFonts w:cs="Times New Roman"/>
          <w:szCs w:val="24"/>
        </w:rPr>
        <w:t xml:space="preserve"> potentially</w:t>
      </w:r>
      <w:r w:rsidR="008E0907" w:rsidRPr="00CB45B3">
        <w:rPr>
          <w:rFonts w:cs="Times New Roman"/>
          <w:szCs w:val="24"/>
        </w:rPr>
        <w:t xml:space="preserve"> fatal crashes and </w:t>
      </w:r>
      <w:r w:rsidR="005B2CF9" w:rsidRPr="00CB45B3">
        <w:rPr>
          <w:rFonts w:cs="Times New Roman"/>
          <w:szCs w:val="24"/>
        </w:rPr>
        <w:t>from 0.</w:t>
      </w:r>
      <w:r w:rsidR="0029156A">
        <w:rPr>
          <w:rFonts w:cs="Times New Roman"/>
          <w:szCs w:val="24"/>
        </w:rPr>
        <w:t>7078</w:t>
      </w:r>
      <w:r w:rsidR="005B2CF9" w:rsidRPr="00CB45B3">
        <w:rPr>
          <w:rFonts w:cs="Times New Roman"/>
          <w:szCs w:val="24"/>
        </w:rPr>
        <w:t xml:space="preserve"> to </w:t>
      </w:r>
      <w:r w:rsidR="008E0907" w:rsidRPr="00CB45B3">
        <w:rPr>
          <w:rFonts w:cs="Times New Roman"/>
          <w:szCs w:val="24"/>
        </w:rPr>
        <w:t>approximately 0.</w:t>
      </w:r>
      <w:r w:rsidR="0029156A">
        <w:rPr>
          <w:rFonts w:cs="Times New Roman"/>
          <w:szCs w:val="24"/>
        </w:rPr>
        <w:t>7152</w:t>
      </w:r>
      <w:r w:rsidR="008E0907" w:rsidRPr="00CB45B3">
        <w:rPr>
          <w:rFonts w:cs="Times New Roman"/>
          <w:szCs w:val="24"/>
        </w:rPr>
        <w:t xml:space="preserve"> in crashes resulting in non-fatal injuries. </w:t>
      </w:r>
    </w:p>
    <w:p w14:paraId="0E9D51F3" w14:textId="727297A1" w:rsidR="00DB2F37" w:rsidRPr="00CB45B3" w:rsidRDefault="000F5B51" w:rsidP="00DB2F37">
      <w:pPr>
        <w:pStyle w:val="Caption"/>
        <w:rPr>
          <w:rFonts w:cs="Times New Roman"/>
          <w:szCs w:val="24"/>
        </w:rPr>
      </w:pPr>
      <w:bookmarkStart w:id="1757" w:name="_Ref126907316"/>
      <w:r w:rsidRPr="00CB45B3">
        <w:t xml:space="preserve">Table </w:t>
      </w:r>
      <w:r w:rsidR="001809B4">
        <w:fldChar w:fldCharType="begin"/>
      </w:r>
      <w:r w:rsidR="001809B4">
        <w:instrText xml:space="preserve"> SEQ Table \* ARABIC </w:instrText>
      </w:r>
      <w:r w:rsidR="001809B4">
        <w:fldChar w:fldCharType="separate"/>
      </w:r>
      <w:r w:rsidR="00A65CB3">
        <w:rPr>
          <w:noProof/>
        </w:rPr>
        <w:t>96</w:t>
      </w:r>
      <w:r w:rsidR="001809B4">
        <w:rPr>
          <w:noProof/>
        </w:rPr>
        <w:fldChar w:fldCharType="end"/>
      </w:r>
      <w:bookmarkEnd w:id="1757"/>
      <w:r w:rsidRPr="00CB45B3">
        <w:t>: Increase in Seat Belt Use for Drivers</w:t>
      </w:r>
      <w:r w:rsidR="002F20BF" w:rsidRPr="00CB45B3">
        <w:t xml:space="preserve"> for 90-Second Warning</w:t>
      </w:r>
    </w:p>
    <w:tbl>
      <w:tblPr>
        <w:tblW w:w="8185" w:type="dxa"/>
        <w:tblInd w:w="895" w:type="dxa"/>
        <w:tblLayout w:type="fixed"/>
        <w:tblCellMar>
          <w:left w:w="0" w:type="dxa"/>
          <w:right w:w="0" w:type="dxa"/>
        </w:tblCellMar>
        <w:tblLook w:val="04A0" w:firstRow="1" w:lastRow="0" w:firstColumn="1" w:lastColumn="0" w:noHBand="0" w:noVBand="1"/>
      </w:tblPr>
      <w:tblGrid>
        <w:gridCol w:w="2880"/>
        <w:gridCol w:w="2652"/>
        <w:gridCol w:w="2653"/>
      </w:tblGrid>
      <w:tr w:rsidR="00A15C2C" w:rsidRPr="00CB45B3" w14:paraId="7D1D2548" w14:textId="77777777" w:rsidTr="00A807D0">
        <w:trPr>
          <w:trHeight w:val="290"/>
        </w:trPr>
        <w:tc>
          <w:tcPr>
            <w:tcW w:w="288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445D8EF3" w14:textId="77777777" w:rsidR="00DB2F37" w:rsidRPr="00CB45B3" w:rsidRDefault="000F5B51" w:rsidP="00A807D0">
            <w:pPr>
              <w:spacing w:after="0" w:line="240" w:lineRule="auto"/>
              <w:rPr>
                <w:rFonts w:eastAsia="Times New Roman" w:cs="Times New Roman"/>
                <w:b/>
                <w:szCs w:val="24"/>
              </w:rPr>
            </w:pPr>
            <w:r w:rsidRPr="00CB45B3">
              <w:rPr>
                <w:rFonts w:eastAsia="Times New Roman" w:cs="Times New Roman"/>
                <w:b/>
                <w:szCs w:val="24"/>
              </w:rPr>
              <w:t>Warning Type</w:t>
            </w:r>
            <w:r w:rsidRPr="00CB45B3">
              <w:rPr>
                <w:rFonts w:eastAsia="Times New Roman" w:cs="Times New Roman"/>
                <w:b/>
                <w:bCs/>
                <w:szCs w:val="24"/>
              </w:rPr>
              <w:t xml:space="preserve"> Change</w:t>
            </w:r>
          </w:p>
        </w:tc>
        <w:tc>
          <w:tcPr>
            <w:tcW w:w="5305" w:type="dxa"/>
            <w:gridSpan w:val="2"/>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5441D88B" w14:textId="77777777" w:rsidR="00DB2F37" w:rsidRPr="00CB45B3" w:rsidRDefault="000F5B51" w:rsidP="00A807D0">
            <w:pPr>
              <w:spacing w:after="0" w:line="240" w:lineRule="auto"/>
              <w:jc w:val="center"/>
              <w:rPr>
                <w:rFonts w:eastAsia="Times New Roman" w:cs="Times New Roman"/>
                <w:b/>
                <w:szCs w:val="24"/>
              </w:rPr>
            </w:pPr>
            <w:r w:rsidRPr="00CB45B3">
              <w:rPr>
                <w:rFonts w:eastAsia="Times New Roman" w:cs="Times New Roman"/>
                <w:b/>
                <w:szCs w:val="24"/>
              </w:rPr>
              <w:t>Seat Belt Use Rate</w:t>
            </w:r>
          </w:p>
        </w:tc>
      </w:tr>
      <w:tr w:rsidR="00A15C2C" w:rsidRPr="00CB45B3" w14:paraId="28816DBF" w14:textId="77777777" w:rsidTr="00A807D0">
        <w:trPr>
          <w:trHeight w:val="290"/>
        </w:trPr>
        <w:tc>
          <w:tcPr>
            <w:tcW w:w="2880"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622C44B9" w14:textId="77777777" w:rsidR="00DB2F37" w:rsidRPr="00CB45B3" w:rsidRDefault="00DB2F37" w:rsidP="00A807D0">
            <w:pPr>
              <w:spacing w:after="0" w:line="240" w:lineRule="auto"/>
              <w:rPr>
                <w:rFonts w:eastAsia="Times New Roman" w:cs="Times New Roman"/>
                <w:b/>
                <w:szCs w:val="24"/>
              </w:rPr>
            </w:pPr>
          </w:p>
        </w:tc>
        <w:tc>
          <w:tcPr>
            <w:tcW w:w="2652"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14:paraId="575559ED" w14:textId="77777777" w:rsidR="00DB2F37" w:rsidRPr="00CB45B3" w:rsidRDefault="000F5B51" w:rsidP="00A807D0">
            <w:pPr>
              <w:spacing w:after="0" w:line="240" w:lineRule="auto"/>
              <w:jc w:val="center"/>
              <w:rPr>
                <w:rFonts w:eastAsia="Times New Roman" w:cs="Times New Roman"/>
                <w:b/>
                <w:szCs w:val="24"/>
              </w:rPr>
            </w:pPr>
            <w:r w:rsidRPr="00CB45B3">
              <w:rPr>
                <w:rFonts w:eastAsia="Times New Roman" w:cs="Times New Roman"/>
                <w:b/>
                <w:szCs w:val="24"/>
              </w:rPr>
              <w:t>Baseline</w:t>
            </w:r>
            <w:r w:rsidRPr="00CB45B3">
              <w:rPr>
                <w:rFonts w:eastAsia="Times New Roman" w:cs="Times New Roman"/>
                <w:b/>
                <w:bCs/>
                <w:szCs w:val="24"/>
              </w:rPr>
              <w:t xml:space="preserve"> x Ratio of Increase</w:t>
            </w:r>
          </w:p>
        </w:tc>
        <w:tc>
          <w:tcPr>
            <w:tcW w:w="2653"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14:paraId="0067C872" w14:textId="77777777" w:rsidR="00DB2F37" w:rsidRPr="00CB45B3" w:rsidRDefault="000F5B51" w:rsidP="00A807D0">
            <w:pPr>
              <w:spacing w:after="0" w:line="240" w:lineRule="auto"/>
              <w:jc w:val="center"/>
              <w:rPr>
                <w:rFonts w:eastAsia="Times New Roman" w:cs="Times New Roman"/>
                <w:b/>
                <w:szCs w:val="24"/>
              </w:rPr>
            </w:pPr>
            <w:r w:rsidRPr="00CB45B3">
              <w:rPr>
                <w:rFonts w:eastAsia="Times New Roman" w:cs="Times New Roman"/>
                <w:b/>
                <w:szCs w:val="24"/>
              </w:rPr>
              <w:t>90-Second Warning</w:t>
            </w:r>
          </w:p>
        </w:tc>
      </w:tr>
      <w:tr w:rsidR="00A15C2C" w:rsidRPr="00CB45B3" w14:paraId="4A5D32DE" w14:textId="77777777" w:rsidTr="00A807D0">
        <w:trPr>
          <w:trHeight w:val="290"/>
        </w:trPr>
        <w:tc>
          <w:tcPr>
            <w:tcW w:w="8185" w:type="dxa"/>
            <w:gridSpan w:val="3"/>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14:paraId="085BF1F0" w14:textId="130F60E8" w:rsidR="00DB2F37" w:rsidRPr="00CB45B3" w:rsidRDefault="005F0E59" w:rsidP="00A807D0">
            <w:pPr>
              <w:spacing w:after="0" w:line="240" w:lineRule="auto"/>
              <w:jc w:val="center"/>
              <w:rPr>
                <w:rFonts w:eastAsia="Times New Roman" w:cs="Times New Roman"/>
                <w:b/>
                <w:bCs/>
                <w:i/>
                <w:iCs/>
                <w:szCs w:val="24"/>
              </w:rPr>
            </w:pPr>
            <w:r>
              <w:rPr>
                <w:rFonts w:eastAsia="Times New Roman" w:cs="Times New Roman"/>
                <w:b/>
                <w:bCs/>
                <w:i/>
                <w:iCs/>
                <w:szCs w:val="24"/>
              </w:rPr>
              <w:t>P</w:t>
            </w:r>
            <w:r w:rsidRPr="005F0E59">
              <w:rPr>
                <w:rFonts w:eastAsia="Times New Roman" w:cs="Times New Roman"/>
                <w:b/>
                <w:bCs/>
                <w:i/>
                <w:iCs/>
                <w:szCs w:val="24"/>
              </w:rPr>
              <w:t xml:space="preserve">otentially </w:t>
            </w:r>
            <w:r w:rsidR="000F5B51" w:rsidRPr="00CB45B3">
              <w:rPr>
                <w:rFonts w:eastAsia="Times New Roman" w:cs="Times New Roman"/>
                <w:b/>
                <w:bCs/>
                <w:i/>
                <w:iCs/>
                <w:szCs w:val="24"/>
              </w:rPr>
              <w:t>Fatal Crashes</w:t>
            </w:r>
          </w:p>
        </w:tc>
      </w:tr>
      <w:tr w:rsidR="00A15C2C" w:rsidRPr="00CB45B3" w14:paraId="69E12EBD" w14:textId="77777777" w:rsidTr="00A807D0">
        <w:trPr>
          <w:trHeight w:val="290"/>
        </w:trPr>
        <w:tc>
          <w:tcPr>
            <w:tcW w:w="288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14:paraId="74754EB4" w14:textId="77777777" w:rsidR="00DB2F37" w:rsidRPr="00CB45B3" w:rsidRDefault="000F5B51" w:rsidP="00A807D0">
            <w:pPr>
              <w:spacing w:after="0" w:line="240" w:lineRule="auto"/>
              <w:rPr>
                <w:rFonts w:eastAsia="Times New Roman" w:cs="Times New Roman"/>
                <w:szCs w:val="24"/>
              </w:rPr>
            </w:pPr>
            <w:r w:rsidRPr="00CB45B3">
              <w:rPr>
                <w:b/>
              </w:rPr>
              <w:t>7-second to 90-second</w:t>
            </w:r>
          </w:p>
        </w:tc>
        <w:tc>
          <w:tcPr>
            <w:tcW w:w="2652"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53594A59" w14:textId="77777777" w:rsidR="00DB2F37" w:rsidRPr="00CB45B3" w:rsidRDefault="000F5B51" w:rsidP="00A807D0">
            <w:pPr>
              <w:spacing w:after="0" w:line="240" w:lineRule="auto"/>
              <w:jc w:val="center"/>
              <w:rPr>
                <w:rFonts w:eastAsia="Times New Roman" w:cs="Times New Roman"/>
                <w:szCs w:val="24"/>
              </w:rPr>
            </w:pPr>
            <w:r w:rsidRPr="00CB45B3">
              <w:rPr>
                <w:rFonts w:cs="Times New Roman"/>
                <w:color w:val="000000"/>
                <w:szCs w:val="24"/>
              </w:rPr>
              <w:t>0.6127 x 1.010396</w:t>
            </w:r>
          </w:p>
        </w:tc>
        <w:tc>
          <w:tcPr>
            <w:tcW w:w="2653"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23861505" w14:textId="77777777" w:rsidR="00DB2F37" w:rsidRPr="00CB45B3" w:rsidRDefault="000F5B51" w:rsidP="00A807D0">
            <w:pPr>
              <w:spacing w:after="0" w:line="240" w:lineRule="auto"/>
              <w:jc w:val="center"/>
              <w:rPr>
                <w:rFonts w:eastAsia="Times New Roman" w:cs="Times New Roman"/>
                <w:szCs w:val="24"/>
              </w:rPr>
            </w:pPr>
            <w:r w:rsidRPr="00CB45B3">
              <w:rPr>
                <w:color w:val="000000"/>
              </w:rPr>
              <w:t>0.61907</w:t>
            </w:r>
          </w:p>
        </w:tc>
      </w:tr>
      <w:tr w:rsidR="00A15C2C" w:rsidRPr="00CB45B3" w14:paraId="4D95DE2A" w14:textId="77777777" w:rsidTr="00A807D0">
        <w:trPr>
          <w:trHeight w:val="290"/>
        </w:trPr>
        <w:tc>
          <w:tcPr>
            <w:tcW w:w="8185" w:type="dxa"/>
            <w:gridSpan w:val="3"/>
            <w:tcBorders>
              <w:top w:val="single" w:sz="4" w:space="0" w:color="auto"/>
              <w:left w:val="single" w:sz="8" w:space="0" w:color="auto"/>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14:paraId="7ECB0543" w14:textId="77777777" w:rsidR="00DB2F37" w:rsidRPr="00CB45B3" w:rsidRDefault="000F5B51" w:rsidP="00A807D0">
            <w:pPr>
              <w:spacing w:after="0" w:line="240" w:lineRule="auto"/>
              <w:jc w:val="center"/>
              <w:rPr>
                <w:rFonts w:eastAsia="Times New Roman" w:cs="Times New Roman"/>
                <w:b/>
                <w:bCs/>
                <w:i/>
                <w:iCs/>
                <w:szCs w:val="24"/>
              </w:rPr>
            </w:pPr>
            <w:r w:rsidRPr="00CB45B3">
              <w:rPr>
                <w:rFonts w:eastAsia="Times New Roman" w:cs="Times New Roman"/>
                <w:b/>
                <w:bCs/>
                <w:i/>
                <w:iCs/>
                <w:szCs w:val="24"/>
              </w:rPr>
              <w:t>Crashes Resulting in Non-fatal Injuries</w:t>
            </w:r>
          </w:p>
        </w:tc>
      </w:tr>
      <w:tr w:rsidR="00A15C2C" w14:paraId="70778A92" w14:textId="77777777" w:rsidTr="00A807D0">
        <w:trPr>
          <w:trHeight w:val="290"/>
        </w:trPr>
        <w:tc>
          <w:tcPr>
            <w:tcW w:w="288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14:paraId="0978D0CC" w14:textId="77777777" w:rsidR="00DB2F37" w:rsidRPr="00CB45B3" w:rsidRDefault="000F5B51" w:rsidP="00A807D0">
            <w:pPr>
              <w:spacing w:after="0" w:line="240" w:lineRule="auto"/>
              <w:rPr>
                <w:rFonts w:eastAsia="Times New Roman" w:cs="Times New Roman"/>
                <w:szCs w:val="24"/>
              </w:rPr>
            </w:pPr>
            <w:r w:rsidRPr="00CB45B3">
              <w:rPr>
                <w:b/>
              </w:rPr>
              <w:t>7-second to 90-second</w:t>
            </w:r>
          </w:p>
        </w:tc>
        <w:tc>
          <w:tcPr>
            <w:tcW w:w="2652"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7AEEC5EC" w14:textId="525AD257" w:rsidR="00DB2F37" w:rsidRPr="00CB45B3" w:rsidRDefault="00D23989" w:rsidP="00A807D0">
            <w:pPr>
              <w:spacing w:after="0" w:line="240" w:lineRule="auto"/>
              <w:jc w:val="center"/>
              <w:rPr>
                <w:rFonts w:cs="Times New Roman"/>
                <w:color w:val="000000"/>
                <w:szCs w:val="24"/>
              </w:rPr>
            </w:pPr>
            <w:r w:rsidRPr="00D23989">
              <w:rPr>
                <w:rFonts w:cs="Times New Roman"/>
                <w:color w:val="000000"/>
                <w:szCs w:val="24"/>
              </w:rPr>
              <w:t xml:space="preserve">0.7078 </w:t>
            </w:r>
            <w:r w:rsidR="000F5B51" w:rsidRPr="00CB45B3">
              <w:rPr>
                <w:rFonts w:cs="Times New Roman"/>
                <w:color w:val="000000"/>
                <w:szCs w:val="24"/>
              </w:rPr>
              <w:t>x 1.010396</w:t>
            </w:r>
          </w:p>
        </w:tc>
        <w:tc>
          <w:tcPr>
            <w:tcW w:w="265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352BE832" w14:textId="01443817" w:rsidR="00DB2F37" w:rsidRPr="00466A2B" w:rsidRDefault="001B25B0" w:rsidP="00A807D0">
            <w:pPr>
              <w:spacing w:after="0" w:line="240" w:lineRule="auto"/>
              <w:jc w:val="center"/>
              <w:rPr>
                <w:rFonts w:eastAsia="Times New Roman" w:cs="Times New Roman"/>
                <w:szCs w:val="24"/>
              </w:rPr>
            </w:pPr>
            <w:r>
              <w:rPr>
                <w:color w:val="000000"/>
              </w:rPr>
              <w:t>0.71</w:t>
            </w:r>
            <w:r w:rsidR="0029156A">
              <w:rPr>
                <w:color w:val="000000"/>
              </w:rPr>
              <w:t>5158</w:t>
            </w:r>
          </w:p>
        </w:tc>
      </w:tr>
    </w:tbl>
    <w:p w14:paraId="350BFD06" w14:textId="77777777" w:rsidR="00C16528" w:rsidRDefault="00C16528" w:rsidP="0021691D">
      <w:pPr>
        <w:pStyle w:val="NoSpaceTimes"/>
      </w:pPr>
    </w:p>
    <w:p w14:paraId="27F69DEE" w14:textId="33B9A3AE" w:rsidR="00DB2F37" w:rsidRDefault="000F5B51" w:rsidP="00312BC6">
      <w:pPr>
        <w:spacing w:after="0"/>
        <w:contextualSpacing/>
        <w:rPr>
          <w:rFonts w:cs="Times New Roman"/>
          <w:szCs w:val="24"/>
        </w:rPr>
      </w:pPr>
      <w:r>
        <w:fldChar w:fldCharType="begin"/>
      </w:r>
      <w:r>
        <w:instrText xml:space="preserve"> REF _Ref126907322 \h </w:instrText>
      </w:r>
      <w:r>
        <w:fldChar w:fldCharType="separate"/>
      </w:r>
      <w:r w:rsidR="00A65CB3" w:rsidRPr="00466A2B">
        <w:t xml:space="preserve">Table </w:t>
      </w:r>
      <w:r w:rsidR="00A65CB3">
        <w:rPr>
          <w:noProof/>
        </w:rPr>
        <w:t>97</w:t>
      </w:r>
      <w:r>
        <w:fldChar w:fldCharType="end"/>
      </w:r>
      <w:r w:rsidR="001F710D">
        <w:t xml:space="preserve"> </w:t>
      </w:r>
      <w:r w:rsidR="001F710D">
        <w:rPr>
          <w:rFonts w:cs="Times New Roman"/>
          <w:szCs w:val="24"/>
        </w:rPr>
        <w:t xml:space="preserve">presents the increase in seat belt use for </w:t>
      </w:r>
      <w:r w:rsidR="000D07DC">
        <w:rPr>
          <w:rFonts w:cs="Times New Roman"/>
          <w:szCs w:val="24"/>
        </w:rPr>
        <w:t>right front seat occupants</w:t>
      </w:r>
      <w:r w:rsidR="001F710D">
        <w:rPr>
          <w:rFonts w:cs="Times New Roman"/>
          <w:szCs w:val="24"/>
        </w:rPr>
        <w:t xml:space="preserve"> when moving from a seven-second warning to a 90-second warning</w:t>
      </w:r>
      <w:r w:rsidR="001F2F92">
        <w:rPr>
          <w:rFonts w:cs="Times New Roman"/>
          <w:szCs w:val="24"/>
        </w:rPr>
        <w:t xml:space="preserve">. </w:t>
      </w:r>
      <w:r w:rsidR="00181C41">
        <w:rPr>
          <w:rFonts w:cs="Times New Roman"/>
          <w:szCs w:val="24"/>
        </w:rPr>
        <w:t xml:space="preserve">When moving from a seven-second to a 90-second warning, seat belt use would increase </w:t>
      </w:r>
      <w:r w:rsidR="005B2CF9">
        <w:rPr>
          <w:rFonts w:cs="Times New Roman"/>
          <w:szCs w:val="24"/>
        </w:rPr>
        <w:t xml:space="preserve">from 0.6006 </w:t>
      </w:r>
      <w:r w:rsidR="00181C41">
        <w:rPr>
          <w:rFonts w:cs="Times New Roman"/>
          <w:szCs w:val="24"/>
        </w:rPr>
        <w:t>to approximately 0.6043 in</w:t>
      </w:r>
      <w:r w:rsidR="00174E6F" w:rsidRPr="00174E6F">
        <w:t xml:space="preserve"> </w:t>
      </w:r>
      <w:r w:rsidR="00174E6F" w:rsidRPr="00174E6F">
        <w:rPr>
          <w:rFonts w:cs="Times New Roman"/>
          <w:szCs w:val="24"/>
        </w:rPr>
        <w:t>potentially</w:t>
      </w:r>
      <w:r w:rsidR="00181C41">
        <w:rPr>
          <w:rFonts w:cs="Times New Roman"/>
          <w:szCs w:val="24"/>
        </w:rPr>
        <w:t xml:space="preserve"> fatal crashes and </w:t>
      </w:r>
      <w:r w:rsidR="005B2CF9">
        <w:rPr>
          <w:rFonts w:cs="Times New Roman"/>
          <w:szCs w:val="24"/>
        </w:rPr>
        <w:t xml:space="preserve">from 0.6673 to </w:t>
      </w:r>
      <w:r w:rsidR="00181C41">
        <w:rPr>
          <w:rFonts w:cs="Times New Roman"/>
          <w:szCs w:val="24"/>
        </w:rPr>
        <w:t>approximately 0.6</w:t>
      </w:r>
      <w:r w:rsidR="00267483">
        <w:rPr>
          <w:rFonts w:cs="Times New Roman"/>
          <w:szCs w:val="24"/>
        </w:rPr>
        <w:t>714</w:t>
      </w:r>
      <w:r w:rsidR="00181C41">
        <w:rPr>
          <w:rFonts w:cs="Times New Roman"/>
          <w:szCs w:val="24"/>
        </w:rPr>
        <w:t xml:space="preserve"> in crashes resulting in non-fatal injuries</w:t>
      </w:r>
      <w:r w:rsidR="001F2F92">
        <w:rPr>
          <w:rFonts w:cs="Times New Roman"/>
          <w:szCs w:val="24"/>
        </w:rPr>
        <w:t xml:space="preserve">. </w:t>
      </w:r>
      <w:r w:rsidR="00F10DD3">
        <w:rPr>
          <w:rFonts w:cs="Times New Roman"/>
          <w:szCs w:val="24"/>
        </w:rPr>
        <w:t>The analysis for this regula</w:t>
      </w:r>
      <w:r w:rsidR="004D4E95">
        <w:rPr>
          <w:rFonts w:cs="Times New Roman"/>
          <w:szCs w:val="24"/>
        </w:rPr>
        <w:t>tory alternative follows the same procedure as that of the main analysis to estimate incremental benefits for both drivers and right front seat occupants as a result of the 90-second warning.</w:t>
      </w:r>
    </w:p>
    <w:p w14:paraId="60A14ABE" w14:textId="11ED24AA" w:rsidR="00DA62F1" w:rsidRDefault="00DA62F1" w:rsidP="00312BC6">
      <w:pPr>
        <w:spacing w:after="0"/>
        <w:contextualSpacing/>
        <w:rPr>
          <w:rFonts w:cs="Times New Roman"/>
          <w:szCs w:val="24"/>
        </w:rPr>
      </w:pPr>
    </w:p>
    <w:p w14:paraId="3B1589A1" w14:textId="01882873" w:rsidR="002F20BF" w:rsidRDefault="000F5B51" w:rsidP="00DB3BE1">
      <w:pPr>
        <w:pStyle w:val="Caption"/>
      </w:pPr>
      <w:bookmarkStart w:id="1758" w:name="_Ref126907322"/>
      <w:r w:rsidRPr="00466A2B">
        <w:lastRenderedPageBreak/>
        <w:t xml:space="preserve">Table </w:t>
      </w:r>
      <w:r w:rsidRPr="00572735">
        <w:fldChar w:fldCharType="begin"/>
      </w:r>
      <w:r w:rsidRPr="00466A2B">
        <w:instrText xml:space="preserve"> SEQ Table \* ARABIC </w:instrText>
      </w:r>
      <w:r w:rsidRPr="00572735">
        <w:fldChar w:fldCharType="separate"/>
      </w:r>
      <w:r w:rsidR="00A65CB3">
        <w:rPr>
          <w:noProof/>
        </w:rPr>
        <w:t>97</w:t>
      </w:r>
      <w:r w:rsidRPr="00572735">
        <w:fldChar w:fldCharType="end"/>
      </w:r>
      <w:bookmarkEnd w:id="1758"/>
      <w:r w:rsidRPr="00466A2B">
        <w:t xml:space="preserve">: Increase in Seat Belt Use for </w:t>
      </w:r>
      <w:r>
        <w:t>Right Front Seat Occupants for 90-Second Warning</w:t>
      </w:r>
    </w:p>
    <w:tbl>
      <w:tblPr>
        <w:tblW w:w="8185" w:type="dxa"/>
        <w:tblInd w:w="895" w:type="dxa"/>
        <w:tblLayout w:type="fixed"/>
        <w:tblCellMar>
          <w:left w:w="0" w:type="dxa"/>
          <w:right w:w="0" w:type="dxa"/>
        </w:tblCellMar>
        <w:tblLook w:val="04A0" w:firstRow="1" w:lastRow="0" w:firstColumn="1" w:lastColumn="0" w:noHBand="0" w:noVBand="1"/>
      </w:tblPr>
      <w:tblGrid>
        <w:gridCol w:w="2880"/>
        <w:gridCol w:w="2652"/>
        <w:gridCol w:w="2653"/>
      </w:tblGrid>
      <w:tr w:rsidR="00A15C2C" w14:paraId="44D8CC2B" w14:textId="77777777" w:rsidTr="00A807D0">
        <w:trPr>
          <w:trHeight w:val="290"/>
        </w:trPr>
        <w:tc>
          <w:tcPr>
            <w:tcW w:w="288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444DBAFB" w14:textId="77777777" w:rsidR="002F20BF" w:rsidRPr="00466A2B" w:rsidRDefault="000F5B51" w:rsidP="00A807D0">
            <w:pPr>
              <w:spacing w:after="0" w:line="240" w:lineRule="auto"/>
              <w:rPr>
                <w:rFonts w:eastAsia="Times New Roman" w:cs="Times New Roman"/>
                <w:b/>
                <w:szCs w:val="24"/>
              </w:rPr>
            </w:pPr>
            <w:r w:rsidRPr="00466A2B">
              <w:rPr>
                <w:rFonts w:eastAsia="Times New Roman" w:cs="Times New Roman"/>
                <w:b/>
                <w:szCs w:val="24"/>
              </w:rPr>
              <w:t>Warning Type</w:t>
            </w:r>
            <w:r w:rsidRPr="00572735">
              <w:rPr>
                <w:rFonts w:eastAsia="Times New Roman" w:cs="Times New Roman"/>
                <w:b/>
                <w:bCs/>
                <w:szCs w:val="24"/>
              </w:rPr>
              <w:t xml:space="preserve"> Change</w:t>
            </w:r>
          </w:p>
        </w:tc>
        <w:tc>
          <w:tcPr>
            <w:tcW w:w="5305" w:type="dxa"/>
            <w:gridSpan w:val="2"/>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750B12AF" w14:textId="77777777" w:rsidR="002F20BF" w:rsidRPr="00466A2B" w:rsidRDefault="000F5B51" w:rsidP="00A807D0">
            <w:pPr>
              <w:spacing w:after="0" w:line="240" w:lineRule="auto"/>
              <w:jc w:val="center"/>
              <w:rPr>
                <w:rFonts w:eastAsia="Times New Roman" w:cs="Times New Roman"/>
                <w:b/>
                <w:szCs w:val="24"/>
              </w:rPr>
            </w:pPr>
            <w:r w:rsidRPr="00466A2B">
              <w:rPr>
                <w:rFonts w:eastAsia="Times New Roman" w:cs="Times New Roman"/>
                <w:b/>
                <w:szCs w:val="24"/>
              </w:rPr>
              <w:t>Seat Belt Use Rate</w:t>
            </w:r>
          </w:p>
        </w:tc>
      </w:tr>
      <w:tr w:rsidR="00A15C2C" w14:paraId="7A1BBEB1" w14:textId="77777777" w:rsidTr="00A807D0">
        <w:trPr>
          <w:trHeight w:val="290"/>
        </w:trPr>
        <w:tc>
          <w:tcPr>
            <w:tcW w:w="2880"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4C1D6C8E" w14:textId="77777777" w:rsidR="002F20BF" w:rsidRPr="00466A2B" w:rsidRDefault="002F20BF" w:rsidP="00A807D0">
            <w:pPr>
              <w:spacing w:after="0" w:line="240" w:lineRule="auto"/>
              <w:rPr>
                <w:rFonts w:eastAsia="Times New Roman" w:cs="Times New Roman"/>
                <w:b/>
                <w:szCs w:val="24"/>
              </w:rPr>
            </w:pPr>
          </w:p>
        </w:tc>
        <w:tc>
          <w:tcPr>
            <w:tcW w:w="2652"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14:paraId="1FDA62BF" w14:textId="77777777" w:rsidR="002F20BF" w:rsidRPr="00466A2B" w:rsidRDefault="000F5B51" w:rsidP="00A807D0">
            <w:pPr>
              <w:spacing w:after="0" w:line="240" w:lineRule="auto"/>
              <w:jc w:val="center"/>
              <w:rPr>
                <w:rFonts w:eastAsia="Times New Roman" w:cs="Times New Roman"/>
                <w:b/>
                <w:szCs w:val="24"/>
              </w:rPr>
            </w:pPr>
            <w:r w:rsidRPr="00466A2B">
              <w:rPr>
                <w:rFonts w:eastAsia="Times New Roman" w:cs="Times New Roman"/>
                <w:b/>
                <w:szCs w:val="24"/>
              </w:rPr>
              <w:t>Baseline</w:t>
            </w:r>
            <w:r>
              <w:rPr>
                <w:rFonts w:eastAsia="Times New Roman" w:cs="Times New Roman"/>
                <w:b/>
                <w:bCs/>
                <w:szCs w:val="24"/>
              </w:rPr>
              <w:t xml:space="preserve"> x Ratio of Increase</w:t>
            </w:r>
          </w:p>
        </w:tc>
        <w:tc>
          <w:tcPr>
            <w:tcW w:w="2653"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14:paraId="180B0717" w14:textId="77777777" w:rsidR="002F20BF" w:rsidRPr="00466A2B" w:rsidRDefault="000F5B51" w:rsidP="00A807D0">
            <w:pPr>
              <w:spacing w:after="0" w:line="240" w:lineRule="auto"/>
              <w:jc w:val="center"/>
              <w:rPr>
                <w:rFonts w:eastAsia="Times New Roman" w:cs="Times New Roman"/>
                <w:b/>
                <w:szCs w:val="24"/>
              </w:rPr>
            </w:pPr>
            <w:r>
              <w:rPr>
                <w:rFonts w:eastAsia="Times New Roman" w:cs="Times New Roman"/>
                <w:b/>
                <w:szCs w:val="24"/>
              </w:rPr>
              <w:t>90-Second Warning</w:t>
            </w:r>
          </w:p>
        </w:tc>
      </w:tr>
      <w:tr w:rsidR="00A15C2C" w14:paraId="6FED2AF5" w14:textId="77777777" w:rsidTr="00A807D0">
        <w:trPr>
          <w:trHeight w:val="290"/>
        </w:trPr>
        <w:tc>
          <w:tcPr>
            <w:tcW w:w="8185" w:type="dxa"/>
            <w:gridSpan w:val="3"/>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14:paraId="156F7521" w14:textId="643EB63A" w:rsidR="002F20BF" w:rsidRPr="00572735" w:rsidRDefault="00174E6F" w:rsidP="00A807D0">
            <w:pPr>
              <w:spacing w:after="0" w:line="240" w:lineRule="auto"/>
              <w:jc w:val="center"/>
              <w:rPr>
                <w:rFonts w:eastAsia="Times New Roman" w:cs="Times New Roman"/>
                <w:b/>
                <w:bCs/>
                <w:i/>
                <w:iCs/>
                <w:szCs w:val="24"/>
              </w:rPr>
            </w:pPr>
            <w:r>
              <w:rPr>
                <w:rFonts w:eastAsia="Times New Roman" w:cs="Times New Roman"/>
                <w:b/>
                <w:bCs/>
                <w:i/>
                <w:iCs/>
                <w:szCs w:val="24"/>
              </w:rPr>
              <w:t xml:space="preserve">Potentially </w:t>
            </w:r>
            <w:r w:rsidR="000F5B51" w:rsidRPr="00572735">
              <w:rPr>
                <w:rFonts w:eastAsia="Times New Roman" w:cs="Times New Roman"/>
                <w:b/>
                <w:bCs/>
                <w:i/>
                <w:iCs/>
                <w:szCs w:val="24"/>
              </w:rPr>
              <w:t>Fatal Crashes</w:t>
            </w:r>
          </w:p>
        </w:tc>
      </w:tr>
      <w:tr w:rsidR="00A15C2C" w14:paraId="080CC4A5" w14:textId="77777777" w:rsidTr="0021691D">
        <w:trPr>
          <w:trHeight w:val="290"/>
        </w:trPr>
        <w:tc>
          <w:tcPr>
            <w:tcW w:w="288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14:paraId="7895ED24" w14:textId="77777777" w:rsidR="00555CA8" w:rsidRPr="00466A2B" w:rsidRDefault="000F5B51" w:rsidP="00555CA8">
            <w:pPr>
              <w:spacing w:after="0" w:line="240" w:lineRule="auto"/>
              <w:rPr>
                <w:rFonts w:eastAsia="Times New Roman" w:cs="Times New Roman"/>
                <w:szCs w:val="24"/>
              </w:rPr>
            </w:pPr>
            <w:r w:rsidRPr="00466A2B">
              <w:rPr>
                <w:b/>
              </w:rPr>
              <w:t>7-second to 90-second</w:t>
            </w:r>
          </w:p>
        </w:tc>
        <w:tc>
          <w:tcPr>
            <w:tcW w:w="2652"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2AB76CE6" w14:textId="77777777" w:rsidR="00555CA8" w:rsidRPr="00466A2B" w:rsidRDefault="000F5B51" w:rsidP="00555CA8">
            <w:pPr>
              <w:spacing w:after="0" w:line="240" w:lineRule="auto"/>
              <w:jc w:val="center"/>
              <w:rPr>
                <w:rFonts w:eastAsia="Times New Roman" w:cs="Times New Roman"/>
                <w:szCs w:val="24"/>
              </w:rPr>
            </w:pPr>
            <w:r w:rsidRPr="00572735">
              <w:rPr>
                <w:rFonts w:cs="Times New Roman"/>
                <w:color w:val="000000"/>
                <w:szCs w:val="24"/>
              </w:rPr>
              <w:t>0.6006</w:t>
            </w:r>
            <w:r>
              <w:rPr>
                <w:rFonts w:cs="Times New Roman"/>
                <w:color w:val="000000"/>
                <w:szCs w:val="24"/>
              </w:rPr>
              <w:t xml:space="preserve"> x </w:t>
            </w:r>
            <w:r>
              <w:t>1.00617</w:t>
            </w:r>
          </w:p>
        </w:tc>
        <w:tc>
          <w:tcPr>
            <w:tcW w:w="2653" w:type="dxa"/>
            <w:tcBorders>
              <w:top w:val="nil"/>
              <w:left w:val="nil"/>
              <w:bottom w:val="single" w:sz="4" w:space="0" w:color="auto"/>
              <w:right w:val="single" w:sz="8" w:space="0" w:color="auto"/>
            </w:tcBorders>
            <w:noWrap/>
            <w:tcMar>
              <w:top w:w="0" w:type="dxa"/>
              <w:left w:w="108" w:type="dxa"/>
              <w:bottom w:w="0" w:type="dxa"/>
              <w:right w:w="108" w:type="dxa"/>
            </w:tcMar>
            <w:vAlign w:val="bottom"/>
          </w:tcPr>
          <w:p w14:paraId="59D97FE8" w14:textId="77777777" w:rsidR="00555CA8" w:rsidRPr="00466A2B" w:rsidRDefault="000F5B51" w:rsidP="00555CA8">
            <w:pPr>
              <w:spacing w:after="0" w:line="240" w:lineRule="auto"/>
              <w:jc w:val="center"/>
              <w:rPr>
                <w:rFonts w:eastAsia="Times New Roman" w:cs="Times New Roman"/>
                <w:szCs w:val="24"/>
              </w:rPr>
            </w:pPr>
            <w:r w:rsidRPr="00572735">
              <w:rPr>
                <w:rFonts w:cs="Times New Roman"/>
                <w:color w:val="000000"/>
                <w:szCs w:val="24"/>
              </w:rPr>
              <w:t>0.604308</w:t>
            </w:r>
          </w:p>
        </w:tc>
      </w:tr>
      <w:tr w:rsidR="00A15C2C" w14:paraId="027A8214" w14:textId="77777777" w:rsidTr="00A807D0">
        <w:trPr>
          <w:trHeight w:val="290"/>
        </w:trPr>
        <w:tc>
          <w:tcPr>
            <w:tcW w:w="8185" w:type="dxa"/>
            <w:gridSpan w:val="3"/>
            <w:tcBorders>
              <w:top w:val="single" w:sz="4" w:space="0" w:color="auto"/>
              <w:left w:val="single" w:sz="8" w:space="0" w:color="auto"/>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14:paraId="6CE0ADDA" w14:textId="77777777" w:rsidR="002F20BF" w:rsidRPr="00572735" w:rsidRDefault="000F5B51" w:rsidP="00A807D0">
            <w:pPr>
              <w:spacing w:after="0" w:line="240" w:lineRule="auto"/>
              <w:jc w:val="center"/>
              <w:rPr>
                <w:rFonts w:eastAsia="Times New Roman" w:cs="Times New Roman"/>
                <w:b/>
                <w:bCs/>
                <w:i/>
                <w:iCs/>
                <w:szCs w:val="24"/>
              </w:rPr>
            </w:pPr>
            <w:r w:rsidRPr="00572735">
              <w:rPr>
                <w:rFonts w:eastAsia="Times New Roman" w:cs="Times New Roman"/>
                <w:b/>
                <w:bCs/>
                <w:i/>
                <w:iCs/>
                <w:szCs w:val="24"/>
              </w:rPr>
              <w:t>Crashes Resulting in Non-fatal Injuries</w:t>
            </w:r>
          </w:p>
        </w:tc>
      </w:tr>
      <w:tr w:rsidR="00A15C2C" w14:paraId="7757D3D4" w14:textId="77777777" w:rsidTr="00A807D0">
        <w:trPr>
          <w:trHeight w:val="290"/>
        </w:trPr>
        <w:tc>
          <w:tcPr>
            <w:tcW w:w="288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14:paraId="30DCF2BD" w14:textId="77777777" w:rsidR="006B65EF" w:rsidRPr="00466A2B" w:rsidRDefault="000F5B51" w:rsidP="006B65EF">
            <w:pPr>
              <w:spacing w:after="0" w:line="240" w:lineRule="auto"/>
              <w:rPr>
                <w:rFonts w:eastAsia="Times New Roman" w:cs="Times New Roman"/>
                <w:szCs w:val="24"/>
              </w:rPr>
            </w:pPr>
            <w:r w:rsidRPr="00466A2B">
              <w:rPr>
                <w:b/>
              </w:rPr>
              <w:t>7-second to 90-second</w:t>
            </w:r>
          </w:p>
        </w:tc>
        <w:tc>
          <w:tcPr>
            <w:tcW w:w="2652"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2758FC5A" w14:textId="77777777" w:rsidR="006B65EF" w:rsidRPr="00466A2B" w:rsidRDefault="000F5B51" w:rsidP="006B65EF">
            <w:pPr>
              <w:spacing w:after="0" w:line="240" w:lineRule="auto"/>
              <w:jc w:val="center"/>
              <w:rPr>
                <w:rFonts w:cs="Times New Roman"/>
                <w:color w:val="000000"/>
                <w:szCs w:val="24"/>
              </w:rPr>
            </w:pPr>
            <w:r w:rsidRPr="00572735">
              <w:rPr>
                <w:rFonts w:cs="Times New Roman"/>
                <w:color w:val="000000"/>
                <w:szCs w:val="24"/>
              </w:rPr>
              <w:t>0.6673</w:t>
            </w:r>
            <w:r>
              <w:rPr>
                <w:rFonts w:cs="Times New Roman"/>
                <w:color w:val="000000"/>
                <w:szCs w:val="24"/>
              </w:rPr>
              <w:t xml:space="preserve"> x </w:t>
            </w:r>
            <w:r>
              <w:t>1.00617</w:t>
            </w:r>
          </w:p>
        </w:tc>
        <w:tc>
          <w:tcPr>
            <w:tcW w:w="265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1BD5E250" w14:textId="31286DB9" w:rsidR="006B65EF" w:rsidRPr="00466A2B" w:rsidRDefault="000F5B51" w:rsidP="006B65EF">
            <w:pPr>
              <w:spacing w:after="0" w:line="240" w:lineRule="auto"/>
              <w:jc w:val="center"/>
              <w:rPr>
                <w:rFonts w:eastAsia="Times New Roman" w:cs="Times New Roman"/>
                <w:szCs w:val="24"/>
              </w:rPr>
            </w:pPr>
            <w:r>
              <w:rPr>
                <w:color w:val="000000"/>
              </w:rPr>
              <w:t>0.671417</w:t>
            </w:r>
          </w:p>
        </w:tc>
      </w:tr>
    </w:tbl>
    <w:p w14:paraId="7F6651C4" w14:textId="77777777" w:rsidR="002F20BF" w:rsidRDefault="002F20BF" w:rsidP="0021691D">
      <w:pPr>
        <w:pStyle w:val="NoSpaceTimes"/>
      </w:pPr>
    </w:p>
    <w:p w14:paraId="135BBFD2" w14:textId="22F86815" w:rsidR="008E2F14" w:rsidRDefault="000F5B51" w:rsidP="00DB2F37">
      <w:pPr>
        <w:sectPr w:rsidR="008E2F14" w:rsidSect="00D07617">
          <w:pgSz w:w="12240" w:h="15840" w:code="1"/>
          <w:pgMar w:top="1440" w:right="1440" w:bottom="1440" w:left="1440" w:header="720" w:footer="720" w:gutter="0"/>
          <w:cols w:space="720"/>
          <w:docGrid w:linePitch="360"/>
        </w:sectPr>
      </w:pPr>
      <w:r>
        <w:fldChar w:fldCharType="begin"/>
      </w:r>
      <w:r>
        <w:instrText xml:space="preserve"> REF _Ref126915016 \h </w:instrText>
      </w:r>
      <w:r>
        <w:fldChar w:fldCharType="separate"/>
      </w:r>
      <w:r w:rsidR="00A65CB3">
        <w:t xml:space="preserve">Table </w:t>
      </w:r>
      <w:r w:rsidR="00A65CB3">
        <w:rPr>
          <w:noProof/>
        </w:rPr>
        <w:t>98</w:t>
      </w:r>
      <w:r>
        <w:fldChar w:fldCharType="end"/>
      </w:r>
      <w:r w:rsidR="008803C3">
        <w:t xml:space="preserve"> presents</w:t>
      </w:r>
      <w:r w:rsidR="00F14BD5">
        <w:t xml:space="preserve"> the incremental benefits and </w:t>
      </w:r>
      <w:r w:rsidR="009D3463">
        <w:t xml:space="preserve">corresponding </w:t>
      </w:r>
      <w:r w:rsidR="00F14BD5">
        <w:t>effectiveness</w:t>
      </w:r>
      <w:r w:rsidR="009D3463">
        <w:t xml:space="preserve"> rate</w:t>
      </w:r>
      <w:r w:rsidR="00F14BD5">
        <w:t xml:space="preserve"> for the 90-second </w:t>
      </w:r>
      <w:r w:rsidR="00F14BD5" w:rsidRPr="00957074">
        <w:t>warning</w:t>
      </w:r>
      <w:r w:rsidR="001F2F92" w:rsidRPr="00A57826">
        <w:t xml:space="preserve">. </w:t>
      </w:r>
      <w:r w:rsidR="00873E4D" w:rsidRPr="00CA4403">
        <w:t>As a result of the 90-second warning, a total</w:t>
      </w:r>
      <w:r w:rsidR="008E3F9A" w:rsidRPr="0064493F">
        <w:t xml:space="preserve"> of six fatalities and 1</w:t>
      </w:r>
      <w:r w:rsidR="00D0092D" w:rsidRPr="00521AA5">
        <w:t>7</w:t>
      </w:r>
      <w:r w:rsidR="008E3F9A" w:rsidRPr="006D1172">
        <w:t xml:space="preserve"> non-fatal </w:t>
      </w:r>
      <w:r w:rsidR="008E3F9A" w:rsidRPr="00521AA5">
        <w:t xml:space="preserve">injuries to </w:t>
      </w:r>
      <w:r w:rsidR="00F10DD3" w:rsidRPr="00521AA5">
        <w:t>front seat occupants would be prevented annually</w:t>
      </w:r>
      <w:r w:rsidR="001F2F92" w:rsidRPr="00521AA5">
        <w:t xml:space="preserve">. </w:t>
      </w:r>
      <w:r w:rsidR="00F10DD3" w:rsidRPr="00521AA5">
        <w:t>Additionally, effectiveness for the 90-second warning ranges from zero to 0.04 percent for non-fatal MAIS 1-5 injuries and is 0.04 percent for fatalities.</w:t>
      </w:r>
      <w:r w:rsidR="00F10DD3">
        <w:t xml:space="preserve"> </w:t>
      </w:r>
    </w:p>
    <w:p w14:paraId="41DA9941" w14:textId="04D9974E" w:rsidR="008E2F14" w:rsidRDefault="000F5B51" w:rsidP="008E2F14">
      <w:pPr>
        <w:pStyle w:val="Caption"/>
        <w:rPr>
          <w:rFonts w:eastAsia="Times New Roman"/>
          <w:sz w:val="18"/>
        </w:rPr>
      </w:pPr>
      <w:bookmarkStart w:id="1759" w:name="_Ref126915016"/>
      <w:r>
        <w:lastRenderedPageBreak/>
        <w:t xml:space="preserve">Table </w:t>
      </w:r>
      <w:r w:rsidR="00115BAB">
        <w:fldChar w:fldCharType="begin"/>
      </w:r>
      <w:r>
        <w:instrText xml:space="preserve"> SEQ Table \* ARABIC </w:instrText>
      </w:r>
      <w:r w:rsidR="00115BAB">
        <w:fldChar w:fldCharType="separate"/>
      </w:r>
      <w:r w:rsidR="00A65CB3">
        <w:rPr>
          <w:noProof/>
        </w:rPr>
        <w:t>98</w:t>
      </w:r>
      <w:r w:rsidR="00115BAB">
        <w:rPr>
          <w:noProof/>
        </w:rPr>
        <w:fldChar w:fldCharType="end"/>
      </w:r>
      <w:bookmarkEnd w:id="1759"/>
      <w:r>
        <w:t>: Incremental Benefits and Effectiveness for the 90-Second Warning</w:t>
      </w:r>
    </w:p>
    <w:tbl>
      <w:tblPr>
        <w:tblStyle w:val="TableGrid"/>
        <w:tblW w:w="13375" w:type="dxa"/>
        <w:tblLayout w:type="fixed"/>
        <w:tblLook w:val="04A0" w:firstRow="1" w:lastRow="0" w:firstColumn="1" w:lastColumn="0" w:noHBand="0" w:noVBand="1"/>
      </w:tblPr>
      <w:tblGrid>
        <w:gridCol w:w="1165"/>
        <w:gridCol w:w="1170"/>
        <w:gridCol w:w="1350"/>
        <w:gridCol w:w="1334"/>
        <w:gridCol w:w="1391"/>
        <w:gridCol w:w="1391"/>
        <w:gridCol w:w="1394"/>
        <w:gridCol w:w="1391"/>
        <w:gridCol w:w="1391"/>
        <w:gridCol w:w="1392"/>
        <w:gridCol w:w="6"/>
      </w:tblGrid>
      <w:tr w:rsidR="00A15C2C" w14:paraId="28F51140" w14:textId="77777777" w:rsidTr="00A807D0">
        <w:trPr>
          <w:trHeight w:val="624"/>
        </w:trPr>
        <w:tc>
          <w:tcPr>
            <w:tcW w:w="1165" w:type="dxa"/>
            <w:vMerge w:val="restart"/>
            <w:shd w:val="clear" w:color="auto" w:fill="BFBFBF" w:themeFill="background1" w:themeFillShade="BF"/>
            <w:noWrap/>
            <w:vAlign w:val="center"/>
          </w:tcPr>
          <w:p w14:paraId="7A3634C4" w14:textId="77777777" w:rsidR="008E2F14" w:rsidRPr="006F0544" w:rsidRDefault="000F5B51" w:rsidP="00A807D0">
            <w:pPr>
              <w:spacing w:line="240" w:lineRule="auto"/>
              <w:rPr>
                <w:rFonts w:eastAsia="Times New Roman" w:cs="Times New Roman"/>
                <w:b/>
                <w:color w:val="000000"/>
                <w:szCs w:val="24"/>
              </w:rPr>
            </w:pPr>
            <w:r w:rsidRPr="006F0544">
              <w:rPr>
                <w:rFonts w:eastAsia="Times New Roman" w:cs="Times New Roman"/>
                <w:b/>
                <w:color w:val="000000"/>
                <w:szCs w:val="24"/>
              </w:rPr>
              <w:t>Injury Severity</w:t>
            </w:r>
          </w:p>
        </w:tc>
        <w:tc>
          <w:tcPr>
            <w:tcW w:w="3854" w:type="dxa"/>
            <w:gridSpan w:val="3"/>
            <w:shd w:val="clear" w:color="auto" w:fill="BFBFBF" w:themeFill="background1" w:themeFillShade="BF"/>
            <w:noWrap/>
            <w:vAlign w:val="center"/>
          </w:tcPr>
          <w:p w14:paraId="0C934176" w14:textId="77777777" w:rsidR="008E2F14" w:rsidRPr="006F0544" w:rsidRDefault="000F5B51" w:rsidP="00A807D0">
            <w:pPr>
              <w:spacing w:line="240" w:lineRule="auto"/>
              <w:jc w:val="center"/>
              <w:rPr>
                <w:rFonts w:eastAsia="Times New Roman" w:cs="Times New Roman"/>
                <w:b/>
                <w:color w:val="000000"/>
                <w:szCs w:val="24"/>
              </w:rPr>
            </w:pPr>
            <w:r w:rsidRPr="006F0544">
              <w:rPr>
                <w:rFonts w:eastAsia="Times New Roman" w:cs="Times New Roman"/>
                <w:b/>
                <w:color w:val="000000"/>
                <w:szCs w:val="24"/>
              </w:rPr>
              <w:t>Drivers</w:t>
            </w:r>
          </w:p>
        </w:tc>
        <w:tc>
          <w:tcPr>
            <w:tcW w:w="4176" w:type="dxa"/>
            <w:gridSpan w:val="3"/>
            <w:shd w:val="clear" w:color="auto" w:fill="BFBFBF" w:themeFill="background1" w:themeFillShade="BF"/>
            <w:vAlign w:val="center"/>
          </w:tcPr>
          <w:p w14:paraId="084301E5" w14:textId="77777777" w:rsidR="008E2F14" w:rsidRPr="006F0544" w:rsidRDefault="000F5B51" w:rsidP="00A807D0">
            <w:pPr>
              <w:spacing w:line="240" w:lineRule="auto"/>
              <w:jc w:val="center"/>
              <w:rPr>
                <w:rFonts w:eastAsia="Times New Roman" w:cs="Times New Roman"/>
                <w:b/>
                <w:color w:val="000000"/>
                <w:szCs w:val="24"/>
              </w:rPr>
            </w:pPr>
            <w:r w:rsidRPr="006F0544">
              <w:rPr>
                <w:rFonts w:eastAsia="Times New Roman" w:cs="Times New Roman"/>
                <w:b/>
                <w:color w:val="000000"/>
                <w:szCs w:val="24"/>
              </w:rPr>
              <w:t>Right Front Seat Occupants</w:t>
            </w:r>
          </w:p>
        </w:tc>
        <w:tc>
          <w:tcPr>
            <w:tcW w:w="4180" w:type="dxa"/>
            <w:gridSpan w:val="4"/>
            <w:shd w:val="clear" w:color="auto" w:fill="BFBFBF" w:themeFill="background1" w:themeFillShade="BF"/>
            <w:vAlign w:val="center"/>
          </w:tcPr>
          <w:p w14:paraId="0DAC603F" w14:textId="77777777" w:rsidR="008E2F14" w:rsidRPr="006F0544" w:rsidRDefault="000F5B51" w:rsidP="00A807D0">
            <w:pPr>
              <w:spacing w:line="240" w:lineRule="auto"/>
              <w:jc w:val="center"/>
              <w:rPr>
                <w:rFonts w:eastAsia="Times New Roman" w:cs="Times New Roman"/>
                <w:b/>
                <w:color w:val="000000"/>
                <w:szCs w:val="24"/>
              </w:rPr>
            </w:pPr>
            <w:r w:rsidRPr="006F0544">
              <w:rPr>
                <w:rFonts w:eastAsia="Times New Roman" w:cs="Times New Roman"/>
                <w:b/>
                <w:color w:val="000000"/>
                <w:szCs w:val="24"/>
              </w:rPr>
              <w:t>All Front Seat Occupants</w:t>
            </w:r>
          </w:p>
        </w:tc>
      </w:tr>
      <w:tr w:rsidR="00A15C2C" w14:paraId="4C1A05BB" w14:textId="77777777" w:rsidTr="00A807D0">
        <w:trPr>
          <w:gridAfter w:val="1"/>
          <w:wAfter w:w="6" w:type="dxa"/>
          <w:trHeight w:val="624"/>
        </w:trPr>
        <w:tc>
          <w:tcPr>
            <w:tcW w:w="1165" w:type="dxa"/>
            <w:vMerge/>
            <w:shd w:val="clear" w:color="auto" w:fill="BFBFBF" w:themeFill="background1" w:themeFillShade="BF"/>
            <w:noWrap/>
            <w:vAlign w:val="center"/>
            <w:hideMark/>
          </w:tcPr>
          <w:p w14:paraId="5CA39F36" w14:textId="77777777" w:rsidR="008E2F14" w:rsidRPr="006F0544" w:rsidRDefault="008E2F14" w:rsidP="00A807D0">
            <w:pPr>
              <w:spacing w:line="240" w:lineRule="auto"/>
              <w:rPr>
                <w:rFonts w:eastAsia="Times New Roman" w:cs="Times New Roman"/>
                <w:b/>
                <w:color w:val="000000"/>
                <w:szCs w:val="24"/>
              </w:rPr>
            </w:pPr>
          </w:p>
        </w:tc>
        <w:tc>
          <w:tcPr>
            <w:tcW w:w="1170" w:type="dxa"/>
            <w:shd w:val="clear" w:color="auto" w:fill="BFBFBF" w:themeFill="background1" w:themeFillShade="BF"/>
            <w:noWrap/>
            <w:vAlign w:val="center"/>
            <w:hideMark/>
          </w:tcPr>
          <w:p w14:paraId="0C1FC817" w14:textId="77777777" w:rsidR="008E2F14" w:rsidRPr="00521AA5" w:rsidRDefault="000F5B51" w:rsidP="00A807D0">
            <w:pPr>
              <w:spacing w:line="240" w:lineRule="auto"/>
              <w:jc w:val="center"/>
              <w:rPr>
                <w:rFonts w:eastAsia="Times New Roman" w:cs="Times New Roman"/>
                <w:b/>
                <w:color w:val="000000"/>
                <w:sz w:val="20"/>
                <w:szCs w:val="20"/>
              </w:rPr>
            </w:pPr>
            <w:r w:rsidRPr="00521AA5">
              <w:rPr>
                <w:rFonts w:eastAsia="Times New Roman" w:cs="Times New Roman"/>
                <w:b/>
                <w:color w:val="000000"/>
                <w:sz w:val="20"/>
                <w:szCs w:val="20"/>
              </w:rPr>
              <w:t>Observed Injuries</w:t>
            </w:r>
          </w:p>
        </w:tc>
        <w:tc>
          <w:tcPr>
            <w:tcW w:w="1350" w:type="dxa"/>
            <w:shd w:val="clear" w:color="auto" w:fill="BFBFBF" w:themeFill="background1" w:themeFillShade="BF"/>
            <w:noWrap/>
            <w:vAlign w:val="center"/>
            <w:hideMark/>
          </w:tcPr>
          <w:p w14:paraId="3A4BDC4B" w14:textId="77777777" w:rsidR="008E2F14" w:rsidRPr="00521AA5" w:rsidRDefault="000F5B51" w:rsidP="00A807D0">
            <w:pPr>
              <w:spacing w:line="240" w:lineRule="auto"/>
              <w:jc w:val="center"/>
              <w:rPr>
                <w:rFonts w:eastAsia="Times New Roman" w:cs="Times New Roman"/>
                <w:b/>
                <w:color w:val="000000"/>
                <w:sz w:val="20"/>
                <w:szCs w:val="20"/>
              </w:rPr>
            </w:pPr>
            <w:r w:rsidRPr="00521AA5">
              <w:rPr>
                <w:rFonts w:eastAsia="Times New Roman" w:cs="Times New Roman"/>
                <w:b/>
                <w:color w:val="000000"/>
                <w:sz w:val="20"/>
                <w:szCs w:val="20"/>
              </w:rPr>
              <w:t>Incremental Benefits</w:t>
            </w:r>
          </w:p>
        </w:tc>
        <w:tc>
          <w:tcPr>
            <w:tcW w:w="1334" w:type="dxa"/>
            <w:shd w:val="clear" w:color="auto" w:fill="BFBFBF" w:themeFill="background1" w:themeFillShade="BF"/>
            <w:noWrap/>
            <w:vAlign w:val="center"/>
            <w:hideMark/>
          </w:tcPr>
          <w:p w14:paraId="0B4EFD18" w14:textId="77777777" w:rsidR="008E2F14" w:rsidRPr="00521AA5" w:rsidRDefault="000F5B51" w:rsidP="00A807D0">
            <w:pPr>
              <w:spacing w:line="240" w:lineRule="auto"/>
              <w:jc w:val="center"/>
              <w:rPr>
                <w:rFonts w:eastAsia="Times New Roman" w:cs="Times New Roman"/>
                <w:b/>
                <w:color w:val="000000"/>
                <w:sz w:val="20"/>
                <w:szCs w:val="20"/>
              </w:rPr>
            </w:pPr>
            <w:r w:rsidRPr="00521AA5">
              <w:rPr>
                <w:rFonts w:eastAsia="Times New Roman" w:cs="Times New Roman"/>
                <w:b/>
                <w:color w:val="000000"/>
                <w:sz w:val="20"/>
                <w:szCs w:val="20"/>
              </w:rPr>
              <w:t>Effectiveness</w:t>
            </w:r>
          </w:p>
        </w:tc>
        <w:tc>
          <w:tcPr>
            <w:tcW w:w="1391" w:type="dxa"/>
            <w:shd w:val="clear" w:color="auto" w:fill="BFBFBF" w:themeFill="background1" w:themeFillShade="BF"/>
            <w:vAlign w:val="center"/>
          </w:tcPr>
          <w:p w14:paraId="70503F02" w14:textId="77777777" w:rsidR="008E2F14" w:rsidRPr="00521AA5" w:rsidRDefault="000F5B51" w:rsidP="00A807D0">
            <w:pPr>
              <w:spacing w:line="240" w:lineRule="auto"/>
              <w:jc w:val="center"/>
              <w:rPr>
                <w:rFonts w:eastAsia="Times New Roman" w:cs="Times New Roman"/>
                <w:b/>
                <w:color w:val="000000"/>
                <w:sz w:val="20"/>
                <w:szCs w:val="20"/>
              </w:rPr>
            </w:pPr>
            <w:r w:rsidRPr="00521AA5">
              <w:rPr>
                <w:rFonts w:eastAsia="Times New Roman" w:cs="Times New Roman"/>
                <w:b/>
                <w:color w:val="000000"/>
                <w:sz w:val="20"/>
                <w:szCs w:val="20"/>
              </w:rPr>
              <w:t>Observed Injuries</w:t>
            </w:r>
          </w:p>
        </w:tc>
        <w:tc>
          <w:tcPr>
            <w:tcW w:w="1391" w:type="dxa"/>
            <w:shd w:val="clear" w:color="auto" w:fill="BFBFBF" w:themeFill="background1" w:themeFillShade="BF"/>
            <w:vAlign w:val="center"/>
          </w:tcPr>
          <w:p w14:paraId="518E1FE5" w14:textId="77777777" w:rsidR="008E2F14" w:rsidRPr="00521AA5" w:rsidRDefault="000F5B51" w:rsidP="00A807D0">
            <w:pPr>
              <w:spacing w:line="240" w:lineRule="auto"/>
              <w:jc w:val="center"/>
              <w:rPr>
                <w:rFonts w:eastAsia="Times New Roman" w:cs="Times New Roman"/>
                <w:b/>
                <w:color w:val="000000"/>
                <w:sz w:val="20"/>
                <w:szCs w:val="20"/>
              </w:rPr>
            </w:pPr>
            <w:r w:rsidRPr="00521AA5">
              <w:rPr>
                <w:rFonts w:cs="Times New Roman"/>
                <w:b/>
                <w:color w:val="000000"/>
                <w:sz w:val="20"/>
                <w:szCs w:val="20"/>
              </w:rPr>
              <w:t>Incremental Benefits</w:t>
            </w:r>
          </w:p>
        </w:tc>
        <w:tc>
          <w:tcPr>
            <w:tcW w:w="1394" w:type="dxa"/>
            <w:shd w:val="clear" w:color="auto" w:fill="BFBFBF" w:themeFill="background1" w:themeFillShade="BF"/>
            <w:vAlign w:val="center"/>
          </w:tcPr>
          <w:p w14:paraId="546A6AE2" w14:textId="77777777" w:rsidR="008E2F14" w:rsidRPr="00521AA5" w:rsidRDefault="000F5B51" w:rsidP="00A807D0">
            <w:pPr>
              <w:spacing w:line="240" w:lineRule="auto"/>
              <w:jc w:val="center"/>
              <w:rPr>
                <w:rFonts w:eastAsia="Times New Roman" w:cs="Times New Roman"/>
                <w:b/>
                <w:color w:val="000000"/>
                <w:sz w:val="20"/>
                <w:szCs w:val="20"/>
              </w:rPr>
            </w:pPr>
            <w:r w:rsidRPr="00521AA5">
              <w:rPr>
                <w:rFonts w:eastAsia="Times New Roman" w:cs="Times New Roman"/>
                <w:b/>
                <w:color w:val="000000"/>
                <w:sz w:val="20"/>
                <w:szCs w:val="20"/>
              </w:rPr>
              <w:t>Effectiveness</w:t>
            </w:r>
          </w:p>
        </w:tc>
        <w:tc>
          <w:tcPr>
            <w:tcW w:w="1391" w:type="dxa"/>
            <w:shd w:val="clear" w:color="auto" w:fill="BFBFBF" w:themeFill="background1" w:themeFillShade="BF"/>
            <w:vAlign w:val="center"/>
          </w:tcPr>
          <w:p w14:paraId="11934003" w14:textId="77777777" w:rsidR="008E2F14" w:rsidRPr="00521AA5" w:rsidRDefault="000F5B51" w:rsidP="00A807D0">
            <w:pPr>
              <w:spacing w:line="240" w:lineRule="auto"/>
              <w:jc w:val="center"/>
              <w:rPr>
                <w:rFonts w:eastAsia="Times New Roman" w:cs="Times New Roman"/>
                <w:b/>
                <w:color w:val="000000"/>
                <w:sz w:val="20"/>
                <w:szCs w:val="20"/>
              </w:rPr>
            </w:pPr>
            <w:r w:rsidRPr="00521AA5">
              <w:rPr>
                <w:rFonts w:eastAsia="Times New Roman" w:cs="Times New Roman"/>
                <w:b/>
                <w:color w:val="000000"/>
                <w:sz w:val="20"/>
                <w:szCs w:val="20"/>
              </w:rPr>
              <w:t>Observed Injuries</w:t>
            </w:r>
          </w:p>
        </w:tc>
        <w:tc>
          <w:tcPr>
            <w:tcW w:w="1391" w:type="dxa"/>
            <w:shd w:val="clear" w:color="auto" w:fill="BFBFBF" w:themeFill="background1" w:themeFillShade="BF"/>
            <w:vAlign w:val="center"/>
          </w:tcPr>
          <w:p w14:paraId="590B79BF" w14:textId="77777777" w:rsidR="008E2F14" w:rsidRPr="00521AA5" w:rsidRDefault="000F5B51" w:rsidP="00A807D0">
            <w:pPr>
              <w:spacing w:line="240" w:lineRule="auto"/>
              <w:jc w:val="center"/>
              <w:rPr>
                <w:rFonts w:eastAsia="Times New Roman" w:cs="Times New Roman"/>
                <w:b/>
                <w:color w:val="000000"/>
                <w:sz w:val="20"/>
                <w:szCs w:val="20"/>
              </w:rPr>
            </w:pPr>
            <w:r w:rsidRPr="00521AA5">
              <w:rPr>
                <w:rFonts w:cs="Times New Roman"/>
                <w:b/>
                <w:color w:val="000000"/>
                <w:sz w:val="20"/>
                <w:szCs w:val="20"/>
              </w:rPr>
              <w:t>Incremental Benefits</w:t>
            </w:r>
          </w:p>
        </w:tc>
        <w:tc>
          <w:tcPr>
            <w:tcW w:w="1392" w:type="dxa"/>
            <w:shd w:val="clear" w:color="auto" w:fill="BFBFBF" w:themeFill="background1" w:themeFillShade="BF"/>
            <w:vAlign w:val="center"/>
          </w:tcPr>
          <w:p w14:paraId="284A793E" w14:textId="77777777" w:rsidR="008E2F14" w:rsidRPr="00521AA5" w:rsidRDefault="000F5B51" w:rsidP="00A807D0">
            <w:pPr>
              <w:spacing w:line="240" w:lineRule="auto"/>
              <w:jc w:val="center"/>
              <w:rPr>
                <w:rFonts w:eastAsia="Times New Roman" w:cs="Times New Roman"/>
                <w:b/>
                <w:color w:val="000000"/>
                <w:sz w:val="20"/>
                <w:szCs w:val="20"/>
              </w:rPr>
            </w:pPr>
            <w:r w:rsidRPr="00521AA5">
              <w:rPr>
                <w:rFonts w:eastAsia="Times New Roman" w:cs="Times New Roman"/>
                <w:b/>
                <w:color w:val="000000"/>
                <w:sz w:val="20"/>
                <w:szCs w:val="20"/>
              </w:rPr>
              <w:t>Effectiveness</w:t>
            </w:r>
          </w:p>
        </w:tc>
      </w:tr>
      <w:tr w:rsidR="00D0092D" w14:paraId="7373DBBD" w14:textId="77777777" w:rsidTr="00521AA5">
        <w:trPr>
          <w:gridAfter w:val="1"/>
          <w:wAfter w:w="6" w:type="dxa"/>
          <w:trHeight w:val="432"/>
        </w:trPr>
        <w:tc>
          <w:tcPr>
            <w:tcW w:w="1165" w:type="dxa"/>
            <w:noWrap/>
            <w:vAlign w:val="center"/>
            <w:hideMark/>
          </w:tcPr>
          <w:p w14:paraId="1D5AB858" w14:textId="77777777" w:rsidR="00D0092D" w:rsidRPr="006F0544" w:rsidRDefault="00D0092D" w:rsidP="00D0092D">
            <w:pPr>
              <w:spacing w:line="240" w:lineRule="auto"/>
              <w:rPr>
                <w:rFonts w:eastAsia="Times New Roman" w:cs="Times New Roman"/>
                <w:color w:val="000000"/>
                <w:szCs w:val="24"/>
              </w:rPr>
            </w:pPr>
            <w:r w:rsidRPr="006F0544">
              <w:rPr>
                <w:rFonts w:eastAsia="Times New Roman" w:cs="Times New Roman"/>
                <w:color w:val="000000"/>
                <w:szCs w:val="24"/>
              </w:rPr>
              <w:t>MAIS 1</w:t>
            </w:r>
          </w:p>
        </w:tc>
        <w:tc>
          <w:tcPr>
            <w:tcW w:w="1170" w:type="dxa"/>
            <w:noWrap/>
            <w:vAlign w:val="center"/>
          </w:tcPr>
          <w:p w14:paraId="3C5EC08A" w14:textId="414DB71F" w:rsidR="00D0092D" w:rsidRPr="006F0544" w:rsidRDefault="00D0092D" w:rsidP="00D0092D">
            <w:pPr>
              <w:spacing w:line="240" w:lineRule="auto"/>
              <w:jc w:val="center"/>
              <w:rPr>
                <w:rFonts w:eastAsia="Times New Roman" w:cs="Times New Roman"/>
                <w:color w:val="000000"/>
                <w:szCs w:val="24"/>
              </w:rPr>
            </w:pPr>
            <w:r w:rsidRPr="00FF3AEE">
              <w:t>57,159</w:t>
            </w:r>
          </w:p>
        </w:tc>
        <w:tc>
          <w:tcPr>
            <w:tcW w:w="1350" w:type="dxa"/>
            <w:noWrap/>
            <w:vAlign w:val="center"/>
          </w:tcPr>
          <w:p w14:paraId="1A0D4D4B" w14:textId="5D76F95A" w:rsidR="00D0092D" w:rsidRPr="006F0544" w:rsidRDefault="00D0092D" w:rsidP="00957074">
            <w:pPr>
              <w:spacing w:line="240" w:lineRule="auto"/>
              <w:jc w:val="center"/>
              <w:rPr>
                <w:rFonts w:eastAsia="Times New Roman" w:cs="Times New Roman"/>
                <w:color w:val="000000"/>
                <w:szCs w:val="24"/>
              </w:rPr>
            </w:pPr>
            <w:r w:rsidRPr="00733830">
              <w:t>2</w:t>
            </w:r>
          </w:p>
        </w:tc>
        <w:tc>
          <w:tcPr>
            <w:tcW w:w="1334" w:type="dxa"/>
            <w:noWrap/>
            <w:vAlign w:val="center"/>
          </w:tcPr>
          <w:p w14:paraId="0B5B03F3" w14:textId="3848CA69" w:rsidR="00D0092D" w:rsidRPr="006F0544" w:rsidRDefault="00D0092D" w:rsidP="00CA4403">
            <w:pPr>
              <w:spacing w:line="240" w:lineRule="auto"/>
              <w:jc w:val="center"/>
              <w:rPr>
                <w:rFonts w:eastAsia="Times New Roman" w:cs="Times New Roman"/>
                <w:color w:val="000000"/>
                <w:szCs w:val="24"/>
              </w:rPr>
            </w:pPr>
            <w:r w:rsidRPr="000965B9">
              <w:t>0.00%</w:t>
            </w:r>
          </w:p>
        </w:tc>
        <w:tc>
          <w:tcPr>
            <w:tcW w:w="1391" w:type="dxa"/>
            <w:vAlign w:val="center"/>
          </w:tcPr>
          <w:p w14:paraId="3DB3429E" w14:textId="77777777" w:rsidR="00D0092D" w:rsidRPr="006F0544" w:rsidRDefault="00D0092D" w:rsidP="00D0092D">
            <w:pPr>
              <w:spacing w:line="240" w:lineRule="auto"/>
              <w:jc w:val="center"/>
              <w:rPr>
                <w:rFonts w:eastAsia="Times New Roman" w:cs="Times New Roman"/>
                <w:color w:val="000000"/>
                <w:szCs w:val="24"/>
              </w:rPr>
            </w:pPr>
            <w:r w:rsidRPr="006F0544">
              <w:rPr>
                <w:rFonts w:cs="Times New Roman"/>
                <w:color w:val="000000"/>
                <w:szCs w:val="24"/>
              </w:rPr>
              <w:t>12,492</w:t>
            </w:r>
          </w:p>
        </w:tc>
        <w:tc>
          <w:tcPr>
            <w:tcW w:w="1391" w:type="dxa"/>
            <w:vAlign w:val="center"/>
          </w:tcPr>
          <w:p w14:paraId="210F69DD" w14:textId="77777777" w:rsidR="00D0092D" w:rsidRPr="006F0544" w:rsidRDefault="00D0092D" w:rsidP="00D0092D">
            <w:pPr>
              <w:spacing w:line="240" w:lineRule="auto"/>
              <w:jc w:val="center"/>
              <w:rPr>
                <w:rFonts w:eastAsia="Times New Roman" w:cs="Times New Roman"/>
                <w:color w:val="000000"/>
                <w:szCs w:val="24"/>
              </w:rPr>
            </w:pPr>
            <w:r w:rsidRPr="006F0544">
              <w:rPr>
                <w:rFonts w:cs="Times New Roman"/>
                <w:color w:val="000000"/>
                <w:szCs w:val="24"/>
              </w:rPr>
              <w:t>0</w:t>
            </w:r>
          </w:p>
        </w:tc>
        <w:tc>
          <w:tcPr>
            <w:tcW w:w="1394" w:type="dxa"/>
            <w:vAlign w:val="center"/>
          </w:tcPr>
          <w:p w14:paraId="675CFB2E" w14:textId="77777777" w:rsidR="00D0092D" w:rsidRPr="006F0544" w:rsidRDefault="00D0092D" w:rsidP="00D0092D">
            <w:pPr>
              <w:spacing w:line="240" w:lineRule="auto"/>
              <w:jc w:val="center"/>
              <w:rPr>
                <w:rFonts w:eastAsia="Times New Roman" w:cs="Times New Roman"/>
                <w:color w:val="000000"/>
                <w:szCs w:val="24"/>
              </w:rPr>
            </w:pPr>
            <w:r w:rsidRPr="006F0544">
              <w:rPr>
                <w:rFonts w:cs="Times New Roman"/>
                <w:color w:val="000000"/>
                <w:szCs w:val="24"/>
              </w:rPr>
              <w:t>0.00%</w:t>
            </w:r>
          </w:p>
        </w:tc>
        <w:tc>
          <w:tcPr>
            <w:tcW w:w="1391" w:type="dxa"/>
            <w:vAlign w:val="center"/>
          </w:tcPr>
          <w:p w14:paraId="751D00E1" w14:textId="5B89FA61" w:rsidR="00D0092D" w:rsidRPr="006F0544" w:rsidRDefault="00D0092D" w:rsidP="00D0092D">
            <w:pPr>
              <w:spacing w:line="240" w:lineRule="auto"/>
              <w:jc w:val="center"/>
              <w:rPr>
                <w:rFonts w:eastAsia="Times New Roman" w:cs="Times New Roman"/>
                <w:color w:val="000000"/>
                <w:szCs w:val="24"/>
              </w:rPr>
            </w:pPr>
            <w:r w:rsidRPr="008B788F">
              <w:t>69,651</w:t>
            </w:r>
          </w:p>
        </w:tc>
        <w:tc>
          <w:tcPr>
            <w:tcW w:w="1391" w:type="dxa"/>
            <w:vAlign w:val="center"/>
          </w:tcPr>
          <w:p w14:paraId="74B7AA87" w14:textId="57574C14" w:rsidR="00D0092D" w:rsidRPr="006F0544" w:rsidRDefault="00D0092D" w:rsidP="00957074">
            <w:pPr>
              <w:spacing w:line="240" w:lineRule="auto"/>
              <w:jc w:val="center"/>
              <w:rPr>
                <w:rFonts w:eastAsia="Times New Roman" w:cs="Times New Roman"/>
                <w:color w:val="000000"/>
                <w:szCs w:val="24"/>
              </w:rPr>
            </w:pPr>
            <w:r w:rsidRPr="0099150D">
              <w:t>2</w:t>
            </w:r>
          </w:p>
        </w:tc>
        <w:tc>
          <w:tcPr>
            <w:tcW w:w="1392" w:type="dxa"/>
            <w:vAlign w:val="center"/>
          </w:tcPr>
          <w:p w14:paraId="4515E15F" w14:textId="4B0E8A3C" w:rsidR="00D0092D" w:rsidRPr="006F0544" w:rsidRDefault="00D0092D" w:rsidP="00CA4403">
            <w:pPr>
              <w:spacing w:line="240" w:lineRule="auto"/>
              <w:jc w:val="center"/>
              <w:rPr>
                <w:rFonts w:eastAsia="Times New Roman" w:cs="Times New Roman"/>
                <w:color w:val="000000"/>
                <w:szCs w:val="24"/>
              </w:rPr>
            </w:pPr>
            <w:r w:rsidRPr="000E1315">
              <w:t>0.00%</w:t>
            </w:r>
          </w:p>
        </w:tc>
      </w:tr>
      <w:tr w:rsidR="00D0092D" w14:paraId="21CCF224" w14:textId="77777777" w:rsidTr="00521AA5">
        <w:trPr>
          <w:gridAfter w:val="1"/>
          <w:wAfter w:w="6" w:type="dxa"/>
          <w:trHeight w:val="432"/>
        </w:trPr>
        <w:tc>
          <w:tcPr>
            <w:tcW w:w="1165" w:type="dxa"/>
            <w:noWrap/>
            <w:vAlign w:val="center"/>
            <w:hideMark/>
          </w:tcPr>
          <w:p w14:paraId="3EC1E6E2" w14:textId="77777777" w:rsidR="00D0092D" w:rsidRPr="006F0544" w:rsidRDefault="00D0092D" w:rsidP="00D0092D">
            <w:pPr>
              <w:spacing w:line="240" w:lineRule="auto"/>
              <w:rPr>
                <w:rFonts w:eastAsia="Times New Roman" w:cs="Times New Roman"/>
                <w:color w:val="000000"/>
                <w:szCs w:val="24"/>
              </w:rPr>
            </w:pPr>
            <w:r w:rsidRPr="006F0544">
              <w:rPr>
                <w:rFonts w:eastAsia="Times New Roman" w:cs="Times New Roman"/>
                <w:color w:val="000000"/>
                <w:szCs w:val="24"/>
              </w:rPr>
              <w:t>MAIS 2</w:t>
            </w:r>
          </w:p>
        </w:tc>
        <w:tc>
          <w:tcPr>
            <w:tcW w:w="1170" w:type="dxa"/>
            <w:noWrap/>
            <w:vAlign w:val="center"/>
          </w:tcPr>
          <w:p w14:paraId="2FC34471" w14:textId="07D9FA04" w:rsidR="00D0092D" w:rsidRPr="006F0544" w:rsidRDefault="00D0092D" w:rsidP="00D0092D">
            <w:pPr>
              <w:spacing w:line="240" w:lineRule="auto"/>
              <w:jc w:val="center"/>
              <w:rPr>
                <w:rFonts w:eastAsia="Times New Roman" w:cs="Times New Roman"/>
                <w:color w:val="000000"/>
                <w:szCs w:val="24"/>
              </w:rPr>
            </w:pPr>
            <w:r w:rsidRPr="00FF3AEE">
              <w:t>22,672</w:t>
            </w:r>
          </w:p>
        </w:tc>
        <w:tc>
          <w:tcPr>
            <w:tcW w:w="1350" w:type="dxa"/>
            <w:noWrap/>
            <w:vAlign w:val="center"/>
          </w:tcPr>
          <w:p w14:paraId="712582CE" w14:textId="5059133D" w:rsidR="00D0092D" w:rsidRPr="006F0544" w:rsidRDefault="00D0092D" w:rsidP="00957074">
            <w:pPr>
              <w:spacing w:line="240" w:lineRule="auto"/>
              <w:jc w:val="center"/>
              <w:rPr>
                <w:rFonts w:eastAsia="Times New Roman" w:cs="Times New Roman"/>
                <w:color w:val="000000"/>
                <w:szCs w:val="24"/>
              </w:rPr>
            </w:pPr>
            <w:r w:rsidRPr="00733830">
              <w:t>10</w:t>
            </w:r>
          </w:p>
        </w:tc>
        <w:tc>
          <w:tcPr>
            <w:tcW w:w="1334" w:type="dxa"/>
            <w:noWrap/>
            <w:vAlign w:val="center"/>
          </w:tcPr>
          <w:p w14:paraId="47181E48" w14:textId="0443F650" w:rsidR="00D0092D" w:rsidRPr="006F0544" w:rsidRDefault="00D0092D" w:rsidP="00CA4403">
            <w:pPr>
              <w:spacing w:line="240" w:lineRule="auto"/>
              <w:jc w:val="center"/>
              <w:rPr>
                <w:rFonts w:eastAsia="Times New Roman" w:cs="Times New Roman"/>
                <w:color w:val="000000"/>
                <w:szCs w:val="24"/>
              </w:rPr>
            </w:pPr>
            <w:r w:rsidRPr="000965B9">
              <w:t>0.04%</w:t>
            </w:r>
          </w:p>
        </w:tc>
        <w:tc>
          <w:tcPr>
            <w:tcW w:w="1391" w:type="dxa"/>
            <w:vAlign w:val="center"/>
          </w:tcPr>
          <w:p w14:paraId="034E9D55" w14:textId="77777777" w:rsidR="00D0092D" w:rsidRPr="006F0544" w:rsidRDefault="00D0092D" w:rsidP="00D0092D">
            <w:pPr>
              <w:spacing w:line="240" w:lineRule="auto"/>
              <w:jc w:val="center"/>
              <w:rPr>
                <w:rFonts w:eastAsia="Times New Roman" w:cs="Times New Roman"/>
                <w:color w:val="000000"/>
                <w:szCs w:val="24"/>
              </w:rPr>
            </w:pPr>
            <w:r w:rsidRPr="006F0544">
              <w:rPr>
                <w:rFonts w:cs="Times New Roman"/>
                <w:color w:val="000000"/>
                <w:szCs w:val="24"/>
              </w:rPr>
              <w:t>5,003</w:t>
            </w:r>
          </w:p>
        </w:tc>
        <w:tc>
          <w:tcPr>
            <w:tcW w:w="1391" w:type="dxa"/>
            <w:vAlign w:val="center"/>
          </w:tcPr>
          <w:p w14:paraId="79F66BF0" w14:textId="77777777" w:rsidR="00D0092D" w:rsidRPr="006F0544" w:rsidRDefault="00D0092D" w:rsidP="00D0092D">
            <w:pPr>
              <w:spacing w:line="240" w:lineRule="auto"/>
              <w:jc w:val="center"/>
              <w:rPr>
                <w:rFonts w:eastAsia="Times New Roman" w:cs="Times New Roman"/>
                <w:color w:val="000000"/>
                <w:szCs w:val="24"/>
              </w:rPr>
            </w:pPr>
            <w:r w:rsidRPr="006F0544">
              <w:rPr>
                <w:rFonts w:cs="Times New Roman"/>
                <w:color w:val="000000"/>
                <w:szCs w:val="24"/>
              </w:rPr>
              <w:t>1</w:t>
            </w:r>
          </w:p>
        </w:tc>
        <w:tc>
          <w:tcPr>
            <w:tcW w:w="1394" w:type="dxa"/>
            <w:vAlign w:val="center"/>
          </w:tcPr>
          <w:p w14:paraId="7D97E0E1" w14:textId="77777777" w:rsidR="00D0092D" w:rsidRPr="006F0544" w:rsidRDefault="00D0092D" w:rsidP="00D0092D">
            <w:pPr>
              <w:spacing w:line="240" w:lineRule="auto"/>
              <w:jc w:val="center"/>
              <w:rPr>
                <w:rFonts w:eastAsia="Times New Roman" w:cs="Times New Roman"/>
                <w:color w:val="000000"/>
                <w:szCs w:val="24"/>
              </w:rPr>
            </w:pPr>
            <w:r w:rsidRPr="006F0544">
              <w:rPr>
                <w:rFonts w:cs="Times New Roman"/>
                <w:color w:val="000000"/>
                <w:szCs w:val="24"/>
              </w:rPr>
              <w:t>0.02%</w:t>
            </w:r>
          </w:p>
        </w:tc>
        <w:tc>
          <w:tcPr>
            <w:tcW w:w="1391" w:type="dxa"/>
            <w:vAlign w:val="center"/>
          </w:tcPr>
          <w:p w14:paraId="469B10E6" w14:textId="3E4D04CC" w:rsidR="00D0092D" w:rsidRPr="006F0544" w:rsidRDefault="00D0092D" w:rsidP="00D0092D">
            <w:pPr>
              <w:spacing w:line="240" w:lineRule="auto"/>
              <w:jc w:val="center"/>
              <w:rPr>
                <w:rFonts w:eastAsia="Times New Roman" w:cs="Times New Roman"/>
                <w:color w:val="000000"/>
                <w:szCs w:val="24"/>
              </w:rPr>
            </w:pPr>
            <w:r w:rsidRPr="008B788F">
              <w:t>27,675</w:t>
            </w:r>
          </w:p>
        </w:tc>
        <w:tc>
          <w:tcPr>
            <w:tcW w:w="1391" w:type="dxa"/>
            <w:vAlign w:val="center"/>
          </w:tcPr>
          <w:p w14:paraId="45E41674" w14:textId="2BBDE69E" w:rsidR="00D0092D" w:rsidRPr="006F0544" w:rsidRDefault="00D0092D" w:rsidP="00957074">
            <w:pPr>
              <w:spacing w:line="240" w:lineRule="auto"/>
              <w:jc w:val="center"/>
              <w:rPr>
                <w:rFonts w:eastAsia="Times New Roman" w:cs="Times New Roman"/>
                <w:color w:val="000000"/>
                <w:szCs w:val="24"/>
              </w:rPr>
            </w:pPr>
            <w:r w:rsidRPr="0099150D">
              <w:t>11</w:t>
            </w:r>
          </w:p>
        </w:tc>
        <w:tc>
          <w:tcPr>
            <w:tcW w:w="1392" w:type="dxa"/>
            <w:vAlign w:val="center"/>
          </w:tcPr>
          <w:p w14:paraId="5A3E443E" w14:textId="2F451371" w:rsidR="00D0092D" w:rsidRPr="006F0544" w:rsidRDefault="00D0092D" w:rsidP="00CA4403">
            <w:pPr>
              <w:spacing w:line="240" w:lineRule="auto"/>
              <w:jc w:val="center"/>
              <w:rPr>
                <w:rFonts w:eastAsia="Times New Roman" w:cs="Times New Roman"/>
                <w:color w:val="000000"/>
                <w:szCs w:val="24"/>
              </w:rPr>
            </w:pPr>
            <w:r w:rsidRPr="000E1315">
              <w:t>0.04%</w:t>
            </w:r>
          </w:p>
        </w:tc>
      </w:tr>
      <w:tr w:rsidR="00D0092D" w14:paraId="21D0FABF" w14:textId="77777777" w:rsidTr="00521AA5">
        <w:trPr>
          <w:gridAfter w:val="1"/>
          <w:wAfter w:w="6" w:type="dxa"/>
          <w:trHeight w:val="432"/>
        </w:trPr>
        <w:tc>
          <w:tcPr>
            <w:tcW w:w="1165" w:type="dxa"/>
            <w:noWrap/>
            <w:vAlign w:val="center"/>
            <w:hideMark/>
          </w:tcPr>
          <w:p w14:paraId="4E720CF8" w14:textId="77777777" w:rsidR="00D0092D" w:rsidRPr="006F0544" w:rsidRDefault="00D0092D" w:rsidP="00D0092D">
            <w:pPr>
              <w:spacing w:line="240" w:lineRule="auto"/>
              <w:rPr>
                <w:rFonts w:eastAsia="Times New Roman" w:cs="Times New Roman"/>
                <w:color w:val="000000"/>
                <w:szCs w:val="24"/>
              </w:rPr>
            </w:pPr>
            <w:r w:rsidRPr="006F0544">
              <w:rPr>
                <w:rFonts w:eastAsia="Times New Roman" w:cs="Times New Roman"/>
                <w:color w:val="000000"/>
                <w:szCs w:val="24"/>
              </w:rPr>
              <w:t>MAIS 3</w:t>
            </w:r>
          </w:p>
        </w:tc>
        <w:tc>
          <w:tcPr>
            <w:tcW w:w="1170" w:type="dxa"/>
            <w:noWrap/>
            <w:vAlign w:val="center"/>
          </w:tcPr>
          <w:p w14:paraId="08686149" w14:textId="080799F1" w:rsidR="00D0092D" w:rsidRPr="006F0544" w:rsidRDefault="00D0092D" w:rsidP="00D0092D">
            <w:pPr>
              <w:spacing w:line="240" w:lineRule="auto"/>
              <w:jc w:val="center"/>
              <w:rPr>
                <w:rFonts w:eastAsia="Times New Roman" w:cs="Times New Roman"/>
                <w:color w:val="000000"/>
                <w:szCs w:val="24"/>
              </w:rPr>
            </w:pPr>
            <w:r w:rsidRPr="00FF3AEE">
              <w:t>4,072</w:t>
            </w:r>
          </w:p>
        </w:tc>
        <w:tc>
          <w:tcPr>
            <w:tcW w:w="1350" w:type="dxa"/>
            <w:noWrap/>
            <w:vAlign w:val="center"/>
          </w:tcPr>
          <w:p w14:paraId="2768E32C" w14:textId="26A95565" w:rsidR="00D0092D" w:rsidRPr="006F0544" w:rsidRDefault="00D0092D" w:rsidP="00957074">
            <w:pPr>
              <w:spacing w:line="240" w:lineRule="auto"/>
              <w:jc w:val="center"/>
              <w:rPr>
                <w:rFonts w:eastAsia="Times New Roman" w:cs="Times New Roman"/>
                <w:color w:val="000000"/>
                <w:szCs w:val="24"/>
              </w:rPr>
            </w:pPr>
            <w:r w:rsidRPr="00733830">
              <w:t>2</w:t>
            </w:r>
          </w:p>
        </w:tc>
        <w:tc>
          <w:tcPr>
            <w:tcW w:w="1334" w:type="dxa"/>
            <w:noWrap/>
            <w:vAlign w:val="center"/>
          </w:tcPr>
          <w:p w14:paraId="7DDFC48E" w14:textId="493DC8ED" w:rsidR="00D0092D" w:rsidRPr="006F0544" w:rsidRDefault="00D0092D" w:rsidP="00CA4403">
            <w:pPr>
              <w:spacing w:line="240" w:lineRule="auto"/>
              <w:jc w:val="center"/>
              <w:rPr>
                <w:rFonts w:eastAsia="Times New Roman" w:cs="Times New Roman"/>
                <w:color w:val="000000"/>
                <w:szCs w:val="24"/>
              </w:rPr>
            </w:pPr>
            <w:r w:rsidRPr="000965B9">
              <w:t>0.04%</w:t>
            </w:r>
          </w:p>
        </w:tc>
        <w:tc>
          <w:tcPr>
            <w:tcW w:w="1391" w:type="dxa"/>
            <w:vAlign w:val="center"/>
          </w:tcPr>
          <w:p w14:paraId="0C8476EC" w14:textId="77777777" w:rsidR="00D0092D" w:rsidRPr="006F0544" w:rsidRDefault="00D0092D" w:rsidP="00D0092D">
            <w:pPr>
              <w:spacing w:line="240" w:lineRule="auto"/>
              <w:jc w:val="center"/>
              <w:rPr>
                <w:rFonts w:eastAsia="Times New Roman" w:cs="Times New Roman"/>
                <w:color w:val="000000"/>
                <w:szCs w:val="24"/>
              </w:rPr>
            </w:pPr>
            <w:r w:rsidRPr="006F0544">
              <w:rPr>
                <w:rFonts w:cs="Times New Roman"/>
                <w:color w:val="000000"/>
                <w:szCs w:val="24"/>
              </w:rPr>
              <w:t>948</w:t>
            </w:r>
          </w:p>
        </w:tc>
        <w:tc>
          <w:tcPr>
            <w:tcW w:w="1391" w:type="dxa"/>
            <w:vAlign w:val="center"/>
          </w:tcPr>
          <w:p w14:paraId="50D2EE9C" w14:textId="77777777" w:rsidR="00D0092D" w:rsidRPr="006F0544" w:rsidRDefault="00D0092D" w:rsidP="00D0092D">
            <w:pPr>
              <w:spacing w:line="240" w:lineRule="auto"/>
              <w:jc w:val="center"/>
              <w:rPr>
                <w:rFonts w:eastAsia="Times New Roman" w:cs="Times New Roman"/>
                <w:color w:val="000000"/>
                <w:szCs w:val="24"/>
              </w:rPr>
            </w:pPr>
            <w:r w:rsidRPr="006F0544">
              <w:rPr>
                <w:rFonts w:cs="Times New Roman"/>
                <w:color w:val="000000"/>
                <w:szCs w:val="24"/>
              </w:rPr>
              <w:t>0</w:t>
            </w:r>
          </w:p>
        </w:tc>
        <w:tc>
          <w:tcPr>
            <w:tcW w:w="1394" w:type="dxa"/>
            <w:vAlign w:val="center"/>
          </w:tcPr>
          <w:p w14:paraId="4718BD53" w14:textId="77777777" w:rsidR="00D0092D" w:rsidRPr="006F0544" w:rsidRDefault="00D0092D" w:rsidP="00D0092D">
            <w:pPr>
              <w:spacing w:line="240" w:lineRule="auto"/>
              <w:jc w:val="center"/>
              <w:rPr>
                <w:rFonts w:eastAsia="Times New Roman" w:cs="Times New Roman"/>
                <w:color w:val="000000"/>
                <w:szCs w:val="24"/>
              </w:rPr>
            </w:pPr>
            <w:r w:rsidRPr="006F0544">
              <w:rPr>
                <w:rFonts w:cs="Times New Roman"/>
                <w:color w:val="000000"/>
                <w:szCs w:val="24"/>
              </w:rPr>
              <w:t>0.02%</w:t>
            </w:r>
          </w:p>
        </w:tc>
        <w:tc>
          <w:tcPr>
            <w:tcW w:w="1391" w:type="dxa"/>
            <w:vAlign w:val="center"/>
          </w:tcPr>
          <w:p w14:paraId="1B23ED26" w14:textId="6251FFA4" w:rsidR="00D0092D" w:rsidRPr="006F0544" w:rsidRDefault="00D0092D" w:rsidP="00D0092D">
            <w:pPr>
              <w:spacing w:line="240" w:lineRule="auto"/>
              <w:jc w:val="center"/>
              <w:rPr>
                <w:rFonts w:eastAsia="Times New Roman" w:cs="Times New Roman"/>
                <w:color w:val="000000"/>
                <w:szCs w:val="24"/>
              </w:rPr>
            </w:pPr>
            <w:r w:rsidRPr="008B788F">
              <w:t>5,020</w:t>
            </w:r>
          </w:p>
        </w:tc>
        <w:tc>
          <w:tcPr>
            <w:tcW w:w="1391" w:type="dxa"/>
            <w:vAlign w:val="center"/>
          </w:tcPr>
          <w:p w14:paraId="4C4D9608" w14:textId="7EC924B8" w:rsidR="00D0092D" w:rsidRPr="006F0544" w:rsidRDefault="00D0092D" w:rsidP="00957074">
            <w:pPr>
              <w:spacing w:line="240" w:lineRule="auto"/>
              <w:jc w:val="center"/>
              <w:rPr>
                <w:rFonts w:eastAsia="Times New Roman" w:cs="Times New Roman"/>
                <w:color w:val="000000"/>
                <w:szCs w:val="24"/>
              </w:rPr>
            </w:pPr>
            <w:r w:rsidRPr="0099150D">
              <w:t>2</w:t>
            </w:r>
          </w:p>
        </w:tc>
        <w:tc>
          <w:tcPr>
            <w:tcW w:w="1392" w:type="dxa"/>
            <w:vAlign w:val="center"/>
          </w:tcPr>
          <w:p w14:paraId="578198D5" w14:textId="0592A780" w:rsidR="00D0092D" w:rsidRPr="006F0544" w:rsidRDefault="00D0092D" w:rsidP="00CA4403">
            <w:pPr>
              <w:spacing w:line="240" w:lineRule="auto"/>
              <w:jc w:val="center"/>
              <w:rPr>
                <w:rFonts w:eastAsia="Times New Roman" w:cs="Times New Roman"/>
                <w:color w:val="000000"/>
                <w:szCs w:val="24"/>
              </w:rPr>
            </w:pPr>
            <w:r w:rsidRPr="000E1315">
              <w:t>0.04%</w:t>
            </w:r>
          </w:p>
        </w:tc>
      </w:tr>
      <w:tr w:rsidR="00D0092D" w14:paraId="19E38BB7" w14:textId="77777777" w:rsidTr="00521AA5">
        <w:trPr>
          <w:gridAfter w:val="1"/>
          <w:wAfter w:w="6" w:type="dxa"/>
          <w:trHeight w:val="432"/>
        </w:trPr>
        <w:tc>
          <w:tcPr>
            <w:tcW w:w="1165" w:type="dxa"/>
            <w:noWrap/>
            <w:vAlign w:val="center"/>
            <w:hideMark/>
          </w:tcPr>
          <w:p w14:paraId="69304348" w14:textId="77777777" w:rsidR="00D0092D" w:rsidRPr="006F0544" w:rsidRDefault="00D0092D" w:rsidP="00D0092D">
            <w:pPr>
              <w:spacing w:line="240" w:lineRule="auto"/>
              <w:rPr>
                <w:rFonts w:eastAsia="Times New Roman" w:cs="Times New Roman"/>
                <w:color w:val="000000"/>
                <w:szCs w:val="24"/>
              </w:rPr>
            </w:pPr>
            <w:r w:rsidRPr="006F0544">
              <w:rPr>
                <w:rFonts w:eastAsia="Times New Roman" w:cs="Times New Roman"/>
                <w:color w:val="000000"/>
                <w:szCs w:val="24"/>
              </w:rPr>
              <w:t>MAIS 4</w:t>
            </w:r>
          </w:p>
        </w:tc>
        <w:tc>
          <w:tcPr>
            <w:tcW w:w="1170" w:type="dxa"/>
            <w:noWrap/>
            <w:vAlign w:val="center"/>
          </w:tcPr>
          <w:p w14:paraId="7B920F73" w14:textId="66308854" w:rsidR="00D0092D" w:rsidRPr="006F0544" w:rsidRDefault="00D0092D" w:rsidP="00D0092D">
            <w:pPr>
              <w:spacing w:line="240" w:lineRule="auto"/>
              <w:jc w:val="center"/>
              <w:rPr>
                <w:rFonts w:eastAsia="Times New Roman" w:cs="Times New Roman"/>
                <w:color w:val="000000"/>
                <w:szCs w:val="24"/>
              </w:rPr>
            </w:pPr>
            <w:r w:rsidRPr="00FF3AEE">
              <w:t>3,288</w:t>
            </w:r>
          </w:p>
        </w:tc>
        <w:tc>
          <w:tcPr>
            <w:tcW w:w="1350" w:type="dxa"/>
            <w:noWrap/>
            <w:vAlign w:val="center"/>
          </w:tcPr>
          <w:p w14:paraId="2D679701" w14:textId="6EEAEC82" w:rsidR="00D0092D" w:rsidRPr="006F0544" w:rsidRDefault="00D0092D" w:rsidP="00957074">
            <w:pPr>
              <w:spacing w:line="240" w:lineRule="auto"/>
              <w:jc w:val="center"/>
              <w:rPr>
                <w:rFonts w:eastAsia="Times New Roman" w:cs="Times New Roman"/>
                <w:color w:val="000000"/>
                <w:szCs w:val="24"/>
              </w:rPr>
            </w:pPr>
            <w:r w:rsidRPr="00733830">
              <w:t>1</w:t>
            </w:r>
          </w:p>
        </w:tc>
        <w:tc>
          <w:tcPr>
            <w:tcW w:w="1334" w:type="dxa"/>
            <w:noWrap/>
            <w:vAlign w:val="center"/>
          </w:tcPr>
          <w:p w14:paraId="7A18CE50" w14:textId="458029F1" w:rsidR="00D0092D" w:rsidRPr="006F0544" w:rsidRDefault="00D0092D" w:rsidP="00CA4403">
            <w:pPr>
              <w:spacing w:line="240" w:lineRule="auto"/>
              <w:jc w:val="center"/>
              <w:rPr>
                <w:rFonts w:eastAsia="Times New Roman" w:cs="Times New Roman"/>
                <w:color w:val="000000"/>
                <w:szCs w:val="24"/>
              </w:rPr>
            </w:pPr>
            <w:r w:rsidRPr="000965B9">
              <w:t>0.04%</w:t>
            </w:r>
          </w:p>
        </w:tc>
        <w:tc>
          <w:tcPr>
            <w:tcW w:w="1391" w:type="dxa"/>
            <w:vAlign w:val="center"/>
          </w:tcPr>
          <w:p w14:paraId="24AFC1CF" w14:textId="77777777" w:rsidR="00D0092D" w:rsidRPr="006F0544" w:rsidRDefault="00D0092D" w:rsidP="00D0092D">
            <w:pPr>
              <w:spacing w:line="240" w:lineRule="auto"/>
              <w:jc w:val="center"/>
              <w:rPr>
                <w:rFonts w:eastAsia="Times New Roman" w:cs="Times New Roman"/>
                <w:color w:val="000000"/>
                <w:szCs w:val="24"/>
              </w:rPr>
            </w:pPr>
            <w:r w:rsidRPr="006F0544">
              <w:rPr>
                <w:rFonts w:cs="Times New Roman"/>
                <w:color w:val="000000"/>
                <w:szCs w:val="24"/>
              </w:rPr>
              <w:t>753</w:t>
            </w:r>
          </w:p>
        </w:tc>
        <w:tc>
          <w:tcPr>
            <w:tcW w:w="1391" w:type="dxa"/>
            <w:vAlign w:val="center"/>
          </w:tcPr>
          <w:p w14:paraId="05AAE7A9" w14:textId="77777777" w:rsidR="00D0092D" w:rsidRPr="006F0544" w:rsidRDefault="00D0092D" w:rsidP="00D0092D">
            <w:pPr>
              <w:spacing w:line="240" w:lineRule="auto"/>
              <w:jc w:val="center"/>
              <w:rPr>
                <w:rFonts w:eastAsia="Times New Roman" w:cs="Times New Roman"/>
                <w:color w:val="000000"/>
                <w:szCs w:val="24"/>
              </w:rPr>
            </w:pPr>
            <w:r w:rsidRPr="006F0544">
              <w:rPr>
                <w:rFonts w:cs="Times New Roman"/>
                <w:color w:val="000000"/>
                <w:szCs w:val="24"/>
              </w:rPr>
              <w:t>0</w:t>
            </w:r>
          </w:p>
        </w:tc>
        <w:tc>
          <w:tcPr>
            <w:tcW w:w="1394" w:type="dxa"/>
            <w:vAlign w:val="center"/>
          </w:tcPr>
          <w:p w14:paraId="0886007C" w14:textId="77777777" w:rsidR="00D0092D" w:rsidRPr="006F0544" w:rsidRDefault="00D0092D" w:rsidP="00D0092D">
            <w:pPr>
              <w:spacing w:line="240" w:lineRule="auto"/>
              <w:jc w:val="center"/>
              <w:rPr>
                <w:rFonts w:eastAsia="Times New Roman" w:cs="Times New Roman"/>
                <w:color w:val="000000"/>
                <w:szCs w:val="24"/>
              </w:rPr>
            </w:pPr>
            <w:r w:rsidRPr="006F0544">
              <w:rPr>
                <w:rFonts w:cs="Times New Roman"/>
                <w:color w:val="000000"/>
                <w:szCs w:val="24"/>
              </w:rPr>
              <w:t>0.02%</w:t>
            </w:r>
          </w:p>
        </w:tc>
        <w:tc>
          <w:tcPr>
            <w:tcW w:w="1391" w:type="dxa"/>
            <w:vAlign w:val="center"/>
          </w:tcPr>
          <w:p w14:paraId="17CD5078" w14:textId="60D5DFFC" w:rsidR="00D0092D" w:rsidRPr="006F0544" w:rsidRDefault="00D0092D" w:rsidP="00D0092D">
            <w:pPr>
              <w:spacing w:line="240" w:lineRule="auto"/>
              <w:jc w:val="center"/>
              <w:rPr>
                <w:rFonts w:eastAsia="Times New Roman" w:cs="Times New Roman"/>
                <w:color w:val="000000"/>
                <w:szCs w:val="24"/>
              </w:rPr>
            </w:pPr>
            <w:r w:rsidRPr="008B788F">
              <w:t>4,041</w:t>
            </w:r>
          </w:p>
        </w:tc>
        <w:tc>
          <w:tcPr>
            <w:tcW w:w="1391" w:type="dxa"/>
            <w:vAlign w:val="center"/>
          </w:tcPr>
          <w:p w14:paraId="3A94C0A5" w14:textId="07FEB3CC" w:rsidR="00D0092D" w:rsidRPr="006F0544" w:rsidRDefault="00D0092D" w:rsidP="00957074">
            <w:pPr>
              <w:spacing w:line="240" w:lineRule="auto"/>
              <w:jc w:val="center"/>
              <w:rPr>
                <w:rFonts w:eastAsia="Times New Roman" w:cs="Times New Roman"/>
                <w:color w:val="000000"/>
                <w:szCs w:val="24"/>
              </w:rPr>
            </w:pPr>
            <w:r w:rsidRPr="0099150D">
              <w:t>2</w:t>
            </w:r>
          </w:p>
        </w:tc>
        <w:tc>
          <w:tcPr>
            <w:tcW w:w="1392" w:type="dxa"/>
            <w:vAlign w:val="center"/>
          </w:tcPr>
          <w:p w14:paraId="77AF447E" w14:textId="51444624" w:rsidR="00D0092D" w:rsidRPr="006F0544" w:rsidRDefault="00D0092D" w:rsidP="00CA4403">
            <w:pPr>
              <w:spacing w:line="240" w:lineRule="auto"/>
              <w:jc w:val="center"/>
              <w:rPr>
                <w:rFonts w:eastAsia="Times New Roman" w:cs="Times New Roman"/>
                <w:color w:val="000000"/>
                <w:szCs w:val="24"/>
              </w:rPr>
            </w:pPr>
            <w:r w:rsidRPr="000E1315">
              <w:t>0.04%</w:t>
            </w:r>
          </w:p>
        </w:tc>
      </w:tr>
      <w:tr w:rsidR="00D0092D" w14:paraId="32D908F4" w14:textId="77777777" w:rsidTr="00521AA5">
        <w:trPr>
          <w:gridAfter w:val="1"/>
          <w:wAfter w:w="6" w:type="dxa"/>
          <w:trHeight w:val="432"/>
        </w:trPr>
        <w:tc>
          <w:tcPr>
            <w:tcW w:w="1165" w:type="dxa"/>
            <w:noWrap/>
            <w:vAlign w:val="center"/>
            <w:hideMark/>
          </w:tcPr>
          <w:p w14:paraId="49739B5C" w14:textId="77777777" w:rsidR="00D0092D" w:rsidRPr="006F0544" w:rsidRDefault="00D0092D" w:rsidP="00D0092D">
            <w:pPr>
              <w:spacing w:line="240" w:lineRule="auto"/>
              <w:rPr>
                <w:rFonts w:eastAsia="Times New Roman" w:cs="Times New Roman"/>
                <w:color w:val="000000"/>
                <w:szCs w:val="24"/>
              </w:rPr>
            </w:pPr>
            <w:r w:rsidRPr="006F0544">
              <w:rPr>
                <w:rFonts w:eastAsia="Times New Roman" w:cs="Times New Roman"/>
                <w:color w:val="000000"/>
                <w:szCs w:val="24"/>
              </w:rPr>
              <w:t>MAIS 5</w:t>
            </w:r>
          </w:p>
        </w:tc>
        <w:tc>
          <w:tcPr>
            <w:tcW w:w="1170" w:type="dxa"/>
            <w:noWrap/>
            <w:vAlign w:val="center"/>
          </w:tcPr>
          <w:p w14:paraId="731BF4E1" w14:textId="4343B349" w:rsidR="00D0092D" w:rsidRPr="006F0544" w:rsidRDefault="00D0092D" w:rsidP="00D0092D">
            <w:pPr>
              <w:spacing w:line="240" w:lineRule="auto"/>
              <w:jc w:val="center"/>
              <w:rPr>
                <w:rFonts w:eastAsia="Times New Roman" w:cs="Times New Roman"/>
                <w:color w:val="000000"/>
                <w:szCs w:val="24"/>
              </w:rPr>
            </w:pPr>
            <w:r w:rsidRPr="00FF3AEE">
              <w:t>99</w:t>
            </w:r>
          </w:p>
        </w:tc>
        <w:tc>
          <w:tcPr>
            <w:tcW w:w="1350" w:type="dxa"/>
            <w:noWrap/>
            <w:vAlign w:val="center"/>
          </w:tcPr>
          <w:p w14:paraId="128E617D" w14:textId="1741DA0E" w:rsidR="00D0092D" w:rsidRPr="006F0544" w:rsidRDefault="00D0092D" w:rsidP="00957074">
            <w:pPr>
              <w:spacing w:line="240" w:lineRule="auto"/>
              <w:jc w:val="center"/>
              <w:rPr>
                <w:rFonts w:eastAsia="Times New Roman" w:cs="Times New Roman"/>
                <w:color w:val="000000"/>
                <w:szCs w:val="24"/>
              </w:rPr>
            </w:pPr>
            <w:r w:rsidRPr="00733830">
              <w:t>0</w:t>
            </w:r>
          </w:p>
        </w:tc>
        <w:tc>
          <w:tcPr>
            <w:tcW w:w="1334" w:type="dxa"/>
            <w:noWrap/>
            <w:vAlign w:val="center"/>
          </w:tcPr>
          <w:p w14:paraId="7B3EB4B9" w14:textId="5456F917" w:rsidR="00D0092D" w:rsidRPr="006F0544" w:rsidRDefault="00D0092D" w:rsidP="00CA4403">
            <w:pPr>
              <w:spacing w:line="240" w:lineRule="auto"/>
              <w:jc w:val="center"/>
              <w:rPr>
                <w:rFonts w:eastAsia="Times New Roman" w:cs="Times New Roman"/>
                <w:color w:val="000000"/>
                <w:szCs w:val="24"/>
              </w:rPr>
            </w:pPr>
            <w:r w:rsidRPr="000965B9">
              <w:t>0.04%</w:t>
            </w:r>
          </w:p>
        </w:tc>
        <w:tc>
          <w:tcPr>
            <w:tcW w:w="1391" w:type="dxa"/>
            <w:vAlign w:val="center"/>
          </w:tcPr>
          <w:p w14:paraId="2FA825E1" w14:textId="77777777" w:rsidR="00D0092D" w:rsidRPr="006F0544" w:rsidRDefault="00D0092D" w:rsidP="00D0092D">
            <w:pPr>
              <w:spacing w:line="240" w:lineRule="auto"/>
              <w:jc w:val="center"/>
              <w:rPr>
                <w:rFonts w:eastAsia="Times New Roman" w:cs="Times New Roman"/>
                <w:color w:val="000000"/>
                <w:szCs w:val="24"/>
              </w:rPr>
            </w:pPr>
            <w:r w:rsidRPr="006F0544">
              <w:rPr>
                <w:rFonts w:cs="Times New Roman"/>
                <w:color w:val="000000"/>
                <w:szCs w:val="24"/>
              </w:rPr>
              <w:t>21</w:t>
            </w:r>
          </w:p>
        </w:tc>
        <w:tc>
          <w:tcPr>
            <w:tcW w:w="1391" w:type="dxa"/>
            <w:vAlign w:val="center"/>
          </w:tcPr>
          <w:p w14:paraId="60C1E833" w14:textId="77777777" w:rsidR="00D0092D" w:rsidRPr="006F0544" w:rsidRDefault="00D0092D" w:rsidP="00D0092D">
            <w:pPr>
              <w:spacing w:line="240" w:lineRule="auto"/>
              <w:jc w:val="center"/>
              <w:rPr>
                <w:rFonts w:eastAsia="Times New Roman" w:cs="Times New Roman"/>
                <w:color w:val="000000"/>
                <w:szCs w:val="24"/>
              </w:rPr>
            </w:pPr>
            <w:r w:rsidRPr="006F0544">
              <w:rPr>
                <w:rFonts w:cs="Times New Roman"/>
                <w:color w:val="000000"/>
                <w:szCs w:val="24"/>
              </w:rPr>
              <w:t>0</w:t>
            </w:r>
          </w:p>
        </w:tc>
        <w:tc>
          <w:tcPr>
            <w:tcW w:w="1394" w:type="dxa"/>
            <w:vAlign w:val="center"/>
          </w:tcPr>
          <w:p w14:paraId="09F5E6F7" w14:textId="77777777" w:rsidR="00D0092D" w:rsidRPr="006F0544" w:rsidRDefault="00D0092D" w:rsidP="00D0092D">
            <w:pPr>
              <w:spacing w:line="240" w:lineRule="auto"/>
              <w:jc w:val="center"/>
              <w:rPr>
                <w:rFonts w:eastAsia="Times New Roman" w:cs="Times New Roman"/>
                <w:color w:val="000000"/>
                <w:szCs w:val="24"/>
              </w:rPr>
            </w:pPr>
            <w:r w:rsidRPr="006F0544">
              <w:rPr>
                <w:rFonts w:cs="Times New Roman"/>
                <w:color w:val="000000"/>
                <w:szCs w:val="24"/>
              </w:rPr>
              <w:t>0.02%</w:t>
            </w:r>
          </w:p>
        </w:tc>
        <w:tc>
          <w:tcPr>
            <w:tcW w:w="1391" w:type="dxa"/>
            <w:vAlign w:val="center"/>
          </w:tcPr>
          <w:p w14:paraId="39AA3D90" w14:textId="279ED56D" w:rsidR="00D0092D" w:rsidRPr="006F0544" w:rsidRDefault="00D0092D" w:rsidP="00D0092D">
            <w:pPr>
              <w:spacing w:line="240" w:lineRule="auto"/>
              <w:jc w:val="center"/>
              <w:rPr>
                <w:rFonts w:eastAsia="Times New Roman" w:cs="Times New Roman"/>
                <w:color w:val="000000"/>
                <w:szCs w:val="24"/>
              </w:rPr>
            </w:pPr>
            <w:r w:rsidRPr="008B788F">
              <w:t>120</w:t>
            </w:r>
          </w:p>
        </w:tc>
        <w:tc>
          <w:tcPr>
            <w:tcW w:w="1391" w:type="dxa"/>
            <w:vAlign w:val="center"/>
          </w:tcPr>
          <w:p w14:paraId="5308A11E" w14:textId="136E89EC" w:rsidR="00D0092D" w:rsidRPr="006F0544" w:rsidRDefault="00D0092D" w:rsidP="00957074">
            <w:pPr>
              <w:spacing w:line="240" w:lineRule="auto"/>
              <w:jc w:val="center"/>
              <w:rPr>
                <w:rFonts w:eastAsia="Times New Roman" w:cs="Times New Roman"/>
                <w:color w:val="000000"/>
                <w:szCs w:val="24"/>
              </w:rPr>
            </w:pPr>
            <w:r w:rsidRPr="0099150D">
              <w:t>0</w:t>
            </w:r>
          </w:p>
        </w:tc>
        <w:tc>
          <w:tcPr>
            <w:tcW w:w="1392" w:type="dxa"/>
            <w:vAlign w:val="center"/>
          </w:tcPr>
          <w:p w14:paraId="0D19D3A5" w14:textId="12ADD59D" w:rsidR="00D0092D" w:rsidRPr="006F0544" w:rsidRDefault="00D0092D" w:rsidP="00CA4403">
            <w:pPr>
              <w:spacing w:line="240" w:lineRule="auto"/>
              <w:jc w:val="center"/>
              <w:rPr>
                <w:rFonts w:eastAsia="Times New Roman" w:cs="Times New Roman"/>
                <w:color w:val="000000"/>
                <w:szCs w:val="24"/>
              </w:rPr>
            </w:pPr>
            <w:r w:rsidRPr="000E1315">
              <w:t>0.04%</w:t>
            </w:r>
          </w:p>
        </w:tc>
      </w:tr>
      <w:tr w:rsidR="00D0092D" w14:paraId="0694537F" w14:textId="77777777" w:rsidTr="00521AA5">
        <w:trPr>
          <w:gridAfter w:val="1"/>
          <w:wAfter w:w="6" w:type="dxa"/>
          <w:trHeight w:val="432"/>
        </w:trPr>
        <w:tc>
          <w:tcPr>
            <w:tcW w:w="1165" w:type="dxa"/>
            <w:noWrap/>
            <w:vAlign w:val="center"/>
            <w:hideMark/>
          </w:tcPr>
          <w:p w14:paraId="4B395254" w14:textId="77777777" w:rsidR="00D0092D" w:rsidRPr="006F0544" w:rsidRDefault="00D0092D" w:rsidP="00D0092D">
            <w:pPr>
              <w:spacing w:line="240" w:lineRule="auto"/>
              <w:rPr>
                <w:rFonts w:eastAsia="Times New Roman" w:cs="Times New Roman"/>
                <w:color w:val="000000"/>
                <w:szCs w:val="24"/>
              </w:rPr>
            </w:pPr>
            <w:r w:rsidRPr="006F0544">
              <w:rPr>
                <w:rFonts w:eastAsia="Times New Roman" w:cs="Times New Roman"/>
                <w:color w:val="000000"/>
                <w:szCs w:val="24"/>
              </w:rPr>
              <w:t>Fatal</w:t>
            </w:r>
          </w:p>
        </w:tc>
        <w:tc>
          <w:tcPr>
            <w:tcW w:w="1170" w:type="dxa"/>
            <w:noWrap/>
            <w:vAlign w:val="center"/>
          </w:tcPr>
          <w:p w14:paraId="71184A9D" w14:textId="31E8A853" w:rsidR="00D0092D" w:rsidRPr="006F0544" w:rsidRDefault="00D0092D" w:rsidP="00D0092D">
            <w:pPr>
              <w:spacing w:line="240" w:lineRule="auto"/>
              <w:jc w:val="center"/>
              <w:rPr>
                <w:rFonts w:eastAsia="Times New Roman" w:cs="Times New Roman"/>
                <w:color w:val="000000"/>
                <w:szCs w:val="24"/>
              </w:rPr>
            </w:pPr>
            <w:r w:rsidRPr="00733891">
              <w:rPr>
                <w:rFonts w:eastAsia="Times New Roman" w:cs="Times New Roman"/>
                <w:color w:val="000000"/>
                <w:szCs w:val="24"/>
              </w:rPr>
              <w:t>12,148</w:t>
            </w:r>
          </w:p>
        </w:tc>
        <w:tc>
          <w:tcPr>
            <w:tcW w:w="1350" w:type="dxa"/>
            <w:noWrap/>
            <w:vAlign w:val="center"/>
          </w:tcPr>
          <w:p w14:paraId="4BF34AAB" w14:textId="458E4C26" w:rsidR="00D0092D" w:rsidRPr="006F0544" w:rsidRDefault="00D0092D" w:rsidP="00957074">
            <w:pPr>
              <w:spacing w:line="240" w:lineRule="auto"/>
              <w:jc w:val="center"/>
              <w:rPr>
                <w:rFonts w:eastAsia="Times New Roman" w:cs="Times New Roman"/>
                <w:color w:val="000000"/>
                <w:szCs w:val="24"/>
              </w:rPr>
            </w:pPr>
            <w:r w:rsidRPr="00733830">
              <w:t>5</w:t>
            </w:r>
          </w:p>
        </w:tc>
        <w:tc>
          <w:tcPr>
            <w:tcW w:w="1334" w:type="dxa"/>
            <w:noWrap/>
            <w:vAlign w:val="center"/>
          </w:tcPr>
          <w:p w14:paraId="4F844FAC" w14:textId="7F0C1907" w:rsidR="00D0092D" w:rsidRPr="006F0544" w:rsidRDefault="00D0092D" w:rsidP="00CA4403">
            <w:pPr>
              <w:spacing w:line="240" w:lineRule="auto"/>
              <w:jc w:val="center"/>
              <w:rPr>
                <w:rFonts w:eastAsia="Times New Roman" w:cs="Times New Roman"/>
                <w:color w:val="000000"/>
                <w:szCs w:val="24"/>
              </w:rPr>
            </w:pPr>
            <w:r w:rsidRPr="000965B9">
              <w:t>0.04%</w:t>
            </w:r>
          </w:p>
        </w:tc>
        <w:tc>
          <w:tcPr>
            <w:tcW w:w="1391" w:type="dxa"/>
            <w:vAlign w:val="center"/>
          </w:tcPr>
          <w:p w14:paraId="21F15340" w14:textId="77777777" w:rsidR="00D0092D" w:rsidRPr="006F0544" w:rsidRDefault="00D0092D" w:rsidP="00D0092D">
            <w:pPr>
              <w:spacing w:line="240" w:lineRule="auto"/>
              <w:jc w:val="center"/>
              <w:rPr>
                <w:rFonts w:eastAsia="Times New Roman" w:cs="Times New Roman"/>
                <w:color w:val="000000"/>
                <w:szCs w:val="24"/>
              </w:rPr>
            </w:pPr>
            <w:r w:rsidRPr="006F0544">
              <w:rPr>
                <w:rFonts w:cs="Times New Roman"/>
                <w:color w:val="000000"/>
                <w:szCs w:val="24"/>
              </w:rPr>
              <w:t>2,659</w:t>
            </w:r>
          </w:p>
        </w:tc>
        <w:tc>
          <w:tcPr>
            <w:tcW w:w="1391" w:type="dxa"/>
            <w:vAlign w:val="center"/>
          </w:tcPr>
          <w:p w14:paraId="421388F4" w14:textId="77777777" w:rsidR="00D0092D" w:rsidRPr="006F0544" w:rsidRDefault="00D0092D" w:rsidP="00D0092D">
            <w:pPr>
              <w:spacing w:line="240" w:lineRule="auto"/>
              <w:jc w:val="center"/>
              <w:rPr>
                <w:rFonts w:eastAsia="Times New Roman" w:cs="Times New Roman"/>
                <w:color w:val="000000"/>
                <w:szCs w:val="24"/>
              </w:rPr>
            </w:pPr>
            <w:r w:rsidRPr="006F0544">
              <w:rPr>
                <w:rFonts w:cs="Times New Roman"/>
                <w:color w:val="000000"/>
                <w:szCs w:val="24"/>
              </w:rPr>
              <w:t>1</w:t>
            </w:r>
          </w:p>
        </w:tc>
        <w:tc>
          <w:tcPr>
            <w:tcW w:w="1394" w:type="dxa"/>
            <w:vAlign w:val="center"/>
          </w:tcPr>
          <w:p w14:paraId="0279D628" w14:textId="77777777" w:rsidR="00D0092D" w:rsidRPr="006F0544" w:rsidRDefault="00D0092D" w:rsidP="00D0092D">
            <w:pPr>
              <w:spacing w:line="240" w:lineRule="auto"/>
              <w:jc w:val="center"/>
              <w:rPr>
                <w:rFonts w:eastAsia="Times New Roman" w:cs="Times New Roman"/>
                <w:color w:val="000000"/>
                <w:szCs w:val="24"/>
              </w:rPr>
            </w:pPr>
            <w:r w:rsidRPr="006F0544">
              <w:rPr>
                <w:rFonts w:cs="Times New Roman"/>
                <w:color w:val="000000"/>
                <w:szCs w:val="24"/>
              </w:rPr>
              <w:t>0.02%</w:t>
            </w:r>
          </w:p>
        </w:tc>
        <w:tc>
          <w:tcPr>
            <w:tcW w:w="1391" w:type="dxa"/>
            <w:vAlign w:val="center"/>
          </w:tcPr>
          <w:p w14:paraId="17196405" w14:textId="0E292FD6" w:rsidR="00D0092D" w:rsidRPr="006F0544" w:rsidRDefault="00D0092D" w:rsidP="00D0092D">
            <w:pPr>
              <w:spacing w:line="240" w:lineRule="auto"/>
              <w:jc w:val="center"/>
              <w:rPr>
                <w:rFonts w:eastAsia="Times New Roman" w:cs="Times New Roman"/>
                <w:color w:val="000000"/>
                <w:szCs w:val="24"/>
              </w:rPr>
            </w:pPr>
            <w:r w:rsidRPr="00733891">
              <w:rPr>
                <w:rFonts w:cs="Times New Roman"/>
                <w:color w:val="000000"/>
                <w:szCs w:val="24"/>
              </w:rPr>
              <w:t>14,807</w:t>
            </w:r>
          </w:p>
        </w:tc>
        <w:tc>
          <w:tcPr>
            <w:tcW w:w="1391" w:type="dxa"/>
            <w:vAlign w:val="center"/>
          </w:tcPr>
          <w:p w14:paraId="441EE318" w14:textId="5D1CD5D2" w:rsidR="00D0092D" w:rsidRPr="006F0544" w:rsidRDefault="00D0092D" w:rsidP="00957074">
            <w:pPr>
              <w:spacing w:line="240" w:lineRule="auto"/>
              <w:jc w:val="center"/>
              <w:rPr>
                <w:rFonts w:eastAsia="Times New Roman" w:cs="Times New Roman"/>
                <w:color w:val="000000"/>
                <w:szCs w:val="24"/>
              </w:rPr>
            </w:pPr>
            <w:r w:rsidRPr="0099150D">
              <w:t>6</w:t>
            </w:r>
          </w:p>
        </w:tc>
        <w:tc>
          <w:tcPr>
            <w:tcW w:w="1392" w:type="dxa"/>
            <w:vAlign w:val="center"/>
          </w:tcPr>
          <w:p w14:paraId="6FFAE0F0" w14:textId="3643B228" w:rsidR="00D0092D" w:rsidRPr="006F0544" w:rsidRDefault="00D0092D" w:rsidP="00CA4403">
            <w:pPr>
              <w:spacing w:line="240" w:lineRule="auto"/>
              <w:jc w:val="center"/>
              <w:rPr>
                <w:rFonts w:eastAsia="Times New Roman" w:cs="Times New Roman"/>
                <w:color w:val="000000"/>
                <w:szCs w:val="24"/>
              </w:rPr>
            </w:pPr>
            <w:r w:rsidRPr="000E1315">
              <w:t>0.04%</w:t>
            </w:r>
          </w:p>
        </w:tc>
      </w:tr>
    </w:tbl>
    <w:p w14:paraId="46235BF2" w14:textId="0FEAE700" w:rsidR="004C643B" w:rsidRPr="004C5067" w:rsidRDefault="00EC7472" w:rsidP="00521AA5">
      <w:pPr>
        <w:spacing w:after="0" w:line="259" w:lineRule="auto"/>
        <w:rPr>
          <w:sz w:val="18"/>
          <w:szCs w:val="16"/>
        </w:rPr>
        <w:sectPr w:rsidR="004C643B" w:rsidRPr="004C5067" w:rsidSect="00936980">
          <w:pgSz w:w="15840" w:h="12240" w:orient="landscape" w:code="1"/>
          <w:pgMar w:top="1440" w:right="1440" w:bottom="1440" w:left="1440" w:header="720" w:footer="720" w:gutter="0"/>
          <w:cols w:space="720"/>
          <w:docGrid w:linePitch="360"/>
        </w:sectPr>
      </w:pPr>
      <w:r>
        <w:rPr>
          <w:sz w:val="18"/>
          <w:szCs w:val="16"/>
        </w:rPr>
        <w:t>Note: Values may not sum due to rounding. Fatalities and non-fatal injuries prevented are rounded to the nearest whole number for presentation purposes.</w:t>
      </w:r>
    </w:p>
    <w:p w14:paraId="558B2FE7" w14:textId="1A2318D5" w:rsidR="00010800" w:rsidRPr="00897AED" w:rsidRDefault="000F5B51" w:rsidP="0021691D">
      <w:r>
        <w:lastRenderedPageBreak/>
        <w:fldChar w:fldCharType="begin"/>
      </w:r>
      <w:r>
        <w:instrText xml:space="preserve"> REF _Ref126915017 \h </w:instrText>
      </w:r>
      <w:r>
        <w:fldChar w:fldCharType="separate"/>
      </w:r>
      <w:r w:rsidR="00A65CB3">
        <w:t xml:space="preserve">Table </w:t>
      </w:r>
      <w:r w:rsidR="00A65CB3">
        <w:rPr>
          <w:noProof/>
        </w:rPr>
        <w:t>99</w:t>
      </w:r>
      <w:r>
        <w:fldChar w:fldCharType="end"/>
      </w:r>
      <w:r w:rsidR="001B69DA">
        <w:t xml:space="preserve"> presents the discounted net benefits for the 90-second warning</w:t>
      </w:r>
      <w:r w:rsidR="001F2F92" w:rsidRPr="00957074">
        <w:t xml:space="preserve">. </w:t>
      </w:r>
      <w:r w:rsidR="00FC1D9C" w:rsidRPr="00957074">
        <w:t xml:space="preserve">When discounted at three and seven percent, net benefits for the </w:t>
      </w:r>
      <w:r w:rsidR="001B69DA" w:rsidRPr="00CA4403">
        <w:t xml:space="preserve">90-second warning </w:t>
      </w:r>
      <w:r w:rsidR="00FC1D9C" w:rsidRPr="0064493F">
        <w:t xml:space="preserve">are estimated at </w:t>
      </w:r>
      <w:r w:rsidR="00FD6534" w:rsidRPr="002B32F9">
        <w:t>approximately $69</w:t>
      </w:r>
      <w:r w:rsidR="00DC4886" w:rsidRPr="00E36E8E">
        <w:t xml:space="preserve"> million</w:t>
      </w:r>
      <w:r w:rsidR="00FD6534" w:rsidRPr="00E36E8E">
        <w:t xml:space="preserve"> and $5</w:t>
      </w:r>
      <w:r w:rsidR="00787DDB" w:rsidRPr="00521AA5">
        <w:t>6</w:t>
      </w:r>
      <w:r w:rsidR="00FD6534" w:rsidRPr="00957074">
        <w:t xml:space="preserve"> </w:t>
      </w:r>
      <w:r w:rsidR="009064F3" w:rsidRPr="00957074">
        <w:t>million</w:t>
      </w:r>
      <w:r w:rsidR="00FD6534" w:rsidRPr="00A57826">
        <w:t xml:space="preserve">, </w:t>
      </w:r>
      <w:r w:rsidR="009064F3" w:rsidRPr="00CA4403">
        <w:t>respectively</w:t>
      </w:r>
      <w:r w:rsidR="001F2F92" w:rsidRPr="0064493F">
        <w:t xml:space="preserve">. </w:t>
      </w:r>
      <w:r w:rsidR="009064F3" w:rsidRPr="002B32F9">
        <w:t>Overall</w:t>
      </w:r>
      <w:r w:rsidR="00FD6534" w:rsidRPr="00E36E8E">
        <w:t xml:space="preserve">, </w:t>
      </w:r>
      <w:r w:rsidR="009064F3" w:rsidRPr="00E36E8E">
        <w:t xml:space="preserve">discounted </w:t>
      </w:r>
      <w:r w:rsidR="00FE391C" w:rsidRPr="002561F1">
        <w:t>net benefits for this regulatory alternative are lower than that of the proposed rule.</w:t>
      </w:r>
    </w:p>
    <w:p w14:paraId="57B98B5B" w14:textId="50BD91F3" w:rsidR="007E2E91" w:rsidRDefault="000F5B51" w:rsidP="00010800">
      <w:pPr>
        <w:pStyle w:val="Caption"/>
      </w:pPr>
      <w:bookmarkStart w:id="1760" w:name="_Ref126915017"/>
      <w:r>
        <w:t xml:space="preserve">Table </w:t>
      </w:r>
      <w:r w:rsidR="00115BAB">
        <w:fldChar w:fldCharType="begin"/>
      </w:r>
      <w:r>
        <w:instrText xml:space="preserve"> SEQ Table \* ARABIC </w:instrText>
      </w:r>
      <w:r w:rsidR="00115BAB">
        <w:fldChar w:fldCharType="separate"/>
      </w:r>
      <w:r w:rsidR="00A65CB3">
        <w:rPr>
          <w:noProof/>
        </w:rPr>
        <w:t>99</w:t>
      </w:r>
      <w:r w:rsidR="00115BAB">
        <w:rPr>
          <w:noProof/>
        </w:rPr>
        <w:fldChar w:fldCharType="end"/>
      </w:r>
      <w:bookmarkEnd w:id="1760"/>
      <w:r>
        <w:t xml:space="preserve">: </w:t>
      </w:r>
      <w:r w:rsidR="001B69DA">
        <w:t xml:space="preserve">Discounted </w:t>
      </w:r>
      <w:r>
        <w:t>Net Benefits for 90-Second Warning</w:t>
      </w:r>
      <w:r w:rsidR="006F0544">
        <w:t xml:space="preserve"> (Millions)</w:t>
      </w:r>
    </w:p>
    <w:tbl>
      <w:tblPr>
        <w:tblStyle w:val="TableGrid3"/>
        <w:tblW w:w="9862" w:type="dxa"/>
        <w:tblLook w:val="04A0" w:firstRow="1" w:lastRow="0" w:firstColumn="1" w:lastColumn="0" w:noHBand="0" w:noVBand="1"/>
      </w:tblPr>
      <w:tblGrid>
        <w:gridCol w:w="4508"/>
        <w:gridCol w:w="2677"/>
        <w:gridCol w:w="2677"/>
      </w:tblGrid>
      <w:tr w:rsidR="00A15C2C" w14:paraId="117D0304" w14:textId="77777777" w:rsidTr="00A807D0">
        <w:trPr>
          <w:trHeight w:val="621"/>
        </w:trPr>
        <w:tc>
          <w:tcPr>
            <w:tcW w:w="4508" w:type="dxa"/>
            <w:vMerge w:val="restart"/>
            <w:shd w:val="clear" w:color="auto" w:fill="BFBFBF" w:themeFill="background1" w:themeFillShade="BF"/>
            <w:noWrap/>
            <w:vAlign w:val="center"/>
          </w:tcPr>
          <w:p w14:paraId="0424051E" w14:textId="77777777" w:rsidR="007E2E91" w:rsidRDefault="000F5B51" w:rsidP="00A807D0">
            <w:pPr>
              <w:spacing w:line="240" w:lineRule="auto"/>
              <w:rPr>
                <w:b/>
                <w:bCs/>
              </w:rPr>
            </w:pPr>
            <w:r>
              <w:rPr>
                <w:b/>
                <w:bCs/>
              </w:rPr>
              <w:t>Category</w:t>
            </w:r>
          </w:p>
        </w:tc>
        <w:tc>
          <w:tcPr>
            <w:tcW w:w="5354" w:type="dxa"/>
            <w:gridSpan w:val="2"/>
            <w:shd w:val="clear" w:color="auto" w:fill="BFBFBF" w:themeFill="background1" w:themeFillShade="BF"/>
            <w:vAlign w:val="center"/>
          </w:tcPr>
          <w:p w14:paraId="74E50851" w14:textId="77777777" w:rsidR="007E2E91" w:rsidRPr="00572735" w:rsidRDefault="000F5B51" w:rsidP="00A807D0">
            <w:pPr>
              <w:spacing w:line="240" w:lineRule="auto"/>
              <w:jc w:val="center"/>
              <w:rPr>
                <w:b/>
                <w:bCs/>
              </w:rPr>
            </w:pPr>
            <w:r>
              <w:rPr>
                <w:b/>
                <w:bCs/>
              </w:rPr>
              <w:t>Discount Rate</w:t>
            </w:r>
          </w:p>
        </w:tc>
      </w:tr>
      <w:tr w:rsidR="00A15C2C" w14:paraId="1977D4B5" w14:textId="77777777" w:rsidTr="00A807D0">
        <w:trPr>
          <w:trHeight w:val="77"/>
        </w:trPr>
        <w:tc>
          <w:tcPr>
            <w:tcW w:w="4508" w:type="dxa"/>
            <w:vMerge/>
            <w:shd w:val="clear" w:color="auto" w:fill="BFBFBF" w:themeFill="background1" w:themeFillShade="BF"/>
            <w:noWrap/>
            <w:hideMark/>
          </w:tcPr>
          <w:p w14:paraId="03E96009" w14:textId="77777777" w:rsidR="007E2E91" w:rsidRPr="00572735" w:rsidRDefault="007E2E91" w:rsidP="00A807D0">
            <w:pPr>
              <w:spacing w:line="240" w:lineRule="auto"/>
              <w:rPr>
                <w:b/>
                <w:bCs/>
              </w:rPr>
            </w:pPr>
          </w:p>
        </w:tc>
        <w:tc>
          <w:tcPr>
            <w:tcW w:w="2677" w:type="dxa"/>
            <w:shd w:val="clear" w:color="auto" w:fill="BFBFBF" w:themeFill="background1" w:themeFillShade="BF"/>
            <w:vAlign w:val="center"/>
          </w:tcPr>
          <w:p w14:paraId="2B15F9DC" w14:textId="77777777" w:rsidR="007E2E91" w:rsidRPr="00572735" w:rsidRDefault="000F5B51" w:rsidP="00A807D0">
            <w:pPr>
              <w:spacing w:line="240" w:lineRule="auto"/>
              <w:jc w:val="center"/>
              <w:rPr>
                <w:b/>
                <w:bCs/>
              </w:rPr>
            </w:pPr>
            <w:r>
              <w:rPr>
                <w:b/>
                <w:bCs/>
              </w:rPr>
              <w:t>3%</w:t>
            </w:r>
          </w:p>
        </w:tc>
        <w:tc>
          <w:tcPr>
            <w:tcW w:w="2677" w:type="dxa"/>
            <w:shd w:val="clear" w:color="auto" w:fill="BFBFBF" w:themeFill="background1" w:themeFillShade="BF"/>
            <w:vAlign w:val="center"/>
          </w:tcPr>
          <w:p w14:paraId="051F366E" w14:textId="77777777" w:rsidR="007E2E91" w:rsidRPr="00572735" w:rsidRDefault="000F5B51" w:rsidP="00A807D0">
            <w:pPr>
              <w:spacing w:line="240" w:lineRule="auto"/>
              <w:jc w:val="center"/>
              <w:rPr>
                <w:b/>
                <w:bCs/>
              </w:rPr>
            </w:pPr>
            <w:r w:rsidRPr="00572735">
              <w:rPr>
                <w:b/>
                <w:bCs/>
              </w:rPr>
              <w:t>7%</w:t>
            </w:r>
          </w:p>
        </w:tc>
      </w:tr>
      <w:tr w:rsidR="00A15C2C" w14:paraId="07BCB1EF" w14:textId="77777777" w:rsidTr="0021691D">
        <w:trPr>
          <w:trHeight w:val="397"/>
        </w:trPr>
        <w:tc>
          <w:tcPr>
            <w:tcW w:w="4508" w:type="dxa"/>
            <w:noWrap/>
            <w:vAlign w:val="center"/>
            <w:hideMark/>
          </w:tcPr>
          <w:p w14:paraId="2527E6D1" w14:textId="77777777" w:rsidR="007E2E91" w:rsidRPr="00BC6246" w:rsidRDefault="000F5B51">
            <w:pPr>
              <w:spacing w:line="240" w:lineRule="auto"/>
            </w:pPr>
            <w:r w:rsidRPr="00BC6246">
              <w:t>Driver</w:t>
            </w:r>
          </w:p>
        </w:tc>
        <w:tc>
          <w:tcPr>
            <w:tcW w:w="2677" w:type="dxa"/>
            <w:vAlign w:val="center"/>
          </w:tcPr>
          <w:p w14:paraId="06CEA936" w14:textId="1D472E35" w:rsidR="007E2E91" w:rsidRPr="00BC6246" w:rsidRDefault="005E125D" w:rsidP="00A807D0">
            <w:pPr>
              <w:spacing w:line="240" w:lineRule="auto"/>
              <w:jc w:val="center"/>
            </w:pPr>
            <w:r>
              <w:t>$6</w:t>
            </w:r>
            <w:r w:rsidR="00CC51F5">
              <w:t>2.87</w:t>
            </w:r>
          </w:p>
        </w:tc>
        <w:tc>
          <w:tcPr>
            <w:tcW w:w="2677" w:type="dxa"/>
            <w:vAlign w:val="center"/>
          </w:tcPr>
          <w:p w14:paraId="413E2275" w14:textId="4EC4709C" w:rsidR="007E2E91" w:rsidRPr="00BC6246" w:rsidRDefault="00656EA7" w:rsidP="00A807D0">
            <w:pPr>
              <w:spacing w:line="240" w:lineRule="auto"/>
              <w:jc w:val="center"/>
            </w:pPr>
            <w:r>
              <w:t>$</w:t>
            </w:r>
            <w:r w:rsidR="00CC51F5">
              <w:t>50.98</w:t>
            </w:r>
          </w:p>
        </w:tc>
      </w:tr>
      <w:tr w:rsidR="00A15C2C" w14:paraId="3EE249FE" w14:textId="77777777" w:rsidTr="0021691D">
        <w:trPr>
          <w:trHeight w:val="397"/>
        </w:trPr>
        <w:tc>
          <w:tcPr>
            <w:tcW w:w="4508" w:type="dxa"/>
            <w:noWrap/>
            <w:vAlign w:val="center"/>
            <w:hideMark/>
          </w:tcPr>
          <w:p w14:paraId="6D02BF9D" w14:textId="77777777" w:rsidR="007E2E91" w:rsidRPr="00BC6246" w:rsidRDefault="000F5B51">
            <w:pPr>
              <w:spacing w:line="240" w:lineRule="auto"/>
            </w:pPr>
            <w:r>
              <w:t>Right Front Seat Occu</w:t>
            </w:r>
            <w:r w:rsidR="00D34248">
              <w:t>pant</w:t>
            </w:r>
          </w:p>
        </w:tc>
        <w:tc>
          <w:tcPr>
            <w:tcW w:w="2677" w:type="dxa"/>
            <w:vAlign w:val="center"/>
          </w:tcPr>
          <w:p w14:paraId="1D7DE72B" w14:textId="77777777" w:rsidR="007E2E91" w:rsidRPr="00BC6246" w:rsidRDefault="000F5B51" w:rsidP="00A807D0">
            <w:pPr>
              <w:spacing w:line="240" w:lineRule="auto"/>
              <w:jc w:val="center"/>
            </w:pPr>
            <w:r w:rsidRPr="00BC6246">
              <w:t>$6.32</w:t>
            </w:r>
          </w:p>
        </w:tc>
        <w:tc>
          <w:tcPr>
            <w:tcW w:w="2677" w:type="dxa"/>
            <w:vAlign w:val="center"/>
          </w:tcPr>
          <w:p w14:paraId="021A1D4A" w14:textId="77777777" w:rsidR="007E2E91" w:rsidRPr="00BC6246" w:rsidRDefault="000F5B51" w:rsidP="00A807D0">
            <w:pPr>
              <w:spacing w:line="240" w:lineRule="auto"/>
              <w:jc w:val="center"/>
            </w:pPr>
            <w:r w:rsidRPr="00BC6246">
              <w:t>$4.87</w:t>
            </w:r>
          </w:p>
        </w:tc>
      </w:tr>
      <w:tr w:rsidR="00A15C2C" w14:paraId="420C3444" w14:textId="77777777" w:rsidTr="00DF4202">
        <w:trPr>
          <w:trHeight w:val="397"/>
        </w:trPr>
        <w:tc>
          <w:tcPr>
            <w:tcW w:w="4508" w:type="dxa"/>
            <w:tcBorders>
              <w:bottom w:val="single" w:sz="4" w:space="0" w:color="auto"/>
            </w:tcBorders>
            <w:noWrap/>
            <w:vAlign w:val="center"/>
            <w:hideMark/>
          </w:tcPr>
          <w:p w14:paraId="0A3D7244" w14:textId="77777777" w:rsidR="007E2E91" w:rsidRPr="0021691D" w:rsidRDefault="000F5B51">
            <w:pPr>
              <w:spacing w:line="240" w:lineRule="auto"/>
              <w:rPr>
                <w:b/>
                <w:bCs/>
              </w:rPr>
            </w:pPr>
            <w:r w:rsidRPr="0021691D">
              <w:rPr>
                <w:b/>
                <w:bCs/>
              </w:rPr>
              <w:t xml:space="preserve">Total </w:t>
            </w:r>
          </w:p>
        </w:tc>
        <w:tc>
          <w:tcPr>
            <w:tcW w:w="2677" w:type="dxa"/>
            <w:tcBorders>
              <w:bottom w:val="single" w:sz="4" w:space="0" w:color="auto"/>
            </w:tcBorders>
            <w:vAlign w:val="center"/>
          </w:tcPr>
          <w:p w14:paraId="72554EC7" w14:textId="6120E3D7" w:rsidR="007E2E91" w:rsidRPr="0021691D" w:rsidRDefault="004A4680" w:rsidP="00A807D0">
            <w:pPr>
              <w:spacing w:line="240" w:lineRule="auto"/>
              <w:jc w:val="center"/>
              <w:rPr>
                <w:b/>
                <w:bCs/>
              </w:rPr>
            </w:pPr>
            <w:r>
              <w:rPr>
                <w:b/>
                <w:bCs/>
              </w:rPr>
              <w:t>$69.19</w:t>
            </w:r>
          </w:p>
        </w:tc>
        <w:tc>
          <w:tcPr>
            <w:tcW w:w="2677" w:type="dxa"/>
            <w:tcBorders>
              <w:bottom w:val="single" w:sz="4" w:space="0" w:color="auto"/>
            </w:tcBorders>
            <w:vAlign w:val="center"/>
          </w:tcPr>
          <w:p w14:paraId="4DBC0B59" w14:textId="45D1A0C6" w:rsidR="007E2E91" w:rsidRPr="0021691D" w:rsidRDefault="004A4680" w:rsidP="00A807D0">
            <w:pPr>
              <w:spacing w:line="240" w:lineRule="auto"/>
              <w:jc w:val="center"/>
              <w:rPr>
                <w:b/>
                <w:bCs/>
              </w:rPr>
            </w:pPr>
            <w:r>
              <w:rPr>
                <w:b/>
                <w:bCs/>
              </w:rPr>
              <w:t>$55.85</w:t>
            </w:r>
          </w:p>
        </w:tc>
      </w:tr>
    </w:tbl>
    <w:p w14:paraId="693DF3DC" w14:textId="77777777" w:rsidR="007E2E91" w:rsidRPr="0021691D" w:rsidRDefault="000F5B51" w:rsidP="0021691D">
      <w:pPr>
        <w:spacing w:line="240" w:lineRule="auto"/>
        <w:rPr>
          <w:sz w:val="18"/>
          <w:szCs w:val="18"/>
        </w:rPr>
      </w:pPr>
      <w:r w:rsidRPr="0021691D">
        <w:rPr>
          <w:sz w:val="18"/>
          <w:szCs w:val="18"/>
        </w:rPr>
        <w:t>Note: Values may not sum due to rounding.</w:t>
      </w:r>
    </w:p>
    <w:p w14:paraId="08C132FD" w14:textId="77777777" w:rsidR="00694A18" w:rsidRDefault="000F5B51" w:rsidP="00D65552">
      <w:pPr>
        <w:pStyle w:val="Heading2"/>
        <w:keepNext w:val="0"/>
        <w:keepLines w:val="0"/>
        <w:widowControl w:val="0"/>
        <w:spacing w:before="0" w:line="240" w:lineRule="auto"/>
      </w:pPr>
      <w:bookmarkStart w:id="1761" w:name="_Toc127267807"/>
      <w:bookmarkStart w:id="1762" w:name="_Toc127267808"/>
      <w:bookmarkStart w:id="1763" w:name="_Toc126591299"/>
      <w:bookmarkStart w:id="1764" w:name="_Toc126914062"/>
      <w:bookmarkStart w:id="1765" w:name="_Toc127267809"/>
      <w:bookmarkStart w:id="1766" w:name="_Toc126591300"/>
      <w:bookmarkStart w:id="1767" w:name="_Toc126914063"/>
      <w:bookmarkStart w:id="1768" w:name="_Toc127267810"/>
      <w:bookmarkStart w:id="1769" w:name="_Toc127267812"/>
      <w:bookmarkStart w:id="1770" w:name="_Toc127267813"/>
      <w:bookmarkStart w:id="1771" w:name="_Toc127267814"/>
      <w:bookmarkStart w:id="1772" w:name="_Toc127267815"/>
      <w:bookmarkStart w:id="1773" w:name="_Toc127267816"/>
      <w:bookmarkStart w:id="1774" w:name="_Toc127267962"/>
      <w:bookmarkStart w:id="1775" w:name="_Toc127267963"/>
      <w:bookmarkStart w:id="1776" w:name="_Toc127267964"/>
      <w:bookmarkStart w:id="1777" w:name="_Toc127267965"/>
      <w:bookmarkStart w:id="1778" w:name="_Toc127267985"/>
      <w:bookmarkStart w:id="1779" w:name="_Toc127267986"/>
      <w:bookmarkStart w:id="1780" w:name="_Toc127267987"/>
      <w:bookmarkStart w:id="1781" w:name="_Toc127267988"/>
      <w:bookmarkStart w:id="1782" w:name="_Toc127267989"/>
      <w:bookmarkStart w:id="1783" w:name="_Toc127267990"/>
      <w:bookmarkStart w:id="1784" w:name="_Toc127267991"/>
      <w:bookmarkStart w:id="1785" w:name="_Toc127267992"/>
      <w:bookmarkStart w:id="1786" w:name="_Toc126914067"/>
      <w:bookmarkStart w:id="1787" w:name="_Toc127267993"/>
      <w:bookmarkStart w:id="1788" w:name="_Toc126914068"/>
      <w:bookmarkStart w:id="1789" w:name="_Toc127267994"/>
      <w:bookmarkStart w:id="1790" w:name="_Toc126914348"/>
      <w:bookmarkStart w:id="1791" w:name="_Toc127268274"/>
      <w:bookmarkStart w:id="1792" w:name="_Toc126914349"/>
      <w:bookmarkStart w:id="1793" w:name="_Toc127268275"/>
      <w:bookmarkStart w:id="1794" w:name="_Toc126914350"/>
      <w:bookmarkStart w:id="1795" w:name="_Toc127268276"/>
      <w:bookmarkStart w:id="1796" w:name="_Toc126914351"/>
      <w:bookmarkStart w:id="1797" w:name="_Toc127268277"/>
      <w:bookmarkStart w:id="1798" w:name="_Toc126914352"/>
      <w:bookmarkStart w:id="1799" w:name="_Toc127268278"/>
      <w:bookmarkStart w:id="1800" w:name="_Toc126914353"/>
      <w:bookmarkStart w:id="1801" w:name="_Toc127268279"/>
      <w:bookmarkStart w:id="1802" w:name="_Toc126914425"/>
      <w:bookmarkStart w:id="1803" w:name="_Toc127268351"/>
      <w:bookmarkStart w:id="1804" w:name="_Toc126914426"/>
      <w:bookmarkStart w:id="1805" w:name="_Toc127268352"/>
      <w:bookmarkStart w:id="1806" w:name="_Toc126914427"/>
      <w:bookmarkStart w:id="1807" w:name="_Toc127268353"/>
      <w:bookmarkStart w:id="1808" w:name="_Toc126914472"/>
      <w:bookmarkStart w:id="1809" w:name="_Toc127268398"/>
      <w:bookmarkStart w:id="1810" w:name="_Toc126914473"/>
      <w:bookmarkStart w:id="1811" w:name="_Toc127268399"/>
      <w:bookmarkStart w:id="1812" w:name="_Toc126914474"/>
      <w:bookmarkStart w:id="1813" w:name="_Toc127268400"/>
      <w:bookmarkStart w:id="1814" w:name="_Toc126914519"/>
      <w:bookmarkStart w:id="1815" w:name="_Toc127268445"/>
      <w:bookmarkStart w:id="1816" w:name="_Toc126914520"/>
      <w:bookmarkStart w:id="1817" w:name="_Toc127268446"/>
      <w:bookmarkStart w:id="1818" w:name="_Toc126914521"/>
      <w:bookmarkStart w:id="1819" w:name="_Toc127268447"/>
      <w:bookmarkStart w:id="1820" w:name="_Toc127268448"/>
      <w:bookmarkStart w:id="1821" w:name="_Toc127268449"/>
      <w:bookmarkStart w:id="1822" w:name="_Toc127268450"/>
      <w:bookmarkStart w:id="1823" w:name="_Toc393388702"/>
      <w:bookmarkStart w:id="1824" w:name="_Toc393388704"/>
      <w:bookmarkStart w:id="1825" w:name="_Toc393388705"/>
      <w:bookmarkStart w:id="1826" w:name="_Toc393388709"/>
      <w:bookmarkStart w:id="1827" w:name="_Toc393388724"/>
      <w:bookmarkStart w:id="1828" w:name="_Toc393388725"/>
      <w:bookmarkStart w:id="1829" w:name="_Toc127268459"/>
      <w:bookmarkStart w:id="1830" w:name="_Toc127268460"/>
      <w:bookmarkStart w:id="1831" w:name="_Toc127268469"/>
      <w:bookmarkStart w:id="1832" w:name="_Toc127268470"/>
      <w:bookmarkStart w:id="1833" w:name="_Toc127268471"/>
      <w:bookmarkStart w:id="1834" w:name="_Toc127268472"/>
      <w:bookmarkStart w:id="1835" w:name="_Toc127268473"/>
      <w:bookmarkStart w:id="1836" w:name="_Toc127268474"/>
      <w:bookmarkStart w:id="1837" w:name="_Toc127268475"/>
      <w:bookmarkStart w:id="1838" w:name="_Toc127268476"/>
      <w:bookmarkStart w:id="1839" w:name="_Toc127268477"/>
      <w:bookmarkStart w:id="1840" w:name="_Toc127268478"/>
      <w:bookmarkStart w:id="1841" w:name="_Toc127268479"/>
      <w:bookmarkStart w:id="1842" w:name="_Toc126591321"/>
      <w:bookmarkStart w:id="1843" w:name="_Toc126914539"/>
      <w:bookmarkStart w:id="1844" w:name="_Toc127268496"/>
      <w:bookmarkStart w:id="1845" w:name="_Toc126591322"/>
      <w:bookmarkStart w:id="1846" w:name="_Toc126914540"/>
      <w:bookmarkStart w:id="1847" w:name="_Toc127268497"/>
      <w:bookmarkStart w:id="1848" w:name="_Toc126591323"/>
      <w:bookmarkStart w:id="1849" w:name="_Toc126914541"/>
      <w:bookmarkStart w:id="1850" w:name="_Toc127268498"/>
      <w:bookmarkStart w:id="1851" w:name="_Toc126591324"/>
      <w:bookmarkStart w:id="1852" w:name="_Toc126914542"/>
      <w:bookmarkStart w:id="1853" w:name="_Toc127268499"/>
      <w:bookmarkStart w:id="1854" w:name="_Toc126591325"/>
      <w:bookmarkStart w:id="1855" w:name="_Toc126914543"/>
      <w:bookmarkStart w:id="1856" w:name="_Toc127268500"/>
      <w:bookmarkStart w:id="1857" w:name="_Toc126591370"/>
      <w:bookmarkStart w:id="1858" w:name="_Toc126914588"/>
      <w:bookmarkStart w:id="1859" w:name="_Toc127268545"/>
      <w:bookmarkStart w:id="1860" w:name="_Toc126591371"/>
      <w:bookmarkStart w:id="1861" w:name="_Toc126914589"/>
      <w:bookmarkStart w:id="1862" w:name="_Toc127268546"/>
      <w:bookmarkStart w:id="1863" w:name="_Toc126591372"/>
      <w:bookmarkStart w:id="1864" w:name="_Toc126914590"/>
      <w:bookmarkStart w:id="1865" w:name="_Toc127268547"/>
      <w:bookmarkStart w:id="1866" w:name="_Toc126591417"/>
      <w:bookmarkStart w:id="1867" w:name="_Toc126914635"/>
      <w:bookmarkStart w:id="1868" w:name="_Toc127268592"/>
      <w:bookmarkStart w:id="1869" w:name="_Toc126591418"/>
      <w:bookmarkStart w:id="1870" w:name="_Toc126914636"/>
      <w:bookmarkStart w:id="1871" w:name="_Toc127268593"/>
      <w:bookmarkStart w:id="1872" w:name="_Toc126591419"/>
      <w:bookmarkStart w:id="1873" w:name="_Toc126914637"/>
      <w:bookmarkStart w:id="1874" w:name="_Toc127268594"/>
      <w:bookmarkStart w:id="1875" w:name="_Toc126591434"/>
      <w:bookmarkStart w:id="1876" w:name="_Toc126914652"/>
      <w:bookmarkStart w:id="1877" w:name="_Toc127268609"/>
      <w:bookmarkStart w:id="1878" w:name="_Toc126591435"/>
      <w:bookmarkStart w:id="1879" w:name="_Toc126914653"/>
      <w:bookmarkStart w:id="1880" w:name="_Toc127268610"/>
      <w:bookmarkStart w:id="1881" w:name="_Toc126591436"/>
      <w:bookmarkStart w:id="1882" w:name="_Toc126914654"/>
      <w:bookmarkStart w:id="1883" w:name="_Toc127268611"/>
      <w:bookmarkStart w:id="1884" w:name="_Toc126591451"/>
      <w:bookmarkStart w:id="1885" w:name="_Toc126914669"/>
      <w:bookmarkStart w:id="1886" w:name="_Toc127268626"/>
      <w:bookmarkStart w:id="1887" w:name="_Toc126914670"/>
      <w:bookmarkStart w:id="1888" w:name="_Toc127268627"/>
      <w:bookmarkStart w:id="1889" w:name="_Toc126914671"/>
      <w:bookmarkStart w:id="1890" w:name="_Toc127268628"/>
      <w:bookmarkStart w:id="1891" w:name="_Toc126914817"/>
      <w:bookmarkStart w:id="1892" w:name="_Toc127268774"/>
      <w:bookmarkStart w:id="1893" w:name="_Toc126914818"/>
      <w:bookmarkStart w:id="1894" w:name="_Toc127268775"/>
      <w:bookmarkStart w:id="1895" w:name="_Toc126914819"/>
      <w:bookmarkStart w:id="1896" w:name="_Toc127268776"/>
      <w:bookmarkStart w:id="1897" w:name="_Toc126914820"/>
      <w:bookmarkStart w:id="1898" w:name="_Toc127268777"/>
      <w:bookmarkStart w:id="1899" w:name="_Toc126914821"/>
      <w:bookmarkStart w:id="1900" w:name="_Toc127268778"/>
      <w:bookmarkStart w:id="1901" w:name="_Toc126914822"/>
      <w:bookmarkStart w:id="1902" w:name="_Toc127268779"/>
      <w:bookmarkStart w:id="1903" w:name="_Toc126914823"/>
      <w:bookmarkStart w:id="1904" w:name="_Toc127268780"/>
      <w:bookmarkStart w:id="1905" w:name="_Toc126914824"/>
      <w:bookmarkStart w:id="1906" w:name="_Toc127268781"/>
      <w:bookmarkStart w:id="1907" w:name="_Toc126914970"/>
      <w:bookmarkStart w:id="1908" w:name="_Toc127268927"/>
      <w:bookmarkStart w:id="1909" w:name="_Toc126914971"/>
      <w:bookmarkStart w:id="1910" w:name="_Toc127268928"/>
      <w:bookmarkStart w:id="1911" w:name="_Toc126914972"/>
      <w:bookmarkStart w:id="1912" w:name="_Toc127268929"/>
      <w:bookmarkStart w:id="1913" w:name="_Toc126914974"/>
      <w:bookmarkStart w:id="1914" w:name="_Toc127268931"/>
      <w:bookmarkStart w:id="1915" w:name="_Toc126914975"/>
      <w:bookmarkStart w:id="1916" w:name="_Toc127268932"/>
      <w:bookmarkStart w:id="1917" w:name="_Toc126591453"/>
      <w:bookmarkStart w:id="1918" w:name="_Toc126914976"/>
      <w:bookmarkStart w:id="1919" w:name="_Toc127268933"/>
      <w:bookmarkStart w:id="1920" w:name="_Toc126591454"/>
      <w:bookmarkStart w:id="1921" w:name="_Toc126914977"/>
      <w:bookmarkStart w:id="1922" w:name="_Toc127268934"/>
      <w:bookmarkStart w:id="1923" w:name="_Toc126914978"/>
      <w:bookmarkStart w:id="1924" w:name="_Toc126591455"/>
      <w:bookmarkStart w:id="1925" w:name="_Toc126914979"/>
      <w:bookmarkStart w:id="1926" w:name="_Toc127268935"/>
      <w:bookmarkStart w:id="1927" w:name="_Toc126591456"/>
      <w:bookmarkStart w:id="1928" w:name="_Toc126914980"/>
      <w:bookmarkStart w:id="1929" w:name="_Toc127268936"/>
      <w:bookmarkStart w:id="1930" w:name="_Toc126591457"/>
      <w:bookmarkStart w:id="1931" w:name="_Toc126914981"/>
      <w:bookmarkStart w:id="1932" w:name="_Toc127268937"/>
      <w:bookmarkStart w:id="1933" w:name="_Toc126591458"/>
      <w:bookmarkStart w:id="1934" w:name="_Toc126914982"/>
      <w:bookmarkStart w:id="1935" w:name="_Toc127268938"/>
      <w:bookmarkStart w:id="1936" w:name="_Toc126591459"/>
      <w:bookmarkStart w:id="1937" w:name="_Toc126914983"/>
      <w:bookmarkStart w:id="1938" w:name="_Toc127268939"/>
      <w:bookmarkStart w:id="1939" w:name="_Toc126591460"/>
      <w:bookmarkStart w:id="1940" w:name="_Toc126914984"/>
      <w:bookmarkStart w:id="1941" w:name="_Toc127268940"/>
      <w:bookmarkStart w:id="1942" w:name="_Toc126591461"/>
      <w:bookmarkStart w:id="1943" w:name="_Toc126914985"/>
      <w:bookmarkStart w:id="1944" w:name="_Toc127268941"/>
      <w:bookmarkStart w:id="1945" w:name="_Toc126591462"/>
      <w:bookmarkStart w:id="1946" w:name="_Toc126914986"/>
      <w:bookmarkStart w:id="1947" w:name="_Toc127268942"/>
      <w:bookmarkStart w:id="1948" w:name="_Toc126591463"/>
      <w:bookmarkStart w:id="1949" w:name="_Toc126914987"/>
      <w:bookmarkStart w:id="1950" w:name="_Toc127268943"/>
      <w:bookmarkStart w:id="1951" w:name="_Toc126591464"/>
      <w:bookmarkStart w:id="1952" w:name="_Toc126914988"/>
      <w:bookmarkStart w:id="1953" w:name="_Toc127268944"/>
      <w:bookmarkStart w:id="1954" w:name="_Toc126591465"/>
      <w:bookmarkStart w:id="1955" w:name="_Toc126914989"/>
      <w:bookmarkStart w:id="1956" w:name="_Toc127268945"/>
      <w:bookmarkStart w:id="1957" w:name="_Toc126591466"/>
      <w:bookmarkStart w:id="1958" w:name="_Toc126914990"/>
      <w:bookmarkStart w:id="1959" w:name="_Toc127268946"/>
      <w:bookmarkStart w:id="1960" w:name="_Toc126591467"/>
      <w:bookmarkStart w:id="1961" w:name="_Toc126914991"/>
      <w:bookmarkStart w:id="1962" w:name="_Toc127268947"/>
      <w:bookmarkStart w:id="1963" w:name="_Toc126591468"/>
      <w:bookmarkStart w:id="1964" w:name="_Toc126914992"/>
      <w:bookmarkStart w:id="1965" w:name="_Toc127268948"/>
      <w:bookmarkStart w:id="1966" w:name="_Toc126591469"/>
      <w:bookmarkStart w:id="1967" w:name="_Toc126914993"/>
      <w:bookmarkStart w:id="1968" w:name="_Toc127268949"/>
      <w:bookmarkStart w:id="1969" w:name="_Toc126591470"/>
      <w:bookmarkStart w:id="1970" w:name="_Toc126914994"/>
      <w:bookmarkStart w:id="1971" w:name="_Toc127268950"/>
      <w:bookmarkStart w:id="1972" w:name="_Toc126591471"/>
      <w:bookmarkStart w:id="1973" w:name="_Toc126914995"/>
      <w:bookmarkStart w:id="1974" w:name="_Toc127268951"/>
      <w:bookmarkStart w:id="1975" w:name="_Toc126591472"/>
      <w:bookmarkStart w:id="1976" w:name="_Toc126914996"/>
      <w:bookmarkStart w:id="1977" w:name="_Toc127268952"/>
      <w:bookmarkStart w:id="1978" w:name="_Toc142903007"/>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r>
        <w:t>Summary of Regulatory Alternatives</w:t>
      </w:r>
      <w:bookmarkEnd w:id="1978"/>
    </w:p>
    <w:p w14:paraId="76CDD53F" w14:textId="278C2AE1" w:rsidR="000E13C5" w:rsidRDefault="000F5B51" w:rsidP="00D65552">
      <w:pPr>
        <w:spacing w:after="0"/>
      </w:pPr>
      <w:r>
        <w:t>This chapter presented the regulatory options considered for this rulemaking and, when possible, presented the benefits and costs associated with those alternatives</w:t>
      </w:r>
      <w:r w:rsidR="001F2F92">
        <w:t xml:space="preserve">. </w:t>
      </w:r>
      <w:r>
        <w:fldChar w:fldCharType="begin"/>
      </w:r>
      <w:r>
        <w:instrText xml:space="preserve"> REF _Ref127261413 \h </w:instrText>
      </w:r>
      <w:r>
        <w:fldChar w:fldCharType="separate"/>
      </w:r>
      <w:r w:rsidR="00A65CB3">
        <w:t xml:space="preserve">Table </w:t>
      </w:r>
      <w:r w:rsidR="00A65CB3">
        <w:rPr>
          <w:noProof/>
        </w:rPr>
        <w:t>100</w:t>
      </w:r>
      <w:r>
        <w:fldChar w:fldCharType="end"/>
      </w:r>
      <w:r>
        <w:t xml:space="preserve"> summarizes those regulatory options as well as the consideration of those alternatives relative to the proposed rule. In some cases</w:t>
      </w:r>
      <w:r w:rsidR="004B59AD">
        <w:t>,</w:t>
      </w:r>
      <w:r>
        <w:t xml:space="preserve"> </w:t>
      </w:r>
      <w:r w:rsidR="004B59AD">
        <w:t>benefits and/or costs were not estimated due to data limitations</w:t>
      </w:r>
      <w:r w:rsidR="001F2F92">
        <w:t xml:space="preserve">. </w:t>
      </w:r>
      <w:r w:rsidR="004B59AD">
        <w:t>However, these analyses found that the proposed rule is the most cost-effective and net beneficial option.</w:t>
      </w:r>
    </w:p>
    <w:p w14:paraId="517ABAB6" w14:textId="7D6EBEB9" w:rsidR="000E13C5" w:rsidRPr="000E13C5" w:rsidRDefault="000F5B51" w:rsidP="000E13C5">
      <w:pPr>
        <w:pStyle w:val="Caption"/>
      </w:pPr>
      <w:bookmarkStart w:id="1979" w:name="_Ref127261413"/>
      <w:r>
        <w:t xml:space="preserve">Table </w:t>
      </w:r>
      <w:r w:rsidR="00115BAB">
        <w:fldChar w:fldCharType="begin"/>
      </w:r>
      <w:r>
        <w:instrText xml:space="preserve"> SEQ Table \* ARABIC </w:instrText>
      </w:r>
      <w:r w:rsidR="00115BAB">
        <w:fldChar w:fldCharType="separate"/>
      </w:r>
      <w:r w:rsidR="00A65CB3">
        <w:rPr>
          <w:noProof/>
        </w:rPr>
        <w:t>100</w:t>
      </w:r>
      <w:r w:rsidR="00115BAB">
        <w:rPr>
          <w:noProof/>
        </w:rPr>
        <w:fldChar w:fldCharType="end"/>
      </w:r>
      <w:bookmarkEnd w:id="1979"/>
      <w:r>
        <w:t>: Summary of Regulatory Alternatives</w:t>
      </w:r>
    </w:p>
    <w:tbl>
      <w:tblPr>
        <w:tblStyle w:val="TableGrid"/>
        <w:tblW w:w="9764" w:type="dxa"/>
        <w:tblLook w:val="04A0" w:firstRow="1" w:lastRow="0" w:firstColumn="1" w:lastColumn="0" w:noHBand="0" w:noVBand="1"/>
      </w:tblPr>
      <w:tblGrid>
        <w:gridCol w:w="3254"/>
        <w:gridCol w:w="3254"/>
        <w:gridCol w:w="3256"/>
      </w:tblGrid>
      <w:tr w:rsidR="00A15C2C" w14:paraId="75CCA94A" w14:textId="77777777" w:rsidTr="003F10AD">
        <w:trPr>
          <w:trHeight w:val="541"/>
        </w:trPr>
        <w:tc>
          <w:tcPr>
            <w:tcW w:w="3254" w:type="dxa"/>
            <w:shd w:val="clear" w:color="auto" w:fill="BFBFBF" w:themeFill="background1" w:themeFillShade="BF"/>
            <w:vAlign w:val="center"/>
          </w:tcPr>
          <w:p w14:paraId="6C59B673" w14:textId="77777777" w:rsidR="00327399" w:rsidRPr="003F10AD" w:rsidRDefault="000F5B51" w:rsidP="003F10AD">
            <w:pPr>
              <w:spacing w:line="240" w:lineRule="auto"/>
              <w:rPr>
                <w:b/>
                <w:bCs/>
              </w:rPr>
            </w:pPr>
            <w:r w:rsidRPr="003F10AD">
              <w:rPr>
                <w:b/>
                <w:bCs/>
              </w:rPr>
              <w:t>Regulatory Alternative</w:t>
            </w:r>
          </w:p>
        </w:tc>
        <w:tc>
          <w:tcPr>
            <w:tcW w:w="3254" w:type="dxa"/>
            <w:shd w:val="clear" w:color="auto" w:fill="BFBFBF" w:themeFill="background1" w:themeFillShade="BF"/>
            <w:vAlign w:val="center"/>
          </w:tcPr>
          <w:p w14:paraId="48B94DEA" w14:textId="77777777" w:rsidR="00327399" w:rsidRPr="003F10AD" w:rsidRDefault="000F5B51" w:rsidP="003F10AD">
            <w:pPr>
              <w:spacing w:line="240" w:lineRule="auto"/>
              <w:jc w:val="center"/>
              <w:rPr>
                <w:b/>
                <w:bCs/>
              </w:rPr>
            </w:pPr>
            <w:r w:rsidRPr="003F10AD">
              <w:rPr>
                <w:b/>
                <w:bCs/>
              </w:rPr>
              <w:t>Seating Position Impacted</w:t>
            </w:r>
          </w:p>
        </w:tc>
        <w:tc>
          <w:tcPr>
            <w:tcW w:w="3256" w:type="dxa"/>
            <w:shd w:val="clear" w:color="auto" w:fill="BFBFBF" w:themeFill="background1" w:themeFillShade="BF"/>
            <w:vAlign w:val="center"/>
          </w:tcPr>
          <w:p w14:paraId="07EEF8D5" w14:textId="77777777" w:rsidR="00327399" w:rsidRPr="003F10AD" w:rsidRDefault="000F5B51" w:rsidP="003F10AD">
            <w:pPr>
              <w:spacing w:line="240" w:lineRule="auto"/>
              <w:jc w:val="center"/>
              <w:rPr>
                <w:b/>
                <w:bCs/>
              </w:rPr>
            </w:pPr>
            <w:r>
              <w:rPr>
                <w:b/>
                <w:bCs/>
              </w:rPr>
              <w:t>Considerations</w:t>
            </w:r>
          </w:p>
        </w:tc>
      </w:tr>
      <w:tr w:rsidR="00A15C2C" w14:paraId="169EB2C7" w14:textId="77777777" w:rsidTr="003038E6">
        <w:trPr>
          <w:trHeight w:val="1061"/>
        </w:trPr>
        <w:tc>
          <w:tcPr>
            <w:tcW w:w="3254" w:type="dxa"/>
            <w:vAlign w:val="center"/>
          </w:tcPr>
          <w:p w14:paraId="478778A3" w14:textId="77777777" w:rsidR="008C3A91" w:rsidRDefault="008C3A91" w:rsidP="003F10AD">
            <w:pPr>
              <w:spacing w:line="240" w:lineRule="auto"/>
            </w:pPr>
          </w:p>
          <w:p w14:paraId="332BEFB0" w14:textId="77777777" w:rsidR="008C3A91" w:rsidRDefault="000F5B51" w:rsidP="003F10AD">
            <w:pPr>
              <w:spacing w:line="240" w:lineRule="auto"/>
            </w:pPr>
            <w:r>
              <w:t>Requiring Occupant Detection for Rear Seat</w:t>
            </w:r>
            <w:r w:rsidR="002D52A7">
              <w:t>s</w:t>
            </w:r>
            <w:r>
              <w:t xml:space="preserve"> </w:t>
            </w:r>
          </w:p>
          <w:p w14:paraId="3797110C" w14:textId="77777777" w:rsidR="00327399" w:rsidRDefault="00327399" w:rsidP="003F10AD">
            <w:pPr>
              <w:spacing w:line="240" w:lineRule="auto"/>
            </w:pPr>
          </w:p>
        </w:tc>
        <w:tc>
          <w:tcPr>
            <w:tcW w:w="3254" w:type="dxa"/>
            <w:vAlign w:val="center"/>
          </w:tcPr>
          <w:p w14:paraId="3975D898" w14:textId="77777777" w:rsidR="00327399" w:rsidRDefault="000F5B51" w:rsidP="003F10AD">
            <w:pPr>
              <w:spacing w:line="240" w:lineRule="auto"/>
            </w:pPr>
            <w:r>
              <w:t>Rear Seat Occupants</w:t>
            </w:r>
          </w:p>
        </w:tc>
        <w:tc>
          <w:tcPr>
            <w:tcW w:w="3256" w:type="dxa"/>
            <w:vAlign w:val="center"/>
          </w:tcPr>
          <w:p w14:paraId="790313E2" w14:textId="77777777" w:rsidR="008C3A91" w:rsidRDefault="008C3A91" w:rsidP="003F10AD">
            <w:pPr>
              <w:spacing w:line="240" w:lineRule="auto"/>
            </w:pPr>
          </w:p>
          <w:p w14:paraId="061ECF0C" w14:textId="77777777" w:rsidR="008C3A91" w:rsidRDefault="000F5B51" w:rsidP="003F10AD">
            <w:pPr>
              <w:spacing w:line="240" w:lineRule="auto"/>
            </w:pPr>
            <w:r>
              <w:t xml:space="preserve">Increase in seat belt use would have to be double or triple that of the main analysis to breakeven. </w:t>
            </w:r>
          </w:p>
          <w:p w14:paraId="66F9C245" w14:textId="77777777" w:rsidR="00327399" w:rsidRDefault="00327399" w:rsidP="003F10AD">
            <w:pPr>
              <w:spacing w:line="240" w:lineRule="auto"/>
            </w:pPr>
          </w:p>
        </w:tc>
      </w:tr>
      <w:tr w:rsidR="00A15C2C" w14:paraId="379983DA" w14:textId="77777777" w:rsidTr="003F10AD">
        <w:trPr>
          <w:trHeight w:val="528"/>
        </w:trPr>
        <w:tc>
          <w:tcPr>
            <w:tcW w:w="3254" w:type="dxa"/>
            <w:vAlign w:val="center"/>
          </w:tcPr>
          <w:p w14:paraId="613D2A5F" w14:textId="77777777" w:rsidR="00327399" w:rsidRDefault="000F5B51" w:rsidP="003F10AD">
            <w:pPr>
              <w:spacing w:line="240" w:lineRule="auto"/>
            </w:pPr>
            <w:r>
              <w:t>Front Center Seat SBWS</w:t>
            </w:r>
          </w:p>
        </w:tc>
        <w:tc>
          <w:tcPr>
            <w:tcW w:w="3254" w:type="dxa"/>
            <w:vMerge w:val="restart"/>
            <w:vAlign w:val="center"/>
          </w:tcPr>
          <w:p w14:paraId="028F738E" w14:textId="77777777" w:rsidR="00327399" w:rsidRDefault="000F5B51" w:rsidP="003F10AD">
            <w:pPr>
              <w:spacing w:line="240" w:lineRule="auto"/>
            </w:pPr>
            <w:r>
              <w:t>Front Seat Occupants</w:t>
            </w:r>
          </w:p>
        </w:tc>
        <w:tc>
          <w:tcPr>
            <w:tcW w:w="3256" w:type="dxa"/>
            <w:vAlign w:val="center"/>
          </w:tcPr>
          <w:p w14:paraId="5450B76C" w14:textId="77777777" w:rsidR="00327399" w:rsidRDefault="000F5B51" w:rsidP="003F10AD">
            <w:pPr>
              <w:spacing w:line="240" w:lineRule="auto"/>
            </w:pPr>
            <w:r>
              <w:t>Not cost-effective and not net beneficial.</w:t>
            </w:r>
          </w:p>
        </w:tc>
      </w:tr>
      <w:tr w:rsidR="00A15C2C" w14:paraId="7D4E6F59" w14:textId="77777777" w:rsidTr="003F10AD">
        <w:trPr>
          <w:trHeight w:val="811"/>
        </w:trPr>
        <w:tc>
          <w:tcPr>
            <w:tcW w:w="3254" w:type="dxa"/>
            <w:vAlign w:val="center"/>
          </w:tcPr>
          <w:p w14:paraId="176415F8" w14:textId="77777777" w:rsidR="00327399" w:rsidRDefault="000F5B51" w:rsidP="003F10AD">
            <w:pPr>
              <w:spacing w:line="240" w:lineRule="auto"/>
            </w:pPr>
            <w:r>
              <w:t>90-Second Warning for Front Seat Occupants</w:t>
            </w:r>
          </w:p>
        </w:tc>
        <w:tc>
          <w:tcPr>
            <w:tcW w:w="3254" w:type="dxa"/>
            <w:vMerge/>
            <w:vAlign w:val="center"/>
          </w:tcPr>
          <w:p w14:paraId="75AB816A" w14:textId="77777777" w:rsidR="00327399" w:rsidRDefault="00327399" w:rsidP="003F10AD">
            <w:pPr>
              <w:spacing w:line="240" w:lineRule="auto"/>
            </w:pPr>
          </w:p>
        </w:tc>
        <w:tc>
          <w:tcPr>
            <w:tcW w:w="3256" w:type="dxa"/>
            <w:vAlign w:val="center"/>
          </w:tcPr>
          <w:p w14:paraId="4F90B3CC" w14:textId="77777777" w:rsidR="00327399" w:rsidRDefault="000F5B51" w:rsidP="003F10AD">
            <w:pPr>
              <w:spacing w:line="240" w:lineRule="auto"/>
            </w:pPr>
            <w:r>
              <w:t>Lower effectiveness and less net beneficial than the proposed rule.</w:t>
            </w:r>
          </w:p>
        </w:tc>
      </w:tr>
    </w:tbl>
    <w:p w14:paraId="4512AC28" w14:textId="77777777" w:rsidR="00776EE4" w:rsidRDefault="000F5B51" w:rsidP="00776EE4">
      <w:pPr>
        <w:pStyle w:val="Heading2"/>
        <w:spacing w:line="240" w:lineRule="auto"/>
      </w:pPr>
      <w:bookmarkStart w:id="1980" w:name="_Toc142903008"/>
      <w:r>
        <w:lastRenderedPageBreak/>
        <w:t>Non-regulatory Alternatives</w:t>
      </w:r>
      <w:bookmarkEnd w:id="1980"/>
    </w:p>
    <w:p w14:paraId="78635A10" w14:textId="77777777" w:rsidR="00776EE4" w:rsidRPr="00CC4C31" w:rsidRDefault="000F5B51" w:rsidP="00776EE4">
      <w:r>
        <w:rPr>
          <w:bCs/>
        </w:rPr>
        <w:t>NHTSA also considered n</w:t>
      </w:r>
      <w:r w:rsidRPr="00D73E1F">
        <w:rPr>
          <w:bCs/>
        </w:rPr>
        <w:t>on-regulatory approaches</w:t>
      </w:r>
      <w:r>
        <w:rPr>
          <w:bCs/>
        </w:rPr>
        <w:t xml:space="preserve"> as an alternative</w:t>
      </w:r>
      <w:r w:rsidR="001F2F92">
        <w:rPr>
          <w:bCs/>
        </w:rPr>
        <w:t xml:space="preserve">. </w:t>
      </w:r>
      <w:r w:rsidRPr="00D73E1F">
        <w:rPr>
          <w:bCs/>
        </w:rPr>
        <w:t>It identified two potential non-regulatory approaches: awarding NCAP bonus points and voluntary guidelines</w:t>
      </w:r>
      <w:r w:rsidR="001F2F92">
        <w:rPr>
          <w:bCs/>
        </w:rPr>
        <w:t xml:space="preserve">. </w:t>
      </w:r>
      <w:r>
        <w:rPr>
          <w:bCs/>
        </w:rPr>
        <w:t xml:space="preserve">These non-regulatory alternatives could be appropriate if NHTSA </w:t>
      </w:r>
      <w:r w:rsidRPr="00EF5F4A">
        <w:rPr>
          <w:bCs/>
        </w:rPr>
        <w:t>determined that</w:t>
      </w:r>
      <w:r>
        <w:rPr>
          <w:bCs/>
        </w:rPr>
        <w:t xml:space="preserve"> the proposed </w:t>
      </w:r>
      <w:r w:rsidRPr="00EF5F4A">
        <w:rPr>
          <w:bCs/>
        </w:rPr>
        <w:t>amendment</w:t>
      </w:r>
      <w:r>
        <w:rPr>
          <w:bCs/>
        </w:rPr>
        <w:t>s</w:t>
      </w:r>
      <w:r w:rsidRPr="00EF5F4A">
        <w:rPr>
          <w:bCs/>
        </w:rPr>
        <w:t xml:space="preserve"> to the standard would not meet the requirements and considerations set forth in 49 USC 30111</w:t>
      </w:r>
      <w:r w:rsidR="001F2F92">
        <w:rPr>
          <w:bCs/>
        </w:rPr>
        <w:t xml:space="preserve">. </w:t>
      </w:r>
      <w:r>
        <w:rPr>
          <w:bCs/>
        </w:rPr>
        <w:t>If NHTSA does determine that the proposed amendments would meet those considerations, MAP-21 directs it to issue a final rule</w:t>
      </w:r>
      <w:r w:rsidR="001F2F92">
        <w:rPr>
          <w:bCs/>
        </w:rPr>
        <w:t xml:space="preserve">. </w:t>
      </w:r>
      <w:r w:rsidRPr="008330AD">
        <w:rPr>
          <w:bCs/>
        </w:rPr>
        <w:t xml:space="preserve">In light of the MAP-21 mandate and our tentative conclusion that the proposed requirements would meet the section 30111 criteria, </w:t>
      </w:r>
      <w:r>
        <w:rPr>
          <w:bCs/>
        </w:rPr>
        <w:t>it was decided</w:t>
      </w:r>
      <w:r w:rsidRPr="008330AD">
        <w:rPr>
          <w:bCs/>
        </w:rPr>
        <w:t xml:space="preserve"> not </w:t>
      </w:r>
      <w:r w:rsidR="00E0198E">
        <w:rPr>
          <w:bCs/>
        </w:rPr>
        <w:t>to</w:t>
      </w:r>
      <w:r w:rsidRPr="008330AD">
        <w:rPr>
          <w:bCs/>
        </w:rPr>
        <w:t xml:space="preserve"> pursue non-regulatory </w:t>
      </w:r>
      <w:r w:rsidRPr="008330AD">
        <w:t>alternatives</w:t>
      </w:r>
      <w:r>
        <w:t>.</w:t>
      </w:r>
    </w:p>
    <w:p w14:paraId="1683085C" w14:textId="77777777" w:rsidR="001D6419" w:rsidRDefault="000F5B51" w:rsidP="00D65552">
      <w:pPr>
        <w:pStyle w:val="Heading1"/>
        <w:keepNext w:val="0"/>
        <w:keepLines w:val="0"/>
        <w:widowControl w:val="0"/>
        <w:spacing w:line="240" w:lineRule="auto"/>
      </w:pPr>
      <w:bookmarkStart w:id="1981" w:name="_Toc142903009"/>
      <w:r>
        <w:t>Initial Regulatory Flexibility Act and Unfunded Mandates Reform Act Analyses</w:t>
      </w:r>
      <w:bookmarkEnd w:id="1981"/>
    </w:p>
    <w:p w14:paraId="3BE45E4E" w14:textId="77777777" w:rsidR="00D65552" w:rsidRPr="00D65552" w:rsidRDefault="000F5B51" w:rsidP="00D65552">
      <w:r>
        <w:t xml:space="preserve">This chapter presents the analyses conducted for the </w:t>
      </w:r>
      <w:r w:rsidR="00A3069A">
        <w:t>R</w:t>
      </w:r>
      <w:r>
        <w:t xml:space="preserve">egulatory </w:t>
      </w:r>
      <w:r w:rsidR="00A3069A">
        <w:t>F</w:t>
      </w:r>
      <w:r>
        <w:t xml:space="preserve">lexibility </w:t>
      </w:r>
      <w:r w:rsidR="00A3069A">
        <w:t>A</w:t>
      </w:r>
      <w:r>
        <w:t xml:space="preserve">ct and </w:t>
      </w:r>
      <w:r w:rsidR="00A3069A">
        <w:t>U</w:t>
      </w:r>
      <w:r>
        <w:t xml:space="preserve">nfunded </w:t>
      </w:r>
      <w:r w:rsidR="00A3069A">
        <w:t>M</w:t>
      </w:r>
      <w:r>
        <w:t xml:space="preserve">andates </w:t>
      </w:r>
      <w:r w:rsidR="00A3069A">
        <w:t>R</w:t>
      </w:r>
      <w:r>
        <w:t xml:space="preserve">eform </w:t>
      </w:r>
      <w:r w:rsidR="00A3069A">
        <w:t>A</w:t>
      </w:r>
      <w:r>
        <w:t>ct</w:t>
      </w:r>
      <w:r w:rsidR="00A3069A">
        <w:t>.</w:t>
      </w:r>
    </w:p>
    <w:p w14:paraId="4302A89B" w14:textId="77777777" w:rsidR="001D6419" w:rsidRDefault="000F5B51" w:rsidP="00BC757F">
      <w:pPr>
        <w:pStyle w:val="Heading2"/>
        <w:spacing w:before="0" w:line="240" w:lineRule="auto"/>
      </w:pPr>
      <w:bookmarkStart w:id="1982" w:name="_Toc127268956"/>
      <w:bookmarkStart w:id="1983" w:name="_Toc142903010"/>
      <w:bookmarkEnd w:id="1982"/>
      <w:r>
        <w:t>Regulatory Flexibility Act</w:t>
      </w:r>
      <w:bookmarkEnd w:id="1983"/>
    </w:p>
    <w:p w14:paraId="580B2D15" w14:textId="77777777" w:rsidR="001D6419" w:rsidRPr="00A46477" w:rsidRDefault="000F5B51" w:rsidP="003F10AD">
      <w:pPr>
        <w:spacing w:after="0"/>
        <w:rPr>
          <w:rFonts w:eastAsia="Times New Roman" w:cs="Times New Roman"/>
          <w:szCs w:val="24"/>
        </w:rPr>
      </w:pPr>
      <w:r w:rsidRPr="00A46477">
        <w:rPr>
          <w:rFonts w:eastAsia="Times New Roman" w:cs="Times New Roman"/>
          <w:szCs w:val="24"/>
        </w:rPr>
        <w:t xml:space="preserve">The Regulatory Flexibility Act of 1980 (5 U.S.C §601 </w:t>
      </w:r>
      <w:r w:rsidRPr="00A46477">
        <w:rPr>
          <w:rFonts w:eastAsia="Times New Roman" w:cs="Times New Roman"/>
          <w:szCs w:val="24"/>
          <w:u w:val="single"/>
        </w:rPr>
        <w:t>et</w:t>
      </w:r>
      <w:r w:rsidRPr="00A46477">
        <w:rPr>
          <w:rFonts w:eastAsia="Times New Roman" w:cs="Times New Roman"/>
          <w:szCs w:val="24"/>
        </w:rPr>
        <w:t xml:space="preserve"> </w:t>
      </w:r>
      <w:r w:rsidRPr="00A46477">
        <w:rPr>
          <w:rFonts w:eastAsia="Times New Roman" w:cs="Times New Roman"/>
          <w:szCs w:val="24"/>
          <w:u w:val="single"/>
        </w:rPr>
        <w:t>seq</w:t>
      </w:r>
      <w:r w:rsidRPr="00A46477">
        <w:rPr>
          <w:rFonts w:eastAsia="Times New Roman" w:cs="Times New Roman"/>
          <w:szCs w:val="24"/>
        </w:rPr>
        <w:t>.) requires agencies to evaluate the potential effects of their proposed and final rules on small business, small organizations and small Government jurisdictions</w:t>
      </w:r>
      <w:r w:rsidR="001F2F92">
        <w:rPr>
          <w:rFonts w:eastAsia="Times New Roman" w:cs="Times New Roman"/>
          <w:szCs w:val="24"/>
        </w:rPr>
        <w:t xml:space="preserve">. </w:t>
      </w:r>
      <w:r w:rsidR="000C6968">
        <w:rPr>
          <w:rFonts w:eastAsia="Times New Roman" w:cs="Times New Roman"/>
          <w:szCs w:val="24"/>
        </w:rPr>
        <w:t>The Act</w:t>
      </w:r>
      <w:r w:rsidRPr="00A46477">
        <w:rPr>
          <w:rFonts w:eastAsia="Times New Roman" w:cs="Times New Roman"/>
          <w:szCs w:val="24"/>
        </w:rPr>
        <w:t xml:space="preserve"> requires agencies to prepare and make available for an initial and final regulatory flexibility analysis (RFA) describing the impact of proposed and final rules on small entities</w:t>
      </w:r>
      <w:r w:rsidR="001F2F92">
        <w:rPr>
          <w:rFonts w:eastAsia="Times New Roman" w:cs="Times New Roman"/>
          <w:szCs w:val="24"/>
        </w:rPr>
        <w:t xml:space="preserve">. </w:t>
      </w:r>
      <w:r w:rsidRPr="00A46477">
        <w:rPr>
          <w:rFonts w:eastAsia="Times New Roman" w:cs="Times New Roman"/>
          <w:szCs w:val="24"/>
        </w:rPr>
        <w:t>An RFA is not required if the head of the agency certifies that the proposed or final rule will not have a significant impact on a substantial number of small entities</w:t>
      </w:r>
      <w:r w:rsidR="001F2F92">
        <w:rPr>
          <w:rFonts w:eastAsia="Times New Roman" w:cs="Times New Roman"/>
          <w:szCs w:val="24"/>
        </w:rPr>
        <w:t xml:space="preserve">. </w:t>
      </w:r>
      <w:r w:rsidRPr="00A46477">
        <w:rPr>
          <w:rFonts w:eastAsia="Times New Roman" w:cs="Times New Roman"/>
          <w:szCs w:val="24"/>
        </w:rPr>
        <w:t xml:space="preserve">The head of the agency has made such a certification with regard to this </w:t>
      </w:r>
      <w:r>
        <w:rPr>
          <w:rFonts w:eastAsia="Times New Roman" w:cs="Times New Roman"/>
          <w:szCs w:val="24"/>
        </w:rPr>
        <w:t xml:space="preserve">proposed </w:t>
      </w:r>
      <w:r w:rsidRPr="00A46477">
        <w:rPr>
          <w:rFonts w:eastAsia="Times New Roman" w:cs="Times New Roman"/>
          <w:szCs w:val="24"/>
        </w:rPr>
        <w:t>rule.</w:t>
      </w:r>
    </w:p>
    <w:p w14:paraId="3FCD5240" w14:textId="77777777" w:rsidR="001D6419" w:rsidRPr="00A46477" w:rsidRDefault="000F5B51" w:rsidP="003F10AD">
      <w:pPr>
        <w:spacing w:after="0"/>
        <w:rPr>
          <w:rFonts w:eastAsia="Times New Roman" w:cs="Times New Roman"/>
          <w:szCs w:val="24"/>
        </w:rPr>
      </w:pPr>
      <w:r w:rsidRPr="00A46477">
        <w:rPr>
          <w:rFonts w:eastAsia="Times New Roman" w:cs="Times New Roman"/>
          <w:szCs w:val="24"/>
        </w:rPr>
        <w:t>The factual basis for the certification (5 U.S.C. 605(b)) is set forth below</w:t>
      </w:r>
      <w:r w:rsidR="001F2F92">
        <w:rPr>
          <w:rFonts w:eastAsia="Times New Roman" w:cs="Times New Roman"/>
          <w:szCs w:val="24"/>
        </w:rPr>
        <w:t xml:space="preserve">. </w:t>
      </w:r>
      <w:r w:rsidRPr="002246CF">
        <w:rPr>
          <w:rFonts w:eastAsia="Times New Roman" w:cs="Times New Roman"/>
          <w:szCs w:val="24"/>
        </w:rPr>
        <w:t>Although the agency is not required to issue an initial regulatory flexibility analysis, we discuss below many of the issues that an initial regulatory flexibility analysis would address.</w:t>
      </w:r>
    </w:p>
    <w:p w14:paraId="42D93000" w14:textId="77777777" w:rsidR="001D6419" w:rsidRPr="00A46477" w:rsidRDefault="000F5B51" w:rsidP="003F10AD">
      <w:pPr>
        <w:spacing w:after="0"/>
        <w:ind w:firstLine="360"/>
        <w:rPr>
          <w:rFonts w:eastAsia="Times New Roman" w:cs="Times New Roman"/>
          <w:szCs w:val="24"/>
        </w:rPr>
      </w:pPr>
      <w:r w:rsidRPr="00A46477">
        <w:rPr>
          <w:rFonts w:eastAsia="Times New Roman" w:cs="Times New Roman"/>
          <w:szCs w:val="24"/>
        </w:rPr>
        <w:lastRenderedPageBreak/>
        <w:t xml:space="preserve">Section 603(b) of the Act specifies the content of </w:t>
      </w:r>
      <w:r w:rsidR="00CC7A82" w:rsidRPr="00A46477">
        <w:rPr>
          <w:rFonts w:eastAsia="Times New Roman" w:cs="Times New Roman"/>
          <w:szCs w:val="24"/>
        </w:rPr>
        <w:t>an</w:t>
      </w:r>
      <w:r w:rsidRPr="00A46477">
        <w:rPr>
          <w:rFonts w:eastAsia="Times New Roman" w:cs="Times New Roman"/>
          <w:szCs w:val="24"/>
        </w:rPr>
        <w:t xml:space="preserve"> RFA</w:t>
      </w:r>
      <w:r w:rsidR="001F2F92">
        <w:rPr>
          <w:rFonts w:eastAsia="Times New Roman" w:cs="Times New Roman"/>
          <w:szCs w:val="24"/>
        </w:rPr>
        <w:t xml:space="preserve">. </w:t>
      </w:r>
      <w:r w:rsidRPr="00A46477">
        <w:rPr>
          <w:rFonts w:eastAsia="Times New Roman" w:cs="Times New Roman"/>
          <w:szCs w:val="24"/>
        </w:rPr>
        <w:t>Each RFA must contain:</w:t>
      </w:r>
      <w:r>
        <w:rPr>
          <w:rFonts w:eastAsia="Times New Roman" w:cs="Times New Roman"/>
          <w:szCs w:val="24"/>
        </w:rPr>
        <w:t xml:space="preserve"> </w:t>
      </w:r>
    </w:p>
    <w:p w14:paraId="2113462B" w14:textId="77777777" w:rsidR="001D6419" w:rsidRPr="00A46477" w:rsidRDefault="000F5B51" w:rsidP="001D6419">
      <w:pPr>
        <w:numPr>
          <w:ilvl w:val="0"/>
          <w:numId w:val="9"/>
        </w:numPr>
        <w:spacing w:after="0"/>
        <w:rPr>
          <w:rFonts w:eastAsia="Times New Roman" w:cs="Times New Roman"/>
          <w:szCs w:val="24"/>
        </w:rPr>
      </w:pPr>
      <w:r w:rsidRPr="00A46477">
        <w:rPr>
          <w:rFonts w:eastAsia="Times New Roman" w:cs="Times New Roman"/>
          <w:szCs w:val="24"/>
        </w:rPr>
        <w:t>A description of the reasons why action by the agency is being considered;</w:t>
      </w:r>
    </w:p>
    <w:p w14:paraId="7B77B51C" w14:textId="77777777" w:rsidR="001D6419" w:rsidRPr="00A46477" w:rsidRDefault="000F5B51" w:rsidP="001D6419">
      <w:pPr>
        <w:numPr>
          <w:ilvl w:val="0"/>
          <w:numId w:val="9"/>
        </w:numPr>
        <w:spacing w:after="0"/>
        <w:rPr>
          <w:rFonts w:eastAsia="Times New Roman" w:cs="Times New Roman"/>
          <w:szCs w:val="24"/>
        </w:rPr>
      </w:pPr>
      <w:r w:rsidRPr="00A46477">
        <w:rPr>
          <w:rFonts w:eastAsia="Times New Roman" w:cs="Times New Roman"/>
          <w:szCs w:val="24"/>
        </w:rPr>
        <w:t>A succinct statement of the objectives of, and legal basis for a final rule;</w:t>
      </w:r>
    </w:p>
    <w:p w14:paraId="3A6BFD0A" w14:textId="77777777" w:rsidR="001D6419" w:rsidRPr="00A46477" w:rsidRDefault="000F5B51" w:rsidP="001D6419">
      <w:pPr>
        <w:numPr>
          <w:ilvl w:val="0"/>
          <w:numId w:val="8"/>
        </w:numPr>
        <w:spacing w:after="0"/>
        <w:rPr>
          <w:rFonts w:eastAsia="Times New Roman" w:cs="Times New Roman"/>
          <w:szCs w:val="24"/>
        </w:rPr>
      </w:pPr>
      <w:r w:rsidRPr="00A46477">
        <w:rPr>
          <w:rFonts w:eastAsia="Times New Roman" w:cs="Times New Roman"/>
          <w:szCs w:val="24"/>
        </w:rPr>
        <w:t>A description of and, where feasible, an estimate of the number of small entities to which the final rule will apply;</w:t>
      </w:r>
    </w:p>
    <w:p w14:paraId="5BD74ADD" w14:textId="77777777" w:rsidR="001D6419" w:rsidRPr="00A46477" w:rsidRDefault="000F5B51" w:rsidP="001D6419">
      <w:pPr>
        <w:numPr>
          <w:ilvl w:val="0"/>
          <w:numId w:val="8"/>
        </w:numPr>
        <w:spacing w:after="0"/>
        <w:rPr>
          <w:rFonts w:eastAsia="Times New Roman" w:cs="Times New Roman"/>
          <w:szCs w:val="24"/>
        </w:rPr>
      </w:pPr>
      <w:r w:rsidRPr="00A46477">
        <w:rPr>
          <w:rFonts w:eastAsia="Times New Roman" w:cs="Times New Roman"/>
          <w:szCs w:val="24"/>
        </w:rPr>
        <w:t>A description of the projected reporting, recording keeping and other compliance requirements of a final rule including an estimate of the classes of small entities which will be subject to the requirement and the type of professional skills necessary for preparation of the report or record;</w:t>
      </w:r>
    </w:p>
    <w:p w14:paraId="6D5FDF24" w14:textId="77777777" w:rsidR="001D6419" w:rsidRPr="00A46477" w:rsidRDefault="000F5B51" w:rsidP="001D6419">
      <w:pPr>
        <w:numPr>
          <w:ilvl w:val="0"/>
          <w:numId w:val="8"/>
        </w:numPr>
        <w:spacing w:after="0"/>
        <w:rPr>
          <w:rFonts w:eastAsia="Times New Roman" w:cs="Times New Roman"/>
          <w:szCs w:val="24"/>
        </w:rPr>
      </w:pPr>
      <w:r w:rsidRPr="00A46477">
        <w:rPr>
          <w:rFonts w:eastAsia="Times New Roman" w:cs="Times New Roman"/>
          <w:szCs w:val="24"/>
        </w:rPr>
        <w:t>An identification, to the extent practicable, of all relevant Federal rules which may duplicate, overlap or conflict with the final rule;</w:t>
      </w:r>
    </w:p>
    <w:p w14:paraId="120066A3" w14:textId="77777777" w:rsidR="001D6419" w:rsidRPr="006244C6" w:rsidRDefault="000F5B51" w:rsidP="003F10AD">
      <w:pPr>
        <w:numPr>
          <w:ilvl w:val="0"/>
          <w:numId w:val="8"/>
        </w:numPr>
        <w:spacing w:after="0"/>
        <w:rPr>
          <w:rFonts w:eastAsia="Times New Roman" w:cs="Times New Roman"/>
          <w:szCs w:val="24"/>
        </w:rPr>
      </w:pPr>
      <w:r w:rsidRPr="00A46477">
        <w:rPr>
          <w:rFonts w:eastAsia="Times New Roman" w:cs="Times New Roman"/>
          <w:szCs w:val="24"/>
        </w:rPr>
        <w:t>Each final regulatory flexibility analysis shall also contain a description of any significant alternatives to the final rule which accomplish the stated objectives of applicable statutes and which minimize any significant economic impact of the final rule on small entities.</w:t>
      </w:r>
    </w:p>
    <w:p w14:paraId="346E26C0" w14:textId="77777777" w:rsidR="001D6419" w:rsidRPr="00A46477" w:rsidRDefault="000F5B51" w:rsidP="001D6419">
      <w:pPr>
        <w:spacing w:after="0"/>
        <w:rPr>
          <w:rFonts w:eastAsia="Times New Roman" w:cs="Times New Roman"/>
          <w:szCs w:val="24"/>
        </w:rPr>
      </w:pPr>
      <w:r w:rsidRPr="00A46477">
        <w:rPr>
          <w:rFonts w:eastAsia="Times New Roman" w:cs="Times New Roman"/>
          <w:szCs w:val="24"/>
        </w:rPr>
        <w:t>1</w:t>
      </w:r>
      <w:r w:rsidR="001F2F92">
        <w:rPr>
          <w:rFonts w:eastAsia="Times New Roman" w:cs="Times New Roman"/>
          <w:szCs w:val="24"/>
        </w:rPr>
        <w:t xml:space="preserve">. </w:t>
      </w:r>
      <w:r w:rsidRPr="00A46477">
        <w:rPr>
          <w:rFonts w:eastAsia="Times New Roman" w:cs="Times New Roman"/>
          <w:szCs w:val="24"/>
          <w:u w:val="single"/>
        </w:rPr>
        <w:t>Description of the reason why action by the agency is being considered</w:t>
      </w:r>
      <w:r>
        <w:rPr>
          <w:rFonts w:eastAsia="Times New Roman" w:cs="Times New Roman"/>
          <w:szCs w:val="24"/>
          <w:u w:val="single"/>
        </w:rPr>
        <w:tab/>
      </w:r>
    </w:p>
    <w:p w14:paraId="00D15BAF" w14:textId="77777777" w:rsidR="001D6419" w:rsidRPr="00A46477" w:rsidRDefault="000F5B51" w:rsidP="001D6419">
      <w:pPr>
        <w:spacing w:after="0"/>
        <w:rPr>
          <w:rFonts w:eastAsia="Times New Roman" w:cs="Times New Roman"/>
          <w:sz w:val="20"/>
          <w:szCs w:val="20"/>
        </w:rPr>
      </w:pPr>
      <w:r w:rsidRPr="00A46477">
        <w:rPr>
          <w:rFonts w:eastAsia="Times New Roman" w:cs="Times New Roman"/>
          <w:szCs w:val="24"/>
        </w:rPr>
        <w:t xml:space="preserve">NHTSA is requiring this action to improve the </w:t>
      </w:r>
      <w:r w:rsidRPr="009F0FC7">
        <w:rPr>
          <w:rFonts w:eastAsia="Times New Roman" w:cs="Times New Roman"/>
          <w:szCs w:val="24"/>
        </w:rPr>
        <w:t>safety of occupants by increasing belt use rates in vehicle crashes</w:t>
      </w:r>
      <w:r w:rsidR="001F2F92">
        <w:rPr>
          <w:rFonts w:eastAsia="Times New Roman" w:cs="Times New Roman"/>
          <w:szCs w:val="24"/>
        </w:rPr>
        <w:t xml:space="preserve">. </w:t>
      </w:r>
      <w:r w:rsidRPr="0019505A">
        <w:rPr>
          <w:rFonts w:eastAsia="Times New Roman" w:cs="Times New Roman"/>
          <w:szCs w:val="24"/>
        </w:rPr>
        <w:t>Using a seat belt is one of the most effective strategies a motor vehicle occupant can take to prevent death and injury in a crash</w:t>
      </w:r>
      <w:r w:rsidR="001F2F92">
        <w:rPr>
          <w:rFonts w:eastAsia="Times New Roman" w:cs="Times New Roman"/>
          <w:szCs w:val="24"/>
        </w:rPr>
        <w:t xml:space="preserve">. </w:t>
      </w:r>
      <w:r w:rsidRPr="0019505A">
        <w:rPr>
          <w:rFonts w:eastAsia="Times New Roman" w:cs="Times New Roman"/>
          <w:szCs w:val="24"/>
        </w:rPr>
        <w:t>Seat belts protect occupants in various ways</w:t>
      </w:r>
      <w:r w:rsidR="001F2F92">
        <w:rPr>
          <w:rFonts w:eastAsia="Times New Roman" w:cs="Times New Roman"/>
          <w:szCs w:val="24"/>
        </w:rPr>
        <w:t xml:space="preserve">. </w:t>
      </w:r>
      <w:r w:rsidRPr="0019505A">
        <w:rPr>
          <w:rFonts w:eastAsia="Times New Roman" w:cs="Times New Roman"/>
          <w:szCs w:val="24"/>
        </w:rPr>
        <w:t>They prevent occupants from being ejected from the vehicle, provide “ride-down” by gradually decelerating the occupant as the vehicle deforms and absorbs energy, and reduce occupants contacting other occupants or contacting harmful interior surfaces</w:t>
      </w:r>
      <w:r w:rsidR="001F2F92">
        <w:rPr>
          <w:rFonts w:eastAsia="Times New Roman" w:cs="Times New Roman"/>
          <w:szCs w:val="24"/>
        </w:rPr>
        <w:t xml:space="preserve">. </w:t>
      </w:r>
    </w:p>
    <w:p w14:paraId="7AB70A6F" w14:textId="77777777" w:rsidR="001D6419" w:rsidRPr="006E0594" w:rsidRDefault="000F5B51" w:rsidP="001D6419">
      <w:pPr>
        <w:spacing w:after="0"/>
        <w:rPr>
          <w:rFonts w:eastAsia="Times New Roman" w:cs="Times New Roman"/>
          <w:szCs w:val="24"/>
        </w:rPr>
      </w:pPr>
      <w:r w:rsidRPr="006E0594">
        <w:rPr>
          <w:rFonts w:eastAsia="Times New Roman" w:cs="Times New Roman"/>
          <w:szCs w:val="24"/>
        </w:rPr>
        <w:t xml:space="preserve">2. </w:t>
      </w:r>
      <w:r w:rsidRPr="006E0594">
        <w:rPr>
          <w:rFonts w:eastAsia="Times New Roman" w:cs="Times New Roman"/>
          <w:szCs w:val="24"/>
          <w:u w:val="single"/>
        </w:rPr>
        <w:t xml:space="preserve">Objectives of, and legal basis for, the </w:t>
      </w:r>
      <w:r>
        <w:rPr>
          <w:rFonts w:eastAsia="Times New Roman" w:cs="Times New Roman"/>
          <w:szCs w:val="24"/>
          <w:u w:val="single"/>
        </w:rPr>
        <w:t xml:space="preserve">proposed </w:t>
      </w:r>
      <w:r w:rsidRPr="006E0594">
        <w:rPr>
          <w:rFonts w:eastAsia="Times New Roman" w:cs="Times New Roman"/>
          <w:szCs w:val="24"/>
          <w:u w:val="single"/>
        </w:rPr>
        <w:t>rule</w:t>
      </w:r>
    </w:p>
    <w:p w14:paraId="5B183790" w14:textId="77777777" w:rsidR="001D6419" w:rsidRPr="006E0594" w:rsidRDefault="000F5B51" w:rsidP="001D6419">
      <w:pPr>
        <w:spacing w:after="0"/>
        <w:contextualSpacing/>
        <w:rPr>
          <w:rFonts w:eastAsia="Times New Roman" w:cs="Times New Roman"/>
          <w:szCs w:val="24"/>
        </w:rPr>
      </w:pPr>
      <w:r w:rsidRPr="006E0594">
        <w:rPr>
          <w:rFonts w:eastAsia="Times New Roman" w:cs="Times New Roman"/>
          <w:szCs w:val="24"/>
        </w:rPr>
        <w:lastRenderedPageBreak/>
        <w:t>NHTSA is proposing today’s NPRM under the National Traffic and Motor Vehicle Safety Act (“Motor Vehicle Safety Act”) and the Moving Ahead for Progress in the 21st Century Act (“MAP-21”)</w:t>
      </w:r>
      <w:r>
        <w:rPr>
          <w:rFonts w:eastAsia="Times New Roman" w:cs="Times New Roman"/>
          <w:szCs w:val="24"/>
        </w:rPr>
        <w:t>.</w:t>
      </w:r>
      <w:r>
        <w:rPr>
          <w:rFonts w:eastAsiaTheme="majorEastAsia" w:cs="Times New Roman"/>
          <w:szCs w:val="24"/>
          <w:vertAlign w:val="superscript"/>
        </w:rPr>
        <w:footnoteReference w:id="75"/>
      </w:r>
      <w:r w:rsidRPr="006E0594">
        <w:rPr>
          <w:rFonts w:eastAsia="Times New Roman" w:cs="Times New Roman"/>
          <w:szCs w:val="24"/>
        </w:rPr>
        <w:t xml:space="preserve">  </w:t>
      </w:r>
      <w:r w:rsidRPr="00467F99">
        <w:rPr>
          <w:rFonts w:cs="Times New Roman"/>
          <w:szCs w:val="24"/>
        </w:rPr>
        <w:t xml:space="preserve">MAP-21 §31503 requires the agency to initiate a rulemaking proceeding to amend FMVSS No. 208 to provide a </w:t>
      </w:r>
      <w:r>
        <w:rPr>
          <w:rFonts w:cs="Times New Roman"/>
          <w:szCs w:val="24"/>
        </w:rPr>
        <w:t xml:space="preserve">seat </w:t>
      </w:r>
      <w:r w:rsidRPr="00467F99">
        <w:rPr>
          <w:rFonts w:cs="Times New Roman"/>
          <w:szCs w:val="24"/>
        </w:rPr>
        <w:t>belt use warning system for designated seating positions in the rear seat</w:t>
      </w:r>
      <w:r w:rsidR="001F2F92">
        <w:rPr>
          <w:rFonts w:cs="Times New Roman"/>
          <w:szCs w:val="24"/>
        </w:rPr>
        <w:t xml:space="preserve">. </w:t>
      </w:r>
      <w:r w:rsidRPr="00467F99">
        <w:rPr>
          <w:rFonts w:cs="Times New Roman"/>
          <w:szCs w:val="24"/>
        </w:rPr>
        <w:t>It also directed the Secretary to either issue a final rule, or, if the Secretary determined that such an amendment did not meet the requirements and considerations of 49 U.S.C. §30111, to submit a report to Congress describing the reasons for not prescribing such a standard</w:t>
      </w:r>
      <w:r w:rsidR="001F2F92">
        <w:rPr>
          <w:rFonts w:cs="Times New Roman"/>
          <w:szCs w:val="24"/>
        </w:rPr>
        <w:t xml:space="preserve">. </w:t>
      </w:r>
      <w:r w:rsidRPr="006E0594">
        <w:rPr>
          <w:rFonts w:eastAsia="Times New Roman" w:cs="Times New Roman"/>
          <w:szCs w:val="24"/>
        </w:rPr>
        <w:t>Further, the Motor Vehicle Safety Act states that the Secretary of Transportation is responsible for prescribing motor vehicle safety standards that are practicable, meet the need for motor vehicle safety, and are stated in objective terms</w:t>
      </w:r>
      <w:r>
        <w:rPr>
          <w:rFonts w:eastAsia="Times New Roman" w:cs="Times New Roman"/>
          <w:szCs w:val="24"/>
        </w:rPr>
        <w:t xml:space="preserve"> </w:t>
      </w:r>
      <w:r w:rsidRPr="00592DE5">
        <w:rPr>
          <w:rFonts w:eastAsia="Times New Roman" w:cs="Times New Roman"/>
          <w:szCs w:val="24"/>
        </w:rPr>
        <w:t>(authority has been delegated to NHTSA)</w:t>
      </w:r>
      <w:r w:rsidRPr="006E0594">
        <w:rPr>
          <w:rFonts w:eastAsia="Times New Roman" w:cs="Times New Roman"/>
          <w:szCs w:val="24"/>
        </w:rPr>
        <w:t>.</w:t>
      </w:r>
      <w:r>
        <w:rPr>
          <w:rFonts w:eastAsiaTheme="majorEastAsia" w:cs="Times New Roman"/>
          <w:szCs w:val="24"/>
          <w:vertAlign w:val="superscript"/>
        </w:rPr>
        <w:footnoteReference w:id="76"/>
      </w:r>
      <w:r w:rsidRPr="006E0594">
        <w:rPr>
          <w:rFonts w:eastAsia="Times New Roman" w:cs="Times New Roman"/>
          <w:szCs w:val="24"/>
        </w:rPr>
        <w:t xml:space="preserve">  This </w:t>
      </w:r>
      <w:r>
        <w:rPr>
          <w:rFonts w:eastAsia="Times New Roman" w:cs="Times New Roman"/>
          <w:szCs w:val="24"/>
        </w:rPr>
        <w:t xml:space="preserve">proposed </w:t>
      </w:r>
      <w:r w:rsidRPr="006E0594">
        <w:rPr>
          <w:rFonts w:eastAsia="Times New Roman" w:cs="Times New Roman"/>
          <w:szCs w:val="24"/>
        </w:rPr>
        <w:t xml:space="preserve">rule is </w:t>
      </w:r>
      <w:r>
        <w:rPr>
          <w:rFonts w:eastAsia="Times New Roman" w:cs="Times New Roman"/>
          <w:szCs w:val="24"/>
        </w:rPr>
        <w:t>intended</w:t>
      </w:r>
      <w:r w:rsidRPr="006E0594">
        <w:rPr>
          <w:rFonts w:eastAsia="Times New Roman" w:cs="Times New Roman"/>
          <w:szCs w:val="24"/>
        </w:rPr>
        <w:t xml:space="preserve"> to improve the safety of occupants in passenger vehicles</w:t>
      </w:r>
      <w:r w:rsidR="001F2F92">
        <w:rPr>
          <w:rFonts w:eastAsia="Times New Roman" w:cs="Times New Roman"/>
          <w:szCs w:val="24"/>
        </w:rPr>
        <w:t xml:space="preserve">. </w:t>
      </w:r>
      <w:r w:rsidRPr="006E0594">
        <w:rPr>
          <w:rFonts w:eastAsia="Times New Roman" w:cs="Times New Roman"/>
          <w:szCs w:val="24"/>
        </w:rPr>
        <w:t xml:space="preserve"> </w:t>
      </w:r>
    </w:p>
    <w:p w14:paraId="4B1882A0" w14:textId="77777777" w:rsidR="001D6419" w:rsidRPr="006E0594" w:rsidRDefault="000F5B51" w:rsidP="001D6419">
      <w:pPr>
        <w:spacing w:after="0"/>
        <w:rPr>
          <w:rFonts w:eastAsia="Times New Roman" w:cs="Times New Roman"/>
          <w:szCs w:val="24"/>
        </w:rPr>
      </w:pPr>
      <w:r w:rsidRPr="006E0594">
        <w:rPr>
          <w:rFonts w:eastAsia="Times New Roman" w:cs="Times New Roman"/>
          <w:szCs w:val="24"/>
        </w:rPr>
        <w:t xml:space="preserve">3. </w:t>
      </w:r>
      <w:r w:rsidRPr="006E0594">
        <w:rPr>
          <w:rFonts w:eastAsia="Times New Roman" w:cs="Times New Roman"/>
          <w:szCs w:val="24"/>
          <w:u w:val="single"/>
        </w:rPr>
        <w:t xml:space="preserve">Description and estimate of the number of small entities to which the </w:t>
      </w:r>
      <w:r>
        <w:rPr>
          <w:rFonts w:eastAsia="Times New Roman" w:cs="Times New Roman"/>
          <w:szCs w:val="24"/>
          <w:u w:val="single"/>
        </w:rPr>
        <w:t xml:space="preserve">proposed </w:t>
      </w:r>
      <w:r w:rsidRPr="006E0594">
        <w:rPr>
          <w:rFonts w:eastAsia="Times New Roman" w:cs="Times New Roman"/>
          <w:szCs w:val="24"/>
          <w:u w:val="single"/>
        </w:rPr>
        <w:t xml:space="preserve">rule </w:t>
      </w:r>
      <w:r>
        <w:rPr>
          <w:rFonts w:eastAsia="Times New Roman" w:cs="Times New Roman"/>
          <w:szCs w:val="24"/>
          <w:u w:val="single"/>
        </w:rPr>
        <w:t xml:space="preserve">would </w:t>
      </w:r>
      <w:r w:rsidRPr="006E0594">
        <w:rPr>
          <w:rFonts w:eastAsia="Times New Roman" w:cs="Times New Roman"/>
          <w:szCs w:val="24"/>
          <w:u w:val="single"/>
        </w:rPr>
        <w:t>apply</w:t>
      </w:r>
    </w:p>
    <w:p w14:paraId="065822DF" w14:textId="77777777" w:rsidR="001D6419" w:rsidRDefault="000F5B51" w:rsidP="003F10AD">
      <w:pPr>
        <w:spacing w:after="0"/>
        <w:rPr>
          <w:rFonts w:eastAsia="Times New Roman" w:cs="Times New Roman"/>
          <w:szCs w:val="24"/>
        </w:rPr>
      </w:pPr>
      <w:r w:rsidRPr="006E0594">
        <w:rPr>
          <w:rFonts w:eastAsia="Times New Roman" w:cs="Times New Roman"/>
          <w:szCs w:val="24"/>
        </w:rPr>
        <w:t xml:space="preserve">This </w:t>
      </w:r>
      <w:r>
        <w:rPr>
          <w:rFonts w:eastAsia="Times New Roman" w:cs="Times New Roman"/>
          <w:szCs w:val="24"/>
        </w:rPr>
        <w:t xml:space="preserve">proposed </w:t>
      </w:r>
      <w:r w:rsidRPr="006E0594">
        <w:rPr>
          <w:rFonts w:eastAsia="Times New Roman" w:cs="Times New Roman"/>
          <w:szCs w:val="24"/>
        </w:rPr>
        <w:t xml:space="preserve">rule </w:t>
      </w:r>
      <w:r>
        <w:rPr>
          <w:rFonts w:eastAsia="Times New Roman" w:cs="Times New Roman"/>
          <w:szCs w:val="24"/>
        </w:rPr>
        <w:t xml:space="preserve">would directly </w:t>
      </w:r>
      <w:r w:rsidRPr="006E0594">
        <w:rPr>
          <w:rFonts w:eastAsia="Times New Roman" w:cs="Times New Roman"/>
          <w:szCs w:val="24"/>
        </w:rPr>
        <w:t>affect passenger vehicle manufacturers</w:t>
      </w:r>
      <w:r w:rsidRPr="00592DE5">
        <w:t xml:space="preserve"> </w:t>
      </w:r>
      <w:r w:rsidRPr="00592DE5">
        <w:rPr>
          <w:rFonts w:eastAsia="Times New Roman" w:cs="Times New Roman"/>
          <w:szCs w:val="24"/>
        </w:rPr>
        <w:t>and multistage manufacturers and alterers</w:t>
      </w:r>
      <w:r w:rsidRPr="006E0594">
        <w:rPr>
          <w:rFonts w:eastAsia="Times New Roman" w:cs="Times New Roman"/>
          <w:szCs w:val="24"/>
        </w:rPr>
        <w:t>.</w:t>
      </w:r>
    </w:p>
    <w:p w14:paraId="7E3E8A51" w14:textId="77777777" w:rsidR="001D6419" w:rsidRPr="006E0594" w:rsidRDefault="000F5B51" w:rsidP="003F10AD">
      <w:pPr>
        <w:spacing w:after="0"/>
        <w:rPr>
          <w:rFonts w:eastAsia="Times New Roman" w:cs="Times New Roman"/>
          <w:szCs w:val="24"/>
        </w:rPr>
      </w:pPr>
      <w:r w:rsidRPr="006E0594">
        <w:rPr>
          <w:rFonts w:eastAsia="Times New Roman" w:cs="Times New Roman"/>
          <w:szCs w:val="24"/>
        </w:rPr>
        <w:t>Business entities are defined as small businesses using the North American Industry Classification system (NAICS) code, for the purpose of receiving Small Business Administration assistance</w:t>
      </w:r>
      <w:r w:rsidR="001F2F92">
        <w:rPr>
          <w:rFonts w:eastAsia="Times New Roman" w:cs="Times New Roman"/>
          <w:szCs w:val="24"/>
        </w:rPr>
        <w:t xml:space="preserve">. </w:t>
      </w:r>
      <w:r w:rsidRPr="006E0594">
        <w:rPr>
          <w:rFonts w:eastAsia="Times New Roman" w:cs="Times New Roman"/>
          <w:szCs w:val="24"/>
        </w:rPr>
        <w:t>One of the criteria for determining size, as stated in 13 CFR 121.201, is the number of employees in the firm</w:t>
      </w:r>
      <w:r w:rsidR="001F2F92">
        <w:rPr>
          <w:rFonts w:eastAsia="Times New Roman" w:cs="Times New Roman"/>
          <w:szCs w:val="24"/>
        </w:rPr>
        <w:t xml:space="preserve">. </w:t>
      </w:r>
      <w:r w:rsidRPr="006E0594">
        <w:rPr>
          <w:rFonts w:eastAsia="Times New Roman" w:cs="Times New Roman"/>
          <w:szCs w:val="24"/>
        </w:rPr>
        <w:t xml:space="preserve">For establishments primarily engaged in manufacturing or assembling automobiles, light and heavy duty trucks, buses, motor homes, new tires, or motor vehicle body </w:t>
      </w:r>
      <w:r w:rsidRPr="006E0594">
        <w:rPr>
          <w:rFonts w:eastAsia="Times New Roman" w:cs="Times New Roman"/>
          <w:szCs w:val="24"/>
        </w:rPr>
        <w:lastRenderedPageBreak/>
        <w:t>manufacturing (NAICS code 336211), the firm must have</w:t>
      </w:r>
      <w:r>
        <w:rPr>
          <w:rFonts w:eastAsia="Times New Roman" w:cs="Times New Roman"/>
          <w:szCs w:val="24"/>
        </w:rPr>
        <w:t xml:space="preserve"> </w:t>
      </w:r>
      <w:r w:rsidRPr="006E0594">
        <w:rPr>
          <w:rFonts w:eastAsia="Times New Roman" w:cs="Times New Roman"/>
          <w:szCs w:val="24"/>
        </w:rPr>
        <w:t xml:space="preserve">1,000 employees </w:t>
      </w:r>
      <w:r>
        <w:rPr>
          <w:rFonts w:eastAsia="Times New Roman" w:cs="Times New Roman"/>
          <w:szCs w:val="24"/>
        </w:rPr>
        <w:t>or fewer</w:t>
      </w:r>
      <w:r w:rsidRPr="006E0594">
        <w:rPr>
          <w:rFonts w:eastAsia="Times New Roman" w:cs="Times New Roman"/>
          <w:szCs w:val="24"/>
        </w:rPr>
        <w:t xml:space="preserve"> to be classified as a small business</w:t>
      </w:r>
      <w:r w:rsidR="001F2F92">
        <w:rPr>
          <w:rFonts w:eastAsia="Times New Roman" w:cs="Times New Roman"/>
          <w:szCs w:val="24"/>
        </w:rPr>
        <w:t xml:space="preserve">. </w:t>
      </w:r>
    </w:p>
    <w:p w14:paraId="404D464E" w14:textId="7545BC68" w:rsidR="001D6419" w:rsidRPr="00D608F9" w:rsidRDefault="000F5B51" w:rsidP="006244C6">
      <w:pPr>
        <w:autoSpaceDE w:val="0"/>
        <w:autoSpaceDN w:val="0"/>
        <w:adjustRightInd w:val="0"/>
        <w:rPr>
          <w:rFonts w:eastAsia="Times New Roman" w:cs="Times New Roman"/>
          <w:szCs w:val="24"/>
        </w:rPr>
      </w:pPr>
      <w:r>
        <w:rPr>
          <w:rFonts w:eastAsia="Times New Roman" w:cs="Times New Roman"/>
          <w:szCs w:val="24"/>
        </w:rPr>
        <w:fldChar w:fldCharType="begin"/>
      </w:r>
      <w:r>
        <w:rPr>
          <w:rFonts w:eastAsia="Times New Roman" w:cs="Times New Roman"/>
          <w:szCs w:val="24"/>
        </w:rPr>
        <w:instrText xml:space="preserve"> REF _Ref126239607 \h </w:instrText>
      </w:r>
      <w:r>
        <w:rPr>
          <w:rFonts w:eastAsia="Times New Roman" w:cs="Times New Roman"/>
          <w:szCs w:val="24"/>
        </w:rPr>
      </w:r>
      <w:r>
        <w:rPr>
          <w:rFonts w:eastAsia="Times New Roman" w:cs="Times New Roman"/>
          <w:szCs w:val="24"/>
        </w:rPr>
        <w:fldChar w:fldCharType="separate"/>
      </w:r>
      <w:r w:rsidR="00A65CB3">
        <w:t xml:space="preserve">Table </w:t>
      </w:r>
      <w:r w:rsidR="00A65CB3">
        <w:rPr>
          <w:noProof/>
        </w:rPr>
        <w:t>101</w:t>
      </w:r>
      <w:r>
        <w:rPr>
          <w:rFonts w:eastAsia="Times New Roman" w:cs="Times New Roman"/>
          <w:szCs w:val="24"/>
        </w:rPr>
        <w:fldChar w:fldCharType="end"/>
      </w:r>
      <w:r>
        <w:rPr>
          <w:rFonts w:eastAsia="Times New Roman" w:cs="Times New Roman"/>
          <w:szCs w:val="24"/>
        </w:rPr>
        <w:t xml:space="preserve"> </w:t>
      </w:r>
      <w:r w:rsidRPr="00D608F9">
        <w:rPr>
          <w:rFonts w:eastAsia="Times New Roman" w:cs="Times New Roman"/>
          <w:szCs w:val="24"/>
        </w:rPr>
        <w:t xml:space="preserve">provides information about the </w:t>
      </w:r>
      <w:r>
        <w:rPr>
          <w:rFonts w:eastAsia="Times New Roman" w:cs="Times New Roman"/>
          <w:szCs w:val="24"/>
        </w:rPr>
        <w:t xml:space="preserve">three current </w:t>
      </w:r>
      <w:r w:rsidRPr="00D608F9">
        <w:rPr>
          <w:rFonts w:eastAsia="Times New Roman" w:cs="Times New Roman"/>
          <w:szCs w:val="24"/>
        </w:rPr>
        <w:t xml:space="preserve">small domestic manufacturers </w:t>
      </w:r>
      <w:r>
        <w:rPr>
          <w:rFonts w:eastAsia="Times New Roman" w:cs="Times New Roman"/>
          <w:szCs w:val="24"/>
        </w:rPr>
        <w:t xml:space="preserve">in the United State for </w:t>
      </w:r>
      <w:r w:rsidRPr="00D608F9">
        <w:rPr>
          <w:rFonts w:eastAsia="Times New Roman" w:cs="Times New Roman"/>
          <w:szCs w:val="24"/>
        </w:rPr>
        <w:t>MY 20</w:t>
      </w:r>
      <w:r>
        <w:rPr>
          <w:rFonts w:eastAsia="Times New Roman" w:cs="Times New Roman"/>
          <w:szCs w:val="24"/>
        </w:rPr>
        <w:t>1</w:t>
      </w:r>
      <w:r w:rsidRPr="00D608F9">
        <w:rPr>
          <w:rFonts w:eastAsia="Times New Roman" w:cs="Times New Roman"/>
          <w:szCs w:val="24"/>
        </w:rPr>
        <w:t>5.</w:t>
      </w:r>
      <w:r>
        <w:rPr>
          <w:rFonts w:eastAsia="Times New Roman" w:cs="Times New Roman"/>
          <w:szCs w:val="24"/>
        </w:rPr>
        <w:t xml:space="preserve"> A</w:t>
      </w:r>
      <w:r w:rsidRPr="00A46477">
        <w:rPr>
          <w:rFonts w:eastAsia="Times New Roman" w:cs="Times New Roman"/>
          <w:szCs w:val="24"/>
        </w:rPr>
        <w:t>ll are small manufacturers, having much less than 1,000 employees</w:t>
      </w:r>
      <w:r w:rsidR="001F2F92">
        <w:rPr>
          <w:rFonts w:eastAsia="Times New Roman" w:cs="Times New Roman"/>
          <w:szCs w:val="24"/>
        </w:rPr>
        <w:t xml:space="preserve">. </w:t>
      </w:r>
    </w:p>
    <w:p w14:paraId="6F8EE1FE" w14:textId="665CFA3F" w:rsidR="001D6419" w:rsidRPr="00E1155E" w:rsidRDefault="000F5B51" w:rsidP="001D6419">
      <w:pPr>
        <w:pStyle w:val="Caption"/>
      </w:pPr>
      <w:bookmarkStart w:id="1984" w:name="_Ref126239607"/>
      <w:bookmarkStart w:id="1985" w:name="_Ref502651107"/>
      <w:bookmarkStart w:id="1986" w:name="_Toc517354425"/>
      <w:bookmarkStart w:id="1987" w:name="_Toc103595401"/>
      <w:r>
        <w:t xml:space="preserve">Table </w:t>
      </w:r>
      <w:r w:rsidR="00115BAB">
        <w:fldChar w:fldCharType="begin"/>
      </w:r>
      <w:r>
        <w:instrText xml:space="preserve"> SEQ Table \* ARABIC </w:instrText>
      </w:r>
      <w:r w:rsidR="00115BAB">
        <w:fldChar w:fldCharType="separate"/>
      </w:r>
      <w:r w:rsidR="00A65CB3">
        <w:rPr>
          <w:noProof/>
        </w:rPr>
        <w:t>101</w:t>
      </w:r>
      <w:r w:rsidR="00115BAB">
        <w:rPr>
          <w:noProof/>
        </w:rPr>
        <w:fldChar w:fldCharType="end"/>
      </w:r>
      <w:bookmarkEnd w:id="1984"/>
      <w:r w:rsidR="006244C6">
        <w:t>:</w:t>
      </w:r>
      <w:bookmarkEnd w:id="1985"/>
      <w:r>
        <w:rPr>
          <w:noProof/>
        </w:rPr>
        <w:t xml:space="preserve"> Small Vehicle Manufacturers</w:t>
      </w:r>
      <w:bookmarkEnd w:id="1986"/>
      <w:bookmarkEnd w:id="1987"/>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15"/>
        <w:gridCol w:w="1613"/>
        <w:gridCol w:w="1800"/>
        <w:gridCol w:w="2332"/>
        <w:gridCol w:w="1916"/>
      </w:tblGrid>
      <w:tr w:rsidR="00A15C2C" w14:paraId="431255A9" w14:textId="77777777" w:rsidTr="003F10AD">
        <w:tc>
          <w:tcPr>
            <w:tcW w:w="19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0CE4D" w14:textId="77777777" w:rsidR="001D6419" w:rsidRPr="003F10AD" w:rsidRDefault="000F5B51" w:rsidP="00D07617">
            <w:pPr>
              <w:spacing w:after="0" w:line="240" w:lineRule="auto"/>
              <w:jc w:val="center"/>
              <w:rPr>
                <w:rFonts w:eastAsia="Times New Roman" w:cs="Times New Roman"/>
                <w:b/>
                <w:bCs/>
                <w:szCs w:val="24"/>
              </w:rPr>
            </w:pPr>
            <w:r w:rsidRPr="003F10AD">
              <w:rPr>
                <w:rFonts w:eastAsia="Times New Roman" w:cs="Times New Roman"/>
                <w:b/>
                <w:bCs/>
                <w:szCs w:val="24"/>
              </w:rPr>
              <w:t>Manufacturer</w:t>
            </w:r>
          </w:p>
        </w:tc>
        <w:tc>
          <w:tcPr>
            <w:tcW w:w="16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37731B9" w14:textId="77777777" w:rsidR="001D6419" w:rsidRPr="003F10AD" w:rsidRDefault="000F5B51" w:rsidP="00D07617">
            <w:pPr>
              <w:spacing w:after="0" w:line="240" w:lineRule="auto"/>
              <w:jc w:val="center"/>
              <w:rPr>
                <w:rFonts w:eastAsia="Times New Roman" w:cs="Times New Roman"/>
                <w:b/>
                <w:bCs/>
                <w:szCs w:val="24"/>
              </w:rPr>
            </w:pPr>
            <w:r w:rsidRPr="003F10AD">
              <w:rPr>
                <w:rFonts w:eastAsia="Times New Roman" w:cs="Times New Roman"/>
                <w:b/>
                <w:bCs/>
                <w:szCs w:val="24"/>
              </w:rPr>
              <w:t>Employees</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BB4034" w14:textId="77777777" w:rsidR="001D6419" w:rsidRPr="003F10AD" w:rsidRDefault="000F5B51" w:rsidP="00D07617">
            <w:pPr>
              <w:spacing w:after="0" w:line="240" w:lineRule="auto"/>
              <w:jc w:val="center"/>
              <w:rPr>
                <w:rFonts w:eastAsia="Times New Roman" w:cs="Times New Roman"/>
                <w:b/>
                <w:bCs/>
                <w:szCs w:val="24"/>
              </w:rPr>
            </w:pPr>
            <w:r w:rsidRPr="003F10AD">
              <w:rPr>
                <w:rFonts w:eastAsia="Times New Roman" w:cs="Times New Roman"/>
                <w:b/>
                <w:bCs/>
                <w:szCs w:val="24"/>
              </w:rPr>
              <w:t>Estimated Sales</w:t>
            </w:r>
          </w:p>
        </w:tc>
        <w:tc>
          <w:tcPr>
            <w:tcW w:w="233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09AD4FF" w14:textId="77777777" w:rsidR="001D6419" w:rsidRPr="003F10AD" w:rsidRDefault="000F5B51" w:rsidP="00D07617">
            <w:pPr>
              <w:spacing w:after="0" w:line="240" w:lineRule="auto"/>
              <w:jc w:val="center"/>
              <w:rPr>
                <w:rFonts w:eastAsia="Times New Roman" w:cs="Times New Roman"/>
                <w:b/>
                <w:bCs/>
                <w:szCs w:val="24"/>
              </w:rPr>
            </w:pPr>
            <w:r w:rsidRPr="003F10AD">
              <w:rPr>
                <w:rFonts w:eastAsia="Times New Roman" w:cs="Times New Roman"/>
                <w:b/>
                <w:bCs/>
                <w:szCs w:val="24"/>
              </w:rPr>
              <w:t>Sale Price Range</w:t>
            </w:r>
          </w:p>
        </w:tc>
        <w:tc>
          <w:tcPr>
            <w:tcW w:w="191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EA06C4" w14:textId="77777777" w:rsidR="001D6419" w:rsidRPr="003F10AD" w:rsidRDefault="000F5B51" w:rsidP="00D07617">
            <w:pPr>
              <w:spacing w:after="0" w:line="240" w:lineRule="auto"/>
              <w:jc w:val="center"/>
              <w:rPr>
                <w:rFonts w:eastAsia="Times New Roman" w:cs="Times New Roman"/>
                <w:b/>
                <w:bCs/>
                <w:szCs w:val="24"/>
              </w:rPr>
            </w:pPr>
            <w:r w:rsidRPr="003F10AD">
              <w:rPr>
                <w:rFonts w:eastAsia="Times New Roman" w:cs="Times New Roman"/>
                <w:b/>
                <w:bCs/>
                <w:szCs w:val="24"/>
              </w:rPr>
              <w:t>Est. Revenues</w:t>
            </w:r>
          </w:p>
        </w:tc>
      </w:tr>
      <w:tr w:rsidR="00A15C2C" w14:paraId="6E43C45B" w14:textId="77777777" w:rsidTr="00D07617">
        <w:tc>
          <w:tcPr>
            <w:tcW w:w="1915" w:type="dxa"/>
            <w:tcBorders>
              <w:top w:val="single" w:sz="6" w:space="0" w:color="auto"/>
              <w:left w:val="single" w:sz="6" w:space="0" w:color="auto"/>
              <w:bottom w:val="single" w:sz="6" w:space="0" w:color="auto"/>
              <w:right w:val="single" w:sz="6" w:space="0" w:color="auto"/>
            </w:tcBorders>
          </w:tcPr>
          <w:p w14:paraId="316D00AC" w14:textId="77777777" w:rsidR="001D6419" w:rsidRPr="00D608F9" w:rsidRDefault="000F5B51" w:rsidP="00D07617">
            <w:pPr>
              <w:spacing w:after="0" w:line="240" w:lineRule="auto"/>
              <w:jc w:val="center"/>
              <w:rPr>
                <w:rFonts w:eastAsia="Times New Roman" w:cs="Times New Roman"/>
                <w:szCs w:val="24"/>
              </w:rPr>
            </w:pPr>
            <w:r w:rsidRPr="00D608F9">
              <w:rPr>
                <w:rFonts w:eastAsia="Times New Roman" w:cs="Times New Roman"/>
                <w:szCs w:val="24"/>
              </w:rPr>
              <w:t>Panoz</w:t>
            </w:r>
            <w:r w:rsidRPr="00D608F9">
              <w:rPr>
                <w:rFonts w:eastAsia="Times New Roman" w:cs="Times New Roman"/>
                <w:szCs w:val="24"/>
                <w:vertAlign w:val="superscript"/>
              </w:rPr>
              <w:t>(1)</w:t>
            </w:r>
          </w:p>
        </w:tc>
        <w:tc>
          <w:tcPr>
            <w:tcW w:w="1613" w:type="dxa"/>
            <w:tcBorders>
              <w:top w:val="single" w:sz="6" w:space="0" w:color="auto"/>
              <w:left w:val="single" w:sz="6" w:space="0" w:color="auto"/>
              <w:bottom w:val="single" w:sz="6" w:space="0" w:color="auto"/>
              <w:right w:val="single" w:sz="6" w:space="0" w:color="auto"/>
            </w:tcBorders>
          </w:tcPr>
          <w:p w14:paraId="3DBF9CE1" w14:textId="77777777" w:rsidR="001D6419" w:rsidRPr="00D608F9" w:rsidRDefault="000F5B51" w:rsidP="00D07617">
            <w:pPr>
              <w:spacing w:after="0" w:line="240" w:lineRule="auto"/>
              <w:jc w:val="center"/>
              <w:rPr>
                <w:rFonts w:eastAsia="Times New Roman" w:cs="Times New Roman"/>
                <w:szCs w:val="24"/>
              </w:rPr>
            </w:pPr>
            <w:r w:rsidRPr="00D608F9">
              <w:rPr>
                <w:rFonts w:eastAsia="Times New Roman" w:cs="Times New Roman"/>
                <w:szCs w:val="24"/>
              </w:rPr>
              <w:t>70</w:t>
            </w:r>
          </w:p>
        </w:tc>
        <w:tc>
          <w:tcPr>
            <w:tcW w:w="1800" w:type="dxa"/>
            <w:tcBorders>
              <w:top w:val="single" w:sz="6" w:space="0" w:color="auto"/>
              <w:left w:val="single" w:sz="6" w:space="0" w:color="auto"/>
              <w:bottom w:val="single" w:sz="6" w:space="0" w:color="auto"/>
              <w:right w:val="single" w:sz="6" w:space="0" w:color="auto"/>
            </w:tcBorders>
          </w:tcPr>
          <w:p w14:paraId="7AF227C5" w14:textId="77777777" w:rsidR="001D6419" w:rsidRPr="00D608F9" w:rsidRDefault="000F5B51" w:rsidP="00D07617">
            <w:pPr>
              <w:spacing w:after="0" w:line="240" w:lineRule="auto"/>
              <w:jc w:val="center"/>
              <w:rPr>
                <w:rFonts w:eastAsia="Times New Roman" w:cs="Times New Roman"/>
                <w:szCs w:val="24"/>
              </w:rPr>
            </w:pPr>
            <w:r w:rsidRPr="00D608F9">
              <w:rPr>
                <w:rFonts w:eastAsia="Times New Roman" w:cs="Times New Roman"/>
                <w:szCs w:val="24"/>
              </w:rPr>
              <w:t>25</w:t>
            </w:r>
          </w:p>
        </w:tc>
        <w:tc>
          <w:tcPr>
            <w:tcW w:w="2332" w:type="dxa"/>
            <w:tcBorders>
              <w:top w:val="single" w:sz="6" w:space="0" w:color="auto"/>
              <w:left w:val="single" w:sz="6" w:space="0" w:color="auto"/>
              <w:bottom w:val="single" w:sz="6" w:space="0" w:color="auto"/>
              <w:right w:val="single" w:sz="6" w:space="0" w:color="auto"/>
            </w:tcBorders>
          </w:tcPr>
          <w:p w14:paraId="36ECAE12" w14:textId="77777777" w:rsidR="001D6419" w:rsidRPr="00D608F9" w:rsidRDefault="000F5B51" w:rsidP="00D07617">
            <w:pPr>
              <w:spacing w:after="0" w:line="240" w:lineRule="auto"/>
              <w:jc w:val="center"/>
              <w:rPr>
                <w:rFonts w:eastAsia="Times New Roman" w:cs="Times New Roman"/>
                <w:szCs w:val="24"/>
              </w:rPr>
            </w:pPr>
            <w:r w:rsidRPr="00D608F9">
              <w:rPr>
                <w:rFonts w:eastAsia="Times New Roman" w:cs="Times New Roman"/>
                <w:szCs w:val="24"/>
              </w:rPr>
              <w:t>$60,000 to $750,000</w:t>
            </w:r>
          </w:p>
        </w:tc>
        <w:tc>
          <w:tcPr>
            <w:tcW w:w="1916" w:type="dxa"/>
            <w:tcBorders>
              <w:top w:val="single" w:sz="6" w:space="0" w:color="auto"/>
              <w:left w:val="single" w:sz="6" w:space="0" w:color="auto"/>
              <w:bottom w:val="single" w:sz="6" w:space="0" w:color="auto"/>
              <w:right w:val="single" w:sz="6" w:space="0" w:color="auto"/>
            </w:tcBorders>
          </w:tcPr>
          <w:p w14:paraId="30DECBF8" w14:textId="77777777" w:rsidR="001D6419" w:rsidRPr="00D608F9" w:rsidRDefault="000F5B51" w:rsidP="00D07617">
            <w:pPr>
              <w:spacing w:after="0" w:line="240" w:lineRule="auto"/>
              <w:jc w:val="center"/>
              <w:rPr>
                <w:rFonts w:eastAsia="Times New Roman" w:cs="Times New Roman"/>
                <w:szCs w:val="24"/>
              </w:rPr>
            </w:pPr>
            <w:r w:rsidRPr="00D608F9">
              <w:rPr>
                <w:rFonts w:eastAsia="Times New Roman" w:cs="Times New Roman"/>
                <w:szCs w:val="24"/>
              </w:rPr>
              <w:t>$*</w:t>
            </w:r>
          </w:p>
        </w:tc>
      </w:tr>
      <w:tr w:rsidR="00A15C2C" w14:paraId="62295BE3" w14:textId="77777777" w:rsidTr="00D07617">
        <w:tc>
          <w:tcPr>
            <w:tcW w:w="1915" w:type="dxa"/>
            <w:tcBorders>
              <w:top w:val="single" w:sz="6" w:space="0" w:color="auto"/>
              <w:left w:val="single" w:sz="6" w:space="0" w:color="auto"/>
              <w:bottom w:val="single" w:sz="6" w:space="0" w:color="auto"/>
              <w:right w:val="single" w:sz="6" w:space="0" w:color="auto"/>
            </w:tcBorders>
          </w:tcPr>
          <w:p w14:paraId="38D0BA0A" w14:textId="77777777" w:rsidR="001D6419" w:rsidRPr="00D608F9" w:rsidRDefault="000F5B51" w:rsidP="00D07617">
            <w:pPr>
              <w:spacing w:after="0" w:line="240" w:lineRule="auto"/>
              <w:jc w:val="center"/>
              <w:rPr>
                <w:rFonts w:eastAsia="Times New Roman" w:cs="Times New Roman"/>
                <w:szCs w:val="24"/>
              </w:rPr>
            </w:pPr>
            <w:r w:rsidRPr="00D608F9">
              <w:rPr>
                <w:rFonts w:eastAsia="Times New Roman" w:cs="Times New Roman"/>
                <w:szCs w:val="24"/>
              </w:rPr>
              <w:t>Saleen</w:t>
            </w:r>
          </w:p>
        </w:tc>
        <w:tc>
          <w:tcPr>
            <w:tcW w:w="1613" w:type="dxa"/>
            <w:tcBorders>
              <w:top w:val="single" w:sz="6" w:space="0" w:color="auto"/>
              <w:left w:val="single" w:sz="6" w:space="0" w:color="auto"/>
              <w:bottom w:val="single" w:sz="6" w:space="0" w:color="auto"/>
              <w:right w:val="single" w:sz="6" w:space="0" w:color="auto"/>
            </w:tcBorders>
          </w:tcPr>
          <w:p w14:paraId="3A7DE986" w14:textId="77777777" w:rsidR="001D6419" w:rsidRPr="00D608F9" w:rsidRDefault="000F5B51" w:rsidP="00D07617">
            <w:pPr>
              <w:spacing w:after="0" w:line="240" w:lineRule="auto"/>
              <w:jc w:val="center"/>
              <w:rPr>
                <w:rFonts w:eastAsia="Times New Roman" w:cs="Times New Roman"/>
                <w:szCs w:val="24"/>
              </w:rPr>
            </w:pPr>
            <w:r w:rsidRPr="00D608F9">
              <w:rPr>
                <w:rFonts w:eastAsia="Times New Roman" w:cs="Times New Roman"/>
                <w:szCs w:val="24"/>
              </w:rPr>
              <w:t>22</w:t>
            </w:r>
          </w:p>
        </w:tc>
        <w:tc>
          <w:tcPr>
            <w:tcW w:w="1800" w:type="dxa"/>
            <w:tcBorders>
              <w:top w:val="single" w:sz="6" w:space="0" w:color="auto"/>
              <w:left w:val="single" w:sz="6" w:space="0" w:color="auto"/>
              <w:bottom w:val="single" w:sz="6" w:space="0" w:color="auto"/>
              <w:right w:val="single" w:sz="6" w:space="0" w:color="auto"/>
            </w:tcBorders>
          </w:tcPr>
          <w:p w14:paraId="0B7495FF" w14:textId="77777777" w:rsidR="001D6419" w:rsidRPr="00D608F9" w:rsidRDefault="000F5B51" w:rsidP="00D07617">
            <w:pPr>
              <w:spacing w:after="0" w:line="240" w:lineRule="auto"/>
              <w:jc w:val="center"/>
              <w:rPr>
                <w:rFonts w:eastAsia="Times New Roman" w:cs="Times New Roman"/>
                <w:szCs w:val="24"/>
              </w:rPr>
            </w:pPr>
            <w:r w:rsidRPr="00D608F9">
              <w:rPr>
                <w:rFonts w:eastAsia="Times New Roman" w:cs="Times New Roman"/>
                <w:szCs w:val="24"/>
              </w:rPr>
              <w:t>100</w:t>
            </w:r>
          </w:p>
        </w:tc>
        <w:tc>
          <w:tcPr>
            <w:tcW w:w="2332" w:type="dxa"/>
            <w:tcBorders>
              <w:top w:val="single" w:sz="6" w:space="0" w:color="auto"/>
              <w:left w:val="single" w:sz="6" w:space="0" w:color="auto"/>
              <w:bottom w:val="single" w:sz="6" w:space="0" w:color="auto"/>
              <w:right w:val="single" w:sz="6" w:space="0" w:color="auto"/>
            </w:tcBorders>
          </w:tcPr>
          <w:p w14:paraId="12AB02B9" w14:textId="77777777" w:rsidR="001D6419" w:rsidRPr="00D608F9" w:rsidRDefault="000F5B51" w:rsidP="00D07617">
            <w:pPr>
              <w:spacing w:after="0" w:line="240" w:lineRule="auto"/>
              <w:jc w:val="center"/>
              <w:rPr>
                <w:rFonts w:eastAsia="Times New Roman" w:cs="Times New Roman"/>
                <w:szCs w:val="24"/>
              </w:rPr>
            </w:pPr>
            <w:r w:rsidRPr="00D608F9">
              <w:rPr>
                <w:rFonts w:eastAsia="Times New Roman" w:cs="Times New Roman"/>
                <w:szCs w:val="24"/>
              </w:rPr>
              <w:t>$40,000 to $150,000</w:t>
            </w:r>
          </w:p>
        </w:tc>
        <w:tc>
          <w:tcPr>
            <w:tcW w:w="1916" w:type="dxa"/>
            <w:tcBorders>
              <w:top w:val="single" w:sz="6" w:space="0" w:color="auto"/>
              <w:left w:val="single" w:sz="6" w:space="0" w:color="auto"/>
              <w:bottom w:val="single" w:sz="6" w:space="0" w:color="auto"/>
              <w:right w:val="single" w:sz="6" w:space="0" w:color="auto"/>
            </w:tcBorders>
          </w:tcPr>
          <w:p w14:paraId="459437B1" w14:textId="77777777" w:rsidR="001D6419" w:rsidRPr="00D608F9" w:rsidRDefault="000F5B51" w:rsidP="00D07617">
            <w:pPr>
              <w:spacing w:after="0" w:line="240" w:lineRule="auto"/>
              <w:jc w:val="center"/>
              <w:rPr>
                <w:rFonts w:eastAsia="Times New Roman" w:cs="Times New Roman"/>
                <w:szCs w:val="24"/>
              </w:rPr>
            </w:pPr>
            <w:r w:rsidRPr="00D608F9">
              <w:rPr>
                <w:rFonts w:eastAsia="Times New Roman" w:cs="Times New Roman"/>
                <w:szCs w:val="24"/>
              </w:rPr>
              <w:t>$</w:t>
            </w:r>
            <w:r w:rsidRPr="00D608F9">
              <w:rPr>
                <w:rFonts w:eastAsia="Calibri" w:cs="Times New Roman"/>
                <w:szCs w:val="24"/>
              </w:rPr>
              <w:t xml:space="preserve"> </w:t>
            </w:r>
            <w:r w:rsidRPr="00D608F9">
              <w:rPr>
                <w:rFonts w:eastAsia="Times New Roman" w:cs="Times New Roman"/>
                <w:szCs w:val="24"/>
              </w:rPr>
              <w:t>3,800,390**</w:t>
            </w:r>
          </w:p>
        </w:tc>
      </w:tr>
      <w:tr w:rsidR="00A15C2C" w14:paraId="10FD63F6" w14:textId="77777777" w:rsidTr="00D07617">
        <w:tc>
          <w:tcPr>
            <w:tcW w:w="1915" w:type="dxa"/>
            <w:tcBorders>
              <w:top w:val="single" w:sz="6" w:space="0" w:color="auto"/>
              <w:left w:val="single" w:sz="6" w:space="0" w:color="auto"/>
              <w:bottom w:val="single" w:sz="6" w:space="0" w:color="auto"/>
              <w:right w:val="single" w:sz="6" w:space="0" w:color="auto"/>
            </w:tcBorders>
          </w:tcPr>
          <w:p w14:paraId="67B70474" w14:textId="77777777" w:rsidR="001D6419" w:rsidRPr="00D608F9" w:rsidRDefault="000F5B51" w:rsidP="00D07617">
            <w:pPr>
              <w:spacing w:after="0" w:line="240" w:lineRule="auto"/>
              <w:jc w:val="center"/>
              <w:rPr>
                <w:rFonts w:eastAsia="Times New Roman" w:cs="Times New Roman"/>
                <w:szCs w:val="24"/>
              </w:rPr>
            </w:pPr>
            <w:r w:rsidRPr="00D608F9">
              <w:rPr>
                <w:rFonts w:eastAsia="Times New Roman" w:cs="Times New Roman"/>
                <w:szCs w:val="24"/>
              </w:rPr>
              <w:t>Shelby</w:t>
            </w:r>
            <w:r w:rsidRPr="00D608F9">
              <w:rPr>
                <w:rFonts w:eastAsia="Times New Roman" w:cs="Times New Roman"/>
                <w:szCs w:val="24"/>
                <w:vertAlign w:val="superscript"/>
              </w:rPr>
              <w:t>(2)</w:t>
            </w:r>
          </w:p>
        </w:tc>
        <w:tc>
          <w:tcPr>
            <w:tcW w:w="1613" w:type="dxa"/>
            <w:tcBorders>
              <w:top w:val="single" w:sz="6" w:space="0" w:color="auto"/>
              <w:left w:val="single" w:sz="6" w:space="0" w:color="auto"/>
              <w:bottom w:val="single" w:sz="6" w:space="0" w:color="auto"/>
              <w:right w:val="single" w:sz="6" w:space="0" w:color="auto"/>
            </w:tcBorders>
          </w:tcPr>
          <w:p w14:paraId="7332D30B" w14:textId="77777777" w:rsidR="001D6419" w:rsidRPr="00D608F9" w:rsidRDefault="000F5B51" w:rsidP="00D07617">
            <w:pPr>
              <w:spacing w:after="0" w:line="240" w:lineRule="auto"/>
              <w:jc w:val="center"/>
              <w:rPr>
                <w:rFonts w:eastAsia="Times New Roman" w:cs="Times New Roman"/>
                <w:szCs w:val="24"/>
              </w:rPr>
            </w:pPr>
            <w:r w:rsidRPr="00D608F9">
              <w:rPr>
                <w:rFonts w:eastAsia="Times New Roman" w:cs="Times New Roman"/>
                <w:szCs w:val="24"/>
              </w:rPr>
              <w:t>44</w:t>
            </w:r>
          </w:p>
        </w:tc>
        <w:tc>
          <w:tcPr>
            <w:tcW w:w="1800" w:type="dxa"/>
            <w:tcBorders>
              <w:top w:val="single" w:sz="6" w:space="0" w:color="auto"/>
              <w:left w:val="single" w:sz="6" w:space="0" w:color="auto"/>
              <w:bottom w:val="single" w:sz="6" w:space="0" w:color="auto"/>
              <w:right w:val="single" w:sz="6" w:space="0" w:color="auto"/>
            </w:tcBorders>
          </w:tcPr>
          <w:p w14:paraId="7FD74554" w14:textId="77777777" w:rsidR="001D6419" w:rsidRPr="00D608F9" w:rsidRDefault="000F5B51" w:rsidP="00D07617">
            <w:pPr>
              <w:spacing w:after="0" w:line="240" w:lineRule="auto"/>
              <w:jc w:val="center"/>
              <w:rPr>
                <w:rFonts w:eastAsia="Times New Roman" w:cs="Times New Roman"/>
                <w:szCs w:val="24"/>
              </w:rPr>
            </w:pPr>
            <w:r w:rsidRPr="00D608F9">
              <w:rPr>
                <w:rFonts w:eastAsia="Times New Roman" w:cs="Times New Roman"/>
                <w:szCs w:val="24"/>
              </w:rPr>
              <w:t>60</w:t>
            </w:r>
          </w:p>
        </w:tc>
        <w:tc>
          <w:tcPr>
            <w:tcW w:w="2332" w:type="dxa"/>
            <w:tcBorders>
              <w:top w:val="single" w:sz="6" w:space="0" w:color="auto"/>
              <w:left w:val="single" w:sz="6" w:space="0" w:color="auto"/>
              <w:bottom w:val="single" w:sz="6" w:space="0" w:color="auto"/>
              <w:right w:val="single" w:sz="6" w:space="0" w:color="auto"/>
            </w:tcBorders>
          </w:tcPr>
          <w:p w14:paraId="008B9CEF" w14:textId="77777777" w:rsidR="001D6419" w:rsidRPr="00D608F9" w:rsidRDefault="000F5B51" w:rsidP="00D07617">
            <w:pPr>
              <w:spacing w:after="0" w:line="240" w:lineRule="auto"/>
              <w:jc w:val="center"/>
              <w:rPr>
                <w:rFonts w:eastAsia="Times New Roman" w:cs="Times New Roman"/>
                <w:szCs w:val="24"/>
              </w:rPr>
            </w:pPr>
            <w:r w:rsidRPr="00D608F9">
              <w:rPr>
                <w:rFonts w:eastAsia="Times New Roman" w:cs="Times New Roman"/>
                <w:szCs w:val="24"/>
              </w:rPr>
              <w:t>$24,000 to $300,000</w:t>
            </w:r>
          </w:p>
        </w:tc>
        <w:tc>
          <w:tcPr>
            <w:tcW w:w="1916" w:type="dxa"/>
            <w:tcBorders>
              <w:top w:val="single" w:sz="6" w:space="0" w:color="auto"/>
              <w:left w:val="single" w:sz="6" w:space="0" w:color="auto"/>
              <w:bottom w:val="single" w:sz="6" w:space="0" w:color="auto"/>
              <w:right w:val="single" w:sz="6" w:space="0" w:color="auto"/>
            </w:tcBorders>
          </w:tcPr>
          <w:p w14:paraId="07102238" w14:textId="77777777" w:rsidR="001D6419" w:rsidRPr="00D608F9" w:rsidRDefault="000F5B51" w:rsidP="00D07617">
            <w:pPr>
              <w:spacing w:after="0" w:line="240" w:lineRule="auto"/>
              <w:jc w:val="center"/>
              <w:rPr>
                <w:rFonts w:eastAsia="Times New Roman" w:cs="Times New Roman"/>
                <w:szCs w:val="24"/>
              </w:rPr>
            </w:pPr>
            <w:r w:rsidRPr="00D608F9">
              <w:rPr>
                <w:rFonts w:eastAsia="Times New Roman" w:cs="Times New Roman"/>
                <w:szCs w:val="24"/>
              </w:rPr>
              <w:t>$2,110,000***</w:t>
            </w:r>
          </w:p>
        </w:tc>
      </w:tr>
    </w:tbl>
    <w:p w14:paraId="63F09A63" w14:textId="77777777" w:rsidR="001D6419" w:rsidRPr="003F10AD" w:rsidRDefault="000F5B51" w:rsidP="001D6419">
      <w:pPr>
        <w:numPr>
          <w:ilvl w:val="0"/>
          <w:numId w:val="15"/>
        </w:numPr>
        <w:spacing w:after="0" w:line="240" w:lineRule="auto"/>
        <w:contextualSpacing/>
        <w:rPr>
          <w:rFonts w:eastAsia="Times New Roman" w:cs="Times New Roman"/>
          <w:sz w:val="18"/>
          <w:szCs w:val="18"/>
        </w:rPr>
      </w:pPr>
      <w:r w:rsidRPr="003F10AD">
        <w:rPr>
          <w:rFonts w:eastAsia="Times New Roman" w:cs="Times New Roman"/>
          <w:sz w:val="18"/>
          <w:szCs w:val="18"/>
        </w:rPr>
        <w:t>A subsidiary of Delta Wing LLC</w:t>
      </w:r>
    </w:p>
    <w:p w14:paraId="205FAB22" w14:textId="77777777" w:rsidR="001D6419" w:rsidRPr="003F10AD" w:rsidRDefault="000F5B51" w:rsidP="001D6419">
      <w:pPr>
        <w:numPr>
          <w:ilvl w:val="0"/>
          <w:numId w:val="15"/>
        </w:numPr>
        <w:spacing w:after="0" w:line="240" w:lineRule="auto"/>
        <w:contextualSpacing/>
        <w:rPr>
          <w:rFonts w:eastAsia="Times New Roman" w:cs="Times New Roman"/>
          <w:sz w:val="18"/>
          <w:szCs w:val="18"/>
        </w:rPr>
      </w:pPr>
      <w:r w:rsidRPr="003F10AD">
        <w:rPr>
          <w:rFonts w:eastAsia="Times New Roman" w:cs="Times New Roman"/>
          <w:sz w:val="18"/>
          <w:szCs w:val="18"/>
        </w:rPr>
        <w:t>A subsidiary of Carroll Shelby International, Inc.</w:t>
      </w:r>
    </w:p>
    <w:p w14:paraId="11350D5F" w14:textId="77777777" w:rsidR="001D6419" w:rsidRPr="003F10AD" w:rsidRDefault="000F5B51" w:rsidP="001D6419">
      <w:pPr>
        <w:spacing w:after="0" w:line="240" w:lineRule="auto"/>
        <w:ind w:firstLine="360"/>
        <w:rPr>
          <w:rFonts w:eastAsia="Times New Roman" w:cs="Times New Roman"/>
          <w:sz w:val="18"/>
          <w:szCs w:val="18"/>
        </w:rPr>
      </w:pPr>
      <w:r w:rsidRPr="003F10AD">
        <w:rPr>
          <w:rFonts w:eastAsia="Times New Roman" w:cs="Times New Roman"/>
          <w:sz w:val="18"/>
          <w:szCs w:val="18"/>
        </w:rPr>
        <w:t>* no information</w:t>
      </w:r>
    </w:p>
    <w:p w14:paraId="3B4EBD12" w14:textId="77777777" w:rsidR="001D6419" w:rsidRPr="003F10AD" w:rsidRDefault="000F5B51" w:rsidP="001D6419">
      <w:pPr>
        <w:spacing w:after="0" w:line="240" w:lineRule="auto"/>
        <w:ind w:firstLine="360"/>
        <w:rPr>
          <w:rFonts w:eastAsia="Times New Roman" w:cs="Times New Roman"/>
          <w:sz w:val="18"/>
          <w:szCs w:val="18"/>
        </w:rPr>
      </w:pPr>
      <w:r w:rsidRPr="003F10AD">
        <w:rPr>
          <w:rFonts w:eastAsia="Times New Roman" w:cs="Times New Roman"/>
          <w:sz w:val="18"/>
          <w:szCs w:val="18"/>
        </w:rPr>
        <w:t>** for the year ended March 2015</w:t>
      </w:r>
      <w:r>
        <w:rPr>
          <w:rFonts w:eastAsia="Times New Roman" w:cs="Times New Roman"/>
          <w:sz w:val="18"/>
          <w:szCs w:val="18"/>
          <w:vertAlign w:val="superscript"/>
        </w:rPr>
        <w:footnoteReference w:id="77"/>
      </w:r>
    </w:p>
    <w:p w14:paraId="56B820EC" w14:textId="77777777" w:rsidR="001D6419" w:rsidRPr="003F10AD" w:rsidRDefault="000F5B51" w:rsidP="001D6419">
      <w:pPr>
        <w:spacing w:after="0" w:line="240" w:lineRule="auto"/>
        <w:ind w:firstLine="360"/>
        <w:rPr>
          <w:rFonts w:eastAsia="Times New Roman" w:cs="Times New Roman"/>
          <w:sz w:val="18"/>
          <w:szCs w:val="18"/>
        </w:rPr>
      </w:pPr>
      <w:r w:rsidRPr="003F10AD">
        <w:rPr>
          <w:rFonts w:eastAsia="Times New Roman" w:cs="Times New Roman"/>
          <w:sz w:val="18"/>
          <w:szCs w:val="18"/>
        </w:rPr>
        <w:t>*** projected from the nine month revenue</w:t>
      </w:r>
      <w:r w:rsidRPr="003F10AD">
        <w:rPr>
          <w:rFonts w:eastAsia="Calibri" w:cs="Times New Roman"/>
          <w:sz w:val="18"/>
          <w:szCs w:val="18"/>
        </w:rPr>
        <w:t xml:space="preserve"> ended September 30, 2003</w:t>
      </w:r>
    </w:p>
    <w:p w14:paraId="70D3DF37" w14:textId="77777777" w:rsidR="001D6419" w:rsidRPr="00A46477" w:rsidRDefault="001D6419" w:rsidP="003F10AD">
      <w:pPr>
        <w:pStyle w:val="NoSpaceTimes"/>
      </w:pPr>
    </w:p>
    <w:p w14:paraId="0B2726E3" w14:textId="77777777" w:rsidR="001D6419" w:rsidRPr="00A46477" w:rsidRDefault="000F5B51" w:rsidP="003F10AD">
      <w:pPr>
        <w:spacing w:after="0"/>
        <w:rPr>
          <w:rFonts w:eastAsia="Times New Roman" w:cs="Times New Roman"/>
          <w:szCs w:val="24"/>
        </w:rPr>
      </w:pPr>
      <w:r>
        <w:rPr>
          <w:rFonts w:eastAsia="Times New Roman" w:cs="Times New Roman"/>
          <w:szCs w:val="24"/>
        </w:rPr>
        <w:t>As explained below in 4.2.(a), t</w:t>
      </w:r>
      <w:r w:rsidRPr="00C57556">
        <w:rPr>
          <w:rFonts w:eastAsia="Times New Roman" w:cs="Times New Roman"/>
          <w:szCs w:val="24"/>
        </w:rPr>
        <w:t>he agency believes that the proposed rule would not have a significant economic impact on small domestic vehicle manufacturers</w:t>
      </w:r>
      <w:r w:rsidR="001F2F92">
        <w:rPr>
          <w:rFonts w:eastAsia="Times New Roman" w:cs="Times New Roman"/>
          <w:szCs w:val="24"/>
        </w:rPr>
        <w:t xml:space="preserve">. </w:t>
      </w:r>
      <w:r w:rsidRPr="00C57556">
        <w:rPr>
          <w:rFonts w:eastAsia="Times New Roman" w:cs="Times New Roman"/>
          <w:szCs w:val="24"/>
        </w:rPr>
        <w:t xml:space="preserve">   </w:t>
      </w:r>
    </w:p>
    <w:p w14:paraId="780B8723" w14:textId="77777777" w:rsidR="001D6419" w:rsidRPr="00A46477" w:rsidRDefault="000F5B51" w:rsidP="001D6419">
      <w:pPr>
        <w:spacing w:after="0"/>
        <w:rPr>
          <w:rFonts w:eastAsia="Times New Roman" w:cs="Times New Roman"/>
          <w:szCs w:val="24"/>
        </w:rPr>
      </w:pPr>
      <w:r w:rsidRPr="00A46477">
        <w:rPr>
          <w:rFonts w:eastAsia="Times New Roman" w:cs="Times New Roman"/>
          <w:szCs w:val="24"/>
        </w:rPr>
        <w:t xml:space="preserve">4. </w:t>
      </w:r>
      <w:r w:rsidRPr="00A46477">
        <w:rPr>
          <w:rFonts w:eastAsia="Times New Roman" w:cs="Times New Roman"/>
          <w:szCs w:val="24"/>
          <w:u w:val="single"/>
        </w:rPr>
        <w:t>A description of the projected reporting, recording keeping and other compliance requirements of a final rule including an estimate of the classes of small entities which will be subject to the requirement and the type of professional skills necessary for preparation of the report or record</w:t>
      </w:r>
      <w:r w:rsidRPr="00A46477">
        <w:rPr>
          <w:rFonts w:eastAsia="Times New Roman" w:cs="Times New Roman"/>
          <w:szCs w:val="24"/>
        </w:rPr>
        <w:t xml:space="preserve">. </w:t>
      </w:r>
    </w:p>
    <w:p w14:paraId="6D4C3E27" w14:textId="77777777" w:rsidR="001D6419" w:rsidRDefault="000F5B51" w:rsidP="001D6419">
      <w:pPr>
        <w:spacing w:after="0"/>
        <w:rPr>
          <w:rFonts w:eastAsia="Times New Roman" w:cs="Times New Roman"/>
          <w:szCs w:val="24"/>
        </w:rPr>
      </w:pPr>
      <w:r w:rsidRPr="00A46477">
        <w:rPr>
          <w:rFonts w:eastAsia="Times New Roman" w:cs="Times New Roman"/>
          <w:szCs w:val="24"/>
        </w:rPr>
        <w:t xml:space="preserve">4.1. Reporting &amp; Recording Impacts: </w:t>
      </w:r>
    </w:p>
    <w:p w14:paraId="20F94280" w14:textId="77777777" w:rsidR="001D6419" w:rsidRPr="00A46477" w:rsidRDefault="000F5B51" w:rsidP="001D6419">
      <w:pPr>
        <w:spacing w:after="0"/>
        <w:rPr>
          <w:rFonts w:eastAsia="Times New Roman" w:cs="Times New Roman"/>
          <w:b/>
          <w:szCs w:val="24"/>
        </w:rPr>
      </w:pPr>
      <w:r>
        <w:rPr>
          <w:rFonts w:eastAsia="Times New Roman" w:cs="Times New Roman"/>
          <w:szCs w:val="24"/>
        </w:rPr>
        <w:t xml:space="preserve">The NPRM </w:t>
      </w:r>
      <w:r w:rsidRPr="009D5726">
        <w:rPr>
          <w:rFonts w:eastAsia="Times New Roman" w:cs="Times New Roman"/>
          <w:szCs w:val="24"/>
        </w:rPr>
        <w:t>propos</w:t>
      </w:r>
      <w:r>
        <w:rPr>
          <w:rFonts w:eastAsia="Times New Roman" w:cs="Times New Roman"/>
          <w:szCs w:val="24"/>
        </w:rPr>
        <w:t>es</w:t>
      </w:r>
      <w:r w:rsidRPr="009D5726">
        <w:rPr>
          <w:rFonts w:eastAsia="Times New Roman" w:cs="Times New Roman"/>
          <w:szCs w:val="24"/>
        </w:rPr>
        <w:t xml:space="preserve"> that written instruction be provided</w:t>
      </w:r>
      <w:r>
        <w:rPr>
          <w:rFonts w:eastAsia="Times New Roman" w:cs="Times New Roman"/>
          <w:szCs w:val="24"/>
        </w:rPr>
        <w:t xml:space="preserve"> </w:t>
      </w:r>
      <w:r w:rsidRPr="009D5726">
        <w:rPr>
          <w:rFonts w:eastAsia="Times New Roman" w:cs="Times New Roman"/>
          <w:szCs w:val="24"/>
        </w:rPr>
        <w:t xml:space="preserve">for </w:t>
      </w:r>
      <w:r>
        <w:rPr>
          <w:rFonts w:eastAsia="Times New Roman" w:cs="Times New Roman"/>
          <w:szCs w:val="24"/>
        </w:rPr>
        <w:t xml:space="preserve">certain </w:t>
      </w:r>
      <w:r w:rsidRPr="009D5726">
        <w:rPr>
          <w:rFonts w:eastAsia="Times New Roman" w:cs="Times New Roman"/>
          <w:szCs w:val="24"/>
        </w:rPr>
        <w:t>vehicles</w:t>
      </w:r>
      <w:r>
        <w:rPr>
          <w:rFonts w:eastAsia="Times New Roman" w:cs="Times New Roman"/>
          <w:szCs w:val="24"/>
        </w:rPr>
        <w:t>. The vehicles are those</w:t>
      </w:r>
      <w:r w:rsidRPr="009D5726">
        <w:rPr>
          <w:rFonts w:eastAsia="Times New Roman" w:cs="Times New Roman"/>
          <w:szCs w:val="24"/>
        </w:rPr>
        <w:t xml:space="preserve"> with removable seats that </w:t>
      </w:r>
      <w:r>
        <w:rPr>
          <w:rFonts w:eastAsia="Times New Roman" w:cs="Times New Roman"/>
          <w:szCs w:val="24"/>
        </w:rPr>
        <w:t>necessitate the owner manually reconnecting a rear seat belt warning system when he or she reinstalls the seat</w:t>
      </w:r>
      <w:r w:rsidR="001F2F92">
        <w:rPr>
          <w:rFonts w:eastAsia="Times New Roman" w:cs="Times New Roman"/>
          <w:szCs w:val="24"/>
        </w:rPr>
        <w:t xml:space="preserve">. </w:t>
      </w:r>
      <w:r>
        <w:rPr>
          <w:rFonts w:eastAsia="Times New Roman" w:cs="Times New Roman"/>
          <w:szCs w:val="24"/>
        </w:rPr>
        <w:t>We do not believe that small light vehicle manufacturers would be significantly affected by this requirement</w:t>
      </w:r>
      <w:r w:rsidR="001F2F92">
        <w:rPr>
          <w:rFonts w:eastAsia="Times New Roman" w:cs="Times New Roman"/>
          <w:szCs w:val="24"/>
        </w:rPr>
        <w:t xml:space="preserve">. </w:t>
      </w:r>
      <w:r>
        <w:rPr>
          <w:rFonts w:eastAsia="Times New Roman" w:cs="Times New Roman"/>
          <w:szCs w:val="24"/>
        </w:rPr>
        <w:t>NHTSA does not believe that the small domestic passenger car manufacturers produce vehicles with removable rear seats that necessitate the owner reattaching the warning system</w:t>
      </w:r>
      <w:r w:rsidR="001F2F92">
        <w:rPr>
          <w:rFonts w:eastAsia="Times New Roman" w:cs="Times New Roman"/>
          <w:szCs w:val="24"/>
        </w:rPr>
        <w:t xml:space="preserve">. </w:t>
      </w:r>
      <w:r>
        <w:rPr>
          <w:rFonts w:eastAsia="Times New Roman" w:cs="Times New Roman"/>
          <w:szCs w:val="24"/>
        </w:rPr>
        <w:t xml:space="preserve">Even if they did, and for multistage </w:t>
      </w:r>
      <w:r>
        <w:rPr>
          <w:rFonts w:eastAsia="Times New Roman" w:cs="Times New Roman"/>
          <w:szCs w:val="24"/>
        </w:rPr>
        <w:lastRenderedPageBreak/>
        <w:t>manufacturers and alterers that do produce such vehicles (with removable rear seats with SBWSs that necessitate the owner reattaching the system), the requirements would not be significant</w:t>
      </w:r>
      <w:r w:rsidR="001F2F92">
        <w:rPr>
          <w:rFonts w:eastAsia="Times New Roman" w:cs="Times New Roman"/>
          <w:szCs w:val="24"/>
        </w:rPr>
        <w:t xml:space="preserve">. </w:t>
      </w:r>
      <w:r>
        <w:rPr>
          <w:rFonts w:eastAsia="Times New Roman" w:cs="Times New Roman"/>
          <w:szCs w:val="24"/>
        </w:rPr>
        <w:t>All that would be required is an instruction telling consumers how to reattach the warning system when they reinstall the removable seats</w:t>
      </w:r>
      <w:r w:rsidR="001F2F92">
        <w:rPr>
          <w:rFonts w:eastAsia="Times New Roman" w:cs="Times New Roman"/>
          <w:szCs w:val="24"/>
        </w:rPr>
        <w:t xml:space="preserve">. </w:t>
      </w:r>
      <w:r>
        <w:rPr>
          <w:rFonts w:eastAsia="Times New Roman" w:cs="Times New Roman"/>
          <w:szCs w:val="24"/>
        </w:rPr>
        <w:t>In addition, w</w:t>
      </w:r>
      <w:r w:rsidRPr="0015785C">
        <w:rPr>
          <w:rFonts w:eastAsia="Times New Roman" w:cs="Times New Roman"/>
          <w:szCs w:val="24"/>
        </w:rPr>
        <w:t>e propose that information be provided in the vehicle owner’s manual or elsewhere (for simplicity, in this discussion we assume the instructions would be in the owner’s manual since that is where written instructions are typically provided) that accurately describes the SB</w:t>
      </w:r>
      <w:r>
        <w:rPr>
          <w:rFonts w:eastAsia="Times New Roman" w:cs="Times New Roman"/>
          <w:szCs w:val="24"/>
        </w:rPr>
        <w:t>W</w:t>
      </w:r>
      <w:r w:rsidRPr="0015785C">
        <w:rPr>
          <w:rFonts w:eastAsia="Times New Roman" w:cs="Times New Roman"/>
          <w:szCs w:val="24"/>
        </w:rPr>
        <w:t>S features and warning signals, including the location and format of the visual warnings, in an easily understandable format</w:t>
      </w:r>
      <w:r w:rsidR="001F2F92">
        <w:rPr>
          <w:rFonts w:eastAsia="Times New Roman" w:cs="Times New Roman"/>
          <w:szCs w:val="24"/>
        </w:rPr>
        <w:t xml:space="preserve">. </w:t>
      </w:r>
      <w:r w:rsidRPr="0015785C">
        <w:rPr>
          <w:rFonts w:eastAsia="Times New Roman" w:cs="Times New Roman"/>
          <w:szCs w:val="24"/>
        </w:rPr>
        <w:t>Information of this sort is already required by FMVSS No. 208 on the driver SB</w:t>
      </w:r>
      <w:r>
        <w:rPr>
          <w:rFonts w:eastAsia="Times New Roman" w:cs="Times New Roman"/>
          <w:szCs w:val="24"/>
        </w:rPr>
        <w:t>W</w:t>
      </w:r>
      <w:r w:rsidRPr="0015785C">
        <w:rPr>
          <w:rFonts w:eastAsia="Times New Roman" w:cs="Times New Roman"/>
          <w:szCs w:val="24"/>
        </w:rPr>
        <w:t>S, so this proposal simply extends the information to passenger seats</w:t>
      </w:r>
      <w:r w:rsidR="001F2F92">
        <w:rPr>
          <w:rFonts w:eastAsia="Times New Roman" w:cs="Times New Roman"/>
          <w:szCs w:val="24"/>
        </w:rPr>
        <w:t xml:space="preserve">. </w:t>
      </w:r>
    </w:p>
    <w:p w14:paraId="1578E45F" w14:textId="77777777" w:rsidR="001D6419" w:rsidRPr="00A46477" w:rsidRDefault="000F5B51" w:rsidP="001D6419">
      <w:pPr>
        <w:spacing w:after="0"/>
        <w:rPr>
          <w:rFonts w:eastAsia="Times New Roman" w:cs="Times New Roman"/>
          <w:szCs w:val="20"/>
        </w:rPr>
      </w:pPr>
      <w:r w:rsidRPr="00A46477">
        <w:rPr>
          <w:rFonts w:eastAsia="Times New Roman" w:cs="Times New Roman"/>
          <w:szCs w:val="20"/>
        </w:rPr>
        <w:t>4.2. Compliance Impacts:</w:t>
      </w:r>
    </w:p>
    <w:p w14:paraId="59DDC902" w14:textId="77777777" w:rsidR="001D6419" w:rsidRPr="00A17F8E" w:rsidRDefault="000F5B51" w:rsidP="001D6419">
      <w:pPr>
        <w:spacing w:after="0"/>
        <w:rPr>
          <w:rFonts w:eastAsia="Times New Roman" w:cs="Times New Roman"/>
          <w:i/>
          <w:szCs w:val="20"/>
        </w:rPr>
      </w:pPr>
      <w:r w:rsidRPr="00A17F8E">
        <w:rPr>
          <w:rFonts w:eastAsia="Times New Roman" w:cs="Times New Roman"/>
          <w:i/>
          <w:szCs w:val="20"/>
        </w:rPr>
        <w:t xml:space="preserve">(a) Small vehicle manufacturers: </w:t>
      </w:r>
    </w:p>
    <w:p w14:paraId="2C7529EB" w14:textId="5C7E1B9F" w:rsidR="001D6419" w:rsidRPr="00A46477" w:rsidRDefault="000F5B51" w:rsidP="006244C6">
      <w:pPr>
        <w:spacing w:after="0"/>
        <w:rPr>
          <w:rFonts w:eastAsia="Times New Roman" w:cs="Times New Roman"/>
          <w:szCs w:val="24"/>
        </w:rPr>
      </w:pPr>
      <w:r w:rsidRPr="00A46477">
        <w:rPr>
          <w:rFonts w:eastAsia="Times New Roman" w:cs="Times New Roman"/>
          <w:szCs w:val="24"/>
        </w:rPr>
        <w:t xml:space="preserve">There are </w:t>
      </w:r>
      <w:r>
        <w:rPr>
          <w:rFonts w:eastAsia="Times New Roman" w:cs="Times New Roman"/>
          <w:szCs w:val="24"/>
        </w:rPr>
        <w:t>three</w:t>
      </w:r>
      <w:r w:rsidRPr="00A46477">
        <w:rPr>
          <w:rFonts w:eastAsia="Times New Roman" w:cs="Times New Roman"/>
          <w:szCs w:val="24"/>
        </w:rPr>
        <w:t xml:space="preserve"> small domestic motor vehicle manufacturers in the United States in MY </w:t>
      </w:r>
      <w:r w:rsidRPr="001E75D4">
        <w:rPr>
          <w:rFonts w:eastAsia="Times New Roman" w:cs="Times New Roman"/>
          <w:szCs w:val="24"/>
        </w:rPr>
        <w:t>2015</w:t>
      </w:r>
      <w:r w:rsidRPr="00A46477">
        <w:rPr>
          <w:rFonts w:eastAsia="Times New Roman" w:cs="Times New Roman"/>
          <w:i/>
          <w:szCs w:val="24"/>
        </w:rPr>
        <w:t>,</w:t>
      </w:r>
      <w:r w:rsidRPr="00A46477">
        <w:rPr>
          <w:rFonts w:eastAsia="Times New Roman" w:cs="Times New Roman"/>
          <w:szCs w:val="24"/>
        </w:rPr>
        <w:t xml:space="preserve"> as previously shown </w:t>
      </w:r>
      <w:r w:rsidRPr="006244C6">
        <w:rPr>
          <w:rFonts w:eastAsia="Times New Roman" w:cs="Times New Roman"/>
          <w:szCs w:val="24"/>
        </w:rPr>
        <w:t xml:space="preserve">in </w:t>
      </w:r>
      <w:r w:rsidRPr="0028568D">
        <w:rPr>
          <w:rFonts w:eastAsia="Times New Roman" w:cs="Times New Roman"/>
          <w:szCs w:val="24"/>
        </w:rPr>
        <w:fldChar w:fldCharType="begin"/>
      </w:r>
      <w:r w:rsidRPr="006244C6">
        <w:rPr>
          <w:rFonts w:eastAsia="Times New Roman" w:cs="Times New Roman"/>
          <w:szCs w:val="24"/>
        </w:rPr>
        <w:instrText xml:space="preserve"> REF _Ref502651107 \h  \* MERGEFORMAT </w:instrText>
      </w:r>
      <w:r w:rsidRPr="0028568D">
        <w:rPr>
          <w:rFonts w:eastAsia="Times New Roman" w:cs="Times New Roman"/>
          <w:szCs w:val="24"/>
        </w:rPr>
      </w:r>
      <w:r w:rsidRPr="0028568D">
        <w:rPr>
          <w:rFonts w:eastAsia="Times New Roman" w:cs="Times New Roman"/>
          <w:szCs w:val="24"/>
        </w:rPr>
        <w:fldChar w:fldCharType="separate"/>
      </w:r>
      <w:r w:rsidR="00A65CB3">
        <w:t xml:space="preserve">Table </w:t>
      </w:r>
      <w:r w:rsidR="00A65CB3">
        <w:rPr>
          <w:noProof/>
        </w:rPr>
        <w:t>101</w:t>
      </w:r>
      <w:r w:rsidR="00A65CB3">
        <w:t>:</w:t>
      </w:r>
      <w:r w:rsidRPr="0028568D">
        <w:rPr>
          <w:rFonts w:eastAsia="Times New Roman" w:cs="Times New Roman"/>
          <w:szCs w:val="24"/>
        </w:rPr>
        <w:fldChar w:fldCharType="end"/>
      </w:r>
      <w:r w:rsidR="001F2F92">
        <w:rPr>
          <w:rFonts w:eastAsia="Times New Roman" w:cs="Times New Roman"/>
          <w:szCs w:val="24"/>
        </w:rPr>
        <w:t xml:space="preserve">. </w:t>
      </w:r>
      <w:r w:rsidRPr="00A46477">
        <w:rPr>
          <w:rFonts w:eastAsia="Times New Roman" w:cs="Times New Roman"/>
          <w:szCs w:val="24"/>
        </w:rPr>
        <w:t>All are small manufacturers, having less than 1,000 employees.</w:t>
      </w:r>
    </w:p>
    <w:p w14:paraId="25D5EE32" w14:textId="77777777" w:rsidR="001D6419" w:rsidRDefault="000F5B51" w:rsidP="003F10AD">
      <w:pPr>
        <w:spacing w:after="0"/>
        <w:rPr>
          <w:rFonts w:eastAsia="Times New Roman" w:cs="Times New Roman"/>
          <w:szCs w:val="24"/>
        </w:rPr>
      </w:pPr>
      <w:r w:rsidRPr="00A46477">
        <w:rPr>
          <w:rFonts w:eastAsia="Times New Roman" w:cs="Times New Roman"/>
          <w:szCs w:val="20"/>
        </w:rPr>
        <w:t xml:space="preserve">The </w:t>
      </w:r>
      <w:r>
        <w:rPr>
          <w:rFonts w:eastAsia="Times New Roman" w:cs="Times New Roman"/>
          <w:szCs w:val="20"/>
        </w:rPr>
        <w:t xml:space="preserve">proposed </w:t>
      </w:r>
      <w:r w:rsidRPr="00A46477">
        <w:rPr>
          <w:rFonts w:eastAsia="Times New Roman" w:cs="Times New Roman"/>
          <w:szCs w:val="20"/>
        </w:rPr>
        <w:t xml:space="preserve">rule </w:t>
      </w:r>
      <w:r>
        <w:rPr>
          <w:rFonts w:eastAsia="Times New Roman" w:cs="Times New Roman"/>
          <w:szCs w:val="20"/>
        </w:rPr>
        <w:t xml:space="preserve">would </w:t>
      </w:r>
      <w:r w:rsidRPr="00A46477">
        <w:rPr>
          <w:rFonts w:eastAsia="Times New Roman" w:cs="Times New Roman"/>
          <w:szCs w:val="20"/>
        </w:rPr>
        <w:t>directly affect motor vehicle manufacturers</w:t>
      </w:r>
      <w:r w:rsidR="001F2F92">
        <w:rPr>
          <w:rFonts w:eastAsia="Times New Roman" w:cs="Times New Roman"/>
          <w:szCs w:val="20"/>
        </w:rPr>
        <w:t xml:space="preserve">. </w:t>
      </w:r>
      <w:r w:rsidRPr="00A46477">
        <w:rPr>
          <w:rFonts w:eastAsia="Times New Roman" w:cs="Times New Roman"/>
          <w:szCs w:val="20"/>
        </w:rPr>
        <w:t xml:space="preserve">However, we believe that the </w:t>
      </w:r>
      <w:r>
        <w:rPr>
          <w:rFonts w:eastAsia="Times New Roman" w:cs="Times New Roman"/>
          <w:szCs w:val="20"/>
        </w:rPr>
        <w:t xml:space="preserve">proposed </w:t>
      </w:r>
      <w:r w:rsidRPr="00A46477">
        <w:rPr>
          <w:rFonts w:eastAsia="Times New Roman" w:cs="Times New Roman"/>
          <w:szCs w:val="20"/>
        </w:rPr>
        <w:t xml:space="preserve">rule </w:t>
      </w:r>
      <w:r>
        <w:rPr>
          <w:rFonts w:eastAsia="Times New Roman" w:cs="Times New Roman"/>
          <w:szCs w:val="20"/>
        </w:rPr>
        <w:t xml:space="preserve">would </w:t>
      </w:r>
      <w:r w:rsidRPr="00A46477">
        <w:rPr>
          <w:rFonts w:eastAsia="Times New Roman" w:cs="Times New Roman"/>
          <w:szCs w:val="20"/>
        </w:rPr>
        <w:t xml:space="preserve">not have a significant economic impact on </w:t>
      </w:r>
      <w:r>
        <w:rPr>
          <w:rFonts w:eastAsia="Times New Roman" w:cs="Times New Roman"/>
          <w:szCs w:val="20"/>
        </w:rPr>
        <w:t>these entities</w:t>
      </w:r>
      <w:r w:rsidR="001F2F92">
        <w:rPr>
          <w:rFonts w:eastAsia="Times New Roman" w:cs="Times New Roman"/>
          <w:szCs w:val="20"/>
        </w:rPr>
        <w:t xml:space="preserve">. </w:t>
      </w:r>
      <w:r w:rsidRPr="0047525A">
        <w:rPr>
          <w:rFonts w:eastAsia="Times New Roman" w:cs="Times New Roman"/>
          <w:szCs w:val="24"/>
        </w:rPr>
        <w:t xml:space="preserve">Small manufacturers are already certifying their </w:t>
      </w:r>
      <w:r>
        <w:rPr>
          <w:rFonts w:eastAsia="Times New Roman" w:cs="Times New Roman"/>
          <w:szCs w:val="24"/>
        </w:rPr>
        <w:t>vehicle’s</w:t>
      </w:r>
      <w:r w:rsidRPr="0047525A">
        <w:rPr>
          <w:rFonts w:eastAsia="Times New Roman" w:cs="Times New Roman"/>
          <w:szCs w:val="24"/>
        </w:rPr>
        <w:t xml:space="preserve"> compliance, for the driver’s position, with FMVSS No. 20</w:t>
      </w:r>
      <w:r>
        <w:rPr>
          <w:rFonts w:eastAsia="Times New Roman" w:cs="Times New Roman"/>
          <w:szCs w:val="24"/>
        </w:rPr>
        <w:t>8</w:t>
      </w:r>
      <w:r w:rsidRPr="0047525A">
        <w:rPr>
          <w:rFonts w:eastAsia="Times New Roman" w:cs="Times New Roman"/>
          <w:szCs w:val="24"/>
        </w:rPr>
        <w:t xml:space="preserve">’s seat </w:t>
      </w:r>
      <w:r>
        <w:rPr>
          <w:rFonts w:eastAsia="Times New Roman" w:cs="Times New Roman"/>
          <w:szCs w:val="24"/>
        </w:rPr>
        <w:t>belt warning system</w:t>
      </w:r>
      <w:r w:rsidRPr="0047525A">
        <w:rPr>
          <w:rFonts w:eastAsia="Times New Roman" w:cs="Times New Roman"/>
          <w:szCs w:val="24"/>
        </w:rPr>
        <w:t xml:space="preserve"> requirements</w:t>
      </w:r>
      <w:r w:rsidR="001F2F92">
        <w:rPr>
          <w:rFonts w:eastAsia="Times New Roman" w:cs="Times New Roman"/>
          <w:szCs w:val="24"/>
        </w:rPr>
        <w:t xml:space="preserve">. </w:t>
      </w:r>
      <w:r w:rsidRPr="0047525A">
        <w:rPr>
          <w:rFonts w:eastAsia="Times New Roman" w:cs="Times New Roman"/>
          <w:szCs w:val="24"/>
        </w:rPr>
        <w:t xml:space="preserve">The means they use to certify to </w:t>
      </w:r>
      <w:r>
        <w:rPr>
          <w:rFonts w:eastAsia="Times New Roman" w:cs="Times New Roman"/>
          <w:szCs w:val="24"/>
        </w:rPr>
        <w:t xml:space="preserve">the current </w:t>
      </w:r>
      <w:r w:rsidRPr="0047525A">
        <w:rPr>
          <w:rFonts w:eastAsia="Times New Roman" w:cs="Times New Roman"/>
          <w:szCs w:val="24"/>
        </w:rPr>
        <w:t xml:space="preserve">requirements </w:t>
      </w:r>
      <w:r>
        <w:rPr>
          <w:rFonts w:eastAsia="Times New Roman" w:cs="Times New Roman"/>
          <w:szCs w:val="24"/>
        </w:rPr>
        <w:t xml:space="preserve">would be </w:t>
      </w:r>
      <w:r w:rsidRPr="0047525A">
        <w:rPr>
          <w:rFonts w:eastAsia="Times New Roman" w:cs="Times New Roman"/>
          <w:szCs w:val="24"/>
        </w:rPr>
        <w:t xml:space="preserve">similar to or the same as those </w:t>
      </w:r>
      <w:r>
        <w:rPr>
          <w:rFonts w:eastAsia="Times New Roman" w:cs="Times New Roman"/>
          <w:szCs w:val="24"/>
        </w:rPr>
        <w:t xml:space="preserve">they would </w:t>
      </w:r>
      <w:r w:rsidRPr="0047525A">
        <w:rPr>
          <w:rFonts w:eastAsia="Times New Roman" w:cs="Times New Roman"/>
          <w:szCs w:val="24"/>
        </w:rPr>
        <w:t xml:space="preserve">use to certify to </w:t>
      </w:r>
      <w:r>
        <w:rPr>
          <w:rFonts w:eastAsia="Times New Roman" w:cs="Times New Roman"/>
          <w:szCs w:val="24"/>
        </w:rPr>
        <w:t xml:space="preserve">the proposed rear SBRS </w:t>
      </w:r>
      <w:r w:rsidRPr="0047525A">
        <w:rPr>
          <w:rFonts w:eastAsia="Times New Roman" w:cs="Times New Roman"/>
          <w:szCs w:val="24"/>
        </w:rPr>
        <w:t>requirements</w:t>
      </w:r>
      <w:r w:rsidR="001F2F92">
        <w:rPr>
          <w:rFonts w:eastAsia="Times New Roman" w:cs="Times New Roman"/>
          <w:szCs w:val="24"/>
        </w:rPr>
        <w:t xml:space="preserve">. </w:t>
      </w:r>
      <w:r>
        <w:rPr>
          <w:rFonts w:eastAsia="Times New Roman" w:cs="Times New Roman"/>
          <w:szCs w:val="24"/>
        </w:rPr>
        <w:t>Further, t</w:t>
      </w:r>
      <w:r w:rsidRPr="0047525A">
        <w:rPr>
          <w:rFonts w:eastAsia="Times New Roman" w:cs="Times New Roman"/>
          <w:szCs w:val="24"/>
        </w:rPr>
        <w:t xml:space="preserve">he </w:t>
      </w:r>
      <w:r>
        <w:rPr>
          <w:rFonts w:eastAsia="Times New Roman" w:cs="Times New Roman"/>
          <w:szCs w:val="24"/>
        </w:rPr>
        <w:t xml:space="preserve">proposed </w:t>
      </w:r>
      <w:r w:rsidRPr="0047525A">
        <w:rPr>
          <w:rFonts w:eastAsia="Times New Roman" w:cs="Times New Roman"/>
          <w:szCs w:val="24"/>
        </w:rPr>
        <w:t>certification test is a relatively simple test</w:t>
      </w:r>
      <w:r>
        <w:rPr>
          <w:rFonts w:eastAsia="Times New Roman" w:cs="Times New Roman"/>
          <w:szCs w:val="24"/>
        </w:rPr>
        <w:t>, involving a test technician placing a person or test dummy in a seat and checking if the requisite signals activate</w:t>
      </w:r>
      <w:r w:rsidR="001F2F92">
        <w:rPr>
          <w:rFonts w:eastAsia="Times New Roman" w:cs="Times New Roman"/>
          <w:szCs w:val="24"/>
        </w:rPr>
        <w:t xml:space="preserve">. </w:t>
      </w:r>
      <w:r w:rsidRPr="002B38AB">
        <w:rPr>
          <w:rFonts w:eastAsia="Times New Roman" w:cs="Times New Roman"/>
          <w:szCs w:val="24"/>
        </w:rPr>
        <w:t xml:space="preserve">Checking to see if visual and audible warnings activate for the driver </w:t>
      </w:r>
      <w:r w:rsidRPr="002B38AB">
        <w:rPr>
          <w:rFonts w:eastAsia="Times New Roman" w:cs="Times New Roman"/>
          <w:szCs w:val="24"/>
        </w:rPr>
        <w:lastRenderedPageBreak/>
        <w:t>SBRS has been a part of FMVSS No. 208 compliance testing for many years, and manufacturers are knowledgeable about conducting it.</w:t>
      </w:r>
    </w:p>
    <w:p w14:paraId="1B1FB521" w14:textId="77777777" w:rsidR="001D6419" w:rsidRPr="00774EC0" w:rsidRDefault="000F5B51" w:rsidP="003F10AD">
      <w:pPr>
        <w:spacing w:after="0"/>
        <w:rPr>
          <w:rFonts w:eastAsia="Times New Roman" w:cs="Times New Roman"/>
          <w:szCs w:val="24"/>
        </w:rPr>
      </w:pPr>
      <w:r w:rsidRPr="00774EC0">
        <w:rPr>
          <w:rFonts w:eastAsia="Times New Roman" w:cs="Times New Roman"/>
          <w:szCs w:val="24"/>
        </w:rPr>
        <w:t>Small manufacturers have options available to certify compliance, none of which will result in a significant economic impact on these entities</w:t>
      </w:r>
      <w:r w:rsidR="001F2F92">
        <w:rPr>
          <w:rFonts w:eastAsia="Times New Roman" w:cs="Times New Roman"/>
          <w:szCs w:val="24"/>
        </w:rPr>
        <w:t xml:space="preserve">. </w:t>
      </w:r>
      <w:r w:rsidRPr="00774EC0">
        <w:rPr>
          <w:rFonts w:eastAsia="Times New Roman" w:cs="Times New Roman"/>
          <w:szCs w:val="24"/>
        </w:rPr>
        <w:t>The manufacturers can and do obtain seating systems from seat suppliers and install the seats on the body following the instructions of the seat supplier</w:t>
      </w:r>
      <w:r w:rsidR="001F2F92">
        <w:rPr>
          <w:rFonts w:eastAsia="Times New Roman" w:cs="Times New Roman"/>
          <w:szCs w:val="24"/>
        </w:rPr>
        <w:t xml:space="preserve">. </w:t>
      </w:r>
      <w:r w:rsidRPr="00774EC0">
        <w:rPr>
          <w:rFonts w:eastAsia="Times New Roman" w:cs="Times New Roman"/>
          <w:szCs w:val="24"/>
        </w:rPr>
        <w:t>Seat and seat belt suppliers are large entities with resources available to assist small manufacturers in incorporating the SBRSs, if manufacturers need technical assistance (which we do not think they will need, given the simplicity of the systems, particularly those rear systems that do not involve occupant detection)</w:t>
      </w:r>
      <w:r w:rsidR="001F2F92">
        <w:rPr>
          <w:rFonts w:eastAsia="Times New Roman" w:cs="Times New Roman"/>
          <w:szCs w:val="24"/>
        </w:rPr>
        <w:t xml:space="preserve">. </w:t>
      </w:r>
      <w:r w:rsidRPr="00774EC0">
        <w:rPr>
          <w:rFonts w:eastAsia="Times New Roman" w:cs="Times New Roman"/>
          <w:szCs w:val="24"/>
        </w:rPr>
        <w:t xml:space="preserve">We do not believe that current manufacturing practices would have to change significantly as a result of a final rule. </w:t>
      </w:r>
    </w:p>
    <w:p w14:paraId="2A7478F9" w14:textId="03DBF28B" w:rsidR="001D6419" w:rsidRPr="00774EC0" w:rsidRDefault="000F5B51" w:rsidP="003F10AD">
      <w:pPr>
        <w:spacing w:after="0"/>
        <w:rPr>
          <w:rFonts w:eastAsia="Times New Roman" w:cs="Times New Roman"/>
          <w:szCs w:val="24"/>
        </w:rPr>
      </w:pPr>
      <w:r>
        <w:rPr>
          <w:rFonts w:eastAsia="Times New Roman" w:cs="Times New Roman"/>
          <w:szCs w:val="24"/>
        </w:rPr>
        <w:t xml:space="preserve">We believe vehicle manufacturers including </w:t>
      </w:r>
      <w:r w:rsidRPr="00774EC0">
        <w:rPr>
          <w:rFonts w:eastAsia="Times New Roman" w:cs="Times New Roman"/>
          <w:szCs w:val="24"/>
        </w:rPr>
        <w:t>small manufacturers are obtaining seat and seat belt systems (with SBRSs) from suppliers</w:t>
      </w:r>
      <w:r w:rsidR="001F2F92">
        <w:rPr>
          <w:rFonts w:eastAsia="Times New Roman" w:cs="Times New Roman"/>
          <w:szCs w:val="24"/>
        </w:rPr>
        <w:t xml:space="preserve">. </w:t>
      </w:r>
      <w:r>
        <w:rPr>
          <w:rFonts w:eastAsia="Times New Roman" w:cs="Times New Roman"/>
          <w:szCs w:val="24"/>
        </w:rPr>
        <w:t xml:space="preserve">Since the seat belt systems are similar whether they are used by large or small vehicle manufacturers, </w:t>
      </w:r>
      <w:r w:rsidRPr="00393E62">
        <w:rPr>
          <w:rFonts w:eastAsia="Times New Roman" w:cs="Times New Roman"/>
          <w:szCs w:val="24"/>
        </w:rPr>
        <w:t xml:space="preserve">small manufacturers </w:t>
      </w:r>
      <w:r>
        <w:rPr>
          <w:rFonts w:eastAsia="Times New Roman" w:cs="Times New Roman"/>
          <w:szCs w:val="24"/>
        </w:rPr>
        <w:t xml:space="preserve">would not need </w:t>
      </w:r>
      <w:r w:rsidRPr="00393E62">
        <w:rPr>
          <w:rFonts w:eastAsia="Times New Roman" w:cs="Times New Roman"/>
          <w:szCs w:val="24"/>
        </w:rPr>
        <w:t>a</w:t>
      </w:r>
      <w:r>
        <w:rPr>
          <w:rFonts w:eastAsia="Times New Roman" w:cs="Times New Roman"/>
          <w:szCs w:val="24"/>
        </w:rPr>
        <w:t>ny additional lead time</w:t>
      </w:r>
      <w:r w:rsidRPr="00393E62">
        <w:rPr>
          <w:rFonts w:eastAsia="Times New Roman" w:cs="Times New Roman"/>
          <w:szCs w:val="24"/>
        </w:rPr>
        <w:t xml:space="preserve"> to </w:t>
      </w:r>
      <w:r>
        <w:rPr>
          <w:rFonts w:eastAsia="Times New Roman" w:cs="Times New Roman"/>
          <w:szCs w:val="24"/>
        </w:rPr>
        <w:t>comply</w:t>
      </w:r>
      <w:r w:rsidRPr="00393E62">
        <w:rPr>
          <w:rFonts w:eastAsia="Times New Roman" w:cs="Times New Roman"/>
          <w:szCs w:val="24"/>
        </w:rPr>
        <w:t xml:space="preserve"> </w:t>
      </w:r>
      <w:r>
        <w:rPr>
          <w:rFonts w:eastAsia="Times New Roman" w:cs="Times New Roman"/>
          <w:szCs w:val="24"/>
        </w:rPr>
        <w:t xml:space="preserve">with </w:t>
      </w:r>
      <w:r w:rsidRPr="00393E62">
        <w:rPr>
          <w:rFonts w:eastAsia="Times New Roman" w:cs="Times New Roman"/>
          <w:szCs w:val="24"/>
        </w:rPr>
        <w:t>the proposed rule</w:t>
      </w:r>
      <w:r w:rsidR="001F2F92">
        <w:rPr>
          <w:rFonts w:eastAsia="Times New Roman" w:cs="Times New Roman"/>
          <w:szCs w:val="24"/>
        </w:rPr>
        <w:t xml:space="preserve">. </w:t>
      </w:r>
    </w:p>
    <w:p w14:paraId="5151B4F5" w14:textId="77777777" w:rsidR="001D6419" w:rsidRPr="00A46477" w:rsidRDefault="000F5B51" w:rsidP="003F10AD">
      <w:pPr>
        <w:spacing w:after="0"/>
        <w:rPr>
          <w:rFonts w:eastAsia="Times New Roman" w:cs="Times New Roman"/>
          <w:szCs w:val="24"/>
        </w:rPr>
      </w:pPr>
      <w:r w:rsidRPr="00774EC0">
        <w:rPr>
          <w:rFonts w:eastAsia="Times New Roman" w:cs="Times New Roman"/>
          <w:szCs w:val="24"/>
        </w:rPr>
        <w:t>In addition, we also believed that the proposed rulemaking would not have a significant impact on the small vehicle manufacturers because the market for the vehicles produced by these entities is highly inelastic</w:t>
      </w:r>
      <w:r w:rsidR="001F2F92">
        <w:rPr>
          <w:rFonts w:eastAsia="Times New Roman" w:cs="Times New Roman"/>
          <w:szCs w:val="24"/>
        </w:rPr>
        <w:t xml:space="preserve">. </w:t>
      </w:r>
      <w:r w:rsidRPr="00774EC0">
        <w:rPr>
          <w:rFonts w:eastAsia="Times New Roman" w:cs="Times New Roman"/>
          <w:szCs w:val="24"/>
        </w:rPr>
        <w:t>Purchasers of these vehicles are attracted by the desire to have an unusual vehicle</w:t>
      </w:r>
      <w:r w:rsidR="001F2F92">
        <w:rPr>
          <w:rFonts w:eastAsia="Times New Roman" w:cs="Times New Roman"/>
          <w:szCs w:val="24"/>
        </w:rPr>
        <w:t xml:space="preserve">. </w:t>
      </w:r>
      <w:r w:rsidRPr="00774EC0">
        <w:rPr>
          <w:rFonts w:eastAsia="Times New Roman" w:cs="Times New Roman"/>
          <w:szCs w:val="24"/>
        </w:rPr>
        <w:t>Further, all light vehicles would have to comply with the proposed SBRS requirements</w:t>
      </w:r>
      <w:r w:rsidR="001F2F92">
        <w:rPr>
          <w:rFonts w:eastAsia="Times New Roman" w:cs="Times New Roman"/>
          <w:szCs w:val="24"/>
        </w:rPr>
        <w:t xml:space="preserve">. </w:t>
      </w:r>
      <w:r w:rsidRPr="00774EC0">
        <w:rPr>
          <w:rFonts w:eastAsia="Times New Roman" w:cs="Times New Roman"/>
          <w:szCs w:val="24"/>
        </w:rPr>
        <w:t>Since the price of complying with the proposed rule would likely be passed on to the final consumer, the price of competitor’s models would increase by similar amounts</w:t>
      </w:r>
      <w:r w:rsidR="001F2F92">
        <w:rPr>
          <w:rFonts w:eastAsia="Times New Roman" w:cs="Times New Roman"/>
          <w:szCs w:val="24"/>
        </w:rPr>
        <w:t xml:space="preserve">. </w:t>
      </w:r>
      <w:r w:rsidRPr="00774EC0">
        <w:rPr>
          <w:rFonts w:eastAsia="Times New Roman" w:cs="Times New Roman"/>
          <w:szCs w:val="24"/>
        </w:rPr>
        <w:t>Further, we do not believe that raising the price of a vehicle to include the value of a rear SBRS would have much, if any, effect on vehicle sales</w:t>
      </w:r>
      <w:r w:rsidR="001F2F92">
        <w:rPr>
          <w:rFonts w:eastAsia="Times New Roman" w:cs="Times New Roman"/>
          <w:szCs w:val="24"/>
        </w:rPr>
        <w:t xml:space="preserve">. </w:t>
      </w:r>
      <w:r w:rsidRPr="0047525A">
        <w:rPr>
          <w:rFonts w:eastAsia="Times New Roman" w:cs="Times New Roman"/>
          <w:szCs w:val="24"/>
        </w:rPr>
        <w:t xml:space="preserve">  </w:t>
      </w:r>
      <w:r w:rsidRPr="00A46477">
        <w:rPr>
          <w:rFonts w:eastAsia="Times New Roman" w:cs="Times New Roman"/>
          <w:szCs w:val="20"/>
        </w:rPr>
        <w:t xml:space="preserve">  </w:t>
      </w:r>
    </w:p>
    <w:p w14:paraId="4698064D" w14:textId="77777777" w:rsidR="001D6419" w:rsidRPr="00A46477" w:rsidRDefault="000F5B51" w:rsidP="001D6419">
      <w:pPr>
        <w:spacing w:after="0"/>
        <w:rPr>
          <w:rFonts w:eastAsia="Times New Roman" w:cs="Times New Roman"/>
          <w:szCs w:val="20"/>
        </w:rPr>
      </w:pPr>
      <w:r w:rsidRPr="00A17F8E">
        <w:rPr>
          <w:rFonts w:eastAsia="Times New Roman" w:cs="Times New Roman"/>
          <w:i/>
          <w:szCs w:val="20"/>
        </w:rPr>
        <w:lastRenderedPageBreak/>
        <w:t>(b) Final stage manufacturers and alterers:</w:t>
      </w:r>
      <w:r w:rsidRPr="00A46477">
        <w:rPr>
          <w:rFonts w:eastAsia="Times New Roman" w:cs="Times New Roman"/>
          <w:szCs w:val="20"/>
        </w:rPr>
        <w:t xml:space="preserve">   There are a significant number (several hundred) of second-stage or final-stage manufacturers and alterers that </w:t>
      </w:r>
      <w:r>
        <w:rPr>
          <w:rFonts w:eastAsia="Times New Roman" w:cs="Times New Roman"/>
          <w:szCs w:val="20"/>
        </w:rPr>
        <w:t>w</w:t>
      </w:r>
      <w:r w:rsidRPr="00A46477">
        <w:rPr>
          <w:rFonts w:eastAsia="Times New Roman" w:cs="Times New Roman"/>
          <w:szCs w:val="20"/>
        </w:rPr>
        <w:t xml:space="preserve">ould be impacted by </w:t>
      </w:r>
      <w:r>
        <w:rPr>
          <w:rFonts w:eastAsia="Times New Roman" w:cs="Times New Roman"/>
          <w:szCs w:val="20"/>
        </w:rPr>
        <w:t xml:space="preserve">a </w:t>
      </w:r>
      <w:r w:rsidRPr="00A46477">
        <w:rPr>
          <w:rFonts w:eastAsia="Times New Roman" w:cs="Times New Roman"/>
          <w:szCs w:val="20"/>
        </w:rPr>
        <w:t>final rule</w:t>
      </w:r>
      <w:r w:rsidR="001F2F92">
        <w:rPr>
          <w:rFonts w:eastAsia="Times New Roman" w:cs="Times New Roman"/>
          <w:szCs w:val="20"/>
        </w:rPr>
        <w:t xml:space="preserve">. </w:t>
      </w:r>
      <w:r w:rsidRPr="00A46477">
        <w:rPr>
          <w:rFonts w:eastAsia="Times New Roman" w:cs="Times New Roman"/>
          <w:szCs w:val="20"/>
        </w:rPr>
        <w:t>These manufacturers buy incomplete vehicles to finish as complete vehicles or modify previously-certified vehicles</w:t>
      </w:r>
      <w:r w:rsidR="001F2F92">
        <w:rPr>
          <w:rFonts w:eastAsia="Times New Roman" w:cs="Times New Roman"/>
          <w:szCs w:val="20"/>
        </w:rPr>
        <w:t xml:space="preserve">. </w:t>
      </w:r>
      <w:r w:rsidRPr="00A46477">
        <w:rPr>
          <w:rFonts w:eastAsia="Times New Roman" w:cs="Times New Roman"/>
          <w:szCs w:val="20"/>
        </w:rPr>
        <w:t>Many of these latter vehicles are van conversions</w:t>
      </w:r>
      <w:r>
        <w:rPr>
          <w:rFonts w:eastAsia="Times New Roman" w:cs="Times New Roman"/>
          <w:szCs w:val="20"/>
        </w:rPr>
        <w:t>;</w:t>
      </w:r>
      <w:r w:rsidRPr="00A46477">
        <w:rPr>
          <w:rFonts w:eastAsia="Times New Roman" w:cs="Times New Roman"/>
          <w:szCs w:val="20"/>
        </w:rPr>
        <w:t xml:space="preserve"> there are a variety of vehicles affected</w:t>
      </w:r>
      <w:r w:rsidR="001F2F92">
        <w:rPr>
          <w:rFonts w:eastAsia="Times New Roman" w:cs="Times New Roman"/>
          <w:szCs w:val="20"/>
        </w:rPr>
        <w:t xml:space="preserve">. </w:t>
      </w:r>
    </w:p>
    <w:p w14:paraId="51369602" w14:textId="77777777" w:rsidR="001D6419" w:rsidRDefault="000F5B51" w:rsidP="003F10AD">
      <w:pPr>
        <w:spacing w:after="0"/>
        <w:rPr>
          <w:rFonts w:eastAsia="Times New Roman" w:cs="Times New Roman"/>
          <w:iCs/>
          <w:szCs w:val="20"/>
        </w:rPr>
      </w:pPr>
      <w:r w:rsidRPr="00A46477">
        <w:rPr>
          <w:rFonts w:eastAsia="Times New Roman" w:cs="Times New Roman"/>
          <w:iCs/>
          <w:szCs w:val="20"/>
        </w:rPr>
        <w:t xml:space="preserve">To produce a vehicle, a final-stage manufacturer can either stay within the incomplete vehicle document (IVD) furnished by the incomplete vehicle manufacturer (which are typically large vehicle manufacturers, such as GM or Ford), or the final-stage manufacturer can work with incomplete vehicle manufacturers to enable the final-stage manufacturer to certify to the new </w:t>
      </w:r>
      <w:r>
        <w:rPr>
          <w:rFonts w:eastAsia="Times New Roman" w:cs="Times New Roman"/>
          <w:iCs/>
          <w:szCs w:val="20"/>
        </w:rPr>
        <w:t>requirements</w:t>
      </w:r>
      <w:r w:rsidRPr="00A46477">
        <w:rPr>
          <w:rFonts w:eastAsia="Times New Roman" w:cs="Times New Roman"/>
          <w:iCs/>
          <w:szCs w:val="20"/>
        </w:rPr>
        <w:t>.</w:t>
      </w:r>
      <w:r>
        <w:rPr>
          <w:rFonts w:eastAsia="Times New Roman" w:cs="Times New Roman"/>
          <w:iCs/>
          <w:szCs w:val="20"/>
          <w:vertAlign w:val="superscript"/>
        </w:rPr>
        <w:footnoteReference w:id="78"/>
      </w:r>
      <w:r w:rsidRPr="00A46477">
        <w:rPr>
          <w:rFonts w:eastAsia="Times New Roman" w:cs="Times New Roman"/>
          <w:iCs/>
          <w:szCs w:val="20"/>
        </w:rPr>
        <w:t xml:space="preserve">  The final-stage manufacturer can also certify to the standard using due care based on an assessment of the information available to the manufacturer.</w:t>
      </w:r>
    </w:p>
    <w:p w14:paraId="3625A2FE" w14:textId="77777777" w:rsidR="001D6419" w:rsidRPr="00A46477" w:rsidRDefault="000F5B51" w:rsidP="001D6419">
      <w:pPr>
        <w:spacing w:after="0"/>
        <w:rPr>
          <w:rFonts w:eastAsia="Times New Roman" w:cs="Times New Roman"/>
          <w:iCs/>
          <w:szCs w:val="20"/>
        </w:rPr>
      </w:pPr>
      <w:r w:rsidRPr="00617895">
        <w:rPr>
          <w:rFonts w:eastAsia="Times New Roman" w:cs="Times New Roman"/>
          <w:iCs/>
          <w:szCs w:val="20"/>
        </w:rPr>
        <w:t>While there are a substantial number of multi-stage manufacturers that could be impacted by the proposed rule, we believe that the impact on them would not be significant</w:t>
      </w:r>
      <w:r w:rsidR="001F2F92">
        <w:rPr>
          <w:rFonts w:eastAsia="Times New Roman" w:cs="Times New Roman"/>
          <w:iCs/>
          <w:szCs w:val="20"/>
        </w:rPr>
        <w:t xml:space="preserve">. </w:t>
      </w:r>
      <w:r w:rsidRPr="00617895">
        <w:rPr>
          <w:rFonts w:eastAsia="Times New Roman" w:cs="Times New Roman"/>
          <w:iCs/>
          <w:szCs w:val="20"/>
        </w:rPr>
        <w:t>We note that these manufacturers are already certifying their vehicles to FMVSS No. 208’s SBRS requirements that apply to the driver’s seating position</w:t>
      </w:r>
      <w:r w:rsidR="001F2F92">
        <w:rPr>
          <w:rFonts w:eastAsia="Times New Roman" w:cs="Times New Roman"/>
          <w:iCs/>
          <w:szCs w:val="20"/>
        </w:rPr>
        <w:t xml:space="preserve">. </w:t>
      </w:r>
      <w:r w:rsidRPr="00617895">
        <w:rPr>
          <w:rFonts w:eastAsia="Times New Roman" w:cs="Times New Roman"/>
          <w:iCs/>
          <w:szCs w:val="20"/>
        </w:rPr>
        <w:t>They are already familiar with the equipment and manufacturing processes involved to certify their vehicles to seat belt warning system requirements</w:t>
      </w:r>
      <w:r w:rsidR="001F2F92">
        <w:rPr>
          <w:rFonts w:eastAsia="Times New Roman" w:cs="Times New Roman"/>
          <w:iCs/>
          <w:szCs w:val="20"/>
        </w:rPr>
        <w:t xml:space="preserve">. </w:t>
      </w:r>
    </w:p>
    <w:p w14:paraId="5CEAC310" w14:textId="77777777" w:rsidR="001D6419" w:rsidRDefault="000F5B51" w:rsidP="003F10AD">
      <w:pPr>
        <w:spacing w:after="0"/>
        <w:rPr>
          <w:rFonts w:eastAsia="Times New Roman" w:cs="Times New Roman"/>
          <w:szCs w:val="20"/>
        </w:rPr>
      </w:pPr>
      <w:r>
        <w:rPr>
          <w:rFonts w:eastAsia="Times New Roman" w:cs="Times New Roman"/>
          <w:szCs w:val="20"/>
        </w:rPr>
        <w:t>Further, w</w:t>
      </w:r>
      <w:r w:rsidRPr="00A46477">
        <w:rPr>
          <w:rFonts w:eastAsia="Times New Roman" w:cs="Times New Roman"/>
          <w:szCs w:val="20"/>
        </w:rPr>
        <w:t xml:space="preserve">e believe that the majority of incomplete vehicles </w:t>
      </w:r>
      <w:r>
        <w:rPr>
          <w:rFonts w:eastAsia="Times New Roman" w:cs="Times New Roman"/>
          <w:szCs w:val="20"/>
        </w:rPr>
        <w:t xml:space="preserve">with rear seats </w:t>
      </w:r>
      <w:r w:rsidRPr="00A46477">
        <w:rPr>
          <w:rFonts w:eastAsia="Times New Roman" w:cs="Times New Roman"/>
          <w:szCs w:val="20"/>
        </w:rPr>
        <w:t xml:space="preserve">will be equipped with </w:t>
      </w:r>
      <w:r>
        <w:rPr>
          <w:rFonts w:eastAsia="Times New Roman" w:cs="Times New Roman"/>
          <w:szCs w:val="20"/>
        </w:rPr>
        <w:t>a SBWS already installed</w:t>
      </w:r>
      <w:r w:rsidR="001F2F92">
        <w:rPr>
          <w:rFonts w:eastAsia="Times New Roman" w:cs="Times New Roman"/>
          <w:szCs w:val="20"/>
        </w:rPr>
        <w:t xml:space="preserve">. </w:t>
      </w:r>
      <w:r w:rsidRPr="00A46477">
        <w:rPr>
          <w:rFonts w:eastAsia="Times New Roman" w:cs="Times New Roman"/>
          <w:szCs w:val="20"/>
        </w:rPr>
        <w:t>It would be a feasible matter to produce a completed vehicle using an incomplete vehicle that has a system already installed</w:t>
      </w:r>
      <w:r w:rsidR="001F2F92">
        <w:rPr>
          <w:rFonts w:eastAsia="Times New Roman" w:cs="Times New Roman"/>
          <w:szCs w:val="20"/>
        </w:rPr>
        <w:t xml:space="preserve">. </w:t>
      </w:r>
      <w:r w:rsidRPr="00A46477">
        <w:rPr>
          <w:rFonts w:eastAsia="Times New Roman" w:cs="Times New Roman"/>
          <w:szCs w:val="20"/>
        </w:rPr>
        <w:t xml:space="preserve">We anticipate that final-stage </w:t>
      </w:r>
      <w:r w:rsidRPr="00A46477">
        <w:rPr>
          <w:rFonts w:eastAsia="Times New Roman" w:cs="Times New Roman"/>
          <w:szCs w:val="20"/>
        </w:rPr>
        <w:lastRenderedPageBreak/>
        <w:t xml:space="preserve">manufacturers will base their vehicles on incomplete vehicles that already have the </w:t>
      </w:r>
      <w:r>
        <w:rPr>
          <w:rFonts w:eastAsia="Times New Roman" w:cs="Times New Roman"/>
          <w:szCs w:val="20"/>
        </w:rPr>
        <w:t xml:space="preserve">SBWS </w:t>
      </w:r>
      <w:r w:rsidRPr="00A46477">
        <w:rPr>
          <w:rFonts w:eastAsia="Times New Roman" w:cs="Times New Roman"/>
          <w:szCs w:val="20"/>
        </w:rPr>
        <w:t>installed rather than install the</w:t>
      </w:r>
      <w:r>
        <w:rPr>
          <w:rFonts w:eastAsia="Times New Roman" w:cs="Times New Roman"/>
          <w:szCs w:val="20"/>
        </w:rPr>
        <w:t xml:space="preserve"> system </w:t>
      </w:r>
      <w:r w:rsidRPr="00A46477">
        <w:rPr>
          <w:rFonts w:eastAsia="Times New Roman" w:cs="Times New Roman"/>
          <w:szCs w:val="20"/>
        </w:rPr>
        <w:t>themselves.</w:t>
      </w:r>
    </w:p>
    <w:p w14:paraId="354A2005" w14:textId="77777777" w:rsidR="001D6419" w:rsidRDefault="000F5B51" w:rsidP="003F10AD">
      <w:pPr>
        <w:spacing w:after="0"/>
        <w:rPr>
          <w:rFonts w:eastAsia="Times New Roman" w:cs="Times New Roman"/>
          <w:szCs w:val="24"/>
        </w:rPr>
      </w:pPr>
      <w:r w:rsidRPr="00E23D02">
        <w:rPr>
          <w:rFonts w:eastAsia="Times New Roman" w:cs="Times New Roman"/>
          <w:szCs w:val="24"/>
        </w:rPr>
        <w:t>For final-stage manufacturers working with incomplete vehicles that do not have rear seats or SBRSs already installed, completing vehicles to meet the proposed requirements is feasible</w:t>
      </w:r>
      <w:r w:rsidR="001F2F92">
        <w:rPr>
          <w:rFonts w:eastAsia="Times New Roman" w:cs="Times New Roman"/>
          <w:szCs w:val="24"/>
        </w:rPr>
        <w:t xml:space="preserve">. </w:t>
      </w:r>
      <w:r w:rsidRPr="00E23D02">
        <w:rPr>
          <w:rFonts w:eastAsia="Times New Roman" w:cs="Times New Roman"/>
          <w:szCs w:val="24"/>
        </w:rPr>
        <w:t>The manufacturers can obtain seat and seat belt systems (with SB</w:t>
      </w:r>
      <w:r>
        <w:rPr>
          <w:rFonts w:eastAsia="Times New Roman" w:cs="Times New Roman"/>
          <w:szCs w:val="24"/>
        </w:rPr>
        <w:t>W</w:t>
      </w:r>
      <w:r w:rsidRPr="00E23D02">
        <w:rPr>
          <w:rFonts w:eastAsia="Times New Roman" w:cs="Times New Roman"/>
          <w:szCs w:val="24"/>
        </w:rPr>
        <w:t>Ss) from suppliers</w:t>
      </w:r>
      <w:r w:rsidR="001F2F92">
        <w:rPr>
          <w:rFonts w:eastAsia="Times New Roman" w:cs="Times New Roman"/>
          <w:szCs w:val="24"/>
        </w:rPr>
        <w:t xml:space="preserve">. </w:t>
      </w:r>
      <w:r w:rsidRPr="00E23D02">
        <w:rPr>
          <w:rFonts w:eastAsia="Times New Roman" w:cs="Times New Roman"/>
          <w:szCs w:val="24"/>
        </w:rPr>
        <w:t>NHTSA recognizes in the NPRM that the suppliers might be supplying larger vehicle manufacturers during the development and lead time period, and do not have the design capabilities to handle all of the smaller manufacturers, including final-stage manufacturers</w:t>
      </w:r>
      <w:r w:rsidR="001F2F92">
        <w:rPr>
          <w:rFonts w:eastAsia="Times New Roman" w:cs="Times New Roman"/>
          <w:szCs w:val="24"/>
        </w:rPr>
        <w:t xml:space="preserve">. </w:t>
      </w:r>
      <w:r w:rsidRPr="00E23D02">
        <w:rPr>
          <w:rFonts w:eastAsia="Times New Roman" w:cs="Times New Roman"/>
          <w:szCs w:val="24"/>
        </w:rPr>
        <w:t>The rulemaking proposal accounts for this limitation by proposing to allow final-stage manufacturers extra time to comply with the proposed requirements, to reduce the economic impact of the proposed rule on these small entities.</w:t>
      </w:r>
    </w:p>
    <w:p w14:paraId="77BB262C" w14:textId="77777777" w:rsidR="001D6419" w:rsidRDefault="000F5B51" w:rsidP="003F10AD">
      <w:pPr>
        <w:spacing w:after="0"/>
        <w:rPr>
          <w:rFonts w:eastAsia="Times New Roman" w:cs="Times New Roman"/>
          <w:szCs w:val="24"/>
        </w:rPr>
      </w:pPr>
      <w:r w:rsidRPr="00E23D02">
        <w:rPr>
          <w:rFonts w:eastAsia="Times New Roman" w:cs="Times New Roman"/>
          <w:szCs w:val="24"/>
        </w:rPr>
        <w:t>For alterers (an alterer is a person who alters by addition, substitution or removal of components (other than readily attachable components) a certified vehicle before the first purchase of the vehicle other than for resale), the impacts of the proposed rule would not be significant</w:t>
      </w:r>
      <w:r w:rsidR="001F2F92">
        <w:rPr>
          <w:rFonts w:eastAsia="Times New Roman" w:cs="Times New Roman"/>
          <w:szCs w:val="24"/>
        </w:rPr>
        <w:t xml:space="preserve">. </w:t>
      </w:r>
      <w:r w:rsidRPr="00E23D02">
        <w:rPr>
          <w:rFonts w:eastAsia="Times New Roman" w:cs="Times New Roman"/>
          <w:szCs w:val="24"/>
        </w:rPr>
        <w:t>The proposed rule would allow alterers additional time to comply with the proposed requirements</w:t>
      </w:r>
      <w:r w:rsidR="001F2F92">
        <w:rPr>
          <w:rFonts w:eastAsia="Times New Roman" w:cs="Times New Roman"/>
          <w:szCs w:val="24"/>
        </w:rPr>
        <w:t xml:space="preserve">. </w:t>
      </w:r>
      <w:r w:rsidRPr="00E23D02">
        <w:rPr>
          <w:rFonts w:eastAsia="Times New Roman" w:cs="Times New Roman"/>
          <w:szCs w:val="24"/>
        </w:rPr>
        <w:t>If an alterer is removing rear seats, the person making the alteration would simply have to be careful not to affect the compliance of the SB</w:t>
      </w:r>
      <w:r>
        <w:rPr>
          <w:rFonts w:eastAsia="Times New Roman" w:cs="Times New Roman"/>
          <w:szCs w:val="24"/>
        </w:rPr>
        <w:t>W</w:t>
      </w:r>
      <w:r w:rsidRPr="00E23D02">
        <w:rPr>
          <w:rFonts w:eastAsia="Times New Roman" w:cs="Times New Roman"/>
          <w:szCs w:val="24"/>
        </w:rPr>
        <w:t>S system for the seats not removed</w:t>
      </w:r>
      <w:r w:rsidR="001F2F92">
        <w:rPr>
          <w:rFonts w:eastAsia="Times New Roman" w:cs="Times New Roman"/>
          <w:szCs w:val="24"/>
        </w:rPr>
        <w:t xml:space="preserve">. </w:t>
      </w:r>
    </w:p>
    <w:p w14:paraId="61B45553" w14:textId="77777777" w:rsidR="001D6419" w:rsidRDefault="000F5B51" w:rsidP="003F10AD">
      <w:pPr>
        <w:spacing w:after="0"/>
        <w:rPr>
          <w:rFonts w:eastAsia="Times New Roman" w:cs="Times New Roman"/>
          <w:szCs w:val="24"/>
        </w:rPr>
      </w:pPr>
      <w:r w:rsidRPr="00E23D02">
        <w:rPr>
          <w:rFonts w:eastAsia="Times New Roman" w:cs="Times New Roman"/>
          <w:szCs w:val="24"/>
        </w:rPr>
        <w:t>An alterer that is adding rear seats could obtain seating systems with SB</w:t>
      </w:r>
      <w:r>
        <w:rPr>
          <w:rFonts w:eastAsia="Times New Roman" w:cs="Times New Roman"/>
          <w:szCs w:val="24"/>
        </w:rPr>
        <w:t>W</w:t>
      </w:r>
      <w:r w:rsidRPr="00E23D02">
        <w:rPr>
          <w:rFonts w:eastAsia="Times New Roman" w:cs="Times New Roman"/>
          <w:szCs w:val="24"/>
        </w:rPr>
        <w:t>S from seat suppliers and install the seats on the body following the instructions of the seat supplier</w:t>
      </w:r>
      <w:r w:rsidR="001F2F92">
        <w:rPr>
          <w:rFonts w:eastAsia="Times New Roman" w:cs="Times New Roman"/>
          <w:szCs w:val="24"/>
        </w:rPr>
        <w:t xml:space="preserve">. </w:t>
      </w:r>
      <w:r w:rsidRPr="00E23D02">
        <w:rPr>
          <w:rFonts w:eastAsia="Times New Roman" w:cs="Times New Roman"/>
          <w:szCs w:val="24"/>
        </w:rPr>
        <w:t>Changes would have to be made to the instrument panel area to add the requisite visual signal, but the proposed rule provides flexibility to manufacturers in providing the visual signal</w:t>
      </w:r>
      <w:r w:rsidR="001F2F92">
        <w:rPr>
          <w:rFonts w:eastAsia="Times New Roman" w:cs="Times New Roman"/>
          <w:szCs w:val="24"/>
        </w:rPr>
        <w:t xml:space="preserve">. </w:t>
      </w:r>
    </w:p>
    <w:p w14:paraId="5E3A4E5B" w14:textId="77777777" w:rsidR="001D6419" w:rsidRDefault="000F5B51" w:rsidP="003F10AD">
      <w:pPr>
        <w:spacing w:after="0"/>
        <w:rPr>
          <w:rFonts w:eastAsia="Times New Roman" w:cs="Times New Roman"/>
          <w:szCs w:val="24"/>
        </w:rPr>
      </w:pPr>
      <w:r w:rsidRPr="00E23D02">
        <w:rPr>
          <w:rFonts w:eastAsia="Times New Roman" w:cs="Times New Roman"/>
          <w:szCs w:val="24"/>
        </w:rPr>
        <w:t xml:space="preserve">We note also that the proposed certification test is a relatively simple test, involving a test technician placing a person or test dummy in a seat and checking if the </w:t>
      </w:r>
      <w:r w:rsidRPr="009221BB">
        <w:rPr>
          <w:rFonts w:eastAsia="Times New Roman" w:cs="Times New Roman"/>
          <w:szCs w:val="24"/>
        </w:rPr>
        <w:t>requisite signals activate</w:t>
      </w:r>
      <w:r w:rsidR="001F2F92">
        <w:rPr>
          <w:rFonts w:eastAsia="Times New Roman"/>
        </w:rPr>
        <w:t xml:space="preserve">. </w:t>
      </w:r>
      <w:r w:rsidRPr="001F6D11">
        <w:rPr>
          <w:rFonts w:eastAsia="Times New Roman" w:cs="Times New Roman"/>
          <w:szCs w:val="24"/>
        </w:rPr>
        <w:lastRenderedPageBreak/>
        <w:t>Checking to see if visual and audible warnings activate for the driver SBRS has been a part of FMVSS No. 208 compliance testing for many years</w:t>
      </w:r>
      <w:r w:rsidRPr="00E23D02">
        <w:rPr>
          <w:rFonts w:eastAsia="Times New Roman" w:cs="Times New Roman"/>
          <w:szCs w:val="24"/>
        </w:rPr>
        <w:t>, and manufacturers are knowledgeable about conducting it</w:t>
      </w:r>
      <w:r w:rsidR="001F2F92">
        <w:rPr>
          <w:rFonts w:eastAsia="Times New Roman" w:cs="Times New Roman"/>
          <w:szCs w:val="24"/>
        </w:rPr>
        <w:t xml:space="preserve">. </w:t>
      </w:r>
      <w:r w:rsidRPr="00E23D02">
        <w:rPr>
          <w:rFonts w:eastAsia="Times New Roman" w:cs="Times New Roman"/>
          <w:szCs w:val="24"/>
        </w:rPr>
        <w:t xml:space="preserve">  </w:t>
      </w:r>
    </w:p>
    <w:p w14:paraId="7DDCE6E6" w14:textId="77777777" w:rsidR="001D6419" w:rsidRPr="00A46477" w:rsidRDefault="000F5B51" w:rsidP="001D6419">
      <w:pPr>
        <w:spacing w:after="0"/>
        <w:rPr>
          <w:rFonts w:eastAsia="Times New Roman" w:cs="Times New Roman"/>
          <w:szCs w:val="24"/>
        </w:rPr>
      </w:pPr>
      <w:r w:rsidRPr="00A46477">
        <w:rPr>
          <w:rFonts w:eastAsia="Times New Roman" w:cs="Times New Roman"/>
          <w:szCs w:val="24"/>
        </w:rPr>
        <w:t xml:space="preserve">Thus, while there are a substantial number of multi-stage manufacturers </w:t>
      </w:r>
      <w:r>
        <w:rPr>
          <w:rFonts w:eastAsia="Times New Roman" w:cs="Times New Roman"/>
          <w:szCs w:val="24"/>
        </w:rPr>
        <w:t xml:space="preserve">and alterers that would be </w:t>
      </w:r>
      <w:r w:rsidRPr="00A46477">
        <w:rPr>
          <w:rFonts w:eastAsia="Times New Roman" w:cs="Times New Roman"/>
          <w:szCs w:val="24"/>
        </w:rPr>
        <w:t xml:space="preserve">impacted by the </w:t>
      </w:r>
      <w:r>
        <w:rPr>
          <w:rFonts w:eastAsia="Times New Roman" w:cs="Times New Roman"/>
          <w:szCs w:val="24"/>
        </w:rPr>
        <w:t xml:space="preserve">proposed </w:t>
      </w:r>
      <w:r w:rsidRPr="00A46477">
        <w:rPr>
          <w:rFonts w:eastAsia="Times New Roman" w:cs="Times New Roman"/>
          <w:szCs w:val="24"/>
        </w:rPr>
        <w:t>rule, we have reduced the impacts on those entities</w:t>
      </w:r>
      <w:r w:rsidR="001F2F92">
        <w:rPr>
          <w:rFonts w:eastAsia="Times New Roman" w:cs="Times New Roman"/>
          <w:szCs w:val="24"/>
        </w:rPr>
        <w:t xml:space="preserve">. </w:t>
      </w:r>
      <w:r w:rsidRPr="00A46477">
        <w:rPr>
          <w:rFonts w:eastAsia="Times New Roman" w:cs="Times New Roman"/>
          <w:szCs w:val="24"/>
        </w:rPr>
        <w:t xml:space="preserve">For the above reasons, this </w:t>
      </w:r>
      <w:r>
        <w:rPr>
          <w:rFonts w:eastAsia="Times New Roman" w:cs="Times New Roman"/>
          <w:szCs w:val="24"/>
        </w:rPr>
        <w:t xml:space="preserve">proposed </w:t>
      </w:r>
      <w:r w:rsidRPr="00A46477">
        <w:rPr>
          <w:rFonts w:eastAsia="Times New Roman" w:cs="Times New Roman"/>
          <w:szCs w:val="24"/>
        </w:rPr>
        <w:t xml:space="preserve">rule </w:t>
      </w:r>
      <w:r>
        <w:rPr>
          <w:rFonts w:eastAsia="Times New Roman" w:cs="Times New Roman"/>
          <w:szCs w:val="24"/>
        </w:rPr>
        <w:t xml:space="preserve">would </w:t>
      </w:r>
      <w:r w:rsidRPr="00A46477">
        <w:rPr>
          <w:rFonts w:eastAsia="Times New Roman" w:cs="Times New Roman"/>
          <w:szCs w:val="24"/>
        </w:rPr>
        <w:t>not have a significant impact on a substantial number of small entities</w:t>
      </w:r>
      <w:r w:rsidR="001F2F92">
        <w:rPr>
          <w:rFonts w:eastAsia="Times New Roman" w:cs="Times New Roman"/>
          <w:szCs w:val="24"/>
        </w:rPr>
        <w:t xml:space="preserve">. </w:t>
      </w:r>
      <w:r w:rsidRPr="00A46477">
        <w:rPr>
          <w:rFonts w:eastAsia="Times New Roman" w:cs="Times New Roman"/>
          <w:szCs w:val="24"/>
        </w:rPr>
        <w:t xml:space="preserve">                     </w:t>
      </w:r>
    </w:p>
    <w:p w14:paraId="1E9310B3" w14:textId="77777777" w:rsidR="001D6419" w:rsidRPr="00A46477" w:rsidRDefault="000F5B51" w:rsidP="001D6419">
      <w:pPr>
        <w:spacing w:after="0"/>
        <w:rPr>
          <w:rFonts w:eastAsia="Times New Roman" w:cs="Times New Roman"/>
          <w:szCs w:val="24"/>
        </w:rPr>
      </w:pPr>
      <w:r w:rsidRPr="00A17F8E">
        <w:rPr>
          <w:rFonts w:eastAsia="Times New Roman" w:cs="Times New Roman"/>
          <w:i/>
          <w:szCs w:val="24"/>
        </w:rPr>
        <w:t>(c)</w:t>
      </w:r>
      <w:r>
        <w:rPr>
          <w:rFonts w:eastAsia="Times New Roman" w:cs="Times New Roman"/>
          <w:i/>
          <w:szCs w:val="24"/>
        </w:rPr>
        <w:t>SBWS</w:t>
      </w:r>
      <w:r w:rsidRPr="00A17F8E">
        <w:rPr>
          <w:rFonts w:eastAsia="Times New Roman" w:cs="Times New Roman"/>
          <w:i/>
          <w:szCs w:val="24"/>
        </w:rPr>
        <w:t xml:space="preserve"> manufacturers:</w:t>
      </w:r>
      <w:r w:rsidRPr="00A46477">
        <w:rPr>
          <w:rFonts w:eastAsia="Times New Roman" w:cs="Times New Roman"/>
          <w:szCs w:val="24"/>
        </w:rPr>
        <w:t xml:space="preserve"> </w:t>
      </w:r>
      <w:r w:rsidRPr="00C311E4">
        <w:t xml:space="preserve"> </w:t>
      </w:r>
      <w:r w:rsidRPr="00C311E4">
        <w:rPr>
          <w:rFonts w:eastAsia="Times New Roman" w:cs="Times New Roman"/>
          <w:szCs w:val="24"/>
        </w:rPr>
        <w:t>The proposed rule would only indirectly affect these entities, so a Regulatory Flexibility Analysis is not required for these entities</w:t>
      </w:r>
      <w:r w:rsidR="001F2F92">
        <w:rPr>
          <w:rFonts w:eastAsia="Times New Roman" w:cs="Times New Roman"/>
          <w:szCs w:val="24"/>
        </w:rPr>
        <w:t xml:space="preserve">. </w:t>
      </w:r>
      <w:r w:rsidRPr="00C311E4">
        <w:rPr>
          <w:rFonts w:eastAsia="Times New Roman" w:cs="Times New Roman"/>
          <w:szCs w:val="24"/>
        </w:rPr>
        <w:t xml:space="preserve">In any event, </w:t>
      </w:r>
      <w:r>
        <w:rPr>
          <w:rFonts w:eastAsia="Times New Roman" w:cs="Times New Roman"/>
          <w:szCs w:val="24"/>
        </w:rPr>
        <w:t>t</w:t>
      </w:r>
      <w:r w:rsidRPr="00A46477">
        <w:rPr>
          <w:rFonts w:eastAsia="Times New Roman" w:cs="Times New Roman"/>
          <w:szCs w:val="24"/>
        </w:rPr>
        <w:t xml:space="preserve">he agency does not believe that there are </w:t>
      </w:r>
      <w:r>
        <w:rPr>
          <w:rFonts w:eastAsia="Times New Roman" w:cs="Times New Roman"/>
          <w:szCs w:val="24"/>
        </w:rPr>
        <w:t xml:space="preserve">a significant number of </w:t>
      </w:r>
      <w:r w:rsidRPr="00A46477">
        <w:rPr>
          <w:rFonts w:eastAsia="Times New Roman" w:cs="Times New Roman"/>
          <w:szCs w:val="24"/>
        </w:rPr>
        <w:t xml:space="preserve">small </w:t>
      </w:r>
      <w:r>
        <w:rPr>
          <w:rFonts w:eastAsia="Times New Roman" w:cs="Times New Roman"/>
          <w:szCs w:val="24"/>
        </w:rPr>
        <w:t>seat belt warning system and occupant</w:t>
      </w:r>
      <w:r w:rsidRPr="00A46477">
        <w:rPr>
          <w:rFonts w:eastAsia="Times New Roman" w:cs="Times New Roman"/>
          <w:szCs w:val="24"/>
        </w:rPr>
        <w:t xml:space="preserve"> sensor manufacturers</w:t>
      </w:r>
      <w:r w:rsidR="001F2F92">
        <w:rPr>
          <w:rFonts w:eastAsia="Times New Roman" w:cs="Times New Roman"/>
          <w:szCs w:val="24"/>
        </w:rPr>
        <w:t xml:space="preserve">. </w:t>
      </w:r>
      <w:r>
        <w:rPr>
          <w:rFonts w:eastAsia="Times New Roman" w:cs="Times New Roman"/>
          <w:szCs w:val="24"/>
        </w:rPr>
        <w:t>Even if there were, t</w:t>
      </w:r>
      <w:r w:rsidRPr="00A46477">
        <w:rPr>
          <w:rFonts w:eastAsia="Times New Roman" w:cs="Times New Roman"/>
          <w:szCs w:val="24"/>
        </w:rPr>
        <w:t xml:space="preserve">he </w:t>
      </w:r>
      <w:r>
        <w:rPr>
          <w:rFonts w:eastAsia="Times New Roman" w:cs="Times New Roman"/>
          <w:szCs w:val="24"/>
        </w:rPr>
        <w:t xml:space="preserve">proposed </w:t>
      </w:r>
      <w:r w:rsidRPr="00A46477">
        <w:rPr>
          <w:rFonts w:eastAsia="Times New Roman" w:cs="Times New Roman"/>
          <w:szCs w:val="24"/>
        </w:rPr>
        <w:t>rule is expected to have a positive impact on their business.</w:t>
      </w:r>
    </w:p>
    <w:p w14:paraId="0AF46258" w14:textId="77777777" w:rsidR="001D6419" w:rsidRPr="00A46477" w:rsidRDefault="000F5B51" w:rsidP="001D6419">
      <w:pPr>
        <w:spacing w:after="0"/>
        <w:rPr>
          <w:rFonts w:eastAsia="Times New Roman" w:cs="Times New Roman"/>
          <w:szCs w:val="24"/>
          <w:u w:val="single"/>
        </w:rPr>
      </w:pPr>
      <w:r w:rsidRPr="00A46477">
        <w:rPr>
          <w:rFonts w:eastAsia="Times New Roman" w:cs="Times New Roman"/>
          <w:szCs w:val="24"/>
          <w:u w:val="single"/>
        </w:rPr>
        <w:t xml:space="preserve">5. An identification, to the extent practicable, of all relevant Federal rules which may duplicate, overlap, or conflict with the final rule  </w:t>
      </w:r>
    </w:p>
    <w:p w14:paraId="5C6D901A" w14:textId="77777777" w:rsidR="001D6419" w:rsidRPr="00A46477" w:rsidRDefault="000F5B51" w:rsidP="001D6419">
      <w:pPr>
        <w:spacing w:after="0"/>
        <w:rPr>
          <w:rFonts w:eastAsia="Times New Roman" w:cs="Times New Roman"/>
          <w:szCs w:val="24"/>
        </w:rPr>
      </w:pPr>
      <w:r w:rsidRPr="00A46477">
        <w:rPr>
          <w:rFonts w:eastAsia="Times New Roman" w:cs="Times New Roman"/>
          <w:szCs w:val="24"/>
        </w:rPr>
        <w:t>We know of no Federal rules which duplicate, overlap, or conflict with the final rule.</w:t>
      </w:r>
    </w:p>
    <w:p w14:paraId="723E0FE2" w14:textId="77777777" w:rsidR="001D6419" w:rsidRPr="00AE497B" w:rsidRDefault="000F5B51" w:rsidP="001D6419">
      <w:pPr>
        <w:spacing w:after="0"/>
        <w:rPr>
          <w:rFonts w:eastAsia="Times New Roman" w:cs="Times New Roman"/>
          <w:szCs w:val="24"/>
          <w:u w:val="single"/>
        </w:rPr>
      </w:pPr>
      <w:r w:rsidRPr="00AE497B">
        <w:rPr>
          <w:rFonts w:eastAsia="Times New Roman" w:cs="Times New Roman"/>
          <w:szCs w:val="24"/>
          <w:u w:val="single"/>
        </w:rPr>
        <w:t>6. A description of any significant alternatives to the final rule which accomplish the stated objectives of applicable statutes and which minimize any significant economic impact of the final rule on small entities.</w:t>
      </w:r>
    </w:p>
    <w:p w14:paraId="51F43428" w14:textId="77777777" w:rsidR="001D6419" w:rsidRPr="00B86E63" w:rsidRDefault="000F5B51" w:rsidP="001D6419">
      <w:pPr>
        <w:spacing w:after="0"/>
        <w:rPr>
          <w:rFonts w:eastAsia="Times New Roman" w:cs="Times New Roman"/>
          <w:szCs w:val="24"/>
        </w:rPr>
      </w:pPr>
      <w:r w:rsidRPr="00B86E63">
        <w:rPr>
          <w:rFonts w:eastAsia="Times New Roman" w:cs="Times New Roman"/>
          <w:szCs w:val="24"/>
        </w:rPr>
        <w:t>The proposed rule provides several compliance options (alternatives) to manufacturers, including small entities</w:t>
      </w:r>
      <w:r w:rsidR="001F2F92">
        <w:rPr>
          <w:rFonts w:eastAsia="Times New Roman" w:cs="Times New Roman"/>
          <w:szCs w:val="24"/>
        </w:rPr>
        <w:t xml:space="preserve">. </w:t>
      </w:r>
      <w:r w:rsidRPr="00B86E63">
        <w:rPr>
          <w:rFonts w:eastAsia="Times New Roman" w:cs="Times New Roman"/>
          <w:szCs w:val="24"/>
        </w:rPr>
        <w:t>This flexibility reduces the economic impact of the proposal on small entities</w:t>
      </w:r>
      <w:r w:rsidR="001F2F92">
        <w:rPr>
          <w:rFonts w:eastAsia="Times New Roman" w:cs="Times New Roman"/>
          <w:szCs w:val="24"/>
        </w:rPr>
        <w:t xml:space="preserve">. </w:t>
      </w:r>
      <w:r w:rsidRPr="00B86E63">
        <w:rPr>
          <w:rFonts w:eastAsia="Times New Roman" w:cs="Times New Roman"/>
          <w:szCs w:val="24"/>
        </w:rPr>
        <w:t>The proposed rule provides a compliance alternative that can be met without the use of occupant detection in the rear seats</w:t>
      </w:r>
      <w:r w:rsidR="001F2F92">
        <w:rPr>
          <w:rFonts w:eastAsia="Times New Roman" w:cs="Times New Roman"/>
          <w:szCs w:val="24"/>
        </w:rPr>
        <w:t xml:space="preserve">. </w:t>
      </w:r>
      <w:r w:rsidRPr="00B86E63">
        <w:rPr>
          <w:rFonts w:eastAsia="Times New Roman" w:cs="Times New Roman"/>
          <w:szCs w:val="24"/>
        </w:rPr>
        <w:t xml:space="preserve">Occupant detection technology in rear seats is advanced over the </w:t>
      </w:r>
      <w:r w:rsidRPr="00B86E63">
        <w:rPr>
          <w:rFonts w:eastAsia="Times New Roman" w:cs="Times New Roman"/>
          <w:szCs w:val="24"/>
        </w:rPr>
        <w:lastRenderedPageBreak/>
        <w:t xml:space="preserve">existing technology in wide use </w:t>
      </w:r>
      <w:r w:rsidR="00346EED" w:rsidRPr="00B86E63">
        <w:rPr>
          <w:rFonts w:eastAsia="Times New Roman" w:cs="Times New Roman"/>
          <w:szCs w:val="24"/>
        </w:rPr>
        <w:t>today and</w:t>
      </w:r>
      <w:r w:rsidRPr="00B86E63">
        <w:rPr>
          <w:rFonts w:eastAsia="Times New Roman" w:cs="Times New Roman"/>
          <w:szCs w:val="24"/>
        </w:rPr>
        <w:t xml:space="preserve"> could be challenging for manufacturers to implement at this time, especially small entities</w:t>
      </w:r>
      <w:r w:rsidR="001F2F92">
        <w:rPr>
          <w:rFonts w:eastAsia="Times New Roman" w:cs="Times New Roman"/>
          <w:szCs w:val="24"/>
        </w:rPr>
        <w:t xml:space="preserve">. </w:t>
      </w:r>
    </w:p>
    <w:p w14:paraId="2081C178" w14:textId="77777777" w:rsidR="001D6419" w:rsidRPr="00B86E63" w:rsidRDefault="000F5B51" w:rsidP="003F10AD">
      <w:pPr>
        <w:spacing w:after="0"/>
        <w:rPr>
          <w:rFonts w:eastAsia="Times New Roman" w:cs="Times New Roman"/>
          <w:szCs w:val="24"/>
        </w:rPr>
      </w:pPr>
      <w:r w:rsidRPr="00B86E63">
        <w:rPr>
          <w:rFonts w:eastAsia="Times New Roman" w:cs="Times New Roman"/>
          <w:szCs w:val="24"/>
        </w:rPr>
        <w:t>NHTSA also designed the proposed rule to provide an alternative lead time to manufacturers of vehicles built in two or more stages (multi-stage manufacturers) and alterers</w:t>
      </w:r>
      <w:r w:rsidR="001F2F92">
        <w:rPr>
          <w:rFonts w:eastAsia="Times New Roman" w:cs="Times New Roman"/>
          <w:szCs w:val="24"/>
        </w:rPr>
        <w:t xml:space="preserve">. </w:t>
      </w:r>
      <w:r w:rsidRPr="00B86E63">
        <w:rPr>
          <w:rFonts w:eastAsia="Times New Roman" w:cs="Times New Roman"/>
          <w:szCs w:val="24"/>
        </w:rPr>
        <w:t>It provides an additional year of lead time for manufacturers to certify the compliance of their vehicles</w:t>
      </w:r>
      <w:r w:rsidR="001F2F92">
        <w:rPr>
          <w:rFonts w:eastAsia="Times New Roman" w:cs="Times New Roman"/>
          <w:szCs w:val="24"/>
        </w:rPr>
        <w:t xml:space="preserve">. </w:t>
      </w:r>
      <w:r w:rsidRPr="00B86E63">
        <w:rPr>
          <w:rFonts w:eastAsia="Times New Roman" w:cs="Times New Roman"/>
          <w:szCs w:val="24"/>
        </w:rPr>
        <w:t>(49 CFR 571.8(b).)  This additional year provides small multi-stage manufacturers flexibility and ample time--a total of three years from publication of a final rule--to work with seat manufacturers and/or incomplete vehicle manufacturers (both of which are large entities), or to undertake the evaluation themselves, to make the necessary assessments to acquire a basis for certifying their vehicles’ compliance</w:t>
      </w:r>
      <w:r w:rsidR="001F2F92">
        <w:rPr>
          <w:rFonts w:eastAsia="Times New Roman" w:cs="Times New Roman"/>
          <w:szCs w:val="24"/>
        </w:rPr>
        <w:t xml:space="preserve">. </w:t>
      </w:r>
    </w:p>
    <w:p w14:paraId="2CE7D164" w14:textId="77777777" w:rsidR="001D6419" w:rsidRDefault="000F5B51" w:rsidP="003F10AD">
      <w:pPr>
        <w:rPr>
          <w:rFonts w:eastAsia="Times New Roman" w:cs="Times New Roman"/>
          <w:b/>
          <w:bCs/>
          <w:smallCaps/>
          <w:sz w:val="28"/>
          <w:szCs w:val="20"/>
        </w:rPr>
      </w:pPr>
      <w:r w:rsidRPr="00B86E63">
        <w:rPr>
          <w:rFonts w:eastAsia="Times New Roman" w:cs="Times New Roman"/>
          <w:szCs w:val="24"/>
        </w:rPr>
        <w:t>There are no other significant alternatives to the proposed rule which accomplish all the objectives of the rulemaking while minimizing the impact on small entities.</w:t>
      </w:r>
    </w:p>
    <w:p w14:paraId="5458B707" w14:textId="77777777" w:rsidR="001D6419" w:rsidRDefault="000F5B51" w:rsidP="003F10AD">
      <w:pPr>
        <w:pStyle w:val="Heading2"/>
        <w:spacing w:line="240" w:lineRule="auto"/>
      </w:pPr>
      <w:bookmarkStart w:id="1988" w:name="_Toc142903011"/>
      <w:r>
        <w:t>Unfunded Mandates Reform Act</w:t>
      </w:r>
      <w:bookmarkEnd w:id="1988"/>
    </w:p>
    <w:p w14:paraId="6A726F3E" w14:textId="368398CF" w:rsidR="001D6419" w:rsidRPr="00A46477" w:rsidRDefault="000F5B51" w:rsidP="003F10AD">
      <w:pPr>
        <w:spacing w:after="0"/>
        <w:rPr>
          <w:rFonts w:eastAsia="Times New Roman" w:cs="Times New Roman"/>
          <w:szCs w:val="24"/>
        </w:rPr>
      </w:pPr>
      <w:r w:rsidRPr="00A46477">
        <w:rPr>
          <w:rFonts w:eastAsia="Times New Roman" w:cs="Times New Roman"/>
          <w:szCs w:val="24"/>
        </w:rPr>
        <w:t xml:space="preserve">The Unfunded Mandates Reform Act of 1995 (Public Law 104-4) </w:t>
      </w:r>
      <w:r>
        <w:rPr>
          <w:rFonts w:eastAsia="Times New Roman" w:cs="Times New Roman"/>
          <w:szCs w:val="24"/>
        </w:rPr>
        <w:t xml:space="preserve">(UMRA) </w:t>
      </w:r>
      <w:r w:rsidRPr="00A46477">
        <w:rPr>
          <w:rFonts w:eastAsia="Times New Roman" w:cs="Times New Roman"/>
          <w:szCs w:val="24"/>
        </w:rPr>
        <w:t xml:space="preserve">requires agencies to prepare a written assessment of the costs, benefits, and other effects of proposed or final rules that include a Federal mandate likely to result in the expenditures by States, local or tribal governments, in the aggregate, or by the private sector, of $100 million </w:t>
      </w:r>
      <w:r w:rsidR="003B7B35">
        <w:rPr>
          <w:rFonts w:eastAsia="Times New Roman" w:cs="Times New Roman"/>
          <w:szCs w:val="24"/>
        </w:rPr>
        <w:t xml:space="preserve">or </w:t>
      </w:r>
      <w:r w:rsidR="003B7B35" w:rsidRPr="00A46477">
        <w:rPr>
          <w:rFonts w:eastAsia="Times New Roman" w:cs="Times New Roman"/>
          <w:szCs w:val="24"/>
        </w:rPr>
        <w:t xml:space="preserve">more </w:t>
      </w:r>
      <w:r w:rsidRPr="00A46477">
        <w:rPr>
          <w:rFonts w:eastAsia="Times New Roman" w:cs="Times New Roman"/>
          <w:szCs w:val="24"/>
        </w:rPr>
        <w:t>(adjusted annually for inflation with base year of 1995)</w:t>
      </w:r>
      <w:r w:rsidR="003B7B35">
        <w:rPr>
          <w:rFonts w:eastAsia="Times New Roman" w:cs="Times New Roman"/>
          <w:szCs w:val="24"/>
        </w:rPr>
        <w:t xml:space="preserve"> in any one year</w:t>
      </w:r>
      <w:r w:rsidR="001F2F92">
        <w:rPr>
          <w:rFonts w:eastAsia="Times New Roman" w:cs="Times New Roman"/>
          <w:szCs w:val="24"/>
        </w:rPr>
        <w:t xml:space="preserve">. </w:t>
      </w:r>
      <w:r w:rsidRPr="00A46477">
        <w:rPr>
          <w:rFonts w:eastAsia="Times New Roman" w:cs="Times New Roman"/>
          <w:szCs w:val="24"/>
        </w:rPr>
        <w:t>Adjusting this amount by the implicit gross domestic product price deflator for the 20</w:t>
      </w:r>
      <w:r w:rsidR="00C50D46">
        <w:rPr>
          <w:rFonts w:eastAsia="Times New Roman" w:cs="Times New Roman"/>
          <w:szCs w:val="24"/>
        </w:rPr>
        <w:t>22</w:t>
      </w:r>
      <w:r w:rsidRPr="00A46477">
        <w:rPr>
          <w:rFonts w:eastAsia="Times New Roman" w:cs="Times New Roman"/>
          <w:szCs w:val="24"/>
        </w:rPr>
        <w:t xml:space="preserve"> results in $1</w:t>
      </w:r>
      <w:r w:rsidR="00C50D46">
        <w:rPr>
          <w:rFonts w:eastAsia="Times New Roman" w:cs="Times New Roman"/>
          <w:szCs w:val="24"/>
        </w:rPr>
        <w:t>77</w:t>
      </w:r>
      <w:r w:rsidRPr="00A46477">
        <w:rPr>
          <w:rFonts w:eastAsia="Times New Roman" w:cs="Times New Roman"/>
          <w:szCs w:val="24"/>
        </w:rPr>
        <w:t xml:space="preserve"> million</w:t>
      </w:r>
      <w:r w:rsidR="001F2F92">
        <w:rPr>
          <w:rFonts w:eastAsia="Times New Roman" w:cs="Times New Roman"/>
          <w:szCs w:val="24"/>
        </w:rPr>
        <w:t xml:space="preserve">. </w:t>
      </w:r>
      <w:r w:rsidRPr="00A46477">
        <w:rPr>
          <w:rFonts w:eastAsia="Times New Roman" w:cs="Times New Roman"/>
          <w:szCs w:val="24"/>
        </w:rPr>
        <w:t>The assessment may be included in conjunction with other assessments, as it is here.</w:t>
      </w:r>
    </w:p>
    <w:p w14:paraId="43228659" w14:textId="1E0EB900" w:rsidR="001D6419" w:rsidRPr="00B86E63" w:rsidRDefault="000F5B51" w:rsidP="003F10AD">
      <w:pPr>
        <w:spacing w:after="0"/>
        <w:contextualSpacing/>
        <w:rPr>
          <w:rFonts w:eastAsia="Times New Roman" w:cs="Times New Roman"/>
          <w:szCs w:val="24"/>
        </w:rPr>
      </w:pPr>
      <w:r w:rsidRPr="00B86E63">
        <w:rPr>
          <w:rFonts w:eastAsia="Times New Roman" w:cs="Times New Roman"/>
          <w:szCs w:val="24"/>
        </w:rPr>
        <w:t>The proposed rule on SBRS is not likely to result in expenditures by State, local or tribal governments of more than $100 million annually</w:t>
      </w:r>
      <w:r w:rsidR="001F2F92">
        <w:rPr>
          <w:rFonts w:eastAsia="Times New Roman" w:cs="Times New Roman"/>
          <w:szCs w:val="24"/>
        </w:rPr>
        <w:t xml:space="preserve">. </w:t>
      </w:r>
      <w:r w:rsidRPr="00B86E63">
        <w:rPr>
          <w:rFonts w:eastAsia="Times New Roman" w:cs="Times New Roman"/>
          <w:szCs w:val="24"/>
        </w:rPr>
        <w:t xml:space="preserve">However, it is estimated to result in the expenditure by automobile manufacturers and/or their suppliers </w:t>
      </w:r>
      <w:r w:rsidR="00ED1813">
        <w:rPr>
          <w:rFonts w:eastAsia="Times New Roman" w:cs="Times New Roman"/>
          <w:szCs w:val="24"/>
        </w:rPr>
        <w:t xml:space="preserve"> by approximately</w:t>
      </w:r>
      <w:r w:rsidRPr="00B86E63">
        <w:rPr>
          <w:rFonts w:eastAsia="Times New Roman" w:cs="Times New Roman"/>
          <w:szCs w:val="24"/>
        </w:rPr>
        <w:t>$</w:t>
      </w:r>
      <w:r w:rsidRPr="00CE2168">
        <w:rPr>
          <w:rFonts w:eastAsia="Times New Roman" w:cs="Times New Roman"/>
          <w:szCs w:val="24"/>
        </w:rPr>
        <w:t>1</w:t>
      </w:r>
      <w:r w:rsidR="00AA0943">
        <w:rPr>
          <w:rFonts w:eastAsia="Times New Roman" w:cs="Times New Roman"/>
          <w:szCs w:val="24"/>
        </w:rPr>
        <w:t>68</w:t>
      </w:r>
      <w:r w:rsidRPr="00B86E63">
        <w:rPr>
          <w:rFonts w:eastAsia="Times New Roman" w:cs="Times New Roman"/>
          <w:szCs w:val="24"/>
        </w:rPr>
        <w:t xml:space="preserve"> million annually</w:t>
      </w:r>
      <w:r w:rsidR="001F2F92">
        <w:rPr>
          <w:rFonts w:eastAsia="Times New Roman" w:cs="Times New Roman"/>
          <w:szCs w:val="24"/>
        </w:rPr>
        <w:t xml:space="preserve">. </w:t>
      </w:r>
      <w:r w:rsidRPr="00B86E63">
        <w:rPr>
          <w:rFonts w:eastAsia="Times New Roman" w:cs="Times New Roman"/>
          <w:szCs w:val="24"/>
        </w:rPr>
        <w:t>The estimated costs have been discussed in this P</w:t>
      </w:r>
      <w:r>
        <w:rPr>
          <w:rFonts w:eastAsia="Times New Roman" w:cs="Times New Roman"/>
          <w:szCs w:val="24"/>
        </w:rPr>
        <w:t>RIA</w:t>
      </w:r>
      <w:r w:rsidR="001F2F92">
        <w:rPr>
          <w:rFonts w:eastAsia="Times New Roman" w:cs="Times New Roman"/>
          <w:szCs w:val="24"/>
        </w:rPr>
        <w:t xml:space="preserve">. </w:t>
      </w:r>
    </w:p>
    <w:p w14:paraId="1E88E298" w14:textId="77777777" w:rsidR="001D6419" w:rsidRPr="00B86E63" w:rsidRDefault="000F5B51" w:rsidP="003F10AD">
      <w:pPr>
        <w:spacing w:after="0"/>
        <w:contextualSpacing/>
        <w:rPr>
          <w:rFonts w:cs="Times New Roman"/>
          <w:szCs w:val="24"/>
        </w:rPr>
      </w:pPr>
      <w:r w:rsidRPr="00B86E63">
        <w:rPr>
          <w:rFonts w:eastAsia="Times New Roman" w:cs="Times New Roman"/>
          <w:szCs w:val="24"/>
        </w:rPr>
        <w:lastRenderedPageBreak/>
        <w:t>The U</w:t>
      </w:r>
      <w:r>
        <w:rPr>
          <w:rFonts w:eastAsia="Times New Roman" w:cs="Times New Roman"/>
          <w:szCs w:val="24"/>
        </w:rPr>
        <w:t xml:space="preserve">MRA </w:t>
      </w:r>
      <w:r w:rsidRPr="00B86E63">
        <w:rPr>
          <w:rFonts w:eastAsia="Times New Roman" w:cs="Times New Roman"/>
          <w:szCs w:val="24"/>
        </w:rPr>
        <w:t>requires the agency to select the “least costly, most cost-effective or least burdensome alternative that achieves the objectives of the rule.”  As discussed below, the agency considered alternatives to the proposed rule</w:t>
      </w:r>
      <w:r w:rsidR="001F2F92">
        <w:rPr>
          <w:rFonts w:eastAsia="Times New Roman" w:cs="Times New Roman"/>
          <w:szCs w:val="24"/>
        </w:rPr>
        <w:t xml:space="preserve">. </w:t>
      </w:r>
      <w:r w:rsidRPr="00B86E63">
        <w:rPr>
          <w:rFonts w:eastAsia="Times New Roman" w:cs="Times New Roman"/>
          <w:szCs w:val="24"/>
        </w:rPr>
        <w:t xml:space="preserve">None of the alternatives is preferable to the selected alternative proposed by the NPRM. </w:t>
      </w:r>
      <w:r>
        <w:rPr>
          <w:rFonts w:eastAsia="Times New Roman" w:cs="Times New Roman"/>
          <w:szCs w:val="24"/>
        </w:rPr>
        <w:t>See the Alternatives Chapter (VI) for details regarding every alternative considered</w:t>
      </w:r>
      <w:r w:rsidR="001F2F92">
        <w:rPr>
          <w:rFonts w:eastAsia="Times New Roman" w:cs="Times New Roman"/>
          <w:szCs w:val="24"/>
        </w:rPr>
        <w:t xml:space="preserve">. </w:t>
      </w:r>
    </w:p>
    <w:p w14:paraId="0469A808" w14:textId="77777777" w:rsidR="006244C6" w:rsidRDefault="000F5B51">
      <w:pPr>
        <w:spacing w:line="259" w:lineRule="auto"/>
        <w:rPr>
          <w:rFonts w:asciiTheme="majorHAnsi" w:eastAsiaTheme="majorEastAsia" w:hAnsiTheme="majorHAnsi" w:cstheme="majorBidi"/>
          <w:color w:val="2F5496" w:themeColor="accent1" w:themeShade="BF"/>
          <w:sz w:val="32"/>
          <w:szCs w:val="32"/>
          <w:highlight w:val="lightGray"/>
        </w:rPr>
      </w:pPr>
      <w:bookmarkStart w:id="1989" w:name="_Toc427930334"/>
      <w:bookmarkEnd w:id="1989"/>
      <w:r>
        <w:rPr>
          <w:highlight w:val="lightGray"/>
        </w:rPr>
        <w:br w:type="page"/>
      </w:r>
    </w:p>
    <w:p w14:paraId="645FE0F8" w14:textId="77777777" w:rsidR="005B15EC" w:rsidRDefault="000F5B51" w:rsidP="003F10AD">
      <w:pPr>
        <w:pStyle w:val="Heading1"/>
        <w:spacing w:line="240" w:lineRule="auto"/>
      </w:pPr>
      <w:bookmarkStart w:id="1990" w:name="_Toc127268959"/>
      <w:bookmarkStart w:id="1991" w:name="_Toc142903012"/>
      <w:bookmarkStart w:id="1992" w:name="_Ref126230894"/>
      <w:bookmarkEnd w:id="1990"/>
      <w:r>
        <w:lastRenderedPageBreak/>
        <w:t>Appendix</w:t>
      </w:r>
      <w:bookmarkEnd w:id="1991"/>
    </w:p>
    <w:p w14:paraId="4D466E6C" w14:textId="77777777" w:rsidR="005057C4" w:rsidRDefault="000F5B51" w:rsidP="005B15EC">
      <w:pPr>
        <w:pStyle w:val="Heading2"/>
        <w:spacing w:line="240" w:lineRule="auto"/>
      </w:pPr>
      <w:bookmarkStart w:id="1993" w:name="_Ref127515607"/>
      <w:bookmarkStart w:id="1994" w:name="_Toc142903013"/>
      <w:r>
        <w:t>Appendix A</w:t>
      </w:r>
      <w:bookmarkEnd w:id="1993"/>
      <w:bookmarkEnd w:id="1994"/>
    </w:p>
    <w:p w14:paraId="22070765" w14:textId="77777777" w:rsidR="00BC757F" w:rsidRPr="00BC757F" w:rsidRDefault="00BC757F" w:rsidP="00BC757F">
      <w:pPr>
        <w:pStyle w:val="NoSpaceTimes"/>
      </w:pPr>
    </w:p>
    <w:bookmarkEnd w:id="1992"/>
    <w:p w14:paraId="02B35F39" w14:textId="10CDC67F" w:rsidR="001E65EA" w:rsidRDefault="000F5B51" w:rsidP="001E65EA">
      <w:pPr>
        <w:spacing w:after="0"/>
      </w:pPr>
      <w:r>
        <w:rPr>
          <w:rFonts w:eastAsia="Times New Roman" w:cs="Times New Roman"/>
          <w:szCs w:val="24"/>
        </w:rPr>
        <w:fldChar w:fldCharType="begin"/>
      </w:r>
      <w:r>
        <w:rPr>
          <w:rFonts w:eastAsia="Times New Roman" w:cs="Times New Roman"/>
          <w:szCs w:val="24"/>
        </w:rPr>
        <w:instrText xml:space="preserve"> REF _Ref127515554 \h </w:instrText>
      </w:r>
      <w:r>
        <w:rPr>
          <w:rFonts w:eastAsia="Times New Roman" w:cs="Times New Roman"/>
          <w:szCs w:val="24"/>
        </w:rPr>
      </w:r>
      <w:r>
        <w:rPr>
          <w:rFonts w:eastAsia="Times New Roman" w:cs="Times New Roman"/>
          <w:szCs w:val="24"/>
        </w:rPr>
        <w:fldChar w:fldCharType="separate"/>
      </w:r>
      <w:r w:rsidR="00A65CB3">
        <w:t xml:space="preserve">Table </w:t>
      </w:r>
      <w:r w:rsidR="00A65CB3">
        <w:rPr>
          <w:noProof/>
        </w:rPr>
        <w:t>102</w:t>
      </w:r>
      <w:r>
        <w:rPr>
          <w:rFonts w:eastAsia="Times New Roman" w:cs="Times New Roman"/>
          <w:szCs w:val="24"/>
        </w:rPr>
        <w:fldChar w:fldCharType="end"/>
      </w:r>
      <w:r>
        <w:rPr>
          <w:rFonts w:eastAsia="Times New Roman" w:cs="Times New Roman"/>
          <w:szCs w:val="24"/>
        </w:rPr>
        <w:t xml:space="preserve"> and </w:t>
      </w:r>
      <w:r w:rsidR="006244C6">
        <w:rPr>
          <w:rFonts w:eastAsia="Times New Roman" w:cs="Times New Roman"/>
          <w:szCs w:val="24"/>
        </w:rPr>
        <w:fldChar w:fldCharType="begin"/>
      </w:r>
      <w:r w:rsidR="006244C6">
        <w:rPr>
          <w:rFonts w:eastAsia="Times New Roman" w:cs="Times New Roman"/>
          <w:szCs w:val="24"/>
        </w:rPr>
        <w:instrText xml:space="preserve"> REF _Ref126239787 \h </w:instrText>
      </w:r>
      <w:r w:rsidR="006244C6">
        <w:rPr>
          <w:rFonts w:eastAsia="Times New Roman" w:cs="Times New Roman"/>
          <w:szCs w:val="24"/>
        </w:rPr>
      </w:r>
      <w:r w:rsidR="006244C6">
        <w:rPr>
          <w:rFonts w:eastAsia="Times New Roman" w:cs="Times New Roman"/>
          <w:szCs w:val="24"/>
        </w:rPr>
        <w:fldChar w:fldCharType="separate"/>
      </w:r>
      <w:r w:rsidR="00A65CB3">
        <w:t xml:space="preserve">Table </w:t>
      </w:r>
      <w:r w:rsidR="00A65CB3">
        <w:rPr>
          <w:noProof/>
        </w:rPr>
        <w:t>103</w:t>
      </w:r>
      <w:r w:rsidR="006244C6">
        <w:rPr>
          <w:rFonts w:eastAsia="Times New Roman" w:cs="Times New Roman"/>
          <w:szCs w:val="24"/>
        </w:rPr>
        <w:fldChar w:fldCharType="end"/>
      </w:r>
      <w:r>
        <w:rPr>
          <w:rFonts w:eastAsia="Times New Roman" w:cs="Times New Roman"/>
          <w:szCs w:val="24"/>
        </w:rPr>
        <w:t xml:space="preserve"> present the s</w:t>
      </w:r>
      <w:r w:rsidRPr="00606F60">
        <w:rPr>
          <w:rFonts w:eastAsia="Times New Roman" w:cs="Times New Roman"/>
          <w:szCs w:val="24"/>
        </w:rPr>
        <w:t xml:space="preserve">urvival </w:t>
      </w:r>
      <w:r>
        <w:rPr>
          <w:rFonts w:eastAsia="Times New Roman" w:cs="Times New Roman"/>
          <w:szCs w:val="24"/>
        </w:rPr>
        <w:t>r</w:t>
      </w:r>
      <w:r w:rsidRPr="00606F60">
        <w:rPr>
          <w:rFonts w:eastAsia="Times New Roman" w:cs="Times New Roman"/>
          <w:szCs w:val="24"/>
        </w:rPr>
        <w:t xml:space="preserve">ates and </w:t>
      </w:r>
      <w:r>
        <w:rPr>
          <w:rFonts w:eastAsia="Times New Roman" w:cs="Times New Roman"/>
          <w:szCs w:val="24"/>
        </w:rPr>
        <w:t>v</w:t>
      </w:r>
      <w:r w:rsidRPr="00606F60">
        <w:rPr>
          <w:rFonts w:eastAsia="Times New Roman" w:cs="Times New Roman"/>
          <w:szCs w:val="24"/>
        </w:rPr>
        <w:t xml:space="preserve">ehicle </w:t>
      </w:r>
      <w:r>
        <w:rPr>
          <w:rFonts w:eastAsia="Times New Roman" w:cs="Times New Roman"/>
          <w:szCs w:val="24"/>
        </w:rPr>
        <w:t>m</w:t>
      </w:r>
      <w:r w:rsidRPr="00606F60">
        <w:rPr>
          <w:rFonts w:eastAsia="Times New Roman" w:cs="Times New Roman"/>
          <w:szCs w:val="24"/>
        </w:rPr>
        <w:t xml:space="preserve">iles </w:t>
      </w:r>
      <w:r>
        <w:rPr>
          <w:rFonts w:eastAsia="Times New Roman" w:cs="Times New Roman"/>
          <w:szCs w:val="24"/>
        </w:rPr>
        <w:t>t</w:t>
      </w:r>
      <w:r w:rsidRPr="00606F60">
        <w:rPr>
          <w:rFonts w:eastAsia="Times New Roman" w:cs="Times New Roman"/>
          <w:szCs w:val="24"/>
        </w:rPr>
        <w:t xml:space="preserve">raveled (VMT) by </w:t>
      </w:r>
      <w:r>
        <w:rPr>
          <w:rFonts w:eastAsia="Times New Roman" w:cs="Times New Roman"/>
          <w:szCs w:val="24"/>
        </w:rPr>
        <w:t>v</w:t>
      </w:r>
      <w:r w:rsidRPr="00606F60">
        <w:rPr>
          <w:rFonts w:eastAsia="Times New Roman" w:cs="Times New Roman"/>
          <w:szCs w:val="24"/>
        </w:rPr>
        <w:t xml:space="preserve">ehicle </w:t>
      </w:r>
      <w:r>
        <w:rPr>
          <w:rFonts w:eastAsia="Times New Roman" w:cs="Times New Roman"/>
          <w:szCs w:val="24"/>
        </w:rPr>
        <w:t>a</w:t>
      </w:r>
      <w:r w:rsidRPr="00606F60">
        <w:rPr>
          <w:rFonts w:eastAsia="Times New Roman" w:cs="Times New Roman"/>
          <w:szCs w:val="24"/>
        </w:rPr>
        <w:t xml:space="preserve">ge for </w:t>
      </w:r>
      <w:r>
        <w:rPr>
          <w:rFonts w:eastAsia="Times New Roman" w:cs="Times New Roman"/>
          <w:szCs w:val="24"/>
        </w:rPr>
        <w:t xml:space="preserve">PC and LTVs, respectively. </w:t>
      </w:r>
      <w:r>
        <w:t xml:space="preserve">For the ESC adjustment, we </w:t>
      </w:r>
      <w:r w:rsidRPr="00ED02D8">
        <w:t>use</w:t>
      </w:r>
      <w:r>
        <w:t>d</w:t>
      </w:r>
      <w:r w:rsidRPr="00ED02D8">
        <w:t xml:space="preserve"> the estimate of the survival fraction (proportion) of vehicles of a given age that are still on the road as a function of the vehicle’s age</w:t>
      </w:r>
      <w:r>
        <w:t>.</w:t>
      </w:r>
    </w:p>
    <w:p w14:paraId="3658C3A8" w14:textId="77777777" w:rsidR="001E65EA" w:rsidRDefault="000F5B51" w:rsidP="001E65EA">
      <w:pPr>
        <w:rPr>
          <w:rFonts w:eastAsia="Times New Roman" w:cs="Times New Roman"/>
          <w:szCs w:val="24"/>
        </w:rPr>
      </w:pPr>
      <w:r>
        <w:t>Note that t</w:t>
      </w:r>
      <w:r>
        <w:rPr>
          <w:rFonts w:eastAsia="Times New Roman" w:cs="Times New Roman"/>
          <w:szCs w:val="24"/>
        </w:rPr>
        <w:t>here are two major components affecting the number of vehicles on the road: vehicle survivability and travel mileage schedule</w:t>
      </w:r>
      <w:r w:rsidR="001F2F92">
        <w:rPr>
          <w:rFonts w:eastAsia="Times New Roman" w:cs="Times New Roman"/>
          <w:szCs w:val="24"/>
        </w:rPr>
        <w:t xml:space="preserve">. </w:t>
      </w:r>
      <w:r>
        <w:rPr>
          <w:rFonts w:eastAsia="Times New Roman" w:cs="Times New Roman"/>
          <w:szCs w:val="24"/>
        </w:rPr>
        <w:t>For the ESC adjustment, the travel mileage schedule or VMT, as a proxy for crash exposure, is already reflected in the target crash data</w:t>
      </w:r>
      <w:r w:rsidR="001F2F92">
        <w:rPr>
          <w:rFonts w:eastAsia="Times New Roman" w:cs="Times New Roman"/>
          <w:szCs w:val="24"/>
        </w:rPr>
        <w:t xml:space="preserve">. </w:t>
      </w:r>
    </w:p>
    <w:p w14:paraId="0656D57C" w14:textId="77777777" w:rsidR="001E65EA" w:rsidRPr="00664F73" w:rsidRDefault="000F5B51" w:rsidP="001E65EA">
      <w:pPr>
        <w:rPr>
          <w:rFonts w:eastAsia="Times New Roman" w:cs="Times New Roman"/>
          <w:szCs w:val="24"/>
        </w:rPr>
      </w:pPr>
      <w:r>
        <w:rPr>
          <w:rFonts w:eastAsia="Times New Roman" w:cs="Times New Roman"/>
          <w:szCs w:val="24"/>
        </w:rPr>
        <w:t>Since potential benefits would accrue during the operational life of a model year vehicle, the future benefits are discounted to show their present values</w:t>
      </w:r>
      <w:r w:rsidR="001F2F92">
        <w:rPr>
          <w:rFonts w:eastAsia="Times New Roman" w:cs="Times New Roman"/>
          <w:szCs w:val="24"/>
        </w:rPr>
        <w:t xml:space="preserve">. </w:t>
      </w:r>
      <w:r>
        <w:rPr>
          <w:rFonts w:eastAsia="Times New Roman" w:cs="Times New Roman"/>
          <w:szCs w:val="24"/>
        </w:rPr>
        <w:t>For discounting</w:t>
      </w:r>
      <w:r w:rsidRPr="00B8219E">
        <w:rPr>
          <w:rFonts w:eastAsia="Times New Roman" w:cs="Times New Roman"/>
          <w:szCs w:val="24"/>
        </w:rPr>
        <w:t>, we used the miles that a vehicle is driven and the survival fraction (proportion) of vehicles of a given age that are still on the road as a function of the vehicle’s age</w:t>
      </w:r>
      <w:r>
        <w:rPr>
          <w:rFonts w:eastAsia="Times New Roman" w:cs="Times New Roman"/>
          <w:szCs w:val="24"/>
        </w:rPr>
        <w:t>. T</w:t>
      </w:r>
      <w:r w:rsidRPr="00664F73">
        <w:rPr>
          <w:rFonts w:eastAsia="Times New Roman" w:cs="Times New Roman"/>
          <w:szCs w:val="24"/>
        </w:rPr>
        <w:t>he primary source of data for determining vehicles in operation is the National Vehicle</w:t>
      </w:r>
      <w:r>
        <w:rPr>
          <w:rFonts w:eastAsia="Times New Roman" w:cs="Times New Roman"/>
          <w:szCs w:val="24"/>
        </w:rPr>
        <w:t xml:space="preserve"> </w:t>
      </w:r>
      <w:r w:rsidRPr="00664F73">
        <w:rPr>
          <w:rFonts w:eastAsia="Times New Roman" w:cs="Times New Roman"/>
          <w:szCs w:val="24"/>
        </w:rPr>
        <w:t>Population Profile (NVPP) compiled by R.L. Polk and Company</w:t>
      </w:r>
      <w:r w:rsidR="001F2F92">
        <w:rPr>
          <w:rFonts w:eastAsia="Times New Roman" w:cs="Times New Roman"/>
          <w:szCs w:val="24"/>
        </w:rPr>
        <w:t xml:space="preserve">. </w:t>
      </w:r>
      <w:r w:rsidRPr="00664F73">
        <w:rPr>
          <w:rFonts w:eastAsia="Times New Roman" w:cs="Times New Roman"/>
          <w:szCs w:val="24"/>
        </w:rPr>
        <w:t>The NVPP is an</w:t>
      </w:r>
      <w:r>
        <w:rPr>
          <w:rFonts w:eastAsia="Times New Roman" w:cs="Times New Roman"/>
          <w:szCs w:val="24"/>
        </w:rPr>
        <w:t xml:space="preserve"> </w:t>
      </w:r>
      <w:r w:rsidRPr="00664F73">
        <w:rPr>
          <w:rFonts w:eastAsia="Times New Roman" w:cs="Times New Roman"/>
          <w:szCs w:val="24"/>
        </w:rPr>
        <w:t>annual census, as of July 1 of each year, of passenger cars and light trucks registered for</w:t>
      </w:r>
      <w:r>
        <w:rPr>
          <w:rFonts w:eastAsia="Times New Roman" w:cs="Times New Roman"/>
          <w:szCs w:val="24"/>
        </w:rPr>
        <w:t xml:space="preserve"> </w:t>
      </w:r>
      <w:r w:rsidRPr="00664F73">
        <w:rPr>
          <w:rFonts w:eastAsia="Times New Roman" w:cs="Times New Roman"/>
          <w:szCs w:val="24"/>
        </w:rPr>
        <w:t xml:space="preserve">on-road operation in the United States. </w:t>
      </w:r>
    </w:p>
    <w:p w14:paraId="4C48AB2C" w14:textId="77777777" w:rsidR="001E65EA" w:rsidRDefault="000F5B51" w:rsidP="001E65EA">
      <w:pPr>
        <w:spacing w:after="0"/>
        <w:rPr>
          <w:rFonts w:eastAsia="Times New Roman" w:cs="Times New Roman"/>
          <w:szCs w:val="24"/>
        </w:rPr>
      </w:pPr>
      <w:r>
        <w:rPr>
          <w:rFonts w:eastAsia="Times New Roman" w:cs="Times New Roman"/>
          <w:szCs w:val="24"/>
        </w:rPr>
        <w:t xml:space="preserve">For the </w:t>
      </w:r>
      <w:r w:rsidRPr="00664F73">
        <w:rPr>
          <w:rFonts w:eastAsia="Times New Roman" w:cs="Times New Roman"/>
          <w:szCs w:val="24"/>
        </w:rPr>
        <w:t xml:space="preserve">vehicle </w:t>
      </w:r>
      <w:r>
        <w:rPr>
          <w:rFonts w:eastAsia="Times New Roman" w:cs="Times New Roman"/>
          <w:szCs w:val="24"/>
        </w:rPr>
        <w:t>mileage schedule or VMT, survey data are used</w:t>
      </w:r>
      <w:r w:rsidR="001F2F92">
        <w:rPr>
          <w:rFonts w:eastAsia="Times New Roman" w:cs="Times New Roman"/>
          <w:szCs w:val="24"/>
        </w:rPr>
        <w:t xml:space="preserve">. </w:t>
      </w:r>
      <w:r w:rsidRPr="00664F73">
        <w:rPr>
          <w:rFonts w:eastAsia="Times New Roman" w:cs="Times New Roman"/>
          <w:szCs w:val="24"/>
        </w:rPr>
        <w:t>One such survey is National Household Travel Survey</w:t>
      </w:r>
      <w:r>
        <w:rPr>
          <w:rFonts w:eastAsia="Times New Roman" w:cs="Times New Roman"/>
          <w:szCs w:val="24"/>
        </w:rPr>
        <w:t xml:space="preserve"> </w:t>
      </w:r>
      <w:r w:rsidRPr="00664F73">
        <w:rPr>
          <w:rFonts w:eastAsia="Times New Roman" w:cs="Times New Roman"/>
          <w:szCs w:val="24"/>
        </w:rPr>
        <w:t>(NHTS)</w:t>
      </w:r>
      <w:r>
        <w:rPr>
          <w:rFonts w:eastAsia="Times New Roman" w:cs="Times New Roman"/>
          <w:szCs w:val="24"/>
        </w:rPr>
        <w:t xml:space="preserve"> </w:t>
      </w:r>
      <w:r w:rsidRPr="00664F73">
        <w:rPr>
          <w:rFonts w:eastAsia="Times New Roman" w:cs="Times New Roman"/>
          <w:szCs w:val="24"/>
        </w:rPr>
        <w:t>sponsored by the Federal Highway</w:t>
      </w:r>
      <w:r>
        <w:rPr>
          <w:rFonts w:eastAsia="Times New Roman" w:cs="Times New Roman"/>
          <w:szCs w:val="24"/>
        </w:rPr>
        <w:t xml:space="preserve"> </w:t>
      </w:r>
      <w:r w:rsidRPr="00664F73">
        <w:rPr>
          <w:rFonts w:eastAsia="Times New Roman" w:cs="Times New Roman"/>
          <w:szCs w:val="24"/>
        </w:rPr>
        <w:t>Administration, Bureau of Transportation Statistics,</w:t>
      </w:r>
      <w:r>
        <w:rPr>
          <w:rFonts w:eastAsia="Times New Roman" w:cs="Times New Roman"/>
          <w:szCs w:val="24"/>
        </w:rPr>
        <w:t xml:space="preserve"> </w:t>
      </w:r>
      <w:r w:rsidRPr="00664F73">
        <w:rPr>
          <w:rFonts w:eastAsia="Times New Roman" w:cs="Times New Roman"/>
          <w:szCs w:val="24"/>
        </w:rPr>
        <w:t>and the National Highway Traffic Safety Administration. The NHTS is the integration of</w:t>
      </w:r>
      <w:r>
        <w:rPr>
          <w:rFonts w:eastAsia="Times New Roman" w:cs="Times New Roman"/>
          <w:szCs w:val="24"/>
        </w:rPr>
        <w:t xml:space="preserve"> </w:t>
      </w:r>
      <w:r w:rsidRPr="00664F73">
        <w:rPr>
          <w:rFonts w:eastAsia="Times New Roman" w:cs="Times New Roman"/>
          <w:szCs w:val="24"/>
        </w:rPr>
        <w:t>two national travel surveys: the Federal Highway Administration-sponsored Nationwide</w:t>
      </w:r>
      <w:r>
        <w:rPr>
          <w:rFonts w:eastAsia="Times New Roman" w:cs="Times New Roman"/>
          <w:szCs w:val="24"/>
        </w:rPr>
        <w:t xml:space="preserve"> </w:t>
      </w:r>
      <w:r w:rsidRPr="00664F73">
        <w:rPr>
          <w:rFonts w:eastAsia="Times New Roman" w:cs="Times New Roman"/>
          <w:szCs w:val="24"/>
        </w:rPr>
        <w:t>Personal</w:t>
      </w:r>
      <w:r>
        <w:rPr>
          <w:rFonts w:eastAsia="Times New Roman" w:cs="Times New Roman"/>
          <w:szCs w:val="24"/>
        </w:rPr>
        <w:t xml:space="preserve"> </w:t>
      </w:r>
      <w:r w:rsidRPr="00664F73">
        <w:rPr>
          <w:rFonts w:eastAsia="Times New Roman" w:cs="Times New Roman"/>
          <w:szCs w:val="24"/>
        </w:rPr>
        <w:t>Transportation Survey (NPTS) and the Bureau of Transportation Statistics</w:t>
      </w:r>
      <w:r>
        <w:rPr>
          <w:rFonts w:eastAsia="Times New Roman" w:cs="Times New Roman"/>
          <w:szCs w:val="24"/>
        </w:rPr>
        <w:t xml:space="preserve"> </w:t>
      </w:r>
      <w:r w:rsidRPr="00664F73">
        <w:rPr>
          <w:rFonts w:eastAsia="Times New Roman" w:cs="Times New Roman"/>
          <w:szCs w:val="24"/>
        </w:rPr>
        <w:t>sponsored</w:t>
      </w:r>
      <w:r>
        <w:rPr>
          <w:rFonts w:eastAsia="Times New Roman" w:cs="Times New Roman"/>
          <w:szCs w:val="24"/>
        </w:rPr>
        <w:t xml:space="preserve"> </w:t>
      </w:r>
      <w:r w:rsidRPr="00664F73">
        <w:rPr>
          <w:rFonts w:eastAsia="Times New Roman" w:cs="Times New Roman"/>
          <w:szCs w:val="24"/>
        </w:rPr>
        <w:t>American Travel Survey (ATS).</w:t>
      </w:r>
    </w:p>
    <w:p w14:paraId="1ADB8882" w14:textId="77777777" w:rsidR="001E65EA" w:rsidRDefault="000F5B51" w:rsidP="001E65EA">
      <w:pPr>
        <w:spacing w:after="0"/>
        <w:rPr>
          <w:rFonts w:eastAsia="Times New Roman" w:cs="Times New Roman"/>
          <w:szCs w:val="24"/>
        </w:rPr>
      </w:pPr>
      <w:r w:rsidRPr="00664F73">
        <w:rPr>
          <w:rFonts w:eastAsia="Times New Roman" w:cs="Times New Roman"/>
          <w:szCs w:val="24"/>
        </w:rPr>
        <w:lastRenderedPageBreak/>
        <w:t>The Residential Transportation Energy Consumption Survey (RTECS) was designed by</w:t>
      </w:r>
      <w:r>
        <w:rPr>
          <w:rFonts w:eastAsia="Times New Roman" w:cs="Times New Roman"/>
          <w:szCs w:val="24"/>
        </w:rPr>
        <w:t xml:space="preserve"> </w:t>
      </w:r>
      <w:r w:rsidRPr="00664F73">
        <w:rPr>
          <w:rFonts w:eastAsia="Times New Roman" w:cs="Times New Roman"/>
          <w:szCs w:val="24"/>
        </w:rPr>
        <w:t>the Energy Information Administration (EIA) of the Department of Energy (DOE) to</w:t>
      </w:r>
      <w:r>
        <w:rPr>
          <w:rFonts w:eastAsia="Times New Roman" w:cs="Times New Roman"/>
          <w:szCs w:val="24"/>
        </w:rPr>
        <w:t xml:space="preserve"> </w:t>
      </w:r>
      <w:r w:rsidRPr="00664F73">
        <w:rPr>
          <w:rFonts w:eastAsia="Times New Roman" w:cs="Times New Roman"/>
          <w:szCs w:val="24"/>
        </w:rPr>
        <w:t>collect information on the use of energy in residential vehicles in the United States</w:t>
      </w:r>
      <w:r w:rsidR="001F2F92">
        <w:rPr>
          <w:rFonts w:eastAsia="Times New Roman" w:cs="Times New Roman"/>
          <w:szCs w:val="24"/>
        </w:rPr>
        <w:t xml:space="preserve">. </w:t>
      </w:r>
      <w:r>
        <w:rPr>
          <w:rFonts w:eastAsia="Times New Roman" w:cs="Times New Roman"/>
          <w:szCs w:val="24"/>
        </w:rPr>
        <w:t>For additional information, see DOT HS 809 952 “Vehicle survivability and travel mileage schedules.”</w:t>
      </w:r>
    </w:p>
    <w:p w14:paraId="592A082C" w14:textId="77777777" w:rsidR="00A65CB3" w:rsidRDefault="000F5B51" w:rsidP="003F10AD">
      <w:pPr>
        <w:spacing w:after="0"/>
        <w:rPr>
          <w:rFonts w:eastAsia="Times New Roman" w:cs="Times New Roman"/>
          <w:szCs w:val="24"/>
        </w:rPr>
      </w:pPr>
      <w:r>
        <w:rPr>
          <w:rFonts w:eastAsia="Times New Roman" w:cs="Times New Roman"/>
          <w:szCs w:val="24"/>
        </w:rPr>
        <w:fldChar w:fldCharType="begin"/>
      </w:r>
      <w:r>
        <w:rPr>
          <w:rFonts w:eastAsia="Times New Roman" w:cs="Times New Roman"/>
          <w:szCs w:val="24"/>
        </w:rPr>
        <w:instrText xml:space="preserve"> REF _Ref126239782 \h </w:instrText>
      </w:r>
      <w:r>
        <w:rPr>
          <w:rFonts w:eastAsia="Times New Roman" w:cs="Times New Roman"/>
          <w:szCs w:val="24"/>
        </w:rPr>
      </w:r>
      <w:r>
        <w:rPr>
          <w:rFonts w:eastAsia="Times New Roman" w:cs="Times New Roman"/>
          <w:szCs w:val="24"/>
        </w:rPr>
        <w:fldChar w:fldCharType="separate"/>
      </w:r>
    </w:p>
    <w:p w14:paraId="23FDDB5F" w14:textId="025D25A5" w:rsidR="00F1151E" w:rsidRDefault="00A65CB3" w:rsidP="003F10AD">
      <w:pPr>
        <w:spacing w:after="0"/>
        <w:rPr>
          <w:rFonts w:eastAsia="Times New Roman" w:cs="Times New Roman"/>
          <w:szCs w:val="24"/>
        </w:rPr>
      </w:pPr>
      <w:r>
        <w:t xml:space="preserve">Table </w:t>
      </w:r>
      <w:r>
        <w:rPr>
          <w:noProof/>
        </w:rPr>
        <w:t>102</w:t>
      </w:r>
      <w:r w:rsidR="000F5B51">
        <w:rPr>
          <w:rFonts w:eastAsia="Times New Roman" w:cs="Times New Roman"/>
          <w:szCs w:val="24"/>
        </w:rPr>
        <w:fldChar w:fldCharType="end"/>
      </w:r>
      <w:r w:rsidR="00BC757F">
        <w:rPr>
          <w:rFonts w:eastAsia="Times New Roman" w:cs="Times New Roman"/>
          <w:szCs w:val="24"/>
        </w:rPr>
        <w:t xml:space="preserve"> </w:t>
      </w:r>
      <w:r w:rsidR="000F5B51">
        <w:rPr>
          <w:rFonts w:eastAsia="Times New Roman" w:cs="Times New Roman"/>
          <w:szCs w:val="24"/>
        </w:rPr>
        <w:t xml:space="preserve">and </w:t>
      </w:r>
      <w:r w:rsidR="000F5B51">
        <w:rPr>
          <w:rFonts w:eastAsia="Times New Roman" w:cs="Times New Roman"/>
          <w:szCs w:val="24"/>
        </w:rPr>
        <w:fldChar w:fldCharType="begin"/>
      </w:r>
      <w:r w:rsidR="000F5B51">
        <w:rPr>
          <w:rFonts w:eastAsia="Times New Roman" w:cs="Times New Roman"/>
          <w:szCs w:val="24"/>
        </w:rPr>
        <w:instrText xml:space="preserve"> REF _Ref126239787 \h </w:instrText>
      </w:r>
      <w:r w:rsidR="000F5B51">
        <w:rPr>
          <w:rFonts w:eastAsia="Times New Roman" w:cs="Times New Roman"/>
          <w:szCs w:val="24"/>
        </w:rPr>
      </w:r>
      <w:r w:rsidR="000F5B51">
        <w:rPr>
          <w:rFonts w:eastAsia="Times New Roman" w:cs="Times New Roman"/>
          <w:szCs w:val="24"/>
        </w:rPr>
        <w:fldChar w:fldCharType="separate"/>
      </w:r>
      <w:r>
        <w:t xml:space="preserve">Table </w:t>
      </w:r>
      <w:r>
        <w:rPr>
          <w:noProof/>
        </w:rPr>
        <w:t>103</w:t>
      </w:r>
      <w:r w:rsidR="000F5B51">
        <w:rPr>
          <w:rFonts w:eastAsia="Times New Roman" w:cs="Times New Roman"/>
          <w:szCs w:val="24"/>
        </w:rPr>
        <w:fldChar w:fldCharType="end"/>
      </w:r>
      <w:r w:rsidR="000F5B51">
        <w:rPr>
          <w:rFonts w:eastAsia="Times New Roman" w:cs="Times New Roman"/>
          <w:szCs w:val="24"/>
        </w:rPr>
        <w:t xml:space="preserve"> </w:t>
      </w:r>
      <w:r w:rsidR="001E65EA">
        <w:rPr>
          <w:rFonts w:eastAsia="Times New Roman" w:cs="Times New Roman"/>
          <w:szCs w:val="24"/>
        </w:rPr>
        <w:t>also present the construction of the three and seven percent discount factors for PC and LTVs, respectively. The aggregate exposure is equal to the survival rate multiplied by the exposure, and the exposure proportion is that year’s exposure divided by the sum of all exposure values in the table</w:t>
      </w:r>
      <w:r w:rsidR="001F2F92">
        <w:rPr>
          <w:rFonts w:eastAsia="Times New Roman" w:cs="Times New Roman"/>
          <w:szCs w:val="24"/>
        </w:rPr>
        <w:t xml:space="preserve">. </w:t>
      </w:r>
      <w:r w:rsidR="001E65EA">
        <w:rPr>
          <w:rFonts w:eastAsia="Times New Roman" w:cs="Times New Roman"/>
          <w:szCs w:val="24"/>
        </w:rPr>
        <w:t>That exposure proportion multiplied by the raw discount factor</w:t>
      </w:r>
      <w:r w:rsidR="000F5B51">
        <w:rPr>
          <w:rStyle w:val="FootnoteReference"/>
          <w:rFonts w:eastAsia="Times New Roman" w:cs="Times New Roman"/>
          <w:szCs w:val="24"/>
        </w:rPr>
        <w:footnoteReference w:id="79"/>
      </w:r>
      <w:r w:rsidR="001E65EA">
        <w:rPr>
          <w:rFonts w:eastAsia="Times New Roman" w:cs="Times New Roman"/>
          <w:szCs w:val="24"/>
        </w:rPr>
        <w:t xml:space="preserve"> from the equation yields the weighted discount factor</w:t>
      </w:r>
      <w:r w:rsidR="001F2F92">
        <w:rPr>
          <w:rFonts w:eastAsia="Times New Roman" w:cs="Times New Roman"/>
          <w:szCs w:val="24"/>
        </w:rPr>
        <w:t xml:space="preserve">. </w:t>
      </w:r>
      <w:r w:rsidR="001E65EA">
        <w:rPr>
          <w:rFonts w:eastAsia="Times New Roman" w:cs="Times New Roman"/>
          <w:szCs w:val="24"/>
        </w:rPr>
        <w:t>Summing the discount factor for all years provides the overall discount factor, which will be multiplied by benefits to provide discounted benefits</w:t>
      </w:r>
      <w:r w:rsidR="001F2F92">
        <w:rPr>
          <w:rFonts w:eastAsia="Times New Roman" w:cs="Times New Roman"/>
          <w:szCs w:val="24"/>
        </w:rPr>
        <w:t xml:space="preserve">. </w:t>
      </w:r>
      <w:bookmarkStart w:id="1995" w:name="_Ref126239782"/>
    </w:p>
    <w:p w14:paraId="396E215D" w14:textId="30FD04F8" w:rsidR="001E65EA" w:rsidRDefault="000F5B51" w:rsidP="00631EE7">
      <w:pPr>
        <w:pStyle w:val="Caption"/>
      </w:pPr>
      <w:bookmarkStart w:id="1996" w:name="_Ref127515554"/>
      <w:r>
        <w:t xml:space="preserve">Table </w:t>
      </w:r>
      <w:r w:rsidR="00115BAB">
        <w:fldChar w:fldCharType="begin"/>
      </w:r>
      <w:r>
        <w:instrText xml:space="preserve"> SEQ Table \* ARABIC </w:instrText>
      </w:r>
      <w:r w:rsidR="00115BAB">
        <w:fldChar w:fldCharType="separate"/>
      </w:r>
      <w:r w:rsidR="00A65CB3">
        <w:rPr>
          <w:noProof/>
        </w:rPr>
        <w:t>102</w:t>
      </w:r>
      <w:r w:rsidR="00115BAB">
        <w:rPr>
          <w:noProof/>
        </w:rPr>
        <w:fldChar w:fldCharType="end"/>
      </w:r>
      <w:bookmarkEnd w:id="1995"/>
      <w:bookmarkEnd w:id="1996"/>
      <w:r>
        <w:t xml:space="preserve">: </w:t>
      </w:r>
      <w:r w:rsidRPr="008503A8">
        <w:t>Survival Rates and Vehicle Miles Traveled (VMT) by Vehicle Age for Passenger Cars (PC)</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3"/>
        <w:gridCol w:w="1297"/>
        <w:gridCol w:w="1297"/>
        <w:gridCol w:w="988"/>
        <w:gridCol w:w="1004"/>
        <w:gridCol w:w="1083"/>
        <w:gridCol w:w="1164"/>
        <w:gridCol w:w="1017"/>
        <w:gridCol w:w="1017"/>
      </w:tblGrid>
      <w:tr w:rsidR="00275B57" w14:paraId="1AFF816B" w14:textId="77777777" w:rsidTr="004C5067">
        <w:trPr>
          <w:trHeight w:val="172"/>
        </w:trPr>
        <w:tc>
          <w:tcPr>
            <w:tcW w:w="793" w:type="dxa"/>
            <w:shd w:val="clear" w:color="auto" w:fill="D9D9D9" w:themeFill="background1" w:themeFillShade="D9"/>
            <w:noWrap/>
            <w:vAlign w:val="center"/>
            <w:hideMark/>
          </w:tcPr>
          <w:p w14:paraId="5102CDBE" w14:textId="77777777" w:rsidR="00275B57" w:rsidRPr="00484405" w:rsidRDefault="00275B57" w:rsidP="00BC4031">
            <w:pPr>
              <w:spacing w:after="0" w:line="240" w:lineRule="auto"/>
              <w:rPr>
                <w:rFonts w:cs="Times New Roman"/>
                <w:b/>
                <w:szCs w:val="24"/>
              </w:rPr>
            </w:pPr>
            <w:r w:rsidRPr="00484405">
              <w:rPr>
                <w:rFonts w:cs="Times New Roman"/>
                <w:b/>
                <w:szCs w:val="24"/>
              </w:rPr>
              <w:t>Year</w:t>
            </w:r>
          </w:p>
        </w:tc>
        <w:tc>
          <w:tcPr>
            <w:tcW w:w="1297" w:type="dxa"/>
            <w:shd w:val="clear" w:color="auto" w:fill="D9D9D9" w:themeFill="background1" w:themeFillShade="D9"/>
            <w:noWrap/>
            <w:vAlign w:val="center"/>
            <w:hideMark/>
          </w:tcPr>
          <w:p w14:paraId="3B27EC1D"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RAW DISCOUNT FACTOR 3%</w:t>
            </w:r>
          </w:p>
        </w:tc>
        <w:tc>
          <w:tcPr>
            <w:tcW w:w="1297" w:type="dxa"/>
            <w:shd w:val="clear" w:color="auto" w:fill="D9D9D9" w:themeFill="background1" w:themeFillShade="D9"/>
            <w:noWrap/>
            <w:vAlign w:val="center"/>
            <w:hideMark/>
          </w:tcPr>
          <w:p w14:paraId="0599DFFE"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RAW DISCOUNT FACTOR 7%</w:t>
            </w:r>
          </w:p>
        </w:tc>
        <w:tc>
          <w:tcPr>
            <w:tcW w:w="988" w:type="dxa"/>
            <w:shd w:val="clear" w:color="auto" w:fill="D9D9D9" w:themeFill="background1" w:themeFillShade="D9"/>
            <w:noWrap/>
            <w:vAlign w:val="center"/>
            <w:hideMark/>
          </w:tcPr>
          <w:p w14:paraId="7B32C360"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PC Survival</w:t>
            </w:r>
          </w:p>
        </w:tc>
        <w:tc>
          <w:tcPr>
            <w:tcW w:w="1004" w:type="dxa"/>
            <w:shd w:val="clear" w:color="auto" w:fill="D9D9D9" w:themeFill="background1" w:themeFillShade="D9"/>
            <w:noWrap/>
            <w:vAlign w:val="center"/>
            <w:hideMark/>
          </w:tcPr>
          <w:p w14:paraId="657E2B3D"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PC Exposure</w:t>
            </w:r>
          </w:p>
        </w:tc>
        <w:tc>
          <w:tcPr>
            <w:tcW w:w="1083" w:type="dxa"/>
            <w:shd w:val="clear" w:color="auto" w:fill="D9D9D9" w:themeFill="background1" w:themeFillShade="D9"/>
            <w:noWrap/>
            <w:vAlign w:val="center"/>
            <w:hideMark/>
          </w:tcPr>
          <w:p w14:paraId="344DBC9F"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PC Aggregate Exposure</w:t>
            </w:r>
          </w:p>
        </w:tc>
        <w:tc>
          <w:tcPr>
            <w:tcW w:w="1164" w:type="dxa"/>
            <w:shd w:val="clear" w:color="auto" w:fill="D9D9D9" w:themeFill="background1" w:themeFillShade="D9"/>
            <w:noWrap/>
            <w:vAlign w:val="center"/>
            <w:hideMark/>
          </w:tcPr>
          <w:p w14:paraId="2549E419"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PC Exposure Proportion</w:t>
            </w:r>
          </w:p>
        </w:tc>
        <w:tc>
          <w:tcPr>
            <w:tcW w:w="1017" w:type="dxa"/>
            <w:shd w:val="clear" w:color="auto" w:fill="D9D9D9" w:themeFill="background1" w:themeFillShade="D9"/>
            <w:noWrap/>
            <w:vAlign w:val="center"/>
            <w:hideMark/>
          </w:tcPr>
          <w:p w14:paraId="1EC05FBC"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PC Weighted Discount Factor 3%</w:t>
            </w:r>
          </w:p>
        </w:tc>
        <w:tc>
          <w:tcPr>
            <w:tcW w:w="1017" w:type="dxa"/>
            <w:shd w:val="clear" w:color="auto" w:fill="D9D9D9" w:themeFill="background1" w:themeFillShade="D9"/>
            <w:noWrap/>
            <w:vAlign w:val="center"/>
            <w:hideMark/>
          </w:tcPr>
          <w:p w14:paraId="5525822B"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PC Weighted Discount Factor 7%</w:t>
            </w:r>
          </w:p>
        </w:tc>
      </w:tr>
      <w:tr w:rsidR="00275B57" w14:paraId="1E48D846" w14:textId="77777777" w:rsidTr="004C5067">
        <w:trPr>
          <w:trHeight w:val="172"/>
        </w:trPr>
        <w:tc>
          <w:tcPr>
            <w:tcW w:w="0" w:type="auto"/>
            <w:shd w:val="clear" w:color="D9E1F2" w:fill="D9E1F2"/>
            <w:noWrap/>
            <w:vAlign w:val="center"/>
            <w:hideMark/>
          </w:tcPr>
          <w:p w14:paraId="57149886" w14:textId="77777777" w:rsidR="00275B57" w:rsidRPr="00484405" w:rsidRDefault="00275B57" w:rsidP="00BC4031">
            <w:pPr>
              <w:spacing w:after="0" w:line="240" w:lineRule="auto"/>
              <w:rPr>
                <w:rFonts w:cs="Times New Roman"/>
                <w:szCs w:val="24"/>
              </w:rPr>
            </w:pPr>
            <w:r w:rsidRPr="00484405">
              <w:rPr>
                <w:rFonts w:cs="Times New Roman"/>
                <w:szCs w:val="24"/>
              </w:rPr>
              <w:t>1</w:t>
            </w:r>
          </w:p>
        </w:tc>
        <w:tc>
          <w:tcPr>
            <w:tcW w:w="0" w:type="auto"/>
            <w:shd w:val="clear" w:color="D9E1F2" w:fill="D9E1F2"/>
            <w:noWrap/>
            <w:vAlign w:val="center"/>
            <w:hideMark/>
          </w:tcPr>
          <w:p w14:paraId="53981BF4" w14:textId="77777777" w:rsidR="00275B57" w:rsidRPr="00484405" w:rsidRDefault="00275B57" w:rsidP="00BC4031">
            <w:pPr>
              <w:spacing w:after="0" w:line="240" w:lineRule="auto"/>
              <w:jc w:val="center"/>
              <w:rPr>
                <w:rFonts w:cs="Times New Roman"/>
                <w:szCs w:val="24"/>
              </w:rPr>
            </w:pPr>
            <w:r w:rsidRPr="00484405">
              <w:rPr>
                <w:rFonts w:cs="Times New Roman"/>
                <w:szCs w:val="24"/>
              </w:rPr>
              <w:t>99%</w:t>
            </w:r>
          </w:p>
        </w:tc>
        <w:tc>
          <w:tcPr>
            <w:tcW w:w="0" w:type="auto"/>
            <w:shd w:val="clear" w:color="D9E1F2" w:fill="D9E1F2"/>
            <w:noWrap/>
            <w:vAlign w:val="center"/>
            <w:hideMark/>
          </w:tcPr>
          <w:p w14:paraId="0D75501D" w14:textId="77777777" w:rsidR="00275B57" w:rsidRPr="00484405" w:rsidRDefault="00275B57" w:rsidP="00BC4031">
            <w:pPr>
              <w:spacing w:after="0" w:line="240" w:lineRule="auto"/>
              <w:jc w:val="center"/>
              <w:rPr>
                <w:rFonts w:cs="Times New Roman"/>
                <w:szCs w:val="24"/>
              </w:rPr>
            </w:pPr>
            <w:r w:rsidRPr="00484405">
              <w:rPr>
                <w:rFonts w:cs="Times New Roman"/>
                <w:szCs w:val="24"/>
              </w:rPr>
              <w:t>97%</w:t>
            </w:r>
          </w:p>
        </w:tc>
        <w:tc>
          <w:tcPr>
            <w:tcW w:w="0" w:type="auto"/>
            <w:shd w:val="clear" w:color="000000" w:fill="FFCC99"/>
            <w:noWrap/>
            <w:vAlign w:val="center"/>
            <w:hideMark/>
          </w:tcPr>
          <w:p w14:paraId="688F0E4C" w14:textId="77777777" w:rsidR="00275B57" w:rsidRPr="00484405" w:rsidRDefault="00275B57" w:rsidP="00BC4031">
            <w:pPr>
              <w:spacing w:after="0" w:line="240" w:lineRule="auto"/>
              <w:jc w:val="center"/>
              <w:rPr>
                <w:rFonts w:cs="Times New Roman"/>
                <w:szCs w:val="24"/>
              </w:rPr>
            </w:pPr>
            <w:r w:rsidRPr="00484405">
              <w:rPr>
                <w:rFonts w:cs="Times New Roman"/>
                <w:szCs w:val="24"/>
              </w:rPr>
              <w:t>1.0000</w:t>
            </w:r>
          </w:p>
        </w:tc>
        <w:tc>
          <w:tcPr>
            <w:tcW w:w="0" w:type="auto"/>
            <w:shd w:val="clear" w:color="000000" w:fill="FFCC99"/>
            <w:noWrap/>
            <w:vAlign w:val="center"/>
            <w:hideMark/>
          </w:tcPr>
          <w:p w14:paraId="5324686D" w14:textId="77777777" w:rsidR="00275B57" w:rsidRPr="00484405" w:rsidRDefault="00275B57" w:rsidP="00BC4031">
            <w:pPr>
              <w:spacing w:after="0" w:line="240" w:lineRule="auto"/>
              <w:jc w:val="center"/>
              <w:rPr>
                <w:rFonts w:cs="Times New Roman"/>
                <w:szCs w:val="24"/>
              </w:rPr>
            </w:pPr>
            <w:r w:rsidRPr="00484405">
              <w:rPr>
                <w:rFonts w:cs="Times New Roman"/>
                <w:szCs w:val="24"/>
              </w:rPr>
              <w:t>15,861</w:t>
            </w:r>
          </w:p>
        </w:tc>
        <w:tc>
          <w:tcPr>
            <w:tcW w:w="0" w:type="auto"/>
            <w:shd w:val="clear" w:color="D9E1F2" w:fill="D9E1F2"/>
            <w:noWrap/>
            <w:vAlign w:val="center"/>
            <w:hideMark/>
          </w:tcPr>
          <w:p w14:paraId="36C7103D" w14:textId="77777777" w:rsidR="00275B57" w:rsidRPr="00484405" w:rsidRDefault="00275B57" w:rsidP="00BC4031">
            <w:pPr>
              <w:spacing w:after="0" w:line="240" w:lineRule="auto"/>
              <w:jc w:val="center"/>
              <w:rPr>
                <w:rFonts w:cs="Times New Roman"/>
                <w:szCs w:val="24"/>
              </w:rPr>
            </w:pPr>
            <w:r w:rsidRPr="00484405">
              <w:rPr>
                <w:rFonts w:cs="Times New Roman"/>
                <w:szCs w:val="24"/>
              </w:rPr>
              <w:t>15,861</w:t>
            </w:r>
          </w:p>
        </w:tc>
        <w:tc>
          <w:tcPr>
            <w:tcW w:w="0" w:type="auto"/>
            <w:shd w:val="clear" w:color="D9E1F2" w:fill="D9E1F2"/>
            <w:noWrap/>
            <w:vAlign w:val="center"/>
            <w:hideMark/>
          </w:tcPr>
          <w:p w14:paraId="0DC6CA8E" w14:textId="77777777" w:rsidR="00275B57" w:rsidRPr="00484405" w:rsidRDefault="00275B57" w:rsidP="00BC4031">
            <w:pPr>
              <w:spacing w:after="0" w:line="240" w:lineRule="auto"/>
              <w:jc w:val="center"/>
              <w:rPr>
                <w:rFonts w:cs="Times New Roman"/>
                <w:szCs w:val="24"/>
              </w:rPr>
            </w:pPr>
            <w:r w:rsidRPr="00484405">
              <w:rPr>
                <w:rFonts w:cs="Times New Roman"/>
                <w:szCs w:val="24"/>
              </w:rPr>
              <w:t>11%</w:t>
            </w:r>
          </w:p>
        </w:tc>
        <w:tc>
          <w:tcPr>
            <w:tcW w:w="0" w:type="auto"/>
            <w:shd w:val="clear" w:color="000000" w:fill="F2F2F2"/>
            <w:noWrap/>
            <w:vAlign w:val="center"/>
            <w:hideMark/>
          </w:tcPr>
          <w:p w14:paraId="1E556DA0"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11%</w:t>
            </w:r>
          </w:p>
        </w:tc>
        <w:tc>
          <w:tcPr>
            <w:tcW w:w="0" w:type="auto"/>
            <w:shd w:val="clear" w:color="000000" w:fill="F2F2F2"/>
            <w:noWrap/>
            <w:vAlign w:val="center"/>
            <w:hideMark/>
          </w:tcPr>
          <w:p w14:paraId="4E5B43E7"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11%</w:t>
            </w:r>
          </w:p>
        </w:tc>
      </w:tr>
      <w:tr w:rsidR="00275B57" w14:paraId="516592FE" w14:textId="77777777" w:rsidTr="004C5067">
        <w:trPr>
          <w:trHeight w:val="172"/>
        </w:trPr>
        <w:tc>
          <w:tcPr>
            <w:tcW w:w="0" w:type="auto"/>
            <w:noWrap/>
            <w:vAlign w:val="center"/>
            <w:hideMark/>
          </w:tcPr>
          <w:p w14:paraId="6B9DC9B9" w14:textId="77777777" w:rsidR="00275B57" w:rsidRPr="00484405" w:rsidRDefault="00275B57" w:rsidP="00BC4031">
            <w:pPr>
              <w:spacing w:after="0" w:line="240" w:lineRule="auto"/>
              <w:rPr>
                <w:rFonts w:cs="Times New Roman"/>
                <w:szCs w:val="24"/>
              </w:rPr>
            </w:pPr>
            <w:r w:rsidRPr="00484405">
              <w:rPr>
                <w:rFonts w:cs="Times New Roman"/>
                <w:szCs w:val="24"/>
              </w:rPr>
              <w:t>2</w:t>
            </w:r>
          </w:p>
        </w:tc>
        <w:tc>
          <w:tcPr>
            <w:tcW w:w="0" w:type="auto"/>
            <w:noWrap/>
            <w:vAlign w:val="center"/>
            <w:hideMark/>
          </w:tcPr>
          <w:p w14:paraId="73E29F23" w14:textId="77777777" w:rsidR="00275B57" w:rsidRPr="00484405" w:rsidRDefault="00275B57" w:rsidP="00BC4031">
            <w:pPr>
              <w:spacing w:after="0" w:line="240" w:lineRule="auto"/>
              <w:jc w:val="center"/>
              <w:rPr>
                <w:rFonts w:cs="Times New Roman"/>
                <w:szCs w:val="24"/>
              </w:rPr>
            </w:pPr>
            <w:r w:rsidRPr="00484405">
              <w:rPr>
                <w:rFonts w:cs="Times New Roman"/>
                <w:szCs w:val="24"/>
              </w:rPr>
              <w:t>96%</w:t>
            </w:r>
          </w:p>
        </w:tc>
        <w:tc>
          <w:tcPr>
            <w:tcW w:w="0" w:type="auto"/>
            <w:noWrap/>
            <w:vAlign w:val="center"/>
            <w:hideMark/>
          </w:tcPr>
          <w:p w14:paraId="580000F1" w14:textId="77777777" w:rsidR="00275B57" w:rsidRPr="00484405" w:rsidRDefault="00275B57" w:rsidP="00BC4031">
            <w:pPr>
              <w:spacing w:after="0" w:line="240" w:lineRule="auto"/>
              <w:jc w:val="center"/>
              <w:rPr>
                <w:rFonts w:cs="Times New Roman"/>
                <w:szCs w:val="24"/>
              </w:rPr>
            </w:pPr>
            <w:r w:rsidRPr="00484405">
              <w:rPr>
                <w:rFonts w:cs="Times New Roman"/>
                <w:szCs w:val="24"/>
              </w:rPr>
              <w:t>90%</w:t>
            </w:r>
          </w:p>
        </w:tc>
        <w:tc>
          <w:tcPr>
            <w:tcW w:w="0" w:type="auto"/>
            <w:shd w:val="clear" w:color="000000" w:fill="FFCC99"/>
            <w:noWrap/>
            <w:vAlign w:val="center"/>
            <w:hideMark/>
          </w:tcPr>
          <w:p w14:paraId="133107E1" w14:textId="77777777" w:rsidR="00275B57" w:rsidRPr="00484405" w:rsidRDefault="00275B57" w:rsidP="00BC4031">
            <w:pPr>
              <w:spacing w:after="0" w:line="240" w:lineRule="auto"/>
              <w:jc w:val="center"/>
              <w:rPr>
                <w:rFonts w:cs="Times New Roman"/>
                <w:szCs w:val="24"/>
              </w:rPr>
            </w:pPr>
            <w:r w:rsidRPr="00484405">
              <w:rPr>
                <w:rFonts w:cs="Times New Roman"/>
                <w:szCs w:val="24"/>
              </w:rPr>
              <w:t>0.9878</w:t>
            </w:r>
          </w:p>
        </w:tc>
        <w:tc>
          <w:tcPr>
            <w:tcW w:w="0" w:type="auto"/>
            <w:shd w:val="clear" w:color="000000" w:fill="FFCC99"/>
            <w:noWrap/>
            <w:vAlign w:val="center"/>
            <w:hideMark/>
          </w:tcPr>
          <w:p w14:paraId="5B07EC8C" w14:textId="77777777" w:rsidR="00275B57" w:rsidRPr="00484405" w:rsidRDefault="00275B57" w:rsidP="00BC4031">
            <w:pPr>
              <w:spacing w:after="0" w:line="240" w:lineRule="auto"/>
              <w:jc w:val="center"/>
              <w:rPr>
                <w:rFonts w:cs="Times New Roman"/>
                <w:szCs w:val="24"/>
              </w:rPr>
            </w:pPr>
            <w:r w:rsidRPr="00484405">
              <w:rPr>
                <w:rFonts w:cs="Times New Roman"/>
                <w:szCs w:val="24"/>
              </w:rPr>
              <w:t>13,684</w:t>
            </w:r>
          </w:p>
        </w:tc>
        <w:tc>
          <w:tcPr>
            <w:tcW w:w="0" w:type="auto"/>
            <w:noWrap/>
            <w:vAlign w:val="center"/>
            <w:hideMark/>
          </w:tcPr>
          <w:p w14:paraId="5A0A9E56" w14:textId="77777777" w:rsidR="00275B57" w:rsidRPr="00484405" w:rsidRDefault="00275B57" w:rsidP="00BC4031">
            <w:pPr>
              <w:spacing w:after="0" w:line="240" w:lineRule="auto"/>
              <w:jc w:val="center"/>
              <w:rPr>
                <w:rFonts w:cs="Times New Roman"/>
                <w:szCs w:val="24"/>
              </w:rPr>
            </w:pPr>
            <w:r w:rsidRPr="00484405">
              <w:rPr>
                <w:rFonts w:cs="Times New Roman"/>
                <w:szCs w:val="24"/>
              </w:rPr>
              <w:t>13,518</w:t>
            </w:r>
          </w:p>
        </w:tc>
        <w:tc>
          <w:tcPr>
            <w:tcW w:w="0" w:type="auto"/>
            <w:noWrap/>
            <w:vAlign w:val="center"/>
            <w:hideMark/>
          </w:tcPr>
          <w:p w14:paraId="64691D29" w14:textId="77777777" w:rsidR="00275B57" w:rsidRPr="00484405" w:rsidRDefault="00275B57" w:rsidP="00BC4031">
            <w:pPr>
              <w:spacing w:after="0" w:line="240" w:lineRule="auto"/>
              <w:jc w:val="center"/>
              <w:rPr>
                <w:rFonts w:cs="Times New Roman"/>
                <w:szCs w:val="24"/>
              </w:rPr>
            </w:pPr>
            <w:r w:rsidRPr="00484405">
              <w:rPr>
                <w:rFonts w:cs="Times New Roman"/>
                <w:szCs w:val="24"/>
              </w:rPr>
              <w:t>10%</w:t>
            </w:r>
          </w:p>
        </w:tc>
        <w:tc>
          <w:tcPr>
            <w:tcW w:w="0" w:type="auto"/>
            <w:shd w:val="clear" w:color="000000" w:fill="F2F2F2"/>
            <w:noWrap/>
            <w:vAlign w:val="center"/>
            <w:hideMark/>
          </w:tcPr>
          <w:p w14:paraId="2F909885"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9%</w:t>
            </w:r>
          </w:p>
        </w:tc>
        <w:tc>
          <w:tcPr>
            <w:tcW w:w="0" w:type="auto"/>
            <w:shd w:val="clear" w:color="000000" w:fill="F2F2F2"/>
            <w:noWrap/>
            <w:vAlign w:val="center"/>
            <w:hideMark/>
          </w:tcPr>
          <w:p w14:paraId="5937EC00"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9%</w:t>
            </w:r>
          </w:p>
        </w:tc>
      </w:tr>
      <w:tr w:rsidR="00275B57" w14:paraId="79099C9D" w14:textId="77777777" w:rsidTr="004C5067">
        <w:trPr>
          <w:trHeight w:val="172"/>
        </w:trPr>
        <w:tc>
          <w:tcPr>
            <w:tcW w:w="0" w:type="auto"/>
            <w:shd w:val="clear" w:color="D9E1F2" w:fill="D9E1F2"/>
            <w:noWrap/>
            <w:vAlign w:val="center"/>
            <w:hideMark/>
          </w:tcPr>
          <w:p w14:paraId="40C4EFB1" w14:textId="77777777" w:rsidR="00275B57" w:rsidRPr="00484405" w:rsidRDefault="00275B57" w:rsidP="00BC4031">
            <w:pPr>
              <w:spacing w:after="0" w:line="240" w:lineRule="auto"/>
              <w:rPr>
                <w:rFonts w:cs="Times New Roman"/>
                <w:szCs w:val="24"/>
              </w:rPr>
            </w:pPr>
            <w:r w:rsidRPr="00484405">
              <w:rPr>
                <w:rFonts w:cs="Times New Roman"/>
                <w:szCs w:val="24"/>
              </w:rPr>
              <w:t>3</w:t>
            </w:r>
          </w:p>
        </w:tc>
        <w:tc>
          <w:tcPr>
            <w:tcW w:w="0" w:type="auto"/>
            <w:shd w:val="clear" w:color="D9E1F2" w:fill="D9E1F2"/>
            <w:noWrap/>
            <w:vAlign w:val="center"/>
            <w:hideMark/>
          </w:tcPr>
          <w:p w14:paraId="611A3918" w14:textId="77777777" w:rsidR="00275B57" w:rsidRPr="00484405" w:rsidRDefault="00275B57" w:rsidP="00BC4031">
            <w:pPr>
              <w:spacing w:after="0" w:line="240" w:lineRule="auto"/>
              <w:jc w:val="center"/>
              <w:rPr>
                <w:rFonts w:cs="Times New Roman"/>
                <w:szCs w:val="24"/>
              </w:rPr>
            </w:pPr>
            <w:r w:rsidRPr="00484405">
              <w:rPr>
                <w:rFonts w:cs="Times New Roman"/>
                <w:szCs w:val="24"/>
              </w:rPr>
              <w:t>93%</w:t>
            </w:r>
          </w:p>
        </w:tc>
        <w:tc>
          <w:tcPr>
            <w:tcW w:w="0" w:type="auto"/>
            <w:shd w:val="clear" w:color="D9E1F2" w:fill="D9E1F2"/>
            <w:noWrap/>
            <w:vAlign w:val="center"/>
            <w:hideMark/>
          </w:tcPr>
          <w:p w14:paraId="460D2C34" w14:textId="77777777" w:rsidR="00275B57" w:rsidRPr="00484405" w:rsidRDefault="00275B57" w:rsidP="00BC4031">
            <w:pPr>
              <w:spacing w:after="0" w:line="240" w:lineRule="auto"/>
              <w:jc w:val="center"/>
              <w:rPr>
                <w:rFonts w:cs="Times New Roman"/>
                <w:szCs w:val="24"/>
              </w:rPr>
            </w:pPr>
            <w:r w:rsidRPr="00484405">
              <w:rPr>
                <w:rFonts w:cs="Times New Roman"/>
                <w:szCs w:val="24"/>
              </w:rPr>
              <w:t>84%</w:t>
            </w:r>
          </w:p>
        </w:tc>
        <w:tc>
          <w:tcPr>
            <w:tcW w:w="0" w:type="auto"/>
            <w:shd w:val="clear" w:color="000000" w:fill="FFCC99"/>
            <w:noWrap/>
            <w:vAlign w:val="center"/>
            <w:hideMark/>
          </w:tcPr>
          <w:p w14:paraId="0265A29B" w14:textId="77777777" w:rsidR="00275B57" w:rsidRPr="00484405" w:rsidRDefault="00275B57" w:rsidP="00BC4031">
            <w:pPr>
              <w:spacing w:after="0" w:line="240" w:lineRule="auto"/>
              <w:jc w:val="center"/>
              <w:rPr>
                <w:rFonts w:cs="Times New Roman"/>
                <w:szCs w:val="24"/>
              </w:rPr>
            </w:pPr>
            <w:r w:rsidRPr="00484405">
              <w:rPr>
                <w:rFonts w:cs="Times New Roman"/>
                <w:szCs w:val="24"/>
              </w:rPr>
              <w:t>0.9766</w:t>
            </w:r>
          </w:p>
        </w:tc>
        <w:tc>
          <w:tcPr>
            <w:tcW w:w="0" w:type="auto"/>
            <w:shd w:val="clear" w:color="000000" w:fill="FFCC99"/>
            <w:noWrap/>
            <w:vAlign w:val="center"/>
            <w:hideMark/>
          </w:tcPr>
          <w:p w14:paraId="101BD460" w14:textId="77777777" w:rsidR="00275B57" w:rsidRPr="00484405" w:rsidRDefault="00275B57" w:rsidP="00BC4031">
            <w:pPr>
              <w:spacing w:after="0" w:line="240" w:lineRule="auto"/>
              <w:jc w:val="center"/>
              <w:rPr>
                <w:rFonts w:cs="Times New Roman"/>
                <w:szCs w:val="24"/>
              </w:rPr>
            </w:pPr>
            <w:r w:rsidRPr="00484405">
              <w:rPr>
                <w:rFonts w:cs="Times New Roman"/>
                <w:szCs w:val="24"/>
              </w:rPr>
              <w:t>13,479</w:t>
            </w:r>
          </w:p>
        </w:tc>
        <w:tc>
          <w:tcPr>
            <w:tcW w:w="0" w:type="auto"/>
            <w:shd w:val="clear" w:color="D9E1F2" w:fill="D9E1F2"/>
            <w:noWrap/>
            <w:vAlign w:val="center"/>
            <w:hideMark/>
          </w:tcPr>
          <w:p w14:paraId="16AF25F8" w14:textId="77777777" w:rsidR="00275B57" w:rsidRPr="00484405" w:rsidRDefault="00275B57" w:rsidP="00BC4031">
            <w:pPr>
              <w:spacing w:after="0" w:line="240" w:lineRule="auto"/>
              <w:jc w:val="center"/>
              <w:rPr>
                <w:rFonts w:cs="Times New Roman"/>
                <w:szCs w:val="24"/>
              </w:rPr>
            </w:pPr>
            <w:r w:rsidRPr="00484405">
              <w:rPr>
                <w:rFonts w:cs="Times New Roman"/>
                <w:szCs w:val="24"/>
              </w:rPr>
              <w:t>13,163</w:t>
            </w:r>
          </w:p>
        </w:tc>
        <w:tc>
          <w:tcPr>
            <w:tcW w:w="0" w:type="auto"/>
            <w:shd w:val="clear" w:color="D9E1F2" w:fill="D9E1F2"/>
            <w:noWrap/>
            <w:vAlign w:val="center"/>
            <w:hideMark/>
          </w:tcPr>
          <w:p w14:paraId="58506353" w14:textId="77777777" w:rsidR="00275B57" w:rsidRPr="00484405" w:rsidRDefault="00275B57" w:rsidP="00BC4031">
            <w:pPr>
              <w:spacing w:after="0" w:line="240" w:lineRule="auto"/>
              <w:jc w:val="center"/>
              <w:rPr>
                <w:rFonts w:cs="Times New Roman"/>
                <w:szCs w:val="24"/>
              </w:rPr>
            </w:pPr>
            <w:r w:rsidRPr="00484405">
              <w:rPr>
                <w:rFonts w:cs="Times New Roman"/>
                <w:szCs w:val="24"/>
              </w:rPr>
              <w:t>9%</w:t>
            </w:r>
          </w:p>
        </w:tc>
        <w:tc>
          <w:tcPr>
            <w:tcW w:w="0" w:type="auto"/>
            <w:shd w:val="clear" w:color="000000" w:fill="F2F2F2"/>
            <w:noWrap/>
            <w:vAlign w:val="center"/>
            <w:hideMark/>
          </w:tcPr>
          <w:p w14:paraId="1EFF44E4"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9%</w:t>
            </w:r>
          </w:p>
        </w:tc>
        <w:tc>
          <w:tcPr>
            <w:tcW w:w="0" w:type="auto"/>
            <w:shd w:val="clear" w:color="000000" w:fill="F2F2F2"/>
            <w:noWrap/>
            <w:vAlign w:val="center"/>
            <w:hideMark/>
          </w:tcPr>
          <w:p w14:paraId="42029B38"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8%</w:t>
            </w:r>
          </w:p>
        </w:tc>
      </w:tr>
      <w:tr w:rsidR="00275B57" w14:paraId="7DF619D2" w14:textId="77777777" w:rsidTr="004C5067">
        <w:trPr>
          <w:trHeight w:val="172"/>
        </w:trPr>
        <w:tc>
          <w:tcPr>
            <w:tcW w:w="0" w:type="auto"/>
            <w:noWrap/>
            <w:vAlign w:val="center"/>
            <w:hideMark/>
          </w:tcPr>
          <w:p w14:paraId="00CA3B1C" w14:textId="77777777" w:rsidR="00275B57" w:rsidRPr="00484405" w:rsidRDefault="00275B57" w:rsidP="00BC4031">
            <w:pPr>
              <w:spacing w:after="0" w:line="240" w:lineRule="auto"/>
              <w:rPr>
                <w:rFonts w:cs="Times New Roman"/>
                <w:szCs w:val="24"/>
              </w:rPr>
            </w:pPr>
            <w:r w:rsidRPr="00484405">
              <w:rPr>
                <w:rFonts w:cs="Times New Roman"/>
                <w:szCs w:val="24"/>
              </w:rPr>
              <w:t>4</w:t>
            </w:r>
          </w:p>
        </w:tc>
        <w:tc>
          <w:tcPr>
            <w:tcW w:w="0" w:type="auto"/>
            <w:noWrap/>
            <w:vAlign w:val="center"/>
            <w:hideMark/>
          </w:tcPr>
          <w:p w14:paraId="62CF3F4A" w14:textId="77777777" w:rsidR="00275B57" w:rsidRPr="00484405" w:rsidRDefault="00275B57" w:rsidP="00BC4031">
            <w:pPr>
              <w:spacing w:after="0" w:line="240" w:lineRule="auto"/>
              <w:jc w:val="center"/>
              <w:rPr>
                <w:rFonts w:cs="Times New Roman"/>
                <w:szCs w:val="24"/>
              </w:rPr>
            </w:pPr>
            <w:r w:rsidRPr="00484405">
              <w:rPr>
                <w:rFonts w:cs="Times New Roman"/>
                <w:szCs w:val="24"/>
              </w:rPr>
              <w:t>90%</w:t>
            </w:r>
          </w:p>
        </w:tc>
        <w:tc>
          <w:tcPr>
            <w:tcW w:w="0" w:type="auto"/>
            <w:noWrap/>
            <w:vAlign w:val="center"/>
            <w:hideMark/>
          </w:tcPr>
          <w:p w14:paraId="43BBD48C" w14:textId="77777777" w:rsidR="00275B57" w:rsidRPr="00484405" w:rsidRDefault="00275B57" w:rsidP="00BC4031">
            <w:pPr>
              <w:spacing w:after="0" w:line="240" w:lineRule="auto"/>
              <w:jc w:val="center"/>
              <w:rPr>
                <w:rFonts w:cs="Times New Roman"/>
                <w:szCs w:val="24"/>
              </w:rPr>
            </w:pPr>
            <w:r w:rsidRPr="00484405">
              <w:rPr>
                <w:rFonts w:cs="Times New Roman"/>
                <w:szCs w:val="24"/>
              </w:rPr>
              <w:t>79%</w:t>
            </w:r>
          </w:p>
        </w:tc>
        <w:tc>
          <w:tcPr>
            <w:tcW w:w="0" w:type="auto"/>
            <w:shd w:val="clear" w:color="000000" w:fill="FFCC99"/>
            <w:noWrap/>
            <w:vAlign w:val="center"/>
            <w:hideMark/>
          </w:tcPr>
          <w:p w14:paraId="17D5D076" w14:textId="77777777" w:rsidR="00275B57" w:rsidRPr="00484405" w:rsidRDefault="00275B57" w:rsidP="00BC4031">
            <w:pPr>
              <w:spacing w:after="0" w:line="240" w:lineRule="auto"/>
              <w:jc w:val="center"/>
              <w:rPr>
                <w:rFonts w:cs="Times New Roman"/>
                <w:szCs w:val="24"/>
              </w:rPr>
            </w:pPr>
            <w:r w:rsidRPr="00484405">
              <w:rPr>
                <w:rFonts w:cs="Times New Roman"/>
                <w:szCs w:val="24"/>
              </w:rPr>
              <w:t>0.9614</w:t>
            </w:r>
          </w:p>
        </w:tc>
        <w:tc>
          <w:tcPr>
            <w:tcW w:w="0" w:type="auto"/>
            <w:shd w:val="clear" w:color="000000" w:fill="FFCC99"/>
            <w:noWrap/>
            <w:vAlign w:val="center"/>
            <w:hideMark/>
          </w:tcPr>
          <w:p w14:paraId="00AAEAEE" w14:textId="77777777" w:rsidR="00275B57" w:rsidRPr="00484405" w:rsidRDefault="00275B57" w:rsidP="00BC4031">
            <w:pPr>
              <w:spacing w:after="0" w:line="240" w:lineRule="auto"/>
              <w:jc w:val="center"/>
              <w:rPr>
                <w:rFonts w:cs="Times New Roman"/>
                <w:szCs w:val="24"/>
              </w:rPr>
            </w:pPr>
            <w:r w:rsidRPr="00484405">
              <w:rPr>
                <w:rFonts w:cs="Times New Roman"/>
                <w:szCs w:val="24"/>
              </w:rPr>
              <w:t>13,218</w:t>
            </w:r>
          </w:p>
        </w:tc>
        <w:tc>
          <w:tcPr>
            <w:tcW w:w="0" w:type="auto"/>
            <w:noWrap/>
            <w:vAlign w:val="center"/>
            <w:hideMark/>
          </w:tcPr>
          <w:p w14:paraId="38035872" w14:textId="77777777" w:rsidR="00275B57" w:rsidRPr="00484405" w:rsidRDefault="00275B57" w:rsidP="00BC4031">
            <w:pPr>
              <w:spacing w:after="0" w:line="240" w:lineRule="auto"/>
              <w:jc w:val="center"/>
              <w:rPr>
                <w:rFonts w:cs="Times New Roman"/>
                <w:szCs w:val="24"/>
              </w:rPr>
            </w:pPr>
            <w:r w:rsidRPr="00484405">
              <w:rPr>
                <w:rFonts w:cs="Times New Roman"/>
                <w:szCs w:val="24"/>
              </w:rPr>
              <w:t>12,708</w:t>
            </w:r>
          </w:p>
        </w:tc>
        <w:tc>
          <w:tcPr>
            <w:tcW w:w="0" w:type="auto"/>
            <w:noWrap/>
            <w:vAlign w:val="center"/>
            <w:hideMark/>
          </w:tcPr>
          <w:p w14:paraId="7364D8CA" w14:textId="77777777" w:rsidR="00275B57" w:rsidRPr="00484405" w:rsidRDefault="00275B57" w:rsidP="00BC4031">
            <w:pPr>
              <w:spacing w:after="0" w:line="240" w:lineRule="auto"/>
              <w:jc w:val="center"/>
              <w:rPr>
                <w:rFonts w:cs="Times New Roman"/>
                <w:szCs w:val="24"/>
              </w:rPr>
            </w:pPr>
            <w:r w:rsidRPr="00484405">
              <w:rPr>
                <w:rFonts w:cs="Times New Roman"/>
                <w:szCs w:val="24"/>
              </w:rPr>
              <w:t>9%</w:t>
            </w:r>
          </w:p>
        </w:tc>
        <w:tc>
          <w:tcPr>
            <w:tcW w:w="0" w:type="auto"/>
            <w:shd w:val="clear" w:color="000000" w:fill="F2F2F2"/>
            <w:noWrap/>
            <w:vAlign w:val="center"/>
            <w:hideMark/>
          </w:tcPr>
          <w:p w14:paraId="7EDDBEB5"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8%</w:t>
            </w:r>
          </w:p>
        </w:tc>
        <w:tc>
          <w:tcPr>
            <w:tcW w:w="0" w:type="auto"/>
            <w:shd w:val="clear" w:color="000000" w:fill="F2F2F2"/>
            <w:noWrap/>
            <w:vAlign w:val="center"/>
            <w:hideMark/>
          </w:tcPr>
          <w:p w14:paraId="1BEA1360"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7%</w:t>
            </w:r>
          </w:p>
        </w:tc>
      </w:tr>
      <w:tr w:rsidR="00275B57" w14:paraId="41C86D5A" w14:textId="77777777" w:rsidTr="004C5067">
        <w:trPr>
          <w:trHeight w:val="172"/>
        </w:trPr>
        <w:tc>
          <w:tcPr>
            <w:tcW w:w="0" w:type="auto"/>
            <w:shd w:val="clear" w:color="D9E1F2" w:fill="D9E1F2"/>
            <w:noWrap/>
            <w:vAlign w:val="center"/>
            <w:hideMark/>
          </w:tcPr>
          <w:p w14:paraId="65498639" w14:textId="77777777" w:rsidR="00275B57" w:rsidRPr="00484405" w:rsidRDefault="00275B57" w:rsidP="00BC4031">
            <w:pPr>
              <w:spacing w:after="0" w:line="240" w:lineRule="auto"/>
              <w:rPr>
                <w:rFonts w:cs="Times New Roman"/>
                <w:szCs w:val="24"/>
              </w:rPr>
            </w:pPr>
            <w:r w:rsidRPr="00484405">
              <w:rPr>
                <w:rFonts w:cs="Times New Roman"/>
                <w:szCs w:val="24"/>
              </w:rPr>
              <w:t>5</w:t>
            </w:r>
          </w:p>
        </w:tc>
        <w:tc>
          <w:tcPr>
            <w:tcW w:w="0" w:type="auto"/>
            <w:shd w:val="clear" w:color="D9E1F2" w:fill="D9E1F2"/>
            <w:noWrap/>
            <w:vAlign w:val="center"/>
            <w:hideMark/>
          </w:tcPr>
          <w:p w14:paraId="68644B26" w14:textId="77777777" w:rsidR="00275B57" w:rsidRPr="00484405" w:rsidRDefault="00275B57" w:rsidP="00BC4031">
            <w:pPr>
              <w:spacing w:after="0" w:line="240" w:lineRule="auto"/>
              <w:jc w:val="center"/>
              <w:rPr>
                <w:rFonts w:cs="Times New Roman"/>
                <w:szCs w:val="24"/>
              </w:rPr>
            </w:pPr>
            <w:r w:rsidRPr="00484405">
              <w:rPr>
                <w:rFonts w:cs="Times New Roman"/>
                <w:szCs w:val="24"/>
              </w:rPr>
              <w:t>88%</w:t>
            </w:r>
          </w:p>
        </w:tc>
        <w:tc>
          <w:tcPr>
            <w:tcW w:w="0" w:type="auto"/>
            <w:shd w:val="clear" w:color="D9E1F2" w:fill="D9E1F2"/>
            <w:noWrap/>
            <w:vAlign w:val="center"/>
            <w:hideMark/>
          </w:tcPr>
          <w:p w14:paraId="6AA3DF2C" w14:textId="77777777" w:rsidR="00275B57" w:rsidRPr="00484405" w:rsidRDefault="00275B57" w:rsidP="00BC4031">
            <w:pPr>
              <w:spacing w:after="0" w:line="240" w:lineRule="auto"/>
              <w:jc w:val="center"/>
              <w:rPr>
                <w:rFonts w:cs="Times New Roman"/>
                <w:szCs w:val="24"/>
              </w:rPr>
            </w:pPr>
            <w:r w:rsidRPr="00484405">
              <w:rPr>
                <w:rFonts w:cs="Times New Roman"/>
                <w:szCs w:val="24"/>
              </w:rPr>
              <w:t>74%</w:t>
            </w:r>
          </w:p>
        </w:tc>
        <w:tc>
          <w:tcPr>
            <w:tcW w:w="0" w:type="auto"/>
            <w:shd w:val="clear" w:color="000000" w:fill="FFCC99"/>
            <w:noWrap/>
            <w:vAlign w:val="center"/>
            <w:hideMark/>
          </w:tcPr>
          <w:p w14:paraId="2BB58A2E" w14:textId="77777777" w:rsidR="00275B57" w:rsidRPr="00484405" w:rsidRDefault="00275B57" w:rsidP="00BC4031">
            <w:pPr>
              <w:spacing w:after="0" w:line="240" w:lineRule="auto"/>
              <w:jc w:val="center"/>
              <w:rPr>
                <w:rFonts w:cs="Times New Roman"/>
                <w:szCs w:val="24"/>
              </w:rPr>
            </w:pPr>
            <w:r w:rsidRPr="00484405">
              <w:rPr>
                <w:rFonts w:cs="Times New Roman"/>
                <w:szCs w:val="24"/>
              </w:rPr>
              <w:t>0.9450</w:t>
            </w:r>
          </w:p>
        </w:tc>
        <w:tc>
          <w:tcPr>
            <w:tcW w:w="0" w:type="auto"/>
            <w:shd w:val="clear" w:color="000000" w:fill="FFCC99"/>
            <w:noWrap/>
            <w:vAlign w:val="center"/>
            <w:hideMark/>
          </w:tcPr>
          <w:p w14:paraId="6E82CF77" w14:textId="77777777" w:rsidR="00275B57" w:rsidRPr="00484405" w:rsidRDefault="00275B57" w:rsidP="00BC4031">
            <w:pPr>
              <w:spacing w:after="0" w:line="240" w:lineRule="auto"/>
              <w:jc w:val="center"/>
              <w:rPr>
                <w:rFonts w:cs="Times New Roman"/>
                <w:szCs w:val="24"/>
              </w:rPr>
            </w:pPr>
            <w:r w:rsidRPr="00484405">
              <w:rPr>
                <w:rFonts w:cs="Times New Roman"/>
                <w:szCs w:val="24"/>
              </w:rPr>
              <w:t>12,977</w:t>
            </w:r>
          </w:p>
        </w:tc>
        <w:tc>
          <w:tcPr>
            <w:tcW w:w="0" w:type="auto"/>
            <w:shd w:val="clear" w:color="D9E1F2" w:fill="D9E1F2"/>
            <w:noWrap/>
            <w:vAlign w:val="center"/>
            <w:hideMark/>
          </w:tcPr>
          <w:p w14:paraId="2B5DF062" w14:textId="77777777" w:rsidR="00275B57" w:rsidRPr="00484405" w:rsidRDefault="00275B57" w:rsidP="00BC4031">
            <w:pPr>
              <w:spacing w:after="0" w:line="240" w:lineRule="auto"/>
              <w:jc w:val="center"/>
              <w:rPr>
                <w:rFonts w:cs="Times New Roman"/>
                <w:szCs w:val="24"/>
              </w:rPr>
            </w:pPr>
            <w:r w:rsidRPr="00484405">
              <w:rPr>
                <w:rFonts w:cs="Times New Roman"/>
                <w:szCs w:val="24"/>
              </w:rPr>
              <w:t>12,264</w:t>
            </w:r>
          </w:p>
        </w:tc>
        <w:tc>
          <w:tcPr>
            <w:tcW w:w="0" w:type="auto"/>
            <w:shd w:val="clear" w:color="D9E1F2" w:fill="D9E1F2"/>
            <w:noWrap/>
            <w:vAlign w:val="center"/>
            <w:hideMark/>
          </w:tcPr>
          <w:p w14:paraId="4DDBA5A9" w14:textId="77777777" w:rsidR="00275B57" w:rsidRPr="00484405" w:rsidRDefault="00275B57" w:rsidP="00BC4031">
            <w:pPr>
              <w:spacing w:after="0" w:line="240" w:lineRule="auto"/>
              <w:jc w:val="center"/>
              <w:rPr>
                <w:rFonts w:cs="Times New Roman"/>
                <w:szCs w:val="24"/>
              </w:rPr>
            </w:pPr>
            <w:r w:rsidRPr="00484405">
              <w:rPr>
                <w:rFonts w:cs="Times New Roman"/>
                <w:szCs w:val="24"/>
              </w:rPr>
              <w:t>9%</w:t>
            </w:r>
          </w:p>
        </w:tc>
        <w:tc>
          <w:tcPr>
            <w:tcW w:w="0" w:type="auto"/>
            <w:shd w:val="clear" w:color="000000" w:fill="F2F2F2"/>
            <w:noWrap/>
            <w:vAlign w:val="center"/>
            <w:hideMark/>
          </w:tcPr>
          <w:p w14:paraId="7E6F17DC"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8%</w:t>
            </w:r>
          </w:p>
        </w:tc>
        <w:tc>
          <w:tcPr>
            <w:tcW w:w="0" w:type="auto"/>
            <w:shd w:val="clear" w:color="000000" w:fill="F2F2F2"/>
            <w:noWrap/>
            <w:vAlign w:val="center"/>
            <w:hideMark/>
          </w:tcPr>
          <w:p w14:paraId="06F36077"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6%</w:t>
            </w:r>
          </w:p>
        </w:tc>
      </w:tr>
      <w:tr w:rsidR="00275B57" w14:paraId="442F462E" w14:textId="77777777" w:rsidTr="004C5067">
        <w:trPr>
          <w:trHeight w:val="172"/>
        </w:trPr>
        <w:tc>
          <w:tcPr>
            <w:tcW w:w="0" w:type="auto"/>
            <w:noWrap/>
            <w:vAlign w:val="center"/>
            <w:hideMark/>
          </w:tcPr>
          <w:p w14:paraId="4117F168" w14:textId="77777777" w:rsidR="00275B57" w:rsidRPr="00484405" w:rsidRDefault="00275B57" w:rsidP="00BC4031">
            <w:pPr>
              <w:spacing w:after="0" w:line="240" w:lineRule="auto"/>
              <w:rPr>
                <w:rFonts w:cs="Times New Roman"/>
                <w:szCs w:val="24"/>
              </w:rPr>
            </w:pPr>
            <w:r w:rsidRPr="00484405">
              <w:rPr>
                <w:rFonts w:cs="Times New Roman"/>
                <w:szCs w:val="24"/>
              </w:rPr>
              <w:t>6</w:t>
            </w:r>
          </w:p>
        </w:tc>
        <w:tc>
          <w:tcPr>
            <w:tcW w:w="0" w:type="auto"/>
            <w:noWrap/>
            <w:vAlign w:val="center"/>
            <w:hideMark/>
          </w:tcPr>
          <w:p w14:paraId="468F1BB5" w14:textId="77777777" w:rsidR="00275B57" w:rsidRPr="00484405" w:rsidRDefault="00275B57" w:rsidP="00BC4031">
            <w:pPr>
              <w:spacing w:after="0" w:line="240" w:lineRule="auto"/>
              <w:jc w:val="center"/>
              <w:rPr>
                <w:rFonts w:cs="Times New Roman"/>
                <w:szCs w:val="24"/>
              </w:rPr>
            </w:pPr>
            <w:r w:rsidRPr="00484405">
              <w:rPr>
                <w:rFonts w:cs="Times New Roman"/>
                <w:szCs w:val="24"/>
              </w:rPr>
              <w:t>85%</w:t>
            </w:r>
          </w:p>
        </w:tc>
        <w:tc>
          <w:tcPr>
            <w:tcW w:w="0" w:type="auto"/>
            <w:noWrap/>
            <w:vAlign w:val="center"/>
            <w:hideMark/>
          </w:tcPr>
          <w:p w14:paraId="7B26C657" w14:textId="77777777" w:rsidR="00275B57" w:rsidRPr="00484405" w:rsidRDefault="00275B57" w:rsidP="00BC4031">
            <w:pPr>
              <w:spacing w:after="0" w:line="240" w:lineRule="auto"/>
              <w:jc w:val="center"/>
              <w:rPr>
                <w:rFonts w:cs="Times New Roman"/>
                <w:szCs w:val="24"/>
              </w:rPr>
            </w:pPr>
            <w:r w:rsidRPr="00484405">
              <w:rPr>
                <w:rFonts w:cs="Times New Roman"/>
                <w:szCs w:val="24"/>
              </w:rPr>
              <w:t>69%</w:t>
            </w:r>
          </w:p>
        </w:tc>
        <w:tc>
          <w:tcPr>
            <w:tcW w:w="0" w:type="auto"/>
            <w:shd w:val="clear" w:color="000000" w:fill="FFCC99"/>
            <w:noWrap/>
            <w:vAlign w:val="center"/>
            <w:hideMark/>
          </w:tcPr>
          <w:p w14:paraId="199404C6" w14:textId="77777777" w:rsidR="00275B57" w:rsidRPr="00484405" w:rsidRDefault="00275B57" w:rsidP="00BC4031">
            <w:pPr>
              <w:spacing w:after="0" w:line="240" w:lineRule="auto"/>
              <w:jc w:val="center"/>
              <w:rPr>
                <w:rFonts w:cs="Times New Roman"/>
                <w:szCs w:val="24"/>
              </w:rPr>
            </w:pPr>
            <w:r w:rsidRPr="00484405">
              <w:rPr>
                <w:rFonts w:cs="Times New Roman"/>
                <w:szCs w:val="24"/>
              </w:rPr>
              <w:t>0.9298</w:t>
            </w:r>
          </w:p>
        </w:tc>
        <w:tc>
          <w:tcPr>
            <w:tcW w:w="0" w:type="auto"/>
            <w:shd w:val="clear" w:color="000000" w:fill="FFCC99"/>
            <w:noWrap/>
            <w:vAlign w:val="center"/>
            <w:hideMark/>
          </w:tcPr>
          <w:p w14:paraId="5E87DB7F" w14:textId="77777777" w:rsidR="00275B57" w:rsidRPr="00484405" w:rsidRDefault="00275B57" w:rsidP="00BC4031">
            <w:pPr>
              <w:spacing w:after="0" w:line="240" w:lineRule="auto"/>
              <w:jc w:val="center"/>
              <w:rPr>
                <w:rFonts w:cs="Times New Roman"/>
                <w:szCs w:val="24"/>
              </w:rPr>
            </w:pPr>
            <w:r w:rsidRPr="00484405">
              <w:rPr>
                <w:rFonts w:cs="Times New Roman"/>
                <w:szCs w:val="24"/>
              </w:rPr>
              <w:t>12,521</w:t>
            </w:r>
          </w:p>
        </w:tc>
        <w:tc>
          <w:tcPr>
            <w:tcW w:w="0" w:type="auto"/>
            <w:noWrap/>
            <w:vAlign w:val="center"/>
            <w:hideMark/>
          </w:tcPr>
          <w:p w14:paraId="1CFC807D" w14:textId="77777777" w:rsidR="00275B57" w:rsidRPr="00484405" w:rsidRDefault="00275B57" w:rsidP="00BC4031">
            <w:pPr>
              <w:spacing w:after="0" w:line="240" w:lineRule="auto"/>
              <w:jc w:val="center"/>
              <w:rPr>
                <w:rFonts w:cs="Times New Roman"/>
                <w:szCs w:val="24"/>
              </w:rPr>
            </w:pPr>
            <w:r w:rsidRPr="00484405">
              <w:rPr>
                <w:rFonts w:cs="Times New Roman"/>
                <w:szCs w:val="24"/>
              </w:rPr>
              <w:t>11,643</w:t>
            </w:r>
          </w:p>
        </w:tc>
        <w:tc>
          <w:tcPr>
            <w:tcW w:w="0" w:type="auto"/>
            <w:noWrap/>
            <w:vAlign w:val="center"/>
            <w:hideMark/>
          </w:tcPr>
          <w:p w14:paraId="1DD9FDB9" w14:textId="77777777" w:rsidR="00275B57" w:rsidRPr="00484405" w:rsidRDefault="00275B57" w:rsidP="00BC4031">
            <w:pPr>
              <w:spacing w:after="0" w:line="240" w:lineRule="auto"/>
              <w:jc w:val="center"/>
              <w:rPr>
                <w:rFonts w:cs="Times New Roman"/>
                <w:szCs w:val="24"/>
              </w:rPr>
            </w:pPr>
            <w:r w:rsidRPr="00484405">
              <w:rPr>
                <w:rFonts w:cs="Times New Roman"/>
                <w:szCs w:val="24"/>
              </w:rPr>
              <w:t>8%</w:t>
            </w:r>
          </w:p>
        </w:tc>
        <w:tc>
          <w:tcPr>
            <w:tcW w:w="0" w:type="auto"/>
            <w:shd w:val="clear" w:color="000000" w:fill="F2F2F2"/>
            <w:noWrap/>
            <w:vAlign w:val="center"/>
            <w:hideMark/>
          </w:tcPr>
          <w:p w14:paraId="4EE77288"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7%</w:t>
            </w:r>
          </w:p>
        </w:tc>
        <w:tc>
          <w:tcPr>
            <w:tcW w:w="0" w:type="auto"/>
            <w:shd w:val="clear" w:color="000000" w:fill="F2F2F2"/>
            <w:noWrap/>
            <w:vAlign w:val="center"/>
            <w:hideMark/>
          </w:tcPr>
          <w:p w14:paraId="20219A75"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6%</w:t>
            </w:r>
          </w:p>
        </w:tc>
      </w:tr>
      <w:tr w:rsidR="00275B57" w14:paraId="0DEAC31C" w14:textId="77777777" w:rsidTr="004C5067">
        <w:trPr>
          <w:trHeight w:val="172"/>
        </w:trPr>
        <w:tc>
          <w:tcPr>
            <w:tcW w:w="0" w:type="auto"/>
            <w:shd w:val="clear" w:color="D9E1F2" w:fill="D9E1F2"/>
            <w:noWrap/>
            <w:vAlign w:val="center"/>
            <w:hideMark/>
          </w:tcPr>
          <w:p w14:paraId="64A43E15" w14:textId="77777777" w:rsidR="00275B57" w:rsidRPr="00484405" w:rsidRDefault="00275B57" w:rsidP="00BC4031">
            <w:pPr>
              <w:spacing w:after="0" w:line="240" w:lineRule="auto"/>
              <w:rPr>
                <w:rFonts w:cs="Times New Roman"/>
                <w:szCs w:val="24"/>
              </w:rPr>
            </w:pPr>
            <w:r w:rsidRPr="00484405">
              <w:rPr>
                <w:rFonts w:cs="Times New Roman"/>
                <w:szCs w:val="24"/>
              </w:rPr>
              <w:t>7</w:t>
            </w:r>
          </w:p>
        </w:tc>
        <w:tc>
          <w:tcPr>
            <w:tcW w:w="0" w:type="auto"/>
            <w:shd w:val="clear" w:color="D9E1F2" w:fill="D9E1F2"/>
            <w:noWrap/>
            <w:vAlign w:val="center"/>
            <w:hideMark/>
          </w:tcPr>
          <w:p w14:paraId="5A2F6AFF" w14:textId="77777777" w:rsidR="00275B57" w:rsidRPr="00484405" w:rsidRDefault="00275B57" w:rsidP="00BC4031">
            <w:pPr>
              <w:spacing w:after="0" w:line="240" w:lineRule="auto"/>
              <w:jc w:val="center"/>
              <w:rPr>
                <w:rFonts w:cs="Times New Roman"/>
                <w:szCs w:val="24"/>
              </w:rPr>
            </w:pPr>
            <w:r w:rsidRPr="00484405">
              <w:rPr>
                <w:rFonts w:cs="Times New Roman"/>
                <w:szCs w:val="24"/>
              </w:rPr>
              <w:t>83%</w:t>
            </w:r>
          </w:p>
        </w:tc>
        <w:tc>
          <w:tcPr>
            <w:tcW w:w="0" w:type="auto"/>
            <w:shd w:val="clear" w:color="D9E1F2" w:fill="D9E1F2"/>
            <w:noWrap/>
            <w:vAlign w:val="center"/>
            <w:hideMark/>
          </w:tcPr>
          <w:p w14:paraId="682891CD" w14:textId="77777777" w:rsidR="00275B57" w:rsidRPr="00484405" w:rsidRDefault="00275B57" w:rsidP="00BC4031">
            <w:pPr>
              <w:spacing w:after="0" w:line="240" w:lineRule="auto"/>
              <w:jc w:val="center"/>
              <w:rPr>
                <w:rFonts w:cs="Times New Roman"/>
                <w:szCs w:val="24"/>
              </w:rPr>
            </w:pPr>
            <w:r w:rsidRPr="00484405">
              <w:rPr>
                <w:rFonts w:cs="Times New Roman"/>
                <w:szCs w:val="24"/>
              </w:rPr>
              <w:t>64%</w:t>
            </w:r>
          </w:p>
        </w:tc>
        <w:tc>
          <w:tcPr>
            <w:tcW w:w="0" w:type="auto"/>
            <w:shd w:val="clear" w:color="000000" w:fill="FFCC99"/>
            <w:noWrap/>
            <w:vAlign w:val="center"/>
            <w:hideMark/>
          </w:tcPr>
          <w:p w14:paraId="776E4527" w14:textId="77777777" w:rsidR="00275B57" w:rsidRPr="00484405" w:rsidRDefault="00275B57" w:rsidP="00BC4031">
            <w:pPr>
              <w:spacing w:after="0" w:line="240" w:lineRule="auto"/>
              <w:jc w:val="center"/>
              <w:rPr>
                <w:rFonts w:cs="Times New Roman"/>
                <w:szCs w:val="24"/>
              </w:rPr>
            </w:pPr>
            <w:r w:rsidRPr="00484405">
              <w:rPr>
                <w:rFonts w:cs="Times New Roman"/>
                <w:szCs w:val="24"/>
              </w:rPr>
              <w:t>0.9113</w:t>
            </w:r>
          </w:p>
        </w:tc>
        <w:tc>
          <w:tcPr>
            <w:tcW w:w="0" w:type="auto"/>
            <w:shd w:val="clear" w:color="000000" w:fill="FFCC99"/>
            <w:noWrap/>
            <w:vAlign w:val="center"/>
            <w:hideMark/>
          </w:tcPr>
          <w:p w14:paraId="5C5FE7A5" w14:textId="77777777" w:rsidR="00275B57" w:rsidRPr="00484405" w:rsidRDefault="00275B57" w:rsidP="00BC4031">
            <w:pPr>
              <w:spacing w:after="0" w:line="240" w:lineRule="auto"/>
              <w:jc w:val="center"/>
              <w:rPr>
                <w:rFonts w:cs="Times New Roman"/>
                <w:szCs w:val="24"/>
              </w:rPr>
            </w:pPr>
            <w:r w:rsidRPr="00484405">
              <w:rPr>
                <w:rFonts w:cs="Times New Roman"/>
                <w:szCs w:val="24"/>
              </w:rPr>
              <w:t>11,465</w:t>
            </w:r>
          </w:p>
        </w:tc>
        <w:tc>
          <w:tcPr>
            <w:tcW w:w="0" w:type="auto"/>
            <w:shd w:val="clear" w:color="D9E1F2" w:fill="D9E1F2"/>
            <w:noWrap/>
            <w:vAlign w:val="center"/>
            <w:hideMark/>
          </w:tcPr>
          <w:p w14:paraId="66469628" w14:textId="77777777" w:rsidR="00275B57" w:rsidRPr="00484405" w:rsidRDefault="00275B57" w:rsidP="00BC4031">
            <w:pPr>
              <w:spacing w:after="0" w:line="240" w:lineRule="auto"/>
              <w:jc w:val="center"/>
              <w:rPr>
                <w:rFonts w:cs="Times New Roman"/>
                <w:szCs w:val="24"/>
              </w:rPr>
            </w:pPr>
            <w:r w:rsidRPr="00484405">
              <w:rPr>
                <w:rFonts w:cs="Times New Roman"/>
                <w:szCs w:val="24"/>
              </w:rPr>
              <w:t>10,448</w:t>
            </w:r>
          </w:p>
        </w:tc>
        <w:tc>
          <w:tcPr>
            <w:tcW w:w="0" w:type="auto"/>
            <w:shd w:val="clear" w:color="D9E1F2" w:fill="D9E1F2"/>
            <w:noWrap/>
            <w:vAlign w:val="center"/>
            <w:hideMark/>
          </w:tcPr>
          <w:p w14:paraId="3CFB67FB" w14:textId="77777777" w:rsidR="00275B57" w:rsidRPr="00484405" w:rsidRDefault="00275B57" w:rsidP="00BC4031">
            <w:pPr>
              <w:spacing w:after="0" w:line="240" w:lineRule="auto"/>
              <w:jc w:val="center"/>
              <w:rPr>
                <w:rFonts w:cs="Times New Roman"/>
                <w:szCs w:val="24"/>
              </w:rPr>
            </w:pPr>
            <w:r w:rsidRPr="00484405">
              <w:rPr>
                <w:rFonts w:cs="Times New Roman"/>
                <w:szCs w:val="24"/>
              </w:rPr>
              <w:t>7%</w:t>
            </w:r>
          </w:p>
        </w:tc>
        <w:tc>
          <w:tcPr>
            <w:tcW w:w="0" w:type="auto"/>
            <w:shd w:val="clear" w:color="000000" w:fill="F2F2F2"/>
            <w:noWrap/>
            <w:vAlign w:val="center"/>
            <w:hideMark/>
          </w:tcPr>
          <w:p w14:paraId="13D0CDCC"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6%</w:t>
            </w:r>
          </w:p>
        </w:tc>
        <w:tc>
          <w:tcPr>
            <w:tcW w:w="0" w:type="auto"/>
            <w:shd w:val="clear" w:color="000000" w:fill="F2F2F2"/>
            <w:noWrap/>
            <w:vAlign w:val="center"/>
            <w:hideMark/>
          </w:tcPr>
          <w:p w14:paraId="4C73B4C5"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5%</w:t>
            </w:r>
          </w:p>
        </w:tc>
      </w:tr>
      <w:tr w:rsidR="00275B57" w14:paraId="24A5B3B6" w14:textId="77777777" w:rsidTr="004C5067">
        <w:trPr>
          <w:trHeight w:val="172"/>
        </w:trPr>
        <w:tc>
          <w:tcPr>
            <w:tcW w:w="0" w:type="auto"/>
            <w:noWrap/>
            <w:vAlign w:val="center"/>
            <w:hideMark/>
          </w:tcPr>
          <w:p w14:paraId="024BBEF9" w14:textId="77777777" w:rsidR="00275B57" w:rsidRPr="00484405" w:rsidRDefault="00275B57" w:rsidP="00BC4031">
            <w:pPr>
              <w:spacing w:after="0" w:line="240" w:lineRule="auto"/>
              <w:rPr>
                <w:rFonts w:cs="Times New Roman"/>
                <w:szCs w:val="24"/>
              </w:rPr>
            </w:pPr>
            <w:r w:rsidRPr="00484405">
              <w:rPr>
                <w:rFonts w:cs="Times New Roman"/>
                <w:szCs w:val="24"/>
              </w:rPr>
              <w:t>8</w:t>
            </w:r>
          </w:p>
        </w:tc>
        <w:tc>
          <w:tcPr>
            <w:tcW w:w="0" w:type="auto"/>
            <w:noWrap/>
            <w:vAlign w:val="center"/>
            <w:hideMark/>
          </w:tcPr>
          <w:p w14:paraId="65F30BD2" w14:textId="77777777" w:rsidR="00275B57" w:rsidRPr="00484405" w:rsidRDefault="00275B57" w:rsidP="00BC4031">
            <w:pPr>
              <w:spacing w:after="0" w:line="240" w:lineRule="auto"/>
              <w:jc w:val="center"/>
              <w:rPr>
                <w:rFonts w:cs="Times New Roman"/>
                <w:szCs w:val="24"/>
              </w:rPr>
            </w:pPr>
            <w:r w:rsidRPr="00484405">
              <w:rPr>
                <w:rFonts w:cs="Times New Roman"/>
                <w:szCs w:val="24"/>
              </w:rPr>
              <w:t>80%</w:t>
            </w:r>
          </w:p>
        </w:tc>
        <w:tc>
          <w:tcPr>
            <w:tcW w:w="0" w:type="auto"/>
            <w:noWrap/>
            <w:vAlign w:val="center"/>
            <w:hideMark/>
          </w:tcPr>
          <w:p w14:paraId="38196822" w14:textId="77777777" w:rsidR="00275B57" w:rsidRPr="00484405" w:rsidRDefault="00275B57" w:rsidP="00BC4031">
            <w:pPr>
              <w:spacing w:after="0" w:line="240" w:lineRule="auto"/>
              <w:jc w:val="center"/>
              <w:rPr>
                <w:rFonts w:cs="Times New Roman"/>
                <w:szCs w:val="24"/>
              </w:rPr>
            </w:pPr>
            <w:r w:rsidRPr="00484405">
              <w:rPr>
                <w:rFonts w:cs="Times New Roman"/>
                <w:szCs w:val="24"/>
              </w:rPr>
              <w:t>60%</w:t>
            </w:r>
          </w:p>
        </w:tc>
        <w:tc>
          <w:tcPr>
            <w:tcW w:w="0" w:type="auto"/>
            <w:shd w:val="clear" w:color="000000" w:fill="FFCC99"/>
            <w:noWrap/>
            <w:vAlign w:val="center"/>
            <w:hideMark/>
          </w:tcPr>
          <w:p w14:paraId="41BCA8F5" w14:textId="77777777" w:rsidR="00275B57" w:rsidRPr="00484405" w:rsidRDefault="00275B57" w:rsidP="00BC4031">
            <w:pPr>
              <w:spacing w:after="0" w:line="240" w:lineRule="auto"/>
              <w:jc w:val="center"/>
              <w:rPr>
                <w:rFonts w:cs="Times New Roman"/>
                <w:szCs w:val="24"/>
              </w:rPr>
            </w:pPr>
            <w:r w:rsidRPr="00484405">
              <w:rPr>
                <w:rFonts w:cs="Times New Roman"/>
                <w:szCs w:val="24"/>
              </w:rPr>
              <w:t>0.8912</w:t>
            </w:r>
          </w:p>
        </w:tc>
        <w:tc>
          <w:tcPr>
            <w:tcW w:w="0" w:type="auto"/>
            <w:shd w:val="clear" w:color="000000" w:fill="FFCC99"/>
            <w:noWrap/>
            <w:vAlign w:val="center"/>
            <w:hideMark/>
          </w:tcPr>
          <w:p w14:paraId="7DAA9937" w14:textId="77777777" w:rsidR="00275B57" w:rsidRPr="00484405" w:rsidRDefault="00275B57" w:rsidP="00BC4031">
            <w:pPr>
              <w:spacing w:after="0" w:line="240" w:lineRule="auto"/>
              <w:jc w:val="center"/>
              <w:rPr>
                <w:rFonts w:cs="Times New Roman"/>
                <w:szCs w:val="24"/>
              </w:rPr>
            </w:pPr>
            <w:r w:rsidRPr="00484405">
              <w:rPr>
                <w:rFonts w:cs="Times New Roman"/>
                <w:szCs w:val="24"/>
              </w:rPr>
              <w:t>10,203</w:t>
            </w:r>
          </w:p>
        </w:tc>
        <w:tc>
          <w:tcPr>
            <w:tcW w:w="0" w:type="auto"/>
            <w:noWrap/>
            <w:vAlign w:val="center"/>
            <w:hideMark/>
          </w:tcPr>
          <w:p w14:paraId="14C4C77F" w14:textId="77777777" w:rsidR="00275B57" w:rsidRPr="00484405" w:rsidRDefault="00275B57" w:rsidP="00BC4031">
            <w:pPr>
              <w:spacing w:after="0" w:line="240" w:lineRule="auto"/>
              <w:jc w:val="center"/>
              <w:rPr>
                <w:rFonts w:cs="Times New Roman"/>
                <w:szCs w:val="24"/>
              </w:rPr>
            </w:pPr>
            <w:r w:rsidRPr="00484405">
              <w:rPr>
                <w:rFonts w:cs="Times New Roman"/>
                <w:szCs w:val="24"/>
              </w:rPr>
              <w:t>9,092</w:t>
            </w:r>
          </w:p>
        </w:tc>
        <w:tc>
          <w:tcPr>
            <w:tcW w:w="0" w:type="auto"/>
            <w:noWrap/>
            <w:vAlign w:val="center"/>
            <w:hideMark/>
          </w:tcPr>
          <w:p w14:paraId="5C2617FF" w14:textId="77777777" w:rsidR="00275B57" w:rsidRPr="00484405" w:rsidRDefault="00275B57" w:rsidP="00BC4031">
            <w:pPr>
              <w:spacing w:after="0" w:line="240" w:lineRule="auto"/>
              <w:jc w:val="center"/>
              <w:rPr>
                <w:rFonts w:cs="Times New Roman"/>
                <w:szCs w:val="24"/>
              </w:rPr>
            </w:pPr>
            <w:r w:rsidRPr="00484405">
              <w:rPr>
                <w:rFonts w:cs="Times New Roman"/>
                <w:szCs w:val="24"/>
              </w:rPr>
              <w:t>6%</w:t>
            </w:r>
          </w:p>
        </w:tc>
        <w:tc>
          <w:tcPr>
            <w:tcW w:w="0" w:type="auto"/>
            <w:shd w:val="clear" w:color="000000" w:fill="F2F2F2"/>
            <w:noWrap/>
            <w:vAlign w:val="center"/>
            <w:hideMark/>
          </w:tcPr>
          <w:p w14:paraId="3C7368B4"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5%</w:t>
            </w:r>
          </w:p>
        </w:tc>
        <w:tc>
          <w:tcPr>
            <w:tcW w:w="0" w:type="auto"/>
            <w:shd w:val="clear" w:color="000000" w:fill="F2F2F2"/>
            <w:noWrap/>
            <w:vAlign w:val="center"/>
            <w:hideMark/>
          </w:tcPr>
          <w:p w14:paraId="32849DC7"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4%</w:t>
            </w:r>
          </w:p>
        </w:tc>
      </w:tr>
      <w:tr w:rsidR="00275B57" w14:paraId="47525855" w14:textId="77777777" w:rsidTr="004C5067">
        <w:trPr>
          <w:trHeight w:val="172"/>
        </w:trPr>
        <w:tc>
          <w:tcPr>
            <w:tcW w:w="0" w:type="auto"/>
            <w:shd w:val="clear" w:color="D9E1F2" w:fill="D9E1F2"/>
            <w:noWrap/>
            <w:vAlign w:val="center"/>
            <w:hideMark/>
          </w:tcPr>
          <w:p w14:paraId="03EC0D7C" w14:textId="77777777" w:rsidR="00275B57" w:rsidRPr="00484405" w:rsidRDefault="00275B57" w:rsidP="00BC4031">
            <w:pPr>
              <w:spacing w:after="0" w:line="240" w:lineRule="auto"/>
              <w:rPr>
                <w:rFonts w:cs="Times New Roman"/>
                <w:szCs w:val="24"/>
              </w:rPr>
            </w:pPr>
            <w:r w:rsidRPr="00484405">
              <w:rPr>
                <w:rFonts w:cs="Times New Roman"/>
                <w:szCs w:val="24"/>
              </w:rPr>
              <w:t>9</w:t>
            </w:r>
          </w:p>
        </w:tc>
        <w:tc>
          <w:tcPr>
            <w:tcW w:w="0" w:type="auto"/>
            <w:shd w:val="clear" w:color="D9E1F2" w:fill="D9E1F2"/>
            <w:noWrap/>
            <w:vAlign w:val="center"/>
            <w:hideMark/>
          </w:tcPr>
          <w:p w14:paraId="2748616A" w14:textId="77777777" w:rsidR="00275B57" w:rsidRPr="00484405" w:rsidRDefault="00275B57" w:rsidP="00BC4031">
            <w:pPr>
              <w:spacing w:after="0" w:line="240" w:lineRule="auto"/>
              <w:jc w:val="center"/>
              <w:rPr>
                <w:rFonts w:cs="Times New Roman"/>
                <w:szCs w:val="24"/>
              </w:rPr>
            </w:pPr>
            <w:r w:rsidRPr="00484405">
              <w:rPr>
                <w:rFonts w:cs="Times New Roman"/>
                <w:szCs w:val="24"/>
              </w:rPr>
              <w:t>78%</w:t>
            </w:r>
          </w:p>
        </w:tc>
        <w:tc>
          <w:tcPr>
            <w:tcW w:w="0" w:type="auto"/>
            <w:shd w:val="clear" w:color="D9E1F2" w:fill="D9E1F2"/>
            <w:noWrap/>
            <w:vAlign w:val="center"/>
            <w:hideMark/>
          </w:tcPr>
          <w:p w14:paraId="1ECDE172" w14:textId="77777777" w:rsidR="00275B57" w:rsidRPr="00484405" w:rsidRDefault="00275B57" w:rsidP="00BC4031">
            <w:pPr>
              <w:spacing w:after="0" w:line="240" w:lineRule="auto"/>
              <w:jc w:val="center"/>
              <w:rPr>
                <w:rFonts w:cs="Times New Roman"/>
                <w:szCs w:val="24"/>
              </w:rPr>
            </w:pPr>
            <w:r w:rsidRPr="00484405">
              <w:rPr>
                <w:rFonts w:cs="Times New Roman"/>
                <w:szCs w:val="24"/>
              </w:rPr>
              <w:t>56%</w:t>
            </w:r>
          </w:p>
        </w:tc>
        <w:tc>
          <w:tcPr>
            <w:tcW w:w="0" w:type="auto"/>
            <w:shd w:val="clear" w:color="000000" w:fill="FFCC99"/>
            <w:noWrap/>
            <w:vAlign w:val="center"/>
            <w:hideMark/>
          </w:tcPr>
          <w:p w14:paraId="5B4EA642" w14:textId="77777777" w:rsidR="00275B57" w:rsidRPr="00484405" w:rsidRDefault="00275B57" w:rsidP="00BC4031">
            <w:pPr>
              <w:spacing w:after="0" w:line="240" w:lineRule="auto"/>
              <w:jc w:val="center"/>
              <w:rPr>
                <w:rFonts w:cs="Times New Roman"/>
                <w:szCs w:val="24"/>
              </w:rPr>
            </w:pPr>
            <w:r w:rsidRPr="00484405">
              <w:rPr>
                <w:rFonts w:cs="Times New Roman"/>
                <w:szCs w:val="24"/>
              </w:rPr>
              <w:t>0.8689</w:t>
            </w:r>
          </w:p>
        </w:tc>
        <w:tc>
          <w:tcPr>
            <w:tcW w:w="0" w:type="auto"/>
            <w:shd w:val="clear" w:color="000000" w:fill="FFCC99"/>
            <w:noWrap/>
            <w:vAlign w:val="center"/>
            <w:hideMark/>
          </w:tcPr>
          <w:p w14:paraId="734D15A1" w14:textId="77777777" w:rsidR="00275B57" w:rsidRPr="00484405" w:rsidRDefault="00275B57" w:rsidP="00BC4031">
            <w:pPr>
              <w:spacing w:after="0" w:line="240" w:lineRule="auto"/>
              <w:jc w:val="center"/>
              <w:rPr>
                <w:rFonts w:cs="Times New Roman"/>
                <w:szCs w:val="24"/>
              </w:rPr>
            </w:pPr>
            <w:r w:rsidRPr="00484405">
              <w:rPr>
                <w:rFonts w:cs="Times New Roman"/>
                <w:szCs w:val="24"/>
              </w:rPr>
              <w:t>8,842</w:t>
            </w:r>
          </w:p>
        </w:tc>
        <w:tc>
          <w:tcPr>
            <w:tcW w:w="0" w:type="auto"/>
            <w:shd w:val="clear" w:color="D9E1F2" w:fill="D9E1F2"/>
            <w:noWrap/>
            <w:vAlign w:val="center"/>
            <w:hideMark/>
          </w:tcPr>
          <w:p w14:paraId="6F43B1A7" w14:textId="77777777" w:rsidR="00275B57" w:rsidRPr="00484405" w:rsidRDefault="00275B57" w:rsidP="00BC4031">
            <w:pPr>
              <w:spacing w:after="0" w:line="240" w:lineRule="auto"/>
              <w:jc w:val="center"/>
              <w:rPr>
                <w:rFonts w:cs="Times New Roman"/>
                <w:szCs w:val="24"/>
              </w:rPr>
            </w:pPr>
            <w:r w:rsidRPr="00484405">
              <w:rPr>
                <w:rFonts w:cs="Times New Roman"/>
                <w:szCs w:val="24"/>
              </w:rPr>
              <w:t>7,683</w:t>
            </w:r>
          </w:p>
        </w:tc>
        <w:tc>
          <w:tcPr>
            <w:tcW w:w="0" w:type="auto"/>
            <w:shd w:val="clear" w:color="D9E1F2" w:fill="D9E1F2"/>
            <w:noWrap/>
            <w:vAlign w:val="center"/>
            <w:hideMark/>
          </w:tcPr>
          <w:p w14:paraId="130350BA" w14:textId="77777777" w:rsidR="00275B57" w:rsidRPr="00484405" w:rsidRDefault="00275B57" w:rsidP="00BC4031">
            <w:pPr>
              <w:spacing w:after="0" w:line="240" w:lineRule="auto"/>
              <w:jc w:val="center"/>
              <w:rPr>
                <w:rFonts w:cs="Times New Roman"/>
                <w:szCs w:val="24"/>
              </w:rPr>
            </w:pPr>
            <w:r w:rsidRPr="00484405">
              <w:rPr>
                <w:rFonts w:cs="Times New Roman"/>
                <w:szCs w:val="24"/>
              </w:rPr>
              <w:t>5%</w:t>
            </w:r>
          </w:p>
        </w:tc>
        <w:tc>
          <w:tcPr>
            <w:tcW w:w="0" w:type="auto"/>
            <w:shd w:val="clear" w:color="000000" w:fill="F2F2F2"/>
            <w:noWrap/>
            <w:vAlign w:val="center"/>
            <w:hideMark/>
          </w:tcPr>
          <w:p w14:paraId="013CA932"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4%</w:t>
            </w:r>
          </w:p>
        </w:tc>
        <w:tc>
          <w:tcPr>
            <w:tcW w:w="0" w:type="auto"/>
            <w:shd w:val="clear" w:color="000000" w:fill="F2F2F2"/>
            <w:noWrap/>
            <w:vAlign w:val="center"/>
            <w:hideMark/>
          </w:tcPr>
          <w:p w14:paraId="0F338A6E"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3%</w:t>
            </w:r>
          </w:p>
        </w:tc>
      </w:tr>
      <w:tr w:rsidR="00275B57" w14:paraId="143119EF" w14:textId="77777777" w:rsidTr="004C5067">
        <w:trPr>
          <w:trHeight w:val="172"/>
        </w:trPr>
        <w:tc>
          <w:tcPr>
            <w:tcW w:w="0" w:type="auto"/>
            <w:noWrap/>
            <w:vAlign w:val="center"/>
            <w:hideMark/>
          </w:tcPr>
          <w:p w14:paraId="3D1386F7" w14:textId="77777777" w:rsidR="00275B57" w:rsidRPr="00484405" w:rsidRDefault="00275B57" w:rsidP="00BC4031">
            <w:pPr>
              <w:spacing w:after="0" w:line="240" w:lineRule="auto"/>
              <w:rPr>
                <w:rFonts w:cs="Times New Roman"/>
                <w:szCs w:val="24"/>
              </w:rPr>
            </w:pPr>
            <w:r w:rsidRPr="00484405">
              <w:rPr>
                <w:rFonts w:cs="Times New Roman"/>
                <w:szCs w:val="24"/>
              </w:rPr>
              <w:t>10</w:t>
            </w:r>
          </w:p>
        </w:tc>
        <w:tc>
          <w:tcPr>
            <w:tcW w:w="0" w:type="auto"/>
            <w:noWrap/>
            <w:vAlign w:val="center"/>
            <w:hideMark/>
          </w:tcPr>
          <w:p w14:paraId="385C33B9" w14:textId="77777777" w:rsidR="00275B57" w:rsidRPr="00484405" w:rsidRDefault="00275B57" w:rsidP="00BC4031">
            <w:pPr>
              <w:spacing w:after="0" w:line="240" w:lineRule="auto"/>
              <w:jc w:val="center"/>
              <w:rPr>
                <w:rFonts w:cs="Times New Roman"/>
                <w:szCs w:val="24"/>
              </w:rPr>
            </w:pPr>
            <w:r w:rsidRPr="00484405">
              <w:rPr>
                <w:rFonts w:cs="Times New Roman"/>
                <w:szCs w:val="24"/>
              </w:rPr>
              <w:t>76%</w:t>
            </w:r>
          </w:p>
        </w:tc>
        <w:tc>
          <w:tcPr>
            <w:tcW w:w="0" w:type="auto"/>
            <w:noWrap/>
            <w:vAlign w:val="center"/>
            <w:hideMark/>
          </w:tcPr>
          <w:p w14:paraId="44392343" w14:textId="77777777" w:rsidR="00275B57" w:rsidRPr="00484405" w:rsidRDefault="00275B57" w:rsidP="00BC4031">
            <w:pPr>
              <w:spacing w:after="0" w:line="240" w:lineRule="auto"/>
              <w:jc w:val="center"/>
              <w:rPr>
                <w:rFonts w:cs="Times New Roman"/>
                <w:szCs w:val="24"/>
              </w:rPr>
            </w:pPr>
            <w:r w:rsidRPr="00484405">
              <w:rPr>
                <w:rFonts w:cs="Times New Roman"/>
                <w:szCs w:val="24"/>
              </w:rPr>
              <w:t>53%</w:t>
            </w:r>
          </w:p>
        </w:tc>
        <w:tc>
          <w:tcPr>
            <w:tcW w:w="0" w:type="auto"/>
            <w:shd w:val="clear" w:color="000000" w:fill="FFCC99"/>
            <w:noWrap/>
            <w:vAlign w:val="center"/>
            <w:hideMark/>
          </w:tcPr>
          <w:p w14:paraId="5F0AA01F" w14:textId="77777777" w:rsidR="00275B57" w:rsidRPr="00484405" w:rsidRDefault="00275B57" w:rsidP="00BC4031">
            <w:pPr>
              <w:spacing w:after="0" w:line="240" w:lineRule="auto"/>
              <w:jc w:val="center"/>
              <w:rPr>
                <w:rFonts w:cs="Times New Roman"/>
                <w:szCs w:val="24"/>
              </w:rPr>
            </w:pPr>
            <w:r w:rsidRPr="00484405">
              <w:rPr>
                <w:rFonts w:cs="Times New Roman"/>
                <w:szCs w:val="24"/>
              </w:rPr>
              <w:t>0.8397</w:t>
            </w:r>
          </w:p>
        </w:tc>
        <w:tc>
          <w:tcPr>
            <w:tcW w:w="0" w:type="auto"/>
            <w:shd w:val="clear" w:color="000000" w:fill="FFCC99"/>
            <w:noWrap/>
            <w:vAlign w:val="center"/>
            <w:hideMark/>
          </w:tcPr>
          <w:p w14:paraId="35ADBCD9" w14:textId="77777777" w:rsidR="00275B57" w:rsidRPr="00484405" w:rsidRDefault="00275B57" w:rsidP="00BC4031">
            <w:pPr>
              <w:spacing w:after="0" w:line="240" w:lineRule="auto"/>
              <w:jc w:val="center"/>
              <w:rPr>
                <w:rFonts w:cs="Times New Roman"/>
                <w:szCs w:val="24"/>
              </w:rPr>
            </w:pPr>
            <w:r w:rsidRPr="00484405">
              <w:rPr>
                <w:rFonts w:cs="Times New Roman"/>
                <w:szCs w:val="24"/>
              </w:rPr>
              <w:t>7,493</w:t>
            </w:r>
          </w:p>
        </w:tc>
        <w:tc>
          <w:tcPr>
            <w:tcW w:w="0" w:type="auto"/>
            <w:noWrap/>
            <w:vAlign w:val="center"/>
            <w:hideMark/>
          </w:tcPr>
          <w:p w14:paraId="6532A6C6" w14:textId="77777777" w:rsidR="00275B57" w:rsidRPr="00484405" w:rsidRDefault="00275B57" w:rsidP="00BC4031">
            <w:pPr>
              <w:spacing w:after="0" w:line="240" w:lineRule="auto"/>
              <w:jc w:val="center"/>
              <w:rPr>
                <w:rFonts w:cs="Times New Roman"/>
                <w:szCs w:val="24"/>
              </w:rPr>
            </w:pPr>
            <w:r w:rsidRPr="00484405">
              <w:rPr>
                <w:rFonts w:cs="Times New Roman"/>
                <w:szCs w:val="24"/>
              </w:rPr>
              <w:t>6,292</w:t>
            </w:r>
          </w:p>
        </w:tc>
        <w:tc>
          <w:tcPr>
            <w:tcW w:w="0" w:type="auto"/>
            <w:noWrap/>
            <w:vAlign w:val="center"/>
            <w:hideMark/>
          </w:tcPr>
          <w:p w14:paraId="6334E0E1" w14:textId="77777777" w:rsidR="00275B57" w:rsidRPr="00484405" w:rsidRDefault="00275B57" w:rsidP="00BC4031">
            <w:pPr>
              <w:spacing w:after="0" w:line="240" w:lineRule="auto"/>
              <w:jc w:val="center"/>
              <w:rPr>
                <w:rFonts w:cs="Times New Roman"/>
                <w:szCs w:val="24"/>
              </w:rPr>
            </w:pPr>
            <w:r w:rsidRPr="00484405">
              <w:rPr>
                <w:rFonts w:cs="Times New Roman"/>
                <w:szCs w:val="24"/>
              </w:rPr>
              <w:t>4%</w:t>
            </w:r>
          </w:p>
        </w:tc>
        <w:tc>
          <w:tcPr>
            <w:tcW w:w="0" w:type="auto"/>
            <w:shd w:val="clear" w:color="000000" w:fill="F2F2F2"/>
            <w:noWrap/>
            <w:vAlign w:val="center"/>
            <w:hideMark/>
          </w:tcPr>
          <w:p w14:paraId="7EA4079A"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3%</w:t>
            </w:r>
          </w:p>
        </w:tc>
        <w:tc>
          <w:tcPr>
            <w:tcW w:w="0" w:type="auto"/>
            <w:shd w:val="clear" w:color="000000" w:fill="F2F2F2"/>
            <w:noWrap/>
            <w:vAlign w:val="center"/>
            <w:hideMark/>
          </w:tcPr>
          <w:p w14:paraId="75C4A66A"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2%</w:t>
            </w:r>
          </w:p>
        </w:tc>
      </w:tr>
      <w:tr w:rsidR="00275B57" w14:paraId="2B15634A" w14:textId="77777777" w:rsidTr="004C5067">
        <w:trPr>
          <w:trHeight w:val="172"/>
        </w:trPr>
        <w:tc>
          <w:tcPr>
            <w:tcW w:w="0" w:type="auto"/>
            <w:shd w:val="clear" w:color="D9E1F2" w:fill="D9E1F2"/>
            <w:noWrap/>
            <w:vAlign w:val="center"/>
            <w:hideMark/>
          </w:tcPr>
          <w:p w14:paraId="3ABCAF2E" w14:textId="77777777" w:rsidR="00275B57" w:rsidRPr="00484405" w:rsidRDefault="00275B57" w:rsidP="00BC4031">
            <w:pPr>
              <w:spacing w:after="0" w:line="240" w:lineRule="auto"/>
              <w:rPr>
                <w:rFonts w:cs="Times New Roman"/>
                <w:szCs w:val="24"/>
              </w:rPr>
            </w:pPr>
            <w:r w:rsidRPr="00484405">
              <w:rPr>
                <w:rFonts w:cs="Times New Roman"/>
                <w:szCs w:val="24"/>
              </w:rPr>
              <w:lastRenderedPageBreak/>
              <w:t>11</w:t>
            </w:r>
          </w:p>
        </w:tc>
        <w:tc>
          <w:tcPr>
            <w:tcW w:w="0" w:type="auto"/>
            <w:shd w:val="clear" w:color="D9E1F2" w:fill="D9E1F2"/>
            <w:noWrap/>
            <w:vAlign w:val="center"/>
            <w:hideMark/>
          </w:tcPr>
          <w:p w14:paraId="5ADA8B67" w14:textId="77777777" w:rsidR="00275B57" w:rsidRPr="00484405" w:rsidRDefault="00275B57" w:rsidP="00BC4031">
            <w:pPr>
              <w:spacing w:after="0" w:line="240" w:lineRule="auto"/>
              <w:jc w:val="center"/>
              <w:rPr>
                <w:rFonts w:cs="Times New Roman"/>
                <w:szCs w:val="24"/>
              </w:rPr>
            </w:pPr>
            <w:r w:rsidRPr="00484405">
              <w:rPr>
                <w:rFonts w:cs="Times New Roman"/>
                <w:szCs w:val="24"/>
              </w:rPr>
              <w:t>73%</w:t>
            </w:r>
          </w:p>
        </w:tc>
        <w:tc>
          <w:tcPr>
            <w:tcW w:w="0" w:type="auto"/>
            <w:shd w:val="clear" w:color="D9E1F2" w:fill="D9E1F2"/>
            <w:noWrap/>
            <w:vAlign w:val="center"/>
            <w:hideMark/>
          </w:tcPr>
          <w:p w14:paraId="0D22DD64" w14:textId="77777777" w:rsidR="00275B57" w:rsidRPr="00484405" w:rsidRDefault="00275B57" w:rsidP="00BC4031">
            <w:pPr>
              <w:spacing w:after="0" w:line="240" w:lineRule="auto"/>
              <w:jc w:val="center"/>
              <w:rPr>
                <w:rFonts w:cs="Times New Roman"/>
                <w:szCs w:val="24"/>
              </w:rPr>
            </w:pPr>
            <w:r w:rsidRPr="00484405">
              <w:rPr>
                <w:rFonts w:cs="Times New Roman"/>
                <w:szCs w:val="24"/>
              </w:rPr>
              <w:t>49%</w:t>
            </w:r>
          </w:p>
        </w:tc>
        <w:tc>
          <w:tcPr>
            <w:tcW w:w="0" w:type="auto"/>
            <w:shd w:val="clear" w:color="000000" w:fill="FFCC99"/>
            <w:noWrap/>
            <w:vAlign w:val="center"/>
            <w:hideMark/>
          </w:tcPr>
          <w:p w14:paraId="0D93F92F" w14:textId="77777777" w:rsidR="00275B57" w:rsidRPr="00484405" w:rsidRDefault="00275B57" w:rsidP="00BC4031">
            <w:pPr>
              <w:spacing w:after="0" w:line="240" w:lineRule="auto"/>
              <w:jc w:val="center"/>
              <w:rPr>
                <w:rFonts w:cs="Times New Roman"/>
                <w:szCs w:val="24"/>
              </w:rPr>
            </w:pPr>
            <w:r w:rsidRPr="00484405">
              <w:rPr>
                <w:rFonts w:cs="Times New Roman"/>
                <w:szCs w:val="24"/>
              </w:rPr>
              <w:t>0.7999</w:t>
            </w:r>
          </w:p>
        </w:tc>
        <w:tc>
          <w:tcPr>
            <w:tcW w:w="0" w:type="auto"/>
            <w:shd w:val="clear" w:color="000000" w:fill="FFCC99"/>
            <w:noWrap/>
            <w:vAlign w:val="center"/>
            <w:hideMark/>
          </w:tcPr>
          <w:p w14:paraId="00CB27DE" w14:textId="77777777" w:rsidR="00275B57" w:rsidRPr="00484405" w:rsidRDefault="00275B57" w:rsidP="00BC4031">
            <w:pPr>
              <w:spacing w:after="0" w:line="240" w:lineRule="auto"/>
              <w:jc w:val="center"/>
              <w:rPr>
                <w:rFonts w:cs="Times New Roman"/>
                <w:szCs w:val="24"/>
              </w:rPr>
            </w:pPr>
            <w:r w:rsidRPr="00484405">
              <w:rPr>
                <w:rFonts w:cs="Times New Roman"/>
                <w:szCs w:val="24"/>
              </w:rPr>
              <w:t>6,264</w:t>
            </w:r>
          </w:p>
        </w:tc>
        <w:tc>
          <w:tcPr>
            <w:tcW w:w="0" w:type="auto"/>
            <w:shd w:val="clear" w:color="D9E1F2" w:fill="D9E1F2"/>
            <w:noWrap/>
            <w:vAlign w:val="center"/>
            <w:hideMark/>
          </w:tcPr>
          <w:p w14:paraId="0CC50E13" w14:textId="77777777" w:rsidR="00275B57" w:rsidRPr="00484405" w:rsidRDefault="00275B57" w:rsidP="00BC4031">
            <w:pPr>
              <w:spacing w:after="0" w:line="240" w:lineRule="auto"/>
              <w:jc w:val="center"/>
              <w:rPr>
                <w:rFonts w:cs="Times New Roman"/>
                <w:szCs w:val="24"/>
              </w:rPr>
            </w:pPr>
            <w:r w:rsidRPr="00484405">
              <w:rPr>
                <w:rFonts w:cs="Times New Roman"/>
                <w:szCs w:val="24"/>
              </w:rPr>
              <w:t>5,011</w:t>
            </w:r>
          </w:p>
        </w:tc>
        <w:tc>
          <w:tcPr>
            <w:tcW w:w="0" w:type="auto"/>
            <w:shd w:val="clear" w:color="D9E1F2" w:fill="D9E1F2"/>
            <w:noWrap/>
            <w:vAlign w:val="center"/>
            <w:hideMark/>
          </w:tcPr>
          <w:p w14:paraId="7EB998A3" w14:textId="77777777" w:rsidR="00275B57" w:rsidRPr="00484405" w:rsidRDefault="00275B57" w:rsidP="00BC4031">
            <w:pPr>
              <w:spacing w:after="0" w:line="240" w:lineRule="auto"/>
              <w:jc w:val="center"/>
              <w:rPr>
                <w:rFonts w:cs="Times New Roman"/>
                <w:szCs w:val="24"/>
              </w:rPr>
            </w:pPr>
            <w:r w:rsidRPr="00484405">
              <w:rPr>
                <w:rFonts w:cs="Times New Roman"/>
                <w:szCs w:val="24"/>
              </w:rPr>
              <w:t>4%</w:t>
            </w:r>
          </w:p>
        </w:tc>
        <w:tc>
          <w:tcPr>
            <w:tcW w:w="0" w:type="auto"/>
            <w:shd w:val="clear" w:color="000000" w:fill="F2F2F2"/>
            <w:noWrap/>
            <w:vAlign w:val="center"/>
            <w:hideMark/>
          </w:tcPr>
          <w:p w14:paraId="3121913A"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3%</w:t>
            </w:r>
          </w:p>
        </w:tc>
        <w:tc>
          <w:tcPr>
            <w:tcW w:w="0" w:type="auto"/>
            <w:shd w:val="clear" w:color="000000" w:fill="F2F2F2"/>
            <w:noWrap/>
            <w:vAlign w:val="center"/>
            <w:hideMark/>
          </w:tcPr>
          <w:p w14:paraId="6FCD1E6E"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2%</w:t>
            </w:r>
          </w:p>
        </w:tc>
      </w:tr>
      <w:tr w:rsidR="00275B57" w14:paraId="3C055749" w14:textId="77777777" w:rsidTr="004C5067">
        <w:trPr>
          <w:trHeight w:val="172"/>
        </w:trPr>
        <w:tc>
          <w:tcPr>
            <w:tcW w:w="0" w:type="auto"/>
            <w:noWrap/>
            <w:vAlign w:val="center"/>
            <w:hideMark/>
          </w:tcPr>
          <w:p w14:paraId="6E8ED523" w14:textId="77777777" w:rsidR="00275B57" w:rsidRPr="00484405" w:rsidRDefault="00275B57" w:rsidP="00BC4031">
            <w:pPr>
              <w:spacing w:after="0" w:line="240" w:lineRule="auto"/>
              <w:rPr>
                <w:rFonts w:cs="Times New Roman"/>
                <w:szCs w:val="24"/>
              </w:rPr>
            </w:pPr>
            <w:r w:rsidRPr="00484405">
              <w:rPr>
                <w:rFonts w:cs="Times New Roman"/>
                <w:szCs w:val="24"/>
              </w:rPr>
              <w:t>12</w:t>
            </w:r>
          </w:p>
        </w:tc>
        <w:tc>
          <w:tcPr>
            <w:tcW w:w="0" w:type="auto"/>
            <w:noWrap/>
            <w:vAlign w:val="center"/>
            <w:hideMark/>
          </w:tcPr>
          <w:p w14:paraId="50EC7D64" w14:textId="77777777" w:rsidR="00275B57" w:rsidRPr="00484405" w:rsidRDefault="00275B57" w:rsidP="00BC4031">
            <w:pPr>
              <w:spacing w:after="0" w:line="240" w:lineRule="auto"/>
              <w:jc w:val="center"/>
              <w:rPr>
                <w:rFonts w:cs="Times New Roman"/>
                <w:szCs w:val="24"/>
              </w:rPr>
            </w:pPr>
            <w:r w:rsidRPr="00484405">
              <w:rPr>
                <w:rFonts w:cs="Times New Roman"/>
                <w:szCs w:val="24"/>
              </w:rPr>
              <w:t>71%</w:t>
            </w:r>
          </w:p>
        </w:tc>
        <w:tc>
          <w:tcPr>
            <w:tcW w:w="0" w:type="auto"/>
            <w:noWrap/>
            <w:vAlign w:val="center"/>
            <w:hideMark/>
          </w:tcPr>
          <w:p w14:paraId="1B9357BF" w14:textId="77777777" w:rsidR="00275B57" w:rsidRPr="00484405" w:rsidRDefault="00275B57" w:rsidP="00BC4031">
            <w:pPr>
              <w:spacing w:after="0" w:line="240" w:lineRule="auto"/>
              <w:jc w:val="center"/>
              <w:rPr>
                <w:rFonts w:cs="Times New Roman"/>
                <w:szCs w:val="24"/>
              </w:rPr>
            </w:pPr>
            <w:r w:rsidRPr="00484405">
              <w:rPr>
                <w:rFonts w:cs="Times New Roman"/>
                <w:szCs w:val="24"/>
              </w:rPr>
              <w:t>46%</w:t>
            </w:r>
          </w:p>
        </w:tc>
        <w:tc>
          <w:tcPr>
            <w:tcW w:w="0" w:type="auto"/>
            <w:shd w:val="clear" w:color="000000" w:fill="FFCC99"/>
            <w:noWrap/>
            <w:vAlign w:val="center"/>
            <w:hideMark/>
          </w:tcPr>
          <w:p w14:paraId="7E99FBDF" w14:textId="77777777" w:rsidR="00275B57" w:rsidRPr="00484405" w:rsidRDefault="00275B57" w:rsidP="00BC4031">
            <w:pPr>
              <w:spacing w:after="0" w:line="240" w:lineRule="auto"/>
              <w:jc w:val="center"/>
              <w:rPr>
                <w:rFonts w:cs="Times New Roman"/>
                <w:szCs w:val="24"/>
              </w:rPr>
            </w:pPr>
            <w:r w:rsidRPr="00484405">
              <w:rPr>
                <w:rFonts w:cs="Times New Roman"/>
                <w:szCs w:val="24"/>
              </w:rPr>
              <w:t>0.7556</w:t>
            </w:r>
          </w:p>
        </w:tc>
        <w:tc>
          <w:tcPr>
            <w:tcW w:w="0" w:type="auto"/>
            <w:shd w:val="clear" w:color="000000" w:fill="FFCC99"/>
            <w:noWrap/>
            <w:vAlign w:val="center"/>
            <w:hideMark/>
          </w:tcPr>
          <w:p w14:paraId="746090C5" w14:textId="77777777" w:rsidR="00275B57" w:rsidRPr="00484405" w:rsidRDefault="00275B57" w:rsidP="00BC4031">
            <w:pPr>
              <w:spacing w:after="0" w:line="240" w:lineRule="auto"/>
              <w:jc w:val="center"/>
              <w:rPr>
                <w:rFonts w:cs="Times New Roman"/>
                <w:szCs w:val="24"/>
              </w:rPr>
            </w:pPr>
            <w:r w:rsidRPr="00484405">
              <w:rPr>
                <w:rFonts w:cs="Times New Roman"/>
                <w:szCs w:val="24"/>
              </w:rPr>
              <w:t>5,266</w:t>
            </w:r>
          </w:p>
        </w:tc>
        <w:tc>
          <w:tcPr>
            <w:tcW w:w="0" w:type="auto"/>
            <w:noWrap/>
            <w:vAlign w:val="center"/>
            <w:hideMark/>
          </w:tcPr>
          <w:p w14:paraId="379ED206" w14:textId="77777777" w:rsidR="00275B57" w:rsidRPr="00484405" w:rsidRDefault="00275B57" w:rsidP="00BC4031">
            <w:pPr>
              <w:spacing w:after="0" w:line="240" w:lineRule="auto"/>
              <w:jc w:val="center"/>
              <w:rPr>
                <w:rFonts w:cs="Times New Roman"/>
                <w:szCs w:val="24"/>
              </w:rPr>
            </w:pPr>
            <w:r w:rsidRPr="00484405">
              <w:rPr>
                <w:rFonts w:cs="Times New Roman"/>
                <w:szCs w:val="24"/>
              </w:rPr>
              <w:t>3,979</w:t>
            </w:r>
          </w:p>
        </w:tc>
        <w:tc>
          <w:tcPr>
            <w:tcW w:w="0" w:type="auto"/>
            <w:noWrap/>
            <w:vAlign w:val="center"/>
            <w:hideMark/>
          </w:tcPr>
          <w:p w14:paraId="62EBFEC7" w14:textId="77777777" w:rsidR="00275B57" w:rsidRPr="00484405" w:rsidRDefault="00275B57" w:rsidP="00BC4031">
            <w:pPr>
              <w:spacing w:after="0" w:line="240" w:lineRule="auto"/>
              <w:jc w:val="center"/>
              <w:rPr>
                <w:rFonts w:cs="Times New Roman"/>
                <w:szCs w:val="24"/>
              </w:rPr>
            </w:pPr>
            <w:r w:rsidRPr="00484405">
              <w:rPr>
                <w:rFonts w:cs="Times New Roman"/>
                <w:szCs w:val="24"/>
              </w:rPr>
              <w:t>3%</w:t>
            </w:r>
          </w:p>
        </w:tc>
        <w:tc>
          <w:tcPr>
            <w:tcW w:w="0" w:type="auto"/>
            <w:shd w:val="clear" w:color="000000" w:fill="F2F2F2"/>
            <w:noWrap/>
            <w:vAlign w:val="center"/>
            <w:hideMark/>
          </w:tcPr>
          <w:p w14:paraId="129A06E4"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2%</w:t>
            </w:r>
          </w:p>
        </w:tc>
        <w:tc>
          <w:tcPr>
            <w:tcW w:w="0" w:type="auto"/>
            <w:shd w:val="clear" w:color="000000" w:fill="F2F2F2"/>
            <w:noWrap/>
            <w:vAlign w:val="center"/>
            <w:hideMark/>
          </w:tcPr>
          <w:p w14:paraId="3A071033"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1%</w:t>
            </w:r>
          </w:p>
        </w:tc>
      </w:tr>
      <w:tr w:rsidR="00275B57" w14:paraId="23947A9E" w14:textId="77777777" w:rsidTr="004C5067">
        <w:trPr>
          <w:trHeight w:val="172"/>
        </w:trPr>
        <w:tc>
          <w:tcPr>
            <w:tcW w:w="0" w:type="auto"/>
            <w:shd w:val="clear" w:color="D9E1F2" w:fill="D9E1F2"/>
            <w:noWrap/>
            <w:vAlign w:val="center"/>
            <w:hideMark/>
          </w:tcPr>
          <w:p w14:paraId="33F24E6E" w14:textId="77777777" w:rsidR="00275B57" w:rsidRPr="00484405" w:rsidRDefault="00275B57" w:rsidP="00BC4031">
            <w:pPr>
              <w:spacing w:after="0" w:line="240" w:lineRule="auto"/>
              <w:rPr>
                <w:rFonts w:cs="Times New Roman"/>
                <w:szCs w:val="24"/>
              </w:rPr>
            </w:pPr>
            <w:r w:rsidRPr="00484405">
              <w:rPr>
                <w:rFonts w:cs="Times New Roman"/>
                <w:szCs w:val="24"/>
              </w:rPr>
              <w:t>13</w:t>
            </w:r>
          </w:p>
        </w:tc>
        <w:tc>
          <w:tcPr>
            <w:tcW w:w="0" w:type="auto"/>
            <w:shd w:val="clear" w:color="D9E1F2" w:fill="D9E1F2"/>
            <w:noWrap/>
            <w:vAlign w:val="center"/>
            <w:hideMark/>
          </w:tcPr>
          <w:p w14:paraId="2F747B91" w14:textId="77777777" w:rsidR="00275B57" w:rsidRPr="00484405" w:rsidRDefault="00275B57" w:rsidP="00BC4031">
            <w:pPr>
              <w:spacing w:after="0" w:line="240" w:lineRule="auto"/>
              <w:jc w:val="center"/>
              <w:rPr>
                <w:rFonts w:cs="Times New Roman"/>
                <w:szCs w:val="24"/>
              </w:rPr>
            </w:pPr>
            <w:r w:rsidRPr="00484405">
              <w:rPr>
                <w:rFonts w:cs="Times New Roman"/>
                <w:szCs w:val="24"/>
              </w:rPr>
              <w:t>69%</w:t>
            </w:r>
          </w:p>
        </w:tc>
        <w:tc>
          <w:tcPr>
            <w:tcW w:w="0" w:type="auto"/>
            <w:shd w:val="clear" w:color="D9E1F2" w:fill="D9E1F2"/>
            <w:noWrap/>
            <w:vAlign w:val="center"/>
            <w:hideMark/>
          </w:tcPr>
          <w:p w14:paraId="22B5386D" w14:textId="77777777" w:rsidR="00275B57" w:rsidRPr="00484405" w:rsidRDefault="00275B57" w:rsidP="00BC4031">
            <w:pPr>
              <w:spacing w:after="0" w:line="240" w:lineRule="auto"/>
              <w:jc w:val="center"/>
              <w:rPr>
                <w:rFonts w:cs="Times New Roman"/>
                <w:szCs w:val="24"/>
              </w:rPr>
            </w:pPr>
            <w:r w:rsidRPr="00484405">
              <w:rPr>
                <w:rFonts w:cs="Times New Roman"/>
                <w:szCs w:val="24"/>
              </w:rPr>
              <w:t>43%</w:t>
            </w:r>
          </w:p>
        </w:tc>
        <w:tc>
          <w:tcPr>
            <w:tcW w:w="0" w:type="auto"/>
            <w:shd w:val="clear" w:color="000000" w:fill="FFCC99"/>
            <w:noWrap/>
            <w:vAlign w:val="center"/>
            <w:hideMark/>
          </w:tcPr>
          <w:p w14:paraId="1D4283C5" w14:textId="77777777" w:rsidR="00275B57" w:rsidRPr="00484405" w:rsidRDefault="00275B57" w:rsidP="00BC4031">
            <w:pPr>
              <w:spacing w:after="0" w:line="240" w:lineRule="auto"/>
              <w:jc w:val="center"/>
              <w:rPr>
                <w:rFonts w:cs="Times New Roman"/>
                <w:szCs w:val="24"/>
              </w:rPr>
            </w:pPr>
            <w:r w:rsidRPr="00484405">
              <w:rPr>
                <w:rFonts w:cs="Times New Roman"/>
                <w:szCs w:val="24"/>
              </w:rPr>
              <w:t>0.7055</w:t>
            </w:r>
          </w:p>
        </w:tc>
        <w:tc>
          <w:tcPr>
            <w:tcW w:w="0" w:type="auto"/>
            <w:shd w:val="clear" w:color="000000" w:fill="FFCC99"/>
            <w:noWrap/>
            <w:vAlign w:val="center"/>
            <w:hideMark/>
          </w:tcPr>
          <w:p w14:paraId="1BC5CBB3" w14:textId="77777777" w:rsidR="00275B57" w:rsidRPr="00484405" w:rsidRDefault="00275B57" w:rsidP="00BC4031">
            <w:pPr>
              <w:spacing w:after="0" w:line="240" w:lineRule="auto"/>
              <w:jc w:val="center"/>
              <w:rPr>
                <w:rFonts w:cs="Times New Roman"/>
                <w:szCs w:val="24"/>
              </w:rPr>
            </w:pPr>
            <w:r w:rsidRPr="00484405">
              <w:rPr>
                <w:rFonts w:cs="Times New Roman"/>
                <w:szCs w:val="24"/>
              </w:rPr>
              <w:t>4,906</w:t>
            </w:r>
          </w:p>
        </w:tc>
        <w:tc>
          <w:tcPr>
            <w:tcW w:w="0" w:type="auto"/>
            <w:shd w:val="clear" w:color="D9E1F2" w:fill="D9E1F2"/>
            <w:noWrap/>
            <w:vAlign w:val="center"/>
            <w:hideMark/>
          </w:tcPr>
          <w:p w14:paraId="0E244F2C" w14:textId="77777777" w:rsidR="00275B57" w:rsidRPr="00484405" w:rsidRDefault="00275B57" w:rsidP="00BC4031">
            <w:pPr>
              <w:spacing w:after="0" w:line="240" w:lineRule="auto"/>
              <w:jc w:val="center"/>
              <w:rPr>
                <w:rFonts w:cs="Times New Roman"/>
                <w:szCs w:val="24"/>
              </w:rPr>
            </w:pPr>
            <w:r w:rsidRPr="00484405">
              <w:rPr>
                <w:rFonts w:cs="Times New Roman"/>
                <w:szCs w:val="24"/>
              </w:rPr>
              <w:t>3,461</w:t>
            </w:r>
          </w:p>
        </w:tc>
        <w:tc>
          <w:tcPr>
            <w:tcW w:w="0" w:type="auto"/>
            <w:shd w:val="clear" w:color="D9E1F2" w:fill="D9E1F2"/>
            <w:noWrap/>
            <w:vAlign w:val="center"/>
            <w:hideMark/>
          </w:tcPr>
          <w:p w14:paraId="21FE06DB" w14:textId="77777777" w:rsidR="00275B57" w:rsidRPr="00484405" w:rsidRDefault="00275B57" w:rsidP="00BC4031">
            <w:pPr>
              <w:spacing w:after="0" w:line="240" w:lineRule="auto"/>
              <w:jc w:val="center"/>
              <w:rPr>
                <w:rFonts w:cs="Times New Roman"/>
                <w:szCs w:val="24"/>
              </w:rPr>
            </w:pPr>
            <w:r w:rsidRPr="00484405">
              <w:rPr>
                <w:rFonts w:cs="Times New Roman"/>
                <w:szCs w:val="24"/>
              </w:rPr>
              <w:t>2%</w:t>
            </w:r>
          </w:p>
        </w:tc>
        <w:tc>
          <w:tcPr>
            <w:tcW w:w="0" w:type="auto"/>
            <w:shd w:val="clear" w:color="000000" w:fill="F2F2F2"/>
            <w:noWrap/>
            <w:vAlign w:val="center"/>
            <w:hideMark/>
          </w:tcPr>
          <w:p w14:paraId="2959B80E"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2%</w:t>
            </w:r>
          </w:p>
        </w:tc>
        <w:tc>
          <w:tcPr>
            <w:tcW w:w="0" w:type="auto"/>
            <w:shd w:val="clear" w:color="000000" w:fill="F2F2F2"/>
            <w:noWrap/>
            <w:vAlign w:val="center"/>
            <w:hideMark/>
          </w:tcPr>
          <w:p w14:paraId="71F6C946"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1%</w:t>
            </w:r>
          </w:p>
        </w:tc>
      </w:tr>
      <w:tr w:rsidR="00275B57" w14:paraId="6E55D78F" w14:textId="77777777" w:rsidTr="004C5067">
        <w:trPr>
          <w:trHeight w:val="172"/>
        </w:trPr>
        <w:tc>
          <w:tcPr>
            <w:tcW w:w="0" w:type="auto"/>
            <w:noWrap/>
            <w:vAlign w:val="center"/>
            <w:hideMark/>
          </w:tcPr>
          <w:p w14:paraId="1230C05D" w14:textId="77777777" w:rsidR="00275B57" w:rsidRPr="00484405" w:rsidRDefault="00275B57" w:rsidP="00BC4031">
            <w:pPr>
              <w:spacing w:after="0" w:line="240" w:lineRule="auto"/>
              <w:rPr>
                <w:rFonts w:cs="Times New Roman"/>
                <w:szCs w:val="24"/>
              </w:rPr>
            </w:pPr>
            <w:r w:rsidRPr="00484405">
              <w:rPr>
                <w:rFonts w:cs="Times New Roman"/>
                <w:szCs w:val="24"/>
              </w:rPr>
              <w:t>14</w:t>
            </w:r>
          </w:p>
        </w:tc>
        <w:tc>
          <w:tcPr>
            <w:tcW w:w="0" w:type="auto"/>
            <w:noWrap/>
            <w:vAlign w:val="center"/>
            <w:hideMark/>
          </w:tcPr>
          <w:p w14:paraId="70C2D311" w14:textId="77777777" w:rsidR="00275B57" w:rsidRPr="00484405" w:rsidRDefault="00275B57" w:rsidP="00BC4031">
            <w:pPr>
              <w:spacing w:after="0" w:line="240" w:lineRule="auto"/>
              <w:jc w:val="center"/>
              <w:rPr>
                <w:rFonts w:cs="Times New Roman"/>
                <w:szCs w:val="24"/>
              </w:rPr>
            </w:pPr>
            <w:r w:rsidRPr="00484405">
              <w:rPr>
                <w:rFonts w:cs="Times New Roman"/>
                <w:szCs w:val="24"/>
              </w:rPr>
              <w:t>67%</w:t>
            </w:r>
          </w:p>
        </w:tc>
        <w:tc>
          <w:tcPr>
            <w:tcW w:w="0" w:type="auto"/>
            <w:noWrap/>
            <w:vAlign w:val="center"/>
            <w:hideMark/>
          </w:tcPr>
          <w:p w14:paraId="7D281E8B" w14:textId="77777777" w:rsidR="00275B57" w:rsidRPr="00484405" w:rsidRDefault="00275B57" w:rsidP="00BC4031">
            <w:pPr>
              <w:spacing w:after="0" w:line="240" w:lineRule="auto"/>
              <w:jc w:val="center"/>
              <w:rPr>
                <w:rFonts w:cs="Times New Roman"/>
                <w:szCs w:val="24"/>
              </w:rPr>
            </w:pPr>
            <w:r w:rsidRPr="00484405">
              <w:rPr>
                <w:rFonts w:cs="Times New Roman"/>
                <w:szCs w:val="24"/>
              </w:rPr>
              <w:t>40%</w:t>
            </w:r>
          </w:p>
        </w:tc>
        <w:tc>
          <w:tcPr>
            <w:tcW w:w="0" w:type="auto"/>
            <w:shd w:val="clear" w:color="000000" w:fill="FFCC99"/>
            <w:noWrap/>
            <w:vAlign w:val="center"/>
            <w:hideMark/>
          </w:tcPr>
          <w:p w14:paraId="0728C5F1" w14:textId="77777777" w:rsidR="00275B57" w:rsidRPr="00484405" w:rsidRDefault="00275B57" w:rsidP="00BC4031">
            <w:pPr>
              <w:spacing w:after="0" w:line="240" w:lineRule="auto"/>
              <w:jc w:val="center"/>
              <w:rPr>
                <w:rFonts w:cs="Times New Roman"/>
                <w:szCs w:val="24"/>
              </w:rPr>
            </w:pPr>
            <w:r w:rsidRPr="00484405">
              <w:rPr>
                <w:rFonts w:cs="Times New Roman"/>
                <w:szCs w:val="24"/>
              </w:rPr>
              <w:t>0.6527</w:t>
            </w:r>
          </w:p>
        </w:tc>
        <w:tc>
          <w:tcPr>
            <w:tcW w:w="0" w:type="auto"/>
            <w:shd w:val="clear" w:color="000000" w:fill="FFCC99"/>
            <w:noWrap/>
            <w:vAlign w:val="center"/>
            <w:hideMark/>
          </w:tcPr>
          <w:p w14:paraId="423E6360" w14:textId="77777777" w:rsidR="00275B57" w:rsidRPr="00484405" w:rsidRDefault="00275B57" w:rsidP="00BC4031">
            <w:pPr>
              <w:spacing w:after="0" w:line="240" w:lineRule="auto"/>
              <w:jc w:val="center"/>
              <w:rPr>
                <w:rFonts w:cs="Times New Roman"/>
                <w:szCs w:val="24"/>
              </w:rPr>
            </w:pPr>
            <w:r w:rsidRPr="00484405">
              <w:rPr>
                <w:rFonts w:cs="Times New Roman"/>
                <w:szCs w:val="24"/>
              </w:rPr>
              <w:t>4,644</w:t>
            </w:r>
          </w:p>
        </w:tc>
        <w:tc>
          <w:tcPr>
            <w:tcW w:w="0" w:type="auto"/>
            <w:noWrap/>
            <w:vAlign w:val="center"/>
            <w:hideMark/>
          </w:tcPr>
          <w:p w14:paraId="6E7735E2" w14:textId="77777777" w:rsidR="00275B57" w:rsidRPr="00484405" w:rsidRDefault="00275B57" w:rsidP="00BC4031">
            <w:pPr>
              <w:spacing w:after="0" w:line="240" w:lineRule="auto"/>
              <w:jc w:val="center"/>
              <w:rPr>
                <w:rFonts w:cs="Times New Roman"/>
                <w:szCs w:val="24"/>
              </w:rPr>
            </w:pPr>
            <w:r w:rsidRPr="00484405">
              <w:rPr>
                <w:rFonts w:cs="Times New Roman"/>
                <w:szCs w:val="24"/>
              </w:rPr>
              <w:t>3,031</w:t>
            </w:r>
          </w:p>
        </w:tc>
        <w:tc>
          <w:tcPr>
            <w:tcW w:w="0" w:type="auto"/>
            <w:noWrap/>
            <w:vAlign w:val="center"/>
            <w:hideMark/>
          </w:tcPr>
          <w:p w14:paraId="6E5B2166" w14:textId="77777777" w:rsidR="00275B57" w:rsidRPr="00484405" w:rsidRDefault="00275B57" w:rsidP="00BC4031">
            <w:pPr>
              <w:spacing w:after="0" w:line="240" w:lineRule="auto"/>
              <w:jc w:val="center"/>
              <w:rPr>
                <w:rFonts w:cs="Times New Roman"/>
                <w:szCs w:val="24"/>
              </w:rPr>
            </w:pPr>
            <w:r w:rsidRPr="00484405">
              <w:rPr>
                <w:rFonts w:cs="Times New Roman"/>
                <w:szCs w:val="24"/>
              </w:rPr>
              <w:t>2%</w:t>
            </w:r>
          </w:p>
        </w:tc>
        <w:tc>
          <w:tcPr>
            <w:tcW w:w="0" w:type="auto"/>
            <w:shd w:val="clear" w:color="000000" w:fill="F2F2F2"/>
            <w:noWrap/>
            <w:vAlign w:val="center"/>
            <w:hideMark/>
          </w:tcPr>
          <w:p w14:paraId="391D4176"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1%</w:t>
            </w:r>
          </w:p>
        </w:tc>
        <w:tc>
          <w:tcPr>
            <w:tcW w:w="0" w:type="auto"/>
            <w:shd w:val="clear" w:color="000000" w:fill="F2F2F2"/>
            <w:noWrap/>
            <w:vAlign w:val="center"/>
            <w:hideMark/>
          </w:tcPr>
          <w:p w14:paraId="32652C00"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1%</w:t>
            </w:r>
          </w:p>
        </w:tc>
      </w:tr>
      <w:tr w:rsidR="00275B57" w14:paraId="32B3854A" w14:textId="77777777" w:rsidTr="004C5067">
        <w:trPr>
          <w:trHeight w:val="172"/>
        </w:trPr>
        <w:tc>
          <w:tcPr>
            <w:tcW w:w="0" w:type="auto"/>
            <w:shd w:val="clear" w:color="D9E1F2" w:fill="D9E1F2"/>
            <w:noWrap/>
            <w:vAlign w:val="center"/>
            <w:hideMark/>
          </w:tcPr>
          <w:p w14:paraId="6E3B87CD" w14:textId="77777777" w:rsidR="00275B57" w:rsidRPr="00484405" w:rsidRDefault="00275B57" w:rsidP="00BC4031">
            <w:pPr>
              <w:spacing w:after="0" w:line="240" w:lineRule="auto"/>
              <w:rPr>
                <w:rFonts w:cs="Times New Roman"/>
                <w:szCs w:val="24"/>
              </w:rPr>
            </w:pPr>
            <w:r w:rsidRPr="00484405">
              <w:rPr>
                <w:rFonts w:cs="Times New Roman"/>
                <w:szCs w:val="24"/>
              </w:rPr>
              <w:t>15</w:t>
            </w:r>
          </w:p>
        </w:tc>
        <w:tc>
          <w:tcPr>
            <w:tcW w:w="0" w:type="auto"/>
            <w:shd w:val="clear" w:color="D9E1F2" w:fill="D9E1F2"/>
            <w:noWrap/>
            <w:vAlign w:val="center"/>
            <w:hideMark/>
          </w:tcPr>
          <w:p w14:paraId="2CFD7569" w14:textId="77777777" w:rsidR="00275B57" w:rsidRPr="00484405" w:rsidRDefault="00275B57" w:rsidP="00BC4031">
            <w:pPr>
              <w:spacing w:after="0" w:line="240" w:lineRule="auto"/>
              <w:jc w:val="center"/>
              <w:rPr>
                <w:rFonts w:cs="Times New Roman"/>
                <w:szCs w:val="24"/>
              </w:rPr>
            </w:pPr>
            <w:r w:rsidRPr="00484405">
              <w:rPr>
                <w:rFonts w:cs="Times New Roman"/>
                <w:szCs w:val="24"/>
              </w:rPr>
              <w:t>65%</w:t>
            </w:r>
          </w:p>
        </w:tc>
        <w:tc>
          <w:tcPr>
            <w:tcW w:w="0" w:type="auto"/>
            <w:shd w:val="clear" w:color="D9E1F2" w:fill="D9E1F2"/>
            <w:noWrap/>
            <w:vAlign w:val="center"/>
            <w:hideMark/>
          </w:tcPr>
          <w:p w14:paraId="128E078D" w14:textId="77777777" w:rsidR="00275B57" w:rsidRPr="00484405" w:rsidRDefault="00275B57" w:rsidP="00BC4031">
            <w:pPr>
              <w:spacing w:after="0" w:line="240" w:lineRule="auto"/>
              <w:jc w:val="center"/>
              <w:rPr>
                <w:rFonts w:cs="Times New Roman"/>
                <w:szCs w:val="24"/>
              </w:rPr>
            </w:pPr>
            <w:r w:rsidRPr="00484405">
              <w:rPr>
                <w:rFonts w:cs="Times New Roman"/>
                <w:szCs w:val="24"/>
              </w:rPr>
              <w:t>37%</w:t>
            </w:r>
          </w:p>
        </w:tc>
        <w:tc>
          <w:tcPr>
            <w:tcW w:w="0" w:type="auto"/>
            <w:shd w:val="clear" w:color="000000" w:fill="FFCC99"/>
            <w:noWrap/>
            <w:vAlign w:val="center"/>
            <w:hideMark/>
          </w:tcPr>
          <w:p w14:paraId="6DC46DDB" w14:textId="77777777" w:rsidR="00275B57" w:rsidRPr="00484405" w:rsidRDefault="00275B57" w:rsidP="00BC4031">
            <w:pPr>
              <w:spacing w:after="0" w:line="240" w:lineRule="auto"/>
              <w:jc w:val="center"/>
              <w:rPr>
                <w:rFonts w:cs="Times New Roman"/>
                <w:szCs w:val="24"/>
              </w:rPr>
            </w:pPr>
            <w:r w:rsidRPr="00484405">
              <w:rPr>
                <w:rFonts w:cs="Times New Roman"/>
                <w:szCs w:val="24"/>
              </w:rPr>
              <w:t>0.5946</w:t>
            </w:r>
          </w:p>
        </w:tc>
        <w:tc>
          <w:tcPr>
            <w:tcW w:w="0" w:type="auto"/>
            <w:shd w:val="clear" w:color="000000" w:fill="FFCC99"/>
            <w:noWrap/>
            <w:vAlign w:val="center"/>
            <w:hideMark/>
          </w:tcPr>
          <w:p w14:paraId="23B76F42" w14:textId="77777777" w:rsidR="00275B57" w:rsidRPr="00484405" w:rsidRDefault="00275B57" w:rsidP="00BC4031">
            <w:pPr>
              <w:spacing w:after="0" w:line="240" w:lineRule="auto"/>
              <w:jc w:val="center"/>
              <w:rPr>
                <w:rFonts w:cs="Times New Roman"/>
                <w:szCs w:val="24"/>
              </w:rPr>
            </w:pPr>
            <w:r w:rsidRPr="00484405">
              <w:rPr>
                <w:rFonts w:cs="Times New Roman"/>
                <w:szCs w:val="24"/>
              </w:rPr>
              <w:t>4,604</w:t>
            </w:r>
          </w:p>
        </w:tc>
        <w:tc>
          <w:tcPr>
            <w:tcW w:w="0" w:type="auto"/>
            <w:shd w:val="clear" w:color="D9E1F2" w:fill="D9E1F2"/>
            <w:noWrap/>
            <w:vAlign w:val="center"/>
            <w:hideMark/>
          </w:tcPr>
          <w:p w14:paraId="4F3404D4" w14:textId="77777777" w:rsidR="00275B57" w:rsidRPr="00484405" w:rsidRDefault="00275B57" w:rsidP="00BC4031">
            <w:pPr>
              <w:spacing w:after="0" w:line="240" w:lineRule="auto"/>
              <w:jc w:val="center"/>
              <w:rPr>
                <w:rFonts w:cs="Times New Roman"/>
                <w:szCs w:val="24"/>
              </w:rPr>
            </w:pPr>
            <w:r w:rsidRPr="00484405">
              <w:rPr>
                <w:rFonts w:cs="Times New Roman"/>
                <w:szCs w:val="24"/>
              </w:rPr>
              <w:t>2,738</w:t>
            </w:r>
          </w:p>
        </w:tc>
        <w:tc>
          <w:tcPr>
            <w:tcW w:w="0" w:type="auto"/>
            <w:shd w:val="clear" w:color="D9E1F2" w:fill="D9E1F2"/>
            <w:noWrap/>
            <w:vAlign w:val="center"/>
            <w:hideMark/>
          </w:tcPr>
          <w:p w14:paraId="19AA084B" w14:textId="77777777" w:rsidR="00275B57" w:rsidRPr="00484405" w:rsidRDefault="00275B57" w:rsidP="00BC4031">
            <w:pPr>
              <w:spacing w:after="0" w:line="240" w:lineRule="auto"/>
              <w:jc w:val="center"/>
              <w:rPr>
                <w:rFonts w:cs="Times New Roman"/>
                <w:szCs w:val="24"/>
              </w:rPr>
            </w:pPr>
            <w:r w:rsidRPr="00484405">
              <w:rPr>
                <w:rFonts w:cs="Times New Roman"/>
                <w:szCs w:val="24"/>
              </w:rPr>
              <w:t>2%</w:t>
            </w:r>
          </w:p>
        </w:tc>
        <w:tc>
          <w:tcPr>
            <w:tcW w:w="0" w:type="auto"/>
            <w:shd w:val="clear" w:color="000000" w:fill="F2F2F2"/>
            <w:noWrap/>
            <w:vAlign w:val="center"/>
            <w:hideMark/>
          </w:tcPr>
          <w:p w14:paraId="2B0CDF78"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1%</w:t>
            </w:r>
          </w:p>
        </w:tc>
        <w:tc>
          <w:tcPr>
            <w:tcW w:w="0" w:type="auto"/>
            <w:shd w:val="clear" w:color="000000" w:fill="F2F2F2"/>
            <w:noWrap/>
            <w:vAlign w:val="center"/>
            <w:hideMark/>
          </w:tcPr>
          <w:p w14:paraId="27E5B73E"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1%</w:t>
            </w:r>
          </w:p>
        </w:tc>
      </w:tr>
      <w:tr w:rsidR="00275B57" w14:paraId="7C10B237" w14:textId="77777777" w:rsidTr="004C5067">
        <w:trPr>
          <w:trHeight w:val="172"/>
        </w:trPr>
        <w:tc>
          <w:tcPr>
            <w:tcW w:w="0" w:type="auto"/>
            <w:noWrap/>
            <w:vAlign w:val="center"/>
            <w:hideMark/>
          </w:tcPr>
          <w:p w14:paraId="2C0D3177" w14:textId="77777777" w:rsidR="00275B57" w:rsidRPr="00484405" w:rsidRDefault="00275B57" w:rsidP="00BC4031">
            <w:pPr>
              <w:spacing w:after="0" w:line="240" w:lineRule="auto"/>
              <w:rPr>
                <w:rFonts w:cs="Times New Roman"/>
                <w:szCs w:val="24"/>
              </w:rPr>
            </w:pPr>
            <w:r w:rsidRPr="00484405">
              <w:rPr>
                <w:rFonts w:cs="Times New Roman"/>
                <w:szCs w:val="24"/>
              </w:rPr>
              <w:t>16</w:t>
            </w:r>
          </w:p>
        </w:tc>
        <w:tc>
          <w:tcPr>
            <w:tcW w:w="0" w:type="auto"/>
            <w:noWrap/>
            <w:vAlign w:val="center"/>
            <w:hideMark/>
          </w:tcPr>
          <w:p w14:paraId="6219F9DA" w14:textId="77777777" w:rsidR="00275B57" w:rsidRPr="00484405" w:rsidRDefault="00275B57" w:rsidP="00BC4031">
            <w:pPr>
              <w:spacing w:after="0" w:line="240" w:lineRule="auto"/>
              <w:jc w:val="center"/>
              <w:rPr>
                <w:rFonts w:cs="Times New Roman"/>
                <w:szCs w:val="24"/>
              </w:rPr>
            </w:pPr>
            <w:r w:rsidRPr="00484405">
              <w:rPr>
                <w:rFonts w:cs="Times New Roman"/>
                <w:szCs w:val="24"/>
              </w:rPr>
              <w:t>63%</w:t>
            </w:r>
          </w:p>
        </w:tc>
        <w:tc>
          <w:tcPr>
            <w:tcW w:w="0" w:type="auto"/>
            <w:noWrap/>
            <w:vAlign w:val="center"/>
            <w:hideMark/>
          </w:tcPr>
          <w:p w14:paraId="19931037" w14:textId="77777777" w:rsidR="00275B57" w:rsidRPr="00484405" w:rsidRDefault="00275B57" w:rsidP="00BC4031">
            <w:pPr>
              <w:spacing w:after="0" w:line="240" w:lineRule="auto"/>
              <w:jc w:val="center"/>
              <w:rPr>
                <w:rFonts w:cs="Times New Roman"/>
                <w:szCs w:val="24"/>
              </w:rPr>
            </w:pPr>
            <w:r w:rsidRPr="00484405">
              <w:rPr>
                <w:rFonts w:cs="Times New Roman"/>
                <w:szCs w:val="24"/>
              </w:rPr>
              <w:t>35%</w:t>
            </w:r>
          </w:p>
        </w:tc>
        <w:tc>
          <w:tcPr>
            <w:tcW w:w="0" w:type="auto"/>
            <w:shd w:val="clear" w:color="000000" w:fill="FFCC99"/>
            <w:noWrap/>
            <w:vAlign w:val="center"/>
            <w:hideMark/>
          </w:tcPr>
          <w:p w14:paraId="39E1D6A9" w14:textId="77777777" w:rsidR="00275B57" w:rsidRPr="00484405" w:rsidRDefault="00275B57" w:rsidP="00BC4031">
            <w:pPr>
              <w:spacing w:after="0" w:line="240" w:lineRule="auto"/>
              <w:jc w:val="center"/>
              <w:rPr>
                <w:rFonts w:cs="Times New Roman"/>
                <w:szCs w:val="24"/>
              </w:rPr>
            </w:pPr>
            <w:r w:rsidRPr="00484405">
              <w:rPr>
                <w:rFonts w:cs="Times New Roman"/>
                <w:szCs w:val="24"/>
              </w:rPr>
              <w:t>0.5311</w:t>
            </w:r>
          </w:p>
        </w:tc>
        <w:tc>
          <w:tcPr>
            <w:tcW w:w="0" w:type="auto"/>
            <w:shd w:val="clear" w:color="000000" w:fill="FFCC99"/>
            <w:noWrap/>
            <w:vAlign w:val="center"/>
            <w:hideMark/>
          </w:tcPr>
          <w:p w14:paraId="27F4F294" w14:textId="77777777" w:rsidR="00275B57" w:rsidRPr="00484405" w:rsidRDefault="00275B57" w:rsidP="00BC4031">
            <w:pPr>
              <w:spacing w:after="0" w:line="240" w:lineRule="auto"/>
              <w:jc w:val="center"/>
              <w:rPr>
                <w:rFonts w:cs="Times New Roman"/>
                <w:szCs w:val="24"/>
              </w:rPr>
            </w:pPr>
            <w:r w:rsidRPr="00484405">
              <w:rPr>
                <w:rFonts w:cs="Times New Roman"/>
                <w:szCs w:val="24"/>
              </w:rPr>
              <w:t>4,497</w:t>
            </w:r>
          </w:p>
        </w:tc>
        <w:tc>
          <w:tcPr>
            <w:tcW w:w="0" w:type="auto"/>
            <w:noWrap/>
            <w:vAlign w:val="center"/>
            <w:hideMark/>
          </w:tcPr>
          <w:p w14:paraId="7B0AE1CB" w14:textId="77777777" w:rsidR="00275B57" w:rsidRPr="00484405" w:rsidRDefault="00275B57" w:rsidP="00BC4031">
            <w:pPr>
              <w:spacing w:after="0" w:line="240" w:lineRule="auto"/>
              <w:jc w:val="center"/>
              <w:rPr>
                <w:rFonts w:cs="Times New Roman"/>
                <w:szCs w:val="24"/>
              </w:rPr>
            </w:pPr>
            <w:r w:rsidRPr="00484405">
              <w:rPr>
                <w:rFonts w:cs="Times New Roman"/>
                <w:szCs w:val="24"/>
              </w:rPr>
              <w:t>2,388</w:t>
            </w:r>
          </w:p>
        </w:tc>
        <w:tc>
          <w:tcPr>
            <w:tcW w:w="0" w:type="auto"/>
            <w:noWrap/>
            <w:vAlign w:val="center"/>
            <w:hideMark/>
          </w:tcPr>
          <w:p w14:paraId="6B851444" w14:textId="77777777" w:rsidR="00275B57" w:rsidRPr="00484405" w:rsidRDefault="00275B57" w:rsidP="00BC4031">
            <w:pPr>
              <w:spacing w:after="0" w:line="240" w:lineRule="auto"/>
              <w:jc w:val="center"/>
              <w:rPr>
                <w:rFonts w:cs="Times New Roman"/>
                <w:szCs w:val="24"/>
              </w:rPr>
            </w:pPr>
            <w:r w:rsidRPr="00484405">
              <w:rPr>
                <w:rFonts w:cs="Times New Roman"/>
                <w:szCs w:val="24"/>
              </w:rPr>
              <w:t>2%</w:t>
            </w:r>
          </w:p>
        </w:tc>
        <w:tc>
          <w:tcPr>
            <w:tcW w:w="0" w:type="auto"/>
            <w:shd w:val="clear" w:color="000000" w:fill="F2F2F2"/>
            <w:noWrap/>
            <w:vAlign w:val="center"/>
            <w:hideMark/>
          </w:tcPr>
          <w:p w14:paraId="6B6767B7"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1%</w:t>
            </w:r>
          </w:p>
        </w:tc>
        <w:tc>
          <w:tcPr>
            <w:tcW w:w="0" w:type="auto"/>
            <w:shd w:val="clear" w:color="000000" w:fill="F2F2F2"/>
            <w:noWrap/>
            <w:vAlign w:val="center"/>
            <w:hideMark/>
          </w:tcPr>
          <w:p w14:paraId="7902D0C9"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1%</w:t>
            </w:r>
          </w:p>
        </w:tc>
      </w:tr>
      <w:tr w:rsidR="00275B57" w14:paraId="7941ABC2" w14:textId="77777777" w:rsidTr="004C5067">
        <w:trPr>
          <w:trHeight w:val="172"/>
        </w:trPr>
        <w:tc>
          <w:tcPr>
            <w:tcW w:w="0" w:type="auto"/>
            <w:shd w:val="clear" w:color="D9E1F2" w:fill="D9E1F2"/>
            <w:noWrap/>
            <w:vAlign w:val="center"/>
            <w:hideMark/>
          </w:tcPr>
          <w:p w14:paraId="2791EA48" w14:textId="77777777" w:rsidR="00275B57" w:rsidRPr="00484405" w:rsidRDefault="00275B57" w:rsidP="00BC4031">
            <w:pPr>
              <w:spacing w:after="0" w:line="240" w:lineRule="auto"/>
              <w:rPr>
                <w:rFonts w:cs="Times New Roman"/>
                <w:szCs w:val="24"/>
              </w:rPr>
            </w:pPr>
            <w:r w:rsidRPr="00484405">
              <w:rPr>
                <w:rFonts w:cs="Times New Roman"/>
                <w:szCs w:val="24"/>
              </w:rPr>
              <w:t>17</w:t>
            </w:r>
          </w:p>
        </w:tc>
        <w:tc>
          <w:tcPr>
            <w:tcW w:w="0" w:type="auto"/>
            <w:shd w:val="clear" w:color="D9E1F2" w:fill="D9E1F2"/>
            <w:noWrap/>
            <w:vAlign w:val="center"/>
            <w:hideMark/>
          </w:tcPr>
          <w:p w14:paraId="55960196" w14:textId="77777777" w:rsidR="00275B57" w:rsidRPr="00484405" w:rsidRDefault="00275B57" w:rsidP="00BC4031">
            <w:pPr>
              <w:spacing w:after="0" w:line="240" w:lineRule="auto"/>
              <w:jc w:val="center"/>
              <w:rPr>
                <w:rFonts w:cs="Times New Roman"/>
                <w:szCs w:val="24"/>
              </w:rPr>
            </w:pPr>
            <w:r w:rsidRPr="00484405">
              <w:rPr>
                <w:rFonts w:cs="Times New Roman"/>
                <w:szCs w:val="24"/>
              </w:rPr>
              <w:t>61%</w:t>
            </w:r>
          </w:p>
        </w:tc>
        <w:tc>
          <w:tcPr>
            <w:tcW w:w="0" w:type="auto"/>
            <w:shd w:val="clear" w:color="D9E1F2" w:fill="D9E1F2"/>
            <w:noWrap/>
            <w:vAlign w:val="center"/>
            <w:hideMark/>
          </w:tcPr>
          <w:p w14:paraId="76C7AC15" w14:textId="77777777" w:rsidR="00275B57" w:rsidRPr="00484405" w:rsidRDefault="00275B57" w:rsidP="00BC4031">
            <w:pPr>
              <w:spacing w:after="0" w:line="240" w:lineRule="auto"/>
              <w:jc w:val="center"/>
              <w:rPr>
                <w:rFonts w:cs="Times New Roman"/>
                <w:szCs w:val="24"/>
              </w:rPr>
            </w:pPr>
            <w:r w:rsidRPr="00484405">
              <w:rPr>
                <w:rFonts w:cs="Times New Roman"/>
                <w:szCs w:val="24"/>
              </w:rPr>
              <w:t>33%</w:t>
            </w:r>
          </w:p>
        </w:tc>
        <w:tc>
          <w:tcPr>
            <w:tcW w:w="0" w:type="auto"/>
            <w:shd w:val="clear" w:color="000000" w:fill="FFCC99"/>
            <w:noWrap/>
            <w:vAlign w:val="center"/>
            <w:hideMark/>
          </w:tcPr>
          <w:p w14:paraId="6521A49A" w14:textId="77777777" w:rsidR="00275B57" w:rsidRPr="00484405" w:rsidRDefault="00275B57" w:rsidP="00BC4031">
            <w:pPr>
              <w:spacing w:after="0" w:line="240" w:lineRule="auto"/>
              <w:jc w:val="center"/>
              <w:rPr>
                <w:rFonts w:cs="Times New Roman"/>
                <w:szCs w:val="24"/>
              </w:rPr>
            </w:pPr>
            <w:r w:rsidRPr="00484405">
              <w:rPr>
                <w:rFonts w:cs="Times New Roman"/>
                <w:szCs w:val="24"/>
              </w:rPr>
              <w:t>0.4585</w:t>
            </w:r>
          </w:p>
        </w:tc>
        <w:tc>
          <w:tcPr>
            <w:tcW w:w="0" w:type="auto"/>
            <w:shd w:val="clear" w:color="000000" w:fill="FFCC99"/>
            <w:noWrap/>
            <w:vAlign w:val="center"/>
            <w:hideMark/>
          </w:tcPr>
          <w:p w14:paraId="56B49544" w14:textId="77777777" w:rsidR="00275B57" w:rsidRPr="00484405" w:rsidRDefault="00275B57" w:rsidP="00BC4031">
            <w:pPr>
              <w:spacing w:after="0" w:line="240" w:lineRule="auto"/>
              <w:jc w:val="center"/>
              <w:rPr>
                <w:rFonts w:cs="Times New Roman"/>
                <w:szCs w:val="24"/>
              </w:rPr>
            </w:pPr>
            <w:r w:rsidRPr="00484405">
              <w:rPr>
                <w:rFonts w:cs="Times New Roman"/>
                <w:szCs w:val="24"/>
              </w:rPr>
              <w:t>4,394</w:t>
            </w:r>
          </w:p>
        </w:tc>
        <w:tc>
          <w:tcPr>
            <w:tcW w:w="0" w:type="auto"/>
            <w:shd w:val="clear" w:color="D9E1F2" w:fill="D9E1F2"/>
            <w:noWrap/>
            <w:vAlign w:val="center"/>
            <w:hideMark/>
          </w:tcPr>
          <w:p w14:paraId="68CF2C11" w14:textId="77777777" w:rsidR="00275B57" w:rsidRPr="00484405" w:rsidRDefault="00275B57" w:rsidP="00BC4031">
            <w:pPr>
              <w:spacing w:after="0" w:line="240" w:lineRule="auto"/>
              <w:jc w:val="center"/>
              <w:rPr>
                <w:rFonts w:cs="Times New Roman"/>
                <w:szCs w:val="24"/>
              </w:rPr>
            </w:pPr>
            <w:r w:rsidRPr="00484405">
              <w:rPr>
                <w:rFonts w:cs="Times New Roman"/>
                <w:szCs w:val="24"/>
              </w:rPr>
              <w:t>2,015</w:t>
            </w:r>
          </w:p>
        </w:tc>
        <w:tc>
          <w:tcPr>
            <w:tcW w:w="0" w:type="auto"/>
            <w:shd w:val="clear" w:color="D9E1F2" w:fill="D9E1F2"/>
            <w:noWrap/>
            <w:vAlign w:val="center"/>
            <w:hideMark/>
          </w:tcPr>
          <w:p w14:paraId="6EDA6443" w14:textId="77777777" w:rsidR="00275B57" w:rsidRPr="00484405" w:rsidRDefault="00275B57" w:rsidP="00BC4031">
            <w:pPr>
              <w:spacing w:after="0" w:line="240" w:lineRule="auto"/>
              <w:jc w:val="center"/>
              <w:rPr>
                <w:rFonts w:cs="Times New Roman"/>
                <w:szCs w:val="24"/>
              </w:rPr>
            </w:pPr>
            <w:r w:rsidRPr="00484405">
              <w:rPr>
                <w:rFonts w:cs="Times New Roman"/>
                <w:szCs w:val="24"/>
              </w:rPr>
              <w:t>1%</w:t>
            </w:r>
          </w:p>
        </w:tc>
        <w:tc>
          <w:tcPr>
            <w:tcW w:w="0" w:type="auto"/>
            <w:shd w:val="clear" w:color="000000" w:fill="F2F2F2"/>
            <w:noWrap/>
            <w:vAlign w:val="center"/>
            <w:hideMark/>
          </w:tcPr>
          <w:p w14:paraId="4B45413F"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1%</w:t>
            </w:r>
          </w:p>
        </w:tc>
        <w:tc>
          <w:tcPr>
            <w:tcW w:w="0" w:type="auto"/>
            <w:shd w:val="clear" w:color="000000" w:fill="F2F2F2"/>
            <w:noWrap/>
            <w:vAlign w:val="center"/>
            <w:hideMark/>
          </w:tcPr>
          <w:p w14:paraId="3AE4DEBC"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r>
      <w:tr w:rsidR="00275B57" w14:paraId="3BEFD374" w14:textId="77777777" w:rsidTr="004C5067">
        <w:trPr>
          <w:trHeight w:val="172"/>
        </w:trPr>
        <w:tc>
          <w:tcPr>
            <w:tcW w:w="0" w:type="auto"/>
            <w:noWrap/>
            <w:vAlign w:val="center"/>
            <w:hideMark/>
          </w:tcPr>
          <w:p w14:paraId="67672D08" w14:textId="77777777" w:rsidR="00275B57" w:rsidRPr="00484405" w:rsidRDefault="00275B57" w:rsidP="00BC4031">
            <w:pPr>
              <w:spacing w:after="0" w:line="240" w:lineRule="auto"/>
              <w:rPr>
                <w:rFonts w:cs="Times New Roman"/>
                <w:szCs w:val="24"/>
              </w:rPr>
            </w:pPr>
            <w:r w:rsidRPr="00484405">
              <w:rPr>
                <w:rFonts w:cs="Times New Roman"/>
                <w:szCs w:val="24"/>
              </w:rPr>
              <w:t>18</w:t>
            </w:r>
          </w:p>
        </w:tc>
        <w:tc>
          <w:tcPr>
            <w:tcW w:w="0" w:type="auto"/>
            <w:noWrap/>
            <w:vAlign w:val="center"/>
            <w:hideMark/>
          </w:tcPr>
          <w:p w14:paraId="774F3F23" w14:textId="77777777" w:rsidR="00275B57" w:rsidRPr="00484405" w:rsidRDefault="00275B57" w:rsidP="00BC4031">
            <w:pPr>
              <w:spacing w:after="0" w:line="240" w:lineRule="auto"/>
              <w:jc w:val="center"/>
              <w:rPr>
                <w:rFonts w:cs="Times New Roman"/>
                <w:szCs w:val="24"/>
              </w:rPr>
            </w:pPr>
            <w:r w:rsidRPr="00484405">
              <w:rPr>
                <w:rFonts w:cs="Times New Roman"/>
                <w:szCs w:val="24"/>
              </w:rPr>
              <w:t>60%</w:t>
            </w:r>
          </w:p>
        </w:tc>
        <w:tc>
          <w:tcPr>
            <w:tcW w:w="0" w:type="auto"/>
            <w:noWrap/>
            <w:vAlign w:val="center"/>
            <w:hideMark/>
          </w:tcPr>
          <w:p w14:paraId="36362152" w14:textId="77777777" w:rsidR="00275B57" w:rsidRPr="00484405" w:rsidRDefault="00275B57" w:rsidP="00BC4031">
            <w:pPr>
              <w:spacing w:after="0" w:line="240" w:lineRule="auto"/>
              <w:jc w:val="center"/>
              <w:rPr>
                <w:rFonts w:cs="Times New Roman"/>
                <w:szCs w:val="24"/>
              </w:rPr>
            </w:pPr>
            <w:r w:rsidRPr="00484405">
              <w:rPr>
                <w:rFonts w:cs="Times New Roman"/>
                <w:szCs w:val="24"/>
              </w:rPr>
              <w:t>31%</w:t>
            </w:r>
          </w:p>
        </w:tc>
        <w:tc>
          <w:tcPr>
            <w:tcW w:w="0" w:type="auto"/>
            <w:shd w:val="clear" w:color="000000" w:fill="FFCC99"/>
            <w:noWrap/>
            <w:vAlign w:val="center"/>
            <w:hideMark/>
          </w:tcPr>
          <w:p w14:paraId="55A90727" w14:textId="77777777" w:rsidR="00275B57" w:rsidRPr="00484405" w:rsidRDefault="00275B57" w:rsidP="00BC4031">
            <w:pPr>
              <w:spacing w:after="0" w:line="240" w:lineRule="auto"/>
              <w:jc w:val="center"/>
              <w:rPr>
                <w:rFonts w:cs="Times New Roman"/>
                <w:szCs w:val="24"/>
              </w:rPr>
            </w:pPr>
            <w:r w:rsidRPr="00484405">
              <w:rPr>
                <w:rFonts w:cs="Times New Roman"/>
                <w:szCs w:val="24"/>
              </w:rPr>
              <w:t>0.3832</w:t>
            </w:r>
          </w:p>
        </w:tc>
        <w:tc>
          <w:tcPr>
            <w:tcW w:w="0" w:type="auto"/>
            <w:shd w:val="clear" w:color="000000" w:fill="FFCC99"/>
            <w:noWrap/>
            <w:vAlign w:val="center"/>
            <w:hideMark/>
          </w:tcPr>
          <w:p w14:paraId="50843E21" w14:textId="77777777" w:rsidR="00275B57" w:rsidRPr="00484405" w:rsidRDefault="00275B57" w:rsidP="00BC4031">
            <w:pPr>
              <w:spacing w:after="0" w:line="240" w:lineRule="auto"/>
              <w:jc w:val="center"/>
              <w:rPr>
                <w:rFonts w:cs="Times New Roman"/>
                <w:szCs w:val="24"/>
              </w:rPr>
            </w:pPr>
            <w:r w:rsidRPr="00484405">
              <w:rPr>
                <w:rFonts w:cs="Times New Roman"/>
                <w:szCs w:val="24"/>
              </w:rPr>
              <w:t>4,296</w:t>
            </w:r>
          </w:p>
        </w:tc>
        <w:tc>
          <w:tcPr>
            <w:tcW w:w="0" w:type="auto"/>
            <w:noWrap/>
            <w:vAlign w:val="center"/>
            <w:hideMark/>
          </w:tcPr>
          <w:p w14:paraId="7C506575" w14:textId="77777777" w:rsidR="00275B57" w:rsidRPr="00484405" w:rsidRDefault="00275B57" w:rsidP="00BC4031">
            <w:pPr>
              <w:spacing w:after="0" w:line="240" w:lineRule="auto"/>
              <w:jc w:val="center"/>
              <w:rPr>
                <w:rFonts w:cs="Times New Roman"/>
                <w:szCs w:val="24"/>
              </w:rPr>
            </w:pPr>
            <w:r w:rsidRPr="00484405">
              <w:rPr>
                <w:rFonts w:cs="Times New Roman"/>
                <w:szCs w:val="24"/>
              </w:rPr>
              <w:t>1,646</w:t>
            </w:r>
          </w:p>
        </w:tc>
        <w:tc>
          <w:tcPr>
            <w:tcW w:w="0" w:type="auto"/>
            <w:noWrap/>
            <w:vAlign w:val="center"/>
            <w:hideMark/>
          </w:tcPr>
          <w:p w14:paraId="335121CE" w14:textId="77777777" w:rsidR="00275B57" w:rsidRPr="00484405" w:rsidRDefault="00275B57" w:rsidP="00BC4031">
            <w:pPr>
              <w:spacing w:after="0" w:line="240" w:lineRule="auto"/>
              <w:jc w:val="center"/>
              <w:rPr>
                <w:rFonts w:cs="Times New Roman"/>
                <w:szCs w:val="24"/>
              </w:rPr>
            </w:pPr>
            <w:r w:rsidRPr="00484405">
              <w:rPr>
                <w:rFonts w:cs="Times New Roman"/>
                <w:szCs w:val="24"/>
              </w:rPr>
              <w:t>1%</w:t>
            </w:r>
          </w:p>
        </w:tc>
        <w:tc>
          <w:tcPr>
            <w:tcW w:w="0" w:type="auto"/>
            <w:shd w:val="clear" w:color="000000" w:fill="F2F2F2"/>
            <w:noWrap/>
            <w:vAlign w:val="center"/>
            <w:hideMark/>
          </w:tcPr>
          <w:p w14:paraId="4A8AAFAE"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1%</w:t>
            </w:r>
          </w:p>
        </w:tc>
        <w:tc>
          <w:tcPr>
            <w:tcW w:w="0" w:type="auto"/>
            <w:shd w:val="clear" w:color="000000" w:fill="F2F2F2"/>
            <w:noWrap/>
            <w:vAlign w:val="center"/>
            <w:hideMark/>
          </w:tcPr>
          <w:p w14:paraId="458289DE"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r>
      <w:tr w:rsidR="00275B57" w14:paraId="46BCCA21" w14:textId="77777777" w:rsidTr="004C5067">
        <w:trPr>
          <w:trHeight w:val="172"/>
        </w:trPr>
        <w:tc>
          <w:tcPr>
            <w:tcW w:w="0" w:type="auto"/>
            <w:shd w:val="clear" w:color="D9E1F2" w:fill="D9E1F2"/>
            <w:noWrap/>
            <w:vAlign w:val="center"/>
            <w:hideMark/>
          </w:tcPr>
          <w:p w14:paraId="7A8FDFC1" w14:textId="77777777" w:rsidR="00275B57" w:rsidRPr="00484405" w:rsidRDefault="00275B57" w:rsidP="00BC4031">
            <w:pPr>
              <w:spacing w:after="0" w:line="240" w:lineRule="auto"/>
              <w:rPr>
                <w:rFonts w:cs="Times New Roman"/>
                <w:szCs w:val="24"/>
              </w:rPr>
            </w:pPr>
            <w:r w:rsidRPr="00484405">
              <w:rPr>
                <w:rFonts w:cs="Times New Roman"/>
                <w:szCs w:val="24"/>
              </w:rPr>
              <w:t>19</w:t>
            </w:r>
          </w:p>
        </w:tc>
        <w:tc>
          <w:tcPr>
            <w:tcW w:w="0" w:type="auto"/>
            <w:shd w:val="clear" w:color="D9E1F2" w:fill="D9E1F2"/>
            <w:noWrap/>
            <w:vAlign w:val="center"/>
            <w:hideMark/>
          </w:tcPr>
          <w:p w14:paraId="05D249BA" w14:textId="77777777" w:rsidR="00275B57" w:rsidRPr="00484405" w:rsidRDefault="00275B57" w:rsidP="00BC4031">
            <w:pPr>
              <w:spacing w:after="0" w:line="240" w:lineRule="auto"/>
              <w:jc w:val="center"/>
              <w:rPr>
                <w:rFonts w:cs="Times New Roman"/>
                <w:szCs w:val="24"/>
              </w:rPr>
            </w:pPr>
            <w:r w:rsidRPr="00484405">
              <w:rPr>
                <w:rFonts w:cs="Times New Roman"/>
                <w:szCs w:val="24"/>
              </w:rPr>
              <w:t>58%</w:t>
            </w:r>
          </w:p>
        </w:tc>
        <w:tc>
          <w:tcPr>
            <w:tcW w:w="0" w:type="auto"/>
            <w:shd w:val="clear" w:color="D9E1F2" w:fill="D9E1F2"/>
            <w:noWrap/>
            <w:vAlign w:val="center"/>
            <w:hideMark/>
          </w:tcPr>
          <w:p w14:paraId="6F6329BA" w14:textId="77777777" w:rsidR="00275B57" w:rsidRPr="00484405" w:rsidRDefault="00275B57" w:rsidP="00BC4031">
            <w:pPr>
              <w:spacing w:after="0" w:line="240" w:lineRule="auto"/>
              <w:jc w:val="center"/>
              <w:rPr>
                <w:rFonts w:cs="Times New Roman"/>
                <w:szCs w:val="24"/>
              </w:rPr>
            </w:pPr>
            <w:r w:rsidRPr="00484405">
              <w:rPr>
                <w:rFonts w:cs="Times New Roman"/>
                <w:szCs w:val="24"/>
              </w:rPr>
              <w:t>29%</w:t>
            </w:r>
          </w:p>
        </w:tc>
        <w:tc>
          <w:tcPr>
            <w:tcW w:w="0" w:type="auto"/>
            <w:shd w:val="clear" w:color="000000" w:fill="FFCC99"/>
            <w:noWrap/>
            <w:vAlign w:val="center"/>
            <w:hideMark/>
          </w:tcPr>
          <w:p w14:paraId="4A44B783" w14:textId="77777777" w:rsidR="00275B57" w:rsidRPr="00484405" w:rsidRDefault="00275B57" w:rsidP="00BC4031">
            <w:pPr>
              <w:spacing w:after="0" w:line="240" w:lineRule="auto"/>
              <w:jc w:val="center"/>
              <w:rPr>
                <w:rFonts w:cs="Times New Roman"/>
                <w:szCs w:val="24"/>
              </w:rPr>
            </w:pPr>
            <w:r w:rsidRPr="00484405">
              <w:rPr>
                <w:rFonts w:cs="Times New Roman"/>
                <w:szCs w:val="24"/>
              </w:rPr>
              <w:t>0.3077</w:t>
            </w:r>
          </w:p>
        </w:tc>
        <w:tc>
          <w:tcPr>
            <w:tcW w:w="0" w:type="auto"/>
            <w:shd w:val="clear" w:color="000000" w:fill="FFCC99"/>
            <w:noWrap/>
            <w:vAlign w:val="center"/>
            <w:hideMark/>
          </w:tcPr>
          <w:p w14:paraId="4940E8A4" w14:textId="77777777" w:rsidR="00275B57" w:rsidRPr="00484405" w:rsidRDefault="00275B57" w:rsidP="00BC4031">
            <w:pPr>
              <w:spacing w:after="0" w:line="240" w:lineRule="auto"/>
              <w:jc w:val="center"/>
              <w:rPr>
                <w:rFonts w:cs="Times New Roman"/>
                <w:szCs w:val="24"/>
              </w:rPr>
            </w:pPr>
            <w:r w:rsidRPr="00484405">
              <w:rPr>
                <w:rFonts w:cs="Times New Roman"/>
                <w:szCs w:val="24"/>
              </w:rPr>
              <w:t>4,203</w:t>
            </w:r>
          </w:p>
        </w:tc>
        <w:tc>
          <w:tcPr>
            <w:tcW w:w="0" w:type="auto"/>
            <w:shd w:val="clear" w:color="D9E1F2" w:fill="D9E1F2"/>
            <w:noWrap/>
            <w:vAlign w:val="center"/>
            <w:hideMark/>
          </w:tcPr>
          <w:p w14:paraId="5A29C36D" w14:textId="77777777" w:rsidR="00275B57" w:rsidRPr="00484405" w:rsidRDefault="00275B57" w:rsidP="00BC4031">
            <w:pPr>
              <w:spacing w:after="0" w:line="240" w:lineRule="auto"/>
              <w:jc w:val="center"/>
              <w:rPr>
                <w:rFonts w:cs="Times New Roman"/>
                <w:szCs w:val="24"/>
              </w:rPr>
            </w:pPr>
            <w:r w:rsidRPr="00484405">
              <w:rPr>
                <w:rFonts w:cs="Times New Roman"/>
                <w:szCs w:val="24"/>
              </w:rPr>
              <w:t>1,293</w:t>
            </w:r>
          </w:p>
        </w:tc>
        <w:tc>
          <w:tcPr>
            <w:tcW w:w="0" w:type="auto"/>
            <w:shd w:val="clear" w:color="D9E1F2" w:fill="D9E1F2"/>
            <w:noWrap/>
            <w:vAlign w:val="center"/>
            <w:hideMark/>
          </w:tcPr>
          <w:p w14:paraId="0F3B235D" w14:textId="77777777" w:rsidR="00275B57" w:rsidRPr="00484405" w:rsidRDefault="00275B57" w:rsidP="00BC4031">
            <w:pPr>
              <w:spacing w:after="0" w:line="240" w:lineRule="auto"/>
              <w:jc w:val="center"/>
              <w:rPr>
                <w:rFonts w:cs="Times New Roman"/>
                <w:szCs w:val="24"/>
              </w:rPr>
            </w:pPr>
            <w:r w:rsidRPr="00484405">
              <w:rPr>
                <w:rFonts w:cs="Times New Roman"/>
                <w:szCs w:val="24"/>
              </w:rPr>
              <w:t>1%</w:t>
            </w:r>
          </w:p>
        </w:tc>
        <w:tc>
          <w:tcPr>
            <w:tcW w:w="0" w:type="auto"/>
            <w:shd w:val="clear" w:color="000000" w:fill="F2F2F2"/>
            <w:noWrap/>
            <w:vAlign w:val="center"/>
            <w:hideMark/>
          </w:tcPr>
          <w:p w14:paraId="6AC85670"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1%</w:t>
            </w:r>
          </w:p>
        </w:tc>
        <w:tc>
          <w:tcPr>
            <w:tcW w:w="0" w:type="auto"/>
            <w:shd w:val="clear" w:color="000000" w:fill="F2F2F2"/>
            <w:noWrap/>
            <w:vAlign w:val="center"/>
            <w:hideMark/>
          </w:tcPr>
          <w:p w14:paraId="22A8F49C"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r>
      <w:tr w:rsidR="00275B57" w14:paraId="1B5488E1" w14:textId="77777777" w:rsidTr="004C5067">
        <w:trPr>
          <w:trHeight w:val="172"/>
        </w:trPr>
        <w:tc>
          <w:tcPr>
            <w:tcW w:w="0" w:type="auto"/>
            <w:noWrap/>
            <w:vAlign w:val="center"/>
            <w:hideMark/>
          </w:tcPr>
          <w:p w14:paraId="53A33C70" w14:textId="77777777" w:rsidR="00275B57" w:rsidRPr="00484405" w:rsidRDefault="00275B57" w:rsidP="00BC4031">
            <w:pPr>
              <w:spacing w:after="0" w:line="240" w:lineRule="auto"/>
              <w:rPr>
                <w:rFonts w:cs="Times New Roman"/>
                <w:szCs w:val="24"/>
              </w:rPr>
            </w:pPr>
            <w:r w:rsidRPr="00484405">
              <w:rPr>
                <w:rFonts w:cs="Times New Roman"/>
                <w:szCs w:val="24"/>
              </w:rPr>
              <w:t>20</w:t>
            </w:r>
          </w:p>
        </w:tc>
        <w:tc>
          <w:tcPr>
            <w:tcW w:w="0" w:type="auto"/>
            <w:noWrap/>
            <w:vAlign w:val="center"/>
            <w:hideMark/>
          </w:tcPr>
          <w:p w14:paraId="4E97B501" w14:textId="77777777" w:rsidR="00275B57" w:rsidRPr="00484405" w:rsidRDefault="00275B57" w:rsidP="00BC4031">
            <w:pPr>
              <w:spacing w:after="0" w:line="240" w:lineRule="auto"/>
              <w:jc w:val="center"/>
              <w:rPr>
                <w:rFonts w:cs="Times New Roman"/>
                <w:szCs w:val="24"/>
              </w:rPr>
            </w:pPr>
            <w:r w:rsidRPr="00484405">
              <w:rPr>
                <w:rFonts w:cs="Times New Roman"/>
                <w:szCs w:val="24"/>
              </w:rPr>
              <w:t>56%</w:t>
            </w:r>
          </w:p>
        </w:tc>
        <w:tc>
          <w:tcPr>
            <w:tcW w:w="0" w:type="auto"/>
            <w:noWrap/>
            <w:vAlign w:val="center"/>
            <w:hideMark/>
          </w:tcPr>
          <w:p w14:paraId="2D07D848" w14:textId="77777777" w:rsidR="00275B57" w:rsidRPr="00484405" w:rsidRDefault="00275B57" w:rsidP="00BC4031">
            <w:pPr>
              <w:spacing w:after="0" w:line="240" w:lineRule="auto"/>
              <w:jc w:val="center"/>
              <w:rPr>
                <w:rFonts w:cs="Times New Roman"/>
                <w:szCs w:val="24"/>
              </w:rPr>
            </w:pPr>
            <w:r w:rsidRPr="00484405">
              <w:rPr>
                <w:rFonts w:cs="Times New Roman"/>
                <w:szCs w:val="24"/>
              </w:rPr>
              <w:t>27%</w:t>
            </w:r>
          </w:p>
        </w:tc>
        <w:tc>
          <w:tcPr>
            <w:tcW w:w="0" w:type="auto"/>
            <w:shd w:val="clear" w:color="000000" w:fill="FFCC99"/>
            <w:noWrap/>
            <w:vAlign w:val="center"/>
            <w:hideMark/>
          </w:tcPr>
          <w:p w14:paraId="210111BB" w14:textId="77777777" w:rsidR="00275B57" w:rsidRPr="00484405" w:rsidRDefault="00275B57" w:rsidP="00BC4031">
            <w:pPr>
              <w:spacing w:after="0" w:line="240" w:lineRule="auto"/>
              <w:jc w:val="center"/>
              <w:rPr>
                <w:rFonts w:cs="Times New Roman"/>
                <w:szCs w:val="24"/>
              </w:rPr>
            </w:pPr>
            <w:r w:rsidRPr="00484405">
              <w:rPr>
                <w:rFonts w:cs="Times New Roman"/>
                <w:szCs w:val="24"/>
              </w:rPr>
              <w:t>0.2414</w:t>
            </w:r>
          </w:p>
        </w:tc>
        <w:tc>
          <w:tcPr>
            <w:tcW w:w="0" w:type="auto"/>
            <w:shd w:val="clear" w:color="000000" w:fill="FFCC99"/>
            <w:noWrap/>
            <w:vAlign w:val="center"/>
            <w:hideMark/>
          </w:tcPr>
          <w:p w14:paraId="41120907" w14:textId="77777777" w:rsidR="00275B57" w:rsidRPr="00484405" w:rsidRDefault="00275B57" w:rsidP="00BC4031">
            <w:pPr>
              <w:spacing w:after="0" w:line="240" w:lineRule="auto"/>
              <w:jc w:val="center"/>
              <w:rPr>
                <w:rFonts w:cs="Times New Roman"/>
                <w:szCs w:val="24"/>
              </w:rPr>
            </w:pPr>
            <w:r w:rsidRPr="00484405">
              <w:rPr>
                <w:rFonts w:cs="Times New Roman"/>
                <w:szCs w:val="24"/>
              </w:rPr>
              <w:t>4,114</w:t>
            </w:r>
          </w:p>
        </w:tc>
        <w:tc>
          <w:tcPr>
            <w:tcW w:w="0" w:type="auto"/>
            <w:noWrap/>
            <w:vAlign w:val="center"/>
            <w:hideMark/>
          </w:tcPr>
          <w:p w14:paraId="6BF12011" w14:textId="77777777" w:rsidR="00275B57" w:rsidRPr="00484405" w:rsidRDefault="00275B57" w:rsidP="00BC4031">
            <w:pPr>
              <w:spacing w:after="0" w:line="240" w:lineRule="auto"/>
              <w:jc w:val="center"/>
              <w:rPr>
                <w:rFonts w:cs="Times New Roman"/>
                <w:szCs w:val="24"/>
              </w:rPr>
            </w:pPr>
            <w:r w:rsidRPr="00484405">
              <w:rPr>
                <w:rFonts w:cs="Times New Roman"/>
                <w:szCs w:val="24"/>
              </w:rPr>
              <w:t>993</w:t>
            </w:r>
          </w:p>
        </w:tc>
        <w:tc>
          <w:tcPr>
            <w:tcW w:w="0" w:type="auto"/>
            <w:noWrap/>
            <w:vAlign w:val="center"/>
            <w:hideMark/>
          </w:tcPr>
          <w:p w14:paraId="1C6813CE" w14:textId="77777777" w:rsidR="00275B57" w:rsidRPr="00484405" w:rsidRDefault="00275B57" w:rsidP="00BC4031">
            <w:pPr>
              <w:spacing w:after="0" w:line="240" w:lineRule="auto"/>
              <w:jc w:val="center"/>
              <w:rPr>
                <w:rFonts w:cs="Times New Roman"/>
                <w:szCs w:val="24"/>
              </w:rPr>
            </w:pPr>
            <w:r w:rsidRPr="00484405">
              <w:rPr>
                <w:rFonts w:cs="Times New Roman"/>
                <w:szCs w:val="24"/>
              </w:rPr>
              <w:t>1%</w:t>
            </w:r>
          </w:p>
        </w:tc>
        <w:tc>
          <w:tcPr>
            <w:tcW w:w="0" w:type="auto"/>
            <w:shd w:val="clear" w:color="000000" w:fill="F2F2F2"/>
            <w:noWrap/>
            <w:vAlign w:val="center"/>
            <w:hideMark/>
          </w:tcPr>
          <w:p w14:paraId="5FCC8167"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c>
          <w:tcPr>
            <w:tcW w:w="0" w:type="auto"/>
            <w:shd w:val="clear" w:color="000000" w:fill="F2F2F2"/>
            <w:noWrap/>
            <w:vAlign w:val="center"/>
            <w:hideMark/>
          </w:tcPr>
          <w:p w14:paraId="438D35C4"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r>
      <w:tr w:rsidR="00275B57" w14:paraId="09EE9B2C" w14:textId="77777777" w:rsidTr="004C5067">
        <w:trPr>
          <w:trHeight w:val="172"/>
        </w:trPr>
        <w:tc>
          <w:tcPr>
            <w:tcW w:w="0" w:type="auto"/>
            <w:shd w:val="clear" w:color="D9E1F2" w:fill="D9E1F2"/>
            <w:noWrap/>
            <w:vAlign w:val="center"/>
            <w:hideMark/>
          </w:tcPr>
          <w:p w14:paraId="1513F010" w14:textId="77777777" w:rsidR="00275B57" w:rsidRPr="00484405" w:rsidRDefault="00275B57" w:rsidP="00BC4031">
            <w:pPr>
              <w:spacing w:after="0" w:line="240" w:lineRule="auto"/>
              <w:rPr>
                <w:rFonts w:cs="Times New Roman"/>
                <w:szCs w:val="24"/>
              </w:rPr>
            </w:pPr>
            <w:r w:rsidRPr="00484405">
              <w:rPr>
                <w:rFonts w:cs="Times New Roman"/>
                <w:szCs w:val="24"/>
              </w:rPr>
              <w:t>21</w:t>
            </w:r>
          </w:p>
        </w:tc>
        <w:tc>
          <w:tcPr>
            <w:tcW w:w="0" w:type="auto"/>
            <w:shd w:val="clear" w:color="D9E1F2" w:fill="D9E1F2"/>
            <w:noWrap/>
            <w:vAlign w:val="center"/>
            <w:hideMark/>
          </w:tcPr>
          <w:p w14:paraId="06433DF7" w14:textId="77777777" w:rsidR="00275B57" w:rsidRPr="00484405" w:rsidRDefault="00275B57" w:rsidP="00BC4031">
            <w:pPr>
              <w:spacing w:after="0" w:line="240" w:lineRule="auto"/>
              <w:jc w:val="center"/>
              <w:rPr>
                <w:rFonts w:cs="Times New Roman"/>
                <w:szCs w:val="24"/>
              </w:rPr>
            </w:pPr>
            <w:r w:rsidRPr="00484405">
              <w:rPr>
                <w:rFonts w:cs="Times New Roman"/>
                <w:szCs w:val="24"/>
              </w:rPr>
              <w:t>55%</w:t>
            </w:r>
          </w:p>
        </w:tc>
        <w:tc>
          <w:tcPr>
            <w:tcW w:w="0" w:type="auto"/>
            <w:shd w:val="clear" w:color="D9E1F2" w:fill="D9E1F2"/>
            <w:noWrap/>
            <w:vAlign w:val="center"/>
            <w:hideMark/>
          </w:tcPr>
          <w:p w14:paraId="5CACF1BD" w14:textId="77777777" w:rsidR="00275B57" w:rsidRPr="00484405" w:rsidRDefault="00275B57" w:rsidP="00BC4031">
            <w:pPr>
              <w:spacing w:after="0" w:line="240" w:lineRule="auto"/>
              <w:jc w:val="center"/>
              <w:rPr>
                <w:rFonts w:cs="Times New Roman"/>
                <w:szCs w:val="24"/>
              </w:rPr>
            </w:pPr>
            <w:r w:rsidRPr="00484405">
              <w:rPr>
                <w:rFonts w:cs="Times New Roman"/>
                <w:szCs w:val="24"/>
              </w:rPr>
              <w:t>25%</w:t>
            </w:r>
          </w:p>
        </w:tc>
        <w:tc>
          <w:tcPr>
            <w:tcW w:w="0" w:type="auto"/>
            <w:shd w:val="clear" w:color="000000" w:fill="FFCC99"/>
            <w:noWrap/>
            <w:vAlign w:val="center"/>
            <w:hideMark/>
          </w:tcPr>
          <w:p w14:paraId="71C2C4A9" w14:textId="77777777" w:rsidR="00275B57" w:rsidRPr="00484405" w:rsidRDefault="00275B57" w:rsidP="00BC4031">
            <w:pPr>
              <w:spacing w:after="0" w:line="240" w:lineRule="auto"/>
              <w:jc w:val="center"/>
              <w:rPr>
                <w:rFonts w:cs="Times New Roman"/>
                <w:szCs w:val="24"/>
              </w:rPr>
            </w:pPr>
            <w:r w:rsidRPr="00484405">
              <w:rPr>
                <w:rFonts w:cs="Times New Roman"/>
                <w:szCs w:val="24"/>
              </w:rPr>
              <w:t>0.1833</w:t>
            </w:r>
          </w:p>
        </w:tc>
        <w:tc>
          <w:tcPr>
            <w:tcW w:w="0" w:type="auto"/>
            <w:shd w:val="clear" w:color="000000" w:fill="FFCC99"/>
            <w:noWrap/>
            <w:vAlign w:val="center"/>
            <w:hideMark/>
          </w:tcPr>
          <w:p w14:paraId="57FF81E7" w14:textId="77777777" w:rsidR="00275B57" w:rsidRPr="00484405" w:rsidRDefault="00275B57" w:rsidP="00BC4031">
            <w:pPr>
              <w:spacing w:after="0" w:line="240" w:lineRule="auto"/>
              <w:jc w:val="center"/>
              <w:rPr>
                <w:rFonts w:cs="Times New Roman"/>
                <w:szCs w:val="24"/>
              </w:rPr>
            </w:pPr>
            <w:r w:rsidRPr="00484405">
              <w:rPr>
                <w:rFonts w:cs="Times New Roman"/>
                <w:szCs w:val="24"/>
              </w:rPr>
              <w:t>4,030</w:t>
            </w:r>
          </w:p>
        </w:tc>
        <w:tc>
          <w:tcPr>
            <w:tcW w:w="0" w:type="auto"/>
            <w:shd w:val="clear" w:color="D9E1F2" w:fill="D9E1F2"/>
            <w:noWrap/>
            <w:vAlign w:val="center"/>
            <w:hideMark/>
          </w:tcPr>
          <w:p w14:paraId="00275429" w14:textId="77777777" w:rsidR="00275B57" w:rsidRPr="00484405" w:rsidRDefault="00275B57" w:rsidP="00BC4031">
            <w:pPr>
              <w:spacing w:after="0" w:line="240" w:lineRule="auto"/>
              <w:jc w:val="center"/>
              <w:rPr>
                <w:rFonts w:cs="Times New Roman"/>
                <w:szCs w:val="24"/>
              </w:rPr>
            </w:pPr>
            <w:r w:rsidRPr="00484405">
              <w:rPr>
                <w:rFonts w:cs="Times New Roman"/>
                <w:szCs w:val="24"/>
              </w:rPr>
              <w:t>739</w:t>
            </w:r>
          </w:p>
        </w:tc>
        <w:tc>
          <w:tcPr>
            <w:tcW w:w="0" w:type="auto"/>
            <w:shd w:val="clear" w:color="D9E1F2" w:fill="D9E1F2"/>
            <w:noWrap/>
            <w:vAlign w:val="center"/>
            <w:hideMark/>
          </w:tcPr>
          <w:p w14:paraId="7FD4692E" w14:textId="77777777" w:rsidR="00275B57" w:rsidRPr="00484405" w:rsidRDefault="00275B57" w:rsidP="00BC4031">
            <w:pPr>
              <w:spacing w:after="0" w:line="240" w:lineRule="auto"/>
              <w:jc w:val="center"/>
              <w:rPr>
                <w:rFonts w:cs="Times New Roman"/>
                <w:szCs w:val="24"/>
              </w:rPr>
            </w:pPr>
            <w:r w:rsidRPr="00484405">
              <w:rPr>
                <w:rFonts w:cs="Times New Roman"/>
                <w:szCs w:val="24"/>
              </w:rPr>
              <w:t>1%</w:t>
            </w:r>
          </w:p>
        </w:tc>
        <w:tc>
          <w:tcPr>
            <w:tcW w:w="0" w:type="auto"/>
            <w:shd w:val="clear" w:color="000000" w:fill="F2F2F2"/>
            <w:noWrap/>
            <w:vAlign w:val="center"/>
            <w:hideMark/>
          </w:tcPr>
          <w:p w14:paraId="12D40413"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c>
          <w:tcPr>
            <w:tcW w:w="0" w:type="auto"/>
            <w:shd w:val="clear" w:color="000000" w:fill="F2F2F2"/>
            <w:noWrap/>
            <w:vAlign w:val="center"/>
            <w:hideMark/>
          </w:tcPr>
          <w:p w14:paraId="6AAD003A"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r>
      <w:tr w:rsidR="00275B57" w14:paraId="26CE12C8" w14:textId="77777777" w:rsidTr="004C5067">
        <w:trPr>
          <w:trHeight w:val="172"/>
        </w:trPr>
        <w:tc>
          <w:tcPr>
            <w:tcW w:w="0" w:type="auto"/>
            <w:noWrap/>
            <w:vAlign w:val="center"/>
            <w:hideMark/>
          </w:tcPr>
          <w:p w14:paraId="21C3A241" w14:textId="77777777" w:rsidR="00275B57" w:rsidRPr="00484405" w:rsidRDefault="00275B57" w:rsidP="00BC4031">
            <w:pPr>
              <w:spacing w:after="0" w:line="240" w:lineRule="auto"/>
              <w:rPr>
                <w:rFonts w:cs="Times New Roman"/>
                <w:szCs w:val="24"/>
              </w:rPr>
            </w:pPr>
            <w:r w:rsidRPr="00484405">
              <w:rPr>
                <w:rFonts w:cs="Times New Roman"/>
                <w:szCs w:val="24"/>
              </w:rPr>
              <w:t>22</w:t>
            </w:r>
          </w:p>
        </w:tc>
        <w:tc>
          <w:tcPr>
            <w:tcW w:w="0" w:type="auto"/>
            <w:noWrap/>
            <w:vAlign w:val="center"/>
            <w:hideMark/>
          </w:tcPr>
          <w:p w14:paraId="1A16F627" w14:textId="77777777" w:rsidR="00275B57" w:rsidRPr="00484405" w:rsidRDefault="00275B57" w:rsidP="00BC4031">
            <w:pPr>
              <w:spacing w:after="0" w:line="240" w:lineRule="auto"/>
              <w:jc w:val="center"/>
              <w:rPr>
                <w:rFonts w:cs="Times New Roman"/>
                <w:szCs w:val="24"/>
              </w:rPr>
            </w:pPr>
            <w:r w:rsidRPr="00484405">
              <w:rPr>
                <w:rFonts w:cs="Times New Roman"/>
                <w:szCs w:val="24"/>
              </w:rPr>
              <w:t>53%</w:t>
            </w:r>
          </w:p>
        </w:tc>
        <w:tc>
          <w:tcPr>
            <w:tcW w:w="0" w:type="auto"/>
            <w:noWrap/>
            <w:vAlign w:val="center"/>
            <w:hideMark/>
          </w:tcPr>
          <w:p w14:paraId="7DEE04FD" w14:textId="77777777" w:rsidR="00275B57" w:rsidRPr="00484405" w:rsidRDefault="00275B57" w:rsidP="00BC4031">
            <w:pPr>
              <w:spacing w:after="0" w:line="240" w:lineRule="auto"/>
              <w:jc w:val="center"/>
              <w:rPr>
                <w:rFonts w:cs="Times New Roman"/>
                <w:szCs w:val="24"/>
              </w:rPr>
            </w:pPr>
            <w:r w:rsidRPr="00484405">
              <w:rPr>
                <w:rFonts w:cs="Times New Roman"/>
                <w:szCs w:val="24"/>
              </w:rPr>
              <w:t>23%</w:t>
            </w:r>
          </w:p>
        </w:tc>
        <w:tc>
          <w:tcPr>
            <w:tcW w:w="0" w:type="auto"/>
            <w:shd w:val="clear" w:color="000000" w:fill="FFCC99"/>
            <w:noWrap/>
            <w:vAlign w:val="center"/>
            <w:hideMark/>
          </w:tcPr>
          <w:p w14:paraId="2F426169" w14:textId="77777777" w:rsidR="00275B57" w:rsidRPr="00484405" w:rsidRDefault="00275B57" w:rsidP="00BC4031">
            <w:pPr>
              <w:spacing w:after="0" w:line="240" w:lineRule="auto"/>
              <w:jc w:val="center"/>
              <w:rPr>
                <w:rFonts w:cs="Times New Roman"/>
                <w:szCs w:val="24"/>
              </w:rPr>
            </w:pPr>
            <w:r w:rsidRPr="00484405">
              <w:rPr>
                <w:rFonts w:cs="Times New Roman"/>
                <w:szCs w:val="24"/>
              </w:rPr>
              <w:t>0.1388</w:t>
            </w:r>
          </w:p>
        </w:tc>
        <w:tc>
          <w:tcPr>
            <w:tcW w:w="0" w:type="auto"/>
            <w:shd w:val="clear" w:color="000000" w:fill="FFCC99"/>
            <w:noWrap/>
            <w:vAlign w:val="center"/>
            <w:hideMark/>
          </w:tcPr>
          <w:p w14:paraId="209FCA98" w14:textId="77777777" w:rsidR="00275B57" w:rsidRPr="00484405" w:rsidRDefault="00275B57" w:rsidP="00BC4031">
            <w:pPr>
              <w:spacing w:after="0" w:line="240" w:lineRule="auto"/>
              <w:jc w:val="center"/>
              <w:rPr>
                <w:rFonts w:cs="Times New Roman"/>
                <w:szCs w:val="24"/>
              </w:rPr>
            </w:pPr>
            <w:r w:rsidRPr="00484405">
              <w:rPr>
                <w:rFonts w:cs="Times New Roman"/>
                <w:szCs w:val="24"/>
              </w:rPr>
              <w:t>3,951</w:t>
            </w:r>
          </w:p>
        </w:tc>
        <w:tc>
          <w:tcPr>
            <w:tcW w:w="0" w:type="auto"/>
            <w:noWrap/>
            <w:vAlign w:val="center"/>
            <w:hideMark/>
          </w:tcPr>
          <w:p w14:paraId="2D2BEDB4" w14:textId="77777777" w:rsidR="00275B57" w:rsidRPr="00484405" w:rsidRDefault="00275B57" w:rsidP="00BC4031">
            <w:pPr>
              <w:spacing w:after="0" w:line="240" w:lineRule="auto"/>
              <w:jc w:val="center"/>
              <w:rPr>
                <w:rFonts w:cs="Times New Roman"/>
                <w:szCs w:val="24"/>
              </w:rPr>
            </w:pPr>
            <w:r w:rsidRPr="00484405">
              <w:rPr>
                <w:rFonts w:cs="Times New Roman"/>
                <w:szCs w:val="24"/>
              </w:rPr>
              <w:t>548</w:t>
            </w:r>
          </w:p>
        </w:tc>
        <w:tc>
          <w:tcPr>
            <w:tcW w:w="0" w:type="auto"/>
            <w:noWrap/>
            <w:vAlign w:val="center"/>
            <w:hideMark/>
          </w:tcPr>
          <w:p w14:paraId="094AECFC" w14:textId="77777777" w:rsidR="00275B57" w:rsidRPr="00484405" w:rsidRDefault="00275B57" w:rsidP="00BC4031">
            <w:pPr>
              <w:spacing w:after="0" w:line="240" w:lineRule="auto"/>
              <w:jc w:val="center"/>
              <w:rPr>
                <w:rFonts w:cs="Times New Roman"/>
                <w:szCs w:val="24"/>
              </w:rPr>
            </w:pPr>
            <w:r w:rsidRPr="00484405">
              <w:rPr>
                <w:rFonts w:cs="Times New Roman"/>
                <w:szCs w:val="24"/>
              </w:rPr>
              <w:t>0%</w:t>
            </w:r>
          </w:p>
        </w:tc>
        <w:tc>
          <w:tcPr>
            <w:tcW w:w="0" w:type="auto"/>
            <w:shd w:val="clear" w:color="000000" w:fill="F2F2F2"/>
            <w:noWrap/>
            <w:vAlign w:val="center"/>
            <w:hideMark/>
          </w:tcPr>
          <w:p w14:paraId="1A7223D1"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c>
          <w:tcPr>
            <w:tcW w:w="0" w:type="auto"/>
            <w:shd w:val="clear" w:color="000000" w:fill="F2F2F2"/>
            <w:noWrap/>
            <w:vAlign w:val="center"/>
            <w:hideMark/>
          </w:tcPr>
          <w:p w14:paraId="27D4B91B"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r>
      <w:tr w:rsidR="00275B57" w14:paraId="5F3E01B7" w14:textId="77777777" w:rsidTr="004C5067">
        <w:trPr>
          <w:trHeight w:val="172"/>
        </w:trPr>
        <w:tc>
          <w:tcPr>
            <w:tcW w:w="0" w:type="auto"/>
            <w:shd w:val="clear" w:color="D9E1F2" w:fill="D9E1F2"/>
            <w:noWrap/>
            <w:vAlign w:val="center"/>
            <w:hideMark/>
          </w:tcPr>
          <w:p w14:paraId="4AB3518E" w14:textId="77777777" w:rsidR="00275B57" w:rsidRPr="00484405" w:rsidRDefault="00275B57" w:rsidP="00BC4031">
            <w:pPr>
              <w:spacing w:after="0" w:line="240" w:lineRule="auto"/>
              <w:rPr>
                <w:rFonts w:cs="Times New Roman"/>
                <w:szCs w:val="24"/>
              </w:rPr>
            </w:pPr>
            <w:r w:rsidRPr="00484405">
              <w:rPr>
                <w:rFonts w:cs="Times New Roman"/>
                <w:szCs w:val="24"/>
              </w:rPr>
              <w:t>23</w:t>
            </w:r>
          </w:p>
        </w:tc>
        <w:tc>
          <w:tcPr>
            <w:tcW w:w="0" w:type="auto"/>
            <w:shd w:val="clear" w:color="D9E1F2" w:fill="D9E1F2"/>
            <w:noWrap/>
            <w:vAlign w:val="center"/>
            <w:hideMark/>
          </w:tcPr>
          <w:p w14:paraId="018A8B8E" w14:textId="77777777" w:rsidR="00275B57" w:rsidRPr="00484405" w:rsidRDefault="00275B57" w:rsidP="00BC4031">
            <w:pPr>
              <w:spacing w:after="0" w:line="240" w:lineRule="auto"/>
              <w:jc w:val="center"/>
              <w:rPr>
                <w:rFonts w:cs="Times New Roman"/>
                <w:szCs w:val="24"/>
              </w:rPr>
            </w:pPr>
            <w:r w:rsidRPr="00484405">
              <w:rPr>
                <w:rFonts w:cs="Times New Roman"/>
                <w:szCs w:val="24"/>
              </w:rPr>
              <w:t>51%</w:t>
            </w:r>
          </w:p>
        </w:tc>
        <w:tc>
          <w:tcPr>
            <w:tcW w:w="0" w:type="auto"/>
            <w:shd w:val="clear" w:color="D9E1F2" w:fill="D9E1F2"/>
            <w:noWrap/>
            <w:vAlign w:val="center"/>
            <w:hideMark/>
          </w:tcPr>
          <w:p w14:paraId="3B18847A" w14:textId="77777777" w:rsidR="00275B57" w:rsidRPr="00484405" w:rsidRDefault="00275B57" w:rsidP="00BC4031">
            <w:pPr>
              <w:spacing w:after="0" w:line="240" w:lineRule="auto"/>
              <w:jc w:val="center"/>
              <w:rPr>
                <w:rFonts w:cs="Times New Roman"/>
                <w:szCs w:val="24"/>
              </w:rPr>
            </w:pPr>
            <w:r w:rsidRPr="00484405">
              <w:rPr>
                <w:rFonts w:cs="Times New Roman"/>
                <w:szCs w:val="24"/>
              </w:rPr>
              <w:t>22%</w:t>
            </w:r>
          </w:p>
        </w:tc>
        <w:tc>
          <w:tcPr>
            <w:tcW w:w="0" w:type="auto"/>
            <w:shd w:val="clear" w:color="000000" w:fill="FFCC99"/>
            <w:noWrap/>
            <w:vAlign w:val="center"/>
            <w:hideMark/>
          </w:tcPr>
          <w:p w14:paraId="369F1783" w14:textId="77777777" w:rsidR="00275B57" w:rsidRPr="00484405" w:rsidRDefault="00275B57" w:rsidP="00BC4031">
            <w:pPr>
              <w:spacing w:after="0" w:line="240" w:lineRule="auto"/>
              <w:jc w:val="center"/>
              <w:rPr>
                <w:rFonts w:cs="Times New Roman"/>
                <w:szCs w:val="24"/>
              </w:rPr>
            </w:pPr>
            <w:r w:rsidRPr="00484405">
              <w:rPr>
                <w:rFonts w:cs="Times New Roman"/>
                <w:szCs w:val="24"/>
              </w:rPr>
              <w:t>0.1066</w:t>
            </w:r>
          </w:p>
        </w:tc>
        <w:tc>
          <w:tcPr>
            <w:tcW w:w="0" w:type="auto"/>
            <w:shd w:val="clear" w:color="000000" w:fill="FFCC99"/>
            <w:noWrap/>
            <w:vAlign w:val="center"/>
            <w:hideMark/>
          </w:tcPr>
          <w:p w14:paraId="1055BDB5" w14:textId="77777777" w:rsidR="00275B57" w:rsidRPr="00484405" w:rsidRDefault="00275B57" w:rsidP="00BC4031">
            <w:pPr>
              <w:spacing w:after="0" w:line="240" w:lineRule="auto"/>
              <w:jc w:val="center"/>
              <w:rPr>
                <w:rFonts w:cs="Times New Roman"/>
                <w:szCs w:val="24"/>
              </w:rPr>
            </w:pPr>
            <w:r w:rsidRPr="00484405">
              <w:rPr>
                <w:rFonts w:cs="Times New Roman"/>
                <w:szCs w:val="24"/>
              </w:rPr>
              <w:t>3,877</w:t>
            </w:r>
          </w:p>
        </w:tc>
        <w:tc>
          <w:tcPr>
            <w:tcW w:w="0" w:type="auto"/>
            <w:shd w:val="clear" w:color="D9E1F2" w:fill="D9E1F2"/>
            <w:noWrap/>
            <w:vAlign w:val="center"/>
            <w:hideMark/>
          </w:tcPr>
          <w:p w14:paraId="445B764F" w14:textId="77777777" w:rsidR="00275B57" w:rsidRPr="00484405" w:rsidRDefault="00275B57" w:rsidP="00BC4031">
            <w:pPr>
              <w:spacing w:after="0" w:line="240" w:lineRule="auto"/>
              <w:jc w:val="center"/>
              <w:rPr>
                <w:rFonts w:cs="Times New Roman"/>
                <w:szCs w:val="24"/>
              </w:rPr>
            </w:pPr>
            <w:r w:rsidRPr="00484405">
              <w:rPr>
                <w:rFonts w:cs="Times New Roman"/>
                <w:szCs w:val="24"/>
              </w:rPr>
              <w:t>413</w:t>
            </w:r>
          </w:p>
        </w:tc>
        <w:tc>
          <w:tcPr>
            <w:tcW w:w="0" w:type="auto"/>
            <w:shd w:val="clear" w:color="D9E1F2" w:fill="D9E1F2"/>
            <w:noWrap/>
            <w:vAlign w:val="center"/>
            <w:hideMark/>
          </w:tcPr>
          <w:p w14:paraId="03D69F54" w14:textId="77777777" w:rsidR="00275B57" w:rsidRPr="00484405" w:rsidRDefault="00275B57" w:rsidP="00BC4031">
            <w:pPr>
              <w:spacing w:after="0" w:line="240" w:lineRule="auto"/>
              <w:jc w:val="center"/>
              <w:rPr>
                <w:rFonts w:cs="Times New Roman"/>
                <w:szCs w:val="24"/>
              </w:rPr>
            </w:pPr>
            <w:r w:rsidRPr="00484405">
              <w:rPr>
                <w:rFonts w:cs="Times New Roman"/>
                <w:szCs w:val="24"/>
              </w:rPr>
              <w:t>0%</w:t>
            </w:r>
          </w:p>
        </w:tc>
        <w:tc>
          <w:tcPr>
            <w:tcW w:w="0" w:type="auto"/>
            <w:shd w:val="clear" w:color="000000" w:fill="F2F2F2"/>
            <w:noWrap/>
            <w:vAlign w:val="center"/>
            <w:hideMark/>
          </w:tcPr>
          <w:p w14:paraId="5BAAF8D6"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c>
          <w:tcPr>
            <w:tcW w:w="0" w:type="auto"/>
            <w:shd w:val="clear" w:color="000000" w:fill="F2F2F2"/>
            <w:noWrap/>
            <w:vAlign w:val="center"/>
            <w:hideMark/>
          </w:tcPr>
          <w:p w14:paraId="491900BC"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r>
      <w:tr w:rsidR="00275B57" w14:paraId="1BD0BBF8" w14:textId="77777777" w:rsidTr="004C5067">
        <w:trPr>
          <w:trHeight w:val="172"/>
        </w:trPr>
        <w:tc>
          <w:tcPr>
            <w:tcW w:w="0" w:type="auto"/>
            <w:noWrap/>
            <w:vAlign w:val="center"/>
            <w:hideMark/>
          </w:tcPr>
          <w:p w14:paraId="68D4A604" w14:textId="77777777" w:rsidR="00275B57" w:rsidRPr="00484405" w:rsidRDefault="00275B57" w:rsidP="00BC4031">
            <w:pPr>
              <w:spacing w:after="0" w:line="240" w:lineRule="auto"/>
              <w:rPr>
                <w:rFonts w:cs="Times New Roman"/>
                <w:szCs w:val="24"/>
              </w:rPr>
            </w:pPr>
            <w:r w:rsidRPr="00484405">
              <w:rPr>
                <w:rFonts w:cs="Times New Roman"/>
                <w:szCs w:val="24"/>
              </w:rPr>
              <w:t>24</w:t>
            </w:r>
          </w:p>
        </w:tc>
        <w:tc>
          <w:tcPr>
            <w:tcW w:w="0" w:type="auto"/>
            <w:noWrap/>
            <w:vAlign w:val="center"/>
            <w:hideMark/>
          </w:tcPr>
          <w:p w14:paraId="17713653" w14:textId="77777777" w:rsidR="00275B57" w:rsidRPr="00484405" w:rsidRDefault="00275B57" w:rsidP="00BC4031">
            <w:pPr>
              <w:spacing w:after="0" w:line="240" w:lineRule="auto"/>
              <w:jc w:val="center"/>
              <w:rPr>
                <w:rFonts w:cs="Times New Roman"/>
                <w:szCs w:val="24"/>
              </w:rPr>
            </w:pPr>
            <w:r w:rsidRPr="00484405">
              <w:rPr>
                <w:rFonts w:cs="Times New Roman"/>
                <w:szCs w:val="24"/>
              </w:rPr>
              <w:t>50%</w:t>
            </w:r>
          </w:p>
        </w:tc>
        <w:tc>
          <w:tcPr>
            <w:tcW w:w="0" w:type="auto"/>
            <w:noWrap/>
            <w:vAlign w:val="center"/>
            <w:hideMark/>
          </w:tcPr>
          <w:p w14:paraId="6D3DC380" w14:textId="77777777" w:rsidR="00275B57" w:rsidRPr="00484405" w:rsidRDefault="00275B57" w:rsidP="00BC4031">
            <w:pPr>
              <w:spacing w:after="0" w:line="240" w:lineRule="auto"/>
              <w:jc w:val="center"/>
              <w:rPr>
                <w:rFonts w:cs="Times New Roman"/>
                <w:szCs w:val="24"/>
              </w:rPr>
            </w:pPr>
            <w:r w:rsidRPr="00484405">
              <w:rPr>
                <w:rFonts w:cs="Times New Roman"/>
                <w:szCs w:val="24"/>
              </w:rPr>
              <w:t>20%</w:t>
            </w:r>
          </w:p>
        </w:tc>
        <w:tc>
          <w:tcPr>
            <w:tcW w:w="0" w:type="auto"/>
            <w:shd w:val="clear" w:color="000000" w:fill="FFCC99"/>
            <w:noWrap/>
            <w:vAlign w:val="center"/>
            <w:hideMark/>
          </w:tcPr>
          <w:p w14:paraId="7581EBED" w14:textId="77777777" w:rsidR="00275B57" w:rsidRPr="00484405" w:rsidRDefault="00275B57" w:rsidP="00BC4031">
            <w:pPr>
              <w:spacing w:after="0" w:line="240" w:lineRule="auto"/>
              <w:jc w:val="center"/>
              <w:rPr>
                <w:rFonts w:cs="Times New Roman"/>
                <w:szCs w:val="24"/>
              </w:rPr>
            </w:pPr>
            <w:r w:rsidRPr="00484405">
              <w:rPr>
                <w:rFonts w:cs="Times New Roman"/>
                <w:szCs w:val="24"/>
              </w:rPr>
              <w:t>0.0820</w:t>
            </w:r>
          </w:p>
        </w:tc>
        <w:tc>
          <w:tcPr>
            <w:tcW w:w="0" w:type="auto"/>
            <w:shd w:val="clear" w:color="000000" w:fill="FFCC99"/>
            <w:noWrap/>
            <w:vAlign w:val="center"/>
            <w:hideMark/>
          </w:tcPr>
          <w:p w14:paraId="1444C8A1" w14:textId="77777777" w:rsidR="00275B57" w:rsidRPr="00484405" w:rsidRDefault="00275B57" w:rsidP="00BC4031">
            <w:pPr>
              <w:spacing w:after="0" w:line="240" w:lineRule="auto"/>
              <w:jc w:val="center"/>
              <w:rPr>
                <w:rFonts w:cs="Times New Roman"/>
                <w:szCs w:val="24"/>
              </w:rPr>
            </w:pPr>
            <w:r w:rsidRPr="00484405">
              <w:rPr>
                <w:rFonts w:cs="Times New Roman"/>
                <w:szCs w:val="24"/>
              </w:rPr>
              <w:t>3,807</w:t>
            </w:r>
          </w:p>
        </w:tc>
        <w:tc>
          <w:tcPr>
            <w:tcW w:w="0" w:type="auto"/>
            <w:noWrap/>
            <w:vAlign w:val="center"/>
            <w:hideMark/>
          </w:tcPr>
          <w:p w14:paraId="2DD180C3" w14:textId="77777777" w:rsidR="00275B57" w:rsidRPr="00484405" w:rsidRDefault="00275B57" w:rsidP="00BC4031">
            <w:pPr>
              <w:spacing w:after="0" w:line="240" w:lineRule="auto"/>
              <w:jc w:val="center"/>
              <w:rPr>
                <w:rFonts w:cs="Times New Roman"/>
                <w:szCs w:val="24"/>
              </w:rPr>
            </w:pPr>
            <w:r w:rsidRPr="00484405">
              <w:rPr>
                <w:rFonts w:cs="Times New Roman"/>
                <w:szCs w:val="24"/>
              </w:rPr>
              <w:t>312</w:t>
            </w:r>
          </w:p>
        </w:tc>
        <w:tc>
          <w:tcPr>
            <w:tcW w:w="0" w:type="auto"/>
            <w:noWrap/>
            <w:vAlign w:val="center"/>
            <w:hideMark/>
          </w:tcPr>
          <w:p w14:paraId="59457C20" w14:textId="77777777" w:rsidR="00275B57" w:rsidRPr="00484405" w:rsidRDefault="00275B57" w:rsidP="00BC4031">
            <w:pPr>
              <w:spacing w:after="0" w:line="240" w:lineRule="auto"/>
              <w:jc w:val="center"/>
              <w:rPr>
                <w:rFonts w:cs="Times New Roman"/>
                <w:szCs w:val="24"/>
              </w:rPr>
            </w:pPr>
            <w:r w:rsidRPr="00484405">
              <w:rPr>
                <w:rFonts w:cs="Times New Roman"/>
                <w:szCs w:val="24"/>
              </w:rPr>
              <w:t>0%</w:t>
            </w:r>
          </w:p>
        </w:tc>
        <w:tc>
          <w:tcPr>
            <w:tcW w:w="0" w:type="auto"/>
            <w:shd w:val="clear" w:color="000000" w:fill="F2F2F2"/>
            <w:noWrap/>
            <w:vAlign w:val="center"/>
            <w:hideMark/>
          </w:tcPr>
          <w:p w14:paraId="59B7B5CF"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c>
          <w:tcPr>
            <w:tcW w:w="0" w:type="auto"/>
            <w:shd w:val="clear" w:color="000000" w:fill="F2F2F2"/>
            <w:noWrap/>
            <w:vAlign w:val="center"/>
            <w:hideMark/>
          </w:tcPr>
          <w:p w14:paraId="77C6AC66"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r>
      <w:tr w:rsidR="00275B57" w14:paraId="16BC118F" w14:textId="77777777" w:rsidTr="004C5067">
        <w:trPr>
          <w:trHeight w:val="172"/>
        </w:trPr>
        <w:tc>
          <w:tcPr>
            <w:tcW w:w="0" w:type="auto"/>
            <w:shd w:val="clear" w:color="D9E1F2" w:fill="D9E1F2"/>
            <w:noWrap/>
            <w:vAlign w:val="center"/>
            <w:hideMark/>
          </w:tcPr>
          <w:p w14:paraId="31C7D6C3" w14:textId="77777777" w:rsidR="00275B57" w:rsidRPr="00484405" w:rsidRDefault="00275B57" w:rsidP="00BC4031">
            <w:pPr>
              <w:spacing w:after="0" w:line="240" w:lineRule="auto"/>
              <w:rPr>
                <w:rFonts w:cs="Times New Roman"/>
                <w:szCs w:val="24"/>
              </w:rPr>
            </w:pPr>
            <w:r w:rsidRPr="00484405">
              <w:rPr>
                <w:rFonts w:cs="Times New Roman"/>
                <w:szCs w:val="24"/>
              </w:rPr>
              <w:t>25</w:t>
            </w:r>
          </w:p>
        </w:tc>
        <w:tc>
          <w:tcPr>
            <w:tcW w:w="0" w:type="auto"/>
            <w:shd w:val="clear" w:color="D9E1F2" w:fill="D9E1F2"/>
            <w:noWrap/>
            <w:vAlign w:val="center"/>
            <w:hideMark/>
          </w:tcPr>
          <w:p w14:paraId="7E1236A2" w14:textId="77777777" w:rsidR="00275B57" w:rsidRPr="00484405" w:rsidRDefault="00275B57" w:rsidP="00BC4031">
            <w:pPr>
              <w:spacing w:after="0" w:line="240" w:lineRule="auto"/>
              <w:jc w:val="center"/>
              <w:rPr>
                <w:rFonts w:cs="Times New Roman"/>
                <w:szCs w:val="24"/>
              </w:rPr>
            </w:pPr>
            <w:r w:rsidRPr="00484405">
              <w:rPr>
                <w:rFonts w:cs="Times New Roman"/>
                <w:szCs w:val="24"/>
              </w:rPr>
              <w:t>48%</w:t>
            </w:r>
          </w:p>
        </w:tc>
        <w:tc>
          <w:tcPr>
            <w:tcW w:w="0" w:type="auto"/>
            <w:shd w:val="clear" w:color="D9E1F2" w:fill="D9E1F2"/>
            <w:noWrap/>
            <w:vAlign w:val="center"/>
            <w:hideMark/>
          </w:tcPr>
          <w:p w14:paraId="1BC6E608" w14:textId="77777777" w:rsidR="00275B57" w:rsidRPr="00484405" w:rsidRDefault="00275B57" w:rsidP="00BC4031">
            <w:pPr>
              <w:spacing w:after="0" w:line="240" w:lineRule="auto"/>
              <w:jc w:val="center"/>
              <w:rPr>
                <w:rFonts w:cs="Times New Roman"/>
                <w:szCs w:val="24"/>
              </w:rPr>
            </w:pPr>
            <w:r w:rsidRPr="00484405">
              <w:rPr>
                <w:rFonts w:cs="Times New Roman"/>
                <w:szCs w:val="24"/>
              </w:rPr>
              <w:t>19%</w:t>
            </w:r>
          </w:p>
        </w:tc>
        <w:tc>
          <w:tcPr>
            <w:tcW w:w="0" w:type="auto"/>
            <w:shd w:val="clear" w:color="000000" w:fill="FFCC99"/>
            <w:noWrap/>
            <w:vAlign w:val="center"/>
            <w:hideMark/>
          </w:tcPr>
          <w:p w14:paraId="38737A14" w14:textId="77777777" w:rsidR="00275B57" w:rsidRPr="00484405" w:rsidRDefault="00275B57" w:rsidP="00BC4031">
            <w:pPr>
              <w:spacing w:after="0" w:line="240" w:lineRule="auto"/>
              <w:jc w:val="center"/>
              <w:rPr>
                <w:rFonts w:cs="Times New Roman"/>
                <w:szCs w:val="24"/>
              </w:rPr>
            </w:pPr>
            <w:r w:rsidRPr="00484405">
              <w:rPr>
                <w:rFonts w:cs="Times New Roman"/>
                <w:szCs w:val="24"/>
              </w:rPr>
              <w:t>0.0629</w:t>
            </w:r>
          </w:p>
        </w:tc>
        <w:tc>
          <w:tcPr>
            <w:tcW w:w="0" w:type="auto"/>
            <w:shd w:val="clear" w:color="000000" w:fill="FFCC99"/>
            <w:noWrap/>
            <w:vAlign w:val="center"/>
            <w:hideMark/>
          </w:tcPr>
          <w:p w14:paraId="411F1B72" w14:textId="77777777" w:rsidR="00275B57" w:rsidRPr="00484405" w:rsidRDefault="00275B57" w:rsidP="00BC4031">
            <w:pPr>
              <w:spacing w:after="0" w:line="240" w:lineRule="auto"/>
              <w:jc w:val="center"/>
              <w:rPr>
                <w:rFonts w:cs="Times New Roman"/>
                <w:szCs w:val="24"/>
              </w:rPr>
            </w:pPr>
            <w:r w:rsidRPr="00484405">
              <w:rPr>
                <w:rFonts w:cs="Times New Roman"/>
                <w:szCs w:val="24"/>
              </w:rPr>
              <w:t>3,741</w:t>
            </w:r>
          </w:p>
        </w:tc>
        <w:tc>
          <w:tcPr>
            <w:tcW w:w="0" w:type="auto"/>
            <w:shd w:val="clear" w:color="D9E1F2" w:fill="D9E1F2"/>
            <w:noWrap/>
            <w:vAlign w:val="center"/>
            <w:hideMark/>
          </w:tcPr>
          <w:p w14:paraId="616CB782" w14:textId="77777777" w:rsidR="00275B57" w:rsidRPr="00484405" w:rsidRDefault="00275B57" w:rsidP="00BC4031">
            <w:pPr>
              <w:spacing w:after="0" w:line="240" w:lineRule="auto"/>
              <w:jc w:val="center"/>
              <w:rPr>
                <w:rFonts w:cs="Times New Roman"/>
                <w:szCs w:val="24"/>
              </w:rPr>
            </w:pPr>
            <w:r w:rsidRPr="00484405">
              <w:rPr>
                <w:rFonts w:cs="Times New Roman"/>
                <w:szCs w:val="24"/>
              </w:rPr>
              <w:t>235</w:t>
            </w:r>
          </w:p>
        </w:tc>
        <w:tc>
          <w:tcPr>
            <w:tcW w:w="0" w:type="auto"/>
            <w:shd w:val="clear" w:color="D9E1F2" w:fill="D9E1F2"/>
            <w:noWrap/>
            <w:vAlign w:val="center"/>
            <w:hideMark/>
          </w:tcPr>
          <w:p w14:paraId="22C8E0ED" w14:textId="77777777" w:rsidR="00275B57" w:rsidRPr="00484405" w:rsidRDefault="00275B57" w:rsidP="00BC4031">
            <w:pPr>
              <w:spacing w:after="0" w:line="240" w:lineRule="auto"/>
              <w:jc w:val="center"/>
              <w:rPr>
                <w:rFonts w:cs="Times New Roman"/>
                <w:szCs w:val="24"/>
              </w:rPr>
            </w:pPr>
            <w:r w:rsidRPr="00484405">
              <w:rPr>
                <w:rFonts w:cs="Times New Roman"/>
                <w:szCs w:val="24"/>
              </w:rPr>
              <w:t>0%</w:t>
            </w:r>
          </w:p>
        </w:tc>
        <w:tc>
          <w:tcPr>
            <w:tcW w:w="0" w:type="auto"/>
            <w:shd w:val="clear" w:color="000000" w:fill="F2F2F2"/>
            <w:noWrap/>
            <w:vAlign w:val="center"/>
            <w:hideMark/>
          </w:tcPr>
          <w:p w14:paraId="0F69B0C1"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c>
          <w:tcPr>
            <w:tcW w:w="0" w:type="auto"/>
            <w:shd w:val="clear" w:color="000000" w:fill="F2F2F2"/>
            <w:noWrap/>
            <w:vAlign w:val="center"/>
            <w:hideMark/>
          </w:tcPr>
          <w:p w14:paraId="64AE889E"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r>
      <w:tr w:rsidR="00275B57" w14:paraId="4742197A" w14:textId="77777777" w:rsidTr="004C5067">
        <w:trPr>
          <w:trHeight w:val="172"/>
        </w:trPr>
        <w:tc>
          <w:tcPr>
            <w:tcW w:w="0" w:type="auto"/>
            <w:noWrap/>
            <w:vAlign w:val="center"/>
            <w:hideMark/>
          </w:tcPr>
          <w:p w14:paraId="47FA4D9A" w14:textId="77777777" w:rsidR="00275B57" w:rsidRPr="00484405" w:rsidRDefault="00275B57" w:rsidP="00BC4031">
            <w:pPr>
              <w:spacing w:after="0" w:line="240" w:lineRule="auto"/>
              <w:rPr>
                <w:rFonts w:cs="Times New Roman"/>
                <w:szCs w:val="24"/>
              </w:rPr>
            </w:pPr>
            <w:r w:rsidRPr="00484405">
              <w:rPr>
                <w:rFonts w:cs="Times New Roman"/>
                <w:szCs w:val="24"/>
              </w:rPr>
              <w:t>26</w:t>
            </w:r>
          </w:p>
        </w:tc>
        <w:tc>
          <w:tcPr>
            <w:tcW w:w="0" w:type="auto"/>
            <w:noWrap/>
            <w:vAlign w:val="center"/>
            <w:hideMark/>
          </w:tcPr>
          <w:p w14:paraId="0C8F0CA9" w14:textId="77777777" w:rsidR="00275B57" w:rsidRPr="00484405" w:rsidRDefault="00275B57" w:rsidP="00BC4031">
            <w:pPr>
              <w:spacing w:after="0" w:line="240" w:lineRule="auto"/>
              <w:jc w:val="center"/>
              <w:rPr>
                <w:rFonts w:cs="Times New Roman"/>
                <w:szCs w:val="24"/>
              </w:rPr>
            </w:pPr>
            <w:r w:rsidRPr="00484405">
              <w:rPr>
                <w:rFonts w:cs="Times New Roman"/>
                <w:szCs w:val="24"/>
              </w:rPr>
              <w:t>47%</w:t>
            </w:r>
          </w:p>
        </w:tc>
        <w:tc>
          <w:tcPr>
            <w:tcW w:w="0" w:type="auto"/>
            <w:noWrap/>
            <w:vAlign w:val="center"/>
            <w:hideMark/>
          </w:tcPr>
          <w:p w14:paraId="66E5797F" w14:textId="77777777" w:rsidR="00275B57" w:rsidRPr="00484405" w:rsidRDefault="00275B57" w:rsidP="00BC4031">
            <w:pPr>
              <w:spacing w:after="0" w:line="240" w:lineRule="auto"/>
              <w:jc w:val="center"/>
              <w:rPr>
                <w:rFonts w:cs="Times New Roman"/>
                <w:szCs w:val="24"/>
              </w:rPr>
            </w:pPr>
            <w:r w:rsidRPr="00484405">
              <w:rPr>
                <w:rFonts w:cs="Times New Roman"/>
                <w:szCs w:val="24"/>
              </w:rPr>
              <w:t>18%</w:t>
            </w:r>
          </w:p>
        </w:tc>
        <w:tc>
          <w:tcPr>
            <w:tcW w:w="0" w:type="auto"/>
            <w:shd w:val="clear" w:color="000000" w:fill="FFCC99"/>
            <w:noWrap/>
            <w:vAlign w:val="center"/>
            <w:hideMark/>
          </w:tcPr>
          <w:p w14:paraId="0C72EFA1" w14:textId="77777777" w:rsidR="00275B57" w:rsidRPr="00484405" w:rsidRDefault="00275B57" w:rsidP="00BC4031">
            <w:pPr>
              <w:spacing w:after="0" w:line="240" w:lineRule="auto"/>
              <w:jc w:val="center"/>
              <w:rPr>
                <w:rFonts w:cs="Times New Roman"/>
                <w:szCs w:val="24"/>
              </w:rPr>
            </w:pPr>
            <w:r w:rsidRPr="00484405">
              <w:rPr>
                <w:rFonts w:cs="Times New Roman"/>
                <w:szCs w:val="24"/>
              </w:rPr>
              <w:t>0.0514</w:t>
            </w:r>
          </w:p>
        </w:tc>
        <w:tc>
          <w:tcPr>
            <w:tcW w:w="0" w:type="auto"/>
            <w:shd w:val="clear" w:color="000000" w:fill="FFCC99"/>
            <w:noWrap/>
            <w:vAlign w:val="center"/>
            <w:hideMark/>
          </w:tcPr>
          <w:p w14:paraId="305FBBF2" w14:textId="77777777" w:rsidR="00275B57" w:rsidRPr="00484405" w:rsidRDefault="00275B57" w:rsidP="00BC4031">
            <w:pPr>
              <w:spacing w:after="0" w:line="240" w:lineRule="auto"/>
              <w:jc w:val="center"/>
              <w:rPr>
                <w:rFonts w:cs="Times New Roman"/>
                <w:szCs w:val="24"/>
              </w:rPr>
            </w:pPr>
            <w:r w:rsidRPr="00484405">
              <w:rPr>
                <w:rFonts w:cs="Times New Roman"/>
                <w:szCs w:val="24"/>
              </w:rPr>
              <w:t>3,681</w:t>
            </w:r>
          </w:p>
        </w:tc>
        <w:tc>
          <w:tcPr>
            <w:tcW w:w="0" w:type="auto"/>
            <w:noWrap/>
            <w:vAlign w:val="center"/>
            <w:hideMark/>
          </w:tcPr>
          <w:p w14:paraId="63B9FF30" w14:textId="77777777" w:rsidR="00275B57" w:rsidRPr="00484405" w:rsidRDefault="00275B57" w:rsidP="00BC4031">
            <w:pPr>
              <w:spacing w:after="0" w:line="240" w:lineRule="auto"/>
              <w:jc w:val="center"/>
              <w:rPr>
                <w:rFonts w:cs="Times New Roman"/>
                <w:szCs w:val="24"/>
              </w:rPr>
            </w:pPr>
            <w:r w:rsidRPr="00484405">
              <w:rPr>
                <w:rFonts w:cs="Times New Roman"/>
                <w:szCs w:val="24"/>
              </w:rPr>
              <w:t>189</w:t>
            </w:r>
          </w:p>
        </w:tc>
        <w:tc>
          <w:tcPr>
            <w:tcW w:w="0" w:type="auto"/>
            <w:noWrap/>
            <w:vAlign w:val="center"/>
            <w:hideMark/>
          </w:tcPr>
          <w:p w14:paraId="717FD131" w14:textId="77777777" w:rsidR="00275B57" w:rsidRPr="00484405" w:rsidRDefault="00275B57" w:rsidP="00BC4031">
            <w:pPr>
              <w:spacing w:after="0" w:line="240" w:lineRule="auto"/>
              <w:jc w:val="center"/>
              <w:rPr>
                <w:rFonts w:cs="Times New Roman"/>
                <w:szCs w:val="24"/>
              </w:rPr>
            </w:pPr>
            <w:r w:rsidRPr="00484405">
              <w:rPr>
                <w:rFonts w:cs="Times New Roman"/>
                <w:szCs w:val="24"/>
              </w:rPr>
              <w:t>0%</w:t>
            </w:r>
          </w:p>
        </w:tc>
        <w:tc>
          <w:tcPr>
            <w:tcW w:w="0" w:type="auto"/>
            <w:shd w:val="clear" w:color="000000" w:fill="F2F2F2"/>
            <w:noWrap/>
            <w:vAlign w:val="center"/>
            <w:hideMark/>
          </w:tcPr>
          <w:p w14:paraId="4F892F33"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c>
          <w:tcPr>
            <w:tcW w:w="0" w:type="auto"/>
            <w:shd w:val="clear" w:color="000000" w:fill="F2F2F2"/>
            <w:noWrap/>
            <w:vAlign w:val="center"/>
            <w:hideMark/>
          </w:tcPr>
          <w:p w14:paraId="5CE48EAB"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r>
      <w:tr w:rsidR="00275B57" w14:paraId="0C4387DE" w14:textId="77777777" w:rsidTr="004C5067">
        <w:trPr>
          <w:trHeight w:val="172"/>
        </w:trPr>
        <w:tc>
          <w:tcPr>
            <w:tcW w:w="0" w:type="auto"/>
            <w:shd w:val="clear" w:color="D9E1F2" w:fill="D9E1F2"/>
            <w:noWrap/>
            <w:vAlign w:val="center"/>
            <w:hideMark/>
          </w:tcPr>
          <w:p w14:paraId="4DD8319D" w14:textId="77777777" w:rsidR="00275B57" w:rsidRPr="00484405" w:rsidRDefault="00275B57" w:rsidP="00BC4031">
            <w:pPr>
              <w:spacing w:after="0" w:line="240" w:lineRule="auto"/>
              <w:rPr>
                <w:rFonts w:cs="Times New Roman"/>
                <w:szCs w:val="24"/>
              </w:rPr>
            </w:pPr>
            <w:r w:rsidRPr="00484405">
              <w:rPr>
                <w:rFonts w:cs="Times New Roman"/>
                <w:szCs w:val="24"/>
              </w:rPr>
              <w:t>27</w:t>
            </w:r>
          </w:p>
        </w:tc>
        <w:tc>
          <w:tcPr>
            <w:tcW w:w="0" w:type="auto"/>
            <w:shd w:val="clear" w:color="D9E1F2" w:fill="D9E1F2"/>
            <w:noWrap/>
            <w:vAlign w:val="center"/>
            <w:hideMark/>
          </w:tcPr>
          <w:p w14:paraId="298D8528" w14:textId="77777777" w:rsidR="00275B57" w:rsidRPr="00484405" w:rsidRDefault="00275B57" w:rsidP="00BC4031">
            <w:pPr>
              <w:spacing w:after="0" w:line="240" w:lineRule="auto"/>
              <w:jc w:val="center"/>
              <w:rPr>
                <w:rFonts w:cs="Times New Roman"/>
                <w:szCs w:val="24"/>
              </w:rPr>
            </w:pPr>
            <w:r w:rsidRPr="00484405">
              <w:rPr>
                <w:rFonts w:cs="Times New Roman"/>
                <w:szCs w:val="24"/>
              </w:rPr>
              <w:t>46%</w:t>
            </w:r>
          </w:p>
        </w:tc>
        <w:tc>
          <w:tcPr>
            <w:tcW w:w="0" w:type="auto"/>
            <w:shd w:val="clear" w:color="D9E1F2" w:fill="D9E1F2"/>
            <w:noWrap/>
            <w:vAlign w:val="center"/>
            <w:hideMark/>
          </w:tcPr>
          <w:p w14:paraId="353A2879" w14:textId="77777777" w:rsidR="00275B57" w:rsidRPr="00484405" w:rsidRDefault="00275B57" w:rsidP="00BC4031">
            <w:pPr>
              <w:spacing w:after="0" w:line="240" w:lineRule="auto"/>
              <w:jc w:val="center"/>
              <w:rPr>
                <w:rFonts w:cs="Times New Roman"/>
                <w:szCs w:val="24"/>
              </w:rPr>
            </w:pPr>
            <w:r w:rsidRPr="00484405">
              <w:rPr>
                <w:rFonts w:cs="Times New Roman"/>
                <w:szCs w:val="24"/>
              </w:rPr>
              <w:t>17%</w:t>
            </w:r>
          </w:p>
        </w:tc>
        <w:tc>
          <w:tcPr>
            <w:tcW w:w="0" w:type="auto"/>
            <w:shd w:val="clear" w:color="000000" w:fill="FFCC99"/>
            <w:noWrap/>
            <w:vAlign w:val="center"/>
            <w:hideMark/>
          </w:tcPr>
          <w:p w14:paraId="132F74BD" w14:textId="77777777" w:rsidR="00275B57" w:rsidRPr="00484405" w:rsidRDefault="00275B57" w:rsidP="00BC4031">
            <w:pPr>
              <w:spacing w:after="0" w:line="240" w:lineRule="auto"/>
              <w:jc w:val="center"/>
              <w:rPr>
                <w:rFonts w:cs="Times New Roman"/>
                <w:szCs w:val="24"/>
              </w:rPr>
            </w:pPr>
            <w:r w:rsidRPr="00484405">
              <w:rPr>
                <w:rFonts w:cs="Times New Roman"/>
                <w:szCs w:val="24"/>
              </w:rPr>
              <w:t>0.0420</w:t>
            </w:r>
          </w:p>
        </w:tc>
        <w:tc>
          <w:tcPr>
            <w:tcW w:w="0" w:type="auto"/>
            <w:shd w:val="clear" w:color="000000" w:fill="FFCC99"/>
            <w:noWrap/>
            <w:vAlign w:val="center"/>
            <w:hideMark/>
          </w:tcPr>
          <w:p w14:paraId="1E9E34C7" w14:textId="77777777" w:rsidR="00275B57" w:rsidRPr="00484405" w:rsidRDefault="00275B57" w:rsidP="00BC4031">
            <w:pPr>
              <w:spacing w:after="0" w:line="240" w:lineRule="auto"/>
              <w:jc w:val="center"/>
              <w:rPr>
                <w:rFonts w:cs="Times New Roman"/>
                <w:szCs w:val="24"/>
              </w:rPr>
            </w:pPr>
            <w:r w:rsidRPr="00484405">
              <w:rPr>
                <w:rFonts w:cs="Times New Roman"/>
                <w:szCs w:val="24"/>
              </w:rPr>
              <w:t>3,625</w:t>
            </w:r>
          </w:p>
        </w:tc>
        <w:tc>
          <w:tcPr>
            <w:tcW w:w="0" w:type="auto"/>
            <w:shd w:val="clear" w:color="D9E1F2" w:fill="D9E1F2"/>
            <w:noWrap/>
            <w:vAlign w:val="center"/>
            <w:hideMark/>
          </w:tcPr>
          <w:p w14:paraId="365B8006" w14:textId="77777777" w:rsidR="00275B57" w:rsidRPr="00484405" w:rsidRDefault="00275B57" w:rsidP="00BC4031">
            <w:pPr>
              <w:spacing w:after="0" w:line="240" w:lineRule="auto"/>
              <w:jc w:val="center"/>
              <w:rPr>
                <w:rFonts w:cs="Times New Roman"/>
                <w:szCs w:val="24"/>
              </w:rPr>
            </w:pPr>
            <w:r w:rsidRPr="00484405">
              <w:rPr>
                <w:rFonts w:cs="Times New Roman"/>
                <w:szCs w:val="24"/>
              </w:rPr>
              <w:t>152</w:t>
            </w:r>
          </w:p>
        </w:tc>
        <w:tc>
          <w:tcPr>
            <w:tcW w:w="0" w:type="auto"/>
            <w:shd w:val="clear" w:color="D9E1F2" w:fill="D9E1F2"/>
            <w:noWrap/>
            <w:vAlign w:val="center"/>
            <w:hideMark/>
          </w:tcPr>
          <w:p w14:paraId="6F4B35D3" w14:textId="77777777" w:rsidR="00275B57" w:rsidRPr="00484405" w:rsidRDefault="00275B57" w:rsidP="00BC4031">
            <w:pPr>
              <w:spacing w:after="0" w:line="240" w:lineRule="auto"/>
              <w:jc w:val="center"/>
              <w:rPr>
                <w:rFonts w:cs="Times New Roman"/>
                <w:szCs w:val="24"/>
              </w:rPr>
            </w:pPr>
            <w:r w:rsidRPr="00484405">
              <w:rPr>
                <w:rFonts w:cs="Times New Roman"/>
                <w:szCs w:val="24"/>
              </w:rPr>
              <w:t>0%</w:t>
            </w:r>
          </w:p>
        </w:tc>
        <w:tc>
          <w:tcPr>
            <w:tcW w:w="0" w:type="auto"/>
            <w:shd w:val="clear" w:color="000000" w:fill="F2F2F2"/>
            <w:noWrap/>
            <w:vAlign w:val="center"/>
            <w:hideMark/>
          </w:tcPr>
          <w:p w14:paraId="335CE314"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c>
          <w:tcPr>
            <w:tcW w:w="0" w:type="auto"/>
            <w:shd w:val="clear" w:color="000000" w:fill="F2F2F2"/>
            <w:noWrap/>
            <w:vAlign w:val="center"/>
            <w:hideMark/>
          </w:tcPr>
          <w:p w14:paraId="0D8040D3"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r>
      <w:tr w:rsidR="00275B57" w14:paraId="38370013" w14:textId="77777777" w:rsidTr="004C5067">
        <w:trPr>
          <w:trHeight w:val="172"/>
        </w:trPr>
        <w:tc>
          <w:tcPr>
            <w:tcW w:w="0" w:type="auto"/>
            <w:noWrap/>
            <w:vAlign w:val="center"/>
            <w:hideMark/>
          </w:tcPr>
          <w:p w14:paraId="15BFFF61" w14:textId="77777777" w:rsidR="00275B57" w:rsidRPr="00484405" w:rsidRDefault="00275B57" w:rsidP="00BC4031">
            <w:pPr>
              <w:spacing w:after="0" w:line="240" w:lineRule="auto"/>
              <w:rPr>
                <w:rFonts w:cs="Times New Roman"/>
                <w:szCs w:val="24"/>
              </w:rPr>
            </w:pPr>
            <w:r w:rsidRPr="00484405">
              <w:rPr>
                <w:rFonts w:cs="Times New Roman"/>
                <w:szCs w:val="24"/>
              </w:rPr>
              <w:t>28</w:t>
            </w:r>
          </w:p>
        </w:tc>
        <w:tc>
          <w:tcPr>
            <w:tcW w:w="0" w:type="auto"/>
            <w:noWrap/>
            <w:vAlign w:val="center"/>
            <w:hideMark/>
          </w:tcPr>
          <w:p w14:paraId="1704F278" w14:textId="77777777" w:rsidR="00275B57" w:rsidRPr="00484405" w:rsidRDefault="00275B57" w:rsidP="00BC4031">
            <w:pPr>
              <w:spacing w:after="0" w:line="240" w:lineRule="auto"/>
              <w:jc w:val="center"/>
              <w:rPr>
                <w:rFonts w:cs="Times New Roman"/>
                <w:szCs w:val="24"/>
              </w:rPr>
            </w:pPr>
            <w:r w:rsidRPr="00484405">
              <w:rPr>
                <w:rFonts w:cs="Times New Roman"/>
                <w:szCs w:val="24"/>
              </w:rPr>
              <w:t>44%</w:t>
            </w:r>
          </w:p>
        </w:tc>
        <w:tc>
          <w:tcPr>
            <w:tcW w:w="0" w:type="auto"/>
            <w:noWrap/>
            <w:vAlign w:val="center"/>
            <w:hideMark/>
          </w:tcPr>
          <w:p w14:paraId="33D6A117" w14:textId="77777777" w:rsidR="00275B57" w:rsidRPr="00484405" w:rsidRDefault="00275B57" w:rsidP="00BC4031">
            <w:pPr>
              <w:spacing w:after="0" w:line="240" w:lineRule="auto"/>
              <w:jc w:val="center"/>
              <w:rPr>
                <w:rFonts w:cs="Times New Roman"/>
                <w:szCs w:val="24"/>
              </w:rPr>
            </w:pPr>
            <w:r w:rsidRPr="00484405">
              <w:rPr>
                <w:rFonts w:cs="Times New Roman"/>
                <w:szCs w:val="24"/>
              </w:rPr>
              <w:t>16%</w:t>
            </w:r>
          </w:p>
        </w:tc>
        <w:tc>
          <w:tcPr>
            <w:tcW w:w="0" w:type="auto"/>
            <w:shd w:val="clear" w:color="000000" w:fill="FFCC99"/>
            <w:noWrap/>
            <w:vAlign w:val="center"/>
            <w:hideMark/>
          </w:tcPr>
          <w:p w14:paraId="4BEEC260" w14:textId="77777777" w:rsidR="00275B57" w:rsidRPr="00484405" w:rsidRDefault="00275B57" w:rsidP="00BC4031">
            <w:pPr>
              <w:spacing w:after="0" w:line="240" w:lineRule="auto"/>
              <w:jc w:val="center"/>
              <w:rPr>
                <w:rFonts w:cs="Times New Roman"/>
                <w:szCs w:val="24"/>
              </w:rPr>
            </w:pPr>
            <w:r w:rsidRPr="00484405">
              <w:rPr>
                <w:rFonts w:cs="Times New Roman"/>
                <w:szCs w:val="24"/>
              </w:rPr>
              <w:t>0.0337</w:t>
            </w:r>
          </w:p>
        </w:tc>
        <w:tc>
          <w:tcPr>
            <w:tcW w:w="0" w:type="auto"/>
            <w:shd w:val="clear" w:color="000000" w:fill="FFCC99"/>
            <w:noWrap/>
            <w:vAlign w:val="center"/>
            <w:hideMark/>
          </w:tcPr>
          <w:p w14:paraId="21A3C09B" w14:textId="77777777" w:rsidR="00275B57" w:rsidRPr="00484405" w:rsidRDefault="00275B57" w:rsidP="00BC4031">
            <w:pPr>
              <w:spacing w:after="0" w:line="240" w:lineRule="auto"/>
              <w:jc w:val="center"/>
              <w:rPr>
                <w:rFonts w:cs="Times New Roman"/>
                <w:szCs w:val="24"/>
              </w:rPr>
            </w:pPr>
            <w:r w:rsidRPr="00484405">
              <w:rPr>
                <w:rFonts w:cs="Times New Roman"/>
                <w:szCs w:val="24"/>
              </w:rPr>
              <w:t>3,574</w:t>
            </w:r>
          </w:p>
        </w:tc>
        <w:tc>
          <w:tcPr>
            <w:tcW w:w="0" w:type="auto"/>
            <w:noWrap/>
            <w:vAlign w:val="center"/>
            <w:hideMark/>
          </w:tcPr>
          <w:p w14:paraId="2220CB15" w14:textId="77777777" w:rsidR="00275B57" w:rsidRPr="00484405" w:rsidRDefault="00275B57" w:rsidP="00BC4031">
            <w:pPr>
              <w:spacing w:after="0" w:line="240" w:lineRule="auto"/>
              <w:jc w:val="center"/>
              <w:rPr>
                <w:rFonts w:cs="Times New Roman"/>
                <w:szCs w:val="24"/>
              </w:rPr>
            </w:pPr>
            <w:r w:rsidRPr="00484405">
              <w:rPr>
                <w:rFonts w:cs="Times New Roman"/>
                <w:szCs w:val="24"/>
              </w:rPr>
              <w:t>120</w:t>
            </w:r>
          </w:p>
        </w:tc>
        <w:tc>
          <w:tcPr>
            <w:tcW w:w="0" w:type="auto"/>
            <w:noWrap/>
            <w:vAlign w:val="center"/>
            <w:hideMark/>
          </w:tcPr>
          <w:p w14:paraId="5F1BB720" w14:textId="77777777" w:rsidR="00275B57" w:rsidRPr="00484405" w:rsidRDefault="00275B57" w:rsidP="00BC4031">
            <w:pPr>
              <w:spacing w:after="0" w:line="240" w:lineRule="auto"/>
              <w:jc w:val="center"/>
              <w:rPr>
                <w:rFonts w:cs="Times New Roman"/>
                <w:szCs w:val="24"/>
              </w:rPr>
            </w:pPr>
            <w:r w:rsidRPr="00484405">
              <w:rPr>
                <w:rFonts w:cs="Times New Roman"/>
                <w:szCs w:val="24"/>
              </w:rPr>
              <w:t>0%</w:t>
            </w:r>
          </w:p>
        </w:tc>
        <w:tc>
          <w:tcPr>
            <w:tcW w:w="0" w:type="auto"/>
            <w:shd w:val="clear" w:color="000000" w:fill="F2F2F2"/>
            <w:noWrap/>
            <w:vAlign w:val="center"/>
            <w:hideMark/>
          </w:tcPr>
          <w:p w14:paraId="454D1FF1"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c>
          <w:tcPr>
            <w:tcW w:w="0" w:type="auto"/>
            <w:shd w:val="clear" w:color="000000" w:fill="F2F2F2"/>
            <w:noWrap/>
            <w:vAlign w:val="center"/>
            <w:hideMark/>
          </w:tcPr>
          <w:p w14:paraId="3ACF27CF"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r>
      <w:tr w:rsidR="00275B57" w14:paraId="145B462A" w14:textId="77777777" w:rsidTr="004C5067">
        <w:trPr>
          <w:trHeight w:val="172"/>
        </w:trPr>
        <w:tc>
          <w:tcPr>
            <w:tcW w:w="0" w:type="auto"/>
            <w:shd w:val="clear" w:color="D9E1F2" w:fill="D9E1F2"/>
            <w:noWrap/>
            <w:vAlign w:val="center"/>
            <w:hideMark/>
          </w:tcPr>
          <w:p w14:paraId="310AA482" w14:textId="77777777" w:rsidR="00275B57" w:rsidRPr="00484405" w:rsidRDefault="00275B57" w:rsidP="00BC4031">
            <w:pPr>
              <w:spacing w:after="0" w:line="240" w:lineRule="auto"/>
              <w:rPr>
                <w:rFonts w:cs="Times New Roman"/>
                <w:szCs w:val="24"/>
              </w:rPr>
            </w:pPr>
            <w:r w:rsidRPr="00484405">
              <w:rPr>
                <w:rFonts w:cs="Times New Roman"/>
                <w:szCs w:val="24"/>
              </w:rPr>
              <w:t>29</w:t>
            </w:r>
          </w:p>
        </w:tc>
        <w:tc>
          <w:tcPr>
            <w:tcW w:w="0" w:type="auto"/>
            <w:shd w:val="clear" w:color="D9E1F2" w:fill="D9E1F2"/>
            <w:noWrap/>
            <w:vAlign w:val="center"/>
            <w:hideMark/>
          </w:tcPr>
          <w:p w14:paraId="76B092D3" w14:textId="77777777" w:rsidR="00275B57" w:rsidRPr="00484405" w:rsidRDefault="00275B57" w:rsidP="00BC4031">
            <w:pPr>
              <w:spacing w:after="0" w:line="240" w:lineRule="auto"/>
              <w:jc w:val="center"/>
              <w:rPr>
                <w:rFonts w:cs="Times New Roman"/>
                <w:szCs w:val="24"/>
              </w:rPr>
            </w:pPr>
            <w:r w:rsidRPr="00484405">
              <w:rPr>
                <w:rFonts w:cs="Times New Roman"/>
                <w:szCs w:val="24"/>
              </w:rPr>
              <w:t>43%</w:t>
            </w:r>
          </w:p>
        </w:tc>
        <w:tc>
          <w:tcPr>
            <w:tcW w:w="0" w:type="auto"/>
            <w:shd w:val="clear" w:color="D9E1F2" w:fill="D9E1F2"/>
            <w:noWrap/>
            <w:vAlign w:val="center"/>
            <w:hideMark/>
          </w:tcPr>
          <w:p w14:paraId="6EFDA2C9" w14:textId="77777777" w:rsidR="00275B57" w:rsidRPr="00484405" w:rsidRDefault="00275B57" w:rsidP="00BC4031">
            <w:pPr>
              <w:spacing w:after="0" w:line="240" w:lineRule="auto"/>
              <w:jc w:val="center"/>
              <w:rPr>
                <w:rFonts w:cs="Times New Roman"/>
                <w:szCs w:val="24"/>
              </w:rPr>
            </w:pPr>
            <w:r w:rsidRPr="00484405">
              <w:rPr>
                <w:rFonts w:cs="Times New Roman"/>
                <w:szCs w:val="24"/>
              </w:rPr>
              <w:t>15%</w:t>
            </w:r>
          </w:p>
        </w:tc>
        <w:tc>
          <w:tcPr>
            <w:tcW w:w="0" w:type="auto"/>
            <w:shd w:val="clear" w:color="000000" w:fill="FFCC99"/>
            <w:noWrap/>
            <w:vAlign w:val="center"/>
            <w:hideMark/>
          </w:tcPr>
          <w:p w14:paraId="135AE418" w14:textId="77777777" w:rsidR="00275B57" w:rsidRPr="00484405" w:rsidRDefault="00275B57" w:rsidP="00BC4031">
            <w:pPr>
              <w:spacing w:after="0" w:line="240" w:lineRule="auto"/>
              <w:jc w:val="center"/>
              <w:rPr>
                <w:rFonts w:cs="Times New Roman"/>
                <w:szCs w:val="24"/>
              </w:rPr>
            </w:pPr>
            <w:r w:rsidRPr="00484405">
              <w:rPr>
                <w:rFonts w:cs="Times New Roman"/>
                <w:szCs w:val="24"/>
              </w:rPr>
              <w:t>0.0281</w:t>
            </w:r>
          </w:p>
        </w:tc>
        <w:tc>
          <w:tcPr>
            <w:tcW w:w="0" w:type="auto"/>
            <w:shd w:val="clear" w:color="000000" w:fill="FFCC99"/>
            <w:noWrap/>
            <w:vAlign w:val="center"/>
            <w:hideMark/>
          </w:tcPr>
          <w:p w14:paraId="20ED35ED" w14:textId="77777777" w:rsidR="00275B57" w:rsidRPr="00484405" w:rsidRDefault="00275B57" w:rsidP="00BC4031">
            <w:pPr>
              <w:spacing w:after="0" w:line="240" w:lineRule="auto"/>
              <w:jc w:val="center"/>
              <w:rPr>
                <w:rFonts w:cs="Times New Roman"/>
                <w:szCs w:val="24"/>
              </w:rPr>
            </w:pPr>
            <w:r w:rsidRPr="00484405">
              <w:rPr>
                <w:rFonts w:cs="Times New Roman"/>
                <w:szCs w:val="24"/>
              </w:rPr>
              <w:t>3,528</w:t>
            </w:r>
          </w:p>
        </w:tc>
        <w:tc>
          <w:tcPr>
            <w:tcW w:w="0" w:type="auto"/>
            <w:shd w:val="clear" w:color="D9E1F2" w:fill="D9E1F2"/>
            <w:noWrap/>
            <w:vAlign w:val="center"/>
            <w:hideMark/>
          </w:tcPr>
          <w:p w14:paraId="473A8A55" w14:textId="77777777" w:rsidR="00275B57" w:rsidRPr="00484405" w:rsidRDefault="00275B57" w:rsidP="00BC4031">
            <w:pPr>
              <w:spacing w:after="0" w:line="240" w:lineRule="auto"/>
              <w:jc w:val="center"/>
              <w:rPr>
                <w:rFonts w:cs="Times New Roman"/>
                <w:szCs w:val="24"/>
              </w:rPr>
            </w:pPr>
            <w:r w:rsidRPr="00484405">
              <w:rPr>
                <w:rFonts w:cs="Times New Roman"/>
                <w:szCs w:val="24"/>
              </w:rPr>
              <w:t>99</w:t>
            </w:r>
          </w:p>
        </w:tc>
        <w:tc>
          <w:tcPr>
            <w:tcW w:w="0" w:type="auto"/>
            <w:shd w:val="clear" w:color="D9E1F2" w:fill="D9E1F2"/>
            <w:noWrap/>
            <w:vAlign w:val="center"/>
            <w:hideMark/>
          </w:tcPr>
          <w:p w14:paraId="2BD9B26D" w14:textId="77777777" w:rsidR="00275B57" w:rsidRPr="00484405" w:rsidRDefault="00275B57" w:rsidP="00BC4031">
            <w:pPr>
              <w:spacing w:after="0" w:line="240" w:lineRule="auto"/>
              <w:jc w:val="center"/>
              <w:rPr>
                <w:rFonts w:cs="Times New Roman"/>
                <w:szCs w:val="24"/>
              </w:rPr>
            </w:pPr>
            <w:r w:rsidRPr="00484405">
              <w:rPr>
                <w:rFonts w:cs="Times New Roman"/>
                <w:szCs w:val="24"/>
              </w:rPr>
              <w:t>0%</w:t>
            </w:r>
          </w:p>
        </w:tc>
        <w:tc>
          <w:tcPr>
            <w:tcW w:w="0" w:type="auto"/>
            <w:shd w:val="clear" w:color="000000" w:fill="F2F2F2"/>
            <w:noWrap/>
            <w:vAlign w:val="center"/>
            <w:hideMark/>
          </w:tcPr>
          <w:p w14:paraId="599EC761"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c>
          <w:tcPr>
            <w:tcW w:w="0" w:type="auto"/>
            <w:shd w:val="clear" w:color="000000" w:fill="F2F2F2"/>
            <w:noWrap/>
            <w:vAlign w:val="center"/>
            <w:hideMark/>
          </w:tcPr>
          <w:p w14:paraId="3B53AE87"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r>
      <w:tr w:rsidR="00275B57" w14:paraId="452A8907" w14:textId="77777777" w:rsidTr="004C5067">
        <w:trPr>
          <w:trHeight w:val="172"/>
        </w:trPr>
        <w:tc>
          <w:tcPr>
            <w:tcW w:w="0" w:type="auto"/>
            <w:noWrap/>
            <w:vAlign w:val="center"/>
            <w:hideMark/>
          </w:tcPr>
          <w:p w14:paraId="0C9F79ED" w14:textId="77777777" w:rsidR="00275B57" w:rsidRPr="00484405" w:rsidRDefault="00275B57" w:rsidP="00BC4031">
            <w:pPr>
              <w:spacing w:after="0" w:line="240" w:lineRule="auto"/>
              <w:rPr>
                <w:rFonts w:cs="Times New Roman"/>
                <w:szCs w:val="24"/>
              </w:rPr>
            </w:pPr>
            <w:r w:rsidRPr="00484405">
              <w:rPr>
                <w:rFonts w:cs="Times New Roman"/>
                <w:szCs w:val="24"/>
              </w:rPr>
              <w:t>30</w:t>
            </w:r>
          </w:p>
        </w:tc>
        <w:tc>
          <w:tcPr>
            <w:tcW w:w="0" w:type="auto"/>
            <w:noWrap/>
            <w:vAlign w:val="center"/>
            <w:hideMark/>
          </w:tcPr>
          <w:p w14:paraId="0EF4853E" w14:textId="77777777" w:rsidR="00275B57" w:rsidRPr="00484405" w:rsidRDefault="00275B57" w:rsidP="00BC4031">
            <w:pPr>
              <w:spacing w:after="0" w:line="240" w:lineRule="auto"/>
              <w:jc w:val="center"/>
              <w:rPr>
                <w:rFonts w:cs="Times New Roman"/>
                <w:szCs w:val="24"/>
              </w:rPr>
            </w:pPr>
            <w:r w:rsidRPr="00484405">
              <w:rPr>
                <w:rFonts w:cs="Times New Roman"/>
                <w:szCs w:val="24"/>
              </w:rPr>
              <w:t>42%</w:t>
            </w:r>
          </w:p>
        </w:tc>
        <w:tc>
          <w:tcPr>
            <w:tcW w:w="0" w:type="auto"/>
            <w:noWrap/>
            <w:vAlign w:val="center"/>
            <w:hideMark/>
          </w:tcPr>
          <w:p w14:paraId="55A85EF5" w14:textId="77777777" w:rsidR="00275B57" w:rsidRPr="00484405" w:rsidRDefault="00275B57" w:rsidP="00BC4031">
            <w:pPr>
              <w:spacing w:after="0" w:line="240" w:lineRule="auto"/>
              <w:jc w:val="center"/>
              <w:rPr>
                <w:rFonts w:cs="Times New Roman"/>
                <w:szCs w:val="24"/>
              </w:rPr>
            </w:pPr>
            <w:r w:rsidRPr="00484405">
              <w:rPr>
                <w:rFonts w:cs="Times New Roman"/>
                <w:szCs w:val="24"/>
              </w:rPr>
              <w:t>14%</w:t>
            </w:r>
          </w:p>
        </w:tc>
        <w:tc>
          <w:tcPr>
            <w:tcW w:w="0" w:type="auto"/>
            <w:shd w:val="clear" w:color="000000" w:fill="FFCC99"/>
            <w:noWrap/>
            <w:vAlign w:val="center"/>
            <w:hideMark/>
          </w:tcPr>
          <w:p w14:paraId="374FC920" w14:textId="77777777" w:rsidR="00275B57" w:rsidRPr="00484405" w:rsidRDefault="00275B57" w:rsidP="00BC4031">
            <w:pPr>
              <w:spacing w:after="0" w:line="240" w:lineRule="auto"/>
              <w:jc w:val="center"/>
              <w:rPr>
                <w:rFonts w:cs="Times New Roman"/>
                <w:szCs w:val="24"/>
              </w:rPr>
            </w:pPr>
            <w:r w:rsidRPr="00484405">
              <w:rPr>
                <w:rFonts w:cs="Times New Roman"/>
                <w:szCs w:val="24"/>
              </w:rPr>
              <w:t>0.0235</w:t>
            </w:r>
          </w:p>
        </w:tc>
        <w:tc>
          <w:tcPr>
            <w:tcW w:w="0" w:type="auto"/>
            <w:shd w:val="clear" w:color="000000" w:fill="FFCC99"/>
            <w:noWrap/>
            <w:vAlign w:val="center"/>
            <w:hideMark/>
          </w:tcPr>
          <w:p w14:paraId="0AE3AE97" w14:textId="77777777" w:rsidR="00275B57" w:rsidRPr="00484405" w:rsidRDefault="00275B57" w:rsidP="00BC4031">
            <w:pPr>
              <w:spacing w:after="0" w:line="240" w:lineRule="auto"/>
              <w:jc w:val="center"/>
              <w:rPr>
                <w:rFonts w:cs="Times New Roman"/>
                <w:szCs w:val="24"/>
              </w:rPr>
            </w:pPr>
            <w:r w:rsidRPr="00484405">
              <w:rPr>
                <w:rFonts w:cs="Times New Roman"/>
                <w:szCs w:val="24"/>
              </w:rPr>
              <w:t>3,486</w:t>
            </w:r>
          </w:p>
        </w:tc>
        <w:tc>
          <w:tcPr>
            <w:tcW w:w="0" w:type="auto"/>
            <w:noWrap/>
            <w:vAlign w:val="center"/>
            <w:hideMark/>
          </w:tcPr>
          <w:p w14:paraId="5BAD81CA" w14:textId="77777777" w:rsidR="00275B57" w:rsidRPr="00484405" w:rsidRDefault="00275B57" w:rsidP="00BC4031">
            <w:pPr>
              <w:spacing w:after="0" w:line="240" w:lineRule="auto"/>
              <w:jc w:val="center"/>
              <w:rPr>
                <w:rFonts w:cs="Times New Roman"/>
                <w:szCs w:val="24"/>
              </w:rPr>
            </w:pPr>
            <w:r w:rsidRPr="00484405">
              <w:rPr>
                <w:rFonts w:cs="Times New Roman"/>
                <w:szCs w:val="24"/>
              </w:rPr>
              <w:t>82</w:t>
            </w:r>
          </w:p>
        </w:tc>
        <w:tc>
          <w:tcPr>
            <w:tcW w:w="0" w:type="auto"/>
            <w:noWrap/>
            <w:vAlign w:val="center"/>
            <w:hideMark/>
          </w:tcPr>
          <w:p w14:paraId="2A58FF4C" w14:textId="77777777" w:rsidR="00275B57" w:rsidRPr="00484405" w:rsidRDefault="00275B57" w:rsidP="00BC4031">
            <w:pPr>
              <w:spacing w:after="0" w:line="240" w:lineRule="auto"/>
              <w:jc w:val="center"/>
              <w:rPr>
                <w:rFonts w:cs="Times New Roman"/>
                <w:szCs w:val="24"/>
              </w:rPr>
            </w:pPr>
            <w:r w:rsidRPr="00484405">
              <w:rPr>
                <w:rFonts w:cs="Times New Roman"/>
                <w:szCs w:val="24"/>
              </w:rPr>
              <w:t>0%</w:t>
            </w:r>
          </w:p>
        </w:tc>
        <w:tc>
          <w:tcPr>
            <w:tcW w:w="0" w:type="auto"/>
            <w:shd w:val="clear" w:color="000000" w:fill="F2F2F2"/>
            <w:noWrap/>
            <w:vAlign w:val="center"/>
            <w:hideMark/>
          </w:tcPr>
          <w:p w14:paraId="3346C314"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c>
          <w:tcPr>
            <w:tcW w:w="0" w:type="auto"/>
            <w:shd w:val="clear" w:color="000000" w:fill="F2F2F2"/>
            <w:noWrap/>
            <w:vAlign w:val="center"/>
            <w:hideMark/>
          </w:tcPr>
          <w:p w14:paraId="3CB6A025"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r>
      <w:tr w:rsidR="00275B57" w14:paraId="155EE6BB" w14:textId="77777777" w:rsidTr="004C5067">
        <w:trPr>
          <w:trHeight w:val="172"/>
        </w:trPr>
        <w:tc>
          <w:tcPr>
            <w:tcW w:w="0" w:type="auto"/>
            <w:shd w:val="clear" w:color="D9E1F2" w:fill="D9E1F2"/>
            <w:noWrap/>
            <w:vAlign w:val="center"/>
            <w:hideMark/>
          </w:tcPr>
          <w:p w14:paraId="0BD7A65E" w14:textId="77777777" w:rsidR="00275B57" w:rsidRPr="00484405" w:rsidRDefault="00275B57" w:rsidP="00BC4031">
            <w:pPr>
              <w:spacing w:after="0" w:line="240" w:lineRule="auto"/>
              <w:rPr>
                <w:rFonts w:cs="Times New Roman"/>
                <w:szCs w:val="24"/>
              </w:rPr>
            </w:pPr>
            <w:r w:rsidRPr="00484405">
              <w:rPr>
                <w:rFonts w:cs="Times New Roman"/>
                <w:szCs w:val="24"/>
              </w:rPr>
              <w:t>31</w:t>
            </w:r>
          </w:p>
        </w:tc>
        <w:tc>
          <w:tcPr>
            <w:tcW w:w="0" w:type="auto"/>
            <w:shd w:val="clear" w:color="D9E1F2" w:fill="D9E1F2"/>
            <w:noWrap/>
            <w:vAlign w:val="center"/>
            <w:hideMark/>
          </w:tcPr>
          <w:p w14:paraId="4761C025" w14:textId="77777777" w:rsidR="00275B57" w:rsidRPr="00484405" w:rsidRDefault="00275B57" w:rsidP="00BC4031">
            <w:pPr>
              <w:spacing w:after="0" w:line="240" w:lineRule="auto"/>
              <w:jc w:val="center"/>
              <w:rPr>
                <w:rFonts w:cs="Times New Roman"/>
                <w:szCs w:val="24"/>
              </w:rPr>
            </w:pPr>
            <w:r w:rsidRPr="00484405">
              <w:rPr>
                <w:rFonts w:cs="Times New Roman"/>
                <w:szCs w:val="24"/>
              </w:rPr>
              <w:t>41%</w:t>
            </w:r>
          </w:p>
        </w:tc>
        <w:tc>
          <w:tcPr>
            <w:tcW w:w="0" w:type="auto"/>
            <w:shd w:val="clear" w:color="D9E1F2" w:fill="D9E1F2"/>
            <w:noWrap/>
            <w:vAlign w:val="center"/>
            <w:hideMark/>
          </w:tcPr>
          <w:p w14:paraId="0C152715" w14:textId="77777777" w:rsidR="00275B57" w:rsidRPr="00484405" w:rsidRDefault="00275B57" w:rsidP="00BC4031">
            <w:pPr>
              <w:spacing w:after="0" w:line="240" w:lineRule="auto"/>
              <w:jc w:val="center"/>
              <w:rPr>
                <w:rFonts w:cs="Times New Roman"/>
                <w:szCs w:val="24"/>
              </w:rPr>
            </w:pPr>
            <w:r w:rsidRPr="00484405">
              <w:rPr>
                <w:rFonts w:cs="Times New Roman"/>
                <w:szCs w:val="24"/>
              </w:rPr>
              <w:t>13%</w:t>
            </w:r>
          </w:p>
        </w:tc>
        <w:tc>
          <w:tcPr>
            <w:tcW w:w="0" w:type="auto"/>
            <w:shd w:val="clear" w:color="000000" w:fill="FFCC99"/>
            <w:noWrap/>
            <w:vAlign w:val="center"/>
            <w:hideMark/>
          </w:tcPr>
          <w:p w14:paraId="228909BA" w14:textId="77777777" w:rsidR="00275B57" w:rsidRPr="00484405" w:rsidRDefault="00275B57" w:rsidP="00BC4031">
            <w:pPr>
              <w:spacing w:after="0" w:line="240" w:lineRule="auto"/>
              <w:jc w:val="center"/>
              <w:rPr>
                <w:rFonts w:cs="Times New Roman"/>
                <w:szCs w:val="24"/>
              </w:rPr>
            </w:pPr>
            <w:r w:rsidRPr="00484405">
              <w:rPr>
                <w:rFonts w:cs="Times New Roman"/>
                <w:szCs w:val="24"/>
              </w:rPr>
              <w:t>0.0000</w:t>
            </w:r>
          </w:p>
        </w:tc>
        <w:tc>
          <w:tcPr>
            <w:tcW w:w="0" w:type="auto"/>
            <w:shd w:val="clear" w:color="000000" w:fill="FFCC99"/>
            <w:noWrap/>
            <w:vAlign w:val="center"/>
            <w:hideMark/>
          </w:tcPr>
          <w:p w14:paraId="7E46E7C7" w14:textId="77777777" w:rsidR="00275B57" w:rsidRPr="00484405" w:rsidRDefault="00275B57" w:rsidP="00BC4031">
            <w:pPr>
              <w:spacing w:after="0" w:line="240" w:lineRule="auto"/>
              <w:jc w:val="center"/>
              <w:rPr>
                <w:rFonts w:cs="Times New Roman"/>
                <w:szCs w:val="24"/>
              </w:rPr>
            </w:pPr>
            <w:r w:rsidRPr="00484405">
              <w:rPr>
                <w:rFonts w:cs="Times New Roman"/>
                <w:szCs w:val="24"/>
              </w:rPr>
              <w:t>3,449</w:t>
            </w:r>
          </w:p>
        </w:tc>
        <w:tc>
          <w:tcPr>
            <w:tcW w:w="0" w:type="auto"/>
            <w:shd w:val="clear" w:color="D9E1F2" w:fill="D9E1F2"/>
            <w:noWrap/>
            <w:vAlign w:val="center"/>
            <w:hideMark/>
          </w:tcPr>
          <w:p w14:paraId="0136BAE0" w14:textId="77777777" w:rsidR="00275B57" w:rsidRPr="00484405" w:rsidRDefault="00275B57" w:rsidP="00BC4031">
            <w:pPr>
              <w:spacing w:after="0" w:line="240" w:lineRule="auto"/>
              <w:jc w:val="center"/>
              <w:rPr>
                <w:rFonts w:cs="Times New Roman"/>
                <w:szCs w:val="24"/>
              </w:rPr>
            </w:pPr>
            <w:r w:rsidRPr="00484405">
              <w:rPr>
                <w:rFonts w:cs="Times New Roman"/>
                <w:szCs w:val="24"/>
              </w:rPr>
              <w:t>0</w:t>
            </w:r>
          </w:p>
        </w:tc>
        <w:tc>
          <w:tcPr>
            <w:tcW w:w="0" w:type="auto"/>
            <w:shd w:val="clear" w:color="D9E1F2" w:fill="D9E1F2"/>
            <w:noWrap/>
            <w:vAlign w:val="center"/>
            <w:hideMark/>
          </w:tcPr>
          <w:p w14:paraId="2BABE756" w14:textId="77777777" w:rsidR="00275B57" w:rsidRPr="00484405" w:rsidRDefault="00275B57" w:rsidP="00BC4031">
            <w:pPr>
              <w:spacing w:after="0" w:line="240" w:lineRule="auto"/>
              <w:jc w:val="center"/>
              <w:rPr>
                <w:rFonts w:cs="Times New Roman"/>
                <w:szCs w:val="24"/>
              </w:rPr>
            </w:pPr>
            <w:r w:rsidRPr="00484405">
              <w:rPr>
                <w:rFonts w:cs="Times New Roman"/>
                <w:szCs w:val="24"/>
              </w:rPr>
              <w:t>0%</w:t>
            </w:r>
          </w:p>
        </w:tc>
        <w:tc>
          <w:tcPr>
            <w:tcW w:w="0" w:type="auto"/>
            <w:shd w:val="clear" w:color="000000" w:fill="F2F2F2"/>
            <w:noWrap/>
            <w:vAlign w:val="center"/>
            <w:hideMark/>
          </w:tcPr>
          <w:p w14:paraId="7CD69E6A"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c>
          <w:tcPr>
            <w:tcW w:w="0" w:type="auto"/>
            <w:shd w:val="clear" w:color="000000" w:fill="F2F2F2"/>
            <w:noWrap/>
            <w:vAlign w:val="center"/>
            <w:hideMark/>
          </w:tcPr>
          <w:p w14:paraId="50883B7C"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r>
      <w:tr w:rsidR="00275B57" w14:paraId="1E2E1C52" w14:textId="77777777" w:rsidTr="004C5067">
        <w:trPr>
          <w:trHeight w:val="172"/>
        </w:trPr>
        <w:tc>
          <w:tcPr>
            <w:tcW w:w="0" w:type="auto"/>
            <w:noWrap/>
            <w:vAlign w:val="center"/>
            <w:hideMark/>
          </w:tcPr>
          <w:p w14:paraId="74C64FE0" w14:textId="77777777" w:rsidR="00275B57" w:rsidRPr="00484405" w:rsidRDefault="00275B57" w:rsidP="00BC4031">
            <w:pPr>
              <w:spacing w:after="0" w:line="240" w:lineRule="auto"/>
              <w:rPr>
                <w:rFonts w:cs="Times New Roman"/>
                <w:szCs w:val="24"/>
              </w:rPr>
            </w:pPr>
            <w:r w:rsidRPr="00484405">
              <w:rPr>
                <w:rFonts w:cs="Times New Roman"/>
                <w:szCs w:val="24"/>
              </w:rPr>
              <w:t>32</w:t>
            </w:r>
          </w:p>
        </w:tc>
        <w:tc>
          <w:tcPr>
            <w:tcW w:w="0" w:type="auto"/>
            <w:noWrap/>
            <w:vAlign w:val="center"/>
            <w:hideMark/>
          </w:tcPr>
          <w:p w14:paraId="69A6E108" w14:textId="77777777" w:rsidR="00275B57" w:rsidRPr="00484405" w:rsidRDefault="00275B57" w:rsidP="00BC4031">
            <w:pPr>
              <w:spacing w:after="0" w:line="240" w:lineRule="auto"/>
              <w:jc w:val="center"/>
              <w:rPr>
                <w:rFonts w:cs="Times New Roman"/>
                <w:szCs w:val="24"/>
              </w:rPr>
            </w:pPr>
            <w:r w:rsidRPr="00484405">
              <w:rPr>
                <w:rFonts w:cs="Times New Roman"/>
                <w:szCs w:val="24"/>
              </w:rPr>
              <w:t>39%</w:t>
            </w:r>
          </w:p>
        </w:tc>
        <w:tc>
          <w:tcPr>
            <w:tcW w:w="0" w:type="auto"/>
            <w:noWrap/>
            <w:vAlign w:val="center"/>
            <w:hideMark/>
          </w:tcPr>
          <w:p w14:paraId="4213EF82" w14:textId="77777777" w:rsidR="00275B57" w:rsidRPr="00484405" w:rsidRDefault="00275B57" w:rsidP="00BC4031">
            <w:pPr>
              <w:spacing w:after="0" w:line="240" w:lineRule="auto"/>
              <w:jc w:val="center"/>
              <w:rPr>
                <w:rFonts w:cs="Times New Roman"/>
                <w:szCs w:val="24"/>
              </w:rPr>
            </w:pPr>
            <w:r w:rsidRPr="00484405">
              <w:rPr>
                <w:rFonts w:cs="Times New Roman"/>
                <w:szCs w:val="24"/>
              </w:rPr>
              <w:t>12%</w:t>
            </w:r>
          </w:p>
        </w:tc>
        <w:tc>
          <w:tcPr>
            <w:tcW w:w="0" w:type="auto"/>
            <w:shd w:val="clear" w:color="000000" w:fill="FFCC99"/>
            <w:noWrap/>
            <w:vAlign w:val="center"/>
            <w:hideMark/>
          </w:tcPr>
          <w:p w14:paraId="11D834E2" w14:textId="77777777" w:rsidR="00275B57" w:rsidRPr="00484405" w:rsidRDefault="00275B57" w:rsidP="00BC4031">
            <w:pPr>
              <w:spacing w:after="0" w:line="240" w:lineRule="auto"/>
              <w:jc w:val="center"/>
              <w:rPr>
                <w:rFonts w:cs="Times New Roman"/>
                <w:szCs w:val="24"/>
              </w:rPr>
            </w:pPr>
            <w:r w:rsidRPr="00484405">
              <w:rPr>
                <w:rFonts w:cs="Times New Roman"/>
                <w:szCs w:val="24"/>
              </w:rPr>
              <w:t>0.0000</w:t>
            </w:r>
          </w:p>
        </w:tc>
        <w:tc>
          <w:tcPr>
            <w:tcW w:w="0" w:type="auto"/>
            <w:shd w:val="clear" w:color="000000" w:fill="FFCC99"/>
            <w:noWrap/>
            <w:vAlign w:val="center"/>
            <w:hideMark/>
          </w:tcPr>
          <w:p w14:paraId="2E716FBC" w14:textId="77777777" w:rsidR="00275B57" w:rsidRPr="00484405" w:rsidRDefault="00275B57" w:rsidP="00BC4031">
            <w:pPr>
              <w:spacing w:after="0" w:line="240" w:lineRule="auto"/>
              <w:jc w:val="center"/>
              <w:rPr>
                <w:rFonts w:cs="Times New Roman"/>
                <w:szCs w:val="24"/>
              </w:rPr>
            </w:pPr>
            <w:r w:rsidRPr="00484405">
              <w:rPr>
                <w:rFonts w:cs="Times New Roman"/>
                <w:szCs w:val="24"/>
              </w:rPr>
              <w:t>3,449</w:t>
            </w:r>
          </w:p>
        </w:tc>
        <w:tc>
          <w:tcPr>
            <w:tcW w:w="0" w:type="auto"/>
            <w:noWrap/>
            <w:vAlign w:val="center"/>
            <w:hideMark/>
          </w:tcPr>
          <w:p w14:paraId="50D84A86" w14:textId="77777777" w:rsidR="00275B57" w:rsidRPr="00484405" w:rsidRDefault="00275B57" w:rsidP="00BC4031">
            <w:pPr>
              <w:spacing w:after="0" w:line="240" w:lineRule="auto"/>
              <w:jc w:val="center"/>
              <w:rPr>
                <w:rFonts w:cs="Times New Roman"/>
                <w:szCs w:val="24"/>
              </w:rPr>
            </w:pPr>
            <w:r w:rsidRPr="00484405">
              <w:rPr>
                <w:rFonts w:cs="Times New Roman"/>
                <w:szCs w:val="24"/>
              </w:rPr>
              <w:t>0</w:t>
            </w:r>
          </w:p>
        </w:tc>
        <w:tc>
          <w:tcPr>
            <w:tcW w:w="0" w:type="auto"/>
            <w:noWrap/>
            <w:vAlign w:val="center"/>
            <w:hideMark/>
          </w:tcPr>
          <w:p w14:paraId="14AFDE9C" w14:textId="77777777" w:rsidR="00275B57" w:rsidRPr="00484405" w:rsidRDefault="00275B57" w:rsidP="00BC4031">
            <w:pPr>
              <w:spacing w:after="0" w:line="240" w:lineRule="auto"/>
              <w:jc w:val="center"/>
              <w:rPr>
                <w:rFonts w:cs="Times New Roman"/>
                <w:szCs w:val="24"/>
              </w:rPr>
            </w:pPr>
            <w:r w:rsidRPr="00484405">
              <w:rPr>
                <w:rFonts w:cs="Times New Roman"/>
                <w:szCs w:val="24"/>
              </w:rPr>
              <w:t>0%</w:t>
            </w:r>
          </w:p>
        </w:tc>
        <w:tc>
          <w:tcPr>
            <w:tcW w:w="0" w:type="auto"/>
            <w:shd w:val="clear" w:color="000000" w:fill="F2F2F2"/>
            <w:noWrap/>
            <w:vAlign w:val="center"/>
            <w:hideMark/>
          </w:tcPr>
          <w:p w14:paraId="39FBB7AD"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c>
          <w:tcPr>
            <w:tcW w:w="0" w:type="auto"/>
            <w:shd w:val="clear" w:color="000000" w:fill="F2F2F2"/>
            <w:noWrap/>
            <w:vAlign w:val="center"/>
            <w:hideMark/>
          </w:tcPr>
          <w:p w14:paraId="08C239BF"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r>
      <w:tr w:rsidR="00275B57" w14:paraId="432A684B" w14:textId="77777777" w:rsidTr="004C5067">
        <w:trPr>
          <w:trHeight w:val="172"/>
        </w:trPr>
        <w:tc>
          <w:tcPr>
            <w:tcW w:w="0" w:type="auto"/>
            <w:shd w:val="clear" w:color="D9E1F2" w:fill="D9E1F2"/>
            <w:noWrap/>
            <w:vAlign w:val="center"/>
            <w:hideMark/>
          </w:tcPr>
          <w:p w14:paraId="6A0137A6" w14:textId="77777777" w:rsidR="00275B57" w:rsidRPr="00484405" w:rsidRDefault="00275B57" w:rsidP="00BC4031">
            <w:pPr>
              <w:spacing w:after="0" w:line="240" w:lineRule="auto"/>
              <w:rPr>
                <w:rFonts w:cs="Times New Roman"/>
                <w:szCs w:val="24"/>
              </w:rPr>
            </w:pPr>
            <w:r w:rsidRPr="00484405">
              <w:rPr>
                <w:rFonts w:cs="Times New Roman"/>
                <w:szCs w:val="24"/>
              </w:rPr>
              <w:t>33</w:t>
            </w:r>
          </w:p>
        </w:tc>
        <w:tc>
          <w:tcPr>
            <w:tcW w:w="0" w:type="auto"/>
            <w:shd w:val="clear" w:color="D9E1F2" w:fill="D9E1F2"/>
            <w:noWrap/>
            <w:vAlign w:val="center"/>
            <w:hideMark/>
          </w:tcPr>
          <w:p w14:paraId="3EC09246" w14:textId="77777777" w:rsidR="00275B57" w:rsidRPr="00484405" w:rsidRDefault="00275B57" w:rsidP="00BC4031">
            <w:pPr>
              <w:spacing w:after="0" w:line="240" w:lineRule="auto"/>
              <w:jc w:val="center"/>
              <w:rPr>
                <w:rFonts w:cs="Times New Roman"/>
                <w:szCs w:val="24"/>
              </w:rPr>
            </w:pPr>
            <w:r w:rsidRPr="00484405">
              <w:rPr>
                <w:rFonts w:cs="Times New Roman"/>
                <w:szCs w:val="24"/>
              </w:rPr>
              <w:t>38%</w:t>
            </w:r>
          </w:p>
        </w:tc>
        <w:tc>
          <w:tcPr>
            <w:tcW w:w="0" w:type="auto"/>
            <w:shd w:val="clear" w:color="D9E1F2" w:fill="D9E1F2"/>
            <w:noWrap/>
            <w:vAlign w:val="center"/>
            <w:hideMark/>
          </w:tcPr>
          <w:p w14:paraId="7CB850DB" w14:textId="77777777" w:rsidR="00275B57" w:rsidRPr="00484405" w:rsidRDefault="00275B57" w:rsidP="00BC4031">
            <w:pPr>
              <w:spacing w:after="0" w:line="240" w:lineRule="auto"/>
              <w:jc w:val="center"/>
              <w:rPr>
                <w:rFonts w:cs="Times New Roman"/>
                <w:szCs w:val="24"/>
              </w:rPr>
            </w:pPr>
            <w:r w:rsidRPr="00484405">
              <w:rPr>
                <w:rFonts w:cs="Times New Roman"/>
                <w:szCs w:val="24"/>
              </w:rPr>
              <w:t>11%</w:t>
            </w:r>
          </w:p>
        </w:tc>
        <w:tc>
          <w:tcPr>
            <w:tcW w:w="0" w:type="auto"/>
            <w:shd w:val="clear" w:color="000000" w:fill="FFCC99"/>
            <w:noWrap/>
            <w:vAlign w:val="center"/>
            <w:hideMark/>
          </w:tcPr>
          <w:p w14:paraId="4602E210" w14:textId="77777777" w:rsidR="00275B57" w:rsidRPr="00484405" w:rsidRDefault="00275B57" w:rsidP="00BC4031">
            <w:pPr>
              <w:spacing w:after="0" w:line="240" w:lineRule="auto"/>
              <w:jc w:val="center"/>
              <w:rPr>
                <w:rFonts w:cs="Times New Roman"/>
                <w:szCs w:val="24"/>
              </w:rPr>
            </w:pPr>
            <w:r w:rsidRPr="00484405">
              <w:rPr>
                <w:rFonts w:cs="Times New Roman"/>
                <w:szCs w:val="24"/>
              </w:rPr>
              <w:t>0.0000</w:t>
            </w:r>
          </w:p>
        </w:tc>
        <w:tc>
          <w:tcPr>
            <w:tcW w:w="0" w:type="auto"/>
            <w:shd w:val="clear" w:color="000000" w:fill="FFCC99"/>
            <w:noWrap/>
            <w:vAlign w:val="center"/>
            <w:hideMark/>
          </w:tcPr>
          <w:p w14:paraId="77A74711" w14:textId="77777777" w:rsidR="00275B57" w:rsidRPr="00484405" w:rsidRDefault="00275B57" w:rsidP="00BC4031">
            <w:pPr>
              <w:spacing w:after="0" w:line="240" w:lineRule="auto"/>
              <w:jc w:val="center"/>
              <w:rPr>
                <w:rFonts w:cs="Times New Roman"/>
                <w:szCs w:val="24"/>
              </w:rPr>
            </w:pPr>
            <w:r w:rsidRPr="00484405">
              <w:rPr>
                <w:rFonts w:cs="Times New Roman"/>
                <w:szCs w:val="24"/>
              </w:rPr>
              <w:t>3,449</w:t>
            </w:r>
          </w:p>
        </w:tc>
        <w:tc>
          <w:tcPr>
            <w:tcW w:w="0" w:type="auto"/>
            <w:shd w:val="clear" w:color="D9E1F2" w:fill="D9E1F2"/>
            <w:noWrap/>
            <w:vAlign w:val="center"/>
            <w:hideMark/>
          </w:tcPr>
          <w:p w14:paraId="675E4D69" w14:textId="77777777" w:rsidR="00275B57" w:rsidRPr="00484405" w:rsidRDefault="00275B57" w:rsidP="00BC4031">
            <w:pPr>
              <w:spacing w:after="0" w:line="240" w:lineRule="auto"/>
              <w:jc w:val="center"/>
              <w:rPr>
                <w:rFonts w:cs="Times New Roman"/>
                <w:szCs w:val="24"/>
              </w:rPr>
            </w:pPr>
            <w:r w:rsidRPr="00484405">
              <w:rPr>
                <w:rFonts w:cs="Times New Roman"/>
                <w:szCs w:val="24"/>
              </w:rPr>
              <w:t>0</w:t>
            </w:r>
          </w:p>
        </w:tc>
        <w:tc>
          <w:tcPr>
            <w:tcW w:w="0" w:type="auto"/>
            <w:shd w:val="clear" w:color="D9E1F2" w:fill="D9E1F2"/>
            <w:noWrap/>
            <w:vAlign w:val="center"/>
            <w:hideMark/>
          </w:tcPr>
          <w:p w14:paraId="27CCA743" w14:textId="77777777" w:rsidR="00275B57" w:rsidRPr="00484405" w:rsidRDefault="00275B57" w:rsidP="00BC4031">
            <w:pPr>
              <w:spacing w:after="0" w:line="240" w:lineRule="auto"/>
              <w:jc w:val="center"/>
              <w:rPr>
                <w:rFonts w:cs="Times New Roman"/>
                <w:szCs w:val="24"/>
              </w:rPr>
            </w:pPr>
            <w:r w:rsidRPr="00484405">
              <w:rPr>
                <w:rFonts w:cs="Times New Roman"/>
                <w:szCs w:val="24"/>
              </w:rPr>
              <w:t>0%</w:t>
            </w:r>
          </w:p>
        </w:tc>
        <w:tc>
          <w:tcPr>
            <w:tcW w:w="0" w:type="auto"/>
            <w:shd w:val="clear" w:color="000000" w:fill="F2F2F2"/>
            <w:noWrap/>
            <w:vAlign w:val="center"/>
            <w:hideMark/>
          </w:tcPr>
          <w:p w14:paraId="71398151"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c>
          <w:tcPr>
            <w:tcW w:w="0" w:type="auto"/>
            <w:shd w:val="clear" w:color="000000" w:fill="F2F2F2"/>
            <w:noWrap/>
            <w:vAlign w:val="center"/>
            <w:hideMark/>
          </w:tcPr>
          <w:p w14:paraId="4622E14F"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r>
      <w:tr w:rsidR="00275B57" w14:paraId="7BDC2A90" w14:textId="77777777" w:rsidTr="004C5067">
        <w:trPr>
          <w:trHeight w:val="172"/>
        </w:trPr>
        <w:tc>
          <w:tcPr>
            <w:tcW w:w="0" w:type="auto"/>
            <w:noWrap/>
            <w:vAlign w:val="center"/>
            <w:hideMark/>
          </w:tcPr>
          <w:p w14:paraId="4CEFE1DB" w14:textId="77777777" w:rsidR="00275B57" w:rsidRPr="00484405" w:rsidRDefault="00275B57" w:rsidP="00BC4031">
            <w:pPr>
              <w:spacing w:after="0" w:line="240" w:lineRule="auto"/>
              <w:rPr>
                <w:rFonts w:cs="Times New Roman"/>
                <w:szCs w:val="24"/>
              </w:rPr>
            </w:pPr>
            <w:r w:rsidRPr="00484405">
              <w:rPr>
                <w:rFonts w:cs="Times New Roman"/>
                <w:szCs w:val="24"/>
              </w:rPr>
              <w:t>34</w:t>
            </w:r>
          </w:p>
        </w:tc>
        <w:tc>
          <w:tcPr>
            <w:tcW w:w="0" w:type="auto"/>
            <w:noWrap/>
            <w:vAlign w:val="center"/>
            <w:hideMark/>
          </w:tcPr>
          <w:p w14:paraId="2575411B" w14:textId="77777777" w:rsidR="00275B57" w:rsidRPr="00484405" w:rsidRDefault="00275B57" w:rsidP="00BC4031">
            <w:pPr>
              <w:spacing w:after="0" w:line="240" w:lineRule="auto"/>
              <w:jc w:val="center"/>
              <w:rPr>
                <w:rFonts w:cs="Times New Roman"/>
                <w:szCs w:val="24"/>
              </w:rPr>
            </w:pPr>
            <w:r w:rsidRPr="00484405">
              <w:rPr>
                <w:rFonts w:cs="Times New Roman"/>
                <w:szCs w:val="24"/>
              </w:rPr>
              <w:t>37%</w:t>
            </w:r>
          </w:p>
        </w:tc>
        <w:tc>
          <w:tcPr>
            <w:tcW w:w="0" w:type="auto"/>
            <w:noWrap/>
            <w:vAlign w:val="center"/>
            <w:hideMark/>
          </w:tcPr>
          <w:p w14:paraId="1E4F5E89" w14:textId="77777777" w:rsidR="00275B57" w:rsidRPr="00484405" w:rsidRDefault="00275B57" w:rsidP="00BC4031">
            <w:pPr>
              <w:spacing w:after="0" w:line="240" w:lineRule="auto"/>
              <w:jc w:val="center"/>
              <w:rPr>
                <w:rFonts w:cs="Times New Roman"/>
                <w:szCs w:val="24"/>
              </w:rPr>
            </w:pPr>
            <w:r w:rsidRPr="00484405">
              <w:rPr>
                <w:rFonts w:cs="Times New Roman"/>
                <w:szCs w:val="24"/>
              </w:rPr>
              <w:t>10%</w:t>
            </w:r>
          </w:p>
        </w:tc>
        <w:tc>
          <w:tcPr>
            <w:tcW w:w="0" w:type="auto"/>
            <w:shd w:val="clear" w:color="000000" w:fill="FFCC99"/>
            <w:noWrap/>
            <w:vAlign w:val="center"/>
            <w:hideMark/>
          </w:tcPr>
          <w:p w14:paraId="65EA6A4F" w14:textId="77777777" w:rsidR="00275B57" w:rsidRPr="00484405" w:rsidRDefault="00275B57" w:rsidP="00BC4031">
            <w:pPr>
              <w:spacing w:after="0" w:line="240" w:lineRule="auto"/>
              <w:jc w:val="center"/>
              <w:rPr>
                <w:rFonts w:cs="Times New Roman"/>
                <w:szCs w:val="24"/>
              </w:rPr>
            </w:pPr>
            <w:r w:rsidRPr="00484405">
              <w:rPr>
                <w:rFonts w:cs="Times New Roman"/>
                <w:szCs w:val="24"/>
              </w:rPr>
              <w:t>0.0000</w:t>
            </w:r>
          </w:p>
        </w:tc>
        <w:tc>
          <w:tcPr>
            <w:tcW w:w="0" w:type="auto"/>
            <w:shd w:val="clear" w:color="000000" w:fill="FFCC99"/>
            <w:noWrap/>
            <w:vAlign w:val="center"/>
            <w:hideMark/>
          </w:tcPr>
          <w:p w14:paraId="6CFD4FE8" w14:textId="77777777" w:rsidR="00275B57" w:rsidRPr="00484405" w:rsidRDefault="00275B57" w:rsidP="00BC4031">
            <w:pPr>
              <w:spacing w:after="0" w:line="240" w:lineRule="auto"/>
              <w:jc w:val="center"/>
              <w:rPr>
                <w:rFonts w:cs="Times New Roman"/>
                <w:szCs w:val="24"/>
              </w:rPr>
            </w:pPr>
            <w:r w:rsidRPr="00484405">
              <w:rPr>
                <w:rFonts w:cs="Times New Roman"/>
                <w:szCs w:val="24"/>
              </w:rPr>
              <w:t>3,449</w:t>
            </w:r>
          </w:p>
        </w:tc>
        <w:tc>
          <w:tcPr>
            <w:tcW w:w="0" w:type="auto"/>
            <w:noWrap/>
            <w:vAlign w:val="center"/>
            <w:hideMark/>
          </w:tcPr>
          <w:p w14:paraId="4CEF771C" w14:textId="77777777" w:rsidR="00275B57" w:rsidRPr="00484405" w:rsidRDefault="00275B57" w:rsidP="00BC4031">
            <w:pPr>
              <w:spacing w:after="0" w:line="240" w:lineRule="auto"/>
              <w:jc w:val="center"/>
              <w:rPr>
                <w:rFonts w:cs="Times New Roman"/>
                <w:szCs w:val="24"/>
              </w:rPr>
            </w:pPr>
            <w:r w:rsidRPr="00484405">
              <w:rPr>
                <w:rFonts w:cs="Times New Roman"/>
                <w:szCs w:val="24"/>
              </w:rPr>
              <w:t>0</w:t>
            </w:r>
          </w:p>
        </w:tc>
        <w:tc>
          <w:tcPr>
            <w:tcW w:w="0" w:type="auto"/>
            <w:noWrap/>
            <w:vAlign w:val="center"/>
            <w:hideMark/>
          </w:tcPr>
          <w:p w14:paraId="19B94285" w14:textId="77777777" w:rsidR="00275B57" w:rsidRPr="00484405" w:rsidRDefault="00275B57" w:rsidP="00BC4031">
            <w:pPr>
              <w:spacing w:after="0" w:line="240" w:lineRule="auto"/>
              <w:jc w:val="center"/>
              <w:rPr>
                <w:rFonts w:cs="Times New Roman"/>
                <w:szCs w:val="24"/>
              </w:rPr>
            </w:pPr>
            <w:r w:rsidRPr="00484405">
              <w:rPr>
                <w:rFonts w:cs="Times New Roman"/>
                <w:szCs w:val="24"/>
              </w:rPr>
              <w:t>0%</w:t>
            </w:r>
          </w:p>
        </w:tc>
        <w:tc>
          <w:tcPr>
            <w:tcW w:w="0" w:type="auto"/>
            <w:shd w:val="clear" w:color="000000" w:fill="F2F2F2"/>
            <w:noWrap/>
            <w:vAlign w:val="center"/>
            <w:hideMark/>
          </w:tcPr>
          <w:p w14:paraId="73399785"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c>
          <w:tcPr>
            <w:tcW w:w="0" w:type="auto"/>
            <w:shd w:val="clear" w:color="000000" w:fill="F2F2F2"/>
            <w:noWrap/>
            <w:vAlign w:val="center"/>
            <w:hideMark/>
          </w:tcPr>
          <w:p w14:paraId="0376B3CB"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r>
      <w:tr w:rsidR="00275B57" w14:paraId="4E93F111" w14:textId="77777777" w:rsidTr="004C5067">
        <w:trPr>
          <w:trHeight w:val="172"/>
        </w:trPr>
        <w:tc>
          <w:tcPr>
            <w:tcW w:w="0" w:type="auto"/>
            <w:shd w:val="clear" w:color="D9E1F2" w:fill="D9E1F2"/>
            <w:noWrap/>
            <w:vAlign w:val="center"/>
            <w:hideMark/>
          </w:tcPr>
          <w:p w14:paraId="4859E2E1" w14:textId="77777777" w:rsidR="00275B57" w:rsidRPr="00484405" w:rsidRDefault="00275B57" w:rsidP="00BC4031">
            <w:pPr>
              <w:spacing w:after="0" w:line="240" w:lineRule="auto"/>
              <w:rPr>
                <w:rFonts w:cs="Times New Roman"/>
                <w:szCs w:val="24"/>
              </w:rPr>
            </w:pPr>
            <w:r w:rsidRPr="00484405">
              <w:rPr>
                <w:rFonts w:cs="Times New Roman"/>
                <w:szCs w:val="24"/>
              </w:rPr>
              <w:t>35</w:t>
            </w:r>
          </w:p>
        </w:tc>
        <w:tc>
          <w:tcPr>
            <w:tcW w:w="0" w:type="auto"/>
            <w:shd w:val="clear" w:color="D9E1F2" w:fill="D9E1F2"/>
            <w:noWrap/>
            <w:vAlign w:val="center"/>
            <w:hideMark/>
          </w:tcPr>
          <w:p w14:paraId="2B9BAE7A" w14:textId="77777777" w:rsidR="00275B57" w:rsidRPr="00484405" w:rsidRDefault="00275B57" w:rsidP="00BC4031">
            <w:pPr>
              <w:spacing w:after="0" w:line="240" w:lineRule="auto"/>
              <w:jc w:val="center"/>
              <w:rPr>
                <w:rFonts w:cs="Times New Roman"/>
                <w:szCs w:val="24"/>
              </w:rPr>
            </w:pPr>
            <w:r w:rsidRPr="00484405">
              <w:rPr>
                <w:rFonts w:cs="Times New Roman"/>
                <w:szCs w:val="24"/>
              </w:rPr>
              <w:t>36%</w:t>
            </w:r>
          </w:p>
        </w:tc>
        <w:tc>
          <w:tcPr>
            <w:tcW w:w="0" w:type="auto"/>
            <w:shd w:val="clear" w:color="D9E1F2" w:fill="D9E1F2"/>
            <w:noWrap/>
            <w:vAlign w:val="center"/>
            <w:hideMark/>
          </w:tcPr>
          <w:p w14:paraId="0E813DA3" w14:textId="77777777" w:rsidR="00275B57" w:rsidRPr="00484405" w:rsidRDefault="00275B57" w:rsidP="00BC4031">
            <w:pPr>
              <w:spacing w:after="0" w:line="240" w:lineRule="auto"/>
              <w:jc w:val="center"/>
              <w:rPr>
                <w:rFonts w:cs="Times New Roman"/>
                <w:szCs w:val="24"/>
              </w:rPr>
            </w:pPr>
            <w:r w:rsidRPr="00484405">
              <w:rPr>
                <w:rFonts w:cs="Times New Roman"/>
                <w:szCs w:val="24"/>
              </w:rPr>
              <w:t>10%</w:t>
            </w:r>
          </w:p>
        </w:tc>
        <w:tc>
          <w:tcPr>
            <w:tcW w:w="0" w:type="auto"/>
            <w:shd w:val="clear" w:color="000000" w:fill="FFCC99"/>
            <w:noWrap/>
            <w:vAlign w:val="center"/>
            <w:hideMark/>
          </w:tcPr>
          <w:p w14:paraId="0F265C5A" w14:textId="77777777" w:rsidR="00275B57" w:rsidRPr="00484405" w:rsidRDefault="00275B57" w:rsidP="00BC4031">
            <w:pPr>
              <w:spacing w:after="0" w:line="240" w:lineRule="auto"/>
              <w:jc w:val="center"/>
              <w:rPr>
                <w:rFonts w:cs="Times New Roman"/>
                <w:szCs w:val="24"/>
              </w:rPr>
            </w:pPr>
            <w:r w:rsidRPr="00484405">
              <w:rPr>
                <w:rFonts w:cs="Times New Roman"/>
                <w:szCs w:val="24"/>
              </w:rPr>
              <w:t>0.0000</w:t>
            </w:r>
          </w:p>
        </w:tc>
        <w:tc>
          <w:tcPr>
            <w:tcW w:w="0" w:type="auto"/>
            <w:shd w:val="clear" w:color="000000" w:fill="FFCC99"/>
            <w:noWrap/>
            <w:vAlign w:val="center"/>
            <w:hideMark/>
          </w:tcPr>
          <w:p w14:paraId="4DB19CC5" w14:textId="77777777" w:rsidR="00275B57" w:rsidRPr="00484405" w:rsidRDefault="00275B57" w:rsidP="00BC4031">
            <w:pPr>
              <w:spacing w:after="0" w:line="240" w:lineRule="auto"/>
              <w:jc w:val="center"/>
              <w:rPr>
                <w:rFonts w:cs="Times New Roman"/>
                <w:szCs w:val="24"/>
              </w:rPr>
            </w:pPr>
            <w:r w:rsidRPr="00484405">
              <w:rPr>
                <w:rFonts w:cs="Times New Roman"/>
                <w:szCs w:val="24"/>
              </w:rPr>
              <w:t>3,449</w:t>
            </w:r>
          </w:p>
        </w:tc>
        <w:tc>
          <w:tcPr>
            <w:tcW w:w="0" w:type="auto"/>
            <w:shd w:val="clear" w:color="D9E1F2" w:fill="D9E1F2"/>
            <w:noWrap/>
            <w:vAlign w:val="center"/>
            <w:hideMark/>
          </w:tcPr>
          <w:p w14:paraId="31D8149F" w14:textId="77777777" w:rsidR="00275B57" w:rsidRPr="00484405" w:rsidRDefault="00275B57" w:rsidP="00BC4031">
            <w:pPr>
              <w:spacing w:after="0" w:line="240" w:lineRule="auto"/>
              <w:jc w:val="center"/>
              <w:rPr>
                <w:rFonts w:cs="Times New Roman"/>
                <w:szCs w:val="24"/>
              </w:rPr>
            </w:pPr>
            <w:r w:rsidRPr="00484405">
              <w:rPr>
                <w:rFonts w:cs="Times New Roman"/>
                <w:szCs w:val="24"/>
              </w:rPr>
              <w:t>0</w:t>
            </w:r>
          </w:p>
        </w:tc>
        <w:tc>
          <w:tcPr>
            <w:tcW w:w="0" w:type="auto"/>
            <w:shd w:val="clear" w:color="D9E1F2" w:fill="D9E1F2"/>
            <w:noWrap/>
            <w:vAlign w:val="center"/>
            <w:hideMark/>
          </w:tcPr>
          <w:p w14:paraId="499BF68C" w14:textId="77777777" w:rsidR="00275B57" w:rsidRPr="00484405" w:rsidRDefault="00275B57" w:rsidP="00BC4031">
            <w:pPr>
              <w:spacing w:after="0" w:line="240" w:lineRule="auto"/>
              <w:jc w:val="center"/>
              <w:rPr>
                <w:rFonts w:cs="Times New Roman"/>
                <w:szCs w:val="24"/>
              </w:rPr>
            </w:pPr>
            <w:r w:rsidRPr="00484405">
              <w:rPr>
                <w:rFonts w:cs="Times New Roman"/>
                <w:szCs w:val="24"/>
              </w:rPr>
              <w:t>0%</w:t>
            </w:r>
          </w:p>
        </w:tc>
        <w:tc>
          <w:tcPr>
            <w:tcW w:w="0" w:type="auto"/>
            <w:shd w:val="clear" w:color="000000" w:fill="F2F2F2"/>
            <w:noWrap/>
            <w:vAlign w:val="center"/>
            <w:hideMark/>
          </w:tcPr>
          <w:p w14:paraId="7F4E2A14"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c>
          <w:tcPr>
            <w:tcW w:w="0" w:type="auto"/>
            <w:shd w:val="clear" w:color="000000" w:fill="F2F2F2"/>
            <w:noWrap/>
            <w:vAlign w:val="center"/>
            <w:hideMark/>
          </w:tcPr>
          <w:p w14:paraId="74B13D92"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r>
      <w:tr w:rsidR="00275B57" w14:paraId="5130E793" w14:textId="77777777" w:rsidTr="004C5067">
        <w:trPr>
          <w:trHeight w:val="172"/>
        </w:trPr>
        <w:tc>
          <w:tcPr>
            <w:tcW w:w="0" w:type="auto"/>
            <w:noWrap/>
            <w:vAlign w:val="center"/>
            <w:hideMark/>
          </w:tcPr>
          <w:p w14:paraId="1C93E9BA" w14:textId="77777777" w:rsidR="00275B57" w:rsidRPr="00484405" w:rsidRDefault="00275B57" w:rsidP="00BC4031">
            <w:pPr>
              <w:spacing w:after="0" w:line="240" w:lineRule="auto"/>
              <w:rPr>
                <w:rFonts w:cs="Times New Roman"/>
                <w:szCs w:val="24"/>
              </w:rPr>
            </w:pPr>
            <w:r w:rsidRPr="00484405">
              <w:rPr>
                <w:rFonts w:cs="Times New Roman"/>
                <w:szCs w:val="24"/>
              </w:rPr>
              <w:t>36</w:t>
            </w:r>
          </w:p>
        </w:tc>
        <w:tc>
          <w:tcPr>
            <w:tcW w:w="0" w:type="auto"/>
            <w:noWrap/>
            <w:vAlign w:val="center"/>
            <w:hideMark/>
          </w:tcPr>
          <w:p w14:paraId="7A490492" w14:textId="77777777" w:rsidR="00275B57" w:rsidRPr="00484405" w:rsidRDefault="00275B57" w:rsidP="00BC4031">
            <w:pPr>
              <w:spacing w:after="0" w:line="240" w:lineRule="auto"/>
              <w:jc w:val="center"/>
              <w:rPr>
                <w:rFonts w:cs="Times New Roman"/>
                <w:szCs w:val="24"/>
              </w:rPr>
            </w:pPr>
            <w:r w:rsidRPr="00484405">
              <w:rPr>
                <w:rFonts w:cs="Times New Roman"/>
                <w:szCs w:val="24"/>
              </w:rPr>
              <w:t>35%</w:t>
            </w:r>
          </w:p>
        </w:tc>
        <w:tc>
          <w:tcPr>
            <w:tcW w:w="0" w:type="auto"/>
            <w:noWrap/>
            <w:vAlign w:val="center"/>
            <w:hideMark/>
          </w:tcPr>
          <w:p w14:paraId="5E41419C" w14:textId="77777777" w:rsidR="00275B57" w:rsidRPr="00484405" w:rsidRDefault="00275B57" w:rsidP="00BC4031">
            <w:pPr>
              <w:spacing w:after="0" w:line="240" w:lineRule="auto"/>
              <w:jc w:val="center"/>
              <w:rPr>
                <w:rFonts w:cs="Times New Roman"/>
                <w:szCs w:val="24"/>
              </w:rPr>
            </w:pPr>
            <w:r w:rsidRPr="00484405">
              <w:rPr>
                <w:rFonts w:cs="Times New Roman"/>
                <w:szCs w:val="24"/>
              </w:rPr>
              <w:t>9%</w:t>
            </w:r>
          </w:p>
        </w:tc>
        <w:tc>
          <w:tcPr>
            <w:tcW w:w="0" w:type="auto"/>
            <w:shd w:val="clear" w:color="000000" w:fill="FFCC99"/>
            <w:noWrap/>
            <w:vAlign w:val="center"/>
            <w:hideMark/>
          </w:tcPr>
          <w:p w14:paraId="087EDF28" w14:textId="77777777" w:rsidR="00275B57" w:rsidRPr="00484405" w:rsidRDefault="00275B57" w:rsidP="00BC4031">
            <w:pPr>
              <w:spacing w:after="0" w:line="240" w:lineRule="auto"/>
              <w:jc w:val="center"/>
              <w:rPr>
                <w:rFonts w:cs="Times New Roman"/>
                <w:szCs w:val="24"/>
              </w:rPr>
            </w:pPr>
            <w:r w:rsidRPr="00484405">
              <w:rPr>
                <w:rFonts w:cs="Times New Roman"/>
                <w:szCs w:val="24"/>
              </w:rPr>
              <w:t>0.0000</w:t>
            </w:r>
          </w:p>
        </w:tc>
        <w:tc>
          <w:tcPr>
            <w:tcW w:w="0" w:type="auto"/>
            <w:shd w:val="clear" w:color="000000" w:fill="FFCC99"/>
            <w:noWrap/>
            <w:vAlign w:val="center"/>
            <w:hideMark/>
          </w:tcPr>
          <w:p w14:paraId="0643C113" w14:textId="77777777" w:rsidR="00275B57" w:rsidRPr="00484405" w:rsidRDefault="00275B57" w:rsidP="00BC4031">
            <w:pPr>
              <w:spacing w:after="0" w:line="240" w:lineRule="auto"/>
              <w:jc w:val="center"/>
              <w:rPr>
                <w:rFonts w:cs="Times New Roman"/>
                <w:szCs w:val="24"/>
              </w:rPr>
            </w:pPr>
            <w:r w:rsidRPr="00484405">
              <w:rPr>
                <w:rFonts w:cs="Times New Roman"/>
                <w:szCs w:val="24"/>
              </w:rPr>
              <w:t>3,449</w:t>
            </w:r>
          </w:p>
        </w:tc>
        <w:tc>
          <w:tcPr>
            <w:tcW w:w="0" w:type="auto"/>
            <w:noWrap/>
            <w:vAlign w:val="center"/>
            <w:hideMark/>
          </w:tcPr>
          <w:p w14:paraId="7052AA93" w14:textId="77777777" w:rsidR="00275B57" w:rsidRPr="00484405" w:rsidRDefault="00275B57" w:rsidP="00BC4031">
            <w:pPr>
              <w:spacing w:after="0" w:line="240" w:lineRule="auto"/>
              <w:jc w:val="center"/>
              <w:rPr>
                <w:rFonts w:cs="Times New Roman"/>
                <w:szCs w:val="24"/>
              </w:rPr>
            </w:pPr>
            <w:r w:rsidRPr="00484405">
              <w:rPr>
                <w:rFonts w:cs="Times New Roman"/>
                <w:szCs w:val="24"/>
              </w:rPr>
              <w:t>0</w:t>
            </w:r>
          </w:p>
        </w:tc>
        <w:tc>
          <w:tcPr>
            <w:tcW w:w="0" w:type="auto"/>
            <w:noWrap/>
            <w:vAlign w:val="center"/>
            <w:hideMark/>
          </w:tcPr>
          <w:p w14:paraId="2E66BDD8" w14:textId="77777777" w:rsidR="00275B57" w:rsidRPr="00484405" w:rsidRDefault="00275B57" w:rsidP="00BC4031">
            <w:pPr>
              <w:spacing w:after="0" w:line="240" w:lineRule="auto"/>
              <w:jc w:val="center"/>
              <w:rPr>
                <w:rFonts w:cs="Times New Roman"/>
                <w:szCs w:val="24"/>
              </w:rPr>
            </w:pPr>
            <w:r w:rsidRPr="00484405">
              <w:rPr>
                <w:rFonts w:cs="Times New Roman"/>
                <w:szCs w:val="24"/>
              </w:rPr>
              <w:t>0%</w:t>
            </w:r>
          </w:p>
        </w:tc>
        <w:tc>
          <w:tcPr>
            <w:tcW w:w="0" w:type="auto"/>
            <w:shd w:val="clear" w:color="000000" w:fill="F2F2F2"/>
            <w:noWrap/>
            <w:vAlign w:val="center"/>
            <w:hideMark/>
          </w:tcPr>
          <w:p w14:paraId="368DC56F"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c>
          <w:tcPr>
            <w:tcW w:w="0" w:type="auto"/>
            <w:shd w:val="clear" w:color="000000" w:fill="F2F2F2"/>
            <w:noWrap/>
            <w:vAlign w:val="center"/>
            <w:hideMark/>
          </w:tcPr>
          <w:p w14:paraId="77DC157A"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r>
      <w:tr w:rsidR="00275B57" w14:paraId="08B77FB2" w14:textId="77777777" w:rsidTr="004C5067">
        <w:trPr>
          <w:trHeight w:val="172"/>
        </w:trPr>
        <w:tc>
          <w:tcPr>
            <w:tcW w:w="0" w:type="auto"/>
            <w:shd w:val="clear" w:color="D9E1F2" w:fill="D9E1F2"/>
            <w:noWrap/>
            <w:vAlign w:val="center"/>
            <w:hideMark/>
          </w:tcPr>
          <w:p w14:paraId="5C30CECA" w14:textId="77777777" w:rsidR="00275B57" w:rsidRPr="00484405" w:rsidRDefault="00275B57" w:rsidP="00BC4031">
            <w:pPr>
              <w:spacing w:after="0" w:line="240" w:lineRule="auto"/>
              <w:rPr>
                <w:rFonts w:cs="Times New Roman"/>
                <w:szCs w:val="24"/>
              </w:rPr>
            </w:pPr>
            <w:r w:rsidRPr="00484405">
              <w:rPr>
                <w:rFonts w:cs="Times New Roman"/>
                <w:szCs w:val="24"/>
              </w:rPr>
              <w:t>37</w:t>
            </w:r>
          </w:p>
        </w:tc>
        <w:tc>
          <w:tcPr>
            <w:tcW w:w="0" w:type="auto"/>
            <w:shd w:val="clear" w:color="D9E1F2" w:fill="D9E1F2"/>
            <w:noWrap/>
            <w:vAlign w:val="center"/>
            <w:hideMark/>
          </w:tcPr>
          <w:p w14:paraId="7C8ABFD5" w14:textId="77777777" w:rsidR="00275B57" w:rsidRPr="00484405" w:rsidRDefault="00275B57" w:rsidP="00BC4031">
            <w:pPr>
              <w:spacing w:after="0" w:line="240" w:lineRule="auto"/>
              <w:jc w:val="center"/>
              <w:rPr>
                <w:rFonts w:cs="Times New Roman"/>
                <w:szCs w:val="24"/>
              </w:rPr>
            </w:pPr>
            <w:r w:rsidRPr="00484405">
              <w:rPr>
                <w:rFonts w:cs="Times New Roman"/>
                <w:szCs w:val="24"/>
              </w:rPr>
              <w:t>34%</w:t>
            </w:r>
          </w:p>
        </w:tc>
        <w:tc>
          <w:tcPr>
            <w:tcW w:w="0" w:type="auto"/>
            <w:shd w:val="clear" w:color="D9E1F2" w:fill="D9E1F2"/>
            <w:noWrap/>
            <w:vAlign w:val="center"/>
            <w:hideMark/>
          </w:tcPr>
          <w:p w14:paraId="71EE4FB4" w14:textId="77777777" w:rsidR="00275B57" w:rsidRPr="00484405" w:rsidRDefault="00275B57" w:rsidP="00BC4031">
            <w:pPr>
              <w:spacing w:after="0" w:line="240" w:lineRule="auto"/>
              <w:jc w:val="center"/>
              <w:rPr>
                <w:rFonts w:cs="Times New Roman"/>
                <w:szCs w:val="24"/>
              </w:rPr>
            </w:pPr>
            <w:r w:rsidRPr="00484405">
              <w:rPr>
                <w:rFonts w:cs="Times New Roman"/>
                <w:szCs w:val="24"/>
              </w:rPr>
              <w:t>8%</w:t>
            </w:r>
          </w:p>
        </w:tc>
        <w:tc>
          <w:tcPr>
            <w:tcW w:w="0" w:type="auto"/>
            <w:shd w:val="clear" w:color="000000" w:fill="FFCC99"/>
            <w:noWrap/>
            <w:vAlign w:val="center"/>
            <w:hideMark/>
          </w:tcPr>
          <w:p w14:paraId="5E749A02" w14:textId="77777777" w:rsidR="00275B57" w:rsidRPr="00484405" w:rsidRDefault="00275B57" w:rsidP="00BC4031">
            <w:pPr>
              <w:spacing w:after="0" w:line="240" w:lineRule="auto"/>
              <w:jc w:val="center"/>
              <w:rPr>
                <w:rFonts w:cs="Times New Roman"/>
                <w:szCs w:val="24"/>
              </w:rPr>
            </w:pPr>
            <w:r w:rsidRPr="00484405">
              <w:rPr>
                <w:rFonts w:cs="Times New Roman"/>
                <w:szCs w:val="24"/>
              </w:rPr>
              <w:t>0.0000</w:t>
            </w:r>
          </w:p>
        </w:tc>
        <w:tc>
          <w:tcPr>
            <w:tcW w:w="0" w:type="auto"/>
            <w:shd w:val="clear" w:color="000000" w:fill="FFCC99"/>
            <w:noWrap/>
            <w:vAlign w:val="center"/>
            <w:hideMark/>
          </w:tcPr>
          <w:p w14:paraId="3A45350A" w14:textId="77777777" w:rsidR="00275B57" w:rsidRPr="00484405" w:rsidRDefault="00275B57" w:rsidP="00BC4031">
            <w:pPr>
              <w:spacing w:after="0" w:line="240" w:lineRule="auto"/>
              <w:jc w:val="center"/>
              <w:rPr>
                <w:rFonts w:cs="Times New Roman"/>
                <w:szCs w:val="24"/>
              </w:rPr>
            </w:pPr>
            <w:r w:rsidRPr="00484405">
              <w:rPr>
                <w:rFonts w:cs="Times New Roman"/>
                <w:szCs w:val="24"/>
              </w:rPr>
              <w:t>3,449</w:t>
            </w:r>
          </w:p>
        </w:tc>
        <w:tc>
          <w:tcPr>
            <w:tcW w:w="0" w:type="auto"/>
            <w:shd w:val="clear" w:color="D9E1F2" w:fill="D9E1F2"/>
            <w:noWrap/>
            <w:vAlign w:val="center"/>
            <w:hideMark/>
          </w:tcPr>
          <w:p w14:paraId="0C109335" w14:textId="77777777" w:rsidR="00275B57" w:rsidRPr="00484405" w:rsidRDefault="00275B57" w:rsidP="00BC4031">
            <w:pPr>
              <w:spacing w:after="0" w:line="240" w:lineRule="auto"/>
              <w:jc w:val="center"/>
              <w:rPr>
                <w:rFonts w:cs="Times New Roman"/>
                <w:szCs w:val="24"/>
              </w:rPr>
            </w:pPr>
            <w:r w:rsidRPr="00484405">
              <w:rPr>
                <w:rFonts w:cs="Times New Roman"/>
                <w:szCs w:val="24"/>
              </w:rPr>
              <w:t>0</w:t>
            </w:r>
          </w:p>
        </w:tc>
        <w:tc>
          <w:tcPr>
            <w:tcW w:w="0" w:type="auto"/>
            <w:shd w:val="clear" w:color="D9E1F2" w:fill="D9E1F2"/>
            <w:noWrap/>
            <w:vAlign w:val="center"/>
            <w:hideMark/>
          </w:tcPr>
          <w:p w14:paraId="72EC122C" w14:textId="77777777" w:rsidR="00275B57" w:rsidRPr="00484405" w:rsidRDefault="00275B57" w:rsidP="00BC4031">
            <w:pPr>
              <w:spacing w:after="0" w:line="240" w:lineRule="auto"/>
              <w:jc w:val="center"/>
              <w:rPr>
                <w:rFonts w:cs="Times New Roman"/>
                <w:szCs w:val="24"/>
              </w:rPr>
            </w:pPr>
            <w:r w:rsidRPr="00484405">
              <w:rPr>
                <w:rFonts w:cs="Times New Roman"/>
                <w:szCs w:val="24"/>
              </w:rPr>
              <w:t>0%</w:t>
            </w:r>
          </w:p>
        </w:tc>
        <w:tc>
          <w:tcPr>
            <w:tcW w:w="0" w:type="auto"/>
            <w:shd w:val="clear" w:color="000000" w:fill="F2F2F2"/>
            <w:noWrap/>
            <w:vAlign w:val="center"/>
            <w:hideMark/>
          </w:tcPr>
          <w:p w14:paraId="65820B7B"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c>
          <w:tcPr>
            <w:tcW w:w="0" w:type="auto"/>
            <w:shd w:val="clear" w:color="000000" w:fill="F2F2F2"/>
            <w:noWrap/>
            <w:vAlign w:val="center"/>
            <w:hideMark/>
          </w:tcPr>
          <w:p w14:paraId="48FF644B"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r>
      <w:tr w:rsidR="00275B57" w14:paraId="675A093F" w14:textId="77777777" w:rsidTr="004C5067">
        <w:trPr>
          <w:trHeight w:val="172"/>
        </w:trPr>
        <w:tc>
          <w:tcPr>
            <w:tcW w:w="0" w:type="auto"/>
            <w:noWrap/>
            <w:vAlign w:val="center"/>
            <w:hideMark/>
          </w:tcPr>
          <w:p w14:paraId="02AA791A" w14:textId="77777777" w:rsidR="00275B57" w:rsidRPr="00484405" w:rsidRDefault="00275B57" w:rsidP="00BC4031">
            <w:pPr>
              <w:spacing w:after="0" w:line="240" w:lineRule="auto"/>
              <w:rPr>
                <w:rFonts w:cs="Times New Roman"/>
                <w:szCs w:val="24"/>
              </w:rPr>
            </w:pPr>
            <w:r w:rsidRPr="00484405">
              <w:rPr>
                <w:rFonts w:cs="Times New Roman"/>
                <w:szCs w:val="24"/>
              </w:rPr>
              <w:t>38</w:t>
            </w:r>
          </w:p>
        </w:tc>
        <w:tc>
          <w:tcPr>
            <w:tcW w:w="0" w:type="auto"/>
            <w:noWrap/>
            <w:vAlign w:val="center"/>
            <w:hideMark/>
          </w:tcPr>
          <w:p w14:paraId="2387AACC" w14:textId="77777777" w:rsidR="00275B57" w:rsidRPr="00484405" w:rsidRDefault="00275B57" w:rsidP="00BC4031">
            <w:pPr>
              <w:spacing w:after="0" w:line="240" w:lineRule="auto"/>
              <w:jc w:val="center"/>
              <w:rPr>
                <w:rFonts w:cs="Times New Roman"/>
                <w:szCs w:val="24"/>
              </w:rPr>
            </w:pPr>
            <w:r w:rsidRPr="00484405">
              <w:rPr>
                <w:rFonts w:cs="Times New Roman"/>
                <w:szCs w:val="24"/>
              </w:rPr>
              <w:t>33%</w:t>
            </w:r>
          </w:p>
        </w:tc>
        <w:tc>
          <w:tcPr>
            <w:tcW w:w="0" w:type="auto"/>
            <w:noWrap/>
            <w:vAlign w:val="center"/>
            <w:hideMark/>
          </w:tcPr>
          <w:p w14:paraId="26B00723" w14:textId="77777777" w:rsidR="00275B57" w:rsidRPr="00484405" w:rsidRDefault="00275B57" w:rsidP="00BC4031">
            <w:pPr>
              <w:spacing w:after="0" w:line="240" w:lineRule="auto"/>
              <w:jc w:val="center"/>
              <w:rPr>
                <w:rFonts w:cs="Times New Roman"/>
                <w:szCs w:val="24"/>
              </w:rPr>
            </w:pPr>
            <w:r w:rsidRPr="00484405">
              <w:rPr>
                <w:rFonts w:cs="Times New Roman"/>
                <w:szCs w:val="24"/>
              </w:rPr>
              <w:t>8%</w:t>
            </w:r>
          </w:p>
        </w:tc>
        <w:tc>
          <w:tcPr>
            <w:tcW w:w="0" w:type="auto"/>
            <w:shd w:val="clear" w:color="000000" w:fill="FFCC99"/>
            <w:noWrap/>
            <w:vAlign w:val="center"/>
            <w:hideMark/>
          </w:tcPr>
          <w:p w14:paraId="4A0E97F1" w14:textId="77777777" w:rsidR="00275B57" w:rsidRPr="00484405" w:rsidRDefault="00275B57" w:rsidP="00BC4031">
            <w:pPr>
              <w:spacing w:after="0" w:line="240" w:lineRule="auto"/>
              <w:jc w:val="center"/>
              <w:rPr>
                <w:rFonts w:cs="Times New Roman"/>
                <w:szCs w:val="24"/>
              </w:rPr>
            </w:pPr>
            <w:r w:rsidRPr="00484405">
              <w:rPr>
                <w:rFonts w:cs="Times New Roman"/>
                <w:szCs w:val="24"/>
              </w:rPr>
              <w:t>0.0000</w:t>
            </w:r>
          </w:p>
        </w:tc>
        <w:tc>
          <w:tcPr>
            <w:tcW w:w="0" w:type="auto"/>
            <w:shd w:val="clear" w:color="000000" w:fill="FFCC99"/>
            <w:noWrap/>
            <w:vAlign w:val="center"/>
            <w:hideMark/>
          </w:tcPr>
          <w:p w14:paraId="2CE7C44E" w14:textId="77777777" w:rsidR="00275B57" w:rsidRPr="00484405" w:rsidRDefault="00275B57" w:rsidP="00BC4031">
            <w:pPr>
              <w:spacing w:after="0" w:line="240" w:lineRule="auto"/>
              <w:jc w:val="center"/>
              <w:rPr>
                <w:rFonts w:cs="Times New Roman"/>
                <w:szCs w:val="24"/>
              </w:rPr>
            </w:pPr>
            <w:r w:rsidRPr="00484405">
              <w:rPr>
                <w:rFonts w:cs="Times New Roman"/>
                <w:szCs w:val="24"/>
              </w:rPr>
              <w:t>3,449</w:t>
            </w:r>
          </w:p>
        </w:tc>
        <w:tc>
          <w:tcPr>
            <w:tcW w:w="0" w:type="auto"/>
            <w:noWrap/>
            <w:vAlign w:val="center"/>
            <w:hideMark/>
          </w:tcPr>
          <w:p w14:paraId="5262B050" w14:textId="77777777" w:rsidR="00275B57" w:rsidRPr="00484405" w:rsidRDefault="00275B57" w:rsidP="00BC4031">
            <w:pPr>
              <w:spacing w:after="0" w:line="240" w:lineRule="auto"/>
              <w:jc w:val="center"/>
              <w:rPr>
                <w:rFonts w:cs="Times New Roman"/>
                <w:szCs w:val="24"/>
              </w:rPr>
            </w:pPr>
            <w:r w:rsidRPr="00484405">
              <w:rPr>
                <w:rFonts w:cs="Times New Roman"/>
                <w:szCs w:val="24"/>
              </w:rPr>
              <w:t>0</w:t>
            </w:r>
          </w:p>
        </w:tc>
        <w:tc>
          <w:tcPr>
            <w:tcW w:w="0" w:type="auto"/>
            <w:noWrap/>
            <w:vAlign w:val="center"/>
            <w:hideMark/>
          </w:tcPr>
          <w:p w14:paraId="2F12CDF2" w14:textId="77777777" w:rsidR="00275B57" w:rsidRPr="00484405" w:rsidRDefault="00275B57" w:rsidP="00BC4031">
            <w:pPr>
              <w:spacing w:after="0" w:line="240" w:lineRule="auto"/>
              <w:jc w:val="center"/>
              <w:rPr>
                <w:rFonts w:cs="Times New Roman"/>
                <w:szCs w:val="24"/>
              </w:rPr>
            </w:pPr>
            <w:r w:rsidRPr="00484405">
              <w:rPr>
                <w:rFonts w:cs="Times New Roman"/>
                <w:szCs w:val="24"/>
              </w:rPr>
              <w:t>0%</w:t>
            </w:r>
          </w:p>
        </w:tc>
        <w:tc>
          <w:tcPr>
            <w:tcW w:w="0" w:type="auto"/>
            <w:shd w:val="clear" w:color="000000" w:fill="F2F2F2"/>
            <w:noWrap/>
            <w:vAlign w:val="center"/>
            <w:hideMark/>
          </w:tcPr>
          <w:p w14:paraId="7F73916E"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c>
          <w:tcPr>
            <w:tcW w:w="0" w:type="auto"/>
            <w:shd w:val="clear" w:color="000000" w:fill="F2F2F2"/>
            <w:noWrap/>
            <w:vAlign w:val="center"/>
            <w:hideMark/>
          </w:tcPr>
          <w:p w14:paraId="0F9F24F8"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r>
      <w:tr w:rsidR="00275B57" w14:paraId="4252D3B6" w14:textId="77777777" w:rsidTr="004C5067">
        <w:trPr>
          <w:trHeight w:val="172"/>
        </w:trPr>
        <w:tc>
          <w:tcPr>
            <w:tcW w:w="0" w:type="auto"/>
            <w:shd w:val="clear" w:color="D9E1F2" w:fill="D9E1F2"/>
            <w:noWrap/>
            <w:vAlign w:val="center"/>
            <w:hideMark/>
          </w:tcPr>
          <w:p w14:paraId="042196D9" w14:textId="77777777" w:rsidR="00275B57" w:rsidRPr="00484405" w:rsidRDefault="00275B57" w:rsidP="00BC4031">
            <w:pPr>
              <w:spacing w:after="0" w:line="240" w:lineRule="auto"/>
              <w:rPr>
                <w:rFonts w:cs="Times New Roman"/>
                <w:szCs w:val="24"/>
              </w:rPr>
            </w:pPr>
            <w:r w:rsidRPr="00484405">
              <w:rPr>
                <w:rFonts w:cs="Times New Roman"/>
                <w:szCs w:val="24"/>
              </w:rPr>
              <w:t>39</w:t>
            </w:r>
          </w:p>
        </w:tc>
        <w:tc>
          <w:tcPr>
            <w:tcW w:w="0" w:type="auto"/>
            <w:shd w:val="clear" w:color="D9E1F2" w:fill="D9E1F2"/>
            <w:noWrap/>
            <w:vAlign w:val="center"/>
            <w:hideMark/>
          </w:tcPr>
          <w:p w14:paraId="25320387" w14:textId="77777777" w:rsidR="00275B57" w:rsidRPr="00484405" w:rsidRDefault="00275B57" w:rsidP="00BC4031">
            <w:pPr>
              <w:spacing w:after="0" w:line="240" w:lineRule="auto"/>
              <w:jc w:val="center"/>
              <w:rPr>
                <w:rFonts w:cs="Times New Roman"/>
                <w:szCs w:val="24"/>
              </w:rPr>
            </w:pPr>
            <w:r w:rsidRPr="00484405">
              <w:rPr>
                <w:rFonts w:cs="Times New Roman"/>
                <w:szCs w:val="24"/>
              </w:rPr>
              <w:t>32%</w:t>
            </w:r>
          </w:p>
        </w:tc>
        <w:tc>
          <w:tcPr>
            <w:tcW w:w="0" w:type="auto"/>
            <w:shd w:val="clear" w:color="D9E1F2" w:fill="D9E1F2"/>
            <w:noWrap/>
            <w:vAlign w:val="center"/>
            <w:hideMark/>
          </w:tcPr>
          <w:p w14:paraId="0ABE1D80" w14:textId="77777777" w:rsidR="00275B57" w:rsidRPr="00484405" w:rsidRDefault="00275B57" w:rsidP="00BC4031">
            <w:pPr>
              <w:spacing w:after="0" w:line="240" w:lineRule="auto"/>
              <w:jc w:val="center"/>
              <w:rPr>
                <w:rFonts w:cs="Times New Roman"/>
                <w:szCs w:val="24"/>
              </w:rPr>
            </w:pPr>
            <w:r w:rsidRPr="00484405">
              <w:rPr>
                <w:rFonts w:cs="Times New Roman"/>
                <w:szCs w:val="24"/>
              </w:rPr>
              <w:t>7%</w:t>
            </w:r>
          </w:p>
        </w:tc>
        <w:tc>
          <w:tcPr>
            <w:tcW w:w="0" w:type="auto"/>
            <w:shd w:val="clear" w:color="000000" w:fill="FFCC99"/>
            <w:noWrap/>
            <w:vAlign w:val="center"/>
            <w:hideMark/>
          </w:tcPr>
          <w:p w14:paraId="3A7E679B" w14:textId="77777777" w:rsidR="00275B57" w:rsidRPr="00484405" w:rsidRDefault="00275B57" w:rsidP="00BC4031">
            <w:pPr>
              <w:spacing w:after="0" w:line="240" w:lineRule="auto"/>
              <w:jc w:val="center"/>
              <w:rPr>
                <w:rFonts w:cs="Times New Roman"/>
                <w:szCs w:val="24"/>
              </w:rPr>
            </w:pPr>
            <w:r w:rsidRPr="00484405">
              <w:rPr>
                <w:rFonts w:cs="Times New Roman"/>
                <w:szCs w:val="24"/>
              </w:rPr>
              <w:t>0.0000</w:t>
            </w:r>
          </w:p>
        </w:tc>
        <w:tc>
          <w:tcPr>
            <w:tcW w:w="0" w:type="auto"/>
            <w:shd w:val="clear" w:color="000000" w:fill="FFCC99"/>
            <w:noWrap/>
            <w:vAlign w:val="center"/>
            <w:hideMark/>
          </w:tcPr>
          <w:p w14:paraId="1E597050" w14:textId="77777777" w:rsidR="00275B57" w:rsidRPr="00484405" w:rsidRDefault="00275B57" w:rsidP="00BC4031">
            <w:pPr>
              <w:spacing w:after="0" w:line="240" w:lineRule="auto"/>
              <w:jc w:val="center"/>
              <w:rPr>
                <w:rFonts w:cs="Times New Roman"/>
                <w:szCs w:val="24"/>
              </w:rPr>
            </w:pPr>
            <w:r w:rsidRPr="00484405">
              <w:rPr>
                <w:rFonts w:cs="Times New Roman"/>
                <w:szCs w:val="24"/>
              </w:rPr>
              <w:t>3,449</w:t>
            </w:r>
          </w:p>
        </w:tc>
        <w:tc>
          <w:tcPr>
            <w:tcW w:w="0" w:type="auto"/>
            <w:shd w:val="clear" w:color="D9E1F2" w:fill="D9E1F2"/>
            <w:noWrap/>
            <w:vAlign w:val="center"/>
            <w:hideMark/>
          </w:tcPr>
          <w:p w14:paraId="68368015" w14:textId="77777777" w:rsidR="00275B57" w:rsidRPr="00484405" w:rsidRDefault="00275B57" w:rsidP="00BC4031">
            <w:pPr>
              <w:spacing w:after="0" w:line="240" w:lineRule="auto"/>
              <w:jc w:val="center"/>
              <w:rPr>
                <w:rFonts w:cs="Times New Roman"/>
                <w:szCs w:val="24"/>
              </w:rPr>
            </w:pPr>
            <w:r w:rsidRPr="00484405">
              <w:rPr>
                <w:rFonts w:cs="Times New Roman"/>
                <w:szCs w:val="24"/>
              </w:rPr>
              <w:t>0</w:t>
            </w:r>
          </w:p>
        </w:tc>
        <w:tc>
          <w:tcPr>
            <w:tcW w:w="0" w:type="auto"/>
            <w:shd w:val="clear" w:color="D9E1F2" w:fill="D9E1F2"/>
            <w:noWrap/>
            <w:vAlign w:val="center"/>
            <w:hideMark/>
          </w:tcPr>
          <w:p w14:paraId="0DDC895D" w14:textId="77777777" w:rsidR="00275B57" w:rsidRPr="00484405" w:rsidRDefault="00275B57" w:rsidP="00BC4031">
            <w:pPr>
              <w:spacing w:after="0" w:line="240" w:lineRule="auto"/>
              <w:jc w:val="center"/>
              <w:rPr>
                <w:rFonts w:cs="Times New Roman"/>
                <w:szCs w:val="24"/>
              </w:rPr>
            </w:pPr>
            <w:r w:rsidRPr="00484405">
              <w:rPr>
                <w:rFonts w:cs="Times New Roman"/>
                <w:szCs w:val="24"/>
              </w:rPr>
              <w:t>0%</w:t>
            </w:r>
          </w:p>
        </w:tc>
        <w:tc>
          <w:tcPr>
            <w:tcW w:w="0" w:type="auto"/>
            <w:shd w:val="clear" w:color="000000" w:fill="F2F2F2"/>
            <w:noWrap/>
            <w:vAlign w:val="center"/>
            <w:hideMark/>
          </w:tcPr>
          <w:p w14:paraId="608E5F31"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c>
          <w:tcPr>
            <w:tcW w:w="0" w:type="auto"/>
            <w:shd w:val="clear" w:color="000000" w:fill="F2F2F2"/>
            <w:noWrap/>
            <w:vAlign w:val="center"/>
            <w:hideMark/>
          </w:tcPr>
          <w:p w14:paraId="50E6D3A9"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r>
      <w:tr w:rsidR="00275B57" w14:paraId="0E4B14B1" w14:textId="77777777" w:rsidTr="004C5067">
        <w:trPr>
          <w:trHeight w:val="172"/>
        </w:trPr>
        <w:tc>
          <w:tcPr>
            <w:tcW w:w="0" w:type="auto"/>
            <w:noWrap/>
            <w:vAlign w:val="center"/>
            <w:hideMark/>
          </w:tcPr>
          <w:p w14:paraId="7E90B45F" w14:textId="77777777" w:rsidR="00275B57" w:rsidRPr="00484405" w:rsidRDefault="00275B57" w:rsidP="00BC4031">
            <w:pPr>
              <w:spacing w:after="0" w:line="240" w:lineRule="auto"/>
              <w:rPr>
                <w:rFonts w:cs="Times New Roman"/>
                <w:szCs w:val="24"/>
              </w:rPr>
            </w:pPr>
            <w:r w:rsidRPr="00484405">
              <w:rPr>
                <w:rFonts w:cs="Times New Roman"/>
                <w:szCs w:val="24"/>
              </w:rPr>
              <w:t>40</w:t>
            </w:r>
          </w:p>
        </w:tc>
        <w:tc>
          <w:tcPr>
            <w:tcW w:w="0" w:type="auto"/>
            <w:noWrap/>
            <w:vAlign w:val="center"/>
            <w:hideMark/>
          </w:tcPr>
          <w:p w14:paraId="7DF80F80" w14:textId="77777777" w:rsidR="00275B57" w:rsidRPr="00484405" w:rsidRDefault="00275B57" w:rsidP="00BC4031">
            <w:pPr>
              <w:spacing w:after="0" w:line="240" w:lineRule="auto"/>
              <w:jc w:val="center"/>
              <w:rPr>
                <w:rFonts w:cs="Times New Roman"/>
                <w:szCs w:val="24"/>
              </w:rPr>
            </w:pPr>
            <w:r w:rsidRPr="00484405">
              <w:rPr>
                <w:rFonts w:cs="Times New Roman"/>
                <w:szCs w:val="24"/>
              </w:rPr>
              <w:t>31%</w:t>
            </w:r>
          </w:p>
        </w:tc>
        <w:tc>
          <w:tcPr>
            <w:tcW w:w="0" w:type="auto"/>
            <w:noWrap/>
            <w:vAlign w:val="center"/>
            <w:hideMark/>
          </w:tcPr>
          <w:p w14:paraId="307793D8" w14:textId="77777777" w:rsidR="00275B57" w:rsidRPr="00484405" w:rsidRDefault="00275B57" w:rsidP="00BC4031">
            <w:pPr>
              <w:spacing w:after="0" w:line="240" w:lineRule="auto"/>
              <w:jc w:val="center"/>
              <w:rPr>
                <w:rFonts w:cs="Times New Roman"/>
                <w:szCs w:val="24"/>
              </w:rPr>
            </w:pPr>
            <w:r w:rsidRPr="00484405">
              <w:rPr>
                <w:rFonts w:cs="Times New Roman"/>
                <w:szCs w:val="24"/>
              </w:rPr>
              <w:t>7%</w:t>
            </w:r>
          </w:p>
        </w:tc>
        <w:tc>
          <w:tcPr>
            <w:tcW w:w="0" w:type="auto"/>
            <w:shd w:val="clear" w:color="000000" w:fill="FFCC99"/>
            <w:noWrap/>
            <w:vAlign w:val="center"/>
            <w:hideMark/>
          </w:tcPr>
          <w:p w14:paraId="766F8022" w14:textId="77777777" w:rsidR="00275B57" w:rsidRPr="00484405" w:rsidRDefault="00275B57" w:rsidP="00BC4031">
            <w:pPr>
              <w:spacing w:after="0" w:line="240" w:lineRule="auto"/>
              <w:jc w:val="center"/>
              <w:rPr>
                <w:rFonts w:cs="Times New Roman"/>
                <w:szCs w:val="24"/>
              </w:rPr>
            </w:pPr>
            <w:r w:rsidRPr="00484405">
              <w:rPr>
                <w:rFonts w:cs="Times New Roman"/>
                <w:szCs w:val="24"/>
              </w:rPr>
              <w:t>0.0000</w:t>
            </w:r>
          </w:p>
        </w:tc>
        <w:tc>
          <w:tcPr>
            <w:tcW w:w="0" w:type="auto"/>
            <w:shd w:val="clear" w:color="000000" w:fill="FFCC99"/>
            <w:noWrap/>
            <w:vAlign w:val="center"/>
            <w:hideMark/>
          </w:tcPr>
          <w:p w14:paraId="2E93A12C" w14:textId="77777777" w:rsidR="00275B57" w:rsidRPr="00484405" w:rsidRDefault="00275B57" w:rsidP="00BC4031">
            <w:pPr>
              <w:spacing w:after="0" w:line="240" w:lineRule="auto"/>
              <w:jc w:val="center"/>
              <w:rPr>
                <w:rFonts w:cs="Times New Roman"/>
                <w:szCs w:val="24"/>
              </w:rPr>
            </w:pPr>
            <w:r w:rsidRPr="00484405">
              <w:rPr>
                <w:rFonts w:cs="Times New Roman"/>
                <w:szCs w:val="24"/>
              </w:rPr>
              <w:t>3,449</w:t>
            </w:r>
          </w:p>
        </w:tc>
        <w:tc>
          <w:tcPr>
            <w:tcW w:w="0" w:type="auto"/>
            <w:noWrap/>
            <w:vAlign w:val="center"/>
            <w:hideMark/>
          </w:tcPr>
          <w:p w14:paraId="709AE288" w14:textId="77777777" w:rsidR="00275B57" w:rsidRPr="00484405" w:rsidRDefault="00275B57" w:rsidP="00BC4031">
            <w:pPr>
              <w:spacing w:after="0" w:line="240" w:lineRule="auto"/>
              <w:jc w:val="center"/>
              <w:rPr>
                <w:rFonts w:cs="Times New Roman"/>
                <w:szCs w:val="24"/>
              </w:rPr>
            </w:pPr>
            <w:r w:rsidRPr="00484405">
              <w:rPr>
                <w:rFonts w:cs="Times New Roman"/>
                <w:szCs w:val="24"/>
              </w:rPr>
              <w:t>0</w:t>
            </w:r>
          </w:p>
        </w:tc>
        <w:tc>
          <w:tcPr>
            <w:tcW w:w="0" w:type="auto"/>
            <w:noWrap/>
            <w:vAlign w:val="center"/>
            <w:hideMark/>
          </w:tcPr>
          <w:p w14:paraId="00F17B8A" w14:textId="77777777" w:rsidR="00275B57" w:rsidRPr="00484405" w:rsidRDefault="00275B57" w:rsidP="00BC4031">
            <w:pPr>
              <w:spacing w:after="0" w:line="240" w:lineRule="auto"/>
              <w:jc w:val="center"/>
              <w:rPr>
                <w:rFonts w:cs="Times New Roman"/>
                <w:szCs w:val="24"/>
              </w:rPr>
            </w:pPr>
            <w:r w:rsidRPr="00484405">
              <w:rPr>
                <w:rFonts w:cs="Times New Roman"/>
                <w:szCs w:val="24"/>
              </w:rPr>
              <w:t>0%</w:t>
            </w:r>
          </w:p>
        </w:tc>
        <w:tc>
          <w:tcPr>
            <w:tcW w:w="0" w:type="auto"/>
            <w:shd w:val="clear" w:color="000000" w:fill="F2F2F2"/>
            <w:noWrap/>
            <w:vAlign w:val="center"/>
            <w:hideMark/>
          </w:tcPr>
          <w:p w14:paraId="4B1D019F"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c>
          <w:tcPr>
            <w:tcW w:w="0" w:type="auto"/>
            <w:shd w:val="clear" w:color="000000" w:fill="F2F2F2"/>
            <w:noWrap/>
            <w:vAlign w:val="center"/>
            <w:hideMark/>
          </w:tcPr>
          <w:p w14:paraId="32D41C36"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0%</w:t>
            </w:r>
          </w:p>
        </w:tc>
      </w:tr>
      <w:tr w:rsidR="00275B57" w14:paraId="19C50A25" w14:textId="77777777" w:rsidTr="004C5067">
        <w:trPr>
          <w:trHeight w:val="172"/>
        </w:trPr>
        <w:tc>
          <w:tcPr>
            <w:tcW w:w="0" w:type="auto"/>
            <w:noWrap/>
            <w:vAlign w:val="center"/>
            <w:hideMark/>
          </w:tcPr>
          <w:p w14:paraId="7165924E" w14:textId="77777777" w:rsidR="00275B57" w:rsidRPr="00484405" w:rsidRDefault="00275B57" w:rsidP="00BC4031">
            <w:pPr>
              <w:spacing w:after="0" w:line="240" w:lineRule="auto"/>
              <w:rPr>
                <w:rFonts w:eastAsia="Times New Roman" w:cs="Times New Roman"/>
                <w:b/>
                <w:color w:val="3F3F3F"/>
                <w:szCs w:val="24"/>
                <w:lang w:eastAsia="ja-JP"/>
              </w:rPr>
            </w:pPr>
          </w:p>
        </w:tc>
        <w:tc>
          <w:tcPr>
            <w:tcW w:w="0" w:type="auto"/>
            <w:noWrap/>
            <w:vAlign w:val="center"/>
            <w:hideMark/>
          </w:tcPr>
          <w:p w14:paraId="0E368F2A" w14:textId="77777777" w:rsidR="00275B57" w:rsidRPr="00484405" w:rsidRDefault="00275B57" w:rsidP="00BC4031">
            <w:pPr>
              <w:spacing w:after="0" w:line="240" w:lineRule="auto"/>
              <w:jc w:val="center"/>
              <w:rPr>
                <w:rFonts w:eastAsia="Times New Roman" w:cs="Times New Roman"/>
                <w:szCs w:val="24"/>
                <w:lang w:eastAsia="ja-JP"/>
              </w:rPr>
            </w:pPr>
          </w:p>
        </w:tc>
        <w:tc>
          <w:tcPr>
            <w:tcW w:w="0" w:type="auto"/>
            <w:noWrap/>
            <w:vAlign w:val="center"/>
            <w:hideMark/>
          </w:tcPr>
          <w:p w14:paraId="5E1F000B" w14:textId="77777777" w:rsidR="00275B57" w:rsidRPr="00484405" w:rsidRDefault="00275B57" w:rsidP="00BC4031">
            <w:pPr>
              <w:spacing w:after="0" w:line="240" w:lineRule="auto"/>
              <w:jc w:val="center"/>
              <w:rPr>
                <w:rFonts w:eastAsia="Times New Roman" w:cs="Times New Roman"/>
                <w:szCs w:val="24"/>
                <w:lang w:eastAsia="ja-JP"/>
              </w:rPr>
            </w:pPr>
          </w:p>
        </w:tc>
        <w:tc>
          <w:tcPr>
            <w:tcW w:w="0" w:type="auto"/>
            <w:noWrap/>
            <w:vAlign w:val="center"/>
            <w:hideMark/>
          </w:tcPr>
          <w:p w14:paraId="66519244" w14:textId="77777777" w:rsidR="00275B57" w:rsidRPr="00484405" w:rsidRDefault="00275B57" w:rsidP="00BC4031">
            <w:pPr>
              <w:spacing w:after="0" w:line="240" w:lineRule="auto"/>
              <w:jc w:val="center"/>
              <w:rPr>
                <w:rFonts w:eastAsia="Times New Roman" w:cs="Times New Roman"/>
                <w:szCs w:val="24"/>
                <w:lang w:eastAsia="ja-JP"/>
              </w:rPr>
            </w:pPr>
          </w:p>
        </w:tc>
        <w:tc>
          <w:tcPr>
            <w:tcW w:w="0" w:type="auto"/>
            <w:noWrap/>
            <w:vAlign w:val="center"/>
            <w:hideMark/>
          </w:tcPr>
          <w:p w14:paraId="62652699" w14:textId="77777777" w:rsidR="00275B57" w:rsidRPr="00484405" w:rsidRDefault="00275B57" w:rsidP="00BC4031">
            <w:pPr>
              <w:spacing w:after="0" w:line="240" w:lineRule="auto"/>
              <w:jc w:val="center"/>
              <w:rPr>
                <w:rFonts w:eastAsia="Times New Roman" w:cs="Times New Roman"/>
                <w:szCs w:val="24"/>
                <w:lang w:eastAsia="ja-JP"/>
              </w:rPr>
            </w:pPr>
          </w:p>
        </w:tc>
        <w:tc>
          <w:tcPr>
            <w:tcW w:w="0" w:type="auto"/>
            <w:noWrap/>
            <w:vAlign w:val="center"/>
            <w:hideMark/>
          </w:tcPr>
          <w:p w14:paraId="5D86AB00" w14:textId="77777777" w:rsidR="00275B57" w:rsidRPr="00484405" w:rsidRDefault="00275B57" w:rsidP="00BC4031">
            <w:pPr>
              <w:spacing w:after="0" w:line="240" w:lineRule="auto"/>
              <w:jc w:val="center"/>
              <w:rPr>
                <w:rFonts w:eastAsia="Times New Roman" w:cs="Times New Roman"/>
                <w:szCs w:val="24"/>
                <w:lang w:eastAsia="ja-JP"/>
              </w:rPr>
            </w:pPr>
          </w:p>
        </w:tc>
        <w:tc>
          <w:tcPr>
            <w:tcW w:w="0" w:type="auto"/>
            <w:noWrap/>
            <w:vAlign w:val="center"/>
            <w:hideMark/>
          </w:tcPr>
          <w:p w14:paraId="125AFCAA" w14:textId="77777777" w:rsidR="00275B57" w:rsidRPr="00484405" w:rsidRDefault="00275B57" w:rsidP="00BC4031">
            <w:pPr>
              <w:spacing w:after="0" w:line="240" w:lineRule="auto"/>
              <w:jc w:val="center"/>
              <w:rPr>
                <w:rFonts w:eastAsia="Times New Roman" w:cs="Times New Roman"/>
                <w:szCs w:val="24"/>
                <w:lang w:eastAsia="ja-JP"/>
              </w:rPr>
            </w:pPr>
          </w:p>
        </w:tc>
        <w:tc>
          <w:tcPr>
            <w:tcW w:w="0" w:type="auto"/>
            <w:noWrap/>
            <w:vAlign w:val="center"/>
            <w:hideMark/>
          </w:tcPr>
          <w:p w14:paraId="479BBB2E" w14:textId="77777777" w:rsidR="00275B57" w:rsidRPr="00484405" w:rsidRDefault="00275B57" w:rsidP="00BC4031">
            <w:pPr>
              <w:spacing w:after="0" w:line="240" w:lineRule="auto"/>
              <w:jc w:val="center"/>
              <w:rPr>
                <w:rFonts w:eastAsia="Times New Roman" w:cs="Times New Roman"/>
                <w:color w:val="000000"/>
                <w:szCs w:val="24"/>
                <w:lang w:eastAsia="ja-JP"/>
              </w:rPr>
            </w:pPr>
            <w:r w:rsidRPr="00484405">
              <w:rPr>
                <w:rFonts w:eastAsia="Times New Roman" w:cs="Times New Roman"/>
                <w:color w:val="000000"/>
                <w:szCs w:val="24"/>
                <w:lang w:eastAsia="ja-JP"/>
              </w:rPr>
              <w:t>0.8354</w:t>
            </w:r>
          </w:p>
        </w:tc>
        <w:tc>
          <w:tcPr>
            <w:tcW w:w="0" w:type="auto"/>
            <w:noWrap/>
            <w:vAlign w:val="center"/>
            <w:hideMark/>
          </w:tcPr>
          <w:p w14:paraId="3C68C11B" w14:textId="77777777" w:rsidR="00275B57" w:rsidRPr="00484405" w:rsidRDefault="00275B57" w:rsidP="00BC4031">
            <w:pPr>
              <w:spacing w:after="0" w:line="240" w:lineRule="auto"/>
              <w:jc w:val="center"/>
              <w:rPr>
                <w:rFonts w:eastAsia="Times New Roman" w:cs="Times New Roman"/>
                <w:color w:val="000000"/>
                <w:szCs w:val="24"/>
                <w:lang w:eastAsia="ja-JP"/>
              </w:rPr>
            </w:pPr>
            <w:r w:rsidRPr="00484405">
              <w:rPr>
                <w:rFonts w:eastAsia="Times New Roman" w:cs="Times New Roman"/>
                <w:color w:val="000000"/>
                <w:szCs w:val="24"/>
                <w:lang w:eastAsia="ja-JP"/>
              </w:rPr>
              <w:t>0.6816</w:t>
            </w:r>
          </w:p>
        </w:tc>
      </w:tr>
    </w:tbl>
    <w:p w14:paraId="3722DF0B" w14:textId="77777777" w:rsidR="001E65EA" w:rsidRDefault="001E65EA" w:rsidP="00BC757F">
      <w:pPr>
        <w:pStyle w:val="NoSpaceTimes"/>
      </w:pPr>
    </w:p>
    <w:p w14:paraId="4FD38C47" w14:textId="008BA5D8" w:rsidR="001E65EA" w:rsidRDefault="000F5B51" w:rsidP="001E65EA">
      <w:pPr>
        <w:pStyle w:val="Caption"/>
      </w:pPr>
      <w:bookmarkStart w:id="1997" w:name="_Ref126239787"/>
      <w:r>
        <w:t xml:space="preserve">Table </w:t>
      </w:r>
      <w:r w:rsidR="00115BAB">
        <w:fldChar w:fldCharType="begin"/>
      </w:r>
      <w:r>
        <w:instrText xml:space="preserve"> SEQ Table \* ARABIC </w:instrText>
      </w:r>
      <w:r w:rsidR="00115BAB">
        <w:fldChar w:fldCharType="separate"/>
      </w:r>
      <w:r w:rsidR="00A65CB3">
        <w:rPr>
          <w:noProof/>
        </w:rPr>
        <w:t>103</w:t>
      </w:r>
      <w:r w:rsidR="00115BAB">
        <w:rPr>
          <w:noProof/>
        </w:rPr>
        <w:fldChar w:fldCharType="end"/>
      </w:r>
      <w:bookmarkEnd w:id="1997"/>
      <w:r>
        <w:t xml:space="preserve">: </w:t>
      </w:r>
      <w:r w:rsidRPr="00A67BC4">
        <w:t>Survival Rates and Vehicle Miles Traveled (VMT) by Vehicle Age for Light Trucks and Vans (LTV)</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1"/>
        <w:gridCol w:w="1297"/>
        <w:gridCol w:w="1297"/>
        <w:gridCol w:w="1151"/>
        <w:gridCol w:w="1004"/>
        <w:gridCol w:w="1083"/>
        <w:gridCol w:w="1164"/>
        <w:gridCol w:w="1017"/>
        <w:gridCol w:w="1017"/>
      </w:tblGrid>
      <w:tr w:rsidR="00275B57" w14:paraId="3306B2A0" w14:textId="77777777" w:rsidTr="004C5067">
        <w:trPr>
          <w:trHeight w:val="167"/>
        </w:trPr>
        <w:tc>
          <w:tcPr>
            <w:tcW w:w="921" w:type="dxa"/>
            <w:shd w:val="clear" w:color="auto" w:fill="D9D9D9" w:themeFill="background1" w:themeFillShade="D9"/>
            <w:noWrap/>
            <w:vAlign w:val="center"/>
            <w:hideMark/>
          </w:tcPr>
          <w:p w14:paraId="01B94D20" w14:textId="77777777" w:rsidR="00275B57" w:rsidRPr="00484405" w:rsidRDefault="00275B57" w:rsidP="00BC4031">
            <w:pPr>
              <w:spacing w:after="0" w:line="240" w:lineRule="auto"/>
              <w:rPr>
                <w:rFonts w:cs="Times New Roman"/>
                <w:b/>
                <w:szCs w:val="24"/>
              </w:rPr>
            </w:pPr>
            <w:r w:rsidRPr="00484405">
              <w:rPr>
                <w:rFonts w:cs="Times New Roman"/>
                <w:b/>
                <w:szCs w:val="24"/>
              </w:rPr>
              <w:t>Year</w:t>
            </w:r>
          </w:p>
        </w:tc>
        <w:tc>
          <w:tcPr>
            <w:tcW w:w="1297" w:type="dxa"/>
            <w:shd w:val="clear" w:color="auto" w:fill="D9D9D9" w:themeFill="background1" w:themeFillShade="D9"/>
            <w:noWrap/>
            <w:vAlign w:val="center"/>
            <w:hideMark/>
          </w:tcPr>
          <w:p w14:paraId="21777355"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RAW DISCOUNT FACTOR 3%</w:t>
            </w:r>
          </w:p>
        </w:tc>
        <w:tc>
          <w:tcPr>
            <w:tcW w:w="1297" w:type="dxa"/>
            <w:shd w:val="clear" w:color="auto" w:fill="D9D9D9" w:themeFill="background1" w:themeFillShade="D9"/>
            <w:noWrap/>
            <w:vAlign w:val="center"/>
            <w:hideMark/>
          </w:tcPr>
          <w:p w14:paraId="7E9050E7"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RAW DISCOUNT FACTOR 7%</w:t>
            </w:r>
          </w:p>
        </w:tc>
        <w:tc>
          <w:tcPr>
            <w:tcW w:w="1151" w:type="dxa"/>
            <w:shd w:val="clear" w:color="auto" w:fill="D9D9D9" w:themeFill="background1" w:themeFillShade="D9"/>
            <w:noWrap/>
            <w:vAlign w:val="center"/>
            <w:hideMark/>
          </w:tcPr>
          <w:p w14:paraId="017CA3A2" w14:textId="77777777" w:rsidR="00275B57" w:rsidRPr="0049452F" w:rsidRDefault="00275B57" w:rsidP="00BC4031">
            <w:pPr>
              <w:spacing w:after="0" w:line="240" w:lineRule="auto"/>
              <w:jc w:val="center"/>
              <w:rPr>
                <w:rFonts w:cs="Times New Roman"/>
                <w:b/>
                <w:bCs/>
                <w:szCs w:val="24"/>
              </w:rPr>
            </w:pPr>
            <w:r w:rsidRPr="00E752A0">
              <w:rPr>
                <w:rFonts w:cs="Times New Roman"/>
                <w:b/>
                <w:bCs/>
                <w:szCs w:val="24"/>
              </w:rPr>
              <w:t>LTV Survival</w:t>
            </w:r>
          </w:p>
        </w:tc>
        <w:tc>
          <w:tcPr>
            <w:tcW w:w="1004" w:type="dxa"/>
            <w:shd w:val="clear" w:color="auto" w:fill="D9D9D9" w:themeFill="background1" w:themeFillShade="D9"/>
            <w:noWrap/>
            <w:vAlign w:val="center"/>
            <w:hideMark/>
          </w:tcPr>
          <w:p w14:paraId="259E3F1E" w14:textId="77777777" w:rsidR="00275B57" w:rsidRPr="0049452F" w:rsidRDefault="00275B57" w:rsidP="00BC4031">
            <w:pPr>
              <w:spacing w:after="0" w:line="240" w:lineRule="auto"/>
              <w:jc w:val="center"/>
              <w:rPr>
                <w:rFonts w:cs="Times New Roman"/>
                <w:b/>
                <w:bCs/>
                <w:szCs w:val="24"/>
              </w:rPr>
            </w:pPr>
            <w:r w:rsidRPr="00E752A0">
              <w:rPr>
                <w:rFonts w:cs="Times New Roman"/>
                <w:b/>
                <w:bCs/>
                <w:szCs w:val="24"/>
              </w:rPr>
              <w:t>LTV Exposure</w:t>
            </w:r>
          </w:p>
        </w:tc>
        <w:tc>
          <w:tcPr>
            <w:tcW w:w="1083" w:type="dxa"/>
            <w:shd w:val="clear" w:color="auto" w:fill="D9D9D9" w:themeFill="background1" w:themeFillShade="D9"/>
            <w:noWrap/>
            <w:vAlign w:val="center"/>
            <w:hideMark/>
          </w:tcPr>
          <w:p w14:paraId="42E81D65"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LTV Aggregate Exposure</w:t>
            </w:r>
          </w:p>
        </w:tc>
        <w:tc>
          <w:tcPr>
            <w:tcW w:w="1164" w:type="dxa"/>
            <w:shd w:val="clear" w:color="auto" w:fill="D9D9D9" w:themeFill="background1" w:themeFillShade="D9"/>
            <w:noWrap/>
            <w:vAlign w:val="center"/>
            <w:hideMark/>
          </w:tcPr>
          <w:p w14:paraId="5DBC7335"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LTV Exposure Proportion</w:t>
            </w:r>
          </w:p>
        </w:tc>
        <w:tc>
          <w:tcPr>
            <w:tcW w:w="1017" w:type="dxa"/>
            <w:shd w:val="clear" w:color="auto" w:fill="D9D9D9" w:themeFill="background1" w:themeFillShade="D9"/>
            <w:noWrap/>
            <w:vAlign w:val="center"/>
            <w:hideMark/>
          </w:tcPr>
          <w:p w14:paraId="219CB3BD"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LTV Weighted Discount Factor 3%</w:t>
            </w:r>
          </w:p>
        </w:tc>
        <w:tc>
          <w:tcPr>
            <w:tcW w:w="1017" w:type="dxa"/>
            <w:shd w:val="clear" w:color="auto" w:fill="D9D9D9" w:themeFill="background1" w:themeFillShade="D9"/>
            <w:noWrap/>
            <w:vAlign w:val="center"/>
            <w:hideMark/>
          </w:tcPr>
          <w:p w14:paraId="13A81A54" w14:textId="77777777" w:rsidR="00275B57" w:rsidRPr="00484405" w:rsidRDefault="00275B57" w:rsidP="00BC4031">
            <w:pPr>
              <w:spacing w:after="0" w:line="240" w:lineRule="auto"/>
              <w:jc w:val="center"/>
              <w:rPr>
                <w:rFonts w:cs="Times New Roman"/>
                <w:b/>
                <w:szCs w:val="24"/>
              </w:rPr>
            </w:pPr>
            <w:r w:rsidRPr="00484405">
              <w:rPr>
                <w:rFonts w:cs="Times New Roman"/>
                <w:b/>
                <w:szCs w:val="24"/>
              </w:rPr>
              <w:t>LTV Weighted Discount Factor 7%</w:t>
            </w:r>
          </w:p>
        </w:tc>
      </w:tr>
      <w:tr w:rsidR="00275B57" w14:paraId="0616E447" w14:textId="77777777" w:rsidTr="004C5067">
        <w:trPr>
          <w:trHeight w:val="167"/>
        </w:trPr>
        <w:tc>
          <w:tcPr>
            <w:tcW w:w="0" w:type="auto"/>
            <w:shd w:val="clear" w:color="D9E1F2" w:fill="D9E1F2"/>
            <w:noWrap/>
            <w:vAlign w:val="center"/>
            <w:hideMark/>
          </w:tcPr>
          <w:p w14:paraId="22FF811D" w14:textId="77777777" w:rsidR="00275B57" w:rsidRPr="00484405" w:rsidRDefault="00275B57" w:rsidP="00BC4031">
            <w:pPr>
              <w:spacing w:after="0" w:line="240" w:lineRule="auto"/>
              <w:rPr>
                <w:rFonts w:cs="Times New Roman"/>
                <w:szCs w:val="24"/>
              </w:rPr>
            </w:pPr>
            <w:r w:rsidRPr="00484405">
              <w:rPr>
                <w:rFonts w:cs="Times New Roman"/>
                <w:szCs w:val="24"/>
              </w:rPr>
              <w:t>1</w:t>
            </w:r>
          </w:p>
        </w:tc>
        <w:tc>
          <w:tcPr>
            <w:tcW w:w="0" w:type="auto"/>
            <w:shd w:val="clear" w:color="D9E1F2" w:fill="D9E1F2"/>
            <w:noWrap/>
            <w:vAlign w:val="center"/>
            <w:hideMark/>
          </w:tcPr>
          <w:p w14:paraId="56442E37" w14:textId="77777777" w:rsidR="00275B57" w:rsidRPr="0049452F" w:rsidRDefault="00275B57" w:rsidP="00BC4031">
            <w:pPr>
              <w:spacing w:after="0" w:line="240" w:lineRule="auto"/>
              <w:jc w:val="center"/>
              <w:rPr>
                <w:rFonts w:cs="Times New Roman"/>
                <w:szCs w:val="24"/>
              </w:rPr>
            </w:pPr>
            <w:r w:rsidRPr="0049452F">
              <w:rPr>
                <w:rFonts w:cs="Times New Roman"/>
                <w:szCs w:val="24"/>
              </w:rPr>
              <w:t>99%</w:t>
            </w:r>
          </w:p>
        </w:tc>
        <w:tc>
          <w:tcPr>
            <w:tcW w:w="0" w:type="auto"/>
            <w:shd w:val="clear" w:color="D9E1F2" w:fill="D9E1F2"/>
            <w:noWrap/>
            <w:vAlign w:val="center"/>
            <w:hideMark/>
          </w:tcPr>
          <w:p w14:paraId="10ADD1F2" w14:textId="77777777" w:rsidR="00275B57" w:rsidRPr="0049452F" w:rsidRDefault="00275B57" w:rsidP="00BC4031">
            <w:pPr>
              <w:spacing w:after="0" w:line="240" w:lineRule="auto"/>
              <w:jc w:val="center"/>
              <w:rPr>
                <w:rFonts w:cs="Times New Roman"/>
                <w:szCs w:val="24"/>
              </w:rPr>
            </w:pPr>
            <w:r w:rsidRPr="0049452F">
              <w:rPr>
                <w:rFonts w:cs="Times New Roman"/>
                <w:szCs w:val="24"/>
              </w:rPr>
              <w:t>97%</w:t>
            </w:r>
          </w:p>
        </w:tc>
        <w:tc>
          <w:tcPr>
            <w:tcW w:w="0" w:type="auto"/>
            <w:shd w:val="clear" w:color="000000" w:fill="FFCC99"/>
            <w:noWrap/>
            <w:vAlign w:val="center"/>
            <w:hideMark/>
          </w:tcPr>
          <w:p w14:paraId="775BDBD8" w14:textId="77777777" w:rsidR="00275B57" w:rsidRPr="0098697F" w:rsidRDefault="00275B57" w:rsidP="00BC4031">
            <w:pPr>
              <w:spacing w:after="0" w:line="240" w:lineRule="auto"/>
              <w:jc w:val="center"/>
              <w:rPr>
                <w:rFonts w:cs="Times New Roman"/>
                <w:szCs w:val="24"/>
              </w:rPr>
            </w:pPr>
            <w:r w:rsidRPr="0098697F">
              <w:rPr>
                <w:rFonts w:cs="Times New Roman"/>
                <w:szCs w:val="24"/>
              </w:rPr>
              <w:t>1.0000</w:t>
            </w:r>
          </w:p>
        </w:tc>
        <w:tc>
          <w:tcPr>
            <w:tcW w:w="0" w:type="auto"/>
            <w:shd w:val="clear" w:color="000000" w:fill="FFCC99"/>
            <w:noWrap/>
            <w:vAlign w:val="center"/>
            <w:hideMark/>
          </w:tcPr>
          <w:p w14:paraId="1A0DF0BF" w14:textId="77777777" w:rsidR="00275B57" w:rsidRPr="0098697F" w:rsidRDefault="00275B57" w:rsidP="00BC4031">
            <w:pPr>
              <w:spacing w:after="0" w:line="240" w:lineRule="auto"/>
              <w:jc w:val="center"/>
              <w:rPr>
                <w:rFonts w:cs="Times New Roman"/>
                <w:szCs w:val="24"/>
              </w:rPr>
            </w:pPr>
            <w:r w:rsidRPr="0098697F">
              <w:rPr>
                <w:rFonts w:cs="Times New Roman"/>
                <w:szCs w:val="24"/>
              </w:rPr>
              <w:t>16,502</w:t>
            </w:r>
          </w:p>
        </w:tc>
        <w:tc>
          <w:tcPr>
            <w:tcW w:w="0" w:type="auto"/>
            <w:shd w:val="clear" w:color="D9E1F2" w:fill="D9E1F2"/>
            <w:noWrap/>
            <w:vAlign w:val="center"/>
            <w:hideMark/>
          </w:tcPr>
          <w:p w14:paraId="23D98BDB"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16,502</w:t>
            </w:r>
          </w:p>
        </w:tc>
        <w:tc>
          <w:tcPr>
            <w:tcW w:w="0" w:type="auto"/>
            <w:shd w:val="clear" w:color="D9E1F2" w:fill="D9E1F2"/>
            <w:noWrap/>
            <w:vAlign w:val="center"/>
            <w:hideMark/>
          </w:tcPr>
          <w:p w14:paraId="6BD71A6F"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11%</w:t>
            </w:r>
          </w:p>
        </w:tc>
        <w:tc>
          <w:tcPr>
            <w:tcW w:w="0" w:type="auto"/>
            <w:shd w:val="clear" w:color="000000" w:fill="F2F2F2"/>
            <w:noWrap/>
            <w:vAlign w:val="center"/>
            <w:hideMark/>
          </w:tcPr>
          <w:p w14:paraId="361E1846"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10%</w:t>
            </w:r>
          </w:p>
        </w:tc>
        <w:tc>
          <w:tcPr>
            <w:tcW w:w="1017" w:type="dxa"/>
            <w:shd w:val="clear" w:color="000000" w:fill="F2F2F2"/>
            <w:noWrap/>
            <w:vAlign w:val="center"/>
            <w:hideMark/>
          </w:tcPr>
          <w:p w14:paraId="3B960A53"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10%</w:t>
            </w:r>
          </w:p>
        </w:tc>
      </w:tr>
      <w:tr w:rsidR="00275B57" w14:paraId="5B6BB44A" w14:textId="77777777" w:rsidTr="004C5067">
        <w:trPr>
          <w:trHeight w:val="167"/>
        </w:trPr>
        <w:tc>
          <w:tcPr>
            <w:tcW w:w="0" w:type="auto"/>
            <w:noWrap/>
            <w:vAlign w:val="center"/>
            <w:hideMark/>
          </w:tcPr>
          <w:p w14:paraId="37402E44" w14:textId="77777777" w:rsidR="00275B57" w:rsidRPr="00484405" w:rsidRDefault="00275B57" w:rsidP="00BC4031">
            <w:pPr>
              <w:spacing w:after="0" w:line="240" w:lineRule="auto"/>
              <w:rPr>
                <w:rFonts w:cs="Times New Roman"/>
                <w:szCs w:val="24"/>
              </w:rPr>
            </w:pPr>
            <w:r w:rsidRPr="00484405">
              <w:rPr>
                <w:rFonts w:cs="Times New Roman"/>
                <w:szCs w:val="24"/>
              </w:rPr>
              <w:t>2</w:t>
            </w:r>
          </w:p>
        </w:tc>
        <w:tc>
          <w:tcPr>
            <w:tcW w:w="0" w:type="auto"/>
            <w:noWrap/>
            <w:vAlign w:val="center"/>
            <w:hideMark/>
          </w:tcPr>
          <w:p w14:paraId="73A402AC" w14:textId="77777777" w:rsidR="00275B57" w:rsidRPr="0049452F" w:rsidRDefault="00275B57" w:rsidP="00BC4031">
            <w:pPr>
              <w:spacing w:after="0" w:line="240" w:lineRule="auto"/>
              <w:jc w:val="center"/>
              <w:rPr>
                <w:rFonts w:cs="Times New Roman"/>
                <w:szCs w:val="24"/>
              </w:rPr>
            </w:pPr>
            <w:r w:rsidRPr="0049452F">
              <w:rPr>
                <w:rFonts w:cs="Times New Roman"/>
                <w:szCs w:val="24"/>
              </w:rPr>
              <w:t>96%</w:t>
            </w:r>
          </w:p>
        </w:tc>
        <w:tc>
          <w:tcPr>
            <w:tcW w:w="0" w:type="auto"/>
            <w:noWrap/>
            <w:vAlign w:val="center"/>
            <w:hideMark/>
          </w:tcPr>
          <w:p w14:paraId="7607840E" w14:textId="77777777" w:rsidR="00275B57" w:rsidRPr="0049452F" w:rsidRDefault="00275B57" w:rsidP="00BC4031">
            <w:pPr>
              <w:spacing w:after="0" w:line="240" w:lineRule="auto"/>
              <w:jc w:val="center"/>
              <w:rPr>
                <w:rFonts w:cs="Times New Roman"/>
                <w:szCs w:val="24"/>
              </w:rPr>
            </w:pPr>
            <w:r w:rsidRPr="0049452F">
              <w:rPr>
                <w:rFonts w:cs="Times New Roman"/>
                <w:szCs w:val="24"/>
              </w:rPr>
              <w:t>90%</w:t>
            </w:r>
          </w:p>
        </w:tc>
        <w:tc>
          <w:tcPr>
            <w:tcW w:w="0" w:type="auto"/>
            <w:shd w:val="clear" w:color="000000" w:fill="FFCC99"/>
            <w:noWrap/>
            <w:vAlign w:val="center"/>
            <w:hideMark/>
          </w:tcPr>
          <w:p w14:paraId="19620BCB" w14:textId="77777777" w:rsidR="00275B57" w:rsidRPr="0098697F" w:rsidRDefault="00275B57" w:rsidP="00BC4031">
            <w:pPr>
              <w:spacing w:after="0" w:line="240" w:lineRule="auto"/>
              <w:jc w:val="center"/>
              <w:rPr>
                <w:rFonts w:cs="Times New Roman"/>
                <w:szCs w:val="24"/>
              </w:rPr>
            </w:pPr>
            <w:r w:rsidRPr="0098697F">
              <w:rPr>
                <w:rFonts w:cs="Times New Roman"/>
                <w:szCs w:val="24"/>
              </w:rPr>
              <w:t>0.9776</w:t>
            </w:r>
          </w:p>
        </w:tc>
        <w:tc>
          <w:tcPr>
            <w:tcW w:w="0" w:type="auto"/>
            <w:shd w:val="clear" w:color="000000" w:fill="FFCC99"/>
            <w:noWrap/>
            <w:vAlign w:val="center"/>
            <w:hideMark/>
          </w:tcPr>
          <w:p w14:paraId="616B2437" w14:textId="77777777" w:rsidR="00275B57" w:rsidRPr="0098697F" w:rsidRDefault="00275B57" w:rsidP="00BC4031">
            <w:pPr>
              <w:spacing w:after="0" w:line="240" w:lineRule="auto"/>
              <w:jc w:val="center"/>
              <w:rPr>
                <w:rFonts w:cs="Times New Roman"/>
                <w:szCs w:val="24"/>
              </w:rPr>
            </w:pPr>
            <w:r w:rsidRPr="0098697F">
              <w:rPr>
                <w:rFonts w:cs="Times New Roman"/>
                <w:szCs w:val="24"/>
              </w:rPr>
              <w:t>14,828</w:t>
            </w:r>
          </w:p>
        </w:tc>
        <w:tc>
          <w:tcPr>
            <w:tcW w:w="0" w:type="auto"/>
            <w:noWrap/>
            <w:vAlign w:val="center"/>
            <w:hideMark/>
          </w:tcPr>
          <w:p w14:paraId="66593808"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14,496</w:t>
            </w:r>
          </w:p>
        </w:tc>
        <w:tc>
          <w:tcPr>
            <w:tcW w:w="0" w:type="auto"/>
            <w:noWrap/>
            <w:vAlign w:val="center"/>
            <w:hideMark/>
          </w:tcPr>
          <w:p w14:paraId="07C773E2"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9%</w:t>
            </w:r>
          </w:p>
        </w:tc>
        <w:tc>
          <w:tcPr>
            <w:tcW w:w="0" w:type="auto"/>
            <w:shd w:val="clear" w:color="000000" w:fill="F2F2F2"/>
            <w:noWrap/>
            <w:vAlign w:val="center"/>
            <w:hideMark/>
          </w:tcPr>
          <w:p w14:paraId="09B56AF0"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9%</w:t>
            </w:r>
          </w:p>
        </w:tc>
        <w:tc>
          <w:tcPr>
            <w:tcW w:w="1017" w:type="dxa"/>
            <w:shd w:val="clear" w:color="000000" w:fill="F2F2F2"/>
            <w:noWrap/>
            <w:vAlign w:val="center"/>
            <w:hideMark/>
          </w:tcPr>
          <w:p w14:paraId="0FD437C2"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8%</w:t>
            </w:r>
          </w:p>
        </w:tc>
      </w:tr>
      <w:tr w:rsidR="00275B57" w14:paraId="0CB3A400" w14:textId="77777777" w:rsidTr="004C5067">
        <w:trPr>
          <w:trHeight w:val="167"/>
        </w:trPr>
        <w:tc>
          <w:tcPr>
            <w:tcW w:w="0" w:type="auto"/>
            <w:shd w:val="clear" w:color="D9E1F2" w:fill="D9E1F2"/>
            <w:noWrap/>
            <w:vAlign w:val="center"/>
            <w:hideMark/>
          </w:tcPr>
          <w:p w14:paraId="4DF0582B" w14:textId="77777777" w:rsidR="00275B57" w:rsidRPr="00484405" w:rsidRDefault="00275B57" w:rsidP="00BC4031">
            <w:pPr>
              <w:spacing w:after="0" w:line="240" w:lineRule="auto"/>
              <w:rPr>
                <w:rFonts w:cs="Times New Roman"/>
                <w:szCs w:val="24"/>
              </w:rPr>
            </w:pPr>
            <w:r w:rsidRPr="00484405">
              <w:rPr>
                <w:rFonts w:cs="Times New Roman"/>
                <w:szCs w:val="24"/>
              </w:rPr>
              <w:lastRenderedPageBreak/>
              <w:t>3</w:t>
            </w:r>
          </w:p>
        </w:tc>
        <w:tc>
          <w:tcPr>
            <w:tcW w:w="0" w:type="auto"/>
            <w:shd w:val="clear" w:color="D9E1F2" w:fill="D9E1F2"/>
            <w:noWrap/>
            <w:vAlign w:val="center"/>
            <w:hideMark/>
          </w:tcPr>
          <w:p w14:paraId="19C1AE1A" w14:textId="77777777" w:rsidR="00275B57" w:rsidRPr="0049452F" w:rsidRDefault="00275B57" w:rsidP="00BC4031">
            <w:pPr>
              <w:spacing w:after="0" w:line="240" w:lineRule="auto"/>
              <w:jc w:val="center"/>
              <w:rPr>
                <w:rFonts w:cs="Times New Roman"/>
                <w:szCs w:val="24"/>
              </w:rPr>
            </w:pPr>
            <w:r w:rsidRPr="0049452F">
              <w:rPr>
                <w:rFonts w:cs="Times New Roman"/>
                <w:szCs w:val="24"/>
              </w:rPr>
              <w:t>93%</w:t>
            </w:r>
          </w:p>
        </w:tc>
        <w:tc>
          <w:tcPr>
            <w:tcW w:w="0" w:type="auto"/>
            <w:shd w:val="clear" w:color="D9E1F2" w:fill="D9E1F2"/>
            <w:noWrap/>
            <w:vAlign w:val="center"/>
            <w:hideMark/>
          </w:tcPr>
          <w:p w14:paraId="3640D48B" w14:textId="77777777" w:rsidR="00275B57" w:rsidRPr="0049452F" w:rsidRDefault="00275B57" w:rsidP="00BC4031">
            <w:pPr>
              <w:spacing w:after="0" w:line="240" w:lineRule="auto"/>
              <w:jc w:val="center"/>
              <w:rPr>
                <w:rFonts w:cs="Times New Roman"/>
                <w:szCs w:val="24"/>
              </w:rPr>
            </w:pPr>
            <w:r w:rsidRPr="0049452F">
              <w:rPr>
                <w:rFonts w:cs="Times New Roman"/>
                <w:szCs w:val="24"/>
              </w:rPr>
              <w:t>84%</w:t>
            </w:r>
          </w:p>
        </w:tc>
        <w:tc>
          <w:tcPr>
            <w:tcW w:w="0" w:type="auto"/>
            <w:shd w:val="clear" w:color="000000" w:fill="FFCC99"/>
            <w:noWrap/>
            <w:vAlign w:val="center"/>
            <w:hideMark/>
          </w:tcPr>
          <w:p w14:paraId="70269BB4" w14:textId="77777777" w:rsidR="00275B57" w:rsidRPr="0098697F" w:rsidRDefault="00275B57" w:rsidP="00BC4031">
            <w:pPr>
              <w:spacing w:after="0" w:line="240" w:lineRule="auto"/>
              <w:jc w:val="center"/>
              <w:rPr>
                <w:rFonts w:cs="Times New Roman"/>
                <w:szCs w:val="24"/>
              </w:rPr>
            </w:pPr>
            <w:r w:rsidRPr="0098697F">
              <w:rPr>
                <w:rFonts w:cs="Times New Roman"/>
                <w:szCs w:val="24"/>
              </w:rPr>
              <w:t>0.9630</w:t>
            </w:r>
          </w:p>
        </w:tc>
        <w:tc>
          <w:tcPr>
            <w:tcW w:w="0" w:type="auto"/>
            <w:shd w:val="clear" w:color="000000" w:fill="FFCC99"/>
            <w:noWrap/>
            <w:vAlign w:val="center"/>
            <w:hideMark/>
          </w:tcPr>
          <w:p w14:paraId="143045F9" w14:textId="77777777" w:rsidR="00275B57" w:rsidRPr="0098697F" w:rsidRDefault="00275B57" w:rsidP="00BC4031">
            <w:pPr>
              <w:spacing w:after="0" w:line="240" w:lineRule="auto"/>
              <w:jc w:val="center"/>
              <w:rPr>
                <w:rFonts w:cs="Times New Roman"/>
                <w:szCs w:val="24"/>
              </w:rPr>
            </w:pPr>
            <w:r w:rsidRPr="0098697F">
              <w:rPr>
                <w:rFonts w:cs="Times New Roman"/>
                <w:szCs w:val="24"/>
              </w:rPr>
              <w:t>14,552</w:t>
            </w:r>
          </w:p>
        </w:tc>
        <w:tc>
          <w:tcPr>
            <w:tcW w:w="0" w:type="auto"/>
            <w:shd w:val="clear" w:color="D9E1F2" w:fill="D9E1F2"/>
            <w:noWrap/>
            <w:vAlign w:val="center"/>
            <w:hideMark/>
          </w:tcPr>
          <w:p w14:paraId="1AF9256B"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14,013</w:t>
            </w:r>
          </w:p>
        </w:tc>
        <w:tc>
          <w:tcPr>
            <w:tcW w:w="0" w:type="auto"/>
            <w:shd w:val="clear" w:color="D9E1F2" w:fill="D9E1F2"/>
            <w:noWrap/>
            <w:vAlign w:val="center"/>
            <w:hideMark/>
          </w:tcPr>
          <w:p w14:paraId="631D4A0B"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9%</w:t>
            </w:r>
          </w:p>
        </w:tc>
        <w:tc>
          <w:tcPr>
            <w:tcW w:w="0" w:type="auto"/>
            <w:shd w:val="clear" w:color="000000" w:fill="F2F2F2"/>
            <w:noWrap/>
            <w:vAlign w:val="center"/>
            <w:hideMark/>
          </w:tcPr>
          <w:p w14:paraId="75AE6F78"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8%</w:t>
            </w:r>
          </w:p>
        </w:tc>
        <w:tc>
          <w:tcPr>
            <w:tcW w:w="1017" w:type="dxa"/>
            <w:shd w:val="clear" w:color="000000" w:fill="F2F2F2"/>
            <w:noWrap/>
            <w:vAlign w:val="center"/>
            <w:hideMark/>
          </w:tcPr>
          <w:p w14:paraId="3FF748E1"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8%</w:t>
            </w:r>
          </w:p>
        </w:tc>
      </w:tr>
      <w:tr w:rsidR="00275B57" w14:paraId="7845E65D" w14:textId="77777777" w:rsidTr="004C5067">
        <w:trPr>
          <w:trHeight w:val="167"/>
        </w:trPr>
        <w:tc>
          <w:tcPr>
            <w:tcW w:w="0" w:type="auto"/>
            <w:noWrap/>
            <w:vAlign w:val="center"/>
            <w:hideMark/>
          </w:tcPr>
          <w:p w14:paraId="62A759AE" w14:textId="77777777" w:rsidR="00275B57" w:rsidRPr="00484405" w:rsidRDefault="00275B57" w:rsidP="00BC4031">
            <w:pPr>
              <w:spacing w:after="0" w:line="240" w:lineRule="auto"/>
              <w:rPr>
                <w:rFonts w:cs="Times New Roman"/>
                <w:szCs w:val="24"/>
              </w:rPr>
            </w:pPr>
            <w:r w:rsidRPr="00484405">
              <w:rPr>
                <w:rFonts w:cs="Times New Roman"/>
                <w:szCs w:val="24"/>
              </w:rPr>
              <w:t>4</w:t>
            </w:r>
          </w:p>
        </w:tc>
        <w:tc>
          <w:tcPr>
            <w:tcW w:w="0" w:type="auto"/>
            <w:noWrap/>
            <w:vAlign w:val="center"/>
            <w:hideMark/>
          </w:tcPr>
          <w:p w14:paraId="2DCD4118" w14:textId="77777777" w:rsidR="00275B57" w:rsidRPr="0049452F" w:rsidRDefault="00275B57" w:rsidP="00BC4031">
            <w:pPr>
              <w:spacing w:after="0" w:line="240" w:lineRule="auto"/>
              <w:jc w:val="center"/>
              <w:rPr>
                <w:rFonts w:cs="Times New Roman"/>
                <w:szCs w:val="24"/>
              </w:rPr>
            </w:pPr>
            <w:r w:rsidRPr="0049452F">
              <w:rPr>
                <w:rFonts w:cs="Times New Roman"/>
                <w:szCs w:val="24"/>
              </w:rPr>
              <w:t>90%</w:t>
            </w:r>
          </w:p>
        </w:tc>
        <w:tc>
          <w:tcPr>
            <w:tcW w:w="0" w:type="auto"/>
            <w:noWrap/>
            <w:vAlign w:val="center"/>
            <w:hideMark/>
          </w:tcPr>
          <w:p w14:paraId="36471242" w14:textId="77777777" w:rsidR="00275B57" w:rsidRPr="0049452F" w:rsidRDefault="00275B57" w:rsidP="00BC4031">
            <w:pPr>
              <w:spacing w:after="0" w:line="240" w:lineRule="auto"/>
              <w:jc w:val="center"/>
              <w:rPr>
                <w:rFonts w:cs="Times New Roman"/>
                <w:szCs w:val="24"/>
              </w:rPr>
            </w:pPr>
            <w:r w:rsidRPr="0049452F">
              <w:rPr>
                <w:rFonts w:cs="Times New Roman"/>
                <w:szCs w:val="24"/>
              </w:rPr>
              <w:t>79%</w:t>
            </w:r>
          </w:p>
        </w:tc>
        <w:tc>
          <w:tcPr>
            <w:tcW w:w="0" w:type="auto"/>
            <w:shd w:val="clear" w:color="000000" w:fill="FFCC99"/>
            <w:noWrap/>
            <w:vAlign w:val="center"/>
            <w:hideMark/>
          </w:tcPr>
          <w:p w14:paraId="5F942DF7" w14:textId="77777777" w:rsidR="00275B57" w:rsidRPr="0098697F" w:rsidRDefault="00275B57" w:rsidP="00BC4031">
            <w:pPr>
              <w:spacing w:after="0" w:line="240" w:lineRule="auto"/>
              <w:jc w:val="center"/>
              <w:rPr>
                <w:rFonts w:cs="Times New Roman"/>
                <w:szCs w:val="24"/>
              </w:rPr>
            </w:pPr>
            <w:r w:rsidRPr="0098697F">
              <w:rPr>
                <w:rFonts w:cs="Times New Roman"/>
                <w:szCs w:val="24"/>
              </w:rPr>
              <w:t>0.9428</w:t>
            </w:r>
          </w:p>
        </w:tc>
        <w:tc>
          <w:tcPr>
            <w:tcW w:w="0" w:type="auto"/>
            <w:shd w:val="clear" w:color="000000" w:fill="FFCC99"/>
            <w:noWrap/>
            <w:vAlign w:val="center"/>
            <w:hideMark/>
          </w:tcPr>
          <w:p w14:paraId="52B43B37" w14:textId="77777777" w:rsidR="00275B57" w:rsidRPr="0098697F" w:rsidRDefault="00275B57" w:rsidP="00BC4031">
            <w:pPr>
              <w:spacing w:after="0" w:line="240" w:lineRule="auto"/>
              <w:jc w:val="center"/>
              <w:rPr>
                <w:rFonts w:cs="Times New Roman"/>
                <w:szCs w:val="24"/>
              </w:rPr>
            </w:pPr>
            <w:r w:rsidRPr="0098697F">
              <w:rPr>
                <w:rFonts w:cs="Times New Roman"/>
                <w:szCs w:val="24"/>
              </w:rPr>
              <w:t>14,279</w:t>
            </w:r>
          </w:p>
        </w:tc>
        <w:tc>
          <w:tcPr>
            <w:tcW w:w="0" w:type="auto"/>
            <w:noWrap/>
            <w:vAlign w:val="center"/>
            <w:hideMark/>
          </w:tcPr>
          <w:p w14:paraId="675088B1"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13,461</w:t>
            </w:r>
          </w:p>
        </w:tc>
        <w:tc>
          <w:tcPr>
            <w:tcW w:w="0" w:type="auto"/>
            <w:noWrap/>
            <w:vAlign w:val="center"/>
            <w:hideMark/>
          </w:tcPr>
          <w:p w14:paraId="1798D4BB"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9%</w:t>
            </w:r>
          </w:p>
        </w:tc>
        <w:tc>
          <w:tcPr>
            <w:tcW w:w="0" w:type="auto"/>
            <w:shd w:val="clear" w:color="000000" w:fill="F2F2F2"/>
            <w:noWrap/>
            <w:vAlign w:val="center"/>
            <w:hideMark/>
          </w:tcPr>
          <w:p w14:paraId="5D25C906"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8%</w:t>
            </w:r>
          </w:p>
        </w:tc>
        <w:tc>
          <w:tcPr>
            <w:tcW w:w="1017" w:type="dxa"/>
            <w:shd w:val="clear" w:color="000000" w:fill="F2F2F2"/>
            <w:noWrap/>
            <w:vAlign w:val="center"/>
            <w:hideMark/>
          </w:tcPr>
          <w:p w14:paraId="0D9DC2C6"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7%</w:t>
            </w:r>
          </w:p>
        </w:tc>
      </w:tr>
      <w:tr w:rsidR="00275B57" w14:paraId="330677D2" w14:textId="77777777" w:rsidTr="004C5067">
        <w:trPr>
          <w:trHeight w:val="167"/>
        </w:trPr>
        <w:tc>
          <w:tcPr>
            <w:tcW w:w="0" w:type="auto"/>
            <w:shd w:val="clear" w:color="D9E1F2" w:fill="D9E1F2"/>
            <w:noWrap/>
            <w:vAlign w:val="center"/>
            <w:hideMark/>
          </w:tcPr>
          <w:p w14:paraId="2CA38615" w14:textId="77777777" w:rsidR="00275B57" w:rsidRPr="00484405" w:rsidRDefault="00275B57" w:rsidP="00BC4031">
            <w:pPr>
              <w:spacing w:after="0" w:line="240" w:lineRule="auto"/>
              <w:rPr>
                <w:rFonts w:cs="Times New Roman"/>
                <w:szCs w:val="24"/>
              </w:rPr>
            </w:pPr>
            <w:r w:rsidRPr="00484405">
              <w:rPr>
                <w:rFonts w:cs="Times New Roman"/>
                <w:szCs w:val="24"/>
              </w:rPr>
              <w:t>5</w:t>
            </w:r>
          </w:p>
        </w:tc>
        <w:tc>
          <w:tcPr>
            <w:tcW w:w="0" w:type="auto"/>
            <w:shd w:val="clear" w:color="D9E1F2" w:fill="D9E1F2"/>
            <w:noWrap/>
            <w:vAlign w:val="center"/>
            <w:hideMark/>
          </w:tcPr>
          <w:p w14:paraId="0CB0CD96" w14:textId="77777777" w:rsidR="00275B57" w:rsidRPr="0049452F" w:rsidRDefault="00275B57" w:rsidP="00BC4031">
            <w:pPr>
              <w:spacing w:after="0" w:line="240" w:lineRule="auto"/>
              <w:jc w:val="center"/>
              <w:rPr>
                <w:rFonts w:cs="Times New Roman"/>
                <w:szCs w:val="24"/>
              </w:rPr>
            </w:pPr>
            <w:r w:rsidRPr="0049452F">
              <w:rPr>
                <w:rFonts w:cs="Times New Roman"/>
                <w:szCs w:val="24"/>
              </w:rPr>
              <w:t>88%</w:t>
            </w:r>
          </w:p>
        </w:tc>
        <w:tc>
          <w:tcPr>
            <w:tcW w:w="0" w:type="auto"/>
            <w:shd w:val="clear" w:color="D9E1F2" w:fill="D9E1F2"/>
            <w:noWrap/>
            <w:vAlign w:val="center"/>
            <w:hideMark/>
          </w:tcPr>
          <w:p w14:paraId="75CB9954" w14:textId="77777777" w:rsidR="00275B57" w:rsidRPr="0049452F" w:rsidRDefault="00275B57" w:rsidP="00BC4031">
            <w:pPr>
              <w:spacing w:after="0" w:line="240" w:lineRule="auto"/>
              <w:jc w:val="center"/>
              <w:rPr>
                <w:rFonts w:cs="Times New Roman"/>
                <w:szCs w:val="24"/>
              </w:rPr>
            </w:pPr>
            <w:r w:rsidRPr="0049452F">
              <w:rPr>
                <w:rFonts w:cs="Times New Roman"/>
                <w:szCs w:val="24"/>
              </w:rPr>
              <w:t>74%</w:t>
            </w:r>
          </w:p>
        </w:tc>
        <w:tc>
          <w:tcPr>
            <w:tcW w:w="0" w:type="auto"/>
            <w:shd w:val="clear" w:color="000000" w:fill="FFCC99"/>
            <w:noWrap/>
            <w:vAlign w:val="center"/>
            <w:hideMark/>
          </w:tcPr>
          <w:p w14:paraId="1EC6214E" w14:textId="77777777" w:rsidR="00275B57" w:rsidRPr="0098697F" w:rsidRDefault="00275B57" w:rsidP="00BC4031">
            <w:pPr>
              <w:spacing w:after="0" w:line="240" w:lineRule="auto"/>
              <w:jc w:val="center"/>
              <w:rPr>
                <w:rFonts w:cs="Times New Roman"/>
                <w:szCs w:val="24"/>
              </w:rPr>
            </w:pPr>
            <w:r w:rsidRPr="0098697F">
              <w:rPr>
                <w:rFonts w:cs="Times New Roman"/>
                <w:szCs w:val="24"/>
              </w:rPr>
              <w:t>0.9311</w:t>
            </w:r>
          </w:p>
        </w:tc>
        <w:tc>
          <w:tcPr>
            <w:tcW w:w="0" w:type="auto"/>
            <w:shd w:val="clear" w:color="000000" w:fill="FFCC99"/>
            <w:noWrap/>
            <w:vAlign w:val="center"/>
            <w:hideMark/>
          </w:tcPr>
          <w:p w14:paraId="31F8757E" w14:textId="77777777" w:rsidR="00275B57" w:rsidRPr="0098697F" w:rsidRDefault="00275B57" w:rsidP="00BC4031">
            <w:pPr>
              <w:spacing w:after="0" w:line="240" w:lineRule="auto"/>
              <w:jc w:val="center"/>
              <w:rPr>
                <w:rFonts w:cs="Times New Roman"/>
                <w:szCs w:val="24"/>
              </w:rPr>
            </w:pPr>
            <w:r w:rsidRPr="0098697F">
              <w:rPr>
                <w:rFonts w:cs="Times New Roman"/>
                <w:szCs w:val="24"/>
              </w:rPr>
              <w:t>13,783</w:t>
            </w:r>
          </w:p>
        </w:tc>
        <w:tc>
          <w:tcPr>
            <w:tcW w:w="0" w:type="auto"/>
            <w:shd w:val="clear" w:color="D9E1F2" w:fill="D9E1F2"/>
            <w:noWrap/>
            <w:vAlign w:val="center"/>
            <w:hideMark/>
          </w:tcPr>
          <w:p w14:paraId="23C0398B"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12,833</w:t>
            </w:r>
          </w:p>
        </w:tc>
        <w:tc>
          <w:tcPr>
            <w:tcW w:w="0" w:type="auto"/>
            <w:shd w:val="clear" w:color="D9E1F2" w:fill="D9E1F2"/>
            <w:noWrap/>
            <w:vAlign w:val="center"/>
            <w:hideMark/>
          </w:tcPr>
          <w:p w14:paraId="206C4A03"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8%</w:t>
            </w:r>
          </w:p>
        </w:tc>
        <w:tc>
          <w:tcPr>
            <w:tcW w:w="0" w:type="auto"/>
            <w:shd w:val="clear" w:color="000000" w:fill="F2F2F2"/>
            <w:noWrap/>
            <w:vAlign w:val="center"/>
            <w:hideMark/>
          </w:tcPr>
          <w:p w14:paraId="756017A0"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7%</w:t>
            </w:r>
          </w:p>
        </w:tc>
        <w:tc>
          <w:tcPr>
            <w:tcW w:w="1017" w:type="dxa"/>
            <w:shd w:val="clear" w:color="000000" w:fill="F2F2F2"/>
            <w:noWrap/>
            <w:vAlign w:val="center"/>
            <w:hideMark/>
          </w:tcPr>
          <w:p w14:paraId="02773A5B"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6%</w:t>
            </w:r>
          </w:p>
        </w:tc>
      </w:tr>
      <w:tr w:rsidR="00275B57" w14:paraId="39098CD3" w14:textId="77777777" w:rsidTr="004C5067">
        <w:trPr>
          <w:trHeight w:val="167"/>
        </w:trPr>
        <w:tc>
          <w:tcPr>
            <w:tcW w:w="0" w:type="auto"/>
            <w:noWrap/>
            <w:vAlign w:val="center"/>
            <w:hideMark/>
          </w:tcPr>
          <w:p w14:paraId="1A2F8710" w14:textId="77777777" w:rsidR="00275B57" w:rsidRPr="00484405" w:rsidRDefault="00275B57" w:rsidP="00BC4031">
            <w:pPr>
              <w:spacing w:after="0" w:line="240" w:lineRule="auto"/>
              <w:rPr>
                <w:rFonts w:cs="Times New Roman"/>
                <w:szCs w:val="24"/>
              </w:rPr>
            </w:pPr>
            <w:r w:rsidRPr="00484405">
              <w:rPr>
                <w:rFonts w:cs="Times New Roman"/>
                <w:szCs w:val="24"/>
              </w:rPr>
              <w:t>6</w:t>
            </w:r>
          </w:p>
        </w:tc>
        <w:tc>
          <w:tcPr>
            <w:tcW w:w="0" w:type="auto"/>
            <w:noWrap/>
            <w:vAlign w:val="center"/>
            <w:hideMark/>
          </w:tcPr>
          <w:p w14:paraId="1025AFF1" w14:textId="77777777" w:rsidR="00275B57" w:rsidRPr="0049452F" w:rsidRDefault="00275B57" w:rsidP="00BC4031">
            <w:pPr>
              <w:spacing w:after="0" w:line="240" w:lineRule="auto"/>
              <w:jc w:val="center"/>
              <w:rPr>
                <w:rFonts w:cs="Times New Roman"/>
                <w:szCs w:val="24"/>
              </w:rPr>
            </w:pPr>
            <w:r w:rsidRPr="0049452F">
              <w:rPr>
                <w:rFonts w:cs="Times New Roman"/>
                <w:szCs w:val="24"/>
              </w:rPr>
              <w:t>85%</w:t>
            </w:r>
          </w:p>
        </w:tc>
        <w:tc>
          <w:tcPr>
            <w:tcW w:w="0" w:type="auto"/>
            <w:noWrap/>
            <w:vAlign w:val="center"/>
            <w:hideMark/>
          </w:tcPr>
          <w:p w14:paraId="10DB6142" w14:textId="77777777" w:rsidR="00275B57" w:rsidRPr="0049452F" w:rsidRDefault="00275B57" w:rsidP="00BC4031">
            <w:pPr>
              <w:spacing w:after="0" w:line="240" w:lineRule="auto"/>
              <w:jc w:val="center"/>
              <w:rPr>
                <w:rFonts w:cs="Times New Roman"/>
                <w:szCs w:val="24"/>
              </w:rPr>
            </w:pPr>
            <w:r w:rsidRPr="0049452F">
              <w:rPr>
                <w:rFonts w:cs="Times New Roman"/>
                <w:szCs w:val="24"/>
              </w:rPr>
              <w:t>69%</w:t>
            </w:r>
          </w:p>
        </w:tc>
        <w:tc>
          <w:tcPr>
            <w:tcW w:w="0" w:type="auto"/>
            <w:shd w:val="clear" w:color="000000" w:fill="FFCC99"/>
            <w:noWrap/>
            <w:vAlign w:val="center"/>
            <w:hideMark/>
          </w:tcPr>
          <w:p w14:paraId="4B2ED700" w14:textId="77777777" w:rsidR="00275B57" w:rsidRPr="0098697F" w:rsidRDefault="00275B57" w:rsidP="00BC4031">
            <w:pPr>
              <w:spacing w:after="0" w:line="240" w:lineRule="auto"/>
              <w:jc w:val="center"/>
              <w:rPr>
                <w:rFonts w:cs="Times New Roman"/>
                <w:szCs w:val="24"/>
              </w:rPr>
            </w:pPr>
            <w:r w:rsidRPr="0098697F">
              <w:rPr>
                <w:rFonts w:cs="Times New Roman"/>
                <w:szCs w:val="24"/>
              </w:rPr>
              <w:t>0.9152</w:t>
            </w:r>
          </w:p>
        </w:tc>
        <w:tc>
          <w:tcPr>
            <w:tcW w:w="0" w:type="auto"/>
            <w:shd w:val="clear" w:color="000000" w:fill="FFCC99"/>
            <w:noWrap/>
            <w:vAlign w:val="center"/>
            <w:hideMark/>
          </w:tcPr>
          <w:p w14:paraId="5EFAF36A" w14:textId="77777777" w:rsidR="00275B57" w:rsidRPr="0098697F" w:rsidRDefault="00275B57" w:rsidP="00BC4031">
            <w:pPr>
              <w:spacing w:after="0" w:line="240" w:lineRule="auto"/>
              <w:jc w:val="center"/>
              <w:rPr>
                <w:rFonts w:cs="Times New Roman"/>
                <w:szCs w:val="24"/>
              </w:rPr>
            </w:pPr>
            <w:r w:rsidRPr="0098697F">
              <w:rPr>
                <w:rFonts w:cs="Times New Roman"/>
                <w:szCs w:val="24"/>
              </w:rPr>
              <w:t>13,039</w:t>
            </w:r>
          </w:p>
        </w:tc>
        <w:tc>
          <w:tcPr>
            <w:tcW w:w="0" w:type="auto"/>
            <w:noWrap/>
            <w:vAlign w:val="center"/>
            <w:hideMark/>
          </w:tcPr>
          <w:p w14:paraId="5C59103C"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11,933</w:t>
            </w:r>
          </w:p>
        </w:tc>
        <w:tc>
          <w:tcPr>
            <w:tcW w:w="0" w:type="auto"/>
            <w:noWrap/>
            <w:vAlign w:val="center"/>
            <w:hideMark/>
          </w:tcPr>
          <w:p w14:paraId="5FD0A8C2"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8%</w:t>
            </w:r>
          </w:p>
        </w:tc>
        <w:tc>
          <w:tcPr>
            <w:tcW w:w="0" w:type="auto"/>
            <w:shd w:val="clear" w:color="000000" w:fill="F2F2F2"/>
            <w:noWrap/>
            <w:vAlign w:val="center"/>
            <w:hideMark/>
          </w:tcPr>
          <w:p w14:paraId="62E707F2"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6%</w:t>
            </w:r>
          </w:p>
        </w:tc>
        <w:tc>
          <w:tcPr>
            <w:tcW w:w="1017" w:type="dxa"/>
            <w:shd w:val="clear" w:color="000000" w:fill="F2F2F2"/>
            <w:noWrap/>
            <w:vAlign w:val="center"/>
            <w:hideMark/>
          </w:tcPr>
          <w:p w14:paraId="5428B737"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5%</w:t>
            </w:r>
          </w:p>
        </w:tc>
      </w:tr>
      <w:tr w:rsidR="00275B57" w14:paraId="28289E23" w14:textId="77777777" w:rsidTr="004C5067">
        <w:trPr>
          <w:trHeight w:val="167"/>
        </w:trPr>
        <w:tc>
          <w:tcPr>
            <w:tcW w:w="0" w:type="auto"/>
            <w:shd w:val="clear" w:color="D9E1F2" w:fill="D9E1F2"/>
            <w:noWrap/>
            <w:vAlign w:val="center"/>
            <w:hideMark/>
          </w:tcPr>
          <w:p w14:paraId="3E6C5E4F" w14:textId="77777777" w:rsidR="00275B57" w:rsidRPr="00484405" w:rsidRDefault="00275B57" w:rsidP="00BC4031">
            <w:pPr>
              <w:spacing w:after="0" w:line="240" w:lineRule="auto"/>
              <w:rPr>
                <w:rFonts w:cs="Times New Roman"/>
                <w:szCs w:val="24"/>
              </w:rPr>
            </w:pPr>
            <w:r w:rsidRPr="00484405">
              <w:rPr>
                <w:rFonts w:cs="Times New Roman"/>
                <w:szCs w:val="24"/>
              </w:rPr>
              <w:t>7</w:t>
            </w:r>
          </w:p>
        </w:tc>
        <w:tc>
          <w:tcPr>
            <w:tcW w:w="0" w:type="auto"/>
            <w:shd w:val="clear" w:color="D9E1F2" w:fill="D9E1F2"/>
            <w:noWrap/>
            <w:vAlign w:val="center"/>
            <w:hideMark/>
          </w:tcPr>
          <w:p w14:paraId="414E197B" w14:textId="77777777" w:rsidR="00275B57" w:rsidRPr="0049452F" w:rsidRDefault="00275B57" w:rsidP="00BC4031">
            <w:pPr>
              <w:spacing w:after="0" w:line="240" w:lineRule="auto"/>
              <w:jc w:val="center"/>
              <w:rPr>
                <w:rFonts w:cs="Times New Roman"/>
                <w:szCs w:val="24"/>
              </w:rPr>
            </w:pPr>
            <w:r w:rsidRPr="0049452F">
              <w:rPr>
                <w:rFonts w:cs="Times New Roman"/>
                <w:szCs w:val="24"/>
              </w:rPr>
              <w:t>83%</w:t>
            </w:r>
          </w:p>
        </w:tc>
        <w:tc>
          <w:tcPr>
            <w:tcW w:w="0" w:type="auto"/>
            <w:shd w:val="clear" w:color="D9E1F2" w:fill="D9E1F2"/>
            <w:noWrap/>
            <w:vAlign w:val="center"/>
            <w:hideMark/>
          </w:tcPr>
          <w:p w14:paraId="6C345C9F" w14:textId="77777777" w:rsidR="00275B57" w:rsidRPr="0049452F" w:rsidRDefault="00275B57" w:rsidP="00BC4031">
            <w:pPr>
              <w:spacing w:after="0" w:line="240" w:lineRule="auto"/>
              <w:jc w:val="center"/>
              <w:rPr>
                <w:rFonts w:cs="Times New Roman"/>
                <w:szCs w:val="24"/>
              </w:rPr>
            </w:pPr>
            <w:r w:rsidRPr="0049452F">
              <w:rPr>
                <w:rFonts w:cs="Times New Roman"/>
                <w:szCs w:val="24"/>
              </w:rPr>
              <w:t>64%</w:t>
            </w:r>
          </w:p>
        </w:tc>
        <w:tc>
          <w:tcPr>
            <w:tcW w:w="0" w:type="auto"/>
            <w:shd w:val="clear" w:color="000000" w:fill="FFCC99"/>
            <w:noWrap/>
            <w:vAlign w:val="center"/>
            <w:hideMark/>
          </w:tcPr>
          <w:p w14:paraId="2FD230E8" w14:textId="77777777" w:rsidR="00275B57" w:rsidRPr="0098697F" w:rsidRDefault="00275B57" w:rsidP="00BC4031">
            <w:pPr>
              <w:spacing w:after="0" w:line="240" w:lineRule="auto"/>
              <w:jc w:val="center"/>
              <w:rPr>
                <w:rFonts w:cs="Times New Roman"/>
                <w:szCs w:val="24"/>
              </w:rPr>
            </w:pPr>
            <w:r w:rsidRPr="0098697F">
              <w:rPr>
                <w:rFonts w:cs="Times New Roman"/>
                <w:szCs w:val="24"/>
              </w:rPr>
              <w:t>0.8933</w:t>
            </w:r>
          </w:p>
        </w:tc>
        <w:tc>
          <w:tcPr>
            <w:tcW w:w="0" w:type="auto"/>
            <w:shd w:val="clear" w:color="000000" w:fill="FFCC99"/>
            <w:noWrap/>
            <w:vAlign w:val="center"/>
            <w:hideMark/>
          </w:tcPr>
          <w:p w14:paraId="2DAAF28C" w14:textId="77777777" w:rsidR="00275B57" w:rsidRPr="0098697F" w:rsidRDefault="00275B57" w:rsidP="00BC4031">
            <w:pPr>
              <w:spacing w:after="0" w:line="240" w:lineRule="auto"/>
              <w:jc w:val="center"/>
              <w:rPr>
                <w:rFonts w:cs="Times New Roman"/>
                <w:szCs w:val="24"/>
              </w:rPr>
            </w:pPr>
            <w:r w:rsidRPr="0098697F">
              <w:rPr>
                <w:rFonts w:cs="Times New Roman"/>
                <w:szCs w:val="24"/>
              </w:rPr>
              <w:t>12,103</w:t>
            </w:r>
          </w:p>
        </w:tc>
        <w:tc>
          <w:tcPr>
            <w:tcW w:w="0" w:type="auto"/>
            <w:shd w:val="clear" w:color="D9E1F2" w:fill="D9E1F2"/>
            <w:noWrap/>
            <w:vAlign w:val="center"/>
            <w:hideMark/>
          </w:tcPr>
          <w:p w14:paraId="1227BC87"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10,811</w:t>
            </w:r>
          </w:p>
        </w:tc>
        <w:tc>
          <w:tcPr>
            <w:tcW w:w="0" w:type="auto"/>
            <w:shd w:val="clear" w:color="D9E1F2" w:fill="D9E1F2"/>
            <w:noWrap/>
            <w:vAlign w:val="center"/>
            <w:hideMark/>
          </w:tcPr>
          <w:p w14:paraId="19784E74"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7%</w:t>
            </w:r>
          </w:p>
        </w:tc>
        <w:tc>
          <w:tcPr>
            <w:tcW w:w="0" w:type="auto"/>
            <w:shd w:val="clear" w:color="000000" w:fill="F2F2F2"/>
            <w:noWrap/>
            <w:vAlign w:val="center"/>
            <w:hideMark/>
          </w:tcPr>
          <w:p w14:paraId="37666F97"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6%</w:t>
            </w:r>
          </w:p>
        </w:tc>
        <w:tc>
          <w:tcPr>
            <w:tcW w:w="1017" w:type="dxa"/>
            <w:shd w:val="clear" w:color="000000" w:fill="F2F2F2"/>
            <w:noWrap/>
            <w:vAlign w:val="center"/>
            <w:hideMark/>
          </w:tcPr>
          <w:p w14:paraId="6FD3B737"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4%</w:t>
            </w:r>
          </w:p>
        </w:tc>
      </w:tr>
      <w:tr w:rsidR="00275B57" w14:paraId="33231A32" w14:textId="77777777" w:rsidTr="004C5067">
        <w:trPr>
          <w:trHeight w:val="167"/>
        </w:trPr>
        <w:tc>
          <w:tcPr>
            <w:tcW w:w="0" w:type="auto"/>
            <w:noWrap/>
            <w:vAlign w:val="center"/>
            <w:hideMark/>
          </w:tcPr>
          <w:p w14:paraId="39476095" w14:textId="77777777" w:rsidR="00275B57" w:rsidRPr="00484405" w:rsidRDefault="00275B57" w:rsidP="00BC4031">
            <w:pPr>
              <w:spacing w:after="0" w:line="240" w:lineRule="auto"/>
              <w:rPr>
                <w:rFonts w:cs="Times New Roman"/>
                <w:szCs w:val="24"/>
              </w:rPr>
            </w:pPr>
            <w:r w:rsidRPr="00484405">
              <w:rPr>
                <w:rFonts w:cs="Times New Roman"/>
                <w:szCs w:val="24"/>
              </w:rPr>
              <w:t>8</w:t>
            </w:r>
          </w:p>
        </w:tc>
        <w:tc>
          <w:tcPr>
            <w:tcW w:w="0" w:type="auto"/>
            <w:noWrap/>
            <w:vAlign w:val="center"/>
            <w:hideMark/>
          </w:tcPr>
          <w:p w14:paraId="7B524C19" w14:textId="77777777" w:rsidR="00275B57" w:rsidRPr="0049452F" w:rsidRDefault="00275B57" w:rsidP="00BC4031">
            <w:pPr>
              <w:spacing w:after="0" w:line="240" w:lineRule="auto"/>
              <w:jc w:val="center"/>
              <w:rPr>
                <w:rFonts w:cs="Times New Roman"/>
                <w:szCs w:val="24"/>
              </w:rPr>
            </w:pPr>
            <w:r w:rsidRPr="0049452F">
              <w:rPr>
                <w:rFonts w:cs="Times New Roman"/>
                <w:szCs w:val="24"/>
              </w:rPr>
              <w:t>80%</w:t>
            </w:r>
          </w:p>
        </w:tc>
        <w:tc>
          <w:tcPr>
            <w:tcW w:w="0" w:type="auto"/>
            <w:noWrap/>
            <w:vAlign w:val="center"/>
            <w:hideMark/>
          </w:tcPr>
          <w:p w14:paraId="1F3E5346" w14:textId="77777777" w:rsidR="00275B57" w:rsidRPr="0049452F" w:rsidRDefault="00275B57" w:rsidP="00BC4031">
            <w:pPr>
              <w:spacing w:after="0" w:line="240" w:lineRule="auto"/>
              <w:jc w:val="center"/>
              <w:rPr>
                <w:rFonts w:cs="Times New Roman"/>
                <w:szCs w:val="24"/>
              </w:rPr>
            </w:pPr>
            <w:r w:rsidRPr="0049452F">
              <w:rPr>
                <w:rFonts w:cs="Times New Roman"/>
                <w:szCs w:val="24"/>
              </w:rPr>
              <w:t>60%</w:t>
            </w:r>
          </w:p>
        </w:tc>
        <w:tc>
          <w:tcPr>
            <w:tcW w:w="0" w:type="auto"/>
            <w:shd w:val="clear" w:color="000000" w:fill="FFCC99"/>
            <w:noWrap/>
            <w:vAlign w:val="center"/>
            <w:hideMark/>
          </w:tcPr>
          <w:p w14:paraId="350D561C" w14:textId="77777777" w:rsidR="00275B57" w:rsidRPr="0098697F" w:rsidRDefault="00275B57" w:rsidP="00BC4031">
            <w:pPr>
              <w:spacing w:after="0" w:line="240" w:lineRule="auto"/>
              <w:jc w:val="center"/>
              <w:rPr>
                <w:rFonts w:cs="Times New Roman"/>
                <w:szCs w:val="24"/>
              </w:rPr>
            </w:pPr>
            <w:r w:rsidRPr="0098697F">
              <w:rPr>
                <w:rFonts w:cs="Times New Roman"/>
                <w:szCs w:val="24"/>
              </w:rPr>
              <w:t>0.8700</w:t>
            </w:r>
          </w:p>
        </w:tc>
        <w:tc>
          <w:tcPr>
            <w:tcW w:w="0" w:type="auto"/>
            <w:shd w:val="clear" w:color="000000" w:fill="FFCC99"/>
            <w:noWrap/>
            <w:vAlign w:val="center"/>
            <w:hideMark/>
          </w:tcPr>
          <w:p w14:paraId="5BAD340E" w14:textId="77777777" w:rsidR="00275B57" w:rsidRPr="0098697F" w:rsidRDefault="00275B57" w:rsidP="00BC4031">
            <w:pPr>
              <w:spacing w:after="0" w:line="240" w:lineRule="auto"/>
              <w:jc w:val="center"/>
              <w:rPr>
                <w:rFonts w:cs="Times New Roman"/>
                <w:szCs w:val="24"/>
              </w:rPr>
            </w:pPr>
            <w:r w:rsidRPr="0098697F">
              <w:rPr>
                <w:rFonts w:cs="Times New Roman"/>
                <w:szCs w:val="24"/>
              </w:rPr>
              <w:t>11,034</w:t>
            </w:r>
          </w:p>
        </w:tc>
        <w:tc>
          <w:tcPr>
            <w:tcW w:w="0" w:type="auto"/>
            <w:noWrap/>
            <w:vAlign w:val="center"/>
            <w:hideMark/>
          </w:tcPr>
          <w:p w14:paraId="1EB2ECA8"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9,600</w:t>
            </w:r>
          </w:p>
        </w:tc>
        <w:tc>
          <w:tcPr>
            <w:tcW w:w="0" w:type="auto"/>
            <w:noWrap/>
            <w:vAlign w:val="center"/>
            <w:hideMark/>
          </w:tcPr>
          <w:p w14:paraId="512DAE44"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6%</w:t>
            </w:r>
          </w:p>
        </w:tc>
        <w:tc>
          <w:tcPr>
            <w:tcW w:w="0" w:type="auto"/>
            <w:shd w:val="clear" w:color="000000" w:fill="F2F2F2"/>
            <w:noWrap/>
            <w:vAlign w:val="center"/>
            <w:hideMark/>
          </w:tcPr>
          <w:p w14:paraId="60833A3F"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5%</w:t>
            </w:r>
          </w:p>
        </w:tc>
        <w:tc>
          <w:tcPr>
            <w:tcW w:w="1017" w:type="dxa"/>
            <w:shd w:val="clear" w:color="000000" w:fill="F2F2F2"/>
            <w:noWrap/>
            <w:vAlign w:val="center"/>
            <w:hideMark/>
          </w:tcPr>
          <w:p w14:paraId="255E7109"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4%</w:t>
            </w:r>
          </w:p>
        </w:tc>
      </w:tr>
      <w:tr w:rsidR="00275B57" w14:paraId="220CC36B" w14:textId="77777777" w:rsidTr="004C5067">
        <w:trPr>
          <w:trHeight w:val="167"/>
        </w:trPr>
        <w:tc>
          <w:tcPr>
            <w:tcW w:w="0" w:type="auto"/>
            <w:shd w:val="clear" w:color="D9E1F2" w:fill="D9E1F2"/>
            <w:noWrap/>
            <w:vAlign w:val="center"/>
            <w:hideMark/>
          </w:tcPr>
          <w:p w14:paraId="64B0C548" w14:textId="77777777" w:rsidR="00275B57" w:rsidRPr="00484405" w:rsidRDefault="00275B57" w:rsidP="00BC4031">
            <w:pPr>
              <w:spacing w:after="0" w:line="240" w:lineRule="auto"/>
              <w:rPr>
                <w:rFonts w:cs="Times New Roman"/>
                <w:szCs w:val="24"/>
              </w:rPr>
            </w:pPr>
            <w:r w:rsidRPr="00484405">
              <w:rPr>
                <w:rFonts w:cs="Times New Roman"/>
                <w:szCs w:val="24"/>
              </w:rPr>
              <w:t>9</w:t>
            </w:r>
          </w:p>
        </w:tc>
        <w:tc>
          <w:tcPr>
            <w:tcW w:w="0" w:type="auto"/>
            <w:shd w:val="clear" w:color="D9E1F2" w:fill="D9E1F2"/>
            <w:noWrap/>
            <w:vAlign w:val="center"/>
            <w:hideMark/>
          </w:tcPr>
          <w:p w14:paraId="0230D58D" w14:textId="77777777" w:rsidR="00275B57" w:rsidRPr="0049452F" w:rsidRDefault="00275B57" w:rsidP="00BC4031">
            <w:pPr>
              <w:spacing w:after="0" w:line="240" w:lineRule="auto"/>
              <w:jc w:val="center"/>
              <w:rPr>
                <w:rFonts w:cs="Times New Roman"/>
                <w:szCs w:val="24"/>
              </w:rPr>
            </w:pPr>
            <w:r w:rsidRPr="0049452F">
              <w:rPr>
                <w:rFonts w:cs="Times New Roman"/>
                <w:szCs w:val="24"/>
              </w:rPr>
              <w:t>78%</w:t>
            </w:r>
          </w:p>
        </w:tc>
        <w:tc>
          <w:tcPr>
            <w:tcW w:w="0" w:type="auto"/>
            <w:shd w:val="clear" w:color="D9E1F2" w:fill="D9E1F2"/>
            <w:noWrap/>
            <w:vAlign w:val="center"/>
            <w:hideMark/>
          </w:tcPr>
          <w:p w14:paraId="267D38FF" w14:textId="77777777" w:rsidR="00275B57" w:rsidRPr="0049452F" w:rsidRDefault="00275B57" w:rsidP="00BC4031">
            <w:pPr>
              <w:spacing w:after="0" w:line="240" w:lineRule="auto"/>
              <w:jc w:val="center"/>
              <w:rPr>
                <w:rFonts w:cs="Times New Roman"/>
                <w:szCs w:val="24"/>
              </w:rPr>
            </w:pPr>
            <w:r w:rsidRPr="0049452F">
              <w:rPr>
                <w:rFonts w:cs="Times New Roman"/>
                <w:szCs w:val="24"/>
              </w:rPr>
              <w:t>56%</w:t>
            </w:r>
          </w:p>
        </w:tc>
        <w:tc>
          <w:tcPr>
            <w:tcW w:w="0" w:type="auto"/>
            <w:shd w:val="clear" w:color="000000" w:fill="FFCC99"/>
            <w:noWrap/>
            <w:vAlign w:val="center"/>
            <w:hideMark/>
          </w:tcPr>
          <w:p w14:paraId="2D006003" w14:textId="77777777" w:rsidR="00275B57" w:rsidRPr="0098697F" w:rsidRDefault="00275B57" w:rsidP="00BC4031">
            <w:pPr>
              <w:spacing w:after="0" w:line="240" w:lineRule="auto"/>
              <w:jc w:val="center"/>
              <w:rPr>
                <w:rFonts w:cs="Times New Roman"/>
                <w:szCs w:val="24"/>
              </w:rPr>
            </w:pPr>
            <w:r w:rsidRPr="0098697F">
              <w:rPr>
                <w:rFonts w:cs="Times New Roman"/>
                <w:szCs w:val="24"/>
              </w:rPr>
              <w:t>0.8411</w:t>
            </w:r>
          </w:p>
        </w:tc>
        <w:tc>
          <w:tcPr>
            <w:tcW w:w="0" w:type="auto"/>
            <w:shd w:val="clear" w:color="000000" w:fill="FFCC99"/>
            <w:noWrap/>
            <w:vAlign w:val="center"/>
            <w:hideMark/>
          </w:tcPr>
          <w:p w14:paraId="0270279D" w14:textId="77777777" w:rsidR="00275B57" w:rsidRPr="0098697F" w:rsidRDefault="00275B57" w:rsidP="00BC4031">
            <w:pPr>
              <w:spacing w:after="0" w:line="240" w:lineRule="auto"/>
              <w:jc w:val="center"/>
              <w:rPr>
                <w:rFonts w:cs="Times New Roman"/>
                <w:szCs w:val="24"/>
              </w:rPr>
            </w:pPr>
            <w:r w:rsidRPr="0098697F">
              <w:rPr>
                <w:rFonts w:cs="Times New Roman"/>
                <w:szCs w:val="24"/>
              </w:rPr>
              <w:t>9,891</w:t>
            </w:r>
          </w:p>
        </w:tc>
        <w:tc>
          <w:tcPr>
            <w:tcW w:w="0" w:type="auto"/>
            <w:shd w:val="clear" w:color="D9E1F2" w:fill="D9E1F2"/>
            <w:noWrap/>
            <w:vAlign w:val="center"/>
            <w:hideMark/>
          </w:tcPr>
          <w:p w14:paraId="23AC6151"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8,319</w:t>
            </w:r>
          </w:p>
        </w:tc>
        <w:tc>
          <w:tcPr>
            <w:tcW w:w="0" w:type="auto"/>
            <w:shd w:val="clear" w:color="D9E1F2" w:fill="D9E1F2"/>
            <w:noWrap/>
            <w:vAlign w:val="center"/>
            <w:hideMark/>
          </w:tcPr>
          <w:p w14:paraId="271E2B82"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5%</w:t>
            </w:r>
          </w:p>
        </w:tc>
        <w:tc>
          <w:tcPr>
            <w:tcW w:w="0" w:type="auto"/>
            <w:shd w:val="clear" w:color="000000" w:fill="F2F2F2"/>
            <w:noWrap/>
            <w:vAlign w:val="center"/>
            <w:hideMark/>
          </w:tcPr>
          <w:p w14:paraId="4B77E4DB"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4%</w:t>
            </w:r>
          </w:p>
        </w:tc>
        <w:tc>
          <w:tcPr>
            <w:tcW w:w="1017" w:type="dxa"/>
            <w:shd w:val="clear" w:color="000000" w:fill="F2F2F2"/>
            <w:noWrap/>
            <w:vAlign w:val="center"/>
            <w:hideMark/>
          </w:tcPr>
          <w:p w14:paraId="51937C1A"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3%</w:t>
            </w:r>
          </w:p>
        </w:tc>
      </w:tr>
      <w:tr w:rsidR="00275B57" w14:paraId="69977596" w14:textId="77777777" w:rsidTr="004C5067">
        <w:trPr>
          <w:trHeight w:val="167"/>
        </w:trPr>
        <w:tc>
          <w:tcPr>
            <w:tcW w:w="0" w:type="auto"/>
            <w:noWrap/>
            <w:vAlign w:val="center"/>
            <w:hideMark/>
          </w:tcPr>
          <w:p w14:paraId="5EB1AEC5" w14:textId="77777777" w:rsidR="00275B57" w:rsidRPr="00484405" w:rsidRDefault="00275B57" w:rsidP="00BC4031">
            <w:pPr>
              <w:spacing w:after="0" w:line="240" w:lineRule="auto"/>
              <w:rPr>
                <w:rFonts w:cs="Times New Roman"/>
                <w:szCs w:val="24"/>
              </w:rPr>
            </w:pPr>
            <w:r w:rsidRPr="00484405">
              <w:rPr>
                <w:rFonts w:cs="Times New Roman"/>
                <w:szCs w:val="24"/>
              </w:rPr>
              <w:t>10</w:t>
            </w:r>
          </w:p>
        </w:tc>
        <w:tc>
          <w:tcPr>
            <w:tcW w:w="0" w:type="auto"/>
            <w:noWrap/>
            <w:vAlign w:val="center"/>
            <w:hideMark/>
          </w:tcPr>
          <w:p w14:paraId="1E1C56BD" w14:textId="77777777" w:rsidR="00275B57" w:rsidRPr="0049452F" w:rsidRDefault="00275B57" w:rsidP="00BC4031">
            <w:pPr>
              <w:spacing w:after="0" w:line="240" w:lineRule="auto"/>
              <w:jc w:val="center"/>
              <w:rPr>
                <w:rFonts w:cs="Times New Roman"/>
                <w:szCs w:val="24"/>
              </w:rPr>
            </w:pPr>
            <w:r w:rsidRPr="0049452F">
              <w:rPr>
                <w:rFonts w:cs="Times New Roman"/>
                <w:szCs w:val="24"/>
              </w:rPr>
              <w:t>76%</w:t>
            </w:r>
          </w:p>
        </w:tc>
        <w:tc>
          <w:tcPr>
            <w:tcW w:w="0" w:type="auto"/>
            <w:noWrap/>
            <w:vAlign w:val="center"/>
            <w:hideMark/>
          </w:tcPr>
          <w:p w14:paraId="40384E8D" w14:textId="77777777" w:rsidR="00275B57" w:rsidRPr="0049452F" w:rsidRDefault="00275B57" w:rsidP="00BC4031">
            <w:pPr>
              <w:spacing w:after="0" w:line="240" w:lineRule="auto"/>
              <w:jc w:val="center"/>
              <w:rPr>
                <w:rFonts w:cs="Times New Roman"/>
                <w:szCs w:val="24"/>
              </w:rPr>
            </w:pPr>
            <w:r w:rsidRPr="0049452F">
              <w:rPr>
                <w:rFonts w:cs="Times New Roman"/>
                <w:szCs w:val="24"/>
              </w:rPr>
              <w:t>53%</w:t>
            </w:r>
          </w:p>
        </w:tc>
        <w:tc>
          <w:tcPr>
            <w:tcW w:w="0" w:type="auto"/>
            <w:shd w:val="clear" w:color="000000" w:fill="FFCC99"/>
            <w:noWrap/>
            <w:vAlign w:val="center"/>
            <w:hideMark/>
          </w:tcPr>
          <w:p w14:paraId="4B2A5269" w14:textId="77777777" w:rsidR="00275B57" w:rsidRPr="0098697F" w:rsidRDefault="00275B57" w:rsidP="00BC4031">
            <w:pPr>
              <w:spacing w:after="0" w:line="240" w:lineRule="auto"/>
              <w:jc w:val="center"/>
              <w:rPr>
                <w:rFonts w:cs="Times New Roman"/>
                <w:szCs w:val="24"/>
              </w:rPr>
            </w:pPr>
            <w:r w:rsidRPr="0098697F">
              <w:rPr>
                <w:rFonts w:cs="Times New Roman"/>
                <w:szCs w:val="24"/>
              </w:rPr>
              <w:t>0.7963</w:t>
            </w:r>
          </w:p>
        </w:tc>
        <w:tc>
          <w:tcPr>
            <w:tcW w:w="0" w:type="auto"/>
            <w:shd w:val="clear" w:color="000000" w:fill="FFCC99"/>
            <w:noWrap/>
            <w:vAlign w:val="center"/>
            <w:hideMark/>
          </w:tcPr>
          <w:p w14:paraId="31A86228" w14:textId="77777777" w:rsidR="00275B57" w:rsidRPr="0098697F" w:rsidRDefault="00275B57" w:rsidP="00BC4031">
            <w:pPr>
              <w:spacing w:after="0" w:line="240" w:lineRule="auto"/>
              <w:jc w:val="center"/>
              <w:rPr>
                <w:rFonts w:cs="Times New Roman"/>
                <w:szCs w:val="24"/>
              </w:rPr>
            </w:pPr>
            <w:r w:rsidRPr="0098697F">
              <w:rPr>
                <w:rFonts w:cs="Times New Roman"/>
                <w:szCs w:val="24"/>
              </w:rPr>
              <w:t>8,730</w:t>
            </w:r>
          </w:p>
        </w:tc>
        <w:tc>
          <w:tcPr>
            <w:tcW w:w="0" w:type="auto"/>
            <w:noWrap/>
            <w:vAlign w:val="center"/>
            <w:hideMark/>
          </w:tcPr>
          <w:p w14:paraId="23CA7478"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6,952</w:t>
            </w:r>
          </w:p>
        </w:tc>
        <w:tc>
          <w:tcPr>
            <w:tcW w:w="0" w:type="auto"/>
            <w:noWrap/>
            <w:vAlign w:val="center"/>
            <w:hideMark/>
          </w:tcPr>
          <w:p w14:paraId="28E2F490"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4%</w:t>
            </w:r>
          </w:p>
        </w:tc>
        <w:tc>
          <w:tcPr>
            <w:tcW w:w="0" w:type="auto"/>
            <w:shd w:val="clear" w:color="000000" w:fill="F2F2F2"/>
            <w:noWrap/>
            <w:vAlign w:val="center"/>
            <w:hideMark/>
          </w:tcPr>
          <w:p w14:paraId="25CD1167"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3%</w:t>
            </w:r>
          </w:p>
        </w:tc>
        <w:tc>
          <w:tcPr>
            <w:tcW w:w="1017" w:type="dxa"/>
            <w:shd w:val="clear" w:color="000000" w:fill="F2F2F2"/>
            <w:noWrap/>
            <w:vAlign w:val="center"/>
            <w:hideMark/>
          </w:tcPr>
          <w:p w14:paraId="47217522"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2%</w:t>
            </w:r>
          </w:p>
        </w:tc>
      </w:tr>
      <w:tr w:rsidR="00275B57" w14:paraId="5ADBFC41" w14:textId="77777777" w:rsidTr="004C5067">
        <w:trPr>
          <w:trHeight w:val="167"/>
        </w:trPr>
        <w:tc>
          <w:tcPr>
            <w:tcW w:w="0" w:type="auto"/>
            <w:shd w:val="clear" w:color="D9E1F2" w:fill="D9E1F2"/>
            <w:noWrap/>
            <w:vAlign w:val="center"/>
            <w:hideMark/>
          </w:tcPr>
          <w:p w14:paraId="7286EC55" w14:textId="77777777" w:rsidR="00275B57" w:rsidRPr="00484405" w:rsidRDefault="00275B57" w:rsidP="00BC4031">
            <w:pPr>
              <w:spacing w:after="0" w:line="240" w:lineRule="auto"/>
              <w:rPr>
                <w:rFonts w:cs="Times New Roman"/>
                <w:szCs w:val="24"/>
              </w:rPr>
            </w:pPr>
            <w:r w:rsidRPr="00484405">
              <w:rPr>
                <w:rFonts w:cs="Times New Roman"/>
                <w:szCs w:val="24"/>
              </w:rPr>
              <w:t>11</w:t>
            </w:r>
          </w:p>
        </w:tc>
        <w:tc>
          <w:tcPr>
            <w:tcW w:w="0" w:type="auto"/>
            <w:shd w:val="clear" w:color="D9E1F2" w:fill="D9E1F2"/>
            <w:noWrap/>
            <w:vAlign w:val="center"/>
            <w:hideMark/>
          </w:tcPr>
          <w:p w14:paraId="5F0DCA1E" w14:textId="77777777" w:rsidR="00275B57" w:rsidRPr="0049452F" w:rsidRDefault="00275B57" w:rsidP="00BC4031">
            <w:pPr>
              <w:spacing w:after="0" w:line="240" w:lineRule="auto"/>
              <w:jc w:val="center"/>
              <w:rPr>
                <w:rFonts w:cs="Times New Roman"/>
                <w:szCs w:val="24"/>
              </w:rPr>
            </w:pPr>
            <w:r w:rsidRPr="0049452F">
              <w:rPr>
                <w:rFonts w:cs="Times New Roman"/>
                <w:szCs w:val="24"/>
              </w:rPr>
              <w:t>73%</w:t>
            </w:r>
          </w:p>
        </w:tc>
        <w:tc>
          <w:tcPr>
            <w:tcW w:w="0" w:type="auto"/>
            <w:shd w:val="clear" w:color="D9E1F2" w:fill="D9E1F2"/>
            <w:noWrap/>
            <w:vAlign w:val="center"/>
            <w:hideMark/>
          </w:tcPr>
          <w:p w14:paraId="2F0FDC62" w14:textId="77777777" w:rsidR="00275B57" w:rsidRPr="0049452F" w:rsidRDefault="00275B57" w:rsidP="00BC4031">
            <w:pPr>
              <w:spacing w:after="0" w:line="240" w:lineRule="auto"/>
              <w:jc w:val="center"/>
              <w:rPr>
                <w:rFonts w:cs="Times New Roman"/>
                <w:szCs w:val="24"/>
              </w:rPr>
            </w:pPr>
            <w:r w:rsidRPr="0049452F">
              <w:rPr>
                <w:rFonts w:cs="Times New Roman"/>
                <w:szCs w:val="24"/>
              </w:rPr>
              <w:t>49%</w:t>
            </w:r>
          </w:p>
        </w:tc>
        <w:tc>
          <w:tcPr>
            <w:tcW w:w="0" w:type="auto"/>
            <w:shd w:val="clear" w:color="000000" w:fill="FFCC99"/>
            <w:noWrap/>
            <w:vAlign w:val="center"/>
            <w:hideMark/>
          </w:tcPr>
          <w:p w14:paraId="0E865C45" w14:textId="77777777" w:rsidR="00275B57" w:rsidRPr="0098697F" w:rsidRDefault="00275B57" w:rsidP="00BC4031">
            <w:pPr>
              <w:spacing w:after="0" w:line="240" w:lineRule="auto"/>
              <w:jc w:val="center"/>
              <w:rPr>
                <w:rFonts w:cs="Times New Roman"/>
                <w:szCs w:val="24"/>
              </w:rPr>
            </w:pPr>
            <w:r w:rsidRPr="0098697F">
              <w:rPr>
                <w:rFonts w:cs="Times New Roman"/>
                <w:szCs w:val="24"/>
              </w:rPr>
              <w:t>0.7423</w:t>
            </w:r>
          </w:p>
        </w:tc>
        <w:tc>
          <w:tcPr>
            <w:tcW w:w="0" w:type="auto"/>
            <w:shd w:val="clear" w:color="000000" w:fill="FFCC99"/>
            <w:noWrap/>
            <w:vAlign w:val="center"/>
            <w:hideMark/>
          </w:tcPr>
          <w:p w14:paraId="538E6D2D" w14:textId="77777777" w:rsidR="00275B57" w:rsidRPr="0098697F" w:rsidRDefault="00275B57" w:rsidP="00BC4031">
            <w:pPr>
              <w:spacing w:after="0" w:line="240" w:lineRule="auto"/>
              <w:jc w:val="center"/>
              <w:rPr>
                <w:rFonts w:cs="Times New Roman"/>
                <w:szCs w:val="24"/>
              </w:rPr>
            </w:pPr>
            <w:r w:rsidRPr="0098697F">
              <w:rPr>
                <w:rFonts w:cs="Times New Roman"/>
                <w:szCs w:val="24"/>
              </w:rPr>
              <w:t>7,612</w:t>
            </w:r>
          </w:p>
        </w:tc>
        <w:tc>
          <w:tcPr>
            <w:tcW w:w="0" w:type="auto"/>
            <w:shd w:val="clear" w:color="D9E1F2" w:fill="D9E1F2"/>
            <w:noWrap/>
            <w:vAlign w:val="center"/>
            <w:hideMark/>
          </w:tcPr>
          <w:p w14:paraId="19FF3456"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5,650</w:t>
            </w:r>
          </w:p>
        </w:tc>
        <w:tc>
          <w:tcPr>
            <w:tcW w:w="0" w:type="auto"/>
            <w:shd w:val="clear" w:color="D9E1F2" w:fill="D9E1F2"/>
            <w:noWrap/>
            <w:vAlign w:val="center"/>
            <w:hideMark/>
          </w:tcPr>
          <w:p w14:paraId="6E878AAD"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4%</w:t>
            </w:r>
          </w:p>
        </w:tc>
        <w:tc>
          <w:tcPr>
            <w:tcW w:w="0" w:type="auto"/>
            <w:shd w:val="clear" w:color="000000" w:fill="F2F2F2"/>
            <w:noWrap/>
            <w:vAlign w:val="center"/>
            <w:hideMark/>
          </w:tcPr>
          <w:p w14:paraId="60DFFAF8"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3%</w:t>
            </w:r>
          </w:p>
        </w:tc>
        <w:tc>
          <w:tcPr>
            <w:tcW w:w="1017" w:type="dxa"/>
            <w:shd w:val="clear" w:color="000000" w:fill="F2F2F2"/>
            <w:noWrap/>
            <w:vAlign w:val="center"/>
            <w:hideMark/>
          </w:tcPr>
          <w:p w14:paraId="0BABDA22"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2%</w:t>
            </w:r>
          </w:p>
        </w:tc>
      </w:tr>
      <w:tr w:rsidR="00275B57" w14:paraId="0FC76389" w14:textId="77777777" w:rsidTr="004C5067">
        <w:trPr>
          <w:trHeight w:val="167"/>
        </w:trPr>
        <w:tc>
          <w:tcPr>
            <w:tcW w:w="0" w:type="auto"/>
            <w:noWrap/>
            <w:vAlign w:val="center"/>
            <w:hideMark/>
          </w:tcPr>
          <w:p w14:paraId="44692267" w14:textId="77777777" w:rsidR="00275B57" w:rsidRPr="00484405" w:rsidRDefault="00275B57" w:rsidP="00BC4031">
            <w:pPr>
              <w:spacing w:after="0" w:line="240" w:lineRule="auto"/>
              <w:rPr>
                <w:rFonts w:cs="Times New Roman"/>
                <w:szCs w:val="24"/>
              </w:rPr>
            </w:pPr>
            <w:r w:rsidRPr="00484405">
              <w:rPr>
                <w:rFonts w:cs="Times New Roman"/>
                <w:szCs w:val="24"/>
              </w:rPr>
              <w:t>12</w:t>
            </w:r>
          </w:p>
        </w:tc>
        <w:tc>
          <w:tcPr>
            <w:tcW w:w="0" w:type="auto"/>
            <w:noWrap/>
            <w:vAlign w:val="center"/>
            <w:hideMark/>
          </w:tcPr>
          <w:p w14:paraId="5B403C7B" w14:textId="77777777" w:rsidR="00275B57" w:rsidRPr="0049452F" w:rsidRDefault="00275B57" w:rsidP="00BC4031">
            <w:pPr>
              <w:spacing w:after="0" w:line="240" w:lineRule="auto"/>
              <w:jc w:val="center"/>
              <w:rPr>
                <w:rFonts w:cs="Times New Roman"/>
                <w:szCs w:val="24"/>
              </w:rPr>
            </w:pPr>
            <w:r w:rsidRPr="0049452F">
              <w:rPr>
                <w:rFonts w:cs="Times New Roman"/>
                <w:szCs w:val="24"/>
              </w:rPr>
              <w:t>71%</w:t>
            </w:r>
          </w:p>
        </w:tc>
        <w:tc>
          <w:tcPr>
            <w:tcW w:w="0" w:type="auto"/>
            <w:noWrap/>
            <w:vAlign w:val="center"/>
            <w:hideMark/>
          </w:tcPr>
          <w:p w14:paraId="4A5D2A07" w14:textId="77777777" w:rsidR="00275B57" w:rsidRPr="0049452F" w:rsidRDefault="00275B57" w:rsidP="00BC4031">
            <w:pPr>
              <w:spacing w:after="0" w:line="240" w:lineRule="auto"/>
              <w:jc w:val="center"/>
              <w:rPr>
                <w:rFonts w:cs="Times New Roman"/>
                <w:szCs w:val="24"/>
              </w:rPr>
            </w:pPr>
            <w:r w:rsidRPr="0049452F">
              <w:rPr>
                <w:rFonts w:cs="Times New Roman"/>
                <w:szCs w:val="24"/>
              </w:rPr>
              <w:t>46%</w:t>
            </w:r>
          </w:p>
        </w:tc>
        <w:tc>
          <w:tcPr>
            <w:tcW w:w="0" w:type="auto"/>
            <w:shd w:val="clear" w:color="000000" w:fill="FFCC99"/>
            <w:noWrap/>
            <w:vAlign w:val="center"/>
            <w:hideMark/>
          </w:tcPr>
          <w:p w14:paraId="7322253B" w14:textId="77777777" w:rsidR="00275B57" w:rsidRPr="0098697F" w:rsidRDefault="00275B57" w:rsidP="00BC4031">
            <w:pPr>
              <w:spacing w:after="0" w:line="240" w:lineRule="auto"/>
              <w:jc w:val="center"/>
              <w:rPr>
                <w:rFonts w:cs="Times New Roman"/>
                <w:szCs w:val="24"/>
              </w:rPr>
            </w:pPr>
            <w:r w:rsidRPr="0098697F">
              <w:rPr>
                <w:rFonts w:cs="Times New Roman"/>
                <w:szCs w:val="24"/>
              </w:rPr>
              <w:t>0.6916</w:t>
            </w:r>
          </w:p>
        </w:tc>
        <w:tc>
          <w:tcPr>
            <w:tcW w:w="0" w:type="auto"/>
            <w:shd w:val="clear" w:color="000000" w:fill="FFCC99"/>
            <w:noWrap/>
            <w:vAlign w:val="center"/>
            <w:hideMark/>
          </w:tcPr>
          <w:p w14:paraId="7FFB4EB4" w14:textId="77777777" w:rsidR="00275B57" w:rsidRPr="0098697F" w:rsidRDefault="00275B57" w:rsidP="00BC4031">
            <w:pPr>
              <w:spacing w:after="0" w:line="240" w:lineRule="auto"/>
              <w:jc w:val="center"/>
              <w:rPr>
                <w:rFonts w:cs="Times New Roman"/>
                <w:szCs w:val="24"/>
              </w:rPr>
            </w:pPr>
            <w:r w:rsidRPr="0098697F">
              <w:rPr>
                <w:rFonts w:cs="Times New Roman"/>
                <w:szCs w:val="24"/>
              </w:rPr>
              <w:t>6,804</w:t>
            </w:r>
          </w:p>
        </w:tc>
        <w:tc>
          <w:tcPr>
            <w:tcW w:w="0" w:type="auto"/>
            <w:noWrap/>
            <w:vAlign w:val="center"/>
            <w:hideMark/>
          </w:tcPr>
          <w:p w14:paraId="67073C69"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4,706</w:t>
            </w:r>
          </w:p>
        </w:tc>
        <w:tc>
          <w:tcPr>
            <w:tcW w:w="0" w:type="auto"/>
            <w:noWrap/>
            <w:vAlign w:val="center"/>
            <w:hideMark/>
          </w:tcPr>
          <w:p w14:paraId="1BA56D13"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3%</w:t>
            </w:r>
          </w:p>
        </w:tc>
        <w:tc>
          <w:tcPr>
            <w:tcW w:w="0" w:type="auto"/>
            <w:shd w:val="clear" w:color="000000" w:fill="F2F2F2"/>
            <w:noWrap/>
            <w:vAlign w:val="center"/>
            <w:hideMark/>
          </w:tcPr>
          <w:p w14:paraId="34563F14"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2%</w:t>
            </w:r>
          </w:p>
        </w:tc>
        <w:tc>
          <w:tcPr>
            <w:tcW w:w="1017" w:type="dxa"/>
            <w:shd w:val="clear" w:color="000000" w:fill="F2F2F2"/>
            <w:noWrap/>
            <w:vAlign w:val="center"/>
            <w:hideMark/>
          </w:tcPr>
          <w:p w14:paraId="6BBEBF8D"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1%</w:t>
            </w:r>
          </w:p>
        </w:tc>
      </w:tr>
      <w:tr w:rsidR="00275B57" w14:paraId="13BA27A0" w14:textId="77777777" w:rsidTr="004C5067">
        <w:trPr>
          <w:trHeight w:val="167"/>
        </w:trPr>
        <w:tc>
          <w:tcPr>
            <w:tcW w:w="0" w:type="auto"/>
            <w:shd w:val="clear" w:color="D9E1F2" w:fill="D9E1F2"/>
            <w:noWrap/>
            <w:vAlign w:val="center"/>
            <w:hideMark/>
          </w:tcPr>
          <w:p w14:paraId="6F42340A" w14:textId="77777777" w:rsidR="00275B57" w:rsidRPr="00484405" w:rsidRDefault="00275B57" w:rsidP="00BC4031">
            <w:pPr>
              <w:spacing w:after="0" w:line="240" w:lineRule="auto"/>
              <w:rPr>
                <w:rFonts w:cs="Times New Roman"/>
                <w:szCs w:val="24"/>
              </w:rPr>
            </w:pPr>
            <w:r w:rsidRPr="00484405">
              <w:rPr>
                <w:rFonts w:cs="Times New Roman"/>
                <w:szCs w:val="24"/>
              </w:rPr>
              <w:t>13</w:t>
            </w:r>
          </w:p>
        </w:tc>
        <w:tc>
          <w:tcPr>
            <w:tcW w:w="0" w:type="auto"/>
            <w:shd w:val="clear" w:color="D9E1F2" w:fill="D9E1F2"/>
            <w:noWrap/>
            <w:vAlign w:val="center"/>
            <w:hideMark/>
          </w:tcPr>
          <w:p w14:paraId="1E8170DE" w14:textId="77777777" w:rsidR="00275B57" w:rsidRPr="0049452F" w:rsidRDefault="00275B57" w:rsidP="00BC4031">
            <w:pPr>
              <w:spacing w:after="0" w:line="240" w:lineRule="auto"/>
              <w:jc w:val="center"/>
              <w:rPr>
                <w:rFonts w:cs="Times New Roman"/>
                <w:szCs w:val="24"/>
              </w:rPr>
            </w:pPr>
            <w:r w:rsidRPr="0049452F">
              <w:rPr>
                <w:rFonts w:cs="Times New Roman"/>
                <w:szCs w:val="24"/>
              </w:rPr>
              <w:t>69%</w:t>
            </w:r>
          </w:p>
        </w:tc>
        <w:tc>
          <w:tcPr>
            <w:tcW w:w="0" w:type="auto"/>
            <w:shd w:val="clear" w:color="D9E1F2" w:fill="D9E1F2"/>
            <w:noWrap/>
            <w:vAlign w:val="center"/>
            <w:hideMark/>
          </w:tcPr>
          <w:p w14:paraId="66D3B370" w14:textId="77777777" w:rsidR="00275B57" w:rsidRPr="0049452F" w:rsidRDefault="00275B57" w:rsidP="00BC4031">
            <w:pPr>
              <w:spacing w:after="0" w:line="240" w:lineRule="auto"/>
              <w:jc w:val="center"/>
              <w:rPr>
                <w:rFonts w:cs="Times New Roman"/>
                <w:szCs w:val="24"/>
              </w:rPr>
            </w:pPr>
            <w:r w:rsidRPr="0049452F">
              <w:rPr>
                <w:rFonts w:cs="Times New Roman"/>
                <w:szCs w:val="24"/>
              </w:rPr>
              <w:t>43%</w:t>
            </w:r>
          </w:p>
        </w:tc>
        <w:tc>
          <w:tcPr>
            <w:tcW w:w="0" w:type="auto"/>
            <w:shd w:val="clear" w:color="000000" w:fill="FFCC99"/>
            <w:noWrap/>
            <w:vAlign w:val="center"/>
            <w:hideMark/>
          </w:tcPr>
          <w:p w14:paraId="6297B1C4" w14:textId="77777777" w:rsidR="00275B57" w:rsidRPr="0098697F" w:rsidRDefault="00275B57" w:rsidP="00BC4031">
            <w:pPr>
              <w:spacing w:after="0" w:line="240" w:lineRule="auto"/>
              <w:jc w:val="center"/>
              <w:rPr>
                <w:rFonts w:cs="Times New Roman"/>
                <w:szCs w:val="24"/>
              </w:rPr>
            </w:pPr>
            <w:r w:rsidRPr="0098697F">
              <w:rPr>
                <w:rFonts w:cs="Times New Roman"/>
                <w:szCs w:val="24"/>
              </w:rPr>
              <w:t>0.6410</w:t>
            </w:r>
          </w:p>
        </w:tc>
        <w:tc>
          <w:tcPr>
            <w:tcW w:w="0" w:type="auto"/>
            <w:shd w:val="clear" w:color="000000" w:fill="FFCC99"/>
            <w:noWrap/>
            <w:vAlign w:val="center"/>
            <w:hideMark/>
          </w:tcPr>
          <w:p w14:paraId="708BA37C" w14:textId="77777777" w:rsidR="00275B57" w:rsidRPr="0098697F" w:rsidRDefault="00275B57" w:rsidP="00BC4031">
            <w:pPr>
              <w:spacing w:after="0" w:line="240" w:lineRule="auto"/>
              <w:jc w:val="center"/>
              <w:rPr>
                <w:rFonts w:cs="Times New Roman"/>
                <w:szCs w:val="24"/>
              </w:rPr>
            </w:pPr>
            <w:r w:rsidRPr="0098697F">
              <w:rPr>
                <w:rFonts w:cs="Times New Roman"/>
                <w:szCs w:val="24"/>
              </w:rPr>
              <w:t>5,931</w:t>
            </w:r>
          </w:p>
        </w:tc>
        <w:tc>
          <w:tcPr>
            <w:tcW w:w="0" w:type="auto"/>
            <w:shd w:val="clear" w:color="D9E1F2" w:fill="D9E1F2"/>
            <w:noWrap/>
            <w:vAlign w:val="center"/>
            <w:hideMark/>
          </w:tcPr>
          <w:p w14:paraId="380BD2D8"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3,802</w:t>
            </w:r>
          </w:p>
        </w:tc>
        <w:tc>
          <w:tcPr>
            <w:tcW w:w="0" w:type="auto"/>
            <w:shd w:val="clear" w:color="D9E1F2" w:fill="D9E1F2"/>
            <w:noWrap/>
            <w:vAlign w:val="center"/>
            <w:hideMark/>
          </w:tcPr>
          <w:p w14:paraId="38A4799E"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2%</w:t>
            </w:r>
          </w:p>
        </w:tc>
        <w:tc>
          <w:tcPr>
            <w:tcW w:w="0" w:type="auto"/>
            <w:shd w:val="clear" w:color="000000" w:fill="F2F2F2"/>
            <w:noWrap/>
            <w:vAlign w:val="center"/>
            <w:hideMark/>
          </w:tcPr>
          <w:p w14:paraId="18DA7160"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2%</w:t>
            </w:r>
          </w:p>
        </w:tc>
        <w:tc>
          <w:tcPr>
            <w:tcW w:w="1017" w:type="dxa"/>
            <w:shd w:val="clear" w:color="000000" w:fill="F2F2F2"/>
            <w:noWrap/>
            <w:vAlign w:val="center"/>
            <w:hideMark/>
          </w:tcPr>
          <w:p w14:paraId="0F3C3496"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1%</w:t>
            </w:r>
          </w:p>
        </w:tc>
      </w:tr>
      <w:tr w:rsidR="00275B57" w14:paraId="77360DCE" w14:textId="77777777" w:rsidTr="004C5067">
        <w:trPr>
          <w:trHeight w:val="167"/>
        </w:trPr>
        <w:tc>
          <w:tcPr>
            <w:tcW w:w="0" w:type="auto"/>
            <w:noWrap/>
            <w:vAlign w:val="center"/>
            <w:hideMark/>
          </w:tcPr>
          <w:p w14:paraId="678EE363" w14:textId="77777777" w:rsidR="00275B57" w:rsidRPr="00484405" w:rsidRDefault="00275B57" w:rsidP="00BC4031">
            <w:pPr>
              <w:spacing w:after="0" w:line="240" w:lineRule="auto"/>
              <w:rPr>
                <w:rFonts w:cs="Times New Roman"/>
                <w:szCs w:val="24"/>
              </w:rPr>
            </w:pPr>
            <w:r w:rsidRPr="00484405">
              <w:rPr>
                <w:rFonts w:cs="Times New Roman"/>
                <w:szCs w:val="24"/>
              </w:rPr>
              <w:t>14</w:t>
            </w:r>
          </w:p>
        </w:tc>
        <w:tc>
          <w:tcPr>
            <w:tcW w:w="0" w:type="auto"/>
            <w:noWrap/>
            <w:vAlign w:val="center"/>
            <w:hideMark/>
          </w:tcPr>
          <w:p w14:paraId="3F67E00B" w14:textId="77777777" w:rsidR="00275B57" w:rsidRPr="0049452F" w:rsidRDefault="00275B57" w:rsidP="00BC4031">
            <w:pPr>
              <w:spacing w:after="0" w:line="240" w:lineRule="auto"/>
              <w:jc w:val="center"/>
              <w:rPr>
                <w:rFonts w:cs="Times New Roman"/>
                <w:szCs w:val="24"/>
              </w:rPr>
            </w:pPr>
            <w:r w:rsidRPr="0049452F">
              <w:rPr>
                <w:rFonts w:cs="Times New Roman"/>
                <w:szCs w:val="24"/>
              </w:rPr>
              <w:t>67%</w:t>
            </w:r>
          </w:p>
        </w:tc>
        <w:tc>
          <w:tcPr>
            <w:tcW w:w="0" w:type="auto"/>
            <w:noWrap/>
            <w:vAlign w:val="center"/>
            <w:hideMark/>
          </w:tcPr>
          <w:p w14:paraId="0F0AE3E2" w14:textId="77777777" w:rsidR="00275B57" w:rsidRPr="0049452F" w:rsidRDefault="00275B57" w:rsidP="00BC4031">
            <w:pPr>
              <w:spacing w:after="0" w:line="240" w:lineRule="auto"/>
              <w:jc w:val="center"/>
              <w:rPr>
                <w:rFonts w:cs="Times New Roman"/>
                <w:szCs w:val="24"/>
              </w:rPr>
            </w:pPr>
            <w:r w:rsidRPr="0049452F">
              <w:rPr>
                <w:rFonts w:cs="Times New Roman"/>
                <w:szCs w:val="24"/>
              </w:rPr>
              <w:t>40%</w:t>
            </w:r>
          </w:p>
        </w:tc>
        <w:tc>
          <w:tcPr>
            <w:tcW w:w="0" w:type="auto"/>
            <w:shd w:val="clear" w:color="000000" w:fill="FFCC99"/>
            <w:noWrap/>
            <w:vAlign w:val="center"/>
            <w:hideMark/>
          </w:tcPr>
          <w:p w14:paraId="2FD51F6F" w14:textId="77777777" w:rsidR="00275B57" w:rsidRPr="0098697F" w:rsidRDefault="00275B57" w:rsidP="00BC4031">
            <w:pPr>
              <w:spacing w:after="0" w:line="240" w:lineRule="auto"/>
              <w:jc w:val="center"/>
              <w:rPr>
                <w:rFonts w:cs="Times New Roman"/>
                <w:szCs w:val="24"/>
              </w:rPr>
            </w:pPr>
            <w:r w:rsidRPr="0098697F">
              <w:rPr>
                <w:rFonts w:cs="Times New Roman"/>
                <w:szCs w:val="24"/>
              </w:rPr>
              <w:t>0.5833</w:t>
            </w:r>
          </w:p>
        </w:tc>
        <w:tc>
          <w:tcPr>
            <w:tcW w:w="0" w:type="auto"/>
            <w:shd w:val="clear" w:color="000000" w:fill="FFCC99"/>
            <w:noWrap/>
            <w:vAlign w:val="center"/>
            <w:hideMark/>
          </w:tcPr>
          <w:p w14:paraId="1E239FFF" w14:textId="77777777" w:rsidR="00275B57" w:rsidRPr="0098697F" w:rsidRDefault="00275B57" w:rsidP="00BC4031">
            <w:pPr>
              <w:spacing w:after="0" w:line="240" w:lineRule="auto"/>
              <w:jc w:val="center"/>
              <w:rPr>
                <w:rFonts w:cs="Times New Roman"/>
                <w:szCs w:val="24"/>
              </w:rPr>
            </w:pPr>
            <w:r w:rsidRPr="0098697F">
              <w:rPr>
                <w:rFonts w:cs="Times New Roman"/>
                <w:szCs w:val="24"/>
              </w:rPr>
              <w:t>5,180</w:t>
            </w:r>
          </w:p>
        </w:tc>
        <w:tc>
          <w:tcPr>
            <w:tcW w:w="0" w:type="auto"/>
            <w:noWrap/>
            <w:vAlign w:val="center"/>
            <w:hideMark/>
          </w:tcPr>
          <w:p w14:paraId="57BDB5BA"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3,022</w:t>
            </w:r>
          </w:p>
        </w:tc>
        <w:tc>
          <w:tcPr>
            <w:tcW w:w="0" w:type="auto"/>
            <w:noWrap/>
            <w:vAlign w:val="center"/>
            <w:hideMark/>
          </w:tcPr>
          <w:p w14:paraId="23F19456"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2%</w:t>
            </w:r>
          </w:p>
        </w:tc>
        <w:tc>
          <w:tcPr>
            <w:tcW w:w="0" w:type="auto"/>
            <w:shd w:val="clear" w:color="000000" w:fill="F2F2F2"/>
            <w:noWrap/>
            <w:vAlign w:val="center"/>
            <w:hideMark/>
          </w:tcPr>
          <w:p w14:paraId="05D47313"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1%</w:t>
            </w:r>
          </w:p>
        </w:tc>
        <w:tc>
          <w:tcPr>
            <w:tcW w:w="1017" w:type="dxa"/>
            <w:shd w:val="clear" w:color="000000" w:fill="F2F2F2"/>
            <w:noWrap/>
            <w:vAlign w:val="center"/>
            <w:hideMark/>
          </w:tcPr>
          <w:p w14:paraId="424F4C7C"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1%</w:t>
            </w:r>
          </w:p>
        </w:tc>
      </w:tr>
      <w:tr w:rsidR="00275B57" w14:paraId="0DF9B8DD" w14:textId="77777777" w:rsidTr="004C5067">
        <w:trPr>
          <w:trHeight w:val="167"/>
        </w:trPr>
        <w:tc>
          <w:tcPr>
            <w:tcW w:w="0" w:type="auto"/>
            <w:shd w:val="clear" w:color="D9E1F2" w:fill="D9E1F2"/>
            <w:noWrap/>
            <w:vAlign w:val="center"/>
            <w:hideMark/>
          </w:tcPr>
          <w:p w14:paraId="6FBC9317" w14:textId="77777777" w:rsidR="00275B57" w:rsidRPr="00484405" w:rsidRDefault="00275B57" w:rsidP="00BC4031">
            <w:pPr>
              <w:spacing w:after="0" w:line="240" w:lineRule="auto"/>
              <w:rPr>
                <w:rFonts w:cs="Times New Roman"/>
                <w:szCs w:val="24"/>
              </w:rPr>
            </w:pPr>
            <w:r w:rsidRPr="00484405">
              <w:rPr>
                <w:rFonts w:cs="Times New Roman"/>
                <w:szCs w:val="24"/>
              </w:rPr>
              <w:t>15</w:t>
            </w:r>
          </w:p>
        </w:tc>
        <w:tc>
          <w:tcPr>
            <w:tcW w:w="0" w:type="auto"/>
            <w:shd w:val="clear" w:color="D9E1F2" w:fill="D9E1F2"/>
            <w:noWrap/>
            <w:vAlign w:val="center"/>
            <w:hideMark/>
          </w:tcPr>
          <w:p w14:paraId="0078E1E4" w14:textId="77777777" w:rsidR="00275B57" w:rsidRPr="0049452F" w:rsidRDefault="00275B57" w:rsidP="00BC4031">
            <w:pPr>
              <w:spacing w:after="0" w:line="240" w:lineRule="auto"/>
              <w:jc w:val="center"/>
              <w:rPr>
                <w:rFonts w:cs="Times New Roman"/>
                <w:szCs w:val="24"/>
              </w:rPr>
            </w:pPr>
            <w:r w:rsidRPr="0049452F">
              <w:rPr>
                <w:rFonts w:cs="Times New Roman"/>
                <w:szCs w:val="24"/>
              </w:rPr>
              <w:t>65%</w:t>
            </w:r>
          </w:p>
        </w:tc>
        <w:tc>
          <w:tcPr>
            <w:tcW w:w="0" w:type="auto"/>
            <w:shd w:val="clear" w:color="D9E1F2" w:fill="D9E1F2"/>
            <w:noWrap/>
            <w:vAlign w:val="center"/>
            <w:hideMark/>
          </w:tcPr>
          <w:p w14:paraId="387EA02D" w14:textId="77777777" w:rsidR="00275B57" w:rsidRPr="0049452F" w:rsidRDefault="00275B57" w:rsidP="00BC4031">
            <w:pPr>
              <w:spacing w:after="0" w:line="240" w:lineRule="auto"/>
              <w:jc w:val="center"/>
              <w:rPr>
                <w:rFonts w:cs="Times New Roman"/>
                <w:szCs w:val="24"/>
              </w:rPr>
            </w:pPr>
            <w:r w:rsidRPr="0049452F">
              <w:rPr>
                <w:rFonts w:cs="Times New Roman"/>
                <w:szCs w:val="24"/>
              </w:rPr>
              <w:t>37%</w:t>
            </w:r>
          </w:p>
        </w:tc>
        <w:tc>
          <w:tcPr>
            <w:tcW w:w="0" w:type="auto"/>
            <w:shd w:val="clear" w:color="000000" w:fill="FFCC99"/>
            <w:noWrap/>
            <w:vAlign w:val="center"/>
            <w:hideMark/>
          </w:tcPr>
          <w:p w14:paraId="6CD3A89A" w14:textId="77777777" w:rsidR="00275B57" w:rsidRPr="0098697F" w:rsidRDefault="00275B57" w:rsidP="00BC4031">
            <w:pPr>
              <w:spacing w:after="0" w:line="240" w:lineRule="auto"/>
              <w:jc w:val="center"/>
              <w:rPr>
                <w:rFonts w:cs="Times New Roman"/>
                <w:szCs w:val="24"/>
              </w:rPr>
            </w:pPr>
            <w:r w:rsidRPr="0098697F">
              <w:rPr>
                <w:rFonts w:cs="Times New Roman"/>
                <w:szCs w:val="24"/>
              </w:rPr>
              <w:t>0.5350</w:t>
            </w:r>
          </w:p>
        </w:tc>
        <w:tc>
          <w:tcPr>
            <w:tcW w:w="0" w:type="auto"/>
            <w:shd w:val="clear" w:color="000000" w:fill="FFCC99"/>
            <w:noWrap/>
            <w:vAlign w:val="center"/>
            <w:hideMark/>
          </w:tcPr>
          <w:p w14:paraId="0EF8017A" w14:textId="77777777" w:rsidR="00275B57" w:rsidRPr="0098697F" w:rsidRDefault="00275B57" w:rsidP="00BC4031">
            <w:pPr>
              <w:spacing w:after="0" w:line="240" w:lineRule="auto"/>
              <w:jc w:val="center"/>
              <w:rPr>
                <w:rFonts w:cs="Times New Roman"/>
                <w:szCs w:val="24"/>
              </w:rPr>
            </w:pPr>
            <w:r w:rsidRPr="0098697F">
              <w:rPr>
                <w:rFonts w:cs="Times New Roman"/>
                <w:szCs w:val="24"/>
              </w:rPr>
              <w:t>4,979</w:t>
            </w:r>
          </w:p>
        </w:tc>
        <w:tc>
          <w:tcPr>
            <w:tcW w:w="0" w:type="auto"/>
            <w:shd w:val="clear" w:color="D9E1F2" w:fill="D9E1F2"/>
            <w:noWrap/>
            <w:vAlign w:val="center"/>
            <w:hideMark/>
          </w:tcPr>
          <w:p w14:paraId="5B5D5D97"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2,664</w:t>
            </w:r>
          </w:p>
        </w:tc>
        <w:tc>
          <w:tcPr>
            <w:tcW w:w="0" w:type="auto"/>
            <w:shd w:val="clear" w:color="D9E1F2" w:fill="D9E1F2"/>
            <w:noWrap/>
            <w:vAlign w:val="center"/>
            <w:hideMark/>
          </w:tcPr>
          <w:p w14:paraId="27DC5382"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2%</w:t>
            </w:r>
          </w:p>
        </w:tc>
        <w:tc>
          <w:tcPr>
            <w:tcW w:w="0" w:type="auto"/>
            <w:shd w:val="clear" w:color="000000" w:fill="F2F2F2"/>
            <w:noWrap/>
            <w:vAlign w:val="center"/>
            <w:hideMark/>
          </w:tcPr>
          <w:p w14:paraId="4A7C5A0C"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1%</w:t>
            </w:r>
          </w:p>
        </w:tc>
        <w:tc>
          <w:tcPr>
            <w:tcW w:w="1017" w:type="dxa"/>
            <w:shd w:val="clear" w:color="000000" w:fill="F2F2F2"/>
            <w:noWrap/>
            <w:vAlign w:val="center"/>
            <w:hideMark/>
          </w:tcPr>
          <w:p w14:paraId="1F976490"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1%</w:t>
            </w:r>
          </w:p>
        </w:tc>
      </w:tr>
      <w:tr w:rsidR="00275B57" w14:paraId="7ABAB4CC" w14:textId="77777777" w:rsidTr="004C5067">
        <w:trPr>
          <w:trHeight w:val="167"/>
        </w:trPr>
        <w:tc>
          <w:tcPr>
            <w:tcW w:w="0" w:type="auto"/>
            <w:noWrap/>
            <w:vAlign w:val="center"/>
            <w:hideMark/>
          </w:tcPr>
          <w:p w14:paraId="4035B3E0" w14:textId="77777777" w:rsidR="00275B57" w:rsidRPr="00484405" w:rsidRDefault="00275B57" w:rsidP="00BC4031">
            <w:pPr>
              <w:spacing w:after="0" w:line="240" w:lineRule="auto"/>
              <w:rPr>
                <w:rFonts w:cs="Times New Roman"/>
                <w:szCs w:val="24"/>
              </w:rPr>
            </w:pPr>
            <w:r w:rsidRPr="00484405">
              <w:rPr>
                <w:rFonts w:cs="Times New Roman"/>
                <w:szCs w:val="24"/>
              </w:rPr>
              <w:t>16</w:t>
            </w:r>
          </w:p>
        </w:tc>
        <w:tc>
          <w:tcPr>
            <w:tcW w:w="0" w:type="auto"/>
            <w:noWrap/>
            <w:vAlign w:val="center"/>
            <w:hideMark/>
          </w:tcPr>
          <w:p w14:paraId="7CEAA537" w14:textId="77777777" w:rsidR="00275B57" w:rsidRPr="0049452F" w:rsidRDefault="00275B57" w:rsidP="00BC4031">
            <w:pPr>
              <w:spacing w:after="0" w:line="240" w:lineRule="auto"/>
              <w:jc w:val="center"/>
              <w:rPr>
                <w:rFonts w:cs="Times New Roman"/>
                <w:szCs w:val="24"/>
              </w:rPr>
            </w:pPr>
            <w:r w:rsidRPr="0049452F">
              <w:rPr>
                <w:rFonts w:cs="Times New Roman"/>
                <w:szCs w:val="24"/>
              </w:rPr>
              <w:t>63%</w:t>
            </w:r>
          </w:p>
        </w:tc>
        <w:tc>
          <w:tcPr>
            <w:tcW w:w="0" w:type="auto"/>
            <w:noWrap/>
            <w:vAlign w:val="center"/>
            <w:hideMark/>
          </w:tcPr>
          <w:p w14:paraId="50D12FC8" w14:textId="77777777" w:rsidR="00275B57" w:rsidRPr="0049452F" w:rsidRDefault="00275B57" w:rsidP="00BC4031">
            <w:pPr>
              <w:spacing w:after="0" w:line="240" w:lineRule="auto"/>
              <w:jc w:val="center"/>
              <w:rPr>
                <w:rFonts w:cs="Times New Roman"/>
                <w:szCs w:val="24"/>
              </w:rPr>
            </w:pPr>
            <w:r w:rsidRPr="0049452F">
              <w:rPr>
                <w:rFonts w:cs="Times New Roman"/>
                <w:szCs w:val="24"/>
              </w:rPr>
              <w:t>35%</w:t>
            </w:r>
          </w:p>
        </w:tc>
        <w:tc>
          <w:tcPr>
            <w:tcW w:w="0" w:type="auto"/>
            <w:shd w:val="clear" w:color="000000" w:fill="FFCC99"/>
            <w:noWrap/>
            <w:vAlign w:val="center"/>
            <w:hideMark/>
          </w:tcPr>
          <w:p w14:paraId="0422EECA" w14:textId="77777777" w:rsidR="00275B57" w:rsidRPr="0098697F" w:rsidRDefault="00275B57" w:rsidP="00BC4031">
            <w:pPr>
              <w:spacing w:after="0" w:line="240" w:lineRule="auto"/>
              <w:jc w:val="center"/>
              <w:rPr>
                <w:rFonts w:cs="Times New Roman"/>
                <w:szCs w:val="24"/>
              </w:rPr>
            </w:pPr>
            <w:r w:rsidRPr="0098697F">
              <w:rPr>
                <w:rFonts w:cs="Times New Roman"/>
                <w:szCs w:val="24"/>
              </w:rPr>
              <w:t>0.4861</w:t>
            </w:r>
          </w:p>
        </w:tc>
        <w:tc>
          <w:tcPr>
            <w:tcW w:w="0" w:type="auto"/>
            <w:shd w:val="clear" w:color="000000" w:fill="FFCC99"/>
            <w:noWrap/>
            <w:vAlign w:val="center"/>
            <w:hideMark/>
          </w:tcPr>
          <w:p w14:paraId="4B2F7AC6" w14:textId="77777777" w:rsidR="00275B57" w:rsidRPr="0098697F" w:rsidRDefault="00275B57" w:rsidP="00BC4031">
            <w:pPr>
              <w:spacing w:after="0" w:line="240" w:lineRule="auto"/>
              <w:jc w:val="center"/>
              <w:rPr>
                <w:rFonts w:cs="Times New Roman"/>
                <w:szCs w:val="24"/>
              </w:rPr>
            </w:pPr>
            <w:r w:rsidRPr="0098697F">
              <w:rPr>
                <w:rFonts w:cs="Times New Roman"/>
                <w:szCs w:val="24"/>
              </w:rPr>
              <w:t>4,839</w:t>
            </w:r>
          </w:p>
        </w:tc>
        <w:tc>
          <w:tcPr>
            <w:tcW w:w="0" w:type="auto"/>
            <w:noWrap/>
            <w:vAlign w:val="center"/>
            <w:hideMark/>
          </w:tcPr>
          <w:p w14:paraId="7785CB07"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2,352</w:t>
            </w:r>
          </w:p>
        </w:tc>
        <w:tc>
          <w:tcPr>
            <w:tcW w:w="0" w:type="auto"/>
            <w:noWrap/>
            <w:vAlign w:val="center"/>
            <w:hideMark/>
          </w:tcPr>
          <w:p w14:paraId="62CAC839"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2%</w:t>
            </w:r>
          </w:p>
        </w:tc>
        <w:tc>
          <w:tcPr>
            <w:tcW w:w="0" w:type="auto"/>
            <w:shd w:val="clear" w:color="000000" w:fill="F2F2F2"/>
            <w:noWrap/>
            <w:vAlign w:val="center"/>
            <w:hideMark/>
          </w:tcPr>
          <w:p w14:paraId="18701624"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1%</w:t>
            </w:r>
          </w:p>
        </w:tc>
        <w:tc>
          <w:tcPr>
            <w:tcW w:w="1017" w:type="dxa"/>
            <w:shd w:val="clear" w:color="000000" w:fill="F2F2F2"/>
            <w:noWrap/>
            <w:vAlign w:val="center"/>
            <w:hideMark/>
          </w:tcPr>
          <w:p w14:paraId="1F0E17FB"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1%</w:t>
            </w:r>
          </w:p>
        </w:tc>
      </w:tr>
      <w:tr w:rsidR="00275B57" w14:paraId="75B6F811" w14:textId="77777777" w:rsidTr="004C5067">
        <w:trPr>
          <w:trHeight w:val="167"/>
        </w:trPr>
        <w:tc>
          <w:tcPr>
            <w:tcW w:w="0" w:type="auto"/>
            <w:shd w:val="clear" w:color="D9E1F2" w:fill="D9E1F2"/>
            <w:noWrap/>
            <w:vAlign w:val="center"/>
            <w:hideMark/>
          </w:tcPr>
          <w:p w14:paraId="67B6F449" w14:textId="77777777" w:rsidR="00275B57" w:rsidRPr="00484405" w:rsidRDefault="00275B57" w:rsidP="00BC4031">
            <w:pPr>
              <w:spacing w:after="0" w:line="240" w:lineRule="auto"/>
              <w:rPr>
                <w:rFonts w:cs="Times New Roman"/>
                <w:szCs w:val="24"/>
              </w:rPr>
            </w:pPr>
            <w:r w:rsidRPr="00484405">
              <w:rPr>
                <w:rFonts w:cs="Times New Roman"/>
                <w:szCs w:val="24"/>
              </w:rPr>
              <w:t>17</w:t>
            </w:r>
          </w:p>
        </w:tc>
        <w:tc>
          <w:tcPr>
            <w:tcW w:w="0" w:type="auto"/>
            <w:shd w:val="clear" w:color="D9E1F2" w:fill="D9E1F2"/>
            <w:noWrap/>
            <w:vAlign w:val="center"/>
            <w:hideMark/>
          </w:tcPr>
          <w:p w14:paraId="0C97D6A4" w14:textId="77777777" w:rsidR="00275B57" w:rsidRPr="0049452F" w:rsidRDefault="00275B57" w:rsidP="00BC4031">
            <w:pPr>
              <w:spacing w:after="0" w:line="240" w:lineRule="auto"/>
              <w:jc w:val="center"/>
              <w:rPr>
                <w:rFonts w:cs="Times New Roman"/>
                <w:szCs w:val="24"/>
              </w:rPr>
            </w:pPr>
            <w:r w:rsidRPr="0049452F">
              <w:rPr>
                <w:rFonts w:cs="Times New Roman"/>
                <w:szCs w:val="24"/>
              </w:rPr>
              <w:t>61%</w:t>
            </w:r>
          </w:p>
        </w:tc>
        <w:tc>
          <w:tcPr>
            <w:tcW w:w="0" w:type="auto"/>
            <w:shd w:val="clear" w:color="D9E1F2" w:fill="D9E1F2"/>
            <w:noWrap/>
            <w:vAlign w:val="center"/>
            <w:hideMark/>
          </w:tcPr>
          <w:p w14:paraId="381215D7" w14:textId="77777777" w:rsidR="00275B57" w:rsidRPr="0049452F" w:rsidRDefault="00275B57" w:rsidP="00BC4031">
            <w:pPr>
              <w:spacing w:after="0" w:line="240" w:lineRule="auto"/>
              <w:jc w:val="center"/>
              <w:rPr>
                <w:rFonts w:cs="Times New Roman"/>
                <w:szCs w:val="24"/>
              </w:rPr>
            </w:pPr>
            <w:r w:rsidRPr="0049452F">
              <w:rPr>
                <w:rFonts w:cs="Times New Roman"/>
                <w:szCs w:val="24"/>
              </w:rPr>
              <w:t>33%</w:t>
            </w:r>
          </w:p>
        </w:tc>
        <w:tc>
          <w:tcPr>
            <w:tcW w:w="0" w:type="auto"/>
            <w:shd w:val="clear" w:color="000000" w:fill="FFCC99"/>
            <w:noWrap/>
            <w:vAlign w:val="center"/>
            <w:hideMark/>
          </w:tcPr>
          <w:p w14:paraId="28DC9ECA" w14:textId="77777777" w:rsidR="00275B57" w:rsidRPr="0098697F" w:rsidRDefault="00275B57" w:rsidP="00BC4031">
            <w:pPr>
              <w:spacing w:after="0" w:line="240" w:lineRule="auto"/>
              <w:jc w:val="center"/>
              <w:rPr>
                <w:rFonts w:cs="Times New Roman"/>
                <w:szCs w:val="24"/>
              </w:rPr>
            </w:pPr>
            <w:r w:rsidRPr="0098697F">
              <w:rPr>
                <w:rFonts w:cs="Times New Roman"/>
                <w:szCs w:val="24"/>
              </w:rPr>
              <w:t>0.4422</w:t>
            </w:r>
          </w:p>
        </w:tc>
        <w:tc>
          <w:tcPr>
            <w:tcW w:w="0" w:type="auto"/>
            <w:shd w:val="clear" w:color="000000" w:fill="FFCC99"/>
            <w:noWrap/>
            <w:vAlign w:val="center"/>
            <w:hideMark/>
          </w:tcPr>
          <w:p w14:paraId="32C48260" w14:textId="77777777" w:rsidR="00275B57" w:rsidRPr="0098697F" w:rsidRDefault="00275B57" w:rsidP="00BC4031">
            <w:pPr>
              <w:spacing w:after="0" w:line="240" w:lineRule="auto"/>
              <w:jc w:val="center"/>
              <w:rPr>
                <w:rFonts w:cs="Times New Roman"/>
                <w:szCs w:val="24"/>
              </w:rPr>
            </w:pPr>
            <w:r w:rsidRPr="0098697F">
              <w:rPr>
                <w:rFonts w:cs="Times New Roman"/>
                <w:szCs w:val="24"/>
              </w:rPr>
              <w:t>4,706</w:t>
            </w:r>
          </w:p>
        </w:tc>
        <w:tc>
          <w:tcPr>
            <w:tcW w:w="0" w:type="auto"/>
            <w:shd w:val="clear" w:color="D9E1F2" w:fill="D9E1F2"/>
            <w:noWrap/>
            <w:vAlign w:val="center"/>
            <w:hideMark/>
          </w:tcPr>
          <w:p w14:paraId="37CA724B"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2,081</w:t>
            </w:r>
          </w:p>
        </w:tc>
        <w:tc>
          <w:tcPr>
            <w:tcW w:w="0" w:type="auto"/>
            <w:shd w:val="clear" w:color="D9E1F2" w:fill="D9E1F2"/>
            <w:noWrap/>
            <w:vAlign w:val="center"/>
            <w:hideMark/>
          </w:tcPr>
          <w:p w14:paraId="6C8F83C8"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1%</w:t>
            </w:r>
          </w:p>
        </w:tc>
        <w:tc>
          <w:tcPr>
            <w:tcW w:w="0" w:type="auto"/>
            <w:shd w:val="clear" w:color="000000" w:fill="F2F2F2"/>
            <w:noWrap/>
            <w:vAlign w:val="center"/>
            <w:hideMark/>
          </w:tcPr>
          <w:p w14:paraId="58BF7602"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1%</w:t>
            </w:r>
          </w:p>
        </w:tc>
        <w:tc>
          <w:tcPr>
            <w:tcW w:w="1017" w:type="dxa"/>
            <w:shd w:val="clear" w:color="000000" w:fill="F2F2F2"/>
            <w:noWrap/>
            <w:vAlign w:val="center"/>
            <w:hideMark/>
          </w:tcPr>
          <w:p w14:paraId="441F095C"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r>
      <w:tr w:rsidR="00275B57" w14:paraId="74FA2A57" w14:textId="77777777" w:rsidTr="004C5067">
        <w:trPr>
          <w:trHeight w:val="167"/>
        </w:trPr>
        <w:tc>
          <w:tcPr>
            <w:tcW w:w="0" w:type="auto"/>
            <w:noWrap/>
            <w:vAlign w:val="center"/>
            <w:hideMark/>
          </w:tcPr>
          <w:p w14:paraId="0757A8BA" w14:textId="77777777" w:rsidR="00275B57" w:rsidRPr="00484405" w:rsidRDefault="00275B57" w:rsidP="00BC4031">
            <w:pPr>
              <w:spacing w:after="0" w:line="240" w:lineRule="auto"/>
              <w:rPr>
                <w:rFonts w:cs="Times New Roman"/>
                <w:szCs w:val="24"/>
              </w:rPr>
            </w:pPr>
            <w:r w:rsidRPr="00484405">
              <w:rPr>
                <w:rFonts w:cs="Times New Roman"/>
                <w:szCs w:val="24"/>
              </w:rPr>
              <w:t>18</w:t>
            </w:r>
          </w:p>
        </w:tc>
        <w:tc>
          <w:tcPr>
            <w:tcW w:w="0" w:type="auto"/>
            <w:noWrap/>
            <w:vAlign w:val="center"/>
            <w:hideMark/>
          </w:tcPr>
          <w:p w14:paraId="53561790" w14:textId="77777777" w:rsidR="00275B57" w:rsidRPr="0049452F" w:rsidRDefault="00275B57" w:rsidP="00BC4031">
            <w:pPr>
              <w:spacing w:after="0" w:line="240" w:lineRule="auto"/>
              <w:jc w:val="center"/>
              <w:rPr>
                <w:rFonts w:cs="Times New Roman"/>
                <w:szCs w:val="24"/>
              </w:rPr>
            </w:pPr>
            <w:r w:rsidRPr="0049452F">
              <w:rPr>
                <w:rFonts w:cs="Times New Roman"/>
                <w:szCs w:val="24"/>
              </w:rPr>
              <w:t>60%</w:t>
            </w:r>
          </w:p>
        </w:tc>
        <w:tc>
          <w:tcPr>
            <w:tcW w:w="0" w:type="auto"/>
            <w:noWrap/>
            <w:vAlign w:val="center"/>
            <w:hideMark/>
          </w:tcPr>
          <w:p w14:paraId="28D2CF26" w14:textId="77777777" w:rsidR="00275B57" w:rsidRPr="0049452F" w:rsidRDefault="00275B57" w:rsidP="00BC4031">
            <w:pPr>
              <w:spacing w:after="0" w:line="240" w:lineRule="auto"/>
              <w:jc w:val="center"/>
              <w:rPr>
                <w:rFonts w:cs="Times New Roman"/>
                <w:szCs w:val="24"/>
              </w:rPr>
            </w:pPr>
            <w:r w:rsidRPr="0049452F">
              <w:rPr>
                <w:rFonts w:cs="Times New Roman"/>
                <w:szCs w:val="24"/>
              </w:rPr>
              <w:t>31%</w:t>
            </w:r>
          </w:p>
        </w:tc>
        <w:tc>
          <w:tcPr>
            <w:tcW w:w="0" w:type="auto"/>
            <w:shd w:val="clear" w:color="000000" w:fill="FFCC99"/>
            <w:noWrap/>
            <w:vAlign w:val="center"/>
            <w:hideMark/>
          </w:tcPr>
          <w:p w14:paraId="3A61A47F" w14:textId="77777777" w:rsidR="00275B57" w:rsidRPr="0098697F" w:rsidRDefault="00275B57" w:rsidP="00BC4031">
            <w:pPr>
              <w:spacing w:after="0" w:line="240" w:lineRule="auto"/>
              <w:jc w:val="center"/>
              <w:rPr>
                <w:rFonts w:cs="Times New Roman"/>
                <w:szCs w:val="24"/>
              </w:rPr>
            </w:pPr>
            <w:r w:rsidRPr="0098697F">
              <w:rPr>
                <w:rFonts w:cs="Times New Roman"/>
                <w:szCs w:val="24"/>
              </w:rPr>
              <w:t>0.3976</w:t>
            </w:r>
          </w:p>
        </w:tc>
        <w:tc>
          <w:tcPr>
            <w:tcW w:w="0" w:type="auto"/>
            <w:shd w:val="clear" w:color="000000" w:fill="FFCC99"/>
            <w:noWrap/>
            <w:vAlign w:val="center"/>
            <w:hideMark/>
          </w:tcPr>
          <w:p w14:paraId="4EF05EBF" w14:textId="77777777" w:rsidR="00275B57" w:rsidRPr="0098697F" w:rsidRDefault="00275B57" w:rsidP="00BC4031">
            <w:pPr>
              <w:spacing w:after="0" w:line="240" w:lineRule="auto"/>
              <w:jc w:val="center"/>
              <w:rPr>
                <w:rFonts w:cs="Times New Roman"/>
                <w:szCs w:val="24"/>
              </w:rPr>
            </w:pPr>
            <w:r w:rsidRPr="0098697F">
              <w:rPr>
                <w:rFonts w:cs="Times New Roman"/>
                <w:szCs w:val="24"/>
              </w:rPr>
              <w:t>4,580</w:t>
            </w:r>
          </w:p>
        </w:tc>
        <w:tc>
          <w:tcPr>
            <w:tcW w:w="0" w:type="auto"/>
            <w:noWrap/>
            <w:vAlign w:val="center"/>
            <w:hideMark/>
          </w:tcPr>
          <w:p w14:paraId="766FB195"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1,821</w:t>
            </w:r>
          </w:p>
        </w:tc>
        <w:tc>
          <w:tcPr>
            <w:tcW w:w="0" w:type="auto"/>
            <w:noWrap/>
            <w:vAlign w:val="center"/>
            <w:hideMark/>
          </w:tcPr>
          <w:p w14:paraId="35FC860F"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1%</w:t>
            </w:r>
          </w:p>
        </w:tc>
        <w:tc>
          <w:tcPr>
            <w:tcW w:w="0" w:type="auto"/>
            <w:shd w:val="clear" w:color="000000" w:fill="F2F2F2"/>
            <w:noWrap/>
            <w:vAlign w:val="center"/>
            <w:hideMark/>
          </w:tcPr>
          <w:p w14:paraId="33AFBAB4"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1%</w:t>
            </w:r>
          </w:p>
        </w:tc>
        <w:tc>
          <w:tcPr>
            <w:tcW w:w="1017" w:type="dxa"/>
            <w:shd w:val="clear" w:color="000000" w:fill="F2F2F2"/>
            <w:noWrap/>
            <w:vAlign w:val="center"/>
            <w:hideMark/>
          </w:tcPr>
          <w:p w14:paraId="779A4947"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r>
      <w:tr w:rsidR="00275B57" w14:paraId="3F23DA8E" w14:textId="77777777" w:rsidTr="004C5067">
        <w:trPr>
          <w:trHeight w:val="167"/>
        </w:trPr>
        <w:tc>
          <w:tcPr>
            <w:tcW w:w="0" w:type="auto"/>
            <w:shd w:val="clear" w:color="D9E1F2" w:fill="D9E1F2"/>
            <w:noWrap/>
            <w:vAlign w:val="center"/>
            <w:hideMark/>
          </w:tcPr>
          <w:p w14:paraId="3C374E0E" w14:textId="77777777" w:rsidR="00275B57" w:rsidRPr="00484405" w:rsidRDefault="00275B57" w:rsidP="00BC4031">
            <w:pPr>
              <w:spacing w:after="0" w:line="240" w:lineRule="auto"/>
              <w:rPr>
                <w:rFonts w:cs="Times New Roman"/>
                <w:szCs w:val="24"/>
              </w:rPr>
            </w:pPr>
            <w:r w:rsidRPr="00484405">
              <w:rPr>
                <w:rFonts w:cs="Times New Roman"/>
                <w:szCs w:val="24"/>
              </w:rPr>
              <w:t>19</w:t>
            </w:r>
          </w:p>
        </w:tc>
        <w:tc>
          <w:tcPr>
            <w:tcW w:w="0" w:type="auto"/>
            <w:shd w:val="clear" w:color="D9E1F2" w:fill="D9E1F2"/>
            <w:noWrap/>
            <w:vAlign w:val="center"/>
            <w:hideMark/>
          </w:tcPr>
          <w:p w14:paraId="76EB2DFD" w14:textId="77777777" w:rsidR="00275B57" w:rsidRPr="0049452F" w:rsidRDefault="00275B57" w:rsidP="00BC4031">
            <w:pPr>
              <w:spacing w:after="0" w:line="240" w:lineRule="auto"/>
              <w:jc w:val="center"/>
              <w:rPr>
                <w:rFonts w:cs="Times New Roman"/>
                <w:szCs w:val="24"/>
              </w:rPr>
            </w:pPr>
            <w:r w:rsidRPr="0049452F">
              <w:rPr>
                <w:rFonts w:cs="Times New Roman"/>
                <w:szCs w:val="24"/>
              </w:rPr>
              <w:t>58%</w:t>
            </w:r>
          </w:p>
        </w:tc>
        <w:tc>
          <w:tcPr>
            <w:tcW w:w="0" w:type="auto"/>
            <w:shd w:val="clear" w:color="D9E1F2" w:fill="D9E1F2"/>
            <w:noWrap/>
            <w:vAlign w:val="center"/>
            <w:hideMark/>
          </w:tcPr>
          <w:p w14:paraId="37503E9E" w14:textId="77777777" w:rsidR="00275B57" w:rsidRPr="0049452F" w:rsidRDefault="00275B57" w:rsidP="00BC4031">
            <w:pPr>
              <w:spacing w:after="0" w:line="240" w:lineRule="auto"/>
              <w:jc w:val="center"/>
              <w:rPr>
                <w:rFonts w:cs="Times New Roman"/>
                <w:szCs w:val="24"/>
              </w:rPr>
            </w:pPr>
            <w:r w:rsidRPr="0049452F">
              <w:rPr>
                <w:rFonts w:cs="Times New Roman"/>
                <w:szCs w:val="24"/>
              </w:rPr>
              <w:t>29%</w:t>
            </w:r>
          </w:p>
        </w:tc>
        <w:tc>
          <w:tcPr>
            <w:tcW w:w="0" w:type="auto"/>
            <w:shd w:val="clear" w:color="000000" w:fill="FFCC99"/>
            <w:noWrap/>
            <w:vAlign w:val="center"/>
            <w:hideMark/>
          </w:tcPr>
          <w:p w14:paraId="1C7F090B" w14:textId="77777777" w:rsidR="00275B57" w:rsidRPr="0098697F" w:rsidRDefault="00275B57" w:rsidP="00BC4031">
            <w:pPr>
              <w:spacing w:after="0" w:line="240" w:lineRule="auto"/>
              <w:jc w:val="center"/>
              <w:rPr>
                <w:rFonts w:cs="Times New Roman"/>
                <w:szCs w:val="24"/>
              </w:rPr>
            </w:pPr>
            <w:r w:rsidRPr="0098697F">
              <w:rPr>
                <w:rFonts w:cs="Times New Roman"/>
                <w:szCs w:val="24"/>
              </w:rPr>
              <w:t>0.3520</w:t>
            </w:r>
          </w:p>
        </w:tc>
        <w:tc>
          <w:tcPr>
            <w:tcW w:w="0" w:type="auto"/>
            <w:shd w:val="clear" w:color="000000" w:fill="FFCC99"/>
            <w:noWrap/>
            <w:vAlign w:val="center"/>
            <w:hideMark/>
          </w:tcPr>
          <w:p w14:paraId="508AB613" w14:textId="77777777" w:rsidR="00275B57" w:rsidRPr="0098697F" w:rsidRDefault="00275B57" w:rsidP="00BC4031">
            <w:pPr>
              <w:spacing w:after="0" w:line="240" w:lineRule="auto"/>
              <w:jc w:val="center"/>
              <w:rPr>
                <w:rFonts w:cs="Times New Roman"/>
                <w:szCs w:val="24"/>
              </w:rPr>
            </w:pPr>
            <w:r w:rsidRPr="0098697F">
              <w:rPr>
                <w:rFonts w:cs="Times New Roman"/>
                <w:szCs w:val="24"/>
              </w:rPr>
              <w:t>4,463</w:t>
            </w:r>
          </w:p>
        </w:tc>
        <w:tc>
          <w:tcPr>
            <w:tcW w:w="0" w:type="auto"/>
            <w:shd w:val="clear" w:color="D9E1F2" w:fill="D9E1F2"/>
            <w:noWrap/>
            <w:vAlign w:val="center"/>
            <w:hideMark/>
          </w:tcPr>
          <w:p w14:paraId="7477D0E3"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1,571</w:t>
            </w:r>
          </w:p>
        </w:tc>
        <w:tc>
          <w:tcPr>
            <w:tcW w:w="0" w:type="auto"/>
            <w:shd w:val="clear" w:color="D9E1F2" w:fill="D9E1F2"/>
            <w:noWrap/>
            <w:vAlign w:val="center"/>
            <w:hideMark/>
          </w:tcPr>
          <w:p w14:paraId="33959A70"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1%</w:t>
            </w:r>
          </w:p>
        </w:tc>
        <w:tc>
          <w:tcPr>
            <w:tcW w:w="0" w:type="auto"/>
            <w:shd w:val="clear" w:color="000000" w:fill="F2F2F2"/>
            <w:noWrap/>
            <w:vAlign w:val="center"/>
            <w:hideMark/>
          </w:tcPr>
          <w:p w14:paraId="0D528BD7"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1%</w:t>
            </w:r>
          </w:p>
        </w:tc>
        <w:tc>
          <w:tcPr>
            <w:tcW w:w="1017" w:type="dxa"/>
            <w:shd w:val="clear" w:color="000000" w:fill="F2F2F2"/>
            <w:noWrap/>
            <w:vAlign w:val="center"/>
            <w:hideMark/>
          </w:tcPr>
          <w:p w14:paraId="32CB5FB8"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r>
      <w:tr w:rsidR="00275B57" w14:paraId="27B01195" w14:textId="77777777" w:rsidTr="004C5067">
        <w:trPr>
          <w:trHeight w:val="167"/>
        </w:trPr>
        <w:tc>
          <w:tcPr>
            <w:tcW w:w="0" w:type="auto"/>
            <w:noWrap/>
            <w:vAlign w:val="center"/>
            <w:hideMark/>
          </w:tcPr>
          <w:p w14:paraId="5D8442B7" w14:textId="77777777" w:rsidR="00275B57" w:rsidRPr="00484405" w:rsidRDefault="00275B57" w:rsidP="00BC4031">
            <w:pPr>
              <w:spacing w:after="0" w:line="240" w:lineRule="auto"/>
              <w:rPr>
                <w:rFonts w:cs="Times New Roman"/>
                <w:szCs w:val="24"/>
              </w:rPr>
            </w:pPr>
            <w:r w:rsidRPr="00484405">
              <w:rPr>
                <w:rFonts w:cs="Times New Roman"/>
                <w:szCs w:val="24"/>
              </w:rPr>
              <w:t>20</w:t>
            </w:r>
          </w:p>
        </w:tc>
        <w:tc>
          <w:tcPr>
            <w:tcW w:w="0" w:type="auto"/>
            <w:noWrap/>
            <w:vAlign w:val="center"/>
            <w:hideMark/>
          </w:tcPr>
          <w:p w14:paraId="444E48D7" w14:textId="77777777" w:rsidR="00275B57" w:rsidRPr="0049452F" w:rsidRDefault="00275B57" w:rsidP="00BC4031">
            <w:pPr>
              <w:spacing w:after="0" w:line="240" w:lineRule="auto"/>
              <w:jc w:val="center"/>
              <w:rPr>
                <w:rFonts w:cs="Times New Roman"/>
                <w:szCs w:val="24"/>
              </w:rPr>
            </w:pPr>
            <w:r w:rsidRPr="0049452F">
              <w:rPr>
                <w:rFonts w:cs="Times New Roman"/>
                <w:szCs w:val="24"/>
              </w:rPr>
              <w:t>56%</w:t>
            </w:r>
          </w:p>
        </w:tc>
        <w:tc>
          <w:tcPr>
            <w:tcW w:w="0" w:type="auto"/>
            <w:noWrap/>
            <w:vAlign w:val="center"/>
            <w:hideMark/>
          </w:tcPr>
          <w:p w14:paraId="0A4D2784" w14:textId="77777777" w:rsidR="00275B57" w:rsidRPr="0049452F" w:rsidRDefault="00275B57" w:rsidP="00BC4031">
            <w:pPr>
              <w:spacing w:after="0" w:line="240" w:lineRule="auto"/>
              <w:jc w:val="center"/>
              <w:rPr>
                <w:rFonts w:cs="Times New Roman"/>
                <w:szCs w:val="24"/>
              </w:rPr>
            </w:pPr>
            <w:r w:rsidRPr="0049452F">
              <w:rPr>
                <w:rFonts w:cs="Times New Roman"/>
                <w:szCs w:val="24"/>
              </w:rPr>
              <w:t>27%</w:t>
            </w:r>
          </w:p>
        </w:tc>
        <w:tc>
          <w:tcPr>
            <w:tcW w:w="0" w:type="auto"/>
            <w:shd w:val="clear" w:color="000000" w:fill="FFCC99"/>
            <w:noWrap/>
            <w:vAlign w:val="center"/>
            <w:hideMark/>
          </w:tcPr>
          <w:p w14:paraId="4CF1AA66" w14:textId="77777777" w:rsidR="00275B57" w:rsidRPr="0098697F" w:rsidRDefault="00275B57" w:rsidP="00BC4031">
            <w:pPr>
              <w:spacing w:after="0" w:line="240" w:lineRule="auto"/>
              <w:jc w:val="center"/>
              <w:rPr>
                <w:rFonts w:cs="Times New Roman"/>
                <w:szCs w:val="24"/>
              </w:rPr>
            </w:pPr>
            <w:r w:rsidRPr="0098697F">
              <w:rPr>
                <w:rFonts w:cs="Times New Roman"/>
                <w:szCs w:val="24"/>
              </w:rPr>
              <w:t>0.3092</w:t>
            </w:r>
          </w:p>
        </w:tc>
        <w:tc>
          <w:tcPr>
            <w:tcW w:w="0" w:type="auto"/>
            <w:shd w:val="clear" w:color="000000" w:fill="FFCC99"/>
            <w:noWrap/>
            <w:vAlign w:val="center"/>
            <w:hideMark/>
          </w:tcPr>
          <w:p w14:paraId="6E22F4C7" w14:textId="77777777" w:rsidR="00275B57" w:rsidRPr="0098697F" w:rsidRDefault="00275B57" w:rsidP="00BC4031">
            <w:pPr>
              <w:spacing w:after="0" w:line="240" w:lineRule="auto"/>
              <w:jc w:val="center"/>
              <w:rPr>
                <w:rFonts w:cs="Times New Roman"/>
                <w:szCs w:val="24"/>
              </w:rPr>
            </w:pPr>
            <w:r w:rsidRPr="0098697F">
              <w:rPr>
                <w:rFonts w:cs="Times New Roman"/>
                <w:szCs w:val="24"/>
              </w:rPr>
              <w:t>4,353</w:t>
            </w:r>
          </w:p>
        </w:tc>
        <w:tc>
          <w:tcPr>
            <w:tcW w:w="0" w:type="auto"/>
            <w:noWrap/>
            <w:vAlign w:val="center"/>
            <w:hideMark/>
          </w:tcPr>
          <w:p w14:paraId="4E155B72"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1,346</w:t>
            </w:r>
          </w:p>
        </w:tc>
        <w:tc>
          <w:tcPr>
            <w:tcW w:w="0" w:type="auto"/>
            <w:noWrap/>
            <w:vAlign w:val="center"/>
            <w:hideMark/>
          </w:tcPr>
          <w:p w14:paraId="246206A6"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1%</w:t>
            </w:r>
          </w:p>
        </w:tc>
        <w:tc>
          <w:tcPr>
            <w:tcW w:w="0" w:type="auto"/>
            <w:shd w:val="clear" w:color="000000" w:fill="F2F2F2"/>
            <w:noWrap/>
            <w:vAlign w:val="center"/>
            <w:hideMark/>
          </w:tcPr>
          <w:p w14:paraId="5FA5C6CD"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c>
          <w:tcPr>
            <w:tcW w:w="1017" w:type="dxa"/>
            <w:shd w:val="clear" w:color="000000" w:fill="F2F2F2"/>
            <w:noWrap/>
            <w:vAlign w:val="center"/>
            <w:hideMark/>
          </w:tcPr>
          <w:p w14:paraId="75C87EA9"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r>
      <w:tr w:rsidR="00275B57" w14:paraId="79456CC5" w14:textId="77777777" w:rsidTr="004C5067">
        <w:trPr>
          <w:trHeight w:val="167"/>
        </w:trPr>
        <w:tc>
          <w:tcPr>
            <w:tcW w:w="0" w:type="auto"/>
            <w:shd w:val="clear" w:color="D9E1F2" w:fill="D9E1F2"/>
            <w:noWrap/>
            <w:vAlign w:val="center"/>
            <w:hideMark/>
          </w:tcPr>
          <w:p w14:paraId="289F4218" w14:textId="77777777" w:rsidR="00275B57" w:rsidRPr="00484405" w:rsidRDefault="00275B57" w:rsidP="00BC4031">
            <w:pPr>
              <w:spacing w:after="0" w:line="240" w:lineRule="auto"/>
              <w:rPr>
                <w:rFonts w:cs="Times New Roman"/>
                <w:szCs w:val="24"/>
              </w:rPr>
            </w:pPr>
            <w:r w:rsidRPr="00484405">
              <w:rPr>
                <w:rFonts w:cs="Times New Roman"/>
                <w:szCs w:val="24"/>
              </w:rPr>
              <w:t>21</w:t>
            </w:r>
          </w:p>
        </w:tc>
        <w:tc>
          <w:tcPr>
            <w:tcW w:w="0" w:type="auto"/>
            <w:shd w:val="clear" w:color="D9E1F2" w:fill="D9E1F2"/>
            <w:noWrap/>
            <w:vAlign w:val="center"/>
            <w:hideMark/>
          </w:tcPr>
          <w:p w14:paraId="14D2BDE5" w14:textId="77777777" w:rsidR="00275B57" w:rsidRPr="0049452F" w:rsidRDefault="00275B57" w:rsidP="00BC4031">
            <w:pPr>
              <w:spacing w:after="0" w:line="240" w:lineRule="auto"/>
              <w:jc w:val="center"/>
              <w:rPr>
                <w:rFonts w:cs="Times New Roman"/>
                <w:szCs w:val="24"/>
              </w:rPr>
            </w:pPr>
            <w:r w:rsidRPr="0049452F">
              <w:rPr>
                <w:rFonts w:cs="Times New Roman"/>
                <w:szCs w:val="24"/>
              </w:rPr>
              <w:t>55%</w:t>
            </w:r>
          </w:p>
        </w:tc>
        <w:tc>
          <w:tcPr>
            <w:tcW w:w="0" w:type="auto"/>
            <w:shd w:val="clear" w:color="D9E1F2" w:fill="D9E1F2"/>
            <w:noWrap/>
            <w:vAlign w:val="center"/>
            <w:hideMark/>
          </w:tcPr>
          <w:p w14:paraId="73CBBF20" w14:textId="77777777" w:rsidR="00275B57" w:rsidRPr="0049452F" w:rsidRDefault="00275B57" w:rsidP="00BC4031">
            <w:pPr>
              <w:spacing w:after="0" w:line="240" w:lineRule="auto"/>
              <w:jc w:val="center"/>
              <w:rPr>
                <w:rFonts w:cs="Times New Roman"/>
                <w:szCs w:val="24"/>
              </w:rPr>
            </w:pPr>
            <w:r w:rsidRPr="0049452F">
              <w:rPr>
                <w:rFonts w:cs="Times New Roman"/>
                <w:szCs w:val="24"/>
              </w:rPr>
              <w:t>25%</w:t>
            </w:r>
          </w:p>
        </w:tc>
        <w:tc>
          <w:tcPr>
            <w:tcW w:w="0" w:type="auto"/>
            <w:shd w:val="clear" w:color="000000" w:fill="FFCC99"/>
            <w:noWrap/>
            <w:vAlign w:val="center"/>
            <w:hideMark/>
          </w:tcPr>
          <w:p w14:paraId="6A701829" w14:textId="77777777" w:rsidR="00275B57" w:rsidRPr="0098697F" w:rsidRDefault="00275B57" w:rsidP="00BC4031">
            <w:pPr>
              <w:spacing w:after="0" w:line="240" w:lineRule="auto"/>
              <w:jc w:val="center"/>
              <w:rPr>
                <w:rFonts w:cs="Times New Roman"/>
                <w:szCs w:val="24"/>
              </w:rPr>
            </w:pPr>
            <w:r w:rsidRPr="0098697F">
              <w:rPr>
                <w:rFonts w:cs="Times New Roman"/>
                <w:szCs w:val="24"/>
              </w:rPr>
              <w:t>0.2666</w:t>
            </w:r>
          </w:p>
        </w:tc>
        <w:tc>
          <w:tcPr>
            <w:tcW w:w="0" w:type="auto"/>
            <w:shd w:val="clear" w:color="000000" w:fill="FFCC99"/>
            <w:noWrap/>
            <w:vAlign w:val="center"/>
            <w:hideMark/>
          </w:tcPr>
          <w:p w14:paraId="695BC3EB" w14:textId="77777777" w:rsidR="00275B57" w:rsidRPr="0098697F" w:rsidRDefault="00275B57" w:rsidP="00BC4031">
            <w:pPr>
              <w:spacing w:after="0" w:line="240" w:lineRule="auto"/>
              <w:jc w:val="center"/>
              <w:rPr>
                <w:rFonts w:cs="Times New Roman"/>
                <w:szCs w:val="24"/>
              </w:rPr>
            </w:pPr>
            <w:r w:rsidRPr="0098697F">
              <w:rPr>
                <w:rFonts w:cs="Times New Roman"/>
                <w:szCs w:val="24"/>
              </w:rPr>
              <w:t>4,252</w:t>
            </w:r>
          </w:p>
        </w:tc>
        <w:tc>
          <w:tcPr>
            <w:tcW w:w="0" w:type="auto"/>
            <w:shd w:val="clear" w:color="D9E1F2" w:fill="D9E1F2"/>
            <w:noWrap/>
            <w:vAlign w:val="center"/>
            <w:hideMark/>
          </w:tcPr>
          <w:p w14:paraId="00780536"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1,134</w:t>
            </w:r>
          </w:p>
        </w:tc>
        <w:tc>
          <w:tcPr>
            <w:tcW w:w="0" w:type="auto"/>
            <w:shd w:val="clear" w:color="D9E1F2" w:fill="D9E1F2"/>
            <w:noWrap/>
            <w:vAlign w:val="center"/>
            <w:hideMark/>
          </w:tcPr>
          <w:p w14:paraId="176C9F3E"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1%</w:t>
            </w:r>
          </w:p>
        </w:tc>
        <w:tc>
          <w:tcPr>
            <w:tcW w:w="0" w:type="auto"/>
            <w:shd w:val="clear" w:color="000000" w:fill="F2F2F2"/>
            <w:noWrap/>
            <w:vAlign w:val="center"/>
            <w:hideMark/>
          </w:tcPr>
          <w:p w14:paraId="3D25D0F6"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c>
          <w:tcPr>
            <w:tcW w:w="1017" w:type="dxa"/>
            <w:shd w:val="clear" w:color="000000" w:fill="F2F2F2"/>
            <w:noWrap/>
            <w:vAlign w:val="center"/>
            <w:hideMark/>
          </w:tcPr>
          <w:p w14:paraId="6ECE3EA0"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r>
      <w:tr w:rsidR="00275B57" w14:paraId="662997F8" w14:textId="77777777" w:rsidTr="004C5067">
        <w:trPr>
          <w:trHeight w:val="167"/>
        </w:trPr>
        <w:tc>
          <w:tcPr>
            <w:tcW w:w="0" w:type="auto"/>
            <w:noWrap/>
            <w:vAlign w:val="center"/>
            <w:hideMark/>
          </w:tcPr>
          <w:p w14:paraId="776AAA17" w14:textId="77777777" w:rsidR="00275B57" w:rsidRPr="00484405" w:rsidRDefault="00275B57" w:rsidP="00BC4031">
            <w:pPr>
              <w:spacing w:after="0" w:line="240" w:lineRule="auto"/>
              <w:rPr>
                <w:rFonts w:cs="Times New Roman"/>
                <w:szCs w:val="24"/>
              </w:rPr>
            </w:pPr>
            <w:r w:rsidRPr="00484405">
              <w:rPr>
                <w:rFonts w:cs="Times New Roman"/>
                <w:szCs w:val="24"/>
              </w:rPr>
              <w:t>22</w:t>
            </w:r>
          </w:p>
        </w:tc>
        <w:tc>
          <w:tcPr>
            <w:tcW w:w="0" w:type="auto"/>
            <w:noWrap/>
            <w:vAlign w:val="center"/>
            <w:hideMark/>
          </w:tcPr>
          <w:p w14:paraId="35C84C0C" w14:textId="77777777" w:rsidR="00275B57" w:rsidRPr="0049452F" w:rsidRDefault="00275B57" w:rsidP="00BC4031">
            <w:pPr>
              <w:spacing w:after="0" w:line="240" w:lineRule="auto"/>
              <w:jc w:val="center"/>
              <w:rPr>
                <w:rFonts w:cs="Times New Roman"/>
                <w:szCs w:val="24"/>
              </w:rPr>
            </w:pPr>
            <w:r w:rsidRPr="0049452F">
              <w:rPr>
                <w:rFonts w:cs="Times New Roman"/>
                <w:szCs w:val="24"/>
              </w:rPr>
              <w:t>53%</w:t>
            </w:r>
          </w:p>
        </w:tc>
        <w:tc>
          <w:tcPr>
            <w:tcW w:w="0" w:type="auto"/>
            <w:noWrap/>
            <w:vAlign w:val="center"/>
            <w:hideMark/>
          </w:tcPr>
          <w:p w14:paraId="601A3622" w14:textId="77777777" w:rsidR="00275B57" w:rsidRPr="0049452F" w:rsidRDefault="00275B57" w:rsidP="00BC4031">
            <w:pPr>
              <w:spacing w:after="0" w:line="240" w:lineRule="auto"/>
              <w:jc w:val="center"/>
              <w:rPr>
                <w:rFonts w:cs="Times New Roman"/>
                <w:szCs w:val="24"/>
              </w:rPr>
            </w:pPr>
            <w:r w:rsidRPr="0049452F">
              <w:rPr>
                <w:rFonts w:cs="Times New Roman"/>
                <w:szCs w:val="24"/>
              </w:rPr>
              <w:t>23%</w:t>
            </w:r>
          </w:p>
        </w:tc>
        <w:tc>
          <w:tcPr>
            <w:tcW w:w="0" w:type="auto"/>
            <w:shd w:val="clear" w:color="000000" w:fill="FFCC99"/>
            <w:noWrap/>
            <w:vAlign w:val="center"/>
            <w:hideMark/>
          </w:tcPr>
          <w:p w14:paraId="689BA505" w14:textId="77777777" w:rsidR="00275B57" w:rsidRPr="0098697F" w:rsidRDefault="00275B57" w:rsidP="00BC4031">
            <w:pPr>
              <w:spacing w:after="0" w:line="240" w:lineRule="auto"/>
              <w:jc w:val="center"/>
              <w:rPr>
                <w:rFonts w:cs="Times New Roman"/>
                <w:szCs w:val="24"/>
              </w:rPr>
            </w:pPr>
            <w:r w:rsidRPr="0098697F">
              <w:rPr>
                <w:rFonts w:cs="Times New Roman"/>
                <w:szCs w:val="24"/>
              </w:rPr>
              <w:t>0.2278</w:t>
            </w:r>
          </w:p>
        </w:tc>
        <w:tc>
          <w:tcPr>
            <w:tcW w:w="0" w:type="auto"/>
            <w:shd w:val="clear" w:color="000000" w:fill="FFCC99"/>
            <w:noWrap/>
            <w:vAlign w:val="center"/>
            <w:hideMark/>
          </w:tcPr>
          <w:p w14:paraId="36169585" w14:textId="77777777" w:rsidR="00275B57" w:rsidRPr="0098697F" w:rsidRDefault="00275B57" w:rsidP="00BC4031">
            <w:pPr>
              <w:spacing w:after="0" w:line="240" w:lineRule="auto"/>
              <w:jc w:val="center"/>
              <w:rPr>
                <w:rFonts w:cs="Times New Roman"/>
                <w:szCs w:val="24"/>
              </w:rPr>
            </w:pPr>
            <w:r w:rsidRPr="0098697F">
              <w:rPr>
                <w:rFonts w:cs="Times New Roman"/>
                <w:szCs w:val="24"/>
              </w:rPr>
              <w:t>4,158</w:t>
            </w:r>
          </w:p>
        </w:tc>
        <w:tc>
          <w:tcPr>
            <w:tcW w:w="0" w:type="auto"/>
            <w:noWrap/>
            <w:vAlign w:val="center"/>
            <w:hideMark/>
          </w:tcPr>
          <w:p w14:paraId="1B72EDF4"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947</w:t>
            </w:r>
          </w:p>
        </w:tc>
        <w:tc>
          <w:tcPr>
            <w:tcW w:w="0" w:type="auto"/>
            <w:noWrap/>
            <w:vAlign w:val="center"/>
            <w:hideMark/>
          </w:tcPr>
          <w:p w14:paraId="231F6CEE"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1%</w:t>
            </w:r>
          </w:p>
        </w:tc>
        <w:tc>
          <w:tcPr>
            <w:tcW w:w="0" w:type="auto"/>
            <w:shd w:val="clear" w:color="000000" w:fill="F2F2F2"/>
            <w:noWrap/>
            <w:vAlign w:val="center"/>
            <w:hideMark/>
          </w:tcPr>
          <w:p w14:paraId="07A29E49"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c>
          <w:tcPr>
            <w:tcW w:w="1017" w:type="dxa"/>
            <w:shd w:val="clear" w:color="000000" w:fill="F2F2F2"/>
            <w:noWrap/>
            <w:vAlign w:val="center"/>
            <w:hideMark/>
          </w:tcPr>
          <w:p w14:paraId="049F165D"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r>
      <w:tr w:rsidR="00275B57" w14:paraId="17A687B2" w14:textId="77777777" w:rsidTr="004C5067">
        <w:trPr>
          <w:trHeight w:val="167"/>
        </w:trPr>
        <w:tc>
          <w:tcPr>
            <w:tcW w:w="0" w:type="auto"/>
            <w:shd w:val="clear" w:color="D9E1F2" w:fill="D9E1F2"/>
            <w:noWrap/>
            <w:vAlign w:val="center"/>
            <w:hideMark/>
          </w:tcPr>
          <w:p w14:paraId="64B7E90C" w14:textId="77777777" w:rsidR="00275B57" w:rsidRPr="00484405" w:rsidRDefault="00275B57" w:rsidP="00BC4031">
            <w:pPr>
              <w:spacing w:after="0" w:line="240" w:lineRule="auto"/>
              <w:rPr>
                <w:rFonts w:cs="Times New Roman"/>
                <w:szCs w:val="24"/>
              </w:rPr>
            </w:pPr>
            <w:r w:rsidRPr="00484405">
              <w:rPr>
                <w:rFonts w:cs="Times New Roman"/>
                <w:szCs w:val="24"/>
              </w:rPr>
              <w:t>23</w:t>
            </w:r>
          </w:p>
        </w:tc>
        <w:tc>
          <w:tcPr>
            <w:tcW w:w="0" w:type="auto"/>
            <w:shd w:val="clear" w:color="D9E1F2" w:fill="D9E1F2"/>
            <w:noWrap/>
            <w:vAlign w:val="center"/>
            <w:hideMark/>
          </w:tcPr>
          <w:p w14:paraId="503BE0C4" w14:textId="77777777" w:rsidR="00275B57" w:rsidRPr="0049452F" w:rsidRDefault="00275B57" w:rsidP="00BC4031">
            <w:pPr>
              <w:spacing w:after="0" w:line="240" w:lineRule="auto"/>
              <w:jc w:val="center"/>
              <w:rPr>
                <w:rFonts w:cs="Times New Roman"/>
                <w:szCs w:val="24"/>
              </w:rPr>
            </w:pPr>
            <w:r w:rsidRPr="0049452F">
              <w:rPr>
                <w:rFonts w:cs="Times New Roman"/>
                <w:szCs w:val="24"/>
              </w:rPr>
              <w:t>51%</w:t>
            </w:r>
          </w:p>
        </w:tc>
        <w:tc>
          <w:tcPr>
            <w:tcW w:w="0" w:type="auto"/>
            <w:shd w:val="clear" w:color="D9E1F2" w:fill="D9E1F2"/>
            <w:noWrap/>
            <w:vAlign w:val="center"/>
            <w:hideMark/>
          </w:tcPr>
          <w:p w14:paraId="242A99A5" w14:textId="77777777" w:rsidR="00275B57" w:rsidRPr="0049452F" w:rsidRDefault="00275B57" w:rsidP="00BC4031">
            <w:pPr>
              <w:spacing w:after="0" w:line="240" w:lineRule="auto"/>
              <w:jc w:val="center"/>
              <w:rPr>
                <w:rFonts w:cs="Times New Roman"/>
                <w:szCs w:val="24"/>
              </w:rPr>
            </w:pPr>
            <w:r w:rsidRPr="0049452F">
              <w:rPr>
                <w:rFonts w:cs="Times New Roman"/>
                <w:szCs w:val="24"/>
              </w:rPr>
              <w:t>22%</w:t>
            </w:r>
          </w:p>
        </w:tc>
        <w:tc>
          <w:tcPr>
            <w:tcW w:w="0" w:type="auto"/>
            <w:shd w:val="clear" w:color="000000" w:fill="FFCC99"/>
            <w:noWrap/>
            <w:vAlign w:val="center"/>
            <w:hideMark/>
          </w:tcPr>
          <w:p w14:paraId="11550BA3" w14:textId="77777777" w:rsidR="00275B57" w:rsidRPr="0098697F" w:rsidRDefault="00275B57" w:rsidP="00BC4031">
            <w:pPr>
              <w:spacing w:after="0" w:line="240" w:lineRule="auto"/>
              <w:jc w:val="center"/>
              <w:rPr>
                <w:rFonts w:cs="Times New Roman"/>
                <w:szCs w:val="24"/>
              </w:rPr>
            </w:pPr>
            <w:r w:rsidRPr="0098697F">
              <w:rPr>
                <w:rFonts w:cs="Times New Roman"/>
                <w:szCs w:val="24"/>
              </w:rPr>
              <w:t>0.2019</w:t>
            </w:r>
          </w:p>
        </w:tc>
        <w:tc>
          <w:tcPr>
            <w:tcW w:w="0" w:type="auto"/>
            <w:shd w:val="clear" w:color="000000" w:fill="FFCC99"/>
            <w:noWrap/>
            <w:vAlign w:val="center"/>
            <w:hideMark/>
          </w:tcPr>
          <w:p w14:paraId="06AC24A4" w14:textId="77777777" w:rsidR="00275B57" w:rsidRPr="0098697F" w:rsidRDefault="00275B57" w:rsidP="00BC4031">
            <w:pPr>
              <w:spacing w:after="0" w:line="240" w:lineRule="auto"/>
              <w:jc w:val="center"/>
              <w:rPr>
                <w:rFonts w:cs="Times New Roman"/>
                <w:szCs w:val="24"/>
              </w:rPr>
            </w:pPr>
            <w:r w:rsidRPr="0098697F">
              <w:rPr>
                <w:rFonts w:cs="Times New Roman"/>
                <w:szCs w:val="24"/>
              </w:rPr>
              <w:t>4,071</w:t>
            </w:r>
          </w:p>
        </w:tc>
        <w:tc>
          <w:tcPr>
            <w:tcW w:w="0" w:type="auto"/>
            <w:shd w:val="clear" w:color="D9E1F2" w:fill="D9E1F2"/>
            <w:noWrap/>
            <w:vAlign w:val="center"/>
            <w:hideMark/>
          </w:tcPr>
          <w:p w14:paraId="15065271"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822</w:t>
            </w:r>
          </w:p>
        </w:tc>
        <w:tc>
          <w:tcPr>
            <w:tcW w:w="0" w:type="auto"/>
            <w:shd w:val="clear" w:color="D9E1F2" w:fill="D9E1F2"/>
            <w:noWrap/>
            <w:vAlign w:val="center"/>
            <w:hideMark/>
          </w:tcPr>
          <w:p w14:paraId="2E9568A2"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1%</w:t>
            </w:r>
          </w:p>
        </w:tc>
        <w:tc>
          <w:tcPr>
            <w:tcW w:w="0" w:type="auto"/>
            <w:shd w:val="clear" w:color="000000" w:fill="F2F2F2"/>
            <w:noWrap/>
            <w:vAlign w:val="center"/>
            <w:hideMark/>
          </w:tcPr>
          <w:p w14:paraId="34DBCF71"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c>
          <w:tcPr>
            <w:tcW w:w="1017" w:type="dxa"/>
            <w:shd w:val="clear" w:color="000000" w:fill="F2F2F2"/>
            <w:noWrap/>
            <w:vAlign w:val="center"/>
            <w:hideMark/>
          </w:tcPr>
          <w:p w14:paraId="6FB1EB8E"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r>
      <w:tr w:rsidR="00275B57" w14:paraId="1A1E245C" w14:textId="77777777" w:rsidTr="004C5067">
        <w:trPr>
          <w:trHeight w:val="167"/>
        </w:trPr>
        <w:tc>
          <w:tcPr>
            <w:tcW w:w="0" w:type="auto"/>
            <w:noWrap/>
            <w:vAlign w:val="center"/>
            <w:hideMark/>
          </w:tcPr>
          <w:p w14:paraId="6AB07AB9" w14:textId="77777777" w:rsidR="00275B57" w:rsidRPr="00484405" w:rsidRDefault="00275B57" w:rsidP="00BC4031">
            <w:pPr>
              <w:spacing w:after="0" w:line="240" w:lineRule="auto"/>
              <w:rPr>
                <w:rFonts w:cs="Times New Roman"/>
                <w:szCs w:val="24"/>
              </w:rPr>
            </w:pPr>
            <w:r w:rsidRPr="00484405">
              <w:rPr>
                <w:rFonts w:cs="Times New Roman"/>
                <w:szCs w:val="24"/>
              </w:rPr>
              <w:t>24</w:t>
            </w:r>
          </w:p>
        </w:tc>
        <w:tc>
          <w:tcPr>
            <w:tcW w:w="0" w:type="auto"/>
            <w:noWrap/>
            <w:vAlign w:val="center"/>
            <w:hideMark/>
          </w:tcPr>
          <w:p w14:paraId="16844966" w14:textId="77777777" w:rsidR="00275B57" w:rsidRPr="0049452F" w:rsidRDefault="00275B57" w:rsidP="00BC4031">
            <w:pPr>
              <w:spacing w:after="0" w:line="240" w:lineRule="auto"/>
              <w:jc w:val="center"/>
              <w:rPr>
                <w:rFonts w:cs="Times New Roman"/>
                <w:szCs w:val="24"/>
              </w:rPr>
            </w:pPr>
            <w:r w:rsidRPr="0049452F">
              <w:rPr>
                <w:rFonts w:cs="Times New Roman"/>
                <w:szCs w:val="24"/>
              </w:rPr>
              <w:t>50%</w:t>
            </w:r>
          </w:p>
        </w:tc>
        <w:tc>
          <w:tcPr>
            <w:tcW w:w="0" w:type="auto"/>
            <w:noWrap/>
            <w:vAlign w:val="center"/>
            <w:hideMark/>
          </w:tcPr>
          <w:p w14:paraId="6C009D7A" w14:textId="77777777" w:rsidR="00275B57" w:rsidRPr="0049452F" w:rsidRDefault="00275B57" w:rsidP="00BC4031">
            <w:pPr>
              <w:spacing w:after="0" w:line="240" w:lineRule="auto"/>
              <w:jc w:val="center"/>
              <w:rPr>
                <w:rFonts w:cs="Times New Roman"/>
                <w:szCs w:val="24"/>
              </w:rPr>
            </w:pPr>
            <w:r w:rsidRPr="0049452F">
              <w:rPr>
                <w:rFonts w:cs="Times New Roman"/>
                <w:szCs w:val="24"/>
              </w:rPr>
              <w:t>20%</w:t>
            </w:r>
          </w:p>
        </w:tc>
        <w:tc>
          <w:tcPr>
            <w:tcW w:w="0" w:type="auto"/>
            <w:shd w:val="clear" w:color="000000" w:fill="FFCC99"/>
            <w:noWrap/>
            <w:vAlign w:val="center"/>
            <w:hideMark/>
          </w:tcPr>
          <w:p w14:paraId="6EA63FD6" w14:textId="77777777" w:rsidR="00275B57" w:rsidRPr="0098697F" w:rsidRDefault="00275B57" w:rsidP="00BC4031">
            <w:pPr>
              <w:spacing w:after="0" w:line="240" w:lineRule="auto"/>
              <w:jc w:val="center"/>
              <w:rPr>
                <w:rFonts w:cs="Times New Roman"/>
                <w:szCs w:val="24"/>
              </w:rPr>
            </w:pPr>
            <w:r w:rsidRPr="0098697F">
              <w:rPr>
                <w:rFonts w:cs="Times New Roman"/>
                <w:szCs w:val="24"/>
              </w:rPr>
              <w:t>0.1750</w:t>
            </w:r>
          </w:p>
        </w:tc>
        <w:tc>
          <w:tcPr>
            <w:tcW w:w="0" w:type="auto"/>
            <w:shd w:val="clear" w:color="000000" w:fill="FFCC99"/>
            <w:noWrap/>
            <w:vAlign w:val="center"/>
            <w:hideMark/>
          </w:tcPr>
          <w:p w14:paraId="7AEBF1F2" w14:textId="77777777" w:rsidR="00275B57" w:rsidRPr="0098697F" w:rsidRDefault="00275B57" w:rsidP="00BC4031">
            <w:pPr>
              <w:spacing w:after="0" w:line="240" w:lineRule="auto"/>
              <w:jc w:val="center"/>
              <w:rPr>
                <w:rFonts w:cs="Times New Roman"/>
                <w:szCs w:val="24"/>
              </w:rPr>
            </w:pPr>
            <w:r w:rsidRPr="0098697F">
              <w:rPr>
                <w:rFonts w:cs="Times New Roman"/>
                <w:szCs w:val="24"/>
              </w:rPr>
              <w:t>3,993</w:t>
            </w:r>
          </w:p>
        </w:tc>
        <w:tc>
          <w:tcPr>
            <w:tcW w:w="0" w:type="auto"/>
            <w:noWrap/>
            <w:vAlign w:val="center"/>
            <w:hideMark/>
          </w:tcPr>
          <w:p w14:paraId="48ADBED5"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699</w:t>
            </w:r>
          </w:p>
        </w:tc>
        <w:tc>
          <w:tcPr>
            <w:tcW w:w="0" w:type="auto"/>
            <w:noWrap/>
            <w:vAlign w:val="center"/>
            <w:hideMark/>
          </w:tcPr>
          <w:p w14:paraId="4C7EDD33"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0%</w:t>
            </w:r>
          </w:p>
        </w:tc>
        <w:tc>
          <w:tcPr>
            <w:tcW w:w="0" w:type="auto"/>
            <w:shd w:val="clear" w:color="000000" w:fill="F2F2F2"/>
            <w:noWrap/>
            <w:vAlign w:val="center"/>
            <w:hideMark/>
          </w:tcPr>
          <w:p w14:paraId="39F8D5FA"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c>
          <w:tcPr>
            <w:tcW w:w="1017" w:type="dxa"/>
            <w:shd w:val="clear" w:color="000000" w:fill="F2F2F2"/>
            <w:noWrap/>
            <w:vAlign w:val="center"/>
            <w:hideMark/>
          </w:tcPr>
          <w:p w14:paraId="1A35B99B"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r>
      <w:tr w:rsidR="00275B57" w14:paraId="042D2111" w14:textId="77777777" w:rsidTr="004C5067">
        <w:trPr>
          <w:trHeight w:val="167"/>
        </w:trPr>
        <w:tc>
          <w:tcPr>
            <w:tcW w:w="0" w:type="auto"/>
            <w:shd w:val="clear" w:color="D9E1F2" w:fill="D9E1F2"/>
            <w:noWrap/>
            <w:vAlign w:val="center"/>
            <w:hideMark/>
          </w:tcPr>
          <w:p w14:paraId="1165A7FB" w14:textId="77777777" w:rsidR="00275B57" w:rsidRPr="00484405" w:rsidRDefault="00275B57" w:rsidP="00BC4031">
            <w:pPr>
              <w:spacing w:after="0" w:line="240" w:lineRule="auto"/>
              <w:rPr>
                <w:rFonts w:cs="Times New Roman"/>
                <w:szCs w:val="24"/>
              </w:rPr>
            </w:pPr>
            <w:r w:rsidRPr="00484405">
              <w:rPr>
                <w:rFonts w:cs="Times New Roman"/>
                <w:szCs w:val="24"/>
              </w:rPr>
              <w:t>25</w:t>
            </w:r>
          </w:p>
        </w:tc>
        <w:tc>
          <w:tcPr>
            <w:tcW w:w="0" w:type="auto"/>
            <w:shd w:val="clear" w:color="D9E1F2" w:fill="D9E1F2"/>
            <w:noWrap/>
            <w:vAlign w:val="center"/>
            <w:hideMark/>
          </w:tcPr>
          <w:p w14:paraId="40DE85C9" w14:textId="77777777" w:rsidR="00275B57" w:rsidRPr="0049452F" w:rsidRDefault="00275B57" w:rsidP="00BC4031">
            <w:pPr>
              <w:spacing w:after="0" w:line="240" w:lineRule="auto"/>
              <w:jc w:val="center"/>
              <w:rPr>
                <w:rFonts w:cs="Times New Roman"/>
                <w:szCs w:val="24"/>
              </w:rPr>
            </w:pPr>
            <w:r w:rsidRPr="0049452F">
              <w:rPr>
                <w:rFonts w:cs="Times New Roman"/>
                <w:szCs w:val="24"/>
              </w:rPr>
              <w:t>48%</w:t>
            </w:r>
          </w:p>
        </w:tc>
        <w:tc>
          <w:tcPr>
            <w:tcW w:w="0" w:type="auto"/>
            <w:shd w:val="clear" w:color="D9E1F2" w:fill="D9E1F2"/>
            <w:noWrap/>
            <w:vAlign w:val="center"/>
            <w:hideMark/>
          </w:tcPr>
          <w:p w14:paraId="33BF3E8C" w14:textId="77777777" w:rsidR="00275B57" w:rsidRPr="0049452F" w:rsidRDefault="00275B57" w:rsidP="00BC4031">
            <w:pPr>
              <w:spacing w:after="0" w:line="240" w:lineRule="auto"/>
              <w:jc w:val="center"/>
              <w:rPr>
                <w:rFonts w:cs="Times New Roman"/>
                <w:szCs w:val="24"/>
              </w:rPr>
            </w:pPr>
            <w:r w:rsidRPr="0049452F">
              <w:rPr>
                <w:rFonts w:cs="Times New Roman"/>
                <w:szCs w:val="24"/>
              </w:rPr>
              <w:t>19%</w:t>
            </w:r>
          </w:p>
        </w:tc>
        <w:tc>
          <w:tcPr>
            <w:tcW w:w="0" w:type="auto"/>
            <w:shd w:val="clear" w:color="000000" w:fill="FFCC99"/>
            <w:noWrap/>
            <w:vAlign w:val="center"/>
            <w:hideMark/>
          </w:tcPr>
          <w:p w14:paraId="4ACF421F" w14:textId="77777777" w:rsidR="00275B57" w:rsidRPr="0098697F" w:rsidRDefault="00275B57" w:rsidP="00BC4031">
            <w:pPr>
              <w:spacing w:after="0" w:line="240" w:lineRule="auto"/>
              <w:jc w:val="center"/>
              <w:rPr>
                <w:rFonts w:cs="Times New Roman"/>
                <w:szCs w:val="24"/>
              </w:rPr>
            </w:pPr>
            <w:r w:rsidRPr="0098697F">
              <w:rPr>
                <w:rFonts w:cs="Times New Roman"/>
                <w:szCs w:val="24"/>
              </w:rPr>
              <w:t>0.1584</w:t>
            </w:r>
          </w:p>
        </w:tc>
        <w:tc>
          <w:tcPr>
            <w:tcW w:w="0" w:type="auto"/>
            <w:shd w:val="clear" w:color="000000" w:fill="FFCC99"/>
            <w:noWrap/>
            <w:vAlign w:val="center"/>
            <w:hideMark/>
          </w:tcPr>
          <w:p w14:paraId="0C28811F" w14:textId="77777777" w:rsidR="00275B57" w:rsidRPr="0098697F" w:rsidRDefault="00275B57" w:rsidP="00BC4031">
            <w:pPr>
              <w:spacing w:after="0" w:line="240" w:lineRule="auto"/>
              <w:jc w:val="center"/>
              <w:rPr>
                <w:rFonts w:cs="Times New Roman"/>
                <w:szCs w:val="24"/>
              </w:rPr>
            </w:pPr>
            <w:r w:rsidRPr="0098697F">
              <w:rPr>
                <w:rFonts w:cs="Times New Roman"/>
                <w:szCs w:val="24"/>
              </w:rPr>
              <w:t>3,922</w:t>
            </w:r>
          </w:p>
        </w:tc>
        <w:tc>
          <w:tcPr>
            <w:tcW w:w="0" w:type="auto"/>
            <w:shd w:val="clear" w:color="D9E1F2" w:fill="D9E1F2"/>
            <w:noWrap/>
            <w:vAlign w:val="center"/>
            <w:hideMark/>
          </w:tcPr>
          <w:p w14:paraId="08EE3E48"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621</w:t>
            </w:r>
          </w:p>
        </w:tc>
        <w:tc>
          <w:tcPr>
            <w:tcW w:w="0" w:type="auto"/>
            <w:shd w:val="clear" w:color="D9E1F2" w:fill="D9E1F2"/>
            <w:noWrap/>
            <w:vAlign w:val="center"/>
            <w:hideMark/>
          </w:tcPr>
          <w:p w14:paraId="36D81697"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0%</w:t>
            </w:r>
          </w:p>
        </w:tc>
        <w:tc>
          <w:tcPr>
            <w:tcW w:w="0" w:type="auto"/>
            <w:shd w:val="clear" w:color="000000" w:fill="F2F2F2"/>
            <w:noWrap/>
            <w:vAlign w:val="center"/>
            <w:hideMark/>
          </w:tcPr>
          <w:p w14:paraId="1AE76ECE"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c>
          <w:tcPr>
            <w:tcW w:w="1017" w:type="dxa"/>
            <w:shd w:val="clear" w:color="000000" w:fill="F2F2F2"/>
            <w:noWrap/>
            <w:vAlign w:val="center"/>
            <w:hideMark/>
          </w:tcPr>
          <w:p w14:paraId="3B92A768"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r>
      <w:tr w:rsidR="00275B57" w14:paraId="5DD0DAAE" w14:textId="77777777" w:rsidTr="004C5067">
        <w:trPr>
          <w:trHeight w:val="167"/>
        </w:trPr>
        <w:tc>
          <w:tcPr>
            <w:tcW w:w="0" w:type="auto"/>
            <w:noWrap/>
            <w:vAlign w:val="center"/>
            <w:hideMark/>
          </w:tcPr>
          <w:p w14:paraId="525A4C50" w14:textId="77777777" w:rsidR="00275B57" w:rsidRPr="00484405" w:rsidRDefault="00275B57" w:rsidP="00BC4031">
            <w:pPr>
              <w:spacing w:after="0" w:line="240" w:lineRule="auto"/>
              <w:rPr>
                <w:rFonts w:cs="Times New Roman"/>
                <w:szCs w:val="24"/>
              </w:rPr>
            </w:pPr>
            <w:r w:rsidRPr="00484405">
              <w:rPr>
                <w:rFonts w:cs="Times New Roman"/>
                <w:szCs w:val="24"/>
              </w:rPr>
              <w:t>26</w:t>
            </w:r>
          </w:p>
        </w:tc>
        <w:tc>
          <w:tcPr>
            <w:tcW w:w="0" w:type="auto"/>
            <w:noWrap/>
            <w:vAlign w:val="center"/>
            <w:hideMark/>
          </w:tcPr>
          <w:p w14:paraId="288AEA25" w14:textId="77777777" w:rsidR="00275B57" w:rsidRPr="0049452F" w:rsidRDefault="00275B57" w:rsidP="00BC4031">
            <w:pPr>
              <w:spacing w:after="0" w:line="240" w:lineRule="auto"/>
              <w:jc w:val="center"/>
              <w:rPr>
                <w:rFonts w:cs="Times New Roman"/>
                <w:szCs w:val="24"/>
              </w:rPr>
            </w:pPr>
            <w:r w:rsidRPr="0049452F">
              <w:rPr>
                <w:rFonts w:cs="Times New Roman"/>
                <w:szCs w:val="24"/>
              </w:rPr>
              <w:t>47%</w:t>
            </w:r>
          </w:p>
        </w:tc>
        <w:tc>
          <w:tcPr>
            <w:tcW w:w="0" w:type="auto"/>
            <w:noWrap/>
            <w:vAlign w:val="center"/>
            <w:hideMark/>
          </w:tcPr>
          <w:p w14:paraId="74455D63" w14:textId="77777777" w:rsidR="00275B57" w:rsidRPr="0049452F" w:rsidRDefault="00275B57" w:rsidP="00BC4031">
            <w:pPr>
              <w:spacing w:after="0" w:line="240" w:lineRule="auto"/>
              <w:jc w:val="center"/>
              <w:rPr>
                <w:rFonts w:cs="Times New Roman"/>
                <w:szCs w:val="24"/>
              </w:rPr>
            </w:pPr>
            <w:r w:rsidRPr="0049452F">
              <w:rPr>
                <w:rFonts w:cs="Times New Roman"/>
                <w:szCs w:val="24"/>
              </w:rPr>
              <w:t>18%</w:t>
            </w:r>
          </w:p>
        </w:tc>
        <w:tc>
          <w:tcPr>
            <w:tcW w:w="0" w:type="auto"/>
            <w:shd w:val="clear" w:color="000000" w:fill="FFCC99"/>
            <w:noWrap/>
            <w:vAlign w:val="center"/>
            <w:hideMark/>
          </w:tcPr>
          <w:p w14:paraId="241C97E7" w14:textId="77777777" w:rsidR="00275B57" w:rsidRPr="0098697F" w:rsidRDefault="00275B57" w:rsidP="00BC4031">
            <w:pPr>
              <w:spacing w:after="0" w:line="240" w:lineRule="auto"/>
              <w:jc w:val="center"/>
              <w:rPr>
                <w:rFonts w:cs="Times New Roman"/>
                <w:szCs w:val="24"/>
              </w:rPr>
            </w:pPr>
            <w:r w:rsidRPr="0098697F">
              <w:rPr>
                <w:rFonts w:cs="Times New Roman"/>
                <w:szCs w:val="24"/>
              </w:rPr>
              <w:t>0.1452</w:t>
            </w:r>
          </w:p>
        </w:tc>
        <w:tc>
          <w:tcPr>
            <w:tcW w:w="0" w:type="auto"/>
            <w:shd w:val="clear" w:color="000000" w:fill="FFCC99"/>
            <w:noWrap/>
            <w:vAlign w:val="center"/>
            <w:hideMark/>
          </w:tcPr>
          <w:p w14:paraId="77FC32FC" w14:textId="77777777" w:rsidR="00275B57" w:rsidRPr="0098697F" w:rsidRDefault="00275B57" w:rsidP="00BC4031">
            <w:pPr>
              <w:spacing w:after="0" w:line="240" w:lineRule="auto"/>
              <w:jc w:val="center"/>
              <w:rPr>
                <w:rFonts w:cs="Times New Roman"/>
                <w:szCs w:val="24"/>
              </w:rPr>
            </w:pPr>
            <w:r w:rsidRPr="0098697F">
              <w:rPr>
                <w:rFonts w:cs="Times New Roman"/>
                <w:szCs w:val="24"/>
              </w:rPr>
              <w:t>3,860</w:t>
            </w:r>
          </w:p>
        </w:tc>
        <w:tc>
          <w:tcPr>
            <w:tcW w:w="0" w:type="auto"/>
            <w:noWrap/>
            <w:vAlign w:val="center"/>
            <w:hideMark/>
          </w:tcPr>
          <w:p w14:paraId="213CE4FC"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560</w:t>
            </w:r>
          </w:p>
        </w:tc>
        <w:tc>
          <w:tcPr>
            <w:tcW w:w="0" w:type="auto"/>
            <w:noWrap/>
            <w:vAlign w:val="center"/>
            <w:hideMark/>
          </w:tcPr>
          <w:p w14:paraId="38295FB4"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0%</w:t>
            </w:r>
          </w:p>
        </w:tc>
        <w:tc>
          <w:tcPr>
            <w:tcW w:w="0" w:type="auto"/>
            <w:shd w:val="clear" w:color="000000" w:fill="F2F2F2"/>
            <w:noWrap/>
            <w:vAlign w:val="center"/>
            <w:hideMark/>
          </w:tcPr>
          <w:p w14:paraId="26495329"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c>
          <w:tcPr>
            <w:tcW w:w="1017" w:type="dxa"/>
            <w:shd w:val="clear" w:color="000000" w:fill="F2F2F2"/>
            <w:noWrap/>
            <w:vAlign w:val="center"/>
            <w:hideMark/>
          </w:tcPr>
          <w:p w14:paraId="66080C68"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r>
      <w:tr w:rsidR="00275B57" w14:paraId="59903740" w14:textId="77777777" w:rsidTr="004C5067">
        <w:trPr>
          <w:trHeight w:val="167"/>
        </w:trPr>
        <w:tc>
          <w:tcPr>
            <w:tcW w:w="0" w:type="auto"/>
            <w:shd w:val="clear" w:color="D9E1F2" w:fill="D9E1F2"/>
            <w:noWrap/>
            <w:vAlign w:val="center"/>
            <w:hideMark/>
          </w:tcPr>
          <w:p w14:paraId="30622A71" w14:textId="77777777" w:rsidR="00275B57" w:rsidRPr="00484405" w:rsidRDefault="00275B57" w:rsidP="00BC4031">
            <w:pPr>
              <w:spacing w:after="0" w:line="240" w:lineRule="auto"/>
              <w:rPr>
                <w:rFonts w:cs="Times New Roman"/>
                <w:szCs w:val="24"/>
              </w:rPr>
            </w:pPr>
            <w:r w:rsidRPr="00484405">
              <w:rPr>
                <w:rFonts w:cs="Times New Roman"/>
                <w:szCs w:val="24"/>
              </w:rPr>
              <w:t>27</w:t>
            </w:r>
          </w:p>
        </w:tc>
        <w:tc>
          <w:tcPr>
            <w:tcW w:w="0" w:type="auto"/>
            <w:shd w:val="clear" w:color="D9E1F2" w:fill="D9E1F2"/>
            <w:noWrap/>
            <w:vAlign w:val="center"/>
            <w:hideMark/>
          </w:tcPr>
          <w:p w14:paraId="294D6677" w14:textId="77777777" w:rsidR="00275B57" w:rsidRPr="0049452F" w:rsidRDefault="00275B57" w:rsidP="00BC4031">
            <w:pPr>
              <w:spacing w:after="0" w:line="240" w:lineRule="auto"/>
              <w:jc w:val="center"/>
              <w:rPr>
                <w:rFonts w:cs="Times New Roman"/>
                <w:szCs w:val="24"/>
              </w:rPr>
            </w:pPr>
            <w:r w:rsidRPr="0049452F">
              <w:rPr>
                <w:rFonts w:cs="Times New Roman"/>
                <w:szCs w:val="24"/>
              </w:rPr>
              <w:t>46%</w:t>
            </w:r>
          </w:p>
        </w:tc>
        <w:tc>
          <w:tcPr>
            <w:tcW w:w="0" w:type="auto"/>
            <w:shd w:val="clear" w:color="D9E1F2" w:fill="D9E1F2"/>
            <w:noWrap/>
            <w:vAlign w:val="center"/>
            <w:hideMark/>
          </w:tcPr>
          <w:p w14:paraId="19609DAD" w14:textId="77777777" w:rsidR="00275B57" w:rsidRPr="0049452F" w:rsidRDefault="00275B57" w:rsidP="00BC4031">
            <w:pPr>
              <w:spacing w:after="0" w:line="240" w:lineRule="auto"/>
              <w:jc w:val="center"/>
              <w:rPr>
                <w:rFonts w:cs="Times New Roman"/>
                <w:szCs w:val="24"/>
              </w:rPr>
            </w:pPr>
            <w:r w:rsidRPr="0049452F">
              <w:rPr>
                <w:rFonts w:cs="Times New Roman"/>
                <w:szCs w:val="24"/>
              </w:rPr>
              <w:t>17%</w:t>
            </w:r>
          </w:p>
        </w:tc>
        <w:tc>
          <w:tcPr>
            <w:tcW w:w="0" w:type="auto"/>
            <w:shd w:val="clear" w:color="000000" w:fill="FFCC99"/>
            <w:noWrap/>
            <w:vAlign w:val="center"/>
            <w:hideMark/>
          </w:tcPr>
          <w:p w14:paraId="2A8DC366" w14:textId="77777777" w:rsidR="00275B57" w:rsidRPr="0098697F" w:rsidRDefault="00275B57" w:rsidP="00BC4031">
            <w:pPr>
              <w:spacing w:after="0" w:line="240" w:lineRule="auto"/>
              <w:jc w:val="center"/>
              <w:rPr>
                <w:rFonts w:cs="Times New Roman"/>
                <w:szCs w:val="24"/>
              </w:rPr>
            </w:pPr>
            <w:r w:rsidRPr="0098697F">
              <w:rPr>
                <w:rFonts w:cs="Times New Roman"/>
                <w:szCs w:val="24"/>
              </w:rPr>
              <w:t>0.1390</w:t>
            </w:r>
          </w:p>
        </w:tc>
        <w:tc>
          <w:tcPr>
            <w:tcW w:w="0" w:type="auto"/>
            <w:shd w:val="clear" w:color="000000" w:fill="FFCC99"/>
            <w:noWrap/>
            <w:vAlign w:val="center"/>
            <w:hideMark/>
          </w:tcPr>
          <w:p w14:paraId="1B8DF9D2" w14:textId="77777777" w:rsidR="00275B57" w:rsidRPr="0098697F" w:rsidRDefault="00275B57" w:rsidP="00BC4031">
            <w:pPr>
              <w:spacing w:after="0" w:line="240" w:lineRule="auto"/>
              <w:jc w:val="center"/>
              <w:rPr>
                <w:rFonts w:cs="Times New Roman"/>
                <w:szCs w:val="24"/>
              </w:rPr>
            </w:pPr>
            <w:r w:rsidRPr="0098697F">
              <w:rPr>
                <w:rFonts w:cs="Times New Roman"/>
                <w:szCs w:val="24"/>
              </w:rPr>
              <w:t>3,805</w:t>
            </w:r>
          </w:p>
        </w:tc>
        <w:tc>
          <w:tcPr>
            <w:tcW w:w="0" w:type="auto"/>
            <w:shd w:val="clear" w:color="D9E1F2" w:fill="D9E1F2"/>
            <w:noWrap/>
            <w:vAlign w:val="center"/>
            <w:hideMark/>
          </w:tcPr>
          <w:p w14:paraId="30B5B7FE"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529</w:t>
            </w:r>
          </w:p>
        </w:tc>
        <w:tc>
          <w:tcPr>
            <w:tcW w:w="0" w:type="auto"/>
            <w:shd w:val="clear" w:color="D9E1F2" w:fill="D9E1F2"/>
            <w:noWrap/>
            <w:vAlign w:val="center"/>
            <w:hideMark/>
          </w:tcPr>
          <w:p w14:paraId="466068C9"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0%</w:t>
            </w:r>
          </w:p>
        </w:tc>
        <w:tc>
          <w:tcPr>
            <w:tcW w:w="0" w:type="auto"/>
            <w:shd w:val="clear" w:color="000000" w:fill="F2F2F2"/>
            <w:noWrap/>
            <w:vAlign w:val="center"/>
            <w:hideMark/>
          </w:tcPr>
          <w:p w14:paraId="7BA0B4DE"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c>
          <w:tcPr>
            <w:tcW w:w="1017" w:type="dxa"/>
            <w:shd w:val="clear" w:color="000000" w:fill="F2F2F2"/>
            <w:noWrap/>
            <w:vAlign w:val="center"/>
            <w:hideMark/>
          </w:tcPr>
          <w:p w14:paraId="5F479E49"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r>
      <w:tr w:rsidR="00275B57" w14:paraId="5A47A3A6" w14:textId="77777777" w:rsidTr="004C5067">
        <w:trPr>
          <w:trHeight w:val="167"/>
        </w:trPr>
        <w:tc>
          <w:tcPr>
            <w:tcW w:w="0" w:type="auto"/>
            <w:noWrap/>
            <w:vAlign w:val="center"/>
            <w:hideMark/>
          </w:tcPr>
          <w:p w14:paraId="0CA47F33" w14:textId="77777777" w:rsidR="00275B57" w:rsidRPr="00484405" w:rsidRDefault="00275B57" w:rsidP="00BC4031">
            <w:pPr>
              <w:spacing w:after="0" w:line="240" w:lineRule="auto"/>
              <w:rPr>
                <w:rFonts w:cs="Times New Roman"/>
                <w:szCs w:val="24"/>
              </w:rPr>
            </w:pPr>
            <w:r w:rsidRPr="00484405">
              <w:rPr>
                <w:rFonts w:cs="Times New Roman"/>
                <w:szCs w:val="24"/>
              </w:rPr>
              <w:t>28</w:t>
            </w:r>
          </w:p>
        </w:tc>
        <w:tc>
          <w:tcPr>
            <w:tcW w:w="0" w:type="auto"/>
            <w:noWrap/>
            <w:vAlign w:val="center"/>
            <w:hideMark/>
          </w:tcPr>
          <w:p w14:paraId="1706E00E" w14:textId="77777777" w:rsidR="00275B57" w:rsidRPr="0049452F" w:rsidRDefault="00275B57" w:rsidP="00BC4031">
            <w:pPr>
              <w:spacing w:after="0" w:line="240" w:lineRule="auto"/>
              <w:jc w:val="center"/>
              <w:rPr>
                <w:rFonts w:cs="Times New Roman"/>
                <w:szCs w:val="24"/>
              </w:rPr>
            </w:pPr>
            <w:r w:rsidRPr="0049452F">
              <w:rPr>
                <w:rFonts w:cs="Times New Roman"/>
                <w:szCs w:val="24"/>
              </w:rPr>
              <w:t>44%</w:t>
            </w:r>
          </w:p>
        </w:tc>
        <w:tc>
          <w:tcPr>
            <w:tcW w:w="0" w:type="auto"/>
            <w:noWrap/>
            <w:vAlign w:val="center"/>
            <w:hideMark/>
          </w:tcPr>
          <w:p w14:paraId="7DCE33C0" w14:textId="77777777" w:rsidR="00275B57" w:rsidRPr="0049452F" w:rsidRDefault="00275B57" w:rsidP="00BC4031">
            <w:pPr>
              <w:spacing w:after="0" w:line="240" w:lineRule="auto"/>
              <w:jc w:val="center"/>
              <w:rPr>
                <w:rFonts w:cs="Times New Roman"/>
                <w:szCs w:val="24"/>
              </w:rPr>
            </w:pPr>
            <w:r w:rsidRPr="0049452F">
              <w:rPr>
                <w:rFonts w:cs="Times New Roman"/>
                <w:szCs w:val="24"/>
              </w:rPr>
              <w:t>16%</w:t>
            </w:r>
          </w:p>
        </w:tc>
        <w:tc>
          <w:tcPr>
            <w:tcW w:w="0" w:type="auto"/>
            <w:shd w:val="clear" w:color="000000" w:fill="FFCC99"/>
            <w:noWrap/>
            <w:vAlign w:val="center"/>
            <w:hideMark/>
          </w:tcPr>
          <w:p w14:paraId="6AA45591" w14:textId="77777777" w:rsidR="00275B57" w:rsidRPr="0098697F" w:rsidRDefault="00275B57" w:rsidP="00BC4031">
            <w:pPr>
              <w:spacing w:after="0" w:line="240" w:lineRule="auto"/>
              <w:jc w:val="center"/>
              <w:rPr>
                <w:rFonts w:cs="Times New Roman"/>
                <w:szCs w:val="24"/>
              </w:rPr>
            </w:pPr>
            <w:r w:rsidRPr="0098697F">
              <w:rPr>
                <w:rFonts w:cs="Times New Roman"/>
                <w:szCs w:val="24"/>
              </w:rPr>
              <w:t>0.1250</w:t>
            </w:r>
          </w:p>
        </w:tc>
        <w:tc>
          <w:tcPr>
            <w:tcW w:w="0" w:type="auto"/>
            <w:shd w:val="clear" w:color="000000" w:fill="FFCC99"/>
            <w:noWrap/>
            <w:vAlign w:val="center"/>
            <w:hideMark/>
          </w:tcPr>
          <w:p w14:paraId="3D738F97" w14:textId="77777777" w:rsidR="00275B57" w:rsidRPr="0098697F" w:rsidRDefault="00275B57" w:rsidP="00BC4031">
            <w:pPr>
              <w:spacing w:after="0" w:line="240" w:lineRule="auto"/>
              <w:jc w:val="center"/>
              <w:rPr>
                <w:rFonts w:cs="Times New Roman"/>
                <w:szCs w:val="24"/>
              </w:rPr>
            </w:pPr>
            <w:r w:rsidRPr="0098697F">
              <w:rPr>
                <w:rFonts w:cs="Times New Roman"/>
                <w:szCs w:val="24"/>
              </w:rPr>
              <w:t>3,758</w:t>
            </w:r>
          </w:p>
        </w:tc>
        <w:tc>
          <w:tcPr>
            <w:tcW w:w="0" w:type="auto"/>
            <w:noWrap/>
            <w:vAlign w:val="center"/>
            <w:hideMark/>
          </w:tcPr>
          <w:p w14:paraId="15586D9F"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470</w:t>
            </w:r>
          </w:p>
        </w:tc>
        <w:tc>
          <w:tcPr>
            <w:tcW w:w="0" w:type="auto"/>
            <w:noWrap/>
            <w:vAlign w:val="center"/>
            <w:hideMark/>
          </w:tcPr>
          <w:p w14:paraId="7C723776"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0%</w:t>
            </w:r>
          </w:p>
        </w:tc>
        <w:tc>
          <w:tcPr>
            <w:tcW w:w="0" w:type="auto"/>
            <w:shd w:val="clear" w:color="000000" w:fill="F2F2F2"/>
            <w:noWrap/>
            <w:vAlign w:val="center"/>
            <w:hideMark/>
          </w:tcPr>
          <w:p w14:paraId="44C6ADBE"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c>
          <w:tcPr>
            <w:tcW w:w="1017" w:type="dxa"/>
            <w:shd w:val="clear" w:color="000000" w:fill="F2F2F2"/>
            <w:noWrap/>
            <w:vAlign w:val="center"/>
            <w:hideMark/>
          </w:tcPr>
          <w:p w14:paraId="15041FE0"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r>
      <w:tr w:rsidR="00275B57" w14:paraId="0F3B09A5" w14:textId="77777777" w:rsidTr="004C5067">
        <w:trPr>
          <w:trHeight w:val="167"/>
        </w:trPr>
        <w:tc>
          <w:tcPr>
            <w:tcW w:w="0" w:type="auto"/>
            <w:shd w:val="clear" w:color="D9E1F2" w:fill="D9E1F2"/>
            <w:noWrap/>
            <w:vAlign w:val="center"/>
            <w:hideMark/>
          </w:tcPr>
          <w:p w14:paraId="095DF7E4" w14:textId="77777777" w:rsidR="00275B57" w:rsidRPr="00484405" w:rsidRDefault="00275B57" w:rsidP="00BC4031">
            <w:pPr>
              <w:spacing w:after="0" w:line="240" w:lineRule="auto"/>
              <w:rPr>
                <w:rFonts w:cs="Times New Roman"/>
                <w:szCs w:val="24"/>
              </w:rPr>
            </w:pPr>
            <w:r w:rsidRPr="00484405">
              <w:rPr>
                <w:rFonts w:cs="Times New Roman"/>
                <w:szCs w:val="24"/>
              </w:rPr>
              <w:t>29</w:t>
            </w:r>
          </w:p>
        </w:tc>
        <w:tc>
          <w:tcPr>
            <w:tcW w:w="0" w:type="auto"/>
            <w:shd w:val="clear" w:color="D9E1F2" w:fill="D9E1F2"/>
            <w:noWrap/>
            <w:vAlign w:val="center"/>
            <w:hideMark/>
          </w:tcPr>
          <w:p w14:paraId="73FB6E15" w14:textId="77777777" w:rsidR="00275B57" w:rsidRPr="0049452F" w:rsidRDefault="00275B57" w:rsidP="00BC4031">
            <w:pPr>
              <w:spacing w:after="0" w:line="240" w:lineRule="auto"/>
              <w:jc w:val="center"/>
              <w:rPr>
                <w:rFonts w:cs="Times New Roman"/>
                <w:szCs w:val="24"/>
              </w:rPr>
            </w:pPr>
            <w:r w:rsidRPr="0049452F">
              <w:rPr>
                <w:rFonts w:cs="Times New Roman"/>
                <w:szCs w:val="24"/>
              </w:rPr>
              <w:t>43%</w:t>
            </w:r>
          </w:p>
        </w:tc>
        <w:tc>
          <w:tcPr>
            <w:tcW w:w="0" w:type="auto"/>
            <w:shd w:val="clear" w:color="D9E1F2" w:fill="D9E1F2"/>
            <w:noWrap/>
            <w:vAlign w:val="center"/>
            <w:hideMark/>
          </w:tcPr>
          <w:p w14:paraId="0FBB0BA6" w14:textId="77777777" w:rsidR="00275B57" w:rsidRPr="0049452F" w:rsidRDefault="00275B57" w:rsidP="00BC4031">
            <w:pPr>
              <w:spacing w:after="0" w:line="240" w:lineRule="auto"/>
              <w:jc w:val="center"/>
              <w:rPr>
                <w:rFonts w:cs="Times New Roman"/>
                <w:szCs w:val="24"/>
              </w:rPr>
            </w:pPr>
            <w:r w:rsidRPr="0049452F">
              <w:rPr>
                <w:rFonts w:cs="Times New Roman"/>
                <w:szCs w:val="24"/>
              </w:rPr>
              <w:t>15%</w:t>
            </w:r>
          </w:p>
        </w:tc>
        <w:tc>
          <w:tcPr>
            <w:tcW w:w="0" w:type="auto"/>
            <w:shd w:val="clear" w:color="000000" w:fill="FFCC99"/>
            <w:noWrap/>
            <w:vAlign w:val="center"/>
            <w:hideMark/>
          </w:tcPr>
          <w:p w14:paraId="15BAA810" w14:textId="77777777" w:rsidR="00275B57" w:rsidRPr="0098697F" w:rsidRDefault="00275B57" w:rsidP="00BC4031">
            <w:pPr>
              <w:spacing w:after="0" w:line="240" w:lineRule="auto"/>
              <w:jc w:val="center"/>
              <w:rPr>
                <w:rFonts w:cs="Times New Roman"/>
                <w:szCs w:val="24"/>
              </w:rPr>
            </w:pPr>
            <w:r w:rsidRPr="0098697F">
              <w:rPr>
                <w:rFonts w:cs="Times New Roman"/>
                <w:szCs w:val="24"/>
              </w:rPr>
              <w:t>0.1112</w:t>
            </w:r>
          </w:p>
        </w:tc>
        <w:tc>
          <w:tcPr>
            <w:tcW w:w="0" w:type="auto"/>
            <w:shd w:val="clear" w:color="000000" w:fill="FFCC99"/>
            <w:noWrap/>
            <w:vAlign w:val="center"/>
            <w:hideMark/>
          </w:tcPr>
          <w:p w14:paraId="34CE2F9A" w14:textId="77777777" w:rsidR="00275B57" w:rsidRPr="0098697F" w:rsidRDefault="00275B57" w:rsidP="00BC4031">
            <w:pPr>
              <w:spacing w:after="0" w:line="240" w:lineRule="auto"/>
              <w:jc w:val="center"/>
              <w:rPr>
                <w:rFonts w:cs="Times New Roman"/>
                <w:szCs w:val="24"/>
              </w:rPr>
            </w:pPr>
            <w:r w:rsidRPr="0098697F">
              <w:rPr>
                <w:rFonts w:cs="Times New Roman"/>
                <w:szCs w:val="24"/>
              </w:rPr>
              <w:t>3,718</w:t>
            </w:r>
          </w:p>
        </w:tc>
        <w:tc>
          <w:tcPr>
            <w:tcW w:w="0" w:type="auto"/>
            <w:shd w:val="clear" w:color="D9E1F2" w:fill="D9E1F2"/>
            <w:noWrap/>
            <w:vAlign w:val="center"/>
            <w:hideMark/>
          </w:tcPr>
          <w:p w14:paraId="6504ECDA"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413</w:t>
            </w:r>
          </w:p>
        </w:tc>
        <w:tc>
          <w:tcPr>
            <w:tcW w:w="0" w:type="auto"/>
            <w:shd w:val="clear" w:color="D9E1F2" w:fill="D9E1F2"/>
            <w:noWrap/>
            <w:vAlign w:val="center"/>
            <w:hideMark/>
          </w:tcPr>
          <w:p w14:paraId="08FF5319"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0%</w:t>
            </w:r>
          </w:p>
        </w:tc>
        <w:tc>
          <w:tcPr>
            <w:tcW w:w="0" w:type="auto"/>
            <w:shd w:val="clear" w:color="000000" w:fill="F2F2F2"/>
            <w:noWrap/>
            <w:vAlign w:val="center"/>
            <w:hideMark/>
          </w:tcPr>
          <w:p w14:paraId="462388C6"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c>
          <w:tcPr>
            <w:tcW w:w="1017" w:type="dxa"/>
            <w:shd w:val="clear" w:color="000000" w:fill="F2F2F2"/>
            <w:noWrap/>
            <w:vAlign w:val="center"/>
            <w:hideMark/>
          </w:tcPr>
          <w:p w14:paraId="5C42F197"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r>
      <w:tr w:rsidR="00275B57" w14:paraId="1EF768BC" w14:textId="77777777" w:rsidTr="004C5067">
        <w:trPr>
          <w:trHeight w:val="167"/>
        </w:trPr>
        <w:tc>
          <w:tcPr>
            <w:tcW w:w="0" w:type="auto"/>
            <w:noWrap/>
            <w:vAlign w:val="center"/>
            <w:hideMark/>
          </w:tcPr>
          <w:p w14:paraId="66EDC5F9" w14:textId="77777777" w:rsidR="00275B57" w:rsidRPr="00484405" w:rsidRDefault="00275B57" w:rsidP="00BC4031">
            <w:pPr>
              <w:spacing w:after="0" w:line="240" w:lineRule="auto"/>
              <w:rPr>
                <w:rFonts w:cs="Times New Roman"/>
                <w:szCs w:val="24"/>
              </w:rPr>
            </w:pPr>
            <w:r w:rsidRPr="00484405">
              <w:rPr>
                <w:rFonts w:cs="Times New Roman"/>
                <w:szCs w:val="24"/>
              </w:rPr>
              <w:t>30</w:t>
            </w:r>
          </w:p>
        </w:tc>
        <w:tc>
          <w:tcPr>
            <w:tcW w:w="0" w:type="auto"/>
            <w:noWrap/>
            <w:vAlign w:val="center"/>
            <w:hideMark/>
          </w:tcPr>
          <w:p w14:paraId="45CD9759" w14:textId="77777777" w:rsidR="00275B57" w:rsidRPr="0049452F" w:rsidRDefault="00275B57" w:rsidP="00BC4031">
            <w:pPr>
              <w:spacing w:after="0" w:line="240" w:lineRule="auto"/>
              <w:jc w:val="center"/>
              <w:rPr>
                <w:rFonts w:cs="Times New Roman"/>
                <w:szCs w:val="24"/>
              </w:rPr>
            </w:pPr>
            <w:r w:rsidRPr="0049452F">
              <w:rPr>
                <w:rFonts w:cs="Times New Roman"/>
                <w:szCs w:val="24"/>
              </w:rPr>
              <w:t>42%</w:t>
            </w:r>
          </w:p>
        </w:tc>
        <w:tc>
          <w:tcPr>
            <w:tcW w:w="0" w:type="auto"/>
            <w:noWrap/>
            <w:vAlign w:val="center"/>
            <w:hideMark/>
          </w:tcPr>
          <w:p w14:paraId="7B34149C" w14:textId="77777777" w:rsidR="00275B57" w:rsidRPr="0049452F" w:rsidRDefault="00275B57" w:rsidP="00BC4031">
            <w:pPr>
              <w:spacing w:after="0" w:line="240" w:lineRule="auto"/>
              <w:jc w:val="center"/>
              <w:rPr>
                <w:rFonts w:cs="Times New Roman"/>
                <w:szCs w:val="24"/>
              </w:rPr>
            </w:pPr>
            <w:r w:rsidRPr="0049452F">
              <w:rPr>
                <w:rFonts w:cs="Times New Roman"/>
                <w:szCs w:val="24"/>
              </w:rPr>
              <w:t>14%</w:t>
            </w:r>
          </w:p>
        </w:tc>
        <w:tc>
          <w:tcPr>
            <w:tcW w:w="0" w:type="auto"/>
            <w:shd w:val="clear" w:color="000000" w:fill="FFCC99"/>
            <w:noWrap/>
            <w:vAlign w:val="center"/>
            <w:hideMark/>
          </w:tcPr>
          <w:p w14:paraId="1807985D" w14:textId="77777777" w:rsidR="00275B57" w:rsidRPr="0098697F" w:rsidRDefault="00275B57" w:rsidP="00BC4031">
            <w:pPr>
              <w:spacing w:after="0" w:line="240" w:lineRule="auto"/>
              <w:jc w:val="center"/>
              <w:rPr>
                <w:rFonts w:cs="Times New Roman"/>
                <w:szCs w:val="24"/>
              </w:rPr>
            </w:pPr>
            <w:r w:rsidRPr="0098697F">
              <w:rPr>
                <w:rFonts w:cs="Times New Roman"/>
                <w:szCs w:val="24"/>
              </w:rPr>
              <w:t>0.1028</w:t>
            </w:r>
          </w:p>
        </w:tc>
        <w:tc>
          <w:tcPr>
            <w:tcW w:w="0" w:type="auto"/>
            <w:shd w:val="clear" w:color="000000" w:fill="FFCC99"/>
            <w:noWrap/>
            <w:vAlign w:val="center"/>
            <w:hideMark/>
          </w:tcPr>
          <w:p w14:paraId="766CECA4" w14:textId="77777777" w:rsidR="00275B57" w:rsidRPr="0098697F" w:rsidRDefault="00275B57" w:rsidP="00BC4031">
            <w:pPr>
              <w:spacing w:after="0" w:line="240" w:lineRule="auto"/>
              <w:jc w:val="center"/>
              <w:rPr>
                <w:rFonts w:cs="Times New Roman"/>
                <w:szCs w:val="24"/>
              </w:rPr>
            </w:pPr>
            <w:r w:rsidRPr="0098697F">
              <w:rPr>
                <w:rFonts w:cs="Times New Roman"/>
                <w:szCs w:val="24"/>
              </w:rPr>
              <w:t>3,687</w:t>
            </w:r>
          </w:p>
        </w:tc>
        <w:tc>
          <w:tcPr>
            <w:tcW w:w="0" w:type="auto"/>
            <w:noWrap/>
            <w:vAlign w:val="center"/>
            <w:hideMark/>
          </w:tcPr>
          <w:p w14:paraId="4BBF4D02"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379</w:t>
            </w:r>
          </w:p>
        </w:tc>
        <w:tc>
          <w:tcPr>
            <w:tcW w:w="0" w:type="auto"/>
            <w:noWrap/>
            <w:vAlign w:val="center"/>
            <w:hideMark/>
          </w:tcPr>
          <w:p w14:paraId="04FA2244"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0%</w:t>
            </w:r>
          </w:p>
        </w:tc>
        <w:tc>
          <w:tcPr>
            <w:tcW w:w="0" w:type="auto"/>
            <w:shd w:val="clear" w:color="000000" w:fill="F2F2F2"/>
            <w:noWrap/>
            <w:vAlign w:val="center"/>
            <w:hideMark/>
          </w:tcPr>
          <w:p w14:paraId="0B014AB2"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c>
          <w:tcPr>
            <w:tcW w:w="1017" w:type="dxa"/>
            <w:shd w:val="clear" w:color="000000" w:fill="F2F2F2"/>
            <w:noWrap/>
            <w:vAlign w:val="center"/>
            <w:hideMark/>
          </w:tcPr>
          <w:p w14:paraId="4B9B46C9"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r>
      <w:tr w:rsidR="00275B57" w14:paraId="10F47C2E" w14:textId="77777777" w:rsidTr="004C5067">
        <w:trPr>
          <w:trHeight w:val="167"/>
        </w:trPr>
        <w:tc>
          <w:tcPr>
            <w:tcW w:w="0" w:type="auto"/>
            <w:shd w:val="clear" w:color="D9E1F2" w:fill="D9E1F2"/>
            <w:noWrap/>
            <w:vAlign w:val="center"/>
            <w:hideMark/>
          </w:tcPr>
          <w:p w14:paraId="1479B45D" w14:textId="77777777" w:rsidR="00275B57" w:rsidRPr="00484405" w:rsidRDefault="00275B57" w:rsidP="00BC4031">
            <w:pPr>
              <w:spacing w:after="0" w:line="240" w:lineRule="auto"/>
              <w:rPr>
                <w:rFonts w:cs="Times New Roman"/>
                <w:szCs w:val="24"/>
              </w:rPr>
            </w:pPr>
            <w:r w:rsidRPr="00484405">
              <w:rPr>
                <w:rFonts w:cs="Times New Roman"/>
                <w:szCs w:val="24"/>
              </w:rPr>
              <w:t>31</w:t>
            </w:r>
          </w:p>
        </w:tc>
        <w:tc>
          <w:tcPr>
            <w:tcW w:w="0" w:type="auto"/>
            <w:shd w:val="clear" w:color="D9E1F2" w:fill="D9E1F2"/>
            <w:noWrap/>
            <w:vAlign w:val="center"/>
            <w:hideMark/>
          </w:tcPr>
          <w:p w14:paraId="2325F2F8" w14:textId="77777777" w:rsidR="00275B57" w:rsidRPr="0049452F" w:rsidRDefault="00275B57" w:rsidP="00BC4031">
            <w:pPr>
              <w:spacing w:after="0" w:line="240" w:lineRule="auto"/>
              <w:jc w:val="center"/>
              <w:rPr>
                <w:rFonts w:cs="Times New Roman"/>
                <w:szCs w:val="24"/>
              </w:rPr>
            </w:pPr>
            <w:r w:rsidRPr="0049452F">
              <w:rPr>
                <w:rFonts w:cs="Times New Roman"/>
                <w:szCs w:val="24"/>
              </w:rPr>
              <w:t>41%</w:t>
            </w:r>
          </w:p>
        </w:tc>
        <w:tc>
          <w:tcPr>
            <w:tcW w:w="0" w:type="auto"/>
            <w:shd w:val="clear" w:color="D9E1F2" w:fill="D9E1F2"/>
            <w:noWrap/>
            <w:vAlign w:val="center"/>
            <w:hideMark/>
          </w:tcPr>
          <w:p w14:paraId="01E6D489" w14:textId="77777777" w:rsidR="00275B57" w:rsidRPr="0049452F" w:rsidRDefault="00275B57" w:rsidP="00BC4031">
            <w:pPr>
              <w:spacing w:after="0" w:line="240" w:lineRule="auto"/>
              <w:jc w:val="center"/>
              <w:rPr>
                <w:rFonts w:cs="Times New Roman"/>
                <w:szCs w:val="24"/>
              </w:rPr>
            </w:pPr>
            <w:r w:rsidRPr="0049452F">
              <w:rPr>
                <w:rFonts w:cs="Times New Roman"/>
                <w:szCs w:val="24"/>
              </w:rPr>
              <w:t>13%</w:t>
            </w:r>
          </w:p>
        </w:tc>
        <w:tc>
          <w:tcPr>
            <w:tcW w:w="0" w:type="auto"/>
            <w:shd w:val="clear" w:color="000000" w:fill="FFCC99"/>
            <w:noWrap/>
            <w:vAlign w:val="center"/>
            <w:hideMark/>
          </w:tcPr>
          <w:p w14:paraId="0F744757" w14:textId="77777777" w:rsidR="00275B57" w:rsidRPr="0098697F" w:rsidRDefault="00275B57" w:rsidP="00BC4031">
            <w:pPr>
              <w:spacing w:after="0" w:line="240" w:lineRule="auto"/>
              <w:jc w:val="center"/>
              <w:rPr>
                <w:rFonts w:cs="Times New Roman"/>
                <w:szCs w:val="24"/>
              </w:rPr>
            </w:pPr>
            <w:r w:rsidRPr="0098697F">
              <w:rPr>
                <w:rFonts w:cs="Times New Roman"/>
                <w:szCs w:val="24"/>
              </w:rPr>
              <w:t>0.0933</w:t>
            </w:r>
          </w:p>
        </w:tc>
        <w:tc>
          <w:tcPr>
            <w:tcW w:w="0" w:type="auto"/>
            <w:shd w:val="clear" w:color="000000" w:fill="FFCC99"/>
            <w:noWrap/>
            <w:vAlign w:val="center"/>
            <w:hideMark/>
          </w:tcPr>
          <w:p w14:paraId="7AE19797" w14:textId="77777777" w:rsidR="00275B57" w:rsidRPr="0098697F" w:rsidRDefault="00275B57" w:rsidP="00BC4031">
            <w:pPr>
              <w:spacing w:after="0" w:line="240" w:lineRule="auto"/>
              <w:jc w:val="center"/>
              <w:rPr>
                <w:rFonts w:cs="Times New Roman"/>
                <w:szCs w:val="24"/>
              </w:rPr>
            </w:pPr>
            <w:r w:rsidRPr="0098697F">
              <w:rPr>
                <w:rFonts w:cs="Times New Roman"/>
                <w:szCs w:val="24"/>
              </w:rPr>
              <w:t>3,660</w:t>
            </w:r>
          </w:p>
        </w:tc>
        <w:tc>
          <w:tcPr>
            <w:tcW w:w="0" w:type="auto"/>
            <w:shd w:val="clear" w:color="D9E1F2" w:fill="D9E1F2"/>
            <w:noWrap/>
            <w:vAlign w:val="center"/>
            <w:hideMark/>
          </w:tcPr>
          <w:p w14:paraId="3B817B89"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341</w:t>
            </w:r>
          </w:p>
        </w:tc>
        <w:tc>
          <w:tcPr>
            <w:tcW w:w="0" w:type="auto"/>
            <w:shd w:val="clear" w:color="D9E1F2" w:fill="D9E1F2"/>
            <w:noWrap/>
            <w:vAlign w:val="center"/>
            <w:hideMark/>
          </w:tcPr>
          <w:p w14:paraId="716CFE06"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0%</w:t>
            </w:r>
          </w:p>
        </w:tc>
        <w:tc>
          <w:tcPr>
            <w:tcW w:w="0" w:type="auto"/>
            <w:shd w:val="clear" w:color="000000" w:fill="F2F2F2"/>
            <w:noWrap/>
            <w:vAlign w:val="center"/>
            <w:hideMark/>
          </w:tcPr>
          <w:p w14:paraId="7D5A226A"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c>
          <w:tcPr>
            <w:tcW w:w="1017" w:type="dxa"/>
            <w:shd w:val="clear" w:color="000000" w:fill="F2F2F2"/>
            <w:noWrap/>
            <w:vAlign w:val="center"/>
            <w:hideMark/>
          </w:tcPr>
          <w:p w14:paraId="05E72EA1"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r>
      <w:tr w:rsidR="00275B57" w14:paraId="79BABC7B" w14:textId="77777777" w:rsidTr="004C5067">
        <w:trPr>
          <w:trHeight w:val="167"/>
        </w:trPr>
        <w:tc>
          <w:tcPr>
            <w:tcW w:w="0" w:type="auto"/>
            <w:noWrap/>
            <w:vAlign w:val="center"/>
            <w:hideMark/>
          </w:tcPr>
          <w:p w14:paraId="0E4CB234" w14:textId="77777777" w:rsidR="00275B57" w:rsidRPr="00484405" w:rsidRDefault="00275B57" w:rsidP="00BC4031">
            <w:pPr>
              <w:spacing w:after="0" w:line="240" w:lineRule="auto"/>
              <w:rPr>
                <w:rFonts w:cs="Times New Roman"/>
                <w:szCs w:val="24"/>
              </w:rPr>
            </w:pPr>
            <w:r w:rsidRPr="00484405">
              <w:rPr>
                <w:rFonts w:cs="Times New Roman"/>
                <w:szCs w:val="24"/>
              </w:rPr>
              <w:t>32</w:t>
            </w:r>
          </w:p>
        </w:tc>
        <w:tc>
          <w:tcPr>
            <w:tcW w:w="0" w:type="auto"/>
            <w:noWrap/>
            <w:vAlign w:val="center"/>
            <w:hideMark/>
          </w:tcPr>
          <w:p w14:paraId="2278401E" w14:textId="77777777" w:rsidR="00275B57" w:rsidRPr="0049452F" w:rsidRDefault="00275B57" w:rsidP="00BC4031">
            <w:pPr>
              <w:spacing w:after="0" w:line="240" w:lineRule="auto"/>
              <w:jc w:val="center"/>
              <w:rPr>
                <w:rFonts w:cs="Times New Roman"/>
                <w:szCs w:val="24"/>
              </w:rPr>
            </w:pPr>
            <w:r w:rsidRPr="0049452F">
              <w:rPr>
                <w:rFonts w:cs="Times New Roman"/>
                <w:szCs w:val="24"/>
              </w:rPr>
              <w:t>39%</w:t>
            </w:r>
          </w:p>
        </w:tc>
        <w:tc>
          <w:tcPr>
            <w:tcW w:w="0" w:type="auto"/>
            <w:noWrap/>
            <w:vAlign w:val="center"/>
            <w:hideMark/>
          </w:tcPr>
          <w:p w14:paraId="7A408674" w14:textId="77777777" w:rsidR="00275B57" w:rsidRPr="0049452F" w:rsidRDefault="00275B57" w:rsidP="00BC4031">
            <w:pPr>
              <w:spacing w:after="0" w:line="240" w:lineRule="auto"/>
              <w:jc w:val="center"/>
              <w:rPr>
                <w:rFonts w:cs="Times New Roman"/>
                <w:szCs w:val="24"/>
              </w:rPr>
            </w:pPr>
            <w:r w:rsidRPr="0049452F">
              <w:rPr>
                <w:rFonts w:cs="Times New Roman"/>
                <w:szCs w:val="24"/>
              </w:rPr>
              <w:t>12%</w:t>
            </w:r>
          </w:p>
        </w:tc>
        <w:tc>
          <w:tcPr>
            <w:tcW w:w="0" w:type="auto"/>
            <w:shd w:val="clear" w:color="000000" w:fill="FFCC99"/>
            <w:noWrap/>
            <w:vAlign w:val="center"/>
            <w:hideMark/>
          </w:tcPr>
          <w:p w14:paraId="1872FBE4" w14:textId="77777777" w:rsidR="00275B57" w:rsidRPr="0098697F" w:rsidRDefault="00275B57" w:rsidP="00BC4031">
            <w:pPr>
              <w:spacing w:after="0" w:line="240" w:lineRule="auto"/>
              <w:jc w:val="center"/>
              <w:rPr>
                <w:rFonts w:cs="Times New Roman"/>
                <w:szCs w:val="24"/>
              </w:rPr>
            </w:pPr>
            <w:r w:rsidRPr="0098697F">
              <w:rPr>
                <w:rFonts w:cs="Times New Roman"/>
                <w:szCs w:val="24"/>
              </w:rPr>
              <w:t>0.0835</w:t>
            </w:r>
          </w:p>
        </w:tc>
        <w:tc>
          <w:tcPr>
            <w:tcW w:w="0" w:type="auto"/>
            <w:shd w:val="clear" w:color="000000" w:fill="FFCC99"/>
            <w:noWrap/>
            <w:vAlign w:val="center"/>
            <w:hideMark/>
          </w:tcPr>
          <w:p w14:paraId="0E36151A" w14:textId="77777777" w:rsidR="00275B57" w:rsidRPr="0098697F" w:rsidRDefault="00275B57" w:rsidP="00BC4031">
            <w:pPr>
              <w:spacing w:after="0" w:line="240" w:lineRule="auto"/>
              <w:jc w:val="center"/>
              <w:rPr>
                <w:rFonts w:cs="Times New Roman"/>
                <w:szCs w:val="24"/>
              </w:rPr>
            </w:pPr>
            <w:r w:rsidRPr="0098697F">
              <w:rPr>
                <w:rFonts w:cs="Times New Roman"/>
                <w:szCs w:val="24"/>
              </w:rPr>
              <w:t>3,660</w:t>
            </w:r>
          </w:p>
        </w:tc>
        <w:tc>
          <w:tcPr>
            <w:tcW w:w="0" w:type="auto"/>
            <w:noWrap/>
            <w:vAlign w:val="center"/>
            <w:hideMark/>
          </w:tcPr>
          <w:p w14:paraId="4BD42D8F"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305</w:t>
            </w:r>
          </w:p>
        </w:tc>
        <w:tc>
          <w:tcPr>
            <w:tcW w:w="0" w:type="auto"/>
            <w:noWrap/>
            <w:vAlign w:val="center"/>
            <w:hideMark/>
          </w:tcPr>
          <w:p w14:paraId="25E499BF"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0%</w:t>
            </w:r>
          </w:p>
        </w:tc>
        <w:tc>
          <w:tcPr>
            <w:tcW w:w="0" w:type="auto"/>
            <w:shd w:val="clear" w:color="000000" w:fill="F2F2F2"/>
            <w:noWrap/>
            <w:vAlign w:val="center"/>
            <w:hideMark/>
          </w:tcPr>
          <w:p w14:paraId="4DEB0336"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c>
          <w:tcPr>
            <w:tcW w:w="1017" w:type="dxa"/>
            <w:shd w:val="clear" w:color="000000" w:fill="F2F2F2"/>
            <w:noWrap/>
            <w:vAlign w:val="center"/>
            <w:hideMark/>
          </w:tcPr>
          <w:p w14:paraId="4BE70BC1"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r>
      <w:tr w:rsidR="00275B57" w14:paraId="12938E66" w14:textId="77777777" w:rsidTr="004C5067">
        <w:trPr>
          <w:trHeight w:val="167"/>
        </w:trPr>
        <w:tc>
          <w:tcPr>
            <w:tcW w:w="0" w:type="auto"/>
            <w:shd w:val="clear" w:color="D9E1F2" w:fill="D9E1F2"/>
            <w:noWrap/>
            <w:vAlign w:val="center"/>
            <w:hideMark/>
          </w:tcPr>
          <w:p w14:paraId="0BDDC4EE" w14:textId="77777777" w:rsidR="00275B57" w:rsidRPr="00484405" w:rsidRDefault="00275B57" w:rsidP="00BC4031">
            <w:pPr>
              <w:spacing w:after="0" w:line="240" w:lineRule="auto"/>
              <w:rPr>
                <w:rFonts w:cs="Times New Roman"/>
                <w:szCs w:val="24"/>
              </w:rPr>
            </w:pPr>
            <w:r w:rsidRPr="00484405">
              <w:rPr>
                <w:rFonts w:cs="Times New Roman"/>
                <w:szCs w:val="24"/>
              </w:rPr>
              <w:t>33</w:t>
            </w:r>
          </w:p>
        </w:tc>
        <w:tc>
          <w:tcPr>
            <w:tcW w:w="0" w:type="auto"/>
            <w:shd w:val="clear" w:color="D9E1F2" w:fill="D9E1F2"/>
            <w:noWrap/>
            <w:vAlign w:val="center"/>
            <w:hideMark/>
          </w:tcPr>
          <w:p w14:paraId="71212D52" w14:textId="77777777" w:rsidR="00275B57" w:rsidRPr="0049452F" w:rsidRDefault="00275B57" w:rsidP="00BC4031">
            <w:pPr>
              <w:spacing w:after="0" w:line="240" w:lineRule="auto"/>
              <w:jc w:val="center"/>
              <w:rPr>
                <w:rFonts w:cs="Times New Roman"/>
                <w:szCs w:val="24"/>
              </w:rPr>
            </w:pPr>
            <w:r w:rsidRPr="0049452F">
              <w:rPr>
                <w:rFonts w:cs="Times New Roman"/>
                <w:szCs w:val="24"/>
              </w:rPr>
              <w:t>38%</w:t>
            </w:r>
          </w:p>
        </w:tc>
        <w:tc>
          <w:tcPr>
            <w:tcW w:w="0" w:type="auto"/>
            <w:shd w:val="clear" w:color="D9E1F2" w:fill="D9E1F2"/>
            <w:noWrap/>
            <w:vAlign w:val="center"/>
            <w:hideMark/>
          </w:tcPr>
          <w:p w14:paraId="20D49F19" w14:textId="77777777" w:rsidR="00275B57" w:rsidRPr="0049452F" w:rsidRDefault="00275B57" w:rsidP="00BC4031">
            <w:pPr>
              <w:spacing w:after="0" w:line="240" w:lineRule="auto"/>
              <w:jc w:val="center"/>
              <w:rPr>
                <w:rFonts w:cs="Times New Roman"/>
                <w:szCs w:val="24"/>
              </w:rPr>
            </w:pPr>
            <w:r w:rsidRPr="0049452F">
              <w:rPr>
                <w:rFonts w:cs="Times New Roman"/>
                <w:szCs w:val="24"/>
              </w:rPr>
              <w:t>11%</w:t>
            </w:r>
          </w:p>
        </w:tc>
        <w:tc>
          <w:tcPr>
            <w:tcW w:w="0" w:type="auto"/>
            <w:shd w:val="clear" w:color="000000" w:fill="FFCC99"/>
            <w:noWrap/>
            <w:vAlign w:val="center"/>
            <w:hideMark/>
          </w:tcPr>
          <w:p w14:paraId="17E842BF" w14:textId="77777777" w:rsidR="00275B57" w:rsidRPr="0098697F" w:rsidRDefault="00275B57" w:rsidP="00BC4031">
            <w:pPr>
              <w:spacing w:after="0" w:line="240" w:lineRule="auto"/>
              <w:jc w:val="center"/>
              <w:rPr>
                <w:rFonts w:cs="Times New Roman"/>
                <w:szCs w:val="24"/>
              </w:rPr>
            </w:pPr>
            <w:r w:rsidRPr="0098697F">
              <w:rPr>
                <w:rFonts w:cs="Times New Roman"/>
                <w:szCs w:val="24"/>
              </w:rPr>
              <w:t>0.0731</w:t>
            </w:r>
          </w:p>
        </w:tc>
        <w:tc>
          <w:tcPr>
            <w:tcW w:w="0" w:type="auto"/>
            <w:shd w:val="clear" w:color="000000" w:fill="FFCC99"/>
            <w:noWrap/>
            <w:vAlign w:val="center"/>
            <w:hideMark/>
          </w:tcPr>
          <w:p w14:paraId="445569DC" w14:textId="77777777" w:rsidR="00275B57" w:rsidRPr="0098697F" w:rsidRDefault="00275B57" w:rsidP="00BC4031">
            <w:pPr>
              <w:spacing w:after="0" w:line="240" w:lineRule="auto"/>
              <w:jc w:val="center"/>
              <w:rPr>
                <w:rFonts w:cs="Times New Roman"/>
                <w:szCs w:val="24"/>
              </w:rPr>
            </w:pPr>
            <w:r w:rsidRPr="0098697F">
              <w:rPr>
                <w:rFonts w:cs="Times New Roman"/>
                <w:szCs w:val="24"/>
              </w:rPr>
              <w:t>3,660</w:t>
            </w:r>
          </w:p>
        </w:tc>
        <w:tc>
          <w:tcPr>
            <w:tcW w:w="0" w:type="auto"/>
            <w:shd w:val="clear" w:color="D9E1F2" w:fill="D9E1F2"/>
            <w:noWrap/>
            <w:vAlign w:val="center"/>
            <w:hideMark/>
          </w:tcPr>
          <w:p w14:paraId="1BCAF9E9"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267</w:t>
            </w:r>
          </w:p>
        </w:tc>
        <w:tc>
          <w:tcPr>
            <w:tcW w:w="0" w:type="auto"/>
            <w:shd w:val="clear" w:color="D9E1F2" w:fill="D9E1F2"/>
            <w:noWrap/>
            <w:vAlign w:val="center"/>
            <w:hideMark/>
          </w:tcPr>
          <w:p w14:paraId="54E22314"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0%</w:t>
            </w:r>
          </w:p>
        </w:tc>
        <w:tc>
          <w:tcPr>
            <w:tcW w:w="0" w:type="auto"/>
            <w:shd w:val="clear" w:color="000000" w:fill="F2F2F2"/>
            <w:noWrap/>
            <w:vAlign w:val="center"/>
            <w:hideMark/>
          </w:tcPr>
          <w:p w14:paraId="0268A264"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c>
          <w:tcPr>
            <w:tcW w:w="1017" w:type="dxa"/>
            <w:shd w:val="clear" w:color="000000" w:fill="F2F2F2"/>
            <w:noWrap/>
            <w:vAlign w:val="center"/>
            <w:hideMark/>
          </w:tcPr>
          <w:p w14:paraId="032A8DEE"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r>
      <w:tr w:rsidR="00275B57" w14:paraId="345A1249" w14:textId="77777777" w:rsidTr="004C5067">
        <w:trPr>
          <w:trHeight w:val="167"/>
        </w:trPr>
        <w:tc>
          <w:tcPr>
            <w:tcW w:w="0" w:type="auto"/>
            <w:noWrap/>
            <w:vAlign w:val="center"/>
            <w:hideMark/>
          </w:tcPr>
          <w:p w14:paraId="41CAAC9A" w14:textId="77777777" w:rsidR="00275B57" w:rsidRPr="00484405" w:rsidRDefault="00275B57" w:rsidP="00BC4031">
            <w:pPr>
              <w:spacing w:after="0" w:line="240" w:lineRule="auto"/>
              <w:rPr>
                <w:rFonts w:cs="Times New Roman"/>
                <w:szCs w:val="24"/>
              </w:rPr>
            </w:pPr>
            <w:r w:rsidRPr="00484405">
              <w:rPr>
                <w:rFonts w:cs="Times New Roman"/>
                <w:szCs w:val="24"/>
              </w:rPr>
              <w:t>34</w:t>
            </w:r>
          </w:p>
        </w:tc>
        <w:tc>
          <w:tcPr>
            <w:tcW w:w="0" w:type="auto"/>
            <w:noWrap/>
            <w:vAlign w:val="center"/>
            <w:hideMark/>
          </w:tcPr>
          <w:p w14:paraId="685BBAF5" w14:textId="77777777" w:rsidR="00275B57" w:rsidRPr="0049452F" w:rsidRDefault="00275B57" w:rsidP="00BC4031">
            <w:pPr>
              <w:spacing w:after="0" w:line="240" w:lineRule="auto"/>
              <w:jc w:val="center"/>
              <w:rPr>
                <w:rFonts w:cs="Times New Roman"/>
                <w:szCs w:val="24"/>
              </w:rPr>
            </w:pPr>
            <w:r w:rsidRPr="0049452F">
              <w:rPr>
                <w:rFonts w:cs="Times New Roman"/>
                <w:szCs w:val="24"/>
              </w:rPr>
              <w:t>37%</w:t>
            </w:r>
          </w:p>
        </w:tc>
        <w:tc>
          <w:tcPr>
            <w:tcW w:w="0" w:type="auto"/>
            <w:noWrap/>
            <w:vAlign w:val="center"/>
            <w:hideMark/>
          </w:tcPr>
          <w:p w14:paraId="22204876" w14:textId="77777777" w:rsidR="00275B57" w:rsidRPr="0049452F" w:rsidRDefault="00275B57" w:rsidP="00BC4031">
            <w:pPr>
              <w:spacing w:after="0" w:line="240" w:lineRule="auto"/>
              <w:jc w:val="center"/>
              <w:rPr>
                <w:rFonts w:cs="Times New Roman"/>
                <w:szCs w:val="24"/>
              </w:rPr>
            </w:pPr>
            <w:r w:rsidRPr="0049452F">
              <w:rPr>
                <w:rFonts w:cs="Times New Roman"/>
                <w:szCs w:val="24"/>
              </w:rPr>
              <w:t>10%</w:t>
            </w:r>
          </w:p>
        </w:tc>
        <w:tc>
          <w:tcPr>
            <w:tcW w:w="0" w:type="auto"/>
            <w:shd w:val="clear" w:color="000000" w:fill="FFCC99"/>
            <w:noWrap/>
            <w:vAlign w:val="center"/>
            <w:hideMark/>
          </w:tcPr>
          <w:p w14:paraId="4B888938" w14:textId="77777777" w:rsidR="00275B57" w:rsidRPr="0098697F" w:rsidRDefault="00275B57" w:rsidP="00BC4031">
            <w:pPr>
              <w:spacing w:after="0" w:line="240" w:lineRule="auto"/>
              <w:jc w:val="center"/>
              <w:rPr>
                <w:rFonts w:cs="Times New Roman"/>
                <w:szCs w:val="24"/>
              </w:rPr>
            </w:pPr>
            <w:r w:rsidRPr="0098697F">
              <w:rPr>
                <w:rFonts w:cs="Times New Roman"/>
                <w:szCs w:val="24"/>
              </w:rPr>
              <w:t>0.0619</w:t>
            </w:r>
          </w:p>
        </w:tc>
        <w:tc>
          <w:tcPr>
            <w:tcW w:w="0" w:type="auto"/>
            <w:shd w:val="clear" w:color="000000" w:fill="FFCC99"/>
            <w:noWrap/>
            <w:vAlign w:val="center"/>
            <w:hideMark/>
          </w:tcPr>
          <w:p w14:paraId="50050594" w14:textId="77777777" w:rsidR="00275B57" w:rsidRPr="0098697F" w:rsidRDefault="00275B57" w:rsidP="00BC4031">
            <w:pPr>
              <w:spacing w:after="0" w:line="240" w:lineRule="auto"/>
              <w:jc w:val="center"/>
              <w:rPr>
                <w:rFonts w:cs="Times New Roman"/>
                <w:szCs w:val="24"/>
              </w:rPr>
            </w:pPr>
            <w:r w:rsidRPr="0098697F">
              <w:rPr>
                <w:rFonts w:cs="Times New Roman"/>
                <w:szCs w:val="24"/>
              </w:rPr>
              <w:t>3,660</w:t>
            </w:r>
          </w:p>
        </w:tc>
        <w:tc>
          <w:tcPr>
            <w:tcW w:w="0" w:type="auto"/>
            <w:noWrap/>
            <w:vAlign w:val="center"/>
            <w:hideMark/>
          </w:tcPr>
          <w:p w14:paraId="6BB3EF9B"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227</w:t>
            </w:r>
          </w:p>
        </w:tc>
        <w:tc>
          <w:tcPr>
            <w:tcW w:w="0" w:type="auto"/>
            <w:noWrap/>
            <w:vAlign w:val="center"/>
            <w:hideMark/>
          </w:tcPr>
          <w:p w14:paraId="70FBFC46"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0%</w:t>
            </w:r>
          </w:p>
        </w:tc>
        <w:tc>
          <w:tcPr>
            <w:tcW w:w="0" w:type="auto"/>
            <w:shd w:val="clear" w:color="000000" w:fill="F2F2F2"/>
            <w:noWrap/>
            <w:vAlign w:val="center"/>
            <w:hideMark/>
          </w:tcPr>
          <w:p w14:paraId="0E0A0A16"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c>
          <w:tcPr>
            <w:tcW w:w="1017" w:type="dxa"/>
            <w:shd w:val="clear" w:color="000000" w:fill="F2F2F2"/>
            <w:noWrap/>
            <w:vAlign w:val="center"/>
            <w:hideMark/>
          </w:tcPr>
          <w:p w14:paraId="32319CD3"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r>
      <w:tr w:rsidR="00275B57" w14:paraId="7D1FE27F" w14:textId="77777777" w:rsidTr="004C5067">
        <w:trPr>
          <w:trHeight w:val="167"/>
        </w:trPr>
        <w:tc>
          <w:tcPr>
            <w:tcW w:w="0" w:type="auto"/>
            <w:shd w:val="clear" w:color="D9E1F2" w:fill="D9E1F2"/>
            <w:noWrap/>
            <w:vAlign w:val="center"/>
            <w:hideMark/>
          </w:tcPr>
          <w:p w14:paraId="7E7C46DE" w14:textId="77777777" w:rsidR="00275B57" w:rsidRPr="00484405" w:rsidRDefault="00275B57" w:rsidP="00BC4031">
            <w:pPr>
              <w:spacing w:after="0" w:line="240" w:lineRule="auto"/>
              <w:rPr>
                <w:rFonts w:cs="Times New Roman"/>
                <w:szCs w:val="24"/>
              </w:rPr>
            </w:pPr>
            <w:r w:rsidRPr="00484405">
              <w:rPr>
                <w:rFonts w:cs="Times New Roman"/>
                <w:szCs w:val="24"/>
              </w:rPr>
              <w:t>35</w:t>
            </w:r>
          </w:p>
        </w:tc>
        <w:tc>
          <w:tcPr>
            <w:tcW w:w="0" w:type="auto"/>
            <w:shd w:val="clear" w:color="D9E1F2" w:fill="D9E1F2"/>
            <w:noWrap/>
            <w:vAlign w:val="center"/>
            <w:hideMark/>
          </w:tcPr>
          <w:p w14:paraId="22DC40F1" w14:textId="77777777" w:rsidR="00275B57" w:rsidRPr="0049452F" w:rsidRDefault="00275B57" w:rsidP="00BC4031">
            <w:pPr>
              <w:spacing w:after="0" w:line="240" w:lineRule="auto"/>
              <w:jc w:val="center"/>
              <w:rPr>
                <w:rFonts w:cs="Times New Roman"/>
                <w:szCs w:val="24"/>
              </w:rPr>
            </w:pPr>
            <w:r w:rsidRPr="0049452F">
              <w:rPr>
                <w:rFonts w:cs="Times New Roman"/>
                <w:szCs w:val="24"/>
              </w:rPr>
              <w:t>36%</w:t>
            </w:r>
          </w:p>
        </w:tc>
        <w:tc>
          <w:tcPr>
            <w:tcW w:w="0" w:type="auto"/>
            <w:shd w:val="clear" w:color="D9E1F2" w:fill="D9E1F2"/>
            <w:noWrap/>
            <w:vAlign w:val="center"/>
            <w:hideMark/>
          </w:tcPr>
          <w:p w14:paraId="76B41CA3" w14:textId="77777777" w:rsidR="00275B57" w:rsidRPr="0049452F" w:rsidRDefault="00275B57" w:rsidP="00BC4031">
            <w:pPr>
              <w:spacing w:after="0" w:line="240" w:lineRule="auto"/>
              <w:jc w:val="center"/>
              <w:rPr>
                <w:rFonts w:cs="Times New Roman"/>
                <w:szCs w:val="24"/>
              </w:rPr>
            </w:pPr>
            <w:r w:rsidRPr="0049452F">
              <w:rPr>
                <w:rFonts w:cs="Times New Roman"/>
                <w:szCs w:val="24"/>
              </w:rPr>
              <w:t>10%</w:t>
            </w:r>
          </w:p>
        </w:tc>
        <w:tc>
          <w:tcPr>
            <w:tcW w:w="0" w:type="auto"/>
            <w:shd w:val="clear" w:color="000000" w:fill="FFCC99"/>
            <w:noWrap/>
            <w:vAlign w:val="center"/>
            <w:hideMark/>
          </w:tcPr>
          <w:p w14:paraId="76BBA2AB" w14:textId="77777777" w:rsidR="00275B57" w:rsidRPr="0098697F" w:rsidRDefault="00275B57" w:rsidP="00BC4031">
            <w:pPr>
              <w:spacing w:after="0" w:line="240" w:lineRule="auto"/>
              <w:jc w:val="center"/>
              <w:rPr>
                <w:rFonts w:cs="Times New Roman"/>
                <w:szCs w:val="24"/>
              </w:rPr>
            </w:pPr>
            <w:r w:rsidRPr="0098697F">
              <w:rPr>
                <w:rFonts w:cs="Times New Roman"/>
                <w:szCs w:val="24"/>
              </w:rPr>
              <w:t>0.0502</w:t>
            </w:r>
          </w:p>
        </w:tc>
        <w:tc>
          <w:tcPr>
            <w:tcW w:w="0" w:type="auto"/>
            <w:shd w:val="clear" w:color="000000" w:fill="FFCC99"/>
            <w:noWrap/>
            <w:vAlign w:val="center"/>
            <w:hideMark/>
          </w:tcPr>
          <w:p w14:paraId="175C6FB0" w14:textId="77777777" w:rsidR="00275B57" w:rsidRPr="0098697F" w:rsidRDefault="00275B57" w:rsidP="00BC4031">
            <w:pPr>
              <w:spacing w:after="0" w:line="240" w:lineRule="auto"/>
              <w:jc w:val="center"/>
              <w:rPr>
                <w:rFonts w:cs="Times New Roman"/>
                <w:szCs w:val="24"/>
              </w:rPr>
            </w:pPr>
            <w:r w:rsidRPr="0098697F">
              <w:rPr>
                <w:rFonts w:cs="Times New Roman"/>
                <w:szCs w:val="24"/>
              </w:rPr>
              <w:t>3,660</w:t>
            </w:r>
          </w:p>
        </w:tc>
        <w:tc>
          <w:tcPr>
            <w:tcW w:w="0" w:type="auto"/>
            <w:shd w:val="clear" w:color="D9E1F2" w:fill="D9E1F2"/>
            <w:noWrap/>
            <w:vAlign w:val="center"/>
            <w:hideMark/>
          </w:tcPr>
          <w:p w14:paraId="50356643"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184</w:t>
            </w:r>
          </w:p>
        </w:tc>
        <w:tc>
          <w:tcPr>
            <w:tcW w:w="0" w:type="auto"/>
            <w:shd w:val="clear" w:color="D9E1F2" w:fill="D9E1F2"/>
            <w:noWrap/>
            <w:vAlign w:val="center"/>
            <w:hideMark/>
          </w:tcPr>
          <w:p w14:paraId="2BA10271"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0%</w:t>
            </w:r>
          </w:p>
        </w:tc>
        <w:tc>
          <w:tcPr>
            <w:tcW w:w="0" w:type="auto"/>
            <w:shd w:val="clear" w:color="000000" w:fill="F2F2F2"/>
            <w:noWrap/>
            <w:vAlign w:val="center"/>
            <w:hideMark/>
          </w:tcPr>
          <w:p w14:paraId="5AE76451"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c>
          <w:tcPr>
            <w:tcW w:w="1017" w:type="dxa"/>
            <w:shd w:val="clear" w:color="000000" w:fill="F2F2F2"/>
            <w:noWrap/>
            <w:vAlign w:val="center"/>
            <w:hideMark/>
          </w:tcPr>
          <w:p w14:paraId="7A006B43"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r>
      <w:tr w:rsidR="00275B57" w14:paraId="6642BF40" w14:textId="77777777" w:rsidTr="004C5067">
        <w:trPr>
          <w:trHeight w:val="167"/>
        </w:trPr>
        <w:tc>
          <w:tcPr>
            <w:tcW w:w="0" w:type="auto"/>
            <w:noWrap/>
            <w:vAlign w:val="center"/>
            <w:hideMark/>
          </w:tcPr>
          <w:p w14:paraId="4B411766" w14:textId="77777777" w:rsidR="00275B57" w:rsidRPr="00484405" w:rsidRDefault="00275B57" w:rsidP="00BC4031">
            <w:pPr>
              <w:spacing w:after="0" w:line="240" w:lineRule="auto"/>
              <w:rPr>
                <w:rFonts w:cs="Times New Roman"/>
                <w:szCs w:val="24"/>
              </w:rPr>
            </w:pPr>
            <w:r w:rsidRPr="00484405">
              <w:rPr>
                <w:rFonts w:cs="Times New Roman"/>
                <w:szCs w:val="24"/>
              </w:rPr>
              <w:t>36</w:t>
            </w:r>
          </w:p>
        </w:tc>
        <w:tc>
          <w:tcPr>
            <w:tcW w:w="0" w:type="auto"/>
            <w:noWrap/>
            <w:vAlign w:val="center"/>
            <w:hideMark/>
          </w:tcPr>
          <w:p w14:paraId="70163A03" w14:textId="77777777" w:rsidR="00275B57" w:rsidRPr="0049452F" w:rsidRDefault="00275B57" w:rsidP="00BC4031">
            <w:pPr>
              <w:spacing w:after="0" w:line="240" w:lineRule="auto"/>
              <w:jc w:val="center"/>
              <w:rPr>
                <w:rFonts w:cs="Times New Roman"/>
                <w:szCs w:val="24"/>
              </w:rPr>
            </w:pPr>
            <w:r w:rsidRPr="0049452F">
              <w:rPr>
                <w:rFonts w:cs="Times New Roman"/>
                <w:szCs w:val="24"/>
              </w:rPr>
              <w:t>35%</w:t>
            </w:r>
          </w:p>
        </w:tc>
        <w:tc>
          <w:tcPr>
            <w:tcW w:w="0" w:type="auto"/>
            <w:noWrap/>
            <w:vAlign w:val="center"/>
            <w:hideMark/>
          </w:tcPr>
          <w:p w14:paraId="1FBC8B97" w14:textId="77777777" w:rsidR="00275B57" w:rsidRPr="0049452F" w:rsidRDefault="00275B57" w:rsidP="00BC4031">
            <w:pPr>
              <w:spacing w:after="0" w:line="240" w:lineRule="auto"/>
              <w:jc w:val="center"/>
              <w:rPr>
                <w:rFonts w:cs="Times New Roman"/>
                <w:szCs w:val="24"/>
              </w:rPr>
            </w:pPr>
            <w:r w:rsidRPr="0049452F">
              <w:rPr>
                <w:rFonts w:cs="Times New Roman"/>
                <w:szCs w:val="24"/>
              </w:rPr>
              <w:t>9%</w:t>
            </w:r>
          </w:p>
        </w:tc>
        <w:tc>
          <w:tcPr>
            <w:tcW w:w="0" w:type="auto"/>
            <w:shd w:val="clear" w:color="000000" w:fill="FFCC99"/>
            <w:noWrap/>
            <w:vAlign w:val="center"/>
            <w:hideMark/>
          </w:tcPr>
          <w:p w14:paraId="1F43D522" w14:textId="77777777" w:rsidR="00275B57" w:rsidRPr="0098697F" w:rsidRDefault="00275B57" w:rsidP="00BC4031">
            <w:pPr>
              <w:spacing w:after="0" w:line="240" w:lineRule="auto"/>
              <w:jc w:val="center"/>
              <w:rPr>
                <w:rFonts w:cs="Times New Roman"/>
                <w:szCs w:val="24"/>
              </w:rPr>
            </w:pPr>
            <w:r w:rsidRPr="0098697F">
              <w:rPr>
                <w:rFonts w:cs="Times New Roman"/>
                <w:szCs w:val="24"/>
              </w:rPr>
              <w:t>0.0384</w:t>
            </w:r>
          </w:p>
        </w:tc>
        <w:tc>
          <w:tcPr>
            <w:tcW w:w="0" w:type="auto"/>
            <w:shd w:val="clear" w:color="000000" w:fill="FFCC99"/>
            <w:noWrap/>
            <w:vAlign w:val="center"/>
            <w:hideMark/>
          </w:tcPr>
          <w:p w14:paraId="08543273" w14:textId="77777777" w:rsidR="00275B57" w:rsidRPr="0098697F" w:rsidRDefault="00275B57" w:rsidP="00BC4031">
            <w:pPr>
              <w:spacing w:after="0" w:line="240" w:lineRule="auto"/>
              <w:jc w:val="center"/>
              <w:rPr>
                <w:rFonts w:cs="Times New Roman"/>
                <w:szCs w:val="24"/>
              </w:rPr>
            </w:pPr>
            <w:r w:rsidRPr="0098697F">
              <w:rPr>
                <w:rFonts w:cs="Times New Roman"/>
                <w:szCs w:val="24"/>
              </w:rPr>
              <w:t>3,660</w:t>
            </w:r>
          </w:p>
        </w:tc>
        <w:tc>
          <w:tcPr>
            <w:tcW w:w="0" w:type="auto"/>
            <w:noWrap/>
            <w:vAlign w:val="center"/>
            <w:hideMark/>
          </w:tcPr>
          <w:p w14:paraId="212028FD"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141</w:t>
            </w:r>
          </w:p>
        </w:tc>
        <w:tc>
          <w:tcPr>
            <w:tcW w:w="0" w:type="auto"/>
            <w:noWrap/>
            <w:vAlign w:val="center"/>
            <w:hideMark/>
          </w:tcPr>
          <w:p w14:paraId="69D14920"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0%</w:t>
            </w:r>
          </w:p>
        </w:tc>
        <w:tc>
          <w:tcPr>
            <w:tcW w:w="0" w:type="auto"/>
            <w:shd w:val="clear" w:color="000000" w:fill="F2F2F2"/>
            <w:noWrap/>
            <w:vAlign w:val="center"/>
            <w:hideMark/>
          </w:tcPr>
          <w:p w14:paraId="1CEF3AF3"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c>
          <w:tcPr>
            <w:tcW w:w="1017" w:type="dxa"/>
            <w:shd w:val="clear" w:color="000000" w:fill="F2F2F2"/>
            <w:noWrap/>
            <w:vAlign w:val="center"/>
            <w:hideMark/>
          </w:tcPr>
          <w:p w14:paraId="20B54C74"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r>
      <w:tr w:rsidR="00275B57" w14:paraId="0894A8EF" w14:textId="77777777" w:rsidTr="004C5067">
        <w:trPr>
          <w:trHeight w:val="167"/>
        </w:trPr>
        <w:tc>
          <w:tcPr>
            <w:tcW w:w="0" w:type="auto"/>
            <w:shd w:val="clear" w:color="D9E1F2" w:fill="D9E1F2"/>
            <w:noWrap/>
            <w:vAlign w:val="center"/>
            <w:hideMark/>
          </w:tcPr>
          <w:p w14:paraId="29AFF489" w14:textId="77777777" w:rsidR="00275B57" w:rsidRPr="00484405" w:rsidRDefault="00275B57" w:rsidP="00BC4031">
            <w:pPr>
              <w:spacing w:after="0" w:line="240" w:lineRule="auto"/>
              <w:rPr>
                <w:rFonts w:cs="Times New Roman"/>
                <w:szCs w:val="24"/>
              </w:rPr>
            </w:pPr>
            <w:r w:rsidRPr="00484405">
              <w:rPr>
                <w:rFonts w:cs="Times New Roman"/>
                <w:szCs w:val="24"/>
              </w:rPr>
              <w:t>37</w:t>
            </w:r>
          </w:p>
        </w:tc>
        <w:tc>
          <w:tcPr>
            <w:tcW w:w="0" w:type="auto"/>
            <w:shd w:val="clear" w:color="D9E1F2" w:fill="D9E1F2"/>
            <w:noWrap/>
            <w:vAlign w:val="center"/>
            <w:hideMark/>
          </w:tcPr>
          <w:p w14:paraId="15B92898" w14:textId="77777777" w:rsidR="00275B57" w:rsidRPr="0049452F" w:rsidRDefault="00275B57" w:rsidP="00BC4031">
            <w:pPr>
              <w:spacing w:after="0" w:line="240" w:lineRule="auto"/>
              <w:jc w:val="center"/>
              <w:rPr>
                <w:rFonts w:cs="Times New Roman"/>
                <w:szCs w:val="24"/>
              </w:rPr>
            </w:pPr>
            <w:r w:rsidRPr="0049452F">
              <w:rPr>
                <w:rFonts w:cs="Times New Roman"/>
                <w:szCs w:val="24"/>
              </w:rPr>
              <w:t>34%</w:t>
            </w:r>
          </w:p>
        </w:tc>
        <w:tc>
          <w:tcPr>
            <w:tcW w:w="0" w:type="auto"/>
            <w:shd w:val="clear" w:color="D9E1F2" w:fill="D9E1F2"/>
            <w:noWrap/>
            <w:vAlign w:val="center"/>
            <w:hideMark/>
          </w:tcPr>
          <w:p w14:paraId="7B56FFD8" w14:textId="77777777" w:rsidR="00275B57" w:rsidRPr="0049452F" w:rsidRDefault="00275B57" w:rsidP="00BC4031">
            <w:pPr>
              <w:spacing w:after="0" w:line="240" w:lineRule="auto"/>
              <w:jc w:val="center"/>
              <w:rPr>
                <w:rFonts w:cs="Times New Roman"/>
                <w:szCs w:val="24"/>
              </w:rPr>
            </w:pPr>
            <w:r w:rsidRPr="0049452F">
              <w:rPr>
                <w:rFonts w:cs="Times New Roman"/>
                <w:szCs w:val="24"/>
              </w:rPr>
              <w:t>8%</w:t>
            </w:r>
          </w:p>
        </w:tc>
        <w:tc>
          <w:tcPr>
            <w:tcW w:w="0" w:type="auto"/>
            <w:shd w:val="clear" w:color="000000" w:fill="FFCC99"/>
            <w:noWrap/>
            <w:vAlign w:val="center"/>
            <w:hideMark/>
          </w:tcPr>
          <w:p w14:paraId="53A1FD40" w14:textId="77777777" w:rsidR="00275B57" w:rsidRPr="0098697F" w:rsidRDefault="00275B57" w:rsidP="00BC4031">
            <w:pPr>
              <w:spacing w:after="0" w:line="240" w:lineRule="auto"/>
              <w:jc w:val="center"/>
              <w:rPr>
                <w:rFonts w:cs="Times New Roman"/>
                <w:szCs w:val="24"/>
              </w:rPr>
            </w:pPr>
            <w:r w:rsidRPr="0098697F">
              <w:rPr>
                <w:rFonts w:cs="Times New Roman"/>
                <w:szCs w:val="24"/>
              </w:rPr>
              <w:t>0.0273</w:t>
            </w:r>
          </w:p>
        </w:tc>
        <w:tc>
          <w:tcPr>
            <w:tcW w:w="0" w:type="auto"/>
            <w:shd w:val="clear" w:color="000000" w:fill="FFCC99"/>
            <w:noWrap/>
            <w:vAlign w:val="center"/>
            <w:hideMark/>
          </w:tcPr>
          <w:p w14:paraId="087D5CCA" w14:textId="77777777" w:rsidR="00275B57" w:rsidRPr="0098697F" w:rsidRDefault="00275B57" w:rsidP="00BC4031">
            <w:pPr>
              <w:spacing w:after="0" w:line="240" w:lineRule="auto"/>
              <w:jc w:val="center"/>
              <w:rPr>
                <w:rFonts w:cs="Times New Roman"/>
                <w:szCs w:val="24"/>
              </w:rPr>
            </w:pPr>
            <w:r w:rsidRPr="0098697F">
              <w:rPr>
                <w:rFonts w:cs="Times New Roman"/>
                <w:szCs w:val="24"/>
              </w:rPr>
              <w:t>3,660</w:t>
            </w:r>
          </w:p>
        </w:tc>
        <w:tc>
          <w:tcPr>
            <w:tcW w:w="0" w:type="auto"/>
            <w:shd w:val="clear" w:color="D9E1F2" w:fill="D9E1F2"/>
            <w:noWrap/>
            <w:vAlign w:val="center"/>
            <w:hideMark/>
          </w:tcPr>
          <w:p w14:paraId="4C5D715F"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100</w:t>
            </w:r>
          </w:p>
        </w:tc>
        <w:tc>
          <w:tcPr>
            <w:tcW w:w="0" w:type="auto"/>
            <w:shd w:val="clear" w:color="D9E1F2" w:fill="D9E1F2"/>
            <w:noWrap/>
            <w:vAlign w:val="center"/>
            <w:hideMark/>
          </w:tcPr>
          <w:p w14:paraId="37D327FF"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0%</w:t>
            </w:r>
          </w:p>
        </w:tc>
        <w:tc>
          <w:tcPr>
            <w:tcW w:w="0" w:type="auto"/>
            <w:shd w:val="clear" w:color="000000" w:fill="F2F2F2"/>
            <w:noWrap/>
            <w:vAlign w:val="center"/>
            <w:hideMark/>
          </w:tcPr>
          <w:p w14:paraId="3AB23D59"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c>
          <w:tcPr>
            <w:tcW w:w="1017" w:type="dxa"/>
            <w:shd w:val="clear" w:color="000000" w:fill="F2F2F2"/>
            <w:noWrap/>
            <w:vAlign w:val="center"/>
            <w:hideMark/>
          </w:tcPr>
          <w:p w14:paraId="62E865C2"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r>
      <w:tr w:rsidR="00275B57" w14:paraId="39D632E3" w14:textId="77777777" w:rsidTr="004C5067">
        <w:trPr>
          <w:trHeight w:val="167"/>
        </w:trPr>
        <w:tc>
          <w:tcPr>
            <w:tcW w:w="0" w:type="auto"/>
            <w:noWrap/>
            <w:vAlign w:val="center"/>
            <w:hideMark/>
          </w:tcPr>
          <w:p w14:paraId="4A218A0D" w14:textId="77777777" w:rsidR="00275B57" w:rsidRPr="00484405" w:rsidRDefault="00275B57" w:rsidP="00BC4031">
            <w:pPr>
              <w:spacing w:after="0" w:line="240" w:lineRule="auto"/>
              <w:rPr>
                <w:rFonts w:cs="Times New Roman"/>
                <w:szCs w:val="24"/>
              </w:rPr>
            </w:pPr>
            <w:r w:rsidRPr="00484405">
              <w:rPr>
                <w:rFonts w:cs="Times New Roman"/>
                <w:szCs w:val="24"/>
              </w:rPr>
              <w:t>38</w:t>
            </w:r>
          </w:p>
        </w:tc>
        <w:tc>
          <w:tcPr>
            <w:tcW w:w="0" w:type="auto"/>
            <w:noWrap/>
            <w:vAlign w:val="center"/>
            <w:hideMark/>
          </w:tcPr>
          <w:p w14:paraId="10F3259D" w14:textId="77777777" w:rsidR="00275B57" w:rsidRPr="0049452F" w:rsidRDefault="00275B57" w:rsidP="00BC4031">
            <w:pPr>
              <w:spacing w:after="0" w:line="240" w:lineRule="auto"/>
              <w:jc w:val="center"/>
              <w:rPr>
                <w:rFonts w:cs="Times New Roman"/>
                <w:szCs w:val="24"/>
              </w:rPr>
            </w:pPr>
            <w:r w:rsidRPr="0049452F">
              <w:rPr>
                <w:rFonts w:cs="Times New Roman"/>
                <w:szCs w:val="24"/>
              </w:rPr>
              <w:t>33%</w:t>
            </w:r>
          </w:p>
        </w:tc>
        <w:tc>
          <w:tcPr>
            <w:tcW w:w="0" w:type="auto"/>
            <w:noWrap/>
            <w:vAlign w:val="center"/>
            <w:hideMark/>
          </w:tcPr>
          <w:p w14:paraId="5AF6BB05" w14:textId="77777777" w:rsidR="00275B57" w:rsidRPr="0049452F" w:rsidRDefault="00275B57" w:rsidP="00BC4031">
            <w:pPr>
              <w:spacing w:after="0" w:line="240" w:lineRule="auto"/>
              <w:jc w:val="center"/>
              <w:rPr>
                <w:rFonts w:cs="Times New Roman"/>
                <w:szCs w:val="24"/>
              </w:rPr>
            </w:pPr>
            <w:r w:rsidRPr="0049452F">
              <w:rPr>
                <w:rFonts w:cs="Times New Roman"/>
                <w:szCs w:val="24"/>
              </w:rPr>
              <w:t>8%</w:t>
            </w:r>
          </w:p>
        </w:tc>
        <w:tc>
          <w:tcPr>
            <w:tcW w:w="0" w:type="auto"/>
            <w:shd w:val="clear" w:color="000000" w:fill="FFCC99"/>
            <w:noWrap/>
            <w:vAlign w:val="center"/>
            <w:hideMark/>
          </w:tcPr>
          <w:p w14:paraId="4671977E" w14:textId="77777777" w:rsidR="00275B57" w:rsidRPr="0098697F" w:rsidRDefault="00275B57" w:rsidP="00BC4031">
            <w:pPr>
              <w:spacing w:after="0" w:line="240" w:lineRule="auto"/>
              <w:jc w:val="center"/>
              <w:rPr>
                <w:rFonts w:cs="Times New Roman"/>
                <w:szCs w:val="24"/>
              </w:rPr>
            </w:pPr>
            <w:r w:rsidRPr="0098697F">
              <w:rPr>
                <w:rFonts w:cs="Times New Roman"/>
                <w:szCs w:val="24"/>
              </w:rPr>
              <w:t>0.0000</w:t>
            </w:r>
          </w:p>
        </w:tc>
        <w:tc>
          <w:tcPr>
            <w:tcW w:w="0" w:type="auto"/>
            <w:shd w:val="clear" w:color="000000" w:fill="FFCC99"/>
            <w:noWrap/>
            <w:vAlign w:val="center"/>
            <w:hideMark/>
          </w:tcPr>
          <w:p w14:paraId="0ECD8D1A" w14:textId="77777777" w:rsidR="00275B57" w:rsidRPr="0098697F" w:rsidRDefault="00275B57" w:rsidP="00BC4031">
            <w:pPr>
              <w:spacing w:after="0" w:line="240" w:lineRule="auto"/>
              <w:jc w:val="center"/>
              <w:rPr>
                <w:rFonts w:cs="Times New Roman"/>
                <w:szCs w:val="24"/>
              </w:rPr>
            </w:pPr>
            <w:r w:rsidRPr="0098697F">
              <w:rPr>
                <w:rFonts w:cs="Times New Roman"/>
                <w:szCs w:val="24"/>
              </w:rPr>
              <w:t>3,660</w:t>
            </w:r>
          </w:p>
        </w:tc>
        <w:tc>
          <w:tcPr>
            <w:tcW w:w="0" w:type="auto"/>
            <w:noWrap/>
            <w:vAlign w:val="center"/>
            <w:hideMark/>
          </w:tcPr>
          <w:p w14:paraId="7EAAC721"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0</w:t>
            </w:r>
          </w:p>
        </w:tc>
        <w:tc>
          <w:tcPr>
            <w:tcW w:w="0" w:type="auto"/>
            <w:noWrap/>
            <w:vAlign w:val="center"/>
            <w:hideMark/>
          </w:tcPr>
          <w:p w14:paraId="78A62F07"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0%</w:t>
            </w:r>
          </w:p>
        </w:tc>
        <w:tc>
          <w:tcPr>
            <w:tcW w:w="0" w:type="auto"/>
            <w:shd w:val="clear" w:color="000000" w:fill="F2F2F2"/>
            <w:noWrap/>
            <w:vAlign w:val="center"/>
            <w:hideMark/>
          </w:tcPr>
          <w:p w14:paraId="1A670B11"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c>
          <w:tcPr>
            <w:tcW w:w="1017" w:type="dxa"/>
            <w:shd w:val="clear" w:color="000000" w:fill="F2F2F2"/>
            <w:noWrap/>
            <w:vAlign w:val="center"/>
            <w:hideMark/>
          </w:tcPr>
          <w:p w14:paraId="7E2057D3"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r>
      <w:tr w:rsidR="00275B57" w14:paraId="6C508874" w14:textId="77777777" w:rsidTr="004C5067">
        <w:trPr>
          <w:trHeight w:val="167"/>
        </w:trPr>
        <w:tc>
          <w:tcPr>
            <w:tcW w:w="0" w:type="auto"/>
            <w:shd w:val="clear" w:color="D9E1F2" w:fill="D9E1F2"/>
            <w:noWrap/>
            <w:vAlign w:val="center"/>
            <w:hideMark/>
          </w:tcPr>
          <w:p w14:paraId="696B0468" w14:textId="77777777" w:rsidR="00275B57" w:rsidRPr="00484405" w:rsidRDefault="00275B57" w:rsidP="00BC4031">
            <w:pPr>
              <w:spacing w:after="0" w:line="240" w:lineRule="auto"/>
              <w:rPr>
                <w:rFonts w:cs="Times New Roman"/>
                <w:szCs w:val="24"/>
              </w:rPr>
            </w:pPr>
            <w:r w:rsidRPr="00484405">
              <w:rPr>
                <w:rFonts w:cs="Times New Roman"/>
                <w:szCs w:val="24"/>
              </w:rPr>
              <w:t>39</w:t>
            </w:r>
          </w:p>
        </w:tc>
        <w:tc>
          <w:tcPr>
            <w:tcW w:w="0" w:type="auto"/>
            <w:shd w:val="clear" w:color="D9E1F2" w:fill="D9E1F2"/>
            <w:noWrap/>
            <w:vAlign w:val="center"/>
            <w:hideMark/>
          </w:tcPr>
          <w:p w14:paraId="71E425CC" w14:textId="77777777" w:rsidR="00275B57" w:rsidRPr="0049452F" w:rsidRDefault="00275B57" w:rsidP="00BC4031">
            <w:pPr>
              <w:spacing w:after="0" w:line="240" w:lineRule="auto"/>
              <w:jc w:val="center"/>
              <w:rPr>
                <w:rFonts w:cs="Times New Roman"/>
                <w:szCs w:val="24"/>
              </w:rPr>
            </w:pPr>
            <w:r w:rsidRPr="0049452F">
              <w:rPr>
                <w:rFonts w:cs="Times New Roman"/>
                <w:szCs w:val="24"/>
              </w:rPr>
              <w:t>32%</w:t>
            </w:r>
          </w:p>
        </w:tc>
        <w:tc>
          <w:tcPr>
            <w:tcW w:w="0" w:type="auto"/>
            <w:shd w:val="clear" w:color="D9E1F2" w:fill="D9E1F2"/>
            <w:noWrap/>
            <w:vAlign w:val="center"/>
            <w:hideMark/>
          </w:tcPr>
          <w:p w14:paraId="588B0A94" w14:textId="77777777" w:rsidR="00275B57" w:rsidRPr="0049452F" w:rsidRDefault="00275B57" w:rsidP="00BC4031">
            <w:pPr>
              <w:spacing w:after="0" w:line="240" w:lineRule="auto"/>
              <w:jc w:val="center"/>
              <w:rPr>
                <w:rFonts w:cs="Times New Roman"/>
                <w:szCs w:val="24"/>
              </w:rPr>
            </w:pPr>
            <w:r w:rsidRPr="0049452F">
              <w:rPr>
                <w:rFonts w:cs="Times New Roman"/>
                <w:szCs w:val="24"/>
              </w:rPr>
              <w:t>7%</w:t>
            </w:r>
          </w:p>
        </w:tc>
        <w:tc>
          <w:tcPr>
            <w:tcW w:w="0" w:type="auto"/>
            <w:shd w:val="clear" w:color="000000" w:fill="FFCC99"/>
            <w:noWrap/>
            <w:vAlign w:val="center"/>
            <w:hideMark/>
          </w:tcPr>
          <w:p w14:paraId="6921B930" w14:textId="77777777" w:rsidR="00275B57" w:rsidRPr="0098697F" w:rsidRDefault="00275B57" w:rsidP="00BC4031">
            <w:pPr>
              <w:spacing w:after="0" w:line="240" w:lineRule="auto"/>
              <w:jc w:val="center"/>
              <w:rPr>
                <w:rFonts w:cs="Times New Roman"/>
                <w:szCs w:val="24"/>
              </w:rPr>
            </w:pPr>
            <w:r w:rsidRPr="0098697F">
              <w:rPr>
                <w:rFonts w:cs="Times New Roman"/>
                <w:szCs w:val="24"/>
              </w:rPr>
              <w:t>0.0000</w:t>
            </w:r>
          </w:p>
        </w:tc>
        <w:tc>
          <w:tcPr>
            <w:tcW w:w="0" w:type="auto"/>
            <w:shd w:val="clear" w:color="000000" w:fill="FFCC99"/>
            <w:noWrap/>
            <w:vAlign w:val="center"/>
            <w:hideMark/>
          </w:tcPr>
          <w:p w14:paraId="4DCA5615" w14:textId="77777777" w:rsidR="00275B57" w:rsidRPr="0098697F" w:rsidRDefault="00275B57" w:rsidP="00BC4031">
            <w:pPr>
              <w:spacing w:after="0" w:line="240" w:lineRule="auto"/>
              <w:jc w:val="center"/>
              <w:rPr>
                <w:rFonts w:cs="Times New Roman"/>
                <w:szCs w:val="24"/>
              </w:rPr>
            </w:pPr>
            <w:r w:rsidRPr="0098697F">
              <w:rPr>
                <w:rFonts w:cs="Times New Roman"/>
                <w:szCs w:val="24"/>
              </w:rPr>
              <w:t>3,660</w:t>
            </w:r>
          </w:p>
        </w:tc>
        <w:tc>
          <w:tcPr>
            <w:tcW w:w="0" w:type="auto"/>
            <w:shd w:val="clear" w:color="D9E1F2" w:fill="D9E1F2"/>
            <w:noWrap/>
            <w:vAlign w:val="center"/>
            <w:hideMark/>
          </w:tcPr>
          <w:p w14:paraId="66552FD4"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0</w:t>
            </w:r>
          </w:p>
        </w:tc>
        <w:tc>
          <w:tcPr>
            <w:tcW w:w="0" w:type="auto"/>
            <w:shd w:val="clear" w:color="D9E1F2" w:fill="D9E1F2"/>
            <w:noWrap/>
            <w:vAlign w:val="center"/>
            <w:hideMark/>
          </w:tcPr>
          <w:p w14:paraId="6D18CDCD"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0%</w:t>
            </w:r>
          </w:p>
        </w:tc>
        <w:tc>
          <w:tcPr>
            <w:tcW w:w="0" w:type="auto"/>
            <w:shd w:val="clear" w:color="000000" w:fill="F2F2F2"/>
            <w:noWrap/>
            <w:vAlign w:val="center"/>
            <w:hideMark/>
          </w:tcPr>
          <w:p w14:paraId="6B9C1FFD"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c>
          <w:tcPr>
            <w:tcW w:w="1017" w:type="dxa"/>
            <w:shd w:val="clear" w:color="000000" w:fill="F2F2F2"/>
            <w:noWrap/>
            <w:vAlign w:val="center"/>
            <w:hideMark/>
          </w:tcPr>
          <w:p w14:paraId="5F842A1D" w14:textId="77777777" w:rsidR="00275B57" w:rsidRPr="0049452F" w:rsidRDefault="00275B57" w:rsidP="00BC4031">
            <w:pPr>
              <w:spacing w:after="0" w:line="240" w:lineRule="auto"/>
              <w:jc w:val="center"/>
              <w:rPr>
                <w:rFonts w:cs="Times New Roman"/>
                <w:b/>
                <w:bCs/>
                <w:szCs w:val="24"/>
              </w:rPr>
            </w:pPr>
            <w:r w:rsidRPr="00E752A0">
              <w:rPr>
                <w:rFonts w:cs="Times New Roman"/>
                <w:b/>
                <w:bCs/>
                <w:color w:val="3F3F3F"/>
                <w:szCs w:val="24"/>
              </w:rPr>
              <w:t>0%</w:t>
            </w:r>
          </w:p>
        </w:tc>
      </w:tr>
      <w:tr w:rsidR="00275B57" w14:paraId="69D05EDC" w14:textId="77777777" w:rsidTr="004C5067">
        <w:trPr>
          <w:trHeight w:val="167"/>
        </w:trPr>
        <w:tc>
          <w:tcPr>
            <w:tcW w:w="0" w:type="auto"/>
            <w:noWrap/>
            <w:vAlign w:val="center"/>
            <w:hideMark/>
          </w:tcPr>
          <w:p w14:paraId="688FB5E3" w14:textId="77777777" w:rsidR="00275B57" w:rsidRPr="00484405" w:rsidRDefault="00275B57" w:rsidP="00BC4031">
            <w:pPr>
              <w:spacing w:after="0" w:line="240" w:lineRule="auto"/>
              <w:rPr>
                <w:rFonts w:cs="Times New Roman"/>
                <w:szCs w:val="24"/>
              </w:rPr>
            </w:pPr>
            <w:r w:rsidRPr="00484405">
              <w:rPr>
                <w:rFonts w:cs="Times New Roman"/>
                <w:szCs w:val="24"/>
              </w:rPr>
              <w:t>40</w:t>
            </w:r>
          </w:p>
        </w:tc>
        <w:tc>
          <w:tcPr>
            <w:tcW w:w="0" w:type="auto"/>
            <w:noWrap/>
            <w:vAlign w:val="center"/>
            <w:hideMark/>
          </w:tcPr>
          <w:p w14:paraId="2DB4378F" w14:textId="77777777" w:rsidR="00275B57" w:rsidRPr="0049452F" w:rsidRDefault="00275B57" w:rsidP="00BC4031">
            <w:pPr>
              <w:spacing w:after="0" w:line="240" w:lineRule="auto"/>
              <w:jc w:val="center"/>
              <w:rPr>
                <w:rFonts w:cs="Times New Roman"/>
                <w:szCs w:val="24"/>
              </w:rPr>
            </w:pPr>
            <w:r w:rsidRPr="0049452F">
              <w:rPr>
                <w:rFonts w:cs="Times New Roman"/>
                <w:szCs w:val="24"/>
              </w:rPr>
              <w:t>31%</w:t>
            </w:r>
          </w:p>
        </w:tc>
        <w:tc>
          <w:tcPr>
            <w:tcW w:w="0" w:type="auto"/>
            <w:noWrap/>
            <w:vAlign w:val="center"/>
            <w:hideMark/>
          </w:tcPr>
          <w:p w14:paraId="75C43BE4" w14:textId="77777777" w:rsidR="00275B57" w:rsidRPr="0049452F" w:rsidRDefault="00275B57" w:rsidP="00BC4031">
            <w:pPr>
              <w:spacing w:after="0" w:line="240" w:lineRule="auto"/>
              <w:jc w:val="center"/>
              <w:rPr>
                <w:rFonts w:cs="Times New Roman"/>
                <w:szCs w:val="24"/>
              </w:rPr>
            </w:pPr>
            <w:r w:rsidRPr="0049452F">
              <w:rPr>
                <w:rFonts w:cs="Times New Roman"/>
                <w:szCs w:val="24"/>
              </w:rPr>
              <w:t>7%</w:t>
            </w:r>
          </w:p>
        </w:tc>
        <w:tc>
          <w:tcPr>
            <w:tcW w:w="0" w:type="auto"/>
            <w:shd w:val="clear" w:color="000000" w:fill="FFCC99"/>
            <w:noWrap/>
            <w:vAlign w:val="center"/>
            <w:hideMark/>
          </w:tcPr>
          <w:p w14:paraId="043A9CF5" w14:textId="77777777" w:rsidR="00275B57" w:rsidRPr="0098697F" w:rsidRDefault="00275B57" w:rsidP="00BC4031">
            <w:pPr>
              <w:spacing w:after="0" w:line="240" w:lineRule="auto"/>
              <w:jc w:val="center"/>
              <w:rPr>
                <w:rFonts w:cs="Times New Roman"/>
                <w:szCs w:val="24"/>
              </w:rPr>
            </w:pPr>
            <w:r w:rsidRPr="0098697F">
              <w:rPr>
                <w:rFonts w:cs="Times New Roman"/>
                <w:szCs w:val="24"/>
              </w:rPr>
              <w:t>0.0000</w:t>
            </w:r>
          </w:p>
        </w:tc>
        <w:tc>
          <w:tcPr>
            <w:tcW w:w="0" w:type="auto"/>
            <w:shd w:val="clear" w:color="000000" w:fill="FFCC99"/>
            <w:noWrap/>
            <w:vAlign w:val="center"/>
            <w:hideMark/>
          </w:tcPr>
          <w:p w14:paraId="57A411AF" w14:textId="77777777" w:rsidR="00275B57" w:rsidRPr="0098697F" w:rsidRDefault="00275B57" w:rsidP="00BC4031">
            <w:pPr>
              <w:spacing w:after="0" w:line="240" w:lineRule="auto"/>
              <w:jc w:val="center"/>
              <w:rPr>
                <w:rFonts w:cs="Times New Roman"/>
                <w:szCs w:val="24"/>
              </w:rPr>
            </w:pPr>
            <w:r w:rsidRPr="0098697F">
              <w:rPr>
                <w:rFonts w:cs="Times New Roman"/>
                <w:szCs w:val="24"/>
              </w:rPr>
              <w:t>3,660</w:t>
            </w:r>
          </w:p>
        </w:tc>
        <w:tc>
          <w:tcPr>
            <w:tcW w:w="0" w:type="auto"/>
            <w:noWrap/>
            <w:vAlign w:val="center"/>
            <w:hideMark/>
          </w:tcPr>
          <w:p w14:paraId="4C4746A2" w14:textId="77777777" w:rsidR="00275B57" w:rsidRPr="0049452F" w:rsidRDefault="00275B57" w:rsidP="00BC4031">
            <w:pPr>
              <w:spacing w:after="0" w:line="240" w:lineRule="auto"/>
              <w:jc w:val="center"/>
              <w:rPr>
                <w:rFonts w:cs="Times New Roman"/>
                <w:szCs w:val="24"/>
              </w:rPr>
            </w:pPr>
            <w:r w:rsidRPr="00E752A0">
              <w:rPr>
                <w:rFonts w:cs="Times New Roman"/>
                <w:color w:val="000000"/>
                <w:szCs w:val="24"/>
              </w:rPr>
              <w:t>0</w:t>
            </w:r>
          </w:p>
        </w:tc>
        <w:tc>
          <w:tcPr>
            <w:tcW w:w="0" w:type="auto"/>
            <w:noWrap/>
            <w:vAlign w:val="center"/>
            <w:hideMark/>
          </w:tcPr>
          <w:p w14:paraId="656D8972" w14:textId="77777777" w:rsidR="00275B57" w:rsidRPr="00E752A0" w:rsidRDefault="00275B57" w:rsidP="00BC4031">
            <w:pPr>
              <w:spacing w:after="0" w:line="240" w:lineRule="auto"/>
              <w:jc w:val="center"/>
              <w:rPr>
                <w:rFonts w:eastAsia="Times New Roman" w:cs="Times New Roman"/>
                <w:color w:val="000000"/>
                <w:szCs w:val="24"/>
                <w:lang w:eastAsia="ja-JP"/>
              </w:rPr>
            </w:pPr>
            <w:r w:rsidRPr="00E752A0">
              <w:rPr>
                <w:rFonts w:cs="Times New Roman"/>
                <w:color w:val="000000"/>
                <w:szCs w:val="24"/>
              </w:rPr>
              <w:t>0%</w:t>
            </w:r>
          </w:p>
        </w:tc>
        <w:tc>
          <w:tcPr>
            <w:tcW w:w="0" w:type="auto"/>
            <w:shd w:val="clear" w:color="000000" w:fill="F2F2F2"/>
            <w:noWrap/>
            <w:vAlign w:val="center"/>
            <w:hideMark/>
          </w:tcPr>
          <w:p w14:paraId="363EB707" w14:textId="77777777" w:rsidR="00275B57" w:rsidRPr="00E752A0" w:rsidRDefault="00275B57" w:rsidP="00BC4031">
            <w:pPr>
              <w:spacing w:after="0" w:line="240" w:lineRule="auto"/>
              <w:jc w:val="center"/>
              <w:rPr>
                <w:rFonts w:eastAsia="Times New Roman" w:cs="Times New Roman"/>
                <w:b/>
                <w:bCs/>
                <w:color w:val="3F3F3F"/>
                <w:szCs w:val="24"/>
                <w:lang w:eastAsia="ja-JP"/>
              </w:rPr>
            </w:pPr>
            <w:r w:rsidRPr="00E752A0">
              <w:rPr>
                <w:rFonts w:cs="Times New Roman"/>
                <w:b/>
                <w:bCs/>
                <w:color w:val="3F3F3F"/>
                <w:szCs w:val="24"/>
              </w:rPr>
              <w:t>0%</w:t>
            </w:r>
          </w:p>
        </w:tc>
        <w:tc>
          <w:tcPr>
            <w:tcW w:w="1017" w:type="dxa"/>
            <w:shd w:val="clear" w:color="000000" w:fill="F2F2F2"/>
            <w:noWrap/>
            <w:vAlign w:val="center"/>
            <w:hideMark/>
          </w:tcPr>
          <w:p w14:paraId="1F004E81" w14:textId="77777777" w:rsidR="00275B57" w:rsidRPr="00E752A0" w:rsidRDefault="00275B57" w:rsidP="00BC4031">
            <w:pPr>
              <w:spacing w:after="0" w:line="240" w:lineRule="auto"/>
              <w:jc w:val="center"/>
              <w:rPr>
                <w:rFonts w:eastAsia="Times New Roman" w:cs="Times New Roman"/>
                <w:b/>
                <w:bCs/>
                <w:color w:val="3F3F3F"/>
                <w:szCs w:val="24"/>
                <w:lang w:eastAsia="ja-JP"/>
              </w:rPr>
            </w:pPr>
            <w:r w:rsidRPr="00E752A0">
              <w:rPr>
                <w:rFonts w:cs="Times New Roman"/>
                <w:b/>
                <w:bCs/>
                <w:color w:val="3F3F3F"/>
                <w:szCs w:val="24"/>
              </w:rPr>
              <w:t>0%</w:t>
            </w:r>
          </w:p>
        </w:tc>
      </w:tr>
      <w:tr w:rsidR="00275B57" w14:paraId="34F7DA79" w14:textId="77777777" w:rsidTr="004C5067">
        <w:trPr>
          <w:trHeight w:val="71"/>
        </w:trPr>
        <w:tc>
          <w:tcPr>
            <w:tcW w:w="0" w:type="auto"/>
            <w:noWrap/>
            <w:vAlign w:val="center"/>
            <w:hideMark/>
          </w:tcPr>
          <w:p w14:paraId="79D4205E" w14:textId="77777777" w:rsidR="00275B57" w:rsidRPr="00484405" w:rsidRDefault="00275B57" w:rsidP="00BC4031">
            <w:pPr>
              <w:spacing w:after="0" w:line="240" w:lineRule="auto"/>
              <w:rPr>
                <w:rFonts w:eastAsia="Times New Roman" w:cs="Times New Roman"/>
                <w:b/>
                <w:color w:val="3F3F3F"/>
                <w:szCs w:val="24"/>
                <w:lang w:eastAsia="ja-JP"/>
              </w:rPr>
            </w:pPr>
          </w:p>
        </w:tc>
        <w:tc>
          <w:tcPr>
            <w:tcW w:w="0" w:type="auto"/>
            <w:noWrap/>
            <w:vAlign w:val="center"/>
            <w:hideMark/>
          </w:tcPr>
          <w:p w14:paraId="1DBE3CB9" w14:textId="77777777" w:rsidR="00275B57" w:rsidRPr="00484405" w:rsidRDefault="00275B57" w:rsidP="00BC4031">
            <w:pPr>
              <w:spacing w:after="0" w:line="240" w:lineRule="auto"/>
              <w:jc w:val="center"/>
              <w:rPr>
                <w:rFonts w:eastAsia="Times New Roman" w:cs="Times New Roman"/>
                <w:szCs w:val="24"/>
                <w:lang w:eastAsia="ja-JP"/>
              </w:rPr>
            </w:pPr>
          </w:p>
        </w:tc>
        <w:tc>
          <w:tcPr>
            <w:tcW w:w="0" w:type="auto"/>
            <w:noWrap/>
            <w:vAlign w:val="center"/>
            <w:hideMark/>
          </w:tcPr>
          <w:p w14:paraId="262C384F" w14:textId="77777777" w:rsidR="00275B57" w:rsidRPr="00484405" w:rsidRDefault="00275B57" w:rsidP="00BC4031">
            <w:pPr>
              <w:spacing w:after="0" w:line="240" w:lineRule="auto"/>
              <w:jc w:val="center"/>
              <w:rPr>
                <w:rFonts w:eastAsia="Times New Roman" w:cs="Times New Roman"/>
                <w:szCs w:val="24"/>
                <w:lang w:eastAsia="ja-JP"/>
              </w:rPr>
            </w:pPr>
          </w:p>
        </w:tc>
        <w:tc>
          <w:tcPr>
            <w:tcW w:w="0" w:type="auto"/>
            <w:noWrap/>
            <w:vAlign w:val="center"/>
            <w:hideMark/>
          </w:tcPr>
          <w:p w14:paraId="097903E5" w14:textId="77777777" w:rsidR="00275B57" w:rsidRPr="00484405" w:rsidRDefault="00275B57" w:rsidP="00BC4031">
            <w:pPr>
              <w:spacing w:after="0" w:line="240" w:lineRule="auto"/>
              <w:jc w:val="center"/>
              <w:rPr>
                <w:rFonts w:eastAsia="Times New Roman" w:cs="Times New Roman"/>
                <w:szCs w:val="24"/>
                <w:lang w:eastAsia="ja-JP"/>
              </w:rPr>
            </w:pPr>
          </w:p>
        </w:tc>
        <w:tc>
          <w:tcPr>
            <w:tcW w:w="0" w:type="auto"/>
            <w:noWrap/>
            <w:vAlign w:val="center"/>
            <w:hideMark/>
          </w:tcPr>
          <w:p w14:paraId="02972FD4" w14:textId="77777777" w:rsidR="00275B57" w:rsidRPr="00484405" w:rsidRDefault="00275B57" w:rsidP="00BC4031">
            <w:pPr>
              <w:spacing w:after="0" w:line="240" w:lineRule="auto"/>
              <w:jc w:val="center"/>
              <w:rPr>
                <w:rFonts w:eastAsia="Times New Roman" w:cs="Times New Roman"/>
                <w:szCs w:val="24"/>
                <w:lang w:eastAsia="ja-JP"/>
              </w:rPr>
            </w:pPr>
          </w:p>
        </w:tc>
        <w:tc>
          <w:tcPr>
            <w:tcW w:w="0" w:type="auto"/>
            <w:noWrap/>
            <w:vAlign w:val="center"/>
            <w:hideMark/>
          </w:tcPr>
          <w:p w14:paraId="7D127E00" w14:textId="77777777" w:rsidR="00275B57" w:rsidRPr="00484405" w:rsidRDefault="00275B57" w:rsidP="00BC4031">
            <w:pPr>
              <w:spacing w:after="0" w:line="240" w:lineRule="auto"/>
              <w:jc w:val="center"/>
              <w:rPr>
                <w:rFonts w:eastAsia="Times New Roman" w:cs="Times New Roman"/>
                <w:szCs w:val="24"/>
                <w:lang w:eastAsia="ja-JP"/>
              </w:rPr>
            </w:pPr>
          </w:p>
        </w:tc>
        <w:tc>
          <w:tcPr>
            <w:tcW w:w="0" w:type="auto"/>
            <w:noWrap/>
            <w:vAlign w:val="center"/>
            <w:hideMark/>
          </w:tcPr>
          <w:p w14:paraId="4978C9BA" w14:textId="77777777" w:rsidR="00275B57" w:rsidRPr="00484405" w:rsidRDefault="00275B57" w:rsidP="00BC4031">
            <w:pPr>
              <w:spacing w:after="0" w:line="240" w:lineRule="auto"/>
              <w:jc w:val="center"/>
              <w:rPr>
                <w:rFonts w:eastAsia="Times New Roman" w:cs="Times New Roman"/>
                <w:szCs w:val="24"/>
                <w:lang w:eastAsia="ja-JP"/>
              </w:rPr>
            </w:pPr>
          </w:p>
        </w:tc>
        <w:tc>
          <w:tcPr>
            <w:tcW w:w="0" w:type="auto"/>
            <w:noWrap/>
            <w:vAlign w:val="center"/>
            <w:hideMark/>
          </w:tcPr>
          <w:p w14:paraId="39DFBB90" w14:textId="77777777" w:rsidR="00275B57" w:rsidRPr="00484405" w:rsidRDefault="00275B57" w:rsidP="00BC4031">
            <w:pPr>
              <w:spacing w:after="0" w:line="240" w:lineRule="auto"/>
              <w:jc w:val="center"/>
              <w:rPr>
                <w:rFonts w:eastAsia="Times New Roman" w:cs="Times New Roman"/>
                <w:color w:val="000000"/>
                <w:szCs w:val="24"/>
                <w:lang w:eastAsia="ja-JP"/>
              </w:rPr>
            </w:pPr>
            <w:r w:rsidRPr="00484405">
              <w:rPr>
                <w:rFonts w:eastAsia="Times New Roman" w:cs="Times New Roman"/>
                <w:color w:val="000000"/>
                <w:szCs w:val="24"/>
                <w:lang w:eastAsia="ja-JP"/>
              </w:rPr>
              <w:t>0.8216</w:t>
            </w:r>
          </w:p>
        </w:tc>
        <w:tc>
          <w:tcPr>
            <w:tcW w:w="1017" w:type="dxa"/>
            <w:noWrap/>
            <w:vAlign w:val="center"/>
            <w:hideMark/>
          </w:tcPr>
          <w:p w14:paraId="572B58BB" w14:textId="77777777" w:rsidR="00275B57" w:rsidRPr="00484405" w:rsidRDefault="00275B57" w:rsidP="00BC4031">
            <w:pPr>
              <w:spacing w:after="0" w:line="240" w:lineRule="auto"/>
              <w:jc w:val="center"/>
              <w:rPr>
                <w:rFonts w:eastAsia="Times New Roman" w:cs="Times New Roman"/>
                <w:color w:val="000000"/>
                <w:szCs w:val="24"/>
                <w:lang w:eastAsia="ja-JP"/>
              </w:rPr>
            </w:pPr>
            <w:r w:rsidRPr="00484405">
              <w:rPr>
                <w:rFonts w:eastAsia="Times New Roman" w:cs="Times New Roman"/>
                <w:color w:val="000000"/>
                <w:szCs w:val="24"/>
                <w:lang w:eastAsia="ja-JP"/>
              </w:rPr>
              <w:t>0.6626</w:t>
            </w:r>
          </w:p>
        </w:tc>
      </w:tr>
    </w:tbl>
    <w:p w14:paraId="238513F3" w14:textId="77777777" w:rsidR="001E65EA" w:rsidRDefault="001E65EA" w:rsidP="001E65EA">
      <w:pPr>
        <w:pStyle w:val="Caption"/>
        <w:jc w:val="left"/>
      </w:pPr>
    </w:p>
    <w:p w14:paraId="435B0966" w14:textId="77777777" w:rsidR="001D6419" w:rsidRDefault="000F5B51" w:rsidP="00BC757F">
      <w:pPr>
        <w:pStyle w:val="Heading2"/>
        <w:spacing w:before="0" w:line="240" w:lineRule="auto"/>
      </w:pPr>
      <w:bookmarkStart w:id="1998" w:name="_Ref126229804"/>
      <w:bookmarkStart w:id="1999" w:name="_Toc142903014"/>
      <w:r>
        <w:lastRenderedPageBreak/>
        <w:t>Appendix B</w:t>
      </w:r>
      <w:bookmarkEnd w:id="1998"/>
      <w:bookmarkEnd w:id="1999"/>
    </w:p>
    <w:p w14:paraId="168469C5" w14:textId="23402EC2" w:rsidR="001D6419" w:rsidRDefault="000F5B51" w:rsidP="00BC757F">
      <w:pPr>
        <w:spacing w:after="0"/>
        <w:rPr>
          <w:rFonts w:eastAsia="Calibri" w:cs="Times New Roman"/>
          <w:color w:val="000000" w:themeColor="text1"/>
        </w:rPr>
      </w:pPr>
      <w:r w:rsidRPr="00CE2168">
        <w:rPr>
          <w:rFonts w:eastAsia="Calibri" w:cs="Times New Roman"/>
          <w:color w:val="000000" w:themeColor="text1"/>
        </w:rPr>
        <w:t>The comprehensive value of societal impacts from fatalities and injuries includes a variety of cost components</w:t>
      </w:r>
      <w:r w:rsidR="001F2F92">
        <w:rPr>
          <w:rFonts w:eastAsia="Calibri" w:cs="Times New Roman"/>
          <w:color w:val="000000" w:themeColor="text1"/>
        </w:rPr>
        <w:t xml:space="preserve">. </w:t>
      </w:r>
      <w:r w:rsidR="00773EF5">
        <w:rPr>
          <w:rFonts w:eastAsia="Calibri" w:cs="Times New Roman"/>
          <w:color w:val="000000" w:themeColor="text1"/>
        </w:rPr>
        <w:fldChar w:fldCharType="begin"/>
      </w:r>
      <w:r w:rsidR="00773EF5">
        <w:rPr>
          <w:rFonts w:eastAsia="Calibri" w:cs="Times New Roman"/>
          <w:color w:val="000000" w:themeColor="text1"/>
        </w:rPr>
        <w:instrText xml:space="preserve"> REF _Ref126240067 \h </w:instrText>
      </w:r>
      <w:r w:rsidR="00773EF5">
        <w:rPr>
          <w:rFonts w:eastAsia="Calibri" w:cs="Times New Roman"/>
          <w:color w:val="000000" w:themeColor="text1"/>
        </w:rPr>
      </w:r>
      <w:r w:rsidR="00773EF5">
        <w:rPr>
          <w:rFonts w:eastAsia="Calibri" w:cs="Times New Roman"/>
          <w:color w:val="000000" w:themeColor="text1"/>
        </w:rPr>
        <w:fldChar w:fldCharType="separate"/>
      </w:r>
      <w:r w:rsidR="00A65CB3">
        <w:t xml:space="preserve">Table </w:t>
      </w:r>
      <w:r w:rsidR="00A65CB3">
        <w:rPr>
          <w:noProof/>
        </w:rPr>
        <w:t>104</w:t>
      </w:r>
      <w:r w:rsidR="00773EF5">
        <w:rPr>
          <w:rFonts w:eastAsia="Calibri" w:cs="Times New Roman"/>
          <w:color w:val="000000" w:themeColor="text1"/>
        </w:rPr>
        <w:fldChar w:fldCharType="end"/>
      </w:r>
      <w:r w:rsidR="00773EF5">
        <w:rPr>
          <w:rFonts w:eastAsia="Calibri" w:cs="Times New Roman"/>
          <w:color w:val="000000" w:themeColor="text1"/>
        </w:rPr>
        <w:t xml:space="preserve"> </w:t>
      </w:r>
      <w:r w:rsidRPr="00CE2168">
        <w:rPr>
          <w:rFonts w:eastAsia="Calibri" w:cs="Times New Roman"/>
          <w:color w:val="000000" w:themeColor="text1"/>
        </w:rPr>
        <w:t>summarizes the cost components and corresponding unit costs in 2019 dollars</w:t>
      </w:r>
      <w:r w:rsidR="001F2F92">
        <w:rPr>
          <w:rFonts w:eastAsia="Calibri" w:cs="Times New Roman"/>
          <w:color w:val="000000" w:themeColor="text1"/>
        </w:rPr>
        <w:t xml:space="preserve">. </w:t>
      </w:r>
      <w:r w:rsidRPr="00CE2168">
        <w:rPr>
          <w:rFonts w:eastAsia="Calibri" w:cs="Times New Roman"/>
          <w:color w:val="000000" w:themeColor="text1"/>
        </w:rPr>
        <w:t xml:space="preserve">As shown, the cost components included medical, EMS, market productivity, household productivity, insurance administration, workplace, legal, congestion, travel delay, and </w:t>
      </w:r>
      <w:r w:rsidRPr="00CE2168">
        <w:rPr>
          <w:rFonts w:eastAsia="Calibri" w:cs="Times New Roman"/>
        </w:rPr>
        <w:t>the nontangible value of physical pain and loss of quality of life (i.e., quality adjusted life years, QALYs)</w:t>
      </w:r>
      <w:r w:rsidR="001F2F92">
        <w:rPr>
          <w:rFonts w:eastAsia="Calibri" w:cs="Times New Roman"/>
          <w:color w:val="000000" w:themeColor="text1"/>
        </w:rPr>
        <w:t xml:space="preserve">. </w:t>
      </w:r>
      <w:r w:rsidRPr="00CE2168">
        <w:rPr>
          <w:rFonts w:eastAsia="Calibri" w:cs="Times New Roman"/>
          <w:color w:val="000000" w:themeColor="text1"/>
        </w:rPr>
        <w:t>The unit costs were revised from those published in the agency’s 2015 report</w:t>
      </w:r>
      <w:r w:rsidRPr="00CE2168">
        <w:rPr>
          <w:rFonts w:eastAsia="Calibri" w:cs="Times New Roman"/>
        </w:rPr>
        <w:t xml:space="preserve"> (Blincoe, 2015 et al).</w:t>
      </w:r>
      <w:r>
        <w:rPr>
          <w:rFonts w:eastAsia="Calibri" w:cs="Times New Roman"/>
          <w:vertAlign w:val="superscript"/>
        </w:rPr>
        <w:footnoteReference w:id="80"/>
      </w:r>
      <w:r w:rsidRPr="00CE2168">
        <w:rPr>
          <w:rFonts w:eastAsia="Calibri" w:cs="Times New Roman"/>
        </w:rPr>
        <w:t xml:space="preserve"> Blincoe et al reported unit costs in 2010 dollars</w:t>
      </w:r>
      <w:r w:rsidR="001F2F92">
        <w:rPr>
          <w:rFonts w:eastAsia="Calibri" w:cs="Times New Roman"/>
        </w:rPr>
        <w:t xml:space="preserve">. </w:t>
      </w:r>
      <w:r w:rsidRPr="00CE2168">
        <w:rPr>
          <w:rFonts w:eastAsia="Calibri" w:cs="Times New Roman"/>
          <w:color w:val="000000" w:themeColor="text1"/>
        </w:rPr>
        <w:t>The current established DOT VSL is $11.9 million (in 2020 dollars) which was based on the most current 2020 DOT Guidance on VSL (DOT, 2020)</w:t>
      </w:r>
      <w:r w:rsidR="001F2F92">
        <w:rPr>
          <w:rFonts w:eastAsia="Calibri" w:cs="Times New Roman"/>
          <w:color w:val="000000" w:themeColor="text1"/>
        </w:rPr>
        <w:t xml:space="preserve">. </w:t>
      </w:r>
    </w:p>
    <w:p w14:paraId="70DA6AA1" w14:textId="67C71CB4" w:rsidR="001D6419" w:rsidRPr="00CE2168" w:rsidRDefault="000F5B51" w:rsidP="003F10AD">
      <w:pPr>
        <w:pStyle w:val="Caption"/>
        <w:rPr>
          <w:rFonts w:asciiTheme="minorHAnsi" w:hAnsiTheme="minorHAnsi"/>
          <w:b/>
          <w:color w:val="44546A" w:themeColor="text2"/>
        </w:rPr>
      </w:pPr>
      <w:bookmarkStart w:id="2000" w:name="_Ref126240067"/>
      <w:r>
        <w:t xml:space="preserve">Table </w:t>
      </w:r>
      <w:r w:rsidR="00115BAB">
        <w:fldChar w:fldCharType="begin"/>
      </w:r>
      <w:r>
        <w:instrText xml:space="preserve"> SEQ Table \* ARABIC </w:instrText>
      </w:r>
      <w:r w:rsidR="00115BAB">
        <w:fldChar w:fldCharType="separate"/>
      </w:r>
      <w:r w:rsidR="00A65CB3">
        <w:rPr>
          <w:noProof/>
        </w:rPr>
        <w:t>104</w:t>
      </w:r>
      <w:r w:rsidR="00115BAB">
        <w:rPr>
          <w:noProof/>
        </w:rPr>
        <w:fldChar w:fldCharType="end"/>
      </w:r>
      <w:bookmarkEnd w:id="2000"/>
      <w:r>
        <w:t xml:space="preserve">: </w:t>
      </w:r>
      <w:r w:rsidRPr="00933530">
        <w:t>Comprehensive Unit Costs (2020 $)</w:t>
      </w:r>
    </w:p>
    <w:tbl>
      <w:tblPr>
        <w:tblStyle w:val="TableGrid2"/>
        <w:tblW w:w="9622" w:type="dxa"/>
        <w:tblLook w:val="04A0" w:firstRow="1" w:lastRow="0" w:firstColumn="1" w:lastColumn="0" w:noHBand="0" w:noVBand="1"/>
      </w:tblPr>
      <w:tblGrid>
        <w:gridCol w:w="1581"/>
        <w:gridCol w:w="923"/>
        <w:gridCol w:w="963"/>
        <w:gridCol w:w="963"/>
        <w:gridCol w:w="963"/>
        <w:gridCol w:w="1026"/>
        <w:gridCol w:w="1026"/>
        <w:gridCol w:w="1218"/>
        <w:gridCol w:w="1116"/>
      </w:tblGrid>
      <w:tr w:rsidR="00A15C2C" w14:paraId="0EB8D32F" w14:textId="77777777" w:rsidTr="003F10AD">
        <w:trPr>
          <w:trHeight w:val="315"/>
        </w:trPr>
        <w:tc>
          <w:tcPr>
            <w:tcW w:w="1581" w:type="dxa"/>
            <w:shd w:val="clear" w:color="auto" w:fill="D9D9D9" w:themeFill="background1" w:themeFillShade="D9"/>
            <w:noWrap/>
            <w:vAlign w:val="center"/>
            <w:hideMark/>
          </w:tcPr>
          <w:p w14:paraId="063987F2" w14:textId="77777777" w:rsidR="001D6419" w:rsidRPr="003F10AD" w:rsidRDefault="000F5B51" w:rsidP="003F10AD">
            <w:pPr>
              <w:spacing w:before="240" w:after="240" w:line="240" w:lineRule="auto"/>
              <w:rPr>
                <w:rFonts w:eastAsia="Calibri"/>
                <w:b/>
                <w:szCs w:val="22"/>
              </w:rPr>
            </w:pPr>
            <w:r w:rsidRPr="003F10AD">
              <w:rPr>
                <w:rFonts w:eastAsia="Calibri"/>
                <w:b/>
              </w:rPr>
              <w:t> Components</w:t>
            </w:r>
          </w:p>
        </w:tc>
        <w:tc>
          <w:tcPr>
            <w:tcW w:w="923" w:type="dxa"/>
            <w:shd w:val="clear" w:color="auto" w:fill="D9D9D9" w:themeFill="background1" w:themeFillShade="D9"/>
            <w:noWrap/>
            <w:vAlign w:val="center"/>
            <w:hideMark/>
          </w:tcPr>
          <w:p w14:paraId="6821004A" w14:textId="77777777" w:rsidR="001D6419" w:rsidRPr="003F10AD" w:rsidRDefault="000F5B51" w:rsidP="003F10AD">
            <w:pPr>
              <w:spacing w:before="240" w:after="240" w:line="240" w:lineRule="auto"/>
              <w:jc w:val="center"/>
              <w:rPr>
                <w:rFonts w:eastAsia="Calibri"/>
                <w:b/>
                <w:szCs w:val="22"/>
              </w:rPr>
            </w:pPr>
            <w:r w:rsidRPr="003F10AD">
              <w:rPr>
                <w:rFonts w:eastAsia="Calibri"/>
                <w:b/>
              </w:rPr>
              <w:t>PDO</w:t>
            </w:r>
          </w:p>
        </w:tc>
        <w:tc>
          <w:tcPr>
            <w:tcW w:w="923" w:type="dxa"/>
            <w:shd w:val="clear" w:color="auto" w:fill="D9D9D9" w:themeFill="background1" w:themeFillShade="D9"/>
            <w:noWrap/>
            <w:vAlign w:val="center"/>
            <w:hideMark/>
          </w:tcPr>
          <w:p w14:paraId="55150B9F" w14:textId="77777777" w:rsidR="001D6419" w:rsidRPr="003F10AD" w:rsidRDefault="000F5B51" w:rsidP="003F10AD">
            <w:pPr>
              <w:spacing w:before="240" w:after="240" w:line="240" w:lineRule="auto"/>
              <w:jc w:val="center"/>
              <w:rPr>
                <w:rFonts w:eastAsia="Calibri"/>
                <w:b/>
                <w:szCs w:val="22"/>
              </w:rPr>
            </w:pPr>
            <w:r w:rsidRPr="003F10AD">
              <w:rPr>
                <w:rFonts w:eastAsia="Calibri"/>
                <w:b/>
              </w:rPr>
              <w:t>MAIS0</w:t>
            </w:r>
          </w:p>
        </w:tc>
        <w:tc>
          <w:tcPr>
            <w:tcW w:w="924" w:type="dxa"/>
            <w:shd w:val="clear" w:color="auto" w:fill="D9D9D9" w:themeFill="background1" w:themeFillShade="D9"/>
            <w:noWrap/>
            <w:vAlign w:val="center"/>
            <w:hideMark/>
          </w:tcPr>
          <w:p w14:paraId="236BAC74" w14:textId="77777777" w:rsidR="001D6419" w:rsidRPr="003F10AD" w:rsidRDefault="000F5B51" w:rsidP="003F10AD">
            <w:pPr>
              <w:spacing w:before="240" w:after="240" w:line="240" w:lineRule="auto"/>
              <w:jc w:val="center"/>
              <w:rPr>
                <w:rFonts w:eastAsia="Calibri"/>
                <w:b/>
                <w:szCs w:val="22"/>
              </w:rPr>
            </w:pPr>
            <w:r w:rsidRPr="003F10AD">
              <w:rPr>
                <w:rFonts w:eastAsia="Calibri"/>
                <w:b/>
              </w:rPr>
              <w:t>MAIS1</w:t>
            </w:r>
          </w:p>
        </w:tc>
        <w:tc>
          <w:tcPr>
            <w:tcW w:w="924" w:type="dxa"/>
            <w:shd w:val="clear" w:color="auto" w:fill="D9D9D9" w:themeFill="background1" w:themeFillShade="D9"/>
            <w:noWrap/>
            <w:vAlign w:val="center"/>
            <w:hideMark/>
          </w:tcPr>
          <w:p w14:paraId="74C3A1DF" w14:textId="77777777" w:rsidR="001D6419" w:rsidRPr="003F10AD" w:rsidRDefault="000F5B51" w:rsidP="003F10AD">
            <w:pPr>
              <w:spacing w:before="240" w:after="240" w:line="240" w:lineRule="auto"/>
              <w:jc w:val="center"/>
              <w:rPr>
                <w:rFonts w:eastAsia="Calibri"/>
                <w:b/>
                <w:szCs w:val="22"/>
              </w:rPr>
            </w:pPr>
            <w:r w:rsidRPr="003F10AD">
              <w:rPr>
                <w:rFonts w:eastAsia="Calibri"/>
                <w:b/>
              </w:rPr>
              <w:t>MAIS2</w:t>
            </w:r>
          </w:p>
        </w:tc>
        <w:tc>
          <w:tcPr>
            <w:tcW w:w="1026" w:type="dxa"/>
            <w:shd w:val="clear" w:color="auto" w:fill="D9D9D9" w:themeFill="background1" w:themeFillShade="D9"/>
            <w:noWrap/>
            <w:vAlign w:val="center"/>
            <w:hideMark/>
          </w:tcPr>
          <w:p w14:paraId="1025F003" w14:textId="77777777" w:rsidR="001D6419" w:rsidRPr="003F10AD" w:rsidRDefault="000F5B51" w:rsidP="003F10AD">
            <w:pPr>
              <w:spacing w:before="240" w:after="240" w:line="240" w:lineRule="auto"/>
              <w:jc w:val="center"/>
              <w:rPr>
                <w:rFonts w:eastAsia="Calibri"/>
                <w:b/>
                <w:szCs w:val="22"/>
              </w:rPr>
            </w:pPr>
            <w:r w:rsidRPr="003F10AD">
              <w:rPr>
                <w:rFonts w:eastAsia="Calibri"/>
                <w:b/>
              </w:rPr>
              <w:t>MAIS3</w:t>
            </w:r>
          </w:p>
        </w:tc>
        <w:tc>
          <w:tcPr>
            <w:tcW w:w="1026" w:type="dxa"/>
            <w:shd w:val="clear" w:color="auto" w:fill="D9D9D9" w:themeFill="background1" w:themeFillShade="D9"/>
            <w:noWrap/>
            <w:vAlign w:val="center"/>
            <w:hideMark/>
          </w:tcPr>
          <w:p w14:paraId="1A754A48" w14:textId="77777777" w:rsidR="001D6419" w:rsidRPr="003F10AD" w:rsidRDefault="000F5B51" w:rsidP="003F10AD">
            <w:pPr>
              <w:spacing w:before="240" w:after="240" w:line="240" w:lineRule="auto"/>
              <w:jc w:val="center"/>
              <w:rPr>
                <w:rFonts w:eastAsia="Calibri"/>
                <w:b/>
                <w:szCs w:val="22"/>
              </w:rPr>
            </w:pPr>
            <w:r w:rsidRPr="003F10AD">
              <w:rPr>
                <w:rFonts w:eastAsia="Calibri"/>
                <w:b/>
              </w:rPr>
              <w:t>MAIS4</w:t>
            </w:r>
          </w:p>
        </w:tc>
        <w:tc>
          <w:tcPr>
            <w:tcW w:w="1218" w:type="dxa"/>
            <w:shd w:val="clear" w:color="auto" w:fill="D9D9D9" w:themeFill="background1" w:themeFillShade="D9"/>
            <w:noWrap/>
            <w:vAlign w:val="center"/>
            <w:hideMark/>
          </w:tcPr>
          <w:p w14:paraId="20AF5F8F" w14:textId="77777777" w:rsidR="001D6419" w:rsidRPr="003F10AD" w:rsidRDefault="000F5B51" w:rsidP="003F10AD">
            <w:pPr>
              <w:spacing w:before="240" w:after="240" w:line="240" w:lineRule="auto"/>
              <w:jc w:val="center"/>
              <w:rPr>
                <w:rFonts w:eastAsia="Calibri"/>
                <w:b/>
                <w:szCs w:val="22"/>
              </w:rPr>
            </w:pPr>
            <w:r w:rsidRPr="003F10AD">
              <w:rPr>
                <w:rFonts w:eastAsia="Calibri"/>
                <w:b/>
              </w:rPr>
              <w:t>MAIS5</w:t>
            </w:r>
          </w:p>
        </w:tc>
        <w:tc>
          <w:tcPr>
            <w:tcW w:w="1077" w:type="dxa"/>
            <w:shd w:val="clear" w:color="auto" w:fill="D9D9D9" w:themeFill="background1" w:themeFillShade="D9"/>
            <w:noWrap/>
            <w:vAlign w:val="center"/>
            <w:hideMark/>
          </w:tcPr>
          <w:p w14:paraId="02F1BBA8" w14:textId="77777777" w:rsidR="001D6419" w:rsidRPr="003F10AD" w:rsidRDefault="000F5B51" w:rsidP="003F10AD">
            <w:pPr>
              <w:spacing w:before="240" w:after="240" w:line="240" w:lineRule="auto"/>
              <w:jc w:val="center"/>
              <w:rPr>
                <w:rFonts w:eastAsia="Calibri"/>
                <w:b/>
                <w:szCs w:val="22"/>
              </w:rPr>
            </w:pPr>
            <w:r w:rsidRPr="003F10AD">
              <w:rPr>
                <w:rFonts w:eastAsia="Calibri"/>
                <w:b/>
              </w:rPr>
              <w:t>FATAL</w:t>
            </w:r>
          </w:p>
        </w:tc>
      </w:tr>
      <w:tr w:rsidR="00A15C2C" w14:paraId="2ED46A64" w14:textId="77777777" w:rsidTr="003F10AD">
        <w:trPr>
          <w:trHeight w:val="315"/>
        </w:trPr>
        <w:tc>
          <w:tcPr>
            <w:tcW w:w="1581" w:type="dxa"/>
            <w:noWrap/>
            <w:vAlign w:val="center"/>
            <w:hideMark/>
          </w:tcPr>
          <w:p w14:paraId="638A5990" w14:textId="77777777" w:rsidR="001D6419" w:rsidRPr="00773EF5" w:rsidRDefault="000F5B51" w:rsidP="003F10AD">
            <w:pPr>
              <w:spacing w:line="240" w:lineRule="auto"/>
              <w:rPr>
                <w:rFonts w:eastAsia="Calibri"/>
                <w:sz w:val="18"/>
                <w:szCs w:val="18"/>
              </w:rPr>
            </w:pPr>
            <w:r w:rsidRPr="00773EF5">
              <w:rPr>
                <w:rFonts w:eastAsia="Calibri"/>
                <w:sz w:val="18"/>
                <w:szCs w:val="18"/>
              </w:rPr>
              <w:t>Medical</w:t>
            </w:r>
          </w:p>
        </w:tc>
        <w:tc>
          <w:tcPr>
            <w:tcW w:w="923" w:type="dxa"/>
            <w:noWrap/>
            <w:vAlign w:val="center"/>
            <w:hideMark/>
          </w:tcPr>
          <w:p w14:paraId="4D9ACF97" w14:textId="77777777" w:rsidR="001D6419" w:rsidRPr="00773EF5" w:rsidRDefault="000F5B51" w:rsidP="003F10AD">
            <w:pPr>
              <w:spacing w:line="240" w:lineRule="auto"/>
              <w:jc w:val="center"/>
              <w:rPr>
                <w:rFonts w:eastAsia="Calibri"/>
                <w:sz w:val="18"/>
                <w:szCs w:val="18"/>
              </w:rPr>
            </w:pPr>
            <w:r w:rsidRPr="00773EF5">
              <w:rPr>
                <w:sz w:val="18"/>
                <w:szCs w:val="18"/>
              </w:rPr>
              <w:t>$0</w:t>
            </w:r>
          </w:p>
        </w:tc>
        <w:tc>
          <w:tcPr>
            <w:tcW w:w="923" w:type="dxa"/>
            <w:noWrap/>
            <w:vAlign w:val="center"/>
            <w:hideMark/>
          </w:tcPr>
          <w:p w14:paraId="471AAB5F" w14:textId="77777777" w:rsidR="001D6419" w:rsidRPr="00773EF5" w:rsidRDefault="000F5B51" w:rsidP="003F10AD">
            <w:pPr>
              <w:spacing w:line="240" w:lineRule="auto"/>
              <w:jc w:val="center"/>
              <w:rPr>
                <w:rFonts w:eastAsia="Calibri"/>
                <w:sz w:val="18"/>
                <w:szCs w:val="18"/>
              </w:rPr>
            </w:pPr>
            <w:r w:rsidRPr="00773EF5">
              <w:rPr>
                <w:sz w:val="18"/>
                <w:szCs w:val="18"/>
              </w:rPr>
              <w:t>$0</w:t>
            </w:r>
          </w:p>
        </w:tc>
        <w:tc>
          <w:tcPr>
            <w:tcW w:w="924" w:type="dxa"/>
            <w:noWrap/>
            <w:vAlign w:val="center"/>
            <w:hideMark/>
          </w:tcPr>
          <w:p w14:paraId="652D3B58" w14:textId="77777777" w:rsidR="001D6419" w:rsidRPr="00773EF5" w:rsidRDefault="000F5B51" w:rsidP="003F10AD">
            <w:pPr>
              <w:spacing w:line="240" w:lineRule="auto"/>
              <w:jc w:val="center"/>
              <w:rPr>
                <w:rFonts w:eastAsia="Calibri"/>
                <w:sz w:val="18"/>
                <w:szCs w:val="18"/>
              </w:rPr>
            </w:pPr>
            <w:r w:rsidRPr="00773EF5">
              <w:rPr>
                <w:sz w:val="18"/>
                <w:szCs w:val="18"/>
              </w:rPr>
              <w:t>$3,739</w:t>
            </w:r>
          </w:p>
        </w:tc>
        <w:tc>
          <w:tcPr>
            <w:tcW w:w="924" w:type="dxa"/>
            <w:noWrap/>
            <w:vAlign w:val="center"/>
            <w:hideMark/>
          </w:tcPr>
          <w:p w14:paraId="134A8506" w14:textId="77777777" w:rsidR="001D6419" w:rsidRPr="00773EF5" w:rsidRDefault="000F5B51" w:rsidP="003F10AD">
            <w:pPr>
              <w:spacing w:line="240" w:lineRule="auto"/>
              <w:jc w:val="center"/>
              <w:rPr>
                <w:rFonts w:eastAsia="Calibri"/>
                <w:sz w:val="18"/>
                <w:szCs w:val="18"/>
              </w:rPr>
            </w:pPr>
            <w:r w:rsidRPr="00773EF5">
              <w:rPr>
                <w:sz w:val="18"/>
                <w:szCs w:val="18"/>
              </w:rPr>
              <w:t>$15,299</w:t>
            </w:r>
          </w:p>
        </w:tc>
        <w:tc>
          <w:tcPr>
            <w:tcW w:w="1026" w:type="dxa"/>
            <w:noWrap/>
            <w:vAlign w:val="center"/>
            <w:hideMark/>
          </w:tcPr>
          <w:p w14:paraId="2CDDF9CB" w14:textId="77777777" w:rsidR="001D6419" w:rsidRPr="00773EF5" w:rsidRDefault="000F5B51" w:rsidP="003F10AD">
            <w:pPr>
              <w:spacing w:line="240" w:lineRule="auto"/>
              <w:jc w:val="center"/>
              <w:rPr>
                <w:rFonts w:eastAsia="Calibri"/>
                <w:sz w:val="18"/>
                <w:szCs w:val="18"/>
              </w:rPr>
            </w:pPr>
            <w:r w:rsidRPr="00773EF5">
              <w:rPr>
                <w:sz w:val="18"/>
                <w:szCs w:val="18"/>
              </w:rPr>
              <w:t>$64,947</w:t>
            </w:r>
          </w:p>
        </w:tc>
        <w:tc>
          <w:tcPr>
            <w:tcW w:w="1026" w:type="dxa"/>
            <w:noWrap/>
            <w:vAlign w:val="center"/>
            <w:hideMark/>
          </w:tcPr>
          <w:p w14:paraId="5AC4A694" w14:textId="77777777" w:rsidR="001D6419" w:rsidRPr="00773EF5" w:rsidRDefault="000F5B51" w:rsidP="003F10AD">
            <w:pPr>
              <w:spacing w:line="240" w:lineRule="auto"/>
              <w:jc w:val="center"/>
              <w:rPr>
                <w:rFonts w:eastAsia="Calibri"/>
                <w:sz w:val="18"/>
                <w:szCs w:val="18"/>
              </w:rPr>
            </w:pPr>
            <w:r w:rsidRPr="00773EF5">
              <w:rPr>
                <w:sz w:val="18"/>
                <w:szCs w:val="18"/>
              </w:rPr>
              <w:t>$182,093</w:t>
            </w:r>
          </w:p>
        </w:tc>
        <w:tc>
          <w:tcPr>
            <w:tcW w:w="1218" w:type="dxa"/>
            <w:noWrap/>
            <w:vAlign w:val="center"/>
            <w:hideMark/>
          </w:tcPr>
          <w:p w14:paraId="453760B2" w14:textId="77777777" w:rsidR="001D6419" w:rsidRPr="00773EF5" w:rsidRDefault="000F5B51" w:rsidP="003F10AD">
            <w:pPr>
              <w:spacing w:line="240" w:lineRule="auto"/>
              <w:jc w:val="center"/>
              <w:rPr>
                <w:rFonts w:eastAsia="Calibri"/>
                <w:sz w:val="18"/>
                <w:szCs w:val="18"/>
              </w:rPr>
            </w:pPr>
            <w:r w:rsidRPr="00773EF5">
              <w:rPr>
                <w:sz w:val="18"/>
                <w:szCs w:val="18"/>
              </w:rPr>
              <w:t>$513,315</w:t>
            </w:r>
          </w:p>
        </w:tc>
        <w:tc>
          <w:tcPr>
            <w:tcW w:w="1077" w:type="dxa"/>
            <w:noWrap/>
            <w:vAlign w:val="center"/>
            <w:hideMark/>
          </w:tcPr>
          <w:p w14:paraId="788559D6" w14:textId="77777777" w:rsidR="001D6419" w:rsidRPr="00773EF5" w:rsidRDefault="000F5B51" w:rsidP="003F10AD">
            <w:pPr>
              <w:spacing w:line="240" w:lineRule="auto"/>
              <w:jc w:val="center"/>
              <w:rPr>
                <w:rFonts w:eastAsia="Calibri"/>
                <w:sz w:val="18"/>
                <w:szCs w:val="18"/>
              </w:rPr>
            </w:pPr>
            <w:r w:rsidRPr="00773EF5">
              <w:rPr>
                <w:sz w:val="18"/>
                <w:szCs w:val="18"/>
              </w:rPr>
              <w:t>$15,117</w:t>
            </w:r>
          </w:p>
        </w:tc>
      </w:tr>
      <w:tr w:rsidR="00A15C2C" w14:paraId="7C44C497" w14:textId="77777777" w:rsidTr="003F10AD">
        <w:trPr>
          <w:trHeight w:val="315"/>
        </w:trPr>
        <w:tc>
          <w:tcPr>
            <w:tcW w:w="1581" w:type="dxa"/>
            <w:noWrap/>
            <w:vAlign w:val="center"/>
            <w:hideMark/>
          </w:tcPr>
          <w:p w14:paraId="26025DB7" w14:textId="77777777" w:rsidR="001D6419" w:rsidRPr="00773EF5" w:rsidRDefault="000F5B51" w:rsidP="003F10AD">
            <w:pPr>
              <w:spacing w:line="240" w:lineRule="auto"/>
              <w:rPr>
                <w:rFonts w:eastAsia="Calibri"/>
                <w:sz w:val="18"/>
                <w:szCs w:val="18"/>
              </w:rPr>
            </w:pPr>
            <w:r w:rsidRPr="00773EF5">
              <w:rPr>
                <w:rFonts w:eastAsia="Calibri"/>
                <w:sz w:val="18"/>
                <w:szCs w:val="18"/>
              </w:rPr>
              <w:t>EMS</w:t>
            </w:r>
          </w:p>
        </w:tc>
        <w:tc>
          <w:tcPr>
            <w:tcW w:w="923" w:type="dxa"/>
            <w:noWrap/>
            <w:vAlign w:val="center"/>
            <w:hideMark/>
          </w:tcPr>
          <w:p w14:paraId="43D1F1B9" w14:textId="77777777" w:rsidR="001D6419" w:rsidRPr="00773EF5" w:rsidRDefault="000F5B51" w:rsidP="003F10AD">
            <w:pPr>
              <w:spacing w:line="240" w:lineRule="auto"/>
              <w:jc w:val="center"/>
              <w:rPr>
                <w:rFonts w:eastAsia="Calibri"/>
                <w:sz w:val="18"/>
                <w:szCs w:val="18"/>
              </w:rPr>
            </w:pPr>
            <w:r w:rsidRPr="00773EF5">
              <w:rPr>
                <w:sz w:val="18"/>
                <w:szCs w:val="18"/>
              </w:rPr>
              <w:t>$71</w:t>
            </w:r>
          </w:p>
        </w:tc>
        <w:tc>
          <w:tcPr>
            <w:tcW w:w="923" w:type="dxa"/>
            <w:noWrap/>
            <w:vAlign w:val="center"/>
            <w:hideMark/>
          </w:tcPr>
          <w:p w14:paraId="6833218B" w14:textId="77777777" w:rsidR="001D6419" w:rsidRPr="00773EF5" w:rsidRDefault="000F5B51" w:rsidP="003F10AD">
            <w:pPr>
              <w:spacing w:line="240" w:lineRule="auto"/>
              <w:jc w:val="center"/>
              <w:rPr>
                <w:rFonts w:eastAsia="Calibri"/>
                <w:sz w:val="18"/>
                <w:szCs w:val="18"/>
              </w:rPr>
            </w:pPr>
            <w:r w:rsidRPr="00773EF5">
              <w:rPr>
                <w:sz w:val="18"/>
                <w:szCs w:val="18"/>
              </w:rPr>
              <w:t>$45</w:t>
            </w:r>
          </w:p>
        </w:tc>
        <w:tc>
          <w:tcPr>
            <w:tcW w:w="924" w:type="dxa"/>
            <w:noWrap/>
            <w:vAlign w:val="center"/>
            <w:hideMark/>
          </w:tcPr>
          <w:p w14:paraId="0C9ABB73" w14:textId="77777777" w:rsidR="001D6419" w:rsidRPr="00773EF5" w:rsidRDefault="000F5B51" w:rsidP="003F10AD">
            <w:pPr>
              <w:spacing w:line="240" w:lineRule="auto"/>
              <w:jc w:val="center"/>
              <w:rPr>
                <w:rFonts w:eastAsia="Calibri"/>
                <w:sz w:val="18"/>
                <w:szCs w:val="18"/>
              </w:rPr>
            </w:pPr>
            <w:r w:rsidRPr="00773EF5">
              <w:rPr>
                <w:sz w:val="18"/>
                <w:szCs w:val="18"/>
              </w:rPr>
              <w:t>$129</w:t>
            </w:r>
          </w:p>
        </w:tc>
        <w:tc>
          <w:tcPr>
            <w:tcW w:w="924" w:type="dxa"/>
            <w:noWrap/>
            <w:vAlign w:val="center"/>
            <w:hideMark/>
          </w:tcPr>
          <w:p w14:paraId="2715D81C" w14:textId="77777777" w:rsidR="001D6419" w:rsidRPr="00773EF5" w:rsidRDefault="000F5B51" w:rsidP="003F10AD">
            <w:pPr>
              <w:spacing w:line="240" w:lineRule="auto"/>
              <w:jc w:val="center"/>
              <w:rPr>
                <w:rFonts w:eastAsia="Calibri"/>
                <w:sz w:val="18"/>
                <w:szCs w:val="18"/>
              </w:rPr>
            </w:pPr>
            <w:r w:rsidRPr="00773EF5">
              <w:rPr>
                <w:sz w:val="18"/>
                <w:szCs w:val="18"/>
              </w:rPr>
              <w:t>$264</w:t>
            </w:r>
          </w:p>
        </w:tc>
        <w:tc>
          <w:tcPr>
            <w:tcW w:w="1026" w:type="dxa"/>
            <w:noWrap/>
            <w:vAlign w:val="center"/>
            <w:hideMark/>
          </w:tcPr>
          <w:p w14:paraId="0C107FE5" w14:textId="77777777" w:rsidR="001D6419" w:rsidRPr="00773EF5" w:rsidRDefault="000F5B51" w:rsidP="003F10AD">
            <w:pPr>
              <w:spacing w:line="240" w:lineRule="auto"/>
              <w:jc w:val="center"/>
              <w:rPr>
                <w:rFonts w:eastAsia="Calibri"/>
                <w:sz w:val="18"/>
                <w:szCs w:val="18"/>
              </w:rPr>
            </w:pPr>
            <w:r w:rsidRPr="00773EF5">
              <w:rPr>
                <w:sz w:val="18"/>
                <w:szCs w:val="18"/>
              </w:rPr>
              <w:t>$496</w:t>
            </w:r>
          </w:p>
        </w:tc>
        <w:tc>
          <w:tcPr>
            <w:tcW w:w="1026" w:type="dxa"/>
            <w:noWrap/>
            <w:vAlign w:val="center"/>
            <w:hideMark/>
          </w:tcPr>
          <w:p w14:paraId="70071FDF" w14:textId="77777777" w:rsidR="001D6419" w:rsidRPr="00773EF5" w:rsidRDefault="000F5B51" w:rsidP="003F10AD">
            <w:pPr>
              <w:spacing w:line="240" w:lineRule="auto"/>
              <w:jc w:val="center"/>
              <w:rPr>
                <w:rFonts w:eastAsia="Calibri"/>
                <w:sz w:val="18"/>
                <w:szCs w:val="18"/>
              </w:rPr>
            </w:pPr>
            <w:r w:rsidRPr="00773EF5">
              <w:rPr>
                <w:sz w:val="18"/>
                <w:szCs w:val="18"/>
              </w:rPr>
              <w:t>$999</w:t>
            </w:r>
          </w:p>
        </w:tc>
        <w:tc>
          <w:tcPr>
            <w:tcW w:w="1218" w:type="dxa"/>
            <w:noWrap/>
            <w:vAlign w:val="center"/>
            <w:hideMark/>
          </w:tcPr>
          <w:p w14:paraId="5C5EAA3E" w14:textId="77777777" w:rsidR="001D6419" w:rsidRPr="00773EF5" w:rsidRDefault="000F5B51" w:rsidP="003F10AD">
            <w:pPr>
              <w:spacing w:line="240" w:lineRule="auto"/>
              <w:jc w:val="center"/>
              <w:rPr>
                <w:rFonts w:eastAsia="Calibri"/>
                <w:sz w:val="18"/>
                <w:szCs w:val="18"/>
              </w:rPr>
            </w:pPr>
            <w:r w:rsidRPr="00773EF5">
              <w:rPr>
                <w:sz w:val="18"/>
                <w:szCs w:val="18"/>
              </w:rPr>
              <w:t>$1,020</w:t>
            </w:r>
          </w:p>
        </w:tc>
        <w:tc>
          <w:tcPr>
            <w:tcW w:w="1077" w:type="dxa"/>
            <w:noWrap/>
            <w:vAlign w:val="center"/>
            <w:hideMark/>
          </w:tcPr>
          <w:p w14:paraId="36B5ECA8" w14:textId="77777777" w:rsidR="001D6419" w:rsidRPr="00773EF5" w:rsidRDefault="000F5B51" w:rsidP="003F10AD">
            <w:pPr>
              <w:spacing w:line="240" w:lineRule="auto"/>
              <w:jc w:val="center"/>
              <w:rPr>
                <w:rFonts w:eastAsia="Calibri"/>
                <w:sz w:val="18"/>
                <w:szCs w:val="18"/>
              </w:rPr>
            </w:pPr>
            <w:r w:rsidRPr="00773EF5">
              <w:rPr>
                <w:sz w:val="18"/>
                <w:szCs w:val="18"/>
              </w:rPr>
              <w:t>$1,076</w:t>
            </w:r>
          </w:p>
        </w:tc>
      </w:tr>
      <w:tr w:rsidR="00A15C2C" w14:paraId="2A355E7A" w14:textId="77777777" w:rsidTr="003F10AD">
        <w:trPr>
          <w:trHeight w:val="315"/>
        </w:trPr>
        <w:tc>
          <w:tcPr>
            <w:tcW w:w="1581" w:type="dxa"/>
            <w:noWrap/>
            <w:vAlign w:val="center"/>
            <w:hideMark/>
          </w:tcPr>
          <w:p w14:paraId="7536D3B5" w14:textId="77777777" w:rsidR="001D6419" w:rsidRPr="00773EF5" w:rsidRDefault="000F5B51" w:rsidP="003F10AD">
            <w:pPr>
              <w:spacing w:line="240" w:lineRule="auto"/>
              <w:rPr>
                <w:rFonts w:eastAsia="Calibri"/>
                <w:sz w:val="18"/>
                <w:szCs w:val="18"/>
              </w:rPr>
            </w:pPr>
            <w:r w:rsidRPr="00773EF5">
              <w:rPr>
                <w:rFonts w:eastAsia="Calibri"/>
                <w:sz w:val="18"/>
                <w:szCs w:val="18"/>
              </w:rPr>
              <w:t>Market Prod</w:t>
            </w:r>
          </w:p>
        </w:tc>
        <w:tc>
          <w:tcPr>
            <w:tcW w:w="923" w:type="dxa"/>
            <w:noWrap/>
            <w:vAlign w:val="center"/>
            <w:hideMark/>
          </w:tcPr>
          <w:p w14:paraId="5364B486" w14:textId="77777777" w:rsidR="001D6419" w:rsidRPr="00773EF5" w:rsidRDefault="000F5B51" w:rsidP="003F10AD">
            <w:pPr>
              <w:spacing w:line="240" w:lineRule="auto"/>
              <w:jc w:val="center"/>
              <w:rPr>
                <w:rFonts w:eastAsia="Calibri"/>
                <w:sz w:val="18"/>
                <w:szCs w:val="18"/>
              </w:rPr>
            </w:pPr>
            <w:r w:rsidRPr="00773EF5">
              <w:rPr>
                <w:sz w:val="18"/>
                <w:szCs w:val="18"/>
              </w:rPr>
              <w:t>$0</w:t>
            </w:r>
          </w:p>
        </w:tc>
        <w:tc>
          <w:tcPr>
            <w:tcW w:w="923" w:type="dxa"/>
            <w:noWrap/>
            <w:vAlign w:val="center"/>
            <w:hideMark/>
          </w:tcPr>
          <w:p w14:paraId="596E5690" w14:textId="77777777" w:rsidR="001D6419" w:rsidRPr="00773EF5" w:rsidRDefault="000F5B51" w:rsidP="003F10AD">
            <w:pPr>
              <w:spacing w:line="240" w:lineRule="auto"/>
              <w:jc w:val="center"/>
              <w:rPr>
                <w:rFonts w:eastAsia="Calibri"/>
                <w:sz w:val="18"/>
                <w:szCs w:val="18"/>
              </w:rPr>
            </w:pPr>
            <w:r w:rsidRPr="00773EF5">
              <w:rPr>
                <w:sz w:val="18"/>
                <w:szCs w:val="18"/>
              </w:rPr>
              <w:t>$0</w:t>
            </w:r>
          </w:p>
        </w:tc>
        <w:tc>
          <w:tcPr>
            <w:tcW w:w="924" w:type="dxa"/>
            <w:noWrap/>
            <w:vAlign w:val="center"/>
            <w:hideMark/>
          </w:tcPr>
          <w:p w14:paraId="78FBC300" w14:textId="77777777" w:rsidR="001D6419" w:rsidRPr="00773EF5" w:rsidRDefault="000F5B51" w:rsidP="003F10AD">
            <w:pPr>
              <w:spacing w:line="240" w:lineRule="auto"/>
              <w:jc w:val="center"/>
              <w:rPr>
                <w:rFonts w:eastAsia="Calibri"/>
                <w:sz w:val="18"/>
                <w:szCs w:val="18"/>
              </w:rPr>
            </w:pPr>
            <w:r w:rsidRPr="00773EF5">
              <w:rPr>
                <w:sz w:val="18"/>
                <w:szCs w:val="18"/>
              </w:rPr>
              <w:t>$3,424</w:t>
            </w:r>
          </w:p>
        </w:tc>
        <w:tc>
          <w:tcPr>
            <w:tcW w:w="924" w:type="dxa"/>
            <w:noWrap/>
            <w:vAlign w:val="center"/>
            <w:hideMark/>
          </w:tcPr>
          <w:p w14:paraId="6D74DE65" w14:textId="77777777" w:rsidR="001D6419" w:rsidRPr="00773EF5" w:rsidRDefault="000F5B51" w:rsidP="003F10AD">
            <w:pPr>
              <w:spacing w:line="240" w:lineRule="auto"/>
              <w:jc w:val="center"/>
              <w:rPr>
                <w:rFonts w:eastAsia="Calibri"/>
                <w:sz w:val="18"/>
                <w:szCs w:val="18"/>
              </w:rPr>
            </w:pPr>
            <w:r w:rsidRPr="00773EF5">
              <w:rPr>
                <w:sz w:val="18"/>
                <w:szCs w:val="18"/>
              </w:rPr>
              <w:t>$24,318</w:t>
            </w:r>
          </w:p>
        </w:tc>
        <w:tc>
          <w:tcPr>
            <w:tcW w:w="1026" w:type="dxa"/>
            <w:noWrap/>
            <w:vAlign w:val="center"/>
            <w:hideMark/>
          </w:tcPr>
          <w:p w14:paraId="3784AB39" w14:textId="77777777" w:rsidR="001D6419" w:rsidRPr="00773EF5" w:rsidRDefault="000F5B51" w:rsidP="003F10AD">
            <w:pPr>
              <w:spacing w:line="240" w:lineRule="auto"/>
              <w:jc w:val="center"/>
              <w:rPr>
                <w:rFonts w:eastAsia="Calibri"/>
                <w:sz w:val="18"/>
                <w:szCs w:val="18"/>
              </w:rPr>
            </w:pPr>
            <w:r w:rsidRPr="00773EF5">
              <w:rPr>
                <w:sz w:val="18"/>
                <w:szCs w:val="18"/>
              </w:rPr>
              <w:t>$80,820</w:t>
            </w:r>
          </w:p>
        </w:tc>
        <w:tc>
          <w:tcPr>
            <w:tcW w:w="1026" w:type="dxa"/>
            <w:noWrap/>
            <w:vAlign w:val="center"/>
            <w:hideMark/>
          </w:tcPr>
          <w:p w14:paraId="77A97E26" w14:textId="77777777" w:rsidR="001D6419" w:rsidRPr="00773EF5" w:rsidRDefault="000F5B51" w:rsidP="003F10AD">
            <w:pPr>
              <w:spacing w:line="240" w:lineRule="auto"/>
              <w:jc w:val="center"/>
              <w:rPr>
                <w:rFonts w:eastAsia="Calibri"/>
                <w:sz w:val="18"/>
                <w:szCs w:val="18"/>
              </w:rPr>
            </w:pPr>
            <w:r w:rsidRPr="00773EF5">
              <w:rPr>
                <w:sz w:val="18"/>
                <w:szCs w:val="18"/>
              </w:rPr>
              <w:t>$176,891</w:t>
            </w:r>
          </w:p>
        </w:tc>
        <w:tc>
          <w:tcPr>
            <w:tcW w:w="1218" w:type="dxa"/>
            <w:noWrap/>
            <w:vAlign w:val="center"/>
            <w:hideMark/>
          </w:tcPr>
          <w:p w14:paraId="3C596CD8" w14:textId="77777777" w:rsidR="001D6419" w:rsidRPr="00773EF5" w:rsidRDefault="000F5B51" w:rsidP="003F10AD">
            <w:pPr>
              <w:spacing w:line="240" w:lineRule="auto"/>
              <w:jc w:val="center"/>
              <w:rPr>
                <w:rFonts w:eastAsia="Calibri"/>
                <w:sz w:val="18"/>
                <w:szCs w:val="18"/>
              </w:rPr>
            </w:pPr>
            <w:r w:rsidRPr="00773EF5">
              <w:rPr>
                <w:sz w:val="18"/>
                <w:szCs w:val="18"/>
              </w:rPr>
              <w:t>$424,096</w:t>
            </w:r>
          </w:p>
        </w:tc>
        <w:tc>
          <w:tcPr>
            <w:tcW w:w="1077" w:type="dxa"/>
            <w:noWrap/>
            <w:vAlign w:val="center"/>
            <w:hideMark/>
          </w:tcPr>
          <w:p w14:paraId="4DB169D1" w14:textId="77777777" w:rsidR="001D6419" w:rsidRPr="00773EF5" w:rsidRDefault="000F5B51" w:rsidP="003F10AD">
            <w:pPr>
              <w:spacing w:line="240" w:lineRule="auto"/>
              <w:jc w:val="center"/>
              <w:rPr>
                <w:rFonts w:eastAsia="Calibri"/>
                <w:sz w:val="18"/>
                <w:szCs w:val="18"/>
              </w:rPr>
            </w:pPr>
            <w:r w:rsidRPr="00773EF5">
              <w:rPr>
                <w:sz w:val="18"/>
                <w:szCs w:val="18"/>
              </w:rPr>
              <w:t>$1,172,349</w:t>
            </w:r>
          </w:p>
        </w:tc>
      </w:tr>
      <w:tr w:rsidR="00A15C2C" w14:paraId="2D7D9999" w14:textId="77777777" w:rsidTr="003F10AD">
        <w:trPr>
          <w:trHeight w:val="315"/>
        </w:trPr>
        <w:tc>
          <w:tcPr>
            <w:tcW w:w="1581" w:type="dxa"/>
            <w:noWrap/>
            <w:vAlign w:val="center"/>
            <w:hideMark/>
          </w:tcPr>
          <w:p w14:paraId="5C764935" w14:textId="77777777" w:rsidR="001D6419" w:rsidRPr="00773EF5" w:rsidRDefault="000F5B51" w:rsidP="003F10AD">
            <w:pPr>
              <w:spacing w:line="240" w:lineRule="auto"/>
              <w:rPr>
                <w:rFonts w:eastAsia="Calibri"/>
                <w:sz w:val="18"/>
                <w:szCs w:val="18"/>
              </w:rPr>
            </w:pPr>
            <w:r w:rsidRPr="00773EF5">
              <w:rPr>
                <w:rFonts w:eastAsia="Calibri"/>
                <w:sz w:val="18"/>
                <w:szCs w:val="18"/>
              </w:rPr>
              <w:t>Household Prod</w:t>
            </w:r>
          </w:p>
        </w:tc>
        <w:tc>
          <w:tcPr>
            <w:tcW w:w="923" w:type="dxa"/>
            <w:noWrap/>
            <w:vAlign w:val="center"/>
            <w:hideMark/>
          </w:tcPr>
          <w:p w14:paraId="40E35CC2" w14:textId="77777777" w:rsidR="001D6419" w:rsidRPr="00773EF5" w:rsidRDefault="000F5B51" w:rsidP="003F10AD">
            <w:pPr>
              <w:spacing w:line="240" w:lineRule="auto"/>
              <w:jc w:val="center"/>
              <w:rPr>
                <w:rFonts w:eastAsia="Calibri"/>
                <w:sz w:val="18"/>
                <w:szCs w:val="18"/>
              </w:rPr>
            </w:pPr>
            <w:r w:rsidRPr="00773EF5">
              <w:rPr>
                <w:sz w:val="18"/>
                <w:szCs w:val="18"/>
              </w:rPr>
              <w:t>$75</w:t>
            </w:r>
          </w:p>
        </w:tc>
        <w:tc>
          <w:tcPr>
            <w:tcW w:w="923" w:type="dxa"/>
            <w:noWrap/>
            <w:vAlign w:val="center"/>
            <w:hideMark/>
          </w:tcPr>
          <w:p w14:paraId="6D6A4488" w14:textId="77777777" w:rsidR="001D6419" w:rsidRPr="00773EF5" w:rsidRDefault="000F5B51" w:rsidP="003F10AD">
            <w:pPr>
              <w:spacing w:line="240" w:lineRule="auto"/>
              <w:jc w:val="center"/>
              <w:rPr>
                <w:rFonts w:eastAsia="Calibri"/>
                <w:sz w:val="18"/>
                <w:szCs w:val="18"/>
              </w:rPr>
            </w:pPr>
            <w:r w:rsidRPr="00773EF5">
              <w:rPr>
                <w:sz w:val="18"/>
                <w:szCs w:val="18"/>
              </w:rPr>
              <w:t>$57</w:t>
            </w:r>
          </w:p>
        </w:tc>
        <w:tc>
          <w:tcPr>
            <w:tcW w:w="924" w:type="dxa"/>
            <w:noWrap/>
            <w:vAlign w:val="center"/>
            <w:hideMark/>
          </w:tcPr>
          <w:p w14:paraId="20D40F3E" w14:textId="77777777" w:rsidR="001D6419" w:rsidRPr="00773EF5" w:rsidRDefault="000F5B51" w:rsidP="003F10AD">
            <w:pPr>
              <w:spacing w:line="240" w:lineRule="auto"/>
              <w:jc w:val="center"/>
              <w:rPr>
                <w:rFonts w:eastAsia="Calibri"/>
                <w:sz w:val="18"/>
                <w:szCs w:val="18"/>
              </w:rPr>
            </w:pPr>
            <w:r w:rsidRPr="00773EF5">
              <w:rPr>
                <w:sz w:val="18"/>
                <w:szCs w:val="18"/>
              </w:rPr>
              <w:t>$1,083</w:t>
            </w:r>
          </w:p>
        </w:tc>
        <w:tc>
          <w:tcPr>
            <w:tcW w:w="924" w:type="dxa"/>
            <w:noWrap/>
            <w:vAlign w:val="center"/>
            <w:hideMark/>
          </w:tcPr>
          <w:p w14:paraId="02597E7E" w14:textId="77777777" w:rsidR="001D6419" w:rsidRPr="00773EF5" w:rsidRDefault="000F5B51" w:rsidP="003F10AD">
            <w:pPr>
              <w:spacing w:line="240" w:lineRule="auto"/>
              <w:jc w:val="center"/>
              <w:rPr>
                <w:rFonts w:eastAsia="Calibri"/>
                <w:sz w:val="18"/>
                <w:szCs w:val="18"/>
              </w:rPr>
            </w:pPr>
            <w:r w:rsidRPr="00773EF5">
              <w:rPr>
                <w:sz w:val="18"/>
                <w:szCs w:val="18"/>
              </w:rPr>
              <w:t>$8,926</w:t>
            </w:r>
          </w:p>
        </w:tc>
        <w:tc>
          <w:tcPr>
            <w:tcW w:w="1026" w:type="dxa"/>
            <w:noWrap/>
            <w:vAlign w:val="center"/>
            <w:hideMark/>
          </w:tcPr>
          <w:p w14:paraId="3E564765" w14:textId="77777777" w:rsidR="001D6419" w:rsidRPr="00773EF5" w:rsidRDefault="000F5B51" w:rsidP="003F10AD">
            <w:pPr>
              <w:spacing w:line="240" w:lineRule="auto"/>
              <w:jc w:val="center"/>
              <w:rPr>
                <w:rFonts w:eastAsia="Calibri"/>
                <w:sz w:val="18"/>
                <w:szCs w:val="18"/>
              </w:rPr>
            </w:pPr>
            <w:r w:rsidRPr="00773EF5">
              <w:rPr>
                <w:sz w:val="18"/>
                <w:szCs w:val="18"/>
              </w:rPr>
              <w:t>$28,500</w:t>
            </w:r>
          </w:p>
        </w:tc>
        <w:tc>
          <w:tcPr>
            <w:tcW w:w="1026" w:type="dxa"/>
            <w:noWrap/>
            <w:vAlign w:val="center"/>
            <w:hideMark/>
          </w:tcPr>
          <w:p w14:paraId="0EFDBA33" w14:textId="77777777" w:rsidR="001D6419" w:rsidRPr="00773EF5" w:rsidRDefault="000F5B51" w:rsidP="003F10AD">
            <w:pPr>
              <w:spacing w:line="240" w:lineRule="auto"/>
              <w:jc w:val="center"/>
              <w:rPr>
                <w:rFonts w:eastAsia="Calibri"/>
                <w:sz w:val="18"/>
                <w:szCs w:val="18"/>
              </w:rPr>
            </w:pPr>
            <w:r w:rsidRPr="00773EF5">
              <w:rPr>
                <w:sz w:val="18"/>
                <w:szCs w:val="18"/>
              </w:rPr>
              <w:t>$47,158</w:t>
            </w:r>
          </w:p>
        </w:tc>
        <w:tc>
          <w:tcPr>
            <w:tcW w:w="1218" w:type="dxa"/>
            <w:noWrap/>
            <w:vAlign w:val="center"/>
            <w:hideMark/>
          </w:tcPr>
          <w:p w14:paraId="36DCEC1A" w14:textId="77777777" w:rsidR="001D6419" w:rsidRPr="00773EF5" w:rsidRDefault="000F5B51" w:rsidP="003F10AD">
            <w:pPr>
              <w:spacing w:line="240" w:lineRule="auto"/>
              <w:jc w:val="center"/>
              <w:rPr>
                <w:rFonts w:eastAsia="Calibri"/>
                <w:sz w:val="18"/>
                <w:szCs w:val="18"/>
              </w:rPr>
            </w:pPr>
            <w:r w:rsidRPr="00773EF5">
              <w:rPr>
                <w:sz w:val="18"/>
                <w:szCs w:val="18"/>
              </w:rPr>
              <w:t>$119,849</w:t>
            </w:r>
          </w:p>
        </w:tc>
        <w:tc>
          <w:tcPr>
            <w:tcW w:w="1077" w:type="dxa"/>
            <w:noWrap/>
            <w:vAlign w:val="center"/>
            <w:hideMark/>
          </w:tcPr>
          <w:p w14:paraId="545A766A" w14:textId="77777777" w:rsidR="001D6419" w:rsidRPr="00773EF5" w:rsidRDefault="000F5B51" w:rsidP="003F10AD">
            <w:pPr>
              <w:spacing w:line="240" w:lineRule="auto"/>
              <w:jc w:val="center"/>
              <w:rPr>
                <w:rFonts w:eastAsia="Calibri"/>
                <w:sz w:val="18"/>
                <w:szCs w:val="18"/>
              </w:rPr>
            </w:pPr>
            <w:r w:rsidRPr="00773EF5">
              <w:rPr>
                <w:sz w:val="18"/>
                <w:szCs w:val="18"/>
              </w:rPr>
              <w:t>$364,180</w:t>
            </w:r>
          </w:p>
        </w:tc>
      </w:tr>
      <w:tr w:rsidR="00A15C2C" w14:paraId="570D6E0F" w14:textId="77777777" w:rsidTr="003F10AD">
        <w:trPr>
          <w:trHeight w:val="300"/>
        </w:trPr>
        <w:tc>
          <w:tcPr>
            <w:tcW w:w="1581" w:type="dxa"/>
            <w:noWrap/>
            <w:vAlign w:val="center"/>
            <w:hideMark/>
          </w:tcPr>
          <w:p w14:paraId="467A5B4C" w14:textId="77777777" w:rsidR="001D6419" w:rsidRPr="00773EF5" w:rsidRDefault="000F5B51" w:rsidP="003F10AD">
            <w:pPr>
              <w:spacing w:line="240" w:lineRule="auto"/>
              <w:rPr>
                <w:rFonts w:eastAsia="Calibri"/>
                <w:sz w:val="18"/>
                <w:szCs w:val="18"/>
              </w:rPr>
            </w:pPr>
            <w:r w:rsidRPr="00773EF5">
              <w:rPr>
                <w:rFonts w:eastAsia="Calibri"/>
                <w:sz w:val="18"/>
                <w:szCs w:val="18"/>
              </w:rPr>
              <w:t>Ins. Adm.</w:t>
            </w:r>
          </w:p>
        </w:tc>
        <w:tc>
          <w:tcPr>
            <w:tcW w:w="923" w:type="dxa"/>
            <w:noWrap/>
            <w:vAlign w:val="center"/>
            <w:hideMark/>
          </w:tcPr>
          <w:p w14:paraId="5F0D4ED8" w14:textId="77777777" w:rsidR="001D6419" w:rsidRPr="00773EF5" w:rsidRDefault="000F5B51" w:rsidP="003F10AD">
            <w:pPr>
              <w:spacing w:line="240" w:lineRule="auto"/>
              <w:jc w:val="center"/>
              <w:rPr>
                <w:rFonts w:eastAsia="Calibri"/>
                <w:sz w:val="18"/>
                <w:szCs w:val="18"/>
              </w:rPr>
            </w:pPr>
            <w:r w:rsidRPr="00773EF5">
              <w:rPr>
                <w:sz w:val="18"/>
                <w:szCs w:val="18"/>
              </w:rPr>
              <w:t>$228</w:t>
            </w:r>
          </w:p>
        </w:tc>
        <w:tc>
          <w:tcPr>
            <w:tcW w:w="923" w:type="dxa"/>
            <w:noWrap/>
            <w:vAlign w:val="center"/>
            <w:hideMark/>
          </w:tcPr>
          <w:p w14:paraId="1C96A550" w14:textId="77777777" w:rsidR="001D6419" w:rsidRPr="00773EF5" w:rsidRDefault="000F5B51" w:rsidP="003F10AD">
            <w:pPr>
              <w:spacing w:line="240" w:lineRule="auto"/>
              <w:jc w:val="center"/>
              <w:rPr>
                <w:rFonts w:eastAsia="Calibri"/>
                <w:sz w:val="18"/>
                <w:szCs w:val="18"/>
              </w:rPr>
            </w:pPr>
            <w:r w:rsidRPr="00773EF5">
              <w:rPr>
                <w:sz w:val="18"/>
                <w:szCs w:val="18"/>
              </w:rPr>
              <w:t>$171</w:t>
            </w:r>
          </w:p>
        </w:tc>
        <w:tc>
          <w:tcPr>
            <w:tcW w:w="924" w:type="dxa"/>
            <w:noWrap/>
            <w:vAlign w:val="center"/>
            <w:hideMark/>
          </w:tcPr>
          <w:p w14:paraId="5A50B6AB" w14:textId="77777777" w:rsidR="001D6419" w:rsidRPr="00773EF5" w:rsidRDefault="000F5B51" w:rsidP="003F10AD">
            <w:pPr>
              <w:spacing w:line="240" w:lineRule="auto"/>
              <w:jc w:val="center"/>
              <w:rPr>
                <w:rFonts w:eastAsia="Calibri"/>
                <w:sz w:val="18"/>
                <w:szCs w:val="18"/>
              </w:rPr>
            </w:pPr>
            <w:r w:rsidRPr="00773EF5">
              <w:rPr>
                <w:sz w:val="18"/>
                <w:szCs w:val="18"/>
              </w:rPr>
              <w:t>$3,933</w:t>
            </w:r>
          </w:p>
        </w:tc>
        <w:tc>
          <w:tcPr>
            <w:tcW w:w="924" w:type="dxa"/>
            <w:noWrap/>
            <w:vAlign w:val="center"/>
            <w:hideMark/>
          </w:tcPr>
          <w:p w14:paraId="657C9855" w14:textId="77777777" w:rsidR="001D6419" w:rsidRPr="00773EF5" w:rsidRDefault="000F5B51" w:rsidP="003F10AD">
            <w:pPr>
              <w:spacing w:line="240" w:lineRule="auto"/>
              <w:jc w:val="center"/>
              <w:rPr>
                <w:rFonts w:eastAsia="Calibri"/>
                <w:sz w:val="18"/>
                <w:szCs w:val="18"/>
              </w:rPr>
            </w:pPr>
            <w:r w:rsidRPr="00773EF5">
              <w:rPr>
                <w:sz w:val="18"/>
                <w:szCs w:val="18"/>
              </w:rPr>
              <w:t>$5,557</w:t>
            </w:r>
          </w:p>
        </w:tc>
        <w:tc>
          <w:tcPr>
            <w:tcW w:w="1026" w:type="dxa"/>
            <w:noWrap/>
            <w:vAlign w:val="center"/>
            <w:hideMark/>
          </w:tcPr>
          <w:p w14:paraId="77ECE964" w14:textId="77777777" w:rsidR="001D6419" w:rsidRPr="00773EF5" w:rsidRDefault="000F5B51" w:rsidP="003F10AD">
            <w:pPr>
              <w:spacing w:line="240" w:lineRule="auto"/>
              <w:jc w:val="center"/>
              <w:rPr>
                <w:rFonts w:eastAsia="Calibri"/>
                <w:sz w:val="18"/>
                <w:szCs w:val="18"/>
              </w:rPr>
            </w:pPr>
            <w:r w:rsidRPr="00773EF5">
              <w:rPr>
                <w:sz w:val="18"/>
                <w:szCs w:val="18"/>
              </w:rPr>
              <w:t>$18,332</w:t>
            </w:r>
          </w:p>
        </w:tc>
        <w:tc>
          <w:tcPr>
            <w:tcW w:w="1026" w:type="dxa"/>
            <w:noWrap/>
            <w:vAlign w:val="center"/>
            <w:hideMark/>
          </w:tcPr>
          <w:p w14:paraId="56C28C79" w14:textId="77777777" w:rsidR="001D6419" w:rsidRPr="00773EF5" w:rsidRDefault="000F5B51" w:rsidP="003F10AD">
            <w:pPr>
              <w:spacing w:line="240" w:lineRule="auto"/>
              <w:jc w:val="center"/>
              <w:rPr>
                <w:rFonts w:eastAsia="Calibri"/>
                <w:sz w:val="18"/>
                <w:szCs w:val="18"/>
              </w:rPr>
            </w:pPr>
            <w:r w:rsidRPr="00773EF5">
              <w:rPr>
                <w:sz w:val="18"/>
                <w:szCs w:val="18"/>
              </w:rPr>
              <w:t>$33,666</w:t>
            </w:r>
          </w:p>
        </w:tc>
        <w:tc>
          <w:tcPr>
            <w:tcW w:w="1218" w:type="dxa"/>
            <w:noWrap/>
            <w:vAlign w:val="center"/>
            <w:hideMark/>
          </w:tcPr>
          <w:p w14:paraId="0093F493" w14:textId="77777777" w:rsidR="001D6419" w:rsidRPr="00773EF5" w:rsidRDefault="000F5B51" w:rsidP="003F10AD">
            <w:pPr>
              <w:spacing w:line="240" w:lineRule="auto"/>
              <w:jc w:val="center"/>
              <w:rPr>
                <w:rFonts w:eastAsia="Calibri"/>
                <w:sz w:val="18"/>
                <w:szCs w:val="18"/>
              </w:rPr>
            </w:pPr>
            <w:r w:rsidRPr="00773EF5">
              <w:rPr>
                <w:sz w:val="18"/>
                <w:szCs w:val="18"/>
              </w:rPr>
              <w:t>$86,497</w:t>
            </w:r>
          </w:p>
        </w:tc>
        <w:tc>
          <w:tcPr>
            <w:tcW w:w="1077" w:type="dxa"/>
            <w:noWrap/>
            <w:vAlign w:val="center"/>
            <w:hideMark/>
          </w:tcPr>
          <w:p w14:paraId="471A4D1F" w14:textId="77777777" w:rsidR="001D6419" w:rsidRPr="00773EF5" w:rsidRDefault="000F5B51" w:rsidP="003F10AD">
            <w:pPr>
              <w:spacing w:line="240" w:lineRule="auto"/>
              <w:jc w:val="center"/>
              <w:rPr>
                <w:rFonts w:eastAsia="Calibri"/>
                <w:sz w:val="18"/>
                <w:szCs w:val="18"/>
              </w:rPr>
            </w:pPr>
            <w:r w:rsidRPr="00773EF5">
              <w:rPr>
                <w:sz w:val="18"/>
                <w:szCs w:val="18"/>
              </w:rPr>
              <w:t>$33,778</w:t>
            </w:r>
          </w:p>
        </w:tc>
      </w:tr>
      <w:tr w:rsidR="00A15C2C" w14:paraId="39E35F3B" w14:textId="77777777" w:rsidTr="003F10AD">
        <w:trPr>
          <w:trHeight w:val="300"/>
        </w:trPr>
        <w:tc>
          <w:tcPr>
            <w:tcW w:w="1581" w:type="dxa"/>
            <w:noWrap/>
            <w:vAlign w:val="center"/>
            <w:hideMark/>
          </w:tcPr>
          <w:p w14:paraId="39442BE9" w14:textId="77777777" w:rsidR="001D6419" w:rsidRPr="00773EF5" w:rsidRDefault="000F5B51" w:rsidP="003F10AD">
            <w:pPr>
              <w:spacing w:line="240" w:lineRule="auto"/>
              <w:rPr>
                <w:rFonts w:eastAsia="Calibri"/>
                <w:sz w:val="18"/>
                <w:szCs w:val="18"/>
              </w:rPr>
            </w:pPr>
            <w:r w:rsidRPr="00773EF5">
              <w:rPr>
                <w:rFonts w:eastAsia="Calibri"/>
                <w:sz w:val="18"/>
                <w:szCs w:val="18"/>
              </w:rPr>
              <w:t>Workplace</w:t>
            </w:r>
          </w:p>
        </w:tc>
        <w:tc>
          <w:tcPr>
            <w:tcW w:w="923" w:type="dxa"/>
            <w:noWrap/>
            <w:vAlign w:val="center"/>
            <w:hideMark/>
          </w:tcPr>
          <w:p w14:paraId="07556A28" w14:textId="77777777" w:rsidR="001D6419" w:rsidRPr="00773EF5" w:rsidRDefault="000F5B51" w:rsidP="003F10AD">
            <w:pPr>
              <w:spacing w:line="240" w:lineRule="auto"/>
              <w:jc w:val="center"/>
              <w:rPr>
                <w:rFonts w:eastAsia="Calibri"/>
                <w:sz w:val="18"/>
                <w:szCs w:val="18"/>
              </w:rPr>
            </w:pPr>
            <w:r w:rsidRPr="00773EF5">
              <w:rPr>
                <w:sz w:val="18"/>
                <w:szCs w:val="18"/>
              </w:rPr>
              <w:t>$78</w:t>
            </w:r>
          </w:p>
        </w:tc>
        <w:tc>
          <w:tcPr>
            <w:tcW w:w="923" w:type="dxa"/>
            <w:noWrap/>
            <w:vAlign w:val="center"/>
            <w:hideMark/>
          </w:tcPr>
          <w:p w14:paraId="72D63235" w14:textId="77777777" w:rsidR="001D6419" w:rsidRPr="00773EF5" w:rsidRDefault="000F5B51" w:rsidP="003F10AD">
            <w:pPr>
              <w:spacing w:line="240" w:lineRule="auto"/>
              <w:jc w:val="center"/>
              <w:rPr>
                <w:rFonts w:eastAsia="Calibri"/>
                <w:sz w:val="18"/>
                <w:szCs w:val="18"/>
              </w:rPr>
            </w:pPr>
            <w:r w:rsidRPr="00773EF5">
              <w:rPr>
                <w:sz w:val="18"/>
                <w:szCs w:val="18"/>
              </w:rPr>
              <w:t>$58</w:t>
            </w:r>
          </w:p>
        </w:tc>
        <w:tc>
          <w:tcPr>
            <w:tcW w:w="924" w:type="dxa"/>
            <w:noWrap/>
            <w:vAlign w:val="center"/>
            <w:hideMark/>
          </w:tcPr>
          <w:p w14:paraId="1E510581" w14:textId="77777777" w:rsidR="001D6419" w:rsidRPr="00773EF5" w:rsidRDefault="000F5B51" w:rsidP="003F10AD">
            <w:pPr>
              <w:spacing w:line="240" w:lineRule="auto"/>
              <w:jc w:val="center"/>
              <w:rPr>
                <w:rFonts w:eastAsia="Calibri"/>
                <w:sz w:val="18"/>
                <w:szCs w:val="18"/>
              </w:rPr>
            </w:pPr>
            <w:r w:rsidRPr="00773EF5">
              <w:rPr>
                <w:sz w:val="18"/>
                <w:szCs w:val="18"/>
              </w:rPr>
              <w:t>$428</w:t>
            </w:r>
          </w:p>
        </w:tc>
        <w:tc>
          <w:tcPr>
            <w:tcW w:w="924" w:type="dxa"/>
            <w:noWrap/>
            <w:vAlign w:val="center"/>
            <w:hideMark/>
          </w:tcPr>
          <w:p w14:paraId="254CEF38" w14:textId="77777777" w:rsidR="001D6419" w:rsidRPr="00773EF5" w:rsidRDefault="000F5B51" w:rsidP="003F10AD">
            <w:pPr>
              <w:spacing w:line="240" w:lineRule="auto"/>
              <w:jc w:val="center"/>
              <w:rPr>
                <w:rFonts w:eastAsia="Calibri"/>
                <w:sz w:val="18"/>
                <w:szCs w:val="18"/>
              </w:rPr>
            </w:pPr>
            <w:r w:rsidRPr="00773EF5">
              <w:rPr>
                <w:sz w:val="18"/>
                <w:szCs w:val="18"/>
              </w:rPr>
              <w:t>$3,321</w:t>
            </w:r>
          </w:p>
        </w:tc>
        <w:tc>
          <w:tcPr>
            <w:tcW w:w="1026" w:type="dxa"/>
            <w:noWrap/>
            <w:vAlign w:val="center"/>
            <w:hideMark/>
          </w:tcPr>
          <w:p w14:paraId="13820A84" w14:textId="77777777" w:rsidR="001D6419" w:rsidRPr="00773EF5" w:rsidRDefault="000F5B51" w:rsidP="003F10AD">
            <w:pPr>
              <w:spacing w:line="240" w:lineRule="auto"/>
              <w:jc w:val="center"/>
              <w:rPr>
                <w:rFonts w:eastAsia="Calibri"/>
                <w:sz w:val="18"/>
                <w:szCs w:val="18"/>
              </w:rPr>
            </w:pPr>
            <w:r w:rsidRPr="00773EF5">
              <w:rPr>
                <w:sz w:val="18"/>
                <w:szCs w:val="18"/>
              </w:rPr>
              <w:t>$7,256</w:t>
            </w:r>
          </w:p>
        </w:tc>
        <w:tc>
          <w:tcPr>
            <w:tcW w:w="1026" w:type="dxa"/>
            <w:noWrap/>
            <w:vAlign w:val="center"/>
            <w:hideMark/>
          </w:tcPr>
          <w:p w14:paraId="7EDA3541" w14:textId="77777777" w:rsidR="001D6419" w:rsidRPr="00773EF5" w:rsidRDefault="000F5B51" w:rsidP="003F10AD">
            <w:pPr>
              <w:spacing w:line="240" w:lineRule="auto"/>
              <w:jc w:val="center"/>
              <w:rPr>
                <w:rFonts w:eastAsia="Calibri"/>
                <w:sz w:val="18"/>
                <w:szCs w:val="18"/>
              </w:rPr>
            </w:pPr>
            <w:r w:rsidRPr="00773EF5">
              <w:rPr>
                <w:sz w:val="18"/>
                <w:szCs w:val="18"/>
              </w:rPr>
              <w:t>$7,991</w:t>
            </w:r>
          </w:p>
        </w:tc>
        <w:tc>
          <w:tcPr>
            <w:tcW w:w="1218" w:type="dxa"/>
            <w:noWrap/>
            <w:vAlign w:val="center"/>
            <w:hideMark/>
          </w:tcPr>
          <w:p w14:paraId="1439ED83" w14:textId="77777777" w:rsidR="001D6419" w:rsidRPr="00773EF5" w:rsidRDefault="000F5B51" w:rsidP="003F10AD">
            <w:pPr>
              <w:spacing w:line="240" w:lineRule="auto"/>
              <w:jc w:val="center"/>
              <w:rPr>
                <w:rFonts w:eastAsia="Calibri"/>
                <w:sz w:val="18"/>
                <w:szCs w:val="18"/>
              </w:rPr>
            </w:pPr>
            <w:r w:rsidRPr="00773EF5">
              <w:rPr>
                <w:sz w:val="18"/>
                <w:szCs w:val="18"/>
              </w:rPr>
              <w:t>$13,932</w:t>
            </w:r>
          </w:p>
        </w:tc>
        <w:tc>
          <w:tcPr>
            <w:tcW w:w="1077" w:type="dxa"/>
            <w:noWrap/>
            <w:vAlign w:val="center"/>
            <w:hideMark/>
          </w:tcPr>
          <w:p w14:paraId="0D59677A" w14:textId="77777777" w:rsidR="001D6419" w:rsidRPr="00773EF5" w:rsidRDefault="000F5B51" w:rsidP="003F10AD">
            <w:pPr>
              <w:spacing w:line="240" w:lineRule="auto"/>
              <w:jc w:val="center"/>
              <w:rPr>
                <w:rFonts w:eastAsia="Calibri"/>
                <w:sz w:val="18"/>
                <w:szCs w:val="18"/>
              </w:rPr>
            </w:pPr>
            <w:r w:rsidRPr="00773EF5">
              <w:rPr>
                <w:sz w:val="18"/>
                <w:szCs w:val="18"/>
              </w:rPr>
              <w:t>$14,802</w:t>
            </w:r>
          </w:p>
        </w:tc>
      </w:tr>
      <w:tr w:rsidR="00A15C2C" w14:paraId="49A064C7" w14:textId="77777777" w:rsidTr="003F10AD">
        <w:trPr>
          <w:trHeight w:val="300"/>
        </w:trPr>
        <w:tc>
          <w:tcPr>
            <w:tcW w:w="1581" w:type="dxa"/>
            <w:noWrap/>
            <w:vAlign w:val="center"/>
            <w:hideMark/>
          </w:tcPr>
          <w:p w14:paraId="62C91ED7" w14:textId="77777777" w:rsidR="001D6419" w:rsidRPr="00773EF5" w:rsidRDefault="000F5B51" w:rsidP="003F10AD">
            <w:pPr>
              <w:spacing w:line="240" w:lineRule="auto"/>
              <w:rPr>
                <w:rFonts w:eastAsia="Calibri"/>
                <w:sz w:val="18"/>
                <w:szCs w:val="18"/>
              </w:rPr>
            </w:pPr>
            <w:r w:rsidRPr="00773EF5">
              <w:rPr>
                <w:rFonts w:eastAsia="Calibri"/>
                <w:sz w:val="18"/>
                <w:szCs w:val="18"/>
              </w:rPr>
              <w:t>Legal</w:t>
            </w:r>
          </w:p>
        </w:tc>
        <w:tc>
          <w:tcPr>
            <w:tcW w:w="923" w:type="dxa"/>
            <w:noWrap/>
            <w:vAlign w:val="center"/>
            <w:hideMark/>
          </w:tcPr>
          <w:p w14:paraId="58B11816" w14:textId="77777777" w:rsidR="001D6419" w:rsidRPr="00773EF5" w:rsidRDefault="000F5B51" w:rsidP="003F10AD">
            <w:pPr>
              <w:spacing w:line="240" w:lineRule="auto"/>
              <w:jc w:val="center"/>
              <w:rPr>
                <w:rFonts w:eastAsia="Calibri"/>
                <w:sz w:val="18"/>
                <w:szCs w:val="18"/>
              </w:rPr>
            </w:pPr>
            <w:r w:rsidRPr="00773EF5">
              <w:rPr>
                <w:sz w:val="18"/>
                <w:szCs w:val="18"/>
              </w:rPr>
              <w:t>$0</w:t>
            </w:r>
          </w:p>
        </w:tc>
        <w:tc>
          <w:tcPr>
            <w:tcW w:w="923" w:type="dxa"/>
            <w:noWrap/>
            <w:vAlign w:val="center"/>
            <w:hideMark/>
          </w:tcPr>
          <w:p w14:paraId="1CF5F91C" w14:textId="77777777" w:rsidR="001D6419" w:rsidRPr="00773EF5" w:rsidRDefault="000F5B51" w:rsidP="003F10AD">
            <w:pPr>
              <w:spacing w:line="240" w:lineRule="auto"/>
              <w:jc w:val="center"/>
              <w:rPr>
                <w:rFonts w:eastAsia="Calibri"/>
                <w:sz w:val="18"/>
                <w:szCs w:val="18"/>
              </w:rPr>
            </w:pPr>
            <w:r w:rsidRPr="00773EF5">
              <w:rPr>
                <w:sz w:val="18"/>
                <w:szCs w:val="18"/>
              </w:rPr>
              <w:t>$0</w:t>
            </w:r>
          </w:p>
        </w:tc>
        <w:tc>
          <w:tcPr>
            <w:tcW w:w="924" w:type="dxa"/>
            <w:noWrap/>
            <w:vAlign w:val="center"/>
            <w:hideMark/>
          </w:tcPr>
          <w:p w14:paraId="236256FA" w14:textId="77777777" w:rsidR="001D6419" w:rsidRPr="00773EF5" w:rsidRDefault="000F5B51" w:rsidP="003F10AD">
            <w:pPr>
              <w:spacing w:line="240" w:lineRule="auto"/>
              <w:jc w:val="center"/>
              <w:rPr>
                <w:rFonts w:eastAsia="Calibri"/>
                <w:sz w:val="18"/>
                <w:szCs w:val="18"/>
              </w:rPr>
            </w:pPr>
            <w:r w:rsidRPr="00773EF5">
              <w:rPr>
                <w:sz w:val="18"/>
                <w:szCs w:val="18"/>
              </w:rPr>
              <w:t>$1,410</w:t>
            </w:r>
          </w:p>
        </w:tc>
        <w:tc>
          <w:tcPr>
            <w:tcW w:w="924" w:type="dxa"/>
            <w:noWrap/>
            <w:vAlign w:val="center"/>
            <w:hideMark/>
          </w:tcPr>
          <w:p w14:paraId="0EAF8A51" w14:textId="77777777" w:rsidR="001D6419" w:rsidRPr="00773EF5" w:rsidRDefault="000F5B51" w:rsidP="003F10AD">
            <w:pPr>
              <w:spacing w:line="240" w:lineRule="auto"/>
              <w:jc w:val="center"/>
              <w:rPr>
                <w:rFonts w:eastAsia="Calibri"/>
                <w:sz w:val="18"/>
                <w:szCs w:val="18"/>
              </w:rPr>
            </w:pPr>
            <w:r w:rsidRPr="00773EF5">
              <w:rPr>
                <w:sz w:val="18"/>
                <w:szCs w:val="18"/>
              </w:rPr>
              <w:t>$3,997</w:t>
            </w:r>
          </w:p>
        </w:tc>
        <w:tc>
          <w:tcPr>
            <w:tcW w:w="1026" w:type="dxa"/>
            <w:noWrap/>
            <w:vAlign w:val="center"/>
            <w:hideMark/>
          </w:tcPr>
          <w:p w14:paraId="7F5A0290" w14:textId="77777777" w:rsidR="001D6419" w:rsidRPr="00773EF5" w:rsidRDefault="000F5B51" w:rsidP="003F10AD">
            <w:pPr>
              <w:spacing w:line="240" w:lineRule="auto"/>
              <w:jc w:val="center"/>
              <w:rPr>
                <w:rFonts w:eastAsia="Calibri"/>
                <w:sz w:val="18"/>
                <w:szCs w:val="18"/>
              </w:rPr>
            </w:pPr>
            <w:r w:rsidRPr="00773EF5">
              <w:rPr>
                <w:sz w:val="18"/>
                <w:szCs w:val="18"/>
              </w:rPr>
              <w:t>$14,791</w:t>
            </w:r>
          </w:p>
        </w:tc>
        <w:tc>
          <w:tcPr>
            <w:tcW w:w="1026" w:type="dxa"/>
            <w:noWrap/>
            <w:vAlign w:val="center"/>
            <w:hideMark/>
          </w:tcPr>
          <w:p w14:paraId="3B2156E8" w14:textId="77777777" w:rsidR="001D6419" w:rsidRPr="00773EF5" w:rsidRDefault="000F5B51" w:rsidP="003F10AD">
            <w:pPr>
              <w:spacing w:line="240" w:lineRule="auto"/>
              <w:jc w:val="center"/>
              <w:rPr>
                <w:rFonts w:eastAsia="Calibri"/>
                <w:sz w:val="18"/>
                <w:szCs w:val="18"/>
              </w:rPr>
            </w:pPr>
            <w:r w:rsidRPr="00773EF5">
              <w:rPr>
                <w:sz w:val="18"/>
                <w:szCs w:val="18"/>
              </w:rPr>
              <w:t>$31,806</w:t>
            </w:r>
          </w:p>
        </w:tc>
        <w:tc>
          <w:tcPr>
            <w:tcW w:w="1218" w:type="dxa"/>
            <w:noWrap/>
            <w:vAlign w:val="center"/>
            <w:hideMark/>
          </w:tcPr>
          <w:p w14:paraId="090FE138" w14:textId="77777777" w:rsidR="001D6419" w:rsidRPr="00773EF5" w:rsidRDefault="000F5B51" w:rsidP="003F10AD">
            <w:pPr>
              <w:spacing w:line="240" w:lineRule="auto"/>
              <w:jc w:val="center"/>
              <w:rPr>
                <w:rFonts w:eastAsia="Calibri"/>
                <w:sz w:val="18"/>
                <w:szCs w:val="18"/>
              </w:rPr>
            </w:pPr>
            <w:r w:rsidRPr="00773EF5">
              <w:rPr>
                <w:sz w:val="18"/>
                <w:szCs w:val="18"/>
              </w:rPr>
              <w:t>$98,644</w:t>
            </w:r>
          </w:p>
        </w:tc>
        <w:tc>
          <w:tcPr>
            <w:tcW w:w="1077" w:type="dxa"/>
            <w:noWrap/>
            <w:vAlign w:val="center"/>
            <w:hideMark/>
          </w:tcPr>
          <w:p w14:paraId="413FDA24" w14:textId="77777777" w:rsidR="001D6419" w:rsidRPr="00773EF5" w:rsidRDefault="000F5B51" w:rsidP="003F10AD">
            <w:pPr>
              <w:spacing w:line="240" w:lineRule="auto"/>
              <w:jc w:val="center"/>
              <w:rPr>
                <w:rFonts w:eastAsia="Calibri"/>
                <w:sz w:val="18"/>
                <w:szCs w:val="18"/>
              </w:rPr>
            </w:pPr>
            <w:r w:rsidRPr="00773EF5">
              <w:rPr>
                <w:sz w:val="18"/>
                <w:szCs w:val="18"/>
              </w:rPr>
              <w:t>$127,003</w:t>
            </w:r>
          </w:p>
        </w:tc>
      </w:tr>
      <w:tr w:rsidR="00A15C2C" w14:paraId="17FC692D" w14:textId="77777777" w:rsidTr="003F10AD">
        <w:trPr>
          <w:trHeight w:val="300"/>
        </w:trPr>
        <w:tc>
          <w:tcPr>
            <w:tcW w:w="1581" w:type="dxa"/>
            <w:noWrap/>
            <w:vAlign w:val="center"/>
            <w:hideMark/>
          </w:tcPr>
          <w:p w14:paraId="29470DFF" w14:textId="77777777" w:rsidR="001D6419" w:rsidRPr="00773EF5" w:rsidRDefault="000F5B51" w:rsidP="003F10AD">
            <w:pPr>
              <w:spacing w:line="240" w:lineRule="auto"/>
              <w:rPr>
                <w:rFonts w:eastAsia="Calibri"/>
                <w:i/>
                <w:color w:val="0070C0"/>
                <w:sz w:val="18"/>
                <w:szCs w:val="18"/>
              </w:rPr>
            </w:pPr>
            <w:r w:rsidRPr="00773EF5">
              <w:rPr>
                <w:rFonts w:eastAsia="Calibri"/>
                <w:i/>
                <w:color w:val="0070C0"/>
                <w:sz w:val="18"/>
                <w:szCs w:val="18"/>
              </w:rPr>
              <w:t>Congestion</w:t>
            </w:r>
          </w:p>
        </w:tc>
        <w:tc>
          <w:tcPr>
            <w:tcW w:w="923" w:type="dxa"/>
            <w:noWrap/>
            <w:vAlign w:val="center"/>
            <w:hideMark/>
          </w:tcPr>
          <w:p w14:paraId="25F0B21A" w14:textId="77777777" w:rsidR="001D6419" w:rsidRPr="00773EF5" w:rsidRDefault="000F5B51" w:rsidP="003F10AD">
            <w:pPr>
              <w:spacing w:line="240" w:lineRule="auto"/>
              <w:jc w:val="center"/>
              <w:rPr>
                <w:rFonts w:eastAsia="Calibri"/>
                <w:sz w:val="18"/>
                <w:szCs w:val="18"/>
              </w:rPr>
            </w:pPr>
            <w:r w:rsidRPr="00773EF5">
              <w:rPr>
                <w:sz w:val="18"/>
                <w:szCs w:val="18"/>
              </w:rPr>
              <w:t>$2,643</w:t>
            </w:r>
          </w:p>
        </w:tc>
        <w:tc>
          <w:tcPr>
            <w:tcW w:w="923" w:type="dxa"/>
            <w:noWrap/>
            <w:vAlign w:val="center"/>
            <w:hideMark/>
          </w:tcPr>
          <w:p w14:paraId="1DED4758" w14:textId="77777777" w:rsidR="001D6419" w:rsidRPr="00773EF5" w:rsidRDefault="000F5B51" w:rsidP="003F10AD">
            <w:pPr>
              <w:spacing w:line="240" w:lineRule="auto"/>
              <w:jc w:val="center"/>
              <w:rPr>
                <w:rFonts w:eastAsia="Calibri"/>
                <w:sz w:val="18"/>
                <w:szCs w:val="18"/>
              </w:rPr>
            </w:pPr>
            <w:r w:rsidRPr="00773EF5">
              <w:rPr>
                <w:sz w:val="18"/>
                <w:szCs w:val="18"/>
              </w:rPr>
              <w:t>$1,779</w:t>
            </w:r>
          </w:p>
        </w:tc>
        <w:tc>
          <w:tcPr>
            <w:tcW w:w="924" w:type="dxa"/>
            <w:noWrap/>
            <w:vAlign w:val="center"/>
            <w:hideMark/>
          </w:tcPr>
          <w:p w14:paraId="32D6C1C7" w14:textId="77777777" w:rsidR="001D6419" w:rsidRPr="00773EF5" w:rsidRDefault="000F5B51" w:rsidP="003F10AD">
            <w:pPr>
              <w:spacing w:line="240" w:lineRule="auto"/>
              <w:jc w:val="center"/>
              <w:rPr>
                <w:rFonts w:eastAsia="Calibri"/>
                <w:sz w:val="18"/>
                <w:szCs w:val="18"/>
              </w:rPr>
            </w:pPr>
            <w:r w:rsidRPr="00773EF5">
              <w:rPr>
                <w:sz w:val="18"/>
                <w:szCs w:val="18"/>
              </w:rPr>
              <w:t>$1,791</w:t>
            </w:r>
          </w:p>
        </w:tc>
        <w:tc>
          <w:tcPr>
            <w:tcW w:w="924" w:type="dxa"/>
            <w:noWrap/>
            <w:vAlign w:val="center"/>
            <w:hideMark/>
          </w:tcPr>
          <w:p w14:paraId="73D4BBB8" w14:textId="77777777" w:rsidR="001D6419" w:rsidRPr="00773EF5" w:rsidRDefault="000F5B51" w:rsidP="003F10AD">
            <w:pPr>
              <w:spacing w:line="240" w:lineRule="auto"/>
              <w:jc w:val="center"/>
              <w:rPr>
                <w:rFonts w:eastAsia="Calibri"/>
                <w:sz w:val="18"/>
                <w:szCs w:val="18"/>
              </w:rPr>
            </w:pPr>
            <w:r w:rsidRPr="00773EF5">
              <w:rPr>
                <w:sz w:val="18"/>
                <w:szCs w:val="18"/>
              </w:rPr>
              <w:t>$1,822</w:t>
            </w:r>
          </w:p>
        </w:tc>
        <w:tc>
          <w:tcPr>
            <w:tcW w:w="1026" w:type="dxa"/>
            <w:noWrap/>
            <w:vAlign w:val="center"/>
            <w:hideMark/>
          </w:tcPr>
          <w:p w14:paraId="4332662C" w14:textId="77777777" w:rsidR="001D6419" w:rsidRPr="00773EF5" w:rsidRDefault="000F5B51" w:rsidP="003F10AD">
            <w:pPr>
              <w:spacing w:line="240" w:lineRule="auto"/>
              <w:jc w:val="center"/>
              <w:rPr>
                <w:rFonts w:eastAsia="Calibri"/>
                <w:sz w:val="18"/>
                <w:szCs w:val="18"/>
              </w:rPr>
            </w:pPr>
            <w:r w:rsidRPr="00773EF5">
              <w:rPr>
                <w:sz w:val="18"/>
                <w:szCs w:val="18"/>
              </w:rPr>
              <w:t>$1,872</w:t>
            </w:r>
          </w:p>
        </w:tc>
        <w:tc>
          <w:tcPr>
            <w:tcW w:w="1026" w:type="dxa"/>
            <w:noWrap/>
            <w:vAlign w:val="center"/>
            <w:hideMark/>
          </w:tcPr>
          <w:p w14:paraId="7F868836" w14:textId="77777777" w:rsidR="001D6419" w:rsidRPr="00773EF5" w:rsidRDefault="000F5B51" w:rsidP="003F10AD">
            <w:pPr>
              <w:spacing w:line="240" w:lineRule="auto"/>
              <w:jc w:val="center"/>
              <w:rPr>
                <w:rFonts w:eastAsia="Calibri"/>
                <w:sz w:val="18"/>
                <w:szCs w:val="18"/>
              </w:rPr>
            </w:pPr>
            <w:r w:rsidRPr="00773EF5">
              <w:rPr>
                <w:sz w:val="18"/>
                <w:szCs w:val="18"/>
              </w:rPr>
              <w:t>$1,899</w:t>
            </w:r>
          </w:p>
        </w:tc>
        <w:tc>
          <w:tcPr>
            <w:tcW w:w="1218" w:type="dxa"/>
            <w:noWrap/>
            <w:vAlign w:val="center"/>
            <w:hideMark/>
          </w:tcPr>
          <w:p w14:paraId="672484D6" w14:textId="77777777" w:rsidR="001D6419" w:rsidRPr="00773EF5" w:rsidRDefault="000F5B51" w:rsidP="003F10AD">
            <w:pPr>
              <w:spacing w:line="240" w:lineRule="auto"/>
              <w:jc w:val="center"/>
              <w:rPr>
                <w:rFonts w:eastAsia="Calibri"/>
                <w:sz w:val="18"/>
                <w:szCs w:val="18"/>
              </w:rPr>
            </w:pPr>
            <w:r w:rsidRPr="00773EF5">
              <w:rPr>
                <w:sz w:val="18"/>
                <w:szCs w:val="18"/>
              </w:rPr>
              <w:t>$1,921</w:t>
            </w:r>
          </w:p>
        </w:tc>
        <w:tc>
          <w:tcPr>
            <w:tcW w:w="1077" w:type="dxa"/>
            <w:noWrap/>
            <w:vAlign w:val="center"/>
            <w:hideMark/>
          </w:tcPr>
          <w:p w14:paraId="7F090471" w14:textId="77777777" w:rsidR="001D6419" w:rsidRPr="00773EF5" w:rsidRDefault="000F5B51" w:rsidP="003F10AD">
            <w:pPr>
              <w:spacing w:line="240" w:lineRule="auto"/>
              <w:jc w:val="center"/>
              <w:rPr>
                <w:rFonts w:eastAsia="Calibri"/>
                <w:sz w:val="18"/>
                <w:szCs w:val="18"/>
              </w:rPr>
            </w:pPr>
            <w:r w:rsidRPr="00773EF5">
              <w:rPr>
                <w:sz w:val="18"/>
                <w:szCs w:val="18"/>
              </w:rPr>
              <w:t>$7,186</w:t>
            </w:r>
          </w:p>
        </w:tc>
      </w:tr>
      <w:tr w:rsidR="00A15C2C" w14:paraId="6EB46F15" w14:textId="77777777" w:rsidTr="003F10AD">
        <w:trPr>
          <w:trHeight w:val="300"/>
        </w:trPr>
        <w:tc>
          <w:tcPr>
            <w:tcW w:w="1581" w:type="dxa"/>
            <w:noWrap/>
            <w:vAlign w:val="center"/>
            <w:hideMark/>
          </w:tcPr>
          <w:p w14:paraId="495B9C38" w14:textId="77777777" w:rsidR="001D6419" w:rsidRPr="00773EF5" w:rsidRDefault="000F5B51" w:rsidP="003F10AD">
            <w:pPr>
              <w:spacing w:line="240" w:lineRule="auto"/>
              <w:rPr>
                <w:rFonts w:eastAsia="Calibri"/>
                <w:i/>
                <w:color w:val="0070C0"/>
                <w:sz w:val="18"/>
                <w:szCs w:val="18"/>
              </w:rPr>
            </w:pPr>
            <w:r w:rsidRPr="00773EF5">
              <w:rPr>
                <w:rFonts w:eastAsia="Calibri"/>
                <w:i/>
                <w:color w:val="0070C0"/>
                <w:sz w:val="18"/>
                <w:szCs w:val="18"/>
              </w:rPr>
              <w:t>Property Damage</w:t>
            </w:r>
          </w:p>
        </w:tc>
        <w:tc>
          <w:tcPr>
            <w:tcW w:w="923" w:type="dxa"/>
            <w:noWrap/>
            <w:vAlign w:val="center"/>
            <w:hideMark/>
          </w:tcPr>
          <w:p w14:paraId="5A84E503" w14:textId="77777777" w:rsidR="001D6419" w:rsidRPr="00773EF5" w:rsidRDefault="000F5B51" w:rsidP="003F10AD">
            <w:pPr>
              <w:spacing w:line="240" w:lineRule="auto"/>
              <w:jc w:val="center"/>
              <w:rPr>
                <w:rFonts w:eastAsia="Calibri"/>
                <w:sz w:val="18"/>
                <w:szCs w:val="18"/>
              </w:rPr>
            </w:pPr>
            <w:r w:rsidRPr="00773EF5">
              <w:rPr>
                <w:sz w:val="18"/>
                <w:szCs w:val="18"/>
              </w:rPr>
              <w:t>$4,293</w:t>
            </w:r>
          </w:p>
        </w:tc>
        <w:tc>
          <w:tcPr>
            <w:tcW w:w="923" w:type="dxa"/>
            <w:noWrap/>
            <w:vAlign w:val="center"/>
            <w:hideMark/>
          </w:tcPr>
          <w:p w14:paraId="375287AC" w14:textId="77777777" w:rsidR="001D6419" w:rsidRPr="00773EF5" w:rsidRDefault="000F5B51" w:rsidP="003F10AD">
            <w:pPr>
              <w:spacing w:line="240" w:lineRule="auto"/>
              <w:jc w:val="center"/>
              <w:rPr>
                <w:rFonts w:eastAsia="Calibri"/>
                <w:sz w:val="18"/>
                <w:szCs w:val="18"/>
              </w:rPr>
            </w:pPr>
            <w:r w:rsidRPr="00773EF5">
              <w:rPr>
                <w:sz w:val="18"/>
                <w:szCs w:val="18"/>
              </w:rPr>
              <w:t>$3,211</w:t>
            </w:r>
          </w:p>
        </w:tc>
        <w:tc>
          <w:tcPr>
            <w:tcW w:w="924" w:type="dxa"/>
            <w:noWrap/>
            <w:vAlign w:val="center"/>
            <w:hideMark/>
          </w:tcPr>
          <w:p w14:paraId="742B9451" w14:textId="77777777" w:rsidR="001D6419" w:rsidRPr="00773EF5" w:rsidRDefault="000F5B51" w:rsidP="003F10AD">
            <w:pPr>
              <w:spacing w:line="240" w:lineRule="auto"/>
              <w:jc w:val="center"/>
              <w:rPr>
                <w:rFonts w:eastAsia="Calibri"/>
                <w:sz w:val="18"/>
                <w:szCs w:val="18"/>
              </w:rPr>
            </w:pPr>
            <w:r w:rsidRPr="00773EF5">
              <w:rPr>
                <w:sz w:val="18"/>
                <w:szCs w:val="18"/>
              </w:rPr>
              <w:t>$9,492</w:t>
            </w:r>
          </w:p>
        </w:tc>
        <w:tc>
          <w:tcPr>
            <w:tcW w:w="924" w:type="dxa"/>
            <w:noWrap/>
            <w:vAlign w:val="center"/>
            <w:hideMark/>
          </w:tcPr>
          <w:p w14:paraId="46E5E887" w14:textId="77777777" w:rsidR="001D6419" w:rsidRPr="00773EF5" w:rsidRDefault="000F5B51" w:rsidP="003F10AD">
            <w:pPr>
              <w:spacing w:line="240" w:lineRule="auto"/>
              <w:jc w:val="center"/>
              <w:rPr>
                <w:rFonts w:eastAsia="Calibri"/>
                <w:sz w:val="18"/>
                <w:szCs w:val="18"/>
              </w:rPr>
            </w:pPr>
            <w:r w:rsidRPr="00773EF5">
              <w:rPr>
                <w:sz w:val="18"/>
                <w:szCs w:val="18"/>
              </w:rPr>
              <w:t>$10,149</w:t>
            </w:r>
          </w:p>
        </w:tc>
        <w:tc>
          <w:tcPr>
            <w:tcW w:w="1026" w:type="dxa"/>
            <w:noWrap/>
            <w:vAlign w:val="center"/>
            <w:hideMark/>
          </w:tcPr>
          <w:p w14:paraId="7D165BAE" w14:textId="77777777" w:rsidR="001D6419" w:rsidRPr="00773EF5" w:rsidRDefault="000F5B51" w:rsidP="003F10AD">
            <w:pPr>
              <w:spacing w:line="240" w:lineRule="auto"/>
              <w:jc w:val="center"/>
              <w:rPr>
                <w:rFonts w:eastAsia="Calibri"/>
                <w:sz w:val="18"/>
                <w:szCs w:val="18"/>
              </w:rPr>
            </w:pPr>
            <w:r w:rsidRPr="00773EF5">
              <w:rPr>
                <w:sz w:val="18"/>
                <w:szCs w:val="18"/>
              </w:rPr>
              <w:t>$19,114</w:t>
            </w:r>
          </w:p>
        </w:tc>
        <w:tc>
          <w:tcPr>
            <w:tcW w:w="1026" w:type="dxa"/>
            <w:noWrap/>
            <w:vAlign w:val="center"/>
            <w:hideMark/>
          </w:tcPr>
          <w:p w14:paraId="5DC81DD7" w14:textId="77777777" w:rsidR="001D6419" w:rsidRPr="00773EF5" w:rsidRDefault="000F5B51" w:rsidP="003F10AD">
            <w:pPr>
              <w:spacing w:line="240" w:lineRule="auto"/>
              <w:jc w:val="center"/>
              <w:rPr>
                <w:rFonts w:eastAsia="Calibri"/>
                <w:sz w:val="18"/>
                <w:szCs w:val="18"/>
              </w:rPr>
            </w:pPr>
            <w:r w:rsidRPr="00773EF5">
              <w:rPr>
                <w:sz w:val="18"/>
                <w:szCs w:val="18"/>
              </w:rPr>
              <w:t>$19,474</w:t>
            </w:r>
          </w:p>
        </w:tc>
        <w:tc>
          <w:tcPr>
            <w:tcW w:w="1218" w:type="dxa"/>
            <w:noWrap/>
            <w:vAlign w:val="center"/>
            <w:hideMark/>
          </w:tcPr>
          <w:p w14:paraId="612DB637" w14:textId="77777777" w:rsidR="001D6419" w:rsidRPr="00773EF5" w:rsidRDefault="000F5B51" w:rsidP="003F10AD">
            <w:pPr>
              <w:spacing w:line="240" w:lineRule="auto"/>
              <w:jc w:val="center"/>
              <w:rPr>
                <w:rFonts w:eastAsia="Calibri"/>
                <w:sz w:val="18"/>
                <w:szCs w:val="18"/>
              </w:rPr>
            </w:pPr>
            <w:r w:rsidRPr="00773EF5">
              <w:rPr>
                <w:sz w:val="18"/>
                <w:szCs w:val="18"/>
              </w:rPr>
              <w:t>$18,000</w:t>
            </w:r>
          </w:p>
        </w:tc>
        <w:tc>
          <w:tcPr>
            <w:tcW w:w="1077" w:type="dxa"/>
            <w:noWrap/>
            <w:vAlign w:val="center"/>
            <w:hideMark/>
          </w:tcPr>
          <w:p w14:paraId="31B45883" w14:textId="77777777" w:rsidR="001D6419" w:rsidRPr="00773EF5" w:rsidRDefault="000F5B51" w:rsidP="003F10AD">
            <w:pPr>
              <w:spacing w:line="240" w:lineRule="auto"/>
              <w:jc w:val="center"/>
              <w:rPr>
                <w:rFonts w:eastAsia="Calibri"/>
                <w:sz w:val="18"/>
                <w:szCs w:val="18"/>
              </w:rPr>
            </w:pPr>
            <w:r w:rsidRPr="00773EF5">
              <w:rPr>
                <w:sz w:val="18"/>
                <w:szCs w:val="18"/>
              </w:rPr>
              <w:t>$13,372</w:t>
            </w:r>
          </w:p>
        </w:tc>
      </w:tr>
      <w:tr w:rsidR="00A15C2C" w14:paraId="57E8C278" w14:textId="77777777" w:rsidTr="003F10AD">
        <w:trPr>
          <w:trHeight w:val="315"/>
        </w:trPr>
        <w:tc>
          <w:tcPr>
            <w:tcW w:w="1581" w:type="dxa"/>
            <w:noWrap/>
            <w:vAlign w:val="center"/>
            <w:hideMark/>
          </w:tcPr>
          <w:p w14:paraId="1B165C23" w14:textId="77777777" w:rsidR="001D6419" w:rsidRPr="00773EF5" w:rsidRDefault="000F5B51" w:rsidP="003F10AD">
            <w:pPr>
              <w:spacing w:line="240" w:lineRule="auto"/>
              <w:rPr>
                <w:rFonts w:eastAsia="Calibri"/>
                <w:sz w:val="18"/>
                <w:szCs w:val="18"/>
              </w:rPr>
            </w:pPr>
            <w:r w:rsidRPr="00773EF5">
              <w:rPr>
                <w:rFonts w:eastAsia="Calibri"/>
                <w:sz w:val="18"/>
                <w:szCs w:val="18"/>
              </w:rPr>
              <w:t>QALYs</w:t>
            </w:r>
          </w:p>
        </w:tc>
        <w:tc>
          <w:tcPr>
            <w:tcW w:w="923" w:type="dxa"/>
            <w:noWrap/>
            <w:vAlign w:val="center"/>
            <w:hideMark/>
          </w:tcPr>
          <w:p w14:paraId="43D96695" w14:textId="77777777" w:rsidR="001D6419" w:rsidRPr="00773EF5" w:rsidRDefault="000F5B51" w:rsidP="003F10AD">
            <w:pPr>
              <w:spacing w:line="240" w:lineRule="auto"/>
              <w:jc w:val="center"/>
              <w:rPr>
                <w:rFonts w:eastAsia="Calibri"/>
                <w:sz w:val="18"/>
                <w:szCs w:val="18"/>
              </w:rPr>
            </w:pPr>
            <w:r w:rsidRPr="00773EF5">
              <w:rPr>
                <w:sz w:val="18"/>
                <w:szCs w:val="18"/>
              </w:rPr>
              <w:t>$0</w:t>
            </w:r>
          </w:p>
        </w:tc>
        <w:tc>
          <w:tcPr>
            <w:tcW w:w="923" w:type="dxa"/>
            <w:noWrap/>
            <w:vAlign w:val="center"/>
            <w:hideMark/>
          </w:tcPr>
          <w:p w14:paraId="064140FE" w14:textId="77777777" w:rsidR="001D6419" w:rsidRPr="00773EF5" w:rsidRDefault="000F5B51" w:rsidP="003F10AD">
            <w:pPr>
              <w:spacing w:line="240" w:lineRule="auto"/>
              <w:jc w:val="center"/>
              <w:rPr>
                <w:rFonts w:eastAsia="Calibri"/>
                <w:sz w:val="18"/>
                <w:szCs w:val="18"/>
              </w:rPr>
            </w:pPr>
            <w:r w:rsidRPr="00773EF5">
              <w:rPr>
                <w:sz w:val="18"/>
                <w:szCs w:val="18"/>
              </w:rPr>
              <w:t>$0</w:t>
            </w:r>
          </w:p>
        </w:tc>
        <w:tc>
          <w:tcPr>
            <w:tcW w:w="924" w:type="dxa"/>
            <w:noWrap/>
            <w:vAlign w:val="center"/>
            <w:hideMark/>
          </w:tcPr>
          <w:p w14:paraId="1067021B" w14:textId="77777777" w:rsidR="001D6419" w:rsidRPr="00773EF5" w:rsidRDefault="000F5B51" w:rsidP="003F10AD">
            <w:pPr>
              <w:spacing w:line="240" w:lineRule="auto"/>
              <w:jc w:val="center"/>
              <w:rPr>
                <w:rFonts w:eastAsia="Calibri"/>
                <w:sz w:val="18"/>
                <w:szCs w:val="18"/>
              </w:rPr>
            </w:pPr>
            <w:r w:rsidRPr="00773EF5">
              <w:rPr>
                <w:sz w:val="18"/>
                <w:szCs w:val="18"/>
              </w:rPr>
              <w:t>$30,606</w:t>
            </w:r>
          </w:p>
        </w:tc>
        <w:tc>
          <w:tcPr>
            <w:tcW w:w="924" w:type="dxa"/>
            <w:noWrap/>
            <w:vAlign w:val="center"/>
            <w:hideMark/>
          </w:tcPr>
          <w:p w14:paraId="5AC87144" w14:textId="77777777" w:rsidR="001D6419" w:rsidRPr="00773EF5" w:rsidRDefault="000F5B51" w:rsidP="003F10AD">
            <w:pPr>
              <w:spacing w:line="240" w:lineRule="auto"/>
              <w:jc w:val="center"/>
              <w:rPr>
                <w:rFonts w:eastAsia="Calibri"/>
                <w:sz w:val="18"/>
                <w:szCs w:val="18"/>
              </w:rPr>
            </w:pPr>
            <w:r w:rsidRPr="00773EF5">
              <w:rPr>
                <w:sz w:val="18"/>
                <w:szCs w:val="18"/>
              </w:rPr>
              <w:t>$479,493</w:t>
            </w:r>
          </w:p>
        </w:tc>
        <w:tc>
          <w:tcPr>
            <w:tcW w:w="1026" w:type="dxa"/>
            <w:noWrap/>
            <w:vAlign w:val="center"/>
            <w:hideMark/>
          </w:tcPr>
          <w:p w14:paraId="56AE2507" w14:textId="77777777" w:rsidR="001D6419" w:rsidRPr="00773EF5" w:rsidRDefault="000F5B51" w:rsidP="003F10AD">
            <w:pPr>
              <w:spacing w:line="240" w:lineRule="auto"/>
              <w:jc w:val="center"/>
              <w:rPr>
                <w:rFonts w:eastAsia="Calibri"/>
                <w:sz w:val="18"/>
                <w:szCs w:val="18"/>
              </w:rPr>
            </w:pPr>
            <w:r w:rsidRPr="00773EF5">
              <w:rPr>
                <w:sz w:val="18"/>
                <w:szCs w:val="18"/>
              </w:rPr>
              <w:t>$1,071,207</w:t>
            </w:r>
          </w:p>
        </w:tc>
        <w:tc>
          <w:tcPr>
            <w:tcW w:w="1026" w:type="dxa"/>
            <w:noWrap/>
            <w:vAlign w:val="center"/>
            <w:hideMark/>
          </w:tcPr>
          <w:p w14:paraId="71CF69E3" w14:textId="77777777" w:rsidR="001D6419" w:rsidRPr="00773EF5" w:rsidRDefault="000F5B51" w:rsidP="003F10AD">
            <w:pPr>
              <w:spacing w:line="240" w:lineRule="auto"/>
              <w:jc w:val="center"/>
              <w:rPr>
                <w:rFonts w:eastAsia="Calibri"/>
                <w:sz w:val="18"/>
                <w:szCs w:val="18"/>
              </w:rPr>
            </w:pPr>
            <w:r w:rsidRPr="00773EF5">
              <w:rPr>
                <w:sz w:val="18"/>
                <w:szCs w:val="18"/>
              </w:rPr>
              <w:t>$2,713,724</w:t>
            </w:r>
          </w:p>
        </w:tc>
        <w:tc>
          <w:tcPr>
            <w:tcW w:w="1218" w:type="dxa"/>
            <w:noWrap/>
            <w:vAlign w:val="center"/>
            <w:hideMark/>
          </w:tcPr>
          <w:p w14:paraId="3D1E1C55" w14:textId="77777777" w:rsidR="001D6419" w:rsidRPr="00773EF5" w:rsidRDefault="000F5B51" w:rsidP="003F10AD">
            <w:pPr>
              <w:spacing w:line="240" w:lineRule="auto"/>
              <w:jc w:val="center"/>
              <w:rPr>
                <w:rFonts w:eastAsia="Calibri"/>
                <w:sz w:val="18"/>
                <w:szCs w:val="18"/>
              </w:rPr>
            </w:pPr>
            <w:r w:rsidRPr="00773EF5">
              <w:rPr>
                <w:sz w:val="18"/>
                <w:szCs w:val="18"/>
              </w:rPr>
              <w:t>$6,049,769</w:t>
            </w:r>
          </w:p>
        </w:tc>
        <w:tc>
          <w:tcPr>
            <w:tcW w:w="1077" w:type="dxa"/>
            <w:noWrap/>
            <w:vAlign w:val="center"/>
            <w:hideMark/>
          </w:tcPr>
          <w:p w14:paraId="4731ADE3" w14:textId="77777777" w:rsidR="001D6419" w:rsidRPr="00773EF5" w:rsidRDefault="000F5B51" w:rsidP="003F10AD">
            <w:pPr>
              <w:spacing w:line="240" w:lineRule="auto"/>
              <w:jc w:val="center"/>
              <w:rPr>
                <w:rFonts w:eastAsia="Calibri"/>
                <w:sz w:val="18"/>
                <w:szCs w:val="18"/>
              </w:rPr>
            </w:pPr>
            <w:r w:rsidRPr="00773EF5">
              <w:rPr>
                <w:sz w:val="18"/>
                <w:szCs w:val="18"/>
              </w:rPr>
              <w:t>$10,201,971</w:t>
            </w:r>
          </w:p>
        </w:tc>
      </w:tr>
      <w:tr w:rsidR="00A15C2C" w14:paraId="3A4851D2" w14:textId="77777777" w:rsidTr="003F10AD">
        <w:trPr>
          <w:trHeight w:val="315"/>
        </w:trPr>
        <w:tc>
          <w:tcPr>
            <w:tcW w:w="1581" w:type="dxa"/>
            <w:noWrap/>
            <w:vAlign w:val="center"/>
            <w:hideMark/>
          </w:tcPr>
          <w:p w14:paraId="177949BE" w14:textId="77777777" w:rsidR="001D6419" w:rsidRPr="00773EF5" w:rsidRDefault="000F5B51" w:rsidP="003F10AD">
            <w:pPr>
              <w:spacing w:line="240" w:lineRule="auto"/>
              <w:rPr>
                <w:rFonts w:eastAsia="Calibri"/>
                <w:b/>
                <w:sz w:val="18"/>
                <w:szCs w:val="18"/>
              </w:rPr>
            </w:pPr>
            <w:r w:rsidRPr="00773EF5">
              <w:rPr>
                <w:rFonts w:eastAsia="Calibri"/>
                <w:b/>
                <w:sz w:val="18"/>
                <w:szCs w:val="18"/>
              </w:rPr>
              <w:t xml:space="preserve">Total </w:t>
            </w:r>
            <w:r w:rsidRPr="00773EF5">
              <w:rPr>
                <w:rFonts w:eastAsia="Calibri"/>
                <w:b/>
                <w:color w:val="FF0000"/>
                <w:sz w:val="18"/>
                <w:szCs w:val="18"/>
              </w:rPr>
              <w:t xml:space="preserve">Avoidance </w:t>
            </w:r>
            <w:r w:rsidRPr="00773EF5">
              <w:rPr>
                <w:rFonts w:eastAsia="Calibri"/>
                <w:b/>
                <w:sz w:val="18"/>
                <w:szCs w:val="18"/>
              </w:rPr>
              <w:t>comprehensive cost*</w:t>
            </w:r>
          </w:p>
        </w:tc>
        <w:tc>
          <w:tcPr>
            <w:tcW w:w="923" w:type="dxa"/>
            <w:noWrap/>
            <w:vAlign w:val="center"/>
            <w:hideMark/>
          </w:tcPr>
          <w:p w14:paraId="230EB0D4" w14:textId="77777777" w:rsidR="001D6419" w:rsidRPr="00773EF5" w:rsidRDefault="000F5B51" w:rsidP="003F10AD">
            <w:pPr>
              <w:spacing w:line="240" w:lineRule="auto"/>
              <w:jc w:val="center"/>
              <w:rPr>
                <w:rFonts w:eastAsia="Calibri"/>
                <w:sz w:val="18"/>
                <w:szCs w:val="18"/>
              </w:rPr>
            </w:pPr>
            <w:r w:rsidRPr="00773EF5">
              <w:rPr>
                <w:sz w:val="18"/>
                <w:szCs w:val="18"/>
              </w:rPr>
              <w:t>$7,388</w:t>
            </w:r>
          </w:p>
        </w:tc>
        <w:tc>
          <w:tcPr>
            <w:tcW w:w="923" w:type="dxa"/>
            <w:noWrap/>
            <w:vAlign w:val="center"/>
            <w:hideMark/>
          </w:tcPr>
          <w:p w14:paraId="05A26E57" w14:textId="77777777" w:rsidR="001D6419" w:rsidRPr="00773EF5" w:rsidRDefault="000F5B51" w:rsidP="003F10AD">
            <w:pPr>
              <w:spacing w:line="240" w:lineRule="auto"/>
              <w:jc w:val="center"/>
              <w:rPr>
                <w:rFonts w:eastAsia="Calibri"/>
                <w:sz w:val="18"/>
                <w:szCs w:val="18"/>
              </w:rPr>
            </w:pPr>
            <w:r w:rsidRPr="00773EF5">
              <w:rPr>
                <w:sz w:val="18"/>
                <w:szCs w:val="18"/>
              </w:rPr>
              <w:t>$5,321</w:t>
            </w:r>
          </w:p>
        </w:tc>
        <w:tc>
          <w:tcPr>
            <w:tcW w:w="924" w:type="dxa"/>
            <w:noWrap/>
            <w:vAlign w:val="center"/>
            <w:hideMark/>
          </w:tcPr>
          <w:p w14:paraId="436FB15C" w14:textId="77777777" w:rsidR="001D6419" w:rsidRPr="00773EF5" w:rsidRDefault="000F5B51" w:rsidP="003F10AD">
            <w:pPr>
              <w:spacing w:line="240" w:lineRule="auto"/>
              <w:jc w:val="center"/>
              <w:rPr>
                <w:rFonts w:eastAsia="Calibri"/>
                <w:sz w:val="18"/>
                <w:szCs w:val="18"/>
              </w:rPr>
            </w:pPr>
            <w:r w:rsidRPr="00773EF5">
              <w:rPr>
                <w:sz w:val="18"/>
                <w:szCs w:val="18"/>
              </w:rPr>
              <w:t>$25,429</w:t>
            </w:r>
          </w:p>
        </w:tc>
        <w:tc>
          <w:tcPr>
            <w:tcW w:w="924" w:type="dxa"/>
            <w:noWrap/>
            <w:vAlign w:val="center"/>
            <w:hideMark/>
          </w:tcPr>
          <w:p w14:paraId="2EF3E147" w14:textId="77777777" w:rsidR="001D6419" w:rsidRPr="00773EF5" w:rsidRDefault="000F5B51" w:rsidP="003F10AD">
            <w:pPr>
              <w:spacing w:line="240" w:lineRule="auto"/>
              <w:jc w:val="center"/>
              <w:rPr>
                <w:rFonts w:eastAsia="Calibri"/>
                <w:sz w:val="18"/>
                <w:szCs w:val="18"/>
              </w:rPr>
            </w:pPr>
            <w:r w:rsidRPr="00773EF5">
              <w:rPr>
                <w:sz w:val="18"/>
                <w:szCs w:val="18"/>
              </w:rPr>
              <w:t>$73,653</w:t>
            </w:r>
          </w:p>
        </w:tc>
        <w:tc>
          <w:tcPr>
            <w:tcW w:w="1026" w:type="dxa"/>
            <w:noWrap/>
            <w:vAlign w:val="center"/>
            <w:hideMark/>
          </w:tcPr>
          <w:p w14:paraId="5D1625E0" w14:textId="77777777" w:rsidR="001D6419" w:rsidRPr="00773EF5" w:rsidRDefault="000F5B51" w:rsidP="003F10AD">
            <w:pPr>
              <w:spacing w:line="240" w:lineRule="auto"/>
              <w:jc w:val="center"/>
              <w:rPr>
                <w:rFonts w:eastAsia="Calibri"/>
                <w:sz w:val="18"/>
                <w:szCs w:val="18"/>
              </w:rPr>
            </w:pPr>
            <w:r w:rsidRPr="00773EF5">
              <w:rPr>
                <w:sz w:val="18"/>
                <w:szCs w:val="18"/>
              </w:rPr>
              <w:t>$236,128</w:t>
            </w:r>
          </w:p>
        </w:tc>
        <w:tc>
          <w:tcPr>
            <w:tcW w:w="1026" w:type="dxa"/>
            <w:noWrap/>
            <w:vAlign w:val="center"/>
            <w:hideMark/>
          </w:tcPr>
          <w:p w14:paraId="35B7EE59" w14:textId="77777777" w:rsidR="001D6419" w:rsidRPr="00773EF5" w:rsidRDefault="000F5B51" w:rsidP="003F10AD">
            <w:pPr>
              <w:spacing w:line="240" w:lineRule="auto"/>
              <w:jc w:val="center"/>
              <w:rPr>
                <w:rFonts w:eastAsia="Calibri"/>
                <w:sz w:val="18"/>
                <w:szCs w:val="18"/>
              </w:rPr>
            </w:pPr>
            <w:r w:rsidRPr="00773EF5">
              <w:rPr>
                <w:sz w:val="18"/>
                <w:szCs w:val="18"/>
              </w:rPr>
              <w:t>$501,977</w:t>
            </w:r>
          </w:p>
        </w:tc>
        <w:tc>
          <w:tcPr>
            <w:tcW w:w="1218" w:type="dxa"/>
            <w:noWrap/>
            <w:vAlign w:val="center"/>
            <w:hideMark/>
          </w:tcPr>
          <w:p w14:paraId="6C3F9C5A" w14:textId="77777777" w:rsidR="001D6419" w:rsidRPr="00773EF5" w:rsidRDefault="000F5B51" w:rsidP="003F10AD">
            <w:pPr>
              <w:spacing w:line="240" w:lineRule="auto"/>
              <w:jc w:val="center"/>
              <w:rPr>
                <w:rFonts w:eastAsia="Calibri"/>
                <w:sz w:val="18"/>
                <w:szCs w:val="18"/>
              </w:rPr>
            </w:pPr>
            <w:r w:rsidRPr="00773EF5">
              <w:rPr>
                <w:sz w:val="18"/>
                <w:szCs w:val="18"/>
              </w:rPr>
              <w:t>$1,277,274</w:t>
            </w:r>
          </w:p>
        </w:tc>
        <w:tc>
          <w:tcPr>
            <w:tcW w:w="1077" w:type="dxa"/>
            <w:noWrap/>
            <w:vAlign w:val="center"/>
            <w:hideMark/>
          </w:tcPr>
          <w:p w14:paraId="5F5E2899" w14:textId="77777777" w:rsidR="001D6419" w:rsidRPr="00773EF5" w:rsidRDefault="000F5B51" w:rsidP="003F10AD">
            <w:pPr>
              <w:spacing w:line="240" w:lineRule="auto"/>
              <w:jc w:val="center"/>
              <w:rPr>
                <w:rFonts w:eastAsia="Calibri"/>
                <w:sz w:val="18"/>
                <w:szCs w:val="18"/>
              </w:rPr>
            </w:pPr>
            <w:r w:rsidRPr="00773EF5">
              <w:rPr>
                <w:sz w:val="18"/>
                <w:szCs w:val="18"/>
              </w:rPr>
              <w:t>$1,748,863</w:t>
            </w:r>
          </w:p>
        </w:tc>
      </w:tr>
    </w:tbl>
    <w:p w14:paraId="0377AFC6" w14:textId="77777777" w:rsidR="001D6419" w:rsidRPr="00773EF5" w:rsidRDefault="000F5B51" w:rsidP="001D6419">
      <w:pPr>
        <w:spacing w:before="240" w:after="240"/>
        <w:contextualSpacing/>
        <w:rPr>
          <w:rFonts w:eastAsia="Calibri" w:cs="Times New Roman"/>
          <w:sz w:val="22"/>
        </w:rPr>
      </w:pPr>
      <w:r w:rsidRPr="00773EF5">
        <w:rPr>
          <w:rFonts w:eastAsia="Calibri" w:cs="Times New Roman"/>
          <w:sz w:val="22"/>
        </w:rPr>
        <w:t>*Note: Exclude “</w:t>
      </w:r>
      <w:r w:rsidRPr="003F10AD">
        <w:rPr>
          <w:rFonts w:eastAsia="Calibri" w:cs="Times New Roman"/>
          <w:sz w:val="22"/>
        </w:rPr>
        <w:t>Congestion</w:t>
      </w:r>
      <w:r w:rsidRPr="00773EF5">
        <w:rPr>
          <w:rFonts w:eastAsia="Calibri" w:cs="Times New Roman"/>
          <w:sz w:val="22"/>
        </w:rPr>
        <w:t>” and “</w:t>
      </w:r>
      <w:r w:rsidRPr="003F10AD">
        <w:rPr>
          <w:rFonts w:eastAsia="Calibri" w:cs="Times New Roman"/>
          <w:sz w:val="22"/>
        </w:rPr>
        <w:t>Property Damage</w:t>
      </w:r>
      <w:r w:rsidRPr="00773EF5">
        <w:rPr>
          <w:rFonts w:eastAsia="Calibri" w:cs="Times New Roman"/>
          <w:sz w:val="22"/>
        </w:rPr>
        <w:t>” when crashworthiness FMVSSs are considered</w:t>
      </w:r>
      <w:r w:rsidR="001F2F92">
        <w:rPr>
          <w:rFonts w:eastAsia="Calibri" w:cs="Times New Roman"/>
          <w:sz w:val="22"/>
        </w:rPr>
        <w:t xml:space="preserve">. </w:t>
      </w:r>
    </w:p>
    <w:p w14:paraId="219EE12D" w14:textId="746C85D7" w:rsidR="00837612" w:rsidRDefault="000F5B51" w:rsidP="003F10AD">
      <w:r>
        <w:rPr>
          <w:rFonts w:cs="Times New Roman"/>
        </w:rPr>
        <w:fldChar w:fldCharType="begin"/>
      </w:r>
      <w:r>
        <w:rPr>
          <w:rFonts w:cs="Times New Roman"/>
        </w:rPr>
        <w:instrText xml:space="preserve"> REF _Ref126240134 \h </w:instrText>
      </w:r>
      <w:r>
        <w:rPr>
          <w:rFonts w:cs="Times New Roman"/>
        </w:rPr>
      </w:r>
      <w:r>
        <w:rPr>
          <w:rFonts w:cs="Times New Roman"/>
        </w:rPr>
        <w:fldChar w:fldCharType="separate"/>
      </w:r>
      <w:r w:rsidR="00A65CB3">
        <w:t xml:space="preserve">Table </w:t>
      </w:r>
      <w:r w:rsidR="00A65CB3">
        <w:rPr>
          <w:iCs/>
          <w:noProof/>
        </w:rPr>
        <w:t>105</w:t>
      </w:r>
      <w:r>
        <w:rPr>
          <w:rFonts w:cs="Times New Roman"/>
        </w:rPr>
        <w:fldChar w:fldCharType="end"/>
      </w:r>
      <w:r>
        <w:rPr>
          <w:rFonts w:cs="Times New Roman"/>
        </w:rPr>
        <w:t xml:space="preserve"> presents the baseline used in 2010 dollars.</w:t>
      </w:r>
    </w:p>
    <w:p w14:paraId="67312F32" w14:textId="1DD7E054" w:rsidR="001D6419" w:rsidRPr="00CE2168" w:rsidRDefault="000F5B51" w:rsidP="003F10AD">
      <w:pPr>
        <w:pStyle w:val="Caption"/>
      </w:pPr>
      <w:bookmarkStart w:id="2001" w:name="_Ref126240134"/>
      <w:r>
        <w:lastRenderedPageBreak/>
        <w:t xml:space="preserve">Table </w:t>
      </w:r>
      <w:r w:rsidR="00AD7711">
        <w:rPr>
          <w:iCs w:val="0"/>
        </w:rPr>
        <w:fldChar w:fldCharType="begin"/>
      </w:r>
      <w:r w:rsidR="00AD7711">
        <w:rPr>
          <w:iCs w:val="0"/>
        </w:rPr>
        <w:instrText xml:space="preserve"> SEQ Table \* ARABIC </w:instrText>
      </w:r>
      <w:r w:rsidR="00AD7711">
        <w:rPr>
          <w:iCs w:val="0"/>
        </w:rPr>
        <w:fldChar w:fldCharType="separate"/>
      </w:r>
      <w:r w:rsidR="00A65CB3">
        <w:rPr>
          <w:iCs w:val="0"/>
          <w:noProof/>
        </w:rPr>
        <w:t>105</w:t>
      </w:r>
      <w:r w:rsidR="00AD7711">
        <w:rPr>
          <w:iCs w:val="0"/>
          <w:noProof/>
        </w:rPr>
        <w:fldChar w:fldCharType="end"/>
      </w:r>
      <w:bookmarkEnd w:id="2001"/>
      <w:r>
        <w:t xml:space="preserve">: </w:t>
      </w:r>
      <w:r w:rsidRPr="00CE2168">
        <w:t>Unit Costs in 2010 $ for Police-Reported Crashes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14"/>
        <w:gridCol w:w="706"/>
        <w:gridCol w:w="810"/>
        <w:gridCol w:w="900"/>
        <w:gridCol w:w="985"/>
        <w:gridCol w:w="1080"/>
        <w:gridCol w:w="1080"/>
        <w:gridCol w:w="1080"/>
        <w:gridCol w:w="1080"/>
      </w:tblGrid>
      <w:tr w:rsidR="00A15C2C" w14:paraId="458A8569" w14:textId="77777777" w:rsidTr="003F10AD">
        <w:trPr>
          <w:trHeight w:val="576"/>
        </w:trPr>
        <w:tc>
          <w:tcPr>
            <w:tcW w:w="1814" w:type="dxa"/>
            <w:shd w:val="clear" w:color="auto" w:fill="D9D9D9" w:themeFill="background1" w:themeFillShade="D9"/>
            <w:noWrap/>
            <w:vAlign w:val="center"/>
            <w:hideMark/>
          </w:tcPr>
          <w:p w14:paraId="64EC85AD" w14:textId="77777777" w:rsidR="001D6419" w:rsidRPr="0028568D" w:rsidRDefault="000F5B51" w:rsidP="003F10AD">
            <w:pPr>
              <w:spacing w:line="240" w:lineRule="auto"/>
              <w:contextualSpacing/>
              <w:rPr>
                <w:rFonts w:cs="Times New Roman"/>
                <w:b/>
                <w:bCs/>
                <w:color w:val="000000"/>
                <w:sz w:val="22"/>
              </w:rPr>
            </w:pPr>
            <w:r w:rsidRPr="005D5762">
              <w:rPr>
                <w:rFonts w:cs="Times New Roman"/>
                <w:b/>
                <w:bCs/>
                <w:color w:val="000000"/>
                <w:sz w:val="22"/>
              </w:rPr>
              <w:t>Cost Components</w:t>
            </w:r>
          </w:p>
        </w:tc>
        <w:tc>
          <w:tcPr>
            <w:tcW w:w="706" w:type="dxa"/>
            <w:shd w:val="clear" w:color="auto" w:fill="D9D9D9" w:themeFill="background1" w:themeFillShade="D9"/>
            <w:noWrap/>
            <w:vAlign w:val="center"/>
            <w:hideMark/>
          </w:tcPr>
          <w:p w14:paraId="60D128FE" w14:textId="77777777" w:rsidR="001D6419" w:rsidRPr="00897AED" w:rsidRDefault="000F5B51" w:rsidP="003F10AD">
            <w:pPr>
              <w:spacing w:line="240" w:lineRule="auto"/>
              <w:contextualSpacing/>
              <w:jc w:val="center"/>
              <w:rPr>
                <w:rFonts w:cs="Times New Roman"/>
                <w:b/>
                <w:bCs/>
                <w:color w:val="000000"/>
                <w:sz w:val="22"/>
              </w:rPr>
            </w:pPr>
            <w:r w:rsidRPr="00657E84">
              <w:rPr>
                <w:rFonts w:cs="Times New Roman"/>
                <w:b/>
                <w:bCs/>
                <w:color w:val="000000"/>
                <w:sz w:val="22"/>
              </w:rPr>
              <w:t>PDO</w:t>
            </w:r>
          </w:p>
        </w:tc>
        <w:tc>
          <w:tcPr>
            <w:tcW w:w="810" w:type="dxa"/>
            <w:shd w:val="clear" w:color="auto" w:fill="D9D9D9" w:themeFill="background1" w:themeFillShade="D9"/>
            <w:noWrap/>
            <w:vAlign w:val="center"/>
            <w:hideMark/>
          </w:tcPr>
          <w:p w14:paraId="531E8EBC" w14:textId="77777777" w:rsidR="001D6419" w:rsidRPr="005E3D4C" w:rsidRDefault="000F5B51" w:rsidP="003F10AD">
            <w:pPr>
              <w:spacing w:line="240" w:lineRule="auto"/>
              <w:contextualSpacing/>
              <w:jc w:val="center"/>
              <w:rPr>
                <w:rFonts w:cs="Times New Roman"/>
                <w:b/>
                <w:bCs/>
                <w:color w:val="000000"/>
                <w:sz w:val="22"/>
              </w:rPr>
            </w:pPr>
            <w:r w:rsidRPr="005E3D4C">
              <w:rPr>
                <w:rFonts w:cs="Times New Roman"/>
                <w:b/>
                <w:bCs/>
                <w:color w:val="000000"/>
                <w:sz w:val="22"/>
              </w:rPr>
              <w:t>MAIS0</w:t>
            </w:r>
          </w:p>
        </w:tc>
        <w:tc>
          <w:tcPr>
            <w:tcW w:w="900" w:type="dxa"/>
            <w:shd w:val="clear" w:color="auto" w:fill="D9D9D9" w:themeFill="background1" w:themeFillShade="D9"/>
            <w:noWrap/>
            <w:vAlign w:val="center"/>
            <w:hideMark/>
          </w:tcPr>
          <w:p w14:paraId="5656A2CE" w14:textId="77777777" w:rsidR="001D6419" w:rsidRPr="005E3D4C" w:rsidRDefault="000F5B51" w:rsidP="003F10AD">
            <w:pPr>
              <w:spacing w:line="240" w:lineRule="auto"/>
              <w:contextualSpacing/>
              <w:jc w:val="center"/>
              <w:rPr>
                <w:rFonts w:cs="Times New Roman"/>
                <w:b/>
                <w:bCs/>
                <w:color w:val="000000"/>
                <w:sz w:val="22"/>
              </w:rPr>
            </w:pPr>
            <w:r w:rsidRPr="005E3D4C">
              <w:rPr>
                <w:rFonts w:cs="Times New Roman"/>
                <w:b/>
                <w:bCs/>
                <w:color w:val="000000"/>
                <w:sz w:val="22"/>
              </w:rPr>
              <w:t>MAIS1</w:t>
            </w:r>
          </w:p>
        </w:tc>
        <w:tc>
          <w:tcPr>
            <w:tcW w:w="985" w:type="dxa"/>
            <w:shd w:val="clear" w:color="auto" w:fill="D9D9D9" w:themeFill="background1" w:themeFillShade="D9"/>
            <w:noWrap/>
            <w:vAlign w:val="center"/>
            <w:hideMark/>
          </w:tcPr>
          <w:p w14:paraId="54B090E0" w14:textId="77777777" w:rsidR="001D6419" w:rsidRPr="005E3D4C" w:rsidRDefault="000F5B51" w:rsidP="003F10AD">
            <w:pPr>
              <w:spacing w:line="240" w:lineRule="auto"/>
              <w:contextualSpacing/>
              <w:jc w:val="center"/>
              <w:rPr>
                <w:rFonts w:cs="Times New Roman"/>
                <w:b/>
                <w:bCs/>
                <w:color w:val="000000"/>
                <w:sz w:val="22"/>
              </w:rPr>
            </w:pPr>
            <w:r w:rsidRPr="005E3D4C">
              <w:rPr>
                <w:rFonts w:cs="Times New Roman"/>
                <w:b/>
                <w:bCs/>
                <w:color w:val="000000"/>
                <w:sz w:val="22"/>
              </w:rPr>
              <w:t>MAIS2</w:t>
            </w:r>
          </w:p>
        </w:tc>
        <w:tc>
          <w:tcPr>
            <w:tcW w:w="1080" w:type="dxa"/>
            <w:shd w:val="clear" w:color="auto" w:fill="D9D9D9" w:themeFill="background1" w:themeFillShade="D9"/>
            <w:noWrap/>
            <w:vAlign w:val="center"/>
            <w:hideMark/>
          </w:tcPr>
          <w:p w14:paraId="14B2CBA0" w14:textId="77777777" w:rsidR="001D6419" w:rsidRPr="005E3D4C" w:rsidRDefault="000F5B51" w:rsidP="003F10AD">
            <w:pPr>
              <w:spacing w:line="240" w:lineRule="auto"/>
              <w:contextualSpacing/>
              <w:jc w:val="center"/>
              <w:rPr>
                <w:rFonts w:cs="Times New Roman"/>
                <w:b/>
                <w:bCs/>
                <w:color w:val="000000"/>
                <w:sz w:val="22"/>
              </w:rPr>
            </w:pPr>
            <w:r w:rsidRPr="005E3D4C">
              <w:rPr>
                <w:rFonts w:cs="Times New Roman"/>
                <w:b/>
                <w:bCs/>
                <w:color w:val="000000"/>
                <w:sz w:val="22"/>
              </w:rPr>
              <w:t>MAIS3</w:t>
            </w:r>
          </w:p>
        </w:tc>
        <w:tc>
          <w:tcPr>
            <w:tcW w:w="1080" w:type="dxa"/>
            <w:shd w:val="clear" w:color="auto" w:fill="D9D9D9" w:themeFill="background1" w:themeFillShade="D9"/>
            <w:noWrap/>
            <w:vAlign w:val="center"/>
            <w:hideMark/>
          </w:tcPr>
          <w:p w14:paraId="2A3A8255" w14:textId="77777777" w:rsidR="001D6419" w:rsidRPr="005E3D4C" w:rsidRDefault="000F5B51" w:rsidP="003F10AD">
            <w:pPr>
              <w:spacing w:line="240" w:lineRule="auto"/>
              <w:contextualSpacing/>
              <w:jc w:val="center"/>
              <w:rPr>
                <w:rFonts w:cs="Times New Roman"/>
                <w:b/>
                <w:bCs/>
                <w:color w:val="000000"/>
                <w:sz w:val="22"/>
              </w:rPr>
            </w:pPr>
            <w:r w:rsidRPr="005E3D4C">
              <w:rPr>
                <w:rFonts w:cs="Times New Roman"/>
                <w:b/>
                <w:bCs/>
                <w:color w:val="000000"/>
                <w:sz w:val="22"/>
              </w:rPr>
              <w:t>MAIS4</w:t>
            </w:r>
          </w:p>
        </w:tc>
        <w:tc>
          <w:tcPr>
            <w:tcW w:w="1080" w:type="dxa"/>
            <w:shd w:val="clear" w:color="auto" w:fill="D9D9D9" w:themeFill="background1" w:themeFillShade="D9"/>
            <w:noWrap/>
            <w:vAlign w:val="center"/>
            <w:hideMark/>
          </w:tcPr>
          <w:p w14:paraId="21A6BC1D" w14:textId="77777777" w:rsidR="001D6419" w:rsidRPr="005E3D4C" w:rsidRDefault="000F5B51" w:rsidP="003F10AD">
            <w:pPr>
              <w:spacing w:line="240" w:lineRule="auto"/>
              <w:contextualSpacing/>
              <w:jc w:val="center"/>
              <w:rPr>
                <w:rFonts w:cs="Times New Roman"/>
                <w:b/>
                <w:bCs/>
                <w:color w:val="000000"/>
                <w:sz w:val="22"/>
              </w:rPr>
            </w:pPr>
            <w:r w:rsidRPr="005E3D4C">
              <w:rPr>
                <w:rFonts w:cs="Times New Roman"/>
                <w:b/>
                <w:bCs/>
                <w:color w:val="000000"/>
                <w:sz w:val="22"/>
              </w:rPr>
              <w:t>MAIS5</w:t>
            </w:r>
          </w:p>
        </w:tc>
        <w:tc>
          <w:tcPr>
            <w:tcW w:w="1080" w:type="dxa"/>
            <w:shd w:val="clear" w:color="auto" w:fill="D9D9D9" w:themeFill="background1" w:themeFillShade="D9"/>
            <w:noWrap/>
            <w:vAlign w:val="center"/>
            <w:hideMark/>
          </w:tcPr>
          <w:p w14:paraId="148B7815" w14:textId="77777777" w:rsidR="001D6419" w:rsidRPr="005E3D4C" w:rsidRDefault="000F5B51" w:rsidP="003F10AD">
            <w:pPr>
              <w:spacing w:line="240" w:lineRule="auto"/>
              <w:contextualSpacing/>
              <w:jc w:val="center"/>
              <w:rPr>
                <w:rFonts w:cs="Times New Roman"/>
                <w:b/>
                <w:bCs/>
                <w:color w:val="000000"/>
                <w:sz w:val="22"/>
              </w:rPr>
            </w:pPr>
            <w:r w:rsidRPr="005E3D4C">
              <w:rPr>
                <w:rFonts w:cs="Times New Roman"/>
                <w:b/>
                <w:bCs/>
                <w:color w:val="000000"/>
                <w:sz w:val="22"/>
              </w:rPr>
              <w:t>FATAL</w:t>
            </w:r>
          </w:p>
        </w:tc>
      </w:tr>
      <w:tr w:rsidR="00A15C2C" w14:paraId="402B8893" w14:textId="77777777" w:rsidTr="003F10AD">
        <w:trPr>
          <w:trHeight w:val="285"/>
        </w:trPr>
        <w:tc>
          <w:tcPr>
            <w:tcW w:w="1814" w:type="dxa"/>
            <w:shd w:val="clear" w:color="000000" w:fill="FFFFFF"/>
            <w:noWrap/>
            <w:vAlign w:val="center"/>
            <w:hideMark/>
          </w:tcPr>
          <w:p w14:paraId="6E2CE76E" w14:textId="77777777" w:rsidR="001D6419" w:rsidRPr="0028568D" w:rsidRDefault="000F5B51" w:rsidP="003F10AD">
            <w:pPr>
              <w:spacing w:line="240" w:lineRule="auto"/>
              <w:contextualSpacing/>
              <w:rPr>
                <w:rFonts w:cs="Times New Roman"/>
                <w:color w:val="000000"/>
                <w:sz w:val="22"/>
              </w:rPr>
            </w:pPr>
            <w:r w:rsidRPr="005D5762">
              <w:rPr>
                <w:rFonts w:cs="Times New Roman"/>
                <w:color w:val="000000"/>
                <w:sz w:val="22"/>
              </w:rPr>
              <w:t>Medical</w:t>
            </w:r>
          </w:p>
        </w:tc>
        <w:tc>
          <w:tcPr>
            <w:tcW w:w="706" w:type="dxa"/>
            <w:shd w:val="clear" w:color="000000" w:fill="FFFFFF"/>
            <w:noWrap/>
            <w:vAlign w:val="center"/>
            <w:hideMark/>
          </w:tcPr>
          <w:p w14:paraId="4BB76271" w14:textId="77777777" w:rsidR="001D6419" w:rsidRPr="00897AED" w:rsidRDefault="000F5B51" w:rsidP="003F10AD">
            <w:pPr>
              <w:spacing w:line="240" w:lineRule="auto"/>
              <w:contextualSpacing/>
              <w:jc w:val="center"/>
              <w:rPr>
                <w:rFonts w:cs="Times New Roman"/>
                <w:color w:val="000000"/>
                <w:sz w:val="22"/>
              </w:rPr>
            </w:pPr>
            <w:r w:rsidRPr="00657E84">
              <w:rPr>
                <w:rFonts w:cs="Times New Roman"/>
                <w:color w:val="000000"/>
                <w:sz w:val="22"/>
              </w:rPr>
              <w:t>$0</w:t>
            </w:r>
          </w:p>
        </w:tc>
        <w:tc>
          <w:tcPr>
            <w:tcW w:w="810" w:type="dxa"/>
            <w:shd w:val="clear" w:color="000000" w:fill="FFFFFF"/>
            <w:noWrap/>
            <w:vAlign w:val="center"/>
            <w:hideMark/>
          </w:tcPr>
          <w:p w14:paraId="55487014"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$0</w:t>
            </w:r>
          </w:p>
        </w:tc>
        <w:tc>
          <w:tcPr>
            <w:tcW w:w="900" w:type="dxa"/>
            <w:shd w:val="clear" w:color="000000" w:fill="FFFFFF"/>
            <w:noWrap/>
            <w:vAlign w:val="center"/>
            <w:hideMark/>
          </w:tcPr>
          <w:p w14:paraId="57007FBD"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$2,799</w:t>
            </w:r>
          </w:p>
        </w:tc>
        <w:tc>
          <w:tcPr>
            <w:tcW w:w="985" w:type="dxa"/>
            <w:shd w:val="clear" w:color="000000" w:fill="FFFFFF"/>
            <w:noWrap/>
            <w:vAlign w:val="center"/>
            <w:hideMark/>
          </w:tcPr>
          <w:p w14:paraId="493152A5"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$11,453</w:t>
            </w:r>
          </w:p>
        </w:tc>
        <w:tc>
          <w:tcPr>
            <w:tcW w:w="1080" w:type="dxa"/>
            <w:shd w:val="clear" w:color="000000" w:fill="FFFFFF"/>
            <w:noWrap/>
            <w:vAlign w:val="center"/>
            <w:hideMark/>
          </w:tcPr>
          <w:p w14:paraId="043C6DBE"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$48,620</w:t>
            </w:r>
          </w:p>
        </w:tc>
        <w:tc>
          <w:tcPr>
            <w:tcW w:w="1080" w:type="dxa"/>
            <w:shd w:val="clear" w:color="000000" w:fill="FFFFFF"/>
            <w:noWrap/>
            <w:vAlign w:val="center"/>
            <w:hideMark/>
          </w:tcPr>
          <w:p w14:paraId="1D4AD7C9"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$136,317</w:t>
            </w:r>
          </w:p>
        </w:tc>
        <w:tc>
          <w:tcPr>
            <w:tcW w:w="1080" w:type="dxa"/>
            <w:shd w:val="clear" w:color="000000" w:fill="FFFFFF"/>
            <w:noWrap/>
            <w:vAlign w:val="center"/>
            <w:hideMark/>
          </w:tcPr>
          <w:p w14:paraId="5B44F19D"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$384,273</w:t>
            </w:r>
          </w:p>
        </w:tc>
        <w:tc>
          <w:tcPr>
            <w:tcW w:w="1080" w:type="dxa"/>
            <w:shd w:val="clear" w:color="000000" w:fill="FFFFFF"/>
            <w:noWrap/>
            <w:vAlign w:val="center"/>
            <w:hideMark/>
          </w:tcPr>
          <w:p w14:paraId="7EF60BB1"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$11,317</w:t>
            </w:r>
          </w:p>
        </w:tc>
      </w:tr>
      <w:tr w:rsidR="00A15C2C" w14:paraId="4107C113" w14:textId="77777777" w:rsidTr="003F10AD">
        <w:trPr>
          <w:trHeight w:val="285"/>
        </w:trPr>
        <w:tc>
          <w:tcPr>
            <w:tcW w:w="1814" w:type="dxa"/>
            <w:shd w:val="clear" w:color="000000" w:fill="FFFFFF"/>
            <w:noWrap/>
            <w:vAlign w:val="center"/>
            <w:hideMark/>
          </w:tcPr>
          <w:p w14:paraId="6123523B" w14:textId="77777777" w:rsidR="001D6419" w:rsidRPr="0028568D" w:rsidRDefault="000F5B51" w:rsidP="003F10AD">
            <w:pPr>
              <w:spacing w:line="240" w:lineRule="auto"/>
              <w:contextualSpacing/>
              <w:rPr>
                <w:rFonts w:cs="Times New Roman"/>
                <w:color w:val="000000"/>
                <w:sz w:val="22"/>
              </w:rPr>
            </w:pPr>
            <w:r w:rsidRPr="005D5762">
              <w:rPr>
                <w:rFonts w:cs="Times New Roman"/>
                <w:color w:val="000000"/>
                <w:sz w:val="22"/>
              </w:rPr>
              <w:t>EMS</w:t>
            </w:r>
          </w:p>
        </w:tc>
        <w:tc>
          <w:tcPr>
            <w:tcW w:w="706" w:type="dxa"/>
            <w:shd w:val="clear" w:color="000000" w:fill="FFFFFF"/>
            <w:noWrap/>
            <w:vAlign w:val="center"/>
            <w:hideMark/>
          </w:tcPr>
          <w:p w14:paraId="231691AE" w14:textId="77777777" w:rsidR="001D6419" w:rsidRPr="00897AED" w:rsidRDefault="000F5B51" w:rsidP="003F10AD">
            <w:pPr>
              <w:spacing w:line="240" w:lineRule="auto"/>
              <w:contextualSpacing/>
              <w:jc w:val="center"/>
              <w:rPr>
                <w:rFonts w:cs="Times New Roman"/>
                <w:color w:val="000000"/>
                <w:sz w:val="22"/>
              </w:rPr>
            </w:pPr>
            <w:r w:rsidRPr="00657E84">
              <w:rPr>
                <w:rFonts w:cs="Times New Roman"/>
                <w:color w:val="000000"/>
                <w:sz w:val="22"/>
              </w:rPr>
              <w:t>$59</w:t>
            </w:r>
          </w:p>
        </w:tc>
        <w:tc>
          <w:tcPr>
            <w:tcW w:w="810" w:type="dxa"/>
            <w:shd w:val="clear" w:color="000000" w:fill="FFFFFF"/>
            <w:noWrap/>
            <w:vAlign w:val="center"/>
            <w:hideMark/>
          </w:tcPr>
          <w:p w14:paraId="33DF776F"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$38</w:t>
            </w:r>
          </w:p>
        </w:tc>
        <w:tc>
          <w:tcPr>
            <w:tcW w:w="900" w:type="dxa"/>
            <w:shd w:val="clear" w:color="000000" w:fill="FFFFFF"/>
            <w:noWrap/>
            <w:vAlign w:val="center"/>
            <w:hideMark/>
          </w:tcPr>
          <w:p w14:paraId="1EF5B225"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$109</w:t>
            </w:r>
          </w:p>
        </w:tc>
        <w:tc>
          <w:tcPr>
            <w:tcW w:w="985" w:type="dxa"/>
            <w:shd w:val="clear" w:color="000000" w:fill="FFFFFF"/>
            <w:noWrap/>
            <w:vAlign w:val="center"/>
            <w:hideMark/>
          </w:tcPr>
          <w:p w14:paraId="52C00098"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$221</w:t>
            </w:r>
          </w:p>
        </w:tc>
        <w:tc>
          <w:tcPr>
            <w:tcW w:w="1080" w:type="dxa"/>
            <w:shd w:val="clear" w:color="000000" w:fill="FFFFFF"/>
            <w:noWrap/>
            <w:vAlign w:val="center"/>
            <w:hideMark/>
          </w:tcPr>
          <w:p w14:paraId="2AE3A82D"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$416</w:t>
            </w:r>
          </w:p>
        </w:tc>
        <w:tc>
          <w:tcPr>
            <w:tcW w:w="1080" w:type="dxa"/>
            <w:shd w:val="clear" w:color="000000" w:fill="FFFFFF"/>
            <w:noWrap/>
            <w:vAlign w:val="center"/>
            <w:hideMark/>
          </w:tcPr>
          <w:p w14:paraId="7AB7A1D5"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$838</w:t>
            </w:r>
          </w:p>
        </w:tc>
        <w:tc>
          <w:tcPr>
            <w:tcW w:w="1080" w:type="dxa"/>
            <w:shd w:val="clear" w:color="000000" w:fill="FFFFFF"/>
            <w:noWrap/>
            <w:vAlign w:val="center"/>
            <w:hideMark/>
          </w:tcPr>
          <w:p w14:paraId="71C86043"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$855</w:t>
            </w:r>
          </w:p>
        </w:tc>
        <w:tc>
          <w:tcPr>
            <w:tcW w:w="1080" w:type="dxa"/>
            <w:shd w:val="clear" w:color="000000" w:fill="FFFFFF"/>
            <w:noWrap/>
            <w:vAlign w:val="center"/>
            <w:hideMark/>
          </w:tcPr>
          <w:p w14:paraId="2F21DC28"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$902</w:t>
            </w:r>
          </w:p>
        </w:tc>
      </w:tr>
      <w:tr w:rsidR="00A15C2C" w14:paraId="301A06CF" w14:textId="77777777" w:rsidTr="003F10AD">
        <w:trPr>
          <w:trHeight w:val="285"/>
        </w:trPr>
        <w:tc>
          <w:tcPr>
            <w:tcW w:w="1814" w:type="dxa"/>
            <w:shd w:val="clear" w:color="000000" w:fill="FFFFFF"/>
            <w:noWrap/>
            <w:vAlign w:val="center"/>
            <w:hideMark/>
          </w:tcPr>
          <w:p w14:paraId="6186C7DF" w14:textId="77777777" w:rsidR="001D6419" w:rsidRPr="0028568D" w:rsidRDefault="000F5B51" w:rsidP="003F10AD">
            <w:pPr>
              <w:spacing w:line="240" w:lineRule="auto"/>
              <w:contextualSpacing/>
              <w:rPr>
                <w:rFonts w:cs="Times New Roman"/>
                <w:color w:val="000000"/>
                <w:sz w:val="22"/>
              </w:rPr>
            </w:pPr>
            <w:r w:rsidRPr="005D5762">
              <w:rPr>
                <w:rFonts w:cs="Times New Roman"/>
                <w:color w:val="000000"/>
                <w:sz w:val="22"/>
              </w:rPr>
              <w:t>Market Prod</w:t>
            </w:r>
          </w:p>
        </w:tc>
        <w:tc>
          <w:tcPr>
            <w:tcW w:w="706" w:type="dxa"/>
            <w:shd w:val="clear" w:color="000000" w:fill="FFFFFF"/>
            <w:noWrap/>
            <w:vAlign w:val="center"/>
            <w:hideMark/>
          </w:tcPr>
          <w:p w14:paraId="0AAEAB47" w14:textId="77777777" w:rsidR="001D6419" w:rsidRPr="00897AED" w:rsidRDefault="000F5B51" w:rsidP="003F10AD">
            <w:pPr>
              <w:spacing w:line="240" w:lineRule="auto"/>
              <w:contextualSpacing/>
              <w:jc w:val="center"/>
              <w:rPr>
                <w:rFonts w:cs="Times New Roman"/>
                <w:color w:val="000000"/>
                <w:sz w:val="22"/>
              </w:rPr>
            </w:pPr>
            <w:r w:rsidRPr="00657E84">
              <w:rPr>
                <w:rFonts w:cs="Times New Roman"/>
                <w:color w:val="000000"/>
                <w:sz w:val="22"/>
              </w:rPr>
              <w:t>$0</w:t>
            </w:r>
          </w:p>
        </w:tc>
        <w:tc>
          <w:tcPr>
            <w:tcW w:w="810" w:type="dxa"/>
            <w:shd w:val="clear" w:color="000000" w:fill="FFFFFF"/>
            <w:noWrap/>
            <w:vAlign w:val="center"/>
            <w:hideMark/>
          </w:tcPr>
          <w:p w14:paraId="69ED8088"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$0</w:t>
            </w:r>
          </w:p>
        </w:tc>
        <w:tc>
          <w:tcPr>
            <w:tcW w:w="900" w:type="dxa"/>
            <w:shd w:val="clear" w:color="000000" w:fill="FFFFFF"/>
            <w:noWrap/>
            <w:vAlign w:val="center"/>
            <w:hideMark/>
          </w:tcPr>
          <w:p w14:paraId="5768D505"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$2,726</w:t>
            </w:r>
          </w:p>
        </w:tc>
        <w:tc>
          <w:tcPr>
            <w:tcW w:w="985" w:type="dxa"/>
            <w:shd w:val="clear" w:color="000000" w:fill="FFFFFF"/>
            <w:noWrap/>
            <w:vAlign w:val="center"/>
            <w:hideMark/>
          </w:tcPr>
          <w:p w14:paraId="6BC10511"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$19,359</w:t>
            </w:r>
          </w:p>
        </w:tc>
        <w:tc>
          <w:tcPr>
            <w:tcW w:w="1080" w:type="dxa"/>
            <w:shd w:val="clear" w:color="000000" w:fill="FFFFFF"/>
            <w:noWrap/>
            <w:vAlign w:val="center"/>
            <w:hideMark/>
          </w:tcPr>
          <w:p w14:paraId="66EC5EBA"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$64,338</w:t>
            </w:r>
          </w:p>
        </w:tc>
        <w:tc>
          <w:tcPr>
            <w:tcW w:w="1080" w:type="dxa"/>
            <w:shd w:val="clear" w:color="000000" w:fill="FFFFFF"/>
            <w:noWrap/>
            <w:vAlign w:val="center"/>
            <w:hideMark/>
          </w:tcPr>
          <w:p w14:paraId="14FAE1A9"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$140,816</w:t>
            </w:r>
          </w:p>
        </w:tc>
        <w:tc>
          <w:tcPr>
            <w:tcW w:w="1080" w:type="dxa"/>
            <w:shd w:val="clear" w:color="000000" w:fill="FFFFFF"/>
            <w:noWrap/>
            <w:vAlign w:val="center"/>
            <w:hideMark/>
          </w:tcPr>
          <w:p w14:paraId="77AFCCEF"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$337,607</w:t>
            </w:r>
          </w:p>
        </w:tc>
        <w:tc>
          <w:tcPr>
            <w:tcW w:w="1080" w:type="dxa"/>
            <w:shd w:val="clear" w:color="000000" w:fill="FFFFFF"/>
            <w:noWrap/>
            <w:vAlign w:val="center"/>
            <w:hideMark/>
          </w:tcPr>
          <w:p w14:paraId="2E55E409"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$933,262</w:t>
            </w:r>
          </w:p>
        </w:tc>
      </w:tr>
      <w:tr w:rsidR="00A15C2C" w14:paraId="3206D260" w14:textId="77777777" w:rsidTr="003F10AD">
        <w:trPr>
          <w:trHeight w:val="285"/>
        </w:trPr>
        <w:tc>
          <w:tcPr>
            <w:tcW w:w="1814" w:type="dxa"/>
            <w:shd w:val="clear" w:color="000000" w:fill="FFFFFF"/>
            <w:noWrap/>
            <w:vAlign w:val="center"/>
            <w:hideMark/>
          </w:tcPr>
          <w:p w14:paraId="71840F5C" w14:textId="77777777" w:rsidR="001D6419" w:rsidRPr="0028568D" w:rsidRDefault="000F5B51" w:rsidP="003F10AD">
            <w:pPr>
              <w:spacing w:line="240" w:lineRule="auto"/>
              <w:contextualSpacing/>
              <w:rPr>
                <w:rFonts w:cs="Times New Roman"/>
                <w:color w:val="000000"/>
                <w:sz w:val="22"/>
              </w:rPr>
            </w:pPr>
            <w:r w:rsidRPr="005D5762">
              <w:rPr>
                <w:rFonts w:cs="Times New Roman"/>
                <w:color w:val="000000"/>
                <w:sz w:val="22"/>
              </w:rPr>
              <w:t>Household Prod</w:t>
            </w:r>
          </w:p>
        </w:tc>
        <w:tc>
          <w:tcPr>
            <w:tcW w:w="706" w:type="dxa"/>
            <w:shd w:val="clear" w:color="000000" w:fill="FFFFFF"/>
            <w:noWrap/>
            <w:vAlign w:val="center"/>
            <w:hideMark/>
          </w:tcPr>
          <w:p w14:paraId="724E264B" w14:textId="77777777" w:rsidR="001D6419" w:rsidRPr="00897AED" w:rsidRDefault="000F5B51" w:rsidP="003F10AD">
            <w:pPr>
              <w:spacing w:line="240" w:lineRule="auto"/>
              <w:contextualSpacing/>
              <w:jc w:val="center"/>
              <w:rPr>
                <w:rFonts w:cs="Times New Roman"/>
                <w:color w:val="000000"/>
                <w:sz w:val="22"/>
              </w:rPr>
            </w:pPr>
            <w:r w:rsidRPr="00657E84">
              <w:rPr>
                <w:rFonts w:cs="Times New Roman"/>
                <w:color w:val="000000"/>
                <w:sz w:val="22"/>
              </w:rPr>
              <w:t>$60</w:t>
            </w:r>
          </w:p>
        </w:tc>
        <w:tc>
          <w:tcPr>
            <w:tcW w:w="810" w:type="dxa"/>
            <w:shd w:val="clear" w:color="000000" w:fill="FFFFFF"/>
            <w:noWrap/>
            <w:vAlign w:val="center"/>
            <w:hideMark/>
          </w:tcPr>
          <w:p w14:paraId="3B1FFE69"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$45</w:t>
            </w:r>
          </w:p>
        </w:tc>
        <w:tc>
          <w:tcPr>
            <w:tcW w:w="900" w:type="dxa"/>
            <w:shd w:val="clear" w:color="000000" w:fill="FFFFFF"/>
            <w:noWrap/>
            <w:vAlign w:val="center"/>
            <w:hideMark/>
          </w:tcPr>
          <w:p w14:paraId="556FE307"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$862</w:t>
            </w:r>
          </w:p>
        </w:tc>
        <w:tc>
          <w:tcPr>
            <w:tcW w:w="985" w:type="dxa"/>
            <w:shd w:val="clear" w:color="000000" w:fill="FFFFFF"/>
            <w:noWrap/>
            <w:vAlign w:val="center"/>
            <w:hideMark/>
          </w:tcPr>
          <w:p w14:paraId="40655810"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$7,106</w:t>
            </w:r>
          </w:p>
        </w:tc>
        <w:tc>
          <w:tcPr>
            <w:tcW w:w="1080" w:type="dxa"/>
            <w:shd w:val="clear" w:color="000000" w:fill="FFFFFF"/>
            <w:noWrap/>
            <w:vAlign w:val="center"/>
            <w:hideMark/>
          </w:tcPr>
          <w:p w14:paraId="0AF03376"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$22,688</w:t>
            </w:r>
          </w:p>
        </w:tc>
        <w:tc>
          <w:tcPr>
            <w:tcW w:w="1080" w:type="dxa"/>
            <w:shd w:val="clear" w:color="000000" w:fill="FFFFFF"/>
            <w:noWrap/>
            <w:vAlign w:val="center"/>
            <w:hideMark/>
          </w:tcPr>
          <w:p w14:paraId="3BF2DA95"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$37,541</w:t>
            </w:r>
          </w:p>
        </w:tc>
        <w:tc>
          <w:tcPr>
            <w:tcW w:w="1080" w:type="dxa"/>
            <w:shd w:val="clear" w:color="000000" w:fill="FFFFFF"/>
            <w:noWrap/>
            <w:vAlign w:val="center"/>
            <w:hideMark/>
          </w:tcPr>
          <w:p w14:paraId="6EB8601E"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$95,407</w:t>
            </w:r>
          </w:p>
        </w:tc>
        <w:tc>
          <w:tcPr>
            <w:tcW w:w="1080" w:type="dxa"/>
            <w:shd w:val="clear" w:color="000000" w:fill="FFFFFF"/>
            <w:noWrap/>
            <w:vAlign w:val="center"/>
            <w:hideMark/>
          </w:tcPr>
          <w:p w14:paraId="324C3E82"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$289,910</w:t>
            </w:r>
          </w:p>
        </w:tc>
      </w:tr>
      <w:tr w:rsidR="00A15C2C" w14:paraId="5937F318" w14:textId="77777777" w:rsidTr="003F10AD">
        <w:trPr>
          <w:trHeight w:val="285"/>
        </w:trPr>
        <w:tc>
          <w:tcPr>
            <w:tcW w:w="1814" w:type="dxa"/>
            <w:shd w:val="clear" w:color="000000" w:fill="FFFFFF"/>
            <w:noWrap/>
            <w:vAlign w:val="center"/>
            <w:hideMark/>
          </w:tcPr>
          <w:p w14:paraId="4AC17BD9" w14:textId="77777777" w:rsidR="001D6419" w:rsidRPr="0028568D" w:rsidRDefault="000F5B51" w:rsidP="003F10AD">
            <w:pPr>
              <w:spacing w:line="240" w:lineRule="auto"/>
              <w:contextualSpacing/>
              <w:rPr>
                <w:rFonts w:cs="Times New Roman"/>
                <w:color w:val="000000"/>
                <w:sz w:val="22"/>
              </w:rPr>
            </w:pPr>
            <w:r w:rsidRPr="005D5762">
              <w:rPr>
                <w:rFonts w:cs="Times New Roman"/>
                <w:color w:val="000000"/>
                <w:sz w:val="22"/>
              </w:rPr>
              <w:t>Ins. Adm.</w:t>
            </w:r>
          </w:p>
        </w:tc>
        <w:tc>
          <w:tcPr>
            <w:tcW w:w="706" w:type="dxa"/>
            <w:shd w:val="clear" w:color="000000" w:fill="FFFFFF"/>
            <w:noWrap/>
            <w:vAlign w:val="center"/>
            <w:hideMark/>
          </w:tcPr>
          <w:p w14:paraId="7BB91EE7" w14:textId="77777777" w:rsidR="001D6419" w:rsidRPr="00897AED" w:rsidRDefault="000F5B51" w:rsidP="003F10AD">
            <w:pPr>
              <w:spacing w:line="240" w:lineRule="auto"/>
              <w:contextualSpacing/>
              <w:jc w:val="center"/>
              <w:rPr>
                <w:rFonts w:cs="Times New Roman"/>
                <w:color w:val="000000"/>
                <w:sz w:val="22"/>
              </w:rPr>
            </w:pPr>
            <w:r w:rsidRPr="00657E84">
              <w:rPr>
                <w:rFonts w:cs="Times New Roman"/>
                <w:color w:val="000000"/>
                <w:sz w:val="22"/>
              </w:rPr>
              <w:t>$191</w:t>
            </w:r>
          </w:p>
        </w:tc>
        <w:tc>
          <w:tcPr>
            <w:tcW w:w="810" w:type="dxa"/>
            <w:shd w:val="clear" w:color="000000" w:fill="FFFFFF"/>
            <w:noWrap/>
            <w:vAlign w:val="center"/>
            <w:hideMark/>
          </w:tcPr>
          <w:p w14:paraId="07E3736A"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$143</w:t>
            </w:r>
          </w:p>
        </w:tc>
        <w:tc>
          <w:tcPr>
            <w:tcW w:w="900" w:type="dxa"/>
            <w:shd w:val="clear" w:color="000000" w:fill="FFFFFF"/>
            <w:noWrap/>
            <w:vAlign w:val="center"/>
            <w:hideMark/>
          </w:tcPr>
          <w:p w14:paraId="3BCF67C6"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$3,298</w:t>
            </w:r>
          </w:p>
        </w:tc>
        <w:tc>
          <w:tcPr>
            <w:tcW w:w="985" w:type="dxa"/>
            <w:shd w:val="clear" w:color="000000" w:fill="FFFFFF"/>
            <w:noWrap/>
            <w:vAlign w:val="center"/>
            <w:hideMark/>
          </w:tcPr>
          <w:p w14:paraId="1ECCEE99"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$4,659</w:t>
            </w:r>
          </w:p>
        </w:tc>
        <w:tc>
          <w:tcPr>
            <w:tcW w:w="1080" w:type="dxa"/>
            <w:shd w:val="clear" w:color="000000" w:fill="FFFFFF"/>
            <w:noWrap/>
            <w:vAlign w:val="center"/>
            <w:hideMark/>
          </w:tcPr>
          <w:p w14:paraId="36EA2AFD"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$15,371</w:t>
            </w:r>
          </w:p>
        </w:tc>
        <w:tc>
          <w:tcPr>
            <w:tcW w:w="1080" w:type="dxa"/>
            <w:shd w:val="clear" w:color="000000" w:fill="FFFFFF"/>
            <w:noWrap/>
            <w:vAlign w:val="center"/>
            <w:hideMark/>
          </w:tcPr>
          <w:p w14:paraId="508009B8"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$28,228</w:t>
            </w:r>
          </w:p>
        </w:tc>
        <w:tc>
          <w:tcPr>
            <w:tcW w:w="1080" w:type="dxa"/>
            <w:shd w:val="clear" w:color="000000" w:fill="FFFFFF"/>
            <w:noWrap/>
            <w:vAlign w:val="center"/>
            <w:hideMark/>
          </w:tcPr>
          <w:p w14:paraId="5B01C191"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$72,525</w:t>
            </w:r>
          </w:p>
        </w:tc>
        <w:tc>
          <w:tcPr>
            <w:tcW w:w="1080" w:type="dxa"/>
            <w:shd w:val="clear" w:color="000000" w:fill="FFFFFF"/>
            <w:noWrap/>
            <w:vAlign w:val="center"/>
            <w:hideMark/>
          </w:tcPr>
          <w:p w14:paraId="6D6BBCD4"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$28,322</w:t>
            </w:r>
          </w:p>
        </w:tc>
      </w:tr>
      <w:tr w:rsidR="00A15C2C" w14:paraId="144110A1" w14:textId="77777777" w:rsidTr="003F10AD">
        <w:trPr>
          <w:trHeight w:val="285"/>
        </w:trPr>
        <w:tc>
          <w:tcPr>
            <w:tcW w:w="1814" w:type="dxa"/>
            <w:shd w:val="clear" w:color="000000" w:fill="FFFFFF"/>
            <w:noWrap/>
            <w:vAlign w:val="center"/>
            <w:hideMark/>
          </w:tcPr>
          <w:p w14:paraId="5275D714" w14:textId="77777777" w:rsidR="001D6419" w:rsidRPr="0028568D" w:rsidRDefault="000F5B51" w:rsidP="003F10AD">
            <w:pPr>
              <w:spacing w:line="240" w:lineRule="auto"/>
              <w:contextualSpacing/>
              <w:rPr>
                <w:rFonts w:cs="Times New Roman"/>
                <w:color w:val="000000"/>
                <w:sz w:val="22"/>
              </w:rPr>
            </w:pPr>
            <w:r w:rsidRPr="005D5762">
              <w:rPr>
                <w:rFonts w:cs="Times New Roman"/>
                <w:color w:val="000000"/>
                <w:sz w:val="22"/>
              </w:rPr>
              <w:t>Workplace</w:t>
            </w:r>
          </w:p>
        </w:tc>
        <w:tc>
          <w:tcPr>
            <w:tcW w:w="706" w:type="dxa"/>
            <w:shd w:val="clear" w:color="000000" w:fill="FFFFFF"/>
            <w:noWrap/>
            <w:vAlign w:val="center"/>
            <w:hideMark/>
          </w:tcPr>
          <w:p w14:paraId="0DC901AC" w14:textId="77777777" w:rsidR="001D6419" w:rsidRPr="00897AED" w:rsidRDefault="000F5B51" w:rsidP="003F10AD">
            <w:pPr>
              <w:spacing w:line="240" w:lineRule="auto"/>
              <w:contextualSpacing/>
              <w:jc w:val="center"/>
              <w:rPr>
                <w:rFonts w:cs="Times New Roman"/>
                <w:color w:val="000000"/>
                <w:sz w:val="22"/>
              </w:rPr>
            </w:pPr>
            <w:r w:rsidRPr="00657E84">
              <w:rPr>
                <w:rFonts w:cs="Times New Roman"/>
                <w:color w:val="000000"/>
                <w:sz w:val="22"/>
              </w:rPr>
              <w:t>$62</w:t>
            </w:r>
          </w:p>
        </w:tc>
        <w:tc>
          <w:tcPr>
            <w:tcW w:w="810" w:type="dxa"/>
            <w:shd w:val="clear" w:color="000000" w:fill="FFFFFF"/>
            <w:noWrap/>
            <w:vAlign w:val="center"/>
            <w:hideMark/>
          </w:tcPr>
          <w:p w14:paraId="7351CA12"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$46</w:t>
            </w:r>
          </w:p>
        </w:tc>
        <w:tc>
          <w:tcPr>
            <w:tcW w:w="900" w:type="dxa"/>
            <w:shd w:val="clear" w:color="000000" w:fill="FFFFFF"/>
            <w:noWrap/>
            <w:vAlign w:val="center"/>
            <w:hideMark/>
          </w:tcPr>
          <w:p w14:paraId="23C20349"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$341</w:t>
            </w:r>
          </w:p>
        </w:tc>
        <w:tc>
          <w:tcPr>
            <w:tcW w:w="985" w:type="dxa"/>
            <w:shd w:val="clear" w:color="000000" w:fill="FFFFFF"/>
            <w:noWrap/>
            <w:vAlign w:val="center"/>
            <w:hideMark/>
          </w:tcPr>
          <w:p w14:paraId="6504CCFA"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$2,644</w:t>
            </w:r>
          </w:p>
        </w:tc>
        <w:tc>
          <w:tcPr>
            <w:tcW w:w="1080" w:type="dxa"/>
            <w:shd w:val="clear" w:color="000000" w:fill="FFFFFF"/>
            <w:noWrap/>
            <w:vAlign w:val="center"/>
            <w:hideMark/>
          </w:tcPr>
          <w:p w14:paraId="04387B46"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$5,776</w:t>
            </w:r>
          </w:p>
        </w:tc>
        <w:tc>
          <w:tcPr>
            <w:tcW w:w="1080" w:type="dxa"/>
            <w:shd w:val="clear" w:color="000000" w:fill="FFFFFF"/>
            <w:noWrap/>
            <w:vAlign w:val="center"/>
            <w:hideMark/>
          </w:tcPr>
          <w:p w14:paraId="05DDE7DA"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$6,361</w:t>
            </w:r>
          </w:p>
        </w:tc>
        <w:tc>
          <w:tcPr>
            <w:tcW w:w="1080" w:type="dxa"/>
            <w:shd w:val="clear" w:color="000000" w:fill="FFFFFF"/>
            <w:noWrap/>
            <w:vAlign w:val="center"/>
            <w:hideMark/>
          </w:tcPr>
          <w:p w14:paraId="2D144B3F"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$11,091</w:t>
            </w:r>
          </w:p>
        </w:tc>
        <w:tc>
          <w:tcPr>
            <w:tcW w:w="1080" w:type="dxa"/>
            <w:shd w:val="clear" w:color="000000" w:fill="FFFFFF"/>
            <w:noWrap/>
            <w:vAlign w:val="center"/>
            <w:hideMark/>
          </w:tcPr>
          <w:p w14:paraId="7E977A70"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$11,783</w:t>
            </w:r>
          </w:p>
        </w:tc>
      </w:tr>
      <w:tr w:rsidR="00A15C2C" w14:paraId="387AB576" w14:textId="77777777" w:rsidTr="003F10AD">
        <w:trPr>
          <w:trHeight w:val="285"/>
        </w:trPr>
        <w:tc>
          <w:tcPr>
            <w:tcW w:w="1814" w:type="dxa"/>
            <w:shd w:val="clear" w:color="000000" w:fill="FFFFFF"/>
            <w:noWrap/>
            <w:vAlign w:val="center"/>
            <w:hideMark/>
          </w:tcPr>
          <w:p w14:paraId="1F27A05F" w14:textId="77777777" w:rsidR="001D6419" w:rsidRPr="0028568D" w:rsidRDefault="000F5B51" w:rsidP="003F10AD">
            <w:pPr>
              <w:spacing w:line="240" w:lineRule="auto"/>
              <w:contextualSpacing/>
              <w:rPr>
                <w:rFonts w:cs="Times New Roman"/>
                <w:color w:val="000000"/>
                <w:sz w:val="22"/>
              </w:rPr>
            </w:pPr>
            <w:r w:rsidRPr="005D5762">
              <w:rPr>
                <w:rFonts w:cs="Times New Roman"/>
                <w:color w:val="000000"/>
                <w:sz w:val="22"/>
              </w:rPr>
              <w:t>Legal</w:t>
            </w:r>
          </w:p>
        </w:tc>
        <w:tc>
          <w:tcPr>
            <w:tcW w:w="706" w:type="dxa"/>
            <w:shd w:val="clear" w:color="000000" w:fill="FFFFFF"/>
            <w:noWrap/>
            <w:vAlign w:val="center"/>
            <w:hideMark/>
          </w:tcPr>
          <w:p w14:paraId="4E40129C" w14:textId="77777777" w:rsidR="001D6419" w:rsidRPr="00897AED" w:rsidRDefault="000F5B51" w:rsidP="003F10AD">
            <w:pPr>
              <w:spacing w:line="240" w:lineRule="auto"/>
              <w:contextualSpacing/>
              <w:jc w:val="center"/>
              <w:rPr>
                <w:rFonts w:cs="Times New Roman"/>
                <w:color w:val="000000"/>
                <w:sz w:val="22"/>
              </w:rPr>
            </w:pPr>
            <w:r w:rsidRPr="00657E84">
              <w:rPr>
                <w:rFonts w:cs="Times New Roman"/>
                <w:color w:val="000000"/>
                <w:sz w:val="22"/>
              </w:rPr>
              <w:t>$0</w:t>
            </w:r>
          </w:p>
        </w:tc>
        <w:tc>
          <w:tcPr>
            <w:tcW w:w="810" w:type="dxa"/>
            <w:shd w:val="clear" w:color="000000" w:fill="FFFFFF"/>
            <w:noWrap/>
            <w:vAlign w:val="center"/>
            <w:hideMark/>
          </w:tcPr>
          <w:p w14:paraId="0B16CA0F"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$0</w:t>
            </w:r>
          </w:p>
        </w:tc>
        <w:tc>
          <w:tcPr>
            <w:tcW w:w="900" w:type="dxa"/>
            <w:shd w:val="clear" w:color="000000" w:fill="FFFFFF"/>
            <w:noWrap/>
            <w:vAlign w:val="center"/>
            <w:hideMark/>
          </w:tcPr>
          <w:p w14:paraId="04525DB2"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$1,182</w:t>
            </w:r>
          </w:p>
        </w:tc>
        <w:tc>
          <w:tcPr>
            <w:tcW w:w="985" w:type="dxa"/>
            <w:shd w:val="clear" w:color="000000" w:fill="FFFFFF"/>
            <w:noWrap/>
            <w:vAlign w:val="center"/>
            <w:hideMark/>
          </w:tcPr>
          <w:p w14:paraId="66E12AA3"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$3,351</w:t>
            </w:r>
          </w:p>
        </w:tc>
        <w:tc>
          <w:tcPr>
            <w:tcW w:w="1080" w:type="dxa"/>
            <w:shd w:val="clear" w:color="000000" w:fill="FFFFFF"/>
            <w:noWrap/>
            <w:vAlign w:val="center"/>
            <w:hideMark/>
          </w:tcPr>
          <w:p w14:paraId="672D9929"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$12,402</w:t>
            </w:r>
          </w:p>
        </w:tc>
        <w:tc>
          <w:tcPr>
            <w:tcW w:w="1080" w:type="dxa"/>
            <w:shd w:val="clear" w:color="000000" w:fill="FFFFFF"/>
            <w:noWrap/>
            <w:vAlign w:val="center"/>
            <w:hideMark/>
          </w:tcPr>
          <w:p w14:paraId="5B59B3F4"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$26,668</w:t>
            </w:r>
          </w:p>
        </w:tc>
        <w:tc>
          <w:tcPr>
            <w:tcW w:w="1080" w:type="dxa"/>
            <w:shd w:val="clear" w:color="000000" w:fill="FFFFFF"/>
            <w:noWrap/>
            <w:vAlign w:val="center"/>
            <w:hideMark/>
          </w:tcPr>
          <w:p w14:paraId="1B596D5C"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$82,710</w:t>
            </w:r>
          </w:p>
        </w:tc>
        <w:tc>
          <w:tcPr>
            <w:tcW w:w="1080" w:type="dxa"/>
            <w:shd w:val="clear" w:color="000000" w:fill="FFFFFF"/>
            <w:noWrap/>
            <w:vAlign w:val="center"/>
            <w:hideMark/>
          </w:tcPr>
          <w:p w14:paraId="50C53478"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$106,488</w:t>
            </w:r>
          </w:p>
        </w:tc>
      </w:tr>
      <w:tr w:rsidR="00A15C2C" w14:paraId="13CA05A1" w14:textId="77777777" w:rsidTr="003F10AD">
        <w:trPr>
          <w:trHeight w:val="285"/>
        </w:trPr>
        <w:tc>
          <w:tcPr>
            <w:tcW w:w="1814" w:type="dxa"/>
            <w:shd w:val="clear" w:color="000000" w:fill="FFFFFF"/>
            <w:noWrap/>
            <w:vAlign w:val="center"/>
            <w:hideMark/>
          </w:tcPr>
          <w:p w14:paraId="56904FD9" w14:textId="77777777" w:rsidR="001D6419" w:rsidRPr="0028568D" w:rsidRDefault="000F5B51" w:rsidP="003F10AD">
            <w:pPr>
              <w:spacing w:line="240" w:lineRule="auto"/>
              <w:contextualSpacing/>
              <w:rPr>
                <w:rFonts w:cs="Times New Roman"/>
                <w:color w:val="000000"/>
                <w:sz w:val="22"/>
              </w:rPr>
            </w:pPr>
            <w:r w:rsidRPr="005D5762">
              <w:rPr>
                <w:rFonts w:cs="Times New Roman"/>
                <w:color w:val="000000"/>
                <w:sz w:val="22"/>
              </w:rPr>
              <w:t>Congestion</w:t>
            </w:r>
          </w:p>
        </w:tc>
        <w:tc>
          <w:tcPr>
            <w:tcW w:w="706" w:type="dxa"/>
            <w:shd w:val="clear" w:color="000000" w:fill="FFFFFF"/>
            <w:noWrap/>
            <w:vAlign w:val="center"/>
            <w:hideMark/>
          </w:tcPr>
          <w:p w14:paraId="79542BD1" w14:textId="77777777" w:rsidR="001D6419" w:rsidRPr="00897AED" w:rsidRDefault="000F5B51" w:rsidP="003F10AD">
            <w:pPr>
              <w:spacing w:line="240" w:lineRule="auto"/>
              <w:contextualSpacing/>
              <w:jc w:val="center"/>
              <w:rPr>
                <w:rFonts w:cs="Times New Roman"/>
                <w:color w:val="000000"/>
                <w:sz w:val="22"/>
              </w:rPr>
            </w:pPr>
            <w:r w:rsidRPr="00657E84">
              <w:rPr>
                <w:rFonts w:cs="Times New Roman"/>
                <w:color w:val="000000"/>
                <w:sz w:val="22"/>
              </w:rPr>
              <w:t>$2,104</w:t>
            </w:r>
          </w:p>
        </w:tc>
        <w:tc>
          <w:tcPr>
            <w:tcW w:w="810" w:type="dxa"/>
            <w:shd w:val="clear" w:color="000000" w:fill="FFFFFF"/>
            <w:noWrap/>
            <w:vAlign w:val="center"/>
            <w:hideMark/>
          </w:tcPr>
          <w:p w14:paraId="2D21F806"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$1,416</w:t>
            </w:r>
          </w:p>
        </w:tc>
        <w:tc>
          <w:tcPr>
            <w:tcW w:w="900" w:type="dxa"/>
            <w:shd w:val="clear" w:color="000000" w:fill="FFFFFF"/>
            <w:noWrap/>
            <w:vAlign w:val="center"/>
            <w:hideMark/>
          </w:tcPr>
          <w:p w14:paraId="0B34C4D7"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$1,426</w:t>
            </w:r>
          </w:p>
        </w:tc>
        <w:tc>
          <w:tcPr>
            <w:tcW w:w="985" w:type="dxa"/>
            <w:shd w:val="clear" w:color="000000" w:fill="FFFFFF"/>
            <w:noWrap/>
            <w:vAlign w:val="center"/>
            <w:hideMark/>
          </w:tcPr>
          <w:p w14:paraId="02702A9A"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$1,450</w:t>
            </w:r>
          </w:p>
        </w:tc>
        <w:tc>
          <w:tcPr>
            <w:tcW w:w="1080" w:type="dxa"/>
            <w:shd w:val="clear" w:color="000000" w:fill="FFFFFF"/>
            <w:noWrap/>
            <w:vAlign w:val="center"/>
            <w:hideMark/>
          </w:tcPr>
          <w:p w14:paraId="241EF5CB"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$1,490</w:t>
            </w:r>
          </w:p>
        </w:tc>
        <w:tc>
          <w:tcPr>
            <w:tcW w:w="1080" w:type="dxa"/>
            <w:shd w:val="clear" w:color="000000" w:fill="FFFFFF"/>
            <w:noWrap/>
            <w:vAlign w:val="center"/>
            <w:hideMark/>
          </w:tcPr>
          <w:p w14:paraId="52C827CB"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$1,511</w:t>
            </w:r>
          </w:p>
        </w:tc>
        <w:tc>
          <w:tcPr>
            <w:tcW w:w="1080" w:type="dxa"/>
            <w:shd w:val="clear" w:color="000000" w:fill="FFFFFF"/>
            <w:noWrap/>
            <w:vAlign w:val="center"/>
            <w:hideMark/>
          </w:tcPr>
          <w:p w14:paraId="63AB6651"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$1,529</w:t>
            </w:r>
          </w:p>
        </w:tc>
        <w:tc>
          <w:tcPr>
            <w:tcW w:w="1080" w:type="dxa"/>
            <w:shd w:val="clear" w:color="000000" w:fill="FFFFFF"/>
            <w:noWrap/>
            <w:vAlign w:val="center"/>
            <w:hideMark/>
          </w:tcPr>
          <w:p w14:paraId="41812DE2"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$5,720</w:t>
            </w:r>
          </w:p>
        </w:tc>
      </w:tr>
      <w:tr w:rsidR="00A15C2C" w14:paraId="7F6780C1" w14:textId="77777777" w:rsidTr="003F10AD">
        <w:trPr>
          <w:trHeight w:val="285"/>
        </w:trPr>
        <w:tc>
          <w:tcPr>
            <w:tcW w:w="1814" w:type="dxa"/>
            <w:shd w:val="clear" w:color="000000" w:fill="FFFFFF"/>
            <w:noWrap/>
            <w:vAlign w:val="center"/>
            <w:hideMark/>
          </w:tcPr>
          <w:p w14:paraId="4846B2C0" w14:textId="77777777" w:rsidR="001D6419" w:rsidRPr="0028568D" w:rsidRDefault="000F5B51" w:rsidP="003F10AD">
            <w:pPr>
              <w:spacing w:line="240" w:lineRule="auto"/>
              <w:contextualSpacing/>
              <w:rPr>
                <w:rFonts w:cs="Times New Roman"/>
                <w:color w:val="000000"/>
                <w:sz w:val="22"/>
              </w:rPr>
            </w:pPr>
            <w:r w:rsidRPr="005D5762">
              <w:rPr>
                <w:rFonts w:cs="Times New Roman"/>
                <w:color w:val="000000"/>
                <w:sz w:val="22"/>
              </w:rPr>
              <w:t>Property Damage</w:t>
            </w:r>
          </w:p>
        </w:tc>
        <w:tc>
          <w:tcPr>
            <w:tcW w:w="706" w:type="dxa"/>
            <w:shd w:val="clear" w:color="000000" w:fill="FFFFFF"/>
            <w:noWrap/>
            <w:vAlign w:val="center"/>
            <w:hideMark/>
          </w:tcPr>
          <w:p w14:paraId="5B44519B" w14:textId="77777777" w:rsidR="001D6419" w:rsidRPr="00897AED" w:rsidRDefault="000F5B51" w:rsidP="003F10AD">
            <w:pPr>
              <w:spacing w:line="240" w:lineRule="auto"/>
              <w:contextualSpacing/>
              <w:jc w:val="center"/>
              <w:rPr>
                <w:rFonts w:cs="Times New Roman"/>
                <w:color w:val="000000"/>
                <w:sz w:val="22"/>
              </w:rPr>
            </w:pPr>
            <w:r w:rsidRPr="00657E84">
              <w:rPr>
                <w:rFonts w:cs="Times New Roman"/>
                <w:color w:val="000000"/>
                <w:sz w:val="22"/>
              </w:rPr>
              <w:t>$3,599</w:t>
            </w:r>
          </w:p>
        </w:tc>
        <w:tc>
          <w:tcPr>
            <w:tcW w:w="810" w:type="dxa"/>
            <w:shd w:val="clear" w:color="000000" w:fill="FFFFFF"/>
            <w:noWrap/>
            <w:vAlign w:val="center"/>
            <w:hideMark/>
          </w:tcPr>
          <w:p w14:paraId="66FB89B0"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$2,692</w:t>
            </w:r>
          </w:p>
        </w:tc>
        <w:tc>
          <w:tcPr>
            <w:tcW w:w="900" w:type="dxa"/>
            <w:shd w:val="clear" w:color="000000" w:fill="FFFFFF"/>
            <w:noWrap/>
            <w:vAlign w:val="center"/>
            <w:hideMark/>
          </w:tcPr>
          <w:p w14:paraId="5ADE11BB"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$7,959</w:t>
            </w:r>
          </w:p>
        </w:tc>
        <w:tc>
          <w:tcPr>
            <w:tcW w:w="985" w:type="dxa"/>
            <w:shd w:val="clear" w:color="000000" w:fill="FFFFFF"/>
            <w:noWrap/>
            <w:vAlign w:val="center"/>
            <w:hideMark/>
          </w:tcPr>
          <w:p w14:paraId="145B2940"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$8,510</w:t>
            </w:r>
          </w:p>
        </w:tc>
        <w:tc>
          <w:tcPr>
            <w:tcW w:w="1080" w:type="dxa"/>
            <w:shd w:val="clear" w:color="000000" w:fill="FFFFFF"/>
            <w:noWrap/>
            <w:vAlign w:val="center"/>
            <w:hideMark/>
          </w:tcPr>
          <w:p w14:paraId="084A2876"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$16,027</w:t>
            </w:r>
          </w:p>
        </w:tc>
        <w:tc>
          <w:tcPr>
            <w:tcW w:w="1080" w:type="dxa"/>
            <w:shd w:val="clear" w:color="000000" w:fill="FFFFFF"/>
            <w:noWrap/>
            <w:vAlign w:val="center"/>
            <w:hideMark/>
          </w:tcPr>
          <w:p w14:paraId="1FFEF0CA"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$16,328</w:t>
            </w:r>
          </w:p>
        </w:tc>
        <w:tc>
          <w:tcPr>
            <w:tcW w:w="1080" w:type="dxa"/>
            <w:shd w:val="clear" w:color="000000" w:fill="FFFFFF"/>
            <w:noWrap/>
            <w:vAlign w:val="center"/>
            <w:hideMark/>
          </w:tcPr>
          <w:p w14:paraId="12683886"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$15,092</w:t>
            </w:r>
          </w:p>
        </w:tc>
        <w:tc>
          <w:tcPr>
            <w:tcW w:w="1080" w:type="dxa"/>
            <w:shd w:val="clear" w:color="000000" w:fill="FFFFFF"/>
            <w:noWrap/>
            <w:vAlign w:val="center"/>
            <w:hideMark/>
          </w:tcPr>
          <w:p w14:paraId="434D1691"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$11,212</w:t>
            </w:r>
          </w:p>
        </w:tc>
      </w:tr>
      <w:tr w:rsidR="00A15C2C" w14:paraId="19B17E86" w14:textId="77777777" w:rsidTr="003F10AD">
        <w:trPr>
          <w:trHeight w:val="285"/>
        </w:trPr>
        <w:tc>
          <w:tcPr>
            <w:tcW w:w="1814" w:type="dxa"/>
            <w:shd w:val="clear" w:color="000000" w:fill="FFFFFF"/>
            <w:noWrap/>
            <w:vAlign w:val="center"/>
            <w:hideMark/>
          </w:tcPr>
          <w:p w14:paraId="40C36247" w14:textId="77777777" w:rsidR="001D6419" w:rsidRPr="0028568D" w:rsidRDefault="000F5B51" w:rsidP="003F10AD">
            <w:pPr>
              <w:spacing w:line="240" w:lineRule="auto"/>
              <w:contextualSpacing/>
              <w:rPr>
                <w:rFonts w:cs="Times New Roman"/>
                <w:color w:val="000000"/>
                <w:sz w:val="22"/>
              </w:rPr>
            </w:pPr>
            <w:r w:rsidRPr="005D5762">
              <w:rPr>
                <w:rFonts w:cs="Times New Roman"/>
                <w:color w:val="000000"/>
                <w:sz w:val="22"/>
              </w:rPr>
              <w:t>QALYs</w:t>
            </w:r>
          </w:p>
        </w:tc>
        <w:tc>
          <w:tcPr>
            <w:tcW w:w="706" w:type="dxa"/>
            <w:shd w:val="clear" w:color="000000" w:fill="FFFFFF"/>
            <w:noWrap/>
            <w:vAlign w:val="center"/>
            <w:hideMark/>
          </w:tcPr>
          <w:p w14:paraId="229E0281" w14:textId="77777777" w:rsidR="001D6419" w:rsidRPr="00897AED" w:rsidRDefault="000F5B51" w:rsidP="003F10AD">
            <w:pPr>
              <w:spacing w:line="240" w:lineRule="auto"/>
              <w:contextualSpacing/>
              <w:jc w:val="center"/>
              <w:rPr>
                <w:rFonts w:cs="Times New Roman"/>
                <w:color w:val="000000"/>
                <w:sz w:val="22"/>
              </w:rPr>
            </w:pPr>
            <w:r w:rsidRPr="00657E84">
              <w:rPr>
                <w:rFonts w:cs="Times New Roman"/>
                <w:color w:val="000000"/>
                <w:sz w:val="22"/>
              </w:rPr>
              <w:t>$0</w:t>
            </w:r>
          </w:p>
        </w:tc>
        <w:tc>
          <w:tcPr>
            <w:tcW w:w="810" w:type="dxa"/>
            <w:shd w:val="clear" w:color="000000" w:fill="FFFFFF"/>
            <w:noWrap/>
            <w:vAlign w:val="center"/>
            <w:hideMark/>
          </w:tcPr>
          <w:p w14:paraId="22D2D7FF"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$0</w:t>
            </w:r>
          </w:p>
        </w:tc>
        <w:tc>
          <w:tcPr>
            <w:tcW w:w="900" w:type="dxa"/>
            <w:shd w:val="clear" w:color="000000" w:fill="FFFFFF"/>
            <w:noWrap/>
            <w:vAlign w:val="center"/>
            <w:hideMark/>
          </w:tcPr>
          <w:p w14:paraId="0DB50FE8"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$23,241</w:t>
            </w:r>
          </w:p>
        </w:tc>
        <w:tc>
          <w:tcPr>
            <w:tcW w:w="985" w:type="dxa"/>
            <w:shd w:val="clear" w:color="000000" w:fill="FFFFFF"/>
            <w:noWrap/>
            <w:vAlign w:val="center"/>
            <w:hideMark/>
          </w:tcPr>
          <w:p w14:paraId="762FE895"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$364,113</w:t>
            </w:r>
          </w:p>
        </w:tc>
        <w:tc>
          <w:tcPr>
            <w:tcW w:w="1080" w:type="dxa"/>
            <w:shd w:val="clear" w:color="000000" w:fill="FFFFFF"/>
            <w:noWrap/>
            <w:vAlign w:val="center"/>
            <w:hideMark/>
          </w:tcPr>
          <w:p w14:paraId="26FA89E7"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$813,444</w:t>
            </w:r>
          </w:p>
        </w:tc>
        <w:tc>
          <w:tcPr>
            <w:tcW w:w="1080" w:type="dxa"/>
            <w:shd w:val="clear" w:color="000000" w:fill="FFFFFF"/>
            <w:noWrap/>
            <w:vAlign w:val="center"/>
            <w:hideMark/>
          </w:tcPr>
          <w:p w14:paraId="74891A70"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$2,060,724</w:t>
            </w:r>
          </w:p>
        </w:tc>
        <w:tc>
          <w:tcPr>
            <w:tcW w:w="1080" w:type="dxa"/>
            <w:shd w:val="clear" w:color="000000" w:fill="FFFFFF"/>
            <w:noWrap/>
            <w:vAlign w:val="center"/>
            <w:hideMark/>
          </w:tcPr>
          <w:p w14:paraId="4AC82B61"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$4,594,020</w:t>
            </w:r>
          </w:p>
        </w:tc>
        <w:tc>
          <w:tcPr>
            <w:tcW w:w="1080" w:type="dxa"/>
            <w:shd w:val="clear" w:color="000000" w:fill="FFFFFF"/>
            <w:noWrap/>
            <w:vAlign w:val="center"/>
            <w:hideMark/>
          </w:tcPr>
          <w:p w14:paraId="7C350944"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$7,747,082</w:t>
            </w:r>
          </w:p>
        </w:tc>
      </w:tr>
      <w:tr w:rsidR="00A15C2C" w14:paraId="1D816206" w14:textId="77777777" w:rsidTr="003F10AD">
        <w:trPr>
          <w:trHeight w:val="285"/>
        </w:trPr>
        <w:tc>
          <w:tcPr>
            <w:tcW w:w="1814" w:type="dxa"/>
            <w:shd w:val="clear" w:color="000000" w:fill="FFFFFF"/>
            <w:noWrap/>
            <w:vAlign w:val="center"/>
            <w:hideMark/>
          </w:tcPr>
          <w:p w14:paraId="494FA83B" w14:textId="77777777" w:rsidR="001D6419" w:rsidRPr="0028568D" w:rsidRDefault="000F5B51" w:rsidP="003F10AD">
            <w:pPr>
              <w:spacing w:line="240" w:lineRule="auto"/>
              <w:contextualSpacing/>
              <w:rPr>
                <w:rFonts w:cs="Times New Roman"/>
                <w:color w:val="000000"/>
                <w:sz w:val="22"/>
              </w:rPr>
            </w:pPr>
            <w:r w:rsidRPr="005D5762">
              <w:rPr>
                <w:rFonts w:cs="Times New Roman"/>
                <w:color w:val="000000"/>
                <w:sz w:val="22"/>
              </w:rPr>
              <w:t xml:space="preserve">Total </w:t>
            </w:r>
          </w:p>
        </w:tc>
        <w:tc>
          <w:tcPr>
            <w:tcW w:w="706" w:type="dxa"/>
            <w:shd w:val="clear" w:color="000000" w:fill="FFFFFF"/>
            <w:noWrap/>
            <w:vAlign w:val="center"/>
            <w:hideMark/>
          </w:tcPr>
          <w:p w14:paraId="0FF5B933" w14:textId="77777777" w:rsidR="001D6419" w:rsidRPr="00897AED" w:rsidRDefault="000F5B51" w:rsidP="003F10AD">
            <w:pPr>
              <w:spacing w:line="240" w:lineRule="auto"/>
              <w:contextualSpacing/>
              <w:jc w:val="center"/>
              <w:rPr>
                <w:rFonts w:cs="Times New Roman"/>
                <w:color w:val="000000"/>
                <w:sz w:val="22"/>
              </w:rPr>
            </w:pPr>
            <w:r w:rsidRPr="00657E84">
              <w:rPr>
                <w:rFonts w:cs="Times New Roman"/>
                <w:color w:val="000000"/>
                <w:sz w:val="22"/>
              </w:rPr>
              <w:t>$6,075</w:t>
            </w:r>
          </w:p>
        </w:tc>
        <w:tc>
          <w:tcPr>
            <w:tcW w:w="810" w:type="dxa"/>
            <w:shd w:val="clear" w:color="000000" w:fill="FFFFFF"/>
            <w:noWrap/>
            <w:vAlign w:val="center"/>
            <w:hideMark/>
          </w:tcPr>
          <w:p w14:paraId="60CEA43B"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$4,380</w:t>
            </w:r>
          </w:p>
        </w:tc>
        <w:tc>
          <w:tcPr>
            <w:tcW w:w="900" w:type="dxa"/>
            <w:shd w:val="clear" w:color="000000" w:fill="FFFFFF"/>
            <w:noWrap/>
            <w:vAlign w:val="center"/>
            <w:hideMark/>
          </w:tcPr>
          <w:p w14:paraId="727F48F1"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$43,943</w:t>
            </w:r>
          </w:p>
        </w:tc>
        <w:tc>
          <w:tcPr>
            <w:tcW w:w="985" w:type="dxa"/>
            <w:shd w:val="clear" w:color="000000" w:fill="FFFFFF"/>
            <w:noWrap/>
            <w:vAlign w:val="center"/>
            <w:hideMark/>
          </w:tcPr>
          <w:p w14:paraId="181E39C4"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$422,866</w:t>
            </w:r>
          </w:p>
        </w:tc>
        <w:tc>
          <w:tcPr>
            <w:tcW w:w="1080" w:type="dxa"/>
            <w:shd w:val="clear" w:color="000000" w:fill="FFFFFF"/>
            <w:noWrap/>
            <w:vAlign w:val="center"/>
            <w:hideMark/>
          </w:tcPr>
          <w:p w14:paraId="5A9AE38D"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$1,000,572</w:t>
            </w:r>
          </w:p>
        </w:tc>
        <w:tc>
          <w:tcPr>
            <w:tcW w:w="1080" w:type="dxa"/>
            <w:shd w:val="clear" w:color="000000" w:fill="FFFFFF"/>
            <w:noWrap/>
            <w:vAlign w:val="center"/>
            <w:hideMark/>
          </w:tcPr>
          <w:p w14:paraId="03187FC7"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$2,455,332</w:t>
            </w:r>
          </w:p>
        </w:tc>
        <w:tc>
          <w:tcPr>
            <w:tcW w:w="1080" w:type="dxa"/>
            <w:shd w:val="clear" w:color="000000" w:fill="FFFFFF"/>
            <w:noWrap/>
            <w:vAlign w:val="center"/>
            <w:hideMark/>
          </w:tcPr>
          <w:p w14:paraId="5DEAA9D1"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$5,595,109</w:t>
            </w:r>
          </w:p>
        </w:tc>
        <w:tc>
          <w:tcPr>
            <w:tcW w:w="1080" w:type="dxa"/>
            <w:shd w:val="clear" w:color="000000" w:fill="FFFFFF"/>
            <w:noWrap/>
            <w:vAlign w:val="center"/>
            <w:hideMark/>
          </w:tcPr>
          <w:p w14:paraId="0E819D6F"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$9,145,998</w:t>
            </w:r>
          </w:p>
        </w:tc>
      </w:tr>
      <w:tr w:rsidR="00A15C2C" w14:paraId="1C4E2113" w14:textId="77777777" w:rsidTr="003F10AD">
        <w:trPr>
          <w:trHeight w:val="285"/>
        </w:trPr>
        <w:tc>
          <w:tcPr>
            <w:tcW w:w="1814" w:type="dxa"/>
            <w:shd w:val="clear" w:color="000000" w:fill="FFFFFF"/>
            <w:noWrap/>
            <w:vAlign w:val="center"/>
            <w:hideMark/>
          </w:tcPr>
          <w:p w14:paraId="079A4A96" w14:textId="77777777" w:rsidR="001D6419" w:rsidRPr="0028568D" w:rsidRDefault="000F5B51" w:rsidP="003F10AD">
            <w:pPr>
              <w:spacing w:line="240" w:lineRule="auto"/>
              <w:contextualSpacing/>
              <w:rPr>
                <w:rFonts w:cs="Times New Roman"/>
                <w:color w:val="000000"/>
                <w:sz w:val="22"/>
              </w:rPr>
            </w:pPr>
            <w:r w:rsidRPr="005D5762">
              <w:rPr>
                <w:rFonts w:cs="Times New Roman"/>
                <w:color w:val="000000"/>
                <w:sz w:val="22"/>
              </w:rPr>
              <w:t>Relative QALYS</w:t>
            </w:r>
          </w:p>
        </w:tc>
        <w:tc>
          <w:tcPr>
            <w:tcW w:w="706" w:type="dxa"/>
            <w:shd w:val="clear" w:color="000000" w:fill="FFFFFF"/>
            <w:noWrap/>
            <w:vAlign w:val="center"/>
            <w:hideMark/>
          </w:tcPr>
          <w:p w14:paraId="452C1E21" w14:textId="77777777" w:rsidR="001D6419" w:rsidRPr="00897AED" w:rsidRDefault="000F5B51" w:rsidP="003F10AD">
            <w:pPr>
              <w:spacing w:line="240" w:lineRule="auto"/>
              <w:contextualSpacing/>
              <w:jc w:val="center"/>
              <w:rPr>
                <w:rFonts w:cs="Times New Roman"/>
                <w:color w:val="000000"/>
                <w:sz w:val="22"/>
              </w:rPr>
            </w:pPr>
            <w:r w:rsidRPr="00657E84">
              <w:rPr>
                <w:rFonts w:cs="Times New Roman"/>
                <w:color w:val="000000"/>
                <w:sz w:val="22"/>
              </w:rPr>
              <w:t>0.0000</w:t>
            </w:r>
          </w:p>
        </w:tc>
        <w:tc>
          <w:tcPr>
            <w:tcW w:w="810" w:type="dxa"/>
            <w:shd w:val="clear" w:color="000000" w:fill="FFFFFF"/>
            <w:noWrap/>
            <w:vAlign w:val="center"/>
            <w:hideMark/>
          </w:tcPr>
          <w:p w14:paraId="488CB653"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0.0000</w:t>
            </w:r>
          </w:p>
        </w:tc>
        <w:tc>
          <w:tcPr>
            <w:tcW w:w="900" w:type="dxa"/>
            <w:shd w:val="clear" w:color="000000" w:fill="FFFFFF"/>
            <w:noWrap/>
            <w:vAlign w:val="center"/>
            <w:hideMark/>
          </w:tcPr>
          <w:p w14:paraId="593B5BED"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0.0030</w:t>
            </w:r>
          </w:p>
        </w:tc>
        <w:tc>
          <w:tcPr>
            <w:tcW w:w="985" w:type="dxa"/>
            <w:shd w:val="clear" w:color="000000" w:fill="FFFFFF"/>
            <w:noWrap/>
            <w:vAlign w:val="center"/>
            <w:hideMark/>
          </w:tcPr>
          <w:p w14:paraId="554281C4"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0.0470</w:t>
            </w:r>
          </w:p>
        </w:tc>
        <w:tc>
          <w:tcPr>
            <w:tcW w:w="1080" w:type="dxa"/>
            <w:shd w:val="clear" w:color="000000" w:fill="FFFFFF"/>
            <w:noWrap/>
            <w:vAlign w:val="center"/>
            <w:hideMark/>
          </w:tcPr>
          <w:p w14:paraId="737920E7"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0.1050</w:t>
            </w:r>
          </w:p>
        </w:tc>
        <w:tc>
          <w:tcPr>
            <w:tcW w:w="1080" w:type="dxa"/>
            <w:shd w:val="clear" w:color="000000" w:fill="FFFFFF"/>
            <w:noWrap/>
            <w:vAlign w:val="center"/>
            <w:hideMark/>
          </w:tcPr>
          <w:p w14:paraId="08F042EB"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0.2660</w:t>
            </w:r>
          </w:p>
        </w:tc>
        <w:tc>
          <w:tcPr>
            <w:tcW w:w="1080" w:type="dxa"/>
            <w:shd w:val="clear" w:color="000000" w:fill="FFFFFF"/>
            <w:noWrap/>
            <w:vAlign w:val="center"/>
            <w:hideMark/>
          </w:tcPr>
          <w:p w14:paraId="0443F4BC"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0.5930</w:t>
            </w:r>
          </w:p>
        </w:tc>
        <w:tc>
          <w:tcPr>
            <w:tcW w:w="1080" w:type="dxa"/>
            <w:shd w:val="clear" w:color="000000" w:fill="FFFFFF"/>
            <w:noWrap/>
            <w:vAlign w:val="center"/>
            <w:hideMark/>
          </w:tcPr>
          <w:p w14:paraId="3E108F16" w14:textId="77777777" w:rsidR="001D6419" w:rsidRPr="005E3D4C" w:rsidRDefault="000F5B51" w:rsidP="003F10AD">
            <w:pPr>
              <w:spacing w:line="240" w:lineRule="auto"/>
              <w:contextualSpacing/>
              <w:jc w:val="center"/>
              <w:rPr>
                <w:rFonts w:cs="Times New Roman"/>
                <w:color w:val="000000"/>
                <w:sz w:val="22"/>
              </w:rPr>
            </w:pPr>
            <w:r w:rsidRPr="005E3D4C">
              <w:rPr>
                <w:rFonts w:cs="Times New Roman"/>
                <w:color w:val="000000"/>
                <w:sz w:val="22"/>
              </w:rPr>
              <w:t>1.0000</w:t>
            </w:r>
          </w:p>
        </w:tc>
      </w:tr>
    </w:tbl>
    <w:p w14:paraId="7C57A6D2" w14:textId="77777777" w:rsidR="001D6419" w:rsidRPr="003F10AD" w:rsidRDefault="000F5B51" w:rsidP="003F10AD">
      <w:pPr>
        <w:spacing w:before="240" w:after="240" w:line="240" w:lineRule="auto"/>
        <w:contextualSpacing/>
        <w:rPr>
          <w:rFonts w:cs="Times New Roman"/>
          <w:sz w:val="18"/>
          <w:szCs w:val="16"/>
        </w:rPr>
      </w:pPr>
      <w:r w:rsidRPr="003F10AD">
        <w:rPr>
          <w:rFonts w:cs="Times New Roman"/>
          <w:sz w:val="18"/>
          <w:szCs w:val="16"/>
        </w:rPr>
        <w:t xml:space="preserve">Source: Blincoe, L. J., Miller, T. R., Zaloshnja, E., &amp; Lawrence, B. A. (2014, May), The economic and societal impact of motor vehicle crashes, 2010 </w:t>
      </w:r>
    </w:p>
    <w:p w14:paraId="49A7CD16" w14:textId="77777777" w:rsidR="001D6419" w:rsidRPr="003F10AD" w:rsidRDefault="000F5B51" w:rsidP="003F10AD">
      <w:pPr>
        <w:spacing w:before="240" w:after="240" w:line="240" w:lineRule="auto"/>
        <w:contextualSpacing/>
        <w:rPr>
          <w:rFonts w:cs="Times New Roman"/>
          <w:sz w:val="18"/>
          <w:szCs w:val="16"/>
        </w:rPr>
      </w:pPr>
      <w:r w:rsidRPr="003F10AD">
        <w:rPr>
          <w:rFonts w:cs="Times New Roman"/>
          <w:sz w:val="18"/>
          <w:szCs w:val="16"/>
        </w:rPr>
        <w:t>(Report No. DOT HS 812 013), Washington, DC: National Highway Traffic Safety Administration, Revised 2015</w:t>
      </w:r>
    </w:p>
    <w:p w14:paraId="45739624" w14:textId="77777777" w:rsidR="001D6419" w:rsidRDefault="000F5B51" w:rsidP="003F10AD">
      <w:pPr>
        <w:pStyle w:val="Heading2"/>
        <w:spacing w:line="240" w:lineRule="auto"/>
      </w:pPr>
      <w:bookmarkStart w:id="2002" w:name="_Toc127268963"/>
      <w:bookmarkStart w:id="2003" w:name="_Toc126591479"/>
      <w:bookmarkStart w:id="2004" w:name="_Toc126915003"/>
      <w:bookmarkStart w:id="2005" w:name="_Toc127268964"/>
      <w:bookmarkStart w:id="2006" w:name="_Ref125981619"/>
      <w:bookmarkStart w:id="2007" w:name="_Toc142903015"/>
      <w:bookmarkEnd w:id="2002"/>
      <w:bookmarkEnd w:id="2003"/>
      <w:bookmarkEnd w:id="2004"/>
      <w:bookmarkEnd w:id="2005"/>
      <w:r>
        <w:t xml:space="preserve">Appendix </w:t>
      </w:r>
      <w:r w:rsidR="00707AAC">
        <w:t>C</w:t>
      </w:r>
      <w:bookmarkEnd w:id="2006"/>
      <w:bookmarkEnd w:id="2007"/>
    </w:p>
    <w:p w14:paraId="7E53B20D" w14:textId="2C1F6F12" w:rsidR="00C9167C" w:rsidRDefault="000F5B51" w:rsidP="00CE2EC1">
      <w:pPr>
        <w:spacing w:after="0"/>
        <w:rPr>
          <w:rFonts w:eastAsia="Times New Roman" w:cs="Times New Roman"/>
          <w:szCs w:val="24"/>
        </w:rPr>
        <w:sectPr w:rsidR="00C9167C" w:rsidSect="00D07617">
          <w:headerReference w:type="default" r:id="rId17"/>
          <w:pgSz w:w="12240" w:h="15840" w:code="1"/>
          <w:pgMar w:top="1440" w:right="1440" w:bottom="1440" w:left="1440" w:header="720" w:footer="720" w:gutter="0"/>
          <w:cols w:space="720"/>
          <w:docGrid w:linePitch="360"/>
        </w:sectPr>
      </w:pPr>
      <w:r>
        <w:rPr>
          <w:rFonts w:eastAsia="Times New Roman" w:cs="Times New Roman"/>
          <w:szCs w:val="24"/>
        </w:rPr>
        <w:fldChar w:fldCharType="begin"/>
      </w:r>
      <w:r>
        <w:rPr>
          <w:rFonts w:eastAsia="Times New Roman" w:cs="Times New Roman"/>
          <w:szCs w:val="24"/>
        </w:rPr>
        <w:instrText xml:space="preserve"> REF _Ref125977843 \h </w:instrText>
      </w:r>
      <w:r>
        <w:rPr>
          <w:rFonts w:eastAsia="Times New Roman" w:cs="Times New Roman"/>
          <w:szCs w:val="24"/>
        </w:rPr>
      </w:r>
      <w:r>
        <w:rPr>
          <w:rFonts w:eastAsia="Times New Roman" w:cs="Times New Roman"/>
          <w:szCs w:val="24"/>
        </w:rPr>
        <w:fldChar w:fldCharType="separate"/>
      </w:r>
      <w:r w:rsidR="00A65CB3" w:rsidRPr="00494B3C">
        <w:t xml:space="preserve">Table </w:t>
      </w:r>
      <w:r w:rsidR="00A65CB3">
        <w:rPr>
          <w:noProof/>
        </w:rPr>
        <w:t>106</w:t>
      </w:r>
      <w:r>
        <w:rPr>
          <w:rFonts w:eastAsia="Times New Roman" w:cs="Times New Roman"/>
          <w:szCs w:val="24"/>
        </w:rPr>
        <w:fldChar w:fldCharType="end"/>
      </w:r>
      <w:r>
        <w:rPr>
          <w:rFonts w:eastAsia="Times New Roman" w:cs="Times New Roman"/>
          <w:szCs w:val="24"/>
        </w:rPr>
        <w:t xml:space="preserve"> presents the actual and estimated </w:t>
      </w:r>
      <w:r w:rsidR="00560C60">
        <w:rPr>
          <w:rFonts w:eastAsia="Times New Roman" w:cs="Times New Roman"/>
          <w:szCs w:val="24"/>
        </w:rPr>
        <w:t>installation rates for ESC from the FRIA for FMVSS No. 126.</w:t>
      </w:r>
      <w:r>
        <w:rPr>
          <w:rFonts w:eastAsia="Times New Roman" w:cs="Times New Roman"/>
          <w:szCs w:val="24"/>
        </w:rPr>
        <w:t xml:space="preserve"> </w:t>
      </w:r>
    </w:p>
    <w:p w14:paraId="14E1F6BD" w14:textId="247DB446" w:rsidR="00C9167C" w:rsidRPr="00494C1E" w:rsidRDefault="000F5B51" w:rsidP="00C9167C">
      <w:pPr>
        <w:pStyle w:val="Caption"/>
        <w:ind w:left="2160"/>
      </w:pPr>
      <w:bookmarkStart w:id="2008" w:name="_Ref125977843"/>
      <w:bookmarkStart w:id="2009" w:name="_Ref125977839"/>
      <w:r w:rsidRPr="00494B3C">
        <w:lastRenderedPageBreak/>
        <w:t xml:space="preserve">Table </w:t>
      </w:r>
      <w:r w:rsidRPr="00BA0F90">
        <w:fldChar w:fldCharType="begin"/>
      </w:r>
      <w:r w:rsidRPr="00494C1E">
        <w:instrText xml:space="preserve"> SEQ Table \* ARABIC </w:instrText>
      </w:r>
      <w:r w:rsidRPr="00BA0F90">
        <w:fldChar w:fldCharType="separate"/>
      </w:r>
      <w:r w:rsidR="00A65CB3">
        <w:rPr>
          <w:noProof/>
        </w:rPr>
        <w:t>106</w:t>
      </w:r>
      <w:r w:rsidRPr="00BA0F90">
        <w:fldChar w:fldCharType="end"/>
      </w:r>
      <w:bookmarkEnd w:id="2008"/>
      <w:r w:rsidRPr="00494B3C">
        <w:t xml:space="preserve">: </w:t>
      </w:r>
      <w:r w:rsidRPr="00BA0F90">
        <w:t>Actual and Estimated Installations in FMVSS No. 126 (ESC) Final Regulatory Analysis (% of the fleet)</w:t>
      </w:r>
      <w:bookmarkEnd w:id="2009"/>
    </w:p>
    <w:tbl>
      <w:tblPr>
        <w:tblW w:w="13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31"/>
        <w:gridCol w:w="1136"/>
        <w:gridCol w:w="1078"/>
        <w:gridCol w:w="1116"/>
        <w:gridCol w:w="1232"/>
        <w:gridCol w:w="1126"/>
        <w:gridCol w:w="1203"/>
        <w:gridCol w:w="1031"/>
        <w:gridCol w:w="1116"/>
        <w:gridCol w:w="1687"/>
        <w:gridCol w:w="1687"/>
      </w:tblGrid>
      <w:tr w:rsidR="00A15C2C" w14:paraId="16415C67" w14:textId="77777777" w:rsidTr="004B5470">
        <w:trPr>
          <w:trHeight w:val="614"/>
        </w:trPr>
        <w:tc>
          <w:tcPr>
            <w:tcW w:w="1269" w:type="dxa"/>
            <w:vMerge w:val="restart"/>
            <w:tcBorders>
              <w:bottom w:val="single" w:sz="4" w:space="0" w:color="auto"/>
            </w:tcBorders>
            <w:shd w:val="clear" w:color="auto" w:fill="D9D9D9" w:themeFill="background1" w:themeFillShade="D9"/>
            <w:noWrap/>
            <w:vAlign w:val="center"/>
            <w:hideMark/>
          </w:tcPr>
          <w:p w14:paraId="3BC364E3" w14:textId="77777777" w:rsidR="00C9167C" w:rsidRPr="003D4682" w:rsidRDefault="000F5B51" w:rsidP="004B5470">
            <w:pPr>
              <w:spacing w:after="0" w:line="240" w:lineRule="auto"/>
              <w:contextualSpacing/>
              <w:rPr>
                <w:rFonts w:cs="Times New Roman"/>
                <w:b/>
                <w:bCs/>
                <w:szCs w:val="24"/>
              </w:rPr>
            </w:pPr>
            <w:r>
              <w:rPr>
                <w:rFonts w:cs="Times New Roman"/>
                <w:b/>
                <w:bCs/>
                <w:szCs w:val="24"/>
              </w:rPr>
              <w:t>Model Year</w:t>
            </w:r>
          </w:p>
        </w:tc>
        <w:tc>
          <w:tcPr>
            <w:tcW w:w="2214" w:type="dxa"/>
            <w:gridSpan w:val="2"/>
            <w:tcBorders>
              <w:bottom w:val="single" w:sz="4" w:space="0" w:color="auto"/>
            </w:tcBorders>
            <w:shd w:val="clear" w:color="auto" w:fill="D9D9D9" w:themeFill="background1" w:themeFillShade="D9"/>
            <w:noWrap/>
            <w:vAlign w:val="center"/>
            <w:hideMark/>
          </w:tcPr>
          <w:p w14:paraId="52022318" w14:textId="77777777" w:rsidR="00C9167C" w:rsidRPr="003D4682" w:rsidRDefault="000F5B51" w:rsidP="004B5470">
            <w:pPr>
              <w:spacing w:after="0" w:line="240" w:lineRule="auto"/>
              <w:contextualSpacing/>
              <w:jc w:val="center"/>
              <w:rPr>
                <w:rFonts w:cs="Times New Roman"/>
                <w:b/>
                <w:bCs/>
                <w:szCs w:val="24"/>
              </w:rPr>
            </w:pPr>
            <w:r w:rsidRPr="003D4682">
              <w:rPr>
                <w:rFonts w:cs="Times New Roman"/>
                <w:b/>
                <w:bCs/>
                <w:szCs w:val="24"/>
              </w:rPr>
              <w:t>DOM PC</w:t>
            </w:r>
          </w:p>
        </w:tc>
        <w:tc>
          <w:tcPr>
            <w:tcW w:w="2348" w:type="dxa"/>
            <w:gridSpan w:val="2"/>
            <w:tcBorders>
              <w:bottom w:val="single" w:sz="4" w:space="0" w:color="auto"/>
            </w:tcBorders>
            <w:shd w:val="clear" w:color="auto" w:fill="D9D9D9" w:themeFill="background1" w:themeFillShade="D9"/>
            <w:noWrap/>
            <w:vAlign w:val="center"/>
            <w:hideMark/>
          </w:tcPr>
          <w:p w14:paraId="37092643" w14:textId="77777777" w:rsidR="00C9167C" w:rsidRPr="003D4682" w:rsidRDefault="000F5B51" w:rsidP="004B5470">
            <w:pPr>
              <w:spacing w:after="0" w:line="240" w:lineRule="auto"/>
              <w:contextualSpacing/>
              <w:jc w:val="center"/>
              <w:rPr>
                <w:rFonts w:cs="Times New Roman"/>
                <w:b/>
                <w:bCs/>
                <w:szCs w:val="24"/>
              </w:rPr>
            </w:pPr>
            <w:r w:rsidRPr="003D4682">
              <w:rPr>
                <w:rFonts w:cs="Times New Roman"/>
                <w:b/>
                <w:bCs/>
                <w:szCs w:val="24"/>
              </w:rPr>
              <w:t>DOM LTV</w:t>
            </w:r>
          </w:p>
        </w:tc>
        <w:tc>
          <w:tcPr>
            <w:tcW w:w="2329" w:type="dxa"/>
            <w:gridSpan w:val="2"/>
            <w:tcBorders>
              <w:bottom w:val="single" w:sz="4" w:space="0" w:color="auto"/>
            </w:tcBorders>
            <w:shd w:val="clear" w:color="auto" w:fill="D9D9D9" w:themeFill="background1" w:themeFillShade="D9"/>
            <w:noWrap/>
            <w:vAlign w:val="center"/>
            <w:hideMark/>
          </w:tcPr>
          <w:p w14:paraId="750DAA4F" w14:textId="77777777" w:rsidR="00C9167C" w:rsidRPr="003D4682" w:rsidRDefault="000F5B51" w:rsidP="004B5470">
            <w:pPr>
              <w:spacing w:after="0" w:line="240" w:lineRule="auto"/>
              <w:contextualSpacing/>
              <w:jc w:val="center"/>
              <w:rPr>
                <w:rFonts w:cs="Times New Roman"/>
                <w:b/>
                <w:bCs/>
                <w:szCs w:val="24"/>
              </w:rPr>
            </w:pPr>
            <w:r w:rsidRPr="003D4682">
              <w:rPr>
                <w:rFonts w:cs="Times New Roman"/>
                <w:b/>
                <w:bCs/>
                <w:szCs w:val="24"/>
              </w:rPr>
              <w:t>IMP PC</w:t>
            </w:r>
          </w:p>
        </w:tc>
        <w:tc>
          <w:tcPr>
            <w:tcW w:w="2147" w:type="dxa"/>
            <w:gridSpan w:val="2"/>
            <w:tcBorders>
              <w:bottom w:val="single" w:sz="4" w:space="0" w:color="auto"/>
            </w:tcBorders>
            <w:shd w:val="clear" w:color="auto" w:fill="D9D9D9" w:themeFill="background1" w:themeFillShade="D9"/>
            <w:noWrap/>
            <w:vAlign w:val="center"/>
            <w:hideMark/>
          </w:tcPr>
          <w:p w14:paraId="284B8DF7" w14:textId="77777777" w:rsidR="00C9167C" w:rsidRPr="003D4682" w:rsidRDefault="000F5B51" w:rsidP="004B5470">
            <w:pPr>
              <w:spacing w:after="0" w:line="240" w:lineRule="auto"/>
              <w:contextualSpacing/>
              <w:jc w:val="center"/>
              <w:rPr>
                <w:rFonts w:cs="Times New Roman"/>
                <w:b/>
                <w:bCs/>
                <w:szCs w:val="24"/>
              </w:rPr>
            </w:pPr>
            <w:r w:rsidRPr="003D4682">
              <w:rPr>
                <w:rFonts w:cs="Times New Roman"/>
                <w:b/>
                <w:bCs/>
                <w:szCs w:val="24"/>
              </w:rPr>
              <w:t>IMP LTV</w:t>
            </w:r>
          </w:p>
        </w:tc>
        <w:tc>
          <w:tcPr>
            <w:tcW w:w="1718" w:type="dxa"/>
            <w:vMerge w:val="restart"/>
            <w:shd w:val="clear" w:color="auto" w:fill="D9D9D9" w:themeFill="background1" w:themeFillShade="D9"/>
            <w:vAlign w:val="center"/>
          </w:tcPr>
          <w:p w14:paraId="7591FA8B" w14:textId="77777777" w:rsidR="00C9167C" w:rsidRPr="003D4682" w:rsidRDefault="000F5B51" w:rsidP="004B5470">
            <w:pPr>
              <w:spacing w:after="0" w:line="240" w:lineRule="auto"/>
              <w:contextualSpacing/>
              <w:jc w:val="center"/>
              <w:rPr>
                <w:rFonts w:cs="Times New Roman"/>
                <w:b/>
                <w:bCs/>
                <w:szCs w:val="24"/>
              </w:rPr>
            </w:pPr>
            <w:r w:rsidRPr="003D4682">
              <w:rPr>
                <w:rFonts w:cs="Times New Roman"/>
                <w:b/>
                <w:bCs/>
                <w:szCs w:val="24"/>
              </w:rPr>
              <w:t>PC % ESC</w:t>
            </w:r>
          </w:p>
        </w:tc>
        <w:tc>
          <w:tcPr>
            <w:tcW w:w="1718" w:type="dxa"/>
            <w:vMerge w:val="restart"/>
            <w:shd w:val="clear" w:color="auto" w:fill="D9D9D9" w:themeFill="background1" w:themeFillShade="D9"/>
            <w:vAlign w:val="center"/>
          </w:tcPr>
          <w:p w14:paraId="7C45A113" w14:textId="77777777" w:rsidR="00C9167C" w:rsidRPr="003D4682" w:rsidRDefault="000F5B51" w:rsidP="004B5470">
            <w:pPr>
              <w:spacing w:after="0" w:line="240" w:lineRule="auto"/>
              <w:contextualSpacing/>
              <w:jc w:val="center"/>
              <w:rPr>
                <w:rFonts w:cs="Times New Roman"/>
                <w:b/>
                <w:bCs/>
                <w:szCs w:val="24"/>
              </w:rPr>
            </w:pPr>
            <w:r w:rsidRPr="003D4682">
              <w:rPr>
                <w:rFonts w:cs="Times New Roman"/>
                <w:b/>
                <w:bCs/>
                <w:szCs w:val="24"/>
              </w:rPr>
              <w:t>LTV % ESC</w:t>
            </w:r>
          </w:p>
        </w:tc>
      </w:tr>
      <w:tr w:rsidR="00A15C2C" w14:paraId="7462AF02" w14:textId="77777777" w:rsidTr="004B5470">
        <w:trPr>
          <w:trHeight w:val="288"/>
        </w:trPr>
        <w:tc>
          <w:tcPr>
            <w:tcW w:w="0" w:type="auto"/>
            <w:vMerge/>
            <w:shd w:val="clear" w:color="auto" w:fill="D9D9D9" w:themeFill="background1" w:themeFillShade="D9"/>
            <w:noWrap/>
            <w:vAlign w:val="center"/>
            <w:hideMark/>
          </w:tcPr>
          <w:p w14:paraId="648290B1" w14:textId="77777777" w:rsidR="00C9167C" w:rsidRPr="003D4682" w:rsidRDefault="00C9167C" w:rsidP="004B5470">
            <w:pPr>
              <w:spacing w:after="0" w:line="240" w:lineRule="auto"/>
              <w:contextualSpacing/>
              <w:rPr>
                <w:rFonts w:cs="Times New Roman"/>
                <w:b/>
                <w:bCs/>
                <w:szCs w:val="24"/>
              </w:rPr>
            </w:pPr>
          </w:p>
        </w:tc>
        <w:tc>
          <w:tcPr>
            <w:tcW w:w="1136" w:type="dxa"/>
            <w:shd w:val="clear" w:color="auto" w:fill="D9D9D9" w:themeFill="background1" w:themeFillShade="D9"/>
            <w:noWrap/>
            <w:vAlign w:val="center"/>
            <w:hideMark/>
          </w:tcPr>
          <w:p w14:paraId="7FF5B5C1" w14:textId="77777777" w:rsidR="00C9167C" w:rsidRPr="003D4682" w:rsidRDefault="000F5B51" w:rsidP="004B5470">
            <w:pPr>
              <w:spacing w:after="0" w:line="240" w:lineRule="auto"/>
              <w:contextualSpacing/>
              <w:jc w:val="center"/>
              <w:rPr>
                <w:rFonts w:cs="Times New Roman"/>
                <w:b/>
                <w:bCs/>
                <w:szCs w:val="24"/>
              </w:rPr>
            </w:pPr>
            <w:r w:rsidRPr="003D4682">
              <w:rPr>
                <w:rFonts w:cs="Times New Roman"/>
                <w:b/>
                <w:bCs/>
                <w:szCs w:val="24"/>
              </w:rPr>
              <w:t>ESC</w:t>
            </w:r>
          </w:p>
        </w:tc>
        <w:tc>
          <w:tcPr>
            <w:tcW w:w="1078" w:type="dxa"/>
            <w:shd w:val="clear" w:color="auto" w:fill="D9D9D9" w:themeFill="background1" w:themeFillShade="D9"/>
            <w:noWrap/>
            <w:vAlign w:val="center"/>
            <w:hideMark/>
          </w:tcPr>
          <w:p w14:paraId="104ABD0E" w14:textId="77777777" w:rsidR="00C9167C" w:rsidRPr="003D4682" w:rsidRDefault="000F5B51" w:rsidP="004B5470">
            <w:pPr>
              <w:spacing w:after="0" w:line="240" w:lineRule="auto"/>
              <w:contextualSpacing/>
              <w:jc w:val="center"/>
              <w:rPr>
                <w:rFonts w:cs="Times New Roman"/>
                <w:b/>
                <w:bCs/>
                <w:szCs w:val="24"/>
              </w:rPr>
            </w:pPr>
            <w:r w:rsidRPr="003D4682">
              <w:rPr>
                <w:rFonts w:cs="Times New Roman"/>
                <w:b/>
                <w:bCs/>
                <w:szCs w:val="24"/>
              </w:rPr>
              <w:t>Total Sales</w:t>
            </w:r>
          </w:p>
        </w:tc>
        <w:tc>
          <w:tcPr>
            <w:tcW w:w="1116" w:type="dxa"/>
            <w:shd w:val="clear" w:color="auto" w:fill="D9D9D9" w:themeFill="background1" w:themeFillShade="D9"/>
            <w:noWrap/>
            <w:vAlign w:val="center"/>
            <w:hideMark/>
          </w:tcPr>
          <w:p w14:paraId="1E437304" w14:textId="77777777" w:rsidR="00C9167C" w:rsidRPr="003D4682" w:rsidRDefault="000F5B51" w:rsidP="004B5470">
            <w:pPr>
              <w:spacing w:after="0" w:line="240" w:lineRule="auto"/>
              <w:contextualSpacing/>
              <w:jc w:val="center"/>
              <w:rPr>
                <w:rFonts w:cs="Times New Roman"/>
                <w:b/>
                <w:bCs/>
                <w:szCs w:val="24"/>
              </w:rPr>
            </w:pPr>
            <w:r w:rsidRPr="003D4682">
              <w:rPr>
                <w:rFonts w:cs="Times New Roman"/>
                <w:b/>
                <w:bCs/>
                <w:szCs w:val="24"/>
              </w:rPr>
              <w:t>ESC</w:t>
            </w:r>
          </w:p>
        </w:tc>
        <w:tc>
          <w:tcPr>
            <w:tcW w:w="1231" w:type="dxa"/>
            <w:shd w:val="clear" w:color="auto" w:fill="D9D9D9" w:themeFill="background1" w:themeFillShade="D9"/>
            <w:noWrap/>
            <w:vAlign w:val="center"/>
            <w:hideMark/>
          </w:tcPr>
          <w:p w14:paraId="1CA02B62" w14:textId="77777777" w:rsidR="00C9167C" w:rsidRPr="003D4682" w:rsidRDefault="000F5B51" w:rsidP="004B5470">
            <w:pPr>
              <w:spacing w:after="0" w:line="240" w:lineRule="auto"/>
              <w:contextualSpacing/>
              <w:jc w:val="center"/>
              <w:rPr>
                <w:rFonts w:cs="Times New Roman"/>
                <w:b/>
                <w:bCs/>
                <w:szCs w:val="24"/>
              </w:rPr>
            </w:pPr>
            <w:r w:rsidRPr="003D4682">
              <w:rPr>
                <w:rFonts w:cs="Times New Roman"/>
                <w:b/>
                <w:bCs/>
                <w:szCs w:val="24"/>
              </w:rPr>
              <w:t>Total Sales</w:t>
            </w:r>
          </w:p>
        </w:tc>
        <w:tc>
          <w:tcPr>
            <w:tcW w:w="1126" w:type="dxa"/>
            <w:shd w:val="clear" w:color="auto" w:fill="D9D9D9" w:themeFill="background1" w:themeFillShade="D9"/>
            <w:noWrap/>
            <w:vAlign w:val="center"/>
            <w:hideMark/>
          </w:tcPr>
          <w:p w14:paraId="47AD1AA7" w14:textId="77777777" w:rsidR="00C9167C" w:rsidRPr="003D4682" w:rsidRDefault="000F5B51" w:rsidP="004B5470">
            <w:pPr>
              <w:spacing w:after="0" w:line="240" w:lineRule="auto"/>
              <w:contextualSpacing/>
              <w:jc w:val="center"/>
              <w:rPr>
                <w:rFonts w:cs="Times New Roman"/>
                <w:b/>
                <w:bCs/>
                <w:szCs w:val="24"/>
              </w:rPr>
            </w:pPr>
            <w:r w:rsidRPr="003D4682">
              <w:rPr>
                <w:rFonts w:cs="Times New Roman"/>
                <w:b/>
                <w:bCs/>
                <w:szCs w:val="24"/>
              </w:rPr>
              <w:t>ESC</w:t>
            </w:r>
          </w:p>
        </w:tc>
        <w:tc>
          <w:tcPr>
            <w:tcW w:w="1202" w:type="dxa"/>
            <w:shd w:val="clear" w:color="auto" w:fill="D9D9D9" w:themeFill="background1" w:themeFillShade="D9"/>
            <w:noWrap/>
            <w:vAlign w:val="center"/>
            <w:hideMark/>
          </w:tcPr>
          <w:p w14:paraId="56E46084" w14:textId="77777777" w:rsidR="00C9167C" w:rsidRPr="003D4682" w:rsidRDefault="000F5B51" w:rsidP="004B5470">
            <w:pPr>
              <w:spacing w:after="0" w:line="240" w:lineRule="auto"/>
              <w:contextualSpacing/>
              <w:jc w:val="center"/>
              <w:rPr>
                <w:rFonts w:cs="Times New Roman"/>
                <w:b/>
                <w:bCs/>
                <w:szCs w:val="24"/>
              </w:rPr>
            </w:pPr>
            <w:r w:rsidRPr="003D4682">
              <w:rPr>
                <w:rFonts w:cs="Times New Roman"/>
                <w:b/>
                <w:bCs/>
                <w:szCs w:val="24"/>
              </w:rPr>
              <w:t>Total Sales</w:t>
            </w:r>
          </w:p>
        </w:tc>
        <w:tc>
          <w:tcPr>
            <w:tcW w:w="1031" w:type="dxa"/>
            <w:shd w:val="clear" w:color="auto" w:fill="D9D9D9" w:themeFill="background1" w:themeFillShade="D9"/>
            <w:noWrap/>
            <w:vAlign w:val="center"/>
            <w:hideMark/>
          </w:tcPr>
          <w:p w14:paraId="12579EB8" w14:textId="77777777" w:rsidR="00C9167C" w:rsidRPr="003D4682" w:rsidRDefault="000F5B51" w:rsidP="004B5470">
            <w:pPr>
              <w:spacing w:after="0" w:line="240" w:lineRule="auto"/>
              <w:contextualSpacing/>
              <w:jc w:val="center"/>
              <w:rPr>
                <w:rFonts w:cs="Times New Roman"/>
                <w:b/>
                <w:bCs/>
                <w:szCs w:val="24"/>
              </w:rPr>
            </w:pPr>
            <w:r w:rsidRPr="003D4682">
              <w:rPr>
                <w:rFonts w:cs="Times New Roman"/>
                <w:b/>
                <w:bCs/>
                <w:szCs w:val="24"/>
              </w:rPr>
              <w:t>ESC</w:t>
            </w:r>
          </w:p>
        </w:tc>
        <w:tc>
          <w:tcPr>
            <w:tcW w:w="1116" w:type="dxa"/>
            <w:shd w:val="clear" w:color="auto" w:fill="D9D9D9" w:themeFill="background1" w:themeFillShade="D9"/>
            <w:noWrap/>
            <w:vAlign w:val="center"/>
            <w:hideMark/>
          </w:tcPr>
          <w:p w14:paraId="4670A880" w14:textId="77777777" w:rsidR="00C9167C" w:rsidRPr="003D4682" w:rsidRDefault="000F5B51" w:rsidP="004B5470">
            <w:pPr>
              <w:spacing w:after="0" w:line="240" w:lineRule="auto"/>
              <w:contextualSpacing/>
              <w:jc w:val="center"/>
              <w:rPr>
                <w:rFonts w:cs="Times New Roman"/>
                <w:b/>
                <w:bCs/>
                <w:szCs w:val="24"/>
              </w:rPr>
            </w:pPr>
            <w:r w:rsidRPr="003D4682">
              <w:rPr>
                <w:rFonts w:cs="Times New Roman"/>
                <w:b/>
                <w:bCs/>
                <w:szCs w:val="24"/>
              </w:rPr>
              <w:t>Total Sales</w:t>
            </w:r>
          </w:p>
        </w:tc>
        <w:tc>
          <w:tcPr>
            <w:tcW w:w="1718" w:type="dxa"/>
            <w:vMerge/>
            <w:shd w:val="clear" w:color="auto" w:fill="D9D9D9" w:themeFill="background1" w:themeFillShade="D9"/>
            <w:vAlign w:val="center"/>
          </w:tcPr>
          <w:p w14:paraId="6AFCFE0E" w14:textId="77777777" w:rsidR="00C9167C" w:rsidRPr="003D4682" w:rsidRDefault="00C9167C" w:rsidP="004B5470">
            <w:pPr>
              <w:spacing w:after="0" w:line="240" w:lineRule="auto"/>
              <w:contextualSpacing/>
              <w:jc w:val="center"/>
              <w:rPr>
                <w:rFonts w:cs="Times New Roman"/>
                <w:b/>
                <w:bCs/>
                <w:szCs w:val="24"/>
              </w:rPr>
            </w:pPr>
          </w:p>
        </w:tc>
        <w:tc>
          <w:tcPr>
            <w:tcW w:w="1718" w:type="dxa"/>
            <w:vMerge/>
            <w:shd w:val="clear" w:color="auto" w:fill="D9D9D9" w:themeFill="background1" w:themeFillShade="D9"/>
            <w:vAlign w:val="center"/>
          </w:tcPr>
          <w:p w14:paraId="06AB4AD6" w14:textId="77777777" w:rsidR="00C9167C" w:rsidRPr="003D4682" w:rsidRDefault="00C9167C" w:rsidP="004B5470">
            <w:pPr>
              <w:spacing w:after="0" w:line="240" w:lineRule="auto"/>
              <w:contextualSpacing/>
              <w:jc w:val="center"/>
              <w:rPr>
                <w:rFonts w:cs="Times New Roman"/>
                <w:b/>
                <w:bCs/>
                <w:szCs w:val="24"/>
              </w:rPr>
            </w:pPr>
          </w:p>
        </w:tc>
      </w:tr>
      <w:tr w:rsidR="00A15C2C" w14:paraId="30BEB069" w14:textId="77777777" w:rsidTr="004B5470">
        <w:trPr>
          <w:trHeight w:val="288"/>
        </w:trPr>
        <w:tc>
          <w:tcPr>
            <w:tcW w:w="0" w:type="auto"/>
            <w:noWrap/>
            <w:vAlign w:val="center"/>
            <w:hideMark/>
          </w:tcPr>
          <w:p w14:paraId="08E0D392" w14:textId="77777777" w:rsidR="00C9167C" w:rsidRPr="00CC2882" w:rsidRDefault="000F5B51" w:rsidP="004B5470">
            <w:pPr>
              <w:spacing w:after="0" w:line="240" w:lineRule="auto"/>
              <w:contextualSpacing/>
              <w:rPr>
                <w:rFonts w:cs="Times New Roman"/>
                <w:b/>
                <w:szCs w:val="24"/>
              </w:rPr>
            </w:pPr>
            <w:r w:rsidRPr="00CC2882">
              <w:rPr>
                <w:rFonts w:cs="Times New Roman"/>
                <w:b/>
                <w:szCs w:val="24"/>
              </w:rPr>
              <w:t>MY 2012***</w:t>
            </w:r>
          </w:p>
        </w:tc>
        <w:tc>
          <w:tcPr>
            <w:tcW w:w="1136" w:type="dxa"/>
            <w:shd w:val="clear" w:color="auto" w:fill="auto"/>
            <w:noWrap/>
            <w:vAlign w:val="center"/>
          </w:tcPr>
          <w:p w14:paraId="3421349F"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RULE</w:t>
            </w:r>
          </w:p>
        </w:tc>
        <w:tc>
          <w:tcPr>
            <w:tcW w:w="1078" w:type="dxa"/>
            <w:shd w:val="clear" w:color="auto" w:fill="auto"/>
            <w:noWrap/>
            <w:vAlign w:val="center"/>
          </w:tcPr>
          <w:p w14:paraId="78EC9485"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RULE</w:t>
            </w:r>
          </w:p>
        </w:tc>
        <w:tc>
          <w:tcPr>
            <w:tcW w:w="1116" w:type="dxa"/>
            <w:shd w:val="clear" w:color="auto" w:fill="auto"/>
            <w:noWrap/>
            <w:vAlign w:val="center"/>
            <w:hideMark/>
          </w:tcPr>
          <w:p w14:paraId="270AAD93"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RULE</w:t>
            </w:r>
          </w:p>
        </w:tc>
        <w:tc>
          <w:tcPr>
            <w:tcW w:w="1231" w:type="dxa"/>
            <w:shd w:val="clear" w:color="auto" w:fill="auto"/>
            <w:noWrap/>
            <w:vAlign w:val="center"/>
            <w:hideMark/>
          </w:tcPr>
          <w:p w14:paraId="5FB1B299"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RULE</w:t>
            </w:r>
          </w:p>
        </w:tc>
        <w:tc>
          <w:tcPr>
            <w:tcW w:w="1126" w:type="dxa"/>
            <w:shd w:val="clear" w:color="auto" w:fill="auto"/>
            <w:noWrap/>
            <w:vAlign w:val="center"/>
            <w:hideMark/>
          </w:tcPr>
          <w:p w14:paraId="3F1D7B63"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RULE</w:t>
            </w:r>
          </w:p>
        </w:tc>
        <w:tc>
          <w:tcPr>
            <w:tcW w:w="1202" w:type="dxa"/>
            <w:shd w:val="clear" w:color="auto" w:fill="auto"/>
            <w:noWrap/>
            <w:vAlign w:val="center"/>
            <w:hideMark/>
          </w:tcPr>
          <w:p w14:paraId="69135CB4"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RULE</w:t>
            </w:r>
          </w:p>
        </w:tc>
        <w:tc>
          <w:tcPr>
            <w:tcW w:w="1031" w:type="dxa"/>
            <w:shd w:val="clear" w:color="auto" w:fill="auto"/>
            <w:noWrap/>
            <w:vAlign w:val="center"/>
            <w:hideMark/>
          </w:tcPr>
          <w:p w14:paraId="26D85A21"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RULE</w:t>
            </w:r>
          </w:p>
        </w:tc>
        <w:tc>
          <w:tcPr>
            <w:tcW w:w="1116" w:type="dxa"/>
            <w:shd w:val="clear" w:color="auto" w:fill="auto"/>
            <w:noWrap/>
            <w:vAlign w:val="center"/>
            <w:hideMark/>
          </w:tcPr>
          <w:p w14:paraId="55067DAD"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RULE</w:t>
            </w:r>
          </w:p>
        </w:tc>
        <w:tc>
          <w:tcPr>
            <w:tcW w:w="1718" w:type="dxa"/>
            <w:vAlign w:val="center"/>
          </w:tcPr>
          <w:p w14:paraId="75103FF1" w14:textId="77777777" w:rsidR="00C9167C" w:rsidRPr="00CC2882" w:rsidRDefault="000F5B51" w:rsidP="004B5470">
            <w:pPr>
              <w:spacing w:after="0" w:line="240" w:lineRule="auto"/>
              <w:contextualSpacing/>
              <w:jc w:val="center"/>
              <w:rPr>
                <w:rFonts w:cs="Times New Roman"/>
                <w:b/>
                <w:szCs w:val="24"/>
              </w:rPr>
            </w:pPr>
            <w:r w:rsidRPr="00CC2882">
              <w:rPr>
                <w:rFonts w:cs="Times New Roman"/>
                <w:b/>
                <w:szCs w:val="24"/>
              </w:rPr>
              <w:t>100%</w:t>
            </w:r>
          </w:p>
        </w:tc>
        <w:tc>
          <w:tcPr>
            <w:tcW w:w="1718" w:type="dxa"/>
            <w:vAlign w:val="center"/>
          </w:tcPr>
          <w:p w14:paraId="0B72088D" w14:textId="77777777" w:rsidR="00C9167C" w:rsidRPr="00CC2882" w:rsidRDefault="000F5B51" w:rsidP="004B5470">
            <w:pPr>
              <w:spacing w:after="0" w:line="240" w:lineRule="auto"/>
              <w:contextualSpacing/>
              <w:jc w:val="center"/>
              <w:rPr>
                <w:rFonts w:cs="Times New Roman"/>
                <w:b/>
                <w:szCs w:val="24"/>
              </w:rPr>
            </w:pPr>
            <w:r w:rsidRPr="00CC2882">
              <w:rPr>
                <w:rFonts w:cs="Times New Roman"/>
                <w:b/>
                <w:szCs w:val="24"/>
              </w:rPr>
              <w:t>100%</w:t>
            </w:r>
          </w:p>
        </w:tc>
      </w:tr>
      <w:tr w:rsidR="00A15C2C" w14:paraId="24449375" w14:textId="77777777" w:rsidTr="004B5470">
        <w:trPr>
          <w:trHeight w:val="288"/>
        </w:trPr>
        <w:tc>
          <w:tcPr>
            <w:tcW w:w="0" w:type="auto"/>
            <w:noWrap/>
            <w:vAlign w:val="center"/>
            <w:hideMark/>
          </w:tcPr>
          <w:p w14:paraId="1E8285E9" w14:textId="77777777" w:rsidR="00C9167C" w:rsidRPr="00CC2882" w:rsidRDefault="000F5B51" w:rsidP="004B5470">
            <w:pPr>
              <w:spacing w:after="0" w:line="240" w:lineRule="auto"/>
              <w:contextualSpacing/>
              <w:rPr>
                <w:rFonts w:cs="Times New Roman"/>
                <w:b/>
                <w:szCs w:val="24"/>
              </w:rPr>
            </w:pPr>
            <w:r w:rsidRPr="00CC2882">
              <w:rPr>
                <w:rFonts w:cs="Times New Roman"/>
                <w:b/>
                <w:szCs w:val="24"/>
              </w:rPr>
              <w:t>MY 2011</w:t>
            </w:r>
          </w:p>
        </w:tc>
        <w:tc>
          <w:tcPr>
            <w:tcW w:w="1136" w:type="dxa"/>
            <w:shd w:val="clear" w:color="auto" w:fill="auto"/>
            <w:noWrap/>
            <w:vAlign w:val="center"/>
            <w:hideMark/>
          </w:tcPr>
          <w:p w14:paraId="1058065A"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4,330,505</w:t>
            </w:r>
          </w:p>
        </w:tc>
        <w:tc>
          <w:tcPr>
            <w:tcW w:w="1078" w:type="dxa"/>
            <w:shd w:val="clear" w:color="auto" w:fill="auto"/>
            <w:noWrap/>
            <w:vAlign w:val="center"/>
            <w:hideMark/>
          </w:tcPr>
          <w:p w14:paraId="1BF861D8"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4,585,547</w:t>
            </w:r>
          </w:p>
        </w:tc>
        <w:tc>
          <w:tcPr>
            <w:tcW w:w="1116" w:type="dxa"/>
            <w:shd w:val="clear" w:color="auto" w:fill="auto"/>
            <w:noWrap/>
            <w:vAlign w:val="center"/>
            <w:hideMark/>
          </w:tcPr>
          <w:p w14:paraId="22CE6952"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6,463,723</w:t>
            </w:r>
          </w:p>
        </w:tc>
        <w:tc>
          <w:tcPr>
            <w:tcW w:w="1231" w:type="dxa"/>
            <w:shd w:val="clear" w:color="auto" w:fill="auto"/>
            <w:noWrap/>
            <w:vAlign w:val="center"/>
            <w:hideMark/>
          </w:tcPr>
          <w:p w14:paraId="63AB3E10"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6,949,740</w:t>
            </w:r>
          </w:p>
        </w:tc>
        <w:tc>
          <w:tcPr>
            <w:tcW w:w="1126" w:type="dxa"/>
            <w:shd w:val="clear" w:color="auto" w:fill="auto"/>
            <w:noWrap/>
            <w:vAlign w:val="center"/>
            <w:hideMark/>
          </w:tcPr>
          <w:p w14:paraId="3B78CC65"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1,533,344</w:t>
            </w:r>
          </w:p>
        </w:tc>
        <w:tc>
          <w:tcPr>
            <w:tcW w:w="1202" w:type="dxa"/>
            <w:shd w:val="clear" w:color="auto" w:fill="auto"/>
            <w:noWrap/>
            <w:vAlign w:val="center"/>
            <w:hideMark/>
          </w:tcPr>
          <w:p w14:paraId="24461DB4"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1,770,020</w:t>
            </w:r>
          </w:p>
        </w:tc>
        <w:tc>
          <w:tcPr>
            <w:tcW w:w="1031" w:type="dxa"/>
            <w:shd w:val="clear" w:color="auto" w:fill="auto"/>
            <w:noWrap/>
            <w:vAlign w:val="center"/>
            <w:hideMark/>
          </w:tcPr>
          <w:p w14:paraId="30EE4228"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889,532</w:t>
            </w:r>
          </w:p>
        </w:tc>
        <w:tc>
          <w:tcPr>
            <w:tcW w:w="1116" w:type="dxa"/>
            <w:shd w:val="clear" w:color="auto" w:fill="auto"/>
            <w:noWrap/>
            <w:vAlign w:val="center"/>
            <w:hideMark/>
          </w:tcPr>
          <w:p w14:paraId="3F6CC21C"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905,791</w:t>
            </w:r>
          </w:p>
        </w:tc>
        <w:tc>
          <w:tcPr>
            <w:tcW w:w="1718" w:type="dxa"/>
            <w:vAlign w:val="center"/>
          </w:tcPr>
          <w:p w14:paraId="4A5F943F" w14:textId="77777777" w:rsidR="00C9167C" w:rsidRPr="00CC2882" w:rsidRDefault="000F5B51" w:rsidP="004B5470">
            <w:pPr>
              <w:spacing w:after="0" w:line="240" w:lineRule="auto"/>
              <w:contextualSpacing/>
              <w:jc w:val="center"/>
              <w:rPr>
                <w:rFonts w:cs="Times New Roman"/>
                <w:b/>
                <w:szCs w:val="24"/>
              </w:rPr>
            </w:pPr>
            <w:r w:rsidRPr="00CC2882">
              <w:rPr>
                <w:rFonts w:cs="Times New Roman"/>
                <w:b/>
                <w:szCs w:val="24"/>
              </w:rPr>
              <w:t>92%</w:t>
            </w:r>
          </w:p>
        </w:tc>
        <w:tc>
          <w:tcPr>
            <w:tcW w:w="1718" w:type="dxa"/>
            <w:vAlign w:val="center"/>
          </w:tcPr>
          <w:p w14:paraId="4FC71A30" w14:textId="77777777" w:rsidR="00C9167C" w:rsidRPr="00CC2882" w:rsidRDefault="000F5B51" w:rsidP="004B5470">
            <w:pPr>
              <w:spacing w:after="0" w:line="240" w:lineRule="auto"/>
              <w:contextualSpacing/>
              <w:jc w:val="center"/>
              <w:rPr>
                <w:rFonts w:cs="Times New Roman"/>
                <w:b/>
                <w:szCs w:val="24"/>
              </w:rPr>
            </w:pPr>
            <w:r w:rsidRPr="00CC2882">
              <w:rPr>
                <w:rFonts w:cs="Times New Roman"/>
                <w:b/>
                <w:szCs w:val="24"/>
              </w:rPr>
              <w:t>94%</w:t>
            </w:r>
          </w:p>
        </w:tc>
      </w:tr>
      <w:tr w:rsidR="00A15C2C" w14:paraId="3629C3E4" w14:textId="77777777" w:rsidTr="004B5470">
        <w:trPr>
          <w:trHeight w:val="288"/>
        </w:trPr>
        <w:tc>
          <w:tcPr>
            <w:tcW w:w="0" w:type="auto"/>
            <w:noWrap/>
            <w:vAlign w:val="center"/>
            <w:hideMark/>
          </w:tcPr>
          <w:p w14:paraId="75D9B82E" w14:textId="77777777" w:rsidR="00C9167C" w:rsidRPr="00CC2882" w:rsidRDefault="000F5B51" w:rsidP="004B5470">
            <w:pPr>
              <w:spacing w:after="0" w:line="240" w:lineRule="auto"/>
              <w:contextualSpacing/>
              <w:rPr>
                <w:rFonts w:cs="Times New Roman"/>
                <w:b/>
                <w:szCs w:val="24"/>
              </w:rPr>
            </w:pPr>
            <w:r w:rsidRPr="00CC2882">
              <w:rPr>
                <w:rFonts w:cs="Times New Roman"/>
                <w:b/>
                <w:szCs w:val="24"/>
              </w:rPr>
              <w:t>MY 2010</w:t>
            </w:r>
          </w:p>
        </w:tc>
        <w:tc>
          <w:tcPr>
            <w:tcW w:w="1136" w:type="dxa"/>
            <w:shd w:val="clear" w:color="auto" w:fill="auto"/>
            <w:noWrap/>
            <w:vAlign w:val="center"/>
            <w:hideMark/>
          </w:tcPr>
          <w:p w14:paraId="3C7BC442"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3,562,541</w:t>
            </w:r>
          </w:p>
        </w:tc>
        <w:tc>
          <w:tcPr>
            <w:tcW w:w="1078" w:type="dxa"/>
            <w:shd w:val="clear" w:color="auto" w:fill="auto"/>
            <w:noWrap/>
            <w:vAlign w:val="center"/>
            <w:hideMark/>
          </w:tcPr>
          <w:p w14:paraId="7324E214"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4,581,253</w:t>
            </w:r>
          </w:p>
        </w:tc>
        <w:tc>
          <w:tcPr>
            <w:tcW w:w="1116" w:type="dxa"/>
            <w:shd w:val="clear" w:color="auto" w:fill="auto"/>
            <w:noWrap/>
            <w:vAlign w:val="center"/>
            <w:hideMark/>
          </w:tcPr>
          <w:p w14:paraId="69020BC1"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4,553,214</w:t>
            </w:r>
          </w:p>
        </w:tc>
        <w:tc>
          <w:tcPr>
            <w:tcW w:w="1231" w:type="dxa"/>
            <w:shd w:val="clear" w:color="auto" w:fill="auto"/>
            <w:noWrap/>
            <w:vAlign w:val="center"/>
            <w:hideMark/>
          </w:tcPr>
          <w:p w14:paraId="0E89D9F0"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5,292,861</w:t>
            </w:r>
          </w:p>
        </w:tc>
        <w:tc>
          <w:tcPr>
            <w:tcW w:w="1126" w:type="dxa"/>
            <w:shd w:val="clear" w:color="auto" w:fill="auto"/>
            <w:noWrap/>
            <w:vAlign w:val="center"/>
            <w:hideMark/>
          </w:tcPr>
          <w:p w14:paraId="597A721A"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1,225,309</w:t>
            </w:r>
          </w:p>
        </w:tc>
        <w:tc>
          <w:tcPr>
            <w:tcW w:w="1202" w:type="dxa"/>
            <w:shd w:val="clear" w:color="auto" w:fill="auto"/>
            <w:noWrap/>
            <w:vAlign w:val="center"/>
            <w:hideMark/>
          </w:tcPr>
          <w:p w14:paraId="497825D6"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1,707,630</w:t>
            </w:r>
          </w:p>
        </w:tc>
        <w:tc>
          <w:tcPr>
            <w:tcW w:w="1031" w:type="dxa"/>
            <w:shd w:val="clear" w:color="auto" w:fill="auto"/>
            <w:noWrap/>
            <w:vAlign w:val="center"/>
            <w:hideMark/>
          </w:tcPr>
          <w:p w14:paraId="21506D24"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764,025</w:t>
            </w:r>
          </w:p>
        </w:tc>
        <w:tc>
          <w:tcPr>
            <w:tcW w:w="1116" w:type="dxa"/>
            <w:shd w:val="clear" w:color="auto" w:fill="auto"/>
            <w:noWrap/>
            <w:vAlign w:val="center"/>
            <w:hideMark/>
          </w:tcPr>
          <w:p w14:paraId="2577D539"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794,923</w:t>
            </w:r>
          </w:p>
        </w:tc>
        <w:tc>
          <w:tcPr>
            <w:tcW w:w="1718" w:type="dxa"/>
            <w:vAlign w:val="center"/>
          </w:tcPr>
          <w:p w14:paraId="013BA8B4" w14:textId="77777777" w:rsidR="00C9167C" w:rsidRPr="00CC2882" w:rsidRDefault="000F5B51" w:rsidP="004B5470">
            <w:pPr>
              <w:spacing w:after="0" w:line="240" w:lineRule="auto"/>
              <w:contextualSpacing/>
              <w:jc w:val="center"/>
              <w:rPr>
                <w:rFonts w:cs="Times New Roman"/>
                <w:b/>
                <w:szCs w:val="24"/>
              </w:rPr>
            </w:pPr>
            <w:r w:rsidRPr="00CC2882">
              <w:rPr>
                <w:rFonts w:cs="Times New Roman"/>
                <w:b/>
                <w:szCs w:val="24"/>
              </w:rPr>
              <w:t>76%</w:t>
            </w:r>
          </w:p>
        </w:tc>
        <w:tc>
          <w:tcPr>
            <w:tcW w:w="1718" w:type="dxa"/>
            <w:vAlign w:val="center"/>
          </w:tcPr>
          <w:p w14:paraId="68C3AF52" w14:textId="77777777" w:rsidR="00C9167C" w:rsidRPr="00CC2882" w:rsidRDefault="000F5B51" w:rsidP="004B5470">
            <w:pPr>
              <w:spacing w:after="0" w:line="240" w:lineRule="auto"/>
              <w:contextualSpacing/>
              <w:jc w:val="center"/>
              <w:rPr>
                <w:rFonts w:cs="Times New Roman"/>
                <w:b/>
                <w:szCs w:val="24"/>
              </w:rPr>
            </w:pPr>
            <w:r w:rsidRPr="00CC2882">
              <w:rPr>
                <w:rFonts w:cs="Times New Roman"/>
                <w:b/>
                <w:szCs w:val="24"/>
              </w:rPr>
              <w:t>87%</w:t>
            </w:r>
          </w:p>
        </w:tc>
      </w:tr>
      <w:tr w:rsidR="00A15C2C" w14:paraId="1AB9D016" w14:textId="77777777" w:rsidTr="004B5470">
        <w:trPr>
          <w:trHeight w:val="288"/>
        </w:trPr>
        <w:tc>
          <w:tcPr>
            <w:tcW w:w="0" w:type="auto"/>
            <w:noWrap/>
            <w:vAlign w:val="center"/>
            <w:hideMark/>
          </w:tcPr>
          <w:p w14:paraId="7B4CE4BB" w14:textId="77777777" w:rsidR="00C9167C" w:rsidRPr="00CC2882" w:rsidRDefault="000F5B51" w:rsidP="004B5470">
            <w:pPr>
              <w:spacing w:after="0" w:line="240" w:lineRule="auto"/>
              <w:contextualSpacing/>
              <w:rPr>
                <w:rFonts w:cs="Times New Roman"/>
                <w:b/>
                <w:szCs w:val="24"/>
              </w:rPr>
            </w:pPr>
            <w:r w:rsidRPr="00CC2882">
              <w:rPr>
                <w:rFonts w:cs="Times New Roman"/>
                <w:b/>
                <w:szCs w:val="24"/>
              </w:rPr>
              <w:t>MY 2009</w:t>
            </w:r>
          </w:p>
        </w:tc>
        <w:tc>
          <w:tcPr>
            <w:tcW w:w="1136" w:type="dxa"/>
            <w:shd w:val="clear" w:color="auto" w:fill="auto"/>
            <w:noWrap/>
            <w:vAlign w:val="center"/>
            <w:hideMark/>
          </w:tcPr>
          <w:p w14:paraId="4FEFD125"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1,686,766</w:t>
            </w:r>
          </w:p>
        </w:tc>
        <w:tc>
          <w:tcPr>
            <w:tcW w:w="1078" w:type="dxa"/>
            <w:shd w:val="clear" w:color="auto" w:fill="auto"/>
            <w:noWrap/>
            <w:vAlign w:val="center"/>
            <w:hideMark/>
          </w:tcPr>
          <w:p w14:paraId="3E3751FB"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3,889,910</w:t>
            </w:r>
          </w:p>
        </w:tc>
        <w:tc>
          <w:tcPr>
            <w:tcW w:w="1116" w:type="dxa"/>
            <w:shd w:val="clear" w:color="auto" w:fill="auto"/>
            <w:noWrap/>
            <w:vAlign w:val="center"/>
            <w:hideMark/>
          </w:tcPr>
          <w:p w14:paraId="6B50E658"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3,331,665</w:t>
            </w:r>
          </w:p>
        </w:tc>
        <w:tc>
          <w:tcPr>
            <w:tcW w:w="1231" w:type="dxa"/>
            <w:shd w:val="clear" w:color="auto" w:fill="auto"/>
            <w:noWrap/>
            <w:vAlign w:val="center"/>
            <w:hideMark/>
          </w:tcPr>
          <w:p w14:paraId="19A1A7D8"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4,053,417</w:t>
            </w:r>
          </w:p>
        </w:tc>
        <w:tc>
          <w:tcPr>
            <w:tcW w:w="1126" w:type="dxa"/>
            <w:shd w:val="clear" w:color="auto" w:fill="auto"/>
            <w:noWrap/>
            <w:vAlign w:val="center"/>
            <w:hideMark/>
          </w:tcPr>
          <w:p w14:paraId="69B0D645"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891,631</w:t>
            </w:r>
          </w:p>
        </w:tc>
        <w:tc>
          <w:tcPr>
            <w:tcW w:w="1202" w:type="dxa"/>
            <w:shd w:val="clear" w:color="auto" w:fill="auto"/>
            <w:noWrap/>
            <w:vAlign w:val="center"/>
            <w:hideMark/>
          </w:tcPr>
          <w:p w14:paraId="4018F5E0"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1,592,770</w:t>
            </w:r>
          </w:p>
        </w:tc>
        <w:tc>
          <w:tcPr>
            <w:tcW w:w="1031" w:type="dxa"/>
            <w:shd w:val="clear" w:color="auto" w:fill="auto"/>
            <w:noWrap/>
            <w:vAlign w:val="center"/>
            <w:hideMark/>
          </w:tcPr>
          <w:p w14:paraId="189D5FEE"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756,237</w:t>
            </w:r>
          </w:p>
        </w:tc>
        <w:tc>
          <w:tcPr>
            <w:tcW w:w="1116" w:type="dxa"/>
            <w:shd w:val="clear" w:color="auto" w:fill="auto"/>
            <w:noWrap/>
            <w:vAlign w:val="center"/>
            <w:hideMark/>
          </w:tcPr>
          <w:p w14:paraId="6875E0DC"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777,459</w:t>
            </w:r>
          </w:p>
        </w:tc>
        <w:tc>
          <w:tcPr>
            <w:tcW w:w="1718" w:type="dxa"/>
            <w:vAlign w:val="center"/>
          </w:tcPr>
          <w:p w14:paraId="0D4048FE" w14:textId="77777777" w:rsidR="00C9167C" w:rsidRPr="00CC2882" w:rsidRDefault="000F5B51" w:rsidP="004B5470">
            <w:pPr>
              <w:spacing w:after="0" w:line="240" w:lineRule="auto"/>
              <w:contextualSpacing/>
              <w:jc w:val="center"/>
              <w:rPr>
                <w:rFonts w:cs="Times New Roman"/>
                <w:b/>
                <w:szCs w:val="24"/>
              </w:rPr>
            </w:pPr>
            <w:r w:rsidRPr="00CC2882">
              <w:rPr>
                <w:rFonts w:cs="Times New Roman"/>
                <w:b/>
                <w:szCs w:val="24"/>
              </w:rPr>
              <w:t>47%</w:t>
            </w:r>
          </w:p>
        </w:tc>
        <w:tc>
          <w:tcPr>
            <w:tcW w:w="1718" w:type="dxa"/>
            <w:vAlign w:val="center"/>
          </w:tcPr>
          <w:p w14:paraId="763CEF6B" w14:textId="77777777" w:rsidR="00C9167C" w:rsidRPr="00CC2882" w:rsidRDefault="000F5B51" w:rsidP="004B5470">
            <w:pPr>
              <w:spacing w:after="0" w:line="240" w:lineRule="auto"/>
              <w:contextualSpacing/>
              <w:jc w:val="center"/>
              <w:rPr>
                <w:rFonts w:cs="Times New Roman"/>
                <w:b/>
                <w:szCs w:val="24"/>
              </w:rPr>
            </w:pPr>
            <w:r w:rsidRPr="00CC2882">
              <w:rPr>
                <w:rFonts w:cs="Times New Roman"/>
                <w:b/>
                <w:szCs w:val="24"/>
              </w:rPr>
              <w:t>85%</w:t>
            </w:r>
          </w:p>
        </w:tc>
      </w:tr>
      <w:tr w:rsidR="00A15C2C" w14:paraId="78E9E1DF" w14:textId="77777777" w:rsidTr="004B5470">
        <w:trPr>
          <w:trHeight w:val="288"/>
        </w:trPr>
        <w:tc>
          <w:tcPr>
            <w:tcW w:w="0" w:type="auto"/>
            <w:noWrap/>
            <w:vAlign w:val="center"/>
            <w:hideMark/>
          </w:tcPr>
          <w:p w14:paraId="6570AB57" w14:textId="77777777" w:rsidR="00C9167C" w:rsidRPr="00CC2882" w:rsidRDefault="000F5B51" w:rsidP="004B5470">
            <w:pPr>
              <w:spacing w:after="0" w:line="240" w:lineRule="auto"/>
              <w:contextualSpacing/>
              <w:rPr>
                <w:rFonts w:cs="Times New Roman"/>
                <w:b/>
                <w:szCs w:val="24"/>
              </w:rPr>
            </w:pPr>
            <w:r w:rsidRPr="00CC2882">
              <w:rPr>
                <w:rFonts w:cs="Times New Roman"/>
                <w:b/>
                <w:szCs w:val="24"/>
              </w:rPr>
              <w:t>MY 2008</w:t>
            </w:r>
          </w:p>
        </w:tc>
        <w:tc>
          <w:tcPr>
            <w:tcW w:w="1136" w:type="dxa"/>
            <w:shd w:val="clear" w:color="auto" w:fill="auto"/>
            <w:noWrap/>
            <w:vAlign w:val="center"/>
            <w:hideMark/>
          </w:tcPr>
          <w:p w14:paraId="2E6A1028"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960,866</w:t>
            </w:r>
          </w:p>
        </w:tc>
        <w:tc>
          <w:tcPr>
            <w:tcW w:w="1078" w:type="dxa"/>
            <w:shd w:val="clear" w:color="auto" w:fill="auto"/>
            <w:noWrap/>
            <w:vAlign w:val="center"/>
            <w:hideMark/>
          </w:tcPr>
          <w:p w14:paraId="35FAA96C"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6,100,396</w:t>
            </w:r>
          </w:p>
        </w:tc>
        <w:tc>
          <w:tcPr>
            <w:tcW w:w="1116" w:type="dxa"/>
            <w:shd w:val="clear" w:color="auto" w:fill="auto"/>
            <w:noWrap/>
            <w:vAlign w:val="center"/>
            <w:hideMark/>
          </w:tcPr>
          <w:p w14:paraId="6C42545F"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4,599,369</w:t>
            </w:r>
          </w:p>
        </w:tc>
        <w:tc>
          <w:tcPr>
            <w:tcW w:w="1231" w:type="dxa"/>
            <w:shd w:val="clear" w:color="auto" w:fill="auto"/>
            <w:noWrap/>
            <w:vAlign w:val="center"/>
            <w:hideMark/>
          </w:tcPr>
          <w:p w14:paraId="47ABACEF"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7,017,596</w:t>
            </w:r>
          </w:p>
        </w:tc>
        <w:tc>
          <w:tcPr>
            <w:tcW w:w="1126" w:type="dxa"/>
            <w:shd w:val="clear" w:color="auto" w:fill="auto"/>
            <w:noWrap/>
            <w:vAlign w:val="center"/>
            <w:hideMark/>
          </w:tcPr>
          <w:p w14:paraId="2016205F"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1,133,612</w:t>
            </w:r>
          </w:p>
        </w:tc>
        <w:tc>
          <w:tcPr>
            <w:tcW w:w="1202" w:type="dxa"/>
            <w:shd w:val="clear" w:color="auto" w:fill="auto"/>
            <w:noWrap/>
            <w:vAlign w:val="center"/>
            <w:hideMark/>
          </w:tcPr>
          <w:p w14:paraId="0BE4A44C"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2,314,757</w:t>
            </w:r>
          </w:p>
        </w:tc>
        <w:tc>
          <w:tcPr>
            <w:tcW w:w="1031" w:type="dxa"/>
            <w:shd w:val="clear" w:color="auto" w:fill="auto"/>
            <w:noWrap/>
            <w:vAlign w:val="center"/>
            <w:hideMark/>
          </w:tcPr>
          <w:p w14:paraId="5D7FAB89"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1,005,679</w:t>
            </w:r>
          </w:p>
        </w:tc>
        <w:tc>
          <w:tcPr>
            <w:tcW w:w="1116" w:type="dxa"/>
            <w:shd w:val="clear" w:color="auto" w:fill="auto"/>
            <w:noWrap/>
            <w:vAlign w:val="center"/>
            <w:hideMark/>
          </w:tcPr>
          <w:p w14:paraId="05E47BE4"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1,070,490</w:t>
            </w:r>
          </w:p>
        </w:tc>
        <w:tc>
          <w:tcPr>
            <w:tcW w:w="1718" w:type="dxa"/>
            <w:vAlign w:val="center"/>
          </w:tcPr>
          <w:p w14:paraId="29719A7E" w14:textId="77777777" w:rsidR="00C9167C" w:rsidRPr="00CC2882" w:rsidRDefault="000F5B51" w:rsidP="004B5470">
            <w:pPr>
              <w:spacing w:after="0" w:line="240" w:lineRule="auto"/>
              <w:contextualSpacing/>
              <w:jc w:val="center"/>
              <w:rPr>
                <w:rFonts w:cs="Times New Roman"/>
                <w:b/>
                <w:szCs w:val="24"/>
              </w:rPr>
            </w:pPr>
            <w:r w:rsidRPr="00CC2882">
              <w:rPr>
                <w:rFonts w:cs="Times New Roman"/>
                <w:b/>
                <w:szCs w:val="24"/>
              </w:rPr>
              <w:t>25%</w:t>
            </w:r>
          </w:p>
        </w:tc>
        <w:tc>
          <w:tcPr>
            <w:tcW w:w="1718" w:type="dxa"/>
            <w:vAlign w:val="center"/>
          </w:tcPr>
          <w:p w14:paraId="0640A440" w14:textId="77777777" w:rsidR="00C9167C" w:rsidRPr="00CC2882" w:rsidRDefault="000F5B51" w:rsidP="004B5470">
            <w:pPr>
              <w:spacing w:after="0" w:line="240" w:lineRule="auto"/>
              <w:contextualSpacing/>
              <w:jc w:val="center"/>
              <w:rPr>
                <w:rFonts w:cs="Times New Roman"/>
                <w:b/>
                <w:szCs w:val="24"/>
              </w:rPr>
            </w:pPr>
            <w:r w:rsidRPr="00CC2882">
              <w:rPr>
                <w:rFonts w:cs="Times New Roman"/>
                <w:b/>
                <w:szCs w:val="24"/>
              </w:rPr>
              <w:t>69%</w:t>
            </w:r>
          </w:p>
        </w:tc>
      </w:tr>
      <w:tr w:rsidR="00A15C2C" w14:paraId="39886E4F" w14:textId="77777777" w:rsidTr="004B5470">
        <w:trPr>
          <w:trHeight w:val="288"/>
        </w:trPr>
        <w:tc>
          <w:tcPr>
            <w:tcW w:w="0" w:type="auto"/>
            <w:noWrap/>
            <w:vAlign w:val="center"/>
            <w:hideMark/>
          </w:tcPr>
          <w:p w14:paraId="3F8B11D0" w14:textId="77777777" w:rsidR="00C9167C" w:rsidRPr="00CC2882" w:rsidRDefault="000F5B51" w:rsidP="004B5470">
            <w:pPr>
              <w:spacing w:after="0" w:line="240" w:lineRule="auto"/>
              <w:contextualSpacing/>
              <w:rPr>
                <w:rFonts w:cs="Times New Roman"/>
                <w:b/>
                <w:szCs w:val="24"/>
              </w:rPr>
            </w:pPr>
            <w:r w:rsidRPr="00CC2882">
              <w:rPr>
                <w:rFonts w:cs="Times New Roman"/>
                <w:b/>
                <w:szCs w:val="24"/>
              </w:rPr>
              <w:t>MY 2007</w:t>
            </w:r>
          </w:p>
        </w:tc>
        <w:tc>
          <w:tcPr>
            <w:tcW w:w="1136" w:type="dxa"/>
            <w:shd w:val="clear" w:color="auto" w:fill="auto"/>
            <w:noWrap/>
            <w:vAlign w:val="center"/>
            <w:hideMark/>
          </w:tcPr>
          <w:p w14:paraId="55371E52"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692,593</w:t>
            </w:r>
          </w:p>
        </w:tc>
        <w:tc>
          <w:tcPr>
            <w:tcW w:w="1078" w:type="dxa"/>
            <w:shd w:val="clear" w:color="auto" w:fill="auto"/>
            <w:noWrap/>
            <w:vAlign w:val="center"/>
            <w:hideMark/>
          </w:tcPr>
          <w:p w14:paraId="3E930DC0"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5,815,347</w:t>
            </w:r>
          </w:p>
        </w:tc>
        <w:tc>
          <w:tcPr>
            <w:tcW w:w="1116" w:type="dxa"/>
            <w:shd w:val="clear" w:color="auto" w:fill="auto"/>
            <w:noWrap/>
            <w:vAlign w:val="center"/>
            <w:hideMark/>
          </w:tcPr>
          <w:p w14:paraId="2A83500D"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3,553,966</w:t>
            </w:r>
          </w:p>
        </w:tc>
        <w:tc>
          <w:tcPr>
            <w:tcW w:w="1231" w:type="dxa"/>
            <w:shd w:val="clear" w:color="auto" w:fill="auto"/>
            <w:noWrap/>
            <w:vAlign w:val="center"/>
            <w:hideMark/>
          </w:tcPr>
          <w:p w14:paraId="0AA2B946"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7,637,550</w:t>
            </w:r>
          </w:p>
        </w:tc>
        <w:tc>
          <w:tcPr>
            <w:tcW w:w="1126" w:type="dxa"/>
            <w:shd w:val="clear" w:color="auto" w:fill="auto"/>
            <w:noWrap/>
            <w:vAlign w:val="center"/>
            <w:hideMark/>
          </w:tcPr>
          <w:p w14:paraId="1FAA6EE6"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1,077,576</w:t>
            </w:r>
          </w:p>
        </w:tc>
        <w:tc>
          <w:tcPr>
            <w:tcW w:w="1202" w:type="dxa"/>
            <w:shd w:val="clear" w:color="auto" w:fill="auto"/>
            <w:noWrap/>
            <w:vAlign w:val="center"/>
            <w:hideMark/>
          </w:tcPr>
          <w:p w14:paraId="686D376F"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2,178,494</w:t>
            </w:r>
          </w:p>
        </w:tc>
        <w:tc>
          <w:tcPr>
            <w:tcW w:w="1031" w:type="dxa"/>
            <w:shd w:val="clear" w:color="auto" w:fill="auto"/>
            <w:noWrap/>
            <w:vAlign w:val="center"/>
            <w:hideMark/>
          </w:tcPr>
          <w:p w14:paraId="40F47AE9"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1,220,006</w:t>
            </w:r>
          </w:p>
        </w:tc>
        <w:tc>
          <w:tcPr>
            <w:tcW w:w="1116" w:type="dxa"/>
            <w:shd w:val="clear" w:color="auto" w:fill="auto"/>
            <w:noWrap/>
            <w:vAlign w:val="center"/>
            <w:hideMark/>
          </w:tcPr>
          <w:p w14:paraId="7E1C1176"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1,289,031</w:t>
            </w:r>
          </w:p>
        </w:tc>
        <w:tc>
          <w:tcPr>
            <w:tcW w:w="1718" w:type="dxa"/>
            <w:vAlign w:val="center"/>
          </w:tcPr>
          <w:p w14:paraId="15D6CD63" w14:textId="77777777" w:rsidR="00C9167C" w:rsidRPr="00CC2882" w:rsidRDefault="000F5B51" w:rsidP="004B5470">
            <w:pPr>
              <w:spacing w:after="0" w:line="240" w:lineRule="auto"/>
              <w:contextualSpacing/>
              <w:jc w:val="center"/>
              <w:rPr>
                <w:rFonts w:cs="Times New Roman"/>
                <w:b/>
                <w:szCs w:val="24"/>
              </w:rPr>
            </w:pPr>
            <w:r w:rsidRPr="00CC2882">
              <w:rPr>
                <w:rFonts w:cs="Times New Roman"/>
                <w:b/>
                <w:szCs w:val="24"/>
              </w:rPr>
              <w:t>22%</w:t>
            </w:r>
          </w:p>
        </w:tc>
        <w:tc>
          <w:tcPr>
            <w:tcW w:w="1718" w:type="dxa"/>
            <w:vAlign w:val="center"/>
          </w:tcPr>
          <w:p w14:paraId="6C9209A2" w14:textId="77777777" w:rsidR="00C9167C" w:rsidRPr="00CC2882" w:rsidRDefault="000F5B51" w:rsidP="004B5470">
            <w:pPr>
              <w:spacing w:after="0" w:line="240" w:lineRule="auto"/>
              <w:contextualSpacing/>
              <w:jc w:val="center"/>
              <w:rPr>
                <w:rFonts w:cs="Times New Roman"/>
                <w:b/>
                <w:szCs w:val="24"/>
              </w:rPr>
            </w:pPr>
            <w:r w:rsidRPr="00CC2882">
              <w:rPr>
                <w:rFonts w:cs="Times New Roman"/>
                <w:b/>
                <w:szCs w:val="24"/>
              </w:rPr>
              <w:t>53%</w:t>
            </w:r>
          </w:p>
        </w:tc>
      </w:tr>
      <w:tr w:rsidR="00A15C2C" w14:paraId="59C1F113" w14:textId="77777777" w:rsidTr="004B5470">
        <w:trPr>
          <w:trHeight w:val="288"/>
        </w:trPr>
        <w:tc>
          <w:tcPr>
            <w:tcW w:w="0" w:type="auto"/>
            <w:noWrap/>
            <w:vAlign w:val="center"/>
            <w:hideMark/>
          </w:tcPr>
          <w:p w14:paraId="41FC9A40" w14:textId="77777777" w:rsidR="00C9167C" w:rsidRPr="00CC2882" w:rsidRDefault="000F5B51" w:rsidP="004B5470">
            <w:pPr>
              <w:spacing w:after="0" w:line="240" w:lineRule="auto"/>
              <w:contextualSpacing/>
              <w:rPr>
                <w:rFonts w:cs="Times New Roman"/>
                <w:b/>
                <w:szCs w:val="24"/>
              </w:rPr>
            </w:pPr>
            <w:r w:rsidRPr="00CC2882">
              <w:rPr>
                <w:rFonts w:cs="Times New Roman"/>
                <w:b/>
                <w:szCs w:val="24"/>
              </w:rPr>
              <w:t>MY 2006</w:t>
            </w:r>
          </w:p>
        </w:tc>
        <w:tc>
          <w:tcPr>
            <w:tcW w:w="1136" w:type="dxa"/>
            <w:shd w:val="clear" w:color="auto" w:fill="auto"/>
            <w:noWrap/>
            <w:vAlign w:val="center"/>
            <w:hideMark/>
          </w:tcPr>
          <w:p w14:paraId="12B66304"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845,532</w:t>
            </w:r>
          </w:p>
        </w:tc>
        <w:tc>
          <w:tcPr>
            <w:tcW w:w="1078" w:type="dxa"/>
            <w:shd w:val="clear" w:color="auto" w:fill="auto"/>
            <w:noWrap/>
            <w:vAlign w:val="center"/>
            <w:hideMark/>
          </w:tcPr>
          <w:p w14:paraId="7A015B27"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5,866,837</w:t>
            </w:r>
          </w:p>
        </w:tc>
        <w:tc>
          <w:tcPr>
            <w:tcW w:w="1116" w:type="dxa"/>
            <w:shd w:val="clear" w:color="auto" w:fill="auto"/>
            <w:noWrap/>
            <w:vAlign w:val="center"/>
            <w:hideMark/>
          </w:tcPr>
          <w:p w14:paraId="2112EB0B"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2,413,279</w:t>
            </w:r>
          </w:p>
        </w:tc>
        <w:tc>
          <w:tcPr>
            <w:tcW w:w="1231" w:type="dxa"/>
            <w:shd w:val="clear" w:color="auto" w:fill="auto"/>
            <w:noWrap/>
            <w:vAlign w:val="center"/>
            <w:hideMark/>
          </w:tcPr>
          <w:p w14:paraId="6DCFD2D8"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7,774,175</w:t>
            </w:r>
          </w:p>
        </w:tc>
        <w:tc>
          <w:tcPr>
            <w:tcW w:w="1126" w:type="dxa"/>
            <w:shd w:val="clear" w:color="auto" w:fill="auto"/>
            <w:noWrap/>
            <w:vAlign w:val="center"/>
            <w:hideMark/>
          </w:tcPr>
          <w:p w14:paraId="58D89E1B"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760,049</w:t>
            </w:r>
          </w:p>
        </w:tc>
        <w:tc>
          <w:tcPr>
            <w:tcW w:w="1202" w:type="dxa"/>
            <w:shd w:val="clear" w:color="auto" w:fill="auto"/>
            <w:noWrap/>
            <w:vAlign w:val="center"/>
            <w:hideMark/>
          </w:tcPr>
          <w:p w14:paraId="0936528B"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2,054,405</w:t>
            </w:r>
          </w:p>
        </w:tc>
        <w:tc>
          <w:tcPr>
            <w:tcW w:w="1031" w:type="dxa"/>
            <w:shd w:val="clear" w:color="auto" w:fill="auto"/>
            <w:noWrap/>
            <w:vAlign w:val="center"/>
            <w:hideMark/>
          </w:tcPr>
          <w:p w14:paraId="04096515"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565,432</w:t>
            </w:r>
          </w:p>
        </w:tc>
        <w:tc>
          <w:tcPr>
            <w:tcW w:w="1116" w:type="dxa"/>
            <w:shd w:val="clear" w:color="auto" w:fill="auto"/>
            <w:noWrap/>
            <w:vAlign w:val="center"/>
            <w:hideMark/>
          </w:tcPr>
          <w:p w14:paraId="77778E26"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1,077,652</w:t>
            </w:r>
          </w:p>
        </w:tc>
        <w:tc>
          <w:tcPr>
            <w:tcW w:w="1718" w:type="dxa"/>
            <w:vAlign w:val="center"/>
          </w:tcPr>
          <w:p w14:paraId="4095387F" w14:textId="77777777" w:rsidR="00C9167C" w:rsidRPr="00CC2882" w:rsidRDefault="000F5B51" w:rsidP="004B5470">
            <w:pPr>
              <w:spacing w:after="0" w:line="240" w:lineRule="auto"/>
              <w:contextualSpacing/>
              <w:jc w:val="center"/>
              <w:rPr>
                <w:rFonts w:cs="Times New Roman"/>
                <w:b/>
                <w:szCs w:val="24"/>
              </w:rPr>
            </w:pPr>
            <w:r w:rsidRPr="00CC2882">
              <w:rPr>
                <w:rFonts w:cs="Times New Roman"/>
                <w:b/>
                <w:szCs w:val="24"/>
              </w:rPr>
              <w:t>20%</w:t>
            </w:r>
          </w:p>
        </w:tc>
        <w:tc>
          <w:tcPr>
            <w:tcW w:w="1718" w:type="dxa"/>
            <w:vAlign w:val="center"/>
          </w:tcPr>
          <w:p w14:paraId="37A5412B" w14:textId="77777777" w:rsidR="00C9167C" w:rsidRPr="00CC2882" w:rsidRDefault="000F5B51" w:rsidP="004B5470">
            <w:pPr>
              <w:spacing w:after="0" w:line="240" w:lineRule="auto"/>
              <w:contextualSpacing/>
              <w:jc w:val="center"/>
              <w:rPr>
                <w:rFonts w:cs="Times New Roman"/>
                <w:b/>
                <w:szCs w:val="24"/>
              </w:rPr>
            </w:pPr>
            <w:r w:rsidRPr="00CC2882">
              <w:rPr>
                <w:rFonts w:cs="Times New Roman"/>
                <w:b/>
                <w:szCs w:val="24"/>
              </w:rPr>
              <w:t>34%</w:t>
            </w:r>
          </w:p>
        </w:tc>
      </w:tr>
      <w:tr w:rsidR="00A15C2C" w14:paraId="3BA67D11" w14:textId="77777777" w:rsidTr="004B5470">
        <w:trPr>
          <w:trHeight w:val="288"/>
        </w:trPr>
        <w:tc>
          <w:tcPr>
            <w:tcW w:w="0" w:type="auto"/>
            <w:noWrap/>
            <w:vAlign w:val="center"/>
            <w:hideMark/>
          </w:tcPr>
          <w:p w14:paraId="004A59AC" w14:textId="77777777" w:rsidR="00C9167C" w:rsidRPr="00CC2882" w:rsidRDefault="000F5B51" w:rsidP="004B5470">
            <w:pPr>
              <w:spacing w:after="0" w:line="240" w:lineRule="auto"/>
              <w:contextualSpacing/>
              <w:rPr>
                <w:rFonts w:cs="Times New Roman"/>
                <w:b/>
                <w:szCs w:val="24"/>
              </w:rPr>
            </w:pPr>
            <w:r w:rsidRPr="00CC2882">
              <w:rPr>
                <w:rFonts w:cs="Times New Roman"/>
                <w:b/>
                <w:szCs w:val="24"/>
              </w:rPr>
              <w:t>MY 2005</w:t>
            </w:r>
          </w:p>
        </w:tc>
        <w:tc>
          <w:tcPr>
            <w:tcW w:w="1136" w:type="dxa"/>
            <w:shd w:val="clear" w:color="auto" w:fill="auto"/>
            <w:noWrap/>
            <w:vAlign w:val="center"/>
            <w:hideMark/>
          </w:tcPr>
          <w:p w14:paraId="3F5EC0F3"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508,924</w:t>
            </w:r>
          </w:p>
        </w:tc>
        <w:tc>
          <w:tcPr>
            <w:tcW w:w="1078" w:type="dxa"/>
            <w:shd w:val="clear" w:color="auto" w:fill="auto"/>
            <w:noWrap/>
            <w:vAlign w:val="center"/>
            <w:hideMark/>
          </w:tcPr>
          <w:p w14:paraId="311CFD3A"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5,814,342</w:t>
            </w:r>
          </w:p>
        </w:tc>
        <w:tc>
          <w:tcPr>
            <w:tcW w:w="1116" w:type="dxa"/>
            <w:shd w:val="clear" w:color="auto" w:fill="auto"/>
            <w:noWrap/>
            <w:vAlign w:val="center"/>
            <w:hideMark/>
          </w:tcPr>
          <w:p w14:paraId="402B5EDB"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1,490,704</w:t>
            </w:r>
          </w:p>
        </w:tc>
        <w:tc>
          <w:tcPr>
            <w:tcW w:w="1231" w:type="dxa"/>
            <w:shd w:val="clear" w:color="auto" w:fill="auto"/>
            <w:noWrap/>
            <w:vAlign w:val="center"/>
            <w:hideMark/>
          </w:tcPr>
          <w:p w14:paraId="5AE2C7A8"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8,377,820</w:t>
            </w:r>
          </w:p>
        </w:tc>
        <w:tc>
          <w:tcPr>
            <w:tcW w:w="1126" w:type="dxa"/>
            <w:shd w:val="clear" w:color="auto" w:fill="auto"/>
            <w:noWrap/>
            <w:vAlign w:val="center"/>
            <w:hideMark/>
          </w:tcPr>
          <w:p w14:paraId="4912588A"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595,381</w:t>
            </w:r>
          </w:p>
        </w:tc>
        <w:tc>
          <w:tcPr>
            <w:tcW w:w="1202" w:type="dxa"/>
            <w:shd w:val="clear" w:color="auto" w:fill="auto"/>
            <w:noWrap/>
            <w:vAlign w:val="center"/>
            <w:hideMark/>
          </w:tcPr>
          <w:p w14:paraId="5FDB7E2C"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1,902,880</w:t>
            </w:r>
          </w:p>
        </w:tc>
        <w:tc>
          <w:tcPr>
            <w:tcW w:w="1031" w:type="dxa"/>
            <w:shd w:val="clear" w:color="auto" w:fill="auto"/>
            <w:noWrap/>
            <w:vAlign w:val="center"/>
            <w:hideMark/>
          </w:tcPr>
          <w:p w14:paraId="0284483D"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561,113</w:t>
            </w:r>
          </w:p>
        </w:tc>
        <w:tc>
          <w:tcPr>
            <w:tcW w:w="1116" w:type="dxa"/>
            <w:shd w:val="clear" w:color="auto" w:fill="auto"/>
            <w:noWrap/>
            <w:vAlign w:val="center"/>
            <w:hideMark/>
          </w:tcPr>
          <w:p w14:paraId="27D3EF01"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1,128,336</w:t>
            </w:r>
          </w:p>
        </w:tc>
        <w:tc>
          <w:tcPr>
            <w:tcW w:w="1718" w:type="dxa"/>
            <w:vAlign w:val="center"/>
          </w:tcPr>
          <w:p w14:paraId="0884BE9A" w14:textId="77777777" w:rsidR="00C9167C" w:rsidRPr="00CC2882" w:rsidRDefault="000F5B51" w:rsidP="004B5470">
            <w:pPr>
              <w:spacing w:after="0" w:line="240" w:lineRule="auto"/>
              <w:contextualSpacing/>
              <w:jc w:val="center"/>
              <w:rPr>
                <w:rFonts w:cs="Times New Roman"/>
                <w:b/>
                <w:szCs w:val="24"/>
              </w:rPr>
            </w:pPr>
            <w:r w:rsidRPr="00CC2882">
              <w:rPr>
                <w:rFonts w:cs="Times New Roman"/>
                <w:b/>
                <w:szCs w:val="24"/>
              </w:rPr>
              <w:t>14%</w:t>
            </w:r>
          </w:p>
        </w:tc>
        <w:tc>
          <w:tcPr>
            <w:tcW w:w="1718" w:type="dxa"/>
            <w:vAlign w:val="center"/>
          </w:tcPr>
          <w:p w14:paraId="6790DE21" w14:textId="77777777" w:rsidR="00C9167C" w:rsidRPr="00CC2882" w:rsidRDefault="000F5B51" w:rsidP="004B5470">
            <w:pPr>
              <w:spacing w:after="0" w:line="240" w:lineRule="auto"/>
              <w:contextualSpacing/>
              <w:jc w:val="center"/>
              <w:rPr>
                <w:rFonts w:cs="Times New Roman"/>
                <w:b/>
                <w:szCs w:val="24"/>
              </w:rPr>
            </w:pPr>
            <w:r w:rsidRPr="00CC2882">
              <w:rPr>
                <w:rFonts w:cs="Times New Roman"/>
                <w:b/>
                <w:szCs w:val="24"/>
              </w:rPr>
              <w:t>22%</w:t>
            </w:r>
          </w:p>
        </w:tc>
      </w:tr>
      <w:tr w:rsidR="00A15C2C" w14:paraId="3FC5655F" w14:textId="77777777" w:rsidTr="004B5470">
        <w:trPr>
          <w:trHeight w:val="288"/>
        </w:trPr>
        <w:tc>
          <w:tcPr>
            <w:tcW w:w="0" w:type="auto"/>
            <w:noWrap/>
            <w:vAlign w:val="center"/>
            <w:hideMark/>
          </w:tcPr>
          <w:p w14:paraId="7D18D049" w14:textId="77777777" w:rsidR="00C9167C" w:rsidRPr="00CC2882" w:rsidRDefault="000F5B51" w:rsidP="004B5470">
            <w:pPr>
              <w:spacing w:after="0" w:line="240" w:lineRule="auto"/>
              <w:contextualSpacing/>
              <w:rPr>
                <w:rFonts w:cs="Times New Roman"/>
                <w:b/>
                <w:szCs w:val="24"/>
              </w:rPr>
            </w:pPr>
            <w:r w:rsidRPr="00CC2882">
              <w:rPr>
                <w:rFonts w:cs="Times New Roman"/>
                <w:b/>
                <w:szCs w:val="24"/>
              </w:rPr>
              <w:t>MY 2004</w:t>
            </w:r>
          </w:p>
        </w:tc>
        <w:tc>
          <w:tcPr>
            <w:tcW w:w="1136" w:type="dxa"/>
            <w:shd w:val="clear" w:color="auto" w:fill="auto"/>
            <w:noWrap/>
            <w:vAlign w:val="center"/>
            <w:hideMark/>
          </w:tcPr>
          <w:p w14:paraId="3BFB7BED"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411,487</w:t>
            </w:r>
          </w:p>
        </w:tc>
        <w:tc>
          <w:tcPr>
            <w:tcW w:w="1078" w:type="dxa"/>
            <w:shd w:val="clear" w:color="auto" w:fill="auto"/>
            <w:noWrap/>
            <w:vAlign w:val="center"/>
            <w:hideMark/>
          </w:tcPr>
          <w:p w14:paraId="39CE133B"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5,574,175</w:t>
            </w:r>
          </w:p>
        </w:tc>
        <w:tc>
          <w:tcPr>
            <w:tcW w:w="1116" w:type="dxa"/>
            <w:shd w:val="clear" w:color="auto" w:fill="auto"/>
            <w:noWrap/>
            <w:vAlign w:val="center"/>
            <w:hideMark/>
          </w:tcPr>
          <w:p w14:paraId="31C499FF"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1,021,330</w:t>
            </w:r>
          </w:p>
        </w:tc>
        <w:tc>
          <w:tcPr>
            <w:tcW w:w="1231" w:type="dxa"/>
            <w:shd w:val="clear" w:color="auto" w:fill="auto"/>
            <w:noWrap/>
            <w:vAlign w:val="center"/>
            <w:hideMark/>
          </w:tcPr>
          <w:p w14:paraId="5E54A420"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8,370,398</w:t>
            </w:r>
          </w:p>
        </w:tc>
        <w:tc>
          <w:tcPr>
            <w:tcW w:w="1126" w:type="dxa"/>
            <w:shd w:val="clear" w:color="auto" w:fill="auto"/>
            <w:noWrap/>
            <w:vAlign w:val="center"/>
            <w:hideMark/>
          </w:tcPr>
          <w:p w14:paraId="70294D51"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826,937</w:t>
            </w:r>
          </w:p>
        </w:tc>
        <w:tc>
          <w:tcPr>
            <w:tcW w:w="1202" w:type="dxa"/>
            <w:shd w:val="clear" w:color="auto" w:fill="auto"/>
            <w:noWrap/>
            <w:vAlign w:val="center"/>
            <w:hideMark/>
          </w:tcPr>
          <w:p w14:paraId="7B8819A1" w14:textId="77777777" w:rsidR="00C9167C" w:rsidRPr="0049452F" w:rsidRDefault="000F5B51" w:rsidP="004B5470">
            <w:pPr>
              <w:spacing w:after="0" w:line="240" w:lineRule="auto"/>
              <w:contextualSpacing/>
              <w:jc w:val="center"/>
              <w:rPr>
                <w:rFonts w:cs="Times New Roman"/>
                <w:szCs w:val="24"/>
              </w:rPr>
            </w:pPr>
            <w:r w:rsidRPr="0049452F">
              <w:rPr>
                <w:rFonts w:cs="Times New Roman"/>
                <w:szCs w:val="24"/>
              </w:rPr>
              <w:t>1,970,685</w:t>
            </w:r>
          </w:p>
        </w:tc>
        <w:tc>
          <w:tcPr>
            <w:tcW w:w="1031" w:type="dxa"/>
            <w:shd w:val="clear" w:color="auto" w:fill="auto"/>
            <w:noWrap/>
            <w:vAlign w:val="center"/>
            <w:hideMark/>
          </w:tcPr>
          <w:p w14:paraId="2F4C2369" w14:textId="77777777" w:rsidR="00C9167C" w:rsidRPr="0049452F" w:rsidRDefault="000F5B51" w:rsidP="004B5470">
            <w:pPr>
              <w:spacing w:after="0" w:line="240" w:lineRule="auto"/>
              <w:contextualSpacing/>
              <w:jc w:val="center"/>
              <w:rPr>
                <w:rFonts w:cs="Times New Roman"/>
                <w:szCs w:val="24"/>
              </w:rPr>
            </w:pPr>
            <w:r w:rsidRPr="0049452F">
              <w:rPr>
                <w:rFonts w:cs="Times New Roman"/>
                <w:szCs w:val="24"/>
              </w:rPr>
              <w:t>585,734</w:t>
            </w:r>
          </w:p>
        </w:tc>
        <w:tc>
          <w:tcPr>
            <w:tcW w:w="1116" w:type="dxa"/>
            <w:shd w:val="clear" w:color="auto" w:fill="auto"/>
            <w:noWrap/>
            <w:vAlign w:val="center"/>
            <w:hideMark/>
          </w:tcPr>
          <w:p w14:paraId="16F7389B" w14:textId="77777777" w:rsidR="00C9167C" w:rsidRPr="0049452F" w:rsidRDefault="000F5B51" w:rsidP="004B5470">
            <w:pPr>
              <w:spacing w:after="0" w:line="240" w:lineRule="auto"/>
              <w:contextualSpacing/>
              <w:jc w:val="center"/>
              <w:rPr>
                <w:rFonts w:cs="Times New Roman"/>
                <w:szCs w:val="24"/>
              </w:rPr>
            </w:pPr>
            <w:r w:rsidRPr="0049452F">
              <w:rPr>
                <w:rFonts w:cs="Times New Roman"/>
                <w:szCs w:val="24"/>
              </w:rPr>
              <w:t>1,169,647</w:t>
            </w:r>
          </w:p>
        </w:tc>
        <w:tc>
          <w:tcPr>
            <w:tcW w:w="1718" w:type="dxa"/>
            <w:vAlign w:val="center"/>
          </w:tcPr>
          <w:p w14:paraId="25435466" w14:textId="77777777" w:rsidR="00C9167C" w:rsidRPr="0049452F" w:rsidRDefault="000F5B51" w:rsidP="004B5470">
            <w:pPr>
              <w:spacing w:after="0" w:line="240" w:lineRule="auto"/>
              <w:contextualSpacing/>
              <w:jc w:val="center"/>
              <w:rPr>
                <w:rFonts w:cs="Times New Roman"/>
                <w:b/>
                <w:bCs/>
                <w:szCs w:val="24"/>
              </w:rPr>
            </w:pPr>
            <w:r w:rsidRPr="0049452F">
              <w:rPr>
                <w:rFonts w:cs="Times New Roman"/>
                <w:b/>
                <w:bCs/>
                <w:szCs w:val="24"/>
              </w:rPr>
              <w:t>16%</w:t>
            </w:r>
          </w:p>
        </w:tc>
        <w:tc>
          <w:tcPr>
            <w:tcW w:w="1718" w:type="dxa"/>
            <w:vAlign w:val="center"/>
          </w:tcPr>
          <w:p w14:paraId="2309887A" w14:textId="77777777" w:rsidR="00C9167C" w:rsidRPr="0049452F" w:rsidRDefault="000F5B51" w:rsidP="004B5470">
            <w:pPr>
              <w:spacing w:after="0" w:line="240" w:lineRule="auto"/>
              <w:contextualSpacing/>
              <w:jc w:val="center"/>
              <w:rPr>
                <w:rFonts w:cs="Times New Roman"/>
                <w:b/>
                <w:bCs/>
                <w:szCs w:val="24"/>
              </w:rPr>
            </w:pPr>
            <w:r w:rsidRPr="0049452F">
              <w:rPr>
                <w:rFonts w:cs="Times New Roman"/>
                <w:b/>
                <w:bCs/>
                <w:szCs w:val="24"/>
              </w:rPr>
              <w:t>17%</w:t>
            </w:r>
          </w:p>
        </w:tc>
      </w:tr>
      <w:tr w:rsidR="00A15C2C" w14:paraId="1ACAD458" w14:textId="77777777" w:rsidTr="004B5470">
        <w:trPr>
          <w:trHeight w:val="288"/>
        </w:trPr>
        <w:tc>
          <w:tcPr>
            <w:tcW w:w="0" w:type="auto"/>
            <w:noWrap/>
            <w:vAlign w:val="center"/>
            <w:hideMark/>
          </w:tcPr>
          <w:p w14:paraId="12CEB812" w14:textId="77777777" w:rsidR="00C9167C" w:rsidRPr="00CC2882" w:rsidRDefault="000F5B51" w:rsidP="004B5470">
            <w:pPr>
              <w:spacing w:after="0" w:line="240" w:lineRule="auto"/>
              <w:contextualSpacing/>
              <w:rPr>
                <w:rFonts w:cs="Times New Roman"/>
                <w:b/>
                <w:szCs w:val="24"/>
              </w:rPr>
            </w:pPr>
            <w:r w:rsidRPr="00CC2882">
              <w:rPr>
                <w:rFonts w:cs="Times New Roman"/>
                <w:b/>
                <w:szCs w:val="24"/>
              </w:rPr>
              <w:t>MY 2003</w:t>
            </w:r>
          </w:p>
        </w:tc>
        <w:tc>
          <w:tcPr>
            <w:tcW w:w="1136" w:type="dxa"/>
            <w:shd w:val="clear" w:color="auto" w:fill="auto"/>
            <w:noWrap/>
            <w:vAlign w:val="center"/>
            <w:hideMark/>
          </w:tcPr>
          <w:p w14:paraId="1F7833C0"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209,843</w:t>
            </w:r>
          </w:p>
        </w:tc>
        <w:tc>
          <w:tcPr>
            <w:tcW w:w="1078" w:type="dxa"/>
            <w:shd w:val="clear" w:color="auto" w:fill="auto"/>
            <w:noWrap/>
            <w:vAlign w:val="center"/>
            <w:hideMark/>
          </w:tcPr>
          <w:p w14:paraId="616622D7"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6,432,180</w:t>
            </w:r>
          </w:p>
        </w:tc>
        <w:tc>
          <w:tcPr>
            <w:tcW w:w="1116" w:type="dxa"/>
            <w:shd w:val="clear" w:color="auto" w:fill="auto"/>
            <w:noWrap/>
            <w:vAlign w:val="center"/>
            <w:hideMark/>
          </w:tcPr>
          <w:p w14:paraId="265386FF"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652,441</w:t>
            </w:r>
          </w:p>
        </w:tc>
        <w:tc>
          <w:tcPr>
            <w:tcW w:w="1231" w:type="dxa"/>
            <w:shd w:val="clear" w:color="auto" w:fill="auto"/>
            <w:noWrap/>
            <w:vAlign w:val="center"/>
            <w:hideMark/>
          </w:tcPr>
          <w:p w14:paraId="6D6EA5E6"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8,370,398</w:t>
            </w:r>
          </w:p>
        </w:tc>
        <w:tc>
          <w:tcPr>
            <w:tcW w:w="1126" w:type="dxa"/>
            <w:shd w:val="clear" w:color="auto" w:fill="auto"/>
            <w:noWrap/>
            <w:vAlign w:val="center"/>
            <w:hideMark/>
          </w:tcPr>
          <w:p w14:paraId="48DF4A69" w14:textId="77777777" w:rsidR="00C9167C" w:rsidRPr="00CC2882" w:rsidRDefault="000F5B51" w:rsidP="004B5470">
            <w:pPr>
              <w:spacing w:after="0" w:line="240" w:lineRule="auto"/>
              <w:contextualSpacing/>
              <w:jc w:val="center"/>
              <w:rPr>
                <w:rFonts w:cs="Times New Roman"/>
                <w:szCs w:val="24"/>
              </w:rPr>
            </w:pPr>
            <w:r w:rsidRPr="00CC2882">
              <w:rPr>
                <w:rFonts w:cs="Times New Roman"/>
                <w:szCs w:val="24"/>
              </w:rPr>
              <w:t>759,230</w:t>
            </w:r>
          </w:p>
        </w:tc>
        <w:tc>
          <w:tcPr>
            <w:tcW w:w="1202" w:type="dxa"/>
            <w:shd w:val="clear" w:color="auto" w:fill="auto"/>
            <w:noWrap/>
            <w:vAlign w:val="center"/>
            <w:hideMark/>
          </w:tcPr>
          <w:p w14:paraId="393680AD" w14:textId="77777777" w:rsidR="00C9167C" w:rsidRPr="00E752A0" w:rsidRDefault="000F5B51" w:rsidP="004B5470">
            <w:pPr>
              <w:spacing w:after="0" w:line="240" w:lineRule="auto"/>
              <w:contextualSpacing/>
              <w:jc w:val="center"/>
              <w:rPr>
                <w:rFonts w:cs="Times New Roman"/>
                <w:szCs w:val="24"/>
              </w:rPr>
            </w:pPr>
            <w:r w:rsidRPr="0049452F">
              <w:rPr>
                <w:rFonts w:cs="Times New Roman"/>
                <w:szCs w:val="24"/>
              </w:rPr>
              <w:t>2,076</w:t>
            </w:r>
            <w:r w:rsidRPr="00E752A0">
              <w:rPr>
                <w:rFonts w:cs="Times New Roman"/>
                <w:szCs w:val="24"/>
              </w:rPr>
              <w:t>,711</w:t>
            </w:r>
          </w:p>
        </w:tc>
        <w:tc>
          <w:tcPr>
            <w:tcW w:w="1031" w:type="dxa"/>
            <w:shd w:val="clear" w:color="auto" w:fill="auto"/>
            <w:noWrap/>
            <w:vAlign w:val="center"/>
            <w:hideMark/>
          </w:tcPr>
          <w:p w14:paraId="7AF34137" w14:textId="77777777" w:rsidR="00C9167C" w:rsidRPr="00E752A0" w:rsidRDefault="000F5B51" w:rsidP="004B5470">
            <w:pPr>
              <w:spacing w:after="0" w:line="240" w:lineRule="auto"/>
              <w:contextualSpacing/>
              <w:jc w:val="center"/>
              <w:rPr>
                <w:rFonts w:cs="Times New Roman"/>
                <w:szCs w:val="24"/>
              </w:rPr>
            </w:pPr>
            <w:r w:rsidRPr="00E752A0">
              <w:rPr>
                <w:rFonts w:cs="Times New Roman"/>
                <w:szCs w:val="24"/>
              </w:rPr>
              <w:t>369,101</w:t>
            </w:r>
          </w:p>
        </w:tc>
        <w:tc>
          <w:tcPr>
            <w:tcW w:w="1116" w:type="dxa"/>
            <w:shd w:val="clear" w:color="auto" w:fill="auto"/>
            <w:noWrap/>
            <w:vAlign w:val="center"/>
            <w:hideMark/>
          </w:tcPr>
          <w:p w14:paraId="6119C90C" w14:textId="77777777" w:rsidR="00C9167C" w:rsidRPr="00E752A0" w:rsidRDefault="000F5B51" w:rsidP="004B5470">
            <w:pPr>
              <w:spacing w:after="0" w:line="240" w:lineRule="auto"/>
              <w:contextualSpacing/>
              <w:jc w:val="center"/>
              <w:rPr>
                <w:rFonts w:cs="Times New Roman"/>
                <w:szCs w:val="24"/>
              </w:rPr>
            </w:pPr>
            <w:r w:rsidRPr="00E752A0">
              <w:rPr>
                <w:rFonts w:cs="Times New Roman"/>
                <w:szCs w:val="24"/>
              </w:rPr>
              <w:t>1,153,783</w:t>
            </w:r>
          </w:p>
        </w:tc>
        <w:tc>
          <w:tcPr>
            <w:tcW w:w="1718" w:type="dxa"/>
            <w:vAlign w:val="center"/>
          </w:tcPr>
          <w:p w14:paraId="3542CB1E" w14:textId="77777777" w:rsidR="00C9167C" w:rsidRPr="00E752A0" w:rsidRDefault="000F5B51" w:rsidP="004B5470">
            <w:pPr>
              <w:spacing w:after="0" w:line="240" w:lineRule="auto"/>
              <w:contextualSpacing/>
              <w:jc w:val="center"/>
              <w:rPr>
                <w:rFonts w:cs="Times New Roman"/>
                <w:b/>
                <w:bCs/>
                <w:szCs w:val="24"/>
              </w:rPr>
            </w:pPr>
            <w:r w:rsidRPr="00E752A0">
              <w:rPr>
                <w:rFonts w:cs="Times New Roman"/>
                <w:b/>
                <w:bCs/>
                <w:szCs w:val="24"/>
              </w:rPr>
              <w:t>11%</w:t>
            </w:r>
          </w:p>
        </w:tc>
        <w:tc>
          <w:tcPr>
            <w:tcW w:w="1718" w:type="dxa"/>
            <w:vAlign w:val="center"/>
          </w:tcPr>
          <w:p w14:paraId="5E771E1B" w14:textId="77777777" w:rsidR="00C9167C" w:rsidRPr="00E752A0" w:rsidRDefault="000F5B51" w:rsidP="004B5470">
            <w:pPr>
              <w:spacing w:after="0" w:line="240" w:lineRule="auto"/>
              <w:contextualSpacing/>
              <w:jc w:val="center"/>
              <w:rPr>
                <w:rFonts w:cs="Times New Roman"/>
                <w:b/>
                <w:bCs/>
                <w:szCs w:val="24"/>
              </w:rPr>
            </w:pPr>
            <w:r w:rsidRPr="00E752A0">
              <w:rPr>
                <w:rFonts w:cs="Times New Roman"/>
                <w:b/>
                <w:bCs/>
                <w:szCs w:val="24"/>
              </w:rPr>
              <w:t>11%</w:t>
            </w:r>
          </w:p>
        </w:tc>
      </w:tr>
    </w:tbl>
    <w:p w14:paraId="7240E1F9" w14:textId="77777777" w:rsidR="00C9167C" w:rsidRPr="005E3D4C" w:rsidRDefault="000F5B51" w:rsidP="00C9167C">
      <w:pPr>
        <w:spacing w:after="0" w:line="240" w:lineRule="auto"/>
        <w:contextualSpacing/>
        <w:rPr>
          <w:rFonts w:cs="Times New Roman"/>
          <w:sz w:val="18"/>
          <w:szCs w:val="18"/>
        </w:rPr>
      </w:pPr>
      <w:r w:rsidRPr="005E3D4C">
        <w:rPr>
          <w:rFonts w:cs="Times New Roman"/>
          <w:sz w:val="18"/>
          <w:szCs w:val="18"/>
        </w:rPr>
        <w:t>*DOM = Domestic Vehicles, IMP = Imported Vehicles</w:t>
      </w:r>
    </w:p>
    <w:p w14:paraId="3E29FB87" w14:textId="4FE58854" w:rsidR="00C9167C" w:rsidRPr="005E3D4C" w:rsidRDefault="000F5B51" w:rsidP="00C9167C">
      <w:pPr>
        <w:spacing w:after="0" w:line="240" w:lineRule="auto"/>
        <w:contextualSpacing/>
        <w:rPr>
          <w:rFonts w:cs="Times New Roman"/>
          <w:sz w:val="18"/>
          <w:szCs w:val="18"/>
        </w:rPr>
      </w:pPr>
      <w:r w:rsidRPr="005E3D4C">
        <w:rPr>
          <w:rFonts w:cs="Times New Roman"/>
          <w:sz w:val="18"/>
          <w:szCs w:val="18"/>
        </w:rPr>
        <w:t>** MY2003 (2004 Wards) did NOT list Stability control for MY2003 DOM LTVs</w:t>
      </w:r>
      <w:r w:rsidR="001F2F92">
        <w:rPr>
          <w:rFonts w:cs="Times New Roman"/>
          <w:sz w:val="18"/>
          <w:szCs w:val="18"/>
        </w:rPr>
        <w:t xml:space="preserve">. </w:t>
      </w:r>
      <w:r w:rsidRPr="005E3D4C">
        <w:rPr>
          <w:rFonts w:cs="Times New Roman"/>
          <w:sz w:val="18"/>
          <w:szCs w:val="18"/>
        </w:rPr>
        <w:t>We'll approximate with a 64% decrease compared to MY2004, to match IMP LTVs</w:t>
      </w:r>
      <w:r w:rsidR="001F2F92">
        <w:rPr>
          <w:rFonts w:cs="Times New Roman"/>
          <w:sz w:val="18"/>
          <w:szCs w:val="18"/>
        </w:rPr>
        <w:t xml:space="preserve">. </w:t>
      </w:r>
      <w:r w:rsidRPr="005E3D4C">
        <w:rPr>
          <w:rFonts w:cs="Times New Roman"/>
          <w:sz w:val="18"/>
          <w:szCs w:val="18"/>
        </w:rPr>
        <w:t>This matches the ratio of the MY2004 IMP LTV change (50%) and the MY2003 IMP LTV change (32%)</w:t>
      </w:r>
      <w:r w:rsidR="001F2F92">
        <w:rPr>
          <w:rFonts w:cs="Times New Roman"/>
          <w:sz w:val="18"/>
          <w:szCs w:val="18"/>
        </w:rPr>
        <w:t xml:space="preserve">. </w:t>
      </w:r>
      <w:r w:rsidRPr="005E3D4C">
        <w:rPr>
          <w:rFonts w:cs="Times New Roman"/>
          <w:sz w:val="18"/>
          <w:szCs w:val="18"/>
        </w:rPr>
        <w:t xml:space="preserve">Thus, the domestic LTV numbers for MY2003 are estimated, and all other numbers in the table come </w:t>
      </w:r>
      <w:r w:rsidRPr="005E3D4C">
        <w:rPr>
          <w:rFonts w:cs="Times New Roman"/>
          <w:i/>
          <w:sz w:val="18"/>
          <w:szCs w:val="18"/>
        </w:rPr>
        <w:t>directly</w:t>
      </w:r>
      <w:r w:rsidRPr="005E3D4C">
        <w:rPr>
          <w:rFonts w:cs="Times New Roman"/>
          <w:sz w:val="18"/>
          <w:szCs w:val="18"/>
        </w:rPr>
        <w:t xml:space="preserve"> from Wards</w:t>
      </w:r>
      <w:r w:rsidR="001F2F92">
        <w:rPr>
          <w:rFonts w:cs="Times New Roman"/>
          <w:sz w:val="18"/>
          <w:szCs w:val="18"/>
        </w:rPr>
        <w:t xml:space="preserve">. </w:t>
      </w:r>
    </w:p>
    <w:p w14:paraId="6BA33D70" w14:textId="77777777" w:rsidR="00C9167C" w:rsidRPr="005E3D4C" w:rsidRDefault="000F5B51" w:rsidP="00C9167C">
      <w:pPr>
        <w:spacing w:after="0" w:line="240" w:lineRule="auto"/>
        <w:contextualSpacing/>
        <w:rPr>
          <w:rFonts w:cs="Times New Roman"/>
          <w:sz w:val="18"/>
          <w:szCs w:val="18"/>
        </w:rPr>
      </w:pPr>
      <w:r w:rsidRPr="005E3D4C">
        <w:rPr>
          <w:rFonts w:cs="Times New Roman"/>
          <w:sz w:val="18"/>
          <w:szCs w:val="18"/>
        </w:rPr>
        <w:t>*** MY 2012 data not taken from Wards as 100% of vehicles will be equipped to meet the rule.</w:t>
      </w:r>
    </w:p>
    <w:p w14:paraId="7078D1E5" w14:textId="77777777" w:rsidR="00C9167C" w:rsidRPr="005E3D4C" w:rsidRDefault="00C9167C" w:rsidP="00C9167C">
      <w:pPr>
        <w:spacing w:after="0" w:line="240" w:lineRule="auto"/>
        <w:contextualSpacing/>
        <w:rPr>
          <w:rFonts w:cs="Times New Roman"/>
          <w:sz w:val="18"/>
          <w:szCs w:val="18"/>
        </w:rPr>
      </w:pPr>
    </w:p>
    <w:p w14:paraId="661920B8" w14:textId="77777777" w:rsidR="00C9167C" w:rsidRDefault="00C9167C" w:rsidP="00CE2EC1">
      <w:pPr>
        <w:spacing w:after="0"/>
        <w:rPr>
          <w:rFonts w:eastAsia="Times New Roman" w:cs="Times New Roman"/>
          <w:szCs w:val="24"/>
        </w:rPr>
        <w:sectPr w:rsidR="00C9167C" w:rsidSect="00C9167C">
          <w:pgSz w:w="15840" w:h="12240" w:orient="landscape" w:code="1"/>
          <w:pgMar w:top="1440" w:right="1440" w:bottom="1440" w:left="1440" w:header="720" w:footer="720" w:gutter="0"/>
          <w:cols w:space="720"/>
          <w:docGrid w:linePitch="360"/>
        </w:sectPr>
      </w:pPr>
    </w:p>
    <w:p w14:paraId="6D092DA6" w14:textId="62EB6039" w:rsidR="00CE2EC1" w:rsidRDefault="000F5B51" w:rsidP="00CE2EC1">
      <w:pPr>
        <w:spacing w:after="0"/>
        <w:rPr>
          <w:rFonts w:eastAsia="Times New Roman" w:cs="Times New Roman"/>
          <w:szCs w:val="24"/>
        </w:rPr>
      </w:pPr>
      <w:r>
        <w:rPr>
          <w:rFonts w:eastAsia="Times New Roman" w:cs="Times New Roman"/>
          <w:szCs w:val="24"/>
        </w:rPr>
        <w:lastRenderedPageBreak/>
        <w:fldChar w:fldCharType="begin"/>
      </w:r>
      <w:r>
        <w:rPr>
          <w:rFonts w:eastAsia="Times New Roman" w:cs="Times New Roman"/>
          <w:szCs w:val="24"/>
        </w:rPr>
        <w:instrText xml:space="preserve"> REF _Ref127353069 \h </w:instrText>
      </w:r>
      <w:r>
        <w:rPr>
          <w:rFonts w:eastAsia="Times New Roman" w:cs="Times New Roman"/>
          <w:szCs w:val="24"/>
        </w:rPr>
      </w:r>
      <w:r>
        <w:rPr>
          <w:rFonts w:eastAsia="Times New Roman" w:cs="Times New Roman"/>
          <w:szCs w:val="24"/>
        </w:rPr>
        <w:fldChar w:fldCharType="separate"/>
      </w:r>
      <w:r w:rsidR="00A65CB3">
        <w:t xml:space="preserve">Table </w:t>
      </w:r>
      <w:r w:rsidR="00A65CB3">
        <w:rPr>
          <w:noProof/>
        </w:rPr>
        <w:t>107</w:t>
      </w:r>
      <w:r>
        <w:rPr>
          <w:rFonts w:eastAsia="Times New Roman" w:cs="Times New Roman"/>
          <w:szCs w:val="24"/>
        </w:rPr>
        <w:fldChar w:fldCharType="end"/>
      </w:r>
      <w:r>
        <w:rPr>
          <w:rFonts w:eastAsia="Times New Roman" w:cs="Times New Roman"/>
          <w:szCs w:val="24"/>
        </w:rPr>
        <w:t xml:space="preserve"> and </w:t>
      </w:r>
      <w:r>
        <w:rPr>
          <w:rFonts w:eastAsia="Times New Roman" w:cs="Times New Roman"/>
          <w:szCs w:val="24"/>
        </w:rPr>
        <w:fldChar w:fldCharType="begin"/>
      </w:r>
      <w:r>
        <w:rPr>
          <w:rFonts w:eastAsia="Times New Roman" w:cs="Times New Roman"/>
          <w:szCs w:val="24"/>
        </w:rPr>
        <w:instrText xml:space="preserve"> REF _Ref127353076 \h </w:instrText>
      </w:r>
      <w:r>
        <w:rPr>
          <w:rFonts w:eastAsia="Times New Roman" w:cs="Times New Roman"/>
          <w:szCs w:val="24"/>
        </w:rPr>
      </w:r>
      <w:r>
        <w:rPr>
          <w:rFonts w:eastAsia="Times New Roman" w:cs="Times New Roman"/>
          <w:szCs w:val="24"/>
        </w:rPr>
        <w:fldChar w:fldCharType="separate"/>
      </w:r>
      <w:r w:rsidR="00A65CB3">
        <w:t xml:space="preserve">Table </w:t>
      </w:r>
      <w:r w:rsidR="00A65CB3">
        <w:rPr>
          <w:noProof/>
        </w:rPr>
        <w:t>108</w:t>
      </w:r>
      <w:r>
        <w:rPr>
          <w:rFonts w:eastAsia="Times New Roman" w:cs="Times New Roman"/>
          <w:szCs w:val="24"/>
        </w:rPr>
        <w:fldChar w:fldCharType="end"/>
      </w:r>
      <w:r>
        <w:rPr>
          <w:rFonts w:eastAsia="Times New Roman" w:cs="Times New Roman"/>
          <w:szCs w:val="24"/>
        </w:rPr>
        <w:t xml:space="preserve"> present the procedure used to derive ESC adjustment f</w:t>
      </w:r>
      <w:r w:rsidRPr="00A37FDB">
        <w:rPr>
          <w:rFonts w:eastAsia="Times New Roman" w:cs="Times New Roman"/>
          <w:szCs w:val="24"/>
        </w:rPr>
        <w:t>actors</w:t>
      </w:r>
      <w:r>
        <w:rPr>
          <w:rFonts w:eastAsia="Times New Roman" w:cs="Times New Roman"/>
          <w:szCs w:val="24"/>
        </w:rPr>
        <w:t xml:space="preserve"> for PC and LTV, respectively. This procedure first makes use of the survival probability for a given year. That survival probability for a given year is divided by the sum of all survival probabilities to create a “survival proportion.”  The corresponding values of the adjustment factor for ESC by vehicle type and crash type are then multiplied by the proportion of vehicles surviving which did not have ESC. To calculate the resulting adjustment factor that value is added to the exposure with ESC value.</w:t>
      </w:r>
      <w:r>
        <w:rPr>
          <w:rStyle w:val="FootnoteReference"/>
          <w:rFonts w:eastAsia="Times New Roman" w:cs="Times New Roman"/>
          <w:szCs w:val="24"/>
        </w:rPr>
        <w:footnoteReference w:id="81"/>
      </w:r>
      <w:r>
        <w:rPr>
          <w:rFonts w:eastAsia="Times New Roman" w:cs="Times New Roman"/>
          <w:szCs w:val="24"/>
        </w:rPr>
        <w:t xml:space="preserve"> Lastly, these four columns which account for the four crash types consider are each summed, respectively, across all years. The sum for each column is the adjustment factor for the given vehicle and crash type</w:t>
      </w:r>
      <w:r w:rsidR="001F2F92">
        <w:rPr>
          <w:rFonts w:eastAsia="Times New Roman" w:cs="Times New Roman"/>
          <w:szCs w:val="24"/>
        </w:rPr>
        <w:t xml:space="preserve">. </w:t>
      </w:r>
    </w:p>
    <w:p w14:paraId="14292E58" w14:textId="307094F6" w:rsidR="00CE2EC1" w:rsidRPr="00B8116B" w:rsidRDefault="000F5B51" w:rsidP="00CE2EC1">
      <w:pPr>
        <w:pStyle w:val="Caption"/>
      </w:pPr>
      <w:bookmarkStart w:id="2010" w:name="_Ref127353069"/>
      <w:r>
        <w:t xml:space="preserve">Table </w:t>
      </w:r>
      <w:r w:rsidR="00115BAB">
        <w:fldChar w:fldCharType="begin"/>
      </w:r>
      <w:r>
        <w:instrText xml:space="preserve"> SEQ Table \* ARABIC </w:instrText>
      </w:r>
      <w:r w:rsidR="00115BAB">
        <w:fldChar w:fldCharType="separate"/>
      </w:r>
      <w:r w:rsidR="00A65CB3">
        <w:rPr>
          <w:noProof/>
        </w:rPr>
        <w:t>107</w:t>
      </w:r>
      <w:r w:rsidR="00115BAB">
        <w:rPr>
          <w:noProof/>
        </w:rPr>
        <w:fldChar w:fldCharType="end"/>
      </w:r>
      <w:bookmarkEnd w:id="2010"/>
      <w:r>
        <w:t xml:space="preserve">: </w:t>
      </w:r>
      <w:r w:rsidRPr="00234264">
        <w:t>Calculation for ESC adjustment factor, PCs</w:t>
      </w:r>
    </w:p>
    <w:tbl>
      <w:tblPr>
        <w:tblW w:w="10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0"/>
        <w:gridCol w:w="1083"/>
        <w:gridCol w:w="1092"/>
        <w:gridCol w:w="603"/>
        <w:gridCol w:w="603"/>
        <w:gridCol w:w="603"/>
        <w:gridCol w:w="603"/>
        <w:gridCol w:w="603"/>
        <w:gridCol w:w="603"/>
        <w:gridCol w:w="603"/>
        <w:gridCol w:w="603"/>
        <w:gridCol w:w="720"/>
        <w:gridCol w:w="720"/>
        <w:gridCol w:w="720"/>
        <w:gridCol w:w="720"/>
      </w:tblGrid>
      <w:tr w:rsidR="00A15C2C" w14:paraId="5989A8CE" w14:textId="77777777" w:rsidTr="003C04C4">
        <w:trPr>
          <w:trHeight w:val="2205"/>
          <w:jc w:val="center"/>
        </w:trPr>
        <w:tc>
          <w:tcPr>
            <w:tcW w:w="700" w:type="dxa"/>
            <w:shd w:val="clear" w:color="4472C4" w:fill="4472C4"/>
            <w:noWrap/>
            <w:vAlign w:val="center"/>
            <w:hideMark/>
          </w:tcPr>
          <w:p w14:paraId="0AE3B552" w14:textId="77777777" w:rsidR="00CE2EC1" w:rsidRPr="00B8116B" w:rsidRDefault="000F5B51" w:rsidP="003C04C4">
            <w:pPr>
              <w:spacing w:after="0"/>
              <w:contextualSpacing/>
              <w:rPr>
                <w:rFonts w:eastAsia="Times New Roman" w:cs="Times New Roman"/>
                <w:b/>
                <w:bCs/>
                <w:szCs w:val="24"/>
              </w:rPr>
            </w:pPr>
            <w:r w:rsidRPr="00E752A0">
              <w:rPr>
                <w:rFonts w:eastAsia="Times New Roman" w:cs="Times New Roman"/>
                <w:b/>
                <w:bCs/>
                <w:color w:val="FFFFFF" w:themeColor="background1"/>
                <w:szCs w:val="24"/>
              </w:rPr>
              <w:t>MY</w:t>
            </w:r>
          </w:p>
        </w:tc>
        <w:tc>
          <w:tcPr>
            <w:tcW w:w="1083" w:type="dxa"/>
            <w:shd w:val="clear" w:color="4472C4" w:fill="4472C4"/>
            <w:noWrap/>
            <w:textDirection w:val="btLr"/>
            <w:vAlign w:val="center"/>
            <w:hideMark/>
          </w:tcPr>
          <w:p w14:paraId="5CAFCBFA" w14:textId="77777777" w:rsidR="00CE2EC1" w:rsidRPr="0090514F" w:rsidRDefault="000F5B51" w:rsidP="003C04C4">
            <w:pPr>
              <w:spacing w:after="0"/>
              <w:contextualSpacing/>
              <w:jc w:val="center"/>
              <w:rPr>
                <w:rFonts w:eastAsia="Times New Roman" w:cs="Times New Roman"/>
                <w:b/>
                <w:bCs/>
                <w:szCs w:val="24"/>
              </w:rPr>
            </w:pPr>
            <w:r w:rsidRPr="00E752A0">
              <w:rPr>
                <w:rFonts w:cs="Times New Roman"/>
                <w:b/>
                <w:bCs/>
                <w:color w:val="FFFFFF"/>
                <w:szCs w:val="24"/>
              </w:rPr>
              <w:t>Survival Probability</w:t>
            </w:r>
          </w:p>
        </w:tc>
        <w:tc>
          <w:tcPr>
            <w:tcW w:w="1092" w:type="dxa"/>
            <w:shd w:val="clear" w:color="4472C4" w:fill="4472C4"/>
            <w:noWrap/>
            <w:textDirection w:val="btLr"/>
            <w:vAlign w:val="center"/>
            <w:hideMark/>
          </w:tcPr>
          <w:p w14:paraId="5F3110B5" w14:textId="77777777" w:rsidR="00CE2EC1" w:rsidRPr="0090514F" w:rsidRDefault="000F5B51" w:rsidP="003C04C4">
            <w:pPr>
              <w:spacing w:after="0"/>
              <w:contextualSpacing/>
              <w:jc w:val="center"/>
              <w:rPr>
                <w:rFonts w:eastAsia="Times New Roman" w:cs="Times New Roman"/>
                <w:b/>
                <w:bCs/>
                <w:szCs w:val="24"/>
              </w:rPr>
            </w:pPr>
            <w:r w:rsidRPr="00E752A0">
              <w:rPr>
                <w:rFonts w:cs="Times New Roman"/>
                <w:b/>
                <w:bCs/>
                <w:color w:val="FFFFFF"/>
                <w:szCs w:val="24"/>
              </w:rPr>
              <w:t>Survival Proportion</w:t>
            </w:r>
          </w:p>
        </w:tc>
        <w:tc>
          <w:tcPr>
            <w:tcW w:w="588" w:type="dxa"/>
            <w:shd w:val="clear" w:color="4472C4" w:fill="4472C4"/>
            <w:noWrap/>
            <w:textDirection w:val="btLr"/>
            <w:vAlign w:val="center"/>
            <w:hideMark/>
          </w:tcPr>
          <w:p w14:paraId="785AD641" w14:textId="77777777" w:rsidR="00CE2EC1" w:rsidRPr="00E752A0" w:rsidRDefault="000F5B51" w:rsidP="003C04C4">
            <w:pPr>
              <w:spacing w:after="0"/>
              <w:contextualSpacing/>
              <w:jc w:val="center"/>
              <w:rPr>
                <w:rFonts w:eastAsia="Times New Roman" w:cs="Times New Roman"/>
                <w:b/>
                <w:bCs/>
                <w:color w:val="FFFFFF" w:themeColor="background1"/>
                <w:szCs w:val="24"/>
              </w:rPr>
            </w:pPr>
            <w:r w:rsidRPr="00E752A0">
              <w:rPr>
                <w:rFonts w:eastAsia="Times New Roman" w:cs="Times New Roman"/>
                <w:b/>
                <w:bCs/>
                <w:color w:val="FFFFFF" w:themeColor="background1"/>
                <w:szCs w:val="24"/>
              </w:rPr>
              <w:t>w/ ESC</w:t>
            </w:r>
          </w:p>
        </w:tc>
        <w:tc>
          <w:tcPr>
            <w:tcW w:w="588" w:type="dxa"/>
            <w:shd w:val="clear" w:color="4472C4" w:fill="4472C4"/>
            <w:noWrap/>
            <w:textDirection w:val="btLr"/>
            <w:vAlign w:val="center"/>
            <w:hideMark/>
          </w:tcPr>
          <w:p w14:paraId="4FDA6809" w14:textId="77777777" w:rsidR="00CE2EC1" w:rsidRPr="00E752A0" w:rsidRDefault="000F5B51" w:rsidP="003C04C4">
            <w:pPr>
              <w:spacing w:after="0"/>
              <w:contextualSpacing/>
              <w:jc w:val="center"/>
              <w:rPr>
                <w:rFonts w:eastAsia="Times New Roman" w:cs="Times New Roman"/>
                <w:b/>
                <w:bCs/>
                <w:color w:val="FFFFFF" w:themeColor="background1"/>
                <w:szCs w:val="24"/>
              </w:rPr>
            </w:pPr>
            <w:r w:rsidRPr="00E752A0">
              <w:rPr>
                <w:rFonts w:eastAsia="Times New Roman" w:cs="Times New Roman"/>
                <w:b/>
                <w:bCs/>
                <w:color w:val="FFFFFF" w:themeColor="background1"/>
                <w:szCs w:val="24"/>
              </w:rPr>
              <w:t>w/o ESC</w:t>
            </w:r>
          </w:p>
        </w:tc>
        <w:tc>
          <w:tcPr>
            <w:tcW w:w="588" w:type="dxa"/>
            <w:shd w:val="clear" w:color="000000" w:fill="CC99FF"/>
            <w:noWrap/>
            <w:textDirection w:val="btLr"/>
            <w:vAlign w:val="center"/>
            <w:hideMark/>
          </w:tcPr>
          <w:p w14:paraId="08D5F4D1" w14:textId="77777777" w:rsidR="00CE2EC1" w:rsidRPr="00E752A0" w:rsidRDefault="000F5B51" w:rsidP="003C04C4">
            <w:pPr>
              <w:spacing w:after="0"/>
              <w:contextualSpacing/>
              <w:jc w:val="center"/>
              <w:rPr>
                <w:rFonts w:eastAsia="Times New Roman" w:cs="Times New Roman"/>
                <w:b/>
                <w:bCs/>
                <w:color w:val="FFFFFF" w:themeColor="background1"/>
                <w:szCs w:val="24"/>
              </w:rPr>
            </w:pPr>
            <w:r>
              <w:rPr>
                <w:rFonts w:eastAsia="Times New Roman" w:cs="Times New Roman"/>
                <w:b/>
                <w:bCs/>
                <w:color w:val="FFFFFF" w:themeColor="background1"/>
                <w:szCs w:val="24"/>
              </w:rPr>
              <w:t>Survival</w:t>
            </w:r>
            <w:r w:rsidRPr="00E752A0">
              <w:rPr>
                <w:rFonts w:eastAsia="Times New Roman" w:cs="Times New Roman"/>
                <w:b/>
                <w:bCs/>
                <w:color w:val="FFFFFF" w:themeColor="background1"/>
                <w:szCs w:val="24"/>
              </w:rPr>
              <w:t xml:space="preserve"> w/ESC</w:t>
            </w:r>
          </w:p>
        </w:tc>
        <w:tc>
          <w:tcPr>
            <w:tcW w:w="588" w:type="dxa"/>
            <w:shd w:val="clear" w:color="000000" w:fill="CC99FF"/>
            <w:noWrap/>
            <w:textDirection w:val="btLr"/>
            <w:vAlign w:val="center"/>
            <w:hideMark/>
          </w:tcPr>
          <w:p w14:paraId="131DBDB6" w14:textId="77777777" w:rsidR="00CE2EC1" w:rsidRPr="00E752A0" w:rsidRDefault="000F5B51" w:rsidP="003C04C4">
            <w:pPr>
              <w:spacing w:after="0"/>
              <w:contextualSpacing/>
              <w:jc w:val="center"/>
              <w:rPr>
                <w:rFonts w:eastAsia="Times New Roman" w:cs="Times New Roman"/>
                <w:b/>
                <w:bCs/>
                <w:color w:val="FFFFFF" w:themeColor="background1"/>
                <w:szCs w:val="24"/>
              </w:rPr>
            </w:pPr>
            <w:r>
              <w:rPr>
                <w:rFonts w:eastAsia="Times New Roman" w:cs="Times New Roman"/>
                <w:b/>
                <w:bCs/>
                <w:color w:val="FFFFFF" w:themeColor="background1"/>
                <w:szCs w:val="24"/>
              </w:rPr>
              <w:t>Survival</w:t>
            </w:r>
            <w:r w:rsidRPr="00E752A0">
              <w:rPr>
                <w:rFonts w:eastAsia="Times New Roman" w:cs="Times New Roman"/>
                <w:b/>
                <w:bCs/>
                <w:color w:val="FFFFFF" w:themeColor="background1"/>
                <w:szCs w:val="24"/>
              </w:rPr>
              <w:t xml:space="preserve"> w/o ESC</w:t>
            </w:r>
          </w:p>
        </w:tc>
        <w:tc>
          <w:tcPr>
            <w:tcW w:w="588" w:type="dxa"/>
            <w:shd w:val="clear" w:color="4472C4" w:fill="4472C4"/>
            <w:noWrap/>
            <w:textDirection w:val="btLr"/>
            <w:vAlign w:val="center"/>
            <w:hideMark/>
          </w:tcPr>
          <w:p w14:paraId="7703A30A" w14:textId="77777777" w:rsidR="00CE2EC1" w:rsidRPr="00E752A0" w:rsidRDefault="000F5B51" w:rsidP="003C04C4">
            <w:pPr>
              <w:spacing w:after="0"/>
              <w:contextualSpacing/>
              <w:jc w:val="center"/>
              <w:rPr>
                <w:rFonts w:eastAsia="Times New Roman" w:cs="Times New Roman"/>
                <w:b/>
                <w:bCs/>
                <w:color w:val="FFFFFF" w:themeColor="background1"/>
                <w:szCs w:val="24"/>
              </w:rPr>
            </w:pPr>
            <w:r w:rsidRPr="00E752A0">
              <w:rPr>
                <w:rFonts w:eastAsia="Times New Roman" w:cs="Times New Roman"/>
                <w:b/>
                <w:bCs/>
                <w:color w:val="FFFFFF" w:themeColor="background1"/>
                <w:szCs w:val="24"/>
              </w:rPr>
              <w:t>FRONT Adj.</w:t>
            </w:r>
          </w:p>
        </w:tc>
        <w:tc>
          <w:tcPr>
            <w:tcW w:w="588" w:type="dxa"/>
            <w:shd w:val="clear" w:color="4472C4" w:fill="4472C4"/>
            <w:noWrap/>
            <w:textDirection w:val="btLr"/>
            <w:vAlign w:val="center"/>
            <w:hideMark/>
          </w:tcPr>
          <w:p w14:paraId="6192B21D" w14:textId="77777777" w:rsidR="00CE2EC1" w:rsidRPr="00E752A0" w:rsidRDefault="000F5B51" w:rsidP="003C04C4">
            <w:pPr>
              <w:spacing w:after="0"/>
              <w:contextualSpacing/>
              <w:jc w:val="center"/>
              <w:rPr>
                <w:rFonts w:eastAsia="Times New Roman" w:cs="Times New Roman"/>
                <w:b/>
                <w:bCs/>
                <w:color w:val="FFFFFF" w:themeColor="background1"/>
                <w:szCs w:val="24"/>
              </w:rPr>
            </w:pPr>
            <w:r w:rsidRPr="00E752A0">
              <w:rPr>
                <w:rFonts w:eastAsia="Times New Roman" w:cs="Times New Roman"/>
                <w:b/>
                <w:bCs/>
                <w:color w:val="FFFFFF" w:themeColor="background1"/>
                <w:szCs w:val="24"/>
              </w:rPr>
              <w:t>REAR Adj.</w:t>
            </w:r>
          </w:p>
        </w:tc>
        <w:tc>
          <w:tcPr>
            <w:tcW w:w="588" w:type="dxa"/>
            <w:shd w:val="clear" w:color="4472C4" w:fill="4472C4"/>
            <w:noWrap/>
            <w:textDirection w:val="btLr"/>
            <w:vAlign w:val="center"/>
            <w:hideMark/>
          </w:tcPr>
          <w:p w14:paraId="53C7E990" w14:textId="77777777" w:rsidR="00CE2EC1" w:rsidRPr="00E752A0" w:rsidRDefault="000F5B51" w:rsidP="003C04C4">
            <w:pPr>
              <w:spacing w:after="0"/>
              <w:contextualSpacing/>
              <w:jc w:val="center"/>
              <w:rPr>
                <w:rFonts w:eastAsia="Times New Roman" w:cs="Times New Roman"/>
                <w:b/>
                <w:bCs/>
                <w:color w:val="FFFFFF" w:themeColor="background1"/>
                <w:szCs w:val="24"/>
              </w:rPr>
            </w:pPr>
            <w:r w:rsidRPr="00E752A0">
              <w:rPr>
                <w:rFonts w:eastAsia="Times New Roman" w:cs="Times New Roman"/>
                <w:b/>
                <w:bCs/>
                <w:color w:val="FFFFFF" w:themeColor="background1"/>
                <w:szCs w:val="24"/>
              </w:rPr>
              <w:t>SIDE Adj.</w:t>
            </w:r>
          </w:p>
        </w:tc>
        <w:tc>
          <w:tcPr>
            <w:tcW w:w="588" w:type="dxa"/>
            <w:shd w:val="clear" w:color="4472C4" w:fill="4472C4"/>
            <w:noWrap/>
            <w:textDirection w:val="btLr"/>
            <w:vAlign w:val="center"/>
            <w:hideMark/>
          </w:tcPr>
          <w:p w14:paraId="375809C9" w14:textId="77777777" w:rsidR="00CE2EC1" w:rsidRPr="00E752A0" w:rsidRDefault="000F5B51" w:rsidP="003C04C4">
            <w:pPr>
              <w:spacing w:after="0"/>
              <w:contextualSpacing/>
              <w:jc w:val="center"/>
              <w:rPr>
                <w:rFonts w:eastAsia="Times New Roman" w:cs="Times New Roman"/>
                <w:b/>
                <w:bCs/>
                <w:color w:val="FFFFFF" w:themeColor="background1"/>
                <w:szCs w:val="24"/>
              </w:rPr>
            </w:pPr>
            <w:r w:rsidRPr="00E752A0">
              <w:rPr>
                <w:rFonts w:eastAsia="Times New Roman" w:cs="Times New Roman"/>
                <w:b/>
                <w:bCs/>
                <w:color w:val="FFFFFF" w:themeColor="background1"/>
                <w:szCs w:val="24"/>
              </w:rPr>
              <w:t>ROLLOVER Adj.</w:t>
            </w:r>
          </w:p>
        </w:tc>
        <w:tc>
          <w:tcPr>
            <w:tcW w:w="720" w:type="dxa"/>
            <w:shd w:val="clear" w:color="000000" w:fill="F2F2F2"/>
            <w:noWrap/>
            <w:textDirection w:val="btLr"/>
            <w:vAlign w:val="center"/>
            <w:hideMark/>
          </w:tcPr>
          <w:p w14:paraId="477C4101" w14:textId="77777777" w:rsidR="00CE2EC1" w:rsidRPr="00BD6542" w:rsidRDefault="000F5B51" w:rsidP="003C04C4">
            <w:pPr>
              <w:spacing w:after="0"/>
              <w:contextualSpacing/>
              <w:jc w:val="center"/>
              <w:rPr>
                <w:rFonts w:eastAsia="Times New Roman" w:cs="Times New Roman"/>
                <w:b/>
                <w:bCs/>
                <w:szCs w:val="24"/>
              </w:rPr>
            </w:pPr>
            <w:r w:rsidRPr="00BD6542">
              <w:rPr>
                <w:rFonts w:eastAsia="Times New Roman" w:cs="Times New Roman"/>
                <w:b/>
                <w:bCs/>
                <w:szCs w:val="24"/>
              </w:rPr>
              <w:t>FRONT</w:t>
            </w:r>
          </w:p>
        </w:tc>
        <w:tc>
          <w:tcPr>
            <w:tcW w:w="720" w:type="dxa"/>
            <w:shd w:val="clear" w:color="000000" w:fill="F2F2F2"/>
            <w:noWrap/>
            <w:textDirection w:val="btLr"/>
            <w:vAlign w:val="center"/>
            <w:hideMark/>
          </w:tcPr>
          <w:p w14:paraId="04D6AD2A" w14:textId="77777777" w:rsidR="00CE2EC1" w:rsidRPr="00BD6542" w:rsidRDefault="000F5B51" w:rsidP="003C04C4">
            <w:pPr>
              <w:spacing w:after="0"/>
              <w:contextualSpacing/>
              <w:jc w:val="center"/>
              <w:rPr>
                <w:rFonts w:eastAsia="Times New Roman" w:cs="Times New Roman"/>
                <w:b/>
                <w:bCs/>
                <w:szCs w:val="24"/>
              </w:rPr>
            </w:pPr>
            <w:r w:rsidRPr="00BD6542">
              <w:rPr>
                <w:rFonts w:eastAsia="Times New Roman" w:cs="Times New Roman"/>
                <w:b/>
                <w:bCs/>
                <w:szCs w:val="24"/>
              </w:rPr>
              <w:t>REAR</w:t>
            </w:r>
          </w:p>
        </w:tc>
        <w:tc>
          <w:tcPr>
            <w:tcW w:w="720" w:type="dxa"/>
            <w:shd w:val="clear" w:color="000000" w:fill="F2F2F2"/>
            <w:noWrap/>
            <w:textDirection w:val="btLr"/>
            <w:vAlign w:val="center"/>
            <w:hideMark/>
          </w:tcPr>
          <w:p w14:paraId="3ABDEA04" w14:textId="77777777" w:rsidR="00CE2EC1" w:rsidRPr="00BD6542" w:rsidRDefault="000F5B51" w:rsidP="003C04C4">
            <w:pPr>
              <w:spacing w:after="0"/>
              <w:contextualSpacing/>
              <w:jc w:val="center"/>
              <w:rPr>
                <w:rFonts w:eastAsia="Times New Roman" w:cs="Times New Roman"/>
                <w:b/>
                <w:bCs/>
                <w:szCs w:val="24"/>
              </w:rPr>
            </w:pPr>
            <w:r w:rsidRPr="00BD6542">
              <w:rPr>
                <w:rFonts w:eastAsia="Times New Roman" w:cs="Times New Roman"/>
                <w:b/>
                <w:bCs/>
                <w:szCs w:val="24"/>
              </w:rPr>
              <w:t>SIDE</w:t>
            </w:r>
          </w:p>
        </w:tc>
        <w:tc>
          <w:tcPr>
            <w:tcW w:w="720" w:type="dxa"/>
            <w:shd w:val="clear" w:color="000000" w:fill="F2F2F2"/>
            <w:noWrap/>
            <w:textDirection w:val="btLr"/>
            <w:vAlign w:val="center"/>
            <w:hideMark/>
          </w:tcPr>
          <w:p w14:paraId="22C7796A" w14:textId="77777777" w:rsidR="00CE2EC1" w:rsidRPr="00BD6542" w:rsidRDefault="000F5B51" w:rsidP="003C04C4">
            <w:pPr>
              <w:spacing w:after="0"/>
              <w:contextualSpacing/>
              <w:jc w:val="center"/>
              <w:rPr>
                <w:rFonts w:eastAsia="Times New Roman" w:cs="Times New Roman"/>
                <w:b/>
                <w:bCs/>
                <w:szCs w:val="24"/>
              </w:rPr>
            </w:pPr>
            <w:r w:rsidRPr="00BD6542">
              <w:rPr>
                <w:rFonts w:eastAsia="Times New Roman" w:cs="Times New Roman"/>
                <w:b/>
                <w:bCs/>
                <w:szCs w:val="24"/>
              </w:rPr>
              <w:t>ROLLOVER</w:t>
            </w:r>
          </w:p>
        </w:tc>
      </w:tr>
      <w:tr w:rsidR="00A15C2C" w14:paraId="71F1A4CD" w14:textId="77777777" w:rsidTr="003C04C4">
        <w:trPr>
          <w:trHeight w:val="300"/>
          <w:jc w:val="center"/>
        </w:trPr>
        <w:tc>
          <w:tcPr>
            <w:tcW w:w="0" w:type="auto"/>
            <w:shd w:val="clear" w:color="D9E1F2" w:fill="D9E1F2"/>
            <w:noWrap/>
            <w:vAlign w:val="center"/>
            <w:hideMark/>
          </w:tcPr>
          <w:p w14:paraId="111DC3C0"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2015</w:t>
            </w:r>
          </w:p>
        </w:tc>
        <w:tc>
          <w:tcPr>
            <w:tcW w:w="0" w:type="auto"/>
            <w:shd w:val="clear" w:color="D9E1F2" w:fill="D9E1F2"/>
            <w:noWrap/>
            <w:vAlign w:val="center"/>
            <w:hideMark/>
          </w:tcPr>
          <w:p w14:paraId="3DEB5938"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1.0000</w:t>
            </w:r>
          </w:p>
        </w:tc>
        <w:tc>
          <w:tcPr>
            <w:tcW w:w="1092" w:type="dxa"/>
            <w:shd w:val="clear" w:color="D9E1F2" w:fill="D9E1F2"/>
            <w:noWrap/>
            <w:vAlign w:val="center"/>
            <w:hideMark/>
          </w:tcPr>
          <w:p w14:paraId="08CA833A"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0.0645</w:t>
            </w:r>
          </w:p>
        </w:tc>
        <w:tc>
          <w:tcPr>
            <w:tcW w:w="0" w:type="auto"/>
            <w:shd w:val="clear" w:color="D9E1F2" w:fill="D9E1F2"/>
            <w:noWrap/>
            <w:vAlign w:val="center"/>
            <w:hideMark/>
          </w:tcPr>
          <w:p w14:paraId="5C18FF4B"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D9E1F2" w:fill="D9E1F2"/>
            <w:noWrap/>
            <w:vAlign w:val="center"/>
            <w:hideMark/>
          </w:tcPr>
          <w:p w14:paraId="4606B511"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0A5D1855"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0.06</w:t>
            </w:r>
          </w:p>
        </w:tc>
        <w:tc>
          <w:tcPr>
            <w:tcW w:w="0" w:type="auto"/>
            <w:shd w:val="clear" w:color="000000" w:fill="CC99FF"/>
            <w:noWrap/>
            <w:vAlign w:val="center"/>
            <w:hideMark/>
          </w:tcPr>
          <w:p w14:paraId="307B2F79"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00D91073"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2258B6F0"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406EE0A4"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78ACD58B"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1989357A"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3FD54616"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73EE9FBE"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24732F7D"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r>
      <w:tr w:rsidR="00A15C2C" w14:paraId="19F58B9C" w14:textId="77777777" w:rsidTr="003C04C4">
        <w:trPr>
          <w:trHeight w:val="300"/>
          <w:jc w:val="center"/>
        </w:trPr>
        <w:tc>
          <w:tcPr>
            <w:tcW w:w="0" w:type="auto"/>
            <w:noWrap/>
            <w:vAlign w:val="center"/>
            <w:hideMark/>
          </w:tcPr>
          <w:p w14:paraId="5E4C36DF"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2014</w:t>
            </w:r>
          </w:p>
        </w:tc>
        <w:tc>
          <w:tcPr>
            <w:tcW w:w="0" w:type="auto"/>
            <w:noWrap/>
            <w:vAlign w:val="center"/>
            <w:hideMark/>
          </w:tcPr>
          <w:p w14:paraId="2CE1E028"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0.9878</w:t>
            </w:r>
          </w:p>
        </w:tc>
        <w:tc>
          <w:tcPr>
            <w:tcW w:w="1092" w:type="dxa"/>
            <w:noWrap/>
            <w:vAlign w:val="center"/>
            <w:hideMark/>
          </w:tcPr>
          <w:p w14:paraId="70611B85"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0.0638</w:t>
            </w:r>
          </w:p>
        </w:tc>
        <w:tc>
          <w:tcPr>
            <w:tcW w:w="0" w:type="auto"/>
            <w:noWrap/>
            <w:vAlign w:val="center"/>
            <w:hideMark/>
          </w:tcPr>
          <w:p w14:paraId="5869B7F9"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noWrap/>
            <w:vAlign w:val="center"/>
            <w:hideMark/>
          </w:tcPr>
          <w:p w14:paraId="6AC3B2A2"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70A8CF42"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0.06</w:t>
            </w:r>
          </w:p>
        </w:tc>
        <w:tc>
          <w:tcPr>
            <w:tcW w:w="0" w:type="auto"/>
            <w:shd w:val="clear" w:color="000000" w:fill="CC99FF"/>
            <w:noWrap/>
            <w:vAlign w:val="center"/>
            <w:hideMark/>
          </w:tcPr>
          <w:p w14:paraId="17241216"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5DD69A40"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0CE8754D"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4CE8BB9A"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1771D85E"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05864453"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0AF7E425"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62F81790"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62ACCB06"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r>
      <w:tr w:rsidR="00A15C2C" w14:paraId="5B6A1751" w14:textId="77777777" w:rsidTr="003C04C4">
        <w:trPr>
          <w:trHeight w:val="300"/>
          <w:jc w:val="center"/>
        </w:trPr>
        <w:tc>
          <w:tcPr>
            <w:tcW w:w="0" w:type="auto"/>
            <w:shd w:val="clear" w:color="D9E1F2" w:fill="D9E1F2"/>
            <w:noWrap/>
            <w:vAlign w:val="center"/>
            <w:hideMark/>
          </w:tcPr>
          <w:p w14:paraId="7BF99EC2"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2013</w:t>
            </w:r>
          </w:p>
        </w:tc>
        <w:tc>
          <w:tcPr>
            <w:tcW w:w="0" w:type="auto"/>
            <w:shd w:val="clear" w:color="D9E1F2" w:fill="D9E1F2"/>
            <w:noWrap/>
            <w:vAlign w:val="center"/>
            <w:hideMark/>
          </w:tcPr>
          <w:p w14:paraId="324C766F"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0.9766</w:t>
            </w:r>
          </w:p>
        </w:tc>
        <w:tc>
          <w:tcPr>
            <w:tcW w:w="1092" w:type="dxa"/>
            <w:shd w:val="clear" w:color="D9E1F2" w:fill="D9E1F2"/>
            <w:noWrap/>
            <w:vAlign w:val="center"/>
            <w:hideMark/>
          </w:tcPr>
          <w:p w14:paraId="3A6840D7"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0.0630</w:t>
            </w:r>
          </w:p>
        </w:tc>
        <w:tc>
          <w:tcPr>
            <w:tcW w:w="0" w:type="auto"/>
            <w:shd w:val="clear" w:color="D9E1F2" w:fill="D9E1F2"/>
            <w:noWrap/>
            <w:vAlign w:val="center"/>
            <w:hideMark/>
          </w:tcPr>
          <w:p w14:paraId="4C8C3AA4"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D9E1F2" w:fill="D9E1F2"/>
            <w:noWrap/>
            <w:vAlign w:val="center"/>
            <w:hideMark/>
          </w:tcPr>
          <w:p w14:paraId="3AB28ACF"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6E83E9E2"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0.06</w:t>
            </w:r>
          </w:p>
        </w:tc>
        <w:tc>
          <w:tcPr>
            <w:tcW w:w="0" w:type="auto"/>
            <w:shd w:val="clear" w:color="000000" w:fill="CC99FF"/>
            <w:noWrap/>
            <w:vAlign w:val="center"/>
            <w:hideMark/>
          </w:tcPr>
          <w:p w14:paraId="55B07644"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6DB5EF95"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77B52202"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7AE6A2BB"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7CFDD172"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305909D0"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62DA2CBA"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66F2D64D"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0D14360C"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r>
      <w:tr w:rsidR="00A15C2C" w14:paraId="588D0758" w14:textId="77777777" w:rsidTr="003C04C4">
        <w:trPr>
          <w:trHeight w:val="300"/>
          <w:jc w:val="center"/>
        </w:trPr>
        <w:tc>
          <w:tcPr>
            <w:tcW w:w="0" w:type="auto"/>
            <w:noWrap/>
            <w:vAlign w:val="center"/>
            <w:hideMark/>
          </w:tcPr>
          <w:p w14:paraId="100D57AB"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2012</w:t>
            </w:r>
          </w:p>
        </w:tc>
        <w:tc>
          <w:tcPr>
            <w:tcW w:w="0" w:type="auto"/>
            <w:noWrap/>
            <w:vAlign w:val="center"/>
            <w:hideMark/>
          </w:tcPr>
          <w:p w14:paraId="6AE8FB68"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0.9614</w:t>
            </w:r>
          </w:p>
        </w:tc>
        <w:tc>
          <w:tcPr>
            <w:tcW w:w="1092" w:type="dxa"/>
            <w:noWrap/>
            <w:vAlign w:val="center"/>
            <w:hideMark/>
          </w:tcPr>
          <w:p w14:paraId="0701BF25"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0.0621</w:t>
            </w:r>
          </w:p>
        </w:tc>
        <w:tc>
          <w:tcPr>
            <w:tcW w:w="0" w:type="auto"/>
            <w:shd w:val="clear" w:color="000000" w:fill="C6EFCE"/>
            <w:noWrap/>
            <w:vAlign w:val="center"/>
            <w:hideMark/>
          </w:tcPr>
          <w:p w14:paraId="690E9361"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6100"/>
                <w:szCs w:val="24"/>
              </w:rPr>
              <w:t>1.00</w:t>
            </w:r>
          </w:p>
        </w:tc>
        <w:tc>
          <w:tcPr>
            <w:tcW w:w="0" w:type="auto"/>
            <w:noWrap/>
            <w:vAlign w:val="center"/>
            <w:hideMark/>
          </w:tcPr>
          <w:p w14:paraId="6F38DF21"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73D4EE98"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0.06</w:t>
            </w:r>
          </w:p>
        </w:tc>
        <w:tc>
          <w:tcPr>
            <w:tcW w:w="0" w:type="auto"/>
            <w:shd w:val="clear" w:color="000000" w:fill="CC99FF"/>
            <w:noWrap/>
            <w:vAlign w:val="center"/>
            <w:hideMark/>
          </w:tcPr>
          <w:p w14:paraId="4AD235EE"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7D6BB6E9"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2855057A"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60BFE479"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3CACD6EA"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4DBDAA7F"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00429BAA"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165A6DDA"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2634F44D"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r>
      <w:tr w:rsidR="00A15C2C" w14:paraId="507A0689" w14:textId="77777777" w:rsidTr="003C04C4">
        <w:trPr>
          <w:trHeight w:val="300"/>
          <w:jc w:val="center"/>
        </w:trPr>
        <w:tc>
          <w:tcPr>
            <w:tcW w:w="0" w:type="auto"/>
            <w:shd w:val="clear" w:color="D9E1F2" w:fill="D9E1F2"/>
            <w:noWrap/>
            <w:vAlign w:val="center"/>
            <w:hideMark/>
          </w:tcPr>
          <w:p w14:paraId="355F9110"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2011</w:t>
            </w:r>
          </w:p>
        </w:tc>
        <w:tc>
          <w:tcPr>
            <w:tcW w:w="0" w:type="auto"/>
            <w:shd w:val="clear" w:color="D9E1F2" w:fill="D9E1F2"/>
            <w:noWrap/>
            <w:vAlign w:val="center"/>
            <w:hideMark/>
          </w:tcPr>
          <w:p w14:paraId="2E4CE157"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0.9450</w:t>
            </w:r>
          </w:p>
        </w:tc>
        <w:tc>
          <w:tcPr>
            <w:tcW w:w="1092" w:type="dxa"/>
            <w:shd w:val="clear" w:color="D9E1F2" w:fill="D9E1F2"/>
            <w:noWrap/>
            <w:vAlign w:val="center"/>
            <w:hideMark/>
          </w:tcPr>
          <w:p w14:paraId="566D87DE"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0.0610</w:t>
            </w:r>
          </w:p>
        </w:tc>
        <w:tc>
          <w:tcPr>
            <w:tcW w:w="0" w:type="auto"/>
            <w:shd w:val="clear" w:color="000000" w:fill="FFCC99"/>
            <w:noWrap/>
            <w:vAlign w:val="center"/>
            <w:hideMark/>
          </w:tcPr>
          <w:p w14:paraId="43023181"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3F3F76"/>
                <w:szCs w:val="24"/>
              </w:rPr>
              <w:t>0.92</w:t>
            </w:r>
          </w:p>
        </w:tc>
        <w:tc>
          <w:tcPr>
            <w:tcW w:w="0" w:type="auto"/>
            <w:shd w:val="clear" w:color="D9E1F2" w:fill="D9E1F2"/>
            <w:noWrap/>
            <w:vAlign w:val="center"/>
            <w:hideMark/>
          </w:tcPr>
          <w:p w14:paraId="4632043E"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0.08</w:t>
            </w:r>
          </w:p>
        </w:tc>
        <w:tc>
          <w:tcPr>
            <w:tcW w:w="0" w:type="auto"/>
            <w:shd w:val="clear" w:color="000000" w:fill="CC99FF"/>
            <w:noWrap/>
            <w:vAlign w:val="center"/>
            <w:hideMark/>
          </w:tcPr>
          <w:p w14:paraId="07D9AB53"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0.06</w:t>
            </w:r>
          </w:p>
        </w:tc>
        <w:tc>
          <w:tcPr>
            <w:tcW w:w="0" w:type="auto"/>
            <w:shd w:val="clear" w:color="000000" w:fill="CC99FF"/>
            <w:noWrap/>
            <w:vAlign w:val="center"/>
            <w:hideMark/>
          </w:tcPr>
          <w:p w14:paraId="448E38BD"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1F237D3C"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2F8820B8"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145BF5FC"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26F86E6F"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23B16068"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66CC4594"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459629C3"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2CCD065E"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r>
      <w:tr w:rsidR="00A15C2C" w14:paraId="373ECD70" w14:textId="77777777" w:rsidTr="003C04C4">
        <w:trPr>
          <w:trHeight w:val="300"/>
          <w:jc w:val="center"/>
        </w:trPr>
        <w:tc>
          <w:tcPr>
            <w:tcW w:w="0" w:type="auto"/>
            <w:noWrap/>
            <w:vAlign w:val="center"/>
            <w:hideMark/>
          </w:tcPr>
          <w:p w14:paraId="74598D0F"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2010</w:t>
            </w:r>
          </w:p>
        </w:tc>
        <w:tc>
          <w:tcPr>
            <w:tcW w:w="0" w:type="auto"/>
            <w:noWrap/>
            <w:vAlign w:val="center"/>
            <w:hideMark/>
          </w:tcPr>
          <w:p w14:paraId="2A8569BE"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0.9298</w:t>
            </w:r>
          </w:p>
        </w:tc>
        <w:tc>
          <w:tcPr>
            <w:tcW w:w="1092" w:type="dxa"/>
            <w:noWrap/>
            <w:vAlign w:val="center"/>
            <w:hideMark/>
          </w:tcPr>
          <w:p w14:paraId="5B366A13"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0.0600</w:t>
            </w:r>
          </w:p>
        </w:tc>
        <w:tc>
          <w:tcPr>
            <w:tcW w:w="0" w:type="auto"/>
            <w:shd w:val="clear" w:color="000000" w:fill="FFCC99"/>
            <w:noWrap/>
            <w:vAlign w:val="center"/>
            <w:hideMark/>
          </w:tcPr>
          <w:p w14:paraId="519042C1"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3F3F76"/>
                <w:szCs w:val="24"/>
              </w:rPr>
              <w:t>0.76</w:t>
            </w:r>
          </w:p>
        </w:tc>
        <w:tc>
          <w:tcPr>
            <w:tcW w:w="0" w:type="auto"/>
            <w:noWrap/>
            <w:vAlign w:val="center"/>
            <w:hideMark/>
          </w:tcPr>
          <w:p w14:paraId="265DB683"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0.24</w:t>
            </w:r>
          </w:p>
        </w:tc>
        <w:tc>
          <w:tcPr>
            <w:tcW w:w="0" w:type="auto"/>
            <w:shd w:val="clear" w:color="000000" w:fill="CC99FF"/>
            <w:noWrap/>
            <w:vAlign w:val="center"/>
            <w:hideMark/>
          </w:tcPr>
          <w:p w14:paraId="742F959B"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0.05</w:t>
            </w:r>
          </w:p>
        </w:tc>
        <w:tc>
          <w:tcPr>
            <w:tcW w:w="0" w:type="auto"/>
            <w:shd w:val="clear" w:color="000000" w:fill="CC99FF"/>
            <w:noWrap/>
            <w:vAlign w:val="center"/>
            <w:hideMark/>
          </w:tcPr>
          <w:p w14:paraId="608B493A"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5A8521E4"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40721047"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72E75592"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2FCAC3D1"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10C6F37C"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3B778542"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73400B11"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7AF58010"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0.05</w:t>
            </w:r>
          </w:p>
        </w:tc>
      </w:tr>
      <w:tr w:rsidR="00A15C2C" w14:paraId="72A102F3" w14:textId="77777777" w:rsidTr="003C04C4">
        <w:trPr>
          <w:trHeight w:val="300"/>
          <w:jc w:val="center"/>
        </w:trPr>
        <w:tc>
          <w:tcPr>
            <w:tcW w:w="0" w:type="auto"/>
            <w:shd w:val="clear" w:color="D9E1F2" w:fill="D9E1F2"/>
            <w:noWrap/>
            <w:vAlign w:val="center"/>
            <w:hideMark/>
          </w:tcPr>
          <w:p w14:paraId="7F5C239E"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2009</w:t>
            </w:r>
          </w:p>
        </w:tc>
        <w:tc>
          <w:tcPr>
            <w:tcW w:w="0" w:type="auto"/>
            <w:shd w:val="clear" w:color="D9E1F2" w:fill="D9E1F2"/>
            <w:noWrap/>
            <w:vAlign w:val="center"/>
            <w:hideMark/>
          </w:tcPr>
          <w:p w14:paraId="0CCF4DC0"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0.9113</w:t>
            </w:r>
          </w:p>
        </w:tc>
        <w:tc>
          <w:tcPr>
            <w:tcW w:w="1092" w:type="dxa"/>
            <w:shd w:val="clear" w:color="D9E1F2" w:fill="D9E1F2"/>
            <w:noWrap/>
            <w:vAlign w:val="center"/>
            <w:hideMark/>
          </w:tcPr>
          <w:p w14:paraId="07E68137"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0.0588</w:t>
            </w:r>
          </w:p>
        </w:tc>
        <w:tc>
          <w:tcPr>
            <w:tcW w:w="0" w:type="auto"/>
            <w:shd w:val="clear" w:color="000000" w:fill="FFCC99"/>
            <w:noWrap/>
            <w:vAlign w:val="center"/>
            <w:hideMark/>
          </w:tcPr>
          <w:p w14:paraId="30F7D2E1"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3F3F76"/>
                <w:szCs w:val="24"/>
              </w:rPr>
              <w:t>0.47</w:t>
            </w:r>
          </w:p>
        </w:tc>
        <w:tc>
          <w:tcPr>
            <w:tcW w:w="0" w:type="auto"/>
            <w:shd w:val="clear" w:color="D9E1F2" w:fill="D9E1F2"/>
            <w:noWrap/>
            <w:vAlign w:val="center"/>
            <w:hideMark/>
          </w:tcPr>
          <w:p w14:paraId="2E61C88C"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0.53</w:t>
            </w:r>
          </w:p>
        </w:tc>
        <w:tc>
          <w:tcPr>
            <w:tcW w:w="0" w:type="auto"/>
            <w:shd w:val="clear" w:color="000000" w:fill="CC99FF"/>
            <w:noWrap/>
            <w:vAlign w:val="center"/>
            <w:hideMark/>
          </w:tcPr>
          <w:p w14:paraId="78576F48"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w:t>
            </w:r>
          </w:p>
        </w:tc>
        <w:tc>
          <w:tcPr>
            <w:tcW w:w="0" w:type="auto"/>
            <w:shd w:val="clear" w:color="000000" w:fill="CC99FF"/>
            <w:noWrap/>
            <w:vAlign w:val="center"/>
            <w:hideMark/>
          </w:tcPr>
          <w:p w14:paraId="4D5527D9"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w:t>
            </w:r>
          </w:p>
        </w:tc>
        <w:tc>
          <w:tcPr>
            <w:tcW w:w="0" w:type="auto"/>
            <w:shd w:val="clear" w:color="D9E1F2" w:fill="D9E1F2"/>
            <w:noWrap/>
            <w:vAlign w:val="center"/>
            <w:hideMark/>
          </w:tcPr>
          <w:p w14:paraId="56E69210"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w:t>
            </w:r>
          </w:p>
        </w:tc>
        <w:tc>
          <w:tcPr>
            <w:tcW w:w="0" w:type="auto"/>
            <w:shd w:val="clear" w:color="D9E1F2" w:fill="D9E1F2"/>
            <w:noWrap/>
            <w:vAlign w:val="center"/>
            <w:hideMark/>
          </w:tcPr>
          <w:p w14:paraId="667E4EAB"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w:t>
            </w:r>
          </w:p>
        </w:tc>
        <w:tc>
          <w:tcPr>
            <w:tcW w:w="0" w:type="auto"/>
            <w:shd w:val="clear" w:color="D9E1F2" w:fill="D9E1F2"/>
            <w:noWrap/>
            <w:vAlign w:val="center"/>
            <w:hideMark/>
          </w:tcPr>
          <w:p w14:paraId="169CF4AE"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w:t>
            </w:r>
          </w:p>
        </w:tc>
        <w:tc>
          <w:tcPr>
            <w:tcW w:w="0" w:type="auto"/>
            <w:shd w:val="clear" w:color="D9E1F2" w:fill="D9E1F2"/>
            <w:noWrap/>
            <w:vAlign w:val="center"/>
            <w:hideMark/>
          </w:tcPr>
          <w:p w14:paraId="1E6362AC"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000000" w:fill="F2F2F2"/>
            <w:noWrap/>
            <w:vAlign w:val="center"/>
            <w:hideMark/>
          </w:tcPr>
          <w:p w14:paraId="65CD2172"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0988FEC4"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67A24B57"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583133E7"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0.04</w:t>
            </w:r>
          </w:p>
        </w:tc>
      </w:tr>
      <w:tr w:rsidR="00A15C2C" w14:paraId="55B498EB" w14:textId="77777777" w:rsidTr="003C04C4">
        <w:trPr>
          <w:trHeight w:val="300"/>
          <w:jc w:val="center"/>
        </w:trPr>
        <w:tc>
          <w:tcPr>
            <w:tcW w:w="0" w:type="auto"/>
            <w:noWrap/>
            <w:vAlign w:val="center"/>
            <w:hideMark/>
          </w:tcPr>
          <w:p w14:paraId="25FB22E8"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2008</w:t>
            </w:r>
          </w:p>
        </w:tc>
        <w:tc>
          <w:tcPr>
            <w:tcW w:w="0" w:type="auto"/>
            <w:noWrap/>
            <w:vAlign w:val="center"/>
            <w:hideMark/>
          </w:tcPr>
          <w:p w14:paraId="2E76F739"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0.8912</w:t>
            </w:r>
          </w:p>
        </w:tc>
        <w:tc>
          <w:tcPr>
            <w:tcW w:w="1092" w:type="dxa"/>
            <w:noWrap/>
            <w:vAlign w:val="center"/>
            <w:hideMark/>
          </w:tcPr>
          <w:p w14:paraId="24F7107D"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0.0575</w:t>
            </w:r>
          </w:p>
        </w:tc>
        <w:tc>
          <w:tcPr>
            <w:tcW w:w="0" w:type="auto"/>
            <w:shd w:val="clear" w:color="000000" w:fill="FFCC99"/>
            <w:noWrap/>
            <w:vAlign w:val="center"/>
            <w:hideMark/>
          </w:tcPr>
          <w:p w14:paraId="35404987"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3F3F76"/>
                <w:szCs w:val="24"/>
              </w:rPr>
              <w:t>0.25</w:t>
            </w:r>
          </w:p>
        </w:tc>
        <w:tc>
          <w:tcPr>
            <w:tcW w:w="0" w:type="auto"/>
            <w:noWrap/>
            <w:vAlign w:val="center"/>
            <w:hideMark/>
          </w:tcPr>
          <w:p w14:paraId="7E5189C5"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0.75</w:t>
            </w:r>
          </w:p>
        </w:tc>
        <w:tc>
          <w:tcPr>
            <w:tcW w:w="0" w:type="auto"/>
            <w:shd w:val="clear" w:color="000000" w:fill="CC99FF"/>
            <w:noWrap/>
            <w:vAlign w:val="center"/>
            <w:hideMark/>
          </w:tcPr>
          <w:p w14:paraId="191F4095"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000000" w:fill="CC99FF"/>
            <w:noWrap/>
            <w:vAlign w:val="center"/>
            <w:hideMark/>
          </w:tcPr>
          <w:p w14:paraId="5EFD4AE6"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noWrap/>
            <w:vAlign w:val="center"/>
            <w:hideMark/>
          </w:tcPr>
          <w:p w14:paraId="362F514B"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noWrap/>
            <w:vAlign w:val="center"/>
            <w:hideMark/>
          </w:tcPr>
          <w:p w14:paraId="504E67C3"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noWrap/>
            <w:vAlign w:val="center"/>
            <w:hideMark/>
          </w:tcPr>
          <w:p w14:paraId="6AEF828C"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noWrap/>
            <w:vAlign w:val="center"/>
            <w:hideMark/>
          </w:tcPr>
          <w:p w14:paraId="0170257B"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000000" w:fill="F2F2F2"/>
            <w:noWrap/>
            <w:vAlign w:val="center"/>
            <w:hideMark/>
          </w:tcPr>
          <w:p w14:paraId="465A9376"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1BD7DD0E"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43481018"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0.05</w:t>
            </w:r>
          </w:p>
        </w:tc>
        <w:tc>
          <w:tcPr>
            <w:tcW w:w="0" w:type="auto"/>
            <w:shd w:val="clear" w:color="000000" w:fill="F2F2F2"/>
            <w:noWrap/>
            <w:vAlign w:val="center"/>
            <w:hideMark/>
          </w:tcPr>
          <w:p w14:paraId="3E9E306D"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0.03</w:t>
            </w:r>
          </w:p>
        </w:tc>
      </w:tr>
      <w:tr w:rsidR="00A15C2C" w14:paraId="0574DAD0" w14:textId="77777777" w:rsidTr="003C04C4">
        <w:trPr>
          <w:trHeight w:val="300"/>
          <w:jc w:val="center"/>
        </w:trPr>
        <w:tc>
          <w:tcPr>
            <w:tcW w:w="0" w:type="auto"/>
            <w:shd w:val="clear" w:color="D9E1F2" w:fill="D9E1F2"/>
            <w:noWrap/>
            <w:vAlign w:val="center"/>
            <w:hideMark/>
          </w:tcPr>
          <w:p w14:paraId="0C5B489D"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2007</w:t>
            </w:r>
          </w:p>
        </w:tc>
        <w:tc>
          <w:tcPr>
            <w:tcW w:w="0" w:type="auto"/>
            <w:shd w:val="clear" w:color="D9E1F2" w:fill="D9E1F2"/>
            <w:noWrap/>
            <w:vAlign w:val="center"/>
            <w:hideMark/>
          </w:tcPr>
          <w:p w14:paraId="24FD6F53"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0.8689</w:t>
            </w:r>
          </w:p>
        </w:tc>
        <w:tc>
          <w:tcPr>
            <w:tcW w:w="1092" w:type="dxa"/>
            <w:shd w:val="clear" w:color="D9E1F2" w:fill="D9E1F2"/>
            <w:noWrap/>
            <w:vAlign w:val="center"/>
            <w:hideMark/>
          </w:tcPr>
          <w:p w14:paraId="29A49726"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0.0561</w:t>
            </w:r>
          </w:p>
        </w:tc>
        <w:tc>
          <w:tcPr>
            <w:tcW w:w="0" w:type="auto"/>
            <w:shd w:val="clear" w:color="000000" w:fill="FFCC99"/>
            <w:noWrap/>
            <w:vAlign w:val="center"/>
            <w:hideMark/>
          </w:tcPr>
          <w:p w14:paraId="2A475809"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3F3F76"/>
                <w:szCs w:val="24"/>
              </w:rPr>
              <w:t>0.22</w:t>
            </w:r>
          </w:p>
        </w:tc>
        <w:tc>
          <w:tcPr>
            <w:tcW w:w="0" w:type="auto"/>
            <w:shd w:val="clear" w:color="D9E1F2" w:fill="D9E1F2"/>
            <w:noWrap/>
            <w:vAlign w:val="center"/>
            <w:hideMark/>
          </w:tcPr>
          <w:p w14:paraId="0E0912D6"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0.78</w:t>
            </w:r>
          </w:p>
        </w:tc>
        <w:tc>
          <w:tcPr>
            <w:tcW w:w="0" w:type="auto"/>
            <w:shd w:val="clear" w:color="000000" w:fill="CC99FF"/>
            <w:noWrap/>
            <w:vAlign w:val="center"/>
            <w:hideMark/>
          </w:tcPr>
          <w:p w14:paraId="0D244CC0"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000000" w:fill="CC99FF"/>
            <w:noWrap/>
            <w:vAlign w:val="center"/>
            <w:hideMark/>
          </w:tcPr>
          <w:p w14:paraId="44A10D49"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shd w:val="clear" w:color="D9E1F2" w:fill="D9E1F2"/>
            <w:noWrap/>
            <w:vAlign w:val="center"/>
            <w:hideMark/>
          </w:tcPr>
          <w:p w14:paraId="71877173"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shd w:val="clear" w:color="D9E1F2" w:fill="D9E1F2"/>
            <w:noWrap/>
            <w:vAlign w:val="center"/>
            <w:hideMark/>
          </w:tcPr>
          <w:p w14:paraId="74183100"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shd w:val="clear" w:color="D9E1F2" w:fill="D9E1F2"/>
            <w:noWrap/>
            <w:vAlign w:val="center"/>
            <w:hideMark/>
          </w:tcPr>
          <w:p w14:paraId="5F1CC050"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shd w:val="clear" w:color="D9E1F2" w:fill="D9E1F2"/>
            <w:noWrap/>
            <w:vAlign w:val="center"/>
            <w:hideMark/>
          </w:tcPr>
          <w:p w14:paraId="6D0AABE1"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000000" w:fill="F2F2F2"/>
            <w:noWrap/>
            <w:vAlign w:val="center"/>
            <w:hideMark/>
          </w:tcPr>
          <w:p w14:paraId="4D70C961"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7AEA64C7"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0D291EA2"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0.05</w:t>
            </w:r>
          </w:p>
        </w:tc>
        <w:tc>
          <w:tcPr>
            <w:tcW w:w="0" w:type="auto"/>
            <w:shd w:val="clear" w:color="000000" w:fill="F2F2F2"/>
            <w:noWrap/>
            <w:vAlign w:val="center"/>
            <w:hideMark/>
          </w:tcPr>
          <w:p w14:paraId="7D88D589"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0.03</w:t>
            </w:r>
          </w:p>
        </w:tc>
      </w:tr>
      <w:tr w:rsidR="00A15C2C" w14:paraId="77E4D2A9" w14:textId="77777777" w:rsidTr="003C04C4">
        <w:trPr>
          <w:trHeight w:val="300"/>
          <w:jc w:val="center"/>
        </w:trPr>
        <w:tc>
          <w:tcPr>
            <w:tcW w:w="0" w:type="auto"/>
            <w:noWrap/>
            <w:vAlign w:val="center"/>
            <w:hideMark/>
          </w:tcPr>
          <w:p w14:paraId="6EFB22B8"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2006</w:t>
            </w:r>
          </w:p>
        </w:tc>
        <w:tc>
          <w:tcPr>
            <w:tcW w:w="0" w:type="auto"/>
            <w:noWrap/>
            <w:vAlign w:val="center"/>
            <w:hideMark/>
          </w:tcPr>
          <w:p w14:paraId="336FDFC9"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0.8397</w:t>
            </w:r>
          </w:p>
        </w:tc>
        <w:tc>
          <w:tcPr>
            <w:tcW w:w="1092" w:type="dxa"/>
            <w:noWrap/>
            <w:vAlign w:val="center"/>
            <w:hideMark/>
          </w:tcPr>
          <w:p w14:paraId="65E8EE12"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0.0542</w:t>
            </w:r>
          </w:p>
        </w:tc>
        <w:tc>
          <w:tcPr>
            <w:tcW w:w="0" w:type="auto"/>
            <w:shd w:val="clear" w:color="000000" w:fill="FFCC99"/>
            <w:noWrap/>
            <w:vAlign w:val="center"/>
            <w:hideMark/>
          </w:tcPr>
          <w:p w14:paraId="34021064"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3F3F76"/>
                <w:szCs w:val="24"/>
              </w:rPr>
              <w:t>0.20</w:t>
            </w:r>
          </w:p>
        </w:tc>
        <w:tc>
          <w:tcPr>
            <w:tcW w:w="0" w:type="auto"/>
            <w:noWrap/>
            <w:vAlign w:val="center"/>
            <w:hideMark/>
          </w:tcPr>
          <w:p w14:paraId="4E3B9CBA"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0.80</w:t>
            </w:r>
          </w:p>
        </w:tc>
        <w:tc>
          <w:tcPr>
            <w:tcW w:w="0" w:type="auto"/>
            <w:shd w:val="clear" w:color="000000" w:fill="CC99FF"/>
            <w:noWrap/>
            <w:vAlign w:val="center"/>
            <w:hideMark/>
          </w:tcPr>
          <w:p w14:paraId="5FF86196"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000000" w:fill="CC99FF"/>
            <w:noWrap/>
            <w:vAlign w:val="center"/>
            <w:hideMark/>
          </w:tcPr>
          <w:p w14:paraId="56C4A569"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noWrap/>
            <w:vAlign w:val="center"/>
            <w:hideMark/>
          </w:tcPr>
          <w:p w14:paraId="510A98E4"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noWrap/>
            <w:vAlign w:val="center"/>
            <w:hideMark/>
          </w:tcPr>
          <w:p w14:paraId="1E984450"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noWrap/>
            <w:vAlign w:val="center"/>
            <w:hideMark/>
          </w:tcPr>
          <w:p w14:paraId="5281709A"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noWrap/>
            <w:vAlign w:val="center"/>
            <w:hideMark/>
          </w:tcPr>
          <w:p w14:paraId="4AC99EFC"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000000" w:fill="F2F2F2"/>
            <w:noWrap/>
            <w:vAlign w:val="center"/>
            <w:hideMark/>
          </w:tcPr>
          <w:p w14:paraId="33E4F7A0"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0.05</w:t>
            </w:r>
          </w:p>
        </w:tc>
        <w:tc>
          <w:tcPr>
            <w:tcW w:w="0" w:type="auto"/>
            <w:shd w:val="clear" w:color="000000" w:fill="F2F2F2"/>
            <w:noWrap/>
            <w:vAlign w:val="center"/>
            <w:hideMark/>
          </w:tcPr>
          <w:p w14:paraId="71FC72F0"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0.05</w:t>
            </w:r>
          </w:p>
        </w:tc>
        <w:tc>
          <w:tcPr>
            <w:tcW w:w="0" w:type="auto"/>
            <w:shd w:val="clear" w:color="000000" w:fill="F2F2F2"/>
            <w:noWrap/>
            <w:vAlign w:val="center"/>
            <w:hideMark/>
          </w:tcPr>
          <w:p w14:paraId="7CD25BC4"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0.05</w:t>
            </w:r>
          </w:p>
        </w:tc>
        <w:tc>
          <w:tcPr>
            <w:tcW w:w="0" w:type="auto"/>
            <w:shd w:val="clear" w:color="000000" w:fill="F2F2F2"/>
            <w:noWrap/>
            <w:vAlign w:val="center"/>
            <w:hideMark/>
          </w:tcPr>
          <w:p w14:paraId="2D1774B3"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0.02</w:t>
            </w:r>
          </w:p>
        </w:tc>
      </w:tr>
      <w:tr w:rsidR="00A15C2C" w14:paraId="444CBB26" w14:textId="77777777" w:rsidTr="003C04C4">
        <w:trPr>
          <w:trHeight w:val="300"/>
          <w:jc w:val="center"/>
        </w:trPr>
        <w:tc>
          <w:tcPr>
            <w:tcW w:w="0" w:type="auto"/>
            <w:shd w:val="clear" w:color="D9E1F2" w:fill="D9E1F2"/>
            <w:noWrap/>
            <w:vAlign w:val="center"/>
            <w:hideMark/>
          </w:tcPr>
          <w:p w14:paraId="2072A338"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2005</w:t>
            </w:r>
          </w:p>
        </w:tc>
        <w:tc>
          <w:tcPr>
            <w:tcW w:w="0" w:type="auto"/>
            <w:shd w:val="clear" w:color="D9E1F2" w:fill="D9E1F2"/>
            <w:noWrap/>
            <w:vAlign w:val="center"/>
            <w:hideMark/>
          </w:tcPr>
          <w:p w14:paraId="68EC5EB4"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0.7999</w:t>
            </w:r>
          </w:p>
        </w:tc>
        <w:tc>
          <w:tcPr>
            <w:tcW w:w="1092" w:type="dxa"/>
            <w:shd w:val="clear" w:color="D9E1F2" w:fill="D9E1F2"/>
            <w:noWrap/>
            <w:vAlign w:val="center"/>
            <w:hideMark/>
          </w:tcPr>
          <w:p w14:paraId="4EFA048B"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0.0516</w:t>
            </w:r>
          </w:p>
        </w:tc>
        <w:tc>
          <w:tcPr>
            <w:tcW w:w="0" w:type="auto"/>
            <w:shd w:val="clear" w:color="000000" w:fill="FFCC99"/>
            <w:noWrap/>
            <w:vAlign w:val="center"/>
            <w:hideMark/>
          </w:tcPr>
          <w:p w14:paraId="688D2A93"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3F3F76"/>
                <w:szCs w:val="24"/>
              </w:rPr>
              <w:t>0.14</w:t>
            </w:r>
          </w:p>
        </w:tc>
        <w:tc>
          <w:tcPr>
            <w:tcW w:w="0" w:type="auto"/>
            <w:shd w:val="clear" w:color="D9E1F2" w:fill="D9E1F2"/>
            <w:noWrap/>
            <w:vAlign w:val="center"/>
            <w:hideMark/>
          </w:tcPr>
          <w:p w14:paraId="0AA740B1"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0.86</w:t>
            </w:r>
          </w:p>
        </w:tc>
        <w:tc>
          <w:tcPr>
            <w:tcW w:w="0" w:type="auto"/>
            <w:shd w:val="clear" w:color="000000" w:fill="CC99FF"/>
            <w:noWrap/>
            <w:vAlign w:val="center"/>
            <w:hideMark/>
          </w:tcPr>
          <w:p w14:paraId="4D69805F"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000000" w:fill="CC99FF"/>
            <w:noWrap/>
            <w:vAlign w:val="center"/>
            <w:hideMark/>
          </w:tcPr>
          <w:p w14:paraId="636E8D95"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shd w:val="clear" w:color="D9E1F2" w:fill="D9E1F2"/>
            <w:noWrap/>
            <w:vAlign w:val="center"/>
            <w:hideMark/>
          </w:tcPr>
          <w:p w14:paraId="233A7B80"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shd w:val="clear" w:color="D9E1F2" w:fill="D9E1F2"/>
            <w:noWrap/>
            <w:vAlign w:val="center"/>
            <w:hideMark/>
          </w:tcPr>
          <w:p w14:paraId="15A0A655"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shd w:val="clear" w:color="D9E1F2" w:fill="D9E1F2"/>
            <w:noWrap/>
            <w:vAlign w:val="center"/>
            <w:hideMark/>
          </w:tcPr>
          <w:p w14:paraId="4F19D3A2"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shd w:val="clear" w:color="D9E1F2" w:fill="D9E1F2"/>
            <w:noWrap/>
            <w:vAlign w:val="center"/>
            <w:hideMark/>
          </w:tcPr>
          <w:p w14:paraId="2CD8D601"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000000" w:fill="F2F2F2"/>
            <w:noWrap/>
            <w:vAlign w:val="center"/>
            <w:hideMark/>
          </w:tcPr>
          <w:p w14:paraId="1596AA46"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0.05</w:t>
            </w:r>
          </w:p>
        </w:tc>
        <w:tc>
          <w:tcPr>
            <w:tcW w:w="0" w:type="auto"/>
            <w:shd w:val="clear" w:color="000000" w:fill="F2F2F2"/>
            <w:noWrap/>
            <w:vAlign w:val="center"/>
            <w:hideMark/>
          </w:tcPr>
          <w:p w14:paraId="500F04F6"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0.05</w:t>
            </w:r>
          </w:p>
        </w:tc>
        <w:tc>
          <w:tcPr>
            <w:tcW w:w="0" w:type="auto"/>
            <w:shd w:val="clear" w:color="000000" w:fill="F2F2F2"/>
            <w:noWrap/>
            <w:vAlign w:val="center"/>
            <w:hideMark/>
          </w:tcPr>
          <w:p w14:paraId="6B3E40C9"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0.05</w:t>
            </w:r>
          </w:p>
        </w:tc>
        <w:tc>
          <w:tcPr>
            <w:tcW w:w="0" w:type="auto"/>
            <w:shd w:val="clear" w:color="000000" w:fill="F2F2F2"/>
            <w:noWrap/>
            <w:vAlign w:val="center"/>
            <w:hideMark/>
          </w:tcPr>
          <w:p w14:paraId="4E483CAE"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0.02</w:t>
            </w:r>
          </w:p>
        </w:tc>
      </w:tr>
      <w:tr w:rsidR="00A15C2C" w14:paraId="45DEF0B1" w14:textId="77777777" w:rsidTr="003C04C4">
        <w:trPr>
          <w:trHeight w:val="300"/>
          <w:jc w:val="center"/>
        </w:trPr>
        <w:tc>
          <w:tcPr>
            <w:tcW w:w="0" w:type="auto"/>
            <w:noWrap/>
            <w:vAlign w:val="center"/>
            <w:hideMark/>
          </w:tcPr>
          <w:p w14:paraId="4EB475C6"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2004</w:t>
            </w:r>
          </w:p>
        </w:tc>
        <w:tc>
          <w:tcPr>
            <w:tcW w:w="0" w:type="auto"/>
            <w:noWrap/>
            <w:vAlign w:val="center"/>
            <w:hideMark/>
          </w:tcPr>
          <w:p w14:paraId="7C170604"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0.7556</w:t>
            </w:r>
          </w:p>
        </w:tc>
        <w:tc>
          <w:tcPr>
            <w:tcW w:w="1092" w:type="dxa"/>
            <w:noWrap/>
            <w:vAlign w:val="center"/>
            <w:hideMark/>
          </w:tcPr>
          <w:p w14:paraId="1A4EC689"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0.0488</w:t>
            </w:r>
          </w:p>
        </w:tc>
        <w:tc>
          <w:tcPr>
            <w:tcW w:w="0" w:type="auto"/>
            <w:shd w:val="clear" w:color="000000" w:fill="FFCC99"/>
            <w:noWrap/>
            <w:vAlign w:val="center"/>
            <w:hideMark/>
          </w:tcPr>
          <w:p w14:paraId="5B232BA4"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3F3F76"/>
                <w:szCs w:val="24"/>
              </w:rPr>
              <w:t>0.16</w:t>
            </w:r>
          </w:p>
        </w:tc>
        <w:tc>
          <w:tcPr>
            <w:tcW w:w="0" w:type="auto"/>
            <w:noWrap/>
            <w:vAlign w:val="center"/>
            <w:hideMark/>
          </w:tcPr>
          <w:p w14:paraId="6F4E236B"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0.84</w:t>
            </w:r>
          </w:p>
        </w:tc>
        <w:tc>
          <w:tcPr>
            <w:tcW w:w="0" w:type="auto"/>
            <w:shd w:val="clear" w:color="000000" w:fill="CC99FF"/>
            <w:noWrap/>
            <w:vAlign w:val="center"/>
            <w:hideMark/>
          </w:tcPr>
          <w:p w14:paraId="23B1AED8"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000000" w:fill="CC99FF"/>
            <w:noWrap/>
            <w:vAlign w:val="center"/>
            <w:hideMark/>
          </w:tcPr>
          <w:p w14:paraId="728D4864"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noWrap/>
            <w:vAlign w:val="center"/>
            <w:hideMark/>
          </w:tcPr>
          <w:p w14:paraId="311F1FD0"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noWrap/>
            <w:vAlign w:val="center"/>
            <w:hideMark/>
          </w:tcPr>
          <w:p w14:paraId="12142F3B"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noWrap/>
            <w:vAlign w:val="center"/>
            <w:hideMark/>
          </w:tcPr>
          <w:p w14:paraId="2B64948B"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noWrap/>
            <w:vAlign w:val="center"/>
            <w:hideMark/>
          </w:tcPr>
          <w:p w14:paraId="4CA3757B"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000000" w:fill="F2F2F2"/>
            <w:noWrap/>
            <w:vAlign w:val="center"/>
            <w:hideMark/>
          </w:tcPr>
          <w:p w14:paraId="35DED97C"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0.05</w:t>
            </w:r>
          </w:p>
        </w:tc>
        <w:tc>
          <w:tcPr>
            <w:tcW w:w="0" w:type="auto"/>
            <w:shd w:val="clear" w:color="000000" w:fill="F2F2F2"/>
            <w:noWrap/>
            <w:vAlign w:val="center"/>
            <w:hideMark/>
          </w:tcPr>
          <w:p w14:paraId="414A2FCE"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0.05</w:t>
            </w:r>
          </w:p>
        </w:tc>
        <w:tc>
          <w:tcPr>
            <w:tcW w:w="0" w:type="auto"/>
            <w:shd w:val="clear" w:color="000000" w:fill="F2F2F2"/>
            <w:noWrap/>
            <w:vAlign w:val="center"/>
            <w:hideMark/>
          </w:tcPr>
          <w:p w14:paraId="5618CFCC"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0.04</w:t>
            </w:r>
          </w:p>
        </w:tc>
        <w:tc>
          <w:tcPr>
            <w:tcW w:w="0" w:type="auto"/>
            <w:shd w:val="clear" w:color="000000" w:fill="F2F2F2"/>
            <w:noWrap/>
            <w:vAlign w:val="center"/>
            <w:hideMark/>
          </w:tcPr>
          <w:p w14:paraId="10E89669"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0.02</w:t>
            </w:r>
          </w:p>
        </w:tc>
      </w:tr>
      <w:tr w:rsidR="00A15C2C" w14:paraId="7C0B49DB" w14:textId="77777777" w:rsidTr="003C04C4">
        <w:trPr>
          <w:trHeight w:val="300"/>
          <w:jc w:val="center"/>
        </w:trPr>
        <w:tc>
          <w:tcPr>
            <w:tcW w:w="0" w:type="auto"/>
            <w:shd w:val="clear" w:color="D9E1F2" w:fill="D9E1F2"/>
            <w:noWrap/>
            <w:vAlign w:val="center"/>
            <w:hideMark/>
          </w:tcPr>
          <w:p w14:paraId="14C49922"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2003</w:t>
            </w:r>
          </w:p>
        </w:tc>
        <w:tc>
          <w:tcPr>
            <w:tcW w:w="0" w:type="auto"/>
            <w:shd w:val="clear" w:color="D9E1F2" w:fill="D9E1F2"/>
            <w:noWrap/>
            <w:vAlign w:val="center"/>
            <w:hideMark/>
          </w:tcPr>
          <w:p w14:paraId="5533773B"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0.7055</w:t>
            </w:r>
          </w:p>
        </w:tc>
        <w:tc>
          <w:tcPr>
            <w:tcW w:w="1092" w:type="dxa"/>
            <w:shd w:val="clear" w:color="D9E1F2" w:fill="D9E1F2"/>
            <w:noWrap/>
            <w:vAlign w:val="center"/>
            <w:hideMark/>
          </w:tcPr>
          <w:p w14:paraId="3271F005"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0.0455</w:t>
            </w:r>
          </w:p>
        </w:tc>
        <w:tc>
          <w:tcPr>
            <w:tcW w:w="0" w:type="auto"/>
            <w:shd w:val="clear" w:color="000000" w:fill="FFCC99"/>
            <w:noWrap/>
            <w:vAlign w:val="center"/>
            <w:hideMark/>
          </w:tcPr>
          <w:p w14:paraId="5811C4A2"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3F3F76"/>
                <w:szCs w:val="24"/>
              </w:rPr>
              <w:t>0.11</w:t>
            </w:r>
          </w:p>
        </w:tc>
        <w:tc>
          <w:tcPr>
            <w:tcW w:w="0" w:type="auto"/>
            <w:shd w:val="clear" w:color="D9E1F2" w:fill="D9E1F2"/>
            <w:noWrap/>
            <w:vAlign w:val="center"/>
            <w:hideMark/>
          </w:tcPr>
          <w:p w14:paraId="3CB16C5E"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0.89</w:t>
            </w:r>
          </w:p>
        </w:tc>
        <w:tc>
          <w:tcPr>
            <w:tcW w:w="0" w:type="auto"/>
            <w:shd w:val="clear" w:color="000000" w:fill="CC99FF"/>
            <w:noWrap/>
            <w:vAlign w:val="center"/>
            <w:hideMark/>
          </w:tcPr>
          <w:p w14:paraId="7D97331A"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000000" w:fill="CC99FF"/>
            <w:noWrap/>
            <w:vAlign w:val="center"/>
            <w:hideMark/>
          </w:tcPr>
          <w:p w14:paraId="2C906E4C"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shd w:val="clear" w:color="D9E1F2" w:fill="D9E1F2"/>
            <w:noWrap/>
            <w:vAlign w:val="center"/>
            <w:hideMark/>
          </w:tcPr>
          <w:p w14:paraId="3BE42B35"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shd w:val="clear" w:color="D9E1F2" w:fill="D9E1F2"/>
            <w:noWrap/>
            <w:vAlign w:val="center"/>
            <w:hideMark/>
          </w:tcPr>
          <w:p w14:paraId="3B5A62AD"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shd w:val="clear" w:color="D9E1F2" w:fill="D9E1F2"/>
            <w:noWrap/>
            <w:vAlign w:val="center"/>
            <w:hideMark/>
          </w:tcPr>
          <w:p w14:paraId="15885932"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shd w:val="clear" w:color="D9E1F2" w:fill="D9E1F2"/>
            <w:noWrap/>
            <w:vAlign w:val="center"/>
            <w:hideMark/>
          </w:tcPr>
          <w:p w14:paraId="2AD29E8B"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000000" w:fill="F2F2F2"/>
            <w:noWrap/>
            <w:vAlign w:val="center"/>
            <w:hideMark/>
          </w:tcPr>
          <w:p w14:paraId="6D1909FE"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0.05</w:t>
            </w:r>
          </w:p>
        </w:tc>
        <w:tc>
          <w:tcPr>
            <w:tcW w:w="0" w:type="auto"/>
            <w:shd w:val="clear" w:color="000000" w:fill="F2F2F2"/>
            <w:noWrap/>
            <w:vAlign w:val="center"/>
            <w:hideMark/>
          </w:tcPr>
          <w:p w14:paraId="74A14AC2"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0.05</w:t>
            </w:r>
          </w:p>
        </w:tc>
        <w:tc>
          <w:tcPr>
            <w:tcW w:w="0" w:type="auto"/>
            <w:shd w:val="clear" w:color="000000" w:fill="F2F2F2"/>
            <w:noWrap/>
            <w:vAlign w:val="center"/>
            <w:hideMark/>
          </w:tcPr>
          <w:p w14:paraId="6ABDED7C"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0.04</w:t>
            </w:r>
          </w:p>
        </w:tc>
        <w:tc>
          <w:tcPr>
            <w:tcW w:w="0" w:type="auto"/>
            <w:shd w:val="clear" w:color="000000" w:fill="F2F2F2"/>
            <w:noWrap/>
            <w:vAlign w:val="center"/>
            <w:hideMark/>
          </w:tcPr>
          <w:p w14:paraId="134C9560"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0.02</w:t>
            </w:r>
          </w:p>
        </w:tc>
      </w:tr>
      <w:tr w:rsidR="00A15C2C" w14:paraId="36AA2C0D" w14:textId="77777777" w:rsidTr="003C04C4">
        <w:trPr>
          <w:trHeight w:val="300"/>
          <w:jc w:val="center"/>
        </w:trPr>
        <w:tc>
          <w:tcPr>
            <w:tcW w:w="0" w:type="auto"/>
            <w:noWrap/>
            <w:vAlign w:val="center"/>
            <w:hideMark/>
          </w:tcPr>
          <w:p w14:paraId="581D496C"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lastRenderedPageBreak/>
              <w:t>2002</w:t>
            </w:r>
          </w:p>
        </w:tc>
        <w:tc>
          <w:tcPr>
            <w:tcW w:w="0" w:type="auto"/>
            <w:noWrap/>
            <w:vAlign w:val="center"/>
            <w:hideMark/>
          </w:tcPr>
          <w:p w14:paraId="76969F9B"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0.6527</w:t>
            </w:r>
          </w:p>
        </w:tc>
        <w:tc>
          <w:tcPr>
            <w:tcW w:w="1092" w:type="dxa"/>
            <w:noWrap/>
            <w:vAlign w:val="center"/>
            <w:hideMark/>
          </w:tcPr>
          <w:p w14:paraId="0B75E251"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0.0421</w:t>
            </w:r>
          </w:p>
        </w:tc>
        <w:tc>
          <w:tcPr>
            <w:tcW w:w="0" w:type="auto"/>
            <w:shd w:val="clear" w:color="000000" w:fill="C6EFCE"/>
            <w:noWrap/>
            <w:vAlign w:val="center"/>
            <w:hideMark/>
          </w:tcPr>
          <w:p w14:paraId="4477EB35"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6100"/>
                <w:szCs w:val="24"/>
              </w:rPr>
              <w:t>0.00</w:t>
            </w:r>
          </w:p>
        </w:tc>
        <w:tc>
          <w:tcPr>
            <w:tcW w:w="0" w:type="auto"/>
            <w:noWrap/>
            <w:vAlign w:val="center"/>
            <w:hideMark/>
          </w:tcPr>
          <w:p w14:paraId="4787296B"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274CCD8E"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487698B4"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noWrap/>
            <w:vAlign w:val="center"/>
            <w:hideMark/>
          </w:tcPr>
          <w:p w14:paraId="08CCFC3F"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noWrap/>
            <w:vAlign w:val="center"/>
            <w:hideMark/>
          </w:tcPr>
          <w:p w14:paraId="3AF5C1F9"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noWrap/>
            <w:vAlign w:val="center"/>
            <w:hideMark/>
          </w:tcPr>
          <w:p w14:paraId="011F3312"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noWrap/>
            <w:vAlign w:val="center"/>
            <w:hideMark/>
          </w:tcPr>
          <w:p w14:paraId="24F6E334"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000000" w:fill="F2F2F2"/>
            <w:noWrap/>
            <w:vAlign w:val="center"/>
            <w:hideMark/>
          </w:tcPr>
          <w:p w14:paraId="2E76F512"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0.04</w:t>
            </w:r>
          </w:p>
        </w:tc>
        <w:tc>
          <w:tcPr>
            <w:tcW w:w="0" w:type="auto"/>
            <w:shd w:val="clear" w:color="000000" w:fill="F2F2F2"/>
            <w:noWrap/>
            <w:vAlign w:val="center"/>
            <w:hideMark/>
          </w:tcPr>
          <w:p w14:paraId="24A474D7"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0.04</w:t>
            </w:r>
          </w:p>
        </w:tc>
        <w:tc>
          <w:tcPr>
            <w:tcW w:w="0" w:type="auto"/>
            <w:shd w:val="clear" w:color="000000" w:fill="F2F2F2"/>
            <w:noWrap/>
            <w:vAlign w:val="center"/>
            <w:hideMark/>
          </w:tcPr>
          <w:p w14:paraId="54232E43"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0.04</w:t>
            </w:r>
          </w:p>
        </w:tc>
        <w:tc>
          <w:tcPr>
            <w:tcW w:w="0" w:type="auto"/>
            <w:shd w:val="clear" w:color="000000" w:fill="F2F2F2"/>
            <w:noWrap/>
            <w:vAlign w:val="center"/>
            <w:hideMark/>
          </w:tcPr>
          <w:p w14:paraId="64B2B3D7"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r>
      <w:tr w:rsidR="00A15C2C" w14:paraId="3099C072" w14:textId="77777777" w:rsidTr="003C04C4">
        <w:trPr>
          <w:trHeight w:val="300"/>
          <w:jc w:val="center"/>
        </w:trPr>
        <w:tc>
          <w:tcPr>
            <w:tcW w:w="0" w:type="auto"/>
            <w:shd w:val="clear" w:color="D9E1F2" w:fill="D9E1F2"/>
            <w:noWrap/>
            <w:vAlign w:val="center"/>
            <w:hideMark/>
          </w:tcPr>
          <w:p w14:paraId="3968CC9C"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2001</w:t>
            </w:r>
          </w:p>
        </w:tc>
        <w:tc>
          <w:tcPr>
            <w:tcW w:w="0" w:type="auto"/>
            <w:shd w:val="clear" w:color="D9E1F2" w:fill="D9E1F2"/>
            <w:noWrap/>
            <w:vAlign w:val="center"/>
            <w:hideMark/>
          </w:tcPr>
          <w:p w14:paraId="047E4701"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0.5946</w:t>
            </w:r>
          </w:p>
        </w:tc>
        <w:tc>
          <w:tcPr>
            <w:tcW w:w="1092" w:type="dxa"/>
            <w:shd w:val="clear" w:color="D9E1F2" w:fill="D9E1F2"/>
            <w:noWrap/>
            <w:vAlign w:val="center"/>
            <w:hideMark/>
          </w:tcPr>
          <w:p w14:paraId="7B76AC07"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0.0384</w:t>
            </w:r>
          </w:p>
        </w:tc>
        <w:tc>
          <w:tcPr>
            <w:tcW w:w="0" w:type="auto"/>
            <w:shd w:val="clear" w:color="D9E1F2" w:fill="D9E1F2"/>
            <w:noWrap/>
            <w:vAlign w:val="center"/>
            <w:hideMark/>
          </w:tcPr>
          <w:p w14:paraId="12B2915D"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677F6A55"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1E1F3F02"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2FC0FA6E"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shd w:val="clear" w:color="D9E1F2" w:fill="D9E1F2"/>
            <w:noWrap/>
            <w:vAlign w:val="center"/>
            <w:hideMark/>
          </w:tcPr>
          <w:p w14:paraId="19542B79"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shd w:val="clear" w:color="D9E1F2" w:fill="D9E1F2"/>
            <w:noWrap/>
            <w:vAlign w:val="center"/>
            <w:hideMark/>
          </w:tcPr>
          <w:p w14:paraId="4D148ECF"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shd w:val="clear" w:color="D9E1F2" w:fill="D9E1F2"/>
            <w:noWrap/>
            <w:vAlign w:val="center"/>
            <w:hideMark/>
          </w:tcPr>
          <w:p w14:paraId="28B76A7A"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w:t>
            </w:r>
          </w:p>
        </w:tc>
        <w:tc>
          <w:tcPr>
            <w:tcW w:w="0" w:type="auto"/>
            <w:shd w:val="clear" w:color="D9E1F2" w:fill="D9E1F2"/>
            <w:noWrap/>
            <w:vAlign w:val="center"/>
            <w:hideMark/>
          </w:tcPr>
          <w:p w14:paraId="1F7C848B"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000000" w:fill="F2F2F2"/>
            <w:noWrap/>
            <w:vAlign w:val="center"/>
            <w:hideMark/>
          </w:tcPr>
          <w:p w14:paraId="06F58125"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0.04</w:t>
            </w:r>
          </w:p>
        </w:tc>
        <w:tc>
          <w:tcPr>
            <w:tcW w:w="0" w:type="auto"/>
            <w:shd w:val="clear" w:color="000000" w:fill="F2F2F2"/>
            <w:noWrap/>
            <w:vAlign w:val="center"/>
            <w:hideMark/>
          </w:tcPr>
          <w:p w14:paraId="13682835"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0.04</w:t>
            </w:r>
          </w:p>
        </w:tc>
        <w:tc>
          <w:tcPr>
            <w:tcW w:w="0" w:type="auto"/>
            <w:shd w:val="clear" w:color="000000" w:fill="F2F2F2"/>
            <w:noWrap/>
            <w:vAlign w:val="center"/>
            <w:hideMark/>
          </w:tcPr>
          <w:p w14:paraId="1DDB42D6"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0.03</w:t>
            </w:r>
          </w:p>
        </w:tc>
        <w:tc>
          <w:tcPr>
            <w:tcW w:w="0" w:type="auto"/>
            <w:shd w:val="clear" w:color="000000" w:fill="F2F2F2"/>
            <w:noWrap/>
            <w:vAlign w:val="center"/>
            <w:hideMark/>
          </w:tcPr>
          <w:p w14:paraId="7F9FCD73"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r>
      <w:tr w:rsidR="00A15C2C" w14:paraId="52BD7B31" w14:textId="77777777" w:rsidTr="003C04C4">
        <w:trPr>
          <w:trHeight w:val="300"/>
          <w:jc w:val="center"/>
        </w:trPr>
        <w:tc>
          <w:tcPr>
            <w:tcW w:w="0" w:type="auto"/>
            <w:noWrap/>
            <w:vAlign w:val="center"/>
            <w:hideMark/>
          </w:tcPr>
          <w:p w14:paraId="15789F12"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2000</w:t>
            </w:r>
          </w:p>
        </w:tc>
        <w:tc>
          <w:tcPr>
            <w:tcW w:w="0" w:type="auto"/>
            <w:noWrap/>
            <w:vAlign w:val="center"/>
            <w:hideMark/>
          </w:tcPr>
          <w:p w14:paraId="4F7B3E38"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0.5311</w:t>
            </w:r>
          </w:p>
        </w:tc>
        <w:tc>
          <w:tcPr>
            <w:tcW w:w="1092" w:type="dxa"/>
            <w:noWrap/>
            <w:vAlign w:val="center"/>
            <w:hideMark/>
          </w:tcPr>
          <w:p w14:paraId="460ECB87"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0.0343</w:t>
            </w:r>
          </w:p>
        </w:tc>
        <w:tc>
          <w:tcPr>
            <w:tcW w:w="0" w:type="auto"/>
            <w:noWrap/>
            <w:vAlign w:val="center"/>
            <w:hideMark/>
          </w:tcPr>
          <w:p w14:paraId="40A2C413"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3F48D210"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67AF7C63"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5243D43B"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w:t>
            </w:r>
          </w:p>
        </w:tc>
        <w:tc>
          <w:tcPr>
            <w:tcW w:w="0" w:type="auto"/>
            <w:noWrap/>
            <w:vAlign w:val="center"/>
            <w:hideMark/>
          </w:tcPr>
          <w:p w14:paraId="0F31B55A"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w:t>
            </w:r>
          </w:p>
        </w:tc>
        <w:tc>
          <w:tcPr>
            <w:tcW w:w="0" w:type="auto"/>
            <w:noWrap/>
            <w:vAlign w:val="center"/>
            <w:hideMark/>
          </w:tcPr>
          <w:p w14:paraId="0106EFFA"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w:t>
            </w:r>
          </w:p>
        </w:tc>
        <w:tc>
          <w:tcPr>
            <w:tcW w:w="0" w:type="auto"/>
            <w:noWrap/>
            <w:vAlign w:val="center"/>
            <w:hideMark/>
          </w:tcPr>
          <w:p w14:paraId="0230F8BB"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w:t>
            </w:r>
          </w:p>
        </w:tc>
        <w:tc>
          <w:tcPr>
            <w:tcW w:w="0" w:type="auto"/>
            <w:noWrap/>
            <w:vAlign w:val="center"/>
            <w:hideMark/>
          </w:tcPr>
          <w:p w14:paraId="2BC2C62C"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000000" w:fill="F2F2F2"/>
            <w:noWrap/>
            <w:vAlign w:val="center"/>
            <w:hideMark/>
          </w:tcPr>
          <w:p w14:paraId="6A3959B6"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0.03</w:t>
            </w:r>
          </w:p>
        </w:tc>
        <w:tc>
          <w:tcPr>
            <w:tcW w:w="0" w:type="auto"/>
            <w:shd w:val="clear" w:color="000000" w:fill="F2F2F2"/>
            <w:noWrap/>
            <w:vAlign w:val="center"/>
            <w:hideMark/>
          </w:tcPr>
          <w:p w14:paraId="353396DD"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0.03</w:t>
            </w:r>
          </w:p>
        </w:tc>
        <w:tc>
          <w:tcPr>
            <w:tcW w:w="0" w:type="auto"/>
            <w:shd w:val="clear" w:color="000000" w:fill="F2F2F2"/>
            <w:noWrap/>
            <w:vAlign w:val="center"/>
            <w:hideMark/>
          </w:tcPr>
          <w:p w14:paraId="172F621F"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0.03</w:t>
            </w:r>
          </w:p>
        </w:tc>
        <w:tc>
          <w:tcPr>
            <w:tcW w:w="0" w:type="auto"/>
            <w:shd w:val="clear" w:color="000000" w:fill="F2F2F2"/>
            <w:noWrap/>
            <w:vAlign w:val="center"/>
            <w:hideMark/>
          </w:tcPr>
          <w:p w14:paraId="0FD3FDD5"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r>
      <w:tr w:rsidR="00A15C2C" w14:paraId="40F9BDD7" w14:textId="77777777" w:rsidTr="003C04C4">
        <w:trPr>
          <w:trHeight w:val="300"/>
          <w:jc w:val="center"/>
        </w:trPr>
        <w:tc>
          <w:tcPr>
            <w:tcW w:w="0" w:type="auto"/>
            <w:shd w:val="clear" w:color="D9E1F2" w:fill="D9E1F2"/>
            <w:noWrap/>
            <w:vAlign w:val="center"/>
            <w:hideMark/>
          </w:tcPr>
          <w:p w14:paraId="4A2BE416"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1999</w:t>
            </w:r>
          </w:p>
        </w:tc>
        <w:tc>
          <w:tcPr>
            <w:tcW w:w="0" w:type="auto"/>
            <w:shd w:val="clear" w:color="D9E1F2" w:fill="D9E1F2"/>
            <w:noWrap/>
            <w:vAlign w:val="center"/>
            <w:hideMark/>
          </w:tcPr>
          <w:p w14:paraId="10D9FF4E"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0.4585</w:t>
            </w:r>
          </w:p>
        </w:tc>
        <w:tc>
          <w:tcPr>
            <w:tcW w:w="1092" w:type="dxa"/>
            <w:shd w:val="clear" w:color="D9E1F2" w:fill="D9E1F2"/>
            <w:noWrap/>
            <w:vAlign w:val="center"/>
            <w:hideMark/>
          </w:tcPr>
          <w:p w14:paraId="1624089D"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0.0296</w:t>
            </w:r>
          </w:p>
        </w:tc>
        <w:tc>
          <w:tcPr>
            <w:tcW w:w="0" w:type="auto"/>
            <w:shd w:val="clear" w:color="D9E1F2" w:fill="D9E1F2"/>
            <w:noWrap/>
            <w:vAlign w:val="center"/>
            <w:hideMark/>
          </w:tcPr>
          <w:p w14:paraId="7F6B2821"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4CEF6390"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16CB629B"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13929F3D"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w:t>
            </w:r>
          </w:p>
        </w:tc>
        <w:tc>
          <w:tcPr>
            <w:tcW w:w="0" w:type="auto"/>
            <w:shd w:val="clear" w:color="D9E1F2" w:fill="D9E1F2"/>
            <w:noWrap/>
            <w:vAlign w:val="center"/>
            <w:hideMark/>
          </w:tcPr>
          <w:p w14:paraId="7AF3B336"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w:t>
            </w:r>
          </w:p>
        </w:tc>
        <w:tc>
          <w:tcPr>
            <w:tcW w:w="0" w:type="auto"/>
            <w:shd w:val="clear" w:color="D9E1F2" w:fill="D9E1F2"/>
            <w:noWrap/>
            <w:vAlign w:val="center"/>
            <w:hideMark/>
          </w:tcPr>
          <w:p w14:paraId="722F0677"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w:t>
            </w:r>
          </w:p>
        </w:tc>
        <w:tc>
          <w:tcPr>
            <w:tcW w:w="0" w:type="auto"/>
            <w:shd w:val="clear" w:color="D9E1F2" w:fill="D9E1F2"/>
            <w:noWrap/>
            <w:vAlign w:val="center"/>
            <w:hideMark/>
          </w:tcPr>
          <w:p w14:paraId="1117FA25"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w:t>
            </w:r>
          </w:p>
        </w:tc>
        <w:tc>
          <w:tcPr>
            <w:tcW w:w="0" w:type="auto"/>
            <w:shd w:val="clear" w:color="D9E1F2" w:fill="D9E1F2"/>
            <w:noWrap/>
            <w:vAlign w:val="center"/>
            <w:hideMark/>
          </w:tcPr>
          <w:p w14:paraId="5FE41B1B"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000000" w:fill="F2F2F2"/>
            <w:noWrap/>
            <w:vAlign w:val="center"/>
            <w:hideMark/>
          </w:tcPr>
          <w:p w14:paraId="4CF0C774"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0.03</w:t>
            </w:r>
          </w:p>
        </w:tc>
        <w:tc>
          <w:tcPr>
            <w:tcW w:w="0" w:type="auto"/>
            <w:shd w:val="clear" w:color="000000" w:fill="F2F2F2"/>
            <w:noWrap/>
            <w:vAlign w:val="center"/>
            <w:hideMark/>
          </w:tcPr>
          <w:p w14:paraId="4C209584"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0.03</w:t>
            </w:r>
          </w:p>
        </w:tc>
        <w:tc>
          <w:tcPr>
            <w:tcW w:w="0" w:type="auto"/>
            <w:shd w:val="clear" w:color="000000" w:fill="F2F2F2"/>
            <w:noWrap/>
            <w:vAlign w:val="center"/>
            <w:hideMark/>
          </w:tcPr>
          <w:p w14:paraId="1914C3C5"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0.03</w:t>
            </w:r>
          </w:p>
        </w:tc>
        <w:tc>
          <w:tcPr>
            <w:tcW w:w="0" w:type="auto"/>
            <w:shd w:val="clear" w:color="000000" w:fill="F2F2F2"/>
            <w:noWrap/>
            <w:vAlign w:val="center"/>
            <w:hideMark/>
          </w:tcPr>
          <w:p w14:paraId="4CA715BC"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r>
      <w:tr w:rsidR="00A15C2C" w14:paraId="5EA94691" w14:textId="77777777" w:rsidTr="003C04C4">
        <w:trPr>
          <w:trHeight w:val="300"/>
          <w:jc w:val="center"/>
        </w:trPr>
        <w:tc>
          <w:tcPr>
            <w:tcW w:w="0" w:type="auto"/>
            <w:noWrap/>
            <w:vAlign w:val="center"/>
            <w:hideMark/>
          </w:tcPr>
          <w:p w14:paraId="47F4B433"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1998</w:t>
            </w:r>
          </w:p>
        </w:tc>
        <w:tc>
          <w:tcPr>
            <w:tcW w:w="0" w:type="auto"/>
            <w:noWrap/>
            <w:vAlign w:val="center"/>
            <w:hideMark/>
          </w:tcPr>
          <w:p w14:paraId="11B1F33A"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0.3832</w:t>
            </w:r>
          </w:p>
        </w:tc>
        <w:tc>
          <w:tcPr>
            <w:tcW w:w="1092" w:type="dxa"/>
            <w:noWrap/>
            <w:vAlign w:val="center"/>
            <w:hideMark/>
          </w:tcPr>
          <w:p w14:paraId="72CCC4B8"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0.0247</w:t>
            </w:r>
          </w:p>
        </w:tc>
        <w:tc>
          <w:tcPr>
            <w:tcW w:w="0" w:type="auto"/>
            <w:noWrap/>
            <w:vAlign w:val="center"/>
            <w:hideMark/>
          </w:tcPr>
          <w:p w14:paraId="34A3C014"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090C9536"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42C4F935"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19992FC3"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w:t>
            </w:r>
          </w:p>
        </w:tc>
        <w:tc>
          <w:tcPr>
            <w:tcW w:w="0" w:type="auto"/>
            <w:noWrap/>
            <w:vAlign w:val="center"/>
            <w:hideMark/>
          </w:tcPr>
          <w:p w14:paraId="24CA0696"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w:t>
            </w:r>
          </w:p>
        </w:tc>
        <w:tc>
          <w:tcPr>
            <w:tcW w:w="0" w:type="auto"/>
            <w:noWrap/>
            <w:vAlign w:val="center"/>
            <w:hideMark/>
          </w:tcPr>
          <w:p w14:paraId="756B6B8D"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w:t>
            </w:r>
          </w:p>
        </w:tc>
        <w:tc>
          <w:tcPr>
            <w:tcW w:w="0" w:type="auto"/>
            <w:noWrap/>
            <w:vAlign w:val="center"/>
            <w:hideMark/>
          </w:tcPr>
          <w:p w14:paraId="3509EFDE"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w:t>
            </w:r>
          </w:p>
        </w:tc>
        <w:tc>
          <w:tcPr>
            <w:tcW w:w="0" w:type="auto"/>
            <w:noWrap/>
            <w:vAlign w:val="center"/>
            <w:hideMark/>
          </w:tcPr>
          <w:p w14:paraId="5943E400"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000000" w:fill="F2F2F2"/>
            <w:noWrap/>
            <w:vAlign w:val="center"/>
            <w:hideMark/>
          </w:tcPr>
          <w:p w14:paraId="1C8EB15D"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0.02</w:t>
            </w:r>
          </w:p>
        </w:tc>
        <w:tc>
          <w:tcPr>
            <w:tcW w:w="0" w:type="auto"/>
            <w:shd w:val="clear" w:color="000000" w:fill="F2F2F2"/>
            <w:noWrap/>
            <w:vAlign w:val="center"/>
            <w:hideMark/>
          </w:tcPr>
          <w:p w14:paraId="2936FCB3"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0.02</w:t>
            </w:r>
          </w:p>
        </w:tc>
        <w:tc>
          <w:tcPr>
            <w:tcW w:w="0" w:type="auto"/>
            <w:shd w:val="clear" w:color="000000" w:fill="F2F2F2"/>
            <w:noWrap/>
            <w:vAlign w:val="center"/>
            <w:hideMark/>
          </w:tcPr>
          <w:p w14:paraId="3D89368B"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0.02</w:t>
            </w:r>
          </w:p>
        </w:tc>
        <w:tc>
          <w:tcPr>
            <w:tcW w:w="0" w:type="auto"/>
            <w:shd w:val="clear" w:color="000000" w:fill="F2F2F2"/>
            <w:noWrap/>
            <w:vAlign w:val="center"/>
            <w:hideMark/>
          </w:tcPr>
          <w:p w14:paraId="53FE5254"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r>
      <w:tr w:rsidR="00A15C2C" w14:paraId="431F1ED6" w14:textId="77777777" w:rsidTr="003C04C4">
        <w:trPr>
          <w:trHeight w:val="300"/>
          <w:jc w:val="center"/>
        </w:trPr>
        <w:tc>
          <w:tcPr>
            <w:tcW w:w="0" w:type="auto"/>
            <w:shd w:val="clear" w:color="D9E1F2" w:fill="D9E1F2"/>
            <w:noWrap/>
            <w:vAlign w:val="center"/>
            <w:hideMark/>
          </w:tcPr>
          <w:p w14:paraId="1F0511A7"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1997</w:t>
            </w:r>
          </w:p>
        </w:tc>
        <w:tc>
          <w:tcPr>
            <w:tcW w:w="0" w:type="auto"/>
            <w:shd w:val="clear" w:color="D9E1F2" w:fill="D9E1F2"/>
            <w:noWrap/>
            <w:vAlign w:val="center"/>
            <w:hideMark/>
          </w:tcPr>
          <w:p w14:paraId="2082F981"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0.3077</w:t>
            </w:r>
          </w:p>
        </w:tc>
        <w:tc>
          <w:tcPr>
            <w:tcW w:w="1092" w:type="dxa"/>
            <w:shd w:val="clear" w:color="D9E1F2" w:fill="D9E1F2"/>
            <w:noWrap/>
            <w:vAlign w:val="center"/>
            <w:hideMark/>
          </w:tcPr>
          <w:p w14:paraId="5BAA886D"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0.0199</w:t>
            </w:r>
          </w:p>
        </w:tc>
        <w:tc>
          <w:tcPr>
            <w:tcW w:w="0" w:type="auto"/>
            <w:shd w:val="clear" w:color="D9E1F2" w:fill="D9E1F2"/>
            <w:noWrap/>
            <w:vAlign w:val="center"/>
            <w:hideMark/>
          </w:tcPr>
          <w:p w14:paraId="3840B123"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24D86901"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1D410450"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624F2656"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w:t>
            </w:r>
          </w:p>
        </w:tc>
        <w:tc>
          <w:tcPr>
            <w:tcW w:w="0" w:type="auto"/>
            <w:shd w:val="clear" w:color="D9E1F2" w:fill="D9E1F2"/>
            <w:noWrap/>
            <w:vAlign w:val="center"/>
            <w:hideMark/>
          </w:tcPr>
          <w:p w14:paraId="117E90B4"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w:t>
            </w:r>
          </w:p>
        </w:tc>
        <w:tc>
          <w:tcPr>
            <w:tcW w:w="0" w:type="auto"/>
            <w:shd w:val="clear" w:color="D9E1F2" w:fill="D9E1F2"/>
            <w:noWrap/>
            <w:vAlign w:val="center"/>
            <w:hideMark/>
          </w:tcPr>
          <w:p w14:paraId="3F820C9A"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w:t>
            </w:r>
          </w:p>
        </w:tc>
        <w:tc>
          <w:tcPr>
            <w:tcW w:w="0" w:type="auto"/>
            <w:shd w:val="clear" w:color="D9E1F2" w:fill="D9E1F2"/>
            <w:noWrap/>
            <w:vAlign w:val="center"/>
            <w:hideMark/>
          </w:tcPr>
          <w:p w14:paraId="7B2A4729"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w:t>
            </w:r>
          </w:p>
        </w:tc>
        <w:tc>
          <w:tcPr>
            <w:tcW w:w="0" w:type="auto"/>
            <w:shd w:val="clear" w:color="D9E1F2" w:fill="D9E1F2"/>
            <w:noWrap/>
            <w:vAlign w:val="center"/>
            <w:hideMark/>
          </w:tcPr>
          <w:p w14:paraId="1FF8DA38"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000000" w:fill="F2F2F2"/>
            <w:noWrap/>
            <w:vAlign w:val="center"/>
            <w:hideMark/>
          </w:tcPr>
          <w:p w14:paraId="28D86698"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0.02</w:t>
            </w:r>
          </w:p>
        </w:tc>
        <w:tc>
          <w:tcPr>
            <w:tcW w:w="0" w:type="auto"/>
            <w:shd w:val="clear" w:color="000000" w:fill="F2F2F2"/>
            <w:noWrap/>
            <w:vAlign w:val="center"/>
            <w:hideMark/>
          </w:tcPr>
          <w:p w14:paraId="10E49D4E"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0.02</w:t>
            </w:r>
          </w:p>
        </w:tc>
        <w:tc>
          <w:tcPr>
            <w:tcW w:w="0" w:type="auto"/>
            <w:shd w:val="clear" w:color="000000" w:fill="F2F2F2"/>
            <w:noWrap/>
            <w:vAlign w:val="center"/>
            <w:hideMark/>
          </w:tcPr>
          <w:p w14:paraId="2D7362C6"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0.02</w:t>
            </w:r>
          </w:p>
        </w:tc>
        <w:tc>
          <w:tcPr>
            <w:tcW w:w="0" w:type="auto"/>
            <w:shd w:val="clear" w:color="000000" w:fill="F2F2F2"/>
            <w:noWrap/>
            <w:vAlign w:val="center"/>
            <w:hideMark/>
          </w:tcPr>
          <w:p w14:paraId="3EA10A90"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r>
      <w:tr w:rsidR="00A15C2C" w14:paraId="163E4712" w14:textId="77777777" w:rsidTr="003C04C4">
        <w:trPr>
          <w:trHeight w:val="300"/>
          <w:jc w:val="center"/>
        </w:trPr>
        <w:tc>
          <w:tcPr>
            <w:tcW w:w="0" w:type="auto"/>
            <w:noWrap/>
            <w:vAlign w:val="center"/>
            <w:hideMark/>
          </w:tcPr>
          <w:p w14:paraId="1BEEE07F"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1996</w:t>
            </w:r>
          </w:p>
        </w:tc>
        <w:tc>
          <w:tcPr>
            <w:tcW w:w="0" w:type="auto"/>
            <w:noWrap/>
            <w:vAlign w:val="center"/>
            <w:hideMark/>
          </w:tcPr>
          <w:p w14:paraId="36271911"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0.2414</w:t>
            </w:r>
          </w:p>
        </w:tc>
        <w:tc>
          <w:tcPr>
            <w:tcW w:w="1092" w:type="dxa"/>
            <w:noWrap/>
            <w:vAlign w:val="center"/>
            <w:hideMark/>
          </w:tcPr>
          <w:p w14:paraId="14F96C1B"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0.0156</w:t>
            </w:r>
          </w:p>
        </w:tc>
        <w:tc>
          <w:tcPr>
            <w:tcW w:w="0" w:type="auto"/>
            <w:noWrap/>
            <w:vAlign w:val="center"/>
            <w:hideMark/>
          </w:tcPr>
          <w:p w14:paraId="3FB513DC"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20C7C6C6"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2B216A54"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3BF8EE89"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w:t>
            </w:r>
          </w:p>
        </w:tc>
        <w:tc>
          <w:tcPr>
            <w:tcW w:w="0" w:type="auto"/>
            <w:noWrap/>
            <w:vAlign w:val="center"/>
            <w:hideMark/>
          </w:tcPr>
          <w:p w14:paraId="57E3C553"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w:t>
            </w:r>
          </w:p>
        </w:tc>
        <w:tc>
          <w:tcPr>
            <w:tcW w:w="0" w:type="auto"/>
            <w:noWrap/>
            <w:vAlign w:val="center"/>
            <w:hideMark/>
          </w:tcPr>
          <w:p w14:paraId="5815ECE6"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w:t>
            </w:r>
          </w:p>
        </w:tc>
        <w:tc>
          <w:tcPr>
            <w:tcW w:w="0" w:type="auto"/>
            <w:noWrap/>
            <w:vAlign w:val="center"/>
            <w:hideMark/>
          </w:tcPr>
          <w:p w14:paraId="5C2E1509"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6EE9E02B"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1D49D306"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0.02</w:t>
            </w:r>
          </w:p>
        </w:tc>
        <w:tc>
          <w:tcPr>
            <w:tcW w:w="0" w:type="auto"/>
            <w:shd w:val="clear" w:color="000000" w:fill="F2F2F2"/>
            <w:noWrap/>
            <w:vAlign w:val="center"/>
            <w:hideMark/>
          </w:tcPr>
          <w:p w14:paraId="34315B55"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0.02</w:t>
            </w:r>
          </w:p>
        </w:tc>
        <w:tc>
          <w:tcPr>
            <w:tcW w:w="0" w:type="auto"/>
            <w:shd w:val="clear" w:color="000000" w:fill="F2F2F2"/>
            <w:noWrap/>
            <w:vAlign w:val="center"/>
            <w:hideMark/>
          </w:tcPr>
          <w:p w14:paraId="648990A9"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0C7F99DC"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39D68390" w14:textId="77777777" w:rsidTr="003C04C4">
        <w:trPr>
          <w:trHeight w:val="300"/>
          <w:jc w:val="center"/>
        </w:trPr>
        <w:tc>
          <w:tcPr>
            <w:tcW w:w="0" w:type="auto"/>
            <w:shd w:val="clear" w:color="D9E1F2" w:fill="D9E1F2"/>
            <w:noWrap/>
            <w:vAlign w:val="center"/>
            <w:hideMark/>
          </w:tcPr>
          <w:p w14:paraId="6E392F37"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1995</w:t>
            </w:r>
          </w:p>
        </w:tc>
        <w:tc>
          <w:tcPr>
            <w:tcW w:w="0" w:type="auto"/>
            <w:shd w:val="clear" w:color="D9E1F2" w:fill="D9E1F2"/>
            <w:noWrap/>
            <w:vAlign w:val="center"/>
            <w:hideMark/>
          </w:tcPr>
          <w:p w14:paraId="22D53B3B"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0.1833</w:t>
            </w:r>
          </w:p>
        </w:tc>
        <w:tc>
          <w:tcPr>
            <w:tcW w:w="1092" w:type="dxa"/>
            <w:shd w:val="clear" w:color="D9E1F2" w:fill="D9E1F2"/>
            <w:noWrap/>
            <w:vAlign w:val="center"/>
            <w:hideMark/>
          </w:tcPr>
          <w:p w14:paraId="694E0FC9"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0.0118</w:t>
            </w:r>
          </w:p>
        </w:tc>
        <w:tc>
          <w:tcPr>
            <w:tcW w:w="0" w:type="auto"/>
            <w:shd w:val="clear" w:color="D9E1F2" w:fill="D9E1F2"/>
            <w:noWrap/>
            <w:vAlign w:val="center"/>
            <w:hideMark/>
          </w:tcPr>
          <w:p w14:paraId="72C08B8D"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5FB691E3"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7A07A06E"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11A29C8B"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D9E1F2" w:fill="D9E1F2"/>
            <w:noWrap/>
            <w:vAlign w:val="center"/>
            <w:hideMark/>
          </w:tcPr>
          <w:p w14:paraId="265C2849"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D9E1F2" w:fill="D9E1F2"/>
            <w:noWrap/>
            <w:vAlign w:val="center"/>
            <w:hideMark/>
          </w:tcPr>
          <w:p w14:paraId="38823D4E"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D9E1F2" w:fill="D9E1F2"/>
            <w:noWrap/>
            <w:vAlign w:val="center"/>
            <w:hideMark/>
          </w:tcPr>
          <w:p w14:paraId="7776A96E"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D9E1F2" w:fill="D9E1F2"/>
            <w:noWrap/>
            <w:vAlign w:val="center"/>
            <w:hideMark/>
          </w:tcPr>
          <w:p w14:paraId="1E4EE7D6"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5420AE6B"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04D02920"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40C65378"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137CE7D5"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072051C3" w14:textId="77777777" w:rsidTr="003C04C4">
        <w:trPr>
          <w:trHeight w:val="300"/>
          <w:jc w:val="center"/>
        </w:trPr>
        <w:tc>
          <w:tcPr>
            <w:tcW w:w="0" w:type="auto"/>
            <w:noWrap/>
            <w:vAlign w:val="center"/>
            <w:hideMark/>
          </w:tcPr>
          <w:p w14:paraId="7581F317"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1994</w:t>
            </w:r>
          </w:p>
        </w:tc>
        <w:tc>
          <w:tcPr>
            <w:tcW w:w="0" w:type="auto"/>
            <w:noWrap/>
            <w:vAlign w:val="center"/>
            <w:hideMark/>
          </w:tcPr>
          <w:p w14:paraId="1557BA03"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0.1388</w:t>
            </w:r>
          </w:p>
        </w:tc>
        <w:tc>
          <w:tcPr>
            <w:tcW w:w="1092" w:type="dxa"/>
            <w:noWrap/>
            <w:vAlign w:val="center"/>
            <w:hideMark/>
          </w:tcPr>
          <w:p w14:paraId="6187B3EB"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0.0090</w:t>
            </w:r>
          </w:p>
        </w:tc>
        <w:tc>
          <w:tcPr>
            <w:tcW w:w="0" w:type="auto"/>
            <w:noWrap/>
            <w:vAlign w:val="center"/>
            <w:hideMark/>
          </w:tcPr>
          <w:p w14:paraId="2E0E2C5E"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70C8DE7F"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650CB1DC"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33102B5A"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0E5BDACA"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74E5289C"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1653CF7A"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284B36E4"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68858BD0"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6651933C"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628A5B7B"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70E47318"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4ED5F54A" w14:textId="77777777" w:rsidTr="003C04C4">
        <w:trPr>
          <w:trHeight w:val="300"/>
          <w:jc w:val="center"/>
        </w:trPr>
        <w:tc>
          <w:tcPr>
            <w:tcW w:w="0" w:type="auto"/>
            <w:shd w:val="clear" w:color="D9E1F2" w:fill="D9E1F2"/>
            <w:noWrap/>
            <w:vAlign w:val="center"/>
            <w:hideMark/>
          </w:tcPr>
          <w:p w14:paraId="7DED6AFF"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1993</w:t>
            </w:r>
          </w:p>
        </w:tc>
        <w:tc>
          <w:tcPr>
            <w:tcW w:w="0" w:type="auto"/>
            <w:shd w:val="clear" w:color="D9E1F2" w:fill="D9E1F2"/>
            <w:noWrap/>
            <w:vAlign w:val="center"/>
            <w:hideMark/>
          </w:tcPr>
          <w:p w14:paraId="182EAB94"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0.1066</w:t>
            </w:r>
          </w:p>
        </w:tc>
        <w:tc>
          <w:tcPr>
            <w:tcW w:w="1092" w:type="dxa"/>
            <w:shd w:val="clear" w:color="D9E1F2" w:fill="D9E1F2"/>
            <w:noWrap/>
            <w:vAlign w:val="center"/>
            <w:hideMark/>
          </w:tcPr>
          <w:p w14:paraId="517918D1"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0.0069</w:t>
            </w:r>
          </w:p>
        </w:tc>
        <w:tc>
          <w:tcPr>
            <w:tcW w:w="0" w:type="auto"/>
            <w:shd w:val="clear" w:color="D9E1F2" w:fill="D9E1F2"/>
            <w:noWrap/>
            <w:vAlign w:val="center"/>
            <w:hideMark/>
          </w:tcPr>
          <w:p w14:paraId="2DB9F1C7"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517D2FB1"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4A9B6F51"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480A6458"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D9E1F2" w:fill="D9E1F2"/>
            <w:noWrap/>
            <w:vAlign w:val="center"/>
            <w:hideMark/>
          </w:tcPr>
          <w:p w14:paraId="51B86FB7"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D9E1F2" w:fill="D9E1F2"/>
            <w:noWrap/>
            <w:vAlign w:val="center"/>
            <w:hideMark/>
          </w:tcPr>
          <w:p w14:paraId="2BA2A0F7"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D9E1F2" w:fill="D9E1F2"/>
            <w:noWrap/>
            <w:vAlign w:val="center"/>
            <w:hideMark/>
          </w:tcPr>
          <w:p w14:paraId="1905E346"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D9E1F2" w:fill="D9E1F2"/>
            <w:noWrap/>
            <w:vAlign w:val="center"/>
            <w:hideMark/>
          </w:tcPr>
          <w:p w14:paraId="11ECA91B"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3F203EE2"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53194848"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0BF6C661"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15253103"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3806FC46" w14:textId="77777777" w:rsidTr="003C04C4">
        <w:trPr>
          <w:trHeight w:val="300"/>
          <w:jc w:val="center"/>
        </w:trPr>
        <w:tc>
          <w:tcPr>
            <w:tcW w:w="0" w:type="auto"/>
            <w:noWrap/>
            <w:vAlign w:val="center"/>
            <w:hideMark/>
          </w:tcPr>
          <w:p w14:paraId="012FF061"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1992</w:t>
            </w:r>
          </w:p>
        </w:tc>
        <w:tc>
          <w:tcPr>
            <w:tcW w:w="0" w:type="auto"/>
            <w:noWrap/>
            <w:vAlign w:val="center"/>
            <w:hideMark/>
          </w:tcPr>
          <w:p w14:paraId="27255A35"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0.0820</w:t>
            </w:r>
          </w:p>
        </w:tc>
        <w:tc>
          <w:tcPr>
            <w:tcW w:w="1092" w:type="dxa"/>
            <w:noWrap/>
            <w:vAlign w:val="center"/>
            <w:hideMark/>
          </w:tcPr>
          <w:p w14:paraId="5F027A18"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0.0053</w:t>
            </w:r>
          </w:p>
        </w:tc>
        <w:tc>
          <w:tcPr>
            <w:tcW w:w="0" w:type="auto"/>
            <w:noWrap/>
            <w:vAlign w:val="center"/>
            <w:hideMark/>
          </w:tcPr>
          <w:p w14:paraId="7D12E410"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58C42D33"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7906F33D"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1AAE52B7"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2CA7EB28"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40F52B9B"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1896BD7E"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69F038A1"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3FB9589F"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4489A753"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6FE4F3A4"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3D63C846"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79DFC8DA" w14:textId="77777777" w:rsidTr="003C04C4">
        <w:trPr>
          <w:trHeight w:val="300"/>
          <w:jc w:val="center"/>
        </w:trPr>
        <w:tc>
          <w:tcPr>
            <w:tcW w:w="0" w:type="auto"/>
            <w:shd w:val="clear" w:color="D9E1F2" w:fill="D9E1F2"/>
            <w:noWrap/>
            <w:vAlign w:val="center"/>
            <w:hideMark/>
          </w:tcPr>
          <w:p w14:paraId="7F08D0E8"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1991</w:t>
            </w:r>
          </w:p>
        </w:tc>
        <w:tc>
          <w:tcPr>
            <w:tcW w:w="0" w:type="auto"/>
            <w:shd w:val="clear" w:color="D9E1F2" w:fill="D9E1F2"/>
            <w:noWrap/>
            <w:vAlign w:val="center"/>
            <w:hideMark/>
          </w:tcPr>
          <w:p w14:paraId="10435F6D"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0.0629</w:t>
            </w:r>
          </w:p>
        </w:tc>
        <w:tc>
          <w:tcPr>
            <w:tcW w:w="1092" w:type="dxa"/>
            <w:shd w:val="clear" w:color="D9E1F2" w:fill="D9E1F2"/>
            <w:noWrap/>
            <w:vAlign w:val="center"/>
            <w:hideMark/>
          </w:tcPr>
          <w:p w14:paraId="03B097EB"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0.0041</w:t>
            </w:r>
          </w:p>
        </w:tc>
        <w:tc>
          <w:tcPr>
            <w:tcW w:w="0" w:type="auto"/>
            <w:shd w:val="clear" w:color="D9E1F2" w:fill="D9E1F2"/>
            <w:noWrap/>
            <w:vAlign w:val="center"/>
            <w:hideMark/>
          </w:tcPr>
          <w:p w14:paraId="28C0B224"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037EE985"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36D15002"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16F73B84"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25B2E1D0"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5A8DBE81"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0AD241D1"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3F33B86E"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3E373512"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66FBB699"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6198FB39"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44EAAC46"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5DDCC273" w14:textId="77777777" w:rsidTr="003C04C4">
        <w:trPr>
          <w:trHeight w:val="300"/>
          <w:jc w:val="center"/>
        </w:trPr>
        <w:tc>
          <w:tcPr>
            <w:tcW w:w="0" w:type="auto"/>
            <w:noWrap/>
            <w:vAlign w:val="center"/>
            <w:hideMark/>
          </w:tcPr>
          <w:p w14:paraId="192941B8"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1990</w:t>
            </w:r>
          </w:p>
        </w:tc>
        <w:tc>
          <w:tcPr>
            <w:tcW w:w="0" w:type="auto"/>
            <w:noWrap/>
            <w:vAlign w:val="center"/>
            <w:hideMark/>
          </w:tcPr>
          <w:p w14:paraId="5ECAE052"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0.0514</w:t>
            </w:r>
          </w:p>
        </w:tc>
        <w:tc>
          <w:tcPr>
            <w:tcW w:w="1092" w:type="dxa"/>
            <w:noWrap/>
            <w:vAlign w:val="center"/>
            <w:hideMark/>
          </w:tcPr>
          <w:p w14:paraId="280C97A3"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0.0033</w:t>
            </w:r>
          </w:p>
        </w:tc>
        <w:tc>
          <w:tcPr>
            <w:tcW w:w="0" w:type="auto"/>
            <w:noWrap/>
            <w:vAlign w:val="center"/>
            <w:hideMark/>
          </w:tcPr>
          <w:p w14:paraId="062206A2"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62653417"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5F8C3BE2"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21E22BAA"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7CB1D512"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4D481C35"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626F0314"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57D610B3"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4A4B7539"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4BDCEF83"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75DD4C54"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45C62741"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556EBD2C" w14:textId="77777777" w:rsidTr="003C04C4">
        <w:trPr>
          <w:trHeight w:val="300"/>
          <w:jc w:val="center"/>
        </w:trPr>
        <w:tc>
          <w:tcPr>
            <w:tcW w:w="0" w:type="auto"/>
            <w:shd w:val="clear" w:color="D9E1F2" w:fill="D9E1F2"/>
            <w:noWrap/>
            <w:vAlign w:val="center"/>
            <w:hideMark/>
          </w:tcPr>
          <w:p w14:paraId="791CADCF"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1989</w:t>
            </w:r>
          </w:p>
        </w:tc>
        <w:tc>
          <w:tcPr>
            <w:tcW w:w="0" w:type="auto"/>
            <w:shd w:val="clear" w:color="D9E1F2" w:fill="D9E1F2"/>
            <w:noWrap/>
            <w:vAlign w:val="center"/>
            <w:hideMark/>
          </w:tcPr>
          <w:p w14:paraId="5C44DDF3"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0.0420</w:t>
            </w:r>
          </w:p>
        </w:tc>
        <w:tc>
          <w:tcPr>
            <w:tcW w:w="1092" w:type="dxa"/>
            <w:shd w:val="clear" w:color="D9E1F2" w:fill="D9E1F2"/>
            <w:noWrap/>
            <w:vAlign w:val="center"/>
            <w:hideMark/>
          </w:tcPr>
          <w:p w14:paraId="5903A7F1"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0.0027</w:t>
            </w:r>
          </w:p>
        </w:tc>
        <w:tc>
          <w:tcPr>
            <w:tcW w:w="0" w:type="auto"/>
            <w:shd w:val="clear" w:color="D9E1F2" w:fill="D9E1F2"/>
            <w:noWrap/>
            <w:vAlign w:val="center"/>
            <w:hideMark/>
          </w:tcPr>
          <w:p w14:paraId="7C4E9B45"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6EA79449"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2DF095DA"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01B1A43D"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16F67C0C"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0901A192"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1EA013EA"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7E28C27C"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7CB9FE03"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0652B9BF"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2EAC8338"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2B32C2FA"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3A2C1AB3" w14:textId="77777777" w:rsidTr="003C04C4">
        <w:trPr>
          <w:trHeight w:val="300"/>
          <w:jc w:val="center"/>
        </w:trPr>
        <w:tc>
          <w:tcPr>
            <w:tcW w:w="0" w:type="auto"/>
            <w:noWrap/>
            <w:vAlign w:val="center"/>
            <w:hideMark/>
          </w:tcPr>
          <w:p w14:paraId="145C1E59"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1988</w:t>
            </w:r>
          </w:p>
        </w:tc>
        <w:tc>
          <w:tcPr>
            <w:tcW w:w="0" w:type="auto"/>
            <w:noWrap/>
            <w:vAlign w:val="center"/>
            <w:hideMark/>
          </w:tcPr>
          <w:p w14:paraId="2D04FC3F"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0.0337</w:t>
            </w:r>
          </w:p>
        </w:tc>
        <w:tc>
          <w:tcPr>
            <w:tcW w:w="1092" w:type="dxa"/>
            <w:noWrap/>
            <w:vAlign w:val="center"/>
            <w:hideMark/>
          </w:tcPr>
          <w:p w14:paraId="334DD467"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0.0022</w:t>
            </w:r>
          </w:p>
        </w:tc>
        <w:tc>
          <w:tcPr>
            <w:tcW w:w="0" w:type="auto"/>
            <w:noWrap/>
            <w:vAlign w:val="center"/>
            <w:hideMark/>
          </w:tcPr>
          <w:p w14:paraId="4BDA5340"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11B8A44E"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738406F2"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2B0B5E1D"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6E263D19"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4C02DB9F"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24B04033"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189BAB6A"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270BAE8B"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0633C458"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0B002024"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1EDDB316"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0867ED2B" w14:textId="77777777" w:rsidTr="003C04C4">
        <w:trPr>
          <w:trHeight w:val="300"/>
          <w:jc w:val="center"/>
        </w:trPr>
        <w:tc>
          <w:tcPr>
            <w:tcW w:w="0" w:type="auto"/>
            <w:shd w:val="clear" w:color="D9E1F2" w:fill="D9E1F2"/>
            <w:noWrap/>
            <w:vAlign w:val="center"/>
            <w:hideMark/>
          </w:tcPr>
          <w:p w14:paraId="49091859"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1987</w:t>
            </w:r>
          </w:p>
        </w:tc>
        <w:tc>
          <w:tcPr>
            <w:tcW w:w="0" w:type="auto"/>
            <w:shd w:val="clear" w:color="D9E1F2" w:fill="D9E1F2"/>
            <w:noWrap/>
            <w:vAlign w:val="center"/>
            <w:hideMark/>
          </w:tcPr>
          <w:p w14:paraId="7CF7E791"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0.0281</w:t>
            </w:r>
          </w:p>
        </w:tc>
        <w:tc>
          <w:tcPr>
            <w:tcW w:w="1092" w:type="dxa"/>
            <w:shd w:val="clear" w:color="D9E1F2" w:fill="D9E1F2"/>
            <w:noWrap/>
            <w:vAlign w:val="center"/>
            <w:hideMark/>
          </w:tcPr>
          <w:p w14:paraId="4D7BB2B1"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0.0018</w:t>
            </w:r>
          </w:p>
        </w:tc>
        <w:tc>
          <w:tcPr>
            <w:tcW w:w="0" w:type="auto"/>
            <w:shd w:val="clear" w:color="D9E1F2" w:fill="D9E1F2"/>
            <w:noWrap/>
            <w:vAlign w:val="center"/>
            <w:hideMark/>
          </w:tcPr>
          <w:p w14:paraId="1D830473"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464E6294"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4828A773"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5AACBEE4"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3024220C"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753AEB71"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70673A05"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4329C847"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34F52C60"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3CB43DE2"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69B6ED3A"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29B7BA04"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02241734" w14:textId="77777777" w:rsidTr="003C04C4">
        <w:trPr>
          <w:trHeight w:val="300"/>
          <w:jc w:val="center"/>
        </w:trPr>
        <w:tc>
          <w:tcPr>
            <w:tcW w:w="0" w:type="auto"/>
            <w:noWrap/>
            <w:vAlign w:val="center"/>
            <w:hideMark/>
          </w:tcPr>
          <w:p w14:paraId="16024990"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1986</w:t>
            </w:r>
          </w:p>
        </w:tc>
        <w:tc>
          <w:tcPr>
            <w:tcW w:w="0" w:type="auto"/>
            <w:noWrap/>
            <w:vAlign w:val="center"/>
            <w:hideMark/>
          </w:tcPr>
          <w:p w14:paraId="70CCE2F7"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0.0235</w:t>
            </w:r>
          </w:p>
        </w:tc>
        <w:tc>
          <w:tcPr>
            <w:tcW w:w="1092" w:type="dxa"/>
            <w:noWrap/>
            <w:vAlign w:val="center"/>
            <w:hideMark/>
          </w:tcPr>
          <w:p w14:paraId="7F2C0CC5"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0.0015</w:t>
            </w:r>
          </w:p>
        </w:tc>
        <w:tc>
          <w:tcPr>
            <w:tcW w:w="0" w:type="auto"/>
            <w:noWrap/>
            <w:vAlign w:val="center"/>
            <w:hideMark/>
          </w:tcPr>
          <w:p w14:paraId="57F2E943"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1CEB8762"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12B57E7D"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57C24A9D"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53B554A2"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6E7C9E65"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3DD576D6"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413CCA2E"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542529C4"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30C022FD"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560B1522"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02368F4C"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5F09EDB5" w14:textId="77777777" w:rsidTr="003C04C4">
        <w:trPr>
          <w:trHeight w:val="300"/>
          <w:jc w:val="center"/>
        </w:trPr>
        <w:tc>
          <w:tcPr>
            <w:tcW w:w="0" w:type="auto"/>
            <w:shd w:val="clear" w:color="D9E1F2" w:fill="D9E1F2"/>
            <w:noWrap/>
            <w:vAlign w:val="center"/>
            <w:hideMark/>
          </w:tcPr>
          <w:p w14:paraId="3D9AC909"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1985</w:t>
            </w:r>
          </w:p>
        </w:tc>
        <w:tc>
          <w:tcPr>
            <w:tcW w:w="0" w:type="auto"/>
            <w:shd w:val="clear" w:color="D9E1F2" w:fill="D9E1F2"/>
            <w:noWrap/>
            <w:vAlign w:val="center"/>
            <w:hideMark/>
          </w:tcPr>
          <w:p w14:paraId="761F3002"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0.0000</w:t>
            </w:r>
          </w:p>
        </w:tc>
        <w:tc>
          <w:tcPr>
            <w:tcW w:w="1092" w:type="dxa"/>
            <w:shd w:val="clear" w:color="D9E1F2" w:fill="D9E1F2"/>
            <w:noWrap/>
            <w:vAlign w:val="center"/>
            <w:hideMark/>
          </w:tcPr>
          <w:p w14:paraId="2581BBCF"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0.0000</w:t>
            </w:r>
          </w:p>
        </w:tc>
        <w:tc>
          <w:tcPr>
            <w:tcW w:w="0" w:type="auto"/>
            <w:shd w:val="clear" w:color="D9E1F2" w:fill="D9E1F2"/>
            <w:noWrap/>
            <w:vAlign w:val="center"/>
            <w:hideMark/>
          </w:tcPr>
          <w:p w14:paraId="7D0EAA12"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369F6562"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1C01295C"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739C7035"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53898D86"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5F0739A6"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333B8BB1"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0E6ADED8"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34F3BA45"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053DAC95"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2A12767E"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2158999D"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3363D30D" w14:textId="77777777" w:rsidTr="003C04C4">
        <w:trPr>
          <w:trHeight w:val="300"/>
          <w:jc w:val="center"/>
        </w:trPr>
        <w:tc>
          <w:tcPr>
            <w:tcW w:w="0" w:type="auto"/>
            <w:noWrap/>
            <w:vAlign w:val="center"/>
            <w:hideMark/>
          </w:tcPr>
          <w:p w14:paraId="1AF11225"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1984</w:t>
            </w:r>
          </w:p>
        </w:tc>
        <w:tc>
          <w:tcPr>
            <w:tcW w:w="0" w:type="auto"/>
            <w:noWrap/>
            <w:vAlign w:val="center"/>
            <w:hideMark/>
          </w:tcPr>
          <w:p w14:paraId="2D51E3AB"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0.0000</w:t>
            </w:r>
          </w:p>
        </w:tc>
        <w:tc>
          <w:tcPr>
            <w:tcW w:w="1092" w:type="dxa"/>
            <w:noWrap/>
            <w:vAlign w:val="center"/>
            <w:hideMark/>
          </w:tcPr>
          <w:p w14:paraId="3997E2E0"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0.0000</w:t>
            </w:r>
          </w:p>
        </w:tc>
        <w:tc>
          <w:tcPr>
            <w:tcW w:w="0" w:type="auto"/>
            <w:noWrap/>
            <w:vAlign w:val="center"/>
            <w:hideMark/>
          </w:tcPr>
          <w:p w14:paraId="12E7775B"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54DA9894"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611C3A48"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12F4D82A"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56158E56"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1402533C"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383FDE0B"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05361D26"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0808E36B"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58094494"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7698D142"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5FA0B59B"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093B35E8" w14:textId="77777777" w:rsidTr="003C04C4">
        <w:trPr>
          <w:trHeight w:val="300"/>
          <w:jc w:val="center"/>
        </w:trPr>
        <w:tc>
          <w:tcPr>
            <w:tcW w:w="0" w:type="auto"/>
            <w:shd w:val="clear" w:color="D9E1F2" w:fill="D9E1F2"/>
            <w:noWrap/>
            <w:vAlign w:val="center"/>
            <w:hideMark/>
          </w:tcPr>
          <w:p w14:paraId="17A4681A"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1983</w:t>
            </w:r>
          </w:p>
        </w:tc>
        <w:tc>
          <w:tcPr>
            <w:tcW w:w="0" w:type="auto"/>
            <w:shd w:val="clear" w:color="D9E1F2" w:fill="D9E1F2"/>
            <w:noWrap/>
            <w:vAlign w:val="center"/>
            <w:hideMark/>
          </w:tcPr>
          <w:p w14:paraId="193A60C6"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0.0000</w:t>
            </w:r>
          </w:p>
        </w:tc>
        <w:tc>
          <w:tcPr>
            <w:tcW w:w="1092" w:type="dxa"/>
            <w:shd w:val="clear" w:color="D9E1F2" w:fill="D9E1F2"/>
            <w:noWrap/>
            <w:vAlign w:val="center"/>
            <w:hideMark/>
          </w:tcPr>
          <w:p w14:paraId="6F9F4FAA"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0.0000</w:t>
            </w:r>
          </w:p>
        </w:tc>
        <w:tc>
          <w:tcPr>
            <w:tcW w:w="0" w:type="auto"/>
            <w:shd w:val="clear" w:color="D9E1F2" w:fill="D9E1F2"/>
            <w:noWrap/>
            <w:vAlign w:val="center"/>
            <w:hideMark/>
          </w:tcPr>
          <w:p w14:paraId="4DC00E64"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5BF4DFE1"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5C3D9480"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4176E391"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09050F31"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2224724A"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6B415028"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43ACEF1D"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5C5E0A9E"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1ECA3C7F"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4F7F9998"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6D3444AB"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441C0178" w14:textId="77777777" w:rsidTr="003C04C4">
        <w:trPr>
          <w:trHeight w:val="300"/>
          <w:jc w:val="center"/>
        </w:trPr>
        <w:tc>
          <w:tcPr>
            <w:tcW w:w="0" w:type="auto"/>
            <w:noWrap/>
            <w:vAlign w:val="center"/>
            <w:hideMark/>
          </w:tcPr>
          <w:p w14:paraId="3F8FBA68"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1982</w:t>
            </w:r>
          </w:p>
        </w:tc>
        <w:tc>
          <w:tcPr>
            <w:tcW w:w="0" w:type="auto"/>
            <w:noWrap/>
            <w:vAlign w:val="center"/>
            <w:hideMark/>
          </w:tcPr>
          <w:p w14:paraId="07EEF94F"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0.0000</w:t>
            </w:r>
          </w:p>
        </w:tc>
        <w:tc>
          <w:tcPr>
            <w:tcW w:w="1092" w:type="dxa"/>
            <w:noWrap/>
            <w:vAlign w:val="center"/>
            <w:hideMark/>
          </w:tcPr>
          <w:p w14:paraId="75DEF0C9"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0.0000</w:t>
            </w:r>
          </w:p>
        </w:tc>
        <w:tc>
          <w:tcPr>
            <w:tcW w:w="0" w:type="auto"/>
            <w:noWrap/>
            <w:vAlign w:val="center"/>
            <w:hideMark/>
          </w:tcPr>
          <w:p w14:paraId="04C84BDB"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1312B55A"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4FC3F84A"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2C190A5F"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57AFB008"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0A0114BA"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6684D3AC"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10B95EDB"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3278A438"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5940B5B5"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2287D7E4"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50721853"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34CCC34D" w14:textId="77777777" w:rsidTr="003C04C4">
        <w:trPr>
          <w:trHeight w:val="300"/>
          <w:jc w:val="center"/>
        </w:trPr>
        <w:tc>
          <w:tcPr>
            <w:tcW w:w="0" w:type="auto"/>
            <w:shd w:val="clear" w:color="D9E1F2" w:fill="D9E1F2"/>
            <w:noWrap/>
            <w:vAlign w:val="center"/>
            <w:hideMark/>
          </w:tcPr>
          <w:p w14:paraId="01711FDB"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1981</w:t>
            </w:r>
          </w:p>
        </w:tc>
        <w:tc>
          <w:tcPr>
            <w:tcW w:w="0" w:type="auto"/>
            <w:shd w:val="clear" w:color="D9E1F2" w:fill="D9E1F2"/>
            <w:noWrap/>
            <w:vAlign w:val="center"/>
            <w:hideMark/>
          </w:tcPr>
          <w:p w14:paraId="6BDFBE11"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0.0000</w:t>
            </w:r>
          </w:p>
        </w:tc>
        <w:tc>
          <w:tcPr>
            <w:tcW w:w="1092" w:type="dxa"/>
            <w:shd w:val="clear" w:color="D9E1F2" w:fill="D9E1F2"/>
            <w:noWrap/>
            <w:vAlign w:val="center"/>
            <w:hideMark/>
          </w:tcPr>
          <w:p w14:paraId="018B8426"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0.0000</w:t>
            </w:r>
          </w:p>
        </w:tc>
        <w:tc>
          <w:tcPr>
            <w:tcW w:w="0" w:type="auto"/>
            <w:shd w:val="clear" w:color="D9E1F2" w:fill="D9E1F2"/>
            <w:noWrap/>
            <w:vAlign w:val="center"/>
            <w:hideMark/>
          </w:tcPr>
          <w:p w14:paraId="60594918"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5C560CC3"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6C34817C"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35585A6C"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1991BC20"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06EAD7C4"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7A644042"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73021DCF"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333E7587"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7E2F8219"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7F9EF2E9"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0FD9E256"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6B76A811" w14:textId="77777777" w:rsidTr="003C04C4">
        <w:trPr>
          <w:trHeight w:val="300"/>
          <w:jc w:val="center"/>
        </w:trPr>
        <w:tc>
          <w:tcPr>
            <w:tcW w:w="0" w:type="auto"/>
            <w:noWrap/>
            <w:vAlign w:val="center"/>
            <w:hideMark/>
          </w:tcPr>
          <w:p w14:paraId="2E6D3472"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1980</w:t>
            </w:r>
          </w:p>
        </w:tc>
        <w:tc>
          <w:tcPr>
            <w:tcW w:w="0" w:type="auto"/>
            <w:noWrap/>
            <w:vAlign w:val="center"/>
            <w:hideMark/>
          </w:tcPr>
          <w:p w14:paraId="2E81BA3A"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0.0000</w:t>
            </w:r>
          </w:p>
        </w:tc>
        <w:tc>
          <w:tcPr>
            <w:tcW w:w="1092" w:type="dxa"/>
            <w:noWrap/>
            <w:vAlign w:val="center"/>
            <w:hideMark/>
          </w:tcPr>
          <w:p w14:paraId="41D2217B"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0.0000</w:t>
            </w:r>
          </w:p>
        </w:tc>
        <w:tc>
          <w:tcPr>
            <w:tcW w:w="0" w:type="auto"/>
            <w:noWrap/>
            <w:vAlign w:val="center"/>
            <w:hideMark/>
          </w:tcPr>
          <w:p w14:paraId="355B406E"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08C38026"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4F17F085"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6472F96D"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29D7C602"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55D3F46C"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3F54A7D4"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2DB74CA1"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6C038371"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5DD686C7"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09FD5C89"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57D397E2"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32CC8C77" w14:textId="77777777" w:rsidTr="003C04C4">
        <w:trPr>
          <w:trHeight w:val="300"/>
          <w:jc w:val="center"/>
        </w:trPr>
        <w:tc>
          <w:tcPr>
            <w:tcW w:w="0" w:type="auto"/>
            <w:shd w:val="clear" w:color="D9E1F2" w:fill="D9E1F2"/>
            <w:noWrap/>
            <w:vAlign w:val="center"/>
            <w:hideMark/>
          </w:tcPr>
          <w:p w14:paraId="421A94C1"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1979</w:t>
            </w:r>
          </w:p>
        </w:tc>
        <w:tc>
          <w:tcPr>
            <w:tcW w:w="0" w:type="auto"/>
            <w:shd w:val="clear" w:color="D9E1F2" w:fill="D9E1F2"/>
            <w:noWrap/>
            <w:vAlign w:val="center"/>
            <w:hideMark/>
          </w:tcPr>
          <w:p w14:paraId="10C97E44"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0.0000</w:t>
            </w:r>
          </w:p>
        </w:tc>
        <w:tc>
          <w:tcPr>
            <w:tcW w:w="1092" w:type="dxa"/>
            <w:shd w:val="clear" w:color="D9E1F2" w:fill="D9E1F2"/>
            <w:noWrap/>
            <w:vAlign w:val="center"/>
            <w:hideMark/>
          </w:tcPr>
          <w:p w14:paraId="1CFDBB7D"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0.0000</w:t>
            </w:r>
          </w:p>
        </w:tc>
        <w:tc>
          <w:tcPr>
            <w:tcW w:w="0" w:type="auto"/>
            <w:shd w:val="clear" w:color="D9E1F2" w:fill="D9E1F2"/>
            <w:noWrap/>
            <w:vAlign w:val="center"/>
            <w:hideMark/>
          </w:tcPr>
          <w:p w14:paraId="4D0E7A82"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3F7EADBC"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79DBDD56"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02C7167F"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2AB6A921"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3C832A29"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0EF54934"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73060F5A"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4A87EA21"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5B2DC655"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061E9CA0"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5F6B4F42"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53CD7F5F" w14:textId="77777777" w:rsidTr="003C04C4">
        <w:trPr>
          <w:trHeight w:val="300"/>
          <w:jc w:val="center"/>
        </w:trPr>
        <w:tc>
          <w:tcPr>
            <w:tcW w:w="0" w:type="auto"/>
            <w:noWrap/>
            <w:vAlign w:val="center"/>
            <w:hideMark/>
          </w:tcPr>
          <w:p w14:paraId="6C3583E0"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1978</w:t>
            </w:r>
          </w:p>
        </w:tc>
        <w:tc>
          <w:tcPr>
            <w:tcW w:w="0" w:type="auto"/>
            <w:noWrap/>
            <w:vAlign w:val="center"/>
            <w:hideMark/>
          </w:tcPr>
          <w:p w14:paraId="5C110FA0"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0.0000</w:t>
            </w:r>
          </w:p>
        </w:tc>
        <w:tc>
          <w:tcPr>
            <w:tcW w:w="1092" w:type="dxa"/>
            <w:noWrap/>
            <w:vAlign w:val="center"/>
            <w:hideMark/>
          </w:tcPr>
          <w:p w14:paraId="159152A8"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0.0000</w:t>
            </w:r>
          </w:p>
        </w:tc>
        <w:tc>
          <w:tcPr>
            <w:tcW w:w="0" w:type="auto"/>
            <w:noWrap/>
            <w:vAlign w:val="center"/>
            <w:hideMark/>
          </w:tcPr>
          <w:p w14:paraId="031CAF3B"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7E7B26BF"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558A760F"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3BDFF3FE"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19A0293F"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305B24CA"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339F1720"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7946F3DF"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3206BCA1"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477F47D3"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78F35399"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29DB0EA4"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3AC9EC36" w14:textId="77777777" w:rsidTr="003C04C4">
        <w:trPr>
          <w:trHeight w:val="300"/>
          <w:jc w:val="center"/>
        </w:trPr>
        <w:tc>
          <w:tcPr>
            <w:tcW w:w="0" w:type="auto"/>
            <w:shd w:val="clear" w:color="D9E1F2" w:fill="D9E1F2"/>
            <w:noWrap/>
            <w:vAlign w:val="center"/>
            <w:hideMark/>
          </w:tcPr>
          <w:p w14:paraId="0D9C3888"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1977</w:t>
            </w:r>
          </w:p>
        </w:tc>
        <w:tc>
          <w:tcPr>
            <w:tcW w:w="0" w:type="auto"/>
            <w:shd w:val="clear" w:color="D9E1F2" w:fill="D9E1F2"/>
            <w:noWrap/>
            <w:vAlign w:val="center"/>
            <w:hideMark/>
          </w:tcPr>
          <w:p w14:paraId="3D3164CA"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0.0000</w:t>
            </w:r>
          </w:p>
        </w:tc>
        <w:tc>
          <w:tcPr>
            <w:tcW w:w="1092" w:type="dxa"/>
            <w:shd w:val="clear" w:color="D9E1F2" w:fill="D9E1F2"/>
            <w:noWrap/>
            <w:vAlign w:val="center"/>
            <w:hideMark/>
          </w:tcPr>
          <w:p w14:paraId="2AF479BE"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0.0000</w:t>
            </w:r>
          </w:p>
        </w:tc>
        <w:tc>
          <w:tcPr>
            <w:tcW w:w="0" w:type="auto"/>
            <w:shd w:val="clear" w:color="D9E1F2" w:fill="D9E1F2"/>
            <w:noWrap/>
            <w:vAlign w:val="center"/>
            <w:hideMark/>
          </w:tcPr>
          <w:p w14:paraId="7FEF3820"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1749161E"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69E2455A"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288B8056"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0AC739A3"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17FAE641"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0F5FFC65"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70626BAE"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0AC9ECDF"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7F90E7D2"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751A680F"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1117028F" w14:textId="77777777" w:rsidR="00CE2EC1" w:rsidRPr="00BD6542"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06DB7067" w14:textId="77777777" w:rsidTr="003C04C4">
        <w:trPr>
          <w:trHeight w:val="300"/>
          <w:jc w:val="center"/>
        </w:trPr>
        <w:tc>
          <w:tcPr>
            <w:tcW w:w="0" w:type="auto"/>
            <w:noWrap/>
            <w:vAlign w:val="center"/>
            <w:hideMark/>
          </w:tcPr>
          <w:p w14:paraId="6F77994C" w14:textId="77777777" w:rsidR="00CE2EC1" w:rsidRPr="00B86747" w:rsidRDefault="000F5B51" w:rsidP="003C04C4">
            <w:pPr>
              <w:spacing w:after="0" w:line="240" w:lineRule="auto"/>
              <w:contextualSpacing/>
              <w:rPr>
                <w:rFonts w:eastAsia="Times New Roman" w:cs="Times New Roman"/>
                <w:szCs w:val="24"/>
              </w:rPr>
            </w:pPr>
            <w:r w:rsidRPr="00B86747">
              <w:rPr>
                <w:rFonts w:eastAsia="Times New Roman" w:cs="Times New Roman"/>
                <w:szCs w:val="24"/>
              </w:rPr>
              <w:t>1976</w:t>
            </w:r>
          </w:p>
        </w:tc>
        <w:tc>
          <w:tcPr>
            <w:tcW w:w="0" w:type="auto"/>
            <w:noWrap/>
            <w:vAlign w:val="center"/>
            <w:hideMark/>
          </w:tcPr>
          <w:p w14:paraId="5A40F5F7"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0.0000</w:t>
            </w:r>
          </w:p>
        </w:tc>
        <w:tc>
          <w:tcPr>
            <w:tcW w:w="1092" w:type="dxa"/>
            <w:noWrap/>
            <w:vAlign w:val="center"/>
            <w:hideMark/>
          </w:tcPr>
          <w:p w14:paraId="0928DA3A"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0.0000</w:t>
            </w:r>
          </w:p>
        </w:tc>
        <w:tc>
          <w:tcPr>
            <w:tcW w:w="0" w:type="auto"/>
            <w:noWrap/>
            <w:vAlign w:val="center"/>
            <w:hideMark/>
          </w:tcPr>
          <w:p w14:paraId="7F48A035"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203719DA"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7CE778C3"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5710D65C"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3BFC7BA3" w14:textId="77777777" w:rsidR="00CE2EC1" w:rsidRPr="00BD6542"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601FEB7D" w14:textId="77777777" w:rsidR="00CE2EC1" w:rsidRPr="00E752A0"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4399FAFE" w14:textId="77777777" w:rsidR="00CE2EC1" w:rsidRPr="00E752A0"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053EC149" w14:textId="77777777" w:rsidR="00CE2EC1" w:rsidRPr="00E752A0"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5389CD48" w14:textId="77777777" w:rsidR="00CE2EC1" w:rsidRPr="00E752A0"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68953319" w14:textId="77777777" w:rsidR="00CE2EC1" w:rsidRPr="00E752A0"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3ED62E28" w14:textId="77777777" w:rsidR="00CE2EC1" w:rsidRPr="00E752A0"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39B599D6" w14:textId="77777777" w:rsidR="00CE2EC1" w:rsidRPr="00E752A0"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bl>
    <w:p w14:paraId="2B73C1BD" w14:textId="77777777" w:rsidR="00CE2EC1" w:rsidRDefault="00CE2EC1" w:rsidP="00CE2EC1">
      <w:pPr>
        <w:pStyle w:val="NoSpaceTimes"/>
        <w:jc w:val="left"/>
      </w:pPr>
    </w:p>
    <w:p w14:paraId="12DC2A7B" w14:textId="130603B8" w:rsidR="00CE2EC1" w:rsidRDefault="000F5B51" w:rsidP="00CE2EC1">
      <w:pPr>
        <w:pStyle w:val="Caption"/>
      </w:pPr>
      <w:bookmarkStart w:id="2011" w:name="_Ref127353076"/>
      <w:r>
        <w:t xml:space="preserve">Table </w:t>
      </w:r>
      <w:r w:rsidR="00115BAB">
        <w:fldChar w:fldCharType="begin"/>
      </w:r>
      <w:r>
        <w:instrText xml:space="preserve"> SEQ Table \* ARABIC </w:instrText>
      </w:r>
      <w:r w:rsidR="00115BAB">
        <w:fldChar w:fldCharType="separate"/>
      </w:r>
      <w:r w:rsidR="00A65CB3">
        <w:rPr>
          <w:noProof/>
        </w:rPr>
        <w:t>108</w:t>
      </w:r>
      <w:r w:rsidR="00115BAB">
        <w:rPr>
          <w:noProof/>
        </w:rPr>
        <w:fldChar w:fldCharType="end"/>
      </w:r>
      <w:bookmarkEnd w:id="2011"/>
      <w:r>
        <w:t xml:space="preserve">: </w:t>
      </w:r>
      <w:r w:rsidRPr="004129DD">
        <w:t>Calculation for ESC adjustment factor, LTVs</w:t>
      </w:r>
    </w:p>
    <w:tbl>
      <w:tblPr>
        <w:tblW w:w="10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0"/>
        <w:gridCol w:w="1083"/>
        <w:gridCol w:w="1164"/>
        <w:gridCol w:w="603"/>
        <w:gridCol w:w="603"/>
        <w:gridCol w:w="603"/>
        <w:gridCol w:w="603"/>
        <w:gridCol w:w="603"/>
        <w:gridCol w:w="603"/>
        <w:gridCol w:w="603"/>
        <w:gridCol w:w="603"/>
        <w:gridCol w:w="720"/>
        <w:gridCol w:w="720"/>
        <w:gridCol w:w="720"/>
        <w:gridCol w:w="720"/>
      </w:tblGrid>
      <w:tr w:rsidR="00A15C2C" w14:paraId="14A72D96" w14:textId="77777777" w:rsidTr="003C04C4">
        <w:trPr>
          <w:trHeight w:val="2205"/>
          <w:jc w:val="center"/>
        </w:trPr>
        <w:tc>
          <w:tcPr>
            <w:tcW w:w="700" w:type="dxa"/>
            <w:shd w:val="clear" w:color="4472C4" w:fill="4472C4"/>
            <w:noWrap/>
            <w:vAlign w:val="center"/>
            <w:hideMark/>
          </w:tcPr>
          <w:p w14:paraId="23567AB7" w14:textId="77777777" w:rsidR="00CE2EC1" w:rsidRPr="00B8116B" w:rsidRDefault="000F5B51" w:rsidP="003C04C4">
            <w:pPr>
              <w:spacing w:after="0"/>
              <w:contextualSpacing/>
              <w:rPr>
                <w:rFonts w:eastAsia="Times New Roman" w:cs="Times New Roman"/>
                <w:b/>
                <w:bCs/>
                <w:szCs w:val="24"/>
              </w:rPr>
            </w:pPr>
            <w:r w:rsidRPr="00B86747">
              <w:rPr>
                <w:rFonts w:cs="Times New Roman"/>
                <w:b/>
                <w:color w:val="FFFFFF"/>
                <w:szCs w:val="24"/>
              </w:rPr>
              <w:t>MY</w:t>
            </w:r>
          </w:p>
        </w:tc>
        <w:tc>
          <w:tcPr>
            <w:tcW w:w="1083" w:type="dxa"/>
            <w:shd w:val="clear" w:color="4472C4" w:fill="4472C4"/>
            <w:noWrap/>
            <w:textDirection w:val="btLr"/>
            <w:vAlign w:val="center"/>
            <w:hideMark/>
          </w:tcPr>
          <w:p w14:paraId="47AE83A4" w14:textId="77777777" w:rsidR="00CE2EC1" w:rsidRPr="00B8116B" w:rsidRDefault="000F5B51" w:rsidP="003C04C4">
            <w:pPr>
              <w:spacing w:after="0"/>
              <w:contextualSpacing/>
              <w:jc w:val="center"/>
              <w:rPr>
                <w:rFonts w:eastAsia="Times New Roman" w:cs="Times New Roman"/>
                <w:b/>
                <w:bCs/>
                <w:szCs w:val="24"/>
              </w:rPr>
            </w:pPr>
            <w:r w:rsidRPr="00B86747">
              <w:rPr>
                <w:rFonts w:cs="Times New Roman"/>
                <w:b/>
                <w:color w:val="FFFFFF"/>
                <w:szCs w:val="24"/>
              </w:rPr>
              <w:t>Survival Probability</w:t>
            </w:r>
          </w:p>
        </w:tc>
        <w:tc>
          <w:tcPr>
            <w:tcW w:w="1164" w:type="dxa"/>
            <w:shd w:val="clear" w:color="4472C4" w:fill="4472C4"/>
            <w:noWrap/>
            <w:textDirection w:val="btLr"/>
            <w:vAlign w:val="center"/>
            <w:hideMark/>
          </w:tcPr>
          <w:p w14:paraId="0CFCF729" w14:textId="77777777" w:rsidR="00CE2EC1" w:rsidRPr="00B8116B" w:rsidRDefault="000F5B51" w:rsidP="003C04C4">
            <w:pPr>
              <w:spacing w:after="0"/>
              <w:contextualSpacing/>
              <w:jc w:val="center"/>
              <w:rPr>
                <w:rFonts w:eastAsia="Times New Roman" w:cs="Times New Roman"/>
                <w:b/>
                <w:bCs/>
                <w:szCs w:val="24"/>
              </w:rPr>
            </w:pPr>
            <w:r w:rsidRPr="00B86747">
              <w:rPr>
                <w:rFonts w:cs="Times New Roman"/>
                <w:b/>
                <w:color w:val="FFFFFF"/>
                <w:szCs w:val="24"/>
              </w:rPr>
              <w:t>Survival Proportion</w:t>
            </w:r>
          </w:p>
        </w:tc>
        <w:tc>
          <w:tcPr>
            <w:tcW w:w="588" w:type="dxa"/>
            <w:shd w:val="clear" w:color="4472C4" w:fill="4472C4"/>
            <w:noWrap/>
            <w:textDirection w:val="btLr"/>
            <w:vAlign w:val="center"/>
            <w:hideMark/>
          </w:tcPr>
          <w:p w14:paraId="5FA2856F" w14:textId="77777777" w:rsidR="00CE2EC1" w:rsidRPr="00B8116B" w:rsidRDefault="000F5B51" w:rsidP="003C04C4">
            <w:pPr>
              <w:spacing w:after="0"/>
              <w:contextualSpacing/>
              <w:jc w:val="center"/>
              <w:rPr>
                <w:rFonts w:eastAsia="Times New Roman" w:cs="Times New Roman"/>
                <w:b/>
                <w:bCs/>
                <w:szCs w:val="24"/>
              </w:rPr>
            </w:pPr>
            <w:r w:rsidRPr="00B86747">
              <w:rPr>
                <w:rFonts w:cs="Times New Roman"/>
                <w:b/>
                <w:color w:val="FFFFFF"/>
                <w:szCs w:val="24"/>
              </w:rPr>
              <w:t>w/ ESC</w:t>
            </w:r>
          </w:p>
        </w:tc>
        <w:tc>
          <w:tcPr>
            <w:tcW w:w="588" w:type="dxa"/>
            <w:shd w:val="clear" w:color="4472C4" w:fill="4472C4"/>
            <w:noWrap/>
            <w:textDirection w:val="btLr"/>
            <w:vAlign w:val="center"/>
            <w:hideMark/>
          </w:tcPr>
          <w:p w14:paraId="78E5CD3C" w14:textId="77777777" w:rsidR="00CE2EC1" w:rsidRPr="00B8116B" w:rsidRDefault="000F5B51" w:rsidP="003C04C4">
            <w:pPr>
              <w:spacing w:after="0"/>
              <w:contextualSpacing/>
              <w:jc w:val="center"/>
              <w:rPr>
                <w:rFonts w:eastAsia="Times New Roman" w:cs="Times New Roman"/>
                <w:b/>
                <w:bCs/>
                <w:szCs w:val="24"/>
              </w:rPr>
            </w:pPr>
            <w:r w:rsidRPr="00B86747">
              <w:rPr>
                <w:rFonts w:cs="Times New Roman"/>
                <w:b/>
                <w:color w:val="FFFFFF"/>
                <w:szCs w:val="24"/>
              </w:rPr>
              <w:t>w/o ESC</w:t>
            </w:r>
          </w:p>
        </w:tc>
        <w:tc>
          <w:tcPr>
            <w:tcW w:w="588" w:type="dxa"/>
            <w:shd w:val="clear" w:color="000000" w:fill="CC99FF"/>
            <w:noWrap/>
            <w:textDirection w:val="btLr"/>
            <w:vAlign w:val="center"/>
            <w:hideMark/>
          </w:tcPr>
          <w:p w14:paraId="22FF75CD" w14:textId="77777777" w:rsidR="00CE2EC1" w:rsidRPr="00B8116B" w:rsidRDefault="000F5B51" w:rsidP="003C04C4">
            <w:pPr>
              <w:spacing w:after="0"/>
              <w:contextualSpacing/>
              <w:jc w:val="center"/>
              <w:rPr>
                <w:rFonts w:eastAsia="Times New Roman" w:cs="Times New Roman"/>
                <w:b/>
                <w:bCs/>
                <w:szCs w:val="24"/>
              </w:rPr>
            </w:pPr>
            <w:r w:rsidRPr="00B86747">
              <w:rPr>
                <w:rFonts w:cs="Times New Roman"/>
                <w:b/>
                <w:color w:val="FFFFFF"/>
                <w:szCs w:val="24"/>
              </w:rPr>
              <w:t>Exposure w/ESC</w:t>
            </w:r>
          </w:p>
        </w:tc>
        <w:tc>
          <w:tcPr>
            <w:tcW w:w="588" w:type="dxa"/>
            <w:shd w:val="clear" w:color="000000" w:fill="CC99FF"/>
            <w:noWrap/>
            <w:textDirection w:val="btLr"/>
            <w:vAlign w:val="center"/>
            <w:hideMark/>
          </w:tcPr>
          <w:p w14:paraId="3D570ED1" w14:textId="77777777" w:rsidR="00CE2EC1" w:rsidRPr="00B8116B" w:rsidRDefault="000F5B51" w:rsidP="003C04C4">
            <w:pPr>
              <w:spacing w:after="0"/>
              <w:contextualSpacing/>
              <w:jc w:val="center"/>
              <w:rPr>
                <w:rFonts w:eastAsia="Times New Roman" w:cs="Times New Roman"/>
                <w:b/>
                <w:bCs/>
                <w:szCs w:val="24"/>
              </w:rPr>
            </w:pPr>
            <w:r w:rsidRPr="00B86747">
              <w:rPr>
                <w:rFonts w:cs="Times New Roman"/>
                <w:b/>
                <w:color w:val="FFFFFF"/>
                <w:szCs w:val="24"/>
              </w:rPr>
              <w:t>Exposure w/o ESC</w:t>
            </w:r>
          </w:p>
        </w:tc>
        <w:tc>
          <w:tcPr>
            <w:tcW w:w="588" w:type="dxa"/>
            <w:shd w:val="clear" w:color="4472C4" w:fill="4472C4"/>
            <w:noWrap/>
            <w:textDirection w:val="btLr"/>
            <w:vAlign w:val="center"/>
            <w:hideMark/>
          </w:tcPr>
          <w:p w14:paraId="4FE03D7E" w14:textId="77777777" w:rsidR="00CE2EC1" w:rsidRPr="00B8116B" w:rsidRDefault="000F5B51" w:rsidP="003C04C4">
            <w:pPr>
              <w:spacing w:after="0"/>
              <w:contextualSpacing/>
              <w:jc w:val="center"/>
              <w:rPr>
                <w:rFonts w:eastAsia="Times New Roman" w:cs="Times New Roman"/>
                <w:b/>
                <w:bCs/>
                <w:szCs w:val="24"/>
              </w:rPr>
            </w:pPr>
            <w:r w:rsidRPr="00B86747">
              <w:rPr>
                <w:rFonts w:cs="Times New Roman"/>
                <w:b/>
                <w:color w:val="FFFFFF"/>
                <w:szCs w:val="24"/>
              </w:rPr>
              <w:t>FRONT Adj.</w:t>
            </w:r>
          </w:p>
        </w:tc>
        <w:tc>
          <w:tcPr>
            <w:tcW w:w="588" w:type="dxa"/>
            <w:shd w:val="clear" w:color="4472C4" w:fill="4472C4"/>
            <w:noWrap/>
            <w:textDirection w:val="btLr"/>
            <w:vAlign w:val="center"/>
            <w:hideMark/>
          </w:tcPr>
          <w:p w14:paraId="68A3F53F" w14:textId="77777777" w:rsidR="00CE2EC1" w:rsidRPr="00B8116B" w:rsidRDefault="000F5B51" w:rsidP="003C04C4">
            <w:pPr>
              <w:spacing w:after="0"/>
              <w:contextualSpacing/>
              <w:jc w:val="center"/>
              <w:rPr>
                <w:rFonts w:eastAsia="Times New Roman" w:cs="Times New Roman"/>
                <w:b/>
                <w:bCs/>
                <w:szCs w:val="24"/>
              </w:rPr>
            </w:pPr>
            <w:r w:rsidRPr="00B86747">
              <w:rPr>
                <w:rFonts w:cs="Times New Roman"/>
                <w:b/>
                <w:color w:val="FFFFFF"/>
                <w:szCs w:val="24"/>
              </w:rPr>
              <w:t>REAR Adj.</w:t>
            </w:r>
          </w:p>
        </w:tc>
        <w:tc>
          <w:tcPr>
            <w:tcW w:w="588" w:type="dxa"/>
            <w:shd w:val="clear" w:color="4472C4" w:fill="4472C4"/>
            <w:noWrap/>
            <w:textDirection w:val="btLr"/>
            <w:vAlign w:val="center"/>
            <w:hideMark/>
          </w:tcPr>
          <w:p w14:paraId="75044FFE" w14:textId="77777777" w:rsidR="00CE2EC1" w:rsidRPr="00B8116B" w:rsidRDefault="000F5B51" w:rsidP="003C04C4">
            <w:pPr>
              <w:spacing w:after="0"/>
              <w:contextualSpacing/>
              <w:jc w:val="center"/>
              <w:rPr>
                <w:rFonts w:eastAsia="Times New Roman" w:cs="Times New Roman"/>
                <w:b/>
                <w:bCs/>
                <w:szCs w:val="24"/>
              </w:rPr>
            </w:pPr>
            <w:r w:rsidRPr="00B86747">
              <w:rPr>
                <w:rFonts w:cs="Times New Roman"/>
                <w:b/>
                <w:color w:val="FFFFFF"/>
                <w:szCs w:val="24"/>
              </w:rPr>
              <w:t>SIDE Adj.</w:t>
            </w:r>
          </w:p>
        </w:tc>
        <w:tc>
          <w:tcPr>
            <w:tcW w:w="588" w:type="dxa"/>
            <w:shd w:val="clear" w:color="4472C4" w:fill="4472C4"/>
            <w:noWrap/>
            <w:textDirection w:val="btLr"/>
            <w:vAlign w:val="center"/>
            <w:hideMark/>
          </w:tcPr>
          <w:p w14:paraId="417DC8DF" w14:textId="77777777" w:rsidR="00CE2EC1" w:rsidRPr="00B8116B" w:rsidRDefault="000F5B51" w:rsidP="003C04C4">
            <w:pPr>
              <w:spacing w:after="0"/>
              <w:contextualSpacing/>
              <w:jc w:val="center"/>
              <w:rPr>
                <w:rFonts w:eastAsia="Times New Roman" w:cs="Times New Roman"/>
                <w:b/>
                <w:bCs/>
                <w:szCs w:val="24"/>
              </w:rPr>
            </w:pPr>
            <w:r w:rsidRPr="00B86747">
              <w:rPr>
                <w:rFonts w:cs="Times New Roman"/>
                <w:b/>
                <w:color w:val="FFFFFF"/>
                <w:szCs w:val="24"/>
              </w:rPr>
              <w:t>ROLLOVER Adj.</w:t>
            </w:r>
          </w:p>
        </w:tc>
        <w:tc>
          <w:tcPr>
            <w:tcW w:w="720" w:type="dxa"/>
            <w:shd w:val="clear" w:color="000000" w:fill="F2F2F2"/>
            <w:noWrap/>
            <w:textDirection w:val="btLr"/>
            <w:vAlign w:val="center"/>
            <w:hideMark/>
          </w:tcPr>
          <w:p w14:paraId="118FE7C2" w14:textId="77777777" w:rsidR="00CE2EC1" w:rsidRPr="00B8116B" w:rsidRDefault="000F5B51" w:rsidP="003C04C4">
            <w:pPr>
              <w:spacing w:after="0"/>
              <w:contextualSpacing/>
              <w:jc w:val="center"/>
              <w:rPr>
                <w:rFonts w:eastAsia="Times New Roman" w:cs="Times New Roman"/>
                <w:b/>
                <w:bCs/>
                <w:szCs w:val="24"/>
              </w:rPr>
            </w:pPr>
            <w:r w:rsidRPr="00B8116B">
              <w:rPr>
                <w:rFonts w:eastAsia="Times New Roman" w:cs="Times New Roman"/>
                <w:b/>
                <w:bCs/>
                <w:szCs w:val="24"/>
              </w:rPr>
              <w:t>FRONT</w:t>
            </w:r>
          </w:p>
        </w:tc>
        <w:tc>
          <w:tcPr>
            <w:tcW w:w="720" w:type="dxa"/>
            <w:shd w:val="clear" w:color="000000" w:fill="F2F2F2"/>
            <w:noWrap/>
            <w:textDirection w:val="btLr"/>
            <w:vAlign w:val="center"/>
            <w:hideMark/>
          </w:tcPr>
          <w:p w14:paraId="58BAC1A9" w14:textId="77777777" w:rsidR="00CE2EC1" w:rsidRPr="00B8116B" w:rsidRDefault="000F5B51" w:rsidP="003C04C4">
            <w:pPr>
              <w:spacing w:after="0"/>
              <w:contextualSpacing/>
              <w:jc w:val="center"/>
              <w:rPr>
                <w:rFonts w:eastAsia="Times New Roman" w:cs="Times New Roman"/>
                <w:b/>
                <w:bCs/>
                <w:szCs w:val="24"/>
              </w:rPr>
            </w:pPr>
            <w:r w:rsidRPr="00B8116B">
              <w:rPr>
                <w:rFonts w:eastAsia="Times New Roman" w:cs="Times New Roman"/>
                <w:b/>
                <w:bCs/>
                <w:szCs w:val="24"/>
              </w:rPr>
              <w:t>REAR</w:t>
            </w:r>
          </w:p>
        </w:tc>
        <w:tc>
          <w:tcPr>
            <w:tcW w:w="720" w:type="dxa"/>
            <w:shd w:val="clear" w:color="000000" w:fill="F2F2F2"/>
            <w:noWrap/>
            <w:textDirection w:val="btLr"/>
            <w:vAlign w:val="center"/>
            <w:hideMark/>
          </w:tcPr>
          <w:p w14:paraId="0FA4557A" w14:textId="77777777" w:rsidR="00CE2EC1" w:rsidRPr="00B8116B" w:rsidRDefault="000F5B51" w:rsidP="003C04C4">
            <w:pPr>
              <w:spacing w:after="0"/>
              <w:contextualSpacing/>
              <w:jc w:val="center"/>
              <w:rPr>
                <w:rFonts w:eastAsia="Times New Roman" w:cs="Times New Roman"/>
                <w:b/>
                <w:bCs/>
                <w:szCs w:val="24"/>
              </w:rPr>
            </w:pPr>
            <w:r w:rsidRPr="00B8116B">
              <w:rPr>
                <w:rFonts w:eastAsia="Times New Roman" w:cs="Times New Roman"/>
                <w:b/>
                <w:bCs/>
                <w:szCs w:val="24"/>
              </w:rPr>
              <w:t>SIDE</w:t>
            </w:r>
          </w:p>
        </w:tc>
        <w:tc>
          <w:tcPr>
            <w:tcW w:w="720" w:type="dxa"/>
            <w:shd w:val="clear" w:color="000000" w:fill="F2F2F2"/>
            <w:noWrap/>
            <w:textDirection w:val="btLr"/>
            <w:vAlign w:val="center"/>
            <w:hideMark/>
          </w:tcPr>
          <w:p w14:paraId="2E6FDE12" w14:textId="77777777" w:rsidR="00CE2EC1" w:rsidRPr="00B8116B" w:rsidRDefault="000F5B51" w:rsidP="003C04C4">
            <w:pPr>
              <w:spacing w:after="0"/>
              <w:contextualSpacing/>
              <w:jc w:val="center"/>
              <w:rPr>
                <w:rFonts w:eastAsia="Times New Roman" w:cs="Times New Roman"/>
                <w:b/>
                <w:bCs/>
                <w:szCs w:val="24"/>
              </w:rPr>
            </w:pPr>
            <w:r w:rsidRPr="00B8116B">
              <w:rPr>
                <w:rFonts w:eastAsia="Times New Roman" w:cs="Times New Roman"/>
                <w:b/>
                <w:bCs/>
                <w:szCs w:val="24"/>
              </w:rPr>
              <w:t>ROLLOVER</w:t>
            </w:r>
          </w:p>
        </w:tc>
      </w:tr>
      <w:tr w:rsidR="00A15C2C" w14:paraId="61C6BA8A" w14:textId="77777777" w:rsidTr="003C04C4">
        <w:trPr>
          <w:trHeight w:val="300"/>
          <w:jc w:val="center"/>
        </w:trPr>
        <w:tc>
          <w:tcPr>
            <w:tcW w:w="0" w:type="auto"/>
            <w:shd w:val="clear" w:color="D9E1F2" w:fill="D9E1F2"/>
            <w:noWrap/>
            <w:vAlign w:val="center"/>
            <w:hideMark/>
          </w:tcPr>
          <w:p w14:paraId="6C8C8D2F"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2015</w:t>
            </w:r>
          </w:p>
        </w:tc>
        <w:tc>
          <w:tcPr>
            <w:tcW w:w="0" w:type="auto"/>
            <w:shd w:val="clear" w:color="D9E1F2" w:fill="D9E1F2"/>
            <w:noWrap/>
            <w:vAlign w:val="center"/>
            <w:hideMark/>
          </w:tcPr>
          <w:p w14:paraId="67113F08"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1.0000</w:t>
            </w:r>
          </w:p>
        </w:tc>
        <w:tc>
          <w:tcPr>
            <w:tcW w:w="0" w:type="auto"/>
            <w:shd w:val="clear" w:color="D9E1F2" w:fill="D9E1F2"/>
            <w:noWrap/>
            <w:vAlign w:val="center"/>
            <w:hideMark/>
          </w:tcPr>
          <w:p w14:paraId="1BABF298"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0.0610</w:t>
            </w:r>
          </w:p>
        </w:tc>
        <w:tc>
          <w:tcPr>
            <w:tcW w:w="0" w:type="auto"/>
            <w:shd w:val="clear" w:color="D9E1F2" w:fill="D9E1F2"/>
            <w:noWrap/>
            <w:vAlign w:val="center"/>
            <w:hideMark/>
          </w:tcPr>
          <w:p w14:paraId="2E867F25"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D9E1F2" w:fill="D9E1F2"/>
            <w:noWrap/>
            <w:vAlign w:val="center"/>
            <w:hideMark/>
          </w:tcPr>
          <w:p w14:paraId="78C884AE"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3F970A09"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0.06</w:t>
            </w:r>
          </w:p>
        </w:tc>
        <w:tc>
          <w:tcPr>
            <w:tcW w:w="0" w:type="auto"/>
            <w:shd w:val="clear" w:color="000000" w:fill="CC99FF"/>
            <w:noWrap/>
            <w:vAlign w:val="center"/>
            <w:hideMark/>
          </w:tcPr>
          <w:p w14:paraId="2068DACE"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719EDB03"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7644FB8C"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4F7314A2"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0CEB5E8D"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3C96F694"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067E5DD1"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38E1CA6E"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491FBDF2"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r>
      <w:tr w:rsidR="00A15C2C" w14:paraId="355CF433" w14:textId="77777777" w:rsidTr="003C04C4">
        <w:trPr>
          <w:trHeight w:val="300"/>
          <w:jc w:val="center"/>
        </w:trPr>
        <w:tc>
          <w:tcPr>
            <w:tcW w:w="0" w:type="auto"/>
            <w:noWrap/>
            <w:vAlign w:val="center"/>
            <w:hideMark/>
          </w:tcPr>
          <w:p w14:paraId="1FEF20DE"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2014</w:t>
            </w:r>
          </w:p>
        </w:tc>
        <w:tc>
          <w:tcPr>
            <w:tcW w:w="0" w:type="auto"/>
            <w:noWrap/>
            <w:vAlign w:val="center"/>
            <w:hideMark/>
          </w:tcPr>
          <w:p w14:paraId="33CCAB3B"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0.9776</w:t>
            </w:r>
          </w:p>
        </w:tc>
        <w:tc>
          <w:tcPr>
            <w:tcW w:w="0" w:type="auto"/>
            <w:noWrap/>
            <w:vAlign w:val="center"/>
            <w:hideMark/>
          </w:tcPr>
          <w:p w14:paraId="4DD1D451"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0.0596</w:t>
            </w:r>
          </w:p>
        </w:tc>
        <w:tc>
          <w:tcPr>
            <w:tcW w:w="0" w:type="auto"/>
            <w:noWrap/>
            <w:vAlign w:val="center"/>
            <w:hideMark/>
          </w:tcPr>
          <w:p w14:paraId="05CB181F"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noWrap/>
            <w:vAlign w:val="center"/>
            <w:hideMark/>
          </w:tcPr>
          <w:p w14:paraId="5B6917EE"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69C7E7EA"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0.06</w:t>
            </w:r>
          </w:p>
        </w:tc>
        <w:tc>
          <w:tcPr>
            <w:tcW w:w="0" w:type="auto"/>
            <w:shd w:val="clear" w:color="000000" w:fill="CC99FF"/>
            <w:noWrap/>
            <w:vAlign w:val="center"/>
            <w:hideMark/>
          </w:tcPr>
          <w:p w14:paraId="3518EFC6"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18B34AC3"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3147C76C"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29BA56FF"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6CA84987"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0F19B888"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68C8EFE1"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7FA76699"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5417EFF2"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r>
      <w:tr w:rsidR="00A15C2C" w14:paraId="6D662FFB" w14:textId="77777777" w:rsidTr="003C04C4">
        <w:trPr>
          <w:trHeight w:val="300"/>
          <w:jc w:val="center"/>
        </w:trPr>
        <w:tc>
          <w:tcPr>
            <w:tcW w:w="0" w:type="auto"/>
            <w:shd w:val="clear" w:color="D9E1F2" w:fill="D9E1F2"/>
            <w:noWrap/>
            <w:vAlign w:val="center"/>
            <w:hideMark/>
          </w:tcPr>
          <w:p w14:paraId="4A1127D6"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lastRenderedPageBreak/>
              <w:t>2013</w:t>
            </w:r>
          </w:p>
        </w:tc>
        <w:tc>
          <w:tcPr>
            <w:tcW w:w="0" w:type="auto"/>
            <w:shd w:val="clear" w:color="D9E1F2" w:fill="D9E1F2"/>
            <w:noWrap/>
            <w:vAlign w:val="center"/>
            <w:hideMark/>
          </w:tcPr>
          <w:p w14:paraId="0F321862"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0.9630</w:t>
            </w:r>
          </w:p>
        </w:tc>
        <w:tc>
          <w:tcPr>
            <w:tcW w:w="0" w:type="auto"/>
            <w:shd w:val="clear" w:color="D9E1F2" w:fill="D9E1F2"/>
            <w:noWrap/>
            <w:vAlign w:val="center"/>
            <w:hideMark/>
          </w:tcPr>
          <w:p w14:paraId="0FDE20B3"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0.0588</w:t>
            </w:r>
          </w:p>
        </w:tc>
        <w:tc>
          <w:tcPr>
            <w:tcW w:w="0" w:type="auto"/>
            <w:shd w:val="clear" w:color="D9E1F2" w:fill="D9E1F2"/>
            <w:noWrap/>
            <w:vAlign w:val="center"/>
            <w:hideMark/>
          </w:tcPr>
          <w:p w14:paraId="5799363D"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D9E1F2" w:fill="D9E1F2"/>
            <w:noWrap/>
            <w:vAlign w:val="center"/>
            <w:hideMark/>
          </w:tcPr>
          <w:p w14:paraId="2BC29961"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6382E232"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0.06</w:t>
            </w:r>
          </w:p>
        </w:tc>
        <w:tc>
          <w:tcPr>
            <w:tcW w:w="0" w:type="auto"/>
            <w:shd w:val="clear" w:color="000000" w:fill="CC99FF"/>
            <w:noWrap/>
            <w:vAlign w:val="center"/>
            <w:hideMark/>
          </w:tcPr>
          <w:p w14:paraId="2F2C8EB4"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5B6B5081"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3EFC38C9"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6D1B3B47"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48BDFED7"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3BE6553F"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0E61353F"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42445FD1"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541CBC07"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r>
      <w:tr w:rsidR="00A15C2C" w14:paraId="5EFA4F75" w14:textId="77777777" w:rsidTr="003C04C4">
        <w:trPr>
          <w:trHeight w:val="300"/>
          <w:jc w:val="center"/>
        </w:trPr>
        <w:tc>
          <w:tcPr>
            <w:tcW w:w="0" w:type="auto"/>
            <w:noWrap/>
            <w:vAlign w:val="center"/>
            <w:hideMark/>
          </w:tcPr>
          <w:p w14:paraId="044BAF6A"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2012</w:t>
            </w:r>
          </w:p>
        </w:tc>
        <w:tc>
          <w:tcPr>
            <w:tcW w:w="0" w:type="auto"/>
            <w:noWrap/>
            <w:vAlign w:val="center"/>
            <w:hideMark/>
          </w:tcPr>
          <w:p w14:paraId="66953977"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0.9428</w:t>
            </w:r>
          </w:p>
        </w:tc>
        <w:tc>
          <w:tcPr>
            <w:tcW w:w="0" w:type="auto"/>
            <w:noWrap/>
            <w:vAlign w:val="center"/>
            <w:hideMark/>
          </w:tcPr>
          <w:p w14:paraId="05CA80C5"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0.0575</w:t>
            </w:r>
          </w:p>
        </w:tc>
        <w:tc>
          <w:tcPr>
            <w:tcW w:w="0" w:type="auto"/>
            <w:shd w:val="clear" w:color="000000" w:fill="C6EFCE"/>
            <w:noWrap/>
            <w:vAlign w:val="center"/>
            <w:hideMark/>
          </w:tcPr>
          <w:p w14:paraId="44BAC6AE"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6100"/>
                <w:szCs w:val="24"/>
              </w:rPr>
              <w:t>1.00</w:t>
            </w:r>
          </w:p>
        </w:tc>
        <w:tc>
          <w:tcPr>
            <w:tcW w:w="0" w:type="auto"/>
            <w:noWrap/>
            <w:vAlign w:val="center"/>
            <w:hideMark/>
          </w:tcPr>
          <w:p w14:paraId="4C64D521"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53513D9C"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0.06</w:t>
            </w:r>
          </w:p>
        </w:tc>
        <w:tc>
          <w:tcPr>
            <w:tcW w:w="0" w:type="auto"/>
            <w:shd w:val="clear" w:color="000000" w:fill="CC99FF"/>
            <w:noWrap/>
            <w:vAlign w:val="center"/>
            <w:hideMark/>
          </w:tcPr>
          <w:p w14:paraId="6EB575B7"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4271EAD6"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274AE93D"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7FE2864C"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30471A34"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32C51BD3"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4EC94CD0"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1B949544"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2E2F130B"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r>
      <w:tr w:rsidR="00A15C2C" w14:paraId="77D11C34" w14:textId="77777777" w:rsidTr="003C04C4">
        <w:trPr>
          <w:trHeight w:val="300"/>
          <w:jc w:val="center"/>
        </w:trPr>
        <w:tc>
          <w:tcPr>
            <w:tcW w:w="0" w:type="auto"/>
            <w:shd w:val="clear" w:color="D9E1F2" w:fill="D9E1F2"/>
            <w:noWrap/>
            <w:vAlign w:val="center"/>
            <w:hideMark/>
          </w:tcPr>
          <w:p w14:paraId="43C719C4"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2011</w:t>
            </w:r>
          </w:p>
        </w:tc>
        <w:tc>
          <w:tcPr>
            <w:tcW w:w="0" w:type="auto"/>
            <w:shd w:val="clear" w:color="D9E1F2" w:fill="D9E1F2"/>
            <w:noWrap/>
            <w:vAlign w:val="center"/>
            <w:hideMark/>
          </w:tcPr>
          <w:p w14:paraId="48343B03"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0.9311</w:t>
            </w:r>
          </w:p>
        </w:tc>
        <w:tc>
          <w:tcPr>
            <w:tcW w:w="0" w:type="auto"/>
            <w:shd w:val="clear" w:color="D9E1F2" w:fill="D9E1F2"/>
            <w:noWrap/>
            <w:vAlign w:val="center"/>
            <w:hideMark/>
          </w:tcPr>
          <w:p w14:paraId="16C8AE85"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0.0568</w:t>
            </w:r>
          </w:p>
        </w:tc>
        <w:tc>
          <w:tcPr>
            <w:tcW w:w="0" w:type="auto"/>
            <w:shd w:val="clear" w:color="000000" w:fill="FFCC99"/>
            <w:noWrap/>
            <w:vAlign w:val="center"/>
            <w:hideMark/>
          </w:tcPr>
          <w:p w14:paraId="2BDBE249"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3F3F76"/>
                <w:szCs w:val="24"/>
              </w:rPr>
              <w:t>0.94</w:t>
            </w:r>
          </w:p>
        </w:tc>
        <w:tc>
          <w:tcPr>
            <w:tcW w:w="0" w:type="auto"/>
            <w:shd w:val="clear" w:color="D9E1F2" w:fill="D9E1F2"/>
            <w:noWrap/>
            <w:vAlign w:val="center"/>
            <w:hideMark/>
          </w:tcPr>
          <w:p w14:paraId="2D84C650"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0.06</w:t>
            </w:r>
          </w:p>
        </w:tc>
        <w:tc>
          <w:tcPr>
            <w:tcW w:w="0" w:type="auto"/>
            <w:shd w:val="clear" w:color="000000" w:fill="CC99FF"/>
            <w:noWrap/>
            <w:vAlign w:val="center"/>
            <w:hideMark/>
          </w:tcPr>
          <w:p w14:paraId="59B8C2F4"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0.05</w:t>
            </w:r>
          </w:p>
        </w:tc>
        <w:tc>
          <w:tcPr>
            <w:tcW w:w="0" w:type="auto"/>
            <w:shd w:val="clear" w:color="000000" w:fill="CC99FF"/>
            <w:noWrap/>
            <w:vAlign w:val="center"/>
            <w:hideMark/>
          </w:tcPr>
          <w:p w14:paraId="201BE6F4"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6977F016"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394266D7"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437020B2"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3FA3174B"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6EC16EC9"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0DC40D5C"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35412B1C"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201F9CDA"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0.05</w:t>
            </w:r>
          </w:p>
        </w:tc>
      </w:tr>
      <w:tr w:rsidR="00A15C2C" w14:paraId="5AD76D86" w14:textId="77777777" w:rsidTr="003C04C4">
        <w:trPr>
          <w:trHeight w:val="300"/>
          <w:jc w:val="center"/>
        </w:trPr>
        <w:tc>
          <w:tcPr>
            <w:tcW w:w="0" w:type="auto"/>
            <w:noWrap/>
            <w:vAlign w:val="center"/>
            <w:hideMark/>
          </w:tcPr>
          <w:p w14:paraId="2C33DBE5"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2010</w:t>
            </w:r>
          </w:p>
        </w:tc>
        <w:tc>
          <w:tcPr>
            <w:tcW w:w="0" w:type="auto"/>
            <w:noWrap/>
            <w:vAlign w:val="center"/>
            <w:hideMark/>
          </w:tcPr>
          <w:p w14:paraId="5C87B456"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0.9152</w:t>
            </w:r>
          </w:p>
        </w:tc>
        <w:tc>
          <w:tcPr>
            <w:tcW w:w="0" w:type="auto"/>
            <w:noWrap/>
            <w:vAlign w:val="center"/>
            <w:hideMark/>
          </w:tcPr>
          <w:p w14:paraId="5D1E2068"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0.0558</w:t>
            </w:r>
          </w:p>
        </w:tc>
        <w:tc>
          <w:tcPr>
            <w:tcW w:w="0" w:type="auto"/>
            <w:shd w:val="clear" w:color="000000" w:fill="FFCC99"/>
            <w:noWrap/>
            <w:vAlign w:val="center"/>
            <w:hideMark/>
          </w:tcPr>
          <w:p w14:paraId="67CE1576"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3F3F76"/>
                <w:szCs w:val="24"/>
              </w:rPr>
              <w:t>0.87</w:t>
            </w:r>
          </w:p>
        </w:tc>
        <w:tc>
          <w:tcPr>
            <w:tcW w:w="0" w:type="auto"/>
            <w:noWrap/>
            <w:vAlign w:val="center"/>
            <w:hideMark/>
          </w:tcPr>
          <w:p w14:paraId="681A4E58"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0.13</w:t>
            </w:r>
          </w:p>
        </w:tc>
        <w:tc>
          <w:tcPr>
            <w:tcW w:w="0" w:type="auto"/>
            <w:shd w:val="clear" w:color="000000" w:fill="CC99FF"/>
            <w:noWrap/>
            <w:vAlign w:val="center"/>
            <w:hideMark/>
          </w:tcPr>
          <w:p w14:paraId="543C772F"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0.05</w:t>
            </w:r>
          </w:p>
        </w:tc>
        <w:tc>
          <w:tcPr>
            <w:tcW w:w="0" w:type="auto"/>
            <w:shd w:val="clear" w:color="000000" w:fill="CC99FF"/>
            <w:noWrap/>
            <w:vAlign w:val="center"/>
            <w:hideMark/>
          </w:tcPr>
          <w:p w14:paraId="2EB53186"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7839A749"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56D391E8"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0D914AD3"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19F03674"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2F65C3A7"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6E0FAA64"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0.06</w:t>
            </w:r>
          </w:p>
        </w:tc>
        <w:tc>
          <w:tcPr>
            <w:tcW w:w="0" w:type="auto"/>
            <w:shd w:val="clear" w:color="000000" w:fill="F2F2F2"/>
            <w:noWrap/>
            <w:vAlign w:val="center"/>
            <w:hideMark/>
          </w:tcPr>
          <w:p w14:paraId="6A08BE87"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0.05</w:t>
            </w:r>
          </w:p>
        </w:tc>
        <w:tc>
          <w:tcPr>
            <w:tcW w:w="0" w:type="auto"/>
            <w:shd w:val="clear" w:color="000000" w:fill="F2F2F2"/>
            <w:noWrap/>
            <w:vAlign w:val="center"/>
            <w:hideMark/>
          </w:tcPr>
          <w:p w14:paraId="6C823927"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0.05</w:t>
            </w:r>
          </w:p>
        </w:tc>
      </w:tr>
      <w:tr w:rsidR="00A15C2C" w14:paraId="2AF39521" w14:textId="77777777" w:rsidTr="003C04C4">
        <w:trPr>
          <w:trHeight w:val="300"/>
          <w:jc w:val="center"/>
        </w:trPr>
        <w:tc>
          <w:tcPr>
            <w:tcW w:w="0" w:type="auto"/>
            <w:shd w:val="clear" w:color="D9E1F2" w:fill="D9E1F2"/>
            <w:noWrap/>
            <w:vAlign w:val="center"/>
            <w:hideMark/>
          </w:tcPr>
          <w:p w14:paraId="15919E4D"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2009</w:t>
            </w:r>
          </w:p>
        </w:tc>
        <w:tc>
          <w:tcPr>
            <w:tcW w:w="0" w:type="auto"/>
            <w:shd w:val="clear" w:color="D9E1F2" w:fill="D9E1F2"/>
            <w:noWrap/>
            <w:vAlign w:val="center"/>
            <w:hideMark/>
          </w:tcPr>
          <w:p w14:paraId="0E72A3AD"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0.8933</w:t>
            </w:r>
          </w:p>
        </w:tc>
        <w:tc>
          <w:tcPr>
            <w:tcW w:w="0" w:type="auto"/>
            <w:shd w:val="clear" w:color="D9E1F2" w:fill="D9E1F2"/>
            <w:noWrap/>
            <w:vAlign w:val="center"/>
            <w:hideMark/>
          </w:tcPr>
          <w:p w14:paraId="5EFDE40F"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0.0545</w:t>
            </w:r>
          </w:p>
        </w:tc>
        <w:tc>
          <w:tcPr>
            <w:tcW w:w="0" w:type="auto"/>
            <w:shd w:val="clear" w:color="000000" w:fill="FFCC99"/>
            <w:noWrap/>
            <w:vAlign w:val="center"/>
            <w:hideMark/>
          </w:tcPr>
          <w:p w14:paraId="4D2306D7"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3F3F76"/>
                <w:szCs w:val="24"/>
              </w:rPr>
              <w:t>0.85</w:t>
            </w:r>
          </w:p>
        </w:tc>
        <w:tc>
          <w:tcPr>
            <w:tcW w:w="0" w:type="auto"/>
            <w:shd w:val="clear" w:color="D9E1F2" w:fill="D9E1F2"/>
            <w:noWrap/>
            <w:vAlign w:val="center"/>
            <w:hideMark/>
          </w:tcPr>
          <w:p w14:paraId="53CA3574"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0.15</w:t>
            </w:r>
          </w:p>
        </w:tc>
        <w:tc>
          <w:tcPr>
            <w:tcW w:w="0" w:type="auto"/>
            <w:shd w:val="clear" w:color="000000" w:fill="CC99FF"/>
            <w:noWrap/>
            <w:vAlign w:val="center"/>
            <w:hideMark/>
          </w:tcPr>
          <w:p w14:paraId="0F718AB2"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0.05</w:t>
            </w:r>
          </w:p>
        </w:tc>
        <w:tc>
          <w:tcPr>
            <w:tcW w:w="0" w:type="auto"/>
            <w:shd w:val="clear" w:color="000000" w:fill="CC99FF"/>
            <w:noWrap/>
            <w:vAlign w:val="center"/>
            <w:hideMark/>
          </w:tcPr>
          <w:p w14:paraId="11E28331"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D9E1F2" w:fill="D9E1F2"/>
            <w:noWrap/>
            <w:vAlign w:val="center"/>
            <w:hideMark/>
          </w:tcPr>
          <w:p w14:paraId="39CFAEF1"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D9E1F2" w:fill="D9E1F2"/>
            <w:noWrap/>
            <w:vAlign w:val="center"/>
            <w:hideMark/>
          </w:tcPr>
          <w:p w14:paraId="6F77199B"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D9E1F2" w:fill="D9E1F2"/>
            <w:noWrap/>
            <w:vAlign w:val="center"/>
            <w:hideMark/>
          </w:tcPr>
          <w:p w14:paraId="471E4924"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D9E1F2" w:fill="D9E1F2"/>
            <w:noWrap/>
            <w:vAlign w:val="center"/>
            <w:hideMark/>
          </w:tcPr>
          <w:p w14:paraId="6FE8D167"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51B648C3"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0.05</w:t>
            </w:r>
          </w:p>
        </w:tc>
        <w:tc>
          <w:tcPr>
            <w:tcW w:w="0" w:type="auto"/>
            <w:shd w:val="clear" w:color="000000" w:fill="F2F2F2"/>
            <w:noWrap/>
            <w:vAlign w:val="center"/>
            <w:hideMark/>
          </w:tcPr>
          <w:p w14:paraId="591253DB"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0.05</w:t>
            </w:r>
          </w:p>
        </w:tc>
        <w:tc>
          <w:tcPr>
            <w:tcW w:w="0" w:type="auto"/>
            <w:shd w:val="clear" w:color="000000" w:fill="F2F2F2"/>
            <w:noWrap/>
            <w:vAlign w:val="center"/>
            <w:hideMark/>
          </w:tcPr>
          <w:p w14:paraId="2F27CB6E"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0.05</w:t>
            </w:r>
          </w:p>
        </w:tc>
        <w:tc>
          <w:tcPr>
            <w:tcW w:w="0" w:type="auto"/>
            <w:shd w:val="clear" w:color="000000" w:fill="F2F2F2"/>
            <w:noWrap/>
            <w:vAlign w:val="center"/>
            <w:hideMark/>
          </w:tcPr>
          <w:p w14:paraId="24B410C1"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0.05</w:t>
            </w:r>
          </w:p>
        </w:tc>
      </w:tr>
      <w:tr w:rsidR="00A15C2C" w14:paraId="70FA8662" w14:textId="77777777" w:rsidTr="003C04C4">
        <w:trPr>
          <w:trHeight w:val="300"/>
          <w:jc w:val="center"/>
        </w:trPr>
        <w:tc>
          <w:tcPr>
            <w:tcW w:w="0" w:type="auto"/>
            <w:noWrap/>
            <w:vAlign w:val="center"/>
            <w:hideMark/>
          </w:tcPr>
          <w:p w14:paraId="5DACE4BC"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2008</w:t>
            </w:r>
          </w:p>
        </w:tc>
        <w:tc>
          <w:tcPr>
            <w:tcW w:w="0" w:type="auto"/>
            <w:noWrap/>
            <w:vAlign w:val="center"/>
            <w:hideMark/>
          </w:tcPr>
          <w:p w14:paraId="4CCFE0A7"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0.8700</w:t>
            </w:r>
          </w:p>
        </w:tc>
        <w:tc>
          <w:tcPr>
            <w:tcW w:w="0" w:type="auto"/>
            <w:noWrap/>
            <w:vAlign w:val="center"/>
            <w:hideMark/>
          </w:tcPr>
          <w:p w14:paraId="5DEA5722"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0.0531</w:t>
            </w:r>
          </w:p>
        </w:tc>
        <w:tc>
          <w:tcPr>
            <w:tcW w:w="0" w:type="auto"/>
            <w:shd w:val="clear" w:color="000000" w:fill="FFCC99"/>
            <w:noWrap/>
            <w:vAlign w:val="center"/>
            <w:hideMark/>
          </w:tcPr>
          <w:p w14:paraId="021DA5D9"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3F3F76"/>
                <w:szCs w:val="24"/>
              </w:rPr>
              <w:t>0.69</w:t>
            </w:r>
          </w:p>
        </w:tc>
        <w:tc>
          <w:tcPr>
            <w:tcW w:w="0" w:type="auto"/>
            <w:noWrap/>
            <w:vAlign w:val="center"/>
            <w:hideMark/>
          </w:tcPr>
          <w:p w14:paraId="467017ED"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0.31</w:t>
            </w:r>
          </w:p>
        </w:tc>
        <w:tc>
          <w:tcPr>
            <w:tcW w:w="0" w:type="auto"/>
            <w:shd w:val="clear" w:color="000000" w:fill="CC99FF"/>
            <w:noWrap/>
            <w:vAlign w:val="center"/>
            <w:hideMark/>
          </w:tcPr>
          <w:p w14:paraId="5552AB60"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shd w:val="clear" w:color="000000" w:fill="CC99FF"/>
            <w:noWrap/>
            <w:vAlign w:val="center"/>
            <w:hideMark/>
          </w:tcPr>
          <w:p w14:paraId="5F856F45"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w:t>
            </w:r>
          </w:p>
        </w:tc>
        <w:tc>
          <w:tcPr>
            <w:tcW w:w="0" w:type="auto"/>
            <w:noWrap/>
            <w:vAlign w:val="center"/>
            <w:hideMark/>
          </w:tcPr>
          <w:p w14:paraId="1D0A8B67"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w:t>
            </w:r>
          </w:p>
        </w:tc>
        <w:tc>
          <w:tcPr>
            <w:tcW w:w="0" w:type="auto"/>
            <w:noWrap/>
            <w:vAlign w:val="center"/>
            <w:hideMark/>
          </w:tcPr>
          <w:p w14:paraId="3892A005"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w:t>
            </w:r>
          </w:p>
        </w:tc>
        <w:tc>
          <w:tcPr>
            <w:tcW w:w="0" w:type="auto"/>
            <w:noWrap/>
            <w:vAlign w:val="center"/>
            <w:hideMark/>
          </w:tcPr>
          <w:p w14:paraId="6C11C318"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0076636A"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58D07801"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0.05</w:t>
            </w:r>
          </w:p>
        </w:tc>
        <w:tc>
          <w:tcPr>
            <w:tcW w:w="0" w:type="auto"/>
            <w:shd w:val="clear" w:color="000000" w:fill="F2F2F2"/>
            <w:noWrap/>
            <w:vAlign w:val="center"/>
            <w:hideMark/>
          </w:tcPr>
          <w:p w14:paraId="5098956E"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0.05</w:t>
            </w:r>
          </w:p>
        </w:tc>
        <w:tc>
          <w:tcPr>
            <w:tcW w:w="0" w:type="auto"/>
            <w:shd w:val="clear" w:color="000000" w:fill="F2F2F2"/>
            <w:noWrap/>
            <w:vAlign w:val="center"/>
            <w:hideMark/>
          </w:tcPr>
          <w:p w14:paraId="08A984D1"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0.05</w:t>
            </w:r>
          </w:p>
        </w:tc>
        <w:tc>
          <w:tcPr>
            <w:tcW w:w="0" w:type="auto"/>
            <w:shd w:val="clear" w:color="000000" w:fill="F2F2F2"/>
            <w:noWrap/>
            <w:vAlign w:val="center"/>
            <w:hideMark/>
          </w:tcPr>
          <w:p w14:paraId="6A58EFF5"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0.04</w:t>
            </w:r>
          </w:p>
        </w:tc>
      </w:tr>
      <w:tr w:rsidR="00A15C2C" w14:paraId="43DE8E22" w14:textId="77777777" w:rsidTr="003C04C4">
        <w:trPr>
          <w:trHeight w:val="300"/>
          <w:jc w:val="center"/>
        </w:trPr>
        <w:tc>
          <w:tcPr>
            <w:tcW w:w="0" w:type="auto"/>
            <w:shd w:val="clear" w:color="D9E1F2" w:fill="D9E1F2"/>
            <w:noWrap/>
            <w:vAlign w:val="center"/>
            <w:hideMark/>
          </w:tcPr>
          <w:p w14:paraId="56024B85"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2007</w:t>
            </w:r>
          </w:p>
        </w:tc>
        <w:tc>
          <w:tcPr>
            <w:tcW w:w="0" w:type="auto"/>
            <w:shd w:val="clear" w:color="D9E1F2" w:fill="D9E1F2"/>
            <w:noWrap/>
            <w:vAlign w:val="center"/>
            <w:hideMark/>
          </w:tcPr>
          <w:p w14:paraId="31181924"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0.8411</w:t>
            </w:r>
          </w:p>
        </w:tc>
        <w:tc>
          <w:tcPr>
            <w:tcW w:w="0" w:type="auto"/>
            <w:shd w:val="clear" w:color="D9E1F2" w:fill="D9E1F2"/>
            <w:noWrap/>
            <w:vAlign w:val="center"/>
            <w:hideMark/>
          </w:tcPr>
          <w:p w14:paraId="04893C2B"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0.0513</w:t>
            </w:r>
          </w:p>
        </w:tc>
        <w:tc>
          <w:tcPr>
            <w:tcW w:w="0" w:type="auto"/>
            <w:shd w:val="clear" w:color="000000" w:fill="FFCC99"/>
            <w:noWrap/>
            <w:vAlign w:val="center"/>
            <w:hideMark/>
          </w:tcPr>
          <w:p w14:paraId="1FD5F90B"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3F3F76"/>
                <w:szCs w:val="24"/>
              </w:rPr>
              <w:t>0.53</w:t>
            </w:r>
          </w:p>
        </w:tc>
        <w:tc>
          <w:tcPr>
            <w:tcW w:w="0" w:type="auto"/>
            <w:shd w:val="clear" w:color="D9E1F2" w:fill="D9E1F2"/>
            <w:noWrap/>
            <w:vAlign w:val="center"/>
            <w:hideMark/>
          </w:tcPr>
          <w:p w14:paraId="6EBFD00B"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0.47</w:t>
            </w:r>
          </w:p>
        </w:tc>
        <w:tc>
          <w:tcPr>
            <w:tcW w:w="0" w:type="auto"/>
            <w:shd w:val="clear" w:color="000000" w:fill="CC99FF"/>
            <w:noWrap/>
            <w:vAlign w:val="center"/>
            <w:hideMark/>
          </w:tcPr>
          <w:p w14:paraId="4F9D26EA"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w:t>
            </w:r>
          </w:p>
        </w:tc>
        <w:tc>
          <w:tcPr>
            <w:tcW w:w="0" w:type="auto"/>
            <w:shd w:val="clear" w:color="000000" w:fill="CC99FF"/>
            <w:noWrap/>
            <w:vAlign w:val="center"/>
            <w:hideMark/>
          </w:tcPr>
          <w:p w14:paraId="5AEAAEA8"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w:t>
            </w:r>
          </w:p>
        </w:tc>
        <w:tc>
          <w:tcPr>
            <w:tcW w:w="0" w:type="auto"/>
            <w:shd w:val="clear" w:color="D9E1F2" w:fill="D9E1F2"/>
            <w:noWrap/>
            <w:vAlign w:val="center"/>
            <w:hideMark/>
          </w:tcPr>
          <w:p w14:paraId="783B4017"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w:t>
            </w:r>
          </w:p>
        </w:tc>
        <w:tc>
          <w:tcPr>
            <w:tcW w:w="0" w:type="auto"/>
            <w:shd w:val="clear" w:color="D9E1F2" w:fill="D9E1F2"/>
            <w:noWrap/>
            <w:vAlign w:val="center"/>
            <w:hideMark/>
          </w:tcPr>
          <w:p w14:paraId="1416A320"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w:t>
            </w:r>
          </w:p>
        </w:tc>
        <w:tc>
          <w:tcPr>
            <w:tcW w:w="0" w:type="auto"/>
            <w:shd w:val="clear" w:color="D9E1F2" w:fill="D9E1F2"/>
            <w:noWrap/>
            <w:vAlign w:val="center"/>
            <w:hideMark/>
          </w:tcPr>
          <w:p w14:paraId="437CC456"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w:t>
            </w:r>
          </w:p>
        </w:tc>
        <w:tc>
          <w:tcPr>
            <w:tcW w:w="0" w:type="auto"/>
            <w:shd w:val="clear" w:color="D9E1F2" w:fill="D9E1F2"/>
            <w:noWrap/>
            <w:vAlign w:val="center"/>
            <w:hideMark/>
          </w:tcPr>
          <w:p w14:paraId="2484FC8C"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1CD95084"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0.05</w:t>
            </w:r>
          </w:p>
        </w:tc>
        <w:tc>
          <w:tcPr>
            <w:tcW w:w="0" w:type="auto"/>
            <w:shd w:val="clear" w:color="000000" w:fill="F2F2F2"/>
            <w:noWrap/>
            <w:vAlign w:val="center"/>
            <w:hideMark/>
          </w:tcPr>
          <w:p w14:paraId="57F2A0A2"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0.05</w:t>
            </w:r>
          </w:p>
        </w:tc>
        <w:tc>
          <w:tcPr>
            <w:tcW w:w="0" w:type="auto"/>
            <w:shd w:val="clear" w:color="000000" w:fill="F2F2F2"/>
            <w:noWrap/>
            <w:vAlign w:val="center"/>
            <w:hideMark/>
          </w:tcPr>
          <w:p w14:paraId="12094809"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0.05</w:t>
            </w:r>
          </w:p>
        </w:tc>
        <w:tc>
          <w:tcPr>
            <w:tcW w:w="0" w:type="auto"/>
            <w:shd w:val="clear" w:color="000000" w:fill="F2F2F2"/>
            <w:noWrap/>
            <w:vAlign w:val="center"/>
            <w:hideMark/>
          </w:tcPr>
          <w:p w14:paraId="091D4B4D"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0.03</w:t>
            </w:r>
          </w:p>
        </w:tc>
      </w:tr>
      <w:tr w:rsidR="00A15C2C" w14:paraId="6A9C3F05" w14:textId="77777777" w:rsidTr="003C04C4">
        <w:trPr>
          <w:trHeight w:val="300"/>
          <w:jc w:val="center"/>
        </w:trPr>
        <w:tc>
          <w:tcPr>
            <w:tcW w:w="0" w:type="auto"/>
            <w:noWrap/>
            <w:vAlign w:val="center"/>
            <w:hideMark/>
          </w:tcPr>
          <w:p w14:paraId="4BFF7AEE"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2006</w:t>
            </w:r>
          </w:p>
        </w:tc>
        <w:tc>
          <w:tcPr>
            <w:tcW w:w="0" w:type="auto"/>
            <w:noWrap/>
            <w:vAlign w:val="center"/>
            <w:hideMark/>
          </w:tcPr>
          <w:p w14:paraId="231BC85E"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0.7963</w:t>
            </w:r>
          </w:p>
        </w:tc>
        <w:tc>
          <w:tcPr>
            <w:tcW w:w="0" w:type="auto"/>
            <w:noWrap/>
            <w:vAlign w:val="center"/>
            <w:hideMark/>
          </w:tcPr>
          <w:p w14:paraId="7BE271B2"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0.0486</w:t>
            </w:r>
          </w:p>
        </w:tc>
        <w:tc>
          <w:tcPr>
            <w:tcW w:w="0" w:type="auto"/>
            <w:shd w:val="clear" w:color="000000" w:fill="FFCC99"/>
            <w:noWrap/>
            <w:vAlign w:val="center"/>
            <w:hideMark/>
          </w:tcPr>
          <w:p w14:paraId="3930B8AB"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3F3F76"/>
                <w:szCs w:val="24"/>
              </w:rPr>
              <w:t>0.34</w:t>
            </w:r>
          </w:p>
        </w:tc>
        <w:tc>
          <w:tcPr>
            <w:tcW w:w="0" w:type="auto"/>
            <w:noWrap/>
            <w:vAlign w:val="center"/>
            <w:hideMark/>
          </w:tcPr>
          <w:p w14:paraId="1D294D78"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0.66</w:t>
            </w:r>
          </w:p>
        </w:tc>
        <w:tc>
          <w:tcPr>
            <w:tcW w:w="0" w:type="auto"/>
            <w:shd w:val="clear" w:color="000000" w:fill="CC99FF"/>
            <w:noWrap/>
            <w:vAlign w:val="center"/>
            <w:hideMark/>
          </w:tcPr>
          <w:p w14:paraId="548DA3CC"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w:t>
            </w:r>
          </w:p>
        </w:tc>
        <w:tc>
          <w:tcPr>
            <w:tcW w:w="0" w:type="auto"/>
            <w:shd w:val="clear" w:color="000000" w:fill="CC99FF"/>
            <w:noWrap/>
            <w:vAlign w:val="center"/>
            <w:hideMark/>
          </w:tcPr>
          <w:p w14:paraId="58D1B395"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w:t>
            </w:r>
          </w:p>
        </w:tc>
        <w:tc>
          <w:tcPr>
            <w:tcW w:w="0" w:type="auto"/>
            <w:noWrap/>
            <w:vAlign w:val="center"/>
            <w:hideMark/>
          </w:tcPr>
          <w:p w14:paraId="7FE3393C"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w:t>
            </w:r>
          </w:p>
        </w:tc>
        <w:tc>
          <w:tcPr>
            <w:tcW w:w="0" w:type="auto"/>
            <w:noWrap/>
            <w:vAlign w:val="center"/>
            <w:hideMark/>
          </w:tcPr>
          <w:p w14:paraId="4B17B865"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w:t>
            </w:r>
          </w:p>
        </w:tc>
        <w:tc>
          <w:tcPr>
            <w:tcW w:w="0" w:type="auto"/>
            <w:noWrap/>
            <w:vAlign w:val="center"/>
            <w:hideMark/>
          </w:tcPr>
          <w:p w14:paraId="6809CF6F"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w:t>
            </w:r>
          </w:p>
        </w:tc>
        <w:tc>
          <w:tcPr>
            <w:tcW w:w="0" w:type="auto"/>
            <w:noWrap/>
            <w:vAlign w:val="center"/>
            <w:hideMark/>
          </w:tcPr>
          <w:p w14:paraId="5B67BFDF"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3638B317"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0.05</w:t>
            </w:r>
          </w:p>
        </w:tc>
        <w:tc>
          <w:tcPr>
            <w:tcW w:w="0" w:type="auto"/>
            <w:shd w:val="clear" w:color="000000" w:fill="F2F2F2"/>
            <w:noWrap/>
            <w:vAlign w:val="center"/>
            <w:hideMark/>
          </w:tcPr>
          <w:p w14:paraId="383B5478"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0.05</w:t>
            </w:r>
          </w:p>
        </w:tc>
        <w:tc>
          <w:tcPr>
            <w:tcW w:w="0" w:type="auto"/>
            <w:shd w:val="clear" w:color="000000" w:fill="F2F2F2"/>
            <w:noWrap/>
            <w:vAlign w:val="center"/>
            <w:hideMark/>
          </w:tcPr>
          <w:p w14:paraId="572454A3"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0.04</w:t>
            </w:r>
          </w:p>
        </w:tc>
        <w:tc>
          <w:tcPr>
            <w:tcW w:w="0" w:type="auto"/>
            <w:shd w:val="clear" w:color="000000" w:fill="F2F2F2"/>
            <w:noWrap/>
            <w:vAlign w:val="center"/>
            <w:hideMark/>
          </w:tcPr>
          <w:p w14:paraId="27CFD146"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0.02</w:t>
            </w:r>
          </w:p>
        </w:tc>
      </w:tr>
      <w:tr w:rsidR="00A15C2C" w14:paraId="1DBC50A6" w14:textId="77777777" w:rsidTr="003C04C4">
        <w:trPr>
          <w:trHeight w:val="300"/>
          <w:jc w:val="center"/>
        </w:trPr>
        <w:tc>
          <w:tcPr>
            <w:tcW w:w="0" w:type="auto"/>
            <w:shd w:val="clear" w:color="D9E1F2" w:fill="D9E1F2"/>
            <w:noWrap/>
            <w:vAlign w:val="center"/>
            <w:hideMark/>
          </w:tcPr>
          <w:p w14:paraId="072AA5CB"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2005</w:t>
            </w:r>
          </w:p>
        </w:tc>
        <w:tc>
          <w:tcPr>
            <w:tcW w:w="0" w:type="auto"/>
            <w:shd w:val="clear" w:color="D9E1F2" w:fill="D9E1F2"/>
            <w:noWrap/>
            <w:vAlign w:val="center"/>
            <w:hideMark/>
          </w:tcPr>
          <w:p w14:paraId="0A2723B5"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0.7423</w:t>
            </w:r>
          </w:p>
        </w:tc>
        <w:tc>
          <w:tcPr>
            <w:tcW w:w="0" w:type="auto"/>
            <w:shd w:val="clear" w:color="D9E1F2" w:fill="D9E1F2"/>
            <w:noWrap/>
            <w:vAlign w:val="center"/>
            <w:hideMark/>
          </w:tcPr>
          <w:p w14:paraId="1A918AC2"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0.0453</w:t>
            </w:r>
          </w:p>
        </w:tc>
        <w:tc>
          <w:tcPr>
            <w:tcW w:w="0" w:type="auto"/>
            <w:shd w:val="clear" w:color="000000" w:fill="FFCC99"/>
            <w:noWrap/>
            <w:vAlign w:val="center"/>
            <w:hideMark/>
          </w:tcPr>
          <w:p w14:paraId="5C84EA33"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3F3F76"/>
                <w:szCs w:val="24"/>
              </w:rPr>
              <w:t>0.22</w:t>
            </w:r>
          </w:p>
        </w:tc>
        <w:tc>
          <w:tcPr>
            <w:tcW w:w="0" w:type="auto"/>
            <w:shd w:val="clear" w:color="D9E1F2" w:fill="D9E1F2"/>
            <w:noWrap/>
            <w:vAlign w:val="center"/>
            <w:hideMark/>
          </w:tcPr>
          <w:p w14:paraId="7219896E"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0.78</w:t>
            </w:r>
          </w:p>
        </w:tc>
        <w:tc>
          <w:tcPr>
            <w:tcW w:w="0" w:type="auto"/>
            <w:shd w:val="clear" w:color="000000" w:fill="CC99FF"/>
            <w:noWrap/>
            <w:vAlign w:val="center"/>
            <w:hideMark/>
          </w:tcPr>
          <w:p w14:paraId="58BA382C"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000000" w:fill="CC99FF"/>
            <w:noWrap/>
            <w:vAlign w:val="center"/>
            <w:hideMark/>
          </w:tcPr>
          <w:p w14:paraId="7B09C985"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shd w:val="clear" w:color="D9E1F2" w:fill="D9E1F2"/>
            <w:noWrap/>
            <w:vAlign w:val="center"/>
            <w:hideMark/>
          </w:tcPr>
          <w:p w14:paraId="4184F5D7"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shd w:val="clear" w:color="D9E1F2" w:fill="D9E1F2"/>
            <w:noWrap/>
            <w:vAlign w:val="center"/>
            <w:hideMark/>
          </w:tcPr>
          <w:p w14:paraId="24D82322"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shd w:val="clear" w:color="D9E1F2" w:fill="D9E1F2"/>
            <w:noWrap/>
            <w:vAlign w:val="center"/>
            <w:hideMark/>
          </w:tcPr>
          <w:p w14:paraId="12C883A8"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w:t>
            </w:r>
          </w:p>
        </w:tc>
        <w:tc>
          <w:tcPr>
            <w:tcW w:w="0" w:type="auto"/>
            <w:shd w:val="clear" w:color="D9E1F2" w:fill="D9E1F2"/>
            <w:noWrap/>
            <w:vAlign w:val="center"/>
            <w:hideMark/>
          </w:tcPr>
          <w:p w14:paraId="316F6F44"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1B0C5620"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0.05</w:t>
            </w:r>
          </w:p>
        </w:tc>
        <w:tc>
          <w:tcPr>
            <w:tcW w:w="0" w:type="auto"/>
            <w:shd w:val="clear" w:color="000000" w:fill="F2F2F2"/>
            <w:noWrap/>
            <w:vAlign w:val="center"/>
            <w:hideMark/>
          </w:tcPr>
          <w:p w14:paraId="4350DBF9"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0.05</w:t>
            </w:r>
          </w:p>
        </w:tc>
        <w:tc>
          <w:tcPr>
            <w:tcW w:w="0" w:type="auto"/>
            <w:shd w:val="clear" w:color="000000" w:fill="F2F2F2"/>
            <w:noWrap/>
            <w:vAlign w:val="center"/>
            <w:hideMark/>
          </w:tcPr>
          <w:p w14:paraId="1013AAD7"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0.04</w:t>
            </w:r>
          </w:p>
        </w:tc>
        <w:tc>
          <w:tcPr>
            <w:tcW w:w="0" w:type="auto"/>
            <w:shd w:val="clear" w:color="000000" w:fill="F2F2F2"/>
            <w:noWrap/>
            <w:vAlign w:val="center"/>
            <w:hideMark/>
          </w:tcPr>
          <w:p w14:paraId="5D8DA33D"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r>
      <w:tr w:rsidR="00A15C2C" w14:paraId="0030187E" w14:textId="77777777" w:rsidTr="003C04C4">
        <w:trPr>
          <w:trHeight w:val="300"/>
          <w:jc w:val="center"/>
        </w:trPr>
        <w:tc>
          <w:tcPr>
            <w:tcW w:w="0" w:type="auto"/>
            <w:noWrap/>
            <w:vAlign w:val="center"/>
            <w:hideMark/>
          </w:tcPr>
          <w:p w14:paraId="5C6EC2F3"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2004</w:t>
            </w:r>
          </w:p>
        </w:tc>
        <w:tc>
          <w:tcPr>
            <w:tcW w:w="0" w:type="auto"/>
            <w:noWrap/>
            <w:vAlign w:val="center"/>
            <w:hideMark/>
          </w:tcPr>
          <w:p w14:paraId="2039CB88"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0.6916</w:t>
            </w:r>
          </w:p>
        </w:tc>
        <w:tc>
          <w:tcPr>
            <w:tcW w:w="0" w:type="auto"/>
            <w:noWrap/>
            <w:vAlign w:val="center"/>
            <w:hideMark/>
          </w:tcPr>
          <w:p w14:paraId="6441DF6B"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0.0422</w:t>
            </w:r>
          </w:p>
        </w:tc>
        <w:tc>
          <w:tcPr>
            <w:tcW w:w="0" w:type="auto"/>
            <w:shd w:val="clear" w:color="000000" w:fill="FFCC99"/>
            <w:noWrap/>
            <w:vAlign w:val="center"/>
            <w:hideMark/>
          </w:tcPr>
          <w:p w14:paraId="4E2502DB"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3F3F76"/>
                <w:szCs w:val="24"/>
              </w:rPr>
              <w:t>0.17</w:t>
            </w:r>
          </w:p>
        </w:tc>
        <w:tc>
          <w:tcPr>
            <w:tcW w:w="0" w:type="auto"/>
            <w:noWrap/>
            <w:vAlign w:val="center"/>
            <w:hideMark/>
          </w:tcPr>
          <w:p w14:paraId="7CEB767A"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0.83</w:t>
            </w:r>
          </w:p>
        </w:tc>
        <w:tc>
          <w:tcPr>
            <w:tcW w:w="0" w:type="auto"/>
            <w:shd w:val="clear" w:color="000000" w:fill="CC99FF"/>
            <w:noWrap/>
            <w:vAlign w:val="center"/>
            <w:hideMark/>
          </w:tcPr>
          <w:p w14:paraId="702D2E3D"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000000" w:fill="CC99FF"/>
            <w:noWrap/>
            <w:vAlign w:val="center"/>
            <w:hideMark/>
          </w:tcPr>
          <w:p w14:paraId="1053C72F"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noWrap/>
            <w:vAlign w:val="center"/>
            <w:hideMark/>
          </w:tcPr>
          <w:p w14:paraId="790D14A3"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noWrap/>
            <w:vAlign w:val="center"/>
            <w:hideMark/>
          </w:tcPr>
          <w:p w14:paraId="05DDA4C2"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noWrap/>
            <w:vAlign w:val="center"/>
            <w:hideMark/>
          </w:tcPr>
          <w:p w14:paraId="23065D8D"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w:t>
            </w:r>
          </w:p>
        </w:tc>
        <w:tc>
          <w:tcPr>
            <w:tcW w:w="0" w:type="auto"/>
            <w:noWrap/>
            <w:vAlign w:val="center"/>
            <w:hideMark/>
          </w:tcPr>
          <w:p w14:paraId="463FB11B"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147A2C35"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0.04</w:t>
            </w:r>
          </w:p>
        </w:tc>
        <w:tc>
          <w:tcPr>
            <w:tcW w:w="0" w:type="auto"/>
            <w:shd w:val="clear" w:color="000000" w:fill="F2F2F2"/>
            <w:noWrap/>
            <w:vAlign w:val="center"/>
            <w:hideMark/>
          </w:tcPr>
          <w:p w14:paraId="2DFEA71A"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0.04</w:t>
            </w:r>
          </w:p>
        </w:tc>
        <w:tc>
          <w:tcPr>
            <w:tcW w:w="0" w:type="auto"/>
            <w:shd w:val="clear" w:color="000000" w:fill="F2F2F2"/>
            <w:noWrap/>
            <w:vAlign w:val="center"/>
            <w:hideMark/>
          </w:tcPr>
          <w:p w14:paraId="1D5D4C9D"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0.04</w:t>
            </w:r>
          </w:p>
        </w:tc>
        <w:tc>
          <w:tcPr>
            <w:tcW w:w="0" w:type="auto"/>
            <w:shd w:val="clear" w:color="000000" w:fill="F2F2F2"/>
            <w:noWrap/>
            <w:vAlign w:val="center"/>
            <w:hideMark/>
          </w:tcPr>
          <w:p w14:paraId="1F50F768"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r>
      <w:tr w:rsidR="00A15C2C" w14:paraId="552B978F" w14:textId="77777777" w:rsidTr="003C04C4">
        <w:trPr>
          <w:trHeight w:val="300"/>
          <w:jc w:val="center"/>
        </w:trPr>
        <w:tc>
          <w:tcPr>
            <w:tcW w:w="0" w:type="auto"/>
            <w:shd w:val="clear" w:color="D9E1F2" w:fill="D9E1F2"/>
            <w:noWrap/>
            <w:vAlign w:val="center"/>
            <w:hideMark/>
          </w:tcPr>
          <w:p w14:paraId="502846BB"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2003</w:t>
            </w:r>
          </w:p>
        </w:tc>
        <w:tc>
          <w:tcPr>
            <w:tcW w:w="0" w:type="auto"/>
            <w:shd w:val="clear" w:color="D9E1F2" w:fill="D9E1F2"/>
            <w:noWrap/>
            <w:vAlign w:val="center"/>
            <w:hideMark/>
          </w:tcPr>
          <w:p w14:paraId="342E4D2D"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0.6410</w:t>
            </w:r>
          </w:p>
        </w:tc>
        <w:tc>
          <w:tcPr>
            <w:tcW w:w="0" w:type="auto"/>
            <w:shd w:val="clear" w:color="D9E1F2" w:fill="D9E1F2"/>
            <w:noWrap/>
            <w:vAlign w:val="center"/>
            <w:hideMark/>
          </w:tcPr>
          <w:p w14:paraId="6F538605"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0.0391</w:t>
            </w:r>
          </w:p>
        </w:tc>
        <w:tc>
          <w:tcPr>
            <w:tcW w:w="0" w:type="auto"/>
            <w:shd w:val="clear" w:color="000000" w:fill="FFCC99"/>
            <w:noWrap/>
            <w:vAlign w:val="center"/>
            <w:hideMark/>
          </w:tcPr>
          <w:p w14:paraId="72496360"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3F3F76"/>
                <w:szCs w:val="24"/>
              </w:rPr>
              <w:t>0.11</w:t>
            </w:r>
          </w:p>
        </w:tc>
        <w:tc>
          <w:tcPr>
            <w:tcW w:w="0" w:type="auto"/>
            <w:shd w:val="clear" w:color="D9E1F2" w:fill="D9E1F2"/>
            <w:noWrap/>
            <w:vAlign w:val="center"/>
            <w:hideMark/>
          </w:tcPr>
          <w:p w14:paraId="047659EE"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0.89</w:t>
            </w:r>
          </w:p>
        </w:tc>
        <w:tc>
          <w:tcPr>
            <w:tcW w:w="0" w:type="auto"/>
            <w:shd w:val="clear" w:color="000000" w:fill="CC99FF"/>
            <w:noWrap/>
            <w:vAlign w:val="center"/>
            <w:hideMark/>
          </w:tcPr>
          <w:p w14:paraId="4B64C345"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73A416AA"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w:t>
            </w:r>
          </w:p>
        </w:tc>
        <w:tc>
          <w:tcPr>
            <w:tcW w:w="0" w:type="auto"/>
            <w:shd w:val="clear" w:color="D9E1F2" w:fill="D9E1F2"/>
            <w:noWrap/>
            <w:vAlign w:val="center"/>
            <w:hideMark/>
          </w:tcPr>
          <w:p w14:paraId="79066779"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w:t>
            </w:r>
          </w:p>
        </w:tc>
        <w:tc>
          <w:tcPr>
            <w:tcW w:w="0" w:type="auto"/>
            <w:shd w:val="clear" w:color="D9E1F2" w:fill="D9E1F2"/>
            <w:noWrap/>
            <w:vAlign w:val="center"/>
            <w:hideMark/>
          </w:tcPr>
          <w:p w14:paraId="05BC8692"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w:t>
            </w:r>
          </w:p>
        </w:tc>
        <w:tc>
          <w:tcPr>
            <w:tcW w:w="0" w:type="auto"/>
            <w:shd w:val="clear" w:color="D9E1F2" w:fill="D9E1F2"/>
            <w:noWrap/>
            <w:vAlign w:val="center"/>
            <w:hideMark/>
          </w:tcPr>
          <w:p w14:paraId="2C833B06"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w:t>
            </w:r>
          </w:p>
        </w:tc>
        <w:tc>
          <w:tcPr>
            <w:tcW w:w="0" w:type="auto"/>
            <w:shd w:val="clear" w:color="D9E1F2" w:fill="D9E1F2"/>
            <w:noWrap/>
            <w:vAlign w:val="center"/>
            <w:hideMark/>
          </w:tcPr>
          <w:p w14:paraId="417C208F"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51F9DD73"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0.04</w:t>
            </w:r>
          </w:p>
        </w:tc>
        <w:tc>
          <w:tcPr>
            <w:tcW w:w="0" w:type="auto"/>
            <w:shd w:val="clear" w:color="000000" w:fill="F2F2F2"/>
            <w:noWrap/>
            <w:vAlign w:val="center"/>
            <w:hideMark/>
          </w:tcPr>
          <w:p w14:paraId="79B153E6"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0.04</w:t>
            </w:r>
          </w:p>
        </w:tc>
        <w:tc>
          <w:tcPr>
            <w:tcW w:w="0" w:type="auto"/>
            <w:shd w:val="clear" w:color="000000" w:fill="F2F2F2"/>
            <w:noWrap/>
            <w:vAlign w:val="center"/>
            <w:hideMark/>
          </w:tcPr>
          <w:p w14:paraId="22EC9791"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0.03</w:t>
            </w:r>
          </w:p>
        </w:tc>
        <w:tc>
          <w:tcPr>
            <w:tcW w:w="0" w:type="auto"/>
            <w:shd w:val="clear" w:color="000000" w:fill="F2F2F2"/>
            <w:noWrap/>
            <w:vAlign w:val="center"/>
            <w:hideMark/>
          </w:tcPr>
          <w:p w14:paraId="697F56A3"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r>
      <w:tr w:rsidR="00A15C2C" w14:paraId="636F72AC" w14:textId="77777777" w:rsidTr="003C04C4">
        <w:trPr>
          <w:trHeight w:val="300"/>
          <w:jc w:val="center"/>
        </w:trPr>
        <w:tc>
          <w:tcPr>
            <w:tcW w:w="0" w:type="auto"/>
            <w:noWrap/>
            <w:vAlign w:val="center"/>
            <w:hideMark/>
          </w:tcPr>
          <w:p w14:paraId="04623BD1"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2002</w:t>
            </w:r>
          </w:p>
        </w:tc>
        <w:tc>
          <w:tcPr>
            <w:tcW w:w="0" w:type="auto"/>
            <w:noWrap/>
            <w:vAlign w:val="center"/>
            <w:hideMark/>
          </w:tcPr>
          <w:p w14:paraId="479D85DC"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0.5833</w:t>
            </w:r>
          </w:p>
        </w:tc>
        <w:tc>
          <w:tcPr>
            <w:tcW w:w="0" w:type="auto"/>
            <w:noWrap/>
            <w:vAlign w:val="center"/>
            <w:hideMark/>
          </w:tcPr>
          <w:p w14:paraId="012526F6"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0.0356</w:t>
            </w:r>
          </w:p>
        </w:tc>
        <w:tc>
          <w:tcPr>
            <w:tcW w:w="0" w:type="auto"/>
            <w:shd w:val="clear" w:color="000000" w:fill="C6EFCE"/>
            <w:noWrap/>
            <w:vAlign w:val="center"/>
            <w:hideMark/>
          </w:tcPr>
          <w:p w14:paraId="09545D46"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6100"/>
                <w:szCs w:val="24"/>
              </w:rPr>
              <w:t>0.00</w:t>
            </w:r>
          </w:p>
        </w:tc>
        <w:tc>
          <w:tcPr>
            <w:tcW w:w="0" w:type="auto"/>
            <w:noWrap/>
            <w:vAlign w:val="center"/>
            <w:hideMark/>
          </w:tcPr>
          <w:p w14:paraId="048AF8DD"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6279D843"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776A7DB5"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noWrap/>
            <w:vAlign w:val="center"/>
            <w:hideMark/>
          </w:tcPr>
          <w:p w14:paraId="4B65788C"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noWrap/>
            <w:vAlign w:val="center"/>
            <w:hideMark/>
          </w:tcPr>
          <w:p w14:paraId="0ECE6D00"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0.04</w:t>
            </w:r>
          </w:p>
        </w:tc>
        <w:tc>
          <w:tcPr>
            <w:tcW w:w="0" w:type="auto"/>
            <w:noWrap/>
            <w:vAlign w:val="center"/>
            <w:hideMark/>
          </w:tcPr>
          <w:p w14:paraId="2038602F"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w:t>
            </w:r>
          </w:p>
        </w:tc>
        <w:tc>
          <w:tcPr>
            <w:tcW w:w="0" w:type="auto"/>
            <w:noWrap/>
            <w:vAlign w:val="center"/>
            <w:hideMark/>
          </w:tcPr>
          <w:p w14:paraId="2DCEB3FB"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6DDB73E8"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0.04</w:t>
            </w:r>
          </w:p>
        </w:tc>
        <w:tc>
          <w:tcPr>
            <w:tcW w:w="0" w:type="auto"/>
            <w:shd w:val="clear" w:color="000000" w:fill="F2F2F2"/>
            <w:noWrap/>
            <w:vAlign w:val="center"/>
            <w:hideMark/>
          </w:tcPr>
          <w:p w14:paraId="16FA6F50"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0.04</w:t>
            </w:r>
          </w:p>
        </w:tc>
        <w:tc>
          <w:tcPr>
            <w:tcW w:w="0" w:type="auto"/>
            <w:shd w:val="clear" w:color="000000" w:fill="F2F2F2"/>
            <w:noWrap/>
            <w:vAlign w:val="center"/>
            <w:hideMark/>
          </w:tcPr>
          <w:p w14:paraId="208D166C"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0.03</w:t>
            </w:r>
          </w:p>
        </w:tc>
        <w:tc>
          <w:tcPr>
            <w:tcW w:w="0" w:type="auto"/>
            <w:shd w:val="clear" w:color="000000" w:fill="F2F2F2"/>
            <w:noWrap/>
            <w:vAlign w:val="center"/>
            <w:hideMark/>
          </w:tcPr>
          <w:p w14:paraId="5FA1F637"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0CBD934E" w14:textId="77777777" w:rsidTr="003C04C4">
        <w:trPr>
          <w:trHeight w:val="300"/>
          <w:jc w:val="center"/>
        </w:trPr>
        <w:tc>
          <w:tcPr>
            <w:tcW w:w="0" w:type="auto"/>
            <w:shd w:val="clear" w:color="D9E1F2" w:fill="D9E1F2"/>
            <w:noWrap/>
            <w:vAlign w:val="center"/>
            <w:hideMark/>
          </w:tcPr>
          <w:p w14:paraId="458F1064"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2001</w:t>
            </w:r>
          </w:p>
        </w:tc>
        <w:tc>
          <w:tcPr>
            <w:tcW w:w="0" w:type="auto"/>
            <w:shd w:val="clear" w:color="D9E1F2" w:fill="D9E1F2"/>
            <w:noWrap/>
            <w:vAlign w:val="center"/>
            <w:hideMark/>
          </w:tcPr>
          <w:p w14:paraId="1C74B95A"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0.5350</w:t>
            </w:r>
          </w:p>
        </w:tc>
        <w:tc>
          <w:tcPr>
            <w:tcW w:w="0" w:type="auto"/>
            <w:shd w:val="clear" w:color="D9E1F2" w:fill="D9E1F2"/>
            <w:noWrap/>
            <w:vAlign w:val="center"/>
            <w:hideMark/>
          </w:tcPr>
          <w:p w14:paraId="44F7702F"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0.0326</w:t>
            </w:r>
          </w:p>
        </w:tc>
        <w:tc>
          <w:tcPr>
            <w:tcW w:w="0" w:type="auto"/>
            <w:shd w:val="clear" w:color="D9E1F2" w:fill="D9E1F2"/>
            <w:noWrap/>
            <w:vAlign w:val="center"/>
            <w:hideMark/>
          </w:tcPr>
          <w:p w14:paraId="6397A7A5"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4C074659"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4E22A344"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21DE46DD"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w:t>
            </w:r>
          </w:p>
        </w:tc>
        <w:tc>
          <w:tcPr>
            <w:tcW w:w="0" w:type="auto"/>
            <w:shd w:val="clear" w:color="D9E1F2" w:fill="D9E1F2"/>
            <w:noWrap/>
            <w:vAlign w:val="center"/>
            <w:hideMark/>
          </w:tcPr>
          <w:p w14:paraId="675159FC"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w:t>
            </w:r>
          </w:p>
        </w:tc>
        <w:tc>
          <w:tcPr>
            <w:tcW w:w="0" w:type="auto"/>
            <w:shd w:val="clear" w:color="D9E1F2" w:fill="D9E1F2"/>
            <w:noWrap/>
            <w:vAlign w:val="center"/>
            <w:hideMark/>
          </w:tcPr>
          <w:p w14:paraId="36F60040"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w:t>
            </w:r>
          </w:p>
        </w:tc>
        <w:tc>
          <w:tcPr>
            <w:tcW w:w="0" w:type="auto"/>
            <w:shd w:val="clear" w:color="D9E1F2" w:fill="D9E1F2"/>
            <w:noWrap/>
            <w:vAlign w:val="center"/>
            <w:hideMark/>
          </w:tcPr>
          <w:p w14:paraId="167459B7"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w:t>
            </w:r>
          </w:p>
        </w:tc>
        <w:tc>
          <w:tcPr>
            <w:tcW w:w="0" w:type="auto"/>
            <w:shd w:val="clear" w:color="D9E1F2" w:fill="D9E1F2"/>
            <w:noWrap/>
            <w:vAlign w:val="center"/>
            <w:hideMark/>
          </w:tcPr>
          <w:p w14:paraId="08A27961"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5C17450B"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0.03</w:t>
            </w:r>
          </w:p>
        </w:tc>
        <w:tc>
          <w:tcPr>
            <w:tcW w:w="0" w:type="auto"/>
            <w:shd w:val="clear" w:color="000000" w:fill="F2F2F2"/>
            <w:noWrap/>
            <w:vAlign w:val="center"/>
            <w:hideMark/>
          </w:tcPr>
          <w:p w14:paraId="03C0A9CA"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0.03</w:t>
            </w:r>
          </w:p>
        </w:tc>
        <w:tc>
          <w:tcPr>
            <w:tcW w:w="0" w:type="auto"/>
            <w:shd w:val="clear" w:color="000000" w:fill="F2F2F2"/>
            <w:noWrap/>
            <w:vAlign w:val="center"/>
            <w:hideMark/>
          </w:tcPr>
          <w:p w14:paraId="113E685A"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0.03</w:t>
            </w:r>
          </w:p>
        </w:tc>
        <w:tc>
          <w:tcPr>
            <w:tcW w:w="0" w:type="auto"/>
            <w:shd w:val="clear" w:color="000000" w:fill="F2F2F2"/>
            <w:noWrap/>
            <w:vAlign w:val="center"/>
            <w:hideMark/>
          </w:tcPr>
          <w:p w14:paraId="2236007E"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39EAAD82" w14:textId="77777777" w:rsidTr="003C04C4">
        <w:trPr>
          <w:trHeight w:val="300"/>
          <w:jc w:val="center"/>
        </w:trPr>
        <w:tc>
          <w:tcPr>
            <w:tcW w:w="0" w:type="auto"/>
            <w:noWrap/>
            <w:vAlign w:val="center"/>
            <w:hideMark/>
          </w:tcPr>
          <w:p w14:paraId="5FC8CD48"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2000</w:t>
            </w:r>
          </w:p>
        </w:tc>
        <w:tc>
          <w:tcPr>
            <w:tcW w:w="0" w:type="auto"/>
            <w:noWrap/>
            <w:vAlign w:val="center"/>
            <w:hideMark/>
          </w:tcPr>
          <w:p w14:paraId="35783AF8"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0.4861</w:t>
            </w:r>
          </w:p>
        </w:tc>
        <w:tc>
          <w:tcPr>
            <w:tcW w:w="0" w:type="auto"/>
            <w:noWrap/>
            <w:vAlign w:val="center"/>
            <w:hideMark/>
          </w:tcPr>
          <w:p w14:paraId="607B0094"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0.0297</w:t>
            </w:r>
          </w:p>
        </w:tc>
        <w:tc>
          <w:tcPr>
            <w:tcW w:w="0" w:type="auto"/>
            <w:noWrap/>
            <w:vAlign w:val="center"/>
            <w:hideMark/>
          </w:tcPr>
          <w:p w14:paraId="69D2085A"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399755B0"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7DBF177A"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26F49BA8"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w:t>
            </w:r>
          </w:p>
        </w:tc>
        <w:tc>
          <w:tcPr>
            <w:tcW w:w="0" w:type="auto"/>
            <w:noWrap/>
            <w:vAlign w:val="center"/>
            <w:hideMark/>
          </w:tcPr>
          <w:p w14:paraId="11044B15"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w:t>
            </w:r>
          </w:p>
        </w:tc>
        <w:tc>
          <w:tcPr>
            <w:tcW w:w="0" w:type="auto"/>
            <w:noWrap/>
            <w:vAlign w:val="center"/>
            <w:hideMark/>
          </w:tcPr>
          <w:p w14:paraId="6CC1304E"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w:t>
            </w:r>
          </w:p>
        </w:tc>
        <w:tc>
          <w:tcPr>
            <w:tcW w:w="0" w:type="auto"/>
            <w:noWrap/>
            <w:vAlign w:val="center"/>
            <w:hideMark/>
          </w:tcPr>
          <w:p w14:paraId="4A670BB5"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w:t>
            </w:r>
          </w:p>
        </w:tc>
        <w:tc>
          <w:tcPr>
            <w:tcW w:w="0" w:type="auto"/>
            <w:noWrap/>
            <w:vAlign w:val="center"/>
            <w:hideMark/>
          </w:tcPr>
          <w:p w14:paraId="6E3903D4"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1C54DD7F"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0.03</w:t>
            </w:r>
          </w:p>
        </w:tc>
        <w:tc>
          <w:tcPr>
            <w:tcW w:w="0" w:type="auto"/>
            <w:shd w:val="clear" w:color="000000" w:fill="F2F2F2"/>
            <w:noWrap/>
            <w:vAlign w:val="center"/>
            <w:hideMark/>
          </w:tcPr>
          <w:p w14:paraId="7EC1FFD0"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0.03</w:t>
            </w:r>
          </w:p>
        </w:tc>
        <w:tc>
          <w:tcPr>
            <w:tcW w:w="0" w:type="auto"/>
            <w:shd w:val="clear" w:color="000000" w:fill="F2F2F2"/>
            <w:noWrap/>
            <w:vAlign w:val="center"/>
            <w:hideMark/>
          </w:tcPr>
          <w:p w14:paraId="737FD4FB"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0.03</w:t>
            </w:r>
          </w:p>
        </w:tc>
        <w:tc>
          <w:tcPr>
            <w:tcW w:w="0" w:type="auto"/>
            <w:shd w:val="clear" w:color="000000" w:fill="F2F2F2"/>
            <w:noWrap/>
            <w:vAlign w:val="center"/>
            <w:hideMark/>
          </w:tcPr>
          <w:p w14:paraId="0A1A9C4B"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37232BF1" w14:textId="77777777" w:rsidTr="003C04C4">
        <w:trPr>
          <w:trHeight w:val="300"/>
          <w:jc w:val="center"/>
        </w:trPr>
        <w:tc>
          <w:tcPr>
            <w:tcW w:w="0" w:type="auto"/>
            <w:shd w:val="clear" w:color="D9E1F2" w:fill="D9E1F2"/>
            <w:noWrap/>
            <w:vAlign w:val="center"/>
            <w:hideMark/>
          </w:tcPr>
          <w:p w14:paraId="7B0F19E8"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1999</w:t>
            </w:r>
          </w:p>
        </w:tc>
        <w:tc>
          <w:tcPr>
            <w:tcW w:w="0" w:type="auto"/>
            <w:shd w:val="clear" w:color="D9E1F2" w:fill="D9E1F2"/>
            <w:noWrap/>
            <w:vAlign w:val="center"/>
            <w:hideMark/>
          </w:tcPr>
          <w:p w14:paraId="0D61D6A4"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0.4422</w:t>
            </w:r>
          </w:p>
        </w:tc>
        <w:tc>
          <w:tcPr>
            <w:tcW w:w="0" w:type="auto"/>
            <w:shd w:val="clear" w:color="D9E1F2" w:fill="D9E1F2"/>
            <w:noWrap/>
            <w:vAlign w:val="center"/>
            <w:hideMark/>
          </w:tcPr>
          <w:p w14:paraId="7D7400B4"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0.0270</w:t>
            </w:r>
          </w:p>
        </w:tc>
        <w:tc>
          <w:tcPr>
            <w:tcW w:w="0" w:type="auto"/>
            <w:shd w:val="clear" w:color="D9E1F2" w:fill="D9E1F2"/>
            <w:noWrap/>
            <w:vAlign w:val="center"/>
            <w:hideMark/>
          </w:tcPr>
          <w:p w14:paraId="664C0342"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0D25DD36"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00A4191E"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326445BA"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w:t>
            </w:r>
          </w:p>
        </w:tc>
        <w:tc>
          <w:tcPr>
            <w:tcW w:w="0" w:type="auto"/>
            <w:shd w:val="clear" w:color="D9E1F2" w:fill="D9E1F2"/>
            <w:noWrap/>
            <w:vAlign w:val="center"/>
            <w:hideMark/>
          </w:tcPr>
          <w:p w14:paraId="4BD3C265"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w:t>
            </w:r>
          </w:p>
        </w:tc>
        <w:tc>
          <w:tcPr>
            <w:tcW w:w="0" w:type="auto"/>
            <w:shd w:val="clear" w:color="D9E1F2" w:fill="D9E1F2"/>
            <w:noWrap/>
            <w:vAlign w:val="center"/>
            <w:hideMark/>
          </w:tcPr>
          <w:p w14:paraId="15D56929"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w:t>
            </w:r>
          </w:p>
        </w:tc>
        <w:tc>
          <w:tcPr>
            <w:tcW w:w="0" w:type="auto"/>
            <w:shd w:val="clear" w:color="D9E1F2" w:fill="D9E1F2"/>
            <w:noWrap/>
            <w:vAlign w:val="center"/>
            <w:hideMark/>
          </w:tcPr>
          <w:p w14:paraId="372FF833"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w:t>
            </w:r>
          </w:p>
        </w:tc>
        <w:tc>
          <w:tcPr>
            <w:tcW w:w="0" w:type="auto"/>
            <w:shd w:val="clear" w:color="D9E1F2" w:fill="D9E1F2"/>
            <w:noWrap/>
            <w:vAlign w:val="center"/>
            <w:hideMark/>
          </w:tcPr>
          <w:p w14:paraId="4651A01B"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44781502"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0.03</w:t>
            </w:r>
          </w:p>
        </w:tc>
        <w:tc>
          <w:tcPr>
            <w:tcW w:w="0" w:type="auto"/>
            <w:shd w:val="clear" w:color="000000" w:fill="F2F2F2"/>
            <w:noWrap/>
            <w:vAlign w:val="center"/>
            <w:hideMark/>
          </w:tcPr>
          <w:p w14:paraId="4DCAC877"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0.03</w:t>
            </w:r>
          </w:p>
        </w:tc>
        <w:tc>
          <w:tcPr>
            <w:tcW w:w="0" w:type="auto"/>
            <w:shd w:val="clear" w:color="000000" w:fill="F2F2F2"/>
            <w:noWrap/>
            <w:vAlign w:val="center"/>
            <w:hideMark/>
          </w:tcPr>
          <w:p w14:paraId="777955CB"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0.02</w:t>
            </w:r>
          </w:p>
        </w:tc>
        <w:tc>
          <w:tcPr>
            <w:tcW w:w="0" w:type="auto"/>
            <w:shd w:val="clear" w:color="000000" w:fill="F2F2F2"/>
            <w:noWrap/>
            <w:vAlign w:val="center"/>
            <w:hideMark/>
          </w:tcPr>
          <w:p w14:paraId="04DD416A"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6C64D95B" w14:textId="77777777" w:rsidTr="003C04C4">
        <w:trPr>
          <w:trHeight w:val="300"/>
          <w:jc w:val="center"/>
        </w:trPr>
        <w:tc>
          <w:tcPr>
            <w:tcW w:w="0" w:type="auto"/>
            <w:noWrap/>
            <w:vAlign w:val="center"/>
            <w:hideMark/>
          </w:tcPr>
          <w:p w14:paraId="5B598B60"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1998</w:t>
            </w:r>
          </w:p>
        </w:tc>
        <w:tc>
          <w:tcPr>
            <w:tcW w:w="0" w:type="auto"/>
            <w:noWrap/>
            <w:vAlign w:val="center"/>
            <w:hideMark/>
          </w:tcPr>
          <w:p w14:paraId="1544BF04"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0.3976</w:t>
            </w:r>
          </w:p>
        </w:tc>
        <w:tc>
          <w:tcPr>
            <w:tcW w:w="0" w:type="auto"/>
            <w:noWrap/>
            <w:vAlign w:val="center"/>
            <w:hideMark/>
          </w:tcPr>
          <w:p w14:paraId="0960A777"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0.0243</w:t>
            </w:r>
          </w:p>
        </w:tc>
        <w:tc>
          <w:tcPr>
            <w:tcW w:w="0" w:type="auto"/>
            <w:noWrap/>
            <w:vAlign w:val="center"/>
            <w:hideMark/>
          </w:tcPr>
          <w:p w14:paraId="5C053DBF"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501EA718"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42FD3456"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06CDA14F"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w:t>
            </w:r>
          </w:p>
        </w:tc>
        <w:tc>
          <w:tcPr>
            <w:tcW w:w="0" w:type="auto"/>
            <w:noWrap/>
            <w:vAlign w:val="center"/>
            <w:hideMark/>
          </w:tcPr>
          <w:p w14:paraId="19B213EA"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w:t>
            </w:r>
          </w:p>
        </w:tc>
        <w:tc>
          <w:tcPr>
            <w:tcW w:w="0" w:type="auto"/>
            <w:noWrap/>
            <w:vAlign w:val="center"/>
            <w:hideMark/>
          </w:tcPr>
          <w:p w14:paraId="5FB2C508"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w:t>
            </w:r>
          </w:p>
        </w:tc>
        <w:tc>
          <w:tcPr>
            <w:tcW w:w="0" w:type="auto"/>
            <w:noWrap/>
            <w:vAlign w:val="center"/>
            <w:hideMark/>
          </w:tcPr>
          <w:p w14:paraId="683DB99E"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w:t>
            </w:r>
          </w:p>
        </w:tc>
        <w:tc>
          <w:tcPr>
            <w:tcW w:w="0" w:type="auto"/>
            <w:noWrap/>
            <w:vAlign w:val="center"/>
            <w:hideMark/>
          </w:tcPr>
          <w:p w14:paraId="2306C9F4"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567E4A2A"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0.02</w:t>
            </w:r>
          </w:p>
        </w:tc>
        <w:tc>
          <w:tcPr>
            <w:tcW w:w="0" w:type="auto"/>
            <w:shd w:val="clear" w:color="000000" w:fill="F2F2F2"/>
            <w:noWrap/>
            <w:vAlign w:val="center"/>
            <w:hideMark/>
          </w:tcPr>
          <w:p w14:paraId="45F013C2"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0.02</w:t>
            </w:r>
          </w:p>
        </w:tc>
        <w:tc>
          <w:tcPr>
            <w:tcW w:w="0" w:type="auto"/>
            <w:shd w:val="clear" w:color="000000" w:fill="F2F2F2"/>
            <w:noWrap/>
            <w:vAlign w:val="center"/>
            <w:hideMark/>
          </w:tcPr>
          <w:p w14:paraId="2632E5E6"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0.02</w:t>
            </w:r>
          </w:p>
        </w:tc>
        <w:tc>
          <w:tcPr>
            <w:tcW w:w="0" w:type="auto"/>
            <w:shd w:val="clear" w:color="000000" w:fill="F2F2F2"/>
            <w:noWrap/>
            <w:vAlign w:val="center"/>
            <w:hideMark/>
          </w:tcPr>
          <w:p w14:paraId="09AA7C07"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457F6CA6" w14:textId="77777777" w:rsidTr="003C04C4">
        <w:trPr>
          <w:trHeight w:val="300"/>
          <w:jc w:val="center"/>
        </w:trPr>
        <w:tc>
          <w:tcPr>
            <w:tcW w:w="0" w:type="auto"/>
            <w:shd w:val="clear" w:color="D9E1F2" w:fill="D9E1F2"/>
            <w:noWrap/>
            <w:vAlign w:val="center"/>
            <w:hideMark/>
          </w:tcPr>
          <w:p w14:paraId="73F35677"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1997</w:t>
            </w:r>
          </w:p>
        </w:tc>
        <w:tc>
          <w:tcPr>
            <w:tcW w:w="0" w:type="auto"/>
            <w:shd w:val="clear" w:color="D9E1F2" w:fill="D9E1F2"/>
            <w:noWrap/>
            <w:vAlign w:val="center"/>
            <w:hideMark/>
          </w:tcPr>
          <w:p w14:paraId="59490E56"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0.3520</w:t>
            </w:r>
          </w:p>
        </w:tc>
        <w:tc>
          <w:tcPr>
            <w:tcW w:w="0" w:type="auto"/>
            <w:shd w:val="clear" w:color="D9E1F2" w:fill="D9E1F2"/>
            <w:noWrap/>
            <w:vAlign w:val="center"/>
            <w:hideMark/>
          </w:tcPr>
          <w:p w14:paraId="62B7E3DD"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0.0215</w:t>
            </w:r>
          </w:p>
        </w:tc>
        <w:tc>
          <w:tcPr>
            <w:tcW w:w="0" w:type="auto"/>
            <w:shd w:val="clear" w:color="D9E1F2" w:fill="D9E1F2"/>
            <w:noWrap/>
            <w:vAlign w:val="center"/>
            <w:hideMark/>
          </w:tcPr>
          <w:p w14:paraId="43AD8155"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724770DE"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39C1F06E"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6031887F"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w:t>
            </w:r>
          </w:p>
        </w:tc>
        <w:tc>
          <w:tcPr>
            <w:tcW w:w="0" w:type="auto"/>
            <w:shd w:val="clear" w:color="D9E1F2" w:fill="D9E1F2"/>
            <w:noWrap/>
            <w:vAlign w:val="center"/>
            <w:hideMark/>
          </w:tcPr>
          <w:p w14:paraId="674E567D"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w:t>
            </w:r>
          </w:p>
        </w:tc>
        <w:tc>
          <w:tcPr>
            <w:tcW w:w="0" w:type="auto"/>
            <w:shd w:val="clear" w:color="D9E1F2" w:fill="D9E1F2"/>
            <w:noWrap/>
            <w:vAlign w:val="center"/>
            <w:hideMark/>
          </w:tcPr>
          <w:p w14:paraId="4358D7E5"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w:t>
            </w:r>
          </w:p>
        </w:tc>
        <w:tc>
          <w:tcPr>
            <w:tcW w:w="0" w:type="auto"/>
            <w:shd w:val="clear" w:color="D9E1F2" w:fill="D9E1F2"/>
            <w:noWrap/>
            <w:vAlign w:val="center"/>
            <w:hideMark/>
          </w:tcPr>
          <w:p w14:paraId="425F47E7"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w:t>
            </w:r>
          </w:p>
        </w:tc>
        <w:tc>
          <w:tcPr>
            <w:tcW w:w="0" w:type="auto"/>
            <w:shd w:val="clear" w:color="D9E1F2" w:fill="D9E1F2"/>
            <w:noWrap/>
            <w:vAlign w:val="center"/>
            <w:hideMark/>
          </w:tcPr>
          <w:p w14:paraId="5C564F58"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762EC86B"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0.02</w:t>
            </w:r>
          </w:p>
        </w:tc>
        <w:tc>
          <w:tcPr>
            <w:tcW w:w="0" w:type="auto"/>
            <w:shd w:val="clear" w:color="000000" w:fill="F2F2F2"/>
            <w:noWrap/>
            <w:vAlign w:val="center"/>
            <w:hideMark/>
          </w:tcPr>
          <w:p w14:paraId="7BCBAED2"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0.02</w:t>
            </w:r>
          </w:p>
        </w:tc>
        <w:tc>
          <w:tcPr>
            <w:tcW w:w="0" w:type="auto"/>
            <w:shd w:val="clear" w:color="000000" w:fill="F2F2F2"/>
            <w:noWrap/>
            <w:vAlign w:val="center"/>
            <w:hideMark/>
          </w:tcPr>
          <w:p w14:paraId="4FFEBB87"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0.02</w:t>
            </w:r>
          </w:p>
        </w:tc>
        <w:tc>
          <w:tcPr>
            <w:tcW w:w="0" w:type="auto"/>
            <w:shd w:val="clear" w:color="000000" w:fill="F2F2F2"/>
            <w:noWrap/>
            <w:vAlign w:val="center"/>
            <w:hideMark/>
          </w:tcPr>
          <w:p w14:paraId="7A6D1304"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586A9658" w14:textId="77777777" w:rsidTr="003C04C4">
        <w:trPr>
          <w:trHeight w:val="300"/>
          <w:jc w:val="center"/>
        </w:trPr>
        <w:tc>
          <w:tcPr>
            <w:tcW w:w="0" w:type="auto"/>
            <w:noWrap/>
            <w:vAlign w:val="center"/>
            <w:hideMark/>
          </w:tcPr>
          <w:p w14:paraId="4478013C"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1996</w:t>
            </w:r>
          </w:p>
        </w:tc>
        <w:tc>
          <w:tcPr>
            <w:tcW w:w="0" w:type="auto"/>
            <w:noWrap/>
            <w:vAlign w:val="center"/>
            <w:hideMark/>
          </w:tcPr>
          <w:p w14:paraId="4AD427F9"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0.3092</w:t>
            </w:r>
          </w:p>
        </w:tc>
        <w:tc>
          <w:tcPr>
            <w:tcW w:w="0" w:type="auto"/>
            <w:noWrap/>
            <w:vAlign w:val="center"/>
            <w:hideMark/>
          </w:tcPr>
          <w:p w14:paraId="480E58BE"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0.0189</w:t>
            </w:r>
          </w:p>
        </w:tc>
        <w:tc>
          <w:tcPr>
            <w:tcW w:w="0" w:type="auto"/>
            <w:noWrap/>
            <w:vAlign w:val="center"/>
            <w:hideMark/>
          </w:tcPr>
          <w:p w14:paraId="696F5054"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6E69A884"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6672AF69"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58C038DE"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w:t>
            </w:r>
          </w:p>
        </w:tc>
        <w:tc>
          <w:tcPr>
            <w:tcW w:w="0" w:type="auto"/>
            <w:noWrap/>
            <w:vAlign w:val="center"/>
            <w:hideMark/>
          </w:tcPr>
          <w:p w14:paraId="615281CD"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w:t>
            </w:r>
          </w:p>
        </w:tc>
        <w:tc>
          <w:tcPr>
            <w:tcW w:w="0" w:type="auto"/>
            <w:noWrap/>
            <w:vAlign w:val="center"/>
            <w:hideMark/>
          </w:tcPr>
          <w:p w14:paraId="354A778E"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w:t>
            </w:r>
          </w:p>
        </w:tc>
        <w:tc>
          <w:tcPr>
            <w:tcW w:w="0" w:type="auto"/>
            <w:noWrap/>
            <w:vAlign w:val="center"/>
            <w:hideMark/>
          </w:tcPr>
          <w:p w14:paraId="04D95383"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w:t>
            </w:r>
          </w:p>
        </w:tc>
        <w:tc>
          <w:tcPr>
            <w:tcW w:w="0" w:type="auto"/>
            <w:noWrap/>
            <w:vAlign w:val="center"/>
            <w:hideMark/>
          </w:tcPr>
          <w:p w14:paraId="206582A9"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71525E77"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0.02</w:t>
            </w:r>
          </w:p>
        </w:tc>
        <w:tc>
          <w:tcPr>
            <w:tcW w:w="0" w:type="auto"/>
            <w:shd w:val="clear" w:color="000000" w:fill="F2F2F2"/>
            <w:noWrap/>
            <w:vAlign w:val="center"/>
            <w:hideMark/>
          </w:tcPr>
          <w:p w14:paraId="7FFEE999"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0.02</w:t>
            </w:r>
          </w:p>
        </w:tc>
        <w:tc>
          <w:tcPr>
            <w:tcW w:w="0" w:type="auto"/>
            <w:shd w:val="clear" w:color="000000" w:fill="F2F2F2"/>
            <w:noWrap/>
            <w:vAlign w:val="center"/>
            <w:hideMark/>
          </w:tcPr>
          <w:p w14:paraId="715481D9"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0.02</w:t>
            </w:r>
          </w:p>
        </w:tc>
        <w:tc>
          <w:tcPr>
            <w:tcW w:w="0" w:type="auto"/>
            <w:shd w:val="clear" w:color="000000" w:fill="F2F2F2"/>
            <w:noWrap/>
            <w:vAlign w:val="center"/>
            <w:hideMark/>
          </w:tcPr>
          <w:p w14:paraId="520657FE"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4369969C" w14:textId="77777777" w:rsidTr="003C04C4">
        <w:trPr>
          <w:trHeight w:val="300"/>
          <w:jc w:val="center"/>
        </w:trPr>
        <w:tc>
          <w:tcPr>
            <w:tcW w:w="0" w:type="auto"/>
            <w:shd w:val="clear" w:color="D9E1F2" w:fill="D9E1F2"/>
            <w:noWrap/>
            <w:vAlign w:val="center"/>
            <w:hideMark/>
          </w:tcPr>
          <w:p w14:paraId="0C169D77"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1995</w:t>
            </w:r>
          </w:p>
        </w:tc>
        <w:tc>
          <w:tcPr>
            <w:tcW w:w="0" w:type="auto"/>
            <w:shd w:val="clear" w:color="D9E1F2" w:fill="D9E1F2"/>
            <w:noWrap/>
            <w:vAlign w:val="center"/>
            <w:hideMark/>
          </w:tcPr>
          <w:p w14:paraId="5AA39C7F"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0.2666</w:t>
            </w:r>
          </w:p>
        </w:tc>
        <w:tc>
          <w:tcPr>
            <w:tcW w:w="0" w:type="auto"/>
            <w:shd w:val="clear" w:color="D9E1F2" w:fill="D9E1F2"/>
            <w:noWrap/>
            <w:vAlign w:val="center"/>
            <w:hideMark/>
          </w:tcPr>
          <w:p w14:paraId="51B78BCD"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0.0163</w:t>
            </w:r>
          </w:p>
        </w:tc>
        <w:tc>
          <w:tcPr>
            <w:tcW w:w="0" w:type="auto"/>
            <w:shd w:val="clear" w:color="D9E1F2" w:fill="D9E1F2"/>
            <w:noWrap/>
            <w:vAlign w:val="center"/>
            <w:hideMark/>
          </w:tcPr>
          <w:p w14:paraId="097B253F"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54509955"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33173B9B"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1D56681A"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w:t>
            </w:r>
          </w:p>
        </w:tc>
        <w:tc>
          <w:tcPr>
            <w:tcW w:w="0" w:type="auto"/>
            <w:shd w:val="clear" w:color="D9E1F2" w:fill="D9E1F2"/>
            <w:noWrap/>
            <w:vAlign w:val="center"/>
            <w:hideMark/>
          </w:tcPr>
          <w:p w14:paraId="16E4692A"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w:t>
            </w:r>
          </w:p>
        </w:tc>
        <w:tc>
          <w:tcPr>
            <w:tcW w:w="0" w:type="auto"/>
            <w:shd w:val="clear" w:color="D9E1F2" w:fill="D9E1F2"/>
            <w:noWrap/>
            <w:vAlign w:val="center"/>
            <w:hideMark/>
          </w:tcPr>
          <w:p w14:paraId="53A3412E"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w:t>
            </w:r>
          </w:p>
        </w:tc>
        <w:tc>
          <w:tcPr>
            <w:tcW w:w="0" w:type="auto"/>
            <w:shd w:val="clear" w:color="D9E1F2" w:fill="D9E1F2"/>
            <w:noWrap/>
            <w:vAlign w:val="center"/>
            <w:hideMark/>
          </w:tcPr>
          <w:p w14:paraId="39086225"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D9E1F2" w:fill="D9E1F2"/>
            <w:noWrap/>
            <w:vAlign w:val="center"/>
            <w:hideMark/>
          </w:tcPr>
          <w:p w14:paraId="11A9F684"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4062EDF6"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0.02</w:t>
            </w:r>
          </w:p>
        </w:tc>
        <w:tc>
          <w:tcPr>
            <w:tcW w:w="0" w:type="auto"/>
            <w:shd w:val="clear" w:color="000000" w:fill="F2F2F2"/>
            <w:noWrap/>
            <w:vAlign w:val="center"/>
            <w:hideMark/>
          </w:tcPr>
          <w:p w14:paraId="2E4FBF33"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0.02</w:t>
            </w:r>
          </w:p>
        </w:tc>
        <w:tc>
          <w:tcPr>
            <w:tcW w:w="0" w:type="auto"/>
            <w:shd w:val="clear" w:color="000000" w:fill="F2F2F2"/>
            <w:noWrap/>
            <w:vAlign w:val="center"/>
            <w:hideMark/>
          </w:tcPr>
          <w:p w14:paraId="4466D048"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3751424F"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26B7A35E" w14:textId="77777777" w:rsidTr="003C04C4">
        <w:trPr>
          <w:trHeight w:val="300"/>
          <w:jc w:val="center"/>
        </w:trPr>
        <w:tc>
          <w:tcPr>
            <w:tcW w:w="0" w:type="auto"/>
            <w:noWrap/>
            <w:vAlign w:val="center"/>
            <w:hideMark/>
          </w:tcPr>
          <w:p w14:paraId="44C3A435"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1994</w:t>
            </w:r>
          </w:p>
        </w:tc>
        <w:tc>
          <w:tcPr>
            <w:tcW w:w="0" w:type="auto"/>
            <w:noWrap/>
            <w:vAlign w:val="center"/>
            <w:hideMark/>
          </w:tcPr>
          <w:p w14:paraId="207F4E50"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0.2278</w:t>
            </w:r>
          </w:p>
        </w:tc>
        <w:tc>
          <w:tcPr>
            <w:tcW w:w="0" w:type="auto"/>
            <w:noWrap/>
            <w:vAlign w:val="center"/>
            <w:hideMark/>
          </w:tcPr>
          <w:p w14:paraId="4EEC0A5C"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0.0139</w:t>
            </w:r>
          </w:p>
        </w:tc>
        <w:tc>
          <w:tcPr>
            <w:tcW w:w="0" w:type="auto"/>
            <w:noWrap/>
            <w:vAlign w:val="center"/>
            <w:hideMark/>
          </w:tcPr>
          <w:p w14:paraId="50564735"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18F6A9A7"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49D726A3"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5DF2132E"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2AD6AEFE"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0904139A"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7C70BFCD"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0C7B18E8"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69773274"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1CD7727F"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10502A43"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6E7201B0"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67DD7B36" w14:textId="77777777" w:rsidTr="003C04C4">
        <w:trPr>
          <w:trHeight w:val="300"/>
          <w:jc w:val="center"/>
        </w:trPr>
        <w:tc>
          <w:tcPr>
            <w:tcW w:w="0" w:type="auto"/>
            <w:shd w:val="clear" w:color="D9E1F2" w:fill="D9E1F2"/>
            <w:noWrap/>
            <w:vAlign w:val="center"/>
            <w:hideMark/>
          </w:tcPr>
          <w:p w14:paraId="6E030C4F"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1993</w:t>
            </w:r>
          </w:p>
        </w:tc>
        <w:tc>
          <w:tcPr>
            <w:tcW w:w="0" w:type="auto"/>
            <w:shd w:val="clear" w:color="D9E1F2" w:fill="D9E1F2"/>
            <w:noWrap/>
            <w:vAlign w:val="center"/>
            <w:hideMark/>
          </w:tcPr>
          <w:p w14:paraId="05FC37A0"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0.2019</w:t>
            </w:r>
          </w:p>
        </w:tc>
        <w:tc>
          <w:tcPr>
            <w:tcW w:w="0" w:type="auto"/>
            <w:shd w:val="clear" w:color="D9E1F2" w:fill="D9E1F2"/>
            <w:noWrap/>
            <w:vAlign w:val="center"/>
            <w:hideMark/>
          </w:tcPr>
          <w:p w14:paraId="37EEB198"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0.0123</w:t>
            </w:r>
          </w:p>
        </w:tc>
        <w:tc>
          <w:tcPr>
            <w:tcW w:w="0" w:type="auto"/>
            <w:shd w:val="clear" w:color="D9E1F2" w:fill="D9E1F2"/>
            <w:noWrap/>
            <w:vAlign w:val="center"/>
            <w:hideMark/>
          </w:tcPr>
          <w:p w14:paraId="5B1FDE19"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709842AA"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1C426EF1"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3BA6DEB4"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D9E1F2" w:fill="D9E1F2"/>
            <w:noWrap/>
            <w:vAlign w:val="center"/>
            <w:hideMark/>
          </w:tcPr>
          <w:p w14:paraId="0BBA805A"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D9E1F2" w:fill="D9E1F2"/>
            <w:noWrap/>
            <w:vAlign w:val="center"/>
            <w:hideMark/>
          </w:tcPr>
          <w:p w14:paraId="0CDAB1D3"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D9E1F2" w:fill="D9E1F2"/>
            <w:noWrap/>
            <w:vAlign w:val="center"/>
            <w:hideMark/>
          </w:tcPr>
          <w:p w14:paraId="3CE496D0"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D9E1F2" w:fill="D9E1F2"/>
            <w:noWrap/>
            <w:vAlign w:val="center"/>
            <w:hideMark/>
          </w:tcPr>
          <w:p w14:paraId="287A7504"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7CE7F0EB"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691258BC"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7FE31DC1"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46F95FD0"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311B41B1" w14:textId="77777777" w:rsidTr="003C04C4">
        <w:trPr>
          <w:trHeight w:val="300"/>
          <w:jc w:val="center"/>
        </w:trPr>
        <w:tc>
          <w:tcPr>
            <w:tcW w:w="0" w:type="auto"/>
            <w:noWrap/>
            <w:vAlign w:val="center"/>
            <w:hideMark/>
          </w:tcPr>
          <w:p w14:paraId="36CCBFDA"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1992</w:t>
            </w:r>
          </w:p>
        </w:tc>
        <w:tc>
          <w:tcPr>
            <w:tcW w:w="0" w:type="auto"/>
            <w:noWrap/>
            <w:vAlign w:val="center"/>
            <w:hideMark/>
          </w:tcPr>
          <w:p w14:paraId="67E8E3FC"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0.1750</w:t>
            </w:r>
          </w:p>
        </w:tc>
        <w:tc>
          <w:tcPr>
            <w:tcW w:w="0" w:type="auto"/>
            <w:noWrap/>
            <w:vAlign w:val="center"/>
            <w:hideMark/>
          </w:tcPr>
          <w:p w14:paraId="6C7F39EC"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0.0107</w:t>
            </w:r>
          </w:p>
        </w:tc>
        <w:tc>
          <w:tcPr>
            <w:tcW w:w="0" w:type="auto"/>
            <w:noWrap/>
            <w:vAlign w:val="center"/>
            <w:hideMark/>
          </w:tcPr>
          <w:p w14:paraId="67DE0AD8"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4C52E0E7"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228ACEFE"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4233AE48"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53B1C8FC"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66785AAA"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323B13E9"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1F77978E"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49FDE81E"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2CBEB651"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2B651F16"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61666AC7"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08D3A465" w14:textId="77777777" w:rsidTr="003C04C4">
        <w:trPr>
          <w:trHeight w:val="300"/>
          <w:jc w:val="center"/>
        </w:trPr>
        <w:tc>
          <w:tcPr>
            <w:tcW w:w="0" w:type="auto"/>
            <w:shd w:val="clear" w:color="D9E1F2" w:fill="D9E1F2"/>
            <w:noWrap/>
            <w:vAlign w:val="center"/>
            <w:hideMark/>
          </w:tcPr>
          <w:p w14:paraId="7DB3DE44"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1991</w:t>
            </w:r>
          </w:p>
        </w:tc>
        <w:tc>
          <w:tcPr>
            <w:tcW w:w="0" w:type="auto"/>
            <w:shd w:val="clear" w:color="D9E1F2" w:fill="D9E1F2"/>
            <w:noWrap/>
            <w:vAlign w:val="center"/>
            <w:hideMark/>
          </w:tcPr>
          <w:p w14:paraId="7862D507"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0.1584</w:t>
            </w:r>
          </w:p>
        </w:tc>
        <w:tc>
          <w:tcPr>
            <w:tcW w:w="0" w:type="auto"/>
            <w:shd w:val="clear" w:color="D9E1F2" w:fill="D9E1F2"/>
            <w:noWrap/>
            <w:vAlign w:val="center"/>
            <w:hideMark/>
          </w:tcPr>
          <w:p w14:paraId="02937757"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0.0097</w:t>
            </w:r>
          </w:p>
        </w:tc>
        <w:tc>
          <w:tcPr>
            <w:tcW w:w="0" w:type="auto"/>
            <w:shd w:val="clear" w:color="D9E1F2" w:fill="D9E1F2"/>
            <w:noWrap/>
            <w:vAlign w:val="center"/>
            <w:hideMark/>
          </w:tcPr>
          <w:p w14:paraId="6E55F994"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73548CB7"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0DA73342"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6266184E"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D9E1F2" w:fill="D9E1F2"/>
            <w:noWrap/>
            <w:vAlign w:val="center"/>
            <w:hideMark/>
          </w:tcPr>
          <w:p w14:paraId="01BF646C"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D9E1F2" w:fill="D9E1F2"/>
            <w:noWrap/>
            <w:vAlign w:val="center"/>
            <w:hideMark/>
          </w:tcPr>
          <w:p w14:paraId="267C2EEB"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D9E1F2" w:fill="D9E1F2"/>
            <w:noWrap/>
            <w:vAlign w:val="center"/>
            <w:hideMark/>
          </w:tcPr>
          <w:p w14:paraId="0520C33F"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D9E1F2" w:fill="D9E1F2"/>
            <w:noWrap/>
            <w:vAlign w:val="center"/>
            <w:hideMark/>
          </w:tcPr>
          <w:p w14:paraId="54EEF225"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6DCC605D"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5499B157"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273543A1"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417035FB"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1E5103E4" w14:textId="77777777" w:rsidTr="003C04C4">
        <w:trPr>
          <w:trHeight w:val="300"/>
          <w:jc w:val="center"/>
        </w:trPr>
        <w:tc>
          <w:tcPr>
            <w:tcW w:w="0" w:type="auto"/>
            <w:noWrap/>
            <w:vAlign w:val="center"/>
            <w:hideMark/>
          </w:tcPr>
          <w:p w14:paraId="3A5671BC"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1990</w:t>
            </w:r>
          </w:p>
        </w:tc>
        <w:tc>
          <w:tcPr>
            <w:tcW w:w="0" w:type="auto"/>
            <w:noWrap/>
            <w:vAlign w:val="center"/>
            <w:hideMark/>
          </w:tcPr>
          <w:p w14:paraId="2156183C"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0.1452</w:t>
            </w:r>
          </w:p>
        </w:tc>
        <w:tc>
          <w:tcPr>
            <w:tcW w:w="0" w:type="auto"/>
            <w:noWrap/>
            <w:vAlign w:val="center"/>
            <w:hideMark/>
          </w:tcPr>
          <w:p w14:paraId="7EEC6E97"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0.0089</w:t>
            </w:r>
          </w:p>
        </w:tc>
        <w:tc>
          <w:tcPr>
            <w:tcW w:w="0" w:type="auto"/>
            <w:noWrap/>
            <w:vAlign w:val="center"/>
            <w:hideMark/>
          </w:tcPr>
          <w:p w14:paraId="4F5B8AEB"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05ED4127"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79E9183B"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7E538FEF"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66C5B171"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4935325D"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18D9EC5C"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7B4D3F57"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5D83D61A"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25B99A0F"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5C57F987"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360CA635"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36622469" w14:textId="77777777" w:rsidTr="003C04C4">
        <w:trPr>
          <w:trHeight w:val="300"/>
          <w:jc w:val="center"/>
        </w:trPr>
        <w:tc>
          <w:tcPr>
            <w:tcW w:w="0" w:type="auto"/>
            <w:shd w:val="clear" w:color="D9E1F2" w:fill="D9E1F2"/>
            <w:noWrap/>
            <w:vAlign w:val="center"/>
            <w:hideMark/>
          </w:tcPr>
          <w:p w14:paraId="250F03FE"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1989</w:t>
            </w:r>
          </w:p>
        </w:tc>
        <w:tc>
          <w:tcPr>
            <w:tcW w:w="0" w:type="auto"/>
            <w:shd w:val="clear" w:color="D9E1F2" w:fill="D9E1F2"/>
            <w:noWrap/>
            <w:vAlign w:val="center"/>
            <w:hideMark/>
          </w:tcPr>
          <w:p w14:paraId="4C18E9A9"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0.1390</w:t>
            </w:r>
          </w:p>
        </w:tc>
        <w:tc>
          <w:tcPr>
            <w:tcW w:w="0" w:type="auto"/>
            <w:shd w:val="clear" w:color="D9E1F2" w:fill="D9E1F2"/>
            <w:noWrap/>
            <w:vAlign w:val="center"/>
            <w:hideMark/>
          </w:tcPr>
          <w:p w14:paraId="72C8CFAF"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0.0085</w:t>
            </w:r>
          </w:p>
        </w:tc>
        <w:tc>
          <w:tcPr>
            <w:tcW w:w="0" w:type="auto"/>
            <w:shd w:val="clear" w:color="D9E1F2" w:fill="D9E1F2"/>
            <w:noWrap/>
            <w:vAlign w:val="center"/>
            <w:hideMark/>
          </w:tcPr>
          <w:p w14:paraId="1CD45DDE"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1A21D9B4"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1FA98FE1"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47017B23"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D9E1F2" w:fill="D9E1F2"/>
            <w:noWrap/>
            <w:vAlign w:val="center"/>
            <w:hideMark/>
          </w:tcPr>
          <w:p w14:paraId="1EDDC3BC"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D9E1F2" w:fill="D9E1F2"/>
            <w:noWrap/>
            <w:vAlign w:val="center"/>
            <w:hideMark/>
          </w:tcPr>
          <w:p w14:paraId="3CAACADB"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D9E1F2" w:fill="D9E1F2"/>
            <w:noWrap/>
            <w:vAlign w:val="center"/>
            <w:hideMark/>
          </w:tcPr>
          <w:p w14:paraId="7F34F8F0"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D9E1F2" w:fill="D9E1F2"/>
            <w:noWrap/>
            <w:vAlign w:val="center"/>
            <w:hideMark/>
          </w:tcPr>
          <w:p w14:paraId="2E3F1709"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456373E2"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1361871C"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1F890721"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66E33B2D"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762BB5FF" w14:textId="77777777" w:rsidTr="003C04C4">
        <w:trPr>
          <w:trHeight w:val="300"/>
          <w:jc w:val="center"/>
        </w:trPr>
        <w:tc>
          <w:tcPr>
            <w:tcW w:w="0" w:type="auto"/>
            <w:noWrap/>
            <w:vAlign w:val="center"/>
            <w:hideMark/>
          </w:tcPr>
          <w:p w14:paraId="6E1B9BAB"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1988</w:t>
            </w:r>
          </w:p>
        </w:tc>
        <w:tc>
          <w:tcPr>
            <w:tcW w:w="0" w:type="auto"/>
            <w:noWrap/>
            <w:vAlign w:val="center"/>
            <w:hideMark/>
          </w:tcPr>
          <w:p w14:paraId="342FF2EC"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0.1250</w:t>
            </w:r>
          </w:p>
        </w:tc>
        <w:tc>
          <w:tcPr>
            <w:tcW w:w="0" w:type="auto"/>
            <w:noWrap/>
            <w:vAlign w:val="center"/>
            <w:hideMark/>
          </w:tcPr>
          <w:p w14:paraId="2E870EB1"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0.0076</w:t>
            </w:r>
          </w:p>
        </w:tc>
        <w:tc>
          <w:tcPr>
            <w:tcW w:w="0" w:type="auto"/>
            <w:noWrap/>
            <w:vAlign w:val="center"/>
            <w:hideMark/>
          </w:tcPr>
          <w:p w14:paraId="0E4B76AB"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001433D9"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2215C860"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38B4DBBA"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0D5E2F50"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7149C123"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35835AF2"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0B44B9E1"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669B968C"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79EB6055"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55DB9729"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6442EA84"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009A13A3" w14:textId="77777777" w:rsidTr="003C04C4">
        <w:trPr>
          <w:trHeight w:val="300"/>
          <w:jc w:val="center"/>
        </w:trPr>
        <w:tc>
          <w:tcPr>
            <w:tcW w:w="0" w:type="auto"/>
            <w:shd w:val="clear" w:color="D9E1F2" w:fill="D9E1F2"/>
            <w:noWrap/>
            <w:vAlign w:val="center"/>
            <w:hideMark/>
          </w:tcPr>
          <w:p w14:paraId="05F1F4FF"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1987</w:t>
            </w:r>
          </w:p>
        </w:tc>
        <w:tc>
          <w:tcPr>
            <w:tcW w:w="0" w:type="auto"/>
            <w:shd w:val="clear" w:color="D9E1F2" w:fill="D9E1F2"/>
            <w:noWrap/>
            <w:vAlign w:val="center"/>
            <w:hideMark/>
          </w:tcPr>
          <w:p w14:paraId="2E5089C5"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0.1112</w:t>
            </w:r>
          </w:p>
        </w:tc>
        <w:tc>
          <w:tcPr>
            <w:tcW w:w="0" w:type="auto"/>
            <w:shd w:val="clear" w:color="D9E1F2" w:fill="D9E1F2"/>
            <w:noWrap/>
            <w:vAlign w:val="center"/>
            <w:hideMark/>
          </w:tcPr>
          <w:p w14:paraId="62C207B5"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0.0068</w:t>
            </w:r>
          </w:p>
        </w:tc>
        <w:tc>
          <w:tcPr>
            <w:tcW w:w="0" w:type="auto"/>
            <w:shd w:val="clear" w:color="D9E1F2" w:fill="D9E1F2"/>
            <w:noWrap/>
            <w:vAlign w:val="center"/>
            <w:hideMark/>
          </w:tcPr>
          <w:p w14:paraId="48AE8CFC"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6B637E67"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62F533F8"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73D7A95A"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D9E1F2" w:fill="D9E1F2"/>
            <w:noWrap/>
            <w:vAlign w:val="center"/>
            <w:hideMark/>
          </w:tcPr>
          <w:p w14:paraId="3388CFFE"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D9E1F2" w:fill="D9E1F2"/>
            <w:noWrap/>
            <w:vAlign w:val="center"/>
            <w:hideMark/>
          </w:tcPr>
          <w:p w14:paraId="22A00523"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D9E1F2" w:fill="D9E1F2"/>
            <w:noWrap/>
            <w:vAlign w:val="center"/>
            <w:hideMark/>
          </w:tcPr>
          <w:p w14:paraId="6FF1DC97"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D9E1F2" w:fill="D9E1F2"/>
            <w:noWrap/>
            <w:vAlign w:val="center"/>
            <w:hideMark/>
          </w:tcPr>
          <w:p w14:paraId="2CA874A2"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558F345B"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71D8682A"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1620FCAF"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0A8A8EEF"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753FC2A9" w14:textId="77777777" w:rsidTr="003C04C4">
        <w:trPr>
          <w:trHeight w:val="300"/>
          <w:jc w:val="center"/>
        </w:trPr>
        <w:tc>
          <w:tcPr>
            <w:tcW w:w="0" w:type="auto"/>
            <w:noWrap/>
            <w:vAlign w:val="center"/>
            <w:hideMark/>
          </w:tcPr>
          <w:p w14:paraId="31EFF928"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1986</w:t>
            </w:r>
          </w:p>
        </w:tc>
        <w:tc>
          <w:tcPr>
            <w:tcW w:w="0" w:type="auto"/>
            <w:noWrap/>
            <w:vAlign w:val="center"/>
            <w:hideMark/>
          </w:tcPr>
          <w:p w14:paraId="5E363C10"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0.1028</w:t>
            </w:r>
          </w:p>
        </w:tc>
        <w:tc>
          <w:tcPr>
            <w:tcW w:w="0" w:type="auto"/>
            <w:noWrap/>
            <w:vAlign w:val="center"/>
            <w:hideMark/>
          </w:tcPr>
          <w:p w14:paraId="61AB108F"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0.0063</w:t>
            </w:r>
          </w:p>
        </w:tc>
        <w:tc>
          <w:tcPr>
            <w:tcW w:w="0" w:type="auto"/>
            <w:noWrap/>
            <w:vAlign w:val="center"/>
            <w:hideMark/>
          </w:tcPr>
          <w:p w14:paraId="7AA71EE7"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785985C4"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1D6DA82A"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12D925C2"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2F8A366E"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6456E137"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740AF137"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62D4BCF2"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16617465"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33BB106C"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2A71CEE3"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6B1A9129"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6BC7F129" w14:textId="77777777" w:rsidTr="003C04C4">
        <w:trPr>
          <w:trHeight w:val="300"/>
          <w:jc w:val="center"/>
        </w:trPr>
        <w:tc>
          <w:tcPr>
            <w:tcW w:w="0" w:type="auto"/>
            <w:shd w:val="clear" w:color="D9E1F2" w:fill="D9E1F2"/>
            <w:noWrap/>
            <w:vAlign w:val="center"/>
            <w:hideMark/>
          </w:tcPr>
          <w:p w14:paraId="2A1BB579"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1985</w:t>
            </w:r>
          </w:p>
        </w:tc>
        <w:tc>
          <w:tcPr>
            <w:tcW w:w="0" w:type="auto"/>
            <w:shd w:val="clear" w:color="D9E1F2" w:fill="D9E1F2"/>
            <w:noWrap/>
            <w:vAlign w:val="center"/>
            <w:hideMark/>
          </w:tcPr>
          <w:p w14:paraId="040DA1FA"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0.0933</w:t>
            </w:r>
          </w:p>
        </w:tc>
        <w:tc>
          <w:tcPr>
            <w:tcW w:w="0" w:type="auto"/>
            <w:shd w:val="clear" w:color="D9E1F2" w:fill="D9E1F2"/>
            <w:noWrap/>
            <w:vAlign w:val="center"/>
            <w:hideMark/>
          </w:tcPr>
          <w:p w14:paraId="1A0B9E15"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0.0057</w:t>
            </w:r>
          </w:p>
        </w:tc>
        <w:tc>
          <w:tcPr>
            <w:tcW w:w="0" w:type="auto"/>
            <w:shd w:val="clear" w:color="D9E1F2" w:fill="D9E1F2"/>
            <w:noWrap/>
            <w:vAlign w:val="center"/>
            <w:hideMark/>
          </w:tcPr>
          <w:p w14:paraId="4ABC5030"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355D22FF"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51145725"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145FFD5C"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D9E1F2" w:fill="D9E1F2"/>
            <w:noWrap/>
            <w:vAlign w:val="center"/>
            <w:hideMark/>
          </w:tcPr>
          <w:p w14:paraId="418780DF"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D9E1F2" w:fill="D9E1F2"/>
            <w:noWrap/>
            <w:vAlign w:val="center"/>
            <w:hideMark/>
          </w:tcPr>
          <w:p w14:paraId="0667CBAC"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D9E1F2" w:fill="D9E1F2"/>
            <w:noWrap/>
            <w:vAlign w:val="center"/>
            <w:hideMark/>
          </w:tcPr>
          <w:p w14:paraId="56FD4519"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shd w:val="clear" w:color="D9E1F2" w:fill="D9E1F2"/>
            <w:noWrap/>
            <w:vAlign w:val="center"/>
            <w:hideMark/>
          </w:tcPr>
          <w:p w14:paraId="4D50B216"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2BCCE650"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6EAC4940"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6283134F"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5988AFAA"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5C71E55B" w14:textId="77777777" w:rsidTr="003C04C4">
        <w:trPr>
          <w:trHeight w:val="300"/>
          <w:jc w:val="center"/>
        </w:trPr>
        <w:tc>
          <w:tcPr>
            <w:tcW w:w="0" w:type="auto"/>
            <w:noWrap/>
            <w:vAlign w:val="center"/>
            <w:hideMark/>
          </w:tcPr>
          <w:p w14:paraId="707B9B04"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1984</w:t>
            </w:r>
          </w:p>
        </w:tc>
        <w:tc>
          <w:tcPr>
            <w:tcW w:w="0" w:type="auto"/>
            <w:noWrap/>
            <w:vAlign w:val="center"/>
            <w:hideMark/>
          </w:tcPr>
          <w:p w14:paraId="50F6E2A9"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0.0835</w:t>
            </w:r>
          </w:p>
        </w:tc>
        <w:tc>
          <w:tcPr>
            <w:tcW w:w="0" w:type="auto"/>
            <w:noWrap/>
            <w:vAlign w:val="center"/>
            <w:hideMark/>
          </w:tcPr>
          <w:p w14:paraId="2A625120"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0.0051</w:t>
            </w:r>
          </w:p>
        </w:tc>
        <w:tc>
          <w:tcPr>
            <w:tcW w:w="0" w:type="auto"/>
            <w:noWrap/>
            <w:vAlign w:val="center"/>
            <w:hideMark/>
          </w:tcPr>
          <w:p w14:paraId="18CF0967"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59A8608D"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2B8CDA8A"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55A8A763"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422A7734"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722BD17E"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0.01</w:t>
            </w:r>
          </w:p>
        </w:tc>
        <w:tc>
          <w:tcPr>
            <w:tcW w:w="0" w:type="auto"/>
            <w:noWrap/>
            <w:vAlign w:val="center"/>
            <w:hideMark/>
          </w:tcPr>
          <w:p w14:paraId="1610B32E"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19B6AE7A"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10502BBB"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6EAA5B41"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0.01</w:t>
            </w:r>
          </w:p>
        </w:tc>
        <w:tc>
          <w:tcPr>
            <w:tcW w:w="0" w:type="auto"/>
            <w:shd w:val="clear" w:color="000000" w:fill="F2F2F2"/>
            <w:noWrap/>
            <w:vAlign w:val="center"/>
            <w:hideMark/>
          </w:tcPr>
          <w:p w14:paraId="187BC0E8"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5EA43429"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54D145D9" w14:textId="77777777" w:rsidTr="003C04C4">
        <w:trPr>
          <w:trHeight w:val="300"/>
          <w:jc w:val="center"/>
        </w:trPr>
        <w:tc>
          <w:tcPr>
            <w:tcW w:w="0" w:type="auto"/>
            <w:shd w:val="clear" w:color="D9E1F2" w:fill="D9E1F2"/>
            <w:noWrap/>
            <w:vAlign w:val="center"/>
            <w:hideMark/>
          </w:tcPr>
          <w:p w14:paraId="1878B372"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1983</w:t>
            </w:r>
          </w:p>
        </w:tc>
        <w:tc>
          <w:tcPr>
            <w:tcW w:w="0" w:type="auto"/>
            <w:shd w:val="clear" w:color="D9E1F2" w:fill="D9E1F2"/>
            <w:noWrap/>
            <w:vAlign w:val="center"/>
            <w:hideMark/>
          </w:tcPr>
          <w:p w14:paraId="6988D8A7"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0.0731</w:t>
            </w:r>
          </w:p>
        </w:tc>
        <w:tc>
          <w:tcPr>
            <w:tcW w:w="0" w:type="auto"/>
            <w:shd w:val="clear" w:color="D9E1F2" w:fill="D9E1F2"/>
            <w:noWrap/>
            <w:vAlign w:val="center"/>
            <w:hideMark/>
          </w:tcPr>
          <w:p w14:paraId="41EC805E"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0.0045</w:t>
            </w:r>
          </w:p>
        </w:tc>
        <w:tc>
          <w:tcPr>
            <w:tcW w:w="0" w:type="auto"/>
            <w:shd w:val="clear" w:color="D9E1F2" w:fill="D9E1F2"/>
            <w:noWrap/>
            <w:vAlign w:val="center"/>
            <w:hideMark/>
          </w:tcPr>
          <w:p w14:paraId="29058019"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531012C7"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2AAD3203"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51646F23"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15086796"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7E7A9F1C"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4136E929"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729BAAA0"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58EDA912"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307BF593"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1E88E0AC"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041FD8EA"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7861E2CA" w14:textId="77777777" w:rsidTr="003C04C4">
        <w:trPr>
          <w:trHeight w:val="300"/>
          <w:jc w:val="center"/>
        </w:trPr>
        <w:tc>
          <w:tcPr>
            <w:tcW w:w="0" w:type="auto"/>
            <w:noWrap/>
            <w:vAlign w:val="center"/>
            <w:hideMark/>
          </w:tcPr>
          <w:p w14:paraId="7B71828D"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1982</w:t>
            </w:r>
          </w:p>
        </w:tc>
        <w:tc>
          <w:tcPr>
            <w:tcW w:w="0" w:type="auto"/>
            <w:noWrap/>
            <w:vAlign w:val="center"/>
            <w:hideMark/>
          </w:tcPr>
          <w:p w14:paraId="4CAA4A91"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0.0619</w:t>
            </w:r>
          </w:p>
        </w:tc>
        <w:tc>
          <w:tcPr>
            <w:tcW w:w="0" w:type="auto"/>
            <w:noWrap/>
            <w:vAlign w:val="center"/>
            <w:hideMark/>
          </w:tcPr>
          <w:p w14:paraId="3BFB7385"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0.0038</w:t>
            </w:r>
          </w:p>
        </w:tc>
        <w:tc>
          <w:tcPr>
            <w:tcW w:w="0" w:type="auto"/>
            <w:noWrap/>
            <w:vAlign w:val="center"/>
            <w:hideMark/>
          </w:tcPr>
          <w:p w14:paraId="388B7CCC"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5A3F82E3"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518D2411"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2EAD85B4"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51EF28F3"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5F02D4F5"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0AB09D50"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348FC587"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0A99A01E"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42A04ABB"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1A5FCBBE"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6817E966"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1E03A6A2" w14:textId="77777777" w:rsidTr="003C04C4">
        <w:trPr>
          <w:trHeight w:val="300"/>
          <w:jc w:val="center"/>
        </w:trPr>
        <w:tc>
          <w:tcPr>
            <w:tcW w:w="0" w:type="auto"/>
            <w:shd w:val="clear" w:color="D9E1F2" w:fill="D9E1F2"/>
            <w:noWrap/>
            <w:vAlign w:val="center"/>
            <w:hideMark/>
          </w:tcPr>
          <w:p w14:paraId="5E465F6F"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1981</w:t>
            </w:r>
          </w:p>
        </w:tc>
        <w:tc>
          <w:tcPr>
            <w:tcW w:w="0" w:type="auto"/>
            <w:shd w:val="clear" w:color="D9E1F2" w:fill="D9E1F2"/>
            <w:noWrap/>
            <w:vAlign w:val="center"/>
            <w:hideMark/>
          </w:tcPr>
          <w:p w14:paraId="4CC80F7F"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0.0502</w:t>
            </w:r>
          </w:p>
        </w:tc>
        <w:tc>
          <w:tcPr>
            <w:tcW w:w="0" w:type="auto"/>
            <w:shd w:val="clear" w:color="D9E1F2" w:fill="D9E1F2"/>
            <w:noWrap/>
            <w:vAlign w:val="center"/>
            <w:hideMark/>
          </w:tcPr>
          <w:p w14:paraId="320763BD"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0.0031</w:t>
            </w:r>
          </w:p>
        </w:tc>
        <w:tc>
          <w:tcPr>
            <w:tcW w:w="0" w:type="auto"/>
            <w:shd w:val="clear" w:color="D9E1F2" w:fill="D9E1F2"/>
            <w:noWrap/>
            <w:vAlign w:val="center"/>
            <w:hideMark/>
          </w:tcPr>
          <w:p w14:paraId="608A1303"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2C0853A0"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567CEC6D"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1187007F"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032AB506"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186F5317"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01D35DC5"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24C112D4"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1DFC14B4"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6AB30505"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70D48387"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23C6D5C5"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612E1780" w14:textId="77777777" w:rsidTr="003C04C4">
        <w:trPr>
          <w:trHeight w:val="300"/>
          <w:jc w:val="center"/>
        </w:trPr>
        <w:tc>
          <w:tcPr>
            <w:tcW w:w="0" w:type="auto"/>
            <w:noWrap/>
            <w:vAlign w:val="center"/>
            <w:hideMark/>
          </w:tcPr>
          <w:p w14:paraId="0D1C53F2"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1980</w:t>
            </w:r>
          </w:p>
        </w:tc>
        <w:tc>
          <w:tcPr>
            <w:tcW w:w="0" w:type="auto"/>
            <w:noWrap/>
            <w:vAlign w:val="center"/>
            <w:hideMark/>
          </w:tcPr>
          <w:p w14:paraId="12CD1C25"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0.0384</w:t>
            </w:r>
          </w:p>
        </w:tc>
        <w:tc>
          <w:tcPr>
            <w:tcW w:w="0" w:type="auto"/>
            <w:noWrap/>
            <w:vAlign w:val="center"/>
            <w:hideMark/>
          </w:tcPr>
          <w:p w14:paraId="61BD77E1"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0.0023</w:t>
            </w:r>
          </w:p>
        </w:tc>
        <w:tc>
          <w:tcPr>
            <w:tcW w:w="0" w:type="auto"/>
            <w:noWrap/>
            <w:vAlign w:val="center"/>
            <w:hideMark/>
          </w:tcPr>
          <w:p w14:paraId="3CACD4AC"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4D678D78"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18AB1D45"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778EB063"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3811BB61"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1B4E43FE"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24933341"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3E21FF22"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39458FDF"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3CAD33A8"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5BA37F1C"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2A502F2A"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6946F934" w14:textId="77777777" w:rsidTr="003C04C4">
        <w:trPr>
          <w:trHeight w:val="300"/>
          <w:jc w:val="center"/>
        </w:trPr>
        <w:tc>
          <w:tcPr>
            <w:tcW w:w="0" w:type="auto"/>
            <w:shd w:val="clear" w:color="D9E1F2" w:fill="D9E1F2"/>
            <w:noWrap/>
            <w:vAlign w:val="center"/>
            <w:hideMark/>
          </w:tcPr>
          <w:p w14:paraId="40488103"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1979</w:t>
            </w:r>
          </w:p>
        </w:tc>
        <w:tc>
          <w:tcPr>
            <w:tcW w:w="0" w:type="auto"/>
            <w:shd w:val="clear" w:color="D9E1F2" w:fill="D9E1F2"/>
            <w:noWrap/>
            <w:vAlign w:val="center"/>
            <w:hideMark/>
          </w:tcPr>
          <w:p w14:paraId="388A1F11"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0.0273</w:t>
            </w:r>
          </w:p>
        </w:tc>
        <w:tc>
          <w:tcPr>
            <w:tcW w:w="0" w:type="auto"/>
            <w:shd w:val="clear" w:color="D9E1F2" w:fill="D9E1F2"/>
            <w:noWrap/>
            <w:vAlign w:val="center"/>
            <w:hideMark/>
          </w:tcPr>
          <w:p w14:paraId="25D693E3"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0.0017</w:t>
            </w:r>
          </w:p>
        </w:tc>
        <w:tc>
          <w:tcPr>
            <w:tcW w:w="0" w:type="auto"/>
            <w:shd w:val="clear" w:color="D9E1F2" w:fill="D9E1F2"/>
            <w:noWrap/>
            <w:vAlign w:val="center"/>
            <w:hideMark/>
          </w:tcPr>
          <w:p w14:paraId="33F43499"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3A928FD9"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23A54F80"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17E7A8E9"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2D47AA18"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31551E15"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296FCA6C"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40B54CF4"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0655FD91"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2BED5DBF"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4C323975"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3DD32BE0"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7BE356FF" w14:textId="77777777" w:rsidTr="003C04C4">
        <w:trPr>
          <w:trHeight w:val="300"/>
          <w:jc w:val="center"/>
        </w:trPr>
        <w:tc>
          <w:tcPr>
            <w:tcW w:w="0" w:type="auto"/>
            <w:noWrap/>
            <w:vAlign w:val="center"/>
            <w:hideMark/>
          </w:tcPr>
          <w:p w14:paraId="62D32F02"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1978</w:t>
            </w:r>
          </w:p>
        </w:tc>
        <w:tc>
          <w:tcPr>
            <w:tcW w:w="0" w:type="auto"/>
            <w:noWrap/>
            <w:vAlign w:val="center"/>
            <w:hideMark/>
          </w:tcPr>
          <w:p w14:paraId="5ABF47E0"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0.0000</w:t>
            </w:r>
          </w:p>
        </w:tc>
        <w:tc>
          <w:tcPr>
            <w:tcW w:w="0" w:type="auto"/>
            <w:noWrap/>
            <w:vAlign w:val="center"/>
            <w:hideMark/>
          </w:tcPr>
          <w:p w14:paraId="773548A5"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0.0000</w:t>
            </w:r>
          </w:p>
        </w:tc>
        <w:tc>
          <w:tcPr>
            <w:tcW w:w="0" w:type="auto"/>
            <w:noWrap/>
            <w:vAlign w:val="center"/>
            <w:hideMark/>
          </w:tcPr>
          <w:p w14:paraId="5230CDD6"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35557A29"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2B3C548E"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4484A760"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3015D4E9"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5095A99D"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1898C401"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37A41748"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2D1DF27C"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70EC43E7"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32F5F259"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205F1CDF"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2F232CDA" w14:textId="77777777" w:rsidTr="003C04C4">
        <w:trPr>
          <w:trHeight w:val="300"/>
          <w:jc w:val="center"/>
        </w:trPr>
        <w:tc>
          <w:tcPr>
            <w:tcW w:w="0" w:type="auto"/>
            <w:shd w:val="clear" w:color="D9E1F2" w:fill="D9E1F2"/>
            <w:noWrap/>
            <w:vAlign w:val="center"/>
            <w:hideMark/>
          </w:tcPr>
          <w:p w14:paraId="5B8D797C"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1977</w:t>
            </w:r>
          </w:p>
        </w:tc>
        <w:tc>
          <w:tcPr>
            <w:tcW w:w="0" w:type="auto"/>
            <w:shd w:val="clear" w:color="D9E1F2" w:fill="D9E1F2"/>
            <w:noWrap/>
            <w:vAlign w:val="center"/>
            <w:hideMark/>
          </w:tcPr>
          <w:p w14:paraId="5D7A65D5"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0.0000</w:t>
            </w:r>
          </w:p>
        </w:tc>
        <w:tc>
          <w:tcPr>
            <w:tcW w:w="0" w:type="auto"/>
            <w:shd w:val="clear" w:color="D9E1F2" w:fill="D9E1F2"/>
            <w:noWrap/>
            <w:vAlign w:val="center"/>
            <w:hideMark/>
          </w:tcPr>
          <w:p w14:paraId="3BA189C6"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0.0000</w:t>
            </w:r>
          </w:p>
        </w:tc>
        <w:tc>
          <w:tcPr>
            <w:tcW w:w="0" w:type="auto"/>
            <w:shd w:val="clear" w:color="D9E1F2" w:fill="D9E1F2"/>
            <w:noWrap/>
            <w:vAlign w:val="center"/>
            <w:hideMark/>
          </w:tcPr>
          <w:p w14:paraId="3F2F5243"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1573AC4F"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11A60F9E"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2AB1EDBA"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06F9BD6F"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35E4FC07"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2CA574EE"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D9E1F2" w:fill="D9E1F2"/>
            <w:noWrap/>
            <w:vAlign w:val="center"/>
            <w:hideMark/>
          </w:tcPr>
          <w:p w14:paraId="6283A6E0"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6FA5C619"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45ADAE69"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3308B967"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70BD744A"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r w:rsidR="00A15C2C" w14:paraId="17A8CBA3" w14:textId="77777777" w:rsidTr="003C04C4">
        <w:trPr>
          <w:trHeight w:val="300"/>
          <w:jc w:val="center"/>
        </w:trPr>
        <w:tc>
          <w:tcPr>
            <w:tcW w:w="0" w:type="auto"/>
            <w:noWrap/>
            <w:vAlign w:val="center"/>
            <w:hideMark/>
          </w:tcPr>
          <w:p w14:paraId="737C654F" w14:textId="77777777" w:rsidR="00CE2EC1" w:rsidRPr="00B8116B" w:rsidRDefault="000F5B51" w:rsidP="003C04C4">
            <w:pPr>
              <w:spacing w:after="0" w:line="240" w:lineRule="auto"/>
              <w:contextualSpacing/>
              <w:rPr>
                <w:rFonts w:eastAsia="Times New Roman" w:cs="Times New Roman"/>
                <w:szCs w:val="24"/>
              </w:rPr>
            </w:pPr>
            <w:r w:rsidRPr="00B86747">
              <w:rPr>
                <w:rFonts w:cs="Times New Roman"/>
                <w:color w:val="000000"/>
                <w:szCs w:val="24"/>
              </w:rPr>
              <w:t>1976</w:t>
            </w:r>
          </w:p>
        </w:tc>
        <w:tc>
          <w:tcPr>
            <w:tcW w:w="0" w:type="auto"/>
            <w:noWrap/>
            <w:vAlign w:val="center"/>
            <w:hideMark/>
          </w:tcPr>
          <w:p w14:paraId="064777CC"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0.0000</w:t>
            </w:r>
          </w:p>
        </w:tc>
        <w:tc>
          <w:tcPr>
            <w:tcW w:w="0" w:type="auto"/>
            <w:noWrap/>
            <w:vAlign w:val="center"/>
            <w:hideMark/>
          </w:tcPr>
          <w:p w14:paraId="7ECB7664"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0.0000</w:t>
            </w:r>
          </w:p>
        </w:tc>
        <w:tc>
          <w:tcPr>
            <w:tcW w:w="0" w:type="auto"/>
            <w:noWrap/>
            <w:vAlign w:val="center"/>
            <w:hideMark/>
          </w:tcPr>
          <w:p w14:paraId="5E89DDC0"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6A0CFFAA"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1.00</w:t>
            </w:r>
          </w:p>
        </w:tc>
        <w:tc>
          <w:tcPr>
            <w:tcW w:w="0" w:type="auto"/>
            <w:shd w:val="clear" w:color="000000" w:fill="CC99FF"/>
            <w:noWrap/>
            <w:vAlign w:val="center"/>
            <w:hideMark/>
          </w:tcPr>
          <w:p w14:paraId="0FB912B3"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CC99FF"/>
            <w:noWrap/>
            <w:vAlign w:val="center"/>
            <w:hideMark/>
          </w:tcPr>
          <w:p w14:paraId="4A0F0CC2"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3E693D00" w14:textId="77777777" w:rsidR="00CE2EC1" w:rsidRPr="00B8116B"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665610A0" w14:textId="77777777" w:rsidR="00CE2EC1" w:rsidRPr="00DC73D3"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0EC8ABFC" w14:textId="77777777" w:rsidR="00CE2EC1" w:rsidRPr="00DC73D3"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noWrap/>
            <w:vAlign w:val="center"/>
            <w:hideMark/>
          </w:tcPr>
          <w:p w14:paraId="437A9E91" w14:textId="77777777" w:rsidR="00CE2EC1" w:rsidRPr="00DC73D3" w:rsidRDefault="000F5B51" w:rsidP="003C04C4">
            <w:pPr>
              <w:spacing w:after="0" w:line="240" w:lineRule="auto"/>
              <w:contextualSpacing/>
              <w:jc w:val="center"/>
              <w:rPr>
                <w:rFonts w:eastAsia="Times New Roman" w:cs="Times New Roman"/>
                <w:szCs w:val="24"/>
              </w:rPr>
            </w:pPr>
            <w:r w:rsidRPr="00B86747">
              <w:rPr>
                <w:rFonts w:cs="Times New Roman"/>
                <w:color w:val="000000"/>
                <w:szCs w:val="24"/>
              </w:rPr>
              <w:t>0.00</w:t>
            </w:r>
          </w:p>
        </w:tc>
        <w:tc>
          <w:tcPr>
            <w:tcW w:w="0" w:type="auto"/>
            <w:shd w:val="clear" w:color="000000" w:fill="F2F2F2"/>
            <w:noWrap/>
            <w:vAlign w:val="center"/>
            <w:hideMark/>
          </w:tcPr>
          <w:p w14:paraId="5221E71C"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79ABED1E"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53B490D5"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c>
          <w:tcPr>
            <w:tcW w:w="0" w:type="auto"/>
            <w:shd w:val="clear" w:color="000000" w:fill="F2F2F2"/>
            <w:noWrap/>
            <w:vAlign w:val="center"/>
            <w:hideMark/>
          </w:tcPr>
          <w:p w14:paraId="51251BD0" w14:textId="77777777" w:rsidR="00CE2EC1" w:rsidRPr="0049452F" w:rsidRDefault="000F5B51" w:rsidP="003C04C4">
            <w:pPr>
              <w:spacing w:after="0" w:line="240" w:lineRule="auto"/>
              <w:contextualSpacing/>
              <w:jc w:val="center"/>
              <w:rPr>
                <w:rFonts w:eastAsia="Times New Roman" w:cs="Times New Roman"/>
                <w:b/>
                <w:bCs/>
                <w:szCs w:val="24"/>
              </w:rPr>
            </w:pPr>
            <w:r w:rsidRPr="00B86747">
              <w:rPr>
                <w:rFonts w:cs="Times New Roman"/>
                <w:b/>
                <w:color w:val="3F3F3F"/>
                <w:szCs w:val="24"/>
              </w:rPr>
              <w:t>0.00</w:t>
            </w:r>
          </w:p>
        </w:tc>
      </w:tr>
    </w:tbl>
    <w:p w14:paraId="4198F439" w14:textId="77777777" w:rsidR="001B3B19" w:rsidRDefault="001B3B19" w:rsidP="003F10AD">
      <w:pPr>
        <w:pStyle w:val="NoSpaceTimes"/>
      </w:pPr>
    </w:p>
    <w:p w14:paraId="23DDF78A" w14:textId="77777777" w:rsidR="00CE2EC1" w:rsidRDefault="000F5B51" w:rsidP="0028568D">
      <w:r>
        <w:t>The following tables detail the same calculations for the other FMVSS that were accounted for when adjusting the target population.</w:t>
      </w:r>
    </w:p>
    <w:p w14:paraId="156E31E4" w14:textId="77777777" w:rsidR="00B0403D" w:rsidRDefault="00B0403D" w:rsidP="001D6419">
      <w:pPr>
        <w:rPr>
          <w:b/>
        </w:rPr>
        <w:sectPr w:rsidR="00B0403D" w:rsidSect="00D07617">
          <w:pgSz w:w="12240" w:h="15840" w:code="1"/>
          <w:pgMar w:top="1440" w:right="1440" w:bottom="1440" w:left="1440" w:header="720" w:footer="720" w:gutter="0"/>
          <w:cols w:space="720"/>
          <w:docGrid w:linePitch="360"/>
        </w:sectPr>
      </w:pPr>
    </w:p>
    <w:p w14:paraId="3F7CB99E" w14:textId="77777777" w:rsidR="001D6419" w:rsidRPr="00BA13D0" w:rsidRDefault="000F5B51" w:rsidP="001D6419">
      <w:r w:rsidRPr="00E752A0">
        <w:rPr>
          <w:b/>
        </w:rPr>
        <w:lastRenderedPageBreak/>
        <w:t xml:space="preserve">FMVSS </w:t>
      </w:r>
      <w:r>
        <w:rPr>
          <w:b/>
        </w:rPr>
        <w:t xml:space="preserve">No. </w:t>
      </w:r>
      <w:r w:rsidRPr="00E752A0">
        <w:rPr>
          <w:b/>
        </w:rPr>
        <w:t>214</w:t>
      </w:r>
    </w:p>
    <w:p w14:paraId="2EE9A84F" w14:textId="51BC71E1" w:rsidR="001D6419" w:rsidRPr="00B8116B" w:rsidRDefault="000F5B51" w:rsidP="001D6419">
      <w:pPr>
        <w:pStyle w:val="Caption"/>
      </w:pPr>
      <w:bookmarkStart w:id="2012" w:name="_Toc517354428"/>
      <w:bookmarkStart w:id="2013" w:name="_Toc103595402"/>
      <w:r w:rsidRPr="00B8116B">
        <w:t xml:space="preserve">Table </w:t>
      </w:r>
      <w:r w:rsidR="00115BAB">
        <w:fldChar w:fldCharType="begin"/>
      </w:r>
      <w:r>
        <w:instrText xml:space="preserve"> SEQ Table \* ARABIC </w:instrText>
      </w:r>
      <w:r w:rsidR="00115BAB">
        <w:fldChar w:fldCharType="separate"/>
      </w:r>
      <w:r w:rsidR="00A65CB3">
        <w:rPr>
          <w:noProof/>
        </w:rPr>
        <w:t>109</w:t>
      </w:r>
      <w:r w:rsidR="00115BAB">
        <w:rPr>
          <w:noProof/>
        </w:rPr>
        <w:fldChar w:fldCharType="end"/>
      </w:r>
      <w:r w:rsidR="001B3B19">
        <w:t>:</w:t>
      </w:r>
      <w:r>
        <w:t xml:space="preserve"> Calculation</w:t>
      </w:r>
      <w:r w:rsidRPr="003C241F">
        <w:t xml:space="preserve"> for </w:t>
      </w:r>
      <w:r>
        <w:t>FMVSS No. 214</w:t>
      </w:r>
      <w:r w:rsidRPr="003C241F">
        <w:t xml:space="preserve"> adjustment factor, </w:t>
      </w:r>
      <w:r>
        <w:t>PCs</w:t>
      </w:r>
      <w:bookmarkEnd w:id="2012"/>
      <w:bookmarkEnd w:id="2013"/>
    </w:p>
    <w:tbl>
      <w:tblPr>
        <w:tblW w:w="12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0"/>
        <w:gridCol w:w="1191"/>
        <w:gridCol w:w="1004"/>
        <w:gridCol w:w="1083"/>
        <w:gridCol w:w="1164"/>
        <w:gridCol w:w="588"/>
        <w:gridCol w:w="588"/>
        <w:gridCol w:w="588"/>
        <w:gridCol w:w="588"/>
        <w:gridCol w:w="588"/>
        <w:gridCol w:w="588"/>
        <w:gridCol w:w="588"/>
        <w:gridCol w:w="588"/>
        <w:gridCol w:w="720"/>
        <w:gridCol w:w="720"/>
        <w:gridCol w:w="720"/>
        <w:gridCol w:w="720"/>
      </w:tblGrid>
      <w:tr w:rsidR="00A15C2C" w14:paraId="716AAD98" w14:textId="77777777" w:rsidTr="00843B03">
        <w:trPr>
          <w:trHeight w:val="2205"/>
          <w:jc w:val="center"/>
        </w:trPr>
        <w:tc>
          <w:tcPr>
            <w:tcW w:w="700" w:type="dxa"/>
            <w:shd w:val="clear" w:color="4472C4" w:fill="4472C4"/>
            <w:noWrap/>
            <w:vAlign w:val="center"/>
            <w:hideMark/>
          </w:tcPr>
          <w:p w14:paraId="54EAA43B" w14:textId="77777777" w:rsidR="001D6419" w:rsidRPr="00B8116B" w:rsidRDefault="000F5B51" w:rsidP="003F10AD">
            <w:pPr>
              <w:spacing w:after="0" w:line="240" w:lineRule="auto"/>
              <w:contextualSpacing/>
              <w:jc w:val="center"/>
              <w:rPr>
                <w:rFonts w:eastAsia="Times New Roman" w:cs="Times New Roman"/>
                <w:b/>
                <w:bCs/>
                <w:szCs w:val="24"/>
              </w:rPr>
            </w:pPr>
            <w:r w:rsidRPr="00B8116B">
              <w:rPr>
                <w:rFonts w:eastAsia="Times New Roman" w:cs="Times New Roman"/>
                <w:b/>
                <w:bCs/>
                <w:szCs w:val="24"/>
              </w:rPr>
              <w:t>MY</w:t>
            </w:r>
          </w:p>
        </w:tc>
        <w:tc>
          <w:tcPr>
            <w:tcW w:w="1191" w:type="dxa"/>
            <w:shd w:val="clear" w:color="4472C4" w:fill="4472C4"/>
            <w:noWrap/>
            <w:vAlign w:val="center"/>
            <w:hideMark/>
          </w:tcPr>
          <w:p w14:paraId="48AB5ADA" w14:textId="77777777" w:rsidR="001D6419" w:rsidRPr="00B8116B" w:rsidRDefault="000F5B51" w:rsidP="003F10AD">
            <w:pPr>
              <w:spacing w:after="0" w:line="240" w:lineRule="auto"/>
              <w:contextualSpacing/>
              <w:jc w:val="center"/>
              <w:rPr>
                <w:rFonts w:eastAsia="Times New Roman" w:cs="Times New Roman"/>
                <w:b/>
                <w:bCs/>
                <w:szCs w:val="24"/>
              </w:rPr>
            </w:pPr>
            <w:r w:rsidRPr="00B8116B">
              <w:rPr>
                <w:rFonts w:eastAsia="Times New Roman" w:cs="Times New Roman"/>
                <w:b/>
                <w:bCs/>
                <w:szCs w:val="24"/>
              </w:rPr>
              <w:t>Survival Probability</w:t>
            </w:r>
          </w:p>
        </w:tc>
        <w:tc>
          <w:tcPr>
            <w:tcW w:w="1004" w:type="dxa"/>
            <w:shd w:val="clear" w:color="4472C4" w:fill="4472C4"/>
            <w:noWrap/>
            <w:vAlign w:val="center"/>
            <w:hideMark/>
          </w:tcPr>
          <w:p w14:paraId="70C93ADA" w14:textId="77777777" w:rsidR="001D6419" w:rsidRPr="00B8116B" w:rsidRDefault="000F5B51" w:rsidP="003F10AD">
            <w:pPr>
              <w:spacing w:after="0" w:line="240" w:lineRule="auto"/>
              <w:contextualSpacing/>
              <w:jc w:val="center"/>
              <w:rPr>
                <w:rFonts w:eastAsia="Times New Roman" w:cs="Times New Roman"/>
                <w:b/>
                <w:bCs/>
                <w:szCs w:val="24"/>
              </w:rPr>
            </w:pPr>
            <w:r w:rsidRPr="00B8116B">
              <w:rPr>
                <w:rFonts w:eastAsia="Times New Roman" w:cs="Times New Roman"/>
                <w:b/>
                <w:bCs/>
                <w:szCs w:val="24"/>
              </w:rPr>
              <w:t>Exposure VMT</w:t>
            </w:r>
          </w:p>
        </w:tc>
        <w:tc>
          <w:tcPr>
            <w:tcW w:w="1083" w:type="dxa"/>
            <w:shd w:val="clear" w:color="4472C4" w:fill="4472C4"/>
            <w:noWrap/>
            <w:vAlign w:val="center"/>
            <w:hideMark/>
          </w:tcPr>
          <w:p w14:paraId="72E3BF58" w14:textId="77777777" w:rsidR="001D6419" w:rsidRPr="00B8116B" w:rsidRDefault="000F5B51" w:rsidP="003F10AD">
            <w:pPr>
              <w:spacing w:after="0" w:line="240" w:lineRule="auto"/>
              <w:contextualSpacing/>
              <w:jc w:val="center"/>
              <w:rPr>
                <w:rFonts w:eastAsia="Times New Roman" w:cs="Times New Roman"/>
                <w:b/>
                <w:bCs/>
                <w:szCs w:val="24"/>
              </w:rPr>
            </w:pPr>
            <w:r w:rsidRPr="00B8116B">
              <w:rPr>
                <w:rFonts w:eastAsia="Times New Roman" w:cs="Times New Roman"/>
                <w:b/>
                <w:bCs/>
                <w:szCs w:val="24"/>
              </w:rPr>
              <w:t>Aggregate Exposure</w:t>
            </w:r>
          </w:p>
        </w:tc>
        <w:tc>
          <w:tcPr>
            <w:tcW w:w="1164" w:type="dxa"/>
            <w:shd w:val="clear" w:color="4472C4" w:fill="4472C4"/>
            <w:noWrap/>
            <w:vAlign w:val="center"/>
            <w:hideMark/>
          </w:tcPr>
          <w:p w14:paraId="26308071" w14:textId="77777777" w:rsidR="001D6419" w:rsidRPr="00B8116B" w:rsidRDefault="000F5B51" w:rsidP="003F10AD">
            <w:pPr>
              <w:spacing w:after="0" w:line="240" w:lineRule="auto"/>
              <w:contextualSpacing/>
              <w:jc w:val="center"/>
              <w:rPr>
                <w:rFonts w:eastAsia="Times New Roman" w:cs="Times New Roman"/>
                <w:b/>
                <w:bCs/>
                <w:szCs w:val="24"/>
              </w:rPr>
            </w:pPr>
            <w:r w:rsidRPr="00B8116B">
              <w:rPr>
                <w:rFonts w:eastAsia="Times New Roman" w:cs="Times New Roman"/>
                <w:b/>
                <w:bCs/>
                <w:szCs w:val="24"/>
              </w:rPr>
              <w:t>Exposure Proportion</w:t>
            </w:r>
          </w:p>
        </w:tc>
        <w:tc>
          <w:tcPr>
            <w:tcW w:w="588" w:type="dxa"/>
            <w:shd w:val="clear" w:color="4472C4" w:fill="4472C4"/>
            <w:noWrap/>
            <w:textDirection w:val="btLr"/>
            <w:vAlign w:val="center"/>
            <w:hideMark/>
          </w:tcPr>
          <w:p w14:paraId="2DBC3110" w14:textId="77777777" w:rsidR="001D6419" w:rsidRPr="00B8116B" w:rsidRDefault="000F5B51" w:rsidP="003F10AD">
            <w:pPr>
              <w:spacing w:after="0" w:line="240" w:lineRule="auto"/>
              <w:contextualSpacing/>
              <w:jc w:val="center"/>
              <w:rPr>
                <w:rFonts w:eastAsia="Times New Roman" w:cs="Times New Roman"/>
                <w:b/>
                <w:bCs/>
                <w:szCs w:val="24"/>
              </w:rPr>
            </w:pPr>
            <w:r w:rsidRPr="00B8116B">
              <w:rPr>
                <w:rFonts w:eastAsia="Times New Roman" w:cs="Times New Roman"/>
                <w:b/>
                <w:bCs/>
                <w:szCs w:val="24"/>
              </w:rPr>
              <w:t xml:space="preserve">w/ </w:t>
            </w:r>
            <w:r>
              <w:rPr>
                <w:rFonts w:eastAsia="Times New Roman" w:cs="Times New Roman"/>
                <w:b/>
                <w:bCs/>
                <w:szCs w:val="24"/>
              </w:rPr>
              <w:t>214</w:t>
            </w:r>
          </w:p>
        </w:tc>
        <w:tc>
          <w:tcPr>
            <w:tcW w:w="588" w:type="dxa"/>
            <w:shd w:val="clear" w:color="4472C4" w:fill="4472C4"/>
            <w:noWrap/>
            <w:textDirection w:val="btLr"/>
            <w:vAlign w:val="center"/>
            <w:hideMark/>
          </w:tcPr>
          <w:p w14:paraId="27B30DA1" w14:textId="77777777" w:rsidR="001D6419" w:rsidRPr="00B8116B" w:rsidRDefault="000F5B51" w:rsidP="003F10AD">
            <w:pPr>
              <w:spacing w:after="0"/>
              <w:contextualSpacing/>
              <w:jc w:val="center"/>
              <w:rPr>
                <w:rFonts w:eastAsia="Times New Roman" w:cs="Times New Roman"/>
                <w:b/>
                <w:bCs/>
                <w:szCs w:val="24"/>
              </w:rPr>
            </w:pPr>
            <w:r w:rsidRPr="00B8116B">
              <w:rPr>
                <w:rFonts w:eastAsia="Times New Roman" w:cs="Times New Roman"/>
                <w:b/>
                <w:bCs/>
                <w:szCs w:val="24"/>
              </w:rPr>
              <w:t xml:space="preserve">w/o </w:t>
            </w:r>
            <w:r>
              <w:rPr>
                <w:rFonts w:eastAsia="Times New Roman" w:cs="Times New Roman"/>
                <w:b/>
                <w:bCs/>
                <w:szCs w:val="24"/>
              </w:rPr>
              <w:t>214</w:t>
            </w:r>
          </w:p>
        </w:tc>
        <w:tc>
          <w:tcPr>
            <w:tcW w:w="588" w:type="dxa"/>
            <w:shd w:val="clear" w:color="000000" w:fill="CC99FF"/>
            <w:noWrap/>
            <w:textDirection w:val="btLr"/>
            <w:vAlign w:val="center"/>
            <w:hideMark/>
          </w:tcPr>
          <w:p w14:paraId="1B1E92A9" w14:textId="77777777" w:rsidR="001D6419" w:rsidRPr="00B8116B" w:rsidRDefault="000F5B51" w:rsidP="00D07617">
            <w:pPr>
              <w:spacing w:after="0"/>
              <w:contextualSpacing/>
              <w:rPr>
                <w:rFonts w:eastAsia="Times New Roman" w:cs="Times New Roman"/>
                <w:b/>
                <w:bCs/>
                <w:szCs w:val="24"/>
              </w:rPr>
            </w:pPr>
            <w:r w:rsidRPr="00B8116B">
              <w:rPr>
                <w:rFonts w:eastAsia="Times New Roman" w:cs="Times New Roman"/>
                <w:b/>
                <w:bCs/>
                <w:szCs w:val="24"/>
              </w:rPr>
              <w:t>Exposure w/</w:t>
            </w:r>
            <w:r>
              <w:rPr>
                <w:rFonts w:eastAsia="Times New Roman" w:cs="Times New Roman"/>
                <w:b/>
                <w:bCs/>
                <w:szCs w:val="24"/>
              </w:rPr>
              <w:t>214</w:t>
            </w:r>
          </w:p>
        </w:tc>
        <w:tc>
          <w:tcPr>
            <w:tcW w:w="588" w:type="dxa"/>
            <w:shd w:val="clear" w:color="000000" w:fill="CC99FF"/>
            <w:noWrap/>
            <w:textDirection w:val="btLr"/>
            <w:vAlign w:val="center"/>
            <w:hideMark/>
          </w:tcPr>
          <w:p w14:paraId="7EED2792" w14:textId="77777777" w:rsidR="001D6419" w:rsidRPr="00B8116B" w:rsidRDefault="000F5B51" w:rsidP="00D07617">
            <w:pPr>
              <w:spacing w:after="0"/>
              <w:contextualSpacing/>
              <w:rPr>
                <w:rFonts w:eastAsia="Times New Roman" w:cs="Times New Roman"/>
                <w:b/>
                <w:bCs/>
                <w:szCs w:val="24"/>
              </w:rPr>
            </w:pPr>
            <w:r w:rsidRPr="00B8116B">
              <w:rPr>
                <w:rFonts w:eastAsia="Times New Roman" w:cs="Times New Roman"/>
                <w:b/>
                <w:bCs/>
                <w:szCs w:val="24"/>
              </w:rPr>
              <w:t xml:space="preserve">Exposure w/o </w:t>
            </w:r>
            <w:r>
              <w:rPr>
                <w:rFonts w:eastAsia="Times New Roman" w:cs="Times New Roman"/>
                <w:b/>
                <w:bCs/>
                <w:szCs w:val="24"/>
              </w:rPr>
              <w:t>214</w:t>
            </w:r>
          </w:p>
        </w:tc>
        <w:tc>
          <w:tcPr>
            <w:tcW w:w="588" w:type="dxa"/>
            <w:shd w:val="clear" w:color="4472C4" w:fill="4472C4"/>
            <w:noWrap/>
            <w:textDirection w:val="btLr"/>
            <w:vAlign w:val="center"/>
            <w:hideMark/>
          </w:tcPr>
          <w:p w14:paraId="6B14057F" w14:textId="77777777" w:rsidR="001D6419" w:rsidRPr="00B8116B" w:rsidRDefault="000F5B51" w:rsidP="00D07617">
            <w:pPr>
              <w:spacing w:after="0"/>
              <w:contextualSpacing/>
              <w:rPr>
                <w:rFonts w:eastAsia="Times New Roman" w:cs="Times New Roman"/>
                <w:b/>
                <w:bCs/>
                <w:szCs w:val="24"/>
              </w:rPr>
            </w:pPr>
            <w:r w:rsidRPr="00B8116B">
              <w:rPr>
                <w:rFonts w:eastAsia="Times New Roman" w:cs="Times New Roman"/>
                <w:b/>
                <w:bCs/>
                <w:szCs w:val="24"/>
              </w:rPr>
              <w:t>FRONT Adj.</w:t>
            </w:r>
          </w:p>
        </w:tc>
        <w:tc>
          <w:tcPr>
            <w:tcW w:w="588" w:type="dxa"/>
            <w:shd w:val="clear" w:color="4472C4" w:fill="4472C4"/>
            <w:noWrap/>
            <w:textDirection w:val="btLr"/>
            <w:vAlign w:val="center"/>
            <w:hideMark/>
          </w:tcPr>
          <w:p w14:paraId="7A23C3E8" w14:textId="77777777" w:rsidR="001D6419" w:rsidRPr="00B8116B" w:rsidRDefault="000F5B51" w:rsidP="00D07617">
            <w:pPr>
              <w:spacing w:after="0"/>
              <w:contextualSpacing/>
              <w:rPr>
                <w:rFonts w:eastAsia="Times New Roman" w:cs="Times New Roman"/>
                <w:b/>
                <w:bCs/>
                <w:szCs w:val="24"/>
              </w:rPr>
            </w:pPr>
            <w:r w:rsidRPr="00B8116B">
              <w:rPr>
                <w:rFonts w:eastAsia="Times New Roman" w:cs="Times New Roman"/>
                <w:b/>
                <w:bCs/>
                <w:szCs w:val="24"/>
              </w:rPr>
              <w:t>REAR Adj.</w:t>
            </w:r>
          </w:p>
        </w:tc>
        <w:tc>
          <w:tcPr>
            <w:tcW w:w="588" w:type="dxa"/>
            <w:shd w:val="clear" w:color="4472C4" w:fill="4472C4"/>
            <w:noWrap/>
            <w:textDirection w:val="btLr"/>
            <w:vAlign w:val="center"/>
            <w:hideMark/>
          </w:tcPr>
          <w:p w14:paraId="491F9557" w14:textId="77777777" w:rsidR="001D6419" w:rsidRPr="00B8116B" w:rsidRDefault="000F5B51" w:rsidP="00D07617">
            <w:pPr>
              <w:spacing w:after="0"/>
              <w:contextualSpacing/>
              <w:rPr>
                <w:rFonts w:eastAsia="Times New Roman" w:cs="Times New Roman"/>
                <w:b/>
                <w:bCs/>
                <w:szCs w:val="24"/>
              </w:rPr>
            </w:pPr>
            <w:r w:rsidRPr="00B8116B">
              <w:rPr>
                <w:rFonts w:eastAsia="Times New Roman" w:cs="Times New Roman"/>
                <w:b/>
                <w:bCs/>
                <w:szCs w:val="24"/>
              </w:rPr>
              <w:t>SIDE Adj.</w:t>
            </w:r>
          </w:p>
        </w:tc>
        <w:tc>
          <w:tcPr>
            <w:tcW w:w="588" w:type="dxa"/>
            <w:shd w:val="clear" w:color="4472C4" w:fill="4472C4"/>
            <w:noWrap/>
            <w:textDirection w:val="btLr"/>
            <w:vAlign w:val="center"/>
            <w:hideMark/>
          </w:tcPr>
          <w:p w14:paraId="5BB10066" w14:textId="77777777" w:rsidR="001D6419" w:rsidRPr="00B8116B" w:rsidRDefault="000F5B51" w:rsidP="00D07617">
            <w:pPr>
              <w:spacing w:after="0"/>
              <w:contextualSpacing/>
              <w:rPr>
                <w:rFonts w:eastAsia="Times New Roman" w:cs="Times New Roman"/>
                <w:b/>
                <w:bCs/>
                <w:szCs w:val="24"/>
              </w:rPr>
            </w:pPr>
            <w:r w:rsidRPr="00B8116B">
              <w:rPr>
                <w:rFonts w:eastAsia="Times New Roman" w:cs="Times New Roman"/>
                <w:b/>
                <w:bCs/>
                <w:szCs w:val="24"/>
              </w:rPr>
              <w:t>ROLLOVER Adj.</w:t>
            </w:r>
          </w:p>
        </w:tc>
        <w:tc>
          <w:tcPr>
            <w:tcW w:w="720" w:type="dxa"/>
            <w:shd w:val="clear" w:color="000000" w:fill="F2F2F2"/>
            <w:noWrap/>
            <w:textDirection w:val="btLr"/>
            <w:vAlign w:val="center"/>
            <w:hideMark/>
          </w:tcPr>
          <w:p w14:paraId="30692212" w14:textId="77777777" w:rsidR="001D6419" w:rsidRPr="00B8116B" w:rsidRDefault="000F5B51" w:rsidP="00D07617">
            <w:pPr>
              <w:spacing w:after="0"/>
              <w:contextualSpacing/>
              <w:rPr>
                <w:rFonts w:eastAsia="Times New Roman" w:cs="Times New Roman"/>
                <w:b/>
                <w:bCs/>
                <w:szCs w:val="24"/>
              </w:rPr>
            </w:pPr>
            <w:r w:rsidRPr="00B8116B">
              <w:rPr>
                <w:rFonts w:eastAsia="Times New Roman" w:cs="Times New Roman"/>
                <w:b/>
                <w:bCs/>
                <w:szCs w:val="24"/>
              </w:rPr>
              <w:t>FRONT</w:t>
            </w:r>
          </w:p>
        </w:tc>
        <w:tc>
          <w:tcPr>
            <w:tcW w:w="720" w:type="dxa"/>
            <w:shd w:val="clear" w:color="000000" w:fill="F2F2F2"/>
            <w:noWrap/>
            <w:textDirection w:val="btLr"/>
            <w:vAlign w:val="center"/>
            <w:hideMark/>
          </w:tcPr>
          <w:p w14:paraId="4C4CDE49" w14:textId="77777777" w:rsidR="001D6419" w:rsidRPr="00B8116B" w:rsidRDefault="000F5B51" w:rsidP="00D07617">
            <w:pPr>
              <w:spacing w:after="0"/>
              <w:contextualSpacing/>
              <w:rPr>
                <w:rFonts w:eastAsia="Times New Roman" w:cs="Times New Roman"/>
                <w:b/>
                <w:bCs/>
                <w:szCs w:val="24"/>
              </w:rPr>
            </w:pPr>
            <w:r w:rsidRPr="00B8116B">
              <w:rPr>
                <w:rFonts w:eastAsia="Times New Roman" w:cs="Times New Roman"/>
                <w:b/>
                <w:bCs/>
                <w:szCs w:val="24"/>
              </w:rPr>
              <w:t>REAR</w:t>
            </w:r>
          </w:p>
        </w:tc>
        <w:tc>
          <w:tcPr>
            <w:tcW w:w="720" w:type="dxa"/>
            <w:shd w:val="clear" w:color="000000" w:fill="F2F2F2"/>
            <w:noWrap/>
            <w:textDirection w:val="btLr"/>
            <w:vAlign w:val="center"/>
            <w:hideMark/>
          </w:tcPr>
          <w:p w14:paraId="3BF876E1" w14:textId="77777777" w:rsidR="001D6419" w:rsidRPr="00B8116B" w:rsidRDefault="000F5B51" w:rsidP="00D07617">
            <w:pPr>
              <w:spacing w:after="0"/>
              <w:contextualSpacing/>
              <w:rPr>
                <w:rFonts w:eastAsia="Times New Roman" w:cs="Times New Roman"/>
                <w:b/>
                <w:bCs/>
                <w:szCs w:val="24"/>
              </w:rPr>
            </w:pPr>
            <w:r w:rsidRPr="00B8116B">
              <w:rPr>
                <w:rFonts w:eastAsia="Times New Roman" w:cs="Times New Roman"/>
                <w:b/>
                <w:bCs/>
                <w:szCs w:val="24"/>
              </w:rPr>
              <w:t>SIDE</w:t>
            </w:r>
          </w:p>
        </w:tc>
        <w:tc>
          <w:tcPr>
            <w:tcW w:w="720" w:type="dxa"/>
            <w:shd w:val="clear" w:color="000000" w:fill="F2F2F2"/>
            <w:noWrap/>
            <w:textDirection w:val="btLr"/>
            <w:vAlign w:val="center"/>
            <w:hideMark/>
          </w:tcPr>
          <w:p w14:paraId="45F55FD8" w14:textId="77777777" w:rsidR="001D6419" w:rsidRPr="00B8116B" w:rsidRDefault="000F5B51" w:rsidP="00D07617">
            <w:pPr>
              <w:spacing w:after="0"/>
              <w:contextualSpacing/>
              <w:rPr>
                <w:rFonts w:eastAsia="Times New Roman" w:cs="Times New Roman"/>
                <w:b/>
                <w:bCs/>
                <w:szCs w:val="24"/>
              </w:rPr>
            </w:pPr>
            <w:r w:rsidRPr="00B8116B">
              <w:rPr>
                <w:rFonts w:eastAsia="Times New Roman" w:cs="Times New Roman"/>
                <w:b/>
                <w:bCs/>
                <w:szCs w:val="24"/>
              </w:rPr>
              <w:t>ROLLOVER</w:t>
            </w:r>
          </w:p>
        </w:tc>
      </w:tr>
      <w:tr w:rsidR="00A15C2C" w14:paraId="056D0063" w14:textId="77777777" w:rsidTr="003F10AD">
        <w:trPr>
          <w:trHeight w:val="300"/>
          <w:jc w:val="center"/>
        </w:trPr>
        <w:tc>
          <w:tcPr>
            <w:tcW w:w="700" w:type="dxa"/>
            <w:shd w:val="clear" w:color="D9E1F2" w:fill="D9E1F2"/>
            <w:noWrap/>
            <w:hideMark/>
          </w:tcPr>
          <w:p w14:paraId="24928F0A" w14:textId="77777777" w:rsidR="001D6419" w:rsidRPr="00B8116B" w:rsidRDefault="000F5B51" w:rsidP="00D07617">
            <w:pPr>
              <w:spacing w:after="0" w:line="240" w:lineRule="auto"/>
              <w:contextualSpacing/>
              <w:rPr>
                <w:rFonts w:eastAsia="Times New Roman" w:cs="Times New Roman"/>
                <w:szCs w:val="24"/>
              </w:rPr>
            </w:pPr>
            <w:r w:rsidRPr="00CF6482">
              <w:t>2015</w:t>
            </w:r>
          </w:p>
        </w:tc>
        <w:tc>
          <w:tcPr>
            <w:tcW w:w="1191" w:type="dxa"/>
            <w:shd w:val="clear" w:color="D9E1F2" w:fill="D9E1F2"/>
            <w:noWrap/>
            <w:vAlign w:val="center"/>
            <w:hideMark/>
          </w:tcPr>
          <w:p w14:paraId="25863EF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1.0000</w:t>
            </w:r>
          </w:p>
        </w:tc>
        <w:tc>
          <w:tcPr>
            <w:tcW w:w="1004" w:type="dxa"/>
            <w:shd w:val="clear" w:color="D9E1F2" w:fill="D9E1F2"/>
            <w:noWrap/>
            <w:vAlign w:val="center"/>
            <w:hideMark/>
          </w:tcPr>
          <w:p w14:paraId="2A2B26E9"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15,861</w:t>
            </w:r>
          </w:p>
        </w:tc>
        <w:tc>
          <w:tcPr>
            <w:tcW w:w="1083" w:type="dxa"/>
            <w:shd w:val="clear" w:color="D9E1F2" w:fill="D9E1F2"/>
            <w:noWrap/>
            <w:vAlign w:val="center"/>
            <w:hideMark/>
          </w:tcPr>
          <w:p w14:paraId="5480788F"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15,861</w:t>
            </w:r>
          </w:p>
        </w:tc>
        <w:tc>
          <w:tcPr>
            <w:tcW w:w="1164" w:type="dxa"/>
            <w:shd w:val="clear" w:color="D9E1F2" w:fill="D9E1F2"/>
            <w:noWrap/>
            <w:vAlign w:val="center"/>
            <w:hideMark/>
          </w:tcPr>
          <w:p w14:paraId="5F9DDD7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0.1116</w:t>
            </w:r>
          </w:p>
        </w:tc>
        <w:tc>
          <w:tcPr>
            <w:tcW w:w="588" w:type="dxa"/>
            <w:shd w:val="clear" w:color="D9E1F2" w:fill="D9E1F2"/>
            <w:noWrap/>
            <w:vAlign w:val="center"/>
            <w:hideMark/>
          </w:tcPr>
          <w:p w14:paraId="4645FE10"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D9E1F2" w:fill="D9E1F2"/>
            <w:noWrap/>
            <w:vAlign w:val="center"/>
            <w:hideMark/>
          </w:tcPr>
          <w:p w14:paraId="063091DE"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88" w:type="dxa"/>
            <w:shd w:val="clear" w:color="000000" w:fill="CC99FF"/>
            <w:noWrap/>
            <w:vAlign w:val="center"/>
            <w:hideMark/>
          </w:tcPr>
          <w:p w14:paraId="1058B443"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0.06</w:t>
            </w:r>
          </w:p>
        </w:tc>
        <w:tc>
          <w:tcPr>
            <w:tcW w:w="588" w:type="dxa"/>
            <w:shd w:val="clear" w:color="000000" w:fill="CC99FF"/>
            <w:noWrap/>
            <w:vAlign w:val="center"/>
            <w:hideMark/>
          </w:tcPr>
          <w:p w14:paraId="3608342D"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D9E1F2" w:fill="D9E1F2"/>
            <w:noWrap/>
            <w:vAlign w:val="center"/>
            <w:hideMark/>
          </w:tcPr>
          <w:p w14:paraId="73C660E9"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shd w:val="clear" w:color="D9E1F2" w:fill="D9E1F2"/>
            <w:noWrap/>
            <w:vAlign w:val="center"/>
            <w:hideMark/>
          </w:tcPr>
          <w:p w14:paraId="1C80BE30"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shd w:val="clear" w:color="D9E1F2" w:fill="D9E1F2"/>
            <w:noWrap/>
            <w:vAlign w:val="center"/>
            <w:hideMark/>
          </w:tcPr>
          <w:p w14:paraId="120CEE83"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shd w:val="clear" w:color="D9E1F2" w:fill="D9E1F2"/>
            <w:noWrap/>
            <w:vAlign w:val="center"/>
            <w:hideMark/>
          </w:tcPr>
          <w:p w14:paraId="1526DE7A"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720" w:type="dxa"/>
            <w:shd w:val="clear" w:color="000000" w:fill="F2F2F2"/>
            <w:noWrap/>
            <w:vAlign w:val="center"/>
            <w:hideMark/>
          </w:tcPr>
          <w:p w14:paraId="0F319B5B"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720" w:type="dxa"/>
            <w:shd w:val="clear" w:color="000000" w:fill="F2F2F2"/>
            <w:noWrap/>
            <w:vAlign w:val="center"/>
            <w:hideMark/>
          </w:tcPr>
          <w:p w14:paraId="7D21ABE6"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720" w:type="dxa"/>
            <w:shd w:val="clear" w:color="000000" w:fill="F2F2F2"/>
            <w:noWrap/>
            <w:vAlign w:val="center"/>
            <w:hideMark/>
          </w:tcPr>
          <w:p w14:paraId="0FCC9F74"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720" w:type="dxa"/>
            <w:shd w:val="clear" w:color="000000" w:fill="F2F2F2"/>
            <w:noWrap/>
            <w:vAlign w:val="center"/>
            <w:hideMark/>
          </w:tcPr>
          <w:p w14:paraId="380DD339"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r>
      <w:tr w:rsidR="00A15C2C" w14:paraId="4D9E353F" w14:textId="77777777" w:rsidTr="003F10AD">
        <w:trPr>
          <w:trHeight w:val="300"/>
          <w:jc w:val="center"/>
        </w:trPr>
        <w:tc>
          <w:tcPr>
            <w:tcW w:w="700" w:type="dxa"/>
            <w:noWrap/>
            <w:hideMark/>
          </w:tcPr>
          <w:p w14:paraId="41B47ECD" w14:textId="77777777" w:rsidR="001D6419" w:rsidRPr="00B8116B" w:rsidRDefault="000F5B51" w:rsidP="00D07617">
            <w:pPr>
              <w:spacing w:after="0" w:line="240" w:lineRule="auto"/>
              <w:contextualSpacing/>
              <w:rPr>
                <w:rFonts w:eastAsia="Times New Roman" w:cs="Times New Roman"/>
                <w:szCs w:val="24"/>
              </w:rPr>
            </w:pPr>
            <w:r w:rsidRPr="00CF6482">
              <w:t>2014</w:t>
            </w:r>
          </w:p>
        </w:tc>
        <w:tc>
          <w:tcPr>
            <w:tcW w:w="1191" w:type="dxa"/>
            <w:noWrap/>
            <w:vAlign w:val="center"/>
            <w:hideMark/>
          </w:tcPr>
          <w:p w14:paraId="4471581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0.9878</w:t>
            </w:r>
          </w:p>
        </w:tc>
        <w:tc>
          <w:tcPr>
            <w:tcW w:w="1004" w:type="dxa"/>
            <w:noWrap/>
            <w:vAlign w:val="center"/>
            <w:hideMark/>
          </w:tcPr>
          <w:p w14:paraId="4B4D271F"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13,684</w:t>
            </w:r>
          </w:p>
        </w:tc>
        <w:tc>
          <w:tcPr>
            <w:tcW w:w="1083" w:type="dxa"/>
            <w:noWrap/>
            <w:vAlign w:val="center"/>
            <w:hideMark/>
          </w:tcPr>
          <w:p w14:paraId="69E2B603"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13,518</w:t>
            </w:r>
          </w:p>
        </w:tc>
        <w:tc>
          <w:tcPr>
            <w:tcW w:w="1164" w:type="dxa"/>
            <w:noWrap/>
            <w:vAlign w:val="center"/>
            <w:hideMark/>
          </w:tcPr>
          <w:p w14:paraId="396D848E"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0.0951</w:t>
            </w:r>
          </w:p>
        </w:tc>
        <w:tc>
          <w:tcPr>
            <w:tcW w:w="588" w:type="dxa"/>
            <w:noWrap/>
            <w:vAlign w:val="center"/>
            <w:hideMark/>
          </w:tcPr>
          <w:p w14:paraId="398311E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88" w:type="dxa"/>
            <w:noWrap/>
            <w:vAlign w:val="center"/>
            <w:hideMark/>
          </w:tcPr>
          <w:p w14:paraId="7452AE58"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88" w:type="dxa"/>
            <w:shd w:val="clear" w:color="000000" w:fill="CC99FF"/>
            <w:noWrap/>
            <w:vAlign w:val="center"/>
            <w:hideMark/>
          </w:tcPr>
          <w:p w14:paraId="22F76799"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0.06</w:t>
            </w:r>
          </w:p>
        </w:tc>
        <w:tc>
          <w:tcPr>
            <w:tcW w:w="588" w:type="dxa"/>
            <w:shd w:val="clear" w:color="000000" w:fill="CC99FF"/>
            <w:noWrap/>
            <w:vAlign w:val="center"/>
            <w:hideMark/>
          </w:tcPr>
          <w:p w14:paraId="084E155A"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noWrap/>
            <w:vAlign w:val="center"/>
            <w:hideMark/>
          </w:tcPr>
          <w:p w14:paraId="3695DD16"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noWrap/>
            <w:vAlign w:val="center"/>
            <w:hideMark/>
          </w:tcPr>
          <w:p w14:paraId="2E4F621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noWrap/>
            <w:vAlign w:val="center"/>
            <w:hideMark/>
          </w:tcPr>
          <w:p w14:paraId="36730909"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noWrap/>
            <w:vAlign w:val="center"/>
            <w:hideMark/>
          </w:tcPr>
          <w:p w14:paraId="762E81B2"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720" w:type="dxa"/>
            <w:shd w:val="clear" w:color="000000" w:fill="F2F2F2"/>
            <w:noWrap/>
            <w:vAlign w:val="center"/>
            <w:hideMark/>
          </w:tcPr>
          <w:p w14:paraId="71328B4A"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720" w:type="dxa"/>
            <w:shd w:val="clear" w:color="000000" w:fill="F2F2F2"/>
            <w:noWrap/>
            <w:vAlign w:val="center"/>
            <w:hideMark/>
          </w:tcPr>
          <w:p w14:paraId="3B167903"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720" w:type="dxa"/>
            <w:shd w:val="clear" w:color="000000" w:fill="F2F2F2"/>
            <w:noWrap/>
            <w:vAlign w:val="center"/>
            <w:hideMark/>
          </w:tcPr>
          <w:p w14:paraId="682D4DEA"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720" w:type="dxa"/>
            <w:shd w:val="clear" w:color="000000" w:fill="F2F2F2"/>
            <w:noWrap/>
            <w:vAlign w:val="center"/>
            <w:hideMark/>
          </w:tcPr>
          <w:p w14:paraId="2D130471"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r>
      <w:tr w:rsidR="00A15C2C" w14:paraId="4FA61F38" w14:textId="77777777" w:rsidTr="003F10AD">
        <w:trPr>
          <w:trHeight w:val="300"/>
          <w:jc w:val="center"/>
        </w:trPr>
        <w:tc>
          <w:tcPr>
            <w:tcW w:w="700" w:type="dxa"/>
            <w:shd w:val="clear" w:color="D9E1F2" w:fill="D9E1F2"/>
            <w:noWrap/>
            <w:hideMark/>
          </w:tcPr>
          <w:p w14:paraId="496D95B1" w14:textId="77777777" w:rsidR="001D6419" w:rsidRPr="00B8116B" w:rsidRDefault="000F5B51" w:rsidP="00D07617">
            <w:pPr>
              <w:spacing w:after="0" w:line="240" w:lineRule="auto"/>
              <w:contextualSpacing/>
              <w:rPr>
                <w:rFonts w:eastAsia="Times New Roman" w:cs="Times New Roman"/>
                <w:szCs w:val="24"/>
              </w:rPr>
            </w:pPr>
            <w:r w:rsidRPr="00CF6482">
              <w:t>2013</w:t>
            </w:r>
          </w:p>
        </w:tc>
        <w:tc>
          <w:tcPr>
            <w:tcW w:w="1191" w:type="dxa"/>
            <w:shd w:val="clear" w:color="D9E1F2" w:fill="D9E1F2"/>
            <w:noWrap/>
            <w:vAlign w:val="center"/>
            <w:hideMark/>
          </w:tcPr>
          <w:p w14:paraId="0C147F0C"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0.9766</w:t>
            </w:r>
          </w:p>
        </w:tc>
        <w:tc>
          <w:tcPr>
            <w:tcW w:w="1004" w:type="dxa"/>
            <w:shd w:val="clear" w:color="D9E1F2" w:fill="D9E1F2"/>
            <w:noWrap/>
            <w:vAlign w:val="center"/>
            <w:hideMark/>
          </w:tcPr>
          <w:p w14:paraId="095A9760"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13,479</w:t>
            </w:r>
          </w:p>
        </w:tc>
        <w:tc>
          <w:tcPr>
            <w:tcW w:w="1083" w:type="dxa"/>
            <w:shd w:val="clear" w:color="D9E1F2" w:fill="D9E1F2"/>
            <w:noWrap/>
            <w:vAlign w:val="center"/>
            <w:hideMark/>
          </w:tcPr>
          <w:p w14:paraId="736DF133"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13,163</w:t>
            </w:r>
          </w:p>
        </w:tc>
        <w:tc>
          <w:tcPr>
            <w:tcW w:w="1164" w:type="dxa"/>
            <w:shd w:val="clear" w:color="D9E1F2" w:fill="D9E1F2"/>
            <w:noWrap/>
            <w:vAlign w:val="center"/>
            <w:hideMark/>
          </w:tcPr>
          <w:p w14:paraId="5BCB1BA0"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0.0926</w:t>
            </w:r>
          </w:p>
        </w:tc>
        <w:tc>
          <w:tcPr>
            <w:tcW w:w="588" w:type="dxa"/>
            <w:shd w:val="clear" w:color="D9E1F2" w:fill="D9E1F2"/>
            <w:noWrap/>
            <w:vAlign w:val="center"/>
            <w:hideMark/>
          </w:tcPr>
          <w:p w14:paraId="19EFAAC2"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D9E1F2" w:fill="D9E1F2"/>
            <w:noWrap/>
            <w:vAlign w:val="center"/>
            <w:hideMark/>
          </w:tcPr>
          <w:p w14:paraId="1A76A1F4"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88" w:type="dxa"/>
            <w:shd w:val="clear" w:color="000000" w:fill="CC99FF"/>
            <w:noWrap/>
            <w:vAlign w:val="center"/>
            <w:hideMark/>
          </w:tcPr>
          <w:p w14:paraId="542FE06F"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0.06</w:t>
            </w:r>
          </w:p>
        </w:tc>
        <w:tc>
          <w:tcPr>
            <w:tcW w:w="588" w:type="dxa"/>
            <w:shd w:val="clear" w:color="000000" w:fill="CC99FF"/>
            <w:noWrap/>
            <w:vAlign w:val="center"/>
            <w:hideMark/>
          </w:tcPr>
          <w:p w14:paraId="4BC1F783"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D9E1F2" w:fill="D9E1F2"/>
            <w:noWrap/>
            <w:vAlign w:val="center"/>
            <w:hideMark/>
          </w:tcPr>
          <w:p w14:paraId="6B4139B9"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shd w:val="clear" w:color="D9E1F2" w:fill="D9E1F2"/>
            <w:noWrap/>
            <w:vAlign w:val="center"/>
            <w:hideMark/>
          </w:tcPr>
          <w:p w14:paraId="405065F1"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shd w:val="clear" w:color="D9E1F2" w:fill="D9E1F2"/>
            <w:noWrap/>
            <w:vAlign w:val="center"/>
            <w:hideMark/>
          </w:tcPr>
          <w:p w14:paraId="6763B294"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shd w:val="clear" w:color="D9E1F2" w:fill="D9E1F2"/>
            <w:noWrap/>
            <w:vAlign w:val="center"/>
            <w:hideMark/>
          </w:tcPr>
          <w:p w14:paraId="76C6C469"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720" w:type="dxa"/>
            <w:shd w:val="clear" w:color="000000" w:fill="F2F2F2"/>
            <w:noWrap/>
            <w:vAlign w:val="center"/>
            <w:hideMark/>
          </w:tcPr>
          <w:p w14:paraId="4269D885"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720" w:type="dxa"/>
            <w:shd w:val="clear" w:color="000000" w:fill="F2F2F2"/>
            <w:noWrap/>
            <w:vAlign w:val="center"/>
            <w:hideMark/>
          </w:tcPr>
          <w:p w14:paraId="71A44134"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720" w:type="dxa"/>
            <w:shd w:val="clear" w:color="000000" w:fill="F2F2F2"/>
            <w:noWrap/>
            <w:vAlign w:val="center"/>
            <w:hideMark/>
          </w:tcPr>
          <w:p w14:paraId="45664E64"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720" w:type="dxa"/>
            <w:shd w:val="clear" w:color="000000" w:fill="F2F2F2"/>
            <w:noWrap/>
            <w:vAlign w:val="center"/>
            <w:hideMark/>
          </w:tcPr>
          <w:p w14:paraId="00DA3EC1"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r>
      <w:tr w:rsidR="00A15C2C" w14:paraId="7405DFC2" w14:textId="77777777" w:rsidTr="003F10AD">
        <w:trPr>
          <w:trHeight w:val="300"/>
          <w:jc w:val="center"/>
        </w:trPr>
        <w:tc>
          <w:tcPr>
            <w:tcW w:w="700" w:type="dxa"/>
            <w:noWrap/>
            <w:hideMark/>
          </w:tcPr>
          <w:p w14:paraId="33088E86" w14:textId="77777777" w:rsidR="001D6419" w:rsidRPr="00B8116B" w:rsidRDefault="000F5B51" w:rsidP="00D07617">
            <w:pPr>
              <w:spacing w:after="0" w:line="240" w:lineRule="auto"/>
              <w:contextualSpacing/>
              <w:rPr>
                <w:rFonts w:eastAsia="Times New Roman" w:cs="Times New Roman"/>
                <w:szCs w:val="24"/>
              </w:rPr>
            </w:pPr>
            <w:r w:rsidRPr="00CF6482">
              <w:t>2012</w:t>
            </w:r>
          </w:p>
        </w:tc>
        <w:tc>
          <w:tcPr>
            <w:tcW w:w="1191" w:type="dxa"/>
            <w:noWrap/>
            <w:vAlign w:val="center"/>
            <w:hideMark/>
          </w:tcPr>
          <w:p w14:paraId="6A506E30"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0.9614</w:t>
            </w:r>
          </w:p>
        </w:tc>
        <w:tc>
          <w:tcPr>
            <w:tcW w:w="1004" w:type="dxa"/>
            <w:noWrap/>
            <w:vAlign w:val="center"/>
            <w:hideMark/>
          </w:tcPr>
          <w:p w14:paraId="2AA01A8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13,218</w:t>
            </w:r>
          </w:p>
        </w:tc>
        <w:tc>
          <w:tcPr>
            <w:tcW w:w="1083" w:type="dxa"/>
            <w:noWrap/>
            <w:vAlign w:val="center"/>
            <w:hideMark/>
          </w:tcPr>
          <w:p w14:paraId="5B2686E1"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12,708</w:t>
            </w:r>
          </w:p>
        </w:tc>
        <w:tc>
          <w:tcPr>
            <w:tcW w:w="1164" w:type="dxa"/>
            <w:noWrap/>
            <w:vAlign w:val="center"/>
            <w:hideMark/>
          </w:tcPr>
          <w:p w14:paraId="70115DC5"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0.0894</w:t>
            </w:r>
          </w:p>
        </w:tc>
        <w:tc>
          <w:tcPr>
            <w:tcW w:w="588" w:type="dxa"/>
            <w:shd w:val="clear" w:color="000000" w:fill="C6EFCE"/>
            <w:noWrap/>
            <w:vAlign w:val="center"/>
            <w:hideMark/>
          </w:tcPr>
          <w:p w14:paraId="65474E51"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88" w:type="dxa"/>
            <w:noWrap/>
            <w:vAlign w:val="center"/>
            <w:hideMark/>
          </w:tcPr>
          <w:p w14:paraId="7B946E1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88" w:type="dxa"/>
            <w:shd w:val="clear" w:color="000000" w:fill="CC99FF"/>
            <w:noWrap/>
            <w:vAlign w:val="center"/>
            <w:hideMark/>
          </w:tcPr>
          <w:p w14:paraId="08503B14"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0.06</w:t>
            </w:r>
          </w:p>
        </w:tc>
        <w:tc>
          <w:tcPr>
            <w:tcW w:w="588" w:type="dxa"/>
            <w:shd w:val="clear" w:color="000000" w:fill="CC99FF"/>
            <w:noWrap/>
            <w:vAlign w:val="center"/>
            <w:hideMark/>
          </w:tcPr>
          <w:p w14:paraId="08F73620"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noWrap/>
            <w:vAlign w:val="center"/>
            <w:hideMark/>
          </w:tcPr>
          <w:p w14:paraId="0EE42486"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noWrap/>
            <w:vAlign w:val="center"/>
            <w:hideMark/>
          </w:tcPr>
          <w:p w14:paraId="6159D350"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noWrap/>
            <w:vAlign w:val="center"/>
            <w:hideMark/>
          </w:tcPr>
          <w:p w14:paraId="4E0C8B77"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noWrap/>
            <w:vAlign w:val="center"/>
            <w:hideMark/>
          </w:tcPr>
          <w:p w14:paraId="524F212E"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720" w:type="dxa"/>
            <w:shd w:val="clear" w:color="000000" w:fill="F2F2F2"/>
            <w:noWrap/>
            <w:vAlign w:val="center"/>
            <w:hideMark/>
          </w:tcPr>
          <w:p w14:paraId="40B8D075"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720" w:type="dxa"/>
            <w:shd w:val="clear" w:color="000000" w:fill="F2F2F2"/>
            <w:noWrap/>
            <w:vAlign w:val="center"/>
            <w:hideMark/>
          </w:tcPr>
          <w:p w14:paraId="0D21DDD1"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720" w:type="dxa"/>
            <w:shd w:val="clear" w:color="000000" w:fill="F2F2F2"/>
            <w:noWrap/>
            <w:vAlign w:val="center"/>
            <w:hideMark/>
          </w:tcPr>
          <w:p w14:paraId="67474F13"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720" w:type="dxa"/>
            <w:shd w:val="clear" w:color="000000" w:fill="F2F2F2"/>
            <w:noWrap/>
            <w:vAlign w:val="center"/>
            <w:hideMark/>
          </w:tcPr>
          <w:p w14:paraId="35B175ED"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r>
      <w:tr w:rsidR="00A15C2C" w14:paraId="147D0482" w14:textId="77777777" w:rsidTr="003F10AD">
        <w:trPr>
          <w:trHeight w:val="300"/>
          <w:jc w:val="center"/>
        </w:trPr>
        <w:tc>
          <w:tcPr>
            <w:tcW w:w="700" w:type="dxa"/>
            <w:shd w:val="clear" w:color="D9E1F2" w:fill="D9E1F2"/>
            <w:noWrap/>
            <w:hideMark/>
          </w:tcPr>
          <w:p w14:paraId="20660D70" w14:textId="77777777" w:rsidR="001D6419" w:rsidRPr="00B8116B" w:rsidRDefault="000F5B51" w:rsidP="00D07617">
            <w:pPr>
              <w:spacing w:after="0" w:line="240" w:lineRule="auto"/>
              <w:contextualSpacing/>
              <w:rPr>
                <w:rFonts w:eastAsia="Times New Roman" w:cs="Times New Roman"/>
                <w:szCs w:val="24"/>
              </w:rPr>
            </w:pPr>
            <w:r w:rsidRPr="00CF6482">
              <w:t>2011</w:t>
            </w:r>
          </w:p>
        </w:tc>
        <w:tc>
          <w:tcPr>
            <w:tcW w:w="1191" w:type="dxa"/>
            <w:shd w:val="clear" w:color="D9E1F2" w:fill="D9E1F2"/>
            <w:noWrap/>
            <w:vAlign w:val="center"/>
            <w:hideMark/>
          </w:tcPr>
          <w:p w14:paraId="061E5430"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0.9450</w:t>
            </w:r>
          </w:p>
        </w:tc>
        <w:tc>
          <w:tcPr>
            <w:tcW w:w="1004" w:type="dxa"/>
            <w:shd w:val="clear" w:color="D9E1F2" w:fill="D9E1F2"/>
            <w:noWrap/>
            <w:vAlign w:val="center"/>
            <w:hideMark/>
          </w:tcPr>
          <w:p w14:paraId="54906863"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12,977</w:t>
            </w:r>
          </w:p>
        </w:tc>
        <w:tc>
          <w:tcPr>
            <w:tcW w:w="1083" w:type="dxa"/>
            <w:shd w:val="clear" w:color="D9E1F2" w:fill="D9E1F2"/>
            <w:noWrap/>
            <w:vAlign w:val="center"/>
            <w:hideMark/>
          </w:tcPr>
          <w:p w14:paraId="43018B9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12,264</w:t>
            </w:r>
          </w:p>
        </w:tc>
        <w:tc>
          <w:tcPr>
            <w:tcW w:w="1164" w:type="dxa"/>
            <w:shd w:val="clear" w:color="D9E1F2" w:fill="D9E1F2"/>
            <w:noWrap/>
            <w:vAlign w:val="center"/>
            <w:hideMark/>
          </w:tcPr>
          <w:p w14:paraId="2D54C95E"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0.0863</w:t>
            </w:r>
          </w:p>
        </w:tc>
        <w:tc>
          <w:tcPr>
            <w:tcW w:w="588" w:type="dxa"/>
            <w:shd w:val="clear" w:color="000000" w:fill="FFCC99"/>
            <w:noWrap/>
            <w:vAlign w:val="center"/>
            <w:hideMark/>
          </w:tcPr>
          <w:p w14:paraId="28BDE6C1"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0.75</w:t>
            </w:r>
          </w:p>
        </w:tc>
        <w:tc>
          <w:tcPr>
            <w:tcW w:w="588" w:type="dxa"/>
            <w:shd w:val="clear" w:color="D9E1F2" w:fill="D9E1F2"/>
            <w:noWrap/>
            <w:vAlign w:val="center"/>
            <w:hideMark/>
          </w:tcPr>
          <w:p w14:paraId="184A3828"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0.25</w:t>
            </w:r>
          </w:p>
        </w:tc>
        <w:tc>
          <w:tcPr>
            <w:tcW w:w="588" w:type="dxa"/>
            <w:shd w:val="clear" w:color="000000" w:fill="CC99FF"/>
            <w:noWrap/>
            <w:vAlign w:val="center"/>
            <w:hideMark/>
          </w:tcPr>
          <w:p w14:paraId="7259194A"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0.05</w:t>
            </w:r>
          </w:p>
        </w:tc>
        <w:tc>
          <w:tcPr>
            <w:tcW w:w="588" w:type="dxa"/>
            <w:shd w:val="clear" w:color="000000" w:fill="CC99FF"/>
            <w:noWrap/>
            <w:vAlign w:val="center"/>
            <w:hideMark/>
          </w:tcPr>
          <w:p w14:paraId="5F2C2604"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0.02</w:t>
            </w:r>
          </w:p>
        </w:tc>
        <w:tc>
          <w:tcPr>
            <w:tcW w:w="588" w:type="dxa"/>
            <w:shd w:val="clear" w:color="D9E1F2" w:fill="D9E1F2"/>
            <w:noWrap/>
            <w:vAlign w:val="center"/>
            <w:hideMark/>
          </w:tcPr>
          <w:p w14:paraId="3BBB444A"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0.02</w:t>
            </w:r>
          </w:p>
        </w:tc>
        <w:tc>
          <w:tcPr>
            <w:tcW w:w="588" w:type="dxa"/>
            <w:shd w:val="clear" w:color="D9E1F2" w:fill="D9E1F2"/>
            <w:noWrap/>
            <w:vAlign w:val="center"/>
            <w:hideMark/>
          </w:tcPr>
          <w:p w14:paraId="1A37A6BF"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0.02</w:t>
            </w:r>
          </w:p>
        </w:tc>
        <w:tc>
          <w:tcPr>
            <w:tcW w:w="588" w:type="dxa"/>
            <w:shd w:val="clear" w:color="D9E1F2" w:fill="D9E1F2"/>
            <w:noWrap/>
            <w:vAlign w:val="center"/>
            <w:hideMark/>
          </w:tcPr>
          <w:p w14:paraId="6404BB63"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88" w:type="dxa"/>
            <w:shd w:val="clear" w:color="D9E1F2" w:fill="D9E1F2"/>
            <w:noWrap/>
            <w:vAlign w:val="center"/>
            <w:hideMark/>
          </w:tcPr>
          <w:p w14:paraId="2495A22D"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0.02</w:t>
            </w:r>
          </w:p>
        </w:tc>
        <w:tc>
          <w:tcPr>
            <w:tcW w:w="720" w:type="dxa"/>
            <w:shd w:val="clear" w:color="000000" w:fill="F2F2F2"/>
            <w:noWrap/>
            <w:vAlign w:val="center"/>
            <w:hideMark/>
          </w:tcPr>
          <w:p w14:paraId="1B7B70B1"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720" w:type="dxa"/>
            <w:shd w:val="clear" w:color="000000" w:fill="F2F2F2"/>
            <w:noWrap/>
            <w:vAlign w:val="center"/>
            <w:hideMark/>
          </w:tcPr>
          <w:p w14:paraId="699EEFB2"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720" w:type="dxa"/>
            <w:shd w:val="clear" w:color="000000" w:fill="F2F2F2"/>
            <w:noWrap/>
            <w:vAlign w:val="center"/>
            <w:hideMark/>
          </w:tcPr>
          <w:p w14:paraId="115E5EC0"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720" w:type="dxa"/>
            <w:shd w:val="clear" w:color="000000" w:fill="F2F2F2"/>
            <w:noWrap/>
            <w:vAlign w:val="center"/>
            <w:hideMark/>
          </w:tcPr>
          <w:p w14:paraId="6C65B27B"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r>
      <w:tr w:rsidR="00A15C2C" w14:paraId="28EA8403" w14:textId="77777777" w:rsidTr="003F10AD">
        <w:trPr>
          <w:trHeight w:val="300"/>
          <w:jc w:val="center"/>
        </w:trPr>
        <w:tc>
          <w:tcPr>
            <w:tcW w:w="700" w:type="dxa"/>
            <w:noWrap/>
            <w:hideMark/>
          </w:tcPr>
          <w:p w14:paraId="1B22B164" w14:textId="77777777" w:rsidR="001D6419" w:rsidRPr="00B8116B" w:rsidRDefault="000F5B51" w:rsidP="00D07617">
            <w:pPr>
              <w:spacing w:after="0" w:line="240" w:lineRule="auto"/>
              <w:contextualSpacing/>
              <w:rPr>
                <w:rFonts w:eastAsia="Times New Roman" w:cs="Times New Roman"/>
                <w:szCs w:val="24"/>
              </w:rPr>
            </w:pPr>
            <w:r w:rsidRPr="00CF6482">
              <w:t>2010</w:t>
            </w:r>
          </w:p>
        </w:tc>
        <w:tc>
          <w:tcPr>
            <w:tcW w:w="1191" w:type="dxa"/>
            <w:noWrap/>
            <w:vAlign w:val="center"/>
            <w:hideMark/>
          </w:tcPr>
          <w:p w14:paraId="1CFC0BB8"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0.9298</w:t>
            </w:r>
          </w:p>
        </w:tc>
        <w:tc>
          <w:tcPr>
            <w:tcW w:w="1004" w:type="dxa"/>
            <w:noWrap/>
            <w:vAlign w:val="center"/>
            <w:hideMark/>
          </w:tcPr>
          <w:p w14:paraId="0C5A42C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12,521</w:t>
            </w:r>
          </w:p>
        </w:tc>
        <w:tc>
          <w:tcPr>
            <w:tcW w:w="1083" w:type="dxa"/>
            <w:noWrap/>
            <w:vAlign w:val="center"/>
            <w:hideMark/>
          </w:tcPr>
          <w:p w14:paraId="7DC070DB"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11,643</w:t>
            </w:r>
          </w:p>
        </w:tc>
        <w:tc>
          <w:tcPr>
            <w:tcW w:w="1164" w:type="dxa"/>
            <w:noWrap/>
            <w:vAlign w:val="center"/>
            <w:hideMark/>
          </w:tcPr>
          <w:p w14:paraId="5AB673F9"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0.0819</w:t>
            </w:r>
          </w:p>
        </w:tc>
        <w:tc>
          <w:tcPr>
            <w:tcW w:w="588" w:type="dxa"/>
            <w:shd w:val="clear" w:color="000000" w:fill="FFCC99"/>
            <w:noWrap/>
            <w:vAlign w:val="center"/>
            <w:hideMark/>
          </w:tcPr>
          <w:p w14:paraId="248BFF62"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0.50</w:t>
            </w:r>
          </w:p>
        </w:tc>
        <w:tc>
          <w:tcPr>
            <w:tcW w:w="588" w:type="dxa"/>
            <w:noWrap/>
            <w:vAlign w:val="center"/>
            <w:hideMark/>
          </w:tcPr>
          <w:p w14:paraId="29D129F8"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0.50</w:t>
            </w:r>
          </w:p>
        </w:tc>
        <w:tc>
          <w:tcPr>
            <w:tcW w:w="588" w:type="dxa"/>
            <w:shd w:val="clear" w:color="000000" w:fill="CC99FF"/>
            <w:noWrap/>
            <w:vAlign w:val="center"/>
            <w:hideMark/>
          </w:tcPr>
          <w:p w14:paraId="5843E0FD"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0.03</w:t>
            </w:r>
          </w:p>
        </w:tc>
        <w:tc>
          <w:tcPr>
            <w:tcW w:w="588" w:type="dxa"/>
            <w:shd w:val="clear" w:color="000000" w:fill="CC99FF"/>
            <w:noWrap/>
            <w:vAlign w:val="center"/>
            <w:hideMark/>
          </w:tcPr>
          <w:p w14:paraId="3F1B3834"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0.03</w:t>
            </w:r>
          </w:p>
        </w:tc>
        <w:tc>
          <w:tcPr>
            <w:tcW w:w="588" w:type="dxa"/>
            <w:noWrap/>
            <w:vAlign w:val="center"/>
            <w:hideMark/>
          </w:tcPr>
          <w:p w14:paraId="12480B1E"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0.03</w:t>
            </w:r>
          </w:p>
        </w:tc>
        <w:tc>
          <w:tcPr>
            <w:tcW w:w="588" w:type="dxa"/>
            <w:noWrap/>
            <w:vAlign w:val="center"/>
            <w:hideMark/>
          </w:tcPr>
          <w:p w14:paraId="70DF4AC6"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0.03</w:t>
            </w:r>
          </w:p>
        </w:tc>
        <w:tc>
          <w:tcPr>
            <w:tcW w:w="588" w:type="dxa"/>
            <w:noWrap/>
            <w:vAlign w:val="center"/>
            <w:hideMark/>
          </w:tcPr>
          <w:p w14:paraId="414475B5"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0.02</w:t>
            </w:r>
          </w:p>
        </w:tc>
        <w:tc>
          <w:tcPr>
            <w:tcW w:w="588" w:type="dxa"/>
            <w:noWrap/>
            <w:vAlign w:val="center"/>
            <w:hideMark/>
          </w:tcPr>
          <w:p w14:paraId="7A646A41"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0.03</w:t>
            </w:r>
          </w:p>
        </w:tc>
        <w:tc>
          <w:tcPr>
            <w:tcW w:w="720" w:type="dxa"/>
            <w:shd w:val="clear" w:color="000000" w:fill="F2F2F2"/>
            <w:noWrap/>
            <w:vAlign w:val="center"/>
            <w:hideMark/>
          </w:tcPr>
          <w:p w14:paraId="794D4715"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720" w:type="dxa"/>
            <w:shd w:val="clear" w:color="000000" w:fill="F2F2F2"/>
            <w:noWrap/>
            <w:vAlign w:val="center"/>
            <w:hideMark/>
          </w:tcPr>
          <w:p w14:paraId="24ACDA0E"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720" w:type="dxa"/>
            <w:shd w:val="clear" w:color="000000" w:fill="F2F2F2"/>
            <w:noWrap/>
            <w:vAlign w:val="center"/>
            <w:hideMark/>
          </w:tcPr>
          <w:p w14:paraId="16361472"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0.05</w:t>
            </w:r>
          </w:p>
        </w:tc>
        <w:tc>
          <w:tcPr>
            <w:tcW w:w="720" w:type="dxa"/>
            <w:shd w:val="clear" w:color="000000" w:fill="F2F2F2"/>
            <w:noWrap/>
            <w:vAlign w:val="center"/>
            <w:hideMark/>
          </w:tcPr>
          <w:p w14:paraId="33BB0639"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r>
      <w:tr w:rsidR="00A15C2C" w14:paraId="03CEED62" w14:textId="77777777" w:rsidTr="003F10AD">
        <w:trPr>
          <w:trHeight w:val="300"/>
          <w:jc w:val="center"/>
        </w:trPr>
        <w:tc>
          <w:tcPr>
            <w:tcW w:w="700" w:type="dxa"/>
            <w:shd w:val="clear" w:color="D9E1F2" w:fill="D9E1F2"/>
            <w:noWrap/>
            <w:hideMark/>
          </w:tcPr>
          <w:p w14:paraId="47D72F9F" w14:textId="77777777" w:rsidR="001D6419" w:rsidRPr="00B8116B" w:rsidRDefault="000F5B51" w:rsidP="00D07617">
            <w:pPr>
              <w:spacing w:after="0" w:line="240" w:lineRule="auto"/>
              <w:contextualSpacing/>
              <w:rPr>
                <w:rFonts w:eastAsia="Times New Roman" w:cs="Times New Roman"/>
                <w:szCs w:val="24"/>
              </w:rPr>
            </w:pPr>
            <w:r w:rsidRPr="00CF6482">
              <w:t>2009</w:t>
            </w:r>
          </w:p>
        </w:tc>
        <w:tc>
          <w:tcPr>
            <w:tcW w:w="1191" w:type="dxa"/>
            <w:shd w:val="clear" w:color="D9E1F2" w:fill="D9E1F2"/>
            <w:noWrap/>
            <w:vAlign w:val="center"/>
            <w:hideMark/>
          </w:tcPr>
          <w:p w14:paraId="254ABA02"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0.9113</w:t>
            </w:r>
          </w:p>
        </w:tc>
        <w:tc>
          <w:tcPr>
            <w:tcW w:w="1004" w:type="dxa"/>
            <w:shd w:val="clear" w:color="D9E1F2" w:fill="D9E1F2"/>
            <w:noWrap/>
            <w:vAlign w:val="center"/>
            <w:hideMark/>
          </w:tcPr>
          <w:p w14:paraId="3ECEB100"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11,465</w:t>
            </w:r>
          </w:p>
        </w:tc>
        <w:tc>
          <w:tcPr>
            <w:tcW w:w="1083" w:type="dxa"/>
            <w:shd w:val="clear" w:color="D9E1F2" w:fill="D9E1F2"/>
            <w:noWrap/>
            <w:vAlign w:val="center"/>
            <w:hideMark/>
          </w:tcPr>
          <w:p w14:paraId="1A69116A"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10,448</w:t>
            </w:r>
          </w:p>
        </w:tc>
        <w:tc>
          <w:tcPr>
            <w:tcW w:w="1164" w:type="dxa"/>
            <w:shd w:val="clear" w:color="D9E1F2" w:fill="D9E1F2"/>
            <w:noWrap/>
            <w:vAlign w:val="center"/>
            <w:hideMark/>
          </w:tcPr>
          <w:p w14:paraId="4BCDBCC4"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0.0735</w:t>
            </w:r>
          </w:p>
        </w:tc>
        <w:tc>
          <w:tcPr>
            <w:tcW w:w="588" w:type="dxa"/>
            <w:shd w:val="clear" w:color="000000" w:fill="FFCC99"/>
            <w:noWrap/>
            <w:vAlign w:val="center"/>
            <w:hideMark/>
          </w:tcPr>
          <w:p w14:paraId="2ECF79F4"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0.20</w:t>
            </w:r>
          </w:p>
        </w:tc>
        <w:tc>
          <w:tcPr>
            <w:tcW w:w="588" w:type="dxa"/>
            <w:shd w:val="clear" w:color="D9E1F2" w:fill="D9E1F2"/>
            <w:noWrap/>
            <w:vAlign w:val="center"/>
            <w:hideMark/>
          </w:tcPr>
          <w:p w14:paraId="68865BCE"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0.80</w:t>
            </w:r>
          </w:p>
        </w:tc>
        <w:tc>
          <w:tcPr>
            <w:tcW w:w="588" w:type="dxa"/>
            <w:shd w:val="clear" w:color="000000" w:fill="CC99FF"/>
            <w:noWrap/>
            <w:vAlign w:val="center"/>
            <w:hideMark/>
          </w:tcPr>
          <w:p w14:paraId="057CE9B2"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0.01</w:t>
            </w:r>
          </w:p>
        </w:tc>
        <w:tc>
          <w:tcPr>
            <w:tcW w:w="588" w:type="dxa"/>
            <w:shd w:val="clear" w:color="000000" w:fill="CC99FF"/>
            <w:noWrap/>
            <w:vAlign w:val="center"/>
            <w:hideMark/>
          </w:tcPr>
          <w:p w14:paraId="241E0ECF"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0.05</w:t>
            </w:r>
          </w:p>
        </w:tc>
        <w:tc>
          <w:tcPr>
            <w:tcW w:w="588" w:type="dxa"/>
            <w:shd w:val="clear" w:color="D9E1F2" w:fill="D9E1F2"/>
            <w:noWrap/>
            <w:vAlign w:val="center"/>
            <w:hideMark/>
          </w:tcPr>
          <w:p w14:paraId="302AD711"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0.05</w:t>
            </w:r>
          </w:p>
        </w:tc>
        <w:tc>
          <w:tcPr>
            <w:tcW w:w="588" w:type="dxa"/>
            <w:shd w:val="clear" w:color="D9E1F2" w:fill="D9E1F2"/>
            <w:noWrap/>
            <w:vAlign w:val="center"/>
            <w:hideMark/>
          </w:tcPr>
          <w:p w14:paraId="7689860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0.05</w:t>
            </w:r>
          </w:p>
        </w:tc>
        <w:tc>
          <w:tcPr>
            <w:tcW w:w="588" w:type="dxa"/>
            <w:shd w:val="clear" w:color="D9E1F2" w:fill="D9E1F2"/>
            <w:noWrap/>
            <w:vAlign w:val="center"/>
            <w:hideMark/>
          </w:tcPr>
          <w:p w14:paraId="14E7DF77"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0.03</w:t>
            </w:r>
          </w:p>
        </w:tc>
        <w:tc>
          <w:tcPr>
            <w:tcW w:w="588" w:type="dxa"/>
            <w:shd w:val="clear" w:color="D9E1F2" w:fill="D9E1F2"/>
            <w:noWrap/>
            <w:vAlign w:val="center"/>
            <w:hideMark/>
          </w:tcPr>
          <w:p w14:paraId="1E7483C4"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0.05</w:t>
            </w:r>
          </w:p>
        </w:tc>
        <w:tc>
          <w:tcPr>
            <w:tcW w:w="720" w:type="dxa"/>
            <w:shd w:val="clear" w:color="000000" w:fill="F2F2F2"/>
            <w:noWrap/>
            <w:vAlign w:val="center"/>
            <w:hideMark/>
          </w:tcPr>
          <w:p w14:paraId="76EFBE22"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720" w:type="dxa"/>
            <w:shd w:val="clear" w:color="000000" w:fill="F2F2F2"/>
            <w:noWrap/>
            <w:vAlign w:val="center"/>
            <w:hideMark/>
          </w:tcPr>
          <w:p w14:paraId="665E0693"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720" w:type="dxa"/>
            <w:shd w:val="clear" w:color="000000" w:fill="F2F2F2"/>
            <w:noWrap/>
            <w:vAlign w:val="center"/>
            <w:hideMark/>
          </w:tcPr>
          <w:p w14:paraId="402F28B8"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0.05</w:t>
            </w:r>
          </w:p>
        </w:tc>
        <w:tc>
          <w:tcPr>
            <w:tcW w:w="720" w:type="dxa"/>
            <w:shd w:val="clear" w:color="000000" w:fill="F2F2F2"/>
            <w:noWrap/>
            <w:vAlign w:val="center"/>
            <w:hideMark/>
          </w:tcPr>
          <w:p w14:paraId="6C39E339"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r>
      <w:tr w:rsidR="00A15C2C" w14:paraId="77846AB3" w14:textId="77777777" w:rsidTr="003F10AD">
        <w:trPr>
          <w:trHeight w:val="300"/>
          <w:jc w:val="center"/>
        </w:trPr>
        <w:tc>
          <w:tcPr>
            <w:tcW w:w="700" w:type="dxa"/>
            <w:noWrap/>
            <w:hideMark/>
          </w:tcPr>
          <w:p w14:paraId="34757CD4" w14:textId="77777777" w:rsidR="001D6419" w:rsidRPr="00B8116B" w:rsidRDefault="000F5B51" w:rsidP="00D07617">
            <w:pPr>
              <w:spacing w:after="0" w:line="240" w:lineRule="auto"/>
              <w:contextualSpacing/>
              <w:rPr>
                <w:rFonts w:eastAsia="Times New Roman" w:cs="Times New Roman"/>
                <w:szCs w:val="24"/>
              </w:rPr>
            </w:pPr>
            <w:r w:rsidRPr="00CF6482">
              <w:t>2008</w:t>
            </w:r>
          </w:p>
        </w:tc>
        <w:tc>
          <w:tcPr>
            <w:tcW w:w="1191" w:type="dxa"/>
            <w:noWrap/>
            <w:vAlign w:val="center"/>
            <w:hideMark/>
          </w:tcPr>
          <w:p w14:paraId="1A429BA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0.8912</w:t>
            </w:r>
          </w:p>
        </w:tc>
        <w:tc>
          <w:tcPr>
            <w:tcW w:w="1004" w:type="dxa"/>
            <w:noWrap/>
            <w:vAlign w:val="center"/>
            <w:hideMark/>
          </w:tcPr>
          <w:p w14:paraId="0859DF7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10,203</w:t>
            </w:r>
          </w:p>
        </w:tc>
        <w:tc>
          <w:tcPr>
            <w:tcW w:w="1083" w:type="dxa"/>
            <w:noWrap/>
            <w:vAlign w:val="center"/>
            <w:hideMark/>
          </w:tcPr>
          <w:p w14:paraId="7ADF6A04"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9,092</w:t>
            </w:r>
          </w:p>
        </w:tc>
        <w:tc>
          <w:tcPr>
            <w:tcW w:w="1164" w:type="dxa"/>
            <w:noWrap/>
            <w:vAlign w:val="center"/>
            <w:hideMark/>
          </w:tcPr>
          <w:p w14:paraId="67F310B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0.0640</w:t>
            </w:r>
          </w:p>
        </w:tc>
        <w:tc>
          <w:tcPr>
            <w:tcW w:w="588" w:type="dxa"/>
            <w:shd w:val="clear" w:color="auto" w:fill="EDEDED" w:themeFill="accent3" w:themeFillTint="33"/>
            <w:noWrap/>
            <w:vAlign w:val="center"/>
            <w:hideMark/>
          </w:tcPr>
          <w:p w14:paraId="72D520A8" w14:textId="77777777" w:rsidR="001D6419" w:rsidRPr="005E3D4C" w:rsidRDefault="000F5B51" w:rsidP="003F10AD">
            <w:pPr>
              <w:spacing w:after="0" w:line="240" w:lineRule="auto"/>
              <w:contextualSpacing/>
              <w:jc w:val="center"/>
              <w:rPr>
                <w:rFonts w:cs="Times New Roman"/>
              </w:rPr>
            </w:pPr>
            <w:r w:rsidRPr="005E3D4C">
              <w:rPr>
                <w:rFonts w:cs="Times New Roman"/>
              </w:rPr>
              <w:t>0.00</w:t>
            </w:r>
          </w:p>
        </w:tc>
        <w:tc>
          <w:tcPr>
            <w:tcW w:w="588" w:type="dxa"/>
            <w:noWrap/>
            <w:vAlign w:val="center"/>
            <w:hideMark/>
          </w:tcPr>
          <w:p w14:paraId="7552C79C"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03C0B22C"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000000" w:fill="CC99FF"/>
            <w:noWrap/>
            <w:vAlign w:val="center"/>
            <w:hideMark/>
          </w:tcPr>
          <w:p w14:paraId="127FF743"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0.06</w:t>
            </w:r>
          </w:p>
        </w:tc>
        <w:tc>
          <w:tcPr>
            <w:tcW w:w="588" w:type="dxa"/>
            <w:noWrap/>
            <w:vAlign w:val="center"/>
            <w:hideMark/>
          </w:tcPr>
          <w:p w14:paraId="523D7E6F"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0.06</w:t>
            </w:r>
          </w:p>
        </w:tc>
        <w:tc>
          <w:tcPr>
            <w:tcW w:w="588" w:type="dxa"/>
            <w:noWrap/>
            <w:vAlign w:val="center"/>
            <w:hideMark/>
          </w:tcPr>
          <w:p w14:paraId="1C2851E7"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0.06</w:t>
            </w:r>
          </w:p>
        </w:tc>
        <w:tc>
          <w:tcPr>
            <w:tcW w:w="588" w:type="dxa"/>
            <w:noWrap/>
            <w:vAlign w:val="center"/>
            <w:hideMark/>
          </w:tcPr>
          <w:p w14:paraId="51DABBC5"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0.04</w:t>
            </w:r>
          </w:p>
        </w:tc>
        <w:tc>
          <w:tcPr>
            <w:tcW w:w="588" w:type="dxa"/>
            <w:noWrap/>
            <w:vAlign w:val="center"/>
            <w:hideMark/>
          </w:tcPr>
          <w:p w14:paraId="4F625EE4"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0.06</w:t>
            </w:r>
          </w:p>
        </w:tc>
        <w:tc>
          <w:tcPr>
            <w:tcW w:w="720" w:type="dxa"/>
            <w:shd w:val="clear" w:color="000000" w:fill="F2F2F2"/>
            <w:noWrap/>
            <w:vAlign w:val="center"/>
            <w:hideMark/>
          </w:tcPr>
          <w:p w14:paraId="0BDF2101"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720" w:type="dxa"/>
            <w:shd w:val="clear" w:color="000000" w:fill="F2F2F2"/>
            <w:noWrap/>
            <w:vAlign w:val="center"/>
            <w:hideMark/>
          </w:tcPr>
          <w:p w14:paraId="0A01E47B"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720" w:type="dxa"/>
            <w:shd w:val="clear" w:color="000000" w:fill="F2F2F2"/>
            <w:noWrap/>
            <w:vAlign w:val="center"/>
            <w:hideMark/>
          </w:tcPr>
          <w:p w14:paraId="05A6F03E"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0.04</w:t>
            </w:r>
          </w:p>
        </w:tc>
        <w:tc>
          <w:tcPr>
            <w:tcW w:w="720" w:type="dxa"/>
            <w:shd w:val="clear" w:color="000000" w:fill="F2F2F2"/>
            <w:noWrap/>
            <w:vAlign w:val="center"/>
            <w:hideMark/>
          </w:tcPr>
          <w:p w14:paraId="705B3EC8"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r>
      <w:tr w:rsidR="00A15C2C" w14:paraId="40454F51" w14:textId="77777777" w:rsidTr="003F10AD">
        <w:trPr>
          <w:trHeight w:val="300"/>
          <w:jc w:val="center"/>
        </w:trPr>
        <w:tc>
          <w:tcPr>
            <w:tcW w:w="700" w:type="dxa"/>
            <w:shd w:val="clear" w:color="D9E1F2" w:fill="D9E1F2"/>
            <w:noWrap/>
            <w:hideMark/>
          </w:tcPr>
          <w:p w14:paraId="2DFE5289" w14:textId="77777777" w:rsidR="001D6419" w:rsidRPr="00B8116B" w:rsidRDefault="000F5B51" w:rsidP="00D07617">
            <w:pPr>
              <w:spacing w:after="0" w:line="240" w:lineRule="auto"/>
              <w:contextualSpacing/>
              <w:rPr>
                <w:rFonts w:eastAsia="Times New Roman" w:cs="Times New Roman"/>
                <w:szCs w:val="24"/>
              </w:rPr>
            </w:pPr>
            <w:r w:rsidRPr="00CF6482">
              <w:t>2007</w:t>
            </w:r>
          </w:p>
        </w:tc>
        <w:tc>
          <w:tcPr>
            <w:tcW w:w="1191" w:type="dxa"/>
            <w:shd w:val="clear" w:color="D9E1F2" w:fill="D9E1F2"/>
            <w:noWrap/>
            <w:vAlign w:val="center"/>
            <w:hideMark/>
          </w:tcPr>
          <w:p w14:paraId="10B10ED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0.8689</w:t>
            </w:r>
          </w:p>
        </w:tc>
        <w:tc>
          <w:tcPr>
            <w:tcW w:w="1004" w:type="dxa"/>
            <w:shd w:val="clear" w:color="D9E1F2" w:fill="D9E1F2"/>
            <w:noWrap/>
            <w:vAlign w:val="center"/>
            <w:hideMark/>
          </w:tcPr>
          <w:p w14:paraId="73930301"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8,842</w:t>
            </w:r>
          </w:p>
        </w:tc>
        <w:tc>
          <w:tcPr>
            <w:tcW w:w="1083" w:type="dxa"/>
            <w:shd w:val="clear" w:color="D9E1F2" w:fill="D9E1F2"/>
            <w:noWrap/>
            <w:vAlign w:val="center"/>
            <w:hideMark/>
          </w:tcPr>
          <w:p w14:paraId="69E7205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7,683</w:t>
            </w:r>
          </w:p>
        </w:tc>
        <w:tc>
          <w:tcPr>
            <w:tcW w:w="1164" w:type="dxa"/>
            <w:shd w:val="clear" w:color="D9E1F2" w:fill="D9E1F2"/>
            <w:noWrap/>
            <w:vAlign w:val="center"/>
            <w:hideMark/>
          </w:tcPr>
          <w:p w14:paraId="62D0A7DC"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0.0541</w:t>
            </w:r>
          </w:p>
        </w:tc>
        <w:tc>
          <w:tcPr>
            <w:tcW w:w="588" w:type="dxa"/>
            <w:shd w:val="clear" w:color="auto" w:fill="D5DCE4" w:themeFill="text2" w:themeFillTint="33"/>
            <w:noWrap/>
            <w:vAlign w:val="center"/>
            <w:hideMark/>
          </w:tcPr>
          <w:p w14:paraId="79C47F3B" w14:textId="77777777" w:rsidR="001D6419" w:rsidRPr="005E3D4C" w:rsidRDefault="000F5B51" w:rsidP="003F10AD">
            <w:pPr>
              <w:spacing w:after="0" w:line="240" w:lineRule="auto"/>
              <w:contextualSpacing/>
              <w:jc w:val="center"/>
              <w:rPr>
                <w:rFonts w:cs="Times New Roman"/>
              </w:rPr>
            </w:pPr>
            <w:r w:rsidRPr="005E3D4C">
              <w:rPr>
                <w:rFonts w:cs="Times New Roman"/>
              </w:rPr>
              <w:t>0.00</w:t>
            </w:r>
          </w:p>
        </w:tc>
        <w:tc>
          <w:tcPr>
            <w:tcW w:w="588" w:type="dxa"/>
            <w:shd w:val="clear" w:color="D9E1F2" w:fill="D9E1F2"/>
            <w:noWrap/>
            <w:vAlign w:val="center"/>
            <w:hideMark/>
          </w:tcPr>
          <w:p w14:paraId="0251F23F"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1CC71F73"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000000" w:fill="CC99FF"/>
            <w:noWrap/>
            <w:vAlign w:val="center"/>
            <w:hideMark/>
          </w:tcPr>
          <w:p w14:paraId="1E0E39FA"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0.06</w:t>
            </w:r>
          </w:p>
        </w:tc>
        <w:tc>
          <w:tcPr>
            <w:tcW w:w="588" w:type="dxa"/>
            <w:shd w:val="clear" w:color="D9E1F2" w:fill="D9E1F2"/>
            <w:noWrap/>
            <w:vAlign w:val="center"/>
            <w:hideMark/>
          </w:tcPr>
          <w:p w14:paraId="22D2E2F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0.06</w:t>
            </w:r>
          </w:p>
        </w:tc>
        <w:tc>
          <w:tcPr>
            <w:tcW w:w="588" w:type="dxa"/>
            <w:shd w:val="clear" w:color="D9E1F2" w:fill="D9E1F2"/>
            <w:noWrap/>
            <w:vAlign w:val="center"/>
            <w:hideMark/>
          </w:tcPr>
          <w:p w14:paraId="0F5A11F3"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0.06</w:t>
            </w:r>
          </w:p>
        </w:tc>
        <w:tc>
          <w:tcPr>
            <w:tcW w:w="588" w:type="dxa"/>
            <w:shd w:val="clear" w:color="D9E1F2" w:fill="D9E1F2"/>
            <w:noWrap/>
            <w:vAlign w:val="center"/>
            <w:hideMark/>
          </w:tcPr>
          <w:p w14:paraId="0D6F4031"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0.04</w:t>
            </w:r>
          </w:p>
        </w:tc>
        <w:tc>
          <w:tcPr>
            <w:tcW w:w="588" w:type="dxa"/>
            <w:shd w:val="clear" w:color="D9E1F2" w:fill="D9E1F2"/>
            <w:noWrap/>
            <w:vAlign w:val="center"/>
            <w:hideMark/>
          </w:tcPr>
          <w:p w14:paraId="7FFE5204"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0.06</w:t>
            </w:r>
          </w:p>
        </w:tc>
        <w:tc>
          <w:tcPr>
            <w:tcW w:w="720" w:type="dxa"/>
            <w:shd w:val="clear" w:color="000000" w:fill="F2F2F2"/>
            <w:noWrap/>
            <w:vAlign w:val="center"/>
            <w:hideMark/>
          </w:tcPr>
          <w:p w14:paraId="5A9D68D3"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720" w:type="dxa"/>
            <w:shd w:val="clear" w:color="000000" w:fill="F2F2F2"/>
            <w:noWrap/>
            <w:vAlign w:val="center"/>
            <w:hideMark/>
          </w:tcPr>
          <w:p w14:paraId="63CB4CC7"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720" w:type="dxa"/>
            <w:shd w:val="clear" w:color="000000" w:fill="F2F2F2"/>
            <w:noWrap/>
            <w:vAlign w:val="center"/>
            <w:hideMark/>
          </w:tcPr>
          <w:p w14:paraId="094D5E3D"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0.04</w:t>
            </w:r>
          </w:p>
        </w:tc>
        <w:tc>
          <w:tcPr>
            <w:tcW w:w="720" w:type="dxa"/>
            <w:shd w:val="clear" w:color="000000" w:fill="F2F2F2"/>
            <w:noWrap/>
            <w:vAlign w:val="center"/>
            <w:hideMark/>
          </w:tcPr>
          <w:p w14:paraId="78250BDF"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r>
      <w:tr w:rsidR="00A15C2C" w14:paraId="0F2294CB" w14:textId="77777777" w:rsidTr="003F10AD">
        <w:trPr>
          <w:trHeight w:val="300"/>
          <w:jc w:val="center"/>
        </w:trPr>
        <w:tc>
          <w:tcPr>
            <w:tcW w:w="700" w:type="dxa"/>
            <w:noWrap/>
            <w:hideMark/>
          </w:tcPr>
          <w:p w14:paraId="3E00A015" w14:textId="77777777" w:rsidR="001D6419" w:rsidRPr="00B8116B" w:rsidRDefault="000F5B51" w:rsidP="00D07617">
            <w:pPr>
              <w:spacing w:after="0" w:line="240" w:lineRule="auto"/>
              <w:contextualSpacing/>
              <w:rPr>
                <w:rFonts w:eastAsia="Times New Roman" w:cs="Times New Roman"/>
                <w:szCs w:val="24"/>
              </w:rPr>
            </w:pPr>
            <w:r w:rsidRPr="00CF6482">
              <w:t>2006</w:t>
            </w:r>
          </w:p>
        </w:tc>
        <w:tc>
          <w:tcPr>
            <w:tcW w:w="1191" w:type="dxa"/>
            <w:noWrap/>
            <w:vAlign w:val="center"/>
            <w:hideMark/>
          </w:tcPr>
          <w:p w14:paraId="390A0E4F"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0.8397</w:t>
            </w:r>
          </w:p>
        </w:tc>
        <w:tc>
          <w:tcPr>
            <w:tcW w:w="1004" w:type="dxa"/>
            <w:noWrap/>
            <w:vAlign w:val="center"/>
            <w:hideMark/>
          </w:tcPr>
          <w:p w14:paraId="51D3CDE1"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7,493</w:t>
            </w:r>
          </w:p>
        </w:tc>
        <w:tc>
          <w:tcPr>
            <w:tcW w:w="1083" w:type="dxa"/>
            <w:noWrap/>
            <w:vAlign w:val="center"/>
            <w:hideMark/>
          </w:tcPr>
          <w:p w14:paraId="458E2121"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6,292</w:t>
            </w:r>
          </w:p>
        </w:tc>
        <w:tc>
          <w:tcPr>
            <w:tcW w:w="1164" w:type="dxa"/>
            <w:noWrap/>
            <w:vAlign w:val="center"/>
            <w:hideMark/>
          </w:tcPr>
          <w:p w14:paraId="7899DA82"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0.0443</w:t>
            </w:r>
          </w:p>
        </w:tc>
        <w:tc>
          <w:tcPr>
            <w:tcW w:w="588" w:type="dxa"/>
            <w:shd w:val="clear" w:color="auto" w:fill="auto"/>
            <w:noWrap/>
            <w:vAlign w:val="center"/>
            <w:hideMark/>
          </w:tcPr>
          <w:p w14:paraId="4160A02B" w14:textId="77777777" w:rsidR="001D6419" w:rsidRPr="005E3D4C" w:rsidRDefault="000F5B51" w:rsidP="003F10AD">
            <w:pPr>
              <w:spacing w:after="0" w:line="240" w:lineRule="auto"/>
              <w:contextualSpacing/>
              <w:jc w:val="center"/>
              <w:rPr>
                <w:rFonts w:cs="Times New Roman"/>
              </w:rPr>
            </w:pPr>
            <w:r w:rsidRPr="005E3D4C">
              <w:rPr>
                <w:rFonts w:cs="Times New Roman"/>
              </w:rPr>
              <w:t>0.00</w:t>
            </w:r>
          </w:p>
        </w:tc>
        <w:tc>
          <w:tcPr>
            <w:tcW w:w="588" w:type="dxa"/>
            <w:noWrap/>
            <w:vAlign w:val="center"/>
            <w:hideMark/>
          </w:tcPr>
          <w:p w14:paraId="32ED5DA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572F7755"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000000" w:fill="CC99FF"/>
            <w:noWrap/>
            <w:vAlign w:val="center"/>
            <w:hideMark/>
          </w:tcPr>
          <w:p w14:paraId="5301EEA4"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0.05</w:t>
            </w:r>
          </w:p>
        </w:tc>
        <w:tc>
          <w:tcPr>
            <w:tcW w:w="588" w:type="dxa"/>
            <w:noWrap/>
            <w:vAlign w:val="center"/>
            <w:hideMark/>
          </w:tcPr>
          <w:p w14:paraId="0C2CDF99"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0.05</w:t>
            </w:r>
          </w:p>
        </w:tc>
        <w:tc>
          <w:tcPr>
            <w:tcW w:w="588" w:type="dxa"/>
            <w:noWrap/>
            <w:vAlign w:val="center"/>
            <w:hideMark/>
          </w:tcPr>
          <w:p w14:paraId="308AB824"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0.05</w:t>
            </w:r>
          </w:p>
        </w:tc>
        <w:tc>
          <w:tcPr>
            <w:tcW w:w="588" w:type="dxa"/>
            <w:noWrap/>
            <w:vAlign w:val="center"/>
            <w:hideMark/>
          </w:tcPr>
          <w:p w14:paraId="54C70276"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0.04</w:t>
            </w:r>
          </w:p>
        </w:tc>
        <w:tc>
          <w:tcPr>
            <w:tcW w:w="588" w:type="dxa"/>
            <w:noWrap/>
            <w:vAlign w:val="center"/>
            <w:hideMark/>
          </w:tcPr>
          <w:p w14:paraId="71B64A59"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0.05</w:t>
            </w:r>
          </w:p>
        </w:tc>
        <w:tc>
          <w:tcPr>
            <w:tcW w:w="720" w:type="dxa"/>
            <w:shd w:val="clear" w:color="000000" w:fill="F2F2F2"/>
            <w:noWrap/>
            <w:vAlign w:val="center"/>
            <w:hideMark/>
          </w:tcPr>
          <w:p w14:paraId="794F1E3B"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0.05</w:t>
            </w:r>
          </w:p>
        </w:tc>
        <w:tc>
          <w:tcPr>
            <w:tcW w:w="720" w:type="dxa"/>
            <w:shd w:val="clear" w:color="000000" w:fill="F2F2F2"/>
            <w:noWrap/>
            <w:vAlign w:val="center"/>
            <w:hideMark/>
          </w:tcPr>
          <w:p w14:paraId="6B47BED5"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0.05</w:t>
            </w:r>
          </w:p>
        </w:tc>
        <w:tc>
          <w:tcPr>
            <w:tcW w:w="720" w:type="dxa"/>
            <w:shd w:val="clear" w:color="000000" w:fill="F2F2F2"/>
            <w:noWrap/>
            <w:vAlign w:val="center"/>
            <w:hideMark/>
          </w:tcPr>
          <w:p w14:paraId="3A70E5E5"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0.04</w:t>
            </w:r>
          </w:p>
        </w:tc>
        <w:tc>
          <w:tcPr>
            <w:tcW w:w="720" w:type="dxa"/>
            <w:shd w:val="clear" w:color="000000" w:fill="F2F2F2"/>
            <w:noWrap/>
            <w:vAlign w:val="center"/>
            <w:hideMark/>
          </w:tcPr>
          <w:p w14:paraId="1830470E"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0.05</w:t>
            </w:r>
          </w:p>
        </w:tc>
      </w:tr>
      <w:tr w:rsidR="00A15C2C" w14:paraId="71DF005C" w14:textId="77777777" w:rsidTr="003F10AD">
        <w:trPr>
          <w:trHeight w:val="300"/>
          <w:jc w:val="center"/>
        </w:trPr>
        <w:tc>
          <w:tcPr>
            <w:tcW w:w="700" w:type="dxa"/>
            <w:shd w:val="clear" w:color="D9E1F2" w:fill="D9E1F2"/>
            <w:noWrap/>
            <w:hideMark/>
          </w:tcPr>
          <w:p w14:paraId="3CB2E5C5" w14:textId="77777777" w:rsidR="001D6419" w:rsidRPr="00B8116B" w:rsidRDefault="000F5B51" w:rsidP="00D07617">
            <w:pPr>
              <w:spacing w:after="0" w:line="240" w:lineRule="auto"/>
              <w:contextualSpacing/>
              <w:rPr>
                <w:rFonts w:eastAsia="Times New Roman" w:cs="Times New Roman"/>
                <w:szCs w:val="24"/>
              </w:rPr>
            </w:pPr>
            <w:r w:rsidRPr="00CF6482">
              <w:t>2005</w:t>
            </w:r>
          </w:p>
        </w:tc>
        <w:tc>
          <w:tcPr>
            <w:tcW w:w="1191" w:type="dxa"/>
            <w:shd w:val="clear" w:color="D9E1F2" w:fill="D9E1F2"/>
            <w:noWrap/>
            <w:vAlign w:val="center"/>
            <w:hideMark/>
          </w:tcPr>
          <w:p w14:paraId="36258EFC"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0.7999</w:t>
            </w:r>
          </w:p>
        </w:tc>
        <w:tc>
          <w:tcPr>
            <w:tcW w:w="1004" w:type="dxa"/>
            <w:shd w:val="clear" w:color="D9E1F2" w:fill="D9E1F2"/>
            <w:noWrap/>
            <w:vAlign w:val="center"/>
            <w:hideMark/>
          </w:tcPr>
          <w:p w14:paraId="59EB19E9"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6,264</w:t>
            </w:r>
          </w:p>
        </w:tc>
        <w:tc>
          <w:tcPr>
            <w:tcW w:w="1083" w:type="dxa"/>
            <w:shd w:val="clear" w:color="D9E1F2" w:fill="D9E1F2"/>
            <w:noWrap/>
            <w:vAlign w:val="center"/>
            <w:hideMark/>
          </w:tcPr>
          <w:p w14:paraId="2B4DDA9C"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5,011</w:t>
            </w:r>
          </w:p>
        </w:tc>
        <w:tc>
          <w:tcPr>
            <w:tcW w:w="1164" w:type="dxa"/>
            <w:shd w:val="clear" w:color="D9E1F2" w:fill="D9E1F2"/>
            <w:noWrap/>
            <w:vAlign w:val="center"/>
            <w:hideMark/>
          </w:tcPr>
          <w:p w14:paraId="64C859C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0.0353</w:t>
            </w:r>
          </w:p>
        </w:tc>
        <w:tc>
          <w:tcPr>
            <w:tcW w:w="588" w:type="dxa"/>
            <w:shd w:val="clear" w:color="auto" w:fill="D5DCE4" w:themeFill="text2" w:themeFillTint="33"/>
            <w:noWrap/>
            <w:vAlign w:val="center"/>
            <w:hideMark/>
          </w:tcPr>
          <w:p w14:paraId="75290F97" w14:textId="77777777" w:rsidR="001D6419" w:rsidRPr="005E3D4C" w:rsidRDefault="000F5B51" w:rsidP="003F10AD">
            <w:pPr>
              <w:spacing w:after="0" w:line="240" w:lineRule="auto"/>
              <w:contextualSpacing/>
              <w:jc w:val="center"/>
              <w:rPr>
                <w:rFonts w:cs="Times New Roman"/>
              </w:rPr>
            </w:pPr>
            <w:r w:rsidRPr="005E3D4C">
              <w:rPr>
                <w:rFonts w:cs="Times New Roman"/>
              </w:rPr>
              <w:t>0.00</w:t>
            </w:r>
          </w:p>
        </w:tc>
        <w:tc>
          <w:tcPr>
            <w:tcW w:w="588" w:type="dxa"/>
            <w:shd w:val="clear" w:color="D9E1F2" w:fill="D9E1F2"/>
            <w:noWrap/>
            <w:vAlign w:val="center"/>
            <w:hideMark/>
          </w:tcPr>
          <w:p w14:paraId="43480E10"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3E505F8B"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000000" w:fill="CC99FF"/>
            <w:noWrap/>
            <w:vAlign w:val="center"/>
            <w:hideMark/>
          </w:tcPr>
          <w:p w14:paraId="2C6E2845"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0.05</w:t>
            </w:r>
          </w:p>
        </w:tc>
        <w:tc>
          <w:tcPr>
            <w:tcW w:w="588" w:type="dxa"/>
            <w:shd w:val="clear" w:color="D9E1F2" w:fill="D9E1F2"/>
            <w:noWrap/>
            <w:vAlign w:val="center"/>
            <w:hideMark/>
          </w:tcPr>
          <w:p w14:paraId="190BB191"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0.05</w:t>
            </w:r>
          </w:p>
        </w:tc>
        <w:tc>
          <w:tcPr>
            <w:tcW w:w="588" w:type="dxa"/>
            <w:shd w:val="clear" w:color="D9E1F2" w:fill="D9E1F2"/>
            <w:noWrap/>
            <w:vAlign w:val="center"/>
            <w:hideMark/>
          </w:tcPr>
          <w:p w14:paraId="70A7BAA0"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0.05</w:t>
            </w:r>
          </w:p>
        </w:tc>
        <w:tc>
          <w:tcPr>
            <w:tcW w:w="588" w:type="dxa"/>
            <w:shd w:val="clear" w:color="D9E1F2" w:fill="D9E1F2"/>
            <w:noWrap/>
            <w:vAlign w:val="center"/>
            <w:hideMark/>
          </w:tcPr>
          <w:p w14:paraId="6DAF79BE"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0.04</w:t>
            </w:r>
          </w:p>
        </w:tc>
        <w:tc>
          <w:tcPr>
            <w:tcW w:w="588" w:type="dxa"/>
            <w:shd w:val="clear" w:color="D9E1F2" w:fill="D9E1F2"/>
            <w:noWrap/>
            <w:vAlign w:val="center"/>
            <w:hideMark/>
          </w:tcPr>
          <w:p w14:paraId="7FDE6455"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0.05</w:t>
            </w:r>
          </w:p>
        </w:tc>
        <w:tc>
          <w:tcPr>
            <w:tcW w:w="720" w:type="dxa"/>
            <w:shd w:val="clear" w:color="000000" w:fill="F2F2F2"/>
            <w:noWrap/>
            <w:vAlign w:val="center"/>
            <w:hideMark/>
          </w:tcPr>
          <w:p w14:paraId="11BC09E4"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0.05</w:t>
            </w:r>
          </w:p>
        </w:tc>
        <w:tc>
          <w:tcPr>
            <w:tcW w:w="720" w:type="dxa"/>
            <w:shd w:val="clear" w:color="000000" w:fill="F2F2F2"/>
            <w:noWrap/>
            <w:vAlign w:val="center"/>
            <w:hideMark/>
          </w:tcPr>
          <w:p w14:paraId="75D430CA"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0.05</w:t>
            </w:r>
          </w:p>
        </w:tc>
        <w:tc>
          <w:tcPr>
            <w:tcW w:w="720" w:type="dxa"/>
            <w:shd w:val="clear" w:color="000000" w:fill="F2F2F2"/>
            <w:noWrap/>
            <w:vAlign w:val="center"/>
            <w:hideMark/>
          </w:tcPr>
          <w:p w14:paraId="6860A1BA"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0.04</w:t>
            </w:r>
          </w:p>
        </w:tc>
        <w:tc>
          <w:tcPr>
            <w:tcW w:w="720" w:type="dxa"/>
            <w:shd w:val="clear" w:color="000000" w:fill="F2F2F2"/>
            <w:noWrap/>
            <w:vAlign w:val="center"/>
            <w:hideMark/>
          </w:tcPr>
          <w:p w14:paraId="5E294F95"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0.05</w:t>
            </w:r>
          </w:p>
        </w:tc>
      </w:tr>
      <w:tr w:rsidR="00A15C2C" w14:paraId="189DBE29" w14:textId="77777777" w:rsidTr="003F10AD">
        <w:trPr>
          <w:trHeight w:val="300"/>
          <w:jc w:val="center"/>
        </w:trPr>
        <w:tc>
          <w:tcPr>
            <w:tcW w:w="700" w:type="dxa"/>
            <w:noWrap/>
            <w:hideMark/>
          </w:tcPr>
          <w:p w14:paraId="131DC595" w14:textId="77777777" w:rsidR="001D6419" w:rsidRPr="00B8116B" w:rsidRDefault="000F5B51" w:rsidP="00D07617">
            <w:pPr>
              <w:spacing w:after="0" w:line="240" w:lineRule="auto"/>
              <w:contextualSpacing/>
              <w:rPr>
                <w:rFonts w:eastAsia="Times New Roman" w:cs="Times New Roman"/>
                <w:szCs w:val="24"/>
              </w:rPr>
            </w:pPr>
            <w:r w:rsidRPr="00CF6482">
              <w:t>2004</w:t>
            </w:r>
          </w:p>
        </w:tc>
        <w:tc>
          <w:tcPr>
            <w:tcW w:w="1191" w:type="dxa"/>
            <w:noWrap/>
            <w:vAlign w:val="center"/>
            <w:hideMark/>
          </w:tcPr>
          <w:p w14:paraId="783197DA"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0.7556</w:t>
            </w:r>
          </w:p>
        </w:tc>
        <w:tc>
          <w:tcPr>
            <w:tcW w:w="1004" w:type="dxa"/>
            <w:noWrap/>
            <w:vAlign w:val="center"/>
            <w:hideMark/>
          </w:tcPr>
          <w:p w14:paraId="219B854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5,266</w:t>
            </w:r>
          </w:p>
        </w:tc>
        <w:tc>
          <w:tcPr>
            <w:tcW w:w="1083" w:type="dxa"/>
            <w:noWrap/>
            <w:vAlign w:val="center"/>
            <w:hideMark/>
          </w:tcPr>
          <w:p w14:paraId="6654AAAA"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3,979</w:t>
            </w:r>
          </w:p>
        </w:tc>
        <w:tc>
          <w:tcPr>
            <w:tcW w:w="1164" w:type="dxa"/>
            <w:noWrap/>
            <w:vAlign w:val="center"/>
            <w:hideMark/>
          </w:tcPr>
          <w:p w14:paraId="59242C99"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0.0280</w:t>
            </w:r>
          </w:p>
        </w:tc>
        <w:tc>
          <w:tcPr>
            <w:tcW w:w="588" w:type="dxa"/>
            <w:shd w:val="clear" w:color="auto" w:fill="auto"/>
            <w:noWrap/>
            <w:vAlign w:val="center"/>
            <w:hideMark/>
          </w:tcPr>
          <w:p w14:paraId="5BCFD88D" w14:textId="77777777" w:rsidR="001D6419" w:rsidRPr="005E3D4C" w:rsidRDefault="000F5B51" w:rsidP="003F10AD">
            <w:pPr>
              <w:spacing w:after="0" w:line="240" w:lineRule="auto"/>
              <w:contextualSpacing/>
              <w:jc w:val="center"/>
              <w:rPr>
                <w:rFonts w:cs="Times New Roman"/>
              </w:rPr>
            </w:pPr>
            <w:r w:rsidRPr="005E3D4C">
              <w:rPr>
                <w:rFonts w:cs="Times New Roman"/>
              </w:rPr>
              <w:t>0.00</w:t>
            </w:r>
          </w:p>
        </w:tc>
        <w:tc>
          <w:tcPr>
            <w:tcW w:w="588" w:type="dxa"/>
            <w:noWrap/>
            <w:vAlign w:val="center"/>
            <w:hideMark/>
          </w:tcPr>
          <w:p w14:paraId="4FB37370"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32605DD7"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000000" w:fill="CC99FF"/>
            <w:noWrap/>
            <w:vAlign w:val="center"/>
            <w:hideMark/>
          </w:tcPr>
          <w:p w14:paraId="35FCC5E4"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0.05</w:t>
            </w:r>
          </w:p>
        </w:tc>
        <w:tc>
          <w:tcPr>
            <w:tcW w:w="588" w:type="dxa"/>
            <w:noWrap/>
            <w:vAlign w:val="center"/>
            <w:hideMark/>
          </w:tcPr>
          <w:p w14:paraId="3D408BED"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0.05</w:t>
            </w:r>
          </w:p>
        </w:tc>
        <w:tc>
          <w:tcPr>
            <w:tcW w:w="588" w:type="dxa"/>
            <w:noWrap/>
            <w:vAlign w:val="center"/>
            <w:hideMark/>
          </w:tcPr>
          <w:p w14:paraId="7044E39A"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0.05</w:t>
            </w:r>
          </w:p>
        </w:tc>
        <w:tc>
          <w:tcPr>
            <w:tcW w:w="588" w:type="dxa"/>
            <w:noWrap/>
            <w:vAlign w:val="center"/>
            <w:hideMark/>
          </w:tcPr>
          <w:p w14:paraId="1DDC895A"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0.04</w:t>
            </w:r>
          </w:p>
        </w:tc>
        <w:tc>
          <w:tcPr>
            <w:tcW w:w="588" w:type="dxa"/>
            <w:noWrap/>
            <w:vAlign w:val="center"/>
            <w:hideMark/>
          </w:tcPr>
          <w:p w14:paraId="308E05A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0.05</w:t>
            </w:r>
          </w:p>
        </w:tc>
        <w:tc>
          <w:tcPr>
            <w:tcW w:w="720" w:type="dxa"/>
            <w:shd w:val="clear" w:color="000000" w:fill="F2F2F2"/>
            <w:noWrap/>
            <w:vAlign w:val="center"/>
            <w:hideMark/>
          </w:tcPr>
          <w:p w14:paraId="537BCE34"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0.05</w:t>
            </w:r>
          </w:p>
        </w:tc>
        <w:tc>
          <w:tcPr>
            <w:tcW w:w="720" w:type="dxa"/>
            <w:shd w:val="clear" w:color="000000" w:fill="F2F2F2"/>
            <w:noWrap/>
            <w:vAlign w:val="center"/>
            <w:hideMark/>
          </w:tcPr>
          <w:p w14:paraId="4FA2885E"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0.05</w:t>
            </w:r>
          </w:p>
        </w:tc>
        <w:tc>
          <w:tcPr>
            <w:tcW w:w="720" w:type="dxa"/>
            <w:shd w:val="clear" w:color="000000" w:fill="F2F2F2"/>
            <w:noWrap/>
            <w:vAlign w:val="center"/>
            <w:hideMark/>
          </w:tcPr>
          <w:p w14:paraId="29565212"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0.04</w:t>
            </w:r>
          </w:p>
        </w:tc>
        <w:tc>
          <w:tcPr>
            <w:tcW w:w="720" w:type="dxa"/>
            <w:shd w:val="clear" w:color="000000" w:fill="F2F2F2"/>
            <w:noWrap/>
            <w:vAlign w:val="center"/>
            <w:hideMark/>
          </w:tcPr>
          <w:p w14:paraId="6F9740CC"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0.05</w:t>
            </w:r>
          </w:p>
        </w:tc>
      </w:tr>
      <w:tr w:rsidR="00A15C2C" w14:paraId="00E38F4E" w14:textId="77777777" w:rsidTr="003F10AD">
        <w:trPr>
          <w:trHeight w:val="300"/>
          <w:jc w:val="center"/>
        </w:trPr>
        <w:tc>
          <w:tcPr>
            <w:tcW w:w="700" w:type="dxa"/>
            <w:shd w:val="clear" w:color="D9E1F2" w:fill="D9E1F2"/>
            <w:noWrap/>
            <w:hideMark/>
          </w:tcPr>
          <w:p w14:paraId="7694DBAB" w14:textId="77777777" w:rsidR="001D6419" w:rsidRPr="00B8116B" w:rsidRDefault="000F5B51" w:rsidP="00D07617">
            <w:pPr>
              <w:spacing w:after="0" w:line="240" w:lineRule="auto"/>
              <w:contextualSpacing/>
              <w:rPr>
                <w:rFonts w:eastAsia="Times New Roman" w:cs="Times New Roman"/>
                <w:szCs w:val="24"/>
              </w:rPr>
            </w:pPr>
            <w:r w:rsidRPr="00CF6482">
              <w:t>2003</w:t>
            </w:r>
          </w:p>
        </w:tc>
        <w:tc>
          <w:tcPr>
            <w:tcW w:w="1191" w:type="dxa"/>
            <w:shd w:val="clear" w:color="D9E1F2" w:fill="D9E1F2"/>
            <w:noWrap/>
            <w:vAlign w:val="center"/>
            <w:hideMark/>
          </w:tcPr>
          <w:p w14:paraId="47BC38D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0.7055</w:t>
            </w:r>
          </w:p>
        </w:tc>
        <w:tc>
          <w:tcPr>
            <w:tcW w:w="1004" w:type="dxa"/>
            <w:shd w:val="clear" w:color="D9E1F2" w:fill="D9E1F2"/>
            <w:noWrap/>
            <w:vAlign w:val="center"/>
            <w:hideMark/>
          </w:tcPr>
          <w:p w14:paraId="1ADD648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4,906</w:t>
            </w:r>
          </w:p>
        </w:tc>
        <w:tc>
          <w:tcPr>
            <w:tcW w:w="1083" w:type="dxa"/>
            <w:shd w:val="clear" w:color="D9E1F2" w:fill="D9E1F2"/>
            <w:noWrap/>
            <w:vAlign w:val="center"/>
            <w:hideMark/>
          </w:tcPr>
          <w:p w14:paraId="3A6743E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3,461</w:t>
            </w:r>
          </w:p>
        </w:tc>
        <w:tc>
          <w:tcPr>
            <w:tcW w:w="1164" w:type="dxa"/>
            <w:shd w:val="clear" w:color="D9E1F2" w:fill="D9E1F2"/>
            <w:noWrap/>
            <w:vAlign w:val="center"/>
            <w:hideMark/>
          </w:tcPr>
          <w:p w14:paraId="26A49DC1"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0.0244</w:t>
            </w:r>
          </w:p>
        </w:tc>
        <w:tc>
          <w:tcPr>
            <w:tcW w:w="588" w:type="dxa"/>
            <w:shd w:val="clear" w:color="auto" w:fill="D5DCE4" w:themeFill="text2" w:themeFillTint="33"/>
            <w:noWrap/>
            <w:vAlign w:val="center"/>
            <w:hideMark/>
          </w:tcPr>
          <w:p w14:paraId="1444CEBB" w14:textId="77777777" w:rsidR="001D6419" w:rsidRPr="005E3D4C" w:rsidRDefault="000F5B51" w:rsidP="003F10AD">
            <w:pPr>
              <w:spacing w:after="0" w:line="240" w:lineRule="auto"/>
              <w:contextualSpacing/>
              <w:jc w:val="center"/>
              <w:rPr>
                <w:rFonts w:cs="Times New Roman"/>
              </w:rPr>
            </w:pPr>
            <w:r w:rsidRPr="005E3D4C">
              <w:rPr>
                <w:rFonts w:cs="Times New Roman"/>
              </w:rPr>
              <w:t>0.00</w:t>
            </w:r>
          </w:p>
        </w:tc>
        <w:tc>
          <w:tcPr>
            <w:tcW w:w="588" w:type="dxa"/>
            <w:shd w:val="clear" w:color="D9E1F2" w:fill="D9E1F2"/>
            <w:noWrap/>
            <w:vAlign w:val="center"/>
            <w:hideMark/>
          </w:tcPr>
          <w:p w14:paraId="2EBB98B4"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6DDDF0C7"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000000" w:fill="CC99FF"/>
            <w:noWrap/>
            <w:vAlign w:val="center"/>
            <w:hideMark/>
          </w:tcPr>
          <w:p w14:paraId="766AF5C1"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0.05</w:t>
            </w:r>
          </w:p>
        </w:tc>
        <w:tc>
          <w:tcPr>
            <w:tcW w:w="588" w:type="dxa"/>
            <w:shd w:val="clear" w:color="D9E1F2" w:fill="D9E1F2"/>
            <w:noWrap/>
            <w:vAlign w:val="center"/>
            <w:hideMark/>
          </w:tcPr>
          <w:p w14:paraId="0062E9E0"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0.05</w:t>
            </w:r>
          </w:p>
        </w:tc>
        <w:tc>
          <w:tcPr>
            <w:tcW w:w="588" w:type="dxa"/>
            <w:shd w:val="clear" w:color="D9E1F2" w:fill="D9E1F2"/>
            <w:noWrap/>
            <w:vAlign w:val="center"/>
            <w:hideMark/>
          </w:tcPr>
          <w:p w14:paraId="6DB2D41E"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0.05</w:t>
            </w:r>
          </w:p>
        </w:tc>
        <w:tc>
          <w:tcPr>
            <w:tcW w:w="588" w:type="dxa"/>
            <w:shd w:val="clear" w:color="D9E1F2" w:fill="D9E1F2"/>
            <w:noWrap/>
            <w:vAlign w:val="center"/>
            <w:hideMark/>
          </w:tcPr>
          <w:p w14:paraId="00808761"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0.03</w:t>
            </w:r>
          </w:p>
        </w:tc>
        <w:tc>
          <w:tcPr>
            <w:tcW w:w="588" w:type="dxa"/>
            <w:shd w:val="clear" w:color="D9E1F2" w:fill="D9E1F2"/>
            <w:noWrap/>
            <w:vAlign w:val="center"/>
            <w:hideMark/>
          </w:tcPr>
          <w:p w14:paraId="5DD63521"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0.05</w:t>
            </w:r>
          </w:p>
        </w:tc>
        <w:tc>
          <w:tcPr>
            <w:tcW w:w="720" w:type="dxa"/>
            <w:shd w:val="clear" w:color="000000" w:fill="F2F2F2"/>
            <w:noWrap/>
            <w:vAlign w:val="center"/>
            <w:hideMark/>
          </w:tcPr>
          <w:p w14:paraId="7DC12939"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0.05</w:t>
            </w:r>
          </w:p>
        </w:tc>
        <w:tc>
          <w:tcPr>
            <w:tcW w:w="720" w:type="dxa"/>
            <w:shd w:val="clear" w:color="000000" w:fill="F2F2F2"/>
            <w:noWrap/>
            <w:vAlign w:val="center"/>
            <w:hideMark/>
          </w:tcPr>
          <w:p w14:paraId="76576D22"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0.05</w:t>
            </w:r>
          </w:p>
        </w:tc>
        <w:tc>
          <w:tcPr>
            <w:tcW w:w="720" w:type="dxa"/>
            <w:shd w:val="clear" w:color="000000" w:fill="F2F2F2"/>
            <w:noWrap/>
            <w:vAlign w:val="center"/>
            <w:hideMark/>
          </w:tcPr>
          <w:p w14:paraId="1302B441"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0.03</w:t>
            </w:r>
          </w:p>
        </w:tc>
        <w:tc>
          <w:tcPr>
            <w:tcW w:w="720" w:type="dxa"/>
            <w:shd w:val="clear" w:color="000000" w:fill="F2F2F2"/>
            <w:noWrap/>
            <w:vAlign w:val="center"/>
            <w:hideMark/>
          </w:tcPr>
          <w:p w14:paraId="69C9E1AD"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0.05</w:t>
            </w:r>
          </w:p>
        </w:tc>
      </w:tr>
      <w:tr w:rsidR="00A15C2C" w14:paraId="4A63E514" w14:textId="77777777" w:rsidTr="003F10AD">
        <w:trPr>
          <w:trHeight w:val="300"/>
          <w:jc w:val="center"/>
        </w:trPr>
        <w:tc>
          <w:tcPr>
            <w:tcW w:w="700" w:type="dxa"/>
            <w:noWrap/>
            <w:hideMark/>
          </w:tcPr>
          <w:p w14:paraId="34FD5491" w14:textId="77777777" w:rsidR="001D6419" w:rsidRPr="00B8116B" w:rsidRDefault="000F5B51" w:rsidP="00D07617">
            <w:pPr>
              <w:spacing w:after="0" w:line="240" w:lineRule="auto"/>
              <w:contextualSpacing/>
              <w:rPr>
                <w:rFonts w:eastAsia="Times New Roman" w:cs="Times New Roman"/>
                <w:szCs w:val="24"/>
              </w:rPr>
            </w:pPr>
            <w:r w:rsidRPr="00CF6482">
              <w:t>2002</w:t>
            </w:r>
          </w:p>
        </w:tc>
        <w:tc>
          <w:tcPr>
            <w:tcW w:w="1191" w:type="dxa"/>
            <w:noWrap/>
            <w:vAlign w:val="center"/>
            <w:hideMark/>
          </w:tcPr>
          <w:p w14:paraId="75A1FF1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0.6527</w:t>
            </w:r>
          </w:p>
        </w:tc>
        <w:tc>
          <w:tcPr>
            <w:tcW w:w="1004" w:type="dxa"/>
            <w:noWrap/>
            <w:vAlign w:val="center"/>
            <w:hideMark/>
          </w:tcPr>
          <w:p w14:paraId="62C4E8F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4,644</w:t>
            </w:r>
          </w:p>
        </w:tc>
        <w:tc>
          <w:tcPr>
            <w:tcW w:w="1083" w:type="dxa"/>
            <w:noWrap/>
            <w:vAlign w:val="center"/>
            <w:hideMark/>
          </w:tcPr>
          <w:p w14:paraId="372A43D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3,031</w:t>
            </w:r>
          </w:p>
        </w:tc>
        <w:tc>
          <w:tcPr>
            <w:tcW w:w="1164" w:type="dxa"/>
            <w:noWrap/>
            <w:vAlign w:val="center"/>
            <w:hideMark/>
          </w:tcPr>
          <w:p w14:paraId="6B796F7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0.0213</w:t>
            </w:r>
          </w:p>
        </w:tc>
        <w:tc>
          <w:tcPr>
            <w:tcW w:w="588" w:type="dxa"/>
            <w:shd w:val="clear" w:color="auto" w:fill="auto"/>
            <w:noWrap/>
            <w:vAlign w:val="center"/>
            <w:hideMark/>
          </w:tcPr>
          <w:p w14:paraId="2CB5F25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88" w:type="dxa"/>
            <w:noWrap/>
            <w:vAlign w:val="center"/>
            <w:hideMark/>
          </w:tcPr>
          <w:p w14:paraId="5B1E9971"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3FF179D7"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000000" w:fill="CC99FF"/>
            <w:noWrap/>
            <w:vAlign w:val="center"/>
            <w:hideMark/>
          </w:tcPr>
          <w:p w14:paraId="2DDBF543"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0.04</w:t>
            </w:r>
          </w:p>
        </w:tc>
        <w:tc>
          <w:tcPr>
            <w:tcW w:w="588" w:type="dxa"/>
            <w:noWrap/>
            <w:vAlign w:val="center"/>
            <w:hideMark/>
          </w:tcPr>
          <w:p w14:paraId="6A5CE21B"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0.04</w:t>
            </w:r>
          </w:p>
        </w:tc>
        <w:tc>
          <w:tcPr>
            <w:tcW w:w="588" w:type="dxa"/>
            <w:noWrap/>
            <w:vAlign w:val="center"/>
            <w:hideMark/>
          </w:tcPr>
          <w:p w14:paraId="085B0CB0"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0.04</w:t>
            </w:r>
          </w:p>
        </w:tc>
        <w:tc>
          <w:tcPr>
            <w:tcW w:w="588" w:type="dxa"/>
            <w:noWrap/>
            <w:vAlign w:val="center"/>
            <w:hideMark/>
          </w:tcPr>
          <w:p w14:paraId="28027E7A"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0.03</w:t>
            </w:r>
          </w:p>
        </w:tc>
        <w:tc>
          <w:tcPr>
            <w:tcW w:w="588" w:type="dxa"/>
            <w:noWrap/>
            <w:vAlign w:val="center"/>
            <w:hideMark/>
          </w:tcPr>
          <w:p w14:paraId="02BACD30"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0.04</w:t>
            </w:r>
          </w:p>
        </w:tc>
        <w:tc>
          <w:tcPr>
            <w:tcW w:w="720" w:type="dxa"/>
            <w:shd w:val="clear" w:color="000000" w:fill="F2F2F2"/>
            <w:noWrap/>
            <w:vAlign w:val="center"/>
            <w:hideMark/>
          </w:tcPr>
          <w:p w14:paraId="535E6D1F"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0.04</w:t>
            </w:r>
          </w:p>
        </w:tc>
        <w:tc>
          <w:tcPr>
            <w:tcW w:w="720" w:type="dxa"/>
            <w:shd w:val="clear" w:color="000000" w:fill="F2F2F2"/>
            <w:noWrap/>
            <w:vAlign w:val="center"/>
            <w:hideMark/>
          </w:tcPr>
          <w:p w14:paraId="688D316D"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0.04</w:t>
            </w:r>
          </w:p>
        </w:tc>
        <w:tc>
          <w:tcPr>
            <w:tcW w:w="720" w:type="dxa"/>
            <w:shd w:val="clear" w:color="000000" w:fill="F2F2F2"/>
            <w:noWrap/>
            <w:vAlign w:val="center"/>
            <w:hideMark/>
          </w:tcPr>
          <w:p w14:paraId="0BAE1A69"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0.03</w:t>
            </w:r>
          </w:p>
        </w:tc>
        <w:tc>
          <w:tcPr>
            <w:tcW w:w="720" w:type="dxa"/>
            <w:shd w:val="clear" w:color="000000" w:fill="F2F2F2"/>
            <w:noWrap/>
            <w:vAlign w:val="center"/>
            <w:hideMark/>
          </w:tcPr>
          <w:p w14:paraId="3137F2A1"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0.04</w:t>
            </w:r>
          </w:p>
        </w:tc>
      </w:tr>
      <w:tr w:rsidR="00A15C2C" w14:paraId="4519D39D" w14:textId="77777777" w:rsidTr="003F10AD">
        <w:trPr>
          <w:trHeight w:val="300"/>
          <w:jc w:val="center"/>
        </w:trPr>
        <w:tc>
          <w:tcPr>
            <w:tcW w:w="700" w:type="dxa"/>
            <w:shd w:val="clear" w:color="D9E1F2" w:fill="D9E1F2"/>
            <w:noWrap/>
            <w:hideMark/>
          </w:tcPr>
          <w:p w14:paraId="7557FAE4" w14:textId="77777777" w:rsidR="001D6419" w:rsidRPr="00B8116B" w:rsidRDefault="000F5B51" w:rsidP="00D07617">
            <w:pPr>
              <w:spacing w:after="0" w:line="240" w:lineRule="auto"/>
              <w:contextualSpacing/>
              <w:rPr>
                <w:rFonts w:eastAsia="Times New Roman" w:cs="Times New Roman"/>
                <w:szCs w:val="24"/>
              </w:rPr>
            </w:pPr>
            <w:r w:rsidRPr="00CF6482">
              <w:t>2001</w:t>
            </w:r>
          </w:p>
        </w:tc>
        <w:tc>
          <w:tcPr>
            <w:tcW w:w="1191" w:type="dxa"/>
            <w:shd w:val="clear" w:color="D9E1F2" w:fill="D9E1F2"/>
            <w:noWrap/>
            <w:vAlign w:val="center"/>
            <w:hideMark/>
          </w:tcPr>
          <w:p w14:paraId="4B40F9BC"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0.5946</w:t>
            </w:r>
          </w:p>
        </w:tc>
        <w:tc>
          <w:tcPr>
            <w:tcW w:w="1004" w:type="dxa"/>
            <w:shd w:val="clear" w:color="D9E1F2" w:fill="D9E1F2"/>
            <w:noWrap/>
            <w:vAlign w:val="center"/>
            <w:hideMark/>
          </w:tcPr>
          <w:p w14:paraId="16B97359"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4,604</w:t>
            </w:r>
          </w:p>
        </w:tc>
        <w:tc>
          <w:tcPr>
            <w:tcW w:w="1083" w:type="dxa"/>
            <w:shd w:val="clear" w:color="D9E1F2" w:fill="D9E1F2"/>
            <w:noWrap/>
            <w:vAlign w:val="center"/>
            <w:hideMark/>
          </w:tcPr>
          <w:p w14:paraId="638ACCD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2,738</w:t>
            </w:r>
          </w:p>
        </w:tc>
        <w:tc>
          <w:tcPr>
            <w:tcW w:w="1164" w:type="dxa"/>
            <w:shd w:val="clear" w:color="D9E1F2" w:fill="D9E1F2"/>
            <w:noWrap/>
            <w:vAlign w:val="center"/>
            <w:hideMark/>
          </w:tcPr>
          <w:p w14:paraId="5EE10DB9"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0.0193</w:t>
            </w:r>
          </w:p>
        </w:tc>
        <w:tc>
          <w:tcPr>
            <w:tcW w:w="588" w:type="dxa"/>
            <w:shd w:val="clear" w:color="D9E1F2" w:fill="D9E1F2"/>
            <w:noWrap/>
            <w:vAlign w:val="center"/>
            <w:hideMark/>
          </w:tcPr>
          <w:p w14:paraId="7AD86631"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88" w:type="dxa"/>
            <w:shd w:val="clear" w:color="D9E1F2" w:fill="D9E1F2"/>
            <w:noWrap/>
            <w:vAlign w:val="center"/>
            <w:hideMark/>
          </w:tcPr>
          <w:p w14:paraId="5AD56CE5"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48BF7A36"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000000" w:fill="CC99FF"/>
            <w:noWrap/>
            <w:vAlign w:val="center"/>
            <w:hideMark/>
          </w:tcPr>
          <w:p w14:paraId="74C04E7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0.04</w:t>
            </w:r>
          </w:p>
        </w:tc>
        <w:tc>
          <w:tcPr>
            <w:tcW w:w="588" w:type="dxa"/>
            <w:shd w:val="clear" w:color="D9E1F2" w:fill="D9E1F2"/>
            <w:noWrap/>
            <w:vAlign w:val="center"/>
            <w:hideMark/>
          </w:tcPr>
          <w:p w14:paraId="108F3E2B"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0.04</w:t>
            </w:r>
          </w:p>
        </w:tc>
        <w:tc>
          <w:tcPr>
            <w:tcW w:w="588" w:type="dxa"/>
            <w:shd w:val="clear" w:color="D9E1F2" w:fill="D9E1F2"/>
            <w:noWrap/>
            <w:vAlign w:val="center"/>
            <w:hideMark/>
          </w:tcPr>
          <w:p w14:paraId="6250B2BD"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0.04</w:t>
            </w:r>
          </w:p>
        </w:tc>
        <w:tc>
          <w:tcPr>
            <w:tcW w:w="588" w:type="dxa"/>
            <w:shd w:val="clear" w:color="D9E1F2" w:fill="D9E1F2"/>
            <w:noWrap/>
            <w:vAlign w:val="center"/>
            <w:hideMark/>
          </w:tcPr>
          <w:p w14:paraId="4CE5E290"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0.03</w:t>
            </w:r>
          </w:p>
        </w:tc>
        <w:tc>
          <w:tcPr>
            <w:tcW w:w="588" w:type="dxa"/>
            <w:shd w:val="clear" w:color="D9E1F2" w:fill="D9E1F2"/>
            <w:noWrap/>
            <w:vAlign w:val="center"/>
            <w:hideMark/>
          </w:tcPr>
          <w:p w14:paraId="2A31895A"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0.04</w:t>
            </w:r>
          </w:p>
        </w:tc>
        <w:tc>
          <w:tcPr>
            <w:tcW w:w="720" w:type="dxa"/>
            <w:shd w:val="clear" w:color="000000" w:fill="F2F2F2"/>
            <w:noWrap/>
            <w:vAlign w:val="center"/>
            <w:hideMark/>
          </w:tcPr>
          <w:p w14:paraId="496F0FC5"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0.04</w:t>
            </w:r>
          </w:p>
        </w:tc>
        <w:tc>
          <w:tcPr>
            <w:tcW w:w="720" w:type="dxa"/>
            <w:shd w:val="clear" w:color="000000" w:fill="F2F2F2"/>
            <w:noWrap/>
            <w:vAlign w:val="center"/>
            <w:hideMark/>
          </w:tcPr>
          <w:p w14:paraId="44BCDCBF"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0.04</w:t>
            </w:r>
          </w:p>
        </w:tc>
        <w:tc>
          <w:tcPr>
            <w:tcW w:w="720" w:type="dxa"/>
            <w:shd w:val="clear" w:color="000000" w:fill="F2F2F2"/>
            <w:noWrap/>
            <w:vAlign w:val="center"/>
            <w:hideMark/>
          </w:tcPr>
          <w:p w14:paraId="1C6D5F9C"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0.03</w:t>
            </w:r>
          </w:p>
        </w:tc>
        <w:tc>
          <w:tcPr>
            <w:tcW w:w="720" w:type="dxa"/>
            <w:shd w:val="clear" w:color="000000" w:fill="F2F2F2"/>
            <w:noWrap/>
            <w:vAlign w:val="center"/>
            <w:hideMark/>
          </w:tcPr>
          <w:p w14:paraId="2AF99D71"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0.04</w:t>
            </w:r>
          </w:p>
        </w:tc>
      </w:tr>
      <w:tr w:rsidR="00A15C2C" w14:paraId="1B6B49C8" w14:textId="77777777" w:rsidTr="003F10AD">
        <w:trPr>
          <w:trHeight w:val="300"/>
          <w:jc w:val="center"/>
        </w:trPr>
        <w:tc>
          <w:tcPr>
            <w:tcW w:w="700" w:type="dxa"/>
            <w:noWrap/>
            <w:hideMark/>
          </w:tcPr>
          <w:p w14:paraId="0AD80687" w14:textId="77777777" w:rsidR="001D6419" w:rsidRPr="00B8116B" w:rsidRDefault="000F5B51" w:rsidP="00D07617">
            <w:pPr>
              <w:spacing w:after="0" w:line="240" w:lineRule="auto"/>
              <w:contextualSpacing/>
              <w:rPr>
                <w:rFonts w:eastAsia="Times New Roman" w:cs="Times New Roman"/>
                <w:szCs w:val="24"/>
              </w:rPr>
            </w:pPr>
            <w:r w:rsidRPr="00CF6482">
              <w:t>2000</w:t>
            </w:r>
          </w:p>
        </w:tc>
        <w:tc>
          <w:tcPr>
            <w:tcW w:w="1191" w:type="dxa"/>
            <w:noWrap/>
            <w:vAlign w:val="center"/>
            <w:hideMark/>
          </w:tcPr>
          <w:p w14:paraId="1C7F3061"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0.5311</w:t>
            </w:r>
          </w:p>
        </w:tc>
        <w:tc>
          <w:tcPr>
            <w:tcW w:w="1004" w:type="dxa"/>
            <w:noWrap/>
            <w:vAlign w:val="center"/>
            <w:hideMark/>
          </w:tcPr>
          <w:p w14:paraId="566FA9B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4,497</w:t>
            </w:r>
          </w:p>
        </w:tc>
        <w:tc>
          <w:tcPr>
            <w:tcW w:w="1083" w:type="dxa"/>
            <w:noWrap/>
            <w:vAlign w:val="center"/>
            <w:hideMark/>
          </w:tcPr>
          <w:p w14:paraId="14CEBF54"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2,388</w:t>
            </w:r>
          </w:p>
        </w:tc>
        <w:tc>
          <w:tcPr>
            <w:tcW w:w="1164" w:type="dxa"/>
            <w:noWrap/>
            <w:vAlign w:val="center"/>
            <w:hideMark/>
          </w:tcPr>
          <w:p w14:paraId="5A8EB7EE"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0.0168</w:t>
            </w:r>
          </w:p>
        </w:tc>
        <w:tc>
          <w:tcPr>
            <w:tcW w:w="588" w:type="dxa"/>
            <w:noWrap/>
            <w:vAlign w:val="center"/>
            <w:hideMark/>
          </w:tcPr>
          <w:p w14:paraId="30330B11"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88" w:type="dxa"/>
            <w:noWrap/>
            <w:vAlign w:val="center"/>
            <w:hideMark/>
          </w:tcPr>
          <w:p w14:paraId="313C4A5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70FCCA2A"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000000" w:fill="CC99FF"/>
            <w:noWrap/>
            <w:vAlign w:val="center"/>
            <w:hideMark/>
          </w:tcPr>
          <w:p w14:paraId="2CE48FF1"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0.03</w:t>
            </w:r>
          </w:p>
        </w:tc>
        <w:tc>
          <w:tcPr>
            <w:tcW w:w="588" w:type="dxa"/>
            <w:noWrap/>
            <w:vAlign w:val="center"/>
            <w:hideMark/>
          </w:tcPr>
          <w:p w14:paraId="5772CC91"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0.03</w:t>
            </w:r>
          </w:p>
        </w:tc>
        <w:tc>
          <w:tcPr>
            <w:tcW w:w="588" w:type="dxa"/>
            <w:noWrap/>
            <w:vAlign w:val="center"/>
            <w:hideMark/>
          </w:tcPr>
          <w:p w14:paraId="6A1EC37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0.03</w:t>
            </w:r>
          </w:p>
        </w:tc>
        <w:tc>
          <w:tcPr>
            <w:tcW w:w="588" w:type="dxa"/>
            <w:noWrap/>
            <w:vAlign w:val="center"/>
            <w:hideMark/>
          </w:tcPr>
          <w:p w14:paraId="393DC8E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0.03</w:t>
            </w:r>
          </w:p>
        </w:tc>
        <w:tc>
          <w:tcPr>
            <w:tcW w:w="588" w:type="dxa"/>
            <w:noWrap/>
            <w:vAlign w:val="center"/>
            <w:hideMark/>
          </w:tcPr>
          <w:p w14:paraId="12513EDB"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0.03</w:t>
            </w:r>
          </w:p>
        </w:tc>
        <w:tc>
          <w:tcPr>
            <w:tcW w:w="720" w:type="dxa"/>
            <w:shd w:val="clear" w:color="000000" w:fill="F2F2F2"/>
            <w:noWrap/>
            <w:vAlign w:val="center"/>
            <w:hideMark/>
          </w:tcPr>
          <w:p w14:paraId="51E5117A"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0.03</w:t>
            </w:r>
          </w:p>
        </w:tc>
        <w:tc>
          <w:tcPr>
            <w:tcW w:w="720" w:type="dxa"/>
            <w:shd w:val="clear" w:color="000000" w:fill="F2F2F2"/>
            <w:noWrap/>
            <w:vAlign w:val="center"/>
            <w:hideMark/>
          </w:tcPr>
          <w:p w14:paraId="5BDC5ED1"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0.03</w:t>
            </w:r>
          </w:p>
        </w:tc>
        <w:tc>
          <w:tcPr>
            <w:tcW w:w="720" w:type="dxa"/>
            <w:shd w:val="clear" w:color="000000" w:fill="F2F2F2"/>
            <w:noWrap/>
            <w:vAlign w:val="center"/>
            <w:hideMark/>
          </w:tcPr>
          <w:p w14:paraId="302E6E8A"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0.03</w:t>
            </w:r>
          </w:p>
        </w:tc>
        <w:tc>
          <w:tcPr>
            <w:tcW w:w="720" w:type="dxa"/>
            <w:shd w:val="clear" w:color="000000" w:fill="F2F2F2"/>
            <w:noWrap/>
            <w:vAlign w:val="center"/>
            <w:hideMark/>
          </w:tcPr>
          <w:p w14:paraId="00536C38"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0.03</w:t>
            </w:r>
          </w:p>
        </w:tc>
      </w:tr>
      <w:tr w:rsidR="00A15C2C" w14:paraId="58F11A59" w14:textId="77777777" w:rsidTr="003F10AD">
        <w:trPr>
          <w:trHeight w:val="300"/>
          <w:jc w:val="center"/>
        </w:trPr>
        <w:tc>
          <w:tcPr>
            <w:tcW w:w="700" w:type="dxa"/>
            <w:shd w:val="clear" w:color="D9E1F2" w:fill="D9E1F2"/>
            <w:noWrap/>
            <w:hideMark/>
          </w:tcPr>
          <w:p w14:paraId="7DFA424A" w14:textId="77777777" w:rsidR="001D6419" w:rsidRPr="00B8116B" w:rsidRDefault="000F5B51" w:rsidP="00D07617">
            <w:pPr>
              <w:spacing w:after="0" w:line="240" w:lineRule="auto"/>
              <w:contextualSpacing/>
              <w:rPr>
                <w:rFonts w:eastAsia="Times New Roman" w:cs="Times New Roman"/>
                <w:szCs w:val="24"/>
              </w:rPr>
            </w:pPr>
            <w:r w:rsidRPr="00CF6482">
              <w:t>1999</w:t>
            </w:r>
          </w:p>
        </w:tc>
        <w:tc>
          <w:tcPr>
            <w:tcW w:w="1191" w:type="dxa"/>
            <w:shd w:val="clear" w:color="D9E1F2" w:fill="D9E1F2"/>
            <w:noWrap/>
            <w:vAlign w:val="center"/>
            <w:hideMark/>
          </w:tcPr>
          <w:p w14:paraId="04CE07CC"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0.4585</w:t>
            </w:r>
          </w:p>
        </w:tc>
        <w:tc>
          <w:tcPr>
            <w:tcW w:w="1004" w:type="dxa"/>
            <w:shd w:val="clear" w:color="D9E1F2" w:fill="D9E1F2"/>
            <w:noWrap/>
            <w:vAlign w:val="center"/>
            <w:hideMark/>
          </w:tcPr>
          <w:p w14:paraId="6F0DDAC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4,394</w:t>
            </w:r>
          </w:p>
        </w:tc>
        <w:tc>
          <w:tcPr>
            <w:tcW w:w="1083" w:type="dxa"/>
            <w:shd w:val="clear" w:color="D9E1F2" w:fill="D9E1F2"/>
            <w:noWrap/>
            <w:vAlign w:val="center"/>
            <w:hideMark/>
          </w:tcPr>
          <w:p w14:paraId="018ECA94"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2,015</w:t>
            </w:r>
          </w:p>
        </w:tc>
        <w:tc>
          <w:tcPr>
            <w:tcW w:w="1164" w:type="dxa"/>
            <w:shd w:val="clear" w:color="D9E1F2" w:fill="D9E1F2"/>
            <w:noWrap/>
            <w:vAlign w:val="center"/>
            <w:hideMark/>
          </w:tcPr>
          <w:p w14:paraId="5DFE51E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0.0142</w:t>
            </w:r>
          </w:p>
        </w:tc>
        <w:tc>
          <w:tcPr>
            <w:tcW w:w="588" w:type="dxa"/>
            <w:shd w:val="clear" w:color="D9E1F2" w:fill="D9E1F2"/>
            <w:noWrap/>
            <w:vAlign w:val="center"/>
            <w:hideMark/>
          </w:tcPr>
          <w:p w14:paraId="0099D9DA"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88" w:type="dxa"/>
            <w:shd w:val="clear" w:color="D9E1F2" w:fill="D9E1F2"/>
            <w:noWrap/>
            <w:vAlign w:val="center"/>
            <w:hideMark/>
          </w:tcPr>
          <w:p w14:paraId="29473C9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2CEC2FC5"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000000" w:fill="CC99FF"/>
            <w:noWrap/>
            <w:vAlign w:val="center"/>
            <w:hideMark/>
          </w:tcPr>
          <w:p w14:paraId="7BF15F6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0.03</w:t>
            </w:r>
          </w:p>
        </w:tc>
        <w:tc>
          <w:tcPr>
            <w:tcW w:w="588" w:type="dxa"/>
            <w:shd w:val="clear" w:color="D9E1F2" w:fill="D9E1F2"/>
            <w:noWrap/>
            <w:vAlign w:val="center"/>
            <w:hideMark/>
          </w:tcPr>
          <w:p w14:paraId="75E6223C"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0.03</w:t>
            </w:r>
          </w:p>
        </w:tc>
        <w:tc>
          <w:tcPr>
            <w:tcW w:w="588" w:type="dxa"/>
            <w:shd w:val="clear" w:color="D9E1F2" w:fill="D9E1F2"/>
            <w:noWrap/>
            <w:vAlign w:val="center"/>
            <w:hideMark/>
          </w:tcPr>
          <w:p w14:paraId="18BC4D5D"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0.03</w:t>
            </w:r>
          </w:p>
        </w:tc>
        <w:tc>
          <w:tcPr>
            <w:tcW w:w="588" w:type="dxa"/>
            <w:shd w:val="clear" w:color="D9E1F2" w:fill="D9E1F2"/>
            <w:noWrap/>
            <w:vAlign w:val="center"/>
            <w:hideMark/>
          </w:tcPr>
          <w:p w14:paraId="0AF09C1D"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0.02</w:t>
            </w:r>
          </w:p>
        </w:tc>
        <w:tc>
          <w:tcPr>
            <w:tcW w:w="588" w:type="dxa"/>
            <w:shd w:val="clear" w:color="D9E1F2" w:fill="D9E1F2"/>
            <w:noWrap/>
            <w:vAlign w:val="center"/>
            <w:hideMark/>
          </w:tcPr>
          <w:p w14:paraId="4BA1C845"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0.03</w:t>
            </w:r>
          </w:p>
        </w:tc>
        <w:tc>
          <w:tcPr>
            <w:tcW w:w="720" w:type="dxa"/>
            <w:shd w:val="clear" w:color="000000" w:fill="F2F2F2"/>
            <w:noWrap/>
            <w:vAlign w:val="center"/>
            <w:hideMark/>
          </w:tcPr>
          <w:p w14:paraId="188CE0B3"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0.03</w:t>
            </w:r>
          </w:p>
        </w:tc>
        <w:tc>
          <w:tcPr>
            <w:tcW w:w="720" w:type="dxa"/>
            <w:shd w:val="clear" w:color="000000" w:fill="F2F2F2"/>
            <w:noWrap/>
            <w:vAlign w:val="center"/>
            <w:hideMark/>
          </w:tcPr>
          <w:p w14:paraId="6F950080"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0.03</w:t>
            </w:r>
          </w:p>
        </w:tc>
        <w:tc>
          <w:tcPr>
            <w:tcW w:w="720" w:type="dxa"/>
            <w:shd w:val="clear" w:color="000000" w:fill="F2F2F2"/>
            <w:noWrap/>
            <w:vAlign w:val="center"/>
            <w:hideMark/>
          </w:tcPr>
          <w:p w14:paraId="424127A9"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0.02</w:t>
            </w:r>
          </w:p>
        </w:tc>
        <w:tc>
          <w:tcPr>
            <w:tcW w:w="720" w:type="dxa"/>
            <w:shd w:val="clear" w:color="000000" w:fill="F2F2F2"/>
            <w:noWrap/>
            <w:vAlign w:val="center"/>
            <w:hideMark/>
          </w:tcPr>
          <w:p w14:paraId="589B4D4B"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0.03</w:t>
            </w:r>
          </w:p>
        </w:tc>
      </w:tr>
      <w:tr w:rsidR="00A15C2C" w14:paraId="19372D2A" w14:textId="77777777" w:rsidTr="003F10AD">
        <w:trPr>
          <w:trHeight w:val="300"/>
          <w:jc w:val="center"/>
        </w:trPr>
        <w:tc>
          <w:tcPr>
            <w:tcW w:w="700" w:type="dxa"/>
            <w:noWrap/>
            <w:hideMark/>
          </w:tcPr>
          <w:p w14:paraId="348CBBF3" w14:textId="77777777" w:rsidR="001D6419" w:rsidRPr="00B8116B" w:rsidRDefault="000F5B51" w:rsidP="00D07617">
            <w:pPr>
              <w:spacing w:after="0" w:line="240" w:lineRule="auto"/>
              <w:contextualSpacing/>
              <w:rPr>
                <w:rFonts w:eastAsia="Times New Roman" w:cs="Times New Roman"/>
                <w:szCs w:val="24"/>
              </w:rPr>
            </w:pPr>
            <w:r w:rsidRPr="00CF6482">
              <w:lastRenderedPageBreak/>
              <w:t>1998</w:t>
            </w:r>
          </w:p>
        </w:tc>
        <w:tc>
          <w:tcPr>
            <w:tcW w:w="1191" w:type="dxa"/>
            <w:noWrap/>
            <w:vAlign w:val="center"/>
            <w:hideMark/>
          </w:tcPr>
          <w:p w14:paraId="1613172C"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0.3832</w:t>
            </w:r>
          </w:p>
        </w:tc>
        <w:tc>
          <w:tcPr>
            <w:tcW w:w="1004" w:type="dxa"/>
            <w:noWrap/>
            <w:vAlign w:val="center"/>
            <w:hideMark/>
          </w:tcPr>
          <w:p w14:paraId="756CA7CE"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4,296</w:t>
            </w:r>
          </w:p>
        </w:tc>
        <w:tc>
          <w:tcPr>
            <w:tcW w:w="1083" w:type="dxa"/>
            <w:noWrap/>
            <w:vAlign w:val="center"/>
            <w:hideMark/>
          </w:tcPr>
          <w:p w14:paraId="646E8C3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1,646</w:t>
            </w:r>
          </w:p>
        </w:tc>
        <w:tc>
          <w:tcPr>
            <w:tcW w:w="1164" w:type="dxa"/>
            <w:noWrap/>
            <w:vAlign w:val="center"/>
            <w:hideMark/>
          </w:tcPr>
          <w:p w14:paraId="0005CF8F"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0.0116</w:t>
            </w:r>
          </w:p>
        </w:tc>
        <w:tc>
          <w:tcPr>
            <w:tcW w:w="588" w:type="dxa"/>
            <w:noWrap/>
            <w:vAlign w:val="center"/>
            <w:hideMark/>
          </w:tcPr>
          <w:p w14:paraId="79F84F8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88" w:type="dxa"/>
            <w:noWrap/>
            <w:vAlign w:val="center"/>
            <w:hideMark/>
          </w:tcPr>
          <w:p w14:paraId="4610D3A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0E957A6E"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000000" w:fill="CC99FF"/>
            <w:noWrap/>
            <w:vAlign w:val="center"/>
            <w:hideMark/>
          </w:tcPr>
          <w:p w14:paraId="178674A0"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0.02</w:t>
            </w:r>
          </w:p>
        </w:tc>
        <w:tc>
          <w:tcPr>
            <w:tcW w:w="588" w:type="dxa"/>
            <w:noWrap/>
            <w:vAlign w:val="center"/>
            <w:hideMark/>
          </w:tcPr>
          <w:p w14:paraId="1C34ED7A"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0.02</w:t>
            </w:r>
          </w:p>
        </w:tc>
        <w:tc>
          <w:tcPr>
            <w:tcW w:w="588" w:type="dxa"/>
            <w:noWrap/>
            <w:vAlign w:val="center"/>
            <w:hideMark/>
          </w:tcPr>
          <w:p w14:paraId="35872282"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0.02</w:t>
            </w:r>
          </w:p>
        </w:tc>
        <w:tc>
          <w:tcPr>
            <w:tcW w:w="588" w:type="dxa"/>
            <w:noWrap/>
            <w:vAlign w:val="center"/>
            <w:hideMark/>
          </w:tcPr>
          <w:p w14:paraId="1C43B01E"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0.02</w:t>
            </w:r>
          </w:p>
        </w:tc>
        <w:tc>
          <w:tcPr>
            <w:tcW w:w="588" w:type="dxa"/>
            <w:noWrap/>
            <w:vAlign w:val="center"/>
            <w:hideMark/>
          </w:tcPr>
          <w:p w14:paraId="6BC82F09"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0.02</w:t>
            </w:r>
          </w:p>
        </w:tc>
        <w:tc>
          <w:tcPr>
            <w:tcW w:w="720" w:type="dxa"/>
            <w:shd w:val="clear" w:color="000000" w:fill="F2F2F2"/>
            <w:noWrap/>
            <w:vAlign w:val="center"/>
            <w:hideMark/>
          </w:tcPr>
          <w:p w14:paraId="79C158B0"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0.02</w:t>
            </w:r>
          </w:p>
        </w:tc>
        <w:tc>
          <w:tcPr>
            <w:tcW w:w="720" w:type="dxa"/>
            <w:shd w:val="clear" w:color="000000" w:fill="F2F2F2"/>
            <w:noWrap/>
            <w:vAlign w:val="center"/>
            <w:hideMark/>
          </w:tcPr>
          <w:p w14:paraId="097451D9"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0.02</w:t>
            </w:r>
          </w:p>
        </w:tc>
        <w:tc>
          <w:tcPr>
            <w:tcW w:w="720" w:type="dxa"/>
            <w:shd w:val="clear" w:color="000000" w:fill="F2F2F2"/>
            <w:noWrap/>
            <w:vAlign w:val="center"/>
            <w:hideMark/>
          </w:tcPr>
          <w:p w14:paraId="4E74B9B0"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0.02</w:t>
            </w:r>
          </w:p>
        </w:tc>
        <w:tc>
          <w:tcPr>
            <w:tcW w:w="720" w:type="dxa"/>
            <w:shd w:val="clear" w:color="000000" w:fill="F2F2F2"/>
            <w:noWrap/>
            <w:vAlign w:val="center"/>
            <w:hideMark/>
          </w:tcPr>
          <w:p w14:paraId="6F047631"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0.02</w:t>
            </w:r>
          </w:p>
        </w:tc>
      </w:tr>
      <w:tr w:rsidR="00A15C2C" w14:paraId="250C3950" w14:textId="77777777" w:rsidTr="003F10AD">
        <w:trPr>
          <w:trHeight w:val="300"/>
          <w:jc w:val="center"/>
        </w:trPr>
        <w:tc>
          <w:tcPr>
            <w:tcW w:w="700" w:type="dxa"/>
            <w:shd w:val="clear" w:color="D9E1F2" w:fill="D9E1F2"/>
            <w:noWrap/>
            <w:hideMark/>
          </w:tcPr>
          <w:p w14:paraId="74CC655E" w14:textId="77777777" w:rsidR="001D6419" w:rsidRPr="00B8116B" w:rsidRDefault="000F5B51" w:rsidP="00D07617">
            <w:pPr>
              <w:spacing w:after="0" w:line="240" w:lineRule="auto"/>
              <w:contextualSpacing/>
              <w:rPr>
                <w:rFonts w:eastAsia="Times New Roman" w:cs="Times New Roman"/>
                <w:szCs w:val="24"/>
              </w:rPr>
            </w:pPr>
            <w:r w:rsidRPr="00CF6482">
              <w:t>1997</w:t>
            </w:r>
          </w:p>
        </w:tc>
        <w:tc>
          <w:tcPr>
            <w:tcW w:w="1191" w:type="dxa"/>
            <w:shd w:val="clear" w:color="D9E1F2" w:fill="D9E1F2"/>
            <w:noWrap/>
            <w:vAlign w:val="center"/>
            <w:hideMark/>
          </w:tcPr>
          <w:p w14:paraId="6059C16E"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0.3077</w:t>
            </w:r>
          </w:p>
        </w:tc>
        <w:tc>
          <w:tcPr>
            <w:tcW w:w="1004" w:type="dxa"/>
            <w:shd w:val="clear" w:color="D9E1F2" w:fill="D9E1F2"/>
            <w:noWrap/>
            <w:vAlign w:val="center"/>
            <w:hideMark/>
          </w:tcPr>
          <w:p w14:paraId="6E5E8395"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4,203</w:t>
            </w:r>
          </w:p>
        </w:tc>
        <w:tc>
          <w:tcPr>
            <w:tcW w:w="1083" w:type="dxa"/>
            <w:shd w:val="clear" w:color="D9E1F2" w:fill="D9E1F2"/>
            <w:noWrap/>
            <w:vAlign w:val="center"/>
            <w:hideMark/>
          </w:tcPr>
          <w:p w14:paraId="3AEAD72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1,293</w:t>
            </w:r>
          </w:p>
        </w:tc>
        <w:tc>
          <w:tcPr>
            <w:tcW w:w="1164" w:type="dxa"/>
            <w:shd w:val="clear" w:color="D9E1F2" w:fill="D9E1F2"/>
            <w:noWrap/>
            <w:vAlign w:val="center"/>
            <w:hideMark/>
          </w:tcPr>
          <w:p w14:paraId="5E4DB07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0.0091</w:t>
            </w:r>
          </w:p>
        </w:tc>
        <w:tc>
          <w:tcPr>
            <w:tcW w:w="588" w:type="dxa"/>
            <w:shd w:val="clear" w:color="D9E1F2" w:fill="D9E1F2"/>
            <w:noWrap/>
            <w:vAlign w:val="center"/>
            <w:hideMark/>
          </w:tcPr>
          <w:p w14:paraId="65788EC3"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88" w:type="dxa"/>
            <w:shd w:val="clear" w:color="D9E1F2" w:fill="D9E1F2"/>
            <w:noWrap/>
            <w:vAlign w:val="center"/>
            <w:hideMark/>
          </w:tcPr>
          <w:p w14:paraId="5D09C97F"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5B83F43D"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000000" w:fill="CC99FF"/>
            <w:noWrap/>
            <w:vAlign w:val="center"/>
            <w:hideMark/>
          </w:tcPr>
          <w:p w14:paraId="703D9F99"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0.02</w:t>
            </w:r>
          </w:p>
        </w:tc>
        <w:tc>
          <w:tcPr>
            <w:tcW w:w="588" w:type="dxa"/>
            <w:shd w:val="clear" w:color="D9E1F2" w:fill="D9E1F2"/>
            <w:noWrap/>
            <w:vAlign w:val="center"/>
            <w:hideMark/>
          </w:tcPr>
          <w:p w14:paraId="0720AFD0"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0.02</w:t>
            </w:r>
          </w:p>
        </w:tc>
        <w:tc>
          <w:tcPr>
            <w:tcW w:w="588" w:type="dxa"/>
            <w:shd w:val="clear" w:color="D9E1F2" w:fill="D9E1F2"/>
            <w:noWrap/>
            <w:vAlign w:val="center"/>
            <w:hideMark/>
          </w:tcPr>
          <w:p w14:paraId="0C058287"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0.02</w:t>
            </w:r>
          </w:p>
        </w:tc>
        <w:tc>
          <w:tcPr>
            <w:tcW w:w="588" w:type="dxa"/>
            <w:shd w:val="clear" w:color="D9E1F2" w:fill="D9E1F2"/>
            <w:noWrap/>
            <w:vAlign w:val="center"/>
            <w:hideMark/>
          </w:tcPr>
          <w:p w14:paraId="4A6D1EDA"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88" w:type="dxa"/>
            <w:shd w:val="clear" w:color="D9E1F2" w:fill="D9E1F2"/>
            <w:noWrap/>
            <w:vAlign w:val="center"/>
            <w:hideMark/>
          </w:tcPr>
          <w:p w14:paraId="574578AC"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0.02</w:t>
            </w:r>
          </w:p>
        </w:tc>
        <w:tc>
          <w:tcPr>
            <w:tcW w:w="720" w:type="dxa"/>
            <w:shd w:val="clear" w:color="000000" w:fill="F2F2F2"/>
            <w:noWrap/>
            <w:vAlign w:val="center"/>
            <w:hideMark/>
          </w:tcPr>
          <w:p w14:paraId="1F333268"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0.02</w:t>
            </w:r>
          </w:p>
        </w:tc>
        <w:tc>
          <w:tcPr>
            <w:tcW w:w="720" w:type="dxa"/>
            <w:shd w:val="clear" w:color="000000" w:fill="F2F2F2"/>
            <w:noWrap/>
            <w:vAlign w:val="center"/>
            <w:hideMark/>
          </w:tcPr>
          <w:p w14:paraId="0A21840B"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0.02</w:t>
            </w:r>
          </w:p>
        </w:tc>
        <w:tc>
          <w:tcPr>
            <w:tcW w:w="720" w:type="dxa"/>
            <w:shd w:val="clear" w:color="000000" w:fill="F2F2F2"/>
            <w:noWrap/>
            <w:vAlign w:val="center"/>
            <w:hideMark/>
          </w:tcPr>
          <w:p w14:paraId="42D35FAE"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720" w:type="dxa"/>
            <w:shd w:val="clear" w:color="000000" w:fill="F2F2F2"/>
            <w:noWrap/>
            <w:vAlign w:val="center"/>
            <w:hideMark/>
          </w:tcPr>
          <w:p w14:paraId="420A6D34"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0.02</w:t>
            </w:r>
          </w:p>
        </w:tc>
      </w:tr>
      <w:tr w:rsidR="00A15C2C" w14:paraId="1CED538B" w14:textId="77777777" w:rsidTr="003F10AD">
        <w:trPr>
          <w:trHeight w:val="300"/>
          <w:jc w:val="center"/>
        </w:trPr>
        <w:tc>
          <w:tcPr>
            <w:tcW w:w="700" w:type="dxa"/>
            <w:noWrap/>
            <w:hideMark/>
          </w:tcPr>
          <w:p w14:paraId="60FF683C" w14:textId="77777777" w:rsidR="001D6419" w:rsidRPr="00B8116B" w:rsidRDefault="000F5B51" w:rsidP="00D07617">
            <w:pPr>
              <w:spacing w:after="0" w:line="240" w:lineRule="auto"/>
              <w:contextualSpacing/>
              <w:rPr>
                <w:rFonts w:eastAsia="Times New Roman" w:cs="Times New Roman"/>
                <w:szCs w:val="24"/>
              </w:rPr>
            </w:pPr>
            <w:r w:rsidRPr="00CF6482">
              <w:t>1996</w:t>
            </w:r>
          </w:p>
        </w:tc>
        <w:tc>
          <w:tcPr>
            <w:tcW w:w="1191" w:type="dxa"/>
            <w:noWrap/>
            <w:vAlign w:val="center"/>
            <w:hideMark/>
          </w:tcPr>
          <w:p w14:paraId="414EAC2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0.2414</w:t>
            </w:r>
          </w:p>
        </w:tc>
        <w:tc>
          <w:tcPr>
            <w:tcW w:w="1004" w:type="dxa"/>
            <w:noWrap/>
            <w:vAlign w:val="center"/>
            <w:hideMark/>
          </w:tcPr>
          <w:p w14:paraId="022F0C4B"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4,114</w:t>
            </w:r>
          </w:p>
        </w:tc>
        <w:tc>
          <w:tcPr>
            <w:tcW w:w="1083" w:type="dxa"/>
            <w:noWrap/>
            <w:vAlign w:val="center"/>
            <w:hideMark/>
          </w:tcPr>
          <w:p w14:paraId="61F74E98"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993</w:t>
            </w:r>
          </w:p>
        </w:tc>
        <w:tc>
          <w:tcPr>
            <w:tcW w:w="1164" w:type="dxa"/>
            <w:noWrap/>
            <w:vAlign w:val="center"/>
            <w:hideMark/>
          </w:tcPr>
          <w:p w14:paraId="678F03A5"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0.0070</w:t>
            </w:r>
          </w:p>
        </w:tc>
        <w:tc>
          <w:tcPr>
            <w:tcW w:w="588" w:type="dxa"/>
            <w:noWrap/>
            <w:vAlign w:val="center"/>
            <w:hideMark/>
          </w:tcPr>
          <w:p w14:paraId="748BCD65"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88" w:type="dxa"/>
            <w:noWrap/>
            <w:vAlign w:val="center"/>
            <w:hideMark/>
          </w:tcPr>
          <w:p w14:paraId="32539095"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4ADE6564"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000000" w:fill="CC99FF"/>
            <w:noWrap/>
            <w:vAlign w:val="center"/>
            <w:hideMark/>
          </w:tcPr>
          <w:p w14:paraId="50E48F2F"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0.02</w:t>
            </w:r>
          </w:p>
        </w:tc>
        <w:tc>
          <w:tcPr>
            <w:tcW w:w="588" w:type="dxa"/>
            <w:noWrap/>
            <w:vAlign w:val="center"/>
            <w:hideMark/>
          </w:tcPr>
          <w:p w14:paraId="6B55E074"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0.02</w:t>
            </w:r>
          </w:p>
        </w:tc>
        <w:tc>
          <w:tcPr>
            <w:tcW w:w="588" w:type="dxa"/>
            <w:noWrap/>
            <w:vAlign w:val="center"/>
            <w:hideMark/>
          </w:tcPr>
          <w:p w14:paraId="5890AEEF"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0.02</w:t>
            </w:r>
          </w:p>
        </w:tc>
        <w:tc>
          <w:tcPr>
            <w:tcW w:w="588" w:type="dxa"/>
            <w:noWrap/>
            <w:vAlign w:val="center"/>
            <w:hideMark/>
          </w:tcPr>
          <w:p w14:paraId="4193FD23"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88" w:type="dxa"/>
            <w:noWrap/>
            <w:vAlign w:val="center"/>
            <w:hideMark/>
          </w:tcPr>
          <w:p w14:paraId="6562FA49"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0.02</w:t>
            </w:r>
          </w:p>
        </w:tc>
        <w:tc>
          <w:tcPr>
            <w:tcW w:w="720" w:type="dxa"/>
            <w:shd w:val="clear" w:color="000000" w:fill="F2F2F2"/>
            <w:noWrap/>
            <w:vAlign w:val="center"/>
            <w:hideMark/>
          </w:tcPr>
          <w:p w14:paraId="2128A2CE"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0.02</w:t>
            </w:r>
          </w:p>
        </w:tc>
        <w:tc>
          <w:tcPr>
            <w:tcW w:w="720" w:type="dxa"/>
            <w:shd w:val="clear" w:color="000000" w:fill="F2F2F2"/>
            <w:noWrap/>
            <w:vAlign w:val="center"/>
            <w:hideMark/>
          </w:tcPr>
          <w:p w14:paraId="2EFA7BF9"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0.02</w:t>
            </w:r>
          </w:p>
        </w:tc>
        <w:tc>
          <w:tcPr>
            <w:tcW w:w="720" w:type="dxa"/>
            <w:shd w:val="clear" w:color="000000" w:fill="F2F2F2"/>
            <w:noWrap/>
            <w:vAlign w:val="center"/>
            <w:hideMark/>
          </w:tcPr>
          <w:p w14:paraId="5A72CFB4"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720" w:type="dxa"/>
            <w:shd w:val="clear" w:color="000000" w:fill="F2F2F2"/>
            <w:noWrap/>
            <w:vAlign w:val="center"/>
            <w:hideMark/>
          </w:tcPr>
          <w:p w14:paraId="01971AD7"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0.02</w:t>
            </w:r>
          </w:p>
        </w:tc>
      </w:tr>
      <w:tr w:rsidR="00A15C2C" w14:paraId="4645977C" w14:textId="77777777" w:rsidTr="003F10AD">
        <w:trPr>
          <w:trHeight w:val="300"/>
          <w:jc w:val="center"/>
        </w:trPr>
        <w:tc>
          <w:tcPr>
            <w:tcW w:w="700" w:type="dxa"/>
            <w:shd w:val="clear" w:color="D9E1F2" w:fill="D9E1F2"/>
            <w:noWrap/>
            <w:hideMark/>
          </w:tcPr>
          <w:p w14:paraId="57AAC021" w14:textId="77777777" w:rsidR="001D6419" w:rsidRPr="00B8116B" w:rsidRDefault="000F5B51" w:rsidP="00D07617">
            <w:pPr>
              <w:spacing w:after="0" w:line="240" w:lineRule="auto"/>
              <w:contextualSpacing/>
              <w:rPr>
                <w:rFonts w:eastAsia="Times New Roman" w:cs="Times New Roman"/>
                <w:szCs w:val="24"/>
              </w:rPr>
            </w:pPr>
            <w:r w:rsidRPr="00CF6482">
              <w:t>1995</w:t>
            </w:r>
          </w:p>
        </w:tc>
        <w:tc>
          <w:tcPr>
            <w:tcW w:w="1191" w:type="dxa"/>
            <w:shd w:val="clear" w:color="D9E1F2" w:fill="D9E1F2"/>
            <w:noWrap/>
            <w:vAlign w:val="center"/>
            <w:hideMark/>
          </w:tcPr>
          <w:p w14:paraId="4C99A604"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0.1833</w:t>
            </w:r>
          </w:p>
        </w:tc>
        <w:tc>
          <w:tcPr>
            <w:tcW w:w="1004" w:type="dxa"/>
            <w:shd w:val="clear" w:color="D9E1F2" w:fill="D9E1F2"/>
            <w:noWrap/>
            <w:vAlign w:val="center"/>
            <w:hideMark/>
          </w:tcPr>
          <w:p w14:paraId="3D82B88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4,030</w:t>
            </w:r>
          </w:p>
        </w:tc>
        <w:tc>
          <w:tcPr>
            <w:tcW w:w="1083" w:type="dxa"/>
            <w:shd w:val="clear" w:color="D9E1F2" w:fill="D9E1F2"/>
            <w:noWrap/>
            <w:vAlign w:val="center"/>
            <w:hideMark/>
          </w:tcPr>
          <w:p w14:paraId="5AEDDB0C"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739</w:t>
            </w:r>
          </w:p>
        </w:tc>
        <w:tc>
          <w:tcPr>
            <w:tcW w:w="1164" w:type="dxa"/>
            <w:shd w:val="clear" w:color="D9E1F2" w:fill="D9E1F2"/>
            <w:noWrap/>
            <w:vAlign w:val="center"/>
            <w:hideMark/>
          </w:tcPr>
          <w:p w14:paraId="71F94A8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0.0052</w:t>
            </w:r>
          </w:p>
        </w:tc>
        <w:tc>
          <w:tcPr>
            <w:tcW w:w="588" w:type="dxa"/>
            <w:shd w:val="clear" w:color="D9E1F2" w:fill="D9E1F2"/>
            <w:noWrap/>
            <w:vAlign w:val="center"/>
            <w:hideMark/>
          </w:tcPr>
          <w:p w14:paraId="03ADF258"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88" w:type="dxa"/>
            <w:shd w:val="clear" w:color="D9E1F2" w:fill="D9E1F2"/>
            <w:noWrap/>
            <w:vAlign w:val="center"/>
            <w:hideMark/>
          </w:tcPr>
          <w:p w14:paraId="4336DBD5"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2A9C4742"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000000" w:fill="CC99FF"/>
            <w:noWrap/>
            <w:vAlign w:val="center"/>
            <w:hideMark/>
          </w:tcPr>
          <w:p w14:paraId="48667064"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0.01</w:t>
            </w:r>
          </w:p>
        </w:tc>
        <w:tc>
          <w:tcPr>
            <w:tcW w:w="588" w:type="dxa"/>
            <w:shd w:val="clear" w:color="D9E1F2" w:fill="D9E1F2"/>
            <w:noWrap/>
            <w:vAlign w:val="center"/>
            <w:hideMark/>
          </w:tcPr>
          <w:p w14:paraId="1CF275C3"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88" w:type="dxa"/>
            <w:shd w:val="clear" w:color="D9E1F2" w:fill="D9E1F2"/>
            <w:noWrap/>
            <w:vAlign w:val="center"/>
            <w:hideMark/>
          </w:tcPr>
          <w:p w14:paraId="1C9C6D9E"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88" w:type="dxa"/>
            <w:shd w:val="clear" w:color="D9E1F2" w:fill="D9E1F2"/>
            <w:noWrap/>
            <w:vAlign w:val="center"/>
            <w:hideMark/>
          </w:tcPr>
          <w:p w14:paraId="38260D95"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88" w:type="dxa"/>
            <w:shd w:val="clear" w:color="D9E1F2" w:fill="D9E1F2"/>
            <w:noWrap/>
            <w:vAlign w:val="center"/>
            <w:hideMark/>
          </w:tcPr>
          <w:p w14:paraId="26E3D609"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720" w:type="dxa"/>
            <w:shd w:val="clear" w:color="000000" w:fill="F2F2F2"/>
            <w:noWrap/>
            <w:vAlign w:val="center"/>
            <w:hideMark/>
          </w:tcPr>
          <w:p w14:paraId="0D96E6FF"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720" w:type="dxa"/>
            <w:shd w:val="clear" w:color="000000" w:fill="F2F2F2"/>
            <w:noWrap/>
            <w:vAlign w:val="center"/>
            <w:hideMark/>
          </w:tcPr>
          <w:p w14:paraId="7128824D"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720" w:type="dxa"/>
            <w:shd w:val="clear" w:color="000000" w:fill="F2F2F2"/>
            <w:noWrap/>
            <w:vAlign w:val="center"/>
            <w:hideMark/>
          </w:tcPr>
          <w:p w14:paraId="3A1BB09F"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720" w:type="dxa"/>
            <w:shd w:val="clear" w:color="000000" w:fill="F2F2F2"/>
            <w:noWrap/>
            <w:vAlign w:val="center"/>
            <w:hideMark/>
          </w:tcPr>
          <w:p w14:paraId="535385EC"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r>
      <w:tr w:rsidR="00A15C2C" w14:paraId="0D249797" w14:textId="77777777" w:rsidTr="003F10AD">
        <w:trPr>
          <w:trHeight w:val="300"/>
          <w:jc w:val="center"/>
        </w:trPr>
        <w:tc>
          <w:tcPr>
            <w:tcW w:w="700" w:type="dxa"/>
            <w:noWrap/>
            <w:hideMark/>
          </w:tcPr>
          <w:p w14:paraId="76D14756" w14:textId="77777777" w:rsidR="001D6419" w:rsidRPr="00B8116B" w:rsidRDefault="000F5B51" w:rsidP="00D07617">
            <w:pPr>
              <w:spacing w:after="0" w:line="240" w:lineRule="auto"/>
              <w:contextualSpacing/>
              <w:rPr>
                <w:rFonts w:eastAsia="Times New Roman" w:cs="Times New Roman"/>
                <w:szCs w:val="24"/>
              </w:rPr>
            </w:pPr>
            <w:r w:rsidRPr="00CF6482">
              <w:t>1994</w:t>
            </w:r>
          </w:p>
        </w:tc>
        <w:tc>
          <w:tcPr>
            <w:tcW w:w="1191" w:type="dxa"/>
            <w:noWrap/>
            <w:vAlign w:val="center"/>
            <w:hideMark/>
          </w:tcPr>
          <w:p w14:paraId="55AA9F88"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0.1388</w:t>
            </w:r>
          </w:p>
        </w:tc>
        <w:tc>
          <w:tcPr>
            <w:tcW w:w="1004" w:type="dxa"/>
            <w:noWrap/>
            <w:vAlign w:val="center"/>
            <w:hideMark/>
          </w:tcPr>
          <w:p w14:paraId="0DB716D3"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3,951</w:t>
            </w:r>
          </w:p>
        </w:tc>
        <w:tc>
          <w:tcPr>
            <w:tcW w:w="1083" w:type="dxa"/>
            <w:noWrap/>
            <w:vAlign w:val="center"/>
            <w:hideMark/>
          </w:tcPr>
          <w:p w14:paraId="43F35E24"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548</w:t>
            </w:r>
          </w:p>
        </w:tc>
        <w:tc>
          <w:tcPr>
            <w:tcW w:w="1164" w:type="dxa"/>
            <w:noWrap/>
            <w:vAlign w:val="center"/>
            <w:hideMark/>
          </w:tcPr>
          <w:p w14:paraId="6A6F5B79"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0.0039</w:t>
            </w:r>
          </w:p>
        </w:tc>
        <w:tc>
          <w:tcPr>
            <w:tcW w:w="588" w:type="dxa"/>
            <w:noWrap/>
            <w:vAlign w:val="center"/>
            <w:hideMark/>
          </w:tcPr>
          <w:p w14:paraId="4D152D5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88" w:type="dxa"/>
            <w:noWrap/>
            <w:vAlign w:val="center"/>
            <w:hideMark/>
          </w:tcPr>
          <w:p w14:paraId="40792A2A"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035352A5"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000000" w:fill="CC99FF"/>
            <w:noWrap/>
            <w:vAlign w:val="center"/>
            <w:hideMark/>
          </w:tcPr>
          <w:p w14:paraId="2E963F10"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0.01</w:t>
            </w:r>
          </w:p>
        </w:tc>
        <w:tc>
          <w:tcPr>
            <w:tcW w:w="588" w:type="dxa"/>
            <w:noWrap/>
            <w:vAlign w:val="center"/>
            <w:hideMark/>
          </w:tcPr>
          <w:p w14:paraId="54FE085A"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88" w:type="dxa"/>
            <w:noWrap/>
            <w:vAlign w:val="center"/>
            <w:hideMark/>
          </w:tcPr>
          <w:p w14:paraId="309356BD"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88" w:type="dxa"/>
            <w:noWrap/>
            <w:vAlign w:val="center"/>
            <w:hideMark/>
          </w:tcPr>
          <w:p w14:paraId="1F7355AC"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88" w:type="dxa"/>
            <w:noWrap/>
            <w:vAlign w:val="center"/>
            <w:hideMark/>
          </w:tcPr>
          <w:p w14:paraId="26AA6620"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720" w:type="dxa"/>
            <w:shd w:val="clear" w:color="000000" w:fill="F2F2F2"/>
            <w:noWrap/>
            <w:vAlign w:val="center"/>
            <w:hideMark/>
          </w:tcPr>
          <w:p w14:paraId="721CADC4"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720" w:type="dxa"/>
            <w:shd w:val="clear" w:color="000000" w:fill="F2F2F2"/>
            <w:noWrap/>
            <w:vAlign w:val="center"/>
            <w:hideMark/>
          </w:tcPr>
          <w:p w14:paraId="514337BB"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720" w:type="dxa"/>
            <w:shd w:val="clear" w:color="000000" w:fill="F2F2F2"/>
            <w:noWrap/>
            <w:vAlign w:val="center"/>
            <w:hideMark/>
          </w:tcPr>
          <w:p w14:paraId="1ABDE0C5"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720" w:type="dxa"/>
            <w:shd w:val="clear" w:color="000000" w:fill="F2F2F2"/>
            <w:noWrap/>
            <w:vAlign w:val="center"/>
            <w:hideMark/>
          </w:tcPr>
          <w:p w14:paraId="0164A542"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r>
      <w:tr w:rsidR="00A15C2C" w14:paraId="76AD090D" w14:textId="77777777" w:rsidTr="003F10AD">
        <w:trPr>
          <w:trHeight w:val="300"/>
          <w:jc w:val="center"/>
        </w:trPr>
        <w:tc>
          <w:tcPr>
            <w:tcW w:w="700" w:type="dxa"/>
            <w:shd w:val="clear" w:color="D9E1F2" w:fill="D9E1F2"/>
            <w:noWrap/>
            <w:hideMark/>
          </w:tcPr>
          <w:p w14:paraId="4FD841B0" w14:textId="77777777" w:rsidR="001D6419" w:rsidRPr="00B8116B" w:rsidRDefault="000F5B51" w:rsidP="00D07617">
            <w:pPr>
              <w:spacing w:after="0" w:line="240" w:lineRule="auto"/>
              <w:contextualSpacing/>
              <w:rPr>
                <w:rFonts w:eastAsia="Times New Roman" w:cs="Times New Roman"/>
                <w:szCs w:val="24"/>
              </w:rPr>
            </w:pPr>
            <w:r w:rsidRPr="00CF6482">
              <w:t>1993</w:t>
            </w:r>
          </w:p>
        </w:tc>
        <w:tc>
          <w:tcPr>
            <w:tcW w:w="1191" w:type="dxa"/>
            <w:shd w:val="clear" w:color="D9E1F2" w:fill="D9E1F2"/>
            <w:noWrap/>
            <w:vAlign w:val="center"/>
            <w:hideMark/>
          </w:tcPr>
          <w:p w14:paraId="365CED5E"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0.1066</w:t>
            </w:r>
          </w:p>
        </w:tc>
        <w:tc>
          <w:tcPr>
            <w:tcW w:w="1004" w:type="dxa"/>
            <w:shd w:val="clear" w:color="D9E1F2" w:fill="D9E1F2"/>
            <w:noWrap/>
            <w:vAlign w:val="center"/>
            <w:hideMark/>
          </w:tcPr>
          <w:p w14:paraId="260B0B03"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3,877</w:t>
            </w:r>
          </w:p>
        </w:tc>
        <w:tc>
          <w:tcPr>
            <w:tcW w:w="1083" w:type="dxa"/>
            <w:shd w:val="clear" w:color="D9E1F2" w:fill="D9E1F2"/>
            <w:noWrap/>
            <w:vAlign w:val="center"/>
            <w:hideMark/>
          </w:tcPr>
          <w:p w14:paraId="10B24018"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413</w:t>
            </w:r>
          </w:p>
        </w:tc>
        <w:tc>
          <w:tcPr>
            <w:tcW w:w="1164" w:type="dxa"/>
            <w:shd w:val="clear" w:color="D9E1F2" w:fill="D9E1F2"/>
            <w:noWrap/>
            <w:vAlign w:val="center"/>
            <w:hideMark/>
          </w:tcPr>
          <w:p w14:paraId="21518F92"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0.0029</w:t>
            </w:r>
          </w:p>
        </w:tc>
        <w:tc>
          <w:tcPr>
            <w:tcW w:w="588" w:type="dxa"/>
            <w:shd w:val="clear" w:color="D9E1F2" w:fill="D9E1F2"/>
            <w:noWrap/>
            <w:vAlign w:val="center"/>
            <w:hideMark/>
          </w:tcPr>
          <w:p w14:paraId="50FD8604"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88" w:type="dxa"/>
            <w:shd w:val="clear" w:color="D9E1F2" w:fill="D9E1F2"/>
            <w:noWrap/>
            <w:vAlign w:val="center"/>
            <w:hideMark/>
          </w:tcPr>
          <w:p w14:paraId="290B273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2BEC21B4"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000000" w:fill="CC99FF"/>
            <w:noWrap/>
            <w:vAlign w:val="center"/>
            <w:hideMark/>
          </w:tcPr>
          <w:p w14:paraId="1CD5BD20"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0.01</w:t>
            </w:r>
          </w:p>
        </w:tc>
        <w:tc>
          <w:tcPr>
            <w:tcW w:w="588" w:type="dxa"/>
            <w:shd w:val="clear" w:color="D9E1F2" w:fill="D9E1F2"/>
            <w:noWrap/>
            <w:vAlign w:val="center"/>
            <w:hideMark/>
          </w:tcPr>
          <w:p w14:paraId="4EC53A15"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88" w:type="dxa"/>
            <w:shd w:val="clear" w:color="D9E1F2" w:fill="D9E1F2"/>
            <w:noWrap/>
            <w:vAlign w:val="center"/>
            <w:hideMark/>
          </w:tcPr>
          <w:p w14:paraId="7F522013"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88" w:type="dxa"/>
            <w:shd w:val="clear" w:color="D9E1F2" w:fill="D9E1F2"/>
            <w:noWrap/>
            <w:vAlign w:val="center"/>
            <w:hideMark/>
          </w:tcPr>
          <w:p w14:paraId="0CA5810D"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88" w:type="dxa"/>
            <w:shd w:val="clear" w:color="D9E1F2" w:fill="D9E1F2"/>
            <w:noWrap/>
            <w:vAlign w:val="center"/>
            <w:hideMark/>
          </w:tcPr>
          <w:p w14:paraId="445484D9"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720" w:type="dxa"/>
            <w:shd w:val="clear" w:color="000000" w:fill="F2F2F2"/>
            <w:noWrap/>
            <w:vAlign w:val="center"/>
            <w:hideMark/>
          </w:tcPr>
          <w:p w14:paraId="79794A5A"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720" w:type="dxa"/>
            <w:shd w:val="clear" w:color="000000" w:fill="F2F2F2"/>
            <w:noWrap/>
            <w:vAlign w:val="center"/>
            <w:hideMark/>
          </w:tcPr>
          <w:p w14:paraId="3D265083"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720" w:type="dxa"/>
            <w:shd w:val="clear" w:color="000000" w:fill="F2F2F2"/>
            <w:noWrap/>
            <w:vAlign w:val="center"/>
            <w:hideMark/>
          </w:tcPr>
          <w:p w14:paraId="01EB8823"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720" w:type="dxa"/>
            <w:shd w:val="clear" w:color="000000" w:fill="F2F2F2"/>
            <w:noWrap/>
            <w:vAlign w:val="center"/>
            <w:hideMark/>
          </w:tcPr>
          <w:p w14:paraId="43D25253"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r>
      <w:tr w:rsidR="00A15C2C" w14:paraId="490CF763" w14:textId="77777777" w:rsidTr="003F10AD">
        <w:trPr>
          <w:trHeight w:val="300"/>
          <w:jc w:val="center"/>
        </w:trPr>
        <w:tc>
          <w:tcPr>
            <w:tcW w:w="700" w:type="dxa"/>
            <w:noWrap/>
            <w:hideMark/>
          </w:tcPr>
          <w:p w14:paraId="674132D4" w14:textId="77777777" w:rsidR="001D6419" w:rsidRPr="00B8116B" w:rsidRDefault="000F5B51" w:rsidP="00D07617">
            <w:pPr>
              <w:spacing w:after="0" w:line="240" w:lineRule="auto"/>
              <w:contextualSpacing/>
              <w:rPr>
                <w:rFonts w:eastAsia="Times New Roman" w:cs="Times New Roman"/>
                <w:szCs w:val="24"/>
              </w:rPr>
            </w:pPr>
            <w:r w:rsidRPr="00CF6482">
              <w:t>1992</w:t>
            </w:r>
          </w:p>
        </w:tc>
        <w:tc>
          <w:tcPr>
            <w:tcW w:w="1191" w:type="dxa"/>
            <w:noWrap/>
            <w:vAlign w:val="center"/>
            <w:hideMark/>
          </w:tcPr>
          <w:p w14:paraId="4B47D9A3"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0.0820</w:t>
            </w:r>
          </w:p>
        </w:tc>
        <w:tc>
          <w:tcPr>
            <w:tcW w:w="1004" w:type="dxa"/>
            <w:noWrap/>
            <w:vAlign w:val="center"/>
            <w:hideMark/>
          </w:tcPr>
          <w:p w14:paraId="1E752E44"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3,807</w:t>
            </w:r>
          </w:p>
        </w:tc>
        <w:tc>
          <w:tcPr>
            <w:tcW w:w="1083" w:type="dxa"/>
            <w:noWrap/>
            <w:vAlign w:val="center"/>
            <w:hideMark/>
          </w:tcPr>
          <w:p w14:paraId="107C975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312</w:t>
            </w:r>
          </w:p>
        </w:tc>
        <w:tc>
          <w:tcPr>
            <w:tcW w:w="1164" w:type="dxa"/>
            <w:noWrap/>
            <w:vAlign w:val="center"/>
            <w:hideMark/>
          </w:tcPr>
          <w:p w14:paraId="16C66D4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0.0022</w:t>
            </w:r>
          </w:p>
        </w:tc>
        <w:tc>
          <w:tcPr>
            <w:tcW w:w="588" w:type="dxa"/>
            <w:noWrap/>
            <w:vAlign w:val="center"/>
            <w:hideMark/>
          </w:tcPr>
          <w:p w14:paraId="555BD925"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88" w:type="dxa"/>
            <w:noWrap/>
            <w:vAlign w:val="center"/>
            <w:hideMark/>
          </w:tcPr>
          <w:p w14:paraId="3FA646CB"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68F6B83A"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000000" w:fill="CC99FF"/>
            <w:noWrap/>
            <w:vAlign w:val="center"/>
            <w:hideMark/>
          </w:tcPr>
          <w:p w14:paraId="5C068B25"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0.01</w:t>
            </w:r>
          </w:p>
        </w:tc>
        <w:tc>
          <w:tcPr>
            <w:tcW w:w="588" w:type="dxa"/>
            <w:noWrap/>
            <w:vAlign w:val="center"/>
            <w:hideMark/>
          </w:tcPr>
          <w:p w14:paraId="0214F0DF"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88" w:type="dxa"/>
            <w:noWrap/>
            <w:vAlign w:val="center"/>
            <w:hideMark/>
          </w:tcPr>
          <w:p w14:paraId="78695A19"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88" w:type="dxa"/>
            <w:noWrap/>
            <w:vAlign w:val="center"/>
            <w:hideMark/>
          </w:tcPr>
          <w:p w14:paraId="7CB26F09"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noWrap/>
            <w:vAlign w:val="center"/>
            <w:hideMark/>
          </w:tcPr>
          <w:p w14:paraId="645AAA12"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720" w:type="dxa"/>
            <w:shd w:val="clear" w:color="000000" w:fill="F2F2F2"/>
            <w:noWrap/>
            <w:vAlign w:val="center"/>
            <w:hideMark/>
          </w:tcPr>
          <w:p w14:paraId="053B73D9"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720" w:type="dxa"/>
            <w:shd w:val="clear" w:color="000000" w:fill="F2F2F2"/>
            <w:noWrap/>
            <w:vAlign w:val="center"/>
            <w:hideMark/>
          </w:tcPr>
          <w:p w14:paraId="54D7F03F"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720" w:type="dxa"/>
            <w:shd w:val="clear" w:color="000000" w:fill="F2F2F2"/>
            <w:noWrap/>
            <w:vAlign w:val="center"/>
            <w:hideMark/>
          </w:tcPr>
          <w:p w14:paraId="7B28855D"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5C9130E0"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r>
      <w:tr w:rsidR="00A15C2C" w14:paraId="39C9D167" w14:textId="77777777" w:rsidTr="003F10AD">
        <w:trPr>
          <w:trHeight w:val="300"/>
          <w:jc w:val="center"/>
        </w:trPr>
        <w:tc>
          <w:tcPr>
            <w:tcW w:w="700" w:type="dxa"/>
            <w:shd w:val="clear" w:color="D9E1F2" w:fill="D9E1F2"/>
            <w:noWrap/>
            <w:hideMark/>
          </w:tcPr>
          <w:p w14:paraId="117B6E07" w14:textId="77777777" w:rsidR="001D6419" w:rsidRPr="00B8116B" w:rsidRDefault="000F5B51" w:rsidP="00D07617">
            <w:pPr>
              <w:spacing w:after="0" w:line="240" w:lineRule="auto"/>
              <w:contextualSpacing/>
              <w:rPr>
                <w:rFonts w:eastAsia="Times New Roman" w:cs="Times New Roman"/>
                <w:szCs w:val="24"/>
              </w:rPr>
            </w:pPr>
            <w:r w:rsidRPr="00CF6482">
              <w:t>1991</w:t>
            </w:r>
          </w:p>
        </w:tc>
        <w:tc>
          <w:tcPr>
            <w:tcW w:w="1191" w:type="dxa"/>
            <w:shd w:val="clear" w:color="D9E1F2" w:fill="D9E1F2"/>
            <w:noWrap/>
            <w:vAlign w:val="center"/>
            <w:hideMark/>
          </w:tcPr>
          <w:p w14:paraId="4738CCF2"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0.0629</w:t>
            </w:r>
          </w:p>
        </w:tc>
        <w:tc>
          <w:tcPr>
            <w:tcW w:w="1004" w:type="dxa"/>
            <w:shd w:val="clear" w:color="D9E1F2" w:fill="D9E1F2"/>
            <w:noWrap/>
            <w:vAlign w:val="center"/>
            <w:hideMark/>
          </w:tcPr>
          <w:p w14:paraId="691B47EA"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3,741</w:t>
            </w:r>
          </w:p>
        </w:tc>
        <w:tc>
          <w:tcPr>
            <w:tcW w:w="1083" w:type="dxa"/>
            <w:shd w:val="clear" w:color="D9E1F2" w:fill="D9E1F2"/>
            <w:noWrap/>
            <w:vAlign w:val="center"/>
            <w:hideMark/>
          </w:tcPr>
          <w:p w14:paraId="56A2BA5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235</w:t>
            </w:r>
          </w:p>
        </w:tc>
        <w:tc>
          <w:tcPr>
            <w:tcW w:w="1164" w:type="dxa"/>
            <w:shd w:val="clear" w:color="D9E1F2" w:fill="D9E1F2"/>
            <w:noWrap/>
            <w:vAlign w:val="center"/>
            <w:hideMark/>
          </w:tcPr>
          <w:p w14:paraId="3BD38FBF"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0.0017</w:t>
            </w:r>
          </w:p>
        </w:tc>
        <w:tc>
          <w:tcPr>
            <w:tcW w:w="588" w:type="dxa"/>
            <w:shd w:val="clear" w:color="D9E1F2" w:fill="D9E1F2"/>
            <w:noWrap/>
            <w:vAlign w:val="center"/>
            <w:hideMark/>
          </w:tcPr>
          <w:p w14:paraId="3E3E5AB1"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88" w:type="dxa"/>
            <w:shd w:val="clear" w:color="D9E1F2" w:fill="D9E1F2"/>
            <w:noWrap/>
            <w:vAlign w:val="center"/>
            <w:hideMark/>
          </w:tcPr>
          <w:p w14:paraId="792A1D00"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5FA78DFF"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000000" w:fill="CC99FF"/>
            <w:noWrap/>
            <w:vAlign w:val="center"/>
            <w:hideMark/>
          </w:tcPr>
          <w:p w14:paraId="39FF595C"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D9E1F2" w:fill="D9E1F2"/>
            <w:noWrap/>
            <w:vAlign w:val="center"/>
            <w:hideMark/>
          </w:tcPr>
          <w:p w14:paraId="14140394"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shd w:val="clear" w:color="D9E1F2" w:fill="D9E1F2"/>
            <w:noWrap/>
            <w:vAlign w:val="center"/>
            <w:hideMark/>
          </w:tcPr>
          <w:p w14:paraId="5EDA007B"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shd w:val="clear" w:color="D9E1F2" w:fill="D9E1F2"/>
            <w:noWrap/>
            <w:vAlign w:val="center"/>
            <w:hideMark/>
          </w:tcPr>
          <w:p w14:paraId="6C5165F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shd w:val="clear" w:color="D9E1F2" w:fill="D9E1F2"/>
            <w:noWrap/>
            <w:vAlign w:val="center"/>
            <w:hideMark/>
          </w:tcPr>
          <w:p w14:paraId="09C1BB8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720" w:type="dxa"/>
            <w:shd w:val="clear" w:color="000000" w:fill="F2F2F2"/>
            <w:noWrap/>
            <w:vAlign w:val="center"/>
            <w:hideMark/>
          </w:tcPr>
          <w:p w14:paraId="6843FB30"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130855C7"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41CF7801"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4F3B877E"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r>
      <w:tr w:rsidR="00A15C2C" w14:paraId="38009A1B" w14:textId="77777777" w:rsidTr="003F10AD">
        <w:trPr>
          <w:trHeight w:val="300"/>
          <w:jc w:val="center"/>
        </w:trPr>
        <w:tc>
          <w:tcPr>
            <w:tcW w:w="700" w:type="dxa"/>
            <w:noWrap/>
            <w:hideMark/>
          </w:tcPr>
          <w:p w14:paraId="0E733416" w14:textId="77777777" w:rsidR="001D6419" w:rsidRPr="00B8116B" w:rsidRDefault="000F5B51" w:rsidP="00D07617">
            <w:pPr>
              <w:spacing w:after="0" w:line="240" w:lineRule="auto"/>
              <w:contextualSpacing/>
              <w:rPr>
                <w:rFonts w:eastAsia="Times New Roman" w:cs="Times New Roman"/>
                <w:szCs w:val="24"/>
              </w:rPr>
            </w:pPr>
            <w:r w:rsidRPr="00CF6482">
              <w:t>1990</w:t>
            </w:r>
          </w:p>
        </w:tc>
        <w:tc>
          <w:tcPr>
            <w:tcW w:w="1191" w:type="dxa"/>
            <w:noWrap/>
            <w:vAlign w:val="center"/>
            <w:hideMark/>
          </w:tcPr>
          <w:p w14:paraId="74A1F765"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0.0514</w:t>
            </w:r>
          </w:p>
        </w:tc>
        <w:tc>
          <w:tcPr>
            <w:tcW w:w="1004" w:type="dxa"/>
            <w:noWrap/>
            <w:vAlign w:val="center"/>
            <w:hideMark/>
          </w:tcPr>
          <w:p w14:paraId="049CE1DE"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3,681</w:t>
            </w:r>
          </w:p>
        </w:tc>
        <w:tc>
          <w:tcPr>
            <w:tcW w:w="1083" w:type="dxa"/>
            <w:noWrap/>
            <w:vAlign w:val="center"/>
            <w:hideMark/>
          </w:tcPr>
          <w:p w14:paraId="1191C503"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189</w:t>
            </w:r>
          </w:p>
        </w:tc>
        <w:tc>
          <w:tcPr>
            <w:tcW w:w="1164" w:type="dxa"/>
            <w:noWrap/>
            <w:vAlign w:val="center"/>
            <w:hideMark/>
          </w:tcPr>
          <w:p w14:paraId="203FC2E2"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0.0013</w:t>
            </w:r>
          </w:p>
        </w:tc>
        <w:tc>
          <w:tcPr>
            <w:tcW w:w="588" w:type="dxa"/>
            <w:noWrap/>
            <w:vAlign w:val="center"/>
            <w:hideMark/>
          </w:tcPr>
          <w:p w14:paraId="492413D2"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88" w:type="dxa"/>
            <w:noWrap/>
            <w:vAlign w:val="center"/>
            <w:hideMark/>
          </w:tcPr>
          <w:p w14:paraId="0819303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495B680D"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000000" w:fill="CC99FF"/>
            <w:noWrap/>
            <w:vAlign w:val="center"/>
            <w:hideMark/>
          </w:tcPr>
          <w:p w14:paraId="52B38BCB"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noWrap/>
            <w:vAlign w:val="center"/>
            <w:hideMark/>
          </w:tcPr>
          <w:p w14:paraId="4D06D91D"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noWrap/>
            <w:vAlign w:val="center"/>
            <w:hideMark/>
          </w:tcPr>
          <w:p w14:paraId="1AC41CBB"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noWrap/>
            <w:vAlign w:val="center"/>
            <w:hideMark/>
          </w:tcPr>
          <w:p w14:paraId="708EFAB0"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noWrap/>
            <w:vAlign w:val="center"/>
            <w:hideMark/>
          </w:tcPr>
          <w:p w14:paraId="38341A17"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720" w:type="dxa"/>
            <w:shd w:val="clear" w:color="000000" w:fill="F2F2F2"/>
            <w:noWrap/>
            <w:vAlign w:val="center"/>
            <w:hideMark/>
          </w:tcPr>
          <w:p w14:paraId="41D9AA6A"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566B77FA"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73E698FE"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70884D0B"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r>
      <w:tr w:rsidR="00A15C2C" w14:paraId="7C3F9A2F" w14:textId="77777777" w:rsidTr="003F10AD">
        <w:trPr>
          <w:trHeight w:val="300"/>
          <w:jc w:val="center"/>
        </w:trPr>
        <w:tc>
          <w:tcPr>
            <w:tcW w:w="700" w:type="dxa"/>
            <w:shd w:val="clear" w:color="D9E1F2" w:fill="D9E1F2"/>
            <w:noWrap/>
            <w:hideMark/>
          </w:tcPr>
          <w:p w14:paraId="0A24C212" w14:textId="77777777" w:rsidR="001D6419" w:rsidRPr="00B8116B" w:rsidRDefault="000F5B51" w:rsidP="00D07617">
            <w:pPr>
              <w:spacing w:after="0" w:line="240" w:lineRule="auto"/>
              <w:contextualSpacing/>
              <w:rPr>
                <w:rFonts w:eastAsia="Times New Roman" w:cs="Times New Roman"/>
                <w:szCs w:val="24"/>
              </w:rPr>
            </w:pPr>
            <w:r w:rsidRPr="00CF6482">
              <w:t>1989</w:t>
            </w:r>
          </w:p>
        </w:tc>
        <w:tc>
          <w:tcPr>
            <w:tcW w:w="1191" w:type="dxa"/>
            <w:shd w:val="clear" w:color="D9E1F2" w:fill="D9E1F2"/>
            <w:noWrap/>
            <w:vAlign w:val="center"/>
            <w:hideMark/>
          </w:tcPr>
          <w:p w14:paraId="3F35F239"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0.0420</w:t>
            </w:r>
          </w:p>
        </w:tc>
        <w:tc>
          <w:tcPr>
            <w:tcW w:w="1004" w:type="dxa"/>
            <w:shd w:val="clear" w:color="D9E1F2" w:fill="D9E1F2"/>
            <w:noWrap/>
            <w:vAlign w:val="center"/>
            <w:hideMark/>
          </w:tcPr>
          <w:p w14:paraId="139A4BB4"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3,625</w:t>
            </w:r>
          </w:p>
        </w:tc>
        <w:tc>
          <w:tcPr>
            <w:tcW w:w="1083" w:type="dxa"/>
            <w:shd w:val="clear" w:color="D9E1F2" w:fill="D9E1F2"/>
            <w:noWrap/>
            <w:vAlign w:val="center"/>
            <w:hideMark/>
          </w:tcPr>
          <w:p w14:paraId="2156E773"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152</w:t>
            </w:r>
          </w:p>
        </w:tc>
        <w:tc>
          <w:tcPr>
            <w:tcW w:w="1164" w:type="dxa"/>
            <w:shd w:val="clear" w:color="D9E1F2" w:fill="D9E1F2"/>
            <w:noWrap/>
            <w:vAlign w:val="center"/>
            <w:hideMark/>
          </w:tcPr>
          <w:p w14:paraId="1DF9DCF4"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0.0011</w:t>
            </w:r>
          </w:p>
        </w:tc>
        <w:tc>
          <w:tcPr>
            <w:tcW w:w="588" w:type="dxa"/>
            <w:shd w:val="clear" w:color="D9E1F2" w:fill="D9E1F2"/>
            <w:noWrap/>
            <w:vAlign w:val="center"/>
            <w:hideMark/>
          </w:tcPr>
          <w:p w14:paraId="159E3CA2"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88" w:type="dxa"/>
            <w:shd w:val="clear" w:color="D9E1F2" w:fill="D9E1F2"/>
            <w:noWrap/>
            <w:vAlign w:val="center"/>
            <w:hideMark/>
          </w:tcPr>
          <w:p w14:paraId="7288CAF8"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04DF8E2C"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000000" w:fill="CC99FF"/>
            <w:noWrap/>
            <w:vAlign w:val="center"/>
            <w:hideMark/>
          </w:tcPr>
          <w:p w14:paraId="0F5DEE0D"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D9E1F2" w:fill="D9E1F2"/>
            <w:noWrap/>
            <w:vAlign w:val="center"/>
            <w:hideMark/>
          </w:tcPr>
          <w:p w14:paraId="218227D1"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shd w:val="clear" w:color="D9E1F2" w:fill="D9E1F2"/>
            <w:noWrap/>
            <w:vAlign w:val="center"/>
            <w:hideMark/>
          </w:tcPr>
          <w:p w14:paraId="193E2E2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shd w:val="clear" w:color="D9E1F2" w:fill="D9E1F2"/>
            <w:noWrap/>
            <w:vAlign w:val="center"/>
            <w:hideMark/>
          </w:tcPr>
          <w:p w14:paraId="017D74F9"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shd w:val="clear" w:color="D9E1F2" w:fill="D9E1F2"/>
            <w:noWrap/>
            <w:vAlign w:val="center"/>
            <w:hideMark/>
          </w:tcPr>
          <w:p w14:paraId="44FD3006"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720" w:type="dxa"/>
            <w:shd w:val="clear" w:color="000000" w:fill="F2F2F2"/>
            <w:noWrap/>
            <w:vAlign w:val="center"/>
            <w:hideMark/>
          </w:tcPr>
          <w:p w14:paraId="40283F88"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631A122E"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7A385D60"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5F6336F1"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r>
      <w:tr w:rsidR="00A15C2C" w14:paraId="241B0CE1" w14:textId="77777777" w:rsidTr="003F10AD">
        <w:trPr>
          <w:trHeight w:val="300"/>
          <w:jc w:val="center"/>
        </w:trPr>
        <w:tc>
          <w:tcPr>
            <w:tcW w:w="700" w:type="dxa"/>
            <w:noWrap/>
            <w:hideMark/>
          </w:tcPr>
          <w:p w14:paraId="2F0AE6B9" w14:textId="77777777" w:rsidR="001D6419" w:rsidRPr="00B8116B" w:rsidRDefault="000F5B51" w:rsidP="00D07617">
            <w:pPr>
              <w:spacing w:after="0" w:line="240" w:lineRule="auto"/>
              <w:contextualSpacing/>
              <w:rPr>
                <w:rFonts w:eastAsia="Times New Roman" w:cs="Times New Roman"/>
                <w:szCs w:val="24"/>
              </w:rPr>
            </w:pPr>
            <w:r w:rsidRPr="00CF6482">
              <w:t>1988</w:t>
            </w:r>
          </w:p>
        </w:tc>
        <w:tc>
          <w:tcPr>
            <w:tcW w:w="1191" w:type="dxa"/>
            <w:noWrap/>
            <w:vAlign w:val="center"/>
            <w:hideMark/>
          </w:tcPr>
          <w:p w14:paraId="5042258B"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0.0337</w:t>
            </w:r>
          </w:p>
        </w:tc>
        <w:tc>
          <w:tcPr>
            <w:tcW w:w="1004" w:type="dxa"/>
            <w:noWrap/>
            <w:vAlign w:val="center"/>
            <w:hideMark/>
          </w:tcPr>
          <w:p w14:paraId="14A7134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3,574</w:t>
            </w:r>
          </w:p>
        </w:tc>
        <w:tc>
          <w:tcPr>
            <w:tcW w:w="1083" w:type="dxa"/>
            <w:noWrap/>
            <w:vAlign w:val="center"/>
            <w:hideMark/>
          </w:tcPr>
          <w:p w14:paraId="689B2CBC"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120</w:t>
            </w:r>
          </w:p>
        </w:tc>
        <w:tc>
          <w:tcPr>
            <w:tcW w:w="1164" w:type="dxa"/>
            <w:noWrap/>
            <w:vAlign w:val="center"/>
            <w:hideMark/>
          </w:tcPr>
          <w:p w14:paraId="24100D01"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0.0008</w:t>
            </w:r>
          </w:p>
        </w:tc>
        <w:tc>
          <w:tcPr>
            <w:tcW w:w="588" w:type="dxa"/>
            <w:noWrap/>
            <w:vAlign w:val="center"/>
            <w:hideMark/>
          </w:tcPr>
          <w:p w14:paraId="16CF97A3"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88" w:type="dxa"/>
            <w:noWrap/>
            <w:vAlign w:val="center"/>
            <w:hideMark/>
          </w:tcPr>
          <w:p w14:paraId="34F90B80"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513B0BAF"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000000" w:fill="CC99FF"/>
            <w:noWrap/>
            <w:vAlign w:val="center"/>
            <w:hideMark/>
          </w:tcPr>
          <w:p w14:paraId="613C1EC6"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noWrap/>
            <w:vAlign w:val="center"/>
            <w:hideMark/>
          </w:tcPr>
          <w:p w14:paraId="5A7588D7"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noWrap/>
            <w:vAlign w:val="center"/>
            <w:hideMark/>
          </w:tcPr>
          <w:p w14:paraId="6A0F840F"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noWrap/>
            <w:vAlign w:val="center"/>
            <w:hideMark/>
          </w:tcPr>
          <w:p w14:paraId="704A1920"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noWrap/>
            <w:vAlign w:val="center"/>
            <w:hideMark/>
          </w:tcPr>
          <w:p w14:paraId="65B2CD1F"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720" w:type="dxa"/>
            <w:shd w:val="clear" w:color="000000" w:fill="F2F2F2"/>
            <w:noWrap/>
            <w:vAlign w:val="center"/>
            <w:hideMark/>
          </w:tcPr>
          <w:p w14:paraId="1773F8B4"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5718CE15"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6DA6DA69"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3515E5BB"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r>
      <w:tr w:rsidR="00A15C2C" w14:paraId="48EC4F60" w14:textId="77777777" w:rsidTr="003F10AD">
        <w:trPr>
          <w:trHeight w:val="300"/>
          <w:jc w:val="center"/>
        </w:trPr>
        <w:tc>
          <w:tcPr>
            <w:tcW w:w="700" w:type="dxa"/>
            <w:shd w:val="clear" w:color="D9E1F2" w:fill="D9E1F2"/>
            <w:noWrap/>
            <w:hideMark/>
          </w:tcPr>
          <w:p w14:paraId="3CC9D454" w14:textId="77777777" w:rsidR="001D6419" w:rsidRPr="00B8116B" w:rsidRDefault="000F5B51" w:rsidP="00D07617">
            <w:pPr>
              <w:spacing w:after="0" w:line="240" w:lineRule="auto"/>
              <w:contextualSpacing/>
              <w:rPr>
                <w:rFonts w:eastAsia="Times New Roman" w:cs="Times New Roman"/>
                <w:szCs w:val="24"/>
              </w:rPr>
            </w:pPr>
            <w:r w:rsidRPr="00CF6482">
              <w:t>1987</w:t>
            </w:r>
          </w:p>
        </w:tc>
        <w:tc>
          <w:tcPr>
            <w:tcW w:w="1191" w:type="dxa"/>
            <w:shd w:val="clear" w:color="D9E1F2" w:fill="D9E1F2"/>
            <w:noWrap/>
            <w:vAlign w:val="center"/>
            <w:hideMark/>
          </w:tcPr>
          <w:p w14:paraId="25E3640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0.0281</w:t>
            </w:r>
          </w:p>
        </w:tc>
        <w:tc>
          <w:tcPr>
            <w:tcW w:w="1004" w:type="dxa"/>
            <w:shd w:val="clear" w:color="D9E1F2" w:fill="D9E1F2"/>
            <w:noWrap/>
            <w:vAlign w:val="center"/>
            <w:hideMark/>
          </w:tcPr>
          <w:p w14:paraId="1F80F4E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3,528</w:t>
            </w:r>
          </w:p>
        </w:tc>
        <w:tc>
          <w:tcPr>
            <w:tcW w:w="1083" w:type="dxa"/>
            <w:shd w:val="clear" w:color="D9E1F2" w:fill="D9E1F2"/>
            <w:noWrap/>
            <w:vAlign w:val="center"/>
            <w:hideMark/>
          </w:tcPr>
          <w:p w14:paraId="3140EB29"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99</w:t>
            </w:r>
          </w:p>
        </w:tc>
        <w:tc>
          <w:tcPr>
            <w:tcW w:w="1164" w:type="dxa"/>
            <w:shd w:val="clear" w:color="D9E1F2" w:fill="D9E1F2"/>
            <w:noWrap/>
            <w:vAlign w:val="center"/>
            <w:hideMark/>
          </w:tcPr>
          <w:p w14:paraId="228A4D2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0.0007</w:t>
            </w:r>
          </w:p>
        </w:tc>
        <w:tc>
          <w:tcPr>
            <w:tcW w:w="588" w:type="dxa"/>
            <w:shd w:val="clear" w:color="D9E1F2" w:fill="D9E1F2"/>
            <w:noWrap/>
            <w:vAlign w:val="center"/>
            <w:hideMark/>
          </w:tcPr>
          <w:p w14:paraId="2EBF838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88" w:type="dxa"/>
            <w:shd w:val="clear" w:color="D9E1F2" w:fill="D9E1F2"/>
            <w:noWrap/>
            <w:vAlign w:val="center"/>
            <w:hideMark/>
          </w:tcPr>
          <w:p w14:paraId="042687A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552EB376"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000000" w:fill="CC99FF"/>
            <w:noWrap/>
            <w:vAlign w:val="center"/>
            <w:hideMark/>
          </w:tcPr>
          <w:p w14:paraId="7BA78CA1"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D9E1F2" w:fill="D9E1F2"/>
            <w:noWrap/>
            <w:vAlign w:val="center"/>
            <w:hideMark/>
          </w:tcPr>
          <w:p w14:paraId="65CB09BA"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shd w:val="clear" w:color="D9E1F2" w:fill="D9E1F2"/>
            <w:noWrap/>
            <w:vAlign w:val="center"/>
            <w:hideMark/>
          </w:tcPr>
          <w:p w14:paraId="39410D8C"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shd w:val="clear" w:color="D9E1F2" w:fill="D9E1F2"/>
            <w:noWrap/>
            <w:vAlign w:val="center"/>
            <w:hideMark/>
          </w:tcPr>
          <w:p w14:paraId="0FB179B2"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shd w:val="clear" w:color="D9E1F2" w:fill="D9E1F2"/>
            <w:noWrap/>
            <w:vAlign w:val="center"/>
            <w:hideMark/>
          </w:tcPr>
          <w:p w14:paraId="2696603B"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720" w:type="dxa"/>
            <w:shd w:val="clear" w:color="000000" w:fill="F2F2F2"/>
            <w:noWrap/>
            <w:vAlign w:val="center"/>
            <w:hideMark/>
          </w:tcPr>
          <w:p w14:paraId="71F6849B"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194A31F6"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4E6B6363"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08D0AF93"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r>
      <w:tr w:rsidR="00A15C2C" w14:paraId="2EFF8495" w14:textId="77777777" w:rsidTr="003F10AD">
        <w:trPr>
          <w:trHeight w:val="300"/>
          <w:jc w:val="center"/>
        </w:trPr>
        <w:tc>
          <w:tcPr>
            <w:tcW w:w="700" w:type="dxa"/>
            <w:noWrap/>
            <w:hideMark/>
          </w:tcPr>
          <w:p w14:paraId="2CADFFD3" w14:textId="77777777" w:rsidR="001D6419" w:rsidRPr="00B8116B" w:rsidRDefault="000F5B51" w:rsidP="00D07617">
            <w:pPr>
              <w:spacing w:after="0" w:line="240" w:lineRule="auto"/>
              <w:contextualSpacing/>
              <w:rPr>
                <w:rFonts w:eastAsia="Times New Roman" w:cs="Times New Roman"/>
                <w:szCs w:val="24"/>
              </w:rPr>
            </w:pPr>
            <w:r w:rsidRPr="00CF6482">
              <w:t>1986</w:t>
            </w:r>
          </w:p>
        </w:tc>
        <w:tc>
          <w:tcPr>
            <w:tcW w:w="1191" w:type="dxa"/>
            <w:noWrap/>
            <w:vAlign w:val="center"/>
            <w:hideMark/>
          </w:tcPr>
          <w:p w14:paraId="2A3C1559"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0.0235</w:t>
            </w:r>
          </w:p>
        </w:tc>
        <w:tc>
          <w:tcPr>
            <w:tcW w:w="1004" w:type="dxa"/>
            <w:noWrap/>
            <w:vAlign w:val="center"/>
            <w:hideMark/>
          </w:tcPr>
          <w:p w14:paraId="5E0BCD0C"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3,486</w:t>
            </w:r>
          </w:p>
        </w:tc>
        <w:tc>
          <w:tcPr>
            <w:tcW w:w="1083" w:type="dxa"/>
            <w:noWrap/>
            <w:vAlign w:val="center"/>
            <w:hideMark/>
          </w:tcPr>
          <w:p w14:paraId="05C63DC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82</w:t>
            </w:r>
          </w:p>
        </w:tc>
        <w:tc>
          <w:tcPr>
            <w:tcW w:w="1164" w:type="dxa"/>
            <w:noWrap/>
            <w:vAlign w:val="center"/>
            <w:hideMark/>
          </w:tcPr>
          <w:p w14:paraId="213C8470"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0.0006</w:t>
            </w:r>
          </w:p>
        </w:tc>
        <w:tc>
          <w:tcPr>
            <w:tcW w:w="588" w:type="dxa"/>
            <w:noWrap/>
            <w:vAlign w:val="center"/>
            <w:hideMark/>
          </w:tcPr>
          <w:p w14:paraId="29B1764F"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88" w:type="dxa"/>
            <w:noWrap/>
            <w:vAlign w:val="center"/>
            <w:hideMark/>
          </w:tcPr>
          <w:p w14:paraId="18148254"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65D88AE2"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000000" w:fill="CC99FF"/>
            <w:noWrap/>
            <w:vAlign w:val="center"/>
            <w:hideMark/>
          </w:tcPr>
          <w:p w14:paraId="3F54ED0C"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noWrap/>
            <w:vAlign w:val="center"/>
            <w:hideMark/>
          </w:tcPr>
          <w:p w14:paraId="3816C33F"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noWrap/>
            <w:vAlign w:val="center"/>
            <w:hideMark/>
          </w:tcPr>
          <w:p w14:paraId="5C4D1237"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noWrap/>
            <w:vAlign w:val="center"/>
            <w:hideMark/>
          </w:tcPr>
          <w:p w14:paraId="13C0A904"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noWrap/>
            <w:vAlign w:val="center"/>
            <w:hideMark/>
          </w:tcPr>
          <w:p w14:paraId="6120BA8B"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720" w:type="dxa"/>
            <w:shd w:val="clear" w:color="000000" w:fill="F2F2F2"/>
            <w:noWrap/>
            <w:vAlign w:val="center"/>
            <w:hideMark/>
          </w:tcPr>
          <w:p w14:paraId="3FA15A43"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2C10882B"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1144AC92"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129D1371"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r>
      <w:tr w:rsidR="00A15C2C" w14:paraId="1C4A9AFA" w14:textId="77777777" w:rsidTr="003F10AD">
        <w:trPr>
          <w:trHeight w:val="300"/>
          <w:jc w:val="center"/>
        </w:trPr>
        <w:tc>
          <w:tcPr>
            <w:tcW w:w="700" w:type="dxa"/>
            <w:shd w:val="clear" w:color="D9E1F2" w:fill="D9E1F2"/>
            <w:noWrap/>
            <w:hideMark/>
          </w:tcPr>
          <w:p w14:paraId="1B8E1A41" w14:textId="77777777" w:rsidR="001D6419" w:rsidRPr="00B8116B" w:rsidRDefault="000F5B51" w:rsidP="00D07617">
            <w:pPr>
              <w:spacing w:after="0" w:line="240" w:lineRule="auto"/>
              <w:contextualSpacing/>
              <w:rPr>
                <w:rFonts w:eastAsia="Times New Roman" w:cs="Times New Roman"/>
                <w:szCs w:val="24"/>
              </w:rPr>
            </w:pPr>
            <w:r w:rsidRPr="00CF6482">
              <w:t>1985</w:t>
            </w:r>
          </w:p>
        </w:tc>
        <w:tc>
          <w:tcPr>
            <w:tcW w:w="1191" w:type="dxa"/>
            <w:shd w:val="clear" w:color="D9E1F2" w:fill="D9E1F2"/>
            <w:noWrap/>
            <w:vAlign w:val="center"/>
            <w:hideMark/>
          </w:tcPr>
          <w:p w14:paraId="3591E61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0.0000</w:t>
            </w:r>
          </w:p>
        </w:tc>
        <w:tc>
          <w:tcPr>
            <w:tcW w:w="1004" w:type="dxa"/>
            <w:shd w:val="clear" w:color="D9E1F2" w:fill="D9E1F2"/>
            <w:noWrap/>
            <w:vAlign w:val="center"/>
            <w:hideMark/>
          </w:tcPr>
          <w:p w14:paraId="3934B5DB"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3,449</w:t>
            </w:r>
          </w:p>
        </w:tc>
        <w:tc>
          <w:tcPr>
            <w:tcW w:w="1083" w:type="dxa"/>
            <w:shd w:val="clear" w:color="D9E1F2" w:fill="D9E1F2"/>
            <w:noWrap/>
            <w:vAlign w:val="center"/>
            <w:hideMark/>
          </w:tcPr>
          <w:p w14:paraId="3631608F"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w:t>
            </w:r>
          </w:p>
        </w:tc>
        <w:tc>
          <w:tcPr>
            <w:tcW w:w="1164" w:type="dxa"/>
            <w:shd w:val="clear" w:color="D9E1F2" w:fill="D9E1F2"/>
            <w:noWrap/>
            <w:vAlign w:val="center"/>
            <w:hideMark/>
          </w:tcPr>
          <w:p w14:paraId="1F522B2A"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0.0000</w:t>
            </w:r>
          </w:p>
        </w:tc>
        <w:tc>
          <w:tcPr>
            <w:tcW w:w="588" w:type="dxa"/>
            <w:shd w:val="clear" w:color="D9E1F2" w:fill="D9E1F2"/>
            <w:noWrap/>
            <w:vAlign w:val="center"/>
            <w:hideMark/>
          </w:tcPr>
          <w:p w14:paraId="2E4E9C3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88" w:type="dxa"/>
            <w:shd w:val="clear" w:color="D9E1F2" w:fill="D9E1F2"/>
            <w:noWrap/>
            <w:vAlign w:val="center"/>
            <w:hideMark/>
          </w:tcPr>
          <w:p w14:paraId="18CC898F"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79C5EBAB"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000000" w:fill="CC99FF"/>
            <w:noWrap/>
            <w:vAlign w:val="center"/>
            <w:hideMark/>
          </w:tcPr>
          <w:p w14:paraId="38EEEC3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D9E1F2" w:fill="D9E1F2"/>
            <w:noWrap/>
            <w:vAlign w:val="center"/>
            <w:hideMark/>
          </w:tcPr>
          <w:p w14:paraId="40E8E5CD"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shd w:val="clear" w:color="D9E1F2" w:fill="D9E1F2"/>
            <w:noWrap/>
            <w:vAlign w:val="center"/>
            <w:hideMark/>
          </w:tcPr>
          <w:p w14:paraId="41C4D1EC"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shd w:val="clear" w:color="D9E1F2" w:fill="D9E1F2"/>
            <w:noWrap/>
            <w:vAlign w:val="center"/>
            <w:hideMark/>
          </w:tcPr>
          <w:p w14:paraId="36B62C84"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shd w:val="clear" w:color="D9E1F2" w:fill="D9E1F2"/>
            <w:noWrap/>
            <w:vAlign w:val="center"/>
            <w:hideMark/>
          </w:tcPr>
          <w:p w14:paraId="05D69F5F"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720" w:type="dxa"/>
            <w:shd w:val="clear" w:color="000000" w:fill="F2F2F2"/>
            <w:noWrap/>
            <w:vAlign w:val="center"/>
            <w:hideMark/>
          </w:tcPr>
          <w:p w14:paraId="15ACA3B4"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1B10FFF8"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76387CD2"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7019792D"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r>
      <w:tr w:rsidR="00A15C2C" w14:paraId="7CED05D4" w14:textId="77777777" w:rsidTr="003F10AD">
        <w:trPr>
          <w:trHeight w:val="300"/>
          <w:jc w:val="center"/>
        </w:trPr>
        <w:tc>
          <w:tcPr>
            <w:tcW w:w="700" w:type="dxa"/>
            <w:noWrap/>
            <w:hideMark/>
          </w:tcPr>
          <w:p w14:paraId="75282463" w14:textId="77777777" w:rsidR="001D6419" w:rsidRPr="00B8116B" w:rsidRDefault="000F5B51" w:rsidP="00D07617">
            <w:pPr>
              <w:spacing w:after="0" w:line="240" w:lineRule="auto"/>
              <w:contextualSpacing/>
              <w:rPr>
                <w:rFonts w:eastAsia="Times New Roman" w:cs="Times New Roman"/>
                <w:szCs w:val="24"/>
              </w:rPr>
            </w:pPr>
            <w:r w:rsidRPr="00CF6482">
              <w:t>1984</w:t>
            </w:r>
          </w:p>
        </w:tc>
        <w:tc>
          <w:tcPr>
            <w:tcW w:w="1191" w:type="dxa"/>
            <w:noWrap/>
            <w:vAlign w:val="center"/>
            <w:hideMark/>
          </w:tcPr>
          <w:p w14:paraId="2008D351"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0.0000</w:t>
            </w:r>
          </w:p>
        </w:tc>
        <w:tc>
          <w:tcPr>
            <w:tcW w:w="1004" w:type="dxa"/>
            <w:noWrap/>
            <w:vAlign w:val="center"/>
            <w:hideMark/>
          </w:tcPr>
          <w:p w14:paraId="0D9F8CE4"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3,449</w:t>
            </w:r>
          </w:p>
        </w:tc>
        <w:tc>
          <w:tcPr>
            <w:tcW w:w="1083" w:type="dxa"/>
            <w:noWrap/>
            <w:vAlign w:val="center"/>
            <w:hideMark/>
          </w:tcPr>
          <w:p w14:paraId="3CECBEBA"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w:t>
            </w:r>
          </w:p>
        </w:tc>
        <w:tc>
          <w:tcPr>
            <w:tcW w:w="1164" w:type="dxa"/>
            <w:noWrap/>
            <w:vAlign w:val="center"/>
            <w:hideMark/>
          </w:tcPr>
          <w:p w14:paraId="615DAC60"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0.0000</w:t>
            </w:r>
          </w:p>
        </w:tc>
        <w:tc>
          <w:tcPr>
            <w:tcW w:w="588" w:type="dxa"/>
            <w:noWrap/>
            <w:vAlign w:val="center"/>
            <w:hideMark/>
          </w:tcPr>
          <w:p w14:paraId="61AAD1AA"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88" w:type="dxa"/>
            <w:noWrap/>
            <w:vAlign w:val="center"/>
            <w:hideMark/>
          </w:tcPr>
          <w:p w14:paraId="713A4B1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645F6D25"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000000" w:fill="CC99FF"/>
            <w:noWrap/>
            <w:vAlign w:val="center"/>
            <w:hideMark/>
          </w:tcPr>
          <w:p w14:paraId="3BEB22D9"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noWrap/>
            <w:vAlign w:val="center"/>
            <w:hideMark/>
          </w:tcPr>
          <w:p w14:paraId="46A4A2B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noWrap/>
            <w:vAlign w:val="center"/>
            <w:hideMark/>
          </w:tcPr>
          <w:p w14:paraId="3503360D"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noWrap/>
            <w:vAlign w:val="center"/>
            <w:hideMark/>
          </w:tcPr>
          <w:p w14:paraId="573D55F5"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noWrap/>
            <w:vAlign w:val="center"/>
            <w:hideMark/>
          </w:tcPr>
          <w:p w14:paraId="67176B8C"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720" w:type="dxa"/>
            <w:shd w:val="clear" w:color="000000" w:fill="F2F2F2"/>
            <w:noWrap/>
            <w:vAlign w:val="center"/>
            <w:hideMark/>
          </w:tcPr>
          <w:p w14:paraId="0885C802"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0F56A8A8"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0A90E3CA"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737F7D0B"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r>
      <w:tr w:rsidR="00A15C2C" w14:paraId="4152DC1A" w14:textId="77777777" w:rsidTr="003F10AD">
        <w:trPr>
          <w:trHeight w:val="300"/>
          <w:jc w:val="center"/>
        </w:trPr>
        <w:tc>
          <w:tcPr>
            <w:tcW w:w="700" w:type="dxa"/>
            <w:shd w:val="clear" w:color="D9E1F2" w:fill="D9E1F2"/>
            <w:noWrap/>
            <w:hideMark/>
          </w:tcPr>
          <w:p w14:paraId="2C059984" w14:textId="77777777" w:rsidR="001D6419" w:rsidRPr="00B8116B" w:rsidRDefault="000F5B51" w:rsidP="00D07617">
            <w:pPr>
              <w:spacing w:after="0" w:line="240" w:lineRule="auto"/>
              <w:contextualSpacing/>
              <w:rPr>
                <w:rFonts w:eastAsia="Times New Roman" w:cs="Times New Roman"/>
                <w:szCs w:val="24"/>
              </w:rPr>
            </w:pPr>
            <w:r w:rsidRPr="00CF6482">
              <w:t>1983</w:t>
            </w:r>
          </w:p>
        </w:tc>
        <w:tc>
          <w:tcPr>
            <w:tcW w:w="1191" w:type="dxa"/>
            <w:shd w:val="clear" w:color="D9E1F2" w:fill="D9E1F2"/>
            <w:noWrap/>
            <w:vAlign w:val="center"/>
            <w:hideMark/>
          </w:tcPr>
          <w:p w14:paraId="6DDF2E6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0.0000</w:t>
            </w:r>
          </w:p>
        </w:tc>
        <w:tc>
          <w:tcPr>
            <w:tcW w:w="1004" w:type="dxa"/>
            <w:shd w:val="clear" w:color="D9E1F2" w:fill="D9E1F2"/>
            <w:noWrap/>
            <w:vAlign w:val="center"/>
            <w:hideMark/>
          </w:tcPr>
          <w:p w14:paraId="2603E9E8"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3,449</w:t>
            </w:r>
          </w:p>
        </w:tc>
        <w:tc>
          <w:tcPr>
            <w:tcW w:w="1083" w:type="dxa"/>
            <w:shd w:val="clear" w:color="D9E1F2" w:fill="D9E1F2"/>
            <w:noWrap/>
            <w:vAlign w:val="center"/>
            <w:hideMark/>
          </w:tcPr>
          <w:p w14:paraId="7F311DA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w:t>
            </w:r>
          </w:p>
        </w:tc>
        <w:tc>
          <w:tcPr>
            <w:tcW w:w="1164" w:type="dxa"/>
            <w:shd w:val="clear" w:color="D9E1F2" w:fill="D9E1F2"/>
            <w:noWrap/>
            <w:vAlign w:val="center"/>
            <w:hideMark/>
          </w:tcPr>
          <w:p w14:paraId="1A4B8E99"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0.0000</w:t>
            </w:r>
          </w:p>
        </w:tc>
        <w:tc>
          <w:tcPr>
            <w:tcW w:w="588" w:type="dxa"/>
            <w:shd w:val="clear" w:color="D9E1F2" w:fill="D9E1F2"/>
            <w:noWrap/>
            <w:vAlign w:val="center"/>
            <w:hideMark/>
          </w:tcPr>
          <w:p w14:paraId="5FAA5208"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88" w:type="dxa"/>
            <w:shd w:val="clear" w:color="D9E1F2" w:fill="D9E1F2"/>
            <w:noWrap/>
            <w:vAlign w:val="center"/>
            <w:hideMark/>
          </w:tcPr>
          <w:p w14:paraId="2419DD91"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0F55C34B"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000000" w:fill="CC99FF"/>
            <w:noWrap/>
            <w:vAlign w:val="center"/>
            <w:hideMark/>
          </w:tcPr>
          <w:p w14:paraId="6831CFE3"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D9E1F2" w:fill="D9E1F2"/>
            <w:noWrap/>
            <w:vAlign w:val="center"/>
            <w:hideMark/>
          </w:tcPr>
          <w:p w14:paraId="5A0127C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shd w:val="clear" w:color="D9E1F2" w:fill="D9E1F2"/>
            <w:noWrap/>
            <w:vAlign w:val="center"/>
            <w:hideMark/>
          </w:tcPr>
          <w:p w14:paraId="79600835"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shd w:val="clear" w:color="D9E1F2" w:fill="D9E1F2"/>
            <w:noWrap/>
            <w:vAlign w:val="center"/>
            <w:hideMark/>
          </w:tcPr>
          <w:p w14:paraId="7427D050"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shd w:val="clear" w:color="D9E1F2" w:fill="D9E1F2"/>
            <w:noWrap/>
            <w:vAlign w:val="center"/>
            <w:hideMark/>
          </w:tcPr>
          <w:p w14:paraId="366F7F0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720" w:type="dxa"/>
            <w:shd w:val="clear" w:color="000000" w:fill="F2F2F2"/>
            <w:noWrap/>
            <w:vAlign w:val="center"/>
            <w:hideMark/>
          </w:tcPr>
          <w:p w14:paraId="6E691405"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5031F3E9"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2767014C"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35A9774F"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r>
      <w:tr w:rsidR="00A15C2C" w14:paraId="66F56580" w14:textId="77777777" w:rsidTr="003F10AD">
        <w:trPr>
          <w:trHeight w:val="300"/>
          <w:jc w:val="center"/>
        </w:trPr>
        <w:tc>
          <w:tcPr>
            <w:tcW w:w="700" w:type="dxa"/>
            <w:noWrap/>
            <w:hideMark/>
          </w:tcPr>
          <w:p w14:paraId="22D2B973" w14:textId="77777777" w:rsidR="001D6419" w:rsidRPr="00B8116B" w:rsidRDefault="000F5B51" w:rsidP="00D07617">
            <w:pPr>
              <w:spacing w:after="0" w:line="240" w:lineRule="auto"/>
              <w:contextualSpacing/>
              <w:rPr>
                <w:rFonts w:eastAsia="Times New Roman" w:cs="Times New Roman"/>
                <w:szCs w:val="24"/>
              </w:rPr>
            </w:pPr>
            <w:r w:rsidRPr="00CF6482">
              <w:t>1982</w:t>
            </w:r>
          </w:p>
        </w:tc>
        <w:tc>
          <w:tcPr>
            <w:tcW w:w="1191" w:type="dxa"/>
            <w:noWrap/>
            <w:vAlign w:val="center"/>
            <w:hideMark/>
          </w:tcPr>
          <w:p w14:paraId="092128C1"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0.0000</w:t>
            </w:r>
          </w:p>
        </w:tc>
        <w:tc>
          <w:tcPr>
            <w:tcW w:w="1004" w:type="dxa"/>
            <w:noWrap/>
            <w:vAlign w:val="center"/>
            <w:hideMark/>
          </w:tcPr>
          <w:p w14:paraId="58251B8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3,449</w:t>
            </w:r>
          </w:p>
        </w:tc>
        <w:tc>
          <w:tcPr>
            <w:tcW w:w="1083" w:type="dxa"/>
            <w:noWrap/>
            <w:vAlign w:val="center"/>
            <w:hideMark/>
          </w:tcPr>
          <w:p w14:paraId="229DD25A"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w:t>
            </w:r>
          </w:p>
        </w:tc>
        <w:tc>
          <w:tcPr>
            <w:tcW w:w="1164" w:type="dxa"/>
            <w:noWrap/>
            <w:vAlign w:val="center"/>
            <w:hideMark/>
          </w:tcPr>
          <w:p w14:paraId="1B9B850A"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0.0000</w:t>
            </w:r>
          </w:p>
        </w:tc>
        <w:tc>
          <w:tcPr>
            <w:tcW w:w="588" w:type="dxa"/>
            <w:noWrap/>
            <w:vAlign w:val="center"/>
            <w:hideMark/>
          </w:tcPr>
          <w:p w14:paraId="384B88E8"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88" w:type="dxa"/>
            <w:noWrap/>
            <w:vAlign w:val="center"/>
            <w:hideMark/>
          </w:tcPr>
          <w:p w14:paraId="44CFEF91"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78266BDC"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000000" w:fill="CC99FF"/>
            <w:noWrap/>
            <w:vAlign w:val="center"/>
            <w:hideMark/>
          </w:tcPr>
          <w:p w14:paraId="7504BD1F"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noWrap/>
            <w:vAlign w:val="center"/>
            <w:hideMark/>
          </w:tcPr>
          <w:p w14:paraId="51D8452C"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noWrap/>
            <w:vAlign w:val="center"/>
            <w:hideMark/>
          </w:tcPr>
          <w:p w14:paraId="70E28D03"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noWrap/>
            <w:vAlign w:val="center"/>
            <w:hideMark/>
          </w:tcPr>
          <w:p w14:paraId="3E4898BC"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noWrap/>
            <w:vAlign w:val="center"/>
            <w:hideMark/>
          </w:tcPr>
          <w:p w14:paraId="02184CD3"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720" w:type="dxa"/>
            <w:shd w:val="clear" w:color="000000" w:fill="F2F2F2"/>
            <w:noWrap/>
            <w:vAlign w:val="center"/>
            <w:hideMark/>
          </w:tcPr>
          <w:p w14:paraId="7947FD09"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59C33FED"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32784908"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4B967AE4"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r>
      <w:tr w:rsidR="00A15C2C" w14:paraId="08ECC034" w14:textId="77777777" w:rsidTr="003F10AD">
        <w:trPr>
          <w:trHeight w:val="300"/>
          <w:jc w:val="center"/>
        </w:trPr>
        <w:tc>
          <w:tcPr>
            <w:tcW w:w="700" w:type="dxa"/>
            <w:shd w:val="clear" w:color="D9E1F2" w:fill="D9E1F2"/>
            <w:noWrap/>
            <w:hideMark/>
          </w:tcPr>
          <w:p w14:paraId="6F43D62F" w14:textId="77777777" w:rsidR="001D6419" w:rsidRPr="00B8116B" w:rsidRDefault="000F5B51" w:rsidP="00D07617">
            <w:pPr>
              <w:spacing w:after="0" w:line="240" w:lineRule="auto"/>
              <w:contextualSpacing/>
              <w:rPr>
                <w:rFonts w:eastAsia="Times New Roman" w:cs="Times New Roman"/>
                <w:szCs w:val="24"/>
              </w:rPr>
            </w:pPr>
            <w:r w:rsidRPr="00CF6482">
              <w:t>1981</w:t>
            </w:r>
          </w:p>
        </w:tc>
        <w:tc>
          <w:tcPr>
            <w:tcW w:w="1191" w:type="dxa"/>
            <w:shd w:val="clear" w:color="D9E1F2" w:fill="D9E1F2"/>
            <w:noWrap/>
            <w:vAlign w:val="center"/>
            <w:hideMark/>
          </w:tcPr>
          <w:p w14:paraId="187CBE7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0.0000</w:t>
            </w:r>
          </w:p>
        </w:tc>
        <w:tc>
          <w:tcPr>
            <w:tcW w:w="1004" w:type="dxa"/>
            <w:shd w:val="clear" w:color="D9E1F2" w:fill="D9E1F2"/>
            <w:noWrap/>
            <w:vAlign w:val="center"/>
            <w:hideMark/>
          </w:tcPr>
          <w:p w14:paraId="04A48D2B"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3,449</w:t>
            </w:r>
          </w:p>
        </w:tc>
        <w:tc>
          <w:tcPr>
            <w:tcW w:w="1083" w:type="dxa"/>
            <w:shd w:val="clear" w:color="D9E1F2" w:fill="D9E1F2"/>
            <w:noWrap/>
            <w:vAlign w:val="center"/>
            <w:hideMark/>
          </w:tcPr>
          <w:p w14:paraId="37C8503C"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w:t>
            </w:r>
          </w:p>
        </w:tc>
        <w:tc>
          <w:tcPr>
            <w:tcW w:w="1164" w:type="dxa"/>
            <w:shd w:val="clear" w:color="D9E1F2" w:fill="D9E1F2"/>
            <w:noWrap/>
            <w:vAlign w:val="center"/>
            <w:hideMark/>
          </w:tcPr>
          <w:p w14:paraId="1ABAEEAF"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0.0000</w:t>
            </w:r>
          </w:p>
        </w:tc>
        <w:tc>
          <w:tcPr>
            <w:tcW w:w="588" w:type="dxa"/>
            <w:shd w:val="clear" w:color="D9E1F2" w:fill="D9E1F2"/>
            <w:noWrap/>
            <w:vAlign w:val="center"/>
            <w:hideMark/>
          </w:tcPr>
          <w:p w14:paraId="10635DBC"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88" w:type="dxa"/>
            <w:shd w:val="clear" w:color="D9E1F2" w:fill="D9E1F2"/>
            <w:noWrap/>
            <w:vAlign w:val="center"/>
            <w:hideMark/>
          </w:tcPr>
          <w:p w14:paraId="4F0FA493"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26298CD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000000" w:fill="CC99FF"/>
            <w:noWrap/>
            <w:vAlign w:val="center"/>
            <w:hideMark/>
          </w:tcPr>
          <w:p w14:paraId="230D1476"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D9E1F2" w:fill="D9E1F2"/>
            <w:noWrap/>
            <w:vAlign w:val="center"/>
            <w:hideMark/>
          </w:tcPr>
          <w:p w14:paraId="47D6AC1D"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shd w:val="clear" w:color="D9E1F2" w:fill="D9E1F2"/>
            <w:noWrap/>
            <w:vAlign w:val="center"/>
            <w:hideMark/>
          </w:tcPr>
          <w:p w14:paraId="1195A5B0"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shd w:val="clear" w:color="D9E1F2" w:fill="D9E1F2"/>
            <w:noWrap/>
            <w:vAlign w:val="center"/>
            <w:hideMark/>
          </w:tcPr>
          <w:p w14:paraId="3501F98D"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shd w:val="clear" w:color="D9E1F2" w:fill="D9E1F2"/>
            <w:noWrap/>
            <w:vAlign w:val="center"/>
            <w:hideMark/>
          </w:tcPr>
          <w:p w14:paraId="27CF5AEF"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720" w:type="dxa"/>
            <w:shd w:val="clear" w:color="000000" w:fill="F2F2F2"/>
            <w:noWrap/>
            <w:vAlign w:val="center"/>
            <w:hideMark/>
          </w:tcPr>
          <w:p w14:paraId="58E04BF4"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2FCEB445"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27E692BC"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5397FDB4"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r>
      <w:tr w:rsidR="00A15C2C" w14:paraId="2A4DEF25" w14:textId="77777777" w:rsidTr="003F10AD">
        <w:trPr>
          <w:trHeight w:val="300"/>
          <w:jc w:val="center"/>
        </w:trPr>
        <w:tc>
          <w:tcPr>
            <w:tcW w:w="700" w:type="dxa"/>
            <w:noWrap/>
            <w:hideMark/>
          </w:tcPr>
          <w:p w14:paraId="7D964E3F" w14:textId="77777777" w:rsidR="001D6419" w:rsidRPr="00B8116B" w:rsidRDefault="000F5B51" w:rsidP="00D07617">
            <w:pPr>
              <w:spacing w:after="0" w:line="240" w:lineRule="auto"/>
              <w:contextualSpacing/>
              <w:rPr>
                <w:rFonts w:eastAsia="Times New Roman" w:cs="Times New Roman"/>
                <w:szCs w:val="24"/>
              </w:rPr>
            </w:pPr>
            <w:r w:rsidRPr="00CF6482">
              <w:t>1980</w:t>
            </w:r>
          </w:p>
        </w:tc>
        <w:tc>
          <w:tcPr>
            <w:tcW w:w="1191" w:type="dxa"/>
            <w:noWrap/>
            <w:vAlign w:val="center"/>
            <w:hideMark/>
          </w:tcPr>
          <w:p w14:paraId="0A44D268"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0.0000</w:t>
            </w:r>
          </w:p>
        </w:tc>
        <w:tc>
          <w:tcPr>
            <w:tcW w:w="1004" w:type="dxa"/>
            <w:noWrap/>
            <w:vAlign w:val="center"/>
            <w:hideMark/>
          </w:tcPr>
          <w:p w14:paraId="0D489BA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3,449</w:t>
            </w:r>
          </w:p>
        </w:tc>
        <w:tc>
          <w:tcPr>
            <w:tcW w:w="1083" w:type="dxa"/>
            <w:noWrap/>
            <w:vAlign w:val="center"/>
            <w:hideMark/>
          </w:tcPr>
          <w:p w14:paraId="35880E2A"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w:t>
            </w:r>
          </w:p>
        </w:tc>
        <w:tc>
          <w:tcPr>
            <w:tcW w:w="1164" w:type="dxa"/>
            <w:noWrap/>
            <w:vAlign w:val="center"/>
            <w:hideMark/>
          </w:tcPr>
          <w:p w14:paraId="3F943973"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0.0000</w:t>
            </w:r>
          </w:p>
        </w:tc>
        <w:tc>
          <w:tcPr>
            <w:tcW w:w="588" w:type="dxa"/>
            <w:noWrap/>
            <w:vAlign w:val="center"/>
            <w:hideMark/>
          </w:tcPr>
          <w:p w14:paraId="346CC29A"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88" w:type="dxa"/>
            <w:noWrap/>
            <w:vAlign w:val="center"/>
            <w:hideMark/>
          </w:tcPr>
          <w:p w14:paraId="4B724EE8"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7B4A06A0"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000000" w:fill="CC99FF"/>
            <w:noWrap/>
            <w:vAlign w:val="center"/>
            <w:hideMark/>
          </w:tcPr>
          <w:p w14:paraId="61ED1AFD"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noWrap/>
            <w:vAlign w:val="center"/>
            <w:hideMark/>
          </w:tcPr>
          <w:p w14:paraId="6031474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noWrap/>
            <w:vAlign w:val="center"/>
            <w:hideMark/>
          </w:tcPr>
          <w:p w14:paraId="5D887A2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noWrap/>
            <w:vAlign w:val="center"/>
            <w:hideMark/>
          </w:tcPr>
          <w:p w14:paraId="57C34B0A"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noWrap/>
            <w:vAlign w:val="center"/>
            <w:hideMark/>
          </w:tcPr>
          <w:p w14:paraId="7A2297CB"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720" w:type="dxa"/>
            <w:shd w:val="clear" w:color="000000" w:fill="F2F2F2"/>
            <w:noWrap/>
            <w:vAlign w:val="center"/>
            <w:hideMark/>
          </w:tcPr>
          <w:p w14:paraId="1C264CCC"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045CDFF1"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7A07CC02"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182A500E"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r>
      <w:tr w:rsidR="00A15C2C" w14:paraId="01084CC4" w14:textId="77777777" w:rsidTr="003F10AD">
        <w:trPr>
          <w:trHeight w:val="300"/>
          <w:jc w:val="center"/>
        </w:trPr>
        <w:tc>
          <w:tcPr>
            <w:tcW w:w="700" w:type="dxa"/>
            <w:shd w:val="clear" w:color="D9E1F2" w:fill="D9E1F2"/>
            <w:noWrap/>
            <w:hideMark/>
          </w:tcPr>
          <w:p w14:paraId="0ADC31EA" w14:textId="77777777" w:rsidR="001D6419" w:rsidRPr="00B8116B" w:rsidRDefault="000F5B51" w:rsidP="00D07617">
            <w:pPr>
              <w:spacing w:after="0" w:line="240" w:lineRule="auto"/>
              <w:contextualSpacing/>
              <w:rPr>
                <w:rFonts w:eastAsia="Times New Roman" w:cs="Times New Roman"/>
                <w:szCs w:val="24"/>
              </w:rPr>
            </w:pPr>
            <w:r w:rsidRPr="00CF6482">
              <w:t>1979</w:t>
            </w:r>
          </w:p>
        </w:tc>
        <w:tc>
          <w:tcPr>
            <w:tcW w:w="1191" w:type="dxa"/>
            <w:shd w:val="clear" w:color="D9E1F2" w:fill="D9E1F2"/>
            <w:noWrap/>
            <w:vAlign w:val="center"/>
            <w:hideMark/>
          </w:tcPr>
          <w:p w14:paraId="3C739ED2"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0.0000</w:t>
            </w:r>
          </w:p>
        </w:tc>
        <w:tc>
          <w:tcPr>
            <w:tcW w:w="1004" w:type="dxa"/>
            <w:shd w:val="clear" w:color="D9E1F2" w:fill="D9E1F2"/>
            <w:noWrap/>
            <w:vAlign w:val="center"/>
            <w:hideMark/>
          </w:tcPr>
          <w:p w14:paraId="3AA0BCB3"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3,449</w:t>
            </w:r>
          </w:p>
        </w:tc>
        <w:tc>
          <w:tcPr>
            <w:tcW w:w="1083" w:type="dxa"/>
            <w:shd w:val="clear" w:color="D9E1F2" w:fill="D9E1F2"/>
            <w:noWrap/>
            <w:vAlign w:val="center"/>
            <w:hideMark/>
          </w:tcPr>
          <w:p w14:paraId="4373F3C5"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w:t>
            </w:r>
          </w:p>
        </w:tc>
        <w:tc>
          <w:tcPr>
            <w:tcW w:w="1164" w:type="dxa"/>
            <w:shd w:val="clear" w:color="D9E1F2" w:fill="D9E1F2"/>
            <w:noWrap/>
            <w:vAlign w:val="center"/>
            <w:hideMark/>
          </w:tcPr>
          <w:p w14:paraId="525BB71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0.0000</w:t>
            </w:r>
          </w:p>
        </w:tc>
        <w:tc>
          <w:tcPr>
            <w:tcW w:w="588" w:type="dxa"/>
            <w:shd w:val="clear" w:color="D9E1F2" w:fill="D9E1F2"/>
            <w:noWrap/>
            <w:vAlign w:val="center"/>
            <w:hideMark/>
          </w:tcPr>
          <w:p w14:paraId="238CB89E"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88" w:type="dxa"/>
            <w:shd w:val="clear" w:color="D9E1F2" w:fill="D9E1F2"/>
            <w:noWrap/>
            <w:vAlign w:val="center"/>
            <w:hideMark/>
          </w:tcPr>
          <w:p w14:paraId="68933A25"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732A98D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000000" w:fill="CC99FF"/>
            <w:noWrap/>
            <w:vAlign w:val="center"/>
            <w:hideMark/>
          </w:tcPr>
          <w:p w14:paraId="44369CE4"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D9E1F2" w:fill="D9E1F2"/>
            <w:noWrap/>
            <w:vAlign w:val="center"/>
            <w:hideMark/>
          </w:tcPr>
          <w:p w14:paraId="7E2DAB92"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shd w:val="clear" w:color="D9E1F2" w:fill="D9E1F2"/>
            <w:noWrap/>
            <w:vAlign w:val="center"/>
            <w:hideMark/>
          </w:tcPr>
          <w:p w14:paraId="391BEA96"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shd w:val="clear" w:color="D9E1F2" w:fill="D9E1F2"/>
            <w:noWrap/>
            <w:vAlign w:val="center"/>
            <w:hideMark/>
          </w:tcPr>
          <w:p w14:paraId="7F0361B7"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shd w:val="clear" w:color="D9E1F2" w:fill="D9E1F2"/>
            <w:noWrap/>
            <w:vAlign w:val="center"/>
            <w:hideMark/>
          </w:tcPr>
          <w:p w14:paraId="3FC8B8E5"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720" w:type="dxa"/>
            <w:shd w:val="clear" w:color="000000" w:fill="F2F2F2"/>
            <w:noWrap/>
            <w:vAlign w:val="center"/>
            <w:hideMark/>
          </w:tcPr>
          <w:p w14:paraId="1269F625"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0614B1D3"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62F6B0F6"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2CEFA7E2"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r>
      <w:tr w:rsidR="00A15C2C" w14:paraId="3C7EF9D7" w14:textId="77777777" w:rsidTr="003F10AD">
        <w:trPr>
          <w:trHeight w:val="300"/>
          <w:jc w:val="center"/>
        </w:trPr>
        <w:tc>
          <w:tcPr>
            <w:tcW w:w="700" w:type="dxa"/>
            <w:noWrap/>
            <w:hideMark/>
          </w:tcPr>
          <w:p w14:paraId="3675AF81" w14:textId="77777777" w:rsidR="001D6419" w:rsidRPr="00B8116B" w:rsidRDefault="000F5B51" w:rsidP="00D07617">
            <w:pPr>
              <w:spacing w:after="0" w:line="240" w:lineRule="auto"/>
              <w:contextualSpacing/>
              <w:rPr>
                <w:rFonts w:eastAsia="Times New Roman" w:cs="Times New Roman"/>
                <w:szCs w:val="24"/>
              </w:rPr>
            </w:pPr>
            <w:r w:rsidRPr="00CF6482">
              <w:t>1978</w:t>
            </w:r>
          </w:p>
        </w:tc>
        <w:tc>
          <w:tcPr>
            <w:tcW w:w="1191" w:type="dxa"/>
            <w:noWrap/>
            <w:vAlign w:val="center"/>
            <w:hideMark/>
          </w:tcPr>
          <w:p w14:paraId="5BDAB97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0.0000</w:t>
            </w:r>
          </w:p>
        </w:tc>
        <w:tc>
          <w:tcPr>
            <w:tcW w:w="1004" w:type="dxa"/>
            <w:noWrap/>
            <w:vAlign w:val="center"/>
            <w:hideMark/>
          </w:tcPr>
          <w:p w14:paraId="7109C1C0"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3,449</w:t>
            </w:r>
          </w:p>
        </w:tc>
        <w:tc>
          <w:tcPr>
            <w:tcW w:w="1083" w:type="dxa"/>
            <w:noWrap/>
            <w:vAlign w:val="center"/>
            <w:hideMark/>
          </w:tcPr>
          <w:p w14:paraId="1E5AD372"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w:t>
            </w:r>
          </w:p>
        </w:tc>
        <w:tc>
          <w:tcPr>
            <w:tcW w:w="1164" w:type="dxa"/>
            <w:noWrap/>
            <w:vAlign w:val="center"/>
            <w:hideMark/>
          </w:tcPr>
          <w:p w14:paraId="1D6E771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0.0000</w:t>
            </w:r>
          </w:p>
        </w:tc>
        <w:tc>
          <w:tcPr>
            <w:tcW w:w="588" w:type="dxa"/>
            <w:noWrap/>
            <w:vAlign w:val="center"/>
            <w:hideMark/>
          </w:tcPr>
          <w:p w14:paraId="31DB431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88" w:type="dxa"/>
            <w:noWrap/>
            <w:vAlign w:val="center"/>
            <w:hideMark/>
          </w:tcPr>
          <w:p w14:paraId="43A97065"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56499E85"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000000" w:fill="CC99FF"/>
            <w:noWrap/>
            <w:vAlign w:val="center"/>
            <w:hideMark/>
          </w:tcPr>
          <w:p w14:paraId="61532743"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noWrap/>
            <w:vAlign w:val="center"/>
            <w:hideMark/>
          </w:tcPr>
          <w:p w14:paraId="4E16121A"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noWrap/>
            <w:vAlign w:val="center"/>
            <w:hideMark/>
          </w:tcPr>
          <w:p w14:paraId="3FC14457"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noWrap/>
            <w:vAlign w:val="center"/>
            <w:hideMark/>
          </w:tcPr>
          <w:p w14:paraId="74678FB9"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noWrap/>
            <w:vAlign w:val="center"/>
            <w:hideMark/>
          </w:tcPr>
          <w:p w14:paraId="4401AF6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720" w:type="dxa"/>
            <w:shd w:val="clear" w:color="000000" w:fill="F2F2F2"/>
            <w:noWrap/>
            <w:vAlign w:val="center"/>
            <w:hideMark/>
          </w:tcPr>
          <w:p w14:paraId="0FB304B9"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61C8DBD0"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71A593A6"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781E4661"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r>
      <w:tr w:rsidR="00A15C2C" w14:paraId="467DE576" w14:textId="77777777" w:rsidTr="003F10AD">
        <w:trPr>
          <w:trHeight w:val="300"/>
          <w:jc w:val="center"/>
        </w:trPr>
        <w:tc>
          <w:tcPr>
            <w:tcW w:w="700" w:type="dxa"/>
            <w:shd w:val="clear" w:color="D9E1F2" w:fill="D9E1F2"/>
            <w:noWrap/>
            <w:hideMark/>
          </w:tcPr>
          <w:p w14:paraId="6E4377A8" w14:textId="77777777" w:rsidR="001D6419" w:rsidRPr="00B8116B" w:rsidRDefault="000F5B51" w:rsidP="00D07617">
            <w:pPr>
              <w:spacing w:after="0" w:line="240" w:lineRule="auto"/>
              <w:contextualSpacing/>
              <w:rPr>
                <w:rFonts w:eastAsia="Times New Roman" w:cs="Times New Roman"/>
                <w:szCs w:val="24"/>
              </w:rPr>
            </w:pPr>
            <w:r w:rsidRPr="00CF6482">
              <w:t>1977</w:t>
            </w:r>
          </w:p>
        </w:tc>
        <w:tc>
          <w:tcPr>
            <w:tcW w:w="1191" w:type="dxa"/>
            <w:shd w:val="clear" w:color="D9E1F2" w:fill="D9E1F2"/>
            <w:noWrap/>
            <w:vAlign w:val="center"/>
            <w:hideMark/>
          </w:tcPr>
          <w:p w14:paraId="2D525DF8"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0.0000</w:t>
            </w:r>
          </w:p>
        </w:tc>
        <w:tc>
          <w:tcPr>
            <w:tcW w:w="1004" w:type="dxa"/>
            <w:shd w:val="clear" w:color="D9E1F2" w:fill="D9E1F2"/>
            <w:noWrap/>
            <w:vAlign w:val="center"/>
            <w:hideMark/>
          </w:tcPr>
          <w:p w14:paraId="4BEBC95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3,449</w:t>
            </w:r>
          </w:p>
        </w:tc>
        <w:tc>
          <w:tcPr>
            <w:tcW w:w="1083" w:type="dxa"/>
            <w:shd w:val="clear" w:color="D9E1F2" w:fill="D9E1F2"/>
            <w:noWrap/>
            <w:vAlign w:val="center"/>
            <w:hideMark/>
          </w:tcPr>
          <w:p w14:paraId="2F97C4B4"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w:t>
            </w:r>
          </w:p>
        </w:tc>
        <w:tc>
          <w:tcPr>
            <w:tcW w:w="1164" w:type="dxa"/>
            <w:shd w:val="clear" w:color="D9E1F2" w:fill="D9E1F2"/>
            <w:noWrap/>
            <w:vAlign w:val="center"/>
            <w:hideMark/>
          </w:tcPr>
          <w:p w14:paraId="6C620CC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0.0000</w:t>
            </w:r>
          </w:p>
        </w:tc>
        <w:tc>
          <w:tcPr>
            <w:tcW w:w="588" w:type="dxa"/>
            <w:shd w:val="clear" w:color="D9E1F2" w:fill="D9E1F2"/>
            <w:noWrap/>
            <w:vAlign w:val="center"/>
            <w:hideMark/>
          </w:tcPr>
          <w:p w14:paraId="0890EA8A"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88" w:type="dxa"/>
            <w:shd w:val="clear" w:color="D9E1F2" w:fill="D9E1F2"/>
            <w:noWrap/>
            <w:vAlign w:val="center"/>
            <w:hideMark/>
          </w:tcPr>
          <w:p w14:paraId="3A82651C"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376DA6C2"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000000" w:fill="CC99FF"/>
            <w:noWrap/>
            <w:vAlign w:val="center"/>
            <w:hideMark/>
          </w:tcPr>
          <w:p w14:paraId="04A3342D"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D9E1F2" w:fill="D9E1F2"/>
            <w:noWrap/>
            <w:vAlign w:val="center"/>
            <w:hideMark/>
          </w:tcPr>
          <w:p w14:paraId="041551B5"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shd w:val="clear" w:color="D9E1F2" w:fill="D9E1F2"/>
            <w:noWrap/>
            <w:vAlign w:val="center"/>
            <w:hideMark/>
          </w:tcPr>
          <w:p w14:paraId="40EC3870"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shd w:val="clear" w:color="D9E1F2" w:fill="D9E1F2"/>
            <w:noWrap/>
            <w:vAlign w:val="center"/>
            <w:hideMark/>
          </w:tcPr>
          <w:p w14:paraId="413DF68E"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shd w:val="clear" w:color="D9E1F2" w:fill="D9E1F2"/>
            <w:noWrap/>
            <w:vAlign w:val="center"/>
            <w:hideMark/>
          </w:tcPr>
          <w:p w14:paraId="01288593"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720" w:type="dxa"/>
            <w:shd w:val="clear" w:color="000000" w:fill="F2F2F2"/>
            <w:noWrap/>
            <w:vAlign w:val="center"/>
            <w:hideMark/>
          </w:tcPr>
          <w:p w14:paraId="0A98FFAB"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2A94FD7E"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30CD9CDC"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5B076A17"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r>
      <w:tr w:rsidR="00A15C2C" w14:paraId="3634F248" w14:textId="77777777" w:rsidTr="003F10AD">
        <w:trPr>
          <w:trHeight w:val="300"/>
          <w:jc w:val="center"/>
        </w:trPr>
        <w:tc>
          <w:tcPr>
            <w:tcW w:w="700" w:type="dxa"/>
            <w:noWrap/>
            <w:hideMark/>
          </w:tcPr>
          <w:p w14:paraId="66D8ADA4" w14:textId="77777777" w:rsidR="001D6419" w:rsidRPr="00B8116B" w:rsidRDefault="000F5B51" w:rsidP="00D07617">
            <w:pPr>
              <w:spacing w:after="0" w:line="240" w:lineRule="auto"/>
              <w:contextualSpacing/>
              <w:rPr>
                <w:rFonts w:eastAsia="Times New Roman" w:cs="Times New Roman"/>
                <w:szCs w:val="24"/>
              </w:rPr>
            </w:pPr>
            <w:r w:rsidRPr="00CF6482">
              <w:t>1976</w:t>
            </w:r>
          </w:p>
        </w:tc>
        <w:tc>
          <w:tcPr>
            <w:tcW w:w="1191" w:type="dxa"/>
            <w:noWrap/>
            <w:vAlign w:val="center"/>
            <w:hideMark/>
          </w:tcPr>
          <w:p w14:paraId="218A5B40"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0.0000</w:t>
            </w:r>
          </w:p>
        </w:tc>
        <w:tc>
          <w:tcPr>
            <w:tcW w:w="1004" w:type="dxa"/>
            <w:noWrap/>
            <w:vAlign w:val="center"/>
            <w:hideMark/>
          </w:tcPr>
          <w:p w14:paraId="53DB649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3,449</w:t>
            </w:r>
          </w:p>
        </w:tc>
        <w:tc>
          <w:tcPr>
            <w:tcW w:w="1083" w:type="dxa"/>
            <w:noWrap/>
            <w:vAlign w:val="center"/>
            <w:hideMark/>
          </w:tcPr>
          <w:p w14:paraId="22AED37E"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w:t>
            </w:r>
          </w:p>
        </w:tc>
        <w:tc>
          <w:tcPr>
            <w:tcW w:w="1164" w:type="dxa"/>
            <w:noWrap/>
            <w:vAlign w:val="center"/>
            <w:hideMark/>
          </w:tcPr>
          <w:p w14:paraId="27F44C10"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0.0000</w:t>
            </w:r>
          </w:p>
        </w:tc>
        <w:tc>
          <w:tcPr>
            <w:tcW w:w="588" w:type="dxa"/>
            <w:noWrap/>
            <w:vAlign w:val="center"/>
            <w:hideMark/>
          </w:tcPr>
          <w:p w14:paraId="6216B9A2"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88" w:type="dxa"/>
            <w:noWrap/>
            <w:vAlign w:val="center"/>
            <w:hideMark/>
          </w:tcPr>
          <w:p w14:paraId="1CDC620E"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4DAA83A2"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shd w:val="clear" w:color="000000" w:fill="CC99FF"/>
            <w:noWrap/>
            <w:vAlign w:val="center"/>
            <w:hideMark/>
          </w:tcPr>
          <w:p w14:paraId="2188C1CF"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88" w:type="dxa"/>
            <w:noWrap/>
            <w:vAlign w:val="center"/>
            <w:hideMark/>
          </w:tcPr>
          <w:p w14:paraId="167FE184"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noWrap/>
            <w:vAlign w:val="center"/>
            <w:hideMark/>
          </w:tcPr>
          <w:p w14:paraId="42FB4B16"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noWrap/>
            <w:vAlign w:val="center"/>
            <w:hideMark/>
          </w:tcPr>
          <w:p w14:paraId="3D7C656E"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88" w:type="dxa"/>
            <w:noWrap/>
            <w:vAlign w:val="center"/>
            <w:hideMark/>
          </w:tcPr>
          <w:p w14:paraId="684C1004"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720" w:type="dxa"/>
            <w:shd w:val="clear" w:color="000000" w:fill="F2F2F2"/>
            <w:noWrap/>
            <w:vAlign w:val="center"/>
            <w:hideMark/>
          </w:tcPr>
          <w:p w14:paraId="490F483D"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6A531D61"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119B0E8C"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720" w:type="dxa"/>
            <w:shd w:val="clear" w:color="000000" w:fill="F2F2F2"/>
            <w:noWrap/>
            <w:vAlign w:val="center"/>
            <w:hideMark/>
          </w:tcPr>
          <w:p w14:paraId="0489D174"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r>
    </w:tbl>
    <w:p w14:paraId="283F9544" w14:textId="77777777" w:rsidR="00837612" w:rsidRDefault="00837612" w:rsidP="001D6419">
      <w:pPr>
        <w:pStyle w:val="Caption"/>
      </w:pPr>
      <w:bookmarkStart w:id="2014" w:name="_Toc517354429"/>
      <w:bookmarkStart w:id="2015" w:name="_Toc103595403"/>
    </w:p>
    <w:p w14:paraId="2A4E14C4" w14:textId="24A9A226" w:rsidR="001D6419" w:rsidRPr="00885DCD" w:rsidRDefault="000F5B51" w:rsidP="001D6419">
      <w:pPr>
        <w:pStyle w:val="Caption"/>
      </w:pPr>
      <w:r>
        <w:t>T</w:t>
      </w:r>
      <w:r w:rsidRPr="00885DCD">
        <w:t xml:space="preserve">able </w:t>
      </w:r>
      <w:r w:rsidR="00115BAB">
        <w:fldChar w:fldCharType="begin"/>
      </w:r>
      <w:r>
        <w:instrText xml:space="preserve"> SEQ Table \* ARABIC </w:instrText>
      </w:r>
      <w:r w:rsidR="00115BAB">
        <w:fldChar w:fldCharType="separate"/>
      </w:r>
      <w:r w:rsidR="00A65CB3">
        <w:rPr>
          <w:noProof/>
        </w:rPr>
        <w:t>110</w:t>
      </w:r>
      <w:r w:rsidR="00115BAB">
        <w:rPr>
          <w:noProof/>
        </w:rPr>
        <w:fldChar w:fldCharType="end"/>
      </w:r>
      <w:r w:rsidR="005702D0">
        <w:t>:</w:t>
      </w:r>
      <w:r>
        <w:t xml:space="preserve"> FMVSS 214 Adjustment Factors for PC</w:t>
      </w:r>
      <w:bookmarkEnd w:id="2014"/>
      <w:bookmarkEnd w:id="2015"/>
    </w:p>
    <w:tbl>
      <w:tblPr>
        <w:tblW w:w="0" w:type="auto"/>
        <w:jc w:val="center"/>
        <w:tblLayout w:type="fixed"/>
        <w:tblCellMar>
          <w:left w:w="30" w:type="dxa"/>
          <w:right w:w="30" w:type="dxa"/>
        </w:tblCellMar>
        <w:tblLook w:val="0000" w:firstRow="0" w:lastRow="0" w:firstColumn="0" w:lastColumn="0" w:noHBand="0" w:noVBand="0"/>
      </w:tblPr>
      <w:tblGrid>
        <w:gridCol w:w="773"/>
        <w:gridCol w:w="773"/>
        <w:gridCol w:w="772"/>
        <w:gridCol w:w="1042"/>
      </w:tblGrid>
      <w:tr w:rsidR="00A15C2C" w14:paraId="59BEE521" w14:textId="77777777" w:rsidTr="00D07617">
        <w:trPr>
          <w:trHeight w:val="290"/>
          <w:jc w:val="center"/>
        </w:trPr>
        <w:tc>
          <w:tcPr>
            <w:tcW w:w="773" w:type="dxa"/>
            <w:tcBorders>
              <w:top w:val="single" w:sz="6" w:space="0" w:color="333333"/>
              <w:left w:val="single" w:sz="6" w:space="0" w:color="333333"/>
              <w:bottom w:val="single" w:sz="6" w:space="0" w:color="333333"/>
              <w:right w:val="single" w:sz="6" w:space="0" w:color="333333"/>
            </w:tcBorders>
            <w:shd w:val="solid" w:color="C0C0C0" w:fill="FFFFFF"/>
            <w:vAlign w:val="center"/>
          </w:tcPr>
          <w:p w14:paraId="107F6C7C" w14:textId="77777777" w:rsidR="001D6419" w:rsidRPr="00885DCD" w:rsidRDefault="000F5B51" w:rsidP="00D07617">
            <w:pPr>
              <w:autoSpaceDE w:val="0"/>
              <w:autoSpaceDN w:val="0"/>
              <w:adjustRightInd w:val="0"/>
              <w:spacing w:after="0" w:line="240" w:lineRule="auto"/>
              <w:jc w:val="center"/>
              <w:rPr>
                <w:rFonts w:eastAsia="Times New Roman" w:cs="Times New Roman"/>
                <w:b/>
                <w:bCs/>
                <w:szCs w:val="24"/>
              </w:rPr>
            </w:pPr>
            <w:r w:rsidRPr="00885DCD">
              <w:rPr>
                <w:rFonts w:eastAsia="Times New Roman" w:cs="Times New Roman"/>
                <w:b/>
                <w:bCs/>
                <w:szCs w:val="24"/>
              </w:rPr>
              <w:t>Front</w:t>
            </w:r>
          </w:p>
        </w:tc>
        <w:tc>
          <w:tcPr>
            <w:tcW w:w="773" w:type="dxa"/>
            <w:tcBorders>
              <w:top w:val="single" w:sz="6" w:space="0" w:color="333333"/>
              <w:left w:val="single" w:sz="6" w:space="0" w:color="333333"/>
              <w:bottom w:val="single" w:sz="6" w:space="0" w:color="333333"/>
              <w:right w:val="single" w:sz="6" w:space="0" w:color="333333"/>
            </w:tcBorders>
            <w:shd w:val="solid" w:color="C0C0C0" w:fill="FFFFFF"/>
            <w:vAlign w:val="center"/>
          </w:tcPr>
          <w:p w14:paraId="03719D41" w14:textId="77777777" w:rsidR="001D6419" w:rsidRPr="00885DCD" w:rsidRDefault="000F5B51" w:rsidP="00D07617">
            <w:pPr>
              <w:autoSpaceDE w:val="0"/>
              <w:autoSpaceDN w:val="0"/>
              <w:adjustRightInd w:val="0"/>
              <w:spacing w:after="0" w:line="240" w:lineRule="auto"/>
              <w:jc w:val="center"/>
              <w:rPr>
                <w:rFonts w:eastAsia="Times New Roman" w:cs="Times New Roman"/>
                <w:b/>
                <w:bCs/>
                <w:szCs w:val="24"/>
              </w:rPr>
            </w:pPr>
            <w:r w:rsidRPr="00885DCD">
              <w:rPr>
                <w:rFonts w:eastAsia="Times New Roman" w:cs="Times New Roman"/>
                <w:b/>
                <w:bCs/>
                <w:szCs w:val="24"/>
              </w:rPr>
              <w:t>Rear</w:t>
            </w:r>
          </w:p>
        </w:tc>
        <w:tc>
          <w:tcPr>
            <w:tcW w:w="772" w:type="dxa"/>
            <w:tcBorders>
              <w:top w:val="single" w:sz="6" w:space="0" w:color="333333"/>
              <w:left w:val="single" w:sz="6" w:space="0" w:color="333333"/>
              <w:bottom w:val="single" w:sz="6" w:space="0" w:color="333333"/>
              <w:right w:val="single" w:sz="6" w:space="0" w:color="333333"/>
            </w:tcBorders>
            <w:shd w:val="solid" w:color="C0C0C0" w:fill="FFFFFF"/>
            <w:vAlign w:val="center"/>
          </w:tcPr>
          <w:p w14:paraId="38AA6FAD" w14:textId="77777777" w:rsidR="001D6419" w:rsidRPr="00885DCD" w:rsidRDefault="000F5B51" w:rsidP="00D07617">
            <w:pPr>
              <w:autoSpaceDE w:val="0"/>
              <w:autoSpaceDN w:val="0"/>
              <w:adjustRightInd w:val="0"/>
              <w:spacing w:after="0" w:line="240" w:lineRule="auto"/>
              <w:jc w:val="center"/>
              <w:rPr>
                <w:rFonts w:eastAsia="Times New Roman" w:cs="Times New Roman"/>
                <w:b/>
                <w:bCs/>
                <w:szCs w:val="24"/>
              </w:rPr>
            </w:pPr>
            <w:r w:rsidRPr="00885DCD">
              <w:rPr>
                <w:rFonts w:eastAsia="Times New Roman" w:cs="Times New Roman"/>
                <w:b/>
                <w:bCs/>
                <w:szCs w:val="24"/>
              </w:rPr>
              <w:t>Side</w:t>
            </w:r>
          </w:p>
        </w:tc>
        <w:tc>
          <w:tcPr>
            <w:tcW w:w="1042" w:type="dxa"/>
            <w:tcBorders>
              <w:top w:val="single" w:sz="6" w:space="0" w:color="333333"/>
              <w:left w:val="single" w:sz="6" w:space="0" w:color="333333"/>
              <w:bottom w:val="single" w:sz="6" w:space="0" w:color="333333"/>
              <w:right w:val="single" w:sz="6" w:space="0" w:color="333333"/>
            </w:tcBorders>
            <w:shd w:val="solid" w:color="C0C0C0" w:fill="FFFFFF"/>
            <w:vAlign w:val="center"/>
          </w:tcPr>
          <w:p w14:paraId="7D8B0800" w14:textId="77777777" w:rsidR="001D6419" w:rsidRDefault="000F5B51" w:rsidP="00D07617">
            <w:pPr>
              <w:autoSpaceDE w:val="0"/>
              <w:autoSpaceDN w:val="0"/>
              <w:adjustRightInd w:val="0"/>
              <w:spacing w:after="0" w:line="240" w:lineRule="auto"/>
              <w:jc w:val="center"/>
              <w:rPr>
                <w:rFonts w:ascii="Calibri" w:hAnsi="Calibri" w:cs="Calibri"/>
                <w:b/>
                <w:bCs/>
                <w:color w:val="333333"/>
                <w:sz w:val="22"/>
              </w:rPr>
            </w:pPr>
            <w:r w:rsidRPr="00885DCD">
              <w:rPr>
                <w:rFonts w:eastAsia="Times New Roman" w:cs="Times New Roman"/>
                <w:b/>
                <w:bCs/>
                <w:szCs w:val="24"/>
              </w:rPr>
              <w:t>Rollove</w:t>
            </w:r>
            <w:r>
              <w:rPr>
                <w:rFonts w:ascii="Calibri" w:hAnsi="Calibri" w:cs="Calibri"/>
                <w:b/>
                <w:bCs/>
                <w:color w:val="333333"/>
                <w:sz w:val="22"/>
              </w:rPr>
              <w:t>r</w:t>
            </w:r>
          </w:p>
        </w:tc>
      </w:tr>
      <w:tr w:rsidR="00A15C2C" w14:paraId="21D814B9" w14:textId="77777777" w:rsidTr="003F10AD">
        <w:trPr>
          <w:trHeight w:val="290"/>
          <w:jc w:val="center"/>
        </w:trPr>
        <w:tc>
          <w:tcPr>
            <w:tcW w:w="773"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0B690A05" w14:textId="77777777" w:rsidR="001D6419" w:rsidRPr="00DC73D3" w:rsidRDefault="000F5B51" w:rsidP="00D07617">
            <w:pPr>
              <w:spacing w:after="0" w:line="240" w:lineRule="auto"/>
              <w:contextualSpacing/>
              <w:jc w:val="right"/>
              <w:rPr>
                <w:rFonts w:eastAsia="Times New Roman" w:cs="Times New Roman"/>
                <w:b/>
                <w:bCs/>
                <w:szCs w:val="24"/>
              </w:rPr>
            </w:pPr>
            <w:r w:rsidRPr="00CF4B1E">
              <w:t>1.0000</w:t>
            </w:r>
          </w:p>
        </w:tc>
        <w:tc>
          <w:tcPr>
            <w:tcW w:w="773"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57B20BED" w14:textId="77777777" w:rsidR="001D6419" w:rsidRPr="00DC73D3" w:rsidRDefault="000F5B51" w:rsidP="00D07617">
            <w:pPr>
              <w:spacing w:after="0" w:line="240" w:lineRule="auto"/>
              <w:contextualSpacing/>
              <w:jc w:val="right"/>
              <w:rPr>
                <w:rFonts w:eastAsia="Times New Roman" w:cs="Times New Roman"/>
                <w:b/>
                <w:bCs/>
                <w:szCs w:val="24"/>
              </w:rPr>
            </w:pPr>
            <w:r w:rsidRPr="00CF4B1E">
              <w:t>1.0000</w:t>
            </w:r>
          </w:p>
        </w:tc>
        <w:tc>
          <w:tcPr>
            <w:tcW w:w="77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64806015" w14:textId="77777777" w:rsidR="001D6419" w:rsidRPr="00DC73D3" w:rsidRDefault="000F5B51" w:rsidP="00D07617">
            <w:pPr>
              <w:spacing w:after="0" w:line="240" w:lineRule="auto"/>
              <w:contextualSpacing/>
              <w:jc w:val="right"/>
              <w:rPr>
                <w:rFonts w:eastAsia="Times New Roman" w:cs="Times New Roman"/>
                <w:b/>
                <w:bCs/>
                <w:szCs w:val="24"/>
              </w:rPr>
            </w:pPr>
            <w:r w:rsidRPr="00CF4B1E">
              <w:t>0.8</w:t>
            </w:r>
            <w:r>
              <w:t>259</w:t>
            </w:r>
          </w:p>
        </w:tc>
        <w:tc>
          <w:tcPr>
            <w:tcW w:w="104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2BF2EF6E" w14:textId="77777777" w:rsidR="001D6419" w:rsidRPr="00DC73D3" w:rsidRDefault="000F5B51" w:rsidP="00D07617">
            <w:pPr>
              <w:spacing w:after="0" w:line="240" w:lineRule="auto"/>
              <w:contextualSpacing/>
              <w:jc w:val="right"/>
              <w:rPr>
                <w:rFonts w:eastAsia="Times New Roman" w:cs="Times New Roman"/>
                <w:b/>
                <w:bCs/>
                <w:szCs w:val="24"/>
              </w:rPr>
            </w:pPr>
            <w:r w:rsidRPr="00CF4B1E">
              <w:t>1.0000</w:t>
            </w:r>
          </w:p>
        </w:tc>
      </w:tr>
    </w:tbl>
    <w:p w14:paraId="799FB4CD" w14:textId="77777777" w:rsidR="001D6419" w:rsidRDefault="001D6419" w:rsidP="001D6419">
      <w:pPr>
        <w:spacing w:after="0"/>
        <w:contextualSpacing/>
        <w:rPr>
          <w:rFonts w:eastAsia="Times New Roman" w:cs="Times New Roman"/>
          <w:szCs w:val="24"/>
        </w:rPr>
      </w:pPr>
    </w:p>
    <w:p w14:paraId="7EE81421" w14:textId="7F012D96" w:rsidR="001D6419" w:rsidRDefault="000F5B51" w:rsidP="001D6419">
      <w:pPr>
        <w:pStyle w:val="Caption"/>
      </w:pPr>
      <w:bookmarkStart w:id="2016" w:name="_Toc517354430"/>
      <w:bookmarkStart w:id="2017" w:name="_Toc103595404"/>
      <w:r>
        <w:lastRenderedPageBreak/>
        <w:t xml:space="preserve">Table </w:t>
      </w:r>
      <w:r w:rsidR="00115BAB">
        <w:fldChar w:fldCharType="begin"/>
      </w:r>
      <w:r>
        <w:instrText xml:space="preserve"> SEQ Table \* ARABIC </w:instrText>
      </w:r>
      <w:r w:rsidR="00115BAB">
        <w:fldChar w:fldCharType="separate"/>
      </w:r>
      <w:r w:rsidR="00A65CB3">
        <w:rPr>
          <w:noProof/>
        </w:rPr>
        <w:t>111</w:t>
      </w:r>
      <w:r w:rsidR="00115BAB">
        <w:rPr>
          <w:noProof/>
        </w:rPr>
        <w:fldChar w:fldCharType="end"/>
      </w:r>
      <w:r w:rsidR="005702D0">
        <w:t>:</w:t>
      </w:r>
      <w:r>
        <w:t xml:space="preserve"> </w:t>
      </w:r>
      <w:r w:rsidRPr="00775376">
        <w:t>Calculat</w:t>
      </w:r>
      <w:r>
        <w:t>ion for FMVSS No. 214 adjustment factor, LTV</w:t>
      </w:r>
      <w:r w:rsidRPr="00775376">
        <w:t>s</w:t>
      </w:r>
      <w:bookmarkEnd w:id="2016"/>
      <w:bookmarkEnd w:id="2017"/>
    </w:p>
    <w:tbl>
      <w:tblPr>
        <w:tblW w:w="12726" w:type="dxa"/>
        <w:jc w:val="center"/>
        <w:tblLayout w:type="fixed"/>
        <w:tblCellMar>
          <w:top w:w="15" w:type="dxa"/>
          <w:left w:w="15" w:type="dxa"/>
          <w:bottom w:w="15" w:type="dxa"/>
          <w:right w:w="15" w:type="dxa"/>
        </w:tblCellMar>
        <w:tblLook w:val="04A0" w:firstRow="1" w:lastRow="0" w:firstColumn="1" w:lastColumn="0" w:noHBand="0" w:noVBand="1"/>
      </w:tblPr>
      <w:tblGrid>
        <w:gridCol w:w="673"/>
        <w:gridCol w:w="1143"/>
        <w:gridCol w:w="963"/>
        <w:gridCol w:w="1039"/>
        <w:gridCol w:w="1116"/>
        <w:gridCol w:w="565"/>
        <w:gridCol w:w="565"/>
        <w:gridCol w:w="819"/>
        <w:gridCol w:w="819"/>
        <w:gridCol w:w="565"/>
        <w:gridCol w:w="565"/>
        <w:gridCol w:w="565"/>
        <w:gridCol w:w="565"/>
        <w:gridCol w:w="691"/>
        <w:gridCol w:w="691"/>
        <w:gridCol w:w="691"/>
        <w:gridCol w:w="691"/>
      </w:tblGrid>
      <w:tr w:rsidR="00A15C2C" w14:paraId="5E944C11" w14:textId="77777777" w:rsidTr="003F10AD">
        <w:trPr>
          <w:trHeight w:val="2205"/>
          <w:jc w:val="center"/>
        </w:trPr>
        <w:tc>
          <w:tcPr>
            <w:tcW w:w="673"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28593957" w14:textId="77777777" w:rsidR="001D6419" w:rsidRPr="00843B03" w:rsidRDefault="000F5B51" w:rsidP="003F10AD">
            <w:pPr>
              <w:spacing w:after="0" w:line="240" w:lineRule="auto"/>
              <w:contextualSpacing/>
              <w:jc w:val="center"/>
              <w:rPr>
                <w:rFonts w:eastAsia="Times New Roman" w:cs="Times New Roman"/>
                <w:b/>
                <w:bCs/>
                <w:szCs w:val="24"/>
              </w:rPr>
            </w:pPr>
            <w:r w:rsidRPr="00843B03">
              <w:rPr>
                <w:rFonts w:eastAsia="Times New Roman" w:cs="Times New Roman"/>
                <w:b/>
                <w:bCs/>
                <w:szCs w:val="24"/>
              </w:rPr>
              <w:t>MY</w:t>
            </w:r>
          </w:p>
        </w:tc>
        <w:tc>
          <w:tcPr>
            <w:tcW w:w="1143"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01F9821F" w14:textId="77777777" w:rsidR="001D6419" w:rsidRPr="00843B03" w:rsidRDefault="000F5B51" w:rsidP="003F10AD">
            <w:pPr>
              <w:spacing w:after="0" w:line="240" w:lineRule="auto"/>
              <w:contextualSpacing/>
              <w:jc w:val="center"/>
              <w:rPr>
                <w:rFonts w:eastAsia="Times New Roman" w:cs="Times New Roman"/>
                <w:b/>
                <w:bCs/>
                <w:szCs w:val="24"/>
              </w:rPr>
            </w:pPr>
            <w:r w:rsidRPr="00843B03">
              <w:rPr>
                <w:rFonts w:eastAsia="Times New Roman" w:cs="Times New Roman"/>
                <w:b/>
                <w:bCs/>
                <w:szCs w:val="24"/>
              </w:rPr>
              <w:t>Survival Probability</w:t>
            </w:r>
          </w:p>
        </w:tc>
        <w:tc>
          <w:tcPr>
            <w:tcW w:w="963"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5C0185A0" w14:textId="77777777" w:rsidR="001D6419" w:rsidRPr="00843B03" w:rsidRDefault="000F5B51" w:rsidP="003F10AD">
            <w:pPr>
              <w:spacing w:after="0" w:line="240" w:lineRule="auto"/>
              <w:contextualSpacing/>
              <w:jc w:val="center"/>
              <w:rPr>
                <w:rFonts w:eastAsia="Times New Roman" w:cs="Times New Roman"/>
                <w:b/>
                <w:bCs/>
                <w:szCs w:val="24"/>
              </w:rPr>
            </w:pPr>
            <w:r w:rsidRPr="00843B03">
              <w:rPr>
                <w:rFonts w:eastAsia="Times New Roman" w:cs="Times New Roman"/>
                <w:b/>
                <w:bCs/>
                <w:szCs w:val="24"/>
              </w:rPr>
              <w:t>Exposure VMT</w:t>
            </w:r>
          </w:p>
        </w:tc>
        <w:tc>
          <w:tcPr>
            <w:tcW w:w="1039"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417024F7" w14:textId="77777777" w:rsidR="001D6419" w:rsidRPr="00843B03" w:rsidRDefault="000F5B51" w:rsidP="003F10AD">
            <w:pPr>
              <w:spacing w:after="0" w:line="240" w:lineRule="auto"/>
              <w:contextualSpacing/>
              <w:jc w:val="center"/>
              <w:rPr>
                <w:rFonts w:eastAsia="Times New Roman" w:cs="Times New Roman"/>
                <w:b/>
                <w:bCs/>
                <w:szCs w:val="24"/>
              </w:rPr>
            </w:pPr>
            <w:r w:rsidRPr="00843B03">
              <w:rPr>
                <w:rFonts w:eastAsia="Times New Roman" w:cs="Times New Roman"/>
                <w:b/>
                <w:bCs/>
                <w:szCs w:val="24"/>
              </w:rPr>
              <w:t>Aggregate Exposure</w:t>
            </w:r>
          </w:p>
        </w:tc>
        <w:tc>
          <w:tcPr>
            <w:tcW w:w="1116"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06470069" w14:textId="77777777" w:rsidR="001D6419" w:rsidRPr="00843B03" w:rsidRDefault="000F5B51" w:rsidP="003F10AD">
            <w:pPr>
              <w:spacing w:after="0" w:line="240" w:lineRule="auto"/>
              <w:contextualSpacing/>
              <w:jc w:val="center"/>
              <w:rPr>
                <w:rFonts w:eastAsia="Times New Roman" w:cs="Times New Roman"/>
                <w:b/>
                <w:bCs/>
                <w:szCs w:val="24"/>
              </w:rPr>
            </w:pPr>
            <w:r w:rsidRPr="00843B03">
              <w:rPr>
                <w:rFonts w:eastAsia="Times New Roman" w:cs="Times New Roman"/>
                <w:b/>
                <w:bCs/>
                <w:szCs w:val="24"/>
              </w:rPr>
              <w:t>Exposure Proportion</w:t>
            </w:r>
          </w:p>
        </w:tc>
        <w:tc>
          <w:tcPr>
            <w:tcW w:w="565" w:type="dxa"/>
            <w:tcBorders>
              <w:top w:val="single" w:sz="4" w:space="0" w:color="auto"/>
              <w:left w:val="single" w:sz="4" w:space="0" w:color="auto"/>
              <w:bottom w:val="single" w:sz="4" w:space="0" w:color="auto"/>
              <w:right w:val="single" w:sz="4" w:space="0" w:color="auto"/>
            </w:tcBorders>
            <w:shd w:val="clear" w:color="4472C4" w:fill="4472C4"/>
            <w:noWrap/>
            <w:textDirection w:val="btLr"/>
            <w:vAlign w:val="center"/>
            <w:hideMark/>
          </w:tcPr>
          <w:p w14:paraId="6CE7661A" w14:textId="77777777" w:rsidR="001D6419" w:rsidRPr="00843B03" w:rsidRDefault="000F5B51" w:rsidP="00D07617">
            <w:pPr>
              <w:spacing w:after="0"/>
              <w:contextualSpacing/>
              <w:rPr>
                <w:rFonts w:eastAsia="Times New Roman" w:cs="Times New Roman"/>
                <w:b/>
                <w:bCs/>
                <w:szCs w:val="24"/>
              </w:rPr>
            </w:pPr>
            <w:r w:rsidRPr="00843B03">
              <w:rPr>
                <w:rFonts w:eastAsia="Times New Roman" w:cs="Times New Roman"/>
                <w:b/>
                <w:bCs/>
                <w:szCs w:val="24"/>
              </w:rPr>
              <w:t>w/ 214</w:t>
            </w:r>
          </w:p>
        </w:tc>
        <w:tc>
          <w:tcPr>
            <w:tcW w:w="565" w:type="dxa"/>
            <w:tcBorders>
              <w:top w:val="single" w:sz="4" w:space="0" w:color="auto"/>
              <w:left w:val="single" w:sz="4" w:space="0" w:color="auto"/>
              <w:bottom w:val="single" w:sz="4" w:space="0" w:color="auto"/>
              <w:right w:val="single" w:sz="4" w:space="0" w:color="auto"/>
            </w:tcBorders>
            <w:shd w:val="clear" w:color="4472C4" w:fill="4472C4"/>
            <w:noWrap/>
            <w:textDirection w:val="btLr"/>
            <w:vAlign w:val="center"/>
            <w:hideMark/>
          </w:tcPr>
          <w:p w14:paraId="0444E8DD" w14:textId="77777777" w:rsidR="001D6419" w:rsidRPr="00843B03" w:rsidRDefault="000F5B51" w:rsidP="00D07617">
            <w:pPr>
              <w:spacing w:after="0"/>
              <w:contextualSpacing/>
              <w:rPr>
                <w:rFonts w:eastAsia="Times New Roman" w:cs="Times New Roman"/>
                <w:b/>
                <w:bCs/>
                <w:szCs w:val="24"/>
              </w:rPr>
            </w:pPr>
            <w:r w:rsidRPr="00843B03">
              <w:rPr>
                <w:rFonts w:eastAsia="Times New Roman" w:cs="Times New Roman"/>
                <w:b/>
                <w:bCs/>
                <w:szCs w:val="24"/>
              </w:rPr>
              <w:t>w/o 214</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textDirection w:val="btLr"/>
            <w:vAlign w:val="center"/>
            <w:hideMark/>
          </w:tcPr>
          <w:p w14:paraId="62A60BAC" w14:textId="77777777" w:rsidR="001D6419" w:rsidRPr="00843B03" w:rsidRDefault="000F5B51" w:rsidP="00D07617">
            <w:pPr>
              <w:spacing w:after="0"/>
              <w:contextualSpacing/>
              <w:rPr>
                <w:rFonts w:eastAsia="Times New Roman" w:cs="Times New Roman"/>
                <w:b/>
                <w:bCs/>
                <w:szCs w:val="24"/>
              </w:rPr>
            </w:pPr>
            <w:r w:rsidRPr="00843B03">
              <w:rPr>
                <w:rFonts w:eastAsia="Times New Roman" w:cs="Times New Roman"/>
                <w:b/>
                <w:bCs/>
                <w:szCs w:val="24"/>
              </w:rPr>
              <w:t>Exposure w/214</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textDirection w:val="btLr"/>
            <w:vAlign w:val="center"/>
            <w:hideMark/>
          </w:tcPr>
          <w:p w14:paraId="171AB7D4" w14:textId="77777777" w:rsidR="001D6419" w:rsidRPr="00843B03" w:rsidRDefault="000F5B51" w:rsidP="00D07617">
            <w:pPr>
              <w:spacing w:after="0"/>
              <w:contextualSpacing/>
              <w:rPr>
                <w:rFonts w:eastAsia="Times New Roman" w:cs="Times New Roman"/>
                <w:b/>
                <w:bCs/>
                <w:szCs w:val="24"/>
              </w:rPr>
            </w:pPr>
            <w:r w:rsidRPr="00843B03">
              <w:rPr>
                <w:rFonts w:eastAsia="Times New Roman" w:cs="Times New Roman"/>
                <w:b/>
                <w:bCs/>
                <w:szCs w:val="24"/>
              </w:rPr>
              <w:t>Exposure w/o 214</w:t>
            </w:r>
          </w:p>
        </w:tc>
        <w:tc>
          <w:tcPr>
            <w:tcW w:w="565" w:type="dxa"/>
            <w:tcBorders>
              <w:top w:val="single" w:sz="4" w:space="0" w:color="auto"/>
              <w:left w:val="single" w:sz="4" w:space="0" w:color="auto"/>
              <w:bottom w:val="single" w:sz="4" w:space="0" w:color="auto"/>
              <w:right w:val="single" w:sz="4" w:space="0" w:color="auto"/>
            </w:tcBorders>
            <w:shd w:val="clear" w:color="4472C4" w:fill="4472C4"/>
            <w:noWrap/>
            <w:textDirection w:val="btLr"/>
            <w:vAlign w:val="center"/>
            <w:hideMark/>
          </w:tcPr>
          <w:p w14:paraId="770AFA88" w14:textId="77777777" w:rsidR="001D6419" w:rsidRPr="00843B03" w:rsidRDefault="000F5B51" w:rsidP="00D07617">
            <w:pPr>
              <w:spacing w:after="0"/>
              <w:contextualSpacing/>
              <w:rPr>
                <w:rFonts w:eastAsia="Times New Roman" w:cs="Times New Roman"/>
                <w:b/>
                <w:bCs/>
                <w:szCs w:val="24"/>
              </w:rPr>
            </w:pPr>
            <w:r w:rsidRPr="00843B03">
              <w:rPr>
                <w:rFonts w:eastAsia="Times New Roman" w:cs="Times New Roman"/>
                <w:b/>
                <w:bCs/>
                <w:szCs w:val="24"/>
              </w:rPr>
              <w:t>FRONT Adj.</w:t>
            </w:r>
          </w:p>
        </w:tc>
        <w:tc>
          <w:tcPr>
            <w:tcW w:w="565" w:type="dxa"/>
            <w:tcBorders>
              <w:top w:val="single" w:sz="4" w:space="0" w:color="auto"/>
              <w:left w:val="single" w:sz="4" w:space="0" w:color="auto"/>
              <w:bottom w:val="single" w:sz="4" w:space="0" w:color="auto"/>
              <w:right w:val="single" w:sz="4" w:space="0" w:color="auto"/>
            </w:tcBorders>
            <w:shd w:val="clear" w:color="4472C4" w:fill="4472C4"/>
            <w:noWrap/>
            <w:textDirection w:val="btLr"/>
            <w:vAlign w:val="center"/>
            <w:hideMark/>
          </w:tcPr>
          <w:p w14:paraId="7B3A2E49" w14:textId="77777777" w:rsidR="001D6419" w:rsidRPr="00843B03" w:rsidRDefault="000F5B51" w:rsidP="00D07617">
            <w:pPr>
              <w:spacing w:after="0"/>
              <w:contextualSpacing/>
              <w:rPr>
                <w:rFonts w:eastAsia="Times New Roman" w:cs="Times New Roman"/>
                <w:b/>
                <w:bCs/>
                <w:szCs w:val="24"/>
              </w:rPr>
            </w:pPr>
            <w:r w:rsidRPr="00843B03">
              <w:rPr>
                <w:rFonts w:eastAsia="Times New Roman" w:cs="Times New Roman"/>
                <w:b/>
                <w:bCs/>
                <w:szCs w:val="24"/>
              </w:rPr>
              <w:t>REAR Adj.</w:t>
            </w:r>
          </w:p>
        </w:tc>
        <w:tc>
          <w:tcPr>
            <w:tcW w:w="565" w:type="dxa"/>
            <w:tcBorders>
              <w:top w:val="single" w:sz="4" w:space="0" w:color="auto"/>
              <w:left w:val="single" w:sz="4" w:space="0" w:color="auto"/>
              <w:bottom w:val="single" w:sz="4" w:space="0" w:color="auto"/>
              <w:right w:val="single" w:sz="4" w:space="0" w:color="auto"/>
            </w:tcBorders>
            <w:shd w:val="clear" w:color="4472C4" w:fill="4472C4"/>
            <w:noWrap/>
            <w:textDirection w:val="btLr"/>
            <w:vAlign w:val="center"/>
            <w:hideMark/>
          </w:tcPr>
          <w:p w14:paraId="020EA288" w14:textId="77777777" w:rsidR="001D6419" w:rsidRPr="00843B03" w:rsidRDefault="000F5B51" w:rsidP="00D07617">
            <w:pPr>
              <w:spacing w:after="0"/>
              <w:contextualSpacing/>
              <w:rPr>
                <w:rFonts w:eastAsia="Times New Roman" w:cs="Times New Roman"/>
                <w:b/>
                <w:bCs/>
                <w:szCs w:val="24"/>
              </w:rPr>
            </w:pPr>
            <w:r w:rsidRPr="00843B03">
              <w:rPr>
                <w:rFonts w:eastAsia="Times New Roman" w:cs="Times New Roman"/>
                <w:b/>
                <w:bCs/>
                <w:szCs w:val="24"/>
              </w:rPr>
              <w:t>SIDE Adj.</w:t>
            </w:r>
          </w:p>
        </w:tc>
        <w:tc>
          <w:tcPr>
            <w:tcW w:w="565" w:type="dxa"/>
            <w:tcBorders>
              <w:top w:val="single" w:sz="4" w:space="0" w:color="auto"/>
              <w:left w:val="single" w:sz="4" w:space="0" w:color="auto"/>
              <w:bottom w:val="single" w:sz="4" w:space="0" w:color="auto"/>
              <w:right w:val="single" w:sz="4" w:space="0" w:color="auto"/>
            </w:tcBorders>
            <w:shd w:val="clear" w:color="4472C4" w:fill="4472C4"/>
            <w:noWrap/>
            <w:textDirection w:val="btLr"/>
            <w:vAlign w:val="center"/>
            <w:hideMark/>
          </w:tcPr>
          <w:p w14:paraId="067DE033" w14:textId="77777777" w:rsidR="001D6419" w:rsidRPr="00843B03" w:rsidRDefault="000F5B51" w:rsidP="00D07617">
            <w:pPr>
              <w:spacing w:after="0"/>
              <w:contextualSpacing/>
              <w:rPr>
                <w:rFonts w:eastAsia="Times New Roman" w:cs="Times New Roman"/>
                <w:b/>
                <w:bCs/>
                <w:szCs w:val="24"/>
              </w:rPr>
            </w:pPr>
            <w:r w:rsidRPr="00843B03">
              <w:rPr>
                <w:rFonts w:eastAsia="Times New Roman" w:cs="Times New Roman"/>
                <w:b/>
                <w:bCs/>
                <w:szCs w:val="24"/>
              </w:rPr>
              <w:t>ROLLOVER Adj.</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textDirection w:val="btLr"/>
            <w:vAlign w:val="center"/>
            <w:hideMark/>
          </w:tcPr>
          <w:p w14:paraId="260EBF20" w14:textId="77777777" w:rsidR="001D6419" w:rsidRPr="00843B03" w:rsidRDefault="000F5B51" w:rsidP="00D07617">
            <w:pPr>
              <w:spacing w:after="0"/>
              <w:contextualSpacing/>
              <w:rPr>
                <w:rFonts w:eastAsia="Times New Roman" w:cs="Times New Roman"/>
                <w:b/>
                <w:bCs/>
                <w:szCs w:val="24"/>
              </w:rPr>
            </w:pPr>
            <w:r w:rsidRPr="00843B03">
              <w:rPr>
                <w:rFonts w:eastAsia="Times New Roman" w:cs="Times New Roman"/>
                <w:b/>
                <w:bCs/>
                <w:szCs w:val="24"/>
              </w:rPr>
              <w:t>FRONT</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textDirection w:val="btLr"/>
            <w:vAlign w:val="center"/>
            <w:hideMark/>
          </w:tcPr>
          <w:p w14:paraId="1EC6FABF" w14:textId="77777777" w:rsidR="001D6419" w:rsidRPr="00843B03" w:rsidRDefault="000F5B51" w:rsidP="00D07617">
            <w:pPr>
              <w:spacing w:after="0"/>
              <w:contextualSpacing/>
              <w:rPr>
                <w:rFonts w:eastAsia="Times New Roman" w:cs="Times New Roman"/>
                <w:b/>
                <w:bCs/>
                <w:szCs w:val="24"/>
              </w:rPr>
            </w:pPr>
            <w:r w:rsidRPr="00843B03">
              <w:rPr>
                <w:rFonts w:eastAsia="Times New Roman" w:cs="Times New Roman"/>
                <w:b/>
                <w:bCs/>
                <w:szCs w:val="24"/>
              </w:rPr>
              <w:t>REAR</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textDirection w:val="btLr"/>
            <w:vAlign w:val="center"/>
            <w:hideMark/>
          </w:tcPr>
          <w:p w14:paraId="528E2A98" w14:textId="77777777" w:rsidR="001D6419" w:rsidRPr="00843B03" w:rsidRDefault="000F5B51" w:rsidP="00D07617">
            <w:pPr>
              <w:spacing w:after="0"/>
              <w:contextualSpacing/>
              <w:rPr>
                <w:rFonts w:eastAsia="Times New Roman" w:cs="Times New Roman"/>
                <w:b/>
                <w:bCs/>
                <w:szCs w:val="24"/>
              </w:rPr>
            </w:pPr>
            <w:r w:rsidRPr="00843B03">
              <w:rPr>
                <w:rFonts w:eastAsia="Times New Roman" w:cs="Times New Roman"/>
                <w:b/>
                <w:bCs/>
                <w:szCs w:val="24"/>
              </w:rPr>
              <w:t>SIDE</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textDirection w:val="btLr"/>
            <w:vAlign w:val="center"/>
            <w:hideMark/>
          </w:tcPr>
          <w:p w14:paraId="3304EA11" w14:textId="77777777" w:rsidR="001D6419" w:rsidRPr="00843B03" w:rsidRDefault="000F5B51" w:rsidP="00D07617">
            <w:pPr>
              <w:spacing w:after="0"/>
              <w:contextualSpacing/>
              <w:rPr>
                <w:rFonts w:eastAsia="Times New Roman" w:cs="Times New Roman"/>
                <w:b/>
                <w:bCs/>
                <w:szCs w:val="24"/>
              </w:rPr>
            </w:pPr>
            <w:r w:rsidRPr="00843B03">
              <w:rPr>
                <w:rFonts w:eastAsia="Times New Roman" w:cs="Times New Roman"/>
                <w:b/>
                <w:bCs/>
                <w:szCs w:val="24"/>
              </w:rPr>
              <w:t>ROLLOVER</w:t>
            </w:r>
          </w:p>
        </w:tc>
      </w:tr>
      <w:tr w:rsidR="00A15C2C" w14:paraId="3D52543A"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shd w:val="clear" w:color="D9E1F2" w:fill="D9E1F2"/>
            <w:noWrap/>
            <w:hideMark/>
          </w:tcPr>
          <w:p w14:paraId="7A37035C"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2015</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88E2CC"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1.0000</w:t>
            </w:r>
          </w:p>
        </w:tc>
        <w:tc>
          <w:tcPr>
            <w:tcW w:w="96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71880C"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16,502</w:t>
            </w:r>
          </w:p>
        </w:tc>
        <w:tc>
          <w:tcPr>
            <w:tcW w:w="10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7D0954"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16,502</w:t>
            </w:r>
          </w:p>
        </w:tc>
        <w:tc>
          <w:tcPr>
            <w:tcW w:w="111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DBB49C"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0.1057</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AC770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5EFD6B"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472CBC5A"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0.06</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1A42914E"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CD1131"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192C97"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4D061A4"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3EA0AD"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52A6ED5B"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68EC9419"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56FA6D54"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60411F15"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r>
      <w:tr w:rsidR="00A15C2C" w14:paraId="21655183"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noWrap/>
            <w:hideMark/>
          </w:tcPr>
          <w:p w14:paraId="1A76089E"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2014</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3D355D2E"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0.9776</w:t>
            </w:r>
          </w:p>
        </w:tc>
        <w:tc>
          <w:tcPr>
            <w:tcW w:w="963" w:type="dxa"/>
            <w:tcBorders>
              <w:top w:val="single" w:sz="4" w:space="0" w:color="auto"/>
              <w:left w:val="single" w:sz="4" w:space="0" w:color="auto"/>
              <w:bottom w:val="single" w:sz="4" w:space="0" w:color="auto"/>
              <w:right w:val="single" w:sz="4" w:space="0" w:color="auto"/>
            </w:tcBorders>
            <w:noWrap/>
            <w:vAlign w:val="center"/>
            <w:hideMark/>
          </w:tcPr>
          <w:p w14:paraId="43448800"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14,828</w:t>
            </w:r>
          </w:p>
        </w:tc>
        <w:tc>
          <w:tcPr>
            <w:tcW w:w="1039" w:type="dxa"/>
            <w:tcBorders>
              <w:top w:val="single" w:sz="4" w:space="0" w:color="auto"/>
              <w:left w:val="single" w:sz="4" w:space="0" w:color="auto"/>
              <w:bottom w:val="single" w:sz="4" w:space="0" w:color="auto"/>
              <w:right w:val="single" w:sz="4" w:space="0" w:color="auto"/>
            </w:tcBorders>
            <w:noWrap/>
            <w:vAlign w:val="center"/>
            <w:hideMark/>
          </w:tcPr>
          <w:p w14:paraId="37223D1F"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14,496</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378F8EE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0.0929</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196AEA93"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35B5C00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18948FFB"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0.06</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166455F2"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2241DC83"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53B55EE3"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70060760"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3255D0B5"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213479B6"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752DF94E"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7FC21C65"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54C840A8"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r>
      <w:tr w:rsidR="00A15C2C" w14:paraId="6E550FCC"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shd w:val="clear" w:color="D9E1F2" w:fill="D9E1F2"/>
            <w:noWrap/>
            <w:hideMark/>
          </w:tcPr>
          <w:p w14:paraId="46F4D852"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2013</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1B9170"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0.9630</w:t>
            </w:r>
          </w:p>
        </w:tc>
        <w:tc>
          <w:tcPr>
            <w:tcW w:w="96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A752BF"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14,552</w:t>
            </w:r>
          </w:p>
        </w:tc>
        <w:tc>
          <w:tcPr>
            <w:tcW w:w="10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1E5A28"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14,013</w:t>
            </w:r>
          </w:p>
        </w:tc>
        <w:tc>
          <w:tcPr>
            <w:tcW w:w="111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75722C"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0.0898</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A9B9F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4FB9C8"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0A96F5F7"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0.06</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5C66C312"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56682C"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E749A3"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00AA30"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8DC137"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5F3A2349"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54688C39"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49D84557"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08E90442"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r>
      <w:tr w:rsidR="00A15C2C" w14:paraId="27DAFE1D"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noWrap/>
            <w:hideMark/>
          </w:tcPr>
          <w:p w14:paraId="504BEB50"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2012</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0B8F2C9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0.9428</w:t>
            </w:r>
          </w:p>
        </w:tc>
        <w:tc>
          <w:tcPr>
            <w:tcW w:w="963" w:type="dxa"/>
            <w:tcBorders>
              <w:top w:val="single" w:sz="4" w:space="0" w:color="auto"/>
              <w:left w:val="single" w:sz="4" w:space="0" w:color="auto"/>
              <w:bottom w:val="single" w:sz="4" w:space="0" w:color="auto"/>
              <w:right w:val="single" w:sz="4" w:space="0" w:color="auto"/>
            </w:tcBorders>
            <w:noWrap/>
            <w:vAlign w:val="center"/>
            <w:hideMark/>
          </w:tcPr>
          <w:p w14:paraId="0EAF40A1"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14,279</w:t>
            </w:r>
          </w:p>
        </w:tc>
        <w:tc>
          <w:tcPr>
            <w:tcW w:w="1039" w:type="dxa"/>
            <w:tcBorders>
              <w:top w:val="single" w:sz="4" w:space="0" w:color="auto"/>
              <w:left w:val="single" w:sz="4" w:space="0" w:color="auto"/>
              <w:bottom w:val="single" w:sz="4" w:space="0" w:color="auto"/>
              <w:right w:val="single" w:sz="4" w:space="0" w:color="auto"/>
            </w:tcBorders>
            <w:noWrap/>
            <w:vAlign w:val="center"/>
            <w:hideMark/>
          </w:tcPr>
          <w:p w14:paraId="744F1FC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13,461</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1A83E7F9"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0.0862</w:t>
            </w:r>
          </w:p>
        </w:tc>
        <w:tc>
          <w:tcPr>
            <w:tcW w:w="565"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5166EF88"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75001775"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1F90E8A7"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0.06</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153A1FF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71E923A4"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18092D69"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331FDF1A"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68BEA6A2"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750B8BE9"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57035B89"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36DB7435"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1C05DC23"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r>
      <w:tr w:rsidR="00A15C2C" w14:paraId="571769BB"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shd w:val="clear" w:color="D9E1F2" w:fill="D9E1F2"/>
            <w:noWrap/>
            <w:hideMark/>
          </w:tcPr>
          <w:p w14:paraId="17535862"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2011</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7263C4"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0.9311</w:t>
            </w:r>
          </w:p>
        </w:tc>
        <w:tc>
          <w:tcPr>
            <w:tcW w:w="96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6A50F1"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13,783</w:t>
            </w:r>
          </w:p>
        </w:tc>
        <w:tc>
          <w:tcPr>
            <w:tcW w:w="10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AFCF0B"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12,833</w:t>
            </w:r>
          </w:p>
        </w:tc>
        <w:tc>
          <w:tcPr>
            <w:tcW w:w="111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A6BA40"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0.0822</w:t>
            </w:r>
          </w:p>
        </w:tc>
        <w:tc>
          <w:tcPr>
            <w:tcW w:w="565"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0D44209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0.75</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A3E82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0.25</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700DCDB9"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0.04</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5C9A1CD4"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0.01</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50DD24"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4065AC"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896F25"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C79BB6E"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55182E65"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1BB8C4D1"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1A633D86"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0.05</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6C3C0EF9"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r>
      <w:tr w:rsidR="00A15C2C" w14:paraId="304DFC64"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noWrap/>
            <w:hideMark/>
          </w:tcPr>
          <w:p w14:paraId="38400DC4"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2010</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0C5CE21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0.9152</w:t>
            </w:r>
          </w:p>
        </w:tc>
        <w:tc>
          <w:tcPr>
            <w:tcW w:w="963" w:type="dxa"/>
            <w:tcBorders>
              <w:top w:val="single" w:sz="4" w:space="0" w:color="auto"/>
              <w:left w:val="single" w:sz="4" w:space="0" w:color="auto"/>
              <w:bottom w:val="single" w:sz="4" w:space="0" w:color="auto"/>
              <w:right w:val="single" w:sz="4" w:space="0" w:color="auto"/>
            </w:tcBorders>
            <w:noWrap/>
            <w:vAlign w:val="center"/>
            <w:hideMark/>
          </w:tcPr>
          <w:p w14:paraId="625A1D3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13,039</w:t>
            </w:r>
          </w:p>
        </w:tc>
        <w:tc>
          <w:tcPr>
            <w:tcW w:w="1039" w:type="dxa"/>
            <w:tcBorders>
              <w:top w:val="single" w:sz="4" w:space="0" w:color="auto"/>
              <w:left w:val="single" w:sz="4" w:space="0" w:color="auto"/>
              <w:bottom w:val="single" w:sz="4" w:space="0" w:color="auto"/>
              <w:right w:val="single" w:sz="4" w:space="0" w:color="auto"/>
            </w:tcBorders>
            <w:noWrap/>
            <w:vAlign w:val="center"/>
            <w:hideMark/>
          </w:tcPr>
          <w:p w14:paraId="361F9BC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11,933</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75A8D29F"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0.0765</w:t>
            </w:r>
          </w:p>
        </w:tc>
        <w:tc>
          <w:tcPr>
            <w:tcW w:w="565"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68A52514"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0.50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228C7245"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0.50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01087A2A"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0.03</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3D43607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0.03</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5CD8B2CF"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0.03</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0050A4FE"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0.03</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30D64611"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0.02</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274AD0F2"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0.03</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7C3EA2CF"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09F8E9AC"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2D291260"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0.05</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1BB2AAC5"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0.06</w:t>
            </w:r>
          </w:p>
        </w:tc>
      </w:tr>
      <w:tr w:rsidR="00A15C2C" w14:paraId="43481701"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shd w:val="clear" w:color="D9E1F2" w:fill="D9E1F2"/>
            <w:noWrap/>
            <w:hideMark/>
          </w:tcPr>
          <w:p w14:paraId="3AD86457"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2009</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8E398C"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0.8933</w:t>
            </w:r>
          </w:p>
        </w:tc>
        <w:tc>
          <w:tcPr>
            <w:tcW w:w="96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425E7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12,103</w:t>
            </w:r>
          </w:p>
        </w:tc>
        <w:tc>
          <w:tcPr>
            <w:tcW w:w="10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2ED452"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10,811</w:t>
            </w:r>
          </w:p>
        </w:tc>
        <w:tc>
          <w:tcPr>
            <w:tcW w:w="111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942681"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0.0693</w:t>
            </w:r>
          </w:p>
        </w:tc>
        <w:tc>
          <w:tcPr>
            <w:tcW w:w="565"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1795FF1A"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0.20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6852EC"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0.80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6D4216B3"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0.01</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1B6DD1AF"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0.04</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F11D567"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0.04</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34BE6A"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0.04</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79B4DC"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0.03</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C1C3949"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0.04</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51CE656F"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0.05</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76162AD6"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0.05</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4B7659F0"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0.04</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16653251"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0.05</w:t>
            </w:r>
          </w:p>
        </w:tc>
      </w:tr>
      <w:tr w:rsidR="00A15C2C" w14:paraId="71FA28FA"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noWrap/>
            <w:hideMark/>
          </w:tcPr>
          <w:p w14:paraId="3FA76970"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2008</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1484D2FE"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0.8700</w:t>
            </w:r>
          </w:p>
        </w:tc>
        <w:tc>
          <w:tcPr>
            <w:tcW w:w="963" w:type="dxa"/>
            <w:tcBorders>
              <w:top w:val="single" w:sz="4" w:space="0" w:color="auto"/>
              <w:left w:val="single" w:sz="4" w:space="0" w:color="auto"/>
              <w:bottom w:val="single" w:sz="4" w:space="0" w:color="auto"/>
              <w:right w:val="single" w:sz="4" w:space="0" w:color="auto"/>
            </w:tcBorders>
            <w:noWrap/>
            <w:vAlign w:val="center"/>
            <w:hideMark/>
          </w:tcPr>
          <w:p w14:paraId="469F23EE"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11,034</w:t>
            </w:r>
          </w:p>
        </w:tc>
        <w:tc>
          <w:tcPr>
            <w:tcW w:w="1039" w:type="dxa"/>
            <w:tcBorders>
              <w:top w:val="single" w:sz="4" w:space="0" w:color="auto"/>
              <w:left w:val="single" w:sz="4" w:space="0" w:color="auto"/>
              <w:bottom w:val="single" w:sz="4" w:space="0" w:color="auto"/>
              <w:right w:val="single" w:sz="4" w:space="0" w:color="auto"/>
            </w:tcBorders>
            <w:noWrap/>
            <w:vAlign w:val="center"/>
            <w:hideMark/>
          </w:tcPr>
          <w:p w14:paraId="62322A24"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9,600</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39878843"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0.0615</w:t>
            </w:r>
          </w:p>
        </w:tc>
        <w:tc>
          <w:tcPr>
            <w:tcW w:w="565"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1F833C5F"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08AFCDA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5B720C0F"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41458DB7"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0.05</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245A7F65"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0.05</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3ED61E55"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0.05</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37567826"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0.04</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0B4C186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0.05</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01511604"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0.05</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1EC64ED4"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0.05</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38CAD769"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0.04</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58B6A58E"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0.05</w:t>
            </w:r>
          </w:p>
        </w:tc>
      </w:tr>
      <w:tr w:rsidR="00A15C2C" w14:paraId="42234E3B"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shd w:val="clear" w:color="D9E1F2" w:fill="D9E1F2"/>
            <w:noWrap/>
            <w:hideMark/>
          </w:tcPr>
          <w:p w14:paraId="2502EA58"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2007</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E4FE9E"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0.8411</w:t>
            </w:r>
          </w:p>
        </w:tc>
        <w:tc>
          <w:tcPr>
            <w:tcW w:w="96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08ECA3"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9,891</w:t>
            </w:r>
          </w:p>
        </w:tc>
        <w:tc>
          <w:tcPr>
            <w:tcW w:w="10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6AD8CB"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8,319</w:t>
            </w:r>
          </w:p>
        </w:tc>
        <w:tc>
          <w:tcPr>
            <w:tcW w:w="111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0BCAB2"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0.0533</w:t>
            </w:r>
          </w:p>
        </w:tc>
        <w:tc>
          <w:tcPr>
            <w:tcW w:w="565"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056BFE89"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108884"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6451F303"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36E4A9BC"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0.05</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505D7F"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0.05</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1FC6ED"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0.05</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1F3A41"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0.04</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0AA662"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0.05</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519DBE1D"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0.05</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2B934770"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0.05</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4C28528D"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0.04</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41F3D446"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0.05</w:t>
            </w:r>
          </w:p>
        </w:tc>
      </w:tr>
      <w:tr w:rsidR="00A15C2C" w14:paraId="794EBD08"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noWrap/>
            <w:hideMark/>
          </w:tcPr>
          <w:p w14:paraId="5F7D0E3D"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2006</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5B982E13"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0.7963</w:t>
            </w:r>
          </w:p>
        </w:tc>
        <w:tc>
          <w:tcPr>
            <w:tcW w:w="963" w:type="dxa"/>
            <w:tcBorders>
              <w:top w:val="single" w:sz="4" w:space="0" w:color="auto"/>
              <w:left w:val="single" w:sz="4" w:space="0" w:color="auto"/>
              <w:bottom w:val="single" w:sz="4" w:space="0" w:color="auto"/>
              <w:right w:val="single" w:sz="4" w:space="0" w:color="auto"/>
            </w:tcBorders>
            <w:noWrap/>
            <w:vAlign w:val="center"/>
            <w:hideMark/>
          </w:tcPr>
          <w:p w14:paraId="782C68AA"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8,730</w:t>
            </w:r>
          </w:p>
        </w:tc>
        <w:tc>
          <w:tcPr>
            <w:tcW w:w="1039" w:type="dxa"/>
            <w:tcBorders>
              <w:top w:val="single" w:sz="4" w:space="0" w:color="auto"/>
              <w:left w:val="single" w:sz="4" w:space="0" w:color="auto"/>
              <w:bottom w:val="single" w:sz="4" w:space="0" w:color="auto"/>
              <w:right w:val="single" w:sz="4" w:space="0" w:color="auto"/>
            </w:tcBorders>
            <w:noWrap/>
            <w:vAlign w:val="center"/>
            <w:hideMark/>
          </w:tcPr>
          <w:p w14:paraId="5AB832D3"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6,952</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6782A63C"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0.0445</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046FB"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491FD65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656E8233"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5B85BA03"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0.05</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343DFCFA"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0.05</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491ECE46"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0.05</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3DDC29E6"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0.04</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4240278F"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0.05</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323A6BF9"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0.05</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064CECD4"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0.05</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50262B6D"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0.04</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635CC718"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0.05</w:t>
            </w:r>
          </w:p>
        </w:tc>
      </w:tr>
      <w:tr w:rsidR="00A15C2C" w14:paraId="2E89A844"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shd w:val="clear" w:color="D9E1F2" w:fill="D9E1F2"/>
            <w:noWrap/>
            <w:hideMark/>
          </w:tcPr>
          <w:p w14:paraId="5CB6C986"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2005</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5E0FF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0.7423</w:t>
            </w:r>
          </w:p>
        </w:tc>
        <w:tc>
          <w:tcPr>
            <w:tcW w:w="96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9855D9"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7,612</w:t>
            </w:r>
          </w:p>
        </w:tc>
        <w:tc>
          <w:tcPr>
            <w:tcW w:w="10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221FE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5,650</w:t>
            </w:r>
          </w:p>
        </w:tc>
        <w:tc>
          <w:tcPr>
            <w:tcW w:w="111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D2EB1FE"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0.0362</w:t>
            </w:r>
          </w:p>
        </w:tc>
        <w:tc>
          <w:tcPr>
            <w:tcW w:w="565"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736F256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FBC3BB"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1A909D99"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38FAC70E"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0.05</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B34113"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0.05</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D4395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0.05</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A8845E"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0.03</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EAC1C0"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0.05</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0A17A4B1"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0.05</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4815C7C8"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0.05</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069E2751"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0.03</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7C56F1DD"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0.05</w:t>
            </w:r>
          </w:p>
        </w:tc>
      </w:tr>
      <w:tr w:rsidR="00A15C2C" w14:paraId="7D298096"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noWrap/>
            <w:hideMark/>
          </w:tcPr>
          <w:p w14:paraId="720911A4"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2004</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60F6B1B8"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0.6916</w:t>
            </w:r>
          </w:p>
        </w:tc>
        <w:tc>
          <w:tcPr>
            <w:tcW w:w="963" w:type="dxa"/>
            <w:tcBorders>
              <w:top w:val="single" w:sz="4" w:space="0" w:color="auto"/>
              <w:left w:val="single" w:sz="4" w:space="0" w:color="auto"/>
              <w:bottom w:val="single" w:sz="4" w:space="0" w:color="auto"/>
              <w:right w:val="single" w:sz="4" w:space="0" w:color="auto"/>
            </w:tcBorders>
            <w:noWrap/>
            <w:vAlign w:val="center"/>
            <w:hideMark/>
          </w:tcPr>
          <w:p w14:paraId="730CC478"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6,804</w:t>
            </w:r>
          </w:p>
        </w:tc>
        <w:tc>
          <w:tcPr>
            <w:tcW w:w="1039" w:type="dxa"/>
            <w:tcBorders>
              <w:top w:val="single" w:sz="4" w:space="0" w:color="auto"/>
              <w:left w:val="single" w:sz="4" w:space="0" w:color="auto"/>
              <w:bottom w:val="single" w:sz="4" w:space="0" w:color="auto"/>
              <w:right w:val="single" w:sz="4" w:space="0" w:color="auto"/>
            </w:tcBorders>
            <w:noWrap/>
            <w:vAlign w:val="center"/>
            <w:hideMark/>
          </w:tcPr>
          <w:p w14:paraId="4BDA2D9F"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4,706</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0C151AAF"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0.0301</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D70F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38D3487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1C90A2F4"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73C81F50"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0.04</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5F663480"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0.04</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6EF8F6D4"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0.04</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6022052C"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0.03</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142D4107"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0.04</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27246D6E"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0.04</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3B86DE2B"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0.04</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4005DCDB"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0.03</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3BF6911B"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0.04</w:t>
            </w:r>
          </w:p>
        </w:tc>
      </w:tr>
      <w:tr w:rsidR="00A15C2C" w14:paraId="30F23B9F"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shd w:val="clear" w:color="D9E1F2" w:fill="D9E1F2"/>
            <w:noWrap/>
            <w:hideMark/>
          </w:tcPr>
          <w:p w14:paraId="3C36FB25"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2003</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4D8FA3"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0.6410</w:t>
            </w:r>
          </w:p>
        </w:tc>
        <w:tc>
          <w:tcPr>
            <w:tcW w:w="96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8C27D9"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5,931</w:t>
            </w:r>
          </w:p>
        </w:tc>
        <w:tc>
          <w:tcPr>
            <w:tcW w:w="10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E17C2E"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3,802</w:t>
            </w:r>
          </w:p>
        </w:tc>
        <w:tc>
          <w:tcPr>
            <w:tcW w:w="111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65F46F"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0.0244</w:t>
            </w:r>
          </w:p>
        </w:tc>
        <w:tc>
          <w:tcPr>
            <w:tcW w:w="565"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4C5F2CC0"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44A74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36D22D5A"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3822B887"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0.04</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0DDCED"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0.04</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E12752"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0.04</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DAE499C"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0.03</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4AB0D4"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0.04</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566E6F9C"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0.04</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65BC8F28"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0.04</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0DCCE96B"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0.03</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09237954"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0.04</w:t>
            </w:r>
          </w:p>
        </w:tc>
      </w:tr>
      <w:tr w:rsidR="00A15C2C" w14:paraId="576FBB04"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noWrap/>
            <w:hideMark/>
          </w:tcPr>
          <w:p w14:paraId="57E60DC4"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2002</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2FAAEB3A"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0.5833</w:t>
            </w:r>
          </w:p>
        </w:tc>
        <w:tc>
          <w:tcPr>
            <w:tcW w:w="963" w:type="dxa"/>
            <w:tcBorders>
              <w:top w:val="single" w:sz="4" w:space="0" w:color="auto"/>
              <w:left w:val="single" w:sz="4" w:space="0" w:color="auto"/>
              <w:bottom w:val="single" w:sz="4" w:space="0" w:color="auto"/>
              <w:right w:val="single" w:sz="4" w:space="0" w:color="auto"/>
            </w:tcBorders>
            <w:noWrap/>
            <w:vAlign w:val="center"/>
            <w:hideMark/>
          </w:tcPr>
          <w:p w14:paraId="4B0ECD70"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5,180</w:t>
            </w:r>
          </w:p>
        </w:tc>
        <w:tc>
          <w:tcPr>
            <w:tcW w:w="1039" w:type="dxa"/>
            <w:tcBorders>
              <w:top w:val="single" w:sz="4" w:space="0" w:color="auto"/>
              <w:left w:val="single" w:sz="4" w:space="0" w:color="auto"/>
              <w:bottom w:val="single" w:sz="4" w:space="0" w:color="auto"/>
              <w:right w:val="single" w:sz="4" w:space="0" w:color="auto"/>
            </w:tcBorders>
            <w:noWrap/>
            <w:vAlign w:val="center"/>
            <w:hideMark/>
          </w:tcPr>
          <w:p w14:paraId="11EC127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3,022</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288D0B5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0.0194</w:t>
            </w:r>
          </w:p>
        </w:tc>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F9C81A"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1A7E54B4"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7B844D43"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1D94F54F"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0.04</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769395D0"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0.04</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16E73CA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0.04</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400EC8AE"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0.03</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12359846"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0.04</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2D1F7FD6"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0.04</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2C77F662"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0.04</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1133C594"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0.03</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0A2F662E"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0.04</w:t>
            </w:r>
          </w:p>
        </w:tc>
      </w:tr>
      <w:tr w:rsidR="00A15C2C" w14:paraId="3CA7F8CA"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shd w:val="clear" w:color="D9E1F2" w:fill="D9E1F2"/>
            <w:noWrap/>
            <w:hideMark/>
          </w:tcPr>
          <w:p w14:paraId="74666D27"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2001</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76762B"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0.5350</w:t>
            </w:r>
          </w:p>
        </w:tc>
        <w:tc>
          <w:tcPr>
            <w:tcW w:w="96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A012FC"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4,979</w:t>
            </w:r>
          </w:p>
        </w:tc>
        <w:tc>
          <w:tcPr>
            <w:tcW w:w="10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050C55"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2,664</w:t>
            </w:r>
          </w:p>
        </w:tc>
        <w:tc>
          <w:tcPr>
            <w:tcW w:w="111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B72152"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0.0171</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863E2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0B1F48"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61BBE113"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7FB68086"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0.03</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6D80BB"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0.03</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F036B6"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0.03</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6FC779"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0.02</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444141"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0.03</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24881B5A"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0.03</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148E2324"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0.03</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2BE6CE95"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0.02</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508FEDF0"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0.03</w:t>
            </w:r>
          </w:p>
        </w:tc>
      </w:tr>
      <w:tr w:rsidR="00A15C2C" w14:paraId="00E8BD4D"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noWrap/>
            <w:hideMark/>
          </w:tcPr>
          <w:p w14:paraId="130026BE"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2000</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07DAF3D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0.4861</w:t>
            </w:r>
          </w:p>
        </w:tc>
        <w:tc>
          <w:tcPr>
            <w:tcW w:w="963" w:type="dxa"/>
            <w:tcBorders>
              <w:top w:val="single" w:sz="4" w:space="0" w:color="auto"/>
              <w:left w:val="single" w:sz="4" w:space="0" w:color="auto"/>
              <w:bottom w:val="single" w:sz="4" w:space="0" w:color="auto"/>
              <w:right w:val="single" w:sz="4" w:space="0" w:color="auto"/>
            </w:tcBorders>
            <w:noWrap/>
            <w:vAlign w:val="center"/>
            <w:hideMark/>
          </w:tcPr>
          <w:p w14:paraId="75C8FDAE"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4,839</w:t>
            </w:r>
          </w:p>
        </w:tc>
        <w:tc>
          <w:tcPr>
            <w:tcW w:w="1039" w:type="dxa"/>
            <w:tcBorders>
              <w:top w:val="single" w:sz="4" w:space="0" w:color="auto"/>
              <w:left w:val="single" w:sz="4" w:space="0" w:color="auto"/>
              <w:bottom w:val="single" w:sz="4" w:space="0" w:color="auto"/>
              <w:right w:val="single" w:sz="4" w:space="0" w:color="auto"/>
            </w:tcBorders>
            <w:noWrap/>
            <w:vAlign w:val="center"/>
            <w:hideMark/>
          </w:tcPr>
          <w:p w14:paraId="3AB8EB1B"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2,352</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63203E0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0.0151</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66F9715B"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0A7E9AD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3606B100"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39C11BC0"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0.03</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40526AEB"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0.03</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34DC8EDE"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0.03</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0C6197CB"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0.02</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1709029E"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0.03</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4FB61FE5"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0.03</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18F26C62"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0.03</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2734BD6D"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0.02</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2D53BF90"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0.03</w:t>
            </w:r>
          </w:p>
        </w:tc>
      </w:tr>
      <w:tr w:rsidR="00A15C2C" w14:paraId="17035259"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shd w:val="clear" w:color="D9E1F2" w:fill="D9E1F2"/>
            <w:noWrap/>
            <w:hideMark/>
          </w:tcPr>
          <w:p w14:paraId="7BB2D91C"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1999</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3FF279"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0.4422</w:t>
            </w:r>
          </w:p>
        </w:tc>
        <w:tc>
          <w:tcPr>
            <w:tcW w:w="96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B45CF2C"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4,706</w:t>
            </w:r>
          </w:p>
        </w:tc>
        <w:tc>
          <w:tcPr>
            <w:tcW w:w="10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297BD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2,081</w:t>
            </w:r>
          </w:p>
        </w:tc>
        <w:tc>
          <w:tcPr>
            <w:tcW w:w="111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80AB11"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0.0133</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2F7B59"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9BECCE"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35D8951F"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50DD8A85"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0.03</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17FC5D"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0.03</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3952C7"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0.03</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2971B7"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0.02</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FC2FA7"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0.03</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74BD0004"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0.03</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11B69E4E"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0.03</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25E3CBC3"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0.02</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2F0CBEE0"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0.03</w:t>
            </w:r>
          </w:p>
        </w:tc>
      </w:tr>
      <w:tr w:rsidR="00A15C2C" w14:paraId="3F3A173B"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noWrap/>
            <w:hideMark/>
          </w:tcPr>
          <w:p w14:paraId="757AD1EE"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1998</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03D4A11C"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0.3976</w:t>
            </w:r>
          </w:p>
        </w:tc>
        <w:tc>
          <w:tcPr>
            <w:tcW w:w="963" w:type="dxa"/>
            <w:tcBorders>
              <w:top w:val="single" w:sz="4" w:space="0" w:color="auto"/>
              <w:left w:val="single" w:sz="4" w:space="0" w:color="auto"/>
              <w:bottom w:val="single" w:sz="4" w:space="0" w:color="auto"/>
              <w:right w:val="single" w:sz="4" w:space="0" w:color="auto"/>
            </w:tcBorders>
            <w:noWrap/>
            <w:vAlign w:val="center"/>
            <w:hideMark/>
          </w:tcPr>
          <w:p w14:paraId="0F35563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4,580</w:t>
            </w:r>
          </w:p>
        </w:tc>
        <w:tc>
          <w:tcPr>
            <w:tcW w:w="1039" w:type="dxa"/>
            <w:tcBorders>
              <w:top w:val="single" w:sz="4" w:space="0" w:color="auto"/>
              <w:left w:val="single" w:sz="4" w:space="0" w:color="auto"/>
              <w:bottom w:val="single" w:sz="4" w:space="0" w:color="auto"/>
              <w:right w:val="single" w:sz="4" w:space="0" w:color="auto"/>
            </w:tcBorders>
            <w:noWrap/>
            <w:vAlign w:val="center"/>
            <w:hideMark/>
          </w:tcPr>
          <w:p w14:paraId="0C392173"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1,821</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06C4E55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0.0117</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4A9FD72F"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710EFAF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66BECE37"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40F9F0D1"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0.02</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4F985DCA"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0.02</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2352DC63"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0.02</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3CDD78D0"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0.02</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17709BE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0.02</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5619CCAD"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0.02</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36CDE7EF"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0.02</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1447828F"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0.02</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16686D69"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0.02</w:t>
            </w:r>
          </w:p>
        </w:tc>
      </w:tr>
      <w:tr w:rsidR="00A15C2C" w14:paraId="409003F5"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shd w:val="clear" w:color="D9E1F2" w:fill="D9E1F2"/>
            <w:noWrap/>
            <w:hideMark/>
          </w:tcPr>
          <w:p w14:paraId="329A1437"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1997</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065D64"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0.3520</w:t>
            </w:r>
          </w:p>
        </w:tc>
        <w:tc>
          <w:tcPr>
            <w:tcW w:w="96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39B63E"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4,463</w:t>
            </w:r>
          </w:p>
        </w:tc>
        <w:tc>
          <w:tcPr>
            <w:tcW w:w="10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115E75"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1,571</w:t>
            </w:r>
          </w:p>
        </w:tc>
        <w:tc>
          <w:tcPr>
            <w:tcW w:w="111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61AB1C"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0.0101</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EE2DB5"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5C5F1B"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6CB96D71"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20A871B4"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0.02</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1EBE5C"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0.02</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79C390"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0.02</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5033C4"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0.02</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DED8D9"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0.02</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4431AD03"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0.02</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40C71E10"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0.02</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31D91AB7"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0.02</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70E29C38"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0.02</w:t>
            </w:r>
          </w:p>
        </w:tc>
      </w:tr>
      <w:tr w:rsidR="00A15C2C" w14:paraId="3F77B06E"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noWrap/>
            <w:hideMark/>
          </w:tcPr>
          <w:p w14:paraId="6FF4B255"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1996</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196A490A"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0.3092</w:t>
            </w:r>
          </w:p>
        </w:tc>
        <w:tc>
          <w:tcPr>
            <w:tcW w:w="963" w:type="dxa"/>
            <w:tcBorders>
              <w:top w:val="single" w:sz="4" w:space="0" w:color="auto"/>
              <w:left w:val="single" w:sz="4" w:space="0" w:color="auto"/>
              <w:bottom w:val="single" w:sz="4" w:space="0" w:color="auto"/>
              <w:right w:val="single" w:sz="4" w:space="0" w:color="auto"/>
            </w:tcBorders>
            <w:noWrap/>
            <w:vAlign w:val="center"/>
            <w:hideMark/>
          </w:tcPr>
          <w:p w14:paraId="1D80B650"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4,353</w:t>
            </w:r>
          </w:p>
        </w:tc>
        <w:tc>
          <w:tcPr>
            <w:tcW w:w="1039" w:type="dxa"/>
            <w:tcBorders>
              <w:top w:val="single" w:sz="4" w:space="0" w:color="auto"/>
              <w:left w:val="single" w:sz="4" w:space="0" w:color="auto"/>
              <w:bottom w:val="single" w:sz="4" w:space="0" w:color="auto"/>
              <w:right w:val="single" w:sz="4" w:space="0" w:color="auto"/>
            </w:tcBorders>
            <w:noWrap/>
            <w:vAlign w:val="center"/>
            <w:hideMark/>
          </w:tcPr>
          <w:p w14:paraId="6DDEDEF2"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1,346</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1A1BD97C"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0.0086</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39732F5B"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12EC9093"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18731B11"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12E20F7B"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0.02</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05788CEC"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0.02</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7CC2E5CA"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0.02</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5BF66F17"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1810B72D"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0.02</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544FE973"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0.02</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18BBD226"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0.02</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7879A875"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6E409A98"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0.02</w:t>
            </w:r>
          </w:p>
        </w:tc>
      </w:tr>
      <w:tr w:rsidR="00A15C2C" w14:paraId="490A2594"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shd w:val="clear" w:color="D9E1F2" w:fill="D9E1F2"/>
            <w:noWrap/>
            <w:hideMark/>
          </w:tcPr>
          <w:p w14:paraId="6DB8457F"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lastRenderedPageBreak/>
              <w:t>1995</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4F1BA9"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0.2666</w:t>
            </w:r>
          </w:p>
        </w:tc>
        <w:tc>
          <w:tcPr>
            <w:tcW w:w="96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E50C6B"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4,252</w:t>
            </w:r>
          </w:p>
        </w:tc>
        <w:tc>
          <w:tcPr>
            <w:tcW w:w="10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1A3F8A"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1,134</w:t>
            </w:r>
          </w:p>
        </w:tc>
        <w:tc>
          <w:tcPr>
            <w:tcW w:w="111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043C5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0.0073</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8CB492"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F81762"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57A5FC57"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15CE8B7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0.02</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C949B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0.02</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81DEA7D"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0.02</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B9A4AA"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EECCC7"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0.02</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1E32988E"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0.02</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16134427"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0.02</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7C2A37FF"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7AB33BCD"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0.02</w:t>
            </w:r>
          </w:p>
        </w:tc>
      </w:tr>
      <w:tr w:rsidR="00A15C2C" w14:paraId="51A87003"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noWrap/>
            <w:hideMark/>
          </w:tcPr>
          <w:p w14:paraId="25506D38"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1994</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197AB7A4"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0.2278</w:t>
            </w:r>
          </w:p>
        </w:tc>
        <w:tc>
          <w:tcPr>
            <w:tcW w:w="963" w:type="dxa"/>
            <w:tcBorders>
              <w:top w:val="single" w:sz="4" w:space="0" w:color="auto"/>
              <w:left w:val="single" w:sz="4" w:space="0" w:color="auto"/>
              <w:bottom w:val="single" w:sz="4" w:space="0" w:color="auto"/>
              <w:right w:val="single" w:sz="4" w:space="0" w:color="auto"/>
            </w:tcBorders>
            <w:noWrap/>
            <w:vAlign w:val="center"/>
            <w:hideMark/>
          </w:tcPr>
          <w:p w14:paraId="13E3CE32"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4,158</w:t>
            </w:r>
          </w:p>
        </w:tc>
        <w:tc>
          <w:tcPr>
            <w:tcW w:w="1039" w:type="dxa"/>
            <w:tcBorders>
              <w:top w:val="single" w:sz="4" w:space="0" w:color="auto"/>
              <w:left w:val="single" w:sz="4" w:space="0" w:color="auto"/>
              <w:bottom w:val="single" w:sz="4" w:space="0" w:color="auto"/>
              <w:right w:val="single" w:sz="4" w:space="0" w:color="auto"/>
            </w:tcBorders>
            <w:noWrap/>
            <w:vAlign w:val="center"/>
            <w:hideMark/>
          </w:tcPr>
          <w:p w14:paraId="256A0FCF"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947</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70ED422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0.0061</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590FB6B8"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4AE1A80E"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4DF8FA8D"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63B0C86A"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0.01</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10057881"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3CECB937"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608A5057"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3538FFE2"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66BD589E"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08FD853C"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00ED0E7D"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21519406"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r>
      <w:tr w:rsidR="00A15C2C" w14:paraId="77870873"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shd w:val="clear" w:color="D9E1F2" w:fill="D9E1F2"/>
            <w:noWrap/>
            <w:hideMark/>
          </w:tcPr>
          <w:p w14:paraId="45DE1385"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1993</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9FB12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0.2019</w:t>
            </w:r>
          </w:p>
        </w:tc>
        <w:tc>
          <w:tcPr>
            <w:tcW w:w="96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5CFFB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4,071</w:t>
            </w:r>
          </w:p>
        </w:tc>
        <w:tc>
          <w:tcPr>
            <w:tcW w:w="10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CAC668"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822</w:t>
            </w:r>
          </w:p>
        </w:tc>
        <w:tc>
          <w:tcPr>
            <w:tcW w:w="111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2A3CB9"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0.0053</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68873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17DBCB"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16579E91"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3A6ACD69"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0.01</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E56F97B"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ADB056"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52A61C"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BB7C54"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0B9D7B9C"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339BC206"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796F3C6A"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3B6D9F5A"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r>
      <w:tr w:rsidR="00A15C2C" w14:paraId="6848CA65"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noWrap/>
            <w:hideMark/>
          </w:tcPr>
          <w:p w14:paraId="125C0BEE"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1992</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70426F84"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0.1750</w:t>
            </w:r>
          </w:p>
        </w:tc>
        <w:tc>
          <w:tcPr>
            <w:tcW w:w="963" w:type="dxa"/>
            <w:tcBorders>
              <w:top w:val="single" w:sz="4" w:space="0" w:color="auto"/>
              <w:left w:val="single" w:sz="4" w:space="0" w:color="auto"/>
              <w:bottom w:val="single" w:sz="4" w:space="0" w:color="auto"/>
              <w:right w:val="single" w:sz="4" w:space="0" w:color="auto"/>
            </w:tcBorders>
            <w:noWrap/>
            <w:vAlign w:val="center"/>
            <w:hideMark/>
          </w:tcPr>
          <w:p w14:paraId="3FBD14C9"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3,993</w:t>
            </w:r>
          </w:p>
        </w:tc>
        <w:tc>
          <w:tcPr>
            <w:tcW w:w="1039" w:type="dxa"/>
            <w:tcBorders>
              <w:top w:val="single" w:sz="4" w:space="0" w:color="auto"/>
              <w:left w:val="single" w:sz="4" w:space="0" w:color="auto"/>
              <w:bottom w:val="single" w:sz="4" w:space="0" w:color="auto"/>
              <w:right w:val="single" w:sz="4" w:space="0" w:color="auto"/>
            </w:tcBorders>
            <w:noWrap/>
            <w:vAlign w:val="center"/>
            <w:hideMark/>
          </w:tcPr>
          <w:p w14:paraId="53D34A58"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699</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6BD7FE50"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0.0045</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584435E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4BD5B078"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5FDFD09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285251BA"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0.01</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791625BB"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61B27CFB"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17718161"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787D11B2"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711CC0FD"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77249654"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51A80E6C"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373E3374"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r>
      <w:tr w:rsidR="00A15C2C" w14:paraId="1565DF18"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shd w:val="clear" w:color="D9E1F2" w:fill="D9E1F2"/>
            <w:noWrap/>
            <w:hideMark/>
          </w:tcPr>
          <w:p w14:paraId="4B897C0D"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1991</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68E61F"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0.1584</w:t>
            </w:r>
          </w:p>
        </w:tc>
        <w:tc>
          <w:tcPr>
            <w:tcW w:w="96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512693"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3,922</w:t>
            </w:r>
          </w:p>
        </w:tc>
        <w:tc>
          <w:tcPr>
            <w:tcW w:w="10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41C438"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621</w:t>
            </w:r>
          </w:p>
        </w:tc>
        <w:tc>
          <w:tcPr>
            <w:tcW w:w="111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9118B10"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0.0040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109BE2"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391A5A"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7AB49BB9"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7DC70EC6"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0.01</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88ECAD3"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07D51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86EEC2"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8257D4"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66702134"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76B6A2C7"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578F92CB"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39FF622B"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r>
      <w:tr w:rsidR="00A15C2C" w14:paraId="449AD46D"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noWrap/>
            <w:hideMark/>
          </w:tcPr>
          <w:p w14:paraId="002C5C89"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1990</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40E6ABD1"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0.1452</w:t>
            </w:r>
          </w:p>
        </w:tc>
        <w:tc>
          <w:tcPr>
            <w:tcW w:w="963" w:type="dxa"/>
            <w:tcBorders>
              <w:top w:val="single" w:sz="4" w:space="0" w:color="auto"/>
              <w:left w:val="single" w:sz="4" w:space="0" w:color="auto"/>
              <w:bottom w:val="single" w:sz="4" w:space="0" w:color="auto"/>
              <w:right w:val="single" w:sz="4" w:space="0" w:color="auto"/>
            </w:tcBorders>
            <w:noWrap/>
            <w:vAlign w:val="center"/>
            <w:hideMark/>
          </w:tcPr>
          <w:p w14:paraId="6C5A45AB"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3,860</w:t>
            </w:r>
          </w:p>
        </w:tc>
        <w:tc>
          <w:tcPr>
            <w:tcW w:w="1039" w:type="dxa"/>
            <w:tcBorders>
              <w:top w:val="single" w:sz="4" w:space="0" w:color="auto"/>
              <w:left w:val="single" w:sz="4" w:space="0" w:color="auto"/>
              <w:bottom w:val="single" w:sz="4" w:space="0" w:color="auto"/>
              <w:right w:val="single" w:sz="4" w:space="0" w:color="auto"/>
            </w:tcBorders>
            <w:noWrap/>
            <w:vAlign w:val="center"/>
            <w:hideMark/>
          </w:tcPr>
          <w:p w14:paraId="5E2FAA0E"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560</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659BBB84"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0.0036</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2275AE64"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17AFFA5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55237E12"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4DA867A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0.01</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509D802E"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454B50FB"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756E9914"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2EF383AF"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4F0FAE4F"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279EEF75"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17551E6B"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377CAA37"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r>
      <w:tr w:rsidR="00A15C2C" w14:paraId="29266813"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shd w:val="clear" w:color="D9E1F2" w:fill="D9E1F2"/>
            <w:noWrap/>
            <w:hideMark/>
          </w:tcPr>
          <w:p w14:paraId="02D42847"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1989</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19D4A2"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0.1390</w:t>
            </w:r>
          </w:p>
        </w:tc>
        <w:tc>
          <w:tcPr>
            <w:tcW w:w="96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9FEFE1C"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3,805</w:t>
            </w:r>
          </w:p>
        </w:tc>
        <w:tc>
          <w:tcPr>
            <w:tcW w:w="10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672594"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529</w:t>
            </w:r>
          </w:p>
        </w:tc>
        <w:tc>
          <w:tcPr>
            <w:tcW w:w="111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197B74"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0.0034</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A1DF11"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F7656C"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7BFA9654"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57661A43"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0.01</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0A5F06"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EC251F"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58FC17"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DCBE96E"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02C6EA18"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240F58FC"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7BD59336"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4B7D8364"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r>
      <w:tr w:rsidR="00A15C2C" w14:paraId="7535D178"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noWrap/>
            <w:hideMark/>
          </w:tcPr>
          <w:p w14:paraId="41736516"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1988</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02F9E213"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0.1250</w:t>
            </w:r>
          </w:p>
        </w:tc>
        <w:tc>
          <w:tcPr>
            <w:tcW w:w="963" w:type="dxa"/>
            <w:tcBorders>
              <w:top w:val="single" w:sz="4" w:space="0" w:color="auto"/>
              <w:left w:val="single" w:sz="4" w:space="0" w:color="auto"/>
              <w:bottom w:val="single" w:sz="4" w:space="0" w:color="auto"/>
              <w:right w:val="single" w:sz="4" w:space="0" w:color="auto"/>
            </w:tcBorders>
            <w:noWrap/>
            <w:vAlign w:val="center"/>
            <w:hideMark/>
          </w:tcPr>
          <w:p w14:paraId="4762A7A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3,758</w:t>
            </w:r>
          </w:p>
        </w:tc>
        <w:tc>
          <w:tcPr>
            <w:tcW w:w="1039" w:type="dxa"/>
            <w:tcBorders>
              <w:top w:val="single" w:sz="4" w:space="0" w:color="auto"/>
              <w:left w:val="single" w:sz="4" w:space="0" w:color="auto"/>
              <w:bottom w:val="single" w:sz="4" w:space="0" w:color="auto"/>
              <w:right w:val="single" w:sz="4" w:space="0" w:color="auto"/>
            </w:tcBorders>
            <w:noWrap/>
            <w:vAlign w:val="center"/>
            <w:hideMark/>
          </w:tcPr>
          <w:p w14:paraId="2EC686B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470</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112AEB2E"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0.0030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368D0F3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5C8E7498"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601BD876"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274C20A1"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0.01</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2E8C7A56"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5E3DF16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09631D84"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3A7018A9"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796EDEB6"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2D62EBB9"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46F9D892"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79F63400"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r>
      <w:tr w:rsidR="00A15C2C" w14:paraId="3530E5D7"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shd w:val="clear" w:color="D9E1F2" w:fill="D9E1F2"/>
            <w:noWrap/>
            <w:hideMark/>
          </w:tcPr>
          <w:p w14:paraId="2CB1D0F8"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1987</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AA94FB"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0.1112</w:t>
            </w:r>
          </w:p>
        </w:tc>
        <w:tc>
          <w:tcPr>
            <w:tcW w:w="96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2247AF"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3,718</w:t>
            </w:r>
          </w:p>
        </w:tc>
        <w:tc>
          <w:tcPr>
            <w:tcW w:w="10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24F0FE"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413</w:t>
            </w:r>
          </w:p>
        </w:tc>
        <w:tc>
          <w:tcPr>
            <w:tcW w:w="111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93E3A2F"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0.0026</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4AE4EF"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3D5FB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2C8DE6D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5ADDC482"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0.01</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C8997B"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B4A687"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654E47"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78CD57"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696A4A62"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2DB49241"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035B9CBC"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6C9898F5"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r>
      <w:tr w:rsidR="00A15C2C" w14:paraId="3EEF92AA"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noWrap/>
            <w:hideMark/>
          </w:tcPr>
          <w:p w14:paraId="2FEE463E"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1986</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630989E5"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0.1028</w:t>
            </w:r>
          </w:p>
        </w:tc>
        <w:tc>
          <w:tcPr>
            <w:tcW w:w="963" w:type="dxa"/>
            <w:tcBorders>
              <w:top w:val="single" w:sz="4" w:space="0" w:color="auto"/>
              <w:left w:val="single" w:sz="4" w:space="0" w:color="auto"/>
              <w:bottom w:val="single" w:sz="4" w:space="0" w:color="auto"/>
              <w:right w:val="single" w:sz="4" w:space="0" w:color="auto"/>
            </w:tcBorders>
            <w:noWrap/>
            <w:vAlign w:val="center"/>
            <w:hideMark/>
          </w:tcPr>
          <w:p w14:paraId="7FFBFA11"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3,687</w:t>
            </w:r>
          </w:p>
        </w:tc>
        <w:tc>
          <w:tcPr>
            <w:tcW w:w="1039" w:type="dxa"/>
            <w:tcBorders>
              <w:top w:val="single" w:sz="4" w:space="0" w:color="auto"/>
              <w:left w:val="single" w:sz="4" w:space="0" w:color="auto"/>
              <w:bottom w:val="single" w:sz="4" w:space="0" w:color="auto"/>
              <w:right w:val="single" w:sz="4" w:space="0" w:color="auto"/>
            </w:tcBorders>
            <w:noWrap/>
            <w:vAlign w:val="center"/>
            <w:hideMark/>
          </w:tcPr>
          <w:p w14:paraId="00B56341"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379</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49AD5881"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0.0024</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1A2926EE"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37C74424"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728DDE16"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478DD6FF"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0.01</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277DC8C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1F8C79D3"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6B2A4CF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50D7C492"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009D0643"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2305D710"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3218466C"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685278C2"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r>
      <w:tr w:rsidR="00A15C2C" w14:paraId="4DE3D990"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shd w:val="clear" w:color="D9E1F2" w:fill="D9E1F2"/>
            <w:noWrap/>
            <w:hideMark/>
          </w:tcPr>
          <w:p w14:paraId="07DA605F"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1985</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FAFE378"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0.0933</w:t>
            </w:r>
          </w:p>
        </w:tc>
        <w:tc>
          <w:tcPr>
            <w:tcW w:w="96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B64CF4"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3,660</w:t>
            </w:r>
          </w:p>
        </w:tc>
        <w:tc>
          <w:tcPr>
            <w:tcW w:w="10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B32F1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341</w:t>
            </w:r>
          </w:p>
        </w:tc>
        <w:tc>
          <w:tcPr>
            <w:tcW w:w="111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22685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0.0022</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09830E"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F5ABCB"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0BCC6065"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3A9AA76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0.01</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151AC5"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B0D72C"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3BAA7E"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089931"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41E99231"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389A2DC8"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0DDB17A5"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2926BB15"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r>
      <w:tr w:rsidR="00A15C2C" w14:paraId="572496BF"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noWrap/>
            <w:hideMark/>
          </w:tcPr>
          <w:p w14:paraId="391E4759"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1984</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59A3F999"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0.0835</w:t>
            </w:r>
          </w:p>
        </w:tc>
        <w:tc>
          <w:tcPr>
            <w:tcW w:w="963" w:type="dxa"/>
            <w:tcBorders>
              <w:top w:val="single" w:sz="4" w:space="0" w:color="auto"/>
              <w:left w:val="single" w:sz="4" w:space="0" w:color="auto"/>
              <w:bottom w:val="single" w:sz="4" w:space="0" w:color="auto"/>
              <w:right w:val="single" w:sz="4" w:space="0" w:color="auto"/>
            </w:tcBorders>
            <w:noWrap/>
            <w:vAlign w:val="center"/>
            <w:hideMark/>
          </w:tcPr>
          <w:p w14:paraId="02AB3B60"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3,660</w:t>
            </w:r>
          </w:p>
        </w:tc>
        <w:tc>
          <w:tcPr>
            <w:tcW w:w="1039" w:type="dxa"/>
            <w:tcBorders>
              <w:top w:val="single" w:sz="4" w:space="0" w:color="auto"/>
              <w:left w:val="single" w:sz="4" w:space="0" w:color="auto"/>
              <w:bottom w:val="single" w:sz="4" w:space="0" w:color="auto"/>
              <w:right w:val="single" w:sz="4" w:space="0" w:color="auto"/>
            </w:tcBorders>
            <w:noWrap/>
            <w:vAlign w:val="center"/>
            <w:hideMark/>
          </w:tcPr>
          <w:p w14:paraId="7E118EB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305</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029CEF35"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0.0020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59917DDF"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3D96C801"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5C839FBC"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4093D32D"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0.01</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02194410"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1E54BDB5"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33FE7C75"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44F96BB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0.01</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2FA65C2B"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1C2AADCC"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2C5A2C39"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1A5F5AA1"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0.01</w:t>
            </w:r>
          </w:p>
        </w:tc>
      </w:tr>
      <w:tr w:rsidR="00A15C2C" w14:paraId="5D21FB12"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shd w:val="clear" w:color="D9E1F2" w:fill="D9E1F2"/>
            <w:noWrap/>
            <w:hideMark/>
          </w:tcPr>
          <w:p w14:paraId="31B8096F"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1983</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4EBE50"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0.0731</w:t>
            </w:r>
          </w:p>
        </w:tc>
        <w:tc>
          <w:tcPr>
            <w:tcW w:w="96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E7FED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3,660</w:t>
            </w:r>
          </w:p>
        </w:tc>
        <w:tc>
          <w:tcPr>
            <w:tcW w:w="10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288102"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267</w:t>
            </w:r>
          </w:p>
        </w:tc>
        <w:tc>
          <w:tcPr>
            <w:tcW w:w="111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E9E9C9"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0.0017</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BACFD5"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C41C7B"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5D858F7F"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67DEDBDE"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A5C09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DA651A"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658736"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010A9F"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5A012DBB"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7A445312"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2A33DF36"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2306F642"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r>
      <w:tr w:rsidR="00A15C2C" w14:paraId="54E8E373"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noWrap/>
            <w:hideMark/>
          </w:tcPr>
          <w:p w14:paraId="7BA9CB1C"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1982</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3BE1EEC1"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0.0619</w:t>
            </w:r>
          </w:p>
        </w:tc>
        <w:tc>
          <w:tcPr>
            <w:tcW w:w="963" w:type="dxa"/>
            <w:tcBorders>
              <w:top w:val="single" w:sz="4" w:space="0" w:color="auto"/>
              <w:left w:val="single" w:sz="4" w:space="0" w:color="auto"/>
              <w:bottom w:val="single" w:sz="4" w:space="0" w:color="auto"/>
              <w:right w:val="single" w:sz="4" w:space="0" w:color="auto"/>
            </w:tcBorders>
            <w:noWrap/>
            <w:vAlign w:val="center"/>
            <w:hideMark/>
          </w:tcPr>
          <w:p w14:paraId="65912612"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3,660</w:t>
            </w:r>
          </w:p>
        </w:tc>
        <w:tc>
          <w:tcPr>
            <w:tcW w:w="1039" w:type="dxa"/>
            <w:tcBorders>
              <w:top w:val="single" w:sz="4" w:space="0" w:color="auto"/>
              <w:left w:val="single" w:sz="4" w:space="0" w:color="auto"/>
              <w:bottom w:val="single" w:sz="4" w:space="0" w:color="auto"/>
              <w:right w:val="single" w:sz="4" w:space="0" w:color="auto"/>
            </w:tcBorders>
            <w:noWrap/>
            <w:vAlign w:val="center"/>
            <w:hideMark/>
          </w:tcPr>
          <w:p w14:paraId="0C6E7714"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227</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04DAFB62"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0.0015</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5FEA8C28"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440FC52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2C0B5537"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49D0F5F9"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707926DF"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72D53BE9"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79684011"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2F6ED811"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4A63E2CF"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750108D8"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43BD4B04"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4FF3BEBB"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r>
      <w:tr w:rsidR="00A15C2C" w14:paraId="469DBF8A"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shd w:val="clear" w:color="D9E1F2" w:fill="D9E1F2"/>
            <w:noWrap/>
            <w:hideMark/>
          </w:tcPr>
          <w:p w14:paraId="056A929D"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1981</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8750B9"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0.0502</w:t>
            </w:r>
          </w:p>
        </w:tc>
        <w:tc>
          <w:tcPr>
            <w:tcW w:w="96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30B22F"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3,660</w:t>
            </w:r>
          </w:p>
        </w:tc>
        <w:tc>
          <w:tcPr>
            <w:tcW w:w="10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307AE9"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184</w:t>
            </w:r>
          </w:p>
        </w:tc>
        <w:tc>
          <w:tcPr>
            <w:tcW w:w="111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E7FB3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0.0012</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9D13CA"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0D3008"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3EF8824A"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5EAB337D"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E31DBF"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F91255"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4140F0"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650CFB"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4EAFD233"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4A1FC046"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3F201DCA"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4E23987D"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r>
      <w:tr w:rsidR="00A15C2C" w14:paraId="3526712D"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noWrap/>
            <w:hideMark/>
          </w:tcPr>
          <w:p w14:paraId="2CC9D997"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1980</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56AD4222"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0.0384</w:t>
            </w:r>
          </w:p>
        </w:tc>
        <w:tc>
          <w:tcPr>
            <w:tcW w:w="963" w:type="dxa"/>
            <w:tcBorders>
              <w:top w:val="single" w:sz="4" w:space="0" w:color="auto"/>
              <w:left w:val="single" w:sz="4" w:space="0" w:color="auto"/>
              <w:bottom w:val="single" w:sz="4" w:space="0" w:color="auto"/>
              <w:right w:val="single" w:sz="4" w:space="0" w:color="auto"/>
            </w:tcBorders>
            <w:noWrap/>
            <w:vAlign w:val="center"/>
            <w:hideMark/>
          </w:tcPr>
          <w:p w14:paraId="4FCEE8BE"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3,660</w:t>
            </w:r>
          </w:p>
        </w:tc>
        <w:tc>
          <w:tcPr>
            <w:tcW w:w="1039" w:type="dxa"/>
            <w:tcBorders>
              <w:top w:val="single" w:sz="4" w:space="0" w:color="auto"/>
              <w:left w:val="single" w:sz="4" w:space="0" w:color="auto"/>
              <w:bottom w:val="single" w:sz="4" w:space="0" w:color="auto"/>
              <w:right w:val="single" w:sz="4" w:space="0" w:color="auto"/>
            </w:tcBorders>
            <w:noWrap/>
            <w:vAlign w:val="center"/>
            <w:hideMark/>
          </w:tcPr>
          <w:p w14:paraId="4FC3AB6C"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141</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20942561"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0.0009</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6E6AB73A"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0F0426BB"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2D4E94BF"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3AAD41CC"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23C203DB"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651AACBE"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4B61DA1A"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03F8F290"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007E2CFF"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0390EC56"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69C74D79"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1DF40311"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r>
      <w:tr w:rsidR="00A15C2C" w14:paraId="1321C46F"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shd w:val="clear" w:color="D9E1F2" w:fill="D9E1F2"/>
            <w:noWrap/>
            <w:hideMark/>
          </w:tcPr>
          <w:p w14:paraId="1ED0A890"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1979</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DF4E4A"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0.0273</w:t>
            </w:r>
          </w:p>
        </w:tc>
        <w:tc>
          <w:tcPr>
            <w:tcW w:w="96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CB4CA5"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3,660</w:t>
            </w:r>
          </w:p>
        </w:tc>
        <w:tc>
          <w:tcPr>
            <w:tcW w:w="10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480EA9"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111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67567E"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0.0006</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6DE53B"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FFF0E2"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3DC8EFE2"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60A78C83"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C66E82"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8A40CD"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E4CE91"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D55F33"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73B20F26"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10FC2D1A"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355B0182"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7F55A181"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r>
      <w:tr w:rsidR="00A15C2C" w14:paraId="1926AE47"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noWrap/>
            <w:hideMark/>
          </w:tcPr>
          <w:p w14:paraId="11797F77"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1978</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7D1BA0F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0.0000</w:t>
            </w:r>
          </w:p>
        </w:tc>
        <w:tc>
          <w:tcPr>
            <w:tcW w:w="963" w:type="dxa"/>
            <w:tcBorders>
              <w:top w:val="single" w:sz="4" w:space="0" w:color="auto"/>
              <w:left w:val="single" w:sz="4" w:space="0" w:color="auto"/>
              <w:bottom w:val="single" w:sz="4" w:space="0" w:color="auto"/>
              <w:right w:val="single" w:sz="4" w:space="0" w:color="auto"/>
            </w:tcBorders>
            <w:noWrap/>
            <w:vAlign w:val="center"/>
            <w:hideMark/>
          </w:tcPr>
          <w:p w14:paraId="27FC02EC"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3,660</w:t>
            </w:r>
          </w:p>
        </w:tc>
        <w:tc>
          <w:tcPr>
            <w:tcW w:w="1039" w:type="dxa"/>
            <w:tcBorders>
              <w:top w:val="single" w:sz="4" w:space="0" w:color="auto"/>
              <w:left w:val="single" w:sz="4" w:space="0" w:color="auto"/>
              <w:bottom w:val="single" w:sz="4" w:space="0" w:color="auto"/>
              <w:right w:val="single" w:sz="4" w:space="0" w:color="auto"/>
            </w:tcBorders>
            <w:noWrap/>
            <w:vAlign w:val="center"/>
            <w:hideMark/>
          </w:tcPr>
          <w:p w14:paraId="0A08D8B3"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106E1103"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698F6C9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3E45C82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161C5E35"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5956C92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716FDC52"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6B6418FE"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7A1FB4FE"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2D6F63B1"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25505B0A"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16C14B07"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10680E75"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02FF59DA"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r>
      <w:tr w:rsidR="00A15C2C" w14:paraId="5FFEC7F4"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shd w:val="clear" w:color="D9E1F2" w:fill="D9E1F2"/>
            <w:noWrap/>
            <w:hideMark/>
          </w:tcPr>
          <w:p w14:paraId="7BF8A877"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1977</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63E9C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0.0000</w:t>
            </w:r>
          </w:p>
        </w:tc>
        <w:tc>
          <w:tcPr>
            <w:tcW w:w="96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0D07A8"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3,660</w:t>
            </w:r>
          </w:p>
        </w:tc>
        <w:tc>
          <w:tcPr>
            <w:tcW w:w="10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EB9BF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w:t>
            </w:r>
          </w:p>
        </w:tc>
        <w:tc>
          <w:tcPr>
            <w:tcW w:w="111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CBF839"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FE8F34"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C89854"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7188B191"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24110CFA"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2B8BB1"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9AD9F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A8E2AD"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0CC9AF"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00A21951"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65B1EAA0"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7582F0C9"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3B5C5391"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r>
      <w:tr w:rsidR="00A15C2C" w14:paraId="3350BB03" w14:textId="77777777" w:rsidTr="003F10AD">
        <w:trPr>
          <w:trHeight w:val="300"/>
          <w:jc w:val="center"/>
        </w:trPr>
        <w:tc>
          <w:tcPr>
            <w:tcW w:w="673" w:type="dxa"/>
            <w:tcBorders>
              <w:top w:val="single" w:sz="4" w:space="0" w:color="auto"/>
              <w:left w:val="single" w:sz="4" w:space="0" w:color="auto"/>
              <w:bottom w:val="single" w:sz="4" w:space="0" w:color="auto"/>
              <w:right w:val="single" w:sz="4" w:space="0" w:color="auto"/>
            </w:tcBorders>
            <w:noWrap/>
            <w:hideMark/>
          </w:tcPr>
          <w:p w14:paraId="4C49B328"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1976</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426AE55D"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0.0000</w:t>
            </w:r>
          </w:p>
        </w:tc>
        <w:tc>
          <w:tcPr>
            <w:tcW w:w="963" w:type="dxa"/>
            <w:tcBorders>
              <w:top w:val="single" w:sz="4" w:space="0" w:color="auto"/>
              <w:left w:val="single" w:sz="4" w:space="0" w:color="auto"/>
              <w:bottom w:val="single" w:sz="4" w:space="0" w:color="auto"/>
              <w:right w:val="single" w:sz="4" w:space="0" w:color="auto"/>
            </w:tcBorders>
            <w:noWrap/>
            <w:vAlign w:val="center"/>
            <w:hideMark/>
          </w:tcPr>
          <w:p w14:paraId="19EE06D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3,660</w:t>
            </w:r>
          </w:p>
        </w:tc>
        <w:tc>
          <w:tcPr>
            <w:tcW w:w="1039" w:type="dxa"/>
            <w:tcBorders>
              <w:top w:val="single" w:sz="4" w:space="0" w:color="auto"/>
              <w:left w:val="single" w:sz="4" w:space="0" w:color="auto"/>
              <w:bottom w:val="single" w:sz="4" w:space="0" w:color="auto"/>
              <w:right w:val="single" w:sz="4" w:space="0" w:color="auto"/>
            </w:tcBorders>
            <w:noWrap/>
            <w:vAlign w:val="center"/>
            <w:hideMark/>
          </w:tcPr>
          <w:p w14:paraId="5B8928B7"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37EBE0AE"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6F1731C6"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67DD6C78" w14:textId="77777777" w:rsidR="001D6419" w:rsidRPr="00843B03" w:rsidRDefault="000F5B51" w:rsidP="003F10AD">
            <w:pPr>
              <w:spacing w:after="0" w:line="240" w:lineRule="auto"/>
              <w:contextualSpacing/>
              <w:jc w:val="center"/>
              <w:rPr>
                <w:rFonts w:eastAsia="Times New Roman" w:cs="Times New Roman"/>
                <w:szCs w:val="24"/>
              </w:rPr>
            </w:pPr>
            <w:r w:rsidRPr="005E3D4C">
              <w:rPr>
                <w:rFonts w:cs="Times New Roman"/>
              </w:rPr>
              <w:t>1.00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3497150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819"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230E9ACA"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Cs w:val="24"/>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02550AC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138B5481"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6335950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565" w:type="dxa"/>
            <w:tcBorders>
              <w:top w:val="single" w:sz="4" w:space="0" w:color="auto"/>
              <w:left w:val="single" w:sz="4" w:space="0" w:color="auto"/>
              <w:bottom w:val="single" w:sz="4" w:space="0" w:color="auto"/>
              <w:right w:val="single" w:sz="4" w:space="0" w:color="auto"/>
            </w:tcBorders>
            <w:noWrap/>
            <w:vAlign w:val="center"/>
            <w:hideMark/>
          </w:tcPr>
          <w:p w14:paraId="19A33F48" w14:textId="77777777" w:rsidR="001D6419" w:rsidRPr="00843B03" w:rsidRDefault="000F5B51" w:rsidP="003F10AD">
            <w:pPr>
              <w:spacing w:after="0" w:line="240" w:lineRule="auto"/>
              <w:contextualSpacing/>
              <w:jc w:val="center"/>
              <w:rPr>
                <w:rFonts w:eastAsia="Times New Roman" w:cs="Times New Roman"/>
                <w:szCs w:val="24"/>
              </w:rPr>
            </w:pPr>
            <w:r w:rsidRPr="003F10AD">
              <w:rPr>
                <w:rFonts w:cs="Times New Roman"/>
                <w:color w:val="000000"/>
                <w:sz w:val="22"/>
              </w:rPr>
              <w:t>0.00</w:t>
            </w:r>
          </w:p>
        </w:tc>
        <w:tc>
          <w:tcPr>
            <w:tcW w:w="691" w:type="dxa"/>
            <w:tcBorders>
              <w:top w:val="single" w:sz="4" w:space="0" w:color="3F3F3F"/>
              <w:left w:val="single" w:sz="4" w:space="0" w:color="auto"/>
              <w:bottom w:val="single" w:sz="4" w:space="0" w:color="3F3F3F"/>
              <w:right w:val="single" w:sz="4" w:space="0" w:color="3F3F3F"/>
            </w:tcBorders>
            <w:shd w:val="clear" w:color="000000" w:fill="F2F2F2"/>
            <w:noWrap/>
            <w:vAlign w:val="center"/>
            <w:hideMark/>
          </w:tcPr>
          <w:p w14:paraId="26BF6BCC"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18974542"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7E48A7C6"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c>
          <w:tcPr>
            <w:tcW w:w="69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44595CFA" w14:textId="77777777" w:rsidR="001D6419" w:rsidRPr="00843B03" w:rsidRDefault="000F5B51" w:rsidP="003F10AD">
            <w:pPr>
              <w:spacing w:after="0" w:line="240" w:lineRule="auto"/>
              <w:contextualSpacing/>
              <w:jc w:val="center"/>
              <w:rPr>
                <w:rFonts w:eastAsia="Times New Roman" w:cs="Times New Roman"/>
                <w:b/>
                <w:bCs/>
                <w:szCs w:val="24"/>
              </w:rPr>
            </w:pPr>
            <w:r w:rsidRPr="003F10AD">
              <w:rPr>
                <w:rFonts w:cs="Times New Roman"/>
                <w:b/>
                <w:bCs/>
                <w:color w:val="3F3F3F"/>
                <w:sz w:val="22"/>
              </w:rPr>
              <w:t>0.00</w:t>
            </w:r>
          </w:p>
        </w:tc>
      </w:tr>
    </w:tbl>
    <w:p w14:paraId="3B2333EA" w14:textId="77777777" w:rsidR="001D6419" w:rsidRDefault="001D6419" w:rsidP="001D6419">
      <w:pPr>
        <w:spacing w:after="0"/>
        <w:contextualSpacing/>
        <w:rPr>
          <w:rFonts w:eastAsia="Times New Roman" w:cs="Times New Roman"/>
          <w:szCs w:val="24"/>
        </w:rPr>
      </w:pPr>
    </w:p>
    <w:p w14:paraId="508B58F8" w14:textId="7069D6EA" w:rsidR="001D6419" w:rsidRPr="00885DCD" w:rsidRDefault="000F5B51" w:rsidP="001D6419">
      <w:pPr>
        <w:pStyle w:val="Caption"/>
      </w:pPr>
      <w:bookmarkStart w:id="2018" w:name="_Toc517354431"/>
      <w:bookmarkStart w:id="2019" w:name="_Toc103595405"/>
      <w:r>
        <w:t>T</w:t>
      </w:r>
      <w:r w:rsidRPr="00885DCD">
        <w:t xml:space="preserve">able </w:t>
      </w:r>
      <w:r w:rsidR="00115BAB">
        <w:fldChar w:fldCharType="begin"/>
      </w:r>
      <w:r>
        <w:instrText xml:space="preserve"> SEQ Table \* ARABIC </w:instrText>
      </w:r>
      <w:r w:rsidR="00115BAB">
        <w:fldChar w:fldCharType="separate"/>
      </w:r>
      <w:r w:rsidR="00A65CB3">
        <w:rPr>
          <w:noProof/>
        </w:rPr>
        <w:t>112</w:t>
      </w:r>
      <w:r w:rsidR="00115BAB">
        <w:rPr>
          <w:noProof/>
        </w:rPr>
        <w:fldChar w:fldCharType="end"/>
      </w:r>
      <w:r w:rsidR="005702D0">
        <w:t xml:space="preserve">: </w:t>
      </w:r>
      <w:r>
        <w:t>FMVSS No. 214 Adjustment Factors for LTV</w:t>
      </w:r>
      <w:bookmarkEnd w:id="2018"/>
      <w:bookmarkEnd w:id="2019"/>
    </w:p>
    <w:tbl>
      <w:tblPr>
        <w:tblW w:w="0" w:type="auto"/>
        <w:jc w:val="center"/>
        <w:tblLayout w:type="fixed"/>
        <w:tblCellMar>
          <w:left w:w="30" w:type="dxa"/>
          <w:right w:w="30" w:type="dxa"/>
        </w:tblCellMar>
        <w:tblLook w:val="0000" w:firstRow="0" w:lastRow="0" w:firstColumn="0" w:lastColumn="0" w:noHBand="0" w:noVBand="0"/>
      </w:tblPr>
      <w:tblGrid>
        <w:gridCol w:w="773"/>
        <w:gridCol w:w="773"/>
        <w:gridCol w:w="772"/>
        <w:gridCol w:w="1042"/>
      </w:tblGrid>
      <w:tr w:rsidR="00A15C2C" w14:paraId="6BEEF1F5" w14:textId="77777777" w:rsidTr="00D07617">
        <w:trPr>
          <w:trHeight w:val="290"/>
          <w:jc w:val="center"/>
        </w:trPr>
        <w:tc>
          <w:tcPr>
            <w:tcW w:w="773" w:type="dxa"/>
            <w:tcBorders>
              <w:top w:val="single" w:sz="6" w:space="0" w:color="333333"/>
              <w:left w:val="single" w:sz="6" w:space="0" w:color="333333"/>
              <w:bottom w:val="single" w:sz="6" w:space="0" w:color="333333"/>
              <w:right w:val="single" w:sz="6" w:space="0" w:color="333333"/>
            </w:tcBorders>
            <w:shd w:val="solid" w:color="C0C0C0" w:fill="FFFFFF"/>
            <w:vAlign w:val="center"/>
          </w:tcPr>
          <w:p w14:paraId="0CE10E72" w14:textId="77777777" w:rsidR="001D6419" w:rsidRPr="00885DCD" w:rsidRDefault="000F5B51" w:rsidP="00D07617">
            <w:pPr>
              <w:autoSpaceDE w:val="0"/>
              <w:autoSpaceDN w:val="0"/>
              <w:adjustRightInd w:val="0"/>
              <w:spacing w:after="0" w:line="240" w:lineRule="auto"/>
              <w:jc w:val="center"/>
              <w:rPr>
                <w:rFonts w:eastAsia="Times New Roman" w:cs="Times New Roman"/>
                <w:b/>
                <w:bCs/>
                <w:szCs w:val="24"/>
              </w:rPr>
            </w:pPr>
            <w:r w:rsidRPr="00885DCD">
              <w:rPr>
                <w:rFonts w:eastAsia="Times New Roman" w:cs="Times New Roman"/>
                <w:b/>
                <w:bCs/>
                <w:szCs w:val="24"/>
              </w:rPr>
              <w:t>Front</w:t>
            </w:r>
          </w:p>
        </w:tc>
        <w:tc>
          <w:tcPr>
            <w:tcW w:w="773" w:type="dxa"/>
            <w:tcBorders>
              <w:top w:val="single" w:sz="6" w:space="0" w:color="333333"/>
              <w:left w:val="single" w:sz="6" w:space="0" w:color="333333"/>
              <w:bottom w:val="single" w:sz="6" w:space="0" w:color="333333"/>
              <w:right w:val="single" w:sz="6" w:space="0" w:color="333333"/>
            </w:tcBorders>
            <w:shd w:val="solid" w:color="C0C0C0" w:fill="FFFFFF"/>
            <w:vAlign w:val="center"/>
          </w:tcPr>
          <w:p w14:paraId="30F3D18E" w14:textId="77777777" w:rsidR="001D6419" w:rsidRPr="00885DCD" w:rsidRDefault="000F5B51" w:rsidP="00D07617">
            <w:pPr>
              <w:autoSpaceDE w:val="0"/>
              <w:autoSpaceDN w:val="0"/>
              <w:adjustRightInd w:val="0"/>
              <w:spacing w:after="0" w:line="240" w:lineRule="auto"/>
              <w:jc w:val="center"/>
              <w:rPr>
                <w:rFonts w:eastAsia="Times New Roman" w:cs="Times New Roman"/>
                <w:b/>
                <w:bCs/>
                <w:szCs w:val="24"/>
              </w:rPr>
            </w:pPr>
            <w:r w:rsidRPr="00885DCD">
              <w:rPr>
                <w:rFonts w:eastAsia="Times New Roman" w:cs="Times New Roman"/>
                <w:b/>
                <w:bCs/>
                <w:szCs w:val="24"/>
              </w:rPr>
              <w:t>Rear</w:t>
            </w:r>
          </w:p>
        </w:tc>
        <w:tc>
          <w:tcPr>
            <w:tcW w:w="772" w:type="dxa"/>
            <w:tcBorders>
              <w:top w:val="single" w:sz="6" w:space="0" w:color="333333"/>
              <w:left w:val="single" w:sz="6" w:space="0" w:color="333333"/>
              <w:bottom w:val="single" w:sz="6" w:space="0" w:color="333333"/>
              <w:right w:val="single" w:sz="6" w:space="0" w:color="333333"/>
            </w:tcBorders>
            <w:shd w:val="solid" w:color="C0C0C0" w:fill="FFFFFF"/>
            <w:vAlign w:val="center"/>
          </w:tcPr>
          <w:p w14:paraId="14BAF986" w14:textId="77777777" w:rsidR="001D6419" w:rsidRPr="00885DCD" w:rsidRDefault="000F5B51" w:rsidP="00D07617">
            <w:pPr>
              <w:autoSpaceDE w:val="0"/>
              <w:autoSpaceDN w:val="0"/>
              <w:adjustRightInd w:val="0"/>
              <w:spacing w:after="0" w:line="240" w:lineRule="auto"/>
              <w:jc w:val="center"/>
              <w:rPr>
                <w:rFonts w:eastAsia="Times New Roman" w:cs="Times New Roman"/>
                <w:b/>
                <w:bCs/>
                <w:szCs w:val="24"/>
              </w:rPr>
            </w:pPr>
            <w:r w:rsidRPr="00885DCD">
              <w:rPr>
                <w:rFonts w:eastAsia="Times New Roman" w:cs="Times New Roman"/>
                <w:b/>
                <w:bCs/>
                <w:szCs w:val="24"/>
              </w:rPr>
              <w:t>Side</w:t>
            </w:r>
          </w:p>
        </w:tc>
        <w:tc>
          <w:tcPr>
            <w:tcW w:w="1042" w:type="dxa"/>
            <w:tcBorders>
              <w:top w:val="single" w:sz="6" w:space="0" w:color="333333"/>
              <w:left w:val="single" w:sz="6" w:space="0" w:color="333333"/>
              <w:bottom w:val="single" w:sz="6" w:space="0" w:color="333333"/>
              <w:right w:val="single" w:sz="6" w:space="0" w:color="333333"/>
            </w:tcBorders>
            <w:shd w:val="solid" w:color="C0C0C0" w:fill="FFFFFF"/>
            <w:vAlign w:val="center"/>
          </w:tcPr>
          <w:p w14:paraId="64034159" w14:textId="77777777" w:rsidR="001D6419" w:rsidRDefault="000F5B51" w:rsidP="00D07617">
            <w:pPr>
              <w:autoSpaceDE w:val="0"/>
              <w:autoSpaceDN w:val="0"/>
              <w:adjustRightInd w:val="0"/>
              <w:spacing w:after="0" w:line="240" w:lineRule="auto"/>
              <w:jc w:val="center"/>
              <w:rPr>
                <w:rFonts w:ascii="Calibri" w:hAnsi="Calibri" w:cs="Calibri"/>
                <w:b/>
                <w:bCs/>
                <w:color w:val="333333"/>
                <w:sz w:val="22"/>
              </w:rPr>
            </w:pPr>
            <w:r w:rsidRPr="00885DCD">
              <w:rPr>
                <w:rFonts w:eastAsia="Times New Roman" w:cs="Times New Roman"/>
                <w:b/>
                <w:bCs/>
                <w:szCs w:val="24"/>
              </w:rPr>
              <w:t>Rollove</w:t>
            </w:r>
            <w:r>
              <w:rPr>
                <w:rFonts w:ascii="Calibri" w:hAnsi="Calibri" w:cs="Calibri"/>
                <w:b/>
                <w:bCs/>
                <w:color w:val="333333"/>
                <w:sz w:val="22"/>
              </w:rPr>
              <w:t>r</w:t>
            </w:r>
          </w:p>
        </w:tc>
      </w:tr>
      <w:tr w:rsidR="00A15C2C" w14:paraId="2772DA02" w14:textId="77777777" w:rsidTr="003F10AD">
        <w:trPr>
          <w:trHeight w:val="290"/>
          <w:jc w:val="center"/>
        </w:trPr>
        <w:tc>
          <w:tcPr>
            <w:tcW w:w="773" w:type="dxa"/>
            <w:tcBorders>
              <w:top w:val="single" w:sz="6" w:space="0" w:color="333333"/>
              <w:left w:val="single" w:sz="6" w:space="0" w:color="333333"/>
              <w:bottom w:val="single" w:sz="6" w:space="0" w:color="333333"/>
              <w:right w:val="single" w:sz="6" w:space="0" w:color="333333"/>
            </w:tcBorders>
            <w:shd w:val="clear" w:color="auto" w:fill="FFFFFF" w:themeFill="background1"/>
            <w:vAlign w:val="bottom"/>
          </w:tcPr>
          <w:p w14:paraId="48C54328" w14:textId="77777777" w:rsidR="001D6419" w:rsidRPr="003F10AD" w:rsidRDefault="000F5B51" w:rsidP="00D07617">
            <w:pPr>
              <w:spacing w:after="0" w:line="240" w:lineRule="auto"/>
              <w:contextualSpacing/>
              <w:jc w:val="right"/>
              <w:rPr>
                <w:rFonts w:eastAsia="Times New Roman" w:cs="Times New Roman"/>
                <w:szCs w:val="24"/>
              </w:rPr>
            </w:pPr>
            <w:r w:rsidRPr="003F10AD">
              <w:rPr>
                <w:rFonts w:ascii="Calibri" w:hAnsi="Calibri"/>
                <w:color w:val="3F3F3F"/>
                <w:sz w:val="22"/>
              </w:rPr>
              <w:t>1.0000</w:t>
            </w:r>
          </w:p>
        </w:tc>
        <w:tc>
          <w:tcPr>
            <w:tcW w:w="773" w:type="dxa"/>
            <w:tcBorders>
              <w:top w:val="single" w:sz="6" w:space="0" w:color="333333"/>
              <w:left w:val="single" w:sz="6" w:space="0" w:color="333333"/>
              <w:bottom w:val="single" w:sz="6" w:space="0" w:color="333333"/>
              <w:right w:val="single" w:sz="6" w:space="0" w:color="333333"/>
            </w:tcBorders>
            <w:shd w:val="clear" w:color="auto" w:fill="FFFFFF" w:themeFill="background1"/>
            <w:vAlign w:val="bottom"/>
          </w:tcPr>
          <w:p w14:paraId="52AE38CF" w14:textId="77777777" w:rsidR="001D6419" w:rsidRPr="003F10AD" w:rsidRDefault="000F5B51" w:rsidP="00D07617">
            <w:pPr>
              <w:spacing w:after="0" w:line="240" w:lineRule="auto"/>
              <w:contextualSpacing/>
              <w:jc w:val="right"/>
              <w:rPr>
                <w:rFonts w:eastAsia="Times New Roman" w:cs="Times New Roman"/>
                <w:szCs w:val="24"/>
              </w:rPr>
            </w:pPr>
            <w:r w:rsidRPr="003F10AD">
              <w:rPr>
                <w:rFonts w:ascii="Calibri" w:hAnsi="Calibri"/>
                <w:color w:val="3F3F3F"/>
                <w:sz w:val="22"/>
              </w:rPr>
              <w:t>1.0000</w:t>
            </w:r>
          </w:p>
        </w:tc>
        <w:tc>
          <w:tcPr>
            <w:tcW w:w="772" w:type="dxa"/>
            <w:tcBorders>
              <w:top w:val="single" w:sz="6" w:space="0" w:color="333333"/>
              <w:left w:val="single" w:sz="6" w:space="0" w:color="333333"/>
              <w:bottom w:val="single" w:sz="6" w:space="0" w:color="333333"/>
              <w:right w:val="single" w:sz="6" w:space="0" w:color="333333"/>
            </w:tcBorders>
            <w:shd w:val="clear" w:color="auto" w:fill="FFFFFF" w:themeFill="background1"/>
            <w:vAlign w:val="bottom"/>
          </w:tcPr>
          <w:p w14:paraId="00C650E5" w14:textId="77777777" w:rsidR="001D6419" w:rsidRPr="003F10AD" w:rsidRDefault="000F5B51" w:rsidP="00D07617">
            <w:pPr>
              <w:spacing w:after="0" w:line="240" w:lineRule="auto"/>
              <w:contextualSpacing/>
              <w:jc w:val="right"/>
              <w:rPr>
                <w:rFonts w:eastAsia="Times New Roman" w:cs="Times New Roman"/>
                <w:szCs w:val="24"/>
              </w:rPr>
            </w:pPr>
            <w:r w:rsidRPr="003F10AD">
              <w:rPr>
                <w:rFonts w:ascii="Calibri" w:hAnsi="Calibri"/>
                <w:color w:val="3F3F3F"/>
                <w:sz w:val="22"/>
              </w:rPr>
              <w:t>0.8199</w:t>
            </w:r>
          </w:p>
        </w:tc>
        <w:tc>
          <w:tcPr>
            <w:tcW w:w="1042" w:type="dxa"/>
            <w:tcBorders>
              <w:top w:val="single" w:sz="6" w:space="0" w:color="333333"/>
              <w:left w:val="single" w:sz="6" w:space="0" w:color="333333"/>
              <w:bottom w:val="single" w:sz="6" w:space="0" w:color="333333"/>
              <w:right w:val="single" w:sz="6" w:space="0" w:color="333333"/>
            </w:tcBorders>
            <w:shd w:val="clear" w:color="auto" w:fill="FFFFFF" w:themeFill="background1"/>
            <w:vAlign w:val="bottom"/>
          </w:tcPr>
          <w:p w14:paraId="5319FFB0" w14:textId="77777777" w:rsidR="001D6419" w:rsidRPr="003F10AD" w:rsidRDefault="000F5B51" w:rsidP="00D07617">
            <w:pPr>
              <w:spacing w:after="0" w:line="240" w:lineRule="auto"/>
              <w:contextualSpacing/>
              <w:jc w:val="right"/>
              <w:rPr>
                <w:rFonts w:eastAsia="Times New Roman" w:cs="Times New Roman"/>
                <w:szCs w:val="24"/>
              </w:rPr>
            </w:pPr>
            <w:r w:rsidRPr="003F10AD">
              <w:rPr>
                <w:rFonts w:ascii="Calibri" w:hAnsi="Calibri"/>
                <w:color w:val="3F3F3F"/>
                <w:sz w:val="22"/>
              </w:rPr>
              <w:t>1.0000</w:t>
            </w:r>
          </w:p>
        </w:tc>
      </w:tr>
    </w:tbl>
    <w:p w14:paraId="7C224036" w14:textId="77777777" w:rsidR="00843B03" w:rsidRDefault="00843B03" w:rsidP="001D6419">
      <w:pPr>
        <w:keepNext/>
        <w:spacing w:line="240" w:lineRule="auto"/>
        <w:sectPr w:rsidR="00843B03" w:rsidSect="003F10AD">
          <w:pgSz w:w="15840" w:h="12240" w:orient="landscape" w:code="1"/>
          <w:pgMar w:top="1440" w:right="1440" w:bottom="1440" w:left="1440" w:header="720" w:footer="720" w:gutter="0"/>
          <w:cols w:space="720"/>
          <w:docGrid w:linePitch="360"/>
        </w:sectPr>
      </w:pPr>
    </w:p>
    <w:p w14:paraId="49064E61" w14:textId="77777777" w:rsidR="001D6419" w:rsidRPr="00BA13D0" w:rsidRDefault="000F5B51" w:rsidP="001D6419">
      <w:pPr>
        <w:keepNext/>
        <w:spacing w:line="240" w:lineRule="auto"/>
      </w:pPr>
      <w:r w:rsidRPr="00E752A0">
        <w:rPr>
          <w:b/>
        </w:rPr>
        <w:lastRenderedPageBreak/>
        <w:t xml:space="preserve">FMVSS </w:t>
      </w:r>
      <w:r>
        <w:rPr>
          <w:b/>
        </w:rPr>
        <w:t xml:space="preserve">No. </w:t>
      </w:r>
      <w:r w:rsidRPr="00E752A0">
        <w:rPr>
          <w:b/>
        </w:rPr>
        <w:t>226</w:t>
      </w:r>
    </w:p>
    <w:p w14:paraId="11F9B556" w14:textId="77777777" w:rsidR="001D6419" w:rsidRDefault="000F5B51" w:rsidP="003F10AD">
      <w:r>
        <w:t>According to the FMVSS No. 226 FRIA, 55% (54.59) of MY 2011 light vehicles are equipped with curtain air bags that are in compliance with the final rule</w:t>
      </w:r>
      <w:r w:rsidR="001F2F92">
        <w:t xml:space="preserve">. </w:t>
      </w:r>
      <w:r>
        <w:t>In addition, it is predicted that all new light vehicles would be equipped with the air bags in MY 2016</w:t>
      </w:r>
      <w:r w:rsidR="001F2F92">
        <w:t xml:space="preserve">. </w:t>
      </w:r>
      <w:r>
        <w:t>For the analysis, we estimated the air bag take rates by MY using a linear approximation</w:t>
      </w:r>
      <w:r w:rsidR="001F2F92">
        <w:t xml:space="preserve">. </w:t>
      </w:r>
      <w:r>
        <w:t xml:space="preserve">  </w:t>
      </w:r>
    </w:p>
    <w:p w14:paraId="33AE4C68" w14:textId="7CEA9025" w:rsidR="001D6419" w:rsidRPr="00B9735F" w:rsidRDefault="000F5B51" w:rsidP="001D6419">
      <w:pPr>
        <w:pStyle w:val="Caption"/>
      </w:pPr>
      <w:bookmarkStart w:id="2020" w:name="_Toc517354432"/>
      <w:bookmarkStart w:id="2021" w:name="_Toc103595406"/>
      <w:r>
        <w:t xml:space="preserve">Table </w:t>
      </w:r>
      <w:r w:rsidR="00115BAB">
        <w:fldChar w:fldCharType="begin"/>
      </w:r>
      <w:r>
        <w:instrText xml:space="preserve"> SEQ Table \* ARABIC </w:instrText>
      </w:r>
      <w:r w:rsidR="00115BAB">
        <w:fldChar w:fldCharType="separate"/>
      </w:r>
      <w:r w:rsidR="00A65CB3">
        <w:rPr>
          <w:noProof/>
        </w:rPr>
        <w:t>113</w:t>
      </w:r>
      <w:r w:rsidR="00115BAB">
        <w:rPr>
          <w:noProof/>
        </w:rPr>
        <w:fldChar w:fldCharType="end"/>
      </w:r>
      <w:r>
        <w:rPr>
          <w:noProof/>
        </w:rPr>
        <w:t xml:space="preserve"> </w:t>
      </w:r>
      <w:r w:rsidR="00F1128F">
        <w:rPr>
          <w:noProof/>
        </w:rPr>
        <w:t>:</w:t>
      </w:r>
      <w:r>
        <w:rPr>
          <w:noProof/>
        </w:rPr>
        <w:t xml:space="preserve"> FMVSS 226 take rate, based on FMVSS FRIA</w:t>
      </w:r>
      <w:bookmarkEnd w:id="2020"/>
      <w:bookmarkEnd w:id="2021"/>
    </w:p>
    <w:tbl>
      <w:tblP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701"/>
      </w:tblGrid>
      <w:tr w:rsidR="00A15C2C" w14:paraId="07C16394" w14:textId="77777777" w:rsidTr="003F10AD">
        <w:trPr>
          <w:trHeight w:val="250"/>
          <w:jc w:val="center"/>
        </w:trPr>
        <w:tc>
          <w:tcPr>
            <w:tcW w:w="1539" w:type="dxa"/>
            <w:shd w:val="clear" w:color="auto" w:fill="D9D9D9" w:themeFill="background1" w:themeFillShade="D9"/>
            <w:noWrap/>
            <w:vAlign w:val="bottom"/>
            <w:hideMark/>
          </w:tcPr>
          <w:p w14:paraId="40B5F30B" w14:textId="77777777" w:rsidR="001D6419" w:rsidRPr="003F10AD" w:rsidRDefault="000F5B51" w:rsidP="00D07617">
            <w:pPr>
              <w:spacing w:after="0" w:line="240" w:lineRule="auto"/>
              <w:contextualSpacing/>
              <w:jc w:val="center"/>
              <w:rPr>
                <w:rFonts w:eastAsia="Times New Roman" w:cs="Times New Roman"/>
                <w:b/>
                <w:bCs/>
              </w:rPr>
            </w:pPr>
            <w:r w:rsidRPr="003F10AD">
              <w:rPr>
                <w:rFonts w:eastAsia="Times New Roman" w:cs="Times New Roman"/>
                <w:b/>
                <w:bCs/>
              </w:rPr>
              <w:t>MY</w:t>
            </w:r>
          </w:p>
        </w:tc>
        <w:tc>
          <w:tcPr>
            <w:tcW w:w="1701" w:type="dxa"/>
            <w:shd w:val="clear" w:color="auto" w:fill="D9D9D9" w:themeFill="background1" w:themeFillShade="D9"/>
            <w:noWrap/>
            <w:vAlign w:val="bottom"/>
            <w:hideMark/>
          </w:tcPr>
          <w:p w14:paraId="1F39CEDB" w14:textId="77777777" w:rsidR="001D6419" w:rsidRPr="003F10AD" w:rsidRDefault="000F5B51" w:rsidP="00D07617">
            <w:pPr>
              <w:spacing w:after="0" w:line="240" w:lineRule="auto"/>
              <w:contextualSpacing/>
              <w:rPr>
                <w:rFonts w:eastAsia="Times New Roman" w:cs="Times New Roman"/>
                <w:b/>
                <w:bCs/>
              </w:rPr>
            </w:pPr>
            <w:r w:rsidRPr="003F10AD">
              <w:rPr>
                <w:rFonts w:eastAsia="Times New Roman" w:cs="Times New Roman"/>
                <w:b/>
                <w:bCs/>
              </w:rPr>
              <w:t>% take-rate</w:t>
            </w:r>
          </w:p>
        </w:tc>
      </w:tr>
      <w:tr w:rsidR="00A15C2C" w14:paraId="7879C1E3" w14:textId="77777777" w:rsidTr="00D07617">
        <w:trPr>
          <w:trHeight w:val="260"/>
          <w:jc w:val="center"/>
        </w:trPr>
        <w:tc>
          <w:tcPr>
            <w:tcW w:w="1539" w:type="dxa"/>
            <w:shd w:val="clear" w:color="auto" w:fill="auto"/>
            <w:noWrap/>
            <w:vAlign w:val="bottom"/>
            <w:hideMark/>
          </w:tcPr>
          <w:p w14:paraId="2115EB33" w14:textId="77777777" w:rsidR="001D6419" w:rsidRPr="00637365" w:rsidRDefault="000F5B51" w:rsidP="00D07617">
            <w:pPr>
              <w:spacing w:before="100" w:beforeAutospacing="1" w:after="100" w:afterAutospacing="1" w:line="240" w:lineRule="auto"/>
              <w:contextualSpacing/>
              <w:jc w:val="center"/>
              <w:rPr>
                <w:rFonts w:eastAsia="Times New Roman" w:cs="Times New Roman"/>
              </w:rPr>
            </w:pPr>
            <w:r w:rsidRPr="00637365">
              <w:rPr>
                <w:rFonts w:eastAsia="Times New Roman" w:cs="Times New Roman"/>
              </w:rPr>
              <w:t>2011</w:t>
            </w:r>
          </w:p>
        </w:tc>
        <w:tc>
          <w:tcPr>
            <w:tcW w:w="1701" w:type="dxa"/>
            <w:shd w:val="clear" w:color="auto" w:fill="auto"/>
            <w:noWrap/>
            <w:vAlign w:val="bottom"/>
            <w:hideMark/>
          </w:tcPr>
          <w:p w14:paraId="60ECD379" w14:textId="77777777" w:rsidR="001D6419" w:rsidRPr="00637365" w:rsidRDefault="000F5B51" w:rsidP="00D07617">
            <w:pPr>
              <w:spacing w:before="100" w:beforeAutospacing="1" w:after="100" w:afterAutospacing="1" w:line="240" w:lineRule="auto"/>
              <w:contextualSpacing/>
              <w:jc w:val="center"/>
              <w:rPr>
                <w:rFonts w:eastAsia="Times New Roman" w:cs="Times New Roman"/>
              </w:rPr>
            </w:pPr>
            <w:r w:rsidRPr="00637365">
              <w:rPr>
                <w:rFonts w:eastAsia="Times New Roman" w:cs="Times New Roman"/>
              </w:rPr>
              <w:t>0.5459</w:t>
            </w:r>
          </w:p>
        </w:tc>
      </w:tr>
      <w:tr w:rsidR="00A15C2C" w14:paraId="4E99ADAD" w14:textId="77777777" w:rsidTr="00D07617">
        <w:trPr>
          <w:trHeight w:val="250"/>
          <w:jc w:val="center"/>
        </w:trPr>
        <w:tc>
          <w:tcPr>
            <w:tcW w:w="1539" w:type="dxa"/>
            <w:shd w:val="clear" w:color="auto" w:fill="auto"/>
            <w:noWrap/>
            <w:vAlign w:val="bottom"/>
            <w:hideMark/>
          </w:tcPr>
          <w:p w14:paraId="7210281C" w14:textId="77777777" w:rsidR="001D6419" w:rsidRPr="00637365" w:rsidRDefault="000F5B51" w:rsidP="00D07617">
            <w:pPr>
              <w:spacing w:before="100" w:beforeAutospacing="1" w:after="100" w:afterAutospacing="1" w:line="240" w:lineRule="auto"/>
              <w:contextualSpacing/>
              <w:jc w:val="center"/>
              <w:rPr>
                <w:rFonts w:eastAsia="Times New Roman" w:cs="Times New Roman"/>
              </w:rPr>
            </w:pPr>
            <w:r w:rsidRPr="00637365">
              <w:rPr>
                <w:rFonts w:eastAsia="Times New Roman" w:cs="Times New Roman"/>
              </w:rPr>
              <w:t>2016</w:t>
            </w:r>
          </w:p>
        </w:tc>
        <w:tc>
          <w:tcPr>
            <w:tcW w:w="1701" w:type="dxa"/>
            <w:shd w:val="clear" w:color="auto" w:fill="auto"/>
            <w:noWrap/>
            <w:vAlign w:val="bottom"/>
            <w:hideMark/>
          </w:tcPr>
          <w:p w14:paraId="70DFA3BE" w14:textId="77777777" w:rsidR="001D6419" w:rsidRPr="00637365" w:rsidRDefault="000F5B51" w:rsidP="00D07617">
            <w:pPr>
              <w:spacing w:before="100" w:beforeAutospacing="1" w:after="100" w:afterAutospacing="1" w:line="240" w:lineRule="auto"/>
              <w:contextualSpacing/>
              <w:jc w:val="center"/>
              <w:rPr>
                <w:rFonts w:eastAsia="Times New Roman" w:cs="Times New Roman"/>
              </w:rPr>
            </w:pPr>
            <w:r w:rsidRPr="00637365">
              <w:rPr>
                <w:rFonts w:eastAsia="Times New Roman" w:cs="Times New Roman"/>
              </w:rPr>
              <w:t>1.0000</w:t>
            </w:r>
          </w:p>
        </w:tc>
      </w:tr>
    </w:tbl>
    <w:p w14:paraId="78A8B736" w14:textId="77777777" w:rsidR="001D6419" w:rsidRDefault="001D6419" w:rsidP="001D6419">
      <w:pPr>
        <w:spacing w:before="100" w:beforeAutospacing="1" w:after="100" w:afterAutospacing="1" w:line="240" w:lineRule="auto"/>
        <w:contextualSpacing/>
      </w:pPr>
    </w:p>
    <w:p w14:paraId="7B898BFF" w14:textId="59AE619A" w:rsidR="001D6419" w:rsidRDefault="000F5B51" w:rsidP="003F10AD">
      <w:pPr>
        <w:pStyle w:val="Caption"/>
      </w:pPr>
      <w:r>
        <w:t xml:space="preserve">Figure </w:t>
      </w:r>
      <w:r w:rsidR="00115BAB">
        <w:fldChar w:fldCharType="begin"/>
      </w:r>
      <w:r>
        <w:instrText xml:space="preserve"> SEQ Figure \* ARABIC </w:instrText>
      </w:r>
      <w:r w:rsidR="00115BAB">
        <w:fldChar w:fldCharType="separate"/>
      </w:r>
      <w:r w:rsidR="00A65CB3">
        <w:rPr>
          <w:noProof/>
        </w:rPr>
        <w:t>4</w:t>
      </w:r>
      <w:r w:rsidR="00115BAB">
        <w:rPr>
          <w:noProof/>
        </w:rPr>
        <w:fldChar w:fldCharType="end"/>
      </w:r>
      <w:r>
        <w:t>: Estimated Take Rate for FMVSS. No. 226</w:t>
      </w:r>
      <w:r w:rsidRPr="00993575">
        <w:rPr>
          <w:noProof/>
        </w:rPr>
        <w:drawing>
          <wp:inline distT="0" distB="0" distL="0" distR="0" wp14:anchorId="5D0F9A2A" wp14:editId="3A9A1560">
            <wp:extent cx="5669915" cy="2609215"/>
            <wp:effectExtent l="0" t="0" r="698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669915" cy="2609215"/>
                    </a:xfrm>
                    <a:prstGeom prst="rect">
                      <a:avLst/>
                    </a:prstGeom>
                    <a:noFill/>
                  </pic:spPr>
                </pic:pic>
              </a:graphicData>
            </a:graphic>
          </wp:inline>
        </w:drawing>
      </w:r>
    </w:p>
    <w:p w14:paraId="66CCBFBA" w14:textId="77777777" w:rsidR="001D6419" w:rsidRDefault="001D6419" w:rsidP="00E52ABA">
      <w:pPr>
        <w:pStyle w:val="NoSpaceTimes"/>
      </w:pPr>
    </w:p>
    <w:p w14:paraId="57E439C8" w14:textId="3BEC4A52" w:rsidR="001D6419" w:rsidRDefault="000F5B51" w:rsidP="00617167">
      <w:r w:rsidRPr="00BA6DC6">
        <w:t>In addition to the</w:t>
      </w:r>
      <w:r>
        <w:t xml:space="preserve"> </w:t>
      </w:r>
      <w:r w:rsidRPr="00BA6DC6">
        <w:t>take rates</w:t>
      </w:r>
      <w:r>
        <w:t>, we derived an overall effectiveness of the curtain air bags for fatal and non-fatal injury crashes</w:t>
      </w:r>
      <w:r w:rsidR="001F2F92">
        <w:t xml:space="preserve">. </w:t>
      </w:r>
      <w:r>
        <w:t xml:space="preserve">For </w:t>
      </w:r>
      <w:r w:rsidR="00462833" w:rsidRPr="00462833">
        <w:t xml:space="preserve">potentially </w:t>
      </w:r>
      <w:r>
        <w:t>fatal crashes, we estimated that the air bags would save 338 lives from the 3,779 fatalities in the FMVSS No. 226 target population</w:t>
      </w:r>
      <w:r w:rsidR="001F2F92">
        <w:t xml:space="preserve">. </w:t>
      </w:r>
      <w:r>
        <w:t>The overall fatal effectiveness, therefore, was estimated to be 8.9% (0.089442)</w:t>
      </w:r>
      <w:r w:rsidR="001F2F92">
        <w:t xml:space="preserve">. </w:t>
      </w:r>
      <w:r>
        <w:t xml:space="preserve">Similarly, the overall non-fatal effectiveness was estimated to be 9.6% (377/3,920 = </w:t>
      </w:r>
      <w:r w:rsidRPr="00AE18F4">
        <w:t>0.09617</w:t>
      </w:r>
      <w:r>
        <w:t>, 9.6%)</w:t>
      </w:r>
      <w:r w:rsidR="001F2F92">
        <w:t xml:space="preserve">. </w:t>
      </w:r>
      <w:r>
        <w:t xml:space="preserve">        </w:t>
      </w:r>
      <w:r w:rsidRPr="00BA6DC6">
        <w:t xml:space="preserve"> </w:t>
      </w:r>
    </w:p>
    <w:p w14:paraId="72EC07CC" w14:textId="77777777" w:rsidR="00F1151E" w:rsidRDefault="00F1151E" w:rsidP="00617167">
      <w:pPr>
        <w:rPr>
          <w:rFonts w:eastAsia="Times New Roman"/>
          <w:b/>
          <w:bCs/>
        </w:rPr>
      </w:pPr>
    </w:p>
    <w:p w14:paraId="6989871E" w14:textId="567E0079" w:rsidR="001D6419" w:rsidRDefault="000F5B51" w:rsidP="001D6419">
      <w:pPr>
        <w:pStyle w:val="Caption"/>
      </w:pPr>
      <w:bookmarkStart w:id="2022" w:name="_Toc517354433"/>
      <w:bookmarkStart w:id="2023" w:name="_Toc103595407"/>
      <w:r>
        <w:lastRenderedPageBreak/>
        <w:t xml:space="preserve">Table </w:t>
      </w:r>
      <w:r w:rsidR="00115BAB">
        <w:fldChar w:fldCharType="begin"/>
      </w:r>
      <w:r>
        <w:instrText xml:space="preserve"> SEQ Table \* ARABIC </w:instrText>
      </w:r>
      <w:r w:rsidR="00115BAB">
        <w:fldChar w:fldCharType="separate"/>
      </w:r>
      <w:r w:rsidR="00A65CB3">
        <w:rPr>
          <w:noProof/>
        </w:rPr>
        <w:t>114</w:t>
      </w:r>
      <w:r w:rsidR="00115BAB">
        <w:rPr>
          <w:noProof/>
        </w:rPr>
        <w:fldChar w:fldCharType="end"/>
      </w:r>
      <w:r w:rsidR="000C11B7">
        <w:rPr>
          <w:noProof/>
        </w:rPr>
        <w:t>:</w:t>
      </w:r>
      <w:r w:rsidR="005702D0">
        <w:rPr>
          <w:noProof/>
        </w:rPr>
        <w:t xml:space="preserve"> </w:t>
      </w:r>
      <w:r>
        <w:rPr>
          <w:noProof/>
        </w:rPr>
        <w:t>Adult Lives Saved in Rollover Crashes without Side Impacts with Weighted Risk of Ejection Method</w:t>
      </w:r>
      <w:bookmarkEnd w:id="2022"/>
      <w:bookmarkEnd w:id="2023"/>
    </w:p>
    <w:tbl>
      <w:tblPr>
        <w:tblStyle w:val="TableGrid"/>
        <w:tblW w:w="0" w:type="auto"/>
        <w:jc w:val="center"/>
        <w:tblLook w:val="04A0" w:firstRow="1" w:lastRow="0" w:firstColumn="1" w:lastColumn="0" w:noHBand="0" w:noVBand="1"/>
      </w:tblPr>
      <w:tblGrid>
        <w:gridCol w:w="2597"/>
        <w:gridCol w:w="1016"/>
        <w:gridCol w:w="1408"/>
        <w:gridCol w:w="1604"/>
        <w:gridCol w:w="1116"/>
      </w:tblGrid>
      <w:tr w:rsidR="00A15C2C" w14:paraId="2739A123" w14:textId="77777777" w:rsidTr="00617167">
        <w:trPr>
          <w:trHeight w:val="280"/>
          <w:jc w:val="center"/>
        </w:trPr>
        <w:tc>
          <w:tcPr>
            <w:tcW w:w="7675" w:type="dxa"/>
            <w:gridSpan w:val="5"/>
            <w:shd w:val="clear" w:color="auto" w:fill="D9D9D9" w:themeFill="background1" w:themeFillShade="D9"/>
            <w:noWrap/>
            <w:hideMark/>
          </w:tcPr>
          <w:p w14:paraId="5C118574" w14:textId="77777777" w:rsidR="001D6419" w:rsidRPr="00617167" w:rsidRDefault="000F5B51" w:rsidP="00D07617">
            <w:pPr>
              <w:spacing w:before="100" w:beforeAutospacing="1" w:after="100" w:afterAutospacing="1" w:line="240" w:lineRule="auto"/>
              <w:contextualSpacing/>
              <w:rPr>
                <w:b/>
                <w:bCs/>
                <w:szCs w:val="24"/>
              </w:rPr>
            </w:pPr>
            <w:r w:rsidRPr="00617167">
              <w:rPr>
                <w:b/>
                <w:bCs/>
                <w:szCs w:val="24"/>
              </w:rPr>
              <w:t>Ref: Table IV-67</w:t>
            </w:r>
          </w:p>
        </w:tc>
      </w:tr>
      <w:tr w:rsidR="00A15C2C" w14:paraId="5A32A64E" w14:textId="77777777" w:rsidTr="00E062DB">
        <w:trPr>
          <w:trHeight w:val="280"/>
          <w:jc w:val="center"/>
        </w:trPr>
        <w:tc>
          <w:tcPr>
            <w:tcW w:w="2597" w:type="dxa"/>
            <w:shd w:val="clear" w:color="auto" w:fill="D9D9D9" w:themeFill="background1" w:themeFillShade="D9"/>
            <w:noWrap/>
            <w:vAlign w:val="center"/>
            <w:hideMark/>
          </w:tcPr>
          <w:p w14:paraId="68E78811" w14:textId="77777777" w:rsidR="001D6419" w:rsidRPr="00617167" w:rsidRDefault="000F5B51" w:rsidP="00E062DB">
            <w:pPr>
              <w:spacing w:before="100" w:beforeAutospacing="1" w:after="100" w:afterAutospacing="1" w:line="240" w:lineRule="auto"/>
              <w:contextualSpacing/>
              <w:rPr>
                <w:b/>
                <w:bCs/>
                <w:szCs w:val="24"/>
              </w:rPr>
            </w:pPr>
            <w:r w:rsidRPr="00617167">
              <w:rPr>
                <w:b/>
                <w:bCs/>
                <w:szCs w:val="24"/>
              </w:rPr>
              <w:t>Occupant</w:t>
            </w:r>
          </w:p>
        </w:tc>
        <w:tc>
          <w:tcPr>
            <w:tcW w:w="950" w:type="dxa"/>
            <w:shd w:val="clear" w:color="auto" w:fill="D9D9D9" w:themeFill="background1" w:themeFillShade="D9"/>
            <w:noWrap/>
            <w:vAlign w:val="center"/>
            <w:hideMark/>
          </w:tcPr>
          <w:p w14:paraId="155BD18A" w14:textId="77777777" w:rsidR="001D6419" w:rsidRPr="00617167" w:rsidRDefault="000F5B51" w:rsidP="00617167">
            <w:pPr>
              <w:spacing w:before="100" w:beforeAutospacing="1" w:after="100" w:afterAutospacing="1" w:line="240" w:lineRule="auto"/>
              <w:contextualSpacing/>
              <w:jc w:val="center"/>
              <w:rPr>
                <w:b/>
                <w:bCs/>
                <w:szCs w:val="24"/>
              </w:rPr>
            </w:pPr>
            <w:r w:rsidRPr="00617167">
              <w:rPr>
                <w:b/>
                <w:bCs/>
                <w:szCs w:val="24"/>
              </w:rPr>
              <w:t>Fatality</w:t>
            </w:r>
          </w:p>
        </w:tc>
        <w:tc>
          <w:tcPr>
            <w:tcW w:w="1408" w:type="dxa"/>
            <w:shd w:val="clear" w:color="auto" w:fill="D9D9D9" w:themeFill="background1" w:themeFillShade="D9"/>
            <w:noWrap/>
            <w:vAlign w:val="center"/>
            <w:hideMark/>
          </w:tcPr>
          <w:p w14:paraId="7E825B0B" w14:textId="77777777" w:rsidR="001D6419" w:rsidRPr="00617167" w:rsidRDefault="000F5B51" w:rsidP="00617167">
            <w:pPr>
              <w:spacing w:before="100" w:beforeAutospacing="1" w:after="100" w:afterAutospacing="1" w:line="240" w:lineRule="auto"/>
              <w:contextualSpacing/>
              <w:jc w:val="center"/>
              <w:rPr>
                <w:b/>
                <w:bCs/>
                <w:szCs w:val="24"/>
              </w:rPr>
            </w:pPr>
            <w:r w:rsidRPr="00617167">
              <w:rPr>
                <w:b/>
                <w:bCs/>
                <w:szCs w:val="24"/>
              </w:rPr>
              <w:t>Adj. fatality</w:t>
            </w:r>
          </w:p>
        </w:tc>
        <w:tc>
          <w:tcPr>
            <w:tcW w:w="1604" w:type="dxa"/>
            <w:shd w:val="clear" w:color="auto" w:fill="D9D9D9" w:themeFill="background1" w:themeFillShade="D9"/>
            <w:noWrap/>
            <w:vAlign w:val="center"/>
            <w:hideMark/>
          </w:tcPr>
          <w:p w14:paraId="69EBB2E0" w14:textId="77777777" w:rsidR="001D6419" w:rsidRPr="00617167" w:rsidRDefault="000F5B51" w:rsidP="00617167">
            <w:pPr>
              <w:spacing w:before="100" w:beforeAutospacing="1" w:after="100" w:afterAutospacing="1" w:line="240" w:lineRule="auto"/>
              <w:contextualSpacing/>
              <w:jc w:val="center"/>
              <w:rPr>
                <w:b/>
                <w:bCs/>
                <w:szCs w:val="24"/>
              </w:rPr>
            </w:pPr>
            <w:r w:rsidRPr="00617167">
              <w:rPr>
                <w:b/>
                <w:bCs/>
                <w:szCs w:val="24"/>
              </w:rPr>
              <w:t>System effectiveness</w:t>
            </w:r>
          </w:p>
        </w:tc>
        <w:tc>
          <w:tcPr>
            <w:tcW w:w="1116" w:type="dxa"/>
            <w:shd w:val="clear" w:color="auto" w:fill="D9D9D9" w:themeFill="background1" w:themeFillShade="D9"/>
            <w:noWrap/>
            <w:vAlign w:val="center"/>
            <w:hideMark/>
          </w:tcPr>
          <w:p w14:paraId="123A1B36" w14:textId="77777777" w:rsidR="001D6419" w:rsidRPr="00617167" w:rsidRDefault="000F5B51" w:rsidP="00617167">
            <w:pPr>
              <w:spacing w:before="100" w:beforeAutospacing="1" w:after="100" w:afterAutospacing="1" w:line="240" w:lineRule="auto"/>
              <w:contextualSpacing/>
              <w:jc w:val="center"/>
              <w:rPr>
                <w:b/>
                <w:bCs/>
                <w:szCs w:val="24"/>
              </w:rPr>
            </w:pPr>
            <w:r w:rsidRPr="00617167">
              <w:rPr>
                <w:b/>
                <w:bCs/>
                <w:szCs w:val="24"/>
              </w:rPr>
              <w:t>Benefits (lives)</w:t>
            </w:r>
          </w:p>
        </w:tc>
      </w:tr>
      <w:tr w:rsidR="00A15C2C" w14:paraId="24A5EDC5" w14:textId="77777777" w:rsidTr="00617167">
        <w:trPr>
          <w:trHeight w:val="280"/>
          <w:jc w:val="center"/>
        </w:trPr>
        <w:tc>
          <w:tcPr>
            <w:tcW w:w="2597" w:type="dxa"/>
            <w:noWrap/>
            <w:hideMark/>
          </w:tcPr>
          <w:p w14:paraId="6422E74F" w14:textId="77777777" w:rsidR="001D6419" w:rsidRPr="00CB5713" w:rsidRDefault="000F5B51" w:rsidP="00D07617">
            <w:pPr>
              <w:spacing w:before="100" w:beforeAutospacing="1" w:after="100" w:afterAutospacing="1" w:line="240" w:lineRule="auto"/>
              <w:contextualSpacing/>
              <w:rPr>
                <w:szCs w:val="24"/>
              </w:rPr>
            </w:pPr>
            <w:r>
              <w:rPr>
                <w:szCs w:val="24"/>
              </w:rPr>
              <w:t>Restrained</w:t>
            </w:r>
            <w:r w:rsidRPr="00CB5713">
              <w:rPr>
                <w:szCs w:val="24"/>
              </w:rPr>
              <w:t xml:space="preserve"> partial</w:t>
            </w:r>
          </w:p>
        </w:tc>
        <w:tc>
          <w:tcPr>
            <w:tcW w:w="950" w:type="dxa"/>
            <w:noWrap/>
            <w:vAlign w:val="center"/>
            <w:hideMark/>
          </w:tcPr>
          <w:p w14:paraId="2A10ADE6" w14:textId="77777777" w:rsidR="001D6419" w:rsidRPr="00CB5713" w:rsidRDefault="000F5B51" w:rsidP="00617167">
            <w:pPr>
              <w:spacing w:before="100" w:beforeAutospacing="1" w:after="100" w:afterAutospacing="1" w:line="240" w:lineRule="auto"/>
              <w:contextualSpacing/>
              <w:jc w:val="center"/>
              <w:rPr>
                <w:szCs w:val="24"/>
              </w:rPr>
            </w:pPr>
            <w:r w:rsidRPr="00CB5713">
              <w:rPr>
                <w:szCs w:val="24"/>
              </w:rPr>
              <w:t>486</w:t>
            </w:r>
          </w:p>
        </w:tc>
        <w:tc>
          <w:tcPr>
            <w:tcW w:w="1408" w:type="dxa"/>
            <w:noWrap/>
            <w:vAlign w:val="center"/>
            <w:hideMark/>
          </w:tcPr>
          <w:p w14:paraId="5CEC0F1E" w14:textId="77777777" w:rsidR="001D6419" w:rsidRPr="00CB5713" w:rsidRDefault="000F5B51" w:rsidP="00617167">
            <w:pPr>
              <w:spacing w:before="100" w:beforeAutospacing="1" w:after="100" w:afterAutospacing="1" w:line="240" w:lineRule="auto"/>
              <w:contextualSpacing/>
              <w:jc w:val="center"/>
              <w:rPr>
                <w:szCs w:val="24"/>
              </w:rPr>
            </w:pPr>
            <w:r w:rsidRPr="00CB5713">
              <w:rPr>
                <w:szCs w:val="24"/>
              </w:rPr>
              <w:t>87</w:t>
            </w:r>
          </w:p>
        </w:tc>
        <w:tc>
          <w:tcPr>
            <w:tcW w:w="1604" w:type="dxa"/>
            <w:vAlign w:val="center"/>
            <w:hideMark/>
          </w:tcPr>
          <w:p w14:paraId="670CE570" w14:textId="77777777" w:rsidR="001D6419" w:rsidRPr="00CB5713" w:rsidRDefault="000F5B51" w:rsidP="00617167">
            <w:pPr>
              <w:spacing w:before="100" w:beforeAutospacing="1" w:after="100" w:afterAutospacing="1" w:line="240" w:lineRule="auto"/>
              <w:contextualSpacing/>
              <w:jc w:val="center"/>
              <w:rPr>
                <w:szCs w:val="24"/>
              </w:rPr>
            </w:pPr>
            <w:r w:rsidRPr="00CB5713">
              <w:rPr>
                <w:szCs w:val="24"/>
              </w:rPr>
              <w:t>55%</w:t>
            </w:r>
          </w:p>
        </w:tc>
        <w:tc>
          <w:tcPr>
            <w:tcW w:w="1116" w:type="dxa"/>
            <w:vAlign w:val="center"/>
            <w:hideMark/>
          </w:tcPr>
          <w:p w14:paraId="74CAD6F8" w14:textId="77777777" w:rsidR="001D6419" w:rsidRPr="00CB5713" w:rsidRDefault="000F5B51" w:rsidP="00617167">
            <w:pPr>
              <w:spacing w:before="100" w:beforeAutospacing="1" w:after="100" w:afterAutospacing="1" w:line="240" w:lineRule="auto"/>
              <w:contextualSpacing/>
              <w:jc w:val="center"/>
              <w:rPr>
                <w:szCs w:val="24"/>
              </w:rPr>
            </w:pPr>
            <w:r w:rsidRPr="00CB5713">
              <w:rPr>
                <w:szCs w:val="24"/>
              </w:rPr>
              <w:t>48</w:t>
            </w:r>
          </w:p>
        </w:tc>
      </w:tr>
      <w:tr w:rsidR="00A15C2C" w14:paraId="652B4304" w14:textId="77777777" w:rsidTr="00617167">
        <w:trPr>
          <w:trHeight w:val="280"/>
          <w:jc w:val="center"/>
        </w:trPr>
        <w:tc>
          <w:tcPr>
            <w:tcW w:w="2597" w:type="dxa"/>
            <w:noWrap/>
            <w:hideMark/>
          </w:tcPr>
          <w:p w14:paraId="0C9F53D8" w14:textId="77777777" w:rsidR="001D6419" w:rsidRPr="00CB5713" w:rsidRDefault="000F5B51" w:rsidP="00D07617">
            <w:pPr>
              <w:spacing w:before="100" w:beforeAutospacing="1" w:after="100" w:afterAutospacing="1" w:line="240" w:lineRule="auto"/>
              <w:contextualSpacing/>
              <w:rPr>
                <w:szCs w:val="24"/>
              </w:rPr>
            </w:pPr>
            <w:r>
              <w:rPr>
                <w:szCs w:val="24"/>
              </w:rPr>
              <w:t>Restrained</w:t>
            </w:r>
            <w:r w:rsidRPr="00CB5713">
              <w:rPr>
                <w:szCs w:val="24"/>
              </w:rPr>
              <w:t xml:space="preserve"> complete </w:t>
            </w:r>
          </w:p>
        </w:tc>
        <w:tc>
          <w:tcPr>
            <w:tcW w:w="950" w:type="dxa"/>
            <w:noWrap/>
            <w:vAlign w:val="center"/>
            <w:hideMark/>
          </w:tcPr>
          <w:p w14:paraId="57603E90" w14:textId="77777777" w:rsidR="001D6419" w:rsidRPr="00CB5713" w:rsidRDefault="000F5B51" w:rsidP="00617167">
            <w:pPr>
              <w:spacing w:before="100" w:beforeAutospacing="1" w:after="100" w:afterAutospacing="1" w:line="240" w:lineRule="auto"/>
              <w:contextualSpacing/>
              <w:jc w:val="center"/>
              <w:rPr>
                <w:szCs w:val="24"/>
              </w:rPr>
            </w:pPr>
            <w:r w:rsidRPr="00CB5713">
              <w:rPr>
                <w:szCs w:val="24"/>
              </w:rPr>
              <w:t>50</w:t>
            </w:r>
          </w:p>
        </w:tc>
        <w:tc>
          <w:tcPr>
            <w:tcW w:w="1408" w:type="dxa"/>
            <w:noWrap/>
            <w:vAlign w:val="center"/>
            <w:hideMark/>
          </w:tcPr>
          <w:p w14:paraId="224D03E3" w14:textId="77777777" w:rsidR="001D6419" w:rsidRPr="00CB5713" w:rsidRDefault="000F5B51" w:rsidP="00617167">
            <w:pPr>
              <w:spacing w:before="100" w:beforeAutospacing="1" w:after="100" w:afterAutospacing="1" w:line="240" w:lineRule="auto"/>
              <w:contextualSpacing/>
              <w:jc w:val="center"/>
              <w:rPr>
                <w:szCs w:val="24"/>
              </w:rPr>
            </w:pPr>
            <w:r w:rsidRPr="00CB5713">
              <w:rPr>
                <w:szCs w:val="24"/>
              </w:rPr>
              <w:t>0</w:t>
            </w:r>
          </w:p>
        </w:tc>
        <w:tc>
          <w:tcPr>
            <w:tcW w:w="1604" w:type="dxa"/>
            <w:vAlign w:val="center"/>
            <w:hideMark/>
          </w:tcPr>
          <w:p w14:paraId="7F9AF2AE" w14:textId="77777777" w:rsidR="001D6419" w:rsidRPr="00CB5713" w:rsidRDefault="000F5B51" w:rsidP="00617167">
            <w:pPr>
              <w:spacing w:before="100" w:beforeAutospacing="1" w:after="100" w:afterAutospacing="1" w:line="240" w:lineRule="auto"/>
              <w:contextualSpacing/>
              <w:jc w:val="center"/>
              <w:rPr>
                <w:szCs w:val="24"/>
              </w:rPr>
            </w:pPr>
            <w:r w:rsidRPr="00CB5713">
              <w:rPr>
                <w:szCs w:val="24"/>
              </w:rPr>
              <w:t>0%</w:t>
            </w:r>
          </w:p>
        </w:tc>
        <w:tc>
          <w:tcPr>
            <w:tcW w:w="1116" w:type="dxa"/>
            <w:vAlign w:val="center"/>
            <w:hideMark/>
          </w:tcPr>
          <w:p w14:paraId="765CE788" w14:textId="77777777" w:rsidR="001D6419" w:rsidRPr="00CB5713" w:rsidRDefault="000F5B51" w:rsidP="00617167">
            <w:pPr>
              <w:spacing w:before="100" w:beforeAutospacing="1" w:after="100" w:afterAutospacing="1" w:line="240" w:lineRule="auto"/>
              <w:contextualSpacing/>
              <w:jc w:val="center"/>
              <w:rPr>
                <w:szCs w:val="24"/>
              </w:rPr>
            </w:pPr>
            <w:r w:rsidRPr="00CB5713">
              <w:rPr>
                <w:szCs w:val="24"/>
              </w:rPr>
              <w:t>0</w:t>
            </w:r>
          </w:p>
        </w:tc>
      </w:tr>
      <w:tr w:rsidR="00A15C2C" w14:paraId="165E729E" w14:textId="77777777" w:rsidTr="00617167">
        <w:trPr>
          <w:trHeight w:val="280"/>
          <w:jc w:val="center"/>
        </w:trPr>
        <w:tc>
          <w:tcPr>
            <w:tcW w:w="2597" w:type="dxa"/>
            <w:noWrap/>
            <w:hideMark/>
          </w:tcPr>
          <w:p w14:paraId="47B6DEF9" w14:textId="77777777" w:rsidR="001D6419" w:rsidRPr="00CB5713" w:rsidRDefault="000F5B51" w:rsidP="00D07617">
            <w:pPr>
              <w:spacing w:before="100" w:beforeAutospacing="1" w:after="100" w:afterAutospacing="1" w:line="240" w:lineRule="auto"/>
              <w:contextualSpacing/>
              <w:rPr>
                <w:szCs w:val="24"/>
              </w:rPr>
            </w:pPr>
            <w:r>
              <w:rPr>
                <w:szCs w:val="24"/>
              </w:rPr>
              <w:t>Unrestrained</w:t>
            </w:r>
            <w:r w:rsidRPr="00CB5713">
              <w:rPr>
                <w:szCs w:val="24"/>
              </w:rPr>
              <w:t xml:space="preserve"> partial</w:t>
            </w:r>
          </w:p>
        </w:tc>
        <w:tc>
          <w:tcPr>
            <w:tcW w:w="950" w:type="dxa"/>
            <w:noWrap/>
            <w:vAlign w:val="center"/>
            <w:hideMark/>
          </w:tcPr>
          <w:p w14:paraId="4D94CD39" w14:textId="77777777" w:rsidR="001D6419" w:rsidRPr="00CB5713" w:rsidRDefault="000F5B51" w:rsidP="00617167">
            <w:pPr>
              <w:spacing w:before="100" w:beforeAutospacing="1" w:after="100" w:afterAutospacing="1" w:line="240" w:lineRule="auto"/>
              <w:contextualSpacing/>
              <w:jc w:val="center"/>
              <w:rPr>
                <w:szCs w:val="24"/>
              </w:rPr>
            </w:pPr>
            <w:r w:rsidRPr="00CB5713">
              <w:rPr>
                <w:szCs w:val="24"/>
              </w:rPr>
              <w:t>603</w:t>
            </w:r>
          </w:p>
        </w:tc>
        <w:tc>
          <w:tcPr>
            <w:tcW w:w="1408" w:type="dxa"/>
            <w:noWrap/>
            <w:vAlign w:val="center"/>
            <w:hideMark/>
          </w:tcPr>
          <w:p w14:paraId="6091EA95" w14:textId="77777777" w:rsidR="001D6419" w:rsidRPr="00CB5713" w:rsidRDefault="000F5B51" w:rsidP="00617167">
            <w:pPr>
              <w:spacing w:before="100" w:beforeAutospacing="1" w:after="100" w:afterAutospacing="1" w:line="240" w:lineRule="auto"/>
              <w:contextualSpacing/>
              <w:jc w:val="center"/>
              <w:rPr>
                <w:szCs w:val="24"/>
              </w:rPr>
            </w:pPr>
            <w:r w:rsidRPr="00CB5713">
              <w:rPr>
                <w:szCs w:val="24"/>
              </w:rPr>
              <w:t>125</w:t>
            </w:r>
          </w:p>
        </w:tc>
        <w:tc>
          <w:tcPr>
            <w:tcW w:w="1604" w:type="dxa"/>
            <w:vAlign w:val="center"/>
            <w:hideMark/>
          </w:tcPr>
          <w:p w14:paraId="58E13F07" w14:textId="77777777" w:rsidR="001D6419" w:rsidRPr="00CB5713" w:rsidRDefault="000F5B51" w:rsidP="00617167">
            <w:pPr>
              <w:spacing w:before="100" w:beforeAutospacing="1" w:after="100" w:afterAutospacing="1" w:line="240" w:lineRule="auto"/>
              <w:contextualSpacing/>
              <w:jc w:val="center"/>
              <w:rPr>
                <w:szCs w:val="24"/>
              </w:rPr>
            </w:pPr>
            <w:r w:rsidRPr="00CB5713">
              <w:rPr>
                <w:szCs w:val="24"/>
              </w:rPr>
              <w:t>50%</w:t>
            </w:r>
          </w:p>
        </w:tc>
        <w:tc>
          <w:tcPr>
            <w:tcW w:w="1116" w:type="dxa"/>
            <w:vAlign w:val="center"/>
            <w:hideMark/>
          </w:tcPr>
          <w:p w14:paraId="543BD4C5" w14:textId="77777777" w:rsidR="001D6419" w:rsidRPr="00CB5713" w:rsidRDefault="000F5B51" w:rsidP="00617167">
            <w:pPr>
              <w:spacing w:before="100" w:beforeAutospacing="1" w:after="100" w:afterAutospacing="1" w:line="240" w:lineRule="auto"/>
              <w:contextualSpacing/>
              <w:jc w:val="center"/>
              <w:rPr>
                <w:szCs w:val="24"/>
              </w:rPr>
            </w:pPr>
            <w:r w:rsidRPr="00CB5713">
              <w:rPr>
                <w:szCs w:val="24"/>
              </w:rPr>
              <w:t>63</w:t>
            </w:r>
          </w:p>
        </w:tc>
      </w:tr>
      <w:tr w:rsidR="00A15C2C" w14:paraId="2A515C93" w14:textId="77777777" w:rsidTr="00617167">
        <w:trPr>
          <w:trHeight w:val="280"/>
          <w:jc w:val="center"/>
        </w:trPr>
        <w:tc>
          <w:tcPr>
            <w:tcW w:w="2597" w:type="dxa"/>
            <w:noWrap/>
            <w:hideMark/>
          </w:tcPr>
          <w:p w14:paraId="405FE433" w14:textId="77777777" w:rsidR="001D6419" w:rsidRPr="00CB5713" w:rsidRDefault="000F5B51" w:rsidP="00D07617">
            <w:pPr>
              <w:spacing w:before="100" w:beforeAutospacing="1" w:after="100" w:afterAutospacing="1" w:line="240" w:lineRule="auto"/>
              <w:contextualSpacing/>
              <w:rPr>
                <w:szCs w:val="24"/>
              </w:rPr>
            </w:pPr>
            <w:r>
              <w:rPr>
                <w:szCs w:val="24"/>
              </w:rPr>
              <w:t>Unrestrained</w:t>
            </w:r>
            <w:r w:rsidRPr="00CB5713">
              <w:rPr>
                <w:szCs w:val="24"/>
              </w:rPr>
              <w:t xml:space="preserve"> complete</w:t>
            </w:r>
          </w:p>
        </w:tc>
        <w:tc>
          <w:tcPr>
            <w:tcW w:w="950" w:type="dxa"/>
            <w:noWrap/>
            <w:vAlign w:val="center"/>
            <w:hideMark/>
          </w:tcPr>
          <w:p w14:paraId="39C25956" w14:textId="77777777" w:rsidR="001D6419" w:rsidRPr="00CB5713" w:rsidRDefault="000F5B51" w:rsidP="00617167">
            <w:pPr>
              <w:spacing w:before="100" w:beforeAutospacing="1" w:after="100" w:afterAutospacing="1" w:line="240" w:lineRule="auto"/>
              <w:contextualSpacing/>
              <w:jc w:val="center"/>
              <w:rPr>
                <w:szCs w:val="24"/>
              </w:rPr>
            </w:pPr>
            <w:r w:rsidRPr="00CB5713">
              <w:rPr>
                <w:szCs w:val="24"/>
              </w:rPr>
              <w:t>2,640</w:t>
            </w:r>
          </w:p>
        </w:tc>
        <w:tc>
          <w:tcPr>
            <w:tcW w:w="1408" w:type="dxa"/>
            <w:noWrap/>
            <w:vAlign w:val="center"/>
            <w:hideMark/>
          </w:tcPr>
          <w:p w14:paraId="6FEA05CA" w14:textId="77777777" w:rsidR="001D6419" w:rsidRPr="00CB5713" w:rsidRDefault="000F5B51" w:rsidP="00617167">
            <w:pPr>
              <w:spacing w:before="100" w:beforeAutospacing="1" w:after="100" w:afterAutospacing="1" w:line="240" w:lineRule="auto"/>
              <w:contextualSpacing/>
              <w:jc w:val="center"/>
              <w:rPr>
                <w:szCs w:val="24"/>
              </w:rPr>
            </w:pPr>
            <w:r w:rsidRPr="00CB5713">
              <w:rPr>
                <w:szCs w:val="24"/>
              </w:rPr>
              <w:t>535</w:t>
            </w:r>
          </w:p>
        </w:tc>
        <w:tc>
          <w:tcPr>
            <w:tcW w:w="1604" w:type="dxa"/>
            <w:vAlign w:val="center"/>
            <w:hideMark/>
          </w:tcPr>
          <w:p w14:paraId="7FED1682" w14:textId="77777777" w:rsidR="001D6419" w:rsidRPr="00CB5713" w:rsidRDefault="000F5B51" w:rsidP="00617167">
            <w:pPr>
              <w:spacing w:before="100" w:beforeAutospacing="1" w:after="100" w:afterAutospacing="1" w:line="240" w:lineRule="auto"/>
              <w:contextualSpacing/>
              <w:jc w:val="center"/>
              <w:rPr>
                <w:szCs w:val="24"/>
              </w:rPr>
            </w:pPr>
            <w:r w:rsidRPr="00CB5713">
              <w:rPr>
                <w:szCs w:val="24"/>
              </w:rPr>
              <w:t>43%</w:t>
            </w:r>
          </w:p>
        </w:tc>
        <w:tc>
          <w:tcPr>
            <w:tcW w:w="1116" w:type="dxa"/>
            <w:vAlign w:val="center"/>
            <w:hideMark/>
          </w:tcPr>
          <w:p w14:paraId="45856A71" w14:textId="77777777" w:rsidR="001D6419" w:rsidRPr="00CB5713" w:rsidRDefault="000F5B51" w:rsidP="00617167">
            <w:pPr>
              <w:spacing w:before="100" w:beforeAutospacing="1" w:after="100" w:afterAutospacing="1" w:line="240" w:lineRule="auto"/>
              <w:contextualSpacing/>
              <w:jc w:val="center"/>
              <w:rPr>
                <w:szCs w:val="24"/>
              </w:rPr>
            </w:pPr>
            <w:r w:rsidRPr="00CB5713">
              <w:rPr>
                <w:szCs w:val="24"/>
              </w:rPr>
              <w:t>228</w:t>
            </w:r>
          </w:p>
        </w:tc>
      </w:tr>
      <w:tr w:rsidR="00A15C2C" w14:paraId="6A31BCF6" w14:textId="77777777" w:rsidTr="00617167">
        <w:trPr>
          <w:trHeight w:val="280"/>
          <w:jc w:val="center"/>
        </w:trPr>
        <w:tc>
          <w:tcPr>
            <w:tcW w:w="2597" w:type="dxa"/>
            <w:tcBorders>
              <w:bottom w:val="single" w:sz="4" w:space="0" w:color="auto"/>
            </w:tcBorders>
            <w:noWrap/>
            <w:hideMark/>
          </w:tcPr>
          <w:p w14:paraId="0E593FFB" w14:textId="77777777" w:rsidR="001D6419" w:rsidRPr="00CB5713" w:rsidRDefault="000F5B51" w:rsidP="00D07617">
            <w:pPr>
              <w:spacing w:before="100" w:beforeAutospacing="1" w:after="100" w:afterAutospacing="1" w:line="240" w:lineRule="auto"/>
              <w:contextualSpacing/>
              <w:jc w:val="right"/>
              <w:rPr>
                <w:szCs w:val="24"/>
              </w:rPr>
            </w:pPr>
            <w:r w:rsidRPr="00CB5713">
              <w:rPr>
                <w:szCs w:val="24"/>
              </w:rPr>
              <w:t>Total</w:t>
            </w:r>
          </w:p>
        </w:tc>
        <w:tc>
          <w:tcPr>
            <w:tcW w:w="950" w:type="dxa"/>
            <w:tcBorders>
              <w:bottom w:val="single" w:sz="4" w:space="0" w:color="auto"/>
            </w:tcBorders>
            <w:noWrap/>
            <w:vAlign w:val="center"/>
            <w:hideMark/>
          </w:tcPr>
          <w:p w14:paraId="10F84C17" w14:textId="77777777" w:rsidR="001D6419" w:rsidRPr="00CB5713" w:rsidRDefault="000F5B51" w:rsidP="00617167">
            <w:pPr>
              <w:spacing w:before="100" w:beforeAutospacing="1" w:after="100" w:afterAutospacing="1" w:line="240" w:lineRule="auto"/>
              <w:contextualSpacing/>
              <w:jc w:val="center"/>
              <w:rPr>
                <w:szCs w:val="24"/>
              </w:rPr>
            </w:pPr>
            <w:r w:rsidRPr="00CB5713">
              <w:rPr>
                <w:szCs w:val="24"/>
              </w:rPr>
              <w:t>3,779</w:t>
            </w:r>
          </w:p>
        </w:tc>
        <w:tc>
          <w:tcPr>
            <w:tcW w:w="1408" w:type="dxa"/>
            <w:tcBorders>
              <w:bottom w:val="single" w:sz="4" w:space="0" w:color="auto"/>
            </w:tcBorders>
            <w:noWrap/>
            <w:vAlign w:val="center"/>
            <w:hideMark/>
          </w:tcPr>
          <w:p w14:paraId="208BC1E9" w14:textId="77777777" w:rsidR="001D6419" w:rsidRPr="00CB5713" w:rsidRDefault="000F5B51" w:rsidP="00617167">
            <w:pPr>
              <w:spacing w:before="100" w:beforeAutospacing="1" w:after="100" w:afterAutospacing="1" w:line="240" w:lineRule="auto"/>
              <w:contextualSpacing/>
              <w:jc w:val="center"/>
              <w:rPr>
                <w:szCs w:val="24"/>
              </w:rPr>
            </w:pPr>
            <w:r w:rsidRPr="00CB5713">
              <w:rPr>
                <w:szCs w:val="24"/>
              </w:rPr>
              <w:t>747</w:t>
            </w:r>
          </w:p>
        </w:tc>
        <w:tc>
          <w:tcPr>
            <w:tcW w:w="1604" w:type="dxa"/>
            <w:vAlign w:val="center"/>
            <w:hideMark/>
          </w:tcPr>
          <w:p w14:paraId="2C9AB9EC" w14:textId="77777777" w:rsidR="001D6419" w:rsidRPr="00CB5713" w:rsidRDefault="000F5B51" w:rsidP="00617167">
            <w:pPr>
              <w:spacing w:before="100" w:beforeAutospacing="1" w:after="100" w:afterAutospacing="1" w:line="240" w:lineRule="auto"/>
              <w:contextualSpacing/>
              <w:jc w:val="center"/>
              <w:rPr>
                <w:szCs w:val="24"/>
              </w:rPr>
            </w:pPr>
            <w:r w:rsidRPr="00CB5713">
              <w:rPr>
                <w:szCs w:val="24"/>
              </w:rPr>
              <w:t>n/a</w:t>
            </w:r>
          </w:p>
        </w:tc>
        <w:tc>
          <w:tcPr>
            <w:tcW w:w="1116" w:type="dxa"/>
            <w:vAlign w:val="center"/>
            <w:hideMark/>
          </w:tcPr>
          <w:p w14:paraId="46DB6801" w14:textId="77777777" w:rsidR="001D6419" w:rsidRPr="00CB5713" w:rsidRDefault="000F5B51" w:rsidP="00617167">
            <w:pPr>
              <w:spacing w:before="100" w:beforeAutospacing="1" w:after="100" w:afterAutospacing="1" w:line="240" w:lineRule="auto"/>
              <w:contextualSpacing/>
              <w:jc w:val="center"/>
              <w:rPr>
                <w:szCs w:val="24"/>
              </w:rPr>
            </w:pPr>
            <w:r w:rsidRPr="00CB5713">
              <w:rPr>
                <w:szCs w:val="24"/>
              </w:rPr>
              <w:t>338</w:t>
            </w:r>
          </w:p>
        </w:tc>
      </w:tr>
      <w:tr w:rsidR="00A15C2C" w14:paraId="17E5492F" w14:textId="77777777" w:rsidTr="00D07617">
        <w:trPr>
          <w:trHeight w:val="280"/>
          <w:jc w:val="center"/>
        </w:trPr>
        <w:tc>
          <w:tcPr>
            <w:tcW w:w="3547" w:type="dxa"/>
            <w:gridSpan w:val="2"/>
            <w:tcBorders>
              <w:right w:val="nil"/>
            </w:tcBorders>
            <w:noWrap/>
            <w:hideMark/>
          </w:tcPr>
          <w:p w14:paraId="112B17F7" w14:textId="77777777" w:rsidR="001D6419" w:rsidRPr="00617167" w:rsidRDefault="000F5B51" w:rsidP="00D07617">
            <w:pPr>
              <w:spacing w:before="100" w:beforeAutospacing="1" w:after="100" w:afterAutospacing="1" w:line="240" w:lineRule="auto"/>
              <w:contextualSpacing/>
              <w:rPr>
                <w:b/>
                <w:bCs/>
                <w:szCs w:val="24"/>
              </w:rPr>
            </w:pPr>
            <w:r w:rsidRPr="00617167">
              <w:rPr>
                <w:b/>
                <w:bCs/>
                <w:szCs w:val="24"/>
              </w:rPr>
              <w:t>Overall Fatal effectiveness</w:t>
            </w:r>
          </w:p>
        </w:tc>
        <w:tc>
          <w:tcPr>
            <w:tcW w:w="1408" w:type="dxa"/>
            <w:tcBorders>
              <w:left w:val="nil"/>
              <w:right w:val="nil"/>
            </w:tcBorders>
            <w:noWrap/>
            <w:hideMark/>
          </w:tcPr>
          <w:p w14:paraId="3D43161A" w14:textId="77777777" w:rsidR="001D6419" w:rsidRPr="00CB5713" w:rsidRDefault="000F5B51" w:rsidP="00D07617">
            <w:pPr>
              <w:spacing w:before="100" w:beforeAutospacing="1" w:after="100" w:afterAutospacing="1" w:line="240" w:lineRule="auto"/>
              <w:contextualSpacing/>
              <w:rPr>
                <w:szCs w:val="24"/>
              </w:rPr>
            </w:pPr>
            <w:r w:rsidRPr="00CB5713">
              <w:rPr>
                <w:szCs w:val="24"/>
              </w:rPr>
              <w:t> </w:t>
            </w:r>
          </w:p>
        </w:tc>
        <w:tc>
          <w:tcPr>
            <w:tcW w:w="1604" w:type="dxa"/>
            <w:tcBorders>
              <w:left w:val="nil"/>
            </w:tcBorders>
            <w:hideMark/>
          </w:tcPr>
          <w:p w14:paraId="51B3C633" w14:textId="77777777" w:rsidR="001D6419" w:rsidRPr="00CB5713" w:rsidRDefault="000F5B51" w:rsidP="00D07617">
            <w:pPr>
              <w:spacing w:before="100" w:beforeAutospacing="1" w:after="100" w:afterAutospacing="1" w:line="240" w:lineRule="auto"/>
              <w:contextualSpacing/>
              <w:rPr>
                <w:szCs w:val="24"/>
              </w:rPr>
            </w:pPr>
            <w:r w:rsidRPr="00CB5713">
              <w:rPr>
                <w:szCs w:val="24"/>
              </w:rPr>
              <w:t> </w:t>
            </w:r>
          </w:p>
        </w:tc>
        <w:tc>
          <w:tcPr>
            <w:tcW w:w="1116" w:type="dxa"/>
            <w:noWrap/>
            <w:hideMark/>
          </w:tcPr>
          <w:p w14:paraId="78C77BCC" w14:textId="77777777" w:rsidR="001D6419" w:rsidRPr="00617167" w:rsidRDefault="000F5B51" w:rsidP="00D07617">
            <w:pPr>
              <w:spacing w:before="100" w:beforeAutospacing="1" w:after="100" w:afterAutospacing="1" w:line="240" w:lineRule="auto"/>
              <w:contextualSpacing/>
              <w:rPr>
                <w:b/>
                <w:bCs/>
                <w:szCs w:val="24"/>
              </w:rPr>
            </w:pPr>
            <w:r w:rsidRPr="00617167">
              <w:rPr>
                <w:b/>
                <w:bCs/>
                <w:szCs w:val="24"/>
              </w:rPr>
              <w:t>0.089442</w:t>
            </w:r>
          </w:p>
        </w:tc>
      </w:tr>
    </w:tbl>
    <w:p w14:paraId="52353E28" w14:textId="77777777" w:rsidR="001D6419" w:rsidRDefault="001D6419" w:rsidP="00D44FAA">
      <w:pPr>
        <w:pStyle w:val="NoSpaceTimes"/>
      </w:pPr>
    </w:p>
    <w:p w14:paraId="5F9E5334" w14:textId="53BA3619" w:rsidR="001D6419" w:rsidRDefault="000F5B51" w:rsidP="001D6419">
      <w:pPr>
        <w:pStyle w:val="Caption"/>
      </w:pPr>
      <w:bookmarkStart w:id="2024" w:name="_Toc517354434"/>
      <w:bookmarkStart w:id="2025" w:name="_Toc103595408"/>
      <w:r>
        <w:t xml:space="preserve">Table </w:t>
      </w:r>
      <w:r w:rsidR="00115BAB">
        <w:fldChar w:fldCharType="begin"/>
      </w:r>
      <w:r>
        <w:instrText xml:space="preserve"> SEQ Table \* ARABIC </w:instrText>
      </w:r>
      <w:r w:rsidR="00115BAB">
        <w:fldChar w:fldCharType="separate"/>
      </w:r>
      <w:r w:rsidR="00A65CB3">
        <w:rPr>
          <w:noProof/>
        </w:rPr>
        <w:t>115</w:t>
      </w:r>
      <w:r w:rsidR="00115BAB">
        <w:rPr>
          <w:noProof/>
        </w:rPr>
        <w:fldChar w:fldCharType="end"/>
      </w:r>
      <w:r w:rsidR="000C11B7">
        <w:rPr>
          <w:noProof/>
        </w:rPr>
        <w:t>:</w:t>
      </w:r>
      <w:r>
        <w:rPr>
          <w:noProof/>
        </w:rPr>
        <w:t xml:space="preserve"> Adult Injuries Prevented in Rollover Crashes without Side Impacts with Weighted Risk of Ejection Method</w:t>
      </w:r>
      <w:bookmarkEnd w:id="2024"/>
      <w:bookmarkEnd w:id="2025"/>
    </w:p>
    <w:tbl>
      <w:tblPr>
        <w:tblStyle w:val="TableGrid"/>
        <w:tblW w:w="0" w:type="auto"/>
        <w:jc w:val="center"/>
        <w:tblLook w:val="04A0" w:firstRow="1" w:lastRow="0" w:firstColumn="1" w:lastColumn="0" w:noHBand="0" w:noVBand="1"/>
      </w:tblPr>
      <w:tblGrid>
        <w:gridCol w:w="2458"/>
        <w:gridCol w:w="1030"/>
        <w:gridCol w:w="1034"/>
        <w:gridCol w:w="1496"/>
        <w:gridCol w:w="1497"/>
      </w:tblGrid>
      <w:tr w:rsidR="00A15C2C" w14:paraId="473E9895" w14:textId="77777777" w:rsidTr="00617167">
        <w:trPr>
          <w:trHeight w:val="280"/>
          <w:jc w:val="center"/>
        </w:trPr>
        <w:tc>
          <w:tcPr>
            <w:tcW w:w="2458" w:type="dxa"/>
            <w:shd w:val="clear" w:color="auto" w:fill="D9D9D9" w:themeFill="background1" w:themeFillShade="D9"/>
            <w:noWrap/>
            <w:vAlign w:val="center"/>
            <w:hideMark/>
          </w:tcPr>
          <w:p w14:paraId="57EAE774" w14:textId="77777777" w:rsidR="001D6419" w:rsidRPr="00617167" w:rsidRDefault="000F5B51">
            <w:pPr>
              <w:spacing w:before="100" w:beforeAutospacing="1" w:after="100" w:afterAutospacing="1" w:line="240" w:lineRule="auto"/>
              <w:contextualSpacing/>
              <w:rPr>
                <w:b/>
                <w:bCs/>
                <w:szCs w:val="24"/>
              </w:rPr>
            </w:pPr>
            <w:r w:rsidRPr="00617167">
              <w:rPr>
                <w:b/>
                <w:bCs/>
                <w:szCs w:val="24"/>
              </w:rPr>
              <w:t>Occupant</w:t>
            </w:r>
          </w:p>
        </w:tc>
        <w:tc>
          <w:tcPr>
            <w:tcW w:w="976" w:type="dxa"/>
            <w:shd w:val="clear" w:color="auto" w:fill="D9D9D9" w:themeFill="background1" w:themeFillShade="D9"/>
            <w:noWrap/>
            <w:vAlign w:val="center"/>
            <w:hideMark/>
          </w:tcPr>
          <w:p w14:paraId="69BE26C1" w14:textId="77777777" w:rsidR="001D6419" w:rsidRPr="00617167" w:rsidRDefault="000F5B51" w:rsidP="00617167">
            <w:pPr>
              <w:spacing w:before="100" w:beforeAutospacing="1" w:after="100" w:afterAutospacing="1" w:line="240" w:lineRule="auto"/>
              <w:contextualSpacing/>
              <w:jc w:val="center"/>
              <w:rPr>
                <w:b/>
                <w:bCs/>
                <w:szCs w:val="24"/>
              </w:rPr>
            </w:pPr>
            <w:r w:rsidRPr="00617167">
              <w:rPr>
                <w:b/>
                <w:bCs/>
                <w:szCs w:val="24"/>
              </w:rPr>
              <w:t>Injuries</w:t>
            </w:r>
          </w:p>
        </w:tc>
        <w:tc>
          <w:tcPr>
            <w:tcW w:w="1034" w:type="dxa"/>
            <w:shd w:val="clear" w:color="auto" w:fill="D9D9D9" w:themeFill="background1" w:themeFillShade="D9"/>
            <w:noWrap/>
            <w:vAlign w:val="center"/>
            <w:hideMark/>
          </w:tcPr>
          <w:p w14:paraId="3EE19D3E" w14:textId="77777777" w:rsidR="001D6419" w:rsidRPr="00617167" w:rsidRDefault="000F5B51" w:rsidP="00617167">
            <w:pPr>
              <w:spacing w:before="100" w:beforeAutospacing="1" w:after="100" w:afterAutospacing="1" w:line="240" w:lineRule="auto"/>
              <w:contextualSpacing/>
              <w:jc w:val="center"/>
              <w:rPr>
                <w:b/>
                <w:bCs/>
                <w:szCs w:val="24"/>
              </w:rPr>
            </w:pPr>
            <w:r w:rsidRPr="00617167">
              <w:rPr>
                <w:b/>
                <w:bCs/>
                <w:szCs w:val="24"/>
              </w:rPr>
              <w:t>Adj. injuries</w:t>
            </w:r>
          </w:p>
        </w:tc>
        <w:tc>
          <w:tcPr>
            <w:tcW w:w="1491" w:type="dxa"/>
            <w:shd w:val="clear" w:color="auto" w:fill="D9D9D9" w:themeFill="background1" w:themeFillShade="D9"/>
            <w:noWrap/>
            <w:vAlign w:val="center"/>
            <w:hideMark/>
          </w:tcPr>
          <w:p w14:paraId="705A3946" w14:textId="77777777" w:rsidR="001D6419" w:rsidRPr="00617167" w:rsidRDefault="000F5B51" w:rsidP="00617167">
            <w:pPr>
              <w:spacing w:before="100" w:beforeAutospacing="1" w:after="100" w:afterAutospacing="1" w:line="240" w:lineRule="auto"/>
              <w:contextualSpacing/>
              <w:jc w:val="center"/>
              <w:rPr>
                <w:b/>
                <w:bCs/>
                <w:szCs w:val="24"/>
              </w:rPr>
            </w:pPr>
            <w:r w:rsidRPr="00617167">
              <w:rPr>
                <w:b/>
                <w:bCs/>
                <w:szCs w:val="24"/>
              </w:rPr>
              <w:t>System effectiveness</w:t>
            </w:r>
          </w:p>
        </w:tc>
        <w:tc>
          <w:tcPr>
            <w:tcW w:w="1497" w:type="dxa"/>
            <w:shd w:val="clear" w:color="auto" w:fill="D9D9D9" w:themeFill="background1" w:themeFillShade="D9"/>
            <w:noWrap/>
            <w:vAlign w:val="center"/>
            <w:hideMark/>
          </w:tcPr>
          <w:p w14:paraId="505425E5" w14:textId="77777777" w:rsidR="001D6419" w:rsidRPr="00617167" w:rsidRDefault="000F5B51" w:rsidP="00617167">
            <w:pPr>
              <w:spacing w:before="100" w:beforeAutospacing="1" w:after="100" w:afterAutospacing="1" w:line="240" w:lineRule="auto"/>
              <w:contextualSpacing/>
              <w:jc w:val="center"/>
              <w:rPr>
                <w:b/>
                <w:bCs/>
                <w:szCs w:val="24"/>
              </w:rPr>
            </w:pPr>
            <w:r w:rsidRPr="00617167">
              <w:rPr>
                <w:b/>
                <w:bCs/>
                <w:szCs w:val="24"/>
              </w:rPr>
              <w:t>Benefits (MAIS 3-5)</w:t>
            </w:r>
          </w:p>
        </w:tc>
      </w:tr>
      <w:tr w:rsidR="00A15C2C" w14:paraId="52243DEC" w14:textId="77777777" w:rsidTr="00617167">
        <w:trPr>
          <w:trHeight w:val="280"/>
          <w:jc w:val="center"/>
        </w:trPr>
        <w:tc>
          <w:tcPr>
            <w:tcW w:w="2458" w:type="dxa"/>
            <w:noWrap/>
            <w:hideMark/>
          </w:tcPr>
          <w:p w14:paraId="47707687" w14:textId="77777777" w:rsidR="001D6419" w:rsidRPr="007D7B4E" w:rsidRDefault="000F5B51" w:rsidP="00D07617">
            <w:pPr>
              <w:spacing w:before="100" w:beforeAutospacing="1" w:after="100" w:afterAutospacing="1" w:line="240" w:lineRule="auto"/>
              <w:contextualSpacing/>
              <w:rPr>
                <w:szCs w:val="24"/>
              </w:rPr>
            </w:pPr>
            <w:r>
              <w:rPr>
                <w:szCs w:val="24"/>
              </w:rPr>
              <w:t>Restrained</w:t>
            </w:r>
            <w:r w:rsidRPr="007D7B4E">
              <w:rPr>
                <w:szCs w:val="24"/>
              </w:rPr>
              <w:t xml:space="preserve"> partial</w:t>
            </w:r>
          </w:p>
        </w:tc>
        <w:tc>
          <w:tcPr>
            <w:tcW w:w="976" w:type="dxa"/>
            <w:noWrap/>
            <w:vAlign w:val="center"/>
            <w:hideMark/>
          </w:tcPr>
          <w:p w14:paraId="407FF02F" w14:textId="77777777" w:rsidR="001D6419" w:rsidRPr="007D7B4E" w:rsidRDefault="000F5B51">
            <w:pPr>
              <w:spacing w:before="100" w:beforeAutospacing="1" w:after="100" w:afterAutospacing="1" w:line="240" w:lineRule="auto"/>
              <w:contextualSpacing/>
              <w:jc w:val="center"/>
              <w:rPr>
                <w:szCs w:val="24"/>
              </w:rPr>
            </w:pPr>
            <w:r w:rsidRPr="007D7B4E">
              <w:rPr>
                <w:szCs w:val="24"/>
              </w:rPr>
              <w:t>1,079</w:t>
            </w:r>
          </w:p>
        </w:tc>
        <w:tc>
          <w:tcPr>
            <w:tcW w:w="1034" w:type="dxa"/>
            <w:noWrap/>
            <w:vAlign w:val="center"/>
            <w:hideMark/>
          </w:tcPr>
          <w:p w14:paraId="072E1E6F" w14:textId="77777777" w:rsidR="001D6419" w:rsidRPr="007D7B4E" w:rsidRDefault="000F5B51">
            <w:pPr>
              <w:spacing w:before="100" w:beforeAutospacing="1" w:after="100" w:afterAutospacing="1" w:line="240" w:lineRule="auto"/>
              <w:contextualSpacing/>
              <w:jc w:val="center"/>
              <w:rPr>
                <w:szCs w:val="24"/>
              </w:rPr>
            </w:pPr>
            <w:r w:rsidRPr="007D7B4E">
              <w:rPr>
                <w:szCs w:val="24"/>
              </w:rPr>
              <w:t>205</w:t>
            </w:r>
          </w:p>
        </w:tc>
        <w:tc>
          <w:tcPr>
            <w:tcW w:w="1491" w:type="dxa"/>
            <w:vAlign w:val="center"/>
            <w:hideMark/>
          </w:tcPr>
          <w:p w14:paraId="0F523642" w14:textId="77777777" w:rsidR="001D6419" w:rsidRPr="007D7B4E" w:rsidRDefault="000F5B51">
            <w:pPr>
              <w:spacing w:before="100" w:beforeAutospacing="1" w:after="100" w:afterAutospacing="1" w:line="240" w:lineRule="auto"/>
              <w:contextualSpacing/>
              <w:jc w:val="center"/>
              <w:rPr>
                <w:szCs w:val="24"/>
              </w:rPr>
            </w:pPr>
            <w:r w:rsidRPr="007D7B4E">
              <w:rPr>
                <w:szCs w:val="24"/>
              </w:rPr>
              <w:t>44%</w:t>
            </w:r>
          </w:p>
        </w:tc>
        <w:tc>
          <w:tcPr>
            <w:tcW w:w="1497" w:type="dxa"/>
            <w:vAlign w:val="center"/>
            <w:hideMark/>
          </w:tcPr>
          <w:p w14:paraId="5FF842B7" w14:textId="77777777" w:rsidR="001D6419" w:rsidRPr="007D7B4E" w:rsidRDefault="000F5B51">
            <w:pPr>
              <w:spacing w:before="100" w:beforeAutospacing="1" w:after="100" w:afterAutospacing="1" w:line="240" w:lineRule="auto"/>
              <w:contextualSpacing/>
              <w:jc w:val="center"/>
              <w:rPr>
                <w:szCs w:val="24"/>
              </w:rPr>
            </w:pPr>
            <w:r w:rsidRPr="007D7B4E">
              <w:rPr>
                <w:szCs w:val="24"/>
              </w:rPr>
              <w:t>90</w:t>
            </w:r>
          </w:p>
        </w:tc>
      </w:tr>
      <w:tr w:rsidR="00A15C2C" w14:paraId="05A1EB51" w14:textId="77777777" w:rsidTr="00617167">
        <w:trPr>
          <w:trHeight w:val="280"/>
          <w:jc w:val="center"/>
        </w:trPr>
        <w:tc>
          <w:tcPr>
            <w:tcW w:w="2458" w:type="dxa"/>
            <w:noWrap/>
            <w:hideMark/>
          </w:tcPr>
          <w:p w14:paraId="53685F99" w14:textId="77777777" w:rsidR="001D6419" w:rsidRPr="007D7B4E" w:rsidRDefault="000F5B51" w:rsidP="00D07617">
            <w:pPr>
              <w:spacing w:before="100" w:beforeAutospacing="1" w:after="100" w:afterAutospacing="1" w:line="240" w:lineRule="auto"/>
              <w:contextualSpacing/>
              <w:rPr>
                <w:szCs w:val="24"/>
              </w:rPr>
            </w:pPr>
            <w:r>
              <w:rPr>
                <w:szCs w:val="24"/>
              </w:rPr>
              <w:t>Restrained</w:t>
            </w:r>
            <w:r w:rsidRPr="007D7B4E">
              <w:rPr>
                <w:szCs w:val="24"/>
              </w:rPr>
              <w:t xml:space="preserve"> complete </w:t>
            </w:r>
          </w:p>
        </w:tc>
        <w:tc>
          <w:tcPr>
            <w:tcW w:w="976" w:type="dxa"/>
            <w:noWrap/>
            <w:vAlign w:val="center"/>
            <w:hideMark/>
          </w:tcPr>
          <w:p w14:paraId="66285AC1" w14:textId="77777777" w:rsidR="001D6419" w:rsidRPr="007D7B4E" w:rsidRDefault="000F5B51">
            <w:pPr>
              <w:spacing w:before="100" w:beforeAutospacing="1" w:after="100" w:afterAutospacing="1" w:line="240" w:lineRule="auto"/>
              <w:contextualSpacing/>
              <w:jc w:val="center"/>
              <w:rPr>
                <w:szCs w:val="24"/>
              </w:rPr>
            </w:pPr>
            <w:r w:rsidRPr="007D7B4E">
              <w:rPr>
                <w:szCs w:val="24"/>
              </w:rPr>
              <w:t>99</w:t>
            </w:r>
          </w:p>
        </w:tc>
        <w:tc>
          <w:tcPr>
            <w:tcW w:w="1034" w:type="dxa"/>
            <w:noWrap/>
            <w:vAlign w:val="center"/>
            <w:hideMark/>
          </w:tcPr>
          <w:p w14:paraId="352E86B7" w14:textId="77777777" w:rsidR="001D6419" w:rsidRPr="007D7B4E" w:rsidRDefault="000F5B51">
            <w:pPr>
              <w:spacing w:before="100" w:beforeAutospacing="1" w:after="100" w:afterAutospacing="1" w:line="240" w:lineRule="auto"/>
              <w:contextualSpacing/>
              <w:jc w:val="center"/>
              <w:rPr>
                <w:szCs w:val="24"/>
              </w:rPr>
            </w:pPr>
            <w:r w:rsidRPr="007D7B4E">
              <w:rPr>
                <w:szCs w:val="24"/>
              </w:rPr>
              <w:t>19</w:t>
            </w:r>
          </w:p>
        </w:tc>
        <w:tc>
          <w:tcPr>
            <w:tcW w:w="1491" w:type="dxa"/>
            <w:vAlign w:val="center"/>
            <w:hideMark/>
          </w:tcPr>
          <w:p w14:paraId="54F2E3D6" w14:textId="77777777" w:rsidR="001D6419" w:rsidRPr="007D7B4E" w:rsidRDefault="000F5B51">
            <w:pPr>
              <w:spacing w:before="100" w:beforeAutospacing="1" w:after="100" w:afterAutospacing="1" w:line="240" w:lineRule="auto"/>
              <w:contextualSpacing/>
              <w:jc w:val="center"/>
              <w:rPr>
                <w:szCs w:val="24"/>
              </w:rPr>
            </w:pPr>
            <w:r w:rsidRPr="007D7B4E">
              <w:rPr>
                <w:szCs w:val="24"/>
              </w:rPr>
              <w:t>0%</w:t>
            </w:r>
          </w:p>
        </w:tc>
        <w:tc>
          <w:tcPr>
            <w:tcW w:w="1497" w:type="dxa"/>
            <w:vAlign w:val="center"/>
            <w:hideMark/>
          </w:tcPr>
          <w:p w14:paraId="051B5BEB" w14:textId="77777777" w:rsidR="001D6419" w:rsidRPr="007D7B4E" w:rsidRDefault="000F5B51">
            <w:pPr>
              <w:spacing w:before="100" w:beforeAutospacing="1" w:after="100" w:afterAutospacing="1" w:line="240" w:lineRule="auto"/>
              <w:contextualSpacing/>
              <w:jc w:val="center"/>
              <w:rPr>
                <w:szCs w:val="24"/>
              </w:rPr>
            </w:pPr>
            <w:r w:rsidRPr="007D7B4E">
              <w:rPr>
                <w:szCs w:val="24"/>
              </w:rPr>
              <w:t>0</w:t>
            </w:r>
          </w:p>
        </w:tc>
      </w:tr>
      <w:tr w:rsidR="00A15C2C" w14:paraId="2434F441" w14:textId="77777777" w:rsidTr="00617167">
        <w:trPr>
          <w:trHeight w:val="280"/>
          <w:jc w:val="center"/>
        </w:trPr>
        <w:tc>
          <w:tcPr>
            <w:tcW w:w="2458" w:type="dxa"/>
            <w:noWrap/>
            <w:hideMark/>
          </w:tcPr>
          <w:p w14:paraId="2FCD2498" w14:textId="77777777" w:rsidR="001D6419" w:rsidRPr="007D7B4E" w:rsidRDefault="000F5B51" w:rsidP="00D07617">
            <w:pPr>
              <w:spacing w:before="100" w:beforeAutospacing="1" w:after="100" w:afterAutospacing="1" w:line="240" w:lineRule="auto"/>
              <w:contextualSpacing/>
              <w:rPr>
                <w:szCs w:val="24"/>
              </w:rPr>
            </w:pPr>
            <w:r>
              <w:rPr>
                <w:szCs w:val="24"/>
              </w:rPr>
              <w:t>Unrestrained</w:t>
            </w:r>
            <w:r w:rsidRPr="007D7B4E">
              <w:rPr>
                <w:szCs w:val="24"/>
              </w:rPr>
              <w:t xml:space="preserve"> partial</w:t>
            </w:r>
          </w:p>
        </w:tc>
        <w:tc>
          <w:tcPr>
            <w:tcW w:w="976" w:type="dxa"/>
            <w:noWrap/>
            <w:vAlign w:val="center"/>
            <w:hideMark/>
          </w:tcPr>
          <w:p w14:paraId="6C01AE76" w14:textId="77777777" w:rsidR="001D6419" w:rsidRPr="007D7B4E" w:rsidRDefault="000F5B51">
            <w:pPr>
              <w:spacing w:before="100" w:beforeAutospacing="1" w:after="100" w:afterAutospacing="1" w:line="240" w:lineRule="auto"/>
              <w:contextualSpacing/>
              <w:jc w:val="center"/>
              <w:rPr>
                <w:szCs w:val="24"/>
              </w:rPr>
            </w:pPr>
            <w:r w:rsidRPr="007D7B4E">
              <w:rPr>
                <w:szCs w:val="24"/>
              </w:rPr>
              <w:t>525</w:t>
            </w:r>
          </w:p>
        </w:tc>
        <w:tc>
          <w:tcPr>
            <w:tcW w:w="1034" w:type="dxa"/>
            <w:noWrap/>
            <w:vAlign w:val="center"/>
            <w:hideMark/>
          </w:tcPr>
          <w:p w14:paraId="178EDD81" w14:textId="77777777" w:rsidR="001D6419" w:rsidRPr="007D7B4E" w:rsidRDefault="000F5B51">
            <w:pPr>
              <w:spacing w:before="100" w:beforeAutospacing="1" w:after="100" w:afterAutospacing="1" w:line="240" w:lineRule="auto"/>
              <w:contextualSpacing/>
              <w:jc w:val="center"/>
              <w:rPr>
                <w:szCs w:val="24"/>
              </w:rPr>
            </w:pPr>
            <w:r w:rsidRPr="007D7B4E">
              <w:rPr>
                <w:szCs w:val="24"/>
              </w:rPr>
              <w:t>115</w:t>
            </w:r>
          </w:p>
        </w:tc>
        <w:tc>
          <w:tcPr>
            <w:tcW w:w="1491" w:type="dxa"/>
            <w:vAlign w:val="center"/>
            <w:hideMark/>
          </w:tcPr>
          <w:p w14:paraId="5ED4626C" w14:textId="77777777" w:rsidR="001D6419" w:rsidRPr="007D7B4E" w:rsidRDefault="000F5B51">
            <w:pPr>
              <w:spacing w:before="100" w:beforeAutospacing="1" w:after="100" w:afterAutospacing="1" w:line="240" w:lineRule="auto"/>
              <w:contextualSpacing/>
              <w:jc w:val="center"/>
              <w:rPr>
                <w:szCs w:val="24"/>
              </w:rPr>
            </w:pPr>
            <w:r w:rsidRPr="007D7B4E">
              <w:rPr>
                <w:szCs w:val="24"/>
              </w:rPr>
              <w:t>40%</w:t>
            </w:r>
          </w:p>
        </w:tc>
        <w:tc>
          <w:tcPr>
            <w:tcW w:w="1497" w:type="dxa"/>
            <w:vAlign w:val="center"/>
            <w:hideMark/>
          </w:tcPr>
          <w:p w14:paraId="14D0AACB" w14:textId="77777777" w:rsidR="001D6419" w:rsidRPr="007D7B4E" w:rsidRDefault="000F5B51">
            <w:pPr>
              <w:spacing w:before="100" w:beforeAutospacing="1" w:after="100" w:afterAutospacing="1" w:line="240" w:lineRule="auto"/>
              <w:contextualSpacing/>
              <w:jc w:val="center"/>
              <w:rPr>
                <w:szCs w:val="24"/>
              </w:rPr>
            </w:pPr>
            <w:r w:rsidRPr="007D7B4E">
              <w:rPr>
                <w:szCs w:val="24"/>
              </w:rPr>
              <w:t>46</w:t>
            </w:r>
          </w:p>
        </w:tc>
      </w:tr>
      <w:tr w:rsidR="00A15C2C" w14:paraId="3931DDEA" w14:textId="77777777" w:rsidTr="00617167">
        <w:trPr>
          <w:trHeight w:val="280"/>
          <w:jc w:val="center"/>
        </w:trPr>
        <w:tc>
          <w:tcPr>
            <w:tcW w:w="2458" w:type="dxa"/>
            <w:noWrap/>
            <w:hideMark/>
          </w:tcPr>
          <w:p w14:paraId="1E8B3888" w14:textId="77777777" w:rsidR="001D6419" w:rsidRPr="007D7B4E" w:rsidRDefault="000F5B51" w:rsidP="00D07617">
            <w:pPr>
              <w:spacing w:before="100" w:beforeAutospacing="1" w:after="100" w:afterAutospacing="1" w:line="240" w:lineRule="auto"/>
              <w:contextualSpacing/>
              <w:rPr>
                <w:szCs w:val="24"/>
              </w:rPr>
            </w:pPr>
            <w:r>
              <w:rPr>
                <w:szCs w:val="24"/>
              </w:rPr>
              <w:t>Unrestrained</w:t>
            </w:r>
            <w:r w:rsidRPr="007D7B4E">
              <w:rPr>
                <w:szCs w:val="24"/>
              </w:rPr>
              <w:t xml:space="preserve"> complete</w:t>
            </w:r>
          </w:p>
        </w:tc>
        <w:tc>
          <w:tcPr>
            <w:tcW w:w="976" w:type="dxa"/>
            <w:noWrap/>
            <w:vAlign w:val="center"/>
            <w:hideMark/>
          </w:tcPr>
          <w:p w14:paraId="5E0487DB" w14:textId="77777777" w:rsidR="001D6419" w:rsidRPr="007D7B4E" w:rsidRDefault="000F5B51">
            <w:pPr>
              <w:spacing w:before="100" w:beforeAutospacing="1" w:after="100" w:afterAutospacing="1" w:line="240" w:lineRule="auto"/>
              <w:contextualSpacing/>
              <w:jc w:val="center"/>
              <w:rPr>
                <w:szCs w:val="24"/>
              </w:rPr>
            </w:pPr>
            <w:r w:rsidRPr="007D7B4E">
              <w:rPr>
                <w:szCs w:val="24"/>
              </w:rPr>
              <w:t>2,217</w:t>
            </w:r>
          </w:p>
        </w:tc>
        <w:tc>
          <w:tcPr>
            <w:tcW w:w="1034" w:type="dxa"/>
            <w:noWrap/>
            <w:vAlign w:val="center"/>
            <w:hideMark/>
          </w:tcPr>
          <w:p w14:paraId="6EDCBD37" w14:textId="77777777" w:rsidR="001D6419" w:rsidRPr="007D7B4E" w:rsidRDefault="000F5B51">
            <w:pPr>
              <w:spacing w:before="100" w:beforeAutospacing="1" w:after="100" w:afterAutospacing="1" w:line="240" w:lineRule="auto"/>
              <w:contextualSpacing/>
              <w:jc w:val="center"/>
              <w:rPr>
                <w:szCs w:val="24"/>
              </w:rPr>
            </w:pPr>
            <w:r w:rsidRPr="007D7B4E">
              <w:rPr>
                <w:szCs w:val="24"/>
              </w:rPr>
              <w:t>477</w:t>
            </w:r>
          </w:p>
        </w:tc>
        <w:tc>
          <w:tcPr>
            <w:tcW w:w="1491" w:type="dxa"/>
            <w:noWrap/>
            <w:vAlign w:val="center"/>
            <w:hideMark/>
          </w:tcPr>
          <w:p w14:paraId="2553CCF6" w14:textId="77777777" w:rsidR="001D6419" w:rsidRPr="007D7B4E" w:rsidRDefault="000F5B51">
            <w:pPr>
              <w:spacing w:before="100" w:beforeAutospacing="1" w:after="100" w:afterAutospacing="1" w:line="240" w:lineRule="auto"/>
              <w:contextualSpacing/>
              <w:jc w:val="center"/>
              <w:rPr>
                <w:szCs w:val="24"/>
              </w:rPr>
            </w:pPr>
            <w:r w:rsidRPr="007D7B4E">
              <w:rPr>
                <w:szCs w:val="24"/>
              </w:rPr>
              <w:t>50%</w:t>
            </w:r>
          </w:p>
        </w:tc>
        <w:tc>
          <w:tcPr>
            <w:tcW w:w="1497" w:type="dxa"/>
            <w:noWrap/>
            <w:vAlign w:val="center"/>
            <w:hideMark/>
          </w:tcPr>
          <w:p w14:paraId="1AEAB516" w14:textId="77777777" w:rsidR="001D6419" w:rsidRPr="007D7B4E" w:rsidRDefault="000F5B51">
            <w:pPr>
              <w:spacing w:before="100" w:beforeAutospacing="1" w:after="100" w:afterAutospacing="1" w:line="240" w:lineRule="auto"/>
              <w:contextualSpacing/>
              <w:jc w:val="center"/>
              <w:rPr>
                <w:szCs w:val="24"/>
              </w:rPr>
            </w:pPr>
            <w:r w:rsidRPr="007D7B4E">
              <w:rPr>
                <w:szCs w:val="24"/>
              </w:rPr>
              <w:t>241</w:t>
            </w:r>
          </w:p>
        </w:tc>
      </w:tr>
      <w:tr w:rsidR="00A15C2C" w14:paraId="3F4350AB" w14:textId="77777777" w:rsidTr="00617167">
        <w:trPr>
          <w:trHeight w:val="290"/>
          <w:jc w:val="center"/>
        </w:trPr>
        <w:tc>
          <w:tcPr>
            <w:tcW w:w="2458" w:type="dxa"/>
            <w:noWrap/>
            <w:hideMark/>
          </w:tcPr>
          <w:p w14:paraId="491B3A71" w14:textId="77777777" w:rsidR="001D6419" w:rsidRPr="007D7B4E" w:rsidRDefault="000F5B51" w:rsidP="00D07617">
            <w:pPr>
              <w:spacing w:before="100" w:beforeAutospacing="1" w:after="100" w:afterAutospacing="1" w:line="240" w:lineRule="auto"/>
              <w:contextualSpacing/>
              <w:rPr>
                <w:szCs w:val="24"/>
              </w:rPr>
            </w:pPr>
            <w:r w:rsidRPr="007D7B4E">
              <w:rPr>
                <w:szCs w:val="24"/>
              </w:rPr>
              <w:t>Total</w:t>
            </w:r>
          </w:p>
        </w:tc>
        <w:tc>
          <w:tcPr>
            <w:tcW w:w="976" w:type="dxa"/>
            <w:noWrap/>
            <w:vAlign w:val="center"/>
            <w:hideMark/>
          </w:tcPr>
          <w:p w14:paraId="349DD220" w14:textId="77777777" w:rsidR="001D6419" w:rsidRPr="007D7B4E" w:rsidRDefault="000F5B51">
            <w:pPr>
              <w:spacing w:before="100" w:beforeAutospacing="1" w:after="100" w:afterAutospacing="1" w:line="240" w:lineRule="auto"/>
              <w:contextualSpacing/>
              <w:jc w:val="center"/>
              <w:rPr>
                <w:szCs w:val="24"/>
              </w:rPr>
            </w:pPr>
            <w:r w:rsidRPr="007D7B4E">
              <w:rPr>
                <w:szCs w:val="24"/>
              </w:rPr>
              <w:t>3,920</w:t>
            </w:r>
          </w:p>
        </w:tc>
        <w:tc>
          <w:tcPr>
            <w:tcW w:w="1034" w:type="dxa"/>
            <w:noWrap/>
            <w:vAlign w:val="center"/>
            <w:hideMark/>
          </w:tcPr>
          <w:p w14:paraId="2592DDA2" w14:textId="77777777" w:rsidR="001D6419" w:rsidRPr="007D7B4E" w:rsidRDefault="000F5B51">
            <w:pPr>
              <w:spacing w:before="100" w:beforeAutospacing="1" w:after="100" w:afterAutospacing="1" w:line="240" w:lineRule="auto"/>
              <w:contextualSpacing/>
              <w:jc w:val="center"/>
              <w:rPr>
                <w:szCs w:val="24"/>
              </w:rPr>
            </w:pPr>
            <w:r w:rsidRPr="007D7B4E">
              <w:rPr>
                <w:szCs w:val="24"/>
              </w:rPr>
              <w:t>816</w:t>
            </w:r>
          </w:p>
        </w:tc>
        <w:tc>
          <w:tcPr>
            <w:tcW w:w="1491" w:type="dxa"/>
            <w:noWrap/>
            <w:vAlign w:val="center"/>
            <w:hideMark/>
          </w:tcPr>
          <w:p w14:paraId="0E4D58AF" w14:textId="77777777" w:rsidR="001D6419" w:rsidRPr="007D7B4E" w:rsidRDefault="000F5B51">
            <w:pPr>
              <w:spacing w:before="100" w:beforeAutospacing="1" w:after="100" w:afterAutospacing="1" w:line="240" w:lineRule="auto"/>
              <w:contextualSpacing/>
              <w:jc w:val="center"/>
              <w:rPr>
                <w:szCs w:val="24"/>
              </w:rPr>
            </w:pPr>
            <w:r w:rsidRPr="007D7B4E">
              <w:rPr>
                <w:szCs w:val="24"/>
              </w:rPr>
              <w:t>n/a</w:t>
            </w:r>
          </w:p>
        </w:tc>
        <w:tc>
          <w:tcPr>
            <w:tcW w:w="1497" w:type="dxa"/>
            <w:noWrap/>
            <w:vAlign w:val="center"/>
            <w:hideMark/>
          </w:tcPr>
          <w:p w14:paraId="484FFA54" w14:textId="77777777" w:rsidR="001D6419" w:rsidRPr="007D7B4E" w:rsidRDefault="000F5B51">
            <w:pPr>
              <w:spacing w:before="100" w:beforeAutospacing="1" w:after="100" w:afterAutospacing="1" w:line="240" w:lineRule="auto"/>
              <w:contextualSpacing/>
              <w:jc w:val="center"/>
              <w:rPr>
                <w:szCs w:val="24"/>
              </w:rPr>
            </w:pPr>
            <w:r w:rsidRPr="007D7B4E">
              <w:rPr>
                <w:szCs w:val="24"/>
              </w:rPr>
              <w:t>377</w:t>
            </w:r>
          </w:p>
        </w:tc>
      </w:tr>
      <w:tr w:rsidR="00A15C2C" w14:paraId="0C812262" w14:textId="77777777" w:rsidTr="00617167">
        <w:trPr>
          <w:trHeight w:val="250"/>
          <w:jc w:val="center"/>
        </w:trPr>
        <w:tc>
          <w:tcPr>
            <w:tcW w:w="3434" w:type="dxa"/>
            <w:gridSpan w:val="2"/>
            <w:tcBorders>
              <w:right w:val="nil"/>
            </w:tcBorders>
          </w:tcPr>
          <w:p w14:paraId="147A7608" w14:textId="77777777" w:rsidR="001D6419" w:rsidRPr="00617167" w:rsidRDefault="000F5B51" w:rsidP="00D07617">
            <w:pPr>
              <w:spacing w:before="100" w:beforeAutospacing="1" w:after="100" w:afterAutospacing="1" w:line="240" w:lineRule="auto"/>
              <w:contextualSpacing/>
              <w:rPr>
                <w:b/>
                <w:bCs/>
                <w:szCs w:val="24"/>
              </w:rPr>
            </w:pPr>
            <w:r w:rsidRPr="00617167">
              <w:rPr>
                <w:b/>
                <w:bCs/>
                <w:szCs w:val="24"/>
              </w:rPr>
              <w:t>Serious Injury effectiveness</w:t>
            </w:r>
          </w:p>
        </w:tc>
        <w:tc>
          <w:tcPr>
            <w:tcW w:w="1034" w:type="dxa"/>
            <w:tcBorders>
              <w:left w:val="nil"/>
              <w:right w:val="nil"/>
            </w:tcBorders>
            <w:noWrap/>
            <w:hideMark/>
          </w:tcPr>
          <w:p w14:paraId="390ED671" w14:textId="77777777" w:rsidR="001D6419" w:rsidRPr="00617167" w:rsidRDefault="000F5B51" w:rsidP="00D07617">
            <w:pPr>
              <w:spacing w:before="100" w:beforeAutospacing="1" w:after="100" w:afterAutospacing="1" w:line="240" w:lineRule="auto"/>
              <w:contextualSpacing/>
              <w:rPr>
                <w:b/>
                <w:bCs/>
                <w:szCs w:val="24"/>
              </w:rPr>
            </w:pPr>
            <w:r w:rsidRPr="00617167">
              <w:rPr>
                <w:b/>
                <w:bCs/>
                <w:szCs w:val="24"/>
              </w:rPr>
              <w:t> </w:t>
            </w:r>
          </w:p>
        </w:tc>
        <w:tc>
          <w:tcPr>
            <w:tcW w:w="1491" w:type="dxa"/>
            <w:tcBorders>
              <w:left w:val="nil"/>
            </w:tcBorders>
            <w:noWrap/>
            <w:hideMark/>
          </w:tcPr>
          <w:p w14:paraId="0945761C" w14:textId="77777777" w:rsidR="001D6419" w:rsidRPr="00617167" w:rsidRDefault="000F5B51" w:rsidP="00D07617">
            <w:pPr>
              <w:spacing w:before="100" w:beforeAutospacing="1" w:after="100" w:afterAutospacing="1" w:line="240" w:lineRule="auto"/>
              <w:contextualSpacing/>
              <w:rPr>
                <w:b/>
                <w:bCs/>
                <w:szCs w:val="24"/>
              </w:rPr>
            </w:pPr>
            <w:r w:rsidRPr="00617167">
              <w:rPr>
                <w:b/>
                <w:bCs/>
                <w:szCs w:val="24"/>
              </w:rPr>
              <w:t> </w:t>
            </w:r>
          </w:p>
        </w:tc>
        <w:tc>
          <w:tcPr>
            <w:tcW w:w="1497" w:type="dxa"/>
            <w:noWrap/>
            <w:vAlign w:val="center"/>
            <w:hideMark/>
          </w:tcPr>
          <w:p w14:paraId="48D0C778" w14:textId="77777777" w:rsidR="001D6419" w:rsidRPr="00617167" w:rsidRDefault="000F5B51" w:rsidP="00617167">
            <w:pPr>
              <w:spacing w:before="100" w:beforeAutospacing="1" w:after="100" w:afterAutospacing="1" w:line="240" w:lineRule="auto"/>
              <w:contextualSpacing/>
              <w:jc w:val="center"/>
              <w:rPr>
                <w:b/>
                <w:bCs/>
                <w:szCs w:val="24"/>
              </w:rPr>
            </w:pPr>
            <w:r w:rsidRPr="00617167">
              <w:rPr>
                <w:b/>
                <w:bCs/>
                <w:szCs w:val="24"/>
              </w:rPr>
              <w:t>0.096173</w:t>
            </w:r>
          </w:p>
        </w:tc>
      </w:tr>
    </w:tbl>
    <w:p w14:paraId="5110D0A2" w14:textId="77777777" w:rsidR="001D6419" w:rsidRPr="00617167" w:rsidRDefault="000F5B51" w:rsidP="00617167">
      <w:pPr>
        <w:spacing w:before="100" w:beforeAutospacing="1" w:after="100" w:afterAutospacing="1" w:line="240" w:lineRule="auto"/>
        <w:ind w:firstLine="720"/>
        <w:contextualSpacing/>
        <w:rPr>
          <w:rFonts w:cs="Times New Roman"/>
          <w:sz w:val="18"/>
          <w:szCs w:val="16"/>
        </w:rPr>
      </w:pPr>
      <w:r>
        <w:rPr>
          <w:rFonts w:cs="Times New Roman"/>
          <w:sz w:val="18"/>
          <w:szCs w:val="16"/>
        </w:rPr>
        <w:t xml:space="preserve">   </w:t>
      </w:r>
      <w:r w:rsidRPr="00617167">
        <w:rPr>
          <w:rFonts w:cs="Times New Roman"/>
          <w:sz w:val="18"/>
          <w:szCs w:val="16"/>
        </w:rPr>
        <w:t xml:space="preserve">Note: </w:t>
      </w:r>
      <w:r w:rsidR="000C11B7" w:rsidRPr="00617167">
        <w:rPr>
          <w:rFonts w:cs="Times New Roman"/>
          <w:sz w:val="18"/>
          <w:szCs w:val="16"/>
        </w:rPr>
        <w:t>Values may n</w:t>
      </w:r>
      <w:r w:rsidRPr="00617167">
        <w:rPr>
          <w:rFonts w:cs="Times New Roman"/>
          <w:sz w:val="18"/>
          <w:szCs w:val="16"/>
        </w:rPr>
        <w:t>ot sum due to rounding</w:t>
      </w:r>
    </w:p>
    <w:p w14:paraId="0D20B830" w14:textId="77777777" w:rsidR="001D6419" w:rsidRPr="00617167" w:rsidRDefault="001D6419" w:rsidP="001D6419">
      <w:pPr>
        <w:spacing w:before="100" w:beforeAutospacing="1" w:after="100" w:afterAutospacing="1" w:line="240" w:lineRule="auto"/>
        <w:contextualSpacing/>
        <w:rPr>
          <w:rFonts w:cs="Times New Roman"/>
          <w:sz w:val="18"/>
          <w:szCs w:val="16"/>
        </w:rPr>
      </w:pPr>
    </w:p>
    <w:p w14:paraId="3B46BB0A" w14:textId="77777777" w:rsidR="001D6419" w:rsidRPr="00C86653" w:rsidRDefault="000F5B51" w:rsidP="00617167">
      <w:r w:rsidRPr="00C86653">
        <w:t>Furthermore, we derived the overall fatal and non-fatal combined curtain air bag effectiveness based on the individual effectiveness values and the number of fatal and non-fatal injuries in the target population</w:t>
      </w:r>
      <w:r w:rsidR="001F2F92">
        <w:t xml:space="preserve">. </w:t>
      </w:r>
      <w:r>
        <w:t>The target population (used in the FMVSS No. 226 FRIA) shows that 49% (0.49084) are fatal injuries and 52</w:t>
      </w:r>
      <w:r w:rsidR="005702D0">
        <w:t xml:space="preserve"> percent</w:t>
      </w:r>
      <w:r>
        <w:t xml:space="preserve"> (0.50916) are serious injuries when only fatal and serious injuries are considered</w:t>
      </w:r>
      <w:r w:rsidR="001F2F92">
        <w:t xml:space="preserve">. </w:t>
      </w:r>
      <w:r>
        <w:t>Accordingly, t</w:t>
      </w:r>
      <w:r w:rsidRPr="00C86653">
        <w:t>he weighted effectiveness was calculated to be 9.3% (0.092869)</w:t>
      </w:r>
      <w:r w:rsidR="001F2F92">
        <w:t xml:space="preserve">. </w:t>
      </w:r>
      <w:r>
        <w:t>For the analysis, we used the weighted effectiveness as a proxy for the overall effectiveness</w:t>
      </w:r>
      <w:r w:rsidR="001F2F92">
        <w:t xml:space="preserve">. </w:t>
      </w:r>
      <w:r w:rsidRPr="00C86653">
        <w:t xml:space="preserve">  </w:t>
      </w:r>
    </w:p>
    <w:p w14:paraId="238251EA" w14:textId="566AA1F1" w:rsidR="001D6419" w:rsidRPr="00C86653" w:rsidRDefault="000F5B51" w:rsidP="001D6419">
      <w:pPr>
        <w:pStyle w:val="Caption"/>
      </w:pPr>
      <w:bookmarkStart w:id="2026" w:name="_Toc517354435"/>
      <w:bookmarkStart w:id="2027" w:name="_Toc103595409"/>
      <w:r w:rsidRPr="00C86653">
        <w:t xml:space="preserve">Table </w:t>
      </w:r>
      <w:r w:rsidR="00115BAB">
        <w:fldChar w:fldCharType="begin"/>
      </w:r>
      <w:r>
        <w:instrText xml:space="preserve"> SEQ Table \* ARABIC </w:instrText>
      </w:r>
      <w:r w:rsidR="00115BAB">
        <w:fldChar w:fldCharType="separate"/>
      </w:r>
      <w:r w:rsidR="00A65CB3">
        <w:rPr>
          <w:noProof/>
        </w:rPr>
        <w:t>116</w:t>
      </w:r>
      <w:r w:rsidR="00115BAB">
        <w:rPr>
          <w:noProof/>
        </w:rPr>
        <w:fldChar w:fldCharType="end"/>
      </w:r>
      <w:r w:rsidR="005702D0">
        <w:t>:</w:t>
      </w:r>
      <w:r>
        <w:rPr>
          <w:noProof/>
        </w:rPr>
        <w:t xml:space="preserve"> Weighted FMVSS No. 226 air bag effectiveness</w:t>
      </w:r>
      <w:bookmarkEnd w:id="2026"/>
      <w:bookmarkEnd w:id="2027"/>
    </w:p>
    <w:tbl>
      <w:tblPr>
        <w:tblStyle w:val="TableGrid"/>
        <w:tblW w:w="0" w:type="auto"/>
        <w:tblLook w:val="04A0" w:firstRow="1" w:lastRow="0" w:firstColumn="1" w:lastColumn="0" w:noHBand="0" w:noVBand="1"/>
      </w:tblPr>
      <w:tblGrid>
        <w:gridCol w:w="1841"/>
        <w:gridCol w:w="985"/>
        <w:gridCol w:w="1941"/>
        <w:gridCol w:w="2720"/>
        <w:gridCol w:w="1863"/>
      </w:tblGrid>
      <w:tr w:rsidR="00A15C2C" w14:paraId="2581FF87" w14:textId="77777777" w:rsidTr="00617167">
        <w:trPr>
          <w:trHeight w:val="250"/>
        </w:trPr>
        <w:tc>
          <w:tcPr>
            <w:tcW w:w="1886" w:type="dxa"/>
            <w:shd w:val="clear" w:color="auto" w:fill="D9D9D9" w:themeFill="background1" w:themeFillShade="D9"/>
            <w:noWrap/>
            <w:vAlign w:val="center"/>
          </w:tcPr>
          <w:p w14:paraId="598D4B55" w14:textId="77777777" w:rsidR="001D6419" w:rsidRPr="00617167" w:rsidRDefault="000F5B51">
            <w:pPr>
              <w:spacing w:before="100" w:beforeAutospacing="1" w:after="100" w:afterAutospacing="1" w:line="240" w:lineRule="auto"/>
              <w:contextualSpacing/>
              <w:rPr>
                <w:b/>
                <w:bCs/>
                <w:szCs w:val="24"/>
              </w:rPr>
            </w:pPr>
            <w:r w:rsidRPr="00617167">
              <w:rPr>
                <w:b/>
                <w:bCs/>
                <w:szCs w:val="24"/>
              </w:rPr>
              <w:t>Injury</w:t>
            </w:r>
          </w:p>
        </w:tc>
        <w:tc>
          <w:tcPr>
            <w:tcW w:w="1006" w:type="dxa"/>
            <w:shd w:val="clear" w:color="auto" w:fill="D9D9D9" w:themeFill="background1" w:themeFillShade="D9"/>
            <w:noWrap/>
            <w:vAlign w:val="center"/>
          </w:tcPr>
          <w:p w14:paraId="1C8FE71B" w14:textId="77777777" w:rsidR="001D6419" w:rsidRPr="00617167" w:rsidRDefault="000F5B51" w:rsidP="00617167">
            <w:pPr>
              <w:spacing w:before="100" w:beforeAutospacing="1" w:after="100" w:afterAutospacing="1" w:line="240" w:lineRule="auto"/>
              <w:contextualSpacing/>
              <w:jc w:val="center"/>
              <w:rPr>
                <w:b/>
                <w:bCs/>
                <w:szCs w:val="24"/>
              </w:rPr>
            </w:pPr>
            <w:r w:rsidRPr="00617167">
              <w:rPr>
                <w:b/>
                <w:bCs/>
                <w:szCs w:val="24"/>
              </w:rPr>
              <w:t>No. of</w:t>
            </w:r>
          </w:p>
        </w:tc>
        <w:tc>
          <w:tcPr>
            <w:tcW w:w="1988" w:type="dxa"/>
            <w:shd w:val="clear" w:color="auto" w:fill="D9D9D9" w:themeFill="background1" w:themeFillShade="D9"/>
            <w:noWrap/>
            <w:vAlign w:val="center"/>
          </w:tcPr>
          <w:p w14:paraId="57A1A783" w14:textId="77777777" w:rsidR="001D6419" w:rsidRPr="00617167" w:rsidRDefault="000F5B51" w:rsidP="00617167">
            <w:pPr>
              <w:spacing w:before="100" w:beforeAutospacing="1" w:after="100" w:afterAutospacing="1" w:line="240" w:lineRule="auto"/>
              <w:contextualSpacing/>
              <w:jc w:val="center"/>
              <w:rPr>
                <w:b/>
                <w:bCs/>
                <w:szCs w:val="24"/>
              </w:rPr>
            </w:pPr>
            <w:r w:rsidRPr="00617167">
              <w:rPr>
                <w:b/>
                <w:bCs/>
                <w:szCs w:val="24"/>
              </w:rPr>
              <w:t>% of</w:t>
            </w:r>
          </w:p>
        </w:tc>
        <w:tc>
          <w:tcPr>
            <w:tcW w:w="2788" w:type="dxa"/>
            <w:shd w:val="clear" w:color="auto" w:fill="D9D9D9" w:themeFill="background1" w:themeFillShade="D9"/>
            <w:noWrap/>
            <w:vAlign w:val="center"/>
          </w:tcPr>
          <w:p w14:paraId="6FA428F9" w14:textId="77777777" w:rsidR="001D6419" w:rsidRPr="00617167" w:rsidRDefault="000F5B51" w:rsidP="00617167">
            <w:pPr>
              <w:spacing w:before="100" w:beforeAutospacing="1" w:after="100" w:afterAutospacing="1" w:line="240" w:lineRule="auto"/>
              <w:contextualSpacing/>
              <w:jc w:val="center"/>
              <w:rPr>
                <w:b/>
                <w:bCs/>
                <w:szCs w:val="24"/>
              </w:rPr>
            </w:pPr>
            <w:r w:rsidRPr="00617167">
              <w:rPr>
                <w:b/>
                <w:bCs/>
                <w:szCs w:val="24"/>
              </w:rPr>
              <w:t>Effectiveness</w:t>
            </w:r>
          </w:p>
        </w:tc>
        <w:tc>
          <w:tcPr>
            <w:tcW w:w="1908" w:type="dxa"/>
            <w:shd w:val="clear" w:color="auto" w:fill="D9D9D9" w:themeFill="background1" w:themeFillShade="D9"/>
            <w:noWrap/>
            <w:vAlign w:val="center"/>
          </w:tcPr>
          <w:p w14:paraId="07C4D73D" w14:textId="77777777" w:rsidR="001D6419" w:rsidRPr="00617167" w:rsidRDefault="000F5B51" w:rsidP="00617167">
            <w:pPr>
              <w:spacing w:before="100" w:beforeAutospacing="1" w:after="100" w:afterAutospacing="1" w:line="240" w:lineRule="auto"/>
              <w:contextualSpacing/>
              <w:jc w:val="center"/>
              <w:rPr>
                <w:b/>
                <w:bCs/>
                <w:szCs w:val="24"/>
              </w:rPr>
            </w:pPr>
            <w:r w:rsidRPr="00617167">
              <w:rPr>
                <w:b/>
                <w:bCs/>
                <w:szCs w:val="24"/>
              </w:rPr>
              <w:t>% x Effectiveness</w:t>
            </w:r>
          </w:p>
        </w:tc>
      </w:tr>
      <w:tr w:rsidR="00A15C2C" w14:paraId="0F4B249B" w14:textId="77777777" w:rsidTr="00617167">
        <w:trPr>
          <w:trHeight w:val="250"/>
        </w:trPr>
        <w:tc>
          <w:tcPr>
            <w:tcW w:w="1886" w:type="dxa"/>
            <w:noWrap/>
            <w:vAlign w:val="center"/>
            <w:hideMark/>
          </w:tcPr>
          <w:p w14:paraId="073492A5" w14:textId="77777777" w:rsidR="001D6419" w:rsidRPr="004312CD" w:rsidRDefault="000F5B51">
            <w:pPr>
              <w:spacing w:before="100" w:beforeAutospacing="1" w:after="100" w:afterAutospacing="1" w:line="240" w:lineRule="auto"/>
              <w:contextualSpacing/>
              <w:rPr>
                <w:szCs w:val="24"/>
              </w:rPr>
            </w:pPr>
            <w:r w:rsidRPr="004312CD">
              <w:rPr>
                <w:szCs w:val="24"/>
              </w:rPr>
              <w:t>Fatal</w:t>
            </w:r>
            <w:r>
              <w:rPr>
                <w:szCs w:val="24"/>
              </w:rPr>
              <w:t xml:space="preserve"> injuries</w:t>
            </w:r>
          </w:p>
        </w:tc>
        <w:tc>
          <w:tcPr>
            <w:tcW w:w="1006" w:type="dxa"/>
            <w:noWrap/>
            <w:vAlign w:val="center"/>
            <w:hideMark/>
          </w:tcPr>
          <w:p w14:paraId="06EA8B0D" w14:textId="77777777" w:rsidR="001D6419" w:rsidRPr="004312CD" w:rsidRDefault="000F5B51" w:rsidP="00617167">
            <w:pPr>
              <w:spacing w:before="100" w:beforeAutospacing="1" w:after="100" w:afterAutospacing="1" w:line="240" w:lineRule="auto"/>
              <w:contextualSpacing/>
              <w:jc w:val="center"/>
              <w:rPr>
                <w:szCs w:val="24"/>
              </w:rPr>
            </w:pPr>
            <w:r w:rsidRPr="004312CD">
              <w:rPr>
                <w:szCs w:val="24"/>
              </w:rPr>
              <w:t>3,779</w:t>
            </w:r>
          </w:p>
        </w:tc>
        <w:tc>
          <w:tcPr>
            <w:tcW w:w="1988" w:type="dxa"/>
            <w:noWrap/>
            <w:vAlign w:val="center"/>
            <w:hideMark/>
          </w:tcPr>
          <w:p w14:paraId="6EE533A8" w14:textId="77777777" w:rsidR="001D6419" w:rsidRPr="004312CD" w:rsidRDefault="000F5B51" w:rsidP="00617167">
            <w:pPr>
              <w:spacing w:before="100" w:beforeAutospacing="1" w:after="100" w:afterAutospacing="1" w:line="240" w:lineRule="auto"/>
              <w:contextualSpacing/>
              <w:jc w:val="center"/>
              <w:rPr>
                <w:szCs w:val="24"/>
              </w:rPr>
            </w:pPr>
            <w:r>
              <w:rPr>
                <w:szCs w:val="24"/>
              </w:rPr>
              <w:t>49% (</w:t>
            </w:r>
            <w:r w:rsidRPr="004312CD">
              <w:rPr>
                <w:szCs w:val="24"/>
              </w:rPr>
              <w:t>0.490843</w:t>
            </w:r>
            <w:r>
              <w:rPr>
                <w:szCs w:val="24"/>
              </w:rPr>
              <w:t>)</w:t>
            </w:r>
          </w:p>
        </w:tc>
        <w:tc>
          <w:tcPr>
            <w:tcW w:w="2788" w:type="dxa"/>
            <w:noWrap/>
            <w:vAlign w:val="center"/>
            <w:hideMark/>
          </w:tcPr>
          <w:p w14:paraId="69FBAE3D" w14:textId="77777777" w:rsidR="001D6419" w:rsidRPr="004312CD" w:rsidRDefault="000F5B51" w:rsidP="00617167">
            <w:pPr>
              <w:spacing w:before="100" w:beforeAutospacing="1" w:after="100" w:afterAutospacing="1" w:line="240" w:lineRule="auto"/>
              <w:contextualSpacing/>
              <w:jc w:val="center"/>
              <w:rPr>
                <w:szCs w:val="24"/>
              </w:rPr>
            </w:pPr>
            <w:r>
              <w:rPr>
                <w:szCs w:val="24"/>
              </w:rPr>
              <w:t>8.9% (</w:t>
            </w:r>
            <w:r w:rsidRPr="004312CD">
              <w:rPr>
                <w:szCs w:val="24"/>
              </w:rPr>
              <w:t>0.08944</w:t>
            </w:r>
            <w:r>
              <w:rPr>
                <w:szCs w:val="24"/>
              </w:rPr>
              <w:t>2)</w:t>
            </w:r>
          </w:p>
        </w:tc>
        <w:tc>
          <w:tcPr>
            <w:tcW w:w="1908" w:type="dxa"/>
            <w:noWrap/>
            <w:vAlign w:val="center"/>
            <w:hideMark/>
          </w:tcPr>
          <w:p w14:paraId="77583DE3" w14:textId="77777777" w:rsidR="001D6419" w:rsidRPr="004312CD" w:rsidRDefault="000F5B51" w:rsidP="00617167">
            <w:pPr>
              <w:spacing w:before="100" w:beforeAutospacing="1" w:after="100" w:afterAutospacing="1" w:line="240" w:lineRule="auto"/>
              <w:contextualSpacing/>
              <w:jc w:val="center"/>
              <w:rPr>
                <w:szCs w:val="24"/>
              </w:rPr>
            </w:pPr>
            <w:r w:rsidRPr="004312CD">
              <w:rPr>
                <w:szCs w:val="24"/>
              </w:rPr>
              <w:t>0.043902</w:t>
            </w:r>
          </w:p>
        </w:tc>
      </w:tr>
      <w:tr w:rsidR="00A15C2C" w14:paraId="211A2112" w14:textId="77777777" w:rsidTr="00617167">
        <w:trPr>
          <w:trHeight w:val="250"/>
        </w:trPr>
        <w:tc>
          <w:tcPr>
            <w:tcW w:w="1886" w:type="dxa"/>
            <w:tcBorders>
              <w:bottom w:val="single" w:sz="4" w:space="0" w:color="auto"/>
            </w:tcBorders>
            <w:noWrap/>
            <w:vAlign w:val="center"/>
            <w:hideMark/>
          </w:tcPr>
          <w:p w14:paraId="50C7FA97" w14:textId="77777777" w:rsidR="001D6419" w:rsidRPr="004312CD" w:rsidRDefault="000F5B51">
            <w:pPr>
              <w:spacing w:before="100" w:beforeAutospacing="1" w:after="100" w:afterAutospacing="1" w:line="240" w:lineRule="auto"/>
              <w:contextualSpacing/>
              <w:rPr>
                <w:szCs w:val="24"/>
              </w:rPr>
            </w:pPr>
            <w:r w:rsidRPr="004312CD">
              <w:rPr>
                <w:szCs w:val="24"/>
              </w:rPr>
              <w:t>Serious injuries</w:t>
            </w:r>
          </w:p>
        </w:tc>
        <w:tc>
          <w:tcPr>
            <w:tcW w:w="1006" w:type="dxa"/>
            <w:tcBorders>
              <w:bottom w:val="single" w:sz="4" w:space="0" w:color="auto"/>
            </w:tcBorders>
            <w:noWrap/>
            <w:vAlign w:val="center"/>
            <w:hideMark/>
          </w:tcPr>
          <w:p w14:paraId="22E55A1C" w14:textId="77777777" w:rsidR="001D6419" w:rsidRPr="004312CD" w:rsidRDefault="000F5B51" w:rsidP="00617167">
            <w:pPr>
              <w:spacing w:before="100" w:beforeAutospacing="1" w:after="100" w:afterAutospacing="1" w:line="240" w:lineRule="auto"/>
              <w:contextualSpacing/>
              <w:jc w:val="center"/>
              <w:rPr>
                <w:szCs w:val="24"/>
              </w:rPr>
            </w:pPr>
            <w:r w:rsidRPr="004312CD">
              <w:rPr>
                <w:szCs w:val="24"/>
              </w:rPr>
              <w:t>3,920</w:t>
            </w:r>
          </w:p>
        </w:tc>
        <w:tc>
          <w:tcPr>
            <w:tcW w:w="1988" w:type="dxa"/>
            <w:tcBorders>
              <w:bottom w:val="single" w:sz="4" w:space="0" w:color="auto"/>
            </w:tcBorders>
            <w:noWrap/>
            <w:vAlign w:val="center"/>
            <w:hideMark/>
          </w:tcPr>
          <w:p w14:paraId="53BEA330" w14:textId="77777777" w:rsidR="001D6419" w:rsidRPr="004312CD" w:rsidRDefault="000F5B51" w:rsidP="00617167">
            <w:pPr>
              <w:spacing w:before="100" w:beforeAutospacing="1" w:after="100" w:afterAutospacing="1" w:line="240" w:lineRule="auto"/>
              <w:contextualSpacing/>
              <w:jc w:val="center"/>
              <w:rPr>
                <w:szCs w:val="24"/>
              </w:rPr>
            </w:pPr>
            <w:r>
              <w:rPr>
                <w:szCs w:val="24"/>
              </w:rPr>
              <w:t>51% (</w:t>
            </w:r>
            <w:r w:rsidRPr="004312CD">
              <w:rPr>
                <w:szCs w:val="24"/>
              </w:rPr>
              <w:t>0.509157</w:t>
            </w:r>
            <w:r>
              <w:rPr>
                <w:szCs w:val="24"/>
              </w:rPr>
              <w:t>)</w:t>
            </w:r>
          </w:p>
        </w:tc>
        <w:tc>
          <w:tcPr>
            <w:tcW w:w="2788" w:type="dxa"/>
            <w:noWrap/>
            <w:vAlign w:val="center"/>
            <w:hideMark/>
          </w:tcPr>
          <w:p w14:paraId="5387390F" w14:textId="77777777" w:rsidR="001D6419" w:rsidRPr="004312CD" w:rsidRDefault="000F5B51" w:rsidP="00617167">
            <w:pPr>
              <w:spacing w:before="100" w:beforeAutospacing="1" w:after="100" w:afterAutospacing="1" w:line="240" w:lineRule="auto"/>
              <w:contextualSpacing/>
              <w:jc w:val="center"/>
              <w:rPr>
                <w:szCs w:val="24"/>
              </w:rPr>
            </w:pPr>
            <w:r>
              <w:rPr>
                <w:szCs w:val="24"/>
              </w:rPr>
              <w:t>9.6% (</w:t>
            </w:r>
            <w:r w:rsidRPr="004312CD">
              <w:rPr>
                <w:szCs w:val="24"/>
              </w:rPr>
              <w:t>0.096173</w:t>
            </w:r>
            <w:r>
              <w:rPr>
                <w:szCs w:val="24"/>
              </w:rPr>
              <w:t>)</w:t>
            </w:r>
          </w:p>
        </w:tc>
        <w:tc>
          <w:tcPr>
            <w:tcW w:w="1908" w:type="dxa"/>
            <w:noWrap/>
            <w:vAlign w:val="center"/>
            <w:hideMark/>
          </w:tcPr>
          <w:p w14:paraId="05A4DF60" w14:textId="77777777" w:rsidR="001D6419" w:rsidRPr="004312CD" w:rsidRDefault="000F5B51" w:rsidP="00617167">
            <w:pPr>
              <w:spacing w:before="100" w:beforeAutospacing="1" w:after="100" w:afterAutospacing="1" w:line="240" w:lineRule="auto"/>
              <w:contextualSpacing/>
              <w:jc w:val="center"/>
              <w:rPr>
                <w:szCs w:val="24"/>
              </w:rPr>
            </w:pPr>
            <w:r w:rsidRPr="004312CD">
              <w:rPr>
                <w:szCs w:val="24"/>
              </w:rPr>
              <w:t>0.048967</w:t>
            </w:r>
          </w:p>
        </w:tc>
      </w:tr>
      <w:tr w:rsidR="00A15C2C" w14:paraId="4384EE61" w14:textId="77777777" w:rsidTr="00617167">
        <w:trPr>
          <w:trHeight w:val="260"/>
        </w:trPr>
        <w:tc>
          <w:tcPr>
            <w:tcW w:w="1886" w:type="dxa"/>
            <w:tcBorders>
              <w:right w:val="single" w:sz="4" w:space="0" w:color="auto"/>
            </w:tcBorders>
            <w:noWrap/>
            <w:vAlign w:val="center"/>
            <w:hideMark/>
          </w:tcPr>
          <w:p w14:paraId="0273760D" w14:textId="77777777" w:rsidR="001D6419" w:rsidRPr="004312CD" w:rsidRDefault="000F5B51">
            <w:pPr>
              <w:spacing w:before="100" w:beforeAutospacing="1" w:after="100" w:afterAutospacing="1" w:line="240" w:lineRule="auto"/>
              <w:contextualSpacing/>
              <w:rPr>
                <w:szCs w:val="24"/>
              </w:rPr>
            </w:pPr>
            <w:r>
              <w:rPr>
                <w:szCs w:val="24"/>
              </w:rPr>
              <w:t>Total</w:t>
            </w:r>
          </w:p>
        </w:tc>
        <w:tc>
          <w:tcPr>
            <w:tcW w:w="1006" w:type="dxa"/>
            <w:tcBorders>
              <w:left w:val="single" w:sz="4" w:space="0" w:color="auto"/>
              <w:right w:val="single" w:sz="4" w:space="0" w:color="auto"/>
            </w:tcBorders>
            <w:noWrap/>
            <w:vAlign w:val="center"/>
          </w:tcPr>
          <w:p w14:paraId="22848147" w14:textId="77777777" w:rsidR="001D6419" w:rsidRPr="004312CD" w:rsidRDefault="000F5B51" w:rsidP="00617167">
            <w:pPr>
              <w:spacing w:before="100" w:beforeAutospacing="1" w:after="100" w:afterAutospacing="1" w:line="240" w:lineRule="auto"/>
              <w:contextualSpacing/>
              <w:jc w:val="center"/>
              <w:rPr>
                <w:szCs w:val="24"/>
              </w:rPr>
            </w:pPr>
            <w:r>
              <w:rPr>
                <w:szCs w:val="24"/>
              </w:rPr>
              <w:t>7,699</w:t>
            </w:r>
          </w:p>
        </w:tc>
        <w:tc>
          <w:tcPr>
            <w:tcW w:w="1988" w:type="dxa"/>
            <w:tcBorders>
              <w:left w:val="single" w:sz="4" w:space="0" w:color="auto"/>
              <w:right w:val="single" w:sz="4" w:space="0" w:color="auto"/>
            </w:tcBorders>
            <w:noWrap/>
            <w:vAlign w:val="center"/>
          </w:tcPr>
          <w:p w14:paraId="50604F3F" w14:textId="77777777" w:rsidR="001D6419" w:rsidRPr="004312CD" w:rsidRDefault="000F5B51" w:rsidP="00617167">
            <w:pPr>
              <w:spacing w:before="100" w:beforeAutospacing="1" w:after="100" w:afterAutospacing="1" w:line="240" w:lineRule="auto"/>
              <w:contextualSpacing/>
              <w:jc w:val="center"/>
              <w:rPr>
                <w:szCs w:val="24"/>
              </w:rPr>
            </w:pPr>
            <w:r>
              <w:rPr>
                <w:szCs w:val="24"/>
              </w:rPr>
              <w:t>100% (1.000000)</w:t>
            </w:r>
          </w:p>
        </w:tc>
        <w:tc>
          <w:tcPr>
            <w:tcW w:w="2788" w:type="dxa"/>
            <w:tcBorders>
              <w:left w:val="single" w:sz="4" w:space="0" w:color="auto"/>
            </w:tcBorders>
            <w:noWrap/>
            <w:vAlign w:val="center"/>
            <w:hideMark/>
          </w:tcPr>
          <w:p w14:paraId="19CCF530" w14:textId="77777777" w:rsidR="001D6419" w:rsidRPr="004312CD" w:rsidRDefault="000F5B51" w:rsidP="00617167">
            <w:pPr>
              <w:spacing w:before="100" w:beforeAutospacing="1" w:after="100" w:afterAutospacing="1" w:line="240" w:lineRule="auto"/>
              <w:contextualSpacing/>
              <w:jc w:val="center"/>
              <w:rPr>
                <w:szCs w:val="24"/>
              </w:rPr>
            </w:pPr>
            <w:r>
              <w:rPr>
                <w:szCs w:val="24"/>
              </w:rPr>
              <w:t>Weighted Effectiveness:</w:t>
            </w:r>
          </w:p>
        </w:tc>
        <w:tc>
          <w:tcPr>
            <w:tcW w:w="1908" w:type="dxa"/>
            <w:noWrap/>
            <w:vAlign w:val="center"/>
            <w:hideMark/>
          </w:tcPr>
          <w:p w14:paraId="66E6E8FC" w14:textId="77777777" w:rsidR="001D6419" w:rsidRPr="004312CD" w:rsidRDefault="000F5B51" w:rsidP="00617167">
            <w:pPr>
              <w:spacing w:before="100" w:beforeAutospacing="1" w:after="100" w:afterAutospacing="1" w:line="240" w:lineRule="auto"/>
              <w:contextualSpacing/>
              <w:jc w:val="center"/>
              <w:rPr>
                <w:bCs/>
                <w:szCs w:val="24"/>
              </w:rPr>
            </w:pPr>
            <w:r w:rsidRPr="004312CD">
              <w:rPr>
                <w:bCs/>
                <w:szCs w:val="24"/>
              </w:rPr>
              <w:t>0.092869</w:t>
            </w:r>
          </w:p>
        </w:tc>
      </w:tr>
    </w:tbl>
    <w:p w14:paraId="5DB9C91E" w14:textId="77777777" w:rsidR="001D6419" w:rsidRDefault="001D6419" w:rsidP="001D6419">
      <w:pPr>
        <w:spacing w:before="100" w:beforeAutospacing="1" w:after="100" w:afterAutospacing="1" w:line="240" w:lineRule="auto"/>
        <w:contextualSpacing/>
      </w:pPr>
    </w:p>
    <w:p w14:paraId="3B65617C" w14:textId="77777777" w:rsidR="001D6419" w:rsidRPr="00897AED" w:rsidRDefault="000F5B51" w:rsidP="00617167">
      <w:r w:rsidRPr="0067505E">
        <w:rPr>
          <w:rFonts w:cs="Times New Roman"/>
          <w:szCs w:val="24"/>
        </w:rPr>
        <w:lastRenderedPageBreak/>
        <w:t xml:space="preserve">Next, we used the survival probability and the vehicle miles traveled (VMT) of passenger cars to </w:t>
      </w:r>
      <w:r w:rsidRPr="005D5762">
        <w:t>calculate the proportion of a particular model year (MY) vehicle on the road</w:t>
      </w:r>
      <w:r w:rsidR="001F2F92">
        <w:t xml:space="preserve">. </w:t>
      </w:r>
      <w:r w:rsidRPr="005D5762">
        <w:t>For particular MY vehicles, we estimated the percentage of vehicles with the FMVSS No. 226 countermeasure based on the 226 air bag sales previously discussed</w:t>
      </w:r>
      <w:r w:rsidR="001F2F92">
        <w:t xml:space="preserve">. </w:t>
      </w:r>
      <w:r w:rsidRPr="005D5762">
        <w:t>After that, we applied the air bag effectiveness to the vehicles with the FMVSS No. 226 air bags to remove potential safety benefits resulting from the FMVSS No. 226 final rule from the seat belt analysis</w:t>
      </w:r>
      <w:r w:rsidR="001F2F92">
        <w:t xml:space="preserve">. </w:t>
      </w:r>
      <w:r w:rsidRPr="005D5762">
        <w:t>Finally, the FMVSS No. 226 adjustment factor was derived by compar</w:t>
      </w:r>
      <w:r w:rsidRPr="0028568D">
        <w:t>ing the total exposure rate with and without the FMVSS No. 226 potential benefits</w:t>
      </w:r>
      <w:r w:rsidR="001F2F92">
        <w:t xml:space="preserve">. </w:t>
      </w:r>
      <w:r w:rsidRPr="0028568D">
        <w:t xml:space="preserve">We note that the FMVSS No. 226 adjustment factor developed for passenger cars was used as a proxy for light trucks that were considered in the analysis based on recent PCs </w:t>
      </w:r>
      <w:r w:rsidRPr="00657E84">
        <w:t>&amp; LTs sales reported by Ward’s, vehicle survivability and VMT.</w:t>
      </w:r>
    </w:p>
    <w:p w14:paraId="3B59A6DE" w14:textId="05CF0B5D" w:rsidR="001D6419" w:rsidRPr="004777B4" w:rsidRDefault="000F5B51" w:rsidP="001D6419">
      <w:pPr>
        <w:pStyle w:val="Caption"/>
      </w:pPr>
      <w:bookmarkStart w:id="2028" w:name="_Toc517354436"/>
      <w:bookmarkStart w:id="2029" w:name="_Toc103595410"/>
      <w:r w:rsidRPr="004777B4">
        <w:t xml:space="preserve">Table </w:t>
      </w:r>
      <w:r w:rsidR="00115BAB">
        <w:fldChar w:fldCharType="begin"/>
      </w:r>
      <w:r>
        <w:instrText xml:space="preserve"> SEQ Table \* ARABIC </w:instrText>
      </w:r>
      <w:r w:rsidR="00115BAB">
        <w:fldChar w:fldCharType="separate"/>
      </w:r>
      <w:r w:rsidR="00A65CB3">
        <w:rPr>
          <w:noProof/>
        </w:rPr>
        <w:t>117</w:t>
      </w:r>
      <w:r w:rsidR="00115BAB">
        <w:rPr>
          <w:noProof/>
        </w:rPr>
        <w:fldChar w:fldCharType="end"/>
      </w:r>
      <w:r w:rsidR="001E0F09">
        <w:t xml:space="preserve">: </w:t>
      </w:r>
      <w:r>
        <w:t>FMVSS No. 226 Installation Rate, based upon linear regression of 226 FRIA</w:t>
      </w:r>
      <w:bookmarkEnd w:id="2028"/>
      <w:bookmarkEnd w:id="2029"/>
    </w:p>
    <w:tbl>
      <w:tblPr>
        <w:tblW w:w="3240" w:type="dxa"/>
        <w:jc w:val="center"/>
        <w:tblCellMar>
          <w:top w:w="15" w:type="dxa"/>
          <w:left w:w="15" w:type="dxa"/>
          <w:bottom w:w="15" w:type="dxa"/>
          <w:right w:w="15" w:type="dxa"/>
        </w:tblCellMar>
        <w:tblLook w:val="04A0" w:firstRow="1" w:lastRow="0" w:firstColumn="1" w:lastColumn="0" w:noHBand="0" w:noVBand="1"/>
      </w:tblPr>
      <w:tblGrid>
        <w:gridCol w:w="960"/>
        <w:gridCol w:w="2280"/>
      </w:tblGrid>
      <w:tr w:rsidR="00A15C2C" w14:paraId="0056F19A" w14:textId="77777777" w:rsidTr="00617167">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9635DCC" w14:textId="77777777" w:rsidR="001E0F09" w:rsidRPr="00617167" w:rsidRDefault="000F5B51" w:rsidP="00D07617">
            <w:pPr>
              <w:pStyle w:val="NoSpacing"/>
              <w:rPr>
                <w:b/>
                <w:bCs/>
                <w:szCs w:val="24"/>
              </w:rPr>
            </w:pPr>
            <w:r w:rsidRPr="00617167">
              <w:rPr>
                <w:b/>
                <w:bCs/>
                <w:szCs w:val="24"/>
              </w:rPr>
              <w:t>Year</w:t>
            </w:r>
          </w:p>
        </w:tc>
        <w:tc>
          <w:tcPr>
            <w:tcW w:w="2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412626D" w14:textId="77777777" w:rsidR="001E0F09" w:rsidRPr="00617167" w:rsidRDefault="000F5B51" w:rsidP="00D07617">
            <w:pPr>
              <w:pStyle w:val="NoSpacing"/>
              <w:rPr>
                <w:b/>
                <w:bCs/>
                <w:szCs w:val="24"/>
              </w:rPr>
            </w:pPr>
            <w:r w:rsidRPr="00617167">
              <w:rPr>
                <w:b/>
                <w:bCs/>
                <w:szCs w:val="24"/>
              </w:rPr>
              <w:t>Installation rate</w:t>
            </w:r>
          </w:p>
        </w:tc>
      </w:tr>
      <w:tr w:rsidR="00A15C2C" w14:paraId="429D0FBF" w14:textId="77777777" w:rsidTr="001E0F09">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14:paraId="227F5A1E" w14:textId="77777777" w:rsidR="001D6419" w:rsidRPr="00BA13D0" w:rsidRDefault="000F5B51" w:rsidP="00D07617">
            <w:pPr>
              <w:pStyle w:val="NoSpacing"/>
              <w:rPr>
                <w:szCs w:val="24"/>
              </w:rPr>
            </w:pPr>
            <w:r w:rsidRPr="00E752A0">
              <w:rPr>
                <w:szCs w:val="24"/>
              </w:rPr>
              <w:t>2016</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0FB15" w14:textId="77777777" w:rsidR="001D6419" w:rsidRPr="00E062DB" w:rsidRDefault="000F5B51" w:rsidP="00D07617">
            <w:pPr>
              <w:pStyle w:val="NoSpacing"/>
              <w:rPr>
                <w:szCs w:val="24"/>
              </w:rPr>
            </w:pPr>
            <w:r w:rsidRPr="00E062DB">
              <w:rPr>
                <w:szCs w:val="24"/>
              </w:rPr>
              <w:t>100%</w:t>
            </w:r>
          </w:p>
        </w:tc>
      </w:tr>
      <w:tr w:rsidR="00A15C2C" w14:paraId="143C70D0" w14:textId="77777777" w:rsidTr="001E0F09">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14:paraId="1E71F84B" w14:textId="77777777" w:rsidR="001D6419" w:rsidRPr="00BA13D0" w:rsidRDefault="000F5B51" w:rsidP="00D07617">
            <w:pPr>
              <w:pStyle w:val="NoSpacing"/>
              <w:rPr>
                <w:szCs w:val="24"/>
              </w:rPr>
            </w:pPr>
            <w:r w:rsidRPr="00E752A0">
              <w:rPr>
                <w:szCs w:val="24"/>
              </w:rPr>
              <w:t>2015</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F09EC" w14:textId="77777777" w:rsidR="001D6419" w:rsidRPr="00E062DB" w:rsidRDefault="000F5B51" w:rsidP="00D07617">
            <w:pPr>
              <w:pStyle w:val="NoSpacing"/>
              <w:rPr>
                <w:szCs w:val="24"/>
              </w:rPr>
            </w:pPr>
            <w:r w:rsidRPr="00E062DB">
              <w:rPr>
                <w:szCs w:val="24"/>
              </w:rPr>
              <w:t>91%</w:t>
            </w:r>
          </w:p>
        </w:tc>
      </w:tr>
      <w:tr w:rsidR="00A15C2C" w14:paraId="080A52A4" w14:textId="77777777" w:rsidTr="001E0F09">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14:paraId="6DC09960" w14:textId="77777777" w:rsidR="001D6419" w:rsidRPr="00BA13D0" w:rsidRDefault="000F5B51" w:rsidP="00D07617">
            <w:pPr>
              <w:pStyle w:val="NoSpacing"/>
              <w:rPr>
                <w:szCs w:val="24"/>
              </w:rPr>
            </w:pPr>
            <w:r w:rsidRPr="00E752A0">
              <w:rPr>
                <w:szCs w:val="24"/>
              </w:rPr>
              <w:t>2014</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8F276" w14:textId="77777777" w:rsidR="001D6419" w:rsidRPr="00E062DB" w:rsidRDefault="000F5B51" w:rsidP="00D07617">
            <w:pPr>
              <w:pStyle w:val="NoSpacing"/>
              <w:rPr>
                <w:szCs w:val="24"/>
              </w:rPr>
            </w:pPr>
            <w:r w:rsidRPr="00E062DB">
              <w:rPr>
                <w:szCs w:val="24"/>
              </w:rPr>
              <w:t>82%</w:t>
            </w:r>
          </w:p>
        </w:tc>
      </w:tr>
      <w:tr w:rsidR="00A15C2C" w14:paraId="2B97CA5A" w14:textId="77777777" w:rsidTr="001E0F09">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14:paraId="0F1112C8" w14:textId="77777777" w:rsidR="001D6419" w:rsidRPr="00BA13D0" w:rsidRDefault="000F5B51" w:rsidP="00D07617">
            <w:pPr>
              <w:pStyle w:val="NoSpacing"/>
              <w:rPr>
                <w:szCs w:val="24"/>
              </w:rPr>
            </w:pPr>
            <w:r w:rsidRPr="00E752A0">
              <w:rPr>
                <w:szCs w:val="24"/>
              </w:rPr>
              <w:t>2013</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A34C9" w14:textId="77777777" w:rsidR="001D6419" w:rsidRPr="00E062DB" w:rsidRDefault="000F5B51" w:rsidP="00D07617">
            <w:pPr>
              <w:pStyle w:val="NoSpacing"/>
              <w:rPr>
                <w:rFonts w:eastAsia="Times New Roman"/>
                <w:szCs w:val="24"/>
                <w:lang w:eastAsia="ja-JP"/>
              </w:rPr>
            </w:pPr>
            <w:r w:rsidRPr="00E062DB">
              <w:rPr>
                <w:rFonts w:eastAsia="Times New Roman"/>
                <w:szCs w:val="24"/>
                <w:lang w:eastAsia="ja-JP"/>
              </w:rPr>
              <w:t>73%</w:t>
            </w:r>
          </w:p>
        </w:tc>
      </w:tr>
      <w:tr w:rsidR="00A15C2C" w14:paraId="7F6309F6" w14:textId="77777777" w:rsidTr="001E0F09">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14:paraId="793AB589" w14:textId="77777777" w:rsidR="001D6419" w:rsidRPr="00E752A0" w:rsidRDefault="000F5B51" w:rsidP="00D07617">
            <w:pPr>
              <w:pStyle w:val="NoSpacing"/>
              <w:rPr>
                <w:rFonts w:eastAsia="Times New Roman"/>
                <w:color w:val="000000"/>
                <w:szCs w:val="24"/>
                <w:lang w:eastAsia="ja-JP"/>
              </w:rPr>
            </w:pPr>
            <w:r w:rsidRPr="00E752A0">
              <w:rPr>
                <w:rFonts w:eastAsia="Times New Roman"/>
                <w:color w:val="000000"/>
                <w:szCs w:val="24"/>
                <w:lang w:eastAsia="ja-JP"/>
              </w:rPr>
              <w:t>2012</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3369D" w14:textId="77777777" w:rsidR="001D6419" w:rsidRPr="00E062DB" w:rsidRDefault="000F5B51" w:rsidP="00D07617">
            <w:pPr>
              <w:pStyle w:val="NoSpacing"/>
              <w:rPr>
                <w:rFonts w:eastAsia="Times New Roman"/>
                <w:szCs w:val="24"/>
                <w:lang w:eastAsia="ja-JP"/>
              </w:rPr>
            </w:pPr>
            <w:r w:rsidRPr="00E062DB">
              <w:rPr>
                <w:rFonts w:eastAsia="Times New Roman"/>
                <w:szCs w:val="24"/>
                <w:lang w:eastAsia="ja-JP"/>
              </w:rPr>
              <w:t>64%</w:t>
            </w:r>
          </w:p>
        </w:tc>
      </w:tr>
      <w:tr w:rsidR="00A15C2C" w14:paraId="24FF53BA" w14:textId="77777777" w:rsidTr="001E0F09">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14:paraId="158215E9" w14:textId="77777777" w:rsidR="001D6419" w:rsidRPr="00E752A0" w:rsidRDefault="000F5B51" w:rsidP="00D07617">
            <w:pPr>
              <w:pStyle w:val="NoSpacing"/>
              <w:rPr>
                <w:rFonts w:eastAsia="Times New Roman"/>
                <w:color w:val="000000"/>
                <w:szCs w:val="24"/>
                <w:lang w:eastAsia="ja-JP"/>
              </w:rPr>
            </w:pPr>
            <w:r w:rsidRPr="00E752A0">
              <w:rPr>
                <w:rFonts w:eastAsia="Times New Roman"/>
                <w:color w:val="000000"/>
                <w:szCs w:val="24"/>
                <w:lang w:eastAsia="ja-JP"/>
              </w:rPr>
              <w:t>2011</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F42B8" w14:textId="77777777" w:rsidR="001D6419" w:rsidRPr="00E062DB" w:rsidRDefault="000F5B51" w:rsidP="00D07617">
            <w:pPr>
              <w:pStyle w:val="NoSpacing"/>
              <w:rPr>
                <w:rFonts w:eastAsia="Times New Roman"/>
                <w:szCs w:val="24"/>
                <w:lang w:eastAsia="ja-JP"/>
              </w:rPr>
            </w:pPr>
            <w:r w:rsidRPr="00E062DB">
              <w:rPr>
                <w:rFonts w:eastAsia="Times New Roman"/>
                <w:szCs w:val="24"/>
                <w:lang w:eastAsia="ja-JP"/>
              </w:rPr>
              <w:t>1%</w:t>
            </w:r>
          </w:p>
        </w:tc>
      </w:tr>
      <w:tr w:rsidR="00A15C2C" w14:paraId="2B34B1B8" w14:textId="77777777" w:rsidTr="001E0F09">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14:paraId="723BD9F6" w14:textId="77777777" w:rsidR="001D6419" w:rsidRPr="00E752A0" w:rsidRDefault="000F5B51" w:rsidP="00D07617">
            <w:pPr>
              <w:pStyle w:val="NoSpacing"/>
              <w:rPr>
                <w:rFonts w:eastAsia="Times New Roman"/>
                <w:color w:val="000000"/>
                <w:szCs w:val="24"/>
                <w:lang w:eastAsia="ja-JP"/>
              </w:rPr>
            </w:pPr>
            <w:r w:rsidRPr="00E752A0">
              <w:rPr>
                <w:rFonts w:eastAsia="Times New Roman"/>
                <w:color w:val="000000"/>
                <w:szCs w:val="24"/>
                <w:lang w:eastAsia="ja-JP"/>
              </w:rPr>
              <w:t>2010</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5B8EF" w14:textId="77777777" w:rsidR="001D6419" w:rsidRPr="00E062DB" w:rsidRDefault="000F5B51" w:rsidP="00D07617">
            <w:pPr>
              <w:pStyle w:val="NoSpacing"/>
              <w:rPr>
                <w:rFonts w:eastAsia="Times New Roman"/>
                <w:szCs w:val="24"/>
                <w:lang w:eastAsia="ja-JP"/>
              </w:rPr>
            </w:pPr>
            <w:r w:rsidRPr="00E062DB">
              <w:rPr>
                <w:rFonts w:eastAsia="Times New Roman"/>
                <w:szCs w:val="24"/>
                <w:lang w:eastAsia="ja-JP"/>
              </w:rPr>
              <w:t>0%</w:t>
            </w:r>
          </w:p>
        </w:tc>
      </w:tr>
    </w:tbl>
    <w:p w14:paraId="1F92B44A" w14:textId="77777777" w:rsidR="001D6419" w:rsidRDefault="001D6419" w:rsidP="001D6419">
      <w:pPr>
        <w:spacing w:line="276" w:lineRule="auto"/>
        <w:rPr>
          <w:rFonts w:cs="Times New Roman"/>
          <w:szCs w:val="24"/>
        </w:rPr>
        <w:sectPr w:rsidR="001D6419" w:rsidSect="00D07617">
          <w:pgSz w:w="12240" w:h="15840" w:code="1"/>
          <w:pgMar w:top="1440" w:right="1440" w:bottom="1440" w:left="1440" w:header="720" w:footer="720" w:gutter="0"/>
          <w:cols w:space="720"/>
          <w:docGrid w:linePitch="360"/>
        </w:sectPr>
      </w:pPr>
    </w:p>
    <w:p w14:paraId="5A1B498E" w14:textId="0D5DB7A1" w:rsidR="001D6419" w:rsidRPr="00B8116B" w:rsidRDefault="000F5B51" w:rsidP="001D6419">
      <w:pPr>
        <w:pStyle w:val="Caption"/>
      </w:pPr>
      <w:bookmarkStart w:id="2030" w:name="_Toc517354437"/>
      <w:bookmarkStart w:id="2031" w:name="_Toc103595411"/>
      <w:r w:rsidRPr="00B8116B">
        <w:lastRenderedPageBreak/>
        <w:t xml:space="preserve">Table </w:t>
      </w:r>
      <w:r w:rsidR="00115BAB">
        <w:fldChar w:fldCharType="begin"/>
      </w:r>
      <w:r>
        <w:instrText xml:space="preserve"> SEQ Table \* ARABIC </w:instrText>
      </w:r>
      <w:r w:rsidR="00115BAB">
        <w:fldChar w:fldCharType="separate"/>
      </w:r>
      <w:r w:rsidR="00A65CB3">
        <w:rPr>
          <w:noProof/>
        </w:rPr>
        <w:t>118</w:t>
      </w:r>
      <w:r w:rsidR="00115BAB">
        <w:rPr>
          <w:noProof/>
        </w:rPr>
        <w:fldChar w:fldCharType="end"/>
      </w:r>
      <w:r w:rsidRPr="00775376">
        <w:t xml:space="preserve"> </w:t>
      </w:r>
      <w:r w:rsidR="001E0F09">
        <w:t>:</w:t>
      </w:r>
      <w:r>
        <w:t xml:space="preserve"> Calculation</w:t>
      </w:r>
      <w:r w:rsidRPr="003C241F">
        <w:t xml:space="preserve"> for </w:t>
      </w:r>
      <w:r>
        <w:t>FMVSS No. 226</w:t>
      </w:r>
      <w:r w:rsidRPr="003C241F">
        <w:t xml:space="preserve"> </w:t>
      </w:r>
      <w:r w:rsidR="00603896">
        <w:t>A</w:t>
      </w:r>
      <w:r w:rsidRPr="003C241F">
        <w:t xml:space="preserve">djustment </w:t>
      </w:r>
      <w:r w:rsidR="00603896">
        <w:t>F</w:t>
      </w:r>
      <w:r w:rsidRPr="003C241F">
        <w:t xml:space="preserve">actor, </w:t>
      </w:r>
      <w:r>
        <w:t>PCs</w:t>
      </w:r>
      <w:bookmarkEnd w:id="2030"/>
      <w:bookmarkEnd w:id="2031"/>
    </w:p>
    <w:tbl>
      <w:tblPr>
        <w:tblW w:w="12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0"/>
        <w:gridCol w:w="1191"/>
        <w:gridCol w:w="1004"/>
        <w:gridCol w:w="1083"/>
        <w:gridCol w:w="1164"/>
        <w:gridCol w:w="588"/>
        <w:gridCol w:w="588"/>
        <w:gridCol w:w="588"/>
        <w:gridCol w:w="588"/>
        <w:gridCol w:w="588"/>
        <w:gridCol w:w="588"/>
        <w:gridCol w:w="588"/>
        <w:gridCol w:w="588"/>
        <w:gridCol w:w="720"/>
        <w:gridCol w:w="720"/>
        <w:gridCol w:w="720"/>
        <w:gridCol w:w="720"/>
      </w:tblGrid>
      <w:tr w:rsidR="00A15C2C" w14:paraId="3CE97338" w14:textId="77777777" w:rsidTr="00617167">
        <w:trPr>
          <w:trHeight w:val="2205"/>
        </w:trPr>
        <w:tc>
          <w:tcPr>
            <w:tcW w:w="700" w:type="dxa"/>
            <w:shd w:val="clear" w:color="4472C4" w:fill="4472C4"/>
            <w:noWrap/>
            <w:vAlign w:val="center"/>
            <w:hideMark/>
          </w:tcPr>
          <w:p w14:paraId="63E1C226" w14:textId="77777777" w:rsidR="001D6419" w:rsidRPr="00843B03" w:rsidRDefault="000F5B51" w:rsidP="00617167">
            <w:pPr>
              <w:spacing w:after="0" w:line="240" w:lineRule="auto"/>
              <w:contextualSpacing/>
              <w:jc w:val="center"/>
              <w:rPr>
                <w:rFonts w:eastAsia="Times New Roman" w:cs="Times New Roman"/>
                <w:b/>
                <w:bCs/>
                <w:szCs w:val="24"/>
              </w:rPr>
            </w:pPr>
            <w:r w:rsidRPr="00843B03">
              <w:rPr>
                <w:rFonts w:eastAsia="Times New Roman" w:cs="Times New Roman"/>
                <w:b/>
                <w:bCs/>
                <w:szCs w:val="24"/>
              </w:rPr>
              <w:t>MY</w:t>
            </w:r>
          </w:p>
        </w:tc>
        <w:tc>
          <w:tcPr>
            <w:tcW w:w="1191" w:type="dxa"/>
            <w:shd w:val="clear" w:color="4472C4" w:fill="4472C4"/>
            <w:noWrap/>
            <w:vAlign w:val="center"/>
            <w:hideMark/>
          </w:tcPr>
          <w:p w14:paraId="66E2056B" w14:textId="77777777" w:rsidR="001D6419" w:rsidRPr="00843B03" w:rsidRDefault="000F5B51" w:rsidP="00617167">
            <w:pPr>
              <w:spacing w:after="0" w:line="240" w:lineRule="auto"/>
              <w:contextualSpacing/>
              <w:jc w:val="center"/>
              <w:rPr>
                <w:rFonts w:eastAsia="Times New Roman" w:cs="Times New Roman"/>
                <w:b/>
                <w:bCs/>
                <w:szCs w:val="24"/>
              </w:rPr>
            </w:pPr>
            <w:r w:rsidRPr="00843B03">
              <w:rPr>
                <w:rFonts w:eastAsia="Times New Roman" w:cs="Times New Roman"/>
                <w:b/>
                <w:bCs/>
                <w:szCs w:val="24"/>
              </w:rPr>
              <w:t>Survival Probability</w:t>
            </w:r>
          </w:p>
        </w:tc>
        <w:tc>
          <w:tcPr>
            <w:tcW w:w="1004" w:type="dxa"/>
            <w:shd w:val="clear" w:color="4472C4" w:fill="4472C4"/>
            <w:noWrap/>
            <w:vAlign w:val="center"/>
            <w:hideMark/>
          </w:tcPr>
          <w:p w14:paraId="07F6BD01" w14:textId="77777777" w:rsidR="001D6419" w:rsidRPr="00843B03" w:rsidRDefault="000F5B51" w:rsidP="00617167">
            <w:pPr>
              <w:spacing w:after="0" w:line="240" w:lineRule="auto"/>
              <w:contextualSpacing/>
              <w:jc w:val="center"/>
              <w:rPr>
                <w:rFonts w:eastAsia="Times New Roman" w:cs="Times New Roman"/>
                <w:b/>
                <w:bCs/>
                <w:szCs w:val="24"/>
              </w:rPr>
            </w:pPr>
            <w:r w:rsidRPr="00843B03">
              <w:rPr>
                <w:rFonts w:eastAsia="Times New Roman" w:cs="Times New Roman"/>
                <w:b/>
                <w:bCs/>
                <w:szCs w:val="24"/>
              </w:rPr>
              <w:t>Exposure VMT</w:t>
            </w:r>
          </w:p>
        </w:tc>
        <w:tc>
          <w:tcPr>
            <w:tcW w:w="1083" w:type="dxa"/>
            <w:shd w:val="clear" w:color="4472C4" w:fill="4472C4"/>
            <w:noWrap/>
            <w:vAlign w:val="center"/>
            <w:hideMark/>
          </w:tcPr>
          <w:p w14:paraId="1FBD8EC1" w14:textId="77777777" w:rsidR="001D6419" w:rsidRPr="00843B03" w:rsidRDefault="000F5B51" w:rsidP="00617167">
            <w:pPr>
              <w:spacing w:after="0" w:line="240" w:lineRule="auto"/>
              <w:contextualSpacing/>
              <w:jc w:val="center"/>
              <w:rPr>
                <w:rFonts w:eastAsia="Times New Roman" w:cs="Times New Roman"/>
                <w:b/>
                <w:bCs/>
                <w:szCs w:val="24"/>
              </w:rPr>
            </w:pPr>
            <w:r w:rsidRPr="00843B03">
              <w:rPr>
                <w:rFonts w:eastAsia="Times New Roman" w:cs="Times New Roman"/>
                <w:b/>
                <w:bCs/>
                <w:szCs w:val="24"/>
              </w:rPr>
              <w:t>Aggregate Exposure</w:t>
            </w:r>
          </w:p>
        </w:tc>
        <w:tc>
          <w:tcPr>
            <w:tcW w:w="1164" w:type="dxa"/>
            <w:shd w:val="clear" w:color="4472C4" w:fill="4472C4"/>
            <w:noWrap/>
            <w:vAlign w:val="center"/>
            <w:hideMark/>
          </w:tcPr>
          <w:p w14:paraId="461A4F37" w14:textId="77777777" w:rsidR="001D6419" w:rsidRPr="00843B03" w:rsidRDefault="000F5B51" w:rsidP="00617167">
            <w:pPr>
              <w:spacing w:after="0" w:line="240" w:lineRule="auto"/>
              <w:contextualSpacing/>
              <w:jc w:val="center"/>
              <w:rPr>
                <w:rFonts w:eastAsia="Times New Roman" w:cs="Times New Roman"/>
                <w:b/>
                <w:bCs/>
                <w:szCs w:val="24"/>
              </w:rPr>
            </w:pPr>
            <w:r w:rsidRPr="00843B03">
              <w:rPr>
                <w:rFonts w:eastAsia="Times New Roman" w:cs="Times New Roman"/>
                <w:b/>
                <w:bCs/>
                <w:szCs w:val="24"/>
              </w:rPr>
              <w:t>Exposure Proportion</w:t>
            </w:r>
          </w:p>
        </w:tc>
        <w:tc>
          <w:tcPr>
            <w:tcW w:w="588" w:type="dxa"/>
            <w:shd w:val="clear" w:color="4472C4" w:fill="4472C4"/>
            <w:noWrap/>
            <w:textDirection w:val="btLr"/>
            <w:vAlign w:val="center"/>
            <w:hideMark/>
          </w:tcPr>
          <w:p w14:paraId="7A5DC74B" w14:textId="77777777" w:rsidR="001D6419" w:rsidRPr="00843B03" w:rsidRDefault="000F5B51" w:rsidP="00617167">
            <w:pPr>
              <w:spacing w:after="0" w:line="240" w:lineRule="auto"/>
              <w:contextualSpacing/>
              <w:jc w:val="center"/>
              <w:rPr>
                <w:rFonts w:eastAsia="Times New Roman" w:cs="Times New Roman"/>
                <w:b/>
                <w:bCs/>
                <w:szCs w:val="24"/>
              </w:rPr>
            </w:pPr>
            <w:r w:rsidRPr="00843B03">
              <w:rPr>
                <w:rFonts w:eastAsia="Times New Roman" w:cs="Times New Roman"/>
                <w:b/>
                <w:bCs/>
                <w:szCs w:val="24"/>
              </w:rPr>
              <w:t>w/ 226</w:t>
            </w:r>
          </w:p>
        </w:tc>
        <w:tc>
          <w:tcPr>
            <w:tcW w:w="588" w:type="dxa"/>
            <w:shd w:val="clear" w:color="4472C4" w:fill="4472C4"/>
            <w:noWrap/>
            <w:textDirection w:val="btLr"/>
            <w:vAlign w:val="center"/>
            <w:hideMark/>
          </w:tcPr>
          <w:p w14:paraId="7AB39209" w14:textId="77777777" w:rsidR="001D6419" w:rsidRPr="00843B03" w:rsidRDefault="000F5B51" w:rsidP="00617167">
            <w:pPr>
              <w:spacing w:after="0" w:line="240" w:lineRule="auto"/>
              <w:contextualSpacing/>
              <w:jc w:val="center"/>
              <w:rPr>
                <w:rFonts w:eastAsia="Times New Roman" w:cs="Times New Roman"/>
                <w:b/>
                <w:bCs/>
                <w:szCs w:val="24"/>
              </w:rPr>
            </w:pPr>
            <w:r w:rsidRPr="00843B03">
              <w:rPr>
                <w:rFonts w:eastAsia="Times New Roman" w:cs="Times New Roman"/>
                <w:b/>
                <w:bCs/>
                <w:szCs w:val="24"/>
              </w:rPr>
              <w:t>w/o 226</w:t>
            </w:r>
          </w:p>
        </w:tc>
        <w:tc>
          <w:tcPr>
            <w:tcW w:w="588" w:type="dxa"/>
            <w:shd w:val="clear" w:color="000000" w:fill="CC99FF"/>
            <w:noWrap/>
            <w:textDirection w:val="btLr"/>
            <w:vAlign w:val="center"/>
            <w:hideMark/>
          </w:tcPr>
          <w:p w14:paraId="55F664F8" w14:textId="77777777" w:rsidR="001D6419" w:rsidRPr="00843B03" w:rsidRDefault="000F5B51" w:rsidP="00D07617">
            <w:pPr>
              <w:spacing w:after="0"/>
              <w:contextualSpacing/>
              <w:rPr>
                <w:rFonts w:eastAsia="Times New Roman" w:cs="Times New Roman"/>
                <w:b/>
                <w:bCs/>
                <w:szCs w:val="24"/>
              </w:rPr>
            </w:pPr>
            <w:r w:rsidRPr="00843B03">
              <w:rPr>
                <w:rFonts w:eastAsia="Times New Roman" w:cs="Times New Roman"/>
                <w:b/>
                <w:bCs/>
                <w:szCs w:val="24"/>
              </w:rPr>
              <w:t>Exposure w/226</w:t>
            </w:r>
          </w:p>
        </w:tc>
        <w:tc>
          <w:tcPr>
            <w:tcW w:w="588" w:type="dxa"/>
            <w:shd w:val="clear" w:color="000000" w:fill="CC99FF"/>
            <w:noWrap/>
            <w:textDirection w:val="btLr"/>
            <w:vAlign w:val="center"/>
            <w:hideMark/>
          </w:tcPr>
          <w:p w14:paraId="688C681D" w14:textId="77777777" w:rsidR="001D6419" w:rsidRPr="00843B03" w:rsidRDefault="000F5B51" w:rsidP="00D07617">
            <w:pPr>
              <w:spacing w:after="0"/>
              <w:contextualSpacing/>
              <w:rPr>
                <w:rFonts w:eastAsia="Times New Roman" w:cs="Times New Roman"/>
                <w:b/>
                <w:bCs/>
                <w:szCs w:val="24"/>
              </w:rPr>
            </w:pPr>
            <w:r w:rsidRPr="00843B03">
              <w:rPr>
                <w:rFonts w:eastAsia="Times New Roman" w:cs="Times New Roman"/>
                <w:b/>
                <w:bCs/>
                <w:szCs w:val="24"/>
              </w:rPr>
              <w:t>Exposure w/o 226</w:t>
            </w:r>
          </w:p>
        </w:tc>
        <w:tc>
          <w:tcPr>
            <w:tcW w:w="588" w:type="dxa"/>
            <w:shd w:val="clear" w:color="4472C4" w:fill="4472C4"/>
            <w:noWrap/>
            <w:textDirection w:val="btLr"/>
            <w:vAlign w:val="center"/>
            <w:hideMark/>
          </w:tcPr>
          <w:p w14:paraId="6D83218F" w14:textId="77777777" w:rsidR="001D6419" w:rsidRPr="00843B03" w:rsidRDefault="000F5B51" w:rsidP="00D07617">
            <w:pPr>
              <w:spacing w:after="0"/>
              <w:contextualSpacing/>
              <w:rPr>
                <w:rFonts w:eastAsia="Times New Roman" w:cs="Times New Roman"/>
                <w:b/>
                <w:bCs/>
                <w:szCs w:val="24"/>
              </w:rPr>
            </w:pPr>
            <w:r w:rsidRPr="00843B03">
              <w:rPr>
                <w:rFonts w:eastAsia="Times New Roman" w:cs="Times New Roman"/>
                <w:b/>
                <w:bCs/>
                <w:szCs w:val="24"/>
              </w:rPr>
              <w:t>FRONT Adj.</w:t>
            </w:r>
          </w:p>
        </w:tc>
        <w:tc>
          <w:tcPr>
            <w:tcW w:w="588" w:type="dxa"/>
            <w:shd w:val="clear" w:color="4472C4" w:fill="4472C4"/>
            <w:noWrap/>
            <w:textDirection w:val="btLr"/>
            <w:vAlign w:val="center"/>
            <w:hideMark/>
          </w:tcPr>
          <w:p w14:paraId="5AAB62E8" w14:textId="77777777" w:rsidR="001D6419" w:rsidRPr="00843B03" w:rsidRDefault="000F5B51" w:rsidP="00D07617">
            <w:pPr>
              <w:spacing w:after="0"/>
              <w:contextualSpacing/>
              <w:rPr>
                <w:rFonts w:eastAsia="Times New Roman" w:cs="Times New Roman"/>
                <w:b/>
                <w:bCs/>
                <w:szCs w:val="24"/>
              </w:rPr>
            </w:pPr>
            <w:r w:rsidRPr="00843B03">
              <w:rPr>
                <w:rFonts w:eastAsia="Times New Roman" w:cs="Times New Roman"/>
                <w:b/>
                <w:bCs/>
                <w:szCs w:val="24"/>
              </w:rPr>
              <w:t>REAR Adj.</w:t>
            </w:r>
          </w:p>
        </w:tc>
        <w:tc>
          <w:tcPr>
            <w:tcW w:w="588" w:type="dxa"/>
            <w:shd w:val="clear" w:color="4472C4" w:fill="4472C4"/>
            <w:noWrap/>
            <w:textDirection w:val="btLr"/>
            <w:vAlign w:val="center"/>
            <w:hideMark/>
          </w:tcPr>
          <w:p w14:paraId="7BFE5723" w14:textId="77777777" w:rsidR="001D6419" w:rsidRPr="00843B03" w:rsidRDefault="000F5B51" w:rsidP="00D07617">
            <w:pPr>
              <w:spacing w:after="0"/>
              <w:contextualSpacing/>
              <w:rPr>
                <w:rFonts w:eastAsia="Times New Roman" w:cs="Times New Roman"/>
                <w:b/>
                <w:bCs/>
                <w:szCs w:val="24"/>
              </w:rPr>
            </w:pPr>
            <w:r w:rsidRPr="00843B03">
              <w:rPr>
                <w:rFonts w:eastAsia="Times New Roman" w:cs="Times New Roman"/>
                <w:b/>
                <w:bCs/>
                <w:szCs w:val="24"/>
              </w:rPr>
              <w:t>SIDE Adj.</w:t>
            </w:r>
          </w:p>
        </w:tc>
        <w:tc>
          <w:tcPr>
            <w:tcW w:w="588" w:type="dxa"/>
            <w:shd w:val="clear" w:color="4472C4" w:fill="4472C4"/>
            <w:noWrap/>
            <w:textDirection w:val="btLr"/>
            <w:vAlign w:val="center"/>
            <w:hideMark/>
          </w:tcPr>
          <w:p w14:paraId="6761D964" w14:textId="77777777" w:rsidR="001D6419" w:rsidRPr="00843B03" w:rsidRDefault="000F5B51" w:rsidP="00D07617">
            <w:pPr>
              <w:spacing w:after="0"/>
              <w:contextualSpacing/>
              <w:rPr>
                <w:rFonts w:eastAsia="Times New Roman" w:cs="Times New Roman"/>
                <w:b/>
                <w:bCs/>
                <w:szCs w:val="24"/>
              </w:rPr>
            </w:pPr>
            <w:r w:rsidRPr="00843B03">
              <w:rPr>
                <w:rFonts w:eastAsia="Times New Roman" w:cs="Times New Roman"/>
                <w:b/>
                <w:bCs/>
                <w:szCs w:val="24"/>
              </w:rPr>
              <w:t>ROLLOVER Adj.</w:t>
            </w:r>
          </w:p>
        </w:tc>
        <w:tc>
          <w:tcPr>
            <w:tcW w:w="720" w:type="dxa"/>
            <w:shd w:val="clear" w:color="000000" w:fill="F2F2F2"/>
            <w:noWrap/>
            <w:textDirection w:val="btLr"/>
            <w:vAlign w:val="center"/>
            <w:hideMark/>
          </w:tcPr>
          <w:p w14:paraId="2FDDBEF3" w14:textId="77777777" w:rsidR="001D6419" w:rsidRPr="00843B03" w:rsidRDefault="000F5B51" w:rsidP="00D07617">
            <w:pPr>
              <w:spacing w:after="0"/>
              <w:contextualSpacing/>
              <w:rPr>
                <w:rFonts w:eastAsia="Times New Roman" w:cs="Times New Roman"/>
                <w:b/>
                <w:bCs/>
                <w:szCs w:val="24"/>
              </w:rPr>
            </w:pPr>
            <w:r w:rsidRPr="00843B03">
              <w:rPr>
                <w:rFonts w:eastAsia="Times New Roman" w:cs="Times New Roman"/>
                <w:b/>
                <w:bCs/>
                <w:szCs w:val="24"/>
              </w:rPr>
              <w:t>FRONT</w:t>
            </w:r>
          </w:p>
        </w:tc>
        <w:tc>
          <w:tcPr>
            <w:tcW w:w="720" w:type="dxa"/>
            <w:shd w:val="clear" w:color="000000" w:fill="F2F2F2"/>
            <w:noWrap/>
            <w:textDirection w:val="btLr"/>
            <w:vAlign w:val="center"/>
            <w:hideMark/>
          </w:tcPr>
          <w:p w14:paraId="68F34026" w14:textId="77777777" w:rsidR="001D6419" w:rsidRPr="00843B03" w:rsidRDefault="000F5B51" w:rsidP="00D07617">
            <w:pPr>
              <w:spacing w:after="0"/>
              <w:contextualSpacing/>
              <w:rPr>
                <w:rFonts w:eastAsia="Times New Roman" w:cs="Times New Roman"/>
                <w:b/>
                <w:bCs/>
                <w:szCs w:val="24"/>
              </w:rPr>
            </w:pPr>
            <w:r w:rsidRPr="00843B03">
              <w:rPr>
                <w:rFonts w:eastAsia="Times New Roman" w:cs="Times New Roman"/>
                <w:b/>
                <w:bCs/>
                <w:szCs w:val="24"/>
              </w:rPr>
              <w:t>REAR</w:t>
            </w:r>
          </w:p>
        </w:tc>
        <w:tc>
          <w:tcPr>
            <w:tcW w:w="720" w:type="dxa"/>
            <w:shd w:val="clear" w:color="000000" w:fill="F2F2F2"/>
            <w:noWrap/>
            <w:textDirection w:val="btLr"/>
            <w:vAlign w:val="center"/>
            <w:hideMark/>
          </w:tcPr>
          <w:p w14:paraId="56F0E3C5" w14:textId="77777777" w:rsidR="001D6419" w:rsidRPr="00843B03" w:rsidRDefault="000F5B51" w:rsidP="00D07617">
            <w:pPr>
              <w:spacing w:after="0"/>
              <w:contextualSpacing/>
              <w:rPr>
                <w:rFonts w:eastAsia="Times New Roman" w:cs="Times New Roman"/>
                <w:b/>
                <w:bCs/>
                <w:szCs w:val="24"/>
              </w:rPr>
            </w:pPr>
            <w:r w:rsidRPr="00843B03">
              <w:rPr>
                <w:rFonts w:eastAsia="Times New Roman" w:cs="Times New Roman"/>
                <w:b/>
                <w:bCs/>
                <w:szCs w:val="24"/>
              </w:rPr>
              <w:t>SIDE</w:t>
            </w:r>
          </w:p>
        </w:tc>
        <w:tc>
          <w:tcPr>
            <w:tcW w:w="720" w:type="dxa"/>
            <w:shd w:val="clear" w:color="000000" w:fill="F2F2F2"/>
            <w:noWrap/>
            <w:textDirection w:val="btLr"/>
            <w:vAlign w:val="center"/>
            <w:hideMark/>
          </w:tcPr>
          <w:p w14:paraId="725EE0F8" w14:textId="77777777" w:rsidR="001D6419" w:rsidRPr="00843B03" w:rsidRDefault="000F5B51" w:rsidP="00D07617">
            <w:pPr>
              <w:spacing w:after="0"/>
              <w:contextualSpacing/>
              <w:rPr>
                <w:rFonts w:eastAsia="Times New Roman" w:cs="Times New Roman"/>
                <w:b/>
                <w:bCs/>
                <w:szCs w:val="24"/>
              </w:rPr>
            </w:pPr>
            <w:r w:rsidRPr="00843B03">
              <w:rPr>
                <w:rFonts w:eastAsia="Times New Roman" w:cs="Times New Roman"/>
                <w:b/>
                <w:bCs/>
                <w:szCs w:val="24"/>
              </w:rPr>
              <w:t>ROLLOVER</w:t>
            </w:r>
          </w:p>
        </w:tc>
      </w:tr>
      <w:tr w:rsidR="00A15C2C" w14:paraId="3FFCDF12" w14:textId="77777777" w:rsidTr="00617167">
        <w:trPr>
          <w:trHeight w:val="300"/>
        </w:trPr>
        <w:tc>
          <w:tcPr>
            <w:tcW w:w="700" w:type="dxa"/>
            <w:shd w:val="clear" w:color="D9E1F2" w:fill="D9E1F2"/>
            <w:noWrap/>
            <w:vAlign w:val="bottom"/>
            <w:hideMark/>
          </w:tcPr>
          <w:p w14:paraId="62F5FF3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2015</w:t>
            </w:r>
          </w:p>
        </w:tc>
        <w:tc>
          <w:tcPr>
            <w:tcW w:w="1191" w:type="dxa"/>
            <w:shd w:val="clear" w:color="D9E1F2" w:fill="D9E1F2"/>
            <w:noWrap/>
            <w:vAlign w:val="bottom"/>
            <w:hideMark/>
          </w:tcPr>
          <w:p w14:paraId="124BB818"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1.0000</w:t>
            </w:r>
          </w:p>
        </w:tc>
        <w:tc>
          <w:tcPr>
            <w:tcW w:w="1004" w:type="dxa"/>
            <w:shd w:val="clear" w:color="D9E1F2" w:fill="D9E1F2"/>
            <w:noWrap/>
            <w:vAlign w:val="bottom"/>
            <w:hideMark/>
          </w:tcPr>
          <w:p w14:paraId="7DE23A85"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15,861</w:t>
            </w:r>
          </w:p>
        </w:tc>
        <w:tc>
          <w:tcPr>
            <w:tcW w:w="1083" w:type="dxa"/>
            <w:shd w:val="clear" w:color="D9E1F2" w:fill="D9E1F2"/>
            <w:noWrap/>
            <w:vAlign w:val="bottom"/>
            <w:hideMark/>
          </w:tcPr>
          <w:p w14:paraId="6AEBFD4B"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15,861</w:t>
            </w:r>
          </w:p>
        </w:tc>
        <w:tc>
          <w:tcPr>
            <w:tcW w:w="1164" w:type="dxa"/>
            <w:shd w:val="clear" w:color="D9E1F2" w:fill="D9E1F2"/>
            <w:noWrap/>
            <w:vAlign w:val="bottom"/>
            <w:hideMark/>
          </w:tcPr>
          <w:p w14:paraId="7A61258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0.1116</w:t>
            </w:r>
          </w:p>
        </w:tc>
        <w:tc>
          <w:tcPr>
            <w:tcW w:w="588" w:type="dxa"/>
            <w:shd w:val="clear" w:color="auto" w:fill="A8D08D" w:themeFill="accent6" w:themeFillTint="99"/>
            <w:noWrap/>
            <w:vAlign w:val="bottom"/>
            <w:hideMark/>
          </w:tcPr>
          <w:p w14:paraId="7BEA5D1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3F3F76"/>
                <w:sz w:val="22"/>
              </w:rPr>
              <w:t>0.91</w:t>
            </w:r>
          </w:p>
        </w:tc>
        <w:tc>
          <w:tcPr>
            <w:tcW w:w="588" w:type="dxa"/>
            <w:shd w:val="clear" w:color="D9E1F2" w:fill="D9E1F2"/>
            <w:noWrap/>
            <w:vAlign w:val="bottom"/>
            <w:hideMark/>
          </w:tcPr>
          <w:p w14:paraId="69018D6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0.09</w:t>
            </w:r>
          </w:p>
        </w:tc>
        <w:tc>
          <w:tcPr>
            <w:tcW w:w="588" w:type="dxa"/>
            <w:shd w:val="clear" w:color="000000" w:fill="CC99FF"/>
            <w:noWrap/>
            <w:vAlign w:val="bottom"/>
            <w:hideMark/>
          </w:tcPr>
          <w:p w14:paraId="7B9B5B3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0.06</w:t>
            </w:r>
          </w:p>
        </w:tc>
        <w:tc>
          <w:tcPr>
            <w:tcW w:w="588" w:type="dxa"/>
            <w:shd w:val="clear" w:color="000000" w:fill="CC99FF"/>
            <w:noWrap/>
            <w:vAlign w:val="bottom"/>
            <w:hideMark/>
          </w:tcPr>
          <w:p w14:paraId="1208792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0.01</w:t>
            </w:r>
          </w:p>
        </w:tc>
        <w:tc>
          <w:tcPr>
            <w:tcW w:w="588" w:type="dxa"/>
            <w:shd w:val="clear" w:color="D9E1F2" w:fill="D9E1F2"/>
            <w:noWrap/>
            <w:vAlign w:val="bottom"/>
            <w:hideMark/>
          </w:tcPr>
          <w:p w14:paraId="6A1B7034"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0.01</w:t>
            </w:r>
          </w:p>
        </w:tc>
        <w:tc>
          <w:tcPr>
            <w:tcW w:w="588" w:type="dxa"/>
            <w:shd w:val="clear" w:color="D9E1F2" w:fill="D9E1F2"/>
            <w:noWrap/>
            <w:vAlign w:val="bottom"/>
            <w:hideMark/>
          </w:tcPr>
          <w:p w14:paraId="39AC61D8"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0.01</w:t>
            </w:r>
          </w:p>
        </w:tc>
        <w:tc>
          <w:tcPr>
            <w:tcW w:w="588" w:type="dxa"/>
            <w:shd w:val="clear" w:color="D9E1F2" w:fill="D9E1F2"/>
            <w:noWrap/>
            <w:vAlign w:val="bottom"/>
            <w:hideMark/>
          </w:tcPr>
          <w:p w14:paraId="253264FA"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0.01</w:t>
            </w:r>
          </w:p>
        </w:tc>
        <w:tc>
          <w:tcPr>
            <w:tcW w:w="588" w:type="dxa"/>
            <w:shd w:val="clear" w:color="D9E1F2" w:fill="D9E1F2"/>
            <w:noWrap/>
            <w:vAlign w:val="bottom"/>
            <w:hideMark/>
          </w:tcPr>
          <w:p w14:paraId="19588591"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0.01</w:t>
            </w:r>
          </w:p>
        </w:tc>
        <w:tc>
          <w:tcPr>
            <w:tcW w:w="720" w:type="dxa"/>
            <w:shd w:val="clear" w:color="000000" w:fill="F2F2F2"/>
            <w:noWrap/>
            <w:vAlign w:val="bottom"/>
            <w:hideMark/>
          </w:tcPr>
          <w:p w14:paraId="7408CEBC"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0.06</w:t>
            </w:r>
          </w:p>
        </w:tc>
        <w:tc>
          <w:tcPr>
            <w:tcW w:w="720" w:type="dxa"/>
            <w:shd w:val="clear" w:color="000000" w:fill="F2F2F2"/>
            <w:noWrap/>
            <w:vAlign w:val="bottom"/>
            <w:hideMark/>
          </w:tcPr>
          <w:p w14:paraId="10EFF1F1"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0.06</w:t>
            </w:r>
          </w:p>
        </w:tc>
        <w:tc>
          <w:tcPr>
            <w:tcW w:w="720" w:type="dxa"/>
            <w:shd w:val="clear" w:color="000000" w:fill="F2F2F2"/>
            <w:noWrap/>
            <w:vAlign w:val="bottom"/>
            <w:hideMark/>
          </w:tcPr>
          <w:p w14:paraId="602176E7"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0.06</w:t>
            </w:r>
          </w:p>
        </w:tc>
        <w:tc>
          <w:tcPr>
            <w:tcW w:w="720" w:type="dxa"/>
            <w:shd w:val="clear" w:color="000000" w:fill="F2F2F2"/>
            <w:noWrap/>
            <w:vAlign w:val="bottom"/>
            <w:hideMark/>
          </w:tcPr>
          <w:p w14:paraId="7EDB5946"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0.06</w:t>
            </w:r>
          </w:p>
        </w:tc>
      </w:tr>
      <w:tr w:rsidR="00A15C2C" w14:paraId="27F0FDB8" w14:textId="77777777" w:rsidTr="00617167">
        <w:trPr>
          <w:trHeight w:val="300"/>
        </w:trPr>
        <w:tc>
          <w:tcPr>
            <w:tcW w:w="700" w:type="dxa"/>
            <w:noWrap/>
            <w:vAlign w:val="bottom"/>
            <w:hideMark/>
          </w:tcPr>
          <w:p w14:paraId="63068D21"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2014</w:t>
            </w:r>
          </w:p>
        </w:tc>
        <w:tc>
          <w:tcPr>
            <w:tcW w:w="1191" w:type="dxa"/>
            <w:noWrap/>
            <w:vAlign w:val="bottom"/>
            <w:hideMark/>
          </w:tcPr>
          <w:p w14:paraId="0D6111CB"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0.9878</w:t>
            </w:r>
          </w:p>
        </w:tc>
        <w:tc>
          <w:tcPr>
            <w:tcW w:w="1004" w:type="dxa"/>
            <w:noWrap/>
            <w:vAlign w:val="bottom"/>
            <w:hideMark/>
          </w:tcPr>
          <w:p w14:paraId="5FF4545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13,684</w:t>
            </w:r>
          </w:p>
        </w:tc>
        <w:tc>
          <w:tcPr>
            <w:tcW w:w="1083" w:type="dxa"/>
            <w:noWrap/>
            <w:vAlign w:val="bottom"/>
            <w:hideMark/>
          </w:tcPr>
          <w:p w14:paraId="3B536A6A"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13,518</w:t>
            </w:r>
          </w:p>
        </w:tc>
        <w:tc>
          <w:tcPr>
            <w:tcW w:w="1164" w:type="dxa"/>
            <w:noWrap/>
            <w:vAlign w:val="bottom"/>
            <w:hideMark/>
          </w:tcPr>
          <w:p w14:paraId="0A2626D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0.0951</w:t>
            </w:r>
          </w:p>
        </w:tc>
        <w:tc>
          <w:tcPr>
            <w:tcW w:w="588" w:type="dxa"/>
            <w:shd w:val="clear" w:color="auto" w:fill="A8D08D" w:themeFill="accent6" w:themeFillTint="99"/>
            <w:noWrap/>
            <w:vAlign w:val="bottom"/>
            <w:hideMark/>
          </w:tcPr>
          <w:p w14:paraId="74AC169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3F3F76"/>
                <w:sz w:val="22"/>
              </w:rPr>
              <w:t>0.82</w:t>
            </w:r>
          </w:p>
        </w:tc>
        <w:tc>
          <w:tcPr>
            <w:tcW w:w="588" w:type="dxa"/>
            <w:noWrap/>
            <w:vAlign w:val="bottom"/>
            <w:hideMark/>
          </w:tcPr>
          <w:p w14:paraId="08EC541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0.18</w:t>
            </w:r>
          </w:p>
        </w:tc>
        <w:tc>
          <w:tcPr>
            <w:tcW w:w="588" w:type="dxa"/>
            <w:shd w:val="clear" w:color="000000" w:fill="CC99FF"/>
            <w:noWrap/>
            <w:vAlign w:val="bottom"/>
            <w:hideMark/>
          </w:tcPr>
          <w:p w14:paraId="6D629BBE"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0.05</w:t>
            </w:r>
          </w:p>
        </w:tc>
        <w:tc>
          <w:tcPr>
            <w:tcW w:w="588" w:type="dxa"/>
            <w:shd w:val="clear" w:color="000000" w:fill="CC99FF"/>
            <w:noWrap/>
            <w:vAlign w:val="bottom"/>
            <w:hideMark/>
          </w:tcPr>
          <w:p w14:paraId="7AFDBA5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0.01</w:t>
            </w:r>
          </w:p>
        </w:tc>
        <w:tc>
          <w:tcPr>
            <w:tcW w:w="588" w:type="dxa"/>
            <w:noWrap/>
            <w:vAlign w:val="bottom"/>
            <w:hideMark/>
          </w:tcPr>
          <w:p w14:paraId="72E362D1"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0.01</w:t>
            </w:r>
          </w:p>
        </w:tc>
        <w:tc>
          <w:tcPr>
            <w:tcW w:w="588" w:type="dxa"/>
            <w:noWrap/>
            <w:vAlign w:val="bottom"/>
            <w:hideMark/>
          </w:tcPr>
          <w:p w14:paraId="1852CE76"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0.01</w:t>
            </w:r>
          </w:p>
        </w:tc>
        <w:tc>
          <w:tcPr>
            <w:tcW w:w="588" w:type="dxa"/>
            <w:noWrap/>
            <w:vAlign w:val="bottom"/>
            <w:hideMark/>
          </w:tcPr>
          <w:p w14:paraId="3BC732F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0.01</w:t>
            </w:r>
          </w:p>
        </w:tc>
        <w:tc>
          <w:tcPr>
            <w:tcW w:w="588" w:type="dxa"/>
            <w:noWrap/>
            <w:vAlign w:val="bottom"/>
            <w:hideMark/>
          </w:tcPr>
          <w:p w14:paraId="63FA62F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0.01</w:t>
            </w:r>
          </w:p>
        </w:tc>
        <w:tc>
          <w:tcPr>
            <w:tcW w:w="720" w:type="dxa"/>
            <w:shd w:val="clear" w:color="000000" w:fill="F2F2F2"/>
            <w:noWrap/>
            <w:vAlign w:val="bottom"/>
            <w:hideMark/>
          </w:tcPr>
          <w:p w14:paraId="17B2F9D8"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0.06</w:t>
            </w:r>
          </w:p>
        </w:tc>
        <w:tc>
          <w:tcPr>
            <w:tcW w:w="720" w:type="dxa"/>
            <w:shd w:val="clear" w:color="000000" w:fill="F2F2F2"/>
            <w:noWrap/>
            <w:vAlign w:val="bottom"/>
            <w:hideMark/>
          </w:tcPr>
          <w:p w14:paraId="482786B8"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0.06</w:t>
            </w:r>
          </w:p>
        </w:tc>
        <w:tc>
          <w:tcPr>
            <w:tcW w:w="720" w:type="dxa"/>
            <w:shd w:val="clear" w:color="000000" w:fill="F2F2F2"/>
            <w:noWrap/>
            <w:vAlign w:val="bottom"/>
            <w:hideMark/>
          </w:tcPr>
          <w:p w14:paraId="2F6823FA"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0.06</w:t>
            </w:r>
          </w:p>
        </w:tc>
        <w:tc>
          <w:tcPr>
            <w:tcW w:w="720" w:type="dxa"/>
            <w:shd w:val="clear" w:color="000000" w:fill="F2F2F2"/>
            <w:noWrap/>
            <w:vAlign w:val="bottom"/>
            <w:hideMark/>
          </w:tcPr>
          <w:p w14:paraId="4938ED36"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0.06</w:t>
            </w:r>
          </w:p>
        </w:tc>
      </w:tr>
      <w:tr w:rsidR="00A15C2C" w14:paraId="32215E8F" w14:textId="77777777" w:rsidTr="00617167">
        <w:trPr>
          <w:trHeight w:val="300"/>
        </w:trPr>
        <w:tc>
          <w:tcPr>
            <w:tcW w:w="700" w:type="dxa"/>
            <w:shd w:val="clear" w:color="D9E1F2" w:fill="D9E1F2"/>
            <w:noWrap/>
            <w:vAlign w:val="bottom"/>
            <w:hideMark/>
          </w:tcPr>
          <w:p w14:paraId="63425229"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2013</w:t>
            </w:r>
          </w:p>
        </w:tc>
        <w:tc>
          <w:tcPr>
            <w:tcW w:w="1191" w:type="dxa"/>
            <w:shd w:val="clear" w:color="D9E1F2" w:fill="D9E1F2"/>
            <w:noWrap/>
            <w:vAlign w:val="bottom"/>
            <w:hideMark/>
          </w:tcPr>
          <w:p w14:paraId="0256D254"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0.9766</w:t>
            </w:r>
          </w:p>
        </w:tc>
        <w:tc>
          <w:tcPr>
            <w:tcW w:w="1004" w:type="dxa"/>
            <w:shd w:val="clear" w:color="D9E1F2" w:fill="D9E1F2"/>
            <w:noWrap/>
            <w:vAlign w:val="bottom"/>
            <w:hideMark/>
          </w:tcPr>
          <w:p w14:paraId="57CF956A"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13,479</w:t>
            </w:r>
          </w:p>
        </w:tc>
        <w:tc>
          <w:tcPr>
            <w:tcW w:w="1083" w:type="dxa"/>
            <w:shd w:val="clear" w:color="D9E1F2" w:fill="D9E1F2"/>
            <w:noWrap/>
            <w:vAlign w:val="bottom"/>
            <w:hideMark/>
          </w:tcPr>
          <w:p w14:paraId="51A3E67D"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13,163</w:t>
            </w:r>
          </w:p>
        </w:tc>
        <w:tc>
          <w:tcPr>
            <w:tcW w:w="1164" w:type="dxa"/>
            <w:shd w:val="clear" w:color="D9E1F2" w:fill="D9E1F2"/>
            <w:noWrap/>
            <w:vAlign w:val="bottom"/>
            <w:hideMark/>
          </w:tcPr>
          <w:p w14:paraId="17CE383B"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0.0926</w:t>
            </w:r>
          </w:p>
        </w:tc>
        <w:tc>
          <w:tcPr>
            <w:tcW w:w="588" w:type="dxa"/>
            <w:shd w:val="clear" w:color="auto" w:fill="A8D08D" w:themeFill="accent6" w:themeFillTint="99"/>
            <w:noWrap/>
            <w:vAlign w:val="bottom"/>
            <w:hideMark/>
          </w:tcPr>
          <w:p w14:paraId="5D4FFBB6"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3F3F76"/>
                <w:sz w:val="22"/>
              </w:rPr>
              <w:t>0.73</w:t>
            </w:r>
          </w:p>
        </w:tc>
        <w:tc>
          <w:tcPr>
            <w:tcW w:w="588" w:type="dxa"/>
            <w:shd w:val="clear" w:color="D9E1F2" w:fill="D9E1F2"/>
            <w:noWrap/>
            <w:vAlign w:val="bottom"/>
            <w:hideMark/>
          </w:tcPr>
          <w:p w14:paraId="60784B82"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0.27</w:t>
            </w:r>
          </w:p>
        </w:tc>
        <w:tc>
          <w:tcPr>
            <w:tcW w:w="588" w:type="dxa"/>
            <w:shd w:val="clear" w:color="000000" w:fill="CC99FF"/>
            <w:noWrap/>
            <w:vAlign w:val="bottom"/>
            <w:hideMark/>
          </w:tcPr>
          <w:p w14:paraId="01F5A4A1"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0.05</w:t>
            </w:r>
          </w:p>
        </w:tc>
        <w:tc>
          <w:tcPr>
            <w:tcW w:w="588" w:type="dxa"/>
            <w:shd w:val="clear" w:color="000000" w:fill="CC99FF"/>
            <w:noWrap/>
            <w:vAlign w:val="bottom"/>
            <w:hideMark/>
          </w:tcPr>
          <w:p w14:paraId="47B96544"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0.02</w:t>
            </w:r>
          </w:p>
        </w:tc>
        <w:tc>
          <w:tcPr>
            <w:tcW w:w="588" w:type="dxa"/>
            <w:shd w:val="clear" w:color="D9E1F2" w:fill="D9E1F2"/>
            <w:noWrap/>
            <w:vAlign w:val="bottom"/>
            <w:hideMark/>
          </w:tcPr>
          <w:p w14:paraId="2E6EC51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0.02</w:t>
            </w:r>
          </w:p>
        </w:tc>
        <w:tc>
          <w:tcPr>
            <w:tcW w:w="588" w:type="dxa"/>
            <w:shd w:val="clear" w:color="D9E1F2" w:fill="D9E1F2"/>
            <w:noWrap/>
            <w:vAlign w:val="bottom"/>
            <w:hideMark/>
          </w:tcPr>
          <w:p w14:paraId="6A8ABBB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0.02</w:t>
            </w:r>
          </w:p>
        </w:tc>
        <w:tc>
          <w:tcPr>
            <w:tcW w:w="588" w:type="dxa"/>
            <w:shd w:val="clear" w:color="D9E1F2" w:fill="D9E1F2"/>
            <w:noWrap/>
            <w:vAlign w:val="bottom"/>
            <w:hideMark/>
          </w:tcPr>
          <w:p w14:paraId="67516C6B"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0.02</w:t>
            </w:r>
          </w:p>
        </w:tc>
        <w:tc>
          <w:tcPr>
            <w:tcW w:w="588" w:type="dxa"/>
            <w:shd w:val="clear" w:color="D9E1F2" w:fill="D9E1F2"/>
            <w:noWrap/>
            <w:vAlign w:val="bottom"/>
            <w:hideMark/>
          </w:tcPr>
          <w:p w14:paraId="39B9438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0.02</w:t>
            </w:r>
          </w:p>
        </w:tc>
        <w:tc>
          <w:tcPr>
            <w:tcW w:w="720" w:type="dxa"/>
            <w:shd w:val="clear" w:color="000000" w:fill="F2F2F2"/>
            <w:noWrap/>
            <w:vAlign w:val="bottom"/>
            <w:hideMark/>
          </w:tcPr>
          <w:p w14:paraId="135F5E4B"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0.06</w:t>
            </w:r>
          </w:p>
        </w:tc>
        <w:tc>
          <w:tcPr>
            <w:tcW w:w="720" w:type="dxa"/>
            <w:shd w:val="clear" w:color="000000" w:fill="F2F2F2"/>
            <w:noWrap/>
            <w:vAlign w:val="bottom"/>
            <w:hideMark/>
          </w:tcPr>
          <w:p w14:paraId="4CB12016"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0.06</w:t>
            </w:r>
          </w:p>
        </w:tc>
        <w:tc>
          <w:tcPr>
            <w:tcW w:w="720" w:type="dxa"/>
            <w:shd w:val="clear" w:color="000000" w:fill="F2F2F2"/>
            <w:noWrap/>
            <w:vAlign w:val="bottom"/>
            <w:hideMark/>
          </w:tcPr>
          <w:p w14:paraId="4228D8B7"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0.06</w:t>
            </w:r>
          </w:p>
        </w:tc>
        <w:tc>
          <w:tcPr>
            <w:tcW w:w="720" w:type="dxa"/>
            <w:shd w:val="clear" w:color="000000" w:fill="F2F2F2"/>
            <w:noWrap/>
            <w:vAlign w:val="bottom"/>
            <w:hideMark/>
          </w:tcPr>
          <w:p w14:paraId="340EAD76"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0.06</w:t>
            </w:r>
          </w:p>
        </w:tc>
      </w:tr>
      <w:tr w:rsidR="00A15C2C" w14:paraId="12C6016B" w14:textId="77777777" w:rsidTr="00617167">
        <w:trPr>
          <w:trHeight w:val="300"/>
        </w:trPr>
        <w:tc>
          <w:tcPr>
            <w:tcW w:w="700" w:type="dxa"/>
            <w:noWrap/>
            <w:vAlign w:val="bottom"/>
            <w:hideMark/>
          </w:tcPr>
          <w:p w14:paraId="453573D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2012</w:t>
            </w:r>
          </w:p>
        </w:tc>
        <w:tc>
          <w:tcPr>
            <w:tcW w:w="1191" w:type="dxa"/>
            <w:noWrap/>
            <w:vAlign w:val="bottom"/>
            <w:hideMark/>
          </w:tcPr>
          <w:p w14:paraId="2EAA8595"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0.9614</w:t>
            </w:r>
          </w:p>
        </w:tc>
        <w:tc>
          <w:tcPr>
            <w:tcW w:w="1004" w:type="dxa"/>
            <w:noWrap/>
            <w:vAlign w:val="bottom"/>
            <w:hideMark/>
          </w:tcPr>
          <w:p w14:paraId="5ED3639E"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13,218</w:t>
            </w:r>
          </w:p>
        </w:tc>
        <w:tc>
          <w:tcPr>
            <w:tcW w:w="1083" w:type="dxa"/>
            <w:noWrap/>
            <w:vAlign w:val="bottom"/>
            <w:hideMark/>
          </w:tcPr>
          <w:p w14:paraId="6EA190F8"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12,708</w:t>
            </w:r>
          </w:p>
        </w:tc>
        <w:tc>
          <w:tcPr>
            <w:tcW w:w="1164" w:type="dxa"/>
            <w:noWrap/>
            <w:vAlign w:val="bottom"/>
            <w:hideMark/>
          </w:tcPr>
          <w:p w14:paraId="47435B8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0.0894</w:t>
            </w:r>
          </w:p>
        </w:tc>
        <w:tc>
          <w:tcPr>
            <w:tcW w:w="588" w:type="dxa"/>
            <w:shd w:val="clear" w:color="auto" w:fill="A8D08D" w:themeFill="accent6" w:themeFillTint="99"/>
            <w:noWrap/>
            <w:vAlign w:val="bottom"/>
            <w:hideMark/>
          </w:tcPr>
          <w:p w14:paraId="7E1A1C6E"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3F3F76"/>
                <w:sz w:val="22"/>
              </w:rPr>
              <w:t>0.64</w:t>
            </w:r>
          </w:p>
        </w:tc>
        <w:tc>
          <w:tcPr>
            <w:tcW w:w="588" w:type="dxa"/>
            <w:noWrap/>
            <w:vAlign w:val="bottom"/>
            <w:hideMark/>
          </w:tcPr>
          <w:p w14:paraId="4AC1AD7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0.36</w:t>
            </w:r>
          </w:p>
        </w:tc>
        <w:tc>
          <w:tcPr>
            <w:tcW w:w="588" w:type="dxa"/>
            <w:shd w:val="clear" w:color="000000" w:fill="CC99FF"/>
            <w:noWrap/>
            <w:vAlign w:val="bottom"/>
            <w:hideMark/>
          </w:tcPr>
          <w:p w14:paraId="03293BE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0.04</w:t>
            </w:r>
          </w:p>
        </w:tc>
        <w:tc>
          <w:tcPr>
            <w:tcW w:w="588" w:type="dxa"/>
            <w:shd w:val="clear" w:color="000000" w:fill="CC99FF"/>
            <w:noWrap/>
            <w:vAlign w:val="bottom"/>
            <w:hideMark/>
          </w:tcPr>
          <w:p w14:paraId="5FEBB5D4"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0.02</w:t>
            </w:r>
          </w:p>
        </w:tc>
        <w:tc>
          <w:tcPr>
            <w:tcW w:w="588" w:type="dxa"/>
            <w:noWrap/>
            <w:vAlign w:val="bottom"/>
            <w:hideMark/>
          </w:tcPr>
          <w:p w14:paraId="70AB6699"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0.02</w:t>
            </w:r>
          </w:p>
        </w:tc>
        <w:tc>
          <w:tcPr>
            <w:tcW w:w="588" w:type="dxa"/>
            <w:noWrap/>
            <w:vAlign w:val="bottom"/>
            <w:hideMark/>
          </w:tcPr>
          <w:p w14:paraId="7A8BF19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0.02</w:t>
            </w:r>
          </w:p>
        </w:tc>
        <w:tc>
          <w:tcPr>
            <w:tcW w:w="588" w:type="dxa"/>
            <w:noWrap/>
            <w:vAlign w:val="bottom"/>
            <w:hideMark/>
          </w:tcPr>
          <w:p w14:paraId="65C0315A"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0.02</w:t>
            </w:r>
          </w:p>
        </w:tc>
        <w:tc>
          <w:tcPr>
            <w:tcW w:w="588" w:type="dxa"/>
            <w:noWrap/>
            <w:vAlign w:val="bottom"/>
            <w:hideMark/>
          </w:tcPr>
          <w:p w14:paraId="19324182"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0.02</w:t>
            </w:r>
          </w:p>
        </w:tc>
        <w:tc>
          <w:tcPr>
            <w:tcW w:w="720" w:type="dxa"/>
            <w:shd w:val="clear" w:color="000000" w:fill="F2F2F2"/>
            <w:noWrap/>
            <w:vAlign w:val="bottom"/>
            <w:hideMark/>
          </w:tcPr>
          <w:p w14:paraId="3807DCB6"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0.06</w:t>
            </w:r>
          </w:p>
        </w:tc>
        <w:tc>
          <w:tcPr>
            <w:tcW w:w="720" w:type="dxa"/>
            <w:shd w:val="clear" w:color="000000" w:fill="F2F2F2"/>
            <w:noWrap/>
            <w:vAlign w:val="bottom"/>
            <w:hideMark/>
          </w:tcPr>
          <w:p w14:paraId="20AB0CB5"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0.06</w:t>
            </w:r>
          </w:p>
        </w:tc>
        <w:tc>
          <w:tcPr>
            <w:tcW w:w="720" w:type="dxa"/>
            <w:shd w:val="clear" w:color="000000" w:fill="F2F2F2"/>
            <w:noWrap/>
            <w:vAlign w:val="bottom"/>
            <w:hideMark/>
          </w:tcPr>
          <w:p w14:paraId="5D134662"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0.06</w:t>
            </w:r>
          </w:p>
        </w:tc>
        <w:tc>
          <w:tcPr>
            <w:tcW w:w="720" w:type="dxa"/>
            <w:shd w:val="clear" w:color="000000" w:fill="F2F2F2"/>
            <w:noWrap/>
            <w:vAlign w:val="bottom"/>
            <w:hideMark/>
          </w:tcPr>
          <w:p w14:paraId="477FF425"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0.06</w:t>
            </w:r>
          </w:p>
        </w:tc>
      </w:tr>
      <w:tr w:rsidR="00A15C2C" w14:paraId="5D110706" w14:textId="77777777" w:rsidTr="00617167">
        <w:trPr>
          <w:trHeight w:val="300"/>
        </w:trPr>
        <w:tc>
          <w:tcPr>
            <w:tcW w:w="700" w:type="dxa"/>
            <w:shd w:val="clear" w:color="D9E1F2" w:fill="D9E1F2"/>
            <w:noWrap/>
            <w:vAlign w:val="bottom"/>
            <w:hideMark/>
          </w:tcPr>
          <w:p w14:paraId="51310E68"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2011</w:t>
            </w:r>
          </w:p>
        </w:tc>
        <w:tc>
          <w:tcPr>
            <w:tcW w:w="1191" w:type="dxa"/>
            <w:shd w:val="clear" w:color="D9E1F2" w:fill="D9E1F2"/>
            <w:noWrap/>
            <w:vAlign w:val="bottom"/>
            <w:hideMark/>
          </w:tcPr>
          <w:p w14:paraId="62028FE2"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0.9450</w:t>
            </w:r>
          </w:p>
        </w:tc>
        <w:tc>
          <w:tcPr>
            <w:tcW w:w="1004" w:type="dxa"/>
            <w:shd w:val="clear" w:color="D9E1F2" w:fill="D9E1F2"/>
            <w:noWrap/>
            <w:vAlign w:val="bottom"/>
            <w:hideMark/>
          </w:tcPr>
          <w:p w14:paraId="1756C4B8"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12,977</w:t>
            </w:r>
          </w:p>
        </w:tc>
        <w:tc>
          <w:tcPr>
            <w:tcW w:w="1083" w:type="dxa"/>
            <w:shd w:val="clear" w:color="D9E1F2" w:fill="D9E1F2"/>
            <w:noWrap/>
            <w:vAlign w:val="bottom"/>
            <w:hideMark/>
          </w:tcPr>
          <w:p w14:paraId="76C584BB"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12,264</w:t>
            </w:r>
          </w:p>
        </w:tc>
        <w:tc>
          <w:tcPr>
            <w:tcW w:w="1164" w:type="dxa"/>
            <w:shd w:val="clear" w:color="D9E1F2" w:fill="D9E1F2"/>
            <w:noWrap/>
            <w:vAlign w:val="bottom"/>
            <w:hideMark/>
          </w:tcPr>
          <w:p w14:paraId="1281FB7D"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0.0863</w:t>
            </w:r>
          </w:p>
        </w:tc>
        <w:tc>
          <w:tcPr>
            <w:tcW w:w="588" w:type="dxa"/>
            <w:shd w:val="clear" w:color="000000" w:fill="FFCC99"/>
            <w:noWrap/>
            <w:vAlign w:val="bottom"/>
            <w:hideMark/>
          </w:tcPr>
          <w:p w14:paraId="1F99A02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3F3F76"/>
                <w:sz w:val="22"/>
              </w:rPr>
              <w:t>0.01</w:t>
            </w:r>
          </w:p>
        </w:tc>
        <w:tc>
          <w:tcPr>
            <w:tcW w:w="588" w:type="dxa"/>
            <w:shd w:val="clear" w:color="D9E1F2" w:fill="D9E1F2"/>
            <w:noWrap/>
            <w:vAlign w:val="bottom"/>
            <w:hideMark/>
          </w:tcPr>
          <w:p w14:paraId="63A11B41"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0.99</w:t>
            </w:r>
          </w:p>
        </w:tc>
        <w:tc>
          <w:tcPr>
            <w:tcW w:w="588" w:type="dxa"/>
            <w:shd w:val="clear" w:color="000000" w:fill="CC99FF"/>
            <w:noWrap/>
            <w:vAlign w:val="bottom"/>
            <w:hideMark/>
          </w:tcPr>
          <w:p w14:paraId="369F83D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000000" w:fill="CC99FF"/>
            <w:noWrap/>
            <w:vAlign w:val="bottom"/>
            <w:hideMark/>
          </w:tcPr>
          <w:p w14:paraId="20910F1E"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0.06</w:t>
            </w:r>
          </w:p>
        </w:tc>
        <w:tc>
          <w:tcPr>
            <w:tcW w:w="588" w:type="dxa"/>
            <w:shd w:val="clear" w:color="D9E1F2" w:fill="D9E1F2"/>
            <w:noWrap/>
            <w:vAlign w:val="bottom"/>
            <w:hideMark/>
          </w:tcPr>
          <w:p w14:paraId="77FDC71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0.06</w:t>
            </w:r>
          </w:p>
        </w:tc>
        <w:tc>
          <w:tcPr>
            <w:tcW w:w="588" w:type="dxa"/>
            <w:shd w:val="clear" w:color="D9E1F2" w:fill="D9E1F2"/>
            <w:noWrap/>
            <w:vAlign w:val="bottom"/>
            <w:hideMark/>
          </w:tcPr>
          <w:p w14:paraId="5DCBAB59"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0.06</w:t>
            </w:r>
          </w:p>
        </w:tc>
        <w:tc>
          <w:tcPr>
            <w:tcW w:w="588" w:type="dxa"/>
            <w:shd w:val="clear" w:color="D9E1F2" w:fill="D9E1F2"/>
            <w:noWrap/>
            <w:vAlign w:val="bottom"/>
            <w:hideMark/>
          </w:tcPr>
          <w:p w14:paraId="6979680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0.06</w:t>
            </w:r>
          </w:p>
        </w:tc>
        <w:tc>
          <w:tcPr>
            <w:tcW w:w="588" w:type="dxa"/>
            <w:shd w:val="clear" w:color="D9E1F2" w:fill="D9E1F2"/>
            <w:noWrap/>
            <w:vAlign w:val="bottom"/>
            <w:hideMark/>
          </w:tcPr>
          <w:p w14:paraId="719971B8"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0.06</w:t>
            </w:r>
          </w:p>
        </w:tc>
        <w:tc>
          <w:tcPr>
            <w:tcW w:w="720" w:type="dxa"/>
            <w:shd w:val="clear" w:color="000000" w:fill="F2F2F2"/>
            <w:noWrap/>
            <w:vAlign w:val="bottom"/>
            <w:hideMark/>
          </w:tcPr>
          <w:p w14:paraId="26AC861F"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0.06</w:t>
            </w:r>
          </w:p>
        </w:tc>
        <w:tc>
          <w:tcPr>
            <w:tcW w:w="720" w:type="dxa"/>
            <w:shd w:val="clear" w:color="000000" w:fill="F2F2F2"/>
            <w:noWrap/>
            <w:vAlign w:val="bottom"/>
            <w:hideMark/>
          </w:tcPr>
          <w:p w14:paraId="43A22ADA"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0.06</w:t>
            </w:r>
          </w:p>
        </w:tc>
        <w:tc>
          <w:tcPr>
            <w:tcW w:w="720" w:type="dxa"/>
            <w:shd w:val="clear" w:color="000000" w:fill="F2F2F2"/>
            <w:noWrap/>
            <w:vAlign w:val="bottom"/>
            <w:hideMark/>
          </w:tcPr>
          <w:p w14:paraId="3F52D3FF"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0.06</w:t>
            </w:r>
          </w:p>
        </w:tc>
        <w:tc>
          <w:tcPr>
            <w:tcW w:w="720" w:type="dxa"/>
            <w:shd w:val="clear" w:color="000000" w:fill="F2F2F2"/>
            <w:noWrap/>
            <w:vAlign w:val="bottom"/>
            <w:hideMark/>
          </w:tcPr>
          <w:p w14:paraId="679BBF91"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0.06</w:t>
            </w:r>
          </w:p>
        </w:tc>
      </w:tr>
      <w:tr w:rsidR="00A15C2C" w14:paraId="557DAAF8" w14:textId="77777777" w:rsidTr="00617167">
        <w:trPr>
          <w:trHeight w:val="300"/>
        </w:trPr>
        <w:tc>
          <w:tcPr>
            <w:tcW w:w="700" w:type="dxa"/>
            <w:noWrap/>
            <w:vAlign w:val="bottom"/>
            <w:hideMark/>
          </w:tcPr>
          <w:p w14:paraId="714759DA"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2010</w:t>
            </w:r>
          </w:p>
        </w:tc>
        <w:tc>
          <w:tcPr>
            <w:tcW w:w="1191" w:type="dxa"/>
            <w:noWrap/>
            <w:vAlign w:val="bottom"/>
            <w:hideMark/>
          </w:tcPr>
          <w:p w14:paraId="594EF6E1"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0.9298</w:t>
            </w:r>
          </w:p>
        </w:tc>
        <w:tc>
          <w:tcPr>
            <w:tcW w:w="1004" w:type="dxa"/>
            <w:noWrap/>
            <w:vAlign w:val="bottom"/>
            <w:hideMark/>
          </w:tcPr>
          <w:p w14:paraId="45620B2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12,521</w:t>
            </w:r>
          </w:p>
        </w:tc>
        <w:tc>
          <w:tcPr>
            <w:tcW w:w="1083" w:type="dxa"/>
            <w:noWrap/>
            <w:vAlign w:val="bottom"/>
            <w:hideMark/>
          </w:tcPr>
          <w:p w14:paraId="5D52A2D8"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11,643</w:t>
            </w:r>
          </w:p>
        </w:tc>
        <w:tc>
          <w:tcPr>
            <w:tcW w:w="1164" w:type="dxa"/>
            <w:noWrap/>
            <w:vAlign w:val="bottom"/>
            <w:hideMark/>
          </w:tcPr>
          <w:p w14:paraId="463E23D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0.0819</w:t>
            </w:r>
          </w:p>
        </w:tc>
        <w:tc>
          <w:tcPr>
            <w:tcW w:w="588" w:type="dxa"/>
            <w:shd w:val="clear" w:color="auto" w:fill="DBDBDB" w:themeFill="accent3" w:themeFillTint="66"/>
            <w:noWrap/>
            <w:vAlign w:val="bottom"/>
            <w:hideMark/>
          </w:tcPr>
          <w:p w14:paraId="58F1D41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6100"/>
                <w:sz w:val="22"/>
              </w:rPr>
              <w:t>0.00</w:t>
            </w:r>
          </w:p>
        </w:tc>
        <w:tc>
          <w:tcPr>
            <w:tcW w:w="588" w:type="dxa"/>
            <w:noWrap/>
            <w:vAlign w:val="bottom"/>
            <w:hideMark/>
          </w:tcPr>
          <w:p w14:paraId="50630A51"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1.00</w:t>
            </w:r>
          </w:p>
        </w:tc>
        <w:tc>
          <w:tcPr>
            <w:tcW w:w="588" w:type="dxa"/>
            <w:shd w:val="clear" w:color="000000" w:fill="CC99FF"/>
            <w:noWrap/>
            <w:vAlign w:val="bottom"/>
            <w:hideMark/>
          </w:tcPr>
          <w:p w14:paraId="028F9E98"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000000" w:fill="CC99FF"/>
            <w:noWrap/>
            <w:vAlign w:val="bottom"/>
            <w:hideMark/>
          </w:tcPr>
          <w:p w14:paraId="5AC3E68A"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0.06</w:t>
            </w:r>
          </w:p>
        </w:tc>
        <w:tc>
          <w:tcPr>
            <w:tcW w:w="588" w:type="dxa"/>
            <w:noWrap/>
            <w:vAlign w:val="bottom"/>
            <w:hideMark/>
          </w:tcPr>
          <w:p w14:paraId="28701441"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0.06</w:t>
            </w:r>
          </w:p>
        </w:tc>
        <w:tc>
          <w:tcPr>
            <w:tcW w:w="588" w:type="dxa"/>
            <w:noWrap/>
            <w:vAlign w:val="bottom"/>
            <w:hideMark/>
          </w:tcPr>
          <w:p w14:paraId="6EC5BD1B"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0.06</w:t>
            </w:r>
          </w:p>
        </w:tc>
        <w:tc>
          <w:tcPr>
            <w:tcW w:w="588" w:type="dxa"/>
            <w:noWrap/>
            <w:vAlign w:val="bottom"/>
            <w:hideMark/>
          </w:tcPr>
          <w:p w14:paraId="32F49731"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0.06</w:t>
            </w:r>
          </w:p>
        </w:tc>
        <w:tc>
          <w:tcPr>
            <w:tcW w:w="588" w:type="dxa"/>
            <w:noWrap/>
            <w:vAlign w:val="bottom"/>
            <w:hideMark/>
          </w:tcPr>
          <w:p w14:paraId="6C58F94E"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0.05</w:t>
            </w:r>
          </w:p>
        </w:tc>
        <w:tc>
          <w:tcPr>
            <w:tcW w:w="720" w:type="dxa"/>
            <w:shd w:val="clear" w:color="000000" w:fill="F2F2F2"/>
            <w:noWrap/>
            <w:vAlign w:val="bottom"/>
            <w:hideMark/>
          </w:tcPr>
          <w:p w14:paraId="2C61229E"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0.06</w:t>
            </w:r>
          </w:p>
        </w:tc>
        <w:tc>
          <w:tcPr>
            <w:tcW w:w="720" w:type="dxa"/>
            <w:shd w:val="clear" w:color="000000" w:fill="F2F2F2"/>
            <w:noWrap/>
            <w:vAlign w:val="bottom"/>
            <w:hideMark/>
          </w:tcPr>
          <w:p w14:paraId="2579D5DA"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0.06</w:t>
            </w:r>
          </w:p>
        </w:tc>
        <w:tc>
          <w:tcPr>
            <w:tcW w:w="720" w:type="dxa"/>
            <w:shd w:val="clear" w:color="000000" w:fill="F2F2F2"/>
            <w:noWrap/>
            <w:vAlign w:val="bottom"/>
            <w:hideMark/>
          </w:tcPr>
          <w:p w14:paraId="4E0DC67D"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0.06</w:t>
            </w:r>
          </w:p>
        </w:tc>
        <w:tc>
          <w:tcPr>
            <w:tcW w:w="720" w:type="dxa"/>
            <w:shd w:val="clear" w:color="000000" w:fill="F2F2F2"/>
            <w:noWrap/>
            <w:vAlign w:val="bottom"/>
            <w:hideMark/>
          </w:tcPr>
          <w:p w14:paraId="01848F64"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0.05</w:t>
            </w:r>
          </w:p>
        </w:tc>
      </w:tr>
      <w:tr w:rsidR="00A15C2C" w14:paraId="6FE34B4B" w14:textId="77777777" w:rsidTr="00617167">
        <w:trPr>
          <w:trHeight w:val="300"/>
        </w:trPr>
        <w:tc>
          <w:tcPr>
            <w:tcW w:w="700" w:type="dxa"/>
            <w:shd w:val="clear" w:color="D9E1F2" w:fill="D9E1F2"/>
            <w:noWrap/>
            <w:vAlign w:val="bottom"/>
            <w:hideMark/>
          </w:tcPr>
          <w:p w14:paraId="5114DC69"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2009</w:t>
            </w:r>
          </w:p>
        </w:tc>
        <w:tc>
          <w:tcPr>
            <w:tcW w:w="1191" w:type="dxa"/>
            <w:shd w:val="clear" w:color="D9E1F2" w:fill="D9E1F2"/>
            <w:noWrap/>
            <w:vAlign w:val="bottom"/>
            <w:hideMark/>
          </w:tcPr>
          <w:p w14:paraId="2858982A"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0.9113</w:t>
            </w:r>
          </w:p>
        </w:tc>
        <w:tc>
          <w:tcPr>
            <w:tcW w:w="1004" w:type="dxa"/>
            <w:shd w:val="clear" w:color="D9E1F2" w:fill="D9E1F2"/>
            <w:noWrap/>
            <w:vAlign w:val="bottom"/>
            <w:hideMark/>
          </w:tcPr>
          <w:p w14:paraId="69D24BF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11,465</w:t>
            </w:r>
          </w:p>
        </w:tc>
        <w:tc>
          <w:tcPr>
            <w:tcW w:w="1083" w:type="dxa"/>
            <w:shd w:val="clear" w:color="D9E1F2" w:fill="D9E1F2"/>
            <w:noWrap/>
            <w:vAlign w:val="bottom"/>
            <w:hideMark/>
          </w:tcPr>
          <w:p w14:paraId="43B8175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10,448</w:t>
            </w:r>
          </w:p>
        </w:tc>
        <w:tc>
          <w:tcPr>
            <w:tcW w:w="1164" w:type="dxa"/>
            <w:shd w:val="clear" w:color="D9E1F2" w:fill="D9E1F2"/>
            <w:noWrap/>
            <w:vAlign w:val="bottom"/>
            <w:hideMark/>
          </w:tcPr>
          <w:p w14:paraId="0865618B"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0.0735</w:t>
            </w:r>
          </w:p>
        </w:tc>
        <w:tc>
          <w:tcPr>
            <w:tcW w:w="588" w:type="dxa"/>
            <w:shd w:val="clear" w:color="auto" w:fill="D9E2F3" w:themeFill="accent1" w:themeFillTint="33"/>
            <w:noWrap/>
            <w:vAlign w:val="bottom"/>
            <w:hideMark/>
          </w:tcPr>
          <w:p w14:paraId="345BD6A8"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4246B79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1.00</w:t>
            </w:r>
          </w:p>
        </w:tc>
        <w:tc>
          <w:tcPr>
            <w:tcW w:w="588" w:type="dxa"/>
            <w:shd w:val="clear" w:color="000000" w:fill="CC99FF"/>
            <w:noWrap/>
            <w:vAlign w:val="bottom"/>
            <w:hideMark/>
          </w:tcPr>
          <w:p w14:paraId="2DFEA79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000000" w:fill="CC99FF"/>
            <w:noWrap/>
            <w:vAlign w:val="bottom"/>
            <w:hideMark/>
          </w:tcPr>
          <w:p w14:paraId="1D6F8C52"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0.06</w:t>
            </w:r>
          </w:p>
        </w:tc>
        <w:tc>
          <w:tcPr>
            <w:tcW w:w="588" w:type="dxa"/>
            <w:shd w:val="clear" w:color="D9E1F2" w:fill="D9E1F2"/>
            <w:noWrap/>
            <w:vAlign w:val="bottom"/>
            <w:hideMark/>
          </w:tcPr>
          <w:p w14:paraId="5B66D811"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0.06</w:t>
            </w:r>
          </w:p>
        </w:tc>
        <w:tc>
          <w:tcPr>
            <w:tcW w:w="588" w:type="dxa"/>
            <w:shd w:val="clear" w:color="D9E1F2" w:fill="D9E1F2"/>
            <w:noWrap/>
            <w:vAlign w:val="bottom"/>
            <w:hideMark/>
          </w:tcPr>
          <w:p w14:paraId="137BD972"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0.06</w:t>
            </w:r>
          </w:p>
        </w:tc>
        <w:tc>
          <w:tcPr>
            <w:tcW w:w="588" w:type="dxa"/>
            <w:shd w:val="clear" w:color="D9E1F2" w:fill="D9E1F2"/>
            <w:noWrap/>
            <w:vAlign w:val="bottom"/>
            <w:hideMark/>
          </w:tcPr>
          <w:p w14:paraId="1151B904"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0.06</w:t>
            </w:r>
          </w:p>
        </w:tc>
        <w:tc>
          <w:tcPr>
            <w:tcW w:w="588" w:type="dxa"/>
            <w:shd w:val="clear" w:color="D9E1F2" w:fill="D9E1F2"/>
            <w:noWrap/>
            <w:vAlign w:val="bottom"/>
            <w:hideMark/>
          </w:tcPr>
          <w:p w14:paraId="073396B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0.05</w:t>
            </w:r>
          </w:p>
        </w:tc>
        <w:tc>
          <w:tcPr>
            <w:tcW w:w="720" w:type="dxa"/>
            <w:shd w:val="clear" w:color="000000" w:fill="F2F2F2"/>
            <w:noWrap/>
            <w:vAlign w:val="bottom"/>
            <w:hideMark/>
          </w:tcPr>
          <w:p w14:paraId="6128954F"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0.06</w:t>
            </w:r>
          </w:p>
        </w:tc>
        <w:tc>
          <w:tcPr>
            <w:tcW w:w="720" w:type="dxa"/>
            <w:shd w:val="clear" w:color="000000" w:fill="F2F2F2"/>
            <w:noWrap/>
            <w:vAlign w:val="bottom"/>
            <w:hideMark/>
          </w:tcPr>
          <w:p w14:paraId="6CF4DA74"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0.06</w:t>
            </w:r>
          </w:p>
        </w:tc>
        <w:tc>
          <w:tcPr>
            <w:tcW w:w="720" w:type="dxa"/>
            <w:shd w:val="clear" w:color="000000" w:fill="F2F2F2"/>
            <w:noWrap/>
            <w:vAlign w:val="bottom"/>
            <w:hideMark/>
          </w:tcPr>
          <w:p w14:paraId="086D7D6B"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0.06</w:t>
            </w:r>
          </w:p>
        </w:tc>
        <w:tc>
          <w:tcPr>
            <w:tcW w:w="720" w:type="dxa"/>
            <w:shd w:val="clear" w:color="000000" w:fill="F2F2F2"/>
            <w:noWrap/>
            <w:vAlign w:val="bottom"/>
            <w:hideMark/>
          </w:tcPr>
          <w:p w14:paraId="6B712D49"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0.05</w:t>
            </w:r>
          </w:p>
        </w:tc>
      </w:tr>
      <w:tr w:rsidR="00A15C2C" w14:paraId="1D92330B" w14:textId="77777777" w:rsidTr="00617167">
        <w:trPr>
          <w:trHeight w:val="300"/>
        </w:trPr>
        <w:tc>
          <w:tcPr>
            <w:tcW w:w="700" w:type="dxa"/>
            <w:noWrap/>
            <w:vAlign w:val="bottom"/>
            <w:hideMark/>
          </w:tcPr>
          <w:p w14:paraId="7DCC6D29"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2008</w:t>
            </w:r>
          </w:p>
        </w:tc>
        <w:tc>
          <w:tcPr>
            <w:tcW w:w="1191" w:type="dxa"/>
            <w:noWrap/>
            <w:vAlign w:val="bottom"/>
            <w:hideMark/>
          </w:tcPr>
          <w:p w14:paraId="2684B3E9"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0.8912</w:t>
            </w:r>
          </w:p>
        </w:tc>
        <w:tc>
          <w:tcPr>
            <w:tcW w:w="1004" w:type="dxa"/>
            <w:noWrap/>
            <w:vAlign w:val="bottom"/>
            <w:hideMark/>
          </w:tcPr>
          <w:p w14:paraId="4BF6A86B"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10,203</w:t>
            </w:r>
          </w:p>
        </w:tc>
        <w:tc>
          <w:tcPr>
            <w:tcW w:w="1083" w:type="dxa"/>
            <w:noWrap/>
            <w:vAlign w:val="bottom"/>
            <w:hideMark/>
          </w:tcPr>
          <w:p w14:paraId="50A7E23E"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9,092</w:t>
            </w:r>
          </w:p>
        </w:tc>
        <w:tc>
          <w:tcPr>
            <w:tcW w:w="1164" w:type="dxa"/>
            <w:noWrap/>
            <w:vAlign w:val="bottom"/>
            <w:hideMark/>
          </w:tcPr>
          <w:p w14:paraId="539F486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0.0640</w:t>
            </w:r>
          </w:p>
        </w:tc>
        <w:tc>
          <w:tcPr>
            <w:tcW w:w="588" w:type="dxa"/>
            <w:shd w:val="clear" w:color="auto" w:fill="auto"/>
            <w:noWrap/>
            <w:vAlign w:val="bottom"/>
            <w:hideMark/>
          </w:tcPr>
          <w:p w14:paraId="20A97621" w14:textId="77777777" w:rsidR="001D6419" w:rsidRPr="005E3D4C" w:rsidRDefault="000F5B51" w:rsidP="00D07617">
            <w:pPr>
              <w:spacing w:after="0" w:line="240" w:lineRule="auto"/>
              <w:contextualSpacing/>
              <w:rPr>
                <w:rFonts w:cs="Times New Roman"/>
              </w:rPr>
            </w:pPr>
            <w:r w:rsidRPr="00617167">
              <w:rPr>
                <w:rFonts w:cs="Times New Roman"/>
                <w:color w:val="000000"/>
                <w:sz w:val="22"/>
              </w:rPr>
              <w:t>0.00</w:t>
            </w:r>
          </w:p>
        </w:tc>
        <w:tc>
          <w:tcPr>
            <w:tcW w:w="588" w:type="dxa"/>
            <w:noWrap/>
            <w:vAlign w:val="bottom"/>
            <w:hideMark/>
          </w:tcPr>
          <w:p w14:paraId="20259A3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1.00</w:t>
            </w:r>
          </w:p>
        </w:tc>
        <w:tc>
          <w:tcPr>
            <w:tcW w:w="588" w:type="dxa"/>
            <w:shd w:val="clear" w:color="000000" w:fill="CC99FF"/>
            <w:noWrap/>
            <w:vAlign w:val="bottom"/>
            <w:hideMark/>
          </w:tcPr>
          <w:p w14:paraId="5D9B1696"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000000" w:fill="CC99FF"/>
            <w:noWrap/>
            <w:vAlign w:val="bottom"/>
            <w:hideMark/>
          </w:tcPr>
          <w:p w14:paraId="21BE5F12"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0.06</w:t>
            </w:r>
          </w:p>
        </w:tc>
        <w:tc>
          <w:tcPr>
            <w:tcW w:w="588" w:type="dxa"/>
            <w:noWrap/>
            <w:vAlign w:val="bottom"/>
            <w:hideMark/>
          </w:tcPr>
          <w:p w14:paraId="1F520291"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0.06</w:t>
            </w:r>
          </w:p>
        </w:tc>
        <w:tc>
          <w:tcPr>
            <w:tcW w:w="588" w:type="dxa"/>
            <w:noWrap/>
            <w:vAlign w:val="bottom"/>
            <w:hideMark/>
          </w:tcPr>
          <w:p w14:paraId="2839440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0.06</w:t>
            </w:r>
          </w:p>
        </w:tc>
        <w:tc>
          <w:tcPr>
            <w:tcW w:w="588" w:type="dxa"/>
            <w:noWrap/>
            <w:vAlign w:val="bottom"/>
            <w:hideMark/>
          </w:tcPr>
          <w:p w14:paraId="37F381BB"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0.06</w:t>
            </w:r>
          </w:p>
        </w:tc>
        <w:tc>
          <w:tcPr>
            <w:tcW w:w="588" w:type="dxa"/>
            <w:noWrap/>
            <w:vAlign w:val="bottom"/>
            <w:hideMark/>
          </w:tcPr>
          <w:p w14:paraId="13C4BDD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0.05</w:t>
            </w:r>
          </w:p>
        </w:tc>
        <w:tc>
          <w:tcPr>
            <w:tcW w:w="720" w:type="dxa"/>
            <w:shd w:val="clear" w:color="000000" w:fill="F2F2F2"/>
            <w:noWrap/>
            <w:vAlign w:val="bottom"/>
            <w:hideMark/>
          </w:tcPr>
          <w:p w14:paraId="7DB307CA"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0.06</w:t>
            </w:r>
          </w:p>
        </w:tc>
        <w:tc>
          <w:tcPr>
            <w:tcW w:w="720" w:type="dxa"/>
            <w:shd w:val="clear" w:color="000000" w:fill="F2F2F2"/>
            <w:noWrap/>
            <w:vAlign w:val="bottom"/>
            <w:hideMark/>
          </w:tcPr>
          <w:p w14:paraId="583EBCCE"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0.06</w:t>
            </w:r>
          </w:p>
        </w:tc>
        <w:tc>
          <w:tcPr>
            <w:tcW w:w="720" w:type="dxa"/>
            <w:shd w:val="clear" w:color="000000" w:fill="F2F2F2"/>
            <w:noWrap/>
            <w:vAlign w:val="bottom"/>
            <w:hideMark/>
          </w:tcPr>
          <w:p w14:paraId="79DDFE61"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0.06</w:t>
            </w:r>
          </w:p>
        </w:tc>
        <w:tc>
          <w:tcPr>
            <w:tcW w:w="720" w:type="dxa"/>
            <w:shd w:val="clear" w:color="000000" w:fill="F2F2F2"/>
            <w:noWrap/>
            <w:vAlign w:val="bottom"/>
            <w:hideMark/>
          </w:tcPr>
          <w:p w14:paraId="5474BD62"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0.05</w:t>
            </w:r>
          </w:p>
        </w:tc>
      </w:tr>
      <w:tr w:rsidR="00A15C2C" w14:paraId="694C26BD" w14:textId="77777777" w:rsidTr="00617167">
        <w:trPr>
          <w:trHeight w:val="300"/>
        </w:trPr>
        <w:tc>
          <w:tcPr>
            <w:tcW w:w="700" w:type="dxa"/>
            <w:shd w:val="clear" w:color="D9E1F2" w:fill="D9E1F2"/>
            <w:noWrap/>
            <w:vAlign w:val="bottom"/>
            <w:hideMark/>
          </w:tcPr>
          <w:p w14:paraId="0CBCE9B1"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2007</w:t>
            </w:r>
          </w:p>
        </w:tc>
        <w:tc>
          <w:tcPr>
            <w:tcW w:w="1191" w:type="dxa"/>
            <w:shd w:val="clear" w:color="D9E1F2" w:fill="D9E1F2"/>
            <w:noWrap/>
            <w:vAlign w:val="bottom"/>
            <w:hideMark/>
          </w:tcPr>
          <w:p w14:paraId="465DE3B9"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0.8689</w:t>
            </w:r>
          </w:p>
        </w:tc>
        <w:tc>
          <w:tcPr>
            <w:tcW w:w="1004" w:type="dxa"/>
            <w:shd w:val="clear" w:color="D9E1F2" w:fill="D9E1F2"/>
            <w:noWrap/>
            <w:vAlign w:val="bottom"/>
            <w:hideMark/>
          </w:tcPr>
          <w:p w14:paraId="1AF6016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8,842</w:t>
            </w:r>
          </w:p>
        </w:tc>
        <w:tc>
          <w:tcPr>
            <w:tcW w:w="1083" w:type="dxa"/>
            <w:shd w:val="clear" w:color="D9E1F2" w:fill="D9E1F2"/>
            <w:noWrap/>
            <w:vAlign w:val="bottom"/>
            <w:hideMark/>
          </w:tcPr>
          <w:p w14:paraId="6AA1AEE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7,683</w:t>
            </w:r>
          </w:p>
        </w:tc>
        <w:tc>
          <w:tcPr>
            <w:tcW w:w="1164" w:type="dxa"/>
            <w:shd w:val="clear" w:color="D9E1F2" w:fill="D9E1F2"/>
            <w:noWrap/>
            <w:vAlign w:val="bottom"/>
            <w:hideMark/>
          </w:tcPr>
          <w:p w14:paraId="57BFBADE"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0.0541</w:t>
            </w:r>
          </w:p>
        </w:tc>
        <w:tc>
          <w:tcPr>
            <w:tcW w:w="588" w:type="dxa"/>
            <w:shd w:val="clear" w:color="auto" w:fill="D5DCE4" w:themeFill="text2" w:themeFillTint="33"/>
            <w:noWrap/>
            <w:vAlign w:val="bottom"/>
            <w:hideMark/>
          </w:tcPr>
          <w:p w14:paraId="7170C684" w14:textId="77777777" w:rsidR="001D6419" w:rsidRPr="005E3D4C" w:rsidRDefault="000F5B51" w:rsidP="00D07617">
            <w:pPr>
              <w:spacing w:after="0" w:line="240" w:lineRule="auto"/>
              <w:contextualSpacing/>
              <w:rPr>
                <w:rFonts w:cs="Times New Roman"/>
              </w:rPr>
            </w:pPr>
            <w:r w:rsidRPr="00617167">
              <w:rPr>
                <w:rFonts w:cs="Times New Roman"/>
                <w:color w:val="000000"/>
                <w:sz w:val="22"/>
              </w:rPr>
              <w:t>0.00</w:t>
            </w:r>
          </w:p>
        </w:tc>
        <w:tc>
          <w:tcPr>
            <w:tcW w:w="588" w:type="dxa"/>
            <w:shd w:val="clear" w:color="D9E1F2" w:fill="D9E1F2"/>
            <w:noWrap/>
            <w:vAlign w:val="bottom"/>
            <w:hideMark/>
          </w:tcPr>
          <w:p w14:paraId="0E7C971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1.00</w:t>
            </w:r>
          </w:p>
        </w:tc>
        <w:tc>
          <w:tcPr>
            <w:tcW w:w="588" w:type="dxa"/>
            <w:shd w:val="clear" w:color="000000" w:fill="CC99FF"/>
            <w:noWrap/>
            <w:vAlign w:val="bottom"/>
            <w:hideMark/>
          </w:tcPr>
          <w:p w14:paraId="5CBC03D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000000" w:fill="CC99FF"/>
            <w:noWrap/>
            <w:vAlign w:val="bottom"/>
            <w:hideMark/>
          </w:tcPr>
          <w:p w14:paraId="33ED71A8"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0.06</w:t>
            </w:r>
          </w:p>
        </w:tc>
        <w:tc>
          <w:tcPr>
            <w:tcW w:w="588" w:type="dxa"/>
            <w:shd w:val="clear" w:color="D9E1F2" w:fill="D9E1F2"/>
            <w:noWrap/>
            <w:vAlign w:val="bottom"/>
            <w:hideMark/>
          </w:tcPr>
          <w:p w14:paraId="372E063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0.06</w:t>
            </w:r>
          </w:p>
        </w:tc>
        <w:tc>
          <w:tcPr>
            <w:tcW w:w="588" w:type="dxa"/>
            <w:shd w:val="clear" w:color="D9E1F2" w:fill="D9E1F2"/>
            <w:noWrap/>
            <w:vAlign w:val="bottom"/>
            <w:hideMark/>
          </w:tcPr>
          <w:p w14:paraId="7BB1FB38"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0.06</w:t>
            </w:r>
          </w:p>
        </w:tc>
        <w:tc>
          <w:tcPr>
            <w:tcW w:w="588" w:type="dxa"/>
            <w:shd w:val="clear" w:color="D9E1F2" w:fill="D9E1F2"/>
            <w:noWrap/>
            <w:vAlign w:val="bottom"/>
            <w:hideMark/>
          </w:tcPr>
          <w:p w14:paraId="75FF81D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0.06</w:t>
            </w:r>
          </w:p>
        </w:tc>
        <w:tc>
          <w:tcPr>
            <w:tcW w:w="588" w:type="dxa"/>
            <w:shd w:val="clear" w:color="D9E1F2" w:fill="D9E1F2"/>
            <w:noWrap/>
            <w:vAlign w:val="bottom"/>
            <w:hideMark/>
          </w:tcPr>
          <w:p w14:paraId="6625D22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0.05</w:t>
            </w:r>
          </w:p>
        </w:tc>
        <w:tc>
          <w:tcPr>
            <w:tcW w:w="720" w:type="dxa"/>
            <w:shd w:val="clear" w:color="000000" w:fill="F2F2F2"/>
            <w:noWrap/>
            <w:vAlign w:val="bottom"/>
            <w:hideMark/>
          </w:tcPr>
          <w:p w14:paraId="53FB038B"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0.06</w:t>
            </w:r>
          </w:p>
        </w:tc>
        <w:tc>
          <w:tcPr>
            <w:tcW w:w="720" w:type="dxa"/>
            <w:shd w:val="clear" w:color="000000" w:fill="F2F2F2"/>
            <w:noWrap/>
            <w:vAlign w:val="bottom"/>
            <w:hideMark/>
          </w:tcPr>
          <w:p w14:paraId="5FC3D73E"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0.06</w:t>
            </w:r>
          </w:p>
        </w:tc>
        <w:tc>
          <w:tcPr>
            <w:tcW w:w="720" w:type="dxa"/>
            <w:shd w:val="clear" w:color="000000" w:fill="F2F2F2"/>
            <w:noWrap/>
            <w:vAlign w:val="bottom"/>
            <w:hideMark/>
          </w:tcPr>
          <w:p w14:paraId="77254701"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0.06</w:t>
            </w:r>
          </w:p>
        </w:tc>
        <w:tc>
          <w:tcPr>
            <w:tcW w:w="720" w:type="dxa"/>
            <w:shd w:val="clear" w:color="000000" w:fill="F2F2F2"/>
            <w:noWrap/>
            <w:vAlign w:val="bottom"/>
            <w:hideMark/>
          </w:tcPr>
          <w:p w14:paraId="6C21D743"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0.05</w:t>
            </w:r>
          </w:p>
        </w:tc>
      </w:tr>
      <w:tr w:rsidR="00A15C2C" w14:paraId="78469480" w14:textId="77777777" w:rsidTr="00617167">
        <w:trPr>
          <w:trHeight w:val="300"/>
        </w:trPr>
        <w:tc>
          <w:tcPr>
            <w:tcW w:w="700" w:type="dxa"/>
            <w:noWrap/>
            <w:vAlign w:val="bottom"/>
            <w:hideMark/>
          </w:tcPr>
          <w:p w14:paraId="2977152D"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2006</w:t>
            </w:r>
          </w:p>
        </w:tc>
        <w:tc>
          <w:tcPr>
            <w:tcW w:w="1191" w:type="dxa"/>
            <w:noWrap/>
            <w:vAlign w:val="bottom"/>
            <w:hideMark/>
          </w:tcPr>
          <w:p w14:paraId="58742421"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0.8397</w:t>
            </w:r>
          </w:p>
        </w:tc>
        <w:tc>
          <w:tcPr>
            <w:tcW w:w="1004" w:type="dxa"/>
            <w:noWrap/>
            <w:vAlign w:val="bottom"/>
            <w:hideMark/>
          </w:tcPr>
          <w:p w14:paraId="7A9AFC72"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7,493</w:t>
            </w:r>
          </w:p>
        </w:tc>
        <w:tc>
          <w:tcPr>
            <w:tcW w:w="1083" w:type="dxa"/>
            <w:noWrap/>
            <w:vAlign w:val="bottom"/>
            <w:hideMark/>
          </w:tcPr>
          <w:p w14:paraId="26D3A849"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6,292</w:t>
            </w:r>
          </w:p>
        </w:tc>
        <w:tc>
          <w:tcPr>
            <w:tcW w:w="1164" w:type="dxa"/>
            <w:noWrap/>
            <w:vAlign w:val="bottom"/>
            <w:hideMark/>
          </w:tcPr>
          <w:p w14:paraId="20EBD09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0.0443</w:t>
            </w:r>
          </w:p>
        </w:tc>
        <w:tc>
          <w:tcPr>
            <w:tcW w:w="588" w:type="dxa"/>
            <w:shd w:val="clear" w:color="auto" w:fill="auto"/>
            <w:noWrap/>
            <w:vAlign w:val="bottom"/>
            <w:hideMark/>
          </w:tcPr>
          <w:p w14:paraId="11ACE833" w14:textId="77777777" w:rsidR="001D6419" w:rsidRPr="005E3D4C" w:rsidRDefault="000F5B51" w:rsidP="00D07617">
            <w:pPr>
              <w:spacing w:after="0" w:line="240" w:lineRule="auto"/>
              <w:contextualSpacing/>
              <w:rPr>
                <w:rFonts w:cs="Times New Roman"/>
              </w:rPr>
            </w:pPr>
            <w:r w:rsidRPr="00617167">
              <w:rPr>
                <w:rFonts w:cs="Times New Roman"/>
                <w:color w:val="000000"/>
                <w:sz w:val="22"/>
              </w:rPr>
              <w:t>0.00</w:t>
            </w:r>
          </w:p>
        </w:tc>
        <w:tc>
          <w:tcPr>
            <w:tcW w:w="588" w:type="dxa"/>
            <w:noWrap/>
            <w:vAlign w:val="bottom"/>
            <w:hideMark/>
          </w:tcPr>
          <w:p w14:paraId="3154B5B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1.00</w:t>
            </w:r>
          </w:p>
        </w:tc>
        <w:tc>
          <w:tcPr>
            <w:tcW w:w="588" w:type="dxa"/>
            <w:shd w:val="clear" w:color="000000" w:fill="CC99FF"/>
            <w:noWrap/>
            <w:vAlign w:val="bottom"/>
            <w:hideMark/>
          </w:tcPr>
          <w:p w14:paraId="19CCB289"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000000" w:fill="CC99FF"/>
            <w:noWrap/>
            <w:vAlign w:val="bottom"/>
            <w:hideMark/>
          </w:tcPr>
          <w:p w14:paraId="5CE9DEF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0.05</w:t>
            </w:r>
          </w:p>
        </w:tc>
        <w:tc>
          <w:tcPr>
            <w:tcW w:w="588" w:type="dxa"/>
            <w:noWrap/>
            <w:vAlign w:val="bottom"/>
            <w:hideMark/>
          </w:tcPr>
          <w:p w14:paraId="131AFE6D"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0.05</w:t>
            </w:r>
          </w:p>
        </w:tc>
        <w:tc>
          <w:tcPr>
            <w:tcW w:w="588" w:type="dxa"/>
            <w:noWrap/>
            <w:vAlign w:val="bottom"/>
            <w:hideMark/>
          </w:tcPr>
          <w:p w14:paraId="0D9F4F8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0.05</w:t>
            </w:r>
          </w:p>
        </w:tc>
        <w:tc>
          <w:tcPr>
            <w:tcW w:w="588" w:type="dxa"/>
            <w:noWrap/>
            <w:vAlign w:val="bottom"/>
            <w:hideMark/>
          </w:tcPr>
          <w:p w14:paraId="33BA9CCD"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0.05</w:t>
            </w:r>
          </w:p>
        </w:tc>
        <w:tc>
          <w:tcPr>
            <w:tcW w:w="588" w:type="dxa"/>
            <w:noWrap/>
            <w:vAlign w:val="bottom"/>
            <w:hideMark/>
          </w:tcPr>
          <w:p w14:paraId="191E252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0.05</w:t>
            </w:r>
          </w:p>
        </w:tc>
        <w:tc>
          <w:tcPr>
            <w:tcW w:w="720" w:type="dxa"/>
            <w:shd w:val="clear" w:color="000000" w:fill="F2F2F2"/>
            <w:noWrap/>
            <w:vAlign w:val="bottom"/>
            <w:hideMark/>
          </w:tcPr>
          <w:p w14:paraId="34838030"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0.05</w:t>
            </w:r>
          </w:p>
        </w:tc>
        <w:tc>
          <w:tcPr>
            <w:tcW w:w="720" w:type="dxa"/>
            <w:shd w:val="clear" w:color="000000" w:fill="F2F2F2"/>
            <w:noWrap/>
            <w:vAlign w:val="bottom"/>
            <w:hideMark/>
          </w:tcPr>
          <w:p w14:paraId="33D98E6D"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0.05</w:t>
            </w:r>
          </w:p>
        </w:tc>
        <w:tc>
          <w:tcPr>
            <w:tcW w:w="720" w:type="dxa"/>
            <w:shd w:val="clear" w:color="000000" w:fill="F2F2F2"/>
            <w:noWrap/>
            <w:vAlign w:val="bottom"/>
            <w:hideMark/>
          </w:tcPr>
          <w:p w14:paraId="3C39AF09"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0.05</w:t>
            </w:r>
          </w:p>
        </w:tc>
        <w:tc>
          <w:tcPr>
            <w:tcW w:w="720" w:type="dxa"/>
            <w:shd w:val="clear" w:color="000000" w:fill="F2F2F2"/>
            <w:noWrap/>
            <w:vAlign w:val="bottom"/>
            <w:hideMark/>
          </w:tcPr>
          <w:p w14:paraId="0BFCB208"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0.05</w:t>
            </w:r>
          </w:p>
        </w:tc>
      </w:tr>
      <w:tr w:rsidR="00A15C2C" w14:paraId="63F38605" w14:textId="77777777" w:rsidTr="00617167">
        <w:trPr>
          <w:trHeight w:val="300"/>
        </w:trPr>
        <w:tc>
          <w:tcPr>
            <w:tcW w:w="700" w:type="dxa"/>
            <w:shd w:val="clear" w:color="D9E1F2" w:fill="D9E1F2"/>
            <w:noWrap/>
            <w:vAlign w:val="bottom"/>
            <w:hideMark/>
          </w:tcPr>
          <w:p w14:paraId="46BBEA29"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2005</w:t>
            </w:r>
          </w:p>
        </w:tc>
        <w:tc>
          <w:tcPr>
            <w:tcW w:w="1191" w:type="dxa"/>
            <w:shd w:val="clear" w:color="D9E1F2" w:fill="D9E1F2"/>
            <w:noWrap/>
            <w:vAlign w:val="bottom"/>
            <w:hideMark/>
          </w:tcPr>
          <w:p w14:paraId="321303E2"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0.7999</w:t>
            </w:r>
          </w:p>
        </w:tc>
        <w:tc>
          <w:tcPr>
            <w:tcW w:w="1004" w:type="dxa"/>
            <w:shd w:val="clear" w:color="D9E1F2" w:fill="D9E1F2"/>
            <w:noWrap/>
            <w:vAlign w:val="bottom"/>
            <w:hideMark/>
          </w:tcPr>
          <w:p w14:paraId="1E88B88A"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6,264</w:t>
            </w:r>
          </w:p>
        </w:tc>
        <w:tc>
          <w:tcPr>
            <w:tcW w:w="1083" w:type="dxa"/>
            <w:shd w:val="clear" w:color="D9E1F2" w:fill="D9E1F2"/>
            <w:noWrap/>
            <w:vAlign w:val="bottom"/>
            <w:hideMark/>
          </w:tcPr>
          <w:p w14:paraId="7E1C4BE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5,011</w:t>
            </w:r>
          </w:p>
        </w:tc>
        <w:tc>
          <w:tcPr>
            <w:tcW w:w="1164" w:type="dxa"/>
            <w:shd w:val="clear" w:color="D9E1F2" w:fill="D9E1F2"/>
            <w:noWrap/>
            <w:vAlign w:val="bottom"/>
            <w:hideMark/>
          </w:tcPr>
          <w:p w14:paraId="1E9847CA"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0.0353</w:t>
            </w:r>
          </w:p>
        </w:tc>
        <w:tc>
          <w:tcPr>
            <w:tcW w:w="588" w:type="dxa"/>
            <w:shd w:val="clear" w:color="auto" w:fill="D5DCE4" w:themeFill="text2" w:themeFillTint="33"/>
            <w:noWrap/>
            <w:vAlign w:val="bottom"/>
            <w:hideMark/>
          </w:tcPr>
          <w:p w14:paraId="5306E1D4" w14:textId="77777777" w:rsidR="001D6419" w:rsidRPr="005E3D4C" w:rsidRDefault="000F5B51" w:rsidP="00D07617">
            <w:pPr>
              <w:spacing w:after="0" w:line="240" w:lineRule="auto"/>
              <w:contextualSpacing/>
              <w:rPr>
                <w:rFonts w:cs="Times New Roman"/>
              </w:rPr>
            </w:pPr>
            <w:r w:rsidRPr="00617167">
              <w:rPr>
                <w:rFonts w:cs="Times New Roman"/>
                <w:color w:val="000000"/>
                <w:sz w:val="22"/>
              </w:rPr>
              <w:t>0.00</w:t>
            </w:r>
          </w:p>
        </w:tc>
        <w:tc>
          <w:tcPr>
            <w:tcW w:w="588" w:type="dxa"/>
            <w:shd w:val="clear" w:color="D9E1F2" w:fill="D9E1F2"/>
            <w:noWrap/>
            <w:vAlign w:val="bottom"/>
            <w:hideMark/>
          </w:tcPr>
          <w:p w14:paraId="4A126CDD"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1.00</w:t>
            </w:r>
          </w:p>
        </w:tc>
        <w:tc>
          <w:tcPr>
            <w:tcW w:w="588" w:type="dxa"/>
            <w:shd w:val="clear" w:color="000000" w:fill="CC99FF"/>
            <w:noWrap/>
            <w:vAlign w:val="bottom"/>
            <w:hideMark/>
          </w:tcPr>
          <w:p w14:paraId="3FE734E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000000" w:fill="CC99FF"/>
            <w:noWrap/>
            <w:vAlign w:val="bottom"/>
            <w:hideMark/>
          </w:tcPr>
          <w:p w14:paraId="23E44001"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0.05</w:t>
            </w:r>
          </w:p>
        </w:tc>
        <w:tc>
          <w:tcPr>
            <w:tcW w:w="588" w:type="dxa"/>
            <w:shd w:val="clear" w:color="D9E1F2" w:fill="D9E1F2"/>
            <w:noWrap/>
            <w:vAlign w:val="bottom"/>
            <w:hideMark/>
          </w:tcPr>
          <w:p w14:paraId="06783CE9"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0.05</w:t>
            </w:r>
          </w:p>
        </w:tc>
        <w:tc>
          <w:tcPr>
            <w:tcW w:w="588" w:type="dxa"/>
            <w:shd w:val="clear" w:color="D9E1F2" w:fill="D9E1F2"/>
            <w:noWrap/>
            <w:vAlign w:val="bottom"/>
            <w:hideMark/>
          </w:tcPr>
          <w:p w14:paraId="4DC56241"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0.05</w:t>
            </w:r>
          </w:p>
        </w:tc>
        <w:tc>
          <w:tcPr>
            <w:tcW w:w="588" w:type="dxa"/>
            <w:shd w:val="clear" w:color="D9E1F2" w:fill="D9E1F2"/>
            <w:noWrap/>
            <w:vAlign w:val="bottom"/>
            <w:hideMark/>
          </w:tcPr>
          <w:p w14:paraId="28572684"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0.05</w:t>
            </w:r>
          </w:p>
        </w:tc>
        <w:tc>
          <w:tcPr>
            <w:tcW w:w="588" w:type="dxa"/>
            <w:shd w:val="clear" w:color="D9E1F2" w:fill="D9E1F2"/>
            <w:noWrap/>
            <w:vAlign w:val="bottom"/>
            <w:hideMark/>
          </w:tcPr>
          <w:p w14:paraId="326D53B2"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0.05</w:t>
            </w:r>
          </w:p>
        </w:tc>
        <w:tc>
          <w:tcPr>
            <w:tcW w:w="720" w:type="dxa"/>
            <w:shd w:val="clear" w:color="000000" w:fill="F2F2F2"/>
            <w:noWrap/>
            <w:vAlign w:val="bottom"/>
            <w:hideMark/>
          </w:tcPr>
          <w:p w14:paraId="2730A0EB"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0.05</w:t>
            </w:r>
          </w:p>
        </w:tc>
        <w:tc>
          <w:tcPr>
            <w:tcW w:w="720" w:type="dxa"/>
            <w:shd w:val="clear" w:color="000000" w:fill="F2F2F2"/>
            <w:noWrap/>
            <w:vAlign w:val="bottom"/>
            <w:hideMark/>
          </w:tcPr>
          <w:p w14:paraId="0F9A1544"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0.05</w:t>
            </w:r>
          </w:p>
        </w:tc>
        <w:tc>
          <w:tcPr>
            <w:tcW w:w="720" w:type="dxa"/>
            <w:shd w:val="clear" w:color="000000" w:fill="F2F2F2"/>
            <w:noWrap/>
            <w:vAlign w:val="bottom"/>
            <w:hideMark/>
          </w:tcPr>
          <w:p w14:paraId="252E8688"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0.05</w:t>
            </w:r>
          </w:p>
        </w:tc>
        <w:tc>
          <w:tcPr>
            <w:tcW w:w="720" w:type="dxa"/>
            <w:shd w:val="clear" w:color="000000" w:fill="F2F2F2"/>
            <w:noWrap/>
            <w:vAlign w:val="bottom"/>
            <w:hideMark/>
          </w:tcPr>
          <w:p w14:paraId="04EBC50F"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0.05</w:t>
            </w:r>
          </w:p>
        </w:tc>
      </w:tr>
      <w:tr w:rsidR="00A15C2C" w14:paraId="2546DEE8" w14:textId="77777777" w:rsidTr="00617167">
        <w:trPr>
          <w:trHeight w:val="300"/>
        </w:trPr>
        <w:tc>
          <w:tcPr>
            <w:tcW w:w="700" w:type="dxa"/>
            <w:noWrap/>
            <w:vAlign w:val="bottom"/>
            <w:hideMark/>
          </w:tcPr>
          <w:p w14:paraId="1069692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2004</w:t>
            </w:r>
          </w:p>
        </w:tc>
        <w:tc>
          <w:tcPr>
            <w:tcW w:w="1191" w:type="dxa"/>
            <w:noWrap/>
            <w:vAlign w:val="bottom"/>
            <w:hideMark/>
          </w:tcPr>
          <w:p w14:paraId="36F3AFE5"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0.7556</w:t>
            </w:r>
          </w:p>
        </w:tc>
        <w:tc>
          <w:tcPr>
            <w:tcW w:w="1004" w:type="dxa"/>
            <w:noWrap/>
            <w:vAlign w:val="bottom"/>
            <w:hideMark/>
          </w:tcPr>
          <w:p w14:paraId="3DAFBCE8"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5,266</w:t>
            </w:r>
          </w:p>
        </w:tc>
        <w:tc>
          <w:tcPr>
            <w:tcW w:w="1083" w:type="dxa"/>
            <w:noWrap/>
            <w:vAlign w:val="bottom"/>
            <w:hideMark/>
          </w:tcPr>
          <w:p w14:paraId="19EEEC85"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3,979</w:t>
            </w:r>
          </w:p>
        </w:tc>
        <w:tc>
          <w:tcPr>
            <w:tcW w:w="1164" w:type="dxa"/>
            <w:noWrap/>
            <w:vAlign w:val="bottom"/>
            <w:hideMark/>
          </w:tcPr>
          <w:p w14:paraId="7DF474CB"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0.0280</w:t>
            </w:r>
          </w:p>
        </w:tc>
        <w:tc>
          <w:tcPr>
            <w:tcW w:w="588" w:type="dxa"/>
            <w:shd w:val="clear" w:color="auto" w:fill="auto"/>
            <w:noWrap/>
            <w:vAlign w:val="bottom"/>
            <w:hideMark/>
          </w:tcPr>
          <w:p w14:paraId="26317EB8" w14:textId="77777777" w:rsidR="001D6419" w:rsidRPr="005E3D4C" w:rsidRDefault="000F5B51" w:rsidP="00D07617">
            <w:pPr>
              <w:spacing w:after="0" w:line="240" w:lineRule="auto"/>
              <w:contextualSpacing/>
              <w:rPr>
                <w:rFonts w:cs="Times New Roman"/>
              </w:rPr>
            </w:pPr>
            <w:r w:rsidRPr="00617167">
              <w:rPr>
                <w:rFonts w:cs="Times New Roman"/>
                <w:color w:val="000000"/>
                <w:sz w:val="22"/>
              </w:rPr>
              <w:t>0.00</w:t>
            </w:r>
          </w:p>
        </w:tc>
        <w:tc>
          <w:tcPr>
            <w:tcW w:w="588" w:type="dxa"/>
            <w:noWrap/>
            <w:vAlign w:val="bottom"/>
            <w:hideMark/>
          </w:tcPr>
          <w:p w14:paraId="53D70CC5"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1.00</w:t>
            </w:r>
          </w:p>
        </w:tc>
        <w:tc>
          <w:tcPr>
            <w:tcW w:w="588" w:type="dxa"/>
            <w:shd w:val="clear" w:color="000000" w:fill="CC99FF"/>
            <w:noWrap/>
            <w:vAlign w:val="bottom"/>
            <w:hideMark/>
          </w:tcPr>
          <w:p w14:paraId="7C11B6AE"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000000" w:fill="CC99FF"/>
            <w:noWrap/>
            <w:vAlign w:val="bottom"/>
            <w:hideMark/>
          </w:tcPr>
          <w:p w14:paraId="4E9A3E9A"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0.05</w:t>
            </w:r>
          </w:p>
        </w:tc>
        <w:tc>
          <w:tcPr>
            <w:tcW w:w="588" w:type="dxa"/>
            <w:noWrap/>
            <w:vAlign w:val="bottom"/>
            <w:hideMark/>
          </w:tcPr>
          <w:p w14:paraId="0E606A7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0.05</w:t>
            </w:r>
          </w:p>
        </w:tc>
        <w:tc>
          <w:tcPr>
            <w:tcW w:w="588" w:type="dxa"/>
            <w:noWrap/>
            <w:vAlign w:val="bottom"/>
            <w:hideMark/>
          </w:tcPr>
          <w:p w14:paraId="23E247BB"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0.05</w:t>
            </w:r>
          </w:p>
        </w:tc>
        <w:tc>
          <w:tcPr>
            <w:tcW w:w="588" w:type="dxa"/>
            <w:noWrap/>
            <w:vAlign w:val="bottom"/>
            <w:hideMark/>
          </w:tcPr>
          <w:p w14:paraId="3AE6904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0.05</w:t>
            </w:r>
          </w:p>
        </w:tc>
        <w:tc>
          <w:tcPr>
            <w:tcW w:w="588" w:type="dxa"/>
            <w:noWrap/>
            <w:vAlign w:val="bottom"/>
            <w:hideMark/>
          </w:tcPr>
          <w:p w14:paraId="3A38AD62"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0.04</w:t>
            </w:r>
          </w:p>
        </w:tc>
        <w:tc>
          <w:tcPr>
            <w:tcW w:w="720" w:type="dxa"/>
            <w:shd w:val="clear" w:color="000000" w:fill="F2F2F2"/>
            <w:noWrap/>
            <w:vAlign w:val="bottom"/>
            <w:hideMark/>
          </w:tcPr>
          <w:p w14:paraId="2B60630B"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0.05</w:t>
            </w:r>
          </w:p>
        </w:tc>
        <w:tc>
          <w:tcPr>
            <w:tcW w:w="720" w:type="dxa"/>
            <w:shd w:val="clear" w:color="000000" w:fill="F2F2F2"/>
            <w:noWrap/>
            <w:vAlign w:val="bottom"/>
            <w:hideMark/>
          </w:tcPr>
          <w:p w14:paraId="2BC459B1"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0.05</w:t>
            </w:r>
          </w:p>
        </w:tc>
        <w:tc>
          <w:tcPr>
            <w:tcW w:w="720" w:type="dxa"/>
            <w:shd w:val="clear" w:color="000000" w:fill="F2F2F2"/>
            <w:noWrap/>
            <w:vAlign w:val="bottom"/>
            <w:hideMark/>
          </w:tcPr>
          <w:p w14:paraId="26B193B9"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0.05</w:t>
            </w:r>
          </w:p>
        </w:tc>
        <w:tc>
          <w:tcPr>
            <w:tcW w:w="720" w:type="dxa"/>
            <w:shd w:val="clear" w:color="000000" w:fill="F2F2F2"/>
            <w:noWrap/>
            <w:vAlign w:val="bottom"/>
            <w:hideMark/>
          </w:tcPr>
          <w:p w14:paraId="057CF16F"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0.04</w:t>
            </w:r>
          </w:p>
        </w:tc>
      </w:tr>
      <w:tr w:rsidR="00A15C2C" w14:paraId="556AE720" w14:textId="77777777" w:rsidTr="00617167">
        <w:trPr>
          <w:trHeight w:val="300"/>
        </w:trPr>
        <w:tc>
          <w:tcPr>
            <w:tcW w:w="700" w:type="dxa"/>
            <w:shd w:val="clear" w:color="D9E1F2" w:fill="D9E1F2"/>
            <w:noWrap/>
            <w:vAlign w:val="bottom"/>
            <w:hideMark/>
          </w:tcPr>
          <w:p w14:paraId="2AE22AD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2003</w:t>
            </w:r>
          </w:p>
        </w:tc>
        <w:tc>
          <w:tcPr>
            <w:tcW w:w="1191" w:type="dxa"/>
            <w:shd w:val="clear" w:color="D9E1F2" w:fill="D9E1F2"/>
            <w:noWrap/>
            <w:vAlign w:val="bottom"/>
            <w:hideMark/>
          </w:tcPr>
          <w:p w14:paraId="41937684"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0.7055</w:t>
            </w:r>
          </w:p>
        </w:tc>
        <w:tc>
          <w:tcPr>
            <w:tcW w:w="1004" w:type="dxa"/>
            <w:shd w:val="clear" w:color="D9E1F2" w:fill="D9E1F2"/>
            <w:noWrap/>
            <w:vAlign w:val="bottom"/>
            <w:hideMark/>
          </w:tcPr>
          <w:p w14:paraId="5136870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4,906</w:t>
            </w:r>
          </w:p>
        </w:tc>
        <w:tc>
          <w:tcPr>
            <w:tcW w:w="1083" w:type="dxa"/>
            <w:shd w:val="clear" w:color="D9E1F2" w:fill="D9E1F2"/>
            <w:noWrap/>
            <w:vAlign w:val="bottom"/>
            <w:hideMark/>
          </w:tcPr>
          <w:p w14:paraId="33E833E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3,461</w:t>
            </w:r>
          </w:p>
        </w:tc>
        <w:tc>
          <w:tcPr>
            <w:tcW w:w="1164" w:type="dxa"/>
            <w:shd w:val="clear" w:color="D9E1F2" w:fill="D9E1F2"/>
            <w:noWrap/>
            <w:vAlign w:val="bottom"/>
            <w:hideMark/>
          </w:tcPr>
          <w:p w14:paraId="6E1AE1A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0.0244</w:t>
            </w:r>
          </w:p>
        </w:tc>
        <w:tc>
          <w:tcPr>
            <w:tcW w:w="588" w:type="dxa"/>
            <w:shd w:val="clear" w:color="auto" w:fill="D5DCE4" w:themeFill="text2" w:themeFillTint="33"/>
            <w:noWrap/>
            <w:vAlign w:val="bottom"/>
            <w:hideMark/>
          </w:tcPr>
          <w:p w14:paraId="184FB63C" w14:textId="77777777" w:rsidR="001D6419" w:rsidRPr="005E3D4C" w:rsidRDefault="000F5B51" w:rsidP="00D07617">
            <w:pPr>
              <w:spacing w:after="0" w:line="240" w:lineRule="auto"/>
              <w:contextualSpacing/>
              <w:rPr>
                <w:rFonts w:cs="Times New Roman"/>
              </w:rPr>
            </w:pPr>
            <w:r w:rsidRPr="00617167">
              <w:rPr>
                <w:rFonts w:cs="Times New Roman"/>
                <w:color w:val="000000"/>
                <w:sz w:val="22"/>
              </w:rPr>
              <w:t>0.00</w:t>
            </w:r>
          </w:p>
        </w:tc>
        <w:tc>
          <w:tcPr>
            <w:tcW w:w="588" w:type="dxa"/>
            <w:shd w:val="clear" w:color="D9E1F2" w:fill="D9E1F2"/>
            <w:noWrap/>
            <w:vAlign w:val="bottom"/>
            <w:hideMark/>
          </w:tcPr>
          <w:p w14:paraId="450EEB4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1.00</w:t>
            </w:r>
          </w:p>
        </w:tc>
        <w:tc>
          <w:tcPr>
            <w:tcW w:w="588" w:type="dxa"/>
            <w:shd w:val="clear" w:color="000000" w:fill="CC99FF"/>
            <w:noWrap/>
            <w:vAlign w:val="bottom"/>
            <w:hideMark/>
          </w:tcPr>
          <w:p w14:paraId="686591BB"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000000" w:fill="CC99FF"/>
            <w:noWrap/>
            <w:vAlign w:val="bottom"/>
            <w:hideMark/>
          </w:tcPr>
          <w:p w14:paraId="1B94ABF2"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0.05</w:t>
            </w:r>
          </w:p>
        </w:tc>
        <w:tc>
          <w:tcPr>
            <w:tcW w:w="588" w:type="dxa"/>
            <w:shd w:val="clear" w:color="D9E1F2" w:fill="D9E1F2"/>
            <w:noWrap/>
            <w:vAlign w:val="bottom"/>
            <w:hideMark/>
          </w:tcPr>
          <w:p w14:paraId="319523CE"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0.05</w:t>
            </w:r>
          </w:p>
        </w:tc>
        <w:tc>
          <w:tcPr>
            <w:tcW w:w="588" w:type="dxa"/>
            <w:shd w:val="clear" w:color="D9E1F2" w:fill="D9E1F2"/>
            <w:noWrap/>
            <w:vAlign w:val="bottom"/>
            <w:hideMark/>
          </w:tcPr>
          <w:p w14:paraId="418B54DA"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0.05</w:t>
            </w:r>
          </w:p>
        </w:tc>
        <w:tc>
          <w:tcPr>
            <w:tcW w:w="588" w:type="dxa"/>
            <w:shd w:val="clear" w:color="D9E1F2" w:fill="D9E1F2"/>
            <w:noWrap/>
            <w:vAlign w:val="bottom"/>
            <w:hideMark/>
          </w:tcPr>
          <w:p w14:paraId="1942FFD2"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0.05</w:t>
            </w:r>
          </w:p>
        </w:tc>
        <w:tc>
          <w:tcPr>
            <w:tcW w:w="588" w:type="dxa"/>
            <w:shd w:val="clear" w:color="D9E1F2" w:fill="D9E1F2"/>
            <w:noWrap/>
            <w:vAlign w:val="bottom"/>
            <w:hideMark/>
          </w:tcPr>
          <w:p w14:paraId="3A5CDFD9"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0.04</w:t>
            </w:r>
          </w:p>
        </w:tc>
        <w:tc>
          <w:tcPr>
            <w:tcW w:w="720" w:type="dxa"/>
            <w:shd w:val="clear" w:color="000000" w:fill="F2F2F2"/>
            <w:noWrap/>
            <w:vAlign w:val="bottom"/>
            <w:hideMark/>
          </w:tcPr>
          <w:p w14:paraId="18046964"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0.05</w:t>
            </w:r>
          </w:p>
        </w:tc>
        <w:tc>
          <w:tcPr>
            <w:tcW w:w="720" w:type="dxa"/>
            <w:shd w:val="clear" w:color="000000" w:fill="F2F2F2"/>
            <w:noWrap/>
            <w:vAlign w:val="bottom"/>
            <w:hideMark/>
          </w:tcPr>
          <w:p w14:paraId="7C4BE7D5"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0.05</w:t>
            </w:r>
          </w:p>
        </w:tc>
        <w:tc>
          <w:tcPr>
            <w:tcW w:w="720" w:type="dxa"/>
            <w:shd w:val="clear" w:color="000000" w:fill="F2F2F2"/>
            <w:noWrap/>
            <w:vAlign w:val="bottom"/>
            <w:hideMark/>
          </w:tcPr>
          <w:p w14:paraId="0709D3AA"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0.05</w:t>
            </w:r>
          </w:p>
        </w:tc>
        <w:tc>
          <w:tcPr>
            <w:tcW w:w="720" w:type="dxa"/>
            <w:shd w:val="clear" w:color="000000" w:fill="F2F2F2"/>
            <w:noWrap/>
            <w:vAlign w:val="bottom"/>
            <w:hideMark/>
          </w:tcPr>
          <w:p w14:paraId="1F09C8D9"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0.04</w:t>
            </w:r>
          </w:p>
        </w:tc>
      </w:tr>
      <w:tr w:rsidR="00A15C2C" w14:paraId="1D1B1634" w14:textId="77777777" w:rsidTr="00617167">
        <w:trPr>
          <w:trHeight w:val="300"/>
        </w:trPr>
        <w:tc>
          <w:tcPr>
            <w:tcW w:w="700" w:type="dxa"/>
            <w:noWrap/>
            <w:vAlign w:val="bottom"/>
            <w:hideMark/>
          </w:tcPr>
          <w:p w14:paraId="01319C9B"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2002</w:t>
            </w:r>
          </w:p>
        </w:tc>
        <w:tc>
          <w:tcPr>
            <w:tcW w:w="1191" w:type="dxa"/>
            <w:noWrap/>
            <w:vAlign w:val="bottom"/>
            <w:hideMark/>
          </w:tcPr>
          <w:p w14:paraId="6751A1F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0.6527</w:t>
            </w:r>
          </w:p>
        </w:tc>
        <w:tc>
          <w:tcPr>
            <w:tcW w:w="1004" w:type="dxa"/>
            <w:noWrap/>
            <w:vAlign w:val="bottom"/>
            <w:hideMark/>
          </w:tcPr>
          <w:p w14:paraId="41BED799"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4,644</w:t>
            </w:r>
          </w:p>
        </w:tc>
        <w:tc>
          <w:tcPr>
            <w:tcW w:w="1083" w:type="dxa"/>
            <w:noWrap/>
            <w:vAlign w:val="bottom"/>
            <w:hideMark/>
          </w:tcPr>
          <w:p w14:paraId="5161D23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3,031</w:t>
            </w:r>
          </w:p>
        </w:tc>
        <w:tc>
          <w:tcPr>
            <w:tcW w:w="1164" w:type="dxa"/>
            <w:noWrap/>
            <w:vAlign w:val="bottom"/>
            <w:hideMark/>
          </w:tcPr>
          <w:p w14:paraId="30CB36D8"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0.0213</w:t>
            </w:r>
          </w:p>
        </w:tc>
        <w:tc>
          <w:tcPr>
            <w:tcW w:w="588" w:type="dxa"/>
            <w:shd w:val="clear" w:color="auto" w:fill="auto"/>
            <w:noWrap/>
            <w:vAlign w:val="bottom"/>
            <w:hideMark/>
          </w:tcPr>
          <w:p w14:paraId="7F03B749"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4C9B5BE9"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1.00</w:t>
            </w:r>
          </w:p>
        </w:tc>
        <w:tc>
          <w:tcPr>
            <w:tcW w:w="588" w:type="dxa"/>
            <w:shd w:val="clear" w:color="000000" w:fill="CC99FF"/>
            <w:noWrap/>
            <w:vAlign w:val="bottom"/>
            <w:hideMark/>
          </w:tcPr>
          <w:p w14:paraId="7F21E52A"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000000" w:fill="CC99FF"/>
            <w:noWrap/>
            <w:vAlign w:val="bottom"/>
            <w:hideMark/>
          </w:tcPr>
          <w:p w14:paraId="52616F32"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0.04</w:t>
            </w:r>
          </w:p>
        </w:tc>
        <w:tc>
          <w:tcPr>
            <w:tcW w:w="588" w:type="dxa"/>
            <w:noWrap/>
            <w:vAlign w:val="bottom"/>
            <w:hideMark/>
          </w:tcPr>
          <w:p w14:paraId="7EF3C39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0.04</w:t>
            </w:r>
          </w:p>
        </w:tc>
        <w:tc>
          <w:tcPr>
            <w:tcW w:w="588" w:type="dxa"/>
            <w:noWrap/>
            <w:vAlign w:val="bottom"/>
            <w:hideMark/>
          </w:tcPr>
          <w:p w14:paraId="68A2EC9D"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0.04</w:t>
            </w:r>
          </w:p>
        </w:tc>
        <w:tc>
          <w:tcPr>
            <w:tcW w:w="588" w:type="dxa"/>
            <w:noWrap/>
            <w:vAlign w:val="bottom"/>
            <w:hideMark/>
          </w:tcPr>
          <w:p w14:paraId="4D5C39F2"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0.04</w:t>
            </w:r>
          </w:p>
        </w:tc>
        <w:tc>
          <w:tcPr>
            <w:tcW w:w="588" w:type="dxa"/>
            <w:noWrap/>
            <w:vAlign w:val="bottom"/>
            <w:hideMark/>
          </w:tcPr>
          <w:p w14:paraId="6627DCDE"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0.04</w:t>
            </w:r>
          </w:p>
        </w:tc>
        <w:tc>
          <w:tcPr>
            <w:tcW w:w="720" w:type="dxa"/>
            <w:shd w:val="clear" w:color="000000" w:fill="F2F2F2"/>
            <w:noWrap/>
            <w:vAlign w:val="bottom"/>
            <w:hideMark/>
          </w:tcPr>
          <w:p w14:paraId="22511654"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0.04</w:t>
            </w:r>
          </w:p>
        </w:tc>
        <w:tc>
          <w:tcPr>
            <w:tcW w:w="720" w:type="dxa"/>
            <w:shd w:val="clear" w:color="000000" w:fill="F2F2F2"/>
            <w:noWrap/>
            <w:vAlign w:val="bottom"/>
            <w:hideMark/>
          </w:tcPr>
          <w:p w14:paraId="1BD25AA7"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0.04</w:t>
            </w:r>
          </w:p>
        </w:tc>
        <w:tc>
          <w:tcPr>
            <w:tcW w:w="720" w:type="dxa"/>
            <w:shd w:val="clear" w:color="000000" w:fill="F2F2F2"/>
            <w:noWrap/>
            <w:vAlign w:val="bottom"/>
            <w:hideMark/>
          </w:tcPr>
          <w:p w14:paraId="6FEC6CBE"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0.04</w:t>
            </w:r>
          </w:p>
        </w:tc>
        <w:tc>
          <w:tcPr>
            <w:tcW w:w="720" w:type="dxa"/>
            <w:shd w:val="clear" w:color="000000" w:fill="F2F2F2"/>
            <w:noWrap/>
            <w:vAlign w:val="bottom"/>
            <w:hideMark/>
          </w:tcPr>
          <w:p w14:paraId="5C149814"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0.04</w:t>
            </w:r>
          </w:p>
        </w:tc>
      </w:tr>
      <w:tr w:rsidR="00A15C2C" w14:paraId="4739D855" w14:textId="77777777" w:rsidTr="00617167">
        <w:trPr>
          <w:trHeight w:val="300"/>
        </w:trPr>
        <w:tc>
          <w:tcPr>
            <w:tcW w:w="700" w:type="dxa"/>
            <w:shd w:val="clear" w:color="D9E1F2" w:fill="D9E1F2"/>
            <w:noWrap/>
            <w:vAlign w:val="bottom"/>
            <w:hideMark/>
          </w:tcPr>
          <w:p w14:paraId="332F81B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2001</w:t>
            </w:r>
          </w:p>
        </w:tc>
        <w:tc>
          <w:tcPr>
            <w:tcW w:w="1191" w:type="dxa"/>
            <w:shd w:val="clear" w:color="D9E1F2" w:fill="D9E1F2"/>
            <w:noWrap/>
            <w:vAlign w:val="bottom"/>
            <w:hideMark/>
          </w:tcPr>
          <w:p w14:paraId="408F0AA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0.5946</w:t>
            </w:r>
          </w:p>
        </w:tc>
        <w:tc>
          <w:tcPr>
            <w:tcW w:w="1004" w:type="dxa"/>
            <w:shd w:val="clear" w:color="D9E1F2" w:fill="D9E1F2"/>
            <w:noWrap/>
            <w:vAlign w:val="bottom"/>
            <w:hideMark/>
          </w:tcPr>
          <w:p w14:paraId="4A97F6EA"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4,604</w:t>
            </w:r>
          </w:p>
        </w:tc>
        <w:tc>
          <w:tcPr>
            <w:tcW w:w="1083" w:type="dxa"/>
            <w:shd w:val="clear" w:color="D9E1F2" w:fill="D9E1F2"/>
            <w:noWrap/>
            <w:vAlign w:val="bottom"/>
            <w:hideMark/>
          </w:tcPr>
          <w:p w14:paraId="42E857D5"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2,738</w:t>
            </w:r>
          </w:p>
        </w:tc>
        <w:tc>
          <w:tcPr>
            <w:tcW w:w="1164" w:type="dxa"/>
            <w:shd w:val="clear" w:color="D9E1F2" w:fill="D9E1F2"/>
            <w:noWrap/>
            <w:vAlign w:val="bottom"/>
            <w:hideMark/>
          </w:tcPr>
          <w:p w14:paraId="667E64A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0.0193</w:t>
            </w:r>
          </w:p>
        </w:tc>
        <w:tc>
          <w:tcPr>
            <w:tcW w:w="588" w:type="dxa"/>
            <w:shd w:val="clear" w:color="D9E1F2" w:fill="D9E1F2"/>
            <w:noWrap/>
            <w:vAlign w:val="bottom"/>
            <w:hideMark/>
          </w:tcPr>
          <w:p w14:paraId="19E7AE6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6819D864"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1.00</w:t>
            </w:r>
          </w:p>
        </w:tc>
        <w:tc>
          <w:tcPr>
            <w:tcW w:w="588" w:type="dxa"/>
            <w:shd w:val="clear" w:color="000000" w:fill="CC99FF"/>
            <w:noWrap/>
            <w:vAlign w:val="bottom"/>
            <w:hideMark/>
          </w:tcPr>
          <w:p w14:paraId="428F58A8"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000000" w:fill="CC99FF"/>
            <w:noWrap/>
            <w:vAlign w:val="bottom"/>
            <w:hideMark/>
          </w:tcPr>
          <w:p w14:paraId="10490731"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0.04</w:t>
            </w:r>
          </w:p>
        </w:tc>
        <w:tc>
          <w:tcPr>
            <w:tcW w:w="588" w:type="dxa"/>
            <w:shd w:val="clear" w:color="D9E1F2" w:fill="D9E1F2"/>
            <w:noWrap/>
            <w:vAlign w:val="bottom"/>
            <w:hideMark/>
          </w:tcPr>
          <w:p w14:paraId="5CA59454"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0.04</w:t>
            </w:r>
          </w:p>
        </w:tc>
        <w:tc>
          <w:tcPr>
            <w:tcW w:w="588" w:type="dxa"/>
            <w:shd w:val="clear" w:color="D9E1F2" w:fill="D9E1F2"/>
            <w:noWrap/>
            <w:vAlign w:val="bottom"/>
            <w:hideMark/>
          </w:tcPr>
          <w:p w14:paraId="573836D4"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0.04</w:t>
            </w:r>
          </w:p>
        </w:tc>
        <w:tc>
          <w:tcPr>
            <w:tcW w:w="588" w:type="dxa"/>
            <w:shd w:val="clear" w:color="D9E1F2" w:fill="D9E1F2"/>
            <w:noWrap/>
            <w:vAlign w:val="bottom"/>
            <w:hideMark/>
          </w:tcPr>
          <w:p w14:paraId="229C347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0.04</w:t>
            </w:r>
          </w:p>
        </w:tc>
        <w:tc>
          <w:tcPr>
            <w:tcW w:w="588" w:type="dxa"/>
            <w:shd w:val="clear" w:color="D9E1F2" w:fill="D9E1F2"/>
            <w:noWrap/>
            <w:vAlign w:val="bottom"/>
            <w:hideMark/>
          </w:tcPr>
          <w:p w14:paraId="5D957DB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0.03</w:t>
            </w:r>
          </w:p>
        </w:tc>
        <w:tc>
          <w:tcPr>
            <w:tcW w:w="720" w:type="dxa"/>
            <w:shd w:val="clear" w:color="000000" w:fill="F2F2F2"/>
            <w:noWrap/>
            <w:vAlign w:val="bottom"/>
            <w:hideMark/>
          </w:tcPr>
          <w:p w14:paraId="4B04B012"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0.04</w:t>
            </w:r>
          </w:p>
        </w:tc>
        <w:tc>
          <w:tcPr>
            <w:tcW w:w="720" w:type="dxa"/>
            <w:shd w:val="clear" w:color="000000" w:fill="F2F2F2"/>
            <w:noWrap/>
            <w:vAlign w:val="bottom"/>
            <w:hideMark/>
          </w:tcPr>
          <w:p w14:paraId="0DE36D2C"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0.04</w:t>
            </w:r>
          </w:p>
        </w:tc>
        <w:tc>
          <w:tcPr>
            <w:tcW w:w="720" w:type="dxa"/>
            <w:shd w:val="clear" w:color="000000" w:fill="F2F2F2"/>
            <w:noWrap/>
            <w:vAlign w:val="bottom"/>
            <w:hideMark/>
          </w:tcPr>
          <w:p w14:paraId="68DFE129"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0.04</w:t>
            </w:r>
          </w:p>
        </w:tc>
        <w:tc>
          <w:tcPr>
            <w:tcW w:w="720" w:type="dxa"/>
            <w:shd w:val="clear" w:color="000000" w:fill="F2F2F2"/>
            <w:noWrap/>
            <w:vAlign w:val="bottom"/>
            <w:hideMark/>
          </w:tcPr>
          <w:p w14:paraId="6FCDDA3A"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0.03</w:t>
            </w:r>
          </w:p>
        </w:tc>
      </w:tr>
      <w:tr w:rsidR="00A15C2C" w14:paraId="236B7CF9" w14:textId="77777777" w:rsidTr="00617167">
        <w:trPr>
          <w:trHeight w:val="300"/>
        </w:trPr>
        <w:tc>
          <w:tcPr>
            <w:tcW w:w="700" w:type="dxa"/>
            <w:noWrap/>
            <w:vAlign w:val="bottom"/>
            <w:hideMark/>
          </w:tcPr>
          <w:p w14:paraId="112D191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2000</w:t>
            </w:r>
          </w:p>
        </w:tc>
        <w:tc>
          <w:tcPr>
            <w:tcW w:w="1191" w:type="dxa"/>
            <w:noWrap/>
            <w:vAlign w:val="bottom"/>
            <w:hideMark/>
          </w:tcPr>
          <w:p w14:paraId="0A2728A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0.5311</w:t>
            </w:r>
          </w:p>
        </w:tc>
        <w:tc>
          <w:tcPr>
            <w:tcW w:w="1004" w:type="dxa"/>
            <w:noWrap/>
            <w:vAlign w:val="bottom"/>
            <w:hideMark/>
          </w:tcPr>
          <w:p w14:paraId="1B500842"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4,497</w:t>
            </w:r>
          </w:p>
        </w:tc>
        <w:tc>
          <w:tcPr>
            <w:tcW w:w="1083" w:type="dxa"/>
            <w:noWrap/>
            <w:vAlign w:val="bottom"/>
            <w:hideMark/>
          </w:tcPr>
          <w:p w14:paraId="6859812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2,388</w:t>
            </w:r>
          </w:p>
        </w:tc>
        <w:tc>
          <w:tcPr>
            <w:tcW w:w="1164" w:type="dxa"/>
            <w:noWrap/>
            <w:vAlign w:val="bottom"/>
            <w:hideMark/>
          </w:tcPr>
          <w:p w14:paraId="4CBD73D6"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0.0168</w:t>
            </w:r>
          </w:p>
        </w:tc>
        <w:tc>
          <w:tcPr>
            <w:tcW w:w="588" w:type="dxa"/>
            <w:noWrap/>
            <w:vAlign w:val="bottom"/>
            <w:hideMark/>
          </w:tcPr>
          <w:p w14:paraId="1B11C671"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13F68D88"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1.00</w:t>
            </w:r>
          </w:p>
        </w:tc>
        <w:tc>
          <w:tcPr>
            <w:tcW w:w="588" w:type="dxa"/>
            <w:shd w:val="clear" w:color="000000" w:fill="CC99FF"/>
            <w:noWrap/>
            <w:vAlign w:val="bottom"/>
            <w:hideMark/>
          </w:tcPr>
          <w:p w14:paraId="74A061E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000000" w:fill="CC99FF"/>
            <w:noWrap/>
            <w:vAlign w:val="bottom"/>
            <w:hideMark/>
          </w:tcPr>
          <w:p w14:paraId="47D8263E"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0.03</w:t>
            </w:r>
          </w:p>
        </w:tc>
        <w:tc>
          <w:tcPr>
            <w:tcW w:w="588" w:type="dxa"/>
            <w:noWrap/>
            <w:vAlign w:val="bottom"/>
            <w:hideMark/>
          </w:tcPr>
          <w:p w14:paraId="4A3FFE3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0.03</w:t>
            </w:r>
          </w:p>
        </w:tc>
        <w:tc>
          <w:tcPr>
            <w:tcW w:w="588" w:type="dxa"/>
            <w:noWrap/>
            <w:vAlign w:val="bottom"/>
            <w:hideMark/>
          </w:tcPr>
          <w:p w14:paraId="1407D70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0.03</w:t>
            </w:r>
          </w:p>
        </w:tc>
        <w:tc>
          <w:tcPr>
            <w:tcW w:w="588" w:type="dxa"/>
            <w:noWrap/>
            <w:vAlign w:val="bottom"/>
            <w:hideMark/>
          </w:tcPr>
          <w:p w14:paraId="0BD0DB9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0.03</w:t>
            </w:r>
          </w:p>
        </w:tc>
        <w:tc>
          <w:tcPr>
            <w:tcW w:w="588" w:type="dxa"/>
            <w:noWrap/>
            <w:vAlign w:val="bottom"/>
            <w:hideMark/>
          </w:tcPr>
          <w:p w14:paraId="66861F74"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0.03</w:t>
            </w:r>
          </w:p>
        </w:tc>
        <w:tc>
          <w:tcPr>
            <w:tcW w:w="720" w:type="dxa"/>
            <w:shd w:val="clear" w:color="000000" w:fill="F2F2F2"/>
            <w:noWrap/>
            <w:vAlign w:val="bottom"/>
            <w:hideMark/>
          </w:tcPr>
          <w:p w14:paraId="427183ED"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0.03</w:t>
            </w:r>
          </w:p>
        </w:tc>
        <w:tc>
          <w:tcPr>
            <w:tcW w:w="720" w:type="dxa"/>
            <w:shd w:val="clear" w:color="000000" w:fill="F2F2F2"/>
            <w:noWrap/>
            <w:vAlign w:val="bottom"/>
            <w:hideMark/>
          </w:tcPr>
          <w:p w14:paraId="17DEEC53"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0.03</w:t>
            </w:r>
          </w:p>
        </w:tc>
        <w:tc>
          <w:tcPr>
            <w:tcW w:w="720" w:type="dxa"/>
            <w:shd w:val="clear" w:color="000000" w:fill="F2F2F2"/>
            <w:noWrap/>
            <w:vAlign w:val="bottom"/>
            <w:hideMark/>
          </w:tcPr>
          <w:p w14:paraId="5E1CDBBB"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0.03</w:t>
            </w:r>
          </w:p>
        </w:tc>
        <w:tc>
          <w:tcPr>
            <w:tcW w:w="720" w:type="dxa"/>
            <w:shd w:val="clear" w:color="000000" w:fill="F2F2F2"/>
            <w:noWrap/>
            <w:vAlign w:val="bottom"/>
            <w:hideMark/>
          </w:tcPr>
          <w:p w14:paraId="14267BE3"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0.03</w:t>
            </w:r>
          </w:p>
        </w:tc>
      </w:tr>
      <w:tr w:rsidR="00A15C2C" w14:paraId="60C60174" w14:textId="77777777" w:rsidTr="00617167">
        <w:trPr>
          <w:trHeight w:val="300"/>
        </w:trPr>
        <w:tc>
          <w:tcPr>
            <w:tcW w:w="700" w:type="dxa"/>
            <w:shd w:val="clear" w:color="D9E1F2" w:fill="D9E1F2"/>
            <w:noWrap/>
            <w:vAlign w:val="bottom"/>
            <w:hideMark/>
          </w:tcPr>
          <w:p w14:paraId="6DA6173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1999</w:t>
            </w:r>
          </w:p>
        </w:tc>
        <w:tc>
          <w:tcPr>
            <w:tcW w:w="1191" w:type="dxa"/>
            <w:shd w:val="clear" w:color="D9E1F2" w:fill="D9E1F2"/>
            <w:noWrap/>
            <w:vAlign w:val="bottom"/>
            <w:hideMark/>
          </w:tcPr>
          <w:p w14:paraId="17D4E8F4"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0.4585</w:t>
            </w:r>
          </w:p>
        </w:tc>
        <w:tc>
          <w:tcPr>
            <w:tcW w:w="1004" w:type="dxa"/>
            <w:shd w:val="clear" w:color="D9E1F2" w:fill="D9E1F2"/>
            <w:noWrap/>
            <w:vAlign w:val="bottom"/>
            <w:hideMark/>
          </w:tcPr>
          <w:p w14:paraId="5DF9A1FE"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4,394</w:t>
            </w:r>
          </w:p>
        </w:tc>
        <w:tc>
          <w:tcPr>
            <w:tcW w:w="1083" w:type="dxa"/>
            <w:shd w:val="clear" w:color="D9E1F2" w:fill="D9E1F2"/>
            <w:noWrap/>
            <w:vAlign w:val="bottom"/>
            <w:hideMark/>
          </w:tcPr>
          <w:p w14:paraId="4CC886C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2,015</w:t>
            </w:r>
          </w:p>
        </w:tc>
        <w:tc>
          <w:tcPr>
            <w:tcW w:w="1164" w:type="dxa"/>
            <w:shd w:val="clear" w:color="D9E1F2" w:fill="D9E1F2"/>
            <w:noWrap/>
            <w:vAlign w:val="bottom"/>
            <w:hideMark/>
          </w:tcPr>
          <w:p w14:paraId="43E87E81"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0.0142</w:t>
            </w:r>
          </w:p>
        </w:tc>
        <w:tc>
          <w:tcPr>
            <w:tcW w:w="588" w:type="dxa"/>
            <w:shd w:val="clear" w:color="D9E1F2" w:fill="D9E1F2"/>
            <w:noWrap/>
            <w:vAlign w:val="bottom"/>
            <w:hideMark/>
          </w:tcPr>
          <w:p w14:paraId="4949E365"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32A56CF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1.00</w:t>
            </w:r>
          </w:p>
        </w:tc>
        <w:tc>
          <w:tcPr>
            <w:tcW w:w="588" w:type="dxa"/>
            <w:shd w:val="clear" w:color="000000" w:fill="CC99FF"/>
            <w:noWrap/>
            <w:vAlign w:val="bottom"/>
            <w:hideMark/>
          </w:tcPr>
          <w:p w14:paraId="0F510576"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000000" w:fill="CC99FF"/>
            <w:noWrap/>
            <w:vAlign w:val="bottom"/>
            <w:hideMark/>
          </w:tcPr>
          <w:p w14:paraId="324B444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0.03</w:t>
            </w:r>
          </w:p>
        </w:tc>
        <w:tc>
          <w:tcPr>
            <w:tcW w:w="588" w:type="dxa"/>
            <w:shd w:val="clear" w:color="D9E1F2" w:fill="D9E1F2"/>
            <w:noWrap/>
            <w:vAlign w:val="bottom"/>
            <w:hideMark/>
          </w:tcPr>
          <w:p w14:paraId="0C872B6B"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0.03</w:t>
            </w:r>
          </w:p>
        </w:tc>
        <w:tc>
          <w:tcPr>
            <w:tcW w:w="588" w:type="dxa"/>
            <w:shd w:val="clear" w:color="D9E1F2" w:fill="D9E1F2"/>
            <w:noWrap/>
            <w:vAlign w:val="bottom"/>
            <w:hideMark/>
          </w:tcPr>
          <w:p w14:paraId="38995042"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0.03</w:t>
            </w:r>
          </w:p>
        </w:tc>
        <w:tc>
          <w:tcPr>
            <w:tcW w:w="588" w:type="dxa"/>
            <w:shd w:val="clear" w:color="D9E1F2" w:fill="D9E1F2"/>
            <w:noWrap/>
            <w:vAlign w:val="bottom"/>
            <w:hideMark/>
          </w:tcPr>
          <w:p w14:paraId="6CA8CA24"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0.03</w:t>
            </w:r>
          </w:p>
        </w:tc>
        <w:tc>
          <w:tcPr>
            <w:tcW w:w="588" w:type="dxa"/>
            <w:shd w:val="clear" w:color="D9E1F2" w:fill="D9E1F2"/>
            <w:noWrap/>
            <w:vAlign w:val="bottom"/>
            <w:hideMark/>
          </w:tcPr>
          <w:p w14:paraId="225FC2F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0.03</w:t>
            </w:r>
          </w:p>
        </w:tc>
        <w:tc>
          <w:tcPr>
            <w:tcW w:w="720" w:type="dxa"/>
            <w:shd w:val="clear" w:color="000000" w:fill="F2F2F2"/>
            <w:noWrap/>
            <w:vAlign w:val="bottom"/>
            <w:hideMark/>
          </w:tcPr>
          <w:p w14:paraId="4EC62E67"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0.03</w:t>
            </w:r>
          </w:p>
        </w:tc>
        <w:tc>
          <w:tcPr>
            <w:tcW w:w="720" w:type="dxa"/>
            <w:shd w:val="clear" w:color="000000" w:fill="F2F2F2"/>
            <w:noWrap/>
            <w:vAlign w:val="bottom"/>
            <w:hideMark/>
          </w:tcPr>
          <w:p w14:paraId="23EF0E9F"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0.03</w:t>
            </w:r>
          </w:p>
        </w:tc>
        <w:tc>
          <w:tcPr>
            <w:tcW w:w="720" w:type="dxa"/>
            <w:shd w:val="clear" w:color="000000" w:fill="F2F2F2"/>
            <w:noWrap/>
            <w:vAlign w:val="bottom"/>
            <w:hideMark/>
          </w:tcPr>
          <w:p w14:paraId="25109E23"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0.03</w:t>
            </w:r>
          </w:p>
        </w:tc>
        <w:tc>
          <w:tcPr>
            <w:tcW w:w="720" w:type="dxa"/>
            <w:shd w:val="clear" w:color="000000" w:fill="F2F2F2"/>
            <w:noWrap/>
            <w:vAlign w:val="bottom"/>
            <w:hideMark/>
          </w:tcPr>
          <w:p w14:paraId="098F7D49"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0.03</w:t>
            </w:r>
          </w:p>
        </w:tc>
      </w:tr>
      <w:tr w:rsidR="00A15C2C" w14:paraId="74F540CC" w14:textId="77777777" w:rsidTr="00617167">
        <w:trPr>
          <w:trHeight w:val="300"/>
        </w:trPr>
        <w:tc>
          <w:tcPr>
            <w:tcW w:w="700" w:type="dxa"/>
            <w:noWrap/>
            <w:vAlign w:val="bottom"/>
            <w:hideMark/>
          </w:tcPr>
          <w:p w14:paraId="2732B83A"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1998</w:t>
            </w:r>
          </w:p>
        </w:tc>
        <w:tc>
          <w:tcPr>
            <w:tcW w:w="1191" w:type="dxa"/>
            <w:noWrap/>
            <w:vAlign w:val="bottom"/>
            <w:hideMark/>
          </w:tcPr>
          <w:p w14:paraId="5FD250ED"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0.3832</w:t>
            </w:r>
          </w:p>
        </w:tc>
        <w:tc>
          <w:tcPr>
            <w:tcW w:w="1004" w:type="dxa"/>
            <w:noWrap/>
            <w:vAlign w:val="bottom"/>
            <w:hideMark/>
          </w:tcPr>
          <w:p w14:paraId="2277755B"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4,296</w:t>
            </w:r>
          </w:p>
        </w:tc>
        <w:tc>
          <w:tcPr>
            <w:tcW w:w="1083" w:type="dxa"/>
            <w:noWrap/>
            <w:vAlign w:val="bottom"/>
            <w:hideMark/>
          </w:tcPr>
          <w:p w14:paraId="5BDDF50E"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1,646</w:t>
            </w:r>
          </w:p>
        </w:tc>
        <w:tc>
          <w:tcPr>
            <w:tcW w:w="1164" w:type="dxa"/>
            <w:noWrap/>
            <w:vAlign w:val="bottom"/>
            <w:hideMark/>
          </w:tcPr>
          <w:p w14:paraId="6D0F017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0.0116</w:t>
            </w:r>
          </w:p>
        </w:tc>
        <w:tc>
          <w:tcPr>
            <w:tcW w:w="588" w:type="dxa"/>
            <w:noWrap/>
            <w:vAlign w:val="bottom"/>
            <w:hideMark/>
          </w:tcPr>
          <w:p w14:paraId="73B8E55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1743E93E"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1.00</w:t>
            </w:r>
          </w:p>
        </w:tc>
        <w:tc>
          <w:tcPr>
            <w:tcW w:w="588" w:type="dxa"/>
            <w:shd w:val="clear" w:color="000000" w:fill="CC99FF"/>
            <w:noWrap/>
            <w:vAlign w:val="bottom"/>
            <w:hideMark/>
          </w:tcPr>
          <w:p w14:paraId="2357BBE1"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000000" w:fill="CC99FF"/>
            <w:noWrap/>
            <w:vAlign w:val="bottom"/>
            <w:hideMark/>
          </w:tcPr>
          <w:p w14:paraId="77CF5DB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0.02</w:t>
            </w:r>
          </w:p>
        </w:tc>
        <w:tc>
          <w:tcPr>
            <w:tcW w:w="588" w:type="dxa"/>
            <w:noWrap/>
            <w:vAlign w:val="bottom"/>
            <w:hideMark/>
          </w:tcPr>
          <w:p w14:paraId="694BDB92"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0.02</w:t>
            </w:r>
          </w:p>
        </w:tc>
        <w:tc>
          <w:tcPr>
            <w:tcW w:w="588" w:type="dxa"/>
            <w:noWrap/>
            <w:vAlign w:val="bottom"/>
            <w:hideMark/>
          </w:tcPr>
          <w:p w14:paraId="1E336DF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0.02</w:t>
            </w:r>
          </w:p>
        </w:tc>
        <w:tc>
          <w:tcPr>
            <w:tcW w:w="588" w:type="dxa"/>
            <w:noWrap/>
            <w:vAlign w:val="bottom"/>
            <w:hideMark/>
          </w:tcPr>
          <w:p w14:paraId="360F901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0.02</w:t>
            </w:r>
          </w:p>
        </w:tc>
        <w:tc>
          <w:tcPr>
            <w:tcW w:w="588" w:type="dxa"/>
            <w:noWrap/>
            <w:vAlign w:val="bottom"/>
            <w:hideMark/>
          </w:tcPr>
          <w:p w14:paraId="0E170AD6"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0.02</w:t>
            </w:r>
          </w:p>
        </w:tc>
        <w:tc>
          <w:tcPr>
            <w:tcW w:w="720" w:type="dxa"/>
            <w:shd w:val="clear" w:color="000000" w:fill="F2F2F2"/>
            <w:noWrap/>
            <w:vAlign w:val="bottom"/>
            <w:hideMark/>
          </w:tcPr>
          <w:p w14:paraId="250776BB"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0.02</w:t>
            </w:r>
          </w:p>
        </w:tc>
        <w:tc>
          <w:tcPr>
            <w:tcW w:w="720" w:type="dxa"/>
            <w:shd w:val="clear" w:color="000000" w:fill="F2F2F2"/>
            <w:noWrap/>
            <w:vAlign w:val="bottom"/>
            <w:hideMark/>
          </w:tcPr>
          <w:p w14:paraId="2A62A63F"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0.02</w:t>
            </w:r>
          </w:p>
        </w:tc>
        <w:tc>
          <w:tcPr>
            <w:tcW w:w="720" w:type="dxa"/>
            <w:shd w:val="clear" w:color="000000" w:fill="F2F2F2"/>
            <w:noWrap/>
            <w:vAlign w:val="bottom"/>
            <w:hideMark/>
          </w:tcPr>
          <w:p w14:paraId="25908F36"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0.02</w:t>
            </w:r>
          </w:p>
        </w:tc>
        <w:tc>
          <w:tcPr>
            <w:tcW w:w="720" w:type="dxa"/>
            <w:shd w:val="clear" w:color="000000" w:fill="F2F2F2"/>
            <w:noWrap/>
            <w:vAlign w:val="bottom"/>
            <w:hideMark/>
          </w:tcPr>
          <w:p w14:paraId="35D2D9AB"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0.02</w:t>
            </w:r>
          </w:p>
        </w:tc>
      </w:tr>
      <w:tr w:rsidR="00A15C2C" w14:paraId="28279E1B" w14:textId="77777777" w:rsidTr="00617167">
        <w:trPr>
          <w:trHeight w:val="300"/>
        </w:trPr>
        <w:tc>
          <w:tcPr>
            <w:tcW w:w="700" w:type="dxa"/>
            <w:shd w:val="clear" w:color="D9E1F2" w:fill="D9E1F2"/>
            <w:noWrap/>
            <w:vAlign w:val="bottom"/>
            <w:hideMark/>
          </w:tcPr>
          <w:p w14:paraId="7FC3BD7A"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1997</w:t>
            </w:r>
          </w:p>
        </w:tc>
        <w:tc>
          <w:tcPr>
            <w:tcW w:w="1191" w:type="dxa"/>
            <w:shd w:val="clear" w:color="D9E1F2" w:fill="D9E1F2"/>
            <w:noWrap/>
            <w:vAlign w:val="bottom"/>
            <w:hideMark/>
          </w:tcPr>
          <w:p w14:paraId="1348FCC4"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0.3077</w:t>
            </w:r>
          </w:p>
        </w:tc>
        <w:tc>
          <w:tcPr>
            <w:tcW w:w="1004" w:type="dxa"/>
            <w:shd w:val="clear" w:color="D9E1F2" w:fill="D9E1F2"/>
            <w:noWrap/>
            <w:vAlign w:val="bottom"/>
            <w:hideMark/>
          </w:tcPr>
          <w:p w14:paraId="7215A006"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4,203</w:t>
            </w:r>
          </w:p>
        </w:tc>
        <w:tc>
          <w:tcPr>
            <w:tcW w:w="1083" w:type="dxa"/>
            <w:shd w:val="clear" w:color="D9E1F2" w:fill="D9E1F2"/>
            <w:noWrap/>
            <w:vAlign w:val="bottom"/>
            <w:hideMark/>
          </w:tcPr>
          <w:p w14:paraId="42A9088E"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1,293</w:t>
            </w:r>
          </w:p>
        </w:tc>
        <w:tc>
          <w:tcPr>
            <w:tcW w:w="1164" w:type="dxa"/>
            <w:shd w:val="clear" w:color="D9E1F2" w:fill="D9E1F2"/>
            <w:noWrap/>
            <w:vAlign w:val="bottom"/>
            <w:hideMark/>
          </w:tcPr>
          <w:p w14:paraId="69BA0B85"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0.0091</w:t>
            </w:r>
          </w:p>
        </w:tc>
        <w:tc>
          <w:tcPr>
            <w:tcW w:w="588" w:type="dxa"/>
            <w:shd w:val="clear" w:color="D9E1F2" w:fill="D9E1F2"/>
            <w:noWrap/>
            <w:vAlign w:val="bottom"/>
            <w:hideMark/>
          </w:tcPr>
          <w:p w14:paraId="2158E8A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6AE20164"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1.00</w:t>
            </w:r>
          </w:p>
        </w:tc>
        <w:tc>
          <w:tcPr>
            <w:tcW w:w="588" w:type="dxa"/>
            <w:shd w:val="clear" w:color="000000" w:fill="CC99FF"/>
            <w:noWrap/>
            <w:vAlign w:val="bottom"/>
            <w:hideMark/>
          </w:tcPr>
          <w:p w14:paraId="7B5C586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000000" w:fill="CC99FF"/>
            <w:noWrap/>
            <w:vAlign w:val="bottom"/>
            <w:hideMark/>
          </w:tcPr>
          <w:p w14:paraId="20B86A05"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0.02</w:t>
            </w:r>
          </w:p>
        </w:tc>
        <w:tc>
          <w:tcPr>
            <w:tcW w:w="588" w:type="dxa"/>
            <w:shd w:val="clear" w:color="D9E1F2" w:fill="D9E1F2"/>
            <w:noWrap/>
            <w:vAlign w:val="bottom"/>
            <w:hideMark/>
          </w:tcPr>
          <w:p w14:paraId="5DC80C5E"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0.02</w:t>
            </w:r>
          </w:p>
        </w:tc>
        <w:tc>
          <w:tcPr>
            <w:tcW w:w="588" w:type="dxa"/>
            <w:shd w:val="clear" w:color="D9E1F2" w:fill="D9E1F2"/>
            <w:noWrap/>
            <w:vAlign w:val="bottom"/>
            <w:hideMark/>
          </w:tcPr>
          <w:p w14:paraId="5E8F6816"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0.02</w:t>
            </w:r>
          </w:p>
        </w:tc>
        <w:tc>
          <w:tcPr>
            <w:tcW w:w="588" w:type="dxa"/>
            <w:shd w:val="clear" w:color="D9E1F2" w:fill="D9E1F2"/>
            <w:noWrap/>
            <w:vAlign w:val="bottom"/>
            <w:hideMark/>
          </w:tcPr>
          <w:p w14:paraId="3E98EA16"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0.02</w:t>
            </w:r>
          </w:p>
        </w:tc>
        <w:tc>
          <w:tcPr>
            <w:tcW w:w="588" w:type="dxa"/>
            <w:shd w:val="clear" w:color="D9E1F2" w:fill="D9E1F2"/>
            <w:noWrap/>
            <w:vAlign w:val="bottom"/>
            <w:hideMark/>
          </w:tcPr>
          <w:p w14:paraId="0B591C85"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0.02</w:t>
            </w:r>
          </w:p>
        </w:tc>
        <w:tc>
          <w:tcPr>
            <w:tcW w:w="720" w:type="dxa"/>
            <w:shd w:val="clear" w:color="000000" w:fill="F2F2F2"/>
            <w:noWrap/>
            <w:vAlign w:val="bottom"/>
            <w:hideMark/>
          </w:tcPr>
          <w:p w14:paraId="74A7DB93"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0.02</w:t>
            </w:r>
          </w:p>
        </w:tc>
        <w:tc>
          <w:tcPr>
            <w:tcW w:w="720" w:type="dxa"/>
            <w:shd w:val="clear" w:color="000000" w:fill="F2F2F2"/>
            <w:noWrap/>
            <w:vAlign w:val="bottom"/>
            <w:hideMark/>
          </w:tcPr>
          <w:p w14:paraId="669F9E9F"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0.02</w:t>
            </w:r>
          </w:p>
        </w:tc>
        <w:tc>
          <w:tcPr>
            <w:tcW w:w="720" w:type="dxa"/>
            <w:shd w:val="clear" w:color="000000" w:fill="F2F2F2"/>
            <w:noWrap/>
            <w:vAlign w:val="bottom"/>
            <w:hideMark/>
          </w:tcPr>
          <w:p w14:paraId="14951C4C"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0.02</w:t>
            </w:r>
          </w:p>
        </w:tc>
        <w:tc>
          <w:tcPr>
            <w:tcW w:w="720" w:type="dxa"/>
            <w:shd w:val="clear" w:color="000000" w:fill="F2F2F2"/>
            <w:noWrap/>
            <w:vAlign w:val="bottom"/>
            <w:hideMark/>
          </w:tcPr>
          <w:p w14:paraId="376B3D9E"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0.02</w:t>
            </w:r>
          </w:p>
        </w:tc>
      </w:tr>
      <w:tr w:rsidR="00A15C2C" w14:paraId="6437A417" w14:textId="77777777" w:rsidTr="00617167">
        <w:trPr>
          <w:trHeight w:val="300"/>
        </w:trPr>
        <w:tc>
          <w:tcPr>
            <w:tcW w:w="700" w:type="dxa"/>
            <w:noWrap/>
            <w:vAlign w:val="bottom"/>
            <w:hideMark/>
          </w:tcPr>
          <w:p w14:paraId="12E94522"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1996</w:t>
            </w:r>
          </w:p>
        </w:tc>
        <w:tc>
          <w:tcPr>
            <w:tcW w:w="1191" w:type="dxa"/>
            <w:noWrap/>
            <w:vAlign w:val="bottom"/>
            <w:hideMark/>
          </w:tcPr>
          <w:p w14:paraId="1A0DDC3B"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0.2414</w:t>
            </w:r>
          </w:p>
        </w:tc>
        <w:tc>
          <w:tcPr>
            <w:tcW w:w="1004" w:type="dxa"/>
            <w:noWrap/>
            <w:vAlign w:val="bottom"/>
            <w:hideMark/>
          </w:tcPr>
          <w:p w14:paraId="20C683B9"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4,114</w:t>
            </w:r>
          </w:p>
        </w:tc>
        <w:tc>
          <w:tcPr>
            <w:tcW w:w="1083" w:type="dxa"/>
            <w:noWrap/>
            <w:vAlign w:val="bottom"/>
            <w:hideMark/>
          </w:tcPr>
          <w:p w14:paraId="7AB8243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993</w:t>
            </w:r>
          </w:p>
        </w:tc>
        <w:tc>
          <w:tcPr>
            <w:tcW w:w="1164" w:type="dxa"/>
            <w:noWrap/>
            <w:vAlign w:val="bottom"/>
            <w:hideMark/>
          </w:tcPr>
          <w:p w14:paraId="0551AA1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0.0070</w:t>
            </w:r>
          </w:p>
        </w:tc>
        <w:tc>
          <w:tcPr>
            <w:tcW w:w="588" w:type="dxa"/>
            <w:noWrap/>
            <w:vAlign w:val="bottom"/>
            <w:hideMark/>
          </w:tcPr>
          <w:p w14:paraId="28F828D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5342FE05"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1.00</w:t>
            </w:r>
          </w:p>
        </w:tc>
        <w:tc>
          <w:tcPr>
            <w:tcW w:w="588" w:type="dxa"/>
            <w:shd w:val="clear" w:color="000000" w:fill="CC99FF"/>
            <w:noWrap/>
            <w:vAlign w:val="bottom"/>
            <w:hideMark/>
          </w:tcPr>
          <w:p w14:paraId="4C17D7B6"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000000" w:fill="CC99FF"/>
            <w:noWrap/>
            <w:vAlign w:val="bottom"/>
            <w:hideMark/>
          </w:tcPr>
          <w:p w14:paraId="49BB4F69"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0.02</w:t>
            </w:r>
          </w:p>
        </w:tc>
        <w:tc>
          <w:tcPr>
            <w:tcW w:w="588" w:type="dxa"/>
            <w:noWrap/>
            <w:vAlign w:val="bottom"/>
            <w:hideMark/>
          </w:tcPr>
          <w:p w14:paraId="31E2575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0.02</w:t>
            </w:r>
          </w:p>
        </w:tc>
        <w:tc>
          <w:tcPr>
            <w:tcW w:w="588" w:type="dxa"/>
            <w:noWrap/>
            <w:vAlign w:val="bottom"/>
            <w:hideMark/>
          </w:tcPr>
          <w:p w14:paraId="533EA46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0.02</w:t>
            </w:r>
          </w:p>
        </w:tc>
        <w:tc>
          <w:tcPr>
            <w:tcW w:w="588" w:type="dxa"/>
            <w:noWrap/>
            <w:vAlign w:val="bottom"/>
            <w:hideMark/>
          </w:tcPr>
          <w:p w14:paraId="253551BE"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0.02</w:t>
            </w:r>
          </w:p>
        </w:tc>
        <w:tc>
          <w:tcPr>
            <w:tcW w:w="588" w:type="dxa"/>
            <w:noWrap/>
            <w:vAlign w:val="bottom"/>
            <w:hideMark/>
          </w:tcPr>
          <w:p w14:paraId="098DAF75"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0.01</w:t>
            </w:r>
          </w:p>
        </w:tc>
        <w:tc>
          <w:tcPr>
            <w:tcW w:w="720" w:type="dxa"/>
            <w:shd w:val="clear" w:color="000000" w:fill="F2F2F2"/>
            <w:noWrap/>
            <w:vAlign w:val="bottom"/>
            <w:hideMark/>
          </w:tcPr>
          <w:p w14:paraId="1B90CF48"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0.02</w:t>
            </w:r>
          </w:p>
        </w:tc>
        <w:tc>
          <w:tcPr>
            <w:tcW w:w="720" w:type="dxa"/>
            <w:shd w:val="clear" w:color="000000" w:fill="F2F2F2"/>
            <w:noWrap/>
            <w:vAlign w:val="bottom"/>
            <w:hideMark/>
          </w:tcPr>
          <w:p w14:paraId="1D6CC457"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0.02</w:t>
            </w:r>
          </w:p>
        </w:tc>
        <w:tc>
          <w:tcPr>
            <w:tcW w:w="720" w:type="dxa"/>
            <w:shd w:val="clear" w:color="000000" w:fill="F2F2F2"/>
            <w:noWrap/>
            <w:vAlign w:val="bottom"/>
            <w:hideMark/>
          </w:tcPr>
          <w:p w14:paraId="70B50682"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0.02</w:t>
            </w:r>
          </w:p>
        </w:tc>
        <w:tc>
          <w:tcPr>
            <w:tcW w:w="720" w:type="dxa"/>
            <w:shd w:val="clear" w:color="000000" w:fill="F2F2F2"/>
            <w:noWrap/>
            <w:vAlign w:val="bottom"/>
            <w:hideMark/>
          </w:tcPr>
          <w:p w14:paraId="6BC79F50"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0.01</w:t>
            </w:r>
          </w:p>
        </w:tc>
      </w:tr>
      <w:tr w:rsidR="00A15C2C" w14:paraId="775909D2" w14:textId="77777777" w:rsidTr="00617167">
        <w:trPr>
          <w:trHeight w:val="300"/>
        </w:trPr>
        <w:tc>
          <w:tcPr>
            <w:tcW w:w="700" w:type="dxa"/>
            <w:shd w:val="clear" w:color="D9E1F2" w:fill="D9E1F2"/>
            <w:noWrap/>
            <w:vAlign w:val="bottom"/>
            <w:hideMark/>
          </w:tcPr>
          <w:p w14:paraId="459EF314"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lastRenderedPageBreak/>
              <w:t>1995</w:t>
            </w:r>
          </w:p>
        </w:tc>
        <w:tc>
          <w:tcPr>
            <w:tcW w:w="1191" w:type="dxa"/>
            <w:shd w:val="clear" w:color="D9E1F2" w:fill="D9E1F2"/>
            <w:noWrap/>
            <w:vAlign w:val="bottom"/>
            <w:hideMark/>
          </w:tcPr>
          <w:p w14:paraId="7DE00F3E"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0.1833</w:t>
            </w:r>
          </w:p>
        </w:tc>
        <w:tc>
          <w:tcPr>
            <w:tcW w:w="1004" w:type="dxa"/>
            <w:shd w:val="clear" w:color="D9E1F2" w:fill="D9E1F2"/>
            <w:noWrap/>
            <w:vAlign w:val="bottom"/>
            <w:hideMark/>
          </w:tcPr>
          <w:p w14:paraId="17B5BA95"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4,030</w:t>
            </w:r>
          </w:p>
        </w:tc>
        <w:tc>
          <w:tcPr>
            <w:tcW w:w="1083" w:type="dxa"/>
            <w:shd w:val="clear" w:color="D9E1F2" w:fill="D9E1F2"/>
            <w:noWrap/>
            <w:vAlign w:val="bottom"/>
            <w:hideMark/>
          </w:tcPr>
          <w:p w14:paraId="31C39FC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739</w:t>
            </w:r>
          </w:p>
        </w:tc>
        <w:tc>
          <w:tcPr>
            <w:tcW w:w="1164" w:type="dxa"/>
            <w:shd w:val="clear" w:color="D9E1F2" w:fill="D9E1F2"/>
            <w:noWrap/>
            <w:vAlign w:val="bottom"/>
            <w:hideMark/>
          </w:tcPr>
          <w:p w14:paraId="38D4566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0.0052</w:t>
            </w:r>
          </w:p>
        </w:tc>
        <w:tc>
          <w:tcPr>
            <w:tcW w:w="588" w:type="dxa"/>
            <w:shd w:val="clear" w:color="D9E1F2" w:fill="D9E1F2"/>
            <w:noWrap/>
            <w:vAlign w:val="bottom"/>
            <w:hideMark/>
          </w:tcPr>
          <w:p w14:paraId="4502819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0C330442"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1.00</w:t>
            </w:r>
          </w:p>
        </w:tc>
        <w:tc>
          <w:tcPr>
            <w:tcW w:w="588" w:type="dxa"/>
            <w:shd w:val="clear" w:color="000000" w:fill="CC99FF"/>
            <w:noWrap/>
            <w:vAlign w:val="bottom"/>
            <w:hideMark/>
          </w:tcPr>
          <w:p w14:paraId="1C370F8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000000" w:fill="CC99FF"/>
            <w:noWrap/>
            <w:vAlign w:val="bottom"/>
            <w:hideMark/>
          </w:tcPr>
          <w:p w14:paraId="075A6BD5"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0.01</w:t>
            </w:r>
          </w:p>
        </w:tc>
        <w:tc>
          <w:tcPr>
            <w:tcW w:w="588" w:type="dxa"/>
            <w:shd w:val="clear" w:color="D9E1F2" w:fill="D9E1F2"/>
            <w:noWrap/>
            <w:vAlign w:val="bottom"/>
            <w:hideMark/>
          </w:tcPr>
          <w:p w14:paraId="32E7850D"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0.01</w:t>
            </w:r>
          </w:p>
        </w:tc>
        <w:tc>
          <w:tcPr>
            <w:tcW w:w="588" w:type="dxa"/>
            <w:shd w:val="clear" w:color="D9E1F2" w:fill="D9E1F2"/>
            <w:noWrap/>
            <w:vAlign w:val="bottom"/>
            <w:hideMark/>
          </w:tcPr>
          <w:p w14:paraId="76E7FFD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0.01</w:t>
            </w:r>
          </w:p>
        </w:tc>
        <w:tc>
          <w:tcPr>
            <w:tcW w:w="588" w:type="dxa"/>
            <w:shd w:val="clear" w:color="D9E1F2" w:fill="D9E1F2"/>
            <w:noWrap/>
            <w:vAlign w:val="bottom"/>
            <w:hideMark/>
          </w:tcPr>
          <w:p w14:paraId="3D4DC254"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0.01</w:t>
            </w:r>
          </w:p>
        </w:tc>
        <w:tc>
          <w:tcPr>
            <w:tcW w:w="588" w:type="dxa"/>
            <w:shd w:val="clear" w:color="D9E1F2" w:fill="D9E1F2"/>
            <w:noWrap/>
            <w:vAlign w:val="bottom"/>
            <w:hideMark/>
          </w:tcPr>
          <w:p w14:paraId="6B24DC6A"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0.01</w:t>
            </w:r>
          </w:p>
        </w:tc>
        <w:tc>
          <w:tcPr>
            <w:tcW w:w="720" w:type="dxa"/>
            <w:shd w:val="clear" w:color="000000" w:fill="F2F2F2"/>
            <w:noWrap/>
            <w:vAlign w:val="bottom"/>
            <w:hideMark/>
          </w:tcPr>
          <w:p w14:paraId="0028CECA"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0.01</w:t>
            </w:r>
          </w:p>
        </w:tc>
        <w:tc>
          <w:tcPr>
            <w:tcW w:w="720" w:type="dxa"/>
            <w:shd w:val="clear" w:color="000000" w:fill="F2F2F2"/>
            <w:noWrap/>
            <w:vAlign w:val="bottom"/>
            <w:hideMark/>
          </w:tcPr>
          <w:p w14:paraId="3891CDA9"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0.01</w:t>
            </w:r>
          </w:p>
        </w:tc>
        <w:tc>
          <w:tcPr>
            <w:tcW w:w="720" w:type="dxa"/>
            <w:shd w:val="clear" w:color="000000" w:fill="F2F2F2"/>
            <w:noWrap/>
            <w:vAlign w:val="bottom"/>
            <w:hideMark/>
          </w:tcPr>
          <w:p w14:paraId="4C8BA1AA"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0.01</w:t>
            </w:r>
          </w:p>
        </w:tc>
        <w:tc>
          <w:tcPr>
            <w:tcW w:w="720" w:type="dxa"/>
            <w:shd w:val="clear" w:color="000000" w:fill="F2F2F2"/>
            <w:noWrap/>
            <w:vAlign w:val="bottom"/>
            <w:hideMark/>
          </w:tcPr>
          <w:p w14:paraId="23C5D3BF"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0.01</w:t>
            </w:r>
          </w:p>
        </w:tc>
      </w:tr>
      <w:tr w:rsidR="00A15C2C" w14:paraId="0E455B56" w14:textId="77777777" w:rsidTr="00617167">
        <w:trPr>
          <w:trHeight w:val="300"/>
        </w:trPr>
        <w:tc>
          <w:tcPr>
            <w:tcW w:w="700" w:type="dxa"/>
            <w:noWrap/>
            <w:vAlign w:val="bottom"/>
            <w:hideMark/>
          </w:tcPr>
          <w:p w14:paraId="2DDAA969"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1994</w:t>
            </w:r>
          </w:p>
        </w:tc>
        <w:tc>
          <w:tcPr>
            <w:tcW w:w="1191" w:type="dxa"/>
            <w:noWrap/>
            <w:vAlign w:val="bottom"/>
            <w:hideMark/>
          </w:tcPr>
          <w:p w14:paraId="38A1FF2E"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0.1388</w:t>
            </w:r>
          </w:p>
        </w:tc>
        <w:tc>
          <w:tcPr>
            <w:tcW w:w="1004" w:type="dxa"/>
            <w:noWrap/>
            <w:vAlign w:val="bottom"/>
            <w:hideMark/>
          </w:tcPr>
          <w:p w14:paraId="39C75FFA"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3,951</w:t>
            </w:r>
          </w:p>
        </w:tc>
        <w:tc>
          <w:tcPr>
            <w:tcW w:w="1083" w:type="dxa"/>
            <w:noWrap/>
            <w:vAlign w:val="bottom"/>
            <w:hideMark/>
          </w:tcPr>
          <w:p w14:paraId="30B9D29D"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548</w:t>
            </w:r>
          </w:p>
        </w:tc>
        <w:tc>
          <w:tcPr>
            <w:tcW w:w="1164" w:type="dxa"/>
            <w:noWrap/>
            <w:vAlign w:val="bottom"/>
            <w:hideMark/>
          </w:tcPr>
          <w:p w14:paraId="63D18DE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0.0039</w:t>
            </w:r>
          </w:p>
        </w:tc>
        <w:tc>
          <w:tcPr>
            <w:tcW w:w="588" w:type="dxa"/>
            <w:noWrap/>
            <w:vAlign w:val="bottom"/>
            <w:hideMark/>
          </w:tcPr>
          <w:p w14:paraId="793CB718"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2949031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1.00</w:t>
            </w:r>
          </w:p>
        </w:tc>
        <w:tc>
          <w:tcPr>
            <w:tcW w:w="588" w:type="dxa"/>
            <w:shd w:val="clear" w:color="000000" w:fill="CC99FF"/>
            <w:noWrap/>
            <w:vAlign w:val="bottom"/>
            <w:hideMark/>
          </w:tcPr>
          <w:p w14:paraId="710753A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000000" w:fill="CC99FF"/>
            <w:noWrap/>
            <w:vAlign w:val="bottom"/>
            <w:hideMark/>
          </w:tcPr>
          <w:p w14:paraId="41211B8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0.01</w:t>
            </w:r>
          </w:p>
        </w:tc>
        <w:tc>
          <w:tcPr>
            <w:tcW w:w="588" w:type="dxa"/>
            <w:noWrap/>
            <w:vAlign w:val="bottom"/>
            <w:hideMark/>
          </w:tcPr>
          <w:p w14:paraId="2E295585"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0.01</w:t>
            </w:r>
          </w:p>
        </w:tc>
        <w:tc>
          <w:tcPr>
            <w:tcW w:w="588" w:type="dxa"/>
            <w:noWrap/>
            <w:vAlign w:val="bottom"/>
            <w:hideMark/>
          </w:tcPr>
          <w:p w14:paraId="02C29C7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0.01</w:t>
            </w:r>
          </w:p>
        </w:tc>
        <w:tc>
          <w:tcPr>
            <w:tcW w:w="588" w:type="dxa"/>
            <w:noWrap/>
            <w:vAlign w:val="bottom"/>
            <w:hideMark/>
          </w:tcPr>
          <w:p w14:paraId="7EFA6B0E"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0.01</w:t>
            </w:r>
          </w:p>
        </w:tc>
        <w:tc>
          <w:tcPr>
            <w:tcW w:w="588" w:type="dxa"/>
            <w:noWrap/>
            <w:vAlign w:val="bottom"/>
            <w:hideMark/>
          </w:tcPr>
          <w:p w14:paraId="67E9FDC2"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0.01</w:t>
            </w:r>
          </w:p>
        </w:tc>
        <w:tc>
          <w:tcPr>
            <w:tcW w:w="720" w:type="dxa"/>
            <w:shd w:val="clear" w:color="000000" w:fill="F2F2F2"/>
            <w:noWrap/>
            <w:vAlign w:val="bottom"/>
            <w:hideMark/>
          </w:tcPr>
          <w:p w14:paraId="16B8EE32"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0.01</w:t>
            </w:r>
          </w:p>
        </w:tc>
        <w:tc>
          <w:tcPr>
            <w:tcW w:w="720" w:type="dxa"/>
            <w:shd w:val="clear" w:color="000000" w:fill="F2F2F2"/>
            <w:noWrap/>
            <w:vAlign w:val="bottom"/>
            <w:hideMark/>
          </w:tcPr>
          <w:p w14:paraId="4F96AB29"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0.01</w:t>
            </w:r>
          </w:p>
        </w:tc>
        <w:tc>
          <w:tcPr>
            <w:tcW w:w="720" w:type="dxa"/>
            <w:shd w:val="clear" w:color="000000" w:fill="F2F2F2"/>
            <w:noWrap/>
            <w:vAlign w:val="bottom"/>
            <w:hideMark/>
          </w:tcPr>
          <w:p w14:paraId="62312A2B"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0.01</w:t>
            </w:r>
          </w:p>
        </w:tc>
        <w:tc>
          <w:tcPr>
            <w:tcW w:w="720" w:type="dxa"/>
            <w:shd w:val="clear" w:color="000000" w:fill="F2F2F2"/>
            <w:noWrap/>
            <w:vAlign w:val="bottom"/>
            <w:hideMark/>
          </w:tcPr>
          <w:p w14:paraId="132BB181"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0.01</w:t>
            </w:r>
          </w:p>
        </w:tc>
      </w:tr>
      <w:tr w:rsidR="00A15C2C" w14:paraId="020B681A" w14:textId="77777777" w:rsidTr="00617167">
        <w:trPr>
          <w:trHeight w:val="300"/>
        </w:trPr>
        <w:tc>
          <w:tcPr>
            <w:tcW w:w="700" w:type="dxa"/>
            <w:shd w:val="clear" w:color="D9E1F2" w:fill="D9E1F2"/>
            <w:noWrap/>
            <w:vAlign w:val="bottom"/>
            <w:hideMark/>
          </w:tcPr>
          <w:p w14:paraId="15CDB1E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1993</w:t>
            </w:r>
          </w:p>
        </w:tc>
        <w:tc>
          <w:tcPr>
            <w:tcW w:w="1191" w:type="dxa"/>
            <w:shd w:val="clear" w:color="D9E1F2" w:fill="D9E1F2"/>
            <w:noWrap/>
            <w:vAlign w:val="bottom"/>
            <w:hideMark/>
          </w:tcPr>
          <w:p w14:paraId="0F2FE07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0.1066</w:t>
            </w:r>
          </w:p>
        </w:tc>
        <w:tc>
          <w:tcPr>
            <w:tcW w:w="1004" w:type="dxa"/>
            <w:shd w:val="clear" w:color="D9E1F2" w:fill="D9E1F2"/>
            <w:noWrap/>
            <w:vAlign w:val="bottom"/>
            <w:hideMark/>
          </w:tcPr>
          <w:p w14:paraId="3AC1EE85"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3,877</w:t>
            </w:r>
          </w:p>
        </w:tc>
        <w:tc>
          <w:tcPr>
            <w:tcW w:w="1083" w:type="dxa"/>
            <w:shd w:val="clear" w:color="D9E1F2" w:fill="D9E1F2"/>
            <w:noWrap/>
            <w:vAlign w:val="bottom"/>
            <w:hideMark/>
          </w:tcPr>
          <w:p w14:paraId="3CE8493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413</w:t>
            </w:r>
          </w:p>
        </w:tc>
        <w:tc>
          <w:tcPr>
            <w:tcW w:w="1164" w:type="dxa"/>
            <w:shd w:val="clear" w:color="D9E1F2" w:fill="D9E1F2"/>
            <w:noWrap/>
            <w:vAlign w:val="bottom"/>
            <w:hideMark/>
          </w:tcPr>
          <w:p w14:paraId="364EC31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0.0029</w:t>
            </w:r>
          </w:p>
        </w:tc>
        <w:tc>
          <w:tcPr>
            <w:tcW w:w="588" w:type="dxa"/>
            <w:shd w:val="clear" w:color="D9E1F2" w:fill="D9E1F2"/>
            <w:noWrap/>
            <w:vAlign w:val="bottom"/>
            <w:hideMark/>
          </w:tcPr>
          <w:p w14:paraId="069E1A1A"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7A5C106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1.00</w:t>
            </w:r>
          </w:p>
        </w:tc>
        <w:tc>
          <w:tcPr>
            <w:tcW w:w="588" w:type="dxa"/>
            <w:shd w:val="clear" w:color="000000" w:fill="CC99FF"/>
            <w:noWrap/>
            <w:vAlign w:val="bottom"/>
            <w:hideMark/>
          </w:tcPr>
          <w:p w14:paraId="38EDA7F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000000" w:fill="CC99FF"/>
            <w:noWrap/>
            <w:vAlign w:val="bottom"/>
            <w:hideMark/>
          </w:tcPr>
          <w:p w14:paraId="10518E44"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0.01</w:t>
            </w:r>
          </w:p>
        </w:tc>
        <w:tc>
          <w:tcPr>
            <w:tcW w:w="588" w:type="dxa"/>
            <w:shd w:val="clear" w:color="D9E1F2" w:fill="D9E1F2"/>
            <w:noWrap/>
            <w:vAlign w:val="bottom"/>
            <w:hideMark/>
          </w:tcPr>
          <w:p w14:paraId="23CB90E2"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0.01</w:t>
            </w:r>
          </w:p>
        </w:tc>
        <w:tc>
          <w:tcPr>
            <w:tcW w:w="588" w:type="dxa"/>
            <w:shd w:val="clear" w:color="D9E1F2" w:fill="D9E1F2"/>
            <w:noWrap/>
            <w:vAlign w:val="bottom"/>
            <w:hideMark/>
          </w:tcPr>
          <w:p w14:paraId="53820132"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0.01</w:t>
            </w:r>
          </w:p>
        </w:tc>
        <w:tc>
          <w:tcPr>
            <w:tcW w:w="588" w:type="dxa"/>
            <w:shd w:val="clear" w:color="D9E1F2" w:fill="D9E1F2"/>
            <w:noWrap/>
            <w:vAlign w:val="bottom"/>
            <w:hideMark/>
          </w:tcPr>
          <w:p w14:paraId="3D74C5DD"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0.01</w:t>
            </w:r>
          </w:p>
        </w:tc>
        <w:tc>
          <w:tcPr>
            <w:tcW w:w="588" w:type="dxa"/>
            <w:shd w:val="clear" w:color="D9E1F2" w:fill="D9E1F2"/>
            <w:noWrap/>
            <w:vAlign w:val="bottom"/>
            <w:hideMark/>
          </w:tcPr>
          <w:p w14:paraId="43D77BF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0.01</w:t>
            </w:r>
          </w:p>
        </w:tc>
        <w:tc>
          <w:tcPr>
            <w:tcW w:w="720" w:type="dxa"/>
            <w:shd w:val="clear" w:color="000000" w:fill="F2F2F2"/>
            <w:noWrap/>
            <w:vAlign w:val="bottom"/>
            <w:hideMark/>
          </w:tcPr>
          <w:p w14:paraId="3CBA790F"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0.01</w:t>
            </w:r>
          </w:p>
        </w:tc>
        <w:tc>
          <w:tcPr>
            <w:tcW w:w="720" w:type="dxa"/>
            <w:shd w:val="clear" w:color="000000" w:fill="F2F2F2"/>
            <w:noWrap/>
            <w:vAlign w:val="bottom"/>
            <w:hideMark/>
          </w:tcPr>
          <w:p w14:paraId="58C30A3E"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0.01</w:t>
            </w:r>
          </w:p>
        </w:tc>
        <w:tc>
          <w:tcPr>
            <w:tcW w:w="720" w:type="dxa"/>
            <w:shd w:val="clear" w:color="000000" w:fill="F2F2F2"/>
            <w:noWrap/>
            <w:vAlign w:val="bottom"/>
            <w:hideMark/>
          </w:tcPr>
          <w:p w14:paraId="4D6CC58A"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0.01</w:t>
            </w:r>
          </w:p>
        </w:tc>
        <w:tc>
          <w:tcPr>
            <w:tcW w:w="720" w:type="dxa"/>
            <w:shd w:val="clear" w:color="000000" w:fill="F2F2F2"/>
            <w:noWrap/>
            <w:vAlign w:val="bottom"/>
            <w:hideMark/>
          </w:tcPr>
          <w:p w14:paraId="60E310E1"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0.01</w:t>
            </w:r>
          </w:p>
        </w:tc>
      </w:tr>
      <w:tr w:rsidR="00A15C2C" w14:paraId="542D4D5D" w14:textId="77777777" w:rsidTr="00617167">
        <w:trPr>
          <w:trHeight w:val="300"/>
        </w:trPr>
        <w:tc>
          <w:tcPr>
            <w:tcW w:w="700" w:type="dxa"/>
            <w:noWrap/>
            <w:vAlign w:val="bottom"/>
            <w:hideMark/>
          </w:tcPr>
          <w:p w14:paraId="0AA55131"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1992</w:t>
            </w:r>
          </w:p>
        </w:tc>
        <w:tc>
          <w:tcPr>
            <w:tcW w:w="1191" w:type="dxa"/>
            <w:noWrap/>
            <w:vAlign w:val="bottom"/>
            <w:hideMark/>
          </w:tcPr>
          <w:p w14:paraId="03286A92"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0.0820</w:t>
            </w:r>
          </w:p>
        </w:tc>
        <w:tc>
          <w:tcPr>
            <w:tcW w:w="1004" w:type="dxa"/>
            <w:noWrap/>
            <w:vAlign w:val="bottom"/>
            <w:hideMark/>
          </w:tcPr>
          <w:p w14:paraId="408D1C2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3,807</w:t>
            </w:r>
          </w:p>
        </w:tc>
        <w:tc>
          <w:tcPr>
            <w:tcW w:w="1083" w:type="dxa"/>
            <w:noWrap/>
            <w:vAlign w:val="bottom"/>
            <w:hideMark/>
          </w:tcPr>
          <w:p w14:paraId="007CD1F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312</w:t>
            </w:r>
          </w:p>
        </w:tc>
        <w:tc>
          <w:tcPr>
            <w:tcW w:w="1164" w:type="dxa"/>
            <w:noWrap/>
            <w:vAlign w:val="bottom"/>
            <w:hideMark/>
          </w:tcPr>
          <w:p w14:paraId="4F8EFE1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0.0022</w:t>
            </w:r>
          </w:p>
        </w:tc>
        <w:tc>
          <w:tcPr>
            <w:tcW w:w="588" w:type="dxa"/>
            <w:noWrap/>
            <w:vAlign w:val="bottom"/>
            <w:hideMark/>
          </w:tcPr>
          <w:p w14:paraId="3BB695A5"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66979F59"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1.00</w:t>
            </w:r>
          </w:p>
        </w:tc>
        <w:tc>
          <w:tcPr>
            <w:tcW w:w="588" w:type="dxa"/>
            <w:shd w:val="clear" w:color="000000" w:fill="CC99FF"/>
            <w:noWrap/>
            <w:vAlign w:val="bottom"/>
            <w:hideMark/>
          </w:tcPr>
          <w:p w14:paraId="61C9135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000000" w:fill="CC99FF"/>
            <w:noWrap/>
            <w:vAlign w:val="bottom"/>
            <w:hideMark/>
          </w:tcPr>
          <w:p w14:paraId="79F6D92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0.01</w:t>
            </w:r>
          </w:p>
        </w:tc>
        <w:tc>
          <w:tcPr>
            <w:tcW w:w="588" w:type="dxa"/>
            <w:noWrap/>
            <w:vAlign w:val="bottom"/>
            <w:hideMark/>
          </w:tcPr>
          <w:p w14:paraId="0DF66985"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0.01</w:t>
            </w:r>
          </w:p>
        </w:tc>
        <w:tc>
          <w:tcPr>
            <w:tcW w:w="588" w:type="dxa"/>
            <w:noWrap/>
            <w:vAlign w:val="bottom"/>
            <w:hideMark/>
          </w:tcPr>
          <w:p w14:paraId="413AC299"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0.01</w:t>
            </w:r>
          </w:p>
        </w:tc>
        <w:tc>
          <w:tcPr>
            <w:tcW w:w="588" w:type="dxa"/>
            <w:noWrap/>
            <w:vAlign w:val="bottom"/>
            <w:hideMark/>
          </w:tcPr>
          <w:p w14:paraId="064832AA"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0.01</w:t>
            </w:r>
          </w:p>
        </w:tc>
        <w:tc>
          <w:tcPr>
            <w:tcW w:w="588" w:type="dxa"/>
            <w:noWrap/>
            <w:vAlign w:val="bottom"/>
            <w:hideMark/>
          </w:tcPr>
          <w:p w14:paraId="1ACC576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720" w:type="dxa"/>
            <w:shd w:val="clear" w:color="000000" w:fill="F2F2F2"/>
            <w:noWrap/>
            <w:vAlign w:val="bottom"/>
            <w:hideMark/>
          </w:tcPr>
          <w:p w14:paraId="2C412A36"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0.01</w:t>
            </w:r>
          </w:p>
        </w:tc>
        <w:tc>
          <w:tcPr>
            <w:tcW w:w="720" w:type="dxa"/>
            <w:shd w:val="clear" w:color="000000" w:fill="F2F2F2"/>
            <w:noWrap/>
            <w:vAlign w:val="bottom"/>
            <w:hideMark/>
          </w:tcPr>
          <w:p w14:paraId="5AFD2AC3"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0.01</w:t>
            </w:r>
          </w:p>
        </w:tc>
        <w:tc>
          <w:tcPr>
            <w:tcW w:w="720" w:type="dxa"/>
            <w:shd w:val="clear" w:color="000000" w:fill="F2F2F2"/>
            <w:noWrap/>
            <w:vAlign w:val="bottom"/>
            <w:hideMark/>
          </w:tcPr>
          <w:p w14:paraId="3D5E702E"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0.01</w:t>
            </w:r>
          </w:p>
        </w:tc>
        <w:tc>
          <w:tcPr>
            <w:tcW w:w="720" w:type="dxa"/>
            <w:shd w:val="clear" w:color="000000" w:fill="F2F2F2"/>
            <w:noWrap/>
            <w:vAlign w:val="bottom"/>
            <w:hideMark/>
          </w:tcPr>
          <w:p w14:paraId="6B02596B"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r>
      <w:tr w:rsidR="00A15C2C" w14:paraId="1E956C7A" w14:textId="77777777" w:rsidTr="00617167">
        <w:trPr>
          <w:trHeight w:val="300"/>
        </w:trPr>
        <w:tc>
          <w:tcPr>
            <w:tcW w:w="700" w:type="dxa"/>
            <w:shd w:val="clear" w:color="D9E1F2" w:fill="D9E1F2"/>
            <w:noWrap/>
            <w:vAlign w:val="bottom"/>
            <w:hideMark/>
          </w:tcPr>
          <w:p w14:paraId="68FDCD69"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1991</w:t>
            </w:r>
          </w:p>
        </w:tc>
        <w:tc>
          <w:tcPr>
            <w:tcW w:w="1191" w:type="dxa"/>
            <w:shd w:val="clear" w:color="D9E1F2" w:fill="D9E1F2"/>
            <w:noWrap/>
            <w:vAlign w:val="bottom"/>
            <w:hideMark/>
          </w:tcPr>
          <w:p w14:paraId="6BBE332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0.0629</w:t>
            </w:r>
          </w:p>
        </w:tc>
        <w:tc>
          <w:tcPr>
            <w:tcW w:w="1004" w:type="dxa"/>
            <w:shd w:val="clear" w:color="D9E1F2" w:fill="D9E1F2"/>
            <w:noWrap/>
            <w:vAlign w:val="bottom"/>
            <w:hideMark/>
          </w:tcPr>
          <w:p w14:paraId="7ABE0CC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3,741</w:t>
            </w:r>
          </w:p>
        </w:tc>
        <w:tc>
          <w:tcPr>
            <w:tcW w:w="1083" w:type="dxa"/>
            <w:shd w:val="clear" w:color="D9E1F2" w:fill="D9E1F2"/>
            <w:noWrap/>
            <w:vAlign w:val="bottom"/>
            <w:hideMark/>
          </w:tcPr>
          <w:p w14:paraId="67FC25F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235</w:t>
            </w:r>
          </w:p>
        </w:tc>
        <w:tc>
          <w:tcPr>
            <w:tcW w:w="1164" w:type="dxa"/>
            <w:shd w:val="clear" w:color="D9E1F2" w:fill="D9E1F2"/>
            <w:noWrap/>
            <w:vAlign w:val="bottom"/>
            <w:hideMark/>
          </w:tcPr>
          <w:p w14:paraId="4F4A986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0.0017</w:t>
            </w:r>
          </w:p>
        </w:tc>
        <w:tc>
          <w:tcPr>
            <w:tcW w:w="588" w:type="dxa"/>
            <w:shd w:val="clear" w:color="D9E1F2" w:fill="D9E1F2"/>
            <w:noWrap/>
            <w:vAlign w:val="bottom"/>
            <w:hideMark/>
          </w:tcPr>
          <w:p w14:paraId="7BC58F6A"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651BDA34"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1.00</w:t>
            </w:r>
          </w:p>
        </w:tc>
        <w:tc>
          <w:tcPr>
            <w:tcW w:w="588" w:type="dxa"/>
            <w:shd w:val="clear" w:color="000000" w:fill="CC99FF"/>
            <w:noWrap/>
            <w:vAlign w:val="bottom"/>
            <w:hideMark/>
          </w:tcPr>
          <w:p w14:paraId="788EF11A"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000000" w:fill="CC99FF"/>
            <w:noWrap/>
            <w:vAlign w:val="bottom"/>
            <w:hideMark/>
          </w:tcPr>
          <w:p w14:paraId="1EC46816"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6FD9CE5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11CE8C5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3BEBD02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609E735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720" w:type="dxa"/>
            <w:shd w:val="clear" w:color="000000" w:fill="F2F2F2"/>
            <w:noWrap/>
            <w:vAlign w:val="bottom"/>
            <w:hideMark/>
          </w:tcPr>
          <w:p w14:paraId="39BBA965"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6F5E6AE5"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1437BFEA"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39CA3D10"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r>
      <w:tr w:rsidR="00A15C2C" w14:paraId="058D0924" w14:textId="77777777" w:rsidTr="00617167">
        <w:trPr>
          <w:trHeight w:val="300"/>
        </w:trPr>
        <w:tc>
          <w:tcPr>
            <w:tcW w:w="700" w:type="dxa"/>
            <w:noWrap/>
            <w:vAlign w:val="bottom"/>
            <w:hideMark/>
          </w:tcPr>
          <w:p w14:paraId="656F39BE"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1990</w:t>
            </w:r>
          </w:p>
        </w:tc>
        <w:tc>
          <w:tcPr>
            <w:tcW w:w="1191" w:type="dxa"/>
            <w:noWrap/>
            <w:vAlign w:val="bottom"/>
            <w:hideMark/>
          </w:tcPr>
          <w:p w14:paraId="77071B6A"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0.0514</w:t>
            </w:r>
          </w:p>
        </w:tc>
        <w:tc>
          <w:tcPr>
            <w:tcW w:w="1004" w:type="dxa"/>
            <w:noWrap/>
            <w:vAlign w:val="bottom"/>
            <w:hideMark/>
          </w:tcPr>
          <w:p w14:paraId="66B3B93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3,681</w:t>
            </w:r>
          </w:p>
        </w:tc>
        <w:tc>
          <w:tcPr>
            <w:tcW w:w="1083" w:type="dxa"/>
            <w:noWrap/>
            <w:vAlign w:val="bottom"/>
            <w:hideMark/>
          </w:tcPr>
          <w:p w14:paraId="17D4D7E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189</w:t>
            </w:r>
          </w:p>
        </w:tc>
        <w:tc>
          <w:tcPr>
            <w:tcW w:w="1164" w:type="dxa"/>
            <w:noWrap/>
            <w:vAlign w:val="bottom"/>
            <w:hideMark/>
          </w:tcPr>
          <w:p w14:paraId="5B6CAFB5"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0.0013</w:t>
            </w:r>
          </w:p>
        </w:tc>
        <w:tc>
          <w:tcPr>
            <w:tcW w:w="588" w:type="dxa"/>
            <w:noWrap/>
            <w:vAlign w:val="bottom"/>
            <w:hideMark/>
          </w:tcPr>
          <w:p w14:paraId="739DA252"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01690F64"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1.00</w:t>
            </w:r>
          </w:p>
        </w:tc>
        <w:tc>
          <w:tcPr>
            <w:tcW w:w="588" w:type="dxa"/>
            <w:shd w:val="clear" w:color="000000" w:fill="CC99FF"/>
            <w:noWrap/>
            <w:vAlign w:val="bottom"/>
            <w:hideMark/>
          </w:tcPr>
          <w:p w14:paraId="36801C8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000000" w:fill="CC99FF"/>
            <w:noWrap/>
            <w:vAlign w:val="bottom"/>
            <w:hideMark/>
          </w:tcPr>
          <w:p w14:paraId="6BD2955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08B94345"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465654F4"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7905F8E4"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752A446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720" w:type="dxa"/>
            <w:shd w:val="clear" w:color="000000" w:fill="F2F2F2"/>
            <w:noWrap/>
            <w:vAlign w:val="bottom"/>
            <w:hideMark/>
          </w:tcPr>
          <w:p w14:paraId="718E1953"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736E6821"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6D9DB83D"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56B1FEE9"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r>
      <w:tr w:rsidR="00A15C2C" w14:paraId="2036F94D" w14:textId="77777777" w:rsidTr="00617167">
        <w:trPr>
          <w:trHeight w:val="300"/>
        </w:trPr>
        <w:tc>
          <w:tcPr>
            <w:tcW w:w="700" w:type="dxa"/>
            <w:shd w:val="clear" w:color="D9E1F2" w:fill="D9E1F2"/>
            <w:noWrap/>
            <w:vAlign w:val="bottom"/>
            <w:hideMark/>
          </w:tcPr>
          <w:p w14:paraId="0EA44B0D"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1989</w:t>
            </w:r>
          </w:p>
        </w:tc>
        <w:tc>
          <w:tcPr>
            <w:tcW w:w="1191" w:type="dxa"/>
            <w:shd w:val="clear" w:color="D9E1F2" w:fill="D9E1F2"/>
            <w:noWrap/>
            <w:vAlign w:val="bottom"/>
            <w:hideMark/>
          </w:tcPr>
          <w:p w14:paraId="4FDFE23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0.0420</w:t>
            </w:r>
          </w:p>
        </w:tc>
        <w:tc>
          <w:tcPr>
            <w:tcW w:w="1004" w:type="dxa"/>
            <w:shd w:val="clear" w:color="D9E1F2" w:fill="D9E1F2"/>
            <w:noWrap/>
            <w:vAlign w:val="bottom"/>
            <w:hideMark/>
          </w:tcPr>
          <w:p w14:paraId="5AF5AC5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3,625</w:t>
            </w:r>
          </w:p>
        </w:tc>
        <w:tc>
          <w:tcPr>
            <w:tcW w:w="1083" w:type="dxa"/>
            <w:shd w:val="clear" w:color="D9E1F2" w:fill="D9E1F2"/>
            <w:noWrap/>
            <w:vAlign w:val="bottom"/>
            <w:hideMark/>
          </w:tcPr>
          <w:p w14:paraId="1DE29D4B"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152</w:t>
            </w:r>
          </w:p>
        </w:tc>
        <w:tc>
          <w:tcPr>
            <w:tcW w:w="1164" w:type="dxa"/>
            <w:shd w:val="clear" w:color="D9E1F2" w:fill="D9E1F2"/>
            <w:noWrap/>
            <w:vAlign w:val="bottom"/>
            <w:hideMark/>
          </w:tcPr>
          <w:p w14:paraId="19B9057D"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0.0011</w:t>
            </w:r>
          </w:p>
        </w:tc>
        <w:tc>
          <w:tcPr>
            <w:tcW w:w="588" w:type="dxa"/>
            <w:shd w:val="clear" w:color="D9E1F2" w:fill="D9E1F2"/>
            <w:noWrap/>
            <w:vAlign w:val="bottom"/>
            <w:hideMark/>
          </w:tcPr>
          <w:p w14:paraId="6A144B9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27A424F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1.00</w:t>
            </w:r>
          </w:p>
        </w:tc>
        <w:tc>
          <w:tcPr>
            <w:tcW w:w="588" w:type="dxa"/>
            <w:shd w:val="clear" w:color="000000" w:fill="CC99FF"/>
            <w:noWrap/>
            <w:vAlign w:val="bottom"/>
            <w:hideMark/>
          </w:tcPr>
          <w:p w14:paraId="5F2AD40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000000" w:fill="CC99FF"/>
            <w:noWrap/>
            <w:vAlign w:val="bottom"/>
            <w:hideMark/>
          </w:tcPr>
          <w:p w14:paraId="0915B2AB"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20740996"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1EA0939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1149CD8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575DD808"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720" w:type="dxa"/>
            <w:shd w:val="clear" w:color="000000" w:fill="F2F2F2"/>
            <w:noWrap/>
            <w:vAlign w:val="bottom"/>
            <w:hideMark/>
          </w:tcPr>
          <w:p w14:paraId="463582A6"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0DE1E8AF"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2EA834E7"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060245A8"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r>
      <w:tr w:rsidR="00A15C2C" w14:paraId="508E5154" w14:textId="77777777" w:rsidTr="00617167">
        <w:trPr>
          <w:trHeight w:val="300"/>
        </w:trPr>
        <w:tc>
          <w:tcPr>
            <w:tcW w:w="700" w:type="dxa"/>
            <w:noWrap/>
            <w:vAlign w:val="bottom"/>
            <w:hideMark/>
          </w:tcPr>
          <w:p w14:paraId="7806CC72"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1988</w:t>
            </w:r>
          </w:p>
        </w:tc>
        <w:tc>
          <w:tcPr>
            <w:tcW w:w="1191" w:type="dxa"/>
            <w:noWrap/>
            <w:vAlign w:val="bottom"/>
            <w:hideMark/>
          </w:tcPr>
          <w:p w14:paraId="37DE2A9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0.0337</w:t>
            </w:r>
          </w:p>
        </w:tc>
        <w:tc>
          <w:tcPr>
            <w:tcW w:w="1004" w:type="dxa"/>
            <w:noWrap/>
            <w:vAlign w:val="bottom"/>
            <w:hideMark/>
          </w:tcPr>
          <w:p w14:paraId="6114184D"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3,574</w:t>
            </w:r>
          </w:p>
        </w:tc>
        <w:tc>
          <w:tcPr>
            <w:tcW w:w="1083" w:type="dxa"/>
            <w:noWrap/>
            <w:vAlign w:val="bottom"/>
            <w:hideMark/>
          </w:tcPr>
          <w:p w14:paraId="5AF5261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120</w:t>
            </w:r>
          </w:p>
        </w:tc>
        <w:tc>
          <w:tcPr>
            <w:tcW w:w="1164" w:type="dxa"/>
            <w:noWrap/>
            <w:vAlign w:val="bottom"/>
            <w:hideMark/>
          </w:tcPr>
          <w:p w14:paraId="09C29A85"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0.0008</w:t>
            </w:r>
          </w:p>
        </w:tc>
        <w:tc>
          <w:tcPr>
            <w:tcW w:w="588" w:type="dxa"/>
            <w:noWrap/>
            <w:vAlign w:val="bottom"/>
            <w:hideMark/>
          </w:tcPr>
          <w:p w14:paraId="09AE9E36"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0AF83272"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1.00</w:t>
            </w:r>
          </w:p>
        </w:tc>
        <w:tc>
          <w:tcPr>
            <w:tcW w:w="588" w:type="dxa"/>
            <w:shd w:val="clear" w:color="000000" w:fill="CC99FF"/>
            <w:noWrap/>
            <w:vAlign w:val="bottom"/>
            <w:hideMark/>
          </w:tcPr>
          <w:p w14:paraId="6EB3F50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000000" w:fill="CC99FF"/>
            <w:noWrap/>
            <w:vAlign w:val="bottom"/>
            <w:hideMark/>
          </w:tcPr>
          <w:p w14:paraId="08CD42C1"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458694CB"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57070FCE"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44F6266E"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322D269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720" w:type="dxa"/>
            <w:shd w:val="clear" w:color="000000" w:fill="F2F2F2"/>
            <w:noWrap/>
            <w:vAlign w:val="bottom"/>
            <w:hideMark/>
          </w:tcPr>
          <w:p w14:paraId="092D9C5D"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35D44FC9"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2D05AE1C"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4DF524B7"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r>
      <w:tr w:rsidR="00A15C2C" w14:paraId="3C66F114" w14:textId="77777777" w:rsidTr="00617167">
        <w:trPr>
          <w:trHeight w:val="300"/>
        </w:trPr>
        <w:tc>
          <w:tcPr>
            <w:tcW w:w="700" w:type="dxa"/>
            <w:shd w:val="clear" w:color="D9E1F2" w:fill="D9E1F2"/>
            <w:noWrap/>
            <w:vAlign w:val="bottom"/>
            <w:hideMark/>
          </w:tcPr>
          <w:p w14:paraId="7ED2DCFA"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1987</w:t>
            </w:r>
          </w:p>
        </w:tc>
        <w:tc>
          <w:tcPr>
            <w:tcW w:w="1191" w:type="dxa"/>
            <w:shd w:val="clear" w:color="D9E1F2" w:fill="D9E1F2"/>
            <w:noWrap/>
            <w:vAlign w:val="bottom"/>
            <w:hideMark/>
          </w:tcPr>
          <w:p w14:paraId="7A745E6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0.0281</w:t>
            </w:r>
          </w:p>
        </w:tc>
        <w:tc>
          <w:tcPr>
            <w:tcW w:w="1004" w:type="dxa"/>
            <w:shd w:val="clear" w:color="D9E1F2" w:fill="D9E1F2"/>
            <w:noWrap/>
            <w:vAlign w:val="bottom"/>
            <w:hideMark/>
          </w:tcPr>
          <w:p w14:paraId="5D5576F1"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3,528</w:t>
            </w:r>
          </w:p>
        </w:tc>
        <w:tc>
          <w:tcPr>
            <w:tcW w:w="1083" w:type="dxa"/>
            <w:shd w:val="clear" w:color="D9E1F2" w:fill="D9E1F2"/>
            <w:noWrap/>
            <w:vAlign w:val="bottom"/>
            <w:hideMark/>
          </w:tcPr>
          <w:p w14:paraId="32C0F54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99</w:t>
            </w:r>
          </w:p>
        </w:tc>
        <w:tc>
          <w:tcPr>
            <w:tcW w:w="1164" w:type="dxa"/>
            <w:shd w:val="clear" w:color="D9E1F2" w:fill="D9E1F2"/>
            <w:noWrap/>
            <w:vAlign w:val="bottom"/>
            <w:hideMark/>
          </w:tcPr>
          <w:p w14:paraId="2F8FB7E9"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0.0007</w:t>
            </w:r>
          </w:p>
        </w:tc>
        <w:tc>
          <w:tcPr>
            <w:tcW w:w="588" w:type="dxa"/>
            <w:shd w:val="clear" w:color="D9E1F2" w:fill="D9E1F2"/>
            <w:noWrap/>
            <w:vAlign w:val="bottom"/>
            <w:hideMark/>
          </w:tcPr>
          <w:p w14:paraId="378F21D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0910FCE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1.00</w:t>
            </w:r>
          </w:p>
        </w:tc>
        <w:tc>
          <w:tcPr>
            <w:tcW w:w="588" w:type="dxa"/>
            <w:shd w:val="clear" w:color="000000" w:fill="CC99FF"/>
            <w:noWrap/>
            <w:vAlign w:val="bottom"/>
            <w:hideMark/>
          </w:tcPr>
          <w:p w14:paraId="6BC4248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000000" w:fill="CC99FF"/>
            <w:noWrap/>
            <w:vAlign w:val="bottom"/>
            <w:hideMark/>
          </w:tcPr>
          <w:p w14:paraId="5EBA48BA"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2B84E0D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23B14BDA"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63B7BE3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1B082908"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720" w:type="dxa"/>
            <w:shd w:val="clear" w:color="000000" w:fill="F2F2F2"/>
            <w:noWrap/>
            <w:vAlign w:val="bottom"/>
            <w:hideMark/>
          </w:tcPr>
          <w:p w14:paraId="231AD978"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5815A7F6"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51D95A43"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1A68AAA3"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r>
      <w:tr w:rsidR="00A15C2C" w14:paraId="3F9A9081" w14:textId="77777777" w:rsidTr="00617167">
        <w:trPr>
          <w:trHeight w:val="300"/>
        </w:trPr>
        <w:tc>
          <w:tcPr>
            <w:tcW w:w="700" w:type="dxa"/>
            <w:noWrap/>
            <w:vAlign w:val="bottom"/>
            <w:hideMark/>
          </w:tcPr>
          <w:p w14:paraId="543B5924"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1986</w:t>
            </w:r>
          </w:p>
        </w:tc>
        <w:tc>
          <w:tcPr>
            <w:tcW w:w="1191" w:type="dxa"/>
            <w:noWrap/>
            <w:vAlign w:val="bottom"/>
            <w:hideMark/>
          </w:tcPr>
          <w:p w14:paraId="03D7A1D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0.0235</w:t>
            </w:r>
          </w:p>
        </w:tc>
        <w:tc>
          <w:tcPr>
            <w:tcW w:w="1004" w:type="dxa"/>
            <w:noWrap/>
            <w:vAlign w:val="bottom"/>
            <w:hideMark/>
          </w:tcPr>
          <w:p w14:paraId="026917FE"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3,486</w:t>
            </w:r>
          </w:p>
        </w:tc>
        <w:tc>
          <w:tcPr>
            <w:tcW w:w="1083" w:type="dxa"/>
            <w:noWrap/>
            <w:vAlign w:val="bottom"/>
            <w:hideMark/>
          </w:tcPr>
          <w:p w14:paraId="14CA1F0D"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82</w:t>
            </w:r>
          </w:p>
        </w:tc>
        <w:tc>
          <w:tcPr>
            <w:tcW w:w="1164" w:type="dxa"/>
            <w:noWrap/>
            <w:vAlign w:val="bottom"/>
            <w:hideMark/>
          </w:tcPr>
          <w:p w14:paraId="2915FCE9"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0.0006</w:t>
            </w:r>
          </w:p>
        </w:tc>
        <w:tc>
          <w:tcPr>
            <w:tcW w:w="588" w:type="dxa"/>
            <w:noWrap/>
            <w:vAlign w:val="bottom"/>
            <w:hideMark/>
          </w:tcPr>
          <w:p w14:paraId="4B94303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0F098E76"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1.00</w:t>
            </w:r>
          </w:p>
        </w:tc>
        <w:tc>
          <w:tcPr>
            <w:tcW w:w="588" w:type="dxa"/>
            <w:shd w:val="clear" w:color="000000" w:fill="CC99FF"/>
            <w:noWrap/>
            <w:vAlign w:val="bottom"/>
            <w:hideMark/>
          </w:tcPr>
          <w:p w14:paraId="7CAB035B"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000000" w:fill="CC99FF"/>
            <w:noWrap/>
            <w:vAlign w:val="bottom"/>
            <w:hideMark/>
          </w:tcPr>
          <w:p w14:paraId="47ACA6A1"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45814FF8"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0CE5C30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65768BA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0FD939ED"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720" w:type="dxa"/>
            <w:shd w:val="clear" w:color="000000" w:fill="F2F2F2"/>
            <w:noWrap/>
            <w:vAlign w:val="bottom"/>
            <w:hideMark/>
          </w:tcPr>
          <w:p w14:paraId="1B8FF6EB"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7D004339"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0E1FE835"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791BEE86"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r>
      <w:tr w:rsidR="00A15C2C" w14:paraId="44AE92D9" w14:textId="77777777" w:rsidTr="00617167">
        <w:trPr>
          <w:trHeight w:val="300"/>
        </w:trPr>
        <w:tc>
          <w:tcPr>
            <w:tcW w:w="700" w:type="dxa"/>
            <w:shd w:val="clear" w:color="D9E1F2" w:fill="D9E1F2"/>
            <w:noWrap/>
            <w:vAlign w:val="bottom"/>
            <w:hideMark/>
          </w:tcPr>
          <w:p w14:paraId="27A6683A"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1985</w:t>
            </w:r>
          </w:p>
        </w:tc>
        <w:tc>
          <w:tcPr>
            <w:tcW w:w="1191" w:type="dxa"/>
            <w:shd w:val="clear" w:color="D9E1F2" w:fill="D9E1F2"/>
            <w:noWrap/>
            <w:vAlign w:val="bottom"/>
            <w:hideMark/>
          </w:tcPr>
          <w:p w14:paraId="35F937D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0.0000</w:t>
            </w:r>
          </w:p>
        </w:tc>
        <w:tc>
          <w:tcPr>
            <w:tcW w:w="1004" w:type="dxa"/>
            <w:shd w:val="clear" w:color="D9E1F2" w:fill="D9E1F2"/>
            <w:noWrap/>
            <w:vAlign w:val="bottom"/>
            <w:hideMark/>
          </w:tcPr>
          <w:p w14:paraId="34E0D501"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3,449</w:t>
            </w:r>
          </w:p>
        </w:tc>
        <w:tc>
          <w:tcPr>
            <w:tcW w:w="1083" w:type="dxa"/>
            <w:shd w:val="clear" w:color="D9E1F2" w:fill="D9E1F2"/>
            <w:noWrap/>
            <w:vAlign w:val="bottom"/>
            <w:hideMark/>
          </w:tcPr>
          <w:p w14:paraId="3058584A"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w:t>
            </w:r>
          </w:p>
        </w:tc>
        <w:tc>
          <w:tcPr>
            <w:tcW w:w="1164" w:type="dxa"/>
            <w:shd w:val="clear" w:color="D9E1F2" w:fill="D9E1F2"/>
            <w:noWrap/>
            <w:vAlign w:val="bottom"/>
            <w:hideMark/>
          </w:tcPr>
          <w:p w14:paraId="483FC8F4"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0.0000</w:t>
            </w:r>
          </w:p>
        </w:tc>
        <w:tc>
          <w:tcPr>
            <w:tcW w:w="588" w:type="dxa"/>
            <w:shd w:val="clear" w:color="D9E1F2" w:fill="D9E1F2"/>
            <w:noWrap/>
            <w:vAlign w:val="bottom"/>
            <w:hideMark/>
          </w:tcPr>
          <w:p w14:paraId="520D09B6"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593A797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1.00</w:t>
            </w:r>
          </w:p>
        </w:tc>
        <w:tc>
          <w:tcPr>
            <w:tcW w:w="588" w:type="dxa"/>
            <w:shd w:val="clear" w:color="000000" w:fill="CC99FF"/>
            <w:noWrap/>
            <w:vAlign w:val="bottom"/>
            <w:hideMark/>
          </w:tcPr>
          <w:p w14:paraId="3353793E"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000000" w:fill="CC99FF"/>
            <w:noWrap/>
            <w:vAlign w:val="bottom"/>
            <w:hideMark/>
          </w:tcPr>
          <w:p w14:paraId="245F0848"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6CCD73F1"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20E5D0D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2B88F44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400F7E5D"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720" w:type="dxa"/>
            <w:shd w:val="clear" w:color="000000" w:fill="F2F2F2"/>
            <w:noWrap/>
            <w:vAlign w:val="bottom"/>
            <w:hideMark/>
          </w:tcPr>
          <w:p w14:paraId="2D6F8F53"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2BDA3F51"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6EBBC9EF"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353EC8EA"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r>
      <w:tr w:rsidR="00A15C2C" w14:paraId="3BF822FA" w14:textId="77777777" w:rsidTr="00617167">
        <w:trPr>
          <w:trHeight w:val="300"/>
        </w:trPr>
        <w:tc>
          <w:tcPr>
            <w:tcW w:w="700" w:type="dxa"/>
            <w:noWrap/>
            <w:vAlign w:val="bottom"/>
            <w:hideMark/>
          </w:tcPr>
          <w:p w14:paraId="7844608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1984</w:t>
            </w:r>
          </w:p>
        </w:tc>
        <w:tc>
          <w:tcPr>
            <w:tcW w:w="1191" w:type="dxa"/>
            <w:noWrap/>
            <w:vAlign w:val="bottom"/>
            <w:hideMark/>
          </w:tcPr>
          <w:p w14:paraId="72370E4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0.0000</w:t>
            </w:r>
          </w:p>
        </w:tc>
        <w:tc>
          <w:tcPr>
            <w:tcW w:w="1004" w:type="dxa"/>
            <w:noWrap/>
            <w:vAlign w:val="bottom"/>
            <w:hideMark/>
          </w:tcPr>
          <w:p w14:paraId="452AA1EA"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3,449</w:t>
            </w:r>
          </w:p>
        </w:tc>
        <w:tc>
          <w:tcPr>
            <w:tcW w:w="1083" w:type="dxa"/>
            <w:noWrap/>
            <w:vAlign w:val="bottom"/>
            <w:hideMark/>
          </w:tcPr>
          <w:p w14:paraId="0F9260C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w:t>
            </w:r>
          </w:p>
        </w:tc>
        <w:tc>
          <w:tcPr>
            <w:tcW w:w="1164" w:type="dxa"/>
            <w:noWrap/>
            <w:vAlign w:val="bottom"/>
            <w:hideMark/>
          </w:tcPr>
          <w:p w14:paraId="7D988DA8"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0.0000</w:t>
            </w:r>
          </w:p>
        </w:tc>
        <w:tc>
          <w:tcPr>
            <w:tcW w:w="588" w:type="dxa"/>
            <w:noWrap/>
            <w:vAlign w:val="bottom"/>
            <w:hideMark/>
          </w:tcPr>
          <w:p w14:paraId="607F698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130057DB"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1.00</w:t>
            </w:r>
          </w:p>
        </w:tc>
        <w:tc>
          <w:tcPr>
            <w:tcW w:w="588" w:type="dxa"/>
            <w:shd w:val="clear" w:color="000000" w:fill="CC99FF"/>
            <w:noWrap/>
            <w:vAlign w:val="bottom"/>
            <w:hideMark/>
          </w:tcPr>
          <w:p w14:paraId="0F37310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000000" w:fill="CC99FF"/>
            <w:noWrap/>
            <w:vAlign w:val="bottom"/>
            <w:hideMark/>
          </w:tcPr>
          <w:p w14:paraId="53614D95"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56EA3E1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735E01CD"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78780DCE"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30B68D4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720" w:type="dxa"/>
            <w:shd w:val="clear" w:color="000000" w:fill="F2F2F2"/>
            <w:noWrap/>
            <w:vAlign w:val="bottom"/>
            <w:hideMark/>
          </w:tcPr>
          <w:p w14:paraId="66559C00"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7D4E9E56"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4C1D507D"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1BA5A002"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r>
      <w:tr w:rsidR="00A15C2C" w14:paraId="2F524E45" w14:textId="77777777" w:rsidTr="00617167">
        <w:trPr>
          <w:trHeight w:val="300"/>
        </w:trPr>
        <w:tc>
          <w:tcPr>
            <w:tcW w:w="700" w:type="dxa"/>
            <w:shd w:val="clear" w:color="D9E1F2" w:fill="D9E1F2"/>
            <w:noWrap/>
            <w:vAlign w:val="bottom"/>
            <w:hideMark/>
          </w:tcPr>
          <w:p w14:paraId="396297C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1983</w:t>
            </w:r>
          </w:p>
        </w:tc>
        <w:tc>
          <w:tcPr>
            <w:tcW w:w="1191" w:type="dxa"/>
            <w:shd w:val="clear" w:color="D9E1F2" w:fill="D9E1F2"/>
            <w:noWrap/>
            <w:vAlign w:val="bottom"/>
            <w:hideMark/>
          </w:tcPr>
          <w:p w14:paraId="166587A9"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0.0000</w:t>
            </w:r>
          </w:p>
        </w:tc>
        <w:tc>
          <w:tcPr>
            <w:tcW w:w="1004" w:type="dxa"/>
            <w:shd w:val="clear" w:color="D9E1F2" w:fill="D9E1F2"/>
            <w:noWrap/>
            <w:vAlign w:val="bottom"/>
            <w:hideMark/>
          </w:tcPr>
          <w:p w14:paraId="5012141E"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3,449</w:t>
            </w:r>
          </w:p>
        </w:tc>
        <w:tc>
          <w:tcPr>
            <w:tcW w:w="1083" w:type="dxa"/>
            <w:shd w:val="clear" w:color="D9E1F2" w:fill="D9E1F2"/>
            <w:noWrap/>
            <w:vAlign w:val="bottom"/>
            <w:hideMark/>
          </w:tcPr>
          <w:p w14:paraId="609AA5CD"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w:t>
            </w:r>
          </w:p>
        </w:tc>
        <w:tc>
          <w:tcPr>
            <w:tcW w:w="1164" w:type="dxa"/>
            <w:shd w:val="clear" w:color="D9E1F2" w:fill="D9E1F2"/>
            <w:noWrap/>
            <w:vAlign w:val="bottom"/>
            <w:hideMark/>
          </w:tcPr>
          <w:p w14:paraId="27D7A0A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0.0000</w:t>
            </w:r>
          </w:p>
        </w:tc>
        <w:tc>
          <w:tcPr>
            <w:tcW w:w="588" w:type="dxa"/>
            <w:shd w:val="clear" w:color="D9E1F2" w:fill="D9E1F2"/>
            <w:noWrap/>
            <w:vAlign w:val="bottom"/>
            <w:hideMark/>
          </w:tcPr>
          <w:p w14:paraId="163C330B"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1E7EDBD4"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1.00</w:t>
            </w:r>
          </w:p>
        </w:tc>
        <w:tc>
          <w:tcPr>
            <w:tcW w:w="588" w:type="dxa"/>
            <w:shd w:val="clear" w:color="000000" w:fill="CC99FF"/>
            <w:noWrap/>
            <w:vAlign w:val="bottom"/>
            <w:hideMark/>
          </w:tcPr>
          <w:p w14:paraId="03C41BA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000000" w:fill="CC99FF"/>
            <w:noWrap/>
            <w:vAlign w:val="bottom"/>
            <w:hideMark/>
          </w:tcPr>
          <w:p w14:paraId="15657BA9"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7145B964"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1AE6179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08246CE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78729A5A"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720" w:type="dxa"/>
            <w:shd w:val="clear" w:color="000000" w:fill="F2F2F2"/>
            <w:noWrap/>
            <w:vAlign w:val="bottom"/>
            <w:hideMark/>
          </w:tcPr>
          <w:p w14:paraId="5F9876FD"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7719B155"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2FB4F986"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4CD55608"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r>
      <w:tr w:rsidR="00A15C2C" w14:paraId="008A1DB4" w14:textId="77777777" w:rsidTr="00617167">
        <w:trPr>
          <w:trHeight w:val="300"/>
        </w:trPr>
        <w:tc>
          <w:tcPr>
            <w:tcW w:w="700" w:type="dxa"/>
            <w:noWrap/>
            <w:vAlign w:val="bottom"/>
            <w:hideMark/>
          </w:tcPr>
          <w:p w14:paraId="03916CF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1982</w:t>
            </w:r>
          </w:p>
        </w:tc>
        <w:tc>
          <w:tcPr>
            <w:tcW w:w="1191" w:type="dxa"/>
            <w:noWrap/>
            <w:vAlign w:val="bottom"/>
            <w:hideMark/>
          </w:tcPr>
          <w:p w14:paraId="7D0EB0B2"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0.0000</w:t>
            </w:r>
          </w:p>
        </w:tc>
        <w:tc>
          <w:tcPr>
            <w:tcW w:w="1004" w:type="dxa"/>
            <w:noWrap/>
            <w:vAlign w:val="bottom"/>
            <w:hideMark/>
          </w:tcPr>
          <w:p w14:paraId="379DA2DD"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3,449</w:t>
            </w:r>
          </w:p>
        </w:tc>
        <w:tc>
          <w:tcPr>
            <w:tcW w:w="1083" w:type="dxa"/>
            <w:noWrap/>
            <w:vAlign w:val="bottom"/>
            <w:hideMark/>
          </w:tcPr>
          <w:p w14:paraId="357DB80D"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w:t>
            </w:r>
          </w:p>
        </w:tc>
        <w:tc>
          <w:tcPr>
            <w:tcW w:w="1164" w:type="dxa"/>
            <w:noWrap/>
            <w:vAlign w:val="bottom"/>
            <w:hideMark/>
          </w:tcPr>
          <w:p w14:paraId="330A944E"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0.0000</w:t>
            </w:r>
          </w:p>
        </w:tc>
        <w:tc>
          <w:tcPr>
            <w:tcW w:w="588" w:type="dxa"/>
            <w:noWrap/>
            <w:vAlign w:val="bottom"/>
            <w:hideMark/>
          </w:tcPr>
          <w:p w14:paraId="37E8360D"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626E4FA9"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1.00</w:t>
            </w:r>
          </w:p>
        </w:tc>
        <w:tc>
          <w:tcPr>
            <w:tcW w:w="588" w:type="dxa"/>
            <w:shd w:val="clear" w:color="000000" w:fill="CC99FF"/>
            <w:noWrap/>
            <w:vAlign w:val="bottom"/>
            <w:hideMark/>
          </w:tcPr>
          <w:p w14:paraId="3CF2F66A"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000000" w:fill="CC99FF"/>
            <w:noWrap/>
            <w:vAlign w:val="bottom"/>
            <w:hideMark/>
          </w:tcPr>
          <w:p w14:paraId="4FE4093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7A41579E"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37CB38CB"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0A4E88E9"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01E6F8DD"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720" w:type="dxa"/>
            <w:shd w:val="clear" w:color="000000" w:fill="F2F2F2"/>
            <w:noWrap/>
            <w:vAlign w:val="bottom"/>
            <w:hideMark/>
          </w:tcPr>
          <w:p w14:paraId="14E5DBD4"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512F0791"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14423552"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4B0456FE"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r>
      <w:tr w:rsidR="00A15C2C" w14:paraId="7A2CF4E7" w14:textId="77777777" w:rsidTr="00617167">
        <w:trPr>
          <w:trHeight w:val="300"/>
        </w:trPr>
        <w:tc>
          <w:tcPr>
            <w:tcW w:w="700" w:type="dxa"/>
            <w:shd w:val="clear" w:color="D9E1F2" w:fill="D9E1F2"/>
            <w:noWrap/>
            <w:vAlign w:val="bottom"/>
            <w:hideMark/>
          </w:tcPr>
          <w:p w14:paraId="4DA2242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1981</w:t>
            </w:r>
          </w:p>
        </w:tc>
        <w:tc>
          <w:tcPr>
            <w:tcW w:w="1191" w:type="dxa"/>
            <w:shd w:val="clear" w:color="D9E1F2" w:fill="D9E1F2"/>
            <w:noWrap/>
            <w:vAlign w:val="bottom"/>
            <w:hideMark/>
          </w:tcPr>
          <w:p w14:paraId="6052F5D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0.0000</w:t>
            </w:r>
          </w:p>
        </w:tc>
        <w:tc>
          <w:tcPr>
            <w:tcW w:w="1004" w:type="dxa"/>
            <w:shd w:val="clear" w:color="D9E1F2" w:fill="D9E1F2"/>
            <w:noWrap/>
            <w:vAlign w:val="bottom"/>
            <w:hideMark/>
          </w:tcPr>
          <w:p w14:paraId="69AE2B72"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3,449</w:t>
            </w:r>
          </w:p>
        </w:tc>
        <w:tc>
          <w:tcPr>
            <w:tcW w:w="1083" w:type="dxa"/>
            <w:shd w:val="clear" w:color="D9E1F2" w:fill="D9E1F2"/>
            <w:noWrap/>
            <w:vAlign w:val="bottom"/>
            <w:hideMark/>
          </w:tcPr>
          <w:p w14:paraId="59C5954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w:t>
            </w:r>
          </w:p>
        </w:tc>
        <w:tc>
          <w:tcPr>
            <w:tcW w:w="1164" w:type="dxa"/>
            <w:shd w:val="clear" w:color="D9E1F2" w:fill="D9E1F2"/>
            <w:noWrap/>
            <w:vAlign w:val="bottom"/>
            <w:hideMark/>
          </w:tcPr>
          <w:p w14:paraId="0BFD5922"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0.0000</w:t>
            </w:r>
          </w:p>
        </w:tc>
        <w:tc>
          <w:tcPr>
            <w:tcW w:w="588" w:type="dxa"/>
            <w:shd w:val="clear" w:color="D9E1F2" w:fill="D9E1F2"/>
            <w:noWrap/>
            <w:vAlign w:val="bottom"/>
            <w:hideMark/>
          </w:tcPr>
          <w:p w14:paraId="11511CA2"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6FC43DED"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1.00</w:t>
            </w:r>
          </w:p>
        </w:tc>
        <w:tc>
          <w:tcPr>
            <w:tcW w:w="588" w:type="dxa"/>
            <w:shd w:val="clear" w:color="000000" w:fill="CC99FF"/>
            <w:noWrap/>
            <w:vAlign w:val="bottom"/>
            <w:hideMark/>
          </w:tcPr>
          <w:p w14:paraId="5688AD7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000000" w:fill="CC99FF"/>
            <w:noWrap/>
            <w:vAlign w:val="bottom"/>
            <w:hideMark/>
          </w:tcPr>
          <w:p w14:paraId="5472F476"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59192AFB"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3592D06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5C51C480"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47EC4E79"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720" w:type="dxa"/>
            <w:shd w:val="clear" w:color="000000" w:fill="F2F2F2"/>
            <w:noWrap/>
            <w:vAlign w:val="bottom"/>
            <w:hideMark/>
          </w:tcPr>
          <w:p w14:paraId="4F8B47FB"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2D5541B9"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3AC7325F"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06E42A07"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r>
      <w:tr w:rsidR="00A15C2C" w14:paraId="73644BA9" w14:textId="77777777" w:rsidTr="00617167">
        <w:trPr>
          <w:trHeight w:val="300"/>
        </w:trPr>
        <w:tc>
          <w:tcPr>
            <w:tcW w:w="700" w:type="dxa"/>
            <w:noWrap/>
            <w:vAlign w:val="bottom"/>
            <w:hideMark/>
          </w:tcPr>
          <w:p w14:paraId="29BC421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1980</w:t>
            </w:r>
          </w:p>
        </w:tc>
        <w:tc>
          <w:tcPr>
            <w:tcW w:w="1191" w:type="dxa"/>
            <w:noWrap/>
            <w:vAlign w:val="bottom"/>
            <w:hideMark/>
          </w:tcPr>
          <w:p w14:paraId="36417102"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0.0000</w:t>
            </w:r>
          </w:p>
        </w:tc>
        <w:tc>
          <w:tcPr>
            <w:tcW w:w="1004" w:type="dxa"/>
            <w:noWrap/>
            <w:vAlign w:val="bottom"/>
            <w:hideMark/>
          </w:tcPr>
          <w:p w14:paraId="07993A1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3,449</w:t>
            </w:r>
          </w:p>
        </w:tc>
        <w:tc>
          <w:tcPr>
            <w:tcW w:w="1083" w:type="dxa"/>
            <w:noWrap/>
            <w:vAlign w:val="bottom"/>
            <w:hideMark/>
          </w:tcPr>
          <w:p w14:paraId="1C562819"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w:t>
            </w:r>
          </w:p>
        </w:tc>
        <w:tc>
          <w:tcPr>
            <w:tcW w:w="1164" w:type="dxa"/>
            <w:noWrap/>
            <w:vAlign w:val="bottom"/>
            <w:hideMark/>
          </w:tcPr>
          <w:p w14:paraId="304D1336"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0.0000</w:t>
            </w:r>
          </w:p>
        </w:tc>
        <w:tc>
          <w:tcPr>
            <w:tcW w:w="588" w:type="dxa"/>
            <w:noWrap/>
            <w:vAlign w:val="bottom"/>
            <w:hideMark/>
          </w:tcPr>
          <w:p w14:paraId="17E6C71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0B6FF02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1.00</w:t>
            </w:r>
          </w:p>
        </w:tc>
        <w:tc>
          <w:tcPr>
            <w:tcW w:w="588" w:type="dxa"/>
            <w:shd w:val="clear" w:color="000000" w:fill="CC99FF"/>
            <w:noWrap/>
            <w:vAlign w:val="bottom"/>
            <w:hideMark/>
          </w:tcPr>
          <w:p w14:paraId="605DEB1A"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000000" w:fill="CC99FF"/>
            <w:noWrap/>
            <w:vAlign w:val="bottom"/>
            <w:hideMark/>
          </w:tcPr>
          <w:p w14:paraId="0E112ED9"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443EEB9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3CE1A30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373817D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7DF753D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720" w:type="dxa"/>
            <w:shd w:val="clear" w:color="000000" w:fill="F2F2F2"/>
            <w:noWrap/>
            <w:vAlign w:val="bottom"/>
            <w:hideMark/>
          </w:tcPr>
          <w:p w14:paraId="14585CEA"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1CF12F96"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6BBB5845"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0D36338C"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r>
      <w:tr w:rsidR="00A15C2C" w14:paraId="0D11CFED" w14:textId="77777777" w:rsidTr="00617167">
        <w:trPr>
          <w:trHeight w:val="300"/>
        </w:trPr>
        <w:tc>
          <w:tcPr>
            <w:tcW w:w="700" w:type="dxa"/>
            <w:shd w:val="clear" w:color="D9E1F2" w:fill="D9E1F2"/>
            <w:noWrap/>
            <w:vAlign w:val="bottom"/>
            <w:hideMark/>
          </w:tcPr>
          <w:p w14:paraId="69B78F5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1979</w:t>
            </w:r>
          </w:p>
        </w:tc>
        <w:tc>
          <w:tcPr>
            <w:tcW w:w="1191" w:type="dxa"/>
            <w:shd w:val="clear" w:color="D9E1F2" w:fill="D9E1F2"/>
            <w:noWrap/>
            <w:vAlign w:val="bottom"/>
            <w:hideMark/>
          </w:tcPr>
          <w:p w14:paraId="42042ED1"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0.0000</w:t>
            </w:r>
          </w:p>
        </w:tc>
        <w:tc>
          <w:tcPr>
            <w:tcW w:w="1004" w:type="dxa"/>
            <w:shd w:val="clear" w:color="D9E1F2" w:fill="D9E1F2"/>
            <w:noWrap/>
            <w:vAlign w:val="bottom"/>
            <w:hideMark/>
          </w:tcPr>
          <w:p w14:paraId="3584D2B5"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3,449</w:t>
            </w:r>
          </w:p>
        </w:tc>
        <w:tc>
          <w:tcPr>
            <w:tcW w:w="1083" w:type="dxa"/>
            <w:shd w:val="clear" w:color="D9E1F2" w:fill="D9E1F2"/>
            <w:noWrap/>
            <w:vAlign w:val="bottom"/>
            <w:hideMark/>
          </w:tcPr>
          <w:p w14:paraId="439427D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w:t>
            </w:r>
          </w:p>
        </w:tc>
        <w:tc>
          <w:tcPr>
            <w:tcW w:w="1164" w:type="dxa"/>
            <w:shd w:val="clear" w:color="D9E1F2" w:fill="D9E1F2"/>
            <w:noWrap/>
            <w:vAlign w:val="bottom"/>
            <w:hideMark/>
          </w:tcPr>
          <w:p w14:paraId="25CA5FBE"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0.0000</w:t>
            </w:r>
          </w:p>
        </w:tc>
        <w:tc>
          <w:tcPr>
            <w:tcW w:w="588" w:type="dxa"/>
            <w:shd w:val="clear" w:color="D9E1F2" w:fill="D9E1F2"/>
            <w:noWrap/>
            <w:vAlign w:val="bottom"/>
            <w:hideMark/>
          </w:tcPr>
          <w:p w14:paraId="5FC7CBA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0EDD628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1.00</w:t>
            </w:r>
          </w:p>
        </w:tc>
        <w:tc>
          <w:tcPr>
            <w:tcW w:w="588" w:type="dxa"/>
            <w:shd w:val="clear" w:color="000000" w:fill="CC99FF"/>
            <w:noWrap/>
            <w:vAlign w:val="bottom"/>
            <w:hideMark/>
          </w:tcPr>
          <w:p w14:paraId="5E1A5F4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000000" w:fill="CC99FF"/>
            <w:noWrap/>
            <w:vAlign w:val="bottom"/>
            <w:hideMark/>
          </w:tcPr>
          <w:p w14:paraId="34C5755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163368F1"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4D4DB35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38E565D2"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53800DFE"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720" w:type="dxa"/>
            <w:shd w:val="clear" w:color="000000" w:fill="F2F2F2"/>
            <w:noWrap/>
            <w:vAlign w:val="bottom"/>
            <w:hideMark/>
          </w:tcPr>
          <w:p w14:paraId="72A5A7E8"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582758EE"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788B80CB"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1AD8DFE3"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r>
      <w:tr w:rsidR="00A15C2C" w14:paraId="232ED1D1" w14:textId="77777777" w:rsidTr="00617167">
        <w:trPr>
          <w:trHeight w:val="300"/>
        </w:trPr>
        <w:tc>
          <w:tcPr>
            <w:tcW w:w="700" w:type="dxa"/>
            <w:noWrap/>
            <w:vAlign w:val="bottom"/>
            <w:hideMark/>
          </w:tcPr>
          <w:p w14:paraId="7F625D02"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1978</w:t>
            </w:r>
          </w:p>
        </w:tc>
        <w:tc>
          <w:tcPr>
            <w:tcW w:w="1191" w:type="dxa"/>
            <w:noWrap/>
            <w:vAlign w:val="bottom"/>
            <w:hideMark/>
          </w:tcPr>
          <w:p w14:paraId="7B97127B"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0.0000</w:t>
            </w:r>
          </w:p>
        </w:tc>
        <w:tc>
          <w:tcPr>
            <w:tcW w:w="1004" w:type="dxa"/>
            <w:noWrap/>
            <w:vAlign w:val="bottom"/>
            <w:hideMark/>
          </w:tcPr>
          <w:p w14:paraId="6DACE32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3,449</w:t>
            </w:r>
          </w:p>
        </w:tc>
        <w:tc>
          <w:tcPr>
            <w:tcW w:w="1083" w:type="dxa"/>
            <w:noWrap/>
            <w:vAlign w:val="bottom"/>
            <w:hideMark/>
          </w:tcPr>
          <w:p w14:paraId="1C9353B8"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w:t>
            </w:r>
          </w:p>
        </w:tc>
        <w:tc>
          <w:tcPr>
            <w:tcW w:w="1164" w:type="dxa"/>
            <w:noWrap/>
            <w:vAlign w:val="bottom"/>
            <w:hideMark/>
          </w:tcPr>
          <w:p w14:paraId="5AFF79C2"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0.0000</w:t>
            </w:r>
          </w:p>
        </w:tc>
        <w:tc>
          <w:tcPr>
            <w:tcW w:w="588" w:type="dxa"/>
            <w:noWrap/>
            <w:vAlign w:val="bottom"/>
            <w:hideMark/>
          </w:tcPr>
          <w:p w14:paraId="15EEDEF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07ED961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1.00</w:t>
            </w:r>
          </w:p>
        </w:tc>
        <w:tc>
          <w:tcPr>
            <w:tcW w:w="588" w:type="dxa"/>
            <w:shd w:val="clear" w:color="000000" w:fill="CC99FF"/>
            <w:noWrap/>
            <w:vAlign w:val="bottom"/>
            <w:hideMark/>
          </w:tcPr>
          <w:p w14:paraId="40A46FD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000000" w:fill="CC99FF"/>
            <w:noWrap/>
            <w:vAlign w:val="bottom"/>
            <w:hideMark/>
          </w:tcPr>
          <w:p w14:paraId="7F6433E5"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4227C46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0AA5EEE6"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1ACA945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68AAB76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720" w:type="dxa"/>
            <w:shd w:val="clear" w:color="000000" w:fill="F2F2F2"/>
            <w:noWrap/>
            <w:vAlign w:val="bottom"/>
            <w:hideMark/>
          </w:tcPr>
          <w:p w14:paraId="784BFCA1"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1627AE7E"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0B5DD0F3"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29259E18"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r>
      <w:tr w:rsidR="00A15C2C" w14:paraId="6D4B7A42" w14:textId="77777777" w:rsidTr="00617167">
        <w:trPr>
          <w:trHeight w:val="300"/>
        </w:trPr>
        <w:tc>
          <w:tcPr>
            <w:tcW w:w="700" w:type="dxa"/>
            <w:shd w:val="clear" w:color="D9E1F2" w:fill="D9E1F2"/>
            <w:noWrap/>
            <w:vAlign w:val="bottom"/>
            <w:hideMark/>
          </w:tcPr>
          <w:p w14:paraId="56340342"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1977</w:t>
            </w:r>
          </w:p>
        </w:tc>
        <w:tc>
          <w:tcPr>
            <w:tcW w:w="1191" w:type="dxa"/>
            <w:shd w:val="clear" w:color="D9E1F2" w:fill="D9E1F2"/>
            <w:noWrap/>
            <w:vAlign w:val="bottom"/>
            <w:hideMark/>
          </w:tcPr>
          <w:p w14:paraId="246DEDFE"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0.0000</w:t>
            </w:r>
          </w:p>
        </w:tc>
        <w:tc>
          <w:tcPr>
            <w:tcW w:w="1004" w:type="dxa"/>
            <w:shd w:val="clear" w:color="D9E1F2" w:fill="D9E1F2"/>
            <w:noWrap/>
            <w:vAlign w:val="bottom"/>
            <w:hideMark/>
          </w:tcPr>
          <w:p w14:paraId="284FFC25"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3,449</w:t>
            </w:r>
          </w:p>
        </w:tc>
        <w:tc>
          <w:tcPr>
            <w:tcW w:w="1083" w:type="dxa"/>
            <w:shd w:val="clear" w:color="D9E1F2" w:fill="D9E1F2"/>
            <w:noWrap/>
            <w:vAlign w:val="bottom"/>
            <w:hideMark/>
          </w:tcPr>
          <w:p w14:paraId="1F88ED3D"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w:t>
            </w:r>
          </w:p>
        </w:tc>
        <w:tc>
          <w:tcPr>
            <w:tcW w:w="1164" w:type="dxa"/>
            <w:shd w:val="clear" w:color="D9E1F2" w:fill="D9E1F2"/>
            <w:noWrap/>
            <w:vAlign w:val="bottom"/>
            <w:hideMark/>
          </w:tcPr>
          <w:p w14:paraId="6301EFC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0.0000</w:t>
            </w:r>
          </w:p>
        </w:tc>
        <w:tc>
          <w:tcPr>
            <w:tcW w:w="588" w:type="dxa"/>
            <w:shd w:val="clear" w:color="D9E1F2" w:fill="D9E1F2"/>
            <w:noWrap/>
            <w:vAlign w:val="bottom"/>
            <w:hideMark/>
          </w:tcPr>
          <w:p w14:paraId="5C59D04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7C99470E"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1.00</w:t>
            </w:r>
          </w:p>
        </w:tc>
        <w:tc>
          <w:tcPr>
            <w:tcW w:w="588" w:type="dxa"/>
            <w:shd w:val="clear" w:color="000000" w:fill="CC99FF"/>
            <w:noWrap/>
            <w:vAlign w:val="bottom"/>
            <w:hideMark/>
          </w:tcPr>
          <w:p w14:paraId="1F47D48E"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000000" w:fill="CC99FF"/>
            <w:noWrap/>
            <w:vAlign w:val="bottom"/>
            <w:hideMark/>
          </w:tcPr>
          <w:p w14:paraId="21B217CA"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48476FCE"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7799205A"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487B19D3"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D9E1F2" w:fill="D9E1F2"/>
            <w:noWrap/>
            <w:vAlign w:val="bottom"/>
            <w:hideMark/>
          </w:tcPr>
          <w:p w14:paraId="359A9AAE"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720" w:type="dxa"/>
            <w:shd w:val="clear" w:color="000000" w:fill="F2F2F2"/>
            <w:noWrap/>
            <w:vAlign w:val="bottom"/>
            <w:hideMark/>
          </w:tcPr>
          <w:p w14:paraId="072CD5B0"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5E0E778F"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6C0D92BF"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5FC39582"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r>
      <w:tr w:rsidR="00A15C2C" w14:paraId="5216FB2C" w14:textId="77777777" w:rsidTr="00617167">
        <w:trPr>
          <w:trHeight w:val="300"/>
        </w:trPr>
        <w:tc>
          <w:tcPr>
            <w:tcW w:w="700" w:type="dxa"/>
            <w:noWrap/>
            <w:vAlign w:val="bottom"/>
            <w:hideMark/>
          </w:tcPr>
          <w:p w14:paraId="039E349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1976</w:t>
            </w:r>
          </w:p>
        </w:tc>
        <w:tc>
          <w:tcPr>
            <w:tcW w:w="1191" w:type="dxa"/>
            <w:noWrap/>
            <w:vAlign w:val="bottom"/>
            <w:hideMark/>
          </w:tcPr>
          <w:p w14:paraId="6754F73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0.0000</w:t>
            </w:r>
          </w:p>
        </w:tc>
        <w:tc>
          <w:tcPr>
            <w:tcW w:w="1004" w:type="dxa"/>
            <w:noWrap/>
            <w:vAlign w:val="bottom"/>
            <w:hideMark/>
          </w:tcPr>
          <w:p w14:paraId="419E1D0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3,449</w:t>
            </w:r>
          </w:p>
        </w:tc>
        <w:tc>
          <w:tcPr>
            <w:tcW w:w="1083" w:type="dxa"/>
            <w:noWrap/>
            <w:vAlign w:val="bottom"/>
            <w:hideMark/>
          </w:tcPr>
          <w:p w14:paraId="69CC7A05"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w:t>
            </w:r>
          </w:p>
        </w:tc>
        <w:tc>
          <w:tcPr>
            <w:tcW w:w="1164" w:type="dxa"/>
            <w:noWrap/>
            <w:vAlign w:val="bottom"/>
            <w:hideMark/>
          </w:tcPr>
          <w:p w14:paraId="647201E8"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0.0000</w:t>
            </w:r>
          </w:p>
        </w:tc>
        <w:tc>
          <w:tcPr>
            <w:tcW w:w="588" w:type="dxa"/>
            <w:noWrap/>
            <w:vAlign w:val="bottom"/>
            <w:hideMark/>
          </w:tcPr>
          <w:p w14:paraId="04C0174C"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584A754E"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1.00</w:t>
            </w:r>
          </w:p>
        </w:tc>
        <w:tc>
          <w:tcPr>
            <w:tcW w:w="588" w:type="dxa"/>
            <w:shd w:val="clear" w:color="000000" w:fill="CC99FF"/>
            <w:noWrap/>
            <w:vAlign w:val="bottom"/>
            <w:hideMark/>
          </w:tcPr>
          <w:p w14:paraId="3B83221B"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shd w:val="clear" w:color="000000" w:fill="CC99FF"/>
            <w:noWrap/>
            <w:vAlign w:val="bottom"/>
            <w:hideMark/>
          </w:tcPr>
          <w:p w14:paraId="30C02772"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56B61EBF"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23C67987"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1030F85A"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588" w:type="dxa"/>
            <w:noWrap/>
            <w:vAlign w:val="bottom"/>
            <w:hideMark/>
          </w:tcPr>
          <w:p w14:paraId="41B45309" w14:textId="77777777" w:rsidR="001D6419" w:rsidRPr="00843B03" w:rsidRDefault="000F5B51" w:rsidP="00D07617">
            <w:pPr>
              <w:spacing w:after="0" w:line="240" w:lineRule="auto"/>
              <w:contextualSpacing/>
              <w:rPr>
                <w:rFonts w:eastAsia="Times New Roman" w:cs="Times New Roman"/>
                <w:szCs w:val="24"/>
              </w:rPr>
            </w:pPr>
            <w:r w:rsidRPr="00617167">
              <w:rPr>
                <w:rFonts w:cs="Times New Roman"/>
                <w:color w:val="000000"/>
                <w:sz w:val="22"/>
              </w:rPr>
              <w:t>0.00</w:t>
            </w:r>
          </w:p>
        </w:tc>
        <w:tc>
          <w:tcPr>
            <w:tcW w:w="720" w:type="dxa"/>
            <w:shd w:val="clear" w:color="000000" w:fill="F2F2F2"/>
            <w:noWrap/>
            <w:vAlign w:val="bottom"/>
            <w:hideMark/>
          </w:tcPr>
          <w:p w14:paraId="3DE25EE8"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305FAD91"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619271DC"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c>
          <w:tcPr>
            <w:tcW w:w="720" w:type="dxa"/>
            <w:shd w:val="clear" w:color="000000" w:fill="F2F2F2"/>
            <w:noWrap/>
            <w:vAlign w:val="bottom"/>
            <w:hideMark/>
          </w:tcPr>
          <w:p w14:paraId="4A26EB20" w14:textId="77777777" w:rsidR="001D6419" w:rsidRPr="00843B03" w:rsidRDefault="000F5B51" w:rsidP="00D07617">
            <w:pPr>
              <w:spacing w:after="0" w:line="240" w:lineRule="auto"/>
              <w:contextualSpacing/>
              <w:rPr>
                <w:rFonts w:eastAsia="Times New Roman" w:cs="Times New Roman"/>
                <w:b/>
                <w:bCs/>
                <w:szCs w:val="24"/>
              </w:rPr>
            </w:pPr>
            <w:r w:rsidRPr="00617167">
              <w:rPr>
                <w:rFonts w:cs="Times New Roman"/>
                <w:b/>
                <w:bCs/>
                <w:color w:val="3F3F3F"/>
                <w:sz w:val="22"/>
              </w:rPr>
              <w:t>0.00</w:t>
            </w:r>
          </w:p>
        </w:tc>
      </w:tr>
    </w:tbl>
    <w:p w14:paraId="56AEAAF0" w14:textId="77777777" w:rsidR="001D6419" w:rsidRDefault="001D6419" w:rsidP="001D6419">
      <w:pPr>
        <w:spacing w:after="0"/>
        <w:contextualSpacing/>
        <w:rPr>
          <w:rFonts w:eastAsia="Times New Roman" w:cs="Times New Roman"/>
          <w:szCs w:val="24"/>
        </w:rPr>
      </w:pPr>
    </w:p>
    <w:p w14:paraId="05E09EDE" w14:textId="3D6F6280" w:rsidR="001D6419" w:rsidRPr="00885DCD" w:rsidRDefault="000F5B51" w:rsidP="001D6419">
      <w:pPr>
        <w:pStyle w:val="Caption"/>
      </w:pPr>
      <w:bookmarkStart w:id="2032" w:name="_Toc517354438"/>
      <w:bookmarkStart w:id="2033" w:name="_Toc103595412"/>
      <w:r>
        <w:t>T</w:t>
      </w:r>
      <w:r w:rsidRPr="00885DCD">
        <w:t xml:space="preserve">able </w:t>
      </w:r>
      <w:r w:rsidR="00115BAB">
        <w:fldChar w:fldCharType="begin"/>
      </w:r>
      <w:r>
        <w:instrText xml:space="preserve"> SEQ Table \* ARABIC </w:instrText>
      </w:r>
      <w:r w:rsidR="00115BAB">
        <w:fldChar w:fldCharType="separate"/>
      </w:r>
      <w:r w:rsidR="00A65CB3">
        <w:rPr>
          <w:noProof/>
        </w:rPr>
        <w:t>119</w:t>
      </w:r>
      <w:r w:rsidR="00115BAB">
        <w:rPr>
          <w:noProof/>
        </w:rPr>
        <w:fldChar w:fldCharType="end"/>
      </w:r>
      <w:r w:rsidR="005702D0">
        <w:t>:</w:t>
      </w:r>
      <w:r>
        <w:t xml:space="preserve"> FMVSS No. 226 Adjustment Factors for PC</w:t>
      </w:r>
      <w:bookmarkEnd w:id="2032"/>
      <w:bookmarkEnd w:id="2033"/>
    </w:p>
    <w:tbl>
      <w:tblPr>
        <w:tblW w:w="0" w:type="auto"/>
        <w:jc w:val="center"/>
        <w:tblLayout w:type="fixed"/>
        <w:tblCellMar>
          <w:left w:w="30" w:type="dxa"/>
          <w:right w:w="30" w:type="dxa"/>
        </w:tblCellMar>
        <w:tblLook w:val="0000" w:firstRow="0" w:lastRow="0" w:firstColumn="0" w:lastColumn="0" w:noHBand="0" w:noVBand="0"/>
      </w:tblPr>
      <w:tblGrid>
        <w:gridCol w:w="773"/>
        <w:gridCol w:w="773"/>
        <w:gridCol w:w="772"/>
        <w:gridCol w:w="1042"/>
      </w:tblGrid>
      <w:tr w:rsidR="00A15C2C" w14:paraId="1F1C81C8" w14:textId="77777777" w:rsidTr="00D07617">
        <w:trPr>
          <w:trHeight w:val="290"/>
          <w:jc w:val="center"/>
        </w:trPr>
        <w:tc>
          <w:tcPr>
            <w:tcW w:w="773" w:type="dxa"/>
            <w:tcBorders>
              <w:top w:val="single" w:sz="6" w:space="0" w:color="333333"/>
              <w:left w:val="single" w:sz="6" w:space="0" w:color="333333"/>
              <w:bottom w:val="single" w:sz="6" w:space="0" w:color="333333"/>
              <w:right w:val="single" w:sz="6" w:space="0" w:color="333333"/>
            </w:tcBorders>
            <w:shd w:val="solid" w:color="C0C0C0" w:fill="FFFFFF"/>
            <w:vAlign w:val="center"/>
          </w:tcPr>
          <w:p w14:paraId="153B70C9" w14:textId="77777777" w:rsidR="001D6419" w:rsidRPr="00885DCD" w:rsidRDefault="000F5B51" w:rsidP="00D07617">
            <w:pPr>
              <w:autoSpaceDE w:val="0"/>
              <w:autoSpaceDN w:val="0"/>
              <w:adjustRightInd w:val="0"/>
              <w:spacing w:after="0" w:line="240" w:lineRule="auto"/>
              <w:jc w:val="center"/>
              <w:rPr>
                <w:rFonts w:eastAsia="Times New Roman" w:cs="Times New Roman"/>
                <w:b/>
                <w:bCs/>
                <w:szCs w:val="24"/>
              </w:rPr>
            </w:pPr>
            <w:r w:rsidRPr="00885DCD">
              <w:rPr>
                <w:rFonts w:eastAsia="Times New Roman" w:cs="Times New Roman"/>
                <w:b/>
                <w:bCs/>
                <w:szCs w:val="24"/>
              </w:rPr>
              <w:t>Front</w:t>
            </w:r>
          </w:p>
        </w:tc>
        <w:tc>
          <w:tcPr>
            <w:tcW w:w="773" w:type="dxa"/>
            <w:tcBorders>
              <w:top w:val="single" w:sz="6" w:space="0" w:color="333333"/>
              <w:left w:val="single" w:sz="6" w:space="0" w:color="333333"/>
              <w:bottom w:val="single" w:sz="6" w:space="0" w:color="333333"/>
              <w:right w:val="single" w:sz="6" w:space="0" w:color="333333"/>
            </w:tcBorders>
            <w:shd w:val="solid" w:color="C0C0C0" w:fill="FFFFFF"/>
            <w:vAlign w:val="center"/>
          </w:tcPr>
          <w:p w14:paraId="24628319" w14:textId="77777777" w:rsidR="001D6419" w:rsidRPr="00885DCD" w:rsidRDefault="000F5B51" w:rsidP="00D07617">
            <w:pPr>
              <w:autoSpaceDE w:val="0"/>
              <w:autoSpaceDN w:val="0"/>
              <w:adjustRightInd w:val="0"/>
              <w:spacing w:after="0" w:line="240" w:lineRule="auto"/>
              <w:jc w:val="center"/>
              <w:rPr>
                <w:rFonts w:eastAsia="Times New Roman" w:cs="Times New Roman"/>
                <w:b/>
                <w:bCs/>
                <w:szCs w:val="24"/>
              </w:rPr>
            </w:pPr>
            <w:r w:rsidRPr="00885DCD">
              <w:rPr>
                <w:rFonts w:eastAsia="Times New Roman" w:cs="Times New Roman"/>
                <w:b/>
                <w:bCs/>
                <w:szCs w:val="24"/>
              </w:rPr>
              <w:t>Rear</w:t>
            </w:r>
          </w:p>
        </w:tc>
        <w:tc>
          <w:tcPr>
            <w:tcW w:w="772" w:type="dxa"/>
            <w:tcBorders>
              <w:top w:val="single" w:sz="6" w:space="0" w:color="333333"/>
              <w:left w:val="single" w:sz="6" w:space="0" w:color="333333"/>
              <w:bottom w:val="single" w:sz="6" w:space="0" w:color="333333"/>
              <w:right w:val="single" w:sz="6" w:space="0" w:color="333333"/>
            </w:tcBorders>
            <w:shd w:val="solid" w:color="C0C0C0" w:fill="FFFFFF"/>
            <w:vAlign w:val="center"/>
          </w:tcPr>
          <w:p w14:paraId="724C12C5" w14:textId="77777777" w:rsidR="001D6419" w:rsidRPr="00885DCD" w:rsidRDefault="000F5B51" w:rsidP="00D07617">
            <w:pPr>
              <w:autoSpaceDE w:val="0"/>
              <w:autoSpaceDN w:val="0"/>
              <w:adjustRightInd w:val="0"/>
              <w:spacing w:after="0" w:line="240" w:lineRule="auto"/>
              <w:jc w:val="center"/>
              <w:rPr>
                <w:rFonts w:eastAsia="Times New Roman" w:cs="Times New Roman"/>
                <w:b/>
                <w:bCs/>
                <w:szCs w:val="24"/>
              </w:rPr>
            </w:pPr>
            <w:r w:rsidRPr="00885DCD">
              <w:rPr>
                <w:rFonts w:eastAsia="Times New Roman" w:cs="Times New Roman"/>
                <w:b/>
                <w:bCs/>
                <w:szCs w:val="24"/>
              </w:rPr>
              <w:t>Side</w:t>
            </w:r>
          </w:p>
        </w:tc>
        <w:tc>
          <w:tcPr>
            <w:tcW w:w="1042" w:type="dxa"/>
            <w:tcBorders>
              <w:top w:val="single" w:sz="6" w:space="0" w:color="333333"/>
              <w:left w:val="single" w:sz="6" w:space="0" w:color="333333"/>
              <w:bottom w:val="single" w:sz="6" w:space="0" w:color="333333"/>
              <w:right w:val="single" w:sz="6" w:space="0" w:color="333333"/>
            </w:tcBorders>
            <w:shd w:val="solid" w:color="C0C0C0" w:fill="FFFFFF"/>
            <w:vAlign w:val="center"/>
          </w:tcPr>
          <w:p w14:paraId="6B7914B6" w14:textId="77777777" w:rsidR="001D6419" w:rsidRDefault="000F5B51" w:rsidP="00D07617">
            <w:pPr>
              <w:autoSpaceDE w:val="0"/>
              <w:autoSpaceDN w:val="0"/>
              <w:adjustRightInd w:val="0"/>
              <w:spacing w:after="0" w:line="240" w:lineRule="auto"/>
              <w:jc w:val="center"/>
              <w:rPr>
                <w:rFonts w:ascii="Calibri" w:hAnsi="Calibri" w:cs="Calibri"/>
                <w:b/>
                <w:bCs/>
                <w:color w:val="333333"/>
                <w:sz w:val="22"/>
              </w:rPr>
            </w:pPr>
            <w:r w:rsidRPr="00885DCD">
              <w:rPr>
                <w:rFonts w:eastAsia="Times New Roman" w:cs="Times New Roman"/>
                <w:b/>
                <w:bCs/>
                <w:szCs w:val="24"/>
              </w:rPr>
              <w:t>Rollove</w:t>
            </w:r>
            <w:r>
              <w:rPr>
                <w:rFonts w:ascii="Calibri" w:hAnsi="Calibri" w:cs="Calibri"/>
                <w:b/>
                <w:bCs/>
                <w:color w:val="333333"/>
                <w:sz w:val="22"/>
              </w:rPr>
              <w:t>r</w:t>
            </w:r>
          </w:p>
        </w:tc>
      </w:tr>
      <w:tr w:rsidR="00A15C2C" w14:paraId="3F2F46F4" w14:textId="77777777" w:rsidTr="00D07617">
        <w:trPr>
          <w:trHeight w:val="290"/>
          <w:jc w:val="center"/>
        </w:trPr>
        <w:tc>
          <w:tcPr>
            <w:tcW w:w="773" w:type="dxa"/>
            <w:tcBorders>
              <w:top w:val="single" w:sz="6" w:space="0" w:color="333333"/>
              <w:left w:val="single" w:sz="6" w:space="0" w:color="333333"/>
              <w:bottom w:val="single" w:sz="6" w:space="0" w:color="333333"/>
              <w:right w:val="single" w:sz="6" w:space="0" w:color="333333"/>
            </w:tcBorders>
            <w:shd w:val="solid" w:color="C0C0C0" w:fill="FFFFFF"/>
            <w:vAlign w:val="bottom"/>
          </w:tcPr>
          <w:p w14:paraId="23AB8C48" w14:textId="77777777" w:rsidR="001D6419" w:rsidRPr="00617167" w:rsidRDefault="000F5B51" w:rsidP="00617167">
            <w:pPr>
              <w:shd w:val="clear" w:color="auto" w:fill="FFFFFF" w:themeFill="background1"/>
              <w:spacing w:after="0" w:line="240" w:lineRule="auto"/>
              <w:contextualSpacing/>
              <w:jc w:val="right"/>
              <w:rPr>
                <w:rFonts w:eastAsia="Times New Roman" w:cs="Times New Roman"/>
                <w:szCs w:val="24"/>
              </w:rPr>
            </w:pPr>
            <w:r w:rsidRPr="00617167">
              <w:rPr>
                <w:rFonts w:cs="Times New Roman"/>
                <w:color w:val="3F3F3F"/>
                <w:sz w:val="22"/>
              </w:rPr>
              <w:t>1.0000</w:t>
            </w:r>
          </w:p>
        </w:tc>
        <w:tc>
          <w:tcPr>
            <w:tcW w:w="773" w:type="dxa"/>
            <w:tcBorders>
              <w:top w:val="single" w:sz="6" w:space="0" w:color="333333"/>
              <w:left w:val="single" w:sz="6" w:space="0" w:color="333333"/>
              <w:bottom w:val="single" w:sz="6" w:space="0" w:color="333333"/>
              <w:right w:val="single" w:sz="6" w:space="0" w:color="333333"/>
            </w:tcBorders>
            <w:shd w:val="solid" w:color="C0C0C0" w:fill="FFFFFF"/>
            <w:vAlign w:val="bottom"/>
          </w:tcPr>
          <w:p w14:paraId="07316998" w14:textId="77777777" w:rsidR="001D6419" w:rsidRPr="00617167" w:rsidRDefault="000F5B51" w:rsidP="00617167">
            <w:pPr>
              <w:shd w:val="clear" w:color="auto" w:fill="FFFFFF" w:themeFill="background1"/>
              <w:spacing w:after="0" w:line="240" w:lineRule="auto"/>
              <w:contextualSpacing/>
              <w:jc w:val="right"/>
              <w:rPr>
                <w:rFonts w:eastAsia="Times New Roman" w:cs="Times New Roman"/>
                <w:szCs w:val="24"/>
              </w:rPr>
            </w:pPr>
            <w:r w:rsidRPr="00617167">
              <w:rPr>
                <w:rFonts w:cs="Times New Roman"/>
                <w:color w:val="3F3F3F"/>
                <w:sz w:val="22"/>
              </w:rPr>
              <w:t>1.0000</w:t>
            </w:r>
          </w:p>
        </w:tc>
        <w:tc>
          <w:tcPr>
            <w:tcW w:w="772" w:type="dxa"/>
            <w:tcBorders>
              <w:top w:val="single" w:sz="6" w:space="0" w:color="333333"/>
              <w:left w:val="single" w:sz="6" w:space="0" w:color="333333"/>
              <w:bottom w:val="single" w:sz="6" w:space="0" w:color="333333"/>
              <w:right w:val="single" w:sz="6" w:space="0" w:color="333333"/>
            </w:tcBorders>
            <w:shd w:val="solid" w:color="C0C0C0" w:fill="FFFFFF"/>
            <w:vAlign w:val="bottom"/>
          </w:tcPr>
          <w:p w14:paraId="0DACB1FB" w14:textId="77777777" w:rsidR="001D6419" w:rsidRPr="00617167" w:rsidRDefault="000F5B51" w:rsidP="00617167">
            <w:pPr>
              <w:shd w:val="clear" w:color="auto" w:fill="FFFFFF" w:themeFill="background1"/>
              <w:spacing w:after="0" w:line="240" w:lineRule="auto"/>
              <w:contextualSpacing/>
              <w:jc w:val="right"/>
              <w:rPr>
                <w:rFonts w:eastAsia="Times New Roman" w:cs="Times New Roman"/>
                <w:szCs w:val="24"/>
              </w:rPr>
            </w:pPr>
            <w:r w:rsidRPr="00617167">
              <w:rPr>
                <w:rFonts w:cs="Times New Roman"/>
                <w:color w:val="3F3F3F"/>
                <w:sz w:val="22"/>
              </w:rPr>
              <w:t>1.0000</w:t>
            </w:r>
          </w:p>
        </w:tc>
        <w:tc>
          <w:tcPr>
            <w:tcW w:w="1042" w:type="dxa"/>
            <w:tcBorders>
              <w:top w:val="single" w:sz="6" w:space="0" w:color="333333"/>
              <w:left w:val="single" w:sz="6" w:space="0" w:color="333333"/>
              <w:bottom w:val="single" w:sz="6" w:space="0" w:color="333333"/>
              <w:right w:val="single" w:sz="6" w:space="0" w:color="333333"/>
            </w:tcBorders>
            <w:shd w:val="solid" w:color="C0C0C0" w:fill="FFFFFF"/>
            <w:vAlign w:val="bottom"/>
          </w:tcPr>
          <w:p w14:paraId="3534A1C8" w14:textId="77777777" w:rsidR="001D6419" w:rsidRPr="00617167" w:rsidRDefault="000F5B51" w:rsidP="00617167">
            <w:pPr>
              <w:shd w:val="clear" w:color="auto" w:fill="FFFFFF" w:themeFill="background1"/>
              <w:spacing w:after="0" w:line="240" w:lineRule="auto"/>
              <w:contextualSpacing/>
              <w:jc w:val="right"/>
              <w:rPr>
                <w:rFonts w:eastAsia="Times New Roman" w:cs="Times New Roman"/>
                <w:szCs w:val="24"/>
              </w:rPr>
            </w:pPr>
            <w:r w:rsidRPr="00617167">
              <w:rPr>
                <w:rFonts w:cs="Times New Roman"/>
                <w:color w:val="3F3F3F"/>
                <w:sz w:val="22"/>
              </w:rPr>
              <w:t>0.9254</w:t>
            </w:r>
          </w:p>
        </w:tc>
      </w:tr>
    </w:tbl>
    <w:p w14:paraId="13C1DB8E" w14:textId="77777777" w:rsidR="001D6419" w:rsidRDefault="001D6419" w:rsidP="00617167">
      <w:pPr>
        <w:shd w:val="clear" w:color="auto" w:fill="FFFFFF" w:themeFill="background1"/>
        <w:spacing w:after="0"/>
        <w:contextualSpacing/>
        <w:rPr>
          <w:rFonts w:eastAsia="Times New Roman" w:cs="Times New Roman"/>
          <w:szCs w:val="24"/>
        </w:rPr>
      </w:pPr>
    </w:p>
    <w:p w14:paraId="0F10930E" w14:textId="77777777" w:rsidR="00843B03" w:rsidRDefault="00843B03" w:rsidP="001D6419">
      <w:pPr>
        <w:pStyle w:val="Caption"/>
      </w:pPr>
      <w:bookmarkStart w:id="2034" w:name="_Toc517354439"/>
      <w:bookmarkStart w:id="2035" w:name="_Toc103595413"/>
    </w:p>
    <w:p w14:paraId="09E649F8" w14:textId="4F6C5BB5" w:rsidR="001D6419" w:rsidRDefault="000F5B51" w:rsidP="001D6419">
      <w:pPr>
        <w:pStyle w:val="Caption"/>
      </w:pPr>
      <w:r>
        <w:lastRenderedPageBreak/>
        <w:t xml:space="preserve">Table </w:t>
      </w:r>
      <w:r w:rsidR="00115BAB">
        <w:fldChar w:fldCharType="begin"/>
      </w:r>
      <w:r>
        <w:instrText xml:space="preserve"> SEQ Table \* ARABIC </w:instrText>
      </w:r>
      <w:r w:rsidR="00115BAB">
        <w:fldChar w:fldCharType="separate"/>
      </w:r>
      <w:r w:rsidR="00A65CB3">
        <w:rPr>
          <w:noProof/>
        </w:rPr>
        <w:t>120</w:t>
      </w:r>
      <w:r w:rsidR="00115BAB">
        <w:rPr>
          <w:noProof/>
        </w:rPr>
        <w:fldChar w:fldCharType="end"/>
      </w:r>
      <w:r w:rsidR="001E0F09">
        <w:t xml:space="preserve">: </w:t>
      </w:r>
      <w:r w:rsidRPr="00775376">
        <w:t>Calculat</w:t>
      </w:r>
      <w:r>
        <w:t xml:space="preserve">ion for FMVSS No. 226 </w:t>
      </w:r>
      <w:r w:rsidR="00603896">
        <w:t>A</w:t>
      </w:r>
      <w:r>
        <w:t xml:space="preserve">djustment </w:t>
      </w:r>
      <w:r w:rsidR="00603896">
        <w:t>F</w:t>
      </w:r>
      <w:r>
        <w:t>actor, LTV</w:t>
      </w:r>
      <w:r w:rsidRPr="00775376">
        <w:t>s</w:t>
      </w:r>
      <w:bookmarkEnd w:id="2034"/>
      <w:bookmarkEnd w:id="2035"/>
    </w:p>
    <w:tbl>
      <w:tblPr>
        <w:tblW w:w="12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0"/>
        <w:gridCol w:w="1191"/>
        <w:gridCol w:w="1004"/>
        <w:gridCol w:w="1083"/>
        <w:gridCol w:w="1164"/>
        <w:gridCol w:w="588"/>
        <w:gridCol w:w="588"/>
        <w:gridCol w:w="588"/>
        <w:gridCol w:w="588"/>
        <w:gridCol w:w="588"/>
        <w:gridCol w:w="588"/>
        <w:gridCol w:w="588"/>
        <w:gridCol w:w="588"/>
        <w:gridCol w:w="720"/>
        <w:gridCol w:w="720"/>
        <w:gridCol w:w="720"/>
        <w:gridCol w:w="720"/>
      </w:tblGrid>
      <w:tr w:rsidR="00A15C2C" w14:paraId="6CC3810B" w14:textId="77777777" w:rsidTr="00617167">
        <w:trPr>
          <w:trHeight w:val="2205"/>
        </w:trPr>
        <w:tc>
          <w:tcPr>
            <w:tcW w:w="700" w:type="dxa"/>
            <w:shd w:val="clear" w:color="4472C4" w:fill="4472C4"/>
            <w:noWrap/>
            <w:vAlign w:val="center"/>
            <w:hideMark/>
          </w:tcPr>
          <w:p w14:paraId="62B06650" w14:textId="77777777" w:rsidR="001D6419" w:rsidRPr="00843B03" w:rsidRDefault="000F5B51" w:rsidP="00617167">
            <w:pPr>
              <w:spacing w:after="0" w:line="240" w:lineRule="auto"/>
              <w:contextualSpacing/>
              <w:jc w:val="center"/>
              <w:rPr>
                <w:rFonts w:eastAsia="Times New Roman" w:cs="Times New Roman"/>
                <w:b/>
                <w:bCs/>
                <w:szCs w:val="24"/>
              </w:rPr>
            </w:pPr>
            <w:r w:rsidRPr="00843B03">
              <w:rPr>
                <w:rFonts w:eastAsia="Times New Roman" w:cs="Times New Roman"/>
                <w:b/>
                <w:bCs/>
                <w:szCs w:val="24"/>
              </w:rPr>
              <w:t>MY</w:t>
            </w:r>
          </w:p>
        </w:tc>
        <w:tc>
          <w:tcPr>
            <w:tcW w:w="1191" w:type="dxa"/>
            <w:shd w:val="clear" w:color="4472C4" w:fill="4472C4"/>
            <w:noWrap/>
            <w:vAlign w:val="center"/>
            <w:hideMark/>
          </w:tcPr>
          <w:p w14:paraId="2452063F" w14:textId="77777777" w:rsidR="001D6419" w:rsidRPr="00843B03" w:rsidRDefault="000F5B51" w:rsidP="00617167">
            <w:pPr>
              <w:spacing w:after="0" w:line="240" w:lineRule="auto"/>
              <w:contextualSpacing/>
              <w:jc w:val="center"/>
              <w:rPr>
                <w:rFonts w:eastAsia="Times New Roman" w:cs="Times New Roman"/>
                <w:b/>
                <w:bCs/>
                <w:szCs w:val="24"/>
              </w:rPr>
            </w:pPr>
            <w:r w:rsidRPr="00843B03">
              <w:rPr>
                <w:rFonts w:eastAsia="Times New Roman" w:cs="Times New Roman"/>
                <w:b/>
                <w:bCs/>
                <w:szCs w:val="24"/>
              </w:rPr>
              <w:t>Survival Probability</w:t>
            </w:r>
          </w:p>
        </w:tc>
        <w:tc>
          <w:tcPr>
            <w:tcW w:w="1004" w:type="dxa"/>
            <w:shd w:val="clear" w:color="4472C4" w:fill="4472C4"/>
            <w:noWrap/>
            <w:vAlign w:val="center"/>
            <w:hideMark/>
          </w:tcPr>
          <w:p w14:paraId="79C66A09" w14:textId="77777777" w:rsidR="001D6419" w:rsidRPr="00843B03" w:rsidRDefault="000F5B51" w:rsidP="00617167">
            <w:pPr>
              <w:spacing w:after="0" w:line="240" w:lineRule="auto"/>
              <w:contextualSpacing/>
              <w:jc w:val="center"/>
              <w:rPr>
                <w:rFonts w:eastAsia="Times New Roman" w:cs="Times New Roman"/>
                <w:b/>
                <w:bCs/>
                <w:szCs w:val="24"/>
              </w:rPr>
            </w:pPr>
            <w:r w:rsidRPr="00843B03">
              <w:rPr>
                <w:rFonts w:eastAsia="Times New Roman" w:cs="Times New Roman"/>
                <w:b/>
                <w:bCs/>
                <w:szCs w:val="24"/>
              </w:rPr>
              <w:t>Exposure VMT</w:t>
            </w:r>
          </w:p>
        </w:tc>
        <w:tc>
          <w:tcPr>
            <w:tcW w:w="1083" w:type="dxa"/>
            <w:shd w:val="clear" w:color="4472C4" w:fill="4472C4"/>
            <w:noWrap/>
            <w:vAlign w:val="center"/>
            <w:hideMark/>
          </w:tcPr>
          <w:p w14:paraId="4BDEE297" w14:textId="77777777" w:rsidR="001D6419" w:rsidRPr="00843B03" w:rsidRDefault="000F5B51" w:rsidP="00617167">
            <w:pPr>
              <w:spacing w:after="0" w:line="240" w:lineRule="auto"/>
              <w:contextualSpacing/>
              <w:jc w:val="center"/>
              <w:rPr>
                <w:rFonts w:eastAsia="Times New Roman" w:cs="Times New Roman"/>
                <w:b/>
                <w:bCs/>
                <w:szCs w:val="24"/>
              </w:rPr>
            </w:pPr>
            <w:r w:rsidRPr="00843B03">
              <w:rPr>
                <w:rFonts w:eastAsia="Times New Roman" w:cs="Times New Roman"/>
                <w:b/>
                <w:bCs/>
                <w:szCs w:val="24"/>
              </w:rPr>
              <w:t>Aggregate Exposure</w:t>
            </w:r>
          </w:p>
        </w:tc>
        <w:tc>
          <w:tcPr>
            <w:tcW w:w="1164" w:type="dxa"/>
            <w:shd w:val="clear" w:color="4472C4" w:fill="4472C4"/>
            <w:noWrap/>
            <w:vAlign w:val="center"/>
            <w:hideMark/>
          </w:tcPr>
          <w:p w14:paraId="40A7967E" w14:textId="77777777" w:rsidR="001D6419" w:rsidRPr="00843B03" w:rsidRDefault="000F5B51" w:rsidP="00617167">
            <w:pPr>
              <w:spacing w:after="0" w:line="240" w:lineRule="auto"/>
              <w:contextualSpacing/>
              <w:jc w:val="center"/>
              <w:rPr>
                <w:rFonts w:eastAsia="Times New Roman" w:cs="Times New Roman"/>
                <w:b/>
                <w:bCs/>
                <w:szCs w:val="24"/>
              </w:rPr>
            </w:pPr>
            <w:r w:rsidRPr="00843B03">
              <w:rPr>
                <w:rFonts w:eastAsia="Times New Roman" w:cs="Times New Roman"/>
                <w:b/>
                <w:bCs/>
                <w:szCs w:val="24"/>
              </w:rPr>
              <w:t>Exposure Proportion</w:t>
            </w:r>
          </w:p>
        </w:tc>
        <w:tc>
          <w:tcPr>
            <w:tcW w:w="588" w:type="dxa"/>
            <w:shd w:val="clear" w:color="4472C4" w:fill="4472C4"/>
            <w:noWrap/>
            <w:textDirection w:val="btLr"/>
            <w:vAlign w:val="center"/>
            <w:hideMark/>
          </w:tcPr>
          <w:p w14:paraId="78453F3B" w14:textId="77777777" w:rsidR="001D6419" w:rsidRPr="00843B03" w:rsidRDefault="000F5B51" w:rsidP="00D07617">
            <w:pPr>
              <w:spacing w:after="0"/>
              <w:contextualSpacing/>
              <w:rPr>
                <w:rFonts w:eastAsia="Times New Roman" w:cs="Times New Roman"/>
                <w:b/>
                <w:bCs/>
                <w:szCs w:val="24"/>
              </w:rPr>
            </w:pPr>
            <w:r w:rsidRPr="00843B03">
              <w:rPr>
                <w:rFonts w:eastAsia="Times New Roman" w:cs="Times New Roman"/>
                <w:b/>
                <w:bCs/>
                <w:szCs w:val="24"/>
              </w:rPr>
              <w:t>w/ 226</w:t>
            </w:r>
          </w:p>
        </w:tc>
        <w:tc>
          <w:tcPr>
            <w:tcW w:w="588" w:type="dxa"/>
            <w:shd w:val="clear" w:color="4472C4" w:fill="4472C4"/>
            <w:noWrap/>
            <w:textDirection w:val="btLr"/>
            <w:vAlign w:val="center"/>
            <w:hideMark/>
          </w:tcPr>
          <w:p w14:paraId="1397A403" w14:textId="77777777" w:rsidR="001D6419" w:rsidRPr="00843B03" w:rsidRDefault="000F5B51" w:rsidP="00D07617">
            <w:pPr>
              <w:spacing w:after="0"/>
              <w:contextualSpacing/>
              <w:rPr>
                <w:rFonts w:eastAsia="Times New Roman" w:cs="Times New Roman"/>
                <w:b/>
                <w:bCs/>
                <w:szCs w:val="24"/>
              </w:rPr>
            </w:pPr>
            <w:r w:rsidRPr="00843B03">
              <w:rPr>
                <w:rFonts w:eastAsia="Times New Roman" w:cs="Times New Roman"/>
                <w:b/>
                <w:bCs/>
                <w:szCs w:val="24"/>
              </w:rPr>
              <w:t>w/o 226</w:t>
            </w:r>
          </w:p>
        </w:tc>
        <w:tc>
          <w:tcPr>
            <w:tcW w:w="588" w:type="dxa"/>
            <w:shd w:val="clear" w:color="000000" w:fill="CC99FF"/>
            <w:noWrap/>
            <w:textDirection w:val="btLr"/>
            <w:vAlign w:val="center"/>
            <w:hideMark/>
          </w:tcPr>
          <w:p w14:paraId="3B7BB805" w14:textId="77777777" w:rsidR="001D6419" w:rsidRPr="00843B03" w:rsidRDefault="000F5B51" w:rsidP="00D07617">
            <w:pPr>
              <w:spacing w:after="0"/>
              <w:contextualSpacing/>
              <w:rPr>
                <w:rFonts w:eastAsia="Times New Roman" w:cs="Times New Roman"/>
                <w:b/>
                <w:bCs/>
                <w:szCs w:val="24"/>
              </w:rPr>
            </w:pPr>
            <w:r w:rsidRPr="00843B03">
              <w:rPr>
                <w:rFonts w:eastAsia="Times New Roman" w:cs="Times New Roman"/>
                <w:b/>
                <w:bCs/>
                <w:szCs w:val="24"/>
              </w:rPr>
              <w:t>Exposure w/226</w:t>
            </w:r>
          </w:p>
        </w:tc>
        <w:tc>
          <w:tcPr>
            <w:tcW w:w="588" w:type="dxa"/>
            <w:shd w:val="clear" w:color="000000" w:fill="CC99FF"/>
            <w:noWrap/>
            <w:textDirection w:val="btLr"/>
            <w:vAlign w:val="center"/>
            <w:hideMark/>
          </w:tcPr>
          <w:p w14:paraId="144F62BF" w14:textId="77777777" w:rsidR="001D6419" w:rsidRPr="00843B03" w:rsidRDefault="000F5B51" w:rsidP="00D07617">
            <w:pPr>
              <w:spacing w:after="0"/>
              <w:contextualSpacing/>
              <w:rPr>
                <w:rFonts w:eastAsia="Times New Roman" w:cs="Times New Roman"/>
                <w:b/>
                <w:bCs/>
                <w:szCs w:val="24"/>
              </w:rPr>
            </w:pPr>
            <w:r w:rsidRPr="00843B03">
              <w:rPr>
                <w:rFonts w:eastAsia="Times New Roman" w:cs="Times New Roman"/>
                <w:b/>
                <w:bCs/>
                <w:szCs w:val="24"/>
              </w:rPr>
              <w:t>Exposure w/o 226</w:t>
            </w:r>
          </w:p>
        </w:tc>
        <w:tc>
          <w:tcPr>
            <w:tcW w:w="588" w:type="dxa"/>
            <w:shd w:val="clear" w:color="4472C4" w:fill="4472C4"/>
            <w:noWrap/>
            <w:textDirection w:val="btLr"/>
            <w:vAlign w:val="center"/>
            <w:hideMark/>
          </w:tcPr>
          <w:p w14:paraId="448C0570" w14:textId="77777777" w:rsidR="001D6419" w:rsidRPr="00843B03" w:rsidRDefault="000F5B51" w:rsidP="00D07617">
            <w:pPr>
              <w:spacing w:after="0"/>
              <w:contextualSpacing/>
              <w:rPr>
                <w:rFonts w:eastAsia="Times New Roman" w:cs="Times New Roman"/>
                <w:b/>
                <w:bCs/>
                <w:szCs w:val="24"/>
              </w:rPr>
            </w:pPr>
            <w:r w:rsidRPr="00843B03">
              <w:rPr>
                <w:rFonts w:eastAsia="Times New Roman" w:cs="Times New Roman"/>
                <w:b/>
                <w:bCs/>
                <w:szCs w:val="24"/>
              </w:rPr>
              <w:t>FRONT Adj.</w:t>
            </w:r>
          </w:p>
        </w:tc>
        <w:tc>
          <w:tcPr>
            <w:tcW w:w="588" w:type="dxa"/>
            <w:shd w:val="clear" w:color="4472C4" w:fill="4472C4"/>
            <w:noWrap/>
            <w:textDirection w:val="btLr"/>
            <w:vAlign w:val="center"/>
            <w:hideMark/>
          </w:tcPr>
          <w:p w14:paraId="4AB9818A" w14:textId="77777777" w:rsidR="001D6419" w:rsidRPr="00843B03" w:rsidRDefault="000F5B51" w:rsidP="00D07617">
            <w:pPr>
              <w:spacing w:after="0"/>
              <w:contextualSpacing/>
              <w:rPr>
                <w:rFonts w:eastAsia="Times New Roman" w:cs="Times New Roman"/>
                <w:b/>
                <w:bCs/>
                <w:szCs w:val="24"/>
              </w:rPr>
            </w:pPr>
            <w:r w:rsidRPr="00843B03">
              <w:rPr>
                <w:rFonts w:eastAsia="Times New Roman" w:cs="Times New Roman"/>
                <w:b/>
                <w:bCs/>
                <w:szCs w:val="24"/>
              </w:rPr>
              <w:t>REAR Adj.</w:t>
            </w:r>
          </w:p>
        </w:tc>
        <w:tc>
          <w:tcPr>
            <w:tcW w:w="588" w:type="dxa"/>
            <w:shd w:val="clear" w:color="4472C4" w:fill="4472C4"/>
            <w:noWrap/>
            <w:textDirection w:val="btLr"/>
            <w:vAlign w:val="center"/>
            <w:hideMark/>
          </w:tcPr>
          <w:p w14:paraId="49AB5B88" w14:textId="77777777" w:rsidR="001D6419" w:rsidRPr="00843B03" w:rsidRDefault="000F5B51" w:rsidP="00D07617">
            <w:pPr>
              <w:spacing w:after="0"/>
              <w:contextualSpacing/>
              <w:rPr>
                <w:rFonts w:eastAsia="Times New Roman" w:cs="Times New Roman"/>
                <w:b/>
                <w:bCs/>
                <w:szCs w:val="24"/>
              </w:rPr>
            </w:pPr>
            <w:r w:rsidRPr="00843B03">
              <w:rPr>
                <w:rFonts w:eastAsia="Times New Roman" w:cs="Times New Roman"/>
                <w:b/>
                <w:bCs/>
                <w:szCs w:val="24"/>
              </w:rPr>
              <w:t>SIDE Adj.</w:t>
            </w:r>
          </w:p>
        </w:tc>
        <w:tc>
          <w:tcPr>
            <w:tcW w:w="588" w:type="dxa"/>
            <w:shd w:val="clear" w:color="4472C4" w:fill="4472C4"/>
            <w:noWrap/>
            <w:textDirection w:val="btLr"/>
            <w:vAlign w:val="center"/>
            <w:hideMark/>
          </w:tcPr>
          <w:p w14:paraId="4DE3466C" w14:textId="77777777" w:rsidR="001D6419" w:rsidRPr="00843B03" w:rsidRDefault="000F5B51" w:rsidP="00D07617">
            <w:pPr>
              <w:spacing w:after="0"/>
              <w:contextualSpacing/>
              <w:rPr>
                <w:rFonts w:eastAsia="Times New Roman" w:cs="Times New Roman"/>
                <w:b/>
                <w:bCs/>
                <w:szCs w:val="24"/>
              </w:rPr>
            </w:pPr>
            <w:r w:rsidRPr="00843B03">
              <w:rPr>
                <w:rFonts w:eastAsia="Times New Roman" w:cs="Times New Roman"/>
                <w:b/>
                <w:bCs/>
                <w:szCs w:val="24"/>
              </w:rPr>
              <w:t>ROLLOVER Adj.</w:t>
            </w:r>
          </w:p>
        </w:tc>
        <w:tc>
          <w:tcPr>
            <w:tcW w:w="720" w:type="dxa"/>
            <w:shd w:val="clear" w:color="000000" w:fill="F2F2F2"/>
            <w:noWrap/>
            <w:textDirection w:val="btLr"/>
            <w:vAlign w:val="center"/>
            <w:hideMark/>
          </w:tcPr>
          <w:p w14:paraId="23118B28" w14:textId="77777777" w:rsidR="001D6419" w:rsidRPr="00843B03" w:rsidRDefault="000F5B51" w:rsidP="00D07617">
            <w:pPr>
              <w:spacing w:after="0"/>
              <w:contextualSpacing/>
              <w:rPr>
                <w:rFonts w:eastAsia="Times New Roman" w:cs="Times New Roman"/>
                <w:b/>
                <w:bCs/>
                <w:szCs w:val="24"/>
              </w:rPr>
            </w:pPr>
            <w:r w:rsidRPr="00843B03">
              <w:rPr>
                <w:rFonts w:eastAsia="Times New Roman" w:cs="Times New Roman"/>
                <w:b/>
                <w:bCs/>
                <w:szCs w:val="24"/>
              </w:rPr>
              <w:t>FRONT</w:t>
            </w:r>
          </w:p>
        </w:tc>
        <w:tc>
          <w:tcPr>
            <w:tcW w:w="720" w:type="dxa"/>
            <w:shd w:val="clear" w:color="000000" w:fill="F2F2F2"/>
            <w:noWrap/>
            <w:textDirection w:val="btLr"/>
            <w:vAlign w:val="center"/>
            <w:hideMark/>
          </w:tcPr>
          <w:p w14:paraId="731442E9" w14:textId="77777777" w:rsidR="001D6419" w:rsidRPr="00843B03" w:rsidRDefault="000F5B51" w:rsidP="00D07617">
            <w:pPr>
              <w:spacing w:after="0"/>
              <w:contextualSpacing/>
              <w:rPr>
                <w:rFonts w:eastAsia="Times New Roman" w:cs="Times New Roman"/>
                <w:b/>
                <w:bCs/>
                <w:szCs w:val="24"/>
              </w:rPr>
            </w:pPr>
            <w:r w:rsidRPr="00843B03">
              <w:rPr>
                <w:rFonts w:eastAsia="Times New Roman" w:cs="Times New Roman"/>
                <w:b/>
                <w:bCs/>
                <w:szCs w:val="24"/>
              </w:rPr>
              <w:t>REAR</w:t>
            </w:r>
          </w:p>
        </w:tc>
        <w:tc>
          <w:tcPr>
            <w:tcW w:w="720" w:type="dxa"/>
            <w:shd w:val="clear" w:color="000000" w:fill="F2F2F2"/>
            <w:noWrap/>
            <w:textDirection w:val="btLr"/>
            <w:vAlign w:val="center"/>
            <w:hideMark/>
          </w:tcPr>
          <w:p w14:paraId="6B57EC7D" w14:textId="77777777" w:rsidR="001D6419" w:rsidRPr="00843B03" w:rsidRDefault="000F5B51" w:rsidP="00D07617">
            <w:pPr>
              <w:spacing w:after="0"/>
              <w:contextualSpacing/>
              <w:rPr>
                <w:rFonts w:eastAsia="Times New Roman" w:cs="Times New Roman"/>
                <w:b/>
                <w:bCs/>
                <w:szCs w:val="24"/>
              </w:rPr>
            </w:pPr>
            <w:r w:rsidRPr="00843B03">
              <w:rPr>
                <w:rFonts w:eastAsia="Times New Roman" w:cs="Times New Roman"/>
                <w:b/>
                <w:bCs/>
                <w:szCs w:val="24"/>
              </w:rPr>
              <w:t>SIDE</w:t>
            </w:r>
          </w:p>
        </w:tc>
        <w:tc>
          <w:tcPr>
            <w:tcW w:w="720" w:type="dxa"/>
            <w:shd w:val="clear" w:color="000000" w:fill="F2F2F2"/>
            <w:noWrap/>
            <w:textDirection w:val="btLr"/>
            <w:vAlign w:val="center"/>
            <w:hideMark/>
          </w:tcPr>
          <w:p w14:paraId="27185D64" w14:textId="77777777" w:rsidR="001D6419" w:rsidRPr="00843B03" w:rsidRDefault="000F5B51" w:rsidP="00D07617">
            <w:pPr>
              <w:spacing w:after="0"/>
              <w:contextualSpacing/>
              <w:rPr>
                <w:rFonts w:eastAsia="Times New Roman" w:cs="Times New Roman"/>
                <w:b/>
                <w:bCs/>
                <w:szCs w:val="24"/>
              </w:rPr>
            </w:pPr>
            <w:r w:rsidRPr="00843B03">
              <w:rPr>
                <w:rFonts w:eastAsia="Times New Roman" w:cs="Times New Roman"/>
                <w:b/>
                <w:bCs/>
                <w:szCs w:val="24"/>
              </w:rPr>
              <w:t>ROLLOVER</w:t>
            </w:r>
          </w:p>
        </w:tc>
      </w:tr>
      <w:tr w:rsidR="00A15C2C" w14:paraId="57F5462B" w14:textId="77777777" w:rsidTr="00617167">
        <w:trPr>
          <w:trHeight w:val="300"/>
        </w:trPr>
        <w:tc>
          <w:tcPr>
            <w:tcW w:w="700" w:type="dxa"/>
            <w:shd w:val="clear" w:color="D9E1F2" w:fill="D9E1F2"/>
            <w:noWrap/>
            <w:hideMark/>
          </w:tcPr>
          <w:p w14:paraId="233A7A49"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2015</w:t>
            </w:r>
          </w:p>
        </w:tc>
        <w:tc>
          <w:tcPr>
            <w:tcW w:w="1191" w:type="dxa"/>
            <w:shd w:val="clear" w:color="D9E1F2" w:fill="D9E1F2"/>
            <w:noWrap/>
            <w:vAlign w:val="center"/>
            <w:hideMark/>
          </w:tcPr>
          <w:p w14:paraId="1571FC98"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1.0000</w:t>
            </w:r>
          </w:p>
        </w:tc>
        <w:tc>
          <w:tcPr>
            <w:tcW w:w="1004" w:type="dxa"/>
            <w:shd w:val="clear" w:color="D9E1F2" w:fill="D9E1F2"/>
            <w:noWrap/>
            <w:vAlign w:val="center"/>
            <w:hideMark/>
          </w:tcPr>
          <w:p w14:paraId="50F3FDED"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16,502</w:t>
            </w:r>
          </w:p>
        </w:tc>
        <w:tc>
          <w:tcPr>
            <w:tcW w:w="1083" w:type="dxa"/>
            <w:shd w:val="clear" w:color="D9E1F2" w:fill="D9E1F2"/>
            <w:noWrap/>
            <w:vAlign w:val="center"/>
            <w:hideMark/>
          </w:tcPr>
          <w:p w14:paraId="3B615B78"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16,502</w:t>
            </w:r>
          </w:p>
        </w:tc>
        <w:tc>
          <w:tcPr>
            <w:tcW w:w="1164" w:type="dxa"/>
            <w:shd w:val="clear" w:color="D9E1F2" w:fill="D9E1F2"/>
            <w:noWrap/>
            <w:vAlign w:val="center"/>
            <w:hideMark/>
          </w:tcPr>
          <w:p w14:paraId="20FED36D"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0.1057</w:t>
            </w:r>
          </w:p>
        </w:tc>
        <w:tc>
          <w:tcPr>
            <w:tcW w:w="588" w:type="dxa"/>
            <w:shd w:val="clear" w:color="auto" w:fill="A8D08D" w:themeFill="accent6" w:themeFillTint="99"/>
            <w:noWrap/>
            <w:vAlign w:val="center"/>
            <w:hideMark/>
          </w:tcPr>
          <w:p w14:paraId="6B01C55A"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0.91</w:t>
            </w:r>
          </w:p>
        </w:tc>
        <w:tc>
          <w:tcPr>
            <w:tcW w:w="588" w:type="dxa"/>
            <w:shd w:val="clear" w:color="D9E1F2" w:fill="D9E1F2"/>
            <w:noWrap/>
            <w:vAlign w:val="center"/>
            <w:hideMark/>
          </w:tcPr>
          <w:p w14:paraId="3DFCF5D9"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0.09</w:t>
            </w:r>
          </w:p>
        </w:tc>
        <w:tc>
          <w:tcPr>
            <w:tcW w:w="588" w:type="dxa"/>
            <w:shd w:val="clear" w:color="000000" w:fill="CC99FF"/>
            <w:noWrap/>
            <w:vAlign w:val="center"/>
            <w:hideMark/>
          </w:tcPr>
          <w:p w14:paraId="2C704BE4"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0.06</w:t>
            </w:r>
          </w:p>
        </w:tc>
        <w:tc>
          <w:tcPr>
            <w:tcW w:w="588" w:type="dxa"/>
            <w:shd w:val="clear" w:color="000000" w:fill="CC99FF"/>
            <w:noWrap/>
            <w:vAlign w:val="center"/>
            <w:hideMark/>
          </w:tcPr>
          <w:p w14:paraId="6B1C3D4C"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shd w:val="clear" w:color="D9E1F2" w:fill="D9E1F2"/>
            <w:noWrap/>
            <w:vAlign w:val="center"/>
            <w:hideMark/>
          </w:tcPr>
          <w:p w14:paraId="356873C9"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shd w:val="clear" w:color="D9E1F2" w:fill="D9E1F2"/>
            <w:noWrap/>
            <w:vAlign w:val="center"/>
            <w:hideMark/>
          </w:tcPr>
          <w:p w14:paraId="032EC482"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shd w:val="clear" w:color="D9E1F2" w:fill="D9E1F2"/>
            <w:noWrap/>
            <w:vAlign w:val="center"/>
            <w:hideMark/>
          </w:tcPr>
          <w:p w14:paraId="34356494"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shd w:val="clear" w:color="D9E1F2" w:fill="D9E1F2"/>
            <w:noWrap/>
            <w:vAlign w:val="center"/>
            <w:hideMark/>
          </w:tcPr>
          <w:p w14:paraId="7F6041D4"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720" w:type="dxa"/>
            <w:shd w:val="clear" w:color="000000" w:fill="F2F2F2"/>
            <w:noWrap/>
            <w:vAlign w:val="center"/>
            <w:hideMark/>
          </w:tcPr>
          <w:p w14:paraId="2ACA5E79"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0.06</w:t>
            </w:r>
          </w:p>
        </w:tc>
        <w:tc>
          <w:tcPr>
            <w:tcW w:w="720" w:type="dxa"/>
            <w:shd w:val="clear" w:color="000000" w:fill="F2F2F2"/>
            <w:noWrap/>
            <w:vAlign w:val="center"/>
            <w:hideMark/>
          </w:tcPr>
          <w:p w14:paraId="3097168F"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0.06</w:t>
            </w:r>
          </w:p>
        </w:tc>
        <w:tc>
          <w:tcPr>
            <w:tcW w:w="720" w:type="dxa"/>
            <w:shd w:val="clear" w:color="000000" w:fill="F2F2F2"/>
            <w:noWrap/>
            <w:vAlign w:val="center"/>
            <w:hideMark/>
          </w:tcPr>
          <w:p w14:paraId="2F49342E"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0.06</w:t>
            </w:r>
          </w:p>
        </w:tc>
        <w:tc>
          <w:tcPr>
            <w:tcW w:w="720" w:type="dxa"/>
            <w:shd w:val="clear" w:color="000000" w:fill="F2F2F2"/>
            <w:noWrap/>
            <w:vAlign w:val="center"/>
            <w:hideMark/>
          </w:tcPr>
          <w:p w14:paraId="2663A673"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0.06</w:t>
            </w:r>
          </w:p>
        </w:tc>
      </w:tr>
      <w:tr w:rsidR="00A15C2C" w14:paraId="71038CAC" w14:textId="77777777" w:rsidTr="00617167">
        <w:trPr>
          <w:trHeight w:val="300"/>
        </w:trPr>
        <w:tc>
          <w:tcPr>
            <w:tcW w:w="700" w:type="dxa"/>
            <w:noWrap/>
            <w:hideMark/>
          </w:tcPr>
          <w:p w14:paraId="7791C8E4"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2014</w:t>
            </w:r>
          </w:p>
        </w:tc>
        <w:tc>
          <w:tcPr>
            <w:tcW w:w="1191" w:type="dxa"/>
            <w:noWrap/>
            <w:vAlign w:val="center"/>
            <w:hideMark/>
          </w:tcPr>
          <w:p w14:paraId="2ED4DAE6"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0.9776</w:t>
            </w:r>
          </w:p>
        </w:tc>
        <w:tc>
          <w:tcPr>
            <w:tcW w:w="1004" w:type="dxa"/>
            <w:noWrap/>
            <w:vAlign w:val="center"/>
            <w:hideMark/>
          </w:tcPr>
          <w:p w14:paraId="36DE7E00"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14,828</w:t>
            </w:r>
          </w:p>
        </w:tc>
        <w:tc>
          <w:tcPr>
            <w:tcW w:w="1083" w:type="dxa"/>
            <w:noWrap/>
            <w:vAlign w:val="center"/>
            <w:hideMark/>
          </w:tcPr>
          <w:p w14:paraId="109494AE"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14,496</w:t>
            </w:r>
          </w:p>
        </w:tc>
        <w:tc>
          <w:tcPr>
            <w:tcW w:w="1164" w:type="dxa"/>
            <w:noWrap/>
            <w:vAlign w:val="center"/>
            <w:hideMark/>
          </w:tcPr>
          <w:p w14:paraId="2F18800C"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0.0929</w:t>
            </w:r>
          </w:p>
        </w:tc>
        <w:tc>
          <w:tcPr>
            <w:tcW w:w="588" w:type="dxa"/>
            <w:shd w:val="clear" w:color="auto" w:fill="A8D08D" w:themeFill="accent6" w:themeFillTint="99"/>
            <w:noWrap/>
            <w:vAlign w:val="center"/>
            <w:hideMark/>
          </w:tcPr>
          <w:p w14:paraId="59F525F9"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0.82</w:t>
            </w:r>
          </w:p>
        </w:tc>
        <w:tc>
          <w:tcPr>
            <w:tcW w:w="588" w:type="dxa"/>
            <w:noWrap/>
            <w:vAlign w:val="center"/>
            <w:hideMark/>
          </w:tcPr>
          <w:p w14:paraId="2CBEA497"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0.18</w:t>
            </w:r>
          </w:p>
        </w:tc>
        <w:tc>
          <w:tcPr>
            <w:tcW w:w="588" w:type="dxa"/>
            <w:shd w:val="clear" w:color="000000" w:fill="CC99FF"/>
            <w:noWrap/>
            <w:vAlign w:val="center"/>
            <w:hideMark/>
          </w:tcPr>
          <w:p w14:paraId="28BCF43F"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0.05</w:t>
            </w:r>
          </w:p>
        </w:tc>
        <w:tc>
          <w:tcPr>
            <w:tcW w:w="588" w:type="dxa"/>
            <w:shd w:val="clear" w:color="000000" w:fill="CC99FF"/>
            <w:noWrap/>
            <w:vAlign w:val="center"/>
            <w:hideMark/>
          </w:tcPr>
          <w:p w14:paraId="73F2E1FC"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noWrap/>
            <w:vAlign w:val="center"/>
            <w:hideMark/>
          </w:tcPr>
          <w:p w14:paraId="47D47D3A"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noWrap/>
            <w:vAlign w:val="center"/>
            <w:hideMark/>
          </w:tcPr>
          <w:p w14:paraId="3DD4FD80"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noWrap/>
            <w:vAlign w:val="center"/>
            <w:hideMark/>
          </w:tcPr>
          <w:p w14:paraId="2F0DF2C4"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noWrap/>
            <w:vAlign w:val="center"/>
            <w:hideMark/>
          </w:tcPr>
          <w:p w14:paraId="452705D2"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720" w:type="dxa"/>
            <w:shd w:val="clear" w:color="000000" w:fill="F2F2F2"/>
            <w:noWrap/>
            <w:vAlign w:val="center"/>
            <w:hideMark/>
          </w:tcPr>
          <w:p w14:paraId="0517211C"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0.06</w:t>
            </w:r>
          </w:p>
        </w:tc>
        <w:tc>
          <w:tcPr>
            <w:tcW w:w="720" w:type="dxa"/>
            <w:shd w:val="clear" w:color="000000" w:fill="F2F2F2"/>
            <w:noWrap/>
            <w:vAlign w:val="center"/>
            <w:hideMark/>
          </w:tcPr>
          <w:p w14:paraId="635DDE26"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0.06</w:t>
            </w:r>
          </w:p>
        </w:tc>
        <w:tc>
          <w:tcPr>
            <w:tcW w:w="720" w:type="dxa"/>
            <w:shd w:val="clear" w:color="000000" w:fill="F2F2F2"/>
            <w:noWrap/>
            <w:vAlign w:val="center"/>
            <w:hideMark/>
          </w:tcPr>
          <w:p w14:paraId="232053BD"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0.06</w:t>
            </w:r>
          </w:p>
        </w:tc>
        <w:tc>
          <w:tcPr>
            <w:tcW w:w="720" w:type="dxa"/>
            <w:shd w:val="clear" w:color="000000" w:fill="F2F2F2"/>
            <w:noWrap/>
            <w:vAlign w:val="center"/>
            <w:hideMark/>
          </w:tcPr>
          <w:p w14:paraId="2A393DC6"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0.06</w:t>
            </w:r>
          </w:p>
        </w:tc>
      </w:tr>
      <w:tr w:rsidR="00A15C2C" w14:paraId="5842558D" w14:textId="77777777" w:rsidTr="00617167">
        <w:trPr>
          <w:trHeight w:val="300"/>
        </w:trPr>
        <w:tc>
          <w:tcPr>
            <w:tcW w:w="700" w:type="dxa"/>
            <w:shd w:val="clear" w:color="D9E1F2" w:fill="D9E1F2"/>
            <w:noWrap/>
            <w:hideMark/>
          </w:tcPr>
          <w:p w14:paraId="3038A815"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2013</w:t>
            </w:r>
          </w:p>
        </w:tc>
        <w:tc>
          <w:tcPr>
            <w:tcW w:w="1191" w:type="dxa"/>
            <w:shd w:val="clear" w:color="D9E1F2" w:fill="D9E1F2"/>
            <w:noWrap/>
            <w:vAlign w:val="center"/>
            <w:hideMark/>
          </w:tcPr>
          <w:p w14:paraId="08950260"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0.9630</w:t>
            </w:r>
          </w:p>
        </w:tc>
        <w:tc>
          <w:tcPr>
            <w:tcW w:w="1004" w:type="dxa"/>
            <w:shd w:val="clear" w:color="D9E1F2" w:fill="D9E1F2"/>
            <w:noWrap/>
            <w:vAlign w:val="center"/>
            <w:hideMark/>
          </w:tcPr>
          <w:p w14:paraId="5788E10F"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14,552</w:t>
            </w:r>
          </w:p>
        </w:tc>
        <w:tc>
          <w:tcPr>
            <w:tcW w:w="1083" w:type="dxa"/>
            <w:shd w:val="clear" w:color="D9E1F2" w:fill="D9E1F2"/>
            <w:noWrap/>
            <w:vAlign w:val="center"/>
            <w:hideMark/>
          </w:tcPr>
          <w:p w14:paraId="392EE187"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14,013</w:t>
            </w:r>
          </w:p>
        </w:tc>
        <w:tc>
          <w:tcPr>
            <w:tcW w:w="1164" w:type="dxa"/>
            <w:shd w:val="clear" w:color="D9E1F2" w:fill="D9E1F2"/>
            <w:noWrap/>
            <w:vAlign w:val="center"/>
            <w:hideMark/>
          </w:tcPr>
          <w:p w14:paraId="568ED328"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0.0898</w:t>
            </w:r>
          </w:p>
        </w:tc>
        <w:tc>
          <w:tcPr>
            <w:tcW w:w="588" w:type="dxa"/>
            <w:shd w:val="clear" w:color="auto" w:fill="A8D08D" w:themeFill="accent6" w:themeFillTint="99"/>
            <w:noWrap/>
            <w:vAlign w:val="center"/>
            <w:hideMark/>
          </w:tcPr>
          <w:p w14:paraId="40477A93"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0.73</w:t>
            </w:r>
          </w:p>
        </w:tc>
        <w:tc>
          <w:tcPr>
            <w:tcW w:w="588" w:type="dxa"/>
            <w:shd w:val="clear" w:color="D9E1F2" w:fill="D9E1F2"/>
            <w:noWrap/>
            <w:vAlign w:val="center"/>
            <w:hideMark/>
          </w:tcPr>
          <w:p w14:paraId="11363977"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0.27</w:t>
            </w:r>
          </w:p>
        </w:tc>
        <w:tc>
          <w:tcPr>
            <w:tcW w:w="588" w:type="dxa"/>
            <w:shd w:val="clear" w:color="000000" w:fill="CC99FF"/>
            <w:noWrap/>
            <w:vAlign w:val="center"/>
            <w:hideMark/>
          </w:tcPr>
          <w:p w14:paraId="68473876"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0.04</w:t>
            </w:r>
          </w:p>
        </w:tc>
        <w:tc>
          <w:tcPr>
            <w:tcW w:w="588" w:type="dxa"/>
            <w:shd w:val="clear" w:color="000000" w:fill="CC99FF"/>
            <w:noWrap/>
            <w:vAlign w:val="center"/>
            <w:hideMark/>
          </w:tcPr>
          <w:p w14:paraId="0F4DE37B"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0.02</w:t>
            </w:r>
          </w:p>
        </w:tc>
        <w:tc>
          <w:tcPr>
            <w:tcW w:w="588" w:type="dxa"/>
            <w:shd w:val="clear" w:color="D9E1F2" w:fill="D9E1F2"/>
            <w:noWrap/>
            <w:vAlign w:val="center"/>
            <w:hideMark/>
          </w:tcPr>
          <w:p w14:paraId="3A1CACA4"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0.02</w:t>
            </w:r>
          </w:p>
        </w:tc>
        <w:tc>
          <w:tcPr>
            <w:tcW w:w="588" w:type="dxa"/>
            <w:shd w:val="clear" w:color="D9E1F2" w:fill="D9E1F2"/>
            <w:noWrap/>
            <w:vAlign w:val="center"/>
            <w:hideMark/>
          </w:tcPr>
          <w:p w14:paraId="7917E9F0"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0.02</w:t>
            </w:r>
          </w:p>
        </w:tc>
        <w:tc>
          <w:tcPr>
            <w:tcW w:w="588" w:type="dxa"/>
            <w:shd w:val="clear" w:color="D9E1F2" w:fill="D9E1F2"/>
            <w:noWrap/>
            <w:vAlign w:val="center"/>
            <w:hideMark/>
          </w:tcPr>
          <w:p w14:paraId="25769EA4"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0.02</w:t>
            </w:r>
          </w:p>
        </w:tc>
        <w:tc>
          <w:tcPr>
            <w:tcW w:w="588" w:type="dxa"/>
            <w:shd w:val="clear" w:color="D9E1F2" w:fill="D9E1F2"/>
            <w:noWrap/>
            <w:vAlign w:val="center"/>
            <w:hideMark/>
          </w:tcPr>
          <w:p w14:paraId="52B0B632"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720" w:type="dxa"/>
            <w:shd w:val="clear" w:color="000000" w:fill="F2F2F2"/>
            <w:noWrap/>
            <w:vAlign w:val="center"/>
            <w:hideMark/>
          </w:tcPr>
          <w:p w14:paraId="604A73FA"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0.06</w:t>
            </w:r>
          </w:p>
        </w:tc>
        <w:tc>
          <w:tcPr>
            <w:tcW w:w="720" w:type="dxa"/>
            <w:shd w:val="clear" w:color="000000" w:fill="F2F2F2"/>
            <w:noWrap/>
            <w:vAlign w:val="center"/>
            <w:hideMark/>
          </w:tcPr>
          <w:p w14:paraId="23503987"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0.06</w:t>
            </w:r>
          </w:p>
        </w:tc>
        <w:tc>
          <w:tcPr>
            <w:tcW w:w="720" w:type="dxa"/>
            <w:shd w:val="clear" w:color="000000" w:fill="F2F2F2"/>
            <w:noWrap/>
            <w:vAlign w:val="center"/>
            <w:hideMark/>
          </w:tcPr>
          <w:p w14:paraId="57BBC59C"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0.06</w:t>
            </w:r>
          </w:p>
        </w:tc>
        <w:tc>
          <w:tcPr>
            <w:tcW w:w="720" w:type="dxa"/>
            <w:shd w:val="clear" w:color="000000" w:fill="F2F2F2"/>
            <w:noWrap/>
            <w:vAlign w:val="center"/>
            <w:hideMark/>
          </w:tcPr>
          <w:p w14:paraId="5998DC25"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0.06</w:t>
            </w:r>
          </w:p>
        </w:tc>
      </w:tr>
      <w:tr w:rsidR="00A15C2C" w14:paraId="7E534EEB" w14:textId="77777777" w:rsidTr="00617167">
        <w:trPr>
          <w:trHeight w:val="300"/>
        </w:trPr>
        <w:tc>
          <w:tcPr>
            <w:tcW w:w="700" w:type="dxa"/>
            <w:noWrap/>
            <w:hideMark/>
          </w:tcPr>
          <w:p w14:paraId="03D8E176"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2012</w:t>
            </w:r>
          </w:p>
        </w:tc>
        <w:tc>
          <w:tcPr>
            <w:tcW w:w="1191" w:type="dxa"/>
            <w:noWrap/>
            <w:vAlign w:val="center"/>
            <w:hideMark/>
          </w:tcPr>
          <w:p w14:paraId="324E1A2D"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0.9428</w:t>
            </w:r>
          </w:p>
        </w:tc>
        <w:tc>
          <w:tcPr>
            <w:tcW w:w="1004" w:type="dxa"/>
            <w:noWrap/>
            <w:vAlign w:val="center"/>
            <w:hideMark/>
          </w:tcPr>
          <w:p w14:paraId="794EED90"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14,279</w:t>
            </w:r>
          </w:p>
        </w:tc>
        <w:tc>
          <w:tcPr>
            <w:tcW w:w="1083" w:type="dxa"/>
            <w:noWrap/>
            <w:vAlign w:val="center"/>
            <w:hideMark/>
          </w:tcPr>
          <w:p w14:paraId="63FC9683"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13,461</w:t>
            </w:r>
          </w:p>
        </w:tc>
        <w:tc>
          <w:tcPr>
            <w:tcW w:w="1164" w:type="dxa"/>
            <w:noWrap/>
            <w:vAlign w:val="center"/>
            <w:hideMark/>
          </w:tcPr>
          <w:p w14:paraId="6C26FA53"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0.0862</w:t>
            </w:r>
          </w:p>
        </w:tc>
        <w:tc>
          <w:tcPr>
            <w:tcW w:w="588" w:type="dxa"/>
            <w:shd w:val="clear" w:color="auto" w:fill="A8D08D" w:themeFill="accent6" w:themeFillTint="99"/>
            <w:noWrap/>
            <w:vAlign w:val="center"/>
            <w:hideMark/>
          </w:tcPr>
          <w:p w14:paraId="2E5E4115"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0.64</w:t>
            </w:r>
          </w:p>
        </w:tc>
        <w:tc>
          <w:tcPr>
            <w:tcW w:w="588" w:type="dxa"/>
            <w:noWrap/>
            <w:vAlign w:val="center"/>
            <w:hideMark/>
          </w:tcPr>
          <w:p w14:paraId="70F39113"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0.36</w:t>
            </w:r>
          </w:p>
        </w:tc>
        <w:tc>
          <w:tcPr>
            <w:tcW w:w="588" w:type="dxa"/>
            <w:shd w:val="clear" w:color="000000" w:fill="CC99FF"/>
            <w:noWrap/>
            <w:vAlign w:val="center"/>
            <w:hideMark/>
          </w:tcPr>
          <w:p w14:paraId="4B118CEC"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0.04</w:t>
            </w:r>
          </w:p>
        </w:tc>
        <w:tc>
          <w:tcPr>
            <w:tcW w:w="588" w:type="dxa"/>
            <w:shd w:val="clear" w:color="000000" w:fill="CC99FF"/>
            <w:noWrap/>
            <w:vAlign w:val="center"/>
            <w:hideMark/>
          </w:tcPr>
          <w:p w14:paraId="7B581FDC"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0.02</w:t>
            </w:r>
          </w:p>
        </w:tc>
        <w:tc>
          <w:tcPr>
            <w:tcW w:w="588" w:type="dxa"/>
            <w:noWrap/>
            <w:vAlign w:val="center"/>
            <w:hideMark/>
          </w:tcPr>
          <w:p w14:paraId="7ECB2ADC"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0.02</w:t>
            </w:r>
          </w:p>
        </w:tc>
        <w:tc>
          <w:tcPr>
            <w:tcW w:w="588" w:type="dxa"/>
            <w:noWrap/>
            <w:vAlign w:val="center"/>
            <w:hideMark/>
          </w:tcPr>
          <w:p w14:paraId="53384882"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0.02</w:t>
            </w:r>
          </w:p>
        </w:tc>
        <w:tc>
          <w:tcPr>
            <w:tcW w:w="588" w:type="dxa"/>
            <w:noWrap/>
            <w:vAlign w:val="center"/>
            <w:hideMark/>
          </w:tcPr>
          <w:p w14:paraId="3142968B"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0.02</w:t>
            </w:r>
          </w:p>
        </w:tc>
        <w:tc>
          <w:tcPr>
            <w:tcW w:w="588" w:type="dxa"/>
            <w:noWrap/>
            <w:vAlign w:val="center"/>
            <w:hideMark/>
          </w:tcPr>
          <w:p w14:paraId="62961AE0"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0.02</w:t>
            </w:r>
          </w:p>
        </w:tc>
        <w:tc>
          <w:tcPr>
            <w:tcW w:w="720" w:type="dxa"/>
            <w:shd w:val="clear" w:color="000000" w:fill="F2F2F2"/>
            <w:noWrap/>
            <w:vAlign w:val="center"/>
            <w:hideMark/>
          </w:tcPr>
          <w:p w14:paraId="3391EF0C"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0.06</w:t>
            </w:r>
          </w:p>
        </w:tc>
        <w:tc>
          <w:tcPr>
            <w:tcW w:w="720" w:type="dxa"/>
            <w:shd w:val="clear" w:color="000000" w:fill="F2F2F2"/>
            <w:noWrap/>
            <w:vAlign w:val="center"/>
            <w:hideMark/>
          </w:tcPr>
          <w:p w14:paraId="008C79E0"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0.06</w:t>
            </w:r>
          </w:p>
        </w:tc>
        <w:tc>
          <w:tcPr>
            <w:tcW w:w="720" w:type="dxa"/>
            <w:shd w:val="clear" w:color="000000" w:fill="F2F2F2"/>
            <w:noWrap/>
            <w:vAlign w:val="center"/>
            <w:hideMark/>
          </w:tcPr>
          <w:p w14:paraId="282C4A09"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0.06</w:t>
            </w:r>
          </w:p>
        </w:tc>
        <w:tc>
          <w:tcPr>
            <w:tcW w:w="720" w:type="dxa"/>
            <w:shd w:val="clear" w:color="000000" w:fill="F2F2F2"/>
            <w:noWrap/>
            <w:vAlign w:val="center"/>
            <w:hideMark/>
          </w:tcPr>
          <w:p w14:paraId="462115EF"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0.06</w:t>
            </w:r>
          </w:p>
        </w:tc>
      </w:tr>
      <w:tr w:rsidR="00A15C2C" w14:paraId="5EAACE9F" w14:textId="77777777" w:rsidTr="00617167">
        <w:trPr>
          <w:trHeight w:val="300"/>
        </w:trPr>
        <w:tc>
          <w:tcPr>
            <w:tcW w:w="700" w:type="dxa"/>
            <w:shd w:val="clear" w:color="D9E1F2" w:fill="D9E1F2"/>
            <w:noWrap/>
            <w:hideMark/>
          </w:tcPr>
          <w:p w14:paraId="5D0794D7"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2011</w:t>
            </w:r>
          </w:p>
        </w:tc>
        <w:tc>
          <w:tcPr>
            <w:tcW w:w="1191" w:type="dxa"/>
            <w:shd w:val="clear" w:color="D9E1F2" w:fill="D9E1F2"/>
            <w:noWrap/>
            <w:vAlign w:val="center"/>
            <w:hideMark/>
          </w:tcPr>
          <w:p w14:paraId="06E5E589"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0.9311</w:t>
            </w:r>
          </w:p>
        </w:tc>
        <w:tc>
          <w:tcPr>
            <w:tcW w:w="1004" w:type="dxa"/>
            <w:shd w:val="clear" w:color="D9E1F2" w:fill="D9E1F2"/>
            <w:noWrap/>
            <w:vAlign w:val="center"/>
            <w:hideMark/>
          </w:tcPr>
          <w:p w14:paraId="3CA35BB0"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13,783</w:t>
            </w:r>
          </w:p>
        </w:tc>
        <w:tc>
          <w:tcPr>
            <w:tcW w:w="1083" w:type="dxa"/>
            <w:shd w:val="clear" w:color="D9E1F2" w:fill="D9E1F2"/>
            <w:noWrap/>
            <w:vAlign w:val="center"/>
            <w:hideMark/>
          </w:tcPr>
          <w:p w14:paraId="62013B23"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12,833</w:t>
            </w:r>
          </w:p>
        </w:tc>
        <w:tc>
          <w:tcPr>
            <w:tcW w:w="1164" w:type="dxa"/>
            <w:shd w:val="clear" w:color="D9E1F2" w:fill="D9E1F2"/>
            <w:noWrap/>
            <w:vAlign w:val="center"/>
            <w:hideMark/>
          </w:tcPr>
          <w:p w14:paraId="6446A380"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0.0822</w:t>
            </w:r>
          </w:p>
        </w:tc>
        <w:tc>
          <w:tcPr>
            <w:tcW w:w="588" w:type="dxa"/>
            <w:shd w:val="clear" w:color="auto" w:fill="A8D08D" w:themeFill="accent6" w:themeFillTint="99"/>
            <w:noWrap/>
            <w:vAlign w:val="center"/>
            <w:hideMark/>
          </w:tcPr>
          <w:p w14:paraId="04FB5406"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0.01</w:t>
            </w:r>
          </w:p>
        </w:tc>
        <w:tc>
          <w:tcPr>
            <w:tcW w:w="588" w:type="dxa"/>
            <w:shd w:val="clear" w:color="D9E1F2" w:fill="D9E1F2"/>
            <w:noWrap/>
            <w:vAlign w:val="center"/>
            <w:hideMark/>
          </w:tcPr>
          <w:p w14:paraId="38D31A96"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0.99</w:t>
            </w:r>
          </w:p>
        </w:tc>
        <w:tc>
          <w:tcPr>
            <w:tcW w:w="588" w:type="dxa"/>
            <w:shd w:val="clear" w:color="000000" w:fill="CC99FF"/>
            <w:noWrap/>
            <w:vAlign w:val="center"/>
            <w:hideMark/>
          </w:tcPr>
          <w:p w14:paraId="15AFAD02"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000000" w:fill="CC99FF"/>
            <w:noWrap/>
            <w:vAlign w:val="center"/>
            <w:hideMark/>
          </w:tcPr>
          <w:p w14:paraId="0F8CE844"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0.06</w:t>
            </w:r>
          </w:p>
        </w:tc>
        <w:tc>
          <w:tcPr>
            <w:tcW w:w="588" w:type="dxa"/>
            <w:shd w:val="clear" w:color="D9E1F2" w:fill="D9E1F2"/>
            <w:noWrap/>
            <w:vAlign w:val="center"/>
            <w:hideMark/>
          </w:tcPr>
          <w:p w14:paraId="2BB73792"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0.06</w:t>
            </w:r>
          </w:p>
        </w:tc>
        <w:tc>
          <w:tcPr>
            <w:tcW w:w="588" w:type="dxa"/>
            <w:shd w:val="clear" w:color="D9E1F2" w:fill="D9E1F2"/>
            <w:noWrap/>
            <w:vAlign w:val="center"/>
            <w:hideMark/>
          </w:tcPr>
          <w:p w14:paraId="2EDB9EBA"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0.06</w:t>
            </w:r>
          </w:p>
        </w:tc>
        <w:tc>
          <w:tcPr>
            <w:tcW w:w="588" w:type="dxa"/>
            <w:shd w:val="clear" w:color="D9E1F2" w:fill="D9E1F2"/>
            <w:noWrap/>
            <w:vAlign w:val="center"/>
            <w:hideMark/>
          </w:tcPr>
          <w:p w14:paraId="3A65125F"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0.06</w:t>
            </w:r>
          </w:p>
        </w:tc>
        <w:tc>
          <w:tcPr>
            <w:tcW w:w="588" w:type="dxa"/>
            <w:shd w:val="clear" w:color="D9E1F2" w:fill="D9E1F2"/>
            <w:noWrap/>
            <w:vAlign w:val="center"/>
            <w:hideMark/>
          </w:tcPr>
          <w:p w14:paraId="527EA751"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0.05</w:t>
            </w:r>
          </w:p>
        </w:tc>
        <w:tc>
          <w:tcPr>
            <w:tcW w:w="720" w:type="dxa"/>
            <w:shd w:val="clear" w:color="000000" w:fill="F2F2F2"/>
            <w:noWrap/>
            <w:vAlign w:val="center"/>
            <w:hideMark/>
          </w:tcPr>
          <w:p w14:paraId="5FE5C257"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0.06</w:t>
            </w:r>
          </w:p>
        </w:tc>
        <w:tc>
          <w:tcPr>
            <w:tcW w:w="720" w:type="dxa"/>
            <w:shd w:val="clear" w:color="000000" w:fill="F2F2F2"/>
            <w:noWrap/>
            <w:vAlign w:val="center"/>
            <w:hideMark/>
          </w:tcPr>
          <w:p w14:paraId="0C5D5D5F"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0.06</w:t>
            </w:r>
          </w:p>
        </w:tc>
        <w:tc>
          <w:tcPr>
            <w:tcW w:w="720" w:type="dxa"/>
            <w:shd w:val="clear" w:color="000000" w:fill="F2F2F2"/>
            <w:noWrap/>
            <w:vAlign w:val="center"/>
            <w:hideMark/>
          </w:tcPr>
          <w:p w14:paraId="74D3D036"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0.06</w:t>
            </w:r>
          </w:p>
        </w:tc>
        <w:tc>
          <w:tcPr>
            <w:tcW w:w="720" w:type="dxa"/>
            <w:shd w:val="clear" w:color="000000" w:fill="F2F2F2"/>
            <w:noWrap/>
            <w:vAlign w:val="center"/>
            <w:hideMark/>
          </w:tcPr>
          <w:p w14:paraId="7CE7AB7D"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0.05</w:t>
            </w:r>
          </w:p>
        </w:tc>
      </w:tr>
      <w:tr w:rsidR="00A15C2C" w14:paraId="32CACAEF" w14:textId="77777777" w:rsidTr="00617167">
        <w:trPr>
          <w:trHeight w:val="300"/>
        </w:trPr>
        <w:tc>
          <w:tcPr>
            <w:tcW w:w="700" w:type="dxa"/>
            <w:noWrap/>
            <w:hideMark/>
          </w:tcPr>
          <w:p w14:paraId="59C59F79"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2010</w:t>
            </w:r>
          </w:p>
        </w:tc>
        <w:tc>
          <w:tcPr>
            <w:tcW w:w="1191" w:type="dxa"/>
            <w:noWrap/>
            <w:vAlign w:val="center"/>
            <w:hideMark/>
          </w:tcPr>
          <w:p w14:paraId="0D83CC83"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0.9152</w:t>
            </w:r>
          </w:p>
        </w:tc>
        <w:tc>
          <w:tcPr>
            <w:tcW w:w="1004" w:type="dxa"/>
            <w:noWrap/>
            <w:vAlign w:val="center"/>
            <w:hideMark/>
          </w:tcPr>
          <w:p w14:paraId="1449721E"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13,039</w:t>
            </w:r>
          </w:p>
        </w:tc>
        <w:tc>
          <w:tcPr>
            <w:tcW w:w="1083" w:type="dxa"/>
            <w:noWrap/>
            <w:vAlign w:val="center"/>
            <w:hideMark/>
          </w:tcPr>
          <w:p w14:paraId="60ABA909"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11,933</w:t>
            </w:r>
          </w:p>
        </w:tc>
        <w:tc>
          <w:tcPr>
            <w:tcW w:w="1164" w:type="dxa"/>
            <w:noWrap/>
            <w:vAlign w:val="center"/>
            <w:hideMark/>
          </w:tcPr>
          <w:p w14:paraId="3480AAB1"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0.0765</w:t>
            </w:r>
          </w:p>
        </w:tc>
        <w:tc>
          <w:tcPr>
            <w:tcW w:w="588" w:type="dxa"/>
            <w:shd w:val="clear" w:color="auto" w:fill="A8D08D" w:themeFill="accent6" w:themeFillTint="99"/>
            <w:noWrap/>
            <w:vAlign w:val="center"/>
            <w:hideMark/>
          </w:tcPr>
          <w:p w14:paraId="47211BC5"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w:t>
            </w:r>
          </w:p>
        </w:tc>
        <w:tc>
          <w:tcPr>
            <w:tcW w:w="588" w:type="dxa"/>
            <w:noWrap/>
            <w:vAlign w:val="center"/>
            <w:hideMark/>
          </w:tcPr>
          <w:p w14:paraId="5C333BBE"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3487C66F"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000000" w:fill="CC99FF"/>
            <w:noWrap/>
            <w:vAlign w:val="center"/>
            <w:hideMark/>
          </w:tcPr>
          <w:p w14:paraId="57D46511"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0.06</w:t>
            </w:r>
          </w:p>
        </w:tc>
        <w:tc>
          <w:tcPr>
            <w:tcW w:w="588" w:type="dxa"/>
            <w:noWrap/>
            <w:vAlign w:val="center"/>
            <w:hideMark/>
          </w:tcPr>
          <w:p w14:paraId="0A3627BA"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0.06</w:t>
            </w:r>
          </w:p>
        </w:tc>
        <w:tc>
          <w:tcPr>
            <w:tcW w:w="588" w:type="dxa"/>
            <w:noWrap/>
            <w:vAlign w:val="center"/>
            <w:hideMark/>
          </w:tcPr>
          <w:p w14:paraId="5A9EC949"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0.06</w:t>
            </w:r>
          </w:p>
        </w:tc>
        <w:tc>
          <w:tcPr>
            <w:tcW w:w="588" w:type="dxa"/>
            <w:noWrap/>
            <w:vAlign w:val="center"/>
            <w:hideMark/>
          </w:tcPr>
          <w:p w14:paraId="189CD0A3"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0.06</w:t>
            </w:r>
          </w:p>
        </w:tc>
        <w:tc>
          <w:tcPr>
            <w:tcW w:w="588" w:type="dxa"/>
            <w:noWrap/>
            <w:vAlign w:val="center"/>
            <w:hideMark/>
          </w:tcPr>
          <w:p w14:paraId="52FCABE5"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0.05</w:t>
            </w:r>
          </w:p>
        </w:tc>
        <w:tc>
          <w:tcPr>
            <w:tcW w:w="720" w:type="dxa"/>
            <w:shd w:val="clear" w:color="000000" w:fill="F2F2F2"/>
            <w:noWrap/>
            <w:vAlign w:val="center"/>
            <w:hideMark/>
          </w:tcPr>
          <w:p w14:paraId="425B5040"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0.06</w:t>
            </w:r>
          </w:p>
        </w:tc>
        <w:tc>
          <w:tcPr>
            <w:tcW w:w="720" w:type="dxa"/>
            <w:shd w:val="clear" w:color="000000" w:fill="F2F2F2"/>
            <w:noWrap/>
            <w:vAlign w:val="center"/>
            <w:hideMark/>
          </w:tcPr>
          <w:p w14:paraId="44227BD8"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0.06</w:t>
            </w:r>
          </w:p>
        </w:tc>
        <w:tc>
          <w:tcPr>
            <w:tcW w:w="720" w:type="dxa"/>
            <w:shd w:val="clear" w:color="000000" w:fill="F2F2F2"/>
            <w:noWrap/>
            <w:vAlign w:val="center"/>
            <w:hideMark/>
          </w:tcPr>
          <w:p w14:paraId="79F5EA14"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0.06</w:t>
            </w:r>
          </w:p>
        </w:tc>
        <w:tc>
          <w:tcPr>
            <w:tcW w:w="720" w:type="dxa"/>
            <w:shd w:val="clear" w:color="000000" w:fill="F2F2F2"/>
            <w:noWrap/>
            <w:vAlign w:val="center"/>
            <w:hideMark/>
          </w:tcPr>
          <w:p w14:paraId="6A21EE95"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0.05</w:t>
            </w:r>
          </w:p>
        </w:tc>
      </w:tr>
      <w:tr w:rsidR="00A15C2C" w14:paraId="51EF777B" w14:textId="77777777" w:rsidTr="00617167">
        <w:trPr>
          <w:trHeight w:val="300"/>
        </w:trPr>
        <w:tc>
          <w:tcPr>
            <w:tcW w:w="700" w:type="dxa"/>
            <w:shd w:val="clear" w:color="D9E1F2" w:fill="D9E1F2"/>
            <w:noWrap/>
            <w:hideMark/>
          </w:tcPr>
          <w:p w14:paraId="28D7EF85"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2009</w:t>
            </w:r>
          </w:p>
        </w:tc>
        <w:tc>
          <w:tcPr>
            <w:tcW w:w="1191" w:type="dxa"/>
            <w:shd w:val="clear" w:color="D9E1F2" w:fill="D9E1F2"/>
            <w:noWrap/>
            <w:vAlign w:val="center"/>
            <w:hideMark/>
          </w:tcPr>
          <w:p w14:paraId="7F0C79BC"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0.8933</w:t>
            </w:r>
          </w:p>
        </w:tc>
        <w:tc>
          <w:tcPr>
            <w:tcW w:w="1004" w:type="dxa"/>
            <w:shd w:val="clear" w:color="D9E1F2" w:fill="D9E1F2"/>
            <w:noWrap/>
            <w:vAlign w:val="center"/>
            <w:hideMark/>
          </w:tcPr>
          <w:p w14:paraId="1CA718E3"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12,103</w:t>
            </w:r>
          </w:p>
        </w:tc>
        <w:tc>
          <w:tcPr>
            <w:tcW w:w="1083" w:type="dxa"/>
            <w:shd w:val="clear" w:color="D9E1F2" w:fill="D9E1F2"/>
            <w:noWrap/>
            <w:vAlign w:val="center"/>
            <w:hideMark/>
          </w:tcPr>
          <w:p w14:paraId="51726C0B"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10,811</w:t>
            </w:r>
          </w:p>
        </w:tc>
        <w:tc>
          <w:tcPr>
            <w:tcW w:w="1164" w:type="dxa"/>
            <w:shd w:val="clear" w:color="D9E1F2" w:fill="D9E1F2"/>
            <w:noWrap/>
            <w:vAlign w:val="center"/>
            <w:hideMark/>
          </w:tcPr>
          <w:p w14:paraId="2DA7C8F3"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0.0693</w:t>
            </w:r>
          </w:p>
        </w:tc>
        <w:tc>
          <w:tcPr>
            <w:tcW w:w="588" w:type="dxa"/>
            <w:shd w:val="clear" w:color="auto" w:fill="A8D08D" w:themeFill="accent6" w:themeFillTint="99"/>
            <w:noWrap/>
            <w:vAlign w:val="center"/>
            <w:hideMark/>
          </w:tcPr>
          <w:p w14:paraId="18D4DBC9"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0.44</w:t>
            </w:r>
          </w:p>
        </w:tc>
        <w:tc>
          <w:tcPr>
            <w:tcW w:w="588" w:type="dxa"/>
            <w:shd w:val="clear" w:color="D9E1F2" w:fill="D9E1F2"/>
            <w:noWrap/>
            <w:vAlign w:val="center"/>
            <w:hideMark/>
          </w:tcPr>
          <w:p w14:paraId="390068C4"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0.56</w:t>
            </w:r>
          </w:p>
        </w:tc>
        <w:tc>
          <w:tcPr>
            <w:tcW w:w="588" w:type="dxa"/>
            <w:shd w:val="clear" w:color="000000" w:fill="CC99FF"/>
            <w:noWrap/>
            <w:vAlign w:val="center"/>
            <w:hideMark/>
          </w:tcPr>
          <w:p w14:paraId="5FBFEA43"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0.02</w:t>
            </w:r>
          </w:p>
        </w:tc>
        <w:tc>
          <w:tcPr>
            <w:tcW w:w="588" w:type="dxa"/>
            <w:shd w:val="clear" w:color="000000" w:fill="CC99FF"/>
            <w:noWrap/>
            <w:vAlign w:val="center"/>
            <w:hideMark/>
          </w:tcPr>
          <w:p w14:paraId="608AFBFB"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0.03</w:t>
            </w:r>
          </w:p>
        </w:tc>
        <w:tc>
          <w:tcPr>
            <w:tcW w:w="588" w:type="dxa"/>
            <w:shd w:val="clear" w:color="D9E1F2" w:fill="D9E1F2"/>
            <w:noWrap/>
            <w:vAlign w:val="center"/>
            <w:hideMark/>
          </w:tcPr>
          <w:p w14:paraId="4EF1BEC0"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0.03</w:t>
            </w:r>
          </w:p>
        </w:tc>
        <w:tc>
          <w:tcPr>
            <w:tcW w:w="588" w:type="dxa"/>
            <w:shd w:val="clear" w:color="D9E1F2" w:fill="D9E1F2"/>
            <w:noWrap/>
            <w:vAlign w:val="center"/>
            <w:hideMark/>
          </w:tcPr>
          <w:p w14:paraId="2B2F9B2D"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0.03</w:t>
            </w:r>
          </w:p>
        </w:tc>
        <w:tc>
          <w:tcPr>
            <w:tcW w:w="588" w:type="dxa"/>
            <w:shd w:val="clear" w:color="D9E1F2" w:fill="D9E1F2"/>
            <w:noWrap/>
            <w:vAlign w:val="center"/>
            <w:hideMark/>
          </w:tcPr>
          <w:p w14:paraId="5C60D581"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0.03</w:t>
            </w:r>
          </w:p>
        </w:tc>
        <w:tc>
          <w:tcPr>
            <w:tcW w:w="588" w:type="dxa"/>
            <w:shd w:val="clear" w:color="D9E1F2" w:fill="D9E1F2"/>
            <w:noWrap/>
            <w:vAlign w:val="center"/>
            <w:hideMark/>
          </w:tcPr>
          <w:p w14:paraId="09EB8CA2"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0.03</w:t>
            </w:r>
          </w:p>
        </w:tc>
        <w:tc>
          <w:tcPr>
            <w:tcW w:w="720" w:type="dxa"/>
            <w:shd w:val="clear" w:color="000000" w:fill="F2F2F2"/>
            <w:noWrap/>
            <w:vAlign w:val="center"/>
            <w:hideMark/>
          </w:tcPr>
          <w:p w14:paraId="2C7EE35E"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0.05</w:t>
            </w:r>
          </w:p>
        </w:tc>
        <w:tc>
          <w:tcPr>
            <w:tcW w:w="720" w:type="dxa"/>
            <w:shd w:val="clear" w:color="000000" w:fill="F2F2F2"/>
            <w:noWrap/>
            <w:vAlign w:val="center"/>
            <w:hideMark/>
          </w:tcPr>
          <w:p w14:paraId="1AE54FB0"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0.05</w:t>
            </w:r>
          </w:p>
        </w:tc>
        <w:tc>
          <w:tcPr>
            <w:tcW w:w="720" w:type="dxa"/>
            <w:shd w:val="clear" w:color="000000" w:fill="F2F2F2"/>
            <w:noWrap/>
            <w:vAlign w:val="center"/>
            <w:hideMark/>
          </w:tcPr>
          <w:p w14:paraId="6A2ED1CD"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0.05</w:t>
            </w:r>
          </w:p>
        </w:tc>
        <w:tc>
          <w:tcPr>
            <w:tcW w:w="720" w:type="dxa"/>
            <w:shd w:val="clear" w:color="000000" w:fill="F2F2F2"/>
            <w:noWrap/>
            <w:vAlign w:val="center"/>
            <w:hideMark/>
          </w:tcPr>
          <w:p w14:paraId="21338E86"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0.05</w:t>
            </w:r>
          </w:p>
        </w:tc>
      </w:tr>
      <w:tr w:rsidR="00A15C2C" w14:paraId="56CCCF25" w14:textId="77777777" w:rsidTr="00617167">
        <w:trPr>
          <w:trHeight w:val="300"/>
        </w:trPr>
        <w:tc>
          <w:tcPr>
            <w:tcW w:w="700" w:type="dxa"/>
            <w:noWrap/>
            <w:hideMark/>
          </w:tcPr>
          <w:p w14:paraId="6AC78A7D"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2008</w:t>
            </w:r>
          </w:p>
        </w:tc>
        <w:tc>
          <w:tcPr>
            <w:tcW w:w="1191" w:type="dxa"/>
            <w:noWrap/>
            <w:vAlign w:val="center"/>
            <w:hideMark/>
          </w:tcPr>
          <w:p w14:paraId="0418D154"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0.8700</w:t>
            </w:r>
          </w:p>
        </w:tc>
        <w:tc>
          <w:tcPr>
            <w:tcW w:w="1004" w:type="dxa"/>
            <w:noWrap/>
            <w:vAlign w:val="center"/>
            <w:hideMark/>
          </w:tcPr>
          <w:p w14:paraId="472336FE"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11,034</w:t>
            </w:r>
          </w:p>
        </w:tc>
        <w:tc>
          <w:tcPr>
            <w:tcW w:w="1083" w:type="dxa"/>
            <w:noWrap/>
            <w:vAlign w:val="center"/>
            <w:hideMark/>
          </w:tcPr>
          <w:p w14:paraId="2D017FF2"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9,600</w:t>
            </w:r>
          </w:p>
        </w:tc>
        <w:tc>
          <w:tcPr>
            <w:tcW w:w="1164" w:type="dxa"/>
            <w:noWrap/>
            <w:vAlign w:val="center"/>
            <w:hideMark/>
          </w:tcPr>
          <w:p w14:paraId="2D96404E"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0.0615</w:t>
            </w:r>
          </w:p>
        </w:tc>
        <w:tc>
          <w:tcPr>
            <w:tcW w:w="588" w:type="dxa"/>
            <w:shd w:val="clear" w:color="auto" w:fill="A8D08D" w:themeFill="accent6" w:themeFillTint="99"/>
            <w:noWrap/>
            <w:vAlign w:val="center"/>
            <w:hideMark/>
          </w:tcPr>
          <w:p w14:paraId="782DBE8F"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0.36</w:t>
            </w:r>
          </w:p>
        </w:tc>
        <w:tc>
          <w:tcPr>
            <w:tcW w:w="588" w:type="dxa"/>
            <w:noWrap/>
            <w:vAlign w:val="center"/>
            <w:hideMark/>
          </w:tcPr>
          <w:p w14:paraId="0DF46612"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0.64</w:t>
            </w:r>
          </w:p>
        </w:tc>
        <w:tc>
          <w:tcPr>
            <w:tcW w:w="588" w:type="dxa"/>
            <w:shd w:val="clear" w:color="000000" w:fill="CC99FF"/>
            <w:noWrap/>
            <w:vAlign w:val="center"/>
            <w:hideMark/>
          </w:tcPr>
          <w:p w14:paraId="73FC663A"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0.02</w:t>
            </w:r>
          </w:p>
        </w:tc>
        <w:tc>
          <w:tcPr>
            <w:tcW w:w="588" w:type="dxa"/>
            <w:shd w:val="clear" w:color="000000" w:fill="CC99FF"/>
            <w:noWrap/>
            <w:vAlign w:val="center"/>
            <w:hideMark/>
          </w:tcPr>
          <w:p w14:paraId="34EAA6EC"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0.03</w:t>
            </w:r>
          </w:p>
        </w:tc>
        <w:tc>
          <w:tcPr>
            <w:tcW w:w="588" w:type="dxa"/>
            <w:noWrap/>
            <w:vAlign w:val="center"/>
            <w:hideMark/>
          </w:tcPr>
          <w:p w14:paraId="29127C49"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0.03</w:t>
            </w:r>
          </w:p>
        </w:tc>
        <w:tc>
          <w:tcPr>
            <w:tcW w:w="588" w:type="dxa"/>
            <w:noWrap/>
            <w:vAlign w:val="center"/>
            <w:hideMark/>
          </w:tcPr>
          <w:p w14:paraId="4536BA1C"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0.03</w:t>
            </w:r>
          </w:p>
        </w:tc>
        <w:tc>
          <w:tcPr>
            <w:tcW w:w="588" w:type="dxa"/>
            <w:noWrap/>
            <w:vAlign w:val="center"/>
            <w:hideMark/>
          </w:tcPr>
          <w:p w14:paraId="5F8EA9D9"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0.03</w:t>
            </w:r>
          </w:p>
        </w:tc>
        <w:tc>
          <w:tcPr>
            <w:tcW w:w="588" w:type="dxa"/>
            <w:noWrap/>
            <w:vAlign w:val="center"/>
            <w:hideMark/>
          </w:tcPr>
          <w:p w14:paraId="7F16D653"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0.03</w:t>
            </w:r>
          </w:p>
        </w:tc>
        <w:tc>
          <w:tcPr>
            <w:tcW w:w="720" w:type="dxa"/>
            <w:shd w:val="clear" w:color="000000" w:fill="F2F2F2"/>
            <w:noWrap/>
            <w:vAlign w:val="center"/>
            <w:hideMark/>
          </w:tcPr>
          <w:p w14:paraId="2A292EF5"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0.05</w:t>
            </w:r>
          </w:p>
        </w:tc>
        <w:tc>
          <w:tcPr>
            <w:tcW w:w="720" w:type="dxa"/>
            <w:shd w:val="clear" w:color="000000" w:fill="F2F2F2"/>
            <w:noWrap/>
            <w:vAlign w:val="center"/>
            <w:hideMark/>
          </w:tcPr>
          <w:p w14:paraId="08FB29C6"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0.05</w:t>
            </w:r>
          </w:p>
        </w:tc>
        <w:tc>
          <w:tcPr>
            <w:tcW w:w="720" w:type="dxa"/>
            <w:shd w:val="clear" w:color="000000" w:fill="F2F2F2"/>
            <w:noWrap/>
            <w:vAlign w:val="center"/>
            <w:hideMark/>
          </w:tcPr>
          <w:p w14:paraId="267E5052"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0.05</w:t>
            </w:r>
          </w:p>
        </w:tc>
        <w:tc>
          <w:tcPr>
            <w:tcW w:w="720" w:type="dxa"/>
            <w:shd w:val="clear" w:color="000000" w:fill="F2F2F2"/>
            <w:noWrap/>
            <w:vAlign w:val="center"/>
            <w:hideMark/>
          </w:tcPr>
          <w:p w14:paraId="56DC26E4"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0.05</w:t>
            </w:r>
          </w:p>
        </w:tc>
      </w:tr>
      <w:tr w:rsidR="00A15C2C" w14:paraId="1B4C9013" w14:textId="77777777" w:rsidTr="00617167">
        <w:trPr>
          <w:trHeight w:val="300"/>
        </w:trPr>
        <w:tc>
          <w:tcPr>
            <w:tcW w:w="700" w:type="dxa"/>
            <w:shd w:val="clear" w:color="D9E1F2" w:fill="D9E1F2"/>
            <w:noWrap/>
            <w:hideMark/>
          </w:tcPr>
          <w:p w14:paraId="0A33A1E0"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2007</w:t>
            </w:r>
          </w:p>
        </w:tc>
        <w:tc>
          <w:tcPr>
            <w:tcW w:w="1191" w:type="dxa"/>
            <w:shd w:val="clear" w:color="D9E1F2" w:fill="D9E1F2"/>
            <w:noWrap/>
            <w:vAlign w:val="center"/>
            <w:hideMark/>
          </w:tcPr>
          <w:p w14:paraId="79D5C345"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0.8411</w:t>
            </w:r>
          </w:p>
        </w:tc>
        <w:tc>
          <w:tcPr>
            <w:tcW w:w="1004" w:type="dxa"/>
            <w:shd w:val="clear" w:color="D9E1F2" w:fill="D9E1F2"/>
            <w:noWrap/>
            <w:vAlign w:val="center"/>
            <w:hideMark/>
          </w:tcPr>
          <w:p w14:paraId="18B1376A"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9,891</w:t>
            </w:r>
          </w:p>
        </w:tc>
        <w:tc>
          <w:tcPr>
            <w:tcW w:w="1083" w:type="dxa"/>
            <w:shd w:val="clear" w:color="D9E1F2" w:fill="D9E1F2"/>
            <w:noWrap/>
            <w:vAlign w:val="center"/>
            <w:hideMark/>
          </w:tcPr>
          <w:p w14:paraId="61A78F09"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8,319</w:t>
            </w:r>
          </w:p>
        </w:tc>
        <w:tc>
          <w:tcPr>
            <w:tcW w:w="1164" w:type="dxa"/>
            <w:shd w:val="clear" w:color="D9E1F2" w:fill="D9E1F2"/>
            <w:noWrap/>
            <w:vAlign w:val="center"/>
            <w:hideMark/>
          </w:tcPr>
          <w:p w14:paraId="74272894"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0.0533</w:t>
            </w:r>
          </w:p>
        </w:tc>
        <w:tc>
          <w:tcPr>
            <w:tcW w:w="588" w:type="dxa"/>
            <w:shd w:val="clear" w:color="auto" w:fill="A8D08D" w:themeFill="accent6" w:themeFillTint="99"/>
            <w:noWrap/>
            <w:vAlign w:val="center"/>
            <w:hideMark/>
          </w:tcPr>
          <w:p w14:paraId="1D4CAD94"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0.29</w:t>
            </w:r>
          </w:p>
        </w:tc>
        <w:tc>
          <w:tcPr>
            <w:tcW w:w="588" w:type="dxa"/>
            <w:shd w:val="clear" w:color="D9E1F2" w:fill="D9E1F2"/>
            <w:noWrap/>
            <w:vAlign w:val="center"/>
            <w:hideMark/>
          </w:tcPr>
          <w:p w14:paraId="21ABCB54"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0.71</w:t>
            </w:r>
          </w:p>
        </w:tc>
        <w:tc>
          <w:tcPr>
            <w:tcW w:w="588" w:type="dxa"/>
            <w:shd w:val="clear" w:color="000000" w:fill="CC99FF"/>
            <w:noWrap/>
            <w:vAlign w:val="center"/>
            <w:hideMark/>
          </w:tcPr>
          <w:p w14:paraId="56A410B5"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shd w:val="clear" w:color="000000" w:fill="CC99FF"/>
            <w:noWrap/>
            <w:vAlign w:val="center"/>
            <w:hideMark/>
          </w:tcPr>
          <w:p w14:paraId="6F21DC9F"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0.04</w:t>
            </w:r>
          </w:p>
        </w:tc>
        <w:tc>
          <w:tcPr>
            <w:tcW w:w="588" w:type="dxa"/>
            <w:shd w:val="clear" w:color="D9E1F2" w:fill="D9E1F2"/>
            <w:noWrap/>
            <w:vAlign w:val="center"/>
            <w:hideMark/>
          </w:tcPr>
          <w:p w14:paraId="0119BD0C"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0.04</w:t>
            </w:r>
          </w:p>
        </w:tc>
        <w:tc>
          <w:tcPr>
            <w:tcW w:w="588" w:type="dxa"/>
            <w:shd w:val="clear" w:color="D9E1F2" w:fill="D9E1F2"/>
            <w:noWrap/>
            <w:vAlign w:val="center"/>
            <w:hideMark/>
          </w:tcPr>
          <w:p w14:paraId="53761D72"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0.04</w:t>
            </w:r>
          </w:p>
        </w:tc>
        <w:tc>
          <w:tcPr>
            <w:tcW w:w="588" w:type="dxa"/>
            <w:shd w:val="clear" w:color="D9E1F2" w:fill="D9E1F2"/>
            <w:noWrap/>
            <w:vAlign w:val="center"/>
            <w:hideMark/>
          </w:tcPr>
          <w:p w14:paraId="75547F12"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0.04</w:t>
            </w:r>
          </w:p>
        </w:tc>
        <w:tc>
          <w:tcPr>
            <w:tcW w:w="588" w:type="dxa"/>
            <w:shd w:val="clear" w:color="D9E1F2" w:fill="D9E1F2"/>
            <w:noWrap/>
            <w:vAlign w:val="center"/>
            <w:hideMark/>
          </w:tcPr>
          <w:p w14:paraId="459BC6FB"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0.03</w:t>
            </w:r>
          </w:p>
        </w:tc>
        <w:tc>
          <w:tcPr>
            <w:tcW w:w="720" w:type="dxa"/>
            <w:shd w:val="clear" w:color="000000" w:fill="F2F2F2"/>
            <w:noWrap/>
            <w:vAlign w:val="center"/>
            <w:hideMark/>
          </w:tcPr>
          <w:p w14:paraId="042D6554"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0.05</w:t>
            </w:r>
          </w:p>
        </w:tc>
        <w:tc>
          <w:tcPr>
            <w:tcW w:w="720" w:type="dxa"/>
            <w:shd w:val="clear" w:color="000000" w:fill="F2F2F2"/>
            <w:noWrap/>
            <w:vAlign w:val="center"/>
            <w:hideMark/>
          </w:tcPr>
          <w:p w14:paraId="5C94E855"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0.05</w:t>
            </w:r>
          </w:p>
        </w:tc>
        <w:tc>
          <w:tcPr>
            <w:tcW w:w="720" w:type="dxa"/>
            <w:shd w:val="clear" w:color="000000" w:fill="F2F2F2"/>
            <w:noWrap/>
            <w:vAlign w:val="center"/>
            <w:hideMark/>
          </w:tcPr>
          <w:p w14:paraId="57A1F425"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0.05</w:t>
            </w:r>
          </w:p>
        </w:tc>
        <w:tc>
          <w:tcPr>
            <w:tcW w:w="720" w:type="dxa"/>
            <w:shd w:val="clear" w:color="000000" w:fill="F2F2F2"/>
            <w:noWrap/>
            <w:vAlign w:val="center"/>
            <w:hideMark/>
          </w:tcPr>
          <w:p w14:paraId="7B202586"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0.05</w:t>
            </w:r>
          </w:p>
        </w:tc>
      </w:tr>
      <w:tr w:rsidR="00A15C2C" w14:paraId="67F2EE57" w14:textId="77777777" w:rsidTr="00617167">
        <w:trPr>
          <w:trHeight w:val="300"/>
        </w:trPr>
        <w:tc>
          <w:tcPr>
            <w:tcW w:w="700" w:type="dxa"/>
            <w:noWrap/>
            <w:hideMark/>
          </w:tcPr>
          <w:p w14:paraId="633FEF42"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2006</w:t>
            </w:r>
          </w:p>
        </w:tc>
        <w:tc>
          <w:tcPr>
            <w:tcW w:w="1191" w:type="dxa"/>
            <w:noWrap/>
            <w:vAlign w:val="center"/>
            <w:hideMark/>
          </w:tcPr>
          <w:p w14:paraId="26CAA652"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0.7963</w:t>
            </w:r>
          </w:p>
        </w:tc>
        <w:tc>
          <w:tcPr>
            <w:tcW w:w="1004" w:type="dxa"/>
            <w:noWrap/>
            <w:vAlign w:val="center"/>
            <w:hideMark/>
          </w:tcPr>
          <w:p w14:paraId="475B6E7B"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8,730</w:t>
            </w:r>
          </w:p>
        </w:tc>
        <w:tc>
          <w:tcPr>
            <w:tcW w:w="1083" w:type="dxa"/>
            <w:noWrap/>
            <w:vAlign w:val="center"/>
            <w:hideMark/>
          </w:tcPr>
          <w:p w14:paraId="19AA4498"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6,952</w:t>
            </w:r>
          </w:p>
        </w:tc>
        <w:tc>
          <w:tcPr>
            <w:tcW w:w="1164" w:type="dxa"/>
            <w:noWrap/>
            <w:vAlign w:val="center"/>
            <w:hideMark/>
          </w:tcPr>
          <w:p w14:paraId="341641E1"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0.0445</w:t>
            </w:r>
          </w:p>
        </w:tc>
        <w:tc>
          <w:tcPr>
            <w:tcW w:w="588" w:type="dxa"/>
            <w:shd w:val="clear" w:color="auto" w:fill="A8D08D" w:themeFill="accent6" w:themeFillTint="99"/>
            <w:noWrap/>
            <w:vAlign w:val="center"/>
            <w:hideMark/>
          </w:tcPr>
          <w:p w14:paraId="54EA133A"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0.19</w:t>
            </w:r>
          </w:p>
        </w:tc>
        <w:tc>
          <w:tcPr>
            <w:tcW w:w="588" w:type="dxa"/>
            <w:noWrap/>
            <w:vAlign w:val="center"/>
            <w:hideMark/>
          </w:tcPr>
          <w:p w14:paraId="32F084A4"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0.81</w:t>
            </w:r>
          </w:p>
        </w:tc>
        <w:tc>
          <w:tcPr>
            <w:tcW w:w="588" w:type="dxa"/>
            <w:shd w:val="clear" w:color="000000" w:fill="CC99FF"/>
            <w:noWrap/>
            <w:vAlign w:val="center"/>
            <w:hideMark/>
          </w:tcPr>
          <w:p w14:paraId="501D68FC"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shd w:val="clear" w:color="000000" w:fill="CC99FF"/>
            <w:noWrap/>
            <w:vAlign w:val="center"/>
            <w:hideMark/>
          </w:tcPr>
          <w:p w14:paraId="13516A7C"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0.04</w:t>
            </w:r>
          </w:p>
        </w:tc>
        <w:tc>
          <w:tcPr>
            <w:tcW w:w="588" w:type="dxa"/>
            <w:noWrap/>
            <w:vAlign w:val="center"/>
            <w:hideMark/>
          </w:tcPr>
          <w:p w14:paraId="356ECFD8"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0.04</w:t>
            </w:r>
          </w:p>
        </w:tc>
        <w:tc>
          <w:tcPr>
            <w:tcW w:w="588" w:type="dxa"/>
            <w:noWrap/>
            <w:vAlign w:val="center"/>
            <w:hideMark/>
          </w:tcPr>
          <w:p w14:paraId="77285F2B"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0.04</w:t>
            </w:r>
          </w:p>
        </w:tc>
        <w:tc>
          <w:tcPr>
            <w:tcW w:w="588" w:type="dxa"/>
            <w:noWrap/>
            <w:vAlign w:val="center"/>
            <w:hideMark/>
          </w:tcPr>
          <w:p w14:paraId="62D7DC52"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0.04</w:t>
            </w:r>
          </w:p>
        </w:tc>
        <w:tc>
          <w:tcPr>
            <w:tcW w:w="588" w:type="dxa"/>
            <w:noWrap/>
            <w:vAlign w:val="center"/>
            <w:hideMark/>
          </w:tcPr>
          <w:p w14:paraId="0E2C1E9E"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0.04</w:t>
            </w:r>
          </w:p>
        </w:tc>
        <w:tc>
          <w:tcPr>
            <w:tcW w:w="720" w:type="dxa"/>
            <w:shd w:val="clear" w:color="000000" w:fill="F2F2F2"/>
            <w:noWrap/>
            <w:vAlign w:val="center"/>
            <w:hideMark/>
          </w:tcPr>
          <w:p w14:paraId="4D9F4B4B"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0.05</w:t>
            </w:r>
          </w:p>
        </w:tc>
        <w:tc>
          <w:tcPr>
            <w:tcW w:w="720" w:type="dxa"/>
            <w:shd w:val="clear" w:color="000000" w:fill="F2F2F2"/>
            <w:noWrap/>
            <w:vAlign w:val="center"/>
            <w:hideMark/>
          </w:tcPr>
          <w:p w14:paraId="7318696A"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0.05</w:t>
            </w:r>
          </w:p>
        </w:tc>
        <w:tc>
          <w:tcPr>
            <w:tcW w:w="720" w:type="dxa"/>
            <w:shd w:val="clear" w:color="000000" w:fill="F2F2F2"/>
            <w:noWrap/>
            <w:vAlign w:val="center"/>
            <w:hideMark/>
          </w:tcPr>
          <w:p w14:paraId="0A90FA4D"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0.05</w:t>
            </w:r>
          </w:p>
        </w:tc>
        <w:tc>
          <w:tcPr>
            <w:tcW w:w="720" w:type="dxa"/>
            <w:shd w:val="clear" w:color="000000" w:fill="F2F2F2"/>
            <w:noWrap/>
            <w:vAlign w:val="center"/>
            <w:hideMark/>
          </w:tcPr>
          <w:p w14:paraId="76DF19EF"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0.04</w:t>
            </w:r>
          </w:p>
        </w:tc>
      </w:tr>
      <w:tr w:rsidR="00A15C2C" w14:paraId="3F994A17" w14:textId="77777777" w:rsidTr="00617167">
        <w:trPr>
          <w:trHeight w:val="300"/>
        </w:trPr>
        <w:tc>
          <w:tcPr>
            <w:tcW w:w="700" w:type="dxa"/>
            <w:shd w:val="clear" w:color="D9E1F2" w:fill="D9E1F2"/>
            <w:noWrap/>
            <w:hideMark/>
          </w:tcPr>
          <w:p w14:paraId="6DAE7E02"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2005</w:t>
            </w:r>
          </w:p>
        </w:tc>
        <w:tc>
          <w:tcPr>
            <w:tcW w:w="1191" w:type="dxa"/>
            <w:shd w:val="clear" w:color="D9E1F2" w:fill="D9E1F2"/>
            <w:noWrap/>
            <w:vAlign w:val="center"/>
            <w:hideMark/>
          </w:tcPr>
          <w:p w14:paraId="5A24FCF9"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0.7423</w:t>
            </w:r>
          </w:p>
        </w:tc>
        <w:tc>
          <w:tcPr>
            <w:tcW w:w="1004" w:type="dxa"/>
            <w:shd w:val="clear" w:color="D9E1F2" w:fill="D9E1F2"/>
            <w:noWrap/>
            <w:vAlign w:val="center"/>
            <w:hideMark/>
          </w:tcPr>
          <w:p w14:paraId="5809CC2D"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7,612</w:t>
            </w:r>
          </w:p>
        </w:tc>
        <w:tc>
          <w:tcPr>
            <w:tcW w:w="1083" w:type="dxa"/>
            <w:shd w:val="clear" w:color="D9E1F2" w:fill="D9E1F2"/>
            <w:noWrap/>
            <w:vAlign w:val="center"/>
            <w:hideMark/>
          </w:tcPr>
          <w:p w14:paraId="0AEAAD86"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5,650</w:t>
            </w:r>
          </w:p>
        </w:tc>
        <w:tc>
          <w:tcPr>
            <w:tcW w:w="1164" w:type="dxa"/>
            <w:shd w:val="clear" w:color="D9E1F2" w:fill="D9E1F2"/>
            <w:noWrap/>
            <w:vAlign w:val="center"/>
            <w:hideMark/>
          </w:tcPr>
          <w:p w14:paraId="680F929E"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0.0362</w:t>
            </w:r>
          </w:p>
        </w:tc>
        <w:tc>
          <w:tcPr>
            <w:tcW w:w="588" w:type="dxa"/>
            <w:shd w:val="clear" w:color="auto" w:fill="A8D08D" w:themeFill="accent6" w:themeFillTint="99"/>
            <w:noWrap/>
            <w:vAlign w:val="center"/>
            <w:hideMark/>
          </w:tcPr>
          <w:p w14:paraId="3878A64B"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0.10</w:t>
            </w:r>
          </w:p>
        </w:tc>
        <w:tc>
          <w:tcPr>
            <w:tcW w:w="588" w:type="dxa"/>
            <w:shd w:val="clear" w:color="D9E1F2" w:fill="D9E1F2"/>
            <w:noWrap/>
            <w:vAlign w:val="center"/>
            <w:hideMark/>
          </w:tcPr>
          <w:p w14:paraId="07905E7F"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0.90</w:t>
            </w:r>
          </w:p>
        </w:tc>
        <w:tc>
          <w:tcPr>
            <w:tcW w:w="588" w:type="dxa"/>
            <w:shd w:val="clear" w:color="000000" w:fill="CC99FF"/>
            <w:noWrap/>
            <w:vAlign w:val="center"/>
            <w:hideMark/>
          </w:tcPr>
          <w:p w14:paraId="4885DA0B"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000000" w:fill="CC99FF"/>
            <w:noWrap/>
            <w:vAlign w:val="center"/>
            <w:hideMark/>
          </w:tcPr>
          <w:p w14:paraId="520AC2C5"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0.04</w:t>
            </w:r>
          </w:p>
        </w:tc>
        <w:tc>
          <w:tcPr>
            <w:tcW w:w="588" w:type="dxa"/>
            <w:shd w:val="clear" w:color="D9E1F2" w:fill="D9E1F2"/>
            <w:noWrap/>
            <w:vAlign w:val="center"/>
            <w:hideMark/>
          </w:tcPr>
          <w:p w14:paraId="01DED331"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0.04</w:t>
            </w:r>
          </w:p>
        </w:tc>
        <w:tc>
          <w:tcPr>
            <w:tcW w:w="588" w:type="dxa"/>
            <w:shd w:val="clear" w:color="D9E1F2" w:fill="D9E1F2"/>
            <w:noWrap/>
            <w:vAlign w:val="center"/>
            <w:hideMark/>
          </w:tcPr>
          <w:p w14:paraId="5C58A730"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0.04</w:t>
            </w:r>
          </w:p>
        </w:tc>
        <w:tc>
          <w:tcPr>
            <w:tcW w:w="588" w:type="dxa"/>
            <w:shd w:val="clear" w:color="D9E1F2" w:fill="D9E1F2"/>
            <w:noWrap/>
            <w:vAlign w:val="center"/>
            <w:hideMark/>
          </w:tcPr>
          <w:p w14:paraId="5012B29B"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0.04</w:t>
            </w:r>
          </w:p>
        </w:tc>
        <w:tc>
          <w:tcPr>
            <w:tcW w:w="588" w:type="dxa"/>
            <w:shd w:val="clear" w:color="D9E1F2" w:fill="D9E1F2"/>
            <w:noWrap/>
            <w:vAlign w:val="center"/>
            <w:hideMark/>
          </w:tcPr>
          <w:p w14:paraId="785AD0CD"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0.04</w:t>
            </w:r>
          </w:p>
        </w:tc>
        <w:tc>
          <w:tcPr>
            <w:tcW w:w="720" w:type="dxa"/>
            <w:shd w:val="clear" w:color="000000" w:fill="F2F2F2"/>
            <w:noWrap/>
            <w:vAlign w:val="center"/>
            <w:hideMark/>
          </w:tcPr>
          <w:p w14:paraId="4F094946"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0.05</w:t>
            </w:r>
          </w:p>
        </w:tc>
        <w:tc>
          <w:tcPr>
            <w:tcW w:w="720" w:type="dxa"/>
            <w:shd w:val="clear" w:color="000000" w:fill="F2F2F2"/>
            <w:noWrap/>
            <w:vAlign w:val="center"/>
            <w:hideMark/>
          </w:tcPr>
          <w:p w14:paraId="324CE590"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0.05</w:t>
            </w:r>
          </w:p>
        </w:tc>
        <w:tc>
          <w:tcPr>
            <w:tcW w:w="720" w:type="dxa"/>
            <w:shd w:val="clear" w:color="000000" w:fill="F2F2F2"/>
            <w:noWrap/>
            <w:vAlign w:val="center"/>
            <w:hideMark/>
          </w:tcPr>
          <w:p w14:paraId="4B0F84B4"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0.05</w:t>
            </w:r>
          </w:p>
        </w:tc>
        <w:tc>
          <w:tcPr>
            <w:tcW w:w="720" w:type="dxa"/>
            <w:shd w:val="clear" w:color="000000" w:fill="F2F2F2"/>
            <w:noWrap/>
            <w:vAlign w:val="center"/>
            <w:hideMark/>
          </w:tcPr>
          <w:p w14:paraId="2D62BA7E"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0.04</w:t>
            </w:r>
          </w:p>
        </w:tc>
      </w:tr>
      <w:tr w:rsidR="00A15C2C" w14:paraId="7DE16286" w14:textId="77777777" w:rsidTr="00617167">
        <w:trPr>
          <w:trHeight w:val="300"/>
        </w:trPr>
        <w:tc>
          <w:tcPr>
            <w:tcW w:w="700" w:type="dxa"/>
            <w:noWrap/>
            <w:hideMark/>
          </w:tcPr>
          <w:p w14:paraId="76BC37C8"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2004</w:t>
            </w:r>
          </w:p>
        </w:tc>
        <w:tc>
          <w:tcPr>
            <w:tcW w:w="1191" w:type="dxa"/>
            <w:noWrap/>
            <w:vAlign w:val="center"/>
            <w:hideMark/>
          </w:tcPr>
          <w:p w14:paraId="2DB4F549"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0.6916</w:t>
            </w:r>
          </w:p>
        </w:tc>
        <w:tc>
          <w:tcPr>
            <w:tcW w:w="1004" w:type="dxa"/>
            <w:noWrap/>
            <w:vAlign w:val="center"/>
            <w:hideMark/>
          </w:tcPr>
          <w:p w14:paraId="1232AE4A"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6,804</w:t>
            </w:r>
          </w:p>
        </w:tc>
        <w:tc>
          <w:tcPr>
            <w:tcW w:w="1083" w:type="dxa"/>
            <w:noWrap/>
            <w:vAlign w:val="center"/>
            <w:hideMark/>
          </w:tcPr>
          <w:p w14:paraId="3D550C46"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4,706</w:t>
            </w:r>
          </w:p>
        </w:tc>
        <w:tc>
          <w:tcPr>
            <w:tcW w:w="1164" w:type="dxa"/>
            <w:noWrap/>
            <w:vAlign w:val="center"/>
            <w:hideMark/>
          </w:tcPr>
          <w:p w14:paraId="02C4A689"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0.0301</w:t>
            </w:r>
          </w:p>
        </w:tc>
        <w:tc>
          <w:tcPr>
            <w:tcW w:w="588" w:type="dxa"/>
            <w:shd w:val="clear" w:color="auto" w:fill="A8D08D" w:themeFill="accent6" w:themeFillTint="99"/>
            <w:noWrap/>
            <w:vAlign w:val="center"/>
            <w:hideMark/>
          </w:tcPr>
          <w:p w14:paraId="4D3585B9"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0.01</w:t>
            </w:r>
          </w:p>
        </w:tc>
        <w:tc>
          <w:tcPr>
            <w:tcW w:w="588" w:type="dxa"/>
            <w:noWrap/>
            <w:vAlign w:val="center"/>
            <w:hideMark/>
          </w:tcPr>
          <w:p w14:paraId="1957EDA4"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0.99</w:t>
            </w:r>
          </w:p>
        </w:tc>
        <w:tc>
          <w:tcPr>
            <w:tcW w:w="588" w:type="dxa"/>
            <w:shd w:val="clear" w:color="000000" w:fill="CC99FF"/>
            <w:noWrap/>
            <w:vAlign w:val="center"/>
            <w:hideMark/>
          </w:tcPr>
          <w:p w14:paraId="5D44787B"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000000" w:fill="CC99FF"/>
            <w:noWrap/>
            <w:vAlign w:val="center"/>
            <w:hideMark/>
          </w:tcPr>
          <w:p w14:paraId="26CEE099"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0.04</w:t>
            </w:r>
          </w:p>
        </w:tc>
        <w:tc>
          <w:tcPr>
            <w:tcW w:w="588" w:type="dxa"/>
            <w:noWrap/>
            <w:vAlign w:val="center"/>
            <w:hideMark/>
          </w:tcPr>
          <w:p w14:paraId="698B2638"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0.04</w:t>
            </w:r>
          </w:p>
        </w:tc>
        <w:tc>
          <w:tcPr>
            <w:tcW w:w="588" w:type="dxa"/>
            <w:noWrap/>
            <w:vAlign w:val="center"/>
            <w:hideMark/>
          </w:tcPr>
          <w:p w14:paraId="1A462DFA"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0.04</w:t>
            </w:r>
          </w:p>
        </w:tc>
        <w:tc>
          <w:tcPr>
            <w:tcW w:w="588" w:type="dxa"/>
            <w:noWrap/>
            <w:vAlign w:val="center"/>
            <w:hideMark/>
          </w:tcPr>
          <w:p w14:paraId="115E9E6C"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0.04</w:t>
            </w:r>
          </w:p>
        </w:tc>
        <w:tc>
          <w:tcPr>
            <w:tcW w:w="588" w:type="dxa"/>
            <w:noWrap/>
            <w:vAlign w:val="center"/>
            <w:hideMark/>
          </w:tcPr>
          <w:p w14:paraId="75F05D76"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0.04</w:t>
            </w:r>
          </w:p>
        </w:tc>
        <w:tc>
          <w:tcPr>
            <w:tcW w:w="720" w:type="dxa"/>
            <w:shd w:val="clear" w:color="000000" w:fill="F2F2F2"/>
            <w:noWrap/>
            <w:vAlign w:val="center"/>
            <w:hideMark/>
          </w:tcPr>
          <w:p w14:paraId="213E7BF8"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0.04</w:t>
            </w:r>
          </w:p>
        </w:tc>
        <w:tc>
          <w:tcPr>
            <w:tcW w:w="720" w:type="dxa"/>
            <w:shd w:val="clear" w:color="000000" w:fill="F2F2F2"/>
            <w:noWrap/>
            <w:vAlign w:val="center"/>
            <w:hideMark/>
          </w:tcPr>
          <w:p w14:paraId="7526958F"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0.04</w:t>
            </w:r>
          </w:p>
        </w:tc>
        <w:tc>
          <w:tcPr>
            <w:tcW w:w="720" w:type="dxa"/>
            <w:shd w:val="clear" w:color="000000" w:fill="F2F2F2"/>
            <w:noWrap/>
            <w:vAlign w:val="center"/>
            <w:hideMark/>
          </w:tcPr>
          <w:p w14:paraId="64447F31"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0.04</w:t>
            </w:r>
          </w:p>
        </w:tc>
        <w:tc>
          <w:tcPr>
            <w:tcW w:w="720" w:type="dxa"/>
            <w:shd w:val="clear" w:color="000000" w:fill="F2F2F2"/>
            <w:noWrap/>
            <w:vAlign w:val="center"/>
            <w:hideMark/>
          </w:tcPr>
          <w:p w14:paraId="32D0588A"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0.04</w:t>
            </w:r>
          </w:p>
        </w:tc>
      </w:tr>
      <w:tr w:rsidR="00A15C2C" w14:paraId="1FC43691" w14:textId="77777777" w:rsidTr="00617167">
        <w:trPr>
          <w:trHeight w:val="300"/>
        </w:trPr>
        <w:tc>
          <w:tcPr>
            <w:tcW w:w="700" w:type="dxa"/>
            <w:shd w:val="clear" w:color="D9E1F2" w:fill="D9E1F2"/>
            <w:noWrap/>
            <w:hideMark/>
          </w:tcPr>
          <w:p w14:paraId="4A8D97F4"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2003</w:t>
            </w:r>
          </w:p>
        </w:tc>
        <w:tc>
          <w:tcPr>
            <w:tcW w:w="1191" w:type="dxa"/>
            <w:shd w:val="clear" w:color="D9E1F2" w:fill="D9E1F2"/>
            <w:noWrap/>
            <w:vAlign w:val="center"/>
            <w:hideMark/>
          </w:tcPr>
          <w:p w14:paraId="350B4D6C"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0.6410</w:t>
            </w:r>
          </w:p>
        </w:tc>
        <w:tc>
          <w:tcPr>
            <w:tcW w:w="1004" w:type="dxa"/>
            <w:shd w:val="clear" w:color="D9E1F2" w:fill="D9E1F2"/>
            <w:noWrap/>
            <w:vAlign w:val="center"/>
            <w:hideMark/>
          </w:tcPr>
          <w:p w14:paraId="0DA603A6"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5,931</w:t>
            </w:r>
          </w:p>
        </w:tc>
        <w:tc>
          <w:tcPr>
            <w:tcW w:w="1083" w:type="dxa"/>
            <w:shd w:val="clear" w:color="D9E1F2" w:fill="D9E1F2"/>
            <w:noWrap/>
            <w:vAlign w:val="center"/>
            <w:hideMark/>
          </w:tcPr>
          <w:p w14:paraId="34E6C1DC"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3,802</w:t>
            </w:r>
          </w:p>
        </w:tc>
        <w:tc>
          <w:tcPr>
            <w:tcW w:w="1164" w:type="dxa"/>
            <w:shd w:val="clear" w:color="D9E1F2" w:fill="D9E1F2"/>
            <w:noWrap/>
            <w:vAlign w:val="center"/>
            <w:hideMark/>
          </w:tcPr>
          <w:p w14:paraId="13A7E480"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0.0244</w:t>
            </w:r>
          </w:p>
        </w:tc>
        <w:tc>
          <w:tcPr>
            <w:tcW w:w="588" w:type="dxa"/>
            <w:shd w:val="clear" w:color="auto" w:fill="C9C9C9" w:themeFill="accent3" w:themeFillTint="99"/>
            <w:noWrap/>
            <w:vAlign w:val="center"/>
            <w:hideMark/>
          </w:tcPr>
          <w:p w14:paraId="2AF5B23B"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w:t>
            </w:r>
          </w:p>
        </w:tc>
        <w:tc>
          <w:tcPr>
            <w:tcW w:w="588" w:type="dxa"/>
            <w:shd w:val="clear" w:color="D9E1F2" w:fill="D9E1F2"/>
            <w:noWrap/>
            <w:vAlign w:val="center"/>
            <w:hideMark/>
          </w:tcPr>
          <w:p w14:paraId="2EC34FF6"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15DF51A2"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000000" w:fill="CC99FF"/>
            <w:noWrap/>
            <w:vAlign w:val="center"/>
            <w:hideMark/>
          </w:tcPr>
          <w:p w14:paraId="334B6F59"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0.04</w:t>
            </w:r>
          </w:p>
        </w:tc>
        <w:tc>
          <w:tcPr>
            <w:tcW w:w="588" w:type="dxa"/>
            <w:shd w:val="clear" w:color="D9E1F2" w:fill="D9E1F2"/>
            <w:noWrap/>
            <w:vAlign w:val="center"/>
            <w:hideMark/>
          </w:tcPr>
          <w:p w14:paraId="6FFB6559"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0.04</w:t>
            </w:r>
          </w:p>
        </w:tc>
        <w:tc>
          <w:tcPr>
            <w:tcW w:w="588" w:type="dxa"/>
            <w:shd w:val="clear" w:color="D9E1F2" w:fill="D9E1F2"/>
            <w:noWrap/>
            <w:vAlign w:val="center"/>
            <w:hideMark/>
          </w:tcPr>
          <w:p w14:paraId="1A6BF421"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0.04</w:t>
            </w:r>
          </w:p>
        </w:tc>
        <w:tc>
          <w:tcPr>
            <w:tcW w:w="588" w:type="dxa"/>
            <w:shd w:val="clear" w:color="D9E1F2" w:fill="D9E1F2"/>
            <w:noWrap/>
            <w:vAlign w:val="center"/>
            <w:hideMark/>
          </w:tcPr>
          <w:p w14:paraId="3A8165F0"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0.04</w:t>
            </w:r>
          </w:p>
        </w:tc>
        <w:tc>
          <w:tcPr>
            <w:tcW w:w="588" w:type="dxa"/>
            <w:shd w:val="clear" w:color="D9E1F2" w:fill="D9E1F2"/>
            <w:noWrap/>
            <w:vAlign w:val="center"/>
            <w:hideMark/>
          </w:tcPr>
          <w:p w14:paraId="11307AC3"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0.04</w:t>
            </w:r>
          </w:p>
        </w:tc>
        <w:tc>
          <w:tcPr>
            <w:tcW w:w="720" w:type="dxa"/>
            <w:shd w:val="clear" w:color="000000" w:fill="F2F2F2"/>
            <w:noWrap/>
            <w:vAlign w:val="center"/>
            <w:hideMark/>
          </w:tcPr>
          <w:p w14:paraId="0BE244C3"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0.04</w:t>
            </w:r>
          </w:p>
        </w:tc>
        <w:tc>
          <w:tcPr>
            <w:tcW w:w="720" w:type="dxa"/>
            <w:shd w:val="clear" w:color="000000" w:fill="F2F2F2"/>
            <w:noWrap/>
            <w:vAlign w:val="center"/>
            <w:hideMark/>
          </w:tcPr>
          <w:p w14:paraId="0274AFFB"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0.04</w:t>
            </w:r>
          </w:p>
        </w:tc>
        <w:tc>
          <w:tcPr>
            <w:tcW w:w="720" w:type="dxa"/>
            <w:shd w:val="clear" w:color="000000" w:fill="F2F2F2"/>
            <w:noWrap/>
            <w:vAlign w:val="center"/>
            <w:hideMark/>
          </w:tcPr>
          <w:p w14:paraId="518FDA11"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0.04</w:t>
            </w:r>
          </w:p>
        </w:tc>
        <w:tc>
          <w:tcPr>
            <w:tcW w:w="720" w:type="dxa"/>
            <w:shd w:val="clear" w:color="000000" w:fill="F2F2F2"/>
            <w:noWrap/>
            <w:vAlign w:val="center"/>
            <w:hideMark/>
          </w:tcPr>
          <w:p w14:paraId="16ADACA0"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0.04</w:t>
            </w:r>
          </w:p>
        </w:tc>
      </w:tr>
      <w:tr w:rsidR="00A15C2C" w14:paraId="5C4DAE54" w14:textId="77777777" w:rsidTr="00617167">
        <w:trPr>
          <w:trHeight w:val="300"/>
        </w:trPr>
        <w:tc>
          <w:tcPr>
            <w:tcW w:w="700" w:type="dxa"/>
            <w:noWrap/>
            <w:hideMark/>
          </w:tcPr>
          <w:p w14:paraId="456E143E"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2002</w:t>
            </w:r>
          </w:p>
        </w:tc>
        <w:tc>
          <w:tcPr>
            <w:tcW w:w="1191" w:type="dxa"/>
            <w:noWrap/>
            <w:vAlign w:val="center"/>
            <w:hideMark/>
          </w:tcPr>
          <w:p w14:paraId="2B0B77E0"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0.5833</w:t>
            </w:r>
          </w:p>
        </w:tc>
        <w:tc>
          <w:tcPr>
            <w:tcW w:w="1004" w:type="dxa"/>
            <w:noWrap/>
            <w:vAlign w:val="center"/>
            <w:hideMark/>
          </w:tcPr>
          <w:p w14:paraId="72028EAF"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5,180</w:t>
            </w:r>
          </w:p>
        </w:tc>
        <w:tc>
          <w:tcPr>
            <w:tcW w:w="1083" w:type="dxa"/>
            <w:noWrap/>
            <w:vAlign w:val="center"/>
            <w:hideMark/>
          </w:tcPr>
          <w:p w14:paraId="6728C642"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3,022</w:t>
            </w:r>
          </w:p>
        </w:tc>
        <w:tc>
          <w:tcPr>
            <w:tcW w:w="1164" w:type="dxa"/>
            <w:noWrap/>
            <w:vAlign w:val="center"/>
            <w:hideMark/>
          </w:tcPr>
          <w:p w14:paraId="224AC764"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0.0194</w:t>
            </w:r>
          </w:p>
        </w:tc>
        <w:tc>
          <w:tcPr>
            <w:tcW w:w="588" w:type="dxa"/>
            <w:shd w:val="clear" w:color="auto" w:fill="FFFFFF" w:themeFill="background1"/>
            <w:noWrap/>
            <w:vAlign w:val="center"/>
            <w:hideMark/>
          </w:tcPr>
          <w:p w14:paraId="29D01302"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w:t>
            </w:r>
          </w:p>
        </w:tc>
        <w:tc>
          <w:tcPr>
            <w:tcW w:w="588" w:type="dxa"/>
            <w:noWrap/>
            <w:vAlign w:val="center"/>
            <w:hideMark/>
          </w:tcPr>
          <w:p w14:paraId="2E75F8BD"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7ED4294C"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000000" w:fill="CC99FF"/>
            <w:noWrap/>
            <w:vAlign w:val="center"/>
            <w:hideMark/>
          </w:tcPr>
          <w:p w14:paraId="2C41431E"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0.04</w:t>
            </w:r>
          </w:p>
        </w:tc>
        <w:tc>
          <w:tcPr>
            <w:tcW w:w="588" w:type="dxa"/>
            <w:noWrap/>
            <w:vAlign w:val="center"/>
            <w:hideMark/>
          </w:tcPr>
          <w:p w14:paraId="5EB8AF23"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0.04</w:t>
            </w:r>
          </w:p>
        </w:tc>
        <w:tc>
          <w:tcPr>
            <w:tcW w:w="588" w:type="dxa"/>
            <w:noWrap/>
            <w:vAlign w:val="center"/>
            <w:hideMark/>
          </w:tcPr>
          <w:p w14:paraId="6E23B85D"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0.04</w:t>
            </w:r>
          </w:p>
        </w:tc>
        <w:tc>
          <w:tcPr>
            <w:tcW w:w="588" w:type="dxa"/>
            <w:noWrap/>
            <w:vAlign w:val="center"/>
            <w:hideMark/>
          </w:tcPr>
          <w:p w14:paraId="6B64C224"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0.04</w:t>
            </w:r>
          </w:p>
        </w:tc>
        <w:tc>
          <w:tcPr>
            <w:tcW w:w="588" w:type="dxa"/>
            <w:noWrap/>
            <w:vAlign w:val="center"/>
            <w:hideMark/>
          </w:tcPr>
          <w:p w14:paraId="1378D0BF"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0.03</w:t>
            </w:r>
          </w:p>
        </w:tc>
        <w:tc>
          <w:tcPr>
            <w:tcW w:w="720" w:type="dxa"/>
            <w:shd w:val="clear" w:color="000000" w:fill="F2F2F2"/>
            <w:noWrap/>
            <w:vAlign w:val="center"/>
            <w:hideMark/>
          </w:tcPr>
          <w:p w14:paraId="1CECF7FF"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0.04</w:t>
            </w:r>
          </w:p>
        </w:tc>
        <w:tc>
          <w:tcPr>
            <w:tcW w:w="720" w:type="dxa"/>
            <w:shd w:val="clear" w:color="000000" w:fill="F2F2F2"/>
            <w:noWrap/>
            <w:vAlign w:val="center"/>
            <w:hideMark/>
          </w:tcPr>
          <w:p w14:paraId="49F2A57D"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0.04</w:t>
            </w:r>
          </w:p>
        </w:tc>
        <w:tc>
          <w:tcPr>
            <w:tcW w:w="720" w:type="dxa"/>
            <w:shd w:val="clear" w:color="000000" w:fill="F2F2F2"/>
            <w:noWrap/>
            <w:vAlign w:val="center"/>
            <w:hideMark/>
          </w:tcPr>
          <w:p w14:paraId="7CC37A8F"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0.04</w:t>
            </w:r>
          </w:p>
        </w:tc>
        <w:tc>
          <w:tcPr>
            <w:tcW w:w="720" w:type="dxa"/>
            <w:shd w:val="clear" w:color="000000" w:fill="F2F2F2"/>
            <w:noWrap/>
            <w:vAlign w:val="center"/>
            <w:hideMark/>
          </w:tcPr>
          <w:p w14:paraId="7241AB18"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0.03</w:t>
            </w:r>
          </w:p>
        </w:tc>
      </w:tr>
      <w:tr w:rsidR="00A15C2C" w14:paraId="588C92ED" w14:textId="77777777" w:rsidTr="00617167">
        <w:trPr>
          <w:trHeight w:val="300"/>
        </w:trPr>
        <w:tc>
          <w:tcPr>
            <w:tcW w:w="700" w:type="dxa"/>
            <w:shd w:val="clear" w:color="D9E1F2" w:fill="D9E1F2"/>
            <w:noWrap/>
            <w:hideMark/>
          </w:tcPr>
          <w:p w14:paraId="2B25BB09"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2001</w:t>
            </w:r>
          </w:p>
        </w:tc>
        <w:tc>
          <w:tcPr>
            <w:tcW w:w="1191" w:type="dxa"/>
            <w:shd w:val="clear" w:color="D9E1F2" w:fill="D9E1F2"/>
            <w:noWrap/>
            <w:vAlign w:val="center"/>
            <w:hideMark/>
          </w:tcPr>
          <w:p w14:paraId="61851F09"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0.5350</w:t>
            </w:r>
          </w:p>
        </w:tc>
        <w:tc>
          <w:tcPr>
            <w:tcW w:w="1004" w:type="dxa"/>
            <w:shd w:val="clear" w:color="D9E1F2" w:fill="D9E1F2"/>
            <w:noWrap/>
            <w:vAlign w:val="center"/>
            <w:hideMark/>
          </w:tcPr>
          <w:p w14:paraId="4B048325"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4,979</w:t>
            </w:r>
          </w:p>
        </w:tc>
        <w:tc>
          <w:tcPr>
            <w:tcW w:w="1083" w:type="dxa"/>
            <w:shd w:val="clear" w:color="D9E1F2" w:fill="D9E1F2"/>
            <w:noWrap/>
            <w:vAlign w:val="center"/>
            <w:hideMark/>
          </w:tcPr>
          <w:p w14:paraId="07280B58"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2,664</w:t>
            </w:r>
          </w:p>
        </w:tc>
        <w:tc>
          <w:tcPr>
            <w:tcW w:w="1164" w:type="dxa"/>
            <w:shd w:val="clear" w:color="D9E1F2" w:fill="D9E1F2"/>
            <w:noWrap/>
            <w:vAlign w:val="center"/>
            <w:hideMark/>
          </w:tcPr>
          <w:p w14:paraId="2647EDD6"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0.0171</w:t>
            </w:r>
          </w:p>
        </w:tc>
        <w:tc>
          <w:tcPr>
            <w:tcW w:w="588" w:type="dxa"/>
            <w:shd w:val="clear" w:color="D9E1F2" w:fill="D9E1F2"/>
            <w:noWrap/>
            <w:vAlign w:val="center"/>
            <w:hideMark/>
          </w:tcPr>
          <w:p w14:paraId="307BED6E"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w:t>
            </w:r>
          </w:p>
        </w:tc>
        <w:tc>
          <w:tcPr>
            <w:tcW w:w="588" w:type="dxa"/>
            <w:shd w:val="clear" w:color="D9E1F2" w:fill="D9E1F2"/>
            <w:noWrap/>
            <w:vAlign w:val="center"/>
            <w:hideMark/>
          </w:tcPr>
          <w:p w14:paraId="1D5061C4"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2FC356A6"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000000" w:fill="CC99FF"/>
            <w:noWrap/>
            <w:vAlign w:val="center"/>
            <w:hideMark/>
          </w:tcPr>
          <w:p w14:paraId="73DFEBDA"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0.03</w:t>
            </w:r>
          </w:p>
        </w:tc>
        <w:tc>
          <w:tcPr>
            <w:tcW w:w="588" w:type="dxa"/>
            <w:shd w:val="clear" w:color="D9E1F2" w:fill="D9E1F2"/>
            <w:noWrap/>
            <w:vAlign w:val="center"/>
            <w:hideMark/>
          </w:tcPr>
          <w:p w14:paraId="70680A52"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0.03</w:t>
            </w:r>
          </w:p>
        </w:tc>
        <w:tc>
          <w:tcPr>
            <w:tcW w:w="588" w:type="dxa"/>
            <w:shd w:val="clear" w:color="D9E1F2" w:fill="D9E1F2"/>
            <w:noWrap/>
            <w:vAlign w:val="center"/>
            <w:hideMark/>
          </w:tcPr>
          <w:p w14:paraId="6260DD01"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0.03</w:t>
            </w:r>
          </w:p>
        </w:tc>
        <w:tc>
          <w:tcPr>
            <w:tcW w:w="588" w:type="dxa"/>
            <w:shd w:val="clear" w:color="D9E1F2" w:fill="D9E1F2"/>
            <w:noWrap/>
            <w:vAlign w:val="center"/>
            <w:hideMark/>
          </w:tcPr>
          <w:p w14:paraId="390B5AE3"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0.03</w:t>
            </w:r>
          </w:p>
        </w:tc>
        <w:tc>
          <w:tcPr>
            <w:tcW w:w="588" w:type="dxa"/>
            <w:shd w:val="clear" w:color="D9E1F2" w:fill="D9E1F2"/>
            <w:noWrap/>
            <w:vAlign w:val="center"/>
            <w:hideMark/>
          </w:tcPr>
          <w:p w14:paraId="03AA830C"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0.03</w:t>
            </w:r>
          </w:p>
        </w:tc>
        <w:tc>
          <w:tcPr>
            <w:tcW w:w="720" w:type="dxa"/>
            <w:shd w:val="clear" w:color="000000" w:fill="F2F2F2"/>
            <w:noWrap/>
            <w:vAlign w:val="center"/>
            <w:hideMark/>
          </w:tcPr>
          <w:p w14:paraId="3F7208E6"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0.03</w:t>
            </w:r>
          </w:p>
        </w:tc>
        <w:tc>
          <w:tcPr>
            <w:tcW w:w="720" w:type="dxa"/>
            <w:shd w:val="clear" w:color="000000" w:fill="F2F2F2"/>
            <w:noWrap/>
            <w:vAlign w:val="center"/>
            <w:hideMark/>
          </w:tcPr>
          <w:p w14:paraId="14CC3979"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0.03</w:t>
            </w:r>
          </w:p>
        </w:tc>
        <w:tc>
          <w:tcPr>
            <w:tcW w:w="720" w:type="dxa"/>
            <w:shd w:val="clear" w:color="000000" w:fill="F2F2F2"/>
            <w:noWrap/>
            <w:vAlign w:val="center"/>
            <w:hideMark/>
          </w:tcPr>
          <w:p w14:paraId="79C5893B"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0.03</w:t>
            </w:r>
          </w:p>
        </w:tc>
        <w:tc>
          <w:tcPr>
            <w:tcW w:w="720" w:type="dxa"/>
            <w:shd w:val="clear" w:color="000000" w:fill="F2F2F2"/>
            <w:noWrap/>
            <w:vAlign w:val="center"/>
            <w:hideMark/>
          </w:tcPr>
          <w:p w14:paraId="2A2E9811"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0.03</w:t>
            </w:r>
          </w:p>
        </w:tc>
      </w:tr>
      <w:tr w:rsidR="00A15C2C" w14:paraId="36450375" w14:textId="77777777" w:rsidTr="00617167">
        <w:trPr>
          <w:trHeight w:val="300"/>
        </w:trPr>
        <w:tc>
          <w:tcPr>
            <w:tcW w:w="700" w:type="dxa"/>
            <w:noWrap/>
            <w:hideMark/>
          </w:tcPr>
          <w:p w14:paraId="23ED6444"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2000</w:t>
            </w:r>
          </w:p>
        </w:tc>
        <w:tc>
          <w:tcPr>
            <w:tcW w:w="1191" w:type="dxa"/>
            <w:noWrap/>
            <w:vAlign w:val="center"/>
            <w:hideMark/>
          </w:tcPr>
          <w:p w14:paraId="652C5A32"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0.4861</w:t>
            </w:r>
          </w:p>
        </w:tc>
        <w:tc>
          <w:tcPr>
            <w:tcW w:w="1004" w:type="dxa"/>
            <w:noWrap/>
            <w:vAlign w:val="center"/>
            <w:hideMark/>
          </w:tcPr>
          <w:p w14:paraId="718D13AB"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4,839</w:t>
            </w:r>
          </w:p>
        </w:tc>
        <w:tc>
          <w:tcPr>
            <w:tcW w:w="1083" w:type="dxa"/>
            <w:noWrap/>
            <w:vAlign w:val="center"/>
            <w:hideMark/>
          </w:tcPr>
          <w:p w14:paraId="4C38695A"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2,352</w:t>
            </w:r>
          </w:p>
        </w:tc>
        <w:tc>
          <w:tcPr>
            <w:tcW w:w="1164" w:type="dxa"/>
            <w:noWrap/>
            <w:vAlign w:val="center"/>
            <w:hideMark/>
          </w:tcPr>
          <w:p w14:paraId="2B2E80A2"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0.0151</w:t>
            </w:r>
          </w:p>
        </w:tc>
        <w:tc>
          <w:tcPr>
            <w:tcW w:w="588" w:type="dxa"/>
            <w:noWrap/>
            <w:vAlign w:val="center"/>
            <w:hideMark/>
          </w:tcPr>
          <w:p w14:paraId="32097FA6"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w:t>
            </w:r>
          </w:p>
        </w:tc>
        <w:tc>
          <w:tcPr>
            <w:tcW w:w="588" w:type="dxa"/>
            <w:noWrap/>
            <w:vAlign w:val="center"/>
            <w:hideMark/>
          </w:tcPr>
          <w:p w14:paraId="3172D102"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1CC8FB11"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000000" w:fill="CC99FF"/>
            <w:noWrap/>
            <w:vAlign w:val="center"/>
            <w:hideMark/>
          </w:tcPr>
          <w:p w14:paraId="65547DA3"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0.03</w:t>
            </w:r>
          </w:p>
        </w:tc>
        <w:tc>
          <w:tcPr>
            <w:tcW w:w="588" w:type="dxa"/>
            <w:noWrap/>
            <w:vAlign w:val="center"/>
            <w:hideMark/>
          </w:tcPr>
          <w:p w14:paraId="7564B479"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0.03</w:t>
            </w:r>
          </w:p>
        </w:tc>
        <w:tc>
          <w:tcPr>
            <w:tcW w:w="588" w:type="dxa"/>
            <w:noWrap/>
            <w:vAlign w:val="center"/>
            <w:hideMark/>
          </w:tcPr>
          <w:p w14:paraId="336C7321"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0.03</w:t>
            </w:r>
          </w:p>
        </w:tc>
        <w:tc>
          <w:tcPr>
            <w:tcW w:w="588" w:type="dxa"/>
            <w:noWrap/>
            <w:vAlign w:val="center"/>
            <w:hideMark/>
          </w:tcPr>
          <w:p w14:paraId="6289857D"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0.03</w:t>
            </w:r>
          </w:p>
        </w:tc>
        <w:tc>
          <w:tcPr>
            <w:tcW w:w="588" w:type="dxa"/>
            <w:noWrap/>
            <w:vAlign w:val="center"/>
            <w:hideMark/>
          </w:tcPr>
          <w:p w14:paraId="50D2F7B5"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0.03</w:t>
            </w:r>
          </w:p>
        </w:tc>
        <w:tc>
          <w:tcPr>
            <w:tcW w:w="720" w:type="dxa"/>
            <w:shd w:val="clear" w:color="000000" w:fill="F2F2F2"/>
            <w:noWrap/>
            <w:vAlign w:val="center"/>
            <w:hideMark/>
          </w:tcPr>
          <w:p w14:paraId="4875B8CA"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0.03</w:t>
            </w:r>
          </w:p>
        </w:tc>
        <w:tc>
          <w:tcPr>
            <w:tcW w:w="720" w:type="dxa"/>
            <w:shd w:val="clear" w:color="000000" w:fill="F2F2F2"/>
            <w:noWrap/>
            <w:vAlign w:val="center"/>
            <w:hideMark/>
          </w:tcPr>
          <w:p w14:paraId="673EF5A5"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0.03</w:t>
            </w:r>
          </w:p>
        </w:tc>
        <w:tc>
          <w:tcPr>
            <w:tcW w:w="720" w:type="dxa"/>
            <w:shd w:val="clear" w:color="000000" w:fill="F2F2F2"/>
            <w:noWrap/>
            <w:vAlign w:val="center"/>
            <w:hideMark/>
          </w:tcPr>
          <w:p w14:paraId="7562BA17"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0.03</w:t>
            </w:r>
          </w:p>
        </w:tc>
        <w:tc>
          <w:tcPr>
            <w:tcW w:w="720" w:type="dxa"/>
            <w:shd w:val="clear" w:color="000000" w:fill="F2F2F2"/>
            <w:noWrap/>
            <w:vAlign w:val="center"/>
            <w:hideMark/>
          </w:tcPr>
          <w:p w14:paraId="678A0DEC"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0.03</w:t>
            </w:r>
          </w:p>
        </w:tc>
      </w:tr>
      <w:tr w:rsidR="00A15C2C" w14:paraId="7905FD9D" w14:textId="77777777" w:rsidTr="00617167">
        <w:trPr>
          <w:trHeight w:val="300"/>
        </w:trPr>
        <w:tc>
          <w:tcPr>
            <w:tcW w:w="700" w:type="dxa"/>
            <w:shd w:val="clear" w:color="D9E1F2" w:fill="D9E1F2"/>
            <w:noWrap/>
            <w:hideMark/>
          </w:tcPr>
          <w:p w14:paraId="10A2687D"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1999</w:t>
            </w:r>
          </w:p>
        </w:tc>
        <w:tc>
          <w:tcPr>
            <w:tcW w:w="1191" w:type="dxa"/>
            <w:shd w:val="clear" w:color="D9E1F2" w:fill="D9E1F2"/>
            <w:noWrap/>
            <w:vAlign w:val="center"/>
            <w:hideMark/>
          </w:tcPr>
          <w:p w14:paraId="418F33BD"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0.4422</w:t>
            </w:r>
          </w:p>
        </w:tc>
        <w:tc>
          <w:tcPr>
            <w:tcW w:w="1004" w:type="dxa"/>
            <w:shd w:val="clear" w:color="D9E1F2" w:fill="D9E1F2"/>
            <w:noWrap/>
            <w:vAlign w:val="center"/>
            <w:hideMark/>
          </w:tcPr>
          <w:p w14:paraId="2DC0B992"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4,706</w:t>
            </w:r>
          </w:p>
        </w:tc>
        <w:tc>
          <w:tcPr>
            <w:tcW w:w="1083" w:type="dxa"/>
            <w:shd w:val="clear" w:color="D9E1F2" w:fill="D9E1F2"/>
            <w:noWrap/>
            <w:vAlign w:val="center"/>
            <w:hideMark/>
          </w:tcPr>
          <w:p w14:paraId="559BDCB2"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2,081</w:t>
            </w:r>
          </w:p>
        </w:tc>
        <w:tc>
          <w:tcPr>
            <w:tcW w:w="1164" w:type="dxa"/>
            <w:shd w:val="clear" w:color="D9E1F2" w:fill="D9E1F2"/>
            <w:noWrap/>
            <w:vAlign w:val="center"/>
            <w:hideMark/>
          </w:tcPr>
          <w:p w14:paraId="576E7D84"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0.0133</w:t>
            </w:r>
          </w:p>
        </w:tc>
        <w:tc>
          <w:tcPr>
            <w:tcW w:w="588" w:type="dxa"/>
            <w:shd w:val="clear" w:color="D9E1F2" w:fill="D9E1F2"/>
            <w:noWrap/>
            <w:vAlign w:val="center"/>
            <w:hideMark/>
          </w:tcPr>
          <w:p w14:paraId="44D21D86"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w:t>
            </w:r>
          </w:p>
        </w:tc>
        <w:tc>
          <w:tcPr>
            <w:tcW w:w="588" w:type="dxa"/>
            <w:shd w:val="clear" w:color="D9E1F2" w:fill="D9E1F2"/>
            <w:noWrap/>
            <w:vAlign w:val="center"/>
            <w:hideMark/>
          </w:tcPr>
          <w:p w14:paraId="4BC37F16"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25EF4DEE"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000000" w:fill="CC99FF"/>
            <w:noWrap/>
            <w:vAlign w:val="center"/>
            <w:hideMark/>
          </w:tcPr>
          <w:p w14:paraId="688D5C41"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0.03</w:t>
            </w:r>
          </w:p>
        </w:tc>
        <w:tc>
          <w:tcPr>
            <w:tcW w:w="588" w:type="dxa"/>
            <w:shd w:val="clear" w:color="D9E1F2" w:fill="D9E1F2"/>
            <w:noWrap/>
            <w:vAlign w:val="center"/>
            <w:hideMark/>
          </w:tcPr>
          <w:p w14:paraId="12191DAE"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0.03</w:t>
            </w:r>
          </w:p>
        </w:tc>
        <w:tc>
          <w:tcPr>
            <w:tcW w:w="588" w:type="dxa"/>
            <w:shd w:val="clear" w:color="D9E1F2" w:fill="D9E1F2"/>
            <w:noWrap/>
            <w:vAlign w:val="center"/>
            <w:hideMark/>
          </w:tcPr>
          <w:p w14:paraId="68945D8C"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0.03</w:t>
            </w:r>
          </w:p>
        </w:tc>
        <w:tc>
          <w:tcPr>
            <w:tcW w:w="588" w:type="dxa"/>
            <w:shd w:val="clear" w:color="D9E1F2" w:fill="D9E1F2"/>
            <w:noWrap/>
            <w:vAlign w:val="center"/>
            <w:hideMark/>
          </w:tcPr>
          <w:p w14:paraId="1ED5ACB0"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0.03</w:t>
            </w:r>
          </w:p>
        </w:tc>
        <w:tc>
          <w:tcPr>
            <w:tcW w:w="588" w:type="dxa"/>
            <w:shd w:val="clear" w:color="D9E1F2" w:fill="D9E1F2"/>
            <w:noWrap/>
            <w:vAlign w:val="center"/>
            <w:hideMark/>
          </w:tcPr>
          <w:p w14:paraId="064E93D6"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0.02</w:t>
            </w:r>
          </w:p>
        </w:tc>
        <w:tc>
          <w:tcPr>
            <w:tcW w:w="720" w:type="dxa"/>
            <w:shd w:val="clear" w:color="000000" w:fill="F2F2F2"/>
            <w:noWrap/>
            <w:vAlign w:val="center"/>
            <w:hideMark/>
          </w:tcPr>
          <w:p w14:paraId="0F8A3F8D"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0.03</w:t>
            </w:r>
          </w:p>
        </w:tc>
        <w:tc>
          <w:tcPr>
            <w:tcW w:w="720" w:type="dxa"/>
            <w:shd w:val="clear" w:color="000000" w:fill="F2F2F2"/>
            <w:noWrap/>
            <w:vAlign w:val="center"/>
            <w:hideMark/>
          </w:tcPr>
          <w:p w14:paraId="45B4D0A6"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0.03</w:t>
            </w:r>
          </w:p>
        </w:tc>
        <w:tc>
          <w:tcPr>
            <w:tcW w:w="720" w:type="dxa"/>
            <w:shd w:val="clear" w:color="000000" w:fill="F2F2F2"/>
            <w:noWrap/>
            <w:vAlign w:val="center"/>
            <w:hideMark/>
          </w:tcPr>
          <w:p w14:paraId="44B554A2"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0.03</w:t>
            </w:r>
          </w:p>
        </w:tc>
        <w:tc>
          <w:tcPr>
            <w:tcW w:w="720" w:type="dxa"/>
            <w:shd w:val="clear" w:color="000000" w:fill="F2F2F2"/>
            <w:noWrap/>
            <w:vAlign w:val="center"/>
            <w:hideMark/>
          </w:tcPr>
          <w:p w14:paraId="7B7CAD01"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0.02</w:t>
            </w:r>
          </w:p>
        </w:tc>
      </w:tr>
      <w:tr w:rsidR="00A15C2C" w14:paraId="1F9212AC" w14:textId="77777777" w:rsidTr="00617167">
        <w:trPr>
          <w:trHeight w:val="300"/>
        </w:trPr>
        <w:tc>
          <w:tcPr>
            <w:tcW w:w="700" w:type="dxa"/>
            <w:noWrap/>
            <w:hideMark/>
          </w:tcPr>
          <w:p w14:paraId="75DF72C8"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1998</w:t>
            </w:r>
          </w:p>
        </w:tc>
        <w:tc>
          <w:tcPr>
            <w:tcW w:w="1191" w:type="dxa"/>
            <w:noWrap/>
            <w:vAlign w:val="center"/>
            <w:hideMark/>
          </w:tcPr>
          <w:p w14:paraId="18436183"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0.3976</w:t>
            </w:r>
          </w:p>
        </w:tc>
        <w:tc>
          <w:tcPr>
            <w:tcW w:w="1004" w:type="dxa"/>
            <w:noWrap/>
            <w:vAlign w:val="center"/>
            <w:hideMark/>
          </w:tcPr>
          <w:p w14:paraId="6C00A5FF"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4,580</w:t>
            </w:r>
          </w:p>
        </w:tc>
        <w:tc>
          <w:tcPr>
            <w:tcW w:w="1083" w:type="dxa"/>
            <w:noWrap/>
            <w:vAlign w:val="center"/>
            <w:hideMark/>
          </w:tcPr>
          <w:p w14:paraId="6FED0572"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1,821</w:t>
            </w:r>
          </w:p>
        </w:tc>
        <w:tc>
          <w:tcPr>
            <w:tcW w:w="1164" w:type="dxa"/>
            <w:noWrap/>
            <w:vAlign w:val="center"/>
            <w:hideMark/>
          </w:tcPr>
          <w:p w14:paraId="72F6D023"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0.0117</w:t>
            </w:r>
          </w:p>
        </w:tc>
        <w:tc>
          <w:tcPr>
            <w:tcW w:w="588" w:type="dxa"/>
            <w:noWrap/>
            <w:vAlign w:val="center"/>
            <w:hideMark/>
          </w:tcPr>
          <w:p w14:paraId="019BB3F2"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w:t>
            </w:r>
          </w:p>
        </w:tc>
        <w:tc>
          <w:tcPr>
            <w:tcW w:w="588" w:type="dxa"/>
            <w:noWrap/>
            <w:vAlign w:val="center"/>
            <w:hideMark/>
          </w:tcPr>
          <w:p w14:paraId="4D530DAD"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0640799F"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000000" w:fill="CC99FF"/>
            <w:noWrap/>
            <w:vAlign w:val="center"/>
            <w:hideMark/>
          </w:tcPr>
          <w:p w14:paraId="72868A8C"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0.02</w:t>
            </w:r>
          </w:p>
        </w:tc>
        <w:tc>
          <w:tcPr>
            <w:tcW w:w="588" w:type="dxa"/>
            <w:noWrap/>
            <w:vAlign w:val="center"/>
            <w:hideMark/>
          </w:tcPr>
          <w:p w14:paraId="2E7E0922"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0.02</w:t>
            </w:r>
          </w:p>
        </w:tc>
        <w:tc>
          <w:tcPr>
            <w:tcW w:w="588" w:type="dxa"/>
            <w:noWrap/>
            <w:vAlign w:val="center"/>
            <w:hideMark/>
          </w:tcPr>
          <w:p w14:paraId="343122F6"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0.02</w:t>
            </w:r>
          </w:p>
        </w:tc>
        <w:tc>
          <w:tcPr>
            <w:tcW w:w="588" w:type="dxa"/>
            <w:noWrap/>
            <w:vAlign w:val="center"/>
            <w:hideMark/>
          </w:tcPr>
          <w:p w14:paraId="5C170764"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0.02</w:t>
            </w:r>
          </w:p>
        </w:tc>
        <w:tc>
          <w:tcPr>
            <w:tcW w:w="588" w:type="dxa"/>
            <w:noWrap/>
            <w:vAlign w:val="center"/>
            <w:hideMark/>
          </w:tcPr>
          <w:p w14:paraId="7A8360DD"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0.02</w:t>
            </w:r>
          </w:p>
        </w:tc>
        <w:tc>
          <w:tcPr>
            <w:tcW w:w="720" w:type="dxa"/>
            <w:shd w:val="clear" w:color="000000" w:fill="F2F2F2"/>
            <w:noWrap/>
            <w:vAlign w:val="center"/>
            <w:hideMark/>
          </w:tcPr>
          <w:p w14:paraId="1D2800D0"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0.02</w:t>
            </w:r>
          </w:p>
        </w:tc>
        <w:tc>
          <w:tcPr>
            <w:tcW w:w="720" w:type="dxa"/>
            <w:shd w:val="clear" w:color="000000" w:fill="F2F2F2"/>
            <w:noWrap/>
            <w:vAlign w:val="center"/>
            <w:hideMark/>
          </w:tcPr>
          <w:p w14:paraId="22B3EF3A"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0.02</w:t>
            </w:r>
          </w:p>
        </w:tc>
        <w:tc>
          <w:tcPr>
            <w:tcW w:w="720" w:type="dxa"/>
            <w:shd w:val="clear" w:color="000000" w:fill="F2F2F2"/>
            <w:noWrap/>
            <w:vAlign w:val="center"/>
            <w:hideMark/>
          </w:tcPr>
          <w:p w14:paraId="6BED385E"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0.02</w:t>
            </w:r>
          </w:p>
        </w:tc>
        <w:tc>
          <w:tcPr>
            <w:tcW w:w="720" w:type="dxa"/>
            <w:shd w:val="clear" w:color="000000" w:fill="F2F2F2"/>
            <w:noWrap/>
            <w:vAlign w:val="center"/>
            <w:hideMark/>
          </w:tcPr>
          <w:p w14:paraId="0698661D"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0.02</w:t>
            </w:r>
          </w:p>
        </w:tc>
      </w:tr>
      <w:tr w:rsidR="00A15C2C" w14:paraId="5A36AFA5" w14:textId="77777777" w:rsidTr="00617167">
        <w:trPr>
          <w:trHeight w:val="300"/>
        </w:trPr>
        <w:tc>
          <w:tcPr>
            <w:tcW w:w="700" w:type="dxa"/>
            <w:shd w:val="clear" w:color="D9E1F2" w:fill="D9E1F2"/>
            <w:noWrap/>
            <w:hideMark/>
          </w:tcPr>
          <w:p w14:paraId="41E30370"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1997</w:t>
            </w:r>
          </w:p>
        </w:tc>
        <w:tc>
          <w:tcPr>
            <w:tcW w:w="1191" w:type="dxa"/>
            <w:shd w:val="clear" w:color="D9E1F2" w:fill="D9E1F2"/>
            <w:noWrap/>
            <w:vAlign w:val="center"/>
            <w:hideMark/>
          </w:tcPr>
          <w:p w14:paraId="3D07A6F2"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0.3520</w:t>
            </w:r>
          </w:p>
        </w:tc>
        <w:tc>
          <w:tcPr>
            <w:tcW w:w="1004" w:type="dxa"/>
            <w:shd w:val="clear" w:color="D9E1F2" w:fill="D9E1F2"/>
            <w:noWrap/>
            <w:vAlign w:val="center"/>
            <w:hideMark/>
          </w:tcPr>
          <w:p w14:paraId="699C61C9"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4,463</w:t>
            </w:r>
          </w:p>
        </w:tc>
        <w:tc>
          <w:tcPr>
            <w:tcW w:w="1083" w:type="dxa"/>
            <w:shd w:val="clear" w:color="D9E1F2" w:fill="D9E1F2"/>
            <w:noWrap/>
            <w:vAlign w:val="center"/>
            <w:hideMark/>
          </w:tcPr>
          <w:p w14:paraId="2F604DFD"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1,571</w:t>
            </w:r>
          </w:p>
        </w:tc>
        <w:tc>
          <w:tcPr>
            <w:tcW w:w="1164" w:type="dxa"/>
            <w:shd w:val="clear" w:color="D9E1F2" w:fill="D9E1F2"/>
            <w:noWrap/>
            <w:vAlign w:val="center"/>
            <w:hideMark/>
          </w:tcPr>
          <w:p w14:paraId="1C9CA0F4"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0.0101</w:t>
            </w:r>
          </w:p>
        </w:tc>
        <w:tc>
          <w:tcPr>
            <w:tcW w:w="588" w:type="dxa"/>
            <w:shd w:val="clear" w:color="D9E1F2" w:fill="D9E1F2"/>
            <w:noWrap/>
            <w:vAlign w:val="center"/>
            <w:hideMark/>
          </w:tcPr>
          <w:p w14:paraId="3FD77367"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w:t>
            </w:r>
          </w:p>
        </w:tc>
        <w:tc>
          <w:tcPr>
            <w:tcW w:w="588" w:type="dxa"/>
            <w:shd w:val="clear" w:color="D9E1F2" w:fill="D9E1F2"/>
            <w:noWrap/>
            <w:vAlign w:val="center"/>
            <w:hideMark/>
          </w:tcPr>
          <w:p w14:paraId="47730A30"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235AB020"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000000" w:fill="CC99FF"/>
            <w:noWrap/>
            <w:vAlign w:val="center"/>
            <w:hideMark/>
          </w:tcPr>
          <w:p w14:paraId="6923898C"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0.02</w:t>
            </w:r>
          </w:p>
        </w:tc>
        <w:tc>
          <w:tcPr>
            <w:tcW w:w="588" w:type="dxa"/>
            <w:shd w:val="clear" w:color="D9E1F2" w:fill="D9E1F2"/>
            <w:noWrap/>
            <w:vAlign w:val="center"/>
            <w:hideMark/>
          </w:tcPr>
          <w:p w14:paraId="1360BC78"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0.02</w:t>
            </w:r>
          </w:p>
        </w:tc>
        <w:tc>
          <w:tcPr>
            <w:tcW w:w="588" w:type="dxa"/>
            <w:shd w:val="clear" w:color="D9E1F2" w:fill="D9E1F2"/>
            <w:noWrap/>
            <w:vAlign w:val="center"/>
            <w:hideMark/>
          </w:tcPr>
          <w:p w14:paraId="012AFDB2"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0.02</w:t>
            </w:r>
          </w:p>
        </w:tc>
        <w:tc>
          <w:tcPr>
            <w:tcW w:w="588" w:type="dxa"/>
            <w:shd w:val="clear" w:color="D9E1F2" w:fill="D9E1F2"/>
            <w:noWrap/>
            <w:vAlign w:val="center"/>
            <w:hideMark/>
          </w:tcPr>
          <w:p w14:paraId="69534EAF"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0.02</w:t>
            </w:r>
          </w:p>
        </w:tc>
        <w:tc>
          <w:tcPr>
            <w:tcW w:w="588" w:type="dxa"/>
            <w:shd w:val="clear" w:color="D9E1F2" w:fill="D9E1F2"/>
            <w:noWrap/>
            <w:vAlign w:val="center"/>
            <w:hideMark/>
          </w:tcPr>
          <w:p w14:paraId="3BFE722E"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0.02</w:t>
            </w:r>
          </w:p>
        </w:tc>
        <w:tc>
          <w:tcPr>
            <w:tcW w:w="720" w:type="dxa"/>
            <w:shd w:val="clear" w:color="000000" w:fill="F2F2F2"/>
            <w:noWrap/>
            <w:vAlign w:val="center"/>
            <w:hideMark/>
          </w:tcPr>
          <w:p w14:paraId="2B6F3584"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0.02</w:t>
            </w:r>
          </w:p>
        </w:tc>
        <w:tc>
          <w:tcPr>
            <w:tcW w:w="720" w:type="dxa"/>
            <w:shd w:val="clear" w:color="000000" w:fill="F2F2F2"/>
            <w:noWrap/>
            <w:vAlign w:val="center"/>
            <w:hideMark/>
          </w:tcPr>
          <w:p w14:paraId="6464C485"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0.02</w:t>
            </w:r>
          </w:p>
        </w:tc>
        <w:tc>
          <w:tcPr>
            <w:tcW w:w="720" w:type="dxa"/>
            <w:shd w:val="clear" w:color="000000" w:fill="F2F2F2"/>
            <w:noWrap/>
            <w:vAlign w:val="center"/>
            <w:hideMark/>
          </w:tcPr>
          <w:p w14:paraId="08D40BAB"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0.02</w:t>
            </w:r>
          </w:p>
        </w:tc>
        <w:tc>
          <w:tcPr>
            <w:tcW w:w="720" w:type="dxa"/>
            <w:shd w:val="clear" w:color="000000" w:fill="F2F2F2"/>
            <w:noWrap/>
            <w:vAlign w:val="center"/>
            <w:hideMark/>
          </w:tcPr>
          <w:p w14:paraId="49D0616F"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0.02</w:t>
            </w:r>
          </w:p>
        </w:tc>
      </w:tr>
      <w:tr w:rsidR="00A15C2C" w14:paraId="401B28A2" w14:textId="77777777" w:rsidTr="00617167">
        <w:trPr>
          <w:trHeight w:val="300"/>
        </w:trPr>
        <w:tc>
          <w:tcPr>
            <w:tcW w:w="700" w:type="dxa"/>
            <w:noWrap/>
            <w:hideMark/>
          </w:tcPr>
          <w:p w14:paraId="7EFD425A"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1996</w:t>
            </w:r>
          </w:p>
        </w:tc>
        <w:tc>
          <w:tcPr>
            <w:tcW w:w="1191" w:type="dxa"/>
            <w:noWrap/>
            <w:vAlign w:val="center"/>
            <w:hideMark/>
          </w:tcPr>
          <w:p w14:paraId="54E768BC"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0.3092</w:t>
            </w:r>
          </w:p>
        </w:tc>
        <w:tc>
          <w:tcPr>
            <w:tcW w:w="1004" w:type="dxa"/>
            <w:noWrap/>
            <w:vAlign w:val="center"/>
            <w:hideMark/>
          </w:tcPr>
          <w:p w14:paraId="4CA9DFD2"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4,353</w:t>
            </w:r>
          </w:p>
        </w:tc>
        <w:tc>
          <w:tcPr>
            <w:tcW w:w="1083" w:type="dxa"/>
            <w:noWrap/>
            <w:vAlign w:val="center"/>
            <w:hideMark/>
          </w:tcPr>
          <w:p w14:paraId="2BFC47DE"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1,346</w:t>
            </w:r>
          </w:p>
        </w:tc>
        <w:tc>
          <w:tcPr>
            <w:tcW w:w="1164" w:type="dxa"/>
            <w:noWrap/>
            <w:vAlign w:val="center"/>
            <w:hideMark/>
          </w:tcPr>
          <w:p w14:paraId="085DDB8E"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0.0086</w:t>
            </w:r>
          </w:p>
        </w:tc>
        <w:tc>
          <w:tcPr>
            <w:tcW w:w="588" w:type="dxa"/>
            <w:noWrap/>
            <w:vAlign w:val="center"/>
            <w:hideMark/>
          </w:tcPr>
          <w:p w14:paraId="13BC8A24"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w:t>
            </w:r>
          </w:p>
        </w:tc>
        <w:tc>
          <w:tcPr>
            <w:tcW w:w="588" w:type="dxa"/>
            <w:noWrap/>
            <w:vAlign w:val="center"/>
            <w:hideMark/>
          </w:tcPr>
          <w:p w14:paraId="430C395B"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47012D54"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000000" w:fill="CC99FF"/>
            <w:noWrap/>
            <w:vAlign w:val="center"/>
            <w:hideMark/>
          </w:tcPr>
          <w:p w14:paraId="1334BE1E"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0.02</w:t>
            </w:r>
          </w:p>
        </w:tc>
        <w:tc>
          <w:tcPr>
            <w:tcW w:w="588" w:type="dxa"/>
            <w:noWrap/>
            <w:vAlign w:val="center"/>
            <w:hideMark/>
          </w:tcPr>
          <w:p w14:paraId="696E4D21"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0.02</w:t>
            </w:r>
          </w:p>
        </w:tc>
        <w:tc>
          <w:tcPr>
            <w:tcW w:w="588" w:type="dxa"/>
            <w:noWrap/>
            <w:vAlign w:val="center"/>
            <w:hideMark/>
          </w:tcPr>
          <w:p w14:paraId="4791C8B9"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0.02</w:t>
            </w:r>
          </w:p>
        </w:tc>
        <w:tc>
          <w:tcPr>
            <w:tcW w:w="588" w:type="dxa"/>
            <w:noWrap/>
            <w:vAlign w:val="center"/>
            <w:hideMark/>
          </w:tcPr>
          <w:p w14:paraId="3ECE43F7"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0.02</w:t>
            </w:r>
          </w:p>
        </w:tc>
        <w:tc>
          <w:tcPr>
            <w:tcW w:w="588" w:type="dxa"/>
            <w:noWrap/>
            <w:vAlign w:val="center"/>
            <w:hideMark/>
          </w:tcPr>
          <w:p w14:paraId="0A121DA5"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0.02</w:t>
            </w:r>
          </w:p>
        </w:tc>
        <w:tc>
          <w:tcPr>
            <w:tcW w:w="720" w:type="dxa"/>
            <w:shd w:val="clear" w:color="000000" w:fill="F2F2F2"/>
            <w:noWrap/>
            <w:vAlign w:val="center"/>
            <w:hideMark/>
          </w:tcPr>
          <w:p w14:paraId="7407FE48"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0.02</w:t>
            </w:r>
          </w:p>
        </w:tc>
        <w:tc>
          <w:tcPr>
            <w:tcW w:w="720" w:type="dxa"/>
            <w:shd w:val="clear" w:color="000000" w:fill="F2F2F2"/>
            <w:noWrap/>
            <w:vAlign w:val="center"/>
            <w:hideMark/>
          </w:tcPr>
          <w:p w14:paraId="71B30AF6"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0.02</w:t>
            </w:r>
          </w:p>
        </w:tc>
        <w:tc>
          <w:tcPr>
            <w:tcW w:w="720" w:type="dxa"/>
            <w:shd w:val="clear" w:color="000000" w:fill="F2F2F2"/>
            <w:noWrap/>
            <w:vAlign w:val="center"/>
            <w:hideMark/>
          </w:tcPr>
          <w:p w14:paraId="7CB8747A"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0.02</w:t>
            </w:r>
          </w:p>
        </w:tc>
        <w:tc>
          <w:tcPr>
            <w:tcW w:w="720" w:type="dxa"/>
            <w:shd w:val="clear" w:color="000000" w:fill="F2F2F2"/>
            <w:noWrap/>
            <w:vAlign w:val="center"/>
            <w:hideMark/>
          </w:tcPr>
          <w:p w14:paraId="4B5968ED"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0.02</w:t>
            </w:r>
          </w:p>
        </w:tc>
      </w:tr>
      <w:tr w:rsidR="00A15C2C" w14:paraId="3990CDBA" w14:textId="77777777" w:rsidTr="00617167">
        <w:trPr>
          <w:trHeight w:val="300"/>
        </w:trPr>
        <w:tc>
          <w:tcPr>
            <w:tcW w:w="700" w:type="dxa"/>
            <w:shd w:val="clear" w:color="D9E1F2" w:fill="D9E1F2"/>
            <w:noWrap/>
            <w:hideMark/>
          </w:tcPr>
          <w:p w14:paraId="6CF2B534"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lastRenderedPageBreak/>
              <w:t>1995</w:t>
            </w:r>
          </w:p>
        </w:tc>
        <w:tc>
          <w:tcPr>
            <w:tcW w:w="1191" w:type="dxa"/>
            <w:shd w:val="clear" w:color="D9E1F2" w:fill="D9E1F2"/>
            <w:noWrap/>
            <w:vAlign w:val="center"/>
            <w:hideMark/>
          </w:tcPr>
          <w:p w14:paraId="361E6A60"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0.2666</w:t>
            </w:r>
          </w:p>
        </w:tc>
        <w:tc>
          <w:tcPr>
            <w:tcW w:w="1004" w:type="dxa"/>
            <w:shd w:val="clear" w:color="D9E1F2" w:fill="D9E1F2"/>
            <w:noWrap/>
            <w:vAlign w:val="center"/>
            <w:hideMark/>
          </w:tcPr>
          <w:p w14:paraId="47E3C0A9"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4,252</w:t>
            </w:r>
          </w:p>
        </w:tc>
        <w:tc>
          <w:tcPr>
            <w:tcW w:w="1083" w:type="dxa"/>
            <w:shd w:val="clear" w:color="D9E1F2" w:fill="D9E1F2"/>
            <w:noWrap/>
            <w:vAlign w:val="center"/>
            <w:hideMark/>
          </w:tcPr>
          <w:p w14:paraId="076300CB"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1,134</w:t>
            </w:r>
          </w:p>
        </w:tc>
        <w:tc>
          <w:tcPr>
            <w:tcW w:w="1164" w:type="dxa"/>
            <w:shd w:val="clear" w:color="D9E1F2" w:fill="D9E1F2"/>
            <w:noWrap/>
            <w:vAlign w:val="center"/>
            <w:hideMark/>
          </w:tcPr>
          <w:p w14:paraId="7C2226B6"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0.0073</w:t>
            </w:r>
          </w:p>
        </w:tc>
        <w:tc>
          <w:tcPr>
            <w:tcW w:w="588" w:type="dxa"/>
            <w:shd w:val="clear" w:color="D9E1F2" w:fill="D9E1F2"/>
            <w:noWrap/>
            <w:vAlign w:val="center"/>
            <w:hideMark/>
          </w:tcPr>
          <w:p w14:paraId="45341272"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w:t>
            </w:r>
          </w:p>
        </w:tc>
        <w:tc>
          <w:tcPr>
            <w:tcW w:w="588" w:type="dxa"/>
            <w:shd w:val="clear" w:color="D9E1F2" w:fill="D9E1F2"/>
            <w:noWrap/>
            <w:vAlign w:val="center"/>
            <w:hideMark/>
          </w:tcPr>
          <w:p w14:paraId="79B482D7"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1D0C73BC"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000000" w:fill="CC99FF"/>
            <w:noWrap/>
            <w:vAlign w:val="center"/>
            <w:hideMark/>
          </w:tcPr>
          <w:p w14:paraId="01C0B011"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0.02</w:t>
            </w:r>
          </w:p>
        </w:tc>
        <w:tc>
          <w:tcPr>
            <w:tcW w:w="588" w:type="dxa"/>
            <w:shd w:val="clear" w:color="D9E1F2" w:fill="D9E1F2"/>
            <w:noWrap/>
            <w:vAlign w:val="center"/>
            <w:hideMark/>
          </w:tcPr>
          <w:p w14:paraId="582F3B90"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0.02</w:t>
            </w:r>
          </w:p>
        </w:tc>
        <w:tc>
          <w:tcPr>
            <w:tcW w:w="588" w:type="dxa"/>
            <w:shd w:val="clear" w:color="D9E1F2" w:fill="D9E1F2"/>
            <w:noWrap/>
            <w:vAlign w:val="center"/>
            <w:hideMark/>
          </w:tcPr>
          <w:p w14:paraId="270CF6C8"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0.02</w:t>
            </w:r>
          </w:p>
        </w:tc>
        <w:tc>
          <w:tcPr>
            <w:tcW w:w="588" w:type="dxa"/>
            <w:shd w:val="clear" w:color="D9E1F2" w:fill="D9E1F2"/>
            <w:noWrap/>
            <w:vAlign w:val="center"/>
            <w:hideMark/>
          </w:tcPr>
          <w:p w14:paraId="37641D9D"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0.02</w:t>
            </w:r>
          </w:p>
        </w:tc>
        <w:tc>
          <w:tcPr>
            <w:tcW w:w="588" w:type="dxa"/>
            <w:shd w:val="clear" w:color="D9E1F2" w:fill="D9E1F2"/>
            <w:noWrap/>
            <w:vAlign w:val="center"/>
            <w:hideMark/>
          </w:tcPr>
          <w:p w14:paraId="16D0EA67"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720" w:type="dxa"/>
            <w:shd w:val="clear" w:color="000000" w:fill="F2F2F2"/>
            <w:noWrap/>
            <w:vAlign w:val="center"/>
            <w:hideMark/>
          </w:tcPr>
          <w:p w14:paraId="67BD2724"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0.02</w:t>
            </w:r>
          </w:p>
        </w:tc>
        <w:tc>
          <w:tcPr>
            <w:tcW w:w="720" w:type="dxa"/>
            <w:shd w:val="clear" w:color="000000" w:fill="F2F2F2"/>
            <w:noWrap/>
            <w:vAlign w:val="center"/>
            <w:hideMark/>
          </w:tcPr>
          <w:p w14:paraId="5E9372FB"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0.02</w:t>
            </w:r>
          </w:p>
        </w:tc>
        <w:tc>
          <w:tcPr>
            <w:tcW w:w="720" w:type="dxa"/>
            <w:shd w:val="clear" w:color="000000" w:fill="F2F2F2"/>
            <w:noWrap/>
            <w:vAlign w:val="center"/>
            <w:hideMark/>
          </w:tcPr>
          <w:p w14:paraId="59AEFE65"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0.02</w:t>
            </w:r>
          </w:p>
        </w:tc>
        <w:tc>
          <w:tcPr>
            <w:tcW w:w="720" w:type="dxa"/>
            <w:shd w:val="clear" w:color="000000" w:fill="F2F2F2"/>
            <w:noWrap/>
            <w:vAlign w:val="center"/>
            <w:hideMark/>
          </w:tcPr>
          <w:p w14:paraId="29624228"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r>
      <w:tr w:rsidR="00A15C2C" w14:paraId="1132D7CB" w14:textId="77777777" w:rsidTr="00617167">
        <w:trPr>
          <w:trHeight w:val="300"/>
        </w:trPr>
        <w:tc>
          <w:tcPr>
            <w:tcW w:w="700" w:type="dxa"/>
            <w:noWrap/>
            <w:hideMark/>
          </w:tcPr>
          <w:p w14:paraId="03312035"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1994</w:t>
            </w:r>
          </w:p>
        </w:tc>
        <w:tc>
          <w:tcPr>
            <w:tcW w:w="1191" w:type="dxa"/>
            <w:noWrap/>
            <w:vAlign w:val="center"/>
            <w:hideMark/>
          </w:tcPr>
          <w:p w14:paraId="0EAD373F"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0.2278</w:t>
            </w:r>
          </w:p>
        </w:tc>
        <w:tc>
          <w:tcPr>
            <w:tcW w:w="1004" w:type="dxa"/>
            <w:noWrap/>
            <w:vAlign w:val="center"/>
            <w:hideMark/>
          </w:tcPr>
          <w:p w14:paraId="262D22E3"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4,158</w:t>
            </w:r>
          </w:p>
        </w:tc>
        <w:tc>
          <w:tcPr>
            <w:tcW w:w="1083" w:type="dxa"/>
            <w:noWrap/>
            <w:vAlign w:val="center"/>
            <w:hideMark/>
          </w:tcPr>
          <w:p w14:paraId="2CA03562"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947</w:t>
            </w:r>
          </w:p>
        </w:tc>
        <w:tc>
          <w:tcPr>
            <w:tcW w:w="1164" w:type="dxa"/>
            <w:noWrap/>
            <w:vAlign w:val="center"/>
            <w:hideMark/>
          </w:tcPr>
          <w:p w14:paraId="192CBF0E"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0.0061</w:t>
            </w:r>
          </w:p>
        </w:tc>
        <w:tc>
          <w:tcPr>
            <w:tcW w:w="588" w:type="dxa"/>
            <w:noWrap/>
            <w:vAlign w:val="center"/>
            <w:hideMark/>
          </w:tcPr>
          <w:p w14:paraId="64AA3661"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w:t>
            </w:r>
          </w:p>
        </w:tc>
        <w:tc>
          <w:tcPr>
            <w:tcW w:w="588" w:type="dxa"/>
            <w:noWrap/>
            <w:vAlign w:val="center"/>
            <w:hideMark/>
          </w:tcPr>
          <w:p w14:paraId="70F50D37"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0408D8FE"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000000" w:fill="CC99FF"/>
            <w:noWrap/>
            <w:vAlign w:val="center"/>
            <w:hideMark/>
          </w:tcPr>
          <w:p w14:paraId="62792BDD"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noWrap/>
            <w:vAlign w:val="center"/>
            <w:hideMark/>
          </w:tcPr>
          <w:p w14:paraId="5D94A1D6"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noWrap/>
            <w:vAlign w:val="center"/>
            <w:hideMark/>
          </w:tcPr>
          <w:p w14:paraId="2A1185CE"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noWrap/>
            <w:vAlign w:val="center"/>
            <w:hideMark/>
          </w:tcPr>
          <w:p w14:paraId="7D46FB5C"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noWrap/>
            <w:vAlign w:val="center"/>
            <w:hideMark/>
          </w:tcPr>
          <w:p w14:paraId="2725FC39"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720" w:type="dxa"/>
            <w:shd w:val="clear" w:color="000000" w:fill="F2F2F2"/>
            <w:noWrap/>
            <w:vAlign w:val="center"/>
            <w:hideMark/>
          </w:tcPr>
          <w:p w14:paraId="7749DDA9"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c>
          <w:tcPr>
            <w:tcW w:w="720" w:type="dxa"/>
            <w:shd w:val="clear" w:color="000000" w:fill="F2F2F2"/>
            <w:noWrap/>
            <w:vAlign w:val="center"/>
            <w:hideMark/>
          </w:tcPr>
          <w:p w14:paraId="67C99D1F"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c>
          <w:tcPr>
            <w:tcW w:w="720" w:type="dxa"/>
            <w:shd w:val="clear" w:color="000000" w:fill="F2F2F2"/>
            <w:noWrap/>
            <w:vAlign w:val="center"/>
            <w:hideMark/>
          </w:tcPr>
          <w:p w14:paraId="3C9D8A80"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c>
          <w:tcPr>
            <w:tcW w:w="720" w:type="dxa"/>
            <w:shd w:val="clear" w:color="000000" w:fill="F2F2F2"/>
            <w:noWrap/>
            <w:vAlign w:val="center"/>
            <w:hideMark/>
          </w:tcPr>
          <w:p w14:paraId="02D71AFC"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r>
      <w:tr w:rsidR="00A15C2C" w14:paraId="30B69EC0" w14:textId="77777777" w:rsidTr="00617167">
        <w:trPr>
          <w:trHeight w:val="300"/>
        </w:trPr>
        <w:tc>
          <w:tcPr>
            <w:tcW w:w="700" w:type="dxa"/>
            <w:shd w:val="clear" w:color="D9E1F2" w:fill="D9E1F2"/>
            <w:noWrap/>
            <w:hideMark/>
          </w:tcPr>
          <w:p w14:paraId="668D3A99"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1993</w:t>
            </w:r>
          </w:p>
        </w:tc>
        <w:tc>
          <w:tcPr>
            <w:tcW w:w="1191" w:type="dxa"/>
            <w:shd w:val="clear" w:color="D9E1F2" w:fill="D9E1F2"/>
            <w:noWrap/>
            <w:vAlign w:val="center"/>
            <w:hideMark/>
          </w:tcPr>
          <w:p w14:paraId="530DE4BC"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0.2019</w:t>
            </w:r>
          </w:p>
        </w:tc>
        <w:tc>
          <w:tcPr>
            <w:tcW w:w="1004" w:type="dxa"/>
            <w:shd w:val="clear" w:color="D9E1F2" w:fill="D9E1F2"/>
            <w:noWrap/>
            <w:vAlign w:val="center"/>
            <w:hideMark/>
          </w:tcPr>
          <w:p w14:paraId="570CE260"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4,071</w:t>
            </w:r>
          </w:p>
        </w:tc>
        <w:tc>
          <w:tcPr>
            <w:tcW w:w="1083" w:type="dxa"/>
            <w:shd w:val="clear" w:color="D9E1F2" w:fill="D9E1F2"/>
            <w:noWrap/>
            <w:vAlign w:val="center"/>
            <w:hideMark/>
          </w:tcPr>
          <w:p w14:paraId="2455742A"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822</w:t>
            </w:r>
          </w:p>
        </w:tc>
        <w:tc>
          <w:tcPr>
            <w:tcW w:w="1164" w:type="dxa"/>
            <w:shd w:val="clear" w:color="D9E1F2" w:fill="D9E1F2"/>
            <w:noWrap/>
            <w:vAlign w:val="center"/>
            <w:hideMark/>
          </w:tcPr>
          <w:p w14:paraId="7D562953"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0.0053</w:t>
            </w:r>
          </w:p>
        </w:tc>
        <w:tc>
          <w:tcPr>
            <w:tcW w:w="588" w:type="dxa"/>
            <w:shd w:val="clear" w:color="D9E1F2" w:fill="D9E1F2"/>
            <w:noWrap/>
            <w:vAlign w:val="center"/>
            <w:hideMark/>
          </w:tcPr>
          <w:p w14:paraId="6D7C4C96"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w:t>
            </w:r>
          </w:p>
        </w:tc>
        <w:tc>
          <w:tcPr>
            <w:tcW w:w="588" w:type="dxa"/>
            <w:shd w:val="clear" w:color="D9E1F2" w:fill="D9E1F2"/>
            <w:noWrap/>
            <w:vAlign w:val="center"/>
            <w:hideMark/>
          </w:tcPr>
          <w:p w14:paraId="54930503"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27341AEF"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000000" w:fill="CC99FF"/>
            <w:noWrap/>
            <w:vAlign w:val="center"/>
            <w:hideMark/>
          </w:tcPr>
          <w:p w14:paraId="14FA0A4F"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shd w:val="clear" w:color="D9E1F2" w:fill="D9E1F2"/>
            <w:noWrap/>
            <w:vAlign w:val="center"/>
            <w:hideMark/>
          </w:tcPr>
          <w:p w14:paraId="576A371D"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shd w:val="clear" w:color="D9E1F2" w:fill="D9E1F2"/>
            <w:noWrap/>
            <w:vAlign w:val="center"/>
            <w:hideMark/>
          </w:tcPr>
          <w:p w14:paraId="20D13924"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shd w:val="clear" w:color="D9E1F2" w:fill="D9E1F2"/>
            <w:noWrap/>
            <w:vAlign w:val="center"/>
            <w:hideMark/>
          </w:tcPr>
          <w:p w14:paraId="1589D93F"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shd w:val="clear" w:color="D9E1F2" w:fill="D9E1F2"/>
            <w:noWrap/>
            <w:vAlign w:val="center"/>
            <w:hideMark/>
          </w:tcPr>
          <w:p w14:paraId="645FFE15"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720" w:type="dxa"/>
            <w:shd w:val="clear" w:color="000000" w:fill="F2F2F2"/>
            <w:noWrap/>
            <w:vAlign w:val="center"/>
            <w:hideMark/>
          </w:tcPr>
          <w:p w14:paraId="51A34E4F"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c>
          <w:tcPr>
            <w:tcW w:w="720" w:type="dxa"/>
            <w:shd w:val="clear" w:color="000000" w:fill="F2F2F2"/>
            <w:noWrap/>
            <w:vAlign w:val="center"/>
            <w:hideMark/>
          </w:tcPr>
          <w:p w14:paraId="01000F02"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c>
          <w:tcPr>
            <w:tcW w:w="720" w:type="dxa"/>
            <w:shd w:val="clear" w:color="000000" w:fill="F2F2F2"/>
            <w:noWrap/>
            <w:vAlign w:val="center"/>
            <w:hideMark/>
          </w:tcPr>
          <w:p w14:paraId="7A4C7F30"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c>
          <w:tcPr>
            <w:tcW w:w="720" w:type="dxa"/>
            <w:shd w:val="clear" w:color="000000" w:fill="F2F2F2"/>
            <w:noWrap/>
            <w:vAlign w:val="center"/>
            <w:hideMark/>
          </w:tcPr>
          <w:p w14:paraId="63B84EDF"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r>
      <w:tr w:rsidR="00A15C2C" w14:paraId="5BC7233C" w14:textId="77777777" w:rsidTr="00617167">
        <w:trPr>
          <w:trHeight w:val="300"/>
        </w:trPr>
        <w:tc>
          <w:tcPr>
            <w:tcW w:w="700" w:type="dxa"/>
            <w:noWrap/>
            <w:hideMark/>
          </w:tcPr>
          <w:p w14:paraId="68F4E824"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1992</w:t>
            </w:r>
          </w:p>
        </w:tc>
        <w:tc>
          <w:tcPr>
            <w:tcW w:w="1191" w:type="dxa"/>
            <w:noWrap/>
            <w:vAlign w:val="center"/>
            <w:hideMark/>
          </w:tcPr>
          <w:p w14:paraId="167A965B"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0.1750</w:t>
            </w:r>
          </w:p>
        </w:tc>
        <w:tc>
          <w:tcPr>
            <w:tcW w:w="1004" w:type="dxa"/>
            <w:noWrap/>
            <w:vAlign w:val="center"/>
            <w:hideMark/>
          </w:tcPr>
          <w:p w14:paraId="77E6DC66"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3,993</w:t>
            </w:r>
          </w:p>
        </w:tc>
        <w:tc>
          <w:tcPr>
            <w:tcW w:w="1083" w:type="dxa"/>
            <w:noWrap/>
            <w:vAlign w:val="center"/>
            <w:hideMark/>
          </w:tcPr>
          <w:p w14:paraId="6EA22FDC"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699</w:t>
            </w:r>
          </w:p>
        </w:tc>
        <w:tc>
          <w:tcPr>
            <w:tcW w:w="1164" w:type="dxa"/>
            <w:noWrap/>
            <w:vAlign w:val="center"/>
            <w:hideMark/>
          </w:tcPr>
          <w:p w14:paraId="5F130009"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0.0045</w:t>
            </w:r>
          </w:p>
        </w:tc>
        <w:tc>
          <w:tcPr>
            <w:tcW w:w="588" w:type="dxa"/>
            <w:noWrap/>
            <w:vAlign w:val="center"/>
            <w:hideMark/>
          </w:tcPr>
          <w:p w14:paraId="76F52F82"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w:t>
            </w:r>
          </w:p>
        </w:tc>
        <w:tc>
          <w:tcPr>
            <w:tcW w:w="588" w:type="dxa"/>
            <w:noWrap/>
            <w:vAlign w:val="center"/>
            <w:hideMark/>
          </w:tcPr>
          <w:p w14:paraId="372C910D"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43C57F42"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000000" w:fill="CC99FF"/>
            <w:noWrap/>
            <w:vAlign w:val="center"/>
            <w:hideMark/>
          </w:tcPr>
          <w:p w14:paraId="0AAFD129"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noWrap/>
            <w:vAlign w:val="center"/>
            <w:hideMark/>
          </w:tcPr>
          <w:p w14:paraId="15F7BEA1"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noWrap/>
            <w:vAlign w:val="center"/>
            <w:hideMark/>
          </w:tcPr>
          <w:p w14:paraId="5C58EAD2"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noWrap/>
            <w:vAlign w:val="center"/>
            <w:hideMark/>
          </w:tcPr>
          <w:p w14:paraId="5A356D4D"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noWrap/>
            <w:vAlign w:val="center"/>
            <w:hideMark/>
          </w:tcPr>
          <w:p w14:paraId="4EAF1C35"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720" w:type="dxa"/>
            <w:shd w:val="clear" w:color="000000" w:fill="F2F2F2"/>
            <w:noWrap/>
            <w:vAlign w:val="center"/>
            <w:hideMark/>
          </w:tcPr>
          <w:p w14:paraId="2ED9F30C"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c>
          <w:tcPr>
            <w:tcW w:w="720" w:type="dxa"/>
            <w:shd w:val="clear" w:color="000000" w:fill="F2F2F2"/>
            <w:noWrap/>
            <w:vAlign w:val="center"/>
            <w:hideMark/>
          </w:tcPr>
          <w:p w14:paraId="7A4DEC5F"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c>
          <w:tcPr>
            <w:tcW w:w="720" w:type="dxa"/>
            <w:shd w:val="clear" w:color="000000" w:fill="F2F2F2"/>
            <w:noWrap/>
            <w:vAlign w:val="center"/>
            <w:hideMark/>
          </w:tcPr>
          <w:p w14:paraId="1A71F0A0"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c>
          <w:tcPr>
            <w:tcW w:w="720" w:type="dxa"/>
            <w:shd w:val="clear" w:color="000000" w:fill="F2F2F2"/>
            <w:noWrap/>
            <w:vAlign w:val="center"/>
            <w:hideMark/>
          </w:tcPr>
          <w:p w14:paraId="2028E432"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r>
      <w:tr w:rsidR="00A15C2C" w14:paraId="3D2BD9E6" w14:textId="77777777" w:rsidTr="00617167">
        <w:trPr>
          <w:trHeight w:val="300"/>
        </w:trPr>
        <w:tc>
          <w:tcPr>
            <w:tcW w:w="700" w:type="dxa"/>
            <w:shd w:val="clear" w:color="D9E1F2" w:fill="D9E1F2"/>
            <w:noWrap/>
            <w:hideMark/>
          </w:tcPr>
          <w:p w14:paraId="019FA32C"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1991</w:t>
            </w:r>
          </w:p>
        </w:tc>
        <w:tc>
          <w:tcPr>
            <w:tcW w:w="1191" w:type="dxa"/>
            <w:shd w:val="clear" w:color="D9E1F2" w:fill="D9E1F2"/>
            <w:noWrap/>
            <w:vAlign w:val="center"/>
            <w:hideMark/>
          </w:tcPr>
          <w:p w14:paraId="64437173"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0.1584</w:t>
            </w:r>
          </w:p>
        </w:tc>
        <w:tc>
          <w:tcPr>
            <w:tcW w:w="1004" w:type="dxa"/>
            <w:shd w:val="clear" w:color="D9E1F2" w:fill="D9E1F2"/>
            <w:noWrap/>
            <w:vAlign w:val="center"/>
            <w:hideMark/>
          </w:tcPr>
          <w:p w14:paraId="0A6437E7"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3,922</w:t>
            </w:r>
          </w:p>
        </w:tc>
        <w:tc>
          <w:tcPr>
            <w:tcW w:w="1083" w:type="dxa"/>
            <w:shd w:val="clear" w:color="D9E1F2" w:fill="D9E1F2"/>
            <w:noWrap/>
            <w:vAlign w:val="center"/>
            <w:hideMark/>
          </w:tcPr>
          <w:p w14:paraId="41C13FCE"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621</w:t>
            </w:r>
          </w:p>
        </w:tc>
        <w:tc>
          <w:tcPr>
            <w:tcW w:w="1164" w:type="dxa"/>
            <w:shd w:val="clear" w:color="D9E1F2" w:fill="D9E1F2"/>
            <w:noWrap/>
            <w:vAlign w:val="center"/>
            <w:hideMark/>
          </w:tcPr>
          <w:p w14:paraId="2DB9A617"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0.0040</w:t>
            </w:r>
          </w:p>
        </w:tc>
        <w:tc>
          <w:tcPr>
            <w:tcW w:w="588" w:type="dxa"/>
            <w:shd w:val="clear" w:color="D9E1F2" w:fill="D9E1F2"/>
            <w:noWrap/>
            <w:vAlign w:val="center"/>
            <w:hideMark/>
          </w:tcPr>
          <w:p w14:paraId="46259B8B"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w:t>
            </w:r>
          </w:p>
        </w:tc>
        <w:tc>
          <w:tcPr>
            <w:tcW w:w="588" w:type="dxa"/>
            <w:shd w:val="clear" w:color="D9E1F2" w:fill="D9E1F2"/>
            <w:noWrap/>
            <w:vAlign w:val="center"/>
            <w:hideMark/>
          </w:tcPr>
          <w:p w14:paraId="2BCCFF82"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7272FA29"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000000" w:fill="CC99FF"/>
            <w:noWrap/>
            <w:vAlign w:val="center"/>
            <w:hideMark/>
          </w:tcPr>
          <w:p w14:paraId="3FF3F23A"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shd w:val="clear" w:color="D9E1F2" w:fill="D9E1F2"/>
            <w:noWrap/>
            <w:vAlign w:val="center"/>
            <w:hideMark/>
          </w:tcPr>
          <w:p w14:paraId="0CA07450"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shd w:val="clear" w:color="D9E1F2" w:fill="D9E1F2"/>
            <w:noWrap/>
            <w:vAlign w:val="center"/>
            <w:hideMark/>
          </w:tcPr>
          <w:p w14:paraId="029AE15B"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shd w:val="clear" w:color="D9E1F2" w:fill="D9E1F2"/>
            <w:noWrap/>
            <w:vAlign w:val="center"/>
            <w:hideMark/>
          </w:tcPr>
          <w:p w14:paraId="0AC40DB2"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shd w:val="clear" w:color="D9E1F2" w:fill="D9E1F2"/>
            <w:noWrap/>
            <w:vAlign w:val="center"/>
            <w:hideMark/>
          </w:tcPr>
          <w:p w14:paraId="1E4E0A89"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720" w:type="dxa"/>
            <w:shd w:val="clear" w:color="000000" w:fill="F2F2F2"/>
            <w:noWrap/>
            <w:vAlign w:val="center"/>
            <w:hideMark/>
          </w:tcPr>
          <w:p w14:paraId="32F6DBF7"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c>
          <w:tcPr>
            <w:tcW w:w="720" w:type="dxa"/>
            <w:shd w:val="clear" w:color="000000" w:fill="F2F2F2"/>
            <w:noWrap/>
            <w:vAlign w:val="center"/>
            <w:hideMark/>
          </w:tcPr>
          <w:p w14:paraId="436151C8"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c>
          <w:tcPr>
            <w:tcW w:w="720" w:type="dxa"/>
            <w:shd w:val="clear" w:color="000000" w:fill="F2F2F2"/>
            <w:noWrap/>
            <w:vAlign w:val="center"/>
            <w:hideMark/>
          </w:tcPr>
          <w:p w14:paraId="078B4CF3"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c>
          <w:tcPr>
            <w:tcW w:w="720" w:type="dxa"/>
            <w:shd w:val="clear" w:color="000000" w:fill="F2F2F2"/>
            <w:noWrap/>
            <w:vAlign w:val="center"/>
            <w:hideMark/>
          </w:tcPr>
          <w:p w14:paraId="0613B5A3"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r>
      <w:tr w:rsidR="00A15C2C" w14:paraId="3954D630" w14:textId="77777777" w:rsidTr="00617167">
        <w:trPr>
          <w:trHeight w:val="300"/>
        </w:trPr>
        <w:tc>
          <w:tcPr>
            <w:tcW w:w="700" w:type="dxa"/>
            <w:noWrap/>
            <w:hideMark/>
          </w:tcPr>
          <w:p w14:paraId="5653226C"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1990</w:t>
            </w:r>
          </w:p>
        </w:tc>
        <w:tc>
          <w:tcPr>
            <w:tcW w:w="1191" w:type="dxa"/>
            <w:noWrap/>
            <w:vAlign w:val="center"/>
            <w:hideMark/>
          </w:tcPr>
          <w:p w14:paraId="4E5C6938"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0.1452</w:t>
            </w:r>
          </w:p>
        </w:tc>
        <w:tc>
          <w:tcPr>
            <w:tcW w:w="1004" w:type="dxa"/>
            <w:noWrap/>
            <w:vAlign w:val="center"/>
            <w:hideMark/>
          </w:tcPr>
          <w:p w14:paraId="4A3D56F8"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3,860</w:t>
            </w:r>
          </w:p>
        </w:tc>
        <w:tc>
          <w:tcPr>
            <w:tcW w:w="1083" w:type="dxa"/>
            <w:noWrap/>
            <w:vAlign w:val="center"/>
            <w:hideMark/>
          </w:tcPr>
          <w:p w14:paraId="2E3E48D4"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560</w:t>
            </w:r>
          </w:p>
        </w:tc>
        <w:tc>
          <w:tcPr>
            <w:tcW w:w="1164" w:type="dxa"/>
            <w:noWrap/>
            <w:vAlign w:val="center"/>
            <w:hideMark/>
          </w:tcPr>
          <w:p w14:paraId="267CB39A"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0.0036</w:t>
            </w:r>
          </w:p>
        </w:tc>
        <w:tc>
          <w:tcPr>
            <w:tcW w:w="588" w:type="dxa"/>
            <w:noWrap/>
            <w:vAlign w:val="center"/>
            <w:hideMark/>
          </w:tcPr>
          <w:p w14:paraId="1902D278"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w:t>
            </w:r>
          </w:p>
        </w:tc>
        <w:tc>
          <w:tcPr>
            <w:tcW w:w="588" w:type="dxa"/>
            <w:noWrap/>
            <w:vAlign w:val="center"/>
            <w:hideMark/>
          </w:tcPr>
          <w:p w14:paraId="1C510FED"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6CDCB1C4"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000000" w:fill="CC99FF"/>
            <w:noWrap/>
            <w:vAlign w:val="center"/>
            <w:hideMark/>
          </w:tcPr>
          <w:p w14:paraId="699C8EA8"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noWrap/>
            <w:vAlign w:val="center"/>
            <w:hideMark/>
          </w:tcPr>
          <w:p w14:paraId="3619B6F2"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noWrap/>
            <w:vAlign w:val="center"/>
            <w:hideMark/>
          </w:tcPr>
          <w:p w14:paraId="138C3BAE"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noWrap/>
            <w:vAlign w:val="center"/>
            <w:hideMark/>
          </w:tcPr>
          <w:p w14:paraId="05DA4CEB"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noWrap/>
            <w:vAlign w:val="center"/>
            <w:hideMark/>
          </w:tcPr>
          <w:p w14:paraId="22C58A85"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720" w:type="dxa"/>
            <w:shd w:val="clear" w:color="000000" w:fill="F2F2F2"/>
            <w:noWrap/>
            <w:vAlign w:val="center"/>
            <w:hideMark/>
          </w:tcPr>
          <w:p w14:paraId="0F5FDE2C"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c>
          <w:tcPr>
            <w:tcW w:w="720" w:type="dxa"/>
            <w:shd w:val="clear" w:color="000000" w:fill="F2F2F2"/>
            <w:noWrap/>
            <w:vAlign w:val="center"/>
            <w:hideMark/>
          </w:tcPr>
          <w:p w14:paraId="6BDAE6E5"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c>
          <w:tcPr>
            <w:tcW w:w="720" w:type="dxa"/>
            <w:shd w:val="clear" w:color="000000" w:fill="F2F2F2"/>
            <w:noWrap/>
            <w:vAlign w:val="center"/>
            <w:hideMark/>
          </w:tcPr>
          <w:p w14:paraId="47D8BFC6"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c>
          <w:tcPr>
            <w:tcW w:w="720" w:type="dxa"/>
            <w:shd w:val="clear" w:color="000000" w:fill="F2F2F2"/>
            <w:noWrap/>
            <w:vAlign w:val="center"/>
            <w:hideMark/>
          </w:tcPr>
          <w:p w14:paraId="6141EE03"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r>
      <w:tr w:rsidR="00A15C2C" w14:paraId="2EF9069B" w14:textId="77777777" w:rsidTr="00617167">
        <w:trPr>
          <w:trHeight w:val="300"/>
        </w:trPr>
        <w:tc>
          <w:tcPr>
            <w:tcW w:w="700" w:type="dxa"/>
            <w:shd w:val="clear" w:color="D9E1F2" w:fill="D9E1F2"/>
            <w:noWrap/>
            <w:hideMark/>
          </w:tcPr>
          <w:p w14:paraId="06A9B4E6"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1989</w:t>
            </w:r>
          </w:p>
        </w:tc>
        <w:tc>
          <w:tcPr>
            <w:tcW w:w="1191" w:type="dxa"/>
            <w:shd w:val="clear" w:color="D9E1F2" w:fill="D9E1F2"/>
            <w:noWrap/>
            <w:vAlign w:val="center"/>
            <w:hideMark/>
          </w:tcPr>
          <w:p w14:paraId="378D9DA4"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0.1390</w:t>
            </w:r>
          </w:p>
        </w:tc>
        <w:tc>
          <w:tcPr>
            <w:tcW w:w="1004" w:type="dxa"/>
            <w:shd w:val="clear" w:color="D9E1F2" w:fill="D9E1F2"/>
            <w:noWrap/>
            <w:vAlign w:val="center"/>
            <w:hideMark/>
          </w:tcPr>
          <w:p w14:paraId="4EE57E5C"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3,805</w:t>
            </w:r>
          </w:p>
        </w:tc>
        <w:tc>
          <w:tcPr>
            <w:tcW w:w="1083" w:type="dxa"/>
            <w:shd w:val="clear" w:color="D9E1F2" w:fill="D9E1F2"/>
            <w:noWrap/>
            <w:vAlign w:val="center"/>
            <w:hideMark/>
          </w:tcPr>
          <w:p w14:paraId="552D6AD5"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529</w:t>
            </w:r>
          </w:p>
        </w:tc>
        <w:tc>
          <w:tcPr>
            <w:tcW w:w="1164" w:type="dxa"/>
            <w:shd w:val="clear" w:color="D9E1F2" w:fill="D9E1F2"/>
            <w:noWrap/>
            <w:vAlign w:val="center"/>
            <w:hideMark/>
          </w:tcPr>
          <w:p w14:paraId="4A685E4C"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0.0034</w:t>
            </w:r>
          </w:p>
        </w:tc>
        <w:tc>
          <w:tcPr>
            <w:tcW w:w="588" w:type="dxa"/>
            <w:shd w:val="clear" w:color="D9E1F2" w:fill="D9E1F2"/>
            <w:noWrap/>
            <w:vAlign w:val="center"/>
            <w:hideMark/>
          </w:tcPr>
          <w:p w14:paraId="20F6592F"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w:t>
            </w:r>
          </w:p>
        </w:tc>
        <w:tc>
          <w:tcPr>
            <w:tcW w:w="588" w:type="dxa"/>
            <w:shd w:val="clear" w:color="D9E1F2" w:fill="D9E1F2"/>
            <w:noWrap/>
            <w:vAlign w:val="center"/>
            <w:hideMark/>
          </w:tcPr>
          <w:p w14:paraId="25C8362B"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0CD2DE26"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000000" w:fill="CC99FF"/>
            <w:noWrap/>
            <w:vAlign w:val="center"/>
            <w:hideMark/>
          </w:tcPr>
          <w:p w14:paraId="10A11912"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shd w:val="clear" w:color="D9E1F2" w:fill="D9E1F2"/>
            <w:noWrap/>
            <w:vAlign w:val="center"/>
            <w:hideMark/>
          </w:tcPr>
          <w:p w14:paraId="0F4B8309"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shd w:val="clear" w:color="D9E1F2" w:fill="D9E1F2"/>
            <w:noWrap/>
            <w:vAlign w:val="center"/>
            <w:hideMark/>
          </w:tcPr>
          <w:p w14:paraId="5EEEAC49"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shd w:val="clear" w:color="D9E1F2" w:fill="D9E1F2"/>
            <w:noWrap/>
            <w:vAlign w:val="center"/>
            <w:hideMark/>
          </w:tcPr>
          <w:p w14:paraId="05545952"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shd w:val="clear" w:color="D9E1F2" w:fill="D9E1F2"/>
            <w:noWrap/>
            <w:vAlign w:val="center"/>
            <w:hideMark/>
          </w:tcPr>
          <w:p w14:paraId="0FF34861"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720" w:type="dxa"/>
            <w:shd w:val="clear" w:color="000000" w:fill="F2F2F2"/>
            <w:noWrap/>
            <w:vAlign w:val="center"/>
            <w:hideMark/>
          </w:tcPr>
          <w:p w14:paraId="032C5D73"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c>
          <w:tcPr>
            <w:tcW w:w="720" w:type="dxa"/>
            <w:shd w:val="clear" w:color="000000" w:fill="F2F2F2"/>
            <w:noWrap/>
            <w:vAlign w:val="center"/>
            <w:hideMark/>
          </w:tcPr>
          <w:p w14:paraId="5809BEB2"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c>
          <w:tcPr>
            <w:tcW w:w="720" w:type="dxa"/>
            <w:shd w:val="clear" w:color="000000" w:fill="F2F2F2"/>
            <w:noWrap/>
            <w:vAlign w:val="center"/>
            <w:hideMark/>
          </w:tcPr>
          <w:p w14:paraId="08E59C2B"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c>
          <w:tcPr>
            <w:tcW w:w="720" w:type="dxa"/>
            <w:shd w:val="clear" w:color="000000" w:fill="F2F2F2"/>
            <w:noWrap/>
            <w:vAlign w:val="center"/>
            <w:hideMark/>
          </w:tcPr>
          <w:p w14:paraId="6BA4DE82"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r>
      <w:tr w:rsidR="00A15C2C" w14:paraId="275C8260" w14:textId="77777777" w:rsidTr="00617167">
        <w:trPr>
          <w:trHeight w:val="300"/>
        </w:trPr>
        <w:tc>
          <w:tcPr>
            <w:tcW w:w="700" w:type="dxa"/>
            <w:noWrap/>
            <w:hideMark/>
          </w:tcPr>
          <w:p w14:paraId="227F3902"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1988</w:t>
            </w:r>
          </w:p>
        </w:tc>
        <w:tc>
          <w:tcPr>
            <w:tcW w:w="1191" w:type="dxa"/>
            <w:noWrap/>
            <w:vAlign w:val="center"/>
            <w:hideMark/>
          </w:tcPr>
          <w:p w14:paraId="05BACD42"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0.1250</w:t>
            </w:r>
          </w:p>
        </w:tc>
        <w:tc>
          <w:tcPr>
            <w:tcW w:w="1004" w:type="dxa"/>
            <w:noWrap/>
            <w:vAlign w:val="center"/>
            <w:hideMark/>
          </w:tcPr>
          <w:p w14:paraId="6A61140C"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3,758</w:t>
            </w:r>
          </w:p>
        </w:tc>
        <w:tc>
          <w:tcPr>
            <w:tcW w:w="1083" w:type="dxa"/>
            <w:noWrap/>
            <w:vAlign w:val="center"/>
            <w:hideMark/>
          </w:tcPr>
          <w:p w14:paraId="294AFD9B"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470</w:t>
            </w:r>
          </w:p>
        </w:tc>
        <w:tc>
          <w:tcPr>
            <w:tcW w:w="1164" w:type="dxa"/>
            <w:noWrap/>
            <w:vAlign w:val="center"/>
            <w:hideMark/>
          </w:tcPr>
          <w:p w14:paraId="3CEFF6B4"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0.0030</w:t>
            </w:r>
          </w:p>
        </w:tc>
        <w:tc>
          <w:tcPr>
            <w:tcW w:w="588" w:type="dxa"/>
            <w:noWrap/>
            <w:vAlign w:val="center"/>
            <w:hideMark/>
          </w:tcPr>
          <w:p w14:paraId="5CD83799"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w:t>
            </w:r>
          </w:p>
        </w:tc>
        <w:tc>
          <w:tcPr>
            <w:tcW w:w="588" w:type="dxa"/>
            <w:noWrap/>
            <w:vAlign w:val="center"/>
            <w:hideMark/>
          </w:tcPr>
          <w:p w14:paraId="6DD9CB1C"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5751EBE7"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000000" w:fill="CC99FF"/>
            <w:noWrap/>
            <w:vAlign w:val="center"/>
            <w:hideMark/>
          </w:tcPr>
          <w:p w14:paraId="7CD3EB22"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noWrap/>
            <w:vAlign w:val="center"/>
            <w:hideMark/>
          </w:tcPr>
          <w:p w14:paraId="68F07EF8"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noWrap/>
            <w:vAlign w:val="center"/>
            <w:hideMark/>
          </w:tcPr>
          <w:p w14:paraId="6D43E79A"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noWrap/>
            <w:vAlign w:val="center"/>
            <w:hideMark/>
          </w:tcPr>
          <w:p w14:paraId="6118F448"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noWrap/>
            <w:vAlign w:val="center"/>
            <w:hideMark/>
          </w:tcPr>
          <w:p w14:paraId="15605962"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720" w:type="dxa"/>
            <w:shd w:val="clear" w:color="000000" w:fill="F2F2F2"/>
            <w:noWrap/>
            <w:vAlign w:val="center"/>
            <w:hideMark/>
          </w:tcPr>
          <w:p w14:paraId="2C51B54E"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c>
          <w:tcPr>
            <w:tcW w:w="720" w:type="dxa"/>
            <w:shd w:val="clear" w:color="000000" w:fill="F2F2F2"/>
            <w:noWrap/>
            <w:vAlign w:val="center"/>
            <w:hideMark/>
          </w:tcPr>
          <w:p w14:paraId="55A54DB9"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c>
          <w:tcPr>
            <w:tcW w:w="720" w:type="dxa"/>
            <w:shd w:val="clear" w:color="000000" w:fill="F2F2F2"/>
            <w:noWrap/>
            <w:vAlign w:val="center"/>
            <w:hideMark/>
          </w:tcPr>
          <w:p w14:paraId="41A38A9F"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c>
          <w:tcPr>
            <w:tcW w:w="720" w:type="dxa"/>
            <w:shd w:val="clear" w:color="000000" w:fill="F2F2F2"/>
            <w:noWrap/>
            <w:vAlign w:val="center"/>
            <w:hideMark/>
          </w:tcPr>
          <w:p w14:paraId="3A09DC7D"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r>
      <w:tr w:rsidR="00A15C2C" w14:paraId="72F1D96D" w14:textId="77777777" w:rsidTr="00617167">
        <w:trPr>
          <w:trHeight w:val="300"/>
        </w:trPr>
        <w:tc>
          <w:tcPr>
            <w:tcW w:w="700" w:type="dxa"/>
            <w:shd w:val="clear" w:color="D9E1F2" w:fill="D9E1F2"/>
            <w:noWrap/>
            <w:hideMark/>
          </w:tcPr>
          <w:p w14:paraId="230263FC"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1987</w:t>
            </w:r>
          </w:p>
        </w:tc>
        <w:tc>
          <w:tcPr>
            <w:tcW w:w="1191" w:type="dxa"/>
            <w:shd w:val="clear" w:color="D9E1F2" w:fill="D9E1F2"/>
            <w:noWrap/>
            <w:vAlign w:val="center"/>
            <w:hideMark/>
          </w:tcPr>
          <w:p w14:paraId="2DC27C7C"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0.1112</w:t>
            </w:r>
          </w:p>
        </w:tc>
        <w:tc>
          <w:tcPr>
            <w:tcW w:w="1004" w:type="dxa"/>
            <w:shd w:val="clear" w:color="D9E1F2" w:fill="D9E1F2"/>
            <w:noWrap/>
            <w:vAlign w:val="center"/>
            <w:hideMark/>
          </w:tcPr>
          <w:p w14:paraId="192E74E5"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3,718</w:t>
            </w:r>
          </w:p>
        </w:tc>
        <w:tc>
          <w:tcPr>
            <w:tcW w:w="1083" w:type="dxa"/>
            <w:shd w:val="clear" w:color="D9E1F2" w:fill="D9E1F2"/>
            <w:noWrap/>
            <w:vAlign w:val="center"/>
            <w:hideMark/>
          </w:tcPr>
          <w:p w14:paraId="2647327C"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413</w:t>
            </w:r>
          </w:p>
        </w:tc>
        <w:tc>
          <w:tcPr>
            <w:tcW w:w="1164" w:type="dxa"/>
            <w:shd w:val="clear" w:color="D9E1F2" w:fill="D9E1F2"/>
            <w:noWrap/>
            <w:vAlign w:val="center"/>
            <w:hideMark/>
          </w:tcPr>
          <w:p w14:paraId="146888DB"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0.0026</w:t>
            </w:r>
          </w:p>
        </w:tc>
        <w:tc>
          <w:tcPr>
            <w:tcW w:w="588" w:type="dxa"/>
            <w:shd w:val="clear" w:color="D9E1F2" w:fill="D9E1F2"/>
            <w:noWrap/>
            <w:vAlign w:val="center"/>
            <w:hideMark/>
          </w:tcPr>
          <w:p w14:paraId="0956E9D1"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w:t>
            </w:r>
          </w:p>
        </w:tc>
        <w:tc>
          <w:tcPr>
            <w:tcW w:w="588" w:type="dxa"/>
            <w:shd w:val="clear" w:color="D9E1F2" w:fill="D9E1F2"/>
            <w:noWrap/>
            <w:vAlign w:val="center"/>
            <w:hideMark/>
          </w:tcPr>
          <w:p w14:paraId="6654A980"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58F784A4"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000000" w:fill="CC99FF"/>
            <w:noWrap/>
            <w:vAlign w:val="center"/>
            <w:hideMark/>
          </w:tcPr>
          <w:p w14:paraId="2AA86C0F"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shd w:val="clear" w:color="D9E1F2" w:fill="D9E1F2"/>
            <w:noWrap/>
            <w:vAlign w:val="center"/>
            <w:hideMark/>
          </w:tcPr>
          <w:p w14:paraId="1A46452E"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shd w:val="clear" w:color="D9E1F2" w:fill="D9E1F2"/>
            <w:noWrap/>
            <w:vAlign w:val="center"/>
            <w:hideMark/>
          </w:tcPr>
          <w:p w14:paraId="14D8C55D"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shd w:val="clear" w:color="D9E1F2" w:fill="D9E1F2"/>
            <w:noWrap/>
            <w:vAlign w:val="center"/>
            <w:hideMark/>
          </w:tcPr>
          <w:p w14:paraId="5B18377B"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shd w:val="clear" w:color="D9E1F2" w:fill="D9E1F2"/>
            <w:noWrap/>
            <w:vAlign w:val="center"/>
            <w:hideMark/>
          </w:tcPr>
          <w:p w14:paraId="4B155A73"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720" w:type="dxa"/>
            <w:shd w:val="clear" w:color="000000" w:fill="F2F2F2"/>
            <w:noWrap/>
            <w:vAlign w:val="center"/>
            <w:hideMark/>
          </w:tcPr>
          <w:p w14:paraId="0D3BD5C8"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c>
          <w:tcPr>
            <w:tcW w:w="720" w:type="dxa"/>
            <w:shd w:val="clear" w:color="000000" w:fill="F2F2F2"/>
            <w:noWrap/>
            <w:vAlign w:val="center"/>
            <w:hideMark/>
          </w:tcPr>
          <w:p w14:paraId="4B8511A1"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c>
          <w:tcPr>
            <w:tcW w:w="720" w:type="dxa"/>
            <w:shd w:val="clear" w:color="000000" w:fill="F2F2F2"/>
            <w:noWrap/>
            <w:vAlign w:val="center"/>
            <w:hideMark/>
          </w:tcPr>
          <w:p w14:paraId="4B021B43"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c>
          <w:tcPr>
            <w:tcW w:w="720" w:type="dxa"/>
            <w:shd w:val="clear" w:color="000000" w:fill="F2F2F2"/>
            <w:noWrap/>
            <w:vAlign w:val="center"/>
            <w:hideMark/>
          </w:tcPr>
          <w:p w14:paraId="2ADCC803"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r>
      <w:tr w:rsidR="00A15C2C" w14:paraId="3AA799BD" w14:textId="77777777" w:rsidTr="00617167">
        <w:trPr>
          <w:trHeight w:val="300"/>
        </w:trPr>
        <w:tc>
          <w:tcPr>
            <w:tcW w:w="700" w:type="dxa"/>
            <w:noWrap/>
            <w:hideMark/>
          </w:tcPr>
          <w:p w14:paraId="432F2F98"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1986</w:t>
            </w:r>
          </w:p>
        </w:tc>
        <w:tc>
          <w:tcPr>
            <w:tcW w:w="1191" w:type="dxa"/>
            <w:noWrap/>
            <w:vAlign w:val="center"/>
            <w:hideMark/>
          </w:tcPr>
          <w:p w14:paraId="0441C3F2"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0.1028</w:t>
            </w:r>
          </w:p>
        </w:tc>
        <w:tc>
          <w:tcPr>
            <w:tcW w:w="1004" w:type="dxa"/>
            <w:noWrap/>
            <w:vAlign w:val="center"/>
            <w:hideMark/>
          </w:tcPr>
          <w:p w14:paraId="6A06D9B4"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3,687</w:t>
            </w:r>
          </w:p>
        </w:tc>
        <w:tc>
          <w:tcPr>
            <w:tcW w:w="1083" w:type="dxa"/>
            <w:noWrap/>
            <w:vAlign w:val="center"/>
            <w:hideMark/>
          </w:tcPr>
          <w:p w14:paraId="23DAB079"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379</w:t>
            </w:r>
          </w:p>
        </w:tc>
        <w:tc>
          <w:tcPr>
            <w:tcW w:w="1164" w:type="dxa"/>
            <w:noWrap/>
            <w:vAlign w:val="center"/>
            <w:hideMark/>
          </w:tcPr>
          <w:p w14:paraId="17B0E2E2"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0.0024</w:t>
            </w:r>
          </w:p>
        </w:tc>
        <w:tc>
          <w:tcPr>
            <w:tcW w:w="588" w:type="dxa"/>
            <w:noWrap/>
            <w:vAlign w:val="center"/>
            <w:hideMark/>
          </w:tcPr>
          <w:p w14:paraId="77FCB22B"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w:t>
            </w:r>
          </w:p>
        </w:tc>
        <w:tc>
          <w:tcPr>
            <w:tcW w:w="588" w:type="dxa"/>
            <w:noWrap/>
            <w:vAlign w:val="center"/>
            <w:hideMark/>
          </w:tcPr>
          <w:p w14:paraId="344C130F"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6583EE9A"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000000" w:fill="CC99FF"/>
            <w:noWrap/>
            <w:vAlign w:val="center"/>
            <w:hideMark/>
          </w:tcPr>
          <w:p w14:paraId="11658714"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noWrap/>
            <w:vAlign w:val="center"/>
            <w:hideMark/>
          </w:tcPr>
          <w:p w14:paraId="7EFBCAC6"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noWrap/>
            <w:vAlign w:val="center"/>
            <w:hideMark/>
          </w:tcPr>
          <w:p w14:paraId="1C9F1D32"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noWrap/>
            <w:vAlign w:val="center"/>
            <w:hideMark/>
          </w:tcPr>
          <w:p w14:paraId="1F2FC608"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noWrap/>
            <w:vAlign w:val="center"/>
            <w:hideMark/>
          </w:tcPr>
          <w:p w14:paraId="06CCE399"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720" w:type="dxa"/>
            <w:shd w:val="clear" w:color="000000" w:fill="F2F2F2"/>
            <w:noWrap/>
            <w:vAlign w:val="center"/>
            <w:hideMark/>
          </w:tcPr>
          <w:p w14:paraId="7D440B04"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c>
          <w:tcPr>
            <w:tcW w:w="720" w:type="dxa"/>
            <w:shd w:val="clear" w:color="000000" w:fill="F2F2F2"/>
            <w:noWrap/>
            <w:vAlign w:val="center"/>
            <w:hideMark/>
          </w:tcPr>
          <w:p w14:paraId="36679FA0"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c>
          <w:tcPr>
            <w:tcW w:w="720" w:type="dxa"/>
            <w:shd w:val="clear" w:color="000000" w:fill="F2F2F2"/>
            <w:noWrap/>
            <w:vAlign w:val="center"/>
            <w:hideMark/>
          </w:tcPr>
          <w:p w14:paraId="40638AAD"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c>
          <w:tcPr>
            <w:tcW w:w="720" w:type="dxa"/>
            <w:shd w:val="clear" w:color="000000" w:fill="F2F2F2"/>
            <w:noWrap/>
            <w:vAlign w:val="center"/>
            <w:hideMark/>
          </w:tcPr>
          <w:p w14:paraId="45CBE89D"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r>
      <w:tr w:rsidR="00A15C2C" w14:paraId="2934B93A" w14:textId="77777777" w:rsidTr="00617167">
        <w:trPr>
          <w:trHeight w:val="300"/>
        </w:trPr>
        <w:tc>
          <w:tcPr>
            <w:tcW w:w="700" w:type="dxa"/>
            <w:shd w:val="clear" w:color="D9E1F2" w:fill="D9E1F2"/>
            <w:noWrap/>
            <w:hideMark/>
          </w:tcPr>
          <w:p w14:paraId="4AC1C52C"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1985</w:t>
            </w:r>
          </w:p>
        </w:tc>
        <w:tc>
          <w:tcPr>
            <w:tcW w:w="1191" w:type="dxa"/>
            <w:shd w:val="clear" w:color="D9E1F2" w:fill="D9E1F2"/>
            <w:noWrap/>
            <w:vAlign w:val="center"/>
            <w:hideMark/>
          </w:tcPr>
          <w:p w14:paraId="06B5F6D7"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0.0933</w:t>
            </w:r>
          </w:p>
        </w:tc>
        <w:tc>
          <w:tcPr>
            <w:tcW w:w="1004" w:type="dxa"/>
            <w:shd w:val="clear" w:color="D9E1F2" w:fill="D9E1F2"/>
            <w:noWrap/>
            <w:vAlign w:val="center"/>
            <w:hideMark/>
          </w:tcPr>
          <w:p w14:paraId="0DCB3F05"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3,660</w:t>
            </w:r>
          </w:p>
        </w:tc>
        <w:tc>
          <w:tcPr>
            <w:tcW w:w="1083" w:type="dxa"/>
            <w:shd w:val="clear" w:color="D9E1F2" w:fill="D9E1F2"/>
            <w:noWrap/>
            <w:vAlign w:val="center"/>
            <w:hideMark/>
          </w:tcPr>
          <w:p w14:paraId="493D5D09"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341</w:t>
            </w:r>
          </w:p>
        </w:tc>
        <w:tc>
          <w:tcPr>
            <w:tcW w:w="1164" w:type="dxa"/>
            <w:shd w:val="clear" w:color="D9E1F2" w:fill="D9E1F2"/>
            <w:noWrap/>
            <w:vAlign w:val="center"/>
            <w:hideMark/>
          </w:tcPr>
          <w:p w14:paraId="52270147"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0.0022</w:t>
            </w:r>
          </w:p>
        </w:tc>
        <w:tc>
          <w:tcPr>
            <w:tcW w:w="588" w:type="dxa"/>
            <w:shd w:val="clear" w:color="D9E1F2" w:fill="D9E1F2"/>
            <w:noWrap/>
            <w:vAlign w:val="center"/>
            <w:hideMark/>
          </w:tcPr>
          <w:p w14:paraId="3D68E6EC"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w:t>
            </w:r>
          </w:p>
        </w:tc>
        <w:tc>
          <w:tcPr>
            <w:tcW w:w="588" w:type="dxa"/>
            <w:shd w:val="clear" w:color="D9E1F2" w:fill="D9E1F2"/>
            <w:noWrap/>
            <w:vAlign w:val="center"/>
            <w:hideMark/>
          </w:tcPr>
          <w:p w14:paraId="7C6FB550"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648BA623"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000000" w:fill="CC99FF"/>
            <w:noWrap/>
            <w:vAlign w:val="center"/>
            <w:hideMark/>
          </w:tcPr>
          <w:p w14:paraId="5C717217"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shd w:val="clear" w:color="D9E1F2" w:fill="D9E1F2"/>
            <w:noWrap/>
            <w:vAlign w:val="center"/>
            <w:hideMark/>
          </w:tcPr>
          <w:p w14:paraId="0732D358"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shd w:val="clear" w:color="D9E1F2" w:fill="D9E1F2"/>
            <w:noWrap/>
            <w:vAlign w:val="center"/>
            <w:hideMark/>
          </w:tcPr>
          <w:p w14:paraId="43E29B87"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shd w:val="clear" w:color="D9E1F2" w:fill="D9E1F2"/>
            <w:noWrap/>
            <w:vAlign w:val="center"/>
            <w:hideMark/>
          </w:tcPr>
          <w:p w14:paraId="67756B99"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shd w:val="clear" w:color="D9E1F2" w:fill="D9E1F2"/>
            <w:noWrap/>
            <w:vAlign w:val="center"/>
            <w:hideMark/>
          </w:tcPr>
          <w:p w14:paraId="1EADB975"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720" w:type="dxa"/>
            <w:shd w:val="clear" w:color="000000" w:fill="F2F2F2"/>
            <w:noWrap/>
            <w:vAlign w:val="center"/>
            <w:hideMark/>
          </w:tcPr>
          <w:p w14:paraId="09B06E10"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c>
          <w:tcPr>
            <w:tcW w:w="720" w:type="dxa"/>
            <w:shd w:val="clear" w:color="000000" w:fill="F2F2F2"/>
            <w:noWrap/>
            <w:vAlign w:val="center"/>
            <w:hideMark/>
          </w:tcPr>
          <w:p w14:paraId="507B03E6"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c>
          <w:tcPr>
            <w:tcW w:w="720" w:type="dxa"/>
            <w:shd w:val="clear" w:color="000000" w:fill="F2F2F2"/>
            <w:noWrap/>
            <w:vAlign w:val="center"/>
            <w:hideMark/>
          </w:tcPr>
          <w:p w14:paraId="1A516F37"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c>
          <w:tcPr>
            <w:tcW w:w="720" w:type="dxa"/>
            <w:shd w:val="clear" w:color="000000" w:fill="F2F2F2"/>
            <w:noWrap/>
            <w:vAlign w:val="center"/>
            <w:hideMark/>
          </w:tcPr>
          <w:p w14:paraId="41245098"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r>
      <w:tr w:rsidR="00A15C2C" w14:paraId="784C9B11" w14:textId="77777777" w:rsidTr="00617167">
        <w:trPr>
          <w:trHeight w:val="300"/>
        </w:trPr>
        <w:tc>
          <w:tcPr>
            <w:tcW w:w="700" w:type="dxa"/>
            <w:noWrap/>
            <w:hideMark/>
          </w:tcPr>
          <w:p w14:paraId="66B2B006"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1984</w:t>
            </w:r>
          </w:p>
        </w:tc>
        <w:tc>
          <w:tcPr>
            <w:tcW w:w="1191" w:type="dxa"/>
            <w:noWrap/>
            <w:vAlign w:val="center"/>
            <w:hideMark/>
          </w:tcPr>
          <w:p w14:paraId="7017BABB"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0.0835</w:t>
            </w:r>
          </w:p>
        </w:tc>
        <w:tc>
          <w:tcPr>
            <w:tcW w:w="1004" w:type="dxa"/>
            <w:noWrap/>
            <w:vAlign w:val="center"/>
            <w:hideMark/>
          </w:tcPr>
          <w:p w14:paraId="59638EFE"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3,660</w:t>
            </w:r>
          </w:p>
        </w:tc>
        <w:tc>
          <w:tcPr>
            <w:tcW w:w="1083" w:type="dxa"/>
            <w:noWrap/>
            <w:vAlign w:val="center"/>
            <w:hideMark/>
          </w:tcPr>
          <w:p w14:paraId="5B71983D"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305</w:t>
            </w:r>
          </w:p>
        </w:tc>
        <w:tc>
          <w:tcPr>
            <w:tcW w:w="1164" w:type="dxa"/>
            <w:noWrap/>
            <w:vAlign w:val="center"/>
            <w:hideMark/>
          </w:tcPr>
          <w:p w14:paraId="2FEA4091"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0.0020</w:t>
            </w:r>
          </w:p>
        </w:tc>
        <w:tc>
          <w:tcPr>
            <w:tcW w:w="588" w:type="dxa"/>
            <w:noWrap/>
            <w:vAlign w:val="center"/>
            <w:hideMark/>
          </w:tcPr>
          <w:p w14:paraId="48BBBD70"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w:t>
            </w:r>
          </w:p>
        </w:tc>
        <w:tc>
          <w:tcPr>
            <w:tcW w:w="588" w:type="dxa"/>
            <w:noWrap/>
            <w:vAlign w:val="center"/>
            <w:hideMark/>
          </w:tcPr>
          <w:p w14:paraId="655F4575"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12F87631"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000000" w:fill="CC99FF"/>
            <w:noWrap/>
            <w:vAlign w:val="center"/>
            <w:hideMark/>
          </w:tcPr>
          <w:p w14:paraId="60DB03B9"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noWrap/>
            <w:vAlign w:val="center"/>
            <w:hideMark/>
          </w:tcPr>
          <w:p w14:paraId="4D2ACCD0"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noWrap/>
            <w:vAlign w:val="center"/>
            <w:hideMark/>
          </w:tcPr>
          <w:p w14:paraId="7E002405"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noWrap/>
            <w:vAlign w:val="center"/>
            <w:hideMark/>
          </w:tcPr>
          <w:p w14:paraId="6672D990"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0.01</w:t>
            </w:r>
          </w:p>
        </w:tc>
        <w:tc>
          <w:tcPr>
            <w:tcW w:w="588" w:type="dxa"/>
            <w:noWrap/>
            <w:vAlign w:val="center"/>
            <w:hideMark/>
          </w:tcPr>
          <w:p w14:paraId="5F114BFE"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720" w:type="dxa"/>
            <w:shd w:val="clear" w:color="000000" w:fill="F2F2F2"/>
            <w:noWrap/>
            <w:vAlign w:val="center"/>
            <w:hideMark/>
          </w:tcPr>
          <w:p w14:paraId="359D3195"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c>
          <w:tcPr>
            <w:tcW w:w="720" w:type="dxa"/>
            <w:shd w:val="clear" w:color="000000" w:fill="F2F2F2"/>
            <w:noWrap/>
            <w:vAlign w:val="center"/>
            <w:hideMark/>
          </w:tcPr>
          <w:p w14:paraId="6A83E097"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c>
          <w:tcPr>
            <w:tcW w:w="720" w:type="dxa"/>
            <w:shd w:val="clear" w:color="000000" w:fill="F2F2F2"/>
            <w:noWrap/>
            <w:vAlign w:val="center"/>
            <w:hideMark/>
          </w:tcPr>
          <w:p w14:paraId="604BFB49"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0.01</w:t>
            </w:r>
          </w:p>
        </w:tc>
        <w:tc>
          <w:tcPr>
            <w:tcW w:w="720" w:type="dxa"/>
            <w:shd w:val="clear" w:color="000000" w:fill="F2F2F2"/>
            <w:noWrap/>
            <w:vAlign w:val="center"/>
            <w:hideMark/>
          </w:tcPr>
          <w:p w14:paraId="5DF41814"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0.00</w:t>
            </w:r>
          </w:p>
        </w:tc>
      </w:tr>
      <w:tr w:rsidR="00A15C2C" w14:paraId="314AAAC1" w14:textId="77777777" w:rsidTr="00617167">
        <w:trPr>
          <w:trHeight w:val="300"/>
        </w:trPr>
        <w:tc>
          <w:tcPr>
            <w:tcW w:w="700" w:type="dxa"/>
            <w:shd w:val="clear" w:color="D9E1F2" w:fill="D9E1F2"/>
            <w:noWrap/>
            <w:hideMark/>
          </w:tcPr>
          <w:p w14:paraId="2DE5D948"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1983</w:t>
            </w:r>
          </w:p>
        </w:tc>
        <w:tc>
          <w:tcPr>
            <w:tcW w:w="1191" w:type="dxa"/>
            <w:shd w:val="clear" w:color="D9E1F2" w:fill="D9E1F2"/>
            <w:noWrap/>
            <w:vAlign w:val="center"/>
            <w:hideMark/>
          </w:tcPr>
          <w:p w14:paraId="65CD6D9B"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0.0731</w:t>
            </w:r>
          </w:p>
        </w:tc>
        <w:tc>
          <w:tcPr>
            <w:tcW w:w="1004" w:type="dxa"/>
            <w:shd w:val="clear" w:color="D9E1F2" w:fill="D9E1F2"/>
            <w:noWrap/>
            <w:vAlign w:val="center"/>
            <w:hideMark/>
          </w:tcPr>
          <w:p w14:paraId="14F2B3F8"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3,660</w:t>
            </w:r>
          </w:p>
        </w:tc>
        <w:tc>
          <w:tcPr>
            <w:tcW w:w="1083" w:type="dxa"/>
            <w:shd w:val="clear" w:color="D9E1F2" w:fill="D9E1F2"/>
            <w:noWrap/>
            <w:vAlign w:val="center"/>
            <w:hideMark/>
          </w:tcPr>
          <w:p w14:paraId="3DEEF0B5"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267</w:t>
            </w:r>
          </w:p>
        </w:tc>
        <w:tc>
          <w:tcPr>
            <w:tcW w:w="1164" w:type="dxa"/>
            <w:shd w:val="clear" w:color="D9E1F2" w:fill="D9E1F2"/>
            <w:noWrap/>
            <w:vAlign w:val="center"/>
            <w:hideMark/>
          </w:tcPr>
          <w:p w14:paraId="129531C3"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0.0017</w:t>
            </w:r>
          </w:p>
        </w:tc>
        <w:tc>
          <w:tcPr>
            <w:tcW w:w="588" w:type="dxa"/>
            <w:shd w:val="clear" w:color="D9E1F2" w:fill="D9E1F2"/>
            <w:noWrap/>
            <w:vAlign w:val="center"/>
            <w:hideMark/>
          </w:tcPr>
          <w:p w14:paraId="00A2CFCC"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w:t>
            </w:r>
          </w:p>
        </w:tc>
        <w:tc>
          <w:tcPr>
            <w:tcW w:w="588" w:type="dxa"/>
            <w:shd w:val="clear" w:color="D9E1F2" w:fill="D9E1F2"/>
            <w:noWrap/>
            <w:vAlign w:val="center"/>
            <w:hideMark/>
          </w:tcPr>
          <w:p w14:paraId="010A834E"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0B5BF1AD"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000000" w:fill="CC99FF"/>
            <w:noWrap/>
            <w:vAlign w:val="center"/>
            <w:hideMark/>
          </w:tcPr>
          <w:p w14:paraId="61532A82"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D9E1F2" w:fill="D9E1F2"/>
            <w:noWrap/>
            <w:vAlign w:val="center"/>
            <w:hideMark/>
          </w:tcPr>
          <w:p w14:paraId="4E92B8AE"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D9E1F2" w:fill="D9E1F2"/>
            <w:noWrap/>
            <w:vAlign w:val="center"/>
            <w:hideMark/>
          </w:tcPr>
          <w:p w14:paraId="6DC3CAD1"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D9E1F2" w:fill="D9E1F2"/>
            <w:noWrap/>
            <w:vAlign w:val="center"/>
            <w:hideMark/>
          </w:tcPr>
          <w:p w14:paraId="0B48AB71"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D9E1F2" w:fill="D9E1F2"/>
            <w:noWrap/>
            <w:vAlign w:val="center"/>
            <w:hideMark/>
          </w:tcPr>
          <w:p w14:paraId="7DE5B6BC"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720" w:type="dxa"/>
            <w:shd w:val="clear" w:color="000000" w:fill="F2F2F2"/>
            <w:noWrap/>
            <w:vAlign w:val="center"/>
            <w:hideMark/>
          </w:tcPr>
          <w:p w14:paraId="70A03C56"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0.00</w:t>
            </w:r>
          </w:p>
        </w:tc>
        <w:tc>
          <w:tcPr>
            <w:tcW w:w="720" w:type="dxa"/>
            <w:shd w:val="clear" w:color="000000" w:fill="F2F2F2"/>
            <w:noWrap/>
            <w:vAlign w:val="center"/>
            <w:hideMark/>
          </w:tcPr>
          <w:p w14:paraId="4E379AC4"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0.00</w:t>
            </w:r>
          </w:p>
        </w:tc>
        <w:tc>
          <w:tcPr>
            <w:tcW w:w="720" w:type="dxa"/>
            <w:shd w:val="clear" w:color="000000" w:fill="F2F2F2"/>
            <w:noWrap/>
            <w:vAlign w:val="center"/>
            <w:hideMark/>
          </w:tcPr>
          <w:p w14:paraId="46391DDB"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0.00</w:t>
            </w:r>
          </w:p>
        </w:tc>
        <w:tc>
          <w:tcPr>
            <w:tcW w:w="720" w:type="dxa"/>
            <w:shd w:val="clear" w:color="000000" w:fill="F2F2F2"/>
            <w:noWrap/>
            <w:vAlign w:val="center"/>
            <w:hideMark/>
          </w:tcPr>
          <w:p w14:paraId="183B2D6F"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0.00</w:t>
            </w:r>
          </w:p>
        </w:tc>
      </w:tr>
      <w:tr w:rsidR="00A15C2C" w14:paraId="315404D2" w14:textId="77777777" w:rsidTr="00617167">
        <w:trPr>
          <w:trHeight w:val="300"/>
        </w:trPr>
        <w:tc>
          <w:tcPr>
            <w:tcW w:w="700" w:type="dxa"/>
            <w:noWrap/>
            <w:hideMark/>
          </w:tcPr>
          <w:p w14:paraId="18858721"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1982</w:t>
            </w:r>
          </w:p>
        </w:tc>
        <w:tc>
          <w:tcPr>
            <w:tcW w:w="1191" w:type="dxa"/>
            <w:noWrap/>
            <w:vAlign w:val="center"/>
            <w:hideMark/>
          </w:tcPr>
          <w:p w14:paraId="559DCEBC"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0.0619</w:t>
            </w:r>
          </w:p>
        </w:tc>
        <w:tc>
          <w:tcPr>
            <w:tcW w:w="1004" w:type="dxa"/>
            <w:noWrap/>
            <w:vAlign w:val="center"/>
            <w:hideMark/>
          </w:tcPr>
          <w:p w14:paraId="2210E2A8"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3,660</w:t>
            </w:r>
          </w:p>
        </w:tc>
        <w:tc>
          <w:tcPr>
            <w:tcW w:w="1083" w:type="dxa"/>
            <w:noWrap/>
            <w:vAlign w:val="center"/>
            <w:hideMark/>
          </w:tcPr>
          <w:p w14:paraId="7CD41122"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227</w:t>
            </w:r>
          </w:p>
        </w:tc>
        <w:tc>
          <w:tcPr>
            <w:tcW w:w="1164" w:type="dxa"/>
            <w:noWrap/>
            <w:vAlign w:val="center"/>
            <w:hideMark/>
          </w:tcPr>
          <w:p w14:paraId="6EA237D7"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0.0015</w:t>
            </w:r>
          </w:p>
        </w:tc>
        <w:tc>
          <w:tcPr>
            <w:tcW w:w="588" w:type="dxa"/>
            <w:noWrap/>
            <w:vAlign w:val="center"/>
            <w:hideMark/>
          </w:tcPr>
          <w:p w14:paraId="604521EC"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w:t>
            </w:r>
          </w:p>
        </w:tc>
        <w:tc>
          <w:tcPr>
            <w:tcW w:w="588" w:type="dxa"/>
            <w:noWrap/>
            <w:vAlign w:val="center"/>
            <w:hideMark/>
          </w:tcPr>
          <w:p w14:paraId="57334D73"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662F1223"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000000" w:fill="CC99FF"/>
            <w:noWrap/>
            <w:vAlign w:val="center"/>
            <w:hideMark/>
          </w:tcPr>
          <w:p w14:paraId="36D7AEFE"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noWrap/>
            <w:vAlign w:val="center"/>
            <w:hideMark/>
          </w:tcPr>
          <w:p w14:paraId="0B611DCB"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noWrap/>
            <w:vAlign w:val="center"/>
            <w:hideMark/>
          </w:tcPr>
          <w:p w14:paraId="27C0AE38"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noWrap/>
            <w:vAlign w:val="center"/>
            <w:hideMark/>
          </w:tcPr>
          <w:p w14:paraId="25E85A09"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noWrap/>
            <w:vAlign w:val="center"/>
            <w:hideMark/>
          </w:tcPr>
          <w:p w14:paraId="5DD2CDE1"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720" w:type="dxa"/>
            <w:shd w:val="clear" w:color="000000" w:fill="F2F2F2"/>
            <w:noWrap/>
            <w:vAlign w:val="center"/>
            <w:hideMark/>
          </w:tcPr>
          <w:p w14:paraId="7B311CEE"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0.00</w:t>
            </w:r>
          </w:p>
        </w:tc>
        <w:tc>
          <w:tcPr>
            <w:tcW w:w="720" w:type="dxa"/>
            <w:shd w:val="clear" w:color="000000" w:fill="F2F2F2"/>
            <w:noWrap/>
            <w:vAlign w:val="center"/>
            <w:hideMark/>
          </w:tcPr>
          <w:p w14:paraId="262FE1C1"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0.00</w:t>
            </w:r>
          </w:p>
        </w:tc>
        <w:tc>
          <w:tcPr>
            <w:tcW w:w="720" w:type="dxa"/>
            <w:shd w:val="clear" w:color="000000" w:fill="F2F2F2"/>
            <w:noWrap/>
            <w:vAlign w:val="center"/>
            <w:hideMark/>
          </w:tcPr>
          <w:p w14:paraId="15F4765E"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0.00</w:t>
            </w:r>
          </w:p>
        </w:tc>
        <w:tc>
          <w:tcPr>
            <w:tcW w:w="720" w:type="dxa"/>
            <w:shd w:val="clear" w:color="000000" w:fill="F2F2F2"/>
            <w:noWrap/>
            <w:vAlign w:val="center"/>
            <w:hideMark/>
          </w:tcPr>
          <w:p w14:paraId="5E6DB20A"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0.00</w:t>
            </w:r>
          </w:p>
        </w:tc>
      </w:tr>
      <w:tr w:rsidR="00A15C2C" w14:paraId="26708814" w14:textId="77777777" w:rsidTr="00617167">
        <w:trPr>
          <w:trHeight w:val="300"/>
        </w:trPr>
        <w:tc>
          <w:tcPr>
            <w:tcW w:w="700" w:type="dxa"/>
            <w:shd w:val="clear" w:color="D9E1F2" w:fill="D9E1F2"/>
            <w:noWrap/>
            <w:hideMark/>
          </w:tcPr>
          <w:p w14:paraId="7F49C84C"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1981</w:t>
            </w:r>
          </w:p>
        </w:tc>
        <w:tc>
          <w:tcPr>
            <w:tcW w:w="1191" w:type="dxa"/>
            <w:shd w:val="clear" w:color="D9E1F2" w:fill="D9E1F2"/>
            <w:noWrap/>
            <w:vAlign w:val="center"/>
            <w:hideMark/>
          </w:tcPr>
          <w:p w14:paraId="4C960DE9"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0.0502</w:t>
            </w:r>
          </w:p>
        </w:tc>
        <w:tc>
          <w:tcPr>
            <w:tcW w:w="1004" w:type="dxa"/>
            <w:shd w:val="clear" w:color="D9E1F2" w:fill="D9E1F2"/>
            <w:noWrap/>
            <w:vAlign w:val="center"/>
            <w:hideMark/>
          </w:tcPr>
          <w:p w14:paraId="33A078B0"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3,660</w:t>
            </w:r>
          </w:p>
        </w:tc>
        <w:tc>
          <w:tcPr>
            <w:tcW w:w="1083" w:type="dxa"/>
            <w:shd w:val="clear" w:color="D9E1F2" w:fill="D9E1F2"/>
            <w:noWrap/>
            <w:vAlign w:val="center"/>
            <w:hideMark/>
          </w:tcPr>
          <w:p w14:paraId="2E42D7FF"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184</w:t>
            </w:r>
          </w:p>
        </w:tc>
        <w:tc>
          <w:tcPr>
            <w:tcW w:w="1164" w:type="dxa"/>
            <w:shd w:val="clear" w:color="D9E1F2" w:fill="D9E1F2"/>
            <w:noWrap/>
            <w:vAlign w:val="center"/>
            <w:hideMark/>
          </w:tcPr>
          <w:p w14:paraId="5565263B"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0.0012</w:t>
            </w:r>
          </w:p>
        </w:tc>
        <w:tc>
          <w:tcPr>
            <w:tcW w:w="588" w:type="dxa"/>
            <w:shd w:val="clear" w:color="D9E1F2" w:fill="D9E1F2"/>
            <w:noWrap/>
            <w:vAlign w:val="center"/>
            <w:hideMark/>
          </w:tcPr>
          <w:p w14:paraId="2478820C"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w:t>
            </w:r>
          </w:p>
        </w:tc>
        <w:tc>
          <w:tcPr>
            <w:tcW w:w="588" w:type="dxa"/>
            <w:shd w:val="clear" w:color="D9E1F2" w:fill="D9E1F2"/>
            <w:noWrap/>
            <w:vAlign w:val="center"/>
            <w:hideMark/>
          </w:tcPr>
          <w:p w14:paraId="3E21CD51"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31CE76CA"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000000" w:fill="CC99FF"/>
            <w:noWrap/>
            <w:vAlign w:val="center"/>
            <w:hideMark/>
          </w:tcPr>
          <w:p w14:paraId="58AFFF78"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D9E1F2" w:fill="D9E1F2"/>
            <w:noWrap/>
            <w:vAlign w:val="center"/>
            <w:hideMark/>
          </w:tcPr>
          <w:p w14:paraId="72E8817F"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D9E1F2" w:fill="D9E1F2"/>
            <w:noWrap/>
            <w:vAlign w:val="center"/>
            <w:hideMark/>
          </w:tcPr>
          <w:p w14:paraId="5CBCDC59"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D9E1F2" w:fill="D9E1F2"/>
            <w:noWrap/>
            <w:vAlign w:val="center"/>
            <w:hideMark/>
          </w:tcPr>
          <w:p w14:paraId="545E1BDF"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D9E1F2" w:fill="D9E1F2"/>
            <w:noWrap/>
            <w:vAlign w:val="center"/>
            <w:hideMark/>
          </w:tcPr>
          <w:p w14:paraId="3960162D"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720" w:type="dxa"/>
            <w:shd w:val="clear" w:color="000000" w:fill="F2F2F2"/>
            <w:noWrap/>
            <w:vAlign w:val="center"/>
            <w:hideMark/>
          </w:tcPr>
          <w:p w14:paraId="363F7FDC"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0.00</w:t>
            </w:r>
          </w:p>
        </w:tc>
        <w:tc>
          <w:tcPr>
            <w:tcW w:w="720" w:type="dxa"/>
            <w:shd w:val="clear" w:color="000000" w:fill="F2F2F2"/>
            <w:noWrap/>
            <w:vAlign w:val="center"/>
            <w:hideMark/>
          </w:tcPr>
          <w:p w14:paraId="3D18E7A6"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0.00</w:t>
            </w:r>
          </w:p>
        </w:tc>
        <w:tc>
          <w:tcPr>
            <w:tcW w:w="720" w:type="dxa"/>
            <w:shd w:val="clear" w:color="000000" w:fill="F2F2F2"/>
            <w:noWrap/>
            <w:vAlign w:val="center"/>
            <w:hideMark/>
          </w:tcPr>
          <w:p w14:paraId="7F7BA524"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0.00</w:t>
            </w:r>
          </w:p>
        </w:tc>
        <w:tc>
          <w:tcPr>
            <w:tcW w:w="720" w:type="dxa"/>
            <w:shd w:val="clear" w:color="000000" w:fill="F2F2F2"/>
            <w:noWrap/>
            <w:vAlign w:val="center"/>
            <w:hideMark/>
          </w:tcPr>
          <w:p w14:paraId="457B4E1D"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0.00</w:t>
            </w:r>
          </w:p>
        </w:tc>
      </w:tr>
      <w:tr w:rsidR="00A15C2C" w14:paraId="0638069A" w14:textId="77777777" w:rsidTr="00617167">
        <w:trPr>
          <w:trHeight w:val="300"/>
        </w:trPr>
        <w:tc>
          <w:tcPr>
            <w:tcW w:w="700" w:type="dxa"/>
            <w:noWrap/>
            <w:hideMark/>
          </w:tcPr>
          <w:p w14:paraId="46211D10"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1980</w:t>
            </w:r>
          </w:p>
        </w:tc>
        <w:tc>
          <w:tcPr>
            <w:tcW w:w="1191" w:type="dxa"/>
            <w:noWrap/>
            <w:vAlign w:val="center"/>
            <w:hideMark/>
          </w:tcPr>
          <w:p w14:paraId="7F64D8AF"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0.0384</w:t>
            </w:r>
          </w:p>
        </w:tc>
        <w:tc>
          <w:tcPr>
            <w:tcW w:w="1004" w:type="dxa"/>
            <w:noWrap/>
            <w:vAlign w:val="center"/>
            <w:hideMark/>
          </w:tcPr>
          <w:p w14:paraId="5AD9A4AA"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3,660</w:t>
            </w:r>
          </w:p>
        </w:tc>
        <w:tc>
          <w:tcPr>
            <w:tcW w:w="1083" w:type="dxa"/>
            <w:noWrap/>
            <w:vAlign w:val="center"/>
            <w:hideMark/>
          </w:tcPr>
          <w:p w14:paraId="6A8EE798"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141</w:t>
            </w:r>
          </w:p>
        </w:tc>
        <w:tc>
          <w:tcPr>
            <w:tcW w:w="1164" w:type="dxa"/>
            <w:noWrap/>
            <w:vAlign w:val="center"/>
            <w:hideMark/>
          </w:tcPr>
          <w:p w14:paraId="0757AA42"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0.0009</w:t>
            </w:r>
          </w:p>
        </w:tc>
        <w:tc>
          <w:tcPr>
            <w:tcW w:w="588" w:type="dxa"/>
            <w:noWrap/>
            <w:vAlign w:val="center"/>
            <w:hideMark/>
          </w:tcPr>
          <w:p w14:paraId="492B5901"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w:t>
            </w:r>
          </w:p>
        </w:tc>
        <w:tc>
          <w:tcPr>
            <w:tcW w:w="588" w:type="dxa"/>
            <w:noWrap/>
            <w:vAlign w:val="center"/>
            <w:hideMark/>
          </w:tcPr>
          <w:p w14:paraId="1F024997"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35CDF19C"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000000" w:fill="CC99FF"/>
            <w:noWrap/>
            <w:vAlign w:val="center"/>
            <w:hideMark/>
          </w:tcPr>
          <w:p w14:paraId="38BAB9A6"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noWrap/>
            <w:vAlign w:val="center"/>
            <w:hideMark/>
          </w:tcPr>
          <w:p w14:paraId="6E70F62F"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noWrap/>
            <w:vAlign w:val="center"/>
            <w:hideMark/>
          </w:tcPr>
          <w:p w14:paraId="7EA163F4"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noWrap/>
            <w:vAlign w:val="center"/>
            <w:hideMark/>
          </w:tcPr>
          <w:p w14:paraId="108483A6"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noWrap/>
            <w:vAlign w:val="center"/>
            <w:hideMark/>
          </w:tcPr>
          <w:p w14:paraId="46BB4275"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720" w:type="dxa"/>
            <w:shd w:val="clear" w:color="000000" w:fill="F2F2F2"/>
            <w:noWrap/>
            <w:vAlign w:val="center"/>
            <w:hideMark/>
          </w:tcPr>
          <w:p w14:paraId="18F16377"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0.00</w:t>
            </w:r>
          </w:p>
        </w:tc>
        <w:tc>
          <w:tcPr>
            <w:tcW w:w="720" w:type="dxa"/>
            <w:shd w:val="clear" w:color="000000" w:fill="F2F2F2"/>
            <w:noWrap/>
            <w:vAlign w:val="center"/>
            <w:hideMark/>
          </w:tcPr>
          <w:p w14:paraId="7F81815A"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0.00</w:t>
            </w:r>
          </w:p>
        </w:tc>
        <w:tc>
          <w:tcPr>
            <w:tcW w:w="720" w:type="dxa"/>
            <w:shd w:val="clear" w:color="000000" w:fill="F2F2F2"/>
            <w:noWrap/>
            <w:vAlign w:val="center"/>
            <w:hideMark/>
          </w:tcPr>
          <w:p w14:paraId="264C5195"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0.00</w:t>
            </w:r>
          </w:p>
        </w:tc>
        <w:tc>
          <w:tcPr>
            <w:tcW w:w="720" w:type="dxa"/>
            <w:shd w:val="clear" w:color="000000" w:fill="F2F2F2"/>
            <w:noWrap/>
            <w:vAlign w:val="center"/>
            <w:hideMark/>
          </w:tcPr>
          <w:p w14:paraId="58E28C95"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0.00</w:t>
            </w:r>
          </w:p>
        </w:tc>
      </w:tr>
      <w:tr w:rsidR="00A15C2C" w14:paraId="156F4E56" w14:textId="77777777" w:rsidTr="00617167">
        <w:trPr>
          <w:trHeight w:val="300"/>
        </w:trPr>
        <w:tc>
          <w:tcPr>
            <w:tcW w:w="700" w:type="dxa"/>
            <w:shd w:val="clear" w:color="D9E1F2" w:fill="D9E1F2"/>
            <w:noWrap/>
            <w:hideMark/>
          </w:tcPr>
          <w:p w14:paraId="2E61E696"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1979</w:t>
            </w:r>
          </w:p>
        </w:tc>
        <w:tc>
          <w:tcPr>
            <w:tcW w:w="1191" w:type="dxa"/>
            <w:shd w:val="clear" w:color="D9E1F2" w:fill="D9E1F2"/>
            <w:noWrap/>
            <w:vAlign w:val="center"/>
            <w:hideMark/>
          </w:tcPr>
          <w:p w14:paraId="7CD7DB82"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0.0273</w:t>
            </w:r>
          </w:p>
        </w:tc>
        <w:tc>
          <w:tcPr>
            <w:tcW w:w="1004" w:type="dxa"/>
            <w:shd w:val="clear" w:color="D9E1F2" w:fill="D9E1F2"/>
            <w:noWrap/>
            <w:vAlign w:val="center"/>
            <w:hideMark/>
          </w:tcPr>
          <w:p w14:paraId="000D1453"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3,660</w:t>
            </w:r>
          </w:p>
        </w:tc>
        <w:tc>
          <w:tcPr>
            <w:tcW w:w="1083" w:type="dxa"/>
            <w:shd w:val="clear" w:color="D9E1F2" w:fill="D9E1F2"/>
            <w:noWrap/>
            <w:vAlign w:val="center"/>
            <w:hideMark/>
          </w:tcPr>
          <w:p w14:paraId="10D15EA4"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100</w:t>
            </w:r>
          </w:p>
        </w:tc>
        <w:tc>
          <w:tcPr>
            <w:tcW w:w="1164" w:type="dxa"/>
            <w:shd w:val="clear" w:color="D9E1F2" w:fill="D9E1F2"/>
            <w:noWrap/>
            <w:vAlign w:val="center"/>
            <w:hideMark/>
          </w:tcPr>
          <w:p w14:paraId="4B286CAE"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0.0006</w:t>
            </w:r>
          </w:p>
        </w:tc>
        <w:tc>
          <w:tcPr>
            <w:tcW w:w="588" w:type="dxa"/>
            <w:shd w:val="clear" w:color="D9E1F2" w:fill="D9E1F2"/>
            <w:noWrap/>
            <w:vAlign w:val="center"/>
            <w:hideMark/>
          </w:tcPr>
          <w:p w14:paraId="68DE320F"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w:t>
            </w:r>
          </w:p>
        </w:tc>
        <w:tc>
          <w:tcPr>
            <w:tcW w:w="588" w:type="dxa"/>
            <w:shd w:val="clear" w:color="D9E1F2" w:fill="D9E1F2"/>
            <w:noWrap/>
            <w:vAlign w:val="center"/>
            <w:hideMark/>
          </w:tcPr>
          <w:p w14:paraId="2F3351D3"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5ED6E677"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000000" w:fill="CC99FF"/>
            <w:noWrap/>
            <w:vAlign w:val="center"/>
            <w:hideMark/>
          </w:tcPr>
          <w:p w14:paraId="755442C3"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D9E1F2" w:fill="D9E1F2"/>
            <w:noWrap/>
            <w:vAlign w:val="center"/>
            <w:hideMark/>
          </w:tcPr>
          <w:p w14:paraId="3C922362"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D9E1F2" w:fill="D9E1F2"/>
            <w:noWrap/>
            <w:vAlign w:val="center"/>
            <w:hideMark/>
          </w:tcPr>
          <w:p w14:paraId="4D6439D9"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D9E1F2" w:fill="D9E1F2"/>
            <w:noWrap/>
            <w:vAlign w:val="center"/>
            <w:hideMark/>
          </w:tcPr>
          <w:p w14:paraId="190C0C1B"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D9E1F2" w:fill="D9E1F2"/>
            <w:noWrap/>
            <w:vAlign w:val="center"/>
            <w:hideMark/>
          </w:tcPr>
          <w:p w14:paraId="7E392C37"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720" w:type="dxa"/>
            <w:shd w:val="clear" w:color="000000" w:fill="F2F2F2"/>
            <w:noWrap/>
            <w:vAlign w:val="center"/>
            <w:hideMark/>
          </w:tcPr>
          <w:p w14:paraId="726233F6"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0.00</w:t>
            </w:r>
          </w:p>
        </w:tc>
        <w:tc>
          <w:tcPr>
            <w:tcW w:w="720" w:type="dxa"/>
            <w:shd w:val="clear" w:color="000000" w:fill="F2F2F2"/>
            <w:noWrap/>
            <w:vAlign w:val="center"/>
            <w:hideMark/>
          </w:tcPr>
          <w:p w14:paraId="3C70597B"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0.00</w:t>
            </w:r>
          </w:p>
        </w:tc>
        <w:tc>
          <w:tcPr>
            <w:tcW w:w="720" w:type="dxa"/>
            <w:shd w:val="clear" w:color="000000" w:fill="F2F2F2"/>
            <w:noWrap/>
            <w:vAlign w:val="center"/>
            <w:hideMark/>
          </w:tcPr>
          <w:p w14:paraId="3D2599ED"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0.00</w:t>
            </w:r>
          </w:p>
        </w:tc>
        <w:tc>
          <w:tcPr>
            <w:tcW w:w="720" w:type="dxa"/>
            <w:shd w:val="clear" w:color="000000" w:fill="F2F2F2"/>
            <w:noWrap/>
            <w:vAlign w:val="center"/>
            <w:hideMark/>
          </w:tcPr>
          <w:p w14:paraId="668EF58F"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0.00</w:t>
            </w:r>
          </w:p>
        </w:tc>
      </w:tr>
      <w:tr w:rsidR="00A15C2C" w14:paraId="3672FE01" w14:textId="77777777" w:rsidTr="00617167">
        <w:trPr>
          <w:trHeight w:val="300"/>
        </w:trPr>
        <w:tc>
          <w:tcPr>
            <w:tcW w:w="700" w:type="dxa"/>
            <w:noWrap/>
            <w:hideMark/>
          </w:tcPr>
          <w:p w14:paraId="6A1CF57B"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1978</w:t>
            </w:r>
          </w:p>
        </w:tc>
        <w:tc>
          <w:tcPr>
            <w:tcW w:w="1191" w:type="dxa"/>
            <w:noWrap/>
            <w:vAlign w:val="center"/>
            <w:hideMark/>
          </w:tcPr>
          <w:p w14:paraId="74027162"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0.0000</w:t>
            </w:r>
          </w:p>
        </w:tc>
        <w:tc>
          <w:tcPr>
            <w:tcW w:w="1004" w:type="dxa"/>
            <w:noWrap/>
            <w:vAlign w:val="center"/>
            <w:hideMark/>
          </w:tcPr>
          <w:p w14:paraId="1CC4A68D"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3,660</w:t>
            </w:r>
          </w:p>
        </w:tc>
        <w:tc>
          <w:tcPr>
            <w:tcW w:w="1083" w:type="dxa"/>
            <w:noWrap/>
            <w:vAlign w:val="center"/>
            <w:hideMark/>
          </w:tcPr>
          <w:p w14:paraId="3F364311"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w:t>
            </w:r>
          </w:p>
        </w:tc>
        <w:tc>
          <w:tcPr>
            <w:tcW w:w="1164" w:type="dxa"/>
            <w:noWrap/>
            <w:vAlign w:val="center"/>
            <w:hideMark/>
          </w:tcPr>
          <w:p w14:paraId="1FB7C6D5"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0.0000</w:t>
            </w:r>
          </w:p>
        </w:tc>
        <w:tc>
          <w:tcPr>
            <w:tcW w:w="588" w:type="dxa"/>
            <w:noWrap/>
            <w:vAlign w:val="center"/>
            <w:hideMark/>
          </w:tcPr>
          <w:p w14:paraId="6853A32E"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w:t>
            </w:r>
          </w:p>
        </w:tc>
        <w:tc>
          <w:tcPr>
            <w:tcW w:w="588" w:type="dxa"/>
            <w:noWrap/>
            <w:vAlign w:val="center"/>
            <w:hideMark/>
          </w:tcPr>
          <w:p w14:paraId="6BA818B0"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2AC8173E"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000000" w:fill="CC99FF"/>
            <w:noWrap/>
            <w:vAlign w:val="center"/>
            <w:hideMark/>
          </w:tcPr>
          <w:p w14:paraId="59307060"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noWrap/>
            <w:vAlign w:val="center"/>
            <w:hideMark/>
          </w:tcPr>
          <w:p w14:paraId="3253FE53"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noWrap/>
            <w:vAlign w:val="center"/>
            <w:hideMark/>
          </w:tcPr>
          <w:p w14:paraId="5B507BC2"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noWrap/>
            <w:vAlign w:val="center"/>
            <w:hideMark/>
          </w:tcPr>
          <w:p w14:paraId="39A8B7DD"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noWrap/>
            <w:vAlign w:val="center"/>
            <w:hideMark/>
          </w:tcPr>
          <w:p w14:paraId="18A272D4"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720" w:type="dxa"/>
            <w:shd w:val="clear" w:color="000000" w:fill="F2F2F2"/>
            <w:noWrap/>
            <w:vAlign w:val="center"/>
            <w:hideMark/>
          </w:tcPr>
          <w:p w14:paraId="2B1BE4D1"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0.00</w:t>
            </w:r>
          </w:p>
        </w:tc>
        <w:tc>
          <w:tcPr>
            <w:tcW w:w="720" w:type="dxa"/>
            <w:shd w:val="clear" w:color="000000" w:fill="F2F2F2"/>
            <w:noWrap/>
            <w:vAlign w:val="center"/>
            <w:hideMark/>
          </w:tcPr>
          <w:p w14:paraId="6825E96F"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0.00</w:t>
            </w:r>
          </w:p>
        </w:tc>
        <w:tc>
          <w:tcPr>
            <w:tcW w:w="720" w:type="dxa"/>
            <w:shd w:val="clear" w:color="000000" w:fill="F2F2F2"/>
            <w:noWrap/>
            <w:vAlign w:val="center"/>
            <w:hideMark/>
          </w:tcPr>
          <w:p w14:paraId="11793A6B"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0.00</w:t>
            </w:r>
          </w:p>
        </w:tc>
        <w:tc>
          <w:tcPr>
            <w:tcW w:w="720" w:type="dxa"/>
            <w:shd w:val="clear" w:color="000000" w:fill="F2F2F2"/>
            <w:noWrap/>
            <w:vAlign w:val="center"/>
            <w:hideMark/>
          </w:tcPr>
          <w:p w14:paraId="72C2CE58"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0.00</w:t>
            </w:r>
          </w:p>
        </w:tc>
      </w:tr>
      <w:tr w:rsidR="00A15C2C" w14:paraId="5A14D9BC" w14:textId="77777777" w:rsidTr="00617167">
        <w:trPr>
          <w:trHeight w:val="300"/>
        </w:trPr>
        <w:tc>
          <w:tcPr>
            <w:tcW w:w="700" w:type="dxa"/>
            <w:shd w:val="clear" w:color="D9E1F2" w:fill="D9E1F2"/>
            <w:noWrap/>
            <w:hideMark/>
          </w:tcPr>
          <w:p w14:paraId="748745E6"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1977</w:t>
            </w:r>
          </w:p>
        </w:tc>
        <w:tc>
          <w:tcPr>
            <w:tcW w:w="1191" w:type="dxa"/>
            <w:shd w:val="clear" w:color="D9E1F2" w:fill="D9E1F2"/>
            <w:noWrap/>
            <w:vAlign w:val="center"/>
            <w:hideMark/>
          </w:tcPr>
          <w:p w14:paraId="04918B15"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0.0000</w:t>
            </w:r>
          </w:p>
        </w:tc>
        <w:tc>
          <w:tcPr>
            <w:tcW w:w="1004" w:type="dxa"/>
            <w:shd w:val="clear" w:color="D9E1F2" w:fill="D9E1F2"/>
            <w:noWrap/>
            <w:vAlign w:val="center"/>
            <w:hideMark/>
          </w:tcPr>
          <w:p w14:paraId="5E91684A"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3,660</w:t>
            </w:r>
          </w:p>
        </w:tc>
        <w:tc>
          <w:tcPr>
            <w:tcW w:w="1083" w:type="dxa"/>
            <w:shd w:val="clear" w:color="D9E1F2" w:fill="D9E1F2"/>
            <w:noWrap/>
            <w:vAlign w:val="center"/>
            <w:hideMark/>
          </w:tcPr>
          <w:p w14:paraId="0B5AB98D"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w:t>
            </w:r>
          </w:p>
        </w:tc>
        <w:tc>
          <w:tcPr>
            <w:tcW w:w="1164" w:type="dxa"/>
            <w:shd w:val="clear" w:color="D9E1F2" w:fill="D9E1F2"/>
            <w:noWrap/>
            <w:vAlign w:val="center"/>
            <w:hideMark/>
          </w:tcPr>
          <w:p w14:paraId="328D0175"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0.0000</w:t>
            </w:r>
          </w:p>
        </w:tc>
        <w:tc>
          <w:tcPr>
            <w:tcW w:w="588" w:type="dxa"/>
            <w:shd w:val="clear" w:color="D9E1F2" w:fill="D9E1F2"/>
            <w:noWrap/>
            <w:vAlign w:val="center"/>
            <w:hideMark/>
          </w:tcPr>
          <w:p w14:paraId="667DB7EC"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w:t>
            </w:r>
          </w:p>
        </w:tc>
        <w:tc>
          <w:tcPr>
            <w:tcW w:w="588" w:type="dxa"/>
            <w:shd w:val="clear" w:color="D9E1F2" w:fill="D9E1F2"/>
            <w:noWrap/>
            <w:vAlign w:val="center"/>
            <w:hideMark/>
          </w:tcPr>
          <w:p w14:paraId="0005D173"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7A40CDCA"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000000" w:fill="CC99FF"/>
            <w:noWrap/>
            <w:vAlign w:val="center"/>
            <w:hideMark/>
          </w:tcPr>
          <w:p w14:paraId="2323B440"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D9E1F2" w:fill="D9E1F2"/>
            <w:noWrap/>
            <w:vAlign w:val="center"/>
            <w:hideMark/>
          </w:tcPr>
          <w:p w14:paraId="2BC6B1E0"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D9E1F2" w:fill="D9E1F2"/>
            <w:noWrap/>
            <w:vAlign w:val="center"/>
            <w:hideMark/>
          </w:tcPr>
          <w:p w14:paraId="00A2A1D1"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D9E1F2" w:fill="D9E1F2"/>
            <w:noWrap/>
            <w:vAlign w:val="center"/>
            <w:hideMark/>
          </w:tcPr>
          <w:p w14:paraId="7A266E51"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D9E1F2" w:fill="D9E1F2"/>
            <w:noWrap/>
            <w:vAlign w:val="center"/>
            <w:hideMark/>
          </w:tcPr>
          <w:p w14:paraId="2F631DC0"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720" w:type="dxa"/>
            <w:shd w:val="clear" w:color="000000" w:fill="F2F2F2"/>
            <w:noWrap/>
            <w:vAlign w:val="center"/>
            <w:hideMark/>
          </w:tcPr>
          <w:p w14:paraId="08792B97"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0.00</w:t>
            </w:r>
          </w:p>
        </w:tc>
        <w:tc>
          <w:tcPr>
            <w:tcW w:w="720" w:type="dxa"/>
            <w:shd w:val="clear" w:color="000000" w:fill="F2F2F2"/>
            <w:noWrap/>
            <w:vAlign w:val="center"/>
            <w:hideMark/>
          </w:tcPr>
          <w:p w14:paraId="2B89F55B"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0.00</w:t>
            </w:r>
          </w:p>
        </w:tc>
        <w:tc>
          <w:tcPr>
            <w:tcW w:w="720" w:type="dxa"/>
            <w:shd w:val="clear" w:color="000000" w:fill="F2F2F2"/>
            <w:noWrap/>
            <w:vAlign w:val="center"/>
            <w:hideMark/>
          </w:tcPr>
          <w:p w14:paraId="6696720F"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0.00</w:t>
            </w:r>
          </w:p>
        </w:tc>
        <w:tc>
          <w:tcPr>
            <w:tcW w:w="720" w:type="dxa"/>
            <w:shd w:val="clear" w:color="000000" w:fill="F2F2F2"/>
            <w:noWrap/>
            <w:vAlign w:val="center"/>
            <w:hideMark/>
          </w:tcPr>
          <w:p w14:paraId="34A286A9"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0.00</w:t>
            </w:r>
          </w:p>
        </w:tc>
      </w:tr>
      <w:tr w:rsidR="00A15C2C" w14:paraId="63CA188D" w14:textId="77777777" w:rsidTr="00617167">
        <w:trPr>
          <w:trHeight w:val="300"/>
        </w:trPr>
        <w:tc>
          <w:tcPr>
            <w:tcW w:w="700" w:type="dxa"/>
            <w:noWrap/>
            <w:hideMark/>
          </w:tcPr>
          <w:p w14:paraId="6CF1E10E" w14:textId="77777777" w:rsidR="001D6419" w:rsidRPr="00843B03" w:rsidRDefault="000F5B51" w:rsidP="00D07617">
            <w:pPr>
              <w:spacing w:after="0" w:line="240" w:lineRule="auto"/>
              <w:contextualSpacing/>
              <w:rPr>
                <w:rFonts w:eastAsia="Times New Roman" w:cs="Times New Roman"/>
                <w:szCs w:val="24"/>
              </w:rPr>
            </w:pPr>
            <w:r w:rsidRPr="005E3D4C">
              <w:rPr>
                <w:rFonts w:cs="Times New Roman"/>
              </w:rPr>
              <w:t>1976</w:t>
            </w:r>
          </w:p>
        </w:tc>
        <w:tc>
          <w:tcPr>
            <w:tcW w:w="1191" w:type="dxa"/>
            <w:noWrap/>
            <w:vAlign w:val="center"/>
            <w:hideMark/>
          </w:tcPr>
          <w:p w14:paraId="1653B52C"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0.0000</w:t>
            </w:r>
          </w:p>
        </w:tc>
        <w:tc>
          <w:tcPr>
            <w:tcW w:w="1004" w:type="dxa"/>
            <w:noWrap/>
            <w:vAlign w:val="center"/>
            <w:hideMark/>
          </w:tcPr>
          <w:p w14:paraId="245A1FCB"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3,660</w:t>
            </w:r>
          </w:p>
        </w:tc>
        <w:tc>
          <w:tcPr>
            <w:tcW w:w="1083" w:type="dxa"/>
            <w:noWrap/>
            <w:vAlign w:val="center"/>
            <w:hideMark/>
          </w:tcPr>
          <w:p w14:paraId="30827B2D"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w:t>
            </w:r>
          </w:p>
        </w:tc>
        <w:tc>
          <w:tcPr>
            <w:tcW w:w="1164" w:type="dxa"/>
            <w:noWrap/>
            <w:vAlign w:val="center"/>
            <w:hideMark/>
          </w:tcPr>
          <w:p w14:paraId="18BC2B51"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0.0000</w:t>
            </w:r>
          </w:p>
        </w:tc>
        <w:tc>
          <w:tcPr>
            <w:tcW w:w="588" w:type="dxa"/>
            <w:noWrap/>
            <w:vAlign w:val="center"/>
            <w:hideMark/>
          </w:tcPr>
          <w:p w14:paraId="05D67E39"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0.00</w:t>
            </w:r>
          </w:p>
        </w:tc>
        <w:tc>
          <w:tcPr>
            <w:tcW w:w="588" w:type="dxa"/>
            <w:noWrap/>
            <w:vAlign w:val="center"/>
            <w:hideMark/>
          </w:tcPr>
          <w:p w14:paraId="10B5023D" w14:textId="77777777" w:rsidR="001D6419" w:rsidRPr="00843B03" w:rsidRDefault="000F5B51" w:rsidP="00617167">
            <w:pPr>
              <w:spacing w:after="0" w:line="240" w:lineRule="auto"/>
              <w:contextualSpacing/>
              <w:jc w:val="center"/>
              <w:rPr>
                <w:rFonts w:eastAsia="Times New Roman" w:cs="Times New Roman"/>
                <w:szCs w:val="24"/>
              </w:rPr>
            </w:pPr>
            <w:r w:rsidRPr="005E3D4C">
              <w:rPr>
                <w:rFonts w:cs="Times New Roman"/>
              </w:rPr>
              <w:t>1.00</w:t>
            </w:r>
          </w:p>
        </w:tc>
        <w:tc>
          <w:tcPr>
            <w:tcW w:w="588" w:type="dxa"/>
            <w:shd w:val="clear" w:color="000000" w:fill="CC99FF"/>
            <w:noWrap/>
            <w:vAlign w:val="center"/>
            <w:hideMark/>
          </w:tcPr>
          <w:p w14:paraId="0B23941D"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shd w:val="clear" w:color="000000" w:fill="CC99FF"/>
            <w:noWrap/>
            <w:vAlign w:val="center"/>
            <w:hideMark/>
          </w:tcPr>
          <w:p w14:paraId="6EF5C79E"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noWrap/>
            <w:vAlign w:val="center"/>
            <w:hideMark/>
          </w:tcPr>
          <w:p w14:paraId="65F7E33F"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noWrap/>
            <w:vAlign w:val="center"/>
            <w:hideMark/>
          </w:tcPr>
          <w:p w14:paraId="71D5C29F"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noWrap/>
            <w:vAlign w:val="center"/>
            <w:hideMark/>
          </w:tcPr>
          <w:p w14:paraId="30984CB1"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588" w:type="dxa"/>
            <w:noWrap/>
            <w:vAlign w:val="center"/>
            <w:hideMark/>
          </w:tcPr>
          <w:p w14:paraId="5DC2F0C0" w14:textId="77777777" w:rsidR="001D6419" w:rsidRPr="00843B03" w:rsidRDefault="000F5B51" w:rsidP="00617167">
            <w:pPr>
              <w:spacing w:after="0" w:line="240" w:lineRule="auto"/>
              <w:contextualSpacing/>
              <w:jc w:val="center"/>
              <w:rPr>
                <w:rFonts w:eastAsia="Times New Roman" w:cs="Times New Roman"/>
                <w:szCs w:val="24"/>
              </w:rPr>
            </w:pPr>
            <w:r w:rsidRPr="00617167">
              <w:rPr>
                <w:rFonts w:cs="Times New Roman"/>
                <w:color w:val="000000"/>
                <w:szCs w:val="24"/>
              </w:rPr>
              <w:t>0.00</w:t>
            </w:r>
          </w:p>
        </w:tc>
        <w:tc>
          <w:tcPr>
            <w:tcW w:w="720" w:type="dxa"/>
            <w:shd w:val="clear" w:color="000000" w:fill="F2F2F2"/>
            <w:noWrap/>
            <w:vAlign w:val="center"/>
            <w:hideMark/>
          </w:tcPr>
          <w:p w14:paraId="1A9AD669"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0.00</w:t>
            </w:r>
          </w:p>
        </w:tc>
        <w:tc>
          <w:tcPr>
            <w:tcW w:w="720" w:type="dxa"/>
            <w:shd w:val="clear" w:color="000000" w:fill="F2F2F2"/>
            <w:noWrap/>
            <w:vAlign w:val="center"/>
            <w:hideMark/>
          </w:tcPr>
          <w:p w14:paraId="412039C2"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0.00</w:t>
            </w:r>
          </w:p>
        </w:tc>
        <w:tc>
          <w:tcPr>
            <w:tcW w:w="720" w:type="dxa"/>
            <w:shd w:val="clear" w:color="000000" w:fill="F2F2F2"/>
            <w:noWrap/>
            <w:vAlign w:val="center"/>
            <w:hideMark/>
          </w:tcPr>
          <w:p w14:paraId="0C54A97C"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0.00</w:t>
            </w:r>
          </w:p>
        </w:tc>
        <w:tc>
          <w:tcPr>
            <w:tcW w:w="720" w:type="dxa"/>
            <w:shd w:val="clear" w:color="000000" w:fill="F2F2F2"/>
            <w:noWrap/>
            <w:vAlign w:val="center"/>
            <w:hideMark/>
          </w:tcPr>
          <w:p w14:paraId="26F6C401" w14:textId="77777777" w:rsidR="001D6419" w:rsidRPr="00843B03" w:rsidRDefault="000F5B51" w:rsidP="00617167">
            <w:pPr>
              <w:spacing w:after="0" w:line="240" w:lineRule="auto"/>
              <w:contextualSpacing/>
              <w:jc w:val="center"/>
              <w:rPr>
                <w:rFonts w:eastAsia="Times New Roman" w:cs="Times New Roman"/>
                <w:b/>
                <w:bCs/>
                <w:szCs w:val="24"/>
              </w:rPr>
            </w:pPr>
            <w:r w:rsidRPr="00617167">
              <w:rPr>
                <w:rFonts w:cs="Times New Roman"/>
                <w:b/>
                <w:bCs/>
                <w:color w:val="3F3F3F"/>
                <w:szCs w:val="24"/>
              </w:rPr>
              <w:t>0.00</w:t>
            </w:r>
          </w:p>
        </w:tc>
      </w:tr>
    </w:tbl>
    <w:p w14:paraId="5B1CD048" w14:textId="77777777" w:rsidR="001D6419" w:rsidRDefault="001D6419" w:rsidP="001D6419">
      <w:pPr>
        <w:spacing w:after="0"/>
        <w:contextualSpacing/>
        <w:rPr>
          <w:rFonts w:eastAsia="Times New Roman" w:cs="Times New Roman"/>
          <w:szCs w:val="24"/>
        </w:rPr>
      </w:pPr>
    </w:p>
    <w:p w14:paraId="7B6F4C0B" w14:textId="7F6B662B" w:rsidR="001D6419" w:rsidRPr="00885DCD" w:rsidRDefault="000F5B51" w:rsidP="001D6419">
      <w:pPr>
        <w:pStyle w:val="Caption"/>
      </w:pPr>
      <w:bookmarkStart w:id="2036" w:name="_Toc517354440"/>
      <w:bookmarkStart w:id="2037" w:name="_Toc103595414"/>
      <w:r>
        <w:t>T</w:t>
      </w:r>
      <w:r w:rsidRPr="00885DCD">
        <w:t xml:space="preserve">able </w:t>
      </w:r>
      <w:r w:rsidR="00115BAB">
        <w:fldChar w:fldCharType="begin"/>
      </w:r>
      <w:r>
        <w:instrText xml:space="preserve"> SEQ Table \* ARABIC </w:instrText>
      </w:r>
      <w:r w:rsidR="00115BAB">
        <w:fldChar w:fldCharType="separate"/>
      </w:r>
      <w:r w:rsidR="00A65CB3">
        <w:rPr>
          <w:noProof/>
        </w:rPr>
        <w:t>121</w:t>
      </w:r>
      <w:r w:rsidR="00115BAB">
        <w:rPr>
          <w:noProof/>
        </w:rPr>
        <w:fldChar w:fldCharType="end"/>
      </w:r>
      <w:r w:rsidR="001E0F09">
        <w:t>:</w:t>
      </w:r>
      <w:r>
        <w:t xml:space="preserve"> FMVSS No. 226 Adjustment Factors for LTV</w:t>
      </w:r>
      <w:bookmarkEnd w:id="2036"/>
      <w:bookmarkEnd w:id="2037"/>
    </w:p>
    <w:tbl>
      <w:tblPr>
        <w:tblW w:w="0" w:type="auto"/>
        <w:jc w:val="center"/>
        <w:tblLayout w:type="fixed"/>
        <w:tblCellMar>
          <w:left w:w="30" w:type="dxa"/>
          <w:right w:w="30" w:type="dxa"/>
        </w:tblCellMar>
        <w:tblLook w:val="0000" w:firstRow="0" w:lastRow="0" w:firstColumn="0" w:lastColumn="0" w:noHBand="0" w:noVBand="0"/>
      </w:tblPr>
      <w:tblGrid>
        <w:gridCol w:w="773"/>
        <w:gridCol w:w="773"/>
        <w:gridCol w:w="772"/>
        <w:gridCol w:w="1042"/>
      </w:tblGrid>
      <w:tr w:rsidR="00A15C2C" w14:paraId="1D9CFB24" w14:textId="77777777" w:rsidTr="00D07617">
        <w:trPr>
          <w:trHeight w:val="290"/>
          <w:jc w:val="center"/>
        </w:trPr>
        <w:tc>
          <w:tcPr>
            <w:tcW w:w="773" w:type="dxa"/>
            <w:tcBorders>
              <w:top w:val="single" w:sz="6" w:space="0" w:color="333333"/>
              <w:left w:val="single" w:sz="6" w:space="0" w:color="333333"/>
              <w:bottom w:val="single" w:sz="6" w:space="0" w:color="333333"/>
              <w:right w:val="single" w:sz="6" w:space="0" w:color="333333"/>
            </w:tcBorders>
            <w:shd w:val="solid" w:color="C0C0C0" w:fill="FFFFFF"/>
            <w:vAlign w:val="center"/>
          </w:tcPr>
          <w:p w14:paraId="77C545CB" w14:textId="77777777" w:rsidR="001D6419" w:rsidRPr="00885DCD" w:rsidRDefault="000F5B51" w:rsidP="00D07617">
            <w:pPr>
              <w:autoSpaceDE w:val="0"/>
              <w:autoSpaceDN w:val="0"/>
              <w:adjustRightInd w:val="0"/>
              <w:spacing w:after="0" w:line="240" w:lineRule="auto"/>
              <w:jc w:val="center"/>
              <w:rPr>
                <w:rFonts w:eastAsia="Times New Roman" w:cs="Times New Roman"/>
                <w:b/>
                <w:bCs/>
                <w:szCs w:val="24"/>
              </w:rPr>
            </w:pPr>
            <w:r w:rsidRPr="00885DCD">
              <w:rPr>
                <w:rFonts w:eastAsia="Times New Roman" w:cs="Times New Roman"/>
                <w:b/>
                <w:bCs/>
                <w:szCs w:val="24"/>
              </w:rPr>
              <w:t>Front</w:t>
            </w:r>
          </w:p>
        </w:tc>
        <w:tc>
          <w:tcPr>
            <w:tcW w:w="773" w:type="dxa"/>
            <w:tcBorders>
              <w:top w:val="single" w:sz="6" w:space="0" w:color="333333"/>
              <w:left w:val="single" w:sz="6" w:space="0" w:color="333333"/>
              <w:bottom w:val="single" w:sz="6" w:space="0" w:color="333333"/>
              <w:right w:val="single" w:sz="6" w:space="0" w:color="333333"/>
            </w:tcBorders>
            <w:shd w:val="solid" w:color="C0C0C0" w:fill="FFFFFF"/>
            <w:vAlign w:val="center"/>
          </w:tcPr>
          <w:p w14:paraId="66136A11" w14:textId="77777777" w:rsidR="001D6419" w:rsidRPr="00885DCD" w:rsidRDefault="000F5B51" w:rsidP="00D07617">
            <w:pPr>
              <w:autoSpaceDE w:val="0"/>
              <w:autoSpaceDN w:val="0"/>
              <w:adjustRightInd w:val="0"/>
              <w:spacing w:after="0" w:line="240" w:lineRule="auto"/>
              <w:jc w:val="center"/>
              <w:rPr>
                <w:rFonts w:eastAsia="Times New Roman" w:cs="Times New Roman"/>
                <w:b/>
                <w:bCs/>
                <w:szCs w:val="24"/>
              </w:rPr>
            </w:pPr>
            <w:r w:rsidRPr="00885DCD">
              <w:rPr>
                <w:rFonts w:eastAsia="Times New Roman" w:cs="Times New Roman"/>
                <w:b/>
                <w:bCs/>
                <w:szCs w:val="24"/>
              </w:rPr>
              <w:t>Rear</w:t>
            </w:r>
          </w:p>
        </w:tc>
        <w:tc>
          <w:tcPr>
            <w:tcW w:w="772" w:type="dxa"/>
            <w:tcBorders>
              <w:top w:val="single" w:sz="6" w:space="0" w:color="333333"/>
              <w:left w:val="single" w:sz="6" w:space="0" w:color="333333"/>
              <w:bottom w:val="single" w:sz="6" w:space="0" w:color="333333"/>
              <w:right w:val="single" w:sz="6" w:space="0" w:color="333333"/>
            </w:tcBorders>
            <w:shd w:val="solid" w:color="C0C0C0" w:fill="FFFFFF"/>
            <w:vAlign w:val="center"/>
          </w:tcPr>
          <w:p w14:paraId="11D8E89E" w14:textId="77777777" w:rsidR="001D6419" w:rsidRPr="00885DCD" w:rsidRDefault="000F5B51" w:rsidP="00D07617">
            <w:pPr>
              <w:autoSpaceDE w:val="0"/>
              <w:autoSpaceDN w:val="0"/>
              <w:adjustRightInd w:val="0"/>
              <w:spacing w:after="0" w:line="240" w:lineRule="auto"/>
              <w:jc w:val="center"/>
              <w:rPr>
                <w:rFonts w:eastAsia="Times New Roman" w:cs="Times New Roman"/>
                <w:b/>
                <w:bCs/>
                <w:szCs w:val="24"/>
              </w:rPr>
            </w:pPr>
            <w:r w:rsidRPr="00885DCD">
              <w:rPr>
                <w:rFonts w:eastAsia="Times New Roman" w:cs="Times New Roman"/>
                <w:b/>
                <w:bCs/>
                <w:szCs w:val="24"/>
              </w:rPr>
              <w:t>Side</w:t>
            </w:r>
          </w:p>
        </w:tc>
        <w:tc>
          <w:tcPr>
            <w:tcW w:w="1042" w:type="dxa"/>
            <w:tcBorders>
              <w:top w:val="single" w:sz="6" w:space="0" w:color="333333"/>
              <w:left w:val="single" w:sz="6" w:space="0" w:color="333333"/>
              <w:bottom w:val="single" w:sz="6" w:space="0" w:color="333333"/>
              <w:right w:val="single" w:sz="6" w:space="0" w:color="333333"/>
            </w:tcBorders>
            <w:shd w:val="solid" w:color="C0C0C0" w:fill="FFFFFF"/>
            <w:vAlign w:val="center"/>
          </w:tcPr>
          <w:p w14:paraId="4960B217" w14:textId="77777777" w:rsidR="001D6419" w:rsidRDefault="000F5B51" w:rsidP="00D07617">
            <w:pPr>
              <w:autoSpaceDE w:val="0"/>
              <w:autoSpaceDN w:val="0"/>
              <w:adjustRightInd w:val="0"/>
              <w:spacing w:after="0" w:line="240" w:lineRule="auto"/>
              <w:jc w:val="center"/>
              <w:rPr>
                <w:rFonts w:ascii="Calibri" w:hAnsi="Calibri" w:cs="Calibri"/>
                <w:b/>
                <w:bCs/>
                <w:color w:val="333333"/>
                <w:sz w:val="22"/>
              </w:rPr>
            </w:pPr>
            <w:r w:rsidRPr="00885DCD">
              <w:rPr>
                <w:rFonts w:eastAsia="Times New Roman" w:cs="Times New Roman"/>
                <w:b/>
                <w:bCs/>
                <w:szCs w:val="24"/>
              </w:rPr>
              <w:t>Rollove</w:t>
            </w:r>
            <w:r>
              <w:rPr>
                <w:rFonts w:ascii="Calibri" w:hAnsi="Calibri" w:cs="Calibri"/>
                <w:b/>
                <w:bCs/>
                <w:color w:val="333333"/>
                <w:sz w:val="22"/>
              </w:rPr>
              <w:t>r</w:t>
            </w:r>
          </w:p>
        </w:tc>
      </w:tr>
      <w:tr w:rsidR="00A15C2C" w14:paraId="3ED1D91F" w14:textId="77777777" w:rsidTr="00617167">
        <w:trPr>
          <w:trHeight w:val="138"/>
          <w:jc w:val="center"/>
        </w:trPr>
        <w:tc>
          <w:tcPr>
            <w:tcW w:w="773" w:type="dxa"/>
            <w:tcBorders>
              <w:top w:val="single" w:sz="6" w:space="0" w:color="333333"/>
              <w:left w:val="single" w:sz="6" w:space="0" w:color="333333"/>
              <w:bottom w:val="single" w:sz="6" w:space="0" w:color="333333"/>
              <w:right w:val="single" w:sz="6" w:space="0" w:color="333333"/>
            </w:tcBorders>
            <w:shd w:val="clear" w:color="auto" w:fill="FFFFFF" w:themeFill="background1"/>
            <w:vAlign w:val="bottom"/>
          </w:tcPr>
          <w:p w14:paraId="2A5B654D" w14:textId="77777777" w:rsidR="001D6419" w:rsidRPr="00617167" w:rsidRDefault="000F5B51" w:rsidP="00D07617">
            <w:pPr>
              <w:spacing w:after="0" w:line="240" w:lineRule="auto"/>
              <w:contextualSpacing/>
              <w:jc w:val="right"/>
              <w:rPr>
                <w:rFonts w:eastAsia="Times New Roman" w:cs="Times New Roman"/>
                <w:szCs w:val="24"/>
              </w:rPr>
            </w:pPr>
            <w:r w:rsidRPr="00617167">
              <w:rPr>
                <w:rFonts w:cs="Times New Roman"/>
                <w:color w:val="3F3F3F"/>
                <w:sz w:val="22"/>
              </w:rPr>
              <w:t>1.0000</w:t>
            </w:r>
          </w:p>
        </w:tc>
        <w:tc>
          <w:tcPr>
            <w:tcW w:w="773" w:type="dxa"/>
            <w:tcBorders>
              <w:top w:val="single" w:sz="6" w:space="0" w:color="333333"/>
              <w:left w:val="single" w:sz="6" w:space="0" w:color="333333"/>
              <w:bottom w:val="single" w:sz="6" w:space="0" w:color="333333"/>
              <w:right w:val="single" w:sz="6" w:space="0" w:color="333333"/>
            </w:tcBorders>
            <w:shd w:val="clear" w:color="auto" w:fill="FFFFFF" w:themeFill="background1"/>
            <w:vAlign w:val="bottom"/>
          </w:tcPr>
          <w:p w14:paraId="0F4A10EB" w14:textId="77777777" w:rsidR="001D6419" w:rsidRPr="00617167" w:rsidRDefault="000F5B51" w:rsidP="00D07617">
            <w:pPr>
              <w:spacing w:after="0" w:line="240" w:lineRule="auto"/>
              <w:contextualSpacing/>
              <w:jc w:val="right"/>
              <w:rPr>
                <w:rFonts w:eastAsia="Times New Roman" w:cs="Times New Roman"/>
                <w:szCs w:val="24"/>
              </w:rPr>
            </w:pPr>
            <w:r w:rsidRPr="00617167">
              <w:rPr>
                <w:rFonts w:cs="Times New Roman"/>
                <w:color w:val="3F3F3F"/>
                <w:sz w:val="22"/>
              </w:rPr>
              <w:t>1.0000</w:t>
            </w:r>
          </w:p>
        </w:tc>
        <w:tc>
          <w:tcPr>
            <w:tcW w:w="772" w:type="dxa"/>
            <w:tcBorders>
              <w:top w:val="single" w:sz="6" w:space="0" w:color="333333"/>
              <w:left w:val="single" w:sz="6" w:space="0" w:color="333333"/>
              <w:bottom w:val="single" w:sz="6" w:space="0" w:color="333333"/>
              <w:right w:val="single" w:sz="6" w:space="0" w:color="333333"/>
            </w:tcBorders>
            <w:shd w:val="clear" w:color="auto" w:fill="FFFFFF" w:themeFill="background1"/>
            <w:vAlign w:val="bottom"/>
          </w:tcPr>
          <w:p w14:paraId="2777C7F6" w14:textId="77777777" w:rsidR="001D6419" w:rsidRPr="00617167" w:rsidRDefault="000F5B51" w:rsidP="00D07617">
            <w:pPr>
              <w:spacing w:after="0" w:line="240" w:lineRule="auto"/>
              <w:contextualSpacing/>
              <w:jc w:val="right"/>
              <w:rPr>
                <w:rFonts w:eastAsia="Times New Roman" w:cs="Times New Roman"/>
                <w:szCs w:val="24"/>
              </w:rPr>
            </w:pPr>
            <w:r w:rsidRPr="00617167">
              <w:rPr>
                <w:rFonts w:cs="Times New Roman"/>
                <w:color w:val="3F3F3F"/>
                <w:sz w:val="22"/>
              </w:rPr>
              <w:t>1.0000</w:t>
            </w:r>
          </w:p>
        </w:tc>
        <w:tc>
          <w:tcPr>
            <w:tcW w:w="1042" w:type="dxa"/>
            <w:tcBorders>
              <w:top w:val="single" w:sz="6" w:space="0" w:color="333333"/>
              <w:left w:val="single" w:sz="6" w:space="0" w:color="333333"/>
              <w:bottom w:val="single" w:sz="6" w:space="0" w:color="333333"/>
              <w:right w:val="single" w:sz="6" w:space="0" w:color="333333"/>
            </w:tcBorders>
            <w:shd w:val="clear" w:color="auto" w:fill="FFFFFF" w:themeFill="background1"/>
            <w:vAlign w:val="bottom"/>
          </w:tcPr>
          <w:p w14:paraId="393EF1DF" w14:textId="77777777" w:rsidR="001D6419" w:rsidRPr="00617167" w:rsidRDefault="000F5B51" w:rsidP="00D07617">
            <w:pPr>
              <w:spacing w:after="0" w:line="240" w:lineRule="auto"/>
              <w:contextualSpacing/>
              <w:jc w:val="right"/>
              <w:rPr>
                <w:rFonts w:eastAsia="Times New Roman" w:cs="Times New Roman"/>
                <w:szCs w:val="24"/>
              </w:rPr>
            </w:pPr>
            <w:r w:rsidRPr="00617167">
              <w:rPr>
                <w:rFonts w:cs="Times New Roman"/>
                <w:color w:val="3F3F3F"/>
                <w:sz w:val="22"/>
              </w:rPr>
              <w:t>0.9309</w:t>
            </w:r>
          </w:p>
        </w:tc>
      </w:tr>
    </w:tbl>
    <w:p w14:paraId="13833D53" w14:textId="77777777" w:rsidR="001D6419" w:rsidRDefault="001D6419" w:rsidP="001D6419">
      <w:pPr>
        <w:sectPr w:rsidR="001D6419" w:rsidSect="00D07617">
          <w:pgSz w:w="15840" w:h="12240" w:orient="landscape" w:code="1"/>
          <w:pgMar w:top="1440" w:right="6183" w:bottom="1440" w:left="1440" w:header="720" w:footer="720" w:gutter="0"/>
          <w:cols w:space="720"/>
          <w:docGrid w:linePitch="360"/>
        </w:sectPr>
      </w:pPr>
    </w:p>
    <w:p w14:paraId="2CD4626F" w14:textId="77777777" w:rsidR="008E3C38" w:rsidRDefault="000F5B51" w:rsidP="00617167">
      <w:pPr>
        <w:pStyle w:val="Heading2"/>
        <w:spacing w:line="240" w:lineRule="auto"/>
      </w:pPr>
      <w:bookmarkStart w:id="2038" w:name="_Toc126591481"/>
      <w:bookmarkStart w:id="2039" w:name="_Toc126915005"/>
      <w:bookmarkStart w:id="2040" w:name="_Toc127268966"/>
      <w:bookmarkStart w:id="2041" w:name="_Toc126591482"/>
      <w:bookmarkStart w:id="2042" w:name="_Toc126915006"/>
      <w:bookmarkStart w:id="2043" w:name="_Toc127268967"/>
      <w:bookmarkStart w:id="2044" w:name="_Toc126591483"/>
      <w:bookmarkStart w:id="2045" w:name="_Toc126915007"/>
      <w:bookmarkStart w:id="2046" w:name="_Toc127268968"/>
      <w:bookmarkStart w:id="2047" w:name="_Ref126041145"/>
      <w:bookmarkStart w:id="2048" w:name="_Toc142903016"/>
      <w:bookmarkEnd w:id="2038"/>
      <w:bookmarkEnd w:id="2039"/>
      <w:bookmarkEnd w:id="2040"/>
      <w:bookmarkEnd w:id="2041"/>
      <w:bookmarkEnd w:id="2042"/>
      <w:bookmarkEnd w:id="2043"/>
      <w:bookmarkEnd w:id="2044"/>
      <w:bookmarkEnd w:id="2045"/>
      <w:bookmarkEnd w:id="2046"/>
      <w:r>
        <w:lastRenderedPageBreak/>
        <w:t xml:space="preserve">Appendix </w:t>
      </w:r>
      <w:r w:rsidR="006F18D0">
        <w:t>D</w:t>
      </w:r>
      <w:bookmarkEnd w:id="2047"/>
      <w:bookmarkEnd w:id="2048"/>
    </w:p>
    <w:p w14:paraId="6AD10886" w14:textId="22ACACF3" w:rsidR="002B4244" w:rsidRDefault="000F5B51" w:rsidP="006F18D0">
      <w:r>
        <w:t xml:space="preserve">This section presents the unadjusted target population for both front and rear seat occupants. </w:t>
      </w:r>
      <w:r>
        <w:fldChar w:fldCharType="begin"/>
      </w:r>
      <w:r>
        <w:instrText xml:space="preserve"> REF _Ref127275278 \h </w:instrText>
      </w:r>
      <w:r>
        <w:fldChar w:fldCharType="separate"/>
      </w:r>
      <w:r w:rsidR="00A65CB3">
        <w:t xml:space="preserve">Table </w:t>
      </w:r>
      <w:r w:rsidR="00A65CB3">
        <w:rPr>
          <w:noProof/>
        </w:rPr>
        <w:t>122</w:t>
      </w:r>
      <w:r>
        <w:fldChar w:fldCharType="end"/>
      </w:r>
      <w:r>
        <w:t xml:space="preserve"> presents a summary of the unadjusted target population for rear seat occupants by age group. The unadjusted target population reflects the annual average of fatalities from the 2011-2015 FARS</w:t>
      </w:r>
      <w:r w:rsidR="00815ECD">
        <w:t xml:space="preserve"> data</w:t>
      </w:r>
      <w:r>
        <w:t xml:space="preserve"> and non-fatal </w:t>
      </w:r>
      <w:r w:rsidR="00815ECD">
        <w:t>injuries</w:t>
      </w:r>
      <w:r>
        <w:t xml:space="preserve"> from 2011-2015 </w:t>
      </w:r>
      <w:r w:rsidRPr="00A05FF5">
        <w:t>NASS/CDS</w:t>
      </w:r>
      <w:r>
        <w:t xml:space="preserve"> data. </w:t>
      </w:r>
    </w:p>
    <w:p w14:paraId="7040F277" w14:textId="2B571BDA" w:rsidR="00C731F9" w:rsidRDefault="000F5B51" w:rsidP="00617167">
      <w:pPr>
        <w:pStyle w:val="Caption"/>
      </w:pPr>
      <w:bookmarkStart w:id="2049" w:name="_Ref127275278"/>
      <w:r>
        <w:t xml:space="preserve">Table </w:t>
      </w:r>
      <w:r w:rsidR="00115BAB">
        <w:fldChar w:fldCharType="begin"/>
      </w:r>
      <w:r>
        <w:instrText xml:space="preserve"> SEQ Table \* ARABIC </w:instrText>
      </w:r>
      <w:r w:rsidR="00115BAB">
        <w:fldChar w:fldCharType="separate"/>
      </w:r>
      <w:r w:rsidR="00A65CB3">
        <w:rPr>
          <w:noProof/>
        </w:rPr>
        <w:t>122</w:t>
      </w:r>
      <w:r w:rsidR="00115BAB">
        <w:rPr>
          <w:noProof/>
        </w:rPr>
        <w:fldChar w:fldCharType="end"/>
      </w:r>
      <w:bookmarkEnd w:id="2049"/>
      <w:r>
        <w:t>: Summary of Unadjusted Target Population for Rear Seat Occupants</w:t>
      </w: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090"/>
        <w:gridCol w:w="1501"/>
        <w:gridCol w:w="1501"/>
        <w:gridCol w:w="1501"/>
        <w:gridCol w:w="1502"/>
      </w:tblGrid>
      <w:tr w:rsidR="00A15C2C" w14:paraId="7D532ACD" w14:textId="77777777" w:rsidTr="00617167">
        <w:trPr>
          <w:trHeight w:val="300"/>
          <w:jc w:val="center"/>
        </w:trPr>
        <w:tc>
          <w:tcPr>
            <w:tcW w:w="2090" w:type="dxa"/>
            <w:vMerge w:val="restart"/>
            <w:shd w:val="clear" w:color="auto" w:fill="BFBFBF" w:themeFill="background1" w:themeFillShade="BF"/>
            <w:noWrap/>
            <w:vAlign w:val="center"/>
            <w:hideMark/>
          </w:tcPr>
          <w:p w14:paraId="06A2ADC1" w14:textId="77777777" w:rsidR="007F27B4" w:rsidRPr="00617167" w:rsidRDefault="000F5B51">
            <w:pPr>
              <w:keepNext/>
              <w:spacing w:after="0" w:line="240" w:lineRule="auto"/>
              <w:rPr>
                <w:rFonts w:cs="Times New Roman"/>
                <w:b/>
                <w:bCs/>
                <w:szCs w:val="24"/>
              </w:rPr>
            </w:pPr>
            <w:r w:rsidRPr="00617167">
              <w:rPr>
                <w:rFonts w:cs="Times New Roman"/>
                <w:b/>
                <w:bCs/>
                <w:szCs w:val="24"/>
              </w:rPr>
              <w:t>Injury Severity</w:t>
            </w:r>
          </w:p>
        </w:tc>
        <w:tc>
          <w:tcPr>
            <w:tcW w:w="3002" w:type="dxa"/>
            <w:gridSpan w:val="2"/>
            <w:shd w:val="clear" w:color="auto" w:fill="BFBFBF" w:themeFill="background1" w:themeFillShade="BF"/>
            <w:noWrap/>
            <w:vAlign w:val="center"/>
            <w:hideMark/>
          </w:tcPr>
          <w:p w14:paraId="29F07598" w14:textId="77777777" w:rsidR="007F27B4" w:rsidRPr="00C53CFC" w:rsidRDefault="000F5B51">
            <w:pPr>
              <w:keepNext/>
              <w:spacing w:after="0" w:line="240" w:lineRule="auto"/>
              <w:jc w:val="center"/>
              <w:rPr>
                <w:rFonts w:cs="Times New Roman"/>
                <w:b/>
                <w:szCs w:val="24"/>
              </w:rPr>
            </w:pPr>
            <w:r w:rsidRPr="00C53CFC">
              <w:rPr>
                <w:rFonts w:cs="Times New Roman"/>
                <w:b/>
                <w:szCs w:val="24"/>
              </w:rPr>
              <w:t>6 – 10 years old</w:t>
            </w:r>
          </w:p>
        </w:tc>
        <w:tc>
          <w:tcPr>
            <w:tcW w:w="3003" w:type="dxa"/>
            <w:gridSpan w:val="2"/>
            <w:shd w:val="clear" w:color="auto" w:fill="BFBFBF" w:themeFill="background1" w:themeFillShade="BF"/>
            <w:noWrap/>
            <w:vAlign w:val="center"/>
            <w:hideMark/>
          </w:tcPr>
          <w:p w14:paraId="08DC0FB4" w14:textId="77777777" w:rsidR="007F27B4" w:rsidRPr="00C53CFC" w:rsidRDefault="000F5B51">
            <w:pPr>
              <w:keepNext/>
              <w:spacing w:after="0" w:line="240" w:lineRule="auto"/>
              <w:jc w:val="center"/>
              <w:rPr>
                <w:rFonts w:cs="Times New Roman"/>
                <w:b/>
                <w:szCs w:val="24"/>
              </w:rPr>
            </w:pPr>
            <w:r w:rsidRPr="00C53CFC">
              <w:rPr>
                <w:rFonts w:cs="Times New Roman"/>
                <w:b/>
                <w:szCs w:val="24"/>
              </w:rPr>
              <w:t>11+ years old</w:t>
            </w:r>
          </w:p>
        </w:tc>
      </w:tr>
      <w:tr w:rsidR="00A15C2C" w14:paraId="1E4D6BAE" w14:textId="77777777" w:rsidTr="00617167">
        <w:trPr>
          <w:trHeight w:val="300"/>
          <w:jc w:val="center"/>
        </w:trPr>
        <w:tc>
          <w:tcPr>
            <w:tcW w:w="2090" w:type="dxa"/>
            <w:vMerge/>
            <w:shd w:val="clear" w:color="auto" w:fill="BFBFBF" w:themeFill="background1" w:themeFillShade="BF"/>
            <w:noWrap/>
            <w:vAlign w:val="bottom"/>
            <w:hideMark/>
          </w:tcPr>
          <w:p w14:paraId="7A9E066F" w14:textId="77777777" w:rsidR="007F27B4" w:rsidRPr="00C53CFC" w:rsidRDefault="007F27B4" w:rsidP="00036C09">
            <w:pPr>
              <w:keepNext/>
              <w:spacing w:after="0" w:line="240" w:lineRule="auto"/>
              <w:rPr>
                <w:rFonts w:cs="Times New Roman"/>
                <w:szCs w:val="24"/>
              </w:rPr>
            </w:pPr>
          </w:p>
        </w:tc>
        <w:tc>
          <w:tcPr>
            <w:tcW w:w="1501" w:type="dxa"/>
            <w:shd w:val="clear" w:color="auto" w:fill="BFBFBF" w:themeFill="background1" w:themeFillShade="BF"/>
            <w:noWrap/>
            <w:vAlign w:val="center"/>
            <w:hideMark/>
          </w:tcPr>
          <w:p w14:paraId="1B69DC38" w14:textId="77777777" w:rsidR="007F27B4" w:rsidRPr="00C53CFC" w:rsidRDefault="000F5B51" w:rsidP="00617167">
            <w:pPr>
              <w:keepNext/>
              <w:spacing w:after="0" w:line="240" w:lineRule="auto"/>
              <w:jc w:val="center"/>
              <w:rPr>
                <w:rFonts w:cs="Times New Roman"/>
                <w:b/>
                <w:szCs w:val="24"/>
              </w:rPr>
            </w:pPr>
            <w:r w:rsidRPr="00C53CFC">
              <w:rPr>
                <w:rFonts w:cs="Times New Roman"/>
                <w:b/>
                <w:szCs w:val="24"/>
              </w:rPr>
              <w:t>Restrained</w:t>
            </w:r>
          </w:p>
        </w:tc>
        <w:tc>
          <w:tcPr>
            <w:tcW w:w="1501" w:type="dxa"/>
            <w:shd w:val="clear" w:color="auto" w:fill="BFBFBF" w:themeFill="background1" w:themeFillShade="BF"/>
            <w:noWrap/>
            <w:vAlign w:val="center"/>
            <w:hideMark/>
          </w:tcPr>
          <w:p w14:paraId="4732089D" w14:textId="77777777" w:rsidR="007F27B4" w:rsidRPr="00C53CFC" w:rsidRDefault="000F5B51" w:rsidP="00617167">
            <w:pPr>
              <w:keepNext/>
              <w:spacing w:after="0" w:line="240" w:lineRule="auto"/>
              <w:jc w:val="center"/>
              <w:rPr>
                <w:rFonts w:cs="Times New Roman"/>
                <w:b/>
                <w:szCs w:val="24"/>
              </w:rPr>
            </w:pPr>
            <w:r w:rsidRPr="00C53CFC">
              <w:rPr>
                <w:rFonts w:cs="Times New Roman"/>
                <w:b/>
                <w:szCs w:val="24"/>
              </w:rPr>
              <w:t>Unrestrained</w:t>
            </w:r>
          </w:p>
        </w:tc>
        <w:tc>
          <w:tcPr>
            <w:tcW w:w="1501" w:type="dxa"/>
            <w:shd w:val="clear" w:color="auto" w:fill="BFBFBF" w:themeFill="background1" w:themeFillShade="BF"/>
            <w:noWrap/>
            <w:vAlign w:val="center"/>
            <w:hideMark/>
          </w:tcPr>
          <w:p w14:paraId="658158AF" w14:textId="77777777" w:rsidR="007F27B4" w:rsidRPr="00C53CFC" w:rsidRDefault="000F5B51" w:rsidP="00617167">
            <w:pPr>
              <w:keepNext/>
              <w:spacing w:after="0" w:line="240" w:lineRule="auto"/>
              <w:jc w:val="center"/>
              <w:rPr>
                <w:rFonts w:cs="Times New Roman"/>
                <w:b/>
                <w:szCs w:val="24"/>
              </w:rPr>
            </w:pPr>
            <w:r w:rsidRPr="00C53CFC">
              <w:rPr>
                <w:rFonts w:cs="Times New Roman"/>
                <w:b/>
                <w:szCs w:val="24"/>
              </w:rPr>
              <w:t>Restrained</w:t>
            </w:r>
          </w:p>
        </w:tc>
        <w:tc>
          <w:tcPr>
            <w:tcW w:w="1502" w:type="dxa"/>
            <w:shd w:val="clear" w:color="auto" w:fill="BFBFBF" w:themeFill="background1" w:themeFillShade="BF"/>
            <w:noWrap/>
            <w:vAlign w:val="center"/>
            <w:hideMark/>
          </w:tcPr>
          <w:p w14:paraId="2E340FC3" w14:textId="77777777" w:rsidR="007F27B4" w:rsidRPr="00C53CFC" w:rsidRDefault="000F5B51" w:rsidP="00617167">
            <w:pPr>
              <w:keepNext/>
              <w:spacing w:after="0" w:line="240" w:lineRule="auto"/>
              <w:jc w:val="center"/>
              <w:rPr>
                <w:rFonts w:cs="Times New Roman"/>
                <w:b/>
                <w:szCs w:val="24"/>
              </w:rPr>
            </w:pPr>
            <w:r w:rsidRPr="00C53CFC">
              <w:rPr>
                <w:rFonts w:cs="Times New Roman"/>
                <w:b/>
                <w:szCs w:val="24"/>
              </w:rPr>
              <w:t>Unrestrained</w:t>
            </w:r>
          </w:p>
        </w:tc>
      </w:tr>
      <w:tr w:rsidR="00A15C2C" w14:paraId="644800B7" w14:textId="77777777" w:rsidTr="00617167">
        <w:trPr>
          <w:trHeight w:val="300"/>
          <w:jc w:val="center"/>
        </w:trPr>
        <w:tc>
          <w:tcPr>
            <w:tcW w:w="2090" w:type="dxa"/>
            <w:noWrap/>
            <w:tcMar>
              <w:top w:w="15" w:type="dxa"/>
              <w:left w:w="135" w:type="dxa"/>
              <w:bottom w:w="15" w:type="dxa"/>
              <w:right w:w="15" w:type="dxa"/>
            </w:tcMar>
            <w:vAlign w:val="bottom"/>
            <w:hideMark/>
          </w:tcPr>
          <w:p w14:paraId="1B28C2C3" w14:textId="77777777" w:rsidR="007F27B4" w:rsidRPr="00C53CFC" w:rsidRDefault="000F5B51" w:rsidP="00036C09">
            <w:pPr>
              <w:keepNext/>
              <w:spacing w:after="0" w:line="240" w:lineRule="auto"/>
              <w:rPr>
                <w:rFonts w:cs="Times New Roman"/>
                <w:szCs w:val="24"/>
              </w:rPr>
            </w:pPr>
            <w:r w:rsidRPr="00C53CFC">
              <w:rPr>
                <w:rFonts w:cs="Times New Roman"/>
                <w:szCs w:val="24"/>
              </w:rPr>
              <w:t>MAIS 1</w:t>
            </w:r>
          </w:p>
        </w:tc>
        <w:tc>
          <w:tcPr>
            <w:tcW w:w="1501" w:type="dxa"/>
            <w:noWrap/>
            <w:vAlign w:val="center"/>
            <w:hideMark/>
          </w:tcPr>
          <w:p w14:paraId="05C4706F" w14:textId="77777777" w:rsidR="007F27B4" w:rsidRPr="00C53CFC" w:rsidRDefault="000F5B51" w:rsidP="00617167">
            <w:pPr>
              <w:keepNext/>
              <w:spacing w:after="0" w:line="240" w:lineRule="auto"/>
              <w:jc w:val="center"/>
              <w:rPr>
                <w:rFonts w:cs="Times New Roman"/>
                <w:szCs w:val="24"/>
              </w:rPr>
            </w:pPr>
            <w:r w:rsidRPr="00C53CFC">
              <w:rPr>
                <w:rFonts w:cs="Times New Roman"/>
                <w:color w:val="000000"/>
                <w:szCs w:val="24"/>
              </w:rPr>
              <w:t>6,655</w:t>
            </w:r>
          </w:p>
        </w:tc>
        <w:tc>
          <w:tcPr>
            <w:tcW w:w="1501" w:type="dxa"/>
            <w:noWrap/>
            <w:vAlign w:val="center"/>
            <w:hideMark/>
          </w:tcPr>
          <w:p w14:paraId="5C1A11A3" w14:textId="77777777" w:rsidR="007F27B4" w:rsidRPr="00C53CFC" w:rsidRDefault="000F5B51" w:rsidP="00617167">
            <w:pPr>
              <w:keepNext/>
              <w:spacing w:after="0" w:line="240" w:lineRule="auto"/>
              <w:jc w:val="center"/>
              <w:rPr>
                <w:rFonts w:cs="Times New Roman"/>
                <w:szCs w:val="24"/>
              </w:rPr>
            </w:pPr>
            <w:r w:rsidRPr="00C53CFC">
              <w:rPr>
                <w:rFonts w:cs="Times New Roman"/>
                <w:color w:val="000000"/>
                <w:szCs w:val="24"/>
              </w:rPr>
              <w:t>975</w:t>
            </w:r>
          </w:p>
        </w:tc>
        <w:tc>
          <w:tcPr>
            <w:tcW w:w="1501" w:type="dxa"/>
            <w:noWrap/>
            <w:vAlign w:val="center"/>
            <w:hideMark/>
          </w:tcPr>
          <w:p w14:paraId="6F2386B5" w14:textId="77777777" w:rsidR="007F27B4" w:rsidRPr="00C53CFC" w:rsidRDefault="000F5B51" w:rsidP="00617167">
            <w:pPr>
              <w:keepNext/>
              <w:spacing w:after="0" w:line="240" w:lineRule="auto"/>
              <w:jc w:val="center"/>
              <w:rPr>
                <w:rFonts w:cs="Times New Roman"/>
                <w:szCs w:val="24"/>
              </w:rPr>
            </w:pPr>
            <w:r w:rsidRPr="00C53CFC">
              <w:rPr>
                <w:rFonts w:cs="Times New Roman"/>
                <w:szCs w:val="24"/>
              </w:rPr>
              <w:t>19,997</w:t>
            </w:r>
          </w:p>
        </w:tc>
        <w:tc>
          <w:tcPr>
            <w:tcW w:w="1502" w:type="dxa"/>
            <w:noWrap/>
            <w:vAlign w:val="center"/>
            <w:hideMark/>
          </w:tcPr>
          <w:p w14:paraId="40F3CE8E" w14:textId="77777777" w:rsidR="007F27B4" w:rsidRPr="00C53CFC" w:rsidRDefault="000F5B51" w:rsidP="00617167">
            <w:pPr>
              <w:keepNext/>
              <w:spacing w:after="0" w:line="240" w:lineRule="auto"/>
              <w:jc w:val="center"/>
              <w:rPr>
                <w:rFonts w:cs="Times New Roman"/>
                <w:szCs w:val="24"/>
              </w:rPr>
            </w:pPr>
            <w:r w:rsidRPr="00C53CFC">
              <w:rPr>
                <w:rFonts w:cs="Times New Roman"/>
                <w:szCs w:val="24"/>
              </w:rPr>
              <w:t>4,438</w:t>
            </w:r>
          </w:p>
        </w:tc>
      </w:tr>
      <w:tr w:rsidR="00A15C2C" w14:paraId="7590D50A" w14:textId="77777777" w:rsidTr="00617167">
        <w:trPr>
          <w:trHeight w:val="300"/>
          <w:jc w:val="center"/>
        </w:trPr>
        <w:tc>
          <w:tcPr>
            <w:tcW w:w="2090" w:type="dxa"/>
            <w:noWrap/>
            <w:tcMar>
              <w:top w:w="15" w:type="dxa"/>
              <w:left w:w="135" w:type="dxa"/>
              <w:bottom w:w="15" w:type="dxa"/>
              <w:right w:w="15" w:type="dxa"/>
            </w:tcMar>
            <w:vAlign w:val="bottom"/>
            <w:hideMark/>
          </w:tcPr>
          <w:p w14:paraId="3950523C" w14:textId="77777777" w:rsidR="007F27B4" w:rsidRPr="00C53CFC" w:rsidRDefault="000F5B51" w:rsidP="00036C09">
            <w:pPr>
              <w:keepNext/>
              <w:spacing w:after="0" w:line="240" w:lineRule="auto"/>
              <w:rPr>
                <w:rFonts w:cs="Times New Roman"/>
                <w:szCs w:val="24"/>
              </w:rPr>
            </w:pPr>
            <w:r w:rsidRPr="00C53CFC">
              <w:rPr>
                <w:rFonts w:cs="Times New Roman"/>
                <w:szCs w:val="24"/>
              </w:rPr>
              <w:t>MAIS 2</w:t>
            </w:r>
          </w:p>
        </w:tc>
        <w:tc>
          <w:tcPr>
            <w:tcW w:w="1501" w:type="dxa"/>
            <w:noWrap/>
            <w:vAlign w:val="center"/>
            <w:hideMark/>
          </w:tcPr>
          <w:p w14:paraId="596F94E6" w14:textId="77777777" w:rsidR="007F27B4" w:rsidRPr="00C53CFC" w:rsidRDefault="000F5B51" w:rsidP="00617167">
            <w:pPr>
              <w:keepNext/>
              <w:spacing w:after="0" w:line="240" w:lineRule="auto"/>
              <w:jc w:val="center"/>
              <w:rPr>
                <w:rFonts w:cs="Times New Roman"/>
                <w:szCs w:val="24"/>
              </w:rPr>
            </w:pPr>
            <w:r w:rsidRPr="00C53CFC">
              <w:rPr>
                <w:rFonts w:cs="Times New Roman"/>
                <w:color w:val="000000"/>
                <w:szCs w:val="24"/>
              </w:rPr>
              <w:t>238</w:t>
            </w:r>
          </w:p>
        </w:tc>
        <w:tc>
          <w:tcPr>
            <w:tcW w:w="1501" w:type="dxa"/>
            <w:noWrap/>
            <w:vAlign w:val="center"/>
            <w:hideMark/>
          </w:tcPr>
          <w:p w14:paraId="28B011E0" w14:textId="77777777" w:rsidR="007F27B4" w:rsidRPr="00C53CFC" w:rsidRDefault="000F5B51" w:rsidP="00617167">
            <w:pPr>
              <w:keepNext/>
              <w:spacing w:after="0" w:line="240" w:lineRule="auto"/>
              <w:jc w:val="center"/>
              <w:rPr>
                <w:rFonts w:cs="Times New Roman"/>
                <w:szCs w:val="24"/>
              </w:rPr>
            </w:pPr>
            <w:r w:rsidRPr="00C53CFC">
              <w:rPr>
                <w:rFonts w:cs="Times New Roman"/>
                <w:color w:val="000000"/>
                <w:szCs w:val="24"/>
              </w:rPr>
              <w:t>91</w:t>
            </w:r>
          </w:p>
        </w:tc>
        <w:tc>
          <w:tcPr>
            <w:tcW w:w="1501" w:type="dxa"/>
            <w:noWrap/>
            <w:vAlign w:val="center"/>
            <w:hideMark/>
          </w:tcPr>
          <w:p w14:paraId="05AA7B72" w14:textId="77777777" w:rsidR="007F27B4" w:rsidRPr="00C53CFC" w:rsidRDefault="000F5B51" w:rsidP="00617167">
            <w:pPr>
              <w:keepNext/>
              <w:spacing w:after="0" w:line="240" w:lineRule="auto"/>
              <w:jc w:val="center"/>
              <w:rPr>
                <w:rFonts w:cs="Times New Roman"/>
                <w:szCs w:val="24"/>
              </w:rPr>
            </w:pPr>
            <w:r w:rsidRPr="00C53CFC">
              <w:rPr>
                <w:rFonts w:cs="Times New Roman"/>
                <w:szCs w:val="24"/>
              </w:rPr>
              <w:t>721</w:t>
            </w:r>
          </w:p>
        </w:tc>
        <w:tc>
          <w:tcPr>
            <w:tcW w:w="1502" w:type="dxa"/>
            <w:noWrap/>
            <w:vAlign w:val="center"/>
            <w:hideMark/>
          </w:tcPr>
          <w:p w14:paraId="784E794F" w14:textId="77777777" w:rsidR="007F27B4" w:rsidRPr="00C53CFC" w:rsidRDefault="000F5B51" w:rsidP="00617167">
            <w:pPr>
              <w:keepNext/>
              <w:spacing w:after="0" w:line="240" w:lineRule="auto"/>
              <w:jc w:val="center"/>
              <w:rPr>
                <w:rFonts w:cs="Times New Roman"/>
                <w:szCs w:val="24"/>
              </w:rPr>
            </w:pPr>
            <w:r w:rsidRPr="00C53CFC">
              <w:rPr>
                <w:rFonts w:cs="Times New Roman"/>
                <w:szCs w:val="24"/>
              </w:rPr>
              <w:t>1,738</w:t>
            </w:r>
          </w:p>
        </w:tc>
      </w:tr>
      <w:tr w:rsidR="00A15C2C" w14:paraId="46904EEC" w14:textId="77777777" w:rsidTr="00617167">
        <w:trPr>
          <w:trHeight w:val="300"/>
          <w:jc w:val="center"/>
        </w:trPr>
        <w:tc>
          <w:tcPr>
            <w:tcW w:w="2090" w:type="dxa"/>
            <w:noWrap/>
            <w:tcMar>
              <w:top w:w="15" w:type="dxa"/>
              <w:left w:w="135" w:type="dxa"/>
              <w:bottom w:w="15" w:type="dxa"/>
              <w:right w:w="15" w:type="dxa"/>
            </w:tcMar>
            <w:vAlign w:val="bottom"/>
            <w:hideMark/>
          </w:tcPr>
          <w:p w14:paraId="5049DEE3" w14:textId="77777777" w:rsidR="007F27B4" w:rsidRPr="00C53CFC" w:rsidRDefault="000F5B51" w:rsidP="00036C09">
            <w:pPr>
              <w:keepNext/>
              <w:spacing w:after="0" w:line="240" w:lineRule="auto"/>
              <w:rPr>
                <w:rFonts w:cs="Times New Roman"/>
                <w:szCs w:val="24"/>
              </w:rPr>
            </w:pPr>
            <w:r w:rsidRPr="00C53CFC">
              <w:rPr>
                <w:rFonts w:cs="Times New Roman"/>
                <w:szCs w:val="24"/>
              </w:rPr>
              <w:t>MAIS 3</w:t>
            </w:r>
          </w:p>
        </w:tc>
        <w:tc>
          <w:tcPr>
            <w:tcW w:w="1501" w:type="dxa"/>
            <w:noWrap/>
            <w:vAlign w:val="center"/>
            <w:hideMark/>
          </w:tcPr>
          <w:p w14:paraId="3CF886DA" w14:textId="77777777" w:rsidR="007F27B4" w:rsidRPr="00C53CFC" w:rsidRDefault="000F5B51" w:rsidP="00617167">
            <w:pPr>
              <w:keepNext/>
              <w:spacing w:after="0" w:line="240" w:lineRule="auto"/>
              <w:jc w:val="center"/>
              <w:rPr>
                <w:rFonts w:cs="Times New Roman"/>
                <w:szCs w:val="24"/>
              </w:rPr>
            </w:pPr>
            <w:r w:rsidRPr="00C53CFC">
              <w:rPr>
                <w:rFonts w:cs="Times New Roman"/>
                <w:color w:val="000000"/>
                <w:szCs w:val="24"/>
              </w:rPr>
              <w:t>35</w:t>
            </w:r>
          </w:p>
        </w:tc>
        <w:tc>
          <w:tcPr>
            <w:tcW w:w="1501" w:type="dxa"/>
            <w:noWrap/>
            <w:vAlign w:val="center"/>
            <w:hideMark/>
          </w:tcPr>
          <w:p w14:paraId="255A319D" w14:textId="77777777" w:rsidR="007F27B4" w:rsidRPr="00C53CFC" w:rsidRDefault="000F5B51" w:rsidP="00617167">
            <w:pPr>
              <w:keepNext/>
              <w:spacing w:after="0" w:line="240" w:lineRule="auto"/>
              <w:jc w:val="center"/>
              <w:rPr>
                <w:rFonts w:cs="Times New Roman"/>
                <w:szCs w:val="24"/>
              </w:rPr>
            </w:pPr>
            <w:r w:rsidRPr="00C53CFC">
              <w:rPr>
                <w:rFonts w:cs="Times New Roman"/>
                <w:color w:val="000000"/>
                <w:szCs w:val="24"/>
              </w:rPr>
              <w:t>33</w:t>
            </w:r>
          </w:p>
        </w:tc>
        <w:tc>
          <w:tcPr>
            <w:tcW w:w="1501" w:type="dxa"/>
            <w:noWrap/>
            <w:vAlign w:val="center"/>
            <w:hideMark/>
          </w:tcPr>
          <w:p w14:paraId="102E1467" w14:textId="77777777" w:rsidR="007F27B4" w:rsidRPr="00C53CFC" w:rsidRDefault="000F5B51" w:rsidP="00617167">
            <w:pPr>
              <w:keepNext/>
              <w:spacing w:after="0" w:line="240" w:lineRule="auto"/>
              <w:jc w:val="center"/>
              <w:rPr>
                <w:rFonts w:cs="Times New Roman"/>
                <w:szCs w:val="24"/>
              </w:rPr>
            </w:pPr>
            <w:r w:rsidRPr="00C53CFC">
              <w:rPr>
                <w:rFonts w:cs="Times New Roman"/>
                <w:szCs w:val="24"/>
              </w:rPr>
              <w:t>64</w:t>
            </w:r>
          </w:p>
        </w:tc>
        <w:tc>
          <w:tcPr>
            <w:tcW w:w="1502" w:type="dxa"/>
            <w:noWrap/>
            <w:vAlign w:val="center"/>
            <w:hideMark/>
          </w:tcPr>
          <w:p w14:paraId="52D16804" w14:textId="77777777" w:rsidR="007F27B4" w:rsidRPr="00C53CFC" w:rsidRDefault="000F5B51" w:rsidP="00617167">
            <w:pPr>
              <w:keepNext/>
              <w:spacing w:after="0" w:line="240" w:lineRule="auto"/>
              <w:jc w:val="center"/>
              <w:rPr>
                <w:rFonts w:cs="Times New Roman"/>
                <w:szCs w:val="24"/>
              </w:rPr>
            </w:pPr>
            <w:r w:rsidRPr="00C53CFC">
              <w:rPr>
                <w:rFonts w:cs="Times New Roman"/>
                <w:szCs w:val="24"/>
              </w:rPr>
              <w:t>289</w:t>
            </w:r>
          </w:p>
        </w:tc>
      </w:tr>
      <w:tr w:rsidR="00A15C2C" w14:paraId="49496B0A" w14:textId="77777777" w:rsidTr="00617167">
        <w:trPr>
          <w:trHeight w:val="300"/>
          <w:jc w:val="center"/>
        </w:trPr>
        <w:tc>
          <w:tcPr>
            <w:tcW w:w="2090" w:type="dxa"/>
            <w:noWrap/>
            <w:tcMar>
              <w:top w:w="15" w:type="dxa"/>
              <w:left w:w="135" w:type="dxa"/>
              <w:bottom w:w="15" w:type="dxa"/>
              <w:right w:w="15" w:type="dxa"/>
            </w:tcMar>
            <w:vAlign w:val="bottom"/>
            <w:hideMark/>
          </w:tcPr>
          <w:p w14:paraId="29309C09" w14:textId="77777777" w:rsidR="007F27B4" w:rsidRPr="00C53CFC" w:rsidRDefault="000F5B51" w:rsidP="00036C09">
            <w:pPr>
              <w:keepNext/>
              <w:spacing w:after="0" w:line="240" w:lineRule="auto"/>
              <w:rPr>
                <w:rFonts w:cs="Times New Roman"/>
                <w:szCs w:val="24"/>
              </w:rPr>
            </w:pPr>
            <w:r w:rsidRPr="00C53CFC">
              <w:rPr>
                <w:rFonts w:cs="Times New Roman"/>
                <w:szCs w:val="24"/>
              </w:rPr>
              <w:t>MAIS 4</w:t>
            </w:r>
          </w:p>
        </w:tc>
        <w:tc>
          <w:tcPr>
            <w:tcW w:w="1501" w:type="dxa"/>
            <w:noWrap/>
            <w:vAlign w:val="center"/>
            <w:hideMark/>
          </w:tcPr>
          <w:p w14:paraId="48DED91D" w14:textId="77777777" w:rsidR="007F27B4" w:rsidRPr="00C53CFC" w:rsidRDefault="000F5B51" w:rsidP="00617167">
            <w:pPr>
              <w:keepNext/>
              <w:spacing w:after="0" w:line="240" w:lineRule="auto"/>
              <w:jc w:val="center"/>
              <w:rPr>
                <w:rFonts w:cs="Times New Roman"/>
                <w:szCs w:val="24"/>
              </w:rPr>
            </w:pPr>
            <w:r w:rsidRPr="00C53CFC">
              <w:rPr>
                <w:rFonts w:cs="Times New Roman"/>
                <w:color w:val="000000"/>
                <w:szCs w:val="24"/>
              </w:rPr>
              <w:t>4</w:t>
            </w:r>
          </w:p>
        </w:tc>
        <w:tc>
          <w:tcPr>
            <w:tcW w:w="1501" w:type="dxa"/>
            <w:noWrap/>
            <w:vAlign w:val="center"/>
            <w:hideMark/>
          </w:tcPr>
          <w:p w14:paraId="283C1131" w14:textId="77777777" w:rsidR="007F27B4" w:rsidRPr="00C53CFC" w:rsidRDefault="000F5B51" w:rsidP="00617167">
            <w:pPr>
              <w:keepNext/>
              <w:spacing w:after="0" w:line="240" w:lineRule="auto"/>
              <w:jc w:val="center"/>
              <w:rPr>
                <w:rFonts w:cs="Times New Roman"/>
                <w:szCs w:val="24"/>
              </w:rPr>
            </w:pPr>
            <w:r w:rsidRPr="00C53CFC">
              <w:rPr>
                <w:rFonts w:cs="Times New Roman"/>
                <w:color w:val="000000"/>
                <w:szCs w:val="24"/>
              </w:rPr>
              <w:t>11</w:t>
            </w:r>
          </w:p>
        </w:tc>
        <w:tc>
          <w:tcPr>
            <w:tcW w:w="1501" w:type="dxa"/>
            <w:noWrap/>
            <w:vAlign w:val="center"/>
            <w:hideMark/>
          </w:tcPr>
          <w:p w14:paraId="236C4E9B" w14:textId="77777777" w:rsidR="007F27B4" w:rsidRPr="00C53CFC" w:rsidRDefault="000F5B51" w:rsidP="00617167">
            <w:pPr>
              <w:keepNext/>
              <w:spacing w:after="0" w:line="240" w:lineRule="auto"/>
              <w:jc w:val="center"/>
              <w:rPr>
                <w:rFonts w:cs="Times New Roman"/>
                <w:szCs w:val="24"/>
              </w:rPr>
            </w:pPr>
            <w:r w:rsidRPr="00C53CFC">
              <w:rPr>
                <w:rFonts w:cs="Times New Roman"/>
                <w:szCs w:val="24"/>
              </w:rPr>
              <w:t>70</w:t>
            </w:r>
          </w:p>
        </w:tc>
        <w:tc>
          <w:tcPr>
            <w:tcW w:w="1502" w:type="dxa"/>
            <w:noWrap/>
            <w:vAlign w:val="center"/>
            <w:hideMark/>
          </w:tcPr>
          <w:p w14:paraId="0D1066EE" w14:textId="77777777" w:rsidR="007F27B4" w:rsidRPr="00C53CFC" w:rsidRDefault="000F5B51" w:rsidP="00617167">
            <w:pPr>
              <w:keepNext/>
              <w:spacing w:after="0" w:line="240" w:lineRule="auto"/>
              <w:jc w:val="center"/>
              <w:rPr>
                <w:rFonts w:cs="Times New Roman"/>
                <w:szCs w:val="24"/>
              </w:rPr>
            </w:pPr>
            <w:r w:rsidRPr="00C53CFC">
              <w:rPr>
                <w:rFonts w:cs="Times New Roman"/>
                <w:szCs w:val="24"/>
              </w:rPr>
              <w:t>239</w:t>
            </w:r>
          </w:p>
        </w:tc>
      </w:tr>
      <w:tr w:rsidR="00A15C2C" w14:paraId="0A6890D5" w14:textId="77777777" w:rsidTr="00617167">
        <w:trPr>
          <w:trHeight w:val="300"/>
          <w:jc w:val="center"/>
        </w:trPr>
        <w:tc>
          <w:tcPr>
            <w:tcW w:w="2090" w:type="dxa"/>
            <w:noWrap/>
            <w:tcMar>
              <w:top w:w="15" w:type="dxa"/>
              <w:left w:w="135" w:type="dxa"/>
              <w:bottom w:w="15" w:type="dxa"/>
              <w:right w:w="15" w:type="dxa"/>
            </w:tcMar>
            <w:vAlign w:val="bottom"/>
            <w:hideMark/>
          </w:tcPr>
          <w:p w14:paraId="209C296A" w14:textId="77777777" w:rsidR="007F27B4" w:rsidRPr="00C53CFC" w:rsidRDefault="000F5B51" w:rsidP="00036C09">
            <w:pPr>
              <w:keepNext/>
              <w:spacing w:after="0" w:line="240" w:lineRule="auto"/>
              <w:rPr>
                <w:rFonts w:cs="Times New Roman"/>
                <w:szCs w:val="24"/>
              </w:rPr>
            </w:pPr>
            <w:r w:rsidRPr="00C53CFC">
              <w:rPr>
                <w:rFonts w:cs="Times New Roman"/>
                <w:szCs w:val="24"/>
              </w:rPr>
              <w:t>MAIS 5</w:t>
            </w:r>
          </w:p>
        </w:tc>
        <w:tc>
          <w:tcPr>
            <w:tcW w:w="1501" w:type="dxa"/>
            <w:noWrap/>
            <w:vAlign w:val="center"/>
            <w:hideMark/>
          </w:tcPr>
          <w:p w14:paraId="21ED85A0" w14:textId="77777777" w:rsidR="007F27B4" w:rsidRPr="00C53CFC" w:rsidRDefault="000F5B51" w:rsidP="00617167">
            <w:pPr>
              <w:keepNext/>
              <w:spacing w:after="0" w:line="240" w:lineRule="auto"/>
              <w:jc w:val="center"/>
              <w:rPr>
                <w:rFonts w:cs="Times New Roman"/>
                <w:szCs w:val="24"/>
              </w:rPr>
            </w:pPr>
            <w:r>
              <w:rPr>
                <w:rFonts w:cs="Times New Roman"/>
                <w:szCs w:val="24"/>
              </w:rPr>
              <w:t>0</w:t>
            </w:r>
          </w:p>
        </w:tc>
        <w:tc>
          <w:tcPr>
            <w:tcW w:w="1501" w:type="dxa"/>
            <w:noWrap/>
            <w:vAlign w:val="center"/>
            <w:hideMark/>
          </w:tcPr>
          <w:p w14:paraId="302C14DB" w14:textId="77777777" w:rsidR="007F27B4" w:rsidRPr="00C53CFC" w:rsidRDefault="000F5B51" w:rsidP="00617167">
            <w:pPr>
              <w:keepNext/>
              <w:spacing w:after="0" w:line="240" w:lineRule="auto"/>
              <w:jc w:val="center"/>
              <w:rPr>
                <w:rFonts w:cs="Times New Roman"/>
                <w:szCs w:val="24"/>
              </w:rPr>
            </w:pPr>
            <w:r>
              <w:rPr>
                <w:rFonts w:cs="Times New Roman"/>
                <w:szCs w:val="24"/>
              </w:rPr>
              <w:t>0</w:t>
            </w:r>
          </w:p>
        </w:tc>
        <w:tc>
          <w:tcPr>
            <w:tcW w:w="1501" w:type="dxa"/>
            <w:noWrap/>
            <w:vAlign w:val="center"/>
            <w:hideMark/>
          </w:tcPr>
          <w:p w14:paraId="2628E536" w14:textId="77777777" w:rsidR="007F27B4" w:rsidRPr="00C53CFC" w:rsidRDefault="000F5B51" w:rsidP="00617167">
            <w:pPr>
              <w:keepNext/>
              <w:spacing w:after="0" w:line="240" w:lineRule="auto"/>
              <w:jc w:val="center"/>
              <w:rPr>
                <w:rFonts w:eastAsia="Times New Roman" w:cs="Times New Roman"/>
                <w:color w:val="000000"/>
                <w:szCs w:val="24"/>
                <w:lang w:eastAsia="ja-JP"/>
              </w:rPr>
            </w:pPr>
            <w:r w:rsidRPr="00C53CFC">
              <w:rPr>
                <w:rFonts w:eastAsia="Times New Roman" w:cs="Times New Roman"/>
                <w:color w:val="000000"/>
                <w:szCs w:val="24"/>
                <w:lang w:eastAsia="ja-JP"/>
              </w:rPr>
              <w:t>3</w:t>
            </w:r>
          </w:p>
        </w:tc>
        <w:tc>
          <w:tcPr>
            <w:tcW w:w="1502" w:type="dxa"/>
            <w:noWrap/>
            <w:vAlign w:val="center"/>
            <w:hideMark/>
          </w:tcPr>
          <w:p w14:paraId="09EDFF52" w14:textId="77777777" w:rsidR="007F27B4" w:rsidRPr="00C53CFC" w:rsidRDefault="000F5B51" w:rsidP="00617167">
            <w:pPr>
              <w:keepNext/>
              <w:spacing w:after="0" w:line="240" w:lineRule="auto"/>
              <w:jc w:val="center"/>
              <w:rPr>
                <w:rFonts w:eastAsia="Times New Roman" w:cs="Times New Roman"/>
                <w:color w:val="000000"/>
                <w:szCs w:val="24"/>
                <w:lang w:eastAsia="ja-JP"/>
              </w:rPr>
            </w:pPr>
            <w:r w:rsidRPr="00C53CFC">
              <w:rPr>
                <w:rFonts w:eastAsia="Times New Roman" w:cs="Times New Roman"/>
                <w:color w:val="000000"/>
                <w:szCs w:val="24"/>
                <w:lang w:eastAsia="ja-JP"/>
              </w:rPr>
              <w:t>7</w:t>
            </w:r>
          </w:p>
        </w:tc>
      </w:tr>
      <w:tr w:rsidR="00A15C2C" w14:paraId="1AE34F12" w14:textId="77777777" w:rsidTr="00617167">
        <w:trPr>
          <w:trHeight w:val="300"/>
          <w:jc w:val="center"/>
        </w:trPr>
        <w:tc>
          <w:tcPr>
            <w:tcW w:w="2090" w:type="dxa"/>
            <w:noWrap/>
            <w:vAlign w:val="bottom"/>
            <w:hideMark/>
          </w:tcPr>
          <w:p w14:paraId="6888FD04" w14:textId="77777777" w:rsidR="007F27B4" w:rsidRPr="00C53CFC" w:rsidRDefault="000F5B51" w:rsidP="00036C09">
            <w:pPr>
              <w:keepNext/>
              <w:spacing w:after="0" w:line="240" w:lineRule="auto"/>
              <w:rPr>
                <w:rFonts w:eastAsia="Times New Roman" w:cs="Times New Roman"/>
                <w:b/>
                <w:color w:val="000000"/>
                <w:szCs w:val="24"/>
                <w:lang w:eastAsia="ja-JP"/>
              </w:rPr>
            </w:pPr>
            <w:r w:rsidRPr="00C53CFC">
              <w:rPr>
                <w:rFonts w:eastAsia="Times New Roman" w:cs="Times New Roman"/>
                <w:b/>
                <w:color w:val="000000"/>
                <w:szCs w:val="24"/>
                <w:lang w:eastAsia="ja-JP"/>
              </w:rPr>
              <w:t>Fatal</w:t>
            </w:r>
          </w:p>
        </w:tc>
        <w:tc>
          <w:tcPr>
            <w:tcW w:w="1501" w:type="dxa"/>
            <w:noWrap/>
            <w:vAlign w:val="center"/>
            <w:hideMark/>
          </w:tcPr>
          <w:p w14:paraId="6A5F60C9" w14:textId="77777777" w:rsidR="007F27B4" w:rsidRPr="00C53CFC" w:rsidRDefault="000F5B51" w:rsidP="00617167">
            <w:pPr>
              <w:keepNext/>
              <w:spacing w:after="0" w:line="240" w:lineRule="auto"/>
              <w:jc w:val="center"/>
              <w:rPr>
                <w:rFonts w:eastAsia="Times New Roman" w:cs="Times New Roman"/>
                <w:b/>
                <w:color w:val="000000"/>
                <w:szCs w:val="24"/>
                <w:lang w:eastAsia="ja-JP"/>
              </w:rPr>
            </w:pPr>
            <w:r w:rsidRPr="00C53CFC">
              <w:rPr>
                <w:rFonts w:cs="Times New Roman"/>
                <w:b/>
                <w:color w:val="000000"/>
                <w:szCs w:val="24"/>
              </w:rPr>
              <w:t>105</w:t>
            </w:r>
          </w:p>
        </w:tc>
        <w:tc>
          <w:tcPr>
            <w:tcW w:w="1501" w:type="dxa"/>
            <w:noWrap/>
            <w:vAlign w:val="center"/>
            <w:hideMark/>
          </w:tcPr>
          <w:p w14:paraId="6810F328" w14:textId="77777777" w:rsidR="007F27B4" w:rsidRPr="00C53CFC" w:rsidRDefault="000F5B51" w:rsidP="00617167">
            <w:pPr>
              <w:keepNext/>
              <w:spacing w:after="0" w:line="240" w:lineRule="auto"/>
              <w:jc w:val="center"/>
              <w:rPr>
                <w:rFonts w:eastAsia="Times New Roman" w:cs="Times New Roman"/>
                <w:b/>
                <w:color w:val="000000"/>
                <w:szCs w:val="24"/>
                <w:lang w:eastAsia="ja-JP"/>
              </w:rPr>
            </w:pPr>
            <w:r w:rsidRPr="00C53CFC">
              <w:rPr>
                <w:rFonts w:cs="Times New Roman"/>
                <w:b/>
                <w:color w:val="000000"/>
                <w:szCs w:val="24"/>
              </w:rPr>
              <w:t>61</w:t>
            </w:r>
          </w:p>
        </w:tc>
        <w:tc>
          <w:tcPr>
            <w:tcW w:w="1501" w:type="dxa"/>
            <w:noWrap/>
            <w:vAlign w:val="center"/>
            <w:hideMark/>
          </w:tcPr>
          <w:p w14:paraId="6D4D3433" w14:textId="77777777" w:rsidR="007F27B4" w:rsidRPr="00C53CFC" w:rsidRDefault="000F5B51" w:rsidP="00617167">
            <w:pPr>
              <w:keepNext/>
              <w:spacing w:after="0" w:line="240" w:lineRule="auto"/>
              <w:jc w:val="center"/>
              <w:rPr>
                <w:rFonts w:eastAsia="Times New Roman" w:cs="Times New Roman"/>
                <w:b/>
                <w:color w:val="000000"/>
                <w:szCs w:val="24"/>
                <w:lang w:eastAsia="ja-JP"/>
              </w:rPr>
            </w:pPr>
            <w:r w:rsidRPr="00C53CFC">
              <w:rPr>
                <w:rFonts w:eastAsia="Times New Roman" w:cs="Times New Roman"/>
                <w:b/>
                <w:color w:val="000000"/>
                <w:szCs w:val="24"/>
                <w:lang w:eastAsia="ja-JP"/>
              </w:rPr>
              <w:t>420</w:t>
            </w:r>
          </w:p>
        </w:tc>
        <w:tc>
          <w:tcPr>
            <w:tcW w:w="1502" w:type="dxa"/>
            <w:noWrap/>
            <w:vAlign w:val="center"/>
            <w:hideMark/>
          </w:tcPr>
          <w:p w14:paraId="45D86D3B" w14:textId="77777777" w:rsidR="007F27B4" w:rsidRPr="00C53CFC" w:rsidRDefault="000F5B51" w:rsidP="00617167">
            <w:pPr>
              <w:keepNext/>
              <w:spacing w:after="0" w:line="240" w:lineRule="auto"/>
              <w:jc w:val="center"/>
              <w:rPr>
                <w:rFonts w:eastAsia="Times New Roman" w:cs="Times New Roman"/>
                <w:b/>
                <w:color w:val="000000"/>
                <w:szCs w:val="24"/>
                <w:lang w:eastAsia="ja-JP"/>
              </w:rPr>
            </w:pPr>
            <w:r w:rsidRPr="00C53CFC">
              <w:rPr>
                <w:rFonts w:eastAsia="Times New Roman" w:cs="Times New Roman"/>
                <w:b/>
                <w:color w:val="000000"/>
                <w:szCs w:val="24"/>
                <w:lang w:eastAsia="ja-JP"/>
              </w:rPr>
              <w:t>941</w:t>
            </w:r>
          </w:p>
        </w:tc>
      </w:tr>
    </w:tbl>
    <w:p w14:paraId="1D5D28D4" w14:textId="77777777" w:rsidR="00436A22" w:rsidRDefault="000F5B51" w:rsidP="00617167">
      <w:pPr>
        <w:keepNext/>
        <w:spacing w:after="0" w:line="240" w:lineRule="auto"/>
        <w:ind w:firstLine="720"/>
        <w:rPr>
          <w:sz w:val="18"/>
          <w:szCs w:val="16"/>
        </w:rPr>
      </w:pPr>
      <w:r>
        <w:rPr>
          <w:sz w:val="18"/>
          <w:szCs w:val="18"/>
        </w:rPr>
        <w:t>Note: Values may not sum due to rounding.</w:t>
      </w:r>
    </w:p>
    <w:p w14:paraId="19F404D7" w14:textId="77777777" w:rsidR="004601B1" w:rsidRPr="00617167" w:rsidRDefault="000F5B51" w:rsidP="00617167">
      <w:pPr>
        <w:keepNext/>
        <w:spacing w:after="0" w:line="240" w:lineRule="auto"/>
        <w:ind w:firstLine="720"/>
        <w:rPr>
          <w:sz w:val="18"/>
          <w:szCs w:val="16"/>
        </w:rPr>
      </w:pPr>
      <w:r w:rsidRPr="00617167">
        <w:rPr>
          <w:sz w:val="18"/>
          <w:szCs w:val="16"/>
        </w:rPr>
        <w:t>* Occupant injuries with unknown belt use were distributed and included in the table</w:t>
      </w:r>
      <w:r w:rsidR="001F2F92">
        <w:rPr>
          <w:sz w:val="18"/>
          <w:szCs w:val="16"/>
        </w:rPr>
        <w:t xml:space="preserve">. </w:t>
      </w:r>
    </w:p>
    <w:p w14:paraId="416A6BF2" w14:textId="77777777" w:rsidR="004601B1" w:rsidRPr="00617167" w:rsidRDefault="000F5B51" w:rsidP="00617167">
      <w:pPr>
        <w:keepNext/>
        <w:spacing w:after="0" w:line="240" w:lineRule="auto"/>
        <w:ind w:firstLine="720"/>
        <w:rPr>
          <w:rFonts w:eastAsia="Times New Roman" w:cs="Times New Roman"/>
          <w:sz w:val="18"/>
          <w:szCs w:val="16"/>
        </w:rPr>
      </w:pPr>
      <w:r w:rsidRPr="00617167">
        <w:rPr>
          <w:sz w:val="18"/>
          <w:szCs w:val="16"/>
        </w:rPr>
        <w:t>** MAIS 1 &amp; 2 injuries are considered as</w:t>
      </w:r>
      <w:r w:rsidRPr="00617167">
        <w:rPr>
          <w:rFonts w:eastAsia="Times New Roman" w:cs="Times New Roman"/>
          <w:sz w:val="18"/>
          <w:szCs w:val="16"/>
        </w:rPr>
        <w:t xml:space="preserve"> minor injuries and MAIS 3 – 5 are serious injuries. </w:t>
      </w:r>
    </w:p>
    <w:p w14:paraId="2ABBF377" w14:textId="77777777" w:rsidR="002B4244" w:rsidRDefault="002B4244" w:rsidP="002B4244">
      <w:pPr>
        <w:pStyle w:val="NoSpaceTimes"/>
      </w:pPr>
    </w:p>
    <w:p w14:paraId="0777D9D3" w14:textId="3ED5406B" w:rsidR="007F27B4" w:rsidRDefault="000F5B51" w:rsidP="006F18D0">
      <w:r>
        <w:fldChar w:fldCharType="begin"/>
      </w:r>
      <w:r>
        <w:instrText xml:space="preserve"> REF _Ref127275290 \h </w:instrText>
      </w:r>
      <w:r>
        <w:fldChar w:fldCharType="separate"/>
      </w:r>
      <w:r w:rsidR="00A65CB3">
        <w:t xml:space="preserve">Table </w:t>
      </w:r>
      <w:r w:rsidR="00A65CB3">
        <w:rPr>
          <w:noProof/>
        </w:rPr>
        <w:t>123</w:t>
      </w:r>
      <w:r>
        <w:fldChar w:fldCharType="end"/>
      </w:r>
      <w:r>
        <w:t xml:space="preserve"> presents the unadjusted target population for rear seat occupants by age group and crash type.</w:t>
      </w:r>
    </w:p>
    <w:p w14:paraId="2765D431" w14:textId="014F4B8D" w:rsidR="00F1151E" w:rsidRDefault="00F1151E" w:rsidP="006F18D0"/>
    <w:p w14:paraId="5A1200D1" w14:textId="1B0D4F5D" w:rsidR="00F1151E" w:rsidRDefault="00F1151E" w:rsidP="006F18D0"/>
    <w:p w14:paraId="68AA70DC" w14:textId="44F17AE4" w:rsidR="00F1151E" w:rsidRDefault="00F1151E" w:rsidP="006F18D0"/>
    <w:p w14:paraId="7F045863" w14:textId="73C79979" w:rsidR="00F1151E" w:rsidRDefault="00F1151E" w:rsidP="006F18D0"/>
    <w:p w14:paraId="4B57A0AE" w14:textId="499F449C" w:rsidR="00F1151E" w:rsidRDefault="00F1151E" w:rsidP="006F18D0"/>
    <w:p w14:paraId="7E18037D" w14:textId="5471B4C0" w:rsidR="00F1151E" w:rsidRDefault="00F1151E" w:rsidP="006F18D0"/>
    <w:p w14:paraId="292FFF9F" w14:textId="77777777" w:rsidR="00F1151E" w:rsidRDefault="00F1151E" w:rsidP="006F18D0"/>
    <w:p w14:paraId="1BEC32F8" w14:textId="0C551DDA" w:rsidR="006F14EF" w:rsidRDefault="000F5B51" w:rsidP="00617167">
      <w:pPr>
        <w:pStyle w:val="Caption"/>
      </w:pPr>
      <w:bookmarkStart w:id="2050" w:name="_Ref127275290"/>
      <w:r>
        <w:lastRenderedPageBreak/>
        <w:t xml:space="preserve">Table </w:t>
      </w:r>
      <w:r w:rsidR="00115BAB">
        <w:fldChar w:fldCharType="begin"/>
      </w:r>
      <w:r>
        <w:instrText xml:space="preserve"> SEQ Table \* ARABIC </w:instrText>
      </w:r>
      <w:r w:rsidR="00115BAB">
        <w:fldChar w:fldCharType="separate"/>
      </w:r>
      <w:r w:rsidR="00A65CB3">
        <w:rPr>
          <w:noProof/>
        </w:rPr>
        <w:t>123</w:t>
      </w:r>
      <w:r w:rsidR="00115BAB">
        <w:rPr>
          <w:noProof/>
        </w:rPr>
        <w:fldChar w:fldCharType="end"/>
      </w:r>
      <w:bookmarkEnd w:id="2050"/>
      <w:r>
        <w:t xml:space="preserve">: </w:t>
      </w:r>
      <w:r w:rsidR="008B33DB">
        <w:t>Una</w:t>
      </w:r>
      <w:r>
        <w:t>djusted Target Population for Rear Seat Occupants by Crash Type</w:t>
      </w:r>
    </w:p>
    <w:tbl>
      <w:tblPr>
        <w:tblW w:w="7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04"/>
        <w:gridCol w:w="1653"/>
        <w:gridCol w:w="1997"/>
        <w:gridCol w:w="1345"/>
        <w:gridCol w:w="1625"/>
      </w:tblGrid>
      <w:tr w:rsidR="00A15C2C" w14:paraId="13C373F2" w14:textId="77777777" w:rsidTr="00617167">
        <w:trPr>
          <w:trHeight w:val="315"/>
          <w:jc w:val="center"/>
        </w:trPr>
        <w:tc>
          <w:tcPr>
            <w:tcW w:w="1304" w:type="dxa"/>
            <w:vMerge w:val="restart"/>
            <w:tcBorders>
              <w:top w:val="single" w:sz="4" w:space="0" w:color="auto"/>
            </w:tcBorders>
            <w:shd w:val="clear" w:color="auto" w:fill="BFBFBF" w:themeFill="background1" w:themeFillShade="BF"/>
            <w:noWrap/>
            <w:vAlign w:val="center"/>
            <w:hideMark/>
          </w:tcPr>
          <w:p w14:paraId="4F6C1A3A" w14:textId="77777777" w:rsidR="00C731F9" w:rsidRPr="00617167" w:rsidRDefault="000F5B51" w:rsidP="00617167">
            <w:pPr>
              <w:pStyle w:val="Caption"/>
              <w:jc w:val="left"/>
              <w:rPr>
                <w:b/>
                <w:bCs/>
              </w:rPr>
            </w:pPr>
            <w:r>
              <w:rPr>
                <w:b/>
                <w:bCs/>
              </w:rPr>
              <w:t>Injury Severity</w:t>
            </w:r>
          </w:p>
        </w:tc>
        <w:tc>
          <w:tcPr>
            <w:tcW w:w="3650" w:type="dxa"/>
            <w:gridSpan w:val="2"/>
            <w:shd w:val="clear" w:color="auto" w:fill="BFBFBF" w:themeFill="background1" w:themeFillShade="BF"/>
            <w:noWrap/>
            <w:vAlign w:val="center"/>
            <w:hideMark/>
          </w:tcPr>
          <w:p w14:paraId="0136FD83" w14:textId="77777777" w:rsidR="00C731F9" w:rsidRPr="00617167" w:rsidRDefault="000F5B51" w:rsidP="00C731F9">
            <w:pPr>
              <w:pStyle w:val="Caption"/>
              <w:rPr>
                <w:b/>
                <w:bCs/>
              </w:rPr>
            </w:pPr>
            <w:r w:rsidRPr="00C53CFC">
              <w:rPr>
                <w:rFonts w:cs="Times New Roman"/>
                <w:b/>
                <w:szCs w:val="24"/>
              </w:rPr>
              <w:t>6 – 10 years old</w:t>
            </w:r>
          </w:p>
        </w:tc>
        <w:tc>
          <w:tcPr>
            <w:tcW w:w="2970" w:type="dxa"/>
            <w:gridSpan w:val="2"/>
            <w:shd w:val="clear" w:color="auto" w:fill="BFBFBF" w:themeFill="background1" w:themeFillShade="BF"/>
            <w:noWrap/>
            <w:vAlign w:val="center"/>
            <w:hideMark/>
          </w:tcPr>
          <w:p w14:paraId="35A84748" w14:textId="77777777" w:rsidR="00C731F9" w:rsidRPr="00617167" w:rsidRDefault="000F5B51" w:rsidP="00C731F9">
            <w:pPr>
              <w:pStyle w:val="Caption"/>
              <w:rPr>
                <w:b/>
                <w:bCs/>
              </w:rPr>
            </w:pPr>
            <w:r w:rsidRPr="00C53CFC">
              <w:rPr>
                <w:rFonts w:cs="Times New Roman"/>
                <w:b/>
                <w:szCs w:val="24"/>
              </w:rPr>
              <w:t>11+ years old</w:t>
            </w:r>
          </w:p>
        </w:tc>
      </w:tr>
      <w:tr w:rsidR="00A15C2C" w14:paraId="430A9607" w14:textId="77777777" w:rsidTr="00140B52">
        <w:trPr>
          <w:trHeight w:val="300"/>
          <w:jc w:val="center"/>
        </w:trPr>
        <w:tc>
          <w:tcPr>
            <w:tcW w:w="0" w:type="auto"/>
            <w:vMerge/>
            <w:tcBorders>
              <w:top w:val="nil"/>
            </w:tcBorders>
            <w:shd w:val="clear" w:color="auto" w:fill="BFBFBF" w:themeFill="background1" w:themeFillShade="BF"/>
            <w:noWrap/>
            <w:vAlign w:val="center"/>
            <w:hideMark/>
          </w:tcPr>
          <w:p w14:paraId="4C43C13D" w14:textId="77777777" w:rsidR="00140B52" w:rsidRPr="00617167" w:rsidRDefault="00140B52" w:rsidP="00617167">
            <w:pPr>
              <w:pStyle w:val="Caption"/>
              <w:jc w:val="left"/>
              <w:rPr>
                <w:b/>
                <w:bCs/>
              </w:rPr>
            </w:pPr>
          </w:p>
        </w:tc>
        <w:tc>
          <w:tcPr>
            <w:tcW w:w="0" w:type="auto"/>
            <w:shd w:val="clear" w:color="auto" w:fill="BFBFBF" w:themeFill="background1" w:themeFillShade="BF"/>
            <w:noWrap/>
            <w:vAlign w:val="bottom"/>
            <w:hideMark/>
          </w:tcPr>
          <w:p w14:paraId="5E590F16" w14:textId="77777777" w:rsidR="00140B52" w:rsidRPr="00617167" w:rsidRDefault="000F5B51" w:rsidP="00036C09">
            <w:pPr>
              <w:pStyle w:val="Caption"/>
              <w:rPr>
                <w:b/>
                <w:bCs/>
              </w:rPr>
            </w:pPr>
            <w:r w:rsidRPr="00617167">
              <w:rPr>
                <w:b/>
                <w:bCs/>
              </w:rPr>
              <w:t>Restrained</w:t>
            </w:r>
          </w:p>
        </w:tc>
        <w:tc>
          <w:tcPr>
            <w:tcW w:w="0" w:type="auto"/>
            <w:shd w:val="clear" w:color="auto" w:fill="BFBFBF" w:themeFill="background1" w:themeFillShade="BF"/>
            <w:noWrap/>
            <w:vAlign w:val="bottom"/>
            <w:hideMark/>
          </w:tcPr>
          <w:p w14:paraId="19A4953D" w14:textId="77777777" w:rsidR="00140B52" w:rsidRPr="00617167" w:rsidRDefault="000F5B51" w:rsidP="00036C09">
            <w:pPr>
              <w:pStyle w:val="Caption"/>
              <w:rPr>
                <w:b/>
                <w:bCs/>
              </w:rPr>
            </w:pPr>
            <w:r w:rsidRPr="00617167">
              <w:rPr>
                <w:b/>
                <w:bCs/>
              </w:rPr>
              <w:t>Unrestrained</w:t>
            </w:r>
          </w:p>
        </w:tc>
        <w:tc>
          <w:tcPr>
            <w:tcW w:w="0" w:type="auto"/>
            <w:shd w:val="clear" w:color="auto" w:fill="BFBFBF" w:themeFill="background1" w:themeFillShade="BF"/>
            <w:noWrap/>
            <w:vAlign w:val="bottom"/>
            <w:hideMark/>
          </w:tcPr>
          <w:p w14:paraId="59FDFB42" w14:textId="77777777" w:rsidR="00140B52" w:rsidRPr="00617167" w:rsidRDefault="000F5B51" w:rsidP="00036C09">
            <w:pPr>
              <w:pStyle w:val="Caption"/>
              <w:rPr>
                <w:b/>
                <w:bCs/>
              </w:rPr>
            </w:pPr>
            <w:r w:rsidRPr="00617167">
              <w:rPr>
                <w:b/>
                <w:bCs/>
              </w:rPr>
              <w:t>Restrained</w:t>
            </w:r>
          </w:p>
        </w:tc>
        <w:tc>
          <w:tcPr>
            <w:tcW w:w="0" w:type="auto"/>
            <w:shd w:val="clear" w:color="auto" w:fill="BFBFBF" w:themeFill="background1" w:themeFillShade="BF"/>
            <w:noWrap/>
            <w:vAlign w:val="bottom"/>
            <w:hideMark/>
          </w:tcPr>
          <w:p w14:paraId="7F9CF25B" w14:textId="77777777" w:rsidR="00140B52" w:rsidRPr="00617167" w:rsidRDefault="000F5B51" w:rsidP="00036C09">
            <w:pPr>
              <w:pStyle w:val="Caption"/>
              <w:rPr>
                <w:b/>
                <w:bCs/>
              </w:rPr>
            </w:pPr>
            <w:r w:rsidRPr="00617167">
              <w:rPr>
                <w:b/>
                <w:bCs/>
              </w:rPr>
              <w:t>Unrestrained</w:t>
            </w:r>
          </w:p>
        </w:tc>
      </w:tr>
      <w:tr w:rsidR="00A15C2C" w14:paraId="5D9352AF" w14:textId="77777777" w:rsidTr="00036C09">
        <w:trPr>
          <w:trHeight w:val="300"/>
          <w:jc w:val="center"/>
        </w:trPr>
        <w:tc>
          <w:tcPr>
            <w:tcW w:w="0" w:type="auto"/>
            <w:gridSpan w:val="5"/>
            <w:shd w:val="clear" w:color="auto" w:fill="EDEDED" w:themeFill="accent3" w:themeFillTint="33"/>
            <w:noWrap/>
            <w:vAlign w:val="bottom"/>
            <w:hideMark/>
          </w:tcPr>
          <w:p w14:paraId="082A65E2" w14:textId="77777777" w:rsidR="00C731F9" w:rsidRPr="00C731F9" w:rsidRDefault="000F5B51" w:rsidP="00036C09">
            <w:pPr>
              <w:pStyle w:val="Caption"/>
              <w:rPr>
                <w:b/>
                <w:bCs/>
                <w:i/>
                <w:iCs w:val="0"/>
              </w:rPr>
            </w:pPr>
            <w:r>
              <w:rPr>
                <w:b/>
                <w:bCs/>
                <w:i/>
                <w:iCs w:val="0"/>
              </w:rPr>
              <w:t>Front Impact</w:t>
            </w:r>
          </w:p>
        </w:tc>
      </w:tr>
      <w:tr w:rsidR="00A15C2C" w14:paraId="5A9E29E8" w14:textId="77777777" w:rsidTr="00C731F9">
        <w:trPr>
          <w:trHeight w:val="300"/>
          <w:jc w:val="center"/>
        </w:trPr>
        <w:tc>
          <w:tcPr>
            <w:tcW w:w="0" w:type="auto"/>
            <w:noWrap/>
            <w:tcMar>
              <w:top w:w="15" w:type="dxa"/>
              <w:left w:w="135" w:type="dxa"/>
              <w:bottom w:w="15" w:type="dxa"/>
              <w:right w:w="15" w:type="dxa"/>
            </w:tcMar>
            <w:vAlign w:val="bottom"/>
            <w:hideMark/>
          </w:tcPr>
          <w:p w14:paraId="77D7FDA1" w14:textId="77777777" w:rsidR="006F14EF" w:rsidRPr="00E752A0" w:rsidRDefault="000F5B51" w:rsidP="00036C09">
            <w:pPr>
              <w:pStyle w:val="Caption"/>
              <w:rPr>
                <w:b/>
              </w:rPr>
            </w:pPr>
            <w:r w:rsidRPr="00E752A0">
              <w:t>MAIS 1</w:t>
            </w:r>
          </w:p>
        </w:tc>
        <w:tc>
          <w:tcPr>
            <w:tcW w:w="0" w:type="auto"/>
            <w:noWrap/>
            <w:vAlign w:val="center"/>
            <w:hideMark/>
          </w:tcPr>
          <w:p w14:paraId="342A0592" w14:textId="77777777" w:rsidR="006F14EF" w:rsidRPr="00E26073" w:rsidRDefault="000F5B51" w:rsidP="00C731F9">
            <w:pPr>
              <w:pStyle w:val="Caption"/>
              <w:rPr>
                <w:b/>
              </w:rPr>
            </w:pPr>
            <w:r w:rsidRPr="008C7B76">
              <w:rPr>
                <w:color w:val="000000"/>
              </w:rPr>
              <w:t>4,</w:t>
            </w:r>
            <w:r w:rsidR="00394707">
              <w:rPr>
                <w:color w:val="000000"/>
              </w:rPr>
              <w:t>212</w:t>
            </w:r>
          </w:p>
        </w:tc>
        <w:tc>
          <w:tcPr>
            <w:tcW w:w="0" w:type="auto"/>
            <w:noWrap/>
            <w:vAlign w:val="center"/>
            <w:hideMark/>
          </w:tcPr>
          <w:p w14:paraId="4B248416" w14:textId="77777777" w:rsidR="006F14EF" w:rsidRPr="00E26073" w:rsidRDefault="000F5B51" w:rsidP="00C731F9">
            <w:pPr>
              <w:pStyle w:val="Caption"/>
              <w:rPr>
                <w:b/>
              </w:rPr>
            </w:pPr>
            <w:r>
              <w:rPr>
                <w:color w:val="000000"/>
              </w:rPr>
              <w:t>765</w:t>
            </w:r>
          </w:p>
        </w:tc>
        <w:tc>
          <w:tcPr>
            <w:tcW w:w="0" w:type="auto"/>
            <w:noWrap/>
            <w:vAlign w:val="center"/>
            <w:hideMark/>
          </w:tcPr>
          <w:p w14:paraId="52EC15DC" w14:textId="77777777" w:rsidR="006F14EF" w:rsidRPr="00E26073" w:rsidRDefault="000F5B51" w:rsidP="00C731F9">
            <w:pPr>
              <w:pStyle w:val="Caption"/>
              <w:rPr>
                <w:b/>
              </w:rPr>
            </w:pPr>
            <w:r w:rsidRPr="008C7B76">
              <w:rPr>
                <w:color w:val="000000"/>
              </w:rPr>
              <w:t>5,867</w:t>
            </w:r>
          </w:p>
        </w:tc>
        <w:tc>
          <w:tcPr>
            <w:tcW w:w="0" w:type="auto"/>
            <w:noWrap/>
            <w:vAlign w:val="center"/>
            <w:hideMark/>
          </w:tcPr>
          <w:p w14:paraId="460F78E8" w14:textId="77777777" w:rsidR="006F14EF" w:rsidRPr="00E26073" w:rsidRDefault="000F5B51" w:rsidP="00C731F9">
            <w:pPr>
              <w:pStyle w:val="Caption"/>
              <w:rPr>
                <w:b/>
              </w:rPr>
            </w:pPr>
            <w:r w:rsidRPr="008C7B76">
              <w:rPr>
                <w:color w:val="000000"/>
              </w:rPr>
              <w:t>3,000</w:t>
            </w:r>
          </w:p>
        </w:tc>
      </w:tr>
      <w:tr w:rsidR="00A15C2C" w14:paraId="245CA65A" w14:textId="77777777" w:rsidTr="00C731F9">
        <w:trPr>
          <w:trHeight w:val="300"/>
          <w:jc w:val="center"/>
        </w:trPr>
        <w:tc>
          <w:tcPr>
            <w:tcW w:w="0" w:type="auto"/>
            <w:noWrap/>
            <w:tcMar>
              <w:top w:w="15" w:type="dxa"/>
              <w:left w:w="135" w:type="dxa"/>
              <w:bottom w:w="15" w:type="dxa"/>
              <w:right w:w="15" w:type="dxa"/>
            </w:tcMar>
            <w:vAlign w:val="bottom"/>
            <w:hideMark/>
          </w:tcPr>
          <w:p w14:paraId="00BA8A05" w14:textId="77777777" w:rsidR="006F14EF" w:rsidRPr="00E752A0" w:rsidRDefault="000F5B51" w:rsidP="00036C09">
            <w:pPr>
              <w:pStyle w:val="Caption"/>
              <w:rPr>
                <w:b/>
              </w:rPr>
            </w:pPr>
            <w:r w:rsidRPr="00E752A0">
              <w:t>MAIS 2</w:t>
            </w:r>
          </w:p>
        </w:tc>
        <w:tc>
          <w:tcPr>
            <w:tcW w:w="0" w:type="auto"/>
            <w:noWrap/>
            <w:vAlign w:val="center"/>
            <w:hideMark/>
          </w:tcPr>
          <w:p w14:paraId="0F4D820A" w14:textId="77777777" w:rsidR="006F14EF" w:rsidRPr="00E26073" w:rsidRDefault="000F5B51" w:rsidP="00C731F9">
            <w:pPr>
              <w:pStyle w:val="Caption"/>
              <w:rPr>
                <w:b/>
              </w:rPr>
            </w:pPr>
            <w:r w:rsidRPr="008C7B76">
              <w:rPr>
                <w:color w:val="000000"/>
              </w:rPr>
              <w:t>128</w:t>
            </w:r>
          </w:p>
        </w:tc>
        <w:tc>
          <w:tcPr>
            <w:tcW w:w="0" w:type="auto"/>
            <w:noWrap/>
            <w:vAlign w:val="center"/>
            <w:hideMark/>
          </w:tcPr>
          <w:p w14:paraId="2B827128" w14:textId="77777777" w:rsidR="006F14EF" w:rsidRPr="00E26073" w:rsidRDefault="000F5B51" w:rsidP="00C731F9">
            <w:pPr>
              <w:pStyle w:val="Caption"/>
              <w:rPr>
                <w:b/>
              </w:rPr>
            </w:pPr>
            <w:r w:rsidRPr="008C7B76">
              <w:rPr>
                <w:color w:val="000000"/>
              </w:rPr>
              <w:t>89</w:t>
            </w:r>
          </w:p>
        </w:tc>
        <w:tc>
          <w:tcPr>
            <w:tcW w:w="0" w:type="auto"/>
            <w:noWrap/>
            <w:vAlign w:val="center"/>
            <w:hideMark/>
          </w:tcPr>
          <w:p w14:paraId="463BE15D" w14:textId="77777777" w:rsidR="006F14EF" w:rsidRPr="00E26073" w:rsidRDefault="000F5B51" w:rsidP="00C731F9">
            <w:pPr>
              <w:pStyle w:val="Caption"/>
              <w:rPr>
                <w:b/>
              </w:rPr>
            </w:pPr>
            <w:r w:rsidRPr="008C7B76">
              <w:rPr>
                <w:color w:val="000000"/>
              </w:rPr>
              <w:t>359</w:t>
            </w:r>
          </w:p>
        </w:tc>
        <w:tc>
          <w:tcPr>
            <w:tcW w:w="0" w:type="auto"/>
            <w:noWrap/>
            <w:vAlign w:val="center"/>
            <w:hideMark/>
          </w:tcPr>
          <w:p w14:paraId="0241761B" w14:textId="77777777" w:rsidR="006F14EF" w:rsidRPr="00E26073" w:rsidRDefault="000F5B51" w:rsidP="00C731F9">
            <w:pPr>
              <w:pStyle w:val="Caption"/>
              <w:rPr>
                <w:b/>
              </w:rPr>
            </w:pPr>
            <w:r w:rsidRPr="008C7B76">
              <w:rPr>
                <w:color w:val="000000"/>
              </w:rPr>
              <w:t>1,131</w:t>
            </w:r>
          </w:p>
        </w:tc>
      </w:tr>
      <w:tr w:rsidR="00A15C2C" w14:paraId="7B47CD58" w14:textId="77777777" w:rsidTr="00C731F9">
        <w:trPr>
          <w:trHeight w:val="300"/>
          <w:jc w:val="center"/>
        </w:trPr>
        <w:tc>
          <w:tcPr>
            <w:tcW w:w="0" w:type="auto"/>
            <w:noWrap/>
            <w:tcMar>
              <w:top w:w="15" w:type="dxa"/>
              <w:left w:w="135" w:type="dxa"/>
              <w:bottom w:w="15" w:type="dxa"/>
              <w:right w:w="15" w:type="dxa"/>
            </w:tcMar>
            <w:vAlign w:val="bottom"/>
            <w:hideMark/>
          </w:tcPr>
          <w:p w14:paraId="11669B8C" w14:textId="77777777" w:rsidR="006F14EF" w:rsidRPr="00E752A0" w:rsidRDefault="000F5B51" w:rsidP="00036C09">
            <w:pPr>
              <w:pStyle w:val="Caption"/>
              <w:rPr>
                <w:b/>
              </w:rPr>
            </w:pPr>
            <w:r w:rsidRPr="00E752A0">
              <w:t>MAIS 3</w:t>
            </w:r>
          </w:p>
        </w:tc>
        <w:tc>
          <w:tcPr>
            <w:tcW w:w="0" w:type="auto"/>
            <w:noWrap/>
            <w:vAlign w:val="center"/>
            <w:hideMark/>
          </w:tcPr>
          <w:p w14:paraId="286A13F7" w14:textId="77777777" w:rsidR="006F14EF" w:rsidRPr="00E26073" w:rsidRDefault="000F5B51" w:rsidP="00C731F9">
            <w:pPr>
              <w:pStyle w:val="Caption"/>
              <w:rPr>
                <w:b/>
              </w:rPr>
            </w:pPr>
            <w:r w:rsidRPr="008C7B76">
              <w:rPr>
                <w:color w:val="000000"/>
              </w:rPr>
              <w:t>35</w:t>
            </w:r>
          </w:p>
        </w:tc>
        <w:tc>
          <w:tcPr>
            <w:tcW w:w="0" w:type="auto"/>
            <w:noWrap/>
            <w:vAlign w:val="center"/>
            <w:hideMark/>
          </w:tcPr>
          <w:p w14:paraId="088CB6DC" w14:textId="77777777" w:rsidR="006F14EF" w:rsidRPr="00E26073" w:rsidRDefault="000F5B51" w:rsidP="00C731F9">
            <w:pPr>
              <w:pStyle w:val="Caption"/>
              <w:rPr>
                <w:b/>
              </w:rPr>
            </w:pPr>
            <w:r w:rsidRPr="008C7B76">
              <w:rPr>
                <w:color w:val="000000"/>
              </w:rPr>
              <w:t>0</w:t>
            </w:r>
          </w:p>
        </w:tc>
        <w:tc>
          <w:tcPr>
            <w:tcW w:w="0" w:type="auto"/>
            <w:noWrap/>
            <w:vAlign w:val="center"/>
            <w:hideMark/>
          </w:tcPr>
          <w:p w14:paraId="194FDE61" w14:textId="77777777" w:rsidR="006F14EF" w:rsidRPr="00E26073" w:rsidRDefault="000F5B51" w:rsidP="00C731F9">
            <w:pPr>
              <w:pStyle w:val="Caption"/>
              <w:rPr>
                <w:b/>
              </w:rPr>
            </w:pPr>
            <w:r w:rsidRPr="008C7B76">
              <w:rPr>
                <w:color w:val="000000"/>
              </w:rPr>
              <w:t>35</w:t>
            </w:r>
          </w:p>
        </w:tc>
        <w:tc>
          <w:tcPr>
            <w:tcW w:w="0" w:type="auto"/>
            <w:noWrap/>
            <w:vAlign w:val="center"/>
            <w:hideMark/>
          </w:tcPr>
          <w:p w14:paraId="2812FB84" w14:textId="77777777" w:rsidR="006F14EF" w:rsidRPr="00E26073" w:rsidRDefault="000F5B51" w:rsidP="00C731F9">
            <w:pPr>
              <w:pStyle w:val="Caption"/>
              <w:rPr>
                <w:b/>
              </w:rPr>
            </w:pPr>
            <w:r w:rsidRPr="008C7B76">
              <w:rPr>
                <w:color w:val="000000"/>
              </w:rPr>
              <w:t>49</w:t>
            </w:r>
          </w:p>
        </w:tc>
      </w:tr>
      <w:tr w:rsidR="00A15C2C" w14:paraId="2F37D4F8" w14:textId="77777777" w:rsidTr="00C731F9">
        <w:trPr>
          <w:trHeight w:val="300"/>
          <w:jc w:val="center"/>
        </w:trPr>
        <w:tc>
          <w:tcPr>
            <w:tcW w:w="0" w:type="auto"/>
            <w:noWrap/>
            <w:tcMar>
              <w:top w:w="15" w:type="dxa"/>
              <w:left w:w="135" w:type="dxa"/>
              <w:bottom w:w="15" w:type="dxa"/>
              <w:right w:w="15" w:type="dxa"/>
            </w:tcMar>
            <w:vAlign w:val="bottom"/>
            <w:hideMark/>
          </w:tcPr>
          <w:p w14:paraId="0C9D935F" w14:textId="77777777" w:rsidR="006F14EF" w:rsidRPr="00E752A0" w:rsidRDefault="000F5B51" w:rsidP="00036C09">
            <w:pPr>
              <w:pStyle w:val="Caption"/>
              <w:rPr>
                <w:b/>
              </w:rPr>
            </w:pPr>
            <w:r w:rsidRPr="00E752A0">
              <w:t>MAIS 4</w:t>
            </w:r>
          </w:p>
        </w:tc>
        <w:tc>
          <w:tcPr>
            <w:tcW w:w="0" w:type="auto"/>
            <w:noWrap/>
            <w:vAlign w:val="center"/>
            <w:hideMark/>
          </w:tcPr>
          <w:p w14:paraId="142B544B" w14:textId="77777777" w:rsidR="006F14EF" w:rsidRPr="00E26073" w:rsidRDefault="000F5B51" w:rsidP="00C731F9">
            <w:pPr>
              <w:pStyle w:val="Caption"/>
              <w:rPr>
                <w:b/>
              </w:rPr>
            </w:pPr>
            <w:r w:rsidRPr="008C7B76">
              <w:rPr>
                <w:color w:val="000000"/>
              </w:rPr>
              <w:t>4</w:t>
            </w:r>
          </w:p>
        </w:tc>
        <w:tc>
          <w:tcPr>
            <w:tcW w:w="0" w:type="auto"/>
            <w:noWrap/>
            <w:vAlign w:val="center"/>
            <w:hideMark/>
          </w:tcPr>
          <w:p w14:paraId="5D4D7E3C" w14:textId="77777777" w:rsidR="006F14EF" w:rsidRPr="00E26073" w:rsidRDefault="000F5B51" w:rsidP="00C731F9">
            <w:pPr>
              <w:pStyle w:val="Caption"/>
              <w:rPr>
                <w:b/>
              </w:rPr>
            </w:pPr>
            <w:r w:rsidRPr="008C7B76">
              <w:rPr>
                <w:color w:val="000000"/>
              </w:rPr>
              <w:t>11</w:t>
            </w:r>
          </w:p>
        </w:tc>
        <w:tc>
          <w:tcPr>
            <w:tcW w:w="0" w:type="auto"/>
            <w:noWrap/>
            <w:vAlign w:val="center"/>
            <w:hideMark/>
          </w:tcPr>
          <w:p w14:paraId="00F0BE75" w14:textId="77777777" w:rsidR="006F14EF" w:rsidRPr="00E26073" w:rsidRDefault="000F5B51" w:rsidP="00C731F9">
            <w:pPr>
              <w:pStyle w:val="Caption"/>
              <w:rPr>
                <w:b/>
              </w:rPr>
            </w:pPr>
            <w:r w:rsidRPr="008C7B76">
              <w:rPr>
                <w:color w:val="000000"/>
              </w:rPr>
              <w:t>42</w:t>
            </w:r>
          </w:p>
        </w:tc>
        <w:tc>
          <w:tcPr>
            <w:tcW w:w="0" w:type="auto"/>
            <w:noWrap/>
            <w:vAlign w:val="center"/>
            <w:hideMark/>
          </w:tcPr>
          <w:p w14:paraId="2EC74F3E" w14:textId="77777777" w:rsidR="006F14EF" w:rsidRPr="00E26073" w:rsidRDefault="000F5B51" w:rsidP="00C731F9">
            <w:pPr>
              <w:pStyle w:val="Caption"/>
              <w:rPr>
                <w:b/>
              </w:rPr>
            </w:pPr>
            <w:r w:rsidRPr="008C7B76">
              <w:rPr>
                <w:color w:val="000000"/>
              </w:rPr>
              <w:t>77</w:t>
            </w:r>
          </w:p>
        </w:tc>
      </w:tr>
      <w:tr w:rsidR="00A15C2C" w14:paraId="762F4451" w14:textId="77777777" w:rsidTr="00C731F9">
        <w:trPr>
          <w:trHeight w:val="300"/>
          <w:jc w:val="center"/>
        </w:trPr>
        <w:tc>
          <w:tcPr>
            <w:tcW w:w="0" w:type="auto"/>
            <w:noWrap/>
            <w:tcMar>
              <w:top w:w="15" w:type="dxa"/>
              <w:left w:w="135" w:type="dxa"/>
              <w:bottom w:w="15" w:type="dxa"/>
              <w:right w:w="15" w:type="dxa"/>
            </w:tcMar>
            <w:vAlign w:val="bottom"/>
            <w:hideMark/>
          </w:tcPr>
          <w:p w14:paraId="0BF1EC1A" w14:textId="77777777" w:rsidR="006F14EF" w:rsidRPr="00E752A0" w:rsidRDefault="000F5B51" w:rsidP="00036C09">
            <w:pPr>
              <w:pStyle w:val="Caption"/>
              <w:rPr>
                <w:b/>
              </w:rPr>
            </w:pPr>
            <w:r w:rsidRPr="00E752A0">
              <w:t>MAIS 5</w:t>
            </w:r>
          </w:p>
        </w:tc>
        <w:tc>
          <w:tcPr>
            <w:tcW w:w="0" w:type="auto"/>
            <w:noWrap/>
            <w:vAlign w:val="center"/>
            <w:hideMark/>
          </w:tcPr>
          <w:p w14:paraId="5AFB4D8A" w14:textId="77777777" w:rsidR="006F14EF" w:rsidRPr="00C731F9" w:rsidRDefault="000F5B51" w:rsidP="00C731F9">
            <w:pPr>
              <w:pStyle w:val="Caption"/>
              <w:rPr>
                <w:bCs/>
              </w:rPr>
            </w:pPr>
            <w:r w:rsidRPr="00C731F9">
              <w:rPr>
                <w:bCs/>
              </w:rPr>
              <w:t>0</w:t>
            </w:r>
          </w:p>
        </w:tc>
        <w:tc>
          <w:tcPr>
            <w:tcW w:w="0" w:type="auto"/>
            <w:noWrap/>
            <w:vAlign w:val="center"/>
            <w:hideMark/>
          </w:tcPr>
          <w:p w14:paraId="75DA9024" w14:textId="77777777" w:rsidR="006F14EF" w:rsidRPr="00C731F9" w:rsidRDefault="000F5B51" w:rsidP="00C731F9">
            <w:pPr>
              <w:pStyle w:val="Caption"/>
              <w:rPr>
                <w:bCs/>
              </w:rPr>
            </w:pPr>
            <w:r>
              <w:rPr>
                <w:bCs/>
              </w:rPr>
              <w:t>0</w:t>
            </w:r>
          </w:p>
        </w:tc>
        <w:tc>
          <w:tcPr>
            <w:tcW w:w="0" w:type="auto"/>
            <w:noWrap/>
            <w:vAlign w:val="center"/>
            <w:hideMark/>
          </w:tcPr>
          <w:p w14:paraId="5CD8B7E7" w14:textId="77777777" w:rsidR="006F14EF" w:rsidRPr="00E26073" w:rsidRDefault="000F5B51" w:rsidP="00C731F9">
            <w:pPr>
              <w:pStyle w:val="Caption"/>
              <w:rPr>
                <w:b/>
              </w:rPr>
            </w:pPr>
            <w:r w:rsidRPr="008C7B76">
              <w:rPr>
                <w:color w:val="000000"/>
              </w:rPr>
              <w:t>0</w:t>
            </w:r>
          </w:p>
        </w:tc>
        <w:tc>
          <w:tcPr>
            <w:tcW w:w="0" w:type="auto"/>
            <w:noWrap/>
            <w:vAlign w:val="center"/>
            <w:hideMark/>
          </w:tcPr>
          <w:p w14:paraId="0113F875" w14:textId="77777777" w:rsidR="006F14EF" w:rsidRPr="00E26073" w:rsidRDefault="000F5B51" w:rsidP="00C731F9">
            <w:pPr>
              <w:pStyle w:val="Caption"/>
              <w:rPr>
                <w:b/>
              </w:rPr>
            </w:pPr>
            <w:r w:rsidRPr="008C7B76">
              <w:rPr>
                <w:color w:val="000000"/>
              </w:rPr>
              <w:t>7</w:t>
            </w:r>
          </w:p>
        </w:tc>
      </w:tr>
      <w:tr w:rsidR="00A15C2C" w14:paraId="5789918A" w14:textId="77777777" w:rsidTr="00C731F9">
        <w:trPr>
          <w:trHeight w:val="300"/>
          <w:jc w:val="center"/>
        </w:trPr>
        <w:tc>
          <w:tcPr>
            <w:tcW w:w="0" w:type="auto"/>
            <w:noWrap/>
            <w:tcMar>
              <w:top w:w="15" w:type="dxa"/>
              <w:left w:w="135" w:type="dxa"/>
              <w:bottom w:w="15" w:type="dxa"/>
              <w:right w:w="15" w:type="dxa"/>
            </w:tcMar>
            <w:vAlign w:val="bottom"/>
            <w:hideMark/>
          </w:tcPr>
          <w:p w14:paraId="0E5CD0E4" w14:textId="77777777" w:rsidR="006F14EF" w:rsidRPr="00E752A0" w:rsidRDefault="000F5B51" w:rsidP="00036C09">
            <w:pPr>
              <w:pStyle w:val="Caption"/>
              <w:rPr>
                <w:b/>
              </w:rPr>
            </w:pPr>
            <w:r w:rsidRPr="00E752A0">
              <w:t>Fatal</w:t>
            </w:r>
          </w:p>
        </w:tc>
        <w:tc>
          <w:tcPr>
            <w:tcW w:w="0" w:type="auto"/>
            <w:noWrap/>
            <w:vAlign w:val="center"/>
            <w:hideMark/>
          </w:tcPr>
          <w:p w14:paraId="19C6646A" w14:textId="77777777" w:rsidR="006F14EF" w:rsidRPr="00E26073" w:rsidRDefault="000F5B51" w:rsidP="00C731F9">
            <w:pPr>
              <w:pStyle w:val="Caption"/>
              <w:rPr>
                <w:b/>
              </w:rPr>
            </w:pPr>
            <w:r w:rsidRPr="008C7B76">
              <w:rPr>
                <w:color w:val="000000"/>
              </w:rPr>
              <w:t>35</w:t>
            </w:r>
          </w:p>
        </w:tc>
        <w:tc>
          <w:tcPr>
            <w:tcW w:w="0" w:type="auto"/>
            <w:noWrap/>
            <w:vAlign w:val="center"/>
            <w:hideMark/>
          </w:tcPr>
          <w:p w14:paraId="6B070914" w14:textId="77777777" w:rsidR="006F14EF" w:rsidRPr="00E26073" w:rsidRDefault="000F5B51" w:rsidP="00C731F9">
            <w:pPr>
              <w:pStyle w:val="Caption"/>
              <w:rPr>
                <w:b/>
              </w:rPr>
            </w:pPr>
            <w:r w:rsidRPr="008C7B76">
              <w:rPr>
                <w:color w:val="000000"/>
              </w:rPr>
              <w:t>13</w:t>
            </w:r>
          </w:p>
        </w:tc>
        <w:tc>
          <w:tcPr>
            <w:tcW w:w="0" w:type="auto"/>
            <w:noWrap/>
            <w:vAlign w:val="center"/>
            <w:hideMark/>
          </w:tcPr>
          <w:p w14:paraId="07F4248D" w14:textId="77777777" w:rsidR="006F14EF" w:rsidRPr="00E26073" w:rsidRDefault="000F5B51" w:rsidP="00C731F9">
            <w:pPr>
              <w:pStyle w:val="Caption"/>
              <w:rPr>
                <w:b/>
              </w:rPr>
            </w:pPr>
            <w:r w:rsidRPr="008C7B76">
              <w:rPr>
                <w:color w:val="000000"/>
              </w:rPr>
              <w:t>140</w:t>
            </w:r>
          </w:p>
        </w:tc>
        <w:tc>
          <w:tcPr>
            <w:tcW w:w="0" w:type="auto"/>
            <w:noWrap/>
            <w:vAlign w:val="center"/>
            <w:hideMark/>
          </w:tcPr>
          <w:p w14:paraId="3C2AF86F" w14:textId="77777777" w:rsidR="006F14EF" w:rsidRPr="00E26073" w:rsidRDefault="000F5B51" w:rsidP="00C731F9">
            <w:pPr>
              <w:pStyle w:val="Caption"/>
              <w:rPr>
                <w:b/>
              </w:rPr>
            </w:pPr>
            <w:r w:rsidRPr="008C7B76">
              <w:rPr>
                <w:color w:val="000000"/>
              </w:rPr>
              <w:t>249</w:t>
            </w:r>
          </w:p>
        </w:tc>
      </w:tr>
      <w:tr w:rsidR="00A15C2C" w14:paraId="6CF269AD" w14:textId="77777777" w:rsidTr="00036C09">
        <w:trPr>
          <w:trHeight w:val="300"/>
          <w:jc w:val="center"/>
        </w:trPr>
        <w:tc>
          <w:tcPr>
            <w:tcW w:w="0" w:type="auto"/>
            <w:gridSpan w:val="5"/>
            <w:shd w:val="clear" w:color="auto" w:fill="EDEDED" w:themeFill="accent3" w:themeFillTint="33"/>
            <w:noWrap/>
            <w:vAlign w:val="bottom"/>
            <w:hideMark/>
          </w:tcPr>
          <w:p w14:paraId="53A14575" w14:textId="77777777" w:rsidR="00C731F9" w:rsidRPr="00C731F9" w:rsidRDefault="000F5B51" w:rsidP="00036C09">
            <w:pPr>
              <w:pStyle w:val="Caption"/>
              <w:rPr>
                <w:b/>
                <w:bCs/>
                <w:i/>
                <w:iCs w:val="0"/>
              </w:rPr>
            </w:pPr>
            <w:r w:rsidRPr="00C731F9">
              <w:rPr>
                <w:b/>
                <w:bCs/>
                <w:i/>
                <w:iCs w:val="0"/>
              </w:rPr>
              <w:t>Side</w:t>
            </w:r>
            <w:r>
              <w:rPr>
                <w:b/>
                <w:bCs/>
                <w:i/>
                <w:iCs w:val="0"/>
              </w:rPr>
              <w:t xml:space="preserve"> Impact</w:t>
            </w:r>
          </w:p>
        </w:tc>
      </w:tr>
      <w:tr w:rsidR="00A15C2C" w14:paraId="5B1BCF48" w14:textId="77777777" w:rsidTr="00C731F9">
        <w:trPr>
          <w:trHeight w:val="300"/>
          <w:jc w:val="center"/>
        </w:trPr>
        <w:tc>
          <w:tcPr>
            <w:tcW w:w="0" w:type="auto"/>
            <w:noWrap/>
            <w:tcMar>
              <w:top w:w="15" w:type="dxa"/>
              <w:left w:w="135" w:type="dxa"/>
              <w:bottom w:w="15" w:type="dxa"/>
              <w:right w:w="15" w:type="dxa"/>
            </w:tcMar>
            <w:vAlign w:val="bottom"/>
            <w:hideMark/>
          </w:tcPr>
          <w:p w14:paraId="2ACCF953" w14:textId="77777777" w:rsidR="006F14EF" w:rsidRPr="00E752A0" w:rsidRDefault="000F5B51" w:rsidP="00036C09">
            <w:pPr>
              <w:pStyle w:val="Caption"/>
              <w:rPr>
                <w:b/>
              </w:rPr>
            </w:pPr>
            <w:r w:rsidRPr="00E752A0">
              <w:t>MAIS 1</w:t>
            </w:r>
          </w:p>
        </w:tc>
        <w:tc>
          <w:tcPr>
            <w:tcW w:w="0" w:type="auto"/>
            <w:noWrap/>
            <w:vAlign w:val="center"/>
            <w:hideMark/>
          </w:tcPr>
          <w:p w14:paraId="1485B926" w14:textId="77777777" w:rsidR="006F14EF" w:rsidRPr="00E26073" w:rsidRDefault="000F5B51" w:rsidP="00C731F9">
            <w:pPr>
              <w:pStyle w:val="Caption"/>
              <w:rPr>
                <w:b/>
              </w:rPr>
            </w:pPr>
            <w:r w:rsidRPr="008C7B76">
              <w:rPr>
                <w:color w:val="000000"/>
              </w:rPr>
              <w:t>1,808</w:t>
            </w:r>
          </w:p>
        </w:tc>
        <w:tc>
          <w:tcPr>
            <w:tcW w:w="0" w:type="auto"/>
            <w:noWrap/>
            <w:vAlign w:val="center"/>
            <w:hideMark/>
          </w:tcPr>
          <w:p w14:paraId="691CB208" w14:textId="77777777" w:rsidR="006F14EF" w:rsidRPr="00E26073" w:rsidRDefault="000F5B51" w:rsidP="00C731F9">
            <w:pPr>
              <w:pStyle w:val="Caption"/>
              <w:rPr>
                <w:b/>
              </w:rPr>
            </w:pPr>
            <w:r w:rsidRPr="008C7B76">
              <w:rPr>
                <w:color w:val="000000"/>
              </w:rPr>
              <w:t>2</w:t>
            </w:r>
          </w:p>
        </w:tc>
        <w:tc>
          <w:tcPr>
            <w:tcW w:w="0" w:type="auto"/>
            <w:noWrap/>
            <w:vAlign w:val="center"/>
            <w:hideMark/>
          </w:tcPr>
          <w:p w14:paraId="0CE6C4D6" w14:textId="77777777" w:rsidR="006F14EF" w:rsidRPr="00E26073" w:rsidRDefault="000F5B51" w:rsidP="00C731F9">
            <w:pPr>
              <w:pStyle w:val="Caption"/>
              <w:rPr>
                <w:b/>
              </w:rPr>
            </w:pPr>
            <w:r w:rsidRPr="008C7B76">
              <w:rPr>
                <w:color w:val="000000"/>
              </w:rPr>
              <w:t>11,473</w:t>
            </w:r>
          </w:p>
        </w:tc>
        <w:tc>
          <w:tcPr>
            <w:tcW w:w="0" w:type="auto"/>
            <w:noWrap/>
            <w:vAlign w:val="center"/>
            <w:hideMark/>
          </w:tcPr>
          <w:p w14:paraId="0C19F6C0" w14:textId="77777777" w:rsidR="006F14EF" w:rsidRPr="00E26073" w:rsidRDefault="000F5B51" w:rsidP="00C731F9">
            <w:pPr>
              <w:pStyle w:val="Caption"/>
              <w:rPr>
                <w:b/>
              </w:rPr>
            </w:pPr>
            <w:r w:rsidRPr="008C7B76">
              <w:rPr>
                <w:color w:val="000000"/>
              </w:rPr>
              <w:t>363</w:t>
            </w:r>
          </w:p>
        </w:tc>
      </w:tr>
      <w:tr w:rsidR="00A15C2C" w14:paraId="1F817078" w14:textId="77777777" w:rsidTr="00C731F9">
        <w:trPr>
          <w:trHeight w:val="300"/>
          <w:jc w:val="center"/>
        </w:trPr>
        <w:tc>
          <w:tcPr>
            <w:tcW w:w="0" w:type="auto"/>
            <w:noWrap/>
            <w:tcMar>
              <w:top w:w="15" w:type="dxa"/>
              <w:left w:w="135" w:type="dxa"/>
              <w:bottom w:w="15" w:type="dxa"/>
              <w:right w:w="15" w:type="dxa"/>
            </w:tcMar>
            <w:vAlign w:val="bottom"/>
            <w:hideMark/>
          </w:tcPr>
          <w:p w14:paraId="54EBEB73" w14:textId="77777777" w:rsidR="006F14EF" w:rsidRPr="00E752A0" w:rsidRDefault="000F5B51" w:rsidP="00036C09">
            <w:pPr>
              <w:pStyle w:val="Caption"/>
              <w:rPr>
                <w:b/>
              </w:rPr>
            </w:pPr>
            <w:r w:rsidRPr="00E752A0">
              <w:t>MAIS 2</w:t>
            </w:r>
          </w:p>
        </w:tc>
        <w:tc>
          <w:tcPr>
            <w:tcW w:w="0" w:type="auto"/>
            <w:noWrap/>
            <w:vAlign w:val="center"/>
            <w:hideMark/>
          </w:tcPr>
          <w:p w14:paraId="79B48300" w14:textId="77777777" w:rsidR="006F14EF" w:rsidRPr="00E26073" w:rsidRDefault="000F5B51" w:rsidP="00C731F9">
            <w:pPr>
              <w:pStyle w:val="Caption"/>
              <w:rPr>
                <w:b/>
              </w:rPr>
            </w:pPr>
            <w:r w:rsidRPr="008C7B76">
              <w:rPr>
                <w:color w:val="000000"/>
              </w:rPr>
              <w:t>8</w:t>
            </w:r>
          </w:p>
        </w:tc>
        <w:tc>
          <w:tcPr>
            <w:tcW w:w="0" w:type="auto"/>
            <w:noWrap/>
            <w:vAlign w:val="center"/>
            <w:hideMark/>
          </w:tcPr>
          <w:p w14:paraId="1D128A3E" w14:textId="77777777" w:rsidR="006F14EF" w:rsidRPr="00E26073" w:rsidRDefault="000F5B51" w:rsidP="00C731F9">
            <w:pPr>
              <w:pStyle w:val="Caption"/>
              <w:rPr>
                <w:b/>
              </w:rPr>
            </w:pPr>
            <w:r w:rsidRPr="008C7B76">
              <w:rPr>
                <w:color w:val="000000"/>
              </w:rPr>
              <w:t>2</w:t>
            </w:r>
          </w:p>
        </w:tc>
        <w:tc>
          <w:tcPr>
            <w:tcW w:w="0" w:type="auto"/>
            <w:noWrap/>
            <w:vAlign w:val="center"/>
            <w:hideMark/>
          </w:tcPr>
          <w:p w14:paraId="6B4E2E15" w14:textId="77777777" w:rsidR="006F14EF" w:rsidRPr="00E26073" w:rsidRDefault="000F5B51" w:rsidP="00C731F9">
            <w:pPr>
              <w:pStyle w:val="Caption"/>
              <w:rPr>
                <w:b/>
              </w:rPr>
            </w:pPr>
            <w:r w:rsidRPr="008C7B76">
              <w:rPr>
                <w:color w:val="000000"/>
              </w:rPr>
              <w:t>84</w:t>
            </w:r>
          </w:p>
        </w:tc>
        <w:tc>
          <w:tcPr>
            <w:tcW w:w="0" w:type="auto"/>
            <w:noWrap/>
            <w:vAlign w:val="center"/>
            <w:hideMark/>
          </w:tcPr>
          <w:p w14:paraId="314AD95C" w14:textId="77777777" w:rsidR="006F14EF" w:rsidRPr="00E26073" w:rsidRDefault="000F5B51" w:rsidP="00C731F9">
            <w:pPr>
              <w:pStyle w:val="Caption"/>
              <w:rPr>
                <w:b/>
              </w:rPr>
            </w:pPr>
            <w:r w:rsidRPr="008C7B76">
              <w:rPr>
                <w:color w:val="000000"/>
              </w:rPr>
              <w:t>74</w:t>
            </w:r>
          </w:p>
        </w:tc>
      </w:tr>
      <w:tr w:rsidR="00A15C2C" w14:paraId="4F8F26B9" w14:textId="77777777" w:rsidTr="00C731F9">
        <w:trPr>
          <w:trHeight w:val="300"/>
          <w:jc w:val="center"/>
        </w:trPr>
        <w:tc>
          <w:tcPr>
            <w:tcW w:w="0" w:type="auto"/>
            <w:noWrap/>
            <w:tcMar>
              <w:top w:w="15" w:type="dxa"/>
              <w:left w:w="135" w:type="dxa"/>
              <w:bottom w:w="15" w:type="dxa"/>
              <w:right w:w="15" w:type="dxa"/>
            </w:tcMar>
            <w:vAlign w:val="bottom"/>
            <w:hideMark/>
          </w:tcPr>
          <w:p w14:paraId="43C48176" w14:textId="77777777" w:rsidR="006F14EF" w:rsidRPr="00E752A0" w:rsidRDefault="000F5B51" w:rsidP="00036C09">
            <w:pPr>
              <w:pStyle w:val="Caption"/>
              <w:rPr>
                <w:b/>
              </w:rPr>
            </w:pPr>
            <w:r w:rsidRPr="00E752A0">
              <w:t>MAIS 3</w:t>
            </w:r>
          </w:p>
        </w:tc>
        <w:tc>
          <w:tcPr>
            <w:tcW w:w="0" w:type="auto"/>
            <w:noWrap/>
            <w:vAlign w:val="center"/>
            <w:hideMark/>
          </w:tcPr>
          <w:p w14:paraId="64A76BD9" w14:textId="77777777" w:rsidR="006F14EF" w:rsidRPr="00C731F9" w:rsidRDefault="000F5B51" w:rsidP="00C731F9">
            <w:pPr>
              <w:pStyle w:val="Caption"/>
              <w:rPr>
                <w:bCs/>
              </w:rPr>
            </w:pPr>
            <w:r w:rsidRPr="00C731F9">
              <w:rPr>
                <w:bCs/>
              </w:rPr>
              <w:t>0</w:t>
            </w:r>
          </w:p>
        </w:tc>
        <w:tc>
          <w:tcPr>
            <w:tcW w:w="0" w:type="auto"/>
            <w:noWrap/>
            <w:vAlign w:val="center"/>
            <w:hideMark/>
          </w:tcPr>
          <w:p w14:paraId="05E157D3" w14:textId="77777777" w:rsidR="006F14EF" w:rsidRPr="00C731F9" w:rsidRDefault="000F5B51" w:rsidP="00C731F9">
            <w:pPr>
              <w:pStyle w:val="Caption"/>
              <w:rPr>
                <w:bCs/>
              </w:rPr>
            </w:pPr>
            <w:r w:rsidRPr="00C731F9">
              <w:rPr>
                <w:bCs/>
              </w:rPr>
              <w:t>0</w:t>
            </w:r>
          </w:p>
        </w:tc>
        <w:tc>
          <w:tcPr>
            <w:tcW w:w="0" w:type="auto"/>
            <w:noWrap/>
            <w:vAlign w:val="center"/>
            <w:hideMark/>
          </w:tcPr>
          <w:p w14:paraId="30F2F406" w14:textId="77777777" w:rsidR="006F14EF" w:rsidRPr="00E26073" w:rsidRDefault="000F5B51" w:rsidP="00C731F9">
            <w:pPr>
              <w:pStyle w:val="Caption"/>
              <w:rPr>
                <w:b/>
              </w:rPr>
            </w:pPr>
            <w:r w:rsidRPr="008C7B76">
              <w:rPr>
                <w:color w:val="000000"/>
              </w:rPr>
              <w:t>7</w:t>
            </w:r>
          </w:p>
        </w:tc>
        <w:tc>
          <w:tcPr>
            <w:tcW w:w="0" w:type="auto"/>
            <w:noWrap/>
            <w:vAlign w:val="center"/>
            <w:hideMark/>
          </w:tcPr>
          <w:p w14:paraId="738850C2" w14:textId="77777777" w:rsidR="006F14EF" w:rsidRPr="00E26073" w:rsidRDefault="000F5B51" w:rsidP="00C731F9">
            <w:pPr>
              <w:pStyle w:val="Caption"/>
              <w:rPr>
                <w:b/>
              </w:rPr>
            </w:pPr>
            <w:r w:rsidRPr="008C7B76">
              <w:rPr>
                <w:color w:val="000000"/>
              </w:rPr>
              <w:t>77</w:t>
            </w:r>
          </w:p>
        </w:tc>
      </w:tr>
      <w:tr w:rsidR="00A15C2C" w14:paraId="2B9A0EC9" w14:textId="77777777" w:rsidTr="00C731F9">
        <w:trPr>
          <w:trHeight w:val="300"/>
          <w:jc w:val="center"/>
        </w:trPr>
        <w:tc>
          <w:tcPr>
            <w:tcW w:w="0" w:type="auto"/>
            <w:noWrap/>
            <w:tcMar>
              <w:top w:w="15" w:type="dxa"/>
              <w:left w:w="135" w:type="dxa"/>
              <w:bottom w:w="15" w:type="dxa"/>
              <w:right w:w="15" w:type="dxa"/>
            </w:tcMar>
            <w:vAlign w:val="bottom"/>
            <w:hideMark/>
          </w:tcPr>
          <w:p w14:paraId="41CD77F9" w14:textId="77777777" w:rsidR="006F14EF" w:rsidRPr="00E752A0" w:rsidRDefault="000F5B51" w:rsidP="00036C09">
            <w:pPr>
              <w:pStyle w:val="Caption"/>
              <w:rPr>
                <w:b/>
              </w:rPr>
            </w:pPr>
            <w:r w:rsidRPr="00E752A0">
              <w:t>MAIS 4</w:t>
            </w:r>
          </w:p>
        </w:tc>
        <w:tc>
          <w:tcPr>
            <w:tcW w:w="0" w:type="auto"/>
            <w:noWrap/>
            <w:vAlign w:val="center"/>
            <w:hideMark/>
          </w:tcPr>
          <w:p w14:paraId="02807376" w14:textId="77777777" w:rsidR="006F14EF" w:rsidRPr="00C731F9" w:rsidRDefault="000F5B51" w:rsidP="00C731F9">
            <w:pPr>
              <w:pStyle w:val="Caption"/>
              <w:rPr>
                <w:bCs/>
              </w:rPr>
            </w:pPr>
            <w:r w:rsidRPr="00C731F9">
              <w:rPr>
                <w:bCs/>
              </w:rPr>
              <w:t>0</w:t>
            </w:r>
          </w:p>
        </w:tc>
        <w:tc>
          <w:tcPr>
            <w:tcW w:w="0" w:type="auto"/>
            <w:noWrap/>
            <w:vAlign w:val="center"/>
            <w:hideMark/>
          </w:tcPr>
          <w:p w14:paraId="14DA2DD7" w14:textId="77777777" w:rsidR="006F14EF" w:rsidRPr="00C731F9" w:rsidRDefault="000F5B51" w:rsidP="00C731F9">
            <w:pPr>
              <w:pStyle w:val="Caption"/>
              <w:rPr>
                <w:bCs/>
              </w:rPr>
            </w:pPr>
            <w:r w:rsidRPr="00C731F9">
              <w:rPr>
                <w:bCs/>
              </w:rPr>
              <w:t>0</w:t>
            </w:r>
          </w:p>
        </w:tc>
        <w:tc>
          <w:tcPr>
            <w:tcW w:w="0" w:type="auto"/>
            <w:noWrap/>
            <w:vAlign w:val="center"/>
            <w:hideMark/>
          </w:tcPr>
          <w:p w14:paraId="111D5EE3" w14:textId="77777777" w:rsidR="006F14EF" w:rsidRPr="00E26073" w:rsidRDefault="000F5B51" w:rsidP="00C731F9">
            <w:pPr>
              <w:pStyle w:val="Caption"/>
              <w:rPr>
                <w:b/>
              </w:rPr>
            </w:pPr>
            <w:r w:rsidRPr="008C7B76">
              <w:rPr>
                <w:color w:val="000000"/>
              </w:rPr>
              <w:t>10</w:t>
            </w:r>
          </w:p>
        </w:tc>
        <w:tc>
          <w:tcPr>
            <w:tcW w:w="0" w:type="auto"/>
            <w:noWrap/>
            <w:vAlign w:val="center"/>
            <w:hideMark/>
          </w:tcPr>
          <w:p w14:paraId="2ECDE369" w14:textId="77777777" w:rsidR="006F14EF" w:rsidRPr="00E26073" w:rsidRDefault="000F5B51" w:rsidP="00C731F9">
            <w:pPr>
              <w:pStyle w:val="Caption"/>
              <w:rPr>
                <w:b/>
              </w:rPr>
            </w:pPr>
            <w:r w:rsidRPr="008C7B76">
              <w:rPr>
                <w:color w:val="000000"/>
              </w:rPr>
              <w:t>1</w:t>
            </w:r>
            <w:r w:rsidR="00F206B2">
              <w:rPr>
                <w:color w:val="000000"/>
              </w:rPr>
              <w:t>8</w:t>
            </w:r>
          </w:p>
        </w:tc>
      </w:tr>
      <w:tr w:rsidR="00A15C2C" w14:paraId="31491090" w14:textId="77777777" w:rsidTr="00C731F9">
        <w:trPr>
          <w:trHeight w:val="300"/>
          <w:jc w:val="center"/>
        </w:trPr>
        <w:tc>
          <w:tcPr>
            <w:tcW w:w="0" w:type="auto"/>
            <w:noWrap/>
            <w:tcMar>
              <w:top w:w="15" w:type="dxa"/>
              <w:left w:w="135" w:type="dxa"/>
              <w:bottom w:w="15" w:type="dxa"/>
              <w:right w:w="15" w:type="dxa"/>
            </w:tcMar>
            <w:vAlign w:val="bottom"/>
            <w:hideMark/>
          </w:tcPr>
          <w:p w14:paraId="5035EE1D" w14:textId="77777777" w:rsidR="006F14EF" w:rsidRPr="00E752A0" w:rsidRDefault="000F5B51" w:rsidP="00036C09">
            <w:pPr>
              <w:pStyle w:val="Caption"/>
              <w:rPr>
                <w:b/>
              </w:rPr>
            </w:pPr>
            <w:r w:rsidRPr="00E752A0">
              <w:t>MAIS 5</w:t>
            </w:r>
          </w:p>
        </w:tc>
        <w:tc>
          <w:tcPr>
            <w:tcW w:w="0" w:type="auto"/>
            <w:noWrap/>
            <w:vAlign w:val="center"/>
            <w:hideMark/>
          </w:tcPr>
          <w:p w14:paraId="3FFCB81C" w14:textId="77777777" w:rsidR="006F14EF" w:rsidRPr="00C731F9" w:rsidRDefault="000F5B51" w:rsidP="00C731F9">
            <w:pPr>
              <w:pStyle w:val="Caption"/>
              <w:rPr>
                <w:bCs/>
              </w:rPr>
            </w:pPr>
            <w:r w:rsidRPr="00C731F9">
              <w:rPr>
                <w:bCs/>
              </w:rPr>
              <w:t>0</w:t>
            </w:r>
          </w:p>
        </w:tc>
        <w:tc>
          <w:tcPr>
            <w:tcW w:w="0" w:type="auto"/>
            <w:noWrap/>
            <w:vAlign w:val="center"/>
            <w:hideMark/>
          </w:tcPr>
          <w:p w14:paraId="5D2FE163" w14:textId="77777777" w:rsidR="006F14EF" w:rsidRPr="00C731F9" w:rsidRDefault="000F5B51" w:rsidP="00C731F9">
            <w:pPr>
              <w:pStyle w:val="Caption"/>
              <w:rPr>
                <w:bCs/>
              </w:rPr>
            </w:pPr>
            <w:r w:rsidRPr="00C731F9">
              <w:rPr>
                <w:bCs/>
              </w:rPr>
              <w:t>0</w:t>
            </w:r>
          </w:p>
        </w:tc>
        <w:tc>
          <w:tcPr>
            <w:tcW w:w="0" w:type="auto"/>
            <w:noWrap/>
            <w:vAlign w:val="center"/>
            <w:hideMark/>
          </w:tcPr>
          <w:p w14:paraId="10E67D4B" w14:textId="77777777" w:rsidR="006F14EF" w:rsidRPr="00E26073" w:rsidRDefault="000F5B51" w:rsidP="00C731F9">
            <w:pPr>
              <w:pStyle w:val="Caption"/>
              <w:rPr>
                <w:b/>
              </w:rPr>
            </w:pPr>
            <w:r w:rsidRPr="008C7B76">
              <w:rPr>
                <w:color w:val="000000"/>
              </w:rPr>
              <w:t>0</w:t>
            </w:r>
          </w:p>
        </w:tc>
        <w:tc>
          <w:tcPr>
            <w:tcW w:w="0" w:type="auto"/>
            <w:noWrap/>
            <w:vAlign w:val="center"/>
            <w:hideMark/>
          </w:tcPr>
          <w:p w14:paraId="7561500E" w14:textId="77777777" w:rsidR="006F14EF" w:rsidRPr="00E26073" w:rsidRDefault="000F5B51" w:rsidP="00C731F9">
            <w:pPr>
              <w:pStyle w:val="Caption"/>
              <w:rPr>
                <w:b/>
              </w:rPr>
            </w:pPr>
            <w:r w:rsidRPr="008C7B76">
              <w:rPr>
                <w:color w:val="000000"/>
              </w:rPr>
              <w:t>0</w:t>
            </w:r>
          </w:p>
        </w:tc>
      </w:tr>
      <w:tr w:rsidR="00A15C2C" w14:paraId="789CC068" w14:textId="77777777" w:rsidTr="00C731F9">
        <w:trPr>
          <w:trHeight w:val="300"/>
          <w:jc w:val="center"/>
        </w:trPr>
        <w:tc>
          <w:tcPr>
            <w:tcW w:w="0" w:type="auto"/>
            <w:noWrap/>
            <w:tcMar>
              <w:top w:w="15" w:type="dxa"/>
              <w:left w:w="135" w:type="dxa"/>
              <w:bottom w:w="15" w:type="dxa"/>
              <w:right w:w="15" w:type="dxa"/>
            </w:tcMar>
            <w:vAlign w:val="bottom"/>
            <w:hideMark/>
          </w:tcPr>
          <w:p w14:paraId="5B0D384E" w14:textId="77777777" w:rsidR="006F14EF" w:rsidRPr="00E752A0" w:rsidRDefault="000F5B51" w:rsidP="00036C09">
            <w:pPr>
              <w:pStyle w:val="Caption"/>
              <w:rPr>
                <w:b/>
              </w:rPr>
            </w:pPr>
            <w:r w:rsidRPr="00E752A0">
              <w:t>Fatal</w:t>
            </w:r>
          </w:p>
        </w:tc>
        <w:tc>
          <w:tcPr>
            <w:tcW w:w="0" w:type="auto"/>
            <w:noWrap/>
            <w:vAlign w:val="center"/>
            <w:hideMark/>
          </w:tcPr>
          <w:p w14:paraId="2535F9EE" w14:textId="77777777" w:rsidR="006F14EF" w:rsidRPr="00E26073" w:rsidRDefault="000F5B51" w:rsidP="00C731F9">
            <w:pPr>
              <w:pStyle w:val="Caption"/>
              <w:rPr>
                <w:b/>
              </w:rPr>
            </w:pPr>
            <w:r w:rsidRPr="008C7B76">
              <w:rPr>
                <w:color w:val="000000"/>
              </w:rPr>
              <w:t>30</w:t>
            </w:r>
          </w:p>
        </w:tc>
        <w:tc>
          <w:tcPr>
            <w:tcW w:w="0" w:type="auto"/>
            <w:noWrap/>
            <w:vAlign w:val="center"/>
            <w:hideMark/>
          </w:tcPr>
          <w:p w14:paraId="22C1E106" w14:textId="77777777" w:rsidR="006F14EF" w:rsidRPr="00E26073" w:rsidRDefault="000F5B51" w:rsidP="00C731F9">
            <w:pPr>
              <w:pStyle w:val="Caption"/>
              <w:rPr>
                <w:b/>
              </w:rPr>
            </w:pPr>
            <w:r w:rsidRPr="008C7B76">
              <w:rPr>
                <w:color w:val="000000"/>
              </w:rPr>
              <w:t>12</w:t>
            </w:r>
          </w:p>
        </w:tc>
        <w:tc>
          <w:tcPr>
            <w:tcW w:w="0" w:type="auto"/>
            <w:noWrap/>
            <w:vAlign w:val="center"/>
            <w:hideMark/>
          </w:tcPr>
          <w:p w14:paraId="02E27A8D" w14:textId="77777777" w:rsidR="006F14EF" w:rsidRPr="00E26073" w:rsidRDefault="000F5B51" w:rsidP="00C731F9">
            <w:pPr>
              <w:pStyle w:val="Caption"/>
              <w:rPr>
                <w:b/>
              </w:rPr>
            </w:pPr>
            <w:r w:rsidRPr="008C7B76">
              <w:rPr>
                <w:color w:val="000000"/>
              </w:rPr>
              <w:t>114</w:t>
            </w:r>
          </w:p>
        </w:tc>
        <w:tc>
          <w:tcPr>
            <w:tcW w:w="0" w:type="auto"/>
            <w:noWrap/>
            <w:vAlign w:val="center"/>
            <w:hideMark/>
          </w:tcPr>
          <w:p w14:paraId="45841EC2" w14:textId="77777777" w:rsidR="006F14EF" w:rsidRPr="00E26073" w:rsidRDefault="000F5B51" w:rsidP="00C731F9">
            <w:pPr>
              <w:pStyle w:val="Caption"/>
              <w:rPr>
                <w:b/>
              </w:rPr>
            </w:pPr>
            <w:r w:rsidRPr="008C7B76">
              <w:rPr>
                <w:color w:val="000000"/>
              </w:rPr>
              <w:t>177</w:t>
            </w:r>
          </w:p>
        </w:tc>
      </w:tr>
      <w:tr w:rsidR="00A15C2C" w14:paraId="5F60180C" w14:textId="77777777" w:rsidTr="00036C09">
        <w:trPr>
          <w:trHeight w:val="300"/>
          <w:jc w:val="center"/>
        </w:trPr>
        <w:tc>
          <w:tcPr>
            <w:tcW w:w="0" w:type="auto"/>
            <w:gridSpan w:val="5"/>
            <w:shd w:val="clear" w:color="auto" w:fill="EDEDED" w:themeFill="accent3" w:themeFillTint="33"/>
            <w:noWrap/>
            <w:vAlign w:val="bottom"/>
            <w:hideMark/>
          </w:tcPr>
          <w:p w14:paraId="308E5503" w14:textId="77777777" w:rsidR="00C731F9" w:rsidRPr="00C731F9" w:rsidRDefault="000F5B51" w:rsidP="00036C09">
            <w:pPr>
              <w:pStyle w:val="Caption"/>
              <w:rPr>
                <w:b/>
                <w:bCs/>
                <w:i/>
                <w:iCs w:val="0"/>
              </w:rPr>
            </w:pPr>
            <w:r w:rsidRPr="00C731F9">
              <w:rPr>
                <w:b/>
                <w:bCs/>
                <w:i/>
                <w:iCs w:val="0"/>
              </w:rPr>
              <w:t>Rollover</w:t>
            </w:r>
          </w:p>
        </w:tc>
      </w:tr>
      <w:tr w:rsidR="00A15C2C" w14:paraId="4283B763" w14:textId="77777777" w:rsidTr="00C731F9">
        <w:trPr>
          <w:trHeight w:val="300"/>
          <w:jc w:val="center"/>
        </w:trPr>
        <w:tc>
          <w:tcPr>
            <w:tcW w:w="0" w:type="auto"/>
            <w:noWrap/>
            <w:tcMar>
              <w:top w:w="15" w:type="dxa"/>
              <w:left w:w="135" w:type="dxa"/>
              <w:bottom w:w="15" w:type="dxa"/>
              <w:right w:w="15" w:type="dxa"/>
            </w:tcMar>
            <w:vAlign w:val="bottom"/>
            <w:hideMark/>
          </w:tcPr>
          <w:p w14:paraId="04877AE6" w14:textId="77777777" w:rsidR="006F14EF" w:rsidRPr="00E752A0" w:rsidRDefault="000F5B51" w:rsidP="00036C09">
            <w:pPr>
              <w:pStyle w:val="Caption"/>
              <w:rPr>
                <w:b/>
              </w:rPr>
            </w:pPr>
            <w:r w:rsidRPr="00E752A0">
              <w:t>MAIS 1</w:t>
            </w:r>
          </w:p>
        </w:tc>
        <w:tc>
          <w:tcPr>
            <w:tcW w:w="0" w:type="auto"/>
            <w:noWrap/>
            <w:vAlign w:val="center"/>
            <w:hideMark/>
          </w:tcPr>
          <w:p w14:paraId="5C828AAA" w14:textId="77777777" w:rsidR="006F14EF" w:rsidRPr="00C731F9" w:rsidRDefault="000F5B51" w:rsidP="00C731F9">
            <w:pPr>
              <w:pStyle w:val="Caption"/>
            </w:pPr>
            <w:r w:rsidRPr="00C731F9">
              <w:rPr>
                <w:color w:val="000000"/>
              </w:rPr>
              <w:t>634</w:t>
            </w:r>
          </w:p>
        </w:tc>
        <w:tc>
          <w:tcPr>
            <w:tcW w:w="0" w:type="auto"/>
            <w:noWrap/>
            <w:vAlign w:val="center"/>
            <w:hideMark/>
          </w:tcPr>
          <w:p w14:paraId="170E960B" w14:textId="77777777" w:rsidR="006F14EF" w:rsidRPr="00C731F9" w:rsidRDefault="000F5B51" w:rsidP="00C731F9">
            <w:pPr>
              <w:pStyle w:val="Caption"/>
            </w:pPr>
            <w:r w:rsidRPr="00C731F9">
              <w:rPr>
                <w:color w:val="000000"/>
              </w:rPr>
              <w:t>143</w:t>
            </w:r>
          </w:p>
        </w:tc>
        <w:tc>
          <w:tcPr>
            <w:tcW w:w="0" w:type="auto"/>
            <w:noWrap/>
            <w:vAlign w:val="center"/>
            <w:hideMark/>
          </w:tcPr>
          <w:p w14:paraId="259EE842" w14:textId="77777777" w:rsidR="006F14EF" w:rsidRPr="00C731F9" w:rsidRDefault="000F5B51" w:rsidP="00C731F9">
            <w:pPr>
              <w:pStyle w:val="Caption"/>
            </w:pPr>
            <w:r w:rsidRPr="00C731F9">
              <w:rPr>
                <w:color w:val="000000"/>
              </w:rPr>
              <w:t>1,275</w:t>
            </w:r>
          </w:p>
        </w:tc>
        <w:tc>
          <w:tcPr>
            <w:tcW w:w="0" w:type="auto"/>
            <w:noWrap/>
            <w:vAlign w:val="center"/>
            <w:hideMark/>
          </w:tcPr>
          <w:p w14:paraId="5C40F1A9" w14:textId="77777777" w:rsidR="006F14EF" w:rsidRPr="00C731F9" w:rsidRDefault="000F5B51" w:rsidP="00C731F9">
            <w:pPr>
              <w:pStyle w:val="Caption"/>
            </w:pPr>
            <w:r w:rsidRPr="00C731F9">
              <w:rPr>
                <w:color w:val="000000"/>
              </w:rPr>
              <w:t>603</w:t>
            </w:r>
          </w:p>
        </w:tc>
      </w:tr>
      <w:tr w:rsidR="00A15C2C" w14:paraId="7E18723B" w14:textId="77777777" w:rsidTr="00C731F9">
        <w:trPr>
          <w:trHeight w:val="300"/>
          <w:jc w:val="center"/>
        </w:trPr>
        <w:tc>
          <w:tcPr>
            <w:tcW w:w="0" w:type="auto"/>
            <w:noWrap/>
            <w:tcMar>
              <w:top w:w="15" w:type="dxa"/>
              <w:left w:w="135" w:type="dxa"/>
              <w:bottom w:w="15" w:type="dxa"/>
              <w:right w:w="15" w:type="dxa"/>
            </w:tcMar>
            <w:vAlign w:val="bottom"/>
            <w:hideMark/>
          </w:tcPr>
          <w:p w14:paraId="521F2662" w14:textId="77777777" w:rsidR="006F14EF" w:rsidRPr="00E752A0" w:rsidRDefault="000F5B51" w:rsidP="00036C09">
            <w:pPr>
              <w:pStyle w:val="Caption"/>
              <w:rPr>
                <w:b/>
              </w:rPr>
            </w:pPr>
            <w:r w:rsidRPr="00E752A0">
              <w:t>MAIS 2</w:t>
            </w:r>
          </w:p>
        </w:tc>
        <w:tc>
          <w:tcPr>
            <w:tcW w:w="0" w:type="auto"/>
            <w:noWrap/>
            <w:vAlign w:val="center"/>
            <w:hideMark/>
          </w:tcPr>
          <w:p w14:paraId="10105A24" w14:textId="77777777" w:rsidR="006F14EF" w:rsidRPr="00C731F9" w:rsidRDefault="000F5B51" w:rsidP="00C731F9">
            <w:pPr>
              <w:pStyle w:val="Caption"/>
            </w:pPr>
            <w:r w:rsidRPr="00C731F9">
              <w:rPr>
                <w:color w:val="000000"/>
              </w:rPr>
              <w:t>101</w:t>
            </w:r>
          </w:p>
        </w:tc>
        <w:tc>
          <w:tcPr>
            <w:tcW w:w="0" w:type="auto"/>
            <w:noWrap/>
            <w:vAlign w:val="center"/>
            <w:hideMark/>
          </w:tcPr>
          <w:p w14:paraId="5E5ED711" w14:textId="77777777" w:rsidR="006F14EF" w:rsidRPr="00C731F9" w:rsidRDefault="000F5B51" w:rsidP="00C731F9">
            <w:pPr>
              <w:pStyle w:val="Caption"/>
            </w:pPr>
            <w:r w:rsidRPr="00C731F9">
              <w:rPr>
                <w:color w:val="000000"/>
              </w:rPr>
              <w:t>0</w:t>
            </w:r>
          </w:p>
        </w:tc>
        <w:tc>
          <w:tcPr>
            <w:tcW w:w="0" w:type="auto"/>
            <w:noWrap/>
            <w:vAlign w:val="center"/>
            <w:hideMark/>
          </w:tcPr>
          <w:p w14:paraId="776D85A8" w14:textId="77777777" w:rsidR="006F14EF" w:rsidRPr="00C731F9" w:rsidRDefault="000F5B51" w:rsidP="00C731F9">
            <w:pPr>
              <w:pStyle w:val="Caption"/>
            </w:pPr>
            <w:r w:rsidRPr="00C731F9">
              <w:rPr>
                <w:color w:val="000000"/>
              </w:rPr>
              <w:t>220</w:t>
            </w:r>
          </w:p>
        </w:tc>
        <w:tc>
          <w:tcPr>
            <w:tcW w:w="0" w:type="auto"/>
            <w:noWrap/>
            <w:vAlign w:val="center"/>
            <w:hideMark/>
          </w:tcPr>
          <w:p w14:paraId="3FAD801B" w14:textId="77777777" w:rsidR="006F14EF" w:rsidRPr="00C731F9" w:rsidRDefault="000F5B51" w:rsidP="00C731F9">
            <w:pPr>
              <w:pStyle w:val="Caption"/>
            </w:pPr>
            <w:r w:rsidRPr="00C731F9">
              <w:rPr>
                <w:color w:val="000000"/>
              </w:rPr>
              <w:t>43</w:t>
            </w:r>
            <w:r w:rsidR="0002612D">
              <w:rPr>
                <w:color w:val="000000"/>
              </w:rPr>
              <w:t>5</w:t>
            </w:r>
          </w:p>
        </w:tc>
      </w:tr>
      <w:tr w:rsidR="00A15C2C" w14:paraId="38E99E25" w14:textId="77777777" w:rsidTr="00C731F9">
        <w:trPr>
          <w:trHeight w:val="300"/>
          <w:jc w:val="center"/>
        </w:trPr>
        <w:tc>
          <w:tcPr>
            <w:tcW w:w="0" w:type="auto"/>
            <w:noWrap/>
            <w:tcMar>
              <w:top w:w="15" w:type="dxa"/>
              <w:left w:w="135" w:type="dxa"/>
              <w:bottom w:w="15" w:type="dxa"/>
              <w:right w:w="15" w:type="dxa"/>
            </w:tcMar>
            <w:vAlign w:val="bottom"/>
            <w:hideMark/>
          </w:tcPr>
          <w:p w14:paraId="0AE34D41" w14:textId="77777777" w:rsidR="006F14EF" w:rsidRPr="00E752A0" w:rsidRDefault="000F5B51" w:rsidP="00036C09">
            <w:pPr>
              <w:pStyle w:val="Caption"/>
              <w:rPr>
                <w:b/>
              </w:rPr>
            </w:pPr>
            <w:r w:rsidRPr="00E752A0">
              <w:t>MAIS 3</w:t>
            </w:r>
          </w:p>
        </w:tc>
        <w:tc>
          <w:tcPr>
            <w:tcW w:w="0" w:type="auto"/>
            <w:noWrap/>
            <w:vAlign w:val="center"/>
            <w:hideMark/>
          </w:tcPr>
          <w:p w14:paraId="4D1767FE" w14:textId="77777777" w:rsidR="006F14EF" w:rsidRPr="00C731F9" w:rsidRDefault="000F5B51" w:rsidP="00C731F9">
            <w:pPr>
              <w:pStyle w:val="Caption"/>
            </w:pPr>
            <w:r w:rsidRPr="00C731F9">
              <w:rPr>
                <w:color w:val="000000"/>
              </w:rPr>
              <w:t>0</w:t>
            </w:r>
          </w:p>
        </w:tc>
        <w:tc>
          <w:tcPr>
            <w:tcW w:w="0" w:type="auto"/>
            <w:noWrap/>
            <w:vAlign w:val="center"/>
            <w:hideMark/>
          </w:tcPr>
          <w:p w14:paraId="15FD49A7" w14:textId="77777777" w:rsidR="006F14EF" w:rsidRPr="00C731F9" w:rsidRDefault="000F5B51" w:rsidP="00C731F9">
            <w:pPr>
              <w:pStyle w:val="Caption"/>
            </w:pPr>
            <w:r w:rsidRPr="00C731F9">
              <w:rPr>
                <w:color w:val="000000"/>
              </w:rPr>
              <w:t>33</w:t>
            </w:r>
          </w:p>
        </w:tc>
        <w:tc>
          <w:tcPr>
            <w:tcW w:w="0" w:type="auto"/>
            <w:noWrap/>
            <w:vAlign w:val="center"/>
            <w:hideMark/>
          </w:tcPr>
          <w:p w14:paraId="30FF3EFF" w14:textId="77777777" w:rsidR="006F14EF" w:rsidRPr="00C731F9" w:rsidRDefault="000F5B51" w:rsidP="00C731F9">
            <w:pPr>
              <w:pStyle w:val="Caption"/>
            </w:pPr>
            <w:r w:rsidRPr="00C731F9">
              <w:rPr>
                <w:color w:val="000000"/>
              </w:rPr>
              <w:t>15</w:t>
            </w:r>
          </w:p>
        </w:tc>
        <w:tc>
          <w:tcPr>
            <w:tcW w:w="0" w:type="auto"/>
            <w:noWrap/>
            <w:vAlign w:val="center"/>
            <w:hideMark/>
          </w:tcPr>
          <w:p w14:paraId="4B20805F" w14:textId="77777777" w:rsidR="006F14EF" w:rsidRPr="00C731F9" w:rsidRDefault="000F5B51" w:rsidP="00C731F9">
            <w:pPr>
              <w:pStyle w:val="Caption"/>
            </w:pPr>
            <w:r w:rsidRPr="00C731F9">
              <w:rPr>
                <w:color w:val="000000"/>
              </w:rPr>
              <w:t>152</w:t>
            </w:r>
          </w:p>
        </w:tc>
      </w:tr>
      <w:tr w:rsidR="00A15C2C" w14:paraId="5D48374D" w14:textId="77777777" w:rsidTr="00C731F9">
        <w:trPr>
          <w:trHeight w:val="300"/>
          <w:jc w:val="center"/>
        </w:trPr>
        <w:tc>
          <w:tcPr>
            <w:tcW w:w="0" w:type="auto"/>
            <w:noWrap/>
            <w:tcMar>
              <w:top w:w="15" w:type="dxa"/>
              <w:left w:w="135" w:type="dxa"/>
              <w:bottom w:w="15" w:type="dxa"/>
              <w:right w:w="15" w:type="dxa"/>
            </w:tcMar>
            <w:vAlign w:val="bottom"/>
            <w:hideMark/>
          </w:tcPr>
          <w:p w14:paraId="7564BEEA" w14:textId="77777777" w:rsidR="006F14EF" w:rsidRPr="00E752A0" w:rsidRDefault="000F5B51" w:rsidP="00036C09">
            <w:pPr>
              <w:pStyle w:val="Caption"/>
              <w:rPr>
                <w:b/>
              </w:rPr>
            </w:pPr>
            <w:r w:rsidRPr="00E752A0">
              <w:t>MAIS 4</w:t>
            </w:r>
          </w:p>
        </w:tc>
        <w:tc>
          <w:tcPr>
            <w:tcW w:w="0" w:type="auto"/>
            <w:noWrap/>
            <w:vAlign w:val="center"/>
            <w:hideMark/>
          </w:tcPr>
          <w:p w14:paraId="34FD102B" w14:textId="77777777" w:rsidR="006F14EF" w:rsidRPr="00C731F9" w:rsidRDefault="000F5B51" w:rsidP="00C731F9">
            <w:pPr>
              <w:pStyle w:val="Caption"/>
            </w:pPr>
            <w:r w:rsidRPr="00C731F9">
              <w:t>0</w:t>
            </w:r>
          </w:p>
        </w:tc>
        <w:tc>
          <w:tcPr>
            <w:tcW w:w="0" w:type="auto"/>
            <w:noWrap/>
            <w:vAlign w:val="center"/>
            <w:hideMark/>
          </w:tcPr>
          <w:p w14:paraId="6B621085" w14:textId="77777777" w:rsidR="006F14EF" w:rsidRPr="00C731F9" w:rsidRDefault="000F5B51" w:rsidP="00C731F9">
            <w:pPr>
              <w:pStyle w:val="Caption"/>
            </w:pPr>
            <w:r w:rsidRPr="00C731F9">
              <w:t>0</w:t>
            </w:r>
          </w:p>
        </w:tc>
        <w:tc>
          <w:tcPr>
            <w:tcW w:w="0" w:type="auto"/>
            <w:noWrap/>
            <w:vAlign w:val="center"/>
            <w:hideMark/>
          </w:tcPr>
          <w:p w14:paraId="2C20A26C" w14:textId="77777777" w:rsidR="006F14EF" w:rsidRPr="00C731F9" w:rsidRDefault="000F5B51" w:rsidP="00C731F9">
            <w:pPr>
              <w:pStyle w:val="Caption"/>
            </w:pPr>
            <w:r w:rsidRPr="00C731F9">
              <w:rPr>
                <w:color w:val="000000"/>
              </w:rPr>
              <w:t>19</w:t>
            </w:r>
          </w:p>
        </w:tc>
        <w:tc>
          <w:tcPr>
            <w:tcW w:w="0" w:type="auto"/>
            <w:noWrap/>
            <w:vAlign w:val="center"/>
            <w:hideMark/>
          </w:tcPr>
          <w:p w14:paraId="7B03D67B" w14:textId="77777777" w:rsidR="006F14EF" w:rsidRPr="00C731F9" w:rsidRDefault="000F5B51" w:rsidP="00C731F9">
            <w:pPr>
              <w:pStyle w:val="Caption"/>
            </w:pPr>
            <w:r w:rsidRPr="00C731F9">
              <w:rPr>
                <w:color w:val="000000"/>
              </w:rPr>
              <w:t>37</w:t>
            </w:r>
          </w:p>
        </w:tc>
      </w:tr>
      <w:tr w:rsidR="00A15C2C" w14:paraId="0757B5B3" w14:textId="77777777" w:rsidTr="00C731F9">
        <w:trPr>
          <w:trHeight w:val="300"/>
          <w:jc w:val="center"/>
        </w:trPr>
        <w:tc>
          <w:tcPr>
            <w:tcW w:w="0" w:type="auto"/>
            <w:noWrap/>
            <w:tcMar>
              <w:top w:w="15" w:type="dxa"/>
              <w:left w:w="135" w:type="dxa"/>
              <w:bottom w:w="15" w:type="dxa"/>
              <w:right w:w="15" w:type="dxa"/>
            </w:tcMar>
            <w:vAlign w:val="bottom"/>
            <w:hideMark/>
          </w:tcPr>
          <w:p w14:paraId="367E6050" w14:textId="77777777" w:rsidR="006F14EF" w:rsidRPr="00E752A0" w:rsidRDefault="000F5B51" w:rsidP="00036C09">
            <w:pPr>
              <w:pStyle w:val="Caption"/>
              <w:rPr>
                <w:b/>
              </w:rPr>
            </w:pPr>
            <w:r w:rsidRPr="00E752A0">
              <w:t>MAIS 5</w:t>
            </w:r>
          </w:p>
        </w:tc>
        <w:tc>
          <w:tcPr>
            <w:tcW w:w="0" w:type="auto"/>
            <w:noWrap/>
            <w:vAlign w:val="center"/>
            <w:hideMark/>
          </w:tcPr>
          <w:p w14:paraId="2941A0A6" w14:textId="77777777" w:rsidR="006F14EF" w:rsidRPr="00C731F9" w:rsidRDefault="000F5B51" w:rsidP="00C731F9">
            <w:pPr>
              <w:pStyle w:val="Caption"/>
            </w:pPr>
            <w:r w:rsidRPr="00C731F9">
              <w:t>0</w:t>
            </w:r>
          </w:p>
        </w:tc>
        <w:tc>
          <w:tcPr>
            <w:tcW w:w="0" w:type="auto"/>
            <w:noWrap/>
            <w:vAlign w:val="center"/>
            <w:hideMark/>
          </w:tcPr>
          <w:p w14:paraId="55BCD400" w14:textId="77777777" w:rsidR="006F14EF" w:rsidRPr="00C731F9" w:rsidRDefault="000F5B51" w:rsidP="00C731F9">
            <w:pPr>
              <w:pStyle w:val="Caption"/>
            </w:pPr>
            <w:r w:rsidRPr="00C731F9">
              <w:t>0</w:t>
            </w:r>
          </w:p>
        </w:tc>
        <w:tc>
          <w:tcPr>
            <w:tcW w:w="0" w:type="auto"/>
            <w:noWrap/>
            <w:vAlign w:val="center"/>
            <w:hideMark/>
          </w:tcPr>
          <w:p w14:paraId="481DD9B8" w14:textId="77777777" w:rsidR="006F14EF" w:rsidRPr="00C731F9" w:rsidRDefault="000F5B51" w:rsidP="00C731F9">
            <w:pPr>
              <w:pStyle w:val="Caption"/>
            </w:pPr>
            <w:r w:rsidRPr="00C731F9">
              <w:rPr>
                <w:color w:val="000000"/>
              </w:rPr>
              <w:t>3</w:t>
            </w:r>
          </w:p>
        </w:tc>
        <w:tc>
          <w:tcPr>
            <w:tcW w:w="0" w:type="auto"/>
            <w:noWrap/>
            <w:vAlign w:val="center"/>
            <w:hideMark/>
          </w:tcPr>
          <w:p w14:paraId="3C3639E4" w14:textId="77777777" w:rsidR="006F14EF" w:rsidRPr="00C731F9" w:rsidRDefault="000F5B51" w:rsidP="00C731F9">
            <w:pPr>
              <w:pStyle w:val="Caption"/>
            </w:pPr>
            <w:r w:rsidRPr="00C731F9">
              <w:rPr>
                <w:color w:val="000000"/>
              </w:rPr>
              <w:t>0</w:t>
            </w:r>
          </w:p>
        </w:tc>
      </w:tr>
      <w:tr w:rsidR="00A15C2C" w14:paraId="68CA51C2" w14:textId="77777777" w:rsidTr="00C731F9">
        <w:trPr>
          <w:trHeight w:val="300"/>
          <w:jc w:val="center"/>
        </w:trPr>
        <w:tc>
          <w:tcPr>
            <w:tcW w:w="0" w:type="auto"/>
            <w:noWrap/>
            <w:tcMar>
              <w:top w:w="15" w:type="dxa"/>
              <w:left w:w="135" w:type="dxa"/>
              <w:bottom w:w="15" w:type="dxa"/>
              <w:right w:w="15" w:type="dxa"/>
            </w:tcMar>
            <w:vAlign w:val="bottom"/>
            <w:hideMark/>
          </w:tcPr>
          <w:p w14:paraId="4AE24DA6" w14:textId="77777777" w:rsidR="006F14EF" w:rsidRPr="00E752A0" w:rsidRDefault="000F5B51" w:rsidP="00036C09">
            <w:pPr>
              <w:pStyle w:val="Caption"/>
              <w:rPr>
                <w:b/>
              </w:rPr>
            </w:pPr>
            <w:r w:rsidRPr="00E752A0">
              <w:t>Fatal</w:t>
            </w:r>
          </w:p>
        </w:tc>
        <w:tc>
          <w:tcPr>
            <w:tcW w:w="0" w:type="auto"/>
            <w:noWrap/>
            <w:vAlign w:val="center"/>
            <w:hideMark/>
          </w:tcPr>
          <w:p w14:paraId="66C9A6EE" w14:textId="77777777" w:rsidR="006F14EF" w:rsidRPr="00E26073" w:rsidRDefault="000F5B51" w:rsidP="00C731F9">
            <w:pPr>
              <w:pStyle w:val="Caption"/>
              <w:rPr>
                <w:b/>
              </w:rPr>
            </w:pPr>
            <w:r w:rsidRPr="008C7B76">
              <w:rPr>
                <w:color w:val="000000"/>
              </w:rPr>
              <w:t>23</w:t>
            </w:r>
          </w:p>
        </w:tc>
        <w:tc>
          <w:tcPr>
            <w:tcW w:w="0" w:type="auto"/>
            <w:noWrap/>
            <w:vAlign w:val="center"/>
            <w:hideMark/>
          </w:tcPr>
          <w:p w14:paraId="6115D931" w14:textId="77777777" w:rsidR="006F14EF" w:rsidRPr="00E26073" w:rsidRDefault="000F5B51" w:rsidP="00C731F9">
            <w:pPr>
              <w:pStyle w:val="Caption"/>
              <w:rPr>
                <w:b/>
              </w:rPr>
            </w:pPr>
            <w:r w:rsidRPr="008C7B76">
              <w:rPr>
                <w:color w:val="000000"/>
              </w:rPr>
              <w:t>3</w:t>
            </w:r>
            <w:r w:rsidR="00394707">
              <w:rPr>
                <w:color w:val="000000"/>
              </w:rPr>
              <w:t>4</w:t>
            </w:r>
          </w:p>
        </w:tc>
        <w:tc>
          <w:tcPr>
            <w:tcW w:w="0" w:type="auto"/>
            <w:noWrap/>
            <w:vAlign w:val="center"/>
            <w:hideMark/>
          </w:tcPr>
          <w:p w14:paraId="1E3A19C0" w14:textId="77777777" w:rsidR="006F14EF" w:rsidRPr="00E26073" w:rsidRDefault="000F5B51" w:rsidP="00C731F9">
            <w:pPr>
              <w:pStyle w:val="Caption"/>
              <w:rPr>
                <w:b/>
              </w:rPr>
            </w:pPr>
            <w:r w:rsidRPr="008C7B76">
              <w:rPr>
                <w:color w:val="000000"/>
              </w:rPr>
              <w:t>105</w:t>
            </w:r>
          </w:p>
        </w:tc>
        <w:tc>
          <w:tcPr>
            <w:tcW w:w="0" w:type="auto"/>
            <w:noWrap/>
            <w:vAlign w:val="center"/>
            <w:hideMark/>
          </w:tcPr>
          <w:p w14:paraId="35FA9246" w14:textId="77777777" w:rsidR="006F14EF" w:rsidRPr="00E26073" w:rsidRDefault="000F5B51" w:rsidP="00C731F9">
            <w:pPr>
              <w:pStyle w:val="Caption"/>
              <w:rPr>
                <w:b/>
              </w:rPr>
            </w:pPr>
            <w:r w:rsidRPr="008C7B76">
              <w:rPr>
                <w:color w:val="000000"/>
              </w:rPr>
              <w:t>455</w:t>
            </w:r>
          </w:p>
        </w:tc>
      </w:tr>
      <w:tr w:rsidR="00A15C2C" w14:paraId="47163DAF" w14:textId="77777777" w:rsidTr="00036C09">
        <w:trPr>
          <w:trHeight w:val="300"/>
          <w:jc w:val="center"/>
        </w:trPr>
        <w:tc>
          <w:tcPr>
            <w:tcW w:w="0" w:type="auto"/>
            <w:gridSpan w:val="5"/>
            <w:shd w:val="clear" w:color="auto" w:fill="EDEDED" w:themeFill="accent3" w:themeFillTint="33"/>
            <w:noWrap/>
            <w:vAlign w:val="bottom"/>
            <w:hideMark/>
          </w:tcPr>
          <w:p w14:paraId="34AF6082" w14:textId="77777777" w:rsidR="00C731F9" w:rsidRPr="00C731F9" w:rsidRDefault="000F5B51" w:rsidP="00036C09">
            <w:pPr>
              <w:pStyle w:val="Caption"/>
              <w:rPr>
                <w:b/>
                <w:i/>
                <w:iCs w:val="0"/>
              </w:rPr>
            </w:pPr>
            <w:r w:rsidRPr="00C731F9">
              <w:rPr>
                <w:b/>
                <w:i/>
                <w:iCs w:val="0"/>
              </w:rPr>
              <w:t>Rear Impact</w:t>
            </w:r>
          </w:p>
        </w:tc>
      </w:tr>
      <w:tr w:rsidR="00A15C2C" w14:paraId="13B5D0F8" w14:textId="77777777" w:rsidTr="00C731F9">
        <w:trPr>
          <w:trHeight w:val="300"/>
          <w:jc w:val="center"/>
        </w:trPr>
        <w:tc>
          <w:tcPr>
            <w:tcW w:w="0" w:type="auto"/>
            <w:noWrap/>
            <w:tcMar>
              <w:top w:w="15" w:type="dxa"/>
              <w:left w:w="135" w:type="dxa"/>
              <w:bottom w:w="15" w:type="dxa"/>
              <w:right w:w="15" w:type="dxa"/>
            </w:tcMar>
            <w:vAlign w:val="bottom"/>
            <w:hideMark/>
          </w:tcPr>
          <w:p w14:paraId="3B492FFA" w14:textId="77777777" w:rsidR="006F14EF" w:rsidRPr="00E752A0" w:rsidRDefault="000F5B51" w:rsidP="00036C09">
            <w:pPr>
              <w:pStyle w:val="Caption"/>
              <w:rPr>
                <w:b/>
              </w:rPr>
            </w:pPr>
            <w:r w:rsidRPr="00E752A0">
              <w:t>MAIS 1</w:t>
            </w:r>
          </w:p>
        </w:tc>
        <w:tc>
          <w:tcPr>
            <w:tcW w:w="0" w:type="auto"/>
            <w:noWrap/>
            <w:vAlign w:val="center"/>
            <w:hideMark/>
          </w:tcPr>
          <w:p w14:paraId="01C255A7" w14:textId="77777777" w:rsidR="006F14EF" w:rsidRPr="00486689" w:rsidRDefault="000F5B51" w:rsidP="00C731F9">
            <w:pPr>
              <w:pStyle w:val="Caption"/>
            </w:pPr>
            <w:r w:rsidRPr="00486689">
              <w:rPr>
                <w:color w:val="000000"/>
              </w:rPr>
              <w:t>38</w:t>
            </w:r>
          </w:p>
        </w:tc>
        <w:tc>
          <w:tcPr>
            <w:tcW w:w="0" w:type="auto"/>
            <w:noWrap/>
            <w:vAlign w:val="center"/>
            <w:hideMark/>
          </w:tcPr>
          <w:p w14:paraId="175C9441" w14:textId="77777777" w:rsidR="006F14EF" w:rsidRPr="00486689" w:rsidRDefault="000F5B51" w:rsidP="00C731F9">
            <w:pPr>
              <w:pStyle w:val="Caption"/>
            </w:pPr>
            <w:r w:rsidRPr="00486689">
              <w:rPr>
                <w:color w:val="000000"/>
              </w:rPr>
              <w:t>29</w:t>
            </w:r>
          </w:p>
        </w:tc>
        <w:tc>
          <w:tcPr>
            <w:tcW w:w="0" w:type="auto"/>
            <w:noWrap/>
            <w:vAlign w:val="center"/>
            <w:hideMark/>
          </w:tcPr>
          <w:p w14:paraId="55B03803" w14:textId="77777777" w:rsidR="006F14EF" w:rsidRPr="00486689" w:rsidRDefault="000F5B51" w:rsidP="00C731F9">
            <w:pPr>
              <w:pStyle w:val="Caption"/>
            </w:pPr>
            <w:r w:rsidRPr="00486689">
              <w:rPr>
                <w:color w:val="000000"/>
              </w:rPr>
              <w:t>1,383</w:t>
            </w:r>
          </w:p>
        </w:tc>
        <w:tc>
          <w:tcPr>
            <w:tcW w:w="0" w:type="auto"/>
            <w:noWrap/>
            <w:vAlign w:val="center"/>
            <w:hideMark/>
          </w:tcPr>
          <w:p w14:paraId="6461B6FC" w14:textId="77777777" w:rsidR="006F14EF" w:rsidRPr="00486689" w:rsidRDefault="000F5B51" w:rsidP="00C731F9">
            <w:pPr>
              <w:pStyle w:val="Caption"/>
            </w:pPr>
            <w:r w:rsidRPr="00486689">
              <w:rPr>
                <w:color w:val="000000"/>
              </w:rPr>
              <w:t>471</w:t>
            </w:r>
          </w:p>
        </w:tc>
      </w:tr>
      <w:tr w:rsidR="00A15C2C" w14:paraId="769CD144" w14:textId="77777777" w:rsidTr="00C731F9">
        <w:trPr>
          <w:trHeight w:val="300"/>
          <w:jc w:val="center"/>
        </w:trPr>
        <w:tc>
          <w:tcPr>
            <w:tcW w:w="0" w:type="auto"/>
            <w:noWrap/>
            <w:tcMar>
              <w:top w:w="15" w:type="dxa"/>
              <w:left w:w="135" w:type="dxa"/>
              <w:bottom w:w="15" w:type="dxa"/>
              <w:right w:w="15" w:type="dxa"/>
            </w:tcMar>
            <w:vAlign w:val="bottom"/>
            <w:hideMark/>
          </w:tcPr>
          <w:p w14:paraId="411E7164" w14:textId="77777777" w:rsidR="006F14EF" w:rsidRPr="00E752A0" w:rsidRDefault="000F5B51" w:rsidP="00036C09">
            <w:pPr>
              <w:pStyle w:val="Caption"/>
              <w:rPr>
                <w:b/>
              </w:rPr>
            </w:pPr>
            <w:r w:rsidRPr="00E752A0">
              <w:t>MAIS 2</w:t>
            </w:r>
          </w:p>
        </w:tc>
        <w:tc>
          <w:tcPr>
            <w:tcW w:w="0" w:type="auto"/>
            <w:noWrap/>
            <w:vAlign w:val="center"/>
            <w:hideMark/>
          </w:tcPr>
          <w:p w14:paraId="47F0E51D" w14:textId="77777777" w:rsidR="006F14EF" w:rsidRPr="00486689" w:rsidRDefault="000F5B51" w:rsidP="00C731F9">
            <w:pPr>
              <w:pStyle w:val="Caption"/>
            </w:pPr>
            <w:r w:rsidRPr="00486689">
              <w:t>0</w:t>
            </w:r>
          </w:p>
        </w:tc>
        <w:tc>
          <w:tcPr>
            <w:tcW w:w="0" w:type="auto"/>
            <w:noWrap/>
            <w:vAlign w:val="center"/>
            <w:hideMark/>
          </w:tcPr>
          <w:p w14:paraId="7F9276ED" w14:textId="77777777" w:rsidR="006F14EF" w:rsidRPr="00486689" w:rsidRDefault="000F5B51" w:rsidP="00C731F9">
            <w:pPr>
              <w:pStyle w:val="Caption"/>
            </w:pPr>
            <w:r w:rsidRPr="00486689">
              <w:t>0</w:t>
            </w:r>
          </w:p>
        </w:tc>
        <w:tc>
          <w:tcPr>
            <w:tcW w:w="0" w:type="auto"/>
            <w:noWrap/>
            <w:vAlign w:val="center"/>
            <w:hideMark/>
          </w:tcPr>
          <w:p w14:paraId="30E969CB" w14:textId="77777777" w:rsidR="006F14EF" w:rsidRPr="00486689" w:rsidRDefault="000F5B51" w:rsidP="00C731F9">
            <w:pPr>
              <w:pStyle w:val="Caption"/>
            </w:pPr>
            <w:r w:rsidRPr="00486689">
              <w:rPr>
                <w:color w:val="000000"/>
              </w:rPr>
              <w:t>57</w:t>
            </w:r>
          </w:p>
        </w:tc>
        <w:tc>
          <w:tcPr>
            <w:tcW w:w="0" w:type="auto"/>
            <w:noWrap/>
            <w:vAlign w:val="center"/>
            <w:hideMark/>
          </w:tcPr>
          <w:p w14:paraId="058C68CA" w14:textId="77777777" w:rsidR="006F14EF" w:rsidRPr="00486689" w:rsidRDefault="000F5B51" w:rsidP="00C731F9">
            <w:pPr>
              <w:pStyle w:val="Caption"/>
            </w:pPr>
            <w:r w:rsidRPr="00486689">
              <w:rPr>
                <w:color w:val="000000"/>
              </w:rPr>
              <w:t>99</w:t>
            </w:r>
          </w:p>
        </w:tc>
      </w:tr>
      <w:tr w:rsidR="00A15C2C" w14:paraId="74CE2720" w14:textId="77777777" w:rsidTr="00C731F9">
        <w:trPr>
          <w:trHeight w:val="300"/>
          <w:jc w:val="center"/>
        </w:trPr>
        <w:tc>
          <w:tcPr>
            <w:tcW w:w="0" w:type="auto"/>
            <w:noWrap/>
            <w:tcMar>
              <w:top w:w="15" w:type="dxa"/>
              <w:left w:w="135" w:type="dxa"/>
              <w:bottom w:w="15" w:type="dxa"/>
              <w:right w:w="15" w:type="dxa"/>
            </w:tcMar>
            <w:vAlign w:val="bottom"/>
            <w:hideMark/>
          </w:tcPr>
          <w:p w14:paraId="79150D45" w14:textId="77777777" w:rsidR="006F14EF" w:rsidRPr="00E752A0" w:rsidRDefault="000F5B51" w:rsidP="00036C09">
            <w:pPr>
              <w:pStyle w:val="Caption"/>
              <w:rPr>
                <w:b/>
              </w:rPr>
            </w:pPr>
            <w:r w:rsidRPr="00E752A0">
              <w:t>MAIS 3</w:t>
            </w:r>
          </w:p>
        </w:tc>
        <w:tc>
          <w:tcPr>
            <w:tcW w:w="0" w:type="auto"/>
            <w:noWrap/>
            <w:vAlign w:val="center"/>
            <w:hideMark/>
          </w:tcPr>
          <w:p w14:paraId="37AAFBBD" w14:textId="77777777" w:rsidR="006F14EF" w:rsidRPr="00486689" w:rsidRDefault="000F5B51" w:rsidP="00C731F9">
            <w:pPr>
              <w:pStyle w:val="Caption"/>
            </w:pPr>
            <w:r w:rsidRPr="00486689">
              <w:t>0</w:t>
            </w:r>
          </w:p>
        </w:tc>
        <w:tc>
          <w:tcPr>
            <w:tcW w:w="0" w:type="auto"/>
            <w:noWrap/>
            <w:vAlign w:val="center"/>
            <w:hideMark/>
          </w:tcPr>
          <w:p w14:paraId="35885C40" w14:textId="77777777" w:rsidR="006F14EF" w:rsidRPr="00486689" w:rsidRDefault="000F5B51" w:rsidP="00C731F9">
            <w:pPr>
              <w:pStyle w:val="Caption"/>
            </w:pPr>
            <w:r w:rsidRPr="00486689">
              <w:t>0</w:t>
            </w:r>
          </w:p>
        </w:tc>
        <w:tc>
          <w:tcPr>
            <w:tcW w:w="0" w:type="auto"/>
            <w:noWrap/>
            <w:vAlign w:val="center"/>
            <w:hideMark/>
          </w:tcPr>
          <w:p w14:paraId="4B47CDE1" w14:textId="77777777" w:rsidR="006F14EF" w:rsidRPr="00486689" w:rsidRDefault="000F5B51" w:rsidP="00C731F9">
            <w:pPr>
              <w:pStyle w:val="Caption"/>
            </w:pPr>
            <w:r w:rsidRPr="00486689">
              <w:rPr>
                <w:color w:val="000000"/>
              </w:rPr>
              <w:t>6</w:t>
            </w:r>
          </w:p>
        </w:tc>
        <w:tc>
          <w:tcPr>
            <w:tcW w:w="0" w:type="auto"/>
            <w:noWrap/>
            <w:vAlign w:val="center"/>
            <w:hideMark/>
          </w:tcPr>
          <w:p w14:paraId="1CB20748" w14:textId="77777777" w:rsidR="006F14EF" w:rsidRPr="00486689" w:rsidRDefault="000F5B51" w:rsidP="00C731F9">
            <w:pPr>
              <w:pStyle w:val="Caption"/>
            </w:pPr>
            <w:r w:rsidRPr="00486689">
              <w:rPr>
                <w:color w:val="000000"/>
              </w:rPr>
              <w:t>11</w:t>
            </w:r>
          </w:p>
        </w:tc>
      </w:tr>
      <w:tr w:rsidR="00A15C2C" w14:paraId="43BDD673" w14:textId="77777777" w:rsidTr="00C731F9">
        <w:trPr>
          <w:trHeight w:val="300"/>
          <w:jc w:val="center"/>
        </w:trPr>
        <w:tc>
          <w:tcPr>
            <w:tcW w:w="0" w:type="auto"/>
            <w:noWrap/>
            <w:tcMar>
              <w:top w:w="15" w:type="dxa"/>
              <w:left w:w="135" w:type="dxa"/>
              <w:bottom w:w="15" w:type="dxa"/>
              <w:right w:w="15" w:type="dxa"/>
            </w:tcMar>
            <w:vAlign w:val="bottom"/>
            <w:hideMark/>
          </w:tcPr>
          <w:p w14:paraId="23BFEBE4" w14:textId="77777777" w:rsidR="006F14EF" w:rsidRPr="00E752A0" w:rsidRDefault="000F5B51" w:rsidP="00036C09">
            <w:pPr>
              <w:pStyle w:val="Caption"/>
              <w:rPr>
                <w:b/>
              </w:rPr>
            </w:pPr>
            <w:r w:rsidRPr="00E752A0">
              <w:t>MAIS 4</w:t>
            </w:r>
          </w:p>
        </w:tc>
        <w:tc>
          <w:tcPr>
            <w:tcW w:w="0" w:type="auto"/>
            <w:noWrap/>
            <w:vAlign w:val="center"/>
            <w:hideMark/>
          </w:tcPr>
          <w:p w14:paraId="14C947A6" w14:textId="77777777" w:rsidR="006F14EF" w:rsidRPr="00486689" w:rsidRDefault="000F5B51" w:rsidP="00C731F9">
            <w:pPr>
              <w:pStyle w:val="Caption"/>
            </w:pPr>
            <w:r w:rsidRPr="00486689">
              <w:t>0</w:t>
            </w:r>
          </w:p>
        </w:tc>
        <w:tc>
          <w:tcPr>
            <w:tcW w:w="0" w:type="auto"/>
            <w:noWrap/>
            <w:vAlign w:val="center"/>
            <w:hideMark/>
          </w:tcPr>
          <w:p w14:paraId="08CE592A" w14:textId="77777777" w:rsidR="006F14EF" w:rsidRPr="00486689" w:rsidRDefault="000F5B51" w:rsidP="00C731F9">
            <w:pPr>
              <w:pStyle w:val="Caption"/>
            </w:pPr>
            <w:r w:rsidRPr="00486689">
              <w:t>0</w:t>
            </w:r>
          </w:p>
        </w:tc>
        <w:tc>
          <w:tcPr>
            <w:tcW w:w="0" w:type="auto"/>
            <w:noWrap/>
            <w:vAlign w:val="center"/>
            <w:hideMark/>
          </w:tcPr>
          <w:p w14:paraId="6F3F5A06" w14:textId="77777777" w:rsidR="006F14EF" w:rsidRPr="00486689" w:rsidRDefault="000F5B51" w:rsidP="00C731F9">
            <w:pPr>
              <w:pStyle w:val="Caption"/>
            </w:pPr>
            <w:r w:rsidRPr="00486689">
              <w:rPr>
                <w:color w:val="000000"/>
              </w:rPr>
              <w:t>0</w:t>
            </w:r>
          </w:p>
        </w:tc>
        <w:tc>
          <w:tcPr>
            <w:tcW w:w="0" w:type="auto"/>
            <w:noWrap/>
            <w:vAlign w:val="center"/>
            <w:hideMark/>
          </w:tcPr>
          <w:p w14:paraId="6C6D9A1A" w14:textId="77777777" w:rsidR="006F14EF" w:rsidRPr="00486689" w:rsidRDefault="000F5B51" w:rsidP="00C731F9">
            <w:pPr>
              <w:pStyle w:val="Caption"/>
            </w:pPr>
            <w:r w:rsidRPr="00486689">
              <w:rPr>
                <w:color w:val="000000"/>
              </w:rPr>
              <w:t>107</w:t>
            </w:r>
          </w:p>
        </w:tc>
      </w:tr>
      <w:tr w:rsidR="00A15C2C" w14:paraId="5F32A1C8" w14:textId="77777777" w:rsidTr="00C731F9">
        <w:trPr>
          <w:trHeight w:val="300"/>
          <w:jc w:val="center"/>
        </w:trPr>
        <w:tc>
          <w:tcPr>
            <w:tcW w:w="0" w:type="auto"/>
            <w:noWrap/>
            <w:tcMar>
              <w:top w:w="15" w:type="dxa"/>
              <w:left w:w="135" w:type="dxa"/>
              <w:bottom w:w="15" w:type="dxa"/>
              <w:right w:w="15" w:type="dxa"/>
            </w:tcMar>
            <w:vAlign w:val="bottom"/>
            <w:hideMark/>
          </w:tcPr>
          <w:p w14:paraId="64D8CF1E" w14:textId="77777777" w:rsidR="006F14EF" w:rsidRPr="00E752A0" w:rsidRDefault="000F5B51" w:rsidP="00036C09">
            <w:pPr>
              <w:pStyle w:val="Caption"/>
              <w:rPr>
                <w:b/>
              </w:rPr>
            </w:pPr>
            <w:r w:rsidRPr="00E752A0">
              <w:t>MAIS 5</w:t>
            </w:r>
          </w:p>
        </w:tc>
        <w:tc>
          <w:tcPr>
            <w:tcW w:w="0" w:type="auto"/>
            <w:noWrap/>
            <w:vAlign w:val="center"/>
            <w:hideMark/>
          </w:tcPr>
          <w:p w14:paraId="6C8EADD4" w14:textId="77777777" w:rsidR="006F14EF" w:rsidRPr="00486689" w:rsidRDefault="000F5B51" w:rsidP="00C731F9">
            <w:pPr>
              <w:pStyle w:val="Caption"/>
            </w:pPr>
            <w:r w:rsidRPr="00486689">
              <w:t>0</w:t>
            </w:r>
          </w:p>
        </w:tc>
        <w:tc>
          <w:tcPr>
            <w:tcW w:w="0" w:type="auto"/>
            <w:noWrap/>
            <w:vAlign w:val="center"/>
            <w:hideMark/>
          </w:tcPr>
          <w:p w14:paraId="38AF887D" w14:textId="77777777" w:rsidR="006F14EF" w:rsidRPr="00486689" w:rsidRDefault="000F5B51" w:rsidP="00C731F9">
            <w:pPr>
              <w:pStyle w:val="Caption"/>
            </w:pPr>
            <w:r w:rsidRPr="00486689">
              <w:t>0</w:t>
            </w:r>
          </w:p>
        </w:tc>
        <w:tc>
          <w:tcPr>
            <w:tcW w:w="0" w:type="auto"/>
            <w:noWrap/>
            <w:vAlign w:val="center"/>
            <w:hideMark/>
          </w:tcPr>
          <w:p w14:paraId="41140198" w14:textId="77777777" w:rsidR="006F14EF" w:rsidRPr="00486689" w:rsidRDefault="000F5B51" w:rsidP="00C731F9">
            <w:pPr>
              <w:pStyle w:val="Caption"/>
            </w:pPr>
            <w:r w:rsidRPr="00486689">
              <w:rPr>
                <w:color w:val="000000"/>
              </w:rPr>
              <w:t>0</w:t>
            </w:r>
          </w:p>
        </w:tc>
        <w:tc>
          <w:tcPr>
            <w:tcW w:w="0" w:type="auto"/>
            <w:noWrap/>
            <w:vAlign w:val="center"/>
            <w:hideMark/>
          </w:tcPr>
          <w:p w14:paraId="378E0A6C" w14:textId="77777777" w:rsidR="006F14EF" w:rsidRPr="00486689" w:rsidRDefault="000F5B51" w:rsidP="00C731F9">
            <w:pPr>
              <w:pStyle w:val="Caption"/>
            </w:pPr>
            <w:r w:rsidRPr="00486689">
              <w:rPr>
                <w:color w:val="000000"/>
              </w:rPr>
              <w:t>0</w:t>
            </w:r>
          </w:p>
        </w:tc>
      </w:tr>
      <w:tr w:rsidR="00A15C2C" w14:paraId="099719F4" w14:textId="77777777" w:rsidTr="00C731F9">
        <w:trPr>
          <w:trHeight w:val="300"/>
          <w:jc w:val="center"/>
        </w:trPr>
        <w:tc>
          <w:tcPr>
            <w:tcW w:w="0" w:type="auto"/>
            <w:noWrap/>
            <w:tcMar>
              <w:top w:w="15" w:type="dxa"/>
              <w:left w:w="135" w:type="dxa"/>
              <w:bottom w:w="15" w:type="dxa"/>
              <w:right w:w="15" w:type="dxa"/>
            </w:tcMar>
            <w:vAlign w:val="bottom"/>
            <w:hideMark/>
          </w:tcPr>
          <w:p w14:paraId="3475599D" w14:textId="77777777" w:rsidR="006F14EF" w:rsidRPr="00E752A0" w:rsidRDefault="000F5B51" w:rsidP="00036C09">
            <w:pPr>
              <w:pStyle w:val="Caption"/>
              <w:rPr>
                <w:b/>
              </w:rPr>
            </w:pPr>
            <w:r w:rsidRPr="00E752A0">
              <w:t>Fatal</w:t>
            </w:r>
          </w:p>
        </w:tc>
        <w:tc>
          <w:tcPr>
            <w:tcW w:w="0" w:type="auto"/>
            <w:noWrap/>
            <w:vAlign w:val="center"/>
            <w:hideMark/>
          </w:tcPr>
          <w:p w14:paraId="14FB9B5A" w14:textId="77777777" w:rsidR="006F14EF" w:rsidRPr="00486689" w:rsidRDefault="000F5B51" w:rsidP="00C731F9">
            <w:pPr>
              <w:pStyle w:val="Caption"/>
            </w:pPr>
            <w:r w:rsidRPr="00486689">
              <w:rPr>
                <w:color w:val="000000"/>
              </w:rPr>
              <w:t>17</w:t>
            </w:r>
          </w:p>
        </w:tc>
        <w:tc>
          <w:tcPr>
            <w:tcW w:w="0" w:type="auto"/>
            <w:noWrap/>
            <w:vAlign w:val="center"/>
            <w:hideMark/>
          </w:tcPr>
          <w:p w14:paraId="138391D5" w14:textId="77777777" w:rsidR="006F14EF" w:rsidRPr="00486689" w:rsidRDefault="000F5B51" w:rsidP="00C731F9">
            <w:pPr>
              <w:pStyle w:val="Caption"/>
            </w:pPr>
            <w:r w:rsidRPr="00486689">
              <w:rPr>
                <w:color w:val="000000"/>
              </w:rPr>
              <w:t>2</w:t>
            </w:r>
          </w:p>
        </w:tc>
        <w:tc>
          <w:tcPr>
            <w:tcW w:w="0" w:type="auto"/>
            <w:noWrap/>
            <w:vAlign w:val="center"/>
            <w:hideMark/>
          </w:tcPr>
          <w:p w14:paraId="397E4C74" w14:textId="77777777" w:rsidR="006F14EF" w:rsidRPr="00486689" w:rsidRDefault="000F5B51" w:rsidP="00C731F9">
            <w:pPr>
              <w:pStyle w:val="Caption"/>
            </w:pPr>
            <w:r w:rsidRPr="00486689">
              <w:rPr>
                <w:color w:val="000000"/>
              </w:rPr>
              <w:t>62</w:t>
            </w:r>
          </w:p>
        </w:tc>
        <w:tc>
          <w:tcPr>
            <w:tcW w:w="0" w:type="auto"/>
            <w:noWrap/>
            <w:vAlign w:val="center"/>
            <w:hideMark/>
          </w:tcPr>
          <w:p w14:paraId="3D47E132" w14:textId="77777777" w:rsidR="006F14EF" w:rsidRPr="00486689" w:rsidRDefault="000F5B51" w:rsidP="00C731F9">
            <w:pPr>
              <w:pStyle w:val="Caption"/>
            </w:pPr>
            <w:r w:rsidRPr="00486689">
              <w:rPr>
                <w:color w:val="000000"/>
              </w:rPr>
              <w:t>60</w:t>
            </w:r>
          </w:p>
        </w:tc>
      </w:tr>
    </w:tbl>
    <w:p w14:paraId="04CB5081" w14:textId="77777777" w:rsidR="007F27B4" w:rsidRDefault="000F5B51" w:rsidP="00B0167A">
      <w:pPr>
        <w:pStyle w:val="NoSpaceTimes"/>
        <w:ind w:firstLine="720"/>
        <w:jc w:val="left"/>
        <w:rPr>
          <w:sz w:val="18"/>
          <w:szCs w:val="18"/>
        </w:rPr>
      </w:pPr>
      <w:r>
        <w:rPr>
          <w:sz w:val="18"/>
          <w:szCs w:val="18"/>
        </w:rPr>
        <w:t>Note: Values may not sum due to rounding.</w:t>
      </w:r>
    </w:p>
    <w:p w14:paraId="06DC1472" w14:textId="77777777" w:rsidR="00B0167A" w:rsidRPr="00B0167A" w:rsidRDefault="00B0167A" w:rsidP="00B0167A">
      <w:pPr>
        <w:pStyle w:val="NoSpaceTimes"/>
      </w:pPr>
    </w:p>
    <w:p w14:paraId="44091A01" w14:textId="11762BA5" w:rsidR="00020CF7" w:rsidRDefault="000F5B51" w:rsidP="00815ECD">
      <w:r>
        <w:fldChar w:fldCharType="begin"/>
      </w:r>
      <w:r>
        <w:instrText xml:space="preserve"> REF _Ref127432273 \h </w:instrText>
      </w:r>
      <w:r>
        <w:fldChar w:fldCharType="separate"/>
      </w:r>
      <w:r w:rsidR="00A65CB3">
        <w:t xml:space="preserve">Table </w:t>
      </w:r>
      <w:r w:rsidR="00A65CB3">
        <w:rPr>
          <w:noProof/>
        </w:rPr>
        <w:t>124</w:t>
      </w:r>
      <w:r>
        <w:fldChar w:fldCharType="end"/>
      </w:r>
      <w:r>
        <w:t xml:space="preserve"> </w:t>
      </w:r>
      <w:r w:rsidR="005319E7">
        <w:t>and</w:t>
      </w:r>
      <w:r w:rsidR="00815ECD">
        <w:t xml:space="preserve"> </w:t>
      </w:r>
      <w:r w:rsidR="00815ECD">
        <w:fldChar w:fldCharType="begin"/>
      </w:r>
      <w:r w:rsidR="00815ECD">
        <w:instrText xml:space="preserve"> REF _Ref127275589 \h </w:instrText>
      </w:r>
      <w:r w:rsidR="00815ECD">
        <w:fldChar w:fldCharType="separate"/>
      </w:r>
      <w:r w:rsidR="00A65CB3">
        <w:t>T</w:t>
      </w:r>
      <w:r w:rsidR="00A65CB3" w:rsidRPr="009D4B71">
        <w:rPr>
          <w:rStyle w:val="CaptionChar"/>
        </w:rPr>
        <w:t xml:space="preserve">able </w:t>
      </w:r>
      <w:r w:rsidR="00A65CB3">
        <w:rPr>
          <w:rStyle w:val="CaptionChar"/>
          <w:noProof/>
        </w:rPr>
        <w:t>125</w:t>
      </w:r>
      <w:r w:rsidR="00815ECD">
        <w:fldChar w:fldCharType="end"/>
      </w:r>
      <w:r w:rsidR="006F18D0">
        <w:t xml:space="preserve"> present </w:t>
      </w:r>
      <w:r w:rsidR="00014D77">
        <w:t>the unadjusted</w:t>
      </w:r>
      <w:r w:rsidR="006F18D0">
        <w:t xml:space="preserve"> fatalities</w:t>
      </w:r>
      <w:r w:rsidR="00815ECD">
        <w:t xml:space="preserve"> by crash type</w:t>
      </w:r>
      <w:r w:rsidR="006F18D0">
        <w:t xml:space="preserve"> for </w:t>
      </w:r>
      <w:r w:rsidR="004A2073">
        <w:t>drivers and right front seat occupants, respectively</w:t>
      </w:r>
      <w:r w:rsidR="00815ECD">
        <w:t>.</w:t>
      </w:r>
      <w:r w:rsidR="00014D77">
        <w:t xml:space="preserve"> </w:t>
      </w:r>
      <w:bookmarkStart w:id="2051" w:name="_Ref127187075"/>
      <w:r w:rsidRPr="00020CF7">
        <w:t>The unadjusted target population reflects the annual average of fatalities from the 2011-2015 FARS data.</w:t>
      </w:r>
    </w:p>
    <w:p w14:paraId="2C3761DF" w14:textId="4971D387" w:rsidR="00F17D88" w:rsidRDefault="000F5B51" w:rsidP="00815ECD">
      <w:pPr>
        <w:pStyle w:val="Caption"/>
      </w:pPr>
      <w:bookmarkStart w:id="2052" w:name="_Ref127432273"/>
      <w:r>
        <w:lastRenderedPageBreak/>
        <w:t xml:space="preserve">Table </w:t>
      </w:r>
      <w:r w:rsidR="00115BAB">
        <w:fldChar w:fldCharType="begin"/>
      </w:r>
      <w:r>
        <w:instrText xml:space="preserve"> SEQ Table \* ARABIC </w:instrText>
      </w:r>
      <w:r w:rsidR="00115BAB">
        <w:fldChar w:fldCharType="separate"/>
      </w:r>
      <w:r w:rsidR="00A65CB3">
        <w:rPr>
          <w:noProof/>
        </w:rPr>
        <w:t>124</w:t>
      </w:r>
      <w:r w:rsidR="00115BAB">
        <w:rPr>
          <w:noProof/>
        </w:rPr>
        <w:fldChar w:fldCharType="end"/>
      </w:r>
      <w:bookmarkEnd w:id="2052"/>
      <w:r>
        <w:t xml:space="preserve">: </w:t>
      </w:r>
      <w:r w:rsidRPr="00DF651A">
        <w:t xml:space="preserve"> Unadjusted Target Population for Drivers</w:t>
      </w:r>
      <w:bookmarkEnd w:id="2051"/>
    </w:p>
    <w:tbl>
      <w:tblPr>
        <w:tblW w:w="9451" w:type="dxa"/>
        <w:tblLook w:val="04A0" w:firstRow="1" w:lastRow="0" w:firstColumn="1" w:lastColumn="0" w:noHBand="0" w:noVBand="1"/>
      </w:tblPr>
      <w:tblGrid>
        <w:gridCol w:w="1890"/>
        <w:gridCol w:w="1890"/>
        <w:gridCol w:w="1890"/>
        <w:gridCol w:w="2013"/>
        <w:gridCol w:w="1768"/>
      </w:tblGrid>
      <w:tr w:rsidR="00A15C2C" w14:paraId="7F5FCDA6" w14:textId="77777777" w:rsidTr="00617167">
        <w:trPr>
          <w:trHeight w:val="325"/>
        </w:trPr>
        <w:tc>
          <w:tcPr>
            <w:tcW w:w="189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3B262C1" w14:textId="77777777" w:rsidR="00F17D88" w:rsidRPr="00F17D88" w:rsidRDefault="000F5B51" w:rsidP="00F17D88">
            <w:pPr>
              <w:spacing w:after="0" w:line="240" w:lineRule="auto"/>
              <w:rPr>
                <w:rFonts w:eastAsia="Times New Roman" w:cs="Times New Roman"/>
                <w:b/>
                <w:bCs/>
                <w:color w:val="000000"/>
                <w:szCs w:val="24"/>
              </w:rPr>
            </w:pPr>
            <w:bookmarkStart w:id="2053" w:name="RANGE!J5"/>
            <w:r w:rsidRPr="00F17D88">
              <w:rPr>
                <w:rFonts w:eastAsia="Times New Roman" w:cs="Times New Roman"/>
                <w:b/>
                <w:bCs/>
                <w:color w:val="000000"/>
                <w:szCs w:val="24"/>
              </w:rPr>
              <w:t>Vehicle Type</w:t>
            </w:r>
            <w:bookmarkEnd w:id="2053"/>
          </w:p>
        </w:tc>
        <w:tc>
          <w:tcPr>
            <w:tcW w:w="1890" w:type="dxa"/>
            <w:tcBorders>
              <w:top w:val="single" w:sz="8" w:space="0" w:color="auto"/>
              <w:left w:val="nil"/>
              <w:bottom w:val="single" w:sz="8" w:space="0" w:color="auto"/>
              <w:right w:val="single" w:sz="8" w:space="0" w:color="auto"/>
            </w:tcBorders>
            <w:shd w:val="clear" w:color="000000" w:fill="D9D9D9"/>
            <w:noWrap/>
            <w:vAlign w:val="center"/>
            <w:hideMark/>
          </w:tcPr>
          <w:p w14:paraId="4D836F89" w14:textId="77777777" w:rsidR="00F17D88" w:rsidRPr="00F17D88" w:rsidRDefault="000F5B51" w:rsidP="00F17D88">
            <w:pPr>
              <w:spacing w:after="0" w:line="240" w:lineRule="auto"/>
              <w:jc w:val="center"/>
              <w:rPr>
                <w:rFonts w:eastAsia="Times New Roman" w:cs="Times New Roman"/>
                <w:b/>
                <w:bCs/>
                <w:color w:val="000000"/>
                <w:szCs w:val="24"/>
              </w:rPr>
            </w:pPr>
            <w:r w:rsidRPr="00F17D88">
              <w:rPr>
                <w:rFonts w:eastAsia="Times New Roman" w:cs="Times New Roman"/>
                <w:b/>
                <w:bCs/>
                <w:color w:val="000000"/>
                <w:szCs w:val="24"/>
              </w:rPr>
              <w:t>Crash type</w:t>
            </w:r>
          </w:p>
        </w:tc>
        <w:tc>
          <w:tcPr>
            <w:tcW w:w="1890" w:type="dxa"/>
            <w:tcBorders>
              <w:top w:val="single" w:sz="8" w:space="0" w:color="auto"/>
              <w:left w:val="nil"/>
              <w:bottom w:val="single" w:sz="8" w:space="0" w:color="auto"/>
              <w:right w:val="single" w:sz="8" w:space="0" w:color="auto"/>
            </w:tcBorders>
            <w:shd w:val="clear" w:color="000000" w:fill="D9D9D9"/>
            <w:noWrap/>
            <w:vAlign w:val="center"/>
            <w:hideMark/>
          </w:tcPr>
          <w:p w14:paraId="465ACA6A" w14:textId="77777777" w:rsidR="00F17D88" w:rsidRPr="00F17D88" w:rsidRDefault="000F5B51" w:rsidP="00F17D88">
            <w:pPr>
              <w:spacing w:after="0" w:line="240" w:lineRule="auto"/>
              <w:jc w:val="center"/>
              <w:rPr>
                <w:rFonts w:eastAsia="Times New Roman" w:cs="Times New Roman"/>
                <w:b/>
                <w:bCs/>
                <w:color w:val="000000"/>
                <w:szCs w:val="24"/>
              </w:rPr>
            </w:pPr>
            <w:r w:rsidRPr="00F17D88">
              <w:rPr>
                <w:rFonts w:eastAsia="Times New Roman" w:cs="Times New Roman"/>
                <w:b/>
                <w:bCs/>
                <w:color w:val="000000"/>
                <w:szCs w:val="24"/>
              </w:rPr>
              <w:t xml:space="preserve">Restrained </w:t>
            </w:r>
          </w:p>
        </w:tc>
        <w:tc>
          <w:tcPr>
            <w:tcW w:w="2013" w:type="dxa"/>
            <w:tcBorders>
              <w:top w:val="single" w:sz="8" w:space="0" w:color="auto"/>
              <w:left w:val="nil"/>
              <w:bottom w:val="single" w:sz="8" w:space="0" w:color="auto"/>
              <w:right w:val="single" w:sz="8" w:space="0" w:color="auto"/>
            </w:tcBorders>
            <w:shd w:val="clear" w:color="000000" w:fill="D9D9D9"/>
            <w:noWrap/>
            <w:vAlign w:val="center"/>
            <w:hideMark/>
          </w:tcPr>
          <w:p w14:paraId="241410B6" w14:textId="77777777" w:rsidR="00F17D88" w:rsidRPr="00F17D88" w:rsidRDefault="000F5B51" w:rsidP="00F17D88">
            <w:pPr>
              <w:spacing w:after="0" w:line="240" w:lineRule="auto"/>
              <w:jc w:val="center"/>
              <w:rPr>
                <w:rFonts w:eastAsia="Times New Roman" w:cs="Times New Roman"/>
                <w:b/>
                <w:bCs/>
                <w:color w:val="000000"/>
                <w:szCs w:val="24"/>
              </w:rPr>
            </w:pPr>
            <w:r w:rsidRPr="00F17D88">
              <w:rPr>
                <w:rFonts w:eastAsia="Times New Roman" w:cs="Times New Roman"/>
                <w:b/>
                <w:bCs/>
                <w:color w:val="000000"/>
                <w:szCs w:val="24"/>
              </w:rPr>
              <w:t>Unrestrained</w:t>
            </w:r>
          </w:p>
        </w:tc>
        <w:tc>
          <w:tcPr>
            <w:tcW w:w="1768" w:type="dxa"/>
            <w:tcBorders>
              <w:top w:val="single" w:sz="8" w:space="0" w:color="auto"/>
              <w:left w:val="nil"/>
              <w:bottom w:val="single" w:sz="8" w:space="0" w:color="auto"/>
              <w:right w:val="single" w:sz="8" w:space="0" w:color="auto"/>
            </w:tcBorders>
            <w:shd w:val="clear" w:color="000000" w:fill="D9D9D9"/>
            <w:vAlign w:val="center"/>
            <w:hideMark/>
          </w:tcPr>
          <w:p w14:paraId="30D1E58B" w14:textId="77777777" w:rsidR="00F17D88" w:rsidRPr="00F17D88" w:rsidRDefault="000F5B51" w:rsidP="00F17D88">
            <w:pPr>
              <w:spacing w:after="0" w:line="240" w:lineRule="auto"/>
              <w:jc w:val="center"/>
              <w:rPr>
                <w:rFonts w:eastAsia="Times New Roman" w:cs="Times New Roman"/>
                <w:b/>
                <w:bCs/>
                <w:color w:val="000000"/>
                <w:szCs w:val="24"/>
              </w:rPr>
            </w:pPr>
            <w:r w:rsidRPr="00F17D88">
              <w:rPr>
                <w:rFonts w:eastAsia="Times New Roman" w:cs="Times New Roman"/>
                <w:b/>
                <w:bCs/>
                <w:color w:val="000000"/>
                <w:szCs w:val="24"/>
              </w:rPr>
              <w:t>Total</w:t>
            </w:r>
          </w:p>
        </w:tc>
      </w:tr>
      <w:tr w:rsidR="00A15C2C" w14:paraId="277441EF" w14:textId="77777777" w:rsidTr="00B34B4A">
        <w:trPr>
          <w:trHeight w:val="336"/>
        </w:trPr>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615670" w14:textId="77777777" w:rsidR="00B34B4A" w:rsidRPr="00F17D88" w:rsidRDefault="000F5B51" w:rsidP="00B34B4A">
            <w:pPr>
              <w:spacing w:after="0" w:line="240" w:lineRule="auto"/>
              <w:rPr>
                <w:rFonts w:eastAsia="Times New Roman" w:cs="Times New Roman"/>
                <w:b/>
                <w:bCs/>
                <w:color w:val="000000"/>
                <w:szCs w:val="24"/>
              </w:rPr>
            </w:pPr>
            <w:r w:rsidRPr="00F17D88">
              <w:rPr>
                <w:rFonts w:eastAsia="Times New Roman" w:cs="Times New Roman"/>
                <w:b/>
                <w:bCs/>
                <w:color w:val="000000"/>
                <w:szCs w:val="24"/>
              </w:rPr>
              <w:t>PC</w:t>
            </w:r>
          </w:p>
        </w:tc>
        <w:tc>
          <w:tcPr>
            <w:tcW w:w="1890" w:type="dxa"/>
            <w:tcBorders>
              <w:top w:val="nil"/>
              <w:left w:val="nil"/>
              <w:bottom w:val="single" w:sz="8" w:space="0" w:color="auto"/>
              <w:right w:val="single" w:sz="8" w:space="0" w:color="auto"/>
            </w:tcBorders>
            <w:shd w:val="clear" w:color="auto" w:fill="auto"/>
            <w:noWrap/>
            <w:vAlign w:val="center"/>
            <w:hideMark/>
          </w:tcPr>
          <w:p w14:paraId="463DC75A" w14:textId="77777777" w:rsidR="00B34B4A" w:rsidRPr="00F17D88" w:rsidRDefault="000F5B51" w:rsidP="00B34B4A">
            <w:pPr>
              <w:spacing w:after="0" w:line="240" w:lineRule="auto"/>
              <w:jc w:val="center"/>
              <w:rPr>
                <w:rFonts w:eastAsia="Times New Roman" w:cs="Times New Roman"/>
                <w:color w:val="000000"/>
                <w:szCs w:val="24"/>
              </w:rPr>
            </w:pPr>
            <w:r w:rsidRPr="00F17D88">
              <w:rPr>
                <w:rFonts w:eastAsia="Times New Roman" w:cs="Times New Roman"/>
                <w:color w:val="000000"/>
                <w:szCs w:val="24"/>
              </w:rPr>
              <w:t>Rollover</w:t>
            </w:r>
          </w:p>
        </w:tc>
        <w:tc>
          <w:tcPr>
            <w:tcW w:w="1890" w:type="dxa"/>
            <w:tcBorders>
              <w:top w:val="nil"/>
              <w:left w:val="nil"/>
              <w:bottom w:val="single" w:sz="8" w:space="0" w:color="auto"/>
              <w:right w:val="single" w:sz="8" w:space="0" w:color="auto"/>
            </w:tcBorders>
            <w:shd w:val="clear" w:color="auto" w:fill="auto"/>
            <w:noWrap/>
            <w:vAlign w:val="center"/>
          </w:tcPr>
          <w:p w14:paraId="4B15982B" w14:textId="77777777" w:rsidR="00B34B4A" w:rsidRPr="00F17D88" w:rsidRDefault="000F5B51">
            <w:pPr>
              <w:spacing w:after="0" w:line="240" w:lineRule="auto"/>
              <w:jc w:val="center"/>
              <w:rPr>
                <w:rFonts w:eastAsia="Times New Roman" w:cs="Times New Roman"/>
                <w:color w:val="000000"/>
                <w:szCs w:val="24"/>
              </w:rPr>
            </w:pPr>
            <w:r w:rsidRPr="00193E89">
              <w:t>781</w:t>
            </w:r>
          </w:p>
        </w:tc>
        <w:tc>
          <w:tcPr>
            <w:tcW w:w="2013" w:type="dxa"/>
            <w:tcBorders>
              <w:top w:val="nil"/>
              <w:left w:val="nil"/>
              <w:bottom w:val="single" w:sz="8" w:space="0" w:color="auto"/>
              <w:right w:val="single" w:sz="8" w:space="0" w:color="auto"/>
            </w:tcBorders>
            <w:shd w:val="clear" w:color="auto" w:fill="auto"/>
            <w:noWrap/>
            <w:vAlign w:val="center"/>
          </w:tcPr>
          <w:p w14:paraId="167B869C" w14:textId="77777777" w:rsidR="00B34B4A" w:rsidRPr="00F17D88" w:rsidRDefault="000F5B51">
            <w:pPr>
              <w:spacing w:after="0" w:line="240" w:lineRule="auto"/>
              <w:jc w:val="center"/>
              <w:rPr>
                <w:rFonts w:eastAsia="Times New Roman" w:cs="Times New Roman"/>
                <w:color w:val="000000"/>
                <w:szCs w:val="24"/>
              </w:rPr>
            </w:pPr>
            <w:r w:rsidRPr="00193E89">
              <w:t>1,2</w:t>
            </w:r>
            <w:r w:rsidR="00796552">
              <w:t>90</w:t>
            </w:r>
          </w:p>
        </w:tc>
        <w:tc>
          <w:tcPr>
            <w:tcW w:w="1768" w:type="dxa"/>
            <w:tcBorders>
              <w:top w:val="nil"/>
              <w:left w:val="nil"/>
              <w:bottom w:val="single" w:sz="8" w:space="0" w:color="auto"/>
              <w:right w:val="single" w:sz="8" w:space="0" w:color="auto"/>
            </w:tcBorders>
            <w:shd w:val="clear" w:color="auto" w:fill="auto"/>
            <w:vAlign w:val="center"/>
          </w:tcPr>
          <w:p w14:paraId="1BE7D21C" w14:textId="77777777" w:rsidR="00B34B4A" w:rsidRPr="00F17D88" w:rsidRDefault="000F5B51">
            <w:pPr>
              <w:spacing w:after="0" w:line="240" w:lineRule="auto"/>
              <w:jc w:val="center"/>
              <w:rPr>
                <w:rFonts w:eastAsia="Times New Roman" w:cs="Times New Roman"/>
                <w:color w:val="000000"/>
                <w:szCs w:val="24"/>
              </w:rPr>
            </w:pPr>
            <w:r w:rsidRPr="00193E89">
              <w:t>2,07</w:t>
            </w:r>
            <w:r w:rsidR="00796552">
              <w:t>1</w:t>
            </w:r>
          </w:p>
        </w:tc>
      </w:tr>
      <w:tr w:rsidR="00A15C2C" w14:paraId="45E7B525" w14:textId="77777777" w:rsidTr="00B34B4A">
        <w:trPr>
          <w:trHeight w:val="336"/>
        </w:trPr>
        <w:tc>
          <w:tcPr>
            <w:tcW w:w="1890" w:type="dxa"/>
            <w:vMerge/>
            <w:tcBorders>
              <w:top w:val="nil"/>
              <w:left w:val="single" w:sz="8" w:space="0" w:color="auto"/>
              <w:bottom w:val="single" w:sz="8" w:space="0" w:color="000000"/>
              <w:right w:val="single" w:sz="8" w:space="0" w:color="auto"/>
            </w:tcBorders>
            <w:vAlign w:val="center"/>
            <w:hideMark/>
          </w:tcPr>
          <w:p w14:paraId="3212256C" w14:textId="77777777" w:rsidR="00B34B4A" w:rsidRPr="00F17D88" w:rsidRDefault="00B34B4A" w:rsidP="00B34B4A">
            <w:pPr>
              <w:spacing w:after="0" w:line="240" w:lineRule="auto"/>
              <w:rPr>
                <w:rFonts w:eastAsia="Times New Roman" w:cs="Times New Roman"/>
                <w:b/>
                <w:bCs/>
                <w:color w:val="000000"/>
                <w:szCs w:val="24"/>
              </w:rPr>
            </w:pPr>
          </w:p>
        </w:tc>
        <w:tc>
          <w:tcPr>
            <w:tcW w:w="1890" w:type="dxa"/>
            <w:tcBorders>
              <w:top w:val="nil"/>
              <w:left w:val="nil"/>
              <w:bottom w:val="single" w:sz="8" w:space="0" w:color="auto"/>
              <w:right w:val="single" w:sz="8" w:space="0" w:color="auto"/>
            </w:tcBorders>
            <w:shd w:val="clear" w:color="auto" w:fill="auto"/>
            <w:noWrap/>
            <w:vAlign w:val="center"/>
            <w:hideMark/>
          </w:tcPr>
          <w:p w14:paraId="7D327187" w14:textId="77777777" w:rsidR="00B34B4A" w:rsidRPr="00F17D88" w:rsidRDefault="000F5B51" w:rsidP="00B34B4A">
            <w:pPr>
              <w:spacing w:after="0" w:line="240" w:lineRule="auto"/>
              <w:jc w:val="center"/>
              <w:rPr>
                <w:rFonts w:eastAsia="Times New Roman" w:cs="Times New Roman"/>
                <w:color w:val="000000"/>
                <w:szCs w:val="24"/>
              </w:rPr>
            </w:pPr>
            <w:r w:rsidRPr="00F17D88">
              <w:rPr>
                <w:rFonts w:eastAsia="Times New Roman" w:cs="Times New Roman"/>
                <w:color w:val="000000"/>
                <w:szCs w:val="24"/>
              </w:rPr>
              <w:t>Front</w:t>
            </w:r>
          </w:p>
        </w:tc>
        <w:tc>
          <w:tcPr>
            <w:tcW w:w="1890" w:type="dxa"/>
            <w:tcBorders>
              <w:top w:val="nil"/>
              <w:left w:val="nil"/>
              <w:bottom w:val="single" w:sz="8" w:space="0" w:color="auto"/>
              <w:right w:val="single" w:sz="8" w:space="0" w:color="auto"/>
            </w:tcBorders>
            <w:shd w:val="clear" w:color="auto" w:fill="auto"/>
            <w:noWrap/>
            <w:vAlign w:val="center"/>
          </w:tcPr>
          <w:p w14:paraId="133A4B52" w14:textId="77777777" w:rsidR="00B34B4A" w:rsidRPr="00F17D88" w:rsidRDefault="000F5B51">
            <w:pPr>
              <w:spacing w:after="0" w:line="240" w:lineRule="auto"/>
              <w:jc w:val="center"/>
              <w:rPr>
                <w:rFonts w:eastAsia="Times New Roman" w:cs="Times New Roman"/>
                <w:color w:val="000000"/>
                <w:szCs w:val="24"/>
              </w:rPr>
            </w:pPr>
            <w:r w:rsidRPr="00193E89">
              <w:t>2,304</w:t>
            </w:r>
          </w:p>
        </w:tc>
        <w:tc>
          <w:tcPr>
            <w:tcW w:w="2013" w:type="dxa"/>
            <w:tcBorders>
              <w:top w:val="nil"/>
              <w:left w:val="nil"/>
              <w:bottom w:val="single" w:sz="8" w:space="0" w:color="auto"/>
              <w:right w:val="single" w:sz="8" w:space="0" w:color="auto"/>
            </w:tcBorders>
            <w:shd w:val="clear" w:color="auto" w:fill="auto"/>
            <w:noWrap/>
            <w:vAlign w:val="center"/>
          </w:tcPr>
          <w:p w14:paraId="3E684542" w14:textId="77777777" w:rsidR="00B34B4A" w:rsidRPr="00F17D88" w:rsidRDefault="000F5B51">
            <w:pPr>
              <w:spacing w:after="0" w:line="240" w:lineRule="auto"/>
              <w:jc w:val="center"/>
              <w:rPr>
                <w:rFonts w:eastAsia="Times New Roman" w:cs="Times New Roman"/>
                <w:color w:val="000000"/>
                <w:szCs w:val="24"/>
              </w:rPr>
            </w:pPr>
            <w:r w:rsidRPr="00193E89">
              <w:t>1,634</w:t>
            </w:r>
          </w:p>
        </w:tc>
        <w:tc>
          <w:tcPr>
            <w:tcW w:w="1768" w:type="dxa"/>
            <w:tcBorders>
              <w:top w:val="nil"/>
              <w:left w:val="nil"/>
              <w:bottom w:val="single" w:sz="8" w:space="0" w:color="auto"/>
              <w:right w:val="single" w:sz="8" w:space="0" w:color="auto"/>
            </w:tcBorders>
            <w:shd w:val="clear" w:color="auto" w:fill="auto"/>
            <w:vAlign w:val="center"/>
          </w:tcPr>
          <w:p w14:paraId="4135BEDB" w14:textId="77777777" w:rsidR="00B34B4A" w:rsidRPr="00F17D88" w:rsidRDefault="000F5B51">
            <w:pPr>
              <w:spacing w:after="0" w:line="240" w:lineRule="auto"/>
              <w:jc w:val="center"/>
              <w:rPr>
                <w:rFonts w:eastAsia="Times New Roman" w:cs="Times New Roman"/>
                <w:color w:val="000000"/>
                <w:szCs w:val="24"/>
              </w:rPr>
            </w:pPr>
            <w:r w:rsidRPr="00193E89">
              <w:t>3,938</w:t>
            </w:r>
          </w:p>
        </w:tc>
      </w:tr>
      <w:tr w:rsidR="00A15C2C" w14:paraId="3BA1C2EE" w14:textId="77777777" w:rsidTr="00B34B4A">
        <w:trPr>
          <w:trHeight w:val="336"/>
        </w:trPr>
        <w:tc>
          <w:tcPr>
            <w:tcW w:w="1890" w:type="dxa"/>
            <w:vMerge/>
            <w:tcBorders>
              <w:top w:val="nil"/>
              <w:left w:val="single" w:sz="8" w:space="0" w:color="auto"/>
              <w:bottom w:val="single" w:sz="8" w:space="0" w:color="000000"/>
              <w:right w:val="single" w:sz="8" w:space="0" w:color="auto"/>
            </w:tcBorders>
            <w:vAlign w:val="center"/>
            <w:hideMark/>
          </w:tcPr>
          <w:p w14:paraId="651D2142" w14:textId="77777777" w:rsidR="00B34B4A" w:rsidRPr="00F17D88" w:rsidRDefault="00B34B4A" w:rsidP="00B34B4A">
            <w:pPr>
              <w:spacing w:after="0" w:line="240" w:lineRule="auto"/>
              <w:rPr>
                <w:rFonts w:eastAsia="Times New Roman" w:cs="Times New Roman"/>
                <w:b/>
                <w:bCs/>
                <w:color w:val="000000"/>
                <w:szCs w:val="24"/>
              </w:rPr>
            </w:pPr>
          </w:p>
        </w:tc>
        <w:tc>
          <w:tcPr>
            <w:tcW w:w="1890" w:type="dxa"/>
            <w:tcBorders>
              <w:top w:val="nil"/>
              <w:left w:val="nil"/>
              <w:bottom w:val="single" w:sz="8" w:space="0" w:color="auto"/>
              <w:right w:val="single" w:sz="8" w:space="0" w:color="auto"/>
            </w:tcBorders>
            <w:shd w:val="clear" w:color="auto" w:fill="auto"/>
            <w:noWrap/>
            <w:vAlign w:val="center"/>
            <w:hideMark/>
          </w:tcPr>
          <w:p w14:paraId="2991D27F" w14:textId="77777777" w:rsidR="00B34B4A" w:rsidRPr="00F17D88" w:rsidRDefault="000F5B51" w:rsidP="00B34B4A">
            <w:pPr>
              <w:spacing w:after="0" w:line="240" w:lineRule="auto"/>
              <w:jc w:val="center"/>
              <w:rPr>
                <w:rFonts w:eastAsia="Times New Roman" w:cs="Times New Roman"/>
                <w:color w:val="000000"/>
                <w:szCs w:val="24"/>
              </w:rPr>
            </w:pPr>
            <w:r w:rsidRPr="00F17D88">
              <w:rPr>
                <w:rFonts w:eastAsia="Times New Roman" w:cs="Times New Roman"/>
                <w:color w:val="000000"/>
                <w:szCs w:val="24"/>
              </w:rPr>
              <w:t>Side</w:t>
            </w:r>
          </w:p>
        </w:tc>
        <w:tc>
          <w:tcPr>
            <w:tcW w:w="1890" w:type="dxa"/>
            <w:tcBorders>
              <w:top w:val="nil"/>
              <w:left w:val="nil"/>
              <w:bottom w:val="single" w:sz="8" w:space="0" w:color="auto"/>
              <w:right w:val="single" w:sz="8" w:space="0" w:color="auto"/>
            </w:tcBorders>
            <w:shd w:val="clear" w:color="auto" w:fill="auto"/>
            <w:noWrap/>
            <w:vAlign w:val="center"/>
          </w:tcPr>
          <w:p w14:paraId="5A450CBB" w14:textId="77777777" w:rsidR="00B34B4A" w:rsidRPr="00F17D88" w:rsidRDefault="000F5B51">
            <w:pPr>
              <w:spacing w:after="0" w:line="240" w:lineRule="auto"/>
              <w:jc w:val="center"/>
              <w:rPr>
                <w:rFonts w:eastAsia="Times New Roman" w:cs="Times New Roman"/>
                <w:color w:val="000000"/>
                <w:szCs w:val="24"/>
              </w:rPr>
            </w:pPr>
            <w:r w:rsidRPr="00193E89">
              <w:t>1,561</w:t>
            </w:r>
          </w:p>
        </w:tc>
        <w:tc>
          <w:tcPr>
            <w:tcW w:w="2013" w:type="dxa"/>
            <w:tcBorders>
              <w:top w:val="nil"/>
              <w:left w:val="nil"/>
              <w:bottom w:val="single" w:sz="8" w:space="0" w:color="auto"/>
              <w:right w:val="single" w:sz="8" w:space="0" w:color="auto"/>
            </w:tcBorders>
            <w:shd w:val="clear" w:color="auto" w:fill="auto"/>
            <w:noWrap/>
            <w:vAlign w:val="center"/>
          </w:tcPr>
          <w:p w14:paraId="26063D6C" w14:textId="77777777" w:rsidR="00B34B4A" w:rsidRPr="00F17D88" w:rsidRDefault="000F5B51">
            <w:pPr>
              <w:spacing w:after="0" w:line="240" w:lineRule="auto"/>
              <w:jc w:val="center"/>
              <w:rPr>
                <w:rFonts w:eastAsia="Times New Roman" w:cs="Times New Roman"/>
                <w:color w:val="000000"/>
                <w:szCs w:val="24"/>
              </w:rPr>
            </w:pPr>
            <w:r w:rsidRPr="00193E89">
              <w:t>667</w:t>
            </w:r>
          </w:p>
        </w:tc>
        <w:tc>
          <w:tcPr>
            <w:tcW w:w="1768" w:type="dxa"/>
            <w:tcBorders>
              <w:top w:val="nil"/>
              <w:left w:val="nil"/>
              <w:bottom w:val="single" w:sz="8" w:space="0" w:color="auto"/>
              <w:right w:val="single" w:sz="8" w:space="0" w:color="auto"/>
            </w:tcBorders>
            <w:shd w:val="clear" w:color="auto" w:fill="auto"/>
            <w:vAlign w:val="center"/>
          </w:tcPr>
          <w:p w14:paraId="586F29C1" w14:textId="77777777" w:rsidR="00B34B4A" w:rsidRPr="00F17D88" w:rsidRDefault="000F5B51">
            <w:pPr>
              <w:spacing w:after="0" w:line="240" w:lineRule="auto"/>
              <w:jc w:val="center"/>
              <w:rPr>
                <w:rFonts w:eastAsia="Times New Roman" w:cs="Times New Roman"/>
                <w:color w:val="000000"/>
                <w:szCs w:val="24"/>
              </w:rPr>
            </w:pPr>
            <w:r w:rsidRPr="00193E89">
              <w:t>2,228</w:t>
            </w:r>
          </w:p>
        </w:tc>
      </w:tr>
      <w:tr w:rsidR="00A15C2C" w14:paraId="74372B7F" w14:textId="77777777" w:rsidTr="00B34B4A">
        <w:trPr>
          <w:trHeight w:val="336"/>
        </w:trPr>
        <w:tc>
          <w:tcPr>
            <w:tcW w:w="1890" w:type="dxa"/>
            <w:vMerge/>
            <w:tcBorders>
              <w:top w:val="nil"/>
              <w:left w:val="single" w:sz="8" w:space="0" w:color="auto"/>
              <w:bottom w:val="single" w:sz="8" w:space="0" w:color="000000"/>
              <w:right w:val="single" w:sz="8" w:space="0" w:color="auto"/>
            </w:tcBorders>
            <w:vAlign w:val="center"/>
            <w:hideMark/>
          </w:tcPr>
          <w:p w14:paraId="47BFFAEE" w14:textId="77777777" w:rsidR="00B34B4A" w:rsidRPr="00F17D88" w:rsidRDefault="00B34B4A" w:rsidP="00B34B4A">
            <w:pPr>
              <w:spacing w:after="0" w:line="240" w:lineRule="auto"/>
              <w:rPr>
                <w:rFonts w:eastAsia="Times New Roman" w:cs="Times New Roman"/>
                <w:b/>
                <w:bCs/>
                <w:color w:val="000000"/>
                <w:szCs w:val="24"/>
              </w:rPr>
            </w:pPr>
          </w:p>
        </w:tc>
        <w:tc>
          <w:tcPr>
            <w:tcW w:w="1890" w:type="dxa"/>
            <w:tcBorders>
              <w:top w:val="nil"/>
              <w:left w:val="nil"/>
              <w:bottom w:val="single" w:sz="8" w:space="0" w:color="auto"/>
              <w:right w:val="single" w:sz="8" w:space="0" w:color="auto"/>
            </w:tcBorders>
            <w:shd w:val="clear" w:color="auto" w:fill="auto"/>
            <w:noWrap/>
            <w:vAlign w:val="center"/>
            <w:hideMark/>
          </w:tcPr>
          <w:p w14:paraId="2B0A4777" w14:textId="77777777" w:rsidR="00B34B4A" w:rsidRPr="00F17D88" w:rsidRDefault="000F5B51" w:rsidP="00B34B4A">
            <w:pPr>
              <w:spacing w:after="0" w:line="240" w:lineRule="auto"/>
              <w:jc w:val="center"/>
              <w:rPr>
                <w:rFonts w:eastAsia="Times New Roman" w:cs="Times New Roman"/>
                <w:color w:val="000000"/>
                <w:szCs w:val="24"/>
              </w:rPr>
            </w:pPr>
            <w:r w:rsidRPr="00F17D88">
              <w:rPr>
                <w:rFonts w:eastAsia="Times New Roman" w:cs="Times New Roman"/>
                <w:color w:val="000000"/>
                <w:szCs w:val="24"/>
              </w:rPr>
              <w:t>Rear</w:t>
            </w:r>
          </w:p>
        </w:tc>
        <w:tc>
          <w:tcPr>
            <w:tcW w:w="1890" w:type="dxa"/>
            <w:tcBorders>
              <w:top w:val="nil"/>
              <w:left w:val="nil"/>
              <w:bottom w:val="single" w:sz="8" w:space="0" w:color="auto"/>
              <w:right w:val="single" w:sz="8" w:space="0" w:color="auto"/>
            </w:tcBorders>
            <w:shd w:val="clear" w:color="auto" w:fill="auto"/>
            <w:noWrap/>
            <w:vAlign w:val="center"/>
          </w:tcPr>
          <w:p w14:paraId="44647340" w14:textId="77777777" w:rsidR="00B34B4A" w:rsidRPr="00F17D88" w:rsidRDefault="000F5B51">
            <w:pPr>
              <w:spacing w:after="0" w:line="240" w:lineRule="auto"/>
              <w:jc w:val="center"/>
              <w:rPr>
                <w:rFonts w:eastAsia="Times New Roman" w:cs="Times New Roman"/>
                <w:color w:val="000000"/>
                <w:szCs w:val="24"/>
              </w:rPr>
            </w:pPr>
            <w:r w:rsidRPr="00193E89">
              <w:t>255</w:t>
            </w:r>
          </w:p>
        </w:tc>
        <w:tc>
          <w:tcPr>
            <w:tcW w:w="2013" w:type="dxa"/>
            <w:tcBorders>
              <w:top w:val="nil"/>
              <w:left w:val="nil"/>
              <w:bottom w:val="single" w:sz="8" w:space="0" w:color="auto"/>
              <w:right w:val="single" w:sz="8" w:space="0" w:color="auto"/>
            </w:tcBorders>
            <w:shd w:val="clear" w:color="auto" w:fill="auto"/>
            <w:noWrap/>
            <w:vAlign w:val="center"/>
          </w:tcPr>
          <w:p w14:paraId="5CA641FA" w14:textId="77777777" w:rsidR="00B34B4A" w:rsidRPr="00F17D88" w:rsidRDefault="000F5B51">
            <w:pPr>
              <w:spacing w:after="0" w:line="240" w:lineRule="auto"/>
              <w:jc w:val="center"/>
              <w:rPr>
                <w:rFonts w:eastAsia="Times New Roman" w:cs="Times New Roman"/>
                <w:color w:val="000000"/>
                <w:szCs w:val="24"/>
              </w:rPr>
            </w:pPr>
            <w:r w:rsidRPr="00193E89">
              <w:t>105</w:t>
            </w:r>
          </w:p>
        </w:tc>
        <w:tc>
          <w:tcPr>
            <w:tcW w:w="1768" w:type="dxa"/>
            <w:tcBorders>
              <w:top w:val="nil"/>
              <w:left w:val="nil"/>
              <w:bottom w:val="single" w:sz="8" w:space="0" w:color="auto"/>
              <w:right w:val="single" w:sz="8" w:space="0" w:color="auto"/>
            </w:tcBorders>
            <w:shd w:val="clear" w:color="auto" w:fill="auto"/>
            <w:vAlign w:val="center"/>
          </w:tcPr>
          <w:p w14:paraId="713E0AF4" w14:textId="77777777" w:rsidR="00B34B4A" w:rsidRPr="00F17D88" w:rsidRDefault="000F5B51">
            <w:pPr>
              <w:spacing w:after="0" w:line="240" w:lineRule="auto"/>
              <w:jc w:val="center"/>
              <w:rPr>
                <w:rFonts w:eastAsia="Times New Roman" w:cs="Times New Roman"/>
                <w:color w:val="000000"/>
                <w:szCs w:val="24"/>
              </w:rPr>
            </w:pPr>
            <w:r w:rsidRPr="00193E89">
              <w:t>360</w:t>
            </w:r>
          </w:p>
        </w:tc>
      </w:tr>
      <w:tr w:rsidR="00A15C2C" w14:paraId="19D6EA5A" w14:textId="77777777" w:rsidTr="00B34B4A">
        <w:trPr>
          <w:trHeight w:val="325"/>
        </w:trPr>
        <w:tc>
          <w:tcPr>
            <w:tcW w:w="1890" w:type="dxa"/>
            <w:vMerge/>
            <w:tcBorders>
              <w:top w:val="nil"/>
              <w:left w:val="single" w:sz="8" w:space="0" w:color="auto"/>
              <w:bottom w:val="single" w:sz="8" w:space="0" w:color="000000"/>
              <w:right w:val="single" w:sz="8" w:space="0" w:color="auto"/>
            </w:tcBorders>
            <w:vAlign w:val="center"/>
            <w:hideMark/>
          </w:tcPr>
          <w:p w14:paraId="038CA6E5" w14:textId="77777777" w:rsidR="00B34B4A" w:rsidRPr="00F17D88" w:rsidRDefault="00B34B4A" w:rsidP="00B34B4A">
            <w:pPr>
              <w:spacing w:after="0" w:line="240" w:lineRule="auto"/>
              <w:rPr>
                <w:rFonts w:eastAsia="Times New Roman" w:cs="Times New Roman"/>
                <w:b/>
                <w:bCs/>
                <w:color w:val="000000"/>
                <w:szCs w:val="24"/>
              </w:rPr>
            </w:pPr>
          </w:p>
        </w:tc>
        <w:tc>
          <w:tcPr>
            <w:tcW w:w="1890" w:type="dxa"/>
            <w:tcBorders>
              <w:top w:val="nil"/>
              <w:left w:val="nil"/>
              <w:bottom w:val="single" w:sz="8" w:space="0" w:color="auto"/>
              <w:right w:val="single" w:sz="8" w:space="0" w:color="auto"/>
            </w:tcBorders>
            <w:shd w:val="clear" w:color="auto" w:fill="auto"/>
            <w:noWrap/>
            <w:vAlign w:val="center"/>
            <w:hideMark/>
          </w:tcPr>
          <w:p w14:paraId="45EB4721" w14:textId="77777777" w:rsidR="00B34B4A" w:rsidRPr="00F17D88" w:rsidRDefault="000F5B51" w:rsidP="00B34B4A">
            <w:pPr>
              <w:spacing w:after="0" w:line="240" w:lineRule="auto"/>
              <w:jc w:val="center"/>
              <w:rPr>
                <w:rFonts w:eastAsia="Times New Roman" w:cs="Times New Roman"/>
                <w:b/>
                <w:bCs/>
                <w:color w:val="000000"/>
                <w:szCs w:val="24"/>
              </w:rPr>
            </w:pPr>
            <w:r w:rsidRPr="00F17D88">
              <w:rPr>
                <w:rFonts w:eastAsia="Times New Roman" w:cs="Times New Roman"/>
                <w:b/>
                <w:bCs/>
                <w:color w:val="000000"/>
                <w:szCs w:val="24"/>
              </w:rPr>
              <w:t>Total</w:t>
            </w:r>
          </w:p>
        </w:tc>
        <w:tc>
          <w:tcPr>
            <w:tcW w:w="1890" w:type="dxa"/>
            <w:tcBorders>
              <w:top w:val="nil"/>
              <w:left w:val="nil"/>
              <w:bottom w:val="single" w:sz="8" w:space="0" w:color="auto"/>
              <w:right w:val="single" w:sz="8" w:space="0" w:color="auto"/>
            </w:tcBorders>
            <w:shd w:val="clear" w:color="auto" w:fill="auto"/>
            <w:noWrap/>
            <w:vAlign w:val="center"/>
          </w:tcPr>
          <w:p w14:paraId="6E148FB5" w14:textId="77777777" w:rsidR="00B34B4A" w:rsidRPr="00B34B4A" w:rsidRDefault="000F5B51">
            <w:pPr>
              <w:spacing w:after="0" w:line="240" w:lineRule="auto"/>
              <w:jc w:val="center"/>
              <w:rPr>
                <w:rFonts w:eastAsia="Times New Roman" w:cs="Times New Roman"/>
                <w:b/>
                <w:color w:val="000000"/>
                <w:szCs w:val="24"/>
              </w:rPr>
            </w:pPr>
            <w:r w:rsidRPr="00617167">
              <w:rPr>
                <w:b/>
                <w:bCs/>
              </w:rPr>
              <w:t>4,</w:t>
            </w:r>
            <w:r w:rsidR="00366709">
              <w:rPr>
                <w:b/>
                <w:bCs/>
              </w:rPr>
              <w:t>895</w:t>
            </w:r>
          </w:p>
        </w:tc>
        <w:tc>
          <w:tcPr>
            <w:tcW w:w="2013" w:type="dxa"/>
            <w:tcBorders>
              <w:top w:val="nil"/>
              <w:left w:val="nil"/>
              <w:bottom w:val="single" w:sz="8" w:space="0" w:color="auto"/>
              <w:right w:val="single" w:sz="8" w:space="0" w:color="auto"/>
            </w:tcBorders>
            <w:shd w:val="clear" w:color="auto" w:fill="auto"/>
            <w:noWrap/>
            <w:vAlign w:val="center"/>
          </w:tcPr>
          <w:p w14:paraId="25DA00FA" w14:textId="49A54B01" w:rsidR="00B34B4A" w:rsidRPr="00B34B4A" w:rsidRDefault="000F5B51">
            <w:pPr>
              <w:spacing w:after="0" w:line="240" w:lineRule="auto"/>
              <w:jc w:val="center"/>
              <w:rPr>
                <w:rFonts w:eastAsia="Times New Roman" w:cs="Times New Roman"/>
                <w:b/>
                <w:color w:val="000000"/>
                <w:szCs w:val="24"/>
              </w:rPr>
            </w:pPr>
            <w:r w:rsidRPr="00617167">
              <w:rPr>
                <w:b/>
                <w:bCs/>
              </w:rPr>
              <w:t>3,</w:t>
            </w:r>
            <w:r w:rsidR="00012166" w:rsidRPr="00617167">
              <w:rPr>
                <w:b/>
                <w:bCs/>
              </w:rPr>
              <w:t>6</w:t>
            </w:r>
            <w:r w:rsidR="00012166">
              <w:rPr>
                <w:b/>
                <w:bCs/>
              </w:rPr>
              <w:t>95</w:t>
            </w:r>
          </w:p>
        </w:tc>
        <w:tc>
          <w:tcPr>
            <w:tcW w:w="1768" w:type="dxa"/>
            <w:tcBorders>
              <w:top w:val="nil"/>
              <w:left w:val="nil"/>
              <w:bottom w:val="single" w:sz="8" w:space="0" w:color="auto"/>
              <w:right w:val="single" w:sz="8" w:space="0" w:color="auto"/>
            </w:tcBorders>
            <w:shd w:val="clear" w:color="auto" w:fill="auto"/>
            <w:vAlign w:val="center"/>
          </w:tcPr>
          <w:p w14:paraId="376431CA" w14:textId="77777777" w:rsidR="00B34B4A" w:rsidRPr="00B34B4A" w:rsidRDefault="000F5B51">
            <w:pPr>
              <w:spacing w:after="0" w:line="240" w:lineRule="auto"/>
              <w:jc w:val="center"/>
              <w:rPr>
                <w:rFonts w:eastAsia="Times New Roman" w:cs="Times New Roman"/>
                <w:b/>
                <w:color w:val="000000"/>
                <w:szCs w:val="24"/>
              </w:rPr>
            </w:pPr>
            <w:r w:rsidRPr="00617167">
              <w:rPr>
                <w:b/>
                <w:bCs/>
              </w:rPr>
              <w:t>8,596</w:t>
            </w:r>
          </w:p>
        </w:tc>
      </w:tr>
      <w:tr w:rsidR="00A15C2C" w14:paraId="7254A5F3" w14:textId="77777777" w:rsidTr="00B34B4A">
        <w:trPr>
          <w:trHeight w:val="336"/>
        </w:trPr>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E93B9C" w14:textId="77777777" w:rsidR="00B34B4A" w:rsidRPr="00F17D88" w:rsidRDefault="000F5B51" w:rsidP="00B34B4A">
            <w:pPr>
              <w:spacing w:after="0" w:line="240" w:lineRule="auto"/>
              <w:rPr>
                <w:rFonts w:eastAsia="Times New Roman" w:cs="Times New Roman"/>
                <w:b/>
                <w:bCs/>
                <w:color w:val="000000"/>
                <w:szCs w:val="24"/>
              </w:rPr>
            </w:pPr>
            <w:r w:rsidRPr="00F17D88">
              <w:rPr>
                <w:rFonts w:eastAsia="Times New Roman" w:cs="Times New Roman"/>
                <w:b/>
                <w:bCs/>
                <w:color w:val="000000"/>
                <w:szCs w:val="24"/>
              </w:rPr>
              <w:t>LTV</w:t>
            </w:r>
          </w:p>
        </w:tc>
        <w:tc>
          <w:tcPr>
            <w:tcW w:w="1890" w:type="dxa"/>
            <w:tcBorders>
              <w:top w:val="nil"/>
              <w:left w:val="nil"/>
              <w:bottom w:val="single" w:sz="8" w:space="0" w:color="auto"/>
              <w:right w:val="single" w:sz="8" w:space="0" w:color="auto"/>
            </w:tcBorders>
            <w:shd w:val="clear" w:color="auto" w:fill="auto"/>
            <w:noWrap/>
            <w:vAlign w:val="center"/>
            <w:hideMark/>
          </w:tcPr>
          <w:p w14:paraId="62A0C35C" w14:textId="77777777" w:rsidR="00B34B4A" w:rsidRPr="00F17D88" w:rsidRDefault="000F5B51" w:rsidP="00B34B4A">
            <w:pPr>
              <w:spacing w:after="0" w:line="240" w:lineRule="auto"/>
              <w:jc w:val="center"/>
              <w:rPr>
                <w:rFonts w:eastAsia="Times New Roman" w:cs="Times New Roman"/>
                <w:color w:val="000000"/>
                <w:szCs w:val="24"/>
              </w:rPr>
            </w:pPr>
            <w:r w:rsidRPr="00F17D88">
              <w:rPr>
                <w:rFonts w:eastAsia="Times New Roman" w:cs="Times New Roman"/>
                <w:color w:val="000000"/>
                <w:szCs w:val="24"/>
              </w:rPr>
              <w:t>Rollover</w:t>
            </w:r>
          </w:p>
        </w:tc>
        <w:tc>
          <w:tcPr>
            <w:tcW w:w="1890" w:type="dxa"/>
            <w:tcBorders>
              <w:top w:val="nil"/>
              <w:left w:val="nil"/>
              <w:bottom w:val="single" w:sz="8" w:space="0" w:color="auto"/>
              <w:right w:val="single" w:sz="8" w:space="0" w:color="auto"/>
            </w:tcBorders>
            <w:shd w:val="clear" w:color="auto" w:fill="auto"/>
            <w:noWrap/>
            <w:vAlign w:val="center"/>
          </w:tcPr>
          <w:p w14:paraId="4C738BA5" w14:textId="77777777" w:rsidR="00B34B4A" w:rsidRPr="00F17D88" w:rsidRDefault="000F5B51">
            <w:pPr>
              <w:spacing w:after="0" w:line="240" w:lineRule="auto"/>
              <w:jc w:val="center"/>
              <w:rPr>
                <w:rFonts w:eastAsia="Times New Roman" w:cs="Times New Roman"/>
                <w:color w:val="000000"/>
                <w:szCs w:val="24"/>
              </w:rPr>
            </w:pPr>
            <w:r w:rsidRPr="00193E89">
              <w:t>93</w:t>
            </w:r>
            <w:r w:rsidR="008E3CA7">
              <w:t>2</w:t>
            </w:r>
          </w:p>
        </w:tc>
        <w:tc>
          <w:tcPr>
            <w:tcW w:w="2013" w:type="dxa"/>
            <w:tcBorders>
              <w:top w:val="nil"/>
              <w:left w:val="nil"/>
              <w:bottom w:val="single" w:sz="8" w:space="0" w:color="auto"/>
              <w:right w:val="single" w:sz="8" w:space="0" w:color="auto"/>
            </w:tcBorders>
            <w:shd w:val="clear" w:color="auto" w:fill="auto"/>
            <w:noWrap/>
            <w:vAlign w:val="center"/>
          </w:tcPr>
          <w:p w14:paraId="07C11003" w14:textId="77777777" w:rsidR="00B34B4A" w:rsidRPr="00F17D88" w:rsidRDefault="000F5B51">
            <w:pPr>
              <w:spacing w:after="0" w:line="240" w:lineRule="auto"/>
              <w:jc w:val="center"/>
              <w:rPr>
                <w:rFonts w:eastAsia="Times New Roman" w:cs="Times New Roman"/>
                <w:color w:val="000000"/>
                <w:szCs w:val="24"/>
              </w:rPr>
            </w:pPr>
            <w:r w:rsidRPr="00193E89">
              <w:t>2,16</w:t>
            </w:r>
            <w:r w:rsidR="008E3CA7">
              <w:t>2</w:t>
            </w:r>
          </w:p>
        </w:tc>
        <w:tc>
          <w:tcPr>
            <w:tcW w:w="1768" w:type="dxa"/>
            <w:tcBorders>
              <w:top w:val="nil"/>
              <w:left w:val="nil"/>
              <w:bottom w:val="single" w:sz="8" w:space="0" w:color="auto"/>
              <w:right w:val="single" w:sz="8" w:space="0" w:color="auto"/>
            </w:tcBorders>
            <w:shd w:val="clear" w:color="auto" w:fill="auto"/>
            <w:vAlign w:val="center"/>
          </w:tcPr>
          <w:p w14:paraId="148FF91E" w14:textId="77777777" w:rsidR="00B34B4A" w:rsidRPr="00F17D88" w:rsidRDefault="000F5B51">
            <w:pPr>
              <w:spacing w:after="0" w:line="240" w:lineRule="auto"/>
              <w:jc w:val="center"/>
              <w:rPr>
                <w:rFonts w:eastAsia="Times New Roman" w:cs="Times New Roman"/>
                <w:color w:val="000000"/>
                <w:szCs w:val="24"/>
              </w:rPr>
            </w:pPr>
            <w:r w:rsidRPr="00193E89">
              <w:t>3,094</w:t>
            </w:r>
          </w:p>
        </w:tc>
      </w:tr>
      <w:tr w:rsidR="00A15C2C" w14:paraId="770BF50D" w14:textId="77777777" w:rsidTr="00B34B4A">
        <w:trPr>
          <w:trHeight w:val="336"/>
        </w:trPr>
        <w:tc>
          <w:tcPr>
            <w:tcW w:w="1890" w:type="dxa"/>
            <w:vMerge/>
            <w:tcBorders>
              <w:top w:val="nil"/>
              <w:left w:val="single" w:sz="8" w:space="0" w:color="auto"/>
              <w:bottom w:val="single" w:sz="8" w:space="0" w:color="000000"/>
              <w:right w:val="single" w:sz="8" w:space="0" w:color="auto"/>
            </w:tcBorders>
            <w:vAlign w:val="center"/>
            <w:hideMark/>
          </w:tcPr>
          <w:p w14:paraId="346F4201" w14:textId="77777777" w:rsidR="00B34B4A" w:rsidRPr="00F17D88" w:rsidRDefault="00B34B4A" w:rsidP="00B34B4A">
            <w:pPr>
              <w:spacing w:after="0" w:line="240" w:lineRule="auto"/>
              <w:rPr>
                <w:rFonts w:eastAsia="Times New Roman" w:cs="Times New Roman"/>
                <w:b/>
                <w:bCs/>
                <w:color w:val="000000"/>
                <w:szCs w:val="24"/>
              </w:rPr>
            </w:pPr>
          </w:p>
        </w:tc>
        <w:tc>
          <w:tcPr>
            <w:tcW w:w="1890" w:type="dxa"/>
            <w:tcBorders>
              <w:top w:val="nil"/>
              <w:left w:val="nil"/>
              <w:bottom w:val="single" w:sz="8" w:space="0" w:color="auto"/>
              <w:right w:val="single" w:sz="8" w:space="0" w:color="auto"/>
            </w:tcBorders>
            <w:shd w:val="clear" w:color="auto" w:fill="auto"/>
            <w:noWrap/>
            <w:vAlign w:val="center"/>
            <w:hideMark/>
          </w:tcPr>
          <w:p w14:paraId="2B43FB67" w14:textId="77777777" w:rsidR="00B34B4A" w:rsidRPr="00F17D88" w:rsidRDefault="000F5B51" w:rsidP="00B34B4A">
            <w:pPr>
              <w:spacing w:after="0" w:line="240" w:lineRule="auto"/>
              <w:jc w:val="center"/>
              <w:rPr>
                <w:rFonts w:eastAsia="Times New Roman" w:cs="Times New Roman"/>
                <w:color w:val="000000"/>
                <w:szCs w:val="24"/>
              </w:rPr>
            </w:pPr>
            <w:r w:rsidRPr="00F17D88">
              <w:rPr>
                <w:rFonts w:eastAsia="Times New Roman" w:cs="Times New Roman"/>
                <w:color w:val="000000"/>
                <w:szCs w:val="24"/>
              </w:rPr>
              <w:t>Front</w:t>
            </w:r>
          </w:p>
        </w:tc>
        <w:tc>
          <w:tcPr>
            <w:tcW w:w="1890" w:type="dxa"/>
            <w:tcBorders>
              <w:top w:val="nil"/>
              <w:left w:val="nil"/>
              <w:bottom w:val="single" w:sz="8" w:space="0" w:color="auto"/>
              <w:right w:val="single" w:sz="8" w:space="0" w:color="auto"/>
            </w:tcBorders>
            <w:shd w:val="clear" w:color="auto" w:fill="auto"/>
            <w:noWrap/>
            <w:vAlign w:val="center"/>
          </w:tcPr>
          <w:p w14:paraId="6A106C7E" w14:textId="77777777" w:rsidR="00B34B4A" w:rsidRPr="00F17D88" w:rsidRDefault="000F5B51">
            <w:pPr>
              <w:spacing w:after="0" w:line="240" w:lineRule="auto"/>
              <w:jc w:val="center"/>
              <w:rPr>
                <w:rFonts w:eastAsia="Times New Roman" w:cs="Times New Roman"/>
                <w:color w:val="000000"/>
                <w:szCs w:val="24"/>
              </w:rPr>
            </w:pPr>
            <w:r w:rsidRPr="00193E89">
              <w:t>1,359</w:t>
            </w:r>
          </w:p>
        </w:tc>
        <w:tc>
          <w:tcPr>
            <w:tcW w:w="2013" w:type="dxa"/>
            <w:tcBorders>
              <w:top w:val="nil"/>
              <w:left w:val="nil"/>
              <w:bottom w:val="single" w:sz="8" w:space="0" w:color="auto"/>
              <w:right w:val="single" w:sz="8" w:space="0" w:color="auto"/>
            </w:tcBorders>
            <w:shd w:val="clear" w:color="auto" w:fill="auto"/>
            <w:noWrap/>
            <w:vAlign w:val="center"/>
          </w:tcPr>
          <w:p w14:paraId="131F01F5" w14:textId="77777777" w:rsidR="00B34B4A" w:rsidRPr="00F17D88" w:rsidRDefault="000F5B51">
            <w:pPr>
              <w:spacing w:after="0" w:line="240" w:lineRule="auto"/>
              <w:jc w:val="center"/>
              <w:rPr>
                <w:rFonts w:eastAsia="Times New Roman" w:cs="Times New Roman"/>
                <w:color w:val="000000"/>
                <w:szCs w:val="24"/>
              </w:rPr>
            </w:pPr>
            <w:r w:rsidRPr="00193E89">
              <w:t>1,253</w:t>
            </w:r>
          </w:p>
        </w:tc>
        <w:tc>
          <w:tcPr>
            <w:tcW w:w="1768" w:type="dxa"/>
            <w:tcBorders>
              <w:top w:val="nil"/>
              <w:left w:val="nil"/>
              <w:bottom w:val="single" w:sz="8" w:space="0" w:color="auto"/>
              <w:right w:val="single" w:sz="8" w:space="0" w:color="auto"/>
            </w:tcBorders>
            <w:shd w:val="clear" w:color="auto" w:fill="auto"/>
            <w:vAlign w:val="center"/>
          </w:tcPr>
          <w:p w14:paraId="279AC1DD" w14:textId="77777777" w:rsidR="00B34B4A" w:rsidRPr="00F17D88" w:rsidRDefault="000F5B51">
            <w:pPr>
              <w:spacing w:after="0" w:line="240" w:lineRule="auto"/>
              <w:jc w:val="center"/>
              <w:rPr>
                <w:rFonts w:eastAsia="Times New Roman" w:cs="Times New Roman"/>
                <w:color w:val="000000"/>
                <w:szCs w:val="24"/>
              </w:rPr>
            </w:pPr>
            <w:r w:rsidRPr="00193E89">
              <w:t>2,612</w:t>
            </w:r>
          </w:p>
        </w:tc>
      </w:tr>
      <w:tr w:rsidR="00A15C2C" w14:paraId="5D5E64DF" w14:textId="77777777" w:rsidTr="00B34B4A">
        <w:trPr>
          <w:trHeight w:val="336"/>
        </w:trPr>
        <w:tc>
          <w:tcPr>
            <w:tcW w:w="1890" w:type="dxa"/>
            <w:vMerge/>
            <w:tcBorders>
              <w:top w:val="nil"/>
              <w:left w:val="single" w:sz="8" w:space="0" w:color="auto"/>
              <w:bottom w:val="single" w:sz="8" w:space="0" w:color="000000"/>
              <w:right w:val="single" w:sz="8" w:space="0" w:color="auto"/>
            </w:tcBorders>
            <w:vAlign w:val="center"/>
            <w:hideMark/>
          </w:tcPr>
          <w:p w14:paraId="20C4F5A7" w14:textId="77777777" w:rsidR="00B34B4A" w:rsidRPr="00F17D88" w:rsidRDefault="00B34B4A" w:rsidP="00B34B4A">
            <w:pPr>
              <w:spacing w:after="0" w:line="240" w:lineRule="auto"/>
              <w:rPr>
                <w:rFonts w:eastAsia="Times New Roman" w:cs="Times New Roman"/>
                <w:b/>
                <w:bCs/>
                <w:color w:val="000000"/>
                <w:szCs w:val="24"/>
              </w:rPr>
            </w:pPr>
          </w:p>
        </w:tc>
        <w:tc>
          <w:tcPr>
            <w:tcW w:w="1890" w:type="dxa"/>
            <w:tcBorders>
              <w:top w:val="nil"/>
              <w:left w:val="nil"/>
              <w:bottom w:val="single" w:sz="8" w:space="0" w:color="auto"/>
              <w:right w:val="single" w:sz="8" w:space="0" w:color="auto"/>
            </w:tcBorders>
            <w:shd w:val="clear" w:color="auto" w:fill="auto"/>
            <w:noWrap/>
            <w:vAlign w:val="center"/>
            <w:hideMark/>
          </w:tcPr>
          <w:p w14:paraId="3F10B9F2" w14:textId="77777777" w:rsidR="00B34B4A" w:rsidRPr="00F17D88" w:rsidRDefault="000F5B51" w:rsidP="00B34B4A">
            <w:pPr>
              <w:spacing w:after="0" w:line="240" w:lineRule="auto"/>
              <w:jc w:val="center"/>
              <w:rPr>
                <w:rFonts w:eastAsia="Times New Roman" w:cs="Times New Roman"/>
                <w:color w:val="000000"/>
                <w:szCs w:val="24"/>
              </w:rPr>
            </w:pPr>
            <w:r w:rsidRPr="00F17D88">
              <w:rPr>
                <w:rFonts w:eastAsia="Times New Roman" w:cs="Times New Roman"/>
                <w:color w:val="000000"/>
                <w:szCs w:val="24"/>
              </w:rPr>
              <w:t>Side</w:t>
            </w:r>
          </w:p>
        </w:tc>
        <w:tc>
          <w:tcPr>
            <w:tcW w:w="1890" w:type="dxa"/>
            <w:tcBorders>
              <w:top w:val="nil"/>
              <w:left w:val="nil"/>
              <w:bottom w:val="single" w:sz="8" w:space="0" w:color="auto"/>
              <w:right w:val="single" w:sz="8" w:space="0" w:color="auto"/>
            </w:tcBorders>
            <w:shd w:val="clear" w:color="auto" w:fill="auto"/>
            <w:noWrap/>
            <w:vAlign w:val="center"/>
          </w:tcPr>
          <w:p w14:paraId="7FBA4E2E" w14:textId="77777777" w:rsidR="00B34B4A" w:rsidRPr="00F17D88" w:rsidRDefault="000F5B51">
            <w:pPr>
              <w:spacing w:after="0" w:line="240" w:lineRule="auto"/>
              <w:jc w:val="center"/>
              <w:rPr>
                <w:rFonts w:eastAsia="Times New Roman" w:cs="Times New Roman"/>
                <w:color w:val="000000"/>
                <w:szCs w:val="24"/>
              </w:rPr>
            </w:pPr>
            <w:r w:rsidRPr="00193E89">
              <w:t>478</w:t>
            </w:r>
          </w:p>
        </w:tc>
        <w:tc>
          <w:tcPr>
            <w:tcW w:w="2013" w:type="dxa"/>
            <w:tcBorders>
              <w:top w:val="nil"/>
              <w:left w:val="nil"/>
              <w:bottom w:val="single" w:sz="8" w:space="0" w:color="auto"/>
              <w:right w:val="single" w:sz="8" w:space="0" w:color="auto"/>
            </w:tcBorders>
            <w:shd w:val="clear" w:color="auto" w:fill="auto"/>
            <w:noWrap/>
            <w:vAlign w:val="center"/>
          </w:tcPr>
          <w:p w14:paraId="29562FAD" w14:textId="77777777" w:rsidR="00B34B4A" w:rsidRPr="00F17D88" w:rsidRDefault="000F5B51">
            <w:pPr>
              <w:spacing w:after="0" w:line="240" w:lineRule="auto"/>
              <w:jc w:val="center"/>
              <w:rPr>
                <w:rFonts w:eastAsia="Times New Roman" w:cs="Times New Roman"/>
                <w:color w:val="000000"/>
                <w:szCs w:val="24"/>
              </w:rPr>
            </w:pPr>
            <w:r w:rsidRPr="00193E89">
              <w:t>344</w:t>
            </w:r>
          </w:p>
        </w:tc>
        <w:tc>
          <w:tcPr>
            <w:tcW w:w="1768" w:type="dxa"/>
            <w:tcBorders>
              <w:top w:val="nil"/>
              <w:left w:val="nil"/>
              <w:bottom w:val="single" w:sz="8" w:space="0" w:color="auto"/>
              <w:right w:val="single" w:sz="8" w:space="0" w:color="auto"/>
            </w:tcBorders>
            <w:shd w:val="clear" w:color="auto" w:fill="auto"/>
            <w:vAlign w:val="center"/>
          </w:tcPr>
          <w:p w14:paraId="6A6FC827" w14:textId="77777777" w:rsidR="00B34B4A" w:rsidRPr="00F17D88" w:rsidRDefault="000F5B51">
            <w:pPr>
              <w:spacing w:after="0" w:line="240" w:lineRule="auto"/>
              <w:jc w:val="center"/>
              <w:rPr>
                <w:rFonts w:eastAsia="Times New Roman" w:cs="Times New Roman"/>
                <w:color w:val="000000"/>
                <w:szCs w:val="24"/>
              </w:rPr>
            </w:pPr>
            <w:r w:rsidRPr="00193E89">
              <w:t>82</w:t>
            </w:r>
            <w:r>
              <w:t>2</w:t>
            </w:r>
          </w:p>
        </w:tc>
      </w:tr>
      <w:tr w:rsidR="00A15C2C" w14:paraId="733CB2BA" w14:textId="77777777" w:rsidTr="00B34B4A">
        <w:trPr>
          <w:trHeight w:val="336"/>
        </w:trPr>
        <w:tc>
          <w:tcPr>
            <w:tcW w:w="1890" w:type="dxa"/>
            <w:vMerge/>
            <w:tcBorders>
              <w:top w:val="nil"/>
              <w:left w:val="single" w:sz="8" w:space="0" w:color="auto"/>
              <w:bottom w:val="single" w:sz="8" w:space="0" w:color="000000"/>
              <w:right w:val="single" w:sz="8" w:space="0" w:color="auto"/>
            </w:tcBorders>
            <w:vAlign w:val="center"/>
            <w:hideMark/>
          </w:tcPr>
          <w:p w14:paraId="09509DA6" w14:textId="77777777" w:rsidR="00B34B4A" w:rsidRPr="00F17D88" w:rsidRDefault="00B34B4A" w:rsidP="00B34B4A">
            <w:pPr>
              <w:spacing w:after="0" w:line="240" w:lineRule="auto"/>
              <w:rPr>
                <w:rFonts w:eastAsia="Times New Roman" w:cs="Times New Roman"/>
                <w:b/>
                <w:bCs/>
                <w:color w:val="000000"/>
                <w:szCs w:val="24"/>
              </w:rPr>
            </w:pPr>
          </w:p>
        </w:tc>
        <w:tc>
          <w:tcPr>
            <w:tcW w:w="1890" w:type="dxa"/>
            <w:tcBorders>
              <w:top w:val="nil"/>
              <w:left w:val="nil"/>
              <w:bottom w:val="single" w:sz="8" w:space="0" w:color="auto"/>
              <w:right w:val="single" w:sz="8" w:space="0" w:color="auto"/>
            </w:tcBorders>
            <w:shd w:val="clear" w:color="auto" w:fill="auto"/>
            <w:noWrap/>
            <w:vAlign w:val="center"/>
            <w:hideMark/>
          </w:tcPr>
          <w:p w14:paraId="74BCAC96" w14:textId="77777777" w:rsidR="00B34B4A" w:rsidRPr="00F17D88" w:rsidRDefault="000F5B51" w:rsidP="00B34B4A">
            <w:pPr>
              <w:spacing w:after="0" w:line="240" w:lineRule="auto"/>
              <w:jc w:val="center"/>
              <w:rPr>
                <w:rFonts w:eastAsia="Times New Roman" w:cs="Times New Roman"/>
                <w:color w:val="000000"/>
                <w:szCs w:val="24"/>
              </w:rPr>
            </w:pPr>
            <w:r w:rsidRPr="00F17D88">
              <w:rPr>
                <w:rFonts w:eastAsia="Times New Roman" w:cs="Times New Roman"/>
                <w:color w:val="000000"/>
                <w:szCs w:val="24"/>
              </w:rPr>
              <w:t>Rear</w:t>
            </w:r>
          </w:p>
        </w:tc>
        <w:tc>
          <w:tcPr>
            <w:tcW w:w="1890" w:type="dxa"/>
            <w:tcBorders>
              <w:top w:val="nil"/>
              <w:left w:val="nil"/>
              <w:bottom w:val="single" w:sz="8" w:space="0" w:color="auto"/>
              <w:right w:val="single" w:sz="8" w:space="0" w:color="auto"/>
            </w:tcBorders>
            <w:shd w:val="clear" w:color="auto" w:fill="auto"/>
            <w:noWrap/>
            <w:vAlign w:val="center"/>
          </w:tcPr>
          <w:p w14:paraId="0535FB0B" w14:textId="77777777" w:rsidR="00B34B4A" w:rsidRPr="00F17D88" w:rsidRDefault="000F5B51">
            <w:pPr>
              <w:spacing w:after="0" w:line="240" w:lineRule="auto"/>
              <w:jc w:val="center"/>
              <w:rPr>
                <w:rFonts w:eastAsia="Times New Roman" w:cs="Times New Roman"/>
                <w:color w:val="000000"/>
                <w:szCs w:val="24"/>
              </w:rPr>
            </w:pPr>
            <w:r w:rsidRPr="00193E89">
              <w:t>84</w:t>
            </w:r>
          </w:p>
        </w:tc>
        <w:tc>
          <w:tcPr>
            <w:tcW w:w="2013" w:type="dxa"/>
            <w:tcBorders>
              <w:top w:val="nil"/>
              <w:left w:val="nil"/>
              <w:bottom w:val="single" w:sz="8" w:space="0" w:color="auto"/>
              <w:right w:val="single" w:sz="8" w:space="0" w:color="auto"/>
            </w:tcBorders>
            <w:shd w:val="clear" w:color="auto" w:fill="auto"/>
            <w:noWrap/>
            <w:vAlign w:val="center"/>
          </w:tcPr>
          <w:p w14:paraId="02EC94EA" w14:textId="77777777" w:rsidR="00B34B4A" w:rsidRPr="00F17D88" w:rsidRDefault="000F5B51">
            <w:pPr>
              <w:spacing w:after="0" w:line="240" w:lineRule="auto"/>
              <w:jc w:val="center"/>
              <w:rPr>
                <w:rFonts w:eastAsia="Times New Roman" w:cs="Times New Roman"/>
                <w:color w:val="000000"/>
                <w:szCs w:val="24"/>
              </w:rPr>
            </w:pPr>
            <w:r w:rsidRPr="00193E89">
              <w:t>48</w:t>
            </w:r>
          </w:p>
        </w:tc>
        <w:tc>
          <w:tcPr>
            <w:tcW w:w="1768" w:type="dxa"/>
            <w:tcBorders>
              <w:top w:val="nil"/>
              <w:left w:val="nil"/>
              <w:bottom w:val="single" w:sz="8" w:space="0" w:color="auto"/>
              <w:right w:val="single" w:sz="8" w:space="0" w:color="auto"/>
            </w:tcBorders>
            <w:shd w:val="clear" w:color="auto" w:fill="auto"/>
            <w:vAlign w:val="center"/>
          </w:tcPr>
          <w:p w14:paraId="49198629" w14:textId="77777777" w:rsidR="00B34B4A" w:rsidRPr="00F17D88" w:rsidRDefault="000F5B51">
            <w:pPr>
              <w:spacing w:after="0" w:line="240" w:lineRule="auto"/>
              <w:jc w:val="center"/>
              <w:rPr>
                <w:rFonts w:eastAsia="Times New Roman" w:cs="Times New Roman"/>
                <w:color w:val="000000"/>
                <w:szCs w:val="24"/>
              </w:rPr>
            </w:pPr>
            <w:r w:rsidRPr="00193E89">
              <w:t>132</w:t>
            </w:r>
          </w:p>
        </w:tc>
      </w:tr>
      <w:tr w:rsidR="00A15C2C" w14:paraId="19D016D0" w14:textId="77777777" w:rsidTr="00B34B4A">
        <w:trPr>
          <w:trHeight w:val="325"/>
        </w:trPr>
        <w:tc>
          <w:tcPr>
            <w:tcW w:w="1890" w:type="dxa"/>
            <w:vMerge/>
            <w:tcBorders>
              <w:top w:val="nil"/>
              <w:left w:val="single" w:sz="8" w:space="0" w:color="auto"/>
              <w:bottom w:val="single" w:sz="8" w:space="0" w:color="000000"/>
              <w:right w:val="single" w:sz="8" w:space="0" w:color="auto"/>
            </w:tcBorders>
            <w:vAlign w:val="center"/>
            <w:hideMark/>
          </w:tcPr>
          <w:p w14:paraId="7AA1869F" w14:textId="77777777" w:rsidR="00B34B4A" w:rsidRPr="00F17D88" w:rsidRDefault="00B34B4A" w:rsidP="00B34B4A">
            <w:pPr>
              <w:spacing w:after="0" w:line="240" w:lineRule="auto"/>
              <w:rPr>
                <w:rFonts w:eastAsia="Times New Roman" w:cs="Times New Roman"/>
                <w:b/>
                <w:bCs/>
                <w:color w:val="000000"/>
                <w:szCs w:val="24"/>
              </w:rPr>
            </w:pPr>
          </w:p>
        </w:tc>
        <w:tc>
          <w:tcPr>
            <w:tcW w:w="1890" w:type="dxa"/>
            <w:tcBorders>
              <w:top w:val="nil"/>
              <w:left w:val="nil"/>
              <w:bottom w:val="single" w:sz="8" w:space="0" w:color="auto"/>
              <w:right w:val="single" w:sz="8" w:space="0" w:color="auto"/>
            </w:tcBorders>
            <w:shd w:val="clear" w:color="auto" w:fill="auto"/>
            <w:noWrap/>
            <w:vAlign w:val="center"/>
            <w:hideMark/>
          </w:tcPr>
          <w:p w14:paraId="21B6881C" w14:textId="77777777" w:rsidR="00B34B4A" w:rsidRPr="00F17D88" w:rsidRDefault="000F5B51" w:rsidP="00B34B4A">
            <w:pPr>
              <w:spacing w:after="0" w:line="240" w:lineRule="auto"/>
              <w:jc w:val="center"/>
              <w:rPr>
                <w:rFonts w:eastAsia="Times New Roman" w:cs="Times New Roman"/>
                <w:b/>
                <w:bCs/>
                <w:color w:val="000000"/>
                <w:szCs w:val="24"/>
              </w:rPr>
            </w:pPr>
            <w:r w:rsidRPr="00F17D88">
              <w:rPr>
                <w:rFonts w:eastAsia="Times New Roman" w:cs="Times New Roman"/>
                <w:b/>
                <w:bCs/>
                <w:color w:val="000000"/>
                <w:szCs w:val="24"/>
              </w:rPr>
              <w:t>Total</w:t>
            </w:r>
          </w:p>
        </w:tc>
        <w:tc>
          <w:tcPr>
            <w:tcW w:w="1890" w:type="dxa"/>
            <w:tcBorders>
              <w:top w:val="nil"/>
              <w:left w:val="nil"/>
              <w:bottom w:val="single" w:sz="8" w:space="0" w:color="auto"/>
              <w:right w:val="single" w:sz="8" w:space="0" w:color="auto"/>
            </w:tcBorders>
            <w:shd w:val="clear" w:color="auto" w:fill="auto"/>
            <w:noWrap/>
            <w:vAlign w:val="center"/>
          </w:tcPr>
          <w:p w14:paraId="729067DF" w14:textId="77777777" w:rsidR="00B34B4A" w:rsidRPr="00B34B4A" w:rsidRDefault="000F5B51">
            <w:pPr>
              <w:spacing w:after="0" w:line="240" w:lineRule="auto"/>
              <w:jc w:val="center"/>
              <w:rPr>
                <w:rFonts w:eastAsia="Times New Roman" w:cs="Times New Roman"/>
                <w:b/>
                <w:color w:val="000000"/>
                <w:szCs w:val="24"/>
              </w:rPr>
            </w:pPr>
            <w:r w:rsidRPr="00617167">
              <w:rPr>
                <w:b/>
                <w:bCs/>
              </w:rPr>
              <w:t>2,8</w:t>
            </w:r>
            <w:r w:rsidR="00CC73C4">
              <w:rPr>
                <w:b/>
                <w:bCs/>
              </w:rPr>
              <w:t>37</w:t>
            </w:r>
          </w:p>
        </w:tc>
        <w:tc>
          <w:tcPr>
            <w:tcW w:w="2013" w:type="dxa"/>
            <w:tcBorders>
              <w:top w:val="nil"/>
              <w:left w:val="nil"/>
              <w:bottom w:val="single" w:sz="8" w:space="0" w:color="auto"/>
              <w:right w:val="single" w:sz="8" w:space="0" w:color="auto"/>
            </w:tcBorders>
            <w:shd w:val="clear" w:color="auto" w:fill="auto"/>
            <w:noWrap/>
            <w:vAlign w:val="center"/>
          </w:tcPr>
          <w:p w14:paraId="28EDBDB7" w14:textId="77777777" w:rsidR="00B34B4A" w:rsidRPr="00B34B4A" w:rsidRDefault="000F5B51">
            <w:pPr>
              <w:spacing w:after="0" w:line="240" w:lineRule="auto"/>
              <w:jc w:val="center"/>
              <w:rPr>
                <w:rFonts w:eastAsia="Times New Roman" w:cs="Times New Roman"/>
                <w:b/>
                <w:color w:val="000000"/>
                <w:szCs w:val="24"/>
              </w:rPr>
            </w:pPr>
            <w:r w:rsidRPr="00617167">
              <w:rPr>
                <w:b/>
                <w:bCs/>
              </w:rPr>
              <w:t>3,</w:t>
            </w:r>
            <w:r w:rsidR="00CC73C4" w:rsidRPr="00617167">
              <w:rPr>
                <w:b/>
                <w:bCs/>
              </w:rPr>
              <w:t>8</w:t>
            </w:r>
            <w:r w:rsidR="00CC73C4">
              <w:rPr>
                <w:b/>
                <w:bCs/>
              </w:rPr>
              <w:t>24</w:t>
            </w:r>
          </w:p>
        </w:tc>
        <w:tc>
          <w:tcPr>
            <w:tcW w:w="1768" w:type="dxa"/>
            <w:tcBorders>
              <w:top w:val="nil"/>
              <w:left w:val="nil"/>
              <w:bottom w:val="single" w:sz="8" w:space="0" w:color="auto"/>
              <w:right w:val="single" w:sz="8" w:space="0" w:color="auto"/>
            </w:tcBorders>
            <w:shd w:val="clear" w:color="auto" w:fill="auto"/>
            <w:vAlign w:val="center"/>
          </w:tcPr>
          <w:p w14:paraId="4393D7F1" w14:textId="77777777" w:rsidR="00B34B4A" w:rsidRPr="00B34B4A" w:rsidRDefault="000F5B51">
            <w:pPr>
              <w:spacing w:after="0" w:line="240" w:lineRule="auto"/>
              <w:jc w:val="center"/>
              <w:rPr>
                <w:rFonts w:eastAsia="Times New Roman" w:cs="Times New Roman"/>
                <w:b/>
                <w:color w:val="000000"/>
                <w:szCs w:val="24"/>
              </w:rPr>
            </w:pPr>
            <w:r w:rsidRPr="00617167">
              <w:rPr>
                <w:b/>
                <w:bCs/>
              </w:rPr>
              <w:t>6,</w:t>
            </w:r>
            <w:r w:rsidR="00CC73C4" w:rsidRPr="00617167">
              <w:rPr>
                <w:b/>
                <w:bCs/>
              </w:rPr>
              <w:t>66</w:t>
            </w:r>
            <w:r w:rsidR="00CC73C4">
              <w:rPr>
                <w:b/>
                <w:bCs/>
              </w:rPr>
              <w:t>1</w:t>
            </w:r>
          </w:p>
        </w:tc>
      </w:tr>
    </w:tbl>
    <w:p w14:paraId="5F07F05E" w14:textId="77777777" w:rsidR="0086647D" w:rsidRDefault="0086647D" w:rsidP="00617167">
      <w:pPr>
        <w:pStyle w:val="NoSpaceTimes"/>
      </w:pPr>
    </w:p>
    <w:p w14:paraId="4E9D38F0" w14:textId="47183397" w:rsidR="00815ECD" w:rsidRDefault="000F5B51" w:rsidP="00815ECD">
      <w:pPr>
        <w:pStyle w:val="Caption"/>
      </w:pPr>
      <w:bookmarkStart w:id="2054" w:name="_Ref127275589"/>
      <w:r>
        <w:t>T</w:t>
      </w:r>
      <w:r w:rsidRPr="009D4B71">
        <w:rPr>
          <w:rStyle w:val="CaptionChar"/>
        </w:rPr>
        <w:t xml:space="preserve">able </w:t>
      </w:r>
      <w:r w:rsidRPr="009D4B71">
        <w:rPr>
          <w:rStyle w:val="CaptionChar"/>
        </w:rPr>
        <w:fldChar w:fldCharType="begin"/>
      </w:r>
      <w:r w:rsidRPr="009D4B71">
        <w:rPr>
          <w:rStyle w:val="CaptionChar"/>
        </w:rPr>
        <w:instrText xml:space="preserve"> SEQ Table \* ARABIC </w:instrText>
      </w:r>
      <w:r w:rsidRPr="009D4B71">
        <w:rPr>
          <w:rStyle w:val="CaptionChar"/>
        </w:rPr>
        <w:fldChar w:fldCharType="separate"/>
      </w:r>
      <w:r w:rsidR="00A65CB3">
        <w:rPr>
          <w:rStyle w:val="CaptionChar"/>
          <w:noProof/>
        </w:rPr>
        <w:t>125</w:t>
      </w:r>
      <w:r w:rsidRPr="009D4B71">
        <w:rPr>
          <w:rStyle w:val="CaptionChar"/>
        </w:rPr>
        <w:fldChar w:fldCharType="end"/>
      </w:r>
      <w:bookmarkEnd w:id="2054"/>
      <w:r w:rsidRPr="009D4B71">
        <w:rPr>
          <w:rStyle w:val="CaptionChar"/>
        </w:rPr>
        <w:t xml:space="preserve">: Unadjusted </w:t>
      </w:r>
      <w:r>
        <w:rPr>
          <w:rStyle w:val="CaptionChar"/>
        </w:rPr>
        <w:t>Target Population for Right Front Seat Occupants</w:t>
      </w:r>
      <w:r w:rsidRPr="009D4B71">
        <w:rPr>
          <w:rStyle w:val="CaptionChar"/>
        </w:rPr>
        <w:t xml:space="preserve"> </w:t>
      </w:r>
    </w:p>
    <w:tbl>
      <w:tblPr>
        <w:tblW w:w="9451" w:type="dxa"/>
        <w:tblLook w:val="04A0" w:firstRow="1" w:lastRow="0" w:firstColumn="1" w:lastColumn="0" w:noHBand="0" w:noVBand="1"/>
      </w:tblPr>
      <w:tblGrid>
        <w:gridCol w:w="1890"/>
        <w:gridCol w:w="1890"/>
        <w:gridCol w:w="1890"/>
        <w:gridCol w:w="2013"/>
        <w:gridCol w:w="1768"/>
      </w:tblGrid>
      <w:tr w:rsidR="00A15C2C" w14:paraId="3FACF4A9" w14:textId="77777777" w:rsidTr="00A807D0">
        <w:trPr>
          <w:trHeight w:val="325"/>
        </w:trPr>
        <w:tc>
          <w:tcPr>
            <w:tcW w:w="189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09E3385" w14:textId="77777777" w:rsidR="0086647D" w:rsidRPr="00F17D88" w:rsidRDefault="000F5B51" w:rsidP="00A807D0">
            <w:pPr>
              <w:spacing w:after="0" w:line="240" w:lineRule="auto"/>
              <w:rPr>
                <w:rFonts w:eastAsia="Times New Roman" w:cs="Times New Roman"/>
                <w:b/>
                <w:bCs/>
                <w:color w:val="000000"/>
                <w:szCs w:val="24"/>
              </w:rPr>
            </w:pPr>
            <w:r w:rsidRPr="00F17D88">
              <w:rPr>
                <w:rFonts w:eastAsia="Times New Roman" w:cs="Times New Roman"/>
                <w:b/>
                <w:bCs/>
                <w:color w:val="000000"/>
                <w:szCs w:val="24"/>
              </w:rPr>
              <w:t>Vehicle Type</w:t>
            </w:r>
          </w:p>
        </w:tc>
        <w:tc>
          <w:tcPr>
            <w:tcW w:w="1890" w:type="dxa"/>
            <w:tcBorders>
              <w:top w:val="single" w:sz="8" w:space="0" w:color="auto"/>
              <w:left w:val="nil"/>
              <w:bottom w:val="single" w:sz="8" w:space="0" w:color="auto"/>
              <w:right w:val="single" w:sz="8" w:space="0" w:color="auto"/>
            </w:tcBorders>
            <w:shd w:val="clear" w:color="000000" w:fill="D9D9D9"/>
            <w:noWrap/>
            <w:vAlign w:val="center"/>
            <w:hideMark/>
          </w:tcPr>
          <w:p w14:paraId="502B311C" w14:textId="77777777" w:rsidR="0086647D" w:rsidRPr="00F17D88" w:rsidRDefault="000F5B51" w:rsidP="00A807D0">
            <w:pPr>
              <w:spacing w:after="0" w:line="240" w:lineRule="auto"/>
              <w:jc w:val="center"/>
              <w:rPr>
                <w:rFonts w:eastAsia="Times New Roman" w:cs="Times New Roman"/>
                <w:b/>
                <w:bCs/>
                <w:color w:val="000000"/>
                <w:szCs w:val="24"/>
              </w:rPr>
            </w:pPr>
            <w:r w:rsidRPr="00F17D88">
              <w:rPr>
                <w:rFonts w:eastAsia="Times New Roman" w:cs="Times New Roman"/>
                <w:b/>
                <w:bCs/>
                <w:color w:val="000000"/>
                <w:szCs w:val="24"/>
              </w:rPr>
              <w:t>Crash type</w:t>
            </w:r>
          </w:p>
        </w:tc>
        <w:tc>
          <w:tcPr>
            <w:tcW w:w="1890" w:type="dxa"/>
            <w:tcBorders>
              <w:top w:val="single" w:sz="8" w:space="0" w:color="auto"/>
              <w:left w:val="nil"/>
              <w:bottom w:val="single" w:sz="8" w:space="0" w:color="auto"/>
              <w:right w:val="single" w:sz="8" w:space="0" w:color="auto"/>
            </w:tcBorders>
            <w:shd w:val="clear" w:color="000000" w:fill="D9D9D9"/>
            <w:noWrap/>
            <w:vAlign w:val="center"/>
            <w:hideMark/>
          </w:tcPr>
          <w:p w14:paraId="2407D711" w14:textId="77777777" w:rsidR="0086647D" w:rsidRPr="00F17D88" w:rsidRDefault="000F5B51" w:rsidP="00A807D0">
            <w:pPr>
              <w:spacing w:after="0" w:line="240" w:lineRule="auto"/>
              <w:jc w:val="center"/>
              <w:rPr>
                <w:rFonts w:eastAsia="Times New Roman" w:cs="Times New Roman"/>
                <w:b/>
                <w:bCs/>
                <w:color w:val="000000"/>
                <w:szCs w:val="24"/>
              </w:rPr>
            </w:pPr>
            <w:r w:rsidRPr="00F17D88">
              <w:rPr>
                <w:rFonts w:eastAsia="Times New Roman" w:cs="Times New Roman"/>
                <w:b/>
                <w:bCs/>
                <w:color w:val="000000"/>
                <w:szCs w:val="24"/>
              </w:rPr>
              <w:t xml:space="preserve">Restrained </w:t>
            </w:r>
          </w:p>
        </w:tc>
        <w:tc>
          <w:tcPr>
            <w:tcW w:w="2013" w:type="dxa"/>
            <w:tcBorders>
              <w:top w:val="single" w:sz="8" w:space="0" w:color="auto"/>
              <w:left w:val="nil"/>
              <w:bottom w:val="single" w:sz="8" w:space="0" w:color="auto"/>
              <w:right w:val="single" w:sz="8" w:space="0" w:color="auto"/>
            </w:tcBorders>
            <w:shd w:val="clear" w:color="000000" w:fill="D9D9D9"/>
            <w:noWrap/>
            <w:vAlign w:val="center"/>
            <w:hideMark/>
          </w:tcPr>
          <w:p w14:paraId="5BD26896" w14:textId="77777777" w:rsidR="0086647D" w:rsidRPr="00F17D88" w:rsidRDefault="000F5B51" w:rsidP="00A807D0">
            <w:pPr>
              <w:spacing w:after="0" w:line="240" w:lineRule="auto"/>
              <w:jc w:val="center"/>
              <w:rPr>
                <w:rFonts w:eastAsia="Times New Roman" w:cs="Times New Roman"/>
                <w:b/>
                <w:bCs/>
                <w:color w:val="000000"/>
                <w:szCs w:val="24"/>
              </w:rPr>
            </w:pPr>
            <w:r w:rsidRPr="00F17D88">
              <w:rPr>
                <w:rFonts w:eastAsia="Times New Roman" w:cs="Times New Roman"/>
                <w:b/>
                <w:bCs/>
                <w:color w:val="000000"/>
                <w:szCs w:val="24"/>
              </w:rPr>
              <w:t>Unrestrained</w:t>
            </w:r>
          </w:p>
        </w:tc>
        <w:tc>
          <w:tcPr>
            <w:tcW w:w="1768" w:type="dxa"/>
            <w:tcBorders>
              <w:top w:val="single" w:sz="8" w:space="0" w:color="auto"/>
              <w:left w:val="nil"/>
              <w:bottom w:val="single" w:sz="8" w:space="0" w:color="auto"/>
              <w:right w:val="single" w:sz="8" w:space="0" w:color="auto"/>
            </w:tcBorders>
            <w:shd w:val="clear" w:color="000000" w:fill="D9D9D9"/>
            <w:vAlign w:val="center"/>
            <w:hideMark/>
          </w:tcPr>
          <w:p w14:paraId="32033249" w14:textId="77777777" w:rsidR="0086647D" w:rsidRPr="00F17D88" w:rsidRDefault="000F5B51" w:rsidP="00A807D0">
            <w:pPr>
              <w:spacing w:after="0" w:line="240" w:lineRule="auto"/>
              <w:jc w:val="center"/>
              <w:rPr>
                <w:rFonts w:eastAsia="Times New Roman" w:cs="Times New Roman"/>
                <w:b/>
                <w:bCs/>
                <w:color w:val="000000"/>
                <w:szCs w:val="24"/>
              </w:rPr>
            </w:pPr>
            <w:r w:rsidRPr="00F17D88">
              <w:rPr>
                <w:rFonts w:eastAsia="Times New Roman" w:cs="Times New Roman"/>
                <w:b/>
                <w:bCs/>
                <w:color w:val="000000"/>
                <w:szCs w:val="24"/>
              </w:rPr>
              <w:t>Total</w:t>
            </w:r>
          </w:p>
        </w:tc>
      </w:tr>
      <w:tr w:rsidR="00A15C2C" w14:paraId="1A6385B9" w14:textId="77777777" w:rsidTr="00617167">
        <w:trPr>
          <w:trHeight w:val="336"/>
        </w:trPr>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32BE93" w14:textId="77777777" w:rsidR="00514B78" w:rsidRPr="00F17D88" w:rsidRDefault="000F5B51" w:rsidP="00514B78">
            <w:pPr>
              <w:spacing w:after="0" w:line="240" w:lineRule="auto"/>
              <w:rPr>
                <w:rFonts w:eastAsia="Times New Roman" w:cs="Times New Roman"/>
                <w:b/>
                <w:bCs/>
                <w:color w:val="000000"/>
                <w:szCs w:val="24"/>
              </w:rPr>
            </w:pPr>
            <w:r w:rsidRPr="00F17D88">
              <w:rPr>
                <w:rFonts w:eastAsia="Times New Roman" w:cs="Times New Roman"/>
                <w:b/>
                <w:bCs/>
                <w:color w:val="000000"/>
                <w:szCs w:val="24"/>
              </w:rPr>
              <w:t>PC</w:t>
            </w:r>
          </w:p>
        </w:tc>
        <w:tc>
          <w:tcPr>
            <w:tcW w:w="1890" w:type="dxa"/>
            <w:tcBorders>
              <w:top w:val="nil"/>
              <w:left w:val="nil"/>
              <w:bottom w:val="single" w:sz="8" w:space="0" w:color="auto"/>
              <w:right w:val="single" w:sz="8" w:space="0" w:color="auto"/>
            </w:tcBorders>
            <w:shd w:val="clear" w:color="auto" w:fill="auto"/>
            <w:noWrap/>
            <w:vAlign w:val="center"/>
            <w:hideMark/>
          </w:tcPr>
          <w:p w14:paraId="5AC5FCAB" w14:textId="77777777" w:rsidR="00514B78" w:rsidRPr="00F17D88" w:rsidRDefault="000F5B51" w:rsidP="00514B78">
            <w:pPr>
              <w:spacing w:after="0" w:line="240" w:lineRule="auto"/>
              <w:jc w:val="center"/>
              <w:rPr>
                <w:rFonts w:eastAsia="Times New Roman" w:cs="Times New Roman"/>
                <w:color w:val="000000"/>
                <w:szCs w:val="24"/>
              </w:rPr>
            </w:pPr>
            <w:r w:rsidRPr="00F17D88">
              <w:rPr>
                <w:rFonts w:eastAsia="Times New Roman" w:cs="Times New Roman"/>
                <w:color w:val="000000"/>
                <w:szCs w:val="24"/>
              </w:rPr>
              <w:t>Rollover</w:t>
            </w:r>
          </w:p>
        </w:tc>
        <w:tc>
          <w:tcPr>
            <w:tcW w:w="1890" w:type="dxa"/>
            <w:tcBorders>
              <w:top w:val="nil"/>
              <w:left w:val="nil"/>
              <w:bottom w:val="single" w:sz="8" w:space="0" w:color="auto"/>
              <w:right w:val="single" w:sz="8" w:space="0" w:color="auto"/>
            </w:tcBorders>
            <w:shd w:val="clear" w:color="auto" w:fill="auto"/>
            <w:noWrap/>
            <w:vAlign w:val="center"/>
          </w:tcPr>
          <w:p w14:paraId="787B2234" w14:textId="77777777" w:rsidR="00514B78" w:rsidRPr="0039357A" w:rsidRDefault="000F5B51">
            <w:pPr>
              <w:spacing w:after="0" w:line="240" w:lineRule="auto"/>
              <w:jc w:val="center"/>
              <w:rPr>
                <w:rFonts w:eastAsia="Times New Roman" w:cs="Times New Roman"/>
                <w:color w:val="000000"/>
                <w:szCs w:val="24"/>
              </w:rPr>
            </w:pPr>
            <w:r w:rsidRPr="00617167">
              <w:rPr>
                <w:rFonts w:cs="Times New Roman"/>
                <w:color w:val="000000"/>
                <w:szCs w:val="24"/>
              </w:rPr>
              <w:t>21</w:t>
            </w:r>
            <w:r w:rsidR="006A699F">
              <w:rPr>
                <w:rFonts w:cs="Times New Roman"/>
                <w:color w:val="000000"/>
                <w:szCs w:val="24"/>
              </w:rPr>
              <w:t>2</w:t>
            </w:r>
          </w:p>
        </w:tc>
        <w:tc>
          <w:tcPr>
            <w:tcW w:w="2013" w:type="dxa"/>
            <w:tcBorders>
              <w:top w:val="nil"/>
              <w:left w:val="nil"/>
              <w:bottom w:val="single" w:sz="8" w:space="0" w:color="auto"/>
              <w:right w:val="single" w:sz="8" w:space="0" w:color="auto"/>
            </w:tcBorders>
            <w:shd w:val="clear" w:color="auto" w:fill="auto"/>
            <w:noWrap/>
            <w:vAlign w:val="center"/>
          </w:tcPr>
          <w:p w14:paraId="26DC2F49" w14:textId="77777777" w:rsidR="00514B78" w:rsidRPr="0039357A" w:rsidRDefault="000F5B51">
            <w:pPr>
              <w:spacing w:after="0" w:line="240" w:lineRule="auto"/>
              <w:jc w:val="center"/>
              <w:rPr>
                <w:rFonts w:eastAsia="Times New Roman" w:cs="Times New Roman"/>
                <w:color w:val="000000"/>
                <w:szCs w:val="24"/>
              </w:rPr>
            </w:pPr>
            <w:r w:rsidRPr="00617167">
              <w:rPr>
                <w:rFonts w:cs="Times New Roman"/>
                <w:color w:val="000000"/>
                <w:szCs w:val="24"/>
              </w:rPr>
              <w:t>25</w:t>
            </w:r>
            <w:r w:rsidR="00354C7F">
              <w:rPr>
                <w:rFonts w:cs="Times New Roman"/>
                <w:color w:val="000000"/>
                <w:szCs w:val="24"/>
              </w:rPr>
              <w:t>6</w:t>
            </w:r>
          </w:p>
        </w:tc>
        <w:tc>
          <w:tcPr>
            <w:tcW w:w="1768" w:type="dxa"/>
            <w:tcBorders>
              <w:top w:val="nil"/>
              <w:left w:val="nil"/>
              <w:bottom w:val="single" w:sz="8" w:space="0" w:color="auto"/>
              <w:right w:val="single" w:sz="8" w:space="0" w:color="auto"/>
            </w:tcBorders>
            <w:shd w:val="clear" w:color="auto" w:fill="auto"/>
            <w:vAlign w:val="center"/>
          </w:tcPr>
          <w:p w14:paraId="680EC9E0" w14:textId="77777777" w:rsidR="00514B78" w:rsidRPr="0039357A" w:rsidRDefault="000F5B51">
            <w:pPr>
              <w:spacing w:after="0" w:line="240" w:lineRule="auto"/>
              <w:jc w:val="center"/>
              <w:rPr>
                <w:rFonts w:eastAsia="Times New Roman" w:cs="Times New Roman"/>
                <w:color w:val="000000"/>
                <w:szCs w:val="24"/>
              </w:rPr>
            </w:pPr>
            <w:r w:rsidRPr="00617167">
              <w:rPr>
                <w:rFonts w:cs="Times New Roman"/>
                <w:color w:val="000000"/>
                <w:szCs w:val="24"/>
              </w:rPr>
              <w:t>468</w:t>
            </w:r>
          </w:p>
        </w:tc>
      </w:tr>
      <w:tr w:rsidR="00A15C2C" w14:paraId="278C19F3" w14:textId="77777777" w:rsidTr="00617167">
        <w:trPr>
          <w:trHeight w:val="336"/>
        </w:trPr>
        <w:tc>
          <w:tcPr>
            <w:tcW w:w="1890" w:type="dxa"/>
            <w:vMerge/>
            <w:tcBorders>
              <w:top w:val="nil"/>
              <w:left w:val="single" w:sz="8" w:space="0" w:color="auto"/>
              <w:bottom w:val="single" w:sz="8" w:space="0" w:color="000000"/>
              <w:right w:val="single" w:sz="8" w:space="0" w:color="auto"/>
            </w:tcBorders>
            <w:vAlign w:val="center"/>
            <w:hideMark/>
          </w:tcPr>
          <w:p w14:paraId="770DBA88" w14:textId="77777777" w:rsidR="00514B78" w:rsidRPr="00F17D88" w:rsidRDefault="00514B78" w:rsidP="00514B78">
            <w:pPr>
              <w:spacing w:after="0" w:line="240" w:lineRule="auto"/>
              <w:rPr>
                <w:rFonts w:eastAsia="Times New Roman" w:cs="Times New Roman"/>
                <w:b/>
                <w:bCs/>
                <w:color w:val="000000"/>
                <w:szCs w:val="24"/>
              </w:rPr>
            </w:pPr>
          </w:p>
        </w:tc>
        <w:tc>
          <w:tcPr>
            <w:tcW w:w="1890" w:type="dxa"/>
            <w:tcBorders>
              <w:top w:val="nil"/>
              <w:left w:val="nil"/>
              <w:bottom w:val="single" w:sz="8" w:space="0" w:color="auto"/>
              <w:right w:val="single" w:sz="8" w:space="0" w:color="auto"/>
            </w:tcBorders>
            <w:shd w:val="clear" w:color="auto" w:fill="auto"/>
            <w:noWrap/>
            <w:vAlign w:val="center"/>
            <w:hideMark/>
          </w:tcPr>
          <w:p w14:paraId="64B9F9AD" w14:textId="77777777" w:rsidR="00514B78" w:rsidRPr="00F17D88" w:rsidRDefault="000F5B51" w:rsidP="00514B78">
            <w:pPr>
              <w:spacing w:after="0" w:line="240" w:lineRule="auto"/>
              <w:jc w:val="center"/>
              <w:rPr>
                <w:rFonts w:eastAsia="Times New Roman" w:cs="Times New Roman"/>
                <w:color w:val="000000"/>
                <w:szCs w:val="24"/>
              </w:rPr>
            </w:pPr>
            <w:r w:rsidRPr="00F17D88">
              <w:rPr>
                <w:rFonts w:eastAsia="Times New Roman" w:cs="Times New Roman"/>
                <w:color w:val="000000"/>
                <w:szCs w:val="24"/>
              </w:rPr>
              <w:t>Front</w:t>
            </w:r>
          </w:p>
        </w:tc>
        <w:tc>
          <w:tcPr>
            <w:tcW w:w="1890" w:type="dxa"/>
            <w:tcBorders>
              <w:top w:val="nil"/>
              <w:left w:val="nil"/>
              <w:bottom w:val="single" w:sz="8" w:space="0" w:color="auto"/>
              <w:right w:val="single" w:sz="8" w:space="0" w:color="auto"/>
            </w:tcBorders>
            <w:shd w:val="clear" w:color="auto" w:fill="auto"/>
            <w:noWrap/>
            <w:vAlign w:val="center"/>
          </w:tcPr>
          <w:p w14:paraId="4DAC4EDE" w14:textId="77777777" w:rsidR="00514B78" w:rsidRPr="0039357A" w:rsidRDefault="000F5B51">
            <w:pPr>
              <w:spacing w:after="0" w:line="240" w:lineRule="auto"/>
              <w:jc w:val="center"/>
              <w:rPr>
                <w:rFonts w:eastAsia="Times New Roman" w:cs="Times New Roman"/>
                <w:color w:val="000000"/>
                <w:szCs w:val="24"/>
              </w:rPr>
            </w:pPr>
            <w:r w:rsidRPr="00617167">
              <w:rPr>
                <w:rFonts w:cs="Times New Roman"/>
                <w:color w:val="000000"/>
                <w:szCs w:val="24"/>
              </w:rPr>
              <w:t>509</w:t>
            </w:r>
          </w:p>
        </w:tc>
        <w:tc>
          <w:tcPr>
            <w:tcW w:w="2013" w:type="dxa"/>
            <w:tcBorders>
              <w:top w:val="nil"/>
              <w:left w:val="nil"/>
              <w:bottom w:val="single" w:sz="8" w:space="0" w:color="auto"/>
              <w:right w:val="single" w:sz="8" w:space="0" w:color="auto"/>
            </w:tcBorders>
            <w:shd w:val="clear" w:color="auto" w:fill="auto"/>
            <w:noWrap/>
            <w:vAlign w:val="center"/>
          </w:tcPr>
          <w:p w14:paraId="665A7F80" w14:textId="77777777" w:rsidR="00514B78" w:rsidRPr="0039357A" w:rsidRDefault="000F5B51">
            <w:pPr>
              <w:spacing w:after="0" w:line="240" w:lineRule="auto"/>
              <w:jc w:val="center"/>
              <w:rPr>
                <w:rFonts w:eastAsia="Times New Roman" w:cs="Times New Roman"/>
                <w:color w:val="000000"/>
                <w:szCs w:val="24"/>
              </w:rPr>
            </w:pPr>
            <w:r w:rsidRPr="00617167">
              <w:rPr>
                <w:rFonts w:cs="Times New Roman"/>
                <w:color w:val="000000"/>
                <w:szCs w:val="24"/>
              </w:rPr>
              <w:t>296</w:t>
            </w:r>
          </w:p>
        </w:tc>
        <w:tc>
          <w:tcPr>
            <w:tcW w:w="1768" w:type="dxa"/>
            <w:tcBorders>
              <w:top w:val="nil"/>
              <w:left w:val="nil"/>
              <w:bottom w:val="single" w:sz="8" w:space="0" w:color="auto"/>
              <w:right w:val="single" w:sz="8" w:space="0" w:color="auto"/>
            </w:tcBorders>
            <w:shd w:val="clear" w:color="auto" w:fill="auto"/>
            <w:vAlign w:val="center"/>
          </w:tcPr>
          <w:p w14:paraId="38DA3E12" w14:textId="77777777" w:rsidR="00514B78" w:rsidRPr="0039357A" w:rsidRDefault="000F5B51">
            <w:pPr>
              <w:spacing w:after="0" w:line="240" w:lineRule="auto"/>
              <w:jc w:val="center"/>
              <w:rPr>
                <w:rFonts w:eastAsia="Times New Roman" w:cs="Times New Roman"/>
                <w:color w:val="000000"/>
                <w:szCs w:val="24"/>
              </w:rPr>
            </w:pPr>
            <w:r w:rsidRPr="00617167">
              <w:rPr>
                <w:rFonts w:cs="Times New Roman"/>
                <w:color w:val="000000"/>
                <w:szCs w:val="24"/>
              </w:rPr>
              <w:t>805</w:t>
            </w:r>
          </w:p>
        </w:tc>
      </w:tr>
      <w:tr w:rsidR="00A15C2C" w14:paraId="3F047365" w14:textId="77777777" w:rsidTr="00617167">
        <w:trPr>
          <w:trHeight w:val="336"/>
        </w:trPr>
        <w:tc>
          <w:tcPr>
            <w:tcW w:w="1890" w:type="dxa"/>
            <w:vMerge/>
            <w:tcBorders>
              <w:top w:val="nil"/>
              <w:left w:val="single" w:sz="8" w:space="0" w:color="auto"/>
              <w:bottom w:val="single" w:sz="8" w:space="0" w:color="000000"/>
              <w:right w:val="single" w:sz="8" w:space="0" w:color="auto"/>
            </w:tcBorders>
            <w:vAlign w:val="center"/>
            <w:hideMark/>
          </w:tcPr>
          <w:p w14:paraId="44CC37D9" w14:textId="77777777" w:rsidR="00514B78" w:rsidRPr="00F17D88" w:rsidRDefault="00514B78" w:rsidP="00514B78">
            <w:pPr>
              <w:spacing w:after="0" w:line="240" w:lineRule="auto"/>
              <w:rPr>
                <w:rFonts w:eastAsia="Times New Roman" w:cs="Times New Roman"/>
                <w:b/>
                <w:bCs/>
                <w:color w:val="000000"/>
                <w:szCs w:val="24"/>
              </w:rPr>
            </w:pPr>
          </w:p>
        </w:tc>
        <w:tc>
          <w:tcPr>
            <w:tcW w:w="1890" w:type="dxa"/>
            <w:tcBorders>
              <w:top w:val="nil"/>
              <w:left w:val="nil"/>
              <w:bottom w:val="single" w:sz="8" w:space="0" w:color="auto"/>
              <w:right w:val="single" w:sz="8" w:space="0" w:color="auto"/>
            </w:tcBorders>
            <w:shd w:val="clear" w:color="auto" w:fill="auto"/>
            <w:noWrap/>
            <w:vAlign w:val="center"/>
            <w:hideMark/>
          </w:tcPr>
          <w:p w14:paraId="69875EFD" w14:textId="77777777" w:rsidR="00514B78" w:rsidRPr="00F17D88" w:rsidRDefault="000F5B51" w:rsidP="00514B78">
            <w:pPr>
              <w:spacing w:after="0" w:line="240" w:lineRule="auto"/>
              <w:jc w:val="center"/>
              <w:rPr>
                <w:rFonts w:eastAsia="Times New Roman" w:cs="Times New Roman"/>
                <w:color w:val="000000"/>
                <w:szCs w:val="24"/>
              </w:rPr>
            </w:pPr>
            <w:r w:rsidRPr="00F17D88">
              <w:rPr>
                <w:rFonts w:eastAsia="Times New Roman" w:cs="Times New Roman"/>
                <w:color w:val="000000"/>
                <w:szCs w:val="24"/>
              </w:rPr>
              <w:t>Side</w:t>
            </w:r>
          </w:p>
        </w:tc>
        <w:tc>
          <w:tcPr>
            <w:tcW w:w="1890" w:type="dxa"/>
            <w:tcBorders>
              <w:top w:val="nil"/>
              <w:left w:val="nil"/>
              <w:bottom w:val="single" w:sz="8" w:space="0" w:color="auto"/>
              <w:right w:val="single" w:sz="8" w:space="0" w:color="auto"/>
            </w:tcBorders>
            <w:shd w:val="clear" w:color="auto" w:fill="auto"/>
            <w:noWrap/>
            <w:vAlign w:val="center"/>
          </w:tcPr>
          <w:p w14:paraId="095403FA" w14:textId="77777777" w:rsidR="00514B78" w:rsidRPr="0039357A" w:rsidRDefault="000F5B51">
            <w:pPr>
              <w:spacing w:after="0" w:line="240" w:lineRule="auto"/>
              <w:jc w:val="center"/>
              <w:rPr>
                <w:rFonts w:eastAsia="Times New Roman" w:cs="Times New Roman"/>
                <w:color w:val="000000"/>
                <w:szCs w:val="24"/>
              </w:rPr>
            </w:pPr>
            <w:r w:rsidRPr="00617167">
              <w:rPr>
                <w:rFonts w:cs="Times New Roman"/>
                <w:color w:val="000000"/>
                <w:szCs w:val="24"/>
              </w:rPr>
              <w:t>484</w:t>
            </w:r>
          </w:p>
        </w:tc>
        <w:tc>
          <w:tcPr>
            <w:tcW w:w="2013" w:type="dxa"/>
            <w:tcBorders>
              <w:top w:val="nil"/>
              <w:left w:val="nil"/>
              <w:bottom w:val="single" w:sz="8" w:space="0" w:color="auto"/>
              <w:right w:val="single" w:sz="8" w:space="0" w:color="auto"/>
            </w:tcBorders>
            <w:shd w:val="clear" w:color="auto" w:fill="auto"/>
            <w:noWrap/>
            <w:vAlign w:val="center"/>
          </w:tcPr>
          <w:p w14:paraId="77294F28" w14:textId="77777777" w:rsidR="00514B78" w:rsidRPr="0039357A" w:rsidRDefault="000F5B51">
            <w:pPr>
              <w:spacing w:after="0" w:line="240" w:lineRule="auto"/>
              <w:jc w:val="center"/>
              <w:rPr>
                <w:rFonts w:eastAsia="Times New Roman" w:cs="Times New Roman"/>
                <w:color w:val="000000"/>
                <w:szCs w:val="24"/>
              </w:rPr>
            </w:pPr>
            <w:r w:rsidRPr="00617167">
              <w:rPr>
                <w:rFonts w:cs="Times New Roman"/>
                <w:color w:val="000000"/>
                <w:szCs w:val="24"/>
              </w:rPr>
              <w:t>171</w:t>
            </w:r>
          </w:p>
        </w:tc>
        <w:tc>
          <w:tcPr>
            <w:tcW w:w="1768" w:type="dxa"/>
            <w:tcBorders>
              <w:top w:val="nil"/>
              <w:left w:val="nil"/>
              <w:bottom w:val="single" w:sz="8" w:space="0" w:color="auto"/>
              <w:right w:val="single" w:sz="8" w:space="0" w:color="auto"/>
            </w:tcBorders>
            <w:shd w:val="clear" w:color="auto" w:fill="auto"/>
            <w:vAlign w:val="center"/>
          </w:tcPr>
          <w:p w14:paraId="06CE9A5C" w14:textId="77777777" w:rsidR="00514B78" w:rsidRPr="0039357A" w:rsidRDefault="000F5B51">
            <w:pPr>
              <w:spacing w:after="0" w:line="240" w:lineRule="auto"/>
              <w:jc w:val="center"/>
              <w:rPr>
                <w:rFonts w:eastAsia="Times New Roman" w:cs="Times New Roman"/>
                <w:color w:val="000000"/>
                <w:szCs w:val="24"/>
              </w:rPr>
            </w:pPr>
            <w:r w:rsidRPr="00617167">
              <w:rPr>
                <w:rFonts w:cs="Times New Roman"/>
                <w:color w:val="000000"/>
                <w:szCs w:val="24"/>
              </w:rPr>
              <w:t>655</w:t>
            </w:r>
          </w:p>
        </w:tc>
      </w:tr>
      <w:tr w:rsidR="00A15C2C" w14:paraId="2BBAA5D9" w14:textId="77777777" w:rsidTr="00617167">
        <w:trPr>
          <w:trHeight w:val="336"/>
        </w:trPr>
        <w:tc>
          <w:tcPr>
            <w:tcW w:w="1890" w:type="dxa"/>
            <w:vMerge/>
            <w:tcBorders>
              <w:top w:val="nil"/>
              <w:left w:val="single" w:sz="8" w:space="0" w:color="auto"/>
              <w:bottom w:val="single" w:sz="8" w:space="0" w:color="000000"/>
              <w:right w:val="single" w:sz="8" w:space="0" w:color="auto"/>
            </w:tcBorders>
            <w:vAlign w:val="center"/>
            <w:hideMark/>
          </w:tcPr>
          <w:p w14:paraId="28CBB778" w14:textId="77777777" w:rsidR="00514B78" w:rsidRPr="00F17D88" w:rsidRDefault="00514B78" w:rsidP="00514B78">
            <w:pPr>
              <w:spacing w:after="0" w:line="240" w:lineRule="auto"/>
              <w:rPr>
                <w:rFonts w:eastAsia="Times New Roman" w:cs="Times New Roman"/>
                <w:b/>
                <w:bCs/>
                <w:color w:val="000000"/>
                <w:szCs w:val="24"/>
              </w:rPr>
            </w:pPr>
          </w:p>
        </w:tc>
        <w:tc>
          <w:tcPr>
            <w:tcW w:w="1890" w:type="dxa"/>
            <w:tcBorders>
              <w:top w:val="nil"/>
              <w:left w:val="nil"/>
              <w:bottom w:val="single" w:sz="8" w:space="0" w:color="auto"/>
              <w:right w:val="single" w:sz="8" w:space="0" w:color="auto"/>
            </w:tcBorders>
            <w:shd w:val="clear" w:color="auto" w:fill="auto"/>
            <w:noWrap/>
            <w:vAlign w:val="center"/>
            <w:hideMark/>
          </w:tcPr>
          <w:p w14:paraId="2A4A3EE7" w14:textId="77777777" w:rsidR="00514B78" w:rsidRPr="00F17D88" w:rsidRDefault="000F5B51" w:rsidP="00514B78">
            <w:pPr>
              <w:spacing w:after="0" w:line="240" w:lineRule="auto"/>
              <w:jc w:val="center"/>
              <w:rPr>
                <w:rFonts w:eastAsia="Times New Roman" w:cs="Times New Roman"/>
                <w:color w:val="000000"/>
                <w:szCs w:val="24"/>
              </w:rPr>
            </w:pPr>
            <w:r w:rsidRPr="00F17D88">
              <w:rPr>
                <w:rFonts w:eastAsia="Times New Roman" w:cs="Times New Roman"/>
                <w:color w:val="000000"/>
                <w:szCs w:val="24"/>
              </w:rPr>
              <w:t>Rear</w:t>
            </w:r>
          </w:p>
        </w:tc>
        <w:tc>
          <w:tcPr>
            <w:tcW w:w="1890" w:type="dxa"/>
            <w:tcBorders>
              <w:top w:val="nil"/>
              <w:left w:val="nil"/>
              <w:bottom w:val="single" w:sz="8" w:space="0" w:color="auto"/>
              <w:right w:val="single" w:sz="8" w:space="0" w:color="auto"/>
            </w:tcBorders>
            <w:shd w:val="clear" w:color="auto" w:fill="auto"/>
            <w:noWrap/>
            <w:vAlign w:val="center"/>
          </w:tcPr>
          <w:p w14:paraId="7D5BE241" w14:textId="77777777" w:rsidR="00514B78" w:rsidRPr="0039357A" w:rsidRDefault="000F5B51">
            <w:pPr>
              <w:spacing w:after="0" w:line="240" w:lineRule="auto"/>
              <w:jc w:val="center"/>
              <w:rPr>
                <w:rFonts w:eastAsia="Times New Roman" w:cs="Times New Roman"/>
                <w:color w:val="000000"/>
                <w:szCs w:val="24"/>
              </w:rPr>
            </w:pPr>
            <w:r w:rsidRPr="00617167">
              <w:rPr>
                <w:rFonts w:cs="Times New Roman"/>
                <w:color w:val="000000"/>
                <w:szCs w:val="24"/>
              </w:rPr>
              <w:t>72</w:t>
            </w:r>
          </w:p>
        </w:tc>
        <w:tc>
          <w:tcPr>
            <w:tcW w:w="2013" w:type="dxa"/>
            <w:tcBorders>
              <w:top w:val="nil"/>
              <w:left w:val="nil"/>
              <w:bottom w:val="single" w:sz="8" w:space="0" w:color="auto"/>
              <w:right w:val="single" w:sz="8" w:space="0" w:color="auto"/>
            </w:tcBorders>
            <w:shd w:val="clear" w:color="auto" w:fill="auto"/>
            <w:noWrap/>
            <w:vAlign w:val="center"/>
          </w:tcPr>
          <w:p w14:paraId="4903DC9C" w14:textId="77777777" w:rsidR="00514B78" w:rsidRPr="0039357A" w:rsidRDefault="000F5B51">
            <w:pPr>
              <w:spacing w:after="0" w:line="240" w:lineRule="auto"/>
              <w:jc w:val="center"/>
              <w:rPr>
                <w:rFonts w:eastAsia="Times New Roman" w:cs="Times New Roman"/>
                <w:color w:val="000000"/>
                <w:szCs w:val="24"/>
              </w:rPr>
            </w:pPr>
            <w:r w:rsidRPr="00617167">
              <w:rPr>
                <w:rFonts w:cs="Times New Roman"/>
                <w:color w:val="000000"/>
                <w:szCs w:val="24"/>
              </w:rPr>
              <w:t>28</w:t>
            </w:r>
          </w:p>
        </w:tc>
        <w:tc>
          <w:tcPr>
            <w:tcW w:w="1768" w:type="dxa"/>
            <w:tcBorders>
              <w:top w:val="nil"/>
              <w:left w:val="nil"/>
              <w:bottom w:val="single" w:sz="8" w:space="0" w:color="auto"/>
              <w:right w:val="single" w:sz="8" w:space="0" w:color="auto"/>
            </w:tcBorders>
            <w:shd w:val="clear" w:color="auto" w:fill="auto"/>
            <w:vAlign w:val="center"/>
          </w:tcPr>
          <w:p w14:paraId="34333666" w14:textId="77777777" w:rsidR="00514B78" w:rsidRPr="0039357A" w:rsidRDefault="000F5B51">
            <w:pPr>
              <w:spacing w:after="0" w:line="240" w:lineRule="auto"/>
              <w:jc w:val="center"/>
              <w:rPr>
                <w:rFonts w:eastAsia="Times New Roman" w:cs="Times New Roman"/>
                <w:color w:val="000000"/>
                <w:szCs w:val="24"/>
              </w:rPr>
            </w:pPr>
            <w:r w:rsidRPr="00617167">
              <w:rPr>
                <w:rFonts w:cs="Times New Roman"/>
                <w:color w:val="000000"/>
                <w:szCs w:val="24"/>
              </w:rPr>
              <w:t>100</w:t>
            </w:r>
          </w:p>
        </w:tc>
      </w:tr>
      <w:tr w:rsidR="00A15C2C" w14:paraId="3EC660BE" w14:textId="77777777" w:rsidTr="00617167">
        <w:trPr>
          <w:trHeight w:val="325"/>
        </w:trPr>
        <w:tc>
          <w:tcPr>
            <w:tcW w:w="1890" w:type="dxa"/>
            <w:vMerge/>
            <w:tcBorders>
              <w:top w:val="nil"/>
              <w:left w:val="single" w:sz="8" w:space="0" w:color="auto"/>
              <w:bottom w:val="single" w:sz="8" w:space="0" w:color="000000"/>
              <w:right w:val="single" w:sz="8" w:space="0" w:color="auto"/>
            </w:tcBorders>
            <w:vAlign w:val="center"/>
            <w:hideMark/>
          </w:tcPr>
          <w:p w14:paraId="3279318D" w14:textId="77777777" w:rsidR="00514B78" w:rsidRPr="00F17D88" w:rsidRDefault="00514B78" w:rsidP="00514B78">
            <w:pPr>
              <w:spacing w:after="0" w:line="240" w:lineRule="auto"/>
              <w:rPr>
                <w:rFonts w:eastAsia="Times New Roman" w:cs="Times New Roman"/>
                <w:b/>
                <w:bCs/>
                <w:color w:val="000000"/>
                <w:szCs w:val="24"/>
              </w:rPr>
            </w:pPr>
          </w:p>
        </w:tc>
        <w:tc>
          <w:tcPr>
            <w:tcW w:w="1890" w:type="dxa"/>
            <w:tcBorders>
              <w:top w:val="nil"/>
              <w:left w:val="nil"/>
              <w:bottom w:val="single" w:sz="8" w:space="0" w:color="auto"/>
              <w:right w:val="single" w:sz="8" w:space="0" w:color="auto"/>
            </w:tcBorders>
            <w:shd w:val="clear" w:color="auto" w:fill="auto"/>
            <w:noWrap/>
            <w:vAlign w:val="center"/>
            <w:hideMark/>
          </w:tcPr>
          <w:p w14:paraId="6E6EBF25" w14:textId="77777777" w:rsidR="00514B78" w:rsidRPr="0039357A" w:rsidRDefault="000F5B51" w:rsidP="00514B78">
            <w:pPr>
              <w:spacing w:after="0" w:line="240" w:lineRule="auto"/>
              <w:jc w:val="center"/>
              <w:rPr>
                <w:rFonts w:eastAsia="Times New Roman" w:cs="Times New Roman"/>
                <w:b/>
                <w:color w:val="000000"/>
                <w:szCs w:val="24"/>
              </w:rPr>
            </w:pPr>
            <w:r w:rsidRPr="0039357A">
              <w:rPr>
                <w:rFonts w:eastAsia="Times New Roman" w:cs="Times New Roman"/>
                <w:b/>
                <w:color w:val="000000"/>
                <w:szCs w:val="24"/>
              </w:rPr>
              <w:t>Total</w:t>
            </w:r>
          </w:p>
        </w:tc>
        <w:tc>
          <w:tcPr>
            <w:tcW w:w="1890" w:type="dxa"/>
            <w:tcBorders>
              <w:top w:val="nil"/>
              <w:left w:val="nil"/>
              <w:bottom w:val="single" w:sz="8" w:space="0" w:color="auto"/>
              <w:right w:val="single" w:sz="8" w:space="0" w:color="auto"/>
            </w:tcBorders>
            <w:shd w:val="clear" w:color="auto" w:fill="auto"/>
            <w:noWrap/>
            <w:vAlign w:val="center"/>
          </w:tcPr>
          <w:p w14:paraId="29A7CEE0" w14:textId="77777777" w:rsidR="00514B78" w:rsidRPr="0039357A" w:rsidRDefault="000F5B51">
            <w:pPr>
              <w:spacing w:after="0" w:line="240" w:lineRule="auto"/>
              <w:jc w:val="center"/>
              <w:rPr>
                <w:rFonts w:eastAsia="Times New Roman" w:cs="Times New Roman"/>
                <w:b/>
                <w:color w:val="000000"/>
                <w:szCs w:val="24"/>
              </w:rPr>
            </w:pPr>
            <w:r w:rsidRPr="00617167">
              <w:rPr>
                <w:rFonts w:cs="Times New Roman"/>
                <w:b/>
                <w:bCs/>
                <w:color w:val="000000"/>
                <w:szCs w:val="24"/>
              </w:rPr>
              <w:t>1,27</w:t>
            </w:r>
            <w:r w:rsidR="00C14D11">
              <w:rPr>
                <w:rFonts w:cs="Times New Roman"/>
                <w:b/>
                <w:bCs/>
                <w:color w:val="000000"/>
                <w:szCs w:val="24"/>
              </w:rPr>
              <w:t>5</w:t>
            </w:r>
          </w:p>
        </w:tc>
        <w:tc>
          <w:tcPr>
            <w:tcW w:w="2013" w:type="dxa"/>
            <w:tcBorders>
              <w:top w:val="nil"/>
              <w:left w:val="nil"/>
              <w:bottom w:val="single" w:sz="8" w:space="0" w:color="auto"/>
              <w:right w:val="single" w:sz="8" w:space="0" w:color="auto"/>
            </w:tcBorders>
            <w:shd w:val="clear" w:color="auto" w:fill="auto"/>
            <w:noWrap/>
            <w:vAlign w:val="center"/>
          </w:tcPr>
          <w:p w14:paraId="25B83886" w14:textId="77777777" w:rsidR="00514B78" w:rsidRPr="0039357A" w:rsidRDefault="000F5B51">
            <w:pPr>
              <w:spacing w:after="0" w:line="240" w:lineRule="auto"/>
              <w:jc w:val="center"/>
              <w:rPr>
                <w:rFonts w:eastAsia="Times New Roman" w:cs="Times New Roman"/>
                <w:b/>
                <w:color w:val="000000"/>
                <w:szCs w:val="24"/>
              </w:rPr>
            </w:pPr>
            <w:r w:rsidRPr="00617167">
              <w:rPr>
                <w:rFonts w:cs="Times New Roman"/>
                <w:b/>
                <w:bCs/>
                <w:color w:val="000000"/>
                <w:szCs w:val="24"/>
              </w:rPr>
              <w:t>75</w:t>
            </w:r>
            <w:r w:rsidR="00CB1818">
              <w:rPr>
                <w:rFonts w:cs="Times New Roman"/>
                <w:b/>
                <w:bCs/>
                <w:color w:val="000000"/>
                <w:szCs w:val="24"/>
              </w:rPr>
              <w:t>4</w:t>
            </w:r>
          </w:p>
        </w:tc>
        <w:tc>
          <w:tcPr>
            <w:tcW w:w="1768" w:type="dxa"/>
            <w:tcBorders>
              <w:top w:val="nil"/>
              <w:left w:val="nil"/>
              <w:bottom w:val="single" w:sz="8" w:space="0" w:color="auto"/>
              <w:right w:val="single" w:sz="8" w:space="0" w:color="auto"/>
            </w:tcBorders>
            <w:shd w:val="clear" w:color="auto" w:fill="auto"/>
            <w:vAlign w:val="center"/>
          </w:tcPr>
          <w:p w14:paraId="275D3BA8" w14:textId="77777777" w:rsidR="00514B78" w:rsidRPr="0039357A" w:rsidRDefault="000F5B51">
            <w:pPr>
              <w:spacing w:after="0" w:line="240" w:lineRule="auto"/>
              <w:jc w:val="center"/>
              <w:rPr>
                <w:rFonts w:eastAsia="Times New Roman" w:cs="Times New Roman"/>
                <w:b/>
                <w:color w:val="000000"/>
                <w:szCs w:val="24"/>
              </w:rPr>
            </w:pPr>
            <w:r w:rsidRPr="00617167">
              <w:rPr>
                <w:rFonts w:cs="Times New Roman"/>
                <w:b/>
                <w:bCs/>
                <w:color w:val="000000"/>
                <w:szCs w:val="24"/>
              </w:rPr>
              <w:t>2,028</w:t>
            </w:r>
          </w:p>
        </w:tc>
      </w:tr>
      <w:tr w:rsidR="00A15C2C" w14:paraId="4585E366" w14:textId="77777777" w:rsidTr="00617167">
        <w:trPr>
          <w:trHeight w:val="336"/>
        </w:trPr>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7A2227" w14:textId="77777777" w:rsidR="00514B78" w:rsidRPr="00F17D88" w:rsidRDefault="000F5B51" w:rsidP="00514B78">
            <w:pPr>
              <w:spacing w:after="0" w:line="240" w:lineRule="auto"/>
              <w:rPr>
                <w:rFonts w:eastAsia="Times New Roman" w:cs="Times New Roman"/>
                <w:b/>
                <w:bCs/>
                <w:color w:val="000000"/>
                <w:szCs w:val="24"/>
              </w:rPr>
            </w:pPr>
            <w:r w:rsidRPr="00F17D88">
              <w:rPr>
                <w:rFonts w:eastAsia="Times New Roman" w:cs="Times New Roman"/>
                <w:b/>
                <w:bCs/>
                <w:color w:val="000000"/>
                <w:szCs w:val="24"/>
              </w:rPr>
              <w:t>LTV</w:t>
            </w:r>
          </w:p>
        </w:tc>
        <w:tc>
          <w:tcPr>
            <w:tcW w:w="1890" w:type="dxa"/>
            <w:tcBorders>
              <w:top w:val="nil"/>
              <w:left w:val="nil"/>
              <w:bottom w:val="single" w:sz="8" w:space="0" w:color="auto"/>
              <w:right w:val="single" w:sz="8" w:space="0" w:color="auto"/>
            </w:tcBorders>
            <w:shd w:val="clear" w:color="auto" w:fill="auto"/>
            <w:noWrap/>
            <w:vAlign w:val="center"/>
            <w:hideMark/>
          </w:tcPr>
          <w:p w14:paraId="777D16CB" w14:textId="77777777" w:rsidR="00514B78" w:rsidRPr="00F17D88" w:rsidRDefault="000F5B51" w:rsidP="00514B78">
            <w:pPr>
              <w:spacing w:after="0" w:line="240" w:lineRule="auto"/>
              <w:jc w:val="center"/>
              <w:rPr>
                <w:rFonts w:eastAsia="Times New Roman" w:cs="Times New Roman"/>
                <w:color w:val="000000"/>
                <w:szCs w:val="24"/>
              </w:rPr>
            </w:pPr>
            <w:r w:rsidRPr="00F17D88">
              <w:rPr>
                <w:rFonts w:eastAsia="Times New Roman" w:cs="Times New Roman"/>
                <w:color w:val="000000"/>
                <w:szCs w:val="24"/>
              </w:rPr>
              <w:t>Rollover</w:t>
            </w:r>
          </w:p>
        </w:tc>
        <w:tc>
          <w:tcPr>
            <w:tcW w:w="1890" w:type="dxa"/>
            <w:tcBorders>
              <w:top w:val="nil"/>
              <w:left w:val="nil"/>
              <w:bottom w:val="single" w:sz="8" w:space="0" w:color="auto"/>
              <w:right w:val="single" w:sz="8" w:space="0" w:color="auto"/>
            </w:tcBorders>
            <w:shd w:val="clear" w:color="auto" w:fill="auto"/>
            <w:noWrap/>
            <w:vAlign w:val="center"/>
          </w:tcPr>
          <w:p w14:paraId="14E067C7" w14:textId="77777777" w:rsidR="00514B78" w:rsidRPr="0039357A" w:rsidRDefault="000F5B51">
            <w:pPr>
              <w:spacing w:after="0" w:line="240" w:lineRule="auto"/>
              <w:jc w:val="center"/>
              <w:rPr>
                <w:rFonts w:eastAsia="Times New Roman" w:cs="Times New Roman"/>
                <w:color w:val="000000"/>
                <w:szCs w:val="24"/>
              </w:rPr>
            </w:pPr>
            <w:r w:rsidRPr="00617167">
              <w:rPr>
                <w:rFonts w:cs="Times New Roman"/>
                <w:color w:val="000000"/>
                <w:szCs w:val="24"/>
              </w:rPr>
              <w:t>23</w:t>
            </w:r>
            <w:r w:rsidR="002615BB">
              <w:rPr>
                <w:rFonts w:cs="Times New Roman"/>
                <w:color w:val="000000"/>
                <w:szCs w:val="24"/>
              </w:rPr>
              <w:t>6</w:t>
            </w:r>
          </w:p>
        </w:tc>
        <w:tc>
          <w:tcPr>
            <w:tcW w:w="2013" w:type="dxa"/>
            <w:tcBorders>
              <w:top w:val="nil"/>
              <w:left w:val="nil"/>
              <w:bottom w:val="single" w:sz="8" w:space="0" w:color="auto"/>
              <w:right w:val="single" w:sz="8" w:space="0" w:color="auto"/>
            </w:tcBorders>
            <w:shd w:val="clear" w:color="auto" w:fill="auto"/>
            <w:noWrap/>
            <w:vAlign w:val="center"/>
          </w:tcPr>
          <w:p w14:paraId="7FFA04D9" w14:textId="77777777" w:rsidR="00514B78" w:rsidRPr="0039357A" w:rsidRDefault="000F5B51">
            <w:pPr>
              <w:spacing w:after="0" w:line="240" w:lineRule="auto"/>
              <w:jc w:val="center"/>
              <w:rPr>
                <w:rFonts w:eastAsia="Times New Roman" w:cs="Times New Roman"/>
                <w:color w:val="000000"/>
                <w:szCs w:val="24"/>
              </w:rPr>
            </w:pPr>
            <w:r w:rsidRPr="00617167">
              <w:rPr>
                <w:rFonts w:cs="Times New Roman"/>
                <w:color w:val="000000"/>
                <w:szCs w:val="24"/>
              </w:rPr>
              <w:t>429</w:t>
            </w:r>
          </w:p>
        </w:tc>
        <w:tc>
          <w:tcPr>
            <w:tcW w:w="1768" w:type="dxa"/>
            <w:tcBorders>
              <w:top w:val="nil"/>
              <w:left w:val="nil"/>
              <w:bottom w:val="single" w:sz="8" w:space="0" w:color="auto"/>
              <w:right w:val="single" w:sz="8" w:space="0" w:color="auto"/>
            </w:tcBorders>
            <w:shd w:val="clear" w:color="auto" w:fill="auto"/>
            <w:vAlign w:val="center"/>
          </w:tcPr>
          <w:p w14:paraId="3598E494" w14:textId="77777777" w:rsidR="00514B78" w:rsidRPr="0039357A" w:rsidRDefault="000F5B51">
            <w:pPr>
              <w:spacing w:after="0" w:line="240" w:lineRule="auto"/>
              <w:jc w:val="center"/>
              <w:rPr>
                <w:rFonts w:eastAsia="Times New Roman" w:cs="Times New Roman"/>
                <w:color w:val="000000"/>
                <w:szCs w:val="24"/>
              </w:rPr>
            </w:pPr>
            <w:r w:rsidRPr="00617167">
              <w:rPr>
                <w:rFonts w:cs="Times New Roman"/>
                <w:color w:val="000000"/>
                <w:szCs w:val="24"/>
              </w:rPr>
              <w:t>66</w:t>
            </w:r>
            <w:r w:rsidR="002615BB">
              <w:rPr>
                <w:rFonts w:cs="Times New Roman"/>
                <w:color w:val="000000"/>
                <w:szCs w:val="24"/>
              </w:rPr>
              <w:t>5</w:t>
            </w:r>
          </w:p>
        </w:tc>
      </w:tr>
      <w:tr w:rsidR="00A15C2C" w14:paraId="54487A72" w14:textId="77777777" w:rsidTr="00617167">
        <w:trPr>
          <w:trHeight w:val="336"/>
        </w:trPr>
        <w:tc>
          <w:tcPr>
            <w:tcW w:w="1890" w:type="dxa"/>
            <w:vMerge/>
            <w:tcBorders>
              <w:top w:val="nil"/>
              <w:left w:val="single" w:sz="8" w:space="0" w:color="auto"/>
              <w:bottom w:val="single" w:sz="8" w:space="0" w:color="000000"/>
              <w:right w:val="single" w:sz="8" w:space="0" w:color="auto"/>
            </w:tcBorders>
            <w:vAlign w:val="center"/>
            <w:hideMark/>
          </w:tcPr>
          <w:p w14:paraId="3C718D88" w14:textId="77777777" w:rsidR="00514B78" w:rsidRPr="00F17D88" w:rsidRDefault="00514B78" w:rsidP="00514B78">
            <w:pPr>
              <w:spacing w:after="0" w:line="240" w:lineRule="auto"/>
              <w:rPr>
                <w:rFonts w:eastAsia="Times New Roman" w:cs="Times New Roman"/>
                <w:b/>
                <w:bCs/>
                <w:color w:val="000000"/>
                <w:szCs w:val="24"/>
              </w:rPr>
            </w:pPr>
          </w:p>
        </w:tc>
        <w:tc>
          <w:tcPr>
            <w:tcW w:w="1890" w:type="dxa"/>
            <w:tcBorders>
              <w:top w:val="nil"/>
              <w:left w:val="nil"/>
              <w:bottom w:val="single" w:sz="8" w:space="0" w:color="auto"/>
              <w:right w:val="single" w:sz="8" w:space="0" w:color="auto"/>
            </w:tcBorders>
            <w:shd w:val="clear" w:color="auto" w:fill="auto"/>
            <w:noWrap/>
            <w:vAlign w:val="center"/>
            <w:hideMark/>
          </w:tcPr>
          <w:p w14:paraId="6B4F6D33" w14:textId="77777777" w:rsidR="00514B78" w:rsidRPr="00F17D88" w:rsidRDefault="000F5B51" w:rsidP="00514B78">
            <w:pPr>
              <w:spacing w:after="0" w:line="240" w:lineRule="auto"/>
              <w:jc w:val="center"/>
              <w:rPr>
                <w:rFonts w:eastAsia="Times New Roman" w:cs="Times New Roman"/>
                <w:color w:val="000000"/>
                <w:szCs w:val="24"/>
              </w:rPr>
            </w:pPr>
            <w:r w:rsidRPr="00F17D88">
              <w:rPr>
                <w:rFonts w:eastAsia="Times New Roman" w:cs="Times New Roman"/>
                <w:color w:val="000000"/>
                <w:szCs w:val="24"/>
              </w:rPr>
              <w:t>Front</w:t>
            </w:r>
          </w:p>
        </w:tc>
        <w:tc>
          <w:tcPr>
            <w:tcW w:w="1890" w:type="dxa"/>
            <w:tcBorders>
              <w:top w:val="nil"/>
              <w:left w:val="nil"/>
              <w:bottom w:val="single" w:sz="8" w:space="0" w:color="auto"/>
              <w:right w:val="single" w:sz="8" w:space="0" w:color="auto"/>
            </w:tcBorders>
            <w:shd w:val="clear" w:color="auto" w:fill="auto"/>
            <w:noWrap/>
            <w:vAlign w:val="center"/>
          </w:tcPr>
          <w:p w14:paraId="611D32B7" w14:textId="77777777" w:rsidR="00514B78" w:rsidRPr="0039357A" w:rsidRDefault="000F5B51">
            <w:pPr>
              <w:spacing w:after="0" w:line="240" w:lineRule="auto"/>
              <w:jc w:val="center"/>
              <w:rPr>
                <w:rFonts w:eastAsia="Times New Roman" w:cs="Times New Roman"/>
                <w:color w:val="000000"/>
                <w:szCs w:val="24"/>
              </w:rPr>
            </w:pPr>
            <w:r w:rsidRPr="00617167">
              <w:rPr>
                <w:rFonts w:cs="Times New Roman"/>
                <w:color w:val="000000"/>
                <w:szCs w:val="24"/>
              </w:rPr>
              <w:t>257</w:t>
            </w:r>
          </w:p>
        </w:tc>
        <w:tc>
          <w:tcPr>
            <w:tcW w:w="2013" w:type="dxa"/>
            <w:tcBorders>
              <w:top w:val="nil"/>
              <w:left w:val="nil"/>
              <w:bottom w:val="single" w:sz="8" w:space="0" w:color="auto"/>
              <w:right w:val="single" w:sz="8" w:space="0" w:color="auto"/>
            </w:tcBorders>
            <w:shd w:val="clear" w:color="auto" w:fill="auto"/>
            <w:noWrap/>
            <w:vAlign w:val="center"/>
          </w:tcPr>
          <w:p w14:paraId="382F739E" w14:textId="77777777" w:rsidR="00514B78" w:rsidRPr="0039357A" w:rsidRDefault="000F5B51">
            <w:pPr>
              <w:spacing w:after="0" w:line="240" w:lineRule="auto"/>
              <w:jc w:val="center"/>
              <w:rPr>
                <w:rFonts w:eastAsia="Times New Roman" w:cs="Times New Roman"/>
                <w:color w:val="000000"/>
                <w:szCs w:val="24"/>
              </w:rPr>
            </w:pPr>
            <w:r w:rsidRPr="00617167">
              <w:rPr>
                <w:rFonts w:cs="Times New Roman"/>
                <w:color w:val="000000"/>
                <w:szCs w:val="24"/>
              </w:rPr>
              <w:t>191</w:t>
            </w:r>
          </w:p>
        </w:tc>
        <w:tc>
          <w:tcPr>
            <w:tcW w:w="1768" w:type="dxa"/>
            <w:tcBorders>
              <w:top w:val="nil"/>
              <w:left w:val="nil"/>
              <w:bottom w:val="single" w:sz="8" w:space="0" w:color="auto"/>
              <w:right w:val="single" w:sz="8" w:space="0" w:color="auto"/>
            </w:tcBorders>
            <w:shd w:val="clear" w:color="auto" w:fill="auto"/>
            <w:vAlign w:val="center"/>
          </w:tcPr>
          <w:p w14:paraId="0F7345C6" w14:textId="77777777" w:rsidR="00514B78" w:rsidRPr="0039357A" w:rsidRDefault="000F5B51">
            <w:pPr>
              <w:spacing w:after="0" w:line="240" w:lineRule="auto"/>
              <w:jc w:val="center"/>
              <w:rPr>
                <w:rFonts w:eastAsia="Times New Roman" w:cs="Times New Roman"/>
                <w:color w:val="000000"/>
                <w:szCs w:val="24"/>
              </w:rPr>
            </w:pPr>
            <w:r w:rsidRPr="00617167">
              <w:rPr>
                <w:rFonts w:cs="Times New Roman"/>
                <w:color w:val="000000"/>
                <w:szCs w:val="24"/>
              </w:rPr>
              <w:t>448</w:t>
            </w:r>
          </w:p>
        </w:tc>
      </w:tr>
      <w:tr w:rsidR="00A15C2C" w14:paraId="786B674C" w14:textId="77777777" w:rsidTr="00617167">
        <w:trPr>
          <w:trHeight w:val="336"/>
        </w:trPr>
        <w:tc>
          <w:tcPr>
            <w:tcW w:w="1890" w:type="dxa"/>
            <w:vMerge/>
            <w:tcBorders>
              <w:top w:val="nil"/>
              <w:left w:val="single" w:sz="8" w:space="0" w:color="auto"/>
              <w:bottom w:val="single" w:sz="8" w:space="0" w:color="000000"/>
              <w:right w:val="single" w:sz="8" w:space="0" w:color="auto"/>
            </w:tcBorders>
            <w:vAlign w:val="center"/>
            <w:hideMark/>
          </w:tcPr>
          <w:p w14:paraId="7B8E461F" w14:textId="77777777" w:rsidR="00514B78" w:rsidRPr="00F17D88" w:rsidRDefault="00514B78" w:rsidP="00514B78">
            <w:pPr>
              <w:spacing w:after="0" w:line="240" w:lineRule="auto"/>
              <w:rPr>
                <w:rFonts w:eastAsia="Times New Roman" w:cs="Times New Roman"/>
                <w:b/>
                <w:bCs/>
                <w:color w:val="000000"/>
                <w:szCs w:val="24"/>
              </w:rPr>
            </w:pPr>
          </w:p>
        </w:tc>
        <w:tc>
          <w:tcPr>
            <w:tcW w:w="1890" w:type="dxa"/>
            <w:tcBorders>
              <w:top w:val="nil"/>
              <w:left w:val="nil"/>
              <w:bottom w:val="single" w:sz="8" w:space="0" w:color="auto"/>
              <w:right w:val="single" w:sz="8" w:space="0" w:color="auto"/>
            </w:tcBorders>
            <w:shd w:val="clear" w:color="auto" w:fill="auto"/>
            <w:noWrap/>
            <w:vAlign w:val="center"/>
            <w:hideMark/>
          </w:tcPr>
          <w:p w14:paraId="1C2503E2" w14:textId="77777777" w:rsidR="00514B78" w:rsidRPr="00F17D88" w:rsidRDefault="000F5B51" w:rsidP="00514B78">
            <w:pPr>
              <w:spacing w:after="0" w:line="240" w:lineRule="auto"/>
              <w:jc w:val="center"/>
              <w:rPr>
                <w:rFonts w:eastAsia="Times New Roman" w:cs="Times New Roman"/>
                <w:color w:val="000000"/>
                <w:szCs w:val="24"/>
              </w:rPr>
            </w:pPr>
            <w:r w:rsidRPr="00F17D88">
              <w:rPr>
                <w:rFonts w:eastAsia="Times New Roman" w:cs="Times New Roman"/>
                <w:color w:val="000000"/>
                <w:szCs w:val="24"/>
              </w:rPr>
              <w:t>Side</w:t>
            </w:r>
          </w:p>
        </w:tc>
        <w:tc>
          <w:tcPr>
            <w:tcW w:w="1890" w:type="dxa"/>
            <w:tcBorders>
              <w:top w:val="nil"/>
              <w:left w:val="nil"/>
              <w:bottom w:val="single" w:sz="8" w:space="0" w:color="auto"/>
              <w:right w:val="single" w:sz="8" w:space="0" w:color="auto"/>
            </w:tcBorders>
            <w:shd w:val="clear" w:color="auto" w:fill="auto"/>
            <w:noWrap/>
            <w:vAlign w:val="center"/>
          </w:tcPr>
          <w:p w14:paraId="5312A8E0" w14:textId="77777777" w:rsidR="00514B78" w:rsidRPr="0039357A" w:rsidRDefault="000F5B51">
            <w:pPr>
              <w:spacing w:after="0" w:line="240" w:lineRule="auto"/>
              <w:jc w:val="center"/>
              <w:rPr>
                <w:rFonts w:eastAsia="Times New Roman" w:cs="Times New Roman"/>
                <w:color w:val="000000"/>
                <w:szCs w:val="24"/>
              </w:rPr>
            </w:pPr>
            <w:r w:rsidRPr="00617167">
              <w:rPr>
                <w:rFonts w:cs="Times New Roman"/>
                <w:color w:val="000000"/>
                <w:szCs w:val="24"/>
              </w:rPr>
              <w:t>129</w:t>
            </w:r>
          </w:p>
        </w:tc>
        <w:tc>
          <w:tcPr>
            <w:tcW w:w="2013" w:type="dxa"/>
            <w:tcBorders>
              <w:top w:val="nil"/>
              <w:left w:val="nil"/>
              <w:bottom w:val="single" w:sz="8" w:space="0" w:color="auto"/>
              <w:right w:val="single" w:sz="8" w:space="0" w:color="auto"/>
            </w:tcBorders>
            <w:shd w:val="clear" w:color="auto" w:fill="auto"/>
            <w:noWrap/>
            <w:vAlign w:val="center"/>
          </w:tcPr>
          <w:p w14:paraId="0DE586EC" w14:textId="77777777" w:rsidR="00514B78" w:rsidRPr="0039357A" w:rsidRDefault="000F5B51">
            <w:pPr>
              <w:spacing w:after="0" w:line="240" w:lineRule="auto"/>
              <w:jc w:val="center"/>
              <w:rPr>
                <w:rFonts w:eastAsia="Times New Roman" w:cs="Times New Roman"/>
                <w:color w:val="000000"/>
                <w:szCs w:val="24"/>
              </w:rPr>
            </w:pPr>
            <w:r w:rsidRPr="00617167">
              <w:rPr>
                <w:rFonts w:cs="Times New Roman"/>
                <w:color w:val="000000"/>
                <w:szCs w:val="24"/>
              </w:rPr>
              <w:t>69</w:t>
            </w:r>
          </w:p>
        </w:tc>
        <w:tc>
          <w:tcPr>
            <w:tcW w:w="1768" w:type="dxa"/>
            <w:tcBorders>
              <w:top w:val="nil"/>
              <w:left w:val="nil"/>
              <w:bottom w:val="single" w:sz="8" w:space="0" w:color="auto"/>
              <w:right w:val="single" w:sz="8" w:space="0" w:color="auto"/>
            </w:tcBorders>
            <w:shd w:val="clear" w:color="auto" w:fill="auto"/>
            <w:vAlign w:val="center"/>
          </w:tcPr>
          <w:p w14:paraId="3975D4A4" w14:textId="77777777" w:rsidR="00514B78" w:rsidRPr="0039357A" w:rsidRDefault="000F5B51">
            <w:pPr>
              <w:spacing w:after="0" w:line="240" w:lineRule="auto"/>
              <w:jc w:val="center"/>
              <w:rPr>
                <w:rFonts w:eastAsia="Times New Roman" w:cs="Times New Roman"/>
                <w:color w:val="000000"/>
                <w:szCs w:val="24"/>
              </w:rPr>
            </w:pPr>
            <w:r w:rsidRPr="00617167">
              <w:rPr>
                <w:rFonts w:cs="Times New Roman"/>
                <w:color w:val="000000"/>
                <w:szCs w:val="24"/>
              </w:rPr>
              <w:t>198</w:t>
            </w:r>
          </w:p>
        </w:tc>
      </w:tr>
      <w:tr w:rsidR="00A15C2C" w14:paraId="09BE8E37" w14:textId="77777777" w:rsidTr="00617167">
        <w:trPr>
          <w:trHeight w:val="336"/>
        </w:trPr>
        <w:tc>
          <w:tcPr>
            <w:tcW w:w="1890" w:type="dxa"/>
            <w:vMerge/>
            <w:tcBorders>
              <w:top w:val="nil"/>
              <w:left w:val="single" w:sz="8" w:space="0" w:color="auto"/>
              <w:bottom w:val="single" w:sz="8" w:space="0" w:color="000000"/>
              <w:right w:val="single" w:sz="8" w:space="0" w:color="auto"/>
            </w:tcBorders>
            <w:vAlign w:val="center"/>
            <w:hideMark/>
          </w:tcPr>
          <w:p w14:paraId="4B66D900" w14:textId="77777777" w:rsidR="00514B78" w:rsidRPr="00F17D88" w:rsidRDefault="00514B78" w:rsidP="00514B78">
            <w:pPr>
              <w:spacing w:after="0" w:line="240" w:lineRule="auto"/>
              <w:rPr>
                <w:rFonts w:eastAsia="Times New Roman" w:cs="Times New Roman"/>
                <w:b/>
                <w:bCs/>
                <w:color w:val="000000"/>
                <w:szCs w:val="24"/>
              </w:rPr>
            </w:pPr>
          </w:p>
        </w:tc>
        <w:tc>
          <w:tcPr>
            <w:tcW w:w="1890" w:type="dxa"/>
            <w:tcBorders>
              <w:top w:val="nil"/>
              <w:left w:val="nil"/>
              <w:bottom w:val="single" w:sz="8" w:space="0" w:color="auto"/>
              <w:right w:val="single" w:sz="8" w:space="0" w:color="auto"/>
            </w:tcBorders>
            <w:shd w:val="clear" w:color="auto" w:fill="auto"/>
            <w:noWrap/>
            <w:vAlign w:val="center"/>
            <w:hideMark/>
          </w:tcPr>
          <w:p w14:paraId="439FC1B9" w14:textId="77777777" w:rsidR="00514B78" w:rsidRPr="00F17D88" w:rsidRDefault="000F5B51" w:rsidP="00514B78">
            <w:pPr>
              <w:spacing w:after="0" w:line="240" w:lineRule="auto"/>
              <w:jc w:val="center"/>
              <w:rPr>
                <w:rFonts w:eastAsia="Times New Roman" w:cs="Times New Roman"/>
                <w:color w:val="000000"/>
                <w:szCs w:val="24"/>
              </w:rPr>
            </w:pPr>
            <w:r w:rsidRPr="00F17D88">
              <w:rPr>
                <w:rFonts w:eastAsia="Times New Roman" w:cs="Times New Roman"/>
                <w:color w:val="000000"/>
                <w:szCs w:val="24"/>
              </w:rPr>
              <w:t>Rear</w:t>
            </w:r>
          </w:p>
        </w:tc>
        <w:tc>
          <w:tcPr>
            <w:tcW w:w="1890" w:type="dxa"/>
            <w:tcBorders>
              <w:top w:val="nil"/>
              <w:left w:val="nil"/>
              <w:bottom w:val="single" w:sz="8" w:space="0" w:color="auto"/>
              <w:right w:val="single" w:sz="8" w:space="0" w:color="auto"/>
            </w:tcBorders>
            <w:shd w:val="clear" w:color="auto" w:fill="auto"/>
            <w:noWrap/>
            <w:vAlign w:val="center"/>
          </w:tcPr>
          <w:p w14:paraId="62D79F2F" w14:textId="77777777" w:rsidR="00514B78" w:rsidRPr="0039357A" w:rsidRDefault="000F5B51">
            <w:pPr>
              <w:spacing w:after="0" w:line="240" w:lineRule="auto"/>
              <w:jc w:val="center"/>
              <w:rPr>
                <w:rFonts w:eastAsia="Times New Roman" w:cs="Times New Roman"/>
                <w:color w:val="000000"/>
                <w:szCs w:val="24"/>
              </w:rPr>
            </w:pPr>
            <w:r w:rsidRPr="00617167">
              <w:rPr>
                <w:rFonts w:cs="Times New Roman"/>
                <w:color w:val="000000"/>
                <w:szCs w:val="24"/>
              </w:rPr>
              <w:t>32</w:t>
            </w:r>
          </w:p>
        </w:tc>
        <w:tc>
          <w:tcPr>
            <w:tcW w:w="2013" w:type="dxa"/>
            <w:tcBorders>
              <w:top w:val="nil"/>
              <w:left w:val="nil"/>
              <w:bottom w:val="single" w:sz="8" w:space="0" w:color="auto"/>
              <w:right w:val="single" w:sz="8" w:space="0" w:color="auto"/>
            </w:tcBorders>
            <w:shd w:val="clear" w:color="auto" w:fill="auto"/>
            <w:noWrap/>
            <w:vAlign w:val="center"/>
          </w:tcPr>
          <w:p w14:paraId="0502CB22" w14:textId="77777777" w:rsidR="00514B78" w:rsidRPr="0039357A" w:rsidRDefault="000F5B51">
            <w:pPr>
              <w:spacing w:after="0" w:line="240" w:lineRule="auto"/>
              <w:jc w:val="center"/>
              <w:rPr>
                <w:rFonts w:eastAsia="Times New Roman" w:cs="Times New Roman"/>
                <w:color w:val="000000"/>
                <w:szCs w:val="24"/>
              </w:rPr>
            </w:pPr>
            <w:r w:rsidRPr="00617167">
              <w:rPr>
                <w:rFonts w:cs="Times New Roman"/>
                <w:color w:val="000000"/>
                <w:szCs w:val="24"/>
              </w:rPr>
              <w:t>12</w:t>
            </w:r>
          </w:p>
        </w:tc>
        <w:tc>
          <w:tcPr>
            <w:tcW w:w="1768" w:type="dxa"/>
            <w:tcBorders>
              <w:top w:val="nil"/>
              <w:left w:val="nil"/>
              <w:bottom w:val="single" w:sz="8" w:space="0" w:color="auto"/>
              <w:right w:val="single" w:sz="8" w:space="0" w:color="auto"/>
            </w:tcBorders>
            <w:shd w:val="clear" w:color="auto" w:fill="auto"/>
            <w:vAlign w:val="center"/>
          </w:tcPr>
          <w:p w14:paraId="573790E5" w14:textId="77777777" w:rsidR="00514B78" w:rsidRPr="0039357A" w:rsidRDefault="000F5B51">
            <w:pPr>
              <w:spacing w:after="0" w:line="240" w:lineRule="auto"/>
              <w:jc w:val="center"/>
              <w:rPr>
                <w:rFonts w:eastAsia="Times New Roman" w:cs="Times New Roman"/>
                <w:color w:val="000000"/>
                <w:szCs w:val="24"/>
              </w:rPr>
            </w:pPr>
            <w:r w:rsidRPr="00617167">
              <w:rPr>
                <w:rFonts w:cs="Times New Roman"/>
                <w:color w:val="000000"/>
                <w:szCs w:val="24"/>
              </w:rPr>
              <w:t>44</w:t>
            </w:r>
          </w:p>
        </w:tc>
      </w:tr>
      <w:tr w:rsidR="00A15C2C" w14:paraId="469803D8" w14:textId="77777777" w:rsidTr="00617167">
        <w:trPr>
          <w:trHeight w:val="325"/>
        </w:trPr>
        <w:tc>
          <w:tcPr>
            <w:tcW w:w="1890" w:type="dxa"/>
            <w:vMerge/>
            <w:tcBorders>
              <w:top w:val="nil"/>
              <w:left w:val="single" w:sz="8" w:space="0" w:color="auto"/>
              <w:bottom w:val="single" w:sz="8" w:space="0" w:color="000000"/>
              <w:right w:val="single" w:sz="8" w:space="0" w:color="auto"/>
            </w:tcBorders>
            <w:vAlign w:val="center"/>
            <w:hideMark/>
          </w:tcPr>
          <w:p w14:paraId="6E629278" w14:textId="77777777" w:rsidR="00514B78" w:rsidRPr="00F17D88" w:rsidRDefault="00514B78" w:rsidP="00514B78">
            <w:pPr>
              <w:spacing w:after="0" w:line="240" w:lineRule="auto"/>
              <w:rPr>
                <w:rFonts w:eastAsia="Times New Roman" w:cs="Times New Roman"/>
                <w:b/>
                <w:bCs/>
                <w:color w:val="000000"/>
                <w:szCs w:val="24"/>
              </w:rPr>
            </w:pPr>
          </w:p>
        </w:tc>
        <w:tc>
          <w:tcPr>
            <w:tcW w:w="1890" w:type="dxa"/>
            <w:tcBorders>
              <w:top w:val="nil"/>
              <w:left w:val="nil"/>
              <w:bottom w:val="single" w:sz="8" w:space="0" w:color="auto"/>
              <w:right w:val="single" w:sz="8" w:space="0" w:color="auto"/>
            </w:tcBorders>
            <w:shd w:val="clear" w:color="auto" w:fill="auto"/>
            <w:noWrap/>
            <w:vAlign w:val="center"/>
            <w:hideMark/>
          </w:tcPr>
          <w:p w14:paraId="5699F22A" w14:textId="77777777" w:rsidR="00514B78" w:rsidRPr="0039357A" w:rsidRDefault="000F5B51" w:rsidP="00514B78">
            <w:pPr>
              <w:spacing w:after="0" w:line="240" w:lineRule="auto"/>
              <w:jc w:val="center"/>
              <w:rPr>
                <w:rFonts w:eastAsia="Times New Roman" w:cs="Times New Roman"/>
                <w:b/>
                <w:color w:val="000000"/>
                <w:szCs w:val="24"/>
              </w:rPr>
            </w:pPr>
            <w:r w:rsidRPr="0039357A">
              <w:rPr>
                <w:rFonts w:eastAsia="Times New Roman" w:cs="Times New Roman"/>
                <w:b/>
                <w:color w:val="000000"/>
                <w:szCs w:val="24"/>
              </w:rPr>
              <w:t>Total</w:t>
            </w:r>
          </w:p>
        </w:tc>
        <w:tc>
          <w:tcPr>
            <w:tcW w:w="1890" w:type="dxa"/>
            <w:tcBorders>
              <w:top w:val="nil"/>
              <w:left w:val="nil"/>
              <w:bottom w:val="single" w:sz="8" w:space="0" w:color="auto"/>
              <w:right w:val="single" w:sz="8" w:space="0" w:color="auto"/>
            </w:tcBorders>
            <w:shd w:val="clear" w:color="auto" w:fill="auto"/>
            <w:noWrap/>
            <w:vAlign w:val="center"/>
          </w:tcPr>
          <w:p w14:paraId="6AEC16BD" w14:textId="77777777" w:rsidR="00514B78" w:rsidRPr="0039357A" w:rsidRDefault="000F5B51">
            <w:pPr>
              <w:spacing w:after="0" w:line="240" w:lineRule="auto"/>
              <w:jc w:val="center"/>
              <w:rPr>
                <w:rFonts w:eastAsia="Times New Roman" w:cs="Times New Roman"/>
                <w:b/>
                <w:color w:val="000000"/>
                <w:szCs w:val="24"/>
              </w:rPr>
            </w:pPr>
            <w:r w:rsidRPr="00617167">
              <w:rPr>
                <w:rFonts w:cs="Times New Roman"/>
                <w:b/>
                <w:bCs/>
                <w:color w:val="000000"/>
                <w:szCs w:val="24"/>
              </w:rPr>
              <w:t>65</w:t>
            </w:r>
            <w:r w:rsidR="002615BB">
              <w:rPr>
                <w:rFonts w:cs="Times New Roman"/>
                <w:b/>
                <w:bCs/>
                <w:color w:val="000000"/>
                <w:szCs w:val="24"/>
              </w:rPr>
              <w:t>0</w:t>
            </w:r>
          </w:p>
        </w:tc>
        <w:tc>
          <w:tcPr>
            <w:tcW w:w="2013" w:type="dxa"/>
            <w:tcBorders>
              <w:top w:val="nil"/>
              <w:left w:val="nil"/>
              <w:bottom w:val="single" w:sz="8" w:space="0" w:color="auto"/>
              <w:right w:val="single" w:sz="8" w:space="0" w:color="auto"/>
            </w:tcBorders>
            <w:shd w:val="clear" w:color="auto" w:fill="auto"/>
            <w:noWrap/>
            <w:vAlign w:val="center"/>
          </w:tcPr>
          <w:p w14:paraId="7E31368F" w14:textId="77777777" w:rsidR="00514B78" w:rsidRPr="0039357A" w:rsidRDefault="000F5B51">
            <w:pPr>
              <w:spacing w:after="0" w:line="240" w:lineRule="auto"/>
              <w:jc w:val="center"/>
              <w:rPr>
                <w:rFonts w:eastAsia="Times New Roman" w:cs="Times New Roman"/>
                <w:b/>
                <w:color w:val="000000"/>
                <w:szCs w:val="24"/>
              </w:rPr>
            </w:pPr>
            <w:r w:rsidRPr="00617167">
              <w:rPr>
                <w:rFonts w:cs="Times New Roman"/>
                <w:b/>
                <w:bCs/>
                <w:color w:val="000000"/>
                <w:szCs w:val="24"/>
              </w:rPr>
              <w:t>70</w:t>
            </w:r>
            <w:r w:rsidR="002615BB">
              <w:rPr>
                <w:rFonts w:cs="Times New Roman"/>
                <w:b/>
                <w:bCs/>
                <w:color w:val="000000"/>
                <w:szCs w:val="24"/>
              </w:rPr>
              <w:t>4</w:t>
            </w:r>
          </w:p>
        </w:tc>
        <w:tc>
          <w:tcPr>
            <w:tcW w:w="1768" w:type="dxa"/>
            <w:tcBorders>
              <w:top w:val="nil"/>
              <w:left w:val="nil"/>
              <w:bottom w:val="single" w:sz="8" w:space="0" w:color="auto"/>
              <w:right w:val="single" w:sz="8" w:space="0" w:color="auto"/>
            </w:tcBorders>
            <w:shd w:val="clear" w:color="auto" w:fill="auto"/>
            <w:vAlign w:val="center"/>
          </w:tcPr>
          <w:p w14:paraId="41070D5A" w14:textId="77777777" w:rsidR="00514B78" w:rsidRPr="0039357A" w:rsidRDefault="000F5B51">
            <w:pPr>
              <w:spacing w:after="0" w:line="240" w:lineRule="auto"/>
              <w:jc w:val="center"/>
              <w:rPr>
                <w:rFonts w:eastAsia="Times New Roman" w:cs="Times New Roman"/>
                <w:b/>
                <w:color w:val="000000"/>
                <w:szCs w:val="24"/>
              </w:rPr>
            </w:pPr>
            <w:r w:rsidRPr="00617167">
              <w:rPr>
                <w:rFonts w:cs="Times New Roman"/>
                <w:b/>
                <w:bCs/>
                <w:color w:val="000000"/>
                <w:szCs w:val="24"/>
              </w:rPr>
              <w:t>1,354</w:t>
            </w:r>
          </w:p>
        </w:tc>
      </w:tr>
    </w:tbl>
    <w:p w14:paraId="50D8609E" w14:textId="77777777" w:rsidR="006F18D0" w:rsidRDefault="000F5B51" w:rsidP="00394707">
      <w:pPr>
        <w:pStyle w:val="NoSpaceTimes"/>
        <w:jc w:val="left"/>
        <w:rPr>
          <w:rFonts w:eastAsia="Times New Roman"/>
          <w:b/>
          <w:bCs/>
        </w:rPr>
      </w:pPr>
      <w:r>
        <w:rPr>
          <w:sz w:val="18"/>
          <w:szCs w:val="18"/>
        </w:rPr>
        <w:t>Note: Values may not sum due to rounding.</w:t>
      </w:r>
    </w:p>
    <w:p w14:paraId="17FF5D80" w14:textId="0193AACF" w:rsidR="000935B9" w:rsidRDefault="000935B9" w:rsidP="004A2073">
      <w:pPr>
        <w:pStyle w:val="NoSpaceTimes"/>
        <w:rPr>
          <w:rFonts w:eastAsia="Times New Roman"/>
          <w:b/>
          <w:bCs/>
        </w:rPr>
      </w:pPr>
    </w:p>
    <w:p w14:paraId="190C677F" w14:textId="0142D139" w:rsidR="00F1151E" w:rsidRDefault="00F1151E" w:rsidP="004A2073">
      <w:pPr>
        <w:pStyle w:val="NoSpaceTimes"/>
        <w:rPr>
          <w:rFonts w:eastAsia="Times New Roman"/>
          <w:b/>
          <w:bCs/>
        </w:rPr>
      </w:pPr>
    </w:p>
    <w:p w14:paraId="7B6130A6" w14:textId="5A94524E" w:rsidR="00F1151E" w:rsidRDefault="00F1151E" w:rsidP="004A2073">
      <w:pPr>
        <w:pStyle w:val="NoSpaceTimes"/>
        <w:rPr>
          <w:rFonts w:eastAsia="Times New Roman"/>
          <w:b/>
          <w:bCs/>
        </w:rPr>
      </w:pPr>
    </w:p>
    <w:p w14:paraId="0726656A" w14:textId="670D3646" w:rsidR="00F1151E" w:rsidRDefault="00F1151E" w:rsidP="004A2073">
      <w:pPr>
        <w:pStyle w:val="NoSpaceTimes"/>
        <w:rPr>
          <w:rFonts w:eastAsia="Times New Roman"/>
          <w:b/>
          <w:bCs/>
        </w:rPr>
      </w:pPr>
    </w:p>
    <w:p w14:paraId="00E80010" w14:textId="5F57171D" w:rsidR="00F1151E" w:rsidRDefault="00F1151E" w:rsidP="004A2073">
      <w:pPr>
        <w:pStyle w:val="NoSpaceTimes"/>
        <w:rPr>
          <w:rFonts w:eastAsia="Times New Roman"/>
          <w:b/>
          <w:bCs/>
        </w:rPr>
      </w:pPr>
    </w:p>
    <w:p w14:paraId="2B1EA14F" w14:textId="511F169C" w:rsidR="00F1151E" w:rsidRDefault="00F1151E" w:rsidP="004A2073">
      <w:pPr>
        <w:pStyle w:val="NoSpaceTimes"/>
        <w:rPr>
          <w:rFonts w:eastAsia="Times New Roman"/>
          <w:b/>
          <w:bCs/>
        </w:rPr>
      </w:pPr>
    </w:p>
    <w:p w14:paraId="30B34061" w14:textId="67B99DAE" w:rsidR="00F1151E" w:rsidRDefault="00F1151E" w:rsidP="004A2073">
      <w:pPr>
        <w:pStyle w:val="NoSpaceTimes"/>
        <w:rPr>
          <w:rFonts w:eastAsia="Times New Roman"/>
          <w:b/>
          <w:bCs/>
        </w:rPr>
      </w:pPr>
    </w:p>
    <w:p w14:paraId="56E3113F" w14:textId="60199373" w:rsidR="00F1151E" w:rsidRDefault="00F1151E" w:rsidP="004A2073">
      <w:pPr>
        <w:pStyle w:val="NoSpaceTimes"/>
        <w:rPr>
          <w:rFonts w:eastAsia="Times New Roman"/>
          <w:b/>
          <w:bCs/>
        </w:rPr>
      </w:pPr>
    </w:p>
    <w:p w14:paraId="503A7C64" w14:textId="6EC2EB75" w:rsidR="00F1151E" w:rsidRDefault="00F1151E" w:rsidP="004A2073">
      <w:pPr>
        <w:pStyle w:val="NoSpaceTimes"/>
        <w:rPr>
          <w:rFonts w:eastAsia="Times New Roman"/>
          <w:b/>
          <w:bCs/>
        </w:rPr>
      </w:pPr>
    </w:p>
    <w:p w14:paraId="46CFCD42" w14:textId="2D022A3B" w:rsidR="00F1151E" w:rsidRDefault="00F1151E" w:rsidP="004A2073">
      <w:pPr>
        <w:pStyle w:val="NoSpaceTimes"/>
        <w:rPr>
          <w:rFonts w:eastAsia="Times New Roman"/>
          <w:b/>
          <w:bCs/>
        </w:rPr>
      </w:pPr>
    </w:p>
    <w:p w14:paraId="471AD753" w14:textId="6BC36656" w:rsidR="00F1151E" w:rsidRDefault="00F1151E" w:rsidP="004A2073">
      <w:pPr>
        <w:pStyle w:val="NoSpaceTimes"/>
        <w:rPr>
          <w:rFonts w:eastAsia="Times New Roman"/>
          <w:b/>
          <w:bCs/>
        </w:rPr>
      </w:pPr>
    </w:p>
    <w:p w14:paraId="4239F39E" w14:textId="4443D056" w:rsidR="00F1151E" w:rsidRDefault="00F1151E" w:rsidP="004A2073">
      <w:pPr>
        <w:pStyle w:val="NoSpaceTimes"/>
        <w:rPr>
          <w:rFonts w:eastAsia="Times New Roman"/>
          <w:b/>
          <w:bCs/>
        </w:rPr>
      </w:pPr>
    </w:p>
    <w:p w14:paraId="789C4835" w14:textId="1E8B18B6" w:rsidR="00F1151E" w:rsidRDefault="00F1151E" w:rsidP="004A2073">
      <w:pPr>
        <w:pStyle w:val="NoSpaceTimes"/>
        <w:rPr>
          <w:rFonts w:eastAsia="Times New Roman"/>
          <w:b/>
          <w:bCs/>
        </w:rPr>
      </w:pPr>
    </w:p>
    <w:p w14:paraId="593FB08B" w14:textId="77777777" w:rsidR="00F1151E" w:rsidRDefault="00F1151E" w:rsidP="004A2073">
      <w:pPr>
        <w:pStyle w:val="NoSpaceTimes"/>
        <w:rPr>
          <w:rFonts w:eastAsia="Times New Roman"/>
          <w:b/>
          <w:bCs/>
        </w:rPr>
      </w:pPr>
    </w:p>
    <w:p w14:paraId="3AB2B1A5" w14:textId="3855389E" w:rsidR="00E0198E" w:rsidRPr="00AA5753" w:rsidRDefault="000F5B51" w:rsidP="00E0198E">
      <w:pPr>
        <w:pStyle w:val="Caption"/>
        <w:rPr>
          <w:szCs w:val="22"/>
        </w:rPr>
      </w:pPr>
      <w:r>
        <w:lastRenderedPageBreak/>
        <w:t xml:space="preserve">Table </w:t>
      </w:r>
      <w:r w:rsidR="00115BAB">
        <w:fldChar w:fldCharType="begin"/>
      </w:r>
      <w:r>
        <w:instrText xml:space="preserve"> SEQ Table \* ARABIC </w:instrText>
      </w:r>
      <w:r w:rsidR="00115BAB">
        <w:fldChar w:fldCharType="separate"/>
      </w:r>
      <w:r w:rsidR="00A65CB3">
        <w:rPr>
          <w:noProof/>
        </w:rPr>
        <w:t>126</w:t>
      </w:r>
      <w:r w:rsidR="00115BAB">
        <w:rPr>
          <w:noProof/>
        </w:rPr>
        <w:fldChar w:fldCharType="end"/>
      </w:r>
      <w:r>
        <w:t>: Unadjusted Fatalities for Front Center Seat Passengers</w:t>
      </w: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569"/>
        <w:gridCol w:w="2122"/>
        <w:gridCol w:w="2399"/>
        <w:gridCol w:w="2399"/>
      </w:tblGrid>
      <w:tr w:rsidR="00A15C2C" w14:paraId="6EE248CF" w14:textId="77777777" w:rsidTr="00394707">
        <w:trPr>
          <w:trHeight w:val="292"/>
          <w:jc w:val="center"/>
        </w:trPr>
        <w:tc>
          <w:tcPr>
            <w:tcW w:w="1840" w:type="dxa"/>
            <w:shd w:val="clear" w:color="auto" w:fill="D9D9D9" w:themeFill="background1" w:themeFillShade="D9"/>
            <w:noWrap/>
            <w:vAlign w:val="center"/>
            <w:hideMark/>
          </w:tcPr>
          <w:p w14:paraId="7455DEFB" w14:textId="77777777" w:rsidR="00CB1818" w:rsidRPr="000F1504" w:rsidRDefault="000F5B51" w:rsidP="007550E2">
            <w:pPr>
              <w:spacing w:after="0" w:line="240" w:lineRule="auto"/>
              <w:rPr>
                <w:rFonts w:eastAsia="Times New Roman" w:cs="Times New Roman"/>
                <w:b/>
                <w:bCs/>
                <w:color w:val="000000"/>
                <w:szCs w:val="24"/>
              </w:rPr>
            </w:pPr>
            <w:r w:rsidRPr="000F1504">
              <w:rPr>
                <w:rFonts w:eastAsia="Times New Roman" w:cs="Times New Roman"/>
                <w:b/>
                <w:bCs/>
                <w:color w:val="000000"/>
                <w:szCs w:val="24"/>
              </w:rPr>
              <w:t>Vehicle Type</w:t>
            </w:r>
          </w:p>
        </w:tc>
        <w:tc>
          <w:tcPr>
            <w:tcW w:w="1569" w:type="dxa"/>
            <w:shd w:val="clear" w:color="auto" w:fill="D9D9D9" w:themeFill="background1" w:themeFillShade="D9"/>
            <w:noWrap/>
            <w:vAlign w:val="center"/>
            <w:hideMark/>
          </w:tcPr>
          <w:p w14:paraId="1D582D6F" w14:textId="77777777" w:rsidR="00CB1818" w:rsidRPr="000F1504" w:rsidRDefault="000F5B51" w:rsidP="007550E2">
            <w:pPr>
              <w:spacing w:after="0" w:line="240" w:lineRule="auto"/>
              <w:jc w:val="center"/>
              <w:rPr>
                <w:rFonts w:eastAsia="Times New Roman" w:cs="Times New Roman"/>
                <w:b/>
                <w:bCs/>
                <w:color w:val="000000"/>
                <w:szCs w:val="24"/>
              </w:rPr>
            </w:pPr>
            <w:r w:rsidRPr="000F1504">
              <w:rPr>
                <w:rFonts w:eastAsia="Times New Roman" w:cs="Times New Roman"/>
                <w:b/>
                <w:bCs/>
                <w:color w:val="000000"/>
                <w:szCs w:val="24"/>
              </w:rPr>
              <w:t>Crash type</w:t>
            </w:r>
          </w:p>
        </w:tc>
        <w:tc>
          <w:tcPr>
            <w:tcW w:w="2122" w:type="dxa"/>
            <w:shd w:val="clear" w:color="auto" w:fill="D9D9D9" w:themeFill="background1" w:themeFillShade="D9"/>
            <w:noWrap/>
            <w:vAlign w:val="center"/>
            <w:hideMark/>
          </w:tcPr>
          <w:p w14:paraId="5AD3C4AD" w14:textId="77777777" w:rsidR="00CB1818" w:rsidRPr="000F1504" w:rsidRDefault="000F5B51" w:rsidP="007550E2">
            <w:pPr>
              <w:spacing w:after="0" w:line="240" w:lineRule="auto"/>
              <w:jc w:val="center"/>
              <w:rPr>
                <w:rFonts w:eastAsia="Times New Roman" w:cs="Times New Roman"/>
                <w:b/>
                <w:bCs/>
                <w:color w:val="000000"/>
                <w:szCs w:val="24"/>
              </w:rPr>
            </w:pPr>
            <w:r>
              <w:rPr>
                <w:rFonts w:eastAsia="Times New Roman" w:cs="Times New Roman"/>
                <w:b/>
                <w:bCs/>
                <w:color w:val="000000"/>
                <w:szCs w:val="24"/>
              </w:rPr>
              <w:t xml:space="preserve">Restrained </w:t>
            </w:r>
          </w:p>
        </w:tc>
        <w:tc>
          <w:tcPr>
            <w:tcW w:w="2399" w:type="dxa"/>
            <w:shd w:val="clear" w:color="auto" w:fill="D9D9D9" w:themeFill="background1" w:themeFillShade="D9"/>
            <w:noWrap/>
            <w:vAlign w:val="center"/>
            <w:hideMark/>
          </w:tcPr>
          <w:p w14:paraId="092D1A63" w14:textId="77777777" w:rsidR="00CB1818" w:rsidRPr="000F1504" w:rsidRDefault="000F5B51" w:rsidP="007550E2">
            <w:pPr>
              <w:spacing w:after="0" w:line="240" w:lineRule="auto"/>
              <w:jc w:val="center"/>
              <w:rPr>
                <w:rFonts w:eastAsia="Times New Roman" w:cs="Times New Roman"/>
                <w:b/>
                <w:bCs/>
                <w:color w:val="000000"/>
                <w:szCs w:val="24"/>
              </w:rPr>
            </w:pPr>
            <w:r>
              <w:rPr>
                <w:rFonts w:eastAsia="Times New Roman" w:cs="Times New Roman"/>
                <w:b/>
                <w:bCs/>
                <w:color w:val="000000"/>
                <w:szCs w:val="24"/>
              </w:rPr>
              <w:t>Unrestrained</w:t>
            </w:r>
          </w:p>
        </w:tc>
        <w:tc>
          <w:tcPr>
            <w:tcW w:w="2399" w:type="dxa"/>
            <w:shd w:val="clear" w:color="auto" w:fill="D9D9D9" w:themeFill="background1" w:themeFillShade="D9"/>
          </w:tcPr>
          <w:p w14:paraId="2259ECE8" w14:textId="77777777" w:rsidR="00CB1818" w:rsidRDefault="000F5B51" w:rsidP="007550E2">
            <w:pPr>
              <w:spacing w:after="0" w:line="240" w:lineRule="auto"/>
              <w:jc w:val="center"/>
              <w:rPr>
                <w:rFonts w:eastAsia="Times New Roman" w:cs="Times New Roman"/>
                <w:b/>
                <w:bCs/>
                <w:color w:val="000000"/>
                <w:szCs w:val="24"/>
              </w:rPr>
            </w:pPr>
            <w:r>
              <w:rPr>
                <w:rFonts w:eastAsia="Times New Roman" w:cs="Times New Roman"/>
                <w:b/>
                <w:bCs/>
                <w:color w:val="000000"/>
                <w:szCs w:val="24"/>
              </w:rPr>
              <w:t>Total</w:t>
            </w:r>
          </w:p>
        </w:tc>
      </w:tr>
      <w:tr w:rsidR="00A15C2C" w14:paraId="6975C92A" w14:textId="77777777" w:rsidTr="00394707">
        <w:trPr>
          <w:trHeight w:val="292"/>
          <w:jc w:val="center"/>
        </w:trPr>
        <w:tc>
          <w:tcPr>
            <w:tcW w:w="1840" w:type="dxa"/>
            <w:vMerge w:val="restart"/>
            <w:shd w:val="clear" w:color="auto" w:fill="auto"/>
            <w:noWrap/>
            <w:vAlign w:val="center"/>
            <w:hideMark/>
          </w:tcPr>
          <w:p w14:paraId="7A1026CE" w14:textId="77777777" w:rsidR="00CB1818" w:rsidRPr="009F7CC9" w:rsidRDefault="000F5B51" w:rsidP="007550E2">
            <w:pPr>
              <w:spacing w:after="0" w:line="240" w:lineRule="auto"/>
              <w:rPr>
                <w:rFonts w:eastAsia="Times New Roman" w:cs="Times New Roman"/>
                <w:b/>
                <w:bCs/>
                <w:color w:val="000000"/>
                <w:szCs w:val="24"/>
              </w:rPr>
            </w:pPr>
            <w:r w:rsidRPr="009F7CC9">
              <w:rPr>
                <w:rFonts w:eastAsia="Times New Roman" w:cs="Times New Roman"/>
                <w:b/>
                <w:bCs/>
                <w:color w:val="000000"/>
                <w:szCs w:val="24"/>
              </w:rPr>
              <w:t>PC</w:t>
            </w:r>
          </w:p>
        </w:tc>
        <w:tc>
          <w:tcPr>
            <w:tcW w:w="1569" w:type="dxa"/>
            <w:shd w:val="clear" w:color="auto" w:fill="auto"/>
            <w:noWrap/>
            <w:vAlign w:val="center"/>
            <w:hideMark/>
          </w:tcPr>
          <w:p w14:paraId="58ADA58B" w14:textId="77777777" w:rsidR="00CB1818" w:rsidRPr="009F7CC9" w:rsidRDefault="000F5B51" w:rsidP="007550E2">
            <w:pPr>
              <w:spacing w:after="0" w:line="240" w:lineRule="auto"/>
              <w:jc w:val="center"/>
              <w:rPr>
                <w:rFonts w:eastAsia="Times New Roman" w:cs="Times New Roman"/>
                <w:color w:val="000000"/>
                <w:szCs w:val="24"/>
              </w:rPr>
            </w:pPr>
            <w:r w:rsidRPr="009F7CC9">
              <w:rPr>
                <w:rFonts w:eastAsia="Times New Roman" w:cs="Times New Roman"/>
                <w:color w:val="000000"/>
                <w:szCs w:val="24"/>
              </w:rPr>
              <w:t>Rollover</w:t>
            </w:r>
          </w:p>
        </w:tc>
        <w:tc>
          <w:tcPr>
            <w:tcW w:w="2122" w:type="dxa"/>
            <w:shd w:val="clear" w:color="auto" w:fill="auto"/>
            <w:noWrap/>
          </w:tcPr>
          <w:p w14:paraId="18B4B751" w14:textId="77777777" w:rsidR="00CB1818" w:rsidRPr="009F7CC9" w:rsidRDefault="000F5B51" w:rsidP="007550E2">
            <w:pPr>
              <w:spacing w:after="0" w:line="240" w:lineRule="auto"/>
              <w:jc w:val="center"/>
              <w:rPr>
                <w:rFonts w:eastAsia="Times New Roman" w:cs="Times New Roman"/>
                <w:color w:val="000000"/>
                <w:szCs w:val="24"/>
              </w:rPr>
            </w:pPr>
            <w:r w:rsidRPr="00100DA7">
              <w:t>1</w:t>
            </w:r>
          </w:p>
        </w:tc>
        <w:tc>
          <w:tcPr>
            <w:tcW w:w="2399" w:type="dxa"/>
            <w:shd w:val="clear" w:color="auto" w:fill="auto"/>
            <w:noWrap/>
          </w:tcPr>
          <w:p w14:paraId="67E94E87" w14:textId="77777777" w:rsidR="00CB1818" w:rsidRPr="009F7CC9" w:rsidRDefault="000F5B51" w:rsidP="007550E2">
            <w:pPr>
              <w:spacing w:after="0" w:line="240" w:lineRule="auto"/>
              <w:jc w:val="center"/>
              <w:rPr>
                <w:rFonts w:eastAsia="Times New Roman" w:cs="Times New Roman"/>
                <w:color w:val="000000"/>
                <w:szCs w:val="24"/>
              </w:rPr>
            </w:pPr>
            <w:r w:rsidRPr="00100DA7">
              <w:t>1</w:t>
            </w:r>
          </w:p>
        </w:tc>
        <w:tc>
          <w:tcPr>
            <w:tcW w:w="2399" w:type="dxa"/>
          </w:tcPr>
          <w:p w14:paraId="7C768268" w14:textId="77777777" w:rsidR="00CB1818" w:rsidRPr="00100DA7" w:rsidRDefault="000F5B51" w:rsidP="007550E2">
            <w:pPr>
              <w:spacing w:after="0" w:line="240" w:lineRule="auto"/>
              <w:jc w:val="center"/>
            </w:pPr>
            <w:r>
              <w:t>2</w:t>
            </w:r>
          </w:p>
        </w:tc>
      </w:tr>
      <w:tr w:rsidR="00A15C2C" w14:paraId="4EDCD543" w14:textId="77777777" w:rsidTr="00394707">
        <w:trPr>
          <w:trHeight w:val="292"/>
          <w:jc w:val="center"/>
        </w:trPr>
        <w:tc>
          <w:tcPr>
            <w:tcW w:w="1840" w:type="dxa"/>
            <w:vMerge/>
            <w:shd w:val="clear" w:color="auto" w:fill="auto"/>
            <w:noWrap/>
            <w:vAlign w:val="center"/>
            <w:hideMark/>
          </w:tcPr>
          <w:p w14:paraId="66B333FC" w14:textId="77777777" w:rsidR="00CB1818" w:rsidRPr="009F7CC9" w:rsidRDefault="00CB1818" w:rsidP="007550E2">
            <w:pPr>
              <w:spacing w:after="0" w:line="240" w:lineRule="auto"/>
              <w:rPr>
                <w:rFonts w:eastAsia="Times New Roman" w:cs="Times New Roman"/>
                <w:szCs w:val="24"/>
              </w:rPr>
            </w:pPr>
          </w:p>
        </w:tc>
        <w:tc>
          <w:tcPr>
            <w:tcW w:w="1569" w:type="dxa"/>
            <w:shd w:val="clear" w:color="auto" w:fill="auto"/>
            <w:noWrap/>
            <w:vAlign w:val="center"/>
            <w:hideMark/>
          </w:tcPr>
          <w:p w14:paraId="03DE41B0" w14:textId="77777777" w:rsidR="00CB1818" w:rsidRPr="009F7CC9" w:rsidRDefault="000F5B51" w:rsidP="007550E2">
            <w:pPr>
              <w:spacing w:after="0" w:line="240" w:lineRule="auto"/>
              <w:jc w:val="center"/>
              <w:rPr>
                <w:rFonts w:eastAsia="Times New Roman" w:cs="Times New Roman"/>
                <w:color w:val="000000"/>
                <w:szCs w:val="24"/>
              </w:rPr>
            </w:pPr>
            <w:r w:rsidRPr="009F7CC9">
              <w:rPr>
                <w:rFonts w:eastAsia="Times New Roman" w:cs="Times New Roman"/>
                <w:color w:val="000000"/>
                <w:szCs w:val="24"/>
              </w:rPr>
              <w:t>Front</w:t>
            </w:r>
          </w:p>
        </w:tc>
        <w:tc>
          <w:tcPr>
            <w:tcW w:w="2122" w:type="dxa"/>
            <w:shd w:val="clear" w:color="auto" w:fill="auto"/>
            <w:noWrap/>
          </w:tcPr>
          <w:p w14:paraId="008AA913" w14:textId="77777777" w:rsidR="00CB1818" w:rsidRPr="009F7CC9" w:rsidRDefault="000F5B51" w:rsidP="007550E2">
            <w:pPr>
              <w:spacing w:after="0" w:line="240" w:lineRule="auto"/>
              <w:jc w:val="center"/>
              <w:rPr>
                <w:rFonts w:eastAsia="Times New Roman" w:cs="Times New Roman"/>
                <w:color w:val="000000"/>
                <w:szCs w:val="24"/>
              </w:rPr>
            </w:pPr>
            <w:r w:rsidRPr="00100DA7">
              <w:t>1</w:t>
            </w:r>
          </w:p>
        </w:tc>
        <w:tc>
          <w:tcPr>
            <w:tcW w:w="2399" w:type="dxa"/>
            <w:shd w:val="clear" w:color="auto" w:fill="auto"/>
            <w:noWrap/>
          </w:tcPr>
          <w:p w14:paraId="6284F0DA" w14:textId="77777777" w:rsidR="00CB1818" w:rsidRPr="009F7CC9" w:rsidRDefault="000F5B51" w:rsidP="007550E2">
            <w:pPr>
              <w:spacing w:after="0" w:line="240" w:lineRule="auto"/>
              <w:jc w:val="center"/>
              <w:rPr>
                <w:rFonts w:eastAsia="Times New Roman" w:cs="Times New Roman"/>
                <w:color w:val="000000"/>
                <w:szCs w:val="24"/>
              </w:rPr>
            </w:pPr>
            <w:r w:rsidRPr="00100DA7">
              <w:t>2</w:t>
            </w:r>
          </w:p>
        </w:tc>
        <w:tc>
          <w:tcPr>
            <w:tcW w:w="2399" w:type="dxa"/>
          </w:tcPr>
          <w:p w14:paraId="2118C8D2" w14:textId="77777777" w:rsidR="00CB1818" w:rsidRPr="00100DA7" w:rsidRDefault="000F5B51" w:rsidP="007550E2">
            <w:pPr>
              <w:spacing w:after="0" w:line="240" w:lineRule="auto"/>
              <w:jc w:val="center"/>
            </w:pPr>
            <w:r>
              <w:t>3</w:t>
            </w:r>
          </w:p>
        </w:tc>
      </w:tr>
      <w:tr w:rsidR="00A15C2C" w14:paraId="1DE5F97A" w14:textId="77777777" w:rsidTr="00394707">
        <w:trPr>
          <w:trHeight w:val="292"/>
          <w:jc w:val="center"/>
        </w:trPr>
        <w:tc>
          <w:tcPr>
            <w:tcW w:w="1840" w:type="dxa"/>
            <w:vMerge/>
            <w:shd w:val="clear" w:color="auto" w:fill="auto"/>
            <w:noWrap/>
            <w:vAlign w:val="center"/>
            <w:hideMark/>
          </w:tcPr>
          <w:p w14:paraId="08EE554B" w14:textId="77777777" w:rsidR="00CB1818" w:rsidRPr="009F7CC9" w:rsidRDefault="00CB1818" w:rsidP="007550E2">
            <w:pPr>
              <w:spacing w:after="0" w:line="240" w:lineRule="auto"/>
              <w:rPr>
                <w:rFonts w:eastAsia="Times New Roman" w:cs="Times New Roman"/>
                <w:szCs w:val="24"/>
              </w:rPr>
            </w:pPr>
          </w:p>
        </w:tc>
        <w:tc>
          <w:tcPr>
            <w:tcW w:w="1569" w:type="dxa"/>
            <w:shd w:val="clear" w:color="auto" w:fill="auto"/>
            <w:noWrap/>
            <w:vAlign w:val="center"/>
            <w:hideMark/>
          </w:tcPr>
          <w:p w14:paraId="3A4ACB94" w14:textId="77777777" w:rsidR="00CB1818" w:rsidRPr="009F7CC9" w:rsidRDefault="000F5B51" w:rsidP="007550E2">
            <w:pPr>
              <w:spacing w:after="0" w:line="240" w:lineRule="auto"/>
              <w:jc w:val="center"/>
              <w:rPr>
                <w:rFonts w:eastAsia="Times New Roman" w:cs="Times New Roman"/>
                <w:color w:val="000000"/>
                <w:szCs w:val="24"/>
              </w:rPr>
            </w:pPr>
            <w:r w:rsidRPr="009F7CC9">
              <w:rPr>
                <w:rFonts w:eastAsia="Times New Roman" w:cs="Times New Roman"/>
                <w:color w:val="000000"/>
                <w:szCs w:val="24"/>
              </w:rPr>
              <w:t>Side</w:t>
            </w:r>
          </w:p>
        </w:tc>
        <w:tc>
          <w:tcPr>
            <w:tcW w:w="2122" w:type="dxa"/>
            <w:shd w:val="clear" w:color="auto" w:fill="auto"/>
            <w:noWrap/>
          </w:tcPr>
          <w:p w14:paraId="6270C27B" w14:textId="77777777" w:rsidR="00CB1818" w:rsidRPr="009F7CC9" w:rsidRDefault="000F5B51" w:rsidP="007550E2">
            <w:pPr>
              <w:spacing w:after="0" w:line="240" w:lineRule="auto"/>
              <w:jc w:val="center"/>
              <w:rPr>
                <w:rFonts w:eastAsia="Times New Roman" w:cs="Times New Roman"/>
                <w:color w:val="000000"/>
                <w:szCs w:val="24"/>
              </w:rPr>
            </w:pPr>
            <w:r w:rsidRPr="00100DA7">
              <w:t>1</w:t>
            </w:r>
          </w:p>
        </w:tc>
        <w:tc>
          <w:tcPr>
            <w:tcW w:w="2399" w:type="dxa"/>
            <w:shd w:val="clear" w:color="auto" w:fill="auto"/>
            <w:noWrap/>
          </w:tcPr>
          <w:p w14:paraId="1AE1E119" w14:textId="77777777" w:rsidR="00CB1818" w:rsidRPr="009F7CC9" w:rsidRDefault="000F5B51" w:rsidP="007550E2">
            <w:pPr>
              <w:spacing w:after="0" w:line="240" w:lineRule="auto"/>
              <w:jc w:val="center"/>
              <w:rPr>
                <w:rFonts w:eastAsia="Times New Roman" w:cs="Times New Roman"/>
                <w:color w:val="000000"/>
                <w:szCs w:val="24"/>
              </w:rPr>
            </w:pPr>
            <w:r w:rsidRPr="00100DA7">
              <w:t>1</w:t>
            </w:r>
          </w:p>
        </w:tc>
        <w:tc>
          <w:tcPr>
            <w:tcW w:w="2399" w:type="dxa"/>
          </w:tcPr>
          <w:p w14:paraId="66852B96" w14:textId="77777777" w:rsidR="00CB1818" w:rsidRPr="00100DA7" w:rsidRDefault="000F5B51" w:rsidP="007550E2">
            <w:pPr>
              <w:spacing w:after="0" w:line="240" w:lineRule="auto"/>
              <w:jc w:val="center"/>
            </w:pPr>
            <w:r>
              <w:t>2</w:t>
            </w:r>
          </w:p>
        </w:tc>
      </w:tr>
      <w:tr w:rsidR="00A15C2C" w14:paraId="00CB6837" w14:textId="77777777" w:rsidTr="00394707">
        <w:trPr>
          <w:trHeight w:val="292"/>
          <w:jc w:val="center"/>
        </w:trPr>
        <w:tc>
          <w:tcPr>
            <w:tcW w:w="1840" w:type="dxa"/>
            <w:vMerge/>
            <w:shd w:val="clear" w:color="auto" w:fill="auto"/>
            <w:noWrap/>
            <w:vAlign w:val="center"/>
            <w:hideMark/>
          </w:tcPr>
          <w:p w14:paraId="1AA08AF3" w14:textId="77777777" w:rsidR="00CB1818" w:rsidRPr="009F7CC9" w:rsidRDefault="00CB1818" w:rsidP="007550E2">
            <w:pPr>
              <w:spacing w:after="0" w:line="240" w:lineRule="auto"/>
              <w:rPr>
                <w:rFonts w:eastAsia="Times New Roman" w:cs="Times New Roman"/>
                <w:szCs w:val="24"/>
              </w:rPr>
            </w:pPr>
          </w:p>
        </w:tc>
        <w:tc>
          <w:tcPr>
            <w:tcW w:w="1569" w:type="dxa"/>
            <w:shd w:val="clear" w:color="auto" w:fill="auto"/>
            <w:noWrap/>
            <w:vAlign w:val="center"/>
            <w:hideMark/>
          </w:tcPr>
          <w:p w14:paraId="1BFF46A6" w14:textId="77777777" w:rsidR="00CB1818" w:rsidRPr="009F7CC9" w:rsidRDefault="000F5B51" w:rsidP="007550E2">
            <w:pPr>
              <w:spacing w:after="0" w:line="240" w:lineRule="auto"/>
              <w:jc w:val="center"/>
              <w:rPr>
                <w:rFonts w:eastAsia="Times New Roman" w:cs="Times New Roman"/>
                <w:color w:val="000000"/>
                <w:szCs w:val="24"/>
              </w:rPr>
            </w:pPr>
            <w:r w:rsidRPr="009F7CC9">
              <w:rPr>
                <w:rFonts w:eastAsia="Times New Roman" w:cs="Times New Roman"/>
                <w:color w:val="000000"/>
                <w:szCs w:val="24"/>
              </w:rPr>
              <w:t>Rear</w:t>
            </w:r>
          </w:p>
        </w:tc>
        <w:tc>
          <w:tcPr>
            <w:tcW w:w="2122" w:type="dxa"/>
            <w:shd w:val="clear" w:color="auto" w:fill="auto"/>
            <w:noWrap/>
          </w:tcPr>
          <w:p w14:paraId="2B4614E4" w14:textId="77777777" w:rsidR="00CB1818" w:rsidRPr="009F7CC9" w:rsidRDefault="000F5B51" w:rsidP="007550E2">
            <w:pPr>
              <w:spacing w:after="0" w:line="240" w:lineRule="auto"/>
              <w:jc w:val="center"/>
              <w:rPr>
                <w:rFonts w:eastAsia="Times New Roman" w:cs="Times New Roman"/>
                <w:color w:val="000000"/>
                <w:szCs w:val="24"/>
              </w:rPr>
            </w:pPr>
            <w:r w:rsidRPr="00100DA7">
              <w:t>0</w:t>
            </w:r>
          </w:p>
        </w:tc>
        <w:tc>
          <w:tcPr>
            <w:tcW w:w="2399" w:type="dxa"/>
            <w:shd w:val="clear" w:color="auto" w:fill="auto"/>
            <w:noWrap/>
          </w:tcPr>
          <w:p w14:paraId="3A9C265A" w14:textId="77777777" w:rsidR="00CB1818" w:rsidRPr="009F7CC9" w:rsidRDefault="000F5B51" w:rsidP="007550E2">
            <w:pPr>
              <w:spacing w:after="0" w:line="240" w:lineRule="auto"/>
              <w:jc w:val="center"/>
              <w:rPr>
                <w:rFonts w:eastAsia="Times New Roman" w:cs="Times New Roman"/>
                <w:color w:val="000000"/>
                <w:szCs w:val="24"/>
              </w:rPr>
            </w:pPr>
            <w:r w:rsidRPr="00100DA7">
              <w:t>1</w:t>
            </w:r>
          </w:p>
        </w:tc>
        <w:tc>
          <w:tcPr>
            <w:tcW w:w="2399" w:type="dxa"/>
          </w:tcPr>
          <w:p w14:paraId="13781507" w14:textId="77777777" w:rsidR="00CB1818" w:rsidRPr="00100DA7" w:rsidRDefault="000F5B51" w:rsidP="007550E2">
            <w:pPr>
              <w:spacing w:after="0" w:line="240" w:lineRule="auto"/>
              <w:jc w:val="center"/>
            </w:pPr>
            <w:r>
              <w:t>1</w:t>
            </w:r>
          </w:p>
        </w:tc>
      </w:tr>
      <w:tr w:rsidR="00A15C2C" w14:paraId="7B49ECA1" w14:textId="77777777" w:rsidTr="00394707">
        <w:trPr>
          <w:trHeight w:val="292"/>
          <w:jc w:val="center"/>
        </w:trPr>
        <w:tc>
          <w:tcPr>
            <w:tcW w:w="1840" w:type="dxa"/>
            <w:vMerge/>
            <w:shd w:val="clear" w:color="auto" w:fill="auto"/>
            <w:noWrap/>
            <w:vAlign w:val="center"/>
          </w:tcPr>
          <w:p w14:paraId="1669C213" w14:textId="77777777" w:rsidR="00CB1818" w:rsidRPr="009F7CC9" w:rsidRDefault="00CB1818" w:rsidP="007550E2">
            <w:pPr>
              <w:spacing w:after="0" w:line="240" w:lineRule="auto"/>
              <w:rPr>
                <w:rFonts w:eastAsia="Times New Roman" w:cs="Times New Roman"/>
                <w:szCs w:val="24"/>
              </w:rPr>
            </w:pPr>
          </w:p>
        </w:tc>
        <w:tc>
          <w:tcPr>
            <w:tcW w:w="1569" w:type="dxa"/>
            <w:shd w:val="clear" w:color="auto" w:fill="auto"/>
            <w:noWrap/>
            <w:vAlign w:val="center"/>
          </w:tcPr>
          <w:p w14:paraId="7247204D" w14:textId="77777777" w:rsidR="00CB1818" w:rsidRPr="009F7CC9" w:rsidRDefault="000F5B51" w:rsidP="007550E2">
            <w:pPr>
              <w:spacing w:after="0" w:line="240" w:lineRule="auto"/>
              <w:jc w:val="center"/>
              <w:rPr>
                <w:rFonts w:eastAsia="Times New Roman" w:cs="Times New Roman"/>
                <w:color w:val="000000"/>
                <w:szCs w:val="24"/>
              </w:rPr>
            </w:pPr>
            <w:r>
              <w:rPr>
                <w:rFonts w:eastAsia="Times New Roman" w:cs="Times New Roman"/>
                <w:color w:val="000000"/>
                <w:szCs w:val="24"/>
              </w:rPr>
              <w:t>Total</w:t>
            </w:r>
          </w:p>
        </w:tc>
        <w:tc>
          <w:tcPr>
            <w:tcW w:w="2122" w:type="dxa"/>
            <w:shd w:val="clear" w:color="auto" w:fill="auto"/>
            <w:noWrap/>
          </w:tcPr>
          <w:p w14:paraId="2DAF27AB" w14:textId="77777777" w:rsidR="00CB1818" w:rsidRPr="00100DA7" w:rsidRDefault="000F5B51" w:rsidP="007550E2">
            <w:pPr>
              <w:spacing w:after="0" w:line="240" w:lineRule="auto"/>
              <w:jc w:val="center"/>
            </w:pPr>
            <w:r>
              <w:t>3</w:t>
            </w:r>
          </w:p>
        </w:tc>
        <w:tc>
          <w:tcPr>
            <w:tcW w:w="2399" w:type="dxa"/>
            <w:shd w:val="clear" w:color="auto" w:fill="auto"/>
            <w:noWrap/>
          </w:tcPr>
          <w:p w14:paraId="33918664" w14:textId="77777777" w:rsidR="00CB1818" w:rsidRPr="00100DA7" w:rsidRDefault="000F5B51" w:rsidP="007550E2">
            <w:pPr>
              <w:spacing w:after="0" w:line="240" w:lineRule="auto"/>
              <w:jc w:val="center"/>
            </w:pPr>
            <w:r>
              <w:t>4</w:t>
            </w:r>
          </w:p>
        </w:tc>
        <w:tc>
          <w:tcPr>
            <w:tcW w:w="2399" w:type="dxa"/>
          </w:tcPr>
          <w:p w14:paraId="70DD77CD" w14:textId="77777777" w:rsidR="00CB1818" w:rsidRDefault="000F5B51" w:rsidP="007550E2">
            <w:pPr>
              <w:spacing w:after="0" w:line="240" w:lineRule="auto"/>
              <w:jc w:val="center"/>
            </w:pPr>
            <w:r>
              <w:t>7</w:t>
            </w:r>
          </w:p>
        </w:tc>
      </w:tr>
      <w:tr w:rsidR="00A15C2C" w14:paraId="5E51EFE5" w14:textId="77777777" w:rsidTr="00394707">
        <w:trPr>
          <w:trHeight w:val="292"/>
          <w:jc w:val="center"/>
        </w:trPr>
        <w:tc>
          <w:tcPr>
            <w:tcW w:w="1840" w:type="dxa"/>
            <w:vMerge w:val="restart"/>
            <w:shd w:val="clear" w:color="auto" w:fill="auto"/>
            <w:noWrap/>
            <w:vAlign w:val="center"/>
            <w:hideMark/>
          </w:tcPr>
          <w:p w14:paraId="5E07D1C0" w14:textId="77777777" w:rsidR="00CB1818" w:rsidRPr="009F7CC9" w:rsidRDefault="000F5B51" w:rsidP="007550E2">
            <w:pPr>
              <w:spacing w:after="0" w:line="240" w:lineRule="auto"/>
              <w:rPr>
                <w:rFonts w:eastAsia="Times New Roman" w:cs="Times New Roman"/>
                <w:b/>
                <w:bCs/>
                <w:color w:val="000000"/>
                <w:szCs w:val="24"/>
              </w:rPr>
            </w:pPr>
            <w:r w:rsidRPr="009F7CC9">
              <w:rPr>
                <w:rFonts w:eastAsia="Times New Roman" w:cs="Times New Roman"/>
                <w:b/>
                <w:bCs/>
                <w:color w:val="000000"/>
                <w:szCs w:val="24"/>
              </w:rPr>
              <w:t>LTV</w:t>
            </w:r>
          </w:p>
        </w:tc>
        <w:tc>
          <w:tcPr>
            <w:tcW w:w="1569" w:type="dxa"/>
            <w:shd w:val="clear" w:color="auto" w:fill="auto"/>
            <w:noWrap/>
            <w:vAlign w:val="center"/>
            <w:hideMark/>
          </w:tcPr>
          <w:p w14:paraId="6D0696ED" w14:textId="77777777" w:rsidR="00CB1818" w:rsidRPr="009F7CC9" w:rsidRDefault="000F5B51" w:rsidP="007550E2">
            <w:pPr>
              <w:spacing w:after="0" w:line="240" w:lineRule="auto"/>
              <w:jc w:val="center"/>
              <w:rPr>
                <w:rFonts w:eastAsia="Times New Roman" w:cs="Times New Roman"/>
                <w:color w:val="000000"/>
                <w:szCs w:val="24"/>
              </w:rPr>
            </w:pPr>
            <w:r w:rsidRPr="009F7CC9">
              <w:rPr>
                <w:rFonts w:eastAsia="Times New Roman" w:cs="Times New Roman"/>
                <w:color w:val="000000"/>
                <w:szCs w:val="24"/>
              </w:rPr>
              <w:t>Rollover</w:t>
            </w:r>
          </w:p>
        </w:tc>
        <w:tc>
          <w:tcPr>
            <w:tcW w:w="2122" w:type="dxa"/>
            <w:shd w:val="clear" w:color="auto" w:fill="auto"/>
            <w:noWrap/>
          </w:tcPr>
          <w:p w14:paraId="30D8FCAE" w14:textId="77777777" w:rsidR="00CB1818" w:rsidRPr="009F7CC9" w:rsidRDefault="000F5B51" w:rsidP="007550E2">
            <w:pPr>
              <w:spacing w:after="0" w:line="240" w:lineRule="auto"/>
              <w:jc w:val="center"/>
              <w:rPr>
                <w:rFonts w:eastAsia="Times New Roman" w:cs="Times New Roman"/>
                <w:color w:val="000000"/>
                <w:szCs w:val="24"/>
              </w:rPr>
            </w:pPr>
            <w:r w:rsidRPr="007763EC">
              <w:t>3</w:t>
            </w:r>
          </w:p>
        </w:tc>
        <w:tc>
          <w:tcPr>
            <w:tcW w:w="2399" w:type="dxa"/>
            <w:shd w:val="clear" w:color="auto" w:fill="auto"/>
            <w:noWrap/>
          </w:tcPr>
          <w:p w14:paraId="0F627F59" w14:textId="77777777" w:rsidR="00CB1818" w:rsidRPr="009F7CC9" w:rsidRDefault="000F5B51" w:rsidP="007550E2">
            <w:pPr>
              <w:spacing w:after="0" w:line="240" w:lineRule="auto"/>
              <w:jc w:val="center"/>
              <w:rPr>
                <w:rFonts w:eastAsia="Times New Roman" w:cs="Times New Roman"/>
                <w:color w:val="000000"/>
                <w:szCs w:val="24"/>
              </w:rPr>
            </w:pPr>
            <w:r w:rsidRPr="007763EC">
              <w:t>23</w:t>
            </w:r>
          </w:p>
        </w:tc>
        <w:tc>
          <w:tcPr>
            <w:tcW w:w="2399" w:type="dxa"/>
          </w:tcPr>
          <w:p w14:paraId="50BC2E88" w14:textId="77777777" w:rsidR="00CB1818" w:rsidRPr="007763EC" w:rsidRDefault="000F5B51" w:rsidP="007550E2">
            <w:pPr>
              <w:spacing w:after="0" w:line="240" w:lineRule="auto"/>
              <w:jc w:val="center"/>
            </w:pPr>
            <w:r>
              <w:t>25</w:t>
            </w:r>
          </w:p>
        </w:tc>
      </w:tr>
      <w:tr w:rsidR="00A15C2C" w14:paraId="581C449E" w14:textId="77777777" w:rsidTr="00394707">
        <w:trPr>
          <w:trHeight w:val="292"/>
          <w:jc w:val="center"/>
        </w:trPr>
        <w:tc>
          <w:tcPr>
            <w:tcW w:w="1840" w:type="dxa"/>
            <w:vMerge/>
            <w:shd w:val="clear" w:color="auto" w:fill="auto"/>
            <w:noWrap/>
            <w:vAlign w:val="center"/>
            <w:hideMark/>
          </w:tcPr>
          <w:p w14:paraId="086D11E4" w14:textId="77777777" w:rsidR="00CB1818" w:rsidRPr="009F7CC9" w:rsidRDefault="00CB1818" w:rsidP="007550E2">
            <w:pPr>
              <w:spacing w:after="0" w:line="240" w:lineRule="auto"/>
              <w:rPr>
                <w:rFonts w:eastAsia="Times New Roman" w:cs="Times New Roman"/>
                <w:szCs w:val="24"/>
              </w:rPr>
            </w:pPr>
          </w:p>
        </w:tc>
        <w:tc>
          <w:tcPr>
            <w:tcW w:w="1569" w:type="dxa"/>
            <w:shd w:val="clear" w:color="auto" w:fill="auto"/>
            <w:noWrap/>
            <w:vAlign w:val="center"/>
            <w:hideMark/>
          </w:tcPr>
          <w:p w14:paraId="5B54084E" w14:textId="77777777" w:rsidR="00CB1818" w:rsidRPr="009F7CC9" w:rsidRDefault="000F5B51" w:rsidP="007550E2">
            <w:pPr>
              <w:spacing w:after="0" w:line="240" w:lineRule="auto"/>
              <w:jc w:val="center"/>
              <w:rPr>
                <w:rFonts w:eastAsia="Times New Roman" w:cs="Times New Roman"/>
                <w:color w:val="000000"/>
                <w:szCs w:val="24"/>
              </w:rPr>
            </w:pPr>
            <w:r w:rsidRPr="009F7CC9">
              <w:rPr>
                <w:rFonts w:eastAsia="Times New Roman" w:cs="Times New Roman"/>
                <w:color w:val="000000"/>
                <w:szCs w:val="24"/>
              </w:rPr>
              <w:t>Front</w:t>
            </w:r>
          </w:p>
        </w:tc>
        <w:tc>
          <w:tcPr>
            <w:tcW w:w="2122" w:type="dxa"/>
            <w:shd w:val="clear" w:color="auto" w:fill="auto"/>
            <w:noWrap/>
          </w:tcPr>
          <w:p w14:paraId="41CF862E" w14:textId="77777777" w:rsidR="00CB1818" w:rsidRPr="009F7CC9" w:rsidRDefault="000F5B51" w:rsidP="007550E2">
            <w:pPr>
              <w:spacing w:after="0" w:line="240" w:lineRule="auto"/>
              <w:jc w:val="center"/>
              <w:rPr>
                <w:rFonts w:eastAsia="Times New Roman" w:cs="Times New Roman"/>
                <w:color w:val="000000"/>
                <w:szCs w:val="24"/>
              </w:rPr>
            </w:pPr>
            <w:r w:rsidRPr="007763EC">
              <w:t>2</w:t>
            </w:r>
          </w:p>
        </w:tc>
        <w:tc>
          <w:tcPr>
            <w:tcW w:w="2399" w:type="dxa"/>
            <w:shd w:val="clear" w:color="auto" w:fill="auto"/>
            <w:noWrap/>
          </w:tcPr>
          <w:p w14:paraId="515B777D" w14:textId="77777777" w:rsidR="00CB1818" w:rsidRPr="009F7CC9" w:rsidRDefault="000F5B51" w:rsidP="007550E2">
            <w:pPr>
              <w:spacing w:after="0" w:line="240" w:lineRule="auto"/>
              <w:jc w:val="center"/>
              <w:rPr>
                <w:rFonts w:eastAsia="Times New Roman" w:cs="Times New Roman"/>
                <w:color w:val="000000"/>
                <w:szCs w:val="24"/>
              </w:rPr>
            </w:pPr>
            <w:r w:rsidRPr="007763EC">
              <w:t>9</w:t>
            </w:r>
          </w:p>
        </w:tc>
        <w:tc>
          <w:tcPr>
            <w:tcW w:w="2399" w:type="dxa"/>
          </w:tcPr>
          <w:p w14:paraId="3D03DC03" w14:textId="77777777" w:rsidR="00CB1818" w:rsidRPr="007763EC" w:rsidRDefault="000F5B51" w:rsidP="007550E2">
            <w:pPr>
              <w:spacing w:after="0" w:line="240" w:lineRule="auto"/>
              <w:jc w:val="center"/>
            </w:pPr>
            <w:r>
              <w:t>11</w:t>
            </w:r>
          </w:p>
        </w:tc>
      </w:tr>
      <w:tr w:rsidR="00A15C2C" w14:paraId="71210F95" w14:textId="77777777" w:rsidTr="00394707">
        <w:trPr>
          <w:trHeight w:val="292"/>
          <w:jc w:val="center"/>
        </w:trPr>
        <w:tc>
          <w:tcPr>
            <w:tcW w:w="1840" w:type="dxa"/>
            <w:vMerge/>
            <w:shd w:val="clear" w:color="auto" w:fill="auto"/>
            <w:noWrap/>
            <w:vAlign w:val="center"/>
            <w:hideMark/>
          </w:tcPr>
          <w:p w14:paraId="4F813FF5" w14:textId="77777777" w:rsidR="00CB1818" w:rsidRPr="009F7CC9" w:rsidRDefault="00CB1818" w:rsidP="007550E2">
            <w:pPr>
              <w:spacing w:after="0" w:line="240" w:lineRule="auto"/>
              <w:rPr>
                <w:rFonts w:eastAsia="Times New Roman" w:cs="Times New Roman"/>
                <w:szCs w:val="24"/>
              </w:rPr>
            </w:pPr>
          </w:p>
        </w:tc>
        <w:tc>
          <w:tcPr>
            <w:tcW w:w="1569" w:type="dxa"/>
            <w:shd w:val="clear" w:color="auto" w:fill="auto"/>
            <w:noWrap/>
            <w:vAlign w:val="center"/>
            <w:hideMark/>
          </w:tcPr>
          <w:p w14:paraId="2C7F7CB0" w14:textId="77777777" w:rsidR="00CB1818" w:rsidRPr="009F7CC9" w:rsidRDefault="000F5B51" w:rsidP="007550E2">
            <w:pPr>
              <w:spacing w:after="0" w:line="240" w:lineRule="auto"/>
              <w:jc w:val="center"/>
              <w:rPr>
                <w:rFonts w:eastAsia="Times New Roman" w:cs="Times New Roman"/>
                <w:color w:val="000000"/>
                <w:szCs w:val="24"/>
              </w:rPr>
            </w:pPr>
            <w:r w:rsidRPr="009F7CC9">
              <w:rPr>
                <w:rFonts w:eastAsia="Times New Roman" w:cs="Times New Roman"/>
                <w:color w:val="000000"/>
                <w:szCs w:val="24"/>
              </w:rPr>
              <w:t>Side</w:t>
            </w:r>
          </w:p>
        </w:tc>
        <w:tc>
          <w:tcPr>
            <w:tcW w:w="2122" w:type="dxa"/>
            <w:shd w:val="clear" w:color="auto" w:fill="auto"/>
            <w:noWrap/>
          </w:tcPr>
          <w:p w14:paraId="31DF27E2" w14:textId="77777777" w:rsidR="00CB1818" w:rsidRPr="009F7CC9" w:rsidRDefault="000F5B51" w:rsidP="007550E2">
            <w:pPr>
              <w:spacing w:after="0" w:line="240" w:lineRule="auto"/>
              <w:jc w:val="center"/>
              <w:rPr>
                <w:rFonts w:eastAsia="Times New Roman" w:cs="Times New Roman"/>
                <w:color w:val="000000"/>
                <w:szCs w:val="24"/>
              </w:rPr>
            </w:pPr>
            <w:r w:rsidRPr="007763EC">
              <w:t>1</w:t>
            </w:r>
          </w:p>
        </w:tc>
        <w:tc>
          <w:tcPr>
            <w:tcW w:w="2399" w:type="dxa"/>
            <w:shd w:val="clear" w:color="auto" w:fill="auto"/>
            <w:noWrap/>
          </w:tcPr>
          <w:p w14:paraId="5909C891" w14:textId="77777777" w:rsidR="00CB1818" w:rsidRPr="009F7CC9" w:rsidRDefault="000F5B51" w:rsidP="007550E2">
            <w:pPr>
              <w:spacing w:after="0" w:line="240" w:lineRule="auto"/>
              <w:jc w:val="center"/>
              <w:rPr>
                <w:rFonts w:eastAsia="Times New Roman" w:cs="Times New Roman"/>
                <w:color w:val="000000"/>
                <w:szCs w:val="24"/>
              </w:rPr>
            </w:pPr>
            <w:r w:rsidRPr="007763EC">
              <w:t>3</w:t>
            </w:r>
          </w:p>
        </w:tc>
        <w:tc>
          <w:tcPr>
            <w:tcW w:w="2399" w:type="dxa"/>
          </w:tcPr>
          <w:p w14:paraId="676036BE" w14:textId="77777777" w:rsidR="00CB1818" w:rsidRPr="007763EC" w:rsidRDefault="000F5B51" w:rsidP="007550E2">
            <w:pPr>
              <w:spacing w:after="0" w:line="240" w:lineRule="auto"/>
              <w:jc w:val="center"/>
            </w:pPr>
            <w:r>
              <w:t>4</w:t>
            </w:r>
          </w:p>
        </w:tc>
      </w:tr>
      <w:tr w:rsidR="00A15C2C" w14:paraId="59CDBD06" w14:textId="77777777" w:rsidTr="00394707">
        <w:trPr>
          <w:trHeight w:val="292"/>
          <w:jc w:val="center"/>
        </w:trPr>
        <w:tc>
          <w:tcPr>
            <w:tcW w:w="1840" w:type="dxa"/>
            <w:vMerge/>
            <w:shd w:val="clear" w:color="auto" w:fill="auto"/>
            <w:noWrap/>
            <w:vAlign w:val="center"/>
            <w:hideMark/>
          </w:tcPr>
          <w:p w14:paraId="1C5FAAF0" w14:textId="77777777" w:rsidR="00CB1818" w:rsidRPr="009F7CC9" w:rsidRDefault="00CB1818" w:rsidP="007550E2">
            <w:pPr>
              <w:spacing w:after="0" w:line="240" w:lineRule="auto"/>
              <w:rPr>
                <w:rFonts w:eastAsia="Times New Roman" w:cs="Times New Roman"/>
                <w:szCs w:val="24"/>
              </w:rPr>
            </w:pPr>
          </w:p>
        </w:tc>
        <w:tc>
          <w:tcPr>
            <w:tcW w:w="1569" w:type="dxa"/>
            <w:shd w:val="clear" w:color="auto" w:fill="auto"/>
            <w:noWrap/>
            <w:vAlign w:val="center"/>
            <w:hideMark/>
          </w:tcPr>
          <w:p w14:paraId="1D2D6A91" w14:textId="77777777" w:rsidR="00CB1818" w:rsidRPr="009F7CC9" w:rsidRDefault="000F5B51" w:rsidP="007550E2">
            <w:pPr>
              <w:spacing w:after="0" w:line="240" w:lineRule="auto"/>
              <w:jc w:val="center"/>
              <w:rPr>
                <w:rFonts w:eastAsia="Times New Roman" w:cs="Times New Roman"/>
                <w:color w:val="000000"/>
                <w:szCs w:val="24"/>
              </w:rPr>
            </w:pPr>
            <w:r w:rsidRPr="009F7CC9">
              <w:rPr>
                <w:rFonts w:eastAsia="Times New Roman" w:cs="Times New Roman"/>
                <w:color w:val="000000"/>
                <w:szCs w:val="24"/>
              </w:rPr>
              <w:t>Rear</w:t>
            </w:r>
          </w:p>
        </w:tc>
        <w:tc>
          <w:tcPr>
            <w:tcW w:w="2122" w:type="dxa"/>
            <w:shd w:val="clear" w:color="auto" w:fill="auto"/>
            <w:noWrap/>
          </w:tcPr>
          <w:p w14:paraId="725E0B0C" w14:textId="77777777" w:rsidR="00CB1818" w:rsidRPr="009F7CC9" w:rsidRDefault="000F5B51" w:rsidP="007550E2">
            <w:pPr>
              <w:spacing w:after="0" w:line="240" w:lineRule="auto"/>
              <w:jc w:val="center"/>
              <w:rPr>
                <w:rFonts w:eastAsia="Times New Roman" w:cs="Times New Roman"/>
                <w:color w:val="000000"/>
                <w:szCs w:val="24"/>
              </w:rPr>
            </w:pPr>
            <w:r w:rsidRPr="007763EC">
              <w:t>0</w:t>
            </w:r>
          </w:p>
        </w:tc>
        <w:tc>
          <w:tcPr>
            <w:tcW w:w="2399" w:type="dxa"/>
            <w:shd w:val="clear" w:color="auto" w:fill="auto"/>
            <w:noWrap/>
          </w:tcPr>
          <w:p w14:paraId="1CDACB6A" w14:textId="77777777" w:rsidR="00CB1818" w:rsidRPr="009F7CC9" w:rsidRDefault="000F5B51" w:rsidP="007550E2">
            <w:pPr>
              <w:spacing w:after="0" w:line="240" w:lineRule="auto"/>
              <w:jc w:val="center"/>
              <w:rPr>
                <w:rFonts w:eastAsia="Times New Roman" w:cs="Times New Roman"/>
                <w:color w:val="000000"/>
                <w:szCs w:val="24"/>
              </w:rPr>
            </w:pPr>
            <w:r w:rsidRPr="007763EC">
              <w:t>1</w:t>
            </w:r>
          </w:p>
        </w:tc>
        <w:tc>
          <w:tcPr>
            <w:tcW w:w="2399" w:type="dxa"/>
          </w:tcPr>
          <w:p w14:paraId="10BA6552" w14:textId="77777777" w:rsidR="00CB1818" w:rsidRPr="007763EC" w:rsidRDefault="000F5B51" w:rsidP="007550E2">
            <w:pPr>
              <w:spacing w:after="0" w:line="240" w:lineRule="auto"/>
              <w:jc w:val="center"/>
            </w:pPr>
            <w:r>
              <w:t>1</w:t>
            </w:r>
          </w:p>
        </w:tc>
      </w:tr>
      <w:tr w:rsidR="00A15C2C" w14:paraId="7ECC2B50" w14:textId="77777777" w:rsidTr="00394707">
        <w:trPr>
          <w:trHeight w:val="292"/>
          <w:jc w:val="center"/>
        </w:trPr>
        <w:tc>
          <w:tcPr>
            <w:tcW w:w="1840" w:type="dxa"/>
            <w:vMerge/>
            <w:shd w:val="clear" w:color="auto" w:fill="auto"/>
            <w:noWrap/>
            <w:vAlign w:val="center"/>
          </w:tcPr>
          <w:p w14:paraId="44D97EE6" w14:textId="77777777" w:rsidR="00CB1818" w:rsidRPr="009F7CC9" w:rsidRDefault="00CB1818" w:rsidP="007550E2">
            <w:pPr>
              <w:spacing w:after="0" w:line="240" w:lineRule="auto"/>
              <w:rPr>
                <w:rFonts w:eastAsia="Times New Roman" w:cs="Times New Roman"/>
                <w:szCs w:val="24"/>
              </w:rPr>
            </w:pPr>
          </w:p>
        </w:tc>
        <w:tc>
          <w:tcPr>
            <w:tcW w:w="1569" w:type="dxa"/>
            <w:shd w:val="clear" w:color="auto" w:fill="auto"/>
            <w:noWrap/>
            <w:vAlign w:val="center"/>
          </w:tcPr>
          <w:p w14:paraId="66E610B9" w14:textId="77777777" w:rsidR="00CB1818" w:rsidRPr="009F7CC9" w:rsidRDefault="000F5B51" w:rsidP="007550E2">
            <w:pPr>
              <w:spacing w:after="0" w:line="240" w:lineRule="auto"/>
              <w:jc w:val="center"/>
              <w:rPr>
                <w:rFonts w:eastAsia="Times New Roman" w:cs="Times New Roman"/>
                <w:color w:val="000000"/>
                <w:szCs w:val="24"/>
              </w:rPr>
            </w:pPr>
            <w:r>
              <w:rPr>
                <w:rFonts w:eastAsia="Times New Roman" w:cs="Times New Roman"/>
                <w:color w:val="000000"/>
                <w:szCs w:val="24"/>
              </w:rPr>
              <w:t>Total</w:t>
            </w:r>
          </w:p>
        </w:tc>
        <w:tc>
          <w:tcPr>
            <w:tcW w:w="2122" w:type="dxa"/>
            <w:shd w:val="clear" w:color="auto" w:fill="auto"/>
            <w:noWrap/>
          </w:tcPr>
          <w:p w14:paraId="231C7AE0" w14:textId="77777777" w:rsidR="00CB1818" w:rsidRPr="007763EC" w:rsidRDefault="000F5B51" w:rsidP="007550E2">
            <w:pPr>
              <w:spacing w:after="0" w:line="240" w:lineRule="auto"/>
              <w:jc w:val="center"/>
            </w:pPr>
            <w:r>
              <w:t>6</w:t>
            </w:r>
          </w:p>
        </w:tc>
        <w:tc>
          <w:tcPr>
            <w:tcW w:w="2399" w:type="dxa"/>
            <w:shd w:val="clear" w:color="auto" w:fill="auto"/>
            <w:noWrap/>
          </w:tcPr>
          <w:p w14:paraId="16A2ABE9" w14:textId="77777777" w:rsidR="00CB1818" w:rsidRPr="007763EC" w:rsidRDefault="000F5B51" w:rsidP="007550E2">
            <w:pPr>
              <w:spacing w:after="0" w:line="240" w:lineRule="auto"/>
              <w:jc w:val="center"/>
            </w:pPr>
            <w:r>
              <w:t>35</w:t>
            </w:r>
          </w:p>
        </w:tc>
        <w:tc>
          <w:tcPr>
            <w:tcW w:w="2399" w:type="dxa"/>
          </w:tcPr>
          <w:p w14:paraId="79A9B686" w14:textId="77777777" w:rsidR="00CB1818" w:rsidRPr="007763EC" w:rsidRDefault="000F5B51" w:rsidP="007550E2">
            <w:pPr>
              <w:spacing w:after="0" w:line="240" w:lineRule="auto"/>
              <w:jc w:val="center"/>
            </w:pPr>
            <w:r>
              <w:t>4</w:t>
            </w:r>
          </w:p>
        </w:tc>
      </w:tr>
    </w:tbl>
    <w:p w14:paraId="79A686FB" w14:textId="77777777" w:rsidR="00E0198E" w:rsidRPr="00B85DFD" w:rsidRDefault="000F5B51" w:rsidP="00E0198E">
      <w:pPr>
        <w:spacing w:after="0" w:line="240" w:lineRule="auto"/>
        <w:rPr>
          <w:sz w:val="18"/>
          <w:szCs w:val="18"/>
        </w:rPr>
      </w:pPr>
      <w:r>
        <w:rPr>
          <w:sz w:val="18"/>
          <w:szCs w:val="18"/>
        </w:rPr>
        <w:t xml:space="preserve">Note: Values may not sum due to rounding. Fatalities in which the occupant’s seat belt status was unknown were distributed and the resulting estimates were then rounded to the nearest whole number. </w:t>
      </w:r>
    </w:p>
    <w:p w14:paraId="0495532F" w14:textId="77777777" w:rsidR="00E0198E" w:rsidRDefault="00E0198E" w:rsidP="004A2073">
      <w:pPr>
        <w:pStyle w:val="NoSpaceTimes"/>
        <w:rPr>
          <w:rFonts w:eastAsia="Times New Roman"/>
          <w:b/>
          <w:bCs/>
        </w:rPr>
      </w:pPr>
    </w:p>
    <w:p w14:paraId="6FA4D942" w14:textId="77777777" w:rsidR="008230FF" w:rsidRDefault="000F5B51" w:rsidP="008230FF">
      <w:pPr>
        <w:pStyle w:val="Heading2"/>
        <w:spacing w:line="240" w:lineRule="auto"/>
      </w:pPr>
      <w:bookmarkStart w:id="2055" w:name="_Ref127188719"/>
      <w:bookmarkStart w:id="2056" w:name="_Toc142903017"/>
      <w:bookmarkStart w:id="2057" w:name="_Ref126936009"/>
      <w:bookmarkStart w:id="2058" w:name="_Ref126053213"/>
      <w:r>
        <w:t>Appendix E</w:t>
      </w:r>
      <w:bookmarkEnd w:id="2055"/>
      <w:bookmarkEnd w:id="2056"/>
    </w:p>
    <w:p w14:paraId="222FB91B" w14:textId="77777777" w:rsidR="008230FF" w:rsidRPr="005C58DC" w:rsidRDefault="000F5B51" w:rsidP="008230FF">
      <w:pPr>
        <w:spacing w:after="0"/>
        <w:contextualSpacing/>
        <w:rPr>
          <w:rFonts w:eastAsia="Times New Roman" w:cs="Times New Roman"/>
          <w:szCs w:val="24"/>
        </w:rPr>
      </w:pPr>
      <w:r w:rsidRPr="005C58DC">
        <w:rPr>
          <w:rFonts w:eastAsia="Times New Roman" w:cs="Times New Roman"/>
          <w:szCs w:val="24"/>
        </w:rPr>
        <w:t>The agency is unaware of a</w:t>
      </w:r>
      <w:r>
        <w:rPr>
          <w:rFonts w:eastAsia="Times New Roman" w:cs="Times New Roman"/>
          <w:szCs w:val="24"/>
        </w:rPr>
        <w:t>ny</w:t>
      </w:r>
      <w:r w:rsidRPr="005C58DC">
        <w:rPr>
          <w:rFonts w:eastAsia="Times New Roman" w:cs="Times New Roman"/>
          <w:szCs w:val="24"/>
        </w:rPr>
        <w:t xml:space="preserve"> </w:t>
      </w:r>
      <w:r>
        <w:rPr>
          <w:rFonts w:eastAsia="Times New Roman" w:cs="Times New Roman"/>
          <w:szCs w:val="24"/>
        </w:rPr>
        <w:t xml:space="preserve">recent </w:t>
      </w:r>
      <w:r w:rsidRPr="005C58DC">
        <w:rPr>
          <w:rFonts w:eastAsia="Times New Roman" w:cs="Times New Roman"/>
          <w:szCs w:val="24"/>
        </w:rPr>
        <w:t xml:space="preserve">study that specifically looks at the effect of a basic </w:t>
      </w:r>
      <w:r>
        <w:rPr>
          <w:rFonts w:eastAsia="Times New Roman" w:cs="Times New Roman"/>
          <w:szCs w:val="24"/>
        </w:rPr>
        <w:t>SBWS</w:t>
      </w:r>
      <w:r w:rsidRPr="005C58DC">
        <w:rPr>
          <w:rFonts w:eastAsia="Times New Roman" w:cs="Times New Roman"/>
          <w:szCs w:val="24"/>
        </w:rPr>
        <w:t xml:space="preserve"> for the front outboard passenger</w:t>
      </w:r>
      <w:r>
        <w:rPr>
          <w:rFonts w:eastAsia="Times New Roman" w:cs="Times New Roman"/>
          <w:szCs w:val="24"/>
        </w:rPr>
        <w:t xml:space="preserve">. </w:t>
      </w:r>
      <w:r w:rsidRPr="005C58DC">
        <w:rPr>
          <w:rFonts w:eastAsia="Times New Roman" w:cs="Times New Roman"/>
          <w:szCs w:val="24"/>
        </w:rPr>
        <w:t xml:space="preserve">The studies conducted in the 1970s found that a basic </w:t>
      </w:r>
      <w:r>
        <w:rPr>
          <w:rFonts w:eastAsia="Times New Roman" w:cs="Times New Roman"/>
          <w:szCs w:val="24"/>
        </w:rPr>
        <w:t>SBWS</w:t>
      </w:r>
      <w:r w:rsidRPr="005C58DC">
        <w:rPr>
          <w:rFonts w:eastAsia="Times New Roman" w:cs="Times New Roman"/>
          <w:szCs w:val="24"/>
        </w:rPr>
        <w:t xml:space="preserve"> </w:t>
      </w:r>
      <w:r w:rsidRPr="0017182A">
        <w:rPr>
          <w:rFonts w:eastAsia="Times New Roman" w:cs="Times New Roman"/>
          <w:szCs w:val="24"/>
        </w:rPr>
        <w:t>(i.e.</w:t>
      </w:r>
      <w:r>
        <w:rPr>
          <w:rFonts w:eastAsia="Times New Roman" w:cs="Times New Roman"/>
          <w:szCs w:val="24"/>
        </w:rPr>
        <w:t>,</w:t>
      </w:r>
      <w:r w:rsidRPr="0017182A">
        <w:rPr>
          <w:rFonts w:eastAsia="Times New Roman" w:cs="Times New Roman"/>
          <w:szCs w:val="24"/>
        </w:rPr>
        <w:t xml:space="preserve"> non-enhanced system not exceeding the requirements of FMVSS No. 208 for the driver position) </w:t>
      </w:r>
      <w:r w:rsidRPr="005C58DC">
        <w:rPr>
          <w:rFonts w:eastAsia="Times New Roman" w:cs="Times New Roman"/>
          <w:szCs w:val="24"/>
        </w:rPr>
        <w:t xml:space="preserve">had a small effect (up to </w:t>
      </w:r>
      <w:r>
        <w:rPr>
          <w:rFonts w:eastAsia="Times New Roman" w:cs="Times New Roman"/>
          <w:szCs w:val="24"/>
        </w:rPr>
        <w:t>five percent</w:t>
      </w:r>
      <w:r w:rsidRPr="005C58DC">
        <w:rPr>
          <w:rFonts w:eastAsia="Times New Roman" w:cs="Times New Roman"/>
          <w:szCs w:val="24"/>
        </w:rPr>
        <w:t xml:space="preserve"> increase in belt usage)</w:t>
      </w:r>
      <w:r>
        <w:rPr>
          <w:rFonts w:eastAsia="Times New Roman" w:cs="Times New Roman"/>
          <w:szCs w:val="24"/>
          <w:vertAlign w:val="superscript"/>
        </w:rPr>
        <w:footnoteReference w:id="82"/>
      </w:r>
      <w:r w:rsidRPr="005C58DC">
        <w:rPr>
          <w:rFonts w:eastAsia="Times New Roman" w:cs="Times New Roman"/>
          <w:szCs w:val="24"/>
        </w:rPr>
        <w:t xml:space="preserve"> to no effect</w:t>
      </w:r>
      <w:r>
        <w:rPr>
          <w:rFonts w:eastAsia="Times New Roman" w:cs="Times New Roman"/>
          <w:szCs w:val="24"/>
          <w:vertAlign w:val="superscript"/>
        </w:rPr>
        <w:footnoteReference w:id="83"/>
      </w:r>
      <w:r w:rsidRPr="005C58DC">
        <w:rPr>
          <w:rFonts w:eastAsia="Times New Roman" w:cs="Times New Roman"/>
          <w:szCs w:val="24"/>
        </w:rPr>
        <w:t xml:space="preserve"> on the driver’s seat belt use</w:t>
      </w:r>
      <w:r>
        <w:rPr>
          <w:rFonts w:eastAsia="Times New Roman" w:cs="Times New Roman"/>
          <w:szCs w:val="24"/>
        </w:rPr>
        <w:t xml:space="preserve">. </w:t>
      </w:r>
      <w:r w:rsidRPr="005C58DC">
        <w:rPr>
          <w:rFonts w:eastAsia="Times New Roman" w:cs="Times New Roman"/>
          <w:szCs w:val="24"/>
        </w:rPr>
        <w:t>However, these studies were conducted when seat belt usage was significantly lower (12 to 15 percent v</w:t>
      </w:r>
      <w:r>
        <w:rPr>
          <w:rFonts w:eastAsia="Times New Roman" w:cs="Times New Roman"/>
          <w:szCs w:val="24"/>
        </w:rPr>
        <w:t>ersus</w:t>
      </w:r>
      <w:r w:rsidRPr="005C58DC">
        <w:rPr>
          <w:rFonts w:eastAsia="Times New Roman" w:cs="Times New Roman"/>
          <w:szCs w:val="24"/>
        </w:rPr>
        <w:t xml:space="preserve"> </w:t>
      </w:r>
      <w:r>
        <w:rPr>
          <w:rFonts w:eastAsia="Times New Roman" w:cs="Times New Roman"/>
          <w:szCs w:val="24"/>
        </w:rPr>
        <w:t>the most current 90</w:t>
      </w:r>
      <w:r w:rsidRPr="005C58DC">
        <w:rPr>
          <w:rFonts w:eastAsia="Times New Roman" w:cs="Times New Roman"/>
          <w:szCs w:val="24"/>
        </w:rPr>
        <w:t xml:space="preserve"> percent</w:t>
      </w:r>
      <w:r>
        <w:rPr>
          <w:rFonts w:eastAsia="Times New Roman" w:cs="Times New Roman"/>
          <w:szCs w:val="24"/>
        </w:rPr>
        <w:t xml:space="preserve"> per the 2017 NOPUS</w:t>
      </w:r>
      <w:r w:rsidRPr="005C58DC">
        <w:rPr>
          <w:rFonts w:eastAsia="Times New Roman" w:cs="Times New Roman"/>
          <w:szCs w:val="24"/>
        </w:rPr>
        <w:t>) and thus the results would not necessarily be reflective of current behavior</w:t>
      </w:r>
      <w:r>
        <w:rPr>
          <w:rFonts w:eastAsia="Times New Roman" w:cs="Times New Roman"/>
          <w:szCs w:val="24"/>
        </w:rPr>
        <w:t xml:space="preserve">. As a result, they would not be </w:t>
      </w:r>
      <w:r w:rsidRPr="005C58DC">
        <w:rPr>
          <w:rFonts w:eastAsia="Times New Roman" w:cs="Times New Roman"/>
          <w:szCs w:val="24"/>
        </w:rPr>
        <w:t>usable for th</w:t>
      </w:r>
      <w:r>
        <w:rPr>
          <w:rFonts w:eastAsia="Times New Roman" w:cs="Times New Roman"/>
          <w:szCs w:val="24"/>
        </w:rPr>
        <w:t>e</w:t>
      </w:r>
      <w:r w:rsidRPr="005C58DC">
        <w:rPr>
          <w:rFonts w:eastAsia="Times New Roman" w:cs="Times New Roman"/>
          <w:szCs w:val="24"/>
        </w:rPr>
        <w:t xml:space="preserve"> </w:t>
      </w:r>
      <w:r>
        <w:rPr>
          <w:rFonts w:eastAsia="Times New Roman" w:cs="Times New Roman"/>
          <w:szCs w:val="24"/>
        </w:rPr>
        <w:t xml:space="preserve">benefits </w:t>
      </w:r>
      <w:r w:rsidRPr="005C58DC">
        <w:rPr>
          <w:rFonts w:eastAsia="Times New Roman" w:cs="Times New Roman"/>
          <w:szCs w:val="24"/>
        </w:rPr>
        <w:t xml:space="preserve">analysis. </w:t>
      </w:r>
    </w:p>
    <w:p w14:paraId="1BDD0BAA" w14:textId="77777777" w:rsidR="008230FF" w:rsidRPr="00014D77" w:rsidRDefault="000F5B51" w:rsidP="008230FF">
      <w:pPr>
        <w:spacing w:after="0"/>
        <w:rPr>
          <w:rFonts w:eastAsia="Times New Roman" w:cs="Times New Roman"/>
          <w:szCs w:val="24"/>
        </w:rPr>
      </w:pPr>
      <w:r w:rsidRPr="00897AED">
        <w:rPr>
          <w:rFonts w:eastAsia="Times New Roman" w:cs="Times New Roman"/>
          <w:szCs w:val="24"/>
        </w:rPr>
        <w:t xml:space="preserve">NHTSA conducted an </w:t>
      </w:r>
      <w:r w:rsidRPr="00014D77">
        <w:rPr>
          <w:rFonts w:eastAsia="Times New Roman" w:cs="Times New Roman"/>
          <w:szCs w:val="24"/>
        </w:rPr>
        <w:t xml:space="preserve">internal analysis of seat belt use data from the NASS-CDS </w:t>
      </w:r>
      <w:r w:rsidRPr="00617167">
        <w:rPr>
          <w:rFonts w:eastAsia="Times New Roman" w:cs="Times New Roman"/>
          <w:szCs w:val="24"/>
        </w:rPr>
        <w:t>for front outboard passenger seat occupants</w:t>
      </w:r>
      <w:r w:rsidRPr="00897AED">
        <w:rPr>
          <w:rFonts w:eastAsia="Times New Roman" w:cs="Times New Roman"/>
          <w:szCs w:val="24"/>
        </w:rPr>
        <w:t xml:space="preserve"> in MY 2006-2010 vehicles with (</w:t>
      </w:r>
      <w:r w:rsidRPr="00014D77">
        <w:rPr>
          <w:rFonts w:eastAsia="Times New Roman" w:cs="Times New Roman"/>
          <w:szCs w:val="24"/>
        </w:rPr>
        <w:t>i.e., GM and Ford) and without (i.e., Chrysler) a front outboard passenger SBWS</w:t>
      </w:r>
      <w:r>
        <w:rPr>
          <w:rFonts w:eastAsia="Times New Roman" w:cs="Times New Roman"/>
          <w:szCs w:val="24"/>
        </w:rPr>
        <w:t xml:space="preserve">. </w:t>
      </w:r>
      <w:r w:rsidRPr="00014D77">
        <w:rPr>
          <w:rFonts w:eastAsia="Times New Roman" w:cs="Times New Roman"/>
          <w:szCs w:val="24"/>
        </w:rPr>
        <w:t>The front outboard passenger SBWSs in these vehicles were enhanced systems at the time of introduction</w:t>
      </w:r>
      <w:r>
        <w:rPr>
          <w:rFonts w:eastAsia="Times New Roman" w:cs="Times New Roman"/>
          <w:szCs w:val="24"/>
        </w:rPr>
        <w:t xml:space="preserve">. </w:t>
      </w:r>
      <w:r w:rsidRPr="00014D77">
        <w:rPr>
          <w:rFonts w:eastAsia="Times New Roman" w:cs="Times New Roman"/>
          <w:szCs w:val="24"/>
        </w:rPr>
        <w:t xml:space="preserve">NHTSA found that the seat </w:t>
      </w:r>
      <w:r w:rsidRPr="00014D77">
        <w:rPr>
          <w:rFonts w:eastAsia="Times New Roman" w:cs="Times New Roman"/>
          <w:szCs w:val="24"/>
        </w:rPr>
        <w:lastRenderedPageBreak/>
        <w:t xml:space="preserve">belt use of front outboard passengers in vehicles </w:t>
      </w:r>
      <w:r w:rsidRPr="00617167">
        <w:rPr>
          <w:rFonts w:eastAsia="Times New Roman" w:cs="Times New Roman"/>
          <w:szCs w:val="24"/>
        </w:rPr>
        <w:t>without</w:t>
      </w:r>
      <w:r w:rsidRPr="00897AED">
        <w:rPr>
          <w:rFonts w:eastAsia="Times New Roman" w:cs="Times New Roman"/>
          <w:szCs w:val="24"/>
        </w:rPr>
        <w:t xml:space="preserve"> front </w:t>
      </w:r>
      <w:r w:rsidRPr="00014D77">
        <w:rPr>
          <w:rFonts w:eastAsia="Times New Roman" w:cs="Times New Roman"/>
          <w:szCs w:val="24"/>
        </w:rPr>
        <w:t xml:space="preserve">outboard passenger SBWSs was approximately six percentage points lower than the restraint use of front outboard passengers in vehicles with an </w:t>
      </w:r>
      <w:r w:rsidRPr="00617167">
        <w:rPr>
          <w:rFonts w:eastAsia="Times New Roman" w:cs="Times New Roman"/>
          <w:szCs w:val="24"/>
        </w:rPr>
        <w:t>enhanced</w:t>
      </w:r>
      <w:r w:rsidRPr="00897AED">
        <w:rPr>
          <w:rFonts w:eastAsia="Times New Roman" w:cs="Times New Roman"/>
          <w:szCs w:val="24"/>
        </w:rPr>
        <w:t xml:space="preserve"> </w:t>
      </w:r>
      <w:r w:rsidRPr="00014D77">
        <w:rPr>
          <w:rFonts w:eastAsia="Times New Roman" w:cs="Times New Roman"/>
          <w:szCs w:val="24"/>
        </w:rPr>
        <w:t>SBWS</w:t>
      </w:r>
      <w:r>
        <w:rPr>
          <w:rFonts w:eastAsia="Times New Roman" w:cs="Times New Roman"/>
          <w:szCs w:val="24"/>
        </w:rPr>
        <w:t xml:space="preserve">. </w:t>
      </w:r>
      <w:r w:rsidRPr="00014D77">
        <w:rPr>
          <w:rFonts w:eastAsia="Times New Roman" w:cs="Times New Roman"/>
          <w:szCs w:val="24"/>
        </w:rPr>
        <w:t xml:space="preserve"> </w:t>
      </w:r>
    </w:p>
    <w:p w14:paraId="0A153DD8" w14:textId="77777777" w:rsidR="008230FF" w:rsidRDefault="000F5B51" w:rsidP="008230FF">
      <w:pPr>
        <w:spacing w:after="0"/>
        <w:rPr>
          <w:rFonts w:cs="Times New Roman"/>
          <w:szCs w:val="24"/>
        </w:rPr>
      </w:pPr>
      <w:r w:rsidRPr="00014D77">
        <w:rPr>
          <w:rFonts w:eastAsia="Times New Roman" w:cs="Times New Roman"/>
          <w:szCs w:val="24"/>
        </w:rPr>
        <w:t xml:space="preserve">In the mid-2000s, </w:t>
      </w:r>
      <w:r w:rsidRPr="00014D77">
        <w:rPr>
          <w:rFonts w:cs="Times New Roman"/>
          <w:szCs w:val="24"/>
        </w:rPr>
        <w:t>the agency conducted an observational study on the effectiveness and acceptability of several different types of front SBWSs.</w:t>
      </w:r>
      <w:r>
        <w:rPr>
          <w:rStyle w:val="FootnoteReference"/>
          <w:rFonts w:cs="Times New Roman"/>
          <w:szCs w:val="24"/>
        </w:rPr>
        <w:footnoteReference w:id="84"/>
      </w:r>
      <w:r w:rsidRPr="00897AED">
        <w:rPr>
          <w:rFonts w:cs="Times New Roman"/>
          <w:szCs w:val="24"/>
        </w:rPr>
        <w:t xml:space="preserve"> </w:t>
      </w:r>
      <w:r w:rsidRPr="00014D77">
        <w:rPr>
          <w:rFonts w:cs="Times New Roman"/>
          <w:szCs w:val="24"/>
        </w:rPr>
        <w:t xml:space="preserve"> This study found that the overall effect of an </w:t>
      </w:r>
      <w:r w:rsidRPr="00617167">
        <w:rPr>
          <w:rFonts w:cs="Times New Roman"/>
          <w:szCs w:val="24"/>
        </w:rPr>
        <w:t>enhanced</w:t>
      </w:r>
      <w:r w:rsidRPr="00897AED">
        <w:rPr>
          <w:rFonts w:cs="Times New Roman"/>
          <w:szCs w:val="24"/>
        </w:rPr>
        <w:t xml:space="preserve"> </w:t>
      </w:r>
      <w:r w:rsidRPr="00014D77">
        <w:rPr>
          <w:rFonts w:cs="Times New Roman"/>
          <w:szCs w:val="24"/>
        </w:rPr>
        <w:t>SBWS was</w:t>
      </w:r>
      <w:r w:rsidRPr="003B4AED">
        <w:rPr>
          <w:rFonts w:cs="Times New Roman"/>
          <w:szCs w:val="24"/>
        </w:rPr>
        <w:t xml:space="preserve"> an increase in the front </w:t>
      </w:r>
      <w:r>
        <w:rPr>
          <w:rFonts w:cs="Times New Roman"/>
          <w:szCs w:val="24"/>
        </w:rPr>
        <w:t xml:space="preserve">outboard </w:t>
      </w:r>
      <w:r w:rsidRPr="003B4AED">
        <w:rPr>
          <w:rFonts w:cs="Times New Roman"/>
          <w:szCs w:val="24"/>
        </w:rPr>
        <w:t xml:space="preserve">passenger seat belt usage by </w:t>
      </w:r>
      <w:r>
        <w:rPr>
          <w:rFonts w:cs="Times New Roman"/>
          <w:szCs w:val="24"/>
        </w:rPr>
        <w:t>three to four</w:t>
      </w:r>
      <w:r w:rsidRPr="003B4AED">
        <w:rPr>
          <w:rFonts w:cs="Times New Roman"/>
          <w:szCs w:val="24"/>
        </w:rPr>
        <w:t xml:space="preserve"> percentage points compared to vehicles with </w:t>
      </w:r>
      <w:r>
        <w:rPr>
          <w:rFonts w:cs="Times New Roman"/>
          <w:szCs w:val="24"/>
        </w:rPr>
        <w:t xml:space="preserve">a </w:t>
      </w:r>
      <w:r w:rsidRPr="00617167">
        <w:rPr>
          <w:rFonts w:cs="Times New Roman"/>
          <w:szCs w:val="24"/>
        </w:rPr>
        <w:t>basic</w:t>
      </w:r>
      <w:r>
        <w:rPr>
          <w:rFonts w:cs="Times New Roman"/>
          <w:szCs w:val="24"/>
        </w:rPr>
        <w:t xml:space="preserve"> (i.e., non-enhanced) front SBWS</w:t>
      </w:r>
      <w:r w:rsidRPr="003B4AED">
        <w:rPr>
          <w:rFonts w:cs="Times New Roman"/>
          <w:szCs w:val="24"/>
        </w:rPr>
        <w:t>s</w:t>
      </w:r>
      <w:r>
        <w:rPr>
          <w:rFonts w:cs="Times New Roman"/>
          <w:szCs w:val="24"/>
        </w:rPr>
        <w:t xml:space="preserve">. </w:t>
      </w:r>
    </w:p>
    <w:p w14:paraId="6BF24D13" w14:textId="77777777" w:rsidR="008230FF" w:rsidRDefault="000F5B51" w:rsidP="008230FF">
      <w:pPr>
        <w:spacing w:after="0"/>
        <w:rPr>
          <w:rFonts w:eastAsia="Times New Roman" w:cs="Times New Roman"/>
          <w:szCs w:val="24"/>
        </w:rPr>
      </w:pPr>
      <w:r>
        <w:rPr>
          <w:rFonts w:eastAsia="Times New Roman" w:cs="Times New Roman"/>
          <w:szCs w:val="24"/>
        </w:rPr>
        <w:t>Therefore</w:t>
      </w:r>
      <w:r w:rsidRPr="006E718B">
        <w:rPr>
          <w:rFonts w:eastAsia="Times New Roman" w:cs="Times New Roman"/>
          <w:szCs w:val="24"/>
        </w:rPr>
        <w:t xml:space="preserve">, </w:t>
      </w:r>
      <w:r>
        <w:rPr>
          <w:rFonts w:eastAsia="Times New Roman" w:cs="Times New Roman"/>
          <w:szCs w:val="24"/>
        </w:rPr>
        <w:t xml:space="preserve">for the front outboard occupant analysis, </w:t>
      </w:r>
      <w:r w:rsidRPr="006E718B">
        <w:rPr>
          <w:rFonts w:eastAsia="Times New Roman" w:cs="Times New Roman"/>
          <w:szCs w:val="24"/>
        </w:rPr>
        <w:t xml:space="preserve">we </w:t>
      </w:r>
      <w:r>
        <w:rPr>
          <w:rFonts w:eastAsia="Times New Roman" w:cs="Times New Roman"/>
          <w:szCs w:val="24"/>
        </w:rPr>
        <w:t xml:space="preserve">assumed </w:t>
      </w:r>
      <w:r w:rsidRPr="006E718B">
        <w:rPr>
          <w:rFonts w:eastAsia="Times New Roman" w:cs="Times New Roman"/>
          <w:szCs w:val="24"/>
        </w:rPr>
        <w:t xml:space="preserve">that a front </w:t>
      </w:r>
      <w:r>
        <w:rPr>
          <w:rFonts w:eastAsia="Times New Roman" w:cs="Times New Roman"/>
          <w:szCs w:val="24"/>
        </w:rPr>
        <w:t xml:space="preserve">outboard </w:t>
      </w:r>
      <w:r w:rsidRPr="006E718B">
        <w:rPr>
          <w:rFonts w:eastAsia="Times New Roman" w:cs="Times New Roman"/>
          <w:szCs w:val="24"/>
        </w:rPr>
        <w:t xml:space="preserve">passenger </w:t>
      </w:r>
      <w:r>
        <w:rPr>
          <w:rFonts w:eastAsia="Times New Roman" w:cs="Times New Roman"/>
          <w:szCs w:val="24"/>
        </w:rPr>
        <w:t>SBWS</w:t>
      </w:r>
      <w:r w:rsidRPr="006E718B">
        <w:rPr>
          <w:rFonts w:eastAsia="Times New Roman" w:cs="Times New Roman"/>
          <w:szCs w:val="24"/>
        </w:rPr>
        <w:t xml:space="preserve"> meeting the same requirements </w:t>
      </w:r>
      <w:r w:rsidRPr="00473B76">
        <w:rPr>
          <w:rFonts w:eastAsia="Times New Roman" w:cs="Times New Roman"/>
          <w:szCs w:val="24"/>
        </w:rPr>
        <w:t>as the basic driver SBWS</w:t>
      </w:r>
      <w:r w:rsidRPr="00082C19">
        <w:rPr>
          <w:rFonts w:eastAsia="Times New Roman" w:cs="Times New Roman"/>
          <w:szCs w:val="24"/>
        </w:rPr>
        <w:t xml:space="preserve"> </w:t>
      </w:r>
      <w:r w:rsidRPr="006E718B">
        <w:rPr>
          <w:rFonts w:eastAsia="Times New Roman" w:cs="Times New Roman"/>
          <w:szCs w:val="24"/>
        </w:rPr>
        <w:t xml:space="preserve">would result in </w:t>
      </w:r>
      <w:r>
        <w:rPr>
          <w:rFonts w:eastAsia="Times New Roman" w:cs="Times New Roman"/>
          <w:szCs w:val="24"/>
        </w:rPr>
        <w:t xml:space="preserve">two to three percentage </w:t>
      </w:r>
      <w:r w:rsidRPr="00B42126">
        <w:rPr>
          <w:rFonts w:eastAsia="Times New Roman" w:cs="Times New Roman"/>
          <w:szCs w:val="24"/>
        </w:rPr>
        <w:t>point increase in belt usage among front outboard passengers</w:t>
      </w:r>
      <w:r>
        <w:rPr>
          <w:rFonts w:eastAsia="Times New Roman" w:cs="Times New Roman"/>
          <w:szCs w:val="24"/>
        </w:rPr>
        <w:t xml:space="preserve"> (six percentage points between no-SBWS and enhanced SBWSs and three to four percentage points between basic SBWSs and enhanced SBWSs) based on the simple assumed arithmetic</w:t>
      </w:r>
      <w:r w:rsidRPr="00B42126">
        <w:rPr>
          <w:rFonts w:eastAsia="Times New Roman" w:cs="Times New Roman"/>
          <w:szCs w:val="24"/>
        </w:rPr>
        <w:t>.</w:t>
      </w:r>
      <w:r>
        <w:rPr>
          <w:rStyle w:val="FootnoteReference"/>
          <w:rFonts w:eastAsia="Times New Roman" w:cs="Times New Roman"/>
          <w:szCs w:val="24"/>
        </w:rPr>
        <w:footnoteReference w:id="85"/>
      </w:r>
      <w:r w:rsidRPr="00B42126">
        <w:rPr>
          <w:rFonts w:eastAsia="Times New Roman" w:cs="Times New Roman"/>
          <w:szCs w:val="24"/>
        </w:rPr>
        <w:t xml:space="preserve">  </w:t>
      </w:r>
      <w:r>
        <w:rPr>
          <w:rFonts w:eastAsia="Times New Roman" w:cs="Times New Roman"/>
          <w:szCs w:val="24"/>
        </w:rPr>
        <w:t xml:space="preserve">We request comment on this assumption. </w:t>
      </w:r>
    </w:p>
    <w:p w14:paraId="4983C84A" w14:textId="77777777" w:rsidR="008230FF" w:rsidRDefault="000F5B51" w:rsidP="008230FF">
      <w:pPr>
        <w:spacing w:after="0"/>
        <w:rPr>
          <w:rFonts w:eastAsia="Times New Roman" w:cs="Times New Roman"/>
          <w:szCs w:val="24"/>
        </w:rPr>
      </w:pPr>
      <w:r>
        <w:rPr>
          <w:rFonts w:eastAsia="Times New Roman" w:cs="Times New Roman"/>
          <w:szCs w:val="24"/>
        </w:rPr>
        <w:t>In addition, when compared to the front seat belt use rates, the observed rear seat belt use rates fluctuate much more. For example, the belt use rates decreased from 78 percent in 2013 to 73 percent in 2014.</w:t>
      </w:r>
      <w:r>
        <w:rPr>
          <w:rStyle w:val="FootnoteReference"/>
          <w:rFonts w:eastAsia="Times New Roman" w:cs="Times New Roman"/>
          <w:szCs w:val="24"/>
        </w:rPr>
        <w:footnoteReference w:id="86"/>
      </w:r>
      <w:r>
        <w:rPr>
          <w:rFonts w:eastAsia="Times New Roman" w:cs="Times New Roman"/>
          <w:szCs w:val="24"/>
        </w:rPr>
        <w:t xml:space="preserve">  To minimize potential impacts of any fluctuation on the analysis, we used four years of data, 2011 to 2014 NOPUS, to estimate the overall observed front seat belt use rate in the rear SBWS analysis. </w:t>
      </w:r>
    </w:p>
    <w:p w14:paraId="5FA7986C" w14:textId="77777777" w:rsidR="008230FF" w:rsidRDefault="000F5B51" w:rsidP="008230FF">
      <w:pPr>
        <w:spacing w:after="0"/>
        <w:rPr>
          <w:rFonts w:eastAsia="Times New Roman" w:cs="Times New Roman"/>
          <w:szCs w:val="24"/>
        </w:rPr>
      </w:pPr>
      <w:r>
        <w:rPr>
          <w:rFonts w:eastAsia="Times New Roman" w:cs="Times New Roman"/>
          <w:szCs w:val="24"/>
        </w:rPr>
        <w:lastRenderedPageBreak/>
        <w:t>Since the</w:t>
      </w:r>
      <w:r w:rsidRPr="00E54139">
        <w:t xml:space="preserve"> </w:t>
      </w:r>
      <w:r w:rsidRPr="00E54139">
        <w:rPr>
          <w:rFonts w:eastAsia="Times New Roman" w:cs="Times New Roman"/>
          <w:szCs w:val="24"/>
        </w:rPr>
        <w:t xml:space="preserve">front seat </w:t>
      </w:r>
      <w:r>
        <w:rPr>
          <w:rFonts w:eastAsia="Times New Roman" w:cs="Times New Roman"/>
          <w:szCs w:val="24"/>
        </w:rPr>
        <w:t xml:space="preserve">belt usage </w:t>
      </w:r>
      <w:r w:rsidRPr="00E54139">
        <w:rPr>
          <w:rFonts w:eastAsia="Times New Roman" w:cs="Times New Roman"/>
          <w:szCs w:val="24"/>
        </w:rPr>
        <w:t xml:space="preserve">data </w:t>
      </w:r>
      <w:r>
        <w:rPr>
          <w:rFonts w:eastAsia="Times New Roman" w:cs="Times New Roman"/>
          <w:szCs w:val="24"/>
        </w:rPr>
        <w:t xml:space="preserve">in the 2014 NOPUS report is </w:t>
      </w:r>
      <w:r w:rsidRPr="00E54139">
        <w:rPr>
          <w:rFonts w:eastAsia="Times New Roman" w:cs="Times New Roman"/>
          <w:szCs w:val="24"/>
        </w:rPr>
        <w:t xml:space="preserve">a pooled </w:t>
      </w:r>
      <w:r w:rsidRPr="003B1D6F">
        <w:rPr>
          <w:rFonts w:eastAsia="Times New Roman" w:cs="Times New Roman"/>
          <w:szCs w:val="24"/>
        </w:rPr>
        <w:t xml:space="preserve">estimate, </w:t>
      </w:r>
      <w:r w:rsidRPr="00F3664E">
        <w:t>we do not have it separated by driver and passenger</w:t>
      </w:r>
      <w:r>
        <w:t xml:space="preserve">. </w:t>
      </w:r>
      <w:r w:rsidRPr="003B1D6F">
        <w:rPr>
          <w:rFonts w:eastAsia="Times New Roman" w:cs="Times New Roman"/>
          <w:szCs w:val="24"/>
        </w:rPr>
        <w:t xml:space="preserve">Note </w:t>
      </w:r>
      <w:r>
        <w:rPr>
          <w:rFonts w:eastAsia="Times New Roman" w:cs="Times New Roman"/>
          <w:szCs w:val="24"/>
        </w:rPr>
        <w:t>that the 2014 NOPUS report</w:t>
      </w:r>
      <w:r w:rsidRPr="00983790">
        <w:rPr>
          <w:rFonts w:eastAsia="Times New Roman" w:cs="Times New Roman"/>
          <w:szCs w:val="24"/>
        </w:rPr>
        <w:t xml:space="preserve"> shows that seat belt use </w:t>
      </w:r>
      <w:r>
        <w:rPr>
          <w:rFonts w:eastAsia="Times New Roman" w:cs="Times New Roman"/>
          <w:szCs w:val="24"/>
        </w:rPr>
        <w:t xml:space="preserve">is </w:t>
      </w:r>
      <w:r w:rsidRPr="00983790">
        <w:rPr>
          <w:rFonts w:eastAsia="Times New Roman" w:cs="Times New Roman"/>
          <w:szCs w:val="24"/>
        </w:rPr>
        <w:t>lower among drivers driving alone than for</w:t>
      </w:r>
      <w:r>
        <w:rPr>
          <w:rFonts w:eastAsia="Times New Roman" w:cs="Times New Roman"/>
          <w:szCs w:val="24"/>
        </w:rPr>
        <w:t xml:space="preserve"> d</w:t>
      </w:r>
      <w:r w:rsidRPr="00983790">
        <w:rPr>
          <w:rFonts w:eastAsia="Times New Roman" w:cs="Times New Roman"/>
          <w:szCs w:val="24"/>
        </w:rPr>
        <w:t>rivers driving with passengers</w:t>
      </w:r>
      <w:r>
        <w:rPr>
          <w:rFonts w:eastAsia="Times New Roman" w:cs="Times New Roman"/>
          <w:szCs w:val="24"/>
        </w:rPr>
        <w:t xml:space="preserve">. (For example, it shows 86 percent of drivers use seat belts when no passenger is in the vehicle whereas 89 percent of drivers use seat belts when at least one passenger is in the vehicle in 2014.)  Overall, the 2014 NOPUS report reports 87 percent of front occupants used seat belts in 2014. </w:t>
      </w:r>
    </w:p>
    <w:p w14:paraId="3B8F4366" w14:textId="77777777" w:rsidR="008230FF" w:rsidRDefault="000F5B51" w:rsidP="008230FF">
      <w:pPr>
        <w:spacing w:after="0"/>
        <w:rPr>
          <w:rFonts w:eastAsia="Times New Roman" w:cs="Times New Roman"/>
          <w:szCs w:val="24"/>
        </w:rPr>
      </w:pPr>
      <w:r>
        <w:rPr>
          <w:rFonts w:eastAsia="Times New Roman" w:cs="Times New Roman"/>
          <w:szCs w:val="24"/>
        </w:rPr>
        <w:t>In order to estimate the front passenger seat belt use rate, we examined 2006 to 2015 NASS GES data. The GES data show that on average driver injuries without occupants in the vehicle are 58.36 percent of the total injuries. With occupants, the driver injuries are 20.82 percent. In addition, the GES data show that 20.82 percent of all occupant injuries are from passengers.</w:t>
      </w:r>
    </w:p>
    <w:p w14:paraId="02196392" w14:textId="28409269" w:rsidR="008230FF" w:rsidRPr="00A90ABD" w:rsidRDefault="000F5B51" w:rsidP="008230FF">
      <w:pPr>
        <w:pStyle w:val="Caption"/>
      </w:pPr>
      <w:r>
        <w:t xml:space="preserve">Table </w:t>
      </w:r>
      <w:r w:rsidR="00115BAB">
        <w:fldChar w:fldCharType="begin"/>
      </w:r>
      <w:r>
        <w:instrText xml:space="preserve"> SEQ Table \* ARABIC </w:instrText>
      </w:r>
      <w:r w:rsidR="00115BAB">
        <w:fldChar w:fldCharType="separate"/>
      </w:r>
      <w:r w:rsidR="00A65CB3">
        <w:rPr>
          <w:noProof/>
        </w:rPr>
        <w:t>127</w:t>
      </w:r>
      <w:r w:rsidR="00115BAB">
        <w:rPr>
          <w:noProof/>
        </w:rPr>
        <w:fldChar w:fldCharType="end"/>
      </w:r>
      <w:r>
        <w:rPr>
          <w:noProof/>
        </w:rPr>
        <w:t>: Estimate of Front Seat Passenger Vehicle Occupants Injured</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6"/>
        <w:gridCol w:w="1719"/>
        <w:gridCol w:w="1720"/>
        <w:gridCol w:w="1719"/>
        <w:gridCol w:w="1720"/>
        <w:gridCol w:w="1720"/>
      </w:tblGrid>
      <w:tr w:rsidR="00A15C2C" w14:paraId="68C6EEAB" w14:textId="77777777" w:rsidTr="00BF228C">
        <w:trPr>
          <w:trHeight w:val="369"/>
          <w:jc w:val="center"/>
        </w:trPr>
        <w:tc>
          <w:tcPr>
            <w:tcW w:w="0" w:type="auto"/>
            <w:shd w:val="clear" w:color="auto" w:fill="D9D9D9" w:themeFill="background1" w:themeFillShade="D9"/>
            <w:noWrap/>
            <w:vAlign w:val="center"/>
            <w:hideMark/>
          </w:tcPr>
          <w:p w14:paraId="230D7E68" w14:textId="77777777" w:rsidR="008230FF" w:rsidRPr="006A00B6" w:rsidRDefault="000F5B51" w:rsidP="00BF228C">
            <w:pPr>
              <w:spacing w:after="0" w:line="240" w:lineRule="auto"/>
              <w:rPr>
                <w:rFonts w:eastAsia="Times New Roman" w:cs="Times New Roman"/>
                <w:b/>
                <w:bCs/>
                <w:szCs w:val="24"/>
              </w:rPr>
            </w:pPr>
            <w:r w:rsidRPr="006A00B6">
              <w:rPr>
                <w:rFonts w:eastAsia="Times New Roman" w:cs="Times New Roman"/>
                <w:b/>
                <w:bCs/>
                <w:szCs w:val="24"/>
              </w:rPr>
              <w:t>Year</w:t>
            </w:r>
          </w:p>
        </w:tc>
        <w:tc>
          <w:tcPr>
            <w:tcW w:w="1719" w:type="dxa"/>
            <w:shd w:val="clear" w:color="auto" w:fill="D9D9D9" w:themeFill="background1" w:themeFillShade="D9"/>
            <w:vAlign w:val="center"/>
            <w:hideMark/>
          </w:tcPr>
          <w:p w14:paraId="57B70F42" w14:textId="77777777" w:rsidR="008230FF" w:rsidRDefault="000F5B51" w:rsidP="00BF228C">
            <w:pPr>
              <w:spacing w:after="0" w:line="240" w:lineRule="auto"/>
              <w:jc w:val="center"/>
              <w:rPr>
                <w:rFonts w:eastAsia="Times New Roman" w:cs="Times New Roman"/>
                <w:b/>
                <w:bCs/>
                <w:szCs w:val="24"/>
              </w:rPr>
            </w:pPr>
            <w:r w:rsidRPr="006A00B6">
              <w:rPr>
                <w:rFonts w:eastAsia="Times New Roman" w:cs="Times New Roman"/>
                <w:b/>
                <w:bCs/>
                <w:szCs w:val="24"/>
              </w:rPr>
              <w:t xml:space="preserve">Drivers </w:t>
            </w:r>
          </w:p>
          <w:p w14:paraId="24D13FA7" w14:textId="77777777" w:rsidR="008230FF" w:rsidRPr="006A00B6" w:rsidRDefault="000F5B51" w:rsidP="00BF228C">
            <w:pPr>
              <w:spacing w:after="0" w:line="240" w:lineRule="auto"/>
              <w:jc w:val="center"/>
              <w:rPr>
                <w:rFonts w:eastAsia="Times New Roman" w:cs="Times New Roman"/>
                <w:b/>
                <w:bCs/>
                <w:szCs w:val="24"/>
              </w:rPr>
            </w:pPr>
            <w:r w:rsidRPr="006A00B6">
              <w:rPr>
                <w:rFonts w:eastAsia="Times New Roman" w:cs="Times New Roman"/>
                <w:b/>
                <w:bCs/>
                <w:szCs w:val="24"/>
              </w:rPr>
              <w:t>(D)</w:t>
            </w:r>
          </w:p>
        </w:tc>
        <w:tc>
          <w:tcPr>
            <w:tcW w:w="1720" w:type="dxa"/>
            <w:shd w:val="clear" w:color="auto" w:fill="D9D9D9" w:themeFill="background1" w:themeFillShade="D9"/>
            <w:vAlign w:val="center"/>
            <w:hideMark/>
          </w:tcPr>
          <w:p w14:paraId="0A83B9FF" w14:textId="77777777" w:rsidR="008230FF" w:rsidRDefault="000F5B51" w:rsidP="00BF228C">
            <w:pPr>
              <w:spacing w:after="0" w:line="240" w:lineRule="auto"/>
              <w:jc w:val="center"/>
              <w:rPr>
                <w:rFonts w:eastAsia="Times New Roman" w:cs="Times New Roman"/>
                <w:b/>
                <w:bCs/>
                <w:szCs w:val="24"/>
              </w:rPr>
            </w:pPr>
            <w:r w:rsidRPr="006A00B6">
              <w:rPr>
                <w:rFonts w:eastAsia="Times New Roman" w:cs="Times New Roman"/>
                <w:b/>
                <w:bCs/>
                <w:szCs w:val="24"/>
              </w:rPr>
              <w:t>Passengers</w:t>
            </w:r>
          </w:p>
          <w:p w14:paraId="7A831452" w14:textId="77777777" w:rsidR="008230FF" w:rsidRPr="006A00B6" w:rsidRDefault="000F5B51" w:rsidP="00BF228C">
            <w:pPr>
              <w:spacing w:after="0" w:line="240" w:lineRule="auto"/>
              <w:jc w:val="center"/>
              <w:rPr>
                <w:rFonts w:eastAsia="Times New Roman" w:cs="Times New Roman"/>
                <w:b/>
                <w:bCs/>
                <w:szCs w:val="24"/>
              </w:rPr>
            </w:pPr>
            <w:r w:rsidRPr="006A00B6">
              <w:rPr>
                <w:rFonts w:eastAsia="Times New Roman" w:cs="Times New Roman"/>
                <w:b/>
                <w:bCs/>
                <w:szCs w:val="24"/>
              </w:rPr>
              <w:t xml:space="preserve"> (P)</w:t>
            </w:r>
          </w:p>
        </w:tc>
        <w:tc>
          <w:tcPr>
            <w:tcW w:w="1719" w:type="dxa"/>
            <w:shd w:val="clear" w:color="auto" w:fill="D9D9D9" w:themeFill="background1" w:themeFillShade="D9"/>
            <w:vAlign w:val="center"/>
            <w:hideMark/>
          </w:tcPr>
          <w:p w14:paraId="11AF7FD5" w14:textId="77777777" w:rsidR="008230FF" w:rsidRDefault="000F5B51" w:rsidP="00BF228C">
            <w:pPr>
              <w:spacing w:after="0" w:line="240" w:lineRule="auto"/>
              <w:jc w:val="center"/>
              <w:rPr>
                <w:rFonts w:eastAsia="Times New Roman" w:cs="Times New Roman"/>
                <w:b/>
                <w:bCs/>
                <w:szCs w:val="24"/>
              </w:rPr>
            </w:pPr>
            <w:r w:rsidRPr="006A00B6">
              <w:rPr>
                <w:rFonts w:eastAsia="Times New Roman" w:cs="Times New Roman"/>
                <w:b/>
                <w:bCs/>
                <w:szCs w:val="24"/>
              </w:rPr>
              <w:t>Drivers w/Pass</w:t>
            </w:r>
          </w:p>
          <w:p w14:paraId="14C7D38A" w14:textId="77777777" w:rsidR="008230FF" w:rsidRPr="006A00B6" w:rsidRDefault="000F5B51" w:rsidP="00BF228C">
            <w:pPr>
              <w:spacing w:after="0" w:line="240" w:lineRule="auto"/>
              <w:jc w:val="center"/>
              <w:rPr>
                <w:rFonts w:eastAsia="Times New Roman" w:cs="Times New Roman"/>
                <w:b/>
                <w:bCs/>
                <w:szCs w:val="24"/>
              </w:rPr>
            </w:pPr>
            <w:r w:rsidRPr="006A00B6">
              <w:rPr>
                <w:rFonts w:eastAsia="Times New Roman" w:cs="Times New Roman"/>
                <w:b/>
                <w:bCs/>
                <w:szCs w:val="24"/>
              </w:rPr>
              <w:t xml:space="preserve"> (DP)</w:t>
            </w:r>
          </w:p>
        </w:tc>
        <w:tc>
          <w:tcPr>
            <w:tcW w:w="1720" w:type="dxa"/>
            <w:shd w:val="clear" w:color="auto" w:fill="D9D9D9" w:themeFill="background1" w:themeFillShade="D9"/>
            <w:vAlign w:val="center"/>
            <w:hideMark/>
          </w:tcPr>
          <w:p w14:paraId="510B21B5" w14:textId="77777777" w:rsidR="008230FF" w:rsidRDefault="000F5B51" w:rsidP="00BF228C">
            <w:pPr>
              <w:spacing w:after="0" w:line="240" w:lineRule="auto"/>
              <w:jc w:val="center"/>
              <w:rPr>
                <w:rFonts w:eastAsia="Times New Roman" w:cs="Times New Roman"/>
                <w:b/>
                <w:bCs/>
                <w:szCs w:val="24"/>
              </w:rPr>
            </w:pPr>
            <w:r w:rsidRPr="006A00B6">
              <w:rPr>
                <w:rFonts w:eastAsia="Times New Roman" w:cs="Times New Roman"/>
                <w:b/>
                <w:bCs/>
                <w:szCs w:val="24"/>
              </w:rPr>
              <w:t>Drivers No Pass</w:t>
            </w:r>
          </w:p>
          <w:p w14:paraId="33190F05" w14:textId="77777777" w:rsidR="008230FF" w:rsidRPr="006A00B6" w:rsidRDefault="000F5B51" w:rsidP="00BF228C">
            <w:pPr>
              <w:spacing w:after="0" w:line="240" w:lineRule="auto"/>
              <w:jc w:val="center"/>
              <w:rPr>
                <w:rFonts w:eastAsia="Times New Roman" w:cs="Times New Roman"/>
                <w:b/>
                <w:bCs/>
                <w:szCs w:val="24"/>
              </w:rPr>
            </w:pPr>
            <w:r w:rsidRPr="006A00B6">
              <w:rPr>
                <w:rFonts w:eastAsia="Times New Roman" w:cs="Times New Roman"/>
                <w:b/>
                <w:bCs/>
                <w:szCs w:val="24"/>
              </w:rPr>
              <w:t>(DA)</w:t>
            </w:r>
          </w:p>
        </w:tc>
        <w:tc>
          <w:tcPr>
            <w:tcW w:w="1720" w:type="dxa"/>
            <w:shd w:val="clear" w:color="auto" w:fill="D9D9D9" w:themeFill="background1" w:themeFillShade="D9"/>
            <w:vAlign w:val="center"/>
            <w:hideMark/>
          </w:tcPr>
          <w:p w14:paraId="63620CBB" w14:textId="77777777" w:rsidR="008230FF" w:rsidRDefault="000F5B51" w:rsidP="00BF228C">
            <w:pPr>
              <w:spacing w:after="0" w:line="240" w:lineRule="auto"/>
              <w:jc w:val="center"/>
              <w:rPr>
                <w:rFonts w:eastAsia="Times New Roman" w:cs="Times New Roman"/>
                <w:b/>
                <w:bCs/>
                <w:szCs w:val="24"/>
              </w:rPr>
            </w:pPr>
            <w:r w:rsidRPr="006A00B6">
              <w:rPr>
                <w:rFonts w:eastAsia="Times New Roman" w:cs="Times New Roman"/>
                <w:b/>
                <w:bCs/>
                <w:szCs w:val="24"/>
              </w:rPr>
              <w:t>Occupants</w:t>
            </w:r>
          </w:p>
          <w:p w14:paraId="438F3A93" w14:textId="77777777" w:rsidR="008230FF" w:rsidRPr="006A00B6" w:rsidRDefault="000F5B51" w:rsidP="00BF228C">
            <w:pPr>
              <w:spacing w:after="0" w:line="240" w:lineRule="auto"/>
              <w:jc w:val="center"/>
              <w:rPr>
                <w:rFonts w:eastAsia="Times New Roman" w:cs="Times New Roman"/>
                <w:b/>
                <w:bCs/>
                <w:szCs w:val="24"/>
              </w:rPr>
            </w:pPr>
            <w:r w:rsidRPr="006A00B6">
              <w:rPr>
                <w:rFonts w:eastAsia="Times New Roman" w:cs="Times New Roman"/>
                <w:b/>
                <w:bCs/>
                <w:szCs w:val="24"/>
              </w:rPr>
              <w:t xml:space="preserve"> (O)</w:t>
            </w:r>
          </w:p>
        </w:tc>
      </w:tr>
      <w:tr w:rsidR="00A15C2C" w14:paraId="5E25C2D5" w14:textId="77777777" w:rsidTr="00BF228C">
        <w:trPr>
          <w:trHeight w:val="278"/>
          <w:jc w:val="center"/>
        </w:trPr>
        <w:tc>
          <w:tcPr>
            <w:tcW w:w="0" w:type="auto"/>
            <w:shd w:val="clear" w:color="auto" w:fill="auto"/>
            <w:noWrap/>
            <w:vAlign w:val="center"/>
            <w:hideMark/>
          </w:tcPr>
          <w:p w14:paraId="32BF0B16" w14:textId="77777777" w:rsidR="008230FF" w:rsidRPr="0099542F" w:rsidRDefault="000F5B51" w:rsidP="00BF228C">
            <w:pPr>
              <w:spacing w:after="0" w:line="240" w:lineRule="auto"/>
              <w:rPr>
                <w:rFonts w:eastAsia="Times New Roman" w:cs="Times New Roman"/>
                <w:szCs w:val="24"/>
              </w:rPr>
            </w:pPr>
            <w:r w:rsidRPr="0099542F">
              <w:rPr>
                <w:rFonts w:eastAsia="Times New Roman" w:cs="Times New Roman"/>
                <w:szCs w:val="24"/>
              </w:rPr>
              <w:t>2011</w:t>
            </w:r>
          </w:p>
        </w:tc>
        <w:tc>
          <w:tcPr>
            <w:tcW w:w="1719" w:type="dxa"/>
            <w:shd w:val="clear" w:color="auto" w:fill="auto"/>
            <w:noWrap/>
            <w:vAlign w:val="center"/>
            <w:hideMark/>
          </w:tcPr>
          <w:p w14:paraId="66191339" w14:textId="77777777" w:rsidR="008230FF" w:rsidRPr="0099542F" w:rsidRDefault="000F5B51" w:rsidP="00BF228C">
            <w:pPr>
              <w:spacing w:after="0" w:line="240" w:lineRule="auto"/>
              <w:jc w:val="center"/>
              <w:rPr>
                <w:rFonts w:eastAsia="Times New Roman" w:cs="Times New Roman"/>
                <w:szCs w:val="24"/>
              </w:rPr>
            </w:pPr>
            <w:r w:rsidRPr="0099542F">
              <w:rPr>
                <w:rFonts w:eastAsia="Times New Roman" w:cs="Times New Roman"/>
                <w:szCs w:val="24"/>
              </w:rPr>
              <w:t>1,392,835</w:t>
            </w:r>
          </w:p>
        </w:tc>
        <w:tc>
          <w:tcPr>
            <w:tcW w:w="1720" w:type="dxa"/>
            <w:shd w:val="clear" w:color="auto" w:fill="auto"/>
            <w:noWrap/>
            <w:vAlign w:val="center"/>
            <w:hideMark/>
          </w:tcPr>
          <w:p w14:paraId="6B034F71" w14:textId="77777777" w:rsidR="008230FF" w:rsidRPr="0099542F" w:rsidRDefault="000F5B51" w:rsidP="00BF228C">
            <w:pPr>
              <w:spacing w:after="0" w:line="240" w:lineRule="auto"/>
              <w:jc w:val="center"/>
              <w:rPr>
                <w:rFonts w:eastAsia="Times New Roman" w:cs="Times New Roman"/>
                <w:szCs w:val="24"/>
              </w:rPr>
            </w:pPr>
            <w:r w:rsidRPr="0099542F">
              <w:rPr>
                <w:rFonts w:eastAsia="Times New Roman" w:cs="Times New Roman"/>
                <w:szCs w:val="24"/>
              </w:rPr>
              <w:t>362,981</w:t>
            </w:r>
          </w:p>
        </w:tc>
        <w:tc>
          <w:tcPr>
            <w:tcW w:w="1719" w:type="dxa"/>
            <w:shd w:val="clear" w:color="auto" w:fill="auto"/>
            <w:noWrap/>
            <w:vAlign w:val="center"/>
            <w:hideMark/>
          </w:tcPr>
          <w:p w14:paraId="790B84CE" w14:textId="77777777" w:rsidR="008230FF" w:rsidRPr="0099542F" w:rsidRDefault="000F5B51" w:rsidP="00BF228C">
            <w:pPr>
              <w:spacing w:after="0" w:line="240" w:lineRule="auto"/>
              <w:jc w:val="center"/>
              <w:rPr>
                <w:rFonts w:eastAsia="Times New Roman" w:cs="Times New Roman"/>
                <w:szCs w:val="24"/>
              </w:rPr>
            </w:pPr>
            <w:r w:rsidRPr="0099542F">
              <w:rPr>
                <w:rFonts w:eastAsia="Times New Roman" w:cs="Times New Roman"/>
                <w:szCs w:val="24"/>
              </w:rPr>
              <w:t>362,981</w:t>
            </w:r>
          </w:p>
        </w:tc>
        <w:tc>
          <w:tcPr>
            <w:tcW w:w="1720" w:type="dxa"/>
            <w:shd w:val="clear" w:color="auto" w:fill="auto"/>
            <w:noWrap/>
            <w:vAlign w:val="center"/>
            <w:hideMark/>
          </w:tcPr>
          <w:p w14:paraId="49F2BC43" w14:textId="77777777" w:rsidR="008230FF" w:rsidRPr="0099542F" w:rsidRDefault="000F5B51" w:rsidP="00BF228C">
            <w:pPr>
              <w:spacing w:after="0" w:line="240" w:lineRule="auto"/>
              <w:jc w:val="center"/>
              <w:rPr>
                <w:rFonts w:eastAsia="Times New Roman" w:cs="Times New Roman"/>
                <w:szCs w:val="24"/>
              </w:rPr>
            </w:pPr>
            <w:r w:rsidRPr="0099542F">
              <w:rPr>
                <w:rFonts w:eastAsia="Times New Roman" w:cs="Times New Roman"/>
                <w:szCs w:val="24"/>
              </w:rPr>
              <w:t>1,029,854</w:t>
            </w:r>
          </w:p>
        </w:tc>
        <w:tc>
          <w:tcPr>
            <w:tcW w:w="1720" w:type="dxa"/>
            <w:shd w:val="clear" w:color="auto" w:fill="auto"/>
            <w:noWrap/>
            <w:vAlign w:val="center"/>
            <w:hideMark/>
          </w:tcPr>
          <w:p w14:paraId="002D1FB3" w14:textId="77777777" w:rsidR="008230FF" w:rsidRPr="0099542F" w:rsidRDefault="000F5B51" w:rsidP="00BF228C">
            <w:pPr>
              <w:spacing w:after="0" w:line="240" w:lineRule="auto"/>
              <w:jc w:val="center"/>
              <w:rPr>
                <w:rFonts w:eastAsia="Times New Roman" w:cs="Times New Roman"/>
                <w:szCs w:val="24"/>
              </w:rPr>
            </w:pPr>
            <w:r w:rsidRPr="0099542F">
              <w:rPr>
                <w:rFonts w:eastAsia="Times New Roman" w:cs="Times New Roman"/>
                <w:szCs w:val="24"/>
              </w:rPr>
              <w:t>1,755,816</w:t>
            </w:r>
          </w:p>
        </w:tc>
      </w:tr>
      <w:tr w:rsidR="00A15C2C" w14:paraId="59F793DE" w14:textId="77777777" w:rsidTr="00BF228C">
        <w:trPr>
          <w:trHeight w:val="278"/>
          <w:jc w:val="center"/>
        </w:trPr>
        <w:tc>
          <w:tcPr>
            <w:tcW w:w="0" w:type="auto"/>
            <w:shd w:val="clear" w:color="auto" w:fill="auto"/>
            <w:noWrap/>
            <w:vAlign w:val="center"/>
            <w:hideMark/>
          </w:tcPr>
          <w:p w14:paraId="69B0570B" w14:textId="77777777" w:rsidR="008230FF" w:rsidRPr="0099542F" w:rsidRDefault="000F5B51" w:rsidP="00BF228C">
            <w:pPr>
              <w:spacing w:after="0" w:line="240" w:lineRule="auto"/>
              <w:rPr>
                <w:rFonts w:eastAsia="Times New Roman" w:cs="Times New Roman"/>
                <w:szCs w:val="24"/>
              </w:rPr>
            </w:pPr>
            <w:r w:rsidRPr="0099542F">
              <w:rPr>
                <w:rFonts w:eastAsia="Times New Roman" w:cs="Times New Roman"/>
                <w:szCs w:val="24"/>
              </w:rPr>
              <w:t>2012</w:t>
            </w:r>
          </w:p>
        </w:tc>
        <w:tc>
          <w:tcPr>
            <w:tcW w:w="1719" w:type="dxa"/>
            <w:shd w:val="clear" w:color="auto" w:fill="auto"/>
            <w:noWrap/>
            <w:vAlign w:val="center"/>
            <w:hideMark/>
          </w:tcPr>
          <w:p w14:paraId="2D083E47" w14:textId="77777777" w:rsidR="008230FF" w:rsidRPr="0099542F" w:rsidRDefault="000F5B51" w:rsidP="00BF228C">
            <w:pPr>
              <w:spacing w:after="0" w:line="240" w:lineRule="auto"/>
              <w:jc w:val="center"/>
              <w:rPr>
                <w:rFonts w:eastAsia="Times New Roman" w:cs="Times New Roman"/>
                <w:szCs w:val="24"/>
              </w:rPr>
            </w:pPr>
            <w:r w:rsidRPr="0099542F">
              <w:rPr>
                <w:rFonts w:eastAsia="Times New Roman" w:cs="Times New Roman"/>
                <w:szCs w:val="24"/>
              </w:rPr>
              <w:t>1,461,407</w:t>
            </w:r>
          </w:p>
        </w:tc>
        <w:tc>
          <w:tcPr>
            <w:tcW w:w="1720" w:type="dxa"/>
            <w:shd w:val="clear" w:color="auto" w:fill="auto"/>
            <w:noWrap/>
            <w:vAlign w:val="center"/>
            <w:hideMark/>
          </w:tcPr>
          <w:p w14:paraId="3049F83F" w14:textId="77777777" w:rsidR="008230FF" w:rsidRPr="0099542F" w:rsidRDefault="000F5B51" w:rsidP="00BF228C">
            <w:pPr>
              <w:spacing w:after="0" w:line="240" w:lineRule="auto"/>
              <w:jc w:val="center"/>
              <w:rPr>
                <w:rFonts w:eastAsia="Times New Roman" w:cs="Times New Roman"/>
                <w:szCs w:val="24"/>
              </w:rPr>
            </w:pPr>
            <w:r w:rsidRPr="0099542F">
              <w:rPr>
                <w:rFonts w:eastAsia="Times New Roman" w:cs="Times New Roman"/>
                <w:szCs w:val="24"/>
              </w:rPr>
              <w:t>396,095</w:t>
            </w:r>
          </w:p>
        </w:tc>
        <w:tc>
          <w:tcPr>
            <w:tcW w:w="1719" w:type="dxa"/>
            <w:shd w:val="clear" w:color="auto" w:fill="auto"/>
            <w:noWrap/>
            <w:vAlign w:val="center"/>
            <w:hideMark/>
          </w:tcPr>
          <w:p w14:paraId="20C5432F" w14:textId="77777777" w:rsidR="008230FF" w:rsidRPr="0099542F" w:rsidRDefault="000F5B51" w:rsidP="00BF228C">
            <w:pPr>
              <w:spacing w:after="0" w:line="240" w:lineRule="auto"/>
              <w:jc w:val="center"/>
              <w:rPr>
                <w:rFonts w:eastAsia="Times New Roman" w:cs="Times New Roman"/>
                <w:szCs w:val="24"/>
              </w:rPr>
            </w:pPr>
            <w:r w:rsidRPr="0099542F">
              <w:rPr>
                <w:rFonts w:eastAsia="Times New Roman" w:cs="Times New Roman"/>
                <w:szCs w:val="24"/>
              </w:rPr>
              <w:t>396,095</w:t>
            </w:r>
          </w:p>
        </w:tc>
        <w:tc>
          <w:tcPr>
            <w:tcW w:w="1720" w:type="dxa"/>
            <w:shd w:val="clear" w:color="auto" w:fill="auto"/>
            <w:noWrap/>
            <w:vAlign w:val="center"/>
            <w:hideMark/>
          </w:tcPr>
          <w:p w14:paraId="4AAF21B0" w14:textId="77777777" w:rsidR="008230FF" w:rsidRPr="0099542F" w:rsidRDefault="000F5B51" w:rsidP="00BF228C">
            <w:pPr>
              <w:spacing w:after="0" w:line="240" w:lineRule="auto"/>
              <w:jc w:val="center"/>
              <w:rPr>
                <w:rFonts w:eastAsia="Times New Roman" w:cs="Times New Roman"/>
                <w:szCs w:val="24"/>
              </w:rPr>
            </w:pPr>
            <w:r w:rsidRPr="0099542F">
              <w:rPr>
                <w:rFonts w:eastAsia="Times New Roman" w:cs="Times New Roman"/>
                <w:szCs w:val="24"/>
              </w:rPr>
              <w:t>1,065,312</w:t>
            </w:r>
          </w:p>
        </w:tc>
        <w:tc>
          <w:tcPr>
            <w:tcW w:w="1720" w:type="dxa"/>
            <w:shd w:val="clear" w:color="auto" w:fill="auto"/>
            <w:noWrap/>
            <w:vAlign w:val="center"/>
            <w:hideMark/>
          </w:tcPr>
          <w:p w14:paraId="3BAC3EF2" w14:textId="77777777" w:rsidR="008230FF" w:rsidRPr="0099542F" w:rsidRDefault="000F5B51" w:rsidP="00BF228C">
            <w:pPr>
              <w:spacing w:after="0" w:line="240" w:lineRule="auto"/>
              <w:jc w:val="center"/>
              <w:rPr>
                <w:rFonts w:eastAsia="Times New Roman" w:cs="Times New Roman"/>
                <w:szCs w:val="24"/>
              </w:rPr>
            </w:pPr>
            <w:r w:rsidRPr="0099542F">
              <w:rPr>
                <w:rFonts w:eastAsia="Times New Roman" w:cs="Times New Roman"/>
                <w:szCs w:val="24"/>
              </w:rPr>
              <w:t>1,857,502</w:t>
            </w:r>
          </w:p>
        </w:tc>
      </w:tr>
      <w:tr w:rsidR="00A15C2C" w14:paraId="474DF78A" w14:textId="77777777" w:rsidTr="00BF228C">
        <w:trPr>
          <w:trHeight w:val="278"/>
          <w:jc w:val="center"/>
        </w:trPr>
        <w:tc>
          <w:tcPr>
            <w:tcW w:w="0" w:type="auto"/>
            <w:shd w:val="clear" w:color="auto" w:fill="auto"/>
            <w:noWrap/>
            <w:vAlign w:val="center"/>
            <w:hideMark/>
          </w:tcPr>
          <w:p w14:paraId="09F09035" w14:textId="77777777" w:rsidR="008230FF" w:rsidRPr="0099542F" w:rsidRDefault="000F5B51" w:rsidP="00BF228C">
            <w:pPr>
              <w:spacing w:after="0" w:line="240" w:lineRule="auto"/>
              <w:rPr>
                <w:rFonts w:eastAsia="Times New Roman" w:cs="Times New Roman"/>
                <w:szCs w:val="24"/>
              </w:rPr>
            </w:pPr>
            <w:r w:rsidRPr="0099542F">
              <w:rPr>
                <w:rFonts w:eastAsia="Times New Roman" w:cs="Times New Roman"/>
                <w:szCs w:val="24"/>
              </w:rPr>
              <w:t>2013</w:t>
            </w:r>
          </w:p>
        </w:tc>
        <w:tc>
          <w:tcPr>
            <w:tcW w:w="1719" w:type="dxa"/>
            <w:shd w:val="clear" w:color="auto" w:fill="auto"/>
            <w:noWrap/>
            <w:vAlign w:val="center"/>
            <w:hideMark/>
          </w:tcPr>
          <w:p w14:paraId="6CD8EB96" w14:textId="77777777" w:rsidR="008230FF" w:rsidRPr="0099542F" w:rsidRDefault="000F5B51" w:rsidP="00BF228C">
            <w:pPr>
              <w:spacing w:after="0" w:line="240" w:lineRule="auto"/>
              <w:jc w:val="center"/>
              <w:rPr>
                <w:rFonts w:eastAsia="Times New Roman" w:cs="Times New Roman"/>
                <w:szCs w:val="24"/>
              </w:rPr>
            </w:pPr>
            <w:r w:rsidRPr="0099542F">
              <w:rPr>
                <w:rFonts w:eastAsia="Times New Roman" w:cs="Times New Roman"/>
                <w:szCs w:val="24"/>
              </w:rPr>
              <w:t>1,424,355</w:t>
            </w:r>
          </w:p>
        </w:tc>
        <w:tc>
          <w:tcPr>
            <w:tcW w:w="1720" w:type="dxa"/>
            <w:shd w:val="clear" w:color="auto" w:fill="auto"/>
            <w:noWrap/>
            <w:vAlign w:val="center"/>
            <w:hideMark/>
          </w:tcPr>
          <w:p w14:paraId="58D2CB62" w14:textId="77777777" w:rsidR="008230FF" w:rsidRPr="0099542F" w:rsidRDefault="000F5B51" w:rsidP="00BF228C">
            <w:pPr>
              <w:spacing w:after="0" w:line="240" w:lineRule="auto"/>
              <w:jc w:val="center"/>
              <w:rPr>
                <w:rFonts w:eastAsia="Times New Roman" w:cs="Times New Roman"/>
                <w:szCs w:val="24"/>
              </w:rPr>
            </w:pPr>
            <w:r w:rsidRPr="0099542F">
              <w:rPr>
                <w:rFonts w:eastAsia="Times New Roman" w:cs="Times New Roman"/>
                <w:szCs w:val="24"/>
              </w:rPr>
              <w:t>386,538</w:t>
            </w:r>
          </w:p>
        </w:tc>
        <w:tc>
          <w:tcPr>
            <w:tcW w:w="1719" w:type="dxa"/>
            <w:shd w:val="clear" w:color="auto" w:fill="auto"/>
            <w:noWrap/>
            <w:vAlign w:val="center"/>
            <w:hideMark/>
          </w:tcPr>
          <w:p w14:paraId="29D14C0A" w14:textId="77777777" w:rsidR="008230FF" w:rsidRPr="0099542F" w:rsidRDefault="000F5B51" w:rsidP="00BF228C">
            <w:pPr>
              <w:spacing w:after="0" w:line="240" w:lineRule="auto"/>
              <w:jc w:val="center"/>
              <w:rPr>
                <w:rFonts w:eastAsia="Times New Roman" w:cs="Times New Roman"/>
                <w:szCs w:val="24"/>
              </w:rPr>
            </w:pPr>
            <w:r w:rsidRPr="0099542F">
              <w:rPr>
                <w:rFonts w:eastAsia="Times New Roman" w:cs="Times New Roman"/>
                <w:szCs w:val="24"/>
              </w:rPr>
              <w:t>386,538</w:t>
            </w:r>
          </w:p>
        </w:tc>
        <w:tc>
          <w:tcPr>
            <w:tcW w:w="1720" w:type="dxa"/>
            <w:shd w:val="clear" w:color="auto" w:fill="auto"/>
            <w:noWrap/>
            <w:vAlign w:val="center"/>
            <w:hideMark/>
          </w:tcPr>
          <w:p w14:paraId="5D5EE283" w14:textId="77777777" w:rsidR="008230FF" w:rsidRPr="0099542F" w:rsidRDefault="000F5B51" w:rsidP="00BF228C">
            <w:pPr>
              <w:spacing w:after="0" w:line="240" w:lineRule="auto"/>
              <w:jc w:val="center"/>
              <w:rPr>
                <w:rFonts w:eastAsia="Times New Roman" w:cs="Times New Roman"/>
                <w:szCs w:val="24"/>
              </w:rPr>
            </w:pPr>
            <w:r w:rsidRPr="0099542F">
              <w:rPr>
                <w:rFonts w:eastAsia="Times New Roman" w:cs="Times New Roman"/>
                <w:szCs w:val="24"/>
              </w:rPr>
              <w:t>1,037,817</w:t>
            </w:r>
          </w:p>
        </w:tc>
        <w:tc>
          <w:tcPr>
            <w:tcW w:w="1720" w:type="dxa"/>
            <w:shd w:val="clear" w:color="auto" w:fill="auto"/>
            <w:noWrap/>
            <w:vAlign w:val="center"/>
            <w:hideMark/>
          </w:tcPr>
          <w:p w14:paraId="1C24B55A" w14:textId="77777777" w:rsidR="008230FF" w:rsidRPr="0099542F" w:rsidRDefault="000F5B51" w:rsidP="00BF228C">
            <w:pPr>
              <w:spacing w:after="0" w:line="240" w:lineRule="auto"/>
              <w:jc w:val="center"/>
              <w:rPr>
                <w:rFonts w:eastAsia="Times New Roman" w:cs="Times New Roman"/>
                <w:szCs w:val="24"/>
              </w:rPr>
            </w:pPr>
            <w:r w:rsidRPr="0099542F">
              <w:rPr>
                <w:rFonts w:eastAsia="Times New Roman" w:cs="Times New Roman"/>
                <w:szCs w:val="24"/>
              </w:rPr>
              <w:t>1,810,893</w:t>
            </w:r>
          </w:p>
        </w:tc>
      </w:tr>
      <w:tr w:rsidR="00A15C2C" w14:paraId="4EF5F47A" w14:textId="77777777" w:rsidTr="00BF228C">
        <w:trPr>
          <w:trHeight w:val="278"/>
          <w:jc w:val="center"/>
        </w:trPr>
        <w:tc>
          <w:tcPr>
            <w:tcW w:w="0" w:type="auto"/>
            <w:shd w:val="clear" w:color="auto" w:fill="auto"/>
            <w:noWrap/>
            <w:vAlign w:val="center"/>
            <w:hideMark/>
          </w:tcPr>
          <w:p w14:paraId="151E4BAB" w14:textId="77777777" w:rsidR="008230FF" w:rsidRPr="0099542F" w:rsidRDefault="000F5B51" w:rsidP="00BF228C">
            <w:pPr>
              <w:spacing w:after="0" w:line="240" w:lineRule="auto"/>
              <w:rPr>
                <w:rFonts w:eastAsia="Times New Roman" w:cs="Times New Roman"/>
                <w:szCs w:val="24"/>
              </w:rPr>
            </w:pPr>
            <w:r w:rsidRPr="0099542F">
              <w:rPr>
                <w:rFonts w:eastAsia="Times New Roman" w:cs="Times New Roman"/>
                <w:szCs w:val="24"/>
              </w:rPr>
              <w:t>2014</w:t>
            </w:r>
          </w:p>
        </w:tc>
        <w:tc>
          <w:tcPr>
            <w:tcW w:w="1719" w:type="dxa"/>
            <w:shd w:val="clear" w:color="auto" w:fill="auto"/>
            <w:noWrap/>
            <w:vAlign w:val="center"/>
            <w:hideMark/>
          </w:tcPr>
          <w:p w14:paraId="46498D21" w14:textId="77777777" w:rsidR="008230FF" w:rsidRPr="0099542F" w:rsidRDefault="000F5B51" w:rsidP="00BF228C">
            <w:pPr>
              <w:spacing w:after="0" w:line="240" w:lineRule="auto"/>
              <w:jc w:val="center"/>
              <w:rPr>
                <w:rFonts w:eastAsia="Times New Roman" w:cs="Times New Roman"/>
                <w:szCs w:val="24"/>
              </w:rPr>
            </w:pPr>
            <w:r w:rsidRPr="0099542F">
              <w:rPr>
                <w:rFonts w:eastAsia="Times New Roman" w:cs="Times New Roman"/>
                <w:szCs w:val="24"/>
              </w:rPr>
              <w:t>1,493,068</w:t>
            </w:r>
          </w:p>
        </w:tc>
        <w:tc>
          <w:tcPr>
            <w:tcW w:w="1720" w:type="dxa"/>
            <w:shd w:val="clear" w:color="auto" w:fill="auto"/>
            <w:noWrap/>
            <w:vAlign w:val="center"/>
            <w:hideMark/>
          </w:tcPr>
          <w:p w14:paraId="0EB7F2B3" w14:textId="77777777" w:rsidR="008230FF" w:rsidRPr="0099542F" w:rsidRDefault="000F5B51" w:rsidP="00BF228C">
            <w:pPr>
              <w:spacing w:after="0" w:line="240" w:lineRule="auto"/>
              <w:jc w:val="center"/>
              <w:rPr>
                <w:rFonts w:eastAsia="Times New Roman" w:cs="Times New Roman"/>
                <w:szCs w:val="24"/>
              </w:rPr>
            </w:pPr>
            <w:r w:rsidRPr="0099542F">
              <w:rPr>
                <w:rFonts w:eastAsia="Times New Roman" w:cs="Times New Roman"/>
                <w:szCs w:val="24"/>
              </w:rPr>
              <w:t>371,865</w:t>
            </w:r>
          </w:p>
        </w:tc>
        <w:tc>
          <w:tcPr>
            <w:tcW w:w="1719" w:type="dxa"/>
            <w:shd w:val="clear" w:color="auto" w:fill="auto"/>
            <w:noWrap/>
            <w:vAlign w:val="center"/>
            <w:hideMark/>
          </w:tcPr>
          <w:p w14:paraId="41E669FC" w14:textId="77777777" w:rsidR="008230FF" w:rsidRPr="0099542F" w:rsidRDefault="000F5B51" w:rsidP="00BF228C">
            <w:pPr>
              <w:spacing w:after="0" w:line="240" w:lineRule="auto"/>
              <w:jc w:val="center"/>
              <w:rPr>
                <w:rFonts w:eastAsia="Times New Roman" w:cs="Times New Roman"/>
                <w:szCs w:val="24"/>
              </w:rPr>
            </w:pPr>
            <w:r w:rsidRPr="0099542F">
              <w:rPr>
                <w:rFonts w:eastAsia="Times New Roman" w:cs="Times New Roman"/>
                <w:szCs w:val="24"/>
              </w:rPr>
              <w:t>371,865</w:t>
            </w:r>
          </w:p>
        </w:tc>
        <w:tc>
          <w:tcPr>
            <w:tcW w:w="1720" w:type="dxa"/>
            <w:shd w:val="clear" w:color="auto" w:fill="auto"/>
            <w:noWrap/>
            <w:vAlign w:val="center"/>
            <w:hideMark/>
          </w:tcPr>
          <w:p w14:paraId="3F7CC1C9" w14:textId="77777777" w:rsidR="008230FF" w:rsidRPr="0099542F" w:rsidRDefault="000F5B51" w:rsidP="00BF228C">
            <w:pPr>
              <w:spacing w:after="0" w:line="240" w:lineRule="auto"/>
              <w:jc w:val="center"/>
              <w:rPr>
                <w:rFonts w:eastAsia="Times New Roman" w:cs="Times New Roman"/>
                <w:szCs w:val="24"/>
              </w:rPr>
            </w:pPr>
            <w:r w:rsidRPr="0099542F">
              <w:rPr>
                <w:rFonts w:eastAsia="Times New Roman" w:cs="Times New Roman"/>
                <w:szCs w:val="24"/>
              </w:rPr>
              <w:t>1,121,203</w:t>
            </w:r>
          </w:p>
        </w:tc>
        <w:tc>
          <w:tcPr>
            <w:tcW w:w="1720" w:type="dxa"/>
            <w:shd w:val="clear" w:color="auto" w:fill="auto"/>
            <w:noWrap/>
            <w:vAlign w:val="center"/>
            <w:hideMark/>
          </w:tcPr>
          <w:p w14:paraId="302322AC" w14:textId="77777777" w:rsidR="008230FF" w:rsidRPr="0099542F" w:rsidRDefault="000F5B51" w:rsidP="00BF228C">
            <w:pPr>
              <w:spacing w:after="0" w:line="240" w:lineRule="auto"/>
              <w:jc w:val="center"/>
              <w:rPr>
                <w:rFonts w:eastAsia="Times New Roman" w:cs="Times New Roman"/>
                <w:szCs w:val="24"/>
              </w:rPr>
            </w:pPr>
            <w:r w:rsidRPr="0099542F">
              <w:rPr>
                <w:rFonts w:eastAsia="Times New Roman" w:cs="Times New Roman"/>
                <w:szCs w:val="24"/>
              </w:rPr>
              <w:t>1,864,933</w:t>
            </w:r>
          </w:p>
        </w:tc>
      </w:tr>
      <w:tr w:rsidR="00A15C2C" w14:paraId="5216A336" w14:textId="77777777" w:rsidTr="00BF228C">
        <w:trPr>
          <w:trHeight w:val="278"/>
          <w:jc w:val="center"/>
        </w:trPr>
        <w:tc>
          <w:tcPr>
            <w:tcW w:w="0" w:type="auto"/>
            <w:shd w:val="clear" w:color="auto" w:fill="auto"/>
            <w:noWrap/>
            <w:vAlign w:val="center"/>
            <w:hideMark/>
          </w:tcPr>
          <w:p w14:paraId="4CB0DDE9" w14:textId="77777777" w:rsidR="008230FF" w:rsidRPr="0099542F" w:rsidRDefault="000F5B51" w:rsidP="00BF228C">
            <w:pPr>
              <w:spacing w:after="0" w:line="240" w:lineRule="auto"/>
              <w:rPr>
                <w:rFonts w:eastAsia="Times New Roman" w:cs="Times New Roman"/>
                <w:szCs w:val="24"/>
              </w:rPr>
            </w:pPr>
            <w:r w:rsidRPr="0099542F">
              <w:rPr>
                <w:rFonts w:eastAsia="Times New Roman" w:cs="Times New Roman"/>
                <w:szCs w:val="24"/>
              </w:rPr>
              <w:t>Avg</w:t>
            </w:r>
          </w:p>
        </w:tc>
        <w:tc>
          <w:tcPr>
            <w:tcW w:w="1719" w:type="dxa"/>
            <w:shd w:val="clear" w:color="auto" w:fill="auto"/>
            <w:noWrap/>
            <w:vAlign w:val="center"/>
            <w:hideMark/>
          </w:tcPr>
          <w:p w14:paraId="383E1B92" w14:textId="77777777" w:rsidR="008230FF" w:rsidRPr="0099542F" w:rsidRDefault="000F5B51" w:rsidP="00BF228C">
            <w:pPr>
              <w:spacing w:after="0" w:line="240" w:lineRule="auto"/>
              <w:jc w:val="center"/>
              <w:rPr>
                <w:rFonts w:eastAsia="Times New Roman" w:cs="Times New Roman"/>
                <w:szCs w:val="24"/>
              </w:rPr>
            </w:pPr>
            <w:r w:rsidRPr="0099542F">
              <w:rPr>
                <w:rFonts w:eastAsia="Times New Roman" w:cs="Times New Roman"/>
                <w:szCs w:val="24"/>
              </w:rPr>
              <w:t>1,442,916</w:t>
            </w:r>
          </w:p>
        </w:tc>
        <w:tc>
          <w:tcPr>
            <w:tcW w:w="1720" w:type="dxa"/>
            <w:shd w:val="clear" w:color="auto" w:fill="auto"/>
            <w:noWrap/>
            <w:vAlign w:val="center"/>
            <w:hideMark/>
          </w:tcPr>
          <w:p w14:paraId="41B48768" w14:textId="77777777" w:rsidR="008230FF" w:rsidRPr="0099542F" w:rsidRDefault="000F5B51" w:rsidP="00BF228C">
            <w:pPr>
              <w:spacing w:after="0" w:line="240" w:lineRule="auto"/>
              <w:jc w:val="center"/>
              <w:rPr>
                <w:rFonts w:eastAsia="Times New Roman" w:cs="Times New Roman"/>
                <w:szCs w:val="24"/>
              </w:rPr>
            </w:pPr>
            <w:r w:rsidRPr="0099542F">
              <w:rPr>
                <w:rFonts w:eastAsia="Times New Roman" w:cs="Times New Roman"/>
                <w:szCs w:val="24"/>
              </w:rPr>
              <w:t>379,370</w:t>
            </w:r>
          </w:p>
        </w:tc>
        <w:tc>
          <w:tcPr>
            <w:tcW w:w="1719" w:type="dxa"/>
            <w:shd w:val="clear" w:color="auto" w:fill="auto"/>
            <w:noWrap/>
            <w:vAlign w:val="center"/>
            <w:hideMark/>
          </w:tcPr>
          <w:p w14:paraId="45BB72AE" w14:textId="77777777" w:rsidR="008230FF" w:rsidRPr="0099542F" w:rsidRDefault="000F5B51" w:rsidP="00BF228C">
            <w:pPr>
              <w:spacing w:after="0" w:line="240" w:lineRule="auto"/>
              <w:jc w:val="center"/>
              <w:rPr>
                <w:rFonts w:eastAsia="Times New Roman" w:cs="Times New Roman"/>
                <w:szCs w:val="24"/>
              </w:rPr>
            </w:pPr>
            <w:r w:rsidRPr="0099542F">
              <w:rPr>
                <w:rFonts w:eastAsia="Times New Roman" w:cs="Times New Roman"/>
                <w:szCs w:val="24"/>
              </w:rPr>
              <w:t>379,370</w:t>
            </w:r>
          </w:p>
        </w:tc>
        <w:tc>
          <w:tcPr>
            <w:tcW w:w="1720" w:type="dxa"/>
            <w:shd w:val="clear" w:color="auto" w:fill="auto"/>
            <w:noWrap/>
            <w:vAlign w:val="center"/>
            <w:hideMark/>
          </w:tcPr>
          <w:p w14:paraId="432B4524" w14:textId="77777777" w:rsidR="008230FF" w:rsidRPr="0099542F" w:rsidRDefault="000F5B51" w:rsidP="00BF228C">
            <w:pPr>
              <w:spacing w:after="0" w:line="240" w:lineRule="auto"/>
              <w:jc w:val="center"/>
              <w:rPr>
                <w:rFonts w:eastAsia="Times New Roman" w:cs="Times New Roman"/>
                <w:szCs w:val="24"/>
              </w:rPr>
            </w:pPr>
            <w:r w:rsidRPr="0099542F">
              <w:rPr>
                <w:rFonts w:eastAsia="Times New Roman" w:cs="Times New Roman"/>
                <w:szCs w:val="24"/>
              </w:rPr>
              <w:t>1,063,547</w:t>
            </w:r>
          </w:p>
        </w:tc>
        <w:tc>
          <w:tcPr>
            <w:tcW w:w="1720" w:type="dxa"/>
            <w:shd w:val="clear" w:color="auto" w:fill="auto"/>
            <w:noWrap/>
            <w:vAlign w:val="center"/>
            <w:hideMark/>
          </w:tcPr>
          <w:p w14:paraId="6E085E4D" w14:textId="77777777" w:rsidR="008230FF" w:rsidRPr="0099542F" w:rsidRDefault="000F5B51" w:rsidP="00BF228C">
            <w:pPr>
              <w:spacing w:after="0" w:line="240" w:lineRule="auto"/>
              <w:jc w:val="center"/>
              <w:rPr>
                <w:rFonts w:eastAsia="Times New Roman" w:cs="Times New Roman"/>
                <w:szCs w:val="24"/>
              </w:rPr>
            </w:pPr>
            <w:r w:rsidRPr="0099542F">
              <w:rPr>
                <w:rFonts w:eastAsia="Times New Roman" w:cs="Times New Roman"/>
                <w:szCs w:val="24"/>
              </w:rPr>
              <w:t>1,822,286</w:t>
            </w:r>
          </w:p>
        </w:tc>
      </w:tr>
    </w:tbl>
    <w:p w14:paraId="4980368B" w14:textId="77777777" w:rsidR="008230FF" w:rsidRDefault="008230FF" w:rsidP="008230FF">
      <w:pPr>
        <w:pStyle w:val="Caption"/>
      </w:pPr>
    </w:p>
    <w:p w14:paraId="56B949DD" w14:textId="2FF8BB7C" w:rsidR="008230FF" w:rsidRPr="00597CDE" w:rsidRDefault="000F5B51" w:rsidP="008230FF">
      <w:pPr>
        <w:pStyle w:val="Caption"/>
      </w:pPr>
      <w:r>
        <w:t xml:space="preserve">Table </w:t>
      </w:r>
      <w:r w:rsidR="00115BAB">
        <w:fldChar w:fldCharType="begin"/>
      </w:r>
      <w:r>
        <w:instrText xml:space="preserve"> SEQ Table \* ARABIC </w:instrText>
      </w:r>
      <w:r w:rsidR="00115BAB">
        <w:fldChar w:fldCharType="separate"/>
      </w:r>
      <w:r w:rsidR="00A65CB3">
        <w:rPr>
          <w:noProof/>
        </w:rPr>
        <w:t>128</w:t>
      </w:r>
      <w:r w:rsidR="00115BAB">
        <w:rPr>
          <w:noProof/>
        </w:rPr>
        <w:fldChar w:fldCharType="end"/>
      </w:r>
      <w:r>
        <w:t>: Percentage of injuries to total injury for driver without passenger, driver with passenger, and all passengers</w:t>
      </w:r>
    </w:p>
    <w:tbl>
      <w:tblPr>
        <w:tblW w:w="2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6"/>
        <w:gridCol w:w="1016"/>
        <w:gridCol w:w="996"/>
      </w:tblGrid>
      <w:tr w:rsidR="00A15C2C" w14:paraId="517A9296" w14:textId="77777777" w:rsidTr="00BF228C">
        <w:trPr>
          <w:trHeight w:val="250"/>
          <w:jc w:val="center"/>
        </w:trPr>
        <w:tc>
          <w:tcPr>
            <w:tcW w:w="976" w:type="dxa"/>
            <w:shd w:val="clear" w:color="auto" w:fill="D9D9D9" w:themeFill="background1" w:themeFillShade="D9"/>
            <w:noWrap/>
            <w:vAlign w:val="center"/>
          </w:tcPr>
          <w:p w14:paraId="1D53752F" w14:textId="77777777" w:rsidR="008230FF" w:rsidRPr="006A00B6" w:rsidRDefault="000F5B51" w:rsidP="00BF228C">
            <w:pPr>
              <w:spacing w:after="0" w:line="240" w:lineRule="auto"/>
              <w:contextualSpacing/>
              <w:jc w:val="center"/>
              <w:rPr>
                <w:rFonts w:eastAsia="Times New Roman" w:cs="Times New Roman"/>
                <w:b/>
                <w:bCs/>
                <w:szCs w:val="24"/>
              </w:rPr>
            </w:pPr>
            <w:r w:rsidRPr="006A00B6">
              <w:rPr>
                <w:rFonts w:eastAsia="Times New Roman" w:cs="Times New Roman"/>
                <w:b/>
                <w:bCs/>
                <w:szCs w:val="24"/>
              </w:rPr>
              <w:t>Weight</w:t>
            </w:r>
          </w:p>
        </w:tc>
        <w:tc>
          <w:tcPr>
            <w:tcW w:w="2012" w:type="dxa"/>
            <w:gridSpan w:val="2"/>
            <w:shd w:val="clear" w:color="auto" w:fill="D9D9D9" w:themeFill="background1" w:themeFillShade="D9"/>
            <w:noWrap/>
            <w:vAlign w:val="center"/>
          </w:tcPr>
          <w:p w14:paraId="25C35402" w14:textId="77777777" w:rsidR="008230FF" w:rsidRPr="006A00B6" w:rsidRDefault="000F5B51" w:rsidP="00BF228C">
            <w:pPr>
              <w:spacing w:after="0" w:line="240" w:lineRule="auto"/>
              <w:contextualSpacing/>
              <w:jc w:val="center"/>
              <w:rPr>
                <w:rFonts w:eastAsia="Times New Roman" w:cs="Times New Roman"/>
                <w:b/>
                <w:bCs/>
                <w:szCs w:val="24"/>
              </w:rPr>
            </w:pPr>
            <w:r w:rsidRPr="006A00B6">
              <w:rPr>
                <w:rFonts w:eastAsia="Times New Roman" w:cs="Times New Roman"/>
                <w:b/>
                <w:bCs/>
                <w:szCs w:val="24"/>
              </w:rPr>
              <w:t>% ratio to total</w:t>
            </w:r>
          </w:p>
        </w:tc>
      </w:tr>
      <w:tr w:rsidR="00A15C2C" w14:paraId="69ACAFFF" w14:textId="77777777" w:rsidTr="00BF228C">
        <w:trPr>
          <w:trHeight w:val="250"/>
          <w:jc w:val="center"/>
        </w:trPr>
        <w:tc>
          <w:tcPr>
            <w:tcW w:w="976" w:type="dxa"/>
            <w:shd w:val="clear" w:color="auto" w:fill="auto"/>
            <w:noWrap/>
            <w:vAlign w:val="center"/>
            <w:hideMark/>
          </w:tcPr>
          <w:p w14:paraId="665677BB" w14:textId="77777777" w:rsidR="008230FF" w:rsidRPr="0099542F" w:rsidRDefault="000F5B51" w:rsidP="00BF228C">
            <w:pPr>
              <w:spacing w:after="0" w:line="240" w:lineRule="auto"/>
              <w:contextualSpacing/>
              <w:jc w:val="center"/>
              <w:rPr>
                <w:rFonts w:eastAsia="Times New Roman" w:cs="Times New Roman"/>
                <w:szCs w:val="24"/>
              </w:rPr>
            </w:pPr>
            <w:r w:rsidRPr="0099542F">
              <w:rPr>
                <w:rFonts w:eastAsia="Times New Roman" w:cs="Times New Roman"/>
                <w:szCs w:val="24"/>
              </w:rPr>
              <w:t>W1</w:t>
            </w:r>
          </w:p>
        </w:tc>
        <w:tc>
          <w:tcPr>
            <w:tcW w:w="1016" w:type="dxa"/>
            <w:shd w:val="clear" w:color="auto" w:fill="auto"/>
            <w:noWrap/>
            <w:vAlign w:val="center"/>
            <w:hideMark/>
          </w:tcPr>
          <w:p w14:paraId="1E3C28B6" w14:textId="77777777" w:rsidR="008230FF" w:rsidRPr="0099542F" w:rsidRDefault="000F5B51" w:rsidP="00BF228C">
            <w:pPr>
              <w:spacing w:after="0" w:line="240" w:lineRule="auto"/>
              <w:contextualSpacing/>
              <w:jc w:val="center"/>
              <w:rPr>
                <w:rFonts w:eastAsia="Times New Roman" w:cs="Times New Roman"/>
                <w:szCs w:val="24"/>
              </w:rPr>
            </w:pPr>
            <w:r w:rsidRPr="0099542F">
              <w:rPr>
                <w:rFonts w:eastAsia="Times New Roman" w:cs="Times New Roman"/>
                <w:szCs w:val="24"/>
              </w:rPr>
              <w:t>DA/O</w:t>
            </w:r>
          </w:p>
        </w:tc>
        <w:tc>
          <w:tcPr>
            <w:tcW w:w="996" w:type="dxa"/>
            <w:shd w:val="clear" w:color="auto" w:fill="auto"/>
            <w:noWrap/>
            <w:vAlign w:val="center"/>
            <w:hideMark/>
          </w:tcPr>
          <w:p w14:paraId="04F2978D" w14:textId="77777777" w:rsidR="008230FF" w:rsidRPr="0099542F" w:rsidRDefault="000F5B51" w:rsidP="00BF228C">
            <w:pPr>
              <w:spacing w:after="0" w:line="240" w:lineRule="auto"/>
              <w:contextualSpacing/>
              <w:jc w:val="center"/>
              <w:rPr>
                <w:rFonts w:eastAsia="Times New Roman" w:cs="Times New Roman"/>
                <w:szCs w:val="24"/>
              </w:rPr>
            </w:pPr>
            <w:r w:rsidRPr="0099542F">
              <w:rPr>
                <w:rFonts w:eastAsia="Times New Roman" w:cs="Times New Roman"/>
                <w:szCs w:val="24"/>
              </w:rPr>
              <w:t>58.36%</w:t>
            </w:r>
          </w:p>
        </w:tc>
      </w:tr>
      <w:tr w:rsidR="00A15C2C" w14:paraId="13642250" w14:textId="77777777" w:rsidTr="00BF228C">
        <w:trPr>
          <w:trHeight w:val="250"/>
          <w:jc w:val="center"/>
        </w:trPr>
        <w:tc>
          <w:tcPr>
            <w:tcW w:w="0" w:type="auto"/>
            <w:shd w:val="clear" w:color="auto" w:fill="auto"/>
            <w:noWrap/>
            <w:vAlign w:val="center"/>
            <w:hideMark/>
          </w:tcPr>
          <w:p w14:paraId="20E8B72F" w14:textId="77777777" w:rsidR="008230FF" w:rsidRPr="0099542F" w:rsidRDefault="000F5B51" w:rsidP="00BF228C">
            <w:pPr>
              <w:spacing w:after="0" w:line="240" w:lineRule="auto"/>
              <w:contextualSpacing/>
              <w:jc w:val="center"/>
              <w:rPr>
                <w:rFonts w:eastAsia="Times New Roman" w:cs="Times New Roman"/>
                <w:szCs w:val="24"/>
              </w:rPr>
            </w:pPr>
            <w:r w:rsidRPr="0099542F">
              <w:rPr>
                <w:rFonts w:eastAsia="Times New Roman" w:cs="Times New Roman"/>
                <w:szCs w:val="24"/>
              </w:rPr>
              <w:t>W2</w:t>
            </w:r>
          </w:p>
        </w:tc>
        <w:tc>
          <w:tcPr>
            <w:tcW w:w="0" w:type="auto"/>
            <w:shd w:val="clear" w:color="auto" w:fill="auto"/>
            <w:noWrap/>
            <w:vAlign w:val="center"/>
            <w:hideMark/>
          </w:tcPr>
          <w:p w14:paraId="1AC84EFB" w14:textId="77777777" w:rsidR="008230FF" w:rsidRPr="0099542F" w:rsidRDefault="000F5B51" w:rsidP="00BF228C">
            <w:pPr>
              <w:spacing w:after="0" w:line="240" w:lineRule="auto"/>
              <w:contextualSpacing/>
              <w:jc w:val="center"/>
              <w:rPr>
                <w:rFonts w:eastAsia="Times New Roman" w:cs="Times New Roman"/>
                <w:szCs w:val="24"/>
              </w:rPr>
            </w:pPr>
            <w:r w:rsidRPr="0099542F">
              <w:rPr>
                <w:rFonts w:eastAsia="Times New Roman" w:cs="Times New Roman"/>
                <w:szCs w:val="24"/>
              </w:rPr>
              <w:t>DP/O</w:t>
            </w:r>
          </w:p>
        </w:tc>
        <w:tc>
          <w:tcPr>
            <w:tcW w:w="0" w:type="auto"/>
            <w:shd w:val="clear" w:color="auto" w:fill="auto"/>
            <w:noWrap/>
            <w:vAlign w:val="center"/>
            <w:hideMark/>
          </w:tcPr>
          <w:p w14:paraId="118AC2E9" w14:textId="77777777" w:rsidR="008230FF" w:rsidRPr="0099542F" w:rsidRDefault="000F5B51" w:rsidP="00BF228C">
            <w:pPr>
              <w:spacing w:after="0" w:line="240" w:lineRule="auto"/>
              <w:contextualSpacing/>
              <w:jc w:val="center"/>
              <w:rPr>
                <w:rFonts w:eastAsia="Times New Roman" w:cs="Times New Roman"/>
                <w:szCs w:val="24"/>
              </w:rPr>
            </w:pPr>
            <w:r w:rsidRPr="0099542F">
              <w:rPr>
                <w:rFonts w:eastAsia="Times New Roman" w:cs="Times New Roman"/>
                <w:szCs w:val="24"/>
              </w:rPr>
              <w:t>20.82%</w:t>
            </w:r>
          </w:p>
        </w:tc>
      </w:tr>
      <w:tr w:rsidR="00A15C2C" w14:paraId="3B92E331" w14:textId="77777777" w:rsidTr="00BF228C">
        <w:trPr>
          <w:trHeight w:val="250"/>
          <w:jc w:val="center"/>
        </w:trPr>
        <w:tc>
          <w:tcPr>
            <w:tcW w:w="0" w:type="auto"/>
            <w:shd w:val="clear" w:color="auto" w:fill="auto"/>
            <w:noWrap/>
            <w:vAlign w:val="center"/>
            <w:hideMark/>
          </w:tcPr>
          <w:p w14:paraId="03851D59" w14:textId="77777777" w:rsidR="008230FF" w:rsidRPr="0099542F" w:rsidRDefault="000F5B51" w:rsidP="00BF228C">
            <w:pPr>
              <w:spacing w:after="0" w:line="240" w:lineRule="auto"/>
              <w:jc w:val="center"/>
              <w:rPr>
                <w:rFonts w:eastAsia="Times New Roman" w:cs="Times New Roman"/>
                <w:szCs w:val="24"/>
              </w:rPr>
            </w:pPr>
            <w:r w:rsidRPr="0099542F">
              <w:rPr>
                <w:rFonts w:eastAsia="Times New Roman" w:cs="Times New Roman"/>
                <w:szCs w:val="24"/>
              </w:rPr>
              <w:t>W3</w:t>
            </w:r>
          </w:p>
        </w:tc>
        <w:tc>
          <w:tcPr>
            <w:tcW w:w="0" w:type="auto"/>
            <w:shd w:val="clear" w:color="auto" w:fill="auto"/>
            <w:noWrap/>
            <w:vAlign w:val="center"/>
            <w:hideMark/>
          </w:tcPr>
          <w:p w14:paraId="24C3A159" w14:textId="77777777" w:rsidR="008230FF" w:rsidRPr="0099542F" w:rsidRDefault="000F5B51" w:rsidP="00BF228C">
            <w:pPr>
              <w:spacing w:after="0" w:line="240" w:lineRule="auto"/>
              <w:jc w:val="center"/>
              <w:rPr>
                <w:rFonts w:eastAsia="Times New Roman" w:cs="Times New Roman"/>
                <w:szCs w:val="24"/>
              </w:rPr>
            </w:pPr>
            <w:r w:rsidRPr="0099542F">
              <w:rPr>
                <w:rFonts w:eastAsia="Times New Roman" w:cs="Times New Roman"/>
                <w:szCs w:val="24"/>
              </w:rPr>
              <w:t>P/O</w:t>
            </w:r>
          </w:p>
        </w:tc>
        <w:tc>
          <w:tcPr>
            <w:tcW w:w="0" w:type="auto"/>
            <w:shd w:val="clear" w:color="auto" w:fill="auto"/>
            <w:noWrap/>
            <w:vAlign w:val="center"/>
            <w:hideMark/>
          </w:tcPr>
          <w:p w14:paraId="001187C9" w14:textId="77777777" w:rsidR="008230FF" w:rsidRPr="0099542F" w:rsidRDefault="000F5B51" w:rsidP="00BF228C">
            <w:pPr>
              <w:spacing w:after="0" w:line="240" w:lineRule="auto"/>
              <w:jc w:val="center"/>
              <w:rPr>
                <w:rFonts w:eastAsia="Times New Roman" w:cs="Times New Roman"/>
                <w:szCs w:val="24"/>
              </w:rPr>
            </w:pPr>
            <w:r w:rsidRPr="0099542F">
              <w:rPr>
                <w:rFonts w:eastAsia="Times New Roman" w:cs="Times New Roman"/>
                <w:szCs w:val="24"/>
              </w:rPr>
              <w:t>20.82%</w:t>
            </w:r>
          </w:p>
        </w:tc>
      </w:tr>
    </w:tbl>
    <w:p w14:paraId="0D2298FC" w14:textId="7B64A7B3" w:rsidR="008230FF" w:rsidRDefault="008230FF" w:rsidP="008230FF">
      <w:pPr>
        <w:pStyle w:val="Caption"/>
      </w:pPr>
    </w:p>
    <w:p w14:paraId="5F826ABF" w14:textId="294610CF" w:rsidR="00F1151E" w:rsidRDefault="00F1151E" w:rsidP="00F1151E"/>
    <w:p w14:paraId="7FFF8C7E" w14:textId="09BDBFED" w:rsidR="00F1151E" w:rsidRDefault="00F1151E" w:rsidP="00F1151E"/>
    <w:p w14:paraId="4F78AE34" w14:textId="77777777" w:rsidR="00F1151E" w:rsidRPr="00F1151E" w:rsidRDefault="00F1151E" w:rsidP="00F1151E"/>
    <w:p w14:paraId="0353B5EC" w14:textId="79B0574D" w:rsidR="008230FF" w:rsidRPr="00E12155" w:rsidRDefault="000F5B51" w:rsidP="008230FF">
      <w:pPr>
        <w:pStyle w:val="Caption"/>
      </w:pPr>
      <w:r>
        <w:lastRenderedPageBreak/>
        <w:t xml:space="preserve">Table </w:t>
      </w:r>
      <w:r w:rsidR="00115BAB">
        <w:fldChar w:fldCharType="begin"/>
      </w:r>
      <w:r>
        <w:instrText xml:space="preserve"> SEQ Table \* ARABIC </w:instrText>
      </w:r>
      <w:r w:rsidR="00115BAB">
        <w:fldChar w:fldCharType="separate"/>
      </w:r>
      <w:r w:rsidR="00A65CB3">
        <w:rPr>
          <w:noProof/>
        </w:rPr>
        <w:t>129</w:t>
      </w:r>
      <w:r w:rsidR="00115BAB">
        <w:rPr>
          <w:noProof/>
        </w:rPr>
        <w:fldChar w:fldCharType="end"/>
      </w:r>
      <w:r>
        <w:t xml:space="preserve">: </w:t>
      </w:r>
      <w:r w:rsidRPr="00791B38">
        <w:t>Estimated Front Outboard Passenger Belt Use Rate, with 2014-2015 NOPUS</w:t>
      </w:r>
      <w:r>
        <w:rPr>
          <w:rStyle w:val="FootnoteReference"/>
        </w:rPr>
        <w:footnoteReference w:id="87"/>
      </w:r>
    </w:p>
    <w:tbl>
      <w:tblPr>
        <w:tblStyle w:val="TableGrid"/>
        <w:tblW w:w="0" w:type="auto"/>
        <w:jc w:val="center"/>
        <w:tblLook w:val="04A0" w:firstRow="1" w:lastRow="0" w:firstColumn="1" w:lastColumn="0" w:noHBand="0" w:noVBand="1"/>
      </w:tblPr>
      <w:tblGrid>
        <w:gridCol w:w="1029"/>
        <w:gridCol w:w="2090"/>
        <w:gridCol w:w="1679"/>
        <w:gridCol w:w="1800"/>
        <w:gridCol w:w="1831"/>
      </w:tblGrid>
      <w:tr w:rsidR="00A15C2C" w14:paraId="25A26D63" w14:textId="77777777" w:rsidTr="00BF228C">
        <w:trPr>
          <w:jc w:val="center"/>
        </w:trPr>
        <w:tc>
          <w:tcPr>
            <w:tcW w:w="1029" w:type="dxa"/>
            <w:vMerge w:val="restart"/>
            <w:shd w:val="clear" w:color="auto" w:fill="D9D9D9" w:themeFill="background1" w:themeFillShade="D9"/>
            <w:vAlign w:val="center"/>
          </w:tcPr>
          <w:p w14:paraId="3D76BEF4" w14:textId="77777777" w:rsidR="008230FF" w:rsidRPr="006A00B6" w:rsidRDefault="000F5B51" w:rsidP="00BF228C">
            <w:pPr>
              <w:keepNext/>
              <w:spacing w:line="240" w:lineRule="auto"/>
              <w:contextualSpacing/>
              <w:rPr>
                <w:b/>
                <w:bCs/>
                <w:szCs w:val="24"/>
              </w:rPr>
            </w:pPr>
            <w:r w:rsidRPr="006A00B6">
              <w:rPr>
                <w:b/>
                <w:bCs/>
                <w:szCs w:val="24"/>
              </w:rPr>
              <w:t>Year</w:t>
            </w:r>
          </w:p>
        </w:tc>
        <w:tc>
          <w:tcPr>
            <w:tcW w:w="3769" w:type="dxa"/>
            <w:gridSpan w:val="2"/>
            <w:shd w:val="clear" w:color="auto" w:fill="D9D9D9" w:themeFill="background1" w:themeFillShade="D9"/>
            <w:vAlign w:val="center"/>
          </w:tcPr>
          <w:p w14:paraId="0F887488" w14:textId="77777777" w:rsidR="008230FF" w:rsidRPr="006A00B6" w:rsidRDefault="000F5B51" w:rsidP="00BF228C">
            <w:pPr>
              <w:keepNext/>
              <w:spacing w:line="240" w:lineRule="auto"/>
              <w:contextualSpacing/>
              <w:jc w:val="center"/>
              <w:rPr>
                <w:b/>
                <w:bCs/>
                <w:szCs w:val="24"/>
              </w:rPr>
            </w:pPr>
            <w:r w:rsidRPr="006A00B6">
              <w:rPr>
                <w:b/>
                <w:bCs/>
                <w:szCs w:val="24"/>
              </w:rPr>
              <w:t>Driver belt use</w:t>
            </w:r>
          </w:p>
        </w:tc>
        <w:tc>
          <w:tcPr>
            <w:tcW w:w="1800" w:type="dxa"/>
            <w:vMerge w:val="restart"/>
            <w:shd w:val="clear" w:color="auto" w:fill="D9D9D9" w:themeFill="background1" w:themeFillShade="D9"/>
            <w:vAlign w:val="center"/>
          </w:tcPr>
          <w:p w14:paraId="00EB4061" w14:textId="77777777" w:rsidR="008230FF" w:rsidRPr="006A00B6" w:rsidRDefault="000F5B51" w:rsidP="00BF228C">
            <w:pPr>
              <w:keepNext/>
              <w:spacing w:line="240" w:lineRule="auto"/>
              <w:contextualSpacing/>
              <w:jc w:val="center"/>
              <w:rPr>
                <w:b/>
                <w:bCs/>
                <w:szCs w:val="24"/>
              </w:rPr>
            </w:pPr>
            <w:r w:rsidRPr="006A00B6">
              <w:rPr>
                <w:b/>
                <w:bCs/>
                <w:szCs w:val="24"/>
              </w:rPr>
              <w:t>Overall belt use Front seats (RF)</w:t>
            </w:r>
          </w:p>
        </w:tc>
        <w:tc>
          <w:tcPr>
            <w:tcW w:w="1831" w:type="dxa"/>
            <w:vMerge w:val="restart"/>
            <w:shd w:val="clear" w:color="auto" w:fill="D9D9D9" w:themeFill="background1" w:themeFillShade="D9"/>
            <w:vAlign w:val="center"/>
          </w:tcPr>
          <w:p w14:paraId="5C117AD7" w14:textId="77777777" w:rsidR="008230FF" w:rsidRPr="006A00B6" w:rsidRDefault="000F5B51" w:rsidP="00BF228C">
            <w:pPr>
              <w:keepNext/>
              <w:spacing w:line="240" w:lineRule="auto"/>
              <w:contextualSpacing/>
              <w:jc w:val="center"/>
              <w:rPr>
                <w:b/>
                <w:bCs/>
                <w:szCs w:val="24"/>
              </w:rPr>
            </w:pPr>
            <w:r w:rsidRPr="006A00B6">
              <w:rPr>
                <w:b/>
                <w:bCs/>
                <w:szCs w:val="24"/>
              </w:rPr>
              <w:t>Estimated front passenger belt use rate (RP)</w:t>
            </w:r>
          </w:p>
        </w:tc>
      </w:tr>
      <w:tr w:rsidR="00A15C2C" w14:paraId="67F1FB06" w14:textId="77777777" w:rsidTr="00BF228C">
        <w:trPr>
          <w:jc w:val="center"/>
        </w:trPr>
        <w:tc>
          <w:tcPr>
            <w:tcW w:w="1029" w:type="dxa"/>
            <w:vMerge/>
            <w:vAlign w:val="center"/>
          </w:tcPr>
          <w:p w14:paraId="634B47C1" w14:textId="77777777" w:rsidR="008230FF" w:rsidRDefault="008230FF" w:rsidP="00BF228C">
            <w:pPr>
              <w:keepNext/>
              <w:spacing w:line="240" w:lineRule="auto"/>
              <w:contextualSpacing/>
              <w:rPr>
                <w:szCs w:val="24"/>
              </w:rPr>
            </w:pPr>
          </w:p>
        </w:tc>
        <w:tc>
          <w:tcPr>
            <w:tcW w:w="2090" w:type="dxa"/>
            <w:shd w:val="clear" w:color="auto" w:fill="D9D9D9" w:themeFill="background1" w:themeFillShade="D9"/>
            <w:vAlign w:val="center"/>
          </w:tcPr>
          <w:p w14:paraId="5A0C9A51" w14:textId="77777777" w:rsidR="008230FF" w:rsidRPr="006A00B6" w:rsidRDefault="000F5B51" w:rsidP="00BF228C">
            <w:pPr>
              <w:keepNext/>
              <w:spacing w:line="240" w:lineRule="auto"/>
              <w:contextualSpacing/>
              <w:jc w:val="center"/>
              <w:rPr>
                <w:b/>
                <w:bCs/>
                <w:szCs w:val="24"/>
              </w:rPr>
            </w:pPr>
            <w:r w:rsidRPr="006A00B6">
              <w:rPr>
                <w:b/>
                <w:bCs/>
                <w:szCs w:val="24"/>
              </w:rPr>
              <w:t>without passenger (RDA)</w:t>
            </w:r>
          </w:p>
        </w:tc>
        <w:tc>
          <w:tcPr>
            <w:tcW w:w="1679" w:type="dxa"/>
            <w:shd w:val="clear" w:color="auto" w:fill="D9D9D9" w:themeFill="background1" w:themeFillShade="D9"/>
            <w:vAlign w:val="center"/>
          </w:tcPr>
          <w:p w14:paraId="30890226" w14:textId="77777777" w:rsidR="008230FF" w:rsidRPr="006A00B6" w:rsidRDefault="000F5B51" w:rsidP="00BF228C">
            <w:pPr>
              <w:keepNext/>
              <w:spacing w:line="240" w:lineRule="auto"/>
              <w:contextualSpacing/>
              <w:jc w:val="center"/>
              <w:rPr>
                <w:b/>
                <w:bCs/>
                <w:szCs w:val="24"/>
              </w:rPr>
            </w:pPr>
            <w:r w:rsidRPr="006A00B6">
              <w:rPr>
                <w:b/>
                <w:bCs/>
                <w:szCs w:val="24"/>
              </w:rPr>
              <w:t>with passenger (RDP)</w:t>
            </w:r>
          </w:p>
        </w:tc>
        <w:tc>
          <w:tcPr>
            <w:tcW w:w="1800" w:type="dxa"/>
            <w:vMerge/>
            <w:vAlign w:val="center"/>
          </w:tcPr>
          <w:p w14:paraId="132434CA" w14:textId="77777777" w:rsidR="008230FF" w:rsidRPr="006A00B6" w:rsidRDefault="008230FF" w:rsidP="00BF228C">
            <w:pPr>
              <w:keepNext/>
              <w:spacing w:line="240" w:lineRule="auto"/>
              <w:contextualSpacing/>
              <w:jc w:val="center"/>
              <w:rPr>
                <w:b/>
                <w:bCs/>
                <w:szCs w:val="24"/>
              </w:rPr>
            </w:pPr>
          </w:p>
        </w:tc>
        <w:tc>
          <w:tcPr>
            <w:tcW w:w="1831" w:type="dxa"/>
            <w:vMerge/>
            <w:tcBorders>
              <w:bottom w:val="single" w:sz="4" w:space="0" w:color="auto"/>
            </w:tcBorders>
            <w:vAlign w:val="center"/>
          </w:tcPr>
          <w:p w14:paraId="6F09D9B6" w14:textId="77777777" w:rsidR="008230FF" w:rsidRPr="006A00B6" w:rsidRDefault="008230FF" w:rsidP="00BF228C">
            <w:pPr>
              <w:keepNext/>
              <w:spacing w:line="240" w:lineRule="auto"/>
              <w:contextualSpacing/>
              <w:jc w:val="center"/>
              <w:rPr>
                <w:b/>
                <w:bCs/>
                <w:szCs w:val="24"/>
              </w:rPr>
            </w:pPr>
          </w:p>
        </w:tc>
      </w:tr>
      <w:tr w:rsidR="00A15C2C" w14:paraId="5A54D0AF" w14:textId="77777777" w:rsidTr="00BF228C">
        <w:trPr>
          <w:jc w:val="center"/>
        </w:trPr>
        <w:tc>
          <w:tcPr>
            <w:tcW w:w="1029" w:type="dxa"/>
            <w:vAlign w:val="center"/>
          </w:tcPr>
          <w:p w14:paraId="49380233" w14:textId="77777777" w:rsidR="008230FF" w:rsidRDefault="000F5B51" w:rsidP="00BF228C">
            <w:pPr>
              <w:spacing w:line="240" w:lineRule="auto"/>
              <w:contextualSpacing/>
              <w:rPr>
                <w:szCs w:val="24"/>
              </w:rPr>
            </w:pPr>
            <w:r>
              <w:rPr>
                <w:szCs w:val="24"/>
              </w:rPr>
              <w:t>2011</w:t>
            </w:r>
          </w:p>
        </w:tc>
        <w:tc>
          <w:tcPr>
            <w:tcW w:w="2090" w:type="dxa"/>
          </w:tcPr>
          <w:p w14:paraId="04B94363" w14:textId="77777777" w:rsidR="008230FF" w:rsidRDefault="000F5B51" w:rsidP="00BF228C">
            <w:pPr>
              <w:spacing w:line="240" w:lineRule="auto"/>
              <w:contextualSpacing/>
              <w:jc w:val="center"/>
              <w:rPr>
                <w:szCs w:val="24"/>
              </w:rPr>
            </w:pPr>
            <w:r>
              <w:rPr>
                <w:szCs w:val="24"/>
              </w:rPr>
              <w:t>83%</w:t>
            </w:r>
          </w:p>
        </w:tc>
        <w:tc>
          <w:tcPr>
            <w:tcW w:w="1679" w:type="dxa"/>
          </w:tcPr>
          <w:p w14:paraId="525ACCCF" w14:textId="77777777" w:rsidR="008230FF" w:rsidRDefault="000F5B51" w:rsidP="00BF228C">
            <w:pPr>
              <w:spacing w:line="240" w:lineRule="auto"/>
              <w:contextualSpacing/>
              <w:jc w:val="center"/>
              <w:rPr>
                <w:szCs w:val="24"/>
              </w:rPr>
            </w:pPr>
            <w:r>
              <w:rPr>
                <w:szCs w:val="24"/>
              </w:rPr>
              <w:t>87%</w:t>
            </w:r>
          </w:p>
        </w:tc>
        <w:tc>
          <w:tcPr>
            <w:tcW w:w="1800" w:type="dxa"/>
          </w:tcPr>
          <w:p w14:paraId="0070029C" w14:textId="77777777" w:rsidR="008230FF" w:rsidRDefault="000F5B51" w:rsidP="00BF228C">
            <w:pPr>
              <w:spacing w:line="240" w:lineRule="auto"/>
              <w:contextualSpacing/>
              <w:jc w:val="center"/>
              <w:rPr>
                <w:szCs w:val="24"/>
              </w:rPr>
            </w:pPr>
            <w:r>
              <w:rPr>
                <w:szCs w:val="24"/>
              </w:rPr>
              <w:t>84.0%</w:t>
            </w:r>
          </w:p>
        </w:tc>
        <w:tc>
          <w:tcPr>
            <w:tcW w:w="1831" w:type="dxa"/>
            <w:tcBorders>
              <w:bottom w:val="nil"/>
            </w:tcBorders>
          </w:tcPr>
          <w:p w14:paraId="6420D33E" w14:textId="77777777" w:rsidR="008230FF" w:rsidRDefault="008230FF" w:rsidP="00BF228C">
            <w:pPr>
              <w:spacing w:line="240" w:lineRule="auto"/>
              <w:contextualSpacing/>
              <w:jc w:val="center"/>
              <w:rPr>
                <w:szCs w:val="24"/>
              </w:rPr>
            </w:pPr>
          </w:p>
        </w:tc>
      </w:tr>
      <w:tr w:rsidR="00A15C2C" w14:paraId="3B3E224E" w14:textId="77777777" w:rsidTr="00BF228C">
        <w:trPr>
          <w:jc w:val="center"/>
        </w:trPr>
        <w:tc>
          <w:tcPr>
            <w:tcW w:w="1029" w:type="dxa"/>
            <w:vAlign w:val="center"/>
          </w:tcPr>
          <w:p w14:paraId="02D6A2BE" w14:textId="77777777" w:rsidR="008230FF" w:rsidRDefault="000F5B51" w:rsidP="00BF228C">
            <w:pPr>
              <w:spacing w:line="240" w:lineRule="auto"/>
              <w:contextualSpacing/>
              <w:rPr>
                <w:szCs w:val="24"/>
              </w:rPr>
            </w:pPr>
            <w:r>
              <w:rPr>
                <w:szCs w:val="24"/>
              </w:rPr>
              <w:t>2012</w:t>
            </w:r>
          </w:p>
        </w:tc>
        <w:tc>
          <w:tcPr>
            <w:tcW w:w="2090" w:type="dxa"/>
          </w:tcPr>
          <w:p w14:paraId="7F2E0C57" w14:textId="77777777" w:rsidR="008230FF" w:rsidRDefault="000F5B51" w:rsidP="00BF228C">
            <w:pPr>
              <w:spacing w:line="240" w:lineRule="auto"/>
              <w:contextualSpacing/>
              <w:jc w:val="center"/>
              <w:rPr>
                <w:szCs w:val="24"/>
              </w:rPr>
            </w:pPr>
            <w:r>
              <w:rPr>
                <w:szCs w:val="24"/>
              </w:rPr>
              <w:t>85%</w:t>
            </w:r>
          </w:p>
        </w:tc>
        <w:tc>
          <w:tcPr>
            <w:tcW w:w="1679" w:type="dxa"/>
          </w:tcPr>
          <w:p w14:paraId="249C6417" w14:textId="77777777" w:rsidR="008230FF" w:rsidRDefault="000F5B51" w:rsidP="00BF228C">
            <w:pPr>
              <w:spacing w:line="240" w:lineRule="auto"/>
              <w:contextualSpacing/>
              <w:jc w:val="center"/>
              <w:rPr>
                <w:szCs w:val="24"/>
              </w:rPr>
            </w:pPr>
            <w:r>
              <w:rPr>
                <w:szCs w:val="24"/>
              </w:rPr>
              <w:t>89%</w:t>
            </w:r>
          </w:p>
        </w:tc>
        <w:tc>
          <w:tcPr>
            <w:tcW w:w="1800" w:type="dxa"/>
          </w:tcPr>
          <w:p w14:paraId="1EB881ED" w14:textId="77777777" w:rsidR="008230FF" w:rsidRDefault="000F5B51" w:rsidP="00BF228C">
            <w:pPr>
              <w:spacing w:line="240" w:lineRule="auto"/>
              <w:contextualSpacing/>
              <w:jc w:val="center"/>
              <w:rPr>
                <w:szCs w:val="24"/>
              </w:rPr>
            </w:pPr>
            <w:r>
              <w:rPr>
                <w:szCs w:val="24"/>
              </w:rPr>
              <w:t>86.0%</w:t>
            </w:r>
          </w:p>
        </w:tc>
        <w:tc>
          <w:tcPr>
            <w:tcW w:w="1831" w:type="dxa"/>
            <w:tcBorders>
              <w:top w:val="nil"/>
              <w:bottom w:val="nil"/>
            </w:tcBorders>
          </w:tcPr>
          <w:p w14:paraId="275D2416" w14:textId="77777777" w:rsidR="008230FF" w:rsidRDefault="008230FF" w:rsidP="00BF228C">
            <w:pPr>
              <w:spacing w:line="240" w:lineRule="auto"/>
              <w:contextualSpacing/>
              <w:jc w:val="center"/>
              <w:rPr>
                <w:szCs w:val="24"/>
              </w:rPr>
            </w:pPr>
          </w:p>
        </w:tc>
      </w:tr>
      <w:tr w:rsidR="00A15C2C" w14:paraId="54190D8C" w14:textId="77777777" w:rsidTr="00BF228C">
        <w:trPr>
          <w:jc w:val="center"/>
        </w:trPr>
        <w:tc>
          <w:tcPr>
            <w:tcW w:w="1029" w:type="dxa"/>
            <w:vAlign w:val="center"/>
          </w:tcPr>
          <w:p w14:paraId="59B6DAA8" w14:textId="77777777" w:rsidR="008230FF" w:rsidRDefault="000F5B51" w:rsidP="00BF228C">
            <w:pPr>
              <w:spacing w:line="240" w:lineRule="auto"/>
              <w:contextualSpacing/>
              <w:rPr>
                <w:szCs w:val="24"/>
              </w:rPr>
            </w:pPr>
            <w:r>
              <w:rPr>
                <w:szCs w:val="24"/>
              </w:rPr>
              <w:t>2013</w:t>
            </w:r>
          </w:p>
        </w:tc>
        <w:tc>
          <w:tcPr>
            <w:tcW w:w="2090" w:type="dxa"/>
          </w:tcPr>
          <w:p w14:paraId="56EF5471" w14:textId="77777777" w:rsidR="008230FF" w:rsidRDefault="000F5B51" w:rsidP="00BF228C">
            <w:pPr>
              <w:spacing w:line="240" w:lineRule="auto"/>
              <w:contextualSpacing/>
              <w:jc w:val="center"/>
              <w:rPr>
                <w:szCs w:val="24"/>
              </w:rPr>
            </w:pPr>
            <w:r>
              <w:rPr>
                <w:szCs w:val="24"/>
              </w:rPr>
              <w:t>87%</w:t>
            </w:r>
          </w:p>
        </w:tc>
        <w:tc>
          <w:tcPr>
            <w:tcW w:w="1679" w:type="dxa"/>
          </w:tcPr>
          <w:p w14:paraId="36876518" w14:textId="77777777" w:rsidR="008230FF" w:rsidRDefault="000F5B51" w:rsidP="00BF228C">
            <w:pPr>
              <w:spacing w:line="240" w:lineRule="auto"/>
              <w:contextualSpacing/>
              <w:jc w:val="center"/>
              <w:rPr>
                <w:szCs w:val="24"/>
              </w:rPr>
            </w:pPr>
            <w:r>
              <w:rPr>
                <w:szCs w:val="24"/>
              </w:rPr>
              <w:t>90%</w:t>
            </w:r>
          </w:p>
        </w:tc>
        <w:tc>
          <w:tcPr>
            <w:tcW w:w="1800" w:type="dxa"/>
          </w:tcPr>
          <w:p w14:paraId="033E0EBB" w14:textId="77777777" w:rsidR="008230FF" w:rsidRDefault="000F5B51" w:rsidP="00BF228C">
            <w:pPr>
              <w:spacing w:line="240" w:lineRule="auto"/>
              <w:contextualSpacing/>
              <w:jc w:val="center"/>
              <w:rPr>
                <w:szCs w:val="24"/>
              </w:rPr>
            </w:pPr>
            <w:r>
              <w:rPr>
                <w:szCs w:val="24"/>
              </w:rPr>
              <w:t>87.0%</w:t>
            </w:r>
          </w:p>
        </w:tc>
        <w:tc>
          <w:tcPr>
            <w:tcW w:w="1831" w:type="dxa"/>
            <w:tcBorders>
              <w:top w:val="nil"/>
              <w:bottom w:val="nil"/>
            </w:tcBorders>
          </w:tcPr>
          <w:p w14:paraId="7EC7DA92" w14:textId="77777777" w:rsidR="008230FF" w:rsidRDefault="008230FF" w:rsidP="00BF228C">
            <w:pPr>
              <w:spacing w:line="240" w:lineRule="auto"/>
              <w:contextualSpacing/>
              <w:jc w:val="center"/>
              <w:rPr>
                <w:szCs w:val="24"/>
              </w:rPr>
            </w:pPr>
          </w:p>
        </w:tc>
      </w:tr>
      <w:tr w:rsidR="00A15C2C" w14:paraId="719779D6" w14:textId="77777777" w:rsidTr="00BF228C">
        <w:trPr>
          <w:jc w:val="center"/>
        </w:trPr>
        <w:tc>
          <w:tcPr>
            <w:tcW w:w="1029" w:type="dxa"/>
            <w:vAlign w:val="center"/>
          </w:tcPr>
          <w:p w14:paraId="6029A406" w14:textId="77777777" w:rsidR="008230FF" w:rsidRDefault="000F5B51" w:rsidP="00BF228C">
            <w:pPr>
              <w:spacing w:line="240" w:lineRule="auto"/>
              <w:contextualSpacing/>
              <w:rPr>
                <w:szCs w:val="24"/>
              </w:rPr>
            </w:pPr>
            <w:r>
              <w:rPr>
                <w:szCs w:val="24"/>
              </w:rPr>
              <w:t>2014</w:t>
            </w:r>
            <w:r>
              <w:rPr>
                <w:rStyle w:val="FootnoteReference"/>
                <w:szCs w:val="24"/>
              </w:rPr>
              <w:footnoteReference w:id="88"/>
            </w:r>
          </w:p>
        </w:tc>
        <w:tc>
          <w:tcPr>
            <w:tcW w:w="2090" w:type="dxa"/>
          </w:tcPr>
          <w:p w14:paraId="38867729" w14:textId="77777777" w:rsidR="008230FF" w:rsidRDefault="000F5B51" w:rsidP="00BF228C">
            <w:pPr>
              <w:spacing w:line="240" w:lineRule="auto"/>
              <w:contextualSpacing/>
              <w:jc w:val="center"/>
              <w:rPr>
                <w:szCs w:val="24"/>
              </w:rPr>
            </w:pPr>
            <w:r>
              <w:rPr>
                <w:szCs w:val="24"/>
              </w:rPr>
              <w:t>86.1%</w:t>
            </w:r>
          </w:p>
        </w:tc>
        <w:tc>
          <w:tcPr>
            <w:tcW w:w="1679" w:type="dxa"/>
          </w:tcPr>
          <w:p w14:paraId="199638D6" w14:textId="77777777" w:rsidR="008230FF" w:rsidRDefault="000F5B51" w:rsidP="00BF228C">
            <w:pPr>
              <w:spacing w:line="240" w:lineRule="auto"/>
              <w:contextualSpacing/>
              <w:jc w:val="center"/>
              <w:rPr>
                <w:szCs w:val="24"/>
              </w:rPr>
            </w:pPr>
            <w:r>
              <w:rPr>
                <w:szCs w:val="24"/>
              </w:rPr>
              <w:t>89.0%</w:t>
            </w:r>
          </w:p>
        </w:tc>
        <w:tc>
          <w:tcPr>
            <w:tcW w:w="1800" w:type="dxa"/>
          </w:tcPr>
          <w:p w14:paraId="330F3486" w14:textId="77777777" w:rsidR="008230FF" w:rsidRDefault="000F5B51" w:rsidP="00BF228C">
            <w:pPr>
              <w:spacing w:line="240" w:lineRule="auto"/>
              <w:contextualSpacing/>
              <w:jc w:val="center"/>
              <w:rPr>
                <w:szCs w:val="24"/>
              </w:rPr>
            </w:pPr>
            <w:r>
              <w:rPr>
                <w:szCs w:val="24"/>
              </w:rPr>
              <w:t>86.7%</w:t>
            </w:r>
          </w:p>
        </w:tc>
        <w:tc>
          <w:tcPr>
            <w:tcW w:w="1831" w:type="dxa"/>
            <w:tcBorders>
              <w:top w:val="nil"/>
              <w:bottom w:val="nil"/>
            </w:tcBorders>
          </w:tcPr>
          <w:p w14:paraId="695EB6CB" w14:textId="77777777" w:rsidR="008230FF" w:rsidRDefault="008230FF" w:rsidP="00BF228C">
            <w:pPr>
              <w:spacing w:line="240" w:lineRule="auto"/>
              <w:contextualSpacing/>
              <w:jc w:val="center"/>
              <w:rPr>
                <w:szCs w:val="24"/>
              </w:rPr>
            </w:pPr>
          </w:p>
        </w:tc>
      </w:tr>
      <w:tr w:rsidR="00A15C2C" w14:paraId="37B43AEB" w14:textId="77777777" w:rsidTr="00BF228C">
        <w:trPr>
          <w:jc w:val="center"/>
        </w:trPr>
        <w:tc>
          <w:tcPr>
            <w:tcW w:w="1029" w:type="dxa"/>
            <w:vAlign w:val="center"/>
          </w:tcPr>
          <w:p w14:paraId="5B29FCC1" w14:textId="77777777" w:rsidR="008230FF" w:rsidRPr="00BA6218" w:rsidRDefault="000F5B51" w:rsidP="00BF228C">
            <w:pPr>
              <w:spacing w:line="240" w:lineRule="auto"/>
              <w:contextualSpacing/>
              <w:rPr>
                <w:szCs w:val="24"/>
              </w:rPr>
            </w:pPr>
            <w:r w:rsidRPr="00BA6218">
              <w:rPr>
                <w:szCs w:val="24"/>
              </w:rPr>
              <w:t>2015</w:t>
            </w:r>
          </w:p>
        </w:tc>
        <w:tc>
          <w:tcPr>
            <w:tcW w:w="2090" w:type="dxa"/>
          </w:tcPr>
          <w:p w14:paraId="74D2553F" w14:textId="77777777" w:rsidR="008230FF" w:rsidRPr="004A2AD6" w:rsidRDefault="000F5B51" w:rsidP="00BF228C">
            <w:pPr>
              <w:spacing w:line="240" w:lineRule="auto"/>
              <w:contextualSpacing/>
              <w:jc w:val="center"/>
              <w:rPr>
                <w:szCs w:val="24"/>
              </w:rPr>
            </w:pPr>
            <w:r w:rsidRPr="004A2AD6">
              <w:rPr>
                <w:szCs w:val="24"/>
              </w:rPr>
              <w:t>88.3%</w:t>
            </w:r>
          </w:p>
        </w:tc>
        <w:tc>
          <w:tcPr>
            <w:tcW w:w="1679" w:type="dxa"/>
          </w:tcPr>
          <w:p w14:paraId="441D499F" w14:textId="77777777" w:rsidR="008230FF" w:rsidRPr="004A2AD6" w:rsidRDefault="000F5B51" w:rsidP="00BF228C">
            <w:pPr>
              <w:spacing w:line="240" w:lineRule="auto"/>
              <w:contextualSpacing/>
              <w:jc w:val="center"/>
              <w:rPr>
                <w:szCs w:val="24"/>
              </w:rPr>
            </w:pPr>
            <w:r w:rsidRPr="004A2AD6">
              <w:rPr>
                <w:szCs w:val="24"/>
              </w:rPr>
              <w:t>90.2%</w:t>
            </w:r>
          </w:p>
        </w:tc>
        <w:tc>
          <w:tcPr>
            <w:tcW w:w="1800" w:type="dxa"/>
          </w:tcPr>
          <w:p w14:paraId="329E3CCB" w14:textId="77777777" w:rsidR="008230FF" w:rsidRPr="004A2AD6" w:rsidRDefault="000F5B51" w:rsidP="00BF228C">
            <w:pPr>
              <w:spacing w:line="240" w:lineRule="auto"/>
              <w:contextualSpacing/>
              <w:jc w:val="center"/>
              <w:rPr>
                <w:szCs w:val="24"/>
              </w:rPr>
            </w:pPr>
            <w:r w:rsidRPr="004A2AD6">
              <w:rPr>
                <w:szCs w:val="24"/>
              </w:rPr>
              <w:t>88.5%</w:t>
            </w:r>
          </w:p>
        </w:tc>
        <w:tc>
          <w:tcPr>
            <w:tcW w:w="1831" w:type="dxa"/>
            <w:tcBorders>
              <w:top w:val="nil"/>
              <w:bottom w:val="nil"/>
            </w:tcBorders>
          </w:tcPr>
          <w:p w14:paraId="7B8EFE07" w14:textId="77777777" w:rsidR="008230FF" w:rsidRPr="004A2AD6" w:rsidRDefault="008230FF" w:rsidP="00BF228C">
            <w:pPr>
              <w:spacing w:line="240" w:lineRule="auto"/>
              <w:contextualSpacing/>
              <w:jc w:val="center"/>
              <w:rPr>
                <w:szCs w:val="24"/>
              </w:rPr>
            </w:pPr>
          </w:p>
        </w:tc>
      </w:tr>
      <w:tr w:rsidR="00A15C2C" w14:paraId="3584DEB0" w14:textId="77777777" w:rsidTr="00BF228C">
        <w:trPr>
          <w:jc w:val="center"/>
        </w:trPr>
        <w:tc>
          <w:tcPr>
            <w:tcW w:w="1029" w:type="dxa"/>
            <w:vAlign w:val="center"/>
          </w:tcPr>
          <w:p w14:paraId="18452443" w14:textId="77777777" w:rsidR="008230FF" w:rsidRPr="004A2AD6" w:rsidRDefault="000F5B51" w:rsidP="00BF228C">
            <w:pPr>
              <w:spacing w:line="240" w:lineRule="auto"/>
              <w:contextualSpacing/>
              <w:rPr>
                <w:szCs w:val="24"/>
              </w:rPr>
            </w:pPr>
            <w:r w:rsidRPr="004A2AD6">
              <w:rPr>
                <w:szCs w:val="24"/>
              </w:rPr>
              <w:t>Average</w:t>
            </w:r>
          </w:p>
        </w:tc>
        <w:tc>
          <w:tcPr>
            <w:tcW w:w="2090" w:type="dxa"/>
          </w:tcPr>
          <w:p w14:paraId="2F8CDE7B" w14:textId="77777777" w:rsidR="008230FF" w:rsidRPr="004A2AD6" w:rsidRDefault="000F5B51" w:rsidP="00BF228C">
            <w:pPr>
              <w:spacing w:line="240" w:lineRule="auto"/>
              <w:contextualSpacing/>
              <w:jc w:val="center"/>
              <w:rPr>
                <w:szCs w:val="24"/>
              </w:rPr>
            </w:pPr>
            <w:r w:rsidRPr="004A2AD6">
              <w:rPr>
                <w:szCs w:val="24"/>
              </w:rPr>
              <w:t>85.9%</w:t>
            </w:r>
          </w:p>
        </w:tc>
        <w:tc>
          <w:tcPr>
            <w:tcW w:w="1679" w:type="dxa"/>
          </w:tcPr>
          <w:p w14:paraId="4A3FDABE" w14:textId="77777777" w:rsidR="008230FF" w:rsidRPr="004A2AD6" w:rsidRDefault="000F5B51" w:rsidP="00BF228C">
            <w:pPr>
              <w:spacing w:line="240" w:lineRule="auto"/>
              <w:contextualSpacing/>
              <w:jc w:val="center"/>
              <w:rPr>
                <w:szCs w:val="24"/>
              </w:rPr>
            </w:pPr>
            <w:r w:rsidRPr="004A2AD6">
              <w:rPr>
                <w:szCs w:val="24"/>
              </w:rPr>
              <w:t>89.0%</w:t>
            </w:r>
          </w:p>
        </w:tc>
        <w:tc>
          <w:tcPr>
            <w:tcW w:w="1800" w:type="dxa"/>
          </w:tcPr>
          <w:p w14:paraId="0EB77E7F" w14:textId="77777777" w:rsidR="008230FF" w:rsidRPr="004A2AD6" w:rsidRDefault="000F5B51" w:rsidP="00BF228C">
            <w:pPr>
              <w:spacing w:line="240" w:lineRule="auto"/>
              <w:contextualSpacing/>
              <w:jc w:val="center"/>
              <w:rPr>
                <w:szCs w:val="24"/>
              </w:rPr>
            </w:pPr>
            <w:r w:rsidRPr="004A2AD6">
              <w:rPr>
                <w:szCs w:val="24"/>
              </w:rPr>
              <w:t>86.4%</w:t>
            </w:r>
          </w:p>
        </w:tc>
        <w:tc>
          <w:tcPr>
            <w:tcW w:w="1831" w:type="dxa"/>
            <w:tcBorders>
              <w:top w:val="nil"/>
            </w:tcBorders>
          </w:tcPr>
          <w:p w14:paraId="307C8EF3" w14:textId="77777777" w:rsidR="008230FF" w:rsidRPr="00BA6218" w:rsidRDefault="000F5B51" w:rsidP="00BF228C">
            <w:pPr>
              <w:spacing w:line="240" w:lineRule="auto"/>
              <w:contextualSpacing/>
              <w:jc w:val="center"/>
              <w:rPr>
                <w:szCs w:val="24"/>
              </w:rPr>
            </w:pPr>
            <w:r w:rsidRPr="00E752A0">
              <w:rPr>
                <w:szCs w:val="24"/>
              </w:rPr>
              <w:t>85.41</w:t>
            </w:r>
            <w:r w:rsidRPr="00BA6218">
              <w:rPr>
                <w:szCs w:val="24"/>
              </w:rPr>
              <w:t>%</w:t>
            </w:r>
          </w:p>
        </w:tc>
      </w:tr>
    </w:tbl>
    <w:p w14:paraId="455FDAAE" w14:textId="77777777" w:rsidR="008230FF" w:rsidRPr="004A2AD6" w:rsidRDefault="008230FF" w:rsidP="008230FF">
      <w:pPr>
        <w:pStyle w:val="NoSpaceTimes"/>
      </w:pPr>
    </w:p>
    <w:p w14:paraId="09552FC3" w14:textId="77777777" w:rsidR="008230FF" w:rsidRPr="004A2AD6" w:rsidRDefault="000F5B51" w:rsidP="008230FF">
      <w:pPr>
        <w:spacing w:after="0"/>
        <w:rPr>
          <w:rFonts w:eastAsia="Times New Roman" w:cs="Times New Roman"/>
          <w:szCs w:val="24"/>
        </w:rPr>
      </w:pPr>
      <w:r w:rsidRPr="004A2AD6">
        <w:rPr>
          <w:rFonts w:eastAsia="Times New Roman" w:cs="Times New Roman"/>
          <w:szCs w:val="24"/>
        </w:rPr>
        <w:t>Based on the NOPUS and GES data, the front passenger belt use rate was estimated to be 85.41</w:t>
      </w:r>
      <w:r>
        <w:rPr>
          <w:rFonts w:eastAsia="Times New Roman" w:cs="Times New Roman"/>
          <w:szCs w:val="24"/>
        </w:rPr>
        <w:t>percent</w:t>
      </w:r>
      <w:r w:rsidRPr="004A2AD6">
        <w:rPr>
          <w:rFonts w:eastAsia="Times New Roman" w:cs="Times New Roman"/>
          <w:szCs w:val="24"/>
        </w:rPr>
        <w:t xml:space="preserve"> using the equation below: </w:t>
      </w:r>
    </w:p>
    <w:p w14:paraId="24160A8F" w14:textId="77777777" w:rsidR="008230FF" w:rsidRPr="004A2AD6" w:rsidRDefault="000F5B51" w:rsidP="008230FF">
      <w:pPr>
        <w:spacing w:after="0"/>
        <w:ind w:firstLine="720"/>
        <w:rPr>
          <w:rFonts w:eastAsia="Times New Roman" w:cs="Times New Roman"/>
          <w:szCs w:val="24"/>
        </w:rPr>
      </w:pPr>
      <w:r w:rsidRPr="00BA6218">
        <w:t xml:space="preserve"> </w:t>
      </w:r>
      <w:r w:rsidRPr="004A2AD6">
        <w:rPr>
          <w:rFonts w:eastAsia="Times New Roman" w:cs="Times New Roman"/>
          <w:szCs w:val="24"/>
        </w:rPr>
        <w:t>W1*RDA + W2*RDP + W3*RP = RF – (1)</w:t>
      </w:r>
      <w:r w:rsidRPr="004A2AD6">
        <w:rPr>
          <w:rFonts w:eastAsia="Times New Roman" w:cs="Times New Roman"/>
          <w:szCs w:val="24"/>
        </w:rPr>
        <w:tab/>
      </w:r>
      <w:r w:rsidRPr="004A2AD6">
        <w:rPr>
          <w:rFonts w:eastAsia="Times New Roman" w:cs="Times New Roman"/>
          <w:szCs w:val="24"/>
        </w:rPr>
        <w:tab/>
      </w:r>
      <w:r w:rsidRPr="004A2AD6">
        <w:rPr>
          <w:rFonts w:eastAsia="Times New Roman" w:cs="Times New Roman"/>
          <w:szCs w:val="24"/>
        </w:rPr>
        <w:tab/>
      </w:r>
    </w:p>
    <w:p w14:paraId="7C9FC4B2" w14:textId="77777777" w:rsidR="008230FF" w:rsidRDefault="000F5B51" w:rsidP="008230FF">
      <w:pPr>
        <w:spacing w:after="0"/>
        <w:ind w:firstLine="720"/>
        <w:rPr>
          <w:rFonts w:eastAsia="Times New Roman" w:cs="Times New Roman"/>
          <w:szCs w:val="24"/>
        </w:rPr>
      </w:pPr>
      <w:r w:rsidRPr="004A2AD6">
        <w:rPr>
          <w:rFonts w:eastAsia="Times New Roman" w:cs="Times New Roman"/>
          <w:szCs w:val="24"/>
        </w:rPr>
        <w:t>(RF - (W1*RDA + W2*RDP))/W3 = RP – (2)</w:t>
      </w:r>
      <w:r w:rsidRPr="004A2AD6">
        <w:rPr>
          <w:rFonts w:eastAsia="Times New Roman" w:cs="Times New Roman"/>
          <w:szCs w:val="24"/>
        </w:rPr>
        <w:tab/>
      </w:r>
    </w:p>
    <w:p w14:paraId="1849DC13" w14:textId="77777777" w:rsidR="008230FF" w:rsidRDefault="000F5B51" w:rsidP="008230FF">
      <w:pPr>
        <w:spacing w:after="0"/>
      </w:pPr>
      <w:r w:rsidRPr="004A2AD6">
        <w:rPr>
          <w:rFonts w:eastAsia="Times New Roman" w:cs="Times New Roman"/>
          <w:szCs w:val="24"/>
        </w:rPr>
        <w:t xml:space="preserve">In summary, due to limited data, we used the estimated front seat belt use rate of </w:t>
      </w:r>
      <w:r w:rsidRPr="00E752A0">
        <w:rPr>
          <w:rFonts w:eastAsia="Times New Roman" w:cs="Times New Roman"/>
          <w:szCs w:val="24"/>
        </w:rPr>
        <w:t>85.41</w:t>
      </w:r>
      <w:r>
        <w:rPr>
          <w:rFonts w:eastAsia="Times New Roman" w:cs="Times New Roman"/>
          <w:szCs w:val="24"/>
        </w:rPr>
        <w:t xml:space="preserve"> percent (0.854097) as a proxy for the front outboard seating position in the analysis. Further, as discussed later in the document, the </w:t>
      </w:r>
      <w:r w:rsidRPr="00723CEC">
        <w:rPr>
          <w:rFonts w:eastAsia="Times New Roman" w:cs="Times New Roman"/>
          <w:szCs w:val="24"/>
        </w:rPr>
        <w:t>front seat belt use rate</w:t>
      </w:r>
      <w:r>
        <w:rPr>
          <w:rFonts w:eastAsia="Times New Roman" w:cs="Times New Roman"/>
          <w:szCs w:val="24"/>
        </w:rPr>
        <w:t xml:space="preserve"> was used to derive rear SBWS effectiveness. </w:t>
      </w:r>
    </w:p>
    <w:p w14:paraId="648C7EAC" w14:textId="77777777" w:rsidR="008230FF" w:rsidRPr="00617167" w:rsidRDefault="000F5B51" w:rsidP="008230FF">
      <w:pPr>
        <w:spacing w:after="0"/>
        <w:contextualSpacing/>
        <w:rPr>
          <w:rFonts w:eastAsia="Times New Roman" w:cs="Times New Roman"/>
          <w:szCs w:val="24"/>
        </w:rPr>
      </w:pPr>
      <w:r w:rsidRPr="00617167">
        <w:rPr>
          <w:rFonts w:eastAsia="Times New Roman" w:cs="Times New Roman"/>
          <w:szCs w:val="24"/>
        </w:rPr>
        <w:t xml:space="preserve">As previously discussed, the NHTSA Phase 1 study showed that an enhanced front SBWS resulted in a </w:t>
      </w:r>
      <w:r>
        <w:rPr>
          <w:rFonts w:eastAsia="Times New Roman" w:cs="Times New Roman"/>
          <w:szCs w:val="24"/>
        </w:rPr>
        <w:t>three to four</w:t>
      </w:r>
      <w:r w:rsidRPr="00617167">
        <w:rPr>
          <w:rFonts w:eastAsia="Times New Roman" w:cs="Times New Roman"/>
          <w:szCs w:val="24"/>
        </w:rPr>
        <w:t xml:space="preserve"> percentage point increase in belt use rate for front seat occupants (driver and front outboard passenger) when compared to a basic SBWS</w:t>
      </w:r>
      <w:r>
        <w:rPr>
          <w:rFonts w:eastAsia="Times New Roman" w:cs="Times New Roman"/>
          <w:szCs w:val="24"/>
        </w:rPr>
        <w:t xml:space="preserve">. </w:t>
      </w:r>
      <w:r w:rsidRPr="00617167">
        <w:rPr>
          <w:rFonts w:eastAsia="Times New Roman" w:cs="Times New Roman"/>
          <w:szCs w:val="24"/>
        </w:rPr>
        <w:t xml:space="preserve">In addition, the internal NASS-CDS analysis showed that an enhanced front outboard passenger SBWS resulted in a </w:t>
      </w:r>
      <w:r>
        <w:rPr>
          <w:rFonts w:eastAsia="Times New Roman" w:cs="Times New Roman"/>
          <w:szCs w:val="24"/>
        </w:rPr>
        <w:t>six</w:t>
      </w:r>
      <w:r w:rsidRPr="00617167">
        <w:rPr>
          <w:rFonts w:eastAsia="Times New Roman" w:cs="Times New Roman"/>
          <w:szCs w:val="24"/>
        </w:rPr>
        <w:t xml:space="preserve"> percentage point increase in belt use for the front outboard passenger when compared to without any SBWS</w:t>
      </w:r>
      <w:r>
        <w:rPr>
          <w:rFonts w:eastAsia="Times New Roman" w:cs="Times New Roman"/>
          <w:szCs w:val="24"/>
        </w:rPr>
        <w:t xml:space="preserve">. </w:t>
      </w:r>
      <w:r w:rsidRPr="00617167">
        <w:rPr>
          <w:rFonts w:eastAsia="Times New Roman" w:cs="Times New Roman"/>
          <w:szCs w:val="24"/>
        </w:rPr>
        <w:t xml:space="preserve">Based on the NHTSA study and the NASS-CDS analysis, we assumed that a basic </w:t>
      </w:r>
      <w:r w:rsidRPr="00617167">
        <w:rPr>
          <w:rFonts w:eastAsia="Times New Roman" w:cs="Times New Roman"/>
          <w:szCs w:val="24"/>
        </w:rPr>
        <w:lastRenderedPageBreak/>
        <w:t xml:space="preserve">SBWS could result in a </w:t>
      </w:r>
      <w:r>
        <w:rPr>
          <w:rFonts w:eastAsia="Times New Roman" w:cs="Times New Roman"/>
          <w:szCs w:val="24"/>
        </w:rPr>
        <w:t>two to three</w:t>
      </w:r>
      <w:r w:rsidRPr="00617167">
        <w:t xml:space="preserve"> percentage </w:t>
      </w:r>
      <w:r w:rsidRPr="00617167">
        <w:rPr>
          <w:rFonts w:eastAsia="Times New Roman" w:cs="Times New Roman"/>
          <w:szCs w:val="24"/>
        </w:rPr>
        <w:t>point increase in belt usage among front outboard passengers (i.e., 6% - 4% = 2%, 6% - 3% = 3%).</w:t>
      </w:r>
      <w:r>
        <w:rPr>
          <w:rStyle w:val="FootnoteReference"/>
          <w:rFonts w:eastAsia="Times New Roman" w:cs="Times New Roman"/>
          <w:szCs w:val="24"/>
        </w:rPr>
        <w:footnoteReference w:id="89"/>
      </w:r>
      <w:r>
        <w:rPr>
          <w:rFonts w:eastAsia="Times New Roman" w:cs="Times New Roman"/>
          <w:szCs w:val="24"/>
        </w:rPr>
        <w:t xml:space="preserve"> </w:t>
      </w:r>
    </w:p>
    <w:p w14:paraId="7CE4680B" w14:textId="77777777" w:rsidR="005F378D" w:rsidRDefault="000F5B51" w:rsidP="006459B5">
      <w:pPr>
        <w:pStyle w:val="Heading2"/>
        <w:spacing w:line="240" w:lineRule="auto"/>
      </w:pPr>
      <w:bookmarkStart w:id="2059" w:name="_Ref130387948"/>
      <w:bookmarkStart w:id="2060" w:name="_Toc142903018"/>
      <w:r>
        <w:t>Appendix F</w:t>
      </w:r>
      <w:bookmarkEnd w:id="2059"/>
      <w:bookmarkEnd w:id="2060"/>
    </w:p>
    <w:p w14:paraId="61786CD9" w14:textId="77777777" w:rsidR="008230FF" w:rsidRDefault="000F5B51" w:rsidP="008230FF">
      <w:r>
        <w:t>To illustrate the methodology used to estimate the increase in seat belt use resulting from the requirements for the indefinite warning for front seat occupants, we include a sample calculation.</w:t>
      </w:r>
    </w:p>
    <w:p w14:paraId="63F4AE9A" w14:textId="77777777" w:rsidR="008230FF" w:rsidRDefault="000F5B51" w:rsidP="008230FF">
      <w:r>
        <w:t>Overall, for the target population, we grouped applicable crashes into three groups that are represented by three seat belt warning systems with a warning duration of seven-seconds, 90 seconds, and indefinite.  Further, we determined the belt use rate for each group based on the overall combined belt use rate we observed in crashes and a IIHS study that shows that the longer warning systems increase the belt use rate of the seven-second warning system.  For each system in the baseline, i.e., not-treated condition, we determined the percentage of drivers who used seat belts “always”, “sometimes,” and “never” based on a literature review of a study by May Chu.  For the treated condition, e.g., replacing a seven-second warning system with an indefinite warning system, based on the IIHS study, we calculated the effect of the longer warning period on the belt use rate for both drivers who “sometimes” or “never” used seat belts.  According to the IIHS study, for example, replacing a seven-second warning system with an indefinite warning system would increase the belt use rate of “</w:t>
      </w:r>
      <w:r w:rsidRPr="000A50E2">
        <w:t xml:space="preserve">sometimes” </w:t>
      </w:r>
      <w:r>
        <w:t>users by 34 percent.</w:t>
      </w:r>
      <w:r w:rsidRPr="000A50E2">
        <w:t xml:space="preserve"> </w:t>
      </w:r>
      <w:r>
        <w:t xml:space="preserve"> Finally, the incremental benefits were derived based on the increase in belt use rate utilizing a previous study of the effectiveness of seat belts in crashes.   </w:t>
      </w:r>
    </w:p>
    <w:p w14:paraId="3CDB27C2" w14:textId="0D164102" w:rsidR="008230FF" w:rsidRDefault="000F5B51" w:rsidP="008230FF">
      <w:pPr>
        <w:rPr>
          <w:u w:val="single"/>
        </w:rPr>
      </w:pPr>
      <w:r>
        <w:t xml:space="preserve">For the actual calculation, we first begin by presenting the data used in the analysis. </w:t>
      </w:r>
      <w:r>
        <w:fldChar w:fldCharType="begin"/>
      </w:r>
      <w:r>
        <w:instrText xml:space="preserve"> REF _Ref130291088 \h  \* MERGEFORMAT </w:instrText>
      </w:r>
      <w:r>
        <w:fldChar w:fldCharType="separate"/>
      </w:r>
      <w:r w:rsidR="00A65CB3">
        <w:t xml:space="preserve">Table </w:t>
      </w:r>
      <w:r w:rsidR="00A65CB3">
        <w:rPr>
          <w:noProof/>
        </w:rPr>
        <w:t>130</w:t>
      </w:r>
      <w:r>
        <w:fldChar w:fldCharType="end"/>
      </w:r>
      <w:r>
        <w:t xml:space="preserve"> presents the characterization of seat belt use habits from the </w:t>
      </w:r>
      <w:r w:rsidRPr="4CA445B8">
        <w:rPr>
          <w:rFonts w:cs="Times New Roman"/>
        </w:rPr>
        <w:t xml:space="preserve">study by May Chu titled </w:t>
      </w:r>
      <w:r w:rsidRPr="4CA445B8">
        <w:rPr>
          <w:rFonts w:cs="Times New Roman"/>
        </w:rPr>
        <w:lastRenderedPageBreak/>
        <w:t>“STATISTICAL BRIEF #62: Characteristics of Persons Who Seldom or Never Wear Seat Belts, 2002.”</w:t>
      </w:r>
      <w:r>
        <w:rPr>
          <w:rStyle w:val="FootnoteReference"/>
          <w:rFonts w:cs="Times New Roman"/>
        </w:rPr>
        <w:footnoteReference w:id="90"/>
      </w:r>
      <w:r w:rsidRPr="4CA445B8">
        <w:rPr>
          <w:rFonts w:cs="Times New Roman"/>
        </w:rPr>
        <w:t xml:space="preserve">  </w:t>
      </w:r>
      <w:r>
        <w:rPr>
          <w:rFonts w:cs="Times New Roman"/>
        </w:rPr>
        <w:t xml:space="preserve">We make use of the findings from that study to establish that under the baseline 87.7 percent of drivers always use seat belts, 5.4 percent of drivers never use seat belts, and 6.9 percent sometimes use seat belts. </w:t>
      </w:r>
    </w:p>
    <w:p w14:paraId="3E9100D6" w14:textId="08EBC1AB" w:rsidR="008230FF" w:rsidRPr="00632805" w:rsidRDefault="000F5B51" w:rsidP="008230FF">
      <w:pPr>
        <w:pStyle w:val="Caption"/>
        <w:rPr>
          <w:u w:val="single"/>
        </w:rPr>
      </w:pPr>
      <w:bookmarkStart w:id="2061" w:name="_Ref130291088"/>
      <w:r>
        <w:t xml:space="preserve">Table </w:t>
      </w:r>
      <w:r w:rsidR="00115BAB">
        <w:fldChar w:fldCharType="begin"/>
      </w:r>
      <w:r>
        <w:instrText xml:space="preserve"> SEQ Table \* ARABIC </w:instrText>
      </w:r>
      <w:r w:rsidR="00115BAB">
        <w:fldChar w:fldCharType="separate"/>
      </w:r>
      <w:r w:rsidR="00A65CB3">
        <w:rPr>
          <w:noProof/>
        </w:rPr>
        <w:t>130</w:t>
      </w:r>
      <w:r w:rsidR="00115BAB">
        <w:rPr>
          <w:noProof/>
        </w:rPr>
        <w:fldChar w:fldCharType="end"/>
      </w:r>
      <w:bookmarkEnd w:id="2061"/>
      <w:r>
        <w:t xml:space="preserve">: </w:t>
      </w:r>
      <w:r w:rsidRPr="000C5B1A">
        <w:t>Characterization of Seat Belt Use Habits</w:t>
      </w:r>
      <w:r>
        <w:t xml:space="preserve"> </w:t>
      </w:r>
    </w:p>
    <w:tbl>
      <w:tblPr>
        <w:tblStyle w:val="TableGrid"/>
        <w:tblW w:w="0" w:type="auto"/>
        <w:jc w:val="center"/>
        <w:tblLook w:val="04A0" w:firstRow="1" w:lastRow="0" w:firstColumn="1" w:lastColumn="0" w:noHBand="0" w:noVBand="1"/>
      </w:tblPr>
      <w:tblGrid>
        <w:gridCol w:w="7645"/>
        <w:gridCol w:w="990"/>
      </w:tblGrid>
      <w:tr w:rsidR="00A15C2C" w14:paraId="0F8EFB5B" w14:textId="77777777" w:rsidTr="00B4259D">
        <w:trPr>
          <w:jc w:val="center"/>
        </w:trPr>
        <w:tc>
          <w:tcPr>
            <w:tcW w:w="7645" w:type="dxa"/>
            <w:shd w:val="clear" w:color="auto" w:fill="D9D9D9" w:themeFill="background1" w:themeFillShade="D9"/>
            <w:vAlign w:val="center"/>
          </w:tcPr>
          <w:p w14:paraId="5BD9F6E5" w14:textId="77777777" w:rsidR="008230FF" w:rsidRPr="006A00B6" w:rsidRDefault="000F5B51" w:rsidP="00B4259D">
            <w:pPr>
              <w:spacing w:line="240" w:lineRule="auto"/>
              <w:contextualSpacing/>
              <w:rPr>
                <w:b/>
                <w:bCs/>
                <w:szCs w:val="24"/>
              </w:rPr>
            </w:pPr>
            <w:bookmarkStart w:id="2062" w:name="_Hlk130214500"/>
            <w:r w:rsidRPr="006A00B6">
              <w:rPr>
                <w:b/>
                <w:bCs/>
                <w:szCs w:val="24"/>
              </w:rPr>
              <w:t>Belt user and related items</w:t>
            </w:r>
          </w:p>
        </w:tc>
        <w:tc>
          <w:tcPr>
            <w:tcW w:w="990" w:type="dxa"/>
            <w:shd w:val="clear" w:color="auto" w:fill="D9D9D9" w:themeFill="background1" w:themeFillShade="D9"/>
            <w:vAlign w:val="center"/>
          </w:tcPr>
          <w:p w14:paraId="53E19146" w14:textId="77777777" w:rsidR="008230FF" w:rsidRPr="006A00B6" w:rsidRDefault="000F5B51" w:rsidP="00B4259D">
            <w:pPr>
              <w:spacing w:line="240" w:lineRule="auto"/>
              <w:contextualSpacing/>
              <w:jc w:val="center"/>
              <w:rPr>
                <w:b/>
                <w:bCs/>
                <w:szCs w:val="24"/>
              </w:rPr>
            </w:pPr>
            <w:r w:rsidRPr="006A00B6">
              <w:rPr>
                <w:b/>
                <w:bCs/>
                <w:szCs w:val="24"/>
              </w:rPr>
              <w:t>Rate</w:t>
            </w:r>
          </w:p>
        </w:tc>
      </w:tr>
      <w:tr w:rsidR="00A15C2C" w14:paraId="17B3F0F9" w14:textId="77777777" w:rsidTr="00B4259D">
        <w:trPr>
          <w:jc w:val="center"/>
        </w:trPr>
        <w:tc>
          <w:tcPr>
            <w:tcW w:w="7645" w:type="dxa"/>
          </w:tcPr>
          <w:p w14:paraId="7B4D8C20" w14:textId="77777777" w:rsidR="008230FF" w:rsidRPr="00FF7079" w:rsidRDefault="000F5B51" w:rsidP="00B4259D">
            <w:pPr>
              <w:spacing w:line="240" w:lineRule="auto"/>
              <w:contextualSpacing/>
              <w:rPr>
                <w:szCs w:val="24"/>
              </w:rPr>
            </w:pPr>
            <w:r w:rsidRPr="00FF7079">
              <w:rPr>
                <w:szCs w:val="24"/>
              </w:rPr>
              <w:t>A reported "sometimes using seat belts,"</w:t>
            </w:r>
          </w:p>
        </w:tc>
        <w:tc>
          <w:tcPr>
            <w:tcW w:w="990" w:type="dxa"/>
            <w:shd w:val="clear" w:color="auto" w:fill="auto"/>
            <w:vAlign w:val="center"/>
          </w:tcPr>
          <w:p w14:paraId="69059F0F" w14:textId="77777777" w:rsidR="008230FF" w:rsidRPr="00CB16B1" w:rsidRDefault="000F5B51" w:rsidP="00B4259D">
            <w:pPr>
              <w:spacing w:line="240" w:lineRule="auto"/>
              <w:contextualSpacing/>
              <w:jc w:val="center"/>
              <w:rPr>
                <w:szCs w:val="24"/>
              </w:rPr>
            </w:pPr>
            <w:r w:rsidRPr="0055589E">
              <w:rPr>
                <w:szCs w:val="24"/>
              </w:rPr>
              <w:t>6.9%</w:t>
            </w:r>
          </w:p>
        </w:tc>
      </w:tr>
      <w:tr w:rsidR="00A15C2C" w14:paraId="680ED115" w14:textId="77777777" w:rsidTr="00B4259D">
        <w:trPr>
          <w:jc w:val="center"/>
        </w:trPr>
        <w:tc>
          <w:tcPr>
            <w:tcW w:w="7645" w:type="dxa"/>
          </w:tcPr>
          <w:p w14:paraId="6D3030DC" w14:textId="77777777" w:rsidR="008230FF" w:rsidRPr="00FF7079" w:rsidRDefault="000F5B51" w:rsidP="00B4259D">
            <w:pPr>
              <w:spacing w:line="240" w:lineRule="auto"/>
              <w:contextualSpacing/>
              <w:rPr>
                <w:szCs w:val="24"/>
              </w:rPr>
            </w:pPr>
            <w:r w:rsidRPr="00FF7079">
              <w:rPr>
                <w:szCs w:val="24"/>
              </w:rPr>
              <w:t>A reported "seldom or never using seat belts when driving or riding in a car</w:t>
            </w:r>
            <w:r>
              <w:rPr>
                <w:szCs w:val="24"/>
              </w:rPr>
              <w:t>”</w:t>
            </w:r>
          </w:p>
        </w:tc>
        <w:tc>
          <w:tcPr>
            <w:tcW w:w="990" w:type="dxa"/>
            <w:shd w:val="clear" w:color="auto" w:fill="auto"/>
            <w:vAlign w:val="center"/>
          </w:tcPr>
          <w:p w14:paraId="6CCF4ECC" w14:textId="77777777" w:rsidR="008230FF" w:rsidRPr="00FF7079" w:rsidRDefault="000F5B51" w:rsidP="00B4259D">
            <w:pPr>
              <w:spacing w:line="240" w:lineRule="auto"/>
              <w:contextualSpacing/>
              <w:jc w:val="center"/>
              <w:rPr>
                <w:szCs w:val="24"/>
              </w:rPr>
            </w:pPr>
            <w:r w:rsidRPr="00FF7079">
              <w:rPr>
                <w:szCs w:val="24"/>
              </w:rPr>
              <w:t>5.4%</w:t>
            </w:r>
          </w:p>
        </w:tc>
      </w:tr>
      <w:tr w:rsidR="00A15C2C" w14:paraId="2DC39032" w14:textId="77777777" w:rsidTr="00B4259D">
        <w:trPr>
          <w:jc w:val="center"/>
        </w:trPr>
        <w:tc>
          <w:tcPr>
            <w:tcW w:w="7645" w:type="dxa"/>
          </w:tcPr>
          <w:p w14:paraId="1B77FEE7" w14:textId="77777777" w:rsidR="008230FF" w:rsidRPr="00FF7079" w:rsidRDefault="000F5B51" w:rsidP="00B4259D">
            <w:pPr>
              <w:spacing w:line="240" w:lineRule="auto"/>
              <w:contextualSpacing/>
              <w:rPr>
                <w:szCs w:val="24"/>
              </w:rPr>
            </w:pPr>
            <w:r w:rsidRPr="00FF7079">
              <w:rPr>
                <w:szCs w:val="24"/>
              </w:rPr>
              <w:t>Percentage of drivers who always use seat belts</w:t>
            </w:r>
            <w:r>
              <w:rPr>
                <w:szCs w:val="24"/>
              </w:rPr>
              <w:t xml:space="preserve">, calculated </w:t>
            </w:r>
          </w:p>
        </w:tc>
        <w:tc>
          <w:tcPr>
            <w:tcW w:w="990" w:type="dxa"/>
            <w:shd w:val="clear" w:color="auto" w:fill="auto"/>
            <w:vAlign w:val="center"/>
          </w:tcPr>
          <w:p w14:paraId="657AA973" w14:textId="77777777" w:rsidR="008230FF" w:rsidRPr="00FF7079" w:rsidRDefault="000F5B51" w:rsidP="00B4259D">
            <w:pPr>
              <w:spacing w:line="240" w:lineRule="auto"/>
              <w:contextualSpacing/>
              <w:jc w:val="center"/>
              <w:rPr>
                <w:szCs w:val="24"/>
              </w:rPr>
            </w:pPr>
            <w:r w:rsidRPr="00FF7079">
              <w:rPr>
                <w:szCs w:val="24"/>
              </w:rPr>
              <w:t>87.7%</w:t>
            </w:r>
          </w:p>
        </w:tc>
      </w:tr>
      <w:tr w:rsidR="00A15C2C" w14:paraId="20DE4B16" w14:textId="77777777" w:rsidTr="00B4259D">
        <w:trPr>
          <w:jc w:val="center"/>
        </w:trPr>
        <w:tc>
          <w:tcPr>
            <w:tcW w:w="7645" w:type="dxa"/>
            <w:vAlign w:val="center"/>
          </w:tcPr>
          <w:p w14:paraId="427FABD3" w14:textId="77777777" w:rsidR="008230FF" w:rsidRPr="00FF7079" w:rsidRDefault="000F5B51" w:rsidP="00B4259D">
            <w:pPr>
              <w:spacing w:line="240" w:lineRule="auto"/>
              <w:contextualSpacing/>
              <w:rPr>
                <w:szCs w:val="24"/>
              </w:rPr>
            </w:pPr>
            <w:r>
              <w:rPr>
                <w:szCs w:val="24"/>
              </w:rPr>
              <w:t>Total</w:t>
            </w:r>
          </w:p>
        </w:tc>
        <w:tc>
          <w:tcPr>
            <w:tcW w:w="990" w:type="dxa"/>
            <w:shd w:val="clear" w:color="auto" w:fill="auto"/>
            <w:vAlign w:val="center"/>
          </w:tcPr>
          <w:p w14:paraId="36EF9971" w14:textId="77777777" w:rsidR="008230FF" w:rsidRPr="00FF7079" w:rsidRDefault="000F5B51" w:rsidP="00B4259D">
            <w:pPr>
              <w:spacing w:line="240" w:lineRule="auto"/>
              <w:contextualSpacing/>
              <w:jc w:val="center"/>
              <w:rPr>
                <w:szCs w:val="24"/>
              </w:rPr>
            </w:pPr>
            <w:r>
              <w:rPr>
                <w:szCs w:val="24"/>
              </w:rPr>
              <w:t>100.0%</w:t>
            </w:r>
          </w:p>
        </w:tc>
      </w:tr>
      <w:bookmarkEnd w:id="2062"/>
    </w:tbl>
    <w:p w14:paraId="0AF345F7" w14:textId="77777777" w:rsidR="008230FF" w:rsidRDefault="008230FF" w:rsidP="008230FF">
      <w:pPr>
        <w:pStyle w:val="NoSpacing"/>
      </w:pPr>
    </w:p>
    <w:bookmarkStart w:id="2063" w:name="_Ref130296718"/>
    <w:p w14:paraId="31CFC656" w14:textId="40972467" w:rsidR="008230FF" w:rsidRPr="000D1D5F" w:rsidRDefault="000F5B51" w:rsidP="008230FF">
      <w:r>
        <w:fldChar w:fldCharType="begin"/>
      </w:r>
      <w:r>
        <w:instrText xml:space="preserve"> REF _Ref130297399 \h  \* MERGEFORMAT </w:instrText>
      </w:r>
      <w:r>
        <w:fldChar w:fldCharType="separate"/>
      </w:r>
      <w:r w:rsidR="00A65CB3">
        <w:t xml:space="preserve">Table </w:t>
      </w:r>
      <w:r w:rsidR="00A65CB3">
        <w:rPr>
          <w:noProof/>
        </w:rPr>
        <w:t>131</w:t>
      </w:r>
      <w:r>
        <w:fldChar w:fldCharType="end"/>
      </w:r>
      <w:r>
        <w:t xml:space="preserve"> presents the observed seat belt use rate relative to the percentage of those who always use seat belts. Taking into account the overall use rate of 0.9060 and that 87.7 percent of drivers always wear seat belts, this ratio is approximately 0.97.</w:t>
      </w:r>
    </w:p>
    <w:p w14:paraId="0AF88E2A" w14:textId="56687424" w:rsidR="008230FF" w:rsidRPr="002A4311" w:rsidRDefault="000F5B51" w:rsidP="008230FF">
      <w:pPr>
        <w:pStyle w:val="Caption"/>
        <w:rPr>
          <w:color w:val="0070C0"/>
          <w:u w:val="single"/>
        </w:rPr>
      </w:pPr>
      <w:bookmarkStart w:id="2064" w:name="_Ref130297399"/>
      <w:r>
        <w:t xml:space="preserve">Table </w:t>
      </w:r>
      <w:r w:rsidR="00115BAB">
        <w:fldChar w:fldCharType="begin"/>
      </w:r>
      <w:r>
        <w:instrText xml:space="preserve"> SEQ Table \* ARABIC </w:instrText>
      </w:r>
      <w:r w:rsidR="00115BAB">
        <w:fldChar w:fldCharType="separate"/>
      </w:r>
      <w:r w:rsidR="00A65CB3">
        <w:rPr>
          <w:noProof/>
        </w:rPr>
        <w:t>131</w:t>
      </w:r>
      <w:r w:rsidR="00115BAB">
        <w:rPr>
          <w:noProof/>
        </w:rPr>
        <w:fldChar w:fldCharType="end"/>
      </w:r>
      <w:bookmarkEnd w:id="2063"/>
      <w:bookmarkEnd w:id="2064"/>
      <w:r>
        <w:t>: Observed Seat Belt Use Relative to Percentage of those who Always Use Seat Belts</w:t>
      </w:r>
    </w:p>
    <w:tbl>
      <w:tblPr>
        <w:tblStyle w:val="TableGrid"/>
        <w:tblW w:w="0" w:type="auto"/>
        <w:jc w:val="center"/>
        <w:tblLook w:val="04A0" w:firstRow="1" w:lastRow="0" w:firstColumn="1" w:lastColumn="0" w:noHBand="0" w:noVBand="1"/>
      </w:tblPr>
      <w:tblGrid>
        <w:gridCol w:w="6025"/>
        <w:gridCol w:w="3240"/>
      </w:tblGrid>
      <w:tr w:rsidR="00A15C2C" w14:paraId="57EF0CD1" w14:textId="77777777" w:rsidTr="00B4259D">
        <w:trPr>
          <w:trHeight w:val="300"/>
          <w:jc w:val="center"/>
        </w:trPr>
        <w:tc>
          <w:tcPr>
            <w:tcW w:w="6025" w:type="dxa"/>
            <w:shd w:val="clear" w:color="auto" w:fill="BFBFBF" w:themeFill="background1" w:themeFillShade="BF"/>
            <w:noWrap/>
            <w:hideMark/>
          </w:tcPr>
          <w:p w14:paraId="7C728838" w14:textId="77777777" w:rsidR="008230FF" w:rsidRPr="006D2870" w:rsidRDefault="000F5B51" w:rsidP="00B4259D">
            <w:pPr>
              <w:spacing w:line="240" w:lineRule="auto"/>
              <w:rPr>
                <w:b/>
                <w:bCs/>
              </w:rPr>
            </w:pPr>
            <w:r>
              <w:rPr>
                <w:b/>
                <w:bCs/>
              </w:rPr>
              <w:t>Category</w:t>
            </w:r>
          </w:p>
        </w:tc>
        <w:tc>
          <w:tcPr>
            <w:tcW w:w="3240" w:type="dxa"/>
            <w:shd w:val="clear" w:color="auto" w:fill="BFBFBF" w:themeFill="background1" w:themeFillShade="BF"/>
            <w:noWrap/>
            <w:vAlign w:val="center"/>
            <w:hideMark/>
          </w:tcPr>
          <w:p w14:paraId="50E0B791" w14:textId="77777777" w:rsidR="008230FF" w:rsidRPr="006D2870" w:rsidRDefault="000F5B51" w:rsidP="00B4259D">
            <w:pPr>
              <w:spacing w:line="240" w:lineRule="auto"/>
              <w:jc w:val="center"/>
              <w:rPr>
                <w:b/>
                <w:bCs/>
              </w:rPr>
            </w:pPr>
            <w:r>
              <w:rPr>
                <w:b/>
                <w:bCs/>
              </w:rPr>
              <w:t>Percent</w:t>
            </w:r>
          </w:p>
        </w:tc>
      </w:tr>
      <w:tr w:rsidR="00A15C2C" w14:paraId="550861E1" w14:textId="77777777" w:rsidTr="00B4259D">
        <w:trPr>
          <w:trHeight w:val="224"/>
          <w:jc w:val="center"/>
        </w:trPr>
        <w:tc>
          <w:tcPr>
            <w:tcW w:w="6025" w:type="dxa"/>
            <w:noWrap/>
            <w:hideMark/>
          </w:tcPr>
          <w:p w14:paraId="08CB9149" w14:textId="77777777" w:rsidR="008230FF" w:rsidRPr="006D2870" w:rsidRDefault="000F5B51" w:rsidP="00B4259D">
            <w:pPr>
              <w:spacing w:line="240" w:lineRule="auto"/>
            </w:pPr>
            <w:r w:rsidRPr="006D2870">
              <w:t>O</w:t>
            </w:r>
            <w:r>
              <w:t>verall, o</w:t>
            </w:r>
            <w:r w:rsidRPr="006D2870">
              <w:t xml:space="preserve">bserved belt use rate, </w:t>
            </w:r>
          </w:p>
        </w:tc>
        <w:tc>
          <w:tcPr>
            <w:tcW w:w="3240" w:type="dxa"/>
            <w:noWrap/>
            <w:vAlign w:val="center"/>
            <w:hideMark/>
          </w:tcPr>
          <w:p w14:paraId="04914B74" w14:textId="77777777" w:rsidR="008230FF" w:rsidRPr="006D2870" w:rsidRDefault="000F5B51" w:rsidP="00B4259D">
            <w:pPr>
              <w:spacing w:line="240" w:lineRule="auto"/>
              <w:jc w:val="center"/>
            </w:pPr>
            <w:r w:rsidRPr="006D2870">
              <w:t>90</w:t>
            </w:r>
            <w:r>
              <w:t>.</w:t>
            </w:r>
            <w:r w:rsidRPr="006D2870">
              <w:t>6</w:t>
            </w:r>
            <w:r>
              <w:t>%</w:t>
            </w:r>
          </w:p>
        </w:tc>
      </w:tr>
      <w:tr w:rsidR="00A15C2C" w14:paraId="6F6FC693" w14:textId="77777777" w:rsidTr="00B4259D">
        <w:trPr>
          <w:trHeight w:val="300"/>
          <w:jc w:val="center"/>
        </w:trPr>
        <w:tc>
          <w:tcPr>
            <w:tcW w:w="6025" w:type="dxa"/>
            <w:noWrap/>
          </w:tcPr>
          <w:p w14:paraId="3D9FCC2E" w14:textId="77777777" w:rsidR="008230FF" w:rsidRPr="00B71A18" w:rsidRDefault="000F5B51" w:rsidP="00B4259D">
            <w:pPr>
              <w:spacing w:line="240" w:lineRule="auto"/>
            </w:pPr>
            <w:r>
              <w:t>Overall, Percentage of drivers who always use seat belts</w:t>
            </w:r>
          </w:p>
        </w:tc>
        <w:tc>
          <w:tcPr>
            <w:tcW w:w="3240" w:type="dxa"/>
            <w:noWrap/>
            <w:vAlign w:val="center"/>
            <w:hideMark/>
          </w:tcPr>
          <w:p w14:paraId="3668D994" w14:textId="77777777" w:rsidR="008230FF" w:rsidRPr="00B71A18" w:rsidRDefault="000F5B51" w:rsidP="00B4259D">
            <w:pPr>
              <w:spacing w:line="240" w:lineRule="auto"/>
              <w:jc w:val="center"/>
            </w:pPr>
            <w:r>
              <w:t>87.7%</w:t>
            </w:r>
          </w:p>
        </w:tc>
      </w:tr>
      <w:tr w:rsidR="00A15C2C" w14:paraId="35D28704" w14:textId="77777777" w:rsidTr="00B4259D">
        <w:trPr>
          <w:trHeight w:val="300"/>
          <w:jc w:val="center"/>
        </w:trPr>
        <w:tc>
          <w:tcPr>
            <w:tcW w:w="6025" w:type="dxa"/>
            <w:noWrap/>
          </w:tcPr>
          <w:p w14:paraId="2E21DE01" w14:textId="77777777" w:rsidR="008230FF" w:rsidRPr="00B71A18" w:rsidRDefault="000F5B51" w:rsidP="00B4259D">
            <w:pPr>
              <w:spacing w:line="240" w:lineRule="auto"/>
            </w:pPr>
            <w:r>
              <w:t xml:space="preserve">Ratio </w:t>
            </w:r>
          </w:p>
        </w:tc>
        <w:tc>
          <w:tcPr>
            <w:tcW w:w="3240" w:type="dxa"/>
            <w:noWrap/>
            <w:vAlign w:val="center"/>
            <w:hideMark/>
          </w:tcPr>
          <w:p w14:paraId="644E95B7" w14:textId="77777777" w:rsidR="008230FF" w:rsidRPr="00B71A18" w:rsidRDefault="000F5B51" w:rsidP="00B4259D">
            <w:pPr>
              <w:spacing w:line="240" w:lineRule="auto"/>
              <w:jc w:val="center"/>
            </w:pPr>
            <w:r>
              <w:t>96.8%</w:t>
            </w:r>
          </w:p>
        </w:tc>
      </w:tr>
    </w:tbl>
    <w:p w14:paraId="68926FC1" w14:textId="77777777" w:rsidR="008230FF" w:rsidRDefault="008230FF" w:rsidP="008230FF">
      <w:pPr>
        <w:spacing w:line="240" w:lineRule="auto"/>
        <w:rPr>
          <w:sz w:val="16"/>
          <w:szCs w:val="16"/>
        </w:rPr>
      </w:pPr>
    </w:p>
    <w:p w14:paraId="54D62E02" w14:textId="2C658E55" w:rsidR="008230FF" w:rsidRDefault="000F5B51" w:rsidP="008230FF">
      <w:r>
        <w:fldChar w:fldCharType="begin"/>
      </w:r>
      <w:r>
        <w:instrText xml:space="preserve"> REF _Ref130300470 \h </w:instrText>
      </w:r>
      <w:r>
        <w:fldChar w:fldCharType="separate"/>
      </w:r>
      <w:r w:rsidR="00A65CB3">
        <w:t xml:space="preserve">Table </w:t>
      </w:r>
      <w:r w:rsidR="00A65CB3">
        <w:rPr>
          <w:noProof/>
        </w:rPr>
        <w:t>132</w:t>
      </w:r>
      <w:r>
        <w:fldChar w:fldCharType="end"/>
      </w:r>
      <w:r>
        <w:t xml:space="preserve"> presents the observed seat belt use rate relative to the seat belt use rate in</w:t>
      </w:r>
      <w:r w:rsidR="00462833">
        <w:t xml:space="preserve"> </w:t>
      </w:r>
      <w:r w:rsidR="00462833" w:rsidRPr="00462833">
        <w:t>potentially</w:t>
      </w:r>
      <w:r>
        <w:t xml:space="preserve"> fatal crashes based on </w:t>
      </w:r>
      <w:r w:rsidR="00F75D33">
        <w:t>NHTSA’s</w:t>
      </w:r>
      <w:r>
        <w:t xml:space="preserve"> Belt Use Regression Model.</w:t>
      </w:r>
      <w:r>
        <w:rPr>
          <w:rStyle w:val="FootnoteReference"/>
        </w:rPr>
        <w:footnoteReference w:id="91"/>
      </w:r>
      <w:r>
        <w:t xml:space="preserve"> </w:t>
      </w:r>
      <w:r w:rsidRPr="00577786">
        <w:t>Taking</w:t>
      </w:r>
      <w:r>
        <w:t xml:space="preserve"> into account the overall use rate of 0.9060 and a use rate in </w:t>
      </w:r>
      <w:r w:rsidR="00462833" w:rsidRPr="00462833">
        <w:t xml:space="preserve">potentially </w:t>
      </w:r>
      <w:r>
        <w:t>fatal crashes of 0.7842, this ratio is approximately 0.8656.</w:t>
      </w:r>
    </w:p>
    <w:p w14:paraId="37AFD5F9" w14:textId="73639921" w:rsidR="008230FF" w:rsidRPr="002A4311" w:rsidRDefault="000F5B51" w:rsidP="008230FF">
      <w:pPr>
        <w:pStyle w:val="Caption"/>
        <w:rPr>
          <w:color w:val="0070C0"/>
          <w:u w:val="single"/>
        </w:rPr>
      </w:pPr>
      <w:bookmarkStart w:id="2065" w:name="_Ref130300470"/>
      <w:r>
        <w:t xml:space="preserve">Table </w:t>
      </w:r>
      <w:r w:rsidR="00115BAB">
        <w:fldChar w:fldCharType="begin"/>
      </w:r>
      <w:r>
        <w:instrText xml:space="preserve"> SEQ Table \* ARABIC </w:instrText>
      </w:r>
      <w:r w:rsidR="00115BAB">
        <w:fldChar w:fldCharType="separate"/>
      </w:r>
      <w:r w:rsidR="00A65CB3">
        <w:rPr>
          <w:noProof/>
        </w:rPr>
        <w:t>132</w:t>
      </w:r>
      <w:r w:rsidR="00115BAB">
        <w:rPr>
          <w:noProof/>
        </w:rPr>
        <w:fldChar w:fldCharType="end"/>
      </w:r>
      <w:bookmarkEnd w:id="2065"/>
      <w:r>
        <w:t xml:space="preserve">: Observed Seat Belt Use Relative to Seat Belt Use Rate in </w:t>
      </w:r>
      <w:r w:rsidR="00462833">
        <w:t>P</w:t>
      </w:r>
      <w:r w:rsidR="00462833" w:rsidRPr="00462833">
        <w:t xml:space="preserve">otentially </w:t>
      </w:r>
      <w:r>
        <w:t>Fatal Crashes</w:t>
      </w:r>
    </w:p>
    <w:tbl>
      <w:tblPr>
        <w:tblStyle w:val="TableGrid"/>
        <w:tblW w:w="0" w:type="auto"/>
        <w:jc w:val="center"/>
        <w:tblLook w:val="04A0" w:firstRow="1" w:lastRow="0" w:firstColumn="1" w:lastColumn="0" w:noHBand="0" w:noVBand="1"/>
      </w:tblPr>
      <w:tblGrid>
        <w:gridCol w:w="6025"/>
        <w:gridCol w:w="3240"/>
      </w:tblGrid>
      <w:tr w:rsidR="00A15C2C" w14:paraId="463540AA" w14:textId="77777777" w:rsidTr="00B4259D">
        <w:trPr>
          <w:trHeight w:val="300"/>
          <w:jc w:val="center"/>
        </w:trPr>
        <w:tc>
          <w:tcPr>
            <w:tcW w:w="6025" w:type="dxa"/>
            <w:shd w:val="clear" w:color="auto" w:fill="BFBFBF" w:themeFill="background1" w:themeFillShade="BF"/>
            <w:noWrap/>
            <w:hideMark/>
          </w:tcPr>
          <w:p w14:paraId="6FB083BA" w14:textId="77777777" w:rsidR="008230FF" w:rsidRPr="006D2870" w:rsidRDefault="000F5B51" w:rsidP="00B4259D">
            <w:pPr>
              <w:spacing w:line="240" w:lineRule="auto"/>
              <w:rPr>
                <w:b/>
                <w:bCs/>
              </w:rPr>
            </w:pPr>
            <w:r>
              <w:rPr>
                <w:b/>
                <w:bCs/>
              </w:rPr>
              <w:t>Category</w:t>
            </w:r>
          </w:p>
        </w:tc>
        <w:tc>
          <w:tcPr>
            <w:tcW w:w="3240" w:type="dxa"/>
            <w:shd w:val="clear" w:color="auto" w:fill="BFBFBF" w:themeFill="background1" w:themeFillShade="BF"/>
            <w:noWrap/>
            <w:vAlign w:val="center"/>
            <w:hideMark/>
          </w:tcPr>
          <w:p w14:paraId="61BA6157" w14:textId="77777777" w:rsidR="008230FF" w:rsidRPr="006D2870" w:rsidRDefault="000F5B51" w:rsidP="00B4259D">
            <w:pPr>
              <w:spacing w:line="240" w:lineRule="auto"/>
              <w:jc w:val="center"/>
              <w:rPr>
                <w:b/>
                <w:bCs/>
              </w:rPr>
            </w:pPr>
            <w:r>
              <w:rPr>
                <w:b/>
                <w:bCs/>
              </w:rPr>
              <w:t>Use Rate</w:t>
            </w:r>
          </w:p>
        </w:tc>
      </w:tr>
      <w:tr w:rsidR="00A15C2C" w14:paraId="56B4A504" w14:textId="77777777" w:rsidTr="00B4259D">
        <w:trPr>
          <w:trHeight w:val="224"/>
          <w:jc w:val="center"/>
        </w:trPr>
        <w:tc>
          <w:tcPr>
            <w:tcW w:w="6025" w:type="dxa"/>
            <w:noWrap/>
            <w:hideMark/>
          </w:tcPr>
          <w:p w14:paraId="03FE8F7B" w14:textId="77777777" w:rsidR="008230FF" w:rsidRPr="006D2870" w:rsidRDefault="000F5B51" w:rsidP="00B4259D">
            <w:pPr>
              <w:spacing w:line="240" w:lineRule="auto"/>
            </w:pPr>
            <w:r w:rsidRPr="006D2870">
              <w:t>O</w:t>
            </w:r>
            <w:r>
              <w:t>verall, o</w:t>
            </w:r>
            <w:r w:rsidRPr="006D2870">
              <w:t xml:space="preserve">bserved belt use rate, </w:t>
            </w:r>
          </w:p>
        </w:tc>
        <w:tc>
          <w:tcPr>
            <w:tcW w:w="3240" w:type="dxa"/>
            <w:noWrap/>
            <w:vAlign w:val="center"/>
            <w:hideMark/>
          </w:tcPr>
          <w:p w14:paraId="57D30D5E" w14:textId="77777777" w:rsidR="008230FF" w:rsidRPr="006D2870" w:rsidRDefault="000F5B51" w:rsidP="00B4259D">
            <w:pPr>
              <w:spacing w:line="240" w:lineRule="auto"/>
              <w:jc w:val="center"/>
            </w:pPr>
            <w:r w:rsidRPr="00361BB4">
              <w:t>0.906</w:t>
            </w:r>
          </w:p>
        </w:tc>
      </w:tr>
      <w:tr w:rsidR="00A15C2C" w14:paraId="217495CC" w14:textId="77777777" w:rsidTr="00B4259D">
        <w:trPr>
          <w:trHeight w:val="300"/>
          <w:jc w:val="center"/>
        </w:trPr>
        <w:tc>
          <w:tcPr>
            <w:tcW w:w="6025" w:type="dxa"/>
            <w:noWrap/>
          </w:tcPr>
          <w:p w14:paraId="6B2B6A6F" w14:textId="24EE76E6" w:rsidR="008230FF" w:rsidRPr="00B71A18" w:rsidRDefault="000F5B51" w:rsidP="00B4259D">
            <w:pPr>
              <w:spacing w:line="240" w:lineRule="auto"/>
            </w:pPr>
            <w:r>
              <w:t xml:space="preserve">Belt use rate in </w:t>
            </w:r>
            <w:r w:rsidR="005F0E59" w:rsidRPr="005F0E59">
              <w:t xml:space="preserve">potentially </w:t>
            </w:r>
            <w:r>
              <w:t>fatal crashes</w:t>
            </w:r>
          </w:p>
        </w:tc>
        <w:tc>
          <w:tcPr>
            <w:tcW w:w="3240" w:type="dxa"/>
            <w:noWrap/>
            <w:vAlign w:val="center"/>
            <w:hideMark/>
          </w:tcPr>
          <w:p w14:paraId="7B9F184F" w14:textId="77777777" w:rsidR="008230FF" w:rsidRPr="00B71A18" w:rsidRDefault="000F5B51" w:rsidP="00B4259D">
            <w:pPr>
              <w:spacing w:line="240" w:lineRule="auto"/>
              <w:jc w:val="center"/>
            </w:pPr>
            <w:r w:rsidRPr="00361BB4">
              <w:t>0.7842</w:t>
            </w:r>
          </w:p>
        </w:tc>
      </w:tr>
      <w:tr w:rsidR="00A15C2C" w14:paraId="4730BAA8" w14:textId="77777777" w:rsidTr="00B4259D">
        <w:trPr>
          <w:trHeight w:val="300"/>
          <w:jc w:val="center"/>
        </w:trPr>
        <w:tc>
          <w:tcPr>
            <w:tcW w:w="6025" w:type="dxa"/>
            <w:noWrap/>
          </w:tcPr>
          <w:p w14:paraId="10A379C5" w14:textId="77777777" w:rsidR="008230FF" w:rsidRPr="00B71A18" w:rsidRDefault="000F5B51" w:rsidP="00B4259D">
            <w:pPr>
              <w:spacing w:line="240" w:lineRule="auto"/>
            </w:pPr>
            <w:r>
              <w:t xml:space="preserve">Ratio </w:t>
            </w:r>
          </w:p>
        </w:tc>
        <w:tc>
          <w:tcPr>
            <w:tcW w:w="3240" w:type="dxa"/>
            <w:noWrap/>
            <w:vAlign w:val="center"/>
            <w:hideMark/>
          </w:tcPr>
          <w:p w14:paraId="6A83390E" w14:textId="77777777" w:rsidR="008230FF" w:rsidRPr="00B71A18" w:rsidRDefault="000F5B51" w:rsidP="00B4259D">
            <w:pPr>
              <w:spacing w:line="240" w:lineRule="auto"/>
              <w:jc w:val="center"/>
            </w:pPr>
            <w:r w:rsidRPr="00361BB4">
              <w:t>0.8656</w:t>
            </w:r>
          </w:p>
        </w:tc>
      </w:tr>
    </w:tbl>
    <w:p w14:paraId="3375A070" w14:textId="77777777" w:rsidR="008230FF" w:rsidRDefault="008230FF" w:rsidP="008230FF">
      <w:pPr>
        <w:pStyle w:val="NoSpacing"/>
      </w:pPr>
    </w:p>
    <w:p w14:paraId="4298C79F" w14:textId="1AD22225" w:rsidR="008230FF" w:rsidRPr="00ED719C" w:rsidRDefault="000F5B51" w:rsidP="008230FF">
      <w:r>
        <w:lastRenderedPageBreak/>
        <w:fldChar w:fldCharType="begin"/>
      </w:r>
      <w:r>
        <w:instrText xml:space="preserve"> REF _Ref130291406 \h </w:instrText>
      </w:r>
      <w:r>
        <w:fldChar w:fldCharType="separate"/>
      </w:r>
      <w:r w:rsidR="00A65CB3">
        <w:t xml:space="preserve">Table </w:t>
      </w:r>
      <w:r w:rsidR="00A65CB3">
        <w:rPr>
          <w:noProof/>
        </w:rPr>
        <w:t>133</w:t>
      </w:r>
      <w:r>
        <w:fldChar w:fldCharType="end"/>
      </w:r>
      <w:r>
        <w:t xml:space="preserve"> presents the vehicle sales data by warning type which is used as a proxy for crash exposure. The sales data indicate that approximately 7.63 percent of vehicles are equipped with a SBWS that provides a seven-second warning, 85.14 percent are</w:t>
      </w:r>
      <w:r w:rsidRPr="005F16BE">
        <w:t xml:space="preserve"> </w:t>
      </w:r>
      <w:r>
        <w:t>equipped with a SBWS that provides a 90-second warning, and 7.20 percent are equipped with a SBWS that provides an indefinite warning. We make the assumption that that distribution also represents the crash exposure for vehicles with each type of warning system.</w:t>
      </w:r>
    </w:p>
    <w:p w14:paraId="7A2EFDEB" w14:textId="2AD8CE26" w:rsidR="008230FF" w:rsidRPr="00443FB0" w:rsidRDefault="000F5B51" w:rsidP="008230FF">
      <w:pPr>
        <w:pStyle w:val="Caption"/>
        <w:rPr>
          <w:color w:val="0070C0"/>
          <w:u w:val="single"/>
        </w:rPr>
      </w:pPr>
      <w:bookmarkStart w:id="2066" w:name="_Ref130291406"/>
      <w:r>
        <w:t xml:space="preserve">Table </w:t>
      </w:r>
      <w:r w:rsidR="00115BAB">
        <w:fldChar w:fldCharType="begin"/>
      </w:r>
      <w:r>
        <w:instrText xml:space="preserve"> SEQ Table \* ARABIC </w:instrText>
      </w:r>
      <w:r w:rsidR="00115BAB">
        <w:fldChar w:fldCharType="separate"/>
      </w:r>
      <w:r w:rsidR="00A65CB3">
        <w:rPr>
          <w:noProof/>
        </w:rPr>
        <w:t>133</w:t>
      </w:r>
      <w:r w:rsidR="00115BAB">
        <w:rPr>
          <w:noProof/>
        </w:rPr>
        <w:fldChar w:fldCharType="end"/>
      </w:r>
      <w:bookmarkEnd w:id="2066"/>
      <w:r>
        <w:t xml:space="preserve">: </w:t>
      </w:r>
      <w:r w:rsidRPr="00B96CB4">
        <w:t xml:space="preserve">Vehicle </w:t>
      </w:r>
      <w:r>
        <w:t>S</w:t>
      </w:r>
      <w:r w:rsidRPr="00B96CB4">
        <w:t xml:space="preserve">ales and </w:t>
      </w:r>
      <w:r>
        <w:t>E</w:t>
      </w:r>
      <w:r w:rsidRPr="00B96CB4">
        <w:t xml:space="preserve">stimated </w:t>
      </w:r>
      <w:r>
        <w:t>C</w:t>
      </w:r>
      <w:r w:rsidRPr="00B96CB4">
        <w:t xml:space="preserve">rash </w:t>
      </w:r>
      <w:r>
        <w:t>E</w:t>
      </w:r>
      <w:r w:rsidRPr="00B96CB4">
        <w:t xml:space="preserve">xposure by </w:t>
      </w:r>
      <w:r>
        <w:t>Warning Type</w:t>
      </w:r>
    </w:p>
    <w:tbl>
      <w:tblPr>
        <w:tblStyle w:val="TableGrid"/>
        <w:tblW w:w="0" w:type="auto"/>
        <w:jc w:val="center"/>
        <w:tblLook w:val="04A0" w:firstRow="1" w:lastRow="0" w:firstColumn="1" w:lastColumn="0" w:noHBand="0" w:noVBand="1"/>
      </w:tblPr>
      <w:tblGrid>
        <w:gridCol w:w="1023"/>
        <w:gridCol w:w="1853"/>
        <w:gridCol w:w="2367"/>
        <w:gridCol w:w="2985"/>
      </w:tblGrid>
      <w:tr w:rsidR="00A15C2C" w14:paraId="12047C07" w14:textId="77777777" w:rsidTr="00B4259D">
        <w:trPr>
          <w:trHeight w:val="556"/>
          <w:jc w:val="center"/>
        </w:trPr>
        <w:tc>
          <w:tcPr>
            <w:tcW w:w="1023" w:type="dxa"/>
            <w:shd w:val="clear" w:color="auto" w:fill="BFBFBF" w:themeFill="background1" w:themeFillShade="BF"/>
            <w:vAlign w:val="center"/>
          </w:tcPr>
          <w:p w14:paraId="77D0146F" w14:textId="77777777" w:rsidR="008230FF" w:rsidRPr="00A7143B" w:rsidRDefault="000F5B51" w:rsidP="00B4259D">
            <w:pPr>
              <w:spacing w:line="240" w:lineRule="auto"/>
              <w:rPr>
                <w:b/>
                <w:bCs/>
              </w:rPr>
            </w:pPr>
            <w:r w:rsidRPr="00A7143B">
              <w:rPr>
                <w:b/>
                <w:bCs/>
              </w:rPr>
              <w:t>Bin</w:t>
            </w:r>
          </w:p>
        </w:tc>
        <w:tc>
          <w:tcPr>
            <w:tcW w:w="1853" w:type="dxa"/>
            <w:shd w:val="clear" w:color="auto" w:fill="BFBFBF" w:themeFill="background1" w:themeFillShade="BF"/>
            <w:vAlign w:val="center"/>
          </w:tcPr>
          <w:p w14:paraId="04ACCE1B" w14:textId="77777777" w:rsidR="008230FF" w:rsidRPr="00A7143B" w:rsidRDefault="000F5B51" w:rsidP="00B4259D">
            <w:pPr>
              <w:spacing w:line="240" w:lineRule="auto"/>
              <w:jc w:val="center"/>
              <w:rPr>
                <w:b/>
                <w:bCs/>
              </w:rPr>
            </w:pPr>
            <w:r w:rsidRPr="00A7143B">
              <w:rPr>
                <w:b/>
                <w:bCs/>
              </w:rPr>
              <w:t>Warning type</w:t>
            </w:r>
          </w:p>
        </w:tc>
        <w:tc>
          <w:tcPr>
            <w:tcW w:w="2367" w:type="dxa"/>
            <w:shd w:val="clear" w:color="auto" w:fill="BFBFBF" w:themeFill="background1" w:themeFillShade="BF"/>
            <w:vAlign w:val="center"/>
          </w:tcPr>
          <w:p w14:paraId="746B84F2" w14:textId="77777777" w:rsidR="008230FF" w:rsidRPr="00A7143B" w:rsidRDefault="000F5B51" w:rsidP="00B4259D">
            <w:pPr>
              <w:spacing w:line="240" w:lineRule="auto"/>
              <w:jc w:val="center"/>
              <w:rPr>
                <w:b/>
                <w:bCs/>
              </w:rPr>
            </w:pPr>
            <w:r w:rsidRPr="00A7143B">
              <w:rPr>
                <w:b/>
                <w:bCs/>
              </w:rPr>
              <w:t>Sales, (rounded)</w:t>
            </w:r>
          </w:p>
        </w:tc>
        <w:tc>
          <w:tcPr>
            <w:tcW w:w="2985" w:type="dxa"/>
            <w:shd w:val="clear" w:color="auto" w:fill="BFBFBF" w:themeFill="background1" w:themeFillShade="BF"/>
            <w:vAlign w:val="center"/>
          </w:tcPr>
          <w:p w14:paraId="5BD83F62" w14:textId="77777777" w:rsidR="008230FF" w:rsidRPr="00A7143B" w:rsidRDefault="000F5B51" w:rsidP="00B4259D">
            <w:pPr>
              <w:spacing w:line="240" w:lineRule="auto"/>
              <w:jc w:val="center"/>
              <w:rPr>
                <w:b/>
                <w:bCs/>
              </w:rPr>
            </w:pPr>
            <w:r w:rsidRPr="00A7143B">
              <w:rPr>
                <w:b/>
                <w:bCs/>
              </w:rPr>
              <w:t>Crash Exposure, Proxy, (rounded)</w:t>
            </w:r>
          </w:p>
        </w:tc>
      </w:tr>
      <w:tr w:rsidR="00A15C2C" w14:paraId="03FBB22A" w14:textId="77777777" w:rsidTr="00B4259D">
        <w:trPr>
          <w:trHeight w:val="273"/>
          <w:jc w:val="center"/>
        </w:trPr>
        <w:tc>
          <w:tcPr>
            <w:tcW w:w="1023" w:type="dxa"/>
            <w:vAlign w:val="center"/>
          </w:tcPr>
          <w:p w14:paraId="5116E1D2" w14:textId="77777777" w:rsidR="008230FF" w:rsidRPr="001C63C7" w:rsidRDefault="000F5B51" w:rsidP="00B4259D">
            <w:pPr>
              <w:spacing w:line="240" w:lineRule="auto"/>
            </w:pPr>
            <w:bookmarkStart w:id="2067" w:name="_Hlk130213330"/>
            <w:r w:rsidRPr="001C63C7">
              <w:t>#1</w:t>
            </w:r>
          </w:p>
        </w:tc>
        <w:tc>
          <w:tcPr>
            <w:tcW w:w="1853" w:type="dxa"/>
            <w:vAlign w:val="center"/>
          </w:tcPr>
          <w:p w14:paraId="75E227DA" w14:textId="77777777" w:rsidR="008230FF" w:rsidRPr="001C63C7" w:rsidRDefault="000F5B51" w:rsidP="00B4259D">
            <w:pPr>
              <w:spacing w:line="240" w:lineRule="auto"/>
              <w:jc w:val="center"/>
            </w:pPr>
            <w:r w:rsidRPr="001C63C7">
              <w:t>7-second</w:t>
            </w:r>
          </w:p>
        </w:tc>
        <w:tc>
          <w:tcPr>
            <w:tcW w:w="2367" w:type="dxa"/>
            <w:vAlign w:val="center"/>
          </w:tcPr>
          <w:p w14:paraId="001FCBFD" w14:textId="77777777" w:rsidR="008230FF" w:rsidRPr="001C63C7" w:rsidRDefault="000F5B51" w:rsidP="00B4259D">
            <w:pPr>
              <w:spacing w:line="240" w:lineRule="auto"/>
              <w:jc w:val="center"/>
            </w:pPr>
            <w:r w:rsidRPr="001C63C7">
              <w:t>0.0763</w:t>
            </w:r>
          </w:p>
        </w:tc>
        <w:tc>
          <w:tcPr>
            <w:tcW w:w="2985" w:type="dxa"/>
            <w:vAlign w:val="center"/>
          </w:tcPr>
          <w:p w14:paraId="5EE14AB4" w14:textId="77777777" w:rsidR="008230FF" w:rsidRPr="001C63C7" w:rsidRDefault="000F5B51" w:rsidP="00B4259D">
            <w:pPr>
              <w:spacing w:line="240" w:lineRule="auto"/>
              <w:jc w:val="center"/>
            </w:pPr>
            <w:r w:rsidRPr="001C63C7">
              <w:t>7.63%</w:t>
            </w:r>
          </w:p>
        </w:tc>
      </w:tr>
      <w:tr w:rsidR="00A15C2C" w14:paraId="6FD4F74F" w14:textId="77777777" w:rsidTr="00B4259D">
        <w:trPr>
          <w:trHeight w:val="273"/>
          <w:jc w:val="center"/>
        </w:trPr>
        <w:tc>
          <w:tcPr>
            <w:tcW w:w="1023" w:type="dxa"/>
            <w:vAlign w:val="center"/>
          </w:tcPr>
          <w:p w14:paraId="69EE9DCB" w14:textId="77777777" w:rsidR="008230FF" w:rsidRPr="001C63C7" w:rsidRDefault="000F5B51" w:rsidP="00B4259D">
            <w:pPr>
              <w:spacing w:line="240" w:lineRule="auto"/>
            </w:pPr>
            <w:r w:rsidRPr="001C63C7">
              <w:t>#2</w:t>
            </w:r>
          </w:p>
        </w:tc>
        <w:tc>
          <w:tcPr>
            <w:tcW w:w="1853" w:type="dxa"/>
            <w:vAlign w:val="center"/>
          </w:tcPr>
          <w:p w14:paraId="022858DB" w14:textId="77777777" w:rsidR="008230FF" w:rsidRPr="001C63C7" w:rsidRDefault="000F5B51" w:rsidP="00B4259D">
            <w:pPr>
              <w:spacing w:line="240" w:lineRule="auto"/>
              <w:jc w:val="center"/>
            </w:pPr>
            <w:r w:rsidRPr="001C63C7">
              <w:t>90-second</w:t>
            </w:r>
          </w:p>
        </w:tc>
        <w:tc>
          <w:tcPr>
            <w:tcW w:w="2367" w:type="dxa"/>
            <w:vAlign w:val="center"/>
          </w:tcPr>
          <w:p w14:paraId="60E57072" w14:textId="77777777" w:rsidR="008230FF" w:rsidRPr="001C63C7" w:rsidRDefault="000F5B51" w:rsidP="00B4259D">
            <w:pPr>
              <w:spacing w:line="240" w:lineRule="auto"/>
              <w:jc w:val="center"/>
            </w:pPr>
            <w:r w:rsidRPr="001C63C7">
              <w:t>0.8514</w:t>
            </w:r>
          </w:p>
        </w:tc>
        <w:tc>
          <w:tcPr>
            <w:tcW w:w="2985" w:type="dxa"/>
            <w:vAlign w:val="center"/>
          </w:tcPr>
          <w:p w14:paraId="5D17A9AB" w14:textId="77777777" w:rsidR="008230FF" w:rsidRPr="001C63C7" w:rsidRDefault="000F5B51" w:rsidP="00B4259D">
            <w:pPr>
              <w:spacing w:line="240" w:lineRule="auto"/>
              <w:jc w:val="center"/>
            </w:pPr>
            <w:r w:rsidRPr="001C63C7">
              <w:t>85.14%</w:t>
            </w:r>
          </w:p>
        </w:tc>
      </w:tr>
      <w:tr w:rsidR="00A15C2C" w14:paraId="27840749" w14:textId="77777777" w:rsidTr="00B4259D">
        <w:trPr>
          <w:trHeight w:val="273"/>
          <w:jc w:val="center"/>
        </w:trPr>
        <w:tc>
          <w:tcPr>
            <w:tcW w:w="1023" w:type="dxa"/>
            <w:tcBorders>
              <w:bottom w:val="single" w:sz="4" w:space="0" w:color="auto"/>
            </w:tcBorders>
          </w:tcPr>
          <w:p w14:paraId="58208B02" w14:textId="77777777" w:rsidR="008230FF" w:rsidRPr="001C63C7" w:rsidRDefault="000F5B51" w:rsidP="00B4259D">
            <w:pPr>
              <w:spacing w:line="240" w:lineRule="auto"/>
            </w:pPr>
            <w:r w:rsidRPr="001C63C7">
              <w:t>#3</w:t>
            </w:r>
          </w:p>
        </w:tc>
        <w:tc>
          <w:tcPr>
            <w:tcW w:w="1853" w:type="dxa"/>
            <w:tcBorders>
              <w:bottom w:val="single" w:sz="4" w:space="0" w:color="auto"/>
            </w:tcBorders>
            <w:vAlign w:val="center"/>
          </w:tcPr>
          <w:p w14:paraId="7381A88F" w14:textId="77777777" w:rsidR="008230FF" w:rsidRPr="001C63C7" w:rsidRDefault="000F5B51" w:rsidP="00B4259D">
            <w:pPr>
              <w:spacing w:line="240" w:lineRule="auto"/>
              <w:jc w:val="center"/>
            </w:pPr>
            <w:r w:rsidRPr="001C63C7">
              <w:t>Indefinite</w:t>
            </w:r>
          </w:p>
        </w:tc>
        <w:tc>
          <w:tcPr>
            <w:tcW w:w="2367" w:type="dxa"/>
          </w:tcPr>
          <w:p w14:paraId="502C782D" w14:textId="77777777" w:rsidR="008230FF" w:rsidRPr="001C63C7" w:rsidRDefault="000F5B51" w:rsidP="00B4259D">
            <w:pPr>
              <w:spacing w:line="240" w:lineRule="auto"/>
              <w:jc w:val="center"/>
            </w:pPr>
            <w:r w:rsidRPr="001C63C7">
              <w:t>0.0720</w:t>
            </w:r>
          </w:p>
        </w:tc>
        <w:tc>
          <w:tcPr>
            <w:tcW w:w="2985" w:type="dxa"/>
            <w:vAlign w:val="center"/>
          </w:tcPr>
          <w:p w14:paraId="550B247F" w14:textId="77777777" w:rsidR="008230FF" w:rsidRPr="001C63C7" w:rsidRDefault="000F5B51" w:rsidP="00B4259D">
            <w:pPr>
              <w:spacing w:line="240" w:lineRule="auto"/>
              <w:jc w:val="center"/>
            </w:pPr>
            <w:r w:rsidRPr="001C63C7">
              <w:t>7.20%</w:t>
            </w:r>
          </w:p>
        </w:tc>
      </w:tr>
      <w:tr w:rsidR="00A15C2C" w14:paraId="595CA4D6" w14:textId="77777777" w:rsidTr="00B4259D">
        <w:trPr>
          <w:trHeight w:val="273"/>
          <w:jc w:val="center"/>
        </w:trPr>
        <w:tc>
          <w:tcPr>
            <w:tcW w:w="1023" w:type="dxa"/>
            <w:tcBorders>
              <w:right w:val="nil"/>
            </w:tcBorders>
          </w:tcPr>
          <w:p w14:paraId="0F184B9F" w14:textId="77777777" w:rsidR="008230FF" w:rsidRPr="001C63C7" w:rsidRDefault="000F5B51" w:rsidP="00B4259D">
            <w:pPr>
              <w:spacing w:line="240" w:lineRule="auto"/>
            </w:pPr>
            <w:r w:rsidRPr="001C63C7">
              <w:t>Total</w:t>
            </w:r>
          </w:p>
        </w:tc>
        <w:tc>
          <w:tcPr>
            <w:tcW w:w="1853" w:type="dxa"/>
            <w:tcBorders>
              <w:left w:val="nil"/>
              <w:right w:val="nil"/>
            </w:tcBorders>
            <w:vAlign w:val="center"/>
          </w:tcPr>
          <w:p w14:paraId="3219CCE8" w14:textId="77777777" w:rsidR="008230FF" w:rsidRPr="001C63C7" w:rsidRDefault="008230FF" w:rsidP="00B4259D">
            <w:pPr>
              <w:spacing w:line="240" w:lineRule="auto"/>
              <w:jc w:val="center"/>
            </w:pPr>
          </w:p>
        </w:tc>
        <w:tc>
          <w:tcPr>
            <w:tcW w:w="2367" w:type="dxa"/>
          </w:tcPr>
          <w:p w14:paraId="22D6B853" w14:textId="77777777" w:rsidR="008230FF" w:rsidRPr="001C63C7" w:rsidRDefault="000F5B51" w:rsidP="00B4259D">
            <w:pPr>
              <w:spacing w:line="240" w:lineRule="auto"/>
              <w:jc w:val="center"/>
            </w:pPr>
            <w:r>
              <w:t>1.000</w:t>
            </w:r>
          </w:p>
        </w:tc>
        <w:tc>
          <w:tcPr>
            <w:tcW w:w="2985" w:type="dxa"/>
            <w:vAlign w:val="center"/>
          </w:tcPr>
          <w:p w14:paraId="226A0C0A" w14:textId="77777777" w:rsidR="008230FF" w:rsidRPr="001C63C7" w:rsidRDefault="000F5B51" w:rsidP="00B4259D">
            <w:pPr>
              <w:spacing w:line="240" w:lineRule="auto"/>
              <w:jc w:val="center"/>
            </w:pPr>
            <w:r w:rsidRPr="001C63C7">
              <w:t>100%</w:t>
            </w:r>
          </w:p>
        </w:tc>
      </w:tr>
      <w:bookmarkEnd w:id="2067"/>
    </w:tbl>
    <w:p w14:paraId="522C9157" w14:textId="77777777" w:rsidR="008230FF" w:rsidRDefault="008230FF" w:rsidP="008230FF">
      <w:pPr>
        <w:pStyle w:val="NoSpacing"/>
      </w:pPr>
    </w:p>
    <w:p w14:paraId="12D08A27" w14:textId="3886EEA6" w:rsidR="008230FF" w:rsidRPr="00614CB2" w:rsidRDefault="000F5B51" w:rsidP="008230FF">
      <w:pPr>
        <w:spacing w:after="0"/>
      </w:pPr>
      <w:r>
        <w:fldChar w:fldCharType="begin"/>
      </w:r>
      <w:r>
        <w:instrText xml:space="preserve"> REF _Ref130291793 \h  \* MERGEFORMAT </w:instrText>
      </w:r>
      <w:r>
        <w:fldChar w:fldCharType="separate"/>
      </w:r>
      <w:r w:rsidR="00A65CB3">
        <w:t xml:space="preserve">Table </w:t>
      </w:r>
      <w:r w:rsidR="00A65CB3">
        <w:rPr>
          <w:noProof/>
        </w:rPr>
        <w:t>134</w:t>
      </w:r>
      <w:r>
        <w:fldChar w:fldCharType="end"/>
      </w:r>
      <w:r>
        <w:t xml:space="preserve"> presents the findings of the IIHS study  </w:t>
      </w:r>
      <w:r w:rsidRPr="4CA445B8">
        <w:t>titled “The effects of persistent audible seat belt reminders and a speed-limiting interlock on the seat belt use of drivers who do not always use a seat belt” referred to as the Kidd study.</w:t>
      </w:r>
      <w:r>
        <w:rPr>
          <w:rStyle w:val="FootnoteReference"/>
          <w:rFonts w:cs="Times New Roman"/>
        </w:rPr>
        <w:footnoteReference w:id="92"/>
      </w:r>
      <w:r w:rsidRPr="4CA445B8">
        <w:t xml:space="preserve"> </w:t>
      </w:r>
      <w:r>
        <w:t xml:space="preserve"> The findings of the study indicated that when moving from a seven-second warning to a 90-second warning drivers increased their seat belt use by 30 percent. Furthermore, the study also found that when moving from a seven-second warning to an indefinite warning drivers increased their seat belt use by 34 percent.</w:t>
      </w:r>
    </w:p>
    <w:p w14:paraId="6550C1F3" w14:textId="1C7326E2" w:rsidR="008230FF" w:rsidRDefault="000F5B51" w:rsidP="008230FF">
      <w:pPr>
        <w:pStyle w:val="Caption"/>
        <w:rPr>
          <w:color w:val="0070C0"/>
        </w:rPr>
      </w:pPr>
      <w:bookmarkStart w:id="2068" w:name="_Ref130291793"/>
      <w:r>
        <w:t xml:space="preserve">Table </w:t>
      </w:r>
      <w:r w:rsidR="00115BAB">
        <w:fldChar w:fldCharType="begin"/>
      </w:r>
      <w:r>
        <w:instrText xml:space="preserve"> SEQ Table \* ARABIC </w:instrText>
      </w:r>
      <w:r w:rsidR="00115BAB">
        <w:fldChar w:fldCharType="separate"/>
      </w:r>
      <w:r w:rsidR="00A65CB3">
        <w:rPr>
          <w:noProof/>
        </w:rPr>
        <w:t>134</w:t>
      </w:r>
      <w:r w:rsidR="00115BAB">
        <w:rPr>
          <w:noProof/>
        </w:rPr>
        <w:fldChar w:fldCharType="end"/>
      </w:r>
      <w:bookmarkEnd w:id="2068"/>
      <w:r>
        <w:t>: R</w:t>
      </w:r>
      <w:r w:rsidRPr="006E0295">
        <w:t xml:space="preserve">elative </w:t>
      </w:r>
      <w:r>
        <w:t>I</w:t>
      </w:r>
      <w:r w:rsidRPr="006E0295">
        <w:t>ncrease in belt use rate</w:t>
      </w:r>
      <w:r>
        <w:t xml:space="preserve"> by Warning Duration</w:t>
      </w:r>
    </w:p>
    <w:tbl>
      <w:tblPr>
        <w:tblStyle w:val="TableGrid"/>
        <w:tblW w:w="0" w:type="auto"/>
        <w:jc w:val="center"/>
        <w:tblLook w:val="04A0" w:firstRow="1" w:lastRow="0" w:firstColumn="1" w:lastColumn="0" w:noHBand="0" w:noVBand="1"/>
      </w:tblPr>
      <w:tblGrid>
        <w:gridCol w:w="2605"/>
        <w:gridCol w:w="3847"/>
      </w:tblGrid>
      <w:tr w:rsidR="00A15C2C" w14:paraId="31316EC6" w14:textId="77777777" w:rsidTr="00B4259D">
        <w:trPr>
          <w:jc w:val="center"/>
        </w:trPr>
        <w:tc>
          <w:tcPr>
            <w:tcW w:w="2605" w:type="dxa"/>
            <w:shd w:val="clear" w:color="auto" w:fill="BFBFBF" w:themeFill="background1" w:themeFillShade="BF"/>
          </w:tcPr>
          <w:p w14:paraId="662D6190" w14:textId="77777777" w:rsidR="008230FF" w:rsidRPr="00A7143B" w:rsidRDefault="000F5B51" w:rsidP="00B4259D">
            <w:pPr>
              <w:spacing w:line="240" w:lineRule="auto"/>
              <w:rPr>
                <w:b/>
                <w:bCs/>
              </w:rPr>
            </w:pPr>
            <w:bookmarkStart w:id="2069" w:name="_Hlk130214314"/>
            <w:r w:rsidRPr="00A7143B">
              <w:rPr>
                <w:b/>
                <w:bCs/>
              </w:rPr>
              <w:t>Warning type</w:t>
            </w:r>
          </w:p>
        </w:tc>
        <w:tc>
          <w:tcPr>
            <w:tcW w:w="3847" w:type="dxa"/>
            <w:shd w:val="clear" w:color="auto" w:fill="BFBFBF" w:themeFill="background1" w:themeFillShade="BF"/>
          </w:tcPr>
          <w:p w14:paraId="7604CCCB" w14:textId="77777777" w:rsidR="008230FF" w:rsidRPr="00A7143B" w:rsidRDefault="000F5B51" w:rsidP="00B4259D">
            <w:pPr>
              <w:spacing w:line="240" w:lineRule="auto"/>
              <w:rPr>
                <w:b/>
                <w:bCs/>
              </w:rPr>
            </w:pPr>
            <w:r w:rsidRPr="00A7143B">
              <w:rPr>
                <w:b/>
                <w:bCs/>
              </w:rPr>
              <w:t>Belt use rate, relative</w:t>
            </w:r>
          </w:p>
        </w:tc>
      </w:tr>
      <w:tr w:rsidR="00A15C2C" w14:paraId="09C0E11C" w14:textId="77777777" w:rsidTr="00B4259D">
        <w:trPr>
          <w:jc w:val="center"/>
        </w:trPr>
        <w:tc>
          <w:tcPr>
            <w:tcW w:w="2605" w:type="dxa"/>
          </w:tcPr>
          <w:p w14:paraId="5073727A" w14:textId="77777777" w:rsidR="008230FF" w:rsidRPr="00A7143B" w:rsidRDefault="000F5B51" w:rsidP="00B4259D">
            <w:pPr>
              <w:spacing w:line="240" w:lineRule="auto"/>
            </w:pPr>
            <w:r w:rsidRPr="00A7143B">
              <w:t>7-second</w:t>
            </w:r>
          </w:p>
        </w:tc>
        <w:tc>
          <w:tcPr>
            <w:tcW w:w="3847" w:type="dxa"/>
          </w:tcPr>
          <w:p w14:paraId="77FB9646" w14:textId="77777777" w:rsidR="008230FF" w:rsidRPr="00A7143B" w:rsidRDefault="000F5B51" w:rsidP="00B4259D">
            <w:pPr>
              <w:spacing w:line="240" w:lineRule="auto"/>
            </w:pPr>
            <w:r>
              <w:t>Base rate</w:t>
            </w:r>
          </w:p>
        </w:tc>
      </w:tr>
      <w:tr w:rsidR="00A15C2C" w14:paraId="28CE37E1" w14:textId="77777777" w:rsidTr="00B4259D">
        <w:trPr>
          <w:jc w:val="center"/>
        </w:trPr>
        <w:tc>
          <w:tcPr>
            <w:tcW w:w="2605" w:type="dxa"/>
          </w:tcPr>
          <w:p w14:paraId="4788B561" w14:textId="77777777" w:rsidR="008230FF" w:rsidRPr="00A7143B" w:rsidRDefault="000F5B51" w:rsidP="00B4259D">
            <w:pPr>
              <w:spacing w:line="240" w:lineRule="auto"/>
            </w:pPr>
            <w:r w:rsidRPr="00A7143B">
              <w:t>90-second</w:t>
            </w:r>
          </w:p>
        </w:tc>
        <w:tc>
          <w:tcPr>
            <w:tcW w:w="3847" w:type="dxa"/>
          </w:tcPr>
          <w:p w14:paraId="62A32BA5" w14:textId="77777777" w:rsidR="008230FF" w:rsidRPr="00A7143B" w:rsidRDefault="000F5B51" w:rsidP="00B4259D">
            <w:pPr>
              <w:spacing w:line="240" w:lineRule="auto"/>
            </w:pPr>
            <w:r w:rsidRPr="00A7143B">
              <w:t xml:space="preserve">1.30 times higher than </w:t>
            </w:r>
            <w:r>
              <w:t>base rate</w:t>
            </w:r>
            <w:r w:rsidRPr="00A7143B">
              <w:t xml:space="preserve"> </w:t>
            </w:r>
          </w:p>
        </w:tc>
      </w:tr>
      <w:tr w:rsidR="00A15C2C" w14:paraId="54FDC74B" w14:textId="77777777" w:rsidTr="00B4259D">
        <w:trPr>
          <w:jc w:val="center"/>
        </w:trPr>
        <w:tc>
          <w:tcPr>
            <w:tcW w:w="2605" w:type="dxa"/>
            <w:tcBorders>
              <w:bottom w:val="single" w:sz="4" w:space="0" w:color="auto"/>
            </w:tcBorders>
          </w:tcPr>
          <w:p w14:paraId="0A426B8A" w14:textId="77777777" w:rsidR="008230FF" w:rsidRPr="00A7143B" w:rsidRDefault="000F5B51" w:rsidP="00B4259D">
            <w:pPr>
              <w:spacing w:line="240" w:lineRule="auto"/>
            </w:pPr>
            <w:r w:rsidRPr="00A7143B">
              <w:t>Indefinite</w:t>
            </w:r>
          </w:p>
        </w:tc>
        <w:tc>
          <w:tcPr>
            <w:tcW w:w="3847" w:type="dxa"/>
          </w:tcPr>
          <w:p w14:paraId="31243479" w14:textId="77777777" w:rsidR="008230FF" w:rsidRPr="00A7143B" w:rsidRDefault="000F5B51" w:rsidP="00B4259D">
            <w:pPr>
              <w:spacing w:line="240" w:lineRule="auto"/>
            </w:pPr>
            <w:r w:rsidRPr="00A7143B">
              <w:t xml:space="preserve">1.34 times higher than </w:t>
            </w:r>
            <w:r>
              <w:t>base rate</w:t>
            </w:r>
            <w:r w:rsidRPr="00A7143B">
              <w:t xml:space="preserve"> </w:t>
            </w:r>
          </w:p>
        </w:tc>
      </w:tr>
      <w:bookmarkEnd w:id="2069"/>
    </w:tbl>
    <w:p w14:paraId="26D37113" w14:textId="77777777" w:rsidR="008230FF" w:rsidRDefault="008230FF" w:rsidP="008230FF">
      <w:pPr>
        <w:pStyle w:val="NoSpacing"/>
      </w:pPr>
    </w:p>
    <w:p w14:paraId="18A59DCD" w14:textId="449E5E90" w:rsidR="008230FF" w:rsidRDefault="000F5B51" w:rsidP="008230FF">
      <w:r>
        <w:t>We then make use of the overall average seat belt use rate in</w:t>
      </w:r>
      <w:r w:rsidR="00462833">
        <w:t xml:space="preserve"> </w:t>
      </w:r>
      <w:r w:rsidR="00462833" w:rsidRPr="00462833">
        <w:t>potentially</w:t>
      </w:r>
      <w:r>
        <w:t xml:space="preserve"> fatal crashes of approximately 0.7842 along with information provided in </w:t>
      </w:r>
      <w:r>
        <w:fldChar w:fldCharType="begin"/>
      </w:r>
      <w:r>
        <w:instrText xml:space="preserve"> REF _Ref130291406 \h </w:instrText>
      </w:r>
      <w:r>
        <w:fldChar w:fldCharType="separate"/>
      </w:r>
      <w:r w:rsidR="00A65CB3">
        <w:t xml:space="preserve">Table </w:t>
      </w:r>
      <w:r w:rsidR="00A65CB3">
        <w:rPr>
          <w:noProof/>
        </w:rPr>
        <w:t>133</w:t>
      </w:r>
      <w:r>
        <w:fldChar w:fldCharType="end"/>
      </w:r>
      <w:r>
        <w:t xml:space="preserve"> to establish the seat belt use </w:t>
      </w:r>
      <w:r>
        <w:lastRenderedPageBreak/>
        <w:t xml:space="preserve">rate in </w:t>
      </w:r>
      <w:r w:rsidR="00C67A5A" w:rsidRPr="00C67A5A">
        <w:t xml:space="preserve">potentially </w:t>
      </w:r>
      <w:r>
        <w:t>fatal crashes for each of the three specific warning durations. The following equation represents the relationship between the overall average seat belt use rate to the seat beat use rates for each specific warning type:</w:t>
      </w:r>
    </w:p>
    <w:p w14:paraId="24A38848" w14:textId="77777777" w:rsidR="008230FF" w:rsidRDefault="000F5B51" w:rsidP="008230FF">
      <w:pPr>
        <w:jc w:val="center"/>
        <w:rPr>
          <w:rFonts w:eastAsiaTheme="minorEastAsia"/>
          <w:szCs w:val="24"/>
        </w:rPr>
      </w:pPr>
      <m:oMath>
        <m:r>
          <w:rPr>
            <w:rFonts w:ascii="Cambria Math" w:hAnsi="Cambria Math" w:cs="Times New Roman"/>
            <w:szCs w:val="24"/>
          </w:rPr>
          <m:t>Overall Seat Belt Use=</m:t>
        </m:r>
        <m:d>
          <m:dPr>
            <m:ctrlPr>
              <w:rPr>
                <w:rFonts w:ascii="Cambria Math" w:hAnsi="Cambria Math" w:cs="Times New Roman"/>
                <w:i/>
                <w:szCs w:val="24"/>
              </w:rPr>
            </m:ctrlPr>
          </m:dPr>
          <m:e>
            <m:r>
              <w:rPr>
                <w:rFonts w:ascii="Cambria Math" w:hAnsi="Cambria Math" w:cs="Times New Roman"/>
                <w:szCs w:val="24"/>
              </w:rPr>
              <m:t xml:space="preserve">7.63% × </m:t>
            </m:r>
            <m:sSub>
              <m:sSubPr>
                <m:ctrlPr>
                  <w:rPr>
                    <w:rFonts w:ascii="Cambria Math" w:hAnsi="Cambria Math" w:cs="Times New Roman"/>
                    <w:i/>
                    <w:szCs w:val="24"/>
                  </w:rPr>
                </m:ctrlPr>
              </m:sSubPr>
              <m:e>
                <m:r>
                  <w:rPr>
                    <w:rFonts w:ascii="Cambria Math" w:hAnsi="Cambria Math" w:cs="Times New Roman"/>
                    <w:szCs w:val="24"/>
                  </w:rPr>
                  <m:t>Use Rate</m:t>
                </m:r>
              </m:e>
              <m:sub>
                <m:r>
                  <w:rPr>
                    <w:rFonts w:ascii="Cambria Math" w:hAnsi="Cambria Math" w:cs="Times New Roman"/>
                    <w:szCs w:val="24"/>
                  </w:rPr>
                  <m:t>7-second</m:t>
                </m:r>
              </m:sub>
            </m:sSub>
          </m:e>
        </m:d>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85.14%×</m:t>
            </m:r>
            <m:sSub>
              <m:sSubPr>
                <m:ctrlPr>
                  <w:rPr>
                    <w:rFonts w:ascii="Cambria Math" w:hAnsi="Cambria Math" w:cs="Times New Roman"/>
                    <w:i/>
                    <w:szCs w:val="24"/>
                  </w:rPr>
                </m:ctrlPr>
              </m:sSubPr>
              <m:e>
                <m:r>
                  <w:rPr>
                    <w:rFonts w:ascii="Cambria Math" w:hAnsi="Cambria Math" w:cs="Times New Roman"/>
                    <w:szCs w:val="24"/>
                  </w:rPr>
                  <m:t>Use Rate</m:t>
                </m:r>
              </m:e>
              <m:sub>
                <m:r>
                  <w:rPr>
                    <w:rFonts w:ascii="Cambria Math" w:hAnsi="Cambria Math" w:cs="Times New Roman"/>
                    <w:szCs w:val="24"/>
                  </w:rPr>
                  <m:t>90-second</m:t>
                </m:r>
              </m:sub>
            </m:sSub>
          </m:e>
        </m:d>
        <m:r>
          <w:rPr>
            <w:rFonts w:ascii="Cambria Math" w:hAnsi="Cambria Math" w:cs="Times New Roman"/>
            <w:szCs w:val="24"/>
          </w:rPr>
          <m:t xml:space="preserve">+(7.20% × </m:t>
        </m:r>
        <m:sSub>
          <m:sSubPr>
            <m:ctrlPr>
              <w:rPr>
                <w:rFonts w:ascii="Cambria Math" w:hAnsi="Cambria Math" w:cs="Times New Roman"/>
                <w:i/>
                <w:szCs w:val="24"/>
              </w:rPr>
            </m:ctrlPr>
          </m:sSubPr>
          <m:e>
            <m:r>
              <w:rPr>
                <w:rFonts w:ascii="Cambria Math" w:hAnsi="Cambria Math" w:cs="Times New Roman"/>
                <w:szCs w:val="24"/>
              </w:rPr>
              <m:t>Use Rate</m:t>
            </m:r>
          </m:e>
          <m:sub>
            <m:r>
              <w:rPr>
                <w:rFonts w:ascii="Cambria Math" w:hAnsi="Cambria Math" w:cs="Times New Roman"/>
                <w:szCs w:val="24"/>
              </w:rPr>
              <m:t>indefinite</m:t>
            </m:r>
          </m:sub>
        </m:sSub>
        <m:r>
          <w:rPr>
            <w:rFonts w:ascii="Cambria Math" w:hAnsi="Cambria Math" w:cs="Times New Roman"/>
            <w:szCs w:val="24"/>
          </w:rPr>
          <m:t>)=0.7842</m:t>
        </m:r>
      </m:oMath>
      <w:r>
        <w:rPr>
          <w:rFonts w:eastAsiaTheme="minorEastAsia"/>
          <w:szCs w:val="24"/>
        </w:rPr>
        <w:t>.</w:t>
      </w:r>
    </w:p>
    <w:p w14:paraId="30AFFE96" w14:textId="56A4A4A7" w:rsidR="008230FF" w:rsidRDefault="000F5B51" w:rsidP="008230FF">
      <w:pPr>
        <w:rPr>
          <w:rFonts w:eastAsiaTheme="minorEastAsia"/>
          <w:szCs w:val="24"/>
        </w:rPr>
      </w:pPr>
      <w:r>
        <w:rPr>
          <w:rFonts w:eastAsiaTheme="minorEastAsia"/>
          <w:szCs w:val="24"/>
        </w:rPr>
        <w:t xml:space="preserve">Furthermore, based on the information provided in </w:t>
      </w:r>
      <w:r>
        <w:rPr>
          <w:rFonts w:eastAsiaTheme="minorEastAsia"/>
          <w:szCs w:val="24"/>
        </w:rPr>
        <w:fldChar w:fldCharType="begin"/>
      </w:r>
      <w:r>
        <w:rPr>
          <w:rFonts w:eastAsiaTheme="minorEastAsia"/>
          <w:szCs w:val="24"/>
        </w:rPr>
        <w:instrText xml:space="preserve"> REF _Ref130291793 \h </w:instrText>
      </w:r>
      <w:r>
        <w:rPr>
          <w:rFonts w:eastAsiaTheme="minorEastAsia"/>
          <w:szCs w:val="24"/>
        </w:rPr>
      </w:r>
      <w:r>
        <w:rPr>
          <w:rFonts w:eastAsiaTheme="minorEastAsia"/>
          <w:szCs w:val="24"/>
        </w:rPr>
        <w:fldChar w:fldCharType="separate"/>
      </w:r>
      <w:r w:rsidR="00A65CB3">
        <w:t xml:space="preserve">Table </w:t>
      </w:r>
      <w:r w:rsidR="00A65CB3">
        <w:rPr>
          <w:noProof/>
        </w:rPr>
        <w:t>134</w:t>
      </w:r>
      <w:r>
        <w:rPr>
          <w:rFonts w:eastAsiaTheme="minorEastAsia"/>
          <w:szCs w:val="24"/>
        </w:rPr>
        <w:fldChar w:fldCharType="end"/>
      </w:r>
      <w:r>
        <w:rPr>
          <w:rFonts w:eastAsiaTheme="minorEastAsia"/>
          <w:szCs w:val="24"/>
        </w:rPr>
        <w:t>, we can define the seat belt use rates for each specific warning type. Making use of the available information,</w:t>
      </w:r>
    </w:p>
    <w:p w14:paraId="6AC67E75" w14:textId="77777777" w:rsidR="008230FF" w:rsidRPr="003A536E" w:rsidRDefault="000F5B51" w:rsidP="008230FF">
      <w:pPr>
        <w:rPr>
          <w:rFonts w:eastAsiaTheme="minorEastAsia"/>
          <w:szCs w:val="24"/>
        </w:rPr>
      </w:pPr>
      <w:r>
        <w:rPr>
          <w:rFonts w:eastAsiaTheme="minorEastAsia"/>
          <w:szCs w:val="24"/>
        </w:rPr>
        <w:t xml:space="preserve">Let </w:t>
      </w:r>
      <m:oMath>
        <m:sSub>
          <m:sSubPr>
            <m:ctrlPr>
              <w:rPr>
                <w:rFonts w:ascii="Cambria Math" w:hAnsi="Cambria Math" w:cs="Times New Roman"/>
                <w:i/>
                <w:szCs w:val="24"/>
              </w:rPr>
            </m:ctrlPr>
          </m:sSubPr>
          <m:e>
            <m:r>
              <w:rPr>
                <w:rFonts w:ascii="Cambria Math" w:hAnsi="Cambria Math" w:cs="Times New Roman"/>
                <w:szCs w:val="24"/>
              </w:rPr>
              <m:t>Use Rate</m:t>
            </m:r>
          </m:e>
          <m:sub>
            <m:r>
              <w:rPr>
                <w:rFonts w:ascii="Cambria Math" w:hAnsi="Cambria Math" w:cs="Times New Roman"/>
                <w:szCs w:val="24"/>
              </w:rPr>
              <m:t>7-second</m:t>
            </m:r>
          </m:sub>
        </m:sSub>
        <m:r>
          <w:rPr>
            <w:rFonts w:ascii="Cambria Math" w:hAnsi="Cambria Math" w:cs="Times New Roman"/>
            <w:szCs w:val="24"/>
          </w:rPr>
          <m:t>=x</m:t>
        </m:r>
      </m:oMath>
    </w:p>
    <w:p w14:paraId="5BEE30A9" w14:textId="77777777" w:rsidR="008230FF" w:rsidRDefault="000F5B51" w:rsidP="008230FF">
      <w:pPr>
        <w:rPr>
          <w:rFonts w:eastAsiaTheme="minorEastAsia"/>
          <w:szCs w:val="24"/>
        </w:rPr>
      </w:pPr>
      <w:r>
        <w:rPr>
          <w:rFonts w:eastAsiaTheme="minorEastAsia"/>
        </w:rPr>
        <w:t xml:space="preserve">Then, </w:t>
      </w:r>
      <m:oMath>
        <m:sSub>
          <m:sSubPr>
            <m:ctrlPr>
              <w:rPr>
                <w:rFonts w:ascii="Cambria Math" w:hAnsi="Cambria Math" w:cs="Times New Roman"/>
                <w:i/>
                <w:szCs w:val="24"/>
              </w:rPr>
            </m:ctrlPr>
          </m:sSubPr>
          <m:e>
            <m:r>
              <w:rPr>
                <w:rFonts w:ascii="Cambria Math" w:hAnsi="Cambria Math" w:cs="Times New Roman"/>
                <w:szCs w:val="24"/>
              </w:rPr>
              <m:t>Use Rate</m:t>
            </m:r>
          </m:e>
          <m:sub>
            <m:r>
              <w:rPr>
                <w:rFonts w:ascii="Cambria Math" w:hAnsi="Cambria Math" w:cs="Times New Roman"/>
                <w:szCs w:val="24"/>
              </w:rPr>
              <m:t>90-second</m:t>
            </m:r>
          </m:sub>
        </m:sSub>
        <m:r>
          <w:rPr>
            <w:rFonts w:ascii="Cambria Math" w:hAnsi="Cambria Math" w:cs="Times New Roman"/>
            <w:szCs w:val="24"/>
          </w:rPr>
          <m:t>=1.30x</m:t>
        </m:r>
      </m:oMath>
      <w:r>
        <w:rPr>
          <w:rFonts w:eastAsiaTheme="minorEastAsia"/>
          <w:szCs w:val="24"/>
        </w:rPr>
        <w:t xml:space="preserve"> and </w:t>
      </w:r>
      <m:oMath>
        <m:sSub>
          <m:sSubPr>
            <m:ctrlPr>
              <w:rPr>
                <w:rFonts w:ascii="Cambria Math" w:hAnsi="Cambria Math" w:cs="Times New Roman"/>
                <w:i/>
                <w:szCs w:val="24"/>
              </w:rPr>
            </m:ctrlPr>
          </m:sSubPr>
          <m:e>
            <m:r>
              <w:rPr>
                <w:rFonts w:ascii="Cambria Math" w:hAnsi="Cambria Math" w:cs="Times New Roman"/>
                <w:szCs w:val="24"/>
              </w:rPr>
              <m:t>Use Rate</m:t>
            </m:r>
          </m:e>
          <m:sub>
            <m:r>
              <w:rPr>
                <w:rFonts w:ascii="Cambria Math" w:hAnsi="Cambria Math" w:cs="Times New Roman"/>
                <w:szCs w:val="24"/>
              </w:rPr>
              <m:t>indefinite</m:t>
            </m:r>
          </m:sub>
        </m:sSub>
        <m:r>
          <w:rPr>
            <w:rFonts w:ascii="Cambria Math" w:hAnsi="Cambria Math" w:cs="Times New Roman"/>
            <w:szCs w:val="24"/>
          </w:rPr>
          <m:t>=1.34x</m:t>
        </m:r>
      </m:oMath>
      <w:r>
        <w:rPr>
          <w:rFonts w:eastAsiaTheme="minorEastAsia"/>
          <w:szCs w:val="24"/>
        </w:rPr>
        <w:t>.</w:t>
      </w:r>
    </w:p>
    <w:p w14:paraId="5BCD9B6F" w14:textId="77777777" w:rsidR="008230FF" w:rsidRDefault="000F5B51" w:rsidP="008230FF">
      <w:pPr>
        <w:rPr>
          <w:rFonts w:eastAsiaTheme="minorEastAsia"/>
          <w:szCs w:val="24"/>
        </w:rPr>
      </w:pPr>
      <w:r>
        <w:rPr>
          <w:rFonts w:eastAsiaTheme="minorEastAsia"/>
          <w:szCs w:val="24"/>
        </w:rPr>
        <w:t>We then plug these values into the original equation:</w:t>
      </w:r>
    </w:p>
    <w:p w14:paraId="79D0DB92" w14:textId="77777777" w:rsidR="008230FF" w:rsidRDefault="000F5B51" w:rsidP="008230FF">
      <w:pPr>
        <w:jc w:val="center"/>
        <w:rPr>
          <w:rFonts w:eastAsiaTheme="minorEastAsia"/>
          <w:szCs w:val="24"/>
        </w:rPr>
      </w:pPr>
      <m:oMath>
        <m:r>
          <w:rPr>
            <w:rFonts w:ascii="Cambria Math" w:hAnsi="Cambria Math" w:cs="Times New Roman"/>
            <w:szCs w:val="24"/>
          </w:rPr>
          <m:t>Overall Seat Belt Use=</m:t>
        </m:r>
        <m:d>
          <m:dPr>
            <m:ctrlPr>
              <w:rPr>
                <w:rFonts w:ascii="Cambria Math" w:hAnsi="Cambria Math" w:cs="Times New Roman"/>
                <w:i/>
                <w:szCs w:val="24"/>
              </w:rPr>
            </m:ctrlPr>
          </m:dPr>
          <m:e>
            <m:r>
              <w:rPr>
                <w:rFonts w:ascii="Cambria Math" w:hAnsi="Cambria Math" w:cs="Times New Roman"/>
                <w:szCs w:val="24"/>
              </w:rPr>
              <m:t>7.63% × x</m:t>
            </m:r>
          </m:e>
        </m:d>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85.14%× 1.30x</m:t>
            </m:r>
          </m:e>
        </m:d>
        <m:r>
          <w:rPr>
            <w:rFonts w:ascii="Cambria Math" w:hAnsi="Cambria Math" w:cs="Times New Roman"/>
            <w:szCs w:val="24"/>
          </w:rPr>
          <m:t>+(7.20%× 1.34x)=0.7842</m:t>
        </m:r>
      </m:oMath>
      <w:r>
        <w:rPr>
          <w:rFonts w:eastAsiaTheme="minorEastAsia"/>
          <w:szCs w:val="24"/>
        </w:rPr>
        <w:t>.</w:t>
      </w:r>
    </w:p>
    <w:p w14:paraId="5C845F9B" w14:textId="2E12AC70" w:rsidR="008230FF" w:rsidRDefault="000F5B51" w:rsidP="008230FF">
      <w:pPr>
        <w:rPr>
          <w:rFonts w:eastAsiaTheme="minorEastAsia"/>
          <w:szCs w:val="24"/>
        </w:rPr>
      </w:pPr>
      <w:r>
        <w:rPr>
          <w:rFonts w:eastAsiaTheme="minorEastAsia"/>
          <w:szCs w:val="24"/>
        </w:rPr>
        <w:t>Solving for x, we find that the seat belt use rate in</w:t>
      </w:r>
      <w:r w:rsidR="00C67A5A">
        <w:rPr>
          <w:rFonts w:eastAsiaTheme="minorEastAsia"/>
          <w:szCs w:val="24"/>
        </w:rPr>
        <w:t xml:space="preserve"> </w:t>
      </w:r>
      <w:r w:rsidR="00C67A5A" w:rsidRPr="00C67A5A">
        <w:rPr>
          <w:rFonts w:eastAsiaTheme="minorEastAsia"/>
          <w:szCs w:val="24"/>
        </w:rPr>
        <w:t>potentially</w:t>
      </w:r>
      <w:r>
        <w:rPr>
          <w:rFonts w:eastAsiaTheme="minorEastAsia"/>
          <w:szCs w:val="24"/>
        </w:rPr>
        <w:t xml:space="preserve"> fatal crashes for the seven-second warning is approximately 0.6127. Increasing the seat belt by 30 percent, we find that the</w:t>
      </w:r>
      <w:r w:rsidRPr="000C5552">
        <w:rPr>
          <w:rFonts w:eastAsiaTheme="minorEastAsia"/>
          <w:szCs w:val="24"/>
        </w:rPr>
        <w:t xml:space="preserve"> </w:t>
      </w:r>
      <w:r>
        <w:rPr>
          <w:rFonts w:eastAsiaTheme="minorEastAsia"/>
          <w:szCs w:val="24"/>
        </w:rPr>
        <w:t>seat belt use rate in</w:t>
      </w:r>
      <w:r w:rsidR="00C67A5A">
        <w:rPr>
          <w:rFonts w:eastAsiaTheme="minorEastAsia"/>
          <w:szCs w:val="24"/>
        </w:rPr>
        <w:t xml:space="preserve"> </w:t>
      </w:r>
      <w:r w:rsidR="00C67A5A" w:rsidRPr="00C67A5A">
        <w:rPr>
          <w:rFonts w:eastAsiaTheme="minorEastAsia"/>
          <w:szCs w:val="24"/>
        </w:rPr>
        <w:t>potentially</w:t>
      </w:r>
      <w:r>
        <w:rPr>
          <w:rFonts w:eastAsiaTheme="minorEastAsia"/>
          <w:szCs w:val="24"/>
        </w:rPr>
        <w:t xml:space="preserve"> fatal crashes for the 90-second warning is approximately 0.7965. Lastly, reflecting a 34 percent increase, we find that the</w:t>
      </w:r>
      <w:r w:rsidRPr="000C5552">
        <w:rPr>
          <w:rFonts w:eastAsiaTheme="minorEastAsia"/>
          <w:szCs w:val="24"/>
        </w:rPr>
        <w:t xml:space="preserve"> </w:t>
      </w:r>
      <w:r>
        <w:rPr>
          <w:rFonts w:eastAsiaTheme="minorEastAsia"/>
          <w:szCs w:val="24"/>
        </w:rPr>
        <w:t>seat belt use rate in</w:t>
      </w:r>
      <w:r w:rsidR="00C67A5A" w:rsidRPr="00C67A5A">
        <w:t xml:space="preserve"> </w:t>
      </w:r>
      <w:r w:rsidR="00C67A5A" w:rsidRPr="00C67A5A">
        <w:rPr>
          <w:rFonts w:eastAsiaTheme="minorEastAsia"/>
          <w:szCs w:val="24"/>
        </w:rPr>
        <w:t>potentially</w:t>
      </w:r>
      <w:r>
        <w:rPr>
          <w:rFonts w:eastAsiaTheme="minorEastAsia"/>
          <w:szCs w:val="24"/>
        </w:rPr>
        <w:t xml:space="preserve"> fatal crashes for the indefinite warning is approximately 0.8210.</w:t>
      </w:r>
    </w:p>
    <w:p w14:paraId="5D54A8FB" w14:textId="48478305" w:rsidR="008230FF" w:rsidRDefault="000F5B51" w:rsidP="008230FF">
      <w:r w:rsidRPr="00BA1AF5">
        <w:t>For the benefits analysis, we examined each group one at a time</w:t>
      </w:r>
      <w:r>
        <w:t xml:space="preserve">. In this example, we focus on the increase in seat belt use for drivers resulting from moving from a seven-second warning to an indefinite warning as presented in </w:t>
      </w:r>
      <w:r w:rsidR="00074CDD">
        <w:fldChar w:fldCharType="begin"/>
      </w:r>
      <w:r w:rsidR="00074CDD">
        <w:instrText xml:space="preserve"> REF _Ref126821442 \h </w:instrText>
      </w:r>
      <w:r w:rsidR="00074CDD">
        <w:fldChar w:fldCharType="separate"/>
      </w:r>
      <w:r w:rsidR="00A65CB3">
        <w:t xml:space="preserve">Table </w:t>
      </w:r>
      <w:r w:rsidR="00A65CB3">
        <w:rPr>
          <w:noProof/>
        </w:rPr>
        <w:t>38</w:t>
      </w:r>
      <w:r w:rsidR="00074CDD">
        <w:fldChar w:fldCharType="end"/>
      </w:r>
      <w:r w:rsidR="00C50F49">
        <w:t xml:space="preserve"> </w:t>
      </w:r>
      <w:r>
        <w:t xml:space="preserve">in the main analysis.  </w:t>
      </w:r>
    </w:p>
    <w:p w14:paraId="13E37FB3" w14:textId="14117254" w:rsidR="008230FF" w:rsidRDefault="000F5B51" w:rsidP="008230FF">
      <w:r>
        <w:t xml:space="preserve">Taking into account the seat use rate in </w:t>
      </w:r>
      <w:r w:rsidR="00C67A5A" w:rsidRPr="00C67A5A">
        <w:t xml:space="preserve">potentially </w:t>
      </w:r>
      <w:r>
        <w:t xml:space="preserve">fatal crashes with a seven-warning which was established above, we establish the corresponding use rate of 0.7663 based on the model from </w:t>
      </w:r>
      <w:r>
        <w:lastRenderedPageBreak/>
        <w:t xml:space="preserve">NHTSA’s study. Furthermore, we reflect the ratio of overall seat belt use to the percentage of always users from </w:t>
      </w:r>
      <w:r>
        <w:fldChar w:fldCharType="begin"/>
      </w:r>
      <w:r>
        <w:instrText xml:space="preserve"> REF _Ref130297399 \h </w:instrText>
      </w:r>
      <w:r>
        <w:fldChar w:fldCharType="separate"/>
      </w:r>
      <w:r w:rsidR="00A65CB3">
        <w:t xml:space="preserve">Table </w:t>
      </w:r>
      <w:r w:rsidR="00A65CB3">
        <w:rPr>
          <w:noProof/>
        </w:rPr>
        <w:t>131</w:t>
      </w:r>
      <w:r>
        <w:fldChar w:fldCharType="end"/>
      </w:r>
      <w:r>
        <w:t xml:space="preserve"> to establish the percentage of always users for the seven-second warning. Therefore, reflecting the ratio of approximately 0.97, we find that approximately 74.2 percent of drivers always wear seat belts for the seven-second warning.</w:t>
      </w:r>
    </w:p>
    <w:p w14:paraId="19A6B9B1" w14:textId="3810EE10" w:rsidR="008230FF" w:rsidRDefault="000F5B51" w:rsidP="008230FF">
      <w:r>
        <w:t xml:space="preserve">As we have established the percentage of drivers that always wear seat belts for the seven-second warning, we then use the available information to establish the percentage of drivers who sometimes and never use seat belts for the seven-second warning. In doing so, we make use of the information provided in </w:t>
      </w:r>
      <w:r>
        <w:fldChar w:fldCharType="begin"/>
      </w:r>
      <w:r>
        <w:instrText xml:space="preserve"> REF _Ref130291088 \h </w:instrText>
      </w:r>
      <w:r>
        <w:fldChar w:fldCharType="separate"/>
      </w:r>
      <w:r w:rsidR="00A65CB3">
        <w:t xml:space="preserve">Table </w:t>
      </w:r>
      <w:r w:rsidR="00A65CB3">
        <w:rPr>
          <w:noProof/>
        </w:rPr>
        <w:t>130</w:t>
      </w:r>
      <w:r>
        <w:fldChar w:fldCharType="end"/>
      </w:r>
      <w:r>
        <w:t xml:space="preserve"> to establish the distribution of sometimes and never users. </w:t>
      </w:r>
    </w:p>
    <w:p w14:paraId="2C2E6F9A" w14:textId="6BAD637C" w:rsidR="008230FF" w:rsidRDefault="000F5B51" w:rsidP="008230FF">
      <w:pPr>
        <w:rPr>
          <w:rFonts w:cs="Times New Roman"/>
        </w:rPr>
      </w:pPr>
      <w:r>
        <w:fldChar w:fldCharType="begin"/>
      </w:r>
      <w:r>
        <w:instrText xml:space="preserve"> REF _Ref130298136 \h </w:instrText>
      </w:r>
      <w:r>
        <w:fldChar w:fldCharType="separate"/>
      </w:r>
      <w:r w:rsidR="00A65CB3">
        <w:t xml:space="preserve">Table </w:t>
      </w:r>
      <w:r w:rsidR="00A65CB3">
        <w:rPr>
          <w:noProof/>
        </w:rPr>
        <w:t>135</w:t>
      </w:r>
      <w:r>
        <w:fldChar w:fldCharType="end"/>
      </w:r>
      <w:r>
        <w:t xml:space="preserve"> presents the distribution of sometimes and never seat belt users based on the information from the </w:t>
      </w:r>
      <w:r w:rsidRPr="4CA445B8">
        <w:rPr>
          <w:rFonts w:cs="Times New Roman"/>
        </w:rPr>
        <w:t>Chu</w:t>
      </w:r>
      <w:r>
        <w:rPr>
          <w:rFonts w:cs="Times New Roman"/>
        </w:rPr>
        <w:t xml:space="preserve"> study.  In the study, 87.7 percent of drivers always used seat belts and the remaining 12.3 percent either sometimes or never used seat belts. Of that total 12.3 percent, approximately 56.1 percent sometimes used seat belts and 43.9 percent never used seat belts. </w:t>
      </w:r>
    </w:p>
    <w:p w14:paraId="0C7C388C" w14:textId="760FE8E4" w:rsidR="008230FF" w:rsidRDefault="000F5B51" w:rsidP="008230FF">
      <w:pPr>
        <w:pStyle w:val="Caption"/>
        <w:rPr>
          <w:rFonts w:cs="Times New Roman"/>
        </w:rPr>
      </w:pPr>
      <w:bookmarkStart w:id="2070" w:name="_Ref130298136"/>
      <w:r>
        <w:t xml:space="preserve">Table </w:t>
      </w:r>
      <w:r w:rsidR="00115BAB">
        <w:fldChar w:fldCharType="begin"/>
      </w:r>
      <w:r>
        <w:instrText xml:space="preserve"> SEQ Table \* ARABIC </w:instrText>
      </w:r>
      <w:r w:rsidR="00115BAB">
        <w:fldChar w:fldCharType="separate"/>
      </w:r>
      <w:r w:rsidR="00A65CB3">
        <w:rPr>
          <w:noProof/>
        </w:rPr>
        <w:t>135</w:t>
      </w:r>
      <w:r w:rsidR="00115BAB">
        <w:rPr>
          <w:noProof/>
        </w:rPr>
        <w:fldChar w:fldCharType="end"/>
      </w:r>
      <w:bookmarkEnd w:id="2070"/>
      <w:r>
        <w:t>: Distribution of Sometimes and Never Users</w:t>
      </w:r>
    </w:p>
    <w:tbl>
      <w:tblPr>
        <w:tblStyle w:val="TableGrid"/>
        <w:tblW w:w="9702" w:type="dxa"/>
        <w:tblLook w:val="04A0" w:firstRow="1" w:lastRow="0" w:firstColumn="1" w:lastColumn="0" w:noHBand="0" w:noVBand="1"/>
      </w:tblPr>
      <w:tblGrid>
        <w:gridCol w:w="5935"/>
        <w:gridCol w:w="1800"/>
        <w:gridCol w:w="1967"/>
      </w:tblGrid>
      <w:tr w:rsidR="00A15C2C" w14:paraId="4C598735" w14:textId="77777777" w:rsidTr="00B4259D">
        <w:trPr>
          <w:trHeight w:val="278"/>
        </w:trPr>
        <w:tc>
          <w:tcPr>
            <w:tcW w:w="5935" w:type="dxa"/>
            <w:shd w:val="clear" w:color="auto" w:fill="BFBFBF" w:themeFill="background1" w:themeFillShade="BF"/>
            <w:noWrap/>
            <w:vAlign w:val="center"/>
            <w:hideMark/>
          </w:tcPr>
          <w:p w14:paraId="1491FEEC" w14:textId="77777777" w:rsidR="008230FF" w:rsidRPr="000C18B9" w:rsidRDefault="000F5B51" w:rsidP="00B4259D">
            <w:pPr>
              <w:spacing w:line="240" w:lineRule="auto"/>
              <w:rPr>
                <w:b/>
                <w:bCs/>
              </w:rPr>
            </w:pPr>
            <w:r w:rsidRPr="000C18B9">
              <w:rPr>
                <w:b/>
                <w:bCs/>
              </w:rPr>
              <w:t>Category</w:t>
            </w:r>
          </w:p>
        </w:tc>
        <w:tc>
          <w:tcPr>
            <w:tcW w:w="1800" w:type="dxa"/>
            <w:shd w:val="clear" w:color="auto" w:fill="BFBFBF" w:themeFill="background1" w:themeFillShade="BF"/>
            <w:noWrap/>
            <w:vAlign w:val="center"/>
            <w:hideMark/>
          </w:tcPr>
          <w:p w14:paraId="3FED4FB8" w14:textId="77777777" w:rsidR="008230FF" w:rsidRPr="000C18B9" w:rsidRDefault="000F5B51" w:rsidP="00B4259D">
            <w:pPr>
              <w:spacing w:line="240" w:lineRule="auto"/>
              <w:jc w:val="center"/>
              <w:rPr>
                <w:b/>
                <w:bCs/>
              </w:rPr>
            </w:pPr>
            <w:r w:rsidRPr="000C18B9">
              <w:rPr>
                <w:b/>
                <w:bCs/>
              </w:rPr>
              <w:t>Percent of Drivers</w:t>
            </w:r>
          </w:p>
        </w:tc>
        <w:tc>
          <w:tcPr>
            <w:tcW w:w="1967" w:type="dxa"/>
            <w:shd w:val="clear" w:color="auto" w:fill="BFBFBF" w:themeFill="background1" w:themeFillShade="BF"/>
            <w:noWrap/>
            <w:vAlign w:val="center"/>
            <w:hideMark/>
          </w:tcPr>
          <w:p w14:paraId="0E18113A" w14:textId="77777777" w:rsidR="008230FF" w:rsidRPr="000C18B9" w:rsidRDefault="000F5B51" w:rsidP="00B4259D">
            <w:pPr>
              <w:spacing w:line="240" w:lineRule="auto"/>
              <w:jc w:val="center"/>
              <w:rPr>
                <w:b/>
                <w:bCs/>
              </w:rPr>
            </w:pPr>
            <w:r>
              <w:rPr>
                <w:b/>
                <w:bCs/>
              </w:rPr>
              <w:t>Percent of those Who Sometimes or Never use Seat Belts</w:t>
            </w:r>
          </w:p>
        </w:tc>
      </w:tr>
      <w:tr w:rsidR="00A15C2C" w14:paraId="03CF5D14" w14:textId="77777777" w:rsidTr="00B4259D">
        <w:trPr>
          <w:trHeight w:val="278"/>
        </w:trPr>
        <w:tc>
          <w:tcPr>
            <w:tcW w:w="5935" w:type="dxa"/>
            <w:noWrap/>
            <w:hideMark/>
          </w:tcPr>
          <w:p w14:paraId="21A4CB61" w14:textId="77777777" w:rsidR="008230FF" w:rsidRPr="000C7059" w:rsidRDefault="000F5B51" w:rsidP="00B4259D">
            <w:pPr>
              <w:spacing w:line="240" w:lineRule="auto"/>
            </w:pPr>
            <w:r w:rsidRPr="000C7059">
              <w:t>The reported "sometimes using seat belts", from the overall</w:t>
            </w:r>
          </w:p>
        </w:tc>
        <w:tc>
          <w:tcPr>
            <w:tcW w:w="1800" w:type="dxa"/>
            <w:noWrap/>
            <w:vAlign w:val="center"/>
            <w:hideMark/>
          </w:tcPr>
          <w:p w14:paraId="4A1B1AE2" w14:textId="77777777" w:rsidR="008230FF" w:rsidRPr="00B3291D" w:rsidRDefault="000F5B51" w:rsidP="00B4259D">
            <w:pPr>
              <w:spacing w:line="240" w:lineRule="auto"/>
              <w:jc w:val="center"/>
              <w:rPr>
                <w:szCs w:val="24"/>
              </w:rPr>
            </w:pPr>
            <w:r w:rsidRPr="00B3291D">
              <w:rPr>
                <w:szCs w:val="24"/>
              </w:rPr>
              <w:t>6.9%</w:t>
            </w:r>
          </w:p>
        </w:tc>
        <w:tc>
          <w:tcPr>
            <w:tcW w:w="1967" w:type="dxa"/>
            <w:noWrap/>
            <w:vAlign w:val="center"/>
            <w:hideMark/>
          </w:tcPr>
          <w:p w14:paraId="0CE3375B" w14:textId="77777777" w:rsidR="008230FF" w:rsidRPr="000C7059" w:rsidRDefault="000F5B51" w:rsidP="00B4259D">
            <w:pPr>
              <w:spacing w:line="240" w:lineRule="auto"/>
              <w:jc w:val="center"/>
            </w:pPr>
            <w:r w:rsidRPr="000C7059">
              <w:t>56.1%</w:t>
            </w:r>
          </w:p>
        </w:tc>
      </w:tr>
      <w:tr w:rsidR="00A15C2C" w14:paraId="70C58D5E" w14:textId="77777777" w:rsidTr="00B4259D">
        <w:trPr>
          <w:trHeight w:val="278"/>
        </w:trPr>
        <w:tc>
          <w:tcPr>
            <w:tcW w:w="5935" w:type="dxa"/>
            <w:noWrap/>
            <w:hideMark/>
          </w:tcPr>
          <w:p w14:paraId="45327286" w14:textId="77777777" w:rsidR="008230FF" w:rsidRPr="000C7059" w:rsidRDefault="000F5B51" w:rsidP="00B4259D">
            <w:pPr>
              <w:spacing w:line="240" w:lineRule="auto"/>
            </w:pPr>
            <w:r w:rsidRPr="000C7059">
              <w:t>The reported "seldom or never using seat belts” from the overall</w:t>
            </w:r>
          </w:p>
        </w:tc>
        <w:tc>
          <w:tcPr>
            <w:tcW w:w="1800" w:type="dxa"/>
            <w:noWrap/>
            <w:vAlign w:val="center"/>
            <w:hideMark/>
          </w:tcPr>
          <w:p w14:paraId="3B60699A" w14:textId="77777777" w:rsidR="008230FF" w:rsidRPr="00B3291D" w:rsidRDefault="000F5B51" w:rsidP="00B4259D">
            <w:pPr>
              <w:spacing w:line="240" w:lineRule="auto"/>
              <w:jc w:val="center"/>
              <w:rPr>
                <w:szCs w:val="24"/>
              </w:rPr>
            </w:pPr>
            <w:r w:rsidRPr="00B3291D">
              <w:rPr>
                <w:szCs w:val="24"/>
              </w:rPr>
              <w:t>5.4%</w:t>
            </w:r>
          </w:p>
        </w:tc>
        <w:tc>
          <w:tcPr>
            <w:tcW w:w="1967" w:type="dxa"/>
            <w:noWrap/>
            <w:vAlign w:val="center"/>
            <w:hideMark/>
          </w:tcPr>
          <w:p w14:paraId="7CC01A80" w14:textId="77777777" w:rsidR="008230FF" w:rsidRPr="000C7059" w:rsidRDefault="000F5B51" w:rsidP="00B4259D">
            <w:pPr>
              <w:spacing w:line="240" w:lineRule="auto"/>
              <w:jc w:val="center"/>
            </w:pPr>
            <w:r w:rsidRPr="000C7059">
              <w:t>43.9%</w:t>
            </w:r>
          </w:p>
        </w:tc>
      </w:tr>
      <w:tr w:rsidR="00A15C2C" w14:paraId="494E9A8B" w14:textId="77777777" w:rsidTr="00B4259D">
        <w:trPr>
          <w:trHeight w:val="278"/>
        </w:trPr>
        <w:tc>
          <w:tcPr>
            <w:tcW w:w="5935" w:type="dxa"/>
            <w:noWrap/>
            <w:hideMark/>
          </w:tcPr>
          <w:p w14:paraId="65CD4C80" w14:textId="77777777" w:rsidR="008230FF" w:rsidRPr="000C7059" w:rsidRDefault="000F5B51" w:rsidP="00B4259D">
            <w:pPr>
              <w:spacing w:line="240" w:lineRule="auto"/>
            </w:pPr>
            <w:r w:rsidRPr="000C7059">
              <w:t>Total</w:t>
            </w:r>
          </w:p>
        </w:tc>
        <w:tc>
          <w:tcPr>
            <w:tcW w:w="1800" w:type="dxa"/>
            <w:noWrap/>
            <w:vAlign w:val="center"/>
            <w:hideMark/>
          </w:tcPr>
          <w:p w14:paraId="0FFCC65C" w14:textId="77777777" w:rsidR="008230FF" w:rsidRPr="00B3291D" w:rsidRDefault="000F5B51" w:rsidP="00B4259D">
            <w:pPr>
              <w:spacing w:line="240" w:lineRule="auto"/>
              <w:jc w:val="center"/>
              <w:rPr>
                <w:szCs w:val="24"/>
              </w:rPr>
            </w:pPr>
            <w:r w:rsidRPr="00B3291D">
              <w:rPr>
                <w:szCs w:val="24"/>
              </w:rPr>
              <w:t>12.30%</w:t>
            </w:r>
          </w:p>
        </w:tc>
        <w:tc>
          <w:tcPr>
            <w:tcW w:w="1967" w:type="dxa"/>
            <w:noWrap/>
            <w:vAlign w:val="center"/>
            <w:hideMark/>
          </w:tcPr>
          <w:p w14:paraId="6F527490" w14:textId="77777777" w:rsidR="008230FF" w:rsidRPr="000C7059" w:rsidRDefault="000F5B51" w:rsidP="00B4259D">
            <w:pPr>
              <w:spacing w:line="240" w:lineRule="auto"/>
              <w:jc w:val="center"/>
            </w:pPr>
            <w:r w:rsidRPr="000C7059">
              <w:t>100.0%</w:t>
            </w:r>
          </w:p>
        </w:tc>
      </w:tr>
    </w:tbl>
    <w:p w14:paraId="678BA56E" w14:textId="77777777" w:rsidR="008230FF" w:rsidRDefault="008230FF" w:rsidP="008230FF">
      <w:pPr>
        <w:pStyle w:val="NoSpacing"/>
      </w:pPr>
    </w:p>
    <w:p w14:paraId="73564C1E" w14:textId="6BD6009E" w:rsidR="008230FF" w:rsidRDefault="000F5B51" w:rsidP="008230FF">
      <w:r w:rsidRPr="00AB2BB2">
        <w:t>This analysis makes use of that established</w:t>
      </w:r>
      <w:r w:rsidRPr="00AB2BB2">
        <w:rPr>
          <w:rFonts w:cs="Times New Roman"/>
        </w:rPr>
        <w:t xml:space="preserve"> distribution of 56.1 </w:t>
      </w:r>
      <w:r>
        <w:rPr>
          <w:rFonts w:cs="Times New Roman"/>
        </w:rPr>
        <w:t xml:space="preserve">percent sometimes users and 43.9 percent never users to establish the percentage of sometimes and never users specific to the seven-second warning. Earlier we established that </w:t>
      </w:r>
      <w:r>
        <w:t xml:space="preserve">74.2 percent of drivers always wear seat belts for the seven-second warning. This reflects a 13.5 percent decrease from the 87.7 percent of drivers who always use seat belts given the current distribution of the three systems. Therefore, we must allocate that 13.5 percent of drivers between the sometimes and never use groups. </w:t>
      </w:r>
      <w:r>
        <w:lastRenderedPageBreak/>
        <w:t xml:space="preserve">Based on the established distribution in </w:t>
      </w:r>
      <w:r>
        <w:fldChar w:fldCharType="begin"/>
      </w:r>
      <w:r>
        <w:instrText xml:space="preserve"> REF _Ref130298136 \h </w:instrText>
      </w:r>
      <w:r>
        <w:fldChar w:fldCharType="separate"/>
      </w:r>
      <w:r w:rsidR="00A65CB3">
        <w:t xml:space="preserve">Table </w:t>
      </w:r>
      <w:r w:rsidR="00A65CB3">
        <w:rPr>
          <w:noProof/>
        </w:rPr>
        <w:t>135</w:t>
      </w:r>
      <w:r>
        <w:fldChar w:fldCharType="end"/>
      </w:r>
      <w:r>
        <w:t>, we establish that 56.1 percent of that 13.5 percent would be attributed to the sometimes group and the remaining 43.9 would be attributed to the never use group.</w:t>
      </w:r>
    </w:p>
    <w:p w14:paraId="50B30EF6" w14:textId="7389FBDB" w:rsidR="008230FF" w:rsidRPr="006D2870" w:rsidRDefault="000F5B51" w:rsidP="008230FF">
      <w:pPr>
        <w:rPr>
          <w:sz w:val="8"/>
          <w:szCs w:val="8"/>
        </w:rPr>
      </w:pPr>
      <w:r>
        <w:rPr>
          <w:rFonts w:cs="Times New Roman"/>
        </w:rPr>
        <w:fldChar w:fldCharType="begin"/>
      </w:r>
      <w:r>
        <w:rPr>
          <w:rFonts w:cs="Times New Roman"/>
        </w:rPr>
        <w:instrText xml:space="preserve"> REF _Ref130298776 \h </w:instrText>
      </w:r>
      <w:r>
        <w:rPr>
          <w:rFonts w:cs="Times New Roman"/>
        </w:rPr>
      </w:r>
      <w:r>
        <w:rPr>
          <w:rFonts w:cs="Times New Roman"/>
        </w:rPr>
        <w:fldChar w:fldCharType="separate"/>
      </w:r>
      <w:r w:rsidR="00A65CB3">
        <w:t xml:space="preserve">Table </w:t>
      </w:r>
      <w:r w:rsidR="00A65CB3">
        <w:rPr>
          <w:noProof/>
        </w:rPr>
        <w:t>136</w:t>
      </w:r>
      <w:r>
        <w:rPr>
          <w:rFonts w:cs="Times New Roman"/>
        </w:rPr>
        <w:fldChar w:fldCharType="end"/>
      </w:r>
      <w:r>
        <w:rPr>
          <w:rFonts w:cs="Times New Roman"/>
        </w:rPr>
        <w:t xml:space="preserve"> presents the calculation of the percentage of drivers that sometimes and never use seat belts specific to the seven-second warning SBWS. This calculation reflects the original established distributions from the Chu study, as well as the reallocation associated with the lower percentage of drivers who always use seat belts specific to the seven-second warning. Overall, we establish that for the baseline seven-second warning 14.49 percent of drivers sometimes use seat belts, 11.34 percent never use seat belts, and 74.2 percent always use seat belts.</w:t>
      </w:r>
    </w:p>
    <w:p w14:paraId="0051DB26" w14:textId="0D598D43" w:rsidR="008230FF" w:rsidRPr="00C93883" w:rsidRDefault="000F5B51" w:rsidP="008230FF">
      <w:pPr>
        <w:pStyle w:val="Caption"/>
        <w:rPr>
          <w:color w:val="0070C0"/>
        </w:rPr>
      </w:pPr>
      <w:bookmarkStart w:id="2071" w:name="_Ref130298776"/>
      <w:r>
        <w:t xml:space="preserve">Table </w:t>
      </w:r>
      <w:r w:rsidR="00115BAB">
        <w:fldChar w:fldCharType="begin"/>
      </w:r>
      <w:r>
        <w:instrText xml:space="preserve"> SEQ Table \* ARABIC </w:instrText>
      </w:r>
      <w:r w:rsidR="00115BAB">
        <w:fldChar w:fldCharType="separate"/>
      </w:r>
      <w:r w:rsidR="00A65CB3">
        <w:rPr>
          <w:noProof/>
        </w:rPr>
        <w:t>136</w:t>
      </w:r>
      <w:r w:rsidR="00115BAB">
        <w:rPr>
          <w:noProof/>
        </w:rPr>
        <w:fldChar w:fldCharType="end"/>
      </w:r>
      <w:bookmarkEnd w:id="2071"/>
      <w:r>
        <w:t>: Seat Belt Use Groups for the 7-Second Warning</w:t>
      </w:r>
    </w:p>
    <w:tbl>
      <w:tblPr>
        <w:tblStyle w:val="TableGrid"/>
        <w:tblW w:w="0" w:type="auto"/>
        <w:tblLook w:val="04A0" w:firstRow="1" w:lastRow="0" w:firstColumn="1" w:lastColumn="0" w:noHBand="0" w:noVBand="1"/>
      </w:tblPr>
      <w:tblGrid>
        <w:gridCol w:w="4135"/>
        <w:gridCol w:w="1711"/>
        <w:gridCol w:w="1743"/>
        <w:gridCol w:w="1761"/>
      </w:tblGrid>
      <w:tr w:rsidR="00A15C2C" w14:paraId="79EBE2AC" w14:textId="77777777" w:rsidTr="00B4259D">
        <w:trPr>
          <w:trHeight w:val="290"/>
        </w:trPr>
        <w:tc>
          <w:tcPr>
            <w:tcW w:w="4135" w:type="dxa"/>
            <w:shd w:val="clear" w:color="auto" w:fill="BFBFBF" w:themeFill="background1" w:themeFillShade="BF"/>
            <w:noWrap/>
            <w:vAlign w:val="center"/>
            <w:hideMark/>
          </w:tcPr>
          <w:p w14:paraId="5F50E3DF" w14:textId="77777777" w:rsidR="008230FF" w:rsidRPr="00AD12CD" w:rsidRDefault="000F5B51" w:rsidP="00B4259D">
            <w:pPr>
              <w:spacing w:line="240" w:lineRule="auto"/>
              <w:rPr>
                <w:b/>
                <w:bCs/>
              </w:rPr>
            </w:pPr>
            <w:r w:rsidRPr="00AD12CD">
              <w:rPr>
                <w:b/>
                <w:bCs/>
              </w:rPr>
              <w:t>Category</w:t>
            </w:r>
          </w:p>
        </w:tc>
        <w:tc>
          <w:tcPr>
            <w:tcW w:w="1711" w:type="dxa"/>
            <w:shd w:val="clear" w:color="auto" w:fill="BFBFBF" w:themeFill="background1" w:themeFillShade="BF"/>
            <w:noWrap/>
            <w:vAlign w:val="center"/>
            <w:hideMark/>
          </w:tcPr>
          <w:p w14:paraId="3D42BC27" w14:textId="77777777" w:rsidR="008230FF" w:rsidRPr="00AD12CD" w:rsidRDefault="000F5B51" w:rsidP="00B4259D">
            <w:pPr>
              <w:spacing w:line="240" w:lineRule="auto"/>
              <w:jc w:val="center"/>
              <w:rPr>
                <w:b/>
                <w:bCs/>
              </w:rPr>
            </w:pPr>
            <w:r>
              <w:rPr>
                <w:b/>
                <w:bCs/>
              </w:rPr>
              <w:t>Overall Distribution</w:t>
            </w:r>
          </w:p>
        </w:tc>
        <w:tc>
          <w:tcPr>
            <w:tcW w:w="1743" w:type="dxa"/>
            <w:shd w:val="clear" w:color="auto" w:fill="BFBFBF" w:themeFill="background1" w:themeFillShade="BF"/>
            <w:vAlign w:val="center"/>
          </w:tcPr>
          <w:p w14:paraId="4438F9BC" w14:textId="77777777" w:rsidR="008230FF" w:rsidRPr="00AD12CD" w:rsidRDefault="000F5B51" w:rsidP="00B4259D">
            <w:pPr>
              <w:spacing w:line="240" w:lineRule="auto"/>
              <w:jc w:val="center"/>
              <w:rPr>
                <w:b/>
                <w:bCs/>
              </w:rPr>
            </w:pPr>
            <w:r>
              <w:rPr>
                <w:b/>
                <w:bCs/>
              </w:rPr>
              <w:t>Redistribution</w:t>
            </w:r>
          </w:p>
        </w:tc>
        <w:tc>
          <w:tcPr>
            <w:tcW w:w="1761" w:type="dxa"/>
            <w:shd w:val="clear" w:color="auto" w:fill="BFBFBF" w:themeFill="background1" w:themeFillShade="BF"/>
            <w:noWrap/>
            <w:vAlign w:val="center"/>
            <w:hideMark/>
          </w:tcPr>
          <w:p w14:paraId="58D18BC5" w14:textId="77777777" w:rsidR="008230FF" w:rsidRPr="00AD12CD" w:rsidRDefault="000F5B51" w:rsidP="00B4259D">
            <w:pPr>
              <w:spacing w:line="240" w:lineRule="auto"/>
              <w:jc w:val="center"/>
              <w:rPr>
                <w:b/>
                <w:bCs/>
              </w:rPr>
            </w:pPr>
            <w:r>
              <w:rPr>
                <w:b/>
                <w:bCs/>
              </w:rPr>
              <w:t>Distribution for</w:t>
            </w:r>
            <w:r w:rsidRPr="00AD12CD">
              <w:rPr>
                <w:b/>
                <w:bCs/>
              </w:rPr>
              <w:t xml:space="preserve"> 7-second</w:t>
            </w:r>
            <w:r>
              <w:rPr>
                <w:b/>
                <w:bCs/>
              </w:rPr>
              <w:t xml:space="preserve"> Warning</w:t>
            </w:r>
          </w:p>
        </w:tc>
      </w:tr>
      <w:tr w:rsidR="00A15C2C" w14:paraId="28CE7128" w14:textId="77777777" w:rsidTr="00B4259D">
        <w:trPr>
          <w:trHeight w:val="552"/>
        </w:trPr>
        <w:tc>
          <w:tcPr>
            <w:tcW w:w="4135" w:type="dxa"/>
            <w:noWrap/>
            <w:vAlign w:val="center"/>
            <w:hideMark/>
          </w:tcPr>
          <w:p w14:paraId="6963E614" w14:textId="77777777" w:rsidR="008230FF" w:rsidRPr="00AD12CD" w:rsidRDefault="000F5B51" w:rsidP="00B4259D">
            <w:pPr>
              <w:spacing w:line="240" w:lineRule="auto"/>
            </w:pPr>
            <w:r w:rsidRPr="00AD12CD">
              <w:t>A reported "sometimes using seat belts"</w:t>
            </w:r>
          </w:p>
        </w:tc>
        <w:tc>
          <w:tcPr>
            <w:tcW w:w="1711" w:type="dxa"/>
            <w:noWrap/>
            <w:vAlign w:val="center"/>
            <w:hideMark/>
          </w:tcPr>
          <w:p w14:paraId="387E8860" w14:textId="77777777" w:rsidR="008230FF" w:rsidRPr="00AD12CD" w:rsidRDefault="000F5B51" w:rsidP="00B4259D">
            <w:pPr>
              <w:spacing w:line="240" w:lineRule="auto"/>
              <w:jc w:val="center"/>
            </w:pPr>
            <w:r w:rsidRPr="00AD12CD">
              <w:t>6.9%</w:t>
            </w:r>
          </w:p>
        </w:tc>
        <w:tc>
          <w:tcPr>
            <w:tcW w:w="1743" w:type="dxa"/>
            <w:vAlign w:val="center"/>
          </w:tcPr>
          <w:p w14:paraId="69428F0F" w14:textId="77777777" w:rsidR="008230FF" w:rsidRPr="00797EBF" w:rsidRDefault="000F5B51" w:rsidP="00B4259D">
            <w:pPr>
              <w:spacing w:line="240" w:lineRule="auto"/>
              <w:jc w:val="center"/>
            </w:pPr>
            <w:r>
              <w:t>+</w:t>
            </w:r>
            <w:r w:rsidRPr="00797EBF">
              <w:t>7.59</w:t>
            </w:r>
            <w:r>
              <w:t>%</w:t>
            </w:r>
          </w:p>
        </w:tc>
        <w:tc>
          <w:tcPr>
            <w:tcW w:w="1761" w:type="dxa"/>
            <w:noWrap/>
            <w:vAlign w:val="center"/>
            <w:hideMark/>
          </w:tcPr>
          <w:p w14:paraId="39771787" w14:textId="77777777" w:rsidR="008230FF" w:rsidRPr="00797EBF" w:rsidRDefault="000F5B51" w:rsidP="00B4259D">
            <w:pPr>
              <w:spacing w:line="240" w:lineRule="auto"/>
              <w:jc w:val="center"/>
            </w:pPr>
            <w:r w:rsidRPr="00797EBF">
              <w:t>14.49%</w:t>
            </w:r>
          </w:p>
        </w:tc>
      </w:tr>
      <w:tr w:rsidR="00A15C2C" w14:paraId="7B0CD295" w14:textId="77777777" w:rsidTr="00B4259D">
        <w:trPr>
          <w:trHeight w:val="552"/>
        </w:trPr>
        <w:tc>
          <w:tcPr>
            <w:tcW w:w="4135" w:type="dxa"/>
            <w:noWrap/>
            <w:vAlign w:val="center"/>
            <w:hideMark/>
          </w:tcPr>
          <w:p w14:paraId="12D7E094" w14:textId="77777777" w:rsidR="008230FF" w:rsidRPr="00AD12CD" w:rsidRDefault="000F5B51" w:rsidP="00B4259D">
            <w:pPr>
              <w:spacing w:line="240" w:lineRule="auto"/>
            </w:pPr>
            <w:r w:rsidRPr="00AD12CD">
              <w:t>A reported "seldom or never using seat belts when driving or riding in a car"</w:t>
            </w:r>
          </w:p>
        </w:tc>
        <w:tc>
          <w:tcPr>
            <w:tcW w:w="1711" w:type="dxa"/>
            <w:noWrap/>
            <w:vAlign w:val="center"/>
            <w:hideMark/>
          </w:tcPr>
          <w:p w14:paraId="7ECF4775" w14:textId="77777777" w:rsidR="008230FF" w:rsidRPr="00AD12CD" w:rsidRDefault="000F5B51" w:rsidP="00B4259D">
            <w:pPr>
              <w:spacing w:line="240" w:lineRule="auto"/>
              <w:jc w:val="center"/>
            </w:pPr>
            <w:r w:rsidRPr="00AD12CD">
              <w:t>5.4%</w:t>
            </w:r>
          </w:p>
        </w:tc>
        <w:tc>
          <w:tcPr>
            <w:tcW w:w="1743" w:type="dxa"/>
            <w:vAlign w:val="center"/>
          </w:tcPr>
          <w:p w14:paraId="70F54E75" w14:textId="77777777" w:rsidR="008230FF" w:rsidRPr="00797EBF" w:rsidRDefault="000F5B51" w:rsidP="00B4259D">
            <w:pPr>
              <w:spacing w:line="240" w:lineRule="auto"/>
              <w:jc w:val="center"/>
            </w:pPr>
            <w:r>
              <w:t>+</w:t>
            </w:r>
            <w:r w:rsidRPr="00797EBF">
              <w:t>5.94</w:t>
            </w:r>
            <w:r>
              <w:t>%</w:t>
            </w:r>
          </w:p>
        </w:tc>
        <w:tc>
          <w:tcPr>
            <w:tcW w:w="1761" w:type="dxa"/>
            <w:noWrap/>
            <w:vAlign w:val="center"/>
            <w:hideMark/>
          </w:tcPr>
          <w:p w14:paraId="0DCFE18F" w14:textId="77777777" w:rsidR="008230FF" w:rsidRPr="00797EBF" w:rsidRDefault="000F5B51" w:rsidP="00B4259D">
            <w:pPr>
              <w:spacing w:line="240" w:lineRule="auto"/>
              <w:jc w:val="center"/>
            </w:pPr>
            <w:r w:rsidRPr="00797EBF">
              <w:t xml:space="preserve">11.34% </w:t>
            </w:r>
          </w:p>
        </w:tc>
      </w:tr>
      <w:tr w:rsidR="00A15C2C" w14:paraId="679C6070" w14:textId="77777777" w:rsidTr="00B4259D">
        <w:trPr>
          <w:trHeight w:val="552"/>
        </w:trPr>
        <w:tc>
          <w:tcPr>
            <w:tcW w:w="4135" w:type="dxa"/>
            <w:tcBorders>
              <w:bottom w:val="single" w:sz="4" w:space="0" w:color="auto"/>
            </w:tcBorders>
            <w:noWrap/>
            <w:vAlign w:val="center"/>
            <w:hideMark/>
          </w:tcPr>
          <w:p w14:paraId="35F7A1B4" w14:textId="77777777" w:rsidR="008230FF" w:rsidRPr="00AD12CD" w:rsidRDefault="000F5B51" w:rsidP="00B4259D">
            <w:pPr>
              <w:spacing w:line="240" w:lineRule="auto"/>
            </w:pPr>
            <w:r w:rsidRPr="00AD12CD">
              <w:t>Percentage of drivers who always use seat belts</w:t>
            </w:r>
          </w:p>
        </w:tc>
        <w:tc>
          <w:tcPr>
            <w:tcW w:w="1711" w:type="dxa"/>
            <w:noWrap/>
            <w:vAlign w:val="center"/>
            <w:hideMark/>
          </w:tcPr>
          <w:p w14:paraId="78034EBA" w14:textId="77777777" w:rsidR="008230FF" w:rsidRPr="00AD12CD" w:rsidRDefault="000F5B51" w:rsidP="00B4259D">
            <w:pPr>
              <w:spacing w:line="240" w:lineRule="auto"/>
              <w:jc w:val="center"/>
            </w:pPr>
            <w:r w:rsidRPr="00AD12CD">
              <w:t>87.7%</w:t>
            </w:r>
          </w:p>
        </w:tc>
        <w:tc>
          <w:tcPr>
            <w:tcW w:w="1743" w:type="dxa"/>
            <w:vAlign w:val="center"/>
          </w:tcPr>
          <w:p w14:paraId="31F03BB1" w14:textId="77777777" w:rsidR="008230FF" w:rsidRPr="00AD12CD" w:rsidRDefault="000F5B51" w:rsidP="00B4259D">
            <w:pPr>
              <w:spacing w:line="240" w:lineRule="auto"/>
              <w:jc w:val="center"/>
            </w:pPr>
            <w:r>
              <w:t>-13.5%</w:t>
            </w:r>
          </w:p>
        </w:tc>
        <w:tc>
          <w:tcPr>
            <w:tcW w:w="1761" w:type="dxa"/>
            <w:noWrap/>
            <w:vAlign w:val="center"/>
            <w:hideMark/>
          </w:tcPr>
          <w:p w14:paraId="682ED488" w14:textId="77777777" w:rsidR="008230FF" w:rsidRPr="00AD12CD" w:rsidRDefault="000F5B51" w:rsidP="00B4259D">
            <w:pPr>
              <w:spacing w:line="240" w:lineRule="auto"/>
              <w:jc w:val="center"/>
            </w:pPr>
            <w:r w:rsidRPr="00AD12CD">
              <w:t>74.2%</w:t>
            </w:r>
          </w:p>
        </w:tc>
      </w:tr>
      <w:tr w:rsidR="00A15C2C" w14:paraId="4C3C8DE2" w14:textId="77777777" w:rsidTr="00B4259D">
        <w:trPr>
          <w:trHeight w:val="290"/>
        </w:trPr>
        <w:tc>
          <w:tcPr>
            <w:tcW w:w="4135" w:type="dxa"/>
            <w:tcBorders>
              <w:right w:val="single" w:sz="4" w:space="0" w:color="FFFFFF" w:themeColor="background1"/>
            </w:tcBorders>
            <w:noWrap/>
            <w:vAlign w:val="center"/>
            <w:hideMark/>
          </w:tcPr>
          <w:p w14:paraId="752C8C44" w14:textId="77777777" w:rsidR="008230FF" w:rsidRPr="00AD12CD" w:rsidRDefault="000F5B51" w:rsidP="00B4259D">
            <w:pPr>
              <w:spacing w:line="240" w:lineRule="auto"/>
            </w:pPr>
            <w:r w:rsidRPr="00AD12CD">
              <w:t>Total</w:t>
            </w:r>
          </w:p>
        </w:tc>
        <w:tc>
          <w:tcPr>
            <w:tcW w:w="1711" w:type="dxa"/>
            <w:tcBorders>
              <w:left w:val="single" w:sz="4" w:space="0" w:color="FFFFFF" w:themeColor="background1"/>
              <w:right w:val="single" w:sz="4" w:space="0" w:color="FFFFFF" w:themeColor="background1"/>
            </w:tcBorders>
            <w:noWrap/>
            <w:vAlign w:val="center"/>
            <w:hideMark/>
          </w:tcPr>
          <w:p w14:paraId="490DF5E7" w14:textId="77777777" w:rsidR="008230FF" w:rsidRPr="00AD12CD" w:rsidRDefault="008230FF" w:rsidP="00B4259D">
            <w:pPr>
              <w:spacing w:line="240" w:lineRule="auto"/>
              <w:jc w:val="center"/>
            </w:pPr>
          </w:p>
        </w:tc>
        <w:tc>
          <w:tcPr>
            <w:tcW w:w="1743" w:type="dxa"/>
            <w:tcBorders>
              <w:left w:val="single" w:sz="4" w:space="0" w:color="FFFFFF" w:themeColor="background1"/>
              <w:right w:val="single" w:sz="4" w:space="0" w:color="FFFFFF" w:themeColor="background1"/>
            </w:tcBorders>
          </w:tcPr>
          <w:p w14:paraId="379F79A8" w14:textId="77777777" w:rsidR="008230FF" w:rsidRPr="00AD12CD" w:rsidRDefault="008230FF" w:rsidP="00B4259D">
            <w:pPr>
              <w:spacing w:line="240" w:lineRule="auto"/>
              <w:jc w:val="center"/>
            </w:pPr>
          </w:p>
        </w:tc>
        <w:tc>
          <w:tcPr>
            <w:tcW w:w="1761" w:type="dxa"/>
            <w:tcBorders>
              <w:left w:val="single" w:sz="4" w:space="0" w:color="FFFFFF" w:themeColor="background1"/>
            </w:tcBorders>
            <w:noWrap/>
            <w:vAlign w:val="center"/>
            <w:hideMark/>
          </w:tcPr>
          <w:p w14:paraId="7C0AFA98" w14:textId="77777777" w:rsidR="008230FF" w:rsidRPr="00AD12CD" w:rsidRDefault="000F5B51" w:rsidP="00B4259D">
            <w:pPr>
              <w:spacing w:line="240" w:lineRule="auto"/>
              <w:jc w:val="center"/>
            </w:pPr>
            <w:r w:rsidRPr="00AD12CD">
              <w:t>100.0%</w:t>
            </w:r>
          </w:p>
        </w:tc>
      </w:tr>
    </w:tbl>
    <w:p w14:paraId="4A1BE9E6" w14:textId="77777777" w:rsidR="008230FF" w:rsidRPr="000A7635" w:rsidRDefault="000F5B51" w:rsidP="008230FF">
      <w:pPr>
        <w:pStyle w:val="NoSpacing"/>
        <w:rPr>
          <w:sz w:val="16"/>
          <w:szCs w:val="16"/>
        </w:rPr>
      </w:pPr>
      <w:r>
        <w:rPr>
          <w:sz w:val="16"/>
          <w:szCs w:val="16"/>
        </w:rPr>
        <w:t xml:space="preserve">Note: Values may not sum due to rounding. </w:t>
      </w:r>
    </w:p>
    <w:p w14:paraId="2BE8EB61" w14:textId="77777777" w:rsidR="008230FF" w:rsidRDefault="008230FF" w:rsidP="008230FF">
      <w:pPr>
        <w:pStyle w:val="NoSpacing"/>
      </w:pPr>
    </w:p>
    <w:p w14:paraId="219AC560" w14:textId="77777777" w:rsidR="008230FF" w:rsidRDefault="000F5B51" w:rsidP="008230FF">
      <w:r>
        <w:t>We now use this information to establish the seat belt use rate among those drivers who sometimes use seat belts. Using the overall seat belt use rate of 0.7663, we establish the following equation which reflects the percentages of always, sometimes, and never users:</w:t>
      </w:r>
    </w:p>
    <w:p w14:paraId="4992C53F" w14:textId="77777777" w:rsidR="008230FF" w:rsidRDefault="000F5B51" w:rsidP="008230FF">
      <m:oMathPara>
        <m:oMath>
          <m:r>
            <w:rPr>
              <w:rFonts w:ascii="Cambria Math" w:hAnsi="Cambria Math" w:cs="Times New Roman"/>
              <w:szCs w:val="24"/>
            </w:rPr>
            <m:t>Overall Seat Belt Use=</m:t>
          </m:r>
          <m:d>
            <m:dPr>
              <m:ctrlPr>
                <w:rPr>
                  <w:rFonts w:ascii="Cambria Math" w:hAnsi="Cambria Math" w:cs="Times New Roman"/>
                  <w:i/>
                  <w:szCs w:val="24"/>
                </w:rPr>
              </m:ctrlPr>
            </m:dPr>
            <m:e>
              <m:r>
                <w:rPr>
                  <w:rFonts w:ascii="Cambria Math" w:hAnsi="Cambria Math" w:cs="Times New Roman"/>
                  <w:szCs w:val="24"/>
                </w:rPr>
                <m:t>74.2% × 1.0</m:t>
              </m:r>
            </m:e>
          </m:d>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14.49%×x</m:t>
              </m:r>
            </m:e>
          </m:d>
          <m:r>
            <w:rPr>
              <w:rFonts w:ascii="Cambria Math" w:hAnsi="Cambria Math" w:cs="Times New Roman"/>
              <w:szCs w:val="24"/>
            </w:rPr>
            <m:t>+(11.34% × 0)=0.7663</m:t>
          </m:r>
        </m:oMath>
      </m:oMathPara>
    </w:p>
    <w:p w14:paraId="1EA5E5C5" w14:textId="77777777" w:rsidR="008230FF" w:rsidRDefault="000F5B51" w:rsidP="008230FF">
      <w:r>
        <w:t>Where x represents the seat belt use rate for those who sometimes use seat belts. Solving for x, we find that the seat belt use rate for those who sometimes use seat belts is approximately 0.17.</w:t>
      </w:r>
    </w:p>
    <w:p w14:paraId="5D6C6EE9" w14:textId="77777777" w:rsidR="008230FF" w:rsidRDefault="000F5B51" w:rsidP="008230FF">
      <w:r>
        <w:lastRenderedPageBreak/>
        <w:t xml:space="preserve">As we have now established the seat belt use for the baseline seven-second warning, we can now reflect the increase in seat belt use resulting from moving to an indefinite warning. </w:t>
      </w:r>
      <w:r w:rsidRPr="0022174A">
        <w:t>The IIHS study shows that the indefinite warning would increase the belt use rate of “sometimes using seat belts” by 34</w:t>
      </w:r>
      <w:r>
        <w:t xml:space="preserve"> percent</w:t>
      </w:r>
      <w:r w:rsidRPr="0022174A">
        <w:t>.</w:t>
      </w:r>
      <w:r>
        <w:t xml:space="preserve"> This analysis makes the assumption that the indefinite warning would have the same impact on those who never use seat belts.</w:t>
      </w:r>
    </w:p>
    <w:p w14:paraId="23E7D144" w14:textId="77777777" w:rsidR="008230FF" w:rsidRDefault="000F5B51" w:rsidP="008230FF">
      <w:r>
        <w:t>For those who never use seat belts, we account for the impact of the indefinite warning by estimating the percentage of those drivers who would transition to the always use seat belt group.</w:t>
      </w:r>
      <w:r>
        <w:rPr>
          <w:rStyle w:val="FootnoteReference"/>
        </w:rPr>
        <w:footnoteReference w:id="93"/>
      </w:r>
      <w:r>
        <w:t xml:space="preserve"> Therefore, we reflect that the 11.4 percent of never users would decrease by 34 percent to 7.5 percent of drivers. As a result, the percent of drivers who always use seat belts would increase from 74.2 percent to 78.0 percent.</w:t>
      </w:r>
    </w:p>
    <w:p w14:paraId="0F53D168" w14:textId="77777777" w:rsidR="008230FF" w:rsidRDefault="000F5B51" w:rsidP="008230FF">
      <w:r>
        <w:t>For those who sometimes use seat belts, we reflect the 34 percent increase in seat belt use on the established seat belt use rate of 0.17. Therefore, we establish that as a result of the indefinite warning the seat belt use rate for those drivers who sometimes use seat belts would increase to approximately 0.227.</w:t>
      </w:r>
    </w:p>
    <w:p w14:paraId="1D9542FF" w14:textId="77777777" w:rsidR="008230FF" w:rsidRDefault="000F5B51" w:rsidP="008230FF">
      <w:r>
        <w:t>As we have established the distribution of the always, sometimes, and never groups as well as the use rate for the sometimes group for the indefinite warning, we can now calculate the overall seat belt use rate for the indefinite warning:</w:t>
      </w:r>
    </w:p>
    <w:p w14:paraId="0237FDAB" w14:textId="77777777" w:rsidR="008230FF" w:rsidRDefault="000F5B51" w:rsidP="008230FF">
      <m:oMath>
        <m:r>
          <w:rPr>
            <w:rFonts w:ascii="Cambria Math" w:hAnsi="Cambria Math" w:cs="Times New Roman"/>
            <w:szCs w:val="24"/>
          </w:rPr>
          <m:t>Overall Seat Belt Use=</m:t>
        </m:r>
        <m:d>
          <m:dPr>
            <m:ctrlPr>
              <w:rPr>
                <w:rFonts w:ascii="Cambria Math" w:hAnsi="Cambria Math" w:cs="Times New Roman"/>
                <w:i/>
                <w:szCs w:val="24"/>
              </w:rPr>
            </m:ctrlPr>
          </m:dPr>
          <m:e>
            <m:r>
              <w:rPr>
                <w:rFonts w:ascii="Cambria Math" w:hAnsi="Cambria Math" w:cs="Times New Roman"/>
                <w:szCs w:val="24"/>
              </w:rPr>
              <m:t>78.0% × 1.0</m:t>
            </m:r>
          </m:e>
        </m:d>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14.49%×0.227</m:t>
            </m:r>
          </m:e>
        </m:d>
        <m:r>
          <w:rPr>
            <w:rFonts w:ascii="Cambria Math" w:hAnsi="Cambria Math" w:cs="Times New Roman"/>
            <w:szCs w:val="24"/>
          </w:rPr>
          <m:t>+(7.5% × 0)=0.8132</m:t>
        </m:r>
      </m:oMath>
      <w:r>
        <w:rPr>
          <w:rFonts w:eastAsiaTheme="minorEastAsia"/>
          <w:szCs w:val="24"/>
        </w:rPr>
        <w:t>.</w:t>
      </w:r>
    </w:p>
    <w:p w14:paraId="390B321C" w14:textId="77777777" w:rsidR="008230FF" w:rsidRDefault="000F5B51" w:rsidP="008230FF">
      <w:r>
        <w:t xml:space="preserve">Therefore, for the overall seat belt use rate for the indefinite warning is 0.8132. </w:t>
      </w:r>
    </w:p>
    <w:p w14:paraId="7D8E1D5C" w14:textId="77777777" w:rsidR="008230FF" w:rsidRDefault="000F5B51" w:rsidP="008230FF">
      <w:r>
        <w:lastRenderedPageBreak/>
        <w:t>We then calculate the increase in the overall seat belt use rate when moving from the baseline seven-second warning to the indefinite warning:</w:t>
      </w:r>
    </w:p>
    <w:p w14:paraId="50094450" w14:textId="77777777" w:rsidR="008230FF" w:rsidRDefault="000F5B51" w:rsidP="008230FF">
      <w:pPr>
        <w:jc w:val="center"/>
        <w:rPr>
          <w:rFonts w:eastAsiaTheme="minorEastAsia"/>
          <w:szCs w:val="24"/>
        </w:rPr>
      </w:pPr>
      <m:oMath>
        <m:r>
          <w:rPr>
            <w:rFonts w:ascii="Cambria Math" w:hAnsi="Cambria Math"/>
          </w:rPr>
          <m:t>Increase in Overall Use Rate</m:t>
        </m:r>
        <m:r>
          <w:rPr>
            <w:rFonts w:ascii="Cambria Math" w:hAnsi="Cambria Math" w:cs="Times New Roman"/>
            <w:szCs w:val="24"/>
          </w:rPr>
          <m:t>=0.8132-0.7663=0.0469</m:t>
        </m:r>
      </m:oMath>
      <w:r>
        <w:rPr>
          <w:rFonts w:eastAsiaTheme="minorEastAsia"/>
          <w:szCs w:val="24"/>
        </w:rPr>
        <w:t>.</w:t>
      </w:r>
    </w:p>
    <w:p w14:paraId="0E8E8E80" w14:textId="61505A55" w:rsidR="008230FF" w:rsidRDefault="000F5B51" w:rsidP="008230FF">
      <w:r>
        <w:rPr>
          <w:rFonts w:eastAsiaTheme="minorEastAsia"/>
          <w:szCs w:val="24"/>
        </w:rPr>
        <w:t xml:space="preserve">Therefore, moving from the </w:t>
      </w:r>
      <w:r>
        <w:t>from the baseline seven-second warning to the indefinite warning increase the seat belt use rate by approximately 4.69 percent. We then reflect the ratio of observed use rate to use rate in</w:t>
      </w:r>
      <w:r w:rsidR="00C67A5A">
        <w:t xml:space="preserve"> </w:t>
      </w:r>
      <w:r w:rsidR="00C67A5A" w:rsidRPr="00C67A5A">
        <w:t>potentially</w:t>
      </w:r>
      <w:r>
        <w:t xml:space="preserve"> fatal crashes from </w:t>
      </w:r>
      <w:r>
        <w:fldChar w:fldCharType="begin"/>
      </w:r>
      <w:r>
        <w:instrText xml:space="preserve"> REF _Ref130300470 \h </w:instrText>
      </w:r>
      <w:r>
        <w:fldChar w:fldCharType="separate"/>
      </w:r>
      <w:r w:rsidR="00A65CB3">
        <w:t xml:space="preserve">Table </w:t>
      </w:r>
      <w:r w:rsidR="00A65CB3">
        <w:rPr>
          <w:noProof/>
        </w:rPr>
        <w:t>132</w:t>
      </w:r>
      <w:r>
        <w:fldChar w:fldCharType="end"/>
      </w:r>
      <w:r>
        <w:t xml:space="preserve"> to find the corresponding increase in seat belt use in</w:t>
      </w:r>
      <w:r w:rsidR="00C67A5A">
        <w:t xml:space="preserve"> </w:t>
      </w:r>
      <w:r w:rsidR="00C67A5A" w:rsidRPr="00C67A5A">
        <w:t>potentially</w:t>
      </w:r>
      <w:r>
        <w:t xml:space="preserve"> fatal crashes is approximately 4.06 percent.</w:t>
      </w:r>
    </w:p>
    <w:p w14:paraId="0DFD8B63" w14:textId="0FCD866A" w:rsidR="008230FF" w:rsidRPr="008230FF" w:rsidRDefault="000F5B51" w:rsidP="008230FF">
      <w:pPr>
        <w:spacing w:after="0"/>
      </w:pPr>
      <w:r>
        <w:t>We then return to the original established seat belt use rate in</w:t>
      </w:r>
      <w:r w:rsidR="00C67A5A">
        <w:t xml:space="preserve"> </w:t>
      </w:r>
      <w:r w:rsidR="00C67A5A" w:rsidRPr="00C67A5A">
        <w:t>potentially</w:t>
      </w:r>
      <w:r>
        <w:t xml:space="preserve"> fatal crashes for the seven-second warning of 0.6127 and reflect the increase when moving to the indefinite warning. When reflecting that increase in seat belt use, we find that the seat belt use rate in </w:t>
      </w:r>
      <w:r w:rsidR="00C67A5A" w:rsidRPr="00C67A5A">
        <w:t xml:space="preserve">potentially </w:t>
      </w:r>
      <w:r>
        <w:t>fatal crashes for the indefinite warning is estimated at approximately 0.6533. Therefore, the ratio increase between the use rate for the seven-second warning and the indefinite warning is approximately 1.066247.</w:t>
      </w:r>
    </w:p>
    <w:p w14:paraId="52D901FF" w14:textId="77777777" w:rsidR="00266E2F" w:rsidRDefault="000F5B51">
      <w:pPr>
        <w:pStyle w:val="Heading2"/>
        <w:spacing w:line="240" w:lineRule="auto"/>
      </w:pPr>
      <w:bookmarkStart w:id="2072" w:name="_Toc127268972"/>
      <w:bookmarkStart w:id="2073" w:name="_Toc127268973"/>
      <w:bookmarkStart w:id="2074" w:name="_Toc127268974"/>
      <w:bookmarkStart w:id="2075" w:name="_Toc142903019"/>
      <w:bookmarkEnd w:id="2057"/>
      <w:bookmarkEnd w:id="2072"/>
      <w:bookmarkEnd w:id="2073"/>
      <w:bookmarkEnd w:id="2074"/>
      <w:r>
        <w:t xml:space="preserve">Appendix </w:t>
      </w:r>
      <w:r w:rsidR="00AF6A41">
        <w:t>G</w:t>
      </w:r>
      <w:bookmarkEnd w:id="2075"/>
    </w:p>
    <w:p w14:paraId="6A2E73D8" w14:textId="63BFE930" w:rsidR="00A97406" w:rsidRDefault="000F5B51" w:rsidP="00CC4686">
      <w:r>
        <w:t>This section presents the ratio of increas</w:t>
      </w:r>
      <w:r w:rsidR="00403398">
        <w:t xml:space="preserve">e in seat belt use </w:t>
      </w:r>
      <w:r w:rsidR="00B11AE9">
        <w:t>from a 90-</w:t>
      </w:r>
      <w:r w:rsidR="00D6066D">
        <w:t xml:space="preserve">second warning to an indefinite warning </w:t>
      </w:r>
      <w:r w:rsidR="00B54B89">
        <w:t xml:space="preserve">for drivers and right front seat occupants, respectively. </w:t>
      </w:r>
      <w:r w:rsidR="00AF6A41">
        <w:t xml:space="preserve">The calculation of the increase in seat belt use </w:t>
      </w:r>
      <w:r w:rsidR="00F46FCE">
        <w:t>resulting from moving from a 90-second warning to an indefinite warning follows the same procedure as moving from the seven-second warning to an indefinite warning (as shown in the previous section).</w:t>
      </w:r>
    </w:p>
    <w:p w14:paraId="5461D0A5" w14:textId="478E2D99" w:rsidR="00F1151E" w:rsidRDefault="00F1151E" w:rsidP="00CC4686"/>
    <w:p w14:paraId="34781063" w14:textId="7D197C94" w:rsidR="00F1151E" w:rsidRDefault="00F1151E" w:rsidP="00CC4686"/>
    <w:p w14:paraId="55CD3911" w14:textId="77777777" w:rsidR="00F1151E" w:rsidRPr="00897AED" w:rsidRDefault="00F1151E" w:rsidP="00CC4686"/>
    <w:p w14:paraId="131F0801" w14:textId="12198BB7" w:rsidR="00DD59A7" w:rsidRDefault="000F5B51" w:rsidP="00DD59A7">
      <w:pPr>
        <w:pStyle w:val="Caption"/>
        <w:rPr>
          <w:rFonts w:cs="Times New Roman"/>
          <w:szCs w:val="24"/>
        </w:rPr>
      </w:pPr>
      <w:r>
        <w:lastRenderedPageBreak/>
        <w:t xml:space="preserve">Table </w:t>
      </w:r>
      <w:r w:rsidR="00115BAB">
        <w:fldChar w:fldCharType="begin"/>
      </w:r>
      <w:r>
        <w:instrText xml:space="preserve"> SEQ Table \* ARABIC </w:instrText>
      </w:r>
      <w:r w:rsidR="00115BAB">
        <w:fldChar w:fldCharType="separate"/>
      </w:r>
      <w:r w:rsidR="00A65CB3">
        <w:rPr>
          <w:noProof/>
        </w:rPr>
        <w:t>137</w:t>
      </w:r>
      <w:r w:rsidR="00115BAB">
        <w:rPr>
          <w:noProof/>
        </w:rPr>
        <w:fldChar w:fldCharType="end"/>
      </w:r>
      <w:r>
        <w:t xml:space="preserve">: Summary of Increase in Seat Belt Use for Drivers </w:t>
      </w:r>
      <w:r w:rsidR="0070401B">
        <w:t>90</w:t>
      </w:r>
      <w:r>
        <w:t>-Second Warning to Indefinite Warning</w:t>
      </w:r>
    </w:p>
    <w:tbl>
      <w:tblPr>
        <w:tblStyle w:val="TableGrid"/>
        <w:tblW w:w="10440" w:type="dxa"/>
        <w:jc w:val="center"/>
        <w:tblLook w:val="04A0" w:firstRow="1" w:lastRow="0" w:firstColumn="1" w:lastColumn="0" w:noHBand="0" w:noVBand="1"/>
      </w:tblPr>
      <w:tblGrid>
        <w:gridCol w:w="8344"/>
        <w:gridCol w:w="2096"/>
      </w:tblGrid>
      <w:tr w:rsidR="00A15C2C" w14:paraId="0DEF47AB" w14:textId="77777777" w:rsidTr="00A807D0">
        <w:trPr>
          <w:jc w:val="center"/>
        </w:trPr>
        <w:tc>
          <w:tcPr>
            <w:tcW w:w="8344" w:type="dxa"/>
            <w:shd w:val="clear" w:color="auto" w:fill="D9D9D9" w:themeFill="background1" w:themeFillShade="D9"/>
            <w:vAlign w:val="center"/>
          </w:tcPr>
          <w:p w14:paraId="2882BC5F" w14:textId="77777777" w:rsidR="00DD59A7" w:rsidRPr="006A00B6" w:rsidRDefault="000F5B51" w:rsidP="00A807D0">
            <w:pPr>
              <w:spacing w:line="240" w:lineRule="auto"/>
              <w:contextualSpacing/>
              <w:rPr>
                <w:b/>
                <w:bCs/>
                <w:szCs w:val="24"/>
              </w:rPr>
            </w:pPr>
            <w:r w:rsidRPr="006A00B6">
              <w:rPr>
                <w:b/>
                <w:bCs/>
                <w:szCs w:val="24"/>
              </w:rPr>
              <w:t>Belt user and related items</w:t>
            </w:r>
          </w:p>
        </w:tc>
        <w:tc>
          <w:tcPr>
            <w:tcW w:w="2096" w:type="dxa"/>
            <w:shd w:val="clear" w:color="auto" w:fill="D9D9D9" w:themeFill="background1" w:themeFillShade="D9"/>
            <w:vAlign w:val="center"/>
          </w:tcPr>
          <w:p w14:paraId="3A815038" w14:textId="77777777" w:rsidR="00DD59A7" w:rsidRPr="006A00B6" w:rsidRDefault="000F5B51" w:rsidP="00A807D0">
            <w:pPr>
              <w:spacing w:line="240" w:lineRule="auto"/>
              <w:contextualSpacing/>
              <w:jc w:val="center"/>
              <w:rPr>
                <w:b/>
                <w:bCs/>
                <w:szCs w:val="24"/>
              </w:rPr>
            </w:pPr>
            <w:r w:rsidRPr="006A00B6">
              <w:rPr>
                <w:b/>
                <w:bCs/>
                <w:szCs w:val="24"/>
              </w:rPr>
              <w:t>Rate</w:t>
            </w:r>
          </w:p>
        </w:tc>
      </w:tr>
      <w:tr w:rsidR="00A15C2C" w14:paraId="16BC38E1" w14:textId="77777777" w:rsidTr="00A807D0">
        <w:trPr>
          <w:jc w:val="center"/>
        </w:trPr>
        <w:tc>
          <w:tcPr>
            <w:tcW w:w="8344" w:type="dxa"/>
          </w:tcPr>
          <w:p w14:paraId="2F9D1E00" w14:textId="77777777" w:rsidR="00FE25C0" w:rsidRPr="00E66816" w:rsidRDefault="000F5B51" w:rsidP="00FE25C0">
            <w:pPr>
              <w:spacing w:line="240" w:lineRule="auto"/>
              <w:contextualSpacing/>
              <w:rPr>
                <w:rFonts w:cs="Times New Roman"/>
                <w:szCs w:val="24"/>
              </w:rPr>
            </w:pPr>
            <w:r w:rsidRPr="007E0FEA">
              <w:t>The reported "sometimes using seat belts", calculated</w:t>
            </w:r>
          </w:p>
        </w:tc>
        <w:tc>
          <w:tcPr>
            <w:tcW w:w="2096" w:type="dxa"/>
          </w:tcPr>
          <w:p w14:paraId="3994A64A" w14:textId="77777777" w:rsidR="00FE25C0" w:rsidRPr="00E66816" w:rsidRDefault="000F5B51" w:rsidP="00FE25C0">
            <w:pPr>
              <w:spacing w:line="240" w:lineRule="auto"/>
              <w:contextualSpacing/>
              <w:jc w:val="center"/>
              <w:rPr>
                <w:rFonts w:cs="Times New Roman"/>
                <w:szCs w:val="24"/>
              </w:rPr>
            </w:pPr>
            <w:r w:rsidRPr="00A819A9">
              <w:t>0.063875123</w:t>
            </w:r>
          </w:p>
        </w:tc>
      </w:tr>
      <w:tr w:rsidR="00A15C2C" w14:paraId="36158D66" w14:textId="77777777" w:rsidTr="00A807D0">
        <w:trPr>
          <w:jc w:val="center"/>
        </w:trPr>
        <w:tc>
          <w:tcPr>
            <w:tcW w:w="8344" w:type="dxa"/>
          </w:tcPr>
          <w:p w14:paraId="4DDEDAF7" w14:textId="77777777" w:rsidR="00FE25C0" w:rsidRPr="00E66816" w:rsidRDefault="000F5B51" w:rsidP="00FE25C0">
            <w:pPr>
              <w:spacing w:line="240" w:lineRule="auto"/>
              <w:contextualSpacing/>
              <w:rPr>
                <w:rFonts w:cs="Times New Roman"/>
                <w:szCs w:val="24"/>
              </w:rPr>
            </w:pPr>
            <w:r w:rsidRPr="007E0FEA">
              <w:t>The reported "seldom or never using seat belts when driving or riding in a car", calculated</w:t>
            </w:r>
          </w:p>
        </w:tc>
        <w:tc>
          <w:tcPr>
            <w:tcW w:w="2096" w:type="dxa"/>
          </w:tcPr>
          <w:p w14:paraId="79831DA7" w14:textId="77777777" w:rsidR="00FE25C0" w:rsidRPr="00E66816" w:rsidRDefault="000F5B51" w:rsidP="00FE25C0">
            <w:pPr>
              <w:spacing w:line="240" w:lineRule="auto"/>
              <w:contextualSpacing/>
              <w:jc w:val="center"/>
              <w:rPr>
                <w:rFonts w:cs="Times New Roman"/>
                <w:szCs w:val="24"/>
              </w:rPr>
            </w:pPr>
            <w:r w:rsidRPr="00A819A9">
              <w:t>0.049989227</w:t>
            </w:r>
          </w:p>
        </w:tc>
      </w:tr>
      <w:tr w:rsidR="00A15C2C" w14:paraId="3582C032" w14:textId="77777777" w:rsidTr="00A807D0">
        <w:trPr>
          <w:jc w:val="center"/>
        </w:trPr>
        <w:tc>
          <w:tcPr>
            <w:tcW w:w="8344" w:type="dxa"/>
          </w:tcPr>
          <w:p w14:paraId="73DE5419" w14:textId="77777777" w:rsidR="00FE25C0" w:rsidRPr="00E66816" w:rsidRDefault="000F5B51" w:rsidP="00FE25C0">
            <w:pPr>
              <w:spacing w:line="240" w:lineRule="auto"/>
              <w:contextualSpacing/>
              <w:rPr>
                <w:rFonts w:cs="Times New Roman"/>
                <w:szCs w:val="24"/>
              </w:rPr>
            </w:pPr>
            <w:r w:rsidRPr="007E0FEA">
              <w:t>Percentage of drivers who always use seat belts, calculated</w:t>
            </w:r>
          </w:p>
        </w:tc>
        <w:tc>
          <w:tcPr>
            <w:tcW w:w="2096" w:type="dxa"/>
          </w:tcPr>
          <w:p w14:paraId="334D3F50" w14:textId="77777777" w:rsidR="00FE25C0" w:rsidRPr="00E66816" w:rsidRDefault="000F5B51" w:rsidP="00FE25C0">
            <w:pPr>
              <w:spacing w:line="240" w:lineRule="auto"/>
              <w:contextualSpacing/>
              <w:jc w:val="center"/>
              <w:rPr>
                <w:rFonts w:cs="Times New Roman"/>
                <w:szCs w:val="24"/>
              </w:rPr>
            </w:pPr>
            <w:r w:rsidRPr="00A819A9">
              <w:t>0.88613565</w:t>
            </w:r>
          </w:p>
        </w:tc>
      </w:tr>
      <w:tr w:rsidR="00A15C2C" w14:paraId="2566A639" w14:textId="77777777" w:rsidTr="00A807D0">
        <w:trPr>
          <w:jc w:val="center"/>
        </w:trPr>
        <w:tc>
          <w:tcPr>
            <w:tcW w:w="8344" w:type="dxa"/>
          </w:tcPr>
          <w:p w14:paraId="741419B9" w14:textId="77777777" w:rsidR="00FE25C0" w:rsidRPr="00E66816" w:rsidRDefault="000F5B51" w:rsidP="00FE25C0">
            <w:pPr>
              <w:spacing w:line="240" w:lineRule="auto"/>
              <w:contextualSpacing/>
              <w:rPr>
                <w:rFonts w:cs="Times New Roman"/>
                <w:szCs w:val="24"/>
              </w:rPr>
            </w:pPr>
            <w:r w:rsidRPr="007E0FEA">
              <w:t>Driver overall belt use rate without an indefinite SBWS alert, observed</w:t>
            </w:r>
          </w:p>
        </w:tc>
        <w:tc>
          <w:tcPr>
            <w:tcW w:w="2096" w:type="dxa"/>
          </w:tcPr>
          <w:p w14:paraId="422BCD10" w14:textId="77777777" w:rsidR="00FE25C0" w:rsidRPr="00E66816" w:rsidRDefault="000F5B51" w:rsidP="00FE25C0">
            <w:pPr>
              <w:spacing w:line="240" w:lineRule="auto"/>
              <w:contextualSpacing/>
              <w:jc w:val="center"/>
              <w:rPr>
                <w:rFonts w:cs="Times New Roman"/>
                <w:szCs w:val="24"/>
              </w:rPr>
            </w:pPr>
            <w:r w:rsidRPr="00A819A9">
              <w:t>0.915437741</w:t>
            </w:r>
          </w:p>
        </w:tc>
      </w:tr>
      <w:tr w:rsidR="00A15C2C" w14:paraId="2BC13D0F" w14:textId="77777777" w:rsidTr="00A807D0">
        <w:trPr>
          <w:jc w:val="center"/>
        </w:trPr>
        <w:tc>
          <w:tcPr>
            <w:tcW w:w="8344" w:type="dxa"/>
          </w:tcPr>
          <w:p w14:paraId="6E039027" w14:textId="0ADCF739" w:rsidR="00FE25C0" w:rsidRPr="00E66816" w:rsidRDefault="000F5B51" w:rsidP="00FE25C0">
            <w:pPr>
              <w:spacing w:line="240" w:lineRule="auto"/>
              <w:contextualSpacing/>
              <w:rPr>
                <w:rFonts w:cs="Times New Roman"/>
                <w:szCs w:val="24"/>
              </w:rPr>
            </w:pPr>
            <w:r w:rsidRPr="007E0FEA">
              <w:t xml:space="preserve">Probability of using belt use for </w:t>
            </w:r>
            <w:r w:rsidR="00C50D46">
              <w:t>p</w:t>
            </w:r>
            <w:r w:rsidRPr="007E0FEA">
              <w:t xml:space="preserve">art time seat belt user while in a vehicle, calculated </w:t>
            </w:r>
          </w:p>
        </w:tc>
        <w:tc>
          <w:tcPr>
            <w:tcW w:w="2096" w:type="dxa"/>
          </w:tcPr>
          <w:p w14:paraId="19BE11E5" w14:textId="77777777" w:rsidR="00FE25C0" w:rsidRPr="00E66816" w:rsidRDefault="000F5B51" w:rsidP="00FE25C0">
            <w:pPr>
              <w:spacing w:line="240" w:lineRule="auto"/>
              <w:contextualSpacing/>
              <w:jc w:val="center"/>
              <w:rPr>
                <w:rFonts w:cs="Times New Roman"/>
                <w:szCs w:val="24"/>
              </w:rPr>
            </w:pPr>
            <w:r w:rsidRPr="00A819A9">
              <w:t>0.458740268</w:t>
            </w:r>
          </w:p>
        </w:tc>
      </w:tr>
      <w:tr w:rsidR="00A15C2C" w14:paraId="09016AC4" w14:textId="77777777" w:rsidTr="00A807D0">
        <w:trPr>
          <w:jc w:val="center"/>
        </w:trPr>
        <w:tc>
          <w:tcPr>
            <w:tcW w:w="8344" w:type="dxa"/>
          </w:tcPr>
          <w:p w14:paraId="2F502B23" w14:textId="77777777" w:rsidR="00FE25C0" w:rsidRPr="00E66816" w:rsidRDefault="000F5B51" w:rsidP="00FE25C0">
            <w:pPr>
              <w:spacing w:line="240" w:lineRule="auto"/>
              <w:contextualSpacing/>
              <w:rPr>
                <w:rFonts w:cs="Times New Roman"/>
                <w:szCs w:val="24"/>
              </w:rPr>
            </w:pPr>
            <w:r w:rsidRPr="007E0FEA">
              <w:t>Increase in belt use due to an indefinite warning only for part time belt users, based on the IIHS report</w:t>
            </w:r>
          </w:p>
        </w:tc>
        <w:tc>
          <w:tcPr>
            <w:tcW w:w="2096" w:type="dxa"/>
          </w:tcPr>
          <w:p w14:paraId="3193AA84" w14:textId="77777777" w:rsidR="00FE25C0" w:rsidRPr="00E66816" w:rsidRDefault="000F5B51" w:rsidP="00FE25C0">
            <w:pPr>
              <w:spacing w:line="240" w:lineRule="auto"/>
              <w:contextualSpacing/>
              <w:jc w:val="center"/>
              <w:rPr>
                <w:rFonts w:cs="Times New Roman"/>
                <w:szCs w:val="24"/>
              </w:rPr>
            </w:pPr>
            <w:r w:rsidRPr="00A819A9">
              <w:t>0.04</w:t>
            </w:r>
          </w:p>
        </w:tc>
      </w:tr>
      <w:tr w:rsidR="00A15C2C" w14:paraId="1034E96D" w14:textId="77777777" w:rsidTr="00A807D0">
        <w:trPr>
          <w:jc w:val="center"/>
        </w:trPr>
        <w:tc>
          <w:tcPr>
            <w:tcW w:w="8344" w:type="dxa"/>
          </w:tcPr>
          <w:p w14:paraId="16698865" w14:textId="0B991498" w:rsidR="00FE25C0" w:rsidRPr="00E66816" w:rsidRDefault="000F5B51" w:rsidP="00FE25C0">
            <w:pPr>
              <w:spacing w:line="240" w:lineRule="auto"/>
              <w:contextualSpacing/>
              <w:rPr>
                <w:rFonts w:cs="Times New Roman"/>
                <w:szCs w:val="24"/>
              </w:rPr>
            </w:pPr>
            <w:r w:rsidRPr="007E0FEA">
              <w:t xml:space="preserve">Increase in belt use due to an indefinite warning for </w:t>
            </w:r>
            <w:r w:rsidR="00C50D46">
              <w:t>n</w:t>
            </w:r>
            <w:r w:rsidRPr="007E0FEA">
              <w:t xml:space="preserve">ever </w:t>
            </w:r>
            <w:r w:rsidR="00C50D46">
              <w:t>u</w:t>
            </w:r>
            <w:r w:rsidRPr="007E0FEA">
              <w:t>se belt users, assumed</w:t>
            </w:r>
          </w:p>
        </w:tc>
        <w:tc>
          <w:tcPr>
            <w:tcW w:w="2096" w:type="dxa"/>
          </w:tcPr>
          <w:p w14:paraId="69A23E17" w14:textId="77777777" w:rsidR="00FE25C0" w:rsidRPr="00E66816" w:rsidRDefault="000F5B51" w:rsidP="00FE25C0">
            <w:pPr>
              <w:spacing w:line="240" w:lineRule="auto"/>
              <w:contextualSpacing/>
              <w:jc w:val="center"/>
              <w:rPr>
                <w:rFonts w:cs="Times New Roman"/>
                <w:szCs w:val="24"/>
              </w:rPr>
            </w:pPr>
            <w:r w:rsidRPr="00A819A9">
              <w:t>0.04</w:t>
            </w:r>
          </w:p>
        </w:tc>
      </w:tr>
      <w:tr w:rsidR="00A15C2C" w14:paraId="010B8570" w14:textId="77777777" w:rsidTr="00A807D0">
        <w:trPr>
          <w:jc w:val="center"/>
        </w:trPr>
        <w:tc>
          <w:tcPr>
            <w:tcW w:w="8344" w:type="dxa"/>
          </w:tcPr>
          <w:p w14:paraId="58EBB1BE" w14:textId="0AB7CC2F" w:rsidR="00FE25C0" w:rsidRPr="00E66816" w:rsidRDefault="000F5B51" w:rsidP="00FE25C0">
            <w:pPr>
              <w:spacing w:line="240" w:lineRule="auto"/>
              <w:contextualSpacing/>
              <w:rPr>
                <w:rFonts w:cs="Times New Roman"/>
                <w:szCs w:val="24"/>
              </w:rPr>
            </w:pPr>
            <w:r w:rsidRPr="007E0FEA">
              <w:t xml:space="preserve">Percentage of the "seldom or </w:t>
            </w:r>
            <w:r w:rsidR="00C50D46">
              <w:t>n</w:t>
            </w:r>
            <w:r w:rsidRPr="007E0FEA">
              <w:t>ever using belts" group, with an indefinite warning</w:t>
            </w:r>
          </w:p>
        </w:tc>
        <w:tc>
          <w:tcPr>
            <w:tcW w:w="2096" w:type="dxa"/>
          </w:tcPr>
          <w:p w14:paraId="650EBA3C" w14:textId="77777777" w:rsidR="00FE25C0" w:rsidRPr="00E66816" w:rsidRDefault="000F5B51" w:rsidP="00FE25C0">
            <w:pPr>
              <w:spacing w:line="240" w:lineRule="auto"/>
              <w:contextualSpacing/>
              <w:jc w:val="center"/>
              <w:rPr>
                <w:rFonts w:cs="Times New Roman"/>
                <w:szCs w:val="24"/>
              </w:rPr>
            </w:pPr>
            <w:r w:rsidRPr="00A819A9">
              <w:t>0.047989658</w:t>
            </w:r>
          </w:p>
        </w:tc>
      </w:tr>
      <w:tr w:rsidR="00A15C2C" w14:paraId="42DEEA83" w14:textId="77777777" w:rsidTr="00A807D0">
        <w:trPr>
          <w:jc w:val="center"/>
        </w:trPr>
        <w:tc>
          <w:tcPr>
            <w:tcW w:w="8344" w:type="dxa"/>
          </w:tcPr>
          <w:p w14:paraId="320AD3E8" w14:textId="77777777" w:rsidR="00FE25C0" w:rsidRPr="00E66816" w:rsidRDefault="000F5B51" w:rsidP="00FE25C0">
            <w:pPr>
              <w:spacing w:line="240" w:lineRule="auto"/>
              <w:contextualSpacing/>
              <w:rPr>
                <w:rFonts w:cs="Times New Roman"/>
                <w:szCs w:val="24"/>
              </w:rPr>
            </w:pPr>
            <w:r w:rsidRPr="007E0FEA">
              <w:t>Percentage of drivers who always use seat belts with an indefinite warning</w:t>
            </w:r>
          </w:p>
        </w:tc>
        <w:tc>
          <w:tcPr>
            <w:tcW w:w="2096" w:type="dxa"/>
          </w:tcPr>
          <w:p w14:paraId="64704A4A" w14:textId="77777777" w:rsidR="00FE25C0" w:rsidRPr="00E66816" w:rsidRDefault="000F5B51" w:rsidP="00FE25C0">
            <w:pPr>
              <w:spacing w:line="240" w:lineRule="auto"/>
              <w:contextualSpacing/>
              <w:jc w:val="center"/>
              <w:rPr>
                <w:rFonts w:cs="Times New Roman"/>
                <w:szCs w:val="24"/>
              </w:rPr>
            </w:pPr>
            <w:r w:rsidRPr="00A819A9">
              <w:t>0.888135219</w:t>
            </w:r>
          </w:p>
        </w:tc>
      </w:tr>
      <w:tr w:rsidR="00A15C2C" w14:paraId="21EB8E9D" w14:textId="77777777" w:rsidTr="00A807D0">
        <w:trPr>
          <w:jc w:val="center"/>
        </w:trPr>
        <w:tc>
          <w:tcPr>
            <w:tcW w:w="8344" w:type="dxa"/>
          </w:tcPr>
          <w:p w14:paraId="7CD77BDA" w14:textId="4820ED0F" w:rsidR="00FE25C0" w:rsidRPr="00E66816" w:rsidRDefault="000F5B51" w:rsidP="00FE25C0">
            <w:pPr>
              <w:spacing w:line="240" w:lineRule="auto"/>
              <w:contextualSpacing/>
              <w:rPr>
                <w:rFonts w:cs="Times New Roman"/>
                <w:szCs w:val="24"/>
              </w:rPr>
            </w:pPr>
            <w:r w:rsidRPr="007E0FEA">
              <w:t xml:space="preserve">Belt use rate (i.e., increased) due to an indefinite warning for </w:t>
            </w:r>
            <w:r w:rsidR="00004B1C">
              <w:t>p</w:t>
            </w:r>
            <w:r w:rsidRPr="007E0FEA">
              <w:t>art time belt users</w:t>
            </w:r>
          </w:p>
        </w:tc>
        <w:tc>
          <w:tcPr>
            <w:tcW w:w="2096" w:type="dxa"/>
          </w:tcPr>
          <w:p w14:paraId="71B75959" w14:textId="77777777" w:rsidR="00FE25C0" w:rsidRPr="00E66816" w:rsidRDefault="000F5B51" w:rsidP="00FE25C0">
            <w:pPr>
              <w:spacing w:line="240" w:lineRule="auto"/>
              <w:contextualSpacing/>
              <w:jc w:val="center"/>
              <w:rPr>
                <w:rFonts w:cs="Times New Roman"/>
                <w:szCs w:val="24"/>
              </w:rPr>
            </w:pPr>
            <w:r w:rsidRPr="00A819A9">
              <w:t>0.477089879</w:t>
            </w:r>
          </w:p>
        </w:tc>
      </w:tr>
      <w:tr w:rsidR="00A15C2C" w14:paraId="60EB18E6" w14:textId="77777777" w:rsidTr="00A807D0">
        <w:trPr>
          <w:jc w:val="center"/>
        </w:trPr>
        <w:tc>
          <w:tcPr>
            <w:tcW w:w="8344" w:type="dxa"/>
          </w:tcPr>
          <w:p w14:paraId="64CAEA6F" w14:textId="77777777" w:rsidR="00FE25C0" w:rsidRPr="00E66816" w:rsidRDefault="000F5B51" w:rsidP="00FE25C0">
            <w:pPr>
              <w:spacing w:line="240" w:lineRule="auto"/>
              <w:contextualSpacing/>
              <w:rPr>
                <w:rFonts w:cs="Times New Roman"/>
                <w:szCs w:val="24"/>
              </w:rPr>
            </w:pPr>
            <w:r w:rsidRPr="007E0FEA">
              <w:t>Driver overall belt use rate with the indefinite SBWS alert, observed</w:t>
            </w:r>
          </w:p>
        </w:tc>
        <w:tc>
          <w:tcPr>
            <w:tcW w:w="2096" w:type="dxa"/>
          </w:tcPr>
          <w:p w14:paraId="57909684" w14:textId="77777777" w:rsidR="00FE25C0" w:rsidRPr="00E66816" w:rsidRDefault="000F5B51" w:rsidP="00FE25C0">
            <w:pPr>
              <w:spacing w:line="240" w:lineRule="auto"/>
              <w:contextualSpacing/>
              <w:jc w:val="center"/>
              <w:rPr>
                <w:rFonts w:cs="Times New Roman"/>
                <w:szCs w:val="24"/>
              </w:rPr>
            </w:pPr>
            <w:r w:rsidRPr="00A819A9">
              <w:t>0.918609394</w:t>
            </w:r>
          </w:p>
        </w:tc>
      </w:tr>
      <w:tr w:rsidR="00A15C2C" w14:paraId="747F9FE8" w14:textId="77777777" w:rsidTr="00A807D0">
        <w:trPr>
          <w:jc w:val="center"/>
        </w:trPr>
        <w:tc>
          <w:tcPr>
            <w:tcW w:w="8344" w:type="dxa"/>
          </w:tcPr>
          <w:p w14:paraId="36270C51" w14:textId="77777777" w:rsidR="00FE25C0" w:rsidRPr="00E66816" w:rsidRDefault="000F5B51" w:rsidP="00FE25C0">
            <w:pPr>
              <w:spacing w:line="240" w:lineRule="auto"/>
              <w:contextualSpacing/>
              <w:rPr>
                <w:rFonts w:cs="Times New Roman"/>
                <w:szCs w:val="24"/>
              </w:rPr>
            </w:pPr>
            <w:r w:rsidRPr="007E0FEA">
              <w:t>Overall increase in belt use rate, observed</w:t>
            </w:r>
          </w:p>
        </w:tc>
        <w:tc>
          <w:tcPr>
            <w:tcW w:w="2096" w:type="dxa"/>
          </w:tcPr>
          <w:p w14:paraId="13105453" w14:textId="77777777" w:rsidR="00FE25C0" w:rsidRPr="00E66816" w:rsidRDefault="000F5B51" w:rsidP="00FE25C0">
            <w:pPr>
              <w:spacing w:line="240" w:lineRule="auto"/>
              <w:contextualSpacing/>
              <w:jc w:val="center"/>
              <w:rPr>
                <w:rFonts w:cs="Times New Roman"/>
                <w:szCs w:val="24"/>
              </w:rPr>
            </w:pPr>
            <w:r w:rsidRPr="00A819A9">
              <w:t>0.003171653</w:t>
            </w:r>
          </w:p>
        </w:tc>
      </w:tr>
      <w:tr w:rsidR="00A15C2C" w14:paraId="39A2E4BB" w14:textId="77777777" w:rsidTr="00A807D0">
        <w:trPr>
          <w:jc w:val="center"/>
        </w:trPr>
        <w:tc>
          <w:tcPr>
            <w:tcW w:w="8344" w:type="dxa"/>
          </w:tcPr>
          <w:p w14:paraId="5F268A7B" w14:textId="4423ED17" w:rsidR="00FE25C0" w:rsidRPr="00E66816" w:rsidRDefault="000F5B51" w:rsidP="00FE25C0">
            <w:pPr>
              <w:spacing w:line="240" w:lineRule="auto"/>
              <w:contextualSpacing/>
              <w:rPr>
                <w:rFonts w:cs="Times New Roman"/>
                <w:szCs w:val="24"/>
              </w:rPr>
            </w:pPr>
            <w:r w:rsidRPr="007E0FEA">
              <w:t xml:space="preserve">Overall increase in belt use rate, in </w:t>
            </w:r>
            <w:r w:rsidR="005F0E59" w:rsidRPr="005F0E59">
              <w:t xml:space="preserve">potentially </w:t>
            </w:r>
            <w:r w:rsidRPr="007E0FEA">
              <w:t>fatal crashes, using a ratio, actual</w:t>
            </w:r>
          </w:p>
        </w:tc>
        <w:tc>
          <w:tcPr>
            <w:tcW w:w="2096" w:type="dxa"/>
          </w:tcPr>
          <w:p w14:paraId="649B6C9E" w14:textId="77777777" w:rsidR="00FE25C0" w:rsidRPr="00E66816" w:rsidRDefault="000F5B51" w:rsidP="00FE25C0">
            <w:pPr>
              <w:spacing w:line="240" w:lineRule="auto"/>
              <w:contextualSpacing/>
              <w:jc w:val="center"/>
              <w:rPr>
                <w:rFonts w:cs="Times New Roman"/>
                <w:szCs w:val="24"/>
              </w:rPr>
            </w:pPr>
            <w:r w:rsidRPr="00A819A9">
              <w:t>0.002745338</w:t>
            </w:r>
          </w:p>
        </w:tc>
      </w:tr>
      <w:tr w:rsidR="00A15C2C" w14:paraId="2869BE6E" w14:textId="77777777" w:rsidTr="00A807D0">
        <w:trPr>
          <w:jc w:val="center"/>
        </w:trPr>
        <w:tc>
          <w:tcPr>
            <w:tcW w:w="8344" w:type="dxa"/>
          </w:tcPr>
          <w:p w14:paraId="392DB306" w14:textId="326C4428" w:rsidR="00FE25C0" w:rsidRPr="00E66816" w:rsidRDefault="000F5B51" w:rsidP="00FE25C0">
            <w:pPr>
              <w:spacing w:line="240" w:lineRule="auto"/>
              <w:contextualSpacing/>
              <w:rPr>
                <w:rFonts w:cs="Times New Roman"/>
                <w:szCs w:val="24"/>
              </w:rPr>
            </w:pPr>
            <w:r w:rsidRPr="007E0FEA">
              <w:t xml:space="preserve">Existing belt use rate in </w:t>
            </w:r>
            <w:r w:rsidR="00915504" w:rsidRPr="00915504">
              <w:t xml:space="preserve">potentially </w:t>
            </w:r>
            <w:r w:rsidRPr="007E0FEA">
              <w:t>fatal crashes</w:t>
            </w:r>
          </w:p>
        </w:tc>
        <w:tc>
          <w:tcPr>
            <w:tcW w:w="2096" w:type="dxa"/>
          </w:tcPr>
          <w:p w14:paraId="2939C5E6" w14:textId="77777777" w:rsidR="00FE25C0" w:rsidRPr="00E66816" w:rsidRDefault="000F5B51" w:rsidP="00FE25C0">
            <w:pPr>
              <w:spacing w:line="240" w:lineRule="auto"/>
              <w:contextualSpacing/>
              <w:jc w:val="center"/>
              <w:rPr>
                <w:rFonts w:cs="Times New Roman"/>
                <w:szCs w:val="24"/>
              </w:rPr>
            </w:pPr>
            <w:r w:rsidRPr="00A819A9">
              <w:t>0.796472193</w:t>
            </w:r>
          </w:p>
        </w:tc>
      </w:tr>
      <w:tr w:rsidR="00A15C2C" w14:paraId="7F462E51" w14:textId="77777777" w:rsidTr="00A807D0">
        <w:trPr>
          <w:jc w:val="center"/>
        </w:trPr>
        <w:tc>
          <w:tcPr>
            <w:tcW w:w="8344" w:type="dxa"/>
          </w:tcPr>
          <w:p w14:paraId="7BBB4C70" w14:textId="6E483F29" w:rsidR="00FE25C0" w:rsidRPr="00E66816" w:rsidRDefault="000F5B51" w:rsidP="00FE25C0">
            <w:pPr>
              <w:spacing w:line="240" w:lineRule="auto"/>
              <w:contextualSpacing/>
              <w:rPr>
                <w:rFonts w:cs="Times New Roman"/>
                <w:szCs w:val="24"/>
              </w:rPr>
            </w:pPr>
            <w:r w:rsidRPr="007E0FEA">
              <w:t xml:space="preserve">Overall belt use rate, in </w:t>
            </w:r>
            <w:r w:rsidR="00915504" w:rsidRPr="00915504">
              <w:t xml:space="preserve">potentially </w:t>
            </w:r>
            <w:r w:rsidRPr="007E0FEA">
              <w:t>fatal crashes, estimated</w:t>
            </w:r>
          </w:p>
        </w:tc>
        <w:tc>
          <w:tcPr>
            <w:tcW w:w="2096" w:type="dxa"/>
          </w:tcPr>
          <w:p w14:paraId="5B7053A8" w14:textId="77777777" w:rsidR="00FE25C0" w:rsidRPr="00E66816" w:rsidRDefault="000F5B51" w:rsidP="00FE25C0">
            <w:pPr>
              <w:spacing w:line="240" w:lineRule="auto"/>
              <w:contextualSpacing/>
              <w:jc w:val="center"/>
              <w:rPr>
                <w:rFonts w:cs="Times New Roman"/>
                <w:szCs w:val="24"/>
              </w:rPr>
            </w:pPr>
            <w:r w:rsidRPr="00A819A9">
              <w:t>0.799217531</w:t>
            </w:r>
          </w:p>
        </w:tc>
      </w:tr>
      <w:tr w:rsidR="00A15C2C" w14:paraId="7CF93A2B" w14:textId="77777777" w:rsidTr="00A807D0">
        <w:trPr>
          <w:jc w:val="center"/>
        </w:trPr>
        <w:tc>
          <w:tcPr>
            <w:tcW w:w="8344" w:type="dxa"/>
          </w:tcPr>
          <w:p w14:paraId="426BD4E8" w14:textId="25C2FCF6" w:rsidR="00FE25C0" w:rsidRPr="00FE25C0" w:rsidRDefault="000F5B51" w:rsidP="00FE25C0">
            <w:pPr>
              <w:spacing w:line="240" w:lineRule="auto"/>
              <w:contextualSpacing/>
              <w:rPr>
                <w:rFonts w:cs="Times New Roman"/>
                <w:b/>
                <w:szCs w:val="24"/>
              </w:rPr>
            </w:pPr>
            <w:r w:rsidRPr="00CC4686">
              <w:rPr>
                <w:b/>
                <w:bCs/>
              </w:rPr>
              <w:t xml:space="preserve">Increase in belt use, in </w:t>
            </w:r>
            <w:r w:rsidR="00915504" w:rsidRPr="00915504">
              <w:rPr>
                <w:b/>
                <w:bCs/>
              </w:rPr>
              <w:t xml:space="preserve">potentially </w:t>
            </w:r>
            <w:r w:rsidRPr="00CC4686">
              <w:rPr>
                <w:b/>
                <w:bCs/>
              </w:rPr>
              <w:t>fatal crashes, ratio</w:t>
            </w:r>
          </w:p>
        </w:tc>
        <w:tc>
          <w:tcPr>
            <w:tcW w:w="2096" w:type="dxa"/>
          </w:tcPr>
          <w:p w14:paraId="3DD3AF4F" w14:textId="77777777" w:rsidR="00FE25C0" w:rsidRPr="00FE25C0" w:rsidRDefault="000F5B51" w:rsidP="00FE25C0">
            <w:pPr>
              <w:spacing w:line="240" w:lineRule="auto"/>
              <w:contextualSpacing/>
              <w:jc w:val="center"/>
              <w:rPr>
                <w:rFonts w:cs="Times New Roman"/>
                <w:b/>
                <w:szCs w:val="24"/>
              </w:rPr>
            </w:pPr>
            <w:r w:rsidRPr="00CC4686">
              <w:rPr>
                <w:b/>
                <w:bCs/>
              </w:rPr>
              <w:t>1.003446872</w:t>
            </w:r>
          </w:p>
        </w:tc>
      </w:tr>
    </w:tbl>
    <w:p w14:paraId="003986FA" w14:textId="77777777" w:rsidR="00A97406" w:rsidRPr="003C0E80" w:rsidRDefault="00A97406" w:rsidP="003C0E80">
      <w:pPr>
        <w:pStyle w:val="NoSpaceTimes"/>
      </w:pPr>
    </w:p>
    <w:p w14:paraId="39FBC1F8" w14:textId="0A32EF88" w:rsidR="0070401B" w:rsidRDefault="000F5B51" w:rsidP="0070401B">
      <w:pPr>
        <w:pStyle w:val="Caption"/>
        <w:rPr>
          <w:rFonts w:cs="Times New Roman"/>
          <w:szCs w:val="24"/>
        </w:rPr>
      </w:pPr>
      <w:r>
        <w:t xml:space="preserve">Table </w:t>
      </w:r>
      <w:r w:rsidR="00115BAB">
        <w:fldChar w:fldCharType="begin"/>
      </w:r>
      <w:r>
        <w:instrText xml:space="preserve"> SEQ Table \* ARABIC </w:instrText>
      </w:r>
      <w:r w:rsidR="00115BAB">
        <w:fldChar w:fldCharType="separate"/>
      </w:r>
      <w:r w:rsidR="00A65CB3">
        <w:rPr>
          <w:noProof/>
        </w:rPr>
        <w:t>138</w:t>
      </w:r>
      <w:r w:rsidR="00115BAB">
        <w:rPr>
          <w:noProof/>
        </w:rPr>
        <w:fldChar w:fldCharType="end"/>
      </w:r>
      <w:r>
        <w:t>: Summary of Increase in Seat Belt Use for Right Front Seat</w:t>
      </w:r>
      <w:r w:rsidR="00B54B89">
        <w:t xml:space="preserve"> Occupants</w:t>
      </w:r>
      <w:r>
        <w:t xml:space="preserve"> 90-Second Warning to Indefinite Warning</w:t>
      </w:r>
    </w:p>
    <w:tbl>
      <w:tblPr>
        <w:tblStyle w:val="TableGrid"/>
        <w:tblW w:w="10440" w:type="dxa"/>
        <w:jc w:val="center"/>
        <w:tblLook w:val="04A0" w:firstRow="1" w:lastRow="0" w:firstColumn="1" w:lastColumn="0" w:noHBand="0" w:noVBand="1"/>
      </w:tblPr>
      <w:tblGrid>
        <w:gridCol w:w="8344"/>
        <w:gridCol w:w="2096"/>
      </w:tblGrid>
      <w:tr w:rsidR="00A15C2C" w14:paraId="3B0A5FD5" w14:textId="77777777" w:rsidTr="00CC4686">
        <w:trPr>
          <w:trHeight w:val="422"/>
          <w:jc w:val="center"/>
        </w:trPr>
        <w:tc>
          <w:tcPr>
            <w:tcW w:w="8344" w:type="dxa"/>
            <w:shd w:val="clear" w:color="auto" w:fill="D9D9D9" w:themeFill="background1" w:themeFillShade="D9"/>
            <w:vAlign w:val="center"/>
          </w:tcPr>
          <w:p w14:paraId="0A4D13D3" w14:textId="77777777" w:rsidR="0070401B" w:rsidRPr="006A00B6" w:rsidRDefault="000F5B51" w:rsidP="00A807D0">
            <w:pPr>
              <w:spacing w:line="240" w:lineRule="auto"/>
              <w:contextualSpacing/>
              <w:rPr>
                <w:b/>
                <w:bCs/>
                <w:szCs w:val="24"/>
              </w:rPr>
            </w:pPr>
            <w:r w:rsidRPr="006A00B6">
              <w:rPr>
                <w:b/>
                <w:bCs/>
                <w:szCs w:val="24"/>
              </w:rPr>
              <w:t>Belt user and related items</w:t>
            </w:r>
          </w:p>
        </w:tc>
        <w:tc>
          <w:tcPr>
            <w:tcW w:w="2096" w:type="dxa"/>
            <w:shd w:val="clear" w:color="auto" w:fill="D9D9D9" w:themeFill="background1" w:themeFillShade="D9"/>
            <w:vAlign w:val="center"/>
          </w:tcPr>
          <w:p w14:paraId="49FE4784" w14:textId="77777777" w:rsidR="0070401B" w:rsidRPr="006A00B6" w:rsidRDefault="000F5B51" w:rsidP="00A807D0">
            <w:pPr>
              <w:spacing w:line="240" w:lineRule="auto"/>
              <w:contextualSpacing/>
              <w:jc w:val="center"/>
              <w:rPr>
                <w:b/>
                <w:bCs/>
                <w:szCs w:val="24"/>
              </w:rPr>
            </w:pPr>
            <w:r w:rsidRPr="006A00B6">
              <w:rPr>
                <w:b/>
                <w:bCs/>
                <w:szCs w:val="24"/>
              </w:rPr>
              <w:t>Rate</w:t>
            </w:r>
          </w:p>
        </w:tc>
      </w:tr>
      <w:tr w:rsidR="00A15C2C" w14:paraId="171EC07D" w14:textId="77777777" w:rsidTr="00CC4686">
        <w:trPr>
          <w:jc w:val="center"/>
        </w:trPr>
        <w:tc>
          <w:tcPr>
            <w:tcW w:w="8344" w:type="dxa"/>
          </w:tcPr>
          <w:p w14:paraId="180B2FCB" w14:textId="77777777" w:rsidR="009D65AF" w:rsidRPr="00E66816" w:rsidRDefault="000F5B51" w:rsidP="009D65AF">
            <w:pPr>
              <w:spacing w:line="240" w:lineRule="auto"/>
              <w:contextualSpacing/>
              <w:rPr>
                <w:rFonts w:cs="Times New Roman"/>
                <w:szCs w:val="24"/>
              </w:rPr>
            </w:pPr>
            <w:r w:rsidRPr="001946FB">
              <w:t>The reported "sometimes using seat belts", calculated</w:t>
            </w:r>
          </w:p>
        </w:tc>
        <w:tc>
          <w:tcPr>
            <w:tcW w:w="2096" w:type="dxa"/>
            <w:vAlign w:val="bottom"/>
          </w:tcPr>
          <w:p w14:paraId="0035482E" w14:textId="77777777" w:rsidR="009D65AF" w:rsidRPr="009D65AF" w:rsidRDefault="000F5B51" w:rsidP="009D65AF">
            <w:pPr>
              <w:spacing w:line="240" w:lineRule="auto"/>
              <w:contextualSpacing/>
              <w:jc w:val="center"/>
              <w:rPr>
                <w:rFonts w:cs="Times New Roman"/>
                <w:szCs w:val="24"/>
              </w:rPr>
            </w:pPr>
            <w:r w:rsidRPr="00CC4686">
              <w:rPr>
                <w:rFonts w:cs="Times New Roman"/>
                <w:color w:val="000000"/>
                <w:sz w:val="22"/>
              </w:rPr>
              <w:t>0.055852</w:t>
            </w:r>
          </w:p>
        </w:tc>
      </w:tr>
      <w:tr w:rsidR="00A15C2C" w14:paraId="06D4EC8E" w14:textId="77777777" w:rsidTr="00CC4686">
        <w:trPr>
          <w:jc w:val="center"/>
        </w:trPr>
        <w:tc>
          <w:tcPr>
            <w:tcW w:w="8344" w:type="dxa"/>
          </w:tcPr>
          <w:p w14:paraId="11CB4299" w14:textId="77777777" w:rsidR="009D65AF" w:rsidRPr="00E66816" w:rsidRDefault="000F5B51" w:rsidP="009D65AF">
            <w:pPr>
              <w:spacing w:line="240" w:lineRule="auto"/>
              <w:contextualSpacing/>
              <w:rPr>
                <w:rFonts w:cs="Times New Roman"/>
                <w:szCs w:val="24"/>
              </w:rPr>
            </w:pPr>
            <w:r w:rsidRPr="001946FB">
              <w:t>The reported "seldom or never using seat belts when driving or riding in a car", calculated</w:t>
            </w:r>
          </w:p>
        </w:tc>
        <w:tc>
          <w:tcPr>
            <w:tcW w:w="2096" w:type="dxa"/>
            <w:vAlign w:val="bottom"/>
          </w:tcPr>
          <w:p w14:paraId="3DC6987E" w14:textId="77777777" w:rsidR="009D65AF" w:rsidRPr="009D65AF" w:rsidRDefault="000F5B51" w:rsidP="009D65AF">
            <w:pPr>
              <w:spacing w:line="240" w:lineRule="auto"/>
              <w:contextualSpacing/>
              <w:jc w:val="center"/>
              <w:rPr>
                <w:rFonts w:cs="Times New Roman"/>
                <w:szCs w:val="24"/>
              </w:rPr>
            </w:pPr>
            <w:r w:rsidRPr="00CC4686">
              <w:rPr>
                <w:rFonts w:cs="Times New Roman"/>
                <w:color w:val="000000"/>
                <w:sz w:val="22"/>
              </w:rPr>
              <w:t>0.04371</w:t>
            </w:r>
          </w:p>
        </w:tc>
      </w:tr>
      <w:tr w:rsidR="00A15C2C" w14:paraId="41C8B907" w14:textId="77777777" w:rsidTr="00CC4686">
        <w:trPr>
          <w:jc w:val="center"/>
        </w:trPr>
        <w:tc>
          <w:tcPr>
            <w:tcW w:w="8344" w:type="dxa"/>
          </w:tcPr>
          <w:p w14:paraId="3183B3EA" w14:textId="77777777" w:rsidR="009D65AF" w:rsidRPr="00E66816" w:rsidRDefault="000F5B51" w:rsidP="009D65AF">
            <w:pPr>
              <w:spacing w:line="240" w:lineRule="auto"/>
              <w:contextualSpacing/>
              <w:rPr>
                <w:rFonts w:cs="Times New Roman"/>
                <w:szCs w:val="24"/>
              </w:rPr>
            </w:pPr>
            <w:r w:rsidRPr="001946FB">
              <w:t>Percentage of Front-Passengers who always use seat belts, calculated</w:t>
            </w:r>
          </w:p>
        </w:tc>
        <w:tc>
          <w:tcPr>
            <w:tcW w:w="2096" w:type="dxa"/>
            <w:vAlign w:val="bottom"/>
          </w:tcPr>
          <w:p w14:paraId="2499F7EB" w14:textId="77777777" w:rsidR="009D65AF" w:rsidRPr="009D65AF" w:rsidRDefault="000F5B51" w:rsidP="009D65AF">
            <w:pPr>
              <w:spacing w:line="240" w:lineRule="auto"/>
              <w:contextualSpacing/>
              <w:jc w:val="center"/>
              <w:rPr>
                <w:rFonts w:cs="Times New Roman"/>
                <w:szCs w:val="24"/>
              </w:rPr>
            </w:pPr>
            <w:r w:rsidRPr="00CC4686">
              <w:rPr>
                <w:rFonts w:cs="Times New Roman"/>
                <w:color w:val="000000"/>
                <w:sz w:val="22"/>
              </w:rPr>
              <w:t>0.900438</w:t>
            </w:r>
          </w:p>
        </w:tc>
      </w:tr>
      <w:tr w:rsidR="00A15C2C" w14:paraId="0AD534C0" w14:textId="77777777" w:rsidTr="00CC4686">
        <w:trPr>
          <w:jc w:val="center"/>
        </w:trPr>
        <w:tc>
          <w:tcPr>
            <w:tcW w:w="8344" w:type="dxa"/>
          </w:tcPr>
          <w:p w14:paraId="4C6F2665" w14:textId="77777777" w:rsidR="009D65AF" w:rsidRPr="00E66816" w:rsidRDefault="000F5B51" w:rsidP="009D65AF">
            <w:pPr>
              <w:spacing w:line="240" w:lineRule="auto"/>
              <w:contextualSpacing/>
              <w:rPr>
                <w:rFonts w:cs="Times New Roman"/>
                <w:szCs w:val="24"/>
              </w:rPr>
            </w:pPr>
            <w:r w:rsidRPr="001946FB">
              <w:t>Driver overall belt use rate without an indefinite SBWS alert, observed</w:t>
            </w:r>
          </w:p>
        </w:tc>
        <w:tc>
          <w:tcPr>
            <w:tcW w:w="2096" w:type="dxa"/>
            <w:vAlign w:val="bottom"/>
          </w:tcPr>
          <w:p w14:paraId="5F20DD43" w14:textId="77777777" w:rsidR="009D65AF" w:rsidRPr="009D65AF" w:rsidRDefault="000F5B51" w:rsidP="009D65AF">
            <w:pPr>
              <w:spacing w:line="240" w:lineRule="auto"/>
              <w:contextualSpacing/>
              <w:jc w:val="center"/>
              <w:rPr>
                <w:rFonts w:cs="Times New Roman"/>
                <w:szCs w:val="24"/>
              </w:rPr>
            </w:pPr>
            <w:r w:rsidRPr="00CC4686">
              <w:rPr>
                <w:rFonts w:cs="Times New Roman"/>
                <w:color w:val="000000"/>
                <w:sz w:val="22"/>
              </w:rPr>
              <w:t>0.917892</w:t>
            </w:r>
          </w:p>
        </w:tc>
      </w:tr>
      <w:tr w:rsidR="00A15C2C" w14:paraId="49A8B1FA" w14:textId="77777777" w:rsidTr="00CC4686">
        <w:trPr>
          <w:jc w:val="center"/>
        </w:trPr>
        <w:tc>
          <w:tcPr>
            <w:tcW w:w="8344" w:type="dxa"/>
          </w:tcPr>
          <w:p w14:paraId="30556252" w14:textId="323324F4" w:rsidR="009D65AF" w:rsidRPr="00E66816" w:rsidRDefault="000F5B51" w:rsidP="009D65AF">
            <w:pPr>
              <w:spacing w:line="240" w:lineRule="auto"/>
              <w:contextualSpacing/>
              <w:rPr>
                <w:rFonts w:cs="Times New Roman"/>
                <w:szCs w:val="24"/>
              </w:rPr>
            </w:pPr>
            <w:r w:rsidRPr="001946FB">
              <w:t xml:space="preserve">Probability of using belt use for </w:t>
            </w:r>
            <w:r w:rsidR="00004B1C">
              <w:t>p</w:t>
            </w:r>
            <w:r w:rsidRPr="001946FB">
              <w:t xml:space="preserve">art time seat belt user while in a vehicle, calculated </w:t>
            </w:r>
          </w:p>
        </w:tc>
        <w:tc>
          <w:tcPr>
            <w:tcW w:w="2096" w:type="dxa"/>
            <w:vAlign w:val="bottom"/>
          </w:tcPr>
          <w:p w14:paraId="56A9C2F2" w14:textId="77777777" w:rsidR="009D65AF" w:rsidRPr="009D65AF" w:rsidRDefault="000F5B51" w:rsidP="009D65AF">
            <w:pPr>
              <w:spacing w:line="240" w:lineRule="auto"/>
              <w:contextualSpacing/>
              <w:jc w:val="center"/>
              <w:rPr>
                <w:rFonts w:cs="Times New Roman"/>
                <w:szCs w:val="24"/>
              </w:rPr>
            </w:pPr>
            <w:r w:rsidRPr="00CC4686">
              <w:rPr>
                <w:rFonts w:cs="Times New Roman"/>
                <w:color w:val="000000"/>
                <w:sz w:val="22"/>
              </w:rPr>
              <w:t>0.312511</w:t>
            </w:r>
          </w:p>
        </w:tc>
      </w:tr>
      <w:tr w:rsidR="00A15C2C" w14:paraId="1F6FA157" w14:textId="77777777" w:rsidTr="00CC4686">
        <w:trPr>
          <w:jc w:val="center"/>
        </w:trPr>
        <w:tc>
          <w:tcPr>
            <w:tcW w:w="8344" w:type="dxa"/>
          </w:tcPr>
          <w:p w14:paraId="67C0AB85" w14:textId="77777777" w:rsidR="009D65AF" w:rsidRPr="00E66816" w:rsidRDefault="000F5B51" w:rsidP="009D65AF">
            <w:pPr>
              <w:spacing w:line="240" w:lineRule="auto"/>
              <w:contextualSpacing/>
              <w:rPr>
                <w:rFonts w:cs="Times New Roman"/>
                <w:szCs w:val="24"/>
              </w:rPr>
            </w:pPr>
            <w:r w:rsidRPr="001946FB">
              <w:t>Increase in belt use due to an indefinite warning only for part time belt users, based on the IIHS report</w:t>
            </w:r>
          </w:p>
        </w:tc>
        <w:tc>
          <w:tcPr>
            <w:tcW w:w="2096" w:type="dxa"/>
            <w:vAlign w:val="bottom"/>
          </w:tcPr>
          <w:p w14:paraId="6580F624" w14:textId="77777777" w:rsidR="009D65AF" w:rsidRPr="009D65AF" w:rsidRDefault="000F5B51" w:rsidP="009D65AF">
            <w:pPr>
              <w:spacing w:line="240" w:lineRule="auto"/>
              <w:contextualSpacing/>
              <w:jc w:val="center"/>
              <w:rPr>
                <w:rFonts w:cs="Times New Roman"/>
                <w:szCs w:val="24"/>
              </w:rPr>
            </w:pPr>
            <w:r w:rsidRPr="00CC4686">
              <w:rPr>
                <w:rFonts w:cs="Times New Roman"/>
                <w:color w:val="000000"/>
                <w:sz w:val="22"/>
              </w:rPr>
              <w:t>0.04</w:t>
            </w:r>
          </w:p>
        </w:tc>
      </w:tr>
      <w:tr w:rsidR="00A15C2C" w14:paraId="423A6027" w14:textId="77777777" w:rsidTr="00CC4686">
        <w:trPr>
          <w:jc w:val="center"/>
        </w:trPr>
        <w:tc>
          <w:tcPr>
            <w:tcW w:w="8344" w:type="dxa"/>
          </w:tcPr>
          <w:p w14:paraId="188D4D6A" w14:textId="56680A70" w:rsidR="009D65AF" w:rsidRPr="00E66816" w:rsidRDefault="000F5B51" w:rsidP="009D65AF">
            <w:pPr>
              <w:spacing w:line="240" w:lineRule="auto"/>
              <w:contextualSpacing/>
              <w:rPr>
                <w:rFonts w:cs="Times New Roman"/>
                <w:szCs w:val="24"/>
              </w:rPr>
            </w:pPr>
            <w:r w:rsidRPr="001946FB">
              <w:t xml:space="preserve">Increase in belt use due to an indefinite warning for </w:t>
            </w:r>
            <w:r w:rsidR="00004B1C">
              <w:t>n</w:t>
            </w:r>
            <w:r w:rsidRPr="001946FB">
              <w:t xml:space="preserve">ever </w:t>
            </w:r>
            <w:r w:rsidR="00004B1C">
              <w:t>u</w:t>
            </w:r>
            <w:r w:rsidRPr="001946FB">
              <w:t>se belt users, assumed</w:t>
            </w:r>
          </w:p>
        </w:tc>
        <w:tc>
          <w:tcPr>
            <w:tcW w:w="2096" w:type="dxa"/>
            <w:vAlign w:val="bottom"/>
          </w:tcPr>
          <w:p w14:paraId="7FDFA7EE" w14:textId="77777777" w:rsidR="009D65AF" w:rsidRPr="009D65AF" w:rsidRDefault="000F5B51" w:rsidP="009D65AF">
            <w:pPr>
              <w:spacing w:line="240" w:lineRule="auto"/>
              <w:contextualSpacing/>
              <w:jc w:val="center"/>
              <w:rPr>
                <w:rFonts w:cs="Times New Roman"/>
                <w:szCs w:val="24"/>
              </w:rPr>
            </w:pPr>
            <w:r w:rsidRPr="00CC4686">
              <w:rPr>
                <w:rFonts w:cs="Times New Roman"/>
                <w:color w:val="000000"/>
                <w:sz w:val="22"/>
              </w:rPr>
              <w:t>0.04</w:t>
            </w:r>
          </w:p>
        </w:tc>
      </w:tr>
      <w:tr w:rsidR="00A15C2C" w14:paraId="035DFE34" w14:textId="77777777" w:rsidTr="00CC4686">
        <w:trPr>
          <w:jc w:val="center"/>
        </w:trPr>
        <w:tc>
          <w:tcPr>
            <w:tcW w:w="8344" w:type="dxa"/>
          </w:tcPr>
          <w:p w14:paraId="54879A66" w14:textId="70654306" w:rsidR="009D65AF" w:rsidRPr="00E66816" w:rsidRDefault="000F5B51" w:rsidP="009D65AF">
            <w:pPr>
              <w:spacing w:line="240" w:lineRule="auto"/>
              <w:contextualSpacing/>
              <w:rPr>
                <w:rFonts w:cs="Times New Roman"/>
                <w:szCs w:val="24"/>
              </w:rPr>
            </w:pPr>
            <w:r w:rsidRPr="001946FB">
              <w:t xml:space="preserve">Percentage of the "seldom or </w:t>
            </w:r>
            <w:r w:rsidR="00004B1C">
              <w:t>n</w:t>
            </w:r>
            <w:r w:rsidRPr="001946FB">
              <w:t>ever using belts" group, with an indefinite warning</w:t>
            </w:r>
          </w:p>
        </w:tc>
        <w:tc>
          <w:tcPr>
            <w:tcW w:w="2096" w:type="dxa"/>
            <w:vAlign w:val="bottom"/>
          </w:tcPr>
          <w:p w14:paraId="713B19E9" w14:textId="77777777" w:rsidR="009D65AF" w:rsidRPr="009D65AF" w:rsidRDefault="000F5B51" w:rsidP="009D65AF">
            <w:pPr>
              <w:spacing w:line="240" w:lineRule="auto"/>
              <w:contextualSpacing/>
              <w:jc w:val="center"/>
              <w:rPr>
                <w:rFonts w:cs="Times New Roman"/>
                <w:szCs w:val="24"/>
              </w:rPr>
            </w:pPr>
            <w:r w:rsidRPr="00CC4686">
              <w:rPr>
                <w:rFonts w:cs="Times New Roman"/>
                <w:color w:val="000000"/>
                <w:sz w:val="22"/>
              </w:rPr>
              <w:t>0.041962</w:t>
            </w:r>
          </w:p>
        </w:tc>
      </w:tr>
      <w:tr w:rsidR="00A15C2C" w14:paraId="08774846" w14:textId="77777777" w:rsidTr="00CC4686">
        <w:trPr>
          <w:jc w:val="center"/>
        </w:trPr>
        <w:tc>
          <w:tcPr>
            <w:tcW w:w="8344" w:type="dxa"/>
          </w:tcPr>
          <w:p w14:paraId="47EDBC6C" w14:textId="7F27C034" w:rsidR="009D65AF" w:rsidRPr="00E66816" w:rsidRDefault="000F5B51" w:rsidP="009D65AF">
            <w:pPr>
              <w:spacing w:line="240" w:lineRule="auto"/>
              <w:contextualSpacing/>
              <w:rPr>
                <w:rFonts w:cs="Times New Roman"/>
                <w:szCs w:val="24"/>
              </w:rPr>
            </w:pPr>
            <w:r w:rsidRPr="001946FB">
              <w:t xml:space="preserve">Percentage of </w:t>
            </w:r>
            <w:r w:rsidR="00004B1C">
              <w:t>f</w:t>
            </w:r>
            <w:r w:rsidRPr="001946FB">
              <w:t>ront-</w:t>
            </w:r>
            <w:r w:rsidR="00004B1C">
              <w:t>p</w:t>
            </w:r>
            <w:r w:rsidRPr="001946FB">
              <w:t>assengers who always use seat belts with an indefinite warning</w:t>
            </w:r>
          </w:p>
        </w:tc>
        <w:tc>
          <w:tcPr>
            <w:tcW w:w="2096" w:type="dxa"/>
            <w:vAlign w:val="bottom"/>
          </w:tcPr>
          <w:p w14:paraId="06626988" w14:textId="77777777" w:rsidR="009D65AF" w:rsidRPr="009D65AF" w:rsidRDefault="000F5B51" w:rsidP="009D65AF">
            <w:pPr>
              <w:spacing w:line="240" w:lineRule="auto"/>
              <w:contextualSpacing/>
              <w:jc w:val="center"/>
              <w:rPr>
                <w:rFonts w:cs="Times New Roman"/>
                <w:szCs w:val="24"/>
              </w:rPr>
            </w:pPr>
            <w:r w:rsidRPr="00CC4686">
              <w:rPr>
                <w:rFonts w:cs="Times New Roman"/>
                <w:color w:val="000000"/>
                <w:sz w:val="22"/>
              </w:rPr>
              <w:t>0.902186</w:t>
            </w:r>
          </w:p>
        </w:tc>
      </w:tr>
      <w:tr w:rsidR="00A15C2C" w14:paraId="6C3C13F1" w14:textId="77777777" w:rsidTr="00CC4686">
        <w:trPr>
          <w:jc w:val="center"/>
        </w:trPr>
        <w:tc>
          <w:tcPr>
            <w:tcW w:w="8344" w:type="dxa"/>
          </w:tcPr>
          <w:p w14:paraId="631C4BF1" w14:textId="33058600" w:rsidR="009D65AF" w:rsidRPr="00E66816" w:rsidRDefault="000F5B51" w:rsidP="009D65AF">
            <w:pPr>
              <w:spacing w:line="240" w:lineRule="auto"/>
              <w:contextualSpacing/>
              <w:rPr>
                <w:rFonts w:cs="Times New Roman"/>
                <w:szCs w:val="24"/>
              </w:rPr>
            </w:pPr>
            <w:r w:rsidRPr="001946FB">
              <w:t xml:space="preserve">Belt use rate (i.e., increased) due to an indefinite warning for </w:t>
            </w:r>
            <w:r w:rsidR="00004B1C">
              <w:t>p</w:t>
            </w:r>
            <w:r w:rsidRPr="001946FB">
              <w:t>art time belt users</w:t>
            </w:r>
          </w:p>
        </w:tc>
        <w:tc>
          <w:tcPr>
            <w:tcW w:w="2096" w:type="dxa"/>
            <w:vAlign w:val="bottom"/>
          </w:tcPr>
          <w:p w14:paraId="4F9A4453" w14:textId="77777777" w:rsidR="009D65AF" w:rsidRPr="009D65AF" w:rsidRDefault="000F5B51" w:rsidP="009D65AF">
            <w:pPr>
              <w:spacing w:line="240" w:lineRule="auto"/>
              <w:contextualSpacing/>
              <w:jc w:val="center"/>
              <w:rPr>
                <w:rFonts w:cs="Times New Roman"/>
                <w:szCs w:val="24"/>
              </w:rPr>
            </w:pPr>
            <w:r w:rsidRPr="00CC4686">
              <w:rPr>
                <w:rFonts w:cs="Times New Roman"/>
                <w:color w:val="000000"/>
                <w:sz w:val="22"/>
              </w:rPr>
              <w:t>0.325011</w:t>
            </w:r>
          </w:p>
        </w:tc>
      </w:tr>
      <w:tr w:rsidR="00A15C2C" w14:paraId="587C4CD7" w14:textId="77777777" w:rsidTr="00CC4686">
        <w:trPr>
          <w:jc w:val="center"/>
        </w:trPr>
        <w:tc>
          <w:tcPr>
            <w:tcW w:w="8344" w:type="dxa"/>
          </w:tcPr>
          <w:p w14:paraId="57D6050D" w14:textId="77777777" w:rsidR="009D65AF" w:rsidRPr="00E66816" w:rsidRDefault="000F5B51" w:rsidP="009D65AF">
            <w:pPr>
              <w:spacing w:line="240" w:lineRule="auto"/>
              <w:contextualSpacing/>
              <w:rPr>
                <w:rFonts w:cs="Times New Roman"/>
                <w:szCs w:val="24"/>
              </w:rPr>
            </w:pPr>
            <w:r w:rsidRPr="001946FB">
              <w:t>Driver overall belt use rate with the indefinite SBWS alert, observed</w:t>
            </w:r>
          </w:p>
        </w:tc>
        <w:tc>
          <w:tcPr>
            <w:tcW w:w="2096" w:type="dxa"/>
            <w:vAlign w:val="bottom"/>
          </w:tcPr>
          <w:p w14:paraId="488CB158" w14:textId="77777777" w:rsidR="009D65AF" w:rsidRPr="009D65AF" w:rsidRDefault="000F5B51" w:rsidP="009D65AF">
            <w:pPr>
              <w:spacing w:line="240" w:lineRule="auto"/>
              <w:contextualSpacing/>
              <w:jc w:val="center"/>
              <w:rPr>
                <w:rFonts w:cs="Times New Roman"/>
                <w:szCs w:val="24"/>
              </w:rPr>
            </w:pPr>
            <w:r w:rsidRPr="00CC4686">
              <w:rPr>
                <w:rFonts w:cs="Times New Roman"/>
                <w:color w:val="000000"/>
                <w:sz w:val="22"/>
              </w:rPr>
              <w:t>0.920339</w:t>
            </w:r>
          </w:p>
        </w:tc>
      </w:tr>
      <w:tr w:rsidR="00A15C2C" w14:paraId="3E63FAAD" w14:textId="77777777" w:rsidTr="00CC4686">
        <w:trPr>
          <w:jc w:val="center"/>
        </w:trPr>
        <w:tc>
          <w:tcPr>
            <w:tcW w:w="8344" w:type="dxa"/>
          </w:tcPr>
          <w:p w14:paraId="339CC613" w14:textId="77777777" w:rsidR="009D65AF" w:rsidRPr="00E66816" w:rsidRDefault="000F5B51" w:rsidP="009D65AF">
            <w:pPr>
              <w:spacing w:line="240" w:lineRule="auto"/>
              <w:contextualSpacing/>
              <w:rPr>
                <w:rFonts w:cs="Times New Roman"/>
                <w:szCs w:val="24"/>
              </w:rPr>
            </w:pPr>
            <w:r w:rsidRPr="001946FB">
              <w:t>Overall increase in belt use rate, observed</w:t>
            </w:r>
          </w:p>
        </w:tc>
        <w:tc>
          <w:tcPr>
            <w:tcW w:w="2096" w:type="dxa"/>
            <w:vAlign w:val="bottom"/>
          </w:tcPr>
          <w:p w14:paraId="206784F2" w14:textId="77777777" w:rsidR="009D65AF" w:rsidRPr="009D65AF" w:rsidRDefault="000F5B51" w:rsidP="009D65AF">
            <w:pPr>
              <w:spacing w:line="240" w:lineRule="auto"/>
              <w:contextualSpacing/>
              <w:jc w:val="center"/>
              <w:rPr>
                <w:rFonts w:cs="Times New Roman"/>
                <w:szCs w:val="24"/>
              </w:rPr>
            </w:pPr>
            <w:r w:rsidRPr="00CC4686">
              <w:rPr>
                <w:rFonts w:cs="Times New Roman"/>
                <w:color w:val="000000"/>
                <w:sz w:val="22"/>
              </w:rPr>
              <w:t>0.002447</w:t>
            </w:r>
          </w:p>
        </w:tc>
      </w:tr>
      <w:tr w:rsidR="00A15C2C" w14:paraId="7242DDEA" w14:textId="77777777" w:rsidTr="00CC4686">
        <w:trPr>
          <w:jc w:val="center"/>
        </w:trPr>
        <w:tc>
          <w:tcPr>
            <w:tcW w:w="8344" w:type="dxa"/>
          </w:tcPr>
          <w:p w14:paraId="1C94929F" w14:textId="53754059" w:rsidR="009D65AF" w:rsidRPr="00E66816" w:rsidRDefault="000F5B51" w:rsidP="009D65AF">
            <w:pPr>
              <w:spacing w:line="240" w:lineRule="auto"/>
              <w:contextualSpacing/>
              <w:rPr>
                <w:rFonts w:cs="Times New Roman"/>
                <w:szCs w:val="24"/>
              </w:rPr>
            </w:pPr>
            <w:r w:rsidRPr="001946FB">
              <w:t xml:space="preserve">Overall increase in belt use rate, in </w:t>
            </w:r>
            <w:r w:rsidR="00915504" w:rsidRPr="00915504">
              <w:t xml:space="preserve">potentially </w:t>
            </w:r>
            <w:r w:rsidRPr="001946FB">
              <w:t>fatal crashes, using a ratio, actual</w:t>
            </w:r>
          </w:p>
        </w:tc>
        <w:tc>
          <w:tcPr>
            <w:tcW w:w="2096" w:type="dxa"/>
            <w:vAlign w:val="bottom"/>
          </w:tcPr>
          <w:p w14:paraId="0AC99417" w14:textId="77777777" w:rsidR="009D65AF" w:rsidRPr="009D65AF" w:rsidRDefault="000F5B51" w:rsidP="009D65AF">
            <w:pPr>
              <w:spacing w:line="240" w:lineRule="auto"/>
              <w:contextualSpacing/>
              <w:jc w:val="center"/>
              <w:rPr>
                <w:rFonts w:cs="Times New Roman"/>
                <w:szCs w:val="24"/>
              </w:rPr>
            </w:pPr>
            <w:r w:rsidRPr="00CC4686">
              <w:rPr>
                <w:rFonts w:cs="Times New Roman"/>
                <w:color w:val="000000"/>
                <w:sz w:val="22"/>
              </w:rPr>
              <w:t>0.002104</w:t>
            </w:r>
          </w:p>
        </w:tc>
      </w:tr>
      <w:tr w:rsidR="00A15C2C" w14:paraId="02564465" w14:textId="77777777" w:rsidTr="00CC4686">
        <w:trPr>
          <w:jc w:val="center"/>
        </w:trPr>
        <w:tc>
          <w:tcPr>
            <w:tcW w:w="8344" w:type="dxa"/>
          </w:tcPr>
          <w:p w14:paraId="0A48569E" w14:textId="1D4C57C2" w:rsidR="009D65AF" w:rsidRPr="00E66816" w:rsidRDefault="000F5B51" w:rsidP="009D65AF">
            <w:pPr>
              <w:spacing w:line="240" w:lineRule="auto"/>
              <w:contextualSpacing/>
              <w:rPr>
                <w:rFonts w:cs="Times New Roman"/>
                <w:szCs w:val="24"/>
              </w:rPr>
            </w:pPr>
            <w:r w:rsidRPr="001946FB">
              <w:t xml:space="preserve">Existing belt use rate in </w:t>
            </w:r>
            <w:r w:rsidR="00915504" w:rsidRPr="00915504">
              <w:t xml:space="preserve">potentially </w:t>
            </w:r>
            <w:r w:rsidRPr="001946FB">
              <w:t>fatal crashes</w:t>
            </w:r>
          </w:p>
        </w:tc>
        <w:tc>
          <w:tcPr>
            <w:tcW w:w="2096" w:type="dxa"/>
            <w:vAlign w:val="bottom"/>
          </w:tcPr>
          <w:p w14:paraId="142FA193" w14:textId="77777777" w:rsidR="009D65AF" w:rsidRPr="009D65AF" w:rsidRDefault="000F5B51" w:rsidP="009D65AF">
            <w:pPr>
              <w:spacing w:line="240" w:lineRule="auto"/>
              <w:contextualSpacing/>
              <w:jc w:val="center"/>
              <w:rPr>
                <w:rFonts w:cs="Times New Roman"/>
                <w:szCs w:val="24"/>
              </w:rPr>
            </w:pPr>
            <w:r w:rsidRPr="00CC4686">
              <w:rPr>
                <w:rFonts w:cs="Times New Roman"/>
                <w:color w:val="000000"/>
                <w:sz w:val="22"/>
              </w:rPr>
              <w:t>0.799672</w:t>
            </w:r>
          </w:p>
        </w:tc>
      </w:tr>
      <w:tr w:rsidR="00A15C2C" w14:paraId="7EBF83DB" w14:textId="77777777" w:rsidTr="00CC4686">
        <w:trPr>
          <w:jc w:val="center"/>
        </w:trPr>
        <w:tc>
          <w:tcPr>
            <w:tcW w:w="8344" w:type="dxa"/>
          </w:tcPr>
          <w:p w14:paraId="428A8ED0" w14:textId="35925F84" w:rsidR="009D65AF" w:rsidRPr="00E66816" w:rsidRDefault="000F5B51" w:rsidP="009D65AF">
            <w:pPr>
              <w:spacing w:line="240" w:lineRule="auto"/>
              <w:contextualSpacing/>
              <w:rPr>
                <w:rFonts w:cs="Times New Roman"/>
                <w:szCs w:val="24"/>
              </w:rPr>
            </w:pPr>
            <w:r w:rsidRPr="001946FB">
              <w:t xml:space="preserve">Overall belt use rate, in </w:t>
            </w:r>
            <w:r w:rsidR="00915504" w:rsidRPr="00915504">
              <w:t xml:space="preserve">potentially </w:t>
            </w:r>
            <w:r w:rsidRPr="001946FB">
              <w:t>fatal crashes, estimated</w:t>
            </w:r>
          </w:p>
        </w:tc>
        <w:tc>
          <w:tcPr>
            <w:tcW w:w="2096" w:type="dxa"/>
            <w:vAlign w:val="bottom"/>
          </w:tcPr>
          <w:p w14:paraId="58959D47" w14:textId="77777777" w:rsidR="009D65AF" w:rsidRPr="009D65AF" w:rsidRDefault="000F5B51" w:rsidP="009D65AF">
            <w:pPr>
              <w:spacing w:line="240" w:lineRule="auto"/>
              <w:contextualSpacing/>
              <w:jc w:val="center"/>
              <w:rPr>
                <w:rFonts w:cs="Times New Roman"/>
                <w:szCs w:val="24"/>
              </w:rPr>
            </w:pPr>
            <w:r w:rsidRPr="00CC4686">
              <w:rPr>
                <w:rFonts w:cs="Times New Roman"/>
                <w:color w:val="000000"/>
                <w:sz w:val="22"/>
              </w:rPr>
              <w:t>0.801776</w:t>
            </w:r>
          </w:p>
        </w:tc>
      </w:tr>
      <w:tr w:rsidR="00A15C2C" w14:paraId="069AB523" w14:textId="77777777" w:rsidTr="00CC4686">
        <w:trPr>
          <w:jc w:val="center"/>
        </w:trPr>
        <w:tc>
          <w:tcPr>
            <w:tcW w:w="8344" w:type="dxa"/>
          </w:tcPr>
          <w:p w14:paraId="14326B50" w14:textId="76644B88" w:rsidR="009D65AF" w:rsidRPr="00FE25C0" w:rsidRDefault="000F5B51" w:rsidP="009D65AF">
            <w:pPr>
              <w:spacing w:line="240" w:lineRule="auto"/>
              <w:contextualSpacing/>
              <w:rPr>
                <w:rFonts w:cs="Times New Roman"/>
                <w:b/>
                <w:szCs w:val="24"/>
              </w:rPr>
            </w:pPr>
            <w:r w:rsidRPr="00CC4686">
              <w:rPr>
                <w:b/>
                <w:bCs/>
              </w:rPr>
              <w:t xml:space="preserve">Increase in belt use, in </w:t>
            </w:r>
            <w:r w:rsidR="00915504" w:rsidRPr="00915504">
              <w:rPr>
                <w:b/>
                <w:bCs/>
              </w:rPr>
              <w:t xml:space="preserve">potentially </w:t>
            </w:r>
            <w:r w:rsidRPr="00CC4686">
              <w:rPr>
                <w:b/>
                <w:bCs/>
              </w:rPr>
              <w:t>fatal crashes, ratio</w:t>
            </w:r>
          </w:p>
        </w:tc>
        <w:tc>
          <w:tcPr>
            <w:tcW w:w="2096" w:type="dxa"/>
            <w:vAlign w:val="bottom"/>
          </w:tcPr>
          <w:p w14:paraId="6D4B8E30" w14:textId="77777777" w:rsidR="009D65AF" w:rsidRPr="00FE25C0" w:rsidRDefault="000F5B51" w:rsidP="009D65AF">
            <w:pPr>
              <w:spacing w:line="240" w:lineRule="auto"/>
              <w:contextualSpacing/>
              <w:jc w:val="center"/>
              <w:rPr>
                <w:rFonts w:cs="Times New Roman"/>
                <w:b/>
                <w:szCs w:val="24"/>
              </w:rPr>
            </w:pPr>
            <w:r w:rsidRPr="00CC4686">
              <w:rPr>
                <w:rFonts w:cs="Times New Roman"/>
                <w:b/>
                <w:bCs/>
                <w:color w:val="000000"/>
                <w:sz w:val="22"/>
              </w:rPr>
              <w:t>1.002631</w:t>
            </w:r>
          </w:p>
        </w:tc>
      </w:tr>
    </w:tbl>
    <w:p w14:paraId="0C2B35A6" w14:textId="77777777" w:rsidR="006F259C" w:rsidRDefault="000F5B51" w:rsidP="006F259C">
      <w:pPr>
        <w:pStyle w:val="Heading2"/>
        <w:spacing w:line="240" w:lineRule="auto"/>
      </w:pPr>
      <w:bookmarkStart w:id="2076" w:name="_Ref130387038"/>
      <w:bookmarkStart w:id="2077" w:name="_Ref130387495"/>
      <w:bookmarkStart w:id="2078" w:name="_Toc142903020"/>
      <w:r>
        <w:lastRenderedPageBreak/>
        <w:t xml:space="preserve">Appendix </w:t>
      </w:r>
      <w:bookmarkEnd w:id="2076"/>
      <w:r w:rsidR="00AF6A41">
        <w:t>H</w:t>
      </w:r>
      <w:bookmarkEnd w:id="2077"/>
      <w:bookmarkEnd w:id="2078"/>
    </w:p>
    <w:p w14:paraId="70B5DFDE" w14:textId="77777777" w:rsidR="006F259C" w:rsidRDefault="000F5B51" w:rsidP="006F259C">
      <w:r>
        <w:t xml:space="preserve">The following tables present the calculation of discounted fatal equivalents and monetized benefits for rear seat and front seat occupants, respectively. </w:t>
      </w:r>
    </w:p>
    <w:p w14:paraId="0C5A3B31" w14:textId="6453B5DA" w:rsidR="006F259C" w:rsidRDefault="000F5B51" w:rsidP="006F259C">
      <w:pPr>
        <w:pStyle w:val="Caption"/>
      </w:pPr>
      <w:r w:rsidRPr="00B05DE5">
        <w:t xml:space="preserve">Table </w:t>
      </w:r>
      <w:r w:rsidRPr="0000527D">
        <w:fldChar w:fldCharType="begin"/>
      </w:r>
      <w:r w:rsidRPr="00B05DE5">
        <w:instrText xml:space="preserve"> SEQ Table \* ARABIC </w:instrText>
      </w:r>
      <w:r w:rsidRPr="0000527D">
        <w:fldChar w:fldCharType="separate"/>
      </w:r>
      <w:r w:rsidR="00A65CB3">
        <w:rPr>
          <w:noProof/>
        </w:rPr>
        <w:t>139</w:t>
      </w:r>
      <w:r w:rsidRPr="0000527D">
        <w:fldChar w:fldCharType="end"/>
      </w:r>
      <w:r w:rsidRPr="00B05DE5">
        <w:t xml:space="preserve">: </w:t>
      </w:r>
      <w:r>
        <w:t>Discounted Rate by Vehicle Type</w:t>
      </w:r>
    </w:p>
    <w:tbl>
      <w:tblPr>
        <w:tblStyle w:val="TableGrid3"/>
        <w:tblW w:w="3411" w:type="dxa"/>
        <w:jc w:val="center"/>
        <w:tblLook w:val="04A0" w:firstRow="1" w:lastRow="0" w:firstColumn="1" w:lastColumn="0" w:noHBand="0" w:noVBand="1"/>
      </w:tblPr>
      <w:tblGrid>
        <w:gridCol w:w="1480"/>
        <w:gridCol w:w="966"/>
        <w:gridCol w:w="965"/>
      </w:tblGrid>
      <w:tr w:rsidR="00A15C2C" w14:paraId="3BECD486" w14:textId="77777777" w:rsidTr="00343F45">
        <w:trPr>
          <w:trHeight w:val="449"/>
          <w:jc w:val="center"/>
        </w:trPr>
        <w:tc>
          <w:tcPr>
            <w:tcW w:w="1480" w:type="dxa"/>
            <w:vMerge w:val="restart"/>
            <w:shd w:val="clear" w:color="auto" w:fill="D9D9D9" w:themeFill="background1" w:themeFillShade="D9"/>
            <w:noWrap/>
            <w:hideMark/>
          </w:tcPr>
          <w:p w14:paraId="7C9D7DDF" w14:textId="77777777" w:rsidR="006F259C" w:rsidRPr="00E84739" w:rsidRDefault="000F5B51" w:rsidP="00343F45">
            <w:pPr>
              <w:spacing w:line="240" w:lineRule="auto"/>
              <w:jc w:val="center"/>
              <w:rPr>
                <w:rFonts w:eastAsia="Times New Roman" w:cs="Times New Roman"/>
                <w:b/>
                <w:bCs/>
                <w:color w:val="000000"/>
              </w:rPr>
            </w:pPr>
            <w:r w:rsidRPr="00E84739">
              <w:rPr>
                <w:rFonts w:eastAsia="Times New Roman" w:cs="Times New Roman"/>
                <w:b/>
                <w:bCs/>
                <w:color w:val="000000"/>
              </w:rPr>
              <w:t>Vehicle Type</w:t>
            </w:r>
          </w:p>
        </w:tc>
        <w:tc>
          <w:tcPr>
            <w:tcW w:w="1931" w:type="dxa"/>
            <w:gridSpan w:val="2"/>
            <w:shd w:val="clear" w:color="auto" w:fill="D9D9D9" w:themeFill="background1" w:themeFillShade="D9"/>
            <w:noWrap/>
            <w:hideMark/>
          </w:tcPr>
          <w:p w14:paraId="40F2C142" w14:textId="77777777" w:rsidR="006F259C" w:rsidRPr="00E84739" w:rsidRDefault="000F5B51" w:rsidP="00343F45">
            <w:pPr>
              <w:spacing w:line="240" w:lineRule="auto"/>
              <w:jc w:val="center"/>
              <w:rPr>
                <w:rFonts w:eastAsia="Times New Roman" w:cs="Times New Roman"/>
                <w:b/>
                <w:bCs/>
                <w:color w:val="000000"/>
              </w:rPr>
            </w:pPr>
            <w:r w:rsidRPr="00E84739">
              <w:rPr>
                <w:rFonts w:eastAsia="Times New Roman" w:cs="Times New Roman"/>
                <w:b/>
                <w:bCs/>
                <w:color w:val="000000"/>
              </w:rPr>
              <w:t>Discount Rate</w:t>
            </w:r>
          </w:p>
        </w:tc>
      </w:tr>
      <w:tr w:rsidR="00A15C2C" w14:paraId="06965F56" w14:textId="77777777" w:rsidTr="00343F45">
        <w:trPr>
          <w:trHeight w:val="320"/>
          <w:jc w:val="center"/>
        </w:trPr>
        <w:tc>
          <w:tcPr>
            <w:tcW w:w="1480" w:type="dxa"/>
            <w:vMerge/>
            <w:shd w:val="clear" w:color="auto" w:fill="D9D9D9" w:themeFill="background1" w:themeFillShade="D9"/>
            <w:hideMark/>
          </w:tcPr>
          <w:p w14:paraId="07A1E077" w14:textId="77777777" w:rsidR="006F259C" w:rsidRPr="00E84739" w:rsidRDefault="006F259C" w:rsidP="00343F45">
            <w:pPr>
              <w:spacing w:line="240" w:lineRule="auto"/>
              <w:rPr>
                <w:rFonts w:eastAsia="Times New Roman" w:cs="Times New Roman"/>
                <w:b/>
                <w:bCs/>
                <w:color w:val="000000"/>
              </w:rPr>
            </w:pPr>
          </w:p>
        </w:tc>
        <w:tc>
          <w:tcPr>
            <w:tcW w:w="966" w:type="dxa"/>
            <w:shd w:val="clear" w:color="auto" w:fill="D9D9D9" w:themeFill="background1" w:themeFillShade="D9"/>
            <w:noWrap/>
            <w:hideMark/>
          </w:tcPr>
          <w:p w14:paraId="682CE927" w14:textId="77777777" w:rsidR="006F259C" w:rsidRPr="00E84739" w:rsidRDefault="000F5B51" w:rsidP="00343F45">
            <w:pPr>
              <w:spacing w:line="240" w:lineRule="auto"/>
              <w:jc w:val="center"/>
              <w:rPr>
                <w:rFonts w:eastAsia="Times New Roman" w:cs="Times New Roman"/>
                <w:b/>
                <w:bCs/>
                <w:color w:val="000000"/>
              </w:rPr>
            </w:pPr>
            <w:r w:rsidRPr="00E84739">
              <w:rPr>
                <w:rFonts w:eastAsia="Times New Roman" w:cs="Times New Roman"/>
                <w:b/>
                <w:bCs/>
                <w:color w:val="000000"/>
              </w:rPr>
              <w:t>3%</w:t>
            </w:r>
          </w:p>
        </w:tc>
        <w:tc>
          <w:tcPr>
            <w:tcW w:w="965" w:type="dxa"/>
            <w:shd w:val="clear" w:color="auto" w:fill="D9D9D9" w:themeFill="background1" w:themeFillShade="D9"/>
            <w:noWrap/>
            <w:hideMark/>
          </w:tcPr>
          <w:p w14:paraId="1DF978A7" w14:textId="77777777" w:rsidR="006F259C" w:rsidRPr="00E84739" w:rsidRDefault="000F5B51" w:rsidP="00343F45">
            <w:pPr>
              <w:spacing w:line="240" w:lineRule="auto"/>
              <w:jc w:val="center"/>
              <w:rPr>
                <w:rFonts w:eastAsia="Times New Roman" w:cs="Times New Roman"/>
                <w:b/>
                <w:bCs/>
                <w:color w:val="000000"/>
              </w:rPr>
            </w:pPr>
            <w:r w:rsidRPr="00E84739">
              <w:rPr>
                <w:rFonts w:eastAsia="Times New Roman" w:cs="Times New Roman"/>
                <w:b/>
                <w:bCs/>
                <w:color w:val="000000"/>
              </w:rPr>
              <w:t>7%</w:t>
            </w:r>
          </w:p>
        </w:tc>
      </w:tr>
      <w:tr w:rsidR="00A15C2C" w14:paraId="59CE52D9" w14:textId="77777777" w:rsidTr="00343F45">
        <w:trPr>
          <w:trHeight w:val="320"/>
          <w:jc w:val="center"/>
        </w:trPr>
        <w:tc>
          <w:tcPr>
            <w:tcW w:w="1480" w:type="dxa"/>
            <w:noWrap/>
            <w:hideMark/>
          </w:tcPr>
          <w:p w14:paraId="51D4105A" w14:textId="77777777" w:rsidR="006F259C" w:rsidRPr="00E84739" w:rsidRDefault="000F5B51" w:rsidP="00343F45">
            <w:pPr>
              <w:spacing w:line="240" w:lineRule="auto"/>
              <w:rPr>
                <w:rFonts w:eastAsia="Times New Roman" w:cs="Times New Roman"/>
                <w:color w:val="000000"/>
              </w:rPr>
            </w:pPr>
            <w:r w:rsidRPr="00E84739">
              <w:rPr>
                <w:rFonts w:eastAsia="Times New Roman" w:cs="Times New Roman"/>
                <w:color w:val="000000"/>
              </w:rPr>
              <w:t>Passenger Car</w:t>
            </w:r>
          </w:p>
        </w:tc>
        <w:tc>
          <w:tcPr>
            <w:tcW w:w="966" w:type="dxa"/>
            <w:noWrap/>
            <w:hideMark/>
          </w:tcPr>
          <w:p w14:paraId="4F8429AE" w14:textId="77777777" w:rsidR="006F259C" w:rsidRPr="00E84739" w:rsidRDefault="000F5B51" w:rsidP="00343F45">
            <w:pPr>
              <w:spacing w:line="240" w:lineRule="auto"/>
              <w:jc w:val="right"/>
              <w:rPr>
                <w:rFonts w:eastAsia="Times New Roman" w:cs="Times New Roman"/>
                <w:color w:val="000000"/>
              </w:rPr>
            </w:pPr>
            <w:r w:rsidRPr="00E84739">
              <w:rPr>
                <w:rFonts w:eastAsia="Times New Roman" w:cs="Times New Roman"/>
                <w:color w:val="000000"/>
              </w:rPr>
              <w:t>0.8354</w:t>
            </w:r>
          </w:p>
        </w:tc>
        <w:tc>
          <w:tcPr>
            <w:tcW w:w="965" w:type="dxa"/>
            <w:noWrap/>
            <w:hideMark/>
          </w:tcPr>
          <w:p w14:paraId="1C3FE203" w14:textId="77777777" w:rsidR="006F259C" w:rsidRPr="00E84739" w:rsidRDefault="000F5B51" w:rsidP="00343F45">
            <w:pPr>
              <w:spacing w:line="240" w:lineRule="auto"/>
              <w:jc w:val="right"/>
              <w:rPr>
                <w:rFonts w:eastAsia="Times New Roman" w:cs="Times New Roman"/>
                <w:color w:val="000000"/>
              </w:rPr>
            </w:pPr>
            <w:r w:rsidRPr="00E84739">
              <w:rPr>
                <w:rFonts w:eastAsia="Times New Roman" w:cs="Times New Roman"/>
                <w:color w:val="000000"/>
              </w:rPr>
              <w:t>0.6816</w:t>
            </w:r>
          </w:p>
        </w:tc>
      </w:tr>
      <w:tr w:rsidR="00A15C2C" w14:paraId="319EA21D" w14:textId="77777777" w:rsidTr="00343F45">
        <w:trPr>
          <w:trHeight w:val="320"/>
          <w:jc w:val="center"/>
        </w:trPr>
        <w:tc>
          <w:tcPr>
            <w:tcW w:w="1480" w:type="dxa"/>
            <w:noWrap/>
            <w:hideMark/>
          </w:tcPr>
          <w:p w14:paraId="5B4D2CCA" w14:textId="77777777" w:rsidR="006F259C" w:rsidRPr="00E84739" w:rsidRDefault="000F5B51" w:rsidP="00343F45">
            <w:pPr>
              <w:spacing w:line="240" w:lineRule="auto"/>
              <w:rPr>
                <w:rFonts w:eastAsia="Times New Roman" w:cs="Times New Roman"/>
                <w:color w:val="000000"/>
              </w:rPr>
            </w:pPr>
            <w:r w:rsidRPr="00E84739">
              <w:rPr>
                <w:rFonts w:eastAsia="Times New Roman" w:cs="Times New Roman"/>
                <w:color w:val="000000"/>
              </w:rPr>
              <w:t>Light Truck</w:t>
            </w:r>
          </w:p>
        </w:tc>
        <w:tc>
          <w:tcPr>
            <w:tcW w:w="966" w:type="dxa"/>
            <w:noWrap/>
            <w:hideMark/>
          </w:tcPr>
          <w:p w14:paraId="3ABC390B" w14:textId="77777777" w:rsidR="006F259C" w:rsidRPr="00E84739" w:rsidRDefault="000F5B51" w:rsidP="00343F45">
            <w:pPr>
              <w:spacing w:line="240" w:lineRule="auto"/>
              <w:jc w:val="right"/>
              <w:rPr>
                <w:rFonts w:eastAsia="Times New Roman" w:cs="Times New Roman"/>
                <w:color w:val="000000"/>
              </w:rPr>
            </w:pPr>
            <w:r w:rsidRPr="00E84739">
              <w:rPr>
                <w:rFonts w:eastAsia="Times New Roman" w:cs="Times New Roman"/>
                <w:color w:val="000000"/>
              </w:rPr>
              <w:t>0.8216</w:t>
            </w:r>
          </w:p>
        </w:tc>
        <w:tc>
          <w:tcPr>
            <w:tcW w:w="965" w:type="dxa"/>
            <w:noWrap/>
            <w:hideMark/>
          </w:tcPr>
          <w:p w14:paraId="61E537E8" w14:textId="77777777" w:rsidR="006F259C" w:rsidRPr="00E84739" w:rsidRDefault="000F5B51" w:rsidP="00343F45">
            <w:pPr>
              <w:spacing w:line="240" w:lineRule="auto"/>
              <w:jc w:val="right"/>
              <w:rPr>
                <w:rFonts w:eastAsia="Times New Roman" w:cs="Times New Roman"/>
                <w:color w:val="000000"/>
              </w:rPr>
            </w:pPr>
            <w:r w:rsidRPr="00E84739">
              <w:rPr>
                <w:rFonts w:eastAsia="Times New Roman" w:cs="Times New Roman"/>
                <w:color w:val="000000"/>
              </w:rPr>
              <w:t>0.6626</w:t>
            </w:r>
          </w:p>
        </w:tc>
      </w:tr>
    </w:tbl>
    <w:p w14:paraId="2DBDFC6A" w14:textId="77777777" w:rsidR="006F259C" w:rsidRPr="00B05DE5" w:rsidRDefault="006F259C" w:rsidP="006F259C">
      <w:pPr>
        <w:pStyle w:val="Caption"/>
      </w:pPr>
    </w:p>
    <w:p w14:paraId="6C894C17" w14:textId="01A465DF" w:rsidR="006F259C" w:rsidRPr="00B05DE5" w:rsidRDefault="000F5B51" w:rsidP="006F259C">
      <w:pPr>
        <w:pStyle w:val="Caption"/>
      </w:pPr>
      <w:r w:rsidRPr="00B05DE5">
        <w:t xml:space="preserve">Table </w:t>
      </w:r>
      <w:r w:rsidRPr="005E3D4C">
        <w:fldChar w:fldCharType="begin"/>
      </w:r>
      <w:r w:rsidRPr="00B05DE5">
        <w:instrText xml:space="preserve"> SEQ Table \* ARABIC </w:instrText>
      </w:r>
      <w:r w:rsidRPr="005E3D4C">
        <w:fldChar w:fldCharType="separate"/>
      </w:r>
      <w:r w:rsidR="00A65CB3">
        <w:rPr>
          <w:noProof/>
        </w:rPr>
        <w:t>140</w:t>
      </w:r>
      <w:r w:rsidRPr="005E3D4C">
        <w:fldChar w:fldCharType="end"/>
      </w:r>
      <w:r w:rsidRPr="00B05DE5">
        <w:t>: Calculation of Discounted Benefits Rear Seat Occupants</w:t>
      </w:r>
      <w:r>
        <w:t xml:space="preserve"> 11 Years and Older</w:t>
      </w:r>
    </w:p>
    <w:tbl>
      <w:tblPr>
        <w:tblStyle w:val="TableGrid3"/>
        <w:tblW w:w="9350" w:type="dxa"/>
        <w:tblLayout w:type="fixed"/>
        <w:tblLook w:val="04A0" w:firstRow="1" w:lastRow="0" w:firstColumn="1" w:lastColumn="0" w:noHBand="0" w:noVBand="1"/>
      </w:tblPr>
      <w:tblGrid>
        <w:gridCol w:w="1592"/>
        <w:gridCol w:w="1597"/>
        <w:gridCol w:w="1026"/>
        <w:gridCol w:w="1027"/>
        <w:gridCol w:w="1027"/>
        <w:gridCol w:w="1027"/>
        <w:gridCol w:w="1027"/>
        <w:gridCol w:w="1027"/>
      </w:tblGrid>
      <w:tr w:rsidR="00A15C2C" w14:paraId="351659DD" w14:textId="77777777" w:rsidTr="00343F45">
        <w:trPr>
          <w:trHeight w:val="310"/>
        </w:trPr>
        <w:tc>
          <w:tcPr>
            <w:tcW w:w="1592" w:type="dxa"/>
            <w:vMerge w:val="restart"/>
            <w:shd w:val="clear" w:color="auto" w:fill="D9D9D9" w:themeFill="background1" w:themeFillShade="D9"/>
            <w:noWrap/>
            <w:vAlign w:val="center"/>
            <w:hideMark/>
          </w:tcPr>
          <w:p w14:paraId="6A390989" w14:textId="77777777" w:rsidR="006F259C" w:rsidRPr="00A46F57" w:rsidRDefault="000F5B51" w:rsidP="00343F45">
            <w:pPr>
              <w:spacing w:line="240" w:lineRule="auto"/>
              <w:rPr>
                <w:b/>
                <w:bCs/>
              </w:rPr>
            </w:pPr>
            <w:r w:rsidRPr="006D7613">
              <w:rPr>
                <w:b/>
                <w:bCs/>
              </w:rPr>
              <w:t>Vehicle Type</w:t>
            </w:r>
          </w:p>
        </w:tc>
        <w:tc>
          <w:tcPr>
            <w:tcW w:w="1597" w:type="dxa"/>
            <w:vMerge w:val="restart"/>
            <w:shd w:val="clear" w:color="auto" w:fill="D9D9D9" w:themeFill="background1" w:themeFillShade="D9"/>
            <w:noWrap/>
            <w:hideMark/>
          </w:tcPr>
          <w:p w14:paraId="292FBE4A" w14:textId="77777777" w:rsidR="006F259C" w:rsidRPr="007F6FCD" w:rsidRDefault="000F5B51" w:rsidP="00343F45">
            <w:pPr>
              <w:spacing w:line="240" w:lineRule="auto"/>
              <w:rPr>
                <w:b/>
                <w:bCs/>
              </w:rPr>
            </w:pPr>
            <w:r w:rsidRPr="00A46F57">
              <w:rPr>
                <w:b/>
                <w:bCs/>
              </w:rPr>
              <w:t> </w:t>
            </w:r>
          </w:p>
          <w:p w14:paraId="27A3D77B" w14:textId="77777777" w:rsidR="006F259C" w:rsidRPr="00A46F57" w:rsidRDefault="000F5B51" w:rsidP="00343F45">
            <w:pPr>
              <w:spacing w:line="240" w:lineRule="auto"/>
              <w:rPr>
                <w:b/>
                <w:bCs/>
              </w:rPr>
            </w:pPr>
            <w:r w:rsidRPr="00A46F57">
              <w:rPr>
                <w:b/>
                <w:bCs/>
              </w:rPr>
              <w:t xml:space="preserve">Injury Severity </w:t>
            </w:r>
          </w:p>
        </w:tc>
        <w:tc>
          <w:tcPr>
            <w:tcW w:w="2053" w:type="dxa"/>
            <w:gridSpan w:val="2"/>
            <w:shd w:val="clear" w:color="auto" w:fill="D9D9D9" w:themeFill="background1" w:themeFillShade="D9"/>
            <w:noWrap/>
            <w:vAlign w:val="center"/>
            <w:hideMark/>
          </w:tcPr>
          <w:p w14:paraId="538E3ECF" w14:textId="77777777" w:rsidR="006F259C" w:rsidRPr="00A46F57" w:rsidRDefault="000F5B51" w:rsidP="00343F45">
            <w:pPr>
              <w:spacing w:line="240" w:lineRule="auto"/>
              <w:jc w:val="center"/>
              <w:rPr>
                <w:b/>
                <w:bCs/>
              </w:rPr>
            </w:pPr>
            <w:r w:rsidRPr="007F6FCD">
              <w:rPr>
                <w:b/>
                <w:bCs/>
              </w:rPr>
              <w:t xml:space="preserve">Undiscounted </w:t>
            </w:r>
            <w:r w:rsidRPr="00A46F57">
              <w:rPr>
                <w:b/>
                <w:bCs/>
              </w:rPr>
              <w:t>Incremental Benefits</w:t>
            </w:r>
          </w:p>
        </w:tc>
        <w:tc>
          <w:tcPr>
            <w:tcW w:w="2054" w:type="dxa"/>
            <w:gridSpan w:val="2"/>
            <w:shd w:val="clear" w:color="auto" w:fill="D9D9D9" w:themeFill="background1" w:themeFillShade="D9"/>
            <w:vAlign w:val="center"/>
          </w:tcPr>
          <w:p w14:paraId="130C5CB9" w14:textId="77777777" w:rsidR="006F259C" w:rsidRPr="007F6FCD" w:rsidRDefault="000F5B51" w:rsidP="00343F45">
            <w:pPr>
              <w:spacing w:line="240" w:lineRule="auto"/>
              <w:jc w:val="center"/>
              <w:rPr>
                <w:b/>
                <w:bCs/>
              </w:rPr>
            </w:pPr>
            <w:r>
              <w:rPr>
                <w:b/>
                <w:bCs/>
              </w:rPr>
              <w:t>Discounted at 3%</w:t>
            </w:r>
          </w:p>
        </w:tc>
        <w:tc>
          <w:tcPr>
            <w:tcW w:w="2054" w:type="dxa"/>
            <w:gridSpan w:val="2"/>
            <w:shd w:val="clear" w:color="auto" w:fill="D9D9D9" w:themeFill="background1" w:themeFillShade="D9"/>
            <w:vAlign w:val="center"/>
          </w:tcPr>
          <w:p w14:paraId="5C4DF0A9" w14:textId="77777777" w:rsidR="006F259C" w:rsidRPr="007F6FCD" w:rsidRDefault="000F5B51" w:rsidP="00343F45">
            <w:pPr>
              <w:spacing w:line="240" w:lineRule="auto"/>
              <w:jc w:val="center"/>
              <w:rPr>
                <w:b/>
                <w:bCs/>
              </w:rPr>
            </w:pPr>
            <w:r>
              <w:rPr>
                <w:b/>
                <w:bCs/>
              </w:rPr>
              <w:t>Discounted at 7%</w:t>
            </w:r>
          </w:p>
        </w:tc>
      </w:tr>
      <w:tr w:rsidR="00A15C2C" w14:paraId="6B983851" w14:textId="77777777" w:rsidTr="00343F45">
        <w:trPr>
          <w:trHeight w:val="310"/>
        </w:trPr>
        <w:tc>
          <w:tcPr>
            <w:tcW w:w="1592" w:type="dxa"/>
            <w:vMerge/>
            <w:shd w:val="clear" w:color="auto" w:fill="D9D9D9" w:themeFill="background1" w:themeFillShade="D9"/>
            <w:noWrap/>
            <w:vAlign w:val="center"/>
            <w:hideMark/>
          </w:tcPr>
          <w:p w14:paraId="35823E4A" w14:textId="77777777" w:rsidR="006F259C" w:rsidRPr="00A46F57" w:rsidRDefault="006F259C" w:rsidP="00343F45">
            <w:pPr>
              <w:rPr>
                <w:b/>
                <w:bCs/>
              </w:rPr>
            </w:pPr>
          </w:p>
        </w:tc>
        <w:tc>
          <w:tcPr>
            <w:tcW w:w="1597" w:type="dxa"/>
            <w:vMerge/>
            <w:shd w:val="clear" w:color="auto" w:fill="D9D9D9" w:themeFill="background1" w:themeFillShade="D9"/>
            <w:noWrap/>
            <w:hideMark/>
          </w:tcPr>
          <w:p w14:paraId="609C6FE7" w14:textId="77777777" w:rsidR="006F259C" w:rsidRPr="00A46F57" w:rsidRDefault="006F259C" w:rsidP="00343F45">
            <w:pPr>
              <w:spacing w:line="240" w:lineRule="auto"/>
              <w:rPr>
                <w:b/>
                <w:bCs/>
              </w:rPr>
            </w:pPr>
          </w:p>
        </w:tc>
        <w:tc>
          <w:tcPr>
            <w:tcW w:w="1026" w:type="dxa"/>
            <w:shd w:val="clear" w:color="auto" w:fill="D9D9D9" w:themeFill="background1" w:themeFillShade="D9"/>
            <w:noWrap/>
            <w:vAlign w:val="center"/>
            <w:hideMark/>
          </w:tcPr>
          <w:p w14:paraId="6C7DD4A5" w14:textId="77777777" w:rsidR="006F259C" w:rsidRPr="00A46F57" w:rsidRDefault="000F5B51" w:rsidP="00343F45">
            <w:pPr>
              <w:spacing w:line="240" w:lineRule="auto"/>
              <w:jc w:val="center"/>
              <w:rPr>
                <w:b/>
                <w:bCs/>
              </w:rPr>
            </w:pPr>
            <w:r w:rsidRPr="00A46F57">
              <w:rPr>
                <w:b/>
                <w:bCs/>
              </w:rPr>
              <w:t>Lo</w:t>
            </w:r>
          </w:p>
        </w:tc>
        <w:tc>
          <w:tcPr>
            <w:tcW w:w="1027" w:type="dxa"/>
            <w:shd w:val="clear" w:color="auto" w:fill="D9D9D9" w:themeFill="background1" w:themeFillShade="D9"/>
            <w:noWrap/>
            <w:vAlign w:val="center"/>
            <w:hideMark/>
          </w:tcPr>
          <w:p w14:paraId="3253B514" w14:textId="77777777" w:rsidR="006F259C" w:rsidRPr="00A46F57" w:rsidRDefault="000F5B51" w:rsidP="00343F45">
            <w:pPr>
              <w:spacing w:line="240" w:lineRule="auto"/>
              <w:jc w:val="center"/>
              <w:rPr>
                <w:b/>
                <w:bCs/>
              </w:rPr>
            </w:pPr>
            <w:r w:rsidRPr="00A46F57">
              <w:rPr>
                <w:b/>
                <w:bCs/>
              </w:rPr>
              <w:t>Hi</w:t>
            </w:r>
          </w:p>
        </w:tc>
        <w:tc>
          <w:tcPr>
            <w:tcW w:w="1027" w:type="dxa"/>
            <w:shd w:val="clear" w:color="auto" w:fill="D9D9D9" w:themeFill="background1" w:themeFillShade="D9"/>
            <w:vAlign w:val="center"/>
          </w:tcPr>
          <w:p w14:paraId="505692E9" w14:textId="77777777" w:rsidR="006F259C" w:rsidRPr="007F6FCD" w:rsidRDefault="000F5B51" w:rsidP="00343F45">
            <w:pPr>
              <w:spacing w:line="240" w:lineRule="auto"/>
              <w:jc w:val="center"/>
              <w:rPr>
                <w:b/>
                <w:bCs/>
              </w:rPr>
            </w:pPr>
            <w:r w:rsidRPr="00A46F57">
              <w:rPr>
                <w:b/>
                <w:bCs/>
              </w:rPr>
              <w:t>Lo</w:t>
            </w:r>
          </w:p>
        </w:tc>
        <w:tc>
          <w:tcPr>
            <w:tcW w:w="1027" w:type="dxa"/>
            <w:shd w:val="clear" w:color="auto" w:fill="D9D9D9" w:themeFill="background1" w:themeFillShade="D9"/>
            <w:vAlign w:val="center"/>
          </w:tcPr>
          <w:p w14:paraId="244EDBE6" w14:textId="77777777" w:rsidR="006F259C" w:rsidRPr="007F6FCD" w:rsidRDefault="000F5B51" w:rsidP="00343F45">
            <w:pPr>
              <w:spacing w:line="240" w:lineRule="auto"/>
              <w:jc w:val="center"/>
              <w:rPr>
                <w:b/>
                <w:bCs/>
              </w:rPr>
            </w:pPr>
            <w:r w:rsidRPr="00A46F57">
              <w:rPr>
                <w:b/>
                <w:bCs/>
              </w:rPr>
              <w:t>Hi</w:t>
            </w:r>
          </w:p>
        </w:tc>
        <w:tc>
          <w:tcPr>
            <w:tcW w:w="1027" w:type="dxa"/>
            <w:shd w:val="clear" w:color="auto" w:fill="D9D9D9" w:themeFill="background1" w:themeFillShade="D9"/>
            <w:vAlign w:val="center"/>
          </w:tcPr>
          <w:p w14:paraId="0056C593" w14:textId="77777777" w:rsidR="006F259C" w:rsidRPr="007F6FCD" w:rsidRDefault="000F5B51" w:rsidP="00343F45">
            <w:pPr>
              <w:spacing w:line="240" w:lineRule="auto"/>
              <w:jc w:val="center"/>
              <w:rPr>
                <w:b/>
                <w:bCs/>
              </w:rPr>
            </w:pPr>
            <w:r w:rsidRPr="00A46F57">
              <w:rPr>
                <w:b/>
                <w:bCs/>
              </w:rPr>
              <w:t>Lo</w:t>
            </w:r>
          </w:p>
        </w:tc>
        <w:tc>
          <w:tcPr>
            <w:tcW w:w="1027" w:type="dxa"/>
            <w:shd w:val="clear" w:color="auto" w:fill="D9D9D9" w:themeFill="background1" w:themeFillShade="D9"/>
            <w:vAlign w:val="center"/>
          </w:tcPr>
          <w:p w14:paraId="1BE642AA" w14:textId="77777777" w:rsidR="006F259C" w:rsidRPr="007F6FCD" w:rsidRDefault="000F5B51" w:rsidP="00343F45">
            <w:pPr>
              <w:spacing w:line="240" w:lineRule="auto"/>
              <w:jc w:val="center"/>
              <w:rPr>
                <w:b/>
                <w:bCs/>
              </w:rPr>
            </w:pPr>
            <w:r w:rsidRPr="00A46F57">
              <w:rPr>
                <w:b/>
                <w:bCs/>
              </w:rPr>
              <w:t>Hi</w:t>
            </w:r>
          </w:p>
        </w:tc>
      </w:tr>
      <w:tr w:rsidR="00A15C2C" w14:paraId="52DCAC23" w14:textId="77777777" w:rsidTr="00343F45">
        <w:trPr>
          <w:trHeight w:val="320"/>
        </w:trPr>
        <w:tc>
          <w:tcPr>
            <w:tcW w:w="1592" w:type="dxa"/>
            <w:vMerge w:val="restart"/>
            <w:shd w:val="clear" w:color="auto" w:fill="D9D9D9" w:themeFill="background1" w:themeFillShade="D9"/>
            <w:noWrap/>
            <w:vAlign w:val="center"/>
            <w:hideMark/>
          </w:tcPr>
          <w:p w14:paraId="49B56B5E" w14:textId="77777777" w:rsidR="006F259C" w:rsidRPr="00A46F57" w:rsidRDefault="000F5B51" w:rsidP="00343F45">
            <w:pPr>
              <w:spacing w:line="240" w:lineRule="auto"/>
              <w:rPr>
                <w:b/>
                <w:bCs/>
              </w:rPr>
            </w:pPr>
            <w:r w:rsidRPr="006D7613">
              <w:rPr>
                <w:b/>
                <w:bCs/>
              </w:rPr>
              <w:t>PC</w:t>
            </w:r>
          </w:p>
        </w:tc>
        <w:tc>
          <w:tcPr>
            <w:tcW w:w="1597" w:type="dxa"/>
            <w:shd w:val="clear" w:color="auto" w:fill="D9D9D9" w:themeFill="background1" w:themeFillShade="D9"/>
            <w:noWrap/>
            <w:hideMark/>
          </w:tcPr>
          <w:p w14:paraId="4FE4DD5F" w14:textId="77777777" w:rsidR="006F259C" w:rsidRPr="00A46F57" w:rsidRDefault="000F5B51" w:rsidP="00343F45">
            <w:pPr>
              <w:spacing w:line="240" w:lineRule="auto"/>
            </w:pPr>
            <w:r w:rsidRPr="00A46F57">
              <w:t>MAIS 1</w:t>
            </w:r>
          </w:p>
        </w:tc>
        <w:tc>
          <w:tcPr>
            <w:tcW w:w="1026" w:type="dxa"/>
            <w:noWrap/>
            <w:hideMark/>
          </w:tcPr>
          <w:p w14:paraId="1A0D78C1" w14:textId="77777777" w:rsidR="006F259C" w:rsidRPr="00A46F57" w:rsidRDefault="000F5B51" w:rsidP="00343F45">
            <w:pPr>
              <w:spacing w:line="240" w:lineRule="auto"/>
              <w:jc w:val="center"/>
            </w:pPr>
            <w:r w:rsidRPr="00DA28E4">
              <w:t>15.7</w:t>
            </w:r>
          </w:p>
        </w:tc>
        <w:tc>
          <w:tcPr>
            <w:tcW w:w="1027" w:type="dxa"/>
            <w:noWrap/>
            <w:hideMark/>
          </w:tcPr>
          <w:p w14:paraId="11DE4587" w14:textId="77777777" w:rsidR="006F259C" w:rsidRPr="00A46F57" w:rsidRDefault="000F5B51" w:rsidP="00343F45">
            <w:pPr>
              <w:spacing w:line="240" w:lineRule="auto"/>
              <w:jc w:val="center"/>
            </w:pPr>
            <w:r w:rsidRPr="00DA28E4">
              <w:t>23.6</w:t>
            </w:r>
          </w:p>
        </w:tc>
        <w:tc>
          <w:tcPr>
            <w:tcW w:w="1027" w:type="dxa"/>
          </w:tcPr>
          <w:p w14:paraId="171E157A" w14:textId="77777777" w:rsidR="006F259C" w:rsidRPr="00A46F57" w:rsidRDefault="000F5B51" w:rsidP="00343F45">
            <w:pPr>
              <w:spacing w:line="240" w:lineRule="auto"/>
              <w:jc w:val="center"/>
            </w:pPr>
            <w:r w:rsidRPr="002910F9">
              <w:t>13.1</w:t>
            </w:r>
          </w:p>
        </w:tc>
        <w:tc>
          <w:tcPr>
            <w:tcW w:w="1027" w:type="dxa"/>
          </w:tcPr>
          <w:p w14:paraId="782A9D18" w14:textId="77777777" w:rsidR="006F259C" w:rsidRPr="00A46F57" w:rsidRDefault="000F5B51" w:rsidP="00343F45">
            <w:pPr>
              <w:spacing w:line="240" w:lineRule="auto"/>
              <w:jc w:val="center"/>
            </w:pPr>
            <w:r w:rsidRPr="002910F9">
              <w:t>19.7</w:t>
            </w:r>
          </w:p>
        </w:tc>
        <w:tc>
          <w:tcPr>
            <w:tcW w:w="1027" w:type="dxa"/>
          </w:tcPr>
          <w:p w14:paraId="15D98F44" w14:textId="77777777" w:rsidR="006F259C" w:rsidRPr="00A46F57" w:rsidRDefault="000F5B51" w:rsidP="00343F45">
            <w:pPr>
              <w:spacing w:line="240" w:lineRule="auto"/>
              <w:jc w:val="center"/>
            </w:pPr>
            <w:r w:rsidRPr="002910F9">
              <w:t>10.7</w:t>
            </w:r>
          </w:p>
        </w:tc>
        <w:tc>
          <w:tcPr>
            <w:tcW w:w="1027" w:type="dxa"/>
          </w:tcPr>
          <w:p w14:paraId="5659ECC2" w14:textId="77777777" w:rsidR="006F259C" w:rsidRPr="00A46F57" w:rsidRDefault="000F5B51" w:rsidP="00343F45">
            <w:pPr>
              <w:spacing w:line="240" w:lineRule="auto"/>
              <w:jc w:val="center"/>
            </w:pPr>
            <w:r w:rsidRPr="002910F9">
              <w:t>16.1</w:t>
            </w:r>
          </w:p>
        </w:tc>
      </w:tr>
      <w:tr w:rsidR="00A15C2C" w14:paraId="16379B62" w14:textId="77777777" w:rsidTr="00343F45">
        <w:trPr>
          <w:trHeight w:val="320"/>
        </w:trPr>
        <w:tc>
          <w:tcPr>
            <w:tcW w:w="1592" w:type="dxa"/>
            <w:vMerge/>
            <w:shd w:val="clear" w:color="auto" w:fill="D9D9D9" w:themeFill="background1" w:themeFillShade="D9"/>
            <w:noWrap/>
            <w:vAlign w:val="center"/>
            <w:hideMark/>
          </w:tcPr>
          <w:p w14:paraId="76C49680" w14:textId="77777777" w:rsidR="006F259C" w:rsidRPr="00A46F57" w:rsidRDefault="006F259C" w:rsidP="00343F45">
            <w:pPr>
              <w:spacing w:line="240" w:lineRule="auto"/>
              <w:rPr>
                <w:b/>
                <w:bCs/>
              </w:rPr>
            </w:pPr>
          </w:p>
        </w:tc>
        <w:tc>
          <w:tcPr>
            <w:tcW w:w="1597" w:type="dxa"/>
            <w:shd w:val="clear" w:color="auto" w:fill="D9D9D9" w:themeFill="background1" w:themeFillShade="D9"/>
            <w:noWrap/>
            <w:hideMark/>
          </w:tcPr>
          <w:p w14:paraId="6ECE99E5" w14:textId="77777777" w:rsidR="006F259C" w:rsidRPr="00A46F57" w:rsidRDefault="000F5B51" w:rsidP="00343F45">
            <w:pPr>
              <w:spacing w:line="240" w:lineRule="auto"/>
            </w:pPr>
            <w:r w:rsidRPr="00A46F57">
              <w:t>MAIS 2</w:t>
            </w:r>
          </w:p>
        </w:tc>
        <w:tc>
          <w:tcPr>
            <w:tcW w:w="1026" w:type="dxa"/>
            <w:noWrap/>
            <w:hideMark/>
          </w:tcPr>
          <w:p w14:paraId="06F2C787" w14:textId="77777777" w:rsidR="006F259C" w:rsidRPr="00A46F57" w:rsidRDefault="000F5B51" w:rsidP="00343F45">
            <w:pPr>
              <w:spacing w:line="240" w:lineRule="auto"/>
              <w:jc w:val="center"/>
            </w:pPr>
            <w:r w:rsidRPr="00DA28E4">
              <w:t>27.1</w:t>
            </w:r>
          </w:p>
        </w:tc>
        <w:tc>
          <w:tcPr>
            <w:tcW w:w="1027" w:type="dxa"/>
            <w:noWrap/>
            <w:hideMark/>
          </w:tcPr>
          <w:p w14:paraId="2ADD37B9" w14:textId="77777777" w:rsidR="006F259C" w:rsidRPr="00A46F57" w:rsidRDefault="000F5B51" w:rsidP="00343F45">
            <w:pPr>
              <w:spacing w:line="240" w:lineRule="auto"/>
              <w:jc w:val="center"/>
            </w:pPr>
            <w:r w:rsidRPr="00DA28E4">
              <w:t>40.8</w:t>
            </w:r>
          </w:p>
        </w:tc>
        <w:tc>
          <w:tcPr>
            <w:tcW w:w="1027" w:type="dxa"/>
          </w:tcPr>
          <w:p w14:paraId="03AF7819" w14:textId="77777777" w:rsidR="006F259C" w:rsidRPr="00A46F57" w:rsidRDefault="000F5B51" w:rsidP="00343F45">
            <w:pPr>
              <w:spacing w:line="240" w:lineRule="auto"/>
              <w:jc w:val="center"/>
            </w:pPr>
            <w:r w:rsidRPr="002910F9">
              <w:t>22.7</w:t>
            </w:r>
          </w:p>
        </w:tc>
        <w:tc>
          <w:tcPr>
            <w:tcW w:w="1027" w:type="dxa"/>
          </w:tcPr>
          <w:p w14:paraId="7D9EF9EC" w14:textId="77777777" w:rsidR="006F259C" w:rsidRPr="00A46F57" w:rsidRDefault="000F5B51" w:rsidP="00343F45">
            <w:pPr>
              <w:spacing w:line="240" w:lineRule="auto"/>
              <w:jc w:val="center"/>
            </w:pPr>
            <w:r w:rsidRPr="002910F9">
              <w:t>34.1</w:t>
            </w:r>
          </w:p>
        </w:tc>
        <w:tc>
          <w:tcPr>
            <w:tcW w:w="1027" w:type="dxa"/>
          </w:tcPr>
          <w:p w14:paraId="56E6BE55" w14:textId="77777777" w:rsidR="006F259C" w:rsidRPr="00A46F57" w:rsidRDefault="000F5B51" w:rsidP="00343F45">
            <w:pPr>
              <w:spacing w:line="240" w:lineRule="auto"/>
              <w:jc w:val="center"/>
            </w:pPr>
            <w:r w:rsidRPr="002910F9">
              <w:t>18.5</w:t>
            </w:r>
          </w:p>
        </w:tc>
        <w:tc>
          <w:tcPr>
            <w:tcW w:w="1027" w:type="dxa"/>
          </w:tcPr>
          <w:p w14:paraId="6D20966C" w14:textId="77777777" w:rsidR="006F259C" w:rsidRPr="00A46F57" w:rsidRDefault="000F5B51" w:rsidP="00343F45">
            <w:pPr>
              <w:spacing w:line="240" w:lineRule="auto"/>
              <w:jc w:val="center"/>
            </w:pPr>
            <w:r w:rsidRPr="002910F9">
              <w:t>27.8</w:t>
            </w:r>
          </w:p>
        </w:tc>
      </w:tr>
      <w:tr w:rsidR="00A15C2C" w14:paraId="731051B1" w14:textId="77777777" w:rsidTr="00343F45">
        <w:trPr>
          <w:trHeight w:val="320"/>
        </w:trPr>
        <w:tc>
          <w:tcPr>
            <w:tcW w:w="1592" w:type="dxa"/>
            <w:vMerge/>
            <w:shd w:val="clear" w:color="auto" w:fill="D9D9D9" w:themeFill="background1" w:themeFillShade="D9"/>
            <w:noWrap/>
            <w:vAlign w:val="center"/>
            <w:hideMark/>
          </w:tcPr>
          <w:p w14:paraId="6E50B2AD" w14:textId="77777777" w:rsidR="006F259C" w:rsidRPr="00A46F57" w:rsidRDefault="006F259C" w:rsidP="00343F45">
            <w:pPr>
              <w:spacing w:line="240" w:lineRule="auto"/>
              <w:rPr>
                <w:b/>
                <w:bCs/>
              </w:rPr>
            </w:pPr>
          </w:p>
        </w:tc>
        <w:tc>
          <w:tcPr>
            <w:tcW w:w="1597" w:type="dxa"/>
            <w:shd w:val="clear" w:color="auto" w:fill="D9D9D9" w:themeFill="background1" w:themeFillShade="D9"/>
            <w:noWrap/>
            <w:hideMark/>
          </w:tcPr>
          <w:p w14:paraId="28E379E8" w14:textId="77777777" w:rsidR="006F259C" w:rsidRPr="00A46F57" w:rsidRDefault="000F5B51" w:rsidP="00343F45">
            <w:pPr>
              <w:spacing w:line="240" w:lineRule="auto"/>
            </w:pPr>
            <w:r w:rsidRPr="00A46F57">
              <w:t>MAIS 3</w:t>
            </w:r>
          </w:p>
        </w:tc>
        <w:tc>
          <w:tcPr>
            <w:tcW w:w="1026" w:type="dxa"/>
            <w:noWrap/>
            <w:hideMark/>
          </w:tcPr>
          <w:p w14:paraId="39C871DA" w14:textId="77777777" w:rsidR="006F259C" w:rsidRPr="00A46F57" w:rsidRDefault="000F5B51" w:rsidP="00343F45">
            <w:pPr>
              <w:spacing w:line="240" w:lineRule="auto"/>
              <w:jc w:val="center"/>
            </w:pPr>
            <w:r w:rsidRPr="00DA28E4">
              <w:t>5.2</w:t>
            </w:r>
          </w:p>
        </w:tc>
        <w:tc>
          <w:tcPr>
            <w:tcW w:w="1027" w:type="dxa"/>
            <w:noWrap/>
            <w:hideMark/>
          </w:tcPr>
          <w:p w14:paraId="59C4975A" w14:textId="77777777" w:rsidR="006F259C" w:rsidRPr="00A46F57" w:rsidRDefault="000F5B51" w:rsidP="00343F45">
            <w:pPr>
              <w:spacing w:line="240" w:lineRule="auto"/>
              <w:jc w:val="center"/>
            </w:pPr>
            <w:r w:rsidRPr="00DA28E4">
              <w:t>7.9</w:t>
            </w:r>
          </w:p>
        </w:tc>
        <w:tc>
          <w:tcPr>
            <w:tcW w:w="1027" w:type="dxa"/>
          </w:tcPr>
          <w:p w14:paraId="65EF4BC2" w14:textId="77777777" w:rsidR="006F259C" w:rsidRPr="00A46F57" w:rsidRDefault="000F5B51" w:rsidP="00343F45">
            <w:pPr>
              <w:spacing w:line="240" w:lineRule="auto"/>
              <w:jc w:val="center"/>
            </w:pPr>
            <w:r w:rsidRPr="002910F9">
              <w:t>4.4</w:t>
            </w:r>
          </w:p>
        </w:tc>
        <w:tc>
          <w:tcPr>
            <w:tcW w:w="1027" w:type="dxa"/>
          </w:tcPr>
          <w:p w14:paraId="283A392E" w14:textId="77777777" w:rsidR="006F259C" w:rsidRPr="00A46F57" w:rsidRDefault="000F5B51" w:rsidP="00343F45">
            <w:pPr>
              <w:spacing w:line="240" w:lineRule="auto"/>
              <w:jc w:val="center"/>
            </w:pPr>
            <w:r w:rsidRPr="002910F9">
              <w:t>6.6</w:t>
            </w:r>
          </w:p>
        </w:tc>
        <w:tc>
          <w:tcPr>
            <w:tcW w:w="1027" w:type="dxa"/>
          </w:tcPr>
          <w:p w14:paraId="5CB05C2C" w14:textId="77777777" w:rsidR="006F259C" w:rsidRPr="00A46F57" w:rsidRDefault="000F5B51" w:rsidP="00343F45">
            <w:pPr>
              <w:spacing w:line="240" w:lineRule="auto"/>
              <w:jc w:val="center"/>
            </w:pPr>
            <w:r w:rsidRPr="002910F9">
              <w:t>3.6</w:t>
            </w:r>
          </w:p>
        </w:tc>
        <w:tc>
          <w:tcPr>
            <w:tcW w:w="1027" w:type="dxa"/>
          </w:tcPr>
          <w:p w14:paraId="74CCE23E" w14:textId="77777777" w:rsidR="006F259C" w:rsidRPr="00A46F57" w:rsidRDefault="000F5B51" w:rsidP="00343F45">
            <w:pPr>
              <w:spacing w:line="240" w:lineRule="auto"/>
              <w:jc w:val="center"/>
            </w:pPr>
            <w:r w:rsidRPr="002910F9">
              <w:t>5.4</w:t>
            </w:r>
          </w:p>
        </w:tc>
      </w:tr>
      <w:tr w:rsidR="00A15C2C" w14:paraId="3862059C" w14:textId="77777777" w:rsidTr="00343F45">
        <w:trPr>
          <w:trHeight w:val="320"/>
        </w:trPr>
        <w:tc>
          <w:tcPr>
            <w:tcW w:w="1592" w:type="dxa"/>
            <w:vMerge/>
            <w:shd w:val="clear" w:color="auto" w:fill="D9D9D9" w:themeFill="background1" w:themeFillShade="D9"/>
            <w:noWrap/>
            <w:vAlign w:val="center"/>
            <w:hideMark/>
          </w:tcPr>
          <w:p w14:paraId="541AE62A" w14:textId="77777777" w:rsidR="006F259C" w:rsidRPr="00A46F57" w:rsidRDefault="006F259C" w:rsidP="00343F45">
            <w:pPr>
              <w:spacing w:line="240" w:lineRule="auto"/>
              <w:rPr>
                <w:b/>
                <w:bCs/>
              </w:rPr>
            </w:pPr>
          </w:p>
        </w:tc>
        <w:tc>
          <w:tcPr>
            <w:tcW w:w="1597" w:type="dxa"/>
            <w:shd w:val="clear" w:color="auto" w:fill="D9D9D9" w:themeFill="background1" w:themeFillShade="D9"/>
            <w:noWrap/>
            <w:hideMark/>
          </w:tcPr>
          <w:p w14:paraId="26FCC4A2" w14:textId="77777777" w:rsidR="006F259C" w:rsidRPr="00A46F57" w:rsidRDefault="000F5B51" w:rsidP="00343F45">
            <w:pPr>
              <w:spacing w:line="240" w:lineRule="auto"/>
            </w:pPr>
            <w:r w:rsidRPr="00A46F57">
              <w:t>MAIS 4</w:t>
            </w:r>
          </w:p>
        </w:tc>
        <w:tc>
          <w:tcPr>
            <w:tcW w:w="1026" w:type="dxa"/>
            <w:noWrap/>
            <w:hideMark/>
          </w:tcPr>
          <w:p w14:paraId="4A10397E" w14:textId="77777777" w:rsidR="006F259C" w:rsidRPr="00A46F57" w:rsidRDefault="000F5B51" w:rsidP="00343F45">
            <w:pPr>
              <w:spacing w:line="240" w:lineRule="auto"/>
              <w:jc w:val="center"/>
            </w:pPr>
            <w:r w:rsidRPr="00DA28E4">
              <w:t>4.3</w:t>
            </w:r>
          </w:p>
        </w:tc>
        <w:tc>
          <w:tcPr>
            <w:tcW w:w="1027" w:type="dxa"/>
            <w:noWrap/>
            <w:hideMark/>
          </w:tcPr>
          <w:p w14:paraId="6B7A6AEA" w14:textId="77777777" w:rsidR="006F259C" w:rsidRPr="00A46F57" w:rsidRDefault="000F5B51" w:rsidP="00343F45">
            <w:pPr>
              <w:spacing w:line="240" w:lineRule="auto"/>
              <w:jc w:val="center"/>
            </w:pPr>
            <w:r w:rsidRPr="00DA28E4">
              <w:t>6.4</w:t>
            </w:r>
          </w:p>
        </w:tc>
        <w:tc>
          <w:tcPr>
            <w:tcW w:w="1027" w:type="dxa"/>
          </w:tcPr>
          <w:p w14:paraId="52649289" w14:textId="77777777" w:rsidR="006F259C" w:rsidRPr="00A46F57" w:rsidRDefault="000F5B51" w:rsidP="00343F45">
            <w:pPr>
              <w:spacing w:line="240" w:lineRule="auto"/>
              <w:jc w:val="center"/>
            </w:pPr>
            <w:r w:rsidRPr="002910F9">
              <w:t>3.6</w:t>
            </w:r>
          </w:p>
        </w:tc>
        <w:tc>
          <w:tcPr>
            <w:tcW w:w="1027" w:type="dxa"/>
          </w:tcPr>
          <w:p w14:paraId="7756719A" w14:textId="77777777" w:rsidR="006F259C" w:rsidRPr="00A46F57" w:rsidRDefault="000F5B51" w:rsidP="00343F45">
            <w:pPr>
              <w:spacing w:line="240" w:lineRule="auto"/>
              <w:jc w:val="center"/>
            </w:pPr>
            <w:r w:rsidRPr="002910F9">
              <w:t>5.4</w:t>
            </w:r>
          </w:p>
        </w:tc>
        <w:tc>
          <w:tcPr>
            <w:tcW w:w="1027" w:type="dxa"/>
          </w:tcPr>
          <w:p w14:paraId="4A5106FF" w14:textId="77777777" w:rsidR="006F259C" w:rsidRPr="00A46F57" w:rsidRDefault="000F5B51" w:rsidP="00343F45">
            <w:pPr>
              <w:spacing w:line="240" w:lineRule="auto"/>
              <w:jc w:val="center"/>
            </w:pPr>
            <w:r w:rsidRPr="002910F9">
              <w:t>2.9</w:t>
            </w:r>
          </w:p>
        </w:tc>
        <w:tc>
          <w:tcPr>
            <w:tcW w:w="1027" w:type="dxa"/>
          </w:tcPr>
          <w:p w14:paraId="21864DC3" w14:textId="77777777" w:rsidR="006F259C" w:rsidRPr="00A46F57" w:rsidRDefault="000F5B51" w:rsidP="00343F45">
            <w:pPr>
              <w:spacing w:line="240" w:lineRule="auto"/>
              <w:jc w:val="center"/>
            </w:pPr>
            <w:r w:rsidRPr="002910F9">
              <w:t>4.4</w:t>
            </w:r>
          </w:p>
        </w:tc>
      </w:tr>
      <w:tr w:rsidR="00A15C2C" w14:paraId="155BA622" w14:textId="77777777" w:rsidTr="00343F45">
        <w:trPr>
          <w:trHeight w:val="320"/>
        </w:trPr>
        <w:tc>
          <w:tcPr>
            <w:tcW w:w="1592" w:type="dxa"/>
            <w:vMerge/>
            <w:shd w:val="clear" w:color="auto" w:fill="D9D9D9" w:themeFill="background1" w:themeFillShade="D9"/>
            <w:noWrap/>
            <w:vAlign w:val="center"/>
            <w:hideMark/>
          </w:tcPr>
          <w:p w14:paraId="237E0E5C" w14:textId="77777777" w:rsidR="006F259C" w:rsidRPr="00A46F57" w:rsidRDefault="006F259C" w:rsidP="00343F45">
            <w:pPr>
              <w:spacing w:line="240" w:lineRule="auto"/>
              <w:rPr>
                <w:b/>
                <w:bCs/>
              </w:rPr>
            </w:pPr>
          </w:p>
        </w:tc>
        <w:tc>
          <w:tcPr>
            <w:tcW w:w="1597" w:type="dxa"/>
            <w:shd w:val="clear" w:color="auto" w:fill="D9D9D9" w:themeFill="background1" w:themeFillShade="D9"/>
            <w:noWrap/>
            <w:hideMark/>
          </w:tcPr>
          <w:p w14:paraId="35F9AD59" w14:textId="77777777" w:rsidR="006F259C" w:rsidRPr="00A46F57" w:rsidRDefault="000F5B51" w:rsidP="00343F45">
            <w:pPr>
              <w:spacing w:line="240" w:lineRule="auto"/>
            </w:pPr>
            <w:r w:rsidRPr="00A46F57">
              <w:t>MAIS 5</w:t>
            </w:r>
          </w:p>
        </w:tc>
        <w:tc>
          <w:tcPr>
            <w:tcW w:w="1026" w:type="dxa"/>
            <w:noWrap/>
            <w:hideMark/>
          </w:tcPr>
          <w:p w14:paraId="467C0593" w14:textId="77777777" w:rsidR="006F259C" w:rsidRPr="00A46F57" w:rsidRDefault="000F5B51" w:rsidP="00343F45">
            <w:pPr>
              <w:spacing w:line="240" w:lineRule="auto"/>
              <w:jc w:val="center"/>
            </w:pPr>
            <w:r w:rsidRPr="00DA28E4">
              <w:t>0.1</w:t>
            </w:r>
          </w:p>
        </w:tc>
        <w:tc>
          <w:tcPr>
            <w:tcW w:w="1027" w:type="dxa"/>
            <w:noWrap/>
            <w:hideMark/>
          </w:tcPr>
          <w:p w14:paraId="1EEEB4DE" w14:textId="77777777" w:rsidR="006F259C" w:rsidRPr="00A46F57" w:rsidRDefault="000F5B51" w:rsidP="00343F45">
            <w:pPr>
              <w:spacing w:line="240" w:lineRule="auto"/>
              <w:jc w:val="center"/>
            </w:pPr>
            <w:r w:rsidRPr="00DA28E4">
              <w:t>0.2</w:t>
            </w:r>
          </w:p>
        </w:tc>
        <w:tc>
          <w:tcPr>
            <w:tcW w:w="1027" w:type="dxa"/>
          </w:tcPr>
          <w:p w14:paraId="469D61AB" w14:textId="77777777" w:rsidR="006F259C" w:rsidRPr="00A46F57" w:rsidRDefault="000F5B51" w:rsidP="00343F45">
            <w:pPr>
              <w:spacing w:line="240" w:lineRule="auto"/>
              <w:jc w:val="center"/>
            </w:pPr>
            <w:r w:rsidRPr="002910F9">
              <w:t>0.1</w:t>
            </w:r>
          </w:p>
        </w:tc>
        <w:tc>
          <w:tcPr>
            <w:tcW w:w="1027" w:type="dxa"/>
          </w:tcPr>
          <w:p w14:paraId="1EB8BFBB" w14:textId="77777777" w:rsidR="006F259C" w:rsidRPr="00A46F57" w:rsidRDefault="000F5B51" w:rsidP="00343F45">
            <w:pPr>
              <w:spacing w:line="240" w:lineRule="auto"/>
              <w:jc w:val="center"/>
            </w:pPr>
            <w:r w:rsidRPr="002910F9">
              <w:t>0.2</w:t>
            </w:r>
          </w:p>
        </w:tc>
        <w:tc>
          <w:tcPr>
            <w:tcW w:w="1027" w:type="dxa"/>
          </w:tcPr>
          <w:p w14:paraId="30A01DE9" w14:textId="77777777" w:rsidR="006F259C" w:rsidRPr="00A46F57" w:rsidRDefault="000F5B51" w:rsidP="00343F45">
            <w:pPr>
              <w:spacing w:line="240" w:lineRule="auto"/>
              <w:jc w:val="center"/>
            </w:pPr>
            <w:r w:rsidRPr="002910F9">
              <w:t>0.1</w:t>
            </w:r>
          </w:p>
        </w:tc>
        <w:tc>
          <w:tcPr>
            <w:tcW w:w="1027" w:type="dxa"/>
          </w:tcPr>
          <w:p w14:paraId="09A8373C" w14:textId="77777777" w:rsidR="006F259C" w:rsidRPr="00A46F57" w:rsidRDefault="000F5B51" w:rsidP="00343F45">
            <w:pPr>
              <w:spacing w:line="240" w:lineRule="auto"/>
              <w:jc w:val="center"/>
            </w:pPr>
            <w:r w:rsidRPr="002910F9">
              <w:t>0.1</w:t>
            </w:r>
          </w:p>
        </w:tc>
      </w:tr>
      <w:tr w:rsidR="00A15C2C" w14:paraId="3A5A4407" w14:textId="77777777" w:rsidTr="00343F45">
        <w:trPr>
          <w:trHeight w:val="310"/>
        </w:trPr>
        <w:tc>
          <w:tcPr>
            <w:tcW w:w="1592" w:type="dxa"/>
            <w:vMerge/>
            <w:shd w:val="clear" w:color="auto" w:fill="D9D9D9" w:themeFill="background1" w:themeFillShade="D9"/>
            <w:noWrap/>
            <w:vAlign w:val="center"/>
            <w:hideMark/>
          </w:tcPr>
          <w:p w14:paraId="780115B4" w14:textId="77777777" w:rsidR="006F259C" w:rsidRPr="00A46F57" w:rsidRDefault="006F259C" w:rsidP="00343F45">
            <w:pPr>
              <w:spacing w:line="240" w:lineRule="auto"/>
              <w:rPr>
                <w:b/>
                <w:bCs/>
              </w:rPr>
            </w:pPr>
          </w:p>
        </w:tc>
        <w:tc>
          <w:tcPr>
            <w:tcW w:w="1597" w:type="dxa"/>
            <w:shd w:val="clear" w:color="auto" w:fill="D9D9D9" w:themeFill="background1" w:themeFillShade="D9"/>
            <w:noWrap/>
            <w:hideMark/>
          </w:tcPr>
          <w:p w14:paraId="5CAA92CD" w14:textId="77777777" w:rsidR="006F259C" w:rsidRPr="00A46F57" w:rsidRDefault="000F5B51" w:rsidP="00343F45">
            <w:pPr>
              <w:spacing w:line="240" w:lineRule="auto"/>
              <w:rPr>
                <w:b/>
                <w:bCs/>
              </w:rPr>
            </w:pPr>
            <w:r w:rsidRPr="00A46F57">
              <w:rPr>
                <w:b/>
                <w:bCs/>
              </w:rPr>
              <w:t>Fatality</w:t>
            </w:r>
          </w:p>
        </w:tc>
        <w:tc>
          <w:tcPr>
            <w:tcW w:w="1026" w:type="dxa"/>
            <w:noWrap/>
            <w:hideMark/>
          </w:tcPr>
          <w:p w14:paraId="16CE986B" w14:textId="77777777" w:rsidR="006F259C" w:rsidRPr="00A46F57" w:rsidRDefault="000F5B51" w:rsidP="00343F45">
            <w:pPr>
              <w:spacing w:line="240" w:lineRule="auto"/>
              <w:jc w:val="center"/>
            </w:pPr>
            <w:r w:rsidRPr="00DA28E4">
              <w:t>10.8</w:t>
            </w:r>
          </w:p>
        </w:tc>
        <w:tc>
          <w:tcPr>
            <w:tcW w:w="1027" w:type="dxa"/>
            <w:noWrap/>
            <w:hideMark/>
          </w:tcPr>
          <w:p w14:paraId="0EBA0176" w14:textId="77777777" w:rsidR="006F259C" w:rsidRPr="00A46F57" w:rsidRDefault="000F5B51" w:rsidP="00343F45">
            <w:pPr>
              <w:spacing w:line="240" w:lineRule="auto"/>
              <w:jc w:val="center"/>
            </w:pPr>
            <w:r w:rsidRPr="00DA28E4">
              <w:t>16.2</w:t>
            </w:r>
          </w:p>
        </w:tc>
        <w:tc>
          <w:tcPr>
            <w:tcW w:w="1027" w:type="dxa"/>
          </w:tcPr>
          <w:p w14:paraId="10D6D560" w14:textId="77777777" w:rsidR="006F259C" w:rsidRPr="00A46F57" w:rsidRDefault="000F5B51" w:rsidP="00343F45">
            <w:pPr>
              <w:spacing w:line="240" w:lineRule="auto"/>
              <w:jc w:val="center"/>
            </w:pPr>
            <w:r w:rsidRPr="002910F9">
              <w:t>9.0</w:t>
            </w:r>
          </w:p>
        </w:tc>
        <w:tc>
          <w:tcPr>
            <w:tcW w:w="1027" w:type="dxa"/>
          </w:tcPr>
          <w:p w14:paraId="1CC47E9F" w14:textId="77777777" w:rsidR="006F259C" w:rsidRPr="00A46F57" w:rsidRDefault="000F5B51" w:rsidP="00343F45">
            <w:pPr>
              <w:spacing w:line="240" w:lineRule="auto"/>
              <w:jc w:val="center"/>
            </w:pPr>
            <w:r w:rsidRPr="002910F9">
              <w:t>13.6</w:t>
            </w:r>
          </w:p>
        </w:tc>
        <w:tc>
          <w:tcPr>
            <w:tcW w:w="1027" w:type="dxa"/>
          </w:tcPr>
          <w:p w14:paraId="393A5CD3" w14:textId="77777777" w:rsidR="006F259C" w:rsidRPr="00A46F57" w:rsidRDefault="000F5B51" w:rsidP="00343F45">
            <w:pPr>
              <w:spacing w:line="240" w:lineRule="auto"/>
              <w:jc w:val="center"/>
            </w:pPr>
            <w:r w:rsidRPr="002910F9">
              <w:t>7.3</w:t>
            </w:r>
          </w:p>
        </w:tc>
        <w:tc>
          <w:tcPr>
            <w:tcW w:w="1027" w:type="dxa"/>
          </w:tcPr>
          <w:p w14:paraId="0F07D3EF" w14:textId="77777777" w:rsidR="006F259C" w:rsidRPr="00A46F57" w:rsidRDefault="000F5B51" w:rsidP="00343F45">
            <w:pPr>
              <w:spacing w:line="240" w:lineRule="auto"/>
              <w:jc w:val="center"/>
            </w:pPr>
            <w:r w:rsidRPr="002910F9">
              <w:t>11.1</w:t>
            </w:r>
          </w:p>
        </w:tc>
      </w:tr>
      <w:tr w:rsidR="00A15C2C" w14:paraId="70E09D86" w14:textId="77777777" w:rsidTr="00343F45">
        <w:trPr>
          <w:trHeight w:val="320"/>
        </w:trPr>
        <w:tc>
          <w:tcPr>
            <w:tcW w:w="1592" w:type="dxa"/>
            <w:vMerge w:val="restart"/>
            <w:shd w:val="clear" w:color="auto" w:fill="D9D9D9" w:themeFill="background1" w:themeFillShade="D9"/>
            <w:noWrap/>
            <w:vAlign w:val="center"/>
            <w:hideMark/>
          </w:tcPr>
          <w:p w14:paraId="33F08FF8" w14:textId="77777777" w:rsidR="006F259C" w:rsidRPr="00A46F57" w:rsidRDefault="000F5B51" w:rsidP="00343F45">
            <w:pPr>
              <w:spacing w:line="240" w:lineRule="auto"/>
              <w:rPr>
                <w:b/>
                <w:bCs/>
              </w:rPr>
            </w:pPr>
            <w:r w:rsidRPr="006D7613">
              <w:rPr>
                <w:b/>
                <w:bCs/>
              </w:rPr>
              <w:t>LTV</w:t>
            </w:r>
          </w:p>
        </w:tc>
        <w:tc>
          <w:tcPr>
            <w:tcW w:w="1597" w:type="dxa"/>
            <w:shd w:val="clear" w:color="auto" w:fill="D9D9D9" w:themeFill="background1" w:themeFillShade="D9"/>
            <w:noWrap/>
            <w:hideMark/>
          </w:tcPr>
          <w:p w14:paraId="2ECFE540" w14:textId="77777777" w:rsidR="006F259C" w:rsidRPr="00A46F57" w:rsidRDefault="000F5B51" w:rsidP="00343F45">
            <w:pPr>
              <w:spacing w:line="240" w:lineRule="auto"/>
            </w:pPr>
            <w:r w:rsidRPr="00A46F57">
              <w:t>MAIS 1</w:t>
            </w:r>
          </w:p>
        </w:tc>
        <w:tc>
          <w:tcPr>
            <w:tcW w:w="1026" w:type="dxa"/>
            <w:noWrap/>
            <w:hideMark/>
          </w:tcPr>
          <w:p w14:paraId="789A9F04" w14:textId="77777777" w:rsidR="006F259C" w:rsidRPr="00A46F57" w:rsidRDefault="000F5B51" w:rsidP="00343F45">
            <w:pPr>
              <w:spacing w:line="240" w:lineRule="auto"/>
              <w:jc w:val="center"/>
            </w:pPr>
            <w:r w:rsidRPr="00DA28E4">
              <w:t>5.9</w:t>
            </w:r>
          </w:p>
        </w:tc>
        <w:tc>
          <w:tcPr>
            <w:tcW w:w="1027" w:type="dxa"/>
            <w:noWrap/>
            <w:hideMark/>
          </w:tcPr>
          <w:p w14:paraId="5ED34354" w14:textId="77777777" w:rsidR="006F259C" w:rsidRPr="00A46F57" w:rsidRDefault="000F5B51" w:rsidP="00343F45">
            <w:pPr>
              <w:spacing w:line="240" w:lineRule="auto"/>
              <w:jc w:val="center"/>
            </w:pPr>
            <w:r w:rsidRPr="00DA28E4">
              <w:t>8.9</w:t>
            </w:r>
          </w:p>
        </w:tc>
        <w:tc>
          <w:tcPr>
            <w:tcW w:w="1027" w:type="dxa"/>
          </w:tcPr>
          <w:p w14:paraId="69CAD67D" w14:textId="77777777" w:rsidR="006F259C" w:rsidRPr="00A46F57" w:rsidRDefault="000F5B51" w:rsidP="00343F45">
            <w:pPr>
              <w:spacing w:line="240" w:lineRule="auto"/>
              <w:jc w:val="center"/>
            </w:pPr>
            <w:r w:rsidRPr="002910F9">
              <w:t>4.9</w:t>
            </w:r>
          </w:p>
        </w:tc>
        <w:tc>
          <w:tcPr>
            <w:tcW w:w="1027" w:type="dxa"/>
          </w:tcPr>
          <w:p w14:paraId="2593659C" w14:textId="77777777" w:rsidR="006F259C" w:rsidRPr="00A46F57" w:rsidRDefault="000F5B51" w:rsidP="00343F45">
            <w:pPr>
              <w:spacing w:line="240" w:lineRule="auto"/>
              <w:jc w:val="center"/>
            </w:pPr>
            <w:r w:rsidRPr="002910F9">
              <w:t>7.3</w:t>
            </w:r>
          </w:p>
        </w:tc>
        <w:tc>
          <w:tcPr>
            <w:tcW w:w="1027" w:type="dxa"/>
          </w:tcPr>
          <w:p w14:paraId="22ADD03D" w14:textId="77777777" w:rsidR="006F259C" w:rsidRPr="00A46F57" w:rsidRDefault="000F5B51" w:rsidP="00343F45">
            <w:pPr>
              <w:spacing w:line="240" w:lineRule="auto"/>
              <w:jc w:val="center"/>
            </w:pPr>
            <w:r w:rsidRPr="002910F9">
              <w:t>3.9</w:t>
            </w:r>
          </w:p>
        </w:tc>
        <w:tc>
          <w:tcPr>
            <w:tcW w:w="1027" w:type="dxa"/>
          </w:tcPr>
          <w:p w14:paraId="011A8157" w14:textId="77777777" w:rsidR="006F259C" w:rsidRPr="00A46F57" w:rsidRDefault="000F5B51" w:rsidP="00343F45">
            <w:pPr>
              <w:spacing w:line="240" w:lineRule="auto"/>
              <w:jc w:val="center"/>
            </w:pPr>
            <w:r w:rsidRPr="002910F9">
              <w:t>5.9</w:t>
            </w:r>
          </w:p>
        </w:tc>
      </w:tr>
      <w:tr w:rsidR="00A15C2C" w14:paraId="5F54D004" w14:textId="77777777" w:rsidTr="00343F45">
        <w:trPr>
          <w:trHeight w:val="320"/>
        </w:trPr>
        <w:tc>
          <w:tcPr>
            <w:tcW w:w="1592" w:type="dxa"/>
            <w:vMerge/>
            <w:shd w:val="clear" w:color="auto" w:fill="D9D9D9" w:themeFill="background1" w:themeFillShade="D9"/>
            <w:noWrap/>
            <w:hideMark/>
          </w:tcPr>
          <w:p w14:paraId="7408235A" w14:textId="77777777" w:rsidR="006F259C" w:rsidRPr="00A46F57" w:rsidRDefault="006F259C" w:rsidP="00343F45"/>
        </w:tc>
        <w:tc>
          <w:tcPr>
            <w:tcW w:w="1597" w:type="dxa"/>
            <w:shd w:val="clear" w:color="auto" w:fill="D9D9D9" w:themeFill="background1" w:themeFillShade="D9"/>
            <w:noWrap/>
            <w:hideMark/>
          </w:tcPr>
          <w:p w14:paraId="77411ADE" w14:textId="77777777" w:rsidR="006F259C" w:rsidRPr="00A46F57" w:rsidRDefault="000F5B51" w:rsidP="00343F45">
            <w:pPr>
              <w:spacing w:line="240" w:lineRule="auto"/>
            </w:pPr>
            <w:r w:rsidRPr="00A46F57">
              <w:t>MAIS 2</w:t>
            </w:r>
          </w:p>
        </w:tc>
        <w:tc>
          <w:tcPr>
            <w:tcW w:w="1026" w:type="dxa"/>
            <w:noWrap/>
            <w:hideMark/>
          </w:tcPr>
          <w:p w14:paraId="17B0BB80" w14:textId="77777777" w:rsidR="006F259C" w:rsidRPr="00A46F57" w:rsidRDefault="000F5B51" w:rsidP="00343F45">
            <w:pPr>
              <w:spacing w:line="240" w:lineRule="auto"/>
              <w:jc w:val="center"/>
            </w:pPr>
            <w:r w:rsidRPr="00DA28E4">
              <w:t>12.5</w:t>
            </w:r>
          </w:p>
        </w:tc>
        <w:tc>
          <w:tcPr>
            <w:tcW w:w="1027" w:type="dxa"/>
            <w:noWrap/>
            <w:hideMark/>
          </w:tcPr>
          <w:p w14:paraId="7215D2EC" w14:textId="77777777" w:rsidR="006F259C" w:rsidRPr="00A46F57" w:rsidRDefault="000F5B51" w:rsidP="00343F45">
            <w:pPr>
              <w:spacing w:line="240" w:lineRule="auto"/>
              <w:jc w:val="center"/>
            </w:pPr>
            <w:r w:rsidRPr="00DA28E4">
              <w:t>18.8</w:t>
            </w:r>
          </w:p>
        </w:tc>
        <w:tc>
          <w:tcPr>
            <w:tcW w:w="1027" w:type="dxa"/>
          </w:tcPr>
          <w:p w14:paraId="4A499521" w14:textId="77777777" w:rsidR="006F259C" w:rsidRPr="00A46F57" w:rsidRDefault="000F5B51" w:rsidP="00343F45">
            <w:pPr>
              <w:spacing w:line="240" w:lineRule="auto"/>
              <w:jc w:val="center"/>
            </w:pPr>
            <w:r w:rsidRPr="002910F9">
              <w:t>10.3</w:t>
            </w:r>
          </w:p>
        </w:tc>
        <w:tc>
          <w:tcPr>
            <w:tcW w:w="1027" w:type="dxa"/>
          </w:tcPr>
          <w:p w14:paraId="03EAF453" w14:textId="77777777" w:rsidR="006F259C" w:rsidRPr="00A46F57" w:rsidRDefault="000F5B51" w:rsidP="00343F45">
            <w:pPr>
              <w:spacing w:line="240" w:lineRule="auto"/>
              <w:jc w:val="center"/>
            </w:pPr>
            <w:r w:rsidRPr="002910F9">
              <w:t>15.4</w:t>
            </w:r>
          </w:p>
        </w:tc>
        <w:tc>
          <w:tcPr>
            <w:tcW w:w="1027" w:type="dxa"/>
          </w:tcPr>
          <w:p w14:paraId="67ABC5C1" w14:textId="77777777" w:rsidR="006F259C" w:rsidRPr="00A46F57" w:rsidRDefault="000F5B51" w:rsidP="00343F45">
            <w:pPr>
              <w:spacing w:line="240" w:lineRule="auto"/>
              <w:jc w:val="center"/>
            </w:pPr>
            <w:r w:rsidRPr="002910F9">
              <w:t>8.3</w:t>
            </w:r>
          </w:p>
        </w:tc>
        <w:tc>
          <w:tcPr>
            <w:tcW w:w="1027" w:type="dxa"/>
          </w:tcPr>
          <w:p w14:paraId="43CE6065" w14:textId="77777777" w:rsidR="006F259C" w:rsidRPr="00A46F57" w:rsidRDefault="000F5B51" w:rsidP="00343F45">
            <w:pPr>
              <w:spacing w:line="240" w:lineRule="auto"/>
              <w:jc w:val="center"/>
            </w:pPr>
            <w:r w:rsidRPr="002910F9">
              <w:t>12.4</w:t>
            </w:r>
          </w:p>
        </w:tc>
      </w:tr>
      <w:tr w:rsidR="00A15C2C" w14:paraId="60F45FB0" w14:textId="77777777" w:rsidTr="00343F45">
        <w:trPr>
          <w:trHeight w:val="320"/>
        </w:trPr>
        <w:tc>
          <w:tcPr>
            <w:tcW w:w="1592" w:type="dxa"/>
            <w:vMerge/>
            <w:shd w:val="clear" w:color="auto" w:fill="D9D9D9" w:themeFill="background1" w:themeFillShade="D9"/>
            <w:noWrap/>
            <w:hideMark/>
          </w:tcPr>
          <w:p w14:paraId="53BD14AD" w14:textId="77777777" w:rsidR="006F259C" w:rsidRPr="00A46F57" w:rsidRDefault="006F259C" w:rsidP="00343F45"/>
        </w:tc>
        <w:tc>
          <w:tcPr>
            <w:tcW w:w="1597" w:type="dxa"/>
            <w:shd w:val="clear" w:color="auto" w:fill="D9D9D9" w:themeFill="background1" w:themeFillShade="D9"/>
            <w:noWrap/>
            <w:hideMark/>
          </w:tcPr>
          <w:p w14:paraId="17CF07EB" w14:textId="77777777" w:rsidR="006F259C" w:rsidRPr="00A46F57" w:rsidRDefault="000F5B51" w:rsidP="00343F45">
            <w:pPr>
              <w:spacing w:line="240" w:lineRule="auto"/>
            </w:pPr>
            <w:r w:rsidRPr="00A46F57">
              <w:t>MAIS 3</w:t>
            </w:r>
          </w:p>
        </w:tc>
        <w:tc>
          <w:tcPr>
            <w:tcW w:w="1026" w:type="dxa"/>
            <w:noWrap/>
            <w:hideMark/>
          </w:tcPr>
          <w:p w14:paraId="7C6F7864" w14:textId="77777777" w:rsidR="006F259C" w:rsidRPr="00A46F57" w:rsidRDefault="000F5B51" w:rsidP="00343F45">
            <w:pPr>
              <w:spacing w:line="240" w:lineRule="auto"/>
              <w:jc w:val="center"/>
            </w:pPr>
            <w:r w:rsidRPr="00DA28E4">
              <w:t>0.2</w:t>
            </w:r>
          </w:p>
        </w:tc>
        <w:tc>
          <w:tcPr>
            <w:tcW w:w="1027" w:type="dxa"/>
            <w:noWrap/>
            <w:hideMark/>
          </w:tcPr>
          <w:p w14:paraId="5B6A931B" w14:textId="77777777" w:rsidR="006F259C" w:rsidRPr="00A46F57" w:rsidRDefault="000F5B51" w:rsidP="00343F45">
            <w:pPr>
              <w:spacing w:line="240" w:lineRule="auto"/>
              <w:jc w:val="center"/>
            </w:pPr>
            <w:r w:rsidRPr="00DA28E4">
              <w:t>0.3</w:t>
            </w:r>
          </w:p>
        </w:tc>
        <w:tc>
          <w:tcPr>
            <w:tcW w:w="1027" w:type="dxa"/>
          </w:tcPr>
          <w:p w14:paraId="229A598A" w14:textId="77777777" w:rsidR="006F259C" w:rsidRPr="00A46F57" w:rsidRDefault="000F5B51" w:rsidP="00343F45">
            <w:pPr>
              <w:spacing w:line="240" w:lineRule="auto"/>
              <w:jc w:val="center"/>
            </w:pPr>
            <w:r w:rsidRPr="002910F9">
              <w:t>0.2</w:t>
            </w:r>
          </w:p>
        </w:tc>
        <w:tc>
          <w:tcPr>
            <w:tcW w:w="1027" w:type="dxa"/>
          </w:tcPr>
          <w:p w14:paraId="1669B7BC" w14:textId="77777777" w:rsidR="006F259C" w:rsidRPr="00A46F57" w:rsidRDefault="000F5B51" w:rsidP="00343F45">
            <w:pPr>
              <w:spacing w:line="240" w:lineRule="auto"/>
              <w:jc w:val="center"/>
            </w:pPr>
            <w:r w:rsidRPr="002910F9">
              <w:t>0.3</w:t>
            </w:r>
          </w:p>
        </w:tc>
        <w:tc>
          <w:tcPr>
            <w:tcW w:w="1027" w:type="dxa"/>
          </w:tcPr>
          <w:p w14:paraId="70BA6E67" w14:textId="77777777" w:rsidR="006F259C" w:rsidRPr="00A46F57" w:rsidRDefault="000F5B51" w:rsidP="00343F45">
            <w:pPr>
              <w:spacing w:line="240" w:lineRule="auto"/>
              <w:jc w:val="center"/>
            </w:pPr>
            <w:r w:rsidRPr="002910F9">
              <w:t>0.1</w:t>
            </w:r>
          </w:p>
        </w:tc>
        <w:tc>
          <w:tcPr>
            <w:tcW w:w="1027" w:type="dxa"/>
          </w:tcPr>
          <w:p w14:paraId="3B2A4DB8" w14:textId="77777777" w:rsidR="006F259C" w:rsidRPr="00A46F57" w:rsidRDefault="000F5B51" w:rsidP="00343F45">
            <w:pPr>
              <w:spacing w:line="240" w:lineRule="auto"/>
              <w:jc w:val="center"/>
            </w:pPr>
            <w:r w:rsidRPr="002910F9">
              <w:t>0.2</w:t>
            </w:r>
          </w:p>
        </w:tc>
      </w:tr>
      <w:tr w:rsidR="00A15C2C" w14:paraId="0C819D80" w14:textId="77777777" w:rsidTr="00343F45">
        <w:trPr>
          <w:trHeight w:val="320"/>
        </w:trPr>
        <w:tc>
          <w:tcPr>
            <w:tcW w:w="1592" w:type="dxa"/>
            <w:vMerge/>
            <w:shd w:val="clear" w:color="auto" w:fill="D9D9D9" w:themeFill="background1" w:themeFillShade="D9"/>
            <w:noWrap/>
            <w:hideMark/>
          </w:tcPr>
          <w:p w14:paraId="1A07C698" w14:textId="77777777" w:rsidR="006F259C" w:rsidRPr="00A46F57" w:rsidRDefault="006F259C" w:rsidP="00343F45"/>
        </w:tc>
        <w:tc>
          <w:tcPr>
            <w:tcW w:w="1597" w:type="dxa"/>
            <w:shd w:val="clear" w:color="auto" w:fill="D9D9D9" w:themeFill="background1" w:themeFillShade="D9"/>
            <w:noWrap/>
            <w:hideMark/>
          </w:tcPr>
          <w:p w14:paraId="375A7F06" w14:textId="77777777" w:rsidR="006F259C" w:rsidRPr="00A46F57" w:rsidRDefault="000F5B51" w:rsidP="00343F45">
            <w:pPr>
              <w:spacing w:line="240" w:lineRule="auto"/>
            </w:pPr>
            <w:r w:rsidRPr="00A46F57">
              <w:t>MAIS 4</w:t>
            </w:r>
          </w:p>
        </w:tc>
        <w:tc>
          <w:tcPr>
            <w:tcW w:w="1026" w:type="dxa"/>
            <w:noWrap/>
            <w:hideMark/>
          </w:tcPr>
          <w:p w14:paraId="25C7DFCC" w14:textId="77777777" w:rsidR="006F259C" w:rsidRPr="00A46F57" w:rsidRDefault="000F5B51" w:rsidP="00343F45">
            <w:pPr>
              <w:spacing w:line="240" w:lineRule="auto"/>
              <w:jc w:val="center"/>
            </w:pPr>
            <w:r w:rsidRPr="00DA28E4">
              <w:t>1.1</w:t>
            </w:r>
          </w:p>
        </w:tc>
        <w:tc>
          <w:tcPr>
            <w:tcW w:w="1027" w:type="dxa"/>
            <w:noWrap/>
            <w:hideMark/>
          </w:tcPr>
          <w:p w14:paraId="7FE16E0C" w14:textId="77777777" w:rsidR="006F259C" w:rsidRPr="00A46F57" w:rsidRDefault="000F5B51" w:rsidP="00343F45">
            <w:pPr>
              <w:spacing w:line="240" w:lineRule="auto"/>
              <w:jc w:val="center"/>
            </w:pPr>
            <w:r w:rsidRPr="00DA28E4">
              <w:t>1.7</w:t>
            </w:r>
          </w:p>
        </w:tc>
        <w:tc>
          <w:tcPr>
            <w:tcW w:w="1027" w:type="dxa"/>
          </w:tcPr>
          <w:p w14:paraId="0647B381" w14:textId="77777777" w:rsidR="006F259C" w:rsidRPr="00A46F57" w:rsidRDefault="000F5B51" w:rsidP="00343F45">
            <w:pPr>
              <w:spacing w:line="240" w:lineRule="auto"/>
              <w:jc w:val="center"/>
            </w:pPr>
            <w:r w:rsidRPr="002910F9">
              <w:t>0.9</w:t>
            </w:r>
          </w:p>
        </w:tc>
        <w:tc>
          <w:tcPr>
            <w:tcW w:w="1027" w:type="dxa"/>
          </w:tcPr>
          <w:p w14:paraId="07BE1A22" w14:textId="77777777" w:rsidR="006F259C" w:rsidRPr="00A46F57" w:rsidRDefault="000F5B51" w:rsidP="00343F45">
            <w:pPr>
              <w:spacing w:line="240" w:lineRule="auto"/>
              <w:jc w:val="center"/>
            </w:pPr>
            <w:r w:rsidRPr="002910F9">
              <w:t>1.4</w:t>
            </w:r>
          </w:p>
        </w:tc>
        <w:tc>
          <w:tcPr>
            <w:tcW w:w="1027" w:type="dxa"/>
          </w:tcPr>
          <w:p w14:paraId="22FD3BA8" w14:textId="77777777" w:rsidR="006F259C" w:rsidRPr="00A46F57" w:rsidRDefault="000F5B51" w:rsidP="00343F45">
            <w:pPr>
              <w:spacing w:line="240" w:lineRule="auto"/>
              <w:jc w:val="center"/>
            </w:pPr>
            <w:r w:rsidRPr="002910F9">
              <w:t>0.8</w:t>
            </w:r>
          </w:p>
        </w:tc>
        <w:tc>
          <w:tcPr>
            <w:tcW w:w="1027" w:type="dxa"/>
          </w:tcPr>
          <w:p w14:paraId="67E66370" w14:textId="77777777" w:rsidR="006F259C" w:rsidRPr="00A46F57" w:rsidRDefault="000F5B51" w:rsidP="00343F45">
            <w:pPr>
              <w:spacing w:line="240" w:lineRule="auto"/>
              <w:jc w:val="center"/>
            </w:pPr>
            <w:r w:rsidRPr="002910F9">
              <w:t>1.1</w:t>
            </w:r>
          </w:p>
        </w:tc>
      </w:tr>
      <w:tr w:rsidR="00A15C2C" w14:paraId="796918FD" w14:textId="77777777" w:rsidTr="00343F45">
        <w:trPr>
          <w:trHeight w:val="320"/>
        </w:trPr>
        <w:tc>
          <w:tcPr>
            <w:tcW w:w="1592" w:type="dxa"/>
            <w:vMerge/>
            <w:shd w:val="clear" w:color="auto" w:fill="D9D9D9" w:themeFill="background1" w:themeFillShade="D9"/>
            <w:noWrap/>
            <w:hideMark/>
          </w:tcPr>
          <w:p w14:paraId="6383FADC" w14:textId="77777777" w:rsidR="006F259C" w:rsidRPr="00A46F57" w:rsidRDefault="006F259C" w:rsidP="00343F45"/>
        </w:tc>
        <w:tc>
          <w:tcPr>
            <w:tcW w:w="1597" w:type="dxa"/>
            <w:shd w:val="clear" w:color="auto" w:fill="D9D9D9" w:themeFill="background1" w:themeFillShade="D9"/>
            <w:noWrap/>
            <w:hideMark/>
          </w:tcPr>
          <w:p w14:paraId="593BAF13" w14:textId="77777777" w:rsidR="006F259C" w:rsidRPr="00A46F57" w:rsidRDefault="000F5B51" w:rsidP="00343F45">
            <w:pPr>
              <w:spacing w:line="240" w:lineRule="auto"/>
            </w:pPr>
            <w:r w:rsidRPr="00A46F57">
              <w:t>MAIS 5</w:t>
            </w:r>
          </w:p>
        </w:tc>
        <w:tc>
          <w:tcPr>
            <w:tcW w:w="1026" w:type="dxa"/>
            <w:noWrap/>
            <w:hideMark/>
          </w:tcPr>
          <w:p w14:paraId="61B84DFB" w14:textId="77777777" w:rsidR="006F259C" w:rsidRPr="00A46F57" w:rsidRDefault="000F5B51" w:rsidP="00343F45">
            <w:pPr>
              <w:spacing w:line="240" w:lineRule="auto"/>
              <w:jc w:val="center"/>
            </w:pPr>
            <w:r w:rsidRPr="00DA28E4">
              <w:t>0.0</w:t>
            </w:r>
          </w:p>
        </w:tc>
        <w:tc>
          <w:tcPr>
            <w:tcW w:w="1027" w:type="dxa"/>
            <w:noWrap/>
            <w:hideMark/>
          </w:tcPr>
          <w:p w14:paraId="76948D77" w14:textId="77777777" w:rsidR="006F259C" w:rsidRPr="00A46F57" w:rsidRDefault="000F5B51" w:rsidP="00343F45">
            <w:pPr>
              <w:spacing w:line="240" w:lineRule="auto"/>
              <w:jc w:val="center"/>
            </w:pPr>
            <w:r w:rsidRPr="00DA28E4">
              <w:t>0.0</w:t>
            </w:r>
          </w:p>
        </w:tc>
        <w:tc>
          <w:tcPr>
            <w:tcW w:w="1027" w:type="dxa"/>
          </w:tcPr>
          <w:p w14:paraId="3C041507" w14:textId="77777777" w:rsidR="006F259C" w:rsidRPr="00A46F57" w:rsidRDefault="000F5B51" w:rsidP="00343F45">
            <w:pPr>
              <w:spacing w:line="240" w:lineRule="auto"/>
              <w:jc w:val="center"/>
            </w:pPr>
            <w:r w:rsidRPr="002910F9">
              <w:t>0.0</w:t>
            </w:r>
          </w:p>
        </w:tc>
        <w:tc>
          <w:tcPr>
            <w:tcW w:w="1027" w:type="dxa"/>
          </w:tcPr>
          <w:p w14:paraId="03A77EB2" w14:textId="77777777" w:rsidR="006F259C" w:rsidRPr="00A46F57" w:rsidRDefault="000F5B51" w:rsidP="00343F45">
            <w:pPr>
              <w:spacing w:line="240" w:lineRule="auto"/>
              <w:jc w:val="center"/>
            </w:pPr>
            <w:r w:rsidRPr="002910F9">
              <w:t>0.0</w:t>
            </w:r>
          </w:p>
        </w:tc>
        <w:tc>
          <w:tcPr>
            <w:tcW w:w="1027" w:type="dxa"/>
          </w:tcPr>
          <w:p w14:paraId="4BB41B46" w14:textId="77777777" w:rsidR="006F259C" w:rsidRPr="00A46F57" w:rsidRDefault="000F5B51" w:rsidP="00343F45">
            <w:pPr>
              <w:spacing w:line="240" w:lineRule="auto"/>
              <w:jc w:val="center"/>
            </w:pPr>
            <w:r w:rsidRPr="002910F9">
              <w:t>0.0</w:t>
            </w:r>
          </w:p>
        </w:tc>
        <w:tc>
          <w:tcPr>
            <w:tcW w:w="1027" w:type="dxa"/>
          </w:tcPr>
          <w:p w14:paraId="57873780" w14:textId="77777777" w:rsidR="006F259C" w:rsidRPr="00A46F57" w:rsidRDefault="000F5B51" w:rsidP="00343F45">
            <w:pPr>
              <w:spacing w:line="240" w:lineRule="auto"/>
              <w:jc w:val="center"/>
            </w:pPr>
            <w:r w:rsidRPr="002910F9">
              <w:t>0.0</w:t>
            </w:r>
          </w:p>
        </w:tc>
      </w:tr>
      <w:tr w:rsidR="00A15C2C" w14:paraId="09D58A5E" w14:textId="77777777" w:rsidTr="00343F45">
        <w:trPr>
          <w:trHeight w:val="310"/>
        </w:trPr>
        <w:tc>
          <w:tcPr>
            <w:tcW w:w="1592" w:type="dxa"/>
            <w:vMerge/>
            <w:shd w:val="clear" w:color="auto" w:fill="D9D9D9" w:themeFill="background1" w:themeFillShade="D9"/>
            <w:noWrap/>
            <w:hideMark/>
          </w:tcPr>
          <w:p w14:paraId="4FF0ACE7" w14:textId="77777777" w:rsidR="006F259C" w:rsidRPr="00A46F57" w:rsidRDefault="006F259C" w:rsidP="00343F45"/>
        </w:tc>
        <w:tc>
          <w:tcPr>
            <w:tcW w:w="1597" w:type="dxa"/>
            <w:shd w:val="clear" w:color="auto" w:fill="D9D9D9" w:themeFill="background1" w:themeFillShade="D9"/>
            <w:noWrap/>
            <w:hideMark/>
          </w:tcPr>
          <w:p w14:paraId="5F25F1A8" w14:textId="77777777" w:rsidR="006F259C" w:rsidRPr="00A46F57" w:rsidRDefault="000F5B51" w:rsidP="00343F45">
            <w:pPr>
              <w:spacing w:line="240" w:lineRule="auto"/>
              <w:rPr>
                <w:b/>
                <w:bCs/>
              </w:rPr>
            </w:pPr>
            <w:r w:rsidRPr="00A46F57">
              <w:rPr>
                <w:b/>
                <w:bCs/>
              </w:rPr>
              <w:t>Fatality</w:t>
            </w:r>
          </w:p>
        </w:tc>
        <w:tc>
          <w:tcPr>
            <w:tcW w:w="1026" w:type="dxa"/>
            <w:noWrap/>
            <w:hideMark/>
          </w:tcPr>
          <w:p w14:paraId="4DB4AEC5" w14:textId="77777777" w:rsidR="006F259C" w:rsidRPr="00A46F57" w:rsidRDefault="000F5B51" w:rsidP="00343F45">
            <w:pPr>
              <w:spacing w:line="240" w:lineRule="auto"/>
              <w:jc w:val="center"/>
            </w:pPr>
            <w:r w:rsidRPr="00DA28E4">
              <w:t>11.1</w:t>
            </w:r>
          </w:p>
        </w:tc>
        <w:tc>
          <w:tcPr>
            <w:tcW w:w="1027" w:type="dxa"/>
            <w:noWrap/>
            <w:hideMark/>
          </w:tcPr>
          <w:p w14:paraId="27A19542" w14:textId="77777777" w:rsidR="006F259C" w:rsidRPr="00A46F57" w:rsidRDefault="000F5B51" w:rsidP="00343F45">
            <w:pPr>
              <w:spacing w:line="240" w:lineRule="auto"/>
              <w:jc w:val="center"/>
            </w:pPr>
            <w:r w:rsidRPr="00DA28E4">
              <w:t>16.8</w:t>
            </w:r>
          </w:p>
        </w:tc>
        <w:tc>
          <w:tcPr>
            <w:tcW w:w="1027" w:type="dxa"/>
          </w:tcPr>
          <w:p w14:paraId="7CE7C8B5" w14:textId="77777777" w:rsidR="006F259C" w:rsidRPr="00A46F57" w:rsidRDefault="000F5B51" w:rsidP="00343F45">
            <w:pPr>
              <w:spacing w:line="240" w:lineRule="auto"/>
              <w:jc w:val="center"/>
            </w:pPr>
            <w:r w:rsidRPr="002910F9">
              <w:t>9.2</w:t>
            </w:r>
          </w:p>
        </w:tc>
        <w:tc>
          <w:tcPr>
            <w:tcW w:w="1027" w:type="dxa"/>
          </w:tcPr>
          <w:p w14:paraId="630BCFBF" w14:textId="77777777" w:rsidR="006F259C" w:rsidRPr="00A46F57" w:rsidRDefault="000F5B51" w:rsidP="00343F45">
            <w:pPr>
              <w:spacing w:line="240" w:lineRule="auto"/>
              <w:jc w:val="center"/>
            </w:pPr>
            <w:r w:rsidRPr="002910F9">
              <w:t>13.8</w:t>
            </w:r>
          </w:p>
        </w:tc>
        <w:tc>
          <w:tcPr>
            <w:tcW w:w="1027" w:type="dxa"/>
          </w:tcPr>
          <w:p w14:paraId="572DC64D" w14:textId="77777777" w:rsidR="006F259C" w:rsidRPr="00A46F57" w:rsidRDefault="000F5B51" w:rsidP="00343F45">
            <w:pPr>
              <w:spacing w:line="240" w:lineRule="auto"/>
              <w:jc w:val="center"/>
            </w:pPr>
            <w:r w:rsidRPr="002910F9">
              <w:t>7.4</w:t>
            </w:r>
          </w:p>
        </w:tc>
        <w:tc>
          <w:tcPr>
            <w:tcW w:w="1027" w:type="dxa"/>
          </w:tcPr>
          <w:p w14:paraId="121D51BD" w14:textId="77777777" w:rsidR="006F259C" w:rsidRPr="00A46F57" w:rsidRDefault="000F5B51" w:rsidP="00343F45">
            <w:pPr>
              <w:spacing w:line="240" w:lineRule="auto"/>
              <w:jc w:val="center"/>
            </w:pPr>
            <w:r w:rsidRPr="002910F9">
              <w:t>11.1</w:t>
            </w:r>
          </w:p>
        </w:tc>
      </w:tr>
    </w:tbl>
    <w:p w14:paraId="6029EF4B" w14:textId="3D133265" w:rsidR="006F259C" w:rsidRDefault="000F5B51" w:rsidP="006F259C">
      <w:pPr>
        <w:rPr>
          <w:sz w:val="18"/>
          <w:szCs w:val="16"/>
        </w:rPr>
      </w:pPr>
      <w:r w:rsidRPr="00572735">
        <w:rPr>
          <w:sz w:val="18"/>
          <w:szCs w:val="16"/>
        </w:rPr>
        <w:t>Note: Values may not sum due to rounding.</w:t>
      </w:r>
    </w:p>
    <w:p w14:paraId="248111C7" w14:textId="0693C4E8" w:rsidR="00F1151E" w:rsidRDefault="00F1151E" w:rsidP="006F259C">
      <w:pPr>
        <w:rPr>
          <w:sz w:val="18"/>
          <w:szCs w:val="16"/>
        </w:rPr>
      </w:pPr>
    </w:p>
    <w:p w14:paraId="6DF5A1F0" w14:textId="03527418" w:rsidR="00F1151E" w:rsidRDefault="00F1151E" w:rsidP="006F259C">
      <w:pPr>
        <w:rPr>
          <w:sz w:val="18"/>
          <w:szCs w:val="16"/>
        </w:rPr>
      </w:pPr>
    </w:p>
    <w:p w14:paraId="0D3C7298" w14:textId="6304FBB3" w:rsidR="00F1151E" w:rsidRDefault="00F1151E" w:rsidP="006F259C">
      <w:pPr>
        <w:rPr>
          <w:sz w:val="18"/>
          <w:szCs w:val="16"/>
        </w:rPr>
      </w:pPr>
    </w:p>
    <w:p w14:paraId="5138E1A0" w14:textId="0E349F5B" w:rsidR="00F1151E" w:rsidRDefault="00F1151E" w:rsidP="006F259C">
      <w:pPr>
        <w:rPr>
          <w:sz w:val="18"/>
          <w:szCs w:val="16"/>
        </w:rPr>
      </w:pPr>
    </w:p>
    <w:p w14:paraId="13D20C93" w14:textId="77777777" w:rsidR="00F1151E" w:rsidRDefault="00F1151E" w:rsidP="006F259C"/>
    <w:p w14:paraId="43CE0476" w14:textId="75CECC0C" w:rsidR="006F259C" w:rsidRPr="00572735" w:rsidRDefault="000F5B51" w:rsidP="006F259C">
      <w:pPr>
        <w:pStyle w:val="Caption"/>
      </w:pPr>
      <w:r w:rsidRPr="00572735">
        <w:lastRenderedPageBreak/>
        <w:t xml:space="preserve">Table </w:t>
      </w:r>
      <w:r w:rsidR="00115BAB">
        <w:fldChar w:fldCharType="begin"/>
      </w:r>
      <w:r>
        <w:instrText xml:space="preserve"> SEQ Table \* ARABIC </w:instrText>
      </w:r>
      <w:r w:rsidR="00115BAB">
        <w:fldChar w:fldCharType="separate"/>
      </w:r>
      <w:r w:rsidR="00A65CB3">
        <w:rPr>
          <w:noProof/>
        </w:rPr>
        <w:t>141</w:t>
      </w:r>
      <w:r w:rsidR="00115BAB">
        <w:rPr>
          <w:noProof/>
        </w:rPr>
        <w:fldChar w:fldCharType="end"/>
      </w:r>
      <w:r w:rsidRPr="00572735">
        <w:t>: Calculation of Discounted Benefits Rear Seat Occupants</w:t>
      </w:r>
      <w:r>
        <w:t xml:space="preserve"> 6 to 10 Years old</w:t>
      </w:r>
    </w:p>
    <w:tbl>
      <w:tblPr>
        <w:tblStyle w:val="TableGrid3"/>
        <w:tblW w:w="9350" w:type="dxa"/>
        <w:tblLayout w:type="fixed"/>
        <w:tblLook w:val="04A0" w:firstRow="1" w:lastRow="0" w:firstColumn="1" w:lastColumn="0" w:noHBand="0" w:noVBand="1"/>
      </w:tblPr>
      <w:tblGrid>
        <w:gridCol w:w="1592"/>
        <w:gridCol w:w="1597"/>
        <w:gridCol w:w="1026"/>
        <w:gridCol w:w="1027"/>
        <w:gridCol w:w="1027"/>
        <w:gridCol w:w="1027"/>
        <w:gridCol w:w="1027"/>
        <w:gridCol w:w="1027"/>
      </w:tblGrid>
      <w:tr w:rsidR="00A15C2C" w14:paraId="3B9EF025" w14:textId="77777777" w:rsidTr="00343F45">
        <w:trPr>
          <w:trHeight w:val="310"/>
        </w:trPr>
        <w:tc>
          <w:tcPr>
            <w:tcW w:w="1592" w:type="dxa"/>
            <w:vMerge w:val="restart"/>
            <w:shd w:val="clear" w:color="auto" w:fill="D9D9D9" w:themeFill="background1" w:themeFillShade="D9"/>
            <w:noWrap/>
            <w:vAlign w:val="center"/>
            <w:hideMark/>
          </w:tcPr>
          <w:p w14:paraId="518DF224" w14:textId="77777777" w:rsidR="006F259C" w:rsidRPr="00A46F57" w:rsidRDefault="000F5B51" w:rsidP="00343F45">
            <w:pPr>
              <w:spacing w:line="240" w:lineRule="auto"/>
              <w:rPr>
                <w:b/>
                <w:bCs/>
              </w:rPr>
            </w:pPr>
            <w:r w:rsidRPr="006D7613">
              <w:rPr>
                <w:b/>
                <w:bCs/>
              </w:rPr>
              <w:t>Vehicle Type</w:t>
            </w:r>
          </w:p>
        </w:tc>
        <w:tc>
          <w:tcPr>
            <w:tcW w:w="1597" w:type="dxa"/>
            <w:vMerge w:val="restart"/>
            <w:shd w:val="clear" w:color="auto" w:fill="D9D9D9" w:themeFill="background1" w:themeFillShade="D9"/>
            <w:noWrap/>
            <w:hideMark/>
          </w:tcPr>
          <w:p w14:paraId="4D8F2FA9" w14:textId="77777777" w:rsidR="006F259C" w:rsidRPr="007F6FCD" w:rsidRDefault="000F5B51" w:rsidP="00343F45">
            <w:pPr>
              <w:spacing w:line="240" w:lineRule="auto"/>
              <w:rPr>
                <w:b/>
                <w:bCs/>
              </w:rPr>
            </w:pPr>
            <w:r w:rsidRPr="00A46F57">
              <w:rPr>
                <w:b/>
                <w:bCs/>
              </w:rPr>
              <w:t> </w:t>
            </w:r>
          </w:p>
          <w:p w14:paraId="09244568" w14:textId="77777777" w:rsidR="006F259C" w:rsidRPr="00A46F57" w:rsidRDefault="000F5B51" w:rsidP="00343F45">
            <w:pPr>
              <w:spacing w:line="240" w:lineRule="auto"/>
              <w:rPr>
                <w:b/>
                <w:bCs/>
              </w:rPr>
            </w:pPr>
            <w:r w:rsidRPr="00A46F57">
              <w:rPr>
                <w:b/>
                <w:bCs/>
              </w:rPr>
              <w:t xml:space="preserve">Injury Severity </w:t>
            </w:r>
          </w:p>
        </w:tc>
        <w:tc>
          <w:tcPr>
            <w:tcW w:w="2053" w:type="dxa"/>
            <w:gridSpan w:val="2"/>
            <w:shd w:val="clear" w:color="auto" w:fill="D9D9D9" w:themeFill="background1" w:themeFillShade="D9"/>
            <w:noWrap/>
            <w:vAlign w:val="center"/>
            <w:hideMark/>
          </w:tcPr>
          <w:p w14:paraId="4F87668B" w14:textId="77777777" w:rsidR="006F259C" w:rsidRPr="00A46F57" w:rsidRDefault="000F5B51" w:rsidP="00343F45">
            <w:pPr>
              <w:spacing w:line="240" w:lineRule="auto"/>
              <w:jc w:val="center"/>
              <w:rPr>
                <w:b/>
                <w:bCs/>
              </w:rPr>
            </w:pPr>
            <w:r w:rsidRPr="007F6FCD">
              <w:rPr>
                <w:b/>
                <w:bCs/>
              </w:rPr>
              <w:t xml:space="preserve">Undiscounted </w:t>
            </w:r>
            <w:r w:rsidRPr="00A46F57">
              <w:rPr>
                <w:b/>
                <w:bCs/>
              </w:rPr>
              <w:t>Incremental Benefits</w:t>
            </w:r>
          </w:p>
        </w:tc>
        <w:tc>
          <w:tcPr>
            <w:tcW w:w="2054" w:type="dxa"/>
            <w:gridSpan w:val="2"/>
            <w:shd w:val="clear" w:color="auto" w:fill="D9D9D9" w:themeFill="background1" w:themeFillShade="D9"/>
            <w:vAlign w:val="center"/>
          </w:tcPr>
          <w:p w14:paraId="1875D271" w14:textId="77777777" w:rsidR="006F259C" w:rsidRPr="007F6FCD" w:rsidRDefault="000F5B51" w:rsidP="00343F45">
            <w:pPr>
              <w:spacing w:line="240" w:lineRule="auto"/>
              <w:jc w:val="center"/>
              <w:rPr>
                <w:b/>
                <w:bCs/>
              </w:rPr>
            </w:pPr>
            <w:r>
              <w:rPr>
                <w:b/>
                <w:bCs/>
              </w:rPr>
              <w:t>Discounted at 3%</w:t>
            </w:r>
          </w:p>
        </w:tc>
        <w:tc>
          <w:tcPr>
            <w:tcW w:w="2054" w:type="dxa"/>
            <w:gridSpan w:val="2"/>
            <w:shd w:val="clear" w:color="auto" w:fill="D9D9D9" w:themeFill="background1" w:themeFillShade="D9"/>
            <w:vAlign w:val="center"/>
          </w:tcPr>
          <w:p w14:paraId="7B16FAC2" w14:textId="77777777" w:rsidR="006F259C" w:rsidRPr="007F6FCD" w:rsidRDefault="000F5B51" w:rsidP="00343F45">
            <w:pPr>
              <w:spacing w:line="240" w:lineRule="auto"/>
              <w:jc w:val="center"/>
              <w:rPr>
                <w:b/>
                <w:bCs/>
              </w:rPr>
            </w:pPr>
            <w:r>
              <w:rPr>
                <w:b/>
                <w:bCs/>
              </w:rPr>
              <w:t>Discounted at 7%</w:t>
            </w:r>
          </w:p>
        </w:tc>
      </w:tr>
      <w:tr w:rsidR="00A15C2C" w14:paraId="281ED294" w14:textId="77777777" w:rsidTr="00343F45">
        <w:trPr>
          <w:trHeight w:val="310"/>
        </w:trPr>
        <w:tc>
          <w:tcPr>
            <w:tcW w:w="1592" w:type="dxa"/>
            <w:vMerge/>
            <w:shd w:val="clear" w:color="auto" w:fill="D9D9D9" w:themeFill="background1" w:themeFillShade="D9"/>
            <w:noWrap/>
            <w:vAlign w:val="center"/>
            <w:hideMark/>
          </w:tcPr>
          <w:p w14:paraId="5B6F8518" w14:textId="77777777" w:rsidR="006F259C" w:rsidRPr="00A46F57" w:rsidRDefault="006F259C" w:rsidP="00343F45">
            <w:pPr>
              <w:rPr>
                <w:b/>
                <w:bCs/>
              </w:rPr>
            </w:pPr>
          </w:p>
        </w:tc>
        <w:tc>
          <w:tcPr>
            <w:tcW w:w="1597" w:type="dxa"/>
            <w:vMerge/>
            <w:shd w:val="clear" w:color="auto" w:fill="D9D9D9" w:themeFill="background1" w:themeFillShade="D9"/>
            <w:noWrap/>
            <w:hideMark/>
          </w:tcPr>
          <w:p w14:paraId="6051D8C3" w14:textId="77777777" w:rsidR="006F259C" w:rsidRPr="00A46F57" w:rsidRDefault="006F259C" w:rsidP="00343F45">
            <w:pPr>
              <w:spacing w:line="240" w:lineRule="auto"/>
              <w:rPr>
                <w:b/>
                <w:bCs/>
              </w:rPr>
            </w:pPr>
          </w:p>
        </w:tc>
        <w:tc>
          <w:tcPr>
            <w:tcW w:w="1026" w:type="dxa"/>
            <w:shd w:val="clear" w:color="auto" w:fill="D9D9D9" w:themeFill="background1" w:themeFillShade="D9"/>
            <w:noWrap/>
            <w:vAlign w:val="center"/>
            <w:hideMark/>
          </w:tcPr>
          <w:p w14:paraId="3EF59206" w14:textId="77777777" w:rsidR="006F259C" w:rsidRPr="00A46F57" w:rsidRDefault="000F5B51" w:rsidP="00343F45">
            <w:pPr>
              <w:spacing w:line="240" w:lineRule="auto"/>
              <w:jc w:val="center"/>
              <w:rPr>
                <w:b/>
                <w:bCs/>
              </w:rPr>
            </w:pPr>
            <w:r w:rsidRPr="00A46F57">
              <w:rPr>
                <w:b/>
                <w:bCs/>
              </w:rPr>
              <w:t>Lo</w:t>
            </w:r>
          </w:p>
        </w:tc>
        <w:tc>
          <w:tcPr>
            <w:tcW w:w="1027" w:type="dxa"/>
            <w:shd w:val="clear" w:color="auto" w:fill="D9D9D9" w:themeFill="background1" w:themeFillShade="D9"/>
            <w:noWrap/>
            <w:vAlign w:val="center"/>
            <w:hideMark/>
          </w:tcPr>
          <w:p w14:paraId="6DEFBA35" w14:textId="77777777" w:rsidR="006F259C" w:rsidRPr="00A46F57" w:rsidRDefault="000F5B51" w:rsidP="00343F45">
            <w:pPr>
              <w:spacing w:line="240" w:lineRule="auto"/>
              <w:jc w:val="center"/>
              <w:rPr>
                <w:b/>
                <w:bCs/>
              </w:rPr>
            </w:pPr>
            <w:r w:rsidRPr="00A46F57">
              <w:rPr>
                <w:b/>
                <w:bCs/>
              </w:rPr>
              <w:t>Hi</w:t>
            </w:r>
          </w:p>
        </w:tc>
        <w:tc>
          <w:tcPr>
            <w:tcW w:w="1027" w:type="dxa"/>
            <w:shd w:val="clear" w:color="auto" w:fill="D9D9D9" w:themeFill="background1" w:themeFillShade="D9"/>
            <w:vAlign w:val="center"/>
          </w:tcPr>
          <w:p w14:paraId="20C76EC7" w14:textId="77777777" w:rsidR="006F259C" w:rsidRPr="007F6FCD" w:rsidRDefault="000F5B51" w:rsidP="00343F45">
            <w:pPr>
              <w:spacing w:line="240" w:lineRule="auto"/>
              <w:jc w:val="center"/>
              <w:rPr>
                <w:b/>
                <w:bCs/>
              </w:rPr>
            </w:pPr>
            <w:r w:rsidRPr="00A46F57">
              <w:rPr>
                <w:b/>
                <w:bCs/>
              </w:rPr>
              <w:t>Lo</w:t>
            </w:r>
          </w:p>
        </w:tc>
        <w:tc>
          <w:tcPr>
            <w:tcW w:w="1027" w:type="dxa"/>
            <w:shd w:val="clear" w:color="auto" w:fill="D9D9D9" w:themeFill="background1" w:themeFillShade="D9"/>
            <w:vAlign w:val="center"/>
          </w:tcPr>
          <w:p w14:paraId="1DF194F2" w14:textId="77777777" w:rsidR="006F259C" w:rsidRPr="007F6FCD" w:rsidRDefault="000F5B51" w:rsidP="00343F45">
            <w:pPr>
              <w:spacing w:line="240" w:lineRule="auto"/>
              <w:jc w:val="center"/>
              <w:rPr>
                <w:b/>
                <w:bCs/>
              </w:rPr>
            </w:pPr>
            <w:r w:rsidRPr="00A46F57">
              <w:rPr>
                <w:b/>
                <w:bCs/>
              </w:rPr>
              <w:t>Hi</w:t>
            </w:r>
          </w:p>
        </w:tc>
        <w:tc>
          <w:tcPr>
            <w:tcW w:w="1027" w:type="dxa"/>
            <w:shd w:val="clear" w:color="auto" w:fill="D9D9D9" w:themeFill="background1" w:themeFillShade="D9"/>
            <w:vAlign w:val="center"/>
          </w:tcPr>
          <w:p w14:paraId="57EBDAC9" w14:textId="77777777" w:rsidR="006F259C" w:rsidRPr="007F6FCD" w:rsidRDefault="000F5B51" w:rsidP="00343F45">
            <w:pPr>
              <w:spacing w:line="240" w:lineRule="auto"/>
              <w:jc w:val="center"/>
              <w:rPr>
                <w:b/>
                <w:bCs/>
              </w:rPr>
            </w:pPr>
            <w:r w:rsidRPr="00A46F57">
              <w:rPr>
                <w:b/>
                <w:bCs/>
              </w:rPr>
              <w:t>Lo</w:t>
            </w:r>
          </w:p>
        </w:tc>
        <w:tc>
          <w:tcPr>
            <w:tcW w:w="1027" w:type="dxa"/>
            <w:shd w:val="clear" w:color="auto" w:fill="D9D9D9" w:themeFill="background1" w:themeFillShade="D9"/>
            <w:vAlign w:val="center"/>
          </w:tcPr>
          <w:p w14:paraId="0E3526D1" w14:textId="77777777" w:rsidR="006F259C" w:rsidRPr="007F6FCD" w:rsidRDefault="000F5B51" w:rsidP="00343F45">
            <w:pPr>
              <w:spacing w:line="240" w:lineRule="auto"/>
              <w:jc w:val="center"/>
              <w:rPr>
                <w:b/>
                <w:bCs/>
              </w:rPr>
            </w:pPr>
            <w:r w:rsidRPr="00A46F57">
              <w:rPr>
                <w:b/>
                <w:bCs/>
              </w:rPr>
              <w:t>Hi</w:t>
            </w:r>
          </w:p>
        </w:tc>
      </w:tr>
      <w:tr w:rsidR="00A15C2C" w14:paraId="19EBECBE" w14:textId="77777777" w:rsidTr="00343F45">
        <w:trPr>
          <w:trHeight w:val="320"/>
        </w:trPr>
        <w:tc>
          <w:tcPr>
            <w:tcW w:w="1592" w:type="dxa"/>
            <w:vMerge w:val="restart"/>
            <w:shd w:val="clear" w:color="auto" w:fill="D9D9D9" w:themeFill="background1" w:themeFillShade="D9"/>
            <w:noWrap/>
            <w:vAlign w:val="center"/>
            <w:hideMark/>
          </w:tcPr>
          <w:p w14:paraId="41814983" w14:textId="77777777" w:rsidR="006F259C" w:rsidRPr="00A46F57" w:rsidRDefault="000F5B51" w:rsidP="00343F45">
            <w:pPr>
              <w:spacing w:line="240" w:lineRule="auto"/>
              <w:rPr>
                <w:b/>
                <w:bCs/>
              </w:rPr>
            </w:pPr>
            <w:r w:rsidRPr="006D7613">
              <w:rPr>
                <w:b/>
                <w:bCs/>
              </w:rPr>
              <w:t>PC</w:t>
            </w:r>
          </w:p>
        </w:tc>
        <w:tc>
          <w:tcPr>
            <w:tcW w:w="1597" w:type="dxa"/>
            <w:shd w:val="clear" w:color="auto" w:fill="D9D9D9" w:themeFill="background1" w:themeFillShade="D9"/>
            <w:noWrap/>
            <w:hideMark/>
          </w:tcPr>
          <w:p w14:paraId="17EE06F3" w14:textId="77777777" w:rsidR="006F259C" w:rsidRPr="00A46F57" w:rsidRDefault="000F5B51" w:rsidP="00343F45">
            <w:pPr>
              <w:spacing w:line="240" w:lineRule="auto"/>
            </w:pPr>
            <w:r w:rsidRPr="00A46F57">
              <w:t>MAIS 1</w:t>
            </w:r>
          </w:p>
        </w:tc>
        <w:tc>
          <w:tcPr>
            <w:tcW w:w="1026" w:type="dxa"/>
            <w:noWrap/>
          </w:tcPr>
          <w:p w14:paraId="218D6262" w14:textId="77777777" w:rsidR="006F259C" w:rsidRPr="00A46F57" w:rsidRDefault="000F5B51" w:rsidP="00343F45">
            <w:pPr>
              <w:spacing w:line="240" w:lineRule="auto"/>
              <w:jc w:val="center"/>
            </w:pPr>
            <w:r w:rsidRPr="00535547">
              <w:t>0.26</w:t>
            </w:r>
          </w:p>
        </w:tc>
        <w:tc>
          <w:tcPr>
            <w:tcW w:w="1027" w:type="dxa"/>
            <w:noWrap/>
          </w:tcPr>
          <w:p w14:paraId="480415BB" w14:textId="77777777" w:rsidR="006F259C" w:rsidRPr="00A46F57" w:rsidRDefault="000F5B51" w:rsidP="00343F45">
            <w:pPr>
              <w:spacing w:line="240" w:lineRule="auto"/>
              <w:jc w:val="center"/>
            </w:pPr>
            <w:r w:rsidRPr="00535547">
              <w:t>0.38</w:t>
            </w:r>
          </w:p>
        </w:tc>
        <w:tc>
          <w:tcPr>
            <w:tcW w:w="1027" w:type="dxa"/>
          </w:tcPr>
          <w:p w14:paraId="5FC26F63" w14:textId="77777777" w:rsidR="006F259C" w:rsidRPr="00A46F57" w:rsidRDefault="000F5B51" w:rsidP="00343F45">
            <w:pPr>
              <w:spacing w:line="240" w:lineRule="auto"/>
              <w:jc w:val="center"/>
            </w:pPr>
            <w:r w:rsidRPr="00D8664B">
              <w:t>0.22</w:t>
            </w:r>
          </w:p>
        </w:tc>
        <w:tc>
          <w:tcPr>
            <w:tcW w:w="1027" w:type="dxa"/>
          </w:tcPr>
          <w:p w14:paraId="41381B9B" w14:textId="77777777" w:rsidR="006F259C" w:rsidRPr="00A46F57" w:rsidRDefault="000F5B51" w:rsidP="00343F45">
            <w:pPr>
              <w:spacing w:line="240" w:lineRule="auto"/>
              <w:jc w:val="center"/>
            </w:pPr>
            <w:r w:rsidRPr="00D8664B">
              <w:t>0.32</w:t>
            </w:r>
          </w:p>
        </w:tc>
        <w:tc>
          <w:tcPr>
            <w:tcW w:w="1027" w:type="dxa"/>
          </w:tcPr>
          <w:p w14:paraId="2087DFB4" w14:textId="77777777" w:rsidR="006F259C" w:rsidRPr="00A46F57" w:rsidRDefault="000F5B51" w:rsidP="00343F45">
            <w:pPr>
              <w:spacing w:line="240" w:lineRule="auto"/>
              <w:jc w:val="center"/>
            </w:pPr>
            <w:r w:rsidRPr="00D8664B">
              <w:t>0.18</w:t>
            </w:r>
          </w:p>
        </w:tc>
        <w:tc>
          <w:tcPr>
            <w:tcW w:w="1027" w:type="dxa"/>
          </w:tcPr>
          <w:p w14:paraId="179DC06E" w14:textId="77777777" w:rsidR="006F259C" w:rsidRPr="00A46F57" w:rsidRDefault="000F5B51" w:rsidP="00343F45">
            <w:pPr>
              <w:spacing w:line="240" w:lineRule="auto"/>
              <w:jc w:val="center"/>
            </w:pPr>
            <w:r w:rsidRPr="00D8664B">
              <w:t>0.26</w:t>
            </w:r>
          </w:p>
        </w:tc>
      </w:tr>
      <w:tr w:rsidR="00A15C2C" w14:paraId="35FC9DA8" w14:textId="77777777" w:rsidTr="00343F45">
        <w:trPr>
          <w:trHeight w:val="320"/>
        </w:trPr>
        <w:tc>
          <w:tcPr>
            <w:tcW w:w="1592" w:type="dxa"/>
            <w:vMerge/>
            <w:shd w:val="clear" w:color="auto" w:fill="D9D9D9" w:themeFill="background1" w:themeFillShade="D9"/>
            <w:noWrap/>
            <w:vAlign w:val="center"/>
            <w:hideMark/>
          </w:tcPr>
          <w:p w14:paraId="0AE5F205" w14:textId="77777777" w:rsidR="006F259C" w:rsidRPr="00A46F57" w:rsidRDefault="006F259C" w:rsidP="00343F45">
            <w:pPr>
              <w:spacing w:line="240" w:lineRule="auto"/>
              <w:rPr>
                <w:b/>
                <w:bCs/>
              </w:rPr>
            </w:pPr>
          </w:p>
        </w:tc>
        <w:tc>
          <w:tcPr>
            <w:tcW w:w="1597" w:type="dxa"/>
            <w:shd w:val="clear" w:color="auto" w:fill="D9D9D9" w:themeFill="background1" w:themeFillShade="D9"/>
            <w:noWrap/>
            <w:hideMark/>
          </w:tcPr>
          <w:p w14:paraId="328257C0" w14:textId="77777777" w:rsidR="006F259C" w:rsidRPr="00A46F57" w:rsidRDefault="000F5B51" w:rsidP="00343F45">
            <w:pPr>
              <w:spacing w:line="240" w:lineRule="auto"/>
            </w:pPr>
            <w:r w:rsidRPr="00A46F57">
              <w:t>MAIS 2</w:t>
            </w:r>
          </w:p>
        </w:tc>
        <w:tc>
          <w:tcPr>
            <w:tcW w:w="1026" w:type="dxa"/>
            <w:noWrap/>
          </w:tcPr>
          <w:p w14:paraId="4D6D217D" w14:textId="77777777" w:rsidR="006F259C" w:rsidRPr="00A46F57" w:rsidRDefault="000F5B51" w:rsidP="00343F45">
            <w:pPr>
              <w:spacing w:line="240" w:lineRule="auto"/>
              <w:jc w:val="center"/>
            </w:pPr>
            <w:r w:rsidRPr="00535547">
              <w:t>0.34</w:t>
            </w:r>
          </w:p>
        </w:tc>
        <w:tc>
          <w:tcPr>
            <w:tcW w:w="1027" w:type="dxa"/>
            <w:noWrap/>
          </w:tcPr>
          <w:p w14:paraId="6EAA8FD9" w14:textId="77777777" w:rsidR="006F259C" w:rsidRPr="00A46F57" w:rsidRDefault="000F5B51" w:rsidP="00343F45">
            <w:pPr>
              <w:spacing w:line="240" w:lineRule="auto"/>
              <w:jc w:val="center"/>
            </w:pPr>
            <w:r w:rsidRPr="00535547">
              <w:t>0.49</w:t>
            </w:r>
          </w:p>
        </w:tc>
        <w:tc>
          <w:tcPr>
            <w:tcW w:w="1027" w:type="dxa"/>
          </w:tcPr>
          <w:p w14:paraId="205D7710" w14:textId="77777777" w:rsidR="006F259C" w:rsidRPr="00A46F57" w:rsidRDefault="000F5B51" w:rsidP="00343F45">
            <w:pPr>
              <w:spacing w:line="240" w:lineRule="auto"/>
              <w:jc w:val="center"/>
            </w:pPr>
            <w:r w:rsidRPr="00D8664B">
              <w:t>0.28</w:t>
            </w:r>
          </w:p>
        </w:tc>
        <w:tc>
          <w:tcPr>
            <w:tcW w:w="1027" w:type="dxa"/>
          </w:tcPr>
          <w:p w14:paraId="3CAD64C6" w14:textId="77777777" w:rsidR="006F259C" w:rsidRPr="00A46F57" w:rsidRDefault="000F5B51" w:rsidP="00343F45">
            <w:pPr>
              <w:spacing w:line="240" w:lineRule="auto"/>
              <w:jc w:val="center"/>
            </w:pPr>
            <w:r w:rsidRPr="00D8664B">
              <w:t>0.41</w:t>
            </w:r>
          </w:p>
        </w:tc>
        <w:tc>
          <w:tcPr>
            <w:tcW w:w="1027" w:type="dxa"/>
          </w:tcPr>
          <w:p w14:paraId="62FFD01A" w14:textId="77777777" w:rsidR="006F259C" w:rsidRPr="00A46F57" w:rsidRDefault="000F5B51" w:rsidP="00343F45">
            <w:pPr>
              <w:spacing w:line="240" w:lineRule="auto"/>
              <w:jc w:val="center"/>
            </w:pPr>
            <w:r w:rsidRPr="00D8664B">
              <w:t>0.23</w:t>
            </w:r>
          </w:p>
        </w:tc>
        <w:tc>
          <w:tcPr>
            <w:tcW w:w="1027" w:type="dxa"/>
          </w:tcPr>
          <w:p w14:paraId="0ADF5CED" w14:textId="77777777" w:rsidR="006F259C" w:rsidRPr="00A46F57" w:rsidRDefault="000F5B51" w:rsidP="00343F45">
            <w:pPr>
              <w:spacing w:line="240" w:lineRule="auto"/>
              <w:jc w:val="center"/>
            </w:pPr>
            <w:r w:rsidRPr="00D8664B">
              <w:t>0.34</w:t>
            </w:r>
          </w:p>
        </w:tc>
      </w:tr>
      <w:tr w:rsidR="00A15C2C" w14:paraId="6B5661E5" w14:textId="77777777" w:rsidTr="00343F45">
        <w:trPr>
          <w:trHeight w:val="320"/>
        </w:trPr>
        <w:tc>
          <w:tcPr>
            <w:tcW w:w="1592" w:type="dxa"/>
            <w:vMerge/>
            <w:shd w:val="clear" w:color="auto" w:fill="D9D9D9" w:themeFill="background1" w:themeFillShade="D9"/>
            <w:noWrap/>
            <w:vAlign w:val="center"/>
            <w:hideMark/>
          </w:tcPr>
          <w:p w14:paraId="3738FA4B" w14:textId="77777777" w:rsidR="006F259C" w:rsidRPr="00A46F57" w:rsidRDefault="006F259C" w:rsidP="00343F45">
            <w:pPr>
              <w:spacing w:line="240" w:lineRule="auto"/>
              <w:rPr>
                <w:b/>
                <w:bCs/>
              </w:rPr>
            </w:pPr>
          </w:p>
        </w:tc>
        <w:tc>
          <w:tcPr>
            <w:tcW w:w="1597" w:type="dxa"/>
            <w:shd w:val="clear" w:color="auto" w:fill="D9D9D9" w:themeFill="background1" w:themeFillShade="D9"/>
            <w:noWrap/>
            <w:hideMark/>
          </w:tcPr>
          <w:p w14:paraId="1FE6D4EF" w14:textId="77777777" w:rsidR="006F259C" w:rsidRPr="00A46F57" w:rsidRDefault="000F5B51" w:rsidP="00343F45">
            <w:pPr>
              <w:spacing w:line="240" w:lineRule="auto"/>
            </w:pPr>
            <w:r w:rsidRPr="00A46F57">
              <w:t>MAIS 3</w:t>
            </w:r>
          </w:p>
        </w:tc>
        <w:tc>
          <w:tcPr>
            <w:tcW w:w="1026" w:type="dxa"/>
            <w:noWrap/>
          </w:tcPr>
          <w:p w14:paraId="75838573" w14:textId="77777777" w:rsidR="006F259C" w:rsidRPr="00A46F57" w:rsidRDefault="000F5B51" w:rsidP="00343F45">
            <w:pPr>
              <w:spacing w:line="240" w:lineRule="auto"/>
              <w:jc w:val="center"/>
            </w:pPr>
            <w:r w:rsidRPr="00535547">
              <w:t>0.13</w:t>
            </w:r>
          </w:p>
        </w:tc>
        <w:tc>
          <w:tcPr>
            <w:tcW w:w="1027" w:type="dxa"/>
            <w:noWrap/>
          </w:tcPr>
          <w:p w14:paraId="51A3888F" w14:textId="77777777" w:rsidR="006F259C" w:rsidRPr="00A46F57" w:rsidRDefault="000F5B51" w:rsidP="00343F45">
            <w:pPr>
              <w:spacing w:line="240" w:lineRule="auto"/>
              <w:jc w:val="center"/>
            </w:pPr>
            <w:r w:rsidRPr="00535547">
              <w:t>0.19</w:t>
            </w:r>
          </w:p>
        </w:tc>
        <w:tc>
          <w:tcPr>
            <w:tcW w:w="1027" w:type="dxa"/>
          </w:tcPr>
          <w:p w14:paraId="09BAB27D" w14:textId="77777777" w:rsidR="006F259C" w:rsidRPr="00A46F57" w:rsidRDefault="000F5B51" w:rsidP="00343F45">
            <w:pPr>
              <w:spacing w:line="240" w:lineRule="auto"/>
              <w:jc w:val="center"/>
            </w:pPr>
            <w:r w:rsidRPr="00D8664B">
              <w:t>0.11</w:t>
            </w:r>
          </w:p>
        </w:tc>
        <w:tc>
          <w:tcPr>
            <w:tcW w:w="1027" w:type="dxa"/>
          </w:tcPr>
          <w:p w14:paraId="5A5E2566" w14:textId="77777777" w:rsidR="006F259C" w:rsidRPr="00A46F57" w:rsidRDefault="000F5B51" w:rsidP="00343F45">
            <w:pPr>
              <w:spacing w:line="240" w:lineRule="auto"/>
              <w:jc w:val="center"/>
            </w:pPr>
            <w:r w:rsidRPr="00D8664B">
              <w:t>0.16</w:t>
            </w:r>
          </w:p>
        </w:tc>
        <w:tc>
          <w:tcPr>
            <w:tcW w:w="1027" w:type="dxa"/>
          </w:tcPr>
          <w:p w14:paraId="68CD9889" w14:textId="77777777" w:rsidR="006F259C" w:rsidRPr="00A46F57" w:rsidRDefault="000F5B51" w:rsidP="00343F45">
            <w:pPr>
              <w:spacing w:line="240" w:lineRule="auto"/>
              <w:jc w:val="center"/>
            </w:pPr>
            <w:r w:rsidRPr="00D8664B">
              <w:t>0.09</w:t>
            </w:r>
          </w:p>
        </w:tc>
        <w:tc>
          <w:tcPr>
            <w:tcW w:w="1027" w:type="dxa"/>
          </w:tcPr>
          <w:p w14:paraId="3261C1D9" w14:textId="77777777" w:rsidR="006F259C" w:rsidRPr="00A46F57" w:rsidRDefault="000F5B51" w:rsidP="00343F45">
            <w:pPr>
              <w:spacing w:line="240" w:lineRule="auto"/>
              <w:jc w:val="center"/>
            </w:pPr>
            <w:r w:rsidRPr="00D8664B">
              <w:t>0.13</w:t>
            </w:r>
          </w:p>
        </w:tc>
      </w:tr>
      <w:tr w:rsidR="00A15C2C" w14:paraId="33507E66" w14:textId="77777777" w:rsidTr="00343F45">
        <w:trPr>
          <w:trHeight w:val="320"/>
        </w:trPr>
        <w:tc>
          <w:tcPr>
            <w:tcW w:w="1592" w:type="dxa"/>
            <w:vMerge/>
            <w:shd w:val="clear" w:color="auto" w:fill="D9D9D9" w:themeFill="background1" w:themeFillShade="D9"/>
            <w:noWrap/>
            <w:vAlign w:val="center"/>
            <w:hideMark/>
          </w:tcPr>
          <w:p w14:paraId="6BF673A4" w14:textId="77777777" w:rsidR="006F259C" w:rsidRPr="00A46F57" w:rsidRDefault="006F259C" w:rsidP="00343F45">
            <w:pPr>
              <w:spacing w:line="240" w:lineRule="auto"/>
              <w:rPr>
                <w:b/>
                <w:bCs/>
              </w:rPr>
            </w:pPr>
          </w:p>
        </w:tc>
        <w:tc>
          <w:tcPr>
            <w:tcW w:w="1597" w:type="dxa"/>
            <w:shd w:val="clear" w:color="auto" w:fill="D9D9D9" w:themeFill="background1" w:themeFillShade="D9"/>
            <w:noWrap/>
            <w:hideMark/>
          </w:tcPr>
          <w:p w14:paraId="68BF58AE" w14:textId="77777777" w:rsidR="006F259C" w:rsidRPr="00A46F57" w:rsidRDefault="000F5B51" w:rsidP="00343F45">
            <w:pPr>
              <w:spacing w:line="240" w:lineRule="auto"/>
            </w:pPr>
            <w:r w:rsidRPr="00A46F57">
              <w:t>MAIS 4</w:t>
            </w:r>
          </w:p>
        </w:tc>
        <w:tc>
          <w:tcPr>
            <w:tcW w:w="1026" w:type="dxa"/>
            <w:noWrap/>
          </w:tcPr>
          <w:p w14:paraId="0FBA0007" w14:textId="77777777" w:rsidR="006F259C" w:rsidRPr="00A46F57" w:rsidRDefault="000F5B51" w:rsidP="00343F45">
            <w:pPr>
              <w:spacing w:line="240" w:lineRule="auto"/>
              <w:jc w:val="center"/>
            </w:pPr>
            <w:r w:rsidRPr="00535547">
              <w:t>0.04</w:t>
            </w:r>
          </w:p>
        </w:tc>
        <w:tc>
          <w:tcPr>
            <w:tcW w:w="1027" w:type="dxa"/>
            <w:noWrap/>
          </w:tcPr>
          <w:p w14:paraId="6D9FC6D6" w14:textId="77777777" w:rsidR="006F259C" w:rsidRPr="00A46F57" w:rsidRDefault="000F5B51" w:rsidP="00343F45">
            <w:pPr>
              <w:spacing w:line="240" w:lineRule="auto"/>
              <w:jc w:val="center"/>
            </w:pPr>
            <w:r w:rsidRPr="00535547">
              <w:t>0.05</w:t>
            </w:r>
          </w:p>
        </w:tc>
        <w:tc>
          <w:tcPr>
            <w:tcW w:w="1027" w:type="dxa"/>
          </w:tcPr>
          <w:p w14:paraId="259BE5B9" w14:textId="77777777" w:rsidR="006F259C" w:rsidRPr="00A46F57" w:rsidRDefault="000F5B51" w:rsidP="00343F45">
            <w:pPr>
              <w:spacing w:line="240" w:lineRule="auto"/>
              <w:jc w:val="center"/>
            </w:pPr>
            <w:r w:rsidRPr="00D8664B">
              <w:t>0.03</w:t>
            </w:r>
          </w:p>
        </w:tc>
        <w:tc>
          <w:tcPr>
            <w:tcW w:w="1027" w:type="dxa"/>
          </w:tcPr>
          <w:p w14:paraId="68C8A5EC" w14:textId="77777777" w:rsidR="006F259C" w:rsidRPr="00A46F57" w:rsidRDefault="000F5B51" w:rsidP="00343F45">
            <w:pPr>
              <w:spacing w:line="240" w:lineRule="auto"/>
              <w:jc w:val="center"/>
            </w:pPr>
            <w:r w:rsidRPr="00D8664B">
              <w:t>0.04</w:t>
            </w:r>
          </w:p>
        </w:tc>
        <w:tc>
          <w:tcPr>
            <w:tcW w:w="1027" w:type="dxa"/>
          </w:tcPr>
          <w:p w14:paraId="74924604" w14:textId="77777777" w:rsidR="006F259C" w:rsidRPr="00A46F57" w:rsidRDefault="000F5B51" w:rsidP="00343F45">
            <w:pPr>
              <w:spacing w:line="240" w:lineRule="auto"/>
              <w:jc w:val="center"/>
            </w:pPr>
            <w:r w:rsidRPr="00D8664B">
              <w:t>0.02</w:t>
            </w:r>
          </w:p>
        </w:tc>
        <w:tc>
          <w:tcPr>
            <w:tcW w:w="1027" w:type="dxa"/>
          </w:tcPr>
          <w:p w14:paraId="2A950E40" w14:textId="77777777" w:rsidR="006F259C" w:rsidRPr="00A46F57" w:rsidRDefault="000F5B51" w:rsidP="00343F45">
            <w:pPr>
              <w:spacing w:line="240" w:lineRule="auto"/>
              <w:jc w:val="center"/>
            </w:pPr>
            <w:r w:rsidRPr="00D8664B">
              <w:t>0.04</w:t>
            </w:r>
          </w:p>
        </w:tc>
      </w:tr>
      <w:tr w:rsidR="00A15C2C" w14:paraId="735F9507" w14:textId="77777777" w:rsidTr="00343F45">
        <w:trPr>
          <w:trHeight w:val="320"/>
        </w:trPr>
        <w:tc>
          <w:tcPr>
            <w:tcW w:w="1592" w:type="dxa"/>
            <w:vMerge/>
            <w:shd w:val="clear" w:color="auto" w:fill="D9D9D9" w:themeFill="background1" w:themeFillShade="D9"/>
            <w:noWrap/>
            <w:vAlign w:val="center"/>
            <w:hideMark/>
          </w:tcPr>
          <w:p w14:paraId="320DDE08" w14:textId="77777777" w:rsidR="006F259C" w:rsidRPr="00A46F57" w:rsidRDefault="006F259C" w:rsidP="00343F45">
            <w:pPr>
              <w:spacing w:line="240" w:lineRule="auto"/>
              <w:rPr>
                <w:b/>
                <w:bCs/>
              </w:rPr>
            </w:pPr>
          </w:p>
        </w:tc>
        <w:tc>
          <w:tcPr>
            <w:tcW w:w="1597" w:type="dxa"/>
            <w:shd w:val="clear" w:color="auto" w:fill="D9D9D9" w:themeFill="background1" w:themeFillShade="D9"/>
            <w:noWrap/>
            <w:hideMark/>
          </w:tcPr>
          <w:p w14:paraId="590B9D9D" w14:textId="77777777" w:rsidR="006F259C" w:rsidRPr="00A46F57" w:rsidRDefault="000F5B51" w:rsidP="00343F45">
            <w:pPr>
              <w:spacing w:line="240" w:lineRule="auto"/>
            </w:pPr>
            <w:r w:rsidRPr="00A46F57">
              <w:t>MAIS 5</w:t>
            </w:r>
          </w:p>
        </w:tc>
        <w:tc>
          <w:tcPr>
            <w:tcW w:w="1026" w:type="dxa"/>
            <w:noWrap/>
          </w:tcPr>
          <w:p w14:paraId="2DAA7F88" w14:textId="77777777" w:rsidR="006F259C" w:rsidRPr="00A46F57" w:rsidRDefault="000F5B51" w:rsidP="00343F45">
            <w:pPr>
              <w:spacing w:line="240" w:lineRule="auto"/>
              <w:jc w:val="center"/>
            </w:pPr>
            <w:r w:rsidRPr="00535547">
              <w:t>0.00</w:t>
            </w:r>
          </w:p>
        </w:tc>
        <w:tc>
          <w:tcPr>
            <w:tcW w:w="1027" w:type="dxa"/>
            <w:noWrap/>
          </w:tcPr>
          <w:p w14:paraId="00EB42AD" w14:textId="77777777" w:rsidR="006F259C" w:rsidRPr="00A46F57" w:rsidRDefault="000F5B51" w:rsidP="00343F45">
            <w:pPr>
              <w:spacing w:line="240" w:lineRule="auto"/>
              <w:jc w:val="center"/>
            </w:pPr>
            <w:r w:rsidRPr="00535547">
              <w:t>0.00</w:t>
            </w:r>
          </w:p>
        </w:tc>
        <w:tc>
          <w:tcPr>
            <w:tcW w:w="1027" w:type="dxa"/>
          </w:tcPr>
          <w:p w14:paraId="5C699826" w14:textId="77777777" w:rsidR="006F259C" w:rsidRPr="00A46F57" w:rsidRDefault="000F5B51" w:rsidP="00343F45">
            <w:pPr>
              <w:spacing w:line="240" w:lineRule="auto"/>
              <w:jc w:val="center"/>
            </w:pPr>
            <w:r w:rsidRPr="00D8664B">
              <w:t>0.00</w:t>
            </w:r>
          </w:p>
        </w:tc>
        <w:tc>
          <w:tcPr>
            <w:tcW w:w="1027" w:type="dxa"/>
          </w:tcPr>
          <w:p w14:paraId="59FED793" w14:textId="77777777" w:rsidR="006F259C" w:rsidRPr="00A46F57" w:rsidRDefault="000F5B51" w:rsidP="00343F45">
            <w:pPr>
              <w:spacing w:line="240" w:lineRule="auto"/>
              <w:jc w:val="center"/>
            </w:pPr>
            <w:r w:rsidRPr="00D8664B">
              <w:t>0.00</w:t>
            </w:r>
          </w:p>
        </w:tc>
        <w:tc>
          <w:tcPr>
            <w:tcW w:w="1027" w:type="dxa"/>
          </w:tcPr>
          <w:p w14:paraId="20A10BAE" w14:textId="77777777" w:rsidR="006F259C" w:rsidRPr="00A46F57" w:rsidRDefault="000F5B51" w:rsidP="00343F45">
            <w:pPr>
              <w:spacing w:line="240" w:lineRule="auto"/>
              <w:jc w:val="center"/>
            </w:pPr>
            <w:r w:rsidRPr="00D8664B">
              <w:t>0.00</w:t>
            </w:r>
          </w:p>
        </w:tc>
        <w:tc>
          <w:tcPr>
            <w:tcW w:w="1027" w:type="dxa"/>
          </w:tcPr>
          <w:p w14:paraId="5D49CD8D" w14:textId="77777777" w:rsidR="006F259C" w:rsidRPr="00A46F57" w:rsidRDefault="000F5B51" w:rsidP="00343F45">
            <w:pPr>
              <w:spacing w:line="240" w:lineRule="auto"/>
              <w:jc w:val="center"/>
            </w:pPr>
            <w:r w:rsidRPr="00D8664B">
              <w:t>0.00</w:t>
            </w:r>
          </w:p>
        </w:tc>
      </w:tr>
      <w:tr w:rsidR="00A15C2C" w14:paraId="013A4B98" w14:textId="77777777" w:rsidTr="00343F45">
        <w:trPr>
          <w:trHeight w:val="310"/>
        </w:trPr>
        <w:tc>
          <w:tcPr>
            <w:tcW w:w="1592" w:type="dxa"/>
            <w:vMerge/>
            <w:shd w:val="clear" w:color="auto" w:fill="D9D9D9" w:themeFill="background1" w:themeFillShade="D9"/>
            <w:noWrap/>
            <w:vAlign w:val="center"/>
            <w:hideMark/>
          </w:tcPr>
          <w:p w14:paraId="34E52295" w14:textId="77777777" w:rsidR="006F259C" w:rsidRPr="00A46F57" w:rsidRDefault="006F259C" w:rsidP="00343F45">
            <w:pPr>
              <w:spacing w:line="240" w:lineRule="auto"/>
              <w:rPr>
                <w:b/>
                <w:bCs/>
              </w:rPr>
            </w:pPr>
          </w:p>
        </w:tc>
        <w:tc>
          <w:tcPr>
            <w:tcW w:w="1597" w:type="dxa"/>
            <w:shd w:val="clear" w:color="auto" w:fill="D9D9D9" w:themeFill="background1" w:themeFillShade="D9"/>
            <w:noWrap/>
            <w:hideMark/>
          </w:tcPr>
          <w:p w14:paraId="556C7D7A" w14:textId="77777777" w:rsidR="006F259C" w:rsidRPr="00A46F57" w:rsidRDefault="000F5B51" w:rsidP="00343F45">
            <w:pPr>
              <w:spacing w:line="240" w:lineRule="auto"/>
              <w:rPr>
                <w:b/>
                <w:bCs/>
              </w:rPr>
            </w:pPr>
            <w:r w:rsidRPr="00A46F57">
              <w:rPr>
                <w:b/>
                <w:bCs/>
              </w:rPr>
              <w:t>Fatality</w:t>
            </w:r>
          </w:p>
        </w:tc>
        <w:tc>
          <w:tcPr>
            <w:tcW w:w="1026" w:type="dxa"/>
            <w:noWrap/>
          </w:tcPr>
          <w:p w14:paraId="3E1698DF" w14:textId="77777777" w:rsidR="006F259C" w:rsidRPr="00A46F57" w:rsidRDefault="000F5B51" w:rsidP="00343F45">
            <w:pPr>
              <w:spacing w:line="240" w:lineRule="auto"/>
              <w:jc w:val="center"/>
            </w:pPr>
            <w:r w:rsidRPr="00535547">
              <w:t>0.14</w:t>
            </w:r>
          </w:p>
        </w:tc>
        <w:tc>
          <w:tcPr>
            <w:tcW w:w="1027" w:type="dxa"/>
            <w:noWrap/>
          </w:tcPr>
          <w:p w14:paraId="03F37DE7" w14:textId="77777777" w:rsidR="006F259C" w:rsidRPr="00A46F57" w:rsidRDefault="000F5B51" w:rsidP="00343F45">
            <w:pPr>
              <w:spacing w:line="240" w:lineRule="auto"/>
              <w:jc w:val="center"/>
            </w:pPr>
            <w:r w:rsidRPr="00535547">
              <w:t>0.22</w:t>
            </w:r>
          </w:p>
        </w:tc>
        <w:tc>
          <w:tcPr>
            <w:tcW w:w="1027" w:type="dxa"/>
          </w:tcPr>
          <w:p w14:paraId="2F31C70F" w14:textId="77777777" w:rsidR="006F259C" w:rsidRPr="00A46F57" w:rsidRDefault="000F5B51" w:rsidP="00343F45">
            <w:pPr>
              <w:spacing w:line="240" w:lineRule="auto"/>
              <w:jc w:val="center"/>
            </w:pPr>
            <w:r w:rsidRPr="00D8664B">
              <w:t>0.12</w:t>
            </w:r>
          </w:p>
        </w:tc>
        <w:tc>
          <w:tcPr>
            <w:tcW w:w="1027" w:type="dxa"/>
          </w:tcPr>
          <w:p w14:paraId="23AE5082" w14:textId="77777777" w:rsidR="006F259C" w:rsidRPr="00A46F57" w:rsidRDefault="000F5B51" w:rsidP="00343F45">
            <w:pPr>
              <w:spacing w:line="240" w:lineRule="auto"/>
              <w:jc w:val="center"/>
            </w:pPr>
            <w:r w:rsidRPr="00D8664B">
              <w:t>0.18</w:t>
            </w:r>
          </w:p>
        </w:tc>
        <w:tc>
          <w:tcPr>
            <w:tcW w:w="1027" w:type="dxa"/>
          </w:tcPr>
          <w:p w14:paraId="71535EB2" w14:textId="77777777" w:rsidR="006F259C" w:rsidRPr="00A46F57" w:rsidRDefault="000F5B51" w:rsidP="00343F45">
            <w:pPr>
              <w:spacing w:line="240" w:lineRule="auto"/>
              <w:jc w:val="center"/>
            </w:pPr>
            <w:r w:rsidRPr="00D8664B">
              <w:t>0.10</w:t>
            </w:r>
          </w:p>
        </w:tc>
        <w:tc>
          <w:tcPr>
            <w:tcW w:w="1027" w:type="dxa"/>
          </w:tcPr>
          <w:p w14:paraId="2664B9D8" w14:textId="77777777" w:rsidR="006F259C" w:rsidRPr="00A46F57" w:rsidRDefault="000F5B51" w:rsidP="00343F45">
            <w:pPr>
              <w:spacing w:line="240" w:lineRule="auto"/>
              <w:jc w:val="center"/>
            </w:pPr>
            <w:r w:rsidRPr="00D8664B">
              <w:t>0.15</w:t>
            </w:r>
          </w:p>
        </w:tc>
      </w:tr>
      <w:tr w:rsidR="00A15C2C" w14:paraId="34A36C2C" w14:textId="77777777" w:rsidTr="00343F45">
        <w:trPr>
          <w:trHeight w:val="320"/>
        </w:trPr>
        <w:tc>
          <w:tcPr>
            <w:tcW w:w="1592" w:type="dxa"/>
            <w:vMerge w:val="restart"/>
            <w:shd w:val="clear" w:color="auto" w:fill="D9D9D9" w:themeFill="background1" w:themeFillShade="D9"/>
            <w:noWrap/>
            <w:vAlign w:val="center"/>
            <w:hideMark/>
          </w:tcPr>
          <w:p w14:paraId="3472BB92" w14:textId="77777777" w:rsidR="006F259C" w:rsidRPr="00A46F57" w:rsidRDefault="000F5B51" w:rsidP="00343F45">
            <w:pPr>
              <w:spacing w:line="240" w:lineRule="auto"/>
              <w:rPr>
                <w:b/>
                <w:bCs/>
              </w:rPr>
            </w:pPr>
            <w:r w:rsidRPr="006D7613">
              <w:rPr>
                <w:b/>
                <w:bCs/>
              </w:rPr>
              <w:t>LTV</w:t>
            </w:r>
          </w:p>
        </w:tc>
        <w:tc>
          <w:tcPr>
            <w:tcW w:w="1597" w:type="dxa"/>
            <w:shd w:val="clear" w:color="auto" w:fill="D9D9D9" w:themeFill="background1" w:themeFillShade="D9"/>
            <w:noWrap/>
            <w:hideMark/>
          </w:tcPr>
          <w:p w14:paraId="3092901B" w14:textId="77777777" w:rsidR="006F259C" w:rsidRPr="00A46F57" w:rsidRDefault="000F5B51" w:rsidP="00343F45">
            <w:pPr>
              <w:spacing w:line="240" w:lineRule="auto"/>
            </w:pPr>
            <w:r w:rsidRPr="00A46F57">
              <w:t>MAIS 1</w:t>
            </w:r>
          </w:p>
        </w:tc>
        <w:tc>
          <w:tcPr>
            <w:tcW w:w="1026" w:type="dxa"/>
            <w:noWrap/>
          </w:tcPr>
          <w:p w14:paraId="01AF2667" w14:textId="77777777" w:rsidR="006F259C" w:rsidRPr="00A46F57" w:rsidRDefault="000F5B51" w:rsidP="00343F45">
            <w:pPr>
              <w:spacing w:line="240" w:lineRule="auto"/>
              <w:jc w:val="center"/>
            </w:pPr>
            <w:r w:rsidRPr="00535547">
              <w:t>0.33</w:t>
            </w:r>
          </w:p>
        </w:tc>
        <w:tc>
          <w:tcPr>
            <w:tcW w:w="1027" w:type="dxa"/>
            <w:noWrap/>
          </w:tcPr>
          <w:p w14:paraId="3760FD4C" w14:textId="77777777" w:rsidR="006F259C" w:rsidRPr="00A46F57" w:rsidRDefault="000F5B51" w:rsidP="00343F45">
            <w:pPr>
              <w:spacing w:line="240" w:lineRule="auto"/>
              <w:jc w:val="center"/>
            </w:pPr>
            <w:r w:rsidRPr="00535547">
              <w:t>0.49</w:t>
            </w:r>
          </w:p>
        </w:tc>
        <w:tc>
          <w:tcPr>
            <w:tcW w:w="1027" w:type="dxa"/>
          </w:tcPr>
          <w:p w14:paraId="1EE20D77" w14:textId="77777777" w:rsidR="006F259C" w:rsidRPr="00A46F57" w:rsidRDefault="000F5B51" w:rsidP="00343F45">
            <w:pPr>
              <w:spacing w:line="240" w:lineRule="auto"/>
              <w:jc w:val="center"/>
            </w:pPr>
            <w:r w:rsidRPr="00D8664B">
              <w:t>0.27</w:t>
            </w:r>
          </w:p>
        </w:tc>
        <w:tc>
          <w:tcPr>
            <w:tcW w:w="1027" w:type="dxa"/>
          </w:tcPr>
          <w:p w14:paraId="612B4D8B" w14:textId="77777777" w:rsidR="006F259C" w:rsidRPr="00A46F57" w:rsidRDefault="000F5B51" w:rsidP="00343F45">
            <w:pPr>
              <w:spacing w:line="240" w:lineRule="auto"/>
              <w:jc w:val="center"/>
            </w:pPr>
            <w:r w:rsidRPr="00D8664B">
              <w:t>0.40</w:t>
            </w:r>
          </w:p>
        </w:tc>
        <w:tc>
          <w:tcPr>
            <w:tcW w:w="1027" w:type="dxa"/>
          </w:tcPr>
          <w:p w14:paraId="554AB9FE" w14:textId="77777777" w:rsidR="006F259C" w:rsidRPr="00A46F57" w:rsidRDefault="000F5B51" w:rsidP="00343F45">
            <w:pPr>
              <w:spacing w:line="240" w:lineRule="auto"/>
              <w:jc w:val="center"/>
            </w:pPr>
            <w:r w:rsidRPr="00D8664B">
              <w:t>0.22</w:t>
            </w:r>
          </w:p>
        </w:tc>
        <w:tc>
          <w:tcPr>
            <w:tcW w:w="1027" w:type="dxa"/>
          </w:tcPr>
          <w:p w14:paraId="2ECE1FB7" w14:textId="77777777" w:rsidR="006F259C" w:rsidRPr="00A46F57" w:rsidRDefault="000F5B51" w:rsidP="00343F45">
            <w:pPr>
              <w:spacing w:line="240" w:lineRule="auto"/>
              <w:jc w:val="center"/>
            </w:pPr>
            <w:r w:rsidRPr="00D8664B">
              <w:t>0.32</w:t>
            </w:r>
          </w:p>
        </w:tc>
      </w:tr>
      <w:tr w:rsidR="00A15C2C" w14:paraId="24895CC8" w14:textId="77777777" w:rsidTr="00343F45">
        <w:trPr>
          <w:trHeight w:val="320"/>
        </w:trPr>
        <w:tc>
          <w:tcPr>
            <w:tcW w:w="1592" w:type="dxa"/>
            <w:vMerge/>
            <w:shd w:val="clear" w:color="auto" w:fill="D9D9D9" w:themeFill="background1" w:themeFillShade="D9"/>
            <w:noWrap/>
            <w:hideMark/>
          </w:tcPr>
          <w:p w14:paraId="7C79B2C4" w14:textId="77777777" w:rsidR="006F259C" w:rsidRPr="00A46F57" w:rsidRDefault="006F259C" w:rsidP="00343F45"/>
        </w:tc>
        <w:tc>
          <w:tcPr>
            <w:tcW w:w="1597" w:type="dxa"/>
            <w:shd w:val="clear" w:color="auto" w:fill="D9D9D9" w:themeFill="background1" w:themeFillShade="D9"/>
            <w:noWrap/>
            <w:hideMark/>
          </w:tcPr>
          <w:p w14:paraId="63CC00C9" w14:textId="77777777" w:rsidR="006F259C" w:rsidRPr="00A46F57" w:rsidRDefault="000F5B51" w:rsidP="00343F45">
            <w:pPr>
              <w:spacing w:line="240" w:lineRule="auto"/>
            </w:pPr>
            <w:r w:rsidRPr="00A46F57">
              <w:t>MAIS 2</w:t>
            </w:r>
          </w:p>
        </w:tc>
        <w:tc>
          <w:tcPr>
            <w:tcW w:w="1026" w:type="dxa"/>
            <w:noWrap/>
          </w:tcPr>
          <w:p w14:paraId="24471B54" w14:textId="77777777" w:rsidR="006F259C" w:rsidRPr="00A46F57" w:rsidRDefault="000F5B51" w:rsidP="00343F45">
            <w:pPr>
              <w:spacing w:line="240" w:lineRule="auto"/>
              <w:jc w:val="center"/>
            </w:pPr>
            <w:r w:rsidRPr="00535547">
              <w:t>0.21</w:t>
            </w:r>
          </w:p>
        </w:tc>
        <w:tc>
          <w:tcPr>
            <w:tcW w:w="1027" w:type="dxa"/>
            <w:noWrap/>
          </w:tcPr>
          <w:p w14:paraId="56F0261A" w14:textId="77777777" w:rsidR="006F259C" w:rsidRPr="00A46F57" w:rsidRDefault="000F5B51" w:rsidP="00343F45">
            <w:pPr>
              <w:spacing w:line="240" w:lineRule="auto"/>
              <w:jc w:val="center"/>
            </w:pPr>
            <w:r w:rsidRPr="00535547">
              <w:t>0.31</w:t>
            </w:r>
          </w:p>
        </w:tc>
        <w:tc>
          <w:tcPr>
            <w:tcW w:w="1027" w:type="dxa"/>
          </w:tcPr>
          <w:p w14:paraId="55F2A350" w14:textId="77777777" w:rsidR="006F259C" w:rsidRPr="00A46F57" w:rsidRDefault="000F5B51" w:rsidP="00343F45">
            <w:pPr>
              <w:spacing w:line="240" w:lineRule="auto"/>
              <w:jc w:val="center"/>
            </w:pPr>
            <w:r w:rsidRPr="00D8664B">
              <w:t>0.17</w:t>
            </w:r>
          </w:p>
        </w:tc>
        <w:tc>
          <w:tcPr>
            <w:tcW w:w="1027" w:type="dxa"/>
          </w:tcPr>
          <w:p w14:paraId="5870152B" w14:textId="77777777" w:rsidR="006F259C" w:rsidRPr="00A46F57" w:rsidRDefault="000F5B51" w:rsidP="00343F45">
            <w:pPr>
              <w:spacing w:line="240" w:lineRule="auto"/>
              <w:jc w:val="center"/>
            </w:pPr>
            <w:r w:rsidRPr="00D8664B">
              <w:t>0.25</w:t>
            </w:r>
          </w:p>
        </w:tc>
        <w:tc>
          <w:tcPr>
            <w:tcW w:w="1027" w:type="dxa"/>
          </w:tcPr>
          <w:p w14:paraId="5EE8FC0B" w14:textId="77777777" w:rsidR="006F259C" w:rsidRPr="00A46F57" w:rsidRDefault="000F5B51" w:rsidP="00343F45">
            <w:pPr>
              <w:spacing w:line="240" w:lineRule="auto"/>
              <w:jc w:val="center"/>
            </w:pPr>
            <w:r w:rsidRPr="00D8664B">
              <w:t>0.14</w:t>
            </w:r>
          </w:p>
        </w:tc>
        <w:tc>
          <w:tcPr>
            <w:tcW w:w="1027" w:type="dxa"/>
          </w:tcPr>
          <w:p w14:paraId="2B1A21A4" w14:textId="77777777" w:rsidR="006F259C" w:rsidRPr="00A46F57" w:rsidRDefault="000F5B51" w:rsidP="00343F45">
            <w:pPr>
              <w:spacing w:line="240" w:lineRule="auto"/>
              <w:jc w:val="center"/>
            </w:pPr>
            <w:r w:rsidRPr="00D8664B">
              <w:t>0.20</w:t>
            </w:r>
          </w:p>
        </w:tc>
      </w:tr>
      <w:tr w:rsidR="00A15C2C" w14:paraId="54023423" w14:textId="77777777" w:rsidTr="00343F45">
        <w:trPr>
          <w:trHeight w:val="320"/>
        </w:trPr>
        <w:tc>
          <w:tcPr>
            <w:tcW w:w="1592" w:type="dxa"/>
            <w:vMerge/>
            <w:shd w:val="clear" w:color="auto" w:fill="D9D9D9" w:themeFill="background1" w:themeFillShade="D9"/>
            <w:noWrap/>
            <w:hideMark/>
          </w:tcPr>
          <w:p w14:paraId="44B93415" w14:textId="77777777" w:rsidR="006F259C" w:rsidRPr="00A46F57" w:rsidRDefault="006F259C" w:rsidP="00343F45"/>
        </w:tc>
        <w:tc>
          <w:tcPr>
            <w:tcW w:w="1597" w:type="dxa"/>
            <w:shd w:val="clear" w:color="auto" w:fill="D9D9D9" w:themeFill="background1" w:themeFillShade="D9"/>
            <w:noWrap/>
            <w:hideMark/>
          </w:tcPr>
          <w:p w14:paraId="100FD1CA" w14:textId="77777777" w:rsidR="006F259C" w:rsidRPr="00A46F57" w:rsidRDefault="000F5B51" w:rsidP="00343F45">
            <w:pPr>
              <w:spacing w:line="240" w:lineRule="auto"/>
            </w:pPr>
            <w:r w:rsidRPr="00A46F57">
              <w:t>MAIS 3</w:t>
            </w:r>
          </w:p>
        </w:tc>
        <w:tc>
          <w:tcPr>
            <w:tcW w:w="1026" w:type="dxa"/>
            <w:noWrap/>
          </w:tcPr>
          <w:p w14:paraId="49EFE2C9" w14:textId="77777777" w:rsidR="006F259C" w:rsidRPr="00A46F57" w:rsidRDefault="000F5B51" w:rsidP="00343F45">
            <w:pPr>
              <w:spacing w:line="240" w:lineRule="auto"/>
              <w:jc w:val="center"/>
            </w:pPr>
            <w:r w:rsidRPr="00535547">
              <w:t>0.00</w:t>
            </w:r>
          </w:p>
        </w:tc>
        <w:tc>
          <w:tcPr>
            <w:tcW w:w="1027" w:type="dxa"/>
            <w:noWrap/>
          </w:tcPr>
          <w:p w14:paraId="12DC1FE6" w14:textId="77777777" w:rsidR="006F259C" w:rsidRPr="00A46F57" w:rsidRDefault="000F5B51" w:rsidP="00343F45">
            <w:pPr>
              <w:spacing w:line="240" w:lineRule="auto"/>
              <w:jc w:val="center"/>
            </w:pPr>
            <w:r w:rsidRPr="00535547">
              <w:t>0.00</w:t>
            </w:r>
          </w:p>
        </w:tc>
        <w:tc>
          <w:tcPr>
            <w:tcW w:w="1027" w:type="dxa"/>
          </w:tcPr>
          <w:p w14:paraId="21C07D18" w14:textId="77777777" w:rsidR="006F259C" w:rsidRPr="00A46F57" w:rsidRDefault="000F5B51" w:rsidP="00343F45">
            <w:pPr>
              <w:spacing w:line="240" w:lineRule="auto"/>
              <w:jc w:val="center"/>
            </w:pPr>
            <w:r w:rsidRPr="00D8664B">
              <w:t>0.00</w:t>
            </w:r>
          </w:p>
        </w:tc>
        <w:tc>
          <w:tcPr>
            <w:tcW w:w="1027" w:type="dxa"/>
          </w:tcPr>
          <w:p w14:paraId="708BC095" w14:textId="77777777" w:rsidR="006F259C" w:rsidRPr="00A46F57" w:rsidRDefault="000F5B51" w:rsidP="00343F45">
            <w:pPr>
              <w:spacing w:line="240" w:lineRule="auto"/>
              <w:jc w:val="center"/>
            </w:pPr>
            <w:r w:rsidRPr="00D8664B">
              <w:t>0.00</w:t>
            </w:r>
          </w:p>
        </w:tc>
        <w:tc>
          <w:tcPr>
            <w:tcW w:w="1027" w:type="dxa"/>
          </w:tcPr>
          <w:p w14:paraId="3C67FD2E" w14:textId="77777777" w:rsidR="006F259C" w:rsidRPr="00A46F57" w:rsidRDefault="000F5B51" w:rsidP="00343F45">
            <w:pPr>
              <w:spacing w:line="240" w:lineRule="auto"/>
              <w:jc w:val="center"/>
            </w:pPr>
            <w:r w:rsidRPr="00D8664B">
              <w:t>0.00</w:t>
            </w:r>
          </w:p>
        </w:tc>
        <w:tc>
          <w:tcPr>
            <w:tcW w:w="1027" w:type="dxa"/>
          </w:tcPr>
          <w:p w14:paraId="7C689AA9" w14:textId="77777777" w:rsidR="006F259C" w:rsidRPr="00A46F57" w:rsidRDefault="000F5B51" w:rsidP="00343F45">
            <w:pPr>
              <w:spacing w:line="240" w:lineRule="auto"/>
              <w:jc w:val="center"/>
            </w:pPr>
            <w:r w:rsidRPr="00D8664B">
              <w:t>0.00</w:t>
            </w:r>
          </w:p>
        </w:tc>
      </w:tr>
      <w:tr w:rsidR="00A15C2C" w14:paraId="4349139C" w14:textId="77777777" w:rsidTr="00343F45">
        <w:trPr>
          <w:trHeight w:val="320"/>
        </w:trPr>
        <w:tc>
          <w:tcPr>
            <w:tcW w:w="1592" w:type="dxa"/>
            <w:vMerge/>
            <w:shd w:val="clear" w:color="auto" w:fill="D9D9D9" w:themeFill="background1" w:themeFillShade="D9"/>
            <w:noWrap/>
            <w:hideMark/>
          </w:tcPr>
          <w:p w14:paraId="73970E89" w14:textId="77777777" w:rsidR="006F259C" w:rsidRPr="00A46F57" w:rsidRDefault="006F259C" w:rsidP="00343F45"/>
        </w:tc>
        <w:tc>
          <w:tcPr>
            <w:tcW w:w="1597" w:type="dxa"/>
            <w:shd w:val="clear" w:color="auto" w:fill="D9D9D9" w:themeFill="background1" w:themeFillShade="D9"/>
            <w:noWrap/>
            <w:hideMark/>
          </w:tcPr>
          <w:p w14:paraId="05158639" w14:textId="77777777" w:rsidR="006F259C" w:rsidRPr="00A46F57" w:rsidRDefault="000F5B51" w:rsidP="00343F45">
            <w:pPr>
              <w:spacing w:line="240" w:lineRule="auto"/>
            </w:pPr>
            <w:r w:rsidRPr="00A46F57">
              <w:t>MAIS 4</w:t>
            </w:r>
          </w:p>
        </w:tc>
        <w:tc>
          <w:tcPr>
            <w:tcW w:w="1026" w:type="dxa"/>
            <w:noWrap/>
          </w:tcPr>
          <w:p w14:paraId="25CAF447" w14:textId="77777777" w:rsidR="006F259C" w:rsidRPr="00A46F57" w:rsidRDefault="000F5B51" w:rsidP="00343F45">
            <w:pPr>
              <w:spacing w:line="240" w:lineRule="auto"/>
              <w:jc w:val="center"/>
            </w:pPr>
            <w:r w:rsidRPr="00535547">
              <w:t>0.00</w:t>
            </w:r>
          </w:p>
        </w:tc>
        <w:tc>
          <w:tcPr>
            <w:tcW w:w="1027" w:type="dxa"/>
            <w:noWrap/>
          </w:tcPr>
          <w:p w14:paraId="760A0AC7" w14:textId="77777777" w:rsidR="006F259C" w:rsidRPr="00A46F57" w:rsidRDefault="000F5B51" w:rsidP="00343F45">
            <w:pPr>
              <w:spacing w:line="240" w:lineRule="auto"/>
              <w:jc w:val="center"/>
            </w:pPr>
            <w:r w:rsidRPr="00535547">
              <w:t>0.00</w:t>
            </w:r>
          </w:p>
        </w:tc>
        <w:tc>
          <w:tcPr>
            <w:tcW w:w="1027" w:type="dxa"/>
          </w:tcPr>
          <w:p w14:paraId="7A4C5CF7" w14:textId="77777777" w:rsidR="006F259C" w:rsidRPr="00A46F57" w:rsidRDefault="000F5B51" w:rsidP="00343F45">
            <w:pPr>
              <w:spacing w:line="240" w:lineRule="auto"/>
              <w:jc w:val="center"/>
            </w:pPr>
            <w:r w:rsidRPr="00D8664B">
              <w:t>0.00</w:t>
            </w:r>
          </w:p>
        </w:tc>
        <w:tc>
          <w:tcPr>
            <w:tcW w:w="1027" w:type="dxa"/>
          </w:tcPr>
          <w:p w14:paraId="5E97667E" w14:textId="77777777" w:rsidR="006F259C" w:rsidRPr="00A46F57" w:rsidRDefault="000F5B51" w:rsidP="00343F45">
            <w:pPr>
              <w:spacing w:line="240" w:lineRule="auto"/>
              <w:jc w:val="center"/>
            </w:pPr>
            <w:r w:rsidRPr="00D8664B">
              <w:t>0.00</w:t>
            </w:r>
          </w:p>
        </w:tc>
        <w:tc>
          <w:tcPr>
            <w:tcW w:w="1027" w:type="dxa"/>
          </w:tcPr>
          <w:p w14:paraId="7143C5DD" w14:textId="77777777" w:rsidR="006F259C" w:rsidRPr="00A46F57" w:rsidRDefault="000F5B51" w:rsidP="00343F45">
            <w:pPr>
              <w:spacing w:line="240" w:lineRule="auto"/>
              <w:jc w:val="center"/>
            </w:pPr>
            <w:r w:rsidRPr="00D8664B">
              <w:t>0.00</w:t>
            </w:r>
          </w:p>
        </w:tc>
        <w:tc>
          <w:tcPr>
            <w:tcW w:w="1027" w:type="dxa"/>
          </w:tcPr>
          <w:p w14:paraId="500AA42C" w14:textId="77777777" w:rsidR="006F259C" w:rsidRPr="00A46F57" w:rsidRDefault="000F5B51" w:rsidP="00343F45">
            <w:pPr>
              <w:spacing w:line="240" w:lineRule="auto"/>
              <w:jc w:val="center"/>
            </w:pPr>
            <w:r w:rsidRPr="00D8664B">
              <w:t>0.00</w:t>
            </w:r>
          </w:p>
        </w:tc>
      </w:tr>
      <w:tr w:rsidR="00A15C2C" w14:paraId="43876C2E" w14:textId="77777777" w:rsidTr="00343F45">
        <w:trPr>
          <w:trHeight w:val="320"/>
        </w:trPr>
        <w:tc>
          <w:tcPr>
            <w:tcW w:w="1592" w:type="dxa"/>
            <w:vMerge/>
            <w:shd w:val="clear" w:color="auto" w:fill="D9D9D9" w:themeFill="background1" w:themeFillShade="D9"/>
            <w:noWrap/>
            <w:hideMark/>
          </w:tcPr>
          <w:p w14:paraId="65822987" w14:textId="77777777" w:rsidR="006F259C" w:rsidRPr="00A46F57" w:rsidRDefault="006F259C" w:rsidP="00343F45"/>
        </w:tc>
        <w:tc>
          <w:tcPr>
            <w:tcW w:w="1597" w:type="dxa"/>
            <w:shd w:val="clear" w:color="auto" w:fill="D9D9D9" w:themeFill="background1" w:themeFillShade="D9"/>
            <w:noWrap/>
            <w:hideMark/>
          </w:tcPr>
          <w:p w14:paraId="4D80026C" w14:textId="77777777" w:rsidR="006F259C" w:rsidRPr="00A46F57" w:rsidRDefault="000F5B51" w:rsidP="00343F45">
            <w:pPr>
              <w:spacing w:line="240" w:lineRule="auto"/>
            </w:pPr>
            <w:r w:rsidRPr="00A46F57">
              <w:t>MAIS 5</w:t>
            </w:r>
          </w:p>
        </w:tc>
        <w:tc>
          <w:tcPr>
            <w:tcW w:w="1026" w:type="dxa"/>
            <w:noWrap/>
          </w:tcPr>
          <w:p w14:paraId="42E9D608" w14:textId="77777777" w:rsidR="006F259C" w:rsidRPr="00A46F57" w:rsidRDefault="000F5B51" w:rsidP="00343F45">
            <w:pPr>
              <w:spacing w:line="240" w:lineRule="auto"/>
              <w:jc w:val="center"/>
            </w:pPr>
            <w:r w:rsidRPr="00535547">
              <w:t>0.00</w:t>
            </w:r>
          </w:p>
        </w:tc>
        <w:tc>
          <w:tcPr>
            <w:tcW w:w="1027" w:type="dxa"/>
            <w:noWrap/>
          </w:tcPr>
          <w:p w14:paraId="1FC4C0DB" w14:textId="77777777" w:rsidR="006F259C" w:rsidRPr="00A46F57" w:rsidRDefault="000F5B51" w:rsidP="00343F45">
            <w:pPr>
              <w:spacing w:line="240" w:lineRule="auto"/>
              <w:jc w:val="center"/>
            </w:pPr>
            <w:r w:rsidRPr="00535547">
              <w:t>0.00</w:t>
            </w:r>
          </w:p>
        </w:tc>
        <w:tc>
          <w:tcPr>
            <w:tcW w:w="1027" w:type="dxa"/>
          </w:tcPr>
          <w:p w14:paraId="5A276421" w14:textId="77777777" w:rsidR="006F259C" w:rsidRPr="00A46F57" w:rsidRDefault="000F5B51" w:rsidP="00343F45">
            <w:pPr>
              <w:spacing w:line="240" w:lineRule="auto"/>
              <w:jc w:val="center"/>
            </w:pPr>
            <w:r w:rsidRPr="00D8664B">
              <w:t>0.00</w:t>
            </w:r>
          </w:p>
        </w:tc>
        <w:tc>
          <w:tcPr>
            <w:tcW w:w="1027" w:type="dxa"/>
          </w:tcPr>
          <w:p w14:paraId="34392646" w14:textId="77777777" w:rsidR="006F259C" w:rsidRPr="00A46F57" w:rsidRDefault="000F5B51" w:rsidP="00343F45">
            <w:pPr>
              <w:spacing w:line="240" w:lineRule="auto"/>
              <w:jc w:val="center"/>
            </w:pPr>
            <w:r w:rsidRPr="00D8664B">
              <w:t>0.00</w:t>
            </w:r>
          </w:p>
        </w:tc>
        <w:tc>
          <w:tcPr>
            <w:tcW w:w="1027" w:type="dxa"/>
          </w:tcPr>
          <w:p w14:paraId="0F7E0E92" w14:textId="77777777" w:rsidR="006F259C" w:rsidRPr="00A46F57" w:rsidRDefault="000F5B51" w:rsidP="00343F45">
            <w:pPr>
              <w:spacing w:line="240" w:lineRule="auto"/>
              <w:jc w:val="center"/>
            </w:pPr>
            <w:r w:rsidRPr="00D8664B">
              <w:t>0.00</w:t>
            </w:r>
          </w:p>
        </w:tc>
        <w:tc>
          <w:tcPr>
            <w:tcW w:w="1027" w:type="dxa"/>
          </w:tcPr>
          <w:p w14:paraId="7201A0EC" w14:textId="77777777" w:rsidR="006F259C" w:rsidRPr="00A46F57" w:rsidRDefault="000F5B51" w:rsidP="00343F45">
            <w:pPr>
              <w:spacing w:line="240" w:lineRule="auto"/>
              <w:jc w:val="center"/>
            </w:pPr>
            <w:r w:rsidRPr="00D8664B">
              <w:t>0.00</w:t>
            </w:r>
          </w:p>
        </w:tc>
      </w:tr>
      <w:tr w:rsidR="00A15C2C" w14:paraId="1C477E96" w14:textId="77777777" w:rsidTr="00343F45">
        <w:trPr>
          <w:trHeight w:val="310"/>
        </w:trPr>
        <w:tc>
          <w:tcPr>
            <w:tcW w:w="1592" w:type="dxa"/>
            <w:vMerge/>
            <w:shd w:val="clear" w:color="auto" w:fill="D9D9D9" w:themeFill="background1" w:themeFillShade="D9"/>
            <w:noWrap/>
            <w:hideMark/>
          </w:tcPr>
          <w:p w14:paraId="3D4DF0A9" w14:textId="77777777" w:rsidR="006F259C" w:rsidRPr="00A46F57" w:rsidRDefault="006F259C" w:rsidP="00343F45"/>
        </w:tc>
        <w:tc>
          <w:tcPr>
            <w:tcW w:w="1597" w:type="dxa"/>
            <w:shd w:val="clear" w:color="auto" w:fill="D9D9D9" w:themeFill="background1" w:themeFillShade="D9"/>
            <w:noWrap/>
            <w:hideMark/>
          </w:tcPr>
          <w:p w14:paraId="721655F6" w14:textId="77777777" w:rsidR="006F259C" w:rsidRPr="00A46F57" w:rsidRDefault="000F5B51" w:rsidP="00343F45">
            <w:pPr>
              <w:spacing w:line="240" w:lineRule="auto"/>
              <w:rPr>
                <w:b/>
                <w:bCs/>
              </w:rPr>
            </w:pPr>
            <w:r w:rsidRPr="00A46F57">
              <w:rPr>
                <w:b/>
                <w:bCs/>
              </w:rPr>
              <w:t>Fatality</w:t>
            </w:r>
          </w:p>
        </w:tc>
        <w:tc>
          <w:tcPr>
            <w:tcW w:w="1026" w:type="dxa"/>
            <w:noWrap/>
          </w:tcPr>
          <w:p w14:paraId="5DECC503" w14:textId="77777777" w:rsidR="006F259C" w:rsidRPr="00A46F57" w:rsidRDefault="000F5B51" w:rsidP="00343F45">
            <w:pPr>
              <w:spacing w:line="240" w:lineRule="auto"/>
              <w:jc w:val="center"/>
            </w:pPr>
            <w:r w:rsidRPr="00535547">
              <w:t>0.26</w:t>
            </w:r>
          </w:p>
        </w:tc>
        <w:tc>
          <w:tcPr>
            <w:tcW w:w="1027" w:type="dxa"/>
            <w:noWrap/>
          </w:tcPr>
          <w:p w14:paraId="5F4EEDAA" w14:textId="77777777" w:rsidR="006F259C" w:rsidRPr="00A46F57" w:rsidRDefault="000F5B51" w:rsidP="00343F45">
            <w:pPr>
              <w:spacing w:line="240" w:lineRule="auto"/>
              <w:jc w:val="center"/>
            </w:pPr>
            <w:r w:rsidRPr="00535547">
              <w:t>0.39</w:t>
            </w:r>
          </w:p>
        </w:tc>
        <w:tc>
          <w:tcPr>
            <w:tcW w:w="1027" w:type="dxa"/>
          </w:tcPr>
          <w:p w14:paraId="720069F9" w14:textId="77777777" w:rsidR="006F259C" w:rsidRPr="00A46F57" w:rsidRDefault="000F5B51" w:rsidP="00343F45">
            <w:pPr>
              <w:spacing w:line="240" w:lineRule="auto"/>
              <w:jc w:val="center"/>
            </w:pPr>
            <w:r w:rsidRPr="00D8664B">
              <w:t>0.22</w:t>
            </w:r>
          </w:p>
        </w:tc>
        <w:tc>
          <w:tcPr>
            <w:tcW w:w="1027" w:type="dxa"/>
          </w:tcPr>
          <w:p w14:paraId="14EE5FC9" w14:textId="77777777" w:rsidR="006F259C" w:rsidRPr="00A46F57" w:rsidRDefault="000F5B51" w:rsidP="00343F45">
            <w:pPr>
              <w:spacing w:line="240" w:lineRule="auto"/>
              <w:jc w:val="center"/>
            </w:pPr>
            <w:r w:rsidRPr="00D8664B">
              <w:t>0.32</w:t>
            </w:r>
          </w:p>
        </w:tc>
        <w:tc>
          <w:tcPr>
            <w:tcW w:w="1027" w:type="dxa"/>
          </w:tcPr>
          <w:p w14:paraId="17DD4BE8" w14:textId="77777777" w:rsidR="006F259C" w:rsidRPr="00A46F57" w:rsidRDefault="000F5B51" w:rsidP="00343F45">
            <w:pPr>
              <w:spacing w:line="240" w:lineRule="auto"/>
              <w:jc w:val="center"/>
            </w:pPr>
            <w:r w:rsidRPr="00D8664B">
              <w:t>0.17</w:t>
            </w:r>
          </w:p>
        </w:tc>
        <w:tc>
          <w:tcPr>
            <w:tcW w:w="1027" w:type="dxa"/>
          </w:tcPr>
          <w:p w14:paraId="1FB5CB5D" w14:textId="77777777" w:rsidR="006F259C" w:rsidRPr="00A46F57" w:rsidRDefault="000F5B51" w:rsidP="00343F45">
            <w:pPr>
              <w:spacing w:line="240" w:lineRule="auto"/>
              <w:jc w:val="center"/>
            </w:pPr>
            <w:r w:rsidRPr="00D8664B">
              <w:t>0.26</w:t>
            </w:r>
          </w:p>
        </w:tc>
      </w:tr>
    </w:tbl>
    <w:p w14:paraId="7DD00520" w14:textId="77777777" w:rsidR="006F259C" w:rsidRPr="00617167" w:rsidRDefault="000F5B51" w:rsidP="006F259C">
      <w:pPr>
        <w:rPr>
          <w:rFonts w:ascii="Calibri" w:eastAsia="Times New Roman" w:hAnsi="Calibri" w:cs="Calibri"/>
          <w:color w:val="000000"/>
          <w:sz w:val="22"/>
        </w:rPr>
      </w:pPr>
      <w:r w:rsidRPr="00572735">
        <w:rPr>
          <w:sz w:val="18"/>
          <w:szCs w:val="16"/>
        </w:rPr>
        <w:t>Note: Values may not sum due to rounding.</w:t>
      </w:r>
    </w:p>
    <w:p w14:paraId="30618527" w14:textId="5A7365D5" w:rsidR="006F259C" w:rsidRDefault="000F5B51" w:rsidP="006F259C">
      <w:pPr>
        <w:pStyle w:val="Caption"/>
      </w:pPr>
      <w:r>
        <w:t xml:space="preserve">Table </w:t>
      </w:r>
      <w:r w:rsidR="00115BAB">
        <w:fldChar w:fldCharType="begin"/>
      </w:r>
      <w:r>
        <w:instrText xml:space="preserve"> SEQ Table \* ARABIC </w:instrText>
      </w:r>
      <w:r w:rsidR="00115BAB">
        <w:fldChar w:fldCharType="separate"/>
      </w:r>
      <w:r w:rsidR="00A65CB3">
        <w:rPr>
          <w:noProof/>
        </w:rPr>
        <w:t>142</w:t>
      </w:r>
      <w:r w:rsidR="00115BAB">
        <w:rPr>
          <w:noProof/>
        </w:rPr>
        <w:fldChar w:fldCharType="end"/>
      </w:r>
      <w:r>
        <w:t>: Discounted Safety Benefits for Rear Seat Occupants 11 Years and Older</w:t>
      </w:r>
    </w:p>
    <w:tbl>
      <w:tblPr>
        <w:tblStyle w:val="TableGrid3"/>
        <w:tblW w:w="6217" w:type="dxa"/>
        <w:jc w:val="center"/>
        <w:tblLayout w:type="fixed"/>
        <w:tblLook w:val="04A0" w:firstRow="1" w:lastRow="0" w:firstColumn="1" w:lastColumn="0" w:noHBand="0" w:noVBand="1"/>
      </w:tblPr>
      <w:tblGrid>
        <w:gridCol w:w="1597"/>
        <w:gridCol w:w="1155"/>
        <w:gridCol w:w="1155"/>
        <w:gridCol w:w="1155"/>
        <w:gridCol w:w="1155"/>
      </w:tblGrid>
      <w:tr w:rsidR="00A15C2C" w14:paraId="1F611B61" w14:textId="77777777" w:rsidTr="00343F45">
        <w:trPr>
          <w:trHeight w:val="310"/>
          <w:jc w:val="center"/>
        </w:trPr>
        <w:tc>
          <w:tcPr>
            <w:tcW w:w="1597" w:type="dxa"/>
            <w:vMerge w:val="restart"/>
            <w:shd w:val="clear" w:color="auto" w:fill="BFBFBF" w:themeFill="background1" w:themeFillShade="BF"/>
            <w:noWrap/>
            <w:vAlign w:val="center"/>
            <w:hideMark/>
          </w:tcPr>
          <w:p w14:paraId="283DEBA2" w14:textId="77777777" w:rsidR="006F259C" w:rsidRPr="00572735" w:rsidRDefault="000F5B51" w:rsidP="00343F45">
            <w:pPr>
              <w:spacing w:line="240" w:lineRule="auto"/>
              <w:rPr>
                <w:rFonts w:eastAsia="Times New Roman" w:cs="Times New Roman"/>
                <w:b/>
                <w:bCs/>
                <w:color w:val="000000"/>
              </w:rPr>
            </w:pPr>
            <w:r w:rsidRPr="00572735">
              <w:rPr>
                <w:rFonts w:eastAsia="Times New Roman" w:cs="Times New Roman"/>
                <w:b/>
                <w:bCs/>
                <w:color w:val="000000"/>
              </w:rPr>
              <w:t xml:space="preserve">Injury Severity </w:t>
            </w:r>
          </w:p>
        </w:tc>
        <w:tc>
          <w:tcPr>
            <w:tcW w:w="2310" w:type="dxa"/>
            <w:gridSpan w:val="2"/>
            <w:shd w:val="clear" w:color="auto" w:fill="BFBFBF" w:themeFill="background1" w:themeFillShade="BF"/>
            <w:noWrap/>
            <w:vAlign w:val="center"/>
          </w:tcPr>
          <w:p w14:paraId="6A855DBF" w14:textId="77777777" w:rsidR="006F259C" w:rsidRPr="00572735" w:rsidRDefault="000F5B51" w:rsidP="00343F45">
            <w:pPr>
              <w:spacing w:line="240" w:lineRule="auto"/>
              <w:jc w:val="center"/>
              <w:rPr>
                <w:rFonts w:eastAsia="Times New Roman" w:cs="Times New Roman"/>
                <w:b/>
                <w:bCs/>
                <w:color w:val="000000"/>
                <w:sz w:val="22"/>
                <w:szCs w:val="22"/>
              </w:rPr>
            </w:pPr>
            <w:r w:rsidRPr="00572735">
              <w:rPr>
                <w:rFonts w:eastAsia="Times New Roman" w:cs="Times New Roman"/>
                <w:b/>
                <w:bCs/>
                <w:color w:val="000000"/>
                <w:sz w:val="22"/>
                <w:szCs w:val="22"/>
              </w:rPr>
              <w:t>Discounted at 3%</w:t>
            </w:r>
          </w:p>
        </w:tc>
        <w:tc>
          <w:tcPr>
            <w:tcW w:w="2310" w:type="dxa"/>
            <w:gridSpan w:val="2"/>
            <w:shd w:val="clear" w:color="auto" w:fill="BFBFBF" w:themeFill="background1" w:themeFillShade="BF"/>
            <w:noWrap/>
            <w:vAlign w:val="center"/>
          </w:tcPr>
          <w:p w14:paraId="196A558F" w14:textId="77777777" w:rsidR="006F259C" w:rsidRPr="00572735" w:rsidRDefault="000F5B51" w:rsidP="00343F45">
            <w:pPr>
              <w:spacing w:line="240" w:lineRule="auto"/>
              <w:jc w:val="center"/>
              <w:rPr>
                <w:rFonts w:eastAsia="Times New Roman" w:cs="Times New Roman"/>
                <w:b/>
                <w:bCs/>
                <w:color w:val="000000"/>
                <w:sz w:val="22"/>
                <w:szCs w:val="22"/>
              </w:rPr>
            </w:pPr>
            <w:r w:rsidRPr="00572735">
              <w:rPr>
                <w:rFonts w:eastAsia="Times New Roman" w:cs="Times New Roman"/>
                <w:b/>
                <w:bCs/>
                <w:color w:val="000000"/>
                <w:sz w:val="22"/>
                <w:szCs w:val="22"/>
              </w:rPr>
              <w:t>Discounted at 7%</w:t>
            </w:r>
          </w:p>
        </w:tc>
      </w:tr>
      <w:tr w:rsidR="00A15C2C" w14:paraId="3BC2D29F" w14:textId="77777777" w:rsidTr="00343F45">
        <w:trPr>
          <w:trHeight w:val="310"/>
          <w:jc w:val="center"/>
        </w:trPr>
        <w:tc>
          <w:tcPr>
            <w:tcW w:w="1597" w:type="dxa"/>
            <w:vMerge/>
            <w:shd w:val="clear" w:color="auto" w:fill="BFBFBF" w:themeFill="background1" w:themeFillShade="BF"/>
            <w:noWrap/>
            <w:vAlign w:val="center"/>
            <w:hideMark/>
          </w:tcPr>
          <w:p w14:paraId="6B641634" w14:textId="77777777" w:rsidR="006F259C" w:rsidRPr="00572735" w:rsidRDefault="006F259C" w:rsidP="00343F45">
            <w:pPr>
              <w:spacing w:line="240" w:lineRule="auto"/>
              <w:rPr>
                <w:rFonts w:eastAsia="Times New Roman" w:cs="Times New Roman"/>
                <w:b/>
                <w:bCs/>
                <w:color w:val="000000"/>
              </w:rPr>
            </w:pPr>
          </w:p>
        </w:tc>
        <w:tc>
          <w:tcPr>
            <w:tcW w:w="1155" w:type="dxa"/>
            <w:shd w:val="clear" w:color="auto" w:fill="BFBFBF" w:themeFill="background1" w:themeFillShade="BF"/>
            <w:noWrap/>
            <w:vAlign w:val="center"/>
            <w:hideMark/>
          </w:tcPr>
          <w:p w14:paraId="79B4AB0B" w14:textId="77777777" w:rsidR="006F259C" w:rsidRPr="00572735" w:rsidRDefault="000F5B51" w:rsidP="00343F45">
            <w:pPr>
              <w:spacing w:line="240" w:lineRule="auto"/>
              <w:jc w:val="center"/>
              <w:rPr>
                <w:rFonts w:eastAsia="Times New Roman" w:cs="Times New Roman"/>
                <w:b/>
                <w:bCs/>
                <w:color w:val="000000"/>
                <w:sz w:val="22"/>
                <w:szCs w:val="22"/>
              </w:rPr>
            </w:pPr>
            <w:r w:rsidRPr="00572735">
              <w:rPr>
                <w:rFonts w:eastAsia="Times New Roman" w:cs="Times New Roman"/>
                <w:b/>
                <w:bCs/>
                <w:color w:val="000000"/>
                <w:sz w:val="22"/>
                <w:szCs w:val="22"/>
              </w:rPr>
              <w:t>Lo</w:t>
            </w:r>
          </w:p>
        </w:tc>
        <w:tc>
          <w:tcPr>
            <w:tcW w:w="1155" w:type="dxa"/>
            <w:shd w:val="clear" w:color="auto" w:fill="BFBFBF" w:themeFill="background1" w:themeFillShade="BF"/>
            <w:noWrap/>
            <w:vAlign w:val="center"/>
            <w:hideMark/>
          </w:tcPr>
          <w:p w14:paraId="2312C367" w14:textId="77777777" w:rsidR="006F259C" w:rsidRPr="00572735" w:rsidRDefault="000F5B51" w:rsidP="00343F45">
            <w:pPr>
              <w:spacing w:line="240" w:lineRule="auto"/>
              <w:jc w:val="center"/>
              <w:rPr>
                <w:rFonts w:eastAsia="Times New Roman" w:cs="Times New Roman"/>
                <w:b/>
                <w:bCs/>
                <w:sz w:val="22"/>
                <w:szCs w:val="22"/>
              </w:rPr>
            </w:pPr>
            <w:r w:rsidRPr="00572735">
              <w:rPr>
                <w:rFonts w:eastAsia="Times New Roman" w:cs="Times New Roman"/>
                <w:b/>
                <w:bCs/>
                <w:sz w:val="22"/>
                <w:szCs w:val="22"/>
              </w:rPr>
              <w:t>Hi</w:t>
            </w:r>
          </w:p>
        </w:tc>
        <w:tc>
          <w:tcPr>
            <w:tcW w:w="1155" w:type="dxa"/>
            <w:shd w:val="clear" w:color="auto" w:fill="BFBFBF" w:themeFill="background1" w:themeFillShade="BF"/>
            <w:noWrap/>
            <w:vAlign w:val="center"/>
            <w:hideMark/>
          </w:tcPr>
          <w:p w14:paraId="21DF0A61" w14:textId="77777777" w:rsidR="006F259C" w:rsidRPr="00572735" w:rsidRDefault="000F5B51" w:rsidP="00343F45">
            <w:pPr>
              <w:spacing w:line="240" w:lineRule="auto"/>
              <w:jc w:val="center"/>
              <w:rPr>
                <w:rFonts w:eastAsia="Times New Roman" w:cs="Times New Roman"/>
                <w:b/>
                <w:bCs/>
                <w:sz w:val="22"/>
                <w:szCs w:val="22"/>
              </w:rPr>
            </w:pPr>
            <w:r w:rsidRPr="00572735">
              <w:rPr>
                <w:rFonts w:eastAsia="Times New Roman" w:cs="Times New Roman"/>
                <w:b/>
                <w:bCs/>
                <w:sz w:val="22"/>
                <w:szCs w:val="22"/>
              </w:rPr>
              <w:t>Lo</w:t>
            </w:r>
          </w:p>
        </w:tc>
        <w:tc>
          <w:tcPr>
            <w:tcW w:w="1155" w:type="dxa"/>
            <w:shd w:val="clear" w:color="auto" w:fill="BFBFBF" w:themeFill="background1" w:themeFillShade="BF"/>
            <w:noWrap/>
            <w:vAlign w:val="center"/>
            <w:hideMark/>
          </w:tcPr>
          <w:p w14:paraId="049DFB6A" w14:textId="77777777" w:rsidR="006F259C" w:rsidRPr="00572735" w:rsidRDefault="000F5B51" w:rsidP="00343F45">
            <w:pPr>
              <w:spacing w:line="240" w:lineRule="auto"/>
              <w:jc w:val="center"/>
              <w:rPr>
                <w:rFonts w:eastAsia="Times New Roman" w:cs="Times New Roman"/>
                <w:b/>
                <w:bCs/>
                <w:sz w:val="22"/>
                <w:szCs w:val="22"/>
              </w:rPr>
            </w:pPr>
            <w:r w:rsidRPr="00572735">
              <w:rPr>
                <w:rFonts w:eastAsia="Times New Roman" w:cs="Times New Roman"/>
                <w:b/>
                <w:bCs/>
                <w:sz w:val="22"/>
                <w:szCs w:val="22"/>
              </w:rPr>
              <w:t>Hi</w:t>
            </w:r>
          </w:p>
        </w:tc>
      </w:tr>
      <w:tr w:rsidR="00A15C2C" w14:paraId="6991A0F7" w14:textId="77777777" w:rsidTr="00343F45">
        <w:trPr>
          <w:trHeight w:val="320"/>
          <w:jc w:val="center"/>
        </w:trPr>
        <w:tc>
          <w:tcPr>
            <w:tcW w:w="1597" w:type="dxa"/>
            <w:noWrap/>
            <w:vAlign w:val="center"/>
            <w:hideMark/>
          </w:tcPr>
          <w:p w14:paraId="3C16F1AF" w14:textId="77777777" w:rsidR="006F259C" w:rsidRPr="006620BF" w:rsidRDefault="000F5B51" w:rsidP="00343F45">
            <w:pPr>
              <w:spacing w:line="240" w:lineRule="auto"/>
              <w:rPr>
                <w:rFonts w:eastAsia="Times New Roman" w:cs="Times New Roman"/>
                <w:color w:val="000000"/>
              </w:rPr>
            </w:pPr>
            <w:r w:rsidRPr="006620BF">
              <w:rPr>
                <w:rFonts w:eastAsia="Times New Roman" w:cs="Times New Roman"/>
                <w:color w:val="000000"/>
              </w:rPr>
              <w:t>MAIS 1</w:t>
            </w:r>
          </w:p>
        </w:tc>
        <w:tc>
          <w:tcPr>
            <w:tcW w:w="1155" w:type="dxa"/>
            <w:noWrap/>
            <w:vAlign w:val="center"/>
          </w:tcPr>
          <w:p w14:paraId="57428AD5" w14:textId="77777777" w:rsidR="006F259C" w:rsidRPr="00136440" w:rsidRDefault="000F5B51" w:rsidP="00343F45">
            <w:pPr>
              <w:spacing w:line="240" w:lineRule="auto"/>
              <w:jc w:val="center"/>
              <w:rPr>
                <w:rFonts w:eastAsia="Times New Roman" w:cs="Times New Roman"/>
                <w:color w:val="000000"/>
                <w:sz w:val="22"/>
                <w:szCs w:val="22"/>
              </w:rPr>
            </w:pPr>
            <w:r w:rsidRPr="00617167">
              <w:rPr>
                <w:sz w:val="22"/>
              </w:rPr>
              <w:t>17.99</w:t>
            </w:r>
          </w:p>
        </w:tc>
        <w:tc>
          <w:tcPr>
            <w:tcW w:w="1155" w:type="dxa"/>
            <w:noWrap/>
            <w:vAlign w:val="center"/>
          </w:tcPr>
          <w:p w14:paraId="2ED4F96D" w14:textId="77777777" w:rsidR="006F259C" w:rsidRPr="00136440" w:rsidRDefault="000F5B51" w:rsidP="00343F45">
            <w:pPr>
              <w:spacing w:line="240" w:lineRule="auto"/>
              <w:jc w:val="center"/>
              <w:rPr>
                <w:rFonts w:eastAsia="Times New Roman" w:cs="Times New Roman"/>
                <w:color w:val="000000"/>
                <w:sz w:val="22"/>
                <w:szCs w:val="22"/>
              </w:rPr>
            </w:pPr>
            <w:r w:rsidRPr="00617167">
              <w:rPr>
                <w:sz w:val="22"/>
              </w:rPr>
              <w:t>27.03</w:t>
            </w:r>
          </w:p>
        </w:tc>
        <w:tc>
          <w:tcPr>
            <w:tcW w:w="1155" w:type="dxa"/>
            <w:noWrap/>
            <w:vAlign w:val="center"/>
          </w:tcPr>
          <w:p w14:paraId="3B71A197" w14:textId="77777777" w:rsidR="006F259C" w:rsidRPr="00136440" w:rsidRDefault="000F5B51" w:rsidP="00343F45">
            <w:pPr>
              <w:spacing w:line="240" w:lineRule="auto"/>
              <w:jc w:val="center"/>
              <w:rPr>
                <w:rFonts w:eastAsia="Times New Roman" w:cs="Times New Roman"/>
                <w:color w:val="000000"/>
                <w:sz w:val="22"/>
                <w:szCs w:val="22"/>
              </w:rPr>
            </w:pPr>
            <w:r w:rsidRPr="00617167">
              <w:rPr>
                <w:sz w:val="22"/>
              </w:rPr>
              <w:t>14.63</w:t>
            </w:r>
          </w:p>
        </w:tc>
        <w:tc>
          <w:tcPr>
            <w:tcW w:w="1155" w:type="dxa"/>
            <w:noWrap/>
            <w:vAlign w:val="center"/>
          </w:tcPr>
          <w:p w14:paraId="1150F347" w14:textId="77777777" w:rsidR="006F259C" w:rsidRPr="00136440" w:rsidRDefault="000F5B51" w:rsidP="00343F45">
            <w:pPr>
              <w:spacing w:line="240" w:lineRule="auto"/>
              <w:jc w:val="center"/>
              <w:rPr>
                <w:rFonts w:eastAsia="Times New Roman" w:cs="Times New Roman"/>
                <w:color w:val="000000"/>
                <w:sz w:val="22"/>
                <w:szCs w:val="22"/>
              </w:rPr>
            </w:pPr>
            <w:r w:rsidRPr="00617167">
              <w:rPr>
                <w:sz w:val="22"/>
              </w:rPr>
              <w:t>21.98</w:t>
            </w:r>
          </w:p>
        </w:tc>
      </w:tr>
      <w:tr w:rsidR="00A15C2C" w14:paraId="5067928B" w14:textId="77777777" w:rsidTr="00343F45">
        <w:trPr>
          <w:trHeight w:val="320"/>
          <w:jc w:val="center"/>
        </w:trPr>
        <w:tc>
          <w:tcPr>
            <w:tcW w:w="1597" w:type="dxa"/>
            <w:noWrap/>
            <w:vAlign w:val="center"/>
            <w:hideMark/>
          </w:tcPr>
          <w:p w14:paraId="12D90A16" w14:textId="77777777" w:rsidR="006F259C" w:rsidRPr="006620BF" w:rsidRDefault="000F5B51" w:rsidP="00343F45">
            <w:pPr>
              <w:spacing w:line="240" w:lineRule="auto"/>
              <w:rPr>
                <w:rFonts w:eastAsia="Times New Roman" w:cs="Times New Roman"/>
                <w:color w:val="000000"/>
              </w:rPr>
            </w:pPr>
            <w:r w:rsidRPr="006620BF">
              <w:rPr>
                <w:rFonts w:eastAsia="Times New Roman" w:cs="Times New Roman"/>
                <w:color w:val="000000"/>
              </w:rPr>
              <w:t>MAIS 2</w:t>
            </w:r>
          </w:p>
        </w:tc>
        <w:tc>
          <w:tcPr>
            <w:tcW w:w="1155" w:type="dxa"/>
            <w:noWrap/>
            <w:vAlign w:val="center"/>
          </w:tcPr>
          <w:p w14:paraId="2B64A61D" w14:textId="77777777" w:rsidR="006F259C" w:rsidRPr="00136440" w:rsidRDefault="000F5B51" w:rsidP="00343F45">
            <w:pPr>
              <w:spacing w:line="240" w:lineRule="auto"/>
              <w:jc w:val="center"/>
              <w:rPr>
                <w:rFonts w:eastAsia="Times New Roman" w:cs="Times New Roman"/>
                <w:color w:val="000000"/>
                <w:sz w:val="22"/>
                <w:szCs w:val="22"/>
              </w:rPr>
            </w:pPr>
            <w:r w:rsidRPr="00617167">
              <w:rPr>
                <w:sz w:val="22"/>
              </w:rPr>
              <w:t>32.93</w:t>
            </w:r>
          </w:p>
        </w:tc>
        <w:tc>
          <w:tcPr>
            <w:tcW w:w="1155" w:type="dxa"/>
            <w:noWrap/>
            <w:vAlign w:val="center"/>
          </w:tcPr>
          <w:p w14:paraId="4F45823F" w14:textId="77777777" w:rsidR="006F259C" w:rsidRPr="00136440" w:rsidRDefault="000F5B51" w:rsidP="00343F45">
            <w:pPr>
              <w:spacing w:line="240" w:lineRule="auto"/>
              <w:jc w:val="center"/>
              <w:rPr>
                <w:rFonts w:eastAsia="Times New Roman" w:cs="Times New Roman"/>
                <w:color w:val="000000"/>
                <w:sz w:val="22"/>
                <w:szCs w:val="22"/>
              </w:rPr>
            </w:pPr>
            <w:r w:rsidRPr="00617167">
              <w:rPr>
                <w:sz w:val="22"/>
              </w:rPr>
              <w:t>49.49</w:t>
            </w:r>
          </w:p>
        </w:tc>
        <w:tc>
          <w:tcPr>
            <w:tcW w:w="1155" w:type="dxa"/>
            <w:noWrap/>
            <w:vAlign w:val="center"/>
          </w:tcPr>
          <w:p w14:paraId="38A29151" w14:textId="77777777" w:rsidR="006F259C" w:rsidRPr="00136440" w:rsidRDefault="000F5B51" w:rsidP="00343F45">
            <w:pPr>
              <w:spacing w:line="240" w:lineRule="auto"/>
              <w:jc w:val="center"/>
              <w:rPr>
                <w:rFonts w:eastAsia="Times New Roman" w:cs="Times New Roman"/>
                <w:color w:val="000000"/>
                <w:sz w:val="22"/>
                <w:szCs w:val="22"/>
              </w:rPr>
            </w:pPr>
            <w:r w:rsidRPr="00617167">
              <w:rPr>
                <w:sz w:val="22"/>
              </w:rPr>
              <w:t>26.77</w:t>
            </w:r>
          </w:p>
        </w:tc>
        <w:tc>
          <w:tcPr>
            <w:tcW w:w="1155" w:type="dxa"/>
            <w:noWrap/>
            <w:vAlign w:val="center"/>
          </w:tcPr>
          <w:p w14:paraId="4FAD8F84" w14:textId="77777777" w:rsidR="006F259C" w:rsidRPr="00136440" w:rsidRDefault="000F5B51" w:rsidP="00343F45">
            <w:pPr>
              <w:spacing w:line="240" w:lineRule="auto"/>
              <w:jc w:val="center"/>
              <w:rPr>
                <w:rFonts w:eastAsia="Times New Roman" w:cs="Times New Roman"/>
                <w:color w:val="000000"/>
                <w:sz w:val="22"/>
                <w:szCs w:val="22"/>
              </w:rPr>
            </w:pPr>
            <w:r w:rsidRPr="00617167">
              <w:rPr>
                <w:sz w:val="22"/>
              </w:rPr>
              <w:t>40.23</w:t>
            </w:r>
          </w:p>
        </w:tc>
      </w:tr>
      <w:tr w:rsidR="00A15C2C" w14:paraId="306ACF38" w14:textId="77777777" w:rsidTr="00343F45">
        <w:trPr>
          <w:trHeight w:val="320"/>
          <w:jc w:val="center"/>
        </w:trPr>
        <w:tc>
          <w:tcPr>
            <w:tcW w:w="1597" w:type="dxa"/>
            <w:noWrap/>
            <w:vAlign w:val="center"/>
            <w:hideMark/>
          </w:tcPr>
          <w:p w14:paraId="306DC54D" w14:textId="77777777" w:rsidR="006F259C" w:rsidRPr="006620BF" w:rsidRDefault="000F5B51" w:rsidP="00343F45">
            <w:pPr>
              <w:spacing w:line="240" w:lineRule="auto"/>
              <w:rPr>
                <w:rFonts w:eastAsia="Times New Roman" w:cs="Times New Roman"/>
                <w:color w:val="000000"/>
              </w:rPr>
            </w:pPr>
            <w:r w:rsidRPr="006620BF">
              <w:rPr>
                <w:rFonts w:eastAsia="Times New Roman" w:cs="Times New Roman"/>
                <w:color w:val="000000"/>
              </w:rPr>
              <w:t>MAIS 3</w:t>
            </w:r>
          </w:p>
        </w:tc>
        <w:tc>
          <w:tcPr>
            <w:tcW w:w="1155" w:type="dxa"/>
            <w:noWrap/>
            <w:vAlign w:val="center"/>
          </w:tcPr>
          <w:p w14:paraId="7E36D68A" w14:textId="77777777" w:rsidR="006F259C" w:rsidRPr="00136440" w:rsidRDefault="000F5B51" w:rsidP="00343F45">
            <w:pPr>
              <w:spacing w:line="240" w:lineRule="auto"/>
              <w:jc w:val="center"/>
              <w:rPr>
                <w:rFonts w:eastAsia="Times New Roman" w:cs="Times New Roman"/>
                <w:color w:val="000000"/>
                <w:sz w:val="22"/>
                <w:szCs w:val="22"/>
              </w:rPr>
            </w:pPr>
            <w:r w:rsidRPr="00617167">
              <w:rPr>
                <w:sz w:val="22"/>
              </w:rPr>
              <w:t>4.55</w:t>
            </w:r>
          </w:p>
        </w:tc>
        <w:tc>
          <w:tcPr>
            <w:tcW w:w="1155" w:type="dxa"/>
            <w:noWrap/>
            <w:vAlign w:val="center"/>
          </w:tcPr>
          <w:p w14:paraId="18D1557C" w14:textId="77777777" w:rsidR="006F259C" w:rsidRPr="00136440" w:rsidRDefault="000F5B51" w:rsidP="00343F45">
            <w:pPr>
              <w:spacing w:line="240" w:lineRule="auto"/>
              <w:jc w:val="center"/>
              <w:rPr>
                <w:rFonts w:eastAsia="Times New Roman" w:cs="Times New Roman"/>
                <w:color w:val="000000"/>
                <w:sz w:val="22"/>
                <w:szCs w:val="22"/>
              </w:rPr>
            </w:pPr>
            <w:r w:rsidRPr="00617167">
              <w:rPr>
                <w:sz w:val="22"/>
              </w:rPr>
              <w:t>6.83</w:t>
            </w:r>
          </w:p>
        </w:tc>
        <w:tc>
          <w:tcPr>
            <w:tcW w:w="1155" w:type="dxa"/>
            <w:noWrap/>
            <w:vAlign w:val="center"/>
          </w:tcPr>
          <w:p w14:paraId="31C93882" w14:textId="77777777" w:rsidR="006F259C" w:rsidRPr="00136440" w:rsidRDefault="000F5B51" w:rsidP="00343F45">
            <w:pPr>
              <w:spacing w:line="240" w:lineRule="auto"/>
              <w:jc w:val="center"/>
              <w:rPr>
                <w:rFonts w:eastAsia="Times New Roman" w:cs="Times New Roman"/>
                <w:color w:val="000000"/>
                <w:sz w:val="22"/>
                <w:szCs w:val="22"/>
              </w:rPr>
            </w:pPr>
            <w:r w:rsidRPr="00617167">
              <w:rPr>
                <w:sz w:val="22"/>
              </w:rPr>
              <w:t>3.71</w:t>
            </w:r>
          </w:p>
        </w:tc>
        <w:tc>
          <w:tcPr>
            <w:tcW w:w="1155" w:type="dxa"/>
            <w:noWrap/>
            <w:vAlign w:val="center"/>
          </w:tcPr>
          <w:p w14:paraId="0F89B17D" w14:textId="77777777" w:rsidR="006F259C" w:rsidRPr="00136440" w:rsidRDefault="000F5B51" w:rsidP="00343F45">
            <w:pPr>
              <w:spacing w:line="240" w:lineRule="auto"/>
              <w:jc w:val="center"/>
              <w:rPr>
                <w:rFonts w:eastAsia="Times New Roman" w:cs="Times New Roman"/>
                <w:color w:val="000000"/>
                <w:sz w:val="22"/>
                <w:szCs w:val="22"/>
              </w:rPr>
            </w:pPr>
            <w:r w:rsidRPr="00617167">
              <w:rPr>
                <w:sz w:val="22"/>
              </w:rPr>
              <w:t>5.57</w:t>
            </w:r>
          </w:p>
        </w:tc>
      </w:tr>
      <w:tr w:rsidR="00A15C2C" w14:paraId="2AC35936" w14:textId="77777777" w:rsidTr="00343F45">
        <w:trPr>
          <w:trHeight w:val="320"/>
          <w:jc w:val="center"/>
        </w:trPr>
        <w:tc>
          <w:tcPr>
            <w:tcW w:w="1597" w:type="dxa"/>
            <w:noWrap/>
            <w:vAlign w:val="center"/>
            <w:hideMark/>
          </w:tcPr>
          <w:p w14:paraId="0C9C63C6" w14:textId="77777777" w:rsidR="006F259C" w:rsidRPr="006620BF" w:rsidRDefault="000F5B51" w:rsidP="00343F45">
            <w:pPr>
              <w:spacing w:line="240" w:lineRule="auto"/>
              <w:rPr>
                <w:rFonts w:eastAsia="Times New Roman" w:cs="Times New Roman"/>
                <w:color w:val="000000"/>
              </w:rPr>
            </w:pPr>
            <w:r w:rsidRPr="006620BF">
              <w:rPr>
                <w:rFonts w:eastAsia="Times New Roman" w:cs="Times New Roman"/>
                <w:color w:val="000000"/>
              </w:rPr>
              <w:t>MAIS 4</w:t>
            </w:r>
          </w:p>
        </w:tc>
        <w:tc>
          <w:tcPr>
            <w:tcW w:w="1155" w:type="dxa"/>
            <w:noWrap/>
            <w:vAlign w:val="center"/>
          </w:tcPr>
          <w:p w14:paraId="66AC60E5" w14:textId="77777777" w:rsidR="006F259C" w:rsidRPr="00136440" w:rsidRDefault="000F5B51" w:rsidP="00343F45">
            <w:pPr>
              <w:spacing w:line="240" w:lineRule="auto"/>
              <w:jc w:val="center"/>
              <w:rPr>
                <w:rFonts w:eastAsia="Times New Roman" w:cs="Times New Roman"/>
                <w:color w:val="000000"/>
                <w:sz w:val="22"/>
                <w:szCs w:val="22"/>
              </w:rPr>
            </w:pPr>
            <w:r w:rsidRPr="00617167">
              <w:rPr>
                <w:sz w:val="22"/>
              </w:rPr>
              <w:t>4.52</w:t>
            </w:r>
          </w:p>
        </w:tc>
        <w:tc>
          <w:tcPr>
            <w:tcW w:w="1155" w:type="dxa"/>
            <w:noWrap/>
            <w:vAlign w:val="center"/>
          </w:tcPr>
          <w:p w14:paraId="7E0E1358" w14:textId="77777777" w:rsidR="006F259C" w:rsidRPr="00136440" w:rsidRDefault="000F5B51" w:rsidP="00343F45">
            <w:pPr>
              <w:spacing w:line="240" w:lineRule="auto"/>
              <w:jc w:val="center"/>
              <w:rPr>
                <w:rFonts w:eastAsia="Times New Roman" w:cs="Times New Roman"/>
                <w:color w:val="000000"/>
                <w:sz w:val="22"/>
                <w:szCs w:val="22"/>
              </w:rPr>
            </w:pPr>
            <w:r w:rsidRPr="00617167">
              <w:rPr>
                <w:sz w:val="22"/>
              </w:rPr>
              <w:t>6.79</w:t>
            </w:r>
          </w:p>
        </w:tc>
        <w:tc>
          <w:tcPr>
            <w:tcW w:w="1155" w:type="dxa"/>
            <w:noWrap/>
            <w:vAlign w:val="center"/>
          </w:tcPr>
          <w:p w14:paraId="7D091538" w14:textId="77777777" w:rsidR="006F259C" w:rsidRPr="00136440" w:rsidRDefault="000F5B51" w:rsidP="00343F45">
            <w:pPr>
              <w:spacing w:line="240" w:lineRule="auto"/>
              <w:jc w:val="center"/>
              <w:rPr>
                <w:rFonts w:eastAsia="Times New Roman" w:cs="Times New Roman"/>
                <w:color w:val="000000"/>
                <w:sz w:val="22"/>
                <w:szCs w:val="22"/>
              </w:rPr>
            </w:pPr>
            <w:r w:rsidRPr="00617167">
              <w:rPr>
                <w:sz w:val="22"/>
              </w:rPr>
              <w:t>3.68</w:t>
            </w:r>
          </w:p>
        </w:tc>
        <w:tc>
          <w:tcPr>
            <w:tcW w:w="1155" w:type="dxa"/>
            <w:noWrap/>
            <w:vAlign w:val="center"/>
          </w:tcPr>
          <w:p w14:paraId="60800818" w14:textId="77777777" w:rsidR="006F259C" w:rsidRPr="00136440" w:rsidRDefault="000F5B51" w:rsidP="00343F45">
            <w:pPr>
              <w:spacing w:line="240" w:lineRule="auto"/>
              <w:jc w:val="center"/>
              <w:rPr>
                <w:rFonts w:eastAsia="Times New Roman" w:cs="Times New Roman"/>
                <w:color w:val="000000"/>
                <w:sz w:val="22"/>
                <w:szCs w:val="22"/>
              </w:rPr>
            </w:pPr>
            <w:r w:rsidRPr="00617167">
              <w:rPr>
                <w:sz w:val="22"/>
              </w:rPr>
              <w:t>5.53</w:t>
            </w:r>
          </w:p>
        </w:tc>
      </w:tr>
      <w:tr w:rsidR="00A15C2C" w14:paraId="6B508D6E" w14:textId="77777777" w:rsidTr="00343F45">
        <w:trPr>
          <w:trHeight w:val="320"/>
          <w:jc w:val="center"/>
        </w:trPr>
        <w:tc>
          <w:tcPr>
            <w:tcW w:w="1597" w:type="dxa"/>
            <w:noWrap/>
            <w:vAlign w:val="center"/>
            <w:hideMark/>
          </w:tcPr>
          <w:p w14:paraId="234233F3" w14:textId="77777777" w:rsidR="006F259C" w:rsidRPr="006620BF" w:rsidRDefault="000F5B51" w:rsidP="00343F45">
            <w:pPr>
              <w:spacing w:line="240" w:lineRule="auto"/>
              <w:rPr>
                <w:rFonts w:eastAsia="Times New Roman" w:cs="Times New Roman"/>
                <w:color w:val="000000"/>
              </w:rPr>
            </w:pPr>
            <w:r w:rsidRPr="006620BF">
              <w:rPr>
                <w:rFonts w:eastAsia="Times New Roman" w:cs="Times New Roman"/>
                <w:color w:val="000000"/>
              </w:rPr>
              <w:t>MAIS 5</w:t>
            </w:r>
          </w:p>
        </w:tc>
        <w:tc>
          <w:tcPr>
            <w:tcW w:w="1155" w:type="dxa"/>
            <w:noWrap/>
            <w:vAlign w:val="center"/>
          </w:tcPr>
          <w:p w14:paraId="3DCFC81F" w14:textId="77777777" w:rsidR="006F259C" w:rsidRPr="00136440" w:rsidRDefault="000F5B51" w:rsidP="00343F45">
            <w:pPr>
              <w:spacing w:line="240" w:lineRule="auto"/>
              <w:jc w:val="center"/>
              <w:rPr>
                <w:rFonts w:eastAsia="Times New Roman" w:cs="Times New Roman"/>
                <w:color w:val="000000"/>
                <w:sz w:val="22"/>
                <w:szCs w:val="22"/>
              </w:rPr>
            </w:pPr>
            <w:r w:rsidRPr="00617167">
              <w:rPr>
                <w:sz w:val="22"/>
              </w:rPr>
              <w:t>0.13</w:t>
            </w:r>
          </w:p>
        </w:tc>
        <w:tc>
          <w:tcPr>
            <w:tcW w:w="1155" w:type="dxa"/>
            <w:noWrap/>
            <w:vAlign w:val="center"/>
          </w:tcPr>
          <w:p w14:paraId="673D14BE" w14:textId="77777777" w:rsidR="006F259C" w:rsidRPr="00136440" w:rsidRDefault="000F5B51" w:rsidP="00343F45">
            <w:pPr>
              <w:spacing w:line="240" w:lineRule="auto"/>
              <w:jc w:val="center"/>
              <w:rPr>
                <w:rFonts w:eastAsia="Times New Roman" w:cs="Times New Roman"/>
                <w:color w:val="000000"/>
                <w:sz w:val="22"/>
                <w:szCs w:val="22"/>
              </w:rPr>
            </w:pPr>
            <w:r w:rsidRPr="00617167">
              <w:rPr>
                <w:sz w:val="22"/>
              </w:rPr>
              <w:t>0.20</w:t>
            </w:r>
          </w:p>
        </w:tc>
        <w:tc>
          <w:tcPr>
            <w:tcW w:w="1155" w:type="dxa"/>
            <w:noWrap/>
            <w:vAlign w:val="center"/>
          </w:tcPr>
          <w:p w14:paraId="2D51A1CE" w14:textId="77777777" w:rsidR="006F259C" w:rsidRPr="00136440" w:rsidRDefault="000F5B51" w:rsidP="00343F45">
            <w:pPr>
              <w:spacing w:line="240" w:lineRule="auto"/>
              <w:jc w:val="center"/>
              <w:rPr>
                <w:rFonts w:eastAsia="Times New Roman" w:cs="Times New Roman"/>
                <w:color w:val="000000"/>
                <w:sz w:val="22"/>
                <w:szCs w:val="22"/>
              </w:rPr>
            </w:pPr>
            <w:r w:rsidRPr="00617167">
              <w:rPr>
                <w:sz w:val="22"/>
              </w:rPr>
              <w:t>0.11</w:t>
            </w:r>
          </w:p>
        </w:tc>
        <w:tc>
          <w:tcPr>
            <w:tcW w:w="1155" w:type="dxa"/>
            <w:noWrap/>
            <w:vAlign w:val="center"/>
          </w:tcPr>
          <w:p w14:paraId="2FB91B14" w14:textId="77777777" w:rsidR="006F259C" w:rsidRPr="00136440" w:rsidRDefault="000F5B51" w:rsidP="00343F45">
            <w:pPr>
              <w:spacing w:line="240" w:lineRule="auto"/>
              <w:jc w:val="center"/>
              <w:rPr>
                <w:rFonts w:eastAsia="Times New Roman" w:cs="Times New Roman"/>
                <w:color w:val="000000"/>
                <w:sz w:val="22"/>
                <w:szCs w:val="22"/>
              </w:rPr>
            </w:pPr>
            <w:r w:rsidRPr="00617167">
              <w:rPr>
                <w:sz w:val="22"/>
              </w:rPr>
              <w:t>0.16</w:t>
            </w:r>
          </w:p>
        </w:tc>
      </w:tr>
      <w:tr w:rsidR="00A15C2C" w14:paraId="6DB6DAA2" w14:textId="77777777" w:rsidTr="00343F45">
        <w:trPr>
          <w:trHeight w:val="310"/>
          <w:jc w:val="center"/>
        </w:trPr>
        <w:tc>
          <w:tcPr>
            <w:tcW w:w="1597" w:type="dxa"/>
            <w:noWrap/>
            <w:vAlign w:val="center"/>
            <w:hideMark/>
          </w:tcPr>
          <w:p w14:paraId="0C4E9386" w14:textId="77777777" w:rsidR="006F259C" w:rsidRPr="00572735" w:rsidRDefault="000F5B51" w:rsidP="00343F45">
            <w:pPr>
              <w:spacing w:line="240" w:lineRule="auto"/>
              <w:rPr>
                <w:rFonts w:eastAsia="Times New Roman" w:cs="Times New Roman"/>
                <w:color w:val="000000"/>
              </w:rPr>
            </w:pPr>
            <w:r w:rsidRPr="00572735">
              <w:rPr>
                <w:rFonts w:eastAsia="Times New Roman" w:cs="Times New Roman"/>
                <w:color w:val="000000"/>
              </w:rPr>
              <w:t>Fatality</w:t>
            </w:r>
          </w:p>
        </w:tc>
        <w:tc>
          <w:tcPr>
            <w:tcW w:w="1155" w:type="dxa"/>
            <w:noWrap/>
            <w:vAlign w:val="center"/>
          </w:tcPr>
          <w:p w14:paraId="3D7E3826" w14:textId="77777777" w:rsidR="006F259C" w:rsidRPr="00136440" w:rsidRDefault="000F5B51" w:rsidP="00343F45">
            <w:pPr>
              <w:spacing w:line="240" w:lineRule="auto"/>
              <w:jc w:val="center"/>
              <w:rPr>
                <w:rFonts w:eastAsia="Times New Roman" w:cs="Times New Roman"/>
                <w:color w:val="000000"/>
                <w:sz w:val="22"/>
                <w:szCs w:val="22"/>
              </w:rPr>
            </w:pPr>
            <w:r w:rsidRPr="00617167">
              <w:rPr>
                <w:sz w:val="22"/>
              </w:rPr>
              <w:t>18.15</w:t>
            </w:r>
          </w:p>
        </w:tc>
        <w:tc>
          <w:tcPr>
            <w:tcW w:w="1155" w:type="dxa"/>
            <w:noWrap/>
            <w:vAlign w:val="center"/>
          </w:tcPr>
          <w:p w14:paraId="2E3CD3AF" w14:textId="77777777" w:rsidR="006F259C" w:rsidRPr="00136440" w:rsidRDefault="000F5B51" w:rsidP="00343F45">
            <w:pPr>
              <w:spacing w:line="240" w:lineRule="auto"/>
              <w:jc w:val="center"/>
              <w:rPr>
                <w:rFonts w:eastAsia="Times New Roman" w:cs="Times New Roman"/>
                <w:color w:val="000000"/>
                <w:sz w:val="22"/>
                <w:szCs w:val="22"/>
              </w:rPr>
            </w:pPr>
            <w:r w:rsidRPr="00617167">
              <w:rPr>
                <w:sz w:val="22"/>
              </w:rPr>
              <w:t>27.35</w:t>
            </w:r>
          </w:p>
        </w:tc>
        <w:tc>
          <w:tcPr>
            <w:tcW w:w="1155" w:type="dxa"/>
            <w:noWrap/>
            <w:vAlign w:val="center"/>
          </w:tcPr>
          <w:p w14:paraId="6E91BE28" w14:textId="77777777" w:rsidR="006F259C" w:rsidRPr="00136440" w:rsidRDefault="000F5B51" w:rsidP="00343F45">
            <w:pPr>
              <w:spacing w:line="240" w:lineRule="auto"/>
              <w:jc w:val="center"/>
              <w:rPr>
                <w:rFonts w:eastAsia="Times New Roman" w:cs="Times New Roman"/>
                <w:color w:val="000000"/>
                <w:sz w:val="22"/>
                <w:szCs w:val="22"/>
              </w:rPr>
            </w:pPr>
            <w:r w:rsidRPr="00617167">
              <w:rPr>
                <w:sz w:val="22"/>
              </w:rPr>
              <w:t>14.72</w:t>
            </w:r>
          </w:p>
        </w:tc>
        <w:tc>
          <w:tcPr>
            <w:tcW w:w="1155" w:type="dxa"/>
            <w:noWrap/>
            <w:vAlign w:val="center"/>
          </w:tcPr>
          <w:p w14:paraId="6838FFB6" w14:textId="77777777" w:rsidR="006F259C" w:rsidRPr="00136440" w:rsidRDefault="000F5B51" w:rsidP="00343F45">
            <w:pPr>
              <w:spacing w:line="240" w:lineRule="auto"/>
              <w:jc w:val="center"/>
              <w:rPr>
                <w:rFonts w:eastAsia="Times New Roman" w:cs="Times New Roman"/>
                <w:color w:val="000000"/>
                <w:sz w:val="22"/>
                <w:szCs w:val="22"/>
              </w:rPr>
            </w:pPr>
            <w:r w:rsidRPr="00617167">
              <w:rPr>
                <w:sz w:val="22"/>
              </w:rPr>
              <w:t>22.19</w:t>
            </w:r>
          </w:p>
        </w:tc>
      </w:tr>
    </w:tbl>
    <w:p w14:paraId="1AEE59D0" w14:textId="77777777" w:rsidR="006F259C" w:rsidRDefault="000F5B51" w:rsidP="006F259C">
      <w:pPr>
        <w:ind w:left="720" w:firstLine="720"/>
        <w:rPr>
          <w:rFonts w:ascii="Calibri" w:eastAsia="Times New Roman" w:hAnsi="Calibri" w:cs="Calibri"/>
          <w:color w:val="000000"/>
          <w:sz w:val="22"/>
        </w:rPr>
      </w:pPr>
      <w:r>
        <w:rPr>
          <w:sz w:val="18"/>
          <w:szCs w:val="16"/>
        </w:rPr>
        <w:t xml:space="preserve">  </w:t>
      </w:r>
      <w:r w:rsidRPr="00572735">
        <w:rPr>
          <w:sz w:val="18"/>
          <w:szCs w:val="16"/>
        </w:rPr>
        <w:t>Note: Values may not sum due to rounding.</w:t>
      </w:r>
    </w:p>
    <w:p w14:paraId="44F835D6" w14:textId="1F8FDC9D" w:rsidR="006F259C" w:rsidRDefault="000F5B51" w:rsidP="006F259C">
      <w:pPr>
        <w:pStyle w:val="Caption"/>
      </w:pPr>
      <w:r>
        <w:t xml:space="preserve">Table </w:t>
      </w:r>
      <w:r w:rsidR="00115BAB">
        <w:fldChar w:fldCharType="begin"/>
      </w:r>
      <w:r>
        <w:instrText xml:space="preserve"> SEQ Table \* ARABIC </w:instrText>
      </w:r>
      <w:r w:rsidR="00115BAB">
        <w:fldChar w:fldCharType="separate"/>
      </w:r>
      <w:r w:rsidR="00A65CB3">
        <w:rPr>
          <w:noProof/>
        </w:rPr>
        <w:t>143</w:t>
      </w:r>
      <w:r w:rsidR="00115BAB">
        <w:rPr>
          <w:noProof/>
        </w:rPr>
        <w:fldChar w:fldCharType="end"/>
      </w:r>
      <w:r>
        <w:t>: Discounted Safety Benefits for Rear Seat Occupants 6 to 10 Years Old</w:t>
      </w:r>
    </w:p>
    <w:tbl>
      <w:tblPr>
        <w:tblStyle w:val="TableGrid3"/>
        <w:tblW w:w="6217" w:type="dxa"/>
        <w:jc w:val="center"/>
        <w:tblLayout w:type="fixed"/>
        <w:tblLook w:val="04A0" w:firstRow="1" w:lastRow="0" w:firstColumn="1" w:lastColumn="0" w:noHBand="0" w:noVBand="1"/>
      </w:tblPr>
      <w:tblGrid>
        <w:gridCol w:w="1597"/>
        <w:gridCol w:w="1155"/>
        <w:gridCol w:w="1155"/>
        <w:gridCol w:w="1155"/>
        <w:gridCol w:w="1155"/>
      </w:tblGrid>
      <w:tr w:rsidR="00A15C2C" w14:paraId="613B0D38" w14:textId="77777777" w:rsidTr="00343F45">
        <w:trPr>
          <w:trHeight w:val="310"/>
          <w:jc w:val="center"/>
        </w:trPr>
        <w:tc>
          <w:tcPr>
            <w:tcW w:w="1597" w:type="dxa"/>
            <w:vMerge w:val="restart"/>
            <w:shd w:val="clear" w:color="auto" w:fill="BFBFBF" w:themeFill="background1" w:themeFillShade="BF"/>
            <w:noWrap/>
            <w:vAlign w:val="center"/>
            <w:hideMark/>
          </w:tcPr>
          <w:p w14:paraId="01363234" w14:textId="77777777" w:rsidR="006F259C" w:rsidRPr="006D638F" w:rsidRDefault="000F5B51" w:rsidP="00343F45">
            <w:pPr>
              <w:spacing w:line="240" w:lineRule="auto"/>
              <w:rPr>
                <w:rFonts w:eastAsia="Times New Roman" w:cs="Times New Roman"/>
                <w:b/>
                <w:bCs/>
                <w:color w:val="000000"/>
              </w:rPr>
            </w:pPr>
            <w:r w:rsidRPr="006D638F">
              <w:rPr>
                <w:rFonts w:eastAsia="Times New Roman" w:cs="Times New Roman"/>
                <w:b/>
                <w:bCs/>
                <w:color w:val="000000"/>
              </w:rPr>
              <w:t xml:space="preserve">Injury Severity </w:t>
            </w:r>
          </w:p>
        </w:tc>
        <w:tc>
          <w:tcPr>
            <w:tcW w:w="2310" w:type="dxa"/>
            <w:gridSpan w:val="2"/>
            <w:shd w:val="clear" w:color="auto" w:fill="BFBFBF" w:themeFill="background1" w:themeFillShade="BF"/>
            <w:noWrap/>
            <w:vAlign w:val="center"/>
          </w:tcPr>
          <w:p w14:paraId="1730B81B" w14:textId="77777777" w:rsidR="006F259C" w:rsidRPr="00617167" w:rsidRDefault="000F5B51" w:rsidP="00343F45">
            <w:pPr>
              <w:spacing w:line="240" w:lineRule="auto"/>
              <w:jc w:val="center"/>
              <w:rPr>
                <w:rFonts w:eastAsia="Times New Roman" w:cs="Times New Roman"/>
                <w:b/>
                <w:bCs/>
                <w:color w:val="000000"/>
                <w:sz w:val="22"/>
                <w:szCs w:val="22"/>
              </w:rPr>
            </w:pPr>
            <w:r w:rsidRPr="00617167">
              <w:rPr>
                <w:rFonts w:eastAsia="Times New Roman" w:cs="Times New Roman"/>
                <w:b/>
                <w:bCs/>
                <w:color w:val="000000"/>
                <w:sz w:val="22"/>
              </w:rPr>
              <w:t>Discounted at 3%</w:t>
            </w:r>
          </w:p>
        </w:tc>
        <w:tc>
          <w:tcPr>
            <w:tcW w:w="2310" w:type="dxa"/>
            <w:gridSpan w:val="2"/>
            <w:shd w:val="clear" w:color="auto" w:fill="BFBFBF" w:themeFill="background1" w:themeFillShade="BF"/>
            <w:noWrap/>
            <w:vAlign w:val="center"/>
          </w:tcPr>
          <w:p w14:paraId="431394AA" w14:textId="77777777" w:rsidR="006F259C" w:rsidRPr="00617167" w:rsidRDefault="000F5B51" w:rsidP="00343F45">
            <w:pPr>
              <w:spacing w:line="240" w:lineRule="auto"/>
              <w:jc w:val="center"/>
              <w:rPr>
                <w:rFonts w:eastAsia="Times New Roman" w:cs="Times New Roman"/>
                <w:b/>
                <w:bCs/>
                <w:color w:val="000000"/>
                <w:sz w:val="22"/>
                <w:szCs w:val="22"/>
              </w:rPr>
            </w:pPr>
            <w:r w:rsidRPr="00617167">
              <w:rPr>
                <w:rFonts w:eastAsia="Times New Roman" w:cs="Times New Roman"/>
                <w:b/>
                <w:bCs/>
                <w:color w:val="000000"/>
                <w:sz w:val="22"/>
              </w:rPr>
              <w:t>Discounted at 7%</w:t>
            </w:r>
          </w:p>
        </w:tc>
      </w:tr>
      <w:tr w:rsidR="00A15C2C" w14:paraId="69BAD23F" w14:textId="77777777" w:rsidTr="00343F45">
        <w:trPr>
          <w:trHeight w:val="310"/>
          <w:jc w:val="center"/>
        </w:trPr>
        <w:tc>
          <w:tcPr>
            <w:tcW w:w="1597" w:type="dxa"/>
            <w:vMerge/>
            <w:shd w:val="clear" w:color="auto" w:fill="BFBFBF" w:themeFill="background1" w:themeFillShade="BF"/>
            <w:noWrap/>
            <w:vAlign w:val="center"/>
            <w:hideMark/>
          </w:tcPr>
          <w:p w14:paraId="3176FC34" w14:textId="77777777" w:rsidR="006F259C" w:rsidRPr="006D638F" w:rsidRDefault="006F259C" w:rsidP="00343F45">
            <w:pPr>
              <w:spacing w:line="240" w:lineRule="auto"/>
              <w:rPr>
                <w:rFonts w:eastAsia="Times New Roman" w:cs="Times New Roman"/>
                <w:b/>
                <w:bCs/>
                <w:color w:val="000000"/>
              </w:rPr>
            </w:pPr>
          </w:p>
        </w:tc>
        <w:tc>
          <w:tcPr>
            <w:tcW w:w="1155" w:type="dxa"/>
            <w:shd w:val="clear" w:color="auto" w:fill="BFBFBF" w:themeFill="background1" w:themeFillShade="BF"/>
            <w:noWrap/>
            <w:vAlign w:val="center"/>
            <w:hideMark/>
          </w:tcPr>
          <w:p w14:paraId="3CB62F15" w14:textId="77777777" w:rsidR="006F259C" w:rsidRPr="00617167" w:rsidRDefault="000F5B51" w:rsidP="00343F45">
            <w:pPr>
              <w:spacing w:line="240" w:lineRule="auto"/>
              <w:jc w:val="center"/>
              <w:rPr>
                <w:rFonts w:eastAsia="Times New Roman" w:cs="Times New Roman"/>
                <w:b/>
                <w:bCs/>
                <w:color w:val="000000"/>
                <w:sz w:val="22"/>
                <w:szCs w:val="22"/>
              </w:rPr>
            </w:pPr>
            <w:r w:rsidRPr="00617167">
              <w:rPr>
                <w:rFonts w:eastAsia="Times New Roman" w:cs="Times New Roman"/>
                <w:b/>
                <w:bCs/>
                <w:color w:val="000000"/>
                <w:sz w:val="22"/>
              </w:rPr>
              <w:t>Lo</w:t>
            </w:r>
          </w:p>
        </w:tc>
        <w:tc>
          <w:tcPr>
            <w:tcW w:w="1155" w:type="dxa"/>
            <w:shd w:val="clear" w:color="auto" w:fill="BFBFBF" w:themeFill="background1" w:themeFillShade="BF"/>
            <w:noWrap/>
            <w:vAlign w:val="center"/>
            <w:hideMark/>
          </w:tcPr>
          <w:p w14:paraId="34390A74" w14:textId="77777777" w:rsidR="006F259C" w:rsidRPr="00617167" w:rsidRDefault="000F5B51" w:rsidP="00343F45">
            <w:pPr>
              <w:spacing w:line="240" w:lineRule="auto"/>
              <w:jc w:val="center"/>
              <w:rPr>
                <w:rFonts w:eastAsia="Times New Roman" w:cs="Times New Roman"/>
                <w:b/>
                <w:bCs/>
                <w:sz w:val="22"/>
                <w:szCs w:val="22"/>
              </w:rPr>
            </w:pPr>
            <w:r w:rsidRPr="00617167">
              <w:rPr>
                <w:rFonts w:eastAsia="Times New Roman" w:cs="Times New Roman"/>
                <w:b/>
                <w:bCs/>
                <w:sz w:val="22"/>
                <w:szCs w:val="22"/>
              </w:rPr>
              <w:t>Hi</w:t>
            </w:r>
          </w:p>
        </w:tc>
        <w:tc>
          <w:tcPr>
            <w:tcW w:w="1155" w:type="dxa"/>
            <w:shd w:val="clear" w:color="auto" w:fill="BFBFBF" w:themeFill="background1" w:themeFillShade="BF"/>
            <w:noWrap/>
            <w:vAlign w:val="center"/>
            <w:hideMark/>
          </w:tcPr>
          <w:p w14:paraId="0B52C51B" w14:textId="77777777" w:rsidR="006F259C" w:rsidRPr="00617167" w:rsidRDefault="000F5B51" w:rsidP="00343F45">
            <w:pPr>
              <w:spacing w:line="240" w:lineRule="auto"/>
              <w:jc w:val="center"/>
              <w:rPr>
                <w:rFonts w:eastAsia="Times New Roman" w:cs="Times New Roman"/>
                <w:b/>
                <w:bCs/>
                <w:sz w:val="22"/>
                <w:szCs w:val="22"/>
              </w:rPr>
            </w:pPr>
            <w:r w:rsidRPr="00617167">
              <w:rPr>
                <w:rFonts w:eastAsia="Times New Roman" w:cs="Times New Roman"/>
                <w:b/>
                <w:bCs/>
                <w:sz w:val="22"/>
                <w:szCs w:val="22"/>
              </w:rPr>
              <w:t>Lo</w:t>
            </w:r>
          </w:p>
        </w:tc>
        <w:tc>
          <w:tcPr>
            <w:tcW w:w="1155" w:type="dxa"/>
            <w:shd w:val="clear" w:color="auto" w:fill="BFBFBF" w:themeFill="background1" w:themeFillShade="BF"/>
            <w:noWrap/>
            <w:vAlign w:val="center"/>
            <w:hideMark/>
          </w:tcPr>
          <w:p w14:paraId="016062CC" w14:textId="77777777" w:rsidR="006F259C" w:rsidRPr="00617167" w:rsidRDefault="000F5B51" w:rsidP="00343F45">
            <w:pPr>
              <w:spacing w:line="240" w:lineRule="auto"/>
              <w:jc w:val="center"/>
              <w:rPr>
                <w:rFonts w:eastAsia="Times New Roman" w:cs="Times New Roman"/>
                <w:b/>
                <w:bCs/>
                <w:sz w:val="22"/>
                <w:szCs w:val="22"/>
              </w:rPr>
            </w:pPr>
            <w:r w:rsidRPr="00617167">
              <w:rPr>
                <w:rFonts w:eastAsia="Times New Roman" w:cs="Times New Roman"/>
                <w:b/>
                <w:bCs/>
                <w:sz w:val="22"/>
                <w:szCs w:val="22"/>
              </w:rPr>
              <w:t>Hi</w:t>
            </w:r>
          </w:p>
        </w:tc>
      </w:tr>
      <w:tr w:rsidR="00A15C2C" w14:paraId="67639999" w14:textId="77777777" w:rsidTr="00343F45">
        <w:trPr>
          <w:trHeight w:val="320"/>
          <w:jc w:val="center"/>
        </w:trPr>
        <w:tc>
          <w:tcPr>
            <w:tcW w:w="1597" w:type="dxa"/>
            <w:shd w:val="clear" w:color="auto" w:fill="auto"/>
            <w:noWrap/>
            <w:vAlign w:val="center"/>
            <w:hideMark/>
          </w:tcPr>
          <w:p w14:paraId="3F20A630" w14:textId="77777777" w:rsidR="006F259C" w:rsidRPr="006620BF" w:rsidRDefault="000F5B51" w:rsidP="00343F45">
            <w:pPr>
              <w:spacing w:line="240" w:lineRule="auto"/>
              <w:rPr>
                <w:rFonts w:eastAsia="Times New Roman" w:cs="Times New Roman"/>
                <w:color w:val="000000"/>
              </w:rPr>
            </w:pPr>
            <w:r w:rsidRPr="006620BF">
              <w:rPr>
                <w:rFonts w:eastAsia="Times New Roman" w:cs="Times New Roman"/>
                <w:color w:val="000000"/>
              </w:rPr>
              <w:t>MAIS 1</w:t>
            </w:r>
          </w:p>
        </w:tc>
        <w:tc>
          <w:tcPr>
            <w:tcW w:w="1155" w:type="dxa"/>
            <w:shd w:val="clear" w:color="auto" w:fill="auto"/>
            <w:noWrap/>
            <w:vAlign w:val="center"/>
            <w:hideMark/>
          </w:tcPr>
          <w:p w14:paraId="62944292" w14:textId="77777777" w:rsidR="006F259C" w:rsidRPr="00617167" w:rsidRDefault="000F5B51" w:rsidP="00343F45">
            <w:pPr>
              <w:spacing w:line="240" w:lineRule="auto"/>
              <w:jc w:val="center"/>
              <w:rPr>
                <w:rFonts w:eastAsia="Times New Roman" w:cs="Times New Roman"/>
                <w:color w:val="000000"/>
                <w:sz w:val="22"/>
                <w:szCs w:val="22"/>
              </w:rPr>
            </w:pPr>
            <w:r w:rsidRPr="00617167">
              <w:rPr>
                <w:rFonts w:eastAsia="Times New Roman" w:cs="Times New Roman"/>
                <w:color w:val="000000"/>
                <w:sz w:val="22"/>
              </w:rPr>
              <w:t>0.49</w:t>
            </w:r>
          </w:p>
        </w:tc>
        <w:tc>
          <w:tcPr>
            <w:tcW w:w="1155" w:type="dxa"/>
            <w:shd w:val="clear" w:color="auto" w:fill="auto"/>
            <w:noWrap/>
            <w:vAlign w:val="center"/>
            <w:hideMark/>
          </w:tcPr>
          <w:p w14:paraId="6CCAD1A6" w14:textId="77777777" w:rsidR="006F259C" w:rsidRPr="00617167" w:rsidRDefault="000F5B51" w:rsidP="00343F45">
            <w:pPr>
              <w:spacing w:line="240" w:lineRule="auto"/>
              <w:jc w:val="center"/>
              <w:rPr>
                <w:rFonts w:eastAsia="Times New Roman" w:cs="Times New Roman"/>
                <w:color w:val="000000"/>
                <w:sz w:val="22"/>
                <w:szCs w:val="22"/>
              </w:rPr>
            </w:pPr>
            <w:r w:rsidRPr="00617167">
              <w:rPr>
                <w:rFonts w:eastAsia="Times New Roman" w:cs="Times New Roman"/>
                <w:color w:val="000000"/>
                <w:sz w:val="22"/>
              </w:rPr>
              <w:t>0.72</w:t>
            </w:r>
          </w:p>
        </w:tc>
        <w:tc>
          <w:tcPr>
            <w:tcW w:w="1155" w:type="dxa"/>
            <w:shd w:val="clear" w:color="auto" w:fill="auto"/>
            <w:noWrap/>
            <w:vAlign w:val="center"/>
            <w:hideMark/>
          </w:tcPr>
          <w:p w14:paraId="3BD9BBC0" w14:textId="77777777" w:rsidR="006F259C" w:rsidRPr="00617167" w:rsidRDefault="000F5B51" w:rsidP="00343F45">
            <w:pPr>
              <w:spacing w:line="240" w:lineRule="auto"/>
              <w:jc w:val="center"/>
              <w:rPr>
                <w:rFonts w:eastAsia="Times New Roman" w:cs="Times New Roman"/>
                <w:color w:val="000000"/>
                <w:sz w:val="22"/>
                <w:szCs w:val="22"/>
              </w:rPr>
            </w:pPr>
            <w:r w:rsidRPr="00617167">
              <w:rPr>
                <w:rFonts w:eastAsia="Times New Roman" w:cs="Times New Roman"/>
                <w:color w:val="000000"/>
                <w:sz w:val="22"/>
              </w:rPr>
              <w:t>0.40</w:t>
            </w:r>
          </w:p>
        </w:tc>
        <w:tc>
          <w:tcPr>
            <w:tcW w:w="1155" w:type="dxa"/>
            <w:shd w:val="clear" w:color="auto" w:fill="auto"/>
            <w:noWrap/>
            <w:vAlign w:val="center"/>
            <w:hideMark/>
          </w:tcPr>
          <w:p w14:paraId="2B0484B3" w14:textId="77777777" w:rsidR="006F259C" w:rsidRPr="00617167" w:rsidRDefault="000F5B51" w:rsidP="00343F45">
            <w:pPr>
              <w:spacing w:line="240" w:lineRule="auto"/>
              <w:jc w:val="center"/>
              <w:rPr>
                <w:rFonts w:eastAsia="Times New Roman" w:cs="Times New Roman"/>
                <w:color w:val="000000"/>
                <w:sz w:val="22"/>
                <w:szCs w:val="22"/>
              </w:rPr>
            </w:pPr>
            <w:r w:rsidRPr="00617167">
              <w:rPr>
                <w:rFonts w:eastAsia="Times New Roman" w:cs="Times New Roman"/>
                <w:color w:val="000000"/>
                <w:sz w:val="22"/>
              </w:rPr>
              <w:t>0.59</w:t>
            </w:r>
          </w:p>
        </w:tc>
      </w:tr>
      <w:tr w:rsidR="00A15C2C" w14:paraId="0FC10EC3" w14:textId="77777777" w:rsidTr="00343F45">
        <w:trPr>
          <w:trHeight w:val="320"/>
          <w:jc w:val="center"/>
        </w:trPr>
        <w:tc>
          <w:tcPr>
            <w:tcW w:w="1597" w:type="dxa"/>
            <w:shd w:val="clear" w:color="auto" w:fill="auto"/>
            <w:noWrap/>
            <w:vAlign w:val="center"/>
            <w:hideMark/>
          </w:tcPr>
          <w:p w14:paraId="730862DD" w14:textId="77777777" w:rsidR="006F259C" w:rsidRPr="006620BF" w:rsidRDefault="000F5B51" w:rsidP="00343F45">
            <w:pPr>
              <w:spacing w:line="240" w:lineRule="auto"/>
              <w:rPr>
                <w:rFonts w:eastAsia="Times New Roman" w:cs="Times New Roman"/>
                <w:color w:val="000000"/>
              </w:rPr>
            </w:pPr>
            <w:r w:rsidRPr="006620BF">
              <w:rPr>
                <w:rFonts w:eastAsia="Times New Roman" w:cs="Times New Roman"/>
                <w:color w:val="000000"/>
              </w:rPr>
              <w:t>MAIS 2</w:t>
            </w:r>
          </w:p>
        </w:tc>
        <w:tc>
          <w:tcPr>
            <w:tcW w:w="1155" w:type="dxa"/>
            <w:shd w:val="clear" w:color="auto" w:fill="auto"/>
            <w:noWrap/>
            <w:vAlign w:val="center"/>
            <w:hideMark/>
          </w:tcPr>
          <w:p w14:paraId="23C5A1C9" w14:textId="77777777" w:rsidR="006F259C" w:rsidRPr="00617167" w:rsidRDefault="000F5B51" w:rsidP="00343F45">
            <w:pPr>
              <w:spacing w:line="240" w:lineRule="auto"/>
              <w:jc w:val="center"/>
              <w:rPr>
                <w:rFonts w:eastAsia="Times New Roman" w:cs="Times New Roman"/>
                <w:color w:val="000000"/>
                <w:sz w:val="22"/>
                <w:szCs w:val="22"/>
              </w:rPr>
            </w:pPr>
            <w:r w:rsidRPr="00617167">
              <w:rPr>
                <w:rFonts w:eastAsia="Times New Roman" w:cs="Times New Roman"/>
                <w:color w:val="000000"/>
                <w:sz w:val="22"/>
              </w:rPr>
              <w:t>0.45</w:t>
            </w:r>
          </w:p>
        </w:tc>
        <w:tc>
          <w:tcPr>
            <w:tcW w:w="1155" w:type="dxa"/>
            <w:shd w:val="clear" w:color="auto" w:fill="auto"/>
            <w:noWrap/>
            <w:vAlign w:val="center"/>
            <w:hideMark/>
          </w:tcPr>
          <w:p w14:paraId="6FDC6C44" w14:textId="77777777" w:rsidR="006F259C" w:rsidRPr="00617167" w:rsidRDefault="000F5B51" w:rsidP="00343F45">
            <w:pPr>
              <w:spacing w:line="240" w:lineRule="auto"/>
              <w:jc w:val="center"/>
              <w:rPr>
                <w:rFonts w:eastAsia="Times New Roman" w:cs="Times New Roman"/>
                <w:color w:val="000000"/>
                <w:sz w:val="22"/>
                <w:szCs w:val="22"/>
              </w:rPr>
            </w:pPr>
            <w:r w:rsidRPr="00617167">
              <w:rPr>
                <w:rFonts w:eastAsia="Times New Roman" w:cs="Times New Roman"/>
                <w:color w:val="000000"/>
                <w:sz w:val="22"/>
              </w:rPr>
              <w:t>0.66</w:t>
            </w:r>
          </w:p>
        </w:tc>
        <w:tc>
          <w:tcPr>
            <w:tcW w:w="1155" w:type="dxa"/>
            <w:shd w:val="clear" w:color="auto" w:fill="auto"/>
            <w:noWrap/>
            <w:vAlign w:val="center"/>
            <w:hideMark/>
          </w:tcPr>
          <w:p w14:paraId="76325B25" w14:textId="77777777" w:rsidR="006F259C" w:rsidRPr="00617167" w:rsidRDefault="000F5B51" w:rsidP="00343F45">
            <w:pPr>
              <w:spacing w:line="240" w:lineRule="auto"/>
              <w:jc w:val="center"/>
              <w:rPr>
                <w:rFonts w:eastAsia="Times New Roman" w:cs="Times New Roman"/>
                <w:color w:val="000000"/>
                <w:sz w:val="22"/>
                <w:szCs w:val="22"/>
              </w:rPr>
            </w:pPr>
            <w:r w:rsidRPr="00617167">
              <w:rPr>
                <w:rFonts w:eastAsia="Times New Roman" w:cs="Times New Roman"/>
                <w:color w:val="000000"/>
                <w:sz w:val="22"/>
              </w:rPr>
              <w:t>0.37</w:t>
            </w:r>
          </w:p>
        </w:tc>
        <w:tc>
          <w:tcPr>
            <w:tcW w:w="1155" w:type="dxa"/>
            <w:shd w:val="clear" w:color="auto" w:fill="auto"/>
            <w:noWrap/>
            <w:vAlign w:val="center"/>
            <w:hideMark/>
          </w:tcPr>
          <w:p w14:paraId="04DF90C2" w14:textId="77777777" w:rsidR="006F259C" w:rsidRPr="00617167" w:rsidRDefault="000F5B51" w:rsidP="00343F45">
            <w:pPr>
              <w:spacing w:line="240" w:lineRule="auto"/>
              <w:jc w:val="center"/>
              <w:rPr>
                <w:rFonts w:eastAsia="Times New Roman" w:cs="Times New Roman"/>
                <w:color w:val="000000"/>
                <w:sz w:val="22"/>
                <w:szCs w:val="22"/>
              </w:rPr>
            </w:pPr>
            <w:r w:rsidRPr="00617167">
              <w:rPr>
                <w:rFonts w:eastAsia="Times New Roman" w:cs="Times New Roman"/>
                <w:color w:val="000000"/>
                <w:sz w:val="22"/>
              </w:rPr>
              <w:t>0.54</w:t>
            </w:r>
          </w:p>
        </w:tc>
      </w:tr>
      <w:tr w:rsidR="00A15C2C" w14:paraId="4ACCAE73" w14:textId="77777777" w:rsidTr="00343F45">
        <w:trPr>
          <w:trHeight w:val="320"/>
          <w:jc w:val="center"/>
        </w:trPr>
        <w:tc>
          <w:tcPr>
            <w:tcW w:w="1597" w:type="dxa"/>
            <w:shd w:val="clear" w:color="auto" w:fill="auto"/>
            <w:noWrap/>
            <w:vAlign w:val="center"/>
            <w:hideMark/>
          </w:tcPr>
          <w:p w14:paraId="7C600FB9" w14:textId="77777777" w:rsidR="006F259C" w:rsidRPr="006620BF" w:rsidRDefault="000F5B51" w:rsidP="00343F45">
            <w:pPr>
              <w:spacing w:line="240" w:lineRule="auto"/>
              <w:rPr>
                <w:rFonts w:eastAsia="Times New Roman" w:cs="Times New Roman"/>
                <w:color w:val="000000"/>
              </w:rPr>
            </w:pPr>
            <w:r w:rsidRPr="006620BF">
              <w:rPr>
                <w:rFonts w:eastAsia="Times New Roman" w:cs="Times New Roman"/>
                <w:color w:val="000000"/>
              </w:rPr>
              <w:t>MAIS 3</w:t>
            </w:r>
          </w:p>
        </w:tc>
        <w:tc>
          <w:tcPr>
            <w:tcW w:w="1155" w:type="dxa"/>
            <w:shd w:val="clear" w:color="auto" w:fill="auto"/>
            <w:noWrap/>
            <w:vAlign w:val="center"/>
            <w:hideMark/>
          </w:tcPr>
          <w:p w14:paraId="0C4837F4" w14:textId="77777777" w:rsidR="006F259C" w:rsidRPr="00617167" w:rsidRDefault="000F5B51" w:rsidP="00343F45">
            <w:pPr>
              <w:spacing w:line="240" w:lineRule="auto"/>
              <w:jc w:val="center"/>
              <w:rPr>
                <w:rFonts w:eastAsia="Times New Roman" w:cs="Times New Roman"/>
                <w:color w:val="000000"/>
                <w:sz w:val="22"/>
                <w:szCs w:val="22"/>
              </w:rPr>
            </w:pPr>
            <w:r w:rsidRPr="00617167">
              <w:rPr>
                <w:rFonts w:eastAsia="Times New Roman" w:cs="Times New Roman"/>
                <w:color w:val="000000"/>
                <w:sz w:val="22"/>
              </w:rPr>
              <w:t>0.11</w:t>
            </w:r>
          </w:p>
        </w:tc>
        <w:tc>
          <w:tcPr>
            <w:tcW w:w="1155" w:type="dxa"/>
            <w:shd w:val="clear" w:color="auto" w:fill="auto"/>
            <w:noWrap/>
            <w:vAlign w:val="center"/>
            <w:hideMark/>
          </w:tcPr>
          <w:p w14:paraId="499735FA" w14:textId="77777777" w:rsidR="006F259C" w:rsidRPr="00617167" w:rsidRDefault="000F5B51" w:rsidP="00343F45">
            <w:pPr>
              <w:spacing w:line="240" w:lineRule="auto"/>
              <w:jc w:val="center"/>
              <w:rPr>
                <w:rFonts w:eastAsia="Times New Roman" w:cs="Times New Roman"/>
                <w:color w:val="000000"/>
                <w:sz w:val="22"/>
                <w:szCs w:val="22"/>
              </w:rPr>
            </w:pPr>
            <w:r w:rsidRPr="00617167">
              <w:rPr>
                <w:rFonts w:eastAsia="Times New Roman" w:cs="Times New Roman"/>
                <w:color w:val="000000"/>
                <w:sz w:val="22"/>
              </w:rPr>
              <w:t>0.16</w:t>
            </w:r>
          </w:p>
        </w:tc>
        <w:tc>
          <w:tcPr>
            <w:tcW w:w="1155" w:type="dxa"/>
            <w:shd w:val="clear" w:color="auto" w:fill="auto"/>
            <w:noWrap/>
            <w:vAlign w:val="center"/>
            <w:hideMark/>
          </w:tcPr>
          <w:p w14:paraId="48FE8359" w14:textId="77777777" w:rsidR="006F259C" w:rsidRPr="00617167" w:rsidRDefault="000F5B51" w:rsidP="00343F45">
            <w:pPr>
              <w:spacing w:line="240" w:lineRule="auto"/>
              <w:jc w:val="center"/>
              <w:rPr>
                <w:rFonts w:eastAsia="Times New Roman" w:cs="Times New Roman"/>
                <w:color w:val="000000"/>
                <w:sz w:val="22"/>
                <w:szCs w:val="22"/>
              </w:rPr>
            </w:pPr>
            <w:r w:rsidRPr="00617167">
              <w:rPr>
                <w:rFonts w:eastAsia="Times New Roman" w:cs="Times New Roman"/>
                <w:color w:val="000000"/>
                <w:sz w:val="22"/>
              </w:rPr>
              <w:t>0.09</w:t>
            </w:r>
          </w:p>
        </w:tc>
        <w:tc>
          <w:tcPr>
            <w:tcW w:w="1155" w:type="dxa"/>
            <w:shd w:val="clear" w:color="auto" w:fill="auto"/>
            <w:noWrap/>
            <w:vAlign w:val="center"/>
            <w:hideMark/>
          </w:tcPr>
          <w:p w14:paraId="6701CAC4" w14:textId="77777777" w:rsidR="006F259C" w:rsidRPr="00617167" w:rsidRDefault="000F5B51" w:rsidP="00343F45">
            <w:pPr>
              <w:spacing w:line="240" w:lineRule="auto"/>
              <w:jc w:val="center"/>
              <w:rPr>
                <w:rFonts w:eastAsia="Times New Roman" w:cs="Times New Roman"/>
                <w:color w:val="000000"/>
                <w:sz w:val="22"/>
                <w:szCs w:val="22"/>
              </w:rPr>
            </w:pPr>
            <w:r w:rsidRPr="00617167">
              <w:rPr>
                <w:rFonts w:eastAsia="Times New Roman" w:cs="Times New Roman"/>
                <w:color w:val="000000"/>
                <w:sz w:val="22"/>
              </w:rPr>
              <w:t>0.13</w:t>
            </w:r>
          </w:p>
        </w:tc>
      </w:tr>
      <w:tr w:rsidR="00A15C2C" w14:paraId="0E7C8454" w14:textId="77777777" w:rsidTr="00343F45">
        <w:trPr>
          <w:trHeight w:val="320"/>
          <w:jc w:val="center"/>
        </w:trPr>
        <w:tc>
          <w:tcPr>
            <w:tcW w:w="1597" w:type="dxa"/>
            <w:shd w:val="clear" w:color="auto" w:fill="auto"/>
            <w:noWrap/>
            <w:vAlign w:val="center"/>
            <w:hideMark/>
          </w:tcPr>
          <w:p w14:paraId="294D452D" w14:textId="77777777" w:rsidR="006F259C" w:rsidRPr="006620BF" w:rsidRDefault="000F5B51" w:rsidP="00343F45">
            <w:pPr>
              <w:spacing w:line="240" w:lineRule="auto"/>
              <w:rPr>
                <w:rFonts w:eastAsia="Times New Roman" w:cs="Times New Roman"/>
                <w:color w:val="000000"/>
              </w:rPr>
            </w:pPr>
            <w:r w:rsidRPr="006620BF">
              <w:rPr>
                <w:rFonts w:eastAsia="Times New Roman" w:cs="Times New Roman"/>
                <w:color w:val="000000"/>
              </w:rPr>
              <w:t>MAIS 4</w:t>
            </w:r>
          </w:p>
        </w:tc>
        <w:tc>
          <w:tcPr>
            <w:tcW w:w="1155" w:type="dxa"/>
            <w:shd w:val="clear" w:color="auto" w:fill="auto"/>
            <w:noWrap/>
            <w:vAlign w:val="center"/>
            <w:hideMark/>
          </w:tcPr>
          <w:p w14:paraId="14638932" w14:textId="77777777" w:rsidR="006F259C" w:rsidRPr="00617167" w:rsidRDefault="000F5B51" w:rsidP="00343F45">
            <w:pPr>
              <w:spacing w:line="240" w:lineRule="auto"/>
              <w:jc w:val="center"/>
              <w:rPr>
                <w:rFonts w:eastAsia="Times New Roman" w:cs="Times New Roman"/>
                <w:color w:val="000000"/>
                <w:sz w:val="22"/>
                <w:szCs w:val="22"/>
              </w:rPr>
            </w:pPr>
            <w:r w:rsidRPr="00617167">
              <w:rPr>
                <w:rFonts w:eastAsia="Times New Roman" w:cs="Times New Roman"/>
                <w:color w:val="000000"/>
                <w:sz w:val="22"/>
              </w:rPr>
              <w:t>0.03</w:t>
            </w:r>
          </w:p>
        </w:tc>
        <w:tc>
          <w:tcPr>
            <w:tcW w:w="1155" w:type="dxa"/>
            <w:shd w:val="clear" w:color="auto" w:fill="auto"/>
            <w:noWrap/>
            <w:vAlign w:val="center"/>
            <w:hideMark/>
          </w:tcPr>
          <w:p w14:paraId="4992FF55" w14:textId="77777777" w:rsidR="006F259C" w:rsidRPr="00617167" w:rsidRDefault="000F5B51" w:rsidP="00343F45">
            <w:pPr>
              <w:spacing w:line="240" w:lineRule="auto"/>
              <w:jc w:val="center"/>
              <w:rPr>
                <w:rFonts w:eastAsia="Times New Roman" w:cs="Times New Roman"/>
                <w:color w:val="000000"/>
                <w:sz w:val="22"/>
                <w:szCs w:val="22"/>
              </w:rPr>
            </w:pPr>
            <w:r w:rsidRPr="00617167">
              <w:rPr>
                <w:rFonts w:eastAsia="Times New Roman" w:cs="Times New Roman"/>
                <w:color w:val="000000"/>
                <w:sz w:val="22"/>
              </w:rPr>
              <w:t>0.04</w:t>
            </w:r>
          </w:p>
        </w:tc>
        <w:tc>
          <w:tcPr>
            <w:tcW w:w="1155" w:type="dxa"/>
            <w:shd w:val="clear" w:color="auto" w:fill="auto"/>
            <w:noWrap/>
            <w:vAlign w:val="center"/>
            <w:hideMark/>
          </w:tcPr>
          <w:p w14:paraId="275A3440" w14:textId="77777777" w:rsidR="006F259C" w:rsidRPr="00617167" w:rsidRDefault="000F5B51" w:rsidP="00343F45">
            <w:pPr>
              <w:spacing w:line="240" w:lineRule="auto"/>
              <w:jc w:val="center"/>
              <w:rPr>
                <w:rFonts w:eastAsia="Times New Roman" w:cs="Times New Roman"/>
                <w:color w:val="000000"/>
                <w:sz w:val="22"/>
                <w:szCs w:val="22"/>
              </w:rPr>
            </w:pPr>
            <w:r w:rsidRPr="00617167">
              <w:rPr>
                <w:rFonts w:eastAsia="Times New Roman" w:cs="Times New Roman"/>
                <w:color w:val="000000"/>
                <w:sz w:val="22"/>
              </w:rPr>
              <w:t>0.02</w:t>
            </w:r>
          </w:p>
        </w:tc>
        <w:tc>
          <w:tcPr>
            <w:tcW w:w="1155" w:type="dxa"/>
            <w:shd w:val="clear" w:color="auto" w:fill="auto"/>
            <w:noWrap/>
            <w:vAlign w:val="center"/>
            <w:hideMark/>
          </w:tcPr>
          <w:p w14:paraId="4A9342F5" w14:textId="77777777" w:rsidR="006F259C" w:rsidRPr="00617167" w:rsidRDefault="000F5B51" w:rsidP="00343F45">
            <w:pPr>
              <w:spacing w:line="240" w:lineRule="auto"/>
              <w:jc w:val="center"/>
              <w:rPr>
                <w:rFonts w:eastAsia="Times New Roman" w:cs="Times New Roman"/>
                <w:color w:val="000000"/>
                <w:sz w:val="22"/>
                <w:szCs w:val="22"/>
              </w:rPr>
            </w:pPr>
            <w:r w:rsidRPr="00617167">
              <w:rPr>
                <w:rFonts w:eastAsia="Times New Roman" w:cs="Times New Roman"/>
                <w:color w:val="000000"/>
                <w:sz w:val="22"/>
              </w:rPr>
              <w:t>0.04</w:t>
            </w:r>
          </w:p>
        </w:tc>
      </w:tr>
      <w:tr w:rsidR="00A15C2C" w14:paraId="233D33CB" w14:textId="77777777" w:rsidTr="00343F45">
        <w:trPr>
          <w:trHeight w:val="320"/>
          <w:jc w:val="center"/>
        </w:trPr>
        <w:tc>
          <w:tcPr>
            <w:tcW w:w="1597" w:type="dxa"/>
            <w:shd w:val="clear" w:color="auto" w:fill="auto"/>
            <w:noWrap/>
            <w:vAlign w:val="center"/>
            <w:hideMark/>
          </w:tcPr>
          <w:p w14:paraId="59ED3D64" w14:textId="77777777" w:rsidR="006F259C" w:rsidRPr="006620BF" w:rsidRDefault="000F5B51" w:rsidP="00343F45">
            <w:pPr>
              <w:spacing w:line="240" w:lineRule="auto"/>
              <w:rPr>
                <w:rFonts w:eastAsia="Times New Roman" w:cs="Times New Roman"/>
                <w:color w:val="000000"/>
              </w:rPr>
            </w:pPr>
            <w:r w:rsidRPr="006620BF">
              <w:rPr>
                <w:rFonts w:eastAsia="Times New Roman" w:cs="Times New Roman"/>
                <w:color w:val="000000"/>
              </w:rPr>
              <w:t>MAIS 5</w:t>
            </w:r>
          </w:p>
        </w:tc>
        <w:tc>
          <w:tcPr>
            <w:tcW w:w="1155" w:type="dxa"/>
            <w:shd w:val="clear" w:color="auto" w:fill="auto"/>
            <w:noWrap/>
            <w:vAlign w:val="center"/>
            <w:hideMark/>
          </w:tcPr>
          <w:p w14:paraId="7D590BFA" w14:textId="77777777" w:rsidR="006F259C" w:rsidRPr="00617167" w:rsidRDefault="000F5B51" w:rsidP="00343F45">
            <w:pPr>
              <w:spacing w:line="240" w:lineRule="auto"/>
              <w:jc w:val="center"/>
              <w:rPr>
                <w:rFonts w:eastAsia="Times New Roman" w:cs="Times New Roman"/>
                <w:color w:val="000000"/>
                <w:sz w:val="22"/>
                <w:szCs w:val="22"/>
              </w:rPr>
            </w:pPr>
            <w:r w:rsidRPr="00617167">
              <w:rPr>
                <w:rFonts w:eastAsia="Times New Roman" w:cs="Times New Roman"/>
                <w:color w:val="000000"/>
                <w:sz w:val="22"/>
              </w:rPr>
              <w:t>0.00</w:t>
            </w:r>
          </w:p>
        </w:tc>
        <w:tc>
          <w:tcPr>
            <w:tcW w:w="1155" w:type="dxa"/>
            <w:shd w:val="clear" w:color="auto" w:fill="auto"/>
            <w:noWrap/>
            <w:vAlign w:val="center"/>
            <w:hideMark/>
          </w:tcPr>
          <w:p w14:paraId="5C2D702D" w14:textId="77777777" w:rsidR="006F259C" w:rsidRPr="00617167" w:rsidRDefault="000F5B51" w:rsidP="00343F45">
            <w:pPr>
              <w:spacing w:line="240" w:lineRule="auto"/>
              <w:jc w:val="center"/>
              <w:rPr>
                <w:rFonts w:eastAsia="Times New Roman" w:cs="Times New Roman"/>
                <w:color w:val="000000"/>
                <w:sz w:val="22"/>
                <w:szCs w:val="22"/>
              </w:rPr>
            </w:pPr>
            <w:r w:rsidRPr="00617167">
              <w:rPr>
                <w:rFonts w:eastAsia="Times New Roman" w:cs="Times New Roman"/>
                <w:color w:val="000000"/>
                <w:sz w:val="22"/>
              </w:rPr>
              <w:t>0.00</w:t>
            </w:r>
          </w:p>
        </w:tc>
        <w:tc>
          <w:tcPr>
            <w:tcW w:w="1155" w:type="dxa"/>
            <w:shd w:val="clear" w:color="auto" w:fill="auto"/>
            <w:noWrap/>
            <w:vAlign w:val="center"/>
            <w:hideMark/>
          </w:tcPr>
          <w:p w14:paraId="56356003" w14:textId="77777777" w:rsidR="006F259C" w:rsidRPr="00617167" w:rsidRDefault="000F5B51" w:rsidP="00343F45">
            <w:pPr>
              <w:spacing w:line="240" w:lineRule="auto"/>
              <w:jc w:val="center"/>
              <w:rPr>
                <w:rFonts w:eastAsia="Times New Roman" w:cs="Times New Roman"/>
                <w:color w:val="000000"/>
                <w:sz w:val="22"/>
                <w:szCs w:val="22"/>
              </w:rPr>
            </w:pPr>
            <w:r w:rsidRPr="00617167">
              <w:rPr>
                <w:rFonts w:eastAsia="Times New Roman" w:cs="Times New Roman"/>
                <w:color w:val="000000"/>
                <w:sz w:val="22"/>
              </w:rPr>
              <w:t>0.00</w:t>
            </w:r>
          </w:p>
        </w:tc>
        <w:tc>
          <w:tcPr>
            <w:tcW w:w="1155" w:type="dxa"/>
            <w:shd w:val="clear" w:color="auto" w:fill="auto"/>
            <w:noWrap/>
            <w:vAlign w:val="center"/>
            <w:hideMark/>
          </w:tcPr>
          <w:p w14:paraId="58B141FC" w14:textId="77777777" w:rsidR="006F259C" w:rsidRPr="00617167" w:rsidRDefault="000F5B51" w:rsidP="00343F45">
            <w:pPr>
              <w:spacing w:line="240" w:lineRule="auto"/>
              <w:jc w:val="center"/>
              <w:rPr>
                <w:rFonts w:eastAsia="Times New Roman" w:cs="Times New Roman"/>
                <w:color w:val="000000"/>
                <w:sz w:val="22"/>
                <w:szCs w:val="22"/>
              </w:rPr>
            </w:pPr>
            <w:r w:rsidRPr="00617167">
              <w:rPr>
                <w:rFonts w:eastAsia="Times New Roman" w:cs="Times New Roman"/>
                <w:color w:val="000000"/>
                <w:sz w:val="22"/>
              </w:rPr>
              <w:t>0.00</w:t>
            </w:r>
          </w:p>
        </w:tc>
      </w:tr>
      <w:tr w:rsidR="00A15C2C" w14:paraId="49D76E86" w14:textId="77777777" w:rsidTr="00343F45">
        <w:trPr>
          <w:trHeight w:val="310"/>
          <w:jc w:val="center"/>
        </w:trPr>
        <w:tc>
          <w:tcPr>
            <w:tcW w:w="1597" w:type="dxa"/>
            <w:shd w:val="clear" w:color="auto" w:fill="FFFFFF" w:themeFill="background1"/>
            <w:noWrap/>
            <w:vAlign w:val="center"/>
            <w:hideMark/>
          </w:tcPr>
          <w:p w14:paraId="7DF8C504" w14:textId="77777777" w:rsidR="006F259C" w:rsidRPr="00617167" w:rsidRDefault="000F5B51" w:rsidP="00343F45">
            <w:pPr>
              <w:spacing w:line="240" w:lineRule="auto"/>
              <w:rPr>
                <w:rFonts w:eastAsia="Times New Roman" w:cs="Times New Roman"/>
                <w:color w:val="000000"/>
              </w:rPr>
            </w:pPr>
            <w:r w:rsidRPr="00617167">
              <w:rPr>
                <w:rFonts w:eastAsia="Times New Roman" w:cs="Times New Roman"/>
                <w:color w:val="000000"/>
              </w:rPr>
              <w:t>Fatality</w:t>
            </w:r>
          </w:p>
        </w:tc>
        <w:tc>
          <w:tcPr>
            <w:tcW w:w="1155" w:type="dxa"/>
            <w:shd w:val="clear" w:color="auto" w:fill="auto"/>
            <w:noWrap/>
            <w:vAlign w:val="center"/>
            <w:hideMark/>
          </w:tcPr>
          <w:p w14:paraId="4BAB153A" w14:textId="77777777" w:rsidR="006F259C" w:rsidRPr="00617167" w:rsidRDefault="000F5B51" w:rsidP="00343F45">
            <w:pPr>
              <w:spacing w:line="240" w:lineRule="auto"/>
              <w:jc w:val="center"/>
              <w:rPr>
                <w:rFonts w:eastAsia="Times New Roman" w:cs="Times New Roman"/>
                <w:color w:val="000000"/>
                <w:sz w:val="22"/>
                <w:szCs w:val="22"/>
              </w:rPr>
            </w:pPr>
            <w:r w:rsidRPr="00617167">
              <w:rPr>
                <w:rFonts w:eastAsia="Times New Roman" w:cs="Times New Roman"/>
                <w:color w:val="000000"/>
                <w:sz w:val="22"/>
              </w:rPr>
              <w:t>0.34</w:t>
            </w:r>
          </w:p>
        </w:tc>
        <w:tc>
          <w:tcPr>
            <w:tcW w:w="1155" w:type="dxa"/>
            <w:shd w:val="clear" w:color="auto" w:fill="auto"/>
            <w:noWrap/>
            <w:vAlign w:val="center"/>
            <w:hideMark/>
          </w:tcPr>
          <w:p w14:paraId="7D5A25C3" w14:textId="77777777" w:rsidR="006F259C" w:rsidRPr="00617167" w:rsidRDefault="000F5B51" w:rsidP="00343F45">
            <w:pPr>
              <w:spacing w:line="240" w:lineRule="auto"/>
              <w:jc w:val="center"/>
              <w:rPr>
                <w:rFonts w:eastAsia="Times New Roman" w:cs="Times New Roman"/>
                <w:color w:val="000000"/>
                <w:sz w:val="22"/>
                <w:szCs w:val="22"/>
              </w:rPr>
            </w:pPr>
            <w:r w:rsidRPr="00617167">
              <w:rPr>
                <w:rFonts w:eastAsia="Times New Roman" w:cs="Times New Roman"/>
                <w:color w:val="000000"/>
                <w:sz w:val="22"/>
              </w:rPr>
              <w:t>0.50</w:t>
            </w:r>
          </w:p>
        </w:tc>
        <w:tc>
          <w:tcPr>
            <w:tcW w:w="1155" w:type="dxa"/>
            <w:shd w:val="clear" w:color="auto" w:fill="auto"/>
            <w:noWrap/>
            <w:vAlign w:val="center"/>
            <w:hideMark/>
          </w:tcPr>
          <w:p w14:paraId="0667A5ED" w14:textId="77777777" w:rsidR="006F259C" w:rsidRPr="00617167" w:rsidRDefault="000F5B51" w:rsidP="00343F45">
            <w:pPr>
              <w:spacing w:line="240" w:lineRule="auto"/>
              <w:jc w:val="center"/>
              <w:rPr>
                <w:rFonts w:eastAsia="Times New Roman" w:cs="Times New Roman"/>
                <w:color w:val="000000"/>
                <w:sz w:val="22"/>
                <w:szCs w:val="22"/>
              </w:rPr>
            </w:pPr>
            <w:r w:rsidRPr="00617167">
              <w:rPr>
                <w:rFonts w:eastAsia="Times New Roman" w:cs="Times New Roman"/>
                <w:color w:val="000000"/>
                <w:sz w:val="22"/>
              </w:rPr>
              <w:t>0.27</w:t>
            </w:r>
          </w:p>
        </w:tc>
        <w:tc>
          <w:tcPr>
            <w:tcW w:w="1155" w:type="dxa"/>
            <w:shd w:val="clear" w:color="auto" w:fill="auto"/>
            <w:noWrap/>
            <w:vAlign w:val="center"/>
            <w:hideMark/>
          </w:tcPr>
          <w:p w14:paraId="515520C8" w14:textId="77777777" w:rsidR="006F259C" w:rsidRPr="00617167" w:rsidRDefault="000F5B51" w:rsidP="00343F45">
            <w:pPr>
              <w:spacing w:line="240" w:lineRule="auto"/>
              <w:jc w:val="center"/>
              <w:rPr>
                <w:rFonts w:eastAsia="Times New Roman" w:cs="Times New Roman"/>
                <w:color w:val="000000"/>
                <w:sz w:val="22"/>
                <w:szCs w:val="22"/>
              </w:rPr>
            </w:pPr>
            <w:r w:rsidRPr="00617167">
              <w:rPr>
                <w:rFonts w:eastAsia="Times New Roman" w:cs="Times New Roman"/>
                <w:color w:val="000000"/>
                <w:sz w:val="22"/>
              </w:rPr>
              <w:t>0.41</w:t>
            </w:r>
          </w:p>
        </w:tc>
      </w:tr>
    </w:tbl>
    <w:p w14:paraId="68B7EAA9" w14:textId="77777777" w:rsidR="006F259C" w:rsidRDefault="000F5B51" w:rsidP="006F259C">
      <w:pPr>
        <w:ind w:left="720" w:firstLine="720"/>
      </w:pPr>
      <w:r>
        <w:rPr>
          <w:sz w:val="18"/>
          <w:szCs w:val="16"/>
        </w:rPr>
        <w:t xml:space="preserve">  </w:t>
      </w:r>
      <w:r w:rsidRPr="00572735">
        <w:rPr>
          <w:sz w:val="18"/>
          <w:szCs w:val="16"/>
        </w:rPr>
        <w:t>Note: Values may not sum due to rounding.</w:t>
      </w:r>
    </w:p>
    <w:p w14:paraId="3CB61556" w14:textId="77777777" w:rsidR="006F259C" w:rsidRDefault="006F259C" w:rsidP="006F259C">
      <w:pPr>
        <w:sectPr w:rsidR="006F259C">
          <w:pgSz w:w="12240" w:h="15840"/>
          <w:pgMar w:top="1440" w:right="1440" w:bottom="1440" w:left="1440" w:header="720" w:footer="720" w:gutter="0"/>
          <w:cols w:space="720"/>
          <w:docGrid w:linePitch="360"/>
        </w:sectPr>
      </w:pPr>
    </w:p>
    <w:p w14:paraId="305D4AE7" w14:textId="4B05CCC0" w:rsidR="006F259C" w:rsidRPr="00D01142" w:rsidRDefault="000F5B51" w:rsidP="006F259C">
      <w:pPr>
        <w:pStyle w:val="Caption"/>
      </w:pPr>
      <w:r>
        <w:lastRenderedPageBreak/>
        <w:t xml:space="preserve">Table </w:t>
      </w:r>
      <w:r w:rsidR="00115BAB">
        <w:fldChar w:fldCharType="begin"/>
      </w:r>
      <w:r>
        <w:instrText xml:space="preserve"> SEQ Table \* ARABIC </w:instrText>
      </w:r>
      <w:r w:rsidR="00115BAB">
        <w:fldChar w:fldCharType="separate"/>
      </w:r>
      <w:r w:rsidR="00A65CB3">
        <w:rPr>
          <w:noProof/>
        </w:rPr>
        <w:t>144</w:t>
      </w:r>
      <w:r w:rsidR="00115BAB">
        <w:rPr>
          <w:noProof/>
        </w:rPr>
        <w:fldChar w:fldCharType="end"/>
      </w:r>
      <w:r>
        <w:t xml:space="preserve">: </w:t>
      </w:r>
      <w:r w:rsidRPr="0031671A">
        <w:t xml:space="preserve">Calculation of </w:t>
      </w:r>
      <w:r w:rsidRPr="00471AE9">
        <w:t>Equivalent Lives Saved</w:t>
      </w:r>
      <w:r w:rsidRPr="0031671A">
        <w:t xml:space="preserve"> Discounted at 3% for Rear Seat Occupants 11</w:t>
      </w:r>
      <w:r>
        <w:t xml:space="preserve"> Years and Older</w:t>
      </w:r>
    </w:p>
    <w:tbl>
      <w:tblPr>
        <w:tblStyle w:val="TableGrid3"/>
        <w:tblW w:w="11515" w:type="dxa"/>
        <w:tblLook w:val="04A0" w:firstRow="1" w:lastRow="0" w:firstColumn="1" w:lastColumn="0" w:noHBand="0" w:noVBand="1"/>
      </w:tblPr>
      <w:tblGrid>
        <w:gridCol w:w="1096"/>
        <w:gridCol w:w="1084"/>
        <w:gridCol w:w="1816"/>
        <w:gridCol w:w="1777"/>
        <w:gridCol w:w="1096"/>
        <w:gridCol w:w="1053"/>
        <w:gridCol w:w="1816"/>
        <w:gridCol w:w="1777"/>
      </w:tblGrid>
      <w:tr w:rsidR="00A15C2C" w14:paraId="2E0D1A98" w14:textId="77777777" w:rsidTr="00343F45">
        <w:trPr>
          <w:trHeight w:val="290"/>
        </w:trPr>
        <w:tc>
          <w:tcPr>
            <w:tcW w:w="1096" w:type="dxa"/>
            <w:shd w:val="clear" w:color="auto" w:fill="D9D9D9" w:themeFill="background1" w:themeFillShade="D9"/>
            <w:noWrap/>
            <w:vAlign w:val="center"/>
            <w:hideMark/>
          </w:tcPr>
          <w:p w14:paraId="060F3E69" w14:textId="77777777" w:rsidR="006F259C" w:rsidRPr="00572735" w:rsidRDefault="000F5B51" w:rsidP="00343F45">
            <w:pPr>
              <w:spacing w:line="240" w:lineRule="auto"/>
              <w:rPr>
                <w:rFonts w:eastAsia="Times New Roman" w:cs="Times New Roman"/>
                <w:b/>
                <w:bCs/>
                <w:color w:val="000000"/>
              </w:rPr>
            </w:pPr>
            <w:r w:rsidRPr="00572735">
              <w:rPr>
                <w:rFonts w:eastAsia="Times New Roman" w:cs="Times New Roman"/>
                <w:b/>
                <w:bCs/>
                <w:color w:val="000000"/>
              </w:rPr>
              <w:t>Injury Severity</w:t>
            </w:r>
          </w:p>
        </w:tc>
        <w:tc>
          <w:tcPr>
            <w:tcW w:w="1084" w:type="dxa"/>
            <w:shd w:val="clear" w:color="auto" w:fill="D9D9D9" w:themeFill="background1" w:themeFillShade="D9"/>
            <w:noWrap/>
            <w:vAlign w:val="center"/>
            <w:hideMark/>
          </w:tcPr>
          <w:p w14:paraId="11DA085B" w14:textId="77777777" w:rsidR="006F259C" w:rsidRPr="00572735" w:rsidRDefault="000F5B51" w:rsidP="00343F45">
            <w:pPr>
              <w:spacing w:line="240" w:lineRule="auto"/>
              <w:jc w:val="center"/>
              <w:rPr>
                <w:rFonts w:eastAsia="Times New Roman" w:cs="Times New Roman"/>
                <w:b/>
                <w:bCs/>
                <w:color w:val="000000"/>
              </w:rPr>
            </w:pPr>
            <w:r w:rsidRPr="00572735">
              <w:rPr>
                <w:rFonts w:eastAsia="Times New Roman" w:cs="Times New Roman"/>
                <w:b/>
                <w:bCs/>
                <w:color w:val="000000"/>
              </w:rPr>
              <w:t>Lo</w:t>
            </w:r>
          </w:p>
        </w:tc>
        <w:tc>
          <w:tcPr>
            <w:tcW w:w="1816" w:type="dxa"/>
            <w:shd w:val="clear" w:color="auto" w:fill="D9D9D9" w:themeFill="background1" w:themeFillShade="D9"/>
            <w:noWrap/>
            <w:vAlign w:val="center"/>
          </w:tcPr>
          <w:p w14:paraId="747F4619" w14:textId="77777777" w:rsidR="006F259C" w:rsidRPr="00572735" w:rsidRDefault="000F5B51" w:rsidP="00343F45">
            <w:pPr>
              <w:spacing w:line="240" w:lineRule="auto"/>
              <w:jc w:val="center"/>
              <w:rPr>
                <w:rFonts w:eastAsia="Times New Roman" w:cs="Times New Roman"/>
                <w:b/>
                <w:bCs/>
              </w:rPr>
            </w:pPr>
            <w:r w:rsidRPr="006163DB">
              <w:rPr>
                <w:rFonts w:eastAsia="Times New Roman" w:cs="Times New Roman"/>
                <w:b/>
                <w:bCs/>
              </w:rPr>
              <w:t>Relative Disutility Factors</w:t>
            </w:r>
          </w:p>
        </w:tc>
        <w:tc>
          <w:tcPr>
            <w:tcW w:w="1777" w:type="dxa"/>
            <w:shd w:val="clear" w:color="auto" w:fill="D9D9D9" w:themeFill="background1" w:themeFillShade="D9"/>
            <w:noWrap/>
            <w:vAlign w:val="center"/>
          </w:tcPr>
          <w:p w14:paraId="51B13261" w14:textId="77777777" w:rsidR="006F259C" w:rsidRPr="00572735" w:rsidRDefault="000F5B51" w:rsidP="00343F45">
            <w:pPr>
              <w:spacing w:line="240" w:lineRule="auto"/>
              <w:jc w:val="center"/>
              <w:rPr>
                <w:rFonts w:eastAsia="Times New Roman" w:cs="Times New Roman"/>
                <w:b/>
                <w:bCs/>
                <w:color w:val="000000"/>
              </w:rPr>
            </w:pPr>
            <w:r>
              <w:rPr>
                <w:rFonts w:eastAsia="Times New Roman" w:cs="Times New Roman"/>
                <w:b/>
                <w:bCs/>
                <w:color w:val="000000"/>
              </w:rPr>
              <w:t>Equivalent Lives Saved</w:t>
            </w:r>
          </w:p>
        </w:tc>
        <w:tc>
          <w:tcPr>
            <w:tcW w:w="1096" w:type="dxa"/>
            <w:shd w:val="clear" w:color="auto" w:fill="D9D9D9" w:themeFill="background1" w:themeFillShade="D9"/>
            <w:noWrap/>
            <w:vAlign w:val="center"/>
            <w:hideMark/>
          </w:tcPr>
          <w:p w14:paraId="15E6927A" w14:textId="77777777" w:rsidR="006F259C" w:rsidRPr="00572735" w:rsidRDefault="000F5B51" w:rsidP="00343F45">
            <w:pPr>
              <w:spacing w:line="240" w:lineRule="auto"/>
              <w:rPr>
                <w:rFonts w:eastAsia="Times New Roman" w:cs="Times New Roman"/>
                <w:b/>
                <w:bCs/>
                <w:color w:val="000000"/>
              </w:rPr>
            </w:pPr>
            <w:r w:rsidRPr="00572735">
              <w:rPr>
                <w:rFonts w:eastAsia="Times New Roman" w:cs="Times New Roman"/>
                <w:b/>
                <w:bCs/>
                <w:color w:val="000000"/>
              </w:rPr>
              <w:t>Injury Severity</w:t>
            </w:r>
          </w:p>
        </w:tc>
        <w:tc>
          <w:tcPr>
            <w:tcW w:w="1053" w:type="dxa"/>
            <w:shd w:val="clear" w:color="auto" w:fill="D9D9D9" w:themeFill="background1" w:themeFillShade="D9"/>
            <w:noWrap/>
            <w:vAlign w:val="center"/>
            <w:hideMark/>
          </w:tcPr>
          <w:p w14:paraId="498E00A0" w14:textId="77777777" w:rsidR="006F259C" w:rsidRPr="00572735" w:rsidRDefault="000F5B51" w:rsidP="00343F45">
            <w:pPr>
              <w:spacing w:line="240" w:lineRule="auto"/>
              <w:jc w:val="center"/>
              <w:rPr>
                <w:rFonts w:eastAsia="Times New Roman" w:cs="Times New Roman"/>
                <w:b/>
                <w:bCs/>
                <w:color w:val="000000"/>
              </w:rPr>
            </w:pPr>
            <w:r w:rsidRPr="00572735">
              <w:rPr>
                <w:rFonts w:eastAsia="Times New Roman" w:cs="Times New Roman"/>
                <w:b/>
                <w:bCs/>
                <w:color w:val="000000"/>
              </w:rPr>
              <w:t>Hi</w:t>
            </w:r>
          </w:p>
        </w:tc>
        <w:tc>
          <w:tcPr>
            <w:tcW w:w="1816" w:type="dxa"/>
            <w:shd w:val="clear" w:color="auto" w:fill="D9D9D9" w:themeFill="background1" w:themeFillShade="D9"/>
            <w:noWrap/>
            <w:vAlign w:val="center"/>
          </w:tcPr>
          <w:p w14:paraId="67BADDB4" w14:textId="77777777" w:rsidR="006F259C" w:rsidRPr="00572735" w:rsidRDefault="000F5B51" w:rsidP="00343F45">
            <w:pPr>
              <w:spacing w:line="240" w:lineRule="auto"/>
              <w:jc w:val="center"/>
              <w:rPr>
                <w:rFonts w:eastAsia="Times New Roman" w:cs="Times New Roman"/>
                <w:b/>
                <w:bCs/>
              </w:rPr>
            </w:pPr>
            <w:r w:rsidRPr="006163DB">
              <w:rPr>
                <w:rFonts w:eastAsia="Times New Roman" w:cs="Times New Roman"/>
                <w:b/>
                <w:bCs/>
              </w:rPr>
              <w:t>Relative Disutility Factors</w:t>
            </w:r>
          </w:p>
        </w:tc>
        <w:tc>
          <w:tcPr>
            <w:tcW w:w="1777" w:type="dxa"/>
            <w:shd w:val="clear" w:color="auto" w:fill="D9D9D9" w:themeFill="background1" w:themeFillShade="D9"/>
            <w:noWrap/>
            <w:vAlign w:val="center"/>
          </w:tcPr>
          <w:p w14:paraId="06D82B98" w14:textId="77777777" w:rsidR="006F259C" w:rsidRPr="00572735" w:rsidRDefault="000F5B51" w:rsidP="00343F45">
            <w:pPr>
              <w:spacing w:line="240" w:lineRule="auto"/>
              <w:jc w:val="center"/>
              <w:rPr>
                <w:rFonts w:eastAsia="Times New Roman" w:cs="Times New Roman"/>
                <w:b/>
                <w:bCs/>
                <w:color w:val="000000"/>
              </w:rPr>
            </w:pPr>
            <w:r>
              <w:rPr>
                <w:rFonts w:eastAsia="Times New Roman" w:cs="Times New Roman"/>
                <w:b/>
                <w:bCs/>
                <w:color w:val="000000"/>
              </w:rPr>
              <w:t>Equivalent Lives Saved</w:t>
            </w:r>
          </w:p>
        </w:tc>
      </w:tr>
      <w:tr w:rsidR="00A15C2C" w14:paraId="2239264C" w14:textId="77777777" w:rsidTr="00343F45">
        <w:trPr>
          <w:trHeight w:val="290"/>
        </w:trPr>
        <w:tc>
          <w:tcPr>
            <w:tcW w:w="1096" w:type="dxa"/>
            <w:noWrap/>
            <w:vAlign w:val="center"/>
            <w:hideMark/>
          </w:tcPr>
          <w:p w14:paraId="47C211C9" w14:textId="77777777" w:rsidR="006F259C" w:rsidRPr="00572735" w:rsidRDefault="000F5B51" w:rsidP="00343F45">
            <w:pPr>
              <w:spacing w:line="240" w:lineRule="auto"/>
              <w:rPr>
                <w:rFonts w:eastAsia="Times New Roman" w:cs="Times New Roman"/>
                <w:color w:val="000000"/>
              </w:rPr>
            </w:pPr>
            <w:r w:rsidRPr="00572735">
              <w:rPr>
                <w:rFonts w:eastAsia="Times New Roman" w:cs="Times New Roman"/>
                <w:color w:val="000000"/>
              </w:rPr>
              <w:t>MAIS 1</w:t>
            </w:r>
          </w:p>
        </w:tc>
        <w:tc>
          <w:tcPr>
            <w:tcW w:w="1084" w:type="dxa"/>
            <w:noWrap/>
          </w:tcPr>
          <w:p w14:paraId="7B311A51" w14:textId="77777777" w:rsidR="006F259C" w:rsidRPr="00572735" w:rsidRDefault="000F5B51" w:rsidP="00343F45">
            <w:pPr>
              <w:spacing w:line="240" w:lineRule="auto"/>
              <w:jc w:val="center"/>
              <w:rPr>
                <w:rFonts w:eastAsia="Times New Roman" w:cs="Times New Roman"/>
                <w:color w:val="000000"/>
              </w:rPr>
            </w:pPr>
            <w:r w:rsidRPr="00413B7C">
              <w:t>17.99</w:t>
            </w:r>
          </w:p>
        </w:tc>
        <w:tc>
          <w:tcPr>
            <w:tcW w:w="1816" w:type="dxa"/>
            <w:noWrap/>
            <w:vAlign w:val="center"/>
          </w:tcPr>
          <w:p w14:paraId="25CB8E83" w14:textId="77777777" w:rsidR="006F259C" w:rsidRPr="00572735" w:rsidRDefault="000F5B51" w:rsidP="00343F45">
            <w:pPr>
              <w:spacing w:line="240" w:lineRule="auto"/>
              <w:jc w:val="center"/>
              <w:rPr>
                <w:rFonts w:eastAsia="Times New Roman" w:cs="Times New Roman"/>
                <w:color w:val="000000"/>
              </w:rPr>
            </w:pPr>
            <w:r>
              <w:rPr>
                <w:color w:val="000000"/>
                <w:sz w:val="22"/>
                <w:szCs w:val="22"/>
              </w:rPr>
              <w:t>0.0038</w:t>
            </w:r>
          </w:p>
        </w:tc>
        <w:tc>
          <w:tcPr>
            <w:tcW w:w="1777" w:type="dxa"/>
            <w:noWrap/>
          </w:tcPr>
          <w:p w14:paraId="0D26FF73" w14:textId="77777777" w:rsidR="006F259C" w:rsidRPr="00572735" w:rsidRDefault="000F5B51" w:rsidP="00343F45">
            <w:pPr>
              <w:spacing w:line="240" w:lineRule="auto"/>
              <w:jc w:val="center"/>
              <w:rPr>
                <w:rFonts w:eastAsia="Times New Roman" w:cs="Times New Roman"/>
                <w:color w:val="000000"/>
              </w:rPr>
            </w:pPr>
            <w:r w:rsidRPr="00143005">
              <w:t>0.0683</w:t>
            </w:r>
          </w:p>
        </w:tc>
        <w:tc>
          <w:tcPr>
            <w:tcW w:w="1096" w:type="dxa"/>
            <w:noWrap/>
            <w:vAlign w:val="center"/>
            <w:hideMark/>
          </w:tcPr>
          <w:p w14:paraId="2C2299AC" w14:textId="77777777" w:rsidR="006F259C" w:rsidRPr="00572735" w:rsidRDefault="000F5B51" w:rsidP="00343F45">
            <w:pPr>
              <w:spacing w:line="240" w:lineRule="auto"/>
              <w:rPr>
                <w:rFonts w:eastAsia="Times New Roman" w:cs="Times New Roman"/>
                <w:color w:val="000000"/>
              </w:rPr>
            </w:pPr>
            <w:r w:rsidRPr="00572735">
              <w:rPr>
                <w:rFonts w:eastAsia="Times New Roman" w:cs="Times New Roman"/>
                <w:color w:val="000000"/>
              </w:rPr>
              <w:t>MAIS 1</w:t>
            </w:r>
          </w:p>
        </w:tc>
        <w:tc>
          <w:tcPr>
            <w:tcW w:w="1053" w:type="dxa"/>
            <w:noWrap/>
          </w:tcPr>
          <w:p w14:paraId="466E2C7B" w14:textId="77777777" w:rsidR="006F259C" w:rsidRPr="00572735" w:rsidRDefault="000F5B51" w:rsidP="00343F45">
            <w:pPr>
              <w:spacing w:line="240" w:lineRule="auto"/>
              <w:jc w:val="center"/>
              <w:rPr>
                <w:rFonts w:eastAsia="Times New Roman" w:cs="Times New Roman"/>
                <w:color w:val="000000"/>
              </w:rPr>
            </w:pPr>
            <w:r w:rsidRPr="004D4E26">
              <w:t>27.03</w:t>
            </w:r>
          </w:p>
        </w:tc>
        <w:tc>
          <w:tcPr>
            <w:tcW w:w="1816" w:type="dxa"/>
            <w:noWrap/>
            <w:vAlign w:val="center"/>
          </w:tcPr>
          <w:p w14:paraId="0BAD5217" w14:textId="77777777" w:rsidR="006F259C" w:rsidRPr="00572735" w:rsidRDefault="000F5B51" w:rsidP="00343F45">
            <w:pPr>
              <w:spacing w:line="240" w:lineRule="auto"/>
              <w:jc w:val="center"/>
              <w:rPr>
                <w:rFonts w:eastAsia="Times New Roman" w:cs="Times New Roman"/>
                <w:color w:val="000000"/>
              </w:rPr>
            </w:pPr>
            <w:r>
              <w:rPr>
                <w:color w:val="000000"/>
                <w:sz w:val="22"/>
                <w:szCs w:val="22"/>
              </w:rPr>
              <w:t>0.0038</w:t>
            </w:r>
          </w:p>
        </w:tc>
        <w:tc>
          <w:tcPr>
            <w:tcW w:w="1777" w:type="dxa"/>
            <w:noWrap/>
          </w:tcPr>
          <w:p w14:paraId="1332E2F2" w14:textId="77777777" w:rsidR="006F259C" w:rsidRPr="00572735" w:rsidRDefault="000F5B51" w:rsidP="00343F45">
            <w:pPr>
              <w:spacing w:line="240" w:lineRule="auto"/>
              <w:jc w:val="center"/>
              <w:rPr>
                <w:rFonts w:eastAsia="Times New Roman" w:cs="Times New Roman"/>
                <w:color w:val="000000"/>
              </w:rPr>
            </w:pPr>
            <w:r w:rsidRPr="00AA6E12">
              <w:t>0.1027</w:t>
            </w:r>
          </w:p>
        </w:tc>
      </w:tr>
      <w:tr w:rsidR="00A15C2C" w14:paraId="3825EE75" w14:textId="77777777" w:rsidTr="00343F45">
        <w:trPr>
          <w:trHeight w:val="290"/>
        </w:trPr>
        <w:tc>
          <w:tcPr>
            <w:tcW w:w="1096" w:type="dxa"/>
            <w:noWrap/>
            <w:vAlign w:val="center"/>
            <w:hideMark/>
          </w:tcPr>
          <w:p w14:paraId="057EF6EC" w14:textId="77777777" w:rsidR="006F259C" w:rsidRPr="00572735" w:rsidRDefault="000F5B51" w:rsidP="00343F45">
            <w:pPr>
              <w:spacing w:line="240" w:lineRule="auto"/>
              <w:rPr>
                <w:rFonts w:eastAsia="Times New Roman" w:cs="Times New Roman"/>
                <w:color w:val="000000"/>
              </w:rPr>
            </w:pPr>
            <w:r w:rsidRPr="00572735">
              <w:rPr>
                <w:rFonts w:eastAsia="Times New Roman" w:cs="Times New Roman"/>
                <w:color w:val="000000"/>
              </w:rPr>
              <w:t>MAIS 2</w:t>
            </w:r>
          </w:p>
        </w:tc>
        <w:tc>
          <w:tcPr>
            <w:tcW w:w="1084" w:type="dxa"/>
            <w:noWrap/>
          </w:tcPr>
          <w:p w14:paraId="72D36FE2" w14:textId="77777777" w:rsidR="006F259C" w:rsidRPr="00572735" w:rsidRDefault="000F5B51" w:rsidP="00343F45">
            <w:pPr>
              <w:spacing w:line="240" w:lineRule="auto"/>
              <w:jc w:val="center"/>
              <w:rPr>
                <w:rFonts w:eastAsia="Times New Roman" w:cs="Times New Roman"/>
                <w:color w:val="000000"/>
              </w:rPr>
            </w:pPr>
            <w:r w:rsidRPr="00413B7C">
              <w:t>32.93</w:t>
            </w:r>
          </w:p>
        </w:tc>
        <w:tc>
          <w:tcPr>
            <w:tcW w:w="1816" w:type="dxa"/>
            <w:noWrap/>
            <w:vAlign w:val="center"/>
          </w:tcPr>
          <w:p w14:paraId="34781B20" w14:textId="77777777" w:rsidR="006F259C" w:rsidRPr="00572735" w:rsidRDefault="000F5B51" w:rsidP="00343F45">
            <w:pPr>
              <w:spacing w:line="240" w:lineRule="auto"/>
              <w:jc w:val="center"/>
              <w:rPr>
                <w:rFonts w:eastAsia="Times New Roman" w:cs="Times New Roman"/>
                <w:color w:val="000000"/>
              </w:rPr>
            </w:pPr>
            <w:r>
              <w:rPr>
                <w:color w:val="000000"/>
                <w:sz w:val="22"/>
                <w:szCs w:val="22"/>
              </w:rPr>
              <w:t>0.0454</w:t>
            </w:r>
          </w:p>
        </w:tc>
        <w:tc>
          <w:tcPr>
            <w:tcW w:w="1777" w:type="dxa"/>
            <w:noWrap/>
          </w:tcPr>
          <w:p w14:paraId="7EB5755C" w14:textId="77777777" w:rsidR="006F259C" w:rsidRPr="00572735" w:rsidRDefault="000F5B51" w:rsidP="00343F45">
            <w:pPr>
              <w:spacing w:line="240" w:lineRule="auto"/>
              <w:jc w:val="center"/>
              <w:rPr>
                <w:rFonts w:eastAsia="Times New Roman" w:cs="Times New Roman"/>
                <w:color w:val="000000"/>
              </w:rPr>
            </w:pPr>
            <w:r w:rsidRPr="00143005">
              <w:t>1.4951</w:t>
            </w:r>
          </w:p>
        </w:tc>
        <w:tc>
          <w:tcPr>
            <w:tcW w:w="1096" w:type="dxa"/>
            <w:noWrap/>
            <w:vAlign w:val="center"/>
            <w:hideMark/>
          </w:tcPr>
          <w:p w14:paraId="1264495B" w14:textId="77777777" w:rsidR="006F259C" w:rsidRPr="00572735" w:rsidRDefault="000F5B51" w:rsidP="00343F45">
            <w:pPr>
              <w:spacing w:line="240" w:lineRule="auto"/>
              <w:rPr>
                <w:rFonts w:eastAsia="Times New Roman" w:cs="Times New Roman"/>
                <w:color w:val="000000"/>
              </w:rPr>
            </w:pPr>
            <w:r w:rsidRPr="00572735">
              <w:rPr>
                <w:rFonts w:eastAsia="Times New Roman" w:cs="Times New Roman"/>
                <w:color w:val="000000"/>
              </w:rPr>
              <w:t>MAIS 2</w:t>
            </w:r>
          </w:p>
        </w:tc>
        <w:tc>
          <w:tcPr>
            <w:tcW w:w="1053" w:type="dxa"/>
            <w:noWrap/>
          </w:tcPr>
          <w:p w14:paraId="2C5ED026" w14:textId="77777777" w:rsidR="006F259C" w:rsidRPr="00572735" w:rsidRDefault="000F5B51" w:rsidP="00343F45">
            <w:pPr>
              <w:spacing w:line="240" w:lineRule="auto"/>
              <w:jc w:val="center"/>
              <w:rPr>
                <w:rFonts w:eastAsia="Times New Roman" w:cs="Times New Roman"/>
                <w:color w:val="000000"/>
              </w:rPr>
            </w:pPr>
            <w:r w:rsidRPr="004D4E26">
              <w:t>49.49</w:t>
            </w:r>
          </w:p>
        </w:tc>
        <w:tc>
          <w:tcPr>
            <w:tcW w:w="1816" w:type="dxa"/>
            <w:noWrap/>
            <w:vAlign w:val="center"/>
          </w:tcPr>
          <w:p w14:paraId="4C63FC19" w14:textId="77777777" w:rsidR="006F259C" w:rsidRPr="00572735" w:rsidRDefault="000F5B51" w:rsidP="00343F45">
            <w:pPr>
              <w:spacing w:line="240" w:lineRule="auto"/>
              <w:jc w:val="center"/>
              <w:rPr>
                <w:rFonts w:eastAsia="Times New Roman" w:cs="Times New Roman"/>
                <w:color w:val="000000"/>
              </w:rPr>
            </w:pPr>
            <w:r>
              <w:rPr>
                <w:color w:val="000000"/>
                <w:sz w:val="22"/>
                <w:szCs w:val="22"/>
              </w:rPr>
              <w:t>0.0454</w:t>
            </w:r>
          </w:p>
        </w:tc>
        <w:tc>
          <w:tcPr>
            <w:tcW w:w="1777" w:type="dxa"/>
            <w:noWrap/>
          </w:tcPr>
          <w:p w14:paraId="32CB3110" w14:textId="77777777" w:rsidR="006F259C" w:rsidRPr="00572735" w:rsidRDefault="000F5B51" w:rsidP="00343F45">
            <w:pPr>
              <w:spacing w:line="240" w:lineRule="auto"/>
              <w:jc w:val="center"/>
              <w:rPr>
                <w:rFonts w:eastAsia="Times New Roman" w:cs="Times New Roman"/>
                <w:color w:val="000000"/>
              </w:rPr>
            </w:pPr>
            <w:r w:rsidRPr="00AA6E12">
              <w:t>2.2467</w:t>
            </w:r>
          </w:p>
        </w:tc>
      </w:tr>
      <w:tr w:rsidR="00A15C2C" w14:paraId="74A2A67F" w14:textId="77777777" w:rsidTr="00343F45">
        <w:trPr>
          <w:trHeight w:val="290"/>
        </w:trPr>
        <w:tc>
          <w:tcPr>
            <w:tcW w:w="1096" w:type="dxa"/>
            <w:noWrap/>
            <w:vAlign w:val="center"/>
            <w:hideMark/>
          </w:tcPr>
          <w:p w14:paraId="2239C876" w14:textId="77777777" w:rsidR="006F259C" w:rsidRPr="00572735" w:rsidRDefault="000F5B51" w:rsidP="00343F45">
            <w:pPr>
              <w:spacing w:line="240" w:lineRule="auto"/>
              <w:rPr>
                <w:rFonts w:eastAsia="Times New Roman" w:cs="Times New Roman"/>
                <w:color w:val="000000"/>
              </w:rPr>
            </w:pPr>
            <w:r w:rsidRPr="00572735">
              <w:rPr>
                <w:rFonts w:eastAsia="Times New Roman" w:cs="Times New Roman"/>
                <w:color w:val="000000"/>
              </w:rPr>
              <w:t>MAIS 3</w:t>
            </w:r>
          </w:p>
        </w:tc>
        <w:tc>
          <w:tcPr>
            <w:tcW w:w="1084" w:type="dxa"/>
            <w:noWrap/>
          </w:tcPr>
          <w:p w14:paraId="1DCC150F" w14:textId="77777777" w:rsidR="006F259C" w:rsidRPr="00572735" w:rsidRDefault="000F5B51" w:rsidP="00343F45">
            <w:pPr>
              <w:spacing w:line="240" w:lineRule="auto"/>
              <w:jc w:val="center"/>
              <w:rPr>
                <w:rFonts w:eastAsia="Times New Roman" w:cs="Times New Roman"/>
                <w:color w:val="000000"/>
              </w:rPr>
            </w:pPr>
            <w:r w:rsidRPr="00413B7C">
              <w:t>4.55</w:t>
            </w:r>
          </w:p>
        </w:tc>
        <w:tc>
          <w:tcPr>
            <w:tcW w:w="1816" w:type="dxa"/>
            <w:noWrap/>
            <w:vAlign w:val="center"/>
          </w:tcPr>
          <w:p w14:paraId="3950B126" w14:textId="77777777" w:rsidR="006F259C" w:rsidRPr="00572735" w:rsidRDefault="000F5B51" w:rsidP="00343F45">
            <w:pPr>
              <w:spacing w:line="240" w:lineRule="auto"/>
              <w:jc w:val="center"/>
              <w:rPr>
                <w:rFonts w:eastAsia="Times New Roman" w:cs="Times New Roman"/>
                <w:color w:val="000000"/>
              </w:rPr>
            </w:pPr>
            <w:r>
              <w:rPr>
                <w:color w:val="000000"/>
                <w:sz w:val="22"/>
                <w:szCs w:val="22"/>
              </w:rPr>
              <w:t>0.1078</w:t>
            </w:r>
          </w:p>
        </w:tc>
        <w:tc>
          <w:tcPr>
            <w:tcW w:w="1777" w:type="dxa"/>
            <w:noWrap/>
          </w:tcPr>
          <w:p w14:paraId="67A8CA55" w14:textId="77777777" w:rsidR="006F259C" w:rsidRPr="00572735" w:rsidRDefault="000F5B51" w:rsidP="00343F45">
            <w:pPr>
              <w:spacing w:line="240" w:lineRule="auto"/>
              <w:jc w:val="center"/>
              <w:rPr>
                <w:rFonts w:eastAsia="Times New Roman" w:cs="Times New Roman"/>
                <w:color w:val="000000"/>
              </w:rPr>
            </w:pPr>
            <w:r w:rsidRPr="00143005">
              <w:t>0.4902</w:t>
            </w:r>
          </w:p>
        </w:tc>
        <w:tc>
          <w:tcPr>
            <w:tcW w:w="1096" w:type="dxa"/>
            <w:noWrap/>
            <w:vAlign w:val="center"/>
            <w:hideMark/>
          </w:tcPr>
          <w:p w14:paraId="5166FC50" w14:textId="77777777" w:rsidR="006F259C" w:rsidRPr="00572735" w:rsidRDefault="000F5B51" w:rsidP="00343F45">
            <w:pPr>
              <w:spacing w:line="240" w:lineRule="auto"/>
              <w:rPr>
                <w:rFonts w:eastAsia="Times New Roman" w:cs="Times New Roman"/>
                <w:color w:val="000000"/>
              </w:rPr>
            </w:pPr>
            <w:r w:rsidRPr="00572735">
              <w:rPr>
                <w:rFonts w:eastAsia="Times New Roman" w:cs="Times New Roman"/>
                <w:color w:val="000000"/>
              </w:rPr>
              <w:t>MAIS 3</w:t>
            </w:r>
          </w:p>
        </w:tc>
        <w:tc>
          <w:tcPr>
            <w:tcW w:w="1053" w:type="dxa"/>
            <w:noWrap/>
          </w:tcPr>
          <w:p w14:paraId="76EA764E" w14:textId="77777777" w:rsidR="006F259C" w:rsidRPr="00572735" w:rsidRDefault="000F5B51" w:rsidP="00343F45">
            <w:pPr>
              <w:spacing w:line="240" w:lineRule="auto"/>
              <w:jc w:val="center"/>
              <w:rPr>
                <w:rFonts w:eastAsia="Times New Roman" w:cs="Times New Roman"/>
                <w:color w:val="000000"/>
              </w:rPr>
            </w:pPr>
            <w:r w:rsidRPr="004D4E26">
              <w:t>6.83</w:t>
            </w:r>
          </w:p>
        </w:tc>
        <w:tc>
          <w:tcPr>
            <w:tcW w:w="1816" w:type="dxa"/>
            <w:noWrap/>
            <w:vAlign w:val="center"/>
          </w:tcPr>
          <w:p w14:paraId="1BC98819" w14:textId="77777777" w:rsidR="006F259C" w:rsidRPr="00572735" w:rsidRDefault="000F5B51" w:rsidP="00343F45">
            <w:pPr>
              <w:spacing w:line="240" w:lineRule="auto"/>
              <w:jc w:val="center"/>
              <w:rPr>
                <w:rFonts w:eastAsia="Times New Roman" w:cs="Times New Roman"/>
                <w:color w:val="000000"/>
              </w:rPr>
            </w:pPr>
            <w:r>
              <w:rPr>
                <w:color w:val="000000"/>
                <w:sz w:val="22"/>
                <w:szCs w:val="22"/>
              </w:rPr>
              <w:t>0.1078</w:t>
            </w:r>
          </w:p>
        </w:tc>
        <w:tc>
          <w:tcPr>
            <w:tcW w:w="1777" w:type="dxa"/>
            <w:noWrap/>
          </w:tcPr>
          <w:p w14:paraId="1D76E101" w14:textId="77777777" w:rsidR="006F259C" w:rsidRPr="00572735" w:rsidRDefault="000F5B51" w:rsidP="00343F45">
            <w:pPr>
              <w:spacing w:line="240" w:lineRule="auto"/>
              <w:jc w:val="center"/>
              <w:rPr>
                <w:rFonts w:eastAsia="Times New Roman" w:cs="Times New Roman"/>
                <w:color w:val="000000"/>
              </w:rPr>
            </w:pPr>
            <w:r w:rsidRPr="00AA6E12">
              <w:t>0.7366</w:t>
            </w:r>
          </w:p>
        </w:tc>
      </w:tr>
      <w:tr w:rsidR="00A15C2C" w14:paraId="2656A9D6" w14:textId="77777777" w:rsidTr="00343F45">
        <w:trPr>
          <w:trHeight w:val="290"/>
        </w:trPr>
        <w:tc>
          <w:tcPr>
            <w:tcW w:w="1096" w:type="dxa"/>
            <w:noWrap/>
            <w:vAlign w:val="center"/>
            <w:hideMark/>
          </w:tcPr>
          <w:p w14:paraId="1EDA4CC0" w14:textId="77777777" w:rsidR="006F259C" w:rsidRPr="00572735" w:rsidRDefault="000F5B51" w:rsidP="00343F45">
            <w:pPr>
              <w:spacing w:line="240" w:lineRule="auto"/>
              <w:rPr>
                <w:rFonts w:eastAsia="Times New Roman" w:cs="Times New Roman"/>
                <w:color w:val="000000"/>
              </w:rPr>
            </w:pPr>
            <w:r w:rsidRPr="00572735">
              <w:rPr>
                <w:rFonts w:eastAsia="Times New Roman" w:cs="Times New Roman"/>
                <w:color w:val="000000"/>
              </w:rPr>
              <w:t>MAIS 4</w:t>
            </w:r>
          </w:p>
        </w:tc>
        <w:tc>
          <w:tcPr>
            <w:tcW w:w="1084" w:type="dxa"/>
            <w:noWrap/>
          </w:tcPr>
          <w:p w14:paraId="37BF29E8" w14:textId="77777777" w:rsidR="006F259C" w:rsidRPr="00572735" w:rsidRDefault="000F5B51" w:rsidP="00343F45">
            <w:pPr>
              <w:spacing w:line="240" w:lineRule="auto"/>
              <w:jc w:val="center"/>
              <w:rPr>
                <w:rFonts w:eastAsia="Times New Roman" w:cs="Times New Roman"/>
                <w:color w:val="000000"/>
              </w:rPr>
            </w:pPr>
            <w:r w:rsidRPr="00413B7C">
              <w:t>4.52</w:t>
            </w:r>
          </w:p>
        </w:tc>
        <w:tc>
          <w:tcPr>
            <w:tcW w:w="1816" w:type="dxa"/>
            <w:noWrap/>
            <w:vAlign w:val="center"/>
          </w:tcPr>
          <w:p w14:paraId="3BB7800C" w14:textId="77777777" w:rsidR="006F259C" w:rsidRPr="00572735" w:rsidRDefault="000F5B51" w:rsidP="00343F45">
            <w:pPr>
              <w:spacing w:line="240" w:lineRule="auto"/>
              <w:jc w:val="center"/>
              <w:rPr>
                <w:rFonts w:eastAsia="Times New Roman" w:cs="Times New Roman"/>
                <w:color w:val="000000"/>
              </w:rPr>
            </w:pPr>
            <w:r>
              <w:rPr>
                <w:color w:val="000000"/>
                <w:sz w:val="22"/>
                <w:szCs w:val="22"/>
              </w:rPr>
              <w:t>0.2677</w:t>
            </w:r>
          </w:p>
        </w:tc>
        <w:tc>
          <w:tcPr>
            <w:tcW w:w="1777" w:type="dxa"/>
            <w:noWrap/>
          </w:tcPr>
          <w:p w14:paraId="09B8333D" w14:textId="77777777" w:rsidR="006F259C" w:rsidRPr="00572735" w:rsidRDefault="000F5B51" w:rsidP="00343F45">
            <w:pPr>
              <w:spacing w:line="240" w:lineRule="auto"/>
              <w:jc w:val="center"/>
              <w:rPr>
                <w:rFonts w:eastAsia="Times New Roman" w:cs="Times New Roman"/>
                <w:color w:val="000000"/>
              </w:rPr>
            </w:pPr>
            <w:r w:rsidRPr="00143005">
              <w:t>1.2094</w:t>
            </w:r>
          </w:p>
        </w:tc>
        <w:tc>
          <w:tcPr>
            <w:tcW w:w="1096" w:type="dxa"/>
            <w:noWrap/>
            <w:vAlign w:val="center"/>
            <w:hideMark/>
          </w:tcPr>
          <w:p w14:paraId="7A926DB1" w14:textId="77777777" w:rsidR="006F259C" w:rsidRPr="00572735" w:rsidRDefault="000F5B51" w:rsidP="00343F45">
            <w:pPr>
              <w:spacing w:line="240" w:lineRule="auto"/>
              <w:rPr>
                <w:rFonts w:eastAsia="Times New Roman" w:cs="Times New Roman"/>
                <w:color w:val="000000"/>
              </w:rPr>
            </w:pPr>
            <w:r w:rsidRPr="00572735">
              <w:rPr>
                <w:rFonts w:eastAsia="Times New Roman" w:cs="Times New Roman"/>
                <w:color w:val="000000"/>
              </w:rPr>
              <w:t>MAIS 4</w:t>
            </w:r>
          </w:p>
        </w:tc>
        <w:tc>
          <w:tcPr>
            <w:tcW w:w="1053" w:type="dxa"/>
            <w:noWrap/>
          </w:tcPr>
          <w:p w14:paraId="5E872AE4" w14:textId="77777777" w:rsidR="006F259C" w:rsidRPr="00572735" w:rsidRDefault="000F5B51" w:rsidP="00343F45">
            <w:pPr>
              <w:spacing w:line="240" w:lineRule="auto"/>
              <w:jc w:val="center"/>
              <w:rPr>
                <w:rFonts w:eastAsia="Times New Roman" w:cs="Times New Roman"/>
                <w:color w:val="000000"/>
              </w:rPr>
            </w:pPr>
            <w:r w:rsidRPr="004D4E26">
              <w:t>6.79</w:t>
            </w:r>
          </w:p>
        </w:tc>
        <w:tc>
          <w:tcPr>
            <w:tcW w:w="1816" w:type="dxa"/>
            <w:noWrap/>
            <w:vAlign w:val="center"/>
          </w:tcPr>
          <w:p w14:paraId="028555F5" w14:textId="77777777" w:rsidR="006F259C" w:rsidRPr="00572735" w:rsidRDefault="000F5B51" w:rsidP="00343F45">
            <w:pPr>
              <w:spacing w:line="240" w:lineRule="auto"/>
              <w:jc w:val="center"/>
              <w:rPr>
                <w:rFonts w:eastAsia="Times New Roman" w:cs="Times New Roman"/>
                <w:color w:val="000000"/>
              </w:rPr>
            </w:pPr>
            <w:r>
              <w:rPr>
                <w:color w:val="000000"/>
                <w:sz w:val="22"/>
                <w:szCs w:val="22"/>
              </w:rPr>
              <w:t>0.2677</w:t>
            </w:r>
          </w:p>
        </w:tc>
        <w:tc>
          <w:tcPr>
            <w:tcW w:w="1777" w:type="dxa"/>
            <w:noWrap/>
          </w:tcPr>
          <w:p w14:paraId="503F4569" w14:textId="77777777" w:rsidR="006F259C" w:rsidRPr="00572735" w:rsidRDefault="000F5B51" w:rsidP="00343F45">
            <w:pPr>
              <w:spacing w:line="240" w:lineRule="auto"/>
              <w:jc w:val="center"/>
              <w:rPr>
                <w:rFonts w:eastAsia="Times New Roman" w:cs="Times New Roman"/>
                <w:color w:val="000000"/>
              </w:rPr>
            </w:pPr>
            <w:r w:rsidRPr="00AA6E12">
              <w:t>1.8174</w:t>
            </w:r>
          </w:p>
        </w:tc>
      </w:tr>
      <w:tr w:rsidR="00A15C2C" w14:paraId="69724B97" w14:textId="77777777" w:rsidTr="00343F45">
        <w:trPr>
          <w:trHeight w:val="290"/>
        </w:trPr>
        <w:tc>
          <w:tcPr>
            <w:tcW w:w="1096" w:type="dxa"/>
            <w:noWrap/>
            <w:vAlign w:val="center"/>
            <w:hideMark/>
          </w:tcPr>
          <w:p w14:paraId="65BE354E" w14:textId="77777777" w:rsidR="006F259C" w:rsidRPr="00572735" w:rsidRDefault="000F5B51" w:rsidP="00343F45">
            <w:pPr>
              <w:spacing w:line="240" w:lineRule="auto"/>
              <w:rPr>
                <w:rFonts w:eastAsia="Times New Roman" w:cs="Times New Roman"/>
                <w:color w:val="000000"/>
              </w:rPr>
            </w:pPr>
            <w:r w:rsidRPr="00572735">
              <w:rPr>
                <w:rFonts w:eastAsia="Times New Roman" w:cs="Times New Roman"/>
                <w:color w:val="000000"/>
              </w:rPr>
              <w:t>MAIS 5</w:t>
            </w:r>
          </w:p>
        </w:tc>
        <w:tc>
          <w:tcPr>
            <w:tcW w:w="1084" w:type="dxa"/>
            <w:noWrap/>
          </w:tcPr>
          <w:p w14:paraId="4D0FE4E0" w14:textId="77777777" w:rsidR="006F259C" w:rsidRPr="00572735" w:rsidRDefault="000F5B51" w:rsidP="00343F45">
            <w:pPr>
              <w:spacing w:line="240" w:lineRule="auto"/>
              <w:jc w:val="center"/>
              <w:rPr>
                <w:rFonts w:eastAsia="Times New Roman" w:cs="Times New Roman"/>
                <w:color w:val="000000"/>
              </w:rPr>
            </w:pPr>
            <w:r w:rsidRPr="00413B7C">
              <w:t>0.13</w:t>
            </w:r>
          </w:p>
        </w:tc>
        <w:tc>
          <w:tcPr>
            <w:tcW w:w="1816" w:type="dxa"/>
            <w:noWrap/>
            <w:vAlign w:val="center"/>
          </w:tcPr>
          <w:p w14:paraId="75CC42A8" w14:textId="77777777" w:rsidR="006F259C" w:rsidRPr="00572735" w:rsidRDefault="000F5B51" w:rsidP="00343F45">
            <w:pPr>
              <w:spacing w:line="240" w:lineRule="auto"/>
              <w:jc w:val="center"/>
              <w:rPr>
                <w:rFonts w:eastAsia="Times New Roman" w:cs="Times New Roman"/>
                <w:color w:val="000000"/>
              </w:rPr>
            </w:pPr>
            <w:r>
              <w:rPr>
                <w:color w:val="000000"/>
                <w:sz w:val="22"/>
                <w:szCs w:val="22"/>
              </w:rPr>
              <w:t>0.6125</w:t>
            </w:r>
          </w:p>
        </w:tc>
        <w:tc>
          <w:tcPr>
            <w:tcW w:w="1777" w:type="dxa"/>
            <w:noWrap/>
          </w:tcPr>
          <w:p w14:paraId="38262CB4" w14:textId="77777777" w:rsidR="006F259C" w:rsidRPr="00572735" w:rsidRDefault="000F5B51" w:rsidP="00343F45">
            <w:pPr>
              <w:spacing w:line="240" w:lineRule="auto"/>
              <w:jc w:val="center"/>
              <w:rPr>
                <w:rFonts w:eastAsia="Times New Roman" w:cs="Times New Roman"/>
                <w:color w:val="000000"/>
              </w:rPr>
            </w:pPr>
            <w:r w:rsidRPr="00143005">
              <w:t>0.0804</w:t>
            </w:r>
          </w:p>
        </w:tc>
        <w:tc>
          <w:tcPr>
            <w:tcW w:w="1096" w:type="dxa"/>
            <w:noWrap/>
            <w:vAlign w:val="center"/>
            <w:hideMark/>
          </w:tcPr>
          <w:p w14:paraId="2B8DD108" w14:textId="77777777" w:rsidR="006F259C" w:rsidRPr="00572735" w:rsidRDefault="000F5B51" w:rsidP="00343F45">
            <w:pPr>
              <w:spacing w:line="240" w:lineRule="auto"/>
              <w:rPr>
                <w:rFonts w:eastAsia="Times New Roman" w:cs="Times New Roman"/>
                <w:color w:val="000000"/>
              </w:rPr>
            </w:pPr>
            <w:r w:rsidRPr="00572735">
              <w:rPr>
                <w:rFonts w:eastAsia="Times New Roman" w:cs="Times New Roman"/>
                <w:color w:val="000000"/>
              </w:rPr>
              <w:t>MAIS 5</w:t>
            </w:r>
          </w:p>
        </w:tc>
        <w:tc>
          <w:tcPr>
            <w:tcW w:w="1053" w:type="dxa"/>
            <w:noWrap/>
          </w:tcPr>
          <w:p w14:paraId="7A98D900" w14:textId="77777777" w:rsidR="006F259C" w:rsidRPr="00572735" w:rsidRDefault="000F5B51" w:rsidP="00343F45">
            <w:pPr>
              <w:spacing w:line="240" w:lineRule="auto"/>
              <w:jc w:val="center"/>
              <w:rPr>
                <w:rFonts w:eastAsia="Times New Roman" w:cs="Times New Roman"/>
                <w:color w:val="000000"/>
              </w:rPr>
            </w:pPr>
            <w:r w:rsidRPr="004D4E26">
              <w:t>0.20</w:t>
            </w:r>
          </w:p>
        </w:tc>
        <w:tc>
          <w:tcPr>
            <w:tcW w:w="1816" w:type="dxa"/>
            <w:noWrap/>
            <w:vAlign w:val="center"/>
          </w:tcPr>
          <w:p w14:paraId="54C9BE93" w14:textId="77777777" w:rsidR="006F259C" w:rsidRPr="00572735" w:rsidRDefault="000F5B51" w:rsidP="00343F45">
            <w:pPr>
              <w:spacing w:line="240" w:lineRule="auto"/>
              <w:jc w:val="center"/>
              <w:rPr>
                <w:rFonts w:eastAsia="Times New Roman" w:cs="Times New Roman"/>
                <w:color w:val="000000"/>
              </w:rPr>
            </w:pPr>
            <w:r>
              <w:rPr>
                <w:color w:val="000000"/>
                <w:sz w:val="22"/>
                <w:szCs w:val="22"/>
              </w:rPr>
              <w:t>0.6125</w:t>
            </w:r>
          </w:p>
        </w:tc>
        <w:tc>
          <w:tcPr>
            <w:tcW w:w="1777" w:type="dxa"/>
            <w:noWrap/>
          </w:tcPr>
          <w:p w14:paraId="5AA0E4B1" w14:textId="77777777" w:rsidR="006F259C" w:rsidRPr="00572735" w:rsidRDefault="000F5B51" w:rsidP="00343F45">
            <w:pPr>
              <w:spacing w:line="240" w:lineRule="auto"/>
              <w:jc w:val="center"/>
              <w:rPr>
                <w:rFonts w:eastAsia="Times New Roman" w:cs="Times New Roman"/>
                <w:color w:val="000000"/>
              </w:rPr>
            </w:pPr>
            <w:r w:rsidRPr="00AA6E12">
              <w:t>0.1208</w:t>
            </w:r>
          </w:p>
        </w:tc>
      </w:tr>
      <w:tr w:rsidR="00A15C2C" w14:paraId="0AACFED8" w14:textId="77777777" w:rsidTr="00343F45">
        <w:trPr>
          <w:trHeight w:val="290"/>
        </w:trPr>
        <w:tc>
          <w:tcPr>
            <w:tcW w:w="1096" w:type="dxa"/>
            <w:noWrap/>
            <w:vAlign w:val="center"/>
            <w:hideMark/>
          </w:tcPr>
          <w:p w14:paraId="60CAD245" w14:textId="77777777" w:rsidR="006F259C" w:rsidRPr="00572735" w:rsidRDefault="000F5B51" w:rsidP="00343F45">
            <w:pPr>
              <w:spacing w:line="240" w:lineRule="auto"/>
              <w:rPr>
                <w:rFonts w:eastAsia="Times New Roman" w:cs="Times New Roman"/>
                <w:color w:val="000000"/>
              </w:rPr>
            </w:pPr>
            <w:r w:rsidRPr="00572735">
              <w:rPr>
                <w:rFonts w:eastAsia="Times New Roman" w:cs="Times New Roman"/>
                <w:color w:val="000000"/>
              </w:rPr>
              <w:t>Fatalities</w:t>
            </w:r>
          </w:p>
        </w:tc>
        <w:tc>
          <w:tcPr>
            <w:tcW w:w="1084" w:type="dxa"/>
            <w:noWrap/>
          </w:tcPr>
          <w:p w14:paraId="5FF188EA" w14:textId="77777777" w:rsidR="006F259C" w:rsidRPr="00572735" w:rsidRDefault="000F5B51" w:rsidP="00343F45">
            <w:pPr>
              <w:spacing w:line="240" w:lineRule="auto"/>
              <w:jc w:val="center"/>
              <w:rPr>
                <w:rFonts w:eastAsia="Times New Roman" w:cs="Times New Roman"/>
                <w:color w:val="000000"/>
              </w:rPr>
            </w:pPr>
            <w:r w:rsidRPr="00413B7C">
              <w:t>18.15</w:t>
            </w:r>
          </w:p>
        </w:tc>
        <w:tc>
          <w:tcPr>
            <w:tcW w:w="1816" w:type="dxa"/>
            <w:noWrap/>
            <w:vAlign w:val="center"/>
          </w:tcPr>
          <w:p w14:paraId="501E6FC5" w14:textId="77777777" w:rsidR="006F259C" w:rsidRPr="00572735" w:rsidRDefault="000F5B51" w:rsidP="00343F45">
            <w:pPr>
              <w:spacing w:line="240" w:lineRule="auto"/>
              <w:jc w:val="center"/>
              <w:rPr>
                <w:rFonts w:eastAsia="Times New Roman" w:cs="Times New Roman"/>
                <w:color w:val="000000"/>
              </w:rPr>
            </w:pPr>
            <w:r>
              <w:rPr>
                <w:color w:val="000000"/>
                <w:sz w:val="22"/>
                <w:szCs w:val="22"/>
              </w:rPr>
              <w:t>1.0000</w:t>
            </w:r>
          </w:p>
        </w:tc>
        <w:tc>
          <w:tcPr>
            <w:tcW w:w="1777" w:type="dxa"/>
            <w:noWrap/>
          </w:tcPr>
          <w:p w14:paraId="3AB2AE96" w14:textId="77777777" w:rsidR="006F259C" w:rsidRPr="00572735" w:rsidRDefault="000F5B51" w:rsidP="00343F45">
            <w:pPr>
              <w:spacing w:line="240" w:lineRule="auto"/>
              <w:jc w:val="center"/>
              <w:rPr>
                <w:rFonts w:eastAsia="Times New Roman" w:cs="Times New Roman"/>
                <w:color w:val="000000"/>
              </w:rPr>
            </w:pPr>
            <w:r w:rsidRPr="00143005">
              <w:t>18.1478</w:t>
            </w:r>
          </w:p>
        </w:tc>
        <w:tc>
          <w:tcPr>
            <w:tcW w:w="1096" w:type="dxa"/>
            <w:noWrap/>
            <w:vAlign w:val="center"/>
            <w:hideMark/>
          </w:tcPr>
          <w:p w14:paraId="73E0780C" w14:textId="77777777" w:rsidR="006F259C" w:rsidRPr="00572735" w:rsidRDefault="000F5B51" w:rsidP="00343F45">
            <w:pPr>
              <w:spacing w:line="240" w:lineRule="auto"/>
              <w:rPr>
                <w:rFonts w:eastAsia="Times New Roman" w:cs="Times New Roman"/>
                <w:color w:val="000000"/>
              </w:rPr>
            </w:pPr>
            <w:r w:rsidRPr="00572735">
              <w:rPr>
                <w:rFonts w:eastAsia="Times New Roman" w:cs="Times New Roman"/>
                <w:color w:val="000000"/>
              </w:rPr>
              <w:t>Fatalities</w:t>
            </w:r>
          </w:p>
        </w:tc>
        <w:tc>
          <w:tcPr>
            <w:tcW w:w="1053" w:type="dxa"/>
            <w:noWrap/>
          </w:tcPr>
          <w:p w14:paraId="056A501C" w14:textId="77777777" w:rsidR="006F259C" w:rsidRPr="00572735" w:rsidRDefault="000F5B51" w:rsidP="00343F45">
            <w:pPr>
              <w:spacing w:line="240" w:lineRule="auto"/>
              <w:jc w:val="center"/>
              <w:rPr>
                <w:rFonts w:eastAsia="Times New Roman" w:cs="Times New Roman"/>
                <w:color w:val="000000"/>
              </w:rPr>
            </w:pPr>
            <w:r w:rsidRPr="004D4E26">
              <w:t>27.35</w:t>
            </w:r>
          </w:p>
        </w:tc>
        <w:tc>
          <w:tcPr>
            <w:tcW w:w="1816" w:type="dxa"/>
            <w:noWrap/>
            <w:vAlign w:val="center"/>
          </w:tcPr>
          <w:p w14:paraId="5A8FFD70" w14:textId="77777777" w:rsidR="006F259C" w:rsidRPr="00572735" w:rsidRDefault="000F5B51" w:rsidP="00343F45">
            <w:pPr>
              <w:spacing w:line="240" w:lineRule="auto"/>
              <w:jc w:val="center"/>
              <w:rPr>
                <w:rFonts w:eastAsia="Times New Roman" w:cs="Times New Roman"/>
                <w:color w:val="000000"/>
              </w:rPr>
            </w:pPr>
            <w:r>
              <w:rPr>
                <w:color w:val="000000"/>
                <w:sz w:val="22"/>
                <w:szCs w:val="22"/>
              </w:rPr>
              <w:t>1.0000</w:t>
            </w:r>
          </w:p>
        </w:tc>
        <w:tc>
          <w:tcPr>
            <w:tcW w:w="1777" w:type="dxa"/>
            <w:noWrap/>
          </w:tcPr>
          <w:p w14:paraId="60FAA586" w14:textId="77777777" w:rsidR="006F259C" w:rsidRPr="00572735" w:rsidRDefault="000F5B51" w:rsidP="00343F45">
            <w:pPr>
              <w:spacing w:line="240" w:lineRule="auto"/>
              <w:jc w:val="center"/>
              <w:rPr>
                <w:rFonts w:eastAsia="Times New Roman" w:cs="Times New Roman"/>
                <w:color w:val="000000"/>
              </w:rPr>
            </w:pPr>
            <w:r w:rsidRPr="00AA6E12">
              <w:t>27.3520</w:t>
            </w:r>
          </w:p>
        </w:tc>
      </w:tr>
      <w:tr w:rsidR="00A15C2C" w14:paraId="783A26B4" w14:textId="77777777" w:rsidTr="00343F45">
        <w:trPr>
          <w:trHeight w:val="290"/>
        </w:trPr>
        <w:tc>
          <w:tcPr>
            <w:tcW w:w="1096" w:type="dxa"/>
            <w:noWrap/>
            <w:vAlign w:val="center"/>
            <w:hideMark/>
          </w:tcPr>
          <w:p w14:paraId="29B94CEF" w14:textId="77777777" w:rsidR="006F259C" w:rsidRPr="00472F76" w:rsidRDefault="000F5B51" w:rsidP="00343F45">
            <w:pPr>
              <w:spacing w:line="240" w:lineRule="auto"/>
              <w:rPr>
                <w:rFonts w:eastAsia="Times New Roman" w:cs="Times New Roman"/>
                <w:b/>
                <w:bCs/>
                <w:color w:val="000000"/>
              </w:rPr>
            </w:pPr>
            <w:r w:rsidRPr="00472F76">
              <w:rPr>
                <w:rFonts w:eastAsia="Times New Roman" w:cs="Times New Roman"/>
                <w:b/>
                <w:bCs/>
                <w:color w:val="000000"/>
              </w:rPr>
              <w:t>Total</w:t>
            </w:r>
          </w:p>
        </w:tc>
        <w:tc>
          <w:tcPr>
            <w:tcW w:w="1084" w:type="dxa"/>
            <w:noWrap/>
            <w:vAlign w:val="center"/>
            <w:hideMark/>
          </w:tcPr>
          <w:p w14:paraId="44C92399" w14:textId="77777777" w:rsidR="006F259C" w:rsidRPr="00472F76" w:rsidRDefault="006F259C" w:rsidP="00343F45">
            <w:pPr>
              <w:spacing w:line="240" w:lineRule="auto"/>
              <w:jc w:val="center"/>
              <w:rPr>
                <w:rFonts w:eastAsia="Times New Roman" w:cs="Times New Roman"/>
                <w:b/>
                <w:bCs/>
                <w:color w:val="000000"/>
              </w:rPr>
            </w:pPr>
          </w:p>
        </w:tc>
        <w:tc>
          <w:tcPr>
            <w:tcW w:w="1816" w:type="dxa"/>
            <w:noWrap/>
            <w:vAlign w:val="center"/>
          </w:tcPr>
          <w:p w14:paraId="736775F4" w14:textId="77777777" w:rsidR="006F259C" w:rsidRPr="00472F76" w:rsidRDefault="006F259C" w:rsidP="00343F45">
            <w:pPr>
              <w:spacing w:line="240" w:lineRule="auto"/>
              <w:jc w:val="center"/>
              <w:rPr>
                <w:rFonts w:eastAsia="Times New Roman" w:cs="Times New Roman"/>
                <w:b/>
                <w:bCs/>
              </w:rPr>
            </w:pPr>
          </w:p>
        </w:tc>
        <w:tc>
          <w:tcPr>
            <w:tcW w:w="1777" w:type="dxa"/>
            <w:noWrap/>
          </w:tcPr>
          <w:p w14:paraId="6324F585" w14:textId="77777777" w:rsidR="006F259C" w:rsidRPr="00472F76" w:rsidRDefault="000F5B51" w:rsidP="00343F45">
            <w:pPr>
              <w:spacing w:line="240" w:lineRule="auto"/>
              <w:jc w:val="center"/>
              <w:rPr>
                <w:rFonts w:eastAsia="Times New Roman" w:cs="Times New Roman"/>
                <w:b/>
                <w:bCs/>
                <w:color w:val="000000"/>
              </w:rPr>
            </w:pPr>
            <w:r w:rsidRPr="00617167">
              <w:rPr>
                <w:b/>
                <w:bCs/>
              </w:rPr>
              <w:t>21.4912</w:t>
            </w:r>
          </w:p>
        </w:tc>
        <w:tc>
          <w:tcPr>
            <w:tcW w:w="1096" w:type="dxa"/>
            <w:noWrap/>
            <w:vAlign w:val="center"/>
            <w:hideMark/>
          </w:tcPr>
          <w:p w14:paraId="1BEBCE1A" w14:textId="77777777" w:rsidR="006F259C" w:rsidRPr="00472F76" w:rsidRDefault="000F5B51" w:rsidP="00343F45">
            <w:pPr>
              <w:spacing w:line="240" w:lineRule="auto"/>
              <w:rPr>
                <w:rFonts w:eastAsia="Times New Roman" w:cs="Times New Roman"/>
                <w:b/>
                <w:bCs/>
                <w:color w:val="000000"/>
              </w:rPr>
            </w:pPr>
            <w:r w:rsidRPr="00472F76">
              <w:rPr>
                <w:rFonts w:eastAsia="Times New Roman" w:cs="Times New Roman"/>
                <w:b/>
                <w:bCs/>
                <w:color w:val="000000"/>
              </w:rPr>
              <w:t>Total</w:t>
            </w:r>
          </w:p>
        </w:tc>
        <w:tc>
          <w:tcPr>
            <w:tcW w:w="1053" w:type="dxa"/>
            <w:noWrap/>
            <w:vAlign w:val="center"/>
            <w:hideMark/>
          </w:tcPr>
          <w:p w14:paraId="404E8CAB" w14:textId="77777777" w:rsidR="006F259C" w:rsidRPr="00472F76" w:rsidRDefault="006F259C" w:rsidP="00343F45">
            <w:pPr>
              <w:spacing w:line="240" w:lineRule="auto"/>
              <w:jc w:val="center"/>
              <w:rPr>
                <w:rFonts w:eastAsia="Times New Roman" w:cs="Times New Roman"/>
                <w:b/>
                <w:bCs/>
                <w:color w:val="000000"/>
              </w:rPr>
            </w:pPr>
          </w:p>
        </w:tc>
        <w:tc>
          <w:tcPr>
            <w:tcW w:w="1816" w:type="dxa"/>
            <w:noWrap/>
            <w:vAlign w:val="center"/>
          </w:tcPr>
          <w:p w14:paraId="20775211" w14:textId="77777777" w:rsidR="006F259C" w:rsidRPr="00472F76" w:rsidRDefault="006F259C" w:rsidP="00343F45">
            <w:pPr>
              <w:spacing w:line="240" w:lineRule="auto"/>
              <w:jc w:val="center"/>
              <w:rPr>
                <w:rFonts w:eastAsia="Times New Roman" w:cs="Times New Roman"/>
                <w:b/>
                <w:bCs/>
              </w:rPr>
            </w:pPr>
          </w:p>
        </w:tc>
        <w:tc>
          <w:tcPr>
            <w:tcW w:w="1777" w:type="dxa"/>
            <w:noWrap/>
          </w:tcPr>
          <w:p w14:paraId="1C9416C4" w14:textId="77777777" w:rsidR="006F259C" w:rsidRPr="00472F76" w:rsidRDefault="000F5B51" w:rsidP="00343F45">
            <w:pPr>
              <w:spacing w:line="240" w:lineRule="auto"/>
              <w:jc w:val="center"/>
              <w:rPr>
                <w:rFonts w:eastAsia="Times New Roman" w:cs="Times New Roman"/>
                <w:b/>
                <w:bCs/>
                <w:color w:val="000000"/>
              </w:rPr>
            </w:pPr>
            <w:r w:rsidRPr="00617167">
              <w:rPr>
                <w:b/>
                <w:bCs/>
              </w:rPr>
              <w:t>32.3763</w:t>
            </w:r>
          </w:p>
        </w:tc>
      </w:tr>
    </w:tbl>
    <w:p w14:paraId="69EBCEDC" w14:textId="77777777" w:rsidR="006F259C" w:rsidRDefault="000F5B51" w:rsidP="006F259C">
      <w:pPr>
        <w:rPr>
          <w:rFonts w:ascii="Calibri" w:eastAsia="Times New Roman" w:hAnsi="Calibri" w:cs="Calibri"/>
          <w:color w:val="000000"/>
          <w:sz w:val="22"/>
        </w:rPr>
      </w:pPr>
      <w:r w:rsidRPr="00572735">
        <w:rPr>
          <w:sz w:val="18"/>
          <w:szCs w:val="16"/>
        </w:rPr>
        <w:t>Note: Values may not sum due to rounding.</w:t>
      </w:r>
    </w:p>
    <w:p w14:paraId="166BB759" w14:textId="77777777" w:rsidR="006F259C" w:rsidRDefault="006F259C" w:rsidP="006F259C">
      <w:pPr>
        <w:pStyle w:val="Caption"/>
      </w:pPr>
    </w:p>
    <w:p w14:paraId="3D659A9D" w14:textId="662342CD" w:rsidR="006F259C" w:rsidRPr="00D01142" w:rsidRDefault="000F5B51" w:rsidP="006F259C">
      <w:pPr>
        <w:pStyle w:val="Caption"/>
      </w:pPr>
      <w:r>
        <w:t xml:space="preserve">Table </w:t>
      </w:r>
      <w:r w:rsidR="00115BAB">
        <w:fldChar w:fldCharType="begin"/>
      </w:r>
      <w:r>
        <w:instrText xml:space="preserve"> SEQ Table \* ARABIC </w:instrText>
      </w:r>
      <w:r w:rsidR="00115BAB">
        <w:fldChar w:fldCharType="separate"/>
      </w:r>
      <w:r w:rsidR="00A65CB3">
        <w:rPr>
          <w:noProof/>
        </w:rPr>
        <w:t>145</w:t>
      </w:r>
      <w:r w:rsidR="00115BAB">
        <w:rPr>
          <w:noProof/>
        </w:rPr>
        <w:fldChar w:fldCharType="end"/>
      </w:r>
      <w:r>
        <w:t xml:space="preserve">: </w:t>
      </w:r>
      <w:r w:rsidRPr="0031671A">
        <w:t xml:space="preserve">Calculation of </w:t>
      </w:r>
      <w:r w:rsidRPr="003E1D1B">
        <w:t xml:space="preserve">Fatal Equivalents </w:t>
      </w:r>
      <w:r w:rsidRPr="0031671A">
        <w:t xml:space="preserve">Discounted at </w:t>
      </w:r>
      <w:r>
        <w:t>7</w:t>
      </w:r>
      <w:r w:rsidRPr="0031671A">
        <w:t>% for Rear Seat Occupants 11</w:t>
      </w:r>
      <w:r>
        <w:t xml:space="preserve"> Years and Older</w:t>
      </w:r>
    </w:p>
    <w:tbl>
      <w:tblPr>
        <w:tblStyle w:val="TableGrid3"/>
        <w:tblW w:w="11515" w:type="dxa"/>
        <w:tblLook w:val="04A0" w:firstRow="1" w:lastRow="0" w:firstColumn="1" w:lastColumn="0" w:noHBand="0" w:noVBand="1"/>
      </w:tblPr>
      <w:tblGrid>
        <w:gridCol w:w="1096"/>
        <w:gridCol w:w="1084"/>
        <w:gridCol w:w="1816"/>
        <w:gridCol w:w="1777"/>
        <w:gridCol w:w="1096"/>
        <w:gridCol w:w="1053"/>
        <w:gridCol w:w="1816"/>
        <w:gridCol w:w="1777"/>
      </w:tblGrid>
      <w:tr w:rsidR="00A15C2C" w14:paraId="61EFC700" w14:textId="77777777" w:rsidTr="00343F45">
        <w:trPr>
          <w:trHeight w:val="290"/>
        </w:trPr>
        <w:tc>
          <w:tcPr>
            <w:tcW w:w="1096" w:type="dxa"/>
            <w:shd w:val="clear" w:color="auto" w:fill="D9D9D9" w:themeFill="background1" w:themeFillShade="D9"/>
            <w:noWrap/>
            <w:vAlign w:val="center"/>
            <w:hideMark/>
          </w:tcPr>
          <w:p w14:paraId="7DE9453C" w14:textId="77777777" w:rsidR="006F259C" w:rsidRPr="009D65BE" w:rsidRDefault="000F5B51" w:rsidP="00343F45">
            <w:pPr>
              <w:spacing w:line="240" w:lineRule="auto"/>
              <w:rPr>
                <w:rFonts w:eastAsia="Times New Roman" w:cs="Times New Roman"/>
                <w:b/>
                <w:bCs/>
                <w:color w:val="000000"/>
              </w:rPr>
            </w:pPr>
            <w:r w:rsidRPr="009D65BE">
              <w:rPr>
                <w:rFonts w:eastAsia="Times New Roman" w:cs="Times New Roman"/>
                <w:b/>
                <w:bCs/>
                <w:color w:val="000000"/>
              </w:rPr>
              <w:t>Injury Severity</w:t>
            </w:r>
          </w:p>
        </w:tc>
        <w:tc>
          <w:tcPr>
            <w:tcW w:w="1084" w:type="dxa"/>
            <w:shd w:val="clear" w:color="auto" w:fill="D9D9D9" w:themeFill="background1" w:themeFillShade="D9"/>
            <w:noWrap/>
            <w:vAlign w:val="center"/>
            <w:hideMark/>
          </w:tcPr>
          <w:p w14:paraId="79120495" w14:textId="77777777" w:rsidR="006F259C" w:rsidRPr="009D65BE" w:rsidRDefault="000F5B51" w:rsidP="00343F45">
            <w:pPr>
              <w:spacing w:line="240" w:lineRule="auto"/>
              <w:jc w:val="center"/>
              <w:rPr>
                <w:rFonts w:eastAsia="Times New Roman" w:cs="Times New Roman"/>
                <w:b/>
                <w:bCs/>
                <w:color w:val="000000"/>
              </w:rPr>
            </w:pPr>
            <w:r w:rsidRPr="009D65BE">
              <w:rPr>
                <w:rFonts w:eastAsia="Times New Roman" w:cs="Times New Roman"/>
                <w:b/>
                <w:bCs/>
                <w:color w:val="000000"/>
              </w:rPr>
              <w:t>Lo</w:t>
            </w:r>
          </w:p>
        </w:tc>
        <w:tc>
          <w:tcPr>
            <w:tcW w:w="1816" w:type="dxa"/>
            <w:shd w:val="clear" w:color="auto" w:fill="D9D9D9" w:themeFill="background1" w:themeFillShade="D9"/>
            <w:noWrap/>
            <w:vAlign w:val="center"/>
          </w:tcPr>
          <w:p w14:paraId="4346B6A6" w14:textId="77777777" w:rsidR="006F259C" w:rsidRPr="009D65BE" w:rsidRDefault="000F5B51" w:rsidP="00343F45">
            <w:pPr>
              <w:spacing w:line="240" w:lineRule="auto"/>
              <w:jc w:val="center"/>
              <w:rPr>
                <w:rFonts w:eastAsia="Times New Roman" w:cs="Times New Roman"/>
                <w:b/>
                <w:bCs/>
              </w:rPr>
            </w:pPr>
            <w:r w:rsidRPr="006163DB">
              <w:rPr>
                <w:rFonts w:eastAsia="Times New Roman" w:cs="Times New Roman"/>
                <w:b/>
                <w:bCs/>
              </w:rPr>
              <w:t>Relative Disutility Factors</w:t>
            </w:r>
          </w:p>
        </w:tc>
        <w:tc>
          <w:tcPr>
            <w:tcW w:w="1777" w:type="dxa"/>
            <w:shd w:val="clear" w:color="auto" w:fill="D9D9D9" w:themeFill="background1" w:themeFillShade="D9"/>
            <w:noWrap/>
            <w:vAlign w:val="center"/>
          </w:tcPr>
          <w:p w14:paraId="0AD9D526" w14:textId="77777777" w:rsidR="006F259C" w:rsidRPr="009D65BE" w:rsidRDefault="000F5B51" w:rsidP="00343F45">
            <w:pPr>
              <w:spacing w:line="240" w:lineRule="auto"/>
              <w:jc w:val="center"/>
              <w:rPr>
                <w:rFonts w:eastAsia="Times New Roman" w:cs="Times New Roman"/>
                <w:b/>
                <w:bCs/>
                <w:color w:val="000000"/>
              </w:rPr>
            </w:pPr>
            <w:r>
              <w:rPr>
                <w:rFonts w:eastAsia="Times New Roman" w:cs="Times New Roman"/>
                <w:b/>
                <w:bCs/>
                <w:color w:val="000000"/>
              </w:rPr>
              <w:t>Equivalent Lives Saved</w:t>
            </w:r>
          </w:p>
        </w:tc>
        <w:tc>
          <w:tcPr>
            <w:tcW w:w="1096" w:type="dxa"/>
            <w:shd w:val="clear" w:color="auto" w:fill="D9D9D9" w:themeFill="background1" w:themeFillShade="D9"/>
            <w:noWrap/>
            <w:vAlign w:val="center"/>
            <w:hideMark/>
          </w:tcPr>
          <w:p w14:paraId="61D2DA49" w14:textId="77777777" w:rsidR="006F259C" w:rsidRPr="009D65BE" w:rsidRDefault="000F5B51" w:rsidP="00343F45">
            <w:pPr>
              <w:spacing w:line="240" w:lineRule="auto"/>
              <w:rPr>
                <w:rFonts w:eastAsia="Times New Roman" w:cs="Times New Roman"/>
                <w:b/>
                <w:bCs/>
                <w:color w:val="000000"/>
              </w:rPr>
            </w:pPr>
            <w:r w:rsidRPr="009D65BE">
              <w:rPr>
                <w:rFonts w:eastAsia="Times New Roman" w:cs="Times New Roman"/>
                <w:b/>
                <w:bCs/>
                <w:color w:val="000000"/>
              </w:rPr>
              <w:t>Injury Severity</w:t>
            </w:r>
          </w:p>
        </w:tc>
        <w:tc>
          <w:tcPr>
            <w:tcW w:w="1053" w:type="dxa"/>
            <w:shd w:val="clear" w:color="auto" w:fill="D9D9D9" w:themeFill="background1" w:themeFillShade="D9"/>
            <w:noWrap/>
            <w:vAlign w:val="center"/>
            <w:hideMark/>
          </w:tcPr>
          <w:p w14:paraId="710D074C" w14:textId="77777777" w:rsidR="006F259C" w:rsidRPr="009D65BE" w:rsidRDefault="000F5B51" w:rsidP="00343F45">
            <w:pPr>
              <w:spacing w:line="240" w:lineRule="auto"/>
              <w:jc w:val="center"/>
              <w:rPr>
                <w:rFonts w:eastAsia="Times New Roman" w:cs="Times New Roman"/>
                <w:b/>
                <w:bCs/>
                <w:color w:val="000000"/>
              </w:rPr>
            </w:pPr>
            <w:r w:rsidRPr="009D65BE">
              <w:rPr>
                <w:rFonts w:eastAsia="Times New Roman" w:cs="Times New Roman"/>
                <w:b/>
                <w:bCs/>
                <w:color w:val="000000"/>
              </w:rPr>
              <w:t>Hi</w:t>
            </w:r>
          </w:p>
        </w:tc>
        <w:tc>
          <w:tcPr>
            <w:tcW w:w="1816" w:type="dxa"/>
            <w:shd w:val="clear" w:color="auto" w:fill="D9D9D9" w:themeFill="background1" w:themeFillShade="D9"/>
            <w:noWrap/>
            <w:vAlign w:val="center"/>
          </w:tcPr>
          <w:p w14:paraId="1BDDD437" w14:textId="77777777" w:rsidR="006F259C" w:rsidRPr="009D65BE" w:rsidRDefault="000F5B51" w:rsidP="00343F45">
            <w:pPr>
              <w:spacing w:line="240" w:lineRule="auto"/>
              <w:jc w:val="center"/>
              <w:rPr>
                <w:rFonts w:eastAsia="Times New Roman" w:cs="Times New Roman"/>
                <w:b/>
                <w:bCs/>
              </w:rPr>
            </w:pPr>
            <w:r w:rsidRPr="006163DB">
              <w:rPr>
                <w:rFonts w:eastAsia="Times New Roman" w:cs="Times New Roman"/>
                <w:b/>
                <w:bCs/>
              </w:rPr>
              <w:t>Relative Disutility Factors</w:t>
            </w:r>
          </w:p>
        </w:tc>
        <w:tc>
          <w:tcPr>
            <w:tcW w:w="1777" w:type="dxa"/>
            <w:shd w:val="clear" w:color="auto" w:fill="D9D9D9" w:themeFill="background1" w:themeFillShade="D9"/>
            <w:noWrap/>
            <w:vAlign w:val="center"/>
          </w:tcPr>
          <w:p w14:paraId="28230126" w14:textId="77777777" w:rsidR="006F259C" w:rsidRPr="009D65BE" w:rsidRDefault="000F5B51" w:rsidP="00343F45">
            <w:pPr>
              <w:spacing w:line="240" w:lineRule="auto"/>
              <w:jc w:val="center"/>
              <w:rPr>
                <w:rFonts w:eastAsia="Times New Roman" w:cs="Times New Roman"/>
                <w:b/>
                <w:bCs/>
                <w:color w:val="000000"/>
              </w:rPr>
            </w:pPr>
            <w:r>
              <w:rPr>
                <w:rFonts w:eastAsia="Times New Roman" w:cs="Times New Roman"/>
                <w:b/>
                <w:bCs/>
                <w:color w:val="000000"/>
              </w:rPr>
              <w:t>Equivalent Lives Saved</w:t>
            </w:r>
          </w:p>
        </w:tc>
      </w:tr>
      <w:tr w:rsidR="00A15C2C" w14:paraId="45BA43C8" w14:textId="77777777" w:rsidTr="00343F45">
        <w:trPr>
          <w:trHeight w:val="290"/>
        </w:trPr>
        <w:tc>
          <w:tcPr>
            <w:tcW w:w="1096" w:type="dxa"/>
            <w:noWrap/>
            <w:vAlign w:val="center"/>
            <w:hideMark/>
          </w:tcPr>
          <w:p w14:paraId="46B22DAE"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1</w:t>
            </w:r>
          </w:p>
        </w:tc>
        <w:tc>
          <w:tcPr>
            <w:tcW w:w="1084" w:type="dxa"/>
            <w:noWrap/>
          </w:tcPr>
          <w:p w14:paraId="3C8F4E84" w14:textId="77777777" w:rsidR="006F259C" w:rsidRPr="009D65BE" w:rsidRDefault="000F5B51" w:rsidP="00343F45">
            <w:pPr>
              <w:spacing w:line="240" w:lineRule="auto"/>
              <w:jc w:val="center"/>
              <w:rPr>
                <w:rFonts w:eastAsia="Times New Roman" w:cs="Times New Roman"/>
                <w:color w:val="000000"/>
              </w:rPr>
            </w:pPr>
            <w:r w:rsidRPr="00723E03">
              <w:t>14.63</w:t>
            </w:r>
          </w:p>
        </w:tc>
        <w:tc>
          <w:tcPr>
            <w:tcW w:w="1816" w:type="dxa"/>
            <w:noWrap/>
            <w:vAlign w:val="center"/>
          </w:tcPr>
          <w:p w14:paraId="60C403C7" w14:textId="77777777" w:rsidR="006F259C" w:rsidRPr="009D65BE" w:rsidRDefault="000F5B51" w:rsidP="00343F45">
            <w:pPr>
              <w:spacing w:line="240" w:lineRule="auto"/>
              <w:jc w:val="center"/>
              <w:rPr>
                <w:rFonts w:eastAsia="Times New Roman" w:cs="Times New Roman"/>
                <w:color w:val="000000"/>
              </w:rPr>
            </w:pPr>
            <w:r>
              <w:rPr>
                <w:color w:val="000000"/>
                <w:sz w:val="22"/>
                <w:szCs w:val="22"/>
              </w:rPr>
              <w:t>0.0038</w:t>
            </w:r>
          </w:p>
        </w:tc>
        <w:tc>
          <w:tcPr>
            <w:tcW w:w="1777" w:type="dxa"/>
            <w:noWrap/>
          </w:tcPr>
          <w:p w14:paraId="5AD1E3B9" w14:textId="77777777" w:rsidR="006F259C" w:rsidRPr="00325C3E" w:rsidRDefault="000F5B51" w:rsidP="00343F45">
            <w:pPr>
              <w:spacing w:line="240" w:lineRule="auto"/>
              <w:jc w:val="center"/>
              <w:rPr>
                <w:rFonts w:eastAsia="Times New Roman" w:cs="Times New Roman"/>
                <w:color w:val="000000"/>
              </w:rPr>
            </w:pPr>
            <w:r w:rsidRPr="0087491B">
              <w:t>0.0556</w:t>
            </w:r>
          </w:p>
        </w:tc>
        <w:tc>
          <w:tcPr>
            <w:tcW w:w="1096" w:type="dxa"/>
            <w:noWrap/>
            <w:vAlign w:val="center"/>
            <w:hideMark/>
          </w:tcPr>
          <w:p w14:paraId="411A28C4"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1</w:t>
            </w:r>
          </w:p>
        </w:tc>
        <w:tc>
          <w:tcPr>
            <w:tcW w:w="1053" w:type="dxa"/>
            <w:noWrap/>
          </w:tcPr>
          <w:p w14:paraId="239ACB02" w14:textId="77777777" w:rsidR="006F259C" w:rsidRPr="009D65BE" w:rsidRDefault="000F5B51" w:rsidP="00343F45">
            <w:pPr>
              <w:spacing w:line="240" w:lineRule="auto"/>
              <w:jc w:val="center"/>
              <w:rPr>
                <w:rFonts w:eastAsia="Times New Roman" w:cs="Times New Roman"/>
                <w:color w:val="000000"/>
              </w:rPr>
            </w:pPr>
            <w:r w:rsidRPr="00B57987">
              <w:t>21.98</w:t>
            </w:r>
          </w:p>
        </w:tc>
        <w:tc>
          <w:tcPr>
            <w:tcW w:w="1816" w:type="dxa"/>
            <w:noWrap/>
            <w:vAlign w:val="center"/>
          </w:tcPr>
          <w:p w14:paraId="046AE379" w14:textId="77777777" w:rsidR="006F259C" w:rsidRPr="009D65BE" w:rsidRDefault="000F5B51" w:rsidP="00343F45">
            <w:pPr>
              <w:spacing w:line="240" w:lineRule="auto"/>
              <w:jc w:val="center"/>
              <w:rPr>
                <w:rFonts w:eastAsia="Times New Roman" w:cs="Times New Roman"/>
                <w:color w:val="000000"/>
              </w:rPr>
            </w:pPr>
            <w:r>
              <w:rPr>
                <w:color w:val="000000"/>
                <w:sz w:val="22"/>
                <w:szCs w:val="22"/>
              </w:rPr>
              <w:t>0.0038</w:t>
            </w:r>
          </w:p>
        </w:tc>
        <w:tc>
          <w:tcPr>
            <w:tcW w:w="1777" w:type="dxa"/>
            <w:noWrap/>
          </w:tcPr>
          <w:p w14:paraId="13A540F9" w14:textId="77777777" w:rsidR="006F259C" w:rsidRPr="009D65BE" w:rsidRDefault="000F5B51" w:rsidP="00343F45">
            <w:pPr>
              <w:spacing w:line="240" w:lineRule="auto"/>
              <w:jc w:val="center"/>
              <w:rPr>
                <w:rFonts w:eastAsia="Times New Roman" w:cs="Times New Roman"/>
                <w:color w:val="000000"/>
              </w:rPr>
            </w:pPr>
            <w:r w:rsidRPr="007E1017">
              <w:t>0.0835</w:t>
            </w:r>
          </w:p>
        </w:tc>
      </w:tr>
      <w:tr w:rsidR="00A15C2C" w14:paraId="0E7B3951" w14:textId="77777777" w:rsidTr="00343F45">
        <w:trPr>
          <w:trHeight w:val="290"/>
        </w:trPr>
        <w:tc>
          <w:tcPr>
            <w:tcW w:w="1096" w:type="dxa"/>
            <w:noWrap/>
            <w:vAlign w:val="center"/>
            <w:hideMark/>
          </w:tcPr>
          <w:p w14:paraId="15C739C2"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2</w:t>
            </w:r>
          </w:p>
        </w:tc>
        <w:tc>
          <w:tcPr>
            <w:tcW w:w="1084" w:type="dxa"/>
            <w:noWrap/>
          </w:tcPr>
          <w:p w14:paraId="16FF82BF" w14:textId="77777777" w:rsidR="006F259C" w:rsidRPr="009D65BE" w:rsidRDefault="000F5B51" w:rsidP="00343F45">
            <w:pPr>
              <w:spacing w:line="240" w:lineRule="auto"/>
              <w:jc w:val="center"/>
              <w:rPr>
                <w:rFonts w:eastAsia="Times New Roman" w:cs="Times New Roman"/>
                <w:color w:val="000000"/>
              </w:rPr>
            </w:pPr>
            <w:r w:rsidRPr="00723E03">
              <w:t>26.77</w:t>
            </w:r>
          </w:p>
        </w:tc>
        <w:tc>
          <w:tcPr>
            <w:tcW w:w="1816" w:type="dxa"/>
            <w:noWrap/>
            <w:vAlign w:val="center"/>
          </w:tcPr>
          <w:p w14:paraId="6347A6DC" w14:textId="77777777" w:rsidR="006F259C" w:rsidRPr="009D65BE" w:rsidRDefault="000F5B51" w:rsidP="00343F45">
            <w:pPr>
              <w:spacing w:line="240" w:lineRule="auto"/>
              <w:jc w:val="center"/>
              <w:rPr>
                <w:rFonts w:eastAsia="Times New Roman" w:cs="Times New Roman"/>
                <w:color w:val="000000"/>
              </w:rPr>
            </w:pPr>
            <w:r>
              <w:rPr>
                <w:color w:val="000000"/>
                <w:sz w:val="22"/>
                <w:szCs w:val="22"/>
              </w:rPr>
              <w:t>0.0454</w:t>
            </w:r>
          </w:p>
        </w:tc>
        <w:tc>
          <w:tcPr>
            <w:tcW w:w="1777" w:type="dxa"/>
            <w:noWrap/>
          </w:tcPr>
          <w:p w14:paraId="4ED93F15" w14:textId="77777777" w:rsidR="006F259C" w:rsidRPr="00325C3E" w:rsidRDefault="000F5B51" w:rsidP="00343F45">
            <w:pPr>
              <w:spacing w:line="240" w:lineRule="auto"/>
              <w:jc w:val="center"/>
              <w:rPr>
                <w:rFonts w:eastAsia="Times New Roman" w:cs="Times New Roman"/>
                <w:color w:val="000000"/>
              </w:rPr>
            </w:pPr>
            <w:r w:rsidRPr="0087491B">
              <w:t>1.2154</w:t>
            </w:r>
          </w:p>
        </w:tc>
        <w:tc>
          <w:tcPr>
            <w:tcW w:w="1096" w:type="dxa"/>
            <w:noWrap/>
            <w:vAlign w:val="center"/>
            <w:hideMark/>
          </w:tcPr>
          <w:p w14:paraId="7F55D773"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2</w:t>
            </w:r>
          </w:p>
        </w:tc>
        <w:tc>
          <w:tcPr>
            <w:tcW w:w="1053" w:type="dxa"/>
            <w:noWrap/>
          </w:tcPr>
          <w:p w14:paraId="1B375A47" w14:textId="77777777" w:rsidR="006F259C" w:rsidRPr="009D65BE" w:rsidRDefault="000F5B51" w:rsidP="00343F45">
            <w:pPr>
              <w:spacing w:line="240" w:lineRule="auto"/>
              <w:jc w:val="center"/>
              <w:rPr>
                <w:rFonts w:eastAsia="Times New Roman" w:cs="Times New Roman"/>
                <w:color w:val="000000"/>
              </w:rPr>
            </w:pPr>
            <w:r w:rsidRPr="00B57987">
              <w:t>40.23</w:t>
            </w:r>
          </w:p>
        </w:tc>
        <w:tc>
          <w:tcPr>
            <w:tcW w:w="1816" w:type="dxa"/>
            <w:noWrap/>
            <w:vAlign w:val="center"/>
          </w:tcPr>
          <w:p w14:paraId="358F273E" w14:textId="77777777" w:rsidR="006F259C" w:rsidRPr="009D65BE" w:rsidRDefault="000F5B51" w:rsidP="00343F45">
            <w:pPr>
              <w:spacing w:line="240" w:lineRule="auto"/>
              <w:jc w:val="center"/>
              <w:rPr>
                <w:rFonts w:eastAsia="Times New Roman" w:cs="Times New Roman"/>
                <w:color w:val="000000"/>
              </w:rPr>
            </w:pPr>
            <w:r>
              <w:rPr>
                <w:color w:val="000000"/>
                <w:sz w:val="22"/>
                <w:szCs w:val="22"/>
              </w:rPr>
              <w:t>0.0454</w:t>
            </w:r>
          </w:p>
        </w:tc>
        <w:tc>
          <w:tcPr>
            <w:tcW w:w="1777" w:type="dxa"/>
            <w:noWrap/>
          </w:tcPr>
          <w:p w14:paraId="4FE13A02" w14:textId="77777777" w:rsidR="006F259C" w:rsidRPr="009D65BE" w:rsidRDefault="000F5B51" w:rsidP="00343F45">
            <w:pPr>
              <w:spacing w:line="240" w:lineRule="auto"/>
              <w:jc w:val="center"/>
              <w:rPr>
                <w:rFonts w:eastAsia="Times New Roman" w:cs="Times New Roman"/>
                <w:color w:val="000000"/>
              </w:rPr>
            </w:pPr>
            <w:r w:rsidRPr="007E1017">
              <w:t>1.8265</w:t>
            </w:r>
          </w:p>
        </w:tc>
      </w:tr>
      <w:tr w:rsidR="00A15C2C" w14:paraId="7B13BF8B" w14:textId="77777777" w:rsidTr="00343F45">
        <w:trPr>
          <w:trHeight w:val="290"/>
        </w:trPr>
        <w:tc>
          <w:tcPr>
            <w:tcW w:w="1096" w:type="dxa"/>
            <w:noWrap/>
            <w:vAlign w:val="center"/>
            <w:hideMark/>
          </w:tcPr>
          <w:p w14:paraId="2852A30E"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3</w:t>
            </w:r>
          </w:p>
        </w:tc>
        <w:tc>
          <w:tcPr>
            <w:tcW w:w="1084" w:type="dxa"/>
            <w:noWrap/>
          </w:tcPr>
          <w:p w14:paraId="054626A2" w14:textId="77777777" w:rsidR="006F259C" w:rsidRPr="009D65BE" w:rsidRDefault="000F5B51" w:rsidP="00343F45">
            <w:pPr>
              <w:spacing w:line="240" w:lineRule="auto"/>
              <w:jc w:val="center"/>
              <w:rPr>
                <w:rFonts w:eastAsia="Times New Roman" w:cs="Times New Roman"/>
                <w:color w:val="000000"/>
              </w:rPr>
            </w:pPr>
            <w:r w:rsidRPr="00723E03">
              <w:t>3.71</w:t>
            </w:r>
          </w:p>
        </w:tc>
        <w:tc>
          <w:tcPr>
            <w:tcW w:w="1816" w:type="dxa"/>
            <w:noWrap/>
            <w:vAlign w:val="center"/>
          </w:tcPr>
          <w:p w14:paraId="6F44C075" w14:textId="77777777" w:rsidR="006F259C" w:rsidRPr="009D65BE" w:rsidRDefault="000F5B51" w:rsidP="00343F45">
            <w:pPr>
              <w:spacing w:line="240" w:lineRule="auto"/>
              <w:jc w:val="center"/>
              <w:rPr>
                <w:rFonts w:eastAsia="Times New Roman" w:cs="Times New Roman"/>
                <w:color w:val="000000"/>
              </w:rPr>
            </w:pPr>
            <w:r>
              <w:rPr>
                <w:color w:val="000000"/>
                <w:sz w:val="22"/>
                <w:szCs w:val="22"/>
              </w:rPr>
              <w:t>0.1078</w:t>
            </w:r>
          </w:p>
        </w:tc>
        <w:tc>
          <w:tcPr>
            <w:tcW w:w="1777" w:type="dxa"/>
            <w:noWrap/>
          </w:tcPr>
          <w:p w14:paraId="3B983DC4" w14:textId="77777777" w:rsidR="006F259C" w:rsidRPr="00325C3E" w:rsidRDefault="000F5B51" w:rsidP="00343F45">
            <w:pPr>
              <w:spacing w:line="240" w:lineRule="auto"/>
              <w:jc w:val="center"/>
              <w:rPr>
                <w:rFonts w:eastAsia="Times New Roman" w:cs="Times New Roman"/>
                <w:color w:val="000000"/>
              </w:rPr>
            </w:pPr>
            <w:r w:rsidRPr="0087491B">
              <w:t>0.3997</w:t>
            </w:r>
          </w:p>
        </w:tc>
        <w:tc>
          <w:tcPr>
            <w:tcW w:w="1096" w:type="dxa"/>
            <w:noWrap/>
            <w:vAlign w:val="center"/>
            <w:hideMark/>
          </w:tcPr>
          <w:p w14:paraId="5A866C62"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3</w:t>
            </w:r>
          </w:p>
        </w:tc>
        <w:tc>
          <w:tcPr>
            <w:tcW w:w="1053" w:type="dxa"/>
            <w:noWrap/>
          </w:tcPr>
          <w:p w14:paraId="71F8BFD1" w14:textId="77777777" w:rsidR="006F259C" w:rsidRPr="009D65BE" w:rsidRDefault="000F5B51" w:rsidP="00343F45">
            <w:pPr>
              <w:spacing w:line="240" w:lineRule="auto"/>
              <w:jc w:val="center"/>
              <w:rPr>
                <w:rFonts w:eastAsia="Times New Roman" w:cs="Times New Roman"/>
                <w:color w:val="000000"/>
              </w:rPr>
            </w:pPr>
            <w:r w:rsidRPr="00B57987">
              <w:t>5.57</w:t>
            </w:r>
          </w:p>
        </w:tc>
        <w:tc>
          <w:tcPr>
            <w:tcW w:w="1816" w:type="dxa"/>
            <w:noWrap/>
            <w:vAlign w:val="center"/>
          </w:tcPr>
          <w:p w14:paraId="6EE3BB6B" w14:textId="77777777" w:rsidR="006F259C" w:rsidRPr="009D65BE" w:rsidRDefault="000F5B51" w:rsidP="00343F45">
            <w:pPr>
              <w:spacing w:line="240" w:lineRule="auto"/>
              <w:jc w:val="center"/>
              <w:rPr>
                <w:rFonts w:eastAsia="Times New Roman" w:cs="Times New Roman"/>
                <w:color w:val="000000"/>
              </w:rPr>
            </w:pPr>
            <w:r>
              <w:rPr>
                <w:color w:val="000000"/>
                <w:sz w:val="22"/>
                <w:szCs w:val="22"/>
              </w:rPr>
              <w:t>0.1078</w:t>
            </w:r>
          </w:p>
        </w:tc>
        <w:tc>
          <w:tcPr>
            <w:tcW w:w="1777" w:type="dxa"/>
            <w:noWrap/>
          </w:tcPr>
          <w:p w14:paraId="3199F9DF" w14:textId="77777777" w:rsidR="006F259C" w:rsidRPr="009D65BE" w:rsidRDefault="000F5B51" w:rsidP="00343F45">
            <w:pPr>
              <w:spacing w:line="240" w:lineRule="auto"/>
              <w:jc w:val="center"/>
              <w:rPr>
                <w:rFonts w:eastAsia="Times New Roman" w:cs="Times New Roman"/>
                <w:color w:val="000000"/>
              </w:rPr>
            </w:pPr>
            <w:r w:rsidRPr="007E1017">
              <w:t>0.6007</w:t>
            </w:r>
          </w:p>
        </w:tc>
      </w:tr>
      <w:tr w:rsidR="00A15C2C" w14:paraId="109DFBFE" w14:textId="77777777" w:rsidTr="00343F45">
        <w:trPr>
          <w:trHeight w:val="290"/>
        </w:trPr>
        <w:tc>
          <w:tcPr>
            <w:tcW w:w="1096" w:type="dxa"/>
            <w:noWrap/>
            <w:vAlign w:val="center"/>
            <w:hideMark/>
          </w:tcPr>
          <w:p w14:paraId="3FA8280A"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4</w:t>
            </w:r>
          </w:p>
        </w:tc>
        <w:tc>
          <w:tcPr>
            <w:tcW w:w="1084" w:type="dxa"/>
            <w:noWrap/>
          </w:tcPr>
          <w:p w14:paraId="3114DAE1" w14:textId="77777777" w:rsidR="006F259C" w:rsidRPr="009D65BE" w:rsidRDefault="000F5B51" w:rsidP="00343F45">
            <w:pPr>
              <w:spacing w:line="240" w:lineRule="auto"/>
              <w:jc w:val="center"/>
              <w:rPr>
                <w:rFonts w:eastAsia="Times New Roman" w:cs="Times New Roman"/>
                <w:color w:val="000000"/>
              </w:rPr>
            </w:pPr>
            <w:r w:rsidRPr="00723E03">
              <w:t>3.68</w:t>
            </w:r>
          </w:p>
        </w:tc>
        <w:tc>
          <w:tcPr>
            <w:tcW w:w="1816" w:type="dxa"/>
            <w:noWrap/>
            <w:vAlign w:val="center"/>
          </w:tcPr>
          <w:p w14:paraId="081DBC03" w14:textId="77777777" w:rsidR="006F259C" w:rsidRPr="009D65BE" w:rsidRDefault="000F5B51" w:rsidP="00343F45">
            <w:pPr>
              <w:spacing w:line="240" w:lineRule="auto"/>
              <w:jc w:val="center"/>
              <w:rPr>
                <w:rFonts w:eastAsia="Times New Roman" w:cs="Times New Roman"/>
                <w:color w:val="000000"/>
              </w:rPr>
            </w:pPr>
            <w:r>
              <w:rPr>
                <w:color w:val="000000"/>
                <w:sz w:val="22"/>
                <w:szCs w:val="22"/>
              </w:rPr>
              <w:t>0.2677</w:t>
            </w:r>
          </w:p>
        </w:tc>
        <w:tc>
          <w:tcPr>
            <w:tcW w:w="1777" w:type="dxa"/>
            <w:noWrap/>
          </w:tcPr>
          <w:p w14:paraId="77C2837F" w14:textId="77777777" w:rsidR="006F259C" w:rsidRPr="00325C3E" w:rsidRDefault="000F5B51" w:rsidP="00343F45">
            <w:pPr>
              <w:spacing w:line="240" w:lineRule="auto"/>
              <w:jc w:val="center"/>
              <w:rPr>
                <w:rFonts w:eastAsia="Times New Roman" w:cs="Times New Roman"/>
                <w:color w:val="000000"/>
              </w:rPr>
            </w:pPr>
            <w:r w:rsidRPr="0087491B">
              <w:t>0.9844</w:t>
            </w:r>
          </w:p>
        </w:tc>
        <w:tc>
          <w:tcPr>
            <w:tcW w:w="1096" w:type="dxa"/>
            <w:noWrap/>
            <w:vAlign w:val="center"/>
            <w:hideMark/>
          </w:tcPr>
          <w:p w14:paraId="7C3B991E"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4</w:t>
            </w:r>
          </w:p>
        </w:tc>
        <w:tc>
          <w:tcPr>
            <w:tcW w:w="1053" w:type="dxa"/>
            <w:noWrap/>
          </w:tcPr>
          <w:p w14:paraId="156E0904" w14:textId="77777777" w:rsidR="006F259C" w:rsidRPr="009D65BE" w:rsidRDefault="000F5B51" w:rsidP="00343F45">
            <w:pPr>
              <w:spacing w:line="240" w:lineRule="auto"/>
              <w:jc w:val="center"/>
              <w:rPr>
                <w:rFonts w:eastAsia="Times New Roman" w:cs="Times New Roman"/>
                <w:color w:val="000000"/>
              </w:rPr>
            </w:pPr>
            <w:r w:rsidRPr="00B57987">
              <w:t>5.53</w:t>
            </w:r>
          </w:p>
        </w:tc>
        <w:tc>
          <w:tcPr>
            <w:tcW w:w="1816" w:type="dxa"/>
            <w:noWrap/>
            <w:vAlign w:val="center"/>
          </w:tcPr>
          <w:p w14:paraId="395C8E55" w14:textId="77777777" w:rsidR="006F259C" w:rsidRPr="009D65BE" w:rsidRDefault="000F5B51" w:rsidP="00343F45">
            <w:pPr>
              <w:spacing w:line="240" w:lineRule="auto"/>
              <w:jc w:val="center"/>
              <w:rPr>
                <w:rFonts w:eastAsia="Times New Roman" w:cs="Times New Roman"/>
                <w:color w:val="000000"/>
              </w:rPr>
            </w:pPr>
            <w:r>
              <w:rPr>
                <w:color w:val="000000"/>
                <w:sz w:val="22"/>
                <w:szCs w:val="22"/>
              </w:rPr>
              <w:t>0.2677</w:t>
            </w:r>
          </w:p>
        </w:tc>
        <w:tc>
          <w:tcPr>
            <w:tcW w:w="1777" w:type="dxa"/>
            <w:noWrap/>
          </w:tcPr>
          <w:p w14:paraId="2ECD2F57" w14:textId="77777777" w:rsidR="006F259C" w:rsidRPr="009D65BE" w:rsidRDefault="000F5B51" w:rsidP="00343F45">
            <w:pPr>
              <w:spacing w:line="240" w:lineRule="auto"/>
              <w:jc w:val="center"/>
              <w:rPr>
                <w:rFonts w:eastAsia="Times New Roman" w:cs="Times New Roman"/>
                <w:color w:val="000000"/>
              </w:rPr>
            </w:pPr>
            <w:r w:rsidRPr="007E1017">
              <w:t>1.4793</w:t>
            </w:r>
          </w:p>
        </w:tc>
      </w:tr>
      <w:tr w:rsidR="00A15C2C" w14:paraId="58F2B292" w14:textId="77777777" w:rsidTr="00343F45">
        <w:trPr>
          <w:trHeight w:val="290"/>
        </w:trPr>
        <w:tc>
          <w:tcPr>
            <w:tcW w:w="1096" w:type="dxa"/>
            <w:noWrap/>
            <w:vAlign w:val="center"/>
            <w:hideMark/>
          </w:tcPr>
          <w:p w14:paraId="17D8FB85"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5</w:t>
            </w:r>
          </w:p>
        </w:tc>
        <w:tc>
          <w:tcPr>
            <w:tcW w:w="1084" w:type="dxa"/>
            <w:noWrap/>
          </w:tcPr>
          <w:p w14:paraId="7A35D24A" w14:textId="77777777" w:rsidR="006F259C" w:rsidRPr="009D65BE" w:rsidRDefault="000F5B51" w:rsidP="00343F45">
            <w:pPr>
              <w:spacing w:line="240" w:lineRule="auto"/>
              <w:jc w:val="center"/>
              <w:rPr>
                <w:rFonts w:eastAsia="Times New Roman" w:cs="Times New Roman"/>
                <w:color w:val="000000"/>
              </w:rPr>
            </w:pPr>
            <w:r w:rsidRPr="00723E03">
              <w:t>0.11</w:t>
            </w:r>
          </w:p>
        </w:tc>
        <w:tc>
          <w:tcPr>
            <w:tcW w:w="1816" w:type="dxa"/>
            <w:noWrap/>
            <w:vAlign w:val="center"/>
          </w:tcPr>
          <w:p w14:paraId="7DD14AD4" w14:textId="77777777" w:rsidR="006F259C" w:rsidRPr="009D65BE" w:rsidRDefault="000F5B51" w:rsidP="00343F45">
            <w:pPr>
              <w:spacing w:line="240" w:lineRule="auto"/>
              <w:jc w:val="center"/>
              <w:rPr>
                <w:rFonts w:eastAsia="Times New Roman" w:cs="Times New Roman"/>
                <w:color w:val="000000"/>
              </w:rPr>
            </w:pPr>
            <w:r>
              <w:rPr>
                <w:color w:val="000000"/>
                <w:sz w:val="22"/>
                <w:szCs w:val="22"/>
              </w:rPr>
              <w:t>0.6125</w:t>
            </w:r>
          </w:p>
        </w:tc>
        <w:tc>
          <w:tcPr>
            <w:tcW w:w="1777" w:type="dxa"/>
            <w:noWrap/>
          </w:tcPr>
          <w:p w14:paraId="6130A139" w14:textId="77777777" w:rsidR="006F259C" w:rsidRPr="00325C3E" w:rsidRDefault="000F5B51" w:rsidP="00343F45">
            <w:pPr>
              <w:spacing w:line="240" w:lineRule="auto"/>
              <w:jc w:val="center"/>
              <w:rPr>
                <w:rFonts w:eastAsia="Times New Roman" w:cs="Times New Roman"/>
                <w:color w:val="000000"/>
              </w:rPr>
            </w:pPr>
            <w:r w:rsidRPr="0087491B">
              <w:t>0.0654</w:t>
            </w:r>
          </w:p>
        </w:tc>
        <w:tc>
          <w:tcPr>
            <w:tcW w:w="1096" w:type="dxa"/>
            <w:noWrap/>
            <w:vAlign w:val="center"/>
            <w:hideMark/>
          </w:tcPr>
          <w:p w14:paraId="21A5EB70"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5</w:t>
            </w:r>
          </w:p>
        </w:tc>
        <w:tc>
          <w:tcPr>
            <w:tcW w:w="1053" w:type="dxa"/>
            <w:noWrap/>
          </w:tcPr>
          <w:p w14:paraId="7545F875" w14:textId="77777777" w:rsidR="006F259C" w:rsidRPr="009D65BE" w:rsidRDefault="000F5B51" w:rsidP="00343F45">
            <w:pPr>
              <w:spacing w:line="240" w:lineRule="auto"/>
              <w:jc w:val="center"/>
              <w:rPr>
                <w:rFonts w:eastAsia="Times New Roman" w:cs="Times New Roman"/>
                <w:color w:val="000000"/>
              </w:rPr>
            </w:pPr>
            <w:r w:rsidRPr="00B57987">
              <w:t>0.16</w:t>
            </w:r>
          </w:p>
        </w:tc>
        <w:tc>
          <w:tcPr>
            <w:tcW w:w="1816" w:type="dxa"/>
            <w:noWrap/>
            <w:vAlign w:val="center"/>
          </w:tcPr>
          <w:p w14:paraId="1859995E" w14:textId="77777777" w:rsidR="006F259C" w:rsidRPr="009D65BE" w:rsidRDefault="000F5B51" w:rsidP="00343F45">
            <w:pPr>
              <w:spacing w:line="240" w:lineRule="auto"/>
              <w:jc w:val="center"/>
              <w:rPr>
                <w:rFonts w:eastAsia="Times New Roman" w:cs="Times New Roman"/>
                <w:color w:val="000000"/>
              </w:rPr>
            </w:pPr>
            <w:r>
              <w:rPr>
                <w:color w:val="000000"/>
                <w:sz w:val="22"/>
                <w:szCs w:val="22"/>
              </w:rPr>
              <w:t>0.6125</w:t>
            </w:r>
          </w:p>
        </w:tc>
        <w:tc>
          <w:tcPr>
            <w:tcW w:w="1777" w:type="dxa"/>
            <w:noWrap/>
          </w:tcPr>
          <w:p w14:paraId="405D5E2D" w14:textId="77777777" w:rsidR="006F259C" w:rsidRPr="009D65BE" w:rsidRDefault="000F5B51" w:rsidP="00343F45">
            <w:pPr>
              <w:spacing w:line="240" w:lineRule="auto"/>
              <w:jc w:val="center"/>
              <w:rPr>
                <w:rFonts w:eastAsia="Times New Roman" w:cs="Times New Roman"/>
                <w:color w:val="000000"/>
              </w:rPr>
            </w:pPr>
            <w:r w:rsidRPr="007E1017">
              <w:t>0.0983</w:t>
            </w:r>
          </w:p>
        </w:tc>
      </w:tr>
      <w:tr w:rsidR="00A15C2C" w14:paraId="34631188" w14:textId="77777777" w:rsidTr="00343F45">
        <w:trPr>
          <w:trHeight w:val="290"/>
        </w:trPr>
        <w:tc>
          <w:tcPr>
            <w:tcW w:w="1096" w:type="dxa"/>
            <w:noWrap/>
            <w:vAlign w:val="center"/>
            <w:hideMark/>
          </w:tcPr>
          <w:p w14:paraId="71B97D27"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Fatalities</w:t>
            </w:r>
          </w:p>
        </w:tc>
        <w:tc>
          <w:tcPr>
            <w:tcW w:w="1084" w:type="dxa"/>
            <w:noWrap/>
          </w:tcPr>
          <w:p w14:paraId="74033381" w14:textId="77777777" w:rsidR="006F259C" w:rsidRPr="009D65BE" w:rsidRDefault="000F5B51" w:rsidP="00343F45">
            <w:pPr>
              <w:spacing w:line="240" w:lineRule="auto"/>
              <w:jc w:val="center"/>
              <w:rPr>
                <w:rFonts w:eastAsia="Times New Roman" w:cs="Times New Roman"/>
                <w:color w:val="000000"/>
              </w:rPr>
            </w:pPr>
            <w:r w:rsidRPr="00723E03">
              <w:t>14.72</w:t>
            </w:r>
          </w:p>
        </w:tc>
        <w:tc>
          <w:tcPr>
            <w:tcW w:w="1816" w:type="dxa"/>
            <w:noWrap/>
            <w:vAlign w:val="center"/>
          </w:tcPr>
          <w:p w14:paraId="39DBE342" w14:textId="77777777" w:rsidR="006F259C" w:rsidRPr="009D65BE" w:rsidRDefault="000F5B51" w:rsidP="00343F45">
            <w:pPr>
              <w:spacing w:line="240" w:lineRule="auto"/>
              <w:jc w:val="center"/>
              <w:rPr>
                <w:rFonts w:eastAsia="Times New Roman" w:cs="Times New Roman"/>
                <w:color w:val="000000"/>
              </w:rPr>
            </w:pPr>
            <w:r>
              <w:rPr>
                <w:color w:val="000000"/>
                <w:sz w:val="22"/>
                <w:szCs w:val="22"/>
              </w:rPr>
              <w:t>1.0000</w:t>
            </w:r>
          </w:p>
        </w:tc>
        <w:tc>
          <w:tcPr>
            <w:tcW w:w="1777" w:type="dxa"/>
            <w:noWrap/>
          </w:tcPr>
          <w:p w14:paraId="43AA3D82" w14:textId="77777777" w:rsidR="006F259C" w:rsidRPr="00325C3E" w:rsidRDefault="000F5B51" w:rsidP="00343F45">
            <w:pPr>
              <w:spacing w:line="240" w:lineRule="auto"/>
              <w:jc w:val="center"/>
              <w:rPr>
                <w:rFonts w:eastAsia="Times New Roman" w:cs="Times New Roman"/>
                <w:color w:val="000000"/>
              </w:rPr>
            </w:pPr>
            <w:r w:rsidRPr="0087491B">
              <w:t>14.7205</w:t>
            </w:r>
          </w:p>
        </w:tc>
        <w:tc>
          <w:tcPr>
            <w:tcW w:w="1096" w:type="dxa"/>
            <w:noWrap/>
            <w:vAlign w:val="center"/>
            <w:hideMark/>
          </w:tcPr>
          <w:p w14:paraId="75067898"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Fatalities</w:t>
            </w:r>
          </w:p>
        </w:tc>
        <w:tc>
          <w:tcPr>
            <w:tcW w:w="1053" w:type="dxa"/>
            <w:noWrap/>
          </w:tcPr>
          <w:p w14:paraId="144D4D4B" w14:textId="77777777" w:rsidR="006F259C" w:rsidRPr="009D65BE" w:rsidRDefault="000F5B51" w:rsidP="00343F45">
            <w:pPr>
              <w:spacing w:line="240" w:lineRule="auto"/>
              <w:jc w:val="center"/>
              <w:rPr>
                <w:rFonts w:eastAsia="Times New Roman" w:cs="Times New Roman"/>
                <w:color w:val="000000"/>
              </w:rPr>
            </w:pPr>
            <w:r w:rsidRPr="004A5EDF">
              <w:rPr>
                <w:rFonts w:eastAsia="Times New Roman" w:cs="Times New Roman"/>
                <w:color w:val="000000"/>
              </w:rPr>
              <w:t>22.19</w:t>
            </w:r>
          </w:p>
        </w:tc>
        <w:tc>
          <w:tcPr>
            <w:tcW w:w="1816" w:type="dxa"/>
            <w:noWrap/>
            <w:vAlign w:val="center"/>
          </w:tcPr>
          <w:p w14:paraId="749AE346" w14:textId="77777777" w:rsidR="006F259C" w:rsidRPr="009D65BE" w:rsidRDefault="000F5B51" w:rsidP="00343F45">
            <w:pPr>
              <w:spacing w:line="240" w:lineRule="auto"/>
              <w:jc w:val="center"/>
              <w:rPr>
                <w:rFonts w:eastAsia="Times New Roman" w:cs="Times New Roman"/>
                <w:color w:val="000000"/>
              </w:rPr>
            </w:pPr>
            <w:r>
              <w:rPr>
                <w:color w:val="000000"/>
                <w:sz w:val="22"/>
                <w:szCs w:val="22"/>
              </w:rPr>
              <w:t>1.0000</w:t>
            </w:r>
          </w:p>
        </w:tc>
        <w:tc>
          <w:tcPr>
            <w:tcW w:w="1777" w:type="dxa"/>
            <w:noWrap/>
          </w:tcPr>
          <w:p w14:paraId="750DFAFF" w14:textId="77777777" w:rsidR="006F259C" w:rsidRPr="009D65BE" w:rsidRDefault="000F5B51" w:rsidP="00343F45">
            <w:pPr>
              <w:spacing w:line="240" w:lineRule="auto"/>
              <w:jc w:val="center"/>
              <w:rPr>
                <w:rFonts w:eastAsia="Times New Roman" w:cs="Times New Roman"/>
                <w:color w:val="000000"/>
              </w:rPr>
            </w:pPr>
            <w:r w:rsidRPr="007E1017">
              <w:t>22.1864</w:t>
            </w:r>
          </w:p>
        </w:tc>
      </w:tr>
      <w:tr w:rsidR="00A15C2C" w14:paraId="4C782ACE" w14:textId="77777777" w:rsidTr="00343F45">
        <w:trPr>
          <w:trHeight w:val="290"/>
        </w:trPr>
        <w:tc>
          <w:tcPr>
            <w:tcW w:w="1096" w:type="dxa"/>
            <w:noWrap/>
            <w:vAlign w:val="center"/>
            <w:hideMark/>
          </w:tcPr>
          <w:p w14:paraId="57A462D9" w14:textId="77777777" w:rsidR="006F259C" w:rsidRPr="00472F76" w:rsidRDefault="000F5B51" w:rsidP="00343F45">
            <w:pPr>
              <w:spacing w:line="240" w:lineRule="auto"/>
              <w:rPr>
                <w:rFonts w:eastAsia="Times New Roman" w:cs="Times New Roman"/>
                <w:b/>
                <w:bCs/>
                <w:color w:val="000000"/>
              </w:rPr>
            </w:pPr>
            <w:r w:rsidRPr="00472F76">
              <w:rPr>
                <w:rFonts w:eastAsia="Times New Roman" w:cs="Times New Roman"/>
                <w:b/>
                <w:bCs/>
                <w:color w:val="000000"/>
              </w:rPr>
              <w:t>Total</w:t>
            </w:r>
          </w:p>
        </w:tc>
        <w:tc>
          <w:tcPr>
            <w:tcW w:w="1084" w:type="dxa"/>
            <w:noWrap/>
            <w:vAlign w:val="center"/>
            <w:hideMark/>
          </w:tcPr>
          <w:p w14:paraId="587113DE" w14:textId="77777777" w:rsidR="006F259C" w:rsidRPr="00472F76" w:rsidRDefault="006F259C" w:rsidP="00343F45">
            <w:pPr>
              <w:spacing w:line="240" w:lineRule="auto"/>
              <w:jc w:val="center"/>
              <w:rPr>
                <w:rFonts w:eastAsia="Times New Roman" w:cs="Times New Roman"/>
                <w:b/>
                <w:bCs/>
                <w:color w:val="000000"/>
              </w:rPr>
            </w:pPr>
          </w:p>
        </w:tc>
        <w:tc>
          <w:tcPr>
            <w:tcW w:w="1816" w:type="dxa"/>
            <w:noWrap/>
            <w:vAlign w:val="center"/>
          </w:tcPr>
          <w:p w14:paraId="05142137" w14:textId="77777777" w:rsidR="006F259C" w:rsidRPr="00472F76" w:rsidRDefault="006F259C" w:rsidP="00343F45">
            <w:pPr>
              <w:spacing w:line="240" w:lineRule="auto"/>
              <w:jc w:val="center"/>
              <w:rPr>
                <w:rFonts w:eastAsia="Times New Roman" w:cs="Times New Roman"/>
                <w:b/>
                <w:bCs/>
              </w:rPr>
            </w:pPr>
          </w:p>
        </w:tc>
        <w:tc>
          <w:tcPr>
            <w:tcW w:w="1777" w:type="dxa"/>
            <w:noWrap/>
          </w:tcPr>
          <w:p w14:paraId="704AEE3B" w14:textId="77777777" w:rsidR="006F259C" w:rsidRPr="00472F76" w:rsidRDefault="000F5B51" w:rsidP="00343F45">
            <w:pPr>
              <w:spacing w:line="240" w:lineRule="auto"/>
              <w:jc w:val="center"/>
              <w:rPr>
                <w:rFonts w:cs="Times New Roman"/>
                <w:b/>
                <w:bCs/>
                <w:color w:val="000000"/>
              </w:rPr>
            </w:pPr>
            <w:r w:rsidRPr="00617167">
              <w:rPr>
                <w:b/>
                <w:bCs/>
              </w:rPr>
              <w:t>17.4411</w:t>
            </w:r>
          </w:p>
        </w:tc>
        <w:tc>
          <w:tcPr>
            <w:tcW w:w="1096" w:type="dxa"/>
            <w:noWrap/>
            <w:vAlign w:val="center"/>
            <w:hideMark/>
          </w:tcPr>
          <w:p w14:paraId="05A23091" w14:textId="77777777" w:rsidR="006F259C" w:rsidRPr="00472F76" w:rsidRDefault="000F5B51" w:rsidP="00343F45">
            <w:pPr>
              <w:spacing w:line="240" w:lineRule="auto"/>
              <w:rPr>
                <w:rFonts w:eastAsia="Times New Roman" w:cs="Times New Roman"/>
                <w:b/>
                <w:bCs/>
                <w:color w:val="000000"/>
              </w:rPr>
            </w:pPr>
            <w:r w:rsidRPr="00472F76">
              <w:rPr>
                <w:rFonts w:eastAsia="Times New Roman" w:cs="Times New Roman"/>
                <w:b/>
                <w:bCs/>
                <w:color w:val="000000"/>
              </w:rPr>
              <w:t>Total</w:t>
            </w:r>
          </w:p>
        </w:tc>
        <w:tc>
          <w:tcPr>
            <w:tcW w:w="1053" w:type="dxa"/>
            <w:noWrap/>
            <w:vAlign w:val="center"/>
            <w:hideMark/>
          </w:tcPr>
          <w:p w14:paraId="3A2DEA24" w14:textId="77777777" w:rsidR="006F259C" w:rsidRPr="00472F76" w:rsidRDefault="006F259C" w:rsidP="00343F45">
            <w:pPr>
              <w:spacing w:line="240" w:lineRule="auto"/>
              <w:jc w:val="center"/>
              <w:rPr>
                <w:rFonts w:eastAsia="Times New Roman" w:cs="Times New Roman"/>
                <w:b/>
                <w:bCs/>
                <w:color w:val="000000"/>
              </w:rPr>
            </w:pPr>
          </w:p>
        </w:tc>
        <w:tc>
          <w:tcPr>
            <w:tcW w:w="1816" w:type="dxa"/>
            <w:noWrap/>
            <w:vAlign w:val="center"/>
          </w:tcPr>
          <w:p w14:paraId="0E7C3B27" w14:textId="77777777" w:rsidR="006F259C" w:rsidRPr="00472F76" w:rsidRDefault="006F259C" w:rsidP="00343F45">
            <w:pPr>
              <w:spacing w:line="240" w:lineRule="auto"/>
              <w:jc w:val="center"/>
              <w:rPr>
                <w:rFonts w:eastAsia="Times New Roman" w:cs="Times New Roman"/>
                <w:b/>
                <w:bCs/>
              </w:rPr>
            </w:pPr>
          </w:p>
        </w:tc>
        <w:tc>
          <w:tcPr>
            <w:tcW w:w="1777" w:type="dxa"/>
            <w:noWrap/>
          </w:tcPr>
          <w:p w14:paraId="4EF5F300" w14:textId="77777777" w:rsidR="006F259C" w:rsidRPr="00472F76" w:rsidRDefault="000F5B51" w:rsidP="00343F45">
            <w:pPr>
              <w:spacing w:line="240" w:lineRule="auto"/>
              <w:jc w:val="center"/>
              <w:rPr>
                <w:rFonts w:eastAsia="Times New Roman" w:cs="Times New Roman"/>
                <w:b/>
                <w:bCs/>
                <w:color w:val="000000"/>
              </w:rPr>
            </w:pPr>
            <w:r w:rsidRPr="00617167">
              <w:rPr>
                <w:b/>
                <w:bCs/>
              </w:rPr>
              <w:t>26.2748</w:t>
            </w:r>
          </w:p>
        </w:tc>
      </w:tr>
    </w:tbl>
    <w:p w14:paraId="390EF894" w14:textId="77777777" w:rsidR="006F259C" w:rsidRDefault="000F5B51" w:rsidP="006F259C">
      <w:pPr>
        <w:rPr>
          <w:rFonts w:ascii="Calibri" w:eastAsia="Times New Roman" w:hAnsi="Calibri" w:cs="Calibri"/>
          <w:color w:val="000000"/>
          <w:sz w:val="22"/>
        </w:rPr>
      </w:pPr>
      <w:r w:rsidRPr="00572735">
        <w:rPr>
          <w:sz w:val="18"/>
          <w:szCs w:val="16"/>
        </w:rPr>
        <w:t>Note: Values may not sum due to rounding.</w:t>
      </w:r>
    </w:p>
    <w:p w14:paraId="0E631425" w14:textId="77777777" w:rsidR="006F259C" w:rsidRDefault="006F259C" w:rsidP="006F259C">
      <w:pPr>
        <w:pStyle w:val="NoSpaceTimes"/>
      </w:pPr>
    </w:p>
    <w:p w14:paraId="0A0882C5" w14:textId="77777777" w:rsidR="006F259C" w:rsidRDefault="006F259C" w:rsidP="006F259C">
      <w:pPr>
        <w:pStyle w:val="NoSpaceTimes"/>
      </w:pPr>
    </w:p>
    <w:p w14:paraId="038D834E" w14:textId="77777777" w:rsidR="006F259C" w:rsidRDefault="006F259C" w:rsidP="006F259C">
      <w:pPr>
        <w:pStyle w:val="NoSpaceTimes"/>
      </w:pPr>
    </w:p>
    <w:p w14:paraId="66F3029A" w14:textId="77777777" w:rsidR="006F259C" w:rsidRDefault="006F259C" w:rsidP="006F259C">
      <w:pPr>
        <w:pStyle w:val="NoSpaceTimes"/>
      </w:pPr>
    </w:p>
    <w:p w14:paraId="13B7C1CA" w14:textId="77777777" w:rsidR="006F259C" w:rsidRDefault="006F259C" w:rsidP="006F259C">
      <w:pPr>
        <w:pStyle w:val="NoSpaceTimes"/>
      </w:pPr>
    </w:p>
    <w:p w14:paraId="0B920ED2" w14:textId="77777777" w:rsidR="006F259C" w:rsidRDefault="006F259C" w:rsidP="006F259C">
      <w:pPr>
        <w:pStyle w:val="NoSpaceTimes"/>
      </w:pPr>
    </w:p>
    <w:p w14:paraId="7D4F36BF" w14:textId="5BA33CD0" w:rsidR="006F259C" w:rsidRPr="00D01142" w:rsidRDefault="000F5B51" w:rsidP="006F259C">
      <w:pPr>
        <w:pStyle w:val="Caption"/>
      </w:pPr>
      <w:r>
        <w:t xml:space="preserve">Table </w:t>
      </w:r>
      <w:r w:rsidR="00115BAB">
        <w:fldChar w:fldCharType="begin"/>
      </w:r>
      <w:r>
        <w:instrText xml:space="preserve"> SEQ Table \* ARABIC </w:instrText>
      </w:r>
      <w:r w:rsidR="00115BAB">
        <w:fldChar w:fldCharType="separate"/>
      </w:r>
      <w:r w:rsidR="00A65CB3">
        <w:rPr>
          <w:noProof/>
        </w:rPr>
        <w:t>146</w:t>
      </w:r>
      <w:r w:rsidR="00115BAB">
        <w:rPr>
          <w:noProof/>
        </w:rPr>
        <w:fldChar w:fldCharType="end"/>
      </w:r>
      <w:r>
        <w:t xml:space="preserve">: </w:t>
      </w:r>
      <w:r w:rsidRPr="0031671A">
        <w:t xml:space="preserve">Calculation of </w:t>
      </w:r>
      <w:r w:rsidRPr="00471AE9">
        <w:t>Equivalent Lives Saved</w:t>
      </w:r>
      <w:r w:rsidRPr="0031671A">
        <w:t xml:space="preserve"> Discounted at 3% for Rear Seat Occupants </w:t>
      </w:r>
      <w:r>
        <w:t>6 to 10 Years Old</w:t>
      </w:r>
    </w:p>
    <w:tbl>
      <w:tblPr>
        <w:tblStyle w:val="TableGrid3"/>
        <w:tblW w:w="11515" w:type="dxa"/>
        <w:tblLook w:val="04A0" w:firstRow="1" w:lastRow="0" w:firstColumn="1" w:lastColumn="0" w:noHBand="0" w:noVBand="1"/>
      </w:tblPr>
      <w:tblGrid>
        <w:gridCol w:w="1096"/>
        <w:gridCol w:w="1084"/>
        <w:gridCol w:w="1816"/>
        <w:gridCol w:w="1777"/>
        <w:gridCol w:w="1096"/>
        <w:gridCol w:w="1053"/>
        <w:gridCol w:w="1816"/>
        <w:gridCol w:w="1777"/>
      </w:tblGrid>
      <w:tr w:rsidR="00A15C2C" w14:paraId="5969954D" w14:textId="77777777" w:rsidTr="00343F45">
        <w:trPr>
          <w:trHeight w:val="260"/>
        </w:trPr>
        <w:tc>
          <w:tcPr>
            <w:tcW w:w="1096" w:type="dxa"/>
            <w:shd w:val="clear" w:color="auto" w:fill="D9D9D9" w:themeFill="background1" w:themeFillShade="D9"/>
            <w:noWrap/>
            <w:vAlign w:val="center"/>
            <w:hideMark/>
          </w:tcPr>
          <w:p w14:paraId="62F440E2" w14:textId="77777777" w:rsidR="006F259C" w:rsidRPr="00572735" w:rsidRDefault="000F5B51" w:rsidP="00343F45">
            <w:pPr>
              <w:spacing w:line="240" w:lineRule="auto"/>
              <w:rPr>
                <w:rFonts w:eastAsia="Times New Roman" w:cs="Times New Roman"/>
                <w:b/>
                <w:bCs/>
                <w:color w:val="000000"/>
              </w:rPr>
            </w:pPr>
            <w:r w:rsidRPr="00572735">
              <w:rPr>
                <w:rFonts w:eastAsia="Times New Roman" w:cs="Times New Roman"/>
                <w:b/>
                <w:bCs/>
                <w:color w:val="000000"/>
              </w:rPr>
              <w:t>Injury Severity</w:t>
            </w:r>
          </w:p>
        </w:tc>
        <w:tc>
          <w:tcPr>
            <w:tcW w:w="1084" w:type="dxa"/>
            <w:shd w:val="clear" w:color="auto" w:fill="D9D9D9" w:themeFill="background1" w:themeFillShade="D9"/>
            <w:noWrap/>
            <w:vAlign w:val="center"/>
            <w:hideMark/>
          </w:tcPr>
          <w:p w14:paraId="4F6A15E9" w14:textId="77777777" w:rsidR="006F259C" w:rsidRPr="00572735" w:rsidRDefault="000F5B51" w:rsidP="00343F45">
            <w:pPr>
              <w:spacing w:line="240" w:lineRule="auto"/>
              <w:jc w:val="center"/>
              <w:rPr>
                <w:rFonts w:eastAsia="Times New Roman" w:cs="Times New Roman"/>
                <w:b/>
                <w:bCs/>
                <w:color w:val="000000"/>
              </w:rPr>
            </w:pPr>
            <w:r w:rsidRPr="00572735">
              <w:rPr>
                <w:rFonts w:eastAsia="Times New Roman" w:cs="Times New Roman"/>
                <w:b/>
                <w:bCs/>
                <w:color w:val="000000"/>
              </w:rPr>
              <w:t>Lo</w:t>
            </w:r>
          </w:p>
        </w:tc>
        <w:tc>
          <w:tcPr>
            <w:tcW w:w="1816" w:type="dxa"/>
            <w:shd w:val="clear" w:color="auto" w:fill="D9D9D9" w:themeFill="background1" w:themeFillShade="D9"/>
            <w:noWrap/>
            <w:vAlign w:val="center"/>
          </w:tcPr>
          <w:p w14:paraId="33D7767E" w14:textId="77777777" w:rsidR="006F259C" w:rsidRPr="00572735" w:rsidRDefault="000F5B51" w:rsidP="00343F45">
            <w:pPr>
              <w:spacing w:line="240" w:lineRule="auto"/>
              <w:jc w:val="center"/>
              <w:rPr>
                <w:rFonts w:eastAsia="Times New Roman" w:cs="Times New Roman"/>
                <w:b/>
                <w:bCs/>
              </w:rPr>
            </w:pPr>
            <w:r w:rsidRPr="006163DB">
              <w:rPr>
                <w:rFonts w:eastAsia="Times New Roman" w:cs="Times New Roman"/>
                <w:b/>
                <w:bCs/>
              </w:rPr>
              <w:t>Relative Disutility Factors</w:t>
            </w:r>
          </w:p>
        </w:tc>
        <w:tc>
          <w:tcPr>
            <w:tcW w:w="1777" w:type="dxa"/>
            <w:shd w:val="clear" w:color="auto" w:fill="D9D9D9" w:themeFill="background1" w:themeFillShade="D9"/>
            <w:noWrap/>
            <w:vAlign w:val="center"/>
          </w:tcPr>
          <w:p w14:paraId="6BE99A5C" w14:textId="77777777" w:rsidR="006F259C" w:rsidRPr="00572735" w:rsidRDefault="000F5B51" w:rsidP="00343F45">
            <w:pPr>
              <w:spacing w:line="240" w:lineRule="auto"/>
              <w:jc w:val="center"/>
              <w:rPr>
                <w:rFonts w:eastAsia="Times New Roman" w:cs="Times New Roman"/>
                <w:b/>
                <w:bCs/>
                <w:color w:val="000000"/>
              </w:rPr>
            </w:pPr>
            <w:r>
              <w:rPr>
                <w:rFonts w:eastAsia="Times New Roman" w:cs="Times New Roman"/>
                <w:b/>
                <w:bCs/>
                <w:color w:val="000000"/>
              </w:rPr>
              <w:t>Equivalent Lives Saved</w:t>
            </w:r>
          </w:p>
        </w:tc>
        <w:tc>
          <w:tcPr>
            <w:tcW w:w="1096" w:type="dxa"/>
            <w:shd w:val="clear" w:color="auto" w:fill="D9D9D9" w:themeFill="background1" w:themeFillShade="D9"/>
            <w:noWrap/>
            <w:vAlign w:val="center"/>
            <w:hideMark/>
          </w:tcPr>
          <w:p w14:paraId="7BD3AC69" w14:textId="77777777" w:rsidR="006F259C" w:rsidRPr="00572735" w:rsidRDefault="000F5B51" w:rsidP="00343F45">
            <w:pPr>
              <w:spacing w:line="240" w:lineRule="auto"/>
              <w:rPr>
                <w:rFonts w:eastAsia="Times New Roman" w:cs="Times New Roman"/>
                <w:b/>
                <w:bCs/>
                <w:color w:val="000000"/>
              </w:rPr>
            </w:pPr>
            <w:r w:rsidRPr="00572735">
              <w:rPr>
                <w:rFonts w:eastAsia="Times New Roman" w:cs="Times New Roman"/>
                <w:b/>
                <w:bCs/>
                <w:color w:val="000000"/>
              </w:rPr>
              <w:t>Injury Severity</w:t>
            </w:r>
          </w:p>
        </w:tc>
        <w:tc>
          <w:tcPr>
            <w:tcW w:w="1053" w:type="dxa"/>
            <w:shd w:val="clear" w:color="auto" w:fill="D9D9D9" w:themeFill="background1" w:themeFillShade="D9"/>
            <w:noWrap/>
            <w:vAlign w:val="center"/>
            <w:hideMark/>
          </w:tcPr>
          <w:p w14:paraId="028A350E" w14:textId="77777777" w:rsidR="006F259C" w:rsidRPr="00572735" w:rsidRDefault="000F5B51" w:rsidP="00343F45">
            <w:pPr>
              <w:spacing w:line="240" w:lineRule="auto"/>
              <w:jc w:val="center"/>
              <w:rPr>
                <w:rFonts w:eastAsia="Times New Roman" w:cs="Times New Roman"/>
                <w:b/>
                <w:bCs/>
                <w:color w:val="000000"/>
              </w:rPr>
            </w:pPr>
            <w:r w:rsidRPr="00572735">
              <w:rPr>
                <w:rFonts w:eastAsia="Times New Roman" w:cs="Times New Roman"/>
                <w:b/>
                <w:bCs/>
                <w:color w:val="000000"/>
              </w:rPr>
              <w:t>Hi</w:t>
            </w:r>
          </w:p>
        </w:tc>
        <w:tc>
          <w:tcPr>
            <w:tcW w:w="1816" w:type="dxa"/>
            <w:shd w:val="clear" w:color="auto" w:fill="D9D9D9" w:themeFill="background1" w:themeFillShade="D9"/>
            <w:noWrap/>
            <w:vAlign w:val="center"/>
          </w:tcPr>
          <w:p w14:paraId="0B2205C6" w14:textId="77777777" w:rsidR="006F259C" w:rsidRPr="00572735" w:rsidRDefault="000F5B51" w:rsidP="00343F45">
            <w:pPr>
              <w:spacing w:line="240" w:lineRule="auto"/>
              <w:jc w:val="center"/>
              <w:rPr>
                <w:rFonts w:eastAsia="Times New Roman" w:cs="Times New Roman"/>
                <w:b/>
                <w:bCs/>
              </w:rPr>
            </w:pPr>
            <w:r w:rsidRPr="006163DB">
              <w:rPr>
                <w:rFonts w:eastAsia="Times New Roman" w:cs="Times New Roman"/>
                <w:b/>
                <w:bCs/>
              </w:rPr>
              <w:t>Relative Disutility Factors</w:t>
            </w:r>
          </w:p>
        </w:tc>
        <w:tc>
          <w:tcPr>
            <w:tcW w:w="1777" w:type="dxa"/>
            <w:shd w:val="clear" w:color="auto" w:fill="D9D9D9" w:themeFill="background1" w:themeFillShade="D9"/>
            <w:noWrap/>
            <w:vAlign w:val="center"/>
          </w:tcPr>
          <w:p w14:paraId="33442C70" w14:textId="77777777" w:rsidR="006F259C" w:rsidRPr="00572735" w:rsidRDefault="000F5B51" w:rsidP="00343F45">
            <w:pPr>
              <w:spacing w:line="240" w:lineRule="auto"/>
              <w:jc w:val="center"/>
              <w:rPr>
                <w:rFonts w:eastAsia="Times New Roman" w:cs="Times New Roman"/>
                <w:b/>
                <w:bCs/>
                <w:color w:val="000000"/>
              </w:rPr>
            </w:pPr>
            <w:r>
              <w:rPr>
                <w:rFonts w:eastAsia="Times New Roman" w:cs="Times New Roman"/>
                <w:b/>
                <w:bCs/>
                <w:color w:val="000000"/>
              </w:rPr>
              <w:t>Equivalent Lives Saved</w:t>
            </w:r>
          </w:p>
        </w:tc>
      </w:tr>
      <w:tr w:rsidR="00A15C2C" w14:paraId="5F4AF2D2" w14:textId="77777777" w:rsidTr="00343F45">
        <w:trPr>
          <w:trHeight w:val="290"/>
        </w:trPr>
        <w:tc>
          <w:tcPr>
            <w:tcW w:w="1096" w:type="dxa"/>
            <w:noWrap/>
            <w:vAlign w:val="center"/>
            <w:hideMark/>
          </w:tcPr>
          <w:p w14:paraId="429186A6" w14:textId="77777777" w:rsidR="006F259C" w:rsidRPr="00572735" w:rsidRDefault="000F5B51" w:rsidP="00343F45">
            <w:pPr>
              <w:spacing w:line="240" w:lineRule="auto"/>
              <w:rPr>
                <w:rFonts w:eastAsia="Times New Roman" w:cs="Times New Roman"/>
                <w:color w:val="000000"/>
              </w:rPr>
            </w:pPr>
            <w:r w:rsidRPr="00572735">
              <w:rPr>
                <w:rFonts w:eastAsia="Times New Roman" w:cs="Times New Roman"/>
                <w:color w:val="000000"/>
              </w:rPr>
              <w:t>MAIS 1</w:t>
            </w:r>
          </w:p>
        </w:tc>
        <w:tc>
          <w:tcPr>
            <w:tcW w:w="1084" w:type="dxa"/>
            <w:noWrap/>
          </w:tcPr>
          <w:p w14:paraId="63E75E07" w14:textId="77777777" w:rsidR="006F259C" w:rsidRPr="00572735" w:rsidRDefault="000F5B51" w:rsidP="00343F45">
            <w:pPr>
              <w:spacing w:line="240" w:lineRule="auto"/>
              <w:jc w:val="center"/>
              <w:rPr>
                <w:rFonts w:eastAsia="Times New Roman" w:cs="Times New Roman"/>
                <w:color w:val="000000"/>
              </w:rPr>
            </w:pPr>
            <w:r w:rsidRPr="005D4A41">
              <w:t>0.49</w:t>
            </w:r>
          </w:p>
        </w:tc>
        <w:tc>
          <w:tcPr>
            <w:tcW w:w="1816" w:type="dxa"/>
            <w:noWrap/>
            <w:vAlign w:val="center"/>
          </w:tcPr>
          <w:p w14:paraId="3E0F1693" w14:textId="77777777" w:rsidR="006F259C" w:rsidRPr="00572735" w:rsidRDefault="000F5B51" w:rsidP="00343F45">
            <w:pPr>
              <w:spacing w:line="240" w:lineRule="auto"/>
              <w:jc w:val="center"/>
              <w:rPr>
                <w:rFonts w:eastAsia="Times New Roman" w:cs="Times New Roman"/>
                <w:color w:val="000000"/>
              </w:rPr>
            </w:pPr>
            <w:r>
              <w:rPr>
                <w:color w:val="000000"/>
                <w:sz w:val="22"/>
                <w:szCs w:val="22"/>
              </w:rPr>
              <w:t>0.0038</w:t>
            </w:r>
          </w:p>
        </w:tc>
        <w:tc>
          <w:tcPr>
            <w:tcW w:w="1777" w:type="dxa"/>
            <w:noWrap/>
          </w:tcPr>
          <w:p w14:paraId="63E1CBAF" w14:textId="77777777" w:rsidR="006F259C" w:rsidRPr="00572735" w:rsidRDefault="000F5B51" w:rsidP="00343F45">
            <w:pPr>
              <w:spacing w:line="240" w:lineRule="auto"/>
              <w:jc w:val="center"/>
              <w:rPr>
                <w:rFonts w:eastAsia="Times New Roman" w:cs="Times New Roman"/>
                <w:color w:val="000000"/>
              </w:rPr>
            </w:pPr>
            <w:r w:rsidRPr="001C79DF">
              <w:t>0.0019</w:t>
            </w:r>
          </w:p>
        </w:tc>
        <w:tc>
          <w:tcPr>
            <w:tcW w:w="1096" w:type="dxa"/>
            <w:noWrap/>
            <w:vAlign w:val="center"/>
            <w:hideMark/>
          </w:tcPr>
          <w:p w14:paraId="684FE0F2" w14:textId="77777777" w:rsidR="006F259C" w:rsidRPr="00572735" w:rsidRDefault="000F5B51" w:rsidP="00343F45">
            <w:pPr>
              <w:spacing w:line="240" w:lineRule="auto"/>
              <w:rPr>
                <w:rFonts w:eastAsia="Times New Roman" w:cs="Times New Roman"/>
                <w:color w:val="000000"/>
              </w:rPr>
            </w:pPr>
            <w:r w:rsidRPr="00572735">
              <w:rPr>
                <w:rFonts w:eastAsia="Times New Roman" w:cs="Times New Roman"/>
                <w:color w:val="000000"/>
              </w:rPr>
              <w:t>MAIS 1</w:t>
            </w:r>
          </w:p>
        </w:tc>
        <w:tc>
          <w:tcPr>
            <w:tcW w:w="1053" w:type="dxa"/>
            <w:noWrap/>
          </w:tcPr>
          <w:p w14:paraId="5B75A517" w14:textId="77777777" w:rsidR="006F259C" w:rsidRPr="00572735" w:rsidRDefault="000F5B51" w:rsidP="00343F45">
            <w:pPr>
              <w:spacing w:line="240" w:lineRule="auto"/>
              <w:jc w:val="center"/>
              <w:rPr>
                <w:rFonts w:eastAsia="Times New Roman" w:cs="Times New Roman"/>
                <w:color w:val="000000"/>
              </w:rPr>
            </w:pPr>
            <w:r w:rsidRPr="00AA2997">
              <w:t>0.72</w:t>
            </w:r>
          </w:p>
        </w:tc>
        <w:tc>
          <w:tcPr>
            <w:tcW w:w="1816" w:type="dxa"/>
            <w:noWrap/>
            <w:vAlign w:val="center"/>
          </w:tcPr>
          <w:p w14:paraId="4B4B42E4" w14:textId="77777777" w:rsidR="006F259C" w:rsidRPr="00572735" w:rsidRDefault="000F5B51" w:rsidP="00343F45">
            <w:pPr>
              <w:spacing w:line="240" w:lineRule="auto"/>
              <w:jc w:val="center"/>
              <w:rPr>
                <w:rFonts w:eastAsia="Times New Roman" w:cs="Times New Roman"/>
                <w:color w:val="000000"/>
              </w:rPr>
            </w:pPr>
            <w:r>
              <w:rPr>
                <w:color w:val="000000"/>
                <w:sz w:val="22"/>
                <w:szCs w:val="22"/>
              </w:rPr>
              <w:t>0.0038</w:t>
            </w:r>
          </w:p>
        </w:tc>
        <w:tc>
          <w:tcPr>
            <w:tcW w:w="1777" w:type="dxa"/>
            <w:noWrap/>
          </w:tcPr>
          <w:p w14:paraId="2151EF02" w14:textId="77777777" w:rsidR="006F259C" w:rsidRPr="00572735" w:rsidRDefault="000F5B51" w:rsidP="00343F45">
            <w:pPr>
              <w:spacing w:line="240" w:lineRule="auto"/>
              <w:jc w:val="center"/>
              <w:rPr>
                <w:rFonts w:eastAsia="Times New Roman" w:cs="Times New Roman"/>
                <w:color w:val="000000"/>
              </w:rPr>
            </w:pPr>
            <w:r w:rsidRPr="00AC0CAB">
              <w:t>0.0028</w:t>
            </w:r>
          </w:p>
        </w:tc>
      </w:tr>
      <w:tr w:rsidR="00A15C2C" w14:paraId="4D9D65C4" w14:textId="77777777" w:rsidTr="00343F45">
        <w:trPr>
          <w:trHeight w:val="290"/>
        </w:trPr>
        <w:tc>
          <w:tcPr>
            <w:tcW w:w="1096" w:type="dxa"/>
            <w:noWrap/>
            <w:vAlign w:val="center"/>
            <w:hideMark/>
          </w:tcPr>
          <w:p w14:paraId="59524CFC" w14:textId="77777777" w:rsidR="006F259C" w:rsidRPr="00572735" w:rsidRDefault="000F5B51" w:rsidP="00343F45">
            <w:pPr>
              <w:spacing w:line="240" w:lineRule="auto"/>
              <w:rPr>
                <w:rFonts w:eastAsia="Times New Roman" w:cs="Times New Roman"/>
                <w:color w:val="000000"/>
              </w:rPr>
            </w:pPr>
            <w:r w:rsidRPr="00572735">
              <w:rPr>
                <w:rFonts w:eastAsia="Times New Roman" w:cs="Times New Roman"/>
                <w:color w:val="000000"/>
              </w:rPr>
              <w:t>MAIS 2</w:t>
            </w:r>
          </w:p>
        </w:tc>
        <w:tc>
          <w:tcPr>
            <w:tcW w:w="1084" w:type="dxa"/>
            <w:noWrap/>
          </w:tcPr>
          <w:p w14:paraId="45605290" w14:textId="77777777" w:rsidR="006F259C" w:rsidRPr="00572735" w:rsidRDefault="000F5B51" w:rsidP="00343F45">
            <w:pPr>
              <w:spacing w:line="240" w:lineRule="auto"/>
              <w:jc w:val="center"/>
              <w:rPr>
                <w:rFonts w:eastAsia="Times New Roman" w:cs="Times New Roman"/>
                <w:color w:val="000000"/>
              </w:rPr>
            </w:pPr>
            <w:r w:rsidRPr="005D4A41">
              <w:t>0.45</w:t>
            </w:r>
          </w:p>
        </w:tc>
        <w:tc>
          <w:tcPr>
            <w:tcW w:w="1816" w:type="dxa"/>
            <w:noWrap/>
            <w:vAlign w:val="center"/>
          </w:tcPr>
          <w:p w14:paraId="1B4C3130" w14:textId="77777777" w:rsidR="006F259C" w:rsidRPr="00572735" w:rsidRDefault="000F5B51" w:rsidP="00343F45">
            <w:pPr>
              <w:spacing w:line="240" w:lineRule="auto"/>
              <w:jc w:val="center"/>
              <w:rPr>
                <w:rFonts w:eastAsia="Times New Roman" w:cs="Times New Roman"/>
                <w:color w:val="000000"/>
              </w:rPr>
            </w:pPr>
            <w:r>
              <w:rPr>
                <w:color w:val="000000"/>
                <w:sz w:val="22"/>
                <w:szCs w:val="22"/>
              </w:rPr>
              <w:t>0.0454</w:t>
            </w:r>
          </w:p>
        </w:tc>
        <w:tc>
          <w:tcPr>
            <w:tcW w:w="1777" w:type="dxa"/>
            <w:noWrap/>
          </w:tcPr>
          <w:p w14:paraId="5507ADDE" w14:textId="77777777" w:rsidR="006F259C" w:rsidRPr="00572735" w:rsidRDefault="000F5B51" w:rsidP="00343F45">
            <w:pPr>
              <w:spacing w:line="240" w:lineRule="auto"/>
              <w:jc w:val="center"/>
              <w:rPr>
                <w:rFonts w:eastAsia="Times New Roman" w:cs="Times New Roman"/>
                <w:color w:val="000000"/>
              </w:rPr>
            </w:pPr>
            <w:r w:rsidRPr="001C79DF">
              <w:t>0.0206</w:t>
            </w:r>
          </w:p>
        </w:tc>
        <w:tc>
          <w:tcPr>
            <w:tcW w:w="1096" w:type="dxa"/>
            <w:noWrap/>
            <w:vAlign w:val="center"/>
            <w:hideMark/>
          </w:tcPr>
          <w:p w14:paraId="22A5F6AA" w14:textId="77777777" w:rsidR="006F259C" w:rsidRPr="00572735" w:rsidRDefault="000F5B51" w:rsidP="00343F45">
            <w:pPr>
              <w:spacing w:line="240" w:lineRule="auto"/>
              <w:rPr>
                <w:rFonts w:eastAsia="Times New Roman" w:cs="Times New Roman"/>
                <w:color w:val="000000"/>
              </w:rPr>
            </w:pPr>
            <w:r w:rsidRPr="00572735">
              <w:rPr>
                <w:rFonts w:eastAsia="Times New Roman" w:cs="Times New Roman"/>
                <w:color w:val="000000"/>
              </w:rPr>
              <w:t>MAIS 2</w:t>
            </w:r>
          </w:p>
        </w:tc>
        <w:tc>
          <w:tcPr>
            <w:tcW w:w="1053" w:type="dxa"/>
            <w:noWrap/>
          </w:tcPr>
          <w:p w14:paraId="53F4A981" w14:textId="77777777" w:rsidR="006F259C" w:rsidRPr="00572735" w:rsidRDefault="000F5B51" w:rsidP="00343F45">
            <w:pPr>
              <w:spacing w:line="240" w:lineRule="auto"/>
              <w:jc w:val="center"/>
              <w:rPr>
                <w:rFonts w:eastAsia="Times New Roman" w:cs="Times New Roman"/>
                <w:color w:val="000000"/>
              </w:rPr>
            </w:pPr>
            <w:r w:rsidRPr="00AA2997">
              <w:t>0.66</w:t>
            </w:r>
          </w:p>
        </w:tc>
        <w:tc>
          <w:tcPr>
            <w:tcW w:w="1816" w:type="dxa"/>
            <w:noWrap/>
            <w:vAlign w:val="center"/>
          </w:tcPr>
          <w:p w14:paraId="6C179A38" w14:textId="77777777" w:rsidR="006F259C" w:rsidRPr="00572735" w:rsidRDefault="000F5B51" w:rsidP="00343F45">
            <w:pPr>
              <w:spacing w:line="240" w:lineRule="auto"/>
              <w:jc w:val="center"/>
              <w:rPr>
                <w:rFonts w:eastAsia="Times New Roman" w:cs="Times New Roman"/>
                <w:color w:val="000000"/>
              </w:rPr>
            </w:pPr>
            <w:r>
              <w:rPr>
                <w:color w:val="000000"/>
                <w:sz w:val="22"/>
                <w:szCs w:val="22"/>
              </w:rPr>
              <w:t>0.0454</w:t>
            </w:r>
          </w:p>
        </w:tc>
        <w:tc>
          <w:tcPr>
            <w:tcW w:w="1777" w:type="dxa"/>
            <w:noWrap/>
          </w:tcPr>
          <w:p w14:paraId="608446CF" w14:textId="77777777" w:rsidR="006F259C" w:rsidRPr="00572735" w:rsidRDefault="000F5B51" w:rsidP="00343F45">
            <w:pPr>
              <w:spacing w:line="240" w:lineRule="auto"/>
              <w:jc w:val="center"/>
              <w:rPr>
                <w:rFonts w:eastAsia="Times New Roman" w:cs="Times New Roman"/>
                <w:color w:val="000000"/>
              </w:rPr>
            </w:pPr>
            <w:r w:rsidRPr="00AC0CAB">
              <w:t>0.0302</w:t>
            </w:r>
          </w:p>
        </w:tc>
      </w:tr>
      <w:tr w:rsidR="00A15C2C" w14:paraId="0A8F4ED1" w14:textId="77777777" w:rsidTr="00343F45">
        <w:trPr>
          <w:trHeight w:val="290"/>
        </w:trPr>
        <w:tc>
          <w:tcPr>
            <w:tcW w:w="1096" w:type="dxa"/>
            <w:noWrap/>
            <w:vAlign w:val="center"/>
            <w:hideMark/>
          </w:tcPr>
          <w:p w14:paraId="2A55DFA1" w14:textId="77777777" w:rsidR="006F259C" w:rsidRPr="00572735" w:rsidRDefault="000F5B51" w:rsidP="00343F45">
            <w:pPr>
              <w:spacing w:line="240" w:lineRule="auto"/>
              <w:rPr>
                <w:rFonts w:eastAsia="Times New Roman" w:cs="Times New Roman"/>
                <w:color w:val="000000"/>
              </w:rPr>
            </w:pPr>
            <w:r w:rsidRPr="00572735">
              <w:rPr>
                <w:rFonts w:eastAsia="Times New Roman" w:cs="Times New Roman"/>
                <w:color w:val="000000"/>
              </w:rPr>
              <w:t>MAIS 3</w:t>
            </w:r>
          </w:p>
        </w:tc>
        <w:tc>
          <w:tcPr>
            <w:tcW w:w="1084" w:type="dxa"/>
            <w:noWrap/>
          </w:tcPr>
          <w:p w14:paraId="3B70EBA5" w14:textId="77777777" w:rsidR="006F259C" w:rsidRPr="00572735" w:rsidRDefault="000F5B51" w:rsidP="00343F45">
            <w:pPr>
              <w:spacing w:line="240" w:lineRule="auto"/>
              <w:jc w:val="center"/>
              <w:rPr>
                <w:rFonts w:eastAsia="Times New Roman" w:cs="Times New Roman"/>
                <w:color w:val="000000"/>
              </w:rPr>
            </w:pPr>
            <w:r w:rsidRPr="005D4A41">
              <w:t>0.11</w:t>
            </w:r>
          </w:p>
        </w:tc>
        <w:tc>
          <w:tcPr>
            <w:tcW w:w="1816" w:type="dxa"/>
            <w:noWrap/>
            <w:vAlign w:val="center"/>
          </w:tcPr>
          <w:p w14:paraId="760CEFB5" w14:textId="77777777" w:rsidR="006F259C" w:rsidRPr="00572735" w:rsidRDefault="000F5B51" w:rsidP="00343F45">
            <w:pPr>
              <w:spacing w:line="240" w:lineRule="auto"/>
              <w:jc w:val="center"/>
              <w:rPr>
                <w:rFonts w:eastAsia="Times New Roman" w:cs="Times New Roman"/>
                <w:color w:val="000000"/>
              </w:rPr>
            </w:pPr>
            <w:r>
              <w:rPr>
                <w:color w:val="000000"/>
                <w:sz w:val="22"/>
                <w:szCs w:val="22"/>
              </w:rPr>
              <w:t>0.1078</w:t>
            </w:r>
          </w:p>
        </w:tc>
        <w:tc>
          <w:tcPr>
            <w:tcW w:w="1777" w:type="dxa"/>
            <w:noWrap/>
          </w:tcPr>
          <w:p w14:paraId="6954D9A1" w14:textId="77777777" w:rsidR="006F259C" w:rsidRPr="00572735" w:rsidRDefault="000F5B51" w:rsidP="00343F45">
            <w:pPr>
              <w:spacing w:line="240" w:lineRule="auto"/>
              <w:jc w:val="center"/>
              <w:rPr>
                <w:rFonts w:eastAsia="Times New Roman" w:cs="Times New Roman"/>
                <w:color w:val="000000"/>
              </w:rPr>
            </w:pPr>
            <w:r w:rsidRPr="001C79DF">
              <w:t>0.0118</w:t>
            </w:r>
          </w:p>
        </w:tc>
        <w:tc>
          <w:tcPr>
            <w:tcW w:w="1096" w:type="dxa"/>
            <w:noWrap/>
            <w:vAlign w:val="center"/>
            <w:hideMark/>
          </w:tcPr>
          <w:p w14:paraId="772DDE76" w14:textId="77777777" w:rsidR="006F259C" w:rsidRPr="00572735" w:rsidRDefault="000F5B51" w:rsidP="00343F45">
            <w:pPr>
              <w:spacing w:line="240" w:lineRule="auto"/>
              <w:rPr>
                <w:rFonts w:eastAsia="Times New Roman" w:cs="Times New Roman"/>
                <w:color w:val="000000"/>
              </w:rPr>
            </w:pPr>
            <w:r w:rsidRPr="00572735">
              <w:rPr>
                <w:rFonts w:eastAsia="Times New Roman" w:cs="Times New Roman"/>
                <w:color w:val="000000"/>
              </w:rPr>
              <w:t>MAIS 3</w:t>
            </w:r>
          </w:p>
        </w:tc>
        <w:tc>
          <w:tcPr>
            <w:tcW w:w="1053" w:type="dxa"/>
            <w:noWrap/>
          </w:tcPr>
          <w:p w14:paraId="35BC4111" w14:textId="77777777" w:rsidR="006F259C" w:rsidRPr="00572735" w:rsidRDefault="000F5B51" w:rsidP="00343F45">
            <w:pPr>
              <w:spacing w:line="240" w:lineRule="auto"/>
              <w:jc w:val="center"/>
              <w:rPr>
                <w:rFonts w:eastAsia="Times New Roman" w:cs="Times New Roman"/>
                <w:color w:val="000000"/>
              </w:rPr>
            </w:pPr>
            <w:r w:rsidRPr="00AA2997">
              <w:t>0.16</w:t>
            </w:r>
          </w:p>
        </w:tc>
        <w:tc>
          <w:tcPr>
            <w:tcW w:w="1816" w:type="dxa"/>
            <w:noWrap/>
            <w:vAlign w:val="center"/>
          </w:tcPr>
          <w:p w14:paraId="1218E7BE" w14:textId="77777777" w:rsidR="006F259C" w:rsidRPr="00572735" w:rsidRDefault="000F5B51" w:rsidP="00343F45">
            <w:pPr>
              <w:spacing w:line="240" w:lineRule="auto"/>
              <w:jc w:val="center"/>
              <w:rPr>
                <w:rFonts w:eastAsia="Times New Roman" w:cs="Times New Roman"/>
                <w:color w:val="000000"/>
              </w:rPr>
            </w:pPr>
            <w:r>
              <w:rPr>
                <w:color w:val="000000"/>
                <w:sz w:val="22"/>
                <w:szCs w:val="22"/>
              </w:rPr>
              <w:t>0.1078</w:t>
            </w:r>
          </w:p>
        </w:tc>
        <w:tc>
          <w:tcPr>
            <w:tcW w:w="1777" w:type="dxa"/>
            <w:noWrap/>
          </w:tcPr>
          <w:p w14:paraId="607F3133" w14:textId="77777777" w:rsidR="006F259C" w:rsidRPr="00572735" w:rsidRDefault="000F5B51" w:rsidP="00343F45">
            <w:pPr>
              <w:spacing w:line="240" w:lineRule="auto"/>
              <w:jc w:val="center"/>
              <w:rPr>
                <w:rFonts w:eastAsia="Times New Roman" w:cs="Times New Roman"/>
                <w:color w:val="000000"/>
              </w:rPr>
            </w:pPr>
            <w:r w:rsidRPr="00AC0CAB">
              <w:t>0.0173</w:t>
            </w:r>
          </w:p>
        </w:tc>
      </w:tr>
      <w:tr w:rsidR="00A15C2C" w14:paraId="4C4FABE0" w14:textId="77777777" w:rsidTr="00343F45">
        <w:trPr>
          <w:trHeight w:val="290"/>
        </w:trPr>
        <w:tc>
          <w:tcPr>
            <w:tcW w:w="1096" w:type="dxa"/>
            <w:noWrap/>
            <w:vAlign w:val="center"/>
            <w:hideMark/>
          </w:tcPr>
          <w:p w14:paraId="36CF60DF" w14:textId="77777777" w:rsidR="006F259C" w:rsidRPr="00572735" w:rsidRDefault="000F5B51" w:rsidP="00343F45">
            <w:pPr>
              <w:spacing w:line="240" w:lineRule="auto"/>
              <w:rPr>
                <w:rFonts w:eastAsia="Times New Roman" w:cs="Times New Roman"/>
                <w:color w:val="000000"/>
              </w:rPr>
            </w:pPr>
            <w:r w:rsidRPr="00572735">
              <w:rPr>
                <w:rFonts w:eastAsia="Times New Roman" w:cs="Times New Roman"/>
                <w:color w:val="000000"/>
              </w:rPr>
              <w:t>MAIS 4</w:t>
            </w:r>
          </w:p>
        </w:tc>
        <w:tc>
          <w:tcPr>
            <w:tcW w:w="1084" w:type="dxa"/>
            <w:noWrap/>
          </w:tcPr>
          <w:p w14:paraId="4CC426A6" w14:textId="77777777" w:rsidR="006F259C" w:rsidRPr="00572735" w:rsidRDefault="000F5B51" w:rsidP="00343F45">
            <w:pPr>
              <w:spacing w:line="240" w:lineRule="auto"/>
              <w:jc w:val="center"/>
              <w:rPr>
                <w:rFonts w:eastAsia="Times New Roman" w:cs="Times New Roman"/>
                <w:color w:val="000000"/>
              </w:rPr>
            </w:pPr>
            <w:r w:rsidRPr="005D4A41">
              <w:t>0.03</w:t>
            </w:r>
          </w:p>
        </w:tc>
        <w:tc>
          <w:tcPr>
            <w:tcW w:w="1816" w:type="dxa"/>
            <w:noWrap/>
            <w:vAlign w:val="center"/>
          </w:tcPr>
          <w:p w14:paraId="1C0B8DC4" w14:textId="77777777" w:rsidR="006F259C" w:rsidRPr="00572735" w:rsidRDefault="000F5B51" w:rsidP="00343F45">
            <w:pPr>
              <w:spacing w:line="240" w:lineRule="auto"/>
              <w:jc w:val="center"/>
              <w:rPr>
                <w:rFonts w:eastAsia="Times New Roman" w:cs="Times New Roman"/>
                <w:color w:val="000000"/>
              </w:rPr>
            </w:pPr>
            <w:r>
              <w:rPr>
                <w:color w:val="000000"/>
                <w:sz w:val="22"/>
                <w:szCs w:val="22"/>
              </w:rPr>
              <w:t>0.2677</w:t>
            </w:r>
          </w:p>
        </w:tc>
        <w:tc>
          <w:tcPr>
            <w:tcW w:w="1777" w:type="dxa"/>
            <w:noWrap/>
          </w:tcPr>
          <w:p w14:paraId="024A5B6B" w14:textId="77777777" w:rsidR="006F259C" w:rsidRPr="00572735" w:rsidRDefault="000F5B51" w:rsidP="00343F45">
            <w:pPr>
              <w:spacing w:line="240" w:lineRule="auto"/>
              <w:jc w:val="center"/>
              <w:rPr>
                <w:rFonts w:eastAsia="Times New Roman" w:cs="Times New Roman"/>
                <w:color w:val="000000"/>
              </w:rPr>
            </w:pPr>
            <w:r w:rsidRPr="001C79DF">
              <w:t>0.0081</w:t>
            </w:r>
          </w:p>
        </w:tc>
        <w:tc>
          <w:tcPr>
            <w:tcW w:w="1096" w:type="dxa"/>
            <w:noWrap/>
            <w:vAlign w:val="center"/>
            <w:hideMark/>
          </w:tcPr>
          <w:p w14:paraId="79A1C8B9" w14:textId="77777777" w:rsidR="006F259C" w:rsidRPr="00572735" w:rsidRDefault="000F5B51" w:rsidP="00343F45">
            <w:pPr>
              <w:spacing w:line="240" w:lineRule="auto"/>
              <w:rPr>
                <w:rFonts w:eastAsia="Times New Roman" w:cs="Times New Roman"/>
                <w:color w:val="000000"/>
              </w:rPr>
            </w:pPr>
            <w:r w:rsidRPr="00572735">
              <w:rPr>
                <w:rFonts w:eastAsia="Times New Roman" w:cs="Times New Roman"/>
                <w:color w:val="000000"/>
              </w:rPr>
              <w:t>MAIS 4</w:t>
            </w:r>
          </w:p>
        </w:tc>
        <w:tc>
          <w:tcPr>
            <w:tcW w:w="1053" w:type="dxa"/>
            <w:noWrap/>
          </w:tcPr>
          <w:p w14:paraId="4E9E4B88" w14:textId="77777777" w:rsidR="006F259C" w:rsidRPr="00572735" w:rsidRDefault="000F5B51" w:rsidP="00343F45">
            <w:pPr>
              <w:spacing w:line="240" w:lineRule="auto"/>
              <w:jc w:val="center"/>
              <w:rPr>
                <w:rFonts w:eastAsia="Times New Roman" w:cs="Times New Roman"/>
                <w:color w:val="000000"/>
              </w:rPr>
            </w:pPr>
            <w:r w:rsidRPr="00AA2997">
              <w:t>0.04</w:t>
            </w:r>
          </w:p>
        </w:tc>
        <w:tc>
          <w:tcPr>
            <w:tcW w:w="1816" w:type="dxa"/>
            <w:noWrap/>
            <w:vAlign w:val="center"/>
          </w:tcPr>
          <w:p w14:paraId="29C48796" w14:textId="77777777" w:rsidR="006F259C" w:rsidRPr="00572735" w:rsidRDefault="000F5B51" w:rsidP="00343F45">
            <w:pPr>
              <w:spacing w:line="240" w:lineRule="auto"/>
              <w:jc w:val="center"/>
              <w:rPr>
                <w:rFonts w:eastAsia="Times New Roman" w:cs="Times New Roman"/>
                <w:color w:val="000000"/>
              </w:rPr>
            </w:pPr>
            <w:r>
              <w:rPr>
                <w:color w:val="000000"/>
                <w:sz w:val="22"/>
                <w:szCs w:val="22"/>
              </w:rPr>
              <w:t>0.2677</w:t>
            </w:r>
          </w:p>
        </w:tc>
        <w:tc>
          <w:tcPr>
            <w:tcW w:w="1777" w:type="dxa"/>
            <w:noWrap/>
          </w:tcPr>
          <w:p w14:paraId="73923D89" w14:textId="77777777" w:rsidR="006F259C" w:rsidRPr="00572735" w:rsidRDefault="000F5B51" w:rsidP="00343F45">
            <w:pPr>
              <w:spacing w:line="240" w:lineRule="auto"/>
              <w:jc w:val="center"/>
              <w:rPr>
                <w:rFonts w:eastAsia="Times New Roman" w:cs="Times New Roman"/>
                <w:color w:val="000000"/>
              </w:rPr>
            </w:pPr>
            <w:r w:rsidRPr="00AC0CAB">
              <w:t>0.0119</w:t>
            </w:r>
          </w:p>
        </w:tc>
      </w:tr>
      <w:tr w:rsidR="00A15C2C" w14:paraId="1A892BBB" w14:textId="77777777" w:rsidTr="00343F45">
        <w:trPr>
          <w:trHeight w:val="290"/>
        </w:trPr>
        <w:tc>
          <w:tcPr>
            <w:tcW w:w="1096" w:type="dxa"/>
            <w:noWrap/>
            <w:vAlign w:val="center"/>
            <w:hideMark/>
          </w:tcPr>
          <w:p w14:paraId="27819B00" w14:textId="77777777" w:rsidR="006F259C" w:rsidRPr="00572735" w:rsidRDefault="000F5B51" w:rsidP="00343F45">
            <w:pPr>
              <w:spacing w:line="240" w:lineRule="auto"/>
              <w:rPr>
                <w:rFonts w:eastAsia="Times New Roman" w:cs="Times New Roman"/>
                <w:color w:val="000000"/>
              </w:rPr>
            </w:pPr>
            <w:r w:rsidRPr="00572735">
              <w:rPr>
                <w:rFonts w:eastAsia="Times New Roman" w:cs="Times New Roman"/>
                <w:color w:val="000000"/>
              </w:rPr>
              <w:t>MAIS 5</w:t>
            </w:r>
          </w:p>
        </w:tc>
        <w:tc>
          <w:tcPr>
            <w:tcW w:w="1084" w:type="dxa"/>
            <w:noWrap/>
          </w:tcPr>
          <w:p w14:paraId="322414AF" w14:textId="77777777" w:rsidR="006F259C" w:rsidRPr="00572735" w:rsidRDefault="000F5B51" w:rsidP="00343F45">
            <w:pPr>
              <w:spacing w:line="240" w:lineRule="auto"/>
              <w:jc w:val="center"/>
              <w:rPr>
                <w:rFonts w:eastAsia="Times New Roman" w:cs="Times New Roman"/>
                <w:color w:val="000000"/>
              </w:rPr>
            </w:pPr>
            <w:r w:rsidRPr="005D4A41">
              <w:t>0.00</w:t>
            </w:r>
          </w:p>
        </w:tc>
        <w:tc>
          <w:tcPr>
            <w:tcW w:w="1816" w:type="dxa"/>
            <w:noWrap/>
            <w:vAlign w:val="center"/>
          </w:tcPr>
          <w:p w14:paraId="2D3A5491" w14:textId="77777777" w:rsidR="006F259C" w:rsidRPr="00572735" w:rsidRDefault="000F5B51" w:rsidP="00343F45">
            <w:pPr>
              <w:spacing w:line="240" w:lineRule="auto"/>
              <w:jc w:val="center"/>
              <w:rPr>
                <w:rFonts w:eastAsia="Times New Roman" w:cs="Times New Roman"/>
                <w:color w:val="000000"/>
              </w:rPr>
            </w:pPr>
            <w:r>
              <w:rPr>
                <w:color w:val="000000"/>
                <w:sz w:val="22"/>
                <w:szCs w:val="22"/>
              </w:rPr>
              <w:t>0.6125</w:t>
            </w:r>
          </w:p>
        </w:tc>
        <w:tc>
          <w:tcPr>
            <w:tcW w:w="1777" w:type="dxa"/>
            <w:noWrap/>
          </w:tcPr>
          <w:p w14:paraId="31CB1418" w14:textId="77777777" w:rsidR="006F259C" w:rsidRPr="00572735" w:rsidRDefault="000F5B51" w:rsidP="00343F45">
            <w:pPr>
              <w:spacing w:line="240" w:lineRule="auto"/>
              <w:jc w:val="center"/>
              <w:rPr>
                <w:rFonts w:eastAsia="Times New Roman" w:cs="Times New Roman"/>
                <w:color w:val="000000"/>
              </w:rPr>
            </w:pPr>
            <w:r w:rsidRPr="001C79DF">
              <w:t>0.0000</w:t>
            </w:r>
          </w:p>
        </w:tc>
        <w:tc>
          <w:tcPr>
            <w:tcW w:w="1096" w:type="dxa"/>
            <w:noWrap/>
            <w:vAlign w:val="center"/>
            <w:hideMark/>
          </w:tcPr>
          <w:p w14:paraId="56CEB941" w14:textId="77777777" w:rsidR="006F259C" w:rsidRPr="00572735" w:rsidRDefault="000F5B51" w:rsidP="00343F45">
            <w:pPr>
              <w:spacing w:line="240" w:lineRule="auto"/>
              <w:rPr>
                <w:rFonts w:eastAsia="Times New Roman" w:cs="Times New Roman"/>
                <w:color w:val="000000"/>
              </w:rPr>
            </w:pPr>
            <w:r w:rsidRPr="00572735">
              <w:rPr>
                <w:rFonts w:eastAsia="Times New Roman" w:cs="Times New Roman"/>
                <w:color w:val="000000"/>
              </w:rPr>
              <w:t>MAIS 5</w:t>
            </w:r>
          </w:p>
        </w:tc>
        <w:tc>
          <w:tcPr>
            <w:tcW w:w="1053" w:type="dxa"/>
            <w:noWrap/>
          </w:tcPr>
          <w:p w14:paraId="53A5D8F7" w14:textId="77777777" w:rsidR="006F259C" w:rsidRPr="00572735" w:rsidRDefault="000F5B51" w:rsidP="00343F45">
            <w:pPr>
              <w:spacing w:line="240" w:lineRule="auto"/>
              <w:jc w:val="center"/>
              <w:rPr>
                <w:rFonts w:eastAsia="Times New Roman" w:cs="Times New Roman"/>
                <w:color w:val="000000"/>
              </w:rPr>
            </w:pPr>
            <w:r w:rsidRPr="00AA2997">
              <w:t>0.00</w:t>
            </w:r>
          </w:p>
        </w:tc>
        <w:tc>
          <w:tcPr>
            <w:tcW w:w="1816" w:type="dxa"/>
            <w:noWrap/>
            <w:vAlign w:val="center"/>
          </w:tcPr>
          <w:p w14:paraId="1C815A38" w14:textId="77777777" w:rsidR="006F259C" w:rsidRPr="00572735" w:rsidRDefault="000F5B51" w:rsidP="00343F45">
            <w:pPr>
              <w:spacing w:line="240" w:lineRule="auto"/>
              <w:jc w:val="center"/>
              <w:rPr>
                <w:rFonts w:eastAsia="Times New Roman" w:cs="Times New Roman"/>
                <w:color w:val="000000"/>
              </w:rPr>
            </w:pPr>
            <w:r>
              <w:rPr>
                <w:color w:val="000000"/>
                <w:sz w:val="22"/>
                <w:szCs w:val="22"/>
              </w:rPr>
              <w:t>0.6125</w:t>
            </w:r>
          </w:p>
        </w:tc>
        <w:tc>
          <w:tcPr>
            <w:tcW w:w="1777" w:type="dxa"/>
            <w:noWrap/>
          </w:tcPr>
          <w:p w14:paraId="296ECBB2" w14:textId="77777777" w:rsidR="006F259C" w:rsidRPr="00572735" w:rsidRDefault="000F5B51" w:rsidP="00343F45">
            <w:pPr>
              <w:spacing w:line="240" w:lineRule="auto"/>
              <w:jc w:val="center"/>
              <w:rPr>
                <w:rFonts w:eastAsia="Times New Roman" w:cs="Times New Roman"/>
                <w:color w:val="000000"/>
              </w:rPr>
            </w:pPr>
            <w:r w:rsidRPr="00AC0CAB">
              <w:t>0.0000</w:t>
            </w:r>
          </w:p>
        </w:tc>
      </w:tr>
      <w:tr w:rsidR="00A15C2C" w14:paraId="2E87C446" w14:textId="77777777" w:rsidTr="00343F45">
        <w:trPr>
          <w:trHeight w:val="290"/>
        </w:trPr>
        <w:tc>
          <w:tcPr>
            <w:tcW w:w="1096" w:type="dxa"/>
            <w:noWrap/>
            <w:vAlign w:val="center"/>
            <w:hideMark/>
          </w:tcPr>
          <w:p w14:paraId="1B5F6407" w14:textId="77777777" w:rsidR="006F259C" w:rsidRPr="00572735" w:rsidRDefault="000F5B51" w:rsidP="00343F45">
            <w:pPr>
              <w:spacing w:line="240" w:lineRule="auto"/>
              <w:rPr>
                <w:rFonts w:eastAsia="Times New Roman" w:cs="Times New Roman"/>
                <w:color w:val="000000"/>
              </w:rPr>
            </w:pPr>
            <w:r w:rsidRPr="00572735">
              <w:rPr>
                <w:rFonts w:eastAsia="Times New Roman" w:cs="Times New Roman"/>
                <w:color w:val="000000"/>
              </w:rPr>
              <w:t>Fatalities</w:t>
            </w:r>
          </w:p>
        </w:tc>
        <w:tc>
          <w:tcPr>
            <w:tcW w:w="1084" w:type="dxa"/>
            <w:noWrap/>
          </w:tcPr>
          <w:p w14:paraId="358D11C6" w14:textId="77777777" w:rsidR="006F259C" w:rsidRPr="00572735" w:rsidRDefault="000F5B51" w:rsidP="00343F45">
            <w:pPr>
              <w:spacing w:line="240" w:lineRule="auto"/>
              <w:jc w:val="center"/>
              <w:rPr>
                <w:rFonts w:eastAsia="Times New Roman" w:cs="Times New Roman"/>
                <w:color w:val="000000"/>
              </w:rPr>
            </w:pPr>
            <w:r w:rsidRPr="005D4A41">
              <w:t>0.34</w:t>
            </w:r>
          </w:p>
        </w:tc>
        <w:tc>
          <w:tcPr>
            <w:tcW w:w="1816" w:type="dxa"/>
            <w:noWrap/>
            <w:vAlign w:val="center"/>
          </w:tcPr>
          <w:p w14:paraId="7FEF995D" w14:textId="77777777" w:rsidR="006F259C" w:rsidRPr="00572735" w:rsidRDefault="000F5B51" w:rsidP="00343F45">
            <w:pPr>
              <w:spacing w:line="240" w:lineRule="auto"/>
              <w:jc w:val="center"/>
              <w:rPr>
                <w:rFonts w:eastAsia="Times New Roman" w:cs="Times New Roman"/>
                <w:color w:val="000000"/>
              </w:rPr>
            </w:pPr>
            <w:r>
              <w:rPr>
                <w:color w:val="000000"/>
                <w:sz w:val="22"/>
                <w:szCs w:val="22"/>
              </w:rPr>
              <w:t>1.0000</w:t>
            </w:r>
          </w:p>
        </w:tc>
        <w:tc>
          <w:tcPr>
            <w:tcW w:w="1777" w:type="dxa"/>
            <w:noWrap/>
          </w:tcPr>
          <w:p w14:paraId="25DB8D15" w14:textId="77777777" w:rsidR="006F259C" w:rsidRPr="00572735" w:rsidRDefault="000F5B51" w:rsidP="00343F45">
            <w:pPr>
              <w:spacing w:line="240" w:lineRule="auto"/>
              <w:jc w:val="center"/>
              <w:rPr>
                <w:rFonts w:eastAsia="Times New Roman" w:cs="Times New Roman"/>
                <w:color w:val="000000"/>
              </w:rPr>
            </w:pPr>
            <w:r w:rsidRPr="001C79DF">
              <w:t>0.3352</w:t>
            </w:r>
          </w:p>
        </w:tc>
        <w:tc>
          <w:tcPr>
            <w:tcW w:w="1096" w:type="dxa"/>
            <w:noWrap/>
            <w:vAlign w:val="center"/>
            <w:hideMark/>
          </w:tcPr>
          <w:p w14:paraId="72C021B0" w14:textId="77777777" w:rsidR="006F259C" w:rsidRPr="00572735" w:rsidRDefault="000F5B51" w:rsidP="00343F45">
            <w:pPr>
              <w:spacing w:line="240" w:lineRule="auto"/>
              <w:rPr>
                <w:rFonts w:eastAsia="Times New Roman" w:cs="Times New Roman"/>
                <w:color w:val="000000"/>
              </w:rPr>
            </w:pPr>
            <w:r w:rsidRPr="00572735">
              <w:rPr>
                <w:rFonts w:eastAsia="Times New Roman" w:cs="Times New Roman"/>
                <w:color w:val="000000"/>
              </w:rPr>
              <w:t>Fatalities</w:t>
            </w:r>
          </w:p>
        </w:tc>
        <w:tc>
          <w:tcPr>
            <w:tcW w:w="1053" w:type="dxa"/>
            <w:noWrap/>
          </w:tcPr>
          <w:p w14:paraId="4FD94C94" w14:textId="77777777" w:rsidR="006F259C" w:rsidRPr="00572735" w:rsidRDefault="000F5B51" w:rsidP="00343F45">
            <w:pPr>
              <w:spacing w:line="240" w:lineRule="auto"/>
              <w:jc w:val="center"/>
              <w:rPr>
                <w:rFonts w:eastAsia="Times New Roman" w:cs="Times New Roman"/>
                <w:color w:val="000000"/>
              </w:rPr>
            </w:pPr>
            <w:r w:rsidRPr="00AA2997">
              <w:t>0.50</w:t>
            </w:r>
          </w:p>
        </w:tc>
        <w:tc>
          <w:tcPr>
            <w:tcW w:w="1816" w:type="dxa"/>
            <w:noWrap/>
            <w:vAlign w:val="center"/>
          </w:tcPr>
          <w:p w14:paraId="5E5BBC7B" w14:textId="77777777" w:rsidR="006F259C" w:rsidRPr="00572735" w:rsidRDefault="000F5B51" w:rsidP="00343F45">
            <w:pPr>
              <w:spacing w:line="240" w:lineRule="auto"/>
              <w:jc w:val="center"/>
              <w:rPr>
                <w:rFonts w:eastAsia="Times New Roman" w:cs="Times New Roman"/>
                <w:color w:val="000000"/>
              </w:rPr>
            </w:pPr>
            <w:r>
              <w:rPr>
                <w:color w:val="000000"/>
                <w:sz w:val="22"/>
                <w:szCs w:val="22"/>
              </w:rPr>
              <w:t>1.0000</w:t>
            </w:r>
          </w:p>
        </w:tc>
        <w:tc>
          <w:tcPr>
            <w:tcW w:w="1777" w:type="dxa"/>
            <w:noWrap/>
          </w:tcPr>
          <w:p w14:paraId="005A980C" w14:textId="77777777" w:rsidR="006F259C" w:rsidRPr="00572735" w:rsidRDefault="000F5B51" w:rsidP="00343F45">
            <w:pPr>
              <w:spacing w:line="240" w:lineRule="auto"/>
              <w:jc w:val="center"/>
              <w:rPr>
                <w:rFonts w:eastAsia="Times New Roman" w:cs="Times New Roman"/>
                <w:color w:val="000000"/>
              </w:rPr>
            </w:pPr>
            <w:r w:rsidRPr="00AC0CAB">
              <w:t>0.5029</w:t>
            </w:r>
          </w:p>
        </w:tc>
      </w:tr>
      <w:tr w:rsidR="00A15C2C" w14:paraId="7B2547B0" w14:textId="77777777" w:rsidTr="00343F45">
        <w:trPr>
          <w:trHeight w:val="290"/>
        </w:trPr>
        <w:tc>
          <w:tcPr>
            <w:tcW w:w="1096" w:type="dxa"/>
            <w:noWrap/>
            <w:vAlign w:val="center"/>
            <w:hideMark/>
          </w:tcPr>
          <w:p w14:paraId="298188F3" w14:textId="77777777" w:rsidR="006F259C" w:rsidRPr="00572735" w:rsidRDefault="000F5B51" w:rsidP="00343F45">
            <w:pPr>
              <w:spacing w:line="240" w:lineRule="auto"/>
              <w:rPr>
                <w:rFonts w:eastAsia="Times New Roman" w:cs="Times New Roman"/>
                <w:b/>
                <w:bCs/>
                <w:color w:val="000000"/>
              </w:rPr>
            </w:pPr>
            <w:r w:rsidRPr="00572735">
              <w:rPr>
                <w:rFonts w:eastAsia="Times New Roman" w:cs="Times New Roman"/>
                <w:b/>
                <w:bCs/>
                <w:color w:val="000000"/>
              </w:rPr>
              <w:t>Total</w:t>
            </w:r>
          </w:p>
        </w:tc>
        <w:tc>
          <w:tcPr>
            <w:tcW w:w="1084" w:type="dxa"/>
            <w:noWrap/>
            <w:vAlign w:val="center"/>
            <w:hideMark/>
          </w:tcPr>
          <w:p w14:paraId="696F9A22" w14:textId="77777777" w:rsidR="006F259C" w:rsidRPr="00572735" w:rsidRDefault="006F259C" w:rsidP="00343F45">
            <w:pPr>
              <w:spacing w:line="240" w:lineRule="auto"/>
              <w:jc w:val="center"/>
              <w:rPr>
                <w:rFonts w:eastAsia="Times New Roman" w:cs="Times New Roman"/>
                <w:b/>
                <w:bCs/>
                <w:color w:val="000000"/>
              </w:rPr>
            </w:pPr>
          </w:p>
        </w:tc>
        <w:tc>
          <w:tcPr>
            <w:tcW w:w="1816" w:type="dxa"/>
            <w:noWrap/>
            <w:vAlign w:val="center"/>
          </w:tcPr>
          <w:p w14:paraId="7978EB9B" w14:textId="77777777" w:rsidR="006F259C" w:rsidRPr="00572735" w:rsidRDefault="006F259C" w:rsidP="00343F45">
            <w:pPr>
              <w:spacing w:line="240" w:lineRule="auto"/>
              <w:jc w:val="center"/>
              <w:rPr>
                <w:rFonts w:eastAsia="Times New Roman" w:cs="Times New Roman"/>
                <w:b/>
                <w:bCs/>
              </w:rPr>
            </w:pPr>
          </w:p>
        </w:tc>
        <w:tc>
          <w:tcPr>
            <w:tcW w:w="1777" w:type="dxa"/>
            <w:noWrap/>
          </w:tcPr>
          <w:p w14:paraId="2EF390AC" w14:textId="77777777" w:rsidR="006F259C" w:rsidRPr="00726BAF" w:rsidRDefault="000F5B51" w:rsidP="00343F45">
            <w:pPr>
              <w:spacing w:line="240" w:lineRule="auto"/>
              <w:jc w:val="center"/>
              <w:rPr>
                <w:rFonts w:eastAsia="Times New Roman" w:cs="Times New Roman"/>
                <w:b/>
                <w:bCs/>
                <w:color w:val="000000"/>
              </w:rPr>
            </w:pPr>
            <w:r w:rsidRPr="00CC4686">
              <w:rPr>
                <w:b/>
                <w:bCs/>
              </w:rPr>
              <w:t>0.3776</w:t>
            </w:r>
          </w:p>
        </w:tc>
        <w:tc>
          <w:tcPr>
            <w:tcW w:w="1096" w:type="dxa"/>
            <w:noWrap/>
            <w:vAlign w:val="center"/>
            <w:hideMark/>
          </w:tcPr>
          <w:p w14:paraId="5101D799" w14:textId="77777777" w:rsidR="006F259C" w:rsidRPr="00726BAF" w:rsidRDefault="000F5B51" w:rsidP="00343F45">
            <w:pPr>
              <w:spacing w:line="240" w:lineRule="auto"/>
              <w:rPr>
                <w:rFonts w:eastAsia="Times New Roman" w:cs="Times New Roman"/>
                <w:b/>
                <w:bCs/>
                <w:color w:val="000000"/>
              </w:rPr>
            </w:pPr>
            <w:r w:rsidRPr="00726BAF">
              <w:rPr>
                <w:rFonts w:eastAsia="Times New Roman" w:cs="Times New Roman"/>
                <w:b/>
                <w:bCs/>
                <w:color w:val="000000"/>
              </w:rPr>
              <w:t>Total</w:t>
            </w:r>
          </w:p>
        </w:tc>
        <w:tc>
          <w:tcPr>
            <w:tcW w:w="1053" w:type="dxa"/>
            <w:noWrap/>
            <w:vAlign w:val="center"/>
            <w:hideMark/>
          </w:tcPr>
          <w:p w14:paraId="4EB8DC80" w14:textId="77777777" w:rsidR="006F259C" w:rsidRPr="00726BAF" w:rsidRDefault="006F259C" w:rsidP="00343F45">
            <w:pPr>
              <w:spacing w:line="240" w:lineRule="auto"/>
              <w:jc w:val="center"/>
              <w:rPr>
                <w:rFonts w:eastAsia="Times New Roman" w:cs="Times New Roman"/>
                <w:b/>
                <w:bCs/>
                <w:color w:val="000000"/>
              </w:rPr>
            </w:pPr>
          </w:p>
        </w:tc>
        <w:tc>
          <w:tcPr>
            <w:tcW w:w="1816" w:type="dxa"/>
            <w:noWrap/>
            <w:vAlign w:val="center"/>
          </w:tcPr>
          <w:p w14:paraId="24F00520" w14:textId="77777777" w:rsidR="006F259C" w:rsidRPr="00726BAF" w:rsidRDefault="006F259C" w:rsidP="00343F45">
            <w:pPr>
              <w:spacing w:line="240" w:lineRule="auto"/>
              <w:jc w:val="center"/>
              <w:rPr>
                <w:rFonts w:eastAsia="Times New Roman" w:cs="Times New Roman"/>
                <w:b/>
                <w:bCs/>
              </w:rPr>
            </w:pPr>
          </w:p>
        </w:tc>
        <w:tc>
          <w:tcPr>
            <w:tcW w:w="1777" w:type="dxa"/>
            <w:noWrap/>
          </w:tcPr>
          <w:p w14:paraId="2701624F" w14:textId="77777777" w:rsidR="006F259C" w:rsidRPr="00726BAF" w:rsidRDefault="000F5B51" w:rsidP="00343F45">
            <w:pPr>
              <w:spacing w:line="240" w:lineRule="auto"/>
              <w:jc w:val="center"/>
              <w:rPr>
                <w:rFonts w:eastAsia="Times New Roman" w:cs="Times New Roman"/>
                <w:b/>
                <w:bCs/>
                <w:color w:val="000000"/>
              </w:rPr>
            </w:pPr>
            <w:r w:rsidRPr="00CC4686">
              <w:rPr>
                <w:b/>
                <w:bCs/>
              </w:rPr>
              <w:t>0.5651</w:t>
            </w:r>
          </w:p>
        </w:tc>
      </w:tr>
    </w:tbl>
    <w:p w14:paraId="603C26B8" w14:textId="77777777" w:rsidR="006F259C" w:rsidRDefault="000F5B51" w:rsidP="006F259C">
      <w:pPr>
        <w:rPr>
          <w:rFonts w:ascii="Calibri" w:eastAsia="Times New Roman" w:hAnsi="Calibri" w:cs="Calibri"/>
          <w:color w:val="000000"/>
          <w:sz w:val="22"/>
        </w:rPr>
      </w:pPr>
      <w:r w:rsidRPr="00572735">
        <w:rPr>
          <w:sz w:val="18"/>
          <w:szCs w:val="16"/>
        </w:rPr>
        <w:t>Note: Values may not sum due to rounding.</w:t>
      </w:r>
    </w:p>
    <w:p w14:paraId="7EA63D60" w14:textId="002AB9A4" w:rsidR="006F259C" w:rsidRPr="00D01142" w:rsidRDefault="000F5B51" w:rsidP="006F259C">
      <w:pPr>
        <w:pStyle w:val="Caption"/>
      </w:pPr>
      <w:r>
        <w:t xml:space="preserve">Table </w:t>
      </w:r>
      <w:r w:rsidR="00115BAB">
        <w:fldChar w:fldCharType="begin"/>
      </w:r>
      <w:r>
        <w:instrText xml:space="preserve"> SEQ Table \* ARABIC </w:instrText>
      </w:r>
      <w:r w:rsidR="00115BAB">
        <w:fldChar w:fldCharType="separate"/>
      </w:r>
      <w:r w:rsidR="00A65CB3">
        <w:rPr>
          <w:noProof/>
        </w:rPr>
        <w:t>147</w:t>
      </w:r>
      <w:r w:rsidR="00115BAB">
        <w:rPr>
          <w:noProof/>
        </w:rPr>
        <w:fldChar w:fldCharType="end"/>
      </w:r>
      <w:r>
        <w:t xml:space="preserve">: </w:t>
      </w:r>
      <w:r w:rsidRPr="0031671A">
        <w:t xml:space="preserve">Calculation of </w:t>
      </w:r>
      <w:r w:rsidRPr="00471AE9">
        <w:t>Equivalent Lives Saved</w:t>
      </w:r>
      <w:r w:rsidRPr="003E1D1B">
        <w:t xml:space="preserve"> </w:t>
      </w:r>
      <w:r w:rsidRPr="0031671A">
        <w:t xml:space="preserve">Discounted at </w:t>
      </w:r>
      <w:r>
        <w:t>7</w:t>
      </w:r>
      <w:r w:rsidRPr="0031671A">
        <w:t xml:space="preserve">% for Rear Seat Occupants </w:t>
      </w:r>
      <w:r>
        <w:t>6 to 10 Years Old</w:t>
      </w:r>
    </w:p>
    <w:tbl>
      <w:tblPr>
        <w:tblStyle w:val="TableGrid3"/>
        <w:tblW w:w="11515" w:type="dxa"/>
        <w:tblLook w:val="04A0" w:firstRow="1" w:lastRow="0" w:firstColumn="1" w:lastColumn="0" w:noHBand="0" w:noVBand="1"/>
      </w:tblPr>
      <w:tblGrid>
        <w:gridCol w:w="1096"/>
        <w:gridCol w:w="1084"/>
        <w:gridCol w:w="1816"/>
        <w:gridCol w:w="1777"/>
        <w:gridCol w:w="1096"/>
        <w:gridCol w:w="1053"/>
        <w:gridCol w:w="1816"/>
        <w:gridCol w:w="1777"/>
      </w:tblGrid>
      <w:tr w:rsidR="00A15C2C" w14:paraId="58EDFF16" w14:textId="77777777" w:rsidTr="00343F45">
        <w:trPr>
          <w:trHeight w:val="290"/>
        </w:trPr>
        <w:tc>
          <w:tcPr>
            <w:tcW w:w="1096" w:type="dxa"/>
            <w:shd w:val="clear" w:color="auto" w:fill="D9D9D9" w:themeFill="background1" w:themeFillShade="D9"/>
            <w:noWrap/>
            <w:vAlign w:val="center"/>
            <w:hideMark/>
          </w:tcPr>
          <w:p w14:paraId="4A8D9897" w14:textId="77777777" w:rsidR="006F259C" w:rsidRPr="009D65BE" w:rsidRDefault="000F5B51" w:rsidP="00343F45">
            <w:pPr>
              <w:spacing w:line="240" w:lineRule="auto"/>
              <w:rPr>
                <w:rFonts w:eastAsia="Times New Roman" w:cs="Times New Roman"/>
                <w:b/>
                <w:bCs/>
                <w:color w:val="000000"/>
              </w:rPr>
            </w:pPr>
            <w:r w:rsidRPr="009D65BE">
              <w:rPr>
                <w:rFonts w:eastAsia="Times New Roman" w:cs="Times New Roman"/>
                <w:b/>
                <w:bCs/>
                <w:color w:val="000000"/>
              </w:rPr>
              <w:t>Injury Severity</w:t>
            </w:r>
          </w:p>
        </w:tc>
        <w:tc>
          <w:tcPr>
            <w:tcW w:w="1084" w:type="dxa"/>
            <w:shd w:val="clear" w:color="auto" w:fill="D9D9D9" w:themeFill="background1" w:themeFillShade="D9"/>
            <w:noWrap/>
            <w:vAlign w:val="center"/>
            <w:hideMark/>
          </w:tcPr>
          <w:p w14:paraId="3523B77E" w14:textId="77777777" w:rsidR="006F259C" w:rsidRPr="009D65BE" w:rsidRDefault="000F5B51" w:rsidP="00343F45">
            <w:pPr>
              <w:spacing w:line="240" w:lineRule="auto"/>
              <w:jc w:val="center"/>
              <w:rPr>
                <w:rFonts w:eastAsia="Times New Roman" w:cs="Times New Roman"/>
                <w:b/>
                <w:bCs/>
                <w:color w:val="000000"/>
              </w:rPr>
            </w:pPr>
            <w:r w:rsidRPr="009D65BE">
              <w:rPr>
                <w:rFonts w:eastAsia="Times New Roman" w:cs="Times New Roman"/>
                <w:b/>
                <w:bCs/>
                <w:color w:val="000000"/>
              </w:rPr>
              <w:t>Lo</w:t>
            </w:r>
          </w:p>
        </w:tc>
        <w:tc>
          <w:tcPr>
            <w:tcW w:w="1816" w:type="dxa"/>
            <w:shd w:val="clear" w:color="auto" w:fill="D9D9D9" w:themeFill="background1" w:themeFillShade="D9"/>
            <w:noWrap/>
            <w:vAlign w:val="center"/>
          </w:tcPr>
          <w:p w14:paraId="3643200F" w14:textId="77777777" w:rsidR="006F259C" w:rsidRPr="009D65BE" w:rsidRDefault="000F5B51" w:rsidP="00343F45">
            <w:pPr>
              <w:spacing w:line="240" w:lineRule="auto"/>
              <w:jc w:val="center"/>
              <w:rPr>
                <w:rFonts w:eastAsia="Times New Roman" w:cs="Times New Roman"/>
                <w:b/>
                <w:bCs/>
              </w:rPr>
            </w:pPr>
            <w:r w:rsidRPr="006163DB">
              <w:rPr>
                <w:rFonts w:eastAsia="Times New Roman" w:cs="Times New Roman"/>
                <w:b/>
                <w:bCs/>
              </w:rPr>
              <w:t>Relative Disutility Factors</w:t>
            </w:r>
          </w:p>
        </w:tc>
        <w:tc>
          <w:tcPr>
            <w:tcW w:w="1777" w:type="dxa"/>
            <w:shd w:val="clear" w:color="auto" w:fill="D9D9D9" w:themeFill="background1" w:themeFillShade="D9"/>
            <w:noWrap/>
            <w:vAlign w:val="center"/>
          </w:tcPr>
          <w:p w14:paraId="4831BDA2" w14:textId="77777777" w:rsidR="006F259C" w:rsidRPr="009D65BE" w:rsidRDefault="000F5B51" w:rsidP="00343F45">
            <w:pPr>
              <w:spacing w:line="240" w:lineRule="auto"/>
              <w:jc w:val="center"/>
              <w:rPr>
                <w:rFonts w:eastAsia="Times New Roman" w:cs="Times New Roman"/>
                <w:b/>
                <w:bCs/>
                <w:color w:val="000000"/>
              </w:rPr>
            </w:pPr>
            <w:r>
              <w:rPr>
                <w:rFonts w:eastAsia="Times New Roman" w:cs="Times New Roman"/>
                <w:b/>
                <w:bCs/>
                <w:color w:val="000000"/>
              </w:rPr>
              <w:t>Equivalent Lives Saved</w:t>
            </w:r>
          </w:p>
        </w:tc>
        <w:tc>
          <w:tcPr>
            <w:tcW w:w="1096" w:type="dxa"/>
            <w:shd w:val="clear" w:color="auto" w:fill="D9D9D9" w:themeFill="background1" w:themeFillShade="D9"/>
            <w:noWrap/>
            <w:vAlign w:val="center"/>
            <w:hideMark/>
          </w:tcPr>
          <w:p w14:paraId="3744D60E" w14:textId="77777777" w:rsidR="006F259C" w:rsidRPr="009D65BE" w:rsidRDefault="000F5B51" w:rsidP="00343F45">
            <w:pPr>
              <w:spacing w:line="240" w:lineRule="auto"/>
              <w:rPr>
                <w:rFonts w:eastAsia="Times New Roman" w:cs="Times New Roman"/>
                <w:b/>
                <w:bCs/>
                <w:color w:val="000000"/>
              </w:rPr>
            </w:pPr>
            <w:r w:rsidRPr="009D65BE">
              <w:rPr>
                <w:rFonts w:eastAsia="Times New Roman" w:cs="Times New Roman"/>
                <w:b/>
                <w:bCs/>
                <w:color w:val="000000"/>
              </w:rPr>
              <w:t>Injury Severity</w:t>
            </w:r>
          </w:p>
        </w:tc>
        <w:tc>
          <w:tcPr>
            <w:tcW w:w="1053" w:type="dxa"/>
            <w:shd w:val="clear" w:color="auto" w:fill="D9D9D9" w:themeFill="background1" w:themeFillShade="D9"/>
            <w:noWrap/>
            <w:vAlign w:val="center"/>
            <w:hideMark/>
          </w:tcPr>
          <w:p w14:paraId="66D4A7A2" w14:textId="77777777" w:rsidR="006F259C" w:rsidRPr="009D65BE" w:rsidRDefault="000F5B51" w:rsidP="00343F45">
            <w:pPr>
              <w:spacing w:line="240" w:lineRule="auto"/>
              <w:jc w:val="center"/>
              <w:rPr>
                <w:rFonts w:eastAsia="Times New Roman" w:cs="Times New Roman"/>
                <w:b/>
                <w:bCs/>
                <w:color w:val="000000"/>
              </w:rPr>
            </w:pPr>
            <w:r w:rsidRPr="009D65BE">
              <w:rPr>
                <w:rFonts w:eastAsia="Times New Roman" w:cs="Times New Roman"/>
                <w:b/>
                <w:bCs/>
                <w:color w:val="000000"/>
              </w:rPr>
              <w:t>Hi</w:t>
            </w:r>
          </w:p>
        </w:tc>
        <w:tc>
          <w:tcPr>
            <w:tcW w:w="1816" w:type="dxa"/>
            <w:shd w:val="clear" w:color="auto" w:fill="D9D9D9" w:themeFill="background1" w:themeFillShade="D9"/>
            <w:noWrap/>
            <w:vAlign w:val="center"/>
          </w:tcPr>
          <w:p w14:paraId="072FD5CF" w14:textId="77777777" w:rsidR="006F259C" w:rsidRPr="009D65BE" w:rsidRDefault="000F5B51" w:rsidP="00343F45">
            <w:pPr>
              <w:spacing w:line="240" w:lineRule="auto"/>
              <w:jc w:val="center"/>
              <w:rPr>
                <w:rFonts w:eastAsia="Times New Roman" w:cs="Times New Roman"/>
                <w:b/>
                <w:bCs/>
              </w:rPr>
            </w:pPr>
            <w:r w:rsidRPr="006163DB">
              <w:rPr>
                <w:rFonts w:eastAsia="Times New Roman" w:cs="Times New Roman"/>
                <w:b/>
                <w:bCs/>
              </w:rPr>
              <w:t>Relative Disutility Factors</w:t>
            </w:r>
          </w:p>
        </w:tc>
        <w:tc>
          <w:tcPr>
            <w:tcW w:w="1777" w:type="dxa"/>
            <w:shd w:val="clear" w:color="auto" w:fill="D9D9D9" w:themeFill="background1" w:themeFillShade="D9"/>
            <w:noWrap/>
            <w:vAlign w:val="center"/>
          </w:tcPr>
          <w:p w14:paraId="512A2583" w14:textId="77777777" w:rsidR="006F259C" w:rsidRPr="009D65BE" w:rsidRDefault="000F5B51" w:rsidP="00343F45">
            <w:pPr>
              <w:spacing w:line="240" w:lineRule="auto"/>
              <w:jc w:val="center"/>
              <w:rPr>
                <w:rFonts w:eastAsia="Times New Roman" w:cs="Times New Roman"/>
                <w:b/>
                <w:bCs/>
                <w:color w:val="000000"/>
              </w:rPr>
            </w:pPr>
            <w:r>
              <w:rPr>
                <w:rFonts w:eastAsia="Times New Roman" w:cs="Times New Roman"/>
                <w:b/>
                <w:bCs/>
                <w:color w:val="000000"/>
              </w:rPr>
              <w:t>Equivalent Lives Saved</w:t>
            </w:r>
          </w:p>
        </w:tc>
      </w:tr>
      <w:tr w:rsidR="00A15C2C" w14:paraId="2A42B2DC" w14:textId="77777777" w:rsidTr="00343F45">
        <w:trPr>
          <w:trHeight w:val="290"/>
        </w:trPr>
        <w:tc>
          <w:tcPr>
            <w:tcW w:w="1096" w:type="dxa"/>
            <w:noWrap/>
            <w:vAlign w:val="center"/>
            <w:hideMark/>
          </w:tcPr>
          <w:p w14:paraId="3D5FC96E"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1</w:t>
            </w:r>
          </w:p>
        </w:tc>
        <w:tc>
          <w:tcPr>
            <w:tcW w:w="1084" w:type="dxa"/>
            <w:noWrap/>
          </w:tcPr>
          <w:p w14:paraId="1EBF6405" w14:textId="77777777" w:rsidR="006F259C" w:rsidRPr="009D65BE" w:rsidRDefault="000F5B51" w:rsidP="00343F45">
            <w:pPr>
              <w:spacing w:line="240" w:lineRule="auto"/>
              <w:jc w:val="center"/>
              <w:rPr>
                <w:rFonts w:eastAsia="Times New Roman" w:cs="Times New Roman"/>
                <w:color w:val="000000"/>
              </w:rPr>
            </w:pPr>
            <w:r w:rsidRPr="00DD4ED3">
              <w:t>0.40</w:t>
            </w:r>
          </w:p>
        </w:tc>
        <w:tc>
          <w:tcPr>
            <w:tcW w:w="1816" w:type="dxa"/>
            <w:noWrap/>
            <w:vAlign w:val="center"/>
          </w:tcPr>
          <w:p w14:paraId="2F6CCC3D" w14:textId="77777777" w:rsidR="006F259C" w:rsidRPr="009D65BE" w:rsidRDefault="000F5B51" w:rsidP="00343F45">
            <w:pPr>
              <w:spacing w:line="240" w:lineRule="auto"/>
              <w:jc w:val="center"/>
              <w:rPr>
                <w:rFonts w:eastAsia="Times New Roman" w:cs="Times New Roman"/>
                <w:color w:val="000000"/>
              </w:rPr>
            </w:pPr>
            <w:r>
              <w:rPr>
                <w:color w:val="000000"/>
                <w:sz w:val="22"/>
                <w:szCs w:val="22"/>
              </w:rPr>
              <w:t>0.0038</w:t>
            </w:r>
          </w:p>
        </w:tc>
        <w:tc>
          <w:tcPr>
            <w:tcW w:w="1777" w:type="dxa"/>
            <w:noWrap/>
          </w:tcPr>
          <w:p w14:paraId="7BE41161" w14:textId="77777777" w:rsidR="006F259C" w:rsidRPr="00325C3E" w:rsidRDefault="000F5B51" w:rsidP="00343F45">
            <w:pPr>
              <w:spacing w:line="240" w:lineRule="auto"/>
              <w:jc w:val="center"/>
              <w:rPr>
                <w:rFonts w:eastAsia="Times New Roman" w:cs="Times New Roman"/>
                <w:color w:val="000000"/>
              </w:rPr>
            </w:pPr>
            <w:r w:rsidRPr="00997AE5">
              <w:t>0.0015</w:t>
            </w:r>
          </w:p>
        </w:tc>
        <w:tc>
          <w:tcPr>
            <w:tcW w:w="1096" w:type="dxa"/>
            <w:noWrap/>
            <w:vAlign w:val="center"/>
            <w:hideMark/>
          </w:tcPr>
          <w:p w14:paraId="777BB28B"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1</w:t>
            </w:r>
          </w:p>
        </w:tc>
        <w:tc>
          <w:tcPr>
            <w:tcW w:w="1053" w:type="dxa"/>
            <w:noWrap/>
          </w:tcPr>
          <w:p w14:paraId="5F7D6585" w14:textId="77777777" w:rsidR="006F259C" w:rsidRPr="009D65BE" w:rsidRDefault="000F5B51" w:rsidP="00343F45">
            <w:pPr>
              <w:spacing w:line="240" w:lineRule="auto"/>
              <w:jc w:val="center"/>
              <w:rPr>
                <w:rFonts w:eastAsia="Times New Roman" w:cs="Times New Roman"/>
                <w:color w:val="000000"/>
              </w:rPr>
            </w:pPr>
            <w:r w:rsidRPr="001A17BA">
              <w:t>0.59</w:t>
            </w:r>
          </w:p>
        </w:tc>
        <w:tc>
          <w:tcPr>
            <w:tcW w:w="1816" w:type="dxa"/>
            <w:noWrap/>
            <w:vAlign w:val="center"/>
          </w:tcPr>
          <w:p w14:paraId="68AC963A" w14:textId="77777777" w:rsidR="006F259C" w:rsidRPr="009D65BE" w:rsidRDefault="000F5B51" w:rsidP="00343F45">
            <w:pPr>
              <w:spacing w:line="240" w:lineRule="auto"/>
              <w:jc w:val="center"/>
              <w:rPr>
                <w:rFonts w:eastAsia="Times New Roman" w:cs="Times New Roman"/>
                <w:color w:val="000000"/>
              </w:rPr>
            </w:pPr>
            <w:r>
              <w:rPr>
                <w:color w:val="000000"/>
                <w:sz w:val="22"/>
                <w:szCs w:val="22"/>
              </w:rPr>
              <w:t>0.0038</w:t>
            </w:r>
          </w:p>
        </w:tc>
        <w:tc>
          <w:tcPr>
            <w:tcW w:w="1777" w:type="dxa"/>
            <w:noWrap/>
          </w:tcPr>
          <w:p w14:paraId="400C1306" w14:textId="77777777" w:rsidR="006F259C" w:rsidRPr="009D65BE" w:rsidRDefault="000F5B51" w:rsidP="00343F45">
            <w:pPr>
              <w:spacing w:line="240" w:lineRule="auto"/>
              <w:jc w:val="center"/>
              <w:rPr>
                <w:rFonts w:eastAsia="Times New Roman" w:cs="Times New Roman"/>
                <w:color w:val="000000"/>
              </w:rPr>
            </w:pPr>
            <w:r w:rsidRPr="0096130E">
              <w:t>0.0022</w:t>
            </w:r>
          </w:p>
        </w:tc>
      </w:tr>
      <w:tr w:rsidR="00A15C2C" w14:paraId="2440930C" w14:textId="77777777" w:rsidTr="00343F45">
        <w:trPr>
          <w:trHeight w:val="290"/>
        </w:trPr>
        <w:tc>
          <w:tcPr>
            <w:tcW w:w="1096" w:type="dxa"/>
            <w:noWrap/>
            <w:vAlign w:val="center"/>
            <w:hideMark/>
          </w:tcPr>
          <w:p w14:paraId="5BD4680E"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2</w:t>
            </w:r>
          </w:p>
        </w:tc>
        <w:tc>
          <w:tcPr>
            <w:tcW w:w="1084" w:type="dxa"/>
            <w:noWrap/>
          </w:tcPr>
          <w:p w14:paraId="7EA8BB85" w14:textId="77777777" w:rsidR="006F259C" w:rsidRPr="009D65BE" w:rsidRDefault="000F5B51" w:rsidP="00343F45">
            <w:pPr>
              <w:spacing w:line="240" w:lineRule="auto"/>
              <w:jc w:val="center"/>
              <w:rPr>
                <w:rFonts w:eastAsia="Times New Roman" w:cs="Times New Roman"/>
                <w:color w:val="000000"/>
              </w:rPr>
            </w:pPr>
            <w:r w:rsidRPr="00DD4ED3">
              <w:t>0.37</w:t>
            </w:r>
          </w:p>
        </w:tc>
        <w:tc>
          <w:tcPr>
            <w:tcW w:w="1816" w:type="dxa"/>
            <w:noWrap/>
            <w:vAlign w:val="center"/>
          </w:tcPr>
          <w:p w14:paraId="2A2EE6BD" w14:textId="77777777" w:rsidR="006F259C" w:rsidRPr="009D65BE" w:rsidRDefault="000F5B51" w:rsidP="00343F45">
            <w:pPr>
              <w:spacing w:line="240" w:lineRule="auto"/>
              <w:jc w:val="center"/>
              <w:rPr>
                <w:rFonts w:eastAsia="Times New Roman" w:cs="Times New Roman"/>
                <w:color w:val="000000"/>
              </w:rPr>
            </w:pPr>
            <w:r>
              <w:rPr>
                <w:color w:val="000000"/>
                <w:sz w:val="22"/>
                <w:szCs w:val="22"/>
              </w:rPr>
              <w:t>0.0454</w:t>
            </w:r>
          </w:p>
        </w:tc>
        <w:tc>
          <w:tcPr>
            <w:tcW w:w="1777" w:type="dxa"/>
            <w:noWrap/>
          </w:tcPr>
          <w:p w14:paraId="6456993B" w14:textId="77777777" w:rsidR="006F259C" w:rsidRPr="00325C3E" w:rsidRDefault="000F5B51" w:rsidP="00343F45">
            <w:pPr>
              <w:spacing w:line="240" w:lineRule="auto"/>
              <w:jc w:val="center"/>
              <w:rPr>
                <w:rFonts w:eastAsia="Times New Roman" w:cs="Times New Roman"/>
                <w:color w:val="000000"/>
              </w:rPr>
            </w:pPr>
            <w:r w:rsidRPr="00997AE5">
              <w:t>0.0167</w:t>
            </w:r>
          </w:p>
        </w:tc>
        <w:tc>
          <w:tcPr>
            <w:tcW w:w="1096" w:type="dxa"/>
            <w:noWrap/>
            <w:vAlign w:val="center"/>
            <w:hideMark/>
          </w:tcPr>
          <w:p w14:paraId="69414B97"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2</w:t>
            </w:r>
          </w:p>
        </w:tc>
        <w:tc>
          <w:tcPr>
            <w:tcW w:w="1053" w:type="dxa"/>
            <w:noWrap/>
          </w:tcPr>
          <w:p w14:paraId="08FDD3EC" w14:textId="77777777" w:rsidR="006F259C" w:rsidRPr="009D65BE" w:rsidRDefault="000F5B51" w:rsidP="00343F45">
            <w:pPr>
              <w:spacing w:line="240" w:lineRule="auto"/>
              <w:jc w:val="center"/>
              <w:rPr>
                <w:rFonts w:eastAsia="Times New Roman" w:cs="Times New Roman"/>
                <w:color w:val="000000"/>
              </w:rPr>
            </w:pPr>
            <w:r w:rsidRPr="001A17BA">
              <w:t>0.54</w:t>
            </w:r>
          </w:p>
        </w:tc>
        <w:tc>
          <w:tcPr>
            <w:tcW w:w="1816" w:type="dxa"/>
            <w:noWrap/>
            <w:vAlign w:val="center"/>
          </w:tcPr>
          <w:p w14:paraId="0CB7C613" w14:textId="77777777" w:rsidR="006F259C" w:rsidRPr="009D65BE" w:rsidRDefault="000F5B51" w:rsidP="00343F45">
            <w:pPr>
              <w:spacing w:line="240" w:lineRule="auto"/>
              <w:jc w:val="center"/>
              <w:rPr>
                <w:rFonts w:eastAsia="Times New Roman" w:cs="Times New Roman"/>
                <w:color w:val="000000"/>
              </w:rPr>
            </w:pPr>
            <w:r>
              <w:rPr>
                <w:color w:val="000000"/>
                <w:sz w:val="22"/>
                <w:szCs w:val="22"/>
              </w:rPr>
              <w:t>0.0454</w:t>
            </w:r>
          </w:p>
        </w:tc>
        <w:tc>
          <w:tcPr>
            <w:tcW w:w="1777" w:type="dxa"/>
            <w:noWrap/>
          </w:tcPr>
          <w:p w14:paraId="0136895E" w14:textId="77777777" w:rsidR="006F259C" w:rsidRPr="009D65BE" w:rsidRDefault="000F5B51" w:rsidP="00343F45">
            <w:pPr>
              <w:spacing w:line="240" w:lineRule="auto"/>
              <w:jc w:val="center"/>
              <w:rPr>
                <w:rFonts w:eastAsia="Times New Roman" w:cs="Times New Roman"/>
                <w:color w:val="000000"/>
              </w:rPr>
            </w:pPr>
            <w:r w:rsidRPr="0096130E">
              <w:t>0.0245</w:t>
            </w:r>
          </w:p>
        </w:tc>
      </w:tr>
      <w:tr w:rsidR="00A15C2C" w14:paraId="3736E878" w14:textId="77777777" w:rsidTr="00343F45">
        <w:trPr>
          <w:trHeight w:val="290"/>
        </w:trPr>
        <w:tc>
          <w:tcPr>
            <w:tcW w:w="1096" w:type="dxa"/>
            <w:noWrap/>
            <w:vAlign w:val="center"/>
            <w:hideMark/>
          </w:tcPr>
          <w:p w14:paraId="5C55FA2B"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3</w:t>
            </w:r>
          </w:p>
        </w:tc>
        <w:tc>
          <w:tcPr>
            <w:tcW w:w="1084" w:type="dxa"/>
            <w:noWrap/>
          </w:tcPr>
          <w:p w14:paraId="696B1B8C" w14:textId="77777777" w:rsidR="006F259C" w:rsidRPr="009D65BE" w:rsidRDefault="000F5B51" w:rsidP="00343F45">
            <w:pPr>
              <w:spacing w:line="240" w:lineRule="auto"/>
              <w:jc w:val="center"/>
              <w:rPr>
                <w:rFonts w:eastAsia="Times New Roman" w:cs="Times New Roman"/>
                <w:color w:val="000000"/>
              </w:rPr>
            </w:pPr>
            <w:r w:rsidRPr="00DD4ED3">
              <w:t>0.09</w:t>
            </w:r>
          </w:p>
        </w:tc>
        <w:tc>
          <w:tcPr>
            <w:tcW w:w="1816" w:type="dxa"/>
            <w:noWrap/>
            <w:vAlign w:val="center"/>
          </w:tcPr>
          <w:p w14:paraId="4D0CBCCD" w14:textId="77777777" w:rsidR="006F259C" w:rsidRPr="009D65BE" w:rsidRDefault="000F5B51" w:rsidP="00343F45">
            <w:pPr>
              <w:spacing w:line="240" w:lineRule="auto"/>
              <w:jc w:val="center"/>
              <w:rPr>
                <w:rFonts w:eastAsia="Times New Roman" w:cs="Times New Roman"/>
                <w:color w:val="000000"/>
              </w:rPr>
            </w:pPr>
            <w:r>
              <w:rPr>
                <w:color w:val="000000"/>
                <w:sz w:val="22"/>
                <w:szCs w:val="22"/>
              </w:rPr>
              <w:t>0.1078</w:t>
            </w:r>
          </w:p>
        </w:tc>
        <w:tc>
          <w:tcPr>
            <w:tcW w:w="1777" w:type="dxa"/>
            <w:noWrap/>
          </w:tcPr>
          <w:p w14:paraId="7CB3D05F" w14:textId="77777777" w:rsidR="006F259C" w:rsidRPr="00325C3E" w:rsidRDefault="000F5B51" w:rsidP="00343F45">
            <w:pPr>
              <w:spacing w:line="240" w:lineRule="auto"/>
              <w:jc w:val="center"/>
              <w:rPr>
                <w:rFonts w:eastAsia="Times New Roman" w:cs="Times New Roman"/>
                <w:color w:val="000000"/>
              </w:rPr>
            </w:pPr>
            <w:r w:rsidRPr="00997AE5">
              <w:t>0.0096</w:t>
            </w:r>
          </w:p>
        </w:tc>
        <w:tc>
          <w:tcPr>
            <w:tcW w:w="1096" w:type="dxa"/>
            <w:noWrap/>
            <w:vAlign w:val="center"/>
            <w:hideMark/>
          </w:tcPr>
          <w:p w14:paraId="194DCCCB"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3</w:t>
            </w:r>
          </w:p>
        </w:tc>
        <w:tc>
          <w:tcPr>
            <w:tcW w:w="1053" w:type="dxa"/>
            <w:noWrap/>
          </w:tcPr>
          <w:p w14:paraId="58B63A06" w14:textId="77777777" w:rsidR="006F259C" w:rsidRPr="009D65BE" w:rsidRDefault="000F5B51" w:rsidP="00343F45">
            <w:pPr>
              <w:spacing w:line="240" w:lineRule="auto"/>
              <w:jc w:val="center"/>
              <w:rPr>
                <w:rFonts w:eastAsia="Times New Roman" w:cs="Times New Roman"/>
                <w:color w:val="000000"/>
              </w:rPr>
            </w:pPr>
            <w:r w:rsidRPr="001A17BA">
              <w:t>0.13</w:t>
            </w:r>
          </w:p>
        </w:tc>
        <w:tc>
          <w:tcPr>
            <w:tcW w:w="1816" w:type="dxa"/>
            <w:noWrap/>
            <w:vAlign w:val="center"/>
          </w:tcPr>
          <w:p w14:paraId="61DCCD72" w14:textId="77777777" w:rsidR="006F259C" w:rsidRPr="009D65BE" w:rsidRDefault="000F5B51" w:rsidP="00343F45">
            <w:pPr>
              <w:spacing w:line="240" w:lineRule="auto"/>
              <w:jc w:val="center"/>
              <w:rPr>
                <w:rFonts w:eastAsia="Times New Roman" w:cs="Times New Roman"/>
                <w:color w:val="000000"/>
              </w:rPr>
            </w:pPr>
            <w:r>
              <w:rPr>
                <w:color w:val="000000"/>
                <w:sz w:val="22"/>
                <w:szCs w:val="22"/>
              </w:rPr>
              <w:t>0.1078</w:t>
            </w:r>
          </w:p>
        </w:tc>
        <w:tc>
          <w:tcPr>
            <w:tcW w:w="1777" w:type="dxa"/>
            <w:noWrap/>
          </w:tcPr>
          <w:p w14:paraId="6EC28360" w14:textId="77777777" w:rsidR="006F259C" w:rsidRPr="009D65BE" w:rsidRDefault="000F5B51" w:rsidP="00343F45">
            <w:pPr>
              <w:spacing w:line="240" w:lineRule="auto"/>
              <w:jc w:val="center"/>
              <w:rPr>
                <w:rFonts w:eastAsia="Times New Roman" w:cs="Times New Roman"/>
                <w:color w:val="000000"/>
              </w:rPr>
            </w:pPr>
            <w:r w:rsidRPr="0096130E">
              <w:t>0.0141</w:t>
            </w:r>
          </w:p>
        </w:tc>
      </w:tr>
      <w:tr w:rsidR="00A15C2C" w14:paraId="7C16707F" w14:textId="77777777" w:rsidTr="00343F45">
        <w:trPr>
          <w:trHeight w:val="290"/>
        </w:trPr>
        <w:tc>
          <w:tcPr>
            <w:tcW w:w="1096" w:type="dxa"/>
            <w:noWrap/>
            <w:vAlign w:val="center"/>
            <w:hideMark/>
          </w:tcPr>
          <w:p w14:paraId="50812154"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4</w:t>
            </w:r>
          </w:p>
        </w:tc>
        <w:tc>
          <w:tcPr>
            <w:tcW w:w="1084" w:type="dxa"/>
            <w:noWrap/>
          </w:tcPr>
          <w:p w14:paraId="04E87646" w14:textId="77777777" w:rsidR="006F259C" w:rsidRPr="009D65BE" w:rsidRDefault="000F5B51" w:rsidP="00343F45">
            <w:pPr>
              <w:spacing w:line="240" w:lineRule="auto"/>
              <w:jc w:val="center"/>
              <w:rPr>
                <w:rFonts w:eastAsia="Times New Roman" w:cs="Times New Roman"/>
                <w:color w:val="000000"/>
              </w:rPr>
            </w:pPr>
            <w:r w:rsidRPr="00DD4ED3">
              <w:t>0.02</w:t>
            </w:r>
          </w:p>
        </w:tc>
        <w:tc>
          <w:tcPr>
            <w:tcW w:w="1816" w:type="dxa"/>
            <w:noWrap/>
            <w:vAlign w:val="center"/>
          </w:tcPr>
          <w:p w14:paraId="650E1E57" w14:textId="77777777" w:rsidR="006F259C" w:rsidRPr="009D65BE" w:rsidRDefault="000F5B51" w:rsidP="00343F45">
            <w:pPr>
              <w:spacing w:line="240" w:lineRule="auto"/>
              <w:jc w:val="center"/>
              <w:rPr>
                <w:rFonts w:eastAsia="Times New Roman" w:cs="Times New Roman"/>
                <w:color w:val="000000"/>
              </w:rPr>
            </w:pPr>
            <w:r>
              <w:rPr>
                <w:color w:val="000000"/>
                <w:sz w:val="22"/>
                <w:szCs w:val="22"/>
              </w:rPr>
              <w:t>0.2677</w:t>
            </w:r>
          </w:p>
        </w:tc>
        <w:tc>
          <w:tcPr>
            <w:tcW w:w="1777" w:type="dxa"/>
            <w:noWrap/>
          </w:tcPr>
          <w:p w14:paraId="69AED14F" w14:textId="77777777" w:rsidR="006F259C" w:rsidRPr="00325C3E" w:rsidRDefault="000F5B51" w:rsidP="00343F45">
            <w:pPr>
              <w:spacing w:line="240" w:lineRule="auto"/>
              <w:jc w:val="center"/>
              <w:rPr>
                <w:rFonts w:eastAsia="Times New Roman" w:cs="Times New Roman"/>
                <w:color w:val="000000"/>
              </w:rPr>
            </w:pPr>
            <w:r w:rsidRPr="00997AE5">
              <w:t>0.0066</w:t>
            </w:r>
          </w:p>
        </w:tc>
        <w:tc>
          <w:tcPr>
            <w:tcW w:w="1096" w:type="dxa"/>
            <w:noWrap/>
            <w:vAlign w:val="center"/>
            <w:hideMark/>
          </w:tcPr>
          <w:p w14:paraId="72A0BE81"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4</w:t>
            </w:r>
          </w:p>
        </w:tc>
        <w:tc>
          <w:tcPr>
            <w:tcW w:w="1053" w:type="dxa"/>
            <w:noWrap/>
          </w:tcPr>
          <w:p w14:paraId="1BB94FE7" w14:textId="77777777" w:rsidR="006F259C" w:rsidRPr="009D65BE" w:rsidRDefault="000F5B51" w:rsidP="00343F45">
            <w:pPr>
              <w:spacing w:line="240" w:lineRule="auto"/>
              <w:jc w:val="center"/>
              <w:rPr>
                <w:rFonts w:eastAsia="Times New Roman" w:cs="Times New Roman"/>
                <w:color w:val="000000"/>
              </w:rPr>
            </w:pPr>
            <w:r w:rsidRPr="001A17BA">
              <w:t>0.04</w:t>
            </w:r>
          </w:p>
        </w:tc>
        <w:tc>
          <w:tcPr>
            <w:tcW w:w="1816" w:type="dxa"/>
            <w:noWrap/>
            <w:vAlign w:val="center"/>
          </w:tcPr>
          <w:p w14:paraId="2F3B2045" w14:textId="77777777" w:rsidR="006F259C" w:rsidRPr="009D65BE" w:rsidRDefault="000F5B51" w:rsidP="00343F45">
            <w:pPr>
              <w:spacing w:line="240" w:lineRule="auto"/>
              <w:jc w:val="center"/>
              <w:rPr>
                <w:rFonts w:eastAsia="Times New Roman" w:cs="Times New Roman"/>
                <w:color w:val="000000"/>
              </w:rPr>
            </w:pPr>
            <w:r>
              <w:rPr>
                <w:color w:val="000000"/>
                <w:sz w:val="22"/>
                <w:szCs w:val="22"/>
              </w:rPr>
              <w:t>0.2677</w:t>
            </w:r>
          </w:p>
        </w:tc>
        <w:tc>
          <w:tcPr>
            <w:tcW w:w="1777" w:type="dxa"/>
            <w:noWrap/>
          </w:tcPr>
          <w:p w14:paraId="0A51B842" w14:textId="77777777" w:rsidR="006F259C" w:rsidRPr="009D65BE" w:rsidRDefault="000F5B51" w:rsidP="00343F45">
            <w:pPr>
              <w:spacing w:line="240" w:lineRule="auto"/>
              <w:jc w:val="center"/>
              <w:rPr>
                <w:rFonts w:eastAsia="Times New Roman" w:cs="Times New Roman"/>
                <w:color w:val="000000"/>
              </w:rPr>
            </w:pPr>
            <w:r w:rsidRPr="0096130E">
              <w:t>0.0097</w:t>
            </w:r>
          </w:p>
        </w:tc>
      </w:tr>
      <w:tr w:rsidR="00A15C2C" w14:paraId="4240CEF9" w14:textId="77777777" w:rsidTr="00343F45">
        <w:trPr>
          <w:trHeight w:val="290"/>
        </w:trPr>
        <w:tc>
          <w:tcPr>
            <w:tcW w:w="1096" w:type="dxa"/>
            <w:noWrap/>
            <w:vAlign w:val="center"/>
            <w:hideMark/>
          </w:tcPr>
          <w:p w14:paraId="03E6C502"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5</w:t>
            </w:r>
          </w:p>
        </w:tc>
        <w:tc>
          <w:tcPr>
            <w:tcW w:w="1084" w:type="dxa"/>
            <w:noWrap/>
          </w:tcPr>
          <w:p w14:paraId="47207D6C" w14:textId="77777777" w:rsidR="006F259C" w:rsidRPr="009D65BE" w:rsidRDefault="000F5B51" w:rsidP="00343F45">
            <w:pPr>
              <w:spacing w:line="240" w:lineRule="auto"/>
              <w:jc w:val="center"/>
              <w:rPr>
                <w:rFonts w:eastAsia="Times New Roman" w:cs="Times New Roman"/>
                <w:color w:val="000000"/>
              </w:rPr>
            </w:pPr>
            <w:r w:rsidRPr="00DD4ED3">
              <w:t>0.00</w:t>
            </w:r>
          </w:p>
        </w:tc>
        <w:tc>
          <w:tcPr>
            <w:tcW w:w="1816" w:type="dxa"/>
            <w:noWrap/>
            <w:vAlign w:val="center"/>
          </w:tcPr>
          <w:p w14:paraId="44786BB4" w14:textId="77777777" w:rsidR="006F259C" w:rsidRPr="009D65BE" w:rsidRDefault="000F5B51" w:rsidP="00343F45">
            <w:pPr>
              <w:spacing w:line="240" w:lineRule="auto"/>
              <w:jc w:val="center"/>
              <w:rPr>
                <w:rFonts w:eastAsia="Times New Roman" w:cs="Times New Roman"/>
                <w:color w:val="000000"/>
              </w:rPr>
            </w:pPr>
            <w:r>
              <w:rPr>
                <w:color w:val="000000"/>
                <w:sz w:val="22"/>
                <w:szCs w:val="22"/>
              </w:rPr>
              <w:t>0.6125</w:t>
            </w:r>
          </w:p>
        </w:tc>
        <w:tc>
          <w:tcPr>
            <w:tcW w:w="1777" w:type="dxa"/>
            <w:noWrap/>
          </w:tcPr>
          <w:p w14:paraId="5AC8BF91" w14:textId="77777777" w:rsidR="006F259C" w:rsidRPr="00325C3E" w:rsidRDefault="000F5B51" w:rsidP="00343F45">
            <w:pPr>
              <w:spacing w:line="240" w:lineRule="auto"/>
              <w:jc w:val="center"/>
              <w:rPr>
                <w:rFonts w:eastAsia="Times New Roman" w:cs="Times New Roman"/>
                <w:color w:val="000000"/>
              </w:rPr>
            </w:pPr>
            <w:r w:rsidRPr="00997AE5">
              <w:t>0.0000</w:t>
            </w:r>
          </w:p>
        </w:tc>
        <w:tc>
          <w:tcPr>
            <w:tcW w:w="1096" w:type="dxa"/>
            <w:noWrap/>
            <w:vAlign w:val="center"/>
            <w:hideMark/>
          </w:tcPr>
          <w:p w14:paraId="6269FC15"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5</w:t>
            </w:r>
          </w:p>
        </w:tc>
        <w:tc>
          <w:tcPr>
            <w:tcW w:w="1053" w:type="dxa"/>
            <w:noWrap/>
          </w:tcPr>
          <w:p w14:paraId="16F8ACBD" w14:textId="77777777" w:rsidR="006F259C" w:rsidRPr="009D65BE" w:rsidRDefault="000F5B51" w:rsidP="00343F45">
            <w:pPr>
              <w:spacing w:line="240" w:lineRule="auto"/>
              <w:jc w:val="center"/>
              <w:rPr>
                <w:rFonts w:eastAsia="Times New Roman" w:cs="Times New Roman"/>
                <w:color w:val="000000"/>
              </w:rPr>
            </w:pPr>
            <w:r w:rsidRPr="001A17BA">
              <w:t>0.00</w:t>
            </w:r>
          </w:p>
        </w:tc>
        <w:tc>
          <w:tcPr>
            <w:tcW w:w="1816" w:type="dxa"/>
            <w:noWrap/>
            <w:vAlign w:val="center"/>
          </w:tcPr>
          <w:p w14:paraId="5D0792D8" w14:textId="77777777" w:rsidR="006F259C" w:rsidRPr="009D65BE" w:rsidRDefault="000F5B51" w:rsidP="00343F45">
            <w:pPr>
              <w:spacing w:line="240" w:lineRule="auto"/>
              <w:jc w:val="center"/>
              <w:rPr>
                <w:rFonts w:eastAsia="Times New Roman" w:cs="Times New Roman"/>
                <w:color w:val="000000"/>
              </w:rPr>
            </w:pPr>
            <w:r>
              <w:rPr>
                <w:color w:val="000000"/>
                <w:sz w:val="22"/>
                <w:szCs w:val="22"/>
              </w:rPr>
              <w:t>0.6125</w:t>
            </w:r>
          </w:p>
        </w:tc>
        <w:tc>
          <w:tcPr>
            <w:tcW w:w="1777" w:type="dxa"/>
            <w:noWrap/>
          </w:tcPr>
          <w:p w14:paraId="06994D8D" w14:textId="77777777" w:rsidR="006F259C" w:rsidRPr="009D65BE" w:rsidRDefault="000F5B51" w:rsidP="00343F45">
            <w:pPr>
              <w:spacing w:line="240" w:lineRule="auto"/>
              <w:jc w:val="center"/>
              <w:rPr>
                <w:rFonts w:eastAsia="Times New Roman" w:cs="Times New Roman"/>
                <w:color w:val="000000"/>
              </w:rPr>
            </w:pPr>
            <w:r w:rsidRPr="0096130E">
              <w:t>0.0000</w:t>
            </w:r>
          </w:p>
        </w:tc>
      </w:tr>
      <w:tr w:rsidR="00A15C2C" w14:paraId="23D4E412" w14:textId="77777777" w:rsidTr="00343F45">
        <w:trPr>
          <w:trHeight w:val="290"/>
        </w:trPr>
        <w:tc>
          <w:tcPr>
            <w:tcW w:w="1096" w:type="dxa"/>
            <w:noWrap/>
            <w:vAlign w:val="center"/>
            <w:hideMark/>
          </w:tcPr>
          <w:p w14:paraId="4B50FB80"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Fatalities</w:t>
            </w:r>
          </w:p>
        </w:tc>
        <w:tc>
          <w:tcPr>
            <w:tcW w:w="1084" w:type="dxa"/>
            <w:noWrap/>
          </w:tcPr>
          <w:p w14:paraId="7CCD3D8E" w14:textId="77777777" w:rsidR="006F259C" w:rsidRPr="009D65BE" w:rsidRDefault="000F5B51" w:rsidP="00343F45">
            <w:pPr>
              <w:spacing w:line="240" w:lineRule="auto"/>
              <w:jc w:val="center"/>
              <w:rPr>
                <w:rFonts w:eastAsia="Times New Roman" w:cs="Times New Roman"/>
                <w:color w:val="000000"/>
              </w:rPr>
            </w:pPr>
            <w:r w:rsidRPr="00DD4ED3">
              <w:t>0.27</w:t>
            </w:r>
          </w:p>
        </w:tc>
        <w:tc>
          <w:tcPr>
            <w:tcW w:w="1816" w:type="dxa"/>
            <w:noWrap/>
            <w:vAlign w:val="center"/>
          </w:tcPr>
          <w:p w14:paraId="68BF6B8B" w14:textId="77777777" w:rsidR="006F259C" w:rsidRPr="009D65BE" w:rsidRDefault="000F5B51" w:rsidP="00343F45">
            <w:pPr>
              <w:spacing w:line="240" w:lineRule="auto"/>
              <w:jc w:val="center"/>
              <w:rPr>
                <w:rFonts w:eastAsia="Times New Roman" w:cs="Times New Roman"/>
                <w:color w:val="000000"/>
              </w:rPr>
            </w:pPr>
            <w:r>
              <w:rPr>
                <w:color w:val="000000"/>
                <w:sz w:val="22"/>
                <w:szCs w:val="22"/>
              </w:rPr>
              <w:t>1.0000</w:t>
            </w:r>
          </w:p>
        </w:tc>
        <w:tc>
          <w:tcPr>
            <w:tcW w:w="1777" w:type="dxa"/>
            <w:noWrap/>
          </w:tcPr>
          <w:p w14:paraId="128D902F" w14:textId="77777777" w:rsidR="006F259C" w:rsidRPr="00325C3E" w:rsidRDefault="000F5B51" w:rsidP="00343F45">
            <w:pPr>
              <w:spacing w:line="240" w:lineRule="auto"/>
              <w:jc w:val="center"/>
              <w:rPr>
                <w:rFonts w:eastAsia="Times New Roman" w:cs="Times New Roman"/>
                <w:color w:val="000000"/>
              </w:rPr>
            </w:pPr>
            <w:r w:rsidRPr="00997AE5">
              <w:t>0.2715</w:t>
            </w:r>
          </w:p>
        </w:tc>
        <w:tc>
          <w:tcPr>
            <w:tcW w:w="1096" w:type="dxa"/>
            <w:noWrap/>
            <w:vAlign w:val="center"/>
            <w:hideMark/>
          </w:tcPr>
          <w:p w14:paraId="5BE12900"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Fatalities</w:t>
            </w:r>
          </w:p>
        </w:tc>
        <w:tc>
          <w:tcPr>
            <w:tcW w:w="1053" w:type="dxa"/>
            <w:noWrap/>
          </w:tcPr>
          <w:p w14:paraId="67EEBB3E" w14:textId="77777777" w:rsidR="006F259C" w:rsidRPr="009D65BE" w:rsidRDefault="000F5B51" w:rsidP="00343F45">
            <w:pPr>
              <w:spacing w:line="240" w:lineRule="auto"/>
              <w:jc w:val="center"/>
              <w:rPr>
                <w:rFonts w:eastAsia="Times New Roman" w:cs="Times New Roman"/>
                <w:color w:val="000000"/>
              </w:rPr>
            </w:pPr>
            <w:r w:rsidRPr="001A17BA">
              <w:t>0.41</w:t>
            </w:r>
          </w:p>
        </w:tc>
        <w:tc>
          <w:tcPr>
            <w:tcW w:w="1816" w:type="dxa"/>
            <w:noWrap/>
            <w:vAlign w:val="center"/>
          </w:tcPr>
          <w:p w14:paraId="4C9215FC" w14:textId="77777777" w:rsidR="006F259C" w:rsidRPr="009D65BE" w:rsidRDefault="000F5B51" w:rsidP="00343F45">
            <w:pPr>
              <w:spacing w:line="240" w:lineRule="auto"/>
              <w:jc w:val="center"/>
              <w:rPr>
                <w:rFonts w:eastAsia="Times New Roman" w:cs="Times New Roman"/>
                <w:color w:val="000000"/>
              </w:rPr>
            </w:pPr>
            <w:r>
              <w:rPr>
                <w:color w:val="000000"/>
                <w:sz w:val="22"/>
                <w:szCs w:val="22"/>
              </w:rPr>
              <w:t>1.0000</w:t>
            </w:r>
          </w:p>
        </w:tc>
        <w:tc>
          <w:tcPr>
            <w:tcW w:w="1777" w:type="dxa"/>
            <w:noWrap/>
          </w:tcPr>
          <w:p w14:paraId="1B6243EF" w14:textId="77777777" w:rsidR="006F259C" w:rsidRPr="009D65BE" w:rsidRDefault="000F5B51" w:rsidP="00343F45">
            <w:pPr>
              <w:spacing w:line="240" w:lineRule="auto"/>
              <w:jc w:val="center"/>
              <w:rPr>
                <w:rFonts w:eastAsia="Times New Roman" w:cs="Times New Roman"/>
                <w:color w:val="000000"/>
              </w:rPr>
            </w:pPr>
            <w:r w:rsidRPr="0096130E">
              <w:t>0.4073</w:t>
            </w:r>
          </w:p>
        </w:tc>
      </w:tr>
      <w:tr w:rsidR="00A15C2C" w14:paraId="7DC694E5" w14:textId="77777777" w:rsidTr="00343F45">
        <w:trPr>
          <w:trHeight w:val="290"/>
        </w:trPr>
        <w:tc>
          <w:tcPr>
            <w:tcW w:w="1096" w:type="dxa"/>
            <w:noWrap/>
            <w:vAlign w:val="center"/>
            <w:hideMark/>
          </w:tcPr>
          <w:p w14:paraId="393E3B84" w14:textId="77777777" w:rsidR="006F259C" w:rsidRPr="00726BAF" w:rsidRDefault="000F5B51" w:rsidP="00343F45">
            <w:pPr>
              <w:spacing w:line="240" w:lineRule="auto"/>
              <w:rPr>
                <w:rFonts w:eastAsia="Times New Roman" w:cs="Times New Roman"/>
                <w:b/>
                <w:bCs/>
                <w:color w:val="000000"/>
              </w:rPr>
            </w:pPr>
            <w:r w:rsidRPr="00726BAF">
              <w:rPr>
                <w:rFonts w:eastAsia="Times New Roman" w:cs="Times New Roman"/>
                <w:b/>
                <w:bCs/>
                <w:color w:val="000000"/>
              </w:rPr>
              <w:t>Total</w:t>
            </w:r>
          </w:p>
        </w:tc>
        <w:tc>
          <w:tcPr>
            <w:tcW w:w="1084" w:type="dxa"/>
            <w:noWrap/>
            <w:vAlign w:val="center"/>
            <w:hideMark/>
          </w:tcPr>
          <w:p w14:paraId="237DFA8A" w14:textId="77777777" w:rsidR="006F259C" w:rsidRPr="00726BAF" w:rsidRDefault="006F259C" w:rsidP="00343F45">
            <w:pPr>
              <w:spacing w:line="240" w:lineRule="auto"/>
              <w:jc w:val="center"/>
              <w:rPr>
                <w:rFonts w:eastAsia="Times New Roman" w:cs="Times New Roman"/>
                <w:b/>
                <w:bCs/>
                <w:color w:val="000000"/>
              </w:rPr>
            </w:pPr>
          </w:p>
        </w:tc>
        <w:tc>
          <w:tcPr>
            <w:tcW w:w="1816" w:type="dxa"/>
            <w:noWrap/>
            <w:vAlign w:val="center"/>
          </w:tcPr>
          <w:p w14:paraId="330153D4" w14:textId="77777777" w:rsidR="006F259C" w:rsidRPr="00726BAF" w:rsidRDefault="006F259C" w:rsidP="00343F45">
            <w:pPr>
              <w:spacing w:line="240" w:lineRule="auto"/>
              <w:jc w:val="center"/>
              <w:rPr>
                <w:rFonts w:eastAsia="Times New Roman" w:cs="Times New Roman"/>
                <w:b/>
                <w:bCs/>
              </w:rPr>
            </w:pPr>
          </w:p>
        </w:tc>
        <w:tc>
          <w:tcPr>
            <w:tcW w:w="1777" w:type="dxa"/>
            <w:noWrap/>
          </w:tcPr>
          <w:p w14:paraId="54F9C1BC" w14:textId="77777777" w:rsidR="006F259C" w:rsidRPr="00726BAF" w:rsidRDefault="000F5B51" w:rsidP="00343F45">
            <w:pPr>
              <w:spacing w:line="240" w:lineRule="auto"/>
              <w:jc w:val="center"/>
              <w:rPr>
                <w:rFonts w:cs="Times New Roman"/>
                <w:b/>
                <w:bCs/>
                <w:color w:val="000000"/>
              </w:rPr>
            </w:pPr>
            <w:r w:rsidRPr="00CC4686">
              <w:rPr>
                <w:b/>
                <w:bCs/>
              </w:rPr>
              <w:t>0.3060</w:t>
            </w:r>
          </w:p>
        </w:tc>
        <w:tc>
          <w:tcPr>
            <w:tcW w:w="1096" w:type="dxa"/>
            <w:noWrap/>
            <w:vAlign w:val="center"/>
            <w:hideMark/>
          </w:tcPr>
          <w:p w14:paraId="0C8A1B59" w14:textId="77777777" w:rsidR="006F259C" w:rsidRPr="00726BAF" w:rsidRDefault="000F5B51" w:rsidP="00343F45">
            <w:pPr>
              <w:spacing w:line="240" w:lineRule="auto"/>
              <w:rPr>
                <w:rFonts w:eastAsia="Times New Roman" w:cs="Times New Roman"/>
                <w:b/>
                <w:bCs/>
                <w:color w:val="000000"/>
              </w:rPr>
            </w:pPr>
            <w:r w:rsidRPr="00726BAF">
              <w:rPr>
                <w:rFonts w:eastAsia="Times New Roman" w:cs="Times New Roman"/>
                <w:b/>
                <w:bCs/>
                <w:color w:val="000000"/>
              </w:rPr>
              <w:t>Total</w:t>
            </w:r>
          </w:p>
        </w:tc>
        <w:tc>
          <w:tcPr>
            <w:tcW w:w="1053" w:type="dxa"/>
            <w:noWrap/>
            <w:vAlign w:val="center"/>
            <w:hideMark/>
          </w:tcPr>
          <w:p w14:paraId="2947D4D7" w14:textId="77777777" w:rsidR="006F259C" w:rsidRPr="00726BAF" w:rsidRDefault="006F259C" w:rsidP="00343F45">
            <w:pPr>
              <w:spacing w:line="240" w:lineRule="auto"/>
              <w:jc w:val="center"/>
              <w:rPr>
                <w:rFonts w:eastAsia="Times New Roman" w:cs="Times New Roman"/>
                <w:b/>
                <w:bCs/>
                <w:color w:val="000000"/>
              </w:rPr>
            </w:pPr>
          </w:p>
        </w:tc>
        <w:tc>
          <w:tcPr>
            <w:tcW w:w="1816" w:type="dxa"/>
            <w:noWrap/>
            <w:vAlign w:val="center"/>
          </w:tcPr>
          <w:p w14:paraId="43BCF5BA" w14:textId="77777777" w:rsidR="006F259C" w:rsidRPr="00726BAF" w:rsidRDefault="006F259C" w:rsidP="00343F45">
            <w:pPr>
              <w:spacing w:line="240" w:lineRule="auto"/>
              <w:jc w:val="center"/>
              <w:rPr>
                <w:rFonts w:eastAsia="Times New Roman" w:cs="Times New Roman"/>
                <w:b/>
                <w:bCs/>
              </w:rPr>
            </w:pPr>
          </w:p>
        </w:tc>
        <w:tc>
          <w:tcPr>
            <w:tcW w:w="1777" w:type="dxa"/>
            <w:noWrap/>
          </w:tcPr>
          <w:p w14:paraId="432BAE32" w14:textId="77777777" w:rsidR="006F259C" w:rsidRPr="00726BAF" w:rsidRDefault="000F5B51" w:rsidP="00343F45">
            <w:pPr>
              <w:spacing w:line="240" w:lineRule="auto"/>
              <w:jc w:val="center"/>
              <w:rPr>
                <w:rFonts w:eastAsia="Times New Roman" w:cs="Times New Roman"/>
                <w:b/>
                <w:bCs/>
                <w:color w:val="000000"/>
              </w:rPr>
            </w:pPr>
            <w:r w:rsidRPr="00CC4686">
              <w:rPr>
                <w:b/>
                <w:bCs/>
              </w:rPr>
              <w:t>0.4579</w:t>
            </w:r>
          </w:p>
        </w:tc>
      </w:tr>
    </w:tbl>
    <w:p w14:paraId="464B0223" w14:textId="77777777" w:rsidR="006F259C" w:rsidRDefault="000F5B51" w:rsidP="006F259C">
      <w:pPr>
        <w:rPr>
          <w:rFonts w:ascii="Calibri" w:eastAsia="Times New Roman" w:hAnsi="Calibri" w:cs="Calibri"/>
          <w:color w:val="000000"/>
          <w:sz w:val="22"/>
        </w:rPr>
      </w:pPr>
      <w:r w:rsidRPr="00572735">
        <w:rPr>
          <w:sz w:val="18"/>
          <w:szCs w:val="16"/>
        </w:rPr>
        <w:t>Note: Values may not sum due to rounding.</w:t>
      </w:r>
    </w:p>
    <w:p w14:paraId="469DD6C0" w14:textId="77777777" w:rsidR="006F259C" w:rsidRDefault="006F259C" w:rsidP="006F259C"/>
    <w:p w14:paraId="30445C04" w14:textId="77777777" w:rsidR="006F259C" w:rsidRPr="003E1D1B" w:rsidRDefault="006F259C" w:rsidP="006F259C"/>
    <w:p w14:paraId="498ADE3E" w14:textId="7385F147" w:rsidR="006F259C" w:rsidRPr="00D01142" w:rsidRDefault="000F5B51" w:rsidP="006F259C">
      <w:pPr>
        <w:pStyle w:val="Caption"/>
      </w:pPr>
      <w:r>
        <w:lastRenderedPageBreak/>
        <w:t xml:space="preserve">Table </w:t>
      </w:r>
      <w:r w:rsidR="00115BAB">
        <w:fldChar w:fldCharType="begin"/>
      </w:r>
      <w:r>
        <w:instrText xml:space="preserve"> SEQ Table \* ARABIC </w:instrText>
      </w:r>
      <w:r w:rsidR="00115BAB">
        <w:fldChar w:fldCharType="separate"/>
      </w:r>
      <w:r w:rsidR="00A65CB3">
        <w:rPr>
          <w:noProof/>
        </w:rPr>
        <w:t>148</w:t>
      </w:r>
      <w:r w:rsidR="00115BAB">
        <w:rPr>
          <w:noProof/>
        </w:rPr>
        <w:fldChar w:fldCharType="end"/>
      </w:r>
      <w:r>
        <w:t xml:space="preserve">: </w:t>
      </w:r>
      <w:r w:rsidRPr="0031671A">
        <w:t>Calculation of Monetized Benefits Discounted at 3% for Rear Seat Occupants 11</w:t>
      </w:r>
      <w:r>
        <w:t xml:space="preserve"> Years and Older</w:t>
      </w:r>
    </w:p>
    <w:tbl>
      <w:tblPr>
        <w:tblStyle w:val="TableGrid3"/>
        <w:tblW w:w="11515" w:type="dxa"/>
        <w:tblLook w:val="04A0" w:firstRow="1" w:lastRow="0" w:firstColumn="1" w:lastColumn="0" w:noHBand="0" w:noVBand="1"/>
      </w:tblPr>
      <w:tblGrid>
        <w:gridCol w:w="1096"/>
        <w:gridCol w:w="1084"/>
        <w:gridCol w:w="1816"/>
        <w:gridCol w:w="1777"/>
        <w:gridCol w:w="1096"/>
        <w:gridCol w:w="1053"/>
        <w:gridCol w:w="1816"/>
        <w:gridCol w:w="1777"/>
      </w:tblGrid>
      <w:tr w:rsidR="00A15C2C" w14:paraId="540A75CB" w14:textId="77777777" w:rsidTr="00343F45">
        <w:trPr>
          <w:trHeight w:val="290"/>
        </w:trPr>
        <w:tc>
          <w:tcPr>
            <w:tcW w:w="1096" w:type="dxa"/>
            <w:shd w:val="clear" w:color="auto" w:fill="D9D9D9" w:themeFill="background1" w:themeFillShade="D9"/>
            <w:noWrap/>
            <w:vAlign w:val="center"/>
            <w:hideMark/>
          </w:tcPr>
          <w:p w14:paraId="6F7CD3BA" w14:textId="77777777" w:rsidR="006F259C" w:rsidRPr="00CC4686" w:rsidRDefault="000F5B51" w:rsidP="00343F45">
            <w:pPr>
              <w:spacing w:line="240" w:lineRule="auto"/>
              <w:rPr>
                <w:rFonts w:eastAsia="Times New Roman" w:cs="Times New Roman"/>
                <w:b/>
                <w:bCs/>
                <w:color w:val="000000"/>
              </w:rPr>
            </w:pPr>
            <w:r w:rsidRPr="00CC4686">
              <w:rPr>
                <w:rFonts w:eastAsia="Times New Roman" w:cs="Times New Roman"/>
                <w:b/>
                <w:bCs/>
                <w:color w:val="000000"/>
              </w:rPr>
              <w:t>Injury Severity</w:t>
            </w:r>
          </w:p>
        </w:tc>
        <w:tc>
          <w:tcPr>
            <w:tcW w:w="1084" w:type="dxa"/>
            <w:shd w:val="clear" w:color="auto" w:fill="D9D9D9" w:themeFill="background1" w:themeFillShade="D9"/>
            <w:noWrap/>
            <w:vAlign w:val="center"/>
            <w:hideMark/>
          </w:tcPr>
          <w:p w14:paraId="22D3734B" w14:textId="77777777" w:rsidR="006F259C" w:rsidRPr="00CC4686" w:rsidRDefault="000F5B51" w:rsidP="00343F45">
            <w:pPr>
              <w:spacing w:line="240" w:lineRule="auto"/>
              <w:jc w:val="center"/>
              <w:rPr>
                <w:rFonts w:eastAsia="Times New Roman" w:cs="Times New Roman"/>
                <w:b/>
                <w:bCs/>
                <w:color w:val="000000"/>
              </w:rPr>
            </w:pPr>
            <w:r w:rsidRPr="00CC4686">
              <w:rPr>
                <w:rFonts w:eastAsia="Times New Roman" w:cs="Times New Roman"/>
                <w:b/>
                <w:bCs/>
                <w:color w:val="000000"/>
              </w:rPr>
              <w:t>Lo</w:t>
            </w:r>
          </w:p>
        </w:tc>
        <w:tc>
          <w:tcPr>
            <w:tcW w:w="1816" w:type="dxa"/>
            <w:shd w:val="clear" w:color="auto" w:fill="D9D9D9" w:themeFill="background1" w:themeFillShade="D9"/>
            <w:noWrap/>
            <w:vAlign w:val="center"/>
            <w:hideMark/>
          </w:tcPr>
          <w:p w14:paraId="24FACD4E" w14:textId="77777777" w:rsidR="006F259C" w:rsidRPr="00CC4686" w:rsidRDefault="000F5B51" w:rsidP="00343F45">
            <w:pPr>
              <w:spacing w:line="240" w:lineRule="auto"/>
              <w:jc w:val="center"/>
              <w:rPr>
                <w:rFonts w:eastAsia="Times New Roman" w:cs="Times New Roman"/>
                <w:b/>
                <w:bCs/>
              </w:rPr>
            </w:pPr>
            <w:r w:rsidRPr="00CC4686">
              <w:rPr>
                <w:rFonts w:eastAsia="Times New Roman" w:cs="Times New Roman"/>
                <w:b/>
                <w:szCs w:val="22"/>
              </w:rPr>
              <w:t>Comprehensive Unit Costs</w:t>
            </w:r>
          </w:p>
        </w:tc>
        <w:tc>
          <w:tcPr>
            <w:tcW w:w="1777" w:type="dxa"/>
            <w:shd w:val="clear" w:color="auto" w:fill="D9D9D9" w:themeFill="background1" w:themeFillShade="D9"/>
            <w:noWrap/>
            <w:vAlign w:val="center"/>
            <w:hideMark/>
          </w:tcPr>
          <w:p w14:paraId="44A2E0A2" w14:textId="77777777" w:rsidR="006F259C" w:rsidRPr="00CC4686" w:rsidRDefault="000F5B51" w:rsidP="00343F45">
            <w:pPr>
              <w:spacing w:line="240" w:lineRule="auto"/>
              <w:jc w:val="center"/>
              <w:rPr>
                <w:rFonts w:eastAsia="Times New Roman" w:cs="Times New Roman"/>
                <w:b/>
                <w:bCs/>
                <w:color w:val="000000"/>
              </w:rPr>
            </w:pPr>
            <w:r w:rsidRPr="00CC4686">
              <w:rPr>
                <w:rFonts w:eastAsia="Times New Roman" w:cs="Times New Roman"/>
                <w:b/>
                <w:bCs/>
                <w:color w:val="000000"/>
              </w:rPr>
              <w:t>Monetized Benefits</w:t>
            </w:r>
          </w:p>
        </w:tc>
        <w:tc>
          <w:tcPr>
            <w:tcW w:w="1096" w:type="dxa"/>
            <w:shd w:val="clear" w:color="auto" w:fill="D9D9D9" w:themeFill="background1" w:themeFillShade="D9"/>
            <w:noWrap/>
            <w:vAlign w:val="center"/>
            <w:hideMark/>
          </w:tcPr>
          <w:p w14:paraId="379082A4" w14:textId="77777777" w:rsidR="006F259C" w:rsidRPr="00CC4686" w:rsidRDefault="000F5B51" w:rsidP="00343F45">
            <w:pPr>
              <w:spacing w:line="240" w:lineRule="auto"/>
              <w:rPr>
                <w:rFonts w:eastAsia="Times New Roman" w:cs="Times New Roman"/>
                <w:b/>
                <w:bCs/>
                <w:color w:val="000000"/>
              </w:rPr>
            </w:pPr>
            <w:r w:rsidRPr="00CC4686">
              <w:rPr>
                <w:rFonts w:eastAsia="Times New Roman" w:cs="Times New Roman"/>
                <w:b/>
                <w:bCs/>
                <w:color w:val="000000"/>
              </w:rPr>
              <w:t>Injury Severity</w:t>
            </w:r>
          </w:p>
        </w:tc>
        <w:tc>
          <w:tcPr>
            <w:tcW w:w="1053" w:type="dxa"/>
            <w:shd w:val="clear" w:color="auto" w:fill="D9D9D9" w:themeFill="background1" w:themeFillShade="D9"/>
            <w:noWrap/>
            <w:vAlign w:val="center"/>
            <w:hideMark/>
          </w:tcPr>
          <w:p w14:paraId="3DF0949C" w14:textId="77777777" w:rsidR="006F259C" w:rsidRPr="00CC4686" w:rsidRDefault="000F5B51" w:rsidP="00343F45">
            <w:pPr>
              <w:spacing w:line="240" w:lineRule="auto"/>
              <w:jc w:val="center"/>
              <w:rPr>
                <w:rFonts w:eastAsia="Times New Roman" w:cs="Times New Roman"/>
                <w:b/>
                <w:bCs/>
                <w:color w:val="000000"/>
              </w:rPr>
            </w:pPr>
            <w:r w:rsidRPr="00CC4686">
              <w:rPr>
                <w:rFonts w:eastAsia="Times New Roman" w:cs="Times New Roman"/>
                <w:b/>
                <w:bCs/>
                <w:color w:val="000000"/>
              </w:rPr>
              <w:t>Hi</w:t>
            </w:r>
          </w:p>
        </w:tc>
        <w:tc>
          <w:tcPr>
            <w:tcW w:w="1816" w:type="dxa"/>
            <w:shd w:val="clear" w:color="auto" w:fill="D9D9D9" w:themeFill="background1" w:themeFillShade="D9"/>
            <w:noWrap/>
            <w:vAlign w:val="center"/>
            <w:hideMark/>
          </w:tcPr>
          <w:p w14:paraId="51820601" w14:textId="77777777" w:rsidR="006F259C" w:rsidRPr="00CC4686" w:rsidRDefault="000F5B51" w:rsidP="00343F45">
            <w:pPr>
              <w:spacing w:line="240" w:lineRule="auto"/>
              <w:jc w:val="center"/>
              <w:rPr>
                <w:rFonts w:eastAsia="Times New Roman" w:cs="Times New Roman"/>
                <w:b/>
                <w:bCs/>
              </w:rPr>
            </w:pPr>
            <w:r w:rsidRPr="00CC4686">
              <w:rPr>
                <w:rFonts w:eastAsia="Times New Roman" w:cs="Times New Roman"/>
                <w:b/>
                <w:szCs w:val="22"/>
              </w:rPr>
              <w:t>Comprehensive Unit Costs</w:t>
            </w:r>
          </w:p>
        </w:tc>
        <w:tc>
          <w:tcPr>
            <w:tcW w:w="1777" w:type="dxa"/>
            <w:shd w:val="clear" w:color="auto" w:fill="D9D9D9" w:themeFill="background1" w:themeFillShade="D9"/>
            <w:noWrap/>
            <w:vAlign w:val="center"/>
            <w:hideMark/>
          </w:tcPr>
          <w:p w14:paraId="042D2C55" w14:textId="77777777" w:rsidR="006F259C" w:rsidRPr="00CC4686" w:rsidRDefault="000F5B51" w:rsidP="00343F45">
            <w:pPr>
              <w:spacing w:line="240" w:lineRule="auto"/>
              <w:jc w:val="center"/>
              <w:rPr>
                <w:rFonts w:eastAsia="Times New Roman" w:cs="Times New Roman"/>
                <w:b/>
                <w:bCs/>
                <w:color w:val="000000"/>
              </w:rPr>
            </w:pPr>
            <w:r w:rsidRPr="00CC4686">
              <w:rPr>
                <w:rFonts w:eastAsia="Times New Roman" w:cs="Times New Roman"/>
                <w:b/>
                <w:bCs/>
                <w:color w:val="000000"/>
              </w:rPr>
              <w:t>Monetized Benefits</w:t>
            </w:r>
          </w:p>
        </w:tc>
      </w:tr>
      <w:tr w:rsidR="00A15C2C" w14:paraId="3CE2E903" w14:textId="77777777" w:rsidTr="00343F45">
        <w:trPr>
          <w:trHeight w:val="290"/>
        </w:trPr>
        <w:tc>
          <w:tcPr>
            <w:tcW w:w="1096" w:type="dxa"/>
            <w:noWrap/>
            <w:vAlign w:val="center"/>
            <w:hideMark/>
          </w:tcPr>
          <w:p w14:paraId="3055E070" w14:textId="77777777" w:rsidR="006F259C" w:rsidRPr="00CC4686" w:rsidRDefault="000F5B51" w:rsidP="00343F45">
            <w:pPr>
              <w:spacing w:line="240" w:lineRule="auto"/>
              <w:rPr>
                <w:rFonts w:eastAsia="Times New Roman" w:cs="Times New Roman"/>
                <w:color w:val="000000"/>
              </w:rPr>
            </w:pPr>
            <w:r w:rsidRPr="00CC4686">
              <w:rPr>
                <w:rFonts w:eastAsia="Times New Roman" w:cs="Times New Roman"/>
                <w:color w:val="000000"/>
              </w:rPr>
              <w:t>MAIS 1</w:t>
            </w:r>
          </w:p>
        </w:tc>
        <w:tc>
          <w:tcPr>
            <w:tcW w:w="1084" w:type="dxa"/>
            <w:noWrap/>
          </w:tcPr>
          <w:p w14:paraId="698FED8B" w14:textId="77777777" w:rsidR="006F259C" w:rsidRPr="00CC4686" w:rsidRDefault="000F5B51" w:rsidP="00343F45">
            <w:pPr>
              <w:spacing w:line="240" w:lineRule="auto"/>
              <w:jc w:val="center"/>
              <w:rPr>
                <w:rFonts w:eastAsia="Times New Roman" w:cs="Times New Roman"/>
                <w:color w:val="000000"/>
              </w:rPr>
            </w:pPr>
            <w:r w:rsidRPr="00413B7C">
              <w:t>17.99</w:t>
            </w:r>
          </w:p>
        </w:tc>
        <w:tc>
          <w:tcPr>
            <w:tcW w:w="1816" w:type="dxa"/>
            <w:noWrap/>
            <w:vAlign w:val="center"/>
            <w:hideMark/>
          </w:tcPr>
          <w:p w14:paraId="5198EAED" w14:textId="77777777" w:rsidR="006F259C" w:rsidRPr="00CC4686" w:rsidRDefault="000F5B51" w:rsidP="00343F45">
            <w:pPr>
              <w:spacing w:line="240" w:lineRule="auto"/>
              <w:jc w:val="center"/>
              <w:rPr>
                <w:rFonts w:eastAsia="Times New Roman" w:cs="Times New Roman"/>
                <w:color w:val="000000"/>
              </w:rPr>
            </w:pPr>
            <w:r w:rsidRPr="00CC4686">
              <w:rPr>
                <w:rFonts w:eastAsia="Times New Roman" w:cs="Times New Roman"/>
                <w:color w:val="000000"/>
              </w:rPr>
              <w:t>$56,035</w:t>
            </w:r>
          </w:p>
        </w:tc>
        <w:tc>
          <w:tcPr>
            <w:tcW w:w="1777" w:type="dxa"/>
            <w:noWrap/>
            <w:vAlign w:val="center"/>
            <w:hideMark/>
          </w:tcPr>
          <w:p w14:paraId="7279627B" w14:textId="77777777" w:rsidR="006F259C" w:rsidRPr="00CC4686" w:rsidRDefault="000F5B51" w:rsidP="00343F45">
            <w:pPr>
              <w:spacing w:line="240" w:lineRule="auto"/>
              <w:jc w:val="center"/>
              <w:rPr>
                <w:rFonts w:eastAsia="Times New Roman" w:cs="Times New Roman"/>
                <w:color w:val="000000"/>
              </w:rPr>
            </w:pPr>
            <w:r w:rsidRPr="00CC4686">
              <w:rPr>
                <w:rFonts w:eastAsia="Times New Roman" w:cs="Times New Roman"/>
                <w:color w:val="000000"/>
              </w:rPr>
              <w:t>$1,007,844</w:t>
            </w:r>
          </w:p>
        </w:tc>
        <w:tc>
          <w:tcPr>
            <w:tcW w:w="1096" w:type="dxa"/>
            <w:noWrap/>
            <w:vAlign w:val="center"/>
            <w:hideMark/>
          </w:tcPr>
          <w:p w14:paraId="35C40777" w14:textId="77777777" w:rsidR="006F259C" w:rsidRPr="00CC4686" w:rsidRDefault="000F5B51" w:rsidP="00343F45">
            <w:pPr>
              <w:spacing w:line="240" w:lineRule="auto"/>
              <w:rPr>
                <w:rFonts w:eastAsia="Times New Roman" w:cs="Times New Roman"/>
                <w:color w:val="000000"/>
              </w:rPr>
            </w:pPr>
            <w:r w:rsidRPr="00CC4686">
              <w:rPr>
                <w:rFonts w:eastAsia="Times New Roman" w:cs="Times New Roman"/>
                <w:color w:val="000000"/>
              </w:rPr>
              <w:t>MAIS 1</w:t>
            </w:r>
          </w:p>
        </w:tc>
        <w:tc>
          <w:tcPr>
            <w:tcW w:w="1053" w:type="dxa"/>
            <w:noWrap/>
          </w:tcPr>
          <w:p w14:paraId="3C5F2098" w14:textId="77777777" w:rsidR="006F259C" w:rsidRPr="00CC4686" w:rsidRDefault="000F5B51" w:rsidP="00343F45">
            <w:pPr>
              <w:spacing w:line="240" w:lineRule="auto"/>
              <w:jc w:val="center"/>
              <w:rPr>
                <w:rFonts w:eastAsia="Times New Roman" w:cs="Times New Roman"/>
                <w:color w:val="000000"/>
              </w:rPr>
            </w:pPr>
            <w:r w:rsidRPr="004D4E26">
              <w:t>27.03</w:t>
            </w:r>
          </w:p>
        </w:tc>
        <w:tc>
          <w:tcPr>
            <w:tcW w:w="1816" w:type="dxa"/>
            <w:noWrap/>
            <w:vAlign w:val="center"/>
            <w:hideMark/>
          </w:tcPr>
          <w:p w14:paraId="2872422F" w14:textId="77777777" w:rsidR="006F259C" w:rsidRPr="00CC4686" w:rsidRDefault="000F5B51" w:rsidP="00343F45">
            <w:pPr>
              <w:spacing w:line="240" w:lineRule="auto"/>
              <w:jc w:val="center"/>
              <w:rPr>
                <w:rFonts w:eastAsia="Times New Roman" w:cs="Times New Roman"/>
                <w:color w:val="000000"/>
              </w:rPr>
            </w:pPr>
            <w:r w:rsidRPr="00CC4686">
              <w:rPr>
                <w:rFonts w:eastAsia="Times New Roman" w:cs="Times New Roman"/>
                <w:color w:val="000000"/>
              </w:rPr>
              <w:t>$56,035</w:t>
            </w:r>
          </w:p>
        </w:tc>
        <w:tc>
          <w:tcPr>
            <w:tcW w:w="1777" w:type="dxa"/>
            <w:noWrap/>
            <w:vAlign w:val="center"/>
            <w:hideMark/>
          </w:tcPr>
          <w:p w14:paraId="4261CC2E" w14:textId="77777777" w:rsidR="006F259C" w:rsidRPr="00CC4686" w:rsidRDefault="000F5B51" w:rsidP="00343F45">
            <w:pPr>
              <w:spacing w:line="240" w:lineRule="auto"/>
              <w:jc w:val="center"/>
              <w:rPr>
                <w:rFonts w:eastAsia="Times New Roman" w:cs="Times New Roman"/>
                <w:color w:val="000000"/>
              </w:rPr>
            </w:pPr>
            <w:r w:rsidRPr="00CC4686">
              <w:rPr>
                <w:rFonts w:eastAsia="Times New Roman" w:cs="Times New Roman"/>
                <w:color w:val="000000"/>
              </w:rPr>
              <w:t>$1,514,551</w:t>
            </w:r>
          </w:p>
        </w:tc>
      </w:tr>
      <w:tr w:rsidR="00A15C2C" w14:paraId="59773B7B" w14:textId="77777777" w:rsidTr="00343F45">
        <w:trPr>
          <w:trHeight w:val="290"/>
        </w:trPr>
        <w:tc>
          <w:tcPr>
            <w:tcW w:w="1096" w:type="dxa"/>
            <w:noWrap/>
            <w:vAlign w:val="center"/>
            <w:hideMark/>
          </w:tcPr>
          <w:p w14:paraId="6811EBEF" w14:textId="77777777" w:rsidR="006F259C" w:rsidRPr="00CC4686" w:rsidRDefault="000F5B51" w:rsidP="00343F45">
            <w:pPr>
              <w:spacing w:line="240" w:lineRule="auto"/>
              <w:rPr>
                <w:rFonts w:eastAsia="Times New Roman" w:cs="Times New Roman"/>
                <w:color w:val="000000"/>
              </w:rPr>
            </w:pPr>
            <w:r w:rsidRPr="00CC4686">
              <w:rPr>
                <w:rFonts w:eastAsia="Times New Roman" w:cs="Times New Roman"/>
                <w:color w:val="000000"/>
              </w:rPr>
              <w:t>MAIS 2</w:t>
            </w:r>
          </w:p>
        </w:tc>
        <w:tc>
          <w:tcPr>
            <w:tcW w:w="1084" w:type="dxa"/>
            <w:noWrap/>
          </w:tcPr>
          <w:p w14:paraId="1295137B" w14:textId="77777777" w:rsidR="006F259C" w:rsidRPr="00CC4686" w:rsidRDefault="000F5B51" w:rsidP="00343F45">
            <w:pPr>
              <w:spacing w:line="240" w:lineRule="auto"/>
              <w:jc w:val="center"/>
              <w:rPr>
                <w:rFonts w:eastAsia="Times New Roman" w:cs="Times New Roman"/>
                <w:color w:val="000000"/>
              </w:rPr>
            </w:pPr>
            <w:r w:rsidRPr="00413B7C">
              <w:t>32.93</w:t>
            </w:r>
          </w:p>
        </w:tc>
        <w:tc>
          <w:tcPr>
            <w:tcW w:w="1816" w:type="dxa"/>
            <w:noWrap/>
            <w:vAlign w:val="center"/>
            <w:hideMark/>
          </w:tcPr>
          <w:p w14:paraId="7C191F7C" w14:textId="77777777" w:rsidR="006F259C" w:rsidRPr="00CC4686" w:rsidRDefault="000F5B51" w:rsidP="00343F45">
            <w:pPr>
              <w:spacing w:line="240" w:lineRule="auto"/>
              <w:jc w:val="center"/>
              <w:rPr>
                <w:rFonts w:eastAsia="Times New Roman" w:cs="Times New Roman"/>
                <w:color w:val="000000"/>
              </w:rPr>
            </w:pPr>
            <w:r w:rsidRPr="00CC4686">
              <w:rPr>
                <w:rFonts w:eastAsia="Times New Roman" w:cs="Times New Roman"/>
                <w:color w:val="000000"/>
              </w:rPr>
              <w:t>$553,146</w:t>
            </w:r>
          </w:p>
        </w:tc>
        <w:tc>
          <w:tcPr>
            <w:tcW w:w="1777" w:type="dxa"/>
            <w:noWrap/>
            <w:vAlign w:val="center"/>
            <w:hideMark/>
          </w:tcPr>
          <w:p w14:paraId="6AD9D506" w14:textId="77777777" w:rsidR="006F259C" w:rsidRPr="00CC4686" w:rsidRDefault="000F5B51" w:rsidP="00343F45">
            <w:pPr>
              <w:spacing w:line="240" w:lineRule="auto"/>
              <w:jc w:val="center"/>
              <w:rPr>
                <w:rFonts w:eastAsia="Times New Roman" w:cs="Times New Roman"/>
                <w:color w:val="000000"/>
              </w:rPr>
            </w:pPr>
            <w:r w:rsidRPr="00CC4686">
              <w:rPr>
                <w:rFonts w:eastAsia="Times New Roman" w:cs="Times New Roman"/>
                <w:color w:val="000000"/>
              </w:rPr>
              <w:t>$18,215,634</w:t>
            </w:r>
          </w:p>
        </w:tc>
        <w:tc>
          <w:tcPr>
            <w:tcW w:w="1096" w:type="dxa"/>
            <w:noWrap/>
            <w:vAlign w:val="center"/>
            <w:hideMark/>
          </w:tcPr>
          <w:p w14:paraId="41CE467C" w14:textId="77777777" w:rsidR="006F259C" w:rsidRPr="00CC4686" w:rsidRDefault="000F5B51" w:rsidP="00343F45">
            <w:pPr>
              <w:spacing w:line="240" w:lineRule="auto"/>
              <w:rPr>
                <w:rFonts w:eastAsia="Times New Roman" w:cs="Times New Roman"/>
                <w:color w:val="000000"/>
              </w:rPr>
            </w:pPr>
            <w:r w:rsidRPr="00CC4686">
              <w:rPr>
                <w:rFonts w:eastAsia="Times New Roman" w:cs="Times New Roman"/>
                <w:color w:val="000000"/>
              </w:rPr>
              <w:t>MAIS 2</w:t>
            </w:r>
          </w:p>
        </w:tc>
        <w:tc>
          <w:tcPr>
            <w:tcW w:w="1053" w:type="dxa"/>
            <w:noWrap/>
          </w:tcPr>
          <w:p w14:paraId="2172CDE7" w14:textId="77777777" w:rsidR="006F259C" w:rsidRPr="00CC4686" w:rsidRDefault="000F5B51" w:rsidP="00343F45">
            <w:pPr>
              <w:spacing w:line="240" w:lineRule="auto"/>
              <w:jc w:val="center"/>
              <w:rPr>
                <w:rFonts w:eastAsia="Times New Roman" w:cs="Times New Roman"/>
                <w:color w:val="000000"/>
              </w:rPr>
            </w:pPr>
            <w:r w:rsidRPr="004D4E26">
              <w:t>49.49</w:t>
            </w:r>
          </w:p>
        </w:tc>
        <w:tc>
          <w:tcPr>
            <w:tcW w:w="1816" w:type="dxa"/>
            <w:noWrap/>
            <w:vAlign w:val="center"/>
            <w:hideMark/>
          </w:tcPr>
          <w:p w14:paraId="4C51DC00" w14:textId="77777777" w:rsidR="006F259C" w:rsidRPr="00CC4686" w:rsidRDefault="000F5B51" w:rsidP="00343F45">
            <w:pPr>
              <w:spacing w:line="240" w:lineRule="auto"/>
              <w:jc w:val="center"/>
              <w:rPr>
                <w:rFonts w:eastAsia="Times New Roman" w:cs="Times New Roman"/>
                <w:color w:val="000000"/>
              </w:rPr>
            </w:pPr>
            <w:r w:rsidRPr="00CC4686">
              <w:rPr>
                <w:rFonts w:eastAsia="Times New Roman" w:cs="Times New Roman"/>
                <w:color w:val="000000"/>
              </w:rPr>
              <w:t>$553,146</w:t>
            </w:r>
          </w:p>
        </w:tc>
        <w:tc>
          <w:tcPr>
            <w:tcW w:w="1777" w:type="dxa"/>
            <w:noWrap/>
            <w:vAlign w:val="center"/>
            <w:hideMark/>
          </w:tcPr>
          <w:p w14:paraId="7B71D7F8" w14:textId="77777777" w:rsidR="006F259C" w:rsidRPr="00CC4686" w:rsidRDefault="000F5B51" w:rsidP="00343F45">
            <w:pPr>
              <w:spacing w:line="240" w:lineRule="auto"/>
              <w:jc w:val="center"/>
              <w:rPr>
                <w:rFonts w:eastAsia="Times New Roman" w:cs="Times New Roman"/>
                <w:color w:val="000000"/>
              </w:rPr>
            </w:pPr>
            <w:r w:rsidRPr="00CC4686">
              <w:rPr>
                <w:rFonts w:eastAsia="Times New Roman" w:cs="Times New Roman"/>
                <w:color w:val="000000"/>
              </w:rPr>
              <w:t>$27,373,770</w:t>
            </w:r>
          </w:p>
        </w:tc>
      </w:tr>
      <w:tr w:rsidR="00A15C2C" w14:paraId="344AA882" w14:textId="77777777" w:rsidTr="00343F45">
        <w:trPr>
          <w:trHeight w:val="290"/>
        </w:trPr>
        <w:tc>
          <w:tcPr>
            <w:tcW w:w="1096" w:type="dxa"/>
            <w:noWrap/>
            <w:vAlign w:val="center"/>
            <w:hideMark/>
          </w:tcPr>
          <w:p w14:paraId="4E31B739" w14:textId="77777777" w:rsidR="006F259C" w:rsidRPr="00CC4686" w:rsidRDefault="000F5B51" w:rsidP="00343F45">
            <w:pPr>
              <w:spacing w:line="240" w:lineRule="auto"/>
              <w:rPr>
                <w:rFonts w:eastAsia="Times New Roman" w:cs="Times New Roman"/>
                <w:color w:val="000000"/>
              </w:rPr>
            </w:pPr>
            <w:r w:rsidRPr="00CC4686">
              <w:rPr>
                <w:rFonts w:eastAsia="Times New Roman" w:cs="Times New Roman"/>
                <w:color w:val="000000"/>
              </w:rPr>
              <w:t>MAIS 3</w:t>
            </w:r>
          </w:p>
        </w:tc>
        <w:tc>
          <w:tcPr>
            <w:tcW w:w="1084" w:type="dxa"/>
            <w:noWrap/>
          </w:tcPr>
          <w:p w14:paraId="644EE1DE" w14:textId="77777777" w:rsidR="006F259C" w:rsidRPr="00CC4686" w:rsidRDefault="000F5B51" w:rsidP="00343F45">
            <w:pPr>
              <w:spacing w:line="240" w:lineRule="auto"/>
              <w:jc w:val="center"/>
              <w:rPr>
                <w:rFonts w:eastAsia="Times New Roman" w:cs="Times New Roman"/>
                <w:color w:val="000000"/>
              </w:rPr>
            </w:pPr>
            <w:r w:rsidRPr="00413B7C">
              <w:t>4.55</w:t>
            </w:r>
          </w:p>
        </w:tc>
        <w:tc>
          <w:tcPr>
            <w:tcW w:w="1816" w:type="dxa"/>
            <w:noWrap/>
            <w:vAlign w:val="center"/>
            <w:hideMark/>
          </w:tcPr>
          <w:p w14:paraId="413BEB86" w14:textId="77777777" w:rsidR="006F259C" w:rsidRPr="00CC4686" w:rsidRDefault="000F5B51" w:rsidP="00343F45">
            <w:pPr>
              <w:spacing w:line="240" w:lineRule="auto"/>
              <w:jc w:val="center"/>
              <w:rPr>
                <w:rFonts w:eastAsia="Times New Roman" w:cs="Times New Roman"/>
                <w:color w:val="000000"/>
              </w:rPr>
            </w:pPr>
            <w:r w:rsidRPr="00CC4686">
              <w:rPr>
                <w:rFonts w:eastAsia="Times New Roman" w:cs="Times New Roman"/>
                <w:color w:val="000000"/>
              </w:rPr>
              <w:t>$1,307,335</w:t>
            </w:r>
          </w:p>
        </w:tc>
        <w:tc>
          <w:tcPr>
            <w:tcW w:w="1777" w:type="dxa"/>
            <w:noWrap/>
            <w:vAlign w:val="center"/>
            <w:hideMark/>
          </w:tcPr>
          <w:p w14:paraId="32C74068" w14:textId="77777777" w:rsidR="006F259C" w:rsidRPr="00CC4686" w:rsidRDefault="000F5B51" w:rsidP="00343F45">
            <w:pPr>
              <w:spacing w:line="240" w:lineRule="auto"/>
              <w:jc w:val="center"/>
              <w:rPr>
                <w:rFonts w:eastAsia="Times New Roman" w:cs="Times New Roman"/>
                <w:color w:val="000000"/>
              </w:rPr>
            </w:pPr>
            <w:r w:rsidRPr="00CC4686">
              <w:rPr>
                <w:rFonts w:eastAsia="Times New Roman" w:cs="Times New Roman"/>
                <w:color w:val="000000"/>
              </w:rPr>
              <w:t>$5,944,502</w:t>
            </w:r>
          </w:p>
        </w:tc>
        <w:tc>
          <w:tcPr>
            <w:tcW w:w="1096" w:type="dxa"/>
            <w:noWrap/>
            <w:vAlign w:val="center"/>
            <w:hideMark/>
          </w:tcPr>
          <w:p w14:paraId="20FEAF9F" w14:textId="77777777" w:rsidR="006F259C" w:rsidRPr="00CC4686" w:rsidRDefault="000F5B51" w:rsidP="00343F45">
            <w:pPr>
              <w:spacing w:line="240" w:lineRule="auto"/>
              <w:rPr>
                <w:rFonts w:eastAsia="Times New Roman" w:cs="Times New Roman"/>
                <w:color w:val="000000"/>
              </w:rPr>
            </w:pPr>
            <w:r w:rsidRPr="00CC4686">
              <w:rPr>
                <w:rFonts w:eastAsia="Times New Roman" w:cs="Times New Roman"/>
                <w:color w:val="000000"/>
              </w:rPr>
              <w:t>MAIS 3</w:t>
            </w:r>
          </w:p>
        </w:tc>
        <w:tc>
          <w:tcPr>
            <w:tcW w:w="1053" w:type="dxa"/>
            <w:noWrap/>
          </w:tcPr>
          <w:p w14:paraId="65A4386E" w14:textId="77777777" w:rsidR="006F259C" w:rsidRPr="00CC4686" w:rsidRDefault="000F5B51" w:rsidP="00343F45">
            <w:pPr>
              <w:spacing w:line="240" w:lineRule="auto"/>
              <w:jc w:val="center"/>
              <w:rPr>
                <w:rFonts w:eastAsia="Times New Roman" w:cs="Times New Roman"/>
                <w:color w:val="000000"/>
              </w:rPr>
            </w:pPr>
            <w:r w:rsidRPr="004D4E26">
              <w:t>6.83</w:t>
            </w:r>
          </w:p>
        </w:tc>
        <w:tc>
          <w:tcPr>
            <w:tcW w:w="1816" w:type="dxa"/>
            <w:noWrap/>
            <w:vAlign w:val="center"/>
            <w:hideMark/>
          </w:tcPr>
          <w:p w14:paraId="6815D3B6" w14:textId="77777777" w:rsidR="006F259C" w:rsidRPr="00CC4686" w:rsidRDefault="000F5B51" w:rsidP="00343F45">
            <w:pPr>
              <w:spacing w:line="240" w:lineRule="auto"/>
              <w:jc w:val="center"/>
              <w:rPr>
                <w:rFonts w:eastAsia="Times New Roman" w:cs="Times New Roman"/>
                <w:color w:val="000000"/>
              </w:rPr>
            </w:pPr>
            <w:r w:rsidRPr="00CC4686">
              <w:rPr>
                <w:rFonts w:eastAsia="Times New Roman" w:cs="Times New Roman"/>
                <w:color w:val="000000"/>
              </w:rPr>
              <w:t>$1,307,335</w:t>
            </w:r>
          </w:p>
        </w:tc>
        <w:tc>
          <w:tcPr>
            <w:tcW w:w="1777" w:type="dxa"/>
            <w:noWrap/>
            <w:vAlign w:val="center"/>
            <w:hideMark/>
          </w:tcPr>
          <w:p w14:paraId="2867E1B5" w14:textId="77777777" w:rsidR="006F259C" w:rsidRPr="00CC4686" w:rsidRDefault="000F5B51" w:rsidP="00343F45">
            <w:pPr>
              <w:spacing w:line="240" w:lineRule="auto"/>
              <w:jc w:val="center"/>
              <w:rPr>
                <w:rFonts w:eastAsia="Times New Roman" w:cs="Times New Roman"/>
                <w:color w:val="000000"/>
              </w:rPr>
            </w:pPr>
            <w:r w:rsidRPr="00CC4686">
              <w:rPr>
                <w:rFonts w:eastAsia="Times New Roman" w:cs="Times New Roman"/>
                <w:color w:val="000000"/>
              </w:rPr>
              <w:t>$8,933,175</w:t>
            </w:r>
          </w:p>
        </w:tc>
      </w:tr>
      <w:tr w:rsidR="00A15C2C" w14:paraId="66C26AE2" w14:textId="77777777" w:rsidTr="00343F45">
        <w:trPr>
          <w:trHeight w:val="290"/>
        </w:trPr>
        <w:tc>
          <w:tcPr>
            <w:tcW w:w="1096" w:type="dxa"/>
            <w:noWrap/>
            <w:vAlign w:val="center"/>
            <w:hideMark/>
          </w:tcPr>
          <w:p w14:paraId="2F2F4F35" w14:textId="77777777" w:rsidR="006F259C" w:rsidRPr="00CC4686" w:rsidRDefault="000F5B51" w:rsidP="00343F45">
            <w:pPr>
              <w:spacing w:line="240" w:lineRule="auto"/>
              <w:rPr>
                <w:rFonts w:eastAsia="Times New Roman" w:cs="Times New Roman"/>
                <w:color w:val="000000"/>
              </w:rPr>
            </w:pPr>
            <w:r w:rsidRPr="00CC4686">
              <w:rPr>
                <w:rFonts w:eastAsia="Times New Roman" w:cs="Times New Roman"/>
                <w:color w:val="000000"/>
              </w:rPr>
              <w:t>MAIS 4</w:t>
            </w:r>
          </w:p>
        </w:tc>
        <w:tc>
          <w:tcPr>
            <w:tcW w:w="1084" w:type="dxa"/>
            <w:noWrap/>
          </w:tcPr>
          <w:p w14:paraId="44FE5EC6" w14:textId="77777777" w:rsidR="006F259C" w:rsidRPr="00CC4686" w:rsidRDefault="000F5B51" w:rsidP="00343F45">
            <w:pPr>
              <w:spacing w:line="240" w:lineRule="auto"/>
              <w:jc w:val="center"/>
              <w:rPr>
                <w:rFonts w:eastAsia="Times New Roman" w:cs="Times New Roman"/>
                <w:color w:val="000000"/>
              </w:rPr>
            </w:pPr>
            <w:r w:rsidRPr="00413B7C">
              <w:t>4.52</w:t>
            </w:r>
          </w:p>
        </w:tc>
        <w:tc>
          <w:tcPr>
            <w:tcW w:w="1816" w:type="dxa"/>
            <w:noWrap/>
            <w:vAlign w:val="center"/>
            <w:hideMark/>
          </w:tcPr>
          <w:p w14:paraId="6D86A672" w14:textId="77777777" w:rsidR="006F259C" w:rsidRPr="00CC4686" w:rsidRDefault="000F5B51" w:rsidP="00343F45">
            <w:pPr>
              <w:spacing w:line="240" w:lineRule="auto"/>
              <w:jc w:val="center"/>
              <w:rPr>
                <w:rFonts w:eastAsia="Times New Roman" w:cs="Times New Roman"/>
                <w:color w:val="000000"/>
              </w:rPr>
            </w:pPr>
            <w:r w:rsidRPr="00CC4686">
              <w:rPr>
                <w:rFonts w:eastAsia="Times New Roman" w:cs="Times New Roman"/>
                <w:color w:val="000000"/>
              </w:rPr>
              <w:t>$3,215,701</w:t>
            </w:r>
          </w:p>
        </w:tc>
        <w:tc>
          <w:tcPr>
            <w:tcW w:w="1777" w:type="dxa"/>
            <w:noWrap/>
            <w:vAlign w:val="center"/>
            <w:hideMark/>
          </w:tcPr>
          <w:p w14:paraId="61AC5F6B" w14:textId="77777777" w:rsidR="006F259C" w:rsidRPr="00CC4686" w:rsidRDefault="000F5B51" w:rsidP="00343F45">
            <w:pPr>
              <w:spacing w:line="240" w:lineRule="auto"/>
              <w:jc w:val="center"/>
              <w:rPr>
                <w:rFonts w:eastAsia="Times New Roman" w:cs="Times New Roman"/>
                <w:color w:val="000000"/>
              </w:rPr>
            </w:pPr>
            <w:r w:rsidRPr="00CC4686">
              <w:rPr>
                <w:rFonts w:eastAsia="Times New Roman" w:cs="Times New Roman"/>
                <w:color w:val="000000"/>
              </w:rPr>
              <w:t>$14,527,679</w:t>
            </w:r>
          </w:p>
        </w:tc>
        <w:tc>
          <w:tcPr>
            <w:tcW w:w="1096" w:type="dxa"/>
            <w:noWrap/>
            <w:vAlign w:val="center"/>
            <w:hideMark/>
          </w:tcPr>
          <w:p w14:paraId="2CD57D64" w14:textId="77777777" w:rsidR="006F259C" w:rsidRPr="00CC4686" w:rsidRDefault="000F5B51" w:rsidP="00343F45">
            <w:pPr>
              <w:spacing w:line="240" w:lineRule="auto"/>
              <w:rPr>
                <w:rFonts w:eastAsia="Times New Roman" w:cs="Times New Roman"/>
                <w:color w:val="000000"/>
              </w:rPr>
            </w:pPr>
            <w:r w:rsidRPr="00CC4686">
              <w:rPr>
                <w:rFonts w:eastAsia="Times New Roman" w:cs="Times New Roman"/>
                <w:color w:val="000000"/>
              </w:rPr>
              <w:t>MAIS 4</w:t>
            </w:r>
          </w:p>
        </w:tc>
        <w:tc>
          <w:tcPr>
            <w:tcW w:w="1053" w:type="dxa"/>
            <w:noWrap/>
          </w:tcPr>
          <w:p w14:paraId="15381FED" w14:textId="77777777" w:rsidR="006F259C" w:rsidRPr="00CC4686" w:rsidRDefault="000F5B51" w:rsidP="00343F45">
            <w:pPr>
              <w:spacing w:line="240" w:lineRule="auto"/>
              <w:jc w:val="center"/>
              <w:rPr>
                <w:rFonts w:eastAsia="Times New Roman" w:cs="Times New Roman"/>
                <w:color w:val="000000"/>
              </w:rPr>
            </w:pPr>
            <w:r w:rsidRPr="004D4E26">
              <w:t>6.79</w:t>
            </w:r>
          </w:p>
        </w:tc>
        <w:tc>
          <w:tcPr>
            <w:tcW w:w="1816" w:type="dxa"/>
            <w:noWrap/>
            <w:vAlign w:val="center"/>
            <w:hideMark/>
          </w:tcPr>
          <w:p w14:paraId="252D7C39" w14:textId="77777777" w:rsidR="006F259C" w:rsidRPr="00CC4686" w:rsidRDefault="000F5B51" w:rsidP="00343F45">
            <w:pPr>
              <w:spacing w:line="240" w:lineRule="auto"/>
              <w:jc w:val="center"/>
              <w:rPr>
                <w:rFonts w:eastAsia="Times New Roman" w:cs="Times New Roman"/>
                <w:color w:val="000000"/>
              </w:rPr>
            </w:pPr>
            <w:r w:rsidRPr="00CC4686">
              <w:rPr>
                <w:rFonts w:eastAsia="Times New Roman" w:cs="Times New Roman"/>
                <w:color w:val="000000"/>
              </w:rPr>
              <w:t>$3,215,701</w:t>
            </w:r>
          </w:p>
        </w:tc>
        <w:tc>
          <w:tcPr>
            <w:tcW w:w="1777" w:type="dxa"/>
            <w:noWrap/>
            <w:vAlign w:val="center"/>
            <w:hideMark/>
          </w:tcPr>
          <w:p w14:paraId="5D03683A" w14:textId="77777777" w:rsidR="006F259C" w:rsidRPr="00CC4686" w:rsidRDefault="000F5B51" w:rsidP="00343F45">
            <w:pPr>
              <w:spacing w:line="240" w:lineRule="auto"/>
              <w:jc w:val="center"/>
              <w:rPr>
                <w:rFonts w:eastAsia="Times New Roman" w:cs="Times New Roman"/>
                <w:color w:val="000000"/>
              </w:rPr>
            </w:pPr>
            <w:r w:rsidRPr="00CC4686">
              <w:rPr>
                <w:rFonts w:eastAsia="Times New Roman" w:cs="Times New Roman"/>
                <w:color w:val="000000"/>
              </w:rPr>
              <w:t>$21,831,650</w:t>
            </w:r>
          </w:p>
        </w:tc>
      </w:tr>
      <w:tr w:rsidR="00A15C2C" w14:paraId="2EBDC094" w14:textId="77777777" w:rsidTr="00343F45">
        <w:trPr>
          <w:trHeight w:val="290"/>
        </w:trPr>
        <w:tc>
          <w:tcPr>
            <w:tcW w:w="1096" w:type="dxa"/>
            <w:noWrap/>
            <w:vAlign w:val="center"/>
            <w:hideMark/>
          </w:tcPr>
          <w:p w14:paraId="4B8B5CEF" w14:textId="77777777" w:rsidR="006F259C" w:rsidRPr="00CC4686" w:rsidRDefault="000F5B51" w:rsidP="00343F45">
            <w:pPr>
              <w:spacing w:line="240" w:lineRule="auto"/>
              <w:rPr>
                <w:rFonts w:eastAsia="Times New Roman" w:cs="Times New Roman"/>
                <w:color w:val="000000"/>
              </w:rPr>
            </w:pPr>
            <w:r w:rsidRPr="00CC4686">
              <w:rPr>
                <w:rFonts w:eastAsia="Times New Roman" w:cs="Times New Roman"/>
                <w:color w:val="000000"/>
              </w:rPr>
              <w:t>MAIS 5</w:t>
            </w:r>
          </w:p>
        </w:tc>
        <w:tc>
          <w:tcPr>
            <w:tcW w:w="1084" w:type="dxa"/>
            <w:noWrap/>
          </w:tcPr>
          <w:p w14:paraId="3C7907D4" w14:textId="77777777" w:rsidR="006F259C" w:rsidRPr="00CC4686" w:rsidRDefault="000F5B51" w:rsidP="00343F45">
            <w:pPr>
              <w:spacing w:line="240" w:lineRule="auto"/>
              <w:jc w:val="center"/>
              <w:rPr>
                <w:rFonts w:eastAsia="Times New Roman" w:cs="Times New Roman"/>
                <w:color w:val="000000"/>
              </w:rPr>
            </w:pPr>
            <w:r w:rsidRPr="00413B7C">
              <w:t>0.13</w:t>
            </w:r>
          </w:p>
        </w:tc>
        <w:tc>
          <w:tcPr>
            <w:tcW w:w="1816" w:type="dxa"/>
            <w:noWrap/>
            <w:vAlign w:val="center"/>
            <w:hideMark/>
          </w:tcPr>
          <w:p w14:paraId="0A2E230A" w14:textId="77777777" w:rsidR="006F259C" w:rsidRPr="00CC4686" w:rsidRDefault="000F5B51" w:rsidP="00343F45">
            <w:pPr>
              <w:spacing w:line="240" w:lineRule="auto"/>
              <w:jc w:val="center"/>
              <w:rPr>
                <w:rFonts w:eastAsia="Times New Roman" w:cs="Times New Roman"/>
                <w:color w:val="000000"/>
              </w:rPr>
            </w:pPr>
            <w:r w:rsidRPr="00CC4686">
              <w:rPr>
                <w:rFonts w:eastAsia="Times New Roman" w:cs="Times New Roman"/>
                <w:color w:val="000000"/>
              </w:rPr>
              <w:t>$7,327,043</w:t>
            </w:r>
          </w:p>
        </w:tc>
        <w:tc>
          <w:tcPr>
            <w:tcW w:w="1777" w:type="dxa"/>
            <w:noWrap/>
            <w:vAlign w:val="center"/>
            <w:hideMark/>
          </w:tcPr>
          <w:p w14:paraId="2702F400" w14:textId="77777777" w:rsidR="006F259C" w:rsidRPr="00CC4686" w:rsidRDefault="000F5B51" w:rsidP="00343F45">
            <w:pPr>
              <w:spacing w:line="240" w:lineRule="auto"/>
              <w:jc w:val="center"/>
              <w:rPr>
                <w:rFonts w:eastAsia="Times New Roman" w:cs="Times New Roman"/>
                <w:color w:val="000000"/>
              </w:rPr>
            </w:pPr>
            <w:r w:rsidRPr="00CC4686">
              <w:rPr>
                <w:rFonts w:eastAsia="Times New Roman" w:cs="Times New Roman"/>
                <w:color w:val="000000"/>
              </w:rPr>
              <w:t>$961,491</w:t>
            </w:r>
          </w:p>
        </w:tc>
        <w:tc>
          <w:tcPr>
            <w:tcW w:w="1096" w:type="dxa"/>
            <w:noWrap/>
            <w:vAlign w:val="center"/>
            <w:hideMark/>
          </w:tcPr>
          <w:p w14:paraId="375774C6" w14:textId="77777777" w:rsidR="006F259C" w:rsidRPr="00CC4686" w:rsidRDefault="000F5B51" w:rsidP="00343F45">
            <w:pPr>
              <w:spacing w:line="240" w:lineRule="auto"/>
              <w:rPr>
                <w:rFonts w:eastAsia="Times New Roman" w:cs="Times New Roman"/>
                <w:color w:val="000000"/>
              </w:rPr>
            </w:pPr>
            <w:r w:rsidRPr="00CC4686">
              <w:rPr>
                <w:rFonts w:eastAsia="Times New Roman" w:cs="Times New Roman"/>
                <w:color w:val="000000"/>
              </w:rPr>
              <w:t>MAIS 5</w:t>
            </w:r>
          </w:p>
        </w:tc>
        <w:tc>
          <w:tcPr>
            <w:tcW w:w="1053" w:type="dxa"/>
            <w:noWrap/>
          </w:tcPr>
          <w:p w14:paraId="3127A26D" w14:textId="77777777" w:rsidR="006F259C" w:rsidRPr="00CC4686" w:rsidRDefault="000F5B51" w:rsidP="00343F45">
            <w:pPr>
              <w:spacing w:line="240" w:lineRule="auto"/>
              <w:jc w:val="center"/>
              <w:rPr>
                <w:rFonts w:eastAsia="Times New Roman" w:cs="Times New Roman"/>
                <w:color w:val="000000"/>
              </w:rPr>
            </w:pPr>
            <w:r w:rsidRPr="004D4E26">
              <w:t>0.20</w:t>
            </w:r>
          </w:p>
        </w:tc>
        <w:tc>
          <w:tcPr>
            <w:tcW w:w="1816" w:type="dxa"/>
            <w:noWrap/>
            <w:vAlign w:val="center"/>
            <w:hideMark/>
          </w:tcPr>
          <w:p w14:paraId="588F08E9" w14:textId="77777777" w:rsidR="006F259C" w:rsidRPr="00CC4686" w:rsidRDefault="000F5B51" w:rsidP="00343F45">
            <w:pPr>
              <w:spacing w:line="240" w:lineRule="auto"/>
              <w:jc w:val="center"/>
              <w:rPr>
                <w:rFonts w:eastAsia="Times New Roman" w:cs="Times New Roman"/>
                <w:color w:val="000000"/>
              </w:rPr>
            </w:pPr>
            <w:r w:rsidRPr="00CC4686">
              <w:rPr>
                <w:rFonts w:eastAsia="Times New Roman" w:cs="Times New Roman"/>
                <w:color w:val="000000"/>
              </w:rPr>
              <w:t>$7,327,043</w:t>
            </w:r>
          </w:p>
        </w:tc>
        <w:tc>
          <w:tcPr>
            <w:tcW w:w="1777" w:type="dxa"/>
            <w:noWrap/>
            <w:vAlign w:val="center"/>
            <w:hideMark/>
          </w:tcPr>
          <w:p w14:paraId="0255C045" w14:textId="77777777" w:rsidR="006F259C" w:rsidRPr="00CC4686" w:rsidRDefault="000F5B51" w:rsidP="00343F45">
            <w:pPr>
              <w:spacing w:line="240" w:lineRule="auto"/>
              <w:jc w:val="center"/>
              <w:rPr>
                <w:rFonts w:eastAsia="Times New Roman" w:cs="Times New Roman"/>
                <w:color w:val="000000"/>
              </w:rPr>
            </w:pPr>
            <w:r w:rsidRPr="00CC4686">
              <w:rPr>
                <w:rFonts w:eastAsia="Times New Roman" w:cs="Times New Roman"/>
                <w:color w:val="000000"/>
              </w:rPr>
              <w:t>$1,444,892</w:t>
            </w:r>
          </w:p>
        </w:tc>
      </w:tr>
      <w:tr w:rsidR="00A15C2C" w14:paraId="22E6A674" w14:textId="77777777" w:rsidTr="00343F45">
        <w:trPr>
          <w:trHeight w:val="290"/>
        </w:trPr>
        <w:tc>
          <w:tcPr>
            <w:tcW w:w="1096" w:type="dxa"/>
            <w:noWrap/>
            <w:vAlign w:val="center"/>
            <w:hideMark/>
          </w:tcPr>
          <w:p w14:paraId="4091B95F" w14:textId="77777777" w:rsidR="006F259C" w:rsidRPr="00CC4686" w:rsidRDefault="000F5B51" w:rsidP="00343F45">
            <w:pPr>
              <w:spacing w:line="240" w:lineRule="auto"/>
              <w:rPr>
                <w:rFonts w:eastAsia="Times New Roman" w:cs="Times New Roman"/>
                <w:color w:val="000000"/>
              </w:rPr>
            </w:pPr>
            <w:r w:rsidRPr="00CC4686">
              <w:rPr>
                <w:rFonts w:eastAsia="Times New Roman" w:cs="Times New Roman"/>
                <w:color w:val="000000"/>
              </w:rPr>
              <w:t>Fatalities</w:t>
            </w:r>
          </w:p>
        </w:tc>
        <w:tc>
          <w:tcPr>
            <w:tcW w:w="1084" w:type="dxa"/>
            <w:noWrap/>
          </w:tcPr>
          <w:p w14:paraId="3181468E" w14:textId="77777777" w:rsidR="006F259C" w:rsidRPr="00CC4686" w:rsidRDefault="000F5B51" w:rsidP="00343F45">
            <w:pPr>
              <w:spacing w:line="240" w:lineRule="auto"/>
              <w:jc w:val="center"/>
              <w:rPr>
                <w:rFonts w:eastAsia="Times New Roman" w:cs="Times New Roman"/>
                <w:color w:val="000000"/>
              </w:rPr>
            </w:pPr>
            <w:r w:rsidRPr="00413B7C">
              <w:t>18.15</w:t>
            </w:r>
          </w:p>
        </w:tc>
        <w:tc>
          <w:tcPr>
            <w:tcW w:w="1816" w:type="dxa"/>
            <w:noWrap/>
            <w:vAlign w:val="center"/>
            <w:hideMark/>
          </w:tcPr>
          <w:p w14:paraId="477C95A5" w14:textId="77777777" w:rsidR="006F259C" w:rsidRPr="00CC4686" w:rsidRDefault="000F5B51" w:rsidP="00343F45">
            <w:pPr>
              <w:spacing w:line="240" w:lineRule="auto"/>
              <w:jc w:val="center"/>
              <w:rPr>
                <w:rFonts w:eastAsia="Times New Roman" w:cs="Times New Roman"/>
                <w:color w:val="000000"/>
              </w:rPr>
            </w:pPr>
            <w:r w:rsidRPr="00CC4686">
              <w:rPr>
                <w:rFonts w:eastAsia="Times New Roman" w:cs="Times New Roman"/>
                <w:color w:val="000000"/>
              </w:rPr>
              <w:t>$11,950,834</w:t>
            </w:r>
          </w:p>
        </w:tc>
        <w:tc>
          <w:tcPr>
            <w:tcW w:w="1777" w:type="dxa"/>
            <w:noWrap/>
            <w:vAlign w:val="center"/>
            <w:hideMark/>
          </w:tcPr>
          <w:p w14:paraId="1185AF8A" w14:textId="77777777" w:rsidR="006F259C" w:rsidRPr="00CC4686" w:rsidRDefault="000F5B51" w:rsidP="00343F45">
            <w:pPr>
              <w:spacing w:line="240" w:lineRule="auto"/>
              <w:jc w:val="center"/>
              <w:rPr>
                <w:rFonts w:eastAsia="Times New Roman" w:cs="Times New Roman"/>
                <w:color w:val="000000"/>
              </w:rPr>
            </w:pPr>
            <w:r w:rsidRPr="00CC4686">
              <w:rPr>
                <w:rFonts w:eastAsia="Times New Roman" w:cs="Times New Roman"/>
                <w:color w:val="000000"/>
              </w:rPr>
              <w:t>$216,881,905</w:t>
            </w:r>
          </w:p>
        </w:tc>
        <w:tc>
          <w:tcPr>
            <w:tcW w:w="1096" w:type="dxa"/>
            <w:noWrap/>
            <w:vAlign w:val="center"/>
            <w:hideMark/>
          </w:tcPr>
          <w:p w14:paraId="50ABF761" w14:textId="77777777" w:rsidR="006F259C" w:rsidRPr="00CC4686" w:rsidRDefault="000F5B51" w:rsidP="00343F45">
            <w:pPr>
              <w:spacing w:line="240" w:lineRule="auto"/>
              <w:rPr>
                <w:rFonts w:eastAsia="Times New Roman" w:cs="Times New Roman"/>
                <w:color w:val="000000"/>
              </w:rPr>
            </w:pPr>
            <w:r w:rsidRPr="00CC4686">
              <w:rPr>
                <w:rFonts w:eastAsia="Times New Roman" w:cs="Times New Roman"/>
                <w:color w:val="000000"/>
              </w:rPr>
              <w:t>Fatalities</w:t>
            </w:r>
          </w:p>
        </w:tc>
        <w:tc>
          <w:tcPr>
            <w:tcW w:w="1053" w:type="dxa"/>
            <w:noWrap/>
          </w:tcPr>
          <w:p w14:paraId="703E318E" w14:textId="77777777" w:rsidR="006F259C" w:rsidRPr="00CC4686" w:rsidRDefault="000F5B51" w:rsidP="00343F45">
            <w:pPr>
              <w:spacing w:line="240" w:lineRule="auto"/>
              <w:jc w:val="center"/>
              <w:rPr>
                <w:rFonts w:eastAsia="Times New Roman" w:cs="Times New Roman"/>
                <w:color w:val="000000"/>
              </w:rPr>
            </w:pPr>
            <w:r w:rsidRPr="004D4E26">
              <w:t>27.35</w:t>
            </w:r>
          </w:p>
        </w:tc>
        <w:tc>
          <w:tcPr>
            <w:tcW w:w="1816" w:type="dxa"/>
            <w:noWrap/>
            <w:vAlign w:val="center"/>
            <w:hideMark/>
          </w:tcPr>
          <w:p w14:paraId="1D001551" w14:textId="77777777" w:rsidR="006F259C" w:rsidRPr="00CC4686" w:rsidRDefault="000F5B51" w:rsidP="00343F45">
            <w:pPr>
              <w:spacing w:line="240" w:lineRule="auto"/>
              <w:jc w:val="center"/>
              <w:rPr>
                <w:rFonts w:eastAsia="Times New Roman" w:cs="Times New Roman"/>
                <w:color w:val="000000"/>
              </w:rPr>
            </w:pPr>
            <w:r w:rsidRPr="00CC4686">
              <w:rPr>
                <w:rFonts w:eastAsia="Times New Roman" w:cs="Times New Roman"/>
                <w:color w:val="000000"/>
              </w:rPr>
              <w:t>$11,950,834</w:t>
            </w:r>
          </w:p>
        </w:tc>
        <w:tc>
          <w:tcPr>
            <w:tcW w:w="1777" w:type="dxa"/>
            <w:noWrap/>
            <w:vAlign w:val="center"/>
            <w:hideMark/>
          </w:tcPr>
          <w:p w14:paraId="273E7A4D" w14:textId="77777777" w:rsidR="006F259C" w:rsidRPr="00CC4686" w:rsidRDefault="000F5B51" w:rsidP="00343F45">
            <w:pPr>
              <w:spacing w:line="240" w:lineRule="auto"/>
              <w:jc w:val="center"/>
              <w:rPr>
                <w:rFonts w:eastAsia="Times New Roman" w:cs="Times New Roman"/>
                <w:color w:val="000000"/>
              </w:rPr>
            </w:pPr>
            <w:r w:rsidRPr="00CC4686">
              <w:rPr>
                <w:rFonts w:eastAsia="Times New Roman" w:cs="Times New Roman"/>
                <w:color w:val="000000"/>
              </w:rPr>
              <w:t>$326,879,426</w:t>
            </w:r>
          </w:p>
        </w:tc>
      </w:tr>
      <w:tr w:rsidR="00A15C2C" w14:paraId="420C20B0" w14:textId="77777777" w:rsidTr="00343F45">
        <w:trPr>
          <w:trHeight w:val="290"/>
        </w:trPr>
        <w:tc>
          <w:tcPr>
            <w:tcW w:w="1096" w:type="dxa"/>
            <w:noWrap/>
            <w:vAlign w:val="center"/>
            <w:hideMark/>
          </w:tcPr>
          <w:p w14:paraId="058C78C0" w14:textId="77777777" w:rsidR="006F259C" w:rsidRPr="00CC4686" w:rsidRDefault="000F5B51" w:rsidP="00343F45">
            <w:pPr>
              <w:spacing w:line="240" w:lineRule="auto"/>
              <w:rPr>
                <w:rFonts w:eastAsia="Times New Roman" w:cs="Times New Roman"/>
                <w:b/>
                <w:bCs/>
                <w:color w:val="000000"/>
              </w:rPr>
            </w:pPr>
            <w:r w:rsidRPr="00CC4686">
              <w:rPr>
                <w:rFonts w:eastAsia="Times New Roman" w:cs="Times New Roman"/>
                <w:b/>
                <w:bCs/>
                <w:color w:val="000000"/>
              </w:rPr>
              <w:t>Total</w:t>
            </w:r>
          </w:p>
        </w:tc>
        <w:tc>
          <w:tcPr>
            <w:tcW w:w="1084" w:type="dxa"/>
            <w:noWrap/>
            <w:vAlign w:val="center"/>
            <w:hideMark/>
          </w:tcPr>
          <w:p w14:paraId="79011199" w14:textId="77777777" w:rsidR="006F259C" w:rsidRPr="00CC4686" w:rsidRDefault="006F259C" w:rsidP="00343F45">
            <w:pPr>
              <w:spacing w:line="240" w:lineRule="auto"/>
              <w:jc w:val="center"/>
              <w:rPr>
                <w:rFonts w:eastAsia="Times New Roman" w:cs="Times New Roman"/>
                <w:b/>
                <w:bCs/>
                <w:color w:val="000000"/>
              </w:rPr>
            </w:pPr>
          </w:p>
        </w:tc>
        <w:tc>
          <w:tcPr>
            <w:tcW w:w="1816" w:type="dxa"/>
            <w:noWrap/>
            <w:vAlign w:val="center"/>
            <w:hideMark/>
          </w:tcPr>
          <w:p w14:paraId="390D0F19" w14:textId="77777777" w:rsidR="006F259C" w:rsidRPr="00CC4686" w:rsidRDefault="006F259C" w:rsidP="00343F45">
            <w:pPr>
              <w:spacing w:line="240" w:lineRule="auto"/>
              <w:jc w:val="center"/>
              <w:rPr>
                <w:rFonts w:eastAsia="Times New Roman" w:cs="Times New Roman"/>
                <w:b/>
                <w:bCs/>
              </w:rPr>
            </w:pPr>
          </w:p>
        </w:tc>
        <w:tc>
          <w:tcPr>
            <w:tcW w:w="1777" w:type="dxa"/>
            <w:noWrap/>
            <w:vAlign w:val="center"/>
            <w:hideMark/>
          </w:tcPr>
          <w:p w14:paraId="4508F6F1" w14:textId="77777777" w:rsidR="006F259C" w:rsidRPr="00CC4686" w:rsidRDefault="000F5B51" w:rsidP="00343F45">
            <w:pPr>
              <w:spacing w:line="240" w:lineRule="auto"/>
              <w:jc w:val="center"/>
              <w:rPr>
                <w:rFonts w:eastAsia="Times New Roman" w:cs="Times New Roman"/>
                <w:b/>
                <w:bCs/>
                <w:color w:val="000000"/>
              </w:rPr>
            </w:pPr>
            <w:r w:rsidRPr="00CC4686">
              <w:rPr>
                <w:rFonts w:eastAsia="Times New Roman" w:cs="Times New Roman"/>
                <w:b/>
                <w:bCs/>
                <w:color w:val="000000"/>
              </w:rPr>
              <w:t>$257,539,055</w:t>
            </w:r>
          </w:p>
        </w:tc>
        <w:tc>
          <w:tcPr>
            <w:tcW w:w="1096" w:type="dxa"/>
            <w:noWrap/>
            <w:vAlign w:val="center"/>
            <w:hideMark/>
          </w:tcPr>
          <w:p w14:paraId="03F6529F" w14:textId="77777777" w:rsidR="006F259C" w:rsidRPr="00CC4686" w:rsidRDefault="000F5B51" w:rsidP="00343F45">
            <w:pPr>
              <w:spacing w:line="240" w:lineRule="auto"/>
              <w:rPr>
                <w:rFonts w:eastAsia="Times New Roman" w:cs="Times New Roman"/>
                <w:b/>
                <w:bCs/>
                <w:color w:val="000000"/>
              </w:rPr>
            </w:pPr>
            <w:r w:rsidRPr="00CC4686">
              <w:rPr>
                <w:rFonts w:eastAsia="Times New Roman" w:cs="Times New Roman"/>
                <w:b/>
                <w:bCs/>
                <w:color w:val="000000"/>
              </w:rPr>
              <w:t>Total</w:t>
            </w:r>
          </w:p>
        </w:tc>
        <w:tc>
          <w:tcPr>
            <w:tcW w:w="1053" w:type="dxa"/>
            <w:noWrap/>
            <w:vAlign w:val="center"/>
            <w:hideMark/>
          </w:tcPr>
          <w:p w14:paraId="1BCC53CA" w14:textId="77777777" w:rsidR="006F259C" w:rsidRPr="00CC4686" w:rsidRDefault="006F259C" w:rsidP="00343F45">
            <w:pPr>
              <w:spacing w:line="240" w:lineRule="auto"/>
              <w:jc w:val="center"/>
              <w:rPr>
                <w:rFonts w:eastAsia="Times New Roman" w:cs="Times New Roman"/>
                <w:b/>
                <w:bCs/>
                <w:color w:val="000000"/>
              </w:rPr>
            </w:pPr>
          </w:p>
        </w:tc>
        <w:tc>
          <w:tcPr>
            <w:tcW w:w="1816" w:type="dxa"/>
            <w:noWrap/>
            <w:vAlign w:val="center"/>
            <w:hideMark/>
          </w:tcPr>
          <w:p w14:paraId="08B71E70" w14:textId="77777777" w:rsidR="006F259C" w:rsidRPr="00CC4686" w:rsidRDefault="006F259C" w:rsidP="00343F45">
            <w:pPr>
              <w:spacing w:line="240" w:lineRule="auto"/>
              <w:jc w:val="center"/>
              <w:rPr>
                <w:rFonts w:eastAsia="Times New Roman" w:cs="Times New Roman"/>
                <w:b/>
                <w:bCs/>
              </w:rPr>
            </w:pPr>
          </w:p>
        </w:tc>
        <w:tc>
          <w:tcPr>
            <w:tcW w:w="1777" w:type="dxa"/>
            <w:noWrap/>
            <w:vAlign w:val="center"/>
            <w:hideMark/>
          </w:tcPr>
          <w:p w14:paraId="74176F0C" w14:textId="77777777" w:rsidR="006F259C" w:rsidRPr="00CC4686" w:rsidRDefault="000F5B51" w:rsidP="00343F45">
            <w:pPr>
              <w:spacing w:line="240" w:lineRule="auto"/>
              <w:jc w:val="center"/>
              <w:rPr>
                <w:rFonts w:eastAsia="Times New Roman" w:cs="Times New Roman"/>
                <w:b/>
                <w:bCs/>
                <w:color w:val="000000"/>
              </w:rPr>
            </w:pPr>
            <w:r w:rsidRPr="00CC4686">
              <w:rPr>
                <w:rFonts w:eastAsia="Times New Roman" w:cs="Times New Roman"/>
                <w:b/>
                <w:bCs/>
                <w:color w:val="000000"/>
              </w:rPr>
              <w:t>$387,977,464</w:t>
            </w:r>
          </w:p>
        </w:tc>
      </w:tr>
    </w:tbl>
    <w:p w14:paraId="664EC731" w14:textId="77777777" w:rsidR="006F259C" w:rsidRPr="00CC4686" w:rsidRDefault="000F5B51" w:rsidP="006F259C">
      <w:pPr>
        <w:rPr>
          <w:rFonts w:ascii="Calibri" w:eastAsia="Times New Roman" w:hAnsi="Calibri" w:cs="Calibri"/>
          <w:color w:val="000000"/>
          <w:sz w:val="22"/>
        </w:rPr>
      </w:pPr>
      <w:r w:rsidRPr="00572735">
        <w:rPr>
          <w:sz w:val="18"/>
          <w:szCs w:val="16"/>
        </w:rPr>
        <w:t>Note: Values may not sum due to rounding.</w:t>
      </w:r>
    </w:p>
    <w:p w14:paraId="773C9909" w14:textId="38CA2229" w:rsidR="006F259C" w:rsidRPr="00D01142" w:rsidRDefault="000F5B51" w:rsidP="006F259C">
      <w:pPr>
        <w:pStyle w:val="Caption"/>
      </w:pPr>
      <w:r>
        <w:t xml:space="preserve">Table </w:t>
      </w:r>
      <w:r w:rsidR="00115BAB">
        <w:fldChar w:fldCharType="begin"/>
      </w:r>
      <w:r>
        <w:instrText xml:space="preserve"> SEQ Table \* ARABIC </w:instrText>
      </w:r>
      <w:r w:rsidR="00115BAB">
        <w:fldChar w:fldCharType="separate"/>
      </w:r>
      <w:r w:rsidR="00A65CB3">
        <w:rPr>
          <w:noProof/>
        </w:rPr>
        <w:t>149</w:t>
      </w:r>
      <w:r w:rsidR="00115BAB">
        <w:rPr>
          <w:noProof/>
        </w:rPr>
        <w:fldChar w:fldCharType="end"/>
      </w:r>
      <w:r>
        <w:t xml:space="preserve">: </w:t>
      </w:r>
      <w:r w:rsidRPr="0031671A">
        <w:t xml:space="preserve">Calculation of Monetized Benefits Discounted at </w:t>
      </w:r>
      <w:r>
        <w:t>7</w:t>
      </w:r>
      <w:r w:rsidRPr="0031671A">
        <w:t>% for Rear Seat Occupants 11</w:t>
      </w:r>
      <w:r>
        <w:t xml:space="preserve"> Years and Older</w:t>
      </w:r>
    </w:p>
    <w:tbl>
      <w:tblPr>
        <w:tblStyle w:val="TableGrid3"/>
        <w:tblW w:w="11515" w:type="dxa"/>
        <w:tblLook w:val="04A0" w:firstRow="1" w:lastRow="0" w:firstColumn="1" w:lastColumn="0" w:noHBand="0" w:noVBand="1"/>
      </w:tblPr>
      <w:tblGrid>
        <w:gridCol w:w="1096"/>
        <w:gridCol w:w="1084"/>
        <w:gridCol w:w="1816"/>
        <w:gridCol w:w="1777"/>
        <w:gridCol w:w="1096"/>
        <w:gridCol w:w="1053"/>
        <w:gridCol w:w="1816"/>
        <w:gridCol w:w="1777"/>
      </w:tblGrid>
      <w:tr w:rsidR="00A15C2C" w14:paraId="0740B604" w14:textId="77777777" w:rsidTr="00343F45">
        <w:trPr>
          <w:trHeight w:val="290"/>
        </w:trPr>
        <w:tc>
          <w:tcPr>
            <w:tcW w:w="1096" w:type="dxa"/>
            <w:shd w:val="clear" w:color="auto" w:fill="D9D9D9" w:themeFill="background1" w:themeFillShade="D9"/>
            <w:noWrap/>
            <w:vAlign w:val="center"/>
            <w:hideMark/>
          </w:tcPr>
          <w:p w14:paraId="6AC7E03C" w14:textId="77777777" w:rsidR="006F259C" w:rsidRPr="009D65BE" w:rsidRDefault="000F5B51" w:rsidP="00343F45">
            <w:pPr>
              <w:spacing w:line="240" w:lineRule="auto"/>
              <w:rPr>
                <w:rFonts w:eastAsia="Times New Roman" w:cs="Times New Roman"/>
                <w:b/>
                <w:bCs/>
                <w:color w:val="000000"/>
              </w:rPr>
            </w:pPr>
            <w:r w:rsidRPr="009D65BE">
              <w:rPr>
                <w:rFonts w:eastAsia="Times New Roman" w:cs="Times New Roman"/>
                <w:b/>
                <w:bCs/>
                <w:color w:val="000000"/>
              </w:rPr>
              <w:t>Injury Severity</w:t>
            </w:r>
          </w:p>
        </w:tc>
        <w:tc>
          <w:tcPr>
            <w:tcW w:w="1084" w:type="dxa"/>
            <w:shd w:val="clear" w:color="auto" w:fill="D9D9D9" w:themeFill="background1" w:themeFillShade="D9"/>
            <w:noWrap/>
            <w:vAlign w:val="center"/>
            <w:hideMark/>
          </w:tcPr>
          <w:p w14:paraId="10F24247" w14:textId="77777777" w:rsidR="006F259C" w:rsidRPr="009D65BE" w:rsidRDefault="000F5B51" w:rsidP="00343F45">
            <w:pPr>
              <w:spacing w:line="240" w:lineRule="auto"/>
              <w:jc w:val="center"/>
              <w:rPr>
                <w:rFonts w:eastAsia="Times New Roman" w:cs="Times New Roman"/>
                <w:b/>
                <w:bCs/>
                <w:color w:val="000000"/>
              </w:rPr>
            </w:pPr>
            <w:r w:rsidRPr="009D65BE">
              <w:rPr>
                <w:rFonts w:eastAsia="Times New Roman" w:cs="Times New Roman"/>
                <w:b/>
                <w:bCs/>
                <w:color w:val="000000"/>
              </w:rPr>
              <w:t>Lo</w:t>
            </w:r>
          </w:p>
        </w:tc>
        <w:tc>
          <w:tcPr>
            <w:tcW w:w="1816" w:type="dxa"/>
            <w:shd w:val="clear" w:color="auto" w:fill="D9D9D9" w:themeFill="background1" w:themeFillShade="D9"/>
            <w:noWrap/>
            <w:vAlign w:val="center"/>
            <w:hideMark/>
          </w:tcPr>
          <w:p w14:paraId="38E56799" w14:textId="77777777" w:rsidR="006F259C" w:rsidRPr="009D65BE" w:rsidRDefault="000F5B51" w:rsidP="00343F45">
            <w:pPr>
              <w:spacing w:line="240" w:lineRule="auto"/>
              <w:jc w:val="center"/>
              <w:rPr>
                <w:rFonts w:eastAsia="Times New Roman" w:cs="Times New Roman"/>
                <w:b/>
                <w:bCs/>
              </w:rPr>
            </w:pPr>
            <w:r w:rsidRPr="009D65BE">
              <w:rPr>
                <w:rFonts w:eastAsia="Times New Roman" w:cs="Times New Roman"/>
                <w:b/>
                <w:bCs/>
              </w:rPr>
              <w:t>Comprehensive Unit Costs</w:t>
            </w:r>
          </w:p>
        </w:tc>
        <w:tc>
          <w:tcPr>
            <w:tcW w:w="1777" w:type="dxa"/>
            <w:shd w:val="clear" w:color="auto" w:fill="D9D9D9" w:themeFill="background1" w:themeFillShade="D9"/>
            <w:noWrap/>
            <w:vAlign w:val="center"/>
            <w:hideMark/>
          </w:tcPr>
          <w:p w14:paraId="53C42F33" w14:textId="77777777" w:rsidR="006F259C" w:rsidRPr="009D65BE" w:rsidRDefault="000F5B51" w:rsidP="00343F45">
            <w:pPr>
              <w:spacing w:line="240" w:lineRule="auto"/>
              <w:jc w:val="center"/>
              <w:rPr>
                <w:rFonts w:eastAsia="Times New Roman" w:cs="Times New Roman"/>
                <w:b/>
                <w:bCs/>
                <w:color w:val="000000"/>
              </w:rPr>
            </w:pPr>
            <w:r w:rsidRPr="009D65BE">
              <w:rPr>
                <w:rFonts w:eastAsia="Times New Roman" w:cs="Times New Roman"/>
                <w:b/>
                <w:bCs/>
                <w:color w:val="000000"/>
              </w:rPr>
              <w:t>Monetized Benefits</w:t>
            </w:r>
          </w:p>
        </w:tc>
        <w:tc>
          <w:tcPr>
            <w:tcW w:w="1096" w:type="dxa"/>
            <w:shd w:val="clear" w:color="auto" w:fill="D9D9D9" w:themeFill="background1" w:themeFillShade="D9"/>
            <w:noWrap/>
            <w:vAlign w:val="center"/>
            <w:hideMark/>
          </w:tcPr>
          <w:p w14:paraId="28539078" w14:textId="77777777" w:rsidR="006F259C" w:rsidRPr="009D65BE" w:rsidRDefault="000F5B51" w:rsidP="00343F45">
            <w:pPr>
              <w:spacing w:line="240" w:lineRule="auto"/>
              <w:rPr>
                <w:rFonts w:eastAsia="Times New Roman" w:cs="Times New Roman"/>
                <w:b/>
                <w:bCs/>
                <w:color w:val="000000"/>
              </w:rPr>
            </w:pPr>
            <w:r w:rsidRPr="009D65BE">
              <w:rPr>
                <w:rFonts w:eastAsia="Times New Roman" w:cs="Times New Roman"/>
                <w:b/>
                <w:bCs/>
                <w:color w:val="000000"/>
              </w:rPr>
              <w:t>Injury Severity</w:t>
            </w:r>
          </w:p>
        </w:tc>
        <w:tc>
          <w:tcPr>
            <w:tcW w:w="1053" w:type="dxa"/>
            <w:shd w:val="clear" w:color="auto" w:fill="D9D9D9" w:themeFill="background1" w:themeFillShade="D9"/>
            <w:noWrap/>
            <w:vAlign w:val="center"/>
            <w:hideMark/>
          </w:tcPr>
          <w:p w14:paraId="28DA1660" w14:textId="77777777" w:rsidR="006F259C" w:rsidRPr="009D65BE" w:rsidRDefault="000F5B51" w:rsidP="00343F45">
            <w:pPr>
              <w:spacing w:line="240" w:lineRule="auto"/>
              <w:jc w:val="center"/>
              <w:rPr>
                <w:rFonts w:eastAsia="Times New Roman" w:cs="Times New Roman"/>
                <w:b/>
                <w:bCs/>
                <w:color w:val="000000"/>
              </w:rPr>
            </w:pPr>
            <w:r w:rsidRPr="009D65BE">
              <w:rPr>
                <w:rFonts w:eastAsia="Times New Roman" w:cs="Times New Roman"/>
                <w:b/>
                <w:bCs/>
                <w:color w:val="000000"/>
              </w:rPr>
              <w:t>Hi</w:t>
            </w:r>
          </w:p>
        </w:tc>
        <w:tc>
          <w:tcPr>
            <w:tcW w:w="1816" w:type="dxa"/>
            <w:shd w:val="clear" w:color="auto" w:fill="D9D9D9" w:themeFill="background1" w:themeFillShade="D9"/>
            <w:noWrap/>
            <w:vAlign w:val="center"/>
            <w:hideMark/>
          </w:tcPr>
          <w:p w14:paraId="51991EFD" w14:textId="77777777" w:rsidR="006F259C" w:rsidRPr="009D65BE" w:rsidRDefault="000F5B51" w:rsidP="00343F45">
            <w:pPr>
              <w:spacing w:line="240" w:lineRule="auto"/>
              <w:jc w:val="center"/>
              <w:rPr>
                <w:rFonts w:eastAsia="Times New Roman" w:cs="Times New Roman"/>
                <w:b/>
                <w:bCs/>
              </w:rPr>
            </w:pPr>
            <w:r w:rsidRPr="009D65BE">
              <w:rPr>
                <w:rFonts w:eastAsia="Times New Roman" w:cs="Times New Roman"/>
                <w:b/>
                <w:bCs/>
              </w:rPr>
              <w:t>Comprehensive Unit Costs</w:t>
            </w:r>
          </w:p>
        </w:tc>
        <w:tc>
          <w:tcPr>
            <w:tcW w:w="1777" w:type="dxa"/>
            <w:shd w:val="clear" w:color="auto" w:fill="D9D9D9" w:themeFill="background1" w:themeFillShade="D9"/>
            <w:noWrap/>
            <w:vAlign w:val="center"/>
            <w:hideMark/>
          </w:tcPr>
          <w:p w14:paraId="7A46C000" w14:textId="77777777" w:rsidR="006F259C" w:rsidRPr="009D65BE" w:rsidRDefault="000F5B51" w:rsidP="00343F45">
            <w:pPr>
              <w:spacing w:line="240" w:lineRule="auto"/>
              <w:jc w:val="center"/>
              <w:rPr>
                <w:rFonts w:eastAsia="Times New Roman" w:cs="Times New Roman"/>
                <w:b/>
                <w:bCs/>
                <w:color w:val="000000"/>
              </w:rPr>
            </w:pPr>
            <w:r w:rsidRPr="009D65BE">
              <w:rPr>
                <w:rFonts w:eastAsia="Times New Roman" w:cs="Times New Roman"/>
                <w:b/>
                <w:bCs/>
                <w:color w:val="000000"/>
              </w:rPr>
              <w:t>Monetized Benefits</w:t>
            </w:r>
          </w:p>
        </w:tc>
      </w:tr>
      <w:tr w:rsidR="00A15C2C" w14:paraId="33AF5336" w14:textId="77777777" w:rsidTr="00343F45">
        <w:trPr>
          <w:trHeight w:val="290"/>
        </w:trPr>
        <w:tc>
          <w:tcPr>
            <w:tcW w:w="1096" w:type="dxa"/>
            <w:noWrap/>
            <w:vAlign w:val="center"/>
            <w:hideMark/>
          </w:tcPr>
          <w:p w14:paraId="58936E39"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1</w:t>
            </w:r>
          </w:p>
        </w:tc>
        <w:tc>
          <w:tcPr>
            <w:tcW w:w="1084" w:type="dxa"/>
            <w:noWrap/>
          </w:tcPr>
          <w:p w14:paraId="2AF87872" w14:textId="77777777" w:rsidR="006F259C" w:rsidRPr="009D65BE" w:rsidRDefault="000F5B51" w:rsidP="00343F45">
            <w:pPr>
              <w:spacing w:line="240" w:lineRule="auto"/>
              <w:jc w:val="center"/>
              <w:rPr>
                <w:rFonts w:eastAsia="Times New Roman" w:cs="Times New Roman"/>
                <w:color w:val="000000"/>
              </w:rPr>
            </w:pPr>
            <w:r w:rsidRPr="00723E03">
              <w:t>14.63</w:t>
            </w:r>
          </w:p>
        </w:tc>
        <w:tc>
          <w:tcPr>
            <w:tcW w:w="1816" w:type="dxa"/>
            <w:noWrap/>
            <w:vAlign w:val="center"/>
            <w:hideMark/>
          </w:tcPr>
          <w:p w14:paraId="19316AEF" w14:textId="77777777" w:rsidR="006F259C" w:rsidRPr="009D65BE" w:rsidRDefault="000F5B51" w:rsidP="00343F45">
            <w:pPr>
              <w:spacing w:line="240" w:lineRule="auto"/>
              <w:jc w:val="center"/>
              <w:rPr>
                <w:rFonts w:eastAsia="Times New Roman" w:cs="Times New Roman"/>
                <w:color w:val="000000"/>
              </w:rPr>
            </w:pPr>
            <w:r w:rsidRPr="009D65BE">
              <w:rPr>
                <w:rFonts w:eastAsia="Times New Roman" w:cs="Times New Roman"/>
                <w:color w:val="000000"/>
              </w:rPr>
              <w:t>$56,035</w:t>
            </w:r>
          </w:p>
        </w:tc>
        <w:tc>
          <w:tcPr>
            <w:tcW w:w="1777" w:type="dxa"/>
            <w:noWrap/>
            <w:vAlign w:val="bottom"/>
          </w:tcPr>
          <w:p w14:paraId="17E00B2C" w14:textId="77777777" w:rsidR="006F259C" w:rsidRPr="00325C3E" w:rsidRDefault="000F5B51" w:rsidP="00343F45">
            <w:pPr>
              <w:spacing w:line="240" w:lineRule="auto"/>
              <w:jc w:val="center"/>
              <w:rPr>
                <w:rFonts w:eastAsia="Times New Roman" w:cs="Times New Roman"/>
                <w:color w:val="000000"/>
              </w:rPr>
            </w:pPr>
            <w:r w:rsidRPr="00CC4686">
              <w:rPr>
                <w:rFonts w:cs="Times New Roman"/>
                <w:color w:val="000000"/>
              </w:rPr>
              <w:t>$819,722</w:t>
            </w:r>
          </w:p>
        </w:tc>
        <w:tc>
          <w:tcPr>
            <w:tcW w:w="1096" w:type="dxa"/>
            <w:noWrap/>
            <w:vAlign w:val="center"/>
            <w:hideMark/>
          </w:tcPr>
          <w:p w14:paraId="0919613E"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1</w:t>
            </w:r>
          </w:p>
        </w:tc>
        <w:tc>
          <w:tcPr>
            <w:tcW w:w="1053" w:type="dxa"/>
            <w:noWrap/>
          </w:tcPr>
          <w:p w14:paraId="2DB43B3A" w14:textId="77777777" w:rsidR="006F259C" w:rsidRPr="009D65BE" w:rsidRDefault="000F5B51" w:rsidP="00343F45">
            <w:pPr>
              <w:spacing w:line="240" w:lineRule="auto"/>
              <w:jc w:val="center"/>
              <w:rPr>
                <w:rFonts w:eastAsia="Times New Roman" w:cs="Times New Roman"/>
                <w:color w:val="000000"/>
              </w:rPr>
            </w:pPr>
            <w:r w:rsidRPr="00B57987">
              <w:t>21.98</w:t>
            </w:r>
          </w:p>
        </w:tc>
        <w:tc>
          <w:tcPr>
            <w:tcW w:w="1816" w:type="dxa"/>
            <w:noWrap/>
            <w:vAlign w:val="center"/>
            <w:hideMark/>
          </w:tcPr>
          <w:p w14:paraId="7650E048" w14:textId="77777777" w:rsidR="006F259C" w:rsidRPr="009D65BE" w:rsidRDefault="000F5B51" w:rsidP="00343F45">
            <w:pPr>
              <w:spacing w:line="240" w:lineRule="auto"/>
              <w:jc w:val="center"/>
              <w:rPr>
                <w:rFonts w:eastAsia="Times New Roman" w:cs="Times New Roman"/>
                <w:color w:val="000000"/>
              </w:rPr>
            </w:pPr>
            <w:r w:rsidRPr="009D65BE">
              <w:rPr>
                <w:rFonts w:eastAsia="Times New Roman" w:cs="Times New Roman"/>
                <w:color w:val="000000"/>
              </w:rPr>
              <w:t>$56,035</w:t>
            </w:r>
          </w:p>
        </w:tc>
        <w:tc>
          <w:tcPr>
            <w:tcW w:w="1777" w:type="dxa"/>
            <w:noWrap/>
          </w:tcPr>
          <w:p w14:paraId="17B91D8C" w14:textId="77777777" w:rsidR="006F259C" w:rsidRPr="009D65BE" w:rsidRDefault="000F5B51" w:rsidP="00343F45">
            <w:pPr>
              <w:spacing w:line="240" w:lineRule="auto"/>
              <w:jc w:val="center"/>
              <w:rPr>
                <w:rFonts w:eastAsia="Times New Roman" w:cs="Times New Roman"/>
                <w:color w:val="000000"/>
              </w:rPr>
            </w:pPr>
            <w:r w:rsidRPr="00F13412">
              <w:t>$1,231,847</w:t>
            </w:r>
          </w:p>
        </w:tc>
      </w:tr>
      <w:tr w:rsidR="00A15C2C" w14:paraId="161E8A86" w14:textId="77777777" w:rsidTr="00343F45">
        <w:trPr>
          <w:trHeight w:val="290"/>
        </w:trPr>
        <w:tc>
          <w:tcPr>
            <w:tcW w:w="1096" w:type="dxa"/>
            <w:noWrap/>
            <w:vAlign w:val="center"/>
            <w:hideMark/>
          </w:tcPr>
          <w:p w14:paraId="6817FFCD"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2</w:t>
            </w:r>
          </w:p>
        </w:tc>
        <w:tc>
          <w:tcPr>
            <w:tcW w:w="1084" w:type="dxa"/>
            <w:noWrap/>
          </w:tcPr>
          <w:p w14:paraId="7BBD5CB8" w14:textId="77777777" w:rsidR="006F259C" w:rsidRPr="009D65BE" w:rsidRDefault="000F5B51" w:rsidP="00343F45">
            <w:pPr>
              <w:spacing w:line="240" w:lineRule="auto"/>
              <w:jc w:val="center"/>
              <w:rPr>
                <w:rFonts w:eastAsia="Times New Roman" w:cs="Times New Roman"/>
                <w:color w:val="000000"/>
              </w:rPr>
            </w:pPr>
            <w:r w:rsidRPr="00723E03">
              <w:t>26.77</w:t>
            </w:r>
          </w:p>
        </w:tc>
        <w:tc>
          <w:tcPr>
            <w:tcW w:w="1816" w:type="dxa"/>
            <w:noWrap/>
            <w:vAlign w:val="center"/>
            <w:hideMark/>
          </w:tcPr>
          <w:p w14:paraId="2A9B0BB6" w14:textId="77777777" w:rsidR="006F259C" w:rsidRPr="009D65BE" w:rsidRDefault="000F5B51" w:rsidP="00343F45">
            <w:pPr>
              <w:spacing w:line="240" w:lineRule="auto"/>
              <w:jc w:val="center"/>
              <w:rPr>
                <w:rFonts w:eastAsia="Times New Roman" w:cs="Times New Roman"/>
                <w:color w:val="000000"/>
              </w:rPr>
            </w:pPr>
            <w:r w:rsidRPr="009D65BE">
              <w:rPr>
                <w:rFonts w:eastAsia="Times New Roman" w:cs="Times New Roman"/>
                <w:color w:val="000000"/>
              </w:rPr>
              <w:t>$553,146</w:t>
            </w:r>
          </w:p>
        </w:tc>
        <w:tc>
          <w:tcPr>
            <w:tcW w:w="1777" w:type="dxa"/>
            <w:noWrap/>
            <w:vAlign w:val="bottom"/>
          </w:tcPr>
          <w:p w14:paraId="191D0B2E" w14:textId="77777777" w:rsidR="006F259C" w:rsidRPr="00325C3E" w:rsidRDefault="000F5B51" w:rsidP="00343F45">
            <w:pPr>
              <w:spacing w:line="240" w:lineRule="auto"/>
              <w:jc w:val="center"/>
              <w:rPr>
                <w:rFonts w:eastAsia="Times New Roman" w:cs="Times New Roman"/>
                <w:color w:val="000000"/>
              </w:rPr>
            </w:pPr>
            <w:r w:rsidRPr="00CC4686">
              <w:rPr>
                <w:rFonts w:cs="Times New Roman"/>
                <w:color w:val="000000"/>
              </w:rPr>
              <w:t>$14,808,545</w:t>
            </w:r>
          </w:p>
        </w:tc>
        <w:tc>
          <w:tcPr>
            <w:tcW w:w="1096" w:type="dxa"/>
            <w:noWrap/>
            <w:vAlign w:val="center"/>
            <w:hideMark/>
          </w:tcPr>
          <w:p w14:paraId="0A4290D2"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2</w:t>
            </w:r>
          </w:p>
        </w:tc>
        <w:tc>
          <w:tcPr>
            <w:tcW w:w="1053" w:type="dxa"/>
            <w:noWrap/>
          </w:tcPr>
          <w:p w14:paraId="36BA891A" w14:textId="77777777" w:rsidR="006F259C" w:rsidRPr="009D65BE" w:rsidRDefault="000F5B51" w:rsidP="00343F45">
            <w:pPr>
              <w:spacing w:line="240" w:lineRule="auto"/>
              <w:jc w:val="center"/>
              <w:rPr>
                <w:rFonts w:eastAsia="Times New Roman" w:cs="Times New Roman"/>
                <w:color w:val="000000"/>
              </w:rPr>
            </w:pPr>
            <w:r w:rsidRPr="00B57987">
              <w:t>40.23</w:t>
            </w:r>
          </w:p>
        </w:tc>
        <w:tc>
          <w:tcPr>
            <w:tcW w:w="1816" w:type="dxa"/>
            <w:noWrap/>
            <w:vAlign w:val="center"/>
            <w:hideMark/>
          </w:tcPr>
          <w:p w14:paraId="2D2A88DB" w14:textId="77777777" w:rsidR="006F259C" w:rsidRPr="009D65BE" w:rsidRDefault="000F5B51" w:rsidP="00343F45">
            <w:pPr>
              <w:spacing w:line="240" w:lineRule="auto"/>
              <w:jc w:val="center"/>
              <w:rPr>
                <w:rFonts w:eastAsia="Times New Roman" w:cs="Times New Roman"/>
                <w:color w:val="000000"/>
              </w:rPr>
            </w:pPr>
            <w:r w:rsidRPr="009D65BE">
              <w:rPr>
                <w:rFonts w:eastAsia="Times New Roman" w:cs="Times New Roman"/>
                <w:color w:val="000000"/>
              </w:rPr>
              <w:t>$553,146</w:t>
            </w:r>
          </w:p>
        </w:tc>
        <w:tc>
          <w:tcPr>
            <w:tcW w:w="1777" w:type="dxa"/>
            <w:noWrap/>
          </w:tcPr>
          <w:p w14:paraId="53D10E4D" w14:textId="77777777" w:rsidR="006F259C" w:rsidRPr="009D65BE" w:rsidRDefault="000F5B51" w:rsidP="00343F45">
            <w:pPr>
              <w:spacing w:line="240" w:lineRule="auto"/>
              <w:jc w:val="center"/>
              <w:rPr>
                <w:rFonts w:eastAsia="Times New Roman" w:cs="Times New Roman"/>
                <w:color w:val="000000"/>
              </w:rPr>
            </w:pPr>
            <w:r w:rsidRPr="00F13412">
              <w:t>$22,253,726</w:t>
            </w:r>
          </w:p>
        </w:tc>
      </w:tr>
      <w:tr w:rsidR="00A15C2C" w14:paraId="37BA6D41" w14:textId="77777777" w:rsidTr="00343F45">
        <w:trPr>
          <w:trHeight w:val="290"/>
        </w:trPr>
        <w:tc>
          <w:tcPr>
            <w:tcW w:w="1096" w:type="dxa"/>
            <w:noWrap/>
            <w:vAlign w:val="center"/>
            <w:hideMark/>
          </w:tcPr>
          <w:p w14:paraId="2CB4F565"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3</w:t>
            </w:r>
          </w:p>
        </w:tc>
        <w:tc>
          <w:tcPr>
            <w:tcW w:w="1084" w:type="dxa"/>
            <w:noWrap/>
          </w:tcPr>
          <w:p w14:paraId="3536FECE" w14:textId="77777777" w:rsidR="006F259C" w:rsidRPr="009D65BE" w:rsidRDefault="000F5B51" w:rsidP="00343F45">
            <w:pPr>
              <w:spacing w:line="240" w:lineRule="auto"/>
              <w:jc w:val="center"/>
              <w:rPr>
                <w:rFonts w:eastAsia="Times New Roman" w:cs="Times New Roman"/>
                <w:color w:val="000000"/>
              </w:rPr>
            </w:pPr>
            <w:r w:rsidRPr="00723E03">
              <w:t>3.71</w:t>
            </w:r>
          </w:p>
        </w:tc>
        <w:tc>
          <w:tcPr>
            <w:tcW w:w="1816" w:type="dxa"/>
            <w:noWrap/>
            <w:vAlign w:val="center"/>
            <w:hideMark/>
          </w:tcPr>
          <w:p w14:paraId="19D9F9E2" w14:textId="77777777" w:rsidR="006F259C" w:rsidRPr="009D65BE" w:rsidRDefault="000F5B51" w:rsidP="00343F45">
            <w:pPr>
              <w:spacing w:line="240" w:lineRule="auto"/>
              <w:jc w:val="center"/>
              <w:rPr>
                <w:rFonts w:eastAsia="Times New Roman" w:cs="Times New Roman"/>
                <w:color w:val="000000"/>
              </w:rPr>
            </w:pPr>
            <w:r w:rsidRPr="009D65BE">
              <w:rPr>
                <w:rFonts w:eastAsia="Times New Roman" w:cs="Times New Roman"/>
                <w:color w:val="000000"/>
              </w:rPr>
              <w:t>$1,307,335</w:t>
            </w:r>
          </w:p>
        </w:tc>
        <w:tc>
          <w:tcPr>
            <w:tcW w:w="1777" w:type="dxa"/>
            <w:noWrap/>
            <w:vAlign w:val="bottom"/>
          </w:tcPr>
          <w:p w14:paraId="5A540CCC" w14:textId="77777777" w:rsidR="006F259C" w:rsidRPr="00325C3E" w:rsidRDefault="000F5B51" w:rsidP="00343F45">
            <w:pPr>
              <w:spacing w:line="240" w:lineRule="auto"/>
              <w:jc w:val="center"/>
              <w:rPr>
                <w:rFonts w:eastAsia="Times New Roman" w:cs="Times New Roman"/>
                <w:color w:val="000000"/>
              </w:rPr>
            </w:pPr>
            <w:r w:rsidRPr="00CC4686">
              <w:rPr>
                <w:rFonts w:cs="Times New Roman"/>
                <w:color w:val="000000"/>
              </w:rPr>
              <w:t>$4,847,851</w:t>
            </w:r>
          </w:p>
        </w:tc>
        <w:tc>
          <w:tcPr>
            <w:tcW w:w="1096" w:type="dxa"/>
            <w:noWrap/>
            <w:vAlign w:val="center"/>
            <w:hideMark/>
          </w:tcPr>
          <w:p w14:paraId="657BC2B4"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3</w:t>
            </w:r>
          </w:p>
        </w:tc>
        <w:tc>
          <w:tcPr>
            <w:tcW w:w="1053" w:type="dxa"/>
            <w:noWrap/>
          </w:tcPr>
          <w:p w14:paraId="57E95000" w14:textId="77777777" w:rsidR="006F259C" w:rsidRPr="009D65BE" w:rsidRDefault="000F5B51" w:rsidP="00343F45">
            <w:pPr>
              <w:spacing w:line="240" w:lineRule="auto"/>
              <w:jc w:val="center"/>
              <w:rPr>
                <w:rFonts w:eastAsia="Times New Roman" w:cs="Times New Roman"/>
                <w:color w:val="000000"/>
              </w:rPr>
            </w:pPr>
            <w:r w:rsidRPr="00B57987">
              <w:t>5.57</w:t>
            </w:r>
          </w:p>
        </w:tc>
        <w:tc>
          <w:tcPr>
            <w:tcW w:w="1816" w:type="dxa"/>
            <w:noWrap/>
            <w:vAlign w:val="center"/>
            <w:hideMark/>
          </w:tcPr>
          <w:p w14:paraId="2CAEFD52" w14:textId="77777777" w:rsidR="006F259C" w:rsidRPr="009D65BE" w:rsidRDefault="000F5B51" w:rsidP="00343F45">
            <w:pPr>
              <w:spacing w:line="240" w:lineRule="auto"/>
              <w:jc w:val="center"/>
              <w:rPr>
                <w:rFonts w:eastAsia="Times New Roman" w:cs="Times New Roman"/>
                <w:color w:val="000000"/>
              </w:rPr>
            </w:pPr>
            <w:r w:rsidRPr="009D65BE">
              <w:rPr>
                <w:rFonts w:eastAsia="Times New Roman" w:cs="Times New Roman"/>
                <w:color w:val="000000"/>
              </w:rPr>
              <w:t>$1,307,335</w:t>
            </w:r>
          </w:p>
        </w:tc>
        <w:tc>
          <w:tcPr>
            <w:tcW w:w="1777" w:type="dxa"/>
            <w:noWrap/>
          </w:tcPr>
          <w:p w14:paraId="50390D27" w14:textId="77777777" w:rsidR="006F259C" w:rsidRPr="009D65BE" w:rsidRDefault="000F5B51" w:rsidP="00343F45">
            <w:pPr>
              <w:spacing w:line="240" w:lineRule="auto"/>
              <w:jc w:val="center"/>
              <w:rPr>
                <w:rFonts w:eastAsia="Times New Roman" w:cs="Times New Roman"/>
                <w:color w:val="000000"/>
              </w:rPr>
            </w:pPr>
            <w:r w:rsidRPr="00F13412">
              <w:t>$7,285,168</w:t>
            </w:r>
          </w:p>
        </w:tc>
      </w:tr>
      <w:tr w:rsidR="00A15C2C" w14:paraId="1405BAEB" w14:textId="77777777" w:rsidTr="00343F45">
        <w:trPr>
          <w:trHeight w:val="290"/>
        </w:trPr>
        <w:tc>
          <w:tcPr>
            <w:tcW w:w="1096" w:type="dxa"/>
            <w:noWrap/>
            <w:vAlign w:val="center"/>
            <w:hideMark/>
          </w:tcPr>
          <w:p w14:paraId="05FE3986"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4</w:t>
            </w:r>
          </w:p>
        </w:tc>
        <w:tc>
          <w:tcPr>
            <w:tcW w:w="1084" w:type="dxa"/>
            <w:noWrap/>
          </w:tcPr>
          <w:p w14:paraId="04F1742B" w14:textId="77777777" w:rsidR="006F259C" w:rsidRPr="009D65BE" w:rsidRDefault="000F5B51" w:rsidP="00343F45">
            <w:pPr>
              <w:spacing w:line="240" w:lineRule="auto"/>
              <w:jc w:val="center"/>
              <w:rPr>
                <w:rFonts w:eastAsia="Times New Roman" w:cs="Times New Roman"/>
                <w:color w:val="000000"/>
              </w:rPr>
            </w:pPr>
            <w:r w:rsidRPr="00723E03">
              <w:t>3.68</w:t>
            </w:r>
          </w:p>
        </w:tc>
        <w:tc>
          <w:tcPr>
            <w:tcW w:w="1816" w:type="dxa"/>
            <w:noWrap/>
            <w:vAlign w:val="center"/>
            <w:hideMark/>
          </w:tcPr>
          <w:p w14:paraId="3E0248B9" w14:textId="77777777" w:rsidR="006F259C" w:rsidRPr="009D65BE" w:rsidRDefault="000F5B51" w:rsidP="00343F45">
            <w:pPr>
              <w:spacing w:line="240" w:lineRule="auto"/>
              <w:jc w:val="center"/>
              <w:rPr>
                <w:rFonts w:eastAsia="Times New Roman" w:cs="Times New Roman"/>
                <w:color w:val="000000"/>
              </w:rPr>
            </w:pPr>
            <w:r w:rsidRPr="009D65BE">
              <w:rPr>
                <w:rFonts w:eastAsia="Times New Roman" w:cs="Times New Roman"/>
                <w:color w:val="000000"/>
              </w:rPr>
              <w:t>$3,215,701</w:t>
            </w:r>
          </w:p>
        </w:tc>
        <w:tc>
          <w:tcPr>
            <w:tcW w:w="1777" w:type="dxa"/>
            <w:noWrap/>
            <w:vAlign w:val="bottom"/>
          </w:tcPr>
          <w:p w14:paraId="78ACB666" w14:textId="77777777" w:rsidR="006F259C" w:rsidRPr="00325C3E" w:rsidRDefault="000F5B51" w:rsidP="00343F45">
            <w:pPr>
              <w:spacing w:line="240" w:lineRule="auto"/>
              <w:jc w:val="center"/>
              <w:rPr>
                <w:rFonts w:eastAsia="Times New Roman" w:cs="Times New Roman"/>
                <w:color w:val="000000"/>
              </w:rPr>
            </w:pPr>
            <w:r w:rsidRPr="00CC4686">
              <w:rPr>
                <w:rFonts w:cs="Times New Roman"/>
                <w:color w:val="000000"/>
              </w:rPr>
              <w:t>$11,824,694</w:t>
            </w:r>
          </w:p>
        </w:tc>
        <w:tc>
          <w:tcPr>
            <w:tcW w:w="1096" w:type="dxa"/>
            <w:noWrap/>
            <w:vAlign w:val="center"/>
            <w:hideMark/>
          </w:tcPr>
          <w:p w14:paraId="14DE550D"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4</w:t>
            </w:r>
          </w:p>
        </w:tc>
        <w:tc>
          <w:tcPr>
            <w:tcW w:w="1053" w:type="dxa"/>
            <w:noWrap/>
          </w:tcPr>
          <w:p w14:paraId="3071A013" w14:textId="77777777" w:rsidR="006F259C" w:rsidRPr="009D65BE" w:rsidRDefault="000F5B51" w:rsidP="00343F45">
            <w:pPr>
              <w:spacing w:line="240" w:lineRule="auto"/>
              <w:jc w:val="center"/>
              <w:rPr>
                <w:rFonts w:eastAsia="Times New Roman" w:cs="Times New Roman"/>
                <w:color w:val="000000"/>
              </w:rPr>
            </w:pPr>
            <w:r w:rsidRPr="00B57987">
              <w:t>5.53</w:t>
            </w:r>
          </w:p>
        </w:tc>
        <w:tc>
          <w:tcPr>
            <w:tcW w:w="1816" w:type="dxa"/>
            <w:noWrap/>
            <w:vAlign w:val="center"/>
            <w:hideMark/>
          </w:tcPr>
          <w:p w14:paraId="1216D644" w14:textId="77777777" w:rsidR="006F259C" w:rsidRPr="009D65BE" w:rsidRDefault="000F5B51" w:rsidP="00343F45">
            <w:pPr>
              <w:spacing w:line="240" w:lineRule="auto"/>
              <w:jc w:val="center"/>
              <w:rPr>
                <w:rFonts w:eastAsia="Times New Roman" w:cs="Times New Roman"/>
                <w:color w:val="000000"/>
              </w:rPr>
            </w:pPr>
            <w:r w:rsidRPr="009D65BE">
              <w:rPr>
                <w:rFonts w:eastAsia="Times New Roman" w:cs="Times New Roman"/>
                <w:color w:val="000000"/>
              </w:rPr>
              <w:t>$3,215,701</w:t>
            </w:r>
          </w:p>
        </w:tc>
        <w:tc>
          <w:tcPr>
            <w:tcW w:w="1777" w:type="dxa"/>
            <w:noWrap/>
          </w:tcPr>
          <w:p w14:paraId="1126AE9F" w14:textId="77777777" w:rsidR="006F259C" w:rsidRPr="009D65BE" w:rsidRDefault="000F5B51" w:rsidP="00343F45">
            <w:pPr>
              <w:spacing w:line="240" w:lineRule="auto"/>
              <w:jc w:val="center"/>
              <w:rPr>
                <w:rFonts w:eastAsia="Times New Roman" w:cs="Times New Roman"/>
                <w:color w:val="000000"/>
              </w:rPr>
            </w:pPr>
            <w:r w:rsidRPr="00F13412">
              <w:t>$17,769,705</w:t>
            </w:r>
          </w:p>
        </w:tc>
      </w:tr>
      <w:tr w:rsidR="00A15C2C" w14:paraId="1B9BEAD2" w14:textId="77777777" w:rsidTr="00343F45">
        <w:trPr>
          <w:trHeight w:val="290"/>
        </w:trPr>
        <w:tc>
          <w:tcPr>
            <w:tcW w:w="1096" w:type="dxa"/>
            <w:noWrap/>
            <w:vAlign w:val="center"/>
            <w:hideMark/>
          </w:tcPr>
          <w:p w14:paraId="3AE082D7"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5</w:t>
            </w:r>
          </w:p>
        </w:tc>
        <w:tc>
          <w:tcPr>
            <w:tcW w:w="1084" w:type="dxa"/>
            <w:noWrap/>
          </w:tcPr>
          <w:p w14:paraId="52085828" w14:textId="77777777" w:rsidR="006F259C" w:rsidRPr="009D65BE" w:rsidRDefault="000F5B51" w:rsidP="00343F45">
            <w:pPr>
              <w:spacing w:line="240" w:lineRule="auto"/>
              <w:jc w:val="center"/>
              <w:rPr>
                <w:rFonts w:eastAsia="Times New Roman" w:cs="Times New Roman"/>
                <w:color w:val="000000"/>
              </w:rPr>
            </w:pPr>
            <w:r w:rsidRPr="00723E03">
              <w:t>0.11</w:t>
            </w:r>
          </w:p>
        </w:tc>
        <w:tc>
          <w:tcPr>
            <w:tcW w:w="1816" w:type="dxa"/>
            <w:noWrap/>
            <w:vAlign w:val="center"/>
            <w:hideMark/>
          </w:tcPr>
          <w:p w14:paraId="252ADF82" w14:textId="77777777" w:rsidR="006F259C" w:rsidRPr="009D65BE" w:rsidRDefault="000F5B51" w:rsidP="00343F45">
            <w:pPr>
              <w:spacing w:line="240" w:lineRule="auto"/>
              <w:jc w:val="center"/>
              <w:rPr>
                <w:rFonts w:eastAsia="Times New Roman" w:cs="Times New Roman"/>
                <w:color w:val="000000"/>
              </w:rPr>
            </w:pPr>
            <w:r w:rsidRPr="009D65BE">
              <w:rPr>
                <w:rFonts w:eastAsia="Times New Roman" w:cs="Times New Roman"/>
                <w:color w:val="000000"/>
              </w:rPr>
              <w:t>$7,327,043</w:t>
            </w:r>
          </w:p>
        </w:tc>
        <w:tc>
          <w:tcPr>
            <w:tcW w:w="1777" w:type="dxa"/>
            <w:noWrap/>
            <w:vAlign w:val="bottom"/>
          </w:tcPr>
          <w:p w14:paraId="78CD440E" w14:textId="77777777" w:rsidR="006F259C" w:rsidRPr="00325C3E" w:rsidRDefault="000F5B51" w:rsidP="00343F45">
            <w:pPr>
              <w:spacing w:line="240" w:lineRule="auto"/>
              <w:jc w:val="center"/>
              <w:rPr>
                <w:rFonts w:eastAsia="Times New Roman" w:cs="Times New Roman"/>
                <w:color w:val="000000"/>
              </w:rPr>
            </w:pPr>
            <w:r w:rsidRPr="00CC4686">
              <w:rPr>
                <w:rFonts w:cs="Times New Roman"/>
                <w:color w:val="000000"/>
              </w:rPr>
              <w:t>$782,797</w:t>
            </w:r>
          </w:p>
        </w:tc>
        <w:tc>
          <w:tcPr>
            <w:tcW w:w="1096" w:type="dxa"/>
            <w:noWrap/>
            <w:vAlign w:val="center"/>
            <w:hideMark/>
          </w:tcPr>
          <w:p w14:paraId="75B8D860"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5</w:t>
            </w:r>
          </w:p>
        </w:tc>
        <w:tc>
          <w:tcPr>
            <w:tcW w:w="1053" w:type="dxa"/>
            <w:noWrap/>
          </w:tcPr>
          <w:p w14:paraId="4F51CE7D" w14:textId="77777777" w:rsidR="006F259C" w:rsidRPr="009D65BE" w:rsidRDefault="000F5B51" w:rsidP="00343F45">
            <w:pPr>
              <w:spacing w:line="240" w:lineRule="auto"/>
              <w:jc w:val="center"/>
              <w:rPr>
                <w:rFonts w:eastAsia="Times New Roman" w:cs="Times New Roman"/>
                <w:color w:val="000000"/>
              </w:rPr>
            </w:pPr>
            <w:r w:rsidRPr="00B57987">
              <w:t>0.16</w:t>
            </w:r>
          </w:p>
        </w:tc>
        <w:tc>
          <w:tcPr>
            <w:tcW w:w="1816" w:type="dxa"/>
            <w:noWrap/>
            <w:vAlign w:val="center"/>
            <w:hideMark/>
          </w:tcPr>
          <w:p w14:paraId="106B75BE" w14:textId="77777777" w:rsidR="006F259C" w:rsidRPr="009D65BE" w:rsidRDefault="000F5B51" w:rsidP="00343F45">
            <w:pPr>
              <w:spacing w:line="240" w:lineRule="auto"/>
              <w:jc w:val="center"/>
              <w:rPr>
                <w:rFonts w:eastAsia="Times New Roman" w:cs="Times New Roman"/>
                <w:color w:val="000000"/>
              </w:rPr>
            </w:pPr>
            <w:r w:rsidRPr="009D65BE">
              <w:rPr>
                <w:rFonts w:eastAsia="Times New Roman" w:cs="Times New Roman"/>
                <w:color w:val="000000"/>
              </w:rPr>
              <w:t>$7,327,043</w:t>
            </w:r>
          </w:p>
        </w:tc>
        <w:tc>
          <w:tcPr>
            <w:tcW w:w="1777" w:type="dxa"/>
            <w:noWrap/>
          </w:tcPr>
          <w:p w14:paraId="0590B5D2" w14:textId="77777777" w:rsidR="006F259C" w:rsidRPr="009D65BE" w:rsidRDefault="000F5B51" w:rsidP="00343F45">
            <w:pPr>
              <w:spacing w:line="240" w:lineRule="auto"/>
              <w:jc w:val="center"/>
              <w:rPr>
                <w:rFonts w:eastAsia="Times New Roman" w:cs="Times New Roman"/>
                <w:color w:val="000000"/>
              </w:rPr>
            </w:pPr>
            <w:r w:rsidRPr="00F13412">
              <w:t>$1,176,358</w:t>
            </w:r>
          </w:p>
        </w:tc>
      </w:tr>
      <w:tr w:rsidR="00A15C2C" w14:paraId="7CEE8C04" w14:textId="77777777" w:rsidTr="00343F45">
        <w:trPr>
          <w:trHeight w:val="290"/>
        </w:trPr>
        <w:tc>
          <w:tcPr>
            <w:tcW w:w="1096" w:type="dxa"/>
            <w:noWrap/>
            <w:vAlign w:val="center"/>
            <w:hideMark/>
          </w:tcPr>
          <w:p w14:paraId="478C303D"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Fatalities</w:t>
            </w:r>
          </w:p>
        </w:tc>
        <w:tc>
          <w:tcPr>
            <w:tcW w:w="1084" w:type="dxa"/>
            <w:noWrap/>
          </w:tcPr>
          <w:p w14:paraId="6823659B" w14:textId="77777777" w:rsidR="006F259C" w:rsidRPr="009D65BE" w:rsidRDefault="000F5B51" w:rsidP="00343F45">
            <w:pPr>
              <w:spacing w:line="240" w:lineRule="auto"/>
              <w:jc w:val="center"/>
              <w:rPr>
                <w:rFonts w:eastAsia="Times New Roman" w:cs="Times New Roman"/>
                <w:color w:val="000000"/>
              </w:rPr>
            </w:pPr>
            <w:r w:rsidRPr="00723E03">
              <w:t>14.72</w:t>
            </w:r>
          </w:p>
        </w:tc>
        <w:tc>
          <w:tcPr>
            <w:tcW w:w="1816" w:type="dxa"/>
            <w:noWrap/>
            <w:vAlign w:val="center"/>
            <w:hideMark/>
          </w:tcPr>
          <w:p w14:paraId="30FDD628" w14:textId="77777777" w:rsidR="006F259C" w:rsidRPr="009D65BE" w:rsidRDefault="000F5B51" w:rsidP="00343F45">
            <w:pPr>
              <w:spacing w:line="240" w:lineRule="auto"/>
              <w:jc w:val="center"/>
              <w:rPr>
                <w:rFonts w:eastAsia="Times New Roman" w:cs="Times New Roman"/>
                <w:color w:val="000000"/>
              </w:rPr>
            </w:pPr>
            <w:r w:rsidRPr="009D65BE">
              <w:rPr>
                <w:rFonts w:eastAsia="Times New Roman" w:cs="Times New Roman"/>
                <w:color w:val="000000"/>
              </w:rPr>
              <w:t>$11,950,834</w:t>
            </w:r>
          </w:p>
        </w:tc>
        <w:tc>
          <w:tcPr>
            <w:tcW w:w="1777" w:type="dxa"/>
            <w:noWrap/>
            <w:vAlign w:val="bottom"/>
          </w:tcPr>
          <w:p w14:paraId="150D971F" w14:textId="77777777" w:rsidR="006F259C" w:rsidRPr="00325C3E" w:rsidRDefault="000F5B51" w:rsidP="00343F45">
            <w:pPr>
              <w:spacing w:line="240" w:lineRule="auto"/>
              <w:jc w:val="center"/>
              <w:rPr>
                <w:rFonts w:eastAsia="Times New Roman" w:cs="Times New Roman"/>
                <w:color w:val="000000"/>
              </w:rPr>
            </w:pPr>
            <w:r w:rsidRPr="00CC4686">
              <w:rPr>
                <w:rFonts w:cs="Times New Roman"/>
                <w:color w:val="000000"/>
              </w:rPr>
              <w:t>$175,922,641</w:t>
            </w:r>
          </w:p>
        </w:tc>
        <w:tc>
          <w:tcPr>
            <w:tcW w:w="1096" w:type="dxa"/>
            <w:noWrap/>
            <w:vAlign w:val="center"/>
            <w:hideMark/>
          </w:tcPr>
          <w:p w14:paraId="456B4AE4"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Fatalities</w:t>
            </w:r>
          </w:p>
        </w:tc>
        <w:tc>
          <w:tcPr>
            <w:tcW w:w="1053" w:type="dxa"/>
            <w:noWrap/>
          </w:tcPr>
          <w:p w14:paraId="4024E35F" w14:textId="77777777" w:rsidR="006F259C" w:rsidRPr="009D65BE" w:rsidRDefault="000F5B51" w:rsidP="00343F45">
            <w:pPr>
              <w:spacing w:line="240" w:lineRule="auto"/>
              <w:jc w:val="center"/>
              <w:rPr>
                <w:rFonts w:eastAsia="Times New Roman" w:cs="Times New Roman"/>
                <w:color w:val="000000"/>
              </w:rPr>
            </w:pPr>
            <w:r w:rsidRPr="004A5EDF">
              <w:rPr>
                <w:rFonts w:eastAsia="Times New Roman" w:cs="Times New Roman"/>
                <w:color w:val="000000"/>
              </w:rPr>
              <w:t>22.19</w:t>
            </w:r>
          </w:p>
        </w:tc>
        <w:tc>
          <w:tcPr>
            <w:tcW w:w="1816" w:type="dxa"/>
            <w:noWrap/>
            <w:vAlign w:val="center"/>
            <w:hideMark/>
          </w:tcPr>
          <w:p w14:paraId="6233857B" w14:textId="77777777" w:rsidR="006F259C" w:rsidRPr="009D65BE" w:rsidRDefault="000F5B51" w:rsidP="00343F45">
            <w:pPr>
              <w:spacing w:line="240" w:lineRule="auto"/>
              <w:jc w:val="center"/>
              <w:rPr>
                <w:rFonts w:eastAsia="Times New Roman" w:cs="Times New Roman"/>
                <w:color w:val="000000"/>
              </w:rPr>
            </w:pPr>
            <w:r w:rsidRPr="009D65BE">
              <w:rPr>
                <w:rFonts w:eastAsia="Times New Roman" w:cs="Times New Roman"/>
                <w:color w:val="000000"/>
              </w:rPr>
              <w:t>$11,950,834</w:t>
            </w:r>
          </w:p>
        </w:tc>
        <w:tc>
          <w:tcPr>
            <w:tcW w:w="1777" w:type="dxa"/>
            <w:noWrap/>
          </w:tcPr>
          <w:p w14:paraId="6D94B4F2" w14:textId="77777777" w:rsidR="006F259C" w:rsidRPr="009D65BE" w:rsidRDefault="000F5B51" w:rsidP="00343F45">
            <w:pPr>
              <w:spacing w:line="240" w:lineRule="auto"/>
              <w:jc w:val="center"/>
              <w:rPr>
                <w:rFonts w:eastAsia="Times New Roman" w:cs="Times New Roman"/>
                <w:color w:val="000000"/>
              </w:rPr>
            </w:pPr>
            <w:r w:rsidRPr="00F13412">
              <w:t>$265,146,564</w:t>
            </w:r>
          </w:p>
        </w:tc>
      </w:tr>
      <w:tr w:rsidR="00A15C2C" w14:paraId="2459620C" w14:textId="77777777" w:rsidTr="00343F45">
        <w:trPr>
          <w:trHeight w:val="290"/>
        </w:trPr>
        <w:tc>
          <w:tcPr>
            <w:tcW w:w="1096" w:type="dxa"/>
            <w:noWrap/>
            <w:vAlign w:val="center"/>
            <w:hideMark/>
          </w:tcPr>
          <w:p w14:paraId="667E6911" w14:textId="77777777" w:rsidR="006F259C" w:rsidRPr="00CC4686" w:rsidRDefault="000F5B51" w:rsidP="00343F45">
            <w:pPr>
              <w:spacing w:line="240" w:lineRule="auto"/>
              <w:rPr>
                <w:rFonts w:eastAsia="Times New Roman" w:cs="Times New Roman"/>
                <w:b/>
                <w:bCs/>
                <w:color w:val="000000"/>
              </w:rPr>
            </w:pPr>
            <w:r w:rsidRPr="00CC4686">
              <w:rPr>
                <w:rFonts w:eastAsia="Times New Roman" w:cs="Times New Roman"/>
                <w:b/>
                <w:bCs/>
                <w:color w:val="000000"/>
              </w:rPr>
              <w:t>Total</w:t>
            </w:r>
          </w:p>
        </w:tc>
        <w:tc>
          <w:tcPr>
            <w:tcW w:w="1084" w:type="dxa"/>
            <w:noWrap/>
            <w:vAlign w:val="center"/>
            <w:hideMark/>
          </w:tcPr>
          <w:p w14:paraId="1A919582" w14:textId="77777777" w:rsidR="006F259C" w:rsidRPr="00CC4686" w:rsidRDefault="006F259C" w:rsidP="00343F45">
            <w:pPr>
              <w:spacing w:line="240" w:lineRule="auto"/>
              <w:jc w:val="center"/>
              <w:rPr>
                <w:rFonts w:eastAsia="Times New Roman" w:cs="Times New Roman"/>
                <w:b/>
                <w:bCs/>
                <w:color w:val="000000"/>
              </w:rPr>
            </w:pPr>
          </w:p>
        </w:tc>
        <w:tc>
          <w:tcPr>
            <w:tcW w:w="1816" w:type="dxa"/>
            <w:noWrap/>
            <w:vAlign w:val="center"/>
            <w:hideMark/>
          </w:tcPr>
          <w:p w14:paraId="5E215805" w14:textId="77777777" w:rsidR="006F259C" w:rsidRPr="00CC4686" w:rsidRDefault="006F259C" w:rsidP="00343F45">
            <w:pPr>
              <w:spacing w:line="240" w:lineRule="auto"/>
              <w:jc w:val="center"/>
              <w:rPr>
                <w:rFonts w:eastAsia="Times New Roman" w:cs="Times New Roman"/>
                <w:b/>
                <w:bCs/>
              </w:rPr>
            </w:pPr>
          </w:p>
        </w:tc>
        <w:tc>
          <w:tcPr>
            <w:tcW w:w="1777" w:type="dxa"/>
            <w:noWrap/>
            <w:vAlign w:val="center"/>
          </w:tcPr>
          <w:p w14:paraId="403A8FB5" w14:textId="77777777" w:rsidR="006F259C" w:rsidRPr="00CC4686" w:rsidRDefault="000F5B51" w:rsidP="00343F45">
            <w:pPr>
              <w:spacing w:line="240" w:lineRule="auto"/>
              <w:jc w:val="center"/>
              <w:rPr>
                <w:rFonts w:cs="Times New Roman"/>
                <w:b/>
                <w:bCs/>
                <w:color w:val="000000"/>
              </w:rPr>
            </w:pPr>
            <w:r w:rsidRPr="00CC4686">
              <w:rPr>
                <w:rFonts w:cs="Times New Roman"/>
                <w:b/>
                <w:bCs/>
                <w:color w:val="000000"/>
              </w:rPr>
              <w:t>$209,006,250</w:t>
            </w:r>
          </w:p>
        </w:tc>
        <w:tc>
          <w:tcPr>
            <w:tcW w:w="1096" w:type="dxa"/>
            <w:noWrap/>
            <w:vAlign w:val="center"/>
            <w:hideMark/>
          </w:tcPr>
          <w:p w14:paraId="21A7EF11" w14:textId="77777777" w:rsidR="006F259C" w:rsidRPr="00CC4686" w:rsidRDefault="000F5B51" w:rsidP="00343F45">
            <w:pPr>
              <w:spacing w:line="240" w:lineRule="auto"/>
              <w:rPr>
                <w:rFonts w:eastAsia="Times New Roman" w:cs="Times New Roman"/>
                <w:b/>
                <w:bCs/>
                <w:color w:val="000000"/>
              </w:rPr>
            </w:pPr>
            <w:r w:rsidRPr="00CC4686">
              <w:rPr>
                <w:rFonts w:eastAsia="Times New Roman" w:cs="Times New Roman"/>
                <w:b/>
                <w:bCs/>
                <w:color w:val="000000"/>
              </w:rPr>
              <w:t>Total</w:t>
            </w:r>
          </w:p>
        </w:tc>
        <w:tc>
          <w:tcPr>
            <w:tcW w:w="1053" w:type="dxa"/>
            <w:noWrap/>
            <w:vAlign w:val="center"/>
            <w:hideMark/>
          </w:tcPr>
          <w:p w14:paraId="428B309F" w14:textId="77777777" w:rsidR="006F259C" w:rsidRPr="00CC4686" w:rsidRDefault="006F259C" w:rsidP="00343F45">
            <w:pPr>
              <w:spacing w:line="240" w:lineRule="auto"/>
              <w:jc w:val="center"/>
              <w:rPr>
                <w:rFonts w:eastAsia="Times New Roman" w:cs="Times New Roman"/>
                <w:b/>
                <w:bCs/>
                <w:color w:val="000000"/>
              </w:rPr>
            </w:pPr>
          </w:p>
        </w:tc>
        <w:tc>
          <w:tcPr>
            <w:tcW w:w="1816" w:type="dxa"/>
            <w:noWrap/>
            <w:vAlign w:val="center"/>
            <w:hideMark/>
          </w:tcPr>
          <w:p w14:paraId="70D52E9B" w14:textId="77777777" w:rsidR="006F259C" w:rsidRPr="00CC4686" w:rsidRDefault="006F259C" w:rsidP="00343F45">
            <w:pPr>
              <w:spacing w:line="240" w:lineRule="auto"/>
              <w:jc w:val="center"/>
              <w:rPr>
                <w:rFonts w:eastAsia="Times New Roman" w:cs="Times New Roman"/>
                <w:b/>
                <w:bCs/>
              </w:rPr>
            </w:pPr>
          </w:p>
        </w:tc>
        <w:tc>
          <w:tcPr>
            <w:tcW w:w="1777" w:type="dxa"/>
            <w:noWrap/>
          </w:tcPr>
          <w:p w14:paraId="3D69F143" w14:textId="77777777" w:rsidR="006F259C" w:rsidRPr="00CC4686" w:rsidRDefault="000F5B51" w:rsidP="00343F45">
            <w:pPr>
              <w:spacing w:line="240" w:lineRule="auto"/>
              <w:jc w:val="center"/>
              <w:rPr>
                <w:rFonts w:eastAsia="Times New Roman" w:cs="Times New Roman"/>
                <w:b/>
                <w:bCs/>
                <w:color w:val="000000"/>
              </w:rPr>
            </w:pPr>
            <w:r w:rsidRPr="00CC4686">
              <w:rPr>
                <w:b/>
                <w:bCs/>
              </w:rPr>
              <w:t>$314,863,368</w:t>
            </w:r>
          </w:p>
        </w:tc>
      </w:tr>
    </w:tbl>
    <w:p w14:paraId="14131D82" w14:textId="77777777" w:rsidR="006F259C" w:rsidRDefault="000F5B51" w:rsidP="006F259C">
      <w:pPr>
        <w:rPr>
          <w:rFonts w:ascii="Calibri" w:eastAsia="Times New Roman" w:hAnsi="Calibri" w:cs="Calibri"/>
          <w:color w:val="000000"/>
          <w:sz w:val="22"/>
        </w:rPr>
      </w:pPr>
      <w:r w:rsidRPr="00572735">
        <w:rPr>
          <w:sz w:val="18"/>
          <w:szCs w:val="16"/>
        </w:rPr>
        <w:t>Note: Values may not sum due to rounding.</w:t>
      </w:r>
    </w:p>
    <w:p w14:paraId="3C5FD214" w14:textId="77777777" w:rsidR="006F259C" w:rsidRPr="00CC4686" w:rsidRDefault="006F259C" w:rsidP="006F259C">
      <w:pPr>
        <w:pStyle w:val="NoSpaceTimes"/>
        <w:rPr>
          <w:b/>
          <w:bCs/>
        </w:rPr>
      </w:pPr>
    </w:p>
    <w:p w14:paraId="430B188A" w14:textId="77777777" w:rsidR="006F259C" w:rsidRDefault="006F259C" w:rsidP="006F259C">
      <w:pPr>
        <w:pStyle w:val="NoSpaceTimes"/>
      </w:pPr>
    </w:p>
    <w:p w14:paraId="1BB946B8" w14:textId="77777777" w:rsidR="006F259C" w:rsidRDefault="006F259C" w:rsidP="006F259C">
      <w:pPr>
        <w:pStyle w:val="NoSpaceTimes"/>
      </w:pPr>
    </w:p>
    <w:p w14:paraId="2DDAB97E" w14:textId="77777777" w:rsidR="006F259C" w:rsidRDefault="006F259C" w:rsidP="006F259C">
      <w:pPr>
        <w:pStyle w:val="NoSpaceTimes"/>
      </w:pPr>
    </w:p>
    <w:p w14:paraId="3B0AD68A" w14:textId="77777777" w:rsidR="006F259C" w:rsidRDefault="006F259C" w:rsidP="006F259C">
      <w:pPr>
        <w:pStyle w:val="NoSpaceTimes"/>
      </w:pPr>
    </w:p>
    <w:p w14:paraId="29D535B7" w14:textId="77777777" w:rsidR="006F259C" w:rsidRDefault="006F259C" w:rsidP="006F259C">
      <w:pPr>
        <w:pStyle w:val="NoSpaceTimes"/>
      </w:pPr>
    </w:p>
    <w:p w14:paraId="737A6F31" w14:textId="77777777" w:rsidR="006F259C" w:rsidRDefault="006F259C" w:rsidP="006F259C">
      <w:pPr>
        <w:pStyle w:val="NoSpaceTimes"/>
      </w:pPr>
    </w:p>
    <w:p w14:paraId="3B08901B" w14:textId="77777777" w:rsidR="006F259C" w:rsidRDefault="006F259C" w:rsidP="006F259C">
      <w:pPr>
        <w:pStyle w:val="Caption"/>
      </w:pPr>
    </w:p>
    <w:p w14:paraId="528D2576" w14:textId="4AD29676" w:rsidR="006F259C" w:rsidRPr="00D01142" w:rsidRDefault="000F5B51" w:rsidP="006F259C">
      <w:pPr>
        <w:pStyle w:val="Caption"/>
      </w:pPr>
      <w:r>
        <w:lastRenderedPageBreak/>
        <w:t xml:space="preserve">Table </w:t>
      </w:r>
      <w:r w:rsidR="00115BAB">
        <w:fldChar w:fldCharType="begin"/>
      </w:r>
      <w:r>
        <w:instrText xml:space="preserve"> SEQ Table \* ARABIC </w:instrText>
      </w:r>
      <w:r w:rsidR="00115BAB">
        <w:fldChar w:fldCharType="separate"/>
      </w:r>
      <w:r w:rsidR="00A65CB3">
        <w:rPr>
          <w:noProof/>
        </w:rPr>
        <w:t>150</w:t>
      </w:r>
      <w:r w:rsidR="00115BAB">
        <w:rPr>
          <w:noProof/>
        </w:rPr>
        <w:fldChar w:fldCharType="end"/>
      </w:r>
      <w:r>
        <w:t xml:space="preserve">: </w:t>
      </w:r>
      <w:r w:rsidRPr="0031671A">
        <w:t xml:space="preserve">Calculation of Monetized Benefits Discounted at 3% for Rear Seat Occupants </w:t>
      </w:r>
      <w:r>
        <w:t>6 to 10 Years Old</w:t>
      </w:r>
    </w:p>
    <w:tbl>
      <w:tblPr>
        <w:tblStyle w:val="TableGrid3"/>
        <w:tblW w:w="11515" w:type="dxa"/>
        <w:tblLook w:val="04A0" w:firstRow="1" w:lastRow="0" w:firstColumn="1" w:lastColumn="0" w:noHBand="0" w:noVBand="1"/>
      </w:tblPr>
      <w:tblGrid>
        <w:gridCol w:w="1096"/>
        <w:gridCol w:w="1084"/>
        <w:gridCol w:w="1816"/>
        <w:gridCol w:w="1777"/>
        <w:gridCol w:w="1096"/>
        <w:gridCol w:w="1053"/>
        <w:gridCol w:w="1816"/>
        <w:gridCol w:w="1777"/>
      </w:tblGrid>
      <w:tr w:rsidR="00A15C2C" w14:paraId="1ABA676A" w14:textId="77777777" w:rsidTr="00343F45">
        <w:trPr>
          <w:trHeight w:val="260"/>
        </w:trPr>
        <w:tc>
          <w:tcPr>
            <w:tcW w:w="1096" w:type="dxa"/>
            <w:shd w:val="clear" w:color="auto" w:fill="D9D9D9" w:themeFill="background1" w:themeFillShade="D9"/>
            <w:noWrap/>
            <w:vAlign w:val="center"/>
            <w:hideMark/>
          </w:tcPr>
          <w:p w14:paraId="0BE30EEA" w14:textId="77777777" w:rsidR="006F259C" w:rsidRPr="00572735" w:rsidRDefault="000F5B51" w:rsidP="00343F45">
            <w:pPr>
              <w:spacing w:line="240" w:lineRule="auto"/>
              <w:rPr>
                <w:rFonts w:eastAsia="Times New Roman" w:cs="Times New Roman"/>
                <w:b/>
                <w:bCs/>
                <w:color w:val="000000"/>
              </w:rPr>
            </w:pPr>
            <w:r w:rsidRPr="00572735">
              <w:rPr>
                <w:rFonts w:eastAsia="Times New Roman" w:cs="Times New Roman"/>
                <w:b/>
                <w:bCs/>
                <w:color w:val="000000"/>
              </w:rPr>
              <w:t>Injury Severity</w:t>
            </w:r>
          </w:p>
        </w:tc>
        <w:tc>
          <w:tcPr>
            <w:tcW w:w="1084" w:type="dxa"/>
            <w:shd w:val="clear" w:color="auto" w:fill="D9D9D9" w:themeFill="background1" w:themeFillShade="D9"/>
            <w:noWrap/>
            <w:vAlign w:val="center"/>
            <w:hideMark/>
          </w:tcPr>
          <w:p w14:paraId="20BFE1D4" w14:textId="77777777" w:rsidR="006F259C" w:rsidRPr="00572735" w:rsidRDefault="000F5B51" w:rsidP="00343F45">
            <w:pPr>
              <w:spacing w:line="240" w:lineRule="auto"/>
              <w:jc w:val="center"/>
              <w:rPr>
                <w:rFonts w:eastAsia="Times New Roman" w:cs="Times New Roman"/>
                <w:b/>
                <w:bCs/>
                <w:color w:val="000000"/>
              </w:rPr>
            </w:pPr>
            <w:r w:rsidRPr="00572735">
              <w:rPr>
                <w:rFonts w:eastAsia="Times New Roman" w:cs="Times New Roman"/>
                <w:b/>
                <w:bCs/>
                <w:color w:val="000000"/>
              </w:rPr>
              <w:t>Lo</w:t>
            </w:r>
          </w:p>
        </w:tc>
        <w:tc>
          <w:tcPr>
            <w:tcW w:w="1816" w:type="dxa"/>
            <w:shd w:val="clear" w:color="auto" w:fill="D9D9D9" w:themeFill="background1" w:themeFillShade="D9"/>
            <w:noWrap/>
            <w:vAlign w:val="center"/>
            <w:hideMark/>
          </w:tcPr>
          <w:p w14:paraId="7C474C0B" w14:textId="77777777" w:rsidR="006F259C" w:rsidRPr="00572735" w:rsidRDefault="000F5B51" w:rsidP="00343F45">
            <w:pPr>
              <w:spacing w:line="240" w:lineRule="auto"/>
              <w:jc w:val="center"/>
              <w:rPr>
                <w:rFonts w:eastAsia="Times New Roman" w:cs="Times New Roman"/>
                <w:b/>
                <w:bCs/>
              </w:rPr>
            </w:pPr>
            <w:r w:rsidRPr="00572735">
              <w:rPr>
                <w:rFonts w:eastAsia="Times New Roman" w:cs="Times New Roman"/>
                <w:b/>
                <w:szCs w:val="22"/>
              </w:rPr>
              <w:t>Comprehensive Unit Costs</w:t>
            </w:r>
          </w:p>
        </w:tc>
        <w:tc>
          <w:tcPr>
            <w:tcW w:w="1777" w:type="dxa"/>
            <w:shd w:val="clear" w:color="auto" w:fill="D9D9D9" w:themeFill="background1" w:themeFillShade="D9"/>
            <w:noWrap/>
            <w:vAlign w:val="center"/>
            <w:hideMark/>
          </w:tcPr>
          <w:p w14:paraId="563D2D84" w14:textId="77777777" w:rsidR="006F259C" w:rsidRPr="00572735" w:rsidRDefault="000F5B51" w:rsidP="00343F45">
            <w:pPr>
              <w:spacing w:line="240" w:lineRule="auto"/>
              <w:jc w:val="center"/>
              <w:rPr>
                <w:rFonts w:eastAsia="Times New Roman" w:cs="Times New Roman"/>
                <w:b/>
                <w:bCs/>
                <w:color w:val="000000"/>
              </w:rPr>
            </w:pPr>
            <w:r w:rsidRPr="00572735">
              <w:rPr>
                <w:rFonts w:eastAsia="Times New Roman" w:cs="Times New Roman"/>
                <w:b/>
                <w:bCs/>
                <w:color w:val="000000"/>
              </w:rPr>
              <w:t>Monetized Benefits</w:t>
            </w:r>
          </w:p>
        </w:tc>
        <w:tc>
          <w:tcPr>
            <w:tcW w:w="1096" w:type="dxa"/>
            <w:shd w:val="clear" w:color="auto" w:fill="D9D9D9" w:themeFill="background1" w:themeFillShade="D9"/>
            <w:noWrap/>
            <w:vAlign w:val="center"/>
            <w:hideMark/>
          </w:tcPr>
          <w:p w14:paraId="040813F9" w14:textId="77777777" w:rsidR="006F259C" w:rsidRPr="00572735" w:rsidRDefault="000F5B51" w:rsidP="00343F45">
            <w:pPr>
              <w:spacing w:line="240" w:lineRule="auto"/>
              <w:rPr>
                <w:rFonts w:eastAsia="Times New Roman" w:cs="Times New Roman"/>
                <w:b/>
                <w:bCs/>
                <w:color w:val="000000"/>
              </w:rPr>
            </w:pPr>
            <w:r w:rsidRPr="00572735">
              <w:rPr>
                <w:rFonts w:eastAsia="Times New Roman" w:cs="Times New Roman"/>
                <w:b/>
                <w:bCs/>
                <w:color w:val="000000"/>
              </w:rPr>
              <w:t>Injury Severity</w:t>
            </w:r>
          </w:p>
        </w:tc>
        <w:tc>
          <w:tcPr>
            <w:tcW w:w="1053" w:type="dxa"/>
            <w:shd w:val="clear" w:color="auto" w:fill="D9D9D9" w:themeFill="background1" w:themeFillShade="D9"/>
            <w:noWrap/>
            <w:vAlign w:val="center"/>
            <w:hideMark/>
          </w:tcPr>
          <w:p w14:paraId="44F2E3F7" w14:textId="77777777" w:rsidR="006F259C" w:rsidRPr="00572735" w:rsidRDefault="000F5B51" w:rsidP="00343F45">
            <w:pPr>
              <w:spacing w:line="240" w:lineRule="auto"/>
              <w:jc w:val="center"/>
              <w:rPr>
                <w:rFonts w:eastAsia="Times New Roman" w:cs="Times New Roman"/>
                <w:b/>
                <w:bCs/>
                <w:color w:val="000000"/>
              </w:rPr>
            </w:pPr>
            <w:r w:rsidRPr="00572735">
              <w:rPr>
                <w:rFonts w:eastAsia="Times New Roman" w:cs="Times New Roman"/>
                <w:b/>
                <w:bCs/>
                <w:color w:val="000000"/>
              </w:rPr>
              <w:t>Hi</w:t>
            </w:r>
          </w:p>
        </w:tc>
        <w:tc>
          <w:tcPr>
            <w:tcW w:w="1816" w:type="dxa"/>
            <w:shd w:val="clear" w:color="auto" w:fill="D9D9D9" w:themeFill="background1" w:themeFillShade="D9"/>
            <w:noWrap/>
            <w:vAlign w:val="center"/>
            <w:hideMark/>
          </w:tcPr>
          <w:p w14:paraId="35205086" w14:textId="77777777" w:rsidR="006F259C" w:rsidRPr="00572735" w:rsidRDefault="000F5B51" w:rsidP="00343F45">
            <w:pPr>
              <w:spacing w:line="240" w:lineRule="auto"/>
              <w:jc w:val="center"/>
              <w:rPr>
                <w:rFonts w:eastAsia="Times New Roman" w:cs="Times New Roman"/>
                <w:b/>
                <w:bCs/>
              </w:rPr>
            </w:pPr>
            <w:r w:rsidRPr="00572735">
              <w:rPr>
                <w:rFonts w:eastAsia="Times New Roman" w:cs="Times New Roman"/>
                <w:b/>
                <w:szCs w:val="22"/>
              </w:rPr>
              <w:t>Comprehensive Unit Costs</w:t>
            </w:r>
          </w:p>
        </w:tc>
        <w:tc>
          <w:tcPr>
            <w:tcW w:w="1777" w:type="dxa"/>
            <w:shd w:val="clear" w:color="auto" w:fill="D9D9D9" w:themeFill="background1" w:themeFillShade="D9"/>
            <w:noWrap/>
            <w:vAlign w:val="center"/>
            <w:hideMark/>
          </w:tcPr>
          <w:p w14:paraId="33BDFDB2" w14:textId="77777777" w:rsidR="006F259C" w:rsidRPr="00572735" w:rsidRDefault="000F5B51" w:rsidP="00343F45">
            <w:pPr>
              <w:spacing w:line="240" w:lineRule="auto"/>
              <w:jc w:val="center"/>
              <w:rPr>
                <w:rFonts w:eastAsia="Times New Roman" w:cs="Times New Roman"/>
                <w:b/>
                <w:bCs/>
                <w:color w:val="000000"/>
              </w:rPr>
            </w:pPr>
            <w:r w:rsidRPr="00572735">
              <w:rPr>
                <w:rFonts w:eastAsia="Times New Roman" w:cs="Times New Roman"/>
                <w:b/>
                <w:bCs/>
                <w:color w:val="000000"/>
              </w:rPr>
              <w:t>Monetized Benefits</w:t>
            </w:r>
          </w:p>
        </w:tc>
      </w:tr>
      <w:tr w:rsidR="00A15C2C" w14:paraId="5D939591" w14:textId="77777777" w:rsidTr="00343F45">
        <w:trPr>
          <w:trHeight w:val="290"/>
        </w:trPr>
        <w:tc>
          <w:tcPr>
            <w:tcW w:w="1096" w:type="dxa"/>
            <w:noWrap/>
            <w:vAlign w:val="center"/>
            <w:hideMark/>
          </w:tcPr>
          <w:p w14:paraId="7C1E0780" w14:textId="77777777" w:rsidR="006F259C" w:rsidRPr="00572735" w:rsidRDefault="000F5B51" w:rsidP="00343F45">
            <w:pPr>
              <w:spacing w:line="240" w:lineRule="auto"/>
              <w:rPr>
                <w:rFonts w:eastAsia="Times New Roman" w:cs="Times New Roman"/>
                <w:color w:val="000000"/>
              </w:rPr>
            </w:pPr>
            <w:r w:rsidRPr="00572735">
              <w:rPr>
                <w:rFonts w:eastAsia="Times New Roman" w:cs="Times New Roman"/>
                <w:color w:val="000000"/>
              </w:rPr>
              <w:t>MAIS 1</w:t>
            </w:r>
          </w:p>
        </w:tc>
        <w:tc>
          <w:tcPr>
            <w:tcW w:w="1084" w:type="dxa"/>
            <w:noWrap/>
          </w:tcPr>
          <w:p w14:paraId="2712A9F8" w14:textId="77777777" w:rsidR="006F259C" w:rsidRPr="00572735" w:rsidRDefault="000F5B51" w:rsidP="00343F45">
            <w:pPr>
              <w:spacing w:line="240" w:lineRule="auto"/>
              <w:jc w:val="center"/>
              <w:rPr>
                <w:rFonts w:eastAsia="Times New Roman" w:cs="Times New Roman"/>
                <w:color w:val="000000"/>
              </w:rPr>
            </w:pPr>
            <w:r w:rsidRPr="005D4A41">
              <w:t>0.49</w:t>
            </w:r>
          </w:p>
        </w:tc>
        <w:tc>
          <w:tcPr>
            <w:tcW w:w="1816" w:type="dxa"/>
            <w:noWrap/>
            <w:vAlign w:val="center"/>
            <w:hideMark/>
          </w:tcPr>
          <w:p w14:paraId="120F5B4D" w14:textId="77777777" w:rsidR="006F259C" w:rsidRPr="00572735" w:rsidRDefault="000F5B51" w:rsidP="00343F45">
            <w:pPr>
              <w:spacing w:line="240" w:lineRule="auto"/>
              <w:jc w:val="center"/>
              <w:rPr>
                <w:rFonts w:eastAsia="Times New Roman" w:cs="Times New Roman"/>
                <w:color w:val="000000"/>
              </w:rPr>
            </w:pPr>
            <w:r w:rsidRPr="00572735">
              <w:rPr>
                <w:rFonts w:eastAsia="Times New Roman" w:cs="Times New Roman"/>
                <w:color w:val="000000"/>
              </w:rPr>
              <w:t>$56,035</w:t>
            </w:r>
          </w:p>
        </w:tc>
        <w:tc>
          <w:tcPr>
            <w:tcW w:w="1777" w:type="dxa"/>
            <w:noWrap/>
          </w:tcPr>
          <w:p w14:paraId="722E4208" w14:textId="77777777" w:rsidR="006F259C" w:rsidRPr="00572735" w:rsidRDefault="000F5B51" w:rsidP="00343F45">
            <w:pPr>
              <w:spacing w:line="240" w:lineRule="auto"/>
              <w:jc w:val="center"/>
              <w:rPr>
                <w:rFonts w:eastAsia="Times New Roman" w:cs="Times New Roman"/>
                <w:color w:val="000000"/>
              </w:rPr>
            </w:pPr>
            <w:r w:rsidRPr="005F5852">
              <w:t>$27,650</w:t>
            </w:r>
          </w:p>
        </w:tc>
        <w:tc>
          <w:tcPr>
            <w:tcW w:w="1096" w:type="dxa"/>
            <w:noWrap/>
            <w:vAlign w:val="center"/>
            <w:hideMark/>
          </w:tcPr>
          <w:p w14:paraId="73A81B6C" w14:textId="77777777" w:rsidR="006F259C" w:rsidRPr="00572735" w:rsidRDefault="000F5B51" w:rsidP="00343F45">
            <w:pPr>
              <w:spacing w:line="240" w:lineRule="auto"/>
              <w:rPr>
                <w:rFonts w:eastAsia="Times New Roman" w:cs="Times New Roman"/>
                <w:color w:val="000000"/>
              </w:rPr>
            </w:pPr>
            <w:r w:rsidRPr="00572735">
              <w:rPr>
                <w:rFonts w:eastAsia="Times New Roman" w:cs="Times New Roman"/>
                <w:color w:val="000000"/>
              </w:rPr>
              <w:t>MAIS 1</w:t>
            </w:r>
          </w:p>
        </w:tc>
        <w:tc>
          <w:tcPr>
            <w:tcW w:w="1053" w:type="dxa"/>
            <w:noWrap/>
          </w:tcPr>
          <w:p w14:paraId="1330FB71" w14:textId="77777777" w:rsidR="006F259C" w:rsidRPr="00572735" w:rsidRDefault="000F5B51" w:rsidP="00343F45">
            <w:pPr>
              <w:spacing w:line="240" w:lineRule="auto"/>
              <w:jc w:val="center"/>
              <w:rPr>
                <w:rFonts w:eastAsia="Times New Roman" w:cs="Times New Roman"/>
                <w:color w:val="000000"/>
              </w:rPr>
            </w:pPr>
            <w:r w:rsidRPr="00AA2997">
              <w:t>0.72</w:t>
            </w:r>
          </w:p>
        </w:tc>
        <w:tc>
          <w:tcPr>
            <w:tcW w:w="1816" w:type="dxa"/>
            <w:noWrap/>
            <w:vAlign w:val="center"/>
            <w:hideMark/>
          </w:tcPr>
          <w:p w14:paraId="592AE59B" w14:textId="77777777" w:rsidR="006F259C" w:rsidRPr="00572735" w:rsidRDefault="000F5B51" w:rsidP="00343F45">
            <w:pPr>
              <w:spacing w:line="240" w:lineRule="auto"/>
              <w:jc w:val="center"/>
              <w:rPr>
                <w:rFonts w:eastAsia="Times New Roman" w:cs="Times New Roman"/>
                <w:color w:val="000000"/>
              </w:rPr>
            </w:pPr>
            <w:r w:rsidRPr="00572735">
              <w:rPr>
                <w:rFonts w:eastAsia="Times New Roman" w:cs="Times New Roman"/>
                <w:color w:val="000000"/>
              </w:rPr>
              <w:t>$56,035</w:t>
            </w:r>
          </w:p>
        </w:tc>
        <w:tc>
          <w:tcPr>
            <w:tcW w:w="1777" w:type="dxa"/>
            <w:noWrap/>
          </w:tcPr>
          <w:p w14:paraId="5DB7570E" w14:textId="77777777" w:rsidR="006F259C" w:rsidRPr="00572735" w:rsidRDefault="000F5B51" w:rsidP="00343F45">
            <w:pPr>
              <w:spacing w:line="240" w:lineRule="auto"/>
              <w:jc w:val="center"/>
              <w:rPr>
                <w:rFonts w:eastAsia="Times New Roman" w:cs="Times New Roman"/>
                <w:color w:val="000000"/>
              </w:rPr>
            </w:pPr>
            <w:r w:rsidRPr="00955601">
              <w:t>$40,554</w:t>
            </w:r>
          </w:p>
        </w:tc>
      </w:tr>
      <w:tr w:rsidR="00A15C2C" w14:paraId="6AE05E5E" w14:textId="77777777" w:rsidTr="00343F45">
        <w:trPr>
          <w:trHeight w:val="290"/>
        </w:trPr>
        <w:tc>
          <w:tcPr>
            <w:tcW w:w="1096" w:type="dxa"/>
            <w:noWrap/>
            <w:vAlign w:val="center"/>
            <w:hideMark/>
          </w:tcPr>
          <w:p w14:paraId="01DDC195" w14:textId="77777777" w:rsidR="006F259C" w:rsidRPr="00572735" w:rsidRDefault="000F5B51" w:rsidP="00343F45">
            <w:pPr>
              <w:spacing w:line="240" w:lineRule="auto"/>
              <w:rPr>
                <w:rFonts w:eastAsia="Times New Roman" w:cs="Times New Roman"/>
                <w:color w:val="000000"/>
              </w:rPr>
            </w:pPr>
            <w:r w:rsidRPr="00572735">
              <w:rPr>
                <w:rFonts w:eastAsia="Times New Roman" w:cs="Times New Roman"/>
                <w:color w:val="000000"/>
              </w:rPr>
              <w:t>MAIS 2</w:t>
            </w:r>
          </w:p>
        </w:tc>
        <w:tc>
          <w:tcPr>
            <w:tcW w:w="1084" w:type="dxa"/>
            <w:noWrap/>
          </w:tcPr>
          <w:p w14:paraId="335825CE" w14:textId="77777777" w:rsidR="006F259C" w:rsidRPr="00572735" w:rsidRDefault="000F5B51" w:rsidP="00343F45">
            <w:pPr>
              <w:spacing w:line="240" w:lineRule="auto"/>
              <w:jc w:val="center"/>
              <w:rPr>
                <w:rFonts w:eastAsia="Times New Roman" w:cs="Times New Roman"/>
                <w:color w:val="000000"/>
              </w:rPr>
            </w:pPr>
            <w:r w:rsidRPr="005D4A41">
              <w:t>0.45</w:t>
            </w:r>
          </w:p>
        </w:tc>
        <w:tc>
          <w:tcPr>
            <w:tcW w:w="1816" w:type="dxa"/>
            <w:noWrap/>
            <w:vAlign w:val="center"/>
            <w:hideMark/>
          </w:tcPr>
          <w:p w14:paraId="57AF1DEA" w14:textId="77777777" w:rsidR="006F259C" w:rsidRPr="00572735" w:rsidRDefault="000F5B51" w:rsidP="00343F45">
            <w:pPr>
              <w:spacing w:line="240" w:lineRule="auto"/>
              <w:jc w:val="center"/>
              <w:rPr>
                <w:rFonts w:eastAsia="Times New Roman" w:cs="Times New Roman"/>
                <w:color w:val="000000"/>
              </w:rPr>
            </w:pPr>
            <w:r w:rsidRPr="00572735">
              <w:rPr>
                <w:rFonts w:eastAsia="Times New Roman" w:cs="Times New Roman"/>
                <w:color w:val="000000"/>
              </w:rPr>
              <w:t>$553,146</w:t>
            </w:r>
          </w:p>
        </w:tc>
        <w:tc>
          <w:tcPr>
            <w:tcW w:w="1777" w:type="dxa"/>
            <w:noWrap/>
          </w:tcPr>
          <w:p w14:paraId="741B6ED3" w14:textId="77777777" w:rsidR="006F259C" w:rsidRPr="00572735" w:rsidRDefault="000F5B51" w:rsidP="00343F45">
            <w:pPr>
              <w:spacing w:line="240" w:lineRule="auto"/>
              <w:jc w:val="center"/>
              <w:rPr>
                <w:rFonts w:eastAsia="Times New Roman" w:cs="Times New Roman"/>
                <w:color w:val="000000"/>
              </w:rPr>
            </w:pPr>
            <w:r w:rsidRPr="005F5852">
              <w:t>$250,615</w:t>
            </w:r>
          </w:p>
        </w:tc>
        <w:tc>
          <w:tcPr>
            <w:tcW w:w="1096" w:type="dxa"/>
            <w:noWrap/>
            <w:vAlign w:val="center"/>
            <w:hideMark/>
          </w:tcPr>
          <w:p w14:paraId="5B77862B" w14:textId="77777777" w:rsidR="006F259C" w:rsidRPr="00572735" w:rsidRDefault="000F5B51" w:rsidP="00343F45">
            <w:pPr>
              <w:spacing w:line="240" w:lineRule="auto"/>
              <w:rPr>
                <w:rFonts w:eastAsia="Times New Roman" w:cs="Times New Roman"/>
                <w:color w:val="000000"/>
              </w:rPr>
            </w:pPr>
            <w:r w:rsidRPr="00572735">
              <w:rPr>
                <w:rFonts w:eastAsia="Times New Roman" w:cs="Times New Roman"/>
                <w:color w:val="000000"/>
              </w:rPr>
              <w:t>MAIS 2</w:t>
            </w:r>
          </w:p>
        </w:tc>
        <w:tc>
          <w:tcPr>
            <w:tcW w:w="1053" w:type="dxa"/>
            <w:noWrap/>
          </w:tcPr>
          <w:p w14:paraId="136300A8" w14:textId="77777777" w:rsidR="006F259C" w:rsidRPr="00572735" w:rsidRDefault="000F5B51" w:rsidP="00343F45">
            <w:pPr>
              <w:spacing w:line="240" w:lineRule="auto"/>
              <w:jc w:val="center"/>
              <w:rPr>
                <w:rFonts w:eastAsia="Times New Roman" w:cs="Times New Roman"/>
                <w:color w:val="000000"/>
              </w:rPr>
            </w:pPr>
            <w:r w:rsidRPr="00AA2997">
              <w:t>0.66</w:t>
            </w:r>
          </w:p>
        </w:tc>
        <w:tc>
          <w:tcPr>
            <w:tcW w:w="1816" w:type="dxa"/>
            <w:noWrap/>
            <w:vAlign w:val="center"/>
            <w:hideMark/>
          </w:tcPr>
          <w:p w14:paraId="581CE91F" w14:textId="77777777" w:rsidR="006F259C" w:rsidRPr="00572735" w:rsidRDefault="000F5B51" w:rsidP="00343F45">
            <w:pPr>
              <w:spacing w:line="240" w:lineRule="auto"/>
              <w:jc w:val="center"/>
              <w:rPr>
                <w:rFonts w:eastAsia="Times New Roman" w:cs="Times New Roman"/>
                <w:color w:val="000000"/>
              </w:rPr>
            </w:pPr>
            <w:r w:rsidRPr="00572735">
              <w:rPr>
                <w:rFonts w:eastAsia="Times New Roman" w:cs="Times New Roman"/>
                <w:color w:val="000000"/>
              </w:rPr>
              <w:t>$553,146</w:t>
            </w:r>
          </w:p>
        </w:tc>
        <w:tc>
          <w:tcPr>
            <w:tcW w:w="1777" w:type="dxa"/>
            <w:noWrap/>
          </w:tcPr>
          <w:p w14:paraId="68283E06" w14:textId="77777777" w:rsidR="006F259C" w:rsidRPr="00572735" w:rsidRDefault="000F5B51" w:rsidP="00343F45">
            <w:pPr>
              <w:spacing w:line="240" w:lineRule="auto"/>
              <w:jc w:val="center"/>
              <w:rPr>
                <w:rFonts w:eastAsia="Times New Roman" w:cs="Times New Roman"/>
                <w:color w:val="000000"/>
              </w:rPr>
            </w:pPr>
            <w:r w:rsidRPr="00955601">
              <w:t>$367,569</w:t>
            </w:r>
          </w:p>
        </w:tc>
      </w:tr>
      <w:tr w:rsidR="00A15C2C" w14:paraId="7B4A8049" w14:textId="77777777" w:rsidTr="00343F45">
        <w:trPr>
          <w:trHeight w:val="290"/>
        </w:trPr>
        <w:tc>
          <w:tcPr>
            <w:tcW w:w="1096" w:type="dxa"/>
            <w:noWrap/>
            <w:vAlign w:val="center"/>
            <w:hideMark/>
          </w:tcPr>
          <w:p w14:paraId="3C913575" w14:textId="77777777" w:rsidR="006F259C" w:rsidRPr="00572735" w:rsidRDefault="000F5B51" w:rsidP="00343F45">
            <w:pPr>
              <w:spacing w:line="240" w:lineRule="auto"/>
              <w:rPr>
                <w:rFonts w:eastAsia="Times New Roman" w:cs="Times New Roman"/>
                <w:color w:val="000000"/>
              </w:rPr>
            </w:pPr>
            <w:r w:rsidRPr="00572735">
              <w:rPr>
                <w:rFonts w:eastAsia="Times New Roman" w:cs="Times New Roman"/>
                <w:color w:val="000000"/>
              </w:rPr>
              <w:t>MAIS 3</w:t>
            </w:r>
          </w:p>
        </w:tc>
        <w:tc>
          <w:tcPr>
            <w:tcW w:w="1084" w:type="dxa"/>
            <w:noWrap/>
          </w:tcPr>
          <w:p w14:paraId="29BCA657" w14:textId="77777777" w:rsidR="006F259C" w:rsidRPr="00572735" w:rsidRDefault="000F5B51" w:rsidP="00343F45">
            <w:pPr>
              <w:spacing w:line="240" w:lineRule="auto"/>
              <w:jc w:val="center"/>
              <w:rPr>
                <w:rFonts w:eastAsia="Times New Roman" w:cs="Times New Roman"/>
                <w:color w:val="000000"/>
              </w:rPr>
            </w:pPr>
            <w:r w:rsidRPr="005D4A41">
              <w:t>0.11</w:t>
            </w:r>
          </w:p>
        </w:tc>
        <w:tc>
          <w:tcPr>
            <w:tcW w:w="1816" w:type="dxa"/>
            <w:noWrap/>
            <w:vAlign w:val="center"/>
            <w:hideMark/>
          </w:tcPr>
          <w:p w14:paraId="45463378" w14:textId="77777777" w:rsidR="006F259C" w:rsidRPr="00572735" w:rsidRDefault="000F5B51" w:rsidP="00343F45">
            <w:pPr>
              <w:spacing w:line="240" w:lineRule="auto"/>
              <w:jc w:val="center"/>
              <w:rPr>
                <w:rFonts w:eastAsia="Times New Roman" w:cs="Times New Roman"/>
                <w:color w:val="000000"/>
              </w:rPr>
            </w:pPr>
            <w:r w:rsidRPr="00572735">
              <w:rPr>
                <w:rFonts w:eastAsia="Times New Roman" w:cs="Times New Roman"/>
                <w:color w:val="000000"/>
              </w:rPr>
              <w:t>$1,307,335</w:t>
            </w:r>
          </w:p>
        </w:tc>
        <w:tc>
          <w:tcPr>
            <w:tcW w:w="1777" w:type="dxa"/>
            <w:noWrap/>
          </w:tcPr>
          <w:p w14:paraId="31315098" w14:textId="77777777" w:rsidR="006F259C" w:rsidRPr="00572735" w:rsidRDefault="000F5B51" w:rsidP="00343F45">
            <w:pPr>
              <w:spacing w:line="240" w:lineRule="auto"/>
              <w:jc w:val="center"/>
              <w:rPr>
                <w:rFonts w:eastAsia="Times New Roman" w:cs="Times New Roman"/>
                <w:color w:val="000000"/>
              </w:rPr>
            </w:pPr>
            <w:r w:rsidRPr="005F5852">
              <w:t>$143,192</w:t>
            </w:r>
          </w:p>
        </w:tc>
        <w:tc>
          <w:tcPr>
            <w:tcW w:w="1096" w:type="dxa"/>
            <w:noWrap/>
            <w:vAlign w:val="center"/>
            <w:hideMark/>
          </w:tcPr>
          <w:p w14:paraId="4BEDB46E" w14:textId="77777777" w:rsidR="006F259C" w:rsidRPr="00572735" w:rsidRDefault="000F5B51" w:rsidP="00343F45">
            <w:pPr>
              <w:spacing w:line="240" w:lineRule="auto"/>
              <w:rPr>
                <w:rFonts w:eastAsia="Times New Roman" w:cs="Times New Roman"/>
                <w:color w:val="000000"/>
              </w:rPr>
            </w:pPr>
            <w:r w:rsidRPr="00572735">
              <w:rPr>
                <w:rFonts w:eastAsia="Times New Roman" w:cs="Times New Roman"/>
                <w:color w:val="000000"/>
              </w:rPr>
              <w:t>MAIS 3</w:t>
            </w:r>
          </w:p>
        </w:tc>
        <w:tc>
          <w:tcPr>
            <w:tcW w:w="1053" w:type="dxa"/>
            <w:noWrap/>
          </w:tcPr>
          <w:p w14:paraId="792FB84C" w14:textId="77777777" w:rsidR="006F259C" w:rsidRPr="00572735" w:rsidRDefault="000F5B51" w:rsidP="00343F45">
            <w:pPr>
              <w:spacing w:line="240" w:lineRule="auto"/>
              <w:jc w:val="center"/>
              <w:rPr>
                <w:rFonts w:eastAsia="Times New Roman" w:cs="Times New Roman"/>
                <w:color w:val="000000"/>
              </w:rPr>
            </w:pPr>
            <w:r w:rsidRPr="00AA2997">
              <w:t>0.16</w:t>
            </w:r>
          </w:p>
        </w:tc>
        <w:tc>
          <w:tcPr>
            <w:tcW w:w="1816" w:type="dxa"/>
            <w:noWrap/>
            <w:vAlign w:val="center"/>
            <w:hideMark/>
          </w:tcPr>
          <w:p w14:paraId="36BE41BB" w14:textId="77777777" w:rsidR="006F259C" w:rsidRPr="00572735" w:rsidRDefault="000F5B51" w:rsidP="00343F45">
            <w:pPr>
              <w:spacing w:line="240" w:lineRule="auto"/>
              <w:jc w:val="center"/>
              <w:rPr>
                <w:rFonts w:eastAsia="Times New Roman" w:cs="Times New Roman"/>
                <w:color w:val="000000"/>
              </w:rPr>
            </w:pPr>
            <w:r w:rsidRPr="00572735">
              <w:rPr>
                <w:rFonts w:eastAsia="Times New Roman" w:cs="Times New Roman"/>
                <w:color w:val="000000"/>
              </w:rPr>
              <w:t>$1,307,335</w:t>
            </w:r>
          </w:p>
        </w:tc>
        <w:tc>
          <w:tcPr>
            <w:tcW w:w="1777" w:type="dxa"/>
            <w:noWrap/>
          </w:tcPr>
          <w:p w14:paraId="3BEC822B" w14:textId="77777777" w:rsidR="006F259C" w:rsidRPr="00572735" w:rsidRDefault="000F5B51" w:rsidP="00343F45">
            <w:pPr>
              <w:spacing w:line="240" w:lineRule="auto"/>
              <w:jc w:val="center"/>
              <w:rPr>
                <w:rFonts w:eastAsia="Times New Roman" w:cs="Times New Roman"/>
                <w:color w:val="000000"/>
              </w:rPr>
            </w:pPr>
            <w:r w:rsidRPr="00955601">
              <w:t>$210,015</w:t>
            </w:r>
          </w:p>
        </w:tc>
      </w:tr>
      <w:tr w:rsidR="00A15C2C" w14:paraId="573ABF70" w14:textId="77777777" w:rsidTr="00343F45">
        <w:trPr>
          <w:trHeight w:val="290"/>
        </w:trPr>
        <w:tc>
          <w:tcPr>
            <w:tcW w:w="1096" w:type="dxa"/>
            <w:noWrap/>
            <w:vAlign w:val="center"/>
            <w:hideMark/>
          </w:tcPr>
          <w:p w14:paraId="74287A76" w14:textId="77777777" w:rsidR="006F259C" w:rsidRPr="00572735" w:rsidRDefault="000F5B51" w:rsidP="00343F45">
            <w:pPr>
              <w:spacing w:line="240" w:lineRule="auto"/>
              <w:rPr>
                <w:rFonts w:eastAsia="Times New Roman" w:cs="Times New Roman"/>
                <w:color w:val="000000"/>
              </w:rPr>
            </w:pPr>
            <w:r w:rsidRPr="00572735">
              <w:rPr>
                <w:rFonts w:eastAsia="Times New Roman" w:cs="Times New Roman"/>
                <w:color w:val="000000"/>
              </w:rPr>
              <w:t>MAIS 4</w:t>
            </w:r>
          </w:p>
        </w:tc>
        <w:tc>
          <w:tcPr>
            <w:tcW w:w="1084" w:type="dxa"/>
            <w:noWrap/>
          </w:tcPr>
          <w:p w14:paraId="4FEEEA24" w14:textId="77777777" w:rsidR="006F259C" w:rsidRPr="00572735" w:rsidRDefault="000F5B51" w:rsidP="00343F45">
            <w:pPr>
              <w:spacing w:line="240" w:lineRule="auto"/>
              <w:jc w:val="center"/>
              <w:rPr>
                <w:rFonts w:eastAsia="Times New Roman" w:cs="Times New Roman"/>
                <w:color w:val="000000"/>
              </w:rPr>
            </w:pPr>
            <w:r w:rsidRPr="005D4A41">
              <w:t>0.03</w:t>
            </w:r>
          </w:p>
        </w:tc>
        <w:tc>
          <w:tcPr>
            <w:tcW w:w="1816" w:type="dxa"/>
            <w:noWrap/>
            <w:vAlign w:val="center"/>
            <w:hideMark/>
          </w:tcPr>
          <w:p w14:paraId="1B9948DD" w14:textId="77777777" w:rsidR="006F259C" w:rsidRPr="00572735" w:rsidRDefault="000F5B51" w:rsidP="00343F45">
            <w:pPr>
              <w:spacing w:line="240" w:lineRule="auto"/>
              <w:jc w:val="center"/>
              <w:rPr>
                <w:rFonts w:eastAsia="Times New Roman" w:cs="Times New Roman"/>
                <w:color w:val="000000"/>
              </w:rPr>
            </w:pPr>
            <w:r w:rsidRPr="00572735">
              <w:rPr>
                <w:rFonts w:eastAsia="Times New Roman" w:cs="Times New Roman"/>
                <w:color w:val="000000"/>
              </w:rPr>
              <w:t>$3,215,701</w:t>
            </w:r>
          </w:p>
        </w:tc>
        <w:tc>
          <w:tcPr>
            <w:tcW w:w="1777" w:type="dxa"/>
            <w:noWrap/>
          </w:tcPr>
          <w:p w14:paraId="628CFB55" w14:textId="77777777" w:rsidR="006F259C" w:rsidRPr="00572735" w:rsidRDefault="000F5B51" w:rsidP="00343F45">
            <w:pPr>
              <w:spacing w:line="240" w:lineRule="auto"/>
              <w:jc w:val="center"/>
              <w:rPr>
                <w:rFonts w:eastAsia="Times New Roman" w:cs="Times New Roman"/>
                <w:color w:val="000000"/>
              </w:rPr>
            </w:pPr>
            <w:r w:rsidRPr="005F5852">
              <w:t>$97,837</w:t>
            </w:r>
          </w:p>
        </w:tc>
        <w:tc>
          <w:tcPr>
            <w:tcW w:w="1096" w:type="dxa"/>
            <w:noWrap/>
            <w:vAlign w:val="center"/>
            <w:hideMark/>
          </w:tcPr>
          <w:p w14:paraId="5592DCCB" w14:textId="77777777" w:rsidR="006F259C" w:rsidRPr="00572735" w:rsidRDefault="000F5B51" w:rsidP="00343F45">
            <w:pPr>
              <w:spacing w:line="240" w:lineRule="auto"/>
              <w:rPr>
                <w:rFonts w:eastAsia="Times New Roman" w:cs="Times New Roman"/>
                <w:color w:val="000000"/>
              </w:rPr>
            </w:pPr>
            <w:r w:rsidRPr="00572735">
              <w:rPr>
                <w:rFonts w:eastAsia="Times New Roman" w:cs="Times New Roman"/>
                <w:color w:val="000000"/>
              </w:rPr>
              <w:t>MAIS 4</w:t>
            </w:r>
          </w:p>
        </w:tc>
        <w:tc>
          <w:tcPr>
            <w:tcW w:w="1053" w:type="dxa"/>
            <w:noWrap/>
          </w:tcPr>
          <w:p w14:paraId="7E2D4DAE" w14:textId="77777777" w:rsidR="006F259C" w:rsidRPr="00572735" w:rsidRDefault="000F5B51" w:rsidP="00343F45">
            <w:pPr>
              <w:spacing w:line="240" w:lineRule="auto"/>
              <w:jc w:val="center"/>
              <w:rPr>
                <w:rFonts w:eastAsia="Times New Roman" w:cs="Times New Roman"/>
                <w:color w:val="000000"/>
              </w:rPr>
            </w:pPr>
            <w:r w:rsidRPr="00AA2997">
              <w:t>0.04</w:t>
            </w:r>
          </w:p>
        </w:tc>
        <w:tc>
          <w:tcPr>
            <w:tcW w:w="1816" w:type="dxa"/>
            <w:noWrap/>
            <w:vAlign w:val="center"/>
            <w:hideMark/>
          </w:tcPr>
          <w:p w14:paraId="2B0A08AB" w14:textId="77777777" w:rsidR="006F259C" w:rsidRPr="00572735" w:rsidRDefault="000F5B51" w:rsidP="00343F45">
            <w:pPr>
              <w:spacing w:line="240" w:lineRule="auto"/>
              <w:jc w:val="center"/>
              <w:rPr>
                <w:rFonts w:eastAsia="Times New Roman" w:cs="Times New Roman"/>
                <w:color w:val="000000"/>
              </w:rPr>
            </w:pPr>
            <w:r w:rsidRPr="00572735">
              <w:rPr>
                <w:rFonts w:eastAsia="Times New Roman" w:cs="Times New Roman"/>
                <w:color w:val="000000"/>
              </w:rPr>
              <w:t>$3,215,701</w:t>
            </w:r>
          </w:p>
        </w:tc>
        <w:tc>
          <w:tcPr>
            <w:tcW w:w="1777" w:type="dxa"/>
            <w:noWrap/>
          </w:tcPr>
          <w:p w14:paraId="3AFB56B9" w14:textId="77777777" w:rsidR="006F259C" w:rsidRPr="00572735" w:rsidRDefault="000F5B51" w:rsidP="00343F45">
            <w:pPr>
              <w:spacing w:line="240" w:lineRule="auto"/>
              <w:jc w:val="center"/>
              <w:rPr>
                <w:rFonts w:eastAsia="Times New Roman" w:cs="Times New Roman"/>
                <w:color w:val="000000"/>
              </w:rPr>
            </w:pPr>
            <w:r w:rsidRPr="00955601">
              <w:t>$143,495</w:t>
            </w:r>
          </w:p>
        </w:tc>
      </w:tr>
      <w:tr w:rsidR="00A15C2C" w14:paraId="1441A799" w14:textId="77777777" w:rsidTr="00343F45">
        <w:trPr>
          <w:trHeight w:val="290"/>
        </w:trPr>
        <w:tc>
          <w:tcPr>
            <w:tcW w:w="1096" w:type="dxa"/>
            <w:noWrap/>
            <w:vAlign w:val="center"/>
            <w:hideMark/>
          </w:tcPr>
          <w:p w14:paraId="03CF096D" w14:textId="77777777" w:rsidR="006F259C" w:rsidRPr="00572735" w:rsidRDefault="000F5B51" w:rsidP="00343F45">
            <w:pPr>
              <w:spacing w:line="240" w:lineRule="auto"/>
              <w:rPr>
                <w:rFonts w:eastAsia="Times New Roman" w:cs="Times New Roman"/>
                <w:color w:val="000000"/>
              </w:rPr>
            </w:pPr>
            <w:r w:rsidRPr="00572735">
              <w:rPr>
                <w:rFonts w:eastAsia="Times New Roman" w:cs="Times New Roman"/>
                <w:color w:val="000000"/>
              </w:rPr>
              <w:t>MAIS 5</w:t>
            </w:r>
          </w:p>
        </w:tc>
        <w:tc>
          <w:tcPr>
            <w:tcW w:w="1084" w:type="dxa"/>
            <w:noWrap/>
          </w:tcPr>
          <w:p w14:paraId="38A956FE" w14:textId="77777777" w:rsidR="006F259C" w:rsidRPr="00572735" w:rsidRDefault="000F5B51" w:rsidP="00343F45">
            <w:pPr>
              <w:spacing w:line="240" w:lineRule="auto"/>
              <w:jc w:val="center"/>
              <w:rPr>
                <w:rFonts w:eastAsia="Times New Roman" w:cs="Times New Roman"/>
                <w:color w:val="000000"/>
              </w:rPr>
            </w:pPr>
            <w:r w:rsidRPr="005D4A41">
              <w:t>0.00</w:t>
            </w:r>
          </w:p>
        </w:tc>
        <w:tc>
          <w:tcPr>
            <w:tcW w:w="1816" w:type="dxa"/>
            <w:noWrap/>
            <w:vAlign w:val="center"/>
            <w:hideMark/>
          </w:tcPr>
          <w:p w14:paraId="537B112F" w14:textId="77777777" w:rsidR="006F259C" w:rsidRPr="00572735" w:rsidRDefault="000F5B51" w:rsidP="00343F45">
            <w:pPr>
              <w:spacing w:line="240" w:lineRule="auto"/>
              <w:jc w:val="center"/>
              <w:rPr>
                <w:rFonts w:eastAsia="Times New Roman" w:cs="Times New Roman"/>
                <w:color w:val="000000"/>
              </w:rPr>
            </w:pPr>
            <w:r w:rsidRPr="00572735">
              <w:rPr>
                <w:rFonts w:eastAsia="Times New Roman" w:cs="Times New Roman"/>
                <w:color w:val="000000"/>
              </w:rPr>
              <w:t>$7,327,043</w:t>
            </w:r>
          </w:p>
        </w:tc>
        <w:tc>
          <w:tcPr>
            <w:tcW w:w="1777" w:type="dxa"/>
            <w:noWrap/>
          </w:tcPr>
          <w:p w14:paraId="334F19C8" w14:textId="77777777" w:rsidR="006F259C" w:rsidRPr="00572735" w:rsidRDefault="000F5B51" w:rsidP="00343F45">
            <w:pPr>
              <w:spacing w:line="240" w:lineRule="auto"/>
              <w:jc w:val="center"/>
              <w:rPr>
                <w:rFonts w:eastAsia="Times New Roman" w:cs="Times New Roman"/>
                <w:color w:val="000000"/>
              </w:rPr>
            </w:pPr>
            <w:r w:rsidRPr="005F5852">
              <w:t>$0</w:t>
            </w:r>
          </w:p>
        </w:tc>
        <w:tc>
          <w:tcPr>
            <w:tcW w:w="1096" w:type="dxa"/>
            <w:noWrap/>
            <w:vAlign w:val="center"/>
            <w:hideMark/>
          </w:tcPr>
          <w:p w14:paraId="7C9CE219" w14:textId="77777777" w:rsidR="006F259C" w:rsidRPr="00572735" w:rsidRDefault="000F5B51" w:rsidP="00343F45">
            <w:pPr>
              <w:spacing w:line="240" w:lineRule="auto"/>
              <w:rPr>
                <w:rFonts w:eastAsia="Times New Roman" w:cs="Times New Roman"/>
                <w:color w:val="000000"/>
              </w:rPr>
            </w:pPr>
            <w:r w:rsidRPr="00572735">
              <w:rPr>
                <w:rFonts w:eastAsia="Times New Roman" w:cs="Times New Roman"/>
                <w:color w:val="000000"/>
              </w:rPr>
              <w:t>MAIS 5</w:t>
            </w:r>
          </w:p>
        </w:tc>
        <w:tc>
          <w:tcPr>
            <w:tcW w:w="1053" w:type="dxa"/>
            <w:noWrap/>
          </w:tcPr>
          <w:p w14:paraId="299ACE1F" w14:textId="77777777" w:rsidR="006F259C" w:rsidRPr="00572735" w:rsidRDefault="000F5B51" w:rsidP="00343F45">
            <w:pPr>
              <w:spacing w:line="240" w:lineRule="auto"/>
              <w:jc w:val="center"/>
              <w:rPr>
                <w:rFonts w:eastAsia="Times New Roman" w:cs="Times New Roman"/>
                <w:color w:val="000000"/>
              </w:rPr>
            </w:pPr>
            <w:r w:rsidRPr="00AA2997">
              <w:t>0.00</w:t>
            </w:r>
          </w:p>
        </w:tc>
        <w:tc>
          <w:tcPr>
            <w:tcW w:w="1816" w:type="dxa"/>
            <w:noWrap/>
            <w:vAlign w:val="center"/>
            <w:hideMark/>
          </w:tcPr>
          <w:p w14:paraId="32E24A9D" w14:textId="77777777" w:rsidR="006F259C" w:rsidRPr="00572735" w:rsidRDefault="000F5B51" w:rsidP="00343F45">
            <w:pPr>
              <w:spacing w:line="240" w:lineRule="auto"/>
              <w:jc w:val="center"/>
              <w:rPr>
                <w:rFonts w:eastAsia="Times New Roman" w:cs="Times New Roman"/>
                <w:color w:val="000000"/>
              </w:rPr>
            </w:pPr>
            <w:r w:rsidRPr="00572735">
              <w:rPr>
                <w:rFonts w:eastAsia="Times New Roman" w:cs="Times New Roman"/>
                <w:color w:val="000000"/>
              </w:rPr>
              <w:t>$7,327,043</w:t>
            </w:r>
          </w:p>
        </w:tc>
        <w:tc>
          <w:tcPr>
            <w:tcW w:w="1777" w:type="dxa"/>
            <w:noWrap/>
          </w:tcPr>
          <w:p w14:paraId="2E552A39" w14:textId="77777777" w:rsidR="006F259C" w:rsidRPr="00572735" w:rsidRDefault="000F5B51" w:rsidP="00343F45">
            <w:pPr>
              <w:spacing w:line="240" w:lineRule="auto"/>
              <w:jc w:val="center"/>
              <w:rPr>
                <w:rFonts w:eastAsia="Times New Roman" w:cs="Times New Roman"/>
                <w:color w:val="000000"/>
              </w:rPr>
            </w:pPr>
            <w:r w:rsidRPr="00955601">
              <w:t>$0</w:t>
            </w:r>
          </w:p>
        </w:tc>
      </w:tr>
      <w:tr w:rsidR="00A15C2C" w14:paraId="4018F5B1" w14:textId="77777777" w:rsidTr="00343F45">
        <w:trPr>
          <w:trHeight w:val="290"/>
        </w:trPr>
        <w:tc>
          <w:tcPr>
            <w:tcW w:w="1096" w:type="dxa"/>
            <w:noWrap/>
            <w:vAlign w:val="center"/>
            <w:hideMark/>
          </w:tcPr>
          <w:p w14:paraId="35C758B9" w14:textId="77777777" w:rsidR="006F259C" w:rsidRPr="00572735" w:rsidRDefault="000F5B51" w:rsidP="00343F45">
            <w:pPr>
              <w:spacing w:line="240" w:lineRule="auto"/>
              <w:rPr>
                <w:rFonts w:eastAsia="Times New Roman" w:cs="Times New Roman"/>
                <w:color w:val="000000"/>
              </w:rPr>
            </w:pPr>
            <w:r w:rsidRPr="00572735">
              <w:rPr>
                <w:rFonts w:eastAsia="Times New Roman" w:cs="Times New Roman"/>
                <w:color w:val="000000"/>
              </w:rPr>
              <w:t>Fatalities</w:t>
            </w:r>
          </w:p>
        </w:tc>
        <w:tc>
          <w:tcPr>
            <w:tcW w:w="1084" w:type="dxa"/>
            <w:noWrap/>
          </w:tcPr>
          <w:p w14:paraId="3BA37744" w14:textId="77777777" w:rsidR="006F259C" w:rsidRPr="00572735" w:rsidRDefault="000F5B51" w:rsidP="00343F45">
            <w:pPr>
              <w:spacing w:line="240" w:lineRule="auto"/>
              <w:jc w:val="center"/>
              <w:rPr>
                <w:rFonts w:eastAsia="Times New Roman" w:cs="Times New Roman"/>
                <w:color w:val="000000"/>
              </w:rPr>
            </w:pPr>
            <w:r w:rsidRPr="005D4A41">
              <w:t>0.34</w:t>
            </w:r>
          </w:p>
        </w:tc>
        <w:tc>
          <w:tcPr>
            <w:tcW w:w="1816" w:type="dxa"/>
            <w:noWrap/>
            <w:vAlign w:val="center"/>
            <w:hideMark/>
          </w:tcPr>
          <w:p w14:paraId="09233F2D" w14:textId="77777777" w:rsidR="006F259C" w:rsidRPr="00572735" w:rsidRDefault="000F5B51" w:rsidP="00343F45">
            <w:pPr>
              <w:spacing w:line="240" w:lineRule="auto"/>
              <w:jc w:val="center"/>
              <w:rPr>
                <w:rFonts w:eastAsia="Times New Roman" w:cs="Times New Roman"/>
                <w:color w:val="000000"/>
              </w:rPr>
            </w:pPr>
            <w:r w:rsidRPr="00572735">
              <w:rPr>
                <w:rFonts w:eastAsia="Times New Roman" w:cs="Times New Roman"/>
                <w:color w:val="000000"/>
              </w:rPr>
              <w:t>$11,950,834</w:t>
            </w:r>
          </w:p>
        </w:tc>
        <w:tc>
          <w:tcPr>
            <w:tcW w:w="1777" w:type="dxa"/>
            <w:noWrap/>
          </w:tcPr>
          <w:p w14:paraId="283B622A" w14:textId="77777777" w:rsidR="006F259C" w:rsidRPr="00572735" w:rsidRDefault="000F5B51" w:rsidP="00343F45">
            <w:pPr>
              <w:spacing w:line="240" w:lineRule="auto"/>
              <w:jc w:val="center"/>
              <w:rPr>
                <w:rFonts w:eastAsia="Times New Roman" w:cs="Times New Roman"/>
                <w:color w:val="000000"/>
              </w:rPr>
            </w:pPr>
            <w:r w:rsidRPr="005F5852">
              <w:t>$4,006,513</w:t>
            </w:r>
          </w:p>
        </w:tc>
        <w:tc>
          <w:tcPr>
            <w:tcW w:w="1096" w:type="dxa"/>
            <w:noWrap/>
            <w:vAlign w:val="center"/>
            <w:hideMark/>
          </w:tcPr>
          <w:p w14:paraId="09319D4F" w14:textId="77777777" w:rsidR="006F259C" w:rsidRPr="00572735" w:rsidRDefault="000F5B51" w:rsidP="00343F45">
            <w:pPr>
              <w:spacing w:line="240" w:lineRule="auto"/>
              <w:rPr>
                <w:rFonts w:eastAsia="Times New Roman" w:cs="Times New Roman"/>
                <w:color w:val="000000"/>
              </w:rPr>
            </w:pPr>
            <w:r w:rsidRPr="00572735">
              <w:rPr>
                <w:rFonts w:eastAsia="Times New Roman" w:cs="Times New Roman"/>
                <w:color w:val="000000"/>
              </w:rPr>
              <w:t>Fatalities</w:t>
            </w:r>
          </w:p>
        </w:tc>
        <w:tc>
          <w:tcPr>
            <w:tcW w:w="1053" w:type="dxa"/>
            <w:noWrap/>
          </w:tcPr>
          <w:p w14:paraId="4F6C8E14" w14:textId="77777777" w:rsidR="006F259C" w:rsidRPr="00572735" w:rsidRDefault="000F5B51" w:rsidP="00343F45">
            <w:pPr>
              <w:spacing w:line="240" w:lineRule="auto"/>
              <w:jc w:val="center"/>
              <w:rPr>
                <w:rFonts w:eastAsia="Times New Roman" w:cs="Times New Roman"/>
                <w:color w:val="000000"/>
              </w:rPr>
            </w:pPr>
            <w:r w:rsidRPr="00AA2997">
              <w:t>0.50</w:t>
            </w:r>
          </w:p>
        </w:tc>
        <w:tc>
          <w:tcPr>
            <w:tcW w:w="1816" w:type="dxa"/>
            <w:noWrap/>
            <w:vAlign w:val="center"/>
            <w:hideMark/>
          </w:tcPr>
          <w:p w14:paraId="12937FD1" w14:textId="77777777" w:rsidR="006F259C" w:rsidRPr="00572735" w:rsidRDefault="000F5B51" w:rsidP="00343F45">
            <w:pPr>
              <w:spacing w:line="240" w:lineRule="auto"/>
              <w:jc w:val="center"/>
              <w:rPr>
                <w:rFonts w:eastAsia="Times New Roman" w:cs="Times New Roman"/>
                <w:color w:val="000000"/>
              </w:rPr>
            </w:pPr>
            <w:r w:rsidRPr="00572735">
              <w:rPr>
                <w:rFonts w:eastAsia="Times New Roman" w:cs="Times New Roman"/>
                <w:color w:val="000000"/>
              </w:rPr>
              <w:t>$11,950,834</w:t>
            </w:r>
          </w:p>
        </w:tc>
        <w:tc>
          <w:tcPr>
            <w:tcW w:w="1777" w:type="dxa"/>
            <w:noWrap/>
          </w:tcPr>
          <w:p w14:paraId="3F9B33A4" w14:textId="77777777" w:rsidR="006F259C" w:rsidRPr="00572735" w:rsidRDefault="000F5B51" w:rsidP="00343F45">
            <w:pPr>
              <w:spacing w:line="240" w:lineRule="auto"/>
              <w:jc w:val="center"/>
              <w:rPr>
                <w:rFonts w:eastAsia="Times New Roman" w:cs="Times New Roman"/>
                <w:color w:val="000000"/>
              </w:rPr>
            </w:pPr>
            <w:r w:rsidRPr="00955601">
              <w:t>$6,009,770</w:t>
            </w:r>
          </w:p>
        </w:tc>
      </w:tr>
      <w:tr w:rsidR="00A15C2C" w14:paraId="50DEC901" w14:textId="77777777" w:rsidTr="00343F45">
        <w:trPr>
          <w:trHeight w:val="290"/>
        </w:trPr>
        <w:tc>
          <w:tcPr>
            <w:tcW w:w="1096" w:type="dxa"/>
            <w:noWrap/>
            <w:vAlign w:val="center"/>
            <w:hideMark/>
          </w:tcPr>
          <w:p w14:paraId="18965C59" w14:textId="77777777" w:rsidR="006F259C" w:rsidRPr="00CC4686" w:rsidRDefault="000F5B51" w:rsidP="00343F45">
            <w:pPr>
              <w:spacing w:line="240" w:lineRule="auto"/>
              <w:rPr>
                <w:rFonts w:eastAsia="Times New Roman" w:cs="Times New Roman"/>
                <w:b/>
                <w:bCs/>
                <w:color w:val="000000"/>
              </w:rPr>
            </w:pPr>
            <w:r w:rsidRPr="00CC4686">
              <w:rPr>
                <w:rFonts w:eastAsia="Times New Roman" w:cs="Times New Roman"/>
                <w:b/>
                <w:bCs/>
                <w:color w:val="000000"/>
              </w:rPr>
              <w:t>Total</w:t>
            </w:r>
          </w:p>
        </w:tc>
        <w:tc>
          <w:tcPr>
            <w:tcW w:w="1084" w:type="dxa"/>
            <w:noWrap/>
            <w:vAlign w:val="center"/>
            <w:hideMark/>
          </w:tcPr>
          <w:p w14:paraId="5B617C07" w14:textId="77777777" w:rsidR="006F259C" w:rsidRPr="00CC4686" w:rsidRDefault="006F259C" w:rsidP="00343F45">
            <w:pPr>
              <w:spacing w:line="240" w:lineRule="auto"/>
              <w:jc w:val="center"/>
              <w:rPr>
                <w:rFonts w:eastAsia="Times New Roman" w:cs="Times New Roman"/>
                <w:b/>
                <w:bCs/>
                <w:color w:val="000000"/>
              </w:rPr>
            </w:pPr>
          </w:p>
        </w:tc>
        <w:tc>
          <w:tcPr>
            <w:tcW w:w="1816" w:type="dxa"/>
            <w:noWrap/>
            <w:vAlign w:val="center"/>
            <w:hideMark/>
          </w:tcPr>
          <w:p w14:paraId="45DFED23" w14:textId="77777777" w:rsidR="006F259C" w:rsidRPr="00CC4686" w:rsidRDefault="006F259C" w:rsidP="00343F45">
            <w:pPr>
              <w:spacing w:line="240" w:lineRule="auto"/>
              <w:jc w:val="center"/>
              <w:rPr>
                <w:rFonts w:eastAsia="Times New Roman" w:cs="Times New Roman"/>
                <w:b/>
                <w:bCs/>
              </w:rPr>
            </w:pPr>
          </w:p>
        </w:tc>
        <w:tc>
          <w:tcPr>
            <w:tcW w:w="1777" w:type="dxa"/>
            <w:noWrap/>
          </w:tcPr>
          <w:p w14:paraId="3A993454" w14:textId="77777777" w:rsidR="006F259C" w:rsidRPr="00CC4686" w:rsidRDefault="000F5B51" w:rsidP="00343F45">
            <w:pPr>
              <w:spacing w:line="240" w:lineRule="auto"/>
              <w:jc w:val="center"/>
              <w:rPr>
                <w:rFonts w:eastAsia="Times New Roman" w:cs="Times New Roman"/>
                <w:b/>
                <w:bCs/>
                <w:color w:val="000000"/>
              </w:rPr>
            </w:pPr>
            <w:r w:rsidRPr="00CC4686">
              <w:rPr>
                <w:b/>
                <w:bCs/>
              </w:rPr>
              <w:t>$4,525,808</w:t>
            </w:r>
          </w:p>
        </w:tc>
        <w:tc>
          <w:tcPr>
            <w:tcW w:w="1096" w:type="dxa"/>
            <w:noWrap/>
            <w:vAlign w:val="center"/>
            <w:hideMark/>
          </w:tcPr>
          <w:p w14:paraId="2279417A" w14:textId="77777777" w:rsidR="006F259C" w:rsidRPr="00CC4686" w:rsidRDefault="000F5B51" w:rsidP="00343F45">
            <w:pPr>
              <w:spacing w:line="240" w:lineRule="auto"/>
              <w:rPr>
                <w:rFonts w:eastAsia="Times New Roman" w:cs="Times New Roman"/>
                <w:b/>
                <w:bCs/>
                <w:color w:val="000000"/>
              </w:rPr>
            </w:pPr>
            <w:r w:rsidRPr="00CC4686">
              <w:rPr>
                <w:rFonts w:eastAsia="Times New Roman" w:cs="Times New Roman"/>
                <w:b/>
                <w:bCs/>
                <w:color w:val="000000"/>
              </w:rPr>
              <w:t>Total</w:t>
            </w:r>
          </w:p>
        </w:tc>
        <w:tc>
          <w:tcPr>
            <w:tcW w:w="1053" w:type="dxa"/>
            <w:noWrap/>
            <w:vAlign w:val="center"/>
            <w:hideMark/>
          </w:tcPr>
          <w:p w14:paraId="20D19953" w14:textId="77777777" w:rsidR="006F259C" w:rsidRPr="00CC4686" w:rsidRDefault="006F259C" w:rsidP="00343F45">
            <w:pPr>
              <w:spacing w:line="240" w:lineRule="auto"/>
              <w:jc w:val="center"/>
              <w:rPr>
                <w:rFonts w:eastAsia="Times New Roman" w:cs="Times New Roman"/>
                <w:b/>
                <w:bCs/>
                <w:color w:val="000000"/>
              </w:rPr>
            </w:pPr>
          </w:p>
        </w:tc>
        <w:tc>
          <w:tcPr>
            <w:tcW w:w="1816" w:type="dxa"/>
            <w:noWrap/>
            <w:vAlign w:val="center"/>
            <w:hideMark/>
          </w:tcPr>
          <w:p w14:paraId="23F3BAE1" w14:textId="77777777" w:rsidR="006F259C" w:rsidRPr="00CC4686" w:rsidRDefault="006F259C" w:rsidP="00343F45">
            <w:pPr>
              <w:spacing w:line="240" w:lineRule="auto"/>
              <w:jc w:val="center"/>
              <w:rPr>
                <w:rFonts w:eastAsia="Times New Roman" w:cs="Times New Roman"/>
                <w:b/>
                <w:bCs/>
              </w:rPr>
            </w:pPr>
          </w:p>
        </w:tc>
        <w:tc>
          <w:tcPr>
            <w:tcW w:w="1777" w:type="dxa"/>
            <w:noWrap/>
          </w:tcPr>
          <w:p w14:paraId="58550647" w14:textId="77777777" w:rsidR="006F259C" w:rsidRPr="00CC4686" w:rsidRDefault="000F5B51" w:rsidP="00343F45">
            <w:pPr>
              <w:spacing w:line="240" w:lineRule="auto"/>
              <w:jc w:val="center"/>
              <w:rPr>
                <w:rFonts w:eastAsia="Times New Roman" w:cs="Times New Roman"/>
                <w:b/>
                <w:bCs/>
                <w:color w:val="000000"/>
              </w:rPr>
            </w:pPr>
            <w:r w:rsidRPr="00CC4686">
              <w:rPr>
                <w:b/>
                <w:bCs/>
              </w:rPr>
              <w:t>$6,771,403</w:t>
            </w:r>
          </w:p>
        </w:tc>
      </w:tr>
    </w:tbl>
    <w:p w14:paraId="0DD204D5" w14:textId="77777777" w:rsidR="006F259C" w:rsidRDefault="000F5B51" w:rsidP="006F259C">
      <w:pPr>
        <w:rPr>
          <w:rFonts w:ascii="Calibri" w:eastAsia="Times New Roman" w:hAnsi="Calibri" w:cs="Calibri"/>
          <w:color w:val="000000"/>
          <w:sz w:val="22"/>
        </w:rPr>
      </w:pPr>
      <w:r w:rsidRPr="00572735">
        <w:rPr>
          <w:sz w:val="18"/>
          <w:szCs w:val="16"/>
        </w:rPr>
        <w:t>Note: Values may not sum due to rounding.</w:t>
      </w:r>
    </w:p>
    <w:p w14:paraId="4D100E35" w14:textId="31F328CE" w:rsidR="006F259C" w:rsidRPr="00D01142" w:rsidRDefault="000F5B51" w:rsidP="006F259C">
      <w:pPr>
        <w:pStyle w:val="Caption"/>
      </w:pPr>
      <w:r>
        <w:t xml:space="preserve">Table </w:t>
      </w:r>
      <w:r w:rsidR="00115BAB">
        <w:fldChar w:fldCharType="begin"/>
      </w:r>
      <w:r>
        <w:instrText xml:space="preserve"> SEQ Table \* ARABIC </w:instrText>
      </w:r>
      <w:r w:rsidR="00115BAB">
        <w:fldChar w:fldCharType="separate"/>
      </w:r>
      <w:r w:rsidR="00A65CB3">
        <w:rPr>
          <w:noProof/>
        </w:rPr>
        <w:t>151</w:t>
      </w:r>
      <w:r w:rsidR="00115BAB">
        <w:rPr>
          <w:noProof/>
        </w:rPr>
        <w:fldChar w:fldCharType="end"/>
      </w:r>
      <w:r>
        <w:t xml:space="preserve">: </w:t>
      </w:r>
      <w:r w:rsidRPr="0031671A">
        <w:t xml:space="preserve">Calculation of Monetized Benefits Discounted at </w:t>
      </w:r>
      <w:r>
        <w:t>7</w:t>
      </w:r>
      <w:r w:rsidRPr="0031671A">
        <w:t xml:space="preserve">% for Rear Seat Occupants </w:t>
      </w:r>
      <w:r>
        <w:t>6 to 10 Years Old</w:t>
      </w:r>
    </w:p>
    <w:tbl>
      <w:tblPr>
        <w:tblStyle w:val="TableGrid3"/>
        <w:tblW w:w="11515" w:type="dxa"/>
        <w:tblLook w:val="04A0" w:firstRow="1" w:lastRow="0" w:firstColumn="1" w:lastColumn="0" w:noHBand="0" w:noVBand="1"/>
      </w:tblPr>
      <w:tblGrid>
        <w:gridCol w:w="1096"/>
        <w:gridCol w:w="1084"/>
        <w:gridCol w:w="1816"/>
        <w:gridCol w:w="1777"/>
        <w:gridCol w:w="1096"/>
        <w:gridCol w:w="1053"/>
        <w:gridCol w:w="1816"/>
        <w:gridCol w:w="1777"/>
      </w:tblGrid>
      <w:tr w:rsidR="00A15C2C" w14:paraId="5CABCC70" w14:textId="77777777" w:rsidTr="00343F45">
        <w:trPr>
          <w:trHeight w:val="290"/>
        </w:trPr>
        <w:tc>
          <w:tcPr>
            <w:tcW w:w="1096" w:type="dxa"/>
            <w:shd w:val="clear" w:color="auto" w:fill="D9D9D9" w:themeFill="background1" w:themeFillShade="D9"/>
            <w:noWrap/>
            <w:vAlign w:val="center"/>
            <w:hideMark/>
          </w:tcPr>
          <w:p w14:paraId="7BFDF53F" w14:textId="77777777" w:rsidR="006F259C" w:rsidRPr="009D65BE" w:rsidRDefault="000F5B51" w:rsidP="00343F45">
            <w:pPr>
              <w:spacing w:line="240" w:lineRule="auto"/>
              <w:rPr>
                <w:rFonts w:eastAsia="Times New Roman" w:cs="Times New Roman"/>
                <w:b/>
                <w:bCs/>
                <w:color w:val="000000"/>
              </w:rPr>
            </w:pPr>
            <w:r w:rsidRPr="009D65BE">
              <w:rPr>
                <w:rFonts w:eastAsia="Times New Roman" w:cs="Times New Roman"/>
                <w:b/>
                <w:bCs/>
                <w:color w:val="000000"/>
              </w:rPr>
              <w:t>Injury Severity</w:t>
            </w:r>
          </w:p>
        </w:tc>
        <w:tc>
          <w:tcPr>
            <w:tcW w:w="1084" w:type="dxa"/>
            <w:shd w:val="clear" w:color="auto" w:fill="D9D9D9" w:themeFill="background1" w:themeFillShade="D9"/>
            <w:noWrap/>
            <w:vAlign w:val="center"/>
            <w:hideMark/>
          </w:tcPr>
          <w:p w14:paraId="58B6649A" w14:textId="77777777" w:rsidR="006F259C" w:rsidRPr="009D65BE" w:rsidRDefault="000F5B51" w:rsidP="00343F45">
            <w:pPr>
              <w:spacing w:line="240" w:lineRule="auto"/>
              <w:jc w:val="center"/>
              <w:rPr>
                <w:rFonts w:eastAsia="Times New Roman" w:cs="Times New Roman"/>
                <w:b/>
                <w:bCs/>
                <w:color w:val="000000"/>
              </w:rPr>
            </w:pPr>
            <w:r w:rsidRPr="009D65BE">
              <w:rPr>
                <w:rFonts w:eastAsia="Times New Roman" w:cs="Times New Roman"/>
                <w:b/>
                <w:bCs/>
                <w:color w:val="000000"/>
              </w:rPr>
              <w:t>Lo</w:t>
            </w:r>
          </w:p>
        </w:tc>
        <w:tc>
          <w:tcPr>
            <w:tcW w:w="1816" w:type="dxa"/>
            <w:shd w:val="clear" w:color="auto" w:fill="D9D9D9" w:themeFill="background1" w:themeFillShade="D9"/>
            <w:noWrap/>
            <w:vAlign w:val="center"/>
            <w:hideMark/>
          </w:tcPr>
          <w:p w14:paraId="683E4561" w14:textId="77777777" w:rsidR="006F259C" w:rsidRPr="009D65BE" w:rsidRDefault="000F5B51" w:rsidP="00343F45">
            <w:pPr>
              <w:spacing w:line="240" w:lineRule="auto"/>
              <w:jc w:val="center"/>
              <w:rPr>
                <w:rFonts w:eastAsia="Times New Roman" w:cs="Times New Roman"/>
                <w:b/>
                <w:bCs/>
              </w:rPr>
            </w:pPr>
            <w:r w:rsidRPr="009D65BE">
              <w:rPr>
                <w:rFonts w:eastAsia="Times New Roman" w:cs="Times New Roman"/>
                <w:b/>
                <w:bCs/>
              </w:rPr>
              <w:t>Comprehensive Unit Costs</w:t>
            </w:r>
          </w:p>
        </w:tc>
        <w:tc>
          <w:tcPr>
            <w:tcW w:w="1777" w:type="dxa"/>
            <w:shd w:val="clear" w:color="auto" w:fill="D9D9D9" w:themeFill="background1" w:themeFillShade="D9"/>
            <w:noWrap/>
            <w:vAlign w:val="center"/>
            <w:hideMark/>
          </w:tcPr>
          <w:p w14:paraId="37F8877C" w14:textId="77777777" w:rsidR="006F259C" w:rsidRPr="009D65BE" w:rsidRDefault="000F5B51" w:rsidP="00343F45">
            <w:pPr>
              <w:spacing w:line="240" w:lineRule="auto"/>
              <w:jc w:val="center"/>
              <w:rPr>
                <w:rFonts w:eastAsia="Times New Roman" w:cs="Times New Roman"/>
                <w:b/>
                <w:bCs/>
                <w:color w:val="000000"/>
              </w:rPr>
            </w:pPr>
            <w:r w:rsidRPr="009D65BE">
              <w:rPr>
                <w:rFonts w:eastAsia="Times New Roman" w:cs="Times New Roman"/>
                <w:b/>
                <w:bCs/>
                <w:color w:val="000000"/>
              </w:rPr>
              <w:t>Monetized Benefits</w:t>
            </w:r>
          </w:p>
        </w:tc>
        <w:tc>
          <w:tcPr>
            <w:tcW w:w="1096" w:type="dxa"/>
            <w:shd w:val="clear" w:color="auto" w:fill="D9D9D9" w:themeFill="background1" w:themeFillShade="D9"/>
            <w:noWrap/>
            <w:vAlign w:val="center"/>
            <w:hideMark/>
          </w:tcPr>
          <w:p w14:paraId="54727371" w14:textId="77777777" w:rsidR="006F259C" w:rsidRPr="009D65BE" w:rsidRDefault="000F5B51" w:rsidP="00343F45">
            <w:pPr>
              <w:spacing w:line="240" w:lineRule="auto"/>
              <w:rPr>
                <w:rFonts w:eastAsia="Times New Roman" w:cs="Times New Roman"/>
                <w:b/>
                <w:bCs/>
                <w:color w:val="000000"/>
              </w:rPr>
            </w:pPr>
            <w:r w:rsidRPr="009D65BE">
              <w:rPr>
                <w:rFonts w:eastAsia="Times New Roman" w:cs="Times New Roman"/>
                <w:b/>
                <w:bCs/>
                <w:color w:val="000000"/>
              </w:rPr>
              <w:t>Injury Severity</w:t>
            </w:r>
          </w:p>
        </w:tc>
        <w:tc>
          <w:tcPr>
            <w:tcW w:w="1053" w:type="dxa"/>
            <w:shd w:val="clear" w:color="auto" w:fill="D9D9D9" w:themeFill="background1" w:themeFillShade="D9"/>
            <w:noWrap/>
            <w:vAlign w:val="center"/>
            <w:hideMark/>
          </w:tcPr>
          <w:p w14:paraId="45C39642" w14:textId="77777777" w:rsidR="006F259C" w:rsidRPr="009D65BE" w:rsidRDefault="000F5B51" w:rsidP="00343F45">
            <w:pPr>
              <w:spacing w:line="240" w:lineRule="auto"/>
              <w:jc w:val="center"/>
              <w:rPr>
                <w:rFonts w:eastAsia="Times New Roman" w:cs="Times New Roman"/>
                <w:b/>
                <w:bCs/>
                <w:color w:val="000000"/>
              </w:rPr>
            </w:pPr>
            <w:r w:rsidRPr="009D65BE">
              <w:rPr>
                <w:rFonts w:eastAsia="Times New Roman" w:cs="Times New Roman"/>
                <w:b/>
                <w:bCs/>
                <w:color w:val="000000"/>
              </w:rPr>
              <w:t>Hi</w:t>
            </w:r>
          </w:p>
        </w:tc>
        <w:tc>
          <w:tcPr>
            <w:tcW w:w="1816" w:type="dxa"/>
            <w:shd w:val="clear" w:color="auto" w:fill="D9D9D9" w:themeFill="background1" w:themeFillShade="D9"/>
            <w:noWrap/>
            <w:vAlign w:val="center"/>
            <w:hideMark/>
          </w:tcPr>
          <w:p w14:paraId="7B684481" w14:textId="77777777" w:rsidR="006F259C" w:rsidRPr="009D65BE" w:rsidRDefault="000F5B51" w:rsidP="00343F45">
            <w:pPr>
              <w:spacing w:line="240" w:lineRule="auto"/>
              <w:jc w:val="center"/>
              <w:rPr>
                <w:rFonts w:eastAsia="Times New Roman" w:cs="Times New Roman"/>
                <w:b/>
                <w:bCs/>
              </w:rPr>
            </w:pPr>
            <w:r w:rsidRPr="009D65BE">
              <w:rPr>
                <w:rFonts w:eastAsia="Times New Roman" w:cs="Times New Roman"/>
                <w:b/>
                <w:bCs/>
              </w:rPr>
              <w:t>Comprehensive Unit Costs</w:t>
            </w:r>
          </w:p>
        </w:tc>
        <w:tc>
          <w:tcPr>
            <w:tcW w:w="1777" w:type="dxa"/>
            <w:shd w:val="clear" w:color="auto" w:fill="D9D9D9" w:themeFill="background1" w:themeFillShade="D9"/>
            <w:noWrap/>
            <w:vAlign w:val="center"/>
            <w:hideMark/>
          </w:tcPr>
          <w:p w14:paraId="6A190398" w14:textId="77777777" w:rsidR="006F259C" w:rsidRPr="009D65BE" w:rsidRDefault="000F5B51" w:rsidP="00343F45">
            <w:pPr>
              <w:spacing w:line="240" w:lineRule="auto"/>
              <w:jc w:val="center"/>
              <w:rPr>
                <w:rFonts w:eastAsia="Times New Roman" w:cs="Times New Roman"/>
                <w:b/>
                <w:bCs/>
                <w:color w:val="000000"/>
              </w:rPr>
            </w:pPr>
            <w:r w:rsidRPr="009D65BE">
              <w:rPr>
                <w:rFonts w:eastAsia="Times New Roman" w:cs="Times New Roman"/>
                <w:b/>
                <w:bCs/>
                <w:color w:val="000000"/>
              </w:rPr>
              <w:t>Monetized Benefits</w:t>
            </w:r>
          </w:p>
        </w:tc>
      </w:tr>
      <w:tr w:rsidR="00A15C2C" w14:paraId="47AE5D50" w14:textId="77777777" w:rsidTr="00343F45">
        <w:trPr>
          <w:trHeight w:val="290"/>
        </w:trPr>
        <w:tc>
          <w:tcPr>
            <w:tcW w:w="1096" w:type="dxa"/>
            <w:noWrap/>
            <w:vAlign w:val="center"/>
            <w:hideMark/>
          </w:tcPr>
          <w:p w14:paraId="45CEC5F2"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1</w:t>
            </w:r>
          </w:p>
        </w:tc>
        <w:tc>
          <w:tcPr>
            <w:tcW w:w="1084" w:type="dxa"/>
            <w:noWrap/>
          </w:tcPr>
          <w:p w14:paraId="288CA5EA" w14:textId="77777777" w:rsidR="006F259C" w:rsidRPr="009D65BE" w:rsidRDefault="000F5B51" w:rsidP="00343F45">
            <w:pPr>
              <w:spacing w:line="240" w:lineRule="auto"/>
              <w:jc w:val="center"/>
              <w:rPr>
                <w:rFonts w:eastAsia="Times New Roman" w:cs="Times New Roman"/>
                <w:color w:val="000000"/>
              </w:rPr>
            </w:pPr>
            <w:r w:rsidRPr="00DD4ED3">
              <w:t>0.40</w:t>
            </w:r>
          </w:p>
        </w:tc>
        <w:tc>
          <w:tcPr>
            <w:tcW w:w="1816" w:type="dxa"/>
            <w:noWrap/>
            <w:vAlign w:val="center"/>
            <w:hideMark/>
          </w:tcPr>
          <w:p w14:paraId="36C5C30C" w14:textId="77777777" w:rsidR="006F259C" w:rsidRPr="009D65BE" w:rsidRDefault="000F5B51" w:rsidP="00343F45">
            <w:pPr>
              <w:spacing w:line="240" w:lineRule="auto"/>
              <w:jc w:val="center"/>
              <w:rPr>
                <w:rFonts w:eastAsia="Times New Roman" w:cs="Times New Roman"/>
                <w:color w:val="000000"/>
              </w:rPr>
            </w:pPr>
            <w:r w:rsidRPr="009D65BE">
              <w:rPr>
                <w:rFonts w:eastAsia="Times New Roman" w:cs="Times New Roman"/>
                <w:color w:val="000000"/>
              </w:rPr>
              <w:t>$56,035</w:t>
            </w:r>
          </w:p>
        </w:tc>
        <w:tc>
          <w:tcPr>
            <w:tcW w:w="1777" w:type="dxa"/>
            <w:noWrap/>
          </w:tcPr>
          <w:p w14:paraId="5BD8704F" w14:textId="77777777" w:rsidR="006F259C" w:rsidRPr="00325C3E" w:rsidRDefault="000F5B51" w:rsidP="00343F45">
            <w:pPr>
              <w:spacing w:line="240" w:lineRule="auto"/>
              <w:jc w:val="center"/>
              <w:rPr>
                <w:rFonts w:eastAsia="Times New Roman" w:cs="Times New Roman"/>
                <w:color w:val="000000"/>
              </w:rPr>
            </w:pPr>
            <w:r w:rsidRPr="007008FB">
              <w:t>$22,415</w:t>
            </w:r>
          </w:p>
        </w:tc>
        <w:tc>
          <w:tcPr>
            <w:tcW w:w="1096" w:type="dxa"/>
            <w:noWrap/>
            <w:vAlign w:val="center"/>
            <w:hideMark/>
          </w:tcPr>
          <w:p w14:paraId="19597572"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1</w:t>
            </w:r>
          </w:p>
        </w:tc>
        <w:tc>
          <w:tcPr>
            <w:tcW w:w="1053" w:type="dxa"/>
            <w:noWrap/>
          </w:tcPr>
          <w:p w14:paraId="17FB5BBA" w14:textId="77777777" w:rsidR="006F259C" w:rsidRPr="009D65BE" w:rsidRDefault="000F5B51" w:rsidP="00343F45">
            <w:pPr>
              <w:spacing w:line="240" w:lineRule="auto"/>
              <w:jc w:val="center"/>
              <w:rPr>
                <w:rFonts w:eastAsia="Times New Roman" w:cs="Times New Roman"/>
                <w:color w:val="000000"/>
              </w:rPr>
            </w:pPr>
            <w:r w:rsidRPr="001A17BA">
              <w:t>0.59</w:t>
            </w:r>
          </w:p>
        </w:tc>
        <w:tc>
          <w:tcPr>
            <w:tcW w:w="1816" w:type="dxa"/>
            <w:noWrap/>
            <w:vAlign w:val="center"/>
            <w:hideMark/>
          </w:tcPr>
          <w:p w14:paraId="20FAA2B9" w14:textId="77777777" w:rsidR="006F259C" w:rsidRPr="009D65BE" w:rsidRDefault="000F5B51" w:rsidP="00343F45">
            <w:pPr>
              <w:spacing w:line="240" w:lineRule="auto"/>
              <w:jc w:val="center"/>
              <w:rPr>
                <w:rFonts w:eastAsia="Times New Roman" w:cs="Times New Roman"/>
                <w:color w:val="000000"/>
              </w:rPr>
            </w:pPr>
            <w:r w:rsidRPr="009D65BE">
              <w:rPr>
                <w:rFonts w:eastAsia="Times New Roman" w:cs="Times New Roman"/>
                <w:color w:val="000000"/>
              </w:rPr>
              <w:t>$56,035</w:t>
            </w:r>
          </w:p>
        </w:tc>
        <w:tc>
          <w:tcPr>
            <w:tcW w:w="1777" w:type="dxa"/>
            <w:noWrap/>
          </w:tcPr>
          <w:p w14:paraId="4A4156DE" w14:textId="77777777" w:rsidR="006F259C" w:rsidRPr="009D65BE" w:rsidRDefault="000F5B51" w:rsidP="00343F45">
            <w:pPr>
              <w:spacing w:line="240" w:lineRule="auto"/>
              <w:jc w:val="center"/>
              <w:rPr>
                <w:rFonts w:eastAsia="Times New Roman" w:cs="Times New Roman"/>
                <w:color w:val="000000"/>
              </w:rPr>
            </w:pPr>
            <w:r w:rsidRPr="00E8028B">
              <w:t>$32,875</w:t>
            </w:r>
          </w:p>
        </w:tc>
      </w:tr>
      <w:tr w:rsidR="00A15C2C" w14:paraId="6BBC7EF0" w14:textId="77777777" w:rsidTr="00343F45">
        <w:trPr>
          <w:trHeight w:val="290"/>
        </w:trPr>
        <w:tc>
          <w:tcPr>
            <w:tcW w:w="1096" w:type="dxa"/>
            <w:noWrap/>
            <w:vAlign w:val="center"/>
            <w:hideMark/>
          </w:tcPr>
          <w:p w14:paraId="073E97AA"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2</w:t>
            </w:r>
          </w:p>
        </w:tc>
        <w:tc>
          <w:tcPr>
            <w:tcW w:w="1084" w:type="dxa"/>
            <w:noWrap/>
          </w:tcPr>
          <w:p w14:paraId="074D00D2" w14:textId="77777777" w:rsidR="006F259C" w:rsidRPr="009D65BE" w:rsidRDefault="000F5B51" w:rsidP="00343F45">
            <w:pPr>
              <w:spacing w:line="240" w:lineRule="auto"/>
              <w:jc w:val="center"/>
              <w:rPr>
                <w:rFonts w:eastAsia="Times New Roman" w:cs="Times New Roman"/>
                <w:color w:val="000000"/>
              </w:rPr>
            </w:pPr>
            <w:r w:rsidRPr="00DD4ED3">
              <w:t>0.37</w:t>
            </w:r>
          </w:p>
        </w:tc>
        <w:tc>
          <w:tcPr>
            <w:tcW w:w="1816" w:type="dxa"/>
            <w:noWrap/>
            <w:vAlign w:val="center"/>
            <w:hideMark/>
          </w:tcPr>
          <w:p w14:paraId="30252446" w14:textId="77777777" w:rsidR="006F259C" w:rsidRPr="009D65BE" w:rsidRDefault="000F5B51" w:rsidP="00343F45">
            <w:pPr>
              <w:spacing w:line="240" w:lineRule="auto"/>
              <w:jc w:val="center"/>
              <w:rPr>
                <w:rFonts w:eastAsia="Times New Roman" w:cs="Times New Roman"/>
                <w:color w:val="000000"/>
              </w:rPr>
            </w:pPr>
            <w:r w:rsidRPr="009D65BE">
              <w:rPr>
                <w:rFonts w:eastAsia="Times New Roman" w:cs="Times New Roman"/>
                <w:color w:val="000000"/>
              </w:rPr>
              <w:t>$553,146</w:t>
            </w:r>
          </w:p>
        </w:tc>
        <w:tc>
          <w:tcPr>
            <w:tcW w:w="1777" w:type="dxa"/>
            <w:noWrap/>
          </w:tcPr>
          <w:p w14:paraId="1BED5CCF" w14:textId="77777777" w:rsidR="006F259C" w:rsidRPr="00325C3E" w:rsidRDefault="000F5B51" w:rsidP="00343F45">
            <w:pPr>
              <w:spacing w:line="240" w:lineRule="auto"/>
              <w:jc w:val="center"/>
              <w:rPr>
                <w:rFonts w:eastAsia="Times New Roman" w:cs="Times New Roman"/>
                <w:color w:val="000000"/>
              </w:rPr>
            </w:pPr>
            <w:r w:rsidRPr="007008FB">
              <w:t>$203,584</w:t>
            </w:r>
          </w:p>
        </w:tc>
        <w:tc>
          <w:tcPr>
            <w:tcW w:w="1096" w:type="dxa"/>
            <w:noWrap/>
            <w:vAlign w:val="center"/>
            <w:hideMark/>
          </w:tcPr>
          <w:p w14:paraId="7C0E40B2"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2</w:t>
            </w:r>
          </w:p>
        </w:tc>
        <w:tc>
          <w:tcPr>
            <w:tcW w:w="1053" w:type="dxa"/>
            <w:noWrap/>
          </w:tcPr>
          <w:p w14:paraId="49D4E227" w14:textId="77777777" w:rsidR="006F259C" w:rsidRPr="009D65BE" w:rsidRDefault="000F5B51" w:rsidP="00343F45">
            <w:pPr>
              <w:spacing w:line="240" w:lineRule="auto"/>
              <w:jc w:val="center"/>
              <w:rPr>
                <w:rFonts w:eastAsia="Times New Roman" w:cs="Times New Roman"/>
                <w:color w:val="000000"/>
              </w:rPr>
            </w:pPr>
            <w:r w:rsidRPr="001A17BA">
              <w:t>0.54</w:t>
            </w:r>
          </w:p>
        </w:tc>
        <w:tc>
          <w:tcPr>
            <w:tcW w:w="1816" w:type="dxa"/>
            <w:noWrap/>
            <w:vAlign w:val="center"/>
            <w:hideMark/>
          </w:tcPr>
          <w:p w14:paraId="06F4C4D1" w14:textId="77777777" w:rsidR="006F259C" w:rsidRPr="009D65BE" w:rsidRDefault="000F5B51" w:rsidP="00343F45">
            <w:pPr>
              <w:spacing w:line="240" w:lineRule="auto"/>
              <w:jc w:val="center"/>
              <w:rPr>
                <w:rFonts w:eastAsia="Times New Roman" w:cs="Times New Roman"/>
                <w:color w:val="000000"/>
              </w:rPr>
            </w:pPr>
            <w:r w:rsidRPr="009D65BE">
              <w:rPr>
                <w:rFonts w:eastAsia="Times New Roman" w:cs="Times New Roman"/>
                <w:color w:val="000000"/>
              </w:rPr>
              <w:t>$553,146</w:t>
            </w:r>
          </w:p>
        </w:tc>
        <w:tc>
          <w:tcPr>
            <w:tcW w:w="1777" w:type="dxa"/>
            <w:noWrap/>
          </w:tcPr>
          <w:p w14:paraId="772F46D0" w14:textId="77777777" w:rsidR="006F259C" w:rsidRPr="009D65BE" w:rsidRDefault="000F5B51" w:rsidP="00343F45">
            <w:pPr>
              <w:spacing w:line="240" w:lineRule="auto"/>
              <w:jc w:val="center"/>
              <w:rPr>
                <w:rFonts w:eastAsia="Times New Roman" w:cs="Times New Roman"/>
                <w:color w:val="000000"/>
              </w:rPr>
            </w:pPr>
            <w:r w:rsidRPr="00E8028B">
              <w:t>$298,590</w:t>
            </w:r>
          </w:p>
        </w:tc>
      </w:tr>
      <w:tr w:rsidR="00A15C2C" w14:paraId="0E6B8D0C" w14:textId="77777777" w:rsidTr="00343F45">
        <w:trPr>
          <w:trHeight w:val="290"/>
        </w:trPr>
        <w:tc>
          <w:tcPr>
            <w:tcW w:w="1096" w:type="dxa"/>
            <w:noWrap/>
            <w:vAlign w:val="center"/>
            <w:hideMark/>
          </w:tcPr>
          <w:p w14:paraId="395EB440"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3</w:t>
            </w:r>
          </w:p>
        </w:tc>
        <w:tc>
          <w:tcPr>
            <w:tcW w:w="1084" w:type="dxa"/>
            <w:noWrap/>
          </w:tcPr>
          <w:p w14:paraId="0135C6DB" w14:textId="77777777" w:rsidR="006F259C" w:rsidRPr="009D65BE" w:rsidRDefault="000F5B51" w:rsidP="00343F45">
            <w:pPr>
              <w:spacing w:line="240" w:lineRule="auto"/>
              <w:jc w:val="center"/>
              <w:rPr>
                <w:rFonts w:eastAsia="Times New Roman" w:cs="Times New Roman"/>
                <w:color w:val="000000"/>
              </w:rPr>
            </w:pPr>
            <w:r w:rsidRPr="00DD4ED3">
              <w:t>0.09</w:t>
            </w:r>
          </w:p>
        </w:tc>
        <w:tc>
          <w:tcPr>
            <w:tcW w:w="1816" w:type="dxa"/>
            <w:noWrap/>
            <w:vAlign w:val="center"/>
            <w:hideMark/>
          </w:tcPr>
          <w:p w14:paraId="071A7D9A" w14:textId="77777777" w:rsidR="006F259C" w:rsidRPr="009D65BE" w:rsidRDefault="000F5B51" w:rsidP="00343F45">
            <w:pPr>
              <w:spacing w:line="240" w:lineRule="auto"/>
              <w:jc w:val="center"/>
              <w:rPr>
                <w:rFonts w:eastAsia="Times New Roman" w:cs="Times New Roman"/>
                <w:color w:val="000000"/>
              </w:rPr>
            </w:pPr>
            <w:r w:rsidRPr="009D65BE">
              <w:rPr>
                <w:rFonts w:eastAsia="Times New Roman" w:cs="Times New Roman"/>
                <w:color w:val="000000"/>
              </w:rPr>
              <w:t>$1,307,335</w:t>
            </w:r>
          </w:p>
        </w:tc>
        <w:tc>
          <w:tcPr>
            <w:tcW w:w="1777" w:type="dxa"/>
            <w:noWrap/>
          </w:tcPr>
          <w:p w14:paraId="1E513FB6" w14:textId="77777777" w:rsidR="006F259C" w:rsidRPr="00325C3E" w:rsidRDefault="000F5B51" w:rsidP="00343F45">
            <w:pPr>
              <w:spacing w:line="240" w:lineRule="auto"/>
              <w:jc w:val="center"/>
              <w:rPr>
                <w:rFonts w:eastAsia="Times New Roman" w:cs="Times New Roman"/>
                <w:color w:val="000000"/>
              </w:rPr>
            </w:pPr>
            <w:r w:rsidRPr="007008FB">
              <w:t>$116,830</w:t>
            </w:r>
          </w:p>
        </w:tc>
        <w:tc>
          <w:tcPr>
            <w:tcW w:w="1096" w:type="dxa"/>
            <w:noWrap/>
            <w:vAlign w:val="center"/>
            <w:hideMark/>
          </w:tcPr>
          <w:p w14:paraId="2E05E207"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3</w:t>
            </w:r>
          </w:p>
        </w:tc>
        <w:tc>
          <w:tcPr>
            <w:tcW w:w="1053" w:type="dxa"/>
            <w:noWrap/>
          </w:tcPr>
          <w:p w14:paraId="32BCEB84" w14:textId="77777777" w:rsidR="006F259C" w:rsidRPr="009D65BE" w:rsidRDefault="000F5B51" w:rsidP="00343F45">
            <w:pPr>
              <w:spacing w:line="240" w:lineRule="auto"/>
              <w:jc w:val="center"/>
              <w:rPr>
                <w:rFonts w:eastAsia="Times New Roman" w:cs="Times New Roman"/>
                <w:color w:val="000000"/>
              </w:rPr>
            </w:pPr>
            <w:r w:rsidRPr="001A17BA">
              <w:t>0.13</w:t>
            </w:r>
          </w:p>
        </w:tc>
        <w:tc>
          <w:tcPr>
            <w:tcW w:w="1816" w:type="dxa"/>
            <w:noWrap/>
            <w:vAlign w:val="center"/>
            <w:hideMark/>
          </w:tcPr>
          <w:p w14:paraId="14A3F54B" w14:textId="77777777" w:rsidR="006F259C" w:rsidRPr="009D65BE" w:rsidRDefault="000F5B51" w:rsidP="00343F45">
            <w:pPr>
              <w:spacing w:line="240" w:lineRule="auto"/>
              <w:jc w:val="center"/>
              <w:rPr>
                <w:rFonts w:eastAsia="Times New Roman" w:cs="Times New Roman"/>
                <w:color w:val="000000"/>
              </w:rPr>
            </w:pPr>
            <w:r w:rsidRPr="009D65BE">
              <w:rPr>
                <w:rFonts w:eastAsia="Times New Roman" w:cs="Times New Roman"/>
                <w:color w:val="000000"/>
              </w:rPr>
              <w:t>$1,307,335</w:t>
            </w:r>
          </w:p>
        </w:tc>
        <w:tc>
          <w:tcPr>
            <w:tcW w:w="1777" w:type="dxa"/>
            <w:noWrap/>
          </w:tcPr>
          <w:p w14:paraId="71060144" w14:textId="77777777" w:rsidR="006F259C" w:rsidRPr="009D65BE" w:rsidRDefault="000F5B51" w:rsidP="00343F45">
            <w:pPr>
              <w:spacing w:line="240" w:lineRule="auto"/>
              <w:jc w:val="center"/>
              <w:rPr>
                <w:rFonts w:eastAsia="Times New Roman" w:cs="Times New Roman"/>
                <w:color w:val="000000"/>
              </w:rPr>
            </w:pPr>
            <w:r w:rsidRPr="00E8028B">
              <w:t>$171,350</w:t>
            </w:r>
          </w:p>
        </w:tc>
      </w:tr>
      <w:tr w:rsidR="00A15C2C" w14:paraId="73AB2289" w14:textId="77777777" w:rsidTr="00343F45">
        <w:trPr>
          <w:trHeight w:val="290"/>
        </w:trPr>
        <w:tc>
          <w:tcPr>
            <w:tcW w:w="1096" w:type="dxa"/>
            <w:noWrap/>
            <w:vAlign w:val="center"/>
            <w:hideMark/>
          </w:tcPr>
          <w:p w14:paraId="4F0EC07A"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4</w:t>
            </w:r>
          </w:p>
        </w:tc>
        <w:tc>
          <w:tcPr>
            <w:tcW w:w="1084" w:type="dxa"/>
            <w:noWrap/>
          </w:tcPr>
          <w:p w14:paraId="03FAEE3A" w14:textId="77777777" w:rsidR="006F259C" w:rsidRPr="009D65BE" w:rsidRDefault="000F5B51" w:rsidP="00343F45">
            <w:pPr>
              <w:spacing w:line="240" w:lineRule="auto"/>
              <w:jc w:val="center"/>
              <w:rPr>
                <w:rFonts w:eastAsia="Times New Roman" w:cs="Times New Roman"/>
                <w:color w:val="000000"/>
              </w:rPr>
            </w:pPr>
            <w:r w:rsidRPr="00DD4ED3">
              <w:t>0.02</w:t>
            </w:r>
          </w:p>
        </w:tc>
        <w:tc>
          <w:tcPr>
            <w:tcW w:w="1816" w:type="dxa"/>
            <w:noWrap/>
            <w:vAlign w:val="center"/>
            <w:hideMark/>
          </w:tcPr>
          <w:p w14:paraId="4C91DBBF" w14:textId="77777777" w:rsidR="006F259C" w:rsidRPr="009D65BE" w:rsidRDefault="000F5B51" w:rsidP="00343F45">
            <w:pPr>
              <w:spacing w:line="240" w:lineRule="auto"/>
              <w:jc w:val="center"/>
              <w:rPr>
                <w:rFonts w:eastAsia="Times New Roman" w:cs="Times New Roman"/>
                <w:color w:val="000000"/>
              </w:rPr>
            </w:pPr>
            <w:r w:rsidRPr="009D65BE">
              <w:rPr>
                <w:rFonts w:eastAsia="Times New Roman" w:cs="Times New Roman"/>
                <w:color w:val="000000"/>
              </w:rPr>
              <w:t>$3,215,701</w:t>
            </w:r>
          </w:p>
        </w:tc>
        <w:tc>
          <w:tcPr>
            <w:tcW w:w="1777" w:type="dxa"/>
            <w:noWrap/>
          </w:tcPr>
          <w:p w14:paraId="12A7FC77" w14:textId="77777777" w:rsidR="006F259C" w:rsidRPr="00325C3E" w:rsidRDefault="000F5B51" w:rsidP="00343F45">
            <w:pPr>
              <w:spacing w:line="240" w:lineRule="auto"/>
              <w:jc w:val="center"/>
              <w:rPr>
                <w:rFonts w:eastAsia="Times New Roman" w:cs="Times New Roman"/>
                <w:color w:val="000000"/>
              </w:rPr>
            </w:pPr>
            <w:r w:rsidRPr="007008FB">
              <w:t>$79,825</w:t>
            </w:r>
          </w:p>
        </w:tc>
        <w:tc>
          <w:tcPr>
            <w:tcW w:w="1096" w:type="dxa"/>
            <w:noWrap/>
            <w:vAlign w:val="center"/>
            <w:hideMark/>
          </w:tcPr>
          <w:p w14:paraId="518D1F0C"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4</w:t>
            </w:r>
          </w:p>
        </w:tc>
        <w:tc>
          <w:tcPr>
            <w:tcW w:w="1053" w:type="dxa"/>
            <w:noWrap/>
          </w:tcPr>
          <w:p w14:paraId="2DECE395" w14:textId="77777777" w:rsidR="006F259C" w:rsidRPr="009D65BE" w:rsidRDefault="000F5B51" w:rsidP="00343F45">
            <w:pPr>
              <w:spacing w:line="240" w:lineRule="auto"/>
              <w:jc w:val="center"/>
              <w:rPr>
                <w:rFonts w:eastAsia="Times New Roman" w:cs="Times New Roman"/>
                <w:color w:val="000000"/>
              </w:rPr>
            </w:pPr>
            <w:r w:rsidRPr="001A17BA">
              <w:t>0.04</w:t>
            </w:r>
          </w:p>
        </w:tc>
        <w:tc>
          <w:tcPr>
            <w:tcW w:w="1816" w:type="dxa"/>
            <w:noWrap/>
            <w:vAlign w:val="center"/>
            <w:hideMark/>
          </w:tcPr>
          <w:p w14:paraId="73E384E5" w14:textId="77777777" w:rsidR="006F259C" w:rsidRPr="009D65BE" w:rsidRDefault="000F5B51" w:rsidP="00343F45">
            <w:pPr>
              <w:spacing w:line="240" w:lineRule="auto"/>
              <w:jc w:val="center"/>
              <w:rPr>
                <w:rFonts w:eastAsia="Times New Roman" w:cs="Times New Roman"/>
                <w:color w:val="000000"/>
              </w:rPr>
            </w:pPr>
            <w:r w:rsidRPr="009D65BE">
              <w:rPr>
                <w:rFonts w:eastAsia="Times New Roman" w:cs="Times New Roman"/>
                <w:color w:val="000000"/>
              </w:rPr>
              <w:t>$3,215,701</w:t>
            </w:r>
          </w:p>
        </w:tc>
        <w:tc>
          <w:tcPr>
            <w:tcW w:w="1777" w:type="dxa"/>
            <w:noWrap/>
          </w:tcPr>
          <w:p w14:paraId="7A6E471D" w14:textId="77777777" w:rsidR="006F259C" w:rsidRPr="009D65BE" w:rsidRDefault="000F5B51" w:rsidP="00343F45">
            <w:pPr>
              <w:spacing w:line="240" w:lineRule="auto"/>
              <w:jc w:val="center"/>
              <w:rPr>
                <w:rFonts w:eastAsia="Times New Roman" w:cs="Times New Roman"/>
                <w:color w:val="000000"/>
              </w:rPr>
            </w:pPr>
            <w:r w:rsidRPr="00E8028B">
              <w:t>$117,077</w:t>
            </w:r>
          </w:p>
        </w:tc>
      </w:tr>
      <w:tr w:rsidR="00A15C2C" w14:paraId="3C9802E1" w14:textId="77777777" w:rsidTr="00343F45">
        <w:trPr>
          <w:trHeight w:val="290"/>
        </w:trPr>
        <w:tc>
          <w:tcPr>
            <w:tcW w:w="1096" w:type="dxa"/>
            <w:noWrap/>
            <w:vAlign w:val="center"/>
            <w:hideMark/>
          </w:tcPr>
          <w:p w14:paraId="0758DD7B"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5</w:t>
            </w:r>
          </w:p>
        </w:tc>
        <w:tc>
          <w:tcPr>
            <w:tcW w:w="1084" w:type="dxa"/>
            <w:noWrap/>
          </w:tcPr>
          <w:p w14:paraId="773566F6" w14:textId="77777777" w:rsidR="006F259C" w:rsidRPr="009D65BE" w:rsidRDefault="000F5B51" w:rsidP="00343F45">
            <w:pPr>
              <w:spacing w:line="240" w:lineRule="auto"/>
              <w:jc w:val="center"/>
              <w:rPr>
                <w:rFonts w:eastAsia="Times New Roman" w:cs="Times New Roman"/>
                <w:color w:val="000000"/>
              </w:rPr>
            </w:pPr>
            <w:r w:rsidRPr="00DD4ED3">
              <w:t>0.00</w:t>
            </w:r>
          </w:p>
        </w:tc>
        <w:tc>
          <w:tcPr>
            <w:tcW w:w="1816" w:type="dxa"/>
            <w:noWrap/>
            <w:vAlign w:val="center"/>
            <w:hideMark/>
          </w:tcPr>
          <w:p w14:paraId="56BBDCCF" w14:textId="77777777" w:rsidR="006F259C" w:rsidRPr="009D65BE" w:rsidRDefault="000F5B51" w:rsidP="00343F45">
            <w:pPr>
              <w:spacing w:line="240" w:lineRule="auto"/>
              <w:jc w:val="center"/>
              <w:rPr>
                <w:rFonts w:eastAsia="Times New Roman" w:cs="Times New Roman"/>
                <w:color w:val="000000"/>
              </w:rPr>
            </w:pPr>
            <w:r w:rsidRPr="009D65BE">
              <w:rPr>
                <w:rFonts w:eastAsia="Times New Roman" w:cs="Times New Roman"/>
                <w:color w:val="000000"/>
              </w:rPr>
              <w:t>$7,327,043</w:t>
            </w:r>
          </w:p>
        </w:tc>
        <w:tc>
          <w:tcPr>
            <w:tcW w:w="1777" w:type="dxa"/>
            <w:noWrap/>
          </w:tcPr>
          <w:p w14:paraId="0012CB58" w14:textId="77777777" w:rsidR="006F259C" w:rsidRPr="00325C3E" w:rsidRDefault="000F5B51" w:rsidP="00343F45">
            <w:pPr>
              <w:spacing w:line="240" w:lineRule="auto"/>
              <w:jc w:val="center"/>
              <w:rPr>
                <w:rFonts w:eastAsia="Times New Roman" w:cs="Times New Roman"/>
                <w:color w:val="000000"/>
              </w:rPr>
            </w:pPr>
            <w:r w:rsidRPr="007008FB">
              <w:t>$0</w:t>
            </w:r>
          </w:p>
        </w:tc>
        <w:tc>
          <w:tcPr>
            <w:tcW w:w="1096" w:type="dxa"/>
            <w:noWrap/>
            <w:vAlign w:val="center"/>
            <w:hideMark/>
          </w:tcPr>
          <w:p w14:paraId="6C0F8FC9"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MAIS 5</w:t>
            </w:r>
          </w:p>
        </w:tc>
        <w:tc>
          <w:tcPr>
            <w:tcW w:w="1053" w:type="dxa"/>
            <w:noWrap/>
          </w:tcPr>
          <w:p w14:paraId="2C0C014A" w14:textId="77777777" w:rsidR="006F259C" w:rsidRPr="009D65BE" w:rsidRDefault="000F5B51" w:rsidP="00343F45">
            <w:pPr>
              <w:spacing w:line="240" w:lineRule="auto"/>
              <w:jc w:val="center"/>
              <w:rPr>
                <w:rFonts w:eastAsia="Times New Roman" w:cs="Times New Roman"/>
                <w:color w:val="000000"/>
              </w:rPr>
            </w:pPr>
            <w:r w:rsidRPr="001A17BA">
              <w:t>0.00</w:t>
            </w:r>
          </w:p>
        </w:tc>
        <w:tc>
          <w:tcPr>
            <w:tcW w:w="1816" w:type="dxa"/>
            <w:noWrap/>
            <w:vAlign w:val="center"/>
            <w:hideMark/>
          </w:tcPr>
          <w:p w14:paraId="639A5151" w14:textId="77777777" w:rsidR="006F259C" w:rsidRPr="009D65BE" w:rsidRDefault="000F5B51" w:rsidP="00343F45">
            <w:pPr>
              <w:spacing w:line="240" w:lineRule="auto"/>
              <w:jc w:val="center"/>
              <w:rPr>
                <w:rFonts w:eastAsia="Times New Roman" w:cs="Times New Roman"/>
                <w:color w:val="000000"/>
              </w:rPr>
            </w:pPr>
            <w:r w:rsidRPr="009D65BE">
              <w:rPr>
                <w:rFonts w:eastAsia="Times New Roman" w:cs="Times New Roman"/>
                <w:color w:val="000000"/>
              </w:rPr>
              <w:t>$7,327,043</w:t>
            </w:r>
          </w:p>
        </w:tc>
        <w:tc>
          <w:tcPr>
            <w:tcW w:w="1777" w:type="dxa"/>
            <w:noWrap/>
          </w:tcPr>
          <w:p w14:paraId="322E7DAC" w14:textId="77777777" w:rsidR="006F259C" w:rsidRPr="009D65BE" w:rsidRDefault="000F5B51" w:rsidP="00343F45">
            <w:pPr>
              <w:spacing w:line="240" w:lineRule="auto"/>
              <w:jc w:val="center"/>
              <w:rPr>
                <w:rFonts w:eastAsia="Times New Roman" w:cs="Times New Roman"/>
                <w:color w:val="000000"/>
              </w:rPr>
            </w:pPr>
            <w:r w:rsidRPr="00E8028B">
              <w:t>$0</w:t>
            </w:r>
          </w:p>
        </w:tc>
      </w:tr>
      <w:tr w:rsidR="00A15C2C" w14:paraId="5DDE7964" w14:textId="77777777" w:rsidTr="00343F45">
        <w:trPr>
          <w:trHeight w:val="290"/>
        </w:trPr>
        <w:tc>
          <w:tcPr>
            <w:tcW w:w="1096" w:type="dxa"/>
            <w:noWrap/>
            <w:vAlign w:val="center"/>
            <w:hideMark/>
          </w:tcPr>
          <w:p w14:paraId="2EB351F3"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Fatalities</w:t>
            </w:r>
          </w:p>
        </w:tc>
        <w:tc>
          <w:tcPr>
            <w:tcW w:w="1084" w:type="dxa"/>
            <w:noWrap/>
          </w:tcPr>
          <w:p w14:paraId="305B9372" w14:textId="77777777" w:rsidR="006F259C" w:rsidRPr="009D65BE" w:rsidRDefault="000F5B51" w:rsidP="00343F45">
            <w:pPr>
              <w:spacing w:line="240" w:lineRule="auto"/>
              <w:jc w:val="center"/>
              <w:rPr>
                <w:rFonts w:eastAsia="Times New Roman" w:cs="Times New Roman"/>
                <w:color w:val="000000"/>
              </w:rPr>
            </w:pPr>
            <w:r w:rsidRPr="00DD4ED3">
              <w:t>0.27</w:t>
            </w:r>
          </w:p>
        </w:tc>
        <w:tc>
          <w:tcPr>
            <w:tcW w:w="1816" w:type="dxa"/>
            <w:noWrap/>
            <w:vAlign w:val="center"/>
            <w:hideMark/>
          </w:tcPr>
          <w:p w14:paraId="443450C9" w14:textId="77777777" w:rsidR="006F259C" w:rsidRPr="009D65BE" w:rsidRDefault="000F5B51" w:rsidP="00343F45">
            <w:pPr>
              <w:spacing w:line="240" w:lineRule="auto"/>
              <w:jc w:val="center"/>
              <w:rPr>
                <w:rFonts w:eastAsia="Times New Roman" w:cs="Times New Roman"/>
                <w:color w:val="000000"/>
              </w:rPr>
            </w:pPr>
            <w:r w:rsidRPr="009D65BE">
              <w:rPr>
                <w:rFonts w:eastAsia="Times New Roman" w:cs="Times New Roman"/>
                <w:color w:val="000000"/>
              </w:rPr>
              <w:t>$11,950,834</w:t>
            </w:r>
          </w:p>
        </w:tc>
        <w:tc>
          <w:tcPr>
            <w:tcW w:w="1777" w:type="dxa"/>
            <w:noWrap/>
          </w:tcPr>
          <w:p w14:paraId="260BF6BA" w14:textId="77777777" w:rsidR="006F259C" w:rsidRPr="00325C3E" w:rsidRDefault="000F5B51" w:rsidP="00343F45">
            <w:pPr>
              <w:spacing w:line="240" w:lineRule="auto"/>
              <w:jc w:val="center"/>
              <w:rPr>
                <w:rFonts w:eastAsia="Times New Roman" w:cs="Times New Roman"/>
                <w:color w:val="000000"/>
              </w:rPr>
            </w:pPr>
            <w:r w:rsidRPr="007008FB">
              <w:t>$3,244,667</w:t>
            </w:r>
          </w:p>
        </w:tc>
        <w:tc>
          <w:tcPr>
            <w:tcW w:w="1096" w:type="dxa"/>
            <w:noWrap/>
            <w:vAlign w:val="center"/>
            <w:hideMark/>
          </w:tcPr>
          <w:p w14:paraId="340510E4" w14:textId="77777777" w:rsidR="006F259C" w:rsidRPr="009D65BE" w:rsidRDefault="000F5B51" w:rsidP="00343F45">
            <w:pPr>
              <w:spacing w:line="240" w:lineRule="auto"/>
              <w:rPr>
                <w:rFonts w:eastAsia="Times New Roman" w:cs="Times New Roman"/>
                <w:color w:val="000000"/>
              </w:rPr>
            </w:pPr>
            <w:r w:rsidRPr="009D65BE">
              <w:rPr>
                <w:rFonts w:eastAsia="Times New Roman" w:cs="Times New Roman"/>
                <w:color w:val="000000"/>
              </w:rPr>
              <w:t>Fatalities</w:t>
            </w:r>
          </w:p>
        </w:tc>
        <w:tc>
          <w:tcPr>
            <w:tcW w:w="1053" w:type="dxa"/>
            <w:noWrap/>
          </w:tcPr>
          <w:p w14:paraId="4165D411" w14:textId="77777777" w:rsidR="006F259C" w:rsidRPr="009D65BE" w:rsidRDefault="000F5B51" w:rsidP="00343F45">
            <w:pPr>
              <w:spacing w:line="240" w:lineRule="auto"/>
              <w:jc w:val="center"/>
              <w:rPr>
                <w:rFonts w:eastAsia="Times New Roman" w:cs="Times New Roman"/>
                <w:color w:val="000000"/>
              </w:rPr>
            </w:pPr>
            <w:r w:rsidRPr="001A17BA">
              <w:t>0.41</w:t>
            </w:r>
          </w:p>
        </w:tc>
        <w:tc>
          <w:tcPr>
            <w:tcW w:w="1816" w:type="dxa"/>
            <w:noWrap/>
            <w:vAlign w:val="center"/>
            <w:hideMark/>
          </w:tcPr>
          <w:p w14:paraId="7A8576D3" w14:textId="77777777" w:rsidR="006F259C" w:rsidRPr="009D65BE" w:rsidRDefault="000F5B51" w:rsidP="00343F45">
            <w:pPr>
              <w:spacing w:line="240" w:lineRule="auto"/>
              <w:jc w:val="center"/>
              <w:rPr>
                <w:rFonts w:eastAsia="Times New Roman" w:cs="Times New Roman"/>
                <w:color w:val="000000"/>
              </w:rPr>
            </w:pPr>
            <w:r w:rsidRPr="009D65BE">
              <w:rPr>
                <w:rFonts w:eastAsia="Times New Roman" w:cs="Times New Roman"/>
                <w:color w:val="000000"/>
              </w:rPr>
              <w:t>$11,950,834</w:t>
            </w:r>
          </w:p>
        </w:tc>
        <w:tc>
          <w:tcPr>
            <w:tcW w:w="1777" w:type="dxa"/>
            <w:noWrap/>
          </w:tcPr>
          <w:p w14:paraId="6D2C7702" w14:textId="77777777" w:rsidR="006F259C" w:rsidRPr="009D65BE" w:rsidRDefault="000F5B51" w:rsidP="00343F45">
            <w:pPr>
              <w:spacing w:line="240" w:lineRule="auto"/>
              <w:jc w:val="center"/>
              <w:rPr>
                <w:rFonts w:eastAsia="Times New Roman" w:cs="Times New Roman"/>
                <w:color w:val="000000"/>
              </w:rPr>
            </w:pPr>
            <w:r w:rsidRPr="00E8028B">
              <w:t>$4,867,001</w:t>
            </w:r>
          </w:p>
        </w:tc>
      </w:tr>
      <w:tr w:rsidR="00A15C2C" w14:paraId="5804D553" w14:textId="77777777" w:rsidTr="00343F45">
        <w:trPr>
          <w:trHeight w:val="290"/>
        </w:trPr>
        <w:tc>
          <w:tcPr>
            <w:tcW w:w="1096" w:type="dxa"/>
            <w:noWrap/>
            <w:vAlign w:val="center"/>
            <w:hideMark/>
          </w:tcPr>
          <w:p w14:paraId="3AE3E04C" w14:textId="77777777" w:rsidR="006F259C" w:rsidRPr="00CC4686" w:rsidRDefault="000F5B51" w:rsidP="00343F45">
            <w:pPr>
              <w:spacing w:line="240" w:lineRule="auto"/>
              <w:rPr>
                <w:rFonts w:eastAsia="Times New Roman" w:cs="Times New Roman"/>
                <w:b/>
                <w:bCs/>
                <w:color w:val="000000"/>
              </w:rPr>
            </w:pPr>
            <w:r w:rsidRPr="00CC4686">
              <w:rPr>
                <w:rFonts w:eastAsia="Times New Roman" w:cs="Times New Roman"/>
                <w:b/>
                <w:bCs/>
                <w:color w:val="000000"/>
              </w:rPr>
              <w:t>Total</w:t>
            </w:r>
          </w:p>
        </w:tc>
        <w:tc>
          <w:tcPr>
            <w:tcW w:w="1084" w:type="dxa"/>
            <w:noWrap/>
            <w:vAlign w:val="center"/>
            <w:hideMark/>
          </w:tcPr>
          <w:p w14:paraId="53209DD2" w14:textId="77777777" w:rsidR="006F259C" w:rsidRPr="00CC4686" w:rsidRDefault="006F259C" w:rsidP="00343F45">
            <w:pPr>
              <w:spacing w:line="240" w:lineRule="auto"/>
              <w:jc w:val="center"/>
              <w:rPr>
                <w:rFonts w:eastAsia="Times New Roman" w:cs="Times New Roman"/>
                <w:b/>
                <w:bCs/>
                <w:color w:val="000000"/>
              </w:rPr>
            </w:pPr>
          </w:p>
        </w:tc>
        <w:tc>
          <w:tcPr>
            <w:tcW w:w="1816" w:type="dxa"/>
            <w:noWrap/>
            <w:vAlign w:val="center"/>
            <w:hideMark/>
          </w:tcPr>
          <w:p w14:paraId="255375CE" w14:textId="77777777" w:rsidR="006F259C" w:rsidRPr="00CC4686" w:rsidRDefault="006F259C" w:rsidP="00343F45">
            <w:pPr>
              <w:spacing w:line="240" w:lineRule="auto"/>
              <w:jc w:val="center"/>
              <w:rPr>
                <w:rFonts w:eastAsia="Times New Roman" w:cs="Times New Roman"/>
                <w:b/>
                <w:bCs/>
              </w:rPr>
            </w:pPr>
          </w:p>
        </w:tc>
        <w:tc>
          <w:tcPr>
            <w:tcW w:w="1777" w:type="dxa"/>
            <w:noWrap/>
          </w:tcPr>
          <w:p w14:paraId="0DDB24A0" w14:textId="77777777" w:rsidR="006F259C" w:rsidRPr="00CC4686" w:rsidRDefault="000F5B51" w:rsidP="00343F45">
            <w:pPr>
              <w:spacing w:line="240" w:lineRule="auto"/>
              <w:jc w:val="center"/>
              <w:rPr>
                <w:rFonts w:cs="Times New Roman"/>
                <w:b/>
                <w:bCs/>
                <w:color w:val="000000"/>
              </w:rPr>
            </w:pPr>
            <w:r w:rsidRPr="00CC4686">
              <w:rPr>
                <w:b/>
                <w:bCs/>
              </w:rPr>
              <w:t>$3,667,322</w:t>
            </w:r>
          </w:p>
        </w:tc>
        <w:tc>
          <w:tcPr>
            <w:tcW w:w="1096" w:type="dxa"/>
            <w:noWrap/>
            <w:vAlign w:val="center"/>
            <w:hideMark/>
          </w:tcPr>
          <w:p w14:paraId="2B18B7DD" w14:textId="77777777" w:rsidR="006F259C" w:rsidRPr="00CC4686" w:rsidRDefault="000F5B51" w:rsidP="00343F45">
            <w:pPr>
              <w:spacing w:line="240" w:lineRule="auto"/>
              <w:rPr>
                <w:rFonts w:eastAsia="Times New Roman" w:cs="Times New Roman"/>
                <w:b/>
                <w:bCs/>
                <w:color w:val="000000"/>
              </w:rPr>
            </w:pPr>
            <w:r w:rsidRPr="00CC4686">
              <w:rPr>
                <w:rFonts w:eastAsia="Times New Roman" w:cs="Times New Roman"/>
                <w:b/>
                <w:bCs/>
                <w:color w:val="000000"/>
              </w:rPr>
              <w:t>Total</w:t>
            </w:r>
          </w:p>
        </w:tc>
        <w:tc>
          <w:tcPr>
            <w:tcW w:w="1053" w:type="dxa"/>
            <w:noWrap/>
            <w:vAlign w:val="center"/>
            <w:hideMark/>
          </w:tcPr>
          <w:p w14:paraId="6E52536D" w14:textId="77777777" w:rsidR="006F259C" w:rsidRPr="00CC4686" w:rsidRDefault="006F259C" w:rsidP="00343F45">
            <w:pPr>
              <w:spacing w:line="240" w:lineRule="auto"/>
              <w:jc w:val="center"/>
              <w:rPr>
                <w:rFonts w:eastAsia="Times New Roman" w:cs="Times New Roman"/>
                <w:b/>
                <w:bCs/>
                <w:color w:val="000000"/>
              </w:rPr>
            </w:pPr>
          </w:p>
        </w:tc>
        <w:tc>
          <w:tcPr>
            <w:tcW w:w="1816" w:type="dxa"/>
            <w:noWrap/>
            <w:vAlign w:val="center"/>
            <w:hideMark/>
          </w:tcPr>
          <w:p w14:paraId="67577B00" w14:textId="77777777" w:rsidR="006F259C" w:rsidRPr="00CC4686" w:rsidRDefault="006F259C" w:rsidP="00343F45">
            <w:pPr>
              <w:spacing w:line="240" w:lineRule="auto"/>
              <w:jc w:val="center"/>
              <w:rPr>
                <w:rFonts w:eastAsia="Times New Roman" w:cs="Times New Roman"/>
                <w:b/>
                <w:bCs/>
              </w:rPr>
            </w:pPr>
          </w:p>
        </w:tc>
        <w:tc>
          <w:tcPr>
            <w:tcW w:w="1777" w:type="dxa"/>
            <w:noWrap/>
          </w:tcPr>
          <w:p w14:paraId="22169953" w14:textId="77777777" w:rsidR="006F259C" w:rsidRPr="00CC4686" w:rsidRDefault="000F5B51" w:rsidP="00343F45">
            <w:pPr>
              <w:spacing w:line="240" w:lineRule="auto"/>
              <w:jc w:val="center"/>
              <w:rPr>
                <w:rFonts w:eastAsia="Times New Roman" w:cs="Times New Roman"/>
                <w:b/>
                <w:bCs/>
                <w:color w:val="000000"/>
              </w:rPr>
            </w:pPr>
            <w:r w:rsidRPr="00CC4686">
              <w:rPr>
                <w:b/>
                <w:bCs/>
              </w:rPr>
              <w:t>$5,486,894</w:t>
            </w:r>
          </w:p>
        </w:tc>
      </w:tr>
    </w:tbl>
    <w:p w14:paraId="4C78B8A1" w14:textId="77777777" w:rsidR="006F259C" w:rsidRPr="00897AED" w:rsidRDefault="000F5B51" w:rsidP="006F259C">
      <w:pPr>
        <w:sectPr w:rsidR="006F259C" w:rsidRPr="00897AED" w:rsidSect="00D71C8C">
          <w:pgSz w:w="15840" w:h="12240" w:orient="landscape"/>
          <w:pgMar w:top="1440" w:right="1440" w:bottom="1440" w:left="1440" w:header="720" w:footer="720" w:gutter="0"/>
          <w:cols w:space="720"/>
          <w:docGrid w:linePitch="360"/>
        </w:sectPr>
      </w:pPr>
      <w:r w:rsidRPr="00CC4686">
        <w:rPr>
          <w:sz w:val="18"/>
          <w:szCs w:val="16"/>
        </w:rPr>
        <w:t>Note: Values may not sum due to rounding.</w:t>
      </w:r>
    </w:p>
    <w:p w14:paraId="4E4FCC68" w14:textId="2B121ACC" w:rsidR="006F259C" w:rsidRDefault="000F5B51" w:rsidP="006F259C">
      <w:pPr>
        <w:pStyle w:val="Caption"/>
      </w:pPr>
      <w:r>
        <w:lastRenderedPageBreak/>
        <w:t xml:space="preserve">Table </w:t>
      </w:r>
      <w:r w:rsidR="00115BAB">
        <w:fldChar w:fldCharType="begin"/>
      </w:r>
      <w:r>
        <w:instrText xml:space="preserve"> SEQ Table \* ARABIC </w:instrText>
      </w:r>
      <w:r w:rsidR="00115BAB">
        <w:fldChar w:fldCharType="separate"/>
      </w:r>
      <w:r w:rsidR="00A65CB3">
        <w:rPr>
          <w:noProof/>
        </w:rPr>
        <w:t>152</w:t>
      </w:r>
      <w:r w:rsidR="00115BAB">
        <w:rPr>
          <w:noProof/>
        </w:rPr>
        <w:fldChar w:fldCharType="end"/>
      </w:r>
      <w:r>
        <w:t>: Summary Of Discounted Fatal Equivalents for Rear Seat Occupants</w:t>
      </w:r>
    </w:p>
    <w:tbl>
      <w:tblPr>
        <w:tblStyle w:val="TableGrid3"/>
        <w:tblW w:w="7482" w:type="dxa"/>
        <w:jc w:val="center"/>
        <w:tblLayout w:type="fixed"/>
        <w:tblLook w:val="04A0" w:firstRow="1" w:lastRow="0" w:firstColumn="1" w:lastColumn="0" w:noHBand="0" w:noVBand="1"/>
      </w:tblPr>
      <w:tblGrid>
        <w:gridCol w:w="2862"/>
        <w:gridCol w:w="1155"/>
        <w:gridCol w:w="1155"/>
        <w:gridCol w:w="1155"/>
        <w:gridCol w:w="1155"/>
      </w:tblGrid>
      <w:tr w:rsidR="00A15C2C" w14:paraId="75FC5B1F" w14:textId="77777777" w:rsidTr="00343F45">
        <w:trPr>
          <w:trHeight w:val="310"/>
          <w:jc w:val="center"/>
        </w:trPr>
        <w:tc>
          <w:tcPr>
            <w:tcW w:w="2862" w:type="dxa"/>
            <w:vMerge w:val="restart"/>
            <w:shd w:val="clear" w:color="auto" w:fill="BFBFBF" w:themeFill="background1" w:themeFillShade="BF"/>
            <w:noWrap/>
            <w:vAlign w:val="center"/>
          </w:tcPr>
          <w:p w14:paraId="66619C67" w14:textId="77777777" w:rsidR="006F259C" w:rsidRPr="00572735" w:rsidRDefault="000F5B51" w:rsidP="00343F45">
            <w:pPr>
              <w:spacing w:line="240" w:lineRule="auto"/>
              <w:rPr>
                <w:rFonts w:eastAsia="Times New Roman" w:cs="Times New Roman"/>
                <w:b/>
                <w:bCs/>
                <w:color w:val="000000"/>
              </w:rPr>
            </w:pPr>
            <w:r>
              <w:rPr>
                <w:rFonts w:eastAsia="Times New Roman" w:cs="Times New Roman"/>
                <w:b/>
                <w:bCs/>
                <w:color w:val="000000"/>
              </w:rPr>
              <w:t>Category</w:t>
            </w:r>
          </w:p>
        </w:tc>
        <w:tc>
          <w:tcPr>
            <w:tcW w:w="2310" w:type="dxa"/>
            <w:gridSpan w:val="2"/>
            <w:shd w:val="clear" w:color="auto" w:fill="BFBFBF" w:themeFill="background1" w:themeFillShade="BF"/>
            <w:noWrap/>
            <w:vAlign w:val="center"/>
          </w:tcPr>
          <w:p w14:paraId="49BA0777" w14:textId="77777777" w:rsidR="006F259C" w:rsidRPr="00572735" w:rsidRDefault="000F5B51" w:rsidP="00343F45">
            <w:pPr>
              <w:spacing w:line="240" w:lineRule="auto"/>
              <w:jc w:val="center"/>
              <w:rPr>
                <w:rFonts w:eastAsia="Times New Roman" w:cs="Times New Roman"/>
                <w:b/>
                <w:bCs/>
                <w:color w:val="000000"/>
                <w:sz w:val="22"/>
                <w:szCs w:val="22"/>
              </w:rPr>
            </w:pPr>
            <w:r w:rsidRPr="00572735">
              <w:rPr>
                <w:rFonts w:eastAsia="Times New Roman" w:cs="Times New Roman"/>
                <w:b/>
                <w:bCs/>
                <w:color w:val="000000"/>
                <w:sz w:val="22"/>
                <w:szCs w:val="22"/>
              </w:rPr>
              <w:t>Discounted at 3%</w:t>
            </w:r>
          </w:p>
        </w:tc>
        <w:tc>
          <w:tcPr>
            <w:tcW w:w="2310" w:type="dxa"/>
            <w:gridSpan w:val="2"/>
            <w:shd w:val="clear" w:color="auto" w:fill="BFBFBF" w:themeFill="background1" w:themeFillShade="BF"/>
            <w:noWrap/>
            <w:vAlign w:val="center"/>
          </w:tcPr>
          <w:p w14:paraId="00BD373A" w14:textId="77777777" w:rsidR="006F259C" w:rsidRPr="00572735" w:rsidRDefault="000F5B51" w:rsidP="00343F45">
            <w:pPr>
              <w:spacing w:line="240" w:lineRule="auto"/>
              <w:jc w:val="center"/>
              <w:rPr>
                <w:rFonts w:eastAsia="Times New Roman" w:cs="Times New Roman"/>
                <w:b/>
                <w:bCs/>
                <w:color w:val="000000"/>
                <w:sz w:val="22"/>
                <w:szCs w:val="22"/>
              </w:rPr>
            </w:pPr>
            <w:r w:rsidRPr="00572735">
              <w:rPr>
                <w:rFonts w:eastAsia="Times New Roman" w:cs="Times New Roman"/>
                <w:b/>
                <w:bCs/>
                <w:color w:val="000000"/>
                <w:sz w:val="22"/>
                <w:szCs w:val="22"/>
              </w:rPr>
              <w:t>Discounted at 7%</w:t>
            </w:r>
          </w:p>
        </w:tc>
      </w:tr>
      <w:tr w:rsidR="00A15C2C" w14:paraId="1BBC8A34" w14:textId="77777777" w:rsidTr="00343F45">
        <w:trPr>
          <w:trHeight w:val="310"/>
          <w:jc w:val="center"/>
        </w:trPr>
        <w:tc>
          <w:tcPr>
            <w:tcW w:w="2862" w:type="dxa"/>
            <w:vMerge/>
            <w:shd w:val="clear" w:color="auto" w:fill="BFBFBF" w:themeFill="background1" w:themeFillShade="BF"/>
            <w:noWrap/>
            <w:vAlign w:val="center"/>
          </w:tcPr>
          <w:p w14:paraId="6D40B729" w14:textId="77777777" w:rsidR="006F259C" w:rsidRPr="00572735" w:rsidRDefault="006F259C" w:rsidP="00343F45">
            <w:pPr>
              <w:spacing w:line="240" w:lineRule="auto"/>
              <w:rPr>
                <w:rFonts w:eastAsia="Times New Roman" w:cs="Times New Roman"/>
                <w:b/>
                <w:bCs/>
                <w:color w:val="000000"/>
              </w:rPr>
            </w:pPr>
          </w:p>
        </w:tc>
        <w:tc>
          <w:tcPr>
            <w:tcW w:w="1155" w:type="dxa"/>
            <w:shd w:val="clear" w:color="auto" w:fill="BFBFBF" w:themeFill="background1" w:themeFillShade="BF"/>
            <w:noWrap/>
            <w:vAlign w:val="center"/>
            <w:hideMark/>
          </w:tcPr>
          <w:p w14:paraId="66BF91DC" w14:textId="77777777" w:rsidR="006F259C" w:rsidRPr="00572735" w:rsidRDefault="000F5B51" w:rsidP="00343F45">
            <w:pPr>
              <w:spacing w:line="240" w:lineRule="auto"/>
              <w:jc w:val="center"/>
              <w:rPr>
                <w:rFonts w:eastAsia="Times New Roman" w:cs="Times New Roman"/>
                <w:b/>
                <w:bCs/>
                <w:color w:val="000000"/>
                <w:sz w:val="22"/>
                <w:szCs w:val="22"/>
              </w:rPr>
            </w:pPr>
            <w:r w:rsidRPr="00572735">
              <w:rPr>
                <w:rFonts w:eastAsia="Times New Roman" w:cs="Times New Roman"/>
                <w:b/>
                <w:bCs/>
                <w:color w:val="000000"/>
                <w:sz w:val="22"/>
                <w:szCs w:val="22"/>
              </w:rPr>
              <w:t>Lo</w:t>
            </w:r>
          </w:p>
        </w:tc>
        <w:tc>
          <w:tcPr>
            <w:tcW w:w="1155" w:type="dxa"/>
            <w:shd w:val="clear" w:color="auto" w:fill="BFBFBF" w:themeFill="background1" w:themeFillShade="BF"/>
            <w:noWrap/>
            <w:vAlign w:val="center"/>
            <w:hideMark/>
          </w:tcPr>
          <w:p w14:paraId="5E4B8966" w14:textId="77777777" w:rsidR="006F259C" w:rsidRPr="00572735" w:rsidRDefault="000F5B51" w:rsidP="00343F45">
            <w:pPr>
              <w:spacing w:line="240" w:lineRule="auto"/>
              <w:jc w:val="center"/>
              <w:rPr>
                <w:rFonts w:eastAsia="Times New Roman" w:cs="Times New Roman"/>
                <w:b/>
                <w:bCs/>
                <w:sz w:val="22"/>
                <w:szCs w:val="22"/>
              </w:rPr>
            </w:pPr>
            <w:r w:rsidRPr="00572735">
              <w:rPr>
                <w:rFonts w:eastAsia="Times New Roman" w:cs="Times New Roman"/>
                <w:b/>
                <w:bCs/>
                <w:sz w:val="22"/>
                <w:szCs w:val="22"/>
              </w:rPr>
              <w:t>Hi</w:t>
            </w:r>
          </w:p>
        </w:tc>
        <w:tc>
          <w:tcPr>
            <w:tcW w:w="1155" w:type="dxa"/>
            <w:shd w:val="clear" w:color="auto" w:fill="BFBFBF" w:themeFill="background1" w:themeFillShade="BF"/>
            <w:noWrap/>
            <w:vAlign w:val="center"/>
            <w:hideMark/>
          </w:tcPr>
          <w:p w14:paraId="12E2FE27" w14:textId="77777777" w:rsidR="006F259C" w:rsidRPr="00572735" w:rsidRDefault="000F5B51" w:rsidP="00343F45">
            <w:pPr>
              <w:spacing w:line="240" w:lineRule="auto"/>
              <w:jc w:val="center"/>
              <w:rPr>
                <w:rFonts w:eastAsia="Times New Roman" w:cs="Times New Roman"/>
                <w:b/>
                <w:bCs/>
                <w:sz w:val="22"/>
                <w:szCs w:val="22"/>
              </w:rPr>
            </w:pPr>
            <w:r w:rsidRPr="00572735">
              <w:rPr>
                <w:rFonts w:eastAsia="Times New Roman" w:cs="Times New Roman"/>
                <w:b/>
                <w:bCs/>
                <w:sz w:val="22"/>
                <w:szCs w:val="22"/>
              </w:rPr>
              <w:t>Lo</w:t>
            </w:r>
          </w:p>
        </w:tc>
        <w:tc>
          <w:tcPr>
            <w:tcW w:w="1155" w:type="dxa"/>
            <w:shd w:val="clear" w:color="auto" w:fill="BFBFBF" w:themeFill="background1" w:themeFillShade="BF"/>
            <w:noWrap/>
            <w:vAlign w:val="center"/>
            <w:hideMark/>
          </w:tcPr>
          <w:p w14:paraId="293CC775" w14:textId="77777777" w:rsidR="006F259C" w:rsidRPr="00572735" w:rsidRDefault="000F5B51" w:rsidP="00343F45">
            <w:pPr>
              <w:spacing w:line="240" w:lineRule="auto"/>
              <w:jc w:val="center"/>
              <w:rPr>
                <w:rFonts w:eastAsia="Times New Roman" w:cs="Times New Roman"/>
                <w:b/>
                <w:bCs/>
                <w:sz w:val="22"/>
                <w:szCs w:val="22"/>
              </w:rPr>
            </w:pPr>
            <w:r w:rsidRPr="00572735">
              <w:rPr>
                <w:rFonts w:eastAsia="Times New Roman" w:cs="Times New Roman"/>
                <w:b/>
                <w:bCs/>
                <w:sz w:val="22"/>
                <w:szCs w:val="22"/>
              </w:rPr>
              <w:t>Hi</w:t>
            </w:r>
          </w:p>
        </w:tc>
      </w:tr>
      <w:tr w:rsidR="00A15C2C" w14:paraId="4E11D74A" w14:textId="77777777" w:rsidTr="00343F45">
        <w:trPr>
          <w:trHeight w:val="320"/>
          <w:jc w:val="center"/>
        </w:trPr>
        <w:tc>
          <w:tcPr>
            <w:tcW w:w="2862" w:type="dxa"/>
            <w:noWrap/>
            <w:vAlign w:val="center"/>
          </w:tcPr>
          <w:p w14:paraId="2B0EB74C" w14:textId="77777777" w:rsidR="006F259C" w:rsidRPr="006620BF" w:rsidRDefault="000F5B51" w:rsidP="00343F45">
            <w:pPr>
              <w:spacing w:line="240" w:lineRule="auto"/>
              <w:rPr>
                <w:rFonts w:eastAsia="Times New Roman" w:cs="Times New Roman"/>
                <w:color w:val="000000"/>
              </w:rPr>
            </w:pPr>
            <w:r>
              <w:rPr>
                <w:rFonts w:eastAsia="Times New Roman" w:cs="Times New Roman"/>
                <w:color w:val="000000"/>
              </w:rPr>
              <w:t>11 Years and Older</w:t>
            </w:r>
          </w:p>
        </w:tc>
        <w:tc>
          <w:tcPr>
            <w:tcW w:w="1155" w:type="dxa"/>
            <w:noWrap/>
            <w:vAlign w:val="center"/>
          </w:tcPr>
          <w:p w14:paraId="6E9AA03E" w14:textId="77777777" w:rsidR="006F259C" w:rsidRPr="00572735" w:rsidRDefault="000F5B51" w:rsidP="00343F45">
            <w:pPr>
              <w:spacing w:line="240" w:lineRule="auto"/>
              <w:jc w:val="center"/>
              <w:rPr>
                <w:rFonts w:eastAsia="Times New Roman" w:cs="Times New Roman"/>
                <w:color w:val="000000"/>
                <w:sz w:val="22"/>
                <w:szCs w:val="22"/>
              </w:rPr>
            </w:pPr>
            <w:r w:rsidRPr="00C77C37">
              <w:rPr>
                <w:rFonts w:eastAsia="Times New Roman" w:cs="Times New Roman"/>
                <w:color w:val="000000"/>
                <w:sz w:val="22"/>
                <w:szCs w:val="22"/>
              </w:rPr>
              <w:t>21.4912</w:t>
            </w:r>
          </w:p>
        </w:tc>
        <w:tc>
          <w:tcPr>
            <w:tcW w:w="1155" w:type="dxa"/>
            <w:noWrap/>
            <w:vAlign w:val="center"/>
          </w:tcPr>
          <w:p w14:paraId="3D026F39" w14:textId="77777777" w:rsidR="006F259C" w:rsidRPr="00572735" w:rsidRDefault="000F5B51" w:rsidP="00343F45">
            <w:pPr>
              <w:spacing w:line="240" w:lineRule="auto"/>
              <w:jc w:val="center"/>
              <w:rPr>
                <w:rFonts w:eastAsia="Times New Roman" w:cs="Times New Roman"/>
                <w:color w:val="000000"/>
                <w:sz w:val="22"/>
                <w:szCs w:val="22"/>
              </w:rPr>
            </w:pPr>
            <w:r>
              <w:rPr>
                <w:rFonts w:eastAsia="Times New Roman" w:cs="Times New Roman"/>
                <w:color w:val="000000"/>
                <w:sz w:val="22"/>
                <w:szCs w:val="22"/>
              </w:rPr>
              <w:t>32.3763</w:t>
            </w:r>
          </w:p>
        </w:tc>
        <w:tc>
          <w:tcPr>
            <w:tcW w:w="1155" w:type="dxa"/>
            <w:noWrap/>
            <w:vAlign w:val="center"/>
          </w:tcPr>
          <w:p w14:paraId="2171AB8F" w14:textId="77777777" w:rsidR="006F259C" w:rsidRPr="00572735" w:rsidRDefault="000F5B51" w:rsidP="00343F45">
            <w:pPr>
              <w:spacing w:line="240" w:lineRule="auto"/>
              <w:jc w:val="center"/>
              <w:rPr>
                <w:rFonts w:eastAsia="Times New Roman" w:cs="Times New Roman"/>
                <w:color w:val="000000"/>
                <w:sz w:val="22"/>
                <w:szCs w:val="22"/>
              </w:rPr>
            </w:pPr>
            <w:r>
              <w:rPr>
                <w:rFonts w:eastAsia="Times New Roman" w:cs="Times New Roman"/>
                <w:color w:val="000000"/>
                <w:sz w:val="22"/>
                <w:szCs w:val="22"/>
              </w:rPr>
              <w:t>17.4411</w:t>
            </w:r>
          </w:p>
        </w:tc>
        <w:tc>
          <w:tcPr>
            <w:tcW w:w="1155" w:type="dxa"/>
            <w:noWrap/>
            <w:vAlign w:val="center"/>
          </w:tcPr>
          <w:p w14:paraId="20CF5C3A" w14:textId="77777777" w:rsidR="006F259C" w:rsidRPr="00572735" w:rsidRDefault="000F5B51" w:rsidP="00343F45">
            <w:pPr>
              <w:spacing w:line="240" w:lineRule="auto"/>
              <w:jc w:val="center"/>
              <w:rPr>
                <w:rFonts w:eastAsia="Times New Roman" w:cs="Times New Roman"/>
                <w:color w:val="000000"/>
                <w:sz w:val="22"/>
                <w:szCs w:val="22"/>
              </w:rPr>
            </w:pPr>
            <w:r>
              <w:rPr>
                <w:rFonts w:eastAsia="Times New Roman" w:cs="Times New Roman"/>
                <w:color w:val="000000"/>
                <w:sz w:val="22"/>
                <w:szCs w:val="22"/>
              </w:rPr>
              <w:t>26.2748</w:t>
            </w:r>
          </w:p>
        </w:tc>
      </w:tr>
      <w:tr w:rsidR="00A15C2C" w14:paraId="7309B3D1" w14:textId="77777777" w:rsidTr="00343F45">
        <w:trPr>
          <w:trHeight w:val="320"/>
          <w:jc w:val="center"/>
        </w:trPr>
        <w:tc>
          <w:tcPr>
            <w:tcW w:w="2862" w:type="dxa"/>
            <w:noWrap/>
            <w:vAlign w:val="center"/>
          </w:tcPr>
          <w:p w14:paraId="1D7D10E5" w14:textId="77777777" w:rsidR="006F259C" w:rsidRPr="006620BF" w:rsidRDefault="000F5B51" w:rsidP="00343F45">
            <w:pPr>
              <w:spacing w:line="240" w:lineRule="auto"/>
              <w:rPr>
                <w:rFonts w:eastAsia="Times New Roman" w:cs="Times New Roman"/>
                <w:color w:val="000000"/>
              </w:rPr>
            </w:pPr>
            <w:r>
              <w:rPr>
                <w:rFonts w:eastAsia="Times New Roman" w:cs="Times New Roman"/>
                <w:color w:val="000000"/>
              </w:rPr>
              <w:t>6 to 10 Years Old</w:t>
            </w:r>
          </w:p>
        </w:tc>
        <w:tc>
          <w:tcPr>
            <w:tcW w:w="1155" w:type="dxa"/>
            <w:noWrap/>
            <w:vAlign w:val="center"/>
          </w:tcPr>
          <w:p w14:paraId="61FDE0F4" w14:textId="77777777" w:rsidR="006F259C" w:rsidRPr="00CC4686" w:rsidRDefault="000F5B51" w:rsidP="00343F45">
            <w:pPr>
              <w:spacing w:line="240" w:lineRule="auto"/>
              <w:jc w:val="center"/>
              <w:rPr>
                <w:rFonts w:cs="Times New Roman"/>
                <w:color w:val="000000"/>
                <w:sz w:val="22"/>
                <w:szCs w:val="22"/>
              </w:rPr>
            </w:pPr>
            <w:r w:rsidRPr="00CC4686">
              <w:rPr>
                <w:rFonts w:cs="Times New Roman"/>
                <w:color w:val="000000"/>
                <w:sz w:val="22"/>
              </w:rPr>
              <w:t>0.3776</w:t>
            </w:r>
          </w:p>
        </w:tc>
        <w:tc>
          <w:tcPr>
            <w:tcW w:w="1155" w:type="dxa"/>
            <w:noWrap/>
            <w:vAlign w:val="center"/>
          </w:tcPr>
          <w:p w14:paraId="63ABE095" w14:textId="77777777" w:rsidR="006F259C" w:rsidRPr="00572735" w:rsidRDefault="000F5B51" w:rsidP="00343F45">
            <w:pPr>
              <w:spacing w:line="240" w:lineRule="auto"/>
              <w:jc w:val="center"/>
              <w:rPr>
                <w:rFonts w:eastAsia="Times New Roman" w:cs="Times New Roman"/>
                <w:color w:val="000000"/>
                <w:sz w:val="22"/>
                <w:szCs w:val="22"/>
              </w:rPr>
            </w:pPr>
            <w:r w:rsidRPr="00C44423">
              <w:rPr>
                <w:rFonts w:eastAsia="Times New Roman" w:cs="Times New Roman"/>
                <w:color w:val="000000"/>
                <w:sz w:val="22"/>
                <w:szCs w:val="22"/>
              </w:rPr>
              <w:t>0.5651</w:t>
            </w:r>
          </w:p>
        </w:tc>
        <w:tc>
          <w:tcPr>
            <w:tcW w:w="1155" w:type="dxa"/>
            <w:noWrap/>
            <w:vAlign w:val="center"/>
          </w:tcPr>
          <w:p w14:paraId="53D39C34" w14:textId="77777777" w:rsidR="006F259C" w:rsidRPr="00572735" w:rsidRDefault="000F5B51" w:rsidP="00343F45">
            <w:pPr>
              <w:spacing w:line="240" w:lineRule="auto"/>
              <w:jc w:val="center"/>
              <w:rPr>
                <w:rFonts w:eastAsia="Times New Roman" w:cs="Times New Roman"/>
                <w:color w:val="000000"/>
                <w:sz w:val="22"/>
                <w:szCs w:val="22"/>
              </w:rPr>
            </w:pPr>
            <w:r w:rsidRPr="00C44423">
              <w:rPr>
                <w:rFonts w:eastAsia="Times New Roman" w:cs="Times New Roman"/>
                <w:color w:val="000000"/>
                <w:sz w:val="22"/>
                <w:szCs w:val="22"/>
              </w:rPr>
              <w:t>0.3060</w:t>
            </w:r>
          </w:p>
        </w:tc>
        <w:tc>
          <w:tcPr>
            <w:tcW w:w="1155" w:type="dxa"/>
            <w:noWrap/>
            <w:vAlign w:val="center"/>
          </w:tcPr>
          <w:p w14:paraId="781C5C31" w14:textId="77777777" w:rsidR="006F259C" w:rsidRPr="00572735" w:rsidRDefault="000F5B51" w:rsidP="00343F45">
            <w:pPr>
              <w:spacing w:line="240" w:lineRule="auto"/>
              <w:jc w:val="center"/>
              <w:rPr>
                <w:rFonts w:eastAsia="Times New Roman" w:cs="Times New Roman"/>
                <w:color w:val="000000"/>
                <w:sz w:val="22"/>
                <w:szCs w:val="22"/>
              </w:rPr>
            </w:pPr>
            <w:r w:rsidRPr="00C44423">
              <w:rPr>
                <w:rFonts w:eastAsia="Times New Roman" w:cs="Times New Roman"/>
                <w:color w:val="000000"/>
                <w:sz w:val="22"/>
                <w:szCs w:val="22"/>
              </w:rPr>
              <w:t>0.4579</w:t>
            </w:r>
          </w:p>
        </w:tc>
      </w:tr>
      <w:tr w:rsidR="00A15C2C" w14:paraId="6D14D533" w14:textId="77777777" w:rsidTr="00343F45">
        <w:trPr>
          <w:trHeight w:val="320"/>
          <w:jc w:val="center"/>
        </w:trPr>
        <w:tc>
          <w:tcPr>
            <w:tcW w:w="2862" w:type="dxa"/>
            <w:noWrap/>
            <w:vAlign w:val="center"/>
          </w:tcPr>
          <w:p w14:paraId="5644480B" w14:textId="77777777" w:rsidR="006F259C" w:rsidRPr="006620BF" w:rsidRDefault="000F5B51" w:rsidP="00343F45">
            <w:pPr>
              <w:spacing w:line="240" w:lineRule="auto"/>
              <w:rPr>
                <w:rFonts w:eastAsia="Times New Roman" w:cs="Times New Roman"/>
                <w:color w:val="000000"/>
              </w:rPr>
            </w:pPr>
            <w:r>
              <w:rPr>
                <w:rFonts w:eastAsia="Times New Roman" w:cs="Times New Roman"/>
                <w:color w:val="000000"/>
              </w:rPr>
              <w:t>Total</w:t>
            </w:r>
          </w:p>
        </w:tc>
        <w:tc>
          <w:tcPr>
            <w:tcW w:w="1155" w:type="dxa"/>
            <w:noWrap/>
            <w:vAlign w:val="center"/>
          </w:tcPr>
          <w:p w14:paraId="148CB639" w14:textId="77777777" w:rsidR="006F259C" w:rsidRPr="00572735" w:rsidRDefault="000F5B51" w:rsidP="00343F45">
            <w:pPr>
              <w:spacing w:line="240" w:lineRule="auto"/>
              <w:jc w:val="center"/>
              <w:rPr>
                <w:rFonts w:eastAsia="Times New Roman" w:cs="Times New Roman"/>
                <w:color w:val="000000"/>
                <w:sz w:val="22"/>
                <w:szCs w:val="22"/>
              </w:rPr>
            </w:pPr>
            <w:r>
              <w:rPr>
                <w:rFonts w:eastAsia="Times New Roman" w:cs="Times New Roman"/>
                <w:color w:val="000000"/>
                <w:sz w:val="22"/>
                <w:szCs w:val="22"/>
              </w:rPr>
              <w:t>21.8688</w:t>
            </w:r>
          </w:p>
        </w:tc>
        <w:tc>
          <w:tcPr>
            <w:tcW w:w="1155" w:type="dxa"/>
            <w:noWrap/>
            <w:vAlign w:val="center"/>
          </w:tcPr>
          <w:p w14:paraId="75377595" w14:textId="77777777" w:rsidR="006F259C" w:rsidRPr="00572735" w:rsidRDefault="000F5B51" w:rsidP="00343F45">
            <w:pPr>
              <w:spacing w:line="240" w:lineRule="auto"/>
              <w:jc w:val="center"/>
              <w:rPr>
                <w:rFonts w:eastAsia="Times New Roman" w:cs="Times New Roman"/>
                <w:color w:val="000000"/>
                <w:sz w:val="22"/>
                <w:szCs w:val="22"/>
              </w:rPr>
            </w:pPr>
            <w:r>
              <w:rPr>
                <w:rFonts w:eastAsia="Times New Roman" w:cs="Times New Roman"/>
                <w:color w:val="000000"/>
                <w:sz w:val="22"/>
                <w:szCs w:val="22"/>
              </w:rPr>
              <w:t>32.9413</w:t>
            </w:r>
          </w:p>
        </w:tc>
        <w:tc>
          <w:tcPr>
            <w:tcW w:w="1155" w:type="dxa"/>
            <w:noWrap/>
            <w:vAlign w:val="center"/>
          </w:tcPr>
          <w:p w14:paraId="6BA6BCE7" w14:textId="77777777" w:rsidR="006F259C" w:rsidRPr="00572735" w:rsidRDefault="000F5B51" w:rsidP="00343F45">
            <w:pPr>
              <w:spacing w:line="240" w:lineRule="auto"/>
              <w:jc w:val="center"/>
              <w:rPr>
                <w:rFonts w:eastAsia="Times New Roman" w:cs="Times New Roman"/>
                <w:color w:val="000000"/>
                <w:sz w:val="22"/>
                <w:szCs w:val="22"/>
              </w:rPr>
            </w:pPr>
            <w:r>
              <w:rPr>
                <w:rFonts w:eastAsia="Times New Roman" w:cs="Times New Roman"/>
                <w:color w:val="000000"/>
                <w:sz w:val="22"/>
                <w:szCs w:val="22"/>
              </w:rPr>
              <w:t>17.7471</w:t>
            </w:r>
          </w:p>
        </w:tc>
        <w:tc>
          <w:tcPr>
            <w:tcW w:w="1155" w:type="dxa"/>
            <w:noWrap/>
            <w:vAlign w:val="center"/>
          </w:tcPr>
          <w:p w14:paraId="76A9D9C8" w14:textId="77777777" w:rsidR="006F259C" w:rsidRPr="00572735" w:rsidRDefault="000F5B51" w:rsidP="00343F45">
            <w:pPr>
              <w:spacing w:line="240" w:lineRule="auto"/>
              <w:jc w:val="center"/>
              <w:rPr>
                <w:rFonts w:eastAsia="Times New Roman" w:cs="Times New Roman"/>
                <w:color w:val="000000"/>
                <w:sz w:val="22"/>
                <w:szCs w:val="22"/>
              </w:rPr>
            </w:pPr>
            <w:r>
              <w:rPr>
                <w:rFonts w:eastAsia="Times New Roman" w:cs="Times New Roman"/>
                <w:color w:val="000000"/>
                <w:sz w:val="22"/>
                <w:szCs w:val="22"/>
              </w:rPr>
              <w:t>26.7327</w:t>
            </w:r>
          </w:p>
        </w:tc>
      </w:tr>
    </w:tbl>
    <w:p w14:paraId="5343F5FE" w14:textId="77777777" w:rsidR="006F259C" w:rsidRDefault="000F5B51" w:rsidP="006F259C">
      <w:pPr>
        <w:pStyle w:val="Caption"/>
        <w:ind w:firstLine="720"/>
        <w:jc w:val="left"/>
        <w:rPr>
          <w:sz w:val="18"/>
          <w:szCs w:val="16"/>
        </w:rPr>
      </w:pPr>
      <w:r w:rsidRPr="00572735">
        <w:rPr>
          <w:sz w:val="18"/>
          <w:szCs w:val="16"/>
        </w:rPr>
        <w:t>Note: Values may not sum due to rounding</w:t>
      </w:r>
      <w:r>
        <w:rPr>
          <w:sz w:val="18"/>
          <w:szCs w:val="16"/>
        </w:rPr>
        <w:t>.</w:t>
      </w:r>
    </w:p>
    <w:p w14:paraId="714103D6" w14:textId="77777777" w:rsidR="006F259C" w:rsidRPr="00897AED" w:rsidRDefault="006F259C" w:rsidP="006F259C">
      <w:pPr>
        <w:pStyle w:val="NoSpaceTimes"/>
      </w:pPr>
    </w:p>
    <w:p w14:paraId="663D1E87" w14:textId="582FDA3B" w:rsidR="006F259C" w:rsidRDefault="000F5B51" w:rsidP="006F259C">
      <w:pPr>
        <w:pStyle w:val="Caption"/>
      </w:pPr>
      <w:r>
        <w:t xml:space="preserve">Table </w:t>
      </w:r>
      <w:r w:rsidR="00115BAB">
        <w:fldChar w:fldCharType="begin"/>
      </w:r>
      <w:r>
        <w:instrText xml:space="preserve"> SEQ Table \* ARABIC </w:instrText>
      </w:r>
      <w:r w:rsidR="00115BAB">
        <w:fldChar w:fldCharType="separate"/>
      </w:r>
      <w:r w:rsidR="00A65CB3">
        <w:rPr>
          <w:noProof/>
        </w:rPr>
        <w:t>153</w:t>
      </w:r>
      <w:r w:rsidR="00115BAB">
        <w:rPr>
          <w:noProof/>
        </w:rPr>
        <w:fldChar w:fldCharType="end"/>
      </w:r>
      <w:r>
        <w:t>: Summary Of Discounted Monetized Benefits for Rear Seat Occupants</w:t>
      </w:r>
    </w:p>
    <w:tbl>
      <w:tblPr>
        <w:tblStyle w:val="TableGrid3"/>
        <w:tblW w:w="7482" w:type="dxa"/>
        <w:jc w:val="center"/>
        <w:tblLayout w:type="fixed"/>
        <w:tblLook w:val="04A0" w:firstRow="1" w:lastRow="0" w:firstColumn="1" w:lastColumn="0" w:noHBand="0" w:noVBand="1"/>
      </w:tblPr>
      <w:tblGrid>
        <w:gridCol w:w="2862"/>
        <w:gridCol w:w="1155"/>
        <w:gridCol w:w="1155"/>
        <w:gridCol w:w="1155"/>
        <w:gridCol w:w="1155"/>
      </w:tblGrid>
      <w:tr w:rsidR="00A15C2C" w14:paraId="61A729FA" w14:textId="77777777" w:rsidTr="00343F45">
        <w:trPr>
          <w:trHeight w:val="310"/>
          <w:jc w:val="center"/>
        </w:trPr>
        <w:tc>
          <w:tcPr>
            <w:tcW w:w="2862" w:type="dxa"/>
            <w:vMerge w:val="restart"/>
            <w:shd w:val="clear" w:color="auto" w:fill="BFBFBF" w:themeFill="background1" w:themeFillShade="BF"/>
            <w:noWrap/>
            <w:vAlign w:val="center"/>
          </w:tcPr>
          <w:p w14:paraId="51C90F90" w14:textId="77777777" w:rsidR="006F259C" w:rsidRPr="00572735" w:rsidRDefault="000F5B51" w:rsidP="00343F45">
            <w:pPr>
              <w:spacing w:line="240" w:lineRule="auto"/>
              <w:rPr>
                <w:rFonts w:eastAsia="Times New Roman" w:cs="Times New Roman"/>
                <w:b/>
                <w:bCs/>
                <w:color w:val="000000"/>
              </w:rPr>
            </w:pPr>
            <w:r>
              <w:rPr>
                <w:rFonts w:eastAsia="Times New Roman" w:cs="Times New Roman"/>
                <w:b/>
                <w:bCs/>
                <w:color w:val="000000"/>
              </w:rPr>
              <w:t>Category</w:t>
            </w:r>
          </w:p>
        </w:tc>
        <w:tc>
          <w:tcPr>
            <w:tcW w:w="2310" w:type="dxa"/>
            <w:gridSpan w:val="2"/>
            <w:shd w:val="clear" w:color="auto" w:fill="BFBFBF" w:themeFill="background1" w:themeFillShade="BF"/>
            <w:noWrap/>
            <w:vAlign w:val="center"/>
          </w:tcPr>
          <w:p w14:paraId="2966DE15" w14:textId="77777777" w:rsidR="006F259C" w:rsidRPr="00572735" w:rsidRDefault="000F5B51" w:rsidP="00343F45">
            <w:pPr>
              <w:spacing w:line="240" w:lineRule="auto"/>
              <w:jc w:val="center"/>
              <w:rPr>
                <w:rFonts w:eastAsia="Times New Roman" w:cs="Times New Roman"/>
                <w:b/>
                <w:bCs/>
                <w:color w:val="000000"/>
                <w:sz w:val="22"/>
                <w:szCs w:val="22"/>
              </w:rPr>
            </w:pPr>
            <w:r w:rsidRPr="00572735">
              <w:rPr>
                <w:rFonts w:eastAsia="Times New Roman" w:cs="Times New Roman"/>
                <w:b/>
                <w:bCs/>
                <w:color w:val="000000"/>
                <w:sz w:val="22"/>
                <w:szCs w:val="22"/>
              </w:rPr>
              <w:t>Discounted at 3%</w:t>
            </w:r>
          </w:p>
        </w:tc>
        <w:tc>
          <w:tcPr>
            <w:tcW w:w="2310" w:type="dxa"/>
            <w:gridSpan w:val="2"/>
            <w:shd w:val="clear" w:color="auto" w:fill="BFBFBF" w:themeFill="background1" w:themeFillShade="BF"/>
            <w:noWrap/>
            <w:vAlign w:val="center"/>
          </w:tcPr>
          <w:p w14:paraId="6A628C24" w14:textId="77777777" w:rsidR="006F259C" w:rsidRPr="00572735" w:rsidRDefault="000F5B51" w:rsidP="00343F45">
            <w:pPr>
              <w:spacing w:line="240" w:lineRule="auto"/>
              <w:jc w:val="center"/>
              <w:rPr>
                <w:rFonts w:eastAsia="Times New Roman" w:cs="Times New Roman"/>
                <w:b/>
                <w:bCs/>
                <w:color w:val="000000"/>
                <w:sz w:val="22"/>
                <w:szCs w:val="22"/>
              </w:rPr>
            </w:pPr>
            <w:r w:rsidRPr="00572735">
              <w:rPr>
                <w:rFonts w:eastAsia="Times New Roman" w:cs="Times New Roman"/>
                <w:b/>
                <w:bCs/>
                <w:color w:val="000000"/>
                <w:sz w:val="22"/>
                <w:szCs w:val="22"/>
              </w:rPr>
              <w:t>Discounted at 7%</w:t>
            </w:r>
          </w:p>
        </w:tc>
      </w:tr>
      <w:tr w:rsidR="00A15C2C" w14:paraId="5E65783D" w14:textId="77777777" w:rsidTr="00343F45">
        <w:trPr>
          <w:trHeight w:val="310"/>
          <w:jc w:val="center"/>
        </w:trPr>
        <w:tc>
          <w:tcPr>
            <w:tcW w:w="2862" w:type="dxa"/>
            <w:vMerge/>
            <w:shd w:val="clear" w:color="auto" w:fill="BFBFBF" w:themeFill="background1" w:themeFillShade="BF"/>
            <w:noWrap/>
            <w:vAlign w:val="center"/>
          </w:tcPr>
          <w:p w14:paraId="6502410C" w14:textId="77777777" w:rsidR="006F259C" w:rsidRPr="00572735" w:rsidRDefault="006F259C" w:rsidP="00343F45">
            <w:pPr>
              <w:spacing w:line="240" w:lineRule="auto"/>
              <w:rPr>
                <w:rFonts w:eastAsia="Times New Roman" w:cs="Times New Roman"/>
                <w:b/>
                <w:bCs/>
                <w:color w:val="000000"/>
              </w:rPr>
            </w:pPr>
          </w:p>
        </w:tc>
        <w:tc>
          <w:tcPr>
            <w:tcW w:w="1155" w:type="dxa"/>
            <w:shd w:val="clear" w:color="auto" w:fill="BFBFBF" w:themeFill="background1" w:themeFillShade="BF"/>
            <w:noWrap/>
            <w:vAlign w:val="center"/>
            <w:hideMark/>
          </w:tcPr>
          <w:p w14:paraId="22865269" w14:textId="77777777" w:rsidR="006F259C" w:rsidRPr="00572735" w:rsidRDefault="000F5B51" w:rsidP="00343F45">
            <w:pPr>
              <w:spacing w:line="240" w:lineRule="auto"/>
              <w:jc w:val="center"/>
              <w:rPr>
                <w:rFonts w:eastAsia="Times New Roman" w:cs="Times New Roman"/>
                <w:b/>
                <w:bCs/>
                <w:color w:val="000000"/>
                <w:sz w:val="22"/>
                <w:szCs w:val="22"/>
              </w:rPr>
            </w:pPr>
            <w:r w:rsidRPr="00572735">
              <w:rPr>
                <w:rFonts w:eastAsia="Times New Roman" w:cs="Times New Roman"/>
                <w:b/>
                <w:bCs/>
                <w:color w:val="000000"/>
                <w:sz w:val="22"/>
                <w:szCs w:val="22"/>
              </w:rPr>
              <w:t>Lo</w:t>
            </w:r>
          </w:p>
        </w:tc>
        <w:tc>
          <w:tcPr>
            <w:tcW w:w="1155" w:type="dxa"/>
            <w:shd w:val="clear" w:color="auto" w:fill="BFBFBF" w:themeFill="background1" w:themeFillShade="BF"/>
            <w:noWrap/>
            <w:vAlign w:val="center"/>
            <w:hideMark/>
          </w:tcPr>
          <w:p w14:paraId="161452F3" w14:textId="77777777" w:rsidR="006F259C" w:rsidRPr="00572735" w:rsidRDefault="000F5B51" w:rsidP="00343F45">
            <w:pPr>
              <w:spacing w:line="240" w:lineRule="auto"/>
              <w:jc w:val="center"/>
              <w:rPr>
                <w:rFonts w:eastAsia="Times New Roman" w:cs="Times New Roman"/>
                <w:b/>
                <w:bCs/>
                <w:sz w:val="22"/>
                <w:szCs w:val="22"/>
              </w:rPr>
            </w:pPr>
            <w:r w:rsidRPr="00572735">
              <w:rPr>
                <w:rFonts w:eastAsia="Times New Roman" w:cs="Times New Roman"/>
                <w:b/>
                <w:bCs/>
                <w:sz w:val="22"/>
                <w:szCs w:val="22"/>
              </w:rPr>
              <w:t>Hi</w:t>
            </w:r>
          </w:p>
        </w:tc>
        <w:tc>
          <w:tcPr>
            <w:tcW w:w="1155" w:type="dxa"/>
            <w:shd w:val="clear" w:color="auto" w:fill="BFBFBF" w:themeFill="background1" w:themeFillShade="BF"/>
            <w:noWrap/>
            <w:vAlign w:val="center"/>
            <w:hideMark/>
          </w:tcPr>
          <w:p w14:paraId="24BEEEB9" w14:textId="77777777" w:rsidR="006F259C" w:rsidRPr="00572735" w:rsidRDefault="000F5B51" w:rsidP="00343F45">
            <w:pPr>
              <w:spacing w:line="240" w:lineRule="auto"/>
              <w:jc w:val="center"/>
              <w:rPr>
                <w:rFonts w:eastAsia="Times New Roman" w:cs="Times New Roman"/>
                <w:b/>
                <w:bCs/>
                <w:sz w:val="22"/>
                <w:szCs w:val="22"/>
              </w:rPr>
            </w:pPr>
            <w:r w:rsidRPr="00572735">
              <w:rPr>
                <w:rFonts w:eastAsia="Times New Roman" w:cs="Times New Roman"/>
                <w:b/>
                <w:bCs/>
                <w:sz w:val="22"/>
                <w:szCs w:val="22"/>
              </w:rPr>
              <w:t>Lo</w:t>
            </w:r>
          </w:p>
        </w:tc>
        <w:tc>
          <w:tcPr>
            <w:tcW w:w="1155" w:type="dxa"/>
            <w:shd w:val="clear" w:color="auto" w:fill="BFBFBF" w:themeFill="background1" w:themeFillShade="BF"/>
            <w:noWrap/>
            <w:vAlign w:val="center"/>
            <w:hideMark/>
          </w:tcPr>
          <w:p w14:paraId="4BD8FCC2" w14:textId="77777777" w:rsidR="006F259C" w:rsidRPr="00572735" w:rsidRDefault="000F5B51" w:rsidP="00343F45">
            <w:pPr>
              <w:spacing w:line="240" w:lineRule="auto"/>
              <w:jc w:val="center"/>
              <w:rPr>
                <w:rFonts w:eastAsia="Times New Roman" w:cs="Times New Roman"/>
                <w:b/>
                <w:bCs/>
                <w:sz w:val="22"/>
                <w:szCs w:val="22"/>
              </w:rPr>
            </w:pPr>
            <w:r w:rsidRPr="00572735">
              <w:rPr>
                <w:rFonts w:eastAsia="Times New Roman" w:cs="Times New Roman"/>
                <w:b/>
                <w:bCs/>
                <w:sz w:val="22"/>
                <w:szCs w:val="22"/>
              </w:rPr>
              <w:t>Hi</w:t>
            </w:r>
          </w:p>
        </w:tc>
      </w:tr>
      <w:tr w:rsidR="00A15C2C" w14:paraId="687DD800" w14:textId="77777777" w:rsidTr="00343F45">
        <w:trPr>
          <w:trHeight w:val="320"/>
          <w:jc w:val="center"/>
        </w:trPr>
        <w:tc>
          <w:tcPr>
            <w:tcW w:w="2862" w:type="dxa"/>
            <w:noWrap/>
            <w:vAlign w:val="center"/>
          </w:tcPr>
          <w:p w14:paraId="75C2AD39" w14:textId="77777777" w:rsidR="006F259C" w:rsidRPr="006620BF" w:rsidRDefault="000F5B51" w:rsidP="00343F45">
            <w:pPr>
              <w:spacing w:line="240" w:lineRule="auto"/>
              <w:rPr>
                <w:rFonts w:eastAsia="Times New Roman" w:cs="Times New Roman"/>
                <w:color w:val="000000"/>
              </w:rPr>
            </w:pPr>
            <w:r>
              <w:rPr>
                <w:rFonts w:eastAsia="Times New Roman" w:cs="Times New Roman"/>
                <w:color w:val="000000"/>
              </w:rPr>
              <w:t>11 Years and Older</w:t>
            </w:r>
          </w:p>
        </w:tc>
        <w:tc>
          <w:tcPr>
            <w:tcW w:w="1155" w:type="dxa"/>
            <w:noWrap/>
            <w:vAlign w:val="center"/>
          </w:tcPr>
          <w:p w14:paraId="487C6795" w14:textId="77777777" w:rsidR="006F259C" w:rsidRPr="00572735" w:rsidRDefault="000F5B51" w:rsidP="00343F45">
            <w:pPr>
              <w:spacing w:line="240" w:lineRule="auto"/>
              <w:jc w:val="center"/>
              <w:rPr>
                <w:rFonts w:eastAsia="Times New Roman" w:cs="Times New Roman"/>
                <w:color w:val="000000"/>
                <w:sz w:val="22"/>
                <w:szCs w:val="22"/>
              </w:rPr>
            </w:pPr>
            <w:r w:rsidRPr="00503E1F">
              <w:rPr>
                <w:rFonts w:eastAsia="Times New Roman" w:cs="Times New Roman"/>
                <w:color w:val="000000"/>
                <w:sz w:val="22"/>
                <w:szCs w:val="22"/>
              </w:rPr>
              <w:t>$257.54</w:t>
            </w:r>
          </w:p>
        </w:tc>
        <w:tc>
          <w:tcPr>
            <w:tcW w:w="1155" w:type="dxa"/>
            <w:noWrap/>
            <w:vAlign w:val="center"/>
          </w:tcPr>
          <w:p w14:paraId="679E8CFA" w14:textId="77777777" w:rsidR="006F259C" w:rsidRPr="00572735" w:rsidRDefault="000F5B51" w:rsidP="00343F45">
            <w:pPr>
              <w:spacing w:line="240" w:lineRule="auto"/>
              <w:jc w:val="center"/>
              <w:rPr>
                <w:rFonts w:eastAsia="Times New Roman" w:cs="Times New Roman"/>
                <w:color w:val="000000"/>
                <w:sz w:val="22"/>
                <w:szCs w:val="22"/>
              </w:rPr>
            </w:pPr>
            <w:r w:rsidRPr="00503E1F">
              <w:rPr>
                <w:rFonts w:eastAsia="Times New Roman" w:cs="Times New Roman"/>
                <w:color w:val="000000"/>
                <w:sz w:val="22"/>
                <w:szCs w:val="22"/>
              </w:rPr>
              <w:t>$387.98</w:t>
            </w:r>
          </w:p>
        </w:tc>
        <w:tc>
          <w:tcPr>
            <w:tcW w:w="1155" w:type="dxa"/>
            <w:noWrap/>
            <w:vAlign w:val="center"/>
          </w:tcPr>
          <w:p w14:paraId="48934875" w14:textId="77777777" w:rsidR="006F259C" w:rsidRPr="00572735" w:rsidRDefault="000F5B51" w:rsidP="00343F45">
            <w:pPr>
              <w:spacing w:line="240" w:lineRule="auto"/>
              <w:jc w:val="center"/>
              <w:rPr>
                <w:rFonts w:eastAsia="Times New Roman" w:cs="Times New Roman"/>
                <w:color w:val="000000"/>
                <w:sz w:val="22"/>
                <w:szCs w:val="22"/>
              </w:rPr>
            </w:pPr>
            <w:r w:rsidRPr="00503E1F">
              <w:rPr>
                <w:rFonts w:eastAsia="Times New Roman" w:cs="Times New Roman"/>
                <w:color w:val="000000"/>
                <w:sz w:val="22"/>
                <w:szCs w:val="22"/>
              </w:rPr>
              <w:t>$209.01</w:t>
            </w:r>
          </w:p>
        </w:tc>
        <w:tc>
          <w:tcPr>
            <w:tcW w:w="1155" w:type="dxa"/>
            <w:noWrap/>
            <w:vAlign w:val="center"/>
          </w:tcPr>
          <w:p w14:paraId="554F9116" w14:textId="77777777" w:rsidR="006F259C" w:rsidRPr="00572735" w:rsidRDefault="000F5B51" w:rsidP="00343F45">
            <w:pPr>
              <w:spacing w:line="240" w:lineRule="auto"/>
              <w:jc w:val="center"/>
              <w:rPr>
                <w:rFonts w:eastAsia="Times New Roman" w:cs="Times New Roman"/>
                <w:color w:val="000000"/>
                <w:sz w:val="22"/>
                <w:szCs w:val="22"/>
              </w:rPr>
            </w:pPr>
            <w:r w:rsidRPr="008178F1">
              <w:rPr>
                <w:rFonts w:eastAsia="Times New Roman" w:cs="Times New Roman"/>
                <w:color w:val="000000"/>
                <w:sz w:val="22"/>
                <w:szCs w:val="22"/>
              </w:rPr>
              <w:t>$314.86</w:t>
            </w:r>
          </w:p>
        </w:tc>
      </w:tr>
      <w:tr w:rsidR="00A15C2C" w14:paraId="7AF0E397" w14:textId="77777777" w:rsidTr="00343F45">
        <w:trPr>
          <w:trHeight w:val="320"/>
          <w:jc w:val="center"/>
        </w:trPr>
        <w:tc>
          <w:tcPr>
            <w:tcW w:w="2862" w:type="dxa"/>
            <w:noWrap/>
            <w:vAlign w:val="center"/>
          </w:tcPr>
          <w:p w14:paraId="3ED45E21" w14:textId="77777777" w:rsidR="006F259C" w:rsidRPr="006620BF" w:rsidRDefault="000F5B51" w:rsidP="00343F45">
            <w:pPr>
              <w:spacing w:line="240" w:lineRule="auto"/>
              <w:rPr>
                <w:rFonts w:eastAsia="Times New Roman" w:cs="Times New Roman"/>
                <w:color w:val="000000"/>
              </w:rPr>
            </w:pPr>
            <w:r>
              <w:rPr>
                <w:rFonts w:eastAsia="Times New Roman" w:cs="Times New Roman"/>
                <w:color w:val="000000"/>
              </w:rPr>
              <w:t>6 to 10 Years Old</w:t>
            </w:r>
          </w:p>
        </w:tc>
        <w:tc>
          <w:tcPr>
            <w:tcW w:w="1155" w:type="dxa"/>
            <w:noWrap/>
            <w:vAlign w:val="center"/>
          </w:tcPr>
          <w:p w14:paraId="742BE191" w14:textId="77777777" w:rsidR="006F259C" w:rsidRPr="00572735" w:rsidRDefault="000F5B51" w:rsidP="00343F45">
            <w:pPr>
              <w:spacing w:line="240" w:lineRule="auto"/>
              <w:jc w:val="center"/>
              <w:rPr>
                <w:rFonts w:eastAsia="Times New Roman" w:cs="Times New Roman"/>
                <w:color w:val="000000"/>
                <w:sz w:val="22"/>
                <w:szCs w:val="22"/>
              </w:rPr>
            </w:pPr>
            <w:r w:rsidRPr="00074330">
              <w:rPr>
                <w:rFonts w:eastAsia="Times New Roman" w:cs="Times New Roman"/>
                <w:color w:val="000000"/>
                <w:sz w:val="22"/>
                <w:szCs w:val="22"/>
              </w:rPr>
              <w:t>$4.53</w:t>
            </w:r>
          </w:p>
        </w:tc>
        <w:tc>
          <w:tcPr>
            <w:tcW w:w="1155" w:type="dxa"/>
            <w:noWrap/>
            <w:vAlign w:val="center"/>
          </w:tcPr>
          <w:p w14:paraId="52795FC0" w14:textId="77777777" w:rsidR="006F259C" w:rsidRPr="00572735" w:rsidRDefault="000F5B51" w:rsidP="00343F45">
            <w:pPr>
              <w:spacing w:line="240" w:lineRule="auto"/>
              <w:jc w:val="center"/>
              <w:rPr>
                <w:rFonts w:eastAsia="Times New Roman" w:cs="Times New Roman"/>
                <w:color w:val="000000"/>
                <w:sz w:val="22"/>
                <w:szCs w:val="22"/>
              </w:rPr>
            </w:pPr>
            <w:r>
              <w:rPr>
                <w:rFonts w:eastAsia="Times New Roman" w:cs="Times New Roman"/>
                <w:color w:val="000000"/>
                <w:sz w:val="22"/>
                <w:szCs w:val="22"/>
              </w:rPr>
              <w:t>$6.77</w:t>
            </w:r>
          </w:p>
        </w:tc>
        <w:tc>
          <w:tcPr>
            <w:tcW w:w="1155" w:type="dxa"/>
            <w:noWrap/>
            <w:vAlign w:val="center"/>
          </w:tcPr>
          <w:p w14:paraId="155B2E22" w14:textId="77777777" w:rsidR="006F259C" w:rsidRPr="00572735" w:rsidRDefault="000F5B51" w:rsidP="00343F45">
            <w:pPr>
              <w:spacing w:line="240" w:lineRule="auto"/>
              <w:jc w:val="center"/>
              <w:rPr>
                <w:rFonts w:eastAsia="Times New Roman" w:cs="Times New Roman"/>
                <w:color w:val="000000"/>
                <w:sz w:val="22"/>
                <w:szCs w:val="22"/>
              </w:rPr>
            </w:pPr>
            <w:r>
              <w:rPr>
                <w:rFonts w:eastAsia="Times New Roman" w:cs="Times New Roman"/>
                <w:color w:val="000000"/>
                <w:sz w:val="22"/>
                <w:szCs w:val="22"/>
              </w:rPr>
              <w:t>$3.67</w:t>
            </w:r>
          </w:p>
        </w:tc>
        <w:tc>
          <w:tcPr>
            <w:tcW w:w="1155" w:type="dxa"/>
            <w:noWrap/>
            <w:vAlign w:val="center"/>
          </w:tcPr>
          <w:p w14:paraId="6605789C" w14:textId="77777777" w:rsidR="006F259C" w:rsidRPr="00572735" w:rsidRDefault="000F5B51" w:rsidP="00343F45">
            <w:pPr>
              <w:spacing w:line="240" w:lineRule="auto"/>
              <w:jc w:val="center"/>
              <w:rPr>
                <w:rFonts w:eastAsia="Times New Roman" w:cs="Times New Roman"/>
                <w:color w:val="000000"/>
                <w:sz w:val="22"/>
                <w:szCs w:val="22"/>
              </w:rPr>
            </w:pPr>
            <w:r>
              <w:rPr>
                <w:rFonts w:eastAsia="Times New Roman" w:cs="Times New Roman"/>
                <w:color w:val="000000"/>
                <w:sz w:val="22"/>
                <w:szCs w:val="22"/>
              </w:rPr>
              <w:t>$5.49</w:t>
            </w:r>
          </w:p>
        </w:tc>
      </w:tr>
      <w:tr w:rsidR="00A15C2C" w14:paraId="22BD8CA6" w14:textId="77777777" w:rsidTr="00343F45">
        <w:trPr>
          <w:trHeight w:val="320"/>
          <w:jc w:val="center"/>
        </w:trPr>
        <w:tc>
          <w:tcPr>
            <w:tcW w:w="2862" w:type="dxa"/>
            <w:noWrap/>
            <w:vAlign w:val="center"/>
          </w:tcPr>
          <w:p w14:paraId="06581FC7" w14:textId="77777777" w:rsidR="006F259C" w:rsidRPr="006620BF" w:rsidRDefault="000F5B51" w:rsidP="00343F45">
            <w:pPr>
              <w:spacing w:line="240" w:lineRule="auto"/>
              <w:rPr>
                <w:rFonts w:eastAsia="Times New Roman" w:cs="Times New Roman"/>
                <w:color w:val="000000"/>
              </w:rPr>
            </w:pPr>
            <w:r>
              <w:rPr>
                <w:rFonts w:eastAsia="Times New Roman" w:cs="Times New Roman"/>
                <w:color w:val="000000"/>
              </w:rPr>
              <w:t>Total</w:t>
            </w:r>
          </w:p>
        </w:tc>
        <w:tc>
          <w:tcPr>
            <w:tcW w:w="1155" w:type="dxa"/>
            <w:noWrap/>
            <w:vAlign w:val="center"/>
          </w:tcPr>
          <w:p w14:paraId="7DC7DBF2" w14:textId="77777777" w:rsidR="006F259C" w:rsidRPr="00572735" w:rsidRDefault="000F5B51" w:rsidP="00343F45">
            <w:pPr>
              <w:spacing w:line="240" w:lineRule="auto"/>
              <w:jc w:val="center"/>
              <w:rPr>
                <w:rFonts w:eastAsia="Times New Roman" w:cs="Times New Roman"/>
                <w:color w:val="000000"/>
                <w:sz w:val="22"/>
                <w:szCs w:val="22"/>
              </w:rPr>
            </w:pPr>
            <w:r>
              <w:rPr>
                <w:rFonts w:eastAsia="Times New Roman" w:cs="Times New Roman"/>
                <w:color w:val="000000"/>
                <w:sz w:val="22"/>
                <w:szCs w:val="22"/>
              </w:rPr>
              <w:t>$262.06</w:t>
            </w:r>
          </w:p>
        </w:tc>
        <w:tc>
          <w:tcPr>
            <w:tcW w:w="1155" w:type="dxa"/>
            <w:noWrap/>
            <w:vAlign w:val="center"/>
          </w:tcPr>
          <w:p w14:paraId="774DDE21" w14:textId="77777777" w:rsidR="006F259C" w:rsidRPr="00572735" w:rsidRDefault="000F5B51" w:rsidP="00343F45">
            <w:pPr>
              <w:spacing w:line="240" w:lineRule="auto"/>
              <w:jc w:val="center"/>
              <w:rPr>
                <w:rFonts w:eastAsia="Times New Roman" w:cs="Times New Roman"/>
                <w:color w:val="000000"/>
                <w:sz w:val="22"/>
                <w:szCs w:val="22"/>
              </w:rPr>
            </w:pPr>
            <w:r>
              <w:rPr>
                <w:rFonts w:eastAsia="Times New Roman" w:cs="Times New Roman"/>
                <w:color w:val="000000"/>
                <w:sz w:val="22"/>
                <w:szCs w:val="22"/>
              </w:rPr>
              <w:t>$394.75</w:t>
            </w:r>
          </w:p>
        </w:tc>
        <w:tc>
          <w:tcPr>
            <w:tcW w:w="1155" w:type="dxa"/>
            <w:noWrap/>
            <w:vAlign w:val="center"/>
          </w:tcPr>
          <w:p w14:paraId="014F84B7" w14:textId="77777777" w:rsidR="006F259C" w:rsidRPr="00572735" w:rsidRDefault="000F5B51" w:rsidP="00343F45">
            <w:pPr>
              <w:spacing w:line="240" w:lineRule="auto"/>
              <w:jc w:val="center"/>
              <w:rPr>
                <w:rFonts w:eastAsia="Times New Roman" w:cs="Times New Roman"/>
                <w:color w:val="000000"/>
                <w:sz w:val="22"/>
                <w:szCs w:val="22"/>
              </w:rPr>
            </w:pPr>
            <w:r>
              <w:rPr>
                <w:rFonts w:eastAsia="Times New Roman" w:cs="Times New Roman"/>
                <w:color w:val="000000"/>
                <w:sz w:val="22"/>
                <w:szCs w:val="22"/>
              </w:rPr>
              <w:t>$212.67</w:t>
            </w:r>
          </w:p>
        </w:tc>
        <w:tc>
          <w:tcPr>
            <w:tcW w:w="1155" w:type="dxa"/>
            <w:noWrap/>
            <w:vAlign w:val="center"/>
          </w:tcPr>
          <w:p w14:paraId="62A3032C" w14:textId="77777777" w:rsidR="006F259C" w:rsidRPr="00572735" w:rsidRDefault="000F5B51" w:rsidP="00343F45">
            <w:pPr>
              <w:spacing w:line="240" w:lineRule="auto"/>
              <w:jc w:val="center"/>
              <w:rPr>
                <w:rFonts w:eastAsia="Times New Roman" w:cs="Times New Roman"/>
                <w:color w:val="000000"/>
                <w:sz w:val="22"/>
                <w:szCs w:val="22"/>
              </w:rPr>
            </w:pPr>
            <w:r>
              <w:rPr>
                <w:rFonts w:eastAsia="Times New Roman" w:cs="Times New Roman"/>
                <w:color w:val="000000"/>
                <w:sz w:val="22"/>
                <w:szCs w:val="22"/>
              </w:rPr>
              <w:t>$320.35</w:t>
            </w:r>
          </w:p>
        </w:tc>
      </w:tr>
    </w:tbl>
    <w:p w14:paraId="5CC97D31" w14:textId="77777777" w:rsidR="006F259C" w:rsidRDefault="000F5B51" w:rsidP="006F259C">
      <w:pPr>
        <w:pStyle w:val="Caption"/>
        <w:ind w:firstLine="720"/>
        <w:jc w:val="left"/>
        <w:rPr>
          <w:sz w:val="18"/>
          <w:szCs w:val="16"/>
        </w:rPr>
      </w:pPr>
      <w:r w:rsidRPr="00572735">
        <w:rPr>
          <w:sz w:val="18"/>
          <w:szCs w:val="16"/>
        </w:rPr>
        <w:t>Note: Values may not sum due to rounding</w:t>
      </w:r>
      <w:r>
        <w:rPr>
          <w:sz w:val="18"/>
          <w:szCs w:val="16"/>
        </w:rPr>
        <w:t>.</w:t>
      </w:r>
    </w:p>
    <w:p w14:paraId="38D4A62E" w14:textId="77777777" w:rsidR="006F259C" w:rsidRDefault="000F5B51" w:rsidP="006F259C">
      <w:pPr>
        <w:pStyle w:val="NoSpaceTimes"/>
      </w:pPr>
      <w:r>
        <w:tab/>
      </w:r>
    </w:p>
    <w:p w14:paraId="50F80355" w14:textId="67EAB6BB" w:rsidR="006F259C" w:rsidRPr="00572735" w:rsidRDefault="000F5B51" w:rsidP="006F259C">
      <w:pPr>
        <w:pStyle w:val="Caption"/>
      </w:pPr>
      <w:r w:rsidRPr="00572735">
        <w:t xml:space="preserve">Table </w:t>
      </w:r>
      <w:r w:rsidR="00115BAB">
        <w:fldChar w:fldCharType="begin"/>
      </w:r>
      <w:r>
        <w:instrText xml:space="preserve"> SEQ Table \* ARABIC </w:instrText>
      </w:r>
      <w:r w:rsidR="00115BAB">
        <w:fldChar w:fldCharType="separate"/>
      </w:r>
      <w:r w:rsidR="00A65CB3">
        <w:rPr>
          <w:noProof/>
        </w:rPr>
        <w:t>154</w:t>
      </w:r>
      <w:r w:rsidR="00115BAB">
        <w:rPr>
          <w:noProof/>
        </w:rPr>
        <w:fldChar w:fldCharType="end"/>
      </w:r>
      <w:r w:rsidRPr="00572735">
        <w:t>: Calculation of Discounted Benefits</w:t>
      </w:r>
      <w:r>
        <w:t xml:space="preserve"> for</w:t>
      </w:r>
      <w:r w:rsidRPr="00572735">
        <w:t xml:space="preserve"> </w:t>
      </w:r>
      <w:r>
        <w:t>Drivers</w:t>
      </w:r>
    </w:p>
    <w:tbl>
      <w:tblPr>
        <w:tblStyle w:val="TableGrid3"/>
        <w:tblW w:w="9350" w:type="dxa"/>
        <w:tblLayout w:type="fixed"/>
        <w:tblLook w:val="04A0" w:firstRow="1" w:lastRow="0" w:firstColumn="1" w:lastColumn="0" w:noHBand="0" w:noVBand="1"/>
      </w:tblPr>
      <w:tblGrid>
        <w:gridCol w:w="1592"/>
        <w:gridCol w:w="1597"/>
        <w:gridCol w:w="2053"/>
        <w:gridCol w:w="2054"/>
        <w:gridCol w:w="2054"/>
      </w:tblGrid>
      <w:tr w:rsidR="00A15C2C" w14:paraId="5520A26E" w14:textId="77777777" w:rsidTr="00343F45">
        <w:trPr>
          <w:trHeight w:val="1380"/>
        </w:trPr>
        <w:tc>
          <w:tcPr>
            <w:tcW w:w="1592" w:type="dxa"/>
            <w:shd w:val="clear" w:color="auto" w:fill="D9D9D9" w:themeFill="background1" w:themeFillShade="D9"/>
            <w:noWrap/>
            <w:vAlign w:val="center"/>
            <w:hideMark/>
          </w:tcPr>
          <w:p w14:paraId="55A4BECD" w14:textId="77777777" w:rsidR="006F259C" w:rsidRPr="00A46F57" w:rsidRDefault="000F5B51" w:rsidP="00343F45">
            <w:pPr>
              <w:spacing w:line="240" w:lineRule="auto"/>
              <w:rPr>
                <w:b/>
                <w:bCs/>
              </w:rPr>
            </w:pPr>
            <w:r w:rsidRPr="006D7613">
              <w:rPr>
                <w:b/>
                <w:bCs/>
              </w:rPr>
              <w:t>Vehicle Type</w:t>
            </w:r>
          </w:p>
        </w:tc>
        <w:tc>
          <w:tcPr>
            <w:tcW w:w="1597" w:type="dxa"/>
            <w:shd w:val="clear" w:color="auto" w:fill="D9D9D9" w:themeFill="background1" w:themeFillShade="D9"/>
            <w:noWrap/>
            <w:hideMark/>
          </w:tcPr>
          <w:p w14:paraId="2C38A008" w14:textId="77777777" w:rsidR="006F259C" w:rsidRPr="007F6FCD" w:rsidRDefault="000F5B51" w:rsidP="00343F45">
            <w:pPr>
              <w:spacing w:line="240" w:lineRule="auto"/>
              <w:rPr>
                <w:b/>
                <w:bCs/>
              </w:rPr>
            </w:pPr>
            <w:r w:rsidRPr="00A46F57">
              <w:rPr>
                <w:b/>
                <w:bCs/>
              </w:rPr>
              <w:t> </w:t>
            </w:r>
          </w:p>
          <w:p w14:paraId="1360196B" w14:textId="77777777" w:rsidR="006F259C" w:rsidRPr="00A46F57" w:rsidRDefault="000F5B51" w:rsidP="00343F45">
            <w:pPr>
              <w:spacing w:line="240" w:lineRule="auto"/>
              <w:rPr>
                <w:b/>
                <w:bCs/>
              </w:rPr>
            </w:pPr>
            <w:r w:rsidRPr="00A46F57">
              <w:rPr>
                <w:b/>
                <w:bCs/>
              </w:rPr>
              <w:t xml:space="preserve">Injury Severity </w:t>
            </w:r>
          </w:p>
        </w:tc>
        <w:tc>
          <w:tcPr>
            <w:tcW w:w="2053" w:type="dxa"/>
            <w:shd w:val="clear" w:color="auto" w:fill="D9D9D9" w:themeFill="background1" w:themeFillShade="D9"/>
            <w:noWrap/>
            <w:vAlign w:val="center"/>
            <w:hideMark/>
          </w:tcPr>
          <w:p w14:paraId="68BBCE6C" w14:textId="77777777" w:rsidR="006F259C" w:rsidRPr="00A46F57" w:rsidRDefault="000F5B51" w:rsidP="00343F45">
            <w:pPr>
              <w:spacing w:line="240" w:lineRule="auto"/>
              <w:jc w:val="center"/>
              <w:rPr>
                <w:b/>
                <w:bCs/>
              </w:rPr>
            </w:pPr>
            <w:r w:rsidRPr="007F6FCD">
              <w:rPr>
                <w:b/>
                <w:bCs/>
              </w:rPr>
              <w:t xml:space="preserve">Undiscounted </w:t>
            </w:r>
            <w:r w:rsidRPr="00A46F57">
              <w:rPr>
                <w:b/>
                <w:bCs/>
              </w:rPr>
              <w:t>Incremental Benefits</w:t>
            </w:r>
          </w:p>
        </w:tc>
        <w:tc>
          <w:tcPr>
            <w:tcW w:w="2054" w:type="dxa"/>
            <w:shd w:val="clear" w:color="auto" w:fill="D9D9D9" w:themeFill="background1" w:themeFillShade="D9"/>
            <w:vAlign w:val="center"/>
          </w:tcPr>
          <w:p w14:paraId="07EAFA0D" w14:textId="77777777" w:rsidR="006F259C" w:rsidRPr="007F6FCD" w:rsidRDefault="000F5B51" w:rsidP="00343F45">
            <w:pPr>
              <w:spacing w:line="240" w:lineRule="auto"/>
              <w:jc w:val="center"/>
              <w:rPr>
                <w:b/>
                <w:bCs/>
              </w:rPr>
            </w:pPr>
            <w:r>
              <w:rPr>
                <w:b/>
                <w:bCs/>
              </w:rPr>
              <w:t>Discounted at 3%</w:t>
            </w:r>
          </w:p>
        </w:tc>
        <w:tc>
          <w:tcPr>
            <w:tcW w:w="2054" w:type="dxa"/>
            <w:shd w:val="clear" w:color="auto" w:fill="D9D9D9" w:themeFill="background1" w:themeFillShade="D9"/>
            <w:vAlign w:val="center"/>
          </w:tcPr>
          <w:p w14:paraId="5C877F04" w14:textId="77777777" w:rsidR="006F259C" w:rsidRPr="007F6FCD" w:rsidRDefault="000F5B51" w:rsidP="00343F45">
            <w:pPr>
              <w:spacing w:line="240" w:lineRule="auto"/>
              <w:jc w:val="center"/>
              <w:rPr>
                <w:b/>
                <w:bCs/>
              </w:rPr>
            </w:pPr>
            <w:r>
              <w:rPr>
                <w:b/>
                <w:bCs/>
              </w:rPr>
              <w:t>Discounted at 7%</w:t>
            </w:r>
          </w:p>
        </w:tc>
      </w:tr>
      <w:tr w:rsidR="00566C5A" w14:paraId="323A1E77" w14:textId="77777777" w:rsidTr="00E24A75">
        <w:trPr>
          <w:trHeight w:val="320"/>
        </w:trPr>
        <w:tc>
          <w:tcPr>
            <w:tcW w:w="1592" w:type="dxa"/>
            <w:vMerge w:val="restart"/>
            <w:shd w:val="clear" w:color="auto" w:fill="D9D9D9" w:themeFill="background1" w:themeFillShade="D9"/>
            <w:noWrap/>
            <w:vAlign w:val="center"/>
            <w:hideMark/>
          </w:tcPr>
          <w:p w14:paraId="600437F7" w14:textId="77777777" w:rsidR="00566C5A" w:rsidRPr="00A46F57" w:rsidRDefault="00566C5A" w:rsidP="00566C5A">
            <w:pPr>
              <w:spacing w:line="240" w:lineRule="auto"/>
              <w:rPr>
                <w:b/>
                <w:bCs/>
              </w:rPr>
            </w:pPr>
            <w:r w:rsidRPr="006D7613">
              <w:rPr>
                <w:b/>
                <w:bCs/>
              </w:rPr>
              <w:t>PC</w:t>
            </w:r>
          </w:p>
        </w:tc>
        <w:tc>
          <w:tcPr>
            <w:tcW w:w="1597" w:type="dxa"/>
            <w:shd w:val="clear" w:color="auto" w:fill="D9D9D9" w:themeFill="background1" w:themeFillShade="D9"/>
            <w:noWrap/>
            <w:hideMark/>
          </w:tcPr>
          <w:p w14:paraId="1CE3EF0D" w14:textId="77777777" w:rsidR="00566C5A" w:rsidRPr="00A46F57" w:rsidRDefault="00566C5A" w:rsidP="00566C5A">
            <w:pPr>
              <w:spacing w:line="240" w:lineRule="auto"/>
            </w:pPr>
            <w:r w:rsidRPr="00A46F57">
              <w:t>MAIS 1</w:t>
            </w:r>
          </w:p>
        </w:tc>
        <w:tc>
          <w:tcPr>
            <w:tcW w:w="2053" w:type="dxa"/>
            <w:noWrap/>
          </w:tcPr>
          <w:p w14:paraId="6F5683E9" w14:textId="75F27242" w:rsidR="00566C5A" w:rsidRPr="00A46F57" w:rsidRDefault="00566C5A" w:rsidP="00566C5A">
            <w:pPr>
              <w:spacing w:line="240" w:lineRule="auto"/>
              <w:jc w:val="center"/>
            </w:pPr>
            <w:r w:rsidRPr="008A1425">
              <w:t>12.07</w:t>
            </w:r>
          </w:p>
        </w:tc>
        <w:tc>
          <w:tcPr>
            <w:tcW w:w="2054" w:type="dxa"/>
          </w:tcPr>
          <w:p w14:paraId="650F78B4" w14:textId="71163A05" w:rsidR="00566C5A" w:rsidRPr="00A46F57" w:rsidRDefault="00566C5A" w:rsidP="00566C5A">
            <w:pPr>
              <w:spacing w:line="240" w:lineRule="auto"/>
              <w:jc w:val="center"/>
            </w:pPr>
            <w:r w:rsidRPr="00320AA3">
              <w:t>10.0810</w:t>
            </w:r>
          </w:p>
        </w:tc>
        <w:tc>
          <w:tcPr>
            <w:tcW w:w="2054" w:type="dxa"/>
          </w:tcPr>
          <w:p w14:paraId="1D96835C" w14:textId="7CBCCF51" w:rsidR="00566C5A" w:rsidRPr="00A46F57" w:rsidRDefault="00566C5A" w:rsidP="00566C5A">
            <w:pPr>
              <w:spacing w:line="240" w:lineRule="auto"/>
              <w:jc w:val="center"/>
            </w:pPr>
            <w:r w:rsidRPr="00320AA3">
              <w:t>8.2250</w:t>
            </w:r>
          </w:p>
        </w:tc>
      </w:tr>
      <w:tr w:rsidR="00566C5A" w14:paraId="332E4FE4" w14:textId="77777777" w:rsidTr="00E24A75">
        <w:trPr>
          <w:trHeight w:val="320"/>
        </w:trPr>
        <w:tc>
          <w:tcPr>
            <w:tcW w:w="1592" w:type="dxa"/>
            <w:vMerge/>
            <w:shd w:val="clear" w:color="auto" w:fill="D9D9D9" w:themeFill="background1" w:themeFillShade="D9"/>
            <w:noWrap/>
            <w:vAlign w:val="center"/>
            <w:hideMark/>
          </w:tcPr>
          <w:p w14:paraId="7AAF7DFD" w14:textId="77777777" w:rsidR="00566C5A" w:rsidRPr="00A46F57" w:rsidRDefault="00566C5A" w:rsidP="00566C5A">
            <w:pPr>
              <w:spacing w:line="240" w:lineRule="auto"/>
              <w:rPr>
                <w:b/>
                <w:bCs/>
              </w:rPr>
            </w:pPr>
          </w:p>
        </w:tc>
        <w:tc>
          <w:tcPr>
            <w:tcW w:w="1597" w:type="dxa"/>
            <w:shd w:val="clear" w:color="auto" w:fill="D9D9D9" w:themeFill="background1" w:themeFillShade="D9"/>
            <w:noWrap/>
            <w:hideMark/>
          </w:tcPr>
          <w:p w14:paraId="39814D0B" w14:textId="77777777" w:rsidR="00566C5A" w:rsidRPr="00A46F57" w:rsidRDefault="00566C5A" w:rsidP="00566C5A">
            <w:pPr>
              <w:spacing w:line="240" w:lineRule="auto"/>
            </w:pPr>
            <w:r w:rsidRPr="00A46F57">
              <w:t>MAIS 2</w:t>
            </w:r>
          </w:p>
        </w:tc>
        <w:tc>
          <w:tcPr>
            <w:tcW w:w="2053" w:type="dxa"/>
            <w:noWrap/>
          </w:tcPr>
          <w:p w14:paraId="30757BD5" w14:textId="726A6037" w:rsidR="00566C5A" w:rsidRPr="00A46F57" w:rsidRDefault="00566C5A" w:rsidP="00566C5A">
            <w:pPr>
              <w:spacing w:line="240" w:lineRule="auto"/>
              <w:jc w:val="center"/>
            </w:pPr>
            <w:r w:rsidRPr="008A1425">
              <w:t>77.08</w:t>
            </w:r>
          </w:p>
        </w:tc>
        <w:tc>
          <w:tcPr>
            <w:tcW w:w="2054" w:type="dxa"/>
          </w:tcPr>
          <w:p w14:paraId="261C763E" w14:textId="75FA1FAE" w:rsidR="00566C5A" w:rsidRPr="00A46F57" w:rsidRDefault="00566C5A" w:rsidP="00566C5A">
            <w:pPr>
              <w:spacing w:line="240" w:lineRule="auto"/>
              <w:jc w:val="center"/>
            </w:pPr>
            <w:r w:rsidRPr="00320AA3">
              <w:t>64.3896</w:t>
            </w:r>
          </w:p>
        </w:tc>
        <w:tc>
          <w:tcPr>
            <w:tcW w:w="2054" w:type="dxa"/>
          </w:tcPr>
          <w:p w14:paraId="2CF0F686" w14:textId="179E403D" w:rsidR="00566C5A" w:rsidRPr="00A46F57" w:rsidRDefault="00566C5A" w:rsidP="00566C5A">
            <w:pPr>
              <w:spacing w:line="240" w:lineRule="auto"/>
              <w:jc w:val="center"/>
            </w:pPr>
            <w:r w:rsidRPr="00320AA3">
              <w:t>52.5353</w:t>
            </w:r>
          </w:p>
        </w:tc>
      </w:tr>
      <w:tr w:rsidR="00566C5A" w14:paraId="29435843" w14:textId="77777777" w:rsidTr="00E24A75">
        <w:trPr>
          <w:trHeight w:val="320"/>
        </w:trPr>
        <w:tc>
          <w:tcPr>
            <w:tcW w:w="1592" w:type="dxa"/>
            <w:vMerge/>
            <w:shd w:val="clear" w:color="auto" w:fill="D9D9D9" w:themeFill="background1" w:themeFillShade="D9"/>
            <w:noWrap/>
            <w:vAlign w:val="center"/>
            <w:hideMark/>
          </w:tcPr>
          <w:p w14:paraId="12BBB62C" w14:textId="77777777" w:rsidR="00566C5A" w:rsidRPr="00A46F57" w:rsidRDefault="00566C5A" w:rsidP="00566C5A">
            <w:pPr>
              <w:spacing w:line="240" w:lineRule="auto"/>
              <w:rPr>
                <w:b/>
                <w:bCs/>
              </w:rPr>
            </w:pPr>
          </w:p>
        </w:tc>
        <w:tc>
          <w:tcPr>
            <w:tcW w:w="1597" w:type="dxa"/>
            <w:shd w:val="clear" w:color="auto" w:fill="D9D9D9" w:themeFill="background1" w:themeFillShade="D9"/>
            <w:noWrap/>
            <w:hideMark/>
          </w:tcPr>
          <w:p w14:paraId="46486F61" w14:textId="77777777" w:rsidR="00566C5A" w:rsidRPr="00A46F57" w:rsidRDefault="00566C5A" w:rsidP="00566C5A">
            <w:pPr>
              <w:spacing w:line="240" w:lineRule="auto"/>
            </w:pPr>
            <w:r w:rsidRPr="00A46F57">
              <w:t>MAIS 3</w:t>
            </w:r>
          </w:p>
        </w:tc>
        <w:tc>
          <w:tcPr>
            <w:tcW w:w="2053" w:type="dxa"/>
            <w:noWrap/>
          </w:tcPr>
          <w:p w14:paraId="63E5BB52" w14:textId="2D131889" w:rsidR="00566C5A" w:rsidRPr="00A46F57" w:rsidRDefault="00566C5A" w:rsidP="00566C5A">
            <w:pPr>
              <w:spacing w:line="240" w:lineRule="auto"/>
              <w:jc w:val="center"/>
            </w:pPr>
            <w:r w:rsidRPr="008A1425">
              <w:t>21.28</w:t>
            </w:r>
          </w:p>
        </w:tc>
        <w:tc>
          <w:tcPr>
            <w:tcW w:w="2054" w:type="dxa"/>
          </w:tcPr>
          <w:p w14:paraId="7F5025E2" w14:textId="50A11856" w:rsidR="00566C5A" w:rsidRPr="00A46F57" w:rsidRDefault="00566C5A" w:rsidP="00566C5A">
            <w:pPr>
              <w:spacing w:line="240" w:lineRule="auto"/>
              <w:jc w:val="center"/>
            </w:pPr>
            <w:r w:rsidRPr="00320AA3">
              <w:t>17.7769</w:t>
            </w:r>
          </w:p>
        </w:tc>
        <w:tc>
          <w:tcPr>
            <w:tcW w:w="2054" w:type="dxa"/>
          </w:tcPr>
          <w:p w14:paraId="40CA3AEC" w14:textId="4F2F698B" w:rsidR="00566C5A" w:rsidRPr="00A46F57" w:rsidRDefault="00566C5A" w:rsidP="00566C5A">
            <w:pPr>
              <w:spacing w:line="240" w:lineRule="auto"/>
              <w:jc w:val="center"/>
            </w:pPr>
            <w:r w:rsidRPr="00320AA3">
              <w:t>14.5041</w:t>
            </w:r>
          </w:p>
        </w:tc>
      </w:tr>
      <w:tr w:rsidR="00566C5A" w14:paraId="786EC5DF" w14:textId="77777777" w:rsidTr="00E24A75">
        <w:trPr>
          <w:trHeight w:val="320"/>
        </w:trPr>
        <w:tc>
          <w:tcPr>
            <w:tcW w:w="1592" w:type="dxa"/>
            <w:vMerge/>
            <w:shd w:val="clear" w:color="auto" w:fill="D9D9D9" w:themeFill="background1" w:themeFillShade="D9"/>
            <w:noWrap/>
            <w:vAlign w:val="center"/>
            <w:hideMark/>
          </w:tcPr>
          <w:p w14:paraId="179DC4BB" w14:textId="77777777" w:rsidR="00566C5A" w:rsidRPr="00A46F57" w:rsidRDefault="00566C5A" w:rsidP="00566C5A">
            <w:pPr>
              <w:spacing w:line="240" w:lineRule="auto"/>
              <w:rPr>
                <w:b/>
                <w:bCs/>
              </w:rPr>
            </w:pPr>
          </w:p>
        </w:tc>
        <w:tc>
          <w:tcPr>
            <w:tcW w:w="1597" w:type="dxa"/>
            <w:shd w:val="clear" w:color="auto" w:fill="D9D9D9" w:themeFill="background1" w:themeFillShade="D9"/>
            <w:noWrap/>
            <w:hideMark/>
          </w:tcPr>
          <w:p w14:paraId="1A90EADD" w14:textId="77777777" w:rsidR="00566C5A" w:rsidRPr="00A46F57" w:rsidRDefault="00566C5A" w:rsidP="00566C5A">
            <w:pPr>
              <w:spacing w:line="240" w:lineRule="auto"/>
            </w:pPr>
            <w:r w:rsidRPr="00A46F57">
              <w:t>MAIS 4</w:t>
            </w:r>
          </w:p>
        </w:tc>
        <w:tc>
          <w:tcPr>
            <w:tcW w:w="2053" w:type="dxa"/>
            <w:noWrap/>
          </w:tcPr>
          <w:p w14:paraId="448EEB37" w14:textId="68F0CC37" w:rsidR="00566C5A" w:rsidRPr="00A46F57" w:rsidRDefault="00566C5A" w:rsidP="00566C5A">
            <w:pPr>
              <w:spacing w:line="240" w:lineRule="auto"/>
              <w:jc w:val="center"/>
            </w:pPr>
            <w:r w:rsidRPr="008A1425">
              <w:t>15.40</w:t>
            </w:r>
          </w:p>
        </w:tc>
        <w:tc>
          <w:tcPr>
            <w:tcW w:w="2054" w:type="dxa"/>
          </w:tcPr>
          <w:p w14:paraId="39E26909" w14:textId="78D74832" w:rsidR="00566C5A" w:rsidRPr="00A46F57" w:rsidRDefault="00566C5A" w:rsidP="00566C5A">
            <w:pPr>
              <w:spacing w:line="240" w:lineRule="auto"/>
              <w:jc w:val="center"/>
            </w:pPr>
            <w:r w:rsidRPr="00320AA3">
              <w:t>12.8662</w:t>
            </w:r>
          </w:p>
        </w:tc>
        <w:tc>
          <w:tcPr>
            <w:tcW w:w="2054" w:type="dxa"/>
          </w:tcPr>
          <w:p w14:paraId="3DE43FC2" w14:textId="75F9ADC8" w:rsidR="00566C5A" w:rsidRPr="00A46F57" w:rsidRDefault="00566C5A" w:rsidP="00566C5A">
            <w:pPr>
              <w:spacing w:line="240" w:lineRule="auto"/>
              <w:jc w:val="center"/>
            </w:pPr>
            <w:r w:rsidRPr="00320AA3">
              <w:t>10.4975</w:t>
            </w:r>
          </w:p>
        </w:tc>
      </w:tr>
      <w:tr w:rsidR="00566C5A" w14:paraId="23F583B2" w14:textId="77777777" w:rsidTr="00E24A75">
        <w:trPr>
          <w:trHeight w:val="320"/>
        </w:trPr>
        <w:tc>
          <w:tcPr>
            <w:tcW w:w="1592" w:type="dxa"/>
            <w:vMerge/>
            <w:shd w:val="clear" w:color="auto" w:fill="D9D9D9" w:themeFill="background1" w:themeFillShade="D9"/>
            <w:noWrap/>
            <w:vAlign w:val="center"/>
            <w:hideMark/>
          </w:tcPr>
          <w:p w14:paraId="4CA9F864" w14:textId="77777777" w:rsidR="00566C5A" w:rsidRPr="00A46F57" w:rsidRDefault="00566C5A" w:rsidP="00566C5A">
            <w:pPr>
              <w:spacing w:line="240" w:lineRule="auto"/>
              <w:rPr>
                <w:b/>
                <w:bCs/>
              </w:rPr>
            </w:pPr>
          </w:p>
        </w:tc>
        <w:tc>
          <w:tcPr>
            <w:tcW w:w="1597" w:type="dxa"/>
            <w:shd w:val="clear" w:color="auto" w:fill="D9D9D9" w:themeFill="background1" w:themeFillShade="D9"/>
            <w:noWrap/>
            <w:hideMark/>
          </w:tcPr>
          <w:p w14:paraId="2FAB0240" w14:textId="77777777" w:rsidR="00566C5A" w:rsidRPr="00A46F57" w:rsidRDefault="00566C5A" w:rsidP="00566C5A">
            <w:pPr>
              <w:spacing w:line="240" w:lineRule="auto"/>
            </w:pPr>
            <w:r w:rsidRPr="00A46F57">
              <w:t>MAIS 5</w:t>
            </w:r>
          </w:p>
        </w:tc>
        <w:tc>
          <w:tcPr>
            <w:tcW w:w="2053" w:type="dxa"/>
            <w:noWrap/>
          </w:tcPr>
          <w:p w14:paraId="4E8216A2" w14:textId="068CC92C" w:rsidR="00566C5A" w:rsidRPr="00A46F57" w:rsidRDefault="00566C5A" w:rsidP="00566C5A">
            <w:pPr>
              <w:spacing w:line="240" w:lineRule="auto"/>
              <w:jc w:val="center"/>
            </w:pPr>
            <w:r w:rsidRPr="008A1425">
              <w:t>0.37</w:t>
            </w:r>
          </w:p>
        </w:tc>
        <w:tc>
          <w:tcPr>
            <w:tcW w:w="2054" w:type="dxa"/>
          </w:tcPr>
          <w:p w14:paraId="6FAB2655" w14:textId="620E45AB" w:rsidR="00566C5A" w:rsidRPr="00A46F57" w:rsidRDefault="00566C5A" w:rsidP="00566C5A">
            <w:pPr>
              <w:spacing w:line="240" w:lineRule="auto"/>
              <w:jc w:val="center"/>
            </w:pPr>
            <w:r w:rsidRPr="00320AA3">
              <w:t>0.3051</w:t>
            </w:r>
          </w:p>
        </w:tc>
        <w:tc>
          <w:tcPr>
            <w:tcW w:w="2054" w:type="dxa"/>
          </w:tcPr>
          <w:p w14:paraId="13EA70C9" w14:textId="5893A329" w:rsidR="00566C5A" w:rsidRPr="00A46F57" w:rsidRDefault="00566C5A" w:rsidP="00566C5A">
            <w:pPr>
              <w:spacing w:line="240" w:lineRule="auto"/>
              <w:jc w:val="center"/>
            </w:pPr>
            <w:r w:rsidRPr="00320AA3">
              <w:t>0.2489</w:t>
            </w:r>
          </w:p>
        </w:tc>
      </w:tr>
      <w:tr w:rsidR="00566C5A" w14:paraId="5A1AF91E" w14:textId="77777777" w:rsidTr="00E24A75">
        <w:trPr>
          <w:trHeight w:val="310"/>
        </w:trPr>
        <w:tc>
          <w:tcPr>
            <w:tcW w:w="1592" w:type="dxa"/>
            <w:vMerge/>
            <w:shd w:val="clear" w:color="auto" w:fill="D9D9D9" w:themeFill="background1" w:themeFillShade="D9"/>
            <w:noWrap/>
            <w:vAlign w:val="center"/>
            <w:hideMark/>
          </w:tcPr>
          <w:p w14:paraId="1CCA11BE" w14:textId="77777777" w:rsidR="00566C5A" w:rsidRPr="00A46F57" w:rsidRDefault="00566C5A" w:rsidP="00566C5A">
            <w:pPr>
              <w:spacing w:line="240" w:lineRule="auto"/>
              <w:rPr>
                <w:b/>
                <w:bCs/>
              </w:rPr>
            </w:pPr>
          </w:p>
        </w:tc>
        <w:tc>
          <w:tcPr>
            <w:tcW w:w="1597" w:type="dxa"/>
            <w:shd w:val="clear" w:color="auto" w:fill="D9D9D9" w:themeFill="background1" w:themeFillShade="D9"/>
            <w:noWrap/>
            <w:hideMark/>
          </w:tcPr>
          <w:p w14:paraId="0F1763D8" w14:textId="77777777" w:rsidR="00566C5A" w:rsidRPr="00A46F57" w:rsidRDefault="00566C5A" w:rsidP="00566C5A">
            <w:pPr>
              <w:spacing w:line="240" w:lineRule="auto"/>
              <w:rPr>
                <w:b/>
                <w:bCs/>
              </w:rPr>
            </w:pPr>
            <w:r w:rsidRPr="00A46F57">
              <w:rPr>
                <w:b/>
                <w:bCs/>
              </w:rPr>
              <w:t>Fatality</w:t>
            </w:r>
          </w:p>
        </w:tc>
        <w:tc>
          <w:tcPr>
            <w:tcW w:w="2053" w:type="dxa"/>
            <w:noWrap/>
          </w:tcPr>
          <w:p w14:paraId="0F5E0354" w14:textId="32E74745" w:rsidR="00566C5A" w:rsidRPr="00A46F57" w:rsidRDefault="00566C5A" w:rsidP="00566C5A">
            <w:pPr>
              <w:spacing w:line="240" w:lineRule="auto"/>
              <w:jc w:val="center"/>
            </w:pPr>
            <w:r w:rsidRPr="008A1425">
              <w:t>25.03</w:t>
            </w:r>
          </w:p>
        </w:tc>
        <w:tc>
          <w:tcPr>
            <w:tcW w:w="2054" w:type="dxa"/>
          </w:tcPr>
          <w:p w14:paraId="24B2674A" w14:textId="6DA5E0B4" w:rsidR="00566C5A" w:rsidRPr="00A46F57" w:rsidRDefault="00566C5A" w:rsidP="00566C5A">
            <w:pPr>
              <w:spacing w:line="240" w:lineRule="auto"/>
              <w:jc w:val="center"/>
            </w:pPr>
            <w:r w:rsidRPr="00320AA3">
              <w:t>20.9131</w:t>
            </w:r>
          </w:p>
        </w:tc>
        <w:tc>
          <w:tcPr>
            <w:tcW w:w="2054" w:type="dxa"/>
          </w:tcPr>
          <w:p w14:paraId="6B313714" w14:textId="0FAA53E7" w:rsidR="00566C5A" w:rsidRPr="00A46F57" w:rsidRDefault="00566C5A" w:rsidP="00566C5A">
            <w:pPr>
              <w:spacing w:line="240" w:lineRule="auto"/>
              <w:jc w:val="center"/>
            </w:pPr>
            <w:r w:rsidRPr="00320AA3">
              <w:t>17.0629</w:t>
            </w:r>
          </w:p>
        </w:tc>
      </w:tr>
      <w:tr w:rsidR="008536FA" w14:paraId="338907DA" w14:textId="77777777" w:rsidTr="00E24A75">
        <w:trPr>
          <w:trHeight w:val="320"/>
        </w:trPr>
        <w:tc>
          <w:tcPr>
            <w:tcW w:w="1592" w:type="dxa"/>
            <w:vMerge w:val="restart"/>
            <w:shd w:val="clear" w:color="auto" w:fill="D9D9D9" w:themeFill="background1" w:themeFillShade="D9"/>
            <w:noWrap/>
            <w:vAlign w:val="center"/>
            <w:hideMark/>
          </w:tcPr>
          <w:p w14:paraId="57D3E1AB" w14:textId="77777777" w:rsidR="008536FA" w:rsidRPr="00A46F57" w:rsidRDefault="008536FA" w:rsidP="008536FA">
            <w:pPr>
              <w:spacing w:line="240" w:lineRule="auto"/>
              <w:rPr>
                <w:b/>
                <w:bCs/>
              </w:rPr>
            </w:pPr>
            <w:r w:rsidRPr="006D7613">
              <w:rPr>
                <w:b/>
                <w:bCs/>
              </w:rPr>
              <w:t>LTV</w:t>
            </w:r>
          </w:p>
        </w:tc>
        <w:tc>
          <w:tcPr>
            <w:tcW w:w="1597" w:type="dxa"/>
            <w:shd w:val="clear" w:color="auto" w:fill="D9D9D9" w:themeFill="background1" w:themeFillShade="D9"/>
            <w:noWrap/>
            <w:hideMark/>
          </w:tcPr>
          <w:p w14:paraId="76853AEE" w14:textId="77777777" w:rsidR="008536FA" w:rsidRPr="00A46F57" w:rsidRDefault="008536FA" w:rsidP="008536FA">
            <w:pPr>
              <w:spacing w:line="240" w:lineRule="auto"/>
            </w:pPr>
            <w:r w:rsidRPr="00A46F57">
              <w:t>MAIS 1</w:t>
            </w:r>
          </w:p>
        </w:tc>
        <w:tc>
          <w:tcPr>
            <w:tcW w:w="2053" w:type="dxa"/>
            <w:noWrap/>
          </w:tcPr>
          <w:p w14:paraId="7032A62F" w14:textId="146177CC" w:rsidR="008536FA" w:rsidRPr="00A46F57" w:rsidRDefault="008536FA" w:rsidP="008536FA">
            <w:pPr>
              <w:spacing w:line="240" w:lineRule="auto"/>
              <w:jc w:val="center"/>
            </w:pPr>
            <w:r w:rsidRPr="006C0B57">
              <w:t>8.66</w:t>
            </w:r>
          </w:p>
        </w:tc>
        <w:tc>
          <w:tcPr>
            <w:tcW w:w="2054" w:type="dxa"/>
          </w:tcPr>
          <w:p w14:paraId="621E3E4D" w14:textId="7A3D8D65" w:rsidR="008536FA" w:rsidRPr="00A46F57" w:rsidRDefault="008536FA" w:rsidP="008536FA">
            <w:pPr>
              <w:spacing w:line="240" w:lineRule="auto"/>
              <w:jc w:val="center"/>
            </w:pPr>
            <w:r w:rsidRPr="006D07F4">
              <w:t>7.1153</w:t>
            </w:r>
          </w:p>
        </w:tc>
        <w:tc>
          <w:tcPr>
            <w:tcW w:w="2054" w:type="dxa"/>
          </w:tcPr>
          <w:p w14:paraId="3D48F919" w14:textId="2666560D" w:rsidR="008536FA" w:rsidRPr="00A46F57" w:rsidRDefault="008536FA" w:rsidP="008536FA">
            <w:pPr>
              <w:spacing w:line="240" w:lineRule="auto"/>
              <w:jc w:val="center"/>
            </w:pPr>
            <w:r w:rsidRPr="006D07F4">
              <w:t>5.7383</w:t>
            </w:r>
          </w:p>
        </w:tc>
      </w:tr>
      <w:tr w:rsidR="008536FA" w14:paraId="699057C7" w14:textId="77777777" w:rsidTr="00E24A75">
        <w:trPr>
          <w:trHeight w:val="320"/>
        </w:trPr>
        <w:tc>
          <w:tcPr>
            <w:tcW w:w="1592" w:type="dxa"/>
            <w:vMerge/>
            <w:shd w:val="clear" w:color="auto" w:fill="D9D9D9" w:themeFill="background1" w:themeFillShade="D9"/>
            <w:noWrap/>
            <w:hideMark/>
          </w:tcPr>
          <w:p w14:paraId="2AFF12E2" w14:textId="77777777" w:rsidR="008536FA" w:rsidRPr="00A46F57" w:rsidRDefault="008536FA" w:rsidP="008536FA"/>
        </w:tc>
        <w:tc>
          <w:tcPr>
            <w:tcW w:w="1597" w:type="dxa"/>
            <w:shd w:val="clear" w:color="auto" w:fill="D9D9D9" w:themeFill="background1" w:themeFillShade="D9"/>
            <w:noWrap/>
            <w:hideMark/>
          </w:tcPr>
          <w:p w14:paraId="16843608" w14:textId="77777777" w:rsidR="008536FA" w:rsidRPr="00A46F57" w:rsidRDefault="008536FA" w:rsidP="008536FA">
            <w:pPr>
              <w:spacing w:line="240" w:lineRule="auto"/>
            </w:pPr>
            <w:r w:rsidRPr="00A46F57">
              <w:t>MAIS 2</w:t>
            </w:r>
          </w:p>
        </w:tc>
        <w:tc>
          <w:tcPr>
            <w:tcW w:w="2053" w:type="dxa"/>
            <w:noWrap/>
          </w:tcPr>
          <w:p w14:paraId="691980C9" w14:textId="3EFFFC07" w:rsidR="008536FA" w:rsidRPr="00A46F57" w:rsidRDefault="008536FA" w:rsidP="008536FA">
            <w:pPr>
              <w:spacing w:line="240" w:lineRule="auto"/>
              <w:jc w:val="center"/>
            </w:pPr>
            <w:r w:rsidRPr="006C0B57">
              <w:t>42.93</w:t>
            </w:r>
          </w:p>
        </w:tc>
        <w:tc>
          <w:tcPr>
            <w:tcW w:w="2054" w:type="dxa"/>
          </w:tcPr>
          <w:p w14:paraId="126E7B7C" w14:textId="7D746112" w:rsidR="008536FA" w:rsidRPr="00A46F57" w:rsidRDefault="008536FA" w:rsidP="008536FA">
            <w:pPr>
              <w:spacing w:line="240" w:lineRule="auto"/>
              <w:jc w:val="center"/>
            </w:pPr>
            <w:r w:rsidRPr="006D07F4">
              <w:t>35.2692</w:t>
            </w:r>
          </w:p>
        </w:tc>
        <w:tc>
          <w:tcPr>
            <w:tcW w:w="2054" w:type="dxa"/>
          </w:tcPr>
          <w:p w14:paraId="3383FD12" w14:textId="74BCE925" w:rsidR="008536FA" w:rsidRPr="00A46F57" w:rsidRDefault="008536FA" w:rsidP="008536FA">
            <w:pPr>
              <w:spacing w:line="240" w:lineRule="auto"/>
              <w:jc w:val="center"/>
            </w:pPr>
            <w:r w:rsidRPr="006D07F4">
              <w:t>28.4438</w:t>
            </w:r>
          </w:p>
        </w:tc>
      </w:tr>
      <w:tr w:rsidR="008536FA" w14:paraId="38ADD1B5" w14:textId="77777777" w:rsidTr="00E24A75">
        <w:trPr>
          <w:trHeight w:val="320"/>
        </w:trPr>
        <w:tc>
          <w:tcPr>
            <w:tcW w:w="1592" w:type="dxa"/>
            <w:vMerge/>
            <w:shd w:val="clear" w:color="auto" w:fill="D9D9D9" w:themeFill="background1" w:themeFillShade="D9"/>
            <w:noWrap/>
            <w:hideMark/>
          </w:tcPr>
          <w:p w14:paraId="61846EFE" w14:textId="77777777" w:rsidR="008536FA" w:rsidRPr="00A46F57" w:rsidRDefault="008536FA" w:rsidP="008536FA"/>
        </w:tc>
        <w:tc>
          <w:tcPr>
            <w:tcW w:w="1597" w:type="dxa"/>
            <w:shd w:val="clear" w:color="auto" w:fill="D9D9D9" w:themeFill="background1" w:themeFillShade="D9"/>
            <w:noWrap/>
            <w:hideMark/>
          </w:tcPr>
          <w:p w14:paraId="30A2F039" w14:textId="77777777" w:rsidR="008536FA" w:rsidRPr="00A46F57" w:rsidRDefault="008536FA" w:rsidP="008536FA">
            <w:pPr>
              <w:spacing w:line="240" w:lineRule="auto"/>
            </w:pPr>
            <w:r w:rsidRPr="00A46F57">
              <w:t>MAIS 3</w:t>
            </w:r>
          </w:p>
        </w:tc>
        <w:tc>
          <w:tcPr>
            <w:tcW w:w="2053" w:type="dxa"/>
            <w:noWrap/>
          </w:tcPr>
          <w:p w14:paraId="75E68E66" w14:textId="0E492927" w:rsidR="008536FA" w:rsidRPr="00A46F57" w:rsidRDefault="008536FA" w:rsidP="008536FA">
            <w:pPr>
              <w:spacing w:line="240" w:lineRule="auto"/>
              <w:jc w:val="center"/>
            </w:pPr>
            <w:r w:rsidRPr="006C0B57">
              <w:t>0.27</w:t>
            </w:r>
          </w:p>
        </w:tc>
        <w:tc>
          <w:tcPr>
            <w:tcW w:w="2054" w:type="dxa"/>
          </w:tcPr>
          <w:p w14:paraId="28F1DB23" w14:textId="27BC889F" w:rsidR="008536FA" w:rsidRPr="00A46F57" w:rsidRDefault="008536FA" w:rsidP="008536FA">
            <w:pPr>
              <w:spacing w:line="240" w:lineRule="auto"/>
              <w:jc w:val="center"/>
            </w:pPr>
            <w:r w:rsidRPr="006D07F4">
              <w:t>0.2247</w:t>
            </w:r>
          </w:p>
        </w:tc>
        <w:tc>
          <w:tcPr>
            <w:tcW w:w="2054" w:type="dxa"/>
          </w:tcPr>
          <w:p w14:paraId="61709FC2" w14:textId="06D2123C" w:rsidR="008536FA" w:rsidRPr="00A46F57" w:rsidRDefault="008536FA" w:rsidP="008536FA">
            <w:pPr>
              <w:spacing w:line="240" w:lineRule="auto"/>
              <w:jc w:val="center"/>
            </w:pPr>
            <w:r w:rsidRPr="006D07F4">
              <w:t>0.1812</w:t>
            </w:r>
          </w:p>
        </w:tc>
      </w:tr>
      <w:tr w:rsidR="008536FA" w14:paraId="22847E0E" w14:textId="77777777" w:rsidTr="00E24A75">
        <w:trPr>
          <w:trHeight w:val="320"/>
        </w:trPr>
        <w:tc>
          <w:tcPr>
            <w:tcW w:w="1592" w:type="dxa"/>
            <w:vMerge/>
            <w:shd w:val="clear" w:color="auto" w:fill="D9D9D9" w:themeFill="background1" w:themeFillShade="D9"/>
            <w:noWrap/>
            <w:hideMark/>
          </w:tcPr>
          <w:p w14:paraId="7F52ECBC" w14:textId="77777777" w:rsidR="008536FA" w:rsidRPr="00A46F57" w:rsidRDefault="008536FA" w:rsidP="008536FA"/>
        </w:tc>
        <w:tc>
          <w:tcPr>
            <w:tcW w:w="1597" w:type="dxa"/>
            <w:shd w:val="clear" w:color="auto" w:fill="D9D9D9" w:themeFill="background1" w:themeFillShade="D9"/>
            <w:noWrap/>
            <w:hideMark/>
          </w:tcPr>
          <w:p w14:paraId="2B50DC4A" w14:textId="77777777" w:rsidR="008536FA" w:rsidRPr="00A46F57" w:rsidRDefault="008536FA" w:rsidP="008536FA">
            <w:pPr>
              <w:spacing w:line="240" w:lineRule="auto"/>
            </w:pPr>
            <w:r w:rsidRPr="00A46F57">
              <w:t>MAIS 4</w:t>
            </w:r>
          </w:p>
        </w:tc>
        <w:tc>
          <w:tcPr>
            <w:tcW w:w="2053" w:type="dxa"/>
            <w:noWrap/>
          </w:tcPr>
          <w:p w14:paraId="581FBD40" w14:textId="44122C70" w:rsidR="008536FA" w:rsidRPr="00A46F57" w:rsidRDefault="008536FA" w:rsidP="008536FA">
            <w:pPr>
              <w:spacing w:line="240" w:lineRule="auto"/>
              <w:jc w:val="center"/>
            </w:pPr>
            <w:r w:rsidRPr="006C0B57">
              <w:t>2.02</w:t>
            </w:r>
          </w:p>
        </w:tc>
        <w:tc>
          <w:tcPr>
            <w:tcW w:w="2054" w:type="dxa"/>
          </w:tcPr>
          <w:p w14:paraId="54AC2D32" w14:textId="083F97B6" w:rsidR="008536FA" w:rsidRPr="00A46F57" w:rsidRDefault="008536FA" w:rsidP="008536FA">
            <w:pPr>
              <w:spacing w:line="240" w:lineRule="auto"/>
              <w:jc w:val="center"/>
            </w:pPr>
            <w:r w:rsidRPr="006D07F4">
              <w:t>1.6557</w:t>
            </w:r>
          </w:p>
        </w:tc>
        <w:tc>
          <w:tcPr>
            <w:tcW w:w="2054" w:type="dxa"/>
          </w:tcPr>
          <w:p w14:paraId="6C4EB50C" w14:textId="0AABDE7D" w:rsidR="008536FA" w:rsidRPr="00A46F57" w:rsidRDefault="008536FA" w:rsidP="008536FA">
            <w:pPr>
              <w:spacing w:line="240" w:lineRule="auto"/>
              <w:jc w:val="center"/>
            </w:pPr>
            <w:r w:rsidRPr="006D07F4">
              <w:t>1.3353</w:t>
            </w:r>
          </w:p>
        </w:tc>
      </w:tr>
      <w:tr w:rsidR="008536FA" w14:paraId="03D27B57" w14:textId="77777777" w:rsidTr="00E24A75">
        <w:trPr>
          <w:trHeight w:val="320"/>
        </w:trPr>
        <w:tc>
          <w:tcPr>
            <w:tcW w:w="1592" w:type="dxa"/>
            <w:vMerge/>
            <w:shd w:val="clear" w:color="auto" w:fill="D9D9D9" w:themeFill="background1" w:themeFillShade="D9"/>
            <w:noWrap/>
            <w:hideMark/>
          </w:tcPr>
          <w:p w14:paraId="4FE499C1" w14:textId="77777777" w:rsidR="008536FA" w:rsidRPr="00A46F57" w:rsidRDefault="008536FA" w:rsidP="008536FA"/>
        </w:tc>
        <w:tc>
          <w:tcPr>
            <w:tcW w:w="1597" w:type="dxa"/>
            <w:shd w:val="clear" w:color="auto" w:fill="D9D9D9" w:themeFill="background1" w:themeFillShade="D9"/>
            <w:noWrap/>
            <w:hideMark/>
          </w:tcPr>
          <w:p w14:paraId="0FEB6393" w14:textId="77777777" w:rsidR="008536FA" w:rsidRPr="00A46F57" w:rsidRDefault="008536FA" w:rsidP="008536FA">
            <w:pPr>
              <w:spacing w:line="240" w:lineRule="auto"/>
            </w:pPr>
            <w:r w:rsidRPr="00A46F57">
              <w:t>MAIS 5</w:t>
            </w:r>
          </w:p>
        </w:tc>
        <w:tc>
          <w:tcPr>
            <w:tcW w:w="2053" w:type="dxa"/>
            <w:noWrap/>
          </w:tcPr>
          <w:p w14:paraId="5457A570" w14:textId="7E830BD1" w:rsidR="008536FA" w:rsidRPr="00A46F57" w:rsidRDefault="008536FA" w:rsidP="008536FA">
            <w:pPr>
              <w:spacing w:line="240" w:lineRule="auto"/>
              <w:jc w:val="center"/>
            </w:pPr>
            <w:r w:rsidRPr="006C0B57">
              <w:t>0.14</w:t>
            </w:r>
          </w:p>
        </w:tc>
        <w:tc>
          <w:tcPr>
            <w:tcW w:w="2054" w:type="dxa"/>
          </w:tcPr>
          <w:p w14:paraId="4172ABE1" w14:textId="046949CA" w:rsidR="008536FA" w:rsidRPr="00A46F57" w:rsidRDefault="008536FA" w:rsidP="008536FA">
            <w:pPr>
              <w:spacing w:line="240" w:lineRule="auto"/>
              <w:jc w:val="center"/>
            </w:pPr>
            <w:r w:rsidRPr="006D07F4">
              <w:t>0.1143</w:t>
            </w:r>
          </w:p>
        </w:tc>
        <w:tc>
          <w:tcPr>
            <w:tcW w:w="2054" w:type="dxa"/>
          </w:tcPr>
          <w:p w14:paraId="6738A9AF" w14:textId="56407D68" w:rsidR="008536FA" w:rsidRPr="00A46F57" w:rsidRDefault="008536FA" w:rsidP="008536FA">
            <w:pPr>
              <w:spacing w:line="240" w:lineRule="auto"/>
              <w:jc w:val="center"/>
            </w:pPr>
            <w:r w:rsidRPr="006D07F4">
              <w:t>0.0922</w:t>
            </w:r>
          </w:p>
        </w:tc>
      </w:tr>
      <w:tr w:rsidR="008536FA" w14:paraId="42B89A83" w14:textId="77777777" w:rsidTr="00E24A75">
        <w:trPr>
          <w:trHeight w:val="310"/>
        </w:trPr>
        <w:tc>
          <w:tcPr>
            <w:tcW w:w="1592" w:type="dxa"/>
            <w:vMerge/>
            <w:shd w:val="clear" w:color="auto" w:fill="D9D9D9" w:themeFill="background1" w:themeFillShade="D9"/>
            <w:noWrap/>
            <w:hideMark/>
          </w:tcPr>
          <w:p w14:paraId="3CD26723" w14:textId="77777777" w:rsidR="008536FA" w:rsidRPr="00A46F57" w:rsidRDefault="008536FA" w:rsidP="008536FA"/>
        </w:tc>
        <w:tc>
          <w:tcPr>
            <w:tcW w:w="1597" w:type="dxa"/>
            <w:shd w:val="clear" w:color="auto" w:fill="D9D9D9" w:themeFill="background1" w:themeFillShade="D9"/>
            <w:noWrap/>
            <w:hideMark/>
          </w:tcPr>
          <w:p w14:paraId="6ECB7BD5" w14:textId="77777777" w:rsidR="008536FA" w:rsidRPr="00A46F57" w:rsidRDefault="008536FA" w:rsidP="008536FA">
            <w:pPr>
              <w:spacing w:line="240" w:lineRule="auto"/>
              <w:rPr>
                <w:b/>
                <w:bCs/>
              </w:rPr>
            </w:pPr>
            <w:r w:rsidRPr="00A46F57">
              <w:rPr>
                <w:b/>
                <w:bCs/>
              </w:rPr>
              <w:t>Fatality</w:t>
            </w:r>
          </w:p>
        </w:tc>
        <w:tc>
          <w:tcPr>
            <w:tcW w:w="2053" w:type="dxa"/>
            <w:noWrap/>
          </w:tcPr>
          <w:p w14:paraId="0F5A9D95" w14:textId="0317F360" w:rsidR="008536FA" w:rsidRPr="00A46F57" w:rsidRDefault="008536FA" w:rsidP="008536FA">
            <w:pPr>
              <w:spacing w:line="240" w:lineRule="auto"/>
              <w:jc w:val="center"/>
            </w:pPr>
            <w:r w:rsidRPr="006C0B57">
              <w:t>40.86</w:t>
            </w:r>
          </w:p>
        </w:tc>
        <w:tc>
          <w:tcPr>
            <w:tcW w:w="2054" w:type="dxa"/>
          </w:tcPr>
          <w:p w14:paraId="225C12B4" w14:textId="48E04F44" w:rsidR="008536FA" w:rsidRPr="00A46F57" w:rsidRDefault="008536FA" w:rsidP="008536FA">
            <w:pPr>
              <w:spacing w:line="240" w:lineRule="auto"/>
              <w:jc w:val="center"/>
            </w:pPr>
            <w:r w:rsidRPr="006D07F4">
              <w:t>33.5715</w:t>
            </w:r>
          </w:p>
        </w:tc>
        <w:tc>
          <w:tcPr>
            <w:tcW w:w="2054" w:type="dxa"/>
          </w:tcPr>
          <w:p w14:paraId="4146585C" w14:textId="604DAFAE" w:rsidR="008536FA" w:rsidRPr="00A46F57" w:rsidRDefault="008536FA" w:rsidP="008536FA">
            <w:pPr>
              <w:spacing w:line="240" w:lineRule="auto"/>
              <w:jc w:val="center"/>
            </w:pPr>
            <w:r w:rsidRPr="006D07F4">
              <w:t>27.0746</w:t>
            </w:r>
          </w:p>
        </w:tc>
      </w:tr>
    </w:tbl>
    <w:p w14:paraId="3F0C6C4E" w14:textId="77777777" w:rsidR="006F259C" w:rsidRDefault="000F5B51" w:rsidP="006F259C">
      <w:pPr>
        <w:pStyle w:val="Caption"/>
        <w:jc w:val="left"/>
      </w:pPr>
      <w:r w:rsidRPr="00572735">
        <w:rPr>
          <w:sz w:val="18"/>
          <w:szCs w:val="16"/>
        </w:rPr>
        <w:t>Note: Values may not sum due to rounding</w:t>
      </w:r>
      <w:r>
        <w:rPr>
          <w:sz w:val="18"/>
          <w:szCs w:val="16"/>
        </w:rPr>
        <w:t>.</w:t>
      </w:r>
    </w:p>
    <w:p w14:paraId="5AA3C892" w14:textId="77777777" w:rsidR="006F259C" w:rsidRDefault="006F259C" w:rsidP="006F259C">
      <w:pPr>
        <w:pStyle w:val="Caption"/>
        <w:jc w:val="left"/>
      </w:pPr>
    </w:p>
    <w:p w14:paraId="585279E1" w14:textId="77777777" w:rsidR="006F259C" w:rsidRDefault="006F259C" w:rsidP="006F259C"/>
    <w:p w14:paraId="6F1A9BB4" w14:textId="77777777" w:rsidR="006F259C" w:rsidRDefault="006F259C" w:rsidP="006F259C"/>
    <w:p w14:paraId="6AD448F7" w14:textId="77777777" w:rsidR="006F259C" w:rsidRPr="00A6768F" w:rsidRDefault="006F259C" w:rsidP="006F259C"/>
    <w:p w14:paraId="6D00203E" w14:textId="718995FF" w:rsidR="006F259C" w:rsidRPr="00572735" w:rsidRDefault="000F5B51" w:rsidP="006F259C">
      <w:pPr>
        <w:pStyle w:val="Caption"/>
      </w:pPr>
      <w:r w:rsidRPr="00572735">
        <w:lastRenderedPageBreak/>
        <w:t xml:space="preserve">Table </w:t>
      </w:r>
      <w:r w:rsidR="00115BAB">
        <w:fldChar w:fldCharType="begin"/>
      </w:r>
      <w:r>
        <w:instrText xml:space="preserve"> SEQ Table \* ARABIC </w:instrText>
      </w:r>
      <w:r w:rsidR="00115BAB">
        <w:fldChar w:fldCharType="separate"/>
      </w:r>
      <w:r w:rsidR="00A65CB3">
        <w:rPr>
          <w:noProof/>
        </w:rPr>
        <w:t>155</w:t>
      </w:r>
      <w:r w:rsidR="00115BAB">
        <w:rPr>
          <w:noProof/>
        </w:rPr>
        <w:fldChar w:fldCharType="end"/>
      </w:r>
      <w:r w:rsidRPr="00572735">
        <w:t>: Calculation of Discounted Benefits</w:t>
      </w:r>
      <w:r>
        <w:t xml:space="preserve"> for</w:t>
      </w:r>
      <w:r w:rsidRPr="00572735">
        <w:t xml:space="preserve"> </w:t>
      </w:r>
      <w:r>
        <w:t>Right Front Seat Occupants</w:t>
      </w:r>
    </w:p>
    <w:tbl>
      <w:tblPr>
        <w:tblStyle w:val="TableGrid3"/>
        <w:tblW w:w="9350" w:type="dxa"/>
        <w:tblLayout w:type="fixed"/>
        <w:tblLook w:val="04A0" w:firstRow="1" w:lastRow="0" w:firstColumn="1" w:lastColumn="0" w:noHBand="0" w:noVBand="1"/>
      </w:tblPr>
      <w:tblGrid>
        <w:gridCol w:w="1592"/>
        <w:gridCol w:w="1597"/>
        <w:gridCol w:w="2053"/>
        <w:gridCol w:w="2054"/>
        <w:gridCol w:w="2054"/>
      </w:tblGrid>
      <w:tr w:rsidR="00A15C2C" w14:paraId="0B3975D5" w14:textId="77777777" w:rsidTr="00343F45">
        <w:trPr>
          <w:trHeight w:val="1380"/>
        </w:trPr>
        <w:tc>
          <w:tcPr>
            <w:tcW w:w="1592" w:type="dxa"/>
            <w:shd w:val="clear" w:color="auto" w:fill="D9D9D9" w:themeFill="background1" w:themeFillShade="D9"/>
            <w:noWrap/>
            <w:vAlign w:val="center"/>
            <w:hideMark/>
          </w:tcPr>
          <w:p w14:paraId="38E1D5BF" w14:textId="77777777" w:rsidR="006F259C" w:rsidRPr="00A46F57" w:rsidRDefault="000F5B51" w:rsidP="00343F45">
            <w:pPr>
              <w:spacing w:line="240" w:lineRule="auto"/>
              <w:rPr>
                <w:b/>
                <w:bCs/>
              </w:rPr>
            </w:pPr>
            <w:r w:rsidRPr="006D7613">
              <w:rPr>
                <w:b/>
                <w:bCs/>
              </w:rPr>
              <w:t>Vehicle Type</w:t>
            </w:r>
          </w:p>
        </w:tc>
        <w:tc>
          <w:tcPr>
            <w:tcW w:w="1597" w:type="dxa"/>
            <w:shd w:val="clear" w:color="auto" w:fill="D9D9D9" w:themeFill="background1" w:themeFillShade="D9"/>
            <w:noWrap/>
            <w:hideMark/>
          </w:tcPr>
          <w:p w14:paraId="4AD1D787" w14:textId="77777777" w:rsidR="006F259C" w:rsidRPr="007F6FCD" w:rsidRDefault="000F5B51" w:rsidP="00343F45">
            <w:pPr>
              <w:spacing w:line="240" w:lineRule="auto"/>
              <w:rPr>
                <w:b/>
                <w:bCs/>
              </w:rPr>
            </w:pPr>
            <w:r w:rsidRPr="00A46F57">
              <w:rPr>
                <w:b/>
                <w:bCs/>
              </w:rPr>
              <w:t> </w:t>
            </w:r>
          </w:p>
          <w:p w14:paraId="6F463965" w14:textId="77777777" w:rsidR="006F259C" w:rsidRPr="00A46F57" w:rsidRDefault="000F5B51" w:rsidP="00343F45">
            <w:pPr>
              <w:spacing w:line="240" w:lineRule="auto"/>
              <w:rPr>
                <w:b/>
                <w:bCs/>
              </w:rPr>
            </w:pPr>
            <w:r w:rsidRPr="00A46F57">
              <w:rPr>
                <w:b/>
                <w:bCs/>
              </w:rPr>
              <w:t xml:space="preserve">Injury Severity </w:t>
            </w:r>
          </w:p>
        </w:tc>
        <w:tc>
          <w:tcPr>
            <w:tcW w:w="2053" w:type="dxa"/>
            <w:shd w:val="clear" w:color="auto" w:fill="D9D9D9" w:themeFill="background1" w:themeFillShade="D9"/>
            <w:noWrap/>
            <w:vAlign w:val="center"/>
            <w:hideMark/>
          </w:tcPr>
          <w:p w14:paraId="7414D259" w14:textId="77777777" w:rsidR="006F259C" w:rsidRPr="00A46F57" w:rsidRDefault="000F5B51" w:rsidP="00343F45">
            <w:pPr>
              <w:spacing w:line="240" w:lineRule="auto"/>
              <w:jc w:val="center"/>
              <w:rPr>
                <w:b/>
                <w:bCs/>
              </w:rPr>
            </w:pPr>
            <w:r w:rsidRPr="007F6FCD">
              <w:rPr>
                <w:b/>
                <w:bCs/>
              </w:rPr>
              <w:t xml:space="preserve">Undiscounted </w:t>
            </w:r>
            <w:r w:rsidRPr="00A46F57">
              <w:rPr>
                <w:b/>
                <w:bCs/>
              </w:rPr>
              <w:t>Incremental Benefits</w:t>
            </w:r>
          </w:p>
        </w:tc>
        <w:tc>
          <w:tcPr>
            <w:tcW w:w="2054" w:type="dxa"/>
            <w:shd w:val="clear" w:color="auto" w:fill="D9D9D9" w:themeFill="background1" w:themeFillShade="D9"/>
            <w:vAlign w:val="center"/>
          </w:tcPr>
          <w:p w14:paraId="5DD68782" w14:textId="77777777" w:rsidR="006F259C" w:rsidRPr="007F6FCD" w:rsidRDefault="000F5B51" w:rsidP="00343F45">
            <w:pPr>
              <w:spacing w:line="240" w:lineRule="auto"/>
              <w:jc w:val="center"/>
              <w:rPr>
                <w:b/>
                <w:bCs/>
              </w:rPr>
            </w:pPr>
            <w:r>
              <w:rPr>
                <w:b/>
                <w:bCs/>
              </w:rPr>
              <w:t>Discounted at 3%</w:t>
            </w:r>
          </w:p>
        </w:tc>
        <w:tc>
          <w:tcPr>
            <w:tcW w:w="2054" w:type="dxa"/>
            <w:shd w:val="clear" w:color="auto" w:fill="D9D9D9" w:themeFill="background1" w:themeFillShade="D9"/>
            <w:vAlign w:val="center"/>
          </w:tcPr>
          <w:p w14:paraId="0A1964B7" w14:textId="77777777" w:rsidR="006F259C" w:rsidRPr="007F6FCD" w:rsidRDefault="000F5B51" w:rsidP="00343F45">
            <w:pPr>
              <w:spacing w:line="240" w:lineRule="auto"/>
              <w:jc w:val="center"/>
              <w:rPr>
                <w:b/>
                <w:bCs/>
              </w:rPr>
            </w:pPr>
            <w:r>
              <w:rPr>
                <w:b/>
                <w:bCs/>
              </w:rPr>
              <w:t>Discounted at 7%</w:t>
            </w:r>
          </w:p>
        </w:tc>
      </w:tr>
      <w:tr w:rsidR="00A15C2C" w14:paraId="71F62F1B" w14:textId="77777777" w:rsidTr="00343F45">
        <w:trPr>
          <w:trHeight w:val="320"/>
        </w:trPr>
        <w:tc>
          <w:tcPr>
            <w:tcW w:w="1592" w:type="dxa"/>
            <w:vMerge w:val="restart"/>
            <w:shd w:val="clear" w:color="auto" w:fill="D9D9D9" w:themeFill="background1" w:themeFillShade="D9"/>
            <w:noWrap/>
            <w:vAlign w:val="center"/>
            <w:hideMark/>
          </w:tcPr>
          <w:p w14:paraId="366A2C72" w14:textId="77777777" w:rsidR="006F259C" w:rsidRPr="00A46F57" w:rsidRDefault="000F5B51" w:rsidP="00343F45">
            <w:pPr>
              <w:spacing w:line="240" w:lineRule="auto"/>
              <w:rPr>
                <w:b/>
                <w:bCs/>
              </w:rPr>
            </w:pPr>
            <w:r w:rsidRPr="006D7613">
              <w:rPr>
                <w:b/>
                <w:bCs/>
              </w:rPr>
              <w:t>PC</w:t>
            </w:r>
          </w:p>
        </w:tc>
        <w:tc>
          <w:tcPr>
            <w:tcW w:w="1597" w:type="dxa"/>
            <w:shd w:val="clear" w:color="auto" w:fill="D9D9D9" w:themeFill="background1" w:themeFillShade="D9"/>
            <w:noWrap/>
            <w:hideMark/>
          </w:tcPr>
          <w:p w14:paraId="2237D081" w14:textId="77777777" w:rsidR="006F259C" w:rsidRPr="00A46F57" w:rsidRDefault="000F5B51" w:rsidP="00343F45">
            <w:pPr>
              <w:spacing w:line="240" w:lineRule="auto"/>
            </w:pPr>
            <w:r w:rsidRPr="00A46F57">
              <w:t>MAIS 1</w:t>
            </w:r>
          </w:p>
        </w:tc>
        <w:tc>
          <w:tcPr>
            <w:tcW w:w="2053" w:type="dxa"/>
            <w:noWrap/>
            <w:vAlign w:val="center"/>
          </w:tcPr>
          <w:p w14:paraId="5246BC74" w14:textId="77777777" w:rsidR="006F259C" w:rsidRPr="00A46F57" w:rsidRDefault="000F5B51" w:rsidP="00343F45">
            <w:pPr>
              <w:spacing w:line="240" w:lineRule="auto"/>
              <w:jc w:val="center"/>
            </w:pPr>
            <w:r>
              <w:rPr>
                <w:color w:val="000000"/>
              </w:rPr>
              <w:t>2.27</w:t>
            </w:r>
          </w:p>
        </w:tc>
        <w:tc>
          <w:tcPr>
            <w:tcW w:w="2054" w:type="dxa"/>
            <w:vAlign w:val="center"/>
          </w:tcPr>
          <w:p w14:paraId="7EB894F0" w14:textId="77777777" w:rsidR="006F259C" w:rsidRPr="00A46F57" w:rsidRDefault="000F5B51" w:rsidP="00343F45">
            <w:pPr>
              <w:spacing w:line="240" w:lineRule="auto"/>
              <w:jc w:val="center"/>
            </w:pPr>
            <w:r w:rsidRPr="00C83AB8">
              <w:t>1.89</w:t>
            </w:r>
          </w:p>
        </w:tc>
        <w:tc>
          <w:tcPr>
            <w:tcW w:w="2054" w:type="dxa"/>
            <w:vAlign w:val="center"/>
          </w:tcPr>
          <w:p w14:paraId="0A36C37C" w14:textId="77777777" w:rsidR="006F259C" w:rsidRPr="00A46F57" w:rsidRDefault="000F5B51" w:rsidP="00343F45">
            <w:pPr>
              <w:spacing w:line="240" w:lineRule="auto"/>
              <w:jc w:val="center"/>
            </w:pPr>
            <w:r w:rsidRPr="00C83AB8">
              <w:t>1.54</w:t>
            </w:r>
          </w:p>
        </w:tc>
      </w:tr>
      <w:tr w:rsidR="00A15C2C" w14:paraId="7D34CB31" w14:textId="77777777" w:rsidTr="00343F45">
        <w:trPr>
          <w:trHeight w:val="320"/>
        </w:trPr>
        <w:tc>
          <w:tcPr>
            <w:tcW w:w="1592" w:type="dxa"/>
            <w:vMerge/>
            <w:shd w:val="clear" w:color="auto" w:fill="D9D9D9" w:themeFill="background1" w:themeFillShade="D9"/>
            <w:noWrap/>
            <w:vAlign w:val="center"/>
            <w:hideMark/>
          </w:tcPr>
          <w:p w14:paraId="0C7A0E75" w14:textId="77777777" w:rsidR="006F259C" w:rsidRPr="00A46F57" w:rsidRDefault="006F259C" w:rsidP="00343F45">
            <w:pPr>
              <w:spacing w:line="240" w:lineRule="auto"/>
              <w:rPr>
                <w:b/>
                <w:bCs/>
              </w:rPr>
            </w:pPr>
          </w:p>
        </w:tc>
        <w:tc>
          <w:tcPr>
            <w:tcW w:w="1597" w:type="dxa"/>
            <w:shd w:val="clear" w:color="auto" w:fill="D9D9D9" w:themeFill="background1" w:themeFillShade="D9"/>
            <w:noWrap/>
            <w:hideMark/>
          </w:tcPr>
          <w:p w14:paraId="4189447E" w14:textId="77777777" w:rsidR="006F259C" w:rsidRPr="00A46F57" w:rsidRDefault="000F5B51" w:rsidP="00343F45">
            <w:pPr>
              <w:spacing w:line="240" w:lineRule="auto"/>
            </w:pPr>
            <w:r w:rsidRPr="00A46F57">
              <w:t>MAIS 2</w:t>
            </w:r>
          </w:p>
        </w:tc>
        <w:tc>
          <w:tcPr>
            <w:tcW w:w="2053" w:type="dxa"/>
            <w:noWrap/>
            <w:vAlign w:val="center"/>
          </w:tcPr>
          <w:p w14:paraId="4A157322" w14:textId="77777777" w:rsidR="006F259C" w:rsidRPr="00A46F57" w:rsidRDefault="000F5B51" w:rsidP="00343F45">
            <w:pPr>
              <w:spacing w:line="240" w:lineRule="auto"/>
              <w:jc w:val="center"/>
            </w:pPr>
            <w:r>
              <w:rPr>
                <w:color w:val="000000"/>
              </w:rPr>
              <w:t>13.89</w:t>
            </w:r>
          </w:p>
        </w:tc>
        <w:tc>
          <w:tcPr>
            <w:tcW w:w="2054" w:type="dxa"/>
            <w:vAlign w:val="center"/>
          </w:tcPr>
          <w:p w14:paraId="33EEC5A1" w14:textId="77777777" w:rsidR="006F259C" w:rsidRPr="00A46F57" w:rsidRDefault="000F5B51" w:rsidP="00343F45">
            <w:pPr>
              <w:spacing w:line="240" w:lineRule="auto"/>
              <w:jc w:val="center"/>
            </w:pPr>
            <w:r w:rsidRPr="00C83AB8">
              <w:t>11.52</w:t>
            </w:r>
          </w:p>
        </w:tc>
        <w:tc>
          <w:tcPr>
            <w:tcW w:w="2054" w:type="dxa"/>
            <w:vAlign w:val="center"/>
          </w:tcPr>
          <w:p w14:paraId="6A208901" w14:textId="77777777" w:rsidR="006F259C" w:rsidRPr="00A46F57" w:rsidRDefault="000F5B51" w:rsidP="00343F45">
            <w:pPr>
              <w:spacing w:line="240" w:lineRule="auto"/>
              <w:jc w:val="center"/>
            </w:pPr>
            <w:r w:rsidRPr="00C83AB8">
              <w:t>9.40</w:t>
            </w:r>
          </w:p>
        </w:tc>
      </w:tr>
      <w:tr w:rsidR="00A15C2C" w14:paraId="3142959F" w14:textId="77777777" w:rsidTr="00343F45">
        <w:trPr>
          <w:trHeight w:val="320"/>
        </w:trPr>
        <w:tc>
          <w:tcPr>
            <w:tcW w:w="1592" w:type="dxa"/>
            <w:vMerge/>
            <w:shd w:val="clear" w:color="auto" w:fill="D9D9D9" w:themeFill="background1" w:themeFillShade="D9"/>
            <w:noWrap/>
            <w:vAlign w:val="center"/>
            <w:hideMark/>
          </w:tcPr>
          <w:p w14:paraId="6D642337" w14:textId="77777777" w:rsidR="006F259C" w:rsidRPr="00A46F57" w:rsidRDefault="006F259C" w:rsidP="00343F45">
            <w:pPr>
              <w:spacing w:line="240" w:lineRule="auto"/>
              <w:rPr>
                <w:b/>
                <w:bCs/>
              </w:rPr>
            </w:pPr>
          </w:p>
        </w:tc>
        <w:tc>
          <w:tcPr>
            <w:tcW w:w="1597" w:type="dxa"/>
            <w:shd w:val="clear" w:color="auto" w:fill="D9D9D9" w:themeFill="background1" w:themeFillShade="D9"/>
            <w:noWrap/>
            <w:hideMark/>
          </w:tcPr>
          <w:p w14:paraId="35A7DE1B" w14:textId="77777777" w:rsidR="006F259C" w:rsidRPr="00A46F57" w:rsidRDefault="000F5B51" w:rsidP="00343F45">
            <w:pPr>
              <w:spacing w:line="240" w:lineRule="auto"/>
            </w:pPr>
            <w:r w:rsidRPr="00A46F57">
              <w:t>MAIS 3</w:t>
            </w:r>
          </w:p>
        </w:tc>
        <w:tc>
          <w:tcPr>
            <w:tcW w:w="2053" w:type="dxa"/>
            <w:noWrap/>
            <w:vAlign w:val="center"/>
          </w:tcPr>
          <w:p w14:paraId="040085A8" w14:textId="77777777" w:rsidR="006F259C" w:rsidRPr="00A46F57" w:rsidRDefault="000F5B51" w:rsidP="00343F45">
            <w:pPr>
              <w:spacing w:line="240" w:lineRule="auto"/>
              <w:jc w:val="center"/>
            </w:pPr>
            <w:r>
              <w:rPr>
                <w:color w:val="000000"/>
              </w:rPr>
              <w:t>3.84</w:t>
            </w:r>
          </w:p>
        </w:tc>
        <w:tc>
          <w:tcPr>
            <w:tcW w:w="2054" w:type="dxa"/>
            <w:vAlign w:val="center"/>
          </w:tcPr>
          <w:p w14:paraId="23143B53" w14:textId="77777777" w:rsidR="006F259C" w:rsidRPr="00A46F57" w:rsidRDefault="000F5B51" w:rsidP="00343F45">
            <w:pPr>
              <w:spacing w:line="240" w:lineRule="auto"/>
              <w:jc w:val="center"/>
            </w:pPr>
            <w:r w:rsidRPr="00C83AB8">
              <w:t>3.18</w:t>
            </w:r>
          </w:p>
        </w:tc>
        <w:tc>
          <w:tcPr>
            <w:tcW w:w="2054" w:type="dxa"/>
            <w:vAlign w:val="center"/>
          </w:tcPr>
          <w:p w14:paraId="5A34A8F5" w14:textId="77777777" w:rsidR="006F259C" w:rsidRPr="00A46F57" w:rsidRDefault="000F5B51" w:rsidP="00343F45">
            <w:pPr>
              <w:spacing w:line="240" w:lineRule="auto"/>
              <w:jc w:val="center"/>
            </w:pPr>
            <w:r w:rsidRPr="00C83AB8">
              <w:t>2.59</w:t>
            </w:r>
          </w:p>
        </w:tc>
      </w:tr>
      <w:tr w:rsidR="00A15C2C" w14:paraId="733F2EB2" w14:textId="77777777" w:rsidTr="00343F45">
        <w:trPr>
          <w:trHeight w:val="320"/>
        </w:trPr>
        <w:tc>
          <w:tcPr>
            <w:tcW w:w="1592" w:type="dxa"/>
            <w:vMerge/>
            <w:shd w:val="clear" w:color="auto" w:fill="D9D9D9" w:themeFill="background1" w:themeFillShade="D9"/>
            <w:noWrap/>
            <w:vAlign w:val="center"/>
            <w:hideMark/>
          </w:tcPr>
          <w:p w14:paraId="6272CDB3" w14:textId="77777777" w:rsidR="006F259C" w:rsidRPr="00A46F57" w:rsidRDefault="006F259C" w:rsidP="00343F45">
            <w:pPr>
              <w:spacing w:line="240" w:lineRule="auto"/>
              <w:rPr>
                <w:b/>
                <w:bCs/>
              </w:rPr>
            </w:pPr>
          </w:p>
        </w:tc>
        <w:tc>
          <w:tcPr>
            <w:tcW w:w="1597" w:type="dxa"/>
            <w:shd w:val="clear" w:color="auto" w:fill="D9D9D9" w:themeFill="background1" w:themeFillShade="D9"/>
            <w:noWrap/>
            <w:hideMark/>
          </w:tcPr>
          <w:p w14:paraId="694A3D2B" w14:textId="77777777" w:rsidR="006F259C" w:rsidRPr="00A46F57" w:rsidRDefault="000F5B51" w:rsidP="00343F45">
            <w:pPr>
              <w:spacing w:line="240" w:lineRule="auto"/>
            </w:pPr>
            <w:r w:rsidRPr="00A46F57">
              <w:t>MAIS 4</w:t>
            </w:r>
          </w:p>
        </w:tc>
        <w:tc>
          <w:tcPr>
            <w:tcW w:w="2053" w:type="dxa"/>
            <w:noWrap/>
            <w:vAlign w:val="center"/>
          </w:tcPr>
          <w:p w14:paraId="60197F19" w14:textId="77777777" w:rsidR="006F259C" w:rsidRPr="00A46F57" w:rsidRDefault="000F5B51" w:rsidP="00343F45">
            <w:pPr>
              <w:spacing w:line="240" w:lineRule="auto"/>
              <w:jc w:val="center"/>
            </w:pPr>
            <w:r>
              <w:rPr>
                <w:color w:val="000000"/>
              </w:rPr>
              <w:t>2.77</w:t>
            </w:r>
          </w:p>
        </w:tc>
        <w:tc>
          <w:tcPr>
            <w:tcW w:w="2054" w:type="dxa"/>
            <w:vAlign w:val="center"/>
          </w:tcPr>
          <w:p w14:paraId="4D2DD22D" w14:textId="77777777" w:rsidR="006F259C" w:rsidRPr="00A46F57" w:rsidRDefault="000F5B51" w:rsidP="00343F45">
            <w:pPr>
              <w:spacing w:line="240" w:lineRule="auto"/>
              <w:jc w:val="center"/>
            </w:pPr>
            <w:r w:rsidRPr="00C83AB8">
              <w:t>2.31</w:t>
            </w:r>
          </w:p>
        </w:tc>
        <w:tc>
          <w:tcPr>
            <w:tcW w:w="2054" w:type="dxa"/>
            <w:vAlign w:val="center"/>
          </w:tcPr>
          <w:p w14:paraId="71E4D7FE" w14:textId="77777777" w:rsidR="006F259C" w:rsidRPr="00A46F57" w:rsidRDefault="000F5B51" w:rsidP="00343F45">
            <w:pPr>
              <w:spacing w:line="240" w:lineRule="auto"/>
              <w:jc w:val="center"/>
            </w:pPr>
            <w:r w:rsidRPr="00C83AB8">
              <w:t>1.88</w:t>
            </w:r>
          </w:p>
        </w:tc>
      </w:tr>
      <w:tr w:rsidR="00A15C2C" w14:paraId="529D0AFB" w14:textId="77777777" w:rsidTr="00343F45">
        <w:trPr>
          <w:trHeight w:val="320"/>
        </w:trPr>
        <w:tc>
          <w:tcPr>
            <w:tcW w:w="1592" w:type="dxa"/>
            <w:vMerge/>
            <w:shd w:val="clear" w:color="auto" w:fill="D9D9D9" w:themeFill="background1" w:themeFillShade="D9"/>
            <w:noWrap/>
            <w:vAlign w:val="center"/>
            <w:hideMark/>
          </w:tcPr>
          <w:p w14:paraId="59EF5394" w14:textId="77777777" w:rsidR="006F259C" w:rsidRPr="00A46F57" w:rsidRDefault="006F259C" w:rsidP="00343F45">
            <w:pPr>
              <w:spacing w:line="240" w:lineRule="auto"/>
              <w:rPr>
                <w:b/>
                <w:bCs/>
              </w:rPr>
            </w:pPr>
          </w:p>
        </w:tc>
        <w:tc>
          <w:tcPr>
            <w:tcW w:w="1597" w:type="dxa"/>
            <w:shd w:val="clear" w:color="auto" w:fill="D9D9D9" w:themeFill="background1" w:themeFillShade="D9"/>
            <w:noWrap/>
            <w:hideMark/>
          </w:tcPr>
          <w:p w14:paraId="4D664AC7" w14:textId="77777777" w:rsidR="006F259C" w:rsidRPr="00A46F57" w:rsidRDefault="000F5B51" w:rsidP="00343F45">
            <w:pPr>
              <w:spacing w:line="240" w:lineRule="auto"/>
            </w:pPr>
            <w:r w:rsidRPr="00A46F57">
              <w:t>MAIS 5</w:t>
            </w:r>
          </w:p>
        </w:tc>
        <w:tc>
          <w:tcPr>
            <w:tcW w:w="2053" w:type="dxa"/>
            <w:noWrap/>
            <w:vAlign w:val="center"/>
          </w:tcPr>
          <w:p w14:paraId="684F915A" w14:textId="77777777" w:rsidR="006F259C" w:rsidRPr="00A46F57" w:rsidRDefault="000F5B51" w:rsidP="00343F45">
            <w:pPr>
              <w:spacing w:line="240" w:lineRule="auto"/>
              <w:jc w:val="center"/>
            </w:pPr>
            <w:r>
              <w:rPr>
                <w:color w:val="000000"/>
              </w:rPr>
              <w:t>0.07</w:t>
            </w:r>
          </w:p>
        </w:tc>
        <w:tc>
          <w:tcPr>
            <w:tcW w:w="2054" w:type="dxa"/>
            <w:vAlign w:val="center"/>
          </w:tcPr>
          <w:p w14:paraId="4F881A76" w14:textId="77777777" w:rsidR="006F259C" w:rsidRPr="00A46F57" w:rsidRDefault="000F5B51" w:rsidP="00343F45">
            <w:pPr>
              <w:spacing w:line="240" w:lineRule="auto"/>
              <w:jc w:val="center"/>
            </w:pPr>
            <w:r w:rsidRPr="00C83AB8">
              <w:t>0.06</w:t>
            </w:r>
          </w:p>
        </w:tc>
        <w:tc>
          <w:tcPr>
            <w:tcW w:w="2054" w:type="dxa"/>
            <w:vAlign w:val="center"/>
          </w:tcPr>
          <w:p w14:paraId="336C08DE" w14:textId="77777777" w:rsidR="006F259C" w:rsidRPr="00A46F57" w:rsidRDefault="000F5B51" w:rsidP="00343F45">
            <w:pPr>
              <w:spacing w:line="240" w:lineRule="auto"/>
              <w:jc w:val="center"/>
            </w:pPr>
            <w:r w:rsidRPr="00C83AB8">
              <w:t>0.05</w:t>
            </w:r>
          </w:p>
        </w:tc>
      </w:tr>
      <w:tr w:rsidR="00A15C2C" w14:paraId="298893ED" w14:textId="77777777" w:rsidTr="00343F45">
        <w:trPr>
          <w:trHeight w:val="310"/>
        </w:trPr>
        <w:tc>
          <w:tcPr>
            <w:tcW w:w="1592" w:type="dxa"/>
            <w:vMerge/>
            <w:shd w:val="clear" w:color="auto" w:fill="D9D9D9" w:themeFill="background1" w:themeFillShade="D9"/>
            <w:noWrap/>
            <w:vAlign w:val="center"/>
            <w:hideMark/>
          </w:tcPr>
          <w:p w14:paraId="6DBB3352" w14:textId="77777777" w:rsidR="006F259C" w:rsidRPr="00A46F57" w:rsidRDefault="006F259C" w:rsidP="00343F45">
            <w:pPr>
              <w:spacing w:line="240" w:lineRule="auto"/>
              <w:rPr>
                <w:b/>
                <w:bCs/>
              </w:rPr>
            </w:pPr>
          </w:p>
        </w:tc>
        <w:tc>
          <w:tcPr>
            <w:tcW w:w="1597" w:type="dxa"/>
            <w:shd w:val="clear" w:color="auto" w:fill="D9D9D9" w:themeFill="background1" w:themeFillShade="D9"/>
            <w:noWrap/>
            <w:hideMark/>
          </w:tcPr>
          <w:p w14:paraId="41ACBF75" w14:textId="77777777" w:rsidR="006F259C" w:rsidRPr="00A46F57" w:rsidRDefault="000F5B51" w:rsidP="00343F45">
            <w:pPr>
              <w:spacing w:line="240" w:lineRule="auto"/>
              <w:rPr>
                <w:b/>
                <w:bCs/>
              </w:rPr>
            </w:pPr>
            <w:r w:rsidRPr="00A46F57">
              <w:rPr>
                <w:b/>
                <w:bCs/>
              </w:rPr>
              <w:t>Fatality</w:t>
            </w:r>
          </w:p>
        </w:tc>
        <w:tc>
          <w:tcPr>
            <w:tcW w:w="2053" w:type="dxa"/>
            <w:noWrap/>
            <w:vAlign w:val="center"/>
          </w:tcPr>
          <w:p w14:paraId="1B39D049" w14:textId="77777777" w:rsidR="006F259C" w:rsidRPr="00A46F57" w:rsidRDefault="000F5B51" w:rsidP="00343F45">
            <w:pPr>
              <w:spacing w:line="240" w:lineRule="auto"/>
              <w:jc w:val="center"/>
            </w:pPr>
            <w:r>
              <w:rPr>
                <w:color w:val="000000"/>
              </w:rPr>
              <w:t>4.82</w:t>
            </w:r>
          </w:p>
        </w:tc>
        <w:tc>
          <w:tcPr>
            <w:tcW w:w="2054" w:type="dxa"/>
            <w:vAlign w:val="center"/>
          </w:tcPr>
          <w:p w14:paraId="13F83FC3" w14:textId="77777777" w:rsidR="006F259C" w:rsidRPr="00A46F57" w:rsidRDefault="000F5B51" w:rsidP="00343F45">
            <w:pPr>
              <w:spacing w:line="240" w:lineRule="auto"/>
              <w:jc w:val="center"/>
            </w:pPr>
            <w:r w:rsidRPr="00C83AB8">
              <w:t>4.02</w:t>
            </w:r>
          </w:p>
        </w:tc>
        <w:tc>
          <w:tcPr>
            <w:tcW w:w="2054" w:type="dxa"/>
            <w:vAlign w:val="center"/>
          </w:tcPr>
          <w:p w14:paraId="35B2DB01" w14:textId="77777777" w:rsidR="006F259C" w:rsidRPr="00A46F57" w:rsidRDefault="000F5B51" w:rsidP="00343F45">
            <w:pPr>
              <w:spacing w:line="240" w:lineRule="auto"/>
              <w:jc w:val="center"/>
            </w:pPr>
            <w:r w:rsidRPr="00C83AB8">
              <w:t>3.28</w:t>
            </w:r>
          </w:p>
        </w:tc>
      </w:tr>
      <w:tr w:rsidR="00A15C2C" w14:paraId="4EA28E21" w14:textId="77777777" w:rsidTr="00343F45">
        <w:trPr>
          <w:trHeight w:val="320"/>
        </w:trPr>
        <w:tc>
          <w:tcPr>
            <w:tcW w:w="1592" w:type="dxa"/>
            <w:vMerge w:val="restart"/>
            <w:shd w:val="clear" w:color="auto" w:fill="D9D9D9" w:themeFill="background1" w:themeFillShade="D9"/>
            <w:noWrap/>
            <w:vAlign w:val="center"/>
            <w:hideMark/>
          </w:tcPr>
          <w:p w14:paraId="779FA769" w14:textId="77777777" w:rsidR="006F259C" w:rsidRPr="00A46F57" w:rsidRDefault="000F5B51" w:rsidP="00343F45">
            <w:pPr>
              <w:spacing w:line="240" w:lineRule="auto"/>
              <w:rPr>
                <w:b/>
                <w:bCs/>
              </w:rPr>
            </w:pPr>
            <w:r w:rsidRPr="006D7613">
              <w:rPr>
                <w:b/>
                <w:bCs/>
              </w:rPr>
              <w:t>LTV</w:t>
            </w:r>
          </w:p>
        </w:tc>
        <w:tc>
          <w:tcPr>
            <w:tcW w:w="1597" w:type="dxa"/>
            <w:shd w:val="clear" w:color="auto" w:fill="D9D9D9" w:themeFill="background1" w:themeFillShade="D9"/>
            <w:noWrap/>
            <w:hideMark/>
          </w:tcPr>
          <w:p w14:paraId="42E66FD0" w14:textId="77777777" w:rsidR="006F259C" w:rsidRPr="00A46F57" w:rsidRDefault="000F5B51" w:rsidP="00343F45">
            <w:pPr>
              <w:spacing w:line="240" w:lineRule="auto"/>
            </w:pPr>
            <w:r w:rsidRPr="00A46F57">
              <w:t>MAIS 1</w:t>
            </w:r>
          </w:p>
        </w:tc>
        <w:tc>
          <w:tcPr>
            <w:tcW w:w="2053" w:type="dxa"/>
            <w:noWrap/>
            <w:vAlign w:val="center"/>
          </w:tcPr>
          <w:p w14:paraId="1D5C6464" w14:textId="77777777" w:rsidR="006F259C" w:rsidRPr="00A46F57" w:rsidRDefault="000F5B51" w:rsidP="00343F45">
            <w:pPr>
              <w:spacing w:line="240" w:lineRule="auto"/>
              <w:jc w:val="center"/>
            </w:pPr>
            <w:r>
              <w:rPr>
                <w:color w:val="000000"/>
              </w:rPr>
              <w:t>1.39</w:t>
            </w:r>
          </w:p>
        </w:tc>
        <w:tc>
          <w:tcPr>
            <w:tcW w:w="2054" w:type="dxa"/>
            <w:vAlign w:val="center"/>
          </w:tcPr>
          <w:p w14:paraId="7C842465" w14:textId="77777777" w:rsidR="006F259C" w:rsidRPr="00A46F57" w:rsidRDefault="000F5B51" w:rsidP="00343F45">
            <w:pPr>
              <w:spacing w:line="240" w:lineRule="auto"/>
              <w:jc w:val="center"/>
            </w:pPr>
            <w:r w:rsidRPr="004A035F">
              <w:t>1.13</w:t>
            </w:r>
          </w:p>
        </w:tc>
        <w:tc>
          <w:tcPr>
            <w:tcW w:w="2054" w:type="dxa"/>
            <w:vAlign w:val="center"/>
          </w:tcPr>
          <w:p w14:paraId="74752F40" w14:textId="77777777" w:rsidR="006F259C" w:rsidRPr="00A46F57" w:rsidRDefault="000F5B51" w:rsidP="00343F45">
            <w:pPr>
              <w:spacing w:line="240" w:lineRule="auto"/>
              <w:jc w:val="center"/>
            </w:pPr>
            <w:r w:rsidRPr="004A035F">
              <w:t>0.91</w:t>
            </w:r>
          </w:p>
        </w:tc>
      </w:tr>
      <w:tr w:rsidR="00A15C2C" w14:paraId="0E4035D7" w14:textId="77777777" w:rsidTr="00343F45">
        <w:trPr>
          <w:trHeight w:val="320"/>
        </w:trPr>
        <w:tc>
          <w:tcPr>
            <w:tcW w:w="1592" w:type="dxa"/>
            <w:vMerge/>
            <w:shd w:val="clear" w:color="auto" w:fill="D9D9D9" w:themeFill="background1" w:themeFillShade="D9"/>
            <w:noWrap/>
            <w:hideMark/>
          </w:tcPr>
          <w:p w14:paraId="4D3366C6" w14:textId="77777777" w:rsidR="006F259C" w:rsidRPr="00A46F57" w:rsidRDefault="006F259C" w:rsidP="00343F45"/>
        </w:tc>
        <w:tc>
          <w:tcPr>
            <w:tcW w:w="1597" w:type="dxa"/>
            <w:shd w:val="clear" w:color="auto" w:fill="D9D9D9" w:themeFill="background1" w:themeFillShade="D9"/>
            <w:noWrap/>
            <w:hideMark/>
          </w:tcPr>
          <w:p w14:paraId="47FA8B27" w14:textId="77777777" w:rsidR="006F259C" w:rsidRPr="00A46F57" w:rsidRDefault="000F5B51" w:rsidP="00343F45">
            <w:pPr>
              <w:spacing w:line="240" w:lineRule="auto"/>
            </w:pPr>
            <w:r w:rsidRPr="00A46F57">
              <w:t>MAIS 2</w:t>
            </w:r>
          </w:p>
        </w:tc>
        <w:tc>
          <w:tcPr>
            <w:tcW w:w="2053" w:type="dxa"/>
            <w:noWrap/>
            <w:vAlign w:val="center"/>
          </w:tcPr>
          <w:p w14:paraId="71B92D1C" w14:textId="77777777" w:rsidR="006F259C" w:rsidRPr="00A46F57" w:rsidRDefault="000F5B51" w:rsidP="00343F45">
            <w:pPr>
              <w:spacing w:line="240" w:lineRule="auto"/>
              <w:jc w:val="center"/>
            </w:pPr>
            <w:r>
              <w:rPr>
                <w:color w:val="000000"/>
              </w:rPr>
              <w:t>6.59</w:t>
            </w:r>
          </w:p>
        </w:tc>
        <w:tc>
          <w:tcPr>
            <w:tcW w:w="2054" w:type="dxa"/>
            <w:vAlign w:val="center"/>
          </w:tcPr>
          <w:p w14:paraId="6804721F" w14:textId="77777777" w:rsidR="006F259C" w:rsidRPr="00A46F57" w:rsidRDefault="000F5B51" w:rsidP="00343F45">
            <w:pPr>
              <w:spacing w:line="240" w:lineRule="auto"/>
              <w:jc w:val="center"/>
            </w:pPr>
            <w:r w:rsidRPr="004A035F">
              <w:t>5.37</w:t>
            </w:r>
          </w:p>
        </w:tc>
        <w:tc>
          <w:tcPr>
            <w:tcW w:w="2054" w:type="dxa"/>
            <w:vAlign w:val="center"/>
          </w:tcPr>
          <w:p w14:paraId="0D9AFF48" w14:textId="77777777" w:rsidR="006F259C" w:rsidRPr="00A46F57" w:rsidRDefault="000F5B51" w:rsidP="00343F45">
            <w:pPr>
              <w:spacing w:line="240" w:lineRule="auto"/>
              <w:jc w:val="center"/>
            </w:pPr>
            <w:r w:rsidRPr="004A035F">
              <w:t>4.33</w:t>
            </w:r>
          </w:p>
        </w:tc>
      </w:tr>
      <w:tr w:rsidR="00A15C2C" w14:paraId="46B443DA" w14:textId="77777777" w:rsidTr="00343F45">
        <w:trPr>
          <w:trHeight w:val="320"/>
        </w:trPr>
        <w:tc>
          <w:tcPr>
            <w:tcW w:w="1592" w:type="dxa"/>
            <w:vMerge/>
            <w:shd w:val="clear" w:color="auto" w:fill="D9D9D9" w:themeFill="background1" w:themeFillShade="D9"/>
            <w:noWrap/>
            <w:hideMark/>
          </w:tcPr>
          <w:p w14:paraId="505E33EC" w14:textId="77777777" w:rsidR="006F259C" w:rsidRPr="00A46F57" w:rsidRDefault="006F259C" w:rsidP="00343F45"/>
        </w:tc>
        <w:tc>
          <w:tcPr>
            <w:tcW w:w="1597" w:type="dxa"/>
            <w:shd w:val="clear" w:color="auto" w:fill="D9D9D9" w:themeFill="background1" w:themeFillShade="D9"/>
            <w:noWrap/>
            <w:hideMark/>
          </w:tcPr>
          <w:p w14:paraId="48FAD520" w14:textId="77777777" w:rsidR="006F259C" w:rsidRPr="00A46F57" w:rsidRDefault="000F5B51" w:rsidP="00343F45">
            <w:pPr>
              <w:spacing w:line="240" w:lineRule="auto"/>
            </w:pPr>
            <w:r w:rsidRPr="00A46F57">
              <w:t>MAIS 3</w:t>
            </w:r>
          </w:p>
        </w:tc>
        <w:tc>
          <w:tcPr>
            <w:tcW w:w="2053" w:type="dxa"/>
            <w:noWrap/>
            <w:vAlign w:val="center"/>
          </w:tcPr>
          <w:p w14:paraId="59CF1825" w14:textId="77777777" w:rsidR="006F259C" w:rsidRPr="00A46F57" w:rsidRDefault="000F5B51" w:rsidP="00343F45">
            <w:pPr>
              <w:spacing w:line="240" w:lineRule="auto"/>
              <w:jc w:val="center"/>
            </w:pPr>
            <w:r>
              <w:rPr>
                <w:color w:val="000000"/>
              </w:rPr>
              <w:t>0.05</w:t>
            </w:r>
          </w:p>
        </w:tc>
        <w:tc>
          <w:tcPr>
            <w:tcW w:w="2054" w:type="dxa"/>
            <w:vAlign w:val="center"/>
          </w:tcPr>
          <w:p w14:paraId="78DE3661" w14:textId="77777777" w:rsidR="006F259C" w:rsidRPr="00A46F57" w:rsidRDefault="000F5B51" w:rsidP="00343F45">
            <w:pPr>
              <w:spacing w:line="240" w:lineRule="auto"/>
              <w:jc w:val="center"/>
            </w:pPr>
            <w:r w:rsidRPr="004A035F">
              <w:t>0.03</w:t>
            </w:r>
          </w:p>
        </w:tc>
        <w:tc>
          <w:tcPr>
            <w:tcW w:w="2054" w:type="dxa"/>
            <w:vAlign w:val="center"/>
          </w:tcPr>
          <w:p w14:paraId="7FD91980" w14:textId="77777777" w:rsidR="006F259C" w:rsidRPr="00A46F57" w:rsidRDefault="000F5B51" w:rsidP="00343F45">
            <w:pPr>
              <w:spacing w:line="240" w:lineRule="auto"/>
              <w:jc w:val="center"/>
            </w:pPr>
            <w:r w:rsidRPr="004A035F">
              <w:t>0.03</w:t>
            </w:r>
          </w:p>
        </w:tc>
      </w:tr>
      <w:tr w:rsidR="00A15C2C" w14:paraId="6583A809" w14:textId="77777777" w:rsidTr="00343F45">
        <w:trPr>
          <w:trHeight w:val="320"/>
        </w:trPr>
        <w:tc>
          <w:tcPr>
            <w:tcW w:w="1592" w:type="dxa"/>
            <w:vMerge/>
            <w:shd w:val="clear" w:color="auto" w:fill="D9D9D9" w:themeFill="background1" w:themeFillShade="D9"/>
            <w:noWrap/>
            <w:hideMark/>
          </w:tcPr>
          <w:p w14:paraId="0C9BE1E2" w14:textId="77777777" w:rsidR="006F259C" w:rsidRPr="00A46F57" w:rsidRDefault="006F259C" w:rsidP="00343F45"/>
        </w:tc>
        <w:tc>
          <w:tcPr>
            <w:tcW w:w="1597" w:type="dxa"/>
            <w:shd w:val="clear" w:color="auto" w:fill="D9D9D9" w:themeFill="background1" w:themeFillShade="D9"/>
            <w:noWrap/>
            <w:hideMark/>
          </w:tcPr>
          <w:p w14:paraId="53354CDA" w14:textId="77777777" w:rsidR="006F259C" w:rsidRPr="00A46F57" w:rsidRDefault="000F5B51" w:rsidP="00343F45">
            <w:pPr>
              <w:spacing w:line="240" w:lineRule="auto"/>
            </w:pPr>
            <w:r w:rsidRPr="00A46F57">
              <w:t>MAIS 4</w:t>
            </w:r>
          </w:p>
        </w:tc>
        <w:tc>
          <w:tcPr>
            <w:tcW w:w="2053" w:type="dxa"/>
            <w:noWrap/>
            <w:vAlign w:val="center"/>
          </w:tcPr>
          <w:p w14:paraId="3ED2386A" w14:textId="77777777" w:rsidR="006F259C" w:rsidRPr="00A46F57" w:rsidRDefault="000F5B51" w:rsidP="00343F45">
            <w:pPr>
              <w:spacing w:line="240" w:lineRule="auto"/>
              <w:jc w:val="center"/>
            </w:pPr>
            <w:r>
              <w:rPr>
                <w:color w:val="000000"/>
              </w:rPr>
              <w:t>0.31</w:t>
            </w:r>
          </w:p>
        </w:tc>
        <w:tc>
          <w:tcPr>
            <w:tcW w:w="2054" w:type="dxa"/>
            <w:vAlign w:val="center"/>
          </w:tcPr>
          <w:p w14:paraId="21CAFF98" w14:textId="77777777" w:rsidR="006F259C" w:rsidRPr="00A46F57" w:rsidRDefault="000F5B51" w:rsidP="00343F45">
            <w:pPr>
              <w:spacing w:line="240" w:lineRule="auto"/>
              <w:jc w:val="center"/>
            </w:pPr>
            <w:r w:rsidRPr="004A035F">
              <w:t>0.26</w:t>
            </w:r>
          </w:p>
        </w:tc>
        <w:tc>
          <w:tcPr>
            <w:tcW w:w="2054" w:type="dxa"/>
            <w:vAlign w:val="center"/>
          </w:tcPr>
          <w:p w14:paraId="03BC2FD5" w14:textId="77777777" w:rsidR="006F259C" w:rsidRPr="00A46F57" w:rsidRDefault="000F5B51" w:rsidP="00343F45">
            <w:pPr>
              <w:spacing w:line="240" w:lineRule="auto"/>
              <w:jc w:val="center"/>
            </w:pPr>
            <w:r w:rsidRPr="004A035F">
              <w:t>0.21</w:t>
            </w:r>
          </w:p>
        </w:tc>
      </w:tr>
      <w:tr w:rsidR="00A15C2C" w14:paraId="055A0267" w14:textId="77777777" w:rsidTr="00343F45">
        <w:trPr>
          <w:trHeight w:val="320"/>
        </w:trPr>
        <w:tc>
          <w:tcPr>
            <w:tcW w:w="1592" w:type="dxa"/>
            <w:vMerge/>
            <w:shd w:val="clear" w:color="auto" w:fill="D9D9D9" w:themeFill="background1" w:themeFillShade="D9"/>
            <w:noWrap/>
            <w:hideMark/>
          </w:tcPr>
          <w:p w14:paraId="06D2612D" w14:textId="77777777" w:rsidR="006F259C" w:rsidRPr="00A46F57" w:rsidRDefault="006F259C" w:rsidP="00343F45"/>
        </w:tc>
        <w:tc>
          <w:tcPr>
            <w:tcW w:w="1597" w:type="dxa"/>
            <w:shd w:val="clear" w:color="auto" w:fill="D9D9D9" w:themeFill="background1" w:themeFillShade="D9"/>
            <w:noWrap/>
            <w:hideMark/>
          </w:tcPr>
          <w:p w14:paraId="4FE6B125" w14:textId="77777777" w:rsidR="006F259C" w:rsidRPr="00A46F57" w:rsidRDefault="000F5B51" w:rsidP="00343F45">
            <w:pPr>
              <w:spacing w:line="240" w:lineRule="auto"/>
            </w:pPr>
            <w:r w:rsidRPr="00A46F57">
              <w:t>MAIS 5</w:t>
            </w:r>
          </w:p>
        </w:tc>
        <w:tc>
          <w:tcPr>
            <w:tcW w:w="2053" w:type="dxa"/>
            <w:noWrap/>
            <w:vAlign w:val="center"/>
          </w:tcPr>
          <w:p w14:paraId="6026C250" w14:textId="77777777" w:rsidR="006F259C" w:rsidRPr="00A46F57" w:rsidRDefault="000F5B51" w:rsidP="00343F45">
            <w:pPr>
              <w:spacing w:line="240" w:lineRule="auto"/>
              <w:jc w:val="center"/>
            </w:pPr>
            <w:r>
              <w:rPr>
                <w:color w:val="000000"/>
              </w:rPr>
              <w:t>0.02</w:t>
            </w:r>
          </w:p>
        </w:tc>
        <w:tc>
          <w:tcPr>
            <w:tcW w:w="2054" w:type="dxa"/>
            <w:vAlign w:val="center"/>
          </w:tcPr>
          <w:p w14:paraId="49F96A27" w14:textId="77777777" w:rsidR="006F259C" w:rsidRPr="00A46F57" w:rsidRDefault="000F5B51" w:rsidP="00343F45">
            <w:pPr>
              <w:spacing w:line="240" w:lineRule="auto"/>
              <w:jc w:val="center"/>
            </w:pPr>
            <w:r w:rsidRPr="004A035F">
              <w:t>0.02</w:t>
            </w:r>
          </w:p>
        </w:tc>
        <w:tc>
          <w:tcPr>
            <w:tcW w:w="2054" w:type="dxa"/>
            <w:vAlign w:val="center"/>
          </w:tcPr>
          <w:p w14:paraId="006A3403" w14:textId="77777777" w:rsidR="006F259C" w:rsidRPr="00A46F57" w:rsidRDefault="000F5B51" w:rsidP="00343F45">
            <w:pPr>
              <w:spacing w:line="240" w:lineRule="auto"/>
              <w:jc w:val="center"/>
            </w:pPr>
            <w:r w:rsidRPr="004A035F">
              <w:t>0.02</w:t>
            </w:r>
          </w:p>
        </w:tc>
      </w:tr>
      <w:tr w:rsidR="00A15C2C" w14:paraId="4DC1FE50" w14:textId="77777777" w:rsidTr="00343F45">
        <w:trPr>
          <w:trHeight w:val="310"/>
        </w:trPr>
        <w:tc>
          <w:tcPr>
            <w:tcW w:w="1592" w:type="dxa"/>
            <w:vMerge/>
            <w:shd w:val="clear" w:color="auto" w:fill="D9D9D9" w:themeFill="background1" w:themeFillShade="D9"/>
            <w:noWrap/>
            <w:hideMark/>
          </w:tcPr>
          <w:p w14:paraId="691ADC71" w14:textId="77777777" w:rsidR="006F259C" w:rsidRPr="00A46F57" w:rsidRDefault="006F259C" w:rsidP="00343F45"/>
        </w:tc>
        <w:tc>
          <w:tcPr>
            <w:tcW w:w="1597" w:type="dxa"/>
            <w:shd w:val="clear" w:color="auto" w:fill="D9D9D9" w:themeFill="background1" w:themeFillShade="D9"/>
            <w:noWrap/>
            <w:hideMark/>
          </w:tcPr>
          <w:p w14:paraId="4687DB23" w14:textId="77777777" w:rsidR="006F259C" w:rsidRPr="00A46F57" w:rsidRDefault="000F5B51" w:rsidP="00343F45">
            <w:pPr>
              <w:spacing w:line="240" w:lineRule="auto"/>
              <w:rPr>
                <w:b/>
                <w:bCs/>
              </w:rPr>
            </w:pPr>
            <w:r w:rsidRPr="00A46F57">
              <w:rPr>
                <w:b/>
                <w:bCs/>
              </w:rPr>
              <w:t>Fatality</w:t>
            </w:r>
          </w:p>
        </w:tc>
        <w:tc>
          <w:tcPr>
            <w:tcW w:w="2053" w:type="dxa"/>
            <w:noWrap/>
            <w:vAlign w:val="center"/>
          </w:tcPr>
          <w:p w14:paraId="64EEA082" w14:textId="77777777" w:rsidR="006F259C" w:rsidRPr="00A46F57" w:rsidRDefault="000F5B51" w:rsidP="00343F45">
            <w:pPr>
              <w:spacing w:line="240" w:lineRule="auto"/>
              <w:jc w:val="center"/>
            </w:pPr>
            <w:r>
              <w:rPr>
                <w:color w:val="000000"/>
              </w:rPr>
              <w:t>6.56</w:t>
            </w:r>
          </w:p>
        </w:tc>
        <w:tc>
          <w:tcPr>
            <w:tcW w:w="2054" w:type="dxa"/>
            <w:vAlign w:val="center"/>
          </w:tcPr>
          <w:p w14:paraId="3190906A" w14:textId="77777777" w:rsidR="006F259C" w:rsidRPr="00A46F57" w:rsidRDefault="000F5B51" w:rsidP="00343F45">
            <w:pPr>
              <w:spacing w:line="240" w:lineRule="auto"/>
              <w:jc w:val="center"/>
            </w:pPr>
            <w:r w:rsidRPr="004A035F">
              <w:t>5.39</w:t>
            </w:r>
          </w:p>
        </w:tc>
        <w:tc>
          <w:tcPr>
            <w:tcW w:w="2054" w:type="dxa"/>
            <w:vAlign w:val="center"/>
          </w:tcPr>
          <w:p w14:paraId="12010FA6" w14:textId="77777777" w:rsidR="006F259C" w:rsidRPr="00A46F57" w:rsidRDefault="000F5B51" w:rsidP="00343F45">
            <w:pPr>
              <w:spacing w:line="240" w:lineRule="auto"/>
              <w:jc w:val="center"/>
            </w:pPr>
            <w:r w:rsidRPr="004A035F">
              <w:t>4.34</w:t>
            </w:r>
          </w:p>
        </w:tc>
      </w:tr>
    </w:tbl>
    <w:p w14:paraId="264626F2" w14:textId="77777777" w:rsidR="006F259C" w:rsidRDefault="000F5B51" w:rsidP="006F259C">
      <w:pPr>
        <w:pStyle w:val="Caption"/>
        <w:jc w:val="left"/>
        <w:rPr>
          <w:sz w:val="18"/>
          <w:szCs w:val="16"/>
        </w:rPr>
      </w:pPr>
      <w:r w:rsidRPr="00572735">
        <w:rPr>
          <w:sz w:val="18"/>
          <w:szCs w:val="16"/>
        </w:rPr>
        <w:t>Note: Values may not sum due to rounding</w:t>
      </w:r>
      <w:r>
        <w:rPr>
          <w:sz w:val="18"/>
          <w:szCs w:val="16"/>
        </w:rPr>
        <w:t>.</w:t>
      </w:r>
    </w:p>
    <w:p w14:paraId="6C50CA42" w14:textId="77777777" w:rsidR="006F259C" w:rsidRPr="00897AED" w:rsidRDefault="006F259C" w:rsidP="006F259C">
      <w:pPr>
        <w:pStyle w:val="NoSpaceTimes"/>
      </w:pPr>
    </w:p>
    <w:p w14:paraId="726C3697" w14:textId="4AF5D663" w:rsidR="006F259C" w:rsidRPr="00D01142" w:rsidRDefault="000F5B51" w:rsidP="006F259C">
      <w:pPr>
        <w:pStyle w:val="Caption"/>
      </w:pPr>
      <w:r>
        <w:t xml:space="preserve">Table </w:t>
      </w:r>
      <w:r w:rsidR="00115BAB">
        <w:fldChar w:fldCharType="begin"/>
      </w:r>
      <w:r>
        <w:instrText xml:space="preserve"> SEQ Table \* ARABIC </w:instrText>
      </w:r>
      <w:r w:rsidR="00115BAB">
        <w:fldChar w:fldCharType="separate"/>
      </w:r>
      <w:r w:rsidR="00A65CB3">
        <w:rPr>
          <w:noProof/>
        </w:rPr>
        <w:t>156</w:t>
      </w:r>
      <w:r w:rsidR="00115BAB">
        <w:rPr>
          <w:noProof/>
        </w:rPr>
        <w:fldChar w:fldCharType="end"/>
      </w:r>
      <w:r>
        <w:t xml:space="preserve">: </w:t>
      </w:r>
      <w:r w:rsidRPr="00C021D8">
        <w:t xml:space="preserve">Calculation of </w:t>
      </w:r>
      <w:r w:rsidRPr="00471AE9">
        <w:t>Equivalent Lives Saved</w:t>
      </w:r>
      <w:r w:rsidRPr="00C021D8">
        <w:t xml:space="preserve"> for Drivers</w:t>
      </w:r>
    </w:p>
    <w:tbl>
      <w:tblPr>
        <w:tblStyle w:val="TableGrid3"/>
        <w:tblW w:w="9349" w:type="dxa"/>
        <w:tblLayout w:type="fixed"/>
        <w:tblLook w:val="04A0" w:firstRow="1" w:lastRow="0" w:firstColumn="1" w:lastColumn="0" w:noHBand="0" w:noVBand="1"/>
      </w:tblPr>
      <w:tblGrid>
        <w:gridCol w:w="1592"/>
        <w:gridCol w:w="1597"/>
        <w:gridCol w:w="2053"/>
        <w:gridCol w:w="2053"/>
        <w:gridCol w:w="2054"/>
      </w:tblGrid>
      <w:tr w:rsidR="00A15C2C" w14:paraId="6238A43C" w14:textId="77777777" w:rsidTr="00343F45">
        <w:trPr>
          <w:trHeight w:val="1380"/>
        </w:trPr>
        <w:tc>
          <w:tcPr>
            <w:tcW w:w="1592" w:type="dxa"/>
            <w:shd w:val="clear" w:color="auto" w:fill="D9D9D9" w:themeFill="background1" w:themeFillShade="D9"/>
            <w:noWrap/>
            <w:vAlign w:val="center"/>
            <w:hideMark/>
          </w:tcPr>
          <w:p w14:paraId="3C773F5C" w14:textId="77777777" w:rsidR="006F259C" w:rsidRPr="00A46F57" w:rsidRDefault="000F5B51" w:rsidP="00343F45">
            <w:pPr>
              <w:spacing w:line="240" w:lineRule="auto"/>
              <w:rPr>
                <w:b/>
                <w:bCs/>
              </w:rPr>
            </w:pPr>
            <w:r w:rsidRPr="006D7613">
              <w:rPr>
                <w:b/>
                <w:bCs/>
              </w:rPr>
              <w:t>Vehicle Type</w:t>
            </w:r>
          </w:p>
        </w:tc>
        <w:tc>
          <w:tcPr>
            <w:tcW w:w="1597" w:type="dxa"/>
            <w:shd w:val="clear" w:color="auto" w:fill="D9D9D9" w:themeFill="background1" w:themeFillShade="D9"/>
            <w:noWrap/>
            <w:hideMark/>
          </w:tcPr>
          <w:p w14:paraId="45C673AE" w14:textId="77777777" w:rsidR="006F259C" w:rsidRPr="007F6FCD" w:rsidRDefault="000F5B51" w:rsidP="00343F45">
            <w:pPr>
              <w:spacing w:line="240" w:lineRule="auto"/>
              <w:rPr>
                <w:b/>
                <w:bCs/>
              </w:rPr>
            </w:pPr>
            <w:r w:rsidRPr="00A46F57">
              <w:rPr>
                <w:b/>
                <w:bCs/>
              </w:rPr>
              <w:t> </w:t>
            </w:r>
          </w:p>
          <w:p w14:paraId="6950AA15" w14:textId="77777777" w:rsidR="006F259C" w:rsidRPr="00A46F57" w:rsidRDefault="000F5B51" w:rsidP="00343F45">
            <w:pPr>
              <w:spacing w:line="240" w:lineRule="auto"/>
              <w:rPr>
                <w:b/>
                <w:bCs/>
              </w:rPr>
            </w:pPr>
            <w:r w:rsidRPr="00A46F57">
              <w:rPr>
                <w:b/>
                <w:bCs/>
              </w:rPr>
              <w:t xml:space="preserve">Injury Severity </w:t>
            </w:r>
          </w:p>
        </w:tc>
        <w:tc>
          <w:tcPr>
            <w:tcW w:w="2053" w:type="dxa"/>
            <w:shd w:val="clear" w:color="auto" w:fill="D9D9D9" w:themeFill="background1" w:themeFillShade="D9"/>
            <w:vAlign w:val="center"/>
          </w:tcPr>
          <w:p w14:paraId="5699D998" w14:textId="77777777" w:rsidR="006F259C" w:rsidRPr="00A46F57" w:rsidRDefault="000F5B51" w:rsidP="00343F45">
            <w:pPr>
              <w:spacing w:line="240" w:lineRule="auto"/>
              <w:jc w:val="center"/>
              <w:rPr>
                <w:b/>
                <w:bCs/>
              </w:rPr>
            </w:pPr>
            <w:r w:rsidRPr="007F6FCD">
              <w:rPr>
                <w:b/>
                <w:bCs/>
              </w:rPr>
              <w:t xml:space="preserve">Undiscounted </w:t>
            </w:r>
            <w:r w:rsidRPr="00A46F57">
              <w:rPr>
                <w:b/>
                <w:bCs/>
              </w:rPr>
              <w:t>Incremental Benefits</w:t>
            </w:r>
          </w:p>
        </w:tc>
        <w:tc>
          <w:tcPr>
            <w:tcW w:w="2053" w:type="dxa"/>
            <w:shd w:val="clear" w:color="auto" w:fill="D9D9D9" w:themeFill="background1" w:themeFillShade="D9"/>
            <w:noWrap/>
            <w:vAlign w:val="center"/>
          </w:tcPr>
          <w:p w14:paraId="673D809F" w14:textId="77777777" w:rsidR="006F259C" w:rsidRPr="00A46F57" w:rsidRDefault="000F5B51" w:rsidP="00343F45">
            <w:pPr>
              <w:spacing w:line="240" w:lineRule="auto"/>
              <w:jc w:val="center"/>
              <w:rPr>
                <w:b/>
                <w:bCs/>
              </w:rPr>
            </w:pPr>
            <w:r w:rsidRPr="006163DB">
              <w:rPr>
                <w:rFonts w:eastAsia="Times New Roman" w:cs="Times New Roman"/>
                <w:b/>
                <w:bCs/>
              </w:rPr>
              <w:t>Relative Disutility Factors</w:t>
            </w:r>
          </w:p>
        </w:tc>
        <w:tc>
          <w:tcPr>
            <w:tcW w:w="2054" w:type="dxa"/>
            <w:shd w:val="clear" w:color="auto" w:fill="D9D9D9" w:themeFill="background1" w:themeFillShade="D9"/>
            <w:vAlign w:val="center"/>
          </w:tcPr>
          <w:p w14:paraId="3D7C3CE3" w14:textId="77777777" w:rsidR="006F259C" w:rsidRPr="007F6FCD" w:rsidRDefault="000F5B51" w:rsidP="00343F45">
            <w:pPr>
              <w:spacing w:line="240" w:lineRule="auto"/>
              <w:jc w:val="center"/>
              <w:rPr>
                <w:b/>
                <w:bCs/>
              </w:rPr>
            </w:pPr>
            <w:r>
              <w:rPr>
                <w:rFonts w:eastAsia="Times New Roman" w:cs="Times New Roman"/>
                <w:b/>
                <w:bCs/>
                <w:color w:val="000000"/>
              </w:rPr>
              <w:t>Equivalent Lives Saved</w:t>
            </w:r>
          </w:p>
        </w:tc>
      </w:tr>
      <w:tr w:rsidR="00503013" w14:paraId="6CF6B2B4" w14:textId="77777777" w:rsidTr="004C5067">
        <w:trPr>
          <w:trHeight w:val="62"/>
        </w:trPr>
        <w:tc>
          <w:tcPr>
            <w:tcW w:w="1592" w:type="dxa"/>
            <w:vMerge w:val="restart"/>
            <w:shd w:val="clear" w:color="auto" w:fill="D9D9D9" w:themeFill="background1" w:themeFillShade="D9"/>
            <w:noWrap/>
            <w:vAlign w:val="center"/>
            <w:hideMark/>
          </w:tcPr>
          <w:p w14:paraId="32016E7C" w14:textId="77777777" w:rsidR="00503013" w:rsidRPr="00A46F57" w:rsidRDefault="00503013" w:rsidP="00503013">
            <w:pPr>
              <w:spacing w:line="240" w:lineRule="auto"/>
              <w:rPr>
                <w:b/>
                <w:bCs/>
              </w:rPr>
            </w:pPr>
            <w:r w:rsidRPr="006D7613">
              <w:rPr>
                <w:b/>
                <w:bCs/>
              </w:rPr>
              <w:t>PC</w:t>
            </w:r>
          </w:p>
        </w:tc>
        <w:tc>
          <w:tcPr>
            <w:tcW w:w="1597" w:type="dxa"/>
            <w:shd w:val="clear" w:color="auto" w:fill="D9D9D9" w:themeFill="background1" w:themeFillShade="D9"/>
            <w:noWrap/>
            <w:hideMark/>
          </w:tcPr>
          <w:p w14:paraId="7BF858F8" w14:textId="77777777" w:rsidR="00503013" w:rsidRPr="00A46F57" w:rsidRDefault="00503013" w:rsidP="00503013">
            <w:pPr>
              <w:spacing w:line="240" w:lineRule="auto"/>
            </w:pPr>
            <w:r w:rsidRPr="00A46F57">
              <w:t>MAIS 1</w:t>
            </w:r>
          </w:p>
        </w:tc>
        <w:tc>
          <w:tcPr>
            <w:tcW w:w="2053" w:type="dxa"/>
            <w:vAlign w:val="center"/>
          </w:tcPr>
          <w:p w14:paraId="017A1EB4" w14:textId="1F599E19" w:rsidR="00503013" w:rsidRPr="00A46F57" w:rsidRDefault="00503013" w:rsidP="00503013">
            <w:pPr>
              <w:spacing w:line="240" w:lineRule="auto"/>
              <w:jc w:val="center"/>
            </w:pPr>
            <w:r>
              <w:rPr>
                <w:color w:val="000000"/>
              </w:rPr>
              <w:t>12.07</w:t>
            </w:r>
          </w:p>
        </w:tc>
        <w:tc>
          <w:tcPr>
            <w:tcW w:w="2053" w:type="dxa"/>
            <w:noWrap/>
            <w:vAlign w:val="center"/>
          </w:tcPr>
          <w:p w14:paraId="44F89590" w14:textId="77777777" w:rsidR="00503013" w:rsidRPr="00A46F57" w:rsidRDefault="00503013" w:rsidP="00503013">
            <w:pPr>
              <w:spacing w:line="240" w:lineRule="auto"/>
              <w:jc w:val="center"/>
            </w:pPr>
            <w:r w:rsidRPr="00572735">
              <w:rPr>
                <w:color w:val="000000"/>
              </w:rPr>
              <w:t>0.0038</w:t>
            </w:r>
          </w:p>
        </w:tc>
        <w:tc>
          <w:tcPr>
            <w:tcW w:w="2054" w:type="dxa"/>
            <w:vAlign w:val="center"/>
          </w:tcPr>
          <w:p w14:paraId="0F8E9BAB" w14:textId="4C12F089" w:rsidR="00503013" w:rsidRPr="00A46F57" w:rsidRDefault="00503013" w:rsidP="00503013">
            <w:pPr>
              <w:spacing w:line="240" w:lineRule="auto"/>
              <w:jc w:val="center"/>
            </w:pPr>
            <w:r>
              <w:rPr>
                <w:color w:val="000000"/>
              </w:rPr>
              <w:t>0.0459</w:t>
            </w:r>
          </w:p>
        </w:tc>
      </w:tr>
      <w:tr w:rsidR="00503013" w14:paraId="7E9071C3" w14:textId="77777777" w:rsidTr="004C5067">
        <w:trPr>
          <w:trHeight w:val="320"/>
        </w:trPr>
        <w:tc>
          <w:tcPr>
            <w:tcW w:w="1592" w:type="dxa"/>
            <w:vMerge/>
            <w:shd w:val="clear" w:color="auto" w:fill="D9D9D9" w:themeFill="background1" w:themeFillShade="D9"/>
            <w:noWrap/>
            <w:vAlign w:val="center"/>
            <w:hideMark/>
          </w:tcPr>
          <w:p w14:paraId="4F329D73" w14:textId="77777777" w:rsidR="00503013" w:rsidRPr="00A46F57" w:rsidRDefault="00503013" w:rsidP="00503013">
            <w:pPr>
              <w:spacing w:line="240" w:lineRule="auto"/>
              <w:rPr>
                <w:b/>
                <w:bCs/>
              </w:rPr>
            </w:pPr>
          </w:p>
        </w:tc>
        <w:tc>
          <w:tcPr>
            <w:tcW w:w="1597" w:type="dxa"/>
            <w:shd w:val="clear" w:color="auto" w:fill="D9D9D9" w:themeFill="background1" w:themeFillShade="D9"/>
            <w:noWrap/>
            <w:hideMark/>
          </w:tcPr>
          <w:p w14:paraId="63CF1A92" w14:textId="77777777" w:rsidR="00503013" w:rsidRPr="00A46F57" w:rsidRDefault="00503013" w:rsidP="00503013">
            <w:pPr>
              <w:spacing w:line="240" w:lineRule="auto"/>
            </w:pPr>
            <w:r w:rsidRPr="00A46F57">
              <w:t>MAIS 2</w:t>
            </w:r>
          </w:p>
        </w:tc>
        <w:tc>
          <w:tcPr>
            <w:tcW w:w="2053" w:type="dxa"/>
            <w:vAlign w:val="center"/>
          </w:tcPr>
          <w:p w14:paraId="1B3B2C0E" w14:textId="0DA28E3D" w:rsidR="00503013" w:rsidRPr="00A46F57" w:rsidRDefault="00503013" w:rsidP="00503013">
            <w:pPr>
              <w:spacing w:line="240" w:lineRule="auto"/>
              <w:jc w:val="center"/>
            </w:pPr>
            <w:r>
              <w:rPr>
                <w:color w:val="000000"/>
              </w:rPr>
              <w:t>77.08</w:t>
            </w:r>
          </w:p>
        </w:tc>
        <w:tc>
          <w:tcPr>
            <w:tcW w:w="2053" w:type="dxa"/>
            <w:noWrap/>
            <w:vAlign w:val="center"/>
          </w:tcPr>
          <w:p w14:paraId="4815E6D5" w14:textId="77777777" w:rsidR="00503013" w:rsidRPr="00A46F57" w:rsidRDefault="00503013" w:rsidP="00503013">
            <w:pPr>
              <w:spacing w:line="240" w:lineRule="auto"/>
              <w:jc w:val="center"/>
            </w:pPr>
            <w:r w:rsidRPr="00572735">
              <w:rPr>
                <w:color w:val="000000"/>
              </w:rPr>
              <w:t>0.0454</w:t>
            </w:r>
          </w:p>
        </w:tc>
        <w:tc>
          <w:tcPr>
            <w:tcW w:w="2054" w:type="dxa"/>
            <w:vAlign w:val="center"/>
          </w:tcPr>
          <w:p w14:paraId="0B4559BD" w14:textId="3037852A" w:rsidR="00503013" w:rsidRPr="00A46F57" w:rsidRDefault="00503013" w:rsidP="00503013">
            <w:pPr>
              <w:spacing w:line="240" w:lineRule="auto"/>
              <w:jc w:val="center"/>
            </w:pPr>
            <w:r>
              <w:rPr>
                <w:color w:val="000000"/>
              </w:rPr>
              <w:t>3.4993</w:t>
            </w:r>
          </w:p>
        </w:tc>
      </w:tr>
      <w:tr w:rsidR="00503013" w14:paraId="41A20D4F" w14:textId="77777777" w:rsidTr="004C5067">
        <w:trPr>
          <w:trHeight w:val="320"/>
        </w:trPr>
        <w:tc>
          <w:tcPr>
            <w:tcW w:w="1592" w:type="dxa"/>
            <w:vMerge/>
            <w:shd w:val="clear" w:color="auto" w:fill="D9D9D9" w:themeFill="background1" w:themeFillShade="D9"/>
            <w:noWrap/>
            <w:vAlign w:val="center"/>
            <w:hideMark/>
          </w:tcPr>
          <w:p w14:paraId="06693856" w14:textId="77777777" w:rsidR="00503013" w:rsidRPr="00A46F57" w:rsidRDefault="00503013" w:rsidP="00503013">
            <w:pPr>
              <w:spacing w:line="240" w:lineRule="auto"/>
              <w:rPr>
                <w:b/>
                <w:bCs/>
              </w:rPr>
            </w:pPr>
          </w:p>
        </w:tc>
        <w:tc>
          <w:tcPr>
            <w:tcW w:w="1597" w:type="dxa"/>
            <w:shd w:val="clear" w:color="auto" w:fill="D9D9D9" w:themeFill="background1" w:themeFillShade="D9"/>
            <w:noWrap/>
            <w:hideMark/>
          </w:tcPr>
          <w:p w14:paraId="0DA2DD57" w14:textId="77777777" w:rsidR="00503013" w:rsidRPr="00A46F57" w:rsidRDefault="00503013" w:rsidP="00503013">
            <w:pPr>
              <w:spacing w:line="240" w:lineRule="auto"/>
            </w:pPr>
            <w:r w:rsidRPr="00A46F57">
              <w:t>MAIS 3</w:t>
            </w:r>
          </w:p>
        </w:tc>
        <w:tc>
          <w:tcPr>
            <w:tcW w:w="2053" w:type="dxa"/>
            <w:vAlign w:val="center"/>
          </w:tcPr>
          <w:p w14:paraId="3C11F885" w14:textId="5CFC6F47" w:rsidR="00503013" w:rsidRPr="00A46F57" w:rsidRDefault="00503013" w:rsidP="00503013">
            <w:pPr>
              <w:spacing w:line="240" w:lineRule="auto"/>
              <w:jc w:val="center"/>
            </w:pPr>
            <w:r>
              <w:rPr>
                <w:color w:val="000000"/>
              </w:rPr>
              <w:t>21.28</w:t>
            </w:r>
          </w:p>
        </w:tc>
        <w:tc>
          <w:tcPr>
            <w:tcW w:w="2053" w:type="dxa"/>
            <w:noWrap/>
            <w:vAlign w:val="center"/>
          </w:tcPr>
          <w:p w14:paraId="1877DCB6" w14:textId="77777777" w:rsidR="00503013" w:rsidRPr="00A46F57" w:rsidRDefault="00503013" w:rsidP="00503013">
            <w:pPr>
              <w:spacing w:line="240" w:lineRule="auto"/>
              <w:jc w:val="center"/>
            </w:pPr>
            <w:r w:rsidRPr="00572735">
              <w:rPr>
                <w:color w:val="000000"/>
              </w:rPr>
              <w:t>0.1078</w:t>
            </w:r>
          </w:p>
        </w:tc>
        <w:tc>
          <w:tcPr>
            <w:tcW w:w="2054" w:type="dxa"/>
            <w:vAlign w:val="center"/>
          </w:tcPr>
          <w:p w14:paraId="495AF627" w14:textId="5B45DA85" w:rsidR="00503013" w:rsidRPr="00A46F57" w:rsidRDefault="00503013" w:rsidP="00503013">
            <w:pPr>
              <w:spacing w:line="240" w:lineRule="auto"/>
              <w:jc w:val="center"/>
            </w:pPr>
            <w:r>
              <w:rPr>
                <w:color w:val="000000"/>
              </w:rPr>
              <w:t>2.2939</w:t>
            </w:r>
          </w:p>
        </w:tc>
      </w:tr>
      <w:tr w:rsidR="00503013" w14:paraId="3222E60B" w14:textId="77777777" w:rsidTr="004C5067">
        <w:trPr>
          <w:trHeight w:val="320"/>
        </w:trPr>
        <w:tc>
          <w:tcPr>
            <w:tcW w:w="1592" w:type="dxa"/>
            <w:vMerge/>
            <w:shd w:val="clear" w:color="auto" w:fill="D9D9D9" w:themeFill="background1" w:themeFillShade="D9"/>
            <w:noWrap/>
            <w:vAlign w:val="center"/>
            <w:hideMark/>
          </w:tcPr>
          <w:p w14:paraId="00E5730F" w14:textId="77777777" w:rsidR="00503013" w:rsidRPr="00A46F57" w:rsidRDefault="00503013" w:rsidP="00503013">
            <w:pPr>
              <w:spacing w:line="240" w:lineRule="auto"/>
              <w:rPr>
                <w:b/>
                <w:bCs/>
              </w:rPr>
            </w:pPr>
          </w:p>
        </w:tc>
        <w:tc>
          <w:tcPr>
            <w:tcW w:w="1597" w:type="dxa"/>
            <w:shd w:val="clear" w:color="auto" w:fill="D9D9D9" w:themeFill="background1" w:themeFillShade="D9"/>
            <w:noWrap/>
            <w:hideMark/>
          </w:tcPr>
          <w:p w14:paraId="7D7BB460" w14:textId="77777777" w:rsidR="00503013" w:rsidRPr="00A46F57" w:rsidRDefault="00503013" w:rsidP="00503013">
            <w:pPr>
              <w:spacing w:line="240" w:lineRule="auto"/>
            </w:pPr>
            <w:r w:rsidRPr="00A46F57">
              <w:t>MAIS 4</w:t>
            </w:r>
          </w:p>
        </w:tc>
        <w:tc>
          <w:tcPr>
            <w:tcW w:w="2053" w:type="dxa"/>
            <w:vAlign w:val="center"/>
          </w:tcPr>
          <w:p w14:paraId="0DC3D458" w14:textId="21DD1774" w:rsidR="00503013" w:rsidRPr="00A46F57" w:rsidRDefault="00503013" w:rsidP="00503013">
            <w:pPr>
              <w:spacing w:line="240" w:lineRule="auto"/>
              <w:jc w:val="center"/>
            </w:pPr>
            <w:r>
              <w:rPr>
                <w:color w:val="000000"/>
              </w:rPr>
              <w:t>15.40</w:t>
            </w:r>
          </w:p>
        </w:tc>
        <w:tc>
          <w:tcPr>
            <w:tcW w:w="2053" w:type="dxa"/>
            <w:noWrap/>
            <w:vAlign w:val="center"/>
          </w:tcPr>
          <w:p w14:paraId="2CB5F096" w14:textId="77777777" w:rsidR="00503013" w:rsidRPr="00A46F57" w:rsidRDefault="00503013" w:rsidP="00503013">
            <w:pPr>
              <w:spacing w:line="240" w:lineRule="auto"/>
              <w:jc w:val="center"/>
            </w:pPr>
            <w:r w:rsidRPr="00572735">
              <w:rPr>
                <w:color w:val="000000"/>
              </w:rPr>
              <w:t>0.2677</w:t>
            </w:r>
          </w:p>
        </w:tc>
        <w:tc>
          <w:tcPr>
            <w:tcW w:w="2054" w:type="dxa"/>
            <w:vAlign w:val="center"/>
          </w:tcPr>
          <w:p w14:paraId="5ADB824F" w14:textId="39D98FA3" w:rsidR="00503013" w:rsidRPr="00A46F57" w:rsidRDefault="00503013" w:rsidP="00503013">
            <w:pPr>
              <w:spacing w:line="240" w:lineRule="auto"/>
              <w:jc w:val="center"/>
            </w:pPr>
            <w:r>
              <w:rPr>
                <w:color w:val="000000"/>
              </w:rPr>
              <w:t>4.1229</w:t>
            </w:r>
          </w:p>
        </w:tc>
      </w:tr>
      <w:tr w:rsidR="00503013" w14:paraId="6BED56A8" w14:textId="77777777" w:rsidTr="004C5067">
        <w:trPr>
          <w:trHeight w:val="320"/>
        </w:trPr>
        <w:tc>
          <w:tcPr>
            <w:tcW w:w="1592" w:type="dxa"/>
            <w:vMerge/>
            <w:shd w:val="clear" w:color="auto" w:fill="D9D9D9" w:themeFill="background1" w:themeFillShade="D9"/>
            <w:noWrap/>
            <w:vAlign w:val="center"/>
            <w:hideMark/>
          </w:tcPr>
          <w:p w14:paraId="7FE00990" w14:textId="77777777" w:rsidR="00503013" w:rsidRPr="00A46F57" w:rsidRDefault="00503013" w:rsidP="00503013">
            <w:pPr>
              <w:spacing w:line="240" w:lineRule="auto"/>
              <w:rPr>
                <w:b/>
                <w:bCs/>
              </w:rPr>
            </w:pPr>
          </w:p>
        </w:tc>
        <w:tc>
          <w:tcPr>
            <w:tcW w:w="1597" w:type="dxa"/>
            <w:shd w:val="clear" w:color="auto" w:fill="D9D9D9" w:themeFill="background1" w:themeFillShade="D9"/>
            <w:noWrap/>
            <w:hideMark/>
          </w:tcPr>
          <w:p w14:paraId="50DBC3C9" w14:textId="77777777" w:rsidR="00503013" w:rsidRPr="00A46F57" w:rsidRDefault="00503013" w:rsidP="00503013">
            <w:pPr>
              <w:spacing w:line="240" w:lineRule="auto"/>
            </w:pPr>
            <w:r w:rsidRPr="00A46F57">
              <w:t>MAIS 5</w:t>
            </w:r>
          </w:p>
        </w:tc>
        <w:tc>
          <w:tcPr>
            <w:tcW w:w="2053" w:type="dxa"/>
            <w:vAlign w:val="center"/>
          </w:tcPr>
          <w:p w14:paraId="19F2D435" w14:textId="6A683987" w:rsidR="00503013" w:rsidRPr="00A46F57" w:rsidRDefault="00503013" w:rsidP="00503013">
            <w:pPr>
              <w:spacing w:line="240" w:lineRule="auto"/>
              <w:jc w:val="center"/>
            </w:pPr>
            <w:r>
              <w:rPr>
                <w:color w:val="000000"/>
              </w:rPr>
              <w:t>0.37</w:t>
            </w:r>
          </w:p>
        </w:tc>
        <w:tc>
          <w:tcPr>
            <w:tcW w:w="2053" w:type="dxa"/>
            <w:noWrap/>
            <w:vAlign w:val="center"/>
          </w:tcPr>
          <w:p w14:paraId="13C3B519" w14:textId="77777777" w:rsidR="00503013" w:rsidRPr="00A46F57" w:rsidRDefault="00503013" w:rsidP="00503013">
            <w:pPr>
              <w:spacing w:line="240" w:lineRule="auto"/>
              <w:jc w:val="center"/>
            </w:pPr>
            <w:r w:rsidRPr="00572735">
              <w:rPr>
                <w:color w:val="000000"/>
              </w:rPr>
              <w:t>0.6125</w:t>
            </w:r>
          </w:p>
        </w:tc>
        <w:tc>
          <w:tcPr>
            <w:tcW w:w="2054" w:type="dxa"/>
            <w:vAlign w:val="center"/>
          </w:tcPr>
          <w:p w14:paraId="56072A44" w14:textId="3B73DDAA" w:rsidR="00503013" w:rsidRPr="00A46F57" w:rsidRDefault="00503013" w:rsidP="00503013">
            <w:pPr>
              <w:spacing w:line="240" w:lineRule="auto"/>
              <w:jc w:val="center"/>
            </w:pPr>
            <w:r>
              <w:rPr>
                <w:color w:val="000000"/>
              </w:rPr>
              <w:t>0.2237</w:t>
            </w:r>
          </w:p>
        </w:tc>
      </w:tr>
      <w:tr w:rsidR="00503013" w14:paraId="7AF99E0A" w14:textId="77777777" w:rsidTr="004C5067">
        <w:trPr>
          <w:trHeight w:val="310"/>
        </w:trPr>
        <w:tc>
          <w:tcPr>
            <w:tcW w:w="1592" w:type="dxa"/>
            <w:vMerge/>
            <w:shd w:val="clear" w:color="auto" w:fill="D9D9D9" w:themeFill="background1" w:themeFillShade="D9"/>
            <w:noWrap/>
            <w:vAlign w:val="center"/>
            <w:hideMark/>
          </w:tcPr>
          <w:p w14:paraId="0B2250B6" w14:textId="77777777" w:rsidR="00503013" w:rsidRPr="00A46F57" w:rsidRDefault="00503013" w:rsidP="00503013">
            <w:pPr>
              <w:spacing w:line="240" w:lineRule="auto"/>
              <w:rPr>
                <w:b/>
                <w:bCs/>
              </w:rPr>
            </w:pPr>
          </w:p>
        </w:tc>
        <w:tc>
          <w:tcPr>
            <w:tcW w:w="1597" w:type="dxa"/>
            <w:shd w:val="clear" w:color="auto" w:fill="D9D9D9" w:themeFill="background1" w:themeFillShade="D9"/>
            <w:noWrap/>
            <w:hideMark/>
          </w:tcPr>
          <w:p w14:paraId="3E7F1C53" w14:textId="77777777" w:rsidR="00503013" w:rsidRPr="00A46F57" w:rsidRDefault="00503013" w:rsidP="00503013">
            <w:pPr>
              <w:spacing w:line="240" w:lineRule="auto"/>
              <w:rPr>
                <w:b/>
                <w:bCs/>
              </w:rPr>
            </w:pPr>
            <w:r w:rsidRPr="00A46F57">
              <w:rPr>
                <w:b/>
                <w:bCs/>
              </w:rPr>
              <w:t>Fatality</w:t>
            </w:r>
          </w:p>
        </w:tc>
        <w:tc>
          <w:tcPr>
            <w:tcW w:w="2053" w:type="dxa"/>
            <w:vAlign w:val="center"/>
          </w:tcPr>
          <w:p w14:paraId="2D6E7D90" w14:textId="670B92A1" w:rsidR="00503013" w:rsidRPr="00A46F57" w:rsidRDefault="00503013" w:rsidP="00503013">
            <w:pPr>
              <w:spacing w:line="240" w:lineRule="auto"/>
              <w:jc w:val="center"/>
            </w:pPr>
            <w:r>
              <w:rPr>
                <w:color w:val="000000"/>
              </w:rPr>
              <w:t>25.03</w:t>
            </w:r>
          </w:p>
        </w:tc>
        <w:tc>
          <w:tcPr>
            <w:tcW w:w="2053" w:type="dxa"/>
            <w:noWrap/>
            <w:vAlign w:val="center"/>
          </w:tcPr>
          <w:p w14:paraId="02D3B5E3" w14:textId="77777777" w:rsidR="00503013" w:rsidRPr="00A46F57" w:rsidRDefault="00503013" w:rsidP="00503013">
            <w:pPr>
              <w:spacing w:line="240" w:lineRule="auto"/>
              <w:jc w:val="center"/>
            </w:pPr>
            <w:r w:rsidRPr="00572735">
              <w:rPr>
                <w:color w:val="000000"/>
              </w:rPr>
              <w:t>1.0000</w:t>
            </w:r>
          </w:p>
        </w:tc>
        <w:tc>
          <w:tcPr>
            <w:tcW w:w="2054" w:type="dxa"/>
            <w:vAlign w:val="center"/>
          </w:tcPr>
          <w:p w14:paraId="0EF57E44" w14:textId="42051C74" w:rsidR="00503013" w:rsidRPr="00A46F57" w:rsidRDefault="00503013" w:rsidP="00503013">
            <w:pPr>
              <w:spacing w:line="240" w:lineRule="auto"/>
              <w:jc w:val="center"/>
            </w:pPr>
            <w:r>
              <w:rPr>
                <w:color w:val="000000"/>
              </w:rPr>
              <w:t>25.0336</w:t>
            </w:r>
          </w:p>
        </w:tc>
      </w:tr>
      <w:tr w:rsidR="00503013" w14:paraId="1081815D" w14:textId="77777777" w:rsidTr="004C5067">
        <w:trPr>
          <w:trHeight w:val="310"/>
        </w:trPr>
        <w:tc>
          <w:tcPr>
            <w:tcW w:w="1592" w:type="dxa"/>
            <w:vMerge/>
            <w:shd w:val="clear" w:color="auto" w:fill="D9D9D9" w:themeFill="background1" w:themeFillShade="D9"/>
            <w:noWrap/>
            <w:vAlign w:val="center"/>
          </w:tcPr>
          <w:p w14:paraId="5530E456" w14:textId="77777777" w:rsidR="00503013" w:rsidRPr="00A46F57" w:rsidRDefault="00503013" w:rsidP="00503013">
            <w:pPr>
              <w:spacing w:line="240" w:lineRule="auto"/>
              <w:rPr>
                <w:b/>
                <w:bCs/>
              </w:rPr>
            </w:pPr>
          </w:p>
        </w:tc>
        <w:tc>
          <w:tcPr>
            <w:tcW w:w="1597" w:type="dxa"/>
            <w:shd w:val="clear" w:color="auto" w:fill="D9D9D9" w:themeFill="background1" w:themeFillShade="D9"/>
            <w:noWrap/>
          </w:tcPr>
          <w:p w14:paraId="4FB49713" w14:textId="77777777" w:rsidR="00503013" w:rsidRPr="00A46F57" w:rsidRDefault="00503013" w:rsidP="00503013">
            <w:pPr>
              <w:spacing w:line="240" w:lineRule="auto"/>
              <w:rPr>
                <w:b/>
                <w:bCs/>
              </w:rPr>
            </w:pPr>
            <w:r>
              <w:rPr>
                <w:b/>
                <w:bCs/>
              </w:rPr>
              <w:t>Total PC</w:t>
            </w:r>
          </w:p>
        </w:tc>
        <w:tc>
          <w:tcPr>
            <w:tcW w:w="2053" w:type="dxa"/>
          </w:tcPr>
          <w:p w14:paraId="5E1499F4" w14:textId="77777777" w:rsidR="00503013" w:rsidRPr="00D448DE" w:rsidRDefault="00503013" w:rsidP="00503013">
            <w:pPr>
              <w:spacing w:line="240" w:lineRule="auto"/>
              <w:jc w:val="center"/>
            </w:pPr>
          </w:p>
        </w:tc>
        <w:tc>
          <w:tcPr>
            <w:tcW w:w="2053" w:type="dxa"/>
            <w:noWrap/>
            <w:vAlign w:val="center"/>
          </w:tcPr>
          <w:p w14:paraId="57630E9D" w14:textId="77777777" w:rsidR="00503013" w:rsidRPr="00572735" w:rsidRDefault="00503013" w:rsidP="00503013">
            <w:pPr>
              <w:spacing w:line="240" w:lineRule="auto"/>
              <w:jc w:val="center"/>
              <w:rPr>
                <w:color w:val="000000"/>
              </w:rPr>
            </w:pPr>
          </w:p>
        </w:tc>
        <w:tc>
          <w:tcPr>
            <w:tcW w:w="2054" w:type="dxa"/>
            <w:vAlign w:val="center"/>
          </w:tcPr>
          <w:p w14:paraId="0E34893C" w14:textId="5921728B" w:rsidR="00503013" w:rsidRPr="00CC4686" w:rsidRDefault="00503013" w:rsidP="00503013">
            <w:pPr>
              <w:spacing w:line="240" w:lineRule="auto"/>
              <w:jc w:val="center"/>
              <w:rPr>
                <w:b/>
                <w:bCs/>
              </w:rPr>
            </w:pPr>
            <w:r w:rsidRPr="004C5067">
              <w:rPr>
                <w:b/>
                <w:bCs/>
                <w:color w:val="000000"/>
              </w:rPr>
              <w:t>35.2192</w:t>
            </w:r>
          </w:p>
        </w:tc>
      </w:tr>
      <w:tr w:rsidR="00503013" w14:paraId="5AF06BD0" w14:textId="77777777" w:rsidTr="004C5067">
        <w:trPr>
          <w:trHeight w:val="320"/>
        </w:trPr>
        <w:tc>
          <w:tcPr>
            <w:tcW w:w="1592" w:type="dxa"/>
            <w:vMerge w:val="restart"/>
            <w:shd w:val="clear" w:color="auto" w:fill="D9D9D9" w:themeFill="background1" w:themeFillShade="D9"/>
            <w:noWrap/>
            <w:vAlign w:val="center"/>
            <w:hideMark/>
          </w:tcPr>
          <w:p w14:paraId="534C99F6" w14:textId="77777777" w:rsidR="00503013" w:rsidRPr="00A46F57" w:rsidRDefault="00503013" w:rsidP="00503013">
            <w:pPr>
              <w:spacing w:line="240" w:lineRule="auto"/>
              <w:rPr>
                <w:b/>
                <w:bCs/>
              </w:rPr>
            </w:pPr>
            <w:r w:rsidRPr="006D7613">
              <w:rPr>
                <w:b/>
                <w:bCs/>
              </w:rPr>
              <w:t>LTV</w:t>
            </w:r>
          </w:p>
        </w:tc>
        <w:tc>
          <w:tcPr>
            <w:tcW w:w="1597" w:type="dxa"/>
            <w:shd w:val="clear" w:color="auto" w:fill="D9D9D9" w:themeFill="background1" w:themeFillShade="D9"/>
            <w:noWrap/>
            <w:hideMark/>
          </w:tcPr>
          <w:p w14:paraId="3CBB4FA7" w14:textId="77777777" w:rsidR="00503013" w:rsidRPr="00A46F57" w:rsidRDefault="00503013" w:rsidP="00503013">
            <w:pPr>
              <w:spacing w:line="240" w:lineRule="auto"/>
            </w:pPr>
            <w:r w:rsidRPr="00A46F57">
              <w:t>MAIS 1</w:t>
            </w:r>
          </w:p>
        </w:tc>
        <w:tc>
          <w:tcPr>
            <w:tcW w:w="2053" w:type="dxa"/>
            <w:vAlign w:val="center"/>
          </w:tcPr>
          <w:p w14:paraId="78EB98F9" w14:textId="7334279E" w:rsidR="00503013" w:rsidRPr="00A46F57" w:rsidRDefault="00503013" w:rsidP="00503013">
            <w:pPr>
              <w:spacing w:line="240" w:lineRule="auto"/>
              <w:jc w:val="center"/>
            </w:pPr>
            <w:r>
              <w:rPr>
                <w:color w:val="000000"/>
              </w:rPr>
              <w:t>8.66</w:t>
            </w:r>
          </w:p>
        </w:tc>
        <w:tc>
          <w:tcPr>
            <w:tcW w:w="2053" w:type="dxa"/>
            <w:noWrap/>
            <w:vAlign w:val="center"/>
          </w:tcPr>
          <w:p w14:paraId="01588A76" w14:textId="77777777" w:rsidR="00503013" w:rsidRPr="00A46F57" w:rsidRDefault="00503013" w:rsidP="00503013">
            <w:pPr>
              <w:spacing w:line="240" w:lineRule="auto"/>
              <w:jc w:val="center"/>
            </w:pPr>
            <w:r w:rsidRPr="00572735">
              <w:rPr>
                <w:color w:val="000000"/>
              </w:rPr>
              <w:t>0.0038</w:t>
            </w:r>
          </w:p>
        </w:tc>
        <w:tc>
          <w:tcPr>
            <w:tcW w:w="2054" w:type="dxa"/>
            <w:vAlign w:val="center"/>
          </w:tcPr>
          <w:p w14:paraId="3CC48A0A" w14:textId="32E0D288" w:rsidR="00503013" w:rsidRPr="00A46F57" w:rsidRDefault="00503013" w:rsidP="00503013">
            <w:pPr>
              <w:spacing w:line="240" w:lineRule="auto"/>
              <w:jc w:val="center"/>
            </w:pPr>
            <w:r>
              <w:rPr>
                <w:color w:val="000000"/>
              </w:rPr>
              <w:t>0.0329</w:t>
            </w:r>
          </w:p>
        </w:tc>
      </w:tr>
      <w:tr w:rsidR="00503013" w14:paraId="4CAB8377" w14:textId="77777777" w:rsidTr="004C5067">
        <w:trPr>
          <w:trHeight w:val="320"/>
        </w:trPr>
        <w:tc>
          <w:tcPr>
            <w:tcW w:w="1592" w:type="dxa"/>
            <w:vMerge/>
            <w:shd w:val="clear" w:color="auto" w:fill="D9D9D9" w:themeFill="background1" w:themeFillShade="D9"/>
            <w:noWrap/>
            <w:hideMark/>
          </w:tcPr>
          <w:p w14:paraId="5464E91F" w14:textId="77777777" w:rsidR="00503013" w:rsidRPr="00A46F57" w:rsidRDefault="00503013" w:rsidP="00503013"/>
        </w:tc>
        <w:tc>
          <w:tcPr>
            <w:tcW w:w="1597" w:type="dxa"/>
            <w:shd w:val="clear" w:color="auto" w:fill="D9D9D9" w:themeFill="background1" w:themeFillShade="D9"/>
            <w:noWrap/>
            <w:hideMark/>
          </w:tcPr>
          <w:p w14:paraId="3E502CF1" w14:textId="77777777" w:rsidR="00503013" w:rsidRPr="00A46F57" w:rsidRDefault="00503013" w:rsidP="00503013">
            <w:pPr>
              <w:spacing w:line="240" w:lineRule="auto"/>
            </w:pPr>
            <w:r w:rsidRPr="00A46F57">
              <w:t>MAIS 2</w:t>
            </w:r>
          </w:p>
        </w:tc>
        <w:tc>
          <w:tcPr>
            <w:tcW w:w="2053" w:type="dxa"/>
            <w:vAlign w:val="center"/>
          </w:tcPr>
          <w:p w14:paraId="24D8FBDC" w14:textId="75F9883D" w:rsidR="00503013" w:rsidRPr="00A46F57" w:rsidRDefault="00503013" w:rsidP="00503013">
            <w:pPr>
              <w:spacing w:line="240" w:lineRule="auto"/>
              <w:jc w:val="center"/>
            </w:pPr>
            <w:r>
              <w:rPr>
                <w:color w:val="000000"/>
              </w:rPr>
              <w:t>42.93</w:t>
            </w:r>
          </w:p>
        </w:tc>
        <w:tc>
          <w:tcPr>
            <w:tcW w:w="2053" w:type="dxa"/>
            <w:noWrap/>
            <w:vAlign w:val="center"/>
          </w:tcPr>
          <w:p w14:paraId="3342E663" w14:textId="77777777" w:rsidR="00503013" w:rsidRPr="00A46F57" w:rsidRDefault="00503013" w:rsidP="00503013">
            <w:pPr>
              <w:spacing w:line="240" w:lineRule="auto"/>
              <w:jc w:val="center"/>
            </w:pPr>
            <w:r w:rsidRPr="00572735">
              <w:rPr>
                <w:color w:val="000000"/>
              </w:rPr>
              <w:t>0.0454</w:t>
            </w:r>
          </w:p>
        </w:tc>
        <w:tc>
          <w:tcPr>
            <w:tcW w:w="2054" w:type="dxa"/>
            <w:vAlign w:val="center"/>
          </w:tcPr>
          <w:p w14:paraId="288D3809" w14:textId="00EC8E64" w:rsidR="00503013" w:rsidRPr="00A46F57" w:rsidRDefault="00503013" w:rsidP="00503013">
            <w:pPr>
              <w:spacing w:line="240" w:lineRule="auto"/>
              <w:jc w:val="center"/>
            </w:pPr>
            <w:r>
              <w:rPr>
                <w:color w:val="000000"/>
              </w:rPr>
              <w:t>1.9489</w:t>
            </w:r>
          </w:p>
        </w:tc>
      </w:tr>
      <w:tr w:rsidR="00503013" w14:paraId="182E356F" w14:textId="77777777" w:rsidTr="004C5067">
        <w:trPr>
          <w:trHeight w:val="320"/>
        </w:trPr>
        <w:tc>
          <w:tcPr>
            <w:tcW w:w="1592" w:type="dxa"/>
            <w:vMerge/>
            <w:shd w:val="clear" w:color="auto" w:fill="D9D9D9" w:themeFill="background1" w:themeFillShade="D9"/>
            <w:noWrap/>
            <w:hideMark/>
          </w:tcPr>
          <w:p w14:paraId="6ADF5008" w14:textId="77777777" w:rsidR="00503013" w:rsidRPr="00A46F57" w:rsidRDefault="00503013" w:rsidP="00503013"/>
        </w:tc>
        <w:tc>
          <w:tcPr>
            <w:tcW w:w="1597" w:type="dxa"/>
            <w:shd w:val="clear" w:color="auto" w:fill="D9D9D9" w:themeFill="background1" w:themeFillShade="D9"/>
            <w:noWrap/>
            <w:hideMark/>
          </w:tcPr>
          <w:p w14:paraId="140E4103" w14:textId="77777777" w:rsidR="00503013" w:rsidRPr="00A46F57" w:rsidRDefault="00503013" w:rsidP="00503013">
            <w:pPr>
              <w:spacing w:line="240" w:lineRule="auto"/>
            </w:pPr>
            <w:r w:rsidRPr="00A46F57">
              <w:t>MAIS 3</w:t>
            </w:r>
          </w:p>
        </w:tc>
        <w:tc>
          <w:tcPr>
            <w:tcW w:w="2053" w:type="dxa"/>
            <w:vAlign w:val="center"/>
          </w:tcPr>
          <w:p w14:paraId="01E0DE8B" w14:textId="0E1F3A1E" w:rsidR="00503013" w:rsidRPr="00A46F57" w:rsidRDefault="00503013" w:rsidP="00503013">
            <w:pPr>
              <w:spacing w:line="240" w:lineRule="auto"/>
              <w:jc w:val="center"/>
            </w:pPr>
            <w:r>
              <w:rPr>
                <w:color w:val="000000"/>
              </w:rPr>
              <w:t>0.27</w:t>
            </w:r>
          </w:p>
        </w:tc>
        <w:tc>
          <w:tcPr>
            <w:tcW w:w="2053" w:type="dxa"/>
            <w:noWrap/>
            <w:vAlign w:val="center"/>
          </w:tcPr>
          <w:p w14:paraId="2AC634CB" w14:textId="77777777" w:rsidR="00503013" w:rsidRPr="00A46F57" w:rsidRDefault="00503013" w:rsidP="00503013">
            <w:pPr>
              <w:spacing w:line="240" w:lineRule="auto"/>
              <w:jc w:val="center"/>
            </w:pPr>
            <w:r w:rsidRPr="00572735">
              <w:rPr>
                <w:color w:val="000000"/>
              </w:rPr>
              <w:t>0.1078</w:t>
            </w:r>
          </w:p>
        </w:tc>
        <w:tc>
          <w:tcPr>
            <w:tcW w:w="2054" w:type="dxa"/>
            <w:vAlign w:val="center"/>
          </w:tcPr>
          <w:p w14:paraId="10E40F5E" w14:textId="5F0555AF" w:rsidR="00503013" w:rsidRPr="00A46F57" w:rsidRDefault="00503013" w:rsidP="00503013">
            <w:pPr>
              <w:spacing w:line="240" w:lineRule="auto"/>
              <w:jc w:val="center"/>
            </w:pPr>
            <w:r>
              <w:rPr>
                <w:color w:val="000000"/>
              </w:rPr>
              <w:t>0.0295</w:t>
            </w:r>
          </w:p>
        </w:tc>
      </w:tr>
      <w:tr w:rsidR="00503013" w14:paraId="70F0E50A" w14:textId="77777777" w:rsidTr="004C5067">
        <w:trPr>
          <w:trHeight w:val="320"/>
        </w:trPr>
        <w:tc>
          <w:tcPr>
            <w:tcW w:w="1592" w:type="dxa"/>
            <w:vMerge/>
            <w:shd w:val="clear" w:color="auto" w:fill="D9D9D9" w:themeFill="background1" w:themeFillShade="D9"/>
            <w:noWrap/>
            <w:hideMark/>
          </w:tcPr>
          <w:p w14:paraId="3FC4A436" w14:textId="77777777" w:rsidR="00503013" w:rsidRPr="00A46F57" w:rsidRDefault="00503013" w:rsidP="00503013"/>
        </w:tc>
        <w:tc>
          <w:tcPr>
            <w:tcW w:w="1597" w:type="dxa"/>
            <w:shd w:val="clear" w:color="auto" w:fill="D9D9D9" w:themeFill="background1" w:themeFillShade="D9"/>
            <w:noWrap/>
            <w:hideMark/>
          </w:tcPr>
          <w:p w14:paraId="75DC90FE" w14:textId="77777777" w:rsidR="00503013" w:rsidRPr="00A46F57" w:rsidRDefault="00503013" w:rsidP="00503013">
            <w:pPr>
              <w:spacing w:line="240" w:lineRule="auto"/>
            </w:pPr>
            <w:r w:rsidRPr="00A46F57">
              <w:t>MAIS 4</w:t>
            </w:r>
          </w:p>
        </w:tc>
        <w:tc>
          <w:tcPr>
            <w:tcW w:w="2053" w:type="dxa"/>
            <w:vAlign w:val="center"/>
          </w:tcPr>
          <w:p w14:paraId="29B35743" w14:textId="6AB4F62C" w:rsidR="00503013" w:rsidRPr="00A46F57" w:rsidRDefault="00503013" w:rsidP="00503013">
            <w:pPr>
              <w:spacing w:line="240" w:lineRule="auto"/>
              <w:jc w:val="center"/>
            </w:pPr>
            <w:r>
              <w:rPr>
                <w:color w:val="000000"/>
              </w:rPr>
              <w:t>2.02</w:t>
            </w:r>
          </w:p>
        </w:tc>
        <w:tc>
          <w:tcPr>
            <w:tcW w:w="2053" w:type="dxa"/>
            <w:noWrap/>
            <w:vAlign w:val="center"/>
          </w:tcPr>
          <w:p w14:paraId="602769E6" w14:textId="77777777" w:rsidR="00503013" w:rsidRPr="00A46F57" w:rsidRDefault="00503013" w:rsidP="00503013">
            <w:pPr>
              <w:spacing w:line="240" w:lineRule="auto"/>
              <w:jc w:val="center"/>
            </w:pPr>
            <w:r w:rsidRPr="00572735">
              <w:rPr>
                <w:color w:val="000000"/>
              </w:rPr>
              <w:t>0.2677</w:t>
            </w:r>
          </w:p>
        </w:tc>
        <w:tc>
          <w:tcPr>
            <w:tcW w:w="2054" w:type="dxa"/>
            <w:vAlign w:val="center"/>
          </w:tcPr>
          <w:p w14:paraId="63167E1C" w14:textId="3B54E52E" w:rsidR="00503013" w:rsidRPr="00A46F57" w:rsidRDefault="00503013" w:rsidP="00503013">
            <w:pPr>
              <w:spacing w:line="240" w:lineRule="auto"/>
              <w:jc w:val="center"/>
            </w:pPr>
            <w:r>
              <w:rPr>
                <w:color w:val="000000"/>
              </w:rPr>
              <w:t>0.5395</w:t>
            </w:r>
          </w:p>
        </w:tc>
      </w:tr>
      <w:tr w:rsidR="00503013" w14:paraId="58AC758D" w14:textId="77777777" w:rsidTr="004C5067">
        <w:trPr>
          <w:trHeight w:val="320"/>
        </w:trPr>
        <w:tc>
          <w:tcPr>
            <w:tcW w:w="1592" w:type="dxa"/>
            <w:vMerge/>
            <w:shd w:val="clear" w:color="auto" w:fill="D9D9D9" w:themeFill="background1" w:themeFillShade="D9"/>
            <w:noWrap/>
            <w:hideMark/>
          </w:tcPr>
          <w:p w14:paraId="648FADE9" w14:textId="77777777" w:rsidR="00503013" w:rsidRPr="00A46F57" w:rsidRDefault="00503013" w:rsidP="00503013"/>
        </w:tc>
        <w:tc>
          <w:tcPr>
            <w:tcW w:w="1597" w:type="dxa"/>
            <w:shd w:val="clear" w:color="auto" w:fill="D9D9D9" w:themeFill="background1" w:themeFillShade="D9"/>
            <w:noWrap/>
            <w:hideMark/>
          </w:tcPr>
          <w:p w14:paraId="770FB874" w14:textId="77777777" w:rsidR="00503013" w:rsidRPr="00A46F57" w:rsidRDefault="00503013" w:rsidP="00503013">
            <w:pPr>
              <w:spacing w:line="240" w:lineRule="auto"/>
            </w:pPr>
            <w:r w:rsidRPr="00A46F57">
              <w:t>MAIS 5</w:t>
            </w:r>
          </w:p>
        </w:tc>
        <w:tc>
          <w:tcPr>
            <w:tcW w:w="2053" w:type="dxa"/>
            <w:vAlign w:val="center"/>
          </w:tcPr>
          <w:p w14:paraId="3124412A" w14:textId="42E8DE77" w:rsidR="00503013" w:rsidRPr="00A46F57" w:rsidRDefault="00503013" w:rsidP="00503013">
            <w:pPr>
              <w:spacing w:line="240" w:lineRule="auto"/>
              <w:jc w:val="center"/>
            </w:pPr>
            <w:r>
              <w:rPr>
                <w:color w:val="000000"/>
              </w:rPr>
              <w:t>0.14</w:t>
            </w:r>
          </w:p>
        </w:tc>
        <w:tc>
          <w:tcPr>
            <w:tcW w:w="2053" w:type="dxa"/>
            <w:noWrap/>
            <w:vAlign w:val="center"/>
          </w:tcPr>
          <w:p w14:paraId="56E4A805" w14:textId="77777777" w:rsidR="00503013" w:rsidRPr="00A46F57" w:rsidRDefault="00503013" w:rsidP="00503013">
            <w:pPr>
              <w:spacing w:line="240" w:lineRule="auto"/>
              <w:jc w:val="center"/>
            </w:pPr>
            <w:r w:rsidRPr="00572735">
              <w:rPr>
                <w:color w:val="000000"/>
              </w:rPr>
              <w:t>0.6125</w:t>
            </w:r>
          </w:p>
        </w:tc>
        <w:tc>
          <w:tcPr>
            <w:tcW w:w="2054" w:type="dxa"/>
            <w:vAlign w:val="center"/>
          </w:tcPr>
          <w:p w14:paraId="1D0EB7C3" w14:textId="7AAB6361" w:rsidR="00503013" w:rsidRPr="00A46F57" w:rsidRDefault="00503013" w:rsidP="00503013">
            <w:pPr>
              <w:spacing w:line="240" w:lineRule="auto"/>
              <w:jc w:val="center"/>
            </w:pPr>
            <w:r>
              <w:rPr>
                <w:color w:val="000000"/>
              </w:rPr>
              <w:t>0.0852</w:t>
            </w:r>
          </w:p>
        </w:tc>
      </w:tr>
      <w:tr w:rsidR="00503013" w14:paraId="7E62DCC7" w14:textId="77777777" w:rsidTr="004C5067">
        <w:trPr>
          <w:trHeight w:val="310"/>
        </w:trPr>
        <w:tc>
          <w:tcPr>
            <w:tcW w:w="1592" w:type="dxa"/>
            <w:vMerge/>
            <w:shd w:val="clear" w:color="auto" w:fill="D9D9D9" w:themeFill="background1" w:themeFillShade="D9"/>
            <w:noWrap/>
            <w:hideMark/>
          </w:tcPr>
          <w:p w14:paraId="6B268786" w14:textId="77777777" w:rsidR="00503013" w:rsidRPr="00A46F57" w:rsidRDefault="00503013" w:rsidP="00503013"/>
        </w:tc>
        <w:tc>
          <w:tcPr>
            <w:tcW w:w="1597" w:type="dxa"/>
            <w:shd w:val="clear" w:color="auto" w:fill="D9D9D9" w:themeFill="background1" w:themeFillShade="D9"/>
            <w:noWrap/>
            <w:hideMark/>
          </w:tcPr>
          <w:p w14:paraId="402A0FB3" w14:textId="77777777" w:rsidR="00503013" w:rsidRPr="00A46F57" w:rsidRDefault="00503013" w:rsidP="00503013">
            <w:pPr>
              <w:spacing w:line="240" w:lineRule="auto"/>
              <w:rPr>
                <w:b/>
                <w:bCs/>
              </w:rPr>
            </w:pPr>
            <w:r w:rsidRPr="00A46F57">
              <w:rPr>
                <w:b/>
                <w:bCs/>
              </w:rPr>
              <w:t>Fatality</w:t>
            </w:r>
          </w:p>
        </w:tc>
        <w:tc>
          <w:tcPr>
            <w:tcW w:w="2053" w:type="dxa"/>
            <w:vAlign w:val="center"/>
          </w:tcPr>
          <w:p w14:paraId="28A90EC9" w14:textId="1C106C83" w:rsidR="00503013" w:rsidRPr="00A46F57" w:rsidRDefault="00503013" w:rsidP="00503013">
            <w:pPr>
              <w:spacing w:line="240" w:lineRule="auto"/>
              <w:jc w:val="center"/>
            </w:pPr>
            <w:r>
              <w:rPr>
                <w:color w:val="000000"/>
              </w:rPr>
              <w:t>40.86</w:t>
            </w:r>
          </w:p>
        </w:tc>
        <w:tc>
          <w:tcPr>
            <w:tcW w:w="2053" w:type="dxa"/>
            <w:noWrap/>
            <w:vAlign w:val="center"/>
          </w:tcPr>
          <w:p w14:paraId="78A8F6CE" w14:textId="77777777" w:rsidR="00503013" w:rsidRPr="00A46F57" w:rsidRDefault="00503013" w:rsidP="00503013">
            <w:pPr>
              <w:spacing w:line="240" w:lineRule="auto"/>
              <w:jc w:val="center"/>
            </w:pPr>
            <w:r w:rsidRPr="00572735">
              <w:rPr>
                <w:color w:val="000000"/>
              </w:rPr>
              <w:t>1.0000</w:t>
            </w:r>
          </w:p>
        </w:tc>
        <w:tc>
          <w:tcPr>
            <w:tcW w:w="2054" w:type="dxa"/>
            <w:vAlign w:val="center"/>
          </w:tcPr>
          <w:p w14:paraId="0511291C" w14:textId="01C4AB8E" w:rsidR="00503013" w:rsidRPr="00A46F57" w:rsidRDefault="00503013" w:rsidP="00503013">
            <w:pPr>
              <w:spacing w:line="240" w:lineRule="auto"/>
              <w:jc w:val="center"/>
            </w:pPr>
            <w:r>
              <w:rPr>
                <w:color w:val="000000"/>
              </w:rPr>
              <w:t>40.8612</w:t>
            </w:r>
          </w:p>
        </w:tc>
      </w:tr>
      <w:tr w:rsidR="00503013" w14:paraId="31FB57D6" w14:textId="77777777" w:rsidTr="00343F45">
        <w:trPr>
          <w:trHeight w:val="310"/>
        </w:trPr>
        <w:tc>
          <w:tcPr>
            <w:tcW w:w="1592" w:type="dxa"/>
            <w:vMerge/>
            <w:shd w:val="clear" w:color="auto" w:fill="D9D9D9" w:themeFill="background1" w:themeFillShade="D9"/>
            <w:noWrap/>
          </w:tcPr>
          <w:p w14:paraId="31BCB4AE" w14:textId="77777777" w:rsidR="00503013" w:rsidRPr="00A46F57" w:rsidRDefault="00503013" w:rsidP="00503013"/>
        </w:tc>
        <w:tc>
          <w:tcPr>
            <w:tcW w:w="1597" w:type="dxa"/>
            <w:shd w:val="clear" w:color="auto" w:fill="D9D9D9" w:themeFill="background1" w:themeFillShade="D9"/>
            <w:noWrap/>
          </w:tcPr>
          <w:p w14:paraId="2F6C50C0" w14:textId="77777777" w:rsidR="00503013" w:rsidRPr="00A46F57" w:rsidRDefault="00503013" w:rsidP="00503013">
            <w:pPr>
              <w:spacing w:line="240" w:lineRule="auto"/>
              <w:rPr>
                <w:b/>
                <w:bCs/>
              </w:rPr>
            </w:pPr>
            <w:r>
              <w:rPr>
                <w:b/>
                <w:bCs/>
              </w:rPr>
              <w:t>Total LTV</w:t>
            </w:r>
          </w:p>
        </w:tc>
        <w:tc>
          <w:tcPr>
            <w:tcW w:w="2053" w:type="dxa"/>
          </w:tcPr>
          <w:p w14:paraId="6962B1E9" w14:textId="77777777" w:rsidR="00503013" w:rsidRPr="00791C5D" w:rsidRDefault="00503013" w:rsidP="00503013">
            <w:pPr>
              <w:spacing w:line="240" w:lineRule="auto"/>
              <w:jc w:val="center"/>
            </w:pPr>
          </w:p>
        </w:tc>
        <w:tc>
          <w:tcPr>
            <w:tcW w:w="2053" w:type="dxa"/>
            <w:noWrap/>
            <w:vAlign w:val="center"/>
          </w:tcPr>
          <w:p w14:paraId="0A502186" w14:textId="77777777" w:rsidR="00503013" w:rsidRPr="00572735" w:rsidRDefault="00503013" w:rsidP="00503013">
            <w:pPr>
              <w:spacing w:line="240" w:lineRule="auto"/>
              <w:jc w:val="center"/>
              <w:rPr>
                <w:color w:val="000000"/>
              </w:rPr>
            </w:pPr>
          </w:p>
        </w:tc>
        <w:tc>
          <w:tcPr>
            <w:tcW w:w="2054" w:type="dxa"/>
          </w:tcPr>
          <w:p w14:paraId="3F22B80B" w14:textId="70F619C2" w:rsidR="00503013" w:rsidRPr="00CC4686" w:rsidRDefault="00503013" w:rsidP="00503013">
            <w:pPr>
              <w:spacing w:line="240" w:lineRule="auto"/>
              <w:jc w:val="center"/>
              <w:rPr>
                <w:b/>
                <w:bCs/>
              </w:rPr>
            </w:pPr>
            <w:r w:rsidRPr="00D14C2A">
              <w:rPr>
                <w:b/>
                <w:bCs/>
              </w:rPr>
              <w:t>43.4972</w:t>
            </w:r>
          </w:p>
        </w:tc>
      </w:tr>
      <w:tr w:rsidR="00A15C2C" w14:paraId="41016E1F" w14:textId="77777777" w:rsidTr="00343F45">
        <w:trPr>
          <w:trHeight w:val="310"/>
        </w:trPr>
        <w:tc>
          <w:tcPr>
            <w:tcW w:w="3189" w:type="dxa"/>
            <w:gridSpan w:val="2"/>
            <w:shd w:val="clear" w:color="auto" w:fill="D9D9D9" w:themeFill="background1" w:themeFillShade="D9"/>
            <w:noWrap/>
          </w:tcPr>
          <w:p w14:paraId="12657E6B" w14:textId="77777777" w:rsidR="006F259C" w:rsidRDefault="000F5B51" w:rsidP="00343F45">
            <w:pPr>
              <w:spacing w:line="240" w:lineRule="auto"/>
              <w:rPr>
                <w:b/>
                <w:bCs/>
              </w:rPr>
            </w:pPr>
            <w:r>
              <w:rPr>
                <w:b/>
                <w:bCs/>
              </w:rPr>
              <w:t>Total Drivers</w:t>
            </w:r>
          </w:p>
        </w:tc>
        <w:tc>
          <w:tcPr>
            <w:tcW w:w="2053" w:type="dxa"/>
          </w:tcPr>
          <w:p w14:paraId="5AAF81E5" w14:textId="77777777" w:rsidR="006F259C" w:rsidRPr="00791C5D" w:rsidRDefault="006F259C" w:rsidP="00343F45">
            <w:pPr>
              <w:spacing w:line="240" w:lineRule="auto"/>
              <w:jc w:val="center"/>
            </w:pPr>
          </w:p>
        </w:tc>
        <w:tc>
          <w:tcPr>
            <w:tcW w:w="2053" w:type="dxa"/>
            <w:noWrap/>
            <w:vAlign w:val="center"/>
          </w:tcPr>
          <w:p w14:paraId="1A1722C8" w14:textId="77777777" w:rsidR="006F259C" w:rsidRPr="00572735" w:rsidRDefault="006F259C" w:rsidP="00343F45">
            <w:pPr>
              <w:spacing w:line="240" w:lineRule="auto"/>
              <w:jc w:val="center"/>
              <w:rPr>
                <w:color w:val="000000"/>
              </w:rPr>
            </w:pPr>
          </w:p>
        </w:tc>
        <w:tc>
          <w:tcPr>
            <w:tcW w:w="2054" w:type="dxa"/>
          </w:tcPr>
          <w:p w14:paraId="049E1E6A" w14:textId="2C472A01" w:rsidR="006F259C" w:rsidRPr="00047DF1" w:rsidRDefault="00503013" w:rsidP="00343F45">
            <w:pPr>
              <w:spacing w:line="240" w:lineRule="auto"/>
              <w:jc w:val="center"/>
              <w:rPr>
                <w:b/>
              </w:rPr>
            </w:pPr>
            <w:r>
              <w:rPr>
                <w:b/>
                <w:bCs/>
                <w:color w:val="000000"/>
              </w:rPr>
              <w:t>78.7164</w:t>
            </w:r>
          </w:p>
        </w:tc>
      </w:tr>
    </w:tbl>
    <w:p w14:paraId="6EEA7C24" w14:textId="77777777" w:rsidR="006F259C" w:rsidRPr="00572735" w:rsidRDefault="000F5B51" w:rsidP="006F259C">
      <w:pPr>
        <w:rPr>
          <w:sz w:val="18"/>
          <w:szCs w:val="18"/>
        </w:rPr>
      </w:pPr>
      <w:r>
        <w:rPr>
          <w:sz w:val="18"/>
          <w:szCs w:val="18"/>
        </w:rPr>
        <w:t xml:space="preserve"> </w:t>
      </w:r>
      <w:r w:rsidRPr="00572735">
        <w:rPr>
          <w:sz w:val="18"/>
          <w:szCs w:val="18"/>
        </w:rPr>
        <w:t>Note: Values may not sum due to rounding.</w:t>
      </w:r>
    </w:p>
    <w:p w14:paraId="34A96BF6" w14:textId="44956DD2" w:rsidR="006F259C" w:rsidRDefault="000F5B51" w:rsidP="006F259C">
      <w:pPr>
        <w:pStyle w:val="Caption"/>
      </w:pPr>
      <w:r>
        <w:lastRenderedPageBreak/>
        <w:t xml:space="preserve">Table </w:t>
      </w:r>
      <w:r w:rsidR="00115BAB">
        <w:fldChar w:fldCharType="begin"/>
      </w:r>
      <w:r>
        <w:instrText xml:space="preserve"> SEQ Table \* ARABIC </w:instrText>
      </w:r>
      <w:r w:rsidR="00115BAB">
        <w:fldChar w:fldCharType="separate"/>
      </w:r>
      <w:r w:rsidR="00A65CB3">
        <w:rPr>
          <w:noProof/>
        </w:rPr>
        <w:t>157</w:t>
      </w:r>
      <w:r w:rsidR="00115BAB">
        <w:rPr>
          <w:noProof/>
        </w:rPr>
        <w:fldChar w:fldCharType="end"/>
      </w:r>
      <w:r>
        <w:t xml:space="preserve">: </w:t>
      </w:r>
      <w:r w:rsidRPr="00C021D8">
        <w:t xml:space="preserve">Calculation of </w:t>
      </w:r>
      <w:r w:rsidRPr="00471AE9">
        <w:t>Equivalent Lives Saved</w:t>
      </w:r>
      <w:r w:rsidRPr="00C021D8">
        <w:t xml:space="preserve"> for </w:t>
      </w:r>
      <w:r>
        <w:t>Right Front Seat Occupants</w:t>
      </w:r>
    </w:p>
    <w:tbl>
      <w:tblPr>
        <w:tblStyle w:val="TableGrid3"/>
        <w:tblW w:w="9349" w:type="dxa"/>
        <w:tblLayout w:type="fixed"/>
        <w:tblLook w:val="04A0" w:firstRow="1" w:lastRow="0" w:firstColumn="1" w:lastColumn="0" w:noHBand="0" w:noVBand="1"/>
      </w:tblPr>
      <w:tblGrid>
        <w:gridCol w:w="1592"/>
        <w:gridCol w:w="1597"/>
        <w:gridCol w:w="2053"/>
        <w:gridCol w:w="2053"/>
        <w:gridCol w:w="2054"/>
      </w:tblGrid>
      <w:tr w:rsidR="00A15C2C" w14:paraId="5072C63C" w14:textId="77777777" w:rsidTr="00343F45">
        <w:trPr>
          <w:trHeight w:val="1380"/>
        </w:trPr>
        <w:tc>
          <w:tcPr>
            <w:tcW w:w="1592" w:type="dxa"/>
            <w:shd w:val="clear" w:color="auto" w:fill="D9D9D9" w:themeFill="background1" w:themeFillShade="D9"/>
            <w:noWrap/>
            <w:vAlign w:val="center"/>
            <w:hideMark/>
          </w:tcPr>
          <w:p w14:paraId="629F9202" w14:textId="77777777" w:rsidR="006F259C" w:rsidRPr="00A46F57" w:rsidRDefault="000F5B51" w:rsidP="00343F45">
            <w:pPr>
              <w:spacing w:line="240" w:lineRule="auto"/>
              <w:rPr>
                <w:b/>
                <w:bCs/>
              </w:rPr>
            </w:pPr>
            <w:r w:rsidRPr="006D7613">
              <w:rPr>
                <w:b/>
                <w:bCs/>
              </w:rPr>
              <w:t>Vehicle Type</w:t>
            </w:r>
          </w:p>
        </w:tc>
        <w:tc>
          <w:tcPr>
            <w:tcW w:w="1597" w:type="dxa"/>
            <w:shd w:val="clear" w:color="auto" w:fill="D9D9D9" w:themeFill="background1" w:themeFillShade="D9"/>
            <w:noWrap/>
            <w:hideMark/>
          </w:tcPr>
          <w:p w14:paraId="1EB1482C" w14:textId="77777777" w:rsidR="006F259C" w:rsidRPr="007F6FCD" w:rsidRDefault="000F5B51" w:rsidP="00343F45">
            <w:pPr>
              <w:spacing w:line="240" w:lineRule="auto"/>
              <w:rPr>
                <w:b/>
                <w:bCs/>
              </w:rPr>
            </w:pPr>
            <w:r w:rsidRPr="00A46F57">
              <w:rPr>
                <w:b/>
                <w:bCs/>
              </w:rPr>
              <w:t> </w:t>
            </w:r>
          </w:p>
          <w:p w14:paraId="122A739D" w14:textId="77777777" w:rsidR="006F259C" w:rsidRPr="00A46F57" w:rsidRDefault="000F5B51" w:rsidP="00343F45">
            <w:pPr>
              <w:spacing w:line="240" w:lineRule="auto"/>
              <w:rPr>
                <w:b/>
                <w:bCs/>
              </w:rPr>
            </w:pPr>
            <w:r w:rsidRPr="00A46F57">
              <w:rPr>
                <w:b/>
                <w:bCs/>
              </w:rPr>
              <w:t xml:space="preserve">Injury Severity </w:t>
            </w:r>
          </w:p>
        </w:tc>
        <w:tc>
          <w:tcPr>
            <w:tcW w:w="2053" w:type="dxa"/>
            <w:shd w:val="clear" w:color="auto" w:fill="D9D9D9" w:themeFill="background1" w:themeFillShade="D9"/>
            <w:vAlign w:val="center"/>
          </w:tcPr>
          <w:p w14:paraId="01A20749" w14:textId="77777777" w:rsidR="006F259C" w:rsidRPr="00A46F57" w:rsidRDefault="000F5B51" w:rsidP="00343F45">
            <w:pPr>
              <w:spacing w:line="240" w:lineRule="auto"/>
              <w:jc w:val="center"/>
              <w:rPr>
                <w:b/>
                <w:bCs/>
              </w:rPr>
            </w:pPr>
            <w:r w:rsidRPr="007F6FCD">
              <w:rPr>
                <w:b/>
                <w:bCs/>
              </w:rPr>
              <w:t xml:space="preserve">Undiscounted </w:t>
            </w:r>
            <w:r w:rsidRPr="00A46F57">
              <w:rPr>
                <w:b/>
                <w:bCs/>
              </w:rPr>
              <w:t>Incremental Benefits</w:t>
            </w:r>
          </w:p>
        </w:tc>
        <w:tc>
          <w:tcPr>
            <w:tcW w:w="2053" w:type="dxa"/>
            <w:shd w:val="clear" w:color="auto" w:fill="D9D9D9" w:themeFill="background1" w:themeFillShade="D9"/>
            <w:noWrap/>
            <w:vAlign w:val="center"/>
          </w:tcPr>
          <w:p w14:paraId="3FFE264E" w14:textId="77777777" w:rsidR="006F259C" w:rsidRPr="00A46F57" w:rsidRDefault="000F5B51" w:rsidP="00343F45">
            <w:pPr>
              <w:spacing w:line="240" w:lineRule="auto"/>
              <w:jc w:val="center"/>
              <w:rPr>
                <w:b/>
                <w:bCs/>
              </w:rPr>
            </w:pPr>
            <w:r w:rsidRPr="006163DB">
              <w:rPr>
                <w:rFonts w:eastAsia="Times New Roman" w:cs="Times New Roman"/>
                <w:b/>
                <w:bCs/>
              </w:rPr>
              <w:t>Relative Disutility Factors</w:t>
            </w:r>
          </w:p>
        </w:tc>
        <w:tc>
          <w:tcPr>
            <w:tcW w:w="2054" w:type="dxa"/>
            <w:shd w:val="clear" w:color="auto" w:fill="D9D9D9" w:themeFill="background1" w:themeFillShade="D9"/>
            <w:vAlign w:val="center"/>
          </w:tcPr>
          <w:p w14:paraId="14104D51" w14:textId="77777777" w:rsidR="006F259C" w:rsidRPr="007F6FCD" w:rsidRDefault="000F5B51" w:rsidP="00343F45">
            <w:pPr>
              <w:spacing w:line="240" w:lineRule="auto"/>
              <w:jc w:val="center"/>
              <w:rPr>
                <w:b/>
                <w:bCs/>
              </w:rPr>
            </w:pPr>
            <w:r>
              <w:rPr>
                <w:rFonts w:eastAsia="Times New Roman" w:cs="Times New Roman"/>
                <w:b/>
                <w:bCs/>
                <w:color w:val="000000"/>
              </w:rPr>
              <w:t>Equivalent Lives Saved</w:t>
            </w:r>
          </w:p>
        </w:tc>
      </w:tr>
      <w:tr w:rsidR="00A15C2C" w14:paraId="618331E1" w14:textId="77777777" w:rsidTr="00343F45">
        <w:trPr>
          <w:trHeight w:val="320"/>
        </w:trPr>
        <w:tc>
          <w:tcPr>
            <w:tcW w:w="1592" w:type="dxa"/>
            <w:vMerge w:val="restart"/>
            <w:shd w:val="clear" w:color="auto" w:fill="D9D9D9" w:themeFill="background1" w:themeFillShade="D9"/>
            <w:noWrap/>
            <w:vAlign w:val="center"/>
            <w:hideMark/>
          </w:tcPr>
          <w:p w14:paraId="5E2BD345" w14:textId="77777777" w:rsidR="006F259C" w:rsidRPr="00A46F57" w:rsidRDefault="000F5B51" w:rsidP="00343F45">
            <w:pPr>
              <w:spacing w:line="240" w:lineRule="auto"/>
              <w:rPr>
                <w:b/>
                <w:bCs/>
              </w:rPr>
            </w:pPr>
            <w:r w:rsidRPr="006D7613">
              <w:rPr>
                <w:b/>
                <w:bCs/>
              </w:rPr>
              <w:t>PC</w:t>
            </w:r>
          </w:p>
        </w:tc>
        <w:tc>
          <w:tcPr>
            <w:tcW w:w="1597" w:type="dxa"/>
            <w:shd w:val="clear" w:color="auto" w:fill="D9D9D9" w:themeFill="background1" w:themeFillShade="D9"/>
            <w:noWrap/>
            <w:hideMark/>
          </w:tcPr>
          <w:p w14:paraId="5254F859" w14:textId="77777777" w:rsidR="006F259C" w:rsidRPr="00A46F57" w:rsidRDefault="000F5B51" w:rsidP="00343F45">
            <w:pPr>
              <w:spacing w:line="240" w:lineRule="auto"/>
            </w:pPr>
            <w:r w:rsidRPr="00A46F57">
              <w:t>MAIS 1</w:t>
            </w:r>
          </w:p>
        </w:tc>
        <w:tc>
          <w:tcPr>
            <w:tcW w:w="2053" w:type="dxa"/>
          </w:tcPr>
          <w:p w14:paraId="20C858F5" w14:textId="77777777" w:rsidR="006F259C" w:rsidRPr="00A46F57" w:rsidRDefault="000F5B51" w:rsidP="00343F45">
            <w:pPr>
              <w:spacing w:line="240" w:lineRule="auto"/>
              <w:jc w:val="center"/>
            </w:pPr>
            <w:r w:rsidRPr="008D2626">
              <w:t>2.27</w:t>
            </w:r>
          </w:p>
        </w:tc>
        <w:tc>
          <w:tcPr>
            <w:tcW w:w="2053" w:type="dxa"/>
            <w:noWrap/>
            <w:vAlign w:val="center"/>
          </w:tcPr>
          <w:p w14:paraId="410974B0" w14:textId="77777777" w:rsidR="006F259C" w:rsidRPr="00A46F57" w:rsidRDefault="000F5B51" w:rsidP="00343F45">
            <w:pPr>
              <w:spacing w:line="240" w:lineRule="auto"/>
              <w:jc w:val="center"/>
            </w:pPr>
            <w:r w:rsidRPr="00572735">
              <w:rPr>
                <w:color w:val="000000"/>
              </w:rPr>
              <w:t>0.0038</w:t>
            </w:r>
          </w:p>
        </w:tc>
        <w:tc>
          <w:tcPr>
            <w:tcW w:w="2054" w:type="dxa"/>
          </w:tcPr>
          <w:p w14:paraId="22CE5AEE" w14:textId="77777777" w:rsidR="006F259C" w:rsidRPr="00A46F57" w:rsidRDefault="000F5B51" w:rsidP="00343F45">
            <w:pPr>
              <w:spacing w:line="240" w:lineRule="auto"/>
              <w:jc w:val="center"/>
            </w:pPr>
            <w:r w:rsidRPr="00381DCB">
              <w:t>0.008529061</w:t>
            </w:r>
          </w:p>
        </w:tc>
      </w:tr>
      <w:tr w:rsidR="00A15C2C" w14:paraId="6A0FE5EC" w14:textId="77777777" w:rsidTr="00343F45">
        <w:trPr>
          <w:trHeight w:val="320"/>
        </w:trPr>
        <w:tc>
          <w:tcPr>
            <w:tcW w:w="1592" w:type="dxa"/>
            <w:vMerge/>
            <w:shd w:val="clear" w:color="auto" w:fill="D9D9D9" w:themeFill="background1" w:themeFillShade="D9"/>
            <w:noWrap/>
            <w:vAlign w:val="center"/>
            <w:hideMark/>
          </w:tcPr>
          <w:p w14:paraId="011D6147" w14:textId="77777777" w:rsidR="006F259C" w:rsidRPr="00A46F57" w:rsidRDefault="006F259C" w:rsidP="00343F45">
            <w:pPr>
              <w:spacing w:line="240" w:lineRule="auto"/>
              <w:rPr>
                <w:b/>
                <w:bCs/>
              </w:rPr>
            </w:pPr>
          </w:p>
        </w:tc>
        <w:tc>
          <w:tcPr>
            <w:tcW w:w="1597" w:type="dxa"/>
            <w:shd w:val="clear" w:color="auto" w:fill="D9D9D9" w:themeFill="background1" w:themeFillShade="D9"/>
            <w:noWrap/>
            <w:hideMark/>
          </w:tcPr>
          <w:p w14:paraId="5F29A0C8" w14:textId="77777777" w:rsidR="006F259C" w:rsidRPr="00A46F57" w:rsidRDefault="000F5B51" w:rsidP="00343F45">
            <w:pPr>
              <w:spacing w:line="240" w:lineRule="auto"/>
            </w:pPr>
            <w:r w:rsidRPr="00A46F57">
              <w:t>MAIS 2</w:t>
            </w:r>
          </w:p>
        </w:tc>
        <w:tc>
          <w:tcPr>
            <w:tcW w:w="2053" w:type="dxa"/>
          </w:tcPr>
          <w:p w14:paraId="5B09F724" w14:textId="77777777" w:rsidR="006F259C" w:rsidRPr="00A46F57" w:rsidRDefault="000F5B51" w:rsidP="00343F45">
            <w:pPr>
              <w:spacing w:line="240" w:lineRule="auto"/>
              <w:jc w:val="center"/>
            </w:pPr>
            <w:r w:rsidRPr="008D2626">
              <w:t>13.89</w:t>
            </w:r>
          </w:p>
        </w:tc>
        <w:tc>
          <w:tcPr>
            <w:tcW w:w="2053" w:type="dxa"/>
            <w:noWrap/>
            <w:vAlign w:val="center"/>
          </w:tcPr>
          <w:p w14:paraId="285B0742" w14:textId="77777777" w:rsidR="006F259C" w:rsidRPr="00A46F57" w:rsidRDefault="000F5B51" w:rsidP="00343F45">
            <w:pPr>
              <w:spacing w:line="240" w:lineRule="auto"/>
              <w:jc w:val="center"/>
            </w:pPr>
            <w:r w:rsidRPr="00572735">
              <w:rPr>
                <w:color w:val="000000"/>
              </w:rPr>
              <w:t>0.0454</w:t>
            </w:r>
          </w:p>
        </w:tc>
        <w:tc>
          <w:tcPr>
            <w:tcW w:w="2054" w:type="dxa"/>
          </w:tcPr>
          <w:p w14:paraId="47322706" w14:textId="77777777" w:rsidR="006F259C" w:rsidRPr="00A46F57" w:rsidRDefault="000F5B51" w:rsidP="00343F45">
            <w:pPr>
              <w:spacing w:line="240" w:lineRule="auto"/>
              <w:jc w:val="center"/>
            </w:pPr>
            <w:r w:rsidRPr="00381DCB">
              <w:t>0.630291491</w:t>
            </w:r>
          </w:p>
        </w:tc>
      </w:tr>
      <w:tr w:rsidR="00A15C2C" w14:paraId="5DB7516F" w14:textId="77777777" w:rsidTr="00343F45">
        <w:trPr>
          <w:trHeight w:val="320"/>
        </w:trPr>
        <w:tc>
          <w:tcPr>
            <w:tcW w:w="1592" w:type="dxa"/>
            <w:vMerge/>
            <w:shd w:val="clear" w:color="auto" w:fill="D9D9D9" w:themeFill="background1" w:themeFillShade="D9"/>
            <w:noWrap/>
            <w:vAlign w:val="center"/>
            <w:hideMark/>
          </w:tcPr>
          <w:p w14:paraId="7EF47947" w14:textId="77777777" w:rsidR="006F259C" w:rsidRPr="00A46F57" w:rsidRDefault="006F259C" w:rsidP="00343F45">
            <w:pPr>
              <w:spacing w:line="240" w:lineRule="auto"/>
              <w:rPr>
                <w:b/>
                <w:bCs/>
              </w:rPr>
            </w:pPr>
          </w:p>
        </w:tc>
        <w:tc>
          <w:tcPr>
            <w:tcW w:w="1597" w:type="dxa"/>
            <w:shd w:val="clear" w:color="auto" w:fill="D9D9D9" w:themeFill="background1" w:themeFillShade="D9"/>
            <w:noWrap/>
            <w:hideMark/>
          </w:tcPr>
          <w:p w14:paraId="03DDA43D" w14:textId="77777777" w:rsidR="006F259C" w:rsidRPr="00A46F57" w:rsidRDefault="000F5B51" w:rsidP="00343F45">
            <w:pPr>
              <w:spacing w:line="240" w:lineRule="auto"/>
            </w:pPr>
            <w:r w:rsidRPr="00A46F57">
              <w:t>MAIS 3</w:t>
            </w:r>
          </w:p>
        </w:tc>
        <w:tc>
          <w:tcPr>
            <w:tcW w:w="2053" w:type="dxa"/>
          </w:tcPr>
          <w:p w14:paraId="68F26CFC" w14:textId="77777777" w:rsidR="006F259C" w:rsidRPr="00A46F57" w:rsidRDefault="000F5B51" w:rsidP="00343F45">
            <w:pPr>
              <w:spacing w:line="240" w:lineRule="auto"/>
              <w:jc w:val="center"/>
            </w:pPr>
            <w:r w:rsidRPr="008D2626">
              <w:t>3.84</w:t>
            </w:r>
          </w:p>
        </w:tc>
        <w:tc>
          <w:tcPr>
            <w:tcW w:w="2053" w:type="dxa"/>
            <w:noWrap/>
            <w:vAlign w:val="center"/>
          </w:tcPr>
          <w:p w14:paraId="374BDB8F" w14:textId="77777777" w:rsidR="006F259C" w:rsidRPr="00A46F57" w:rsidRDefault="000F5B51" w:rsidP="00343F45">
            <w:pPr>
              <w:spacing w:line="240" w:lineRule="auto"/>
              <w:jc w:val="center"/>
            </w:pPr>
            <w:r w:rsidRPr="00572735">
              <w:rPr>
                <w:color w:val="000000"/>
              </w:rPr>
              <w:t>0.1078</w:t>
            </w:r>
          </w:p>
        </w:tc>
        <w:tc>
          <w:tcPr>
            <w:tcW w:w="2054" w:type="dxa"/>
          </w:tcPr>
          <w:p w14:paraId="7432D8E2" w14:textId="77777777" w:rsidR="006F259C" w:rsidRPr="00A46F57" w:rsidRDefault="000F5B51" w:rsidP="00343F45">
            <w:pPr>
              <w:spacing w:line="240" w:lineRule="auto"/>
              <w:jc w:val="center"/>
            </w:pPr>
            <w:r w:rsidRPr="00381DCB">
              <w:t>0.41360929</w:t>
            </w:r>
          </w:p>
        </w:tc>
      </w:tr>
      <w:tr w:rsidR="00A15C2C" w14:paraId="17E791B7" w14:textId="77777777" w:rsidTr="00343F45">
        <w:trPr>
          <w:trHeight w:val="320"/>
        </w:trPr>
        <w:tc>
          <w:tcPr>
            <w:tcW w:w="1592" w:type="dxa"/>
            <w:vMerge/>
            <w:shd w:val="clear" w:color="auto" w:fill="D9D9D9" w:themeFill="background1" w:themeFillShade="D9"/>
            <w:noWrap/>
            <w:vAlign w:val="center"/>
            <w:hideMark/>
          </w:tcPr>
          <w:p w14:paraId="5CBBE890" w14:textId="77777777" w:rsidR="006F259C" w:rsidRPr="00A46F57" w:rsidRDefault="006F259C" w:rsidP="00343F45">
            <w:pPr>
              <w:spacing w:line="240" w:lineRule="auto"/>
              <w:rPr>
                <w:b/>
                <w:bCs/>
              </w:rPr>
            </w:pPr>
          </w:p>
        </w:tc>
        <w:tc>
          <w:tcPr>
            <w:tcW w:w="1597" w:type="dxa"/>
            <w:shd w:val="clear" w:color="auto" w:fill="D9D9D9" w:themeFill="background1" w:themeFillShade="D9"/>
            <w:noWrap/>
            <w:hideMark/>
          </w:tcPr>
          <w:p w14:paraId="2FD5C2F7" w14:textId="77777777" w:rsidR="006F259C" w:rsidRPr="00A46F57" w:rsidRDefault="000F5B51" w:rsidP="00343F45">
            <w:pPr>
              <w:spacing w:line="240" w:lineRule="auto"/>
            </w:pPr>
            <w:r w:rsidRPr="00A46F57">
              <w:t>MAIS 4</w:t>
            </w:r>
          </w:p>
        </w:tc>
        <w:tc>
          <w:tcPr>
            <w:tcW w:w="2053" w:type="dxa"/>
          </w:tcPr>
          <w:p w14:paraId="36A551BA" w14:textId="77777777" w:rsidR="006F259C" w:rsidRPr="00A46F57" w:rsidRDefault="000F5B51" w:rsidP="00343F45">
            <w:pPr>
              <w:spacing w:line="240" w:lineRule="auto"/>
              <w:jc w:val="center"/>
            </w:pPr>
            <w:r w:rsidRPr="008D2626">
              <w:t>2.77</w:t>
            </w:r>
          </w:p>
        </w:tc>
        <w:tc>
          <w:tcPr>
            <w:tcW w:w="2053" w:type="dxa"/>
            <w:noWrap/>
            <w:vAlign w:val="center"/>
          </w:tcPr>
          <w:p w14:paraId="7F3D17CB" w14:textId="77777777" w:rsidR="006F259C" w:rsidRPr="00A46F57" w:rsidRDefault="000F5B51" w:rsidP="00343F45">
            <w:pPr>
              <w:spacing w:line="240" w:lineRule="auto"/>
              <w:jc w:val="center"/>
            </w:pPr>
            <w:r w:rsidRPr="00572735">
              <w:rPr>
                <w:color w:val="000000"/>
              </w:rPr>
              <w:t>0.2677</w:t>
            </w:r>
          </w:p>
        </w:tc>
        <w:tc>
          <w:tcPr>
            <w:tcW w:w="2054" w:type="dxa"/>
          </w:tcPr>
          <w:p w14:paraId="65C6D508" w14:textId="77777777" w:rsidR="006F259C" w:rsidRPr="00A46F57" w:rsidRDefault="000F5B51" w:rsidP="00343F45">
            <w:pPr>
              <w:spacing w:line="240" w:lineRule="auto"/>
              <w:jc w:val="center"/>
            </w:pPr>
            <w:r w:rsidRPr="00381DCB">
              <w:t>0.742095943</w:t>
            </w:r>
          </w:p>
        </w:tc>
      </w:tr>
      <w:tr w:rsidR="00A15C2C" w14:paraId="09BB3A0A" w14:textId="77777777" w:rsidTr="00343F45">
        <w:trPr>
          <w:trHeight w:val="320"/>
        </w:trPr>
        <w:tc>
          <w:tcPr>
            <w:tcW w:w="1592" w:type="dxa"/>
            <w:vMerge/>
            <w:shd w:val="clear" w:color="auto" w:fill="D9D9D9" w:themeFill="background1" w:themeFillShade="D9"/>
            <w:noWrap/>
            <w:vAlign w:val="center"/>
            <w:hideMark/>
          </w:tcPr>
          <w:p w14:paraId="29CDCBFC" w14:textId="77777777" w:rsidR="006F259C" w:rsidRPr="00A46F57" w:rsidRDefault="006F259C" w:rsidP="00343F45">
            <w:pPr>
              <w:spacing w:line="240" w:lineRule="auto"/>
              <w:rPr>
                <w:b/>
                <w:bCs/>
              </w:rPr>
            </w:pPr>
          </w:p>
        </w:tc>
        <w:tc>
          <w:tcPr>
            <w:tcW w:w="1597" w:type="dxa"/>
            <w:shd w:val="clear" w:color="auto" w:fill="D9D9D9" w:themeFill="background1" w:themeFillShade="D9"/>
            <w:noWrap/>
            <w:hideMark/>
          </w:tcPr>
          <w:p w14:paraId="5717465B" w14:textId="77777777" w:rsidR="006F259C" w:rsidRPr="00A46F57" w:rsidRDefault="000F5B51" w:rsidP="00343F45">
            <w:pPr>
              <w:spacing w:line="240" w:lineRule="auto"/>
            </w:pPr>
            <w:r w:rsidRPr="00A46F57">
              <w:t>MAIS 5</w:t>
            </w:r>
          </w:p>
        </w:tc>
        <w:tc>
          <w:tcPr>
            <w:tcW w:w="2053" w:type="dxa"/>
          </w:tcPr>
          <w:p w14:paraId="32F2F9A9" w14:textId="77777777" w:rsidR="006F259C" w:rsidRPr="00A46F57" w:rsidRDefault="000F5B51" w:rsidP="00343F45">
            <w:pPr>
              <w:spacing w:line="240" w:lineRule="auto"/>
              <w:jc w:val="center"/>
            </w:pPr>
            <w:r w:rsidRPr="008D2626">
              <w:t>0.07</w:t>
            </w:r>
          </w:p>
        </w:tc>
        <w:tc>
          <w:tcPr>
            <w:tcW w:w="2053" w:type="dxa"/>
            <w:noWrap/>
            <w:vAlign w:val="center"/>
          </w:tcPr>
          <w:p w14:paraId="2E6091C0" w14:textId="77777777" w:rsidR="006F259C" w:rsidRPr="00A46F57" w:rsidRDefault="000F5B51" w:rsidP="00343F45">
            <w:pPr>
              <w:spacing w:line="240" w:lineRule="auto"/>
              <w:jc w:val="center"/>
            </w:pPr>
            <w:r w:rsidRPr="00572735">
              <w:rPr>
                <w:color w:val="000000"/>
              </w:rPr>
              <w:t>0.6125</w:t>
            </w:r>
          </w:p>
        </w:tc>
        <w:tc>
          <w:tcPr>
            <w:tcW w:w="2054" w:type="dxa"/>
          </w:tcPr>
          <w:p w14:paraId="49C445EC" w14:textId="77777777" w:rsidR="006F259C" w:rsidRPr="00A46F57" w:rsidRDefault="000F5B51" w:rsidP="00343F45">
            <w:pPr>
              <w:spacing w:line="240" w:lineRule="auto"/>
              <w:jc w:val="center"/>
            </w:pPr>
            <w:r w:rsidRPr="00381DCB">
              <w:t>0.04011975</w:t>
            </w:r>
          </w:p>
        </w:tc>
      </w:tr>
      <w:tr w:rsidR="00A15C2C" w14:paraId="600640D6" w14:textId="77777777" w:rsidTr="00343F45">
        <w:trPr>
          <w:trHeight w:val="310"/>
        </w:trPr>
        <w:tc>
          <w:tcPr>
            <w:tcW w:w="1592" w:type="dxa"/>
            <w:vMerge/>
            <w:shd w:val="clear" w:color="auto" w:fill="D9D9D9" w:themeFill="background1" w:themeFillShade="D9"/>
            <w:noWrap/>
            <w:vAlign w:val="center"/>
            <w:hideMark/>
          </w:tcPr>
          <w:p w14:paraId="6EAE5A29" w14:textId="77777777" w:rsidR="006F259C" w:rsidRPr="00A46F57" w:rsidRDefault="006F259C" w:rsidP="00343F45">
            <w:pPr>
              <w:spacing w:line="240" w:lineRule="auto"/>
              <w:rPr>
                <w:b/>
                <w:bCs/>
              </w:rPr>
            </w:pPr>
          </w:p>
        </w:tc>
        <w:tc>
          <w:tcPr>
            <w:tcW w:w="1597" w:type="dxa"/>
            <w:shd w:val="clear" w:color="auto" w:fill="D9D9D9" w:themeFill="background1" w:themeFillShade="D9"/>
            <w:noWrap/>
            <w:hideMark/>
          </w:tcPr>
          <w:p w14:paraId="31C5D081" w14:textId="77777777" w:rsidR="006F259C" w:rsidRPr="00A46F57" w:rsidRDefault="000F5B51" w:rsidP="00343F45">
            <w:pPr>
              <w:spacing w:line="240" w:lineRule="auto"/>
              <w:rPr>
                <w:b/>
                <w:bCs/>
              </w:rPr>
            </w:pPr>
            <w:r w:rsidRPr="00A46F57">
              <w:rPr>
                <w:b/>
                <w:bCs/>
              </w:rPr>
              <w:t>Fatality</w:t>
            </w:r>
          </w:p>
        </w:tc>
        <w:tc>
          <w:tcPr>
            <w:tcW w:w="2053" w:type="dxa"/>
          </w:tcPr>
          <w:p w14:paraId="0CDCB737" w14:textId="77777777" w:rsidR="006F259C" w:rsidRPr="00A46F57" w:rsidRDefault="000F5B51" w:rsidP="00343F45">
            <w:pPr>
              <w:spacing w:line="240" w:lineRule="auto"/>
              <w:jc w:val="center"/>
            </w:pPr>
            <w:r w:rsidRPr="008D2626">
              <w:t>4.82</w:t>
            </w:r>
          </w:p>
        </w:tc>
        <w:tc>
          <w:tcPr>
            <w:tcW w:w="2053" w:type="dxa"/>
            <w:noWrap/>
            <w:vAlign w:val="center"/>
          </w:tcPr>
          <w:p w14:paraId="0A6D5E00" w14:textId="77777777" w:rsidR="006F259C" w:rsidRPr="00A46F57" w:rsidRDefault="000F5B51" w:rsidP="00343F45">
            <w:pPr>
              <w:spacing w:line="240" w:lineRule="auto"/>
              <w:jc w:val="center"/>
            </w:pPr>
            <w:r w:rsidRPr="00572735">
              <w:rPr>
                <w:color w:val="000000"/>
              </w:rPr>
              <w:t>1.0000</w:t>
            </w:r>
          </w:p>
        </w:tc>
        <w:tc>
          <w:tcPr>
            <w:tcW w:w="2054" w:type="dxa"/>
          </w:tcPr>
          <w:p w14:paraId="20BBCF23" w14:textId="77777777" w:rsidR="006F259C" w:rsidRPr="00A46F57" w:rsidRDefault="000F5B51" w:rsidP="00343F45">
            <w:pPr>
              <w:spacing w:line="240" w:lineRule="auto"/>
              <w:jc w:val="center"/>
            </w:pPr>
            <w:r w:rsidRPr="00381DCB">
              <w:t>4.82</w:t>
            </w:r>
          </w:p>
        </w:tc>
      </w:tr>
      <w:tr w:rsidR="00A15C2C" w14:paraId="46E17D52" w14:textId="77777777" w:rsidTr="00343F45">
        <w:trPr>
          <w:trHeight w:val="310"/>
        </w:trPr>
        <w:tc>
          <w:tcPr>
            <w:tcW w:w="1592" w:type="dxa"/>
            <w:vMerge/>
            <w:shd w:val="clear" w:color="auto" w:fill="D9D9D9" w:themeFill="background1" w:themeFillShade="D9"/>
            <w:noWrap/>
            <w:vAlign w:val="center"/>
          </w:tcPr>
          <w:p w14:paraId="6AF24AC0" w14:textId="77777777" w:rsidR="006F259C" w:rsidRPr="00A46F57" w:rsidRDefault="006F259C" w:rsidP="00343F45">
            <w:pPr>
              <w:spacing w:line="240" w:lineRule="auto"/>
              <w:rPr>
                <w:b/>
                <w:bCs/>
              </w:rPr>
            </w:pPr>
          </w:p>
        </w:tc>
        <w:tc>
          <w:tcPr>
            <w:tcW w:w="1597" w:type="dxa"/>
            <w:shd w:val="clear" w:color="auto" w:fill="D9D9D9" w:themeFill="background1" w:themeFillShade="D9"/>
            <w:noWrap/>
          </w:tcPr>
          <w:p w14:paraId="6C2A8F00" w14:textId="77777777" w:rsidR="006F259C" w:rsidRPr="00A46F57" w:rsidRDefault="000F5B51" w:rsidP="00343F45">
            <w:pPr>
              <w:spacing w:line="240" w:lineRule="auto"/>
              <w:rPr>
                <w:b/>
                <w:bCs/>
              </w:rPr>
            </w:pPr>
            <w:r>
              <w:rPr>
                <w:b/>
                <w:bCs/>
              </w:rPr>
              <w:t>Total PC</w:t>
            </w:r>
          </w:p>
        </w:tc>
        <w:tc>
          <w:tcPr>
            <w:tcW w:w="2053" w:type="dxa"/>
          </w:tcPr>
          <w:p w14:paraId="37BCD887" w14:textId="77777777" w:rsidR="006F259C" w:rsidRPr="00D448DE" w:rsidRDefault="006F259C" w:rsidP="00343F45">
            <w:pPr>
              <w:spacing w:line="240" w:lineRule="auto"/>
              <w:jc w:val="center"/>
            </w:pPr>
          </w:p>
        </w:tc>
        <w:tc>
          <w:tcPr>
            <w:tcW w:w="2053" w:type="dxa"/>
            <w:noWrap/>
            <w:vAlign w:val="center"/>
          </w:tcPr>
          <w:p w14:paraId="62CB91AD" w14:textId="77777777" w:rsidR="006F259C" w:rsidRPr="00572735" w:rsidRDefault="006F259C" w:rsidP="00343F45">
            <w:pPr>
              <w:spacing w:line="240" w:lineRule="auto"/>
              <w:jc w:val="center"/>
              <w:rPr>
                <w:color w:val="000000"/>
              </w:rPr>
            </w:pPr>
          </w:p>
        </w:tc>
        <w:tc>
          <w:tcPr>
            <w:tcW w:w="2054" w:type="dxa"/>
          </w:tcPr>
          <w:p w14:paraId="36A0837F" w14:textId="77777777" w:rsidR="006F259C" w:rsidRPr="00E66816" w:rsidRDefault="000F5B51" w:rsidP="00343F45">
            <w:pPr>
              <w:spacing w:line="240" w:lineRule="auto"/>
              <w:jc w:val="center"/>
              <w:rPr>
                <w:b/>
                <w:bCs/>
              </w:rPr>
            </w:pPr>
            <w:r w:rsidRPr="00A049CC">
              <w:rPr>
                <w:b/>
                <w:bCs/>
              </w:rPr>
              <w:t>6.658869194</w:t>
            </w:r>
          </w:p>
        </w:tc>
      </w:tr>
      <w:tr w:rsidR="00A15C2C" w14:paraId="3EB8819E" w14:textId="77777777" w:rsidTr="00343F45">
        <w:trPr>
          <w:trHeight w:val="320"/>
        </w:trPr>
        <w:tc>
          <w:tcPr>
            <w:tcW w:w="1592" w:type="dxa"/>
            <w:vMerge w:val="restart"/>
            <w:shd w:val="clear" w:color="auto" w:fill="D9D9D9" w:themeFill="background1" w:themeFillShade="D9"/>
            <w:noWrap/>
            <w:vAlign w:val="center"/>
            <w:hideMark/>
          </w:tcPr>
          <w:p w14:paraId="539198FE" w14:textId="77777777" w:rsidR="006F259C" w:rsidRPr="00A46F57" w:rsidRDefault="000F5B51" w:rsidP="00343F45">
            <w:pPr>
              <w:spacing w:line="240" w:lineRule="auto"/>
              <w:rPr>
                <w:b/>
                <w:bCs/>
              </w:rPr>
            </w:pPr>
            <w:r w:rsidRPr="006D7613">
              <w:rPr>
                <w:b/>
                <w:bCs/>
              </w:rPr>
              <w:t>LTV</w:t>
            </w:r>
          </w:p>
        </w:tc>
        <w:tc>
          <w:tcPr>
            <w:tcW w:w="1597" w:type="dxa"/>
            <w:shd w:val="clear" w:color="auto" w:fill="D9D9D9" w:themeFill="background1" w:themeFillShade="D9"/>
            <w:noWrap/>
            <w:hideMark/>
          </w:tcPr>
          <w:p w14:paraId="13A718D3" w14:textId="77777777" w:rsidR="006F259C" w:rsidRPr="00A46F57" w:rsidRDefault="000F5B51" w:rsidP="00343F45">
            <w:pPr>
              <w:spacing w:line="240" w:lineRule="auto"/>
            </w:pPr>
            <w:r w:rsidRPr="00A46F57">
              <w:t>MAIS 1</w:t>
            </w:r>
          </w:p>
        </w:tc>
        <w:tc>
          <w:tcPr>
            <w:tcW w:w="2053" w:type="dxa"/>
          </w:tcPr>
          <w:p w14:paraId="0C70143F" w14:textId="77777777" w:rsidR="006F259C" w:rsidRPr="00A46F57" w:rsidRDefault="000F5B51" w:rsidP="00343F45">
            <w:pPr>
              <w:spacing w:line="240" w:lineRule="auto"/>
              <w:jc w:val="center"/>
            </w:pPr>
            <w:r w:rsidRPr="00EA7026">
              <w:t>1.39</w:t>
            </w:r>
          </w:p>
        </w:tc>
        <w:tc>
          <w:tcPr>
            <w:tcW w:w="2053" w:type="dxa"/>
            <w:noWrap/>
            <w:vAlign w:val="center"/>
          </w:tcPr>
          <w:p w14:paraId="42C57434" w14:textId="77777777" w:rsidR="006F259C" w:rsidRPr="00A46F57" w:rsidRDefault="000F5B51" w:rsidP="00343F45">
            <w:pPr>
              <w:spacing w:line="240" w:lineRule="auto"/>
              <w:jc w:val="center"/>
            </w:pPr>
            <w:r w:rsidRPr="00572735">
              <w:rPr>
                <w:color w:val="000000"/>
              </w:rPr>
              <w:t>0.0038</w:t>
            </w:r>
          </w:p>
        </w:tc>
        <w:tc>
          <w:tcPr>
            <w:tcW w:w="2054" w:type="dxa"/>
          </w:tcPr>
          <w:p w14:paraId="2C07B506" w14:textId="77777777" w:rsidR="006F259C" w:rsidRPr="00A46F57" w:rsidRDefault="000F5B51" w:rsidP="00343F45">
            <w:pPr>
              <w:spacing w:line="240" w:lineRule="auto"/>
              <w:jc w:val="center"/>
            </w:pPr>
            <w:r w:rsidRPr="00F02F1D">
              <w:t>0.005209821</w:t>
            </w:r>
          </w:p>
        </w:tc>
      </w:tr>
      <w:tr w:rsidR="00A15C2C" w14:paraId="10EAB2F9" w14:textId="77777777" w:rsidTr="00343F45">
        <w:trPr>
          <w:trHeight w:val="320"/>
        </w:trPr>
        <w:tc>
          <w:tcPr>
            <w:tcW w:w="1592" w:type="dxa"/>
            <w:vMerge/>
            <w:shd w:val="clear" w:color="auto" w:fill="D9D9D9" w:themeFill="background1" w:themeFillShade="D9"/>
            <w:noWrap/>
            <w:hideMark/>
          </w:tcPr>
          <w:p w14:paraId="47516D74" w14:textId="77777777" w:rsidR="006F259C" w:rsidRPr="00A46F57" w:rsidRDefault="006F259C" w:rsidP="00343F45"/>
        </w:tc>
        <w:tc>
          <w:tcPr>
            <w:tcW w:w="1597" w:type="dxa"/>
            <w:shd w:val="clear" w:color="auto" w:fill="D9D9D9" w:themeFill="background1" w:themeFillShade="D9"/>
            <w:noWrap/>
            <w:hideMark/>
          </w:tcPr>
          <w:p w14:paraId="19E0D9ED" w14:textId="77777777" w:rsidR="006F259C" w:rsidRPr="00A46F57" w:rsidRDefault="000F5B51" w:rsidP="00343F45">
            <w:pPr>
              <w:spacing w:line="240" w:lineRule="auto"/>
            </w:pPr>
            <w:r w:rsidRPr="00A46F57">
              <w:t>MAIS 2</w:t>
            </w:r>
          </w:p>
        </w:tc>
        <w:tc>
          <w:tcPr>
            <w:tcW w:w="2053" w:type="dxa"/>
          </w:tcPr>
          <w:p w14:paraId="62152A51" w14:textId="77777777" w:rsidR="006F259C" w:rsidRPr="00A46F57" w:rsidRDefault="000F5B51" w:rsidP="00343F45">
            <w:pPr>
              <w:spacing w:line="240" w:lineRule="auto"/>
              <w:jc w:val="center"/>
            </w:pPr>
            <w:r w:rsidRPr="00EA7026">
              <w:t>6.59</w:t>
            </w:r>
          </w:p>
        </w:tc>
        <w:tc>
          <w:tcPr>
            <w:tcW w:w="2053" w:type="dxa"/>
            <w:noWrap/>
            <w:vAlign w:val="center"/>
          </w:tcPr>
          <w:p w14:paraId="610561BB" w14:textId="77777777" w:rsidR="006F259C" w:rsidRPr="00A46F57" w:rsidRDefault="000F5B51" w:rsidP="00343F45">
            <w:pPr>
              <w:spacing w:line="240" w:lineRule="auto"/>
              <w:jc w:val="center"/>
            </w:pPr>
            <w:r w:rsidRPr="00572735">
              <w:rPr>
                <w:color w:val="000000"/>
              </w:rPr>
              <w:t>0.0454</w:t>
            </w:r>
          </w:p>
        </w:tc>
        <w:tc>
          <w:tcPr>
            <w:tcW w:w="2054" w:type="dxa"/>
          </w:tcPr>
          <w:p w14:paraId="268329E3" w14:textId="77777777" w:rsidR="006F259C" w:rsidRPr="00A46F57" w:rsidRDefault="000F5B51" w:rsidP="00343F45">
            <w:pPr>
              <w:spacing w:line="240" w:lineRule="auto"/>
              <w:jc w:val="center"/>
            </w:pPr>
            <w:r w:rsidRPr="00F02F1D">
              <w:t>0.29880348</w:t>
            </w:r>
          </w:p>
        </w:tc>
      </w:tr>
      <w:tr w:rsidR="00A15C2C" w14:paraId="6149D930" w14:textId="77777777" w:rsidTr="00343F45">
        <w:trPr>
          <w:trHeight w:val="320"/>
        </w:trPr>
        <w:tc>
          <w:tcPr>
            <w:tcW w:w="1592" w:type="dxa"/>
            <w:vMerge/>
            <w:shd w:val="clear" w:color="auto" w:fill="D9D9D9" w:themeFill="background1" w:themeFillShade="D9"/>
            <w:noWrap/>
            <w:hideMark/>
          </w:tcPr>
          <w:p w14:paraId="16E0B534" w14:textId="77777777" w:rsidR="006F259C" w:rsidRPr="00A46F57" w:rsidRDefault="006F259C" w:rsidP="00343F45"/>
        </w:tc>
        <w:tc>
          <w:tcPr>
            <w:tcW w:w="1597" w:type="dxa"/>
            <w:shd w:val="clear" w:color="auto" w:fill="D9D9D9" w:themeFill="background1" w:themeFillShade="D9"/>
            <w:noWrap/>
            <w:hideMark/>
          </w:tcPr>
          <w:p w14:paraId="45944EF4" w14:textId="77777777" w:rsidR="006F259C" w:rsidRPr="00A46F57" w:rsidRDefault="000F5B51" w:rsidP="00343F45">
            <w:pPr>
              <w:spacing w:line="240" w:lineRule="auto"/>
            </w:pPr>
            <w:r w:rsidRPr="00A46F57">
              <w:t>MAIS 3</w:t>
            </w:r>
          </w:p>
        </w:tc>
        <w:tc>
          <w:tcPr>
            <w:tcW w:w="2053" w:type="dxa"/>
          </w:tcPr>
          <w:p w14:paraId="65A5AFEB" w14:textId="77777777" w:rsidR="006F259C" w:rsidRPr="00A46F57" w:rsidRDefault="000F5B51" w:rsidP="00343F45">
            <w:pPr>
              <w:spacing w:line="240" w:lineRule="auto"/>
              <w:jc w:val="center"/>
            </w:pPr>
            <w:r w:rsidRPr="00EA7026">
              <w:t>0.05</w:t>
            </w:r>
          </w:p>
        </w:tc>
        <w:tc>
          <w:tcPr>
            <w:tcW w:w="2053" w:type="dxa"/>
            <w:noWrap/>
            <w:vAlign w:val="center"/>
          </w:tcPr>
          <w:p w14:paraId="205ABCF0" w14:textId="77777777" w:rsidR="006F259C" w:rsidRPr="00A46F57" w:rsidRDefault="000F5B51" w:rsidP="00343F45">
            <w:pPr>
              <w:spacing w:line="240" w:lineRule="auto"/>
              <w:jc w:val="center"/>
            </w:pPr>
            <w:r w:rsidRPr="00572735">
              <w:rPr>
                <w:color w:val="000000"/>
              </w:rPr>
              <w:t>0.1078</w:t>
            </w:r>
          </w:p>
        </w:tc>
        <w:tc>
          <w:tcPr>
            <w:tcW w:w="2054" w:type="dxa"/>
          </w:tcPr>
          <w:p w14:paraId="540F129C" w14:textId="77777777" w:rsidR="006F259C" w:rsidRPr="00A46F57" w:rsidRDefault="000F5B51" w:rsidP="00343F45">
            <w:pPr>
              <w:spacing w:line="240" w:lineRule="auto"/>
              <w:jc w:val="center"/>
            </w:pPr>
            <w:r w:rsidRPr="00F02F1D">
              <w:t>0.004855605</w:t>
            </w:r>
          </w:p>
        </w:tc>
      </w:tr>
      <w:tr w:rsidR="00A15C2C" w14:paraId="4A1FD3D1" w14:textId="77777777" w:rsidTr="00343F45">
        <w:trPr>
          <w:trHeight w:val="320"/>
        </w:trPr>
        <w:tc>
          <w:tcPr>
            <w:tcW w:w="1592" w:type="dxa"/>
            <w:vMerge/>
            <w:shd w:val="clear" w:color="auto" w:fill="D9D9D9" w:themeFill="background1" w:themeFillShade="D9"/>
            <w:noWrap/>
            <w:hideMark/>
          </w:tcPr>
          <w:p w14:paraId="691E0391" w14:textId="77777777" w:rsidR="006F259C" w:rsidRPr="00A46F57" w:rsidRDefault="006F259C" w:rsidP="00343F45"/>
        </w:tc>
        <w:tc>
          <w:tcPr>
            <w:tcW w:w="1597" w:type="dxa"/>
            <w:shd w:val="clear" w:color="auto" w:fill="D9D9D9" w:themeFill="background1" w:themeFillShade="D9"/>
            <w:noWrap/>
            <w:hideMark/>
          </w:tcPr>
          <w:p w14:paraId="3F7BB88D" w14:textId="77777777" w:rsidR="006F259C" w:rsidRPr="00A46F57" w:rsidRDefault="000F5B51" w:rsidP="00343F45">
            <w:pPr>
              <w:spacing w:line="240" w:lineRule="auto"/>
            </w:pPr>
            <w:r w:rsidRPr="00A46F57">
              <w:t>MAIS 4</w:t>
            </w:r>
          </w:p>
        </w:tc>
        <w:tc>
          <w:tcPr>
            <w:tcW w:w="2053" w:type="dxa"/>
          </w:tcPr>
          <w:p w14:paraId="0863E220" w14:textId="77777777" w:rsidR="006F259C" w:rsidRPr="00A46F57" w:rsidRDefault="000F5B51" w:rsidP="00343F45">
            <w:pPr>
              <w:spacing w:line="240" w:lineRule="auto"/>
              <w:jc w:val="center"/>
            </w:pPr>
            <w:r w:rsidRPr="00EA7026">
              <w:t>0.31</w:t>
            </w:r>
          </w:p>
        </w:tc>
        <w:tc>
          <w:tcPr>
            <w:tcW w:w="2053" w:type="dxa"/>
            <w:noWrap/>
            <w:vAlign w:val="center"/>
          </w:tcPr>
          <w:p w14:paraId="7AE6A47D" w14:textId="77777777" w:rsidR="006F259C" w:rsidRPr="00A46F57" w:rsidRDefault="000F5B51" w:rsidP="00343F45">
            <w:pPr>
              <w:spacing w:line="240" w:lineRule="auto"/>
              <w:jc w:val="center"/>
            </w:pPr>
            <w:r w:rsidRPr="00572735">
              <w:rPr>
                <w:color w:val="000000"/>
              </w:rPr>
              <w:t>0.2677</w:t>
            </w:r>
          </w:p>
        </w:tc>
        <w:tc>
          <w:tcPr>
            <w:tcW w:w="2054" w:type="dxa"/>
          </w:tcPr>
          <w:p w14:paraId="7D413875" w14:textId="77777777" w:rsidR="006F259C" w:rsidRPr="00A46F57" w:rsidRDefault="000F5B51" w:rsidP="00343F45">
            <w:pPr>
              <w:spacing w:line="240" w:lineRule="auto"/>
              <w:jc w:val="center"/>
            </w:pPr>
            <w:r w:rsidRPr="00F02F1D">
              <w:t>0.083307669</w:t>
            </w:r>
          </w:p>
        </w:tc>
      </w:tr>
      <w:tr w:rsidR="00A15C2C" w14:paraId="60013256" w14:textId="77777777" w:rsidTr="00343F45">
        <w:trPr>
          <w:trHeight w:val="320"/>
        </w:trPr>
        <w:tc>
          <w:tcPr>
            <w:tcW w:w="1592" w:type="dxa"/>
            <w:vMerge/>
            <w:shd w:val="clear" w:color="auto" w:fill="D9D9D9" w:themeFill="background1" w:themeFillShade="D9"/>
            <w:noWrap/>
            <w:hideMark/>
          </w:tcPr>
          <w:p w14:paraId="420DE7BF" w14:textId="77777777" w:rsidR="006F259C" w:rsidRPr="00A46F57" w:rsidRDefault="006F259C" w:rsidP="00343F45"/>
        </w:tc>
        <w:tc>
          <w:tcPr>
            <w:tcW w:w="1597" w:type="dxa"/>
            <w:shd w:val="clear" w:color="auto" w:fill="D9D9D9" w:themeFill="background1" w:themeFillShade="D9"/>
            <w:noWrap/>
            <w:hideMark/>
          </w:tcPr>
          <w:p w14:paraId="2A8056AA" w14:textId="77777777" w:rsidR="006F259C" w:rsidRPr="00A46F57" w:rsidRDefault="000F5B51" w:rsidP="00343F45">
            <w:pPr>
              <w:spacing w:line="240" w:lineRule="auto"/>
            </w:pPr>
            <w:r w:rsidRPr="00A46F57">
              <w:t>MAIS 5</w:t>
            </w:r>
          </w:p>
        </w:tc>
        <w:tc>
          <w:tcPr>
            <w:tcW w:w="2053" w:type="dxa"/>
          </w:tcPr>
          <w:p w14:paraId="18898E27" w14:textId="77777777" w:rsidR="006F259C" w:rsidRPr="00A46F57" w:rsidRDefault="000F5B51" w:rsidP="00343F45">
            <w:pPr>
              <w:spacing w:line="240" w:lineRule="auto"/>
              <w:jc w:val="center"/>
            </w:pPr>
            <w:r w:rsidRPr="00EA7026">
              <w:t>0.02</w:t>
            </w:r>
          </w:p>
        </w:tc>
        <w:tc>
          <w:tcPr>
            <w:tcW w:w="2053" w:type="dxa"/>
            <w:noWrap/>
            <w:vAlign w:val="center"/>
          </w:tcPr>
          <w:p w14:paraId="701F3233" w14:textId="77777777" w:rsidR="006F259C" w:rsidRPr="00A46F57" w:rsidRDefault="000F5B51" w:rsidP="00343F45">
            <w:pPr>
              <w:spacing w:line="240" w:lineRule="auto"/>
              <w:jc w:val="center"/>
            </w:pPr>
            <w:r w:rsidRPr="00572735">
              <w:rPr>
                <w:color w:val="000000"/>
              </w:rPr>
              <w:t>0.6125</w:t>
            </w:r>
          </w:p>
        </w:tc>
        <w:tc>
          <w:tcPr>
            <w:tcW w:w="2054" w:type="dxa"/>
          </w:tcPr>
          <w:p w14:paraId="77D5CC07" w14:textId="77777777" w:rsidR="006F259C" w:rsidRPr="00A46F57" w:rsidRDefault="000F5B51" w:rsidP="00343F45">
            <w:pPr>
              <w:spacing w:line="240" w:lineRule="auto"/>
              <w:jc w:val="center"/>
            </w:pPr>
            <w:r w:rsidRPr="00F02F1D">
              <w:t>0.012537422</w:t>
            </w:r>
          </w:p>
        </w:tc>
      </w:tr>
      <w:tr w:rsidR="00A15C2C" w14:paraId="2F0C8994" w14:textId="77777777" w:rsidTr="00343F45">
        <w:trPr>
          <w:trHeight w:val="310"/>
        </w:trPr>
        <w:tc>
          <w:tcPr>
            <w:tcW w:w="1592" w:type="dxa"/>
            <w:vMerge/>
            <w:shd w:val="clear" w:color="auto" w:fill="D9D9D9" w:themeFill="background1" w:themeFillShade="D9"/>
            <w:noWrap/>
            <w:hideMark/>
          </w:tcPr>
          <w:p w14:paraId="28F4E895" w14:textId="77777777" w:rsidR="006F259C" w:rsidRPr="00A46F57" w:rsidRDefault="006F259C" w:rsidP="00343F45"/>
        </w:tc>
        <w:tc>
          <w:tcPr>
            <w:tcW w:w="1597" w:type="dxa"/>
            <w:shd w:val="clear" w:color="auto" w:fill="D9D9D9" w:themeFill="background1" w:themeFillShade="D9"/>
            <w:noWrap/>
            <w:hideMark/>
          </w:tcPr>
          <w:p w14:paraId="568B5FB7" w14:textId="77777777" w:rsidR="006F259C" w:rsidRPr="00A46F57" w:rsidRDefault="000F5B51" w:rsidP="00343F45">
            <w:pPr>
              <w:spacing w:line="240" w:lineRule="auto"/>
              <w:rPr>
                <w:b/>
                <w:bCs/>
              </w:rPr>
            </w:pPr>
            <w:r w:rsidRPr="00A46F57">
              <w:rPr>
                <w:b/>
                <w:bCs/>
              </w:rPr>
              <w:t>Fatality</w:t>
            </w:r>
          </w:p>
        </w:tc>
        <w:tc>
          <w:tcPr>
            <w:tcW w:w="2053" w:type="dxa"/>
          </w:tcPr>
          <w:p w14:paraId="3BE3C32D" w14:textId="77777777" w:rsidR="006F259C" w:rsidRPr="00A46F57" w:rsidRDefault="000F5B51" w:rsidP="00343F45">
            <w:pPr>
              <w:spacing w:line="240" w:lineRule="auto"/>
              <w:jc w:val="center"/>
            </w:pPr>
            <w:r w:rsidRPr="00EA7026">
              <w:t>6.56</w:t>
            </w:r>
          </w:p>
        </w:tc>
        <w:tc>
          <w:tcPr>
            <w:tcW w:w="2053" w:type="dxa"/>
            <w:noWrap/>
            <w:vAlign w:val="center"/>
          </w:tcPr>
          <w:p w14:paraId="2BC36B11" w14:textId="77777777" w:rsidR="006F259C" w:rsidRPr="00A46F57" w:rsidRDefault="000F5B51" w:rsidP="00343F45">
            <w:pPr>
              <w:spacing w:line="240" w:lineRule="auto"/>
              <w:jc w:val="center"/>
            </w:pPr>
            <w:r w:rsidRPr="00572735">
              <w:rPr>
                <w:color w:val="000000"/>
              </w:rPr>
              <w:t>1.0000</w:t>
            </w:r>
          </w:p>
        </w:tc>
        <w:tc>
          <w:tcPr>
            <w:tcW w:w="2054" w:type="dxa"/>
          </w:tcPr>
          <w:p w14:paraId="02EF3D3A" w14:textId="77777777" w:rsidR="006F259C" w:rsidRPr="00A46F57" w:rsidRDefault="000F5B51" w:rsidP="00343F45">
            <w:pPr>
              <w:spacing w:line="240" w:lineRule="auto"/>
              <w:jc w:val="center"/>
            </w:pPr>
            <w:r w:rsidRPr="00F02F1D">
              <w:t>0.005209821</w:t>
            </w:r>
          </w:p>
        </w:tc>
      </w:tr>
      <w:tr w:rsidR="00A15C2C" w14:paraId="08611904" w14:textId="77777777" w:rsidTr="00343F45">
        <w:trPr>
          <w:trHeight w:val="310"/>
        </w:trPr>
        <w:tc>
          <w:tcPr>
            <w:tcW w:w="1592" w:type="dxa"/>
            <w:vMerge/>
            <w:shd w:val="clear" w:color="auto" w:fill="D9D9D9" w:themeFill="background1" w:themeFillShade="D9"/>
            <w:noWrap/>
          </w:tcPr>
          <w:p w14:paraId="0F06AC64" w14:textId="77777777" w:rsidR="006F259C" w:rsidRPr="00A46F57" w:rsidRDefault="006F259C" w:rsidP="00343F45"/>
        </w:tc>
        <w:tc>
          <w:tcPr>
            <w:tcW w:w="1597" w:type="dxa"/>
            <w:shd w:val="clear" w:color="auto" w:fill="D9D9D9" w:themeFill="background1" w:themeFillShade="D9"/>
            <w:noWrap/>
          </w:tcPr>
          <w:p w14:paraId="0E103699" w14:textId="77777777" w:rsidR="006F259C" w:rsidRPr="00A46F57" w:rsidRDefault="000F5B51" w:rsidP="00343F45">
            <w:pPr>
              <w:spacing w:line="240" w:lineRule="auto"/>
              <w:rPr>
                <w:b/>
                <w:bCs/>
              </w:rPr>
            </w:pPr>
            <w:r>
              <w:rPr>
                <w:b/>
                <w:bCs/>
              </w:rPr>
              <w:t>Total LTV</w:t>
            </w:r>
          </w:p>
        </w:tc>
        <w:tc>
          <w:tcPr>
            <w:tcW w:w="2053" w:type="dxa"/>
          </w:tcPr>
          <w:p w14:paraId="1F0B3CE3" w14:textId="77777777" w:rsidR="006F259C" w:rsidRPr="00791C5D" w:rsidRDefault="006F259C" w:rsidP="00343F45">
            <w:pPr>
              <w:spacing w:line="240" w:lineRule="auto"/>
              <w:jc w:val="center"/>
            </w:pPr>
          </w:p>
        </w:tc>
        <w:tc>
          <w:tcPr>
            <w:tcW w:w="2053" w:type="dxa"/>
            <w:noWrap/>
            <w:vAlign w:val="center"/>
          </w:tcPr>
          <w:p w14:paraId="0D2B97E0" w14:textId="77777777" w:rsidR="006F259C" w:rsidRPr="00572735" w:rsidRDefault="006F259C" w:rsidP="00343F45">
            <w:pPr>
              <w:spacing w:line="240" w:lineRule="auto"/>
              <w:jc w:val="center"/>
              <w:rPr>
                <w:color w:val="000000"/>
              </w:rPr>
            </w:pPr>
          </w:p>
        </w:tc>
        <w:tc>
          <w:tcPr>
            <w:tcW w:w="2054" w:type="dxa"/>
          </w:tcPr>
          <w:p w14:paraId="5C6E23D2" w14:textId="77777777" w:rsidR="006F259C" w:rsidRPr="00E66816" w:rsidRDefault="000F5B51" w:rsidP="00343F45">
            <w:pPr>
              <w:spacing w:line="240" w:lineRule="auto"/>
              <w:jc w:val="center"/>
              <w:rPr>
                <w:b/>
                <w:bCs/>
              </w:rPr>
            </w:pPr>
            <w:r w:rsidRPr="002564C0">
              <w:rPr>
                <w:b/>
                <w:bCs/>
              </w:rPr>
              <w:t>6.968699931</w:t>
            </w:r>
          </w:p>
        </w:tc>
      </w:tr>
      <w:tr w:rsidR="00A15C2C" w14:paraId="6C030CB8" w14:textId="77777777" w:rsidTr="00343F45">
        <w:trPr>
          <w:trHeight w:val="310"/>
        </w:trPr>
        <w:tc>
          <w:tcPr>
            <w:tcW w:w="3189" w:type="dxa"/>
            <w:gridSpan w:val="2"/>
            <w:shd w:val="clear" w:color="auto" w:fill="D9D9D9" w:themeFill="background1" w:themeFillShade="D9"/>
            <w:noWrap/>
          </w:tcPr>
          <w:p w14:paraId="10096D3F" w14:textId="77777777" w:rsidR="006F259C" w:rsidRDefault="000F5B51" w:rsidP="00343F45">
            <w:pPr>
              <w:spacing w:line="240" w:lineRule="auto"/>
              <w:rPr>
                <w:b/>
                <w:bCs/>
              </w:rPr>
            </w:pPr>
            <w:r>
              <w:rPr>
                <w:b/>
                <w:bCs/>
              </w:rPr>
              <w:t xml:space="preserve">Total Right Front Seat </w:t>
            </w:r>
          </w:p>
        </w:tc>
        <w:tc>
          <w:tcPr>
            <w:tcW w:w="2053" w:type="dxa"/>
          </w:tcPr>
          <w:p w14:paraId="54B0C59B" w14:textId="77777777" w:rsidR="006F259C" w:rsidRPr="00791C5D" w:rsidRDefault="006F259C" w:rsidP="00343F45">
            <w:pPr>
              <w:spacing w:line="240" w:lineRule="auto"/>
              <w:jc w:val="center"/>
            </w:pPr>
          </w:p>
        </w:tc>
        <w:tc>
          <w:tcPr>
            <w:tcW w:w="2053" w:type="dxa"/>
            <w:noWrap/>
          </w:tcPr>
          <w:p w14:paraId="1C999C3C" w14:textId="77777777" w:rsidR="006F259C" w:rsidRPr="00572735" w:rsidRDefault="006F259C" w:rsidP="00343F45">
            <w:pPr>
              <w:spacing w:line="240" w:lineRule="auto"/>
              <w:jc w:val="center"/>
              <w:rPr>
                <w:color w:val="000000"/>
              </w:rPr>
            </w:pPr>
          </w:p>
        </w:tc>
        <w:tc>
          <w:tcPr>
            <w:tcW w:w="2054" w:type="dxa"/>
          </w:tcPr>
          <w:p w14:paraId="4C0B63DE" w14:textId="77777777" w:rsidR="006F259C" w:rsidRPr="00E66816" w:rsidRDefault="000F5B51" w:rsidP="00343F45">
            <w:pPr>
              <w:spacing w:line="240" w:lineRule="auto"/>
              <w:jc w:val="center"/>
              <w:rPr>
                <w:b/>
                <w:bCs/>
              </w:rPr>
            </w:pPr>
            <w:r w:rsidRPr="00D90E88">
              <w:rPr>
                <w:b/>
                <w:bCs/>
              </w:rPr>
              <w:t>13.62756913</w:t>
            </w:r>
          </w:p>
        </w:tc>
      </w:tr>
    </w:tbl>
    <w:p w14:paraId="4C0BDD36" w14:textId="77777777" w:rsidR="006F259C" w:rsidRDefault="000F5B51" w:rsidP="006F259C">
      <w:pPr>
        <w:rPr>
          <w:sz w:val="18"/>
          <w:szCs w:val="18"/>
        </w:rPr>
      </w:pPr>
      <w:r w:rsidRPr="00572735">
        <w:rPr>
          <w:sz w:val="18"/>
          <w:szCs w:val="18"/>
        </w:rPr>
        <w:t>Note: Values may not sum due to rounding.</w:t>
      </w:r>
    </w:p>
    <w:p w14:paraId="7E324FE2" w14:textId="77777777" w:rsidR="006F259C" w:rsidRDefault="006F259C" w:rsidP="006F259C">
      <w:pPr>
        <w:rPr>
          <w:sz w:val="18"/>
          <w:szCs w:val="18"/>
        </w:rPr>
      </w:pPr>
    </w:p>
    <w:p w14:paraId="6B2F8730" w14:textId="77777777" w:rsidR="006F259C" w:rsidRDefault="006F259C" w:rsidP="006F259C">
      <w:pPr>
        <w:rPr>
          <w:sz w:val="18"/>
          <w:szCs w:val="18"/>
        </w:rPr>
      </w:pPr>
    </w:p>
    <w:p w14:paraId="19622078" w14:textId="77777777" w:rsidR="006F259C" w:rsidRDefault="006F259C" w:rsidP="006F259C">
      <w:pPr>
        <w:rPr>
          <w:sz w:val="18"/>
          <w:szCs w:val="18"/>
        </w:rPr>
      </w:pPr>
    </w:p>
    <w:p w14:paraId="648461F3" w14:textId="77777777" w:rsidR="006F259C" w:rsidRDefault="006F259C" w:rsidP="006F259C">
      <w:pPr>
        <w:rPr>
          <w:sz w:val="18"/>
          <w:szCs w:val="18"/>
        </w:rPr>
      </w:pPr>
    </w:p>
    <w:p w14:paraId="45AE969F" w14:textId="77777777" w:rsidR="006F259C" w:rsidRDefault="006F259C" w:rsidP="006F259C">
      <w:pPr>
        <w:rPr>
          <w:sz w:val="18"/>
          <w:szCs w:val="18"/>
        </w:rPr>
      </w:pPr>
    </w:p>
    <w:p w14:paraId="55D52874" w14:textId="77777777" w:rsidR="006F259C" w:rsidRDefault="006F259C" w:rsidP="006F259C">
      <w:pPr>
        <w:rPr>
          <w:sz w:val="18"/>
          <w:szCs w:val="18"/>
        </w:rPr>
      </w:pPr>
    </w:p>
    <w:p w14:paraId="6D7DCA0C" w14:textId="77777777" w:rsidR="006F259C" w:rsidRDefault="006F259C" w:rsidP="006F259C">
      <w:pPr>
        <w:rPr>
          <w:sz w:val="18"/>
          <w:szCs w:val="18"/>
        </w:rPr>
      </w:pPr>
    </w:p>
    <w:p w14:paraId="0DBD1B62" w14:textId="77777777" w:rsidR="006F259C" w:rsidRDefault="006F259C" w:rsidP="006F259C">
      <w:pPr>
        <w:rPr>
          <w:sz w:val="18"/>
          <w:szCs w:val="18"/>
        </w:rPr>
      </w:pPr>
    </w:p>
    <w:p w14:paraId="2AD03D2B" w14:textId="77777777" w:rsidR="006F259C" w:rsidRDefault="006F259C" w:rsidP="006F259C">
      <w:pPr>
        <w:rPr>
          <w:sz w:val="18"/>
          <w:szCs w:val="18"/>
        </w:rPr>
      </w:pPr>
    </w:p>
    <w:p w14:paraId="11C767CD" w14:textId="77777777" w:rsidR="006F259C" w:rsidRPr="00572735" w:rsidRDefault="006F259C" w:rsidP="006F259C">
      <w:pPr>
        <w:rPr>
          <w:sz w:val="18"/>
          <w:szCs w:val="18"/>
        </w:rPr>
      </w:pPr>
    </w:p>
    <w:p w14:paraId="29E5DA66" w14:textId="3373063B" w:rsidR="006F259C" w:rsidRPr="00D01142" w:rsidRDefault="000F5B51" w:rsidP="006F259C">
      <w:pPr>
        <w:pStyle w:val="Caption"/>
      </w:pPr>
      <w:r>
        <w:lastRenderedPageBreak/>
        <w:t xml:space="preserve">Table </w:t>
      </w:r>
      <w:r w:rsidR="00115BAB">
        <w:fldChar w:fldCharType="begin"/>
      </w:r>
      <w:r>
        <w:instrText xml:space="preserve"> SEQ Table \* ARABIC </w:instrText>
      </w:r>
      <w:r w:rsidR="00115BAB">
        <w:fldChar w:fldCharType="separate"/>
      </w:r>
      <w:r w:rsidR="00A65CB3">
        <w:rPr>
          <w:noProof/>
        </w:rPr>
        <w:t>158</w:t>
      </w:r>
      <w:r w:rsidR="00115BAB">
        <w:rPr>
          <w:noProof/>
        </w:rPr>
        <w:fldChar w:fldCharType="end"/>
      </w:r>
      <w:r>
        <w:t xml:space="preserve">: </w:t>
      </w:r>
      <w:r w:rsidRPr="00C021D8">
        <w:t xml:space="preserve">Calculation of </w:t>
      </w:r>
      <w:r>
        <w:t>Monetized Benefits</w:t>
      </w:r>
      <w:r w:rsidRPr="00C021D8">
        <w:t xml:space="preserve"> for Drivers</w:t>
      </w:r>
    </w:p>
    <w:tbl>
      <w:tblPr>
        <w:tblStyle w:val="TableGrid3"/>
        <w:tblW w:w="9349" w:type="dxa"/>
        <w:tblLayout w:type="fixed"/>
        <w:tblLook w:val="04A0" w:firstRow="1" w:lastRow="0" w:firstColumn="1" w:lastColumn="0" w:noHBand="0" w:noVBand="1"/>
      </w:tblPr>
      <w:tblGrid>
        <w:gridCol w:w="1592"/>
        <w:gridCol w:w="1597"/>
        <w:gridCol w:w="2053"/>
        <w:gridCol w:w="2053"/>
        <w:gridCol w:w="2054"/>
      </w:tblGrid>
      <w:tr w:rsidR="00A15C2C" w14:paraId="1F11B62C" w14:textId="77777777" w:rsidTr="00343F45">
        <w:trPr>
          <w:trHeight w:val="1380"/>
        </w:trPr>
        <w:tc>
          <w:tcPr>
            <w:tcW w:w="1592" w:type="dxa"/>
            <w:shd w:val="clear" w:color="auto" w:fill="D9D9D9" w:themeFill="background1" w:themeFillShade="D9"/>
            <w:noWrap/>
            <w:vAlign w:val="center"/>
            <w:hideMark/>
          </w:tcPr>
          <w:p w14:paraId="71F833FF" w14:textId="77777777" w:rsidR="006F259C" w:rsidRPr="00A46F57" w:rsidRDefault="000F5B51" w:rsidP="00343F45">
            <w:pPr>
              <w:spacing w:line="240" w:lineRule="auto"/>
              <w:rPr>
                <w:b/>
                <w:bCs/>
              </w:rPr>
            </w:pPr>
            <w:r w:rsidRPr="006D7613">
              <w:rPr>
                <w:b/>
                <w:bCs/>
              </w:rPr>
              <w:t>Vehicle Type</w:t>
            </w:r>
          </w:p>
        </w:tc>
        <w:tc>
          <w:tcPr>
            <w:tcW w:w="1597" w:type="dxa"/>
            <w:shd w:val="clear" w:color="auto" w:fill="D9D9D9" w:themeFill="background1" w:themeFillShade="D9"/>
            <w:noWrap/>
            <w:hideMark/>
          </w:tcPr>
          <w:p w14:paraId="59EFBFA3" w14:textId="77777777" w:rsidR="006F259C" w:rsidRPr="007F6FCD" w:rsidRDefault="000F5B51" w:rsidP="00343F45">
            <w:pPr>
              <w:spacing w:line="240" w:lineRule="auto"/>
              <w:rPr>
                <w:b/>
                <w:bCs/>
              </w:rPr>
            </w:pPr>
            <w:r w:rsidRPr="00A46F57">
              <w:rPr>
                <w:b/>
                <w:bCs/>
              </w:rPr>
              <w:t> </w:t>
            </w:r>
          </w:p>
          <w:p w14:paraId="5D97AFBF" w14:textId="77777777" w:rsidR="006F259C" w:rsidRPr="00A46F57" w:rsidRDefault="000F5B51" w:rsidP="00343F45">
            <w:pPr>
              <w:spacing w:line="240" w:lineRule="auto"/>
              <w:rPr>
                <w:b/>
                <w:bCs/>
              </w:rPr>
            </w:pPr>
            <w:r w:rsidRPr="00A46F57">
              <w:rPr>
                <w:b/>
                <w:bCs/>
              </w:rPr>
              <w:t xml:space="preserve">Injury Severity </w:t>
            </w:r>
          </w:p>
        </w:tc>
        <w:tc>
          <w:tcPr>
            <w:tcW w:w="2053" w:type="dxa"/>
            <w:shd w:val="clear" w:color="auto" w:fill="D9D9D9" w:themeFill="background1" w:themeFillShade="D9"/>
            <w:vAlign w:val="center"/>
          </w:tcPr>
          <w:p w14:paraId="1F3E22EE" w14:textId="77777777" w:rsidR="006F259C" w:rsidRPr="00A46F57" w:rsidRDefault="000F5B51" w:rsidP="00343F45">
            <w:pPr>
              <w:spacing w:line="240" w:lineRule="auto"/>
              <w:jc w:val="center"/>
              <w:rPr>
                <w:b/>
                <w:bCs/>
              </w:rPr>
            </w:pPr>
            <w:r w:rsidRPr="007F6FCD">
              <w:rPr>
                <w:b/>
                <w:bCs/>
              </w:rPr>
              <w:t xml:space="preserve">Undiscounted </w:t>
            </w:r>
            <w:r w:rsidRPr="00A46F57">
              <w:rPr>
                <w:b/>
                <w:bCs/>
              </w:rPr>
              <w:t>Incremental Benefits</w:t>
            </w:r>
          </w:p>
        </w:tc>
        <w:tc>
          <w:tcPr>
            <w:tcW w:w="2053" w:type="dxa"/>
            <w:shd w:val="clear" w:color="auto" w:fill="D9D9D9" w:themeFill="background1" w:themeFillShade="D9"/>
            <w:noWrap/>
            <w:vAlign w:val="center"/>
          </w:tcPr>
          <w:p w14:paraId="2DCED78F" w14:textId="77777777" w:rsidR="006F259C" w:rsidRPr="00A46F57" w:rsidRDefault="000F5B51" w:rsidP="00343F45">
            <w:pPr>
              <w:spacing w:line="240" w:lineRule="auto"/>
              <w:jc w:val="center"/>
              <w:rPr>
                <w:b/>
                <w:bCs/>
              </w:rPr>
            </w:pPr>
            <w:r>
              <w:rPr>
                <w:rFonts w:eastAsia="Times New Roman" w:cs="Times New Roman"/>
                <w:b/>
                <w:bCs/>
              </w:rPr>
              <w:t>Comprehensive Unit Cost</w:t>
            </w:r>
          </w:p>
        </w:tc>
        <w:tc>
          <w:tcPr>
            <w:tcW w:w="2054" w:type="dxa"/>
            <w:shd w:val="clear" w:color="auto" w:fill="D9D9D9" w:themeFill="background1" w:themeFillShade="D9"/>
            <w:vAlign w:val="center"/>
          </w:tcPr>
          <w:p w14:paraId="73304D48" w14:textId="77777777" w:rsidR="006F259C" w:rsidRPr="007F6FCD" w:rsidRDefault="000F5B51" w:rsidP="00343F45">
            <w:pPr>
              <w:spacing w:line="240" w:lineRule="auto"/>
              <w:jc w:val="center"/>
              <w:rPr>
                <w:b/>
                <w:bCs/>
              </w:rPr>
            </w:pPr>
            <w:r>
              <w:rPr>
                <w:rFonts w:eastAsia="Times New Roman" w:cs="Times New Roman"/>
                <w:b/>
                <w:bCs/>
                <w:color w:val="000000"/>
              </w:rPr>
              <w:t>Monetized Benefits</w:t>
            </w:r>
          </w:p>
        </w:tc>
      </w:tr>
      <w:tr w:rsidR="00503013" w14:paraId="1C3803F4" w14:textId="77777777" w:rsidTr="004C5067">
        <w:trPr>
          <w:trHeight w:val="320"/>
        </w:trPr>
        <w:tc>
          <w:tcPr>
            <w:tcW w:w="1592" w:type="dxa"/>
            <w:vMerge w:val="restart"/>
            <w:shd w:val="clear" w:color="auto" w:fill="D9D9D9" w:themeFill="background1" w:themeFillShade="D9"/>
            <w:noWrap/>
            <w:vAlign w:val="center"/>
            <w:hideMark/>
          </w:tcPr>
          <w:p w14:paraId="058688EF" w14:textId="77777777" w:rsidR="00503013" w:rsidRPr="00A46F57" w:rsidRDefault="00503013" w:rsidP="00503013">
            <w:pPr>
              <w:spacing w:line="240" w:lineRule="auto"/>
              <w:rPr>
                <w:b/>
                <w:bCs/>
              </w:rPr>
            </w:pPr>
            <w:r w:rsidRPr="006D7613">
              <w:rPr>
                <w:b/>
                <w:bCs/>
              </w:rPr>
              <w:t>PC</w:t>
            </w:r>
          </w:p>
        </w:tc>
        <w:tc>
          <w:tcPr>
            <w:tcW w:w="1597" w:type="dxa"/>
            <w:shd w:val="clear" w:color="auto" w:fill="D9D9D9" w:themeFill="background1" w:themeFillShade="D9"/>
            <w:noWrap/>
            <w:hideMark/>
          </w:tcPr>
          <w:p w14:paraId="153FEF3A" w14:textId="77777777" w:rsidR="00503013" w:rsidRPr="00A46F57" w:rsidRDefault="00503013" w:rsidP="00503013">
            <w:pPr>
              <w:spacing w:line="240" w:lineRule="auto"/>
            </w:pPr>
            <w:r w:rsidRPr="00A46F57">
              <w:t>MAIS 1</w:t>
            </w:r>
          </w:p>
        </w:tc>
        <w:tc>
          <w:tcPr>
            <w:tcW w:w="2053" w:type="dxa"/>
            <w:vAlign w:val="center"/>
          </w:tcPr>
          <w:p w14:paraId="50C9329A" w14:textId="412342F4" w:rsidR="00503013" w:rsidRPr="00A46F57" w:rsidRDefault="00503013" w:rsidP="00503013">
            <w:pPr>
              <w:spacing w:line="240" w:lineRule="auto"/>
              <w:jc w:val="center"/>
            </w:pPr>
            <w:r>
              <w:rPr>
                <w:color w:val="000000"/>
              </w:rPr>
              <w:t>12.07</w:t>
            </w:r>
          </w:p>
        </w:tc>
        <w:tc>
          <w:tcPr>
            <w:tcW w:w="2053" w:type="dxa"/>
            <w:noWrap/>
          </w:tcPr>
          <w:p w14:paraId="51A71011" w14:textId="77777777" w:rsidR="00503013" w:rsidRPr="00A46F57" w:rsidRDefault="00503013" w:rsidP="00503013">
            <w:pPr>
              <w:spacing w:line="240" w:lineRule="auto"/>
              <w:jc w:val="center"/>
            </w:pPr>
            <w:r w:rsidRPr="00BF6983">
              <w:t>$56,035</w:t>
            </w:r>
          </w:p>
        </w:tc>
        <w:tc>
          <w:tcPr>
            <w:tcW w:w="2054" w:type="dxa"/>
            <w:vAlign w:val="center"/>
          </w:tcPr>
          <w:p w14:paraId="11203904" w14:textId="00CC5546" w:rsidR="00503013" w:rsidRPr="00A46F57" w:rsidRDefault="00503013" w:rsidP="00503013">
            <w:pPr>
              <w:spacing w:line="240" w:lineRule="auto"/>
              <w:jc w:val="center"/>
            </w:pPr>
            <w:r>
              <w:rPr>
                <w:color w:val="000000"/>
              </w:rPr>
              <w:t xml:space="preserve">$676,187 </w:t>
            </w:r>
          </w:p>
        </w:tc>
      </w:tr>
      <w:tr w:rsidR="00503013" w14:paraId="12B2DCA9" w14:textId="77777777" w:rsidTr="004C5067">
        <w:trPr>
          <w:trHeight w:val="320"/>
        </w:trPr>
        <w:tc>
          <w:tcPr>
            <w:tcW w:w="1592" w:type="dxa"/>
            <w:vMerge/>
            <w:shd w:val="clear" w:color="auto" w:fill="D9D9D9" w:themeFill="background1" w:themeFillShade="D9"/>
            <w:noWrap/>
            <w:vAlign w:val="center"/>
            <w:hideMark/>
          </w:tcPr>
          <w:p w14:paraId="2BFC75A4" w14:textId="77777777" w:rsidR="00503013" w:rsidRPr="00A46F57" w:rsidRDefault="00503013" w:rsidP="00503013">
            <w:pPr>
              <w:spacing w:line="240" w:lineRule="auto"/>
              <w:rPr>
                <w:b/>
                <w:bCs/>
              </w:rPr>
            </w:pPr>
          </w:p>
        </w:tc>
        <w:tc>
          <w:tcPr>
            <w:tcW w:w="1597" w:type="dxa"/>
            <w:shd w:val="clear" w:color="auto" w:fill="D9D9D9" w:themeFill="background1" w:themeFillShade="D9"/>
            <w:noWrap/>
            <w:hideMark/>
          </w:tcPr>
          <w:p w14:paraId="0F39F1CB" w14:textId="77777777" w:rsidR="00503013" w:rsidRPr="00A46F57" w:rsidRDefault="00503013" w:rsidP="00503013">
            <w:pPr>
              <w:spacing w:line="240" w:lineRule="auto"/>
            </w:pPr>
            <w:r w:rsidRPr="00A46F57">
              <w:t>MAIS 2</w:t>
            </w:r>
          </w:p>
        </w:tc>
        <w:tc>
          <w:tcPr>
            <w:tcW w:w="2053" w:type="dxa"/>
            <w:vAlign w:val="center"/>
          </w:tcPr>
          <w:p w14:paraId="3CFDAAB9" w14:textId="39F00E9C" w:rsidR="00503013" w:rsidRPr="00A46F57" w:rsidRDefault="00503013" w:rsidP="00503013">
            <w:pPr>
              <w:spacing w:line="240" w:lineRule="auto"/>
              <w:jc w:val="center"/>
            </w:pPr>
            <w:r>
              <w:rPr>
                <w:color w:val="000000"/>
              </w:rPr>
              <w:t>77.08</w:t>
            </w:r>
          </w:p>
        </w:tc>
        <w:tc>
          <w:tcPr>
            <w:tcW w:w="2053" w:type="dxa"/>
            <w:noWrap/>
          </w:tcPr>
          <w:p w14:paraId="6A8B5AF7" w14:textId="77777777" w:rsidR="00503013" w:rsidRPr="00A46F57" w:rsidRDefault="00503013" w:rsidP="00503013">
            <w:pPr>
              <w:spacing w:line="240" w:lineRule="auto"/>
              <w:jc w:val="center"/>
            </w:pPr>
            <w:r w:rsidRPr="00BF6983">
              <w:t>$553,146</w:t>
            </w:r>
          </w:p>
        </w:tc>
        <w:tc>
          <w:tcPr>
            <w:tcW w:w="2054" w:type="dxa"/>
            <w:vAlign w:val="center"/>
          </w:tcPr>
          <w:p w14:paraId="7F2D94D0" w14:textId="496D48A5" w:rsidR="00503013" w:rsidRPr="00A46F57" w:rsidRDefault="00503013" w:rsidP="00503013">
            <w:pPr>
              <w:spacing w:line="240" w:lineRule="auto"/>
              <w:jc w:val="center"/>
            </w:pPr>
            <w:r>
              <w:rPr>
                <w:color w:val="000000"/>
              </w:rPr>
              <w:t xml:space="preserve">$42,634,502 </w:t>
            </w:r>
          </w:p>
        </w:tc>
      </w:tr>
      <w:tr w:rsidR="00503013" w14:paraId="7E23554B" w14:textId="77777777" w:rsidTr="004C5067">
        <w:trPr>
          <w:trHeight w:val="320"/>
        </w:trPr>
        <w:tc>
          <w:tcPr>
            <w:tcW w:w="1592" w:type="dxa"/>
            <w:vMerge/>
            <w:shd w:val="clear" w:color="auto" w:fill="D9D9D9" w:themeFill="background1" w:themeFillShade="D9"/>
            <w:noWrap/>
            <w:vAlign w:val="center"/>
            <w:hideMark/>
          </w:tcPr>
          <w:p w14:paraId="72C804DA" w14:textId="77777777" w:rsidR="00503013" w:rsidRPr="00A46F57" w:rsidRDefault="00503013" w:rsidP="00503013">
            <w:pPr>
              <w:spacing w:line="240" w:lineRule="auto"/>
              <w:rPr>
                <w:b/>
                <w:bCs/>
              </w:rPr>
            </w:pPr>
          </w:p>
        </w:tc>
        <w:tc>
          <w:tcPr>
            <w:tcW w:w="1597" w:type="dxa"/>
            <w:shd w:val="clear" w:color="auto" w:fill="D9D9D9" w:themeFill="background1" w:themeFillShade="D9"/>
            <w:noWrap/>
            <w:hideMark/>
          </w:tcPr>
          <w:p w14:paraId="7E6F07A4" w14:textId="77777777" w:rsidR="00503013" w:rsidRPr="00A46F57" w:rsidRDefault="00503013" w:rsidP="00503013">
            <w:pPr>
              <w:spacing w:line="240" w:lineRule="auto"/>
            </w:pPr>
            <w:r w:rsidRPr="00A46F57">
              <w:t>MAIS 3</w:t>
            </w:r>
          </w:p>
        </w:tc>
        <w:tc>
          <w:tcPr>
            <w:tcW w:w="2053" w:type="dxa"/>
            <w:vAlign w:val="center"/>
          </w:tcPr>
          <w:p w14:paraId="048526E0" w14:textId="0088BC4F" w:rsidR="00503013" w:rsidRPr="00A46F57" w:rsidRDefault="00503013" w:rsidP="00503013">
            <w:pPr>
              <w:spacing w:line="240" w:lineRule="auto"/>
              <w:jc w:val="center"/>
            </w:pPr>
            <w:r>
              <w:rPr>
                <w:color w:val="000000"/>
              </w:rPr>
              <w:t>21.28</w:t>
            </w:r>
          </w:p>
        </w:tc>
        <w:tc>
          <w:tcPr>
            <w:tcW w:w="2053" w:type="dxa"/>
            <w:noWrap/>
          </w:tcPr>
          <w:p w14:paraId="03312271" w14:textId="77777777" w:rsidR="00503013" w:rsidRPr="00A46F57" w:rsidRDefault="00503013" w:rsidP="00503013">
            <w:pPr>
              <w:spacing w:line="240" w:lineRule="auto"/>
              <w:jc w:val="center"/>
            </w:pPr>
            <w:r w:rsidRPr="00BF6983">
              <w:t>$1,307,335</w:t>
            </w:r>
          </w:p>
        </w:tc>
        <w:tc>
          <w:tcPr>
            <w:tcW w:w="2054" w:type="dxa"/>
            <w:vAlign w:val="center"/>
          </w:tcPr>
          <w:p w14:paraId="0F02EBF8" w14:textId="18ACD86D" w:rsidR="00503013" w:rsidRPr="00A46F57" w:rsidRDefault="00503013" w:rsidP="00503013">
            <w:pPr>
              <w:spacing w:line="240" w:lineRule="auto"/>
              <w:jc w:val="center"/>
            </w:pPr>
            <w:r>
              <w:rPr>
                <w:color w:val="000000"/>
              </w:rPr>
              <w:t xml:space="preserve">$27,819,500 </w:t>
            </w:r>
          </w:p>
        </w:tc>
      </w:tr>
      <w:tr w:rsidR="00503013" w14:paraId="7057591E" w14:textId="77777777" w:rsidTr="004C5067">
        <w:trPr>
          <w:trHeight w:val="320"/>
        </w:trPr>
        <w:tc>
          <w:tcPr>
            <w:tcW w:w="1592" w:type="dxa"/>
            <w:vMerge/>
            <w:shd w:val="clear" w:color="auto" w:fill="D9D9D9" w:themeFill="background1" w:themeFillShade="D9"/>
            <w:noWrap/>
            <w:vAlign w:val="center"/>
            <w:hideMark/>
          </w:tcPr>
          <w:p w14:paraId="2C8C2B0A" w14:textId="77777777" w:rsidR="00503013" w:rsidRPr="00A46F57" w:rsidRDefault="00503013" w:rsidP="00503013">
            <w:pPr>
              <w:spacing w:line="240" w:lineRule="auto"/>
              <w:rPr>
                <w:b/>
                <w:bCs/>
              </w:rPr>
            </w:pPr>
          </w:p>
        </w:tc>
        <w:tc>
          <w:tcPr>
            <w:tcW w:w="1597" w:type="dxa"/>
            <w:shd w:val="clear" w:color="auto" w:fill="D9D9D9" w:themeFill="background1" w:themeFillShade="D9"/>
            <w:noWrap/>
            <w:hideMark/>
          </w:tcPr>
          <w:p w14:paraId="185BDDCD" w14:textId="77777777" w:rsidR="00503013" w:rsidRPr="00A46F57" w:rsidRDefault="00503013" w:rsidP="00503013">
            <w:pPr>
              <w:spacing w:line="240" w:lineRule="auto"/>
            </w:pPr>
            <w:r w:rsidRPr="00A46F57">
              <w:t>MAIS 4</w:t>
            </w:r>
          </w:p>
        </w:tc>
        <w:tc>
          <w:tcPr>
            <w:tcW w:w="2053" w:type="dxa"/>
            <w:vAlign w:val="center"/>
          </w:tcPr>
          <w:p w14:paraId="1758B9AC" w14:textId="39F78A24" w:rsidR="00503013" w:rsidRPr="00A46F57" w:rsidRDefault="00503013" w:rsidP="00503013">
            <w:pPr>
              <w:spacing w:line="240" w:lineRule="auto"/>
              <w:jc w:val="center"/>
            </w:pPr>
            <w:r>
              <w:rPr>
                <w:color w:val="000000"/>
              </w:rPr>
              <w:t>15.40</w:t>
            </w:r>
          </w:p>
        </w:tc>
        <w:tc>
          <w:tcPr>
            <w:tcW w:w="2053" w:type="dxa"/>
            <w:noWrap/>
          </w:tcPr>
          <w:p w14:paraId="41D7B7CD" w14:textId="77777777" w:rsidR="00503013" w:rsidRPr="00A46F57" w:rsidRDefault="00503013" w:rsidP="00503013">
            <w:pPr>
              <w:spacing w:line="240" w:lineRule="auto"/>
              <w:jc w:val="center"/>
            </w:pPr>
            <w:r w:rsidRPr="00BF6983">
              <w:t>$3,215,701</w:t>
            </w:r>
          </w:p>
        </w:tc>
        <w:tc>
          <w:tcPr>
            <w:tcW w:w="2054" w:type="dxa"/>
            <w:vAlign w:val="center"/>
          </w:tcPr>
          <w:p w14:paraId="0BB315C8" w14:textId="687B636D" w:rsidR="00503013" w:rsidRPr="00A46F57" w:rsidRDefault="00503013" w:rsidP="00503013">
            <w:pPr>
              <w:spacing w:line="240" w:lineRule="auto"/>
              <w:jc w:val="center"/>
            </w:pPr>
            <w:r>
              <w:rPr>
                <w:color w:val="000000"/>
              </w:rPr>
              <w:t xml:space="preserve">$49,525,654 </w:t>
            </w:r>
          </w:p>
        </w:tc>
      </w:tr>
      <w:tr w:rsidR="00503013" w14:paraId="37EBD7E3" w14:textId="77777777" w:rsidTr="004C5067">
        <w:trPr>
          <w:trHeight w:val="320"/>
        </w:trPr>
        <w:tc>
          <w:tcPr>
            <w:tcW w:w="1592" w:type="dxa"/>
            <w:vMerge/>
            <w:shd w:val="clear" w:color="auto" w:fill="D9D9D9" w:themeFill="background1" w:themeFillShade="D9"/>
            <w:noWrap/>
            <w:vAlign w:val="center"/>
            <w:hideMark/>
          </w:tcPr>
          <w:p w14:paraId="6202CE54" w14:textId="77777777" w:rsidR="00503013" w:rsidRPr="00A46F57" w:rsidRDefault="00503013" w:rsidP="00503013">
            <w:pPr>
              <w:spacing w:line="240" w:lineRule="auto"/>
              <w:rPr>
                <w:b/>
                <w:bCs/>
              </w:rPr>
            </w:pPr>
          </w:p>
        </w:tc>
        <w:tc>
          <w:tcPr>
            <w:tcW w:w="1597" w:type="dxa"/>
            <w:shd w:val="clear" w:color="auto" w:fill="D9D9D9" w:themeFill="background1" w:themeFillShade="D9"/>
            <w:noWrap/>
            <w:hideMark/>
          </w:tcPr>
          <w:p w14:paraId="20B2653A" w14:textId="77777777" w:rsidR="00503013" w:rsidRPr="00A46F57" w:rsidRDefault="00503013" w:rsidP="00503013">
            <w:pPr>
              <w:spacing w:line="240" w:lineRule="auto"/>
            </w:pPr>
            <w:r w:rsidRPr="00A46F57">
              <w:t>MAIS 5</w:t>
            </w:r>
          </w:p>
        </w:tc>
        <w:tc>
          <w:tcPr>
            <w:tcW w:w="2053" w:type="dxa"/>
            <w:vAlign w:val="center"/>
          </w:tcPr>
          <w:p w14:paraId="76E22D72" w14:textId="60A234BF" w:rsidR="00503013" w:rsidRPr="00A46F57" w:rsidRDefault="00503013" w:rsidP="00503013">
            <w:pPr>
              <w:spacing w:line="240" w:lineRule="auto"/>
              <w:jc w:val="center"/>
            </w:pPr>
            <w:r>
              <w:rPr>
                <w:color w:val="000000"/>
              </w:rPr>
              <w:t>0.37</w:t>
            </w:r>
          </w:p>
        </w:tc>
        <w:tc>
          <w:tcPr>
            <w:tcW w:w="2053" w:type="dxa"/>
            <w:noWrap/>
          </w:tcPr>
          <w:p w14:paraId="5DF66446" w14:textId="77777777" w:rsidR="00503013" w:rsidRPr="00A46F57" w:rsidRDefault="00503013" w:rsidP="00503013">
            <w:pPr>
              <w:spacing w:line="240" w:lineRule="auto"/>
              <w:jc w:val="center"/>
            </w:pPr>
            <w:r w:rsidRPr="00BF6983">
              <w:t>$7,327,043</w:t>
            </w:r>
          </w:p>
        </w:tc>
        <w:tc>
          <w:tcPr>
            <w:tcW w:w="2054" w:type="dxa"/>
            <w:vAlign w:val="center"/>
          </w:tcPr>
          <w:p w14:paraId="5071C6FE" w14:textId="49CE6FA8" w:rsidR="00503013" w:rsidRPr="00A46F57" w:rsidRDefault="00503013" w:rsidP="00503013">
            <w:pPr>
              <w:spacing w:line="240" w:lineRule="auto"/>
              <w:jc w:val="center"/>
            </w:pPr>
            <w:r>
              <w:rPr>
                <w:color w:val="000000"/>
              </w:rPr>
              <w:t xml:space="preserve">$2,675,836 </w:t>
            </w:r>
          </w:p>
        </w:tc>
      </w:tr>
      <w:tr w:rsidR="00503013" w14:paraId="39DE1305" w14:textId="77777777" w:rsidTr="004C5067">
        <w:trPr>
          <w:trHeight w:val="310"/>
        </w:trPr>
        <w:tc>
          <w:tcPr>
            <w:tcW w:w="1592" w:type="dxa"/>
            <w:vMerge/>
            <w:shd w:val="clear" w:color="auto" w:fill="D9D9D9" w:themeFill="background1" w:themeFillShade="D9"/>
            <w:noWrap/>
            <w:vAlign w:val="center"/>
            <w:hideMark/>
          </w:tcPr>
          <w:p w14:paraId="6DC60298" w14:textId="77777777" w:rsidR="00503013" w:rsidRPr="00A46F57" w:rsidRDefault="00503013" w:rsidP="00503013">
            <w:pPr>
              <w:spacing w:line="240" w:lineRule="auto"/>
              <w:rPr>
                <w:b/>
                <w:bCs/>
              </w:rPr>
            </w:pPr>
          </w:p>
        </w:tc>
        <w:tc>
          <w:tcPr>
            <w:tcW w:w="1597" w:type="dxa"/>
            <w:shd w:val="clear" w:color="auto" w:fill="D9D9D9" w:themeFill="background1" w:themeFillShade="D9"/>
            <w:noWrap/>
            <w:hideMark/>
          </w:tcPr>
          <w:p w14:paraId="605E66F8" w14:textId="77777777" w:rsidR="00503013" w:rsidRPr="00A46F57" w:rsidRDefault="00503013" w:rsidP="00503013">
            <w:pPr>
              <w:spacing w:line="240" w:lineRule="auto"/>
              <w:rPr>
                <w:b/>
                <w:bCs/>
              </w:rPr>
            </w:pPr>
            <w:r w:rsidRPr="00A46F57">
              <w:rPr>
                <w:b/>
                <w:bCs/>
              </w:rPr>
              <w:t>Fatality</w:t>
            </w:r>
          </w:p>
        </w:tc>
        <w:tc>
          <w:tcPr>
            <w:tcW w:w="2053" w:type="dxa"/>
            <w:vAlign w:val="center"/>
          </w:tcPr>
          <w:p w14:paraId="20A12BB6" w14:textId="0F9E6BEE" w:rsidR="00503013" w:rsidRPr="00A46F57" w:rsidRDefault="00503013" w:rsidP="00503013">
            <w:pPr>
              <w:spacing w:line="240" w:lineRule="auto"/>
              <w:jc w:val="center"/>
            </w:pPr>
            <w:r>
              <w:rPr>
                <w:color w:val="000000"/>
              </w:rPr>
              <w:t>25.03</w:t>
            </w:r>
          </w:p>
        </w:tc>
        <w:tc>
          <w:tcPr>
            <w:tcW w:w="2053" w:type="dxa"/>
            <w:noWrap/>
          </w:tcPr>
          <w:p w14:paraId="6216A302" w14:textId="77777777" w:rsidR="00503013" w:rsidRPr="00A46F57" w:rsidRDefault="00503013" w:rsidP="00503013">
            <w:pPr>
              <w:spacing w:line="240" w:lineRule="auto"/>
              <w:jc w:val="center"/>
            </w:pPr>
            <w:r w:rsidRPr="00BF6983">
              <w:t>$11,950,834</w:t>
            </w:r>
          </w:p>
        </w:tc>
        <w:tc>
          <w:tcPr>
            <w:tcW w:w="2054" w:type="dxa"/>
            <w:vAlign w:val="center"/>
          </w:tcPr>
          <w:p w14:paraId="19785EEB" w14:textId="4B9F5284" w:rsidR="00503013" w:rsidRPr="00A46F57" w:rsidRDefault="00503013" w:rsidP="00503013">
            <w:pPr>
              <w:spacing w:line="240" w:lineRule="auto"/>
              <w:jc w:val="center"/>
            </w:pPr>
            <w:r>
              <w:rPr>
                <w:color w:val="000000"/>
              </w:rPr>
              <w:t xml:space="preserve">$299,172,355 </w:t>
            </w:r>
          </w:p>
        </w:tc>
      </w:tr>
      <w:tr w:rsidR="00503013" w14:paraId="5E49C1EA" w14:textId="77777777" w:rsidTr="004C5067">
        <w:trPr>
          <w:trHeight w:val="310"/>
        </w:trPr>
        <w:tc>
          <w:tcPr>
            <w:tcW w:w="1592" w:type="dxa"/>
            <w:vMerge/>
            <w:shd w:val="clear" w:color="auto" w:fill="D9D9D9" w:themeFill="background1" w:themeFillShade="D9"/>
            <w:noWrap/>
            <w:vAlign w:val="center"/>
          </w:tcPr>
          <w:p w14:paraId="178C82C2" w14:textId="77777777" w:rsidR="00503013" w:rsidRPr="00A46F57" w:rsidRDefault="00503013" w:rsidP="00503013">
            <w:pPr>
              <w:spacing w:line="240" w:lineRule="auto"/>
              <w:rPr>
                <w:b/>
                <w:bCs/>
              </w:rPr>
            </w:pPr>
          </w:p>
        </w:tc>
        <w:tc>
          <w:tcPr>
            <w:tcW w:w="1597" w:type="dxa"/>
            <w:shd w:val="clear" w:color="auto" w:fill="D9D9D9" w:themeFill="background1" w:themeFillShade="D9"/>
            <w:noWrap/>
          </w:tcPr>
          <w:p w14:paraId="0480FB16" w14:textId="77777777" w:rsidR="00503013" w:rsidRPr="00A46F57" w:rsidRDefault="00503013" w:rsidP="00503013">
            <w:pPr>
              <w:spacing w:line="240" w:lineRule="auto"/>
              <w:rPr>
                <w:b/>
                <w:bCs/>
              </w:rPr>
            </w:pPr>
            <w:r>
              <w:rPr>
                <w:b/>
                <w:bCs/>
              </w:rPr>
              <w:t>Total PC</w:t>
            </w:r>
          </w:p>
        </w:tc>
        <w:tc>
          <w:tcPr>
            <w:tcW w:w="2053" w:type="dxa"/>
          </w:tcPr>
          <w:p w14:paraId="632D2DB8" w14:textId="77777777" w:rsidR="00503013" w:rsidRPr="00D448DE" w:rsidRDefault="00503013" w:rsidP="00503013">
            <w:pPr>
              <w:spacing w:line="240" w:lineRule="auto"/>
              <w:jc w:val="center"/>
            </w:pPr>
          </w:p>
        </w:tc>
        <w:tc>
          <w:tcPr>
            <w:tcW w:w="2053" w:type="dxa"/>
            <w:noWrap/>
            <w:vAlign w:val="center"/>
          </w:tcPr>
          <w:p w14:paraId="573FC48F" w14:textId="77777777" w:rsidR="00503013" w:rsidRPr="00572735" w:rsidRDefault="00503013" w:rsidP="00503013">
            <w:pPr>
              <w:spacing w:line="240" w:lineRule="auto"/>
              <w:jc w:val="center"/>
              <w:rPr>
                <w:color w:val="000000"/>
              </w:rPr>
            </w:pPr>
          </w:p>
        </w:tc>
        <w:tc>
          <w:tcPr>
            <w:tcW w:w="2054" w:type="dxa"/>
            <w:vAlign w:val="center"/>
          </w:tcPr>
          <w:p w14:paraId="44647E30" w14:textId="3A2D6F9D" w:rsidR="00503013" w:rsidRPr="00E66816" w:rsidRDefault="00503013" w:rsidP="00503013">
            <w:pPr>
              <w:spacing w:line="240" w:lineRule="auto"/>
              <w:jc w:val="center"/>
              <w:rPr>
                <w:b/>
                <w:bCs/>
              </w:rPr>
            </w:pPr>
            <w:r w:rsidRPr="00D14C2A">
              <w:rPr>
                <w:color w:val="000000"/>
              </w:rPr>
              <w:t xml:space="preserve">$422,504,035 </w:t>
            </w:r>
          </w:p>
        </w:tc>
      </w:tr>
      <w:tr w:rsidR="00503013" w14:paraId="19574898" w14:textId="77777777" w:rsidTr="004C5067">
        <w:trPr>
          <w:trHeight w:val="320"/>
        </w:trPr>
        <w:tc>
          <w:tcPr>
            <w:tcW w:w="1592" w:type="dxa"/>
            <w:vMerge w:val="restart"/>
            <w:shd w:val="clear" w:color="auto" w:fill="D9D9D9" w:themeFill="background1" w:themeFillShade="D9"/>
            <w:noWrap/>
            <w:vAlign w:val="center"/>
            <w:hideMark/>
          </w:tcPr>
          <w:p w14:paraId="4EA11CFA" w14:textId="77777777" w:rsidR="00503013" w:rsidRPr="00A46F57" w:rsidRDefault="00503013" w:rsidP="00503013">
            <w:pPr>
              <w:spacing w:line="240" w:lineRule="auto"/>
              <w:rPr>
                <w:b/>
                <w:bCs/>
              </w:rPr>
            </w:pPr>
            <w:r w:rsidRPr="006D7613">
              <w:rPr>
                <w:b/>
                <w:bCs/>
              </w:rPr>
              <w:t>LTV</w:t>
            </w:r>
          </w:p>
        </w:tc>
        <w:tc>
          <w:tcPr>
            <w:tcW w:w="1597" w:type="dxa"/>
            <w:shd w:val="clear" w:color="auto" w:fill="D9D9D9" w:themeFill="background1" w:themeFillShade="D9"/>
            <w:noWrap/>
            <w:hideMark/>
          </w:tcPr>
          <w:p w14:paraId="15E17D09" w14:textId="77777777" w:rsidR="00503013" w:rsidRPr="00A46F57" w:rsidRDefault="00503013" w:rsidP="00503013">
            <w:pPr>
              <w:spacing w:line="240" w:lineRule="auto"/>
            </w:pPr>
            <w:r w:rsidRPr="00A46F57">
              <w:t>MAIS 1</w:t>
            </w:r>
          </w:p>
        </w:tc>
        <w:tc>
          <w:tcPr>
            <w:tcW w:w="2053" w:type="dxa"/>
            <w:vAlign w:val="center"/>
          </w:tcPr>
          <w:p w14:paraId="0686906C" w14:textId="7C1FB5D2" w:rsidR="00503013" w:rsidRPr="00A46F57" w:rsidRDefault="00503013" w:rsidP="00503013">
            <w:pPr>
              <w:spacing w:line="240" w:lineRule="auto"/>
              <w:jc w:val="center"/>
            </w:pPr>
            <w:r>
              <w:rPr>
                <w:color w:val="000000"/>
              </w:rPr>
              <w:t>8.66</w:t>
            </w:r>
          </w:p>
        </w:tc>
        <w:tc>
          <w:tcPr>
            <w:tcW w:w="2053" w:type="dxa"/>
            <w:noWrap/>
          </w:tcPr>
          <w:p w14:paraId="735F4404" w14:textId="77777777" w:rsidR="00503013" w:rsidRPr="00A46F57" w:rsidRDefault="00503013" w:rsidP="00503013">
            <w:pPr>
              <w:spacing w:line="240" w:lineRule="auto"/>
              <w:jc w:val="center"/>
            </w:pPr>
            <w:r w:rsidRPr="00BF6983">
              <w:t>$56,035</w:t>
            </w:r>
          </w:p>
        </w:tc>
        <w:tc>
          <w:tcPr>
            <w:tcW w:w="2054" w:type="dxa"/>
            <w:vAlign w:val="center"/>
          </w:tcPr>
          <w:p w14:paraId="28C143EB" w14:textId="678F26AF" w:rsidR="00503013" w:rsidRPr="00A46F57" w:rsidRDefault="00503013" w:rsidP="00503013">
            <w:pPr>
              <w:spacing w:line="240" w:lineRule="auto"/>
              <w:jc w:val="center"/>
            </w:pPr>
            <w:r>
              <w:rPr>
                <w:color w:val="000000"/>
              </w:rPr>
              <w:t xml:space="preserve">$485,280 </w:t>
            </w:r>
          </w:p>
        </w:tc>
      </w:tr>
      <w:tr w:rsidR="00503013" w14:paraId="71E15456" w14:textId="77777777" w:rsidTr="004C5067">
        <w:trPr>
          <w:trHeight w:val="320"/>
        </w:trPr>
        <w:tc>
          <w:tcPr>
            <w:tcW w:w="1592" w:type="dxa"/>
            <w:vMerge/>
            <w:shd w:val="clear" w:color="auto" w:fill="D9D9D9" w:themeFill="background1" w:themeFillShade="D9"/>
            <w:noWrap/>
            <w:hideMark/>
          </w:tcPr>
          <w:p w14:paraId="4488A7DD" w14:textId="77777777" w:rsidR="00503013" w:rsidRPr="00A46F57" w:rsidRDefault="00503013" w:rsidP="00503013"/>
        </w:tc>
        <w:tc>
          <w:tcPr>
            <w:tcW w:w="1597" w:type="dxa"/>
            <w:shd w:val="clear" w:color="auto" w:fill="D9D9D9" w:themeFill="background1" w:themeFillShade="D9"/>
            <w:noWrap/>
            <w:hideMark/>
          </w:tcPr>
          <w:p w14:paraId="499CAF6A" w14:textId="77777777" w:rsidR="00503013" w:rsidRPr="00A46F57" w:rsidRDefault="00503013" w:rsidP="00503013">
            <w:pPr>
              <w:spacing w:line="240" w:lineRule="auto"/>
            </w:pPr>
            <w:r w:rsidRPr="00A46F57">
              <w:t>MAIS 2</w:t>
            </w:r>
          </w:p>
        </w:tc>
        <w:tc>
          <w:tcPr>
            <w:tcW w:w="2053" w:type="dxa"/>
            <w:vAlign w:val="center"/>
          </w:tcPr>
          <w:p w14:paraId="1B023F17" w14:textId="79CBE8E7" w:rsidR="00503013" w:rsidRPr="00A46F57" w:rsidRDefault="00503013" w:rsidP="00503013">
            <w:pPr>
              <w:spacing w:line="240" w:lineRule="auto"/>
              <w:jc w:val="center"/>
            </w:pPr>
            <w:r>
              <w:rPr>
                <w:color w:val="000000"/>
              </w:rPr>
              <w:t>42.93</w:t>
            </w:r>
          </w:p>
        </w:tc>
        <w:tc>
          <w:tcPr>
            <w:tcW w:w="2053" w:type="dxa"/>
            <w:noWrap/>
          </w:tcPr>
          <w:p w14:paraId="403B1711" w14:textId="77777777" w:rsidR="00503013" w:rsidRPr="00A46F57" w:rsidRDefault="00503013" w:rsidP="00503013">
            <w:pPr>
              <w:spacing w:line="240" w:lineRule="auto"/>
              <w:jc w:val="center"/>
            </w:pPr>
            <w:r w:rsidRPr="00BF6983">
              <w:t>$553,146</w:t>
            </w:r>
          </w:p>
        </w:tc>
        <w:tc>
          <w:tcPr>
            <w:tcW w:w="2054" w:type="dxa"/>
            <w:vAlign w:val="center"/>
          </w:tcPr>
          <w:p w14:paraId="35F0CC7B" w14:textId="1EB2E440" w:rsidR="00503013" w:rsidRPr="00A46F57" w:rsidRDefault="00503013" w:rsidP="00503013">
            <w:pPr>
              <w:spacing w:line="240" w:lineRule="auto"/>
              <w:jc w:val="center"/>
            </w:pPr>
            <w:r>
              <w:rPr>
                <w:color w:val="000000"/>
              </w:rPr>
              <w:t xml:space="preserve">$23,745,175 </w:t>
            </w:r>
          </w:p>
        </w:tc>
      </w:tr>
      <w:tr w:rsidR="00503013" w14:paraId="252CA55F" w14:textId="77777777" w:rsidTr="004C5067">
        <w:trPr>
          <w:trHeight w:val="320"/>
        </w:trPr>
        <w:tc>
          <w:tcPr>
            <w:tcW w:w="1592" w:type="dxa"/>
            <w:vMerge/>
            <w:shd w:val="clear" w:color="auto" w:fill="D9D9D9" w:themeFill="background1" w:themeFillShade="D9"/>
            <w:noWrap/>
            <w:hideMark/>
          </w:tcPr>
          <w:p w14:paraId="6C6D5649" w14:textId="77777777" w:rsidR="00503013" w:rsidRPr="00A46F57" w:rsidRDefault="00503013" w:rsidP="00503013"/>
        </w:tc>
        <w:tc>
          <w:tcPr>
            <w:tcW w:w="1597" w:type="dxa"/>
            <w:shd w:val="clear" w:color="auto" w:fill="D9D9D9" w:themeFill="background1" w:themeFillShade="D9"/>
            <w:noWrap/>
            <w:hideMark/>
          </w:tcPr>
          <w:p w14:paraId="39940FDA" w14:textId="77777777" w:rsidR="00503013" w:rsidRPr="00A46F57" w:rsidRDefault="00503013" w:rsidP="00503013">
            <w:pPr>
              <w:spacing w:line="240" w:lineRule="auto"/>
            </w:pPr>
            <w:r w:rsidRPr="00A46F57">
              <w:t>MAIS 3</w:t>
            </w:r>
          </w:p>
        </w:tc>
        <w:tc>
          <w:tcPr>
            <w:tcW w:w="2053" w:type="dxa"/>
            <w:vAlign w:val="center"/>
          </w:tcPr>
          <w:p w14:paraId="0030F63E" w14:textId="4FEB2851" w:rsidR="00503013" w:rsidRPr="00A46F57" w:rsidRDefault="00503013" w:rsidP="00503013">
            <w:pPr>
              <w:spacing w:line="240" w:lineRule="auto"/>
              <w:jc w:val="center"/>
            </w:pPr>
            <w:r>
              <w:rPr>
                <w:color w:val="000000"/>
              </w:rPr>
              <w:t>0.27</w:t>
            </w:r>
          </w:p>
        </w:tc>
        <w:tc>
          <w:tcPr>
            <w:tcW w:w="2053" w:type="dxa"/>
            <w:noWrap/>
          </w:tcPr>
          <w:p w14:paraId="7163460B" w14:textId="77777777" w:rsidR="00503013" w:rsidRPr="00A46F57" w:rsidRDefault="00503013" w:rsidP="00503013">
            <w:pPr>
              <w:spacing w:line="240" w:lineRule="auto"/>
              <w:jc w:val="center"/>
            </w:pPr>
            <w:r w:rsidRPr="00BF6983">
              <w:t>$1,307,335</w:t>
            </w:r>
          </w:p>
        </w:tc>
        <w:tc>
          <w:tcPr>
            <w:tcW w:w="2054" w:type="dxa"/>
            <w:vAlign w:val="center"/>
          </w:tcPr>
          <w:p w14:paraId="08830392" w14:textId="0B7686B1" w:rsidR="00503013" w:rsidRPr="00A46F57" w:rsidRDefault="00503013" w:rsidP="00503013">
            <w:pPr>
              <w:spacing w:line="240" w:lineRule="auto"/>
              <w:jc w:val="center"/>
            </w:pPr>
            <w:r>
              <w:rPr>
                <w:color w:val="000000"/>
              </w:rPr>
              <w:t xml:space="preserve">$357,556 </w:t>
            </w:r>
          </w:p>
        </w:tc>
      </w:tr>
      <w:tr w:rsidR="00503013" w14:paraId="777C5B57" w14:textId="77777777" w:rsidTr="004C5067">
        <w:trPr>
          <w:trHeight w:val="320"/>
        </w:trPr>
        <w:tc>
          <w:tcPr>
            <w:tcW w:w="1592" w:type="dxa"/>
            <w:vMerge/>
            <w:shd w:val="clear" w:color="auto" w:fill="D9D9D9" w:themeFill="background1" w:themeFillShade="D9"/>
            <w:noWrap/>
            <w:hideMark/>
          </w:tcPr>
          <w:p w14:paraId="3CD1033B" w14:textId="77777777" w:rsidR="00503013" w:rsidRPr="00A46F57" w:rsidRDefault="00503013" w:rsidP="00503013"/>
        </w:tc>
        <w:tc>
          <w:tcPr>
            <w:tcW w:w="1597" w:type="dxa"/>
            <w:shd w:val="clear" w:color="auto" w:fill="D9D9D9" w:themeFill="background1" w:themeFillShade="D9"/>
            <w:noWrap/>
            <w:hideMark/>
          </w:tcPr>
          <w:p w14:paraId="3975C07B" w14:textId="77777777" w:rsidR="00503013" w:rsidRPr="00A46F57" w:rsidRDefault="00503013" w:rsidP="00503013">
            <w:pPr>
              <w:spacing w:line="240" w:lineRule="auto"/>
            </w:pPr>
            <w:r w:rsidRPr="00A46F57">
              <w:t>MAIS 4</w:t>
            </w:r>
          </w:p>
        </w:tc>
        <w:tc>
          <w:tcPr>
            <w:tcW w:w="2053" w:type="dxa"/>
            <w:vAlign w:val="center"/>
          </w:tcPr>
          <w:p w14:paraId="7566048C" w14:textId="5D19F0EB" w:rsidR="00503013" w:rsidRPr="00A46F57" w:rsidRDefault="00503013" w:rsidP="00503013">
            <w:pPr>
              <w:spacing w:line="240" w:lineRule="auto"/>
              <w:jc w:val="center"/>
            </w:pPr>
            <w:r>
              <w:rPr>
                <w:color w:val="000000"/>
              </w:rPr>
              <w:t>2.02</w:t>
            </w:r>
          </w:p>
        </w:tc>
        <w:tc>
          <w:tcPr>
            <w:tcW w:w="2053" w:type="dxa"/>
            <w:noWrap/>
          </w:tcPr>
          <w:p w14:paraId="65C97534" w14:textId="77777777" w:rsidR="00503013" w:rsidRPr="00A46F57" w:rsidRDefault="00503013" w:rsidP="00503013">
            <w:pPr>
              <w:spacing w:line="240" w:lineRule="auto"/>
              <w:jc w:val="center"/>
            </w:pPr>
            <w:r w:rsidRPr="00BF6983">
              <w:t>$3,215,701</w:t>
            </w:r>
          </w:p>
        </w:tc>
        <w:tc>
          <w:tcPr>
            <w:tcW w:w="2054" w:type="dxa"/>
            <w:vAlign w:val="center"/>
          </w:tcPr>
          <w:p w14:paraId="7CA23FF3" w14:textId="473C3F30" w:rsidR="00503013" w:rsidRPr="00A46F57" w:rsidRDefault="00503013" w:rsidP="00503013">
            <w:pPr>
              <w:spacing w:line="240" w:lineRule="auto"/>
              <w:jc w:val="center"/>
            </w:pPr>
            <w:r>
              <w:rPr>
                <w:color w:val="000000"/>
              </w:rPr>
              <w:t xml:space="preserve">$6,480,441 </w:t>
            </w:r>
          </w:p>
        </w:tc>
      </w:tr>
      <w:tr w:rsidR="00503013" w14:paraId="16BD8D68" w14:textId="77777777" w:rsidTr="004C5067">
        <w:trPr>
          <w:trHeight w:val="320"/>
        </w:trPr>
        <w:tc>
          <w:tcPr>
            <w:tcW w:w="1592" w:type="dxa"/>
            <w:vMerge/>
            <w:shd w:val="clear" w:color="auto" w:fill="D9D9D9" w:themeFill="background1" w:themeFillShade="D9"/>
            <w:noWrap/>
            <w:hideMark/>
          </w:tcPr>
          <w:p w14:paraId="78C9016D" w14:textId="77777777" w:rsidR="00503013" w:rsidRPr="00A46F57" w:rsidRDefault="00503013" w:rsidP="00503013"/>
        </w:tc>
        <w:tc>
          <w:tcPr>
            <w:tcW w:w="1597" w:type="dxa"/>
            <w:shd w:val="clear" w:color="auto" w:fill="D9D9D9" w:themeFill="background1" w:themeFillShade="D9"/>
            <w:noWrap/>
            <w:hideMark/>
          </w:tcPr>
          <w:p w14:paraId="5248B74B" w14:textId="77777777" w:rsidR="00503013" w:rsidRPr="00A46F57" w:rsidRDefault="00503013" w:rsidP="00503013">
            <w:pPr>
              <w:spacing w:line="240" w:lineRule="auto"/>
            </w:pPr>
            <w:r w:rsidRPr="00A46F57">
              <w:t>MAIS 5</w:t>
            </w:r>
          </w:p>
        </w:tc>
        <w:tc>
          <w:tcPr>
            <w:tcW w:w="2053" w:type="dxa"/>
            <w:vAlign w:val="center"/>
          </w:tcPr>
          <w:p w14:paraId="4AACAC76" w14:textId="6D50E9C7" w:rsidR="00503013" w:rsidRPr="00A46F57" w:rsidRDefault="00503013" w:rsidP="00503013">
            <w:pPr>
              <w:spacing w:line="240" w:lineRule="auto"/>
              <w:jc w:val="center"/>
            </w:pPr>
            <w:r>
              <w:rPr>
                <w:color w:val="000000"/>
              </w:rPr>
              <w:t>0.14</w:t>
            </w:r>
          </w:p>
        </w:tc>
        <w:tc>
          <w:tcPr>
            <w:tcW w:w="2053" w:type="dxa"/>
            <w:noWrap/>
          </w:tcPr>
          <w:p w14:paraId="5D60FA24" w14:textId="77777777" w:rsidR="00503013" w:rsidRPr="00A46F57" w:rsidRDefault="00503013" w:rsidP="00503013">
            <w:pPr>
              <w:spacing w:line="240" w:lineRule="auto"/>
              <w:jc w:val="center"/>
            </w:pPr>
            <w:r w:rsidRPr="00BF6983">
              <w:t>$7,327,043</w:t>
            </w:r>
          </w:p>
        </w:tc>
        <w:tc>
          <w:tcPr>
            <w:tcW w:w="2054" w:type="dxa"/>
            <w:vAlign w:val="center"/>
          </w:tcPr>
          <w:p w14:paraId="6C6917A9" w14:textId="54257339" w:rsidR="00503013" w:rsidRPr="00A46F57" w:rsidRDefault="00503013" w:rsidP="00503013">
            <w:pPr>
              <w:spacing w:line="240" w:lineRule="auto"/>
              <w:jc w:val="center"/>
            </w:pPr>
            <w:r>
              <w:rPr>
                <w:color w:val="000000"/>
              </w:rPr>
              <w:t xml:space="preserve">$1,019,558 </w:t>
            </w:r>
          </w:p>
        </w:tc>
      </w:tr>
      <w:tr w:rsidR="00503013" w14:paraId="4600EF0C" w14:textId="77777777" w:rsidTr="004C5067">
        <w:trPr>
          <w:trHeight w:val="310"/>
        </w:trPr>
        <w:tc>
          <w:tcPr>
            <w:tcW w:w="1592" w:type="dxa"/>
            <w:vMerge/>
            <w:shd w:val="clear" w:color="auto" w:fill="D9D9D9" w:themeFill="background1" w:themeFillShade="D9"/>
            <w:noWrap/>
            <w:hideMark/>
          </w:tcPr>
          <w:p w14:paraId="00E68E8D" w14:textId="77777777" w:rsidR="00503013" w:rsidRPr="00A46F57" w:rsidRDefault="00503013" w:rsidP="00503013"/>
        </w:tc>
        <w:tc>
          <w:tcPr>
            <w:tcW w:w="1597" w:type="dxa"/>
            <w:shd w:val="clear" w:color="auto" w:fill="D9D9D9" w:themeFill="background1" w:themeFillShade="D9"/>
            <w:noWrap/>
            <w:hideMark/>
          </w:tcPr>
          <w:p w14:paraId="27F75A71" w14:textId="77777777" w:rsidR="00503013" w:rsidRPr="00A46F57" w:rsidRDefault="00503013" w:rsidP="00503013">
            <w:pPr>
              <w:spacing w:line="240" w:lineRule="auto"/>
              <w:rPr>
                <w:b/>
                <w:bCs/>
              </w:rPr>
            </w:pPr>
            <w:r w:rsidRPr="00A46F57">
              <w:rPr>
                <w:b/>
                <w:bCs/>
              </w:rPr>
              <w:t>Fatality</w:t>
            </w:r>
          </w:p>
        </w:tc>
        <w:tc>
          <w:tcPr>
            <w:tcW w:w="2053" w:type="dxa"/>
            <w:vAlign w:val="center"/>
          </w:tcPr>
          <w:p w14:paraId="575562C3" w14:textId="3BC23C55" w:rsidR="00503013" w:rsidRPr="00A46F57" w:rsidRDefault="00503013" w:rsidP="00503013">
            <w:pPr>
              <w:spacing w:line="240" w:lineRule="auto"/>
              <w:jc w:val="center"/>
            </w:pPr>
            <w:r>
              <w:rPr>
                <w:color w:val="000000"/>
              </w:rPr>
              <w:t>40.86</w:t>
            </w:r>
          </w:p>
        </w:tc>
        <w:tc>
          <w:tcPr>
            <w:tcW w:w="2053" w:type="dxa"/>
            <w:noWrap/>
          </w:tcPr>
          <w:p w14:paraId="01BAC3A6" w14:textId="77777777" w:rsidR="00503013" w:rsidRPr="00A46F57" w:rsidRDefault="00503013" w:rsidP="00503013">
            <w:pPr>
              <w:spacing w:line="240" w:lineRule="auto"/>
              <w:jc w:val="center"/>
            </w:pPr>
            <w:r w:rsidRPr="00BF6983">
              <w:t>$11,950,834</w:t>
            </w:r>
          </w:p>
        </w:tc>
        <w:tc>
          <w:tcPr>
            <w:tcW w:w="2054" w:type="dxa"/>
            <w:vAlign w:val="center"/>
          </w:tcPr>
          <w:p w14:paraId="74F06934" w14:textId="25914E90" w:rsidR="00503013" w:rsidRPr="00A46F57" w:rsidRDefault="00503013" w:rsidP="00503013">
            <w:pPr>
              <w:spacing w:line="240" w:lineRule="auto"/>
              <w:jc w:val="center"/>
            </w:pPr>
            <w:r>
              <w:rPr>
                <w:color w:val="000000"/>
              </w:rPr>
              <w:t xml:space="preserve">$488,325,015 </w:t>
            </w:r>
          </w:p>
        </w:tc>
      </w:tr>
      <w:tr w:rsidR="00503013" w14:paraId="38F5B4B4" w14:textId="77777777" w:rsidTr="004C5067">
        <w:trPr>
          <w:trHeight w:val="310"/>
        </w:trPr>
        <w:tc>
          <w:tcPr>
            <w:tcW w:w="1592" w:type="dxa"/>
            <w:vMerge/>
            <w:shd w:val="clear" w:color="auto" w:fill="D9D9D9" w:themeFill="background1" w:themeFillShade="D9"/>
            <w:noWrap/>
          </w:tcPr>
          <w:p w14:paraId="2CDF7335" w14:textId="77777777" w:rsidR="00503013" w:rsidRPr="00A46F57" w:rsidRDefault="00503013" w:rsidP="00503013"/>
        </w:tc>
        <w:tc>
          <w:tcPr>
            <w:tcW w:w="1597" w:type="dxa"/>
            <w:shd w:val="clear" w:color="auto" w:fill="D9D9D9" w:themeFill="background1" w:themeFillShade="D9"/>
            <w:noWrap/>
          </w:tcPr>
          <w:p w14:paraId="1353758C" w14:textId="77777777" w:rsidR="00503013" w:rsidRPr="00A46F57" w:rsidRDefault="00503013" w:rsidP="00503013">
            <w:pPr>
              <w:spacing w:line="240" w:lineRule="auto"/>
              <w:rPr>
                <w:b/>
                <w:bCs/>
              </w:rPr>
            </w:pPr>
            <w:r>
              <w:rPr>
                <w:b/>
                <w:bCs/>
              </w:rPr>
              <w:t>Total LTV</w:t>
            </w:r>
          </w:p>
        </w:tc>
        <w:tc>
          <w:tcPr>
            <w:tcW w:w="2053" w:type="dxa"/>
          </w:tcPr>
          <w:p w14:paraId="03D145AB" w14:textId="77777777" w:rsidR="00503013" w:rsidRPr="00791C5D" w:rsidRDefault="00503013" w:rsidP="00503013">
            <w:pPr>
              <w:spacing w:line="240" w:lineRule="auto"/>
              <w:jc w:val="center"/>
            </w:pPr>
          </w:p>
        </w:tc>
        <w:tc>
          <w:tcPr>
            <w:tcW w:w="2053" w:type="dxa"/>
            <w:noWrap/>
            <w:vAlign w:val="center"/>
          </w:tcPr>
          <w:p w14:paraId="0E6A6161" w14:textId="77777777" w:rsidR="00503013" w:rsidRPr="00572735" w:rsidRDefault="00503013" w:rsidP="00503013">
            <w:pPr>
              <w:spacing w:line="240" w:lineRule="auto"/>
              <w:jc w:val="center"/>
              <w:rPr>
                <w:color w:val="000000"/>
              </w:rPr>
            </w:pPr>
          </w:p>
        </w:tc>
        <w:tc>
          <w:tcPr>
            <w:tcW w:w="2054" w:type="dxa"/>
            <w:vAlign w:val="center"/>
          </w:tcPr>
          <w:p w14:paraId="222678D1" w14:textId="527FC14E" w:rsidR="00503013" w:rsidRPr="00E66816" w:rsidRDefault="00503013" w:rsidP="00503013">
            <w:pPr>
              <w:spacing w:line="240" w:lineRule="auto"/>
              <w:jc w:val="center"/>
              <w:rPr>
                <w:b/>
                <w:bCs/>
              </w:rPr>
            </w:pPr>
            <w:r>
              <w:rPr>
                <w:color w:val="000000"/>
              </w:rPr>
              <w:t xml:space="preserve">$520,413,025 </w:t>
            </w:r>
          </w:p>
        </w:tc>
      </w:tr>
      <w:tr w:rsidR="00503013" w14:paraId="0F939944" w14:textId="77777777" w:rsidTr="00343F45">
        <w:trPr>
          <w:trHeight w:val="310"/>
        </w:trPr>
        <w:tc>
          <w:tcPr>
            <w:tcW w:w="3189" w:type="dxa"/>
            <w:gridSpan w:val="2"/>
            <w:shd w:val="clear" w:color="auto" w:fill="D9D9D9" w:themeFill="background1" w:themeFillShade="D9"/>
            <w:noWrap/>
          </w:tcPr>
          <w:p w14:paraId="452241DF" w14:textId="77777777" w:rsidR="00503013" w:rsidRDefault="00503013" w:rsidP="00503013">
            <w:pPr>
              <w:spacing w:line="240" w:lineRule="auto"/>
              <w:rPr>
                <w:b/>
                <w:bCs/>
              </w:rPr>
            </w:pPr>
            <w:r>
              <w:rPr>
                <w:b/>
                <w:bCs/>
              </w:rPr>
              <w:t>Total Drivers</w:t>
            </w:r>
          </w:p>
        </w:tc>
        <w:tc>
          <w:tcPr>
            <w:tcW w:w="2053" w:type="dxa"/>
          </w:tcPr>
          <w:p w14:paraId="4E45D1BE" w14:textId="77777777" w:rsidR="00503013" w:rsidRPr="00791C5D" w:rsidRDefault="00503013" w:rsidP="00503013">
            <w:pPr>
              <w:spacing w:line="240" w:lineRule="auto"/>
              <w:jc w:val="center"/>
            </w:pPr>
          </w:p>
        </w:tc>
        <w:tc>
          <w:tcPr>
            <w:tcW w:w="2053" w:type="dxa"/>
            <w:noWrap/>
            <w:vAlign w:val="center"/>
          </w:tcPr>
          <w:p w14:paraId="678C35AC" w14:textId="77777777" w:rsidR="00503013" w:rsidRPr="00572735" w:rsidRDefault="00503013" w:rsidP="00503013">
            <w:pPr>
              <w:spacing w:line="240" w:lineRule="auto"/>
              <w:jc w:val="center"/>
              <w:rPr>
                <w:color w:val="000000"/>
              </w:rPr>
            </w:pPr>
          </w:p>
        </w:tc>
        <w:tc>
          <w:tcPr>
            <w:tcW w:w="2054" w:type="dxa"/>
          </w:tcPr>
          <w:p w14:paraId="08F3E48D" w14:textId="0A27A2C2" w:rsidR="00503013" w:rsidRPr="00E66816" w:rsidRDefault="00503013" w:rsidP="00503013">
            <w:pPr>
              <w:spacing w:line="240" w:lineRule="auto"/>
              <w:jc w:val="center"/>
              <w:rPr>
                <w:b/>
                <w:bCs/>
              </w:rPr>
            </w:pPr>
            <w:r>
              <w:rPr>
                <w:b/>
                <w:bCs/>
                <w:color w:val="000000"/>
              </w:rPr>
              <w:t xml:space="preserve">$942,917,061 </w:t>
            </w:r>
          </w:p>
        </w:tc>
      </w:tr>
    </w:tbl>
    <w:p w14:paraId="2C6B8758" w14:textId="77777777" w:rsidR="006F259C" w:rsidRDefault="000F5B51" w:rsidP="006F259C">
      <w:pPr>
        <w:rPr>
          <w:sz w:val="18"/>
          <w:szCs w:val="18"/>
        </w:rPr>
      </w:pPr>
      <w:r w:rsidRPr="00572735">
        <w:rPr>
          <w:sz w:val="18"/>
          <w:szCs w:val="18"/>
        </w:rPr>
        <w:t>Note: Values may not sum due to rounding.</w:t>
      </w:r>
    </w:p>
    <w:p w14:paraId="3433F2F1" w14:textId="77777777" w:rsidR="006F259C" w:rsidRDefault="006F259C" w:rsidP="006F259C">
      <w:pPr>
        <w:rPr>
          <w:sz w:val="18"/>
          <w:szCs w:val="18"/>
        </w:rPr>
      </w:pPr>
    </w:p>
    <w:p w14:paraId="47FBD554" w14:textId="77777777" w:rsidR="006F259C" w:rsidRDefault="006F259C" w:rsidP="006F259C">
      <w:pPr>
        <w:rPr>
          <w:sz w:val="18"/>
          <w:szCs w:val="18"/>
        </w:rPr>
      </w:pPr>
    </w:p>
    <w:p w14:paraId="2333BFD3" w14:textId="77777777" w:rsidR="006F259C" w:rsidRDefault="006F259C" w:rsidP="006F259C">
      <w:pPr>
        <w:rPr>
          <w:sz w:val="18"/>
          <w:szCs w:val="18"/>
        </w:rPr>
      </w:pPr>
    </w:p>
    <w:p w14:paraId="689C51E8" w14:textId="3133CAAA" w:rsidR="006F259C" w:rsidRDefault="006F259C" w:rsidP="006F259C">
      <w:pPr>
        <w:rPr>
          <w:sz w:val="18"/>
          <w:szCs w:val="18"/>
        </w:rPr>
      </w:pPr>
    </w:p>
    <w:p w14:paraId="2AF296BA" w14:textId="77777777" w:rsidR="00F1151E" w:rsidRDefault="00F1151E" w:rsidP="006F259C">
      <w:pPr>
        <w:rPr>
          <w:sz w:val="18"/>
          <w:szCs w:val="18"/>
        </w:rPr>
      </w:pPr>
    </w:p>
    <w:p w14:paraId="4FFF1AEE" w14:textId="77777777" w:rsidR="006F259C" w:rsidRDefault="006F259C" w:rsidP="006F259C">
      <w:pPr>
        <w:rPr>
          <w:sz w:val="18"/>
          <w:szCs w:val="18"/>
        </w:rPr>
      </w:pPr>
    </w:p>
    <w:p w14:paraId="08B8FAA6" w14:textId="77777777" w:rsidR="006F259C" w:rsidRDefault="006F259C" w:rsidP="006F259C">
      <w:pPr>
        <w:rPr>
          <w:sz w:val="18"/>
          <w:szCs w:val="18"/>
        </w:rPr>
      </w:pPr>
    </w:p>
    <w:p w14:paraId="3B747225" w14:textId="77777777" w:rsidR="006F259C" w:rsidRDefault="006F259C" w:rsidP="006F259C">
      <w:pPr>
        <w:rPr>
          <w:sz w:val="18"/>
          <w:szCs w:val="18"/>
        </w:rPr>
      </w:pPr>
    </w:p>
    <w:p w14:paraId="7D4BC5FC" w14:textId="77777777" w:rsidR="006F259C" w:rsidRDefault="006F259C" w:rsidP="006F259C">
      <w:pPr>
        <w:rPr>
          <w:sz w:val="18"/>
          <w:szCs w:val="18"/>
        </w:rPr>
      </w:pPr>
    </w:p>
    <w:p w14:paraId="5EF75EDD" w14:textId="77777777" w:rsidR="006F259C" w:rsidRPr="00572735" w:rsidRDefault="006F259C" w:rsidP="006F259C">
      <w:pPr>
        <w:rPr>
          <w:sz w:val="18"/>
          <w:szCs w:val="18"/>
        </w:rPr>
      </w:pPr>
    </w:p>
    <w:p w14:paraId="52FF2A1D" w14:textId="5F57D9E2" w:rsidR="006F259C" w:rsidRDefault="000F5B51" w:rsidP="006F259C">
      <w:pPr>
        <w:pStyle w:val="Caption"/>
      </w:pPr>
      <w:r>
        <w:lastRenderedPageBreak/>
        <w:t xml:space="preserve">Table </w:t>
      </w:r>
      <w:r w:rsidR="00115BAB">
        <w:fldChar w:fldCharType="begin"/>
      </w:r>
      <w:r>
        <w:instrText xml:space="preserve"> SEQ Table \* ARABIC </w:instrText>
      </w:r>
      <w:r w:rsidR="00115BAB">
        <w:fldChar w:fldCharType="separate"/>
      </w:r>
      <w:r w:rsidR="00A65CB3">
        <w:rPr>
          <w:noProof/>
        </w:rPr>
        <w:t>159</w:t>
      </w:r>
      <w:r w:rsidR="00115BAB">
        <w:rPr>
          <w:noProof/>
        </w:rPr>
        <w:fldChar w:fldCharType="end"/>
      </w:r>
      <w:r>
        <w:t xml:space="preserve">: </w:t>
      </w:r>
      <w:r w:rsidRPr="00C021D8">
        <w:t xml:space="preserve">Calculation of </w:t>
      </w:r>
      <w:r>
        <w:t>Monetized Benefits</w:t>
      </w:r>
      <w:r w:rsidRPr="00C021D8">
        <w:t xml:space="preserve"> for </w:t>
      </w:r>
      <w:r>
        <w:t>Right Front Seat Occupants</w:t>
      </w:r>
    </w:p>
    <w:tbl>
      <w:tblPr>
        <w:tblStyle w:val="TableGrid3"/>
        <w:tblW w:w="9349" w:type="dxa"/>
        <w:tblLayout w:type="fixed"/>
        <w:tblLook w:val="04A0" w:firstRow="1" w:lastRow="0" w:firstColumn="1" w:lastColumn="0" w:noHBand="0" w:noVBand="1"/>
      </w:tblPr>
      <w:tblGrid>
        <w:gridCol w:w="1592"/>
        <w:gridCol w:w="1597"/>
        <w:gridCol w:w="2053"/>
        <w:gridCol w:w="2053"/>
        <w:gridCol w:w="2054"/>
      </w:tblGrid>
      <w:tr w:rsidR="00A15C2C" w14:paraId="7CF5A81C" w14:textId="77777777" w:rsidTr="00343F45">
        <w:trPr>
          <w:trHeight w:val="1380"/>
        </w:trPr>
        <w:tc>
          <w:tcPr>
            <w:tcW w:w="1592" w:type="dxa"/>
            <w:shd w:val="clear" w:color="auto" w:fill="D9D9D9" w:themeFill="background1" w:themeFillShade="D9"/>
            <w:noWrap/>
            <w:vAlign w:val="center"/>
            <w:hideMark/>
          </w:tcPr>
          <w:p w14:paraId="21FF6E9B" w14:textId="77777777" w:rsidR="006F259C" w:rsidRPr="00A46F57" w:rsidRDefault="000F5B51" w:rsidP="00343F45">
            <w:pPr>
              <w:spacing w:line="240" w:lineRule="auto"/>
              <w:rPr>
                <w:b/>
                <w:bCs/>
              </w:rPr>
            </w:pPr>
            <w:r w:rsidRPr="006D7613">
              <w:rPr>
                <w:b/>
                <w:bCs/>
              </w:rPr>
              <w:t>Vehicle Type</w:t>
            </w:r>
          </w:p>
        </w:tc>
        <w:tc>
          <w:tcPr>
            <w:tcW w:w="1597" w:type="dxa"/>
            <w:shd w:val="clear" w:color="auto" w:fill="D9D9D9" w:themeFill="background1" w:themeFillShade="D9"/>
            <w:noWrap/>
            <w:hideMark/>
          </w:tcPr>
          <w:p w14:paraId="5F430281" w14:textId="77777777" w:rsidR="006F259C" w:rsidRPr="007F6FCD" w:rsidRDefault="000F5B51" w:rsidP="00343F45">
            <w:pPr>
              <w:spacing w:line="240" w:lineRule="auto"/>
              <w:rPr>
                <w:b/>
                <w:bCs/>
              </w:rPr>
            </w:pPr>
            <w:r w:rsidRPr="00A46F57">
              <w:rPr>
                <w:b/>
                <w:bCs/>
              </w:rPr>
              <w:t> </w:t>
            </w:r>
          </w:p>
          <w:p w14:paraId="28C3F2AB" w14:textId="77777777" w:rsidR="006F259C" w:rsidRPr="00A46F57" w:rsidRDefault="000F5B51" w:rsidP="00343F45">
            <w:pPr>
              <w:spacing w:line="240" w:lineRule="auto"/>
              <w:rPr>
                <w:b/>
                <w:bCs/>
              </w:rPr>
            </w:pPr>
            <w:r w:rsidRPr="00A46F57">
              <w:rPr>
                <w:b/>
                <w:bCs/>
              </w:rPr>
              <w:t xml:space="preserve">Injury Severity </w:t>
            </w:r>
          </w:p>
        </w:tc>
        <w:tc>
          <w:tcPr>
            <w:tcW w:w="2053" w:type="dxa"/>
            <w:shd w:val="clear" w:color="auto" w:fill="D9D9D9" w:themeFill="background1" w:themeFillShade="D9"/>
            <w:vAlign w:val="center"/>
          </w:tcPr>
          <w:p w14:paraId="004161DE" w14:textId="77777777" w:rsidR="006F259C" w:rsidRPr="00A46F57" w:rsidRDefault="000F5B51" w:rsidP="00343F45">
            <w:pPr>
              <w:spacing w:line="240" w:lineRule="auto"/>
              <w:jc w:val="center"/>
              <w:rPr>
                <w:b/>
                <w:bCs/>
              </w:rPr>
            </w:pPr>
            <w:r w:rsidRPr="007F6FCD">
              <w:rPr>
                <w:b/>
                <w:bCs/>
              </w:rPr>
              <w:t xml:space="preserve">Undiscounted </w:t>
            </w:r>
            <w:r w:rsidRPr="00A46F57">
              <w:rPr>
                <w:b/>
                <w:bCs/>
              </w:rPr>
              <w:t>Incremental Benefits</w:t>
            </w:r>
          </w:p>
        </w:tc>
        <w:tc>
          <w:tcPr>
            <w:tcW w:w="2053" w:type="dxa"/>
            <w:shd w:val="clear" w:color="auto" w:fill="D9D9D9" w:themeFill="background1" w:themeFillShade="D9"/>
            <w:noWrap/>
            <w:vAlign w:val="center"/>
          </w:tcPr>
          <w:p w14:paraId="675429A8" w14:textId="77777777" w:rsidR="006F259C" w:rsidRPr="00A46F57" w:rsidRDefault="000F5B51" w:rsidP="00343F45">
            <w:pPr>
              <w:spacing w:line="240" w:lineRule="auto"/>
              <w:jc w:val="center"/>
              <w:rPr>
                <w:b/>
                <w:bCs/>
              </w:rPr>
            </w:pPr>
            <w:r>
              <w:rPr>
                <w:rFonts w:eastAsia="Times New Roman" w:cs="Times New Roman"/>
                <w:b/>
                <w:bCs/>
              </w:rPr>
              <w:t>Comprehensive Unit Cost</w:t>
            </w:r>
          </w:p>
        </w:tc>
        <w:tc>
          <w:tcPr>
            <w:tcW w:w="2054" w:type="dxa"/>
            <w:shd w:val="clear" w:color="auto" w:fill="D9D9D9" w:themeFill="background1" w:themeFillShade="D9"/>
            <w:vAlign w:val="center"/>
          </w:tcPr>
          <w:p w14:paraId="22CF1216" w14:textId="77777777" w:rsidR="006F259C" w:rsidRPr="007F6FCD" w:rsidRDefault="000F5B51" w:rsidP="00343F45">
            <w:pPr>
              <w:spacing w:line="240" w:lineRule="auto"/>
              <w:jc w:val="center"/>
              <w:rPr>
                <w:b/>
                <w:bCs/>
              </w:rPr>
            </w:pPr>
            <w:r>
              <w:rPr>
                <w:rFonts w:eastAsia="Times New Roman" w:cs="Times New Roman"/>
                <w:b/>
                <w:bCs/>
                <w:color w:val="000000"/>
              </w:rPr>
              <w:t>Monetized Benefits</w:t>
            </w:r>
          </w:p>
        </w:tc>
      </w:tr>
      <w:tr w:rsidR="00A15C2C" w14:paraId="18EB1BB6" w14:textId="77777777" w:rsidTr="00343F45">
        <w:trPr>
          <w:trHeight w:val="320"/>
        </w:trPr>
        <w:tc>
          <w:tcPr>
            <w:tcW w:w="1592" w:type="dxa"/>
            <w:vMerge w:val="restart"/>
            <w:shd w:val="clear" w:color="auto" w:fill="D9D9D9" w:themeFill="background1" w:themeFillShade="D9"/>
            <w:noWrap/>
            <w:vAlign w:val="center"/>
            <w:hideMark/>
          </w:tcPr>
          <w:p w14:paraId="773F3D5E" w14:textId="77777777" w:rsidR="006F259C" w:rsidRPr="00A46F57" w:rsidRDefault="000F5B51" w:rsidP="00343F45">
            <w:pPr>
              <w:spacing w:line="240" w:lineRule="auto"/>
              <w:rPr>
                <w:b/>
                <w:bCs/>
              </w:rPr>
            </w:pPr>
            <w:r w:rsidRPr="006D7613">
              <w:rPr>
                <w:b/>
                <w:bCs/>
              </w:rPr>
              <w:t>PC</w:t>
            </w:r>
          </w:p>
        </w:tc>
        <w:tc>
          <w:tcPr>
            <w:tcW w:w="1597" w:type="dxa"/>
            <w:shd w:val="clear" w:color="auto" w:fill="D9D9D9" w:themeFill="background1" w:themeFillShade="D9"/>
            <w:noWrap/>
            <w:hideMark/>
          </w:tcPr>
          <w:p w14:paraId="50224173" w14:textId="77777777" w:rsidR="006F259C" w:rsidRPr="00A46F57" w:rsidRDefault="000F5B51" w:rsidP="00343F45">
            <w:pPr>
              <w:spacing w:line="240" w:lineRule="auto"/>
            </w:pPr>
            <w:r w:rsidRPr="00A46F57">
              <w:t>MAIS 1</w:t>
            </w:r>
          </w:p>
        </w:tc>
        <w:tc>
          <w:tcPr>
            <w:tcW w:w="2053" w:type="dxa"/>
          </w:tcPr>
          <w:p w14:paraId="4D35ADD2" w14:textId="77777777" w:rsidR="006F259C" w:rsidRPr="00A46F57" w:rsidRDefault="000F5B51" w:rsidP="00343F45">
            <w:pPr>
              <w:spacing w:line="240" w:lineRule="auto"/>
              <w:jc w:val="center"/>
            </w:pPr>
            <w:r w:rsidRPr="008D2626">
              <w:t>2.27</w:t>
            </w:r>
          </w:p>
        </w:tc>
        <w:tc>
          <w:tcPr>
            <w:tcW w:w="2053" w:type="dxa"/>
            <w:noWrap/>
          </w:tcPr>
          <w:p w14:paraId="1F5A3159" w14:textId="77777777" w:rsidR="006F259C" w:rsidRPr="00A46F57" w:rsidRDefault="000F5B51" w:rsidP="00343F45">
            <w:pPr>
              <w:spacing w:line="240" w:lineRule="auto"/>
              <w:jc w:val="center"/>
            </w:pPr>
            <w:r w:rsidRPr="00BF6983">
              <w:t>$56,035</w:t>
            </w:r>
          </w:p>
        </w:tc>
        <w:tc>
          <w:tcPr>
            <w:tcW w:w="2054" w:type="dxa"/>
          </w:tcPr>
          <w:p w14:paraId="6223F7ED" w14:textId="77777777" w:rsidR="006F259C" w:rsidRPr="00A46F57" w:rsidRDefault="000F5B51" w:rsidP="00343F45">
            <w:pPr>
              <w:spacing w:line="240" w:lineRule="auto"/>
              <w:jc w:val="center"/>
            </w:pPr>
            <w:r w:rsidRPr="00833049">
              <w:t xml:space="preserve">$127,409 </w:t>
            </w:r>
          </w:p>
        </w:tc>
      </w:tr>
      <w:tr w:rsidR="00A15C2C" w14:paraId="1DBB3D67" w14:textId="77777777" w:rsidTr="00343F45">
        <w:trPr>
          <w:trHeight w:val="320"/>
        </w:trPr>
        <w:tc>
          <w:tcPr>
            <w:tcW w:w="1592" w:type="dxa"/>
            <w:vMerge/>
            <w:shd w:val="clear" w:color="auto" w:fill="D9D9D9" w:themeFill="background1" w:themeFillShade="D9"/>
            <w:noWrap/>
            <w:vAlign w:val="center"/>
            <w:hideMark/>
          </w:tcPr>
          <w:p w14:paraId="0E92DC14" w14:textId="77777777" w:rsidR="006F259C" w:rsidRPr="00A46F57" w:rsidRDefault="006F259C" w:rsidP="00343F45">
            <w:pPr>
              <w:spacing w:line="240" w:lineRule="auto"/>
              <w:rPr>
                <w:b/>
                <w:bCs/>
              </w:rPr>
            </w:pPr>
          </w:p>
        </w:tc>
        <w:tc>
          <w:tcPr>
            <w:tcW w:w="1597" w:type="dxa"/>
            <w:shd w:val="clear" w:color="auto" w:fill="D9D9D9" w:themeFill="background1" w:themeFillShade="D9"/>
            <w:noWrap/>
            <w:hideMark/>
          </w:tcPr>
          <w:p w14:paraId="33119F44" w14:textId="77777777" w:rsidR="006F259C" w:rsidRPr="00A46F57" w:rsidRDefault="000F5B51" w:rsidP="00343F45">
            <w:pPr>
              <w:spacing w:line="240" w:lineRule="auto"/>
            </w:pPr>
            <w:r w:rsidRPr="00A46F57">
              <w:t>MAIS 2</w:t>
            </w:r>
          </w:p>
        </w:tc>
        <w:tc>
          <w:tcPr>
            <w:tcW w:w="2053" w:type="dxa"/>
          </w:tcPr>
          <w:p w14:paraId="4617CFCA" w14:textId="77777777" w:rsidR="006F259C" w:rsidRPr="00A46F57" w:rsidRDefault="000F5B51" w:rsidP="00343F45">
            <w:pPr>
              <w:spacing w:line="240" w:lineRule="auto"/>
              <w:jc w:val="center"/>
            </w:pPr>
            <w:r w:rsidRPr="008D2626">
              <w:t>13.89</w:t>
            </w:r>
          </w:p>
        </w:tc>
        <w:tc>
          <w:tcPr>
            <w:tcW w:w="2053" w:type="dxa"/>
            <w:noWrap/>
          </w:tcPr>
          <w:p w14:paraId="1A8B5B4A" w14:textId="77777777" w:rsidR="006F259C" w:rsidRPr="00A46F57" w:rsidRDefault="000F5B51" w:rsidP="00343F45">
            <w:pPr>
              <w:spacing w:line="240" w:lineRule="auto"/>
              <w:jc w:val="center"/>
            </w:pPr>
            <w:r w:rsidRPr="00BF6983">
              <w:t>$553,146</w:t>
            </w:r>
          </w:p>
        </w:tc>
        <w:tc>
          <w:tcPr>
            <w:tcW w:w="2054" w:type="dxa"/>
          </w:tcPr>
          <w:p w14:paraId="6F39F6BA" w14:textId="77777777" w:rsidR="006F259C" w:rsidRPr="00A46F57" w:rsidRDefault="000F5B51" w:rsidP="00343F45">
            <w:pPr>
              <w:spacing w:line="240" w:lineRule="auto"/>
              <w:jc w:val="center"/>
            </w:pPr>
            <w:r w:rsidRPr="00833049">
              <w:t xml:space="preserve">$7,685,887 </w:t>
            </w:r>
          </w:p>
        </w:tc>
      </w:tr>
      <w:tr w:rsidR="00A15C2C" w14:paraId="3E8FB59F" w14:textId="77777777" w:rsidTr="00343F45">
        <w:trPr>
          <w:trHeight w:val="320"/>
        </w:trPr>
        <w:tc>
          <w:tcPr>
            <w:tcW w:w="1592" w:type="dxa"/>
            <w:vMerge/>
            <w:shd w:val="clear" w:color="auto" w:fill="D9D9D9" w:themeFill="background1" w:themeFillShade="D9"/>
            <w:noWrap/>
            <w:vAlign w:val="center"/>
            <w:hideMark/>
          </w:tcPr>
          <w:p w14:paraId="332F4766" w14:textId="77777777" w:rsidR="006F259C" w:rsidRPr="00A46F57" w:rsidRDefault="006F259C" w:rsidP="00343F45">
            <w:pPr>
              <w:spacing w:line="240" w:lineRule="auto"/>
              <w:rPr>
                <w:b/>
                <w:bCs/>
              </w:rPr>
            </w:pPr>
          </w:p>
        </w:tc>
        <w:tc>
          <w:tcPr>
            <w:tcW w:w="1597" w:type="dxa"/>
            <w:shd w:val="clear" w:color="auto" w:fill="D9D9D9" w:themeFill="background1" w:themeFillShade="D9"/>
            <w:noWrap/>
            <w:hideMark/>
          </w:tcPr>
          <w:p w14:paraId="37D2E9A0" w14:textId="77777777" w:rsidR="006F259C" w:rsidRPr="00A46F57" w:rsidRDefault="000F5B51" w:rsidP="00343F45">
            <w:pPr>
              <w:spacing w:line="240" w:lineRule="auto"/>
            </w:pPr>
            <w:r w:rsidRPr="00A46F57">
              <w:t>MAIS 3</w:t>
            </w:r>
          </w:p>
        </w:tc>
        <w:tc>
          <w:tcPr>
            <w:tcW w:w="2053" w:type="dxa"/>
          </w:tcPr>
          <w:p w14:paraId="3159633C" w14:textId="77777777" w:rsidR="006F259C" w:rsidRPr="00A46F57" w:rsidRDefault="000F5B51" w:rsidP="00343F45">
            <w:pPr>
              <w:spacing w:line="240" w:lineRule="auto"/>
              <w:jc w:val="center"/>
            </w:pPr>
            <w:r w:rsidRPr="008D2626">
              <w:t>3.84</w:t>
            </w:r>
          </w:p>
        </w:tc>
        <w:tc>
          <w:tcPr>
            <w:tcW w:w="2053" w:type="dxa"/>
            <w:noWrap/>
          </w:tcPr>
          <w:p w14:paraId="4D40D2E8" w14:textId="77777777" w:rsidR="006F259C" w:rsidRPr="00A46F57" w:rsidRDefault="000F5B51" w:rsidP="00343F45">
            <w:pPr>
              <w:spacing w:line="240" w:lineRule="auto"/>
              <w:jc w:val="center"/>
            </w:pPr>
            <w:r w:rsidRPr="00BF6983">
              <w:t>$1,307,335</w:t>
            </w:r>
          </w:p>
        </w:tc>
        <w:tc>
          <w:tcPr>
            <w:tcW w:w="2054" w:type="dxa"/>
          </w:tcPr>
          <w:p w14:paraId="4AE7ED84" w14:textId="77777777" w:rsidR="006F259C" w:rsidRPr="00A46F57" w:rsidRDefault="000F5B51" w:rsidP="00343F45">
            <w:pPr>
              <w:spacing w:line="240" w:lineRule="auto"/>
              <w:jc w:val="center"/>
            </w:pPr>
            <w:r w:rsidRPr="00833049">
              <w:t xml:space="preserve">$5,014,976 </w:t>
            </w:r>
          </w:p>
        </w:tc>
      </w:tr>
      <w:tr w:rsidR="00A15C2C" w14:paraId="32862B28" w14:textId="77777777" w:rsidTr="00343F45">
        <w:trPr>
          <w:trHeight w:val="320"/>
        </w:trPr>
        <w:tc>
          <w:tcPr>
            <w:tcW w:w="1592" w:type="dxa"/>
            <w:vMerge/>
            <w:shd w:val="clear" w:color="auto" w:fill="D9D9D9" w:themeFill="background1" w:themeFillShade="D9"/>
            <w:noWrap/>
            <w:vAlign w:val="center"/>
            <w:hideMark/>
          </w:tcPr>
          <w:p w14:paraId="2A377858" w14:textId="77777777" w:rsidR="006F259C" w:rsidRPr="00A46F57" w:rsidRDefault="006F259C" w:rsidP="00343F45">
            <w:pPr>
              <w:spacing w:line="240" w:lineRule="auto"/>
              <w:rPr>
                <w:b/>
                <w:bCs/>
              </w:rPr>
            </w:pPr>
          </w:p>
        </w:tc>
        <w:tc>
          <w:tcPr>
            <w:tcW w:w="1597" w:type="dxa"/>
            <w:shd w:val="clear" w:color="auto" w:fill="D9D9D9" w:themeFill="background1" w:themeFillShade="D9"/>
            <w:noWrap/>
            <w:hideMark/>
          </w:tcPr>
          <w:p w14:paraId="2D108ACE" w14:textId="77777777" w:rsidR="006F259C" w:rsidRPr="00A46F57" w:rsidRDefault="000F5B51" w:rsidP="00343F45">
            <w:pPr>
              <w:spacing w:line="240" w:lineRule="auto"/>
            </w:pPr>
            <w:r w:rsidRPr="00A46F57">
              <w:t>MAIS 4</w:t>
            </w:r>
          </w:p>
        </w:tc>
        <w:tc>
          <w:tcPr>
            <w:tcW w:w="2053" w:type="dxa"/>
          </w:tcPr>
          <w:p w14:paraId="6EA9DB92" w14:textId="77777777" w:rsidR="006F259C" w:rsidRPr="00A46F57" w:rsidRDefault="000F5B51" w:rsidP="00343F45">
            <w:pPr>
              <w:spacing w:line="240" w:lineRule="auto"/>
              <w:jc w:val="center"/>
            </w:pPr>
            <w:r w:rsidRPr="008D2626">
              <w:t>2.77</w:t>
            </w:r>
          </w:p>
        </w:tc>
        <w:tc>
          <w:tcPr>
            <w:tcW w:w="2053" w:type="dxa"/>
            <w:noWrap/>
          </w:tcPr>
          <w:p w14:paraId="05596EF9" w14:textId="77777777" w:rsidR="006F259C" w:rsidRPr="00A46F57" w:rsidRDefault="000F5B51" w:rsidP="00343F45">
            <w:pPr>
              <w:spacing w:line="240" w:lineRule="auto"/>
              <w:jc w:val="center"/>
            </w:pPr>
            <w:r w:rsidRPr="00BF6983">
              <w:t>$3,215,701</w:t>
            </w:r>
          </w:p>
        </w:tc>
        <w:tc>
          <w:tcPr>
            <w:tcW w:w="2054" w:type="dxa"/>
          </w:tcPr>
          <w:p w14:paraId="5302EE8B" w14:textId="77777777" w:rsidR="006F259C" w:rsidRPr="00A46F57" w:rsidRDefault="000F5B51" w:rsidP="00343F45">
            <w:pPr>
              <w:spacing w:line="240" w:lineRule="auto"/>
              <w:jc w:val="center"/>
            </w:pPr>
            <w:r w:rsidRPr="00833049">
              <w:t xml:space="preserve">$8,912,647 </w:t>
            </w:r>
          </w:p>
        </w:tc>
      </w:tr>
      <w:tr w:rsidR="00A15C2C" w14:paraId="4180C2C6" w14:textId="77777777" w:rsidTr="00343F45">
        <w:trPr>
          <w:trHeight w:val="320"/>
        </w:trPr>
        <w:tc>
          <w:tcPr>
            <w:tcW w:w="1592" w:type="dxa"/>
            <w:vMerge/>
            <w:shd w:val="clear" w:color="auto" w:fill="D9D9D9" w:themeFill="background1" w:themeFillShade="D9"/>
            <w:noWrap/>
            <w:vAlign w:val="center"/>
            <w:hideMark/>
          </w:tcPr>
          <w:p w14:paraId="60325D25" w14:textId="77777777" w:rsidR="006F259C" w:rsidRPr="00A46F57" w:rsidRDefault="006F259C" w:rsidP="00343F45">
            <w:pPr>
              <w:spacing w:line="240" w:lineRule="auto"/>
              <w:rPr>
                <w:b/>
                <w:bCs/>
              </w:rPr>
            </w:pPr>
          </w:p>
        </w:tc>
        <w:tc>
          <w:tcPr>
            <w:tcW w:w="1597" w:type="dxa"/>
            <w:shd w:val="clear" w:color="auto" w:fill="D9D9D9" w:themeFill="background1" w:themeFillShade="D9"/>
            <w:noWrap/>
            <w:hideMark/>
          </w:tcPr>
          <w:p w14:paraId="072C3674" w14:textId="77777777" w:rsidR="006F259C" w:rsidRPr="00A46F57" w:rsidRDefault="000F5B51" w:rsidP="00343F45">
            <w:pPr>
              <w:spacing w:line="240" w:lineRule="auto"/>
            </w:pPr>
            <w:r w:rsidRPr="00A46F57">
              <w:t>MAIS 5</w:t>
            </w:r>
          </w:p>
        </w:tc>
        <w:tc>
          <w:tcPr>
            <w:tcW w:w="2053" w:type="dxa"/>
          </w:tcPr>
          <w:p w14:paraId="4631A3BB" w14:textId="77777777" w:rsidR="006F259C" w:rsidRPr="00A46F57" w:rsidRDefault="000F5B51" w:rsidP="00343F45">
            <w:pPr>
              <w:spacing w:line="240" w:lineRule="auto"/>
              <w:jc w:val="center"/>
            </w:pPr>
            <w:r w:rsidRPr="008D2626">
              <w:t>0.07</w:t>
            </w:r>
          </w:p>
        </w:tc>
        <w:tc>
          <w:tcPr>
            <w:tcW w:w="2053" w:type="dxa"/>
            <w:noWrap/>
          </w:tcPr>
          <w:p w14:paraId="7963217C" w14:textId="77777777" w:rsidR="006F259C" w:rsidRPr="00A46F57" w:rsidRDefault="000F5B51" w:rsidP="00343F45">
            <w:pPr>
              <w:spacing w:line="240" w:lineRule="auto"/>
              <w:jc w:val="center"/>
            </w:pPr>
            <w:r w:rsidRPr="00BF6983">
              <w:t>$7,327,043</w:t>
            </w:r>
          </w:p>
        </w:tc>
        <w:tc>
          <w:tcPr>
            <w:tcW w:w="2054" w:type="dxa"/>
          </w:tcPr>
          <w:p w14:paraId="6B08891B" w14:textId="77777777" w:rsidR="006F259C" w:rsidRPr="00A46F57" w:rsidRDefault="000F5B51" w:rsidP="00343F45">
            <w:pPr>
              <w:spacing w:line="240" w:lineRule="auto"/>
              <w:jc w:val="center"/>
            </w:pPr>
            <w:r w:rsidRPr="00833049">
              <w:t xml:space="preserve">$479,945 </w:t>
            </w:r>
          </w:p>
        </w:tc>
      </w:tr>
      <w:tr w:rsidR="00A15C2C" w14:paraId="24C8872D" w14:textId="77777777" w:rsidTr="00343F45">
        <w:trPr>
          <w:trHeight w:val="310"/>
        </w:trPr>
        <w:tc>
          <w:tcPr>
            <w:tcW w:w="1592" w:type="dxa"/>
            <w:vMerge/>
            <w:shd w:val="clear" w:color="auto" w:fill="D9D9D9" w:themeFill="background1" w:themeFillShade="D9"/>
            <w:noWrap/>
            <w:vAlign w:val="center"/>
            <w:hideMark/>
          </w:tcPr>
          <w:p w14:paraId="03BD0A6A" w14:textId="77777777" w:rsidR="006F259C" w:rsidRPr="00A46F57" w:rsidRDefault="006F259C" w:rsidP="00343F45">
            <w:pPr>
              <w:spacing w:line="240" w:lineRule="auto"/>
              <w:rPr>
                <w:b/>
                <w:bCs/>
              </w:rPr>
            </w:pPr>
          </w:p>
        </w:tc>
        <w:tc>
          <w:tcPr>
            <w:tcW w:w="1597" w:type="dxa"/>
            <w:shd w:val="clear" w:color="auto" w:fill="D9D9D9" w:themeFill="background1" w:themeFillShade="D9"/>
            <w:noWrap/>
            <w:hideMark/>
          </w:tcPr>
          <w:p w14:paraId="064527E1" w14:textId="77777777" w:rsidR="006F259C" w:rsidRPr="00A46F57" w:rsidRDefault="000F5B51" w:rsidP="00343F45">
            <w:pPr>
              <w:spacing w:line="240" w:lineRule="auto"/>
              <w:rPr>
                <w:b/>
                <w:bCs/>
              </w:rPr>
            </w:pPr>
            <w:r w:rsidRPr="00A46F57">
              <w:rPr>
                <w:b/>
                <w:bCs/>
              </w:rPr>
              <w:t>Fatality</w:t>
            </w:r>
          </w:p>
        </w:tc>
        <w:tc>
          <w:tcPr>
            <w:tcW w:w="2053" w:type="dxa"/>
          </w:tcPr>
          <w:p w14:paraId="26178C07" w14:textId="77777777" w:rsidR="006F259C" w:rsidRPr="00A46F57" w:rsidRDefault="000F5B51" w:rsidP="00343F45">
            <w:pPr>
              <w:spacing w:line="240" w:lineRule="auto"/>
              <w:jc w:val="center"/>
            </w:pPr>
            <w:r w:rsidRPr="008D2626">
              <w:t>4.82</w:t>
            </w:r>
          </w:p>
        </w:tc>
        <w:tc>
          <w:tcPr>
            <w:tcW w:w="2053" w:type="dxa"/>
            <w:noWrap/>
          </w:tcPr>
          <w:p w14:paraId="70639F3D" w14:textId="77777777" w:rsidR="006F259C" w:rsidRPr="00A46F57" w:rsidRDefault="000F5B51" w:rsidP="00343F45">
            <w:pPr>
              <w:spacing w:line="240" w:lineRule="auto"/>
              <w:jc w:val="center"/>
            </w:pPr>
            <w:r w:rsidRPr="00BF6983">
              <w:t>$11,950,834</w:t>
            </w:r>
          </w:p>
        </w:tc>
        <w:tc>
          <w:tcPr>
            <w:tcW w:w="2054" w:type="dxa"/>
          </w:tcPr>
          <w:p w14:paraId="38E0D7EE" w14:textId="77777777" w:rsidR="006F259C" w:rsidRPr="00A46F57" w:rsidRDefault="000F5B51" w:rsidP="00343F45">
            <w:pPr>
              <w:spacing w:line="240" w:lineRule="auto"/>
              <w:jc w:val="center"/>
            </w:pPr>
            <w:r w:rsidRPr="00833049">
              <w:t xml:space="preserve">$57,653,496 </w:t>
            </w:r>
          </w:p>
        </w:tc>
      </w:tr>
      <w:tr w:rsidR="00A15C2C" w14:paraId="704D48CF" w14:textId="77777777" w:rsidTr="00343F45">
        <w:trPr>
          <w:trHeight w:val="310"/>
        </w:trPr>
        <w:tc>
          <w:tcPr>
            <w:tcW w:w="1592" w:type="dxa"/>
            <w:vMerge/>
            <w:shd w:val="clear" w:color="auto" w:fill="D9D9D9" w:themeFill="background1" w:themeFillShade="D9"/>
            <w:noWrap/>
            <w:vAlign w:val="center"/>
          </w:tcPr>
          <w:p w14:paraId="3BF6884A" w14:textId="77777777" w:rsidR="006F259C" w:rsidRPr="00A46F57" w:rsidRDefault="006F259C" w:rsidP="00343F45">
            <w:pPr>
              <w:spacing w:line="240" w:lineRule="auto"/>
              <w:rPr>
                <w:b/>
                <w:bCs/>
              </w:rPr>
            </w:pPr>
          </w:p>
        </w:tc>
        <w:tc>
          <w:tcPr>
            <w:tcW w:w="1597" w:type="dxa"/>
            <w:shd w:val="clear" w:color="auto" w:fill="D9D9D9" w:themeFill="background1" w:themeFillShade="D9"/>
            <w:noWrap/>
          </w:tcPr>
          <w:p w14:paraId="7BD74889" w14:textId="77777777" w:rsidR="006F259C" w:rsidRPr="00A46F57" w:rsidRDefault="000F5B51" w:rsidP="00343F45">
            <w:pPr>
              <w:spacing w:line="240" w:lineRule="auto"/>
              <w:rPr>
                <w:b/>
                <w:bCs/>
              </w:rPr>
            </w:pPr>
            <w:r>
              <w:rPr>
                <w:b/>
                <w:bCs/>
              </w:rPr>
              <w:t>Total PC</w:t>
            </w:r>
          </w:p>
        </w:tc>
        <w:tc>
          <w:tcPr>
            <w:tcW w:w="2053" w:type="dxa"/>
          </w:tcPr>
          <w:p w14:paraId="0D069ED1" w14:textId="77777777" w:rsidR="006F259C" w:rsidRPr="00D448DE" w:rsidRDefault="006F259C" w:rsidP="00343F45">
            <w:pPr>
              <w:spacing w:line="240" w:lineRule="auto"/>
              <w:jc w:val="center"/>
            </w:pPr>
          </w:p>
        </w:tc>
        <w:tc>
          <w:tcPr>
            <w:tcW w:w="2053" w:type="dxa"/>
            <w:noWrap/>
            <w:vAlign w:val="center"/>
          </w:tcPr>
          <w:p w14:paraId="520772E5" w14:textId="77777777" w:rsidR="006F259C" w:rsidRPr="00572735" w:rsidRDefault="006F259C" w:rsidP="00343F45">
            <w:pPr>
              <w:spacing w:line="240" w:lineRule="auto"/>
              <w:jc w:val="center"/>
              <w:rPr>
                <w:color w:val="000000"/>
              </w:rPr>
            </w:pPr>
          </w:p>
        </w:tc>
        <w:tc>
          <w:tcPr>
            <w:tcW w:w="2054" w:type="dxa"/>
          </w:tcPr>
          <w:p w14:paraId="02CF9329" w14:textId="77777777" w:rsidR="006F259C" w:rsidRPr="00CC4686" w:rsidRDefault="000F5B51" w:rsidP="00343F45">
            <w:pPr>
              <w:spacing w:line="240" w:lineRule="auto"/>
              <w:jc w:val="center"/>
              <w:rPr>
                <w:color w:val="000000"/>
              </w:rPr>
            </w:pPr>
            <w:r>
              <w:rPr>
                <w:color w:val="000000"/>
              </w:rPr>
              <w:t xml:space="preserve">$79,874,359 </w:t>
            </w:r>
          </w:p>
        </w:tc>
      </w:tr>
      <w:tr w:rsidR="00A15C2C" w14:paraId="717CED6A" w14:textId="77777777" w:rsidTr="00343F45">
        <w:trPr>
          <w:trHeight w:val="320"/>
        </w:trPr>
        <w:tc>
          <w:tcPr>
            <w:tcW w:w="1592" w:type="dxa"/>
            <w:vMerge w:val="restart"/>
            <w:shd w:val="clear" w:color="auto" w:fill="D9D9D9" w:themeFill="background1" w:themeFillShade="D9"/>
            <w:noWrap/>
            <w:vAlign w:val="center"/>
            <w:hideMark/>
          </w:tcPr>
          <w:p w14:paraId="5FEF20E4" w14:textId="77777777" w:rsidR="006F259C" w:rsidRPr="00A46F57" w:rsidRDefault="000F5B51" w:rsidP="00343F45">
            <w:pPr>
              <w:spacing w:line="240" w:lineRule="auto"/>
              <w:rPr>
                <w:b/>
                <w:bCs/>
              </w:rPr>
            </w:pPr>
            <w:r w:rsidRPr="006D7613">
              <w:rPr>
                <w:b/>
                <w:bCs/>
              </w:rPr>
              <w:t>LTV</w:t>
            </w:r>
          </w:p>
        </w:tc>
        <w:tc>
          <w:tcPr>
            <w:tcW w:w="1597" w:type="dxa"/>
            <w:shd w:val="clear" w:color="auto" w:fill="D9D9D9" w:themeFill="background1" w:themeFillShade="D9"/>
            <w:noWrap/>
            <w:hideMark/>
          </w:tcPr>
          <w:p w14:paraId="73CDA6C3" w14:textId="77777777" w:rsidR="006F259C" w:rsidRPr="00A46F57" w:rsidRDefault="000F5B51" w:rsidP="00343F45">
            <w:pPr>
              <w:spacing w:line="240" w:lineRule="auto"/>
            </w:pPr>
            <w:r w:rsidRPr="00A46F57">
              <w:t>MAIS 1</w:t>
            </w:r>
          </w:p>
        </w:tc>
        <w:tc>
          <w:tcPr>
            <w:tcW w:w="2053" w:type="dxa"/>
          </w:tcPr>
          <w:p w14:paraId="3383822C" w14:textId="77777777" w:rsidR="006F259C" w:rsidRPr="00A46F57" w:rsidRDefault="000F5B51" w:rsidP="00343F45">
            <w:pPr>
              <w:spacing w:line="240" w:lineRule="auto"/>
              <w:jc w:val="center"/>
            </w:pPr>
            <w:r w:rsidRPr="00EA7026">
              <w:t>1.39</w:t>
            </w:r>
          </w:p>
        </w:tc>
        <w:tc>
          <w:tcPr>
            <w:tcW w:w="2053" w:type="dxa"/>
            <w:noWrap/>
          </w:tcPr>
          <w:p w14:paraId="5725AB39" w14:textId="77777777" w:rsidR="006F259C" w:rsidRPr="00A46F57" w:rsidRDefault="000F5B51" w:rsidP="00343F45">
            <w:pPr>
              <w:spacing w:line="240" w:lineRule="auto"/>
              <w:jc w:val="center"/>
            </w:pPr>
            <w:r w:rsidRPr="00BF6983">
              <w:t>$56,035</w:t>
            </w:r>
          </w:p>
        </w:tc>
        <w:tc>
          <w:tcPr>
            <w:tcW w:w="2054" w:type="dxa"/>
            <w:vAlign w:val="center"/>
          </w:tcPr>
          <w:p w14:paraId="5B26905C" w14:textId="77777777" w:rsidR="006F259C" w:rsidRPr="00A46F57" w:rsidRDefault="000F5B51" w:rsidP="00343F45">
            <w:pPr>
              <w:spacing w:line="240" w:lineRule="auto"/>
              <w:jc w:val="center"/>
            </w:pPr>
            <w:r>
              <w:rPr>
                <w:color w:val="000000"/>
              </w:rPr>
              <w:t xml:space="preserve">$77,889 </w:t>
            </w:r>
          </w:p>
        </w:tc>
      </w:tr>
      <w:tr w:rsidR="00A15C2C" w14:paraId="0C29ADBF" w14:textId="77777777" w:rsidTr="00343F45">
        <w:trPr>
          <w:trHeight w:val="320"/>
        </w:trPr>
        <w:tc>
          <w:tcPr>
            <w:tcW w:w="1592" w:type="dxa"/>
            <w:vMerge/>
            <w:shd w:val="clear" w:color="auto" w:fill="D9D9D9" w:themeFill="background1" w:themeFillShade="D9"/>
            <w:noWrap/>
            <w:hideMark/>
          </w:tcPr>
          <w:p w14:paraId="60ACED19" w14:textId="77777777" w:rsidR="006F259C" w:rsidRPr="00A46F57" w:rsidRDefault="006F259C" w:rsidP="00343F45"/>
        </w:tc>
        <w:tc>
          <w:tcPr>
            <w:tcW w:w="1597" w:type="dxa"/>
            <w:shd w:val="clear" w:color="auto" w:fill="D9D9D9" w:themeFill="background1" w:themeFillShade="D9"/>
            <w:noWrap/>
            <w:hideMark/>
          </w:tcPr>
          <w:p w14:paraId="6510C001" w14:textId="77777777" w:rsidR="006F259C" w:rsidRPr="00A46F57" w:rsidRDefault="000F5B51" w:rsidP="00343F45">
            <w:pPr>
              <w:spacing w:line="240" w:lineRule="auto"/>
            </w:pPr>
            <w:r w:rsidRPr="00A46F57">
              <w:t>MAIS 2</w:t>
            </w:r>
          </w:p>
        </w:tc>
        <w:tc>
          <w:tcPr>
            <w:tcW w:w="2053" w:type="dxa"/>
          </w:tcPr>
          <w:p w14:paraId="4EA2E418" w14:textId="77777777" w:rsidR="006F259C" w:rsidRPr="00A46F57" w:rsidRDefault="000F5B51" w:rsidP="00343F45">
            <w:pPr>
              <w:spacing w:line="240" w:lineRule="auto"/>
              <w:jc w:val="center"/>
            </w:pPr>
            <w:r w:rsidRPr="00EA7026">
              <w:t>6.59</w:t>
            </w:r>
          </w:p>
        </w:tc>
        <w:tc>
          <w:tcPr>
            <w:tcW w:w="2053" w:type="dxa"/>
            <w:noWrap/>
          </w:tcPr>
          <w:p w14:paraId="5A153E9D" w14:textId="77777777" w:rsidR="006F259C" w:rsidRPr="00A46F57" w:rsidRDefault="000F5B51" w:rsidP="00343F45">
            <w:pPr>
              <w:spacing w:line="240" w:lineRule="auto"/>
              <w:jc w:val="center"/>
            </w:pPr>
            <w:r w:rsidRPr="00BF6983">
              <w:t>$553,146</w:t>
            </w:r>
          </w:p>
        </w:tc>
        <w:tc>
          <w:tcPr>
            <w:tcW w:w="2054" w:type="dxa"/>
            <w:vAlign w:val="center"/>
          </w:tcPr>
          <w:p w14:paraId="7C0FFB54" w14:textId="77777777" w:rsidR="006F259C" w:rsidRPr="00A46F57" w:rsidRDefault="000F5B51" w:rsidP="00343F45">
            <w:pPr>
              <w:spacing w:line="240" w:lineRule="auto"/>
              <w:jc w:val="center"/>
            </w:pPr>
            <w:r>
              <w:rPr>
                <w:color w:val="000000"/>
              </w:rPr>
              <w:t xml:space="preserve">$3,645,232 </w:t>
            </w:r>
          </w:p>
        </w:tc>
      </w:tr>
      <w:tr w:rsidR="00A15C2C" w14:paraId="01E15297" w14:textId="77777777" w:rsidTr="00343F45">
        <w:trPr>
          <w:trHeight w:val="320"/>
        </w:trPr>
        <w:tc>
          <w:tcPr>
            <w:tcW w:w="1592" w:type="dxa"/>
            <w:vMerge/>
            <w:shd w:val="clear" w:color="auto" w:fill="D9D9D9" w:themeFill="background1" w:themeFillShade="D9"/>
            <w:noWrap/>
            <w:hideMark/>
          </w:tcPr>
          <w:p w14:paraId="35FB1EFA" w14:textId="77777777" w:rsidR="006F259C" w:rsidRPr="00A46F57" w:rsidRDefault="006F259C" w:rsidP="00343F45"/>
        </w:tc>
        <w:tc>
          <w:tcPr>
            <w:tcW w:w="1597" w:type="dxa"/>
            <w:shd w:val="clear" w:color="auto" w:fill="D9D9D9" w:themeFill="background1" w:themeFillShade="D9"/>
            <w:noWrap/>
            <w:hideMark/>
          </w:tcPr>
          <w:p w14:paraId="7DE02533" w14:textId="77777777" w:rsidR="006F259C" w:rsidRPr="00A46F57" w:rsidRDefault="000F5B51" w:rsidP="00343F45">
            <w:pPr>
              <w:spacing w:line="240" w:lineRule="auto"/>
            </w:pPr>
            <w:r w:rsidRPr="00A46F57">
              <w:t>MAIS 3</w:t>
            </w:r>
          </w:p>
        </w:tc>
        <w:tc>
          <w:tcPr>
            <w:tcW w:w="2053" w:type="dxa"/>
          </w:tcPr>
          <w:p w14:paraId="1B000134" w14:textId="77777777" w:rsidR="006F259C" w:rsidRPr="00A46F57" w:rsidRDefault="000F5B51" w:rsidP="00343F45">
            <w:pPr>
              <w:spacing w:line="240" w:lineRule="auto"/>
              <w:jc w:val="center"/>
            </w:pPr>
            <w:r w:rsidRPr="00EA7026">
              <w:t>0.05</w:t>
            </w:r>
          </w:p>
        </w:tc>
        <w:tc>
          <w:tcPr>
            <w:tcW w:w="2053" w:type="dxa"/>
            <w:noWrap/>
          </w:tcPr>
          <w:p w14:paraId="6A3ADC1D" w14:textId="77777777" w:rsidR="006F259C" w:rsidRPr="00A46F57" w:rsidRDefault="000F5B51" w:rsidP="00343F45">
            <w:pPr>
              <w:spacing w:line="240" w:lineRule="auto"/>
              <w:jc w:val="center"/>
            </w:pPr>
            <w:r w:rsidRPr="00BF6983">
              <w:t>$1,307,335</w:t>
            </w:r>
          </w:p>
        </w:tc>
        <w:tc>
          <w:tcPr>
            <w:tcW w:w="2054" w:type="dxa"/>
            <w:vAlign w:val="center"/>
          </w:tcPr>
          <w:p w14:paraId="6F1B3586" w14:textId="77777777" w:rsidR="006F259C" w:rsidRPr="00A46F57" w:rsidRDefault="000F5B51" w:rsidP="00343F45">
            <w:pPr>
              <w:spacing w:line="240" w:lineRule="auto"/>
              <w:jc w:val="center"/>
            </w:pPr>
            <w:r>
              <w:rPr>
                <w:color w:val="000000"/>
              </w:rPr>
              <w:t xml:space="preserve">$65,367 </w:t>
            </w:r>
          </w:p>
        </w:tc>
      </w:tr>
      <w:tr w:rsidR="00A15C2C" w14:paraId="3C5F75AD" w14:textId="77777777" w:rsidTr="00343F45">
        <w:trPr>
          <w:trHeight w:val="320"/>
        </w:trPr>
        <w:tc>
          <w:tcPr>
            <w:tcW w:w="1592" w:type="dxa"/>
            <w:vMerge/>
            <w:shd w:val="clear" w:color="auto" w:fill="D9D9D9" w:themeFill="background1" w:themeFillShade="D9"/>
            <w:noWrap/>
            <w:hideMark/>
          </w:tcPr>
          <w:p w14:paraId="3C2A168A" w14:textId="77777777" w:rsidR="006F259C" w:rsidRPr="00A46F57" w:rsidRDefault="006F259C" w:rsidP="00343F45"/>
        </w:tc>
        <w:tc>
          <w:tcPr>
            <w:tcW w:w="1597" w:type="dxa"/>
            <w:shd w:val="clear" w:color="auto" w:fill="D9D9D9" w:themeFill="background1" w:themeFillShade="D9"/>
            <w:noWrap/>
            <w:hideMark/>
          </w:tcPr>
          <w:p w14:paraId="35AF8201" w14:textId="77777777" w:rsidR="006F259C" w:rsidRPr="00A46F57" w:rsidRDefault="000F5B51" w:rsidP="00343F45">
            <w:pPr>
              <w:spacing w:line="240" w:lineRule="auto"/>
            </w:pPr>
            <w:r w:rsidRPr="00A46F57">
              <w:t>MAIS 4</w:t>
            </w:r>
          </w:p>
        </w:tc>
        <w:tc>
          <w:tcPr>
            <w:tcW w:w="2053" w:type="dxa"/>
          </w:tcPr>
          <w:p w14:paraId="291B30FD" w14:textId="77777777" w:rsidR="006F259C" w:rsidRPr="00A46F57" w:rsidRDefault="000F5B51" w:rsidP="00343F45">
            <w:pPr>
              <w:spacing w:line="240" w:lineRule="auto"/>
              <w:jc w:val="center"/>
            </w:pPr>
            <w:r w:rsidRPr="00EA7026">
              <w:t>0.31</w:t>
            </w:r>
          </w:p>
        </w:tc>
        <w:tc>
          <w:tcPr>
            <w:tcW w:w="2053" w:type="dxa"/>
            <w:noWrap/>
          </w:tcPr>
          <w:p w14:paraId="13331E79" w14:textId="77777777" w:rsidR="006F259C" w:rsidRPr="00A46F57" w:rsidRDefault="000F5B51" w:rsidP="00343F45">
            <w:pPr>
              <w:spacing w:line="240" w:lineRule="auto"/>
              <w:jc w:val="center"/>
            </w:pPr>
            <w:r w:rsidRPr="00BF6983">
              <w:t>$3,215,701</w:t>
            </w:r>
          </w:p>
        </w:tc>
        <w:tc>
          <w:tcPr>
            <w:tcW w:w="2054" w:type="dxa"/>
            <w:vAlign w:val="center"/>
          </w:tcPr>
          <w:p w14:paraId="2B24C327" w14:textId="77777777" w:rsidR="006F259C" w:rsidRPr="00A46F57" w:rsidRDefault="000F5B51" w:rsidP="00343F45">
            <w:pPr>
              <w:spacing w:line="240" w:lineRule="auto"/>
              <w:jc w:val="center"/>
            </w:pPr>
            <w:r>
              <w:rPr>
                <w:color w:val="000000"/>
              </w:rPr>
              <w:t xml:space="preserve">$996,867 </w:t>
            </w:r>
          </w:p>
        </w:tc>
      </w:tr>
      <w:tr w:rsidR="00A15C2C" w14:paraId="6B996197" w14:textId="77777777" w:rsidTr="00343F45">
        <w:trPr>
          <w:trHeight w:val="320"/>
        </w:trPr>
        <w:tc>
          <w:tcPr>
            <w:tcW w:w="1592" w:type="dxa"/>
            <w:vMerge/>
            <w:shd w:val="clear" w:color="auto" w:fill="D9D9D9" w:themeFill="background1" w:themeFillShade="D9"/>
            <w:noWrap/>
            <w:hideMark/>
          </w:tcPr>
          <w:p w14:paraId="353244C4" w14:textId="77777777" w:rsidR="006F259C" w:rsidRPr="00A46F57" w:rsidRDefault="006F259C" w:rsidP="00343F45"/>
        </w:tc>
        <w:tc>
          <w:tcPr>
            <w:tcW w:w="1597" w:type="dxa"/>
            <w:shd w:val="clear" w:color="auto" w:fill="D9D9D9" w:themeFill="background1" w:themeFillShade="D9"/>
            <w:noWrap/>
            <w:hideMark/>
          </w:tcPr>
          <w:p w14:paraId="6484E1A7" w14:textId="77777777" w:rsidR="006F259C" w:rsidRPr="00A46F57" w:rsidRDefault="000F5B51" w:rsidP="00343F45">
            <w:pPr>
              <w:spacing w:line="240" w:lineRule="auto"/>
            </w:pPr>
            <w:r w:rsidRPr="00A46F57">
              <w:t>MAIS 5</w:t>
            </w:r>
          </w:p>
        </w:tc>
        <w:tc>
          <w:tcPr>
            <w:tcW w:w="2053" w:type="dxa"/>
          </w:tcPr>
          <w:p w14:paraId="58D1A453" w14:textId="77777777" w:rsidR="006F259C" w:rsidRPr="00A46F57" w:rsidRDefault="000F5B51" w:rsidP="00343F45">
            <w:pPr>
              <w:spacing w:line="240" w:lineRule="auto"/>
              <w:jc w:val="center"/>
            </w:pPr>
            <w:r w:rsidRPr="00EA7026">
              <w:t>0.02</w:t>
            </w:r>
          </w:p>
        </w:tc>
        <w:tc>
          <w:tcPr>
            <w:tcW w:w="2053" w:type="dxa"/>
            <w:noWrap/>
          </w:tcPr>
          <w:p w14:paraId="7D99EA20" w14:textId="77777777" w:rsidR="006F259C" w:rsidRPr="00A46F57" w:rsidRDefault="000F5B51" w:rsidP="00343F45">
            <w:pPr>
              <w:spacing w:line="240" w:lineRule="auto"/>
              <w:jc w:val="center"/>
            </w:pPr>
            <w:r w:rsidRPr="00BF6983">
              <w:t>$7,327,043</w:t>
            </w:r>
          </w:p>
        </w:tc>
        <w:tc>
          <w:tcPr>
            <w:tcW w:w="2054" w:type="dxa"/>
            <w:vAlign w:val="center"/>
          </w:tcPr>
          <w:p w14:paraId="14B7D5FF" w14:textId="77777777" w:rsidR="006F259C" w:rsidRPr="00A46F57" w:rsidRDefault="000F5B51" w:rsidP="00343F45">
            <w:pPr>
              <w:spacing w:line="240" w:lineRule="auto"/>
              <w:jc w:val="center"/>
            </w:pPr>
            <w:r>
              <w:rPr>
                <w:color w:val="000000"/>
              </w:rPr>
              <w:t xml:space="preserve">$146,541 </w:t>
            </w:r>
          </w:p>
        </w:tc>
      </w:tr>
      <w:tr w:rsidR="00A15C2C" w14:paraId="29C31B6F" w14:textId="77777777" w:rsidTr="00343F45">
        <w:trPr>
          <w:trHeight w:val="310"/>
        </w:trPr>
        <w:tc>
          <w:tcPr>
            <w:tcW w:w="1592" w:type="dxa"/>
            <w:vMerge/>
            <w:shd w:val="clear" w:color="auto" w:fill="D9D9D9" w:themeFill="background1" w:themeFillShade="D9"/>
            <w:noWrap/>
            <w:hideMark/>
          </w:tcPr>
          <w:p w14:paraId="7641C268" w14:textId="77777777" w:rsidR="006F259C" w:rsidRPr="00A46F57" w:rsidRDefault="006F259C" w:rsidP="00343F45"/>
        </w:tc>
        <w:tc>
          <w:tcPr>
            <w:tcW w:w="1597" w:type="dxa"/>
            <w:shd w:val="clear" w:color="auto" w:fill="D9D9D9" w:themeFill="background1" w:themeFillShade="D9"/>
            <w:noWrap/>
            <w:hideMark/>
          </w:tcPr>
          <w:p w14:paraId="53CC06FE" w14:textId="77777777" w:rsidR="006F259C" w:rsidRPr="00A46F57" w:rsidRDefault="000F5B51" w:rsidP="00343F45">
            <w:pPr>
              <w:spacing w:line="240" w:lineRule="auto"/>
              <w:rPr>
                <w:b/>
                <w:bCs/>
              </w:rPr>
            </w:pPr>
            <w:r w:rsidRPr="00A46F57">
              <w:rPr>
                <w:b/>
                <w:bCs/>
              </w:rPr>
              <w:t>Fatality</w:t>
            </w:r>
          </w:p>
        </w:tc>
        <w:tc>
          <w:tcPr>
            <w:tcW w:w="2053" w:type="dxa"/>
          </w:tcPr>
          <w:p w14:paraId="553517D0" w14:textId="77777777" w:rsidR="006F259C" w:rsidRPr="00A46F57" w:rsidRDefault="000F5B51" w:rsidP="00343F45">
            <w:pPr>
              <w:spacing w:line="240" w:lineRule="auto"/>
              <w:jc w:val="center"/>
            </w:pPr>
            <w:r w:rsidRPr="00EA7026">
              <w:t>6.56</w:t>
            </w:r>
          </w:p>
        </w:tc>
        <w:tc>
          <w:tcPr>
            <w:tcW w:w="2053" w:type="dxa"/>
            <w:noWrap/>
          </w:tcPr>
          <w:p w14:paraId="70DF62B9" w14:textId="77777777" w:rsidR="006F259C" w:rsidRPr="00A46F57" w:rsidRDefault="000F5B51" w:rsidP="00343F45">
            <w:pPr>
              <w:spacing w:line="240" w:lineRule="auto"/>
              <w:jc w:val="center"/>
            </w:pPr>
            <w:r w:rsidRPr="00BF6983">
              <w:t>$11,950,834</w:t>
            </w:r>
          </w:p>
        </w:tc>
        <w:tc>
          <w:tcPr>
            <w:tcW w:w="2054" w:type="dxa"/>
            <w:vAlign w:val="center"/>
          </w:tcPr>
          <w:p w14:paraId="44DB3D15" w14:textId="77777777" w:rsidR="006F259C" w:rsidRPr="00A46F57" w:rsidRDefault="000F5B51" w:rsidP="00343F45">
            <w:pPr>
              <w:spacing w:line="240" w:lineRule="auto"/>
              <w:jc w:val="center"/>
            </w:pPr>
            <w:r>
              <w:rPr>
                <w:color w:val="000000"/>
              </w:rPr>
              <w:t xml:space="preserve">$78,397,471 </w:t>
            </w:r>
          </w:p>
        </w:tc>
      </w:tr>
      <w:tr w:rsidR="00A15C2C" w14:paraId="4F00E117" w14:textId="77777777" w:rsidTr="00343F45">
        <w:trPr>
          <w:trHeight w:val="310"/>
        </w:trPr>
        <w:tc>
          <w:tcPr>
            <w:tcW w:w="1592" w:type="dxa"/>
            <w:vMerge/>
            <w:shd w:val="clear" w:color="auto" w:fill="D9D9D9" w:themeFill="background1" w:themeFillShade="D9"/>
            <w:noWrap/>
          </w:tcPr>
          <w:p w14:paraId="3D002BC5" w14:textId="77777777" w:rsidR="006F259C" w:rsidRPr="00A46F57" w:rsidRDefault="006F259C" w:rsidP="00343F45"/>
        </w:tc>
        <w:tc>
          <w:tcPr>
            <w:tcW w:w="1597" w:type="dxa"/>
            <w:shd w:val="clear" w:color="auto" w:fill="D9D9D9" w:themeFill="background1" w:themeFillShade="D9"/>
            <w:noWrap/>
          </w:tcPr>
          <w:p w14:paraId="4A9BF21E" w14:textId="77777777" w:rsidR="006F259C" w:rsidRPr="00A46F57" w:rsidRDefault="000F5B51" w:rsidP="00343F45">
            <w:pPr>
              <w:spacing w:line="240" w:lineRule="auto"/>
              <w:rPr>
                <w:b/>
                <w:bCs/>
              </w:rPr>
            </w:pPr>
            <w:r>
              <w:rPr>
                <w:b/>
                <w:bCs/>
              </w:rPr>
              <w:t>Total LTV</w:t>
            </w:r>
          </w:p>
        </w:tc>
        <w:tc>
          <w:tcPr>
            <w:tcW w:w="2053" w:type="dxa"/>
          </w:tcPr>
          <w:p w14:paraId="5BA442A9" w14:textId="77777777" w:rsidR="006F259C" w:rsidRPr="00791C5D" w:rsidRDefault="006F259C" w:rsidP="00343F45">
            <w:pPr>
              <w:spacing w:line="240" w:lineRule="auto"/>
              <w:jc w:val="center"/>
            </w:pPr>
          </w:p>
        </w:tc>
        <w:tc>
          <w:tcPr>
            <w:tcW w:w="2053" w:type="dxa"/>
            <w:noWrap/>
            <w:vAlign w:val="center"/>
          </w:tcPr>
          <w:p w14:paraId="479E3E76" w14:textId="77777777" w:rsidR="006F259C" w:rsidRPr="00572735" w:rsidRDefault="006F259C" w:rsidP="00343F45">
            <w:pPr>
              <w:spacing w:line="240" w:lineRule="auto"/>
              <w:jc w:val="center"/>
              <w:rPr>
                <w:color w:val="000000"/>
              </w:rPr>
            </w:pPr>
          </w:p>
        </w:tc>
        <w:tc>
          <w:tcPr>
            <w:tcW w:w="2054" w:type="dxa"/>
            <w:vAlign w:val="center"/>
          </w:tcPr>
          <w:p w14:paraId="1CCF1261" w14:textId="77777777" w:rsidR="006F259C" w:rsidRPr="00E66816" w:rsidRDefault="000F5B51" w:rsidP="00343F45">
            <w:pPr>
              <w:spacing w:line="240" w:lineRule="auto"/>
              <w:jc w:val="center"/>
              <w:rPr>
                <w:b/>
                <w:bCs/>
              </w:rPr>
            </w:pPr>
            <w:r>
              <w:rPr>
                <w:color w:val="000000"/>
              </w:rPr>
              <w:t xml:space="preserve">$83,329,367 </w:t>
            </w:r>
          </w:p>
        </w:tc>
      </w:tr>
      <w:tr w:rsidR="00A15C2C" w14:paraId="1546B962" w14:textId="77777777" w:rsidTr="00343F45">
        <w:trPr>
          <w:trHeight w:val="310"/>
        </w:trPr>
        <w:tc>
          <w:tcPr>
            <w:tcW w:w="3189" w:type="dxa"/>
            <w:gridSpan w:val="2"/>
            <w:shd w:val="clear" w:color="auto" w:fill="D9D9D9" w:themeFill="background1" w:themeFillShade="D9"/>
            <w:noWrap/>
          </w:tcPr>
          <w:p w14:paraId="6FC7FEA1" w14:textId="77777777" w:rsidR="006F259C" w:rsidRDefault="000F5B51" w:rsidP="00343F45">
            <w:pPr>
              <w:spacing w:line="240" w:lineRule="auto"/>
              <w:rPr>
                <w:b/>
                <w:bCs/>
              </w:rPr>
            </w:pPr>
            <w:r>
              <w:rPr>
                <w:b/>
                <w:bCs/>
              </w:rPr>
              <w:t xml:space="preserve">Total Right Front Seat </w:t>
            </w:r>
          </w:p>
        </w:tc>
        <w:tc>
          <w:tcPr>
            <w:tcW w:w="2053" w:type="dxa"/>
          </w:tcPr>
          <w:p w14:paraId="66804712" w14:textId="77777777" w:rsidR="006F259C" w:rsidRPr="00791C5D" w:rsidRDefault="006F259C" w:rsidP="00343F45">
            <w:pPr>
              <w:spacing w:line="240" w:lineRule="auto"/>
              <w:jc w:val="center"/>
            </w:pPr>
          </w:p>
        </w:tc>
        <w:tc>
          <w:tcPr>
            <w:tcW w:w="2053" w:type="dxa"/>
            <w:noWrap/>
          </w:tcPr>
          <w:p w14:paraId="62335C9F" w14:textId="77777777" w:rsidR="006F259C" w:rsidRPr="00572735" w:rsidRDefault="006F259C" w:rsidP="00343F45">
            <w:pPr>
              <w:spacing w:line="240" w:lineRule="auto"/>
              <w:jc w:val="center"/>
              <w:rPr>
                <w:color w:val="000000"/>
              </w:rPr>
            </w:pPr>
          </w:p>
        </w:tc>
        <w:tc>
          <w:tcPr>
            <w:tcW w:w="2054" w:type="dxa"/>
          </w:tcPr>
          <w:p w14:paraId="67752CDB" w14:textId="77777777" w:rsidR="006F259C" w:rsidRPr="00CC4686" w:rsidRDefault="000F5B51" w:rsidP="00343F45">
            <w:pPr>
              <w:spacing w:line="240" w:lineRule="auto"/>
              <w:jc w:val="center"/>
              <w:rPr>
                <w:b/>
                <w:bCs/>
                <w:color w:val="000000"/>
              </w:rPr>
            </w:pPr>
            <w:r>
              <w:rPr>
                <w:b/>
                <w:bCs/>
                <w:color w:val="000000"/>
              </w:rPr>
              <w:t xml:space="preserve">$163,250,343 </w:t>
            </w:r>
          </w:p>
        </w:tc>
      </w:tr>
    </w:tbl>
    <w:p w14:paraId="5542A6B0" w14:textId="77777777" w:rsidR="006F259C" w:rsidRDefault="000F5B51" w:rsidP="006F259C">
      <w:r w:rsidRPr="00572735">
        <w:rPr>
          <w:sz w:val="18"/>
          <w:szCs w:val="18"/>
        </w:rPr>
        <w:t>Note: Values may not sum due to rounding.</w:t>
      </w:r>
    </w:p>
    <w:p w14:paraId="79018FB7" w14:textId="7323B0F3" w:rsidR="006F259C" w:rsidRDefault="000F5B51" w:rsidP="006F259C">
      <w:pPr>
        <w:pStyle w:val="Caption"/>
      </w:pPr>
      <w:r>
        <w:t xml:space="preserve">Table </w:t>
      </w:r>
      <w:r w:rsidR="00115BAB">
        <w:fldChar w:fldCharType="begin"/>
      </w:r>
      <w:r>
        <w:instrText xml:space="preserve"> SEQ Table \* ARABIC </w:instrText>
      </w:r>
      <w:r w:rsidR="00115BAB">
        <w:fldChar w:fldCharType="separate"/>
      </w:r>
      <w:r w:rsidR="00A65CB3">
        <w:rPr>
          <w:noProof/>
        </w:rPr>
        <w:t>160</w:t>
      </w:r>
      <w:r w:rsidR="00115BAB">
        <w:rPr>
          <w:noProof/>
        </w:rPr>
        <w:fldChar w:fldCharType="end"/>
      </w:r>
      <w:r>
        <w:t xml:space="preserve">: </w:t>
      </w:r>
      <w:r w:rsidRPr="00C021D8">
        <w:t xml:space="preserve">Calculation of </w:t>
      </w:r>
      <w:r>
        <w:t xml:space="preserve">Discounted </w:t>
      </w:r>
      <w:r w:rsidRPr="00471AE9">
        <w:t>Equivalent Lives Saved</w:t>
      </w:r>
      <w:r w:rsidRPr="00C021D8">
        <w:t xml:space="preserve"> for Drivers</w:t>
      </w:r>
    </w:p>
    <w:tbl>
      <w:tblPr>
        <w:tblStyle w:val="TableGrid3"/>
        <w:tblW w:w="9792" w:type="dxa"/>
        <w:jc w:val="center"/>
        <w:tblLayout w:type="fixed"/>
        <w:tblLook w:val="04A0" w:firstRow="1" w:lastRow="0" w:firstColumn="1" w:lastColumn="0" w:noHBand="0" w:noVBand="1"/>
      </w:tblPr>
      <w:tblGrid>
        <w:gridCol w:w="2862"/>
        <w:gridCol w:w="2310"/>
        <w:gridCol w:w="2310"/>
        <w:gridCol w:w="2310"/>
      </w:tblGrid>
      <w:tr w:rsidR="00A15C2C" w14:paraId="4E168064" w14:textId="77777777" w:rsidTr="00343F45">
        <w:trPr>
          <w:trHeight w:val="630"/>
          <w:jc w:val="center"/>
        </w:trPr>
        <w:tc>
          <w:tcPr>
            <w:tcW w:w="2862" w:type="dxa"/>
            <w:shd w:val="clear" w:color="auto" w:fill="BFBFBF" w:themeFill="background1" w:themeFillShade="BF"/>
            <w:noWrap/>
            <w:vAlign w:val="center"/>
          </w:tcPr>
          <w:p w14:paraId="4BF36142" w14:textId="77777777" w:rsidR="006F259C" w:rsidRPr="00572735" w:rsidRDefault="000F5B51" w:rsidP="00343F45">
            <w:pPr>
              <w:spacing w:line="240" w:lineRule="auto"/>
              <w:rPr>
                <w:rFonts w:eastAsia="Times New Roman" w:cs="Times New Roman"/>
                <w:b/>
                <w:bCs/>
                <w:color w:val="000000"/>
              </w:rPr>
            </w:pPr>
            <w:r>
              <w:rPr>
                <w:rFonts w:eastAsia="Times New Roman" w:cs="Times New Roman"/>
                <w:b/>
                <w:bCs/>
                <w:color w:val="000000"/>
              </w:rPr>
              <w:t>Category</w:t>
            </w:r>
          </w:p>
        </w:tc>
        <w:tc>
          <w:tcPr>
            <w:tcW w:w="2310" w:type="dxa"/>
            <w:shd w:val="clear" w:color="auto" w:fill="BFBFBF" w:themeFill="background1" w:themeFillShade="BF"/>
            <w:vAlign w:val="center"/>
          </w:tcPr>
          <w:p w14:paraId="52E6EB88" w14:textId="77777777" w:rsidR="006F259C" w:rsidRPr="00572735" w:rsidRDefault="000F5B51" w:rsidP="00343F45">
            <w:pPr>
              <w:spacing w:line="240" w:lineRule="auto"/>
              <w:jc w:val="center"/>
              <w:rPr>
                <w:rFonts w:eastAsia="Times New Roman" w:cs="Times New Roman"/>
                <w:b/>
                <w:bCs/>
                <w:color w:val="000000"/>
                <w:sz w:val="22"/>
              </w:rPr>
            </w:pPr>
            <w:r>
              <w:rPr>
                <w:rFonts w:eastAsia="Times New Roman" w:cs="Times New Roman"/>
                <w:b/>
                <w:bCs/>
                <w:color w:val="000000"/>
                <w:sz w:val="22"/>
              </w:rPr>
              <w:t>Undiscounted</w:t>
            </w:r>
          </w:p>
        </w:tc>
        <w:tc>
          <w:tcPr>
            <w:tcW w:w="2310" w:type="dxa"/>
            <w:shd w:val="clear" w:color="auto" w:fill="BFBFBF" w:themeFill="background1" w:themeFillShade="BF"/>
            <w:noWrap/>
            <w:vAlign w:val="center"/>
          </w:tcPr>
          <w:p w14:paraId="7FE68FFA" w14:textId="77777777" w:rsidR="006F259C" w:rsidRPr="00572735" w:rsidRDefault="000F5B51" w:rsidP="00343F45">
            <w:pPr>
              <w:spacing w:line="240" w:lineRule="auto"/>
              <w:jc w:val="center"/>
              <w:rPr>
                <w:rFonts w:eastAsia="Times New Roman" w:cs="Times New Roman"/>
                <w:b/>
                <w:bCs/>
                <w:color w:val="000000"/>
                <w:sz w:val="22"/>
                <w:szCs w:val="22"/>
              </w:rPr>
            </w:pPr>
            <w:r w:rsidRPr="00572735">
              <w:rPr>
                <w:rFonts w:eastAsia="Times New Roman" w:cs="Times New Roman"/>
                <w:b/>
                <w:bCs/>
                <w:color w:val="000000"/>
                <w:sz w:val="22"/>
                <w:szCs w:val="22"/>
              </w:rPr>
              <w:t>Discounted at 3%</w:t>
            </w:r>
          </w:p>
        </w:tc>
        <w:tc>
          <w:tcPr>
            <w:tcW w:w="2310" w:type="dxa"/>
            <w:shd w:val="clear" w:color="auto" w:fill="BFBFBF" w:themeFill="background1" w:themeFillShade="BF"/>
            <w:noWrap/>
            <w:vAlign w:val="center"/>
          </w:tcPr>
          <w:p w14:paraId="4B2E6647" w14:textId="77777777" w:rsidR="006F259C" w:rsidRPr="00572735" w:rsidRDefault="000F5B51" w:rsidP="00343F45">
            <w:pPr>
              <w:spacing w:line="240" w:lineRule="auto"/>
              <w:jc w:val="center"/>
              <w:rPr>
                <w:rFonts w:eastAsia="Times New Roman" w:cs="Times New Roman"/>
                <w:b/>
                <w:bCs/>
                <w:color w:val="000000"/>
                <w:sz w:val="22"/>
                <w:szCs w:val="22"/>
              </w:rPr>
            </w:pPr>
            <w:r w:rsidRPr="00572735">
              <w:rPr>
                <w:rFonts w:eastAsia="Times New Roman" w:cs="Times New Roman"/>
                <w:b/>
                <w:bCs/>
                <w:color w:val="000000"/>
                <w:sz w:val="22"/>
                <w:szCs w:val="22"/>
              </w:rPr>
              <w:t>Discounted at 7%</w:t>
            </w:r>
          </w:p>
        </w:tc>
      </w:tr>
      <w:tr w:rsidR="00A15C2C" w14:paraId="54F6FE04" w14:textId="77777777" w:rsidTr="00343F45">
        <w:trPr>
          <w:trHeight w:val="320"/>
          <w:jc w:val="center"/>
        </w:trPr>
        <w:tc>
          <w:tcPr>
            <w:tcW w:w="2862" w:type="dxa"/>
            <w:noWrap/>
            <w:vAlign w:val="center"/>
          </w:tcPr>
          <w:p w14:paraId="50486AEC" w14:textId="77777777" w:rsidR="006F259C" w:rsidRPr="006620BF" w:rsidRDefault="000F5B51" w:rsidP="00343F45">
            <w:pPr>
              <w:spacing w:line="240" w:lineRule="auto"/>
              <w:rPr>
                <w:rFonts w:eastAsia="Times New Roman" w:cs="Times New Roman"/>
                <w:color w:val="000000"/>
              </w:rPr>
            </w:pPr>
            <w:r>
              <w:rPr>
                <w:rFonts w:eastAsia="Times New Roman" w:cs="Times New Roman"/>
                <w:color w:val="000000"/>
              </w:rPr>
              <w:t>PC</w:t>
            </w:r>
          </w:p>
        </w:tc>
        <w:tc>
          <w:tcPr>
            <w:tcW w:w="2310" w:type="dxa"/>
            <w:vAlign w:val="center"/>
          </w:tcPr>
          <w:p w14:paraId="053ABD79" w14:textId="2D9BA2A7" w:rsidR="006F259C" w:rsidRPr="00E66816" w:rsidRDefault="00CA2074" w:rsidP="00343F45">
            <w:pPr>
              <w:spacing w:line="240" w:lineRule="auto"/>
              <w:jc w:val="center"/>
              <w:rPr>
                <w:rFonts w:eastAsia="Times New Roman" w:cs="Times New Roman"/>
                <w:color w:val="000000"/>
                <w:sz w:val="22"/>
              </w:rPr>
            </w:pPr>
            <w:r>
              <w:rPr>
                <w:color w:val="000000"/>
                <w:sz w:val="22"/>
                <w:szCs w:val="22"/>
              </w:rPr>
              <w:t>35.2</w:t>
            </w:r>
            <w:r w:rsidR="00B37C74">
              <w:rPr>
                <w:color w:val="000000"/>
                <w:sz w:val="22"/>
                <w:szCs w:val="22"/>
              </w:rPr>
              <w:t>1</w:t>
            </w:r>
          </w:p>
        </w:tc>
        <w:tc>
          <w:tcPr>
            <w:tcW w:w="2310" w:type="dxa"/>
            <w:noWrap/>
            <w:vAlign w:val="center"/>
          </w:tcPr>
          <w:p w14:paraId="3983875A" w14:textId="46BBA0A8" w:rsidR="006F259C" w:rsidRPr="00E66816" w:rsidRDefault="00B37C74" w:rsidP="00343F45">
            <w:pPr>
              <w:spacing w:line="240" w:lineRule="auto"/>
              <w:jc w:val="center"/>
              <w:rPr>
                <w:rFonts w:eastAsia="Times New Roman" w:cs="Times New Roman"/>
                <w:color w:val="000000"/>
                <w:sz w:val="22"/>
                <w:szCs w:val="22"/>
              </w:rPr>
            </w:pPr>
            <w:r>
              <w:rPr>
                <w:color w:val="000000"/>
                <w:sz w:val="22"/>
                <w:szCs w:val="22"/>
              </w:rPr>
              <w:t>29.42</w:t>
            </w:r>
          </w:p>
        </w:tc>
        <w:tc>
          <w:tcPr>
            <w:tcW w:w="2310" w:type="dxa"/>
            <w:noWrap/>
            <w:vAlign w:val="center"/>
          </w:tcPr>
          <w:p w14:paraId="05EC4A9C" w14:textId="270F2B85" w:rsidR="006F259C" w:rsidRPr="00E66816" w:rsidRDefault="005F2C96" w:rsidP="00343F45">
            <w:pPr>
              <w:spacing w:line="240" w:lineRule="auto"/>
              <w:jc w:val="center"/>
              <w:rPr>
                <w:rFonts w:eastAsia="Times New Roman" w:cs="Times New Roman"/>
                <w:color w:val="000000"/>
                <w:sz w:val="22"/>
                <w:szCs w:val="22"/>
              </w:rPr>
            </w:pPr>
            <w:r>
              <w:rPr>
                <w:color w:val="000000"/>
                <w:sz w:val="22"/>
                <w:szCs w:val="22"/>
              </w:rPr>
              <w:t>24.01</w:t>
            </w:r>
          </w:p>
        </w:tc>
      </w:tr>
      <w:tr w:rsidR="00A15C2C" w14:paraId="088A0F4F" w14:textId="77777777" w:rsidTr="00343F45">
        <w:trPr>
          <w:trHeight w:val="320"/>
          <w:jc w:val="center"/>
        </w:trPr>
        <w:tc>
          <w:tcPr>
            <w:tcW w:w="2862" w:type="dxa"/>
            <w:noWrap/>
            <w:vAlign w:val="center"/>
          </w:tcPr>
          <w:p w14:paraId="227BB3E6" w14:textId="77777777" w:rsidR="006F259C" w:rsidRPr="006620BF" w:rsidRDefault="000F5B51" w:rsidP="00343F45">
            <w:pPr>
              <w:spacing w:line="240" w:lineRule="auto"/>
              <w:rPr>
                <w:rFonts w:eastAsia="Times New Roman" w:cs="Times New Roman"/>
                <w:color w:val="000000"/>
              </w:rPr>
            </w:pPr>
            <w:r>
              <w:rPr>
                <w:rFonts w:eastAsia="Times New Roman" w:cs="Times New Roman"/>
                <w:color w:val="000000"/>
              </w:rPr>
              <w:t>LTV</w:t>
            </w:r>
          </w:p>
        </w:tc>
        <w:tc>
          <w:tcPr>
            <w:tcW w:w="2310" w:type="dxa"/>
            <w:vAlign w:val="center"/>
          </w:tcPr>
          <w:p w14:paraId="7EB14D3A" w14:textId="0C0542AB" w:rsidR="006F259C" w:rsidRPr="00E66816" w:rsidRDefault="00B37C74" w:rsidP="00343F45">
            <w:pPr>
              <w:spacing w:line="240" w:lineRule="auto"/>
              <w:jc w:val="center"/>
              <w:rPr>
                <w:rFonts w:eastAsia="Times New Roman" w:cs="Times New Roman"/>
                <w:color w:val="000000"/>
                <w:sz w:val="22"/>
              </w:rPr>
            </w:pPr>
            <w:r>
              <w:rPr>
                <w:color w:val="000000"/>
                <w:sz w:val="22"/>
                <w:szCs w:val="22"/>
              </w:rPr>
              <w:t>43.50</w:t>
            </w:r>
          </w:p>
        </w:tc>
        <w:tc>
          <w:tcPr>
            <w:tcW w:w="2310" w:type="dxa"/>
            <w:noWrap/>
            <w:vAlign w:val="center"/>
          </w:tcPr>
          <w:p w14:paraId="72EC9FA1" w14:textId="40DB5A2F" w:rsidR="006F259C" w:rsidRPr="00E66816" w:rsidRDefault="00B37C74" w:rsidP="00343F45">
            <w:pPr>
              <w:spacing w:line="240" w:lineRule="auto"/>
              <w:jc w:val="center"/>
              <w:rPr>
                <w:rFonts w:eastAsia="Times New Roman" w:cs="Times New Roman"/>
                <w:color w:val="000000"/>
                <w:sz w:val="22"/>
                <w:szCs w:val="22"/>
              </w:rPr>
            </w:pPr>
            <w:r>
              <w:rPr>
                <w:color w:val="000000"/>
                <w:sz w:val="22"/>
                <w:szCs w:val="22"/>
              </w:rPr>
              <w:t>35.74</w:t>
            </w:r>
          </w:p>
        </w:tc>
        <w:tc>
          <w:tcPr>
            <w:tcW w:w="2310" w:type="dxa"/>
            <w:noWrap/>
            <w:vAlign w:val="center"/>
          </w:tcPr>
          <w:p w14:paraId="7AB4E38A" w14:textId="3A1FA287" w:rsidR="006F259C" w:rsidRPr="00E66816" w:rsidRDefault="005F2C96" w:rsidP="00343F45">
            <w:pPr>
              <w:spacing w:line="240" w:lineRule="auto"/>
              <w:jc w:val="center"/>
              <w:rPr>
                <w:rFonts w:eastAsia="Times New Roman" w:cs="Times New Roman"/>
                <w:color w:val="000000"/>
                <w:sz w:val="22"/>
                <w:szCs w:val="22"/>
              </w:rPr>
            </w:pPr>
            <w:r>
              <w:rPr>
                <w:color w:val="000000"/>
                <w:sz w:val="22"/>
                <w:szCs w:val="22"/>
              </w:rPr>
              <w:t>28.82</w:t>
            </w:r>
          </w:p>
        </w:tc>
      </w:tr>
      <w:tr w:rsidR="00A15C2C" w14:paraId="50528E5E" w14:textId="77777777" w:rsidTr="00343F45">
        <w:trPr>
          <w:trHeight w:val="320"/>
          <w:jc w:val="center"/>
        </w:trPr>
        <w:tc>
          <w:tcPr>
            <w:tcW w:w="2862" w:type="dxa"/>
            <w:noWrap/>
            <w:vAlign w:val="center"/>
          </w:tcPr>
          <w:p w14:paraId="337A0C03" w14:textId="77777777" w:rsidR="006F259C" w:rsidRPr="00CC4686" w:rsidRDefault="000F5B51" w:rsidP="00343F45">
            <w:pPr>
              <w:spacing w:line="240" w:lineRule="auto"/>
              <w:rPr>
                <w:rFonts w:eastAsia="Times New Roman" w:cs="Times New Roman"/>
                <w:b/>
                <w:bCs/>
                <w:color w:val="000000"/>
              </w:rPr>
            </w:pPr>
            <w:r w:rsidRPr="00CC4686">
              <w:rPr>
                <w:rFonts w:eastAsia="Times New Roman" w:cs="Times New Roman"/>
                <w:b/>
                <w:bCs/>
                <w:color w:val="000000"/>
              </w:rPr>
              <w:t>Total Drivers</w:t>
            </w:r>
          </w:p>
        </w:tc>
        <w:tc>
          <w:tcPr>
            <w:tcW w:w="2310" w:type="dxa"/>
            <w:vAlign w:val="center"/>
          </w:tcPr>
          <w:p w14:paraId="6C2B9F69" w14:textId="6AAAECA2" w:rsidR="006F259C" w:rsidRPr="00CC4686" w:rsidRDefault="00B37C74" w:rsidP="00343F45">
            <w:pPr>
              <w:spacing w:line="240" w:lineRule="auto"/>
              <w:jc w:val="center"/>
              <w:rPr>
                <w:rFonts w:eastAsia="Times New Roman" w:cs="Times New Roman"/>
                <w:b/>
                <w:bCs/>
                <w:color w:val="000000"/>
                <w:sz w:val="22"/>
              </w:rPr>
            </w:pPr>
            <w:r>
              <w:rPr>
                <w:b/>
                <w:color w:val="000000"/>
                <w:sz w:val="22"/>
              </w:rPr>
              <w:t>78.72</w:t>
            </w:r>
          </w:p>
        </w:tc>
        <w:tc>
          <w:tcPr>
            <w:tcW w:w="2310" w:type="dxa"/>
            <w:noWrap/>
            <w:vAlign w:val="center"/>
          </w:tcPr>
          <w:p w14:paraId="608F748E" w14:textId="3A44E9A7" w:rsidR="006F259C" w:rsidRPr="00CC4686" w:rsidRDefault="005F2C96" w:rsidP="00343F45">
            <w:pPr>
              <w:spacing w:line="240" w:lineRule="auto"/>
              <w:jc w:val="center"/>
              <w:rPr>
                <w:rFonts w:eastAsia="Times New Roman" w:cs="Times New Roman"/>
                <w:b/>
                <w:bCs/>
                <w:color w:val="000000"/>
                <w:sz w:val="22"/>
              </w:rPr>
            </w:pPr>
            <w:r>
              <w:rPr>
                <w:b/>
                <w:color w:val="000000"/>
                <w:sz w:val="22"/>
              </w:rPr>
              <w:t>65.16</w:t>
            </w:r>
          </w:p>
        </w:tc>
        <w:tc>
          <w:tcPr>
            <w:tcW w:w="2310" w:type="dxa"/>
            <w:noWrap/>
            <w:vAlign w:val="center"/>
          </w:tcPr>
          <w:p w14:paraId="7A775DB3" w14:textId="00C48D9A" w:rsidR="006F259C" w:rsidRPr="00CC4686" w:rsidRDefault="005F2C96" w:rsidP="00343F45">
            <w:pPr>
              <w:spacing w:line="240" w:lineRule="auto"/>
              <w:jc w:val="center"/>
              <w:rPr>
                <w:rFonts w:eastAsia="Times New Roman" w:cs="Times New Roman"/>
                <w:b/>
                <w:bCs/>
                <w:color w:val="000000"/>
                <w:sz w:val="22"/>
              </w:rPr>
            </w:pPr>
            <w:r>
              <w:rPr>
                <w:b/>
                <w:color w:val="000000"/>
                <w:sz w:val="22"/>
              </w:rPr>
              <w:t>52.83</w:t>
            </w:r>
          </w:p>
        </w:tc>
      </w:tr>
    </w:tbl>
    <w:p w14:paraId="0A2C8D2F" w14:textId="77777777" w:rsidR="006F259C" w:rsidRPr="00572735" w:rsidRDefault="000F5B51" w:rsidP="006F259C">
      <w:r w:rsidRPr="00572735">
        <w:rPr>
          <w:sz w:val="18"/>
          <w:szCs w:val="18"/>
        </w:rPr>
        <w:t>Note: Values may not sum due to rounding.</w:t>
      </w:r>
    </w:p>
    <w:p w14:paraId="6A31002A" w14:textId="5ACBDAFF" w:rsidR="006F259C" w:rsidRDefault="000F5B51" w:rsidP="006F259C">
      <w:pPr>
        <w:pStyle w:val="Caption"/>
        <w:rPr>
          <w:sz w:val="18"/>
        </w:rPr>
      </w:pPr>
      <w:r>
        <w:t xml:space="preserve">Table </w:t>
      </w:r>
      <w:r w:rsidR="00115BAB">
        <w:fldChar w:fldCharType="begin"/>
      </w:r>
      <w:r>
        <w:instrText xml:space="preserve"> SEQ Table \* ARABIC </w:instrText>
      </w:r>
      <w:r w:rsidR="00115BAB">
        <w:fldChar w:fldCharType="separate"/>
      </w:r>
      <w:r w:rsidR="00A65CB3">
        <w:rPr>
          <w:noProof/>
        </w:rPr>
        <w:t>161</w:t>
      </w:r>
      <w:r w:rsidR="00115BAB">
        <w:rPr>
          <w:noProof/>
        </w:rPr>
        <w:fldChar w:fldCharType="end"/>
      </w:r>
      <w:r>
        <w:t xml:space="preserve">: </w:t>
      </w:r>
      <w:r w:rsidRPr="00C021D8">
        <w:t xml:space="preserve">Calculation of </w:t>
      </w:r>
      <w:r>
        <w:t xml:space="preserve">Discounted </w:t>
      </w:r>
      <w:r w:rsidRPr="00471AE9">
        <w:t>Equivalent Lives Saved</w:t>
      </w:r>
      <w:r w:rsidRPr="00C021D8">
        <w:t xml:space="preserve"> for </w:t>
      </w:r>
      <w:r>
        <w:t>Right Front Seat Occupants</w:t>
      </w:r>
    </w:p>
    <w:tbl>
      <w:tblPr>
        <w:tblStyle w:val="TableGrid3"/>
        <w:tblW w:w="9792" w:type="dxa"/>
        <w:jc w:val="center"/>
        <w:tblLayout w:type="fixed"/>
        <w:tblLook w:val="04A0" w:firstRow="1" w:lastRow="0" w:firstColumn="1" w:lastColumn="0" w:noHBand="0" w:noVBand="1"/>
      </w:tblPr>
      <w:tblGrid>
        <w:gridCol w:w="2862"/>
        <w:gridCol w:w="2310"/>
        <w:gridCol w:w="2310"/>
        <w:gridCol w:w="2310"/>
      </w:tblGrid>
      <w:tr w:rsidR="00A15C2C" w14:paraId="3742BCC8" w14:textId="77777777" w:rsidTr="00343F45">
        <w:trPr>
          <w:trHeight w:val="630"/>
          <w:jc w:val="center"/>
        </w:trPr>
        <w:tc>
          <w:tcPr>
            <w:tcW w:w="2862" w:type="dxa"/>
            <w:shd w:val="clear" w:color="auto" w:fill="BFBFBF" w:themeFill="background1" w:themeFillShade="BF"/>
            <w:noWrap/>
            <w:vAlign w:val="center"/>
          </w:tcPr>
          <w:p w14:paraId="74E03F05" w14:textId="77777777" w:rsidR="006F259C" w:rsidRPr="00572735" w:rsidRDefault="000F5B51" w:rsidP="00343F45">
            <w:pPr>
              <w:spacing w:line="240" w:lineRule="auto"/>
              <w:rPr>
                <w:rFonts w:eastAsia="Times New Roman" w:cs="Times New Roman"/>
                <w:b/>
                <w:bCs/>
                <w:color w:val="000000"/>
              </w:rPr>
            </w:pPr>
            <w:r>
              <w:rPr>
                <w:rFonts w:eastAsia="Times New Roman" w:cs="Times New Roman"/>
                <w:b/>
                <w:bCs/>
                <w:color w:val="000000"/>
              </w:rPr>
              <w:t>Category</w:t>
            </w:r>
          </w:p>
        </w:tc>
        <w:tc>
          <w:tcPr>
            <w:tcW w:w="2310" w:type="dxa"/>
            <w:shd w:val="clear" w:color="auto" w:fill="BFBFBF" w:themeFill="background1" w:themeFillShade="BF"/>
            <w:vAlign w:val="center"/>
          </w:tcPr>
          <w:p w14:paraId="59DE9502" w14:textId="77777777" w:rsidR="006F259C" w:rsidRPr="00572735" w:rsidRDefault="000F5B51" w:rsidP="00343F45">
            <w:pPr>
              <w:spacing w:line="240" w:lineRule="auto"/>
              <w:jc w:val="center"/>
              <w:rPr>
                <w:rFonts w:eastAsia="Times New Roman" w:cs="Times New Roman"/>
                <w:b/>
                <w:bCs/>
                <w:color w:val="000000"/>
                <w:sz w:val="22"/>
              </w:rPr>
            </w:pPr>
            <w:r>
              <w:rPr>
                <w:rFonts w:eastAsia="Times New Roman" w:cs="Times New Roman"/>
                <w:b/>
                <w:bCs/>
                <w:color w:val="000000"/>
                <w:sz w:val="22"/>
              </w:rPr>
              <w:t>Undiscounted</w:t>
            </w:r>
          </w:p>
        </w:tc>
        <w:tc>
          <w:tcPr>
            <w:tcW w:w="2310" w:type="dxa"/>
            <w:shd w:val="clear" w:color="auto" w:fill="BFBFBF" w:themeFill="background1" w:themeFillShade="BF"/>
            <w:noWrap/>
            <w:vAlign w:val="center"/>
          </w:tcPr>
          <w:p w14:paraId="4B0740AC" w14:textId="77777777" w:rsidR="006F259C" w:rsidRPr="00572735" w:rsidRDefault="000F5B51" w:rsidP="00343F45">
            <w:pPr>
              <w:spacing w:line="240" w:lineRule="auto"/>
              <w:jc w:val="center"/>
              <w:rPr>
                <w:rFonts w:eastAsia="Times New Roman" w:cs="Times New Roman"/>
                <w:b/>
                <w:bCs/>
                <w:color w:val="000000"/>
                <w:sz w:val="22"/>
                <w:szCs w:val="22"/>
              </w:rPr>
            </w:pPr>
            <w:r w:rsidRPr="00572735">
              <w:rPr>
                <w:rFonts w:eastAsia="Times New Roman" w:cs="Times New Roman"/>
                <w:b/>
                <w:bCs/>
                <w:color w:val="000000"/>
                <w:sz w:val="22"/>
                <w:szCs w:val="22"/>
              </w:rPr>
              <w:t>Discounted at 3%</w:t>
            </w:r>
          </w:p>
        </w:tc>
        <w:tc>
          <w:tcPr>
            <w:tcW w:w="2310" w:type="dxa"/>
            <w:shd w:val="clear" w:color="auto" w:fill="BFBFBF" w:themeFill="background1" w:themeFillShade="BF"/>
            <w:noWrap/>
            <w:vAlign w:val="center"/>
          </w:tcPr>
          <w:p w14:paraId="7048E33E" w14:textId="77777777" w:rsidR="006F259C" w:rsidRPr="00572735" w:rsidRDefault="000F5B51" w:rsidP="00343F45">
            <w:pPr>
              <w:spacing w:line="240" w:lineRule="auto"/>
              <w:jc w:val="center"/>
              <w:rPr>
                <w:rFonts w:eastAsia="Times New Roman" w:cs="Times New Roman"/>
                <w:b/>
                <w:bCs/>
                <w:color w:val="000000"/>
                <w:sz w:val="22"/>
                <w:szCs w:val="22"/>
              </w:rPr>
            </w:pPr>
            <w:r w:rsidRPr="00572735">
              <w:rPr>
                <w:rFonts w:eastAsia="Times New Roman" w:cs="Times New Roman"/>
                <w:b/>
                <w:bCs/>
                <w:color w:val="000000"/>
                <w:sz w:val="22"/>
                <w:szCs w:val="22"/>
              </w:rPr>
              <w:t>Discounted at 7%</w:t>
            </w:r>
          </w:p>
        </w:tc>
      </w:tr>
      <w:tr w:rsidR="00A15C2C" w14:paraId="4F1D7DBE" w14:textId="77777777" w:rsidTr="00343F45">
        <w:trPr>
          <w:trHeight w:val="320"/>
          <w:jc w:val="center"/>
        </w:trPr>
        <w:tc>
          <w:tcPr>
            <w:tcW w:w="2862" w:type="dxa"/>
            <w:noWrap/>
            <w:vAlign w:val="center"/>
          </w:tcPr>
          <w:p w14:paraId="165116DB" w14:textId="77777777" w:rsidR="006F259C" w:rsidRPr="006620BF" w:rsidRDefault="000F5B51" w:rsidP="00343F45">
            <w:pPr>
              <w:spacing w:line="240" w:lineRule="auto"/>
              <w:rPr>
                <w:rFonts w:eastAsia="Times New Roman" w:cs="Times New Roman"/>
                <w:color w:val="000000"/>
              </w:rPr>
            </w:pPr>
            <w:r>
              <w:rPr>
                <w:rFonts w:eastAsia="Times New Roman" w:cs="Times New Roman"/>
                <w:color w:val="000000"/>
              </w:rPr>
              <w:t>PC</w:t>
            </w:r>
          </w:p>
        </w:tc>
        <w:tc>
          <w:tcPr>
            <w:tcW w:w="2310" w:type="dxa"/>
            <w:vAlign w:val="center"/>
          </w:tcPr>
          <w:p w14:paraId="3FE68D00" w14:textId="77777777" w:rsidR="006F259C" w:rsidRPr="00897AED" w:rsidRDefault="000F5B51" w:rsidP="00343F45">
            <w:pPr>
              <w:spacing w:line="240" w:lineRule="auto"/>
              <w:jc w:val="center"/>
              <w:rPr>
                <w:rFonts w:eastAsia="Times New Roman" w:cs="Times New Roman"/>
                <w:color w:val="000000"/>
                <w:sz w:val="22"/>
                <w:szCs w:val="22"/>
              </w:rPr>
            </w:pPr>
            <w:r>
              <w:rPr>
                <w:color w:val="000000"/>
                <w:sz w:val="22"/>
                <w:szCs w:val="22"/>
              </w:rPr>
              <w:t>6.66</w:t>
            </w:r>
          </w:p>
        </w:tc>
        <w:tc>
          <w:tcPr>
            <w:tcW w:w="2310" w:type="dxa"/>
            <w:noWrap/>
            <w:vAlign w:val="center"/>
          </w:tcPr>
          <w:p w14:paraId="0ABC10BF" w14:textId="77777777" w:rsidR="006F259C" w:rsidRPr="0065572C" w:rsidRDefault="000F5B51" w:rsidP="00343F45">
            <w:pPr>
              <w:spacing w:line="240" w:lineRule="auto"/>
              <w:jc w:val="center"/>
              <w:rPr>
                <w:rFonts w:eastAsia="Times New Roman" w:cs="Times New Roman"/>
                <w:color w:val="000000"/>
                <w:sz w:val="22"/>
                <w:szCs w:val="22"/>
              </w:rPr>
            </w:pPr>
            <w:r>
              <w:rPr>
                <w:color w:val="000000"/>
                <w:sz w:val="22"/>
                <w:szCs w:val="22"/>
              </w:rPr>
              <w:t>5.56</w:t>
            </w:r>
          </w:p>
        </w:tc>
        <w:tc>
          <w:tcPr>
            <w:tcW w:w="2310" w:type="dxa"/>
            <w:noWrap/>
            <w:vAlign w:val="center"/>
          </w:tcPr>
          <w:p w14:paraId="6BDB1765" w14:textId="77777777" w:rsidR="006F259C" w:rsidRPr="0065572C" w:rsidRDefault="000F5B51" w:rsidP="00343F45">
            <w:pPr>
              <w:spacing w:line="240" w:lineRule="auto"/>
              <w:jc w:val="center"/>
              <w:rPr>
                <w:rFonts w:eastAsia="Times New Roman" w:cs="Times New Roman"/>
                <w:color w:val="000000"/>
                <w:sz w:val="22"/>
                <w:szCs w:val="22"/>
              </w:rPr>
            </w:pPr>
            <w:r>
              <w:rPr>
                <w:color w:val="000000"/>
                <w:sz w:val="22"/>
                <w:szCs w:val="22"/>
              </w:rPr>
              <w:t>4.54</w:t>
            </w:r>
          </w:p>
        </w:tc>
      </w:tr>
      <w:tr w:rsidR="00A15C2C" w14:paraId="7097FF90" w14:textId="77777777" w:rsidTr="00343F45">
        <w:trPr>
          <w:trHeight w:val="320"/>
          <w:jc w:val="center"/>
        </w:trPr>
        <w:tc>
          <w:tcPr>
            <w:tcW w:w="2862" w:type="dxa"/>
            <w:noWrap/>
            <w:vAlign w:val="center"/>
          </w:tcPr>
          <w:p w14:paraId="396DCC33" w14:textId="77777777" w:rsidR="006F259C" w:rsidRPr="006620BF" w:rsidRDefault="000F5B51" w:rsidP="00343F45">
            <w:pPr>
              <w:spacing w:line="240" w:lineRule="auto"/>
              <w:rPr>
                <w:rFonts w:eastAsia="Times New Roman" w:cs="Times New Roman"/>
                <w:color w:val="000000"/>
              </w:rPr>
            </w:pPr>
            <w:r>
              <w:rPr>
                <w:rFonts w:eastAsia="Times New Roman" w:cs="Times New Roman"/>
                <w:color w:val="000000"/>
              </w:rPr>
              <w:t>LTV</w:t>
            </w:r>
          </w:p>
        </w:tc>
        <w:tc>
          <w:tcPr>
            <w:tcW w:w="2310" w:type="dxa"/>
            <w:vAlign w:val="center"/>
          </w:tcPr>
          <w:p w14:paraId="443F82C4" w14:textId="77777777" w:rsidR="006F259C" w:rsidRPr="00897AED" w:rsidRDefault="000F5B51" w:rsidP="00343F45">
            <w:pPr>
              <w:spacing w:line="240" w:lineRule="auto"/>
              <w:jc w:val="center"/>
              <w:rPr>
                <w:rFonts w:eastAsia="Times New Roman" w:cs="Times New Roman"/>
                <w:color w:val="000000"/>
                <w:sz w:val="22"/>
                <w:szCs w:val="22"/>
              </w:rPr>
            </w:pPr>
            <w:r>
              <w:rPr>
                <w:color w:val="000000"/>
                <w:sz w:val="22"/>
                <w:szCs w:val="22"/>
              </w:rPr>
              <w:t>6.97</w:t>
            </w:r>
          </w:p>
        </w:tc>
        <w:tc>
          <w:tcPr>
            <w:tcW w:w="2310" w:type="dxa"/>
            <w:noWrap/>
            <w:vAlign w:val="center"/>
          </w:tcPr>
          <w:p w14:paraId="5388628F" w14:textId="77777777" w:rsidR="006F259C" w:rsidRPr="0065572C" w:rsidRDefault="000F5B51" w:rsidP="00343F45">
            <w:pPr>
              <w:spacing w:line="240" w:lineRule="auto"/>
              <w:jc w:val="center"/>
              <w:rPr>
                <w:rFonts w:eastAsia="Times New Roman" w:cs="Times New Roman"/>
                <w:color w:val="000000"/>
                <w:sz w:val="22"/>
                <w:szCs w:val="22"/>
              </w:rPr>
            </w:pPr>
            <w:r>
              <w:rPr>
                <w:color w:val="000000"/>
                <w:sz w:val="22"/>
                <w:szCs w:val="22"/>
              </w:rPr>
              <w:t>5.73</w:t>
            </w:r>
          </w:p>
        </w:tc>
        <w:tc>
          <w:tcPr>
            <w:tcW w:w="2310" w:type="dxa"/>
            <w:noWrap/>
            <w:vAlign w:val="center"/>
          </w:tcPr>
          <w:p w14:paraId="3239DB1F" w14:textId="77777777" w:rsidR="006F259C" w:rsidRPr="0065572C" w:rsidRDefault="000F5B51" w:rsidP="00343F45">
            <w:pPr>
              <w:spacing w:line="240" w:lineRule="auto"/>
              <w:jc w:val="center"/>
              <w:rPr>
                <w:rFonts w:eastAsia="Times New Roman" w:cs="Times New Roman"/>
                <w:color w:val="000000"/>
                <w:sz w:val="22"/>
                <w:szCs w:val="22"/>
              </w:rPr>
            </w:pPr>
            <w:r>
              <w:rPr>
                <w:color w:val="000000"/>
                <w:sz w:val="22"/>
                <w:szCs w:val="22"/>
              </w:rPr>
              <w:t>4.62</w:t>
            </w:r>
          </w:p>
        </w:tc>
      </w:tr>
      <w:tr w:rsidR="00A15C2C" w14:paraId="16AF26F8" w14:textId="77777777" w:rsidTr="00343F45">
        <w:trPr>
          <w:trHeight w:val="320"/>
          <w:jc w:val="center"/>
        </w:trPr>
        <w:tc>
          <w:tcPr>
            <w:tcW w:w="2862" w:type="dxa"/>
            <w:noWrap/>
            <w:vAlign w:val="center"/>
          </w:tcPr>
          <w:p w14:paraId="12342636" w14:textId="77777777" w:rsidR="006F259C" w:rsidRPr="00CC4686" w:rsidRDefault="000F5B51" w:rsidP="00343F45">
            <w:pPr>
              <w:spacing w:line="240" w:lineRule="auto"/>
              <w:rPr>
                <w:rFonts w:eastAsia="Times New Roman" w:cs="Times New Roman"/>
                <w:b/>
                <w:bCs/>
                <w:color w:val="000000"/>
              </w:rPr>
            </w:pPr>
            <w:r w:rsidRPr="00CC4686">
              <w:rPr>
                <w:rFonts w:eastAsia="Times New Roman" w:cs="Times New Roman"/>
                <w:b/>
                <w:bCs/>
                <w:color w:val="000000"/>
              </w:rPr>
              <w:t>Total Right Front Seat</w:t>
            </w:r>
          </w:p>
        </w:tc>
        <w:tc>
          <w:tcPr>
            <w:tcW w:w="2310" w:type="dxa"/>
            <w:vAlign w:val="center"/>
          </w:tcPr>
          <w:p w14:paraId="75AA927F" w14:textId="77777777" w:rsidR="006F259C" w:rsidRPr="00CC4686" w:rsidRDefault="000F5B51" w:rsidP="00343F45">
            <w:pPr>
              <w:spacing w:line="240" w:lineRule="auto"/>
              <w:jc w:val="center"/>
              <w:rPr>
                <w:rFonts w:eastAsia="Times New Roman" w:cs="Times New Roman"/>
                <w:b/>
                <w:bCs/>
                <w:color w:val="000000"/>
                <w:sz w:val="22"/>
                <w:szCs w:val="22"/>
              </w:rPr>
            </w:pPr>
            <w:r w:rsidRPr="00CC4686">
              <w:rPr>
                <w:b/>
                <w:color w:val="000000"/>
                <w:sz w:val="22"/>
              </w:rPr>
              <w:t>13.63</w:t>
            </w:r>
          </w:p>
        </w:tc>
        <w:tc>
          <w:tcPr>
            <w:tcW w:w="2310" w:type="dxa"/>
            <w:noWrap/>
            <w:vAlign w:val="center"/>
          </w:tcPr>
          <w:p w14:paraId="2BC30AC6" w14:textId="77777777" w:rsidR="006F259C" w:rsidRPr="00CC4686" w:rsidRDefault="000F5B51" w:rsidP="00343F45">
            <w:pPr>
              <w:spacing w:line="240" w:lineRule="auto"/>
              <w:jc w:val="center"/>
              <w:rPr>
                <w:rFonts w:eastAsia="Times New Roman" w:cs="Times New Roman"/>
                <w:b/>
                <w:bCs/>
                <w:color w:val="000000"/>
                <w:sz w:val="22"/>
                <w:szCs w:val="22"/>
              </w:rPr>
            </w:pPr>
            <w:r w:rsidRPr="00CC4686">
              <w:rPr>
                <w:b/>
                <w:color w:val="000000"/>
                <w:sz w:val="22"/>
              </w:rPr>
              <w:t>11.29</w:t>
            </w:r>
          </w:p>
        </w:tc>
        <w:tc>
          <w:tcPr>
            <w:tcW w:w="2310" w:type="dxa"/>
            <w:noWrap/>
            <w:vAlign w:val="center"/>
          </w:tcPr>
          <w:p w14:paraId="7481127C" w14:textId="77777777" w:rsidR="006F259C" w:rsidRPr="00CC4686" w:rsidRDefault="000F5B51" w:rsidP="00343F45">
            <w:pPr>
              <w:spacing w:line="240" w:lineRule="auto"/>
              <w:jc w:val="center"/>
              <w:rPr>
                <w:rFonts w:eastAsia="Times New Roman" w:cs="Times New Roman"/>
                <w:b/>
                <w:bCs/>
                <w:color w:val="000000"/>
                <w:sz w:val="22"/>
                <w:szCs w:val="22"/>
              </w:rPr>
            </w:pPr>
            <w:r w:rsidRPr="00CC4686">
              <w:rPr>
                <w:b/>
                <w:color w:val="000000"/>
                <w:sz w:val="22"/>
              </w:rPr>
              <w:t>9.16</w:t>
            </w:r>
          </w:p>
        </w:tc>
      </w:tr>
    </w:tbl>
    <w:p w14:paraId="5876BEC0" w14:textId="77777777" w:rsidR="006F259C" w:rsidRPr="00572735" w:rsidRDefault="000F5B51" w:rsidP="006F259C">
      <w:r w:rsidRPr="00572735">
        <w:rPr>
          <w:sz w:val="18"/>
          <w:szCs w:val="18"/>
        </w:rPr>
        <w:t>Note: Values may not sum due to rounding.</w:t>
      </w:r>
    </w:p>
    <w:p w14:paraId="5E80B09A" w14:textId="77777777" w:rsidR="006F259C" w:rsidRDefault="006F259C" w:rsidP="006F259C">
      <w:pPr>
        <w:pStyle w:val="Caption"/>
      </w:pPr>
    </w:p>
    <w:p w14:paraId="0A03F085" w14:textId="77777777" w:rsidR="006F259C" w:rsidRDefault="006F259C" w:rsidP="006F259C">
      <w:pPr>
        <w:pStyle w:val="Caption"/>
      </w:pPr>
    </w:p>
    <w:p w14:paraId="542ED95C" w14:textId="77777777" w:rsidR="006F259C" w:rsidRDefault="006F259C" w:rsidP="006F259C">
      <w:pPr>
        <w:pStyle w:val="Caption"/>
      </w:pPr>
    </w:p>
    <w:p w14:paraId="24557D5C" w14:textId="7E4B5743" w:rsidR="006F259C" w:rsidRDefault="000F5B51" w:rsidP="006F259C">
      <w:pPr>
        <w:pStyle w:val="Caption"/>
        <w:rPr>
          <w:sz w:val="18"/>
        </w:rPr>
      </w:pPr>
      <w:r>
        <w:lastRenderedPageBreak/>
        <w:t xml:space="preserve">Table </w:t>
      </w:r>
      <w:r w:rsidR="00115BAB">
        <w:fldChar w:fldCharType="begin"/>
      </w:r>
      <w:r>
        <w:instrText xml:space="preserve"> SEQ Table \* ARABIC </w:instrText>
      </w:r>
      <w:r w:rsidR="00115BAB">
        <w:fldChar w:fldCharType="separate"/>
      </w:r>
      <w:r w:rsidR="00A65CB3">
        <w:rPr>
          <w:noProof/>
        </w:rPr>
        <w:t>162</w:t>
      </w:r>
      <w:r w:rsidR="00115BAB">
        <w:rPr>
          <w:noProof/>
        </w:rPr>
        <w:fldChar w:fldCharType="end"/>
      </w:r>
      <w:r>
        <w:t xml:space="preserve">: </w:t>
      </w:r>
      <w:r w:rsidRPr="00C021D8">
        <w:t xml:space="preserve">Calculation of </w:t>
      </w:r>
      <w:r>
        <w:t>Discounted Monetized Benefits</w:t>
      </w:r>
      <w:r w:rsidRPr="00C021D8">
        <w:t xml:space="preserve"> for </w:t>
      </w:r>
      <w:r>
        <w:t>Drivers</w:t>
      </w:r>
    </w:p>
    <w:tbl>
      <w:tblPr>
        <w:tblStyle w:val="TableGrid3"/>
        <w:tblW w:w="9792" w:type="dxa"/>
        <w:jc w:val="center"/>
        <w:tblLayout w:type="fixed"/>
        <w:tblLook w:val="04A0" w:firstRow="1" w:lastRow="0" w:firstColumn="1" w:lastColumn="0" w:noHBand="0" w:noVBand="1"/>
      </w:tblPr>
      <w:tblGrid>
        <w:gridCol w:w="2862"/>
        <w:gridCol w:w="2310"/>
        <w:gridCol w:w="2310"/>
        <w:gridCol w:w="2310"/>
      </w:tblGrid>
      <w:tr w:rsidR="00A15C2C" w14:paraId="2EC7AE90" w14:textId="77777777" w:rsidTr="00343F45">
        <w:trPr>
          <w:trHeight w:val="630"/>
          <w:jc w:val="center"/>
        </w:trPr>
        <w:tc>
          <w:tcPr>
            <w:tcW w:w="2862" w:type="dxa"/>
            <w:shd w:val="clear" w:color="auto" w:fill="BFBFBF" w:themeFill="background1" w:themeFillShade="BF"/>
            <w:noWrap/>
            <w:vAlign w:val="center"/>
          </w:tcPr>
          <w:p w14:paraId="7EB6EB37" w14:textId="77777777" w:rsidR="006F259C" w:rsidRPr="00572735" w:rsidRDefault="000F5B51" w:rsidP="00343F45">
            <w:pPr>
              <w:spacing w:line="240" w:lineRule="auto"/>
              <w:rPr>
                <w:rFonts w:eastAsia="Times New Roman" w:cs="Times New Roman"/>
                <w:b/>
                <w:bCs/>
                <w:color w:val="000000"/>
              </w:rPr>
            </w:pPr>
            <w:r>
              <w:rPr>
                <w:rFonts w:eastAsia="Times New Roman" w:cs="Times New Roman"/>
                <w:b/>
                <w:bCs/>
                <w:color w:val="000000"/>
              </w:rPr>
              <w:t>Category</w:t>
            </w:r>
          </w:p>
        </w:tc>
        <w:tc>
          <w:tcPr>
            <w:tcW w:w="2310" w:type="dxa"/>
            <w:shd w:val="clear" w:color="auto" w:fill="BFBFBF" w:themeFill="background1" w:themeFillShade="BF"/>
            <w:vAlign w:val="center"/>
          </w:tcPr>
          <w:p w14:paraId="4A6A910B" w14:textId="77777777" w:rsidR="006F259C" w:rsidRPr="00572735" w:rsidRDefault="000F5B51" w:rsidP="00343F45">
            <w:pPr>
              <w:spacing w:line="240" w:lineRule="auto"/>
              <w:jc w:val="center"/>
              <w:rPr>
                <w:rFonts w:eastAsia="Times New Roman" w:cs="Times New Roman"/>
                <w:b/>
                <w:bCs/>
                <w:color w:val="000000"/>
                <w:sz w:val="22"/>
              </w:rPr>
            </w:pPr>
            <w:r>
              <w:rPr>
                <w:rFonts w:eastAsia="Times New Roman" w:cs="Times New Roman"/>
                <w:b/>
                <w:bCs/>
                <w:color w:val="000000"/>
                <w:sz w:val="22"/>
              </w:rPr>
              <w:t>Undiscounted</w:t>
            </w:r>
          </w:p>
        </w:tc>
        <w:tc>
          <w:tcPr>
            <w:tcW w:w="2310" w:type="dxa"/>
            <w:shd w:val="clear" w:color="auto" w:fill="BFBFBF" w:themeFill="background1" w:themeFillShade="BF"/>
            <w:noWrap/>
            <w:vAlign w:val="center"/>
          </w:tcPr>
          <w:p w14:paraId="754B3AC5" w14:textId="77777777" w:rsidR="006F259C" w:rsidRPr="00572735" w:rsidRDefault="000F5B51" w:rsidP="00343F45">
            <w:pPr>
              <w:spacing w:line="240" w:lineRule="auto"/>
              <w:jc w:val="center"/>
              <w:rPr>
                <w:rFonts w:eastAsia="Times New Roman" w:cs="Times New Roman"/>
                <w:b/>
                <w:bCs/>
                <w:color w:val="000000"/>
                <w:sz w:val="22"/>
                <w:szCs w:val="22"/>
              </w:rPr>
            </w:pPr>
            <w:r w:rsidRPr="00572735">
              <w:rPr>
                <w:rFonts w:eastAsia="Times New Roman" w:cs="Times New Roman"/>
                <w:b/>
                <w:bCs/>
                <w:color w:val="000000"/>
                <w:sz w:val="22"/>
                <w:szCs w:val="22"/>
              </w:rPr>
              <w:t>Discounted at 3%</w:t>
            </w:r>
          </w:p>
        </w:tc>
        <w:tc>
          <w:tcPr>
            <w:tcW w:w="2310" w:type="dxa"/>
            <w:shd w:val="clear" w:color="auto" w:fill="BFBFBF" w:themeFill="background1" w:themeFillShade="BF"/>
            <w:noWrap/>
            <w:vAlign w:val="center"/>
          </w:tcPr>
          <w:p w14:paraId="621A875C" w14:textId="77777777" w:rsidR="006F259C" w:rsidRPr="00572735" w:rsidRDefault="000F5B51" w:rsidP="00343F45">
            <w:pPr>
              <w:spacing w:line="240" w:lineRule="auto"/>
              <w:jc w:val="center"/>
              <w:rPr>
                <w:rFonts w:eastAsia="Times New Roman" w:cs="Times New Roman"/>
                <w:b/>
                <w:bCs/>
                <w:color w:val="000000"/>
                <w:sz w:val="22"/>
                <w:szCs w:val="22"/>
              </w:rPr>
            </w:pPr>
            <w:r w:rsidRPr="00572735">
              <w:rPr>
                <w:rFonts w:eastAsia="Times New Roman" w:cs="Times New Roman"/>
                <w:b/>
                <w:bCs/>
                <w:color w:val="000000"/>
                <w:sz w:val="22"/>
                <w:szCs w:val="22"/>
              </w:rPr>
              <w:t>Discounted at 7%</w:t>
            </w:r>
          </w:p>
        </w:tc>
      </w:tr>
      <w:tr w:rsidR="00A15C2C" w14:paraId="665488A8" w14:textId="77777777" w:rsidTr="00343F45">
        <w:trPr>
          <w:trHeight w:val="320"/>
          <w:jc w:val="center"/>
        </w:trPr>
        <w:tc>
          <w:tcPr>
            <w:tcW w:w="2862" w:type="dxa"/>
            <w:noWrap/>
            <w:vAlign w:val="center"/>
          </w:tcPr>
          <w:p w14:paraId="3D80917F" w14:textId="77777777" w:rsidR="006F259C" w:rsidRPr="006620BF" w:rsidRDefault="000F5B51" w:rsidP="00343F45">
            <w:pPr>
              <w:spacing w:line="240" w:lineRule="auto"/>
              <w:rPr>
                <w:rFonts w:eastAsia="Times New Roman" w:cs="Times New Roman"/>
                <w:color w:val="000000"/>
              </w:rPr>
            </w:pPr>
            <w:r>
              <w:rPr>
                <w:rFonts w:eastAsia="Times New Roman" w:cs="Times New Roman"/>
                <w:color w:val="000000"/>
              </w:rPr>
              <w:t>PC</w:t>
            </w:r>
          </w:p>
        </w:tc>
        <w:tc>
          <w:tcPr>
            <w:tcW w:w="2310" w:type="dxa"/>
            <w:vAlign w:val="center"/>
          </w:tcPr>
          <w:p w14:paraId="085A7E0C" w14:textId="32650623" w:rsidR="006F259C" w:rsidRPr="00897AED" w:rsidRDefault="00A72FAA" w:rsidP="00343F45">
            <w:pPr>
              <w:spacing w:line="240" w:lineRule="auto"/>
              <w:jc w:val="center"/>
              <w:rPr>
                <w:rFonts w:eastAsia="Times New Roman" w:cs="Times New Roman"/>
                <w:color w:val="000000"/>
                <w:sz w:val="22"/>
                <w:szCs w:val="22"/>
              </w:rPr>
            </w:pPr>
            <w:r>
              <w:rPr>
                <w:rFonts w:eastAsia="Times New Roman" w:cs="Times New Roman"/>
                <w:color w:val="000000"/>
                <w:sz w:val="22"/>
                <w:szCs w:val="22"/>
              </w:rPr>
              <w:t>$422</w:t>
            </w:r>
            <w:r w:rsidR="00F2572E">
              <w:rPr>
                <w:rFonts w:eastAsia="Times New Roman" w:cs="Times New Roman"/>
                <w:color w:val="000000"/>
                <w:sz w:val="22"/>
                <w:szCs w:val="22"/>
              </w:rPr>
              <w:t>.5</w:t>
            </w:r>
          </w:p>
        </w:tc>
        <w:tc>
          <w:tcPr>
            <w:tcW w:w="2310" w:type="dxa"/>
            <w:noWrap/>
            <w:vAlign w:val="center"/>
          </w:tcPr>
          <w:p w14:paraId="12A23BB9" w14:textId="68A9488A" w:rsidR="006F259C" w:rsidRPr="00C61387" w:rsidRDefault="00432698" w:rsidP="00343F45">
            <w:pPr>
              <w:spacing w:line="240" w:lineRule="auto"/>
              <w:jc w:val="center"/>
              <w:rPr>
                <w:rFonts w:eastAsia="Times New Roman" w:cs="Times New Roman"/>
                <w:color w:val="000000"/>
                <w:sz w:val="22"/>
                <w:szCs w:val="22"/>
              </w:rPr>
            </w:pPr>
            <w:r>
              <w:rPr>
                <w:color w:val="000000"/>
                <w:sz w:val="22"/>
              </w:rPr>
              <w:t>$353.0</w:t>
            </w:r>
          </w:p>
        </w:tc>
        <w:tc>
          <w:tcPr>
            <w:tcW w:w="2310" w:type="dxa"/>
            <w:noWrap/>
            <w:vAlign w:val="center"/>
          </w:tcPr>
          <w:p w14:paraId="74D9E5DF" w14:textId="4150B3D5" w:rsidR="006F259C" w:rsidRPr="00C61387" w:rsidRDefault="00432698" w:rsidP="00343F45">
            <w:pPr>
              <w:spacing w:line="240" w:lineRule="auto"/>
              <w:jc w:val="center"/>
              <w:rPr>
                <w:rFonts w:eastAsia="Times New Roman" w:cs="Times New Roman"/>
                <w:color w:val="000000"/>
                <w:sz w:val="22"/>
                <w:szCs w:val="22"/>
              </w:rPr>
            </w:pPr>
            <w:r>
              <w:rPr>
                <w:color w:val="000000"/>
                <w:sz w:val="22"/>
              </w:rPr>
              <w:t>$</w:t>
            </w:r>
            <w:r w:rsidR="00A63279">
              <w:rPr>
                <w:color w:val="000000"/>
                <w:sz w:val="22"/>
              </w:rPr>
              <w:t>28</w:t>
            </w:r>
            <w:r w:rsidR="00A4537F">
              <w:rPr>
                <w:color w:val="000000"/>
                <w:sz w:val="22"/>
              </w:rPr>
              <w:t>8.0</w:t>
            </w:r>
          </w:p>
        </w:tc>
      </w:tr>
      <w:tr w:rsidR="00A15C2C" w14:paraId="1DCA7015" w14:textId="77777777" w:rsidTr="00343F45">
        <w:trPr>
          <w:trHeight w:val="320"/>
          <w:jc w:val="center"/>
        </w:trPr>
        <w:tc>
          <w:tcPr>
            <w:tcW w:w="2862" w:type="dxa"/>
            <w:noWrap/>
            <w:vAlign w:val="center"/>
          </w:tcPr>
          <w:p w14:paraId="540B7D8E" w14:textId="77777777" w:rsidR="006F259C" w:rsidRPr="006620BF" w:rsidRDefault="000F5B51" w:rsidP="00343F45">
            <w:pPr>
              <w:spacing w:line="240" w:lineRule="auto"/>
              <w:rPr>
                <w:rFonts w:eastAsia="Times New Roman" w:cs="Times New Roman"/>
                <w:color w:val="000000"/>
              </w:rPr>
            </w:pPr>
            <w:r>
              <w:rPr>
                <w:rFonts w:eastAsia="Times New Roman" w:cs="Times New Roman"/>
                <w:color w:val="000000"/>
              </w:rPr>
              <w:t>LTV</w:t>
            </w:r>
          </w:p>
        </w:tc>
        <w:tc>
          <w:tcPr>
            <w:tcW w:w="2310" w:type="dxa"/>
            <w:vAlign w:val="center"/>
          </w:tcPr>
          <w:p w14:paraId="57DC9956" w14:textId="070C49B0" w:rsidR="006F259C" w:rsidRPr="00897AED" w:rsidRDefault="00F2572E" w:rsidP="00343F45">
            <w:pPr>
              <w:spacing w:line="240" w:lineRule="auto"/>
              <w:jc w:val="center"/>
              <w:rPr>
                <w:rFonts w:eastAsia="Times New Roman" w:cs="Times New Roman"/>
                <w:color w:val="000000"/>
                <w:sz w:val="22"/>
                <w:szCs w:val="22"/>
              </w:rPr>
            </w:pPr>
            <w:r>
              <w:rPr>
                <w:rFonts w:eastAsia="Times New Roman" w:cs="Times New Roman"/>
                <w:color w:val="000000"/>
                <w:sz w:val="22"/>
                <w:szCs w:val="22"/>
              </w:rPr>
              <w:t>$520.4</w:t>
            </w:r>
          </w:p>
        </w:tc>
        <w:tc>
          <w:tcPr>
            <w:tcW w:w="2310" w:type="dxa"/>
            <w:noWrap/>
            <w:vAlign w:val="center"/>
          </w:tcPr>
          <w:p w14:paraId="44F34F89" w14:textId="7D738AD9" w:rsidR="006F259C" w:rsidRPr="00C61387" w:rsidRDefault="00432698" w:rsidP="00343F45">
            <w:pPr>
              <w:spacing w:line="240" w:lineRule="auto"/>
              <w:jc w:val="center"/>
              <w:rPr>
                <w:rFonts w:eastAsia="Times New Roman" w:cs="Times New Roman"/>
                <w:color w:val="000000"/>
                <w:sz w:val="22"/>
                <w:szCs w:val="22"/>
              </w:rPr>
            </w:pPr>
            <w:r>
              <w:rPr>
                <w:color w:val="000000"/>
                <w:sz w:val="22"/>
              </w:rPr>
              <w:t>$427.6</w:t>
            </w:r>
          </w:p>
        </w:tc>
        <w:tc>
          <w:tcPr>
            <w:tcW w:w="2310" w:type="dxa"/>
            <w:noWrap/>
            <w:vAlign w:val="center"/>
          </w:tcPr>
          <w:p w14:paraId="453F05B3" w14:textId="54A2A396" w:rsidR="006F259C" w:rsidRPr="00C61387" w:rsidRDefault="00A4537F" w:rsidP="00343F45">
            <w:pPr>
              <w:spacing w:line="240" w:lineRule="auto"/>
              <w:jc w:val="center"/>
              <w:rPr>
                <w:rFonts w:eastAsia="Times New Roman" w:cs="Times New Roman"/>
                <w:color w:val="000000"/>
                <w:sz w:val="22"/>
                <w:szCs w:val="22"/>
              </w:rPr>
            </w:pPr>
            <w:r>
              <w:rPr>
                <w:color w:val="000000"/>
                <w:sz w:val="22"/>
              </w:rPr>
              <w:t>$344.8</w:t>
            </w:r>
          </w:p>
        </w:tc>
      </w:tr>
      <w:tr w:rsidR="00A15C2C" w14:paraId="75EBD6A1" w14:textId="77777777" w:rsidTr="00343F45">
        <w:trPr>
          <w:trHeight w:val="320"/>
          <w:jc w:val="center"/>
        </w:trPr>
        <w:tc>
          <w:tcPr>
            <w:tcW w:w="2862" w:type="dxa"/>
            <w:noWrap/>
            <w:vAlign w:val="center"/>
          </w:tcPr>
          <w:p w14:paraId="7A3A971D" w14:textId="77777777" w:rsidR="006F259C" w:rsidRPr="00E66816" w:rsidRDefault="000F5B51" w:rsidP="00343F45">
            <w:pPr>
              <w:spacing w:line="240" w:lineRule="auto"/>
              <w:rPr>
                <w:rFonts w:eastAsia="Times New Roman" w:cs="Times New Roman"/>
                <w:b/>
                <w:bCs/>
                <w:color w:val="000000"/>
              </w:rPr>
            </w:pPr>
            <w:r w:rsidRPr="00E66816">
              <w:rPr>
                <w:rFonts w:eastAsia="Times New Roman" w:cs="Times New Roman"/>
                <w:b/>
                <w:bCs/>
                <w:color w:val="000000"/>
              </w:rPr>
              <w:t>Total Drivers</w:t>
            </w:r>
          </w:p>
        </w:tc>
        <w:tc>
          <w:tcPr>
            <w:tcW w:w="2310" w:type="dxa"/>
            <w:vAlign w:val="center"/>
          </w:tcPr>
          <w:p w14:paraId="34C42A4C" w14:textId="5AEE30D7" w:rsidR="006F259C" w:rsidRPr="00897AED" w:rsidRDefault="00F2572E" w:rsidP="00343F45">
            <w:pPr>
              <w:spacing w:line="240" w:lineRule="auto"/>
              <w:jc w:val="center"/>
              <w:rPr>
                <w:rFonts w:eastAsia="Times New Roman" w:cs="Times New Roman"/>
                <w:b/>
                <w:bCs/>
                <w:color w:val="000000"/>
                <w:sz w:val="22"/>
                <w:szCs w:val="22"/>
              </w:rPr>
            </w:pPr>
            <w:r>
              <w:rPr>
                <w:rFonts w:eastAsia="Times New Roman" w:cs="Times New Roman"/>
                <w:b/>
                <w:bCs/>
                <w:color w:val="000000"/>
                <w:sz w:val="22"/>
                <w:szCs w:val="22"/>
              </w:rPr>
              <w:t>$942.9</w:t>
            </w:r>
          </w:p>
        </w:tc>
        <w:tc>
          <w:tcPr>
            <w:tcW w:w="2310" w:type="dxa"/>
            <w:noWrap/>
          </w:tcPr>
          <w:p w14:paraId="64977BB3" w14:textId="7ED48756" w:rsidR="006F259C" w:rsidRPr="00897AED" w:rsidRDefault="00432698" w:rsidP="00343F45">
            <w:pPr>
              <w:spacing w:line="240" w:lineRule="auto"/>
              <w:jc w:val="center"/>
              <w:rPr>
                <w:rFonts w:eastAsia="Times New Roman" w:cs="Times New Roman"/>
                <w:b/>
                <w:bCs/>
                <w:color w:val="000000"/>
                <w:sz w:val="22"/>
                <w:szCs w:val="22"/>
              </w:rPr>
            </w:pPr>
            <w:r>
              <w:rPr>
                <w:sz w:val="22"/>
              </w:rPr>
              <w:t>$780.5</w:t>
            </w:r>
          </w:p>
        </w:tc>
        <w:tc>
          <w:tcPr>
            <w:tcW w:w="2310" w:type="dxa"/>
            <w:noWrap/>
          </w:tcPr>
          <w:p w14:paraId="227176EB" w14:textId="3A58E946" w:rsidR="006F259C" w:rsidRPr="00897AED" w:rsidRDefault="00A4537F" w:rsidP="00343F45">
            <w:pPr>
              <w:spacing w:line="240" w:lineRule="auto"/>
              <w:jc w:val="center"/>
              <w:rPr>
                <w:rFonts w:eastAsia="Times New Roman" w:cs="Times New Roman"/>
                <w:b/>
                <w:bCs/>
                <w:color w:val="000000"/>
                <w:sz w:val="22"/>
                <w:szCs w:val="22"/>
              </w:rPr>
            </w:pPr>
            <w:r>
              <w:rPr>
                <w:sz w:val="22"/>
              </w:rPr>
              <w:t>$632.8</w:t>
            </w:r>
          </w:p>
        </w:tc>
      </w:tr>
    </w:tbl>
    <w:p w14:paraId="7395E6B5" w14:textId="77777777" w:rsidR="006F259C" w:rsidRPr="00572735" w:rsidRDefault="000F5B51" w:rsidP="006F259C">
      <w:r w:rsidRPr="00572735">
        <w:rPr>
          <w:sz w:val="18"/>
          <w:szCs w:val="18"/>
        </w:rPr>
        <w:t>Note: Values may not sum due to rounding.</w:t>
      </w:r>
    </w:p>
    <w:p w14:paraId="58C09049" w14:textId="03D83822" w:rsidR="006F259C" w:rsidRDefault="000F5B51" w:rsidP="006F259C">
      <w:pPr>
        <w:pStyle w:val="Caption"/>
        <w:rPr>
          <w:sz w:val="18"/>
        </w:rPr>
      </w:pPr>
      <w:r>
        <w:t xml:space="preserve">Table </w:t>
      </w:r>
      <w:r w:rsidR="00115BAB">
        <w:fldChar w:fldCharType="begin"/>
      </w:r>
      <w:r>
        <w:instrText xml:space="preserve"> SEQ Table \* ARABIC </w:instrText>
      </w:r>
      <w:r w:rsidR="00115BAB">
        <w:fldChar w:fldCharType="separate"/>
      </w:r>
      <w:r w:rsidR="00A65CB3">
        <w:rPr>
          <w:noProof/>
        </w:rPr>
        <w:t>163</w:t>
      </w:r>
      <w:r w:rsidR="00115BAB">
        <w:rPr>
          <w:noProof/>
        </w:rPr>
        <w:fldChar w:fldCharType="end"/>
      </w:r>
      <w:r>
        <w:t xml:space="preserve">: </w:t>
      </w:r>
      <w:r w:rsidRPr="00C021D8">
        <w:t xml:space="preserve">Calculation of </w:t>
      </w:r>
      <w:r>
        <w:t>Discounted Monetized Benefits</w:t>
      </w:r>
      <w:r w:rsidRPr="00C021D8">
        <w:t xml:space="preserve"> for </w:t>
      </w:r>
      <w:r>
        <w:t>Right Front Seat Occupants</w:t>
      </w:r>
    </w:p>
    <w:tbl>
      <w:tblPr>
        <w:tblStyle w:val="TableGrid3"/>
        <w:tblW w:w="9792" w:type="dxa"/>
        <w:jc w:val="center"/>
        <w:tblLayout w:type="fixed"/>
        <w:tblLook w:val="04A0" w:firstRow="1" w:lastRow="0" w:firstColumn="1" w:lastColumn="0" w:noHBand="0" w:noVBand="1"/>
      </w:tblPr>
      <w:tblGrid>
        <w:gridCol w:w="2862"/>
        <w:gridCol w:w="2310"/>
        <w:gridCol w:w="2310"/>
        <w:gridCol w:w="2310"/>
      </w:tblGrid>
      <w:tr w:rsidR="00A15C2C" w14:paraId="5E011905" w14:textId="77777777" w:rsidTr="00343F45">
        <w:trPr>
          <w:trHeight w:val="630"/>
          <w:jc w:val="center"/>
        </w:trPr>
        <w:tc>
          <w:tcPr>
            <w:tcW w:w="2862" w:type="dxa"/>
            <w:shd w:val="clear" w:color="auto" w:fill="BFBFBF" w:themeFill="background1" w:themeFillShade="BF"/>
            <w:noWrap/>
            <w:vAlign w:val="center"/>
          </w:tcPr>
          <w:p w14:paraId="6E6C14F6" w14:textId="77777777" w:rsidR="006F259C" w:rsidRPr="00572735" w:rsidRDefault="000F5B51" w:rsidP="00343F45">
            <w:pPr>
              <w:spacing w:line="240" w:lineRule="auto"/>
              <w:rPr>
                <w:rFonts w:eastAsia="Times New Roman" w:cs="Times New Roman"/>
                <w:b/>
                <w:bCs/>
                <w:color w:val="000000"/>
              </w:rPr>
            </w:pPr>
            <w:r>
              <w:rPr>
                <w:rFonts w:eastAsia="Times New Roman" w:cs="Times New Roman"/>
                <w:b/>
                <w:bCs/>
                <w:color w:val="000000"/>
              </w:rPr>
              <w:t>Category</w:t>
            </w:r>
          </w:p>
        </w:tc>
        <w:tc>
          <w:tcPr>
            <w:tcW w:w="2310" w:type="dxa"/>
            <w:shd w:val="clear" w:color="auto" w:fill="BFBFBF" w:themeFill="background1" w:themeFillShade="BF"/>
            <w:vAlign w:val="center"/>
          </w:tcPr>
          <w:p w14:paraId="436D1668" w14:textId="77777777" w:rsidR="006F259C" w:rsidRPr="00572735" w:rsidRDefault="000F5B51" w:rsidP="00343F45">
            <w:pPr>
              <w:spacing w:line="240" w:lineRule="auto"/>
              <w:jc w:val="center"/>
              <w:rPr>
                <w:rFonts w:eastAsia="Times New Roman" w:cs="Times New Roman"/>
                <w:b/>
                <w:bCs/>
                <w:color w:val="000000"/>
                <w:sz w:val="22"/>
              </w:rPr>
            </w:pPr>
            <w:r>
              <w:rPr>
                <w:rFonts w:eastAsia="Times New Roman" w:cs="Times New Roman"/>
                <w:b/>
                <w:bCs/>
                <w:color w:val="000000"/>
                <w:sz w:val="22"/>
              </w:rPr>
              <w:t>Undiscounted</w:t>
            </w:r>
          </w:p>
        </w:tc>
        <w:tc>
          <w:tcPr>
            <w:tcW w:w="2310" w:type="dxa"/>
            <w:shd w:val="clear" w:color="auto" w:fill="BFBFBF" w:themeFill="background1" w:themeFillShade="BF"/>
            <w:noWrap/>
            <w:vAlign w:val="center"/>
          </w:tcPr>
          <w:p w14:paraId="4B016321" w14:textId="77777777" w:rsidR="006F259C" w:rsidRPr="00572735" w:rsidRDefault="000F5B51" w:rsidP="00343F45">
            <w:pPr>
              <w:spacing w:line="240" w:lineRule="auto"/>
              <w:jc w:val="center"/>
              <w:rPr>
                <w:rFonts w:eastAsia="Times New Roman" w:cs="Times New Roman"/>
                <w:b/>
                <w:bCs/>
                <w:color w:val="000000"/>
                <w:sz w:val="22"/>
                <w:szCs w:val="22"/>
              </w:rPr>
            </w:pPr>
            <w:r w:rsidRPr="00572735">
              <w:rPr>
                <w:rFonts w:eastAsia="Times New Roman" w:cs="Times New Roman"/>
                <w:b/>
                <w:bCs/>
                <w:color w:val="000000"/>
                <w:sz w:val="22"/>
                <w:szCs w:val="22"/>
              </w:rPr>
              <w:t>Discounted at 3%</w:t>
            </w:r>
          </w:p>
        </w:tc>
        <w:tc>
          <w:tcPr>
            <w:tcW w:w="2310" w:type="dxa"/>
            <w:shd w:val="clear" w:color="auto" w:fill="BFBFBF" w:themeFill="background1" w:themeFillShade="BF"/>
            <w:noWrap/>
            <w:vAlign w:val="center"/>
          </w:tcPr>
          <w:p w14:paraId="0F44D08B" w14:textId="77777777" w:rsidR="006F259C" w:rsidRPr="00572735" w:rsidRDefault="000F5B51" w:rsidP="00343F45">
            <w:pPr>
              <w:spacing w:line="240" w:lineRule="auto"/>
              <w:jc w:val="center"/>
              <w:rPr>
                <w:rFonts w:eastAsia="Times New Roman" w:cs="Times New Roman"/>
                <w:b/>
                <w:bCs/>
                <w:color w:val="000000"/>
                <w:sz w:val="22"/>
                <w:szCs w:val="22"/>
              </w:rPr>
            </w:pPr>
            <w:r w:rsidRPr="00572735">
              <w:rPr>
                <w:rFonts w:eastAsia="Times New Roman" w:cs="Times New Roman"/>
                <w:b/>
                <w:bCs/>
                <w:color w:val="000000"/>
                <w:sz w:val="22"/>
                <w:szCs w:val="22"/>
              </w:rPr>
              <w:t>Discounted at 7%</w:t>
            </w:r>
          </w:p>
        </w:tc>
      </w:tr>
      <w:tr w:rsidR="00A15C2C" w14:paraId="1A16151C" w14:textId="77777777" w:rsidTr="00343F45">
        <w:trPr>
          <w:trHeight w:val="320"/>
          <w:jc w:val="center"/>
        </w:trPr>
        <w:tc>
          <w:tcPr>
            <w:tcW w:w="2862" w:type="dxa"/>
            <w:noWrap/>
            <w:vAlign w:val="center"/>
          </w:tcPr>
          <w:p w14:paraId="6B29BB51" w14:textId="77777777" w:rsidR="006F259C" w:rsidRPr="006620BF" w:rsidRDefault="000F5B51" w:rsidP="00343F45">
            <w:pPr>
              <w:spacing w:line="240" w:lineRule="auto"/>
              <w:rPr>
                <w:rFonts w:eastAsia="Times New Roman" w:cs="Times New Roman"/>
                <w:color w:val="000000"/>
              </w:rPr>
            </w:pPr>
            <w:r>
              <w:rPr>
                <w:rFonts w:eastAsia="Times New Roman" w:cs="Times New Roman"/>
                <w:color w:val="000000"/>
              </w:rPr>
              <w:t>PC</w:t>
            </w:r>
          </w:p>
        </w:tc>
        <w:tc>
          <w:tcPr>
            <w:tcW w:w="2310" w:type="dxa"/>
            <w:vAlign w:val="center"/>
          </w:tcPr>
          <w:p w14:paraId="3B03FED9" w14:textId="77777777" w:rsidR="006F259C" w:rsidRPr="000F4BDA" w:rsidRDefault="000F5B51" w:rsidP="00343F45">
            <w:pPr>
              <w:spacing w:line="240" w:lineRule="auto"/>
              <w:jc w:val="center"/>
              <w:rPr>
                <w:rFonts w:eastAsia="Times New Roman" w:cs="Times New Roman"/>
                <w:color w:val="000000"/>
              </w:rPr>
            </w:pPr>
            <w:r w:rsidRPr="000F4BDA">
              <w:rPr>
                <w:rFonts w:eastAsia="Times New Roman" w:cs="Times New Roman"/>
                <w:color w:val="000000"/>
              </w:rPr>
              <w:t>$79.87</w:t>
            </w:r>
          </w:p>
        </w:tc>
        <w:tc>
          <w:tcPr>
            <w:tcW w:w="2310" w:type="dxa"/>
            <w:noWrap/>
            <w:vAlign w:val="center"/>
          </w:tcPr>
          <w:p w14:paraId="23549E61" w14:textId="77777777" w:rsidR="006F259C" w:rsidRPr="000F4BDA" w:rsidRDefault="000F5B51" w:rsidP="00343F45">
            <w:pPr>
              <w:spacing w:line="240" w:lineRule="auto"/>
              <w:jc w:val="center"/>
              <w:rPr>
                <w:rFonts w:eastAsia="Times New Roman" w:cs="Times New Roman"/>
                <w:color w:val="000000"/>
              </w:rPr>
            </w:pPr>
            <w:r w:rsidRPr="000F4BDA">
              <w:rPr>
                <w:color w:val="000000"/>
              </w:rPr>
              <w:t>$66.72</w:t>
            </w:r>
          </w:p>
        </w:tc>
        <w:tc>
          <w:tcPr>
            <w:tcW w:w="2310" w:type="dxa"/>
            <w:noWrap/>
            <w:vAlign w:val="center"/>
          </w:tcPr>
          <w:p w14:paraId="004CB706" w14:textId="77777777" w:rsidR="006F259C" w:rsidRPr="000F4BDA" w:rsidRDefault="000F5B51" w:rsidP="00343F45">
            <w:pPr>
              <w:spacing w:line="240" w:lineRule="auto"/>
              <w:jc w:val="center"/>
              <w:rPr>
                <w:rFonts w:eastAsia="Times New Roman" w:cs="Times New Roman"/>
                <w:color w:val="000000"/>
              </w:rPr>
            </w:pPr>
            <w:r w:rsidRPr="000F4BDA">
              <w:rPr>
                <w:color w:val="000000"/>
              </w:rPr>
              <w:t>$54.44</w:t>
            </w:r>
          </w:p>
        </w:tc>
      </w:tr>
      <w:tr w:rsidR="00A15C2C" w14:paraId="1388B355" w14:textId="77777777" w:rsidTr="00343F45">
        <w:trPr>
          <w:trHeight w:val="320"/>
          <w:jc w:val="center"/>
        </w:trPr>
        <w:tc>
          <w:tcPr>
            <w:tcW w:w="2862" w:type="dxa"/>
            <w:noWrap/>
            <w:vAlign w:val="center"/>
          </w:tcPr>
          <w:p w14:paraId="5C3481ED" w14:textId="77777777" w:rsidR="006F259C" w:rsidRPr="006620BF" w:rsidRDefault="000F5B51" w:rsidP="00343F45">
            <w:pPr>
              <w:spacing w:line="240" w:lineRule="auto"/>
              <w:rPr>
                <w:rFonts w:eastAsia="Times New Roman" w:cs="Times New Roman"/>
                <w:color w:val="000000"/>
              </w:rPr>
            </w:pPr>
            <w:r>
              <w:rPr>
                <w:rFonts w:eastAsia="Times New Roman" w:cs="Times New Roman"/>
                <w:color w:val="000000"/>
              </w:rPr>
              <w:t>LTV</w:t>
            </w:r>
          </w:p>
        </w:tc>
        <w:tc>
          <w:tcPr>
            <w:tcW w:w="2310" w:type="dxa"/>
            <w:vAlign w:val="center"/>
          </w:tcPr>
          <w:p w14:paraId="6569567D" w14:textId="77777777" w:rsidR="006F259C" w:rsidRPr="000F4BDA" w:rsidRDefault="000F5B51" w:rsidP="00343F45">
            <w:pPr>
              <w:spacing w:line="240" w:lineRule="auto"/>
              <w:jc w:val="center"/>
              <w:rPr>
                <w:rFonts w:eastAsia="Times New Roman" w:cs="Times New Roman"/>
                <w:color w:val="000000"/>
              </w:rPr>
            </w:pPr>
            <w:r w:rsidRPr="000F4BDA">
              <w:rPr>
                <w:rFonts w:eastAsia="Times New Roman" w:cs="Times New Roman"/>
                <w:color w:val="000000"/>
              </w:rPr>
              <w:t>$83.32</w:t>
            </w:r>
          </w:p>
        </w:tc>
        <w:tc>
          <w:tcPr>
            <w:tcW w:w="2310" w:type="dxa"/>
            <w:noWrap/>
            <w:vAlign w:val="center"/>
          </w:tcPr>
          <w:p w14:paraId="1527F352" w14:textId="77777777" w:rsidR="006F259C" w:rsidRPr="000F4BDA" w:rsidRDefault="000F5B51" w:rsidP="00343F45">
            <w:pPr>
              <w:spacing w:line="240" w:lineRule="auto"/>
              <w:jc w:val="center"/>
              <w:rPr>
                <w:rFonts w:eastAsia="Times New Roman" w:cs="Times New Roman"/>
                <w:color w:val="000000"/>
              </w:rPr>
            </w:pPr>
            <w:r w:rsidRPr="000F4BDA">
              <w:rPr>
                <w:color w:val="000000"/>
              </w:rPr>
              <w:t>$68.46</w:t>
            </w:r>
          </w:p>
        </w:tc>
        <w:tc>
          <w:tcPr>
            <w:tcW w:w="2310" w:type="dxa"/>
            <w:noWrap/>
            <w:vAlign w:val="center"/>
          </w:tcPr>
          <w:p w14:paraId="38AE5892" w14:textId="77777777" w:rsidR="006F259C" w:rsidRPr="000F4BDA" w:rsidRDefault="000F5B51" w:rsidP="00343F45">
            <w:pPr>
              <w:spacing w:line="240" w:lineRule="auto"/>
              <w:jc w:val="center"/>
              <w:rPr>
                <w:rFonts w:eastAsia="Times New Roman" w:cs="Times New Roman"/>
                <w:color w:val="000000"/>
              </w:rPr>
            </w:pPr>
            <w:r w:rsidRPr="000F4BDA">
              <w:rPr>
                <w:color w:val="000000"/>
              </w:rPr>
              <w:t>$55.21</w:t>
            </w:r>
          </w:p>
        </w:tc>
      </w:tr>
      <w:tr w:rsidR="00A15C2C" w14:paraId="2CE0C6A3" w14:textId="77777777" w:rsidTr="00343F45">
        <w:trPr>
          <w:trHeight w:val="320"/>
          <w:jc w:val="center"/>
        </w:trPr>
        <w:tc>
          <w:tcPr>
            <w:tcW w:w="2862" w:type="dxa"/>
            <w:noWrap/>
            <w:vAlign w:val="center"/>
          </w:tcPr>
          <w:p w14:paraId="7E5472A1" w14:textId="77777777" w:rsidR="006F259C" w:rsidRPr="00E66816" w:rsidRDefault="000F5B51" w:rsidP="00343F45">
            <w:pPr>
              <w:spacing w:line="240" w:lineRule="auto"/>
              <w:rPr>
                <w:rFonts w:eastAsia="Times New Roman" w:cs="Times New Roman"/>
                <w:b/>
                <w:bCs/>
                <w:color w:val="000000"/>
              </w:rPr>
            </w:pPr>
            <w:r w:rsidRPr="00E66816">
              <w:rPr>
                <w:rFonts w:eastAsia="Times New Roman" w:cs="Times New Roman"/>
                <w:b/>
                <w:bCs/>
                <w:color w:val="000000"/>
              </w:rPr>
              <w:t>Total Right Front Seat</w:t>
            </w:r>
          </w:p>
        </w:tc>
        <w:tc>
          <w:tcPr>
            <w:tcW w:w="2310" w:type="dxa"/>
            <w:vAlign w:val="center"/>
          </w:tcPr>
          <w:p w14:paraId="08BE97E2" w14:textId="77777777" w:rsidR="006F259C" w:rsidRPr="000F4BDA" w:rsidRDefault="000F5B51" w:rsidP="00343F45">
            <w:pPr>
              <w:spacing w:line="240" w:lineRule="auto"/>
              <w:jc w:val="center"/>
              <w:rPr>
                <w:rFonts w:eastAsia="Times New Roman" w:cs="Times New Roman"/>
                <w:b/>
                <w:bCs/>
                <w:color w:val="000000"/>
              </w:rPr>
            </w:pPr>
            <w:r w:rsidRPr="000F4BDA">
              <w:rPr>
                <w:rFonts w:eastAsia="Times New Roman" w:cs="Times New Roman"/>
                <w:b/>
                <w:bCs/>
                <w:color w:val="000000"/>
              </w:rPr>
              <w:t>$163.25</w:t>
            </w:r>
          </w:p>
        </w:tc>
        <w:tc>
          <w:tcPr>
            <w:tcW w:w="2310" w:type="dxa"/>
            <w:noWrap/>
            <w:vAlign w:val="center"/>
          </w:tcPr>
          <w:p w14:paraId="12D5634A" w14:textId="77777777" w:rsidR="006F259C" w:rsidRPr="000F4BDA" w:rsidRDefault="000F5B51" w:rsidP="00343F45">
            <w:pPr>
              <w:spacing w:line="240" w:lineRule="auto"/>
              <w:jc w:val="center"/>
              <w:rPr>
                <w:rFonts w:eastAsia="Times New Roman" w:cs="Times New Roman"/>
                <w:b/>
                <w:bCs/>
                <w:color w:val="000000"/>
              </w:rPr>
            </w:pPr>
            <w:r w:rsidRPr="00AC526D">
              <w:t>$135.2</w:t>
            </w:r>
          </w:p>
        </w:tc>
        <w:tc>
          <w:tcPr>
            <w:tcW w:w="2310" w:type="dxa"/>
            <w:noWrap/>
            <w:vAlign w:val="center"/>
          </w:tcPr>
          <w:p w14:paraId="1F4ECB7A" w14:textId="77777777" w:rsidR="006F259C" w:rsidRPr="000F4BDA" w:rsidRDefault="000F5B51" w:rsidP="00343F45">
            <w:pPr>
              <w:spacing w:line="240" w:lineRule="auto"/>
              <w:jc w:val="center"/>
              <w:rPr>
                <w:rFonts w:eastAsia="Times New Roman" w:cs="Times New Roman"/>
                <w:b/>
                <w:bCs/>
                <w:color w:val="000000"/>
              </w:rPr>
            </w:pPr>
            <w:r w:rsidRPr="00AC526D">
              <w:t>$109.7</w:t>
            </w:r>
          </w:p>
        </w:tc>
      </w:tr>
    </w:tbl>
    <w:p w14:paraId="46312159" w14:textId="77777777" w:rsidR="006F259C" w:rsidRDefault="000F5B51" w:rsidP="006F259C">
      <w:pPr>
        <w:rPr>
          <w:sz w:val="18"/>
          <w:szCs w:val="18"/>
        </w:rPr>
      </w:pPr>
      <w:r w:rsidRPr="00572735">
        <w:rPr>
          <w:sz w:val="18"/>
          <w:szCs w:val="18"/>
        </w:rPr>
        <w:t>Note: Values may not sum due to rounding.</w:t>
      </w:r>
    </w:p>
    <w:p w14:paraId="65D92DC5" w14:textId="6FAFA08C" w:rsidR="006F259C" w:rsidRDefault="000F5B51" w:rsidP="006F259C">
      <w:pPr>
        <w:pStyle w:val="Caption"/>
      </w:pPr>
      <w:r>
        <w:t xml:space="preserve">Table </w:t>
      </w:r>
      <w:r w:rsidR="00115BAB">
        <w:fldChar w:fldCharType="begin"/>
      </w:r>
      <w:r>
        <w:instrText xml:space="preserve"> SEQ Table \* ARABIC </w:instrText>
      </w:r>
      <w:r w:rsidR="00115BAB">
        <w:fldChar w:fldCharType="separate"/>
      </w:r>
      <w:r w:rsidR="00A65CB3">
        <w:rPr>
          <w:noProof/>
        </w:rPr>
        <w:t>164</w:t>
      </w:r>
      <w:r w:rsidR="00115BAB">
        <w:rPr>
          <w:noProof/>
        </w:rPr>
        <w:fldChar w:fldCharType="end"/>
      </w:r>
      <w:r>
        <w:t xml:space="preserve">: Summary of Discounted </w:t>
      </w:r>
      <w:r w:rsidRPr="00471AE9">
        <w:t>Equivalent Lives Saved</w:t>
      </w:r>
      <w:r>
        <w:t xml:space="preserve"> for Front Seat Occupants</w:t>
      </w:r>
    </w:p>
    <w:tbl>
      <w:tblPr>
        <w:tblStyle w:val="TableGrid3"/>
        <w:tblW w:w="7482" w:type="dxa"/>
        <w:jc w:val="center"/>
        <w:tblLayout w:type="fixed"/>
        <w:tblLook w:val="04A0" w:firstRow="1" w:lastRow="0" w:firstColumn="1" w:lastColumn="0" w:noHBand="0" w:noVBand="1"/>
      </w:tblPr>
      <w:tblGrid>
        <w:gridCol w:w="2862"/>
        <w:gridCol w:w="2310"/>
        <w:gridCol w:w="2310"/>
      </w:tblGrid>
      <w:tr w:rsidR="00A15C2C" w14:paraId="38559E93" w14:textId="77777777" w:rsidTr="00343F45">
        <w:trPr>
          <w:trHeight w:val="630"/>
          <w:jc w:val="center"/>
        </w:trPr>
        <w:tc>
          <w:tcPr>
            <w:tcW w:w="2862" w:type="dxa"/>
            <w:shd w:val="clear" w:color="auto" w:fill="BFBFBF" w:themeFill="background1" w:themeFillShade="BF"/>
            <w:noWrap/>
            <w:vAlign w:val="center"/>
          </w:tcPr>
          <w:p w14:paraId="57BDC19F" w14:textId="77777777" w:rsidR="006F259C" w:rsidRPr="00572735" w:rsidRDefault="000F5B51" w:rsidP="00343F45">
            <w:pPr>
              <w:spacing w:line="240" w:lineRule="auto"/>
              <w:rPr>
                <w:rFonts w:eastAsia="Times New Roman" w:cs="Times New Roman"/>
                <w:b/>
                <w:bCs/>
                <w:color w:val="000000"/>
              </w:rPr>
            </w:pPr>
            <w:r>
              <w:rPr>
                <w:rFonts w:eastAsia="Times New Roman" w:cs="Times New Roman"/>
                <w:b/>
                <w:bCs/>
                <w:color w:val="000000"/>
              </w:rPr>
              <w:t>Category</w:t>
            </w:r>
          </w:p>
        </w:tc>
        <w:tc>
          <w:tcPr>
            <w:tcW w:w="2310" w:type="dxa"/>
            <w:shd w:val="clear" w:color="auto" w:fill="BFBFBF" w:themeFill="background1" w:themeFillShade="BF"/>
            <w:noWrap/>
            <w:vAlign w:val="center"/>
          </w:tcPr>
          <w:p w14:paraId="25B9CF8C" w14:textId="77777777" w:rsidR="006F259C" w:rsidRPr="00572735" w:rsidRDefault="000F5B51" w:rsidP="00343F45">
            <w:pPr>
              <w:spacing w:line="240" w:lineRule="auto"/>
              <w:jc w:val="center"/>
              <w:rPr>
                <w:rFonts w:eastAsia="Times New Roman" w:cs="Times New Roman"/>
                <w:b/>
                <w:bCs/>
                <w:color w:val="000000"/>
                <w:sz w:val="22"/>
                <w:szCs w:val="22"/>
              </w:rPr>
            </w:pPr>
            <w:r w:rsidRPr="00572735">
              <w:rPr>
                <w:rFonts w:eastAsia="Times New Roman" w:cs="Times New Roman"/>
                <w:b/>
                <w:bCs/>
                <w:color w:val="000000"/>
                <w:sz w:val="22"/>
                <w:szCs w:val="22"/>
              </w:rPr>
              <w:t>Discounted at 3%</w:t>
            </w:r>
          </w:p>
        </w:tc>
        <w:tc>
          <w:tcPr>
            <w:tcW w:w="2310" w:type="dxa"/>
            <w:shd w:val="clear" w:color="auto" w:fill="BFBFBF" w:themeFill="background1" w:themeFillShade="BF"/>
            <w:noWrap/>
            <w:vAlign w:val="center"/>
          </w:tcPr>
          <w:p w14:paraId="645BFF14" w14:textId="77777777" w:rsidR="006F259C" w:rsidRPr="00572735" w:rsidRDefault="000F5B51" w:rsidP="00343F45">
            <w:pPr>
              <w:spacing w:line="240" w:lineRule="auto"/>
              <w:jc w:val="center"/>
              <w:rPr>
                <w:rFonts w:eastAsia="Times New Roman" w:cs="Times New Roman"/>
                <w:b/>
                <w:bCs/>
                <w:color w:val="000000"/>
                <w:sz w:val="22"/>
                <w:szCs w:val="22"/>
              </w:rPr>
            </w:pPr>
            <w:r w:rsidRPr="00572735">
              <w:rPr>
                <w:rFonts w:eastAsia="Times New Roman" w:cs="Times New Roman"/>
                <w:b/>
                <w:bCs/>
                <w:color w:val="000000"/>
                <w:sz w:val="22"/>
                <w:szCs w:val="22"/>
              </w:rPr>
              <w:t>Discounted at 7%</w:t>
            </w:r>
          </w:p>
        </w:tc>
      </w:tr>
      <w:tr w:rsidR="00A15C2C" w14:paraId="04F07B7C" w14:textId="77777777" w:rsidTr="00343F45">
        <w:trPr>
          <w:trHeight w:val="320"/>
          <w:jc w:val="center"/>
        </w:trPr>
        <w:tc>
          <w:tcPr>
            <w:tcW w:w="2862" w:type="dxa"/>
            <w:noWrap/>
            <w:vAlign w:val="center"/>
          </w:tcPr>
          <w:p w14:paraId="47B12DFE" w14:textId="77777777" w:rsidR="006F259C" w:rsidRPr="006620BF" w:rsidRDefault="000F5B51" w:rsidP="00343F45">
            <w:pPr>
              <w:spacing w:line="240" w:lineRule="auto"/>
              <w:rPr>
                <w:rFonts w:eastAsia="Times New Roman" w:cs="Times New Roman"/>
                <w:color w:val="000000"/>
              </w:rPr>
            </w:pPr>
            <w:r>
              <w:rPr>
                <w:rFonts w:eastAsia="Times New Roman" w:cs="Times New Roman"/>
                <w:color w:val="000000"/>
              </w:rPr>
              <w:t>Driver</w:t>
            </w:r>
          </w:p>
        </w:tc>
        <w:tc>
          <w:tcPr>
            <w:tcW w:w="2310" w:type="dxa"/>
            <w:noWrap/>
            <w:vAlign w:val="center"/>
          </w:tcPr>
          <w:p w14:paraId="733E32C6" w14:textId="7FFA0628" w:rsidR="006F259C" w:rsidRPr="00317529" w:rsidRDefault="00052379" w:rsidP="00343F45">
            <w:pPr>
              <w:spacing w:line="240" w:lineRule="auto"/>
              <w:jc w:val="center"/>
              <w:rPr>
                <w:rFonts w:eastAsia="Times New Roman" w:cs="Times New Roman"/>
                <w:color w:val="000000"/>
                <w:sz w:val="22"/>
                <w:szCs w:val="22"/>
              </w:rPr>
            </w:pPr>
            <w:r>
              <w:t>65.</w:t>
            </w:r>
            <w:r w:rsidR="000C5771">
              <w:t>2</w:t>
            </w:r>
          </w:p>
        </w:tc>
        <w:tc>
          <w:tcPr>
            <w:tcW w:w="2310" w:type="dxa"/>
            <w:noWrap/>
            <w:vAlign w:val="center"/>
          </w:tcPr>
          <w:p w14:paraId="342EDD67" w14:textId="35CB23AB" w:rsidR="006F259C" w:rsidRPr="00317529" w:rsidRDefault="00EF0606" w:rsidP="00343F45">
            <w:pPr>
              <w:spacing w:line="240" w:lineRule="auto"/>
              <w:jc w:val="center"/>
              <w:rPr>
                <w:rFonts w:eastAsia="Times New Roman" w:cs="Times New Roman"/>
                <w:color w:val="000000"/>
                <w:sz w:val="22"/>
                <w:szCs w:val="22"/>
              </w:rPr>
            </w:pPr>
            <w:r>
              <w:t>52.8</w:t>
            </w:r>
          </w:p>
        </w:tc>
      </w:tr>
      <w:tr w:rsidR="00A15C2C" w14:paraId="2DD48468" w14:textId="77777777" w:rsidTr="00343F45">
        <w:trPr>
          <w:trHeight w:val="320"/>
          <w:jc w:val="center"/>
        </w:trPr>
        <w:tc>
          <w:tcPr>
            <w:tcW w:w="2862" w:type="dxa"/>
            <w:noWrap/>
            <w:vAlign w:val="center"/>
          </w:tcPr>
          <w:p w14:paraId="18BDE6F7" w14:textId="77777777" w:rsidR="006F259C" w:rsidRPr="006620BF" w:rsidRDefault="000F5B51" w:rsidP="00343F45">
            <w:pPr>
              <w:spacing w:line="240" w:lineRule="auto"/>
              <w:rPr>
                <w:rFonts w:eastAsia="Times New Roman" w:cs="Times New Roman"/>
                <w:color w:val="000000"/>
              </w:rPr>
            </w:pPr>
            <w:r>
              <w:rPr>
                <w:rFonts w:eastAsia="Times New Roman" w:cs="Times New Roman"/>
                <w:color w:val="000000"/>
              </w:rPr>
              <w:t>Right Front Seat Occupant</w:t>
            </w:r>
          </w:p>
        </w:tc>
        <w:tc>
          <w:tcPr>
            <w:tcW w:w="2310" w:type="dxa"/>
            <w:noWrap/>
            <w:vAlign w:val="center"/>
          </w:tcPr>
          <w:p w14:paraId="48525DEF" w14:textId="1BBDF9AC" w:rsidR="006F259C" w:rsidRPr="00317529" w:rsidRDefault="000F5B51" w:rsidP="00343F45">
            <w:pPr>
              <w:spacing w:line="240" w:lineRule="auto"/>
              <w:jc w:val="center"/>
              <w:rPr>
                <w:rFonts w:eastAsia="Times New Roman" w:cs="Times New Roman"/>
                <w:color w:val="000000"/>
                <w:sz w:val="22"/>
                <w:szCs w:val="22"/>
              </w:rPr>
            </w:pPr>
            <w:r>
              <w:t>11.3</w:t>
            </w:r>
          </w:p>
        </w:tc>
        <w:tc>
          <w:tcPr>
            <w:tcW w:w="2310" w:type="dxa"/>
            <w:noWrap/>
            <w:vAlign w:val="center"/>
          </w:tcPr>
          <w:p w14:paraId="1AEA6940" w14:textId="35F539FA" w:rsidR="006F259C" w:rsidRPr="00317529" w:rsidRDefault="000F5B51" w:rsidP="00343F45">
            <w:pPr>
              <w:spacing w:line="240" w:lineRule="auto"/>
              <w:jc w:val="center"/>
              <w:rPr>
                <w:rFonts w:eastAsia="Times New Roman" w:cs="Times New Roman"/>
                <w:color w:val="000000"/>
                <w:sz w:val="22"/>
                <w:szCs w:val="22"/>
              </w:rPr>
            </w:pPr>
            <w:r>
              <w:t xml:space="preserve"> 9.2</w:t>
            </w:r>
          </w:p>
        </w:tc>
      </w:tr>
      <w:tr w:rsidR="00A15C2C" w14:paraId="6D5F8D64" w14:textId="77777777" w:rsidTr="00343F45">
        <w:trPr>
          <w:trHeight w:val="320"/>
          <w:jc w:val="center"/>
        </w:trPr>
        <w:tc>
          <w:tcPr>
            <w:tcW w:w="2862" w:type="dxa"/>
            <w:noWrap/>
            <w:vAlign w:val="center"/>
          </w:tcPr>
          <w:p w14:paraId="4CE8608C" w14:textId="77777777" w:rsidR="006F259C" w:rsidRPr="00CC4686" w:rsidRDefault="000F5B51" w:rsidP="00343F45">
            <w:pPr>
              <w:spacing w:line="240" w:lineRule="auto"/>
              <w:rPr>
                <w:rFonts w:eastAsia="Times New Roman" w:cs="Times New Roman"/>
                <w:b/>
                <w:bCs/>
                <w:color w:val="000000"/>
              </w:rPr>
            </w:pPr>
            <w:r w:rsidRPr="00CC4686">
              <w:rPr>
                <w:rFonts w:eastAsia="Times New Roman" w:cs="Times New Roman"/>
                <w:b/>
                <w:bCs/>
                <w:color w:val="000000"/>
              </w:rPr>
              <w:t>Total</w:t>
            </w:r>
          </w:p>
        </w:tc>
        <w:tc>
          <w:tcPr>
            <w:tcW w:w="2310" w:type="dxa"/>
            <w:noWrap/>
            <w:vAlign w:val="center"/>
          </w:tcPr>
          <w:p w14:paraId="09CCC1BD" w14:textId="4D2429C4" w:rsidR="006F259C" w:rsidRPr="00CC4686" w:rsidRDefault="00B353C8" w:rsidP="00343F45">
            <w:pPr>
              <w:spacing w:line="240" w:lineRule="auto"/>
              <w:jc w:val="center"/>
              <w:rPr>
                <w:rFonts w:eastAsia="Times New Roman" w:cs="Times New Roman"/>
                <w:b/>
                <w:bCs/>
                <w:color w:val="000000"/>
                <w:sz w:val="22"/>
                <w:szCs w:val="22"/>
              </w:rPr>
            </w:pPr>
            <w:r>
              <w:t>76.</w:t>
            </w:r>
            <w:r w:rsidR="00D52D71">
              <w:t>4</w:t>
            </w:r>
          </w:p>
        </w:tc>
        <w:tc>
          <w:tcPr>
            <w:tcW w:w="2310" w:type="dxa"/>
            <w:noWrap/>
            <w:vAlign w:val="center"/>
          </w:tcPr>
          <w:p w14:paraId="0F313233" w14:textId="7F632B73" w:rsidR="006F259C" w:rsidRPr="00CC4686" w:rsidRDefault="00D52D71" w:rsidP="00343F45">
            <w:pPr>
              <w:spacing w:line="240" w:lineRule="auto"/>
              <w:jc w:val="center"/>
              <w:rPr>
                <w:rFonts w:eastAsia="Times New Roman" w:cs="Times New Roman"/>
                <w:b/>
                <w:bCs/>
                <w:color w:val="000000"/>
                <w:sz w:val="22"/>
                <w:szCs w:val="22"/>
              </w:rPr>
            </w:pPr>
            <w:r>
              <w:t>62.0</w:t>
            </w:r>
          </w:p>
        </w:tc>
      </w:tr>
    </w:tbl>
    <w:p w14:paraId="05C01E62" w14:textId="77777777" w:rsidR="006F259C" w:rsidRDefault="000F5B51" w:rsidP="006F259C">
      <w:pPr>
        <w:ind w:firstLine="720"/>
      </w:pPr>
      <w:r>
        <w:rPr>
          <w:sz w:val="18"/>
          <w:szCs w:val="18"/>
        </w:rPr>
        <w:t xml:space="preserve">    </w:t>
      </w:r>
      <w:r w:rsidRPr="00572735">
        <w:rPr>
          <w:sz w:val="18"/>
          <w:szCs w:val="18"/>
        </w:rPr>
        <w:t>Note: Values may not sum due to rounding.</w:t>
      </w:r>
    </w:p>
    <w:p w14:paraId="365A3C31" w14:textId="20552986" w:rsidR="006F259C" w:rsidRDefault="000F5B51" w:rsidP="006F259C">
      <w:pPr>
        <w:pStyle w:val="Caption"/>
      </w:pPr>
      <w:r>
        <w:t xml:space="preserve">Table </w:t>
      </w:r>
      <w:r w:rsidR="00115BAB">
        <w:fldChar w:fldCharType="begin"/>
      </w:r>
      <w:r>
        <w:instrText xml:space="preserve"> SEQ Table \* ARABIC </w:instrText>
      </w:r>
      <w:r w:rsidR="00115BAB">
        <w:fldChar w:fldCharType="separate"/>
      </w:r>
      <w:r w:rsidR="00A65CB3">
        <w:rPr>
          <w:noProof/>
        </w:rPr>
        <w:t>165</w:t>
      </w:r>
      <w:r w:rsidR="00115BAB">
        <w:rPr>
          <w:noProof/>
        </w:rPr>
        <w:fldChar w:fldCharType="end"/>
      </w:r>
      <w:r>
        <w:t>: Summary of Discounted Monetized Benefits for Front Seat Occupants</w:t>
      </w:r>
    </w:p>
    <w:tbl>
      <w:tblPr>
        <w:tblStyle w:val="TableGrid3"/>
        <w:tblW w:w="7482" w:type="dxa"/>
        <w:jc w:val="center"/>
        <w:tblLayout w:type="fixed"/>
        <w:tblLook w:val="04A0" w:firstRow="1" w:lastRow="0" w:firstColumn="1" w:lastColumn="0" w:noHBand="0" w:noVBand="1"/>
      </w:tblPr>
      <w:tblGrid>
        <w:gridCol w:w="2862"/>
        <w:gridCol w:w="2310"/>
        <w:gridCol w:w="2310"/>
      </w:tblGrid>
      <w:tr w:rsidR="00A15C2C" w14:paraId="6BE0508E" w14:textId="77777777" w:rsidTr="00343F45">
        <w:trPr>
          <w:trHeight w:val="630"/>
          <w:jc w:val="center"/>
        </w:trPr>
        <w:tc>
          <w:tcPr>
            <w:tcW w:w="2862" w:type="dxa"/>
            <w:shd w:val="clear" w:color="auto" w:fill="BFBFBF" w:themeFill="background1" w:themeFillShade="BF"/>
            <w:noWrap/>
            <w:vAlign w:val="center"/>
          </w:tcPr>
          <w:p w14:paraId="3EC3EC2F" w14:textId="77777777" w:rsidR="006F259C" w:rsidRPr="00572735" w:rsidRDefault="000F5B51" w:rsidP="00343F45">
            <w:pPr>
              <w:spacing w:line="240" w:lineRule="auto"/>
              <w:rPr>
                <w:rFonts w:eastAsia="Times New Roman" w:cs="Times New Roman"/>
                <w:b/>
                <w:bCs/>
                <w:color w:val="000000"/>
              </w:rPr>
            </w:pPr>
            <w:r>
              <w:rPr>
                <w:rFonts w:eastAsia="Times New Roman" w:cs="Times New Roman"/>
                <w:b/>
                <w:bCs/>
                <w:color w:val="000000"/>
              </w:rPr>
              <w:t>Category</w:t>
            </w:r>
          </w:p>
        </w:tc>
        <w:tc>
          <w:tcPr>
            <w:tcW w:w="2310" w:type="dxa"/>
            <w:shd w:val="clear" w:color="auto" w:fill="BFBFBF" w:themeFill="background1" w:themeFillShade="BF"/>
            <w:noWrap/>
            <w:vAlign w:val="center"/>
          </w:tcPr>
          <w:p w14:paraId="7D488C61" w14:textId="77777777" w:rsidR="006F259C" w:rsidRPr="00572735" w:rsidRDefault="000F5B51" w:rsidP="00343F45">
            <w:pPr>
              <w:spacing w:line="240" w:lineRule="auto"/>
              <w:jc w:val="center"/>
              <w:rPr>
                <w:rFonts w:eastAsia="Times New Roman" w:cs="Times New Roman"/>
                <w:b/>
                <w:bCs/>
                <w:color w:val="000000"/>
                <w:sz w:val="22"/>
                <w:szCs w:val="22"/>
              </w:rPr>
            </w:pPr>
            <w:r w:rsidRPr="00572735">
              <w:rPr>
                <w:rFonts w:eastAsia="Times New Roman" w:cs="Times New Roman"/>
                <w:b/>
                <w:bCs/>
                <w:color w:val="000000"/>
                <w:sz w:val="22"/>
                <w:szCs w:val="22"/>
              </w:rPr>
              <w:t>Discounted at 3%</w:t>
            </w:r>
          </w:p>
        </w:tc>
        <w:tc>
          <w:tcPr>
            <w:tcW w:w="2310" w:type="dxa"/>
            <w:shd w:val="clear" w:color="auto" w:fill="BFBFBF" w:themeFill="background1" w:themeFillShade="BF"/>
            <w:noWrap/>
            <w:vAlign w:val="center"/>
          </w:tcPr>
          <w:p w14:paraId="633E661D" w14:textId="77777777" w:rsidR="006F259C" w:rsidRPr="00572735" w:rsidRDefault="000F5B51" w:rsidP="00343F45">
            <w:pPr>
              <w:spacing w:line="240" w:lineRule="auto"/>
              <w:jc w:val="center"/>
              <w:rPr>
                <w:rFonts w:eastAsia="Times New Roman" w:cs="Times New Roman"/>
                <w:b/>
                <w:bCs/>
                <w:color w:val="000000"/>
                <w:sz w:val="22"/>
                <w:szCs w:val="22"/>
              </w:rPr>
            </w:pPr>
            <w:r w:rsidRPr="00572735">
              <w:rPr>
                <w:rFonts w:eastAsia="Times New Roman" w:cs="Times New Roman"/>
                <w:b/>
                <w:bCs/>
                <w:color w:val="000000"/>
                <w:sz w:val="22"/>
                <w:szCs w:val="22"/>
              </w:rPr>
              <w:t>Discounted at 7%</w:t>
            </w:r>
          </w:p>
        </w:tc>
      </w:tr>
      <w:tr w:rsidR="00A15C2C" w14:paraId="1C92088F" w14:textId="77777777" w:rsidTr="0099470D">
        <w:trPr>
          <w:trHeight w:val="81"/>
          <w:jc w:val="center"/>
        </w:trPr>
        <w:tc>
          <w:tcPr>
            <w:tcW w:w="2862" w:type="dxa"/>
            <w:noWrap/>
            <w:vAlign w:val="center"/>
          </w:tcPr>
          <w:p w14:paraId="177F589E" w14:textId="77777777" w:rsidR="006F259C" w:rsidRPr="006620BF" w:rsidRDefault="000F5B51" w:rsidP="00343F45">
            <w:pPr>
              <w:spacing w:line="240" w:lineRule="auto"/>
              <w:rPr>
                <w:rFonts w:eastAsia="Times New Roman" w:cs="Times New Roman"/>
                <w:color w:val="000000"/>
              </w:rPr>
            </w:pPr>
            <w:r>
              <w:rPr>
                <w:rFonts w:eastAsia="Times New Roman" w:cs="Times New Roman"/>
                <w:color w:val="000000"/>
              </w:rPr>
              <w:t>Driver</w:t>
            </w:r>
          </w:p>
        </w:tc>
        <w:tc>
          <w:tcPr>
            <w:tcW w:w="2310" w:type="dxa"/>
            <w:noWrap/>
            <w:vAlign w:val="center"/>
          </w:tcPr>
          <w:p w14:paraId="0B7750C9" w14:textId="1A86E685" w:rsidR="006F259C" w:rsidRPr="00572735" w:rsidRDefault="005C2B2C" w:rsidP="00343F45">
            <w:pPr>
              <w:spacing w:line="240" w:lineRule="auto"/>
              <w:jc w:val="center"/>
              <w:rPr>
                <w:rFonts w:eastAsia="Times New Roman" w:cs="Times New Roman"/>
                <w:color w:val="000000"/>
                <w:sz w:val="22"/>
                <w:szCs w:val="22"/>
              </w:rPr>
            </w:pPr>
            <w:r>
              <w:t>$780.5</w:t>
            </w:r>
          </w:p>
        </w:tc>
        <w:tc>
          <w:tcPr>
            <w:tcW w:w="2310" w:type="dxa"/>
            <w:noWrap/>
            <w:vAlign w:val="center"/>
          </w:tcPr>
          <w:p w14:paraId="7B62E903" w14:textId="44464D04" w:rsidR="006F259C" w:rsidRPr="00572735" w:rsidRDefault="00316677" w:rsidP="00343F45">
            <w:pPr>
              <w:spacing w:line="240" w:lineRule="auto"/>
              <w:jc w:val="center"/>
              <w:rPr>
                <w:rFonts w:eastAsia="Times New Roman" w:cs="Times New Roman"/>
                <w:color w:val="000000"/>
                <w:sz w:val="22"/>
                <w:szCs w:val="22"/>
              </w:rPr>
            </w:pPr>
            <w:r>
              <w:t>$632.8</w:t>
            </w:r>
          </w:p>
        </w:tc>
      </w:tr>
      <w:tr w:rsidR="00A15C2C" w14:paraId="059BF5A5" w14:textId="77777777" w:rsidTr="00343F45">
        <w:trPr>
          <w:trHeight w:val="320"/>
          <w:jc w:val="center"/>
        </w:trPr>
        <w:tc>
          <w:tcPr>
            <w:tcW w:w="2862" w:type="dxa"/>
            <w:noWrap/>
            <w:vAlign w:val="center"/>
          </w:tcPr>
          <w:p w14:paraId="295F2227" w14:textId="77777777" w:rsidR="006F259C" w:rsidRPr="006620BF" w:rsidRDefault="000F5B51" w:rsidP="00343F45">
            <w:pPr>
              <w:spacing w:line="240" w:lineRule="auto"/>
              <w:rPr>
                <w:rFonts w:eastAsia="Times New Roman" w:cs="Times New Roman"/>
                <w:color w:val="000000"/>
              </w:rPr>
            </w:pPr>
            <w:r>
              <w:rPr>
                <w:rFonts w:eastAsia="Times New Roman" w:cs="Times New Roman"/>
                <w:color w:val="000000"/>
              </w:rPr>
              <w:t>Right Front Seat Occupant</w:t>
            </w:r>
          </w:p>
        </w:tc>
        <w:tc>
          <w:tcPr>
            <w:tcW w:w="2310" w:type="dxa"/>
            <w:noWrap/>
            <w:vAlign w:val="center"/>
          </w:tcPr>
          <w:p w14:paraId="41AE0198" w14:textId="6011D7A3" w:rsidR="006F259C" w:rsidRPr="00572735" w:rsidRDefault="000F5B51" w:rsidP="00343F45">
            <w:pPr>
              <w:spacing w:line="240" w:lineRule="auto"/>
              <w:jc w:val="center"/>
              <w:rPr>
                <w:rFonts w:eastAsia="Times New Roman" w:cs="Times New Roman"/>
                <w:color w:val="000000"/>
                <w:sz w:val="22"/>
                <w:szCs w:val="22"/>
              </w:rPr>
            </w:pPr>
            <w:r>
              <w:t>$135.2</w:t>
            </w:r>
          </w:p>
        </w:tc>
        <w:tc>
          <w:tcPr>
            <w:tcW w:w="2310" w:type="dxa"/>
            <w:noWrap/>
            <w:vAlign w:val="center"/>
          </w:tcPr>
          <w:p w14:paraId="4B7FEC60" w14:textId="3F454917" w:rsidR="006F259C" w:rsidRPr="00572735" w:rsidRDefault="000F5B51" w:rsidP="00343F45">
            <w:pPr>
              <w:spacing w:line="240" w:lineRule="auto"/>
              <w:jc w:val="center"/>
              <w:rPr>
                <w:rFonts w:eastAsia="Times New Roman" w:cs="Times New Roman"/>
                <w:color w:val="000000"/>
                <w:sz w:val="22"/>
                <w:szCs w:val="22"/>
              </w:rPr>
            </w:pPr>
            <w:r>
              <w:t>$109.7</w:t>
            </w:r>
          </w:p>
        </w:tc>
      </w:tr>
      <w:tr w:rsidR="00A15C2C" w14:paraId="00597EFA" w14:textId="77777777" w:rsidTr="00343F45">
        <w:trPr>
          <w:trHeight w:val="320"/>
          <w:jc w:val="center"/>
        </w:trPr>
        <w:tc>
          <w:tcPr>
            <w:tcW w:w="2862" w:type="dxa"/>
            <w:noWrap/>
            <w:vAlign w:val="center"/>
          </w:tcPr>
          <w:p w14:paraId="4B2B7B74" w14:textId="77777777" w:rsidR="006F259C" w:rsidRPr="00CC4686" w:rsidRDefault="000F5B51" w:rsidP="00343F45">
            <w:pPr>
              <w:spacing w:line="240" w:lineRule="auto"/>
              <w:rPr>
                <w:rFonts w:eastAsia="Times New Roman" w:cs="Times New Roman"/>
                <w:b/>
                <w:bCs/>
                <w:color w:val="000000"/>
              </w:rPr>
            </w:pPr>
            <w:r w:rsidRPr="00CC4686">
              <w:rPr>
                <w:rFonts w:eastAsia="Times New Roman" w:cs="Times New Roman"/>
                <w:b/>
                <w:bCs/>
                <w:color w:val="000000"/>
              </w:rPr>
              <w:t>Total</w:t>
            </w:r>
          </w:p>
        </w:tc>
        <w:tc>
          <w:tcPr>
            <w:tcW w:w="2310" w:type="dxa"/>
            <w:noWrap/>
            <w:vAlign w:val="center"/>
          </w:tcPr>
          <w:p w14:paraId="5E2BFA0A" w14:textId="58055DFB" w:rsidR="006F259C" w:rsidRPr="00CC4686" w:rsidRDefault="005C2B2C" w:rsidP="00343F45">
            <w:pPr>
              <w:spacing w:line="240" w:lineRule="auto"/>
              <w:jc w:val="center"/>
              <w:rPr>
                <w:rFonts w:eastAsia="Times New Roman" w:cs="Times New Roman"/>
                <w:b/>
                <w:bCs/>
                <w:color w:val="000000"/>
                <w:sz w:val="22"/>
                <w:szCs w:val="22"/>
              </w:rPr>
            </w:pPr>
            <w:r>
              <w:t>$</w:t>
            </w:r>
            <w:r w:rsidR="00316677">
              <w:t>915.8</w:t>
            </w:r>
          </w:p>
        </w:tc>
        <w:tc>
          <w:tcPr>
            <w:tcW w:w="2310" w:type="dxa"/>
            <w:noWrap/>
            <w:vAlign w:val="center"/>
          </w:tcPr>
          <w:p w14:paraId="582436DC" w14:textId="60F3439E" w:rsidR="006F259C" w:rsidRPr="00CC4686" w:rsidRDefault="00316677" w:rsidP="00343F45">
            <w:pPr>
              <w:spacing w:line="240" w:lineRule="auto"/>
              <w:jc w:val="center"/>
              <w:rPr>
                <w:rFonts w:eastAsia="Times New Roman" w:cs="Times New Roman"/>
                <w:b/>
                <w:bCs/>
                <w:color w:val="000000"/>
                <w:sz w:val="22"/>
                <w:szCs w:val="22"/>
              </w:rPr>
            </w:pPr>
            <w:r>
              <w:t>$742.5</w:t>
            </w:r>
          </w:p>
        </w:tc>
      </w:tr>
    </w:tbl>
    <w:p w14:paraId="0468E343" w14:textId="378D3589" w:rsidR="006F259C" w:rsidRDefault="000F5B51" w:rsidP="006F259C">
      <w:pPr>
        <w:ind w:firstLine="576"/>
        <w:rPr>
          <w:sz w:val="18"/>
          <w:szCs w:val="18"/>
        </w:rPr>
      </w:pPr>
      <w:r>
        <w:rPr>
          <w:sz w:val="18"/>
          <w:szCs w:val="18"/>
        </w:rPr>
        <w:t xml:space="preserve">       </w:t>
      </w:r>
      <w:r w:rsidRPr="00572735">
        <w:rPr>
          <w:sz w:val="18"/>
          <w:szCs w:val="18"/>
        </w:rPr>
        <w:t>Note: Values may not sum due to rounding.</w:t>
      </w:r>
    </w:p>
    <w:p w14:paraId="3F4BAC0D" w14:textId="55143C0C" w:rsidR="00F1151E" w:rsidRDefault="00F1151E" w:rsidP="006F259C">
      <w:pPr>
        <w:ind w:firstLine="576"/>
        <w:rPr>
          <w:sz w:val="18"/>
          <w:szCs w:val="18"/>
        </w:rPr>
      </w:pPr>
    </w:p>
    <w:p w14:paraId="04508396" w14:textId="1FD4C233" w:rsidR="00F1151E" w:rsidRDefault="00F1151E" w:rsidP="006F259C">
      <w:pPr>
        <w:ind w:firstLine="576"/>
        <w:rPr>
          <w:sz w:val="18"/>
          <w:szCs w:val="18"/>
        </w:rPr>
      </w:pPr>
    </w:p>
    <w:p w14:paraId="402AD48D" w14:textId="4628FDA3" w:rsidR="00F1151E" w:rsidRDefault="00F1151E" w:rsidP="006F259C">
      <w:pPr>
        <w:ind w:firstLine="576"/>
        <w:rPr>
          <w:sz w:val="18"/>
          <w:szCs w:val="18"/>
        </w:rPr>
      </w:pPr>
    </w:p>
    <w:p w14:paraId="2D973CF1" w14:textId="1E09C484" w:rsidR="00F1151E" w:rsidRDefault="00F1151E" w:rsidP="006F259C">
      <w:pPr>
        <w:ind w:firstLine="576"/>
        <w:rPr>
          <w:sz w:val="18"/>
          <w:szCs w:val="18"/>
        </w:rPr>
      </w:pPr>
    </w:p>
    <w:p w14:paraId="77C4C30F" w14:textId="77777777" w:rsidR="00F1151E" w:rsidRPr="00572735" w:rsidRDefault="00F1151E" w:rsidP="006F259C">
      <w:pPr>
        <w:ind w:firstLine="576"/>
        <w:rPr>
          <w:sz w:val="18"/>
          <w:szCs w:val="18"/>
        </w:rPr>
      </w:pPr>
    </w:p>
    <w:p w14:paraId="46E33BC9" w14:textId="77777777" w:rsidR="00585F7F" w:rsidRDefault="000F5B51" w:rsidP="00585F7F">
      <w:pPr>
        <w:pStyle w:val="Heading2"/>
        <w:spacing w:line="240" w:lineRule="auto"/>
      </w:pPr>
      <w:r>
        <w:lastRenderedPageBreak/>
        <w:t xml:space="preserve"> </w:t>
      </w:r>
      <w:bookmarkStart w:id="2079" w:name="_Toc142903021"/>
      <w:bookmarkEnd w:id="2058"/>
      <w:r w:rsidR="00266E2F">
        <w:t xml:space="preserve">Appendix </w:t>
      </w:r>
      <w:r w:rsidR="003D0E0E">
        <w:t>I</w:t>
      </w:r>
      <w:bookmarkEnd w:id="2079"/>
    </w:p>
    <w:p w14:paraId="167969F2" w14:textId="63ED3580" w:rsidR="00585F7F" w:rsidRPr="00662FE1" w:rsidRDefault="000F5B51" w:rsidP="00585F7F">
      <w:pPr>
        <w:pStyle w:val="Caption"/>
        <w:rPr>
          <w:i/>
          <w:iCs w:val="0"/>
          <w:szCs w:val="24"/>
        </w:rPr>
      </w:pPr>
      <w:r w:rsidRPr="00662FE1">
        <w:rPr>
          <w:iCs w:val="0"/>
          <w:szCs w:val="24"/>
        </w:rPr>
        <w:t xml:space="preserve">Table </w:t>
      </w:r>
      <w:r w:rsidRPr="00662FE1">
        <w:rPr>
          <w:i/>
          <w:iCs w:val="0"/>
          <w:szCs w:val="24"/>
        </w:rPr>
        <w:fldChar w:fldCharType="begin"/>
      </w:r>
      <w:r w:rsidRPr="00662FE1">
        <w:rPr>
          <w:iCs w:val="0"/>
          <w:szCs w:val="24"/>
        </w:rPr>
        <w:instrText xml:space="preserve"> SEQ Table \* ARABIC </w:instrText>
      </w:r>
      <w:r w:rsidRPr="00662FE1">
        <w:rPr>
          <w:i/>
          <w:iCs w:val="0"/>
          <w:szCs w:val="24"/>
        </w:rPr>
        <w:fldChar w:fldCharType="separate"/>
      </w:r>
      <w:r w:rsidR="00A65CB3">
        <w:rPr>
          <w:iCs w:val="0"/>
          <w:noProof/>
          <w:szCs w:val="24"/>
        </w:rPr>
        <w:t>166</w:t>
      </w:r>
      <w:r w:rsidRPr="00662FE1">
        <w:rPr>
          <w:i/>
          <w:iCs w:val="0"/>
          <w:szCs w:val="24"/>
        </w:rPr>
        <w:fldChar w:fldCharType="end"/>
      </w:r>
      <w:r w:rsidRPr="00662FE1">
        <w:rPr>
          <w:iCs w:val="0"/>
          <w:szCs w:val="24"/>
        </w:rPr>
        <w:t xml:space="preserve">: </w:t>
      </w:r>
      <w:r>
        <w:rPr>
          <w:iCs w:val="0"/>
          <w:szCs w:val="24"/>
        </w:rPr>
        <w:t>Selection Criteria</w:t>
      </w:r>
      <w:r w:rsidRPr="00662FE1">
        <w:rPr>
          <w:iCs w:val="0"/>
          <w:szCs w:val="24"/>
        </w:rPr>
        <w:t xml:space="preserve"> by Category for FARS Data</w:t>
      </w:r>
      <w:r>
        <w:rPr>
          <w:i/>
          <w:iCs w:val="0"/>
          <w:szCs w:val="24"/>
        </w:rPr>
        <w:t xml:space="preserve"> </w:t>
      </w:r>
      <w:r w:rsidRPr="00B021FC">
        <w:rPr>
          <w:szCs w:val="24"/>
        </w:rPr>
        <w:t>2011-2015</w:t>
      </w:r>
    </w:p>
    <w:tbl>
      <w:tblPr>
        <w:tblStyle w:val="TableGrid"/>
        <w:tblW w:w="0" w:type="auto"/>
        <w:tblLook w:val="04A0" w:firstRow="1" w:lastRow="0" w:firstColumn="1" w:lastColumn="0" w:noHBand="0" w:noVBand="1"/>
      </w:tblPr>
      <w:tblGrid>
        <w:gridCol w:w="2065"/>
        <w:gridCol w:w="7285"/>
      </w:tblGrid>
      <w:tr w:rsidR="00A15C2C" w14:paraId="5DFD67DD" w14:textId="77777777" w:rsidTr="008C348F">
        <w:trPr>
          <w:tblHeader/>
        </w:trPr>
        <w:tc>
          <w:tcPr>
            <w:tcW w:w="2065" w:type="dxa"/>
            <w:shd w:val="clear" w:color="auto" w:fill="D9D9D9" w:themeFill="background1" w:themeFillShade="D9"/>
          </w:tcPr>
          <w:p w14:paraId="4AE22707" w14:textId="77777777" w:rsidR="00585F7F" w:rsidRPr="00EB2F76" w:rsidRDefault="000F5B51" w:rsidP="008C348F">
            <w:pPr>
              <w:spacing w:line="240" w:lineRule="auto"/>
              <w:rPr>
                <w:b/>
                <w:bCs/>
              </w:rPr>
            </w:pPr>
            <w:r w:rsidRPr="00EB2F76">
              <w:rPr>
                <w:b/>
                <w:bCs/>
              </w:rPr>
              <w:t>Category</w:t>
            </w:r>
          </w:p>
        </w:tc>
        <w:tc>
          <w:tcPr>
            <w:tcW w:w="7285" w:type="dxa"/>
            <w:shd w:val="clear" w:color="auto" w:fill="D9D9D9" w:themeFill="background1" w:themeFillShade="D9"/>
          </w:tcPr>
          <w:p w14:paraId="610027A2" w14:textId="77777777" w:rsidR="00585F7F" w:rsidRPr="00EB2F76" w:rsidRDefault="000F5B51" w:rsidP="008C348F">
            <w:pPr>
              <w:spacing w:line="240" w:lineRule="auto"/>
              <w:rPr>
                <w:b/>
                <w:bCs/>
              </w:rPr>
            </w:pPr>
            <w:r w:rsidRPr="00EB2F76">
              <w:rPr>
                <w:b/>
                <w:bCs/>
              </w:rPr>
              <w:t>Selection Criteria</w:t>
            </w:r>
          </w:p>
        </w:tc>
      </w:tr>
      <w:tr w:rsidR="00A15C2C" w14:paraId="163ACA4D" w14:textId="77777777" w:rsidTr="008C348F">
        <w:tc>
          <w:tcPr>
            <w:tcW w:w="2065" w:type="dxa"/>
          </w:tcPr>
          <w:p w14:paraId="5D866658" w14:textId="77777777" w:rsidR="00585F7F" w:rsidRDefault="000F5B51" w:rsidP="008C348F">
            <w:pPr>
              <w:spacing w:line="240" w:lineRule="auto"/>
            </w:pPr>
            <w:r>
              <w:t>Occupant Fatalities</w:t>
            </w:r>
          </w:p>
        </w:tc>
        <w:tc>
          <w:tcPr>
            <w:tcW w:w="7285" w:type="dxa"/>
          </w:tcPr>
          <w:p w14:paraId="08112EBD" w14:textId="77777777" w:rsidR="00585F7F" w:rsidRDefault="000F5B51" w:rsidP="008C348F">
            <w:pPr>
              <w:spacing w:line="240" w:lineRule="auto"/>
            </w:pPr>
            <w:r>
              <w:t>PER_TYP IN (1,2,9) and INJ_SEV=4</w:t>
            </w:r>
          </w:p>
        </w:tc>
      </w:tr>
      <w:tr w:rsidR="00A15C2C" w14:paraId="1DF148B1" w14:textId="77777777" w:rsidTr="008C348F">
        <w:tc>
          <w:tcPr>
            <w:tcW w:w="9350" w:type="dxa"/>
            <w:gridSpan w:val="2"/>
          </w:tcPr>
          <w:p w14:paraId="686FA3F1" w14:textId="77777777" w:rsidR="00585F7F" w:rsidRDefault="000F5B51" w:rsidP="008C348F">
            <w:pPr>
              <w:spacing w:line="240" w:lineRule="auto"/>
            </w:pPr>
            <w:r w:rsidRPr="00EB2F76">
              <w:rPr>
                <w:b/>
                <w:bCs/>
                <w:i/>
                <w:iCs/>
              </w:rPr>
              <w:t>Vehicle Type</w:t>
            </w:r>
            <w:r>
              <w:rPr>
                <w:b/>
                <w:bCs/>
                <w:i/>
                <w:iCs/>
              </w:rPr>
              <w:t xml:space="preserve"> for Passenger Vehicles</w:t>
            </w:r>
          </w:p>
        </w:tc>
      </w:tr>
      <w:tr w:rsidR="00A15C2C" w14:paraId="4A2F3AB9" w14:textId="77777777" w:rsidTr="008C348F">
        <w:tc>
          <w:tcPr>
            <w:tcW w:w="2065" w:type="dxa"/>
          </w:tcPr>
          <w:p w14:paraId="4C7E769B" w14:textId="77777777" w:rsidR="00585F7F" w:rsidRDefault="000F5B51" w:rsidP="008C348F">
            <w:pPr>
              <w:spacing w:line="240" w:lineRule="auto"/>
            </w:pPr>
            <w:r>
              <w:t>Passenger Cars</w:t>
            </w:r>
          </w:p>
        </w:tc>
        <w:tc>
          <w:tcPr>
            <w:tcW w:w="7285" w:type="dxa"/>
          </w:tcPr>
          <w:p w14:paraId="2A98FD04" w14:textId="77777777" w:rsidR="00585F7F" w:rsidRDefault="000F5B51" w:rsidP="008C348F">
            <w:pPr>
              <w:spacing w:line="240" w:lineRule="auto"/>
            </w:pPr>
            <w:r>
              <w:t>BODY_TYP IN (1-11, 17)</w:t>
            </w:r>
          </w:p>
        </w:tc>
      </w:tr>
      <w:tr w:rsidR="00A15C2C" w14:paraId="1979463A" w14:textId="77777777" w:rsidTr="008C348F">
        <w:tc>
          <w:tcPr>
            <w:tcW w:w="2065" w:type="dxa"/>
          </w:tcPr>
          <w:p w14:paraId="10ECB4DC" w14:textId="77777777" w:rsidR="00585F7F" w:rsidRDefault="000F5B51" w:rsidP="008C348F">
            <w:pPr>
              <w:spacing w:line="240" w:lineRule="auto"/>
            </w:pPr>
            <w:r>
              <w:t>Light Trucks</w:t>
            </w:r>
          </w:p>
        </w:tc>
        <w:tc>
          <w:tcPr>
            <w:tcW w:w="7285" w:type="dxa"/>
          </w:tcPr>
          <w:p w14:paraId="63E313BE" w14:textId="77777777" w:rsidR="00585F7F" w:rsidRDefault="000F5B51" w:rsidP="008C348F">
            <w:pPr>
              <w:spacing w:line="240" w:lineRule="auto"/>
            </w:pPr>
            <w:r>
              <w:t>BODY_TYP IN (14,15,16,19,20,21,22,24,25,28,29, 30,31,32,33,34,39, 40,41,45,48,49) OR (BODY_TYP=79 AND TOW_VEH IN (0,9))</w:t>
            </w:r>
          </w:p>
        </w:tc>
      </w:tr>
      <w:tr w:rsidR="00A15C2C" w14:paraId="6600645A" w14:textId="77777777" w:rsidTr="008C348F">
        <w:tc>
          <w:tcPr>
            <w:tcW w:w="9350" w:type="dxa"/>
            <w:gridSpan w:val="2"/>
          </w:tcPr>
          <w:p w14:paraId="5C87EF9E" w14:textId="77777777" w:rsidR="00585F7F" w:rsidRDefault="000F5B51" w:rsidP="008C348F">
            <w:pPr>
              <w:spacing w:line="240" w:lineRule="auto"/>
            </w:pPr>
            <w:r w:rsidRPr="00F15DAC">
              <w:rPr>
                <w:b/>
                <w:bCs/>
                <w:i/>
                <w:iCs/>
              </w:rPr>
              <w:t>Seating Position</w:t>
            </w:r>
          </w:p>
        </w:tc>
      </w:tr>
      <w:tr w:rsidR="00A15C2C" w14:paraId="1433F22B" w14:textId="77777777" w:rsidTr="008C348F">
        <w:tc>
          <w:tcPr>
            <w:tcW w:w="2065" w:type="dxa"/>
          </w:tcPr>
          <w:p w14:paraId="3816B660" w14:textId="77777777" w:rsidR="00585F7F" w:rsidRDefault="000F5B51" w:rsidP="008C348F">
            <w:pPr>
              <w:spacing w:line="240" w:lineRule="auto"/>
            </w:pPr>
            <w:r>
              <w:t>Front Seat – Left (Driver’s Side)</w:t>
            </w:r>
          </w:p>
        </w:tc>
        <w:tc>
          <w:tcPr>
            <w:tcW w:w="7285" w:type="dxa"/>
          </w:tcPr>
          <w:p w14:paraId="5A5F4702" w14:textId="77777777" w:rsidR="00585F7F" w:rsidRDefault="000F5B51" w:rsidP="008C348F">
            <w:pPr>
              <w:spacing w:line="240" w:lineRule="auto"/>
            </w:pPr>
            <w:r>
              <w:t>SEAT_POS=11</w:t>
            </w:r>
          </w:p>
        </w:tc>
      </w:tr>
      <w:tr w:rsidR="00A15C2C" w14:paraId="50CFBD0E" w14:textId="77777777" w:rsidTr="008C348F">
        <w:tc>
          <w:tcPr>
            <w:tcW w:w="2065" w:type="dxa"/>
          </w:tcPr>
          <w:p w14:paraId="27DE1851" w14:textId="77777777" w:rsidR="00585F7F" w:rsidRDefault="000F5B51" w:rsidP="008C348F">
            <w:pPr>
              <w:spacing w:line="240" w:lineRule="auto"/>
            </w:pPr>
            <w:r>
              <w:t>Front Seat - Middle</w:t>
            </w:r>
          </w:p>
        </w:tc>
        <w:tc>
          <w:tcPr>
            <w:tcW w:w="7285" w:type="dxa"/>
          </w:tcPr>
          <w:p w14:paraId="0E5793DA" w14:textId="77777777" w:rsidR="00585F7F" w:rsidRDefault="000F5B51" w:rsidP="008C348F">
            <w:pPr>
              <w:spacing w:line="240" w:lineRule="auto"/>
            </w:pPr>
            <w:r>
              <w:t>SEAT_POS=12</w:t>
            </w:r>
          </w:p>
        </w:tc>
      </w:tr>
      <w:tr w:rsidR="00A15C2C" w14:paraId="3E2670A4" w14:textId="77777777" w:rsidTr="008C348F">
        <w:tc>
          <w:tcPr>
            <w:tcW w:w="2065" w:type="dxa"/>
          </w:tcPr>
          <w:p w14:paraId="4C949807" w14:textId="77777777" w:rsidR="00585F7F" w:rsidRDefault="000F5B51" w:rsidP="008C348F">
            <w:pPr>
              <w:spacing w:line="240" w:lineRule="auto"/>
            </w:pPr>
            <w:r>
              <w:t>Front Seat - Right</w:t>
            </w:r>
          </w:p>
        </w:tc>
        <w:tc>
          <w:tcPr>
            <w:tcW w:w="7285" w:type="dxa"/>
          </w:tcPr>
          <w:p w14:paraId="7B992B7E" w14:textId="77777777" w:rsidR="00585F7F" w:rsidRDefault="000F5B51" w:rsidP="008C348F">
            <w:pPr>
              <w:spacing w:line="240" w:lineRule="auto"/>
            </w:pPr>
            <w:r>
              <w:t>SEAT_POS=13</w:t>
            </w:r>
          </w:p>
        </w:tc>
      </w:tr>
      <w:tr w:rsidR="00A15C2C" w14:paraId="47092E2C" w14:textId="77777777" w:rsidTr="008C348F">
        <w:tc>
          <w:tcPr>
            <w:tcW w:w="2065" w:type="dxa"/>
          </w:tcPr>
          <w:p w14:paraId="63BC24C2" w14:textId="77777777" w:rsidR="00585F7F" w:rsidRDefault="000F5B51" w:rsidP="008C348F">
            <w:pPr>
              <w:spacing w:line="240" w:lineRule="auto"/>
            </w:pPr>
            <w:r>
              <w:t>Front Seat – Other/Unknown</w:t>
            </w:r>
          </w:p>
        </w:tc>
        <w:tc>
          <w:tcPr>
            <w:tcW w:w="7285" w:type="dxa"/>
          </w:tcPr>
          <w:p w14:paraId="43DB16DE" w14:textId="77777777" w:rsidR="00585F7F" w:rsidRDefault="000F5B51" w:rsidP="008C348F">
            <w:pPr>
              <w:spacing w:line="240" w:lineRule="auto"/>
            </w:pPr>
            <w:r>
              <w:t>SEAT_POS IN (18,19)</w:t>
            </w:r>
          </w:p>
        </w:tc>
      </w:tr>
      <w:tr w:rsidR="00A15C2C" w14:paraId="38FD61E5" w14:textId="77777777" w:rsidTr="008C348F">
        <w:tc>
          <w:tcPr>
            <w:tcW w:w="2065" w:type="dxa"/>
          </w:tcPr>
          <w:p w14:paraId="463D1A90" w14:textId="77777777" w:rsidR="00585F7F" w:rsidRDefault="000F5B51" w:rsidP="008C348F">
            <w:pPr>
              <w:spacing w:line="240" w:lineRule="auto"/>
            </w:pPr>
            <w:r>
              <w:t>Rear Seats</w:t>
            </w:r>
          </w:p>
        </w:tc>
        <w:tc>
          <w:tcPr>
            <w:tcW w:w="7285" w:type="dxa"/>
          </w:tcPr>
          <w:p w14:paraId="3130D237" w14:textId="77777777" w:rsidR="00585F7F" w:rsidRDefault="000F5B51" w:rsidP="008C348F">
            <w:pPr>
              <w:spacing w:line="240" w:lineRule="auto"/>
            </w:pPr>
            <w:r>
              <w:t>SEAT_POS IN (21,22,23,28,29, 31,32,33,38,39,41,42,43,48,49)</w:t>
            </w:r>
          </w:p>
        </w:tc>
      </w:tr>
      <w:tr w:rsidR="00A15C2C" w14:paraId="62EE850D" w14:textId="77777777" w:rsidTr="008C348F">
        <w:tc>
          <w:tcPr>
            <w:tcW w:w="2065" w:type="dxa"/>
          </w:tcPr>
          <w:p w14:paraId="6BA166D4" w14:textId="77777777" w:rsidR="00585F7F" w:rsidRDefault="000F5B51" w:rsidP="008C348F">
            <w:pPr>
              <w:spacing w:line="240" w:lineRule="auto"/>
            </w:pPr>
            <w:r>
              <w:t>Other</w:t>
            </w:r>
          </w:p>
        </w:tc>
        <w:tc>
          <w:tcPr>
            <w:tcW w:w="7285" w:type="dxa"/>
          </w:tcPr>
          <w:p w14:paraId="29F2CEA6" w14:textId="77777777" w:rsidR="00585F7F" w:rsidRDefault="000F5B51" w:rsidP="008C348F">
            <w:pPr>
              <w:spacing w:line="240" w:lineRule="auto"/>
            </w:pPr>
            <w:r>
              <w:t>SEAT_POS IN (50-55)</w:t>
            </w:r>
          </w:p>
        </w:tc>
      </w:tr>
      <w:tr w:rsidR="00A15C2C" w14:paraId="47D39663" w14:textId="77777777" w:rsidTr="008C348F">
        <w:tc>
          <w:tcPr>
            <w:tcW w:w="2065" w:type="dxa"/>
          </w:tcPr>
          <w:p w14:paraId="73734040" w14:textId="77777777" w:rsidR="00585F7F" w:rsidRDefault="000F5B51" w:rsidP="008C348F">
            <w:pPr>
              <w:spacing w:line="240" w:lineRule="auto"/>
            </w:pPr>
            <w:r>
              <w:t>Unknown</w:t>
            </w:r>
          </w:p>
        </w:tc>
        <w:tc>
          <w:tcPr>
            <w:tcW w:w="7285" w:type="dxa"/>
          </w:tcPr>
          <w:p w14:paraId="2774D31C" w14:textId="77777777" w:rsidR="00585F7F" w:rsidRDefault="000F5B51" w:rsidP="008C348F">
            <w:pPr>
              <w:spacing w:line="240" w:lineRule="auto"/>
            </w:pPr>
            <w:r>
              <w:t>SEAT_POS IN (98,99)</w:t>
            </w:r>
          </w:p>
        </w:tc>
      </w:tr>
      <w:tr w:rsidR="00A15C2C" w14:paraId="17604F00" w14:textId="77777777" w:rsidTr="008C348F">
        <w:tc>
          <w:tcPr>
            <w:tcW w:w="9350" w:type="dxa"/>
            <w:gridSpan w:val="2"/>
          </w:tcPr>
          <w:p w14:paraId="1B3D3D2B" w14:textId="77777777" w:rsidR="00585F7F" w:rsidRDefault="000F5B51" w:rsidP="008C348F">
            <w:pPr>
              <w:spacing w:line="240" w:lineRule="auto"/>
            </w:pPr>
            <w:r w:rsidRPr="00EB2F76">
              <w:rPr>
                <w:b/>
                <w:bCs/>
                <w:i/>
                <w:iCs/>
              </w:rPr>
              <w:t>Restraint Use</w:t>
            </w:r>
          </w:p>
        </w:tc>
      </w:tr>
      <w:tr w:rsidR="00A15C2C" w14:paraId="3A410C86" w14:textId="77777777" w:rsidTr="008C348F">
        <w:tc>
          <w:tcPr>
            <w:tcW w:w="2065" w:type="dxa"/>
          </w:tcPr>
          <w:p w14:paraId="64C36533" w14:textId="77777777" w:rsidR="00585F7F" w:rsidRDefault="000F5B51" w:rsidP="008C348F">
            <w:pPr>
              <w:spacing w:line="240" w:lineRule="auto"/>
            </w:pPr>
            <w:r>
              <w:t>Restrained</w:t>
            </w:r>
          </w:p>
        </w:tc>
        <w:tc>
          <w:tcPr>
            <w:tcW w:w="7285" w:type="dxa"/>
          </w:tcPr>
          <w:p w14:paraId="370E4A31" w14:textId="77777777" w:rsidR="00585F7F" w:rsidRDefault="000F5B51" w:rsidP="008C348F">
            <w:pPr>
              <w:spacing w:line="240" w:lineRule="auto"/>
            </w:pPr>
            <w:r w:rsidRPr="00EB2F76">
              <w:t>REST_USE IN (1,2,3,4,8,10,11,12,97)</w:t>
            </w:r>
          </w:p>
        </w:tc>
      </w:tr>
      <w:tr w:rsidR="00A15C2C" w14:paraId="77A4FAB0" w14:textId="77777777" w:rsidTr="008C348F">
        <w:tc>
          <w:tcPr>
            <w:tcW w:w="2065" w:type="dxa"/>
          </w:tcPr>
          <w:p w14:paraId="6C8A3889" w14:textId="77777777" w:rsidR="00585F7F" w:rsidRDefault="000F5B51" w:rsidP="008C348F">
            <w:pPr>
              <w:spacing w:line="240" w:lineRule="auto"/>
            </w:pPr>
            <w:r>
              <w:t>Unrestrained</w:t>
            </w:r>
          </w:p>
        </w:tc>
        <w:tc>
          <w:tcPr>
            <w:tcW w:w="7285" w:type="dxa"/>
          </w:tcPr>
          <w:p w14:paraId="0DA7C108" w14:textId="77777777" w:rsidR="00585F7F" w:rsidRDefault="000F5B51" w:rsidP="008C348F">
            <w:pPr>
              <w:spacing w:line="240" w:lineRule="auto"/>
            </w:pPr>
            <w:r w:rsidRPr="00EB2F76">
              <w:t>REST_USE IN (0,5,7,16,17,19,20)</w:t>
            </w:r>
          </w:p>
        </w:tc>
      </w:tr>
      <w:tr w:rsidR="00A15C2C" w14:paraId="7A4244BB" w14:textId="77777777" w:rsidTr="008C348F">
        <w:tc>
          <w:tcPr>
            <w:tcW w:w="2065" w:type="dxa"/>
          </w:tcPr>
          <w:p w14:paraId="0F322747" w14:textId="77777777" w:rsidR="00585F7F" w:rsidRDefault="000F5B51" w:rsidP="008C348F">
            <w:pPr>
              <w:spacing w:line="240" w:lineRule="auto"/>
            </w:pPr>
            <w:r>
              <w:t>Unknown Restraint Use</w:t>
            </w:r>
          </w:p>
        </w:tc>
        <w:tc>
          <w:tcPr>
            <w:tcW w:w="7285" w:type="dxa"/>
          </w:tcPr>
          <w:p w14:paraId="121993A8" w14:textId="77777777" w:rsidR="00585F7F" w:rsidRDefault="000F5B51" w:rsidP="008C348F">
            <w:pPr>
              <w:spacing w:line="240" w:lineRule="auto"/>
            </w:pPr>
            <w:r w:rsidRPr="000C18C1">
              <w:t>REST_USE IN (29,98,99)</w:t>
            </w:r>
          </w:p>
        </w:tc>
      </w:tr>
      <w:tr w:rsidR="00A15C2C" w14:paraId="367A5E11" w14:textId="77777777" w:rsidTr="008C348F">
        <w:tc>
          <w:tcPr>
            <w:tcW w:w="9350" w:type="dxa"/>
            <w:gridSpan w:val="2"/>
          </w:tcPr>
          <w:p w14:paraId="5B53BCAF" w14:textId="77777777" w:rsidR="00585F7F" w:rsidRDefault="000F5B51" w:rsidP="008C348F">
            <w:pPr>
              <w:spacing w:line="240" w:lineRule="auto"/>
            </w:pPr>
            <w:r w:rsidRPr="000C18C1">
              <w:rPr>
                <w:b/>
                <w:bCs/>
                <w:i/>
                <w:iCs/>
              </w:rPr>
              <w:t>Rollover/Area of Impact – Initial Contact Point</w:t>
            </w:r>
          </w:p>
        </w:tc>
      </w:tr>
      <w:tr w:rsidR="00A15C2C" w14:paraId="621C4505" w14:textId="77777777" w:rsidTr="008C348F">
        <w:tc>
          <w:tcPr>
            <w:tcW w:w="2065" w:type="dxa"/>
          </w:tcPr>
          <w:p w14:paraId="0F777983" w14:textId="77777777" w:rsidR="00585F7F" w:rsidRDefault="000F5B51" w:rsidP="008C348F">
            <w:pPr>
              <w:spacing w:line="240" w:lineRule="auto"/>
            </w:pPr>
            <w:r>
              <w:t>Rollover</w:t>
            </w:r>
          </w:p>
        </w:tc>
        <w:tc>
          <w:tcPr>
            <w:tcW w:w="7285" w:type="dxa"/>
          </w:tcPr>
          <w:p w14:paraId="757D4711" w14:textId="77777777" w:rsidR="00585F7F" w:rsidRDefault="000F5B51" w:rsidP="008C348F">
            <w:pPr>
              <w:spacing w:line="240" w:lineRule="auto"/>
            </w:pPr>
            <w:r w:rsidRPr="000C18C1">
              <w:t>ROLLOVER IN (1,2</w:t>
            </w:r>
            <w:r>
              <w:t>,9</w:t>
            </w:r>
            <w:r w:rsidRPr="000C18C1">
              <w:t>)</w:t>
            </w:r>
          </w:p>
        </w:tc>
      </w:tr>
      <w:tr w:rsidR="00A15C2C" w14:paraId="2A75CAC0" w14:textId="77777777" w:rsidTr="008C348F">
        <w:tc>
          <w:tcPr>
            <w:tcW w:w="2065" w:type="dxa"/>
          </w:tcPr>
          <w:p w14:paraId="7190B5BE" w14:textId="77777777" w:rsidR="00585F7F" w:rsidRPr="000C18C1" w:rsidRDefault="000F5B51" w:rsidP="008C348F">
            <w:pPr>
              <w:spacing w:line="240" w:lineRule="auto"/>
              <w:rPr>
                <w:b/>
                <w:bCs/>
                <w:i/>
                <w:iCs/>
              </w:rPr>
            </w:pPr>
            <w:r>
              <w:t xml:space="preserve">     </w:t>
            </w:r>
            <w:r w:rsidRPr="000C18C1">
              <w:rPr>
                <w:b/>
                <w:bCs/>
                <w:i/>
                <w:iCs/>
              </w:rPr>
              <w:t>ELSE</w:t>
            </w:r>
          </w:p>
        </w:tc>
        <w:tc>
          <w:tcPr>
            <w:tcW w:w="7285" w:type="dxa"/>
          </w:tcPr>
          <w:p w14:paraId="57992D90" w14:textId="77777777" w:rsidR="00585F7F" w:rsidRPr="000C18C1" w:rsidRDefault="00585F7F" w:rsidP="008C348F">
            <w:pPr>
              <w:spacing w:line="240" w:lineRule="auto"/>
            </w:pPr>
          </w:p>
        </w:tc>
      </w:tr>
      <w:tr w:rsidR="00A15C2C" w14:paraId="4584A118" w14:textId="77777777" w:rsidTr="008C348F">
        <w:tc>
          <w:tcPr>
            <w:tcW w:w="2065" w:type="dxa"/>
          </w:tcPr>
          <w:p w14:paraId="03EFEEA3" w14:textId="77777777" w:rsidR="00585F7F" w:rsidRDefault="000F5B51" w:rsidP="008C348F">
            <w:pPr>
              <w:spacing w:line="240" w:lineRule="auto"/>
            </w:pPr>
            <w:r>
              <w:t>Front Impact</w:t>
            </w:r>
          </w:p>
        </w:tc>
        <w:tc>
          <w:tcPr>
            <w:tcW w:w="7285" w:type="dxa"/>
          </w:tcPr>
          <w:p w14:paraId="26A29040" w14:textId="77777777" w:rsidR="00585F7F" w:rsidRDefault="000F5B51" w:rsidP="008C348F">
            <w:pPr>
              <w:spacing w:line="240" w:lineRule="auto"/>
            </w:pPr>
            <w:r w:rsidRPr="000C18C1">
              <w:t>IMPACT1 IN (11,12,1)</w:t>
            </w:r>
          </w:p>
        </w:tc>
      </w:tr>
      <w:tr w:rsidR="00A15C2C" w14:paraId="224A3278" w14:textId="77777777" w:rsidTr="008C348F">
        <w:tc>
          <w:tcPr>
            <w:tcW w:w="2065" w:type="dxa"/>
          </w:tcPr>
          <w:p w14:paraId="0C24F841" w14:textId="77777777" w:rsidR="00585F7F" w:rsidRDefault="000F5B51" w:rsidP="008C348F">
            <w:pPr>
              <w:spacing w:line="240" w:lineRule="auto"/>
            </w:pPr>
            <w:r>
              <w:t>Side Impact</w:t>
            </w:r>
          </w:p>
        </w:tc>
        <w:tc>
          <w:tcPr>
            <w:tcW w:w="7285" w:type="dxa"/>
          </w:tcPr>
          <w:p w14:paraId="015483A0" w14:textId="77777777" w:rsidR="00585F7F" w:rsidRDefault="000F5B51" w:rsidP="008C348F">
            <w:pPr>
              <w:spacing w:line="240" w:lineRule="auto"/>
            </w:pPr>
            <w:r w:rsidRPr="000C18C1">
              <w:t>IMPACT1 IN (2,3,4,8,9,10,61,62,63,81,82,83)</w:t>
            </w:r>
          </w:p>
        </w:tc>
      </w:tr>
      <w:tr w:rsidR="00A15C2C" w14:paraId="2DBC4DB0" w14:textId="77777777" w:rsidTr="008C348F">
        <w:tc>
          <w:tcPr>
            <w:tcW w:w="2065" w:type="dxa"/>
          </w:tcPr>
          <w:p w14:paraId="137EF8EB" w14:textId="77777777" w:rsidR="00585F7F" w:rsidRDefault="000F5B51" w:rsidP="008C348F">
            <w:pPr>
              <w:spacing w:line="240" w:lineRule="auto"/>
            </w:pPr>
            <w:r>
              <w:t>Rear Impact</w:t>
            </w:r>
          </w:p>
        </w:tc>
        <w:tc>
          <w:tcPr>
            <w:tcW w:w="7285" w:type="dxa"/>
          </w:tcPr>
          <w:p w14:paraId="09200DC1" w14:textId="77777777" w:rsidR="00585F7F" w:rsidRDefault="000F5B51" w:rsidP="008C348F">
            <w:pPr>
              <w:spacing w:line="240" w:lineRule="auto"/>
            </w:pPr>
            <w:r w:rsidRPr="000C18C1">
              <w:t>IMPACT1 IN (5,6,7)</w:t>
            </w:r>
          </w:p>
        </w:tc>
      </w:tr>
    </w:tbl>
    <w:p w14:paraId="2BFD2D59" w14:textId="527BFEC0" w:rsidR="00585F7F" w:rsidRDefault="00585F7F" w:rsidP="00585F7F">
      <w:pPr>
        <w:spacing w:line="240" w:lineRule="auto"/>
      </w:pPr>
    </w:p>
    <w:p w14:paraId="79E8DF97" w14:textId="75D6ADDF" w:rsidR="00F1151E" w:rsidRDefault="00F1151E" w:rsidP="00585F7F">
      <w:pPr>
        <w:spacing w:line="240" w:lineRule="auto"/>
      </w:pPr>
    </w:p>
    <w:p w14:paraId="47D93454" w14:textId="72B95F24" w:rsidR="00F1151E" w:rsidRDefault="00F1151E" w:rsidP="00585F7F">
      <w:pPr>
        <w:spacing w:line="240" w:lineRule="auto"/>
      </w:pPr>
    </w:p>
    <w:p w14:paraId="4C83E61B" w14:textId="7B1F87BA" w:rsidR="00F1151E" w:rsidRDefault="00F1151E" w:rsidP="00585F7F">
      <w:pPr>
        <w:spacing w:line="240" w:lineRule="auto"/>
      </w:pPr>
    </w:p>
    <w:p w14:paraId="03A6D652" w14:textId="3278C30F" w:rsidR="00F1151E" w:rsidRDefault="00F1151E" w:rsidP="00585F7F">
      <w:pPr>
        <w:spacing w:line="240" w:lineRule="auto"/>
      </w:pPr>
    </w:p>
    <w:p w14:paraId="5DDFE3EC" w14:textId="7137CDE4" w:rsidR="00F1151E" w:rsidRDefault="00F1151E" w:rsidP="00585F7F">
      <w:pPr>
        <w:spacing w:line="240" w:lineRule="auto"/>
      </w:pPr>
    </w:p>
    <w:p w14:paraId="04E29905" w14:textId="04150B98" w:rsidR="00F1151E" w:rsidRDefault="00F1151E" w:rsidP="00585F7F">
      <w:pPr>
        <w:spacing w:line="240" w:lineRule="auto"/>
      </w:pPr>
    </w:p>
    <w:p w14:paraId="366A713A" w14:textId="2C86A1F4" w:rsidR="00F1151E" w:rsidRDefault="00F1151E" w:rsidP="00585F7F">
      <w:pPr>
        <w:spacing w:line="240" w:lineRule="auto"/>
      </w:pPr>
    </w:p>
    <w:p w14:paraId="43FFC5FD" w14:textId="77777777" w:rsidR="00F1151E" w:rsidRDefault="00F1151E" w:rsidP="00585F7F">
      <w:pPr>
        <w:spacing w:line="240" w:lineRule="auto"/>
      </w:pPr>
    </w:p>
    <w:p w14:paraId="2AC16758" w14:textId="1F3D3425" w:rsidR="00585F7F" w:rsidRPr="00662FE1" w:rsidRDefault="000F5B51" w:rsidP="00585F7F">
      <w:pPr>
        <w:pStyle w:val="Caption"/>
        <w:rPr>
          <w:i/>
          <w:iCs w:val="0"/>
          <w:szCs w:val="24"/>
        </w:rPr>
      </w:pPr>
      <w:r w:rsidRPr="00662FE1">
        <w:rPr>
          <w:iCs w:val="0"/>
          <w:szCs w:val="24"/>
        </w:rPr>
        <w:lastRenderedPageBreak/>
        <w:t xml:space="preserve">Table </w:t>
      </w:r>
      <w:r w:rsidRPr="00662FE1">
        <w:rPr>
          <w:i/>
          <w:iCs w:val="0"/>
          <w:szCs w:val="24"/>
        </w:rPr>
        <w:fldChar w:fldCharType="begin"/>
      </w:r>
      <w:r w:rsidRPr="00662FE1">
        <w:rPr>
          <w:iCs w:val="0"/>
          <w:szCs w:val="24"/>
        </w:rPr>
        <w:instrText xml:space="preserve"> SEQ Table \* ARABIC </w:instrText>
      </w:r>
      <w:r w:rsidRPr="00662FE1">
        <w:rPr>
          <w:i/>
          <w:iCs w:val="0"/>
          <w:szCs w:val="24"/>
        </w:rPr>
        <w:fldChar w:fldCharType="separate"/>
      </w:r>
      <w:r w:rsidR="00A65CB3">
        <w:rPr>
          <w:iCs w:val="0"/>
          <w:noProof/>
          <w:szCs w:val="24"/>
        </w:rPr>
        <w:t>167</w:t>
      </w:r>
      <w:r w:rsidRPr="00662FE1">
        <w:rPr>
          <w:i/>
          <w:iCs w:val="0"/>
          <w:szCs w:val="24"/>
        </w:rPr>
        <w:fldChar w:fldCharType="end"/>
      </w:r>
      <w:r w:rsidRPr="00662FE1">
        <w:rPr>
          <w:iCs w:val="0"/>
          <w:szCs w:val="24"/>
        </w:rPr>
        <w:t xml:space="preserve">: </w:t>
      </w:r>
      <w:r>
        <w:rPr>
          <w:iCs w:val="0"/>
          <w:szCs w:val="24"/>
        </w:rPr>
        <w:t>Selection Criteria</w:t>
      </w:r>
      <w:r w:rsidRPr="00662FE1">
        <w:rPr>
          <w:iCs w:val="0"/>
          <w:szCs w:val="24"/>
        </w:rPr>
        <w:t xml:space="preserve"> by Category for </w:t>
      </w:r>
      <w:r>
        <w:rPr>
          <w:iCs w:val="0"/>
          <w:szCs w:val="24"/>
        </w:rPr>
        <w:t>NASS CDS</w:t>
      </w:r>
      <w:r w:rsidRPr="00662FE1">
        <w:rPr>
          <w:iCs w:val="0"/>
          <w:szCs w:val="24"/>
        </w:rPr>
        <w:t xml:space="preserve"> Data</w:t>
      </w:r>
      <w:r>
        <w:rPr>
          <w:i/>
          <w:iCs w:val="0"/>
          <w:szCs w:val="24"/>
        </w:rPr>
        <w:t xml:space="preserve"> </w:t>
      </w:r>
      <w:r w:rsidRPr="00B021FC">
        <w:rPr>
          <w:szCs w:val="24"/>
        </w:rPr>
        <w:t>2011-2015</w:t>
      </w:r>
    </w:p>
    <w:tbl>
      <w:tblPr>
        <w:tblStyle w:val="TableGrid"/>
        <w:tblW w:w="0" w:type="auto"/>
        <w:tblLook w:val="04A0" w:firstRow="1" w:lastRow="0" w:firstColumn="1" w:lastColumn="0" w:noHBand="0" w:noVBand="1"/>
      </w:tblPr>
      <w:tblGrid>
        <w:gridCol w:w="2065"/>
        <w:gridCol w:w="7285"/>
      </w:tblGrid>
      <w:tr w:rsidR="00A15C2C" w14:paraId="6D4BD5DF" w14:textId="77777777" w:rsidTr="008C348F">
        <w:trPr>
          <w:tblHeader/>
        </w:trPr>
        <w:tc>
          <w:tcPr>
            <w:tcW w:w="2065" w:type="dxa"/>
            <w:shd w:val="clear" w:color="auto" w:fill="D9D9D9" w:themeFill="background1" w:themeFillShade="D9"/>
          </w:tcPr>
          <w:p w14:paraId="58A6590C" w14:textId="77777777" w:rsidR="00585F7F" w:rsidRPr="00EB2F76" w:rsidRDefault="000F5B51" w:rsidP="008C348F">
            <w:pPr>
              <w:spacing w:line="240" w:lineRule="auto"/>
              <w:rPr>
                <w:b/>
                <w:bCs/>
              </w:rPr>
            </w:pPr>
            <w:r w:rsidRPr="00EB2F76">
              <w:rPr>
                <w:b/>
                <w:bCs/>
              </w:rPr>
              <w:t>Category</w:t>
            </w:r>
          </w:p>
        </w:tc>
        <w:tc>
          <w:tcPr>
            <w:tcW w:w="7285" w:type="dxa"/>
            <w:shd w:val="clear" w:color="auto" w:fill="D9D9D9" w:themeFill="background1" w:themeFillShade="D9"/>
          </w:tcPr>
          <w:p w14:paraId="00B2FACA" w14:textId="77777777" w:rsidR="00585F7F" w:rsidRPr="00EB2F76" w:rsidRDefault="000F5B51" w:rsidP="008C348F">
            <w:pPr>
              <w:spacing w:line="240" w:lineRule="auto"/>
              <w:rPr>
                <w:b/>
                <w:bCs/>
              </w:rPr>
            </w:pPr>
            <w:r w:rsidRPr="00EB2F76">
              <w:rPr>
                <w:b/>
                <w:bCs/>
              </w:rPr>
              <w:t>Selection Criteria</w:t>
            </w:r>
          </w:p>
        </w:tc>
      </w:tr>
      <w:tr w:rsidR="00A15C2C" w14:paraId="13AE1927" w14:textId="77777777" w:rsidTr="008C348F">
        <w:tc>
          <w:tcPr>
            <w:tcW w:w="9350" w:type="dxa"/>
            <w:gridSpan w:val="2"/>
          </w:tcPr>
          <w:p w14:paraId="1158B896" w14:textId="77777777" w:rsidR="00585F7F" w:rsidRDefault="000F5B51" w:rsidP="008C348F">
            <w:pPr>
              <w:spacing w:line="240" w:lineRule="auto"/>
            </w:pPr>
            <w:r w:rsidRPr="00EB2F76">
              <w:rPr>
                <w:b/>
                <w:bCs/>
                <w:i/>
                <w:iCs/>
              </w:rPr>
              <w:t>Vehicle Type</w:t>
            </w:r>
            <w:r>
              <w:rPr>
                <w:b/>
                <w:bCs/>
                <w:i/>
                <w:iCs/>
              </w:rPr>
              <w:t xml:space="preserve"> for Passenger Vehicles</w:t>
            </w:r>
          </w:p>
        </w:tc>
      </w:tr>
      <w:tr w:rsidR="00A15C2C" w14:paraId="04F54D5B" w14:textId="77777777" w:rsidTr="008C348F">
        <w:tc>
          <w:tcPr>
            <w:tcW w:w="2065" w:type="dxa"/>
          </w:tcPr>
          <w:p w14:paraId="1907ABA9" w14:textId="77777777" w:rsidR="00585F7F" w:rsidRDefault="000F5B51" w:rsidP="008C348F">
            <w:pPr>
              <w:spacing w:line="240" w:lineRule="auto"/>
            </w:pPr>
            <w:r>
              <w:t>Passenger Cars</w:t>
            </w:r>
          </w:p>
        </w:tc>
        <w:tc>
          <w:tcPr>
            <w:tcW w:w="7285" w:type="dxa"/>
          </w:tcPr>
          <w:p w14:paraId="5651389A" w14:textId="77777777" w:rsidR="00585F7F" w:rsidRDefault="000F5B51" w:rsidP="008C348F">
            <w:pPr>
              <w:spacing w:line="240" w:lineRule="auto"/>
            </w:pPr>
            <w:r>
              <w:t>BODYTYPE IN (1-13)</w:t>
            </w:r>
          </w:p>
        </w:tc>
      </w:tr>
      <w:tr w:rsidR="00A15C2C" w14:paraId="4B434501" w14:textId="77777777" w:rsidTr="008C348F">
        <w:tc>
          <w:tcPr>
            <w:tcW w:w="2065" w:type="dxa"/>
          </w:tcPr>
          <w:p w14:paraId="51A554A1" w14:textId="77777777" w:rsidR="00585F7F" w:rsidRDefault="000F5B51" w:rsidP="008C348F">
            <w:pPr>
              <w:spacing w:line="240" w:lineRule="auto"/>
            </w:pPr>
            <w:r>
              <w:t>Light Trucks</w:t>
            </w:r>
          </w:p>
        </w:tc>
        <w:tc>
          <w:tcPr>
            <w:tcW w:w="7285" w:type="dxa"/>
          </w:tcPr>
          <w:p w14:paraId="4EAC83A6" w14:textId="77777777" w:rsidR="00585F7F" w:rsidRDefault="000F5B51" w:rsidP="008C348F">
            <w:pPr>
              <w:spacing w:line="240" w:lineRule="auto"/>
            </w:pPr>
            <w:r>
              <w:t>BODYTYPE IN (14-49)</w:t>
            </w:r>
          </w:p>
        </w:tc>
      </w:tr>
      <w:tr w:rsidR="00A15C2C" w14:paraId="1BA391A4" w14:textId="77777777" w:rsidTr="008C348F">
        <w:tc>
          <w:tcPr>
            <w:tcW w:w="9350" w:type="dxa"/>
            <w:gridSpan w:val="2"/>
          </w:tcPr>
          <w:p w14:paraId="6EBB1F10" w14:textId="77777777" w:rsidR="00585F7F" w:rsidRDefault="000F5B51" w:rsidP="008C348F">
            <w:pPr>
              <w:spacing w:line="240" w:lineRule="auto"/>
            </w:pPr>
            <w:r w:rsidRPr="00F15DAC">
              <w:rPr>
                <w:b/>
                <w:bCs/>
                <w:i/>
                <w:iCs/>
              </w:rPr>
              <w:t>Seating Position</w:t>
            </w:r>
          </w:p>
        </w:tc>
      </w:tr>
      <w:tr w:rsidR="00A15C2C" w14:paraId="23FB5375" w14:textId="77777777" w:rsidTr="008C348F">
        <w:tc>
          <w:tcPr>
            <w:tcW w:w="2065" w:type="dxa"/>
          </w:tcPr>
          <w:p w14:paraId="6D16F88C" w14:textId="77777777" w:rsidR="00585F7F" w:rsidRDefault="000F5B51" w:rsidP="008C348F">
            <w:pPr>
              <w:spacing w:line="240" w:lineRule="auto"/>
            </w:pPr>
            <w:r>
              <w:t>Front Seat – Left (Driver’s Side)</w:t>
            </w:r>
          </w:p>
        </w:tc>
        <w:tc>
          <w:tcPr>
            <w:tcW w:w="7285" w:type="dxa"/>
          </w:tcPr>
          <w:p w14:paraId="254A0700" w14:textId="77777777" w:rsidR="00585F7F" w:rsidRDefault="000F5B51" w:rsidP="008C348F">
            <w:pPr>
              <w:spacing w:line="240" w:lineRule="auto"/>
            </w:pPr>
            <w:r>
              <w:t>SEATPOS=11</w:t>
            </w:r>
          </w:p>
        </w:tc>
      </w:tr>
      <w:tr w:rsidR="00A15C2C" w14:paraId="24EA7CD6" w14:textId="77777777" w:rsidTr="008C348F">
        <w:tc>
          <w:tcPr>
            <w:tcW w:w="2065" w:type="dxa"/>
          </w:tcPr>
          <w:p w14:paraId="7BBD7BC7" w14:textId="77777777" w:rsidR="00585F7F" w:rsidRDefault="000F5B51" w:rsidP="008C348F">
            <w:pPr>
              <w:spacing w:line="240" w:lineRule="auto"/>
            </w:pPr>
            <w:r>
              <w:t>Front Seat - Right</w:t>
            </w:r>
          </w:p>
        </w:tc>
        <w:tc>
          <w:tcPr>
            <w:tcW w:w="7285" w:type="dxa"/>
          </w:tcPr>
          <w:p w14:paraId="2F427E0D" w14:textId="77777777" w:rsidR="00585F7F" w:rsidRDefault="000F5B51" w:rsidP="008C348F">
            <w:pPr>
              <w:spacing w:line="240" w:lineRule="auto"/>
            </w:pPr>
            <w:r>
              <w:t>SEATPOS=13</w:t>
            </w:r>
          </w:p>
        </w:tc>
      </w:tr>
      <w:tr w:rsidR="00A15C2C" w14:paraId="217FBD9D" w14:textId="77777777" w:rsidTr="008C348F">
        <w:tc>
          <w:tcPr>
            <w:tcW w:w="2065" w:type="dxa"/>
          </w:tcPr>
          <w:p w14:paraId="52C3D57D" w14:textId="77777777" w:rsidR="00585F7F" w:rsidRDefault="000F5B51" w:rsidP="008C348F">
            <w:pPr>
              <w:spacing w:line="240" w:lineRule="auto"/>
            </w:pPr>
            <w:r>
              <w:t>Front Seat – Other/Unknown</w:t>
            </w:r>
          </w:p>
        </w:tc>
        <w:tc>
          <w:tcPr>
            <w:tcW w:w="7285" w:type="dxa"/>
          </w:tcPr>
          <w:p w14:paraId="3DE1FBA5" w14:textId="77777777" w:rsidR="00585F7F" w:rsidRDefault="000F5B51" w:rsidP="008C348F">
            <w:pPr>
              <w:spacing w:line="240" w:lineRule="auto"/>
            </w:pPr>
            <w:r>
              <w:t>SEATPOS IN (12,18,19)</w:t>
            </w:r>
          </w:p>
        </w:tc>
      </w:tr>
      <w:tr w:rsidR="00A15C2C" w14:paraId="551EAB84" w14:textId="77777777" w:rsidTr="008C348F">
        <w:tc>
          <w:tcPr>
            <w:tcW w:w="2065" w:type="dxa"/>
          </w:tcPr>
          <w:p w14:paraId="3C99ED41" w14:textId="77777777" w:rsidR="00585F7F" w:rsidRDefault="000F5B51" w:rsidP="008C348F">
            <w:pPr>
              <w:spacing w:line="240" w:lineRule="auto"/>
            </w:pPr>
            <w:r>
              <w:t>Rear Seats</w:t>
            </w:r>
          </w:p>
        </w:tc>
        <w:tc>
          <w:tcPr>
            <w:tcW w:w="7285" w:type="dxa"/>
          </w:tcPr>
          <w:p w14:paraId="782F9972" w14:textId="77777777" w:rsidR="00585F7F" w:rsidRDefault="000F5B51" w:rsidP="008C348F">
            <w:pPr>
              <w:spacing w:line="240" w:lineRule="auto"/>
            </w:pPr>
            <w:r>
              <w:t>SEATPOS IN (21-59)</w:t>
            </w:r>
          </w:p>
        </w:tc>
      </w:tr>
      <w:tr w:rsidR="00A15C2C" w14:paraId="13262D03" w14:textId="77777777" w:rsidTr="008C348F">
        <w:tc>
          <w:tcPr>
            <w:tcW w:w="2065" w:type="dxa"/>
          </w:tcPr>
          <w:p w14:paraId="14A6BF99" w14:textId="77777777" w:rsidR="00585F7F" w:rsidRDefault="000F5B51" w:rsidP="008C348F">
            <w:pPr>
              <w:spacing w:line="240" w:lineRule="auto"/>
            </w:pPr>
            <w:r>
              <w:t>Other</w:t>
            </w:r>
          </w:p>
        </w:tc>
        <w:tc>
          <w:tcPr>
            <w:tcW w:w="7285" w:type="dxa"/>
          </w:tcPr>
          <w:p w14:paraId="5C10FF7C" w14:textId="77777777" w:rsidR="00585F7F" w:rsidRDefault="000F5B51" w:rsidP="008C348F">
            <w:pPr>
              <w:spacing w:line="240" w:lineRule="auto"/>
            </w:pPr>
            <w:r>
              <w:t>SEATPOS IN (97,98)</w:t>
            </w:r>
          </w:p>
        </w:tc>
      </w:tr>
      <w:tr w:rsidR="00A15C2C" w14:paraId="7FE7566E" w14:textId="77777777" w:rsidTr="008C348F">
        <w:tc>
          <w:tcPr>
            <w:tcW w:w="2065" w:type="dxa"/>
          </w:tcPr>
          <w:p w14:paraId="3A999452" w14:textId="77777777" w:rsidR="00585F7F" w:rsidRDefault="000F5B51" w:rsidP="008C348F">
            <w:pPr>
              <w:spacing w:line="240" w:lineRule="auto"/>
            </w:pPr>
            <w:r>
              <w:t>Unknown</w:t>
            </w:r>
          </w:p>
        </w:tc>
        <w:tc>
          <w:tcPr>
            <w:tcW w:w="7285" w:type="dxa"/>
          </w:tcPr>
          <w:p w14:paraId="30DBEB87" w14:textId="77777777" w:rsidR="00585F7F" w:rsidRDefault="000F5B51" w:rsidP="008C348F">
            <w:pPr>
              <w:spacing w:line="240" w:lineRule="auto"/>
            </w:pPr>
            <w:r>
              <w:t>SEATPOS=99</w:t>
            </w:r>
          </w:p>
        </w:tc>
      </w:tr>
      <w:tr w:rsidR="00A15C2C" w14:paraId="38A1D45D" w14:textId="77777777" w:rsidTr="008C348F">
        <w:tc>
          <w:tcPr>
            <w:tcW w:w="9350" w:type="dxa"/>
            <w:gridSpan w:val="2"/>
          </w:tcPr>
          <w:p w14:paraId="68EBC999" w14:textId="77777777" w:rsidR="00585F7F" w:rsidRDefault="000F5B51" w:rsidP="008C348F">
            <w:pPr>
              <w:spacing w:line="240" w:lineRule="auto"/>
            </w:pPr>
            <w:r w:rsidRPr="00EB2F76">
              <w:rPr>
                <w:b/>
                <w:bCs/>
                <w:i/>
                <w:iCs/>
              </w:rPr>
              <w:t>Restraint Use</w:t>
            </w:r>
          </w:p>
        </w:tc>
      </w:tr>
      <w:tr w:rsidR="00A15C2C" w14:paraId="43A7CF34" w14:textId="77777777" w:rsidTr="008C348F">
        <w:tc>
          <w:tcPr>
            <w:tcW w:w="2065" w:type="dxa"/>
          </w:tcPr>
          <w:p w14:paraId="335CCF33" w14:textId="77777777" w:rsidR="00585F7F" w:rsidRDefault="000F5B51" w:rsidP="008C348F">
            <w:pPr>
              <w:spacing w:line="240" w:lineRule="auto"/>
            </w:pPr>
            <w:r>
              <w:t>Restrained</w:t>
            </w:r>
          </w:p>
        </w:tc>
        <w:tc>
          <w:tcPr>
            <w:tcW w:w="7285" w:type="dxa"/>
          </w:tcPr>
          <w:p w14:paraId="0A85A216" w14:textId="77777777" w:rsidR="00585F7F" w:rsidRDefault="000F5B51" w:rsidP="008C348F">
            <w:pPr>
              <w:spacing w:line="240" w:lineRule="auto"/>
            </w:pPr>
            <w:r>
              <w:t>MAN</w:t>
            </w:r>
            <w:r w:rsidRPr="00EB2F76">
              <w:t>USE IN (</w:t>
            </w:r>
            <w:r>
              <w:t>2,3,4,5,8,12,13,14,15,18</w:t>
            </w:r>
            <w:r w:rsidRPr="00EB2F76">
              <w:t>)</w:t>
            </w:r>
          </w:p>
        </w:tc>
      </w:tr>
      <w:tr w:rsidR="00A15C2C" w14:paraId="646B4F2A" w14:textId="77777777" w:rsidTr="008C348F">
        <w:tc>
          <w:tcPr>
            <w:tcW w:w="2065" w:type="dxa"/>
          </w:tcPr>
          <w:p w14:paraId="17C4D3FC" w14:textId="77777777" w:rsidR="00585F7F" w:rsidRDefault="000F5B51" w:rsidP="008C348F">
            <w:pPr>
              <w:spacing w:line="240" w:lineRule="auto"/>
            </w:pPr>
            <w:r>
              <w:t>Unrestrained</w:t>
            </w:r>
          </w:p>
        </w:tc>
        <w:tc>
          <w:tcPr>
            <w:tcW w:w="7285" w:type="dxa"/>
          </w:tcPr>
          <w:p w14:paraId="75053912" w14:textId="77777777" w:rsidR="00585F7F" w:rsidRDefault="000F5B51" w:rsidP="008C348F">
            <w:pPr>
              <w:spacing w:line="240" w:lineRule="auto"/>
            </w:pPr>
            <w:r>
              <w:t>MAN</w:t>
            </w:r>
            <w:r w:rsidRPr="00EB2F76">
              <w:t>USE IN (0,</w:t>
            </w:r>
            <w:r>
              <w:t>1</w:t>
            </w:r>
            <w:r w:rsidRPr="00EB2F76">
              <w:t>)</w:t>
            </w:r>
          </w:p>
        </w:tc>
      </w:tr>
      <w:tr w:rsidR="00A15C2C" w14:paraId="4C4D7AC9" w14:textId="77777777" w:rsidTr="008C348F">
        <w:tc>
          <w:tcPr>
            <w:tcW w:w="9350" w:type="dxa"/>
            <w:gridSpan w:val="2"/>
          </w:tcPr>
          <w:p w14:paraId="03C8E031" w14:textId="77777777" w:rsidR="00585F7F" w:rsidRDefault="000F5B51" w:rsidP="008C348F">
            <w:pPr>
              <w:spacing w:line="240" w:lineRule="auto"/>
            </w:pPr>
            <w:r w:rsidRPr="00BE7A90">
              <w:rPr>
                <w:b/>
                <w:bCs/>
                <w:i/>
                <w:iCs/>
              </w:rPr>
              <w:t xml:space="preserve">Rollover/Direction </w:t>
            </w:r>
            <w:r>
              <w:rPr>
                <w:b/>
                <w:bCs/>
                <w:i/>
                <w:iCs/>
              </w:rPr>
              <w:t>o</w:t>
            </w:r>
            <w:r w:rsidRPr="00BE7A90">
              <w:rPr>
                <w:b/>
                <w:bCs/>
                <w:i/>
                <w:iCs/>
              </w:rPr>
              <w:t>f Force (Highest)</w:t>
            </w:r>
          </w:p>
        </w:tc>
      </w:tr>
      <w:tr w:rsidR="00A15C2C" w14:paraId="39B9A5F6" w14:textId="77777777" w:rsidTr="008C348F">
        <w:tc>
          <w:tcPr>
            <w:tcW w:w="2065" w:type="dxa"/>
          </w:tcPr>
          <w:p w14:paraId="536C59B2" w14:textId="77777777" w:rsidR="00585F7F" w:rsidRDefault="000F5B51" w:rsidP="008C348F">
            <w:pPr>
              <w:spacing w:line="240" w:lineRule="auto"/>
            </w:pPr>
            <w:r>
              <w:t>Rollover</w:t>
            </w:r>
          </w:p>
        </w:tc>
        <w:tc>
          <w:tcPr>
            <w:tcW w:w="7285" w:type="dxa"/>
          </w:tcPr>
          <w:p w14:paraId="7EB9D1FC" w14:textId="77777777" w:rsidR="00585F7F" w:rsidRDefault="000F5B51" w:rsidP="008C348F">
            <w:pPr>
              <w:spacing w:line="240" w:lineRule="auto"/>
            </w:pPr>
            <w:r w:rsidRPr="00BE7A90">
              <w:t>ROLLOVER IN (1</w:t>
            </w:r>
            <w:r>
              <w:t>-</w:t>
            </w:r>
            <w:r w:rsidRPr="00BE7A90">
              <w:t>17,98,99,.U)</w:t>
            </w:r>
          </w:p>
        </w:tc>
      </w:tr>
      <w:tr w:rsidR="00A15C2C" w14:paraId="4A7CFC0B" w14:textId="77777777" w:rsidTr="008C348F">
        <w:tc>
          <w:tcPr>
            <w:tcW w:w="2065" w:type="dxa"/>
          </w:tcPr>
          <w:p w14:paraId="22209A1F" w14:textId="77777777" w:rsidR="00585F7F" w:rsidRPr="000C18C1" w:rsidRDefault="000F5B51" w:rsidP="008C348F">
            <w:pPr>
              <w:spacing w:line="240" w:lineRule="auto"/>
              <w:rPr>
                <w:b/>
                <w:bCs/>
                <w:i/>
                <w:iCs/>
              </w:rPr>
            </w:pPr>
            <w:r>
              <w:t xml:space="preserve">     </w:t>
            </w:r>
            <w:r w:rsidRPr="000C18C1">
              <w:rPr>
                <w:b/>
                <w:bCs/>
                <w:i/>
                <w:iCs/>
              </w:rPr>
              <w:t>ELSE</w:t>
            </w:r>
          </w:p>
        </w:tc>
        <w:tc>
          <w:tcPr>
            <w:tcW w:w="7285" w:type="dxa"/>
          </w:tcPr>
          <w:p w14:paraId="57C5633D" w14:textId="77777777" w:rsidR="00585F7F" w:rsidRPr="000C18C1" w:rsidRDefault="00585F7F" w:rsidP="008C348F">
            <w:pPr>
              <w:spacing w:line="240" w:lineRule="auto"/>
            </w:pPr>
          </w:p>
        </w:tc>
      </w:tr>
      <w:tr w:rsidR="00A15C2C" w14:paraId="0F0B77AA" w14:textId="77777777" w:rsidTr="008C348F">
        <w:tc>
          <w:tcPr>
            <w:tcW w:w="2065" w:type="dxa"/>
          </w:tcPr>
          <w:p w14:paraId="37DE0684" w14:textId="77777777" w:rsidR="00585F7F" w:rsidRDefault="000F5B51" w:rsidP="008C348F">
            <w:pPr>
              <w:spacing w:line="240" w:lineRule="auto"/>
            </w:pPr>
            <w:r>
              <w:t>Front Impact</w:t>
            </w:r>
          </w:p>
        </w:tc>
        <w:tc>
          <w:tcPr>
            <w:tcW w:w="7285" w:type="dxa"/>
          </w:tcPr>
          <w:p w14:paraId="5BACCB98" w14:textId="77777777" w:rsidR="00585F7F" w:rsidRDefault="000F5B51" w:rsidP="008C348F">
            <w:pPr>
              <w:spacing w:line="240" w:lineRule="auto"/>
            </w:pPr>
            <w:r w:rsidRPr="00BE7A90">
              <w:t>DOF1 IN (1,11,12,21,31,32,41,51,52,61,71,72,81,91,92)</w:t>
            </w:r>
          </w:p>
        </w:tc>
      </w:tr>
      <w:tr w:rsidR="00A15C2C" w14:paraId="73B583C3" w14:textId="77777777" w:rsidTr="008C348F">
        <w:tc>
          <w:tcPr>
            <w:tcW w:w="2065" w:type="dxa"/>
          </w:tcPr>
          <w:p w14:paraId="45FA6862" w14:textId="77777777" w:rsidR="00585F7F" w:rsidRDefault="000F5B51" w:rsidP="008C348F">
            <w:pPr>
              <w:spacing w:line="240" w:lineRule="auto"/>
            </w:pPr>
            <w:r>
              <w:t>Side Impact</w:t>
            </w:r>
          </w:p>
        </w:tc>
        <w:tc>
          <w:tcPr>
            <w:tcW w:w="7285" w:type="dxa"/>
          </w:tcPr>
          <w:p w14:paraId="32835736" w14:textId="77777777" w:rsidR="00585F7F" w:rsidRDefault="000F5B51" w:rsidP="008C348F">
            <w:pPr>
              <w:spacing w:line="240" w:lineRule="auto"/>
            </w:pPr>
            <w:r w:rsidRPr="00BE7A90">
              <w:t>DOF1 IN (</w:t>
            </w:r>
            <w:r>
              <w:t>2,3,4,</w:t>
            </w:r>
            <w:r w:rsidRPr="00BE7A90">
              <w:t>8,9,10,</w:t>
            </w:r>
            <w:r>
              <w:t>22,23,24,</w:t>
            </w:r>
            <w:r w:rsidRPr="00BE7A90">
              <w:t>28,29,30,</w:t>
            </w:r>
            <w:r>
              <w:t>42,43,44,</w:t>
            </w:r>
            <w:r w:rsidRPr="00BE7A90">
              <w:t>48,49,50,</w:t>
            </w:r>
            <w:r>
              <w:t xml:space="preserve"> 62,63,64,</w:t>
            </w:r>
            <w:r w:rsidRPr="00BE7A90">
              <w:t>68,69,70,</w:t>
            </w:r>
            <w:r>
              <w:t>82,83,84,</w:t>
            </w:r>
            <w:r w:rsidRPr="00BE7A90">
              <w:t>88,89,90)</w:t>
            </w:r>
          </w:p>
        </w:tc>
      </w:tr>
      <w:tr w:rsidR="00A15C2C" w14:paraId="3054CA1B" w14:textId="77777777" w:rsidTr="008C348F">
        <w:tc>
          <w:tcPr>
            <w:tcW w:w="2065" w:type="dxa"/>
          </w:tcPr>
          <w:p w14:paraId="158CC52E" w14:textId="77777777" w:rsidR="00585F7F" w:rsidRDefault="000F5B51" w:rsidP="008C348F">
            <w:pPr>
              <w:spacing w:line="240" w:lineRule="auto"/>
            </w:pPr>
            <w:r>
              <w:t>Rear Impact</w:t>
            </w:r>
          </w:p>
        </w:tc>
        <w:tc>
          <w:tcPr>
            <w:tcW w:w="7285" w:type="dxa"/>
          </w:tcPr>
          <w:p w14:paraId="54753A92" w14:textId="77777777" w:rsidR="00585F7F" w:rsidRDefault="000F5B51" w:rsidP="008C348F">
            <w:pPr>
              <w:spacing w:line="240" w:lineRule="auto"/>
            </w:pPr>
            <w:r w:rsidRPr="00BE7A90">
              <w:t>DOF1 IN (5,6,7,25,26,27,45,46,47,65,66,67,85,86,87)</w:t>
            </w:r>
          </w:p>
        </w:tc>
      </w:tr>
    </w:tbl>
    <w:p w14:paraId="3FDA4A32" w14:textId="19900E38" w:rsidR="001D6419" w:rsidRDefault="001D6419" w:rsidP="00585F7F"/>
    <w:p w14:paraId="467E2EDE" w14:textId="71D8E126" w:rsidR="00F1151E" w:rsidRDefault="00F1151E" w:rsidP="00585F7F"/>
    <w:p w14:paraId="28425B3A" w14:textId="246CAB00" w:rsidR="00F1151E" w:rsidRDefault="00F1151E" w:rsidP="00585F7F"/>
    <w:p w14:paraId="77E8F41E" w14:textId="0D9232E6" w:rsidR="00F1151E" w:rsidRDefault="00F1151E" w:rsidP="00585F7F"/>
    <w:p w14:paraId="3CB760DF" w14:textId="3EE1A4CB" w:rsidR="00F1151E" w:rsidRDefault="00F1151E" w:rsidP="00585F7F"/>
    <w:p w14:paraId="717BDE87" w14:textId="07E458EB" w:rsidR="00F1151E" w:rsidRDefault="00F1151E" w:rsidP="00585F7F"/>
    <w:p w14:paraId="5E33D283" w14:textId="77777777" w:rsidR="00F1151E" w:rsidRPr="001D6419" w:rsidRDefault="00F1151E" w:rsidP="00585F7F"/>
    <w:p w14:paraId="345D3895" w14:textId="77777777" w:rsidR="001D6419" w:rsidRDefault="000F5B51" w:rsidP="00585F7F">
      <w:pPr>
        <w:pStyle w:val="Heading2"/>
        <w:spacing w:line="240" w:lineRule="auto"/>
      </w:pPr>
      <w:bookmarkStart w:id="2080" w:name="_Toc142903022"/>
      <w:r>
        <w:lastRenderedPageBreak/>
        <w:t xml:space="preserve">Appendix </w:t>
      </w:r>
      <w:r w:rsidR="003D0E0E">
        <w:t>J</w:t>
      </w:r>
      <w:bookmarkEnd w:id="2080"/>
    </w:p>
    <w:p w14:paraId="77506C7D" w14:textId="77777777" w:rsidR="001D6419" w:rsidRDefault="000F5B51" w:rsidP="001D6419">
      <w:pPr>
        <w:keepNext/>
        <w:tabs>
          <w:tab w:val="center" w:pos="4680"/>
          <w:tab w:val="center" w:pos="7200"/>
        </w:tabs>
        <w:spacing w:line="240" w:lineRule="auto"/>
        <w:jc w:val="center"/>
      </w:pPr>
      <w:r>
        <w:t>Fatality Reduction by 3-Point Belts for Rear Seat Passengers</w:t>
      </w:r>
    </w:p>
    <w:p w14:paraId="635EF8BC" w14:textId="77777777" w:rsidR="001D6419" w:rsidRDefault="000F5B51" w:rsidP="001D6419">
      <w:pPr>
        <w:keepNext/>
        <w:tabs>
          <w:tab w:val="center" w:pos="4680"/>
          <w:tab w:val="center" w:pos="7200"/>
        </w:tabs>
        <w:spacing w:line="240" w:lineRule="auto"/>
        <w:jc w:val="center"/>
      </w:pPr>
      <w:r>
        <w:t>Children 6 to 10 Years Old Versus Other Passengers</w:t>
      </w:r>
    </w:p>
    <w:p w14:paraId="4D7931EB" w14:textId="77777777" w:rsidR="001D6419" w:rsidRDefault="001D6419" w:rsidP="001D6419">
      <w:pPr>
        <w:keepNext/>
        <w:tabs>
          <w:tab w:val="center" w:pos="4680"/>
          <w:tab w:val="center" w:pos="7200"/>
        </w:tabs>
      </w:pPr>
    </w:p>
    <w:p w14:paraId="3D7CD43F" w14:textId="77777777" w:rsidR="001D6419" w:rsidRPr="00A9209F" w:rsidRDefault="000F5B51" w:rsidP="001D6419">
      <w:r w:rsidRPr="00A9209F">
        <w:t>Chuck Kahane</w:t>
      </w:r>
    </w:p>
    <w:p w14:paraId="78E7407C" w14:textId="77777777" w:rsidR="001D6419" w:rsidRPr="00A9209F" w:rsidRDefault="000F5B51" w:rsidP="001D6419">
      <w:r w:rsidRPr="00A9209F">
        <w:t>August 31, 2018</w:t>
      </w:r>
    </w:p>
    <w:p w14:paraId="5AA1DFD0" w14:textId="77777777" w:rsidR="001D6419" w:rsidRPr="00A9209F" w:rsidRDefault="001D6419" w:rsidP="001D6419"/>
    <w:p w14:paraId="0F1417B1" w14:textId="77777777" w:rsidR="001D6419" w:rsidRPr="00A9209F" w:rsidRDefault="000F5B51" w:rsidP="001D6419">
      <w:r w:rsidRPr="00A9209F">
        <w:t>The database is the same as in the 2017 evaluation of seat belts in the center rear seat, except for extension from 1990-to-2014 FARS to 1990-to-2016 FARS.</w:t>
      </w:r>
      <w:r>
        <w:footnoteReference w:id="94"/>
      </w:r>
      <w:r w:rsidRPr="00A9209F">
        <w:t xml:space="preserve"> The database consists of driver-rear passenger pairs, riding in the same vehicle; 3-point belts are available for the driver and the passenger, and a frontal air bag for the driver. The analysis compares the fatality status of the driver and passenger, when either one, both, or none are belted.</w:t>
      </w:r>
    </w:p>
    <w:p w14:paraId="10DD8EB6" w14:textId="77777777" w:rsidR="001D6419" w:rsidRPr="00A9209F" w:rsidRDefault="000F5B51" w:rsidP="001D6419">
      <w:r w:rsidRPr="00A9209F">
        <w:t>Fatality reduction for 3-point belts in the rear seat can be estimated by double pair comparison analysis or by logistic regression that mimics double-pair comparison</w:t>
      </w:r>
      <w:r w:rsidR="001F2F92">
        <w:t xml:space="preserve">. </w:t>
      </w:r>
      <w:r w:rsidRPr="00A9209F">
        <w:t>The logistic regressions are the primary estimates because they control for driver and passenger age and gender and they establish confidence bounds and allow statistical tests</w:t>
      </w:r>
      <w:r w:rsidR="001F2F92">
        <w:t xml:space="preserve">. </w:t>
      </w:r>
      <w:r w:rsidRPr="00A9209F">
        <w:t>However, I also present the double pair comparisons because they are a simpler technique and provide corroboration for the logistic regressions.</w:t>
      </w:r>
    </w:p>
    <w:p w14:paraId="1EB89271" w14:textId="77777777" w:rsidR="001D6419" w:rsidRDefault="000F5B51" w:rsidP="001D6419">
      <w:pPr>
        <w:keepNext/>
        <w:tabs>
          <w:tab w:val="center" w:pos="5940"/>
          <w:tab w:val="center" w:pos="7200"/>
        </w:tabs>
        <w:spacing w:after="0" w:line="240" w:lineRule="auto"/>
      </w:pPr>
      <w:r>
        <w:lastRenderedPageBreak/>
        <w:tab/>
        <w:t>Fatality Reduction (%)</w:t>
      </w:r>
    </w:p>
    <w:p w14:paraId="29D6C6FA" w14:textId="77777777" w:rsidR="001D6419" w:rsidRDefault="000F5B51" w:rsidP="001D6419">
      <w:pPr>
        <w:keepNext/>
        <w:tabs>
          <w:tab w:val="center" w:pos="5940"/>
          <w:tab w:val="center" w:pos="7200"/>
        </w:tabs>
        <w:spacing w:after="0" w:line="240" w:lineRule="auto"/>
      </w:pPr>
      <w:r>
        <w:t>Double Pair</w:t>
      </w:r>
    </w:p>
    <w:p w14:paraId="2F9C3B10" w14:textId="77777777" w:rsidR="001D6419" w:rsidRDefault="000F5B51" w:rsidP="001D6419">
      <w:pPr>
        <w:keepNext/>
        <w:tabs>
          <w:tab w:val="center" w:pos="4680"/>
          <w:tab w:val="center" w:pos="7200"/>
        </w:tabs>
        <w:spacing w:after="0" w:line="240" w:lineRule="auto"/>
      </w:pPr>
      <w:r>
        <w:t>Comparison</w:t>
      </w:r>
      <w:r>
        <w:tab/>
        <w:t>Passenger Cars</w:t>
      </w:r>
      <w:r>
        <w:tab/>
        <w:t>LTVs</w:t>
      </w:r>
    </w:p>
    <w:p w14:paraId="1792B147" w14:textId="77777777" w:rsidR="001D6419" w:rsidRDefault="001D6419" w:rsidP="001D6419">
      <w:pPr>
        <w:keepNext/>
        <w:tabs>
          <w:tab w:val="left" w:pos="360"/>
          <w:tab w:val="left" w:pos="720"/>
          <w:tab w:val="left" w:pos="1080"/>
          <w:tab w:val="center" w:pos="4680"/>
          <w:tab w:val="center" w:pos="7200"/>
        </w:tabs>
        <w:spacing w:after="0" w:line="240" w:lineRule="auto"/>
      </w:pPr>
    </w:p>
    <w:p w14:paraId="71A7A9D0" w14:textId="77777777" w:rsidR="001D6419" w:rsidRDefault="000F5B51" w:rsidP="001D6419">
      <w:pPr>
        <w:keepNext/>
        <w:tabs>
          <w:tab w:val="left" w:pos="360"/>
          <w:tab w:val="left" w:pos="720"/>
          <w:tab w:val="left" w:pos="1080"/>
          <w:tab w:val="center" w:pos="4680"/>
          <w:tab w:val="center" w:pos="7200"/>
        </w:tabs>
        <w:spacing w:after="0" w:line="240" w:lineRule="auto"/>
      </w:pPr>
      <w:r>
        <w:t>All rear seat passengers</w:t>
      </w:r>
      <w:r>
        <w:tab/>
        <w:t>57</w:t>
      </w:r>
      <w:r>
        <w:tab/>
        <w:t>74</w:t>
      </w:r>
    </w:p>
    <w:p w14:paraId="482A732B" w14:textId="77777777" w:rsidR="001D6419" w:rsidRDefault="000F5B51" w:rsidP="001D6419">
      <w:pPr>
        <w:keepNext/>
        <w:tabs>
          <w:tab w:val="left" w:pos="360"/>
          <w:tab w:val="left" w:pos="720"/>
          <w:tab w:val="left" w:pos="1080"/>
          <w:tab w:val="center" w:pos="4680"/>
          <w:tab w:val="center" w:pos="7200"/>
        </w:tabs>
        <w:spacing w:after="0" w:line="240" w:lineRule="auto"/>
      </w:pPr>
      <w:r>
        <w:t>Outboard</w:t>
      </w:r>
      <w:r>
        <w:tab/>
      </w:r>
      <w:r>
        <w:tab/>
        <w:t>57</w:t>
      </w:r>
      <w:r>
        <w:tab/>
        <w:t>74</w:t>
      </w:r>
    </w:p>
    <w:p w14:paraId="1F9113F6" w14:textId="77777777" w:rsidR="001D6419" w:rsidRDefault="000F5B51" w:rsidP="001D6419">
      <w:pPr>
        <w:keepNext/>
        <w:tabs>
          <w:tab w:val="left" w:pos="360"/>
          <w:tab w:val="left" w:pos="720"/>
          <w:tab w:val="left" w:pos="1080"/>
          <w:tab w:val="center" w:pos="4680"/>
          <w:tab w:val="center" w:pos="7200"/>
        </w:tabs>
        <w:spacing w:after="0" w:line="240" w:lineRule="auto"/>
      </w:pPr>
      <w:r>
        <w:t>Center</w:t>
      </w:r>
      <w:r>
        <w:tab/>
      </w:r>
      <w:r>
        <w:tab/>
      </w:r>
      <w:r>
        <w:tab/>
        <w:t>63</w:t>
      </w:r>
      <w:r>
        <w:tab/>
        <w:t>75</w:t>
      </w:r>
    </w:p>
    <w:p w14:paraId="1BB787F4" w14:textId="77777777" w:rsidR="001D6419" w:rsidRDefault="000F5B51" w:rsidP="001D6419">
      <w:pPr>
        <w:keepNext/>
        <w:tabs>
          <w:tab w:val="left" w:pos="360"/>
          <w:tab w:val="left" w:pos="720"/>
          <w:tab w:val="left" w:pos="1080"/>
          <w:tab w:val="center" w:pos="4680"/>
          <w:tab w:val="center" w:pos="7200"/>
        </w:tabs>
        <w:spacing w:after="0" w:line="240" w:lineRule="auto"/>
      </w:pPr>
      <w:r>
        <w:t>6-10 (all rear seats)</w:t>
      </w:r>
      <w:r>
        <w:tab/>
        <w:t>48</w:t>
      </w:r>
      <w:r>
        <w:tab/>
        <w:t>70</w:t>
      </w:r>
    </w:p>
    <w:p w14:paraId="6AE76F55" w14:textId="77777777" w:rsidR="001D6419" w:rsidRDefault="000F5B51" w:rsidP="001D6419">
      <w:pPr>
        <w:keepNext/>
        <w:tabs>
          <w:tab w:val="left" w:pos="360"/>
          <w:tab w:val="left" w:pos="720"/>
          <w:tab w:val="left" w:pos="1080"/>
          <w:tab w:val="center" w:pos="4680"/>
          <w:tab w:val="center" w:pos="7200"/>
        </w:tabs>
        <w:spacing w:after="0" w:line="240" w:lineRule="auto"/>
      </w:pPr>
      <w:r>
        <w:t>11+ (all rear seats)</w:t>
      </w:r>
      <w:r>
        <w:tab/>
        <w:t>56</w:t>
      </w:r>
      <w:r>
        <w:tab/>
        <w:t>74</w:t>
      </w:r>
    </w:p>
    <w:p w14:paraId="4BA70BF6" w14:textId="77777777" w:rsidR="001D6419" w:rsidRDefault="000F5B51" w:rsidP="001D6419">
      <w:pPr>
        <w:keepNext/>
        <w:tabs>
          <w:tab w:val="left" w:pos="360"/>
          <w:tab w:val="left" w:pos="720"/>
          <w:tab w:val="left" w:pos="1080"/>
          <w:tab w:val="center" w:pos="4680"/>
          <w:tab w:val="center" w:pos="7200"/>
        </w:tabs>
        <w:spacing w:after="0" w:line="240" w:lineRule="auto"/>
      </w:pPr>
      <w:r>
        <w:t>Outboard</w:t>
      </w:r>
    </w:p>
    <w:p w14:paraId="6282AE69" w14:textId="77777777" w:rsidR="001D6419" w:rsidRDefault="000F5B51" w:rsidP="001D6419">
      <w:pPr>
        <w:keepNext/>
        <w:tabs>
          <w:tab w:val="left" w:pos="360"/>
          <w:tab w:val="left" w:pos="720"/>
          <w:tab w:val="left" w:pos="1080"/>
          <w:tab w:val="center" w:pos="4680"/>
          <w:tab w:val="center" w:pos="7200"/>
        </w:tabs>
        <w:spacing w:after="0" w:line="240" w:lineRule="auto"/>
      </w:pPr>
      <w:r>
        <w:tab/>
        <w:t>6-10</w:t>
      </w:r>
      <w:r>
        <w:tab/>
      </w:r>
      <w:r>
        <w:tab/>
        <w:t>48</w:t>
      </w:r>
      <w:r>
        <w:tab/>
        <w:t>70</w:t>
      </w:r>
    </w:p>
    <w:p w14:paraId="4A69EE60" w14:textId="77777777" w:rsidR="001D6419" w:rsidRDefault="000F5B51" w:rsidP="001D6419">
      <w:pPr>
        <w:keepNext/>
        <w:tabs>
          <w:tab w:val="left" w:pos="360"/>
          <w:tab w:val="left" w:pos="720"/>
          <w:tab w:val="left" w:pos="1080"/>
          <w:tab w:val="center" w:pos="4680"/>
          <w:tab w:val="center" w:pos="7200"/>
        </w:tabs>
        <w:spacing w:after="0" w:line="240" w:lineRule="auto"/>
      </w:pPr>
      <w:r>
        <w:tab/>
        <w:t>11+</w:t>
      </w:r>
      <w:r>
        <w:tab/>
      </w:r>
      <w:r>
        <w:tab/>
        <w:t>56</w:t>
      </w:r>
      <w:r>
        <w:tab/>
        <w:t>74</w:t>
      </w:r>
    </w:p>
    <w:p w14:paraId="5CEAB8DB" w14:textId="77777777" w:rsidR="001D6419" w:rsidRDefault="000F5B51" w:rsidP="001D6419">
      <w:pPr>
        <w:keepNext/>
        <w:tabs>
          <w:tab w:val="left" w:pos="360"/>
          <w:tab w:val="left" w:pos="720"/>
          <w:tab w:val="left" w:pos="1080"/>
          <w:tab w:val="center" w:pos="4680"/>
          <w:tab w:val="center" w:pos="7200"/>
        </w:tabs>
        <w:spacing w:after="0" w:line="240" w:lineRule="auto"/>
      </w:pPr>
      <w:r>
        <w:t>Center</w:t>
      </w:r>
    </w:p>
    <w:p w14:paraId="33C29D8C" w14:textId="77777777" w:rsidR="001D6419" w:rsidRDefault="000F5B51" w:rsidP="001D6419">
      <w:pPr>
        <w:keepNext/>
        <w:tabs>
          <w:tab w:val="left" w:pos="360"/>
          <w:tab w:val="left" w:pos="720"/>
          <w:tab w:val="left" w:pos="1080"/>
          <w:tab w:val="center" w:pos="4680"/>
          <w:tab w:val="center" w:pos="7200"/>
        </w:tabs>
        <w:spacing w:after="0" w:line="240" w:lineRule="auto"/>
      </w:pPr>
      <w:r>
        <w:tab/>
        <w:t>6-10</w:t>
      </w:r>
      <w:r>
        <w:tab/>
      </w:r>
      <w:r>
        <w:tab/>
        <w:t>53</w:t>
      </w:r>
      <w:r>
        <w:tab/>
        <w:t>79</w:t>
      </w:r>
    </w:p>
    <w:p w14:paraId="4C22E497" w14:textId="77777777" w:rsidR="001D6419" w:rsidRDefault="000F5B51" w:rsidP="001D6419">
      <w:pPr>
        <w:tabs>
          <w:tab w:val="left" w:pos="360"/>
          <w:tab w:val="left" w:pos="720"/>
          <w:tab w:val="left" w:pos="1080"/>
          <w:tab w:val="center" w:pos="4680"/>
          <w:tab w:val="center" w:pos="7200"/>
        </w:tabs>
        <w:spacing w:after="0" w:line="240" w:lineRule="auto"/>
      </w:pPr>
      <w:r>
        <w:tab/>
        <w:t>11+</w:t>
      </w:r>
      <w:r>
        <w:tab/>
      </w:r>
      <w:r>
        <w:tab/>
        <w:t>62</w:t>
      </w:r>
      <w:r>
        <w:tab/>
        <w:t>74</w:t>
      </w:r>
    </w:p>
    <w:p w14:paraId="71A861CC" w14:textId="77777777" w:rsidR="001D6419" w:rsidRDefault="001D6419" w:rsidP="001D6419">
      <w:pPr>
        <w:tabs>
          <w:tab w:val="left" w:pos="360"/>
          <w:tab w:val="left" w:pos="720"/>
          <w:tab w:val="left" w:pos="1080"/>
          <w:tab w:val="center" w:pos="4680"/>
          <w:tab w:val="center" w:pos="7200"/>
        </w:tabs>
        <w:spacing w:after="0" w:line="240" w:lineRule="auto"/>
      </w:pPr>
    </w:p>
    <w:p w14:paraId="63BCD35B" w14:textId="77777777" w:rsidR="001D6419" w:rsidRDefault="000F5B51" w:rsidP="001D6419">
      <w:pPr>
        <w:keepNext/>
        <w:tabs>
          <w:tab w:val="center" w:pos="5940"/>
          <w:tab w:val="center" w:pos="7200"/>
        </w:tabs>
        <w:spacing w:after="0" w:line="240" w:lineRule="auto"/>
      </w:pPr>
      <w:r>
        <w:tab/>
        <w:t>Fatality Reduction (%) With 95% Confidence Bounds</w:t>
      </w:r>
    </w:p>
    <w:p w14:paraId="5E053AD3" w14:textId="77777777" w:rsidR="001D6419" w:rsidRDefault="000F5B51" w:rsidP="001D6419">
      <w:pPr>
        <w:keepNext/>
        <w:tabs>
          <w:tab w:val="center" w:pos="5940"/>
          <w:tab w:val="center" w:pos="7200"/>
        </w:tabs>
        <w:spacing w:after="0" w:line="240" w:lineRule="auto"/>
      </w:pPr>
      <w:r>
        <w:t>Logistic</w:t>
      </w:r>
    </w:p>
    <w:p w14:paraId="09AE98A8" w14:textId="77777777" w:rsidR="001D6419" w:rsidRDefault="000F5B51" w:rsidP="001D6419">
      <w:pPr>
        <w:keepNext/>
        <w:tabs>
          <w:tab w:val="center" w:pos="4680"/>
          <w:tab w:val="center" w:pos="7200"/>
        </w:tabs>
        <w:spacing w:after="0" w:line="240" w:lineRule="auto"/>
      </w:pPr>
      <w:r>
        <w:t>Regression</w:t>
      </w:r>
      <w:r>
        <w:tab/>
        <w:t>Passenger Cars</w:t>
      </w:r>
      <w:r>
        <w:tab/>
        <w:t>LTVs</w:t>
      </w:r>
    </w:p>
    <w:p w14:paraId="0A231D02" w14:textId="77777777" w:rsidR="001D6419" w:rsidRDefault="001D6419" w:rsidP="001D6419">
      <w:pPr>
        <w:keepNext/>
        <w:tabs>
          <w:tab w:val="left" w:pos="360"/>
          <w:tab w:val="left" w:pos="720"/>
          <w:tab w:val="left" w:pos="1080"/>
          <w:tab w:val="center" w:pos="4680"/>
          <w:tab w:val="center" w:pos="7200"/>
        </w:tabs>
        <w:spacing w:after="0" w:line="240" w:lineRule="auto"/>
      </w:pPr>
    </w:p>
    <w:p w14:paraId="001C7D25" w14:textId="77777777" w:rsidR="001D6419" w:rsidRDefault="000F5B51" w:rsidP="001D6419">
      <w:pPr>
        <w:keepNext/>
        <w:tabs>
          <w:tab w:val="left" w:pos="360"/>
          <w:tab w:val="left" w:pos="720"/>
          <w:tab w:val="left" w:pos="1080"/>
          <w:tab w:val="center" w:pos="4680"/>
          <w:tab w:val="center" w:pos="7200"/>
        </w:tabs>
        <w:spacing w:after="0" w:line="240" w:lineRule="auto"/>
      </w:pPr>
      <w:r>
        <w:t>All rear seat passengers</w:t>
      </w:r>
      <w:r>
        <w:tab/>
        <w:t>55 (52 to 57)</w:t>
      </w:r>
      <w:r>
        <w:tab/>
        <w:t>74 (72 to 76)</w:t>
      </w:r>
    </w:p>
    <w:p w14:paraId="5FF99662" w14:textId="77777777" w:rsidR="001D6419" w:rsidRDefault="000F5B51" w:rsidP="001D6419">
      <w:pPr>
        <w:keepNext/>
        <w:tabs>
          <w:tab w:val="left" w:pos="360"/>
          <w:tab w:val="left" w:pos="720"/>
          <w:tab w:val="left" w:pos="1080"/>
          <w:tab w:val="center" w:pos="4680"/>
          <w:tab w:val="center" w:pos="7200"/>
        </w:tabs>
        <w:spacing w:after="0" w:line="240" w:lineRule="auto"/>
      </w:pPr>
      <w:r>
        <w:t>Outboard</w:t>
      </w:r>
      <w:r>
        <w:tab/>
      </w:r>
      <w:r>
        <w:tab/>
        <w:t>54 (52 to 57)</w:t>
      </w:r>
      <w:r>
        <w:tab/>
        <w:t>74 (72 to 76)</w:t>
      </w:r>
    </w:p>
    <w:p w14:paraId="050B1250" w14:textId="77777777" w:rsidR="001D6419" w:rsidRDefault="000F5B51" w:rsidP="001D6419">
      <w:pPr>
        <w:keepNext/>
        <w:tabs>
          <w:tab w:val="left" w:pos="360"/>
          <w:tab w:val="left" w:pos="720"/>
          <w:tab w:val="left" w:pos="1080"/>
          <w:tab w:val="center" w:pos="4680"/>
          <w:tab w:val="center" w:pos="7200"/>
        </w:tabs>
        <w:spacing w:after="0" w:line="240" w:lineRule="auto"/>
      </w:pPr>
      <w:r>
        <w:t>Center</w:t>
      </w:r>
      <w:r>
        <w:tab/>
      </w:r>
      <w:r>
        <w:tab/>
      </w:r>
      <w:r>
        <w:tab/>
        <w:t>58 (44 to 69)</w:t>
      </w:r>
      <w:r>
        <w:tab/>
        <w:t>73 (60 to 82)</w:t>
      </w:r>
    </w:p>
    <w:p w14:paraId="14CA275C" w14:textId="77777777" w:rsidR="001D6419" w:rsidRDefault="000F5B51" w:rsidP="001D6419">
      <w:pPr>
        <w:keepNext/>
        <w:tabs>
          <w:tab w:val="left" w:pos="360"/>
          <w:tab w:val="left" w:pos="720"/>
          <w:tab w:val="left" w:pos="1080"/>
          <w:tab w:val="center" w:pos="4680"/>
          <w:tab w:val="center" w:pos="7200"/>
        </w:tabs>
        <w:spacing w:after="0" w:line="240" w:lineRule="auto"/>
      </w:pPr>
      <w:r>
        <w:t>6-10 (all rear seats)</w:t>
      </w:r>
      <w:r>
        <w:tab/>
        <w:t>46 (35 to 54)</w:t>
      </w:r>
      <w:r>
        <w:tab/>
        <w:t>69 (63 to 75)</w:t>
      </w:r>
    </w:p>
    <w:p w14:paraId="2A54B2EA" w14:textId="77777777" w:rsidR="001D6419" w:rsidRDefault="000F5B51" w:rsidP="001D6419">
      <w:pPr>
        <w:keepNext/>
        <w:tabs>
          <w:tab w:val="left" w:pos="360"/>
          <w:tab w:val="left" w:pos="720"/>
          <w:tab w:val="left" w:pos="1080"/>
          <w:tab w:val="center" w:pos="4680"/>
          <w:tab w:val="center" w:pos="7200"/>
        </w:tabs>
        <w:spacing w:after="0" w:line="240" w:lineRule="auto"/>
      </w:pPr>
      <w:r>
        <w:t>11+ (all rear seats)</w:t>
      </w:r>
      <w:r>
        <w:tab/>
        <w:t>55 (53 to 58)</w:t>
      </w:r>
      <w:r>
        <w:tab/>
        <w:t>75 (73 to 77)</w:t>
      </w:r>
    </w:p>
    <w:p w14:paraId="0E608138" w14:textId="77777777" w:rsidR="001D6419" w:rsidRPr="000F7A21" w:rsidRDefault="000F5B51" w:rsidP="001D6419">
      <w:pPr>
        <w:keepNext/>
        <w:tabs>
          <w:tab w:val="left" w:pos="360"/>
          <w:tab w:val="left" w:pos="720"/>
          <w:tab w:val="left" w:pos="1080"/>
          <w:tab w:val="center" w:pos="4680"/>
          <w:tab w:val="center" w:pos="7200"/>
        </w:tabs>
        <w:spacing w:after="0" w:line="240" w:lineRule="auto"/>
      </w:pPr>
      <w:r>
        <w:t>χ</w:t>
      </w:r>
      <w:r w:rsidRPr="000F7A21">
        <w:rPr>
          <w:vertAlign w:val="superscript"/>
        </w:rPr>
        <w:t>2</w:t>
      </w:r>
      <w:r>
        <w:t xml:space="preserve"> for test: lower for 6-10?</w:t>
      </w:r>
      <w:r>
        <w:tab/>
        <w:t>3.02 (borderline</w:t>
      </w:r>
      <w:r>
        <w:rPr>
          <w:rStyle w:val="FootnoteReference"/>
        </w:rPr>
        <w:footnoteReference w:id="95"/>
      </w:r>
      <w:r>
        <w:t>)</w:t>
      </w:r>
      <w:r>
        <w:tab/>
        <w:t>3.19 (borderline)</w:t>
      </w:r>
    </w:p>
    <w:p w14:paraId="2749FC64" w14:textId="77777777" w:rsidR="001D6419" w:rsidRDefault="000F5B51" w:rsidP="001D6419">
      <w:pPr>
        <w:keepNext/>
        <w:tabs>
          <w:tab w:val="left" w:pos="360"/>
          <w:tab w:val="left" w:pos="720"/>
          <w:tab w:val="left" w:pos="1080"/>
          <w:tab w:val="center" w:pos="4680"/>
          <w:tab w:val="center" w:pos="7200"/>
        </w:tabs>
        <w:spacing w:after="0" w:line="240" w:lineRule="auto"/>
      </w:pPr>
      <w:r>
        <w:t>Outboard</w:t>
      </w:r>
    </w:p>
    <w:p w14:paraId="5C6440E6" w14:textId="77777777" w:rsidR="001D6419" w:rsidRDefault="000F5B51" w:rsidP="001D6419">
      <w:pPr>
        <w:keepNext/>
        <w:tabs>
          <w:tab w:val="left" w:pos="360"/>
          <w:tab w:val="left" w:pos="720"/>
          <w:tab w:val="left" w:pos="1080"/>
          <w:tab w:val="center" w:pos="4680"/>
          <w:tab w:val="center" w:pos="7200"/>
        </w:tabs>
        <w:spacing w:after="0" w:line="240" w:lineRule="auto"/>
      </w:pPr>
      <w:r>
        <w:tab/>
        <w:t>6-10</w:t>
      </w:r>
      <w:r>
        <w:tab/>
      </w:r>
      <w:r>
        <w:tab/>
        <w:t>46 (34 to 56)</w:t>
      </w:r>
      <w:r>
        <w:tab/>
        <w:t>69 (62 to 75)</w:t>
      </w:r>
    </w:p>
    <w:p w14:paraId="0D1A96B8" w14:textId="77777777" w:rsidR="001D6419" w:rsidRDefault="000F5B51" w:rsidP="001D6419">
      <w:pPr>
        <w:keepNext/>
        <w:tabs>
          <w:tab w:val="left" w:pos="360"/>
          <w:tab w:val="left" w:pos="720"/>
          <w:tab w:val="left" w:pos="1080"/>
          <w:tab w:val="center" w:pos="4680"/>
          <w:tab w:val="center" w:pos="7200"/>
        </w:tabs>
        <w:spacing w:after="0" w:line="240" w:lineRule="auto"/>
      </w:pPr>
      <w:r>
        <w:tab/>
        <w:t>11+</w:t>
      </w:r>
      <w:r>
        <w:tab/>
      </w:r>
      <w:r>
        <w:tab/>
        <w:t>55 (52 to 58)</w:t>
      </w:r>
      <w:r>
        <w:tab/>
        <w:t>75 (73 to 77)</w:t>
      </w:r>
    </w:p>
    <w:p w14:paraId="5014B82E" w14:textId="77777777" w:rsidR="001D6419" w:rsidRPr="000F7A21" w:rsidRDefault="000F5B51" w:rsidP="001D6419">
      <w:pPr>
        <w:keepNext/>
        <w:tabs>
          <w:tab w:val="left" w:pos="360"/>
          <w:tab w:val="left" w:pos="720"/>
          <w:tab w:val="left" w:pos="1080"/>
          <w:tab w:val="center" w:pos="4680"/>
          <w:tab w:val="center" w:pos="7200"/>
        </w:tabs>
        <w:spacing w:after="0" w:line="240" w:lineRule="auto"/>
      </w:pPr>
      <w:r>
        <w:tab/>
        <w:t>χ</w:t>
      </w:r>
      <w:r w:rsidRPr="000F7A21">
        <w:rPr>
          <w:vertAlign w:val="superscript"/>
        </w:rPr>
        <w:t>2</w:t>
      </w:r>
      <w:r>
        <w:t xml:space="preserve"> for test: lower for 6-10?</w:t>
      </w:r>
      <w:r>
        <w:tab/>
        <w:t>2.78 (borderline)</w:t>
      </w:r>
      <w:r>
        <w:tab/>
        <w:t>3.14 (borderline)</w:t>
      </w:r>
    </w:p>
    <w:p w14:paraId="45EAA469" w14:textId="77777777" w:rsidR="001D6419" w:rsidRDefault="000F5B51" w:rsidP="001D6419">
      <w:pPr>
        <w:keepNext/>
        <w:tabs>
          <w:tab w:val="left" w:pos="360"/>
          <w:tab w:val="left" w:pos="720"/>
          <w:tab w:val="left" w:pos="1080"/>
          <w:tab w:val="center" w:pos="4680"/>
          <w:tab w:val="center" w:pos="7200"/>
        </w:tabs>
        <w:spacing w:after="0" w:line="240" w:lineRule="auto"/>
      </w:pPr>
      <w:r>
        <w:t>Center</w:t>
      </w:r>
    </w:p>
    <w:p w14:paraId="55B238F8" w14:textId="77777777" w:rsidR="001D6419" w:rsidRDefault="000F5B51" w:rsidP="001D6419">
      <w:pPr>
        <w:keepNext/>
        <w:tabs>
          <w:tab w:val="left" w:pos="360"/>
          <w:tab w:val="left" w:pos="720"/>
          <w:tab w:val="left" w:pos="1080"/>
          <w:tab w:val="center" w:pos="4680"/>
          <w:tab w:val="center" w:pos="7200"/>
        </w:tabs>
        <w:spacing w:after="0" w:line="240" w:lineRule="auto"/>
      </w:pPr>
      <w:r>
        <w:tab/>
        <w:t>6-10</w:t>
      </w:r>
      <w:r>
        <w:tab/>
      </w:r>
      <w:r>
        <w:tab/>
        <w:t>52 (  2 to 77)</w:t>
      </w:r>
      <w:r>
        <w:tab/>
        <w:t>75 (39 to 90)</w:t>
      </w:r>
    </w:p>
    <w:p w14:paraId="3140605B" w14:textId="77777777" w:rsidR="001D6419" w:rsidRDefault="000F5B51" w:rsidP="001D6419">
      <w:pPr>
        <w:keepNext/>
        <w:tabs>
          <w:tab w:val="left" w:pos="360"/>
          <w:tab w:val="left" w:pos="720"/>
          <w:tab w:val="left" w:pos="1080"/>
          <w:tab w:val="center" w:pos="4680"/>
          <w:tab w:val="center" w:pos="7200"/>
        </w:tabs>
        <w:spacing w:after="0" w:line="240" w:lineRule="auto"/>
      </w:pPr>
      <w:r>
        <w:tab/>
        <w:t>11+</w:t>
      </w:r>
      <w:r>
        <w:tab/>
      </w:r>
      <w:r>
        <w:tab/>
        <w:t>60 (45 to 72)</w:t>
      </w:r>
      <w:r>
        <w:tab/>
        <w:t>74 (59 to 83)</w:t>
      </w:r>
    </w:p>
    <w:p w14:paraId="0DBD49DF" w14:textId="77777777" w:rsidR="001D6419" w:rsidRPr="000F7A21" w:rsidRDefault="000F5B51" w:rsidP="001D6419">
      <w:pPr>
        <w:tabs>
          <w:tab w:val="left" w:pos="360"/>
          <w:tab w:val="left" w:pos="720"/>
          <w:tab w:val="left" w:pos="1080"/>
          <w:tab w:val="center" w:pos="4680"/>
          <w:tab w:val="center" w:pos="7200"/>
        </w:tabs>
        <w:spacing w:after="0" w:line="240" w:lineRule="auto"/>
      </w:pPr>
      <w:r>
        <w:tab/>
        <w:t>χ</w:t>
      </w:r>
      <w:r w:rsidRPr="000F7A21">
        <w:rPr>
          <w:vertAlign w:val="superscript"/>
        </w:rPr>
        <w:t>2</w:t>
      </w:r>
      <w:r>
        <w:t xml:space="preserve"> for test: lower for 6-10?</w:t>
      </w:r>
      <w:r>
        <w:tab/>
        <w:t xml:space="preserve">  .41 (not sig.)</w:t>
      </w:r>
      <w:r>
        <w:tab/>
        <w:t xml:space="preserve">  .06 (not sig.)</w:t>
      </w:r>
    </w:p>
    <w:p w14:paraId="31C79614" w14:textId="77777777" w:rsidR="001D6419" w:rsidRDefault="001D6419" w:rsidP="001D6419">
      <w:pPr>
        <w:tabs>
          <w:tab w:val="left" w:pos="360"/>
          <w:tab w:val="left" w:pos="720"/>
          <w:tab w:val="left" w:pos="1080"/>
          <w:tab w:val="center" w:pos="4680"/>
          <w:tab w:val="center" w:pos="7200"/>
        </w:tabs>
        <w:jc w:val="center"/>
      </w:pPr>
    </w:p>
    <w:p w14:paraId="50D53B3B" w14:textId="77777777" w:rsidR="001D6419" w:rsidRPr="00F3664E" w:rsidRDefault="000F5B51" w:rsidP="001D6419">
      <w:pPr>
        <w:tabs>
          <w:tab w:val="left" w:pos="360"/>
          <w:tab w:val="left" w:pos="720"/>
          <w:tab w:val="left" w:pos="1080"/>
          <w:tab w:val="center" w:pos="4680"/>
          <w:tab w:val="center" w:pos="7200"/>
        </w:tabs>
        <w:jc w:val="center"/>
        <w:rPr>
          <w:b/>
        </w:rPr>
      </w:pPr>
      <w:r w:rsidRPr="00F3664E">
        <w:rPr>
          <w:b/>
        </w:rPr>
        <w:t>Conclusions</w:t>
      </w:r>
    </w:p>
    <w:p w14:paraId="1F4E2898" w14:textId="77777777" w:rsidR="001D6419" w:rsidRDefault="000F5B51" w:rsidP="001D6419">
      <w:pPr>
        <w:pStyle w:val="lastbullet"/>
      </w:pPr>
      <w:r>
        <w:t>3-point belts are effective for both age groups at both seating positions: all estimates of fatality reduction are statistically significant (as evidenced by positive confidence bounds)</w:t>
      </w:r>
      <w:r w:rsidR="001F2F92">
        <w:t xml:space="preserve">. </w:t>
      </w:r>
      <w:r>
        <w:t>Definitely OK to include a benefit for reminder systems for the younger (6 to 10) passengers.</w:t>
      </w:r>
    </w:p>
    <w:p w14:paraId="147800C0" w14:textId="77777777" w:rsidR="001D6419" w:rsidRDefault="000F5B51" w:rsidP="001D6419">
      <w:pPr>
        <w:pStyle w:val="lastbullet"/>
      </w:pPr>
      <w:r>
        <w:lastRenderedPageBreak/>
        <w:t>Effectiveness for outboard and center seats is similar (especially taking into account the wider confidence bounds for the center seat)</w:t>
      </w:r>
      <w:r w:rsidR="001F2F92">
        <w:t xml:space="preserve">. </w:t>
      </w:r>
      <w:r>
        <w:t>Seems OK to just use the combined effectiveness estimate for both the outboard and center seats.</w:t>
      </w:r>
    </w:p>
    <w:p w14:paraId="5AC17BB2" w14:textId="77777777" w:rsidR="00C34EF4" w:rsidRPr="00C34EF4" w:rsidRDefault="000F5B51" w:rsidP="001D6419">
      <w:pPr>
        <w:pStyle w:val="lastbullet"/>
      </w:pPr>
      <w:r>
        <w:t>Not clear if you should use the same effectiveness for younger (6 to 10) and older (11+) passengers, or separate estimates</w:t>
      </w:r>
      <w:r w:rsidR="001F2F92">
        <w:t xml:space="preserve">. </w:t>
      </w:r>
      <w:r>
        <w:t>Could go either way</w:t>
      </w:r>
      <w:r w:rsidR="001F2F92">
        <w:t xml:space="preserve">. </w:t>
      </w:r>
      <w:r>
        <w:t>The difference is never significant, so you are not forced to use separate estimates</w:t>
      </w:r>
      <w:r w:rsidR="001F2F92">
        <w:t xml:space="preserve">. </w:t>
      </w:r>
      <w:r>
        <w:t>But effectiveness is generally lower for the younger children, and the difference is borderline significant on two independent measurements (namely, for cars and for LTVs)</w:t>
      </w:r>
      <w:r w:rsidR="001F2F92">
        <w:t xml:space="preserve">. </w:t>
      </w:r>
      <w:r>
        <w:t>I think it would be conservative to use the lower estimate for the 6-to-10 year old children when calculating benefits for that group, if this is an entirely separate calculation, but you can use a single effectiveness for both ages if you are computing benefits for both ages simultaneously.</w:t>
      </w:r>
    </w:p>
    <w:sectPr w:rsidR="00C34EF4" w:rsidRPr="00C34E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B0B57" w14:textId="77777777" w:rsidR="001809B4" w:rsidRDefault="001809B4">
      <w:pPr>
        <w:spacing w:after="0" w:line="240" w:lineRule="auto"/>
      </w:pPr>
      <w:r>
        <w:separator/>
      </w:r>
    </w:p>
  </w:endnote>
  <w:endnote w:type="continuationSeparator" w:id="0">
    <w:p w14:paraId="53F1BA9E" w14:textId="77777777" w:rsidR="001809B4" w:rsidRDefault="001809B4">
      <w:pPr>
        <w:spacing w:after="0" w:line="240" w:lineRule="auto"/>
      </w:pPr>
      <w:r>
        <w:continuationSeparator/>
      </w:r>
    </w:p>
  </w:endnote>
  <w:endnote w:type="continuationNotice" w:id="1">
    <w:p w14:paraId="0C0E61F8" w14:textId="77777777" w:rsidR="001809B4" w:rsidRDefault="001809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LT Std Cond Blk">
    <w:altName w:val="Helvetica LT Std Cond Bl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LT Std Cond">
    <w:altName w:val="Arial"/>
    <w:panose1 w:val="00000000000000000000"/>
    <w:charset w:val="00"/>
    <w:family w:val="swiss"/>
    <w:notTrueType/>
    <w:pitch w:val="default"/>
    <w:sig w:usb0="00000003" w:usb1="00000000" w:usb2="00000000" w:usb3="00000000" w:csb0="00000001" w:csb1="00000000"/>
  </w:font>
  <w:font w:name="Palatino LT Std">
    <w:altName w:val="Palatino Linotype"/>
    <w:panose1 w:val="00000000000000000000"/>
    <w:charset w:val="00"/>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838929"/>
      <w:docPartObj>
        <w:docPartGallery w:val="Page Numbers (Bottom of Page)"/>
        <w:docPartUnique/>
      </w:docPartObj>
    </w:sdtPr>
    <w:sdtEndPr>
      <w:rPr>
        <w:noProof/>
      </w:rPr>
    </w:sdtEndPr>
    <w:sdtContent>
      <w:p w14:paraId="3E8F1397" w14:textId="77777777" w:rsidR="00165061" w:rsidRDefault="000F5B51">
        <w:pPr>
          <w:pStyle w:val="Footer"/>
          <w:jc w:val="center"/>
        </w:pPr>
        <w:r>
          <w:fldChar w:fldCharType="begin"/>
        </w:r>
        <w:r>
          <w:instrText xml:space="preserve"> PAGE   \* MERGEFORMAT </w:instrText>
        </w:r>
        <w:r>
          <w:fldChar w:fldCharType="separate"/>
        </w:r>
        <w:r>
          <w:rPr>
            <w:noProof/>
          </w:rPr>
          <w:t>34</w:t>
        </w:r>
        <w:r>
          <w:rPr>
            <w:noProof/>
          </w:rPr>
          <w:fldChar w:fldCharType="end"/>
        </w:r>
      </w:p>
    </w:sdtContent>
  </w:sdt>
  <w:p w14:paraId="11EF6226" w14:textId="77777777" w:rsidR="00165061" w:rsidRDefault="00165061">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3DEA6" w14:textId="77777777" w:rsidR="001809B4" w:rsidRDefault="001809B4" w:rsidP="00C34EF4">
      <w:pPr>
        <w:spacing w:after="0" w:line="240" w:lineRule="auto"/>
      </w:pPr>
      <w:r>
        <w:separator/>
      </w:r>
    </w:p>
  </w:footnote>
  <w:footnote w:type="continuationSeparator" w:id="0">
    <w:p w14:paraId="1125EA3C" w14:textId="77777777" w:rsidR="001809B4" w:rsidRDefault="001809B4" w:rsidP="00C34EF4">
      <w:pPr>
        <w:spacing w:after="0" w:line="240" w:lineRule="auto"/>
      </w:pPr>
      <w:r>
        <w:continuationSeparator/>
      </w:r>
    </w:p>
  </w:footnote>
  <w:footnote w:type="continuationNotice" w:id="1">
    <w:p w14:paraId="3685C1ED" w14:textId="77777777" w:rsidR="001809B4" w:rsidRDefault="001809B4">
      <w:pPr>
        <w:spacing w:after="0" w:line="240" w:lineRule="auto"/>
      </w:pPr>
    </w:p>
  </w:footnote>
  <w:footnote w:id="2">
    <w:p w14:paraId="0F19B03C" w14:textId="77777777" w:rsidR="00CF3207" w:rsidRDefault="000F5B51" w:rsidP="00CF3207">
      <w:pPr>
        <w:pStyle w:val="FootnoteText"/>
      </w:pPr>
      <w:r>
        <w:rPr>
          <w:rStyle w:val="FootnoteReference"/>
        </w:rPr>
        <w:footnoteRef/>
      </w:r>
      <w:r>
        <w:t xml:space="preserve"> </w:t>
      </w:r>
      <w:r w:rsidRPr="006869D5">
        <w:t>SBWS is defined as a warning system designed to provide a seat belt warning for vehicle occupants.</w:t>
      </w:r>
    </w:p>
  </w:footnote>
  <w:footnote w:id="3">
    <w:p w14:paraId="4A9A9884" w14:textId="77777777" w:rsidR="00FE74E2" w:rsidRDefault="00FE74E2" w:rsidP="00FE74E2">
      <w:pPr>
        <w:pStyle w:val="FootnoteText"/>
      </w:pPr>
      <w:r>
        <w:rPr>
          <w:rStyle w:val="FootnoteReference"/>
        </w:rPr>
        <w:footnoteRef/>
      </w:r>
      <w:r>
        <w:t xml:space="preserve"> </w:t>
      </w:r>
      <w:r w:rsidRPr="0072449E">
        <w:rPr>
          <w:i/>
          <w:iCs/>
        </w:rPr>
        <w:t>See, e.g.</w:t>
      </w:r>
      <w:r>
        <w:t xml:space="preserve">, Transportation Research Board Study at 8, 25; </w:t>
      </w:r>
      <w:r w:rsidRPr="00851981">
        <w:t>Mark Freedman</w:t>
      </w:r>
      <w:r>
        <w:t xml:space="preserve"> et al., Effectiveness and Acceptance of Enhanced Seat Belt Reminder Systems: Characteristics of Optimal Reminder Systems Final Report. DOT HS 811 097 at 2 (Feb. 2009) (</w:t>
      </w:r>
      <w:r w:rsidRPr="00E23295">
        <w:t>hereinafter “DOT 2009 Seat Belt Study”).</w:t>
      </w:r>
    </w:p>
  </w:footnote>
  <w:footnote w:id="4">
    <w:p w14:paraId="678AB38E" w14:textId="77777777" w:rsidR="003731BC" w:rsidRDefault="000F5B51" w:rsidP="003731BC">
      <w:pPr>
        <w:pStyle w:val="FootnoteText"/>
      </w:pPr>
      <w:r>
        <w:rPr>
          <w:rStyle w:val="FootnoteReference"/>
        </w:rPr>
        <w:footnoteRef/>
      </w:r>
      <w:r>
        <w:t xml:space="preserve"> NHTSA Traffic Safety Facts, “</w:t>
      </w:r>
      <w:bookmarkStart w:id="11" w:name="_Hlk129152894"/>
      <w:r w:rsidRPr="00873720">
        <w:t>Belt Use Regression Model</w:t>
      </w:r>
      <w:r>
        <w:t xml:space="preserve">” Jing-Shiam Wang and Lawrence Blincoe,  </w:t>
      </w:r>
      <w:bookmarkEnd w:id="11"/>
      <w:r w:rsidRPr="00B20684">
        <w:rPr>
          <w:sz w:val="18"/>
          <w:szCs w:val="18"/>
        </w:rPr>
        <w:fldChar w:fldCharType="begin"/>
      </w:r>
      <w:r w:rsidRPr="00B20684">
        <w:rPr>
          <w:sz w:val="18"/>
          <w:szCs w:val="18"/>
        </w:rPr>
        <w:instrText xml:space="preserve"> HYPERLINK "http://www-nrd.nhtsa.dot.gov/Pubs/809639.PDF" </w:instrText>
      </w:r>
      <w:r w:rsidRPr="00B20684">
        <w:rPr>
          <w:sz w:val="18"/>
          <w:szCs w:val="18"/>
        </w:rPr>
        <w:fldChar w:fldCharType="separate"/>
      </w:r>
      <w:r w:rsidRPr="00B20684">
        <w:rPr>
          <w:rStyle w:val="Hyperlink"/>
          <w:sz w:val="22"/>
          <w:szCs w:val="22"/>
        </w:rPr>
        <w:t>http://www-nrd.nhtsa.dot.gov/Pubs/809639.PDF</w:t>
      </w:r>
      <w:r w:rsidRPr="00B20684">
        <w:rPr>
          <w:rStyle w:val="Hyperlink"/>
          <w:sz w:val="22"/>
          <w:szCs w:val="22"/>
        </w:rPr>
        <w:fldChar w:fldCharType="end"/>
      </w:r>
    </w:p>
  </w:footnote>
  <w:footnote w:id="5">
    <w:p w14:paraId="4F172C8C" w14:textId="4EF4D209" w:rsidR="00CC2C8B" w:rsidRDefault="000F5B51" w:rsidP="00702EA2">
      <w:pPr>
        <w:pStyle w:val="FootnoteText"/>
      </w:pPr>
      <w:r>
        <w:rPr>
          <w:rStyle w:val="FootnoteReference"/>
        </w:rPr>
        <w:footnoteRef/>
      </w:r>
      <w:r>
        <w:t xml:space="preserve"> </w:t>
      </w:r>
      <w:r w:rsidR="00702EA2">
        <w:t>The model uses the national observed belt use rate to predict lives-saved by seat belts</w:t>
      </w:r>
      <w:r w:rsidR="001F2F92">
        <w:t xml:space="preserve">. </w:t>
      </w:r>
      <w:r w:rsidR="00702EA2">
        <w:t xml:space="preserve"> In the model, the following equation is used to estimate the seat belt use rate</w:t>
      </w:r>
      <w:r w:rsidR="00CE748E">
        <w:t xml:space="preserve"> in</w:t>
      </w:r>
      <w:r w:rsidR="00915504">
        <w:t xml:space="preserve"> </w:t>
      </w:r>
      <w:r w:rsidR="00915504" w:rsidRPr="00915504">
        <w:t>potentially</w:t>
      </w:r>
      <w:r w:rsidR="00CE748E">
        <w:t xml:space="preserve"> fatal crashes</w:t>
      </w:r>
      <w:r w:rsidR="00702EA2">
        <w:t xml:space="preserve"> = 0.43751*(Observed belt use rate) + 0.47249*(Observed belt use rate^2)</w:t>
      </w:r>
    </w:p>
  </w:footnote>
  <w:footnote w:id="6">
    <w:p w14:paraId="2183858B" w14:textId="2E4D4CE5" w:rsidR="00DE446C" w:rsidRDefault="00DE446C">
      <w:pPr>
        <w:pStyle w:val="FootnoteText"/>
      </w:pPr>
      <w:r>
        <w:rPr>
          <w:rStyle w:val="FootnoteReference"/>
        </w:rPr>
        <w:footnoteRef/>
      </w:r>
      <w:r>
        <w:t xml:space="preserve"> </w:t>
      </w:r>
      <w:r w:rsidRPr="00DE446C">
        <w:t>Vehicle information collected in accordance with information collection request approved by OMB (Control No. 2127-0629) View Information Collection Request (ICR) Package (reginfo.gov)</w:t>
      </w:r>
    </w:p>
  </w:footnote>
  <w:footnote w:id="7">
    <w:p w14:paraId="2A3F4FEA" w14:textId="4FEEFC73" w:rsidR="00046725" w:rsidRDefault="00046725">
      <w:pPr>
        <w:pStyle w:val="FootnoteText"/>
      </w:pPr>
      <w:r>
        <w:rPr>
          <w:rStyle w:val="FootnoteReference"/>
        </w:rPr>
        <w:footnoteRef/>
      </w:r>
      <w:r>
        <w:t xml:space="preserve"> </w:t>
      </w:r>
      <w:r w:rsidRPr="00046725">
        <w:t>In order to get a better sense of the warning durations in currently sold vehicles, NHTSA analyzed data on the seat belt warning durations for MY 2022 vehicle models provided to the agency by vehicle manufacturers for NCAP; this data covers most vehicles offered for sale in the U.S. for MY 2022 with a GVWR of 4,536 kg (10,000 lbs.) or less.</w:t>
      </w:r>
      <w:r>
        <w:t xml:space="preserve"> This included a total of over 500 different v</w:t>
      </w:r>
      <w:r w:rsidR="008068B2">
        <w:t xml:space="preserve">ehicle models. </w:t>
      </w:r>
    </w:p>
  </w:footnote>
  <w:footnote w:id="8">
    <w:p w14:paraId="4714C828" w14:textId="77777777" w:rsidR="00C34EF4" w:rsidRDefault="000F5B51" w:rsidP="00C34EF4">
      <w:pPr>
        <w:pStyle w:val="FootnoteText"/>
      </w:pPr>
      <w:r>
        <w:rPr>
          <w:rStyle w:val="FootnoteReference"/>
        </w:rPr>
        <w:footnoteRef/>
      </w:r>
      <w:r>
        <w:t xml:space="preserve"> Haseltine, P. W. Seat Belt Use in Motor Vehicles: The U.S. Experience. 2001 Seat Belt Summit Report, Automotive Coalition for Traffic Safety, Inc., Arlington, VA, 2001.</w:t>
      </w:r>
    </w:p>
  </w:footnote>
  <w:footnote w:id="9">
    <w:p w14:paraId="034F8372" w14:textId="77777777" w:rsidR="00C34EF4" w:rsidRDefault="000F5B51" w:rsidP="00C34EF4">
      <w:pPr>
        <w:pStyle w:val="FootnoteText"/>
      </w:pPr>
      <w:r>
        <w:rPr>
          <w:rStyle w:val="FootnoteReference"/>
        </w:rPr>
        <w:footnoteRef/>
      </w:r>
      <w:r>
        <w:t xml:space="preserve"> National Highway Traffic Safety Administration. Occupant crash protection in passenger cars, multipurpose passenger vehicles, trucks, and buses. Federal Register. Washington, DC: Office of the Federal Register, National Archives and Records Administration, 1971;36:4605 (March 10).</w:t>
      </w:r>
    </w:p>
  </w:footnote>
  <w:footnote w:id="10">
    <w:p w14:paraId="1C7268E2" w14:textId="77777777" w:rsidR="00C34EF4" w:rsidRDefault="000F5B51" w:rsidP="00C34EF4">
      <w:pPr>
        <w:pStyle w:val="FootnoteText"/>
      </w:pPr>
      <w:r>
        <w:rPr>
          <w:rStyle w:val="FootnoteReference"/>
        </w:rPr>
        <w:footnoteRef/>
      </w:r>
      <w:r>
        <w:t xml:space="preserve"> National Highway Traffic Safety Administration. Occupant crash protection. Federal Register. Washington, DC: Office of the Federal Register, National Archives and Records Administration, 1972;37:3912 (February 24).</w:t>
      </w:r>
    </w:p>
  </w:footnote>
  <w:footnote w:id="11">
    <w:p w14:paraId="6C2E6FFB" w14:textId="77777777" w:rsidR="00C34EF4" w:rsidRDefault="000F5B51" w:rsidP="00C34EF4">
      <w:pPr>
        <w:pStyle w:val="FootnoteText"/>
      </w:pPr>
      <w:r>
        <w:rPr>
          <w:rStyle w:val="FootnoteReference"/>
        </w:rPr>
        <w:footnoteRef/>
      </w:r>
      <w:r>
        <w:t xml:space="preserve"> Codified at </w:t>
      </w:r>
      <w:r w:rsidRPr="00FE2737">
        <w:t>49 U.S.C. § 30124</w:t>
      </w:r>
      <w:r w:rsidR="001F2F92">
        <w:t xml:space="preserve">. </w:t>
      </w:r>
      <w:r>
        <w:t>As discussed below, this statutory limitation was repealed in 2012.</w:t>
      </w:r>
    </w:p>
  </w:footnote>
  <w:footnote w:id="12">
    <w:p w14:paraId="4C8AE4C6" w14:textId="77777777" w:rsidR="00C34EF4" w:rsidRDefault="000F5B51" w:rsidP="00C34EF4">
      <w:pPr>
        <w:pStyle w:val="FootnoteText"/>
      </w:pPr>
      <w:r>
        <w:rPr>
          <w:rStyle w:val="FootnoteReference"/>
        </w:rPr>
        <w:footnoteRef/>
      </w:r>
      <w:r>
        <w:t xml:space="preserve"> </w:t>
      </w:r>
      <w:r w:rsidRPr="00E46E76">
        <w:rPr>
          <w:u w:val="single"/>
        </w:rPr>
        <w:t>See</w:t>
      </w:r>
      <w:r>
        <w:t xml:space="preserve"> 49 U.S.C. § 30111 (“Each standard shall be practicable, meet the need for motor vehicle safety, and be stated in objective terms.”)</w:t>
      </w:r>
    </w:p>
  </w:footnote>
  <w:footnote w:id="13">
    <w:p w14:paraId="07774BB0" w14:textId="77777777" w:rsidR="00632E89" w:rsidRDefault="000F5B51" w:rsidP="00632E89">
      <w:pPr>
        <w:pStyle w:val="FootnoteText"/>
      </w:pPr>
      <w:r>
        <w:rPr>
          <w:rStyle w:val="FootnoteReference"/>
        </w:rPr>
        <w:footnoteRef/>
      </w:r>
      <w:r>
        <w:t xml:space="preserve"> Westefeld, A., and B. M. Phillips. Effectiveness of Various Safety Belt Warning Systems</w:t>
      </w:r>
      <w:r w:rsidR="001F2F92">
        <w:t xml:space="preserve">. </w:t>
      </w:r>
      <w:r>
        <w:t>DOT-HS-801-953. National Highway Traffic Safety Administration, U.S. Department of Transportation, July 1976.</w:t>
      </w:r>
    </w:p>
  </w:footnote>
  <w:footnote w:id="14">
    <w:p w14:paraId="069F448E" w14:textId="77777777" w:rsidR="00632E89" w:rsidRPr="0016203A" w:rsidRDefault="000F5B51" w:rsidP="00632E89">
      <w:pPr>
        <w:pStyle w:val="Default"/>
        <w:rPr>
          <w:sz w:val="20"/>
          <w:szCs w:val="20"/>
        </w:rPr>
      </w:pPr>
      <w:r w:rsidRPr="0016203A">
        <w:rPr>
          <w:rStyle w:val="FootnoteReference"/>
          <w:sz w:val="20"/>
          <w:szCs w:val="20"/>
        </w:rPr>
        <w:footnoteRef/>
      </w:r>
      <w:r w:rsidRPr="0016203A">
        <w:rPr>
          <w:sz w:val="20"/>
          <w:szCs w:val="20"/>
        </w:rPr>
        <w:t xml:space="preserve"> </w:t>
      </w:r>
      <w:r w:rsidRPr="00710196">
        <w:rPr>
          <w:sz w:val="20"/>
          <w:szCs w:val="20"/>
        </w:rPr>
        <w:t>In 2005, the Safe, Accountable, Flexible, and Efficient Transportation Equity Act – Legacy for Users (SAFETEA-LU)</w:t>
      </w:r>
      <w:r>
        <w:rPr>
          <w:sz w:val="20"/>
          <w:szCs w:val="20"/>
        </w:rPr>
        <w:t xml:space="preserve"> </w:t>
      </w:r>
      <w:r w:rsidRPr="00710196">
        <w:rPr>
          <w:sz w:val="20"/>
          <w:szCs w:val="20"/>
        </w:rPr>
        <w:t>legislation required that NHTSA evaluate the effectiveness and acceptability of several different types of enhanced SBRSs currently being offered by a number of manufacturers</w:t>
      </w:r>
      <w:r w:rsidR="001F2F92">
        <w:rPr>
          <w:sz w:val="20"/>
          <w:szCs w:val="20"/>
        </w:rPr>
        <w:t xml:space="preserve">. </w:t>
      </w:r>
      <w:r w:rsidRPr="00E46E76">
        <w:rPr>
          <w:sz w:val="20"/>
          <w:szCs w:val="20"/>
          <w:u w:val="single"/>
        </w:rPr>
        <w:t>See</w:t>
      </w:r>
      <w:r>
        <w:rPr>
          <w:sz w:val="20"/>
          <w:szCs w:val="20"/>
        </w:rPr>
        <w:t xml:space="preserve"> </w:t>
      </w:r>
      <w:r w:rsidRPr="0016203A">
        <w:rPr>
          <w:sz w:val="20"/>
          <w:szCs w:val="20"/>
        </w:rPr>
        <w:t>Pub. L. No. 109-59, § 10306 (2005)</w:t>
      </w:r>
      <w:r w:rsidR="001F2F92">
        <w:rPr>
          <w:sz w:val="20"/>
          <w:szCs w:val="20"/>
        </w:rPr>
        <w:t xml:space="preserve">. </w:t>
      </w:r>
      <w:r>
        <w:rPr>
          <w:sz w:val="20"/>
          <w:szCs w:val="20"/>
        </w:rPr>
        <w:t>In addition, prior to this, i</w:t>
      </w:r>
      <w:r w:rsidRPr="002F1A4D">
        <w:rPr>
          <w:sz w:val="20"/>
          <w:szCs w:val="20"/>
        </w:rPr>
        <w:t>n 2001</w:t>
      </w:r>
      <w:r>
        <w:rPr>
          <w:sz w:val="20"/>
          <w:szCs w:val="20"/>
        </w:rPr>
        <w:t xml:space="preserve"> </w:t>
      </w:r>
      <w:r w:rsidRPr="002F1A4D">
        <w:rPr>
          <w:sz w:val="20"/>
          <w:szCs w:val="20"/>
        </w:rPr>
        <w:t>Congress direct</w:t>
      </w:r>
      <w:r>
        <w:rPr>
          <w:sz w:val="20"/>
          <w:szCs w:val="20"/>
        </w:rPr>
        <w:t>ed</w:t>
      </w:r>
      <w:r w:rsidRPr="002F1A4D">
        <w:rPr>
          <w:sz w:val="20"/>
          <w:szCs w:val="20"/>
        </w:rPr>
        <w:t xml:space="preserve"> NHTSA to </w:t>
      </w:r>
      <w:r>
        <w:rPr>
          <w:sz w:val="20"/>
          <w:szCs w:val="20"/>
        </w:rPr>
        <w:t xml:space="preserve">contract with the Transportation Research Board of the National Academy of Sciences to </w:t>
      </w:r>
      <w:r w:rsidRPr="002F1A4D">
        <w:rPr>
          <w:sz w:val="20"/>
          <w:szCs w:val="20"/>
        </w:rPr>
        <w:t>conduct a study to examine the potential benefits of technologies to increase seat belt use, determine how drivers view the acceptability of the technologies, and consider whether legislative or regulatory actions were necessary to enable their installation on passenger vehicles</w:t>
      </w:r>
      <w:r w:rsidR="001F2F92">
        <w:rPr>
          <w:sz w:val="20"/>
          <w:szCs w:val="20"/>
        </w:rPr>
        <w:t xml:space="preserve">. </w:t>
      </w:r>
      <w:r w:rsidRPr="002F1A4D">
        <w:rPr>
          <w:sz w:val="20"/>
          <w:szCs w:val="20"/>
        </w:rPr>
        <w:t>The study</w:t>
      </w:r>
      <w:r>
        <w:rPr>
          <w:sz w:val="20"/>
          <w:szCs w:val="20"/>
        </w:rPr>
        <w:t xml:space="preserve"> </w:t>
      </w:r>
      <w:r w:rsidRPr="002F1A4D">
        <w:rPr>
          <w:sz w:val="20"/>
          <w:szCs w:val="20"/>
        </w:rPr>
        <w:t>found that seat belt warning technologies show promise for increasing seat belt use, and it developed eight recommendations for the continued development of these technologies</w:t>
      </w:r>
      <w:r w:rsidR="001F2F92">
        <w:rPr>
          <w:sz w:val="20"/>
          <w:szCs w:val="20"/>
        </w:rPr>
        <w:t xml:space="preserve">. </w:t>
      </w:r>
      <w:r w:rsidRPr="002F1A4D">
        <w:rPr>
          <w:sz w:val="20"/>
          <w:szCs w:val="20"/>
        </w:rPr>
        <w:t xml:space="preserve"> Two of the recommendations advocated the use of SBWSs for front and rear seat passengers</w:t>
      </w:r>
      <w:r w:rsidR="001F2F92">
        <w:rPr>
          <w:sz w:val="20"/>
          <w:szCs w:val="20"/>
        </w:rPr>
        <w:t xml:space="preserve">. </w:t>
      </w:r>
      <w:r w:rsidRPr="00E46E76">
        <w:rPr>
          <w:sz w:val="20"/>
          <w:szCs w:val="20"/>
          <w:u w:val="single"/>
        </w:rPr>
        <w:t>See</w:t>
      </w:r>
      <w:r>
        <w:rPr>
          <w:sz w:val="20"/>
          <w:szCs w:val="20"/>
        </w:rPr>
        <w:t xml:space="preserve"> </w:t>
      </w:r>
      <w:r w:rsidRPr="00300411">
        <w:rPr>
          <w:sz w:val="20"/>
          <w:szCs w:val="20"/>
        </w:rPr>
        <w:t>“Buckling Up, Technologies to Increase Seat Belt Use,” Special Report 278, Committee for the Safety Belt Technology Study, www.TRB.org  We note that the examined systems were enhanced.</w:t>
      </w:r>
    </w:p>
  </w:footnote>
  <w:footnote w:id="15">
    <w:p w14:paraId="2715B61B" w14:textId="77777777" w:rsidR="00632E89" w:rsidRDefault="000F5B51" w:rsidP="00632E89">
      <w:pPr>
        <w:pStyle w:val="FootnoteText"/>
      </w:pPr>
      <w:r>
        <w:rPr>
          <w:rStyle w:val="FootnoteReference"/>
        </w:rPr>
        <w:footnoteRef/>
      </w:r>
      <w:r>
        <w:t xml:space="preserve"> A “basic” seat belt warning system is </w:t>
      </w:r>
      <w:r>
        <w:rPr>
          <w:szCs w:val="24"/>
        </w:rPr>
        <w:t xml:space="preserve">a system that provides a warning only for the for the driver’s seat belt, with the warning meeting only the minimum durational requirements of </w:t>
      </w:r>
      <w:r w:rsidRPr="00204EF9">
        <w:rPr>
          <w:szCs w:val="24"/>
        </w:rPr>
        <w:t>FMVSS No. 208</w:t>
      </w:r>
      <w:r w:rsidR="001F2F92">
        <w:rPr>
          <w:szCs w:val="24"/>
        </w:rPr>
        <w:t xml:space="preserve">. </w:t>
      </w:r>
      <w:r>
        <w:rPr>
          <w:szCs w:val="24"/>
        </w:rPr>
        <w:t xml:space="preserve">An </w:t>
      </w:r>
      <w:r w:rsidRPr="00225E6A">
        <w:t>“</w:t>
      </w:r>
      <w:r>
        <w:t>e</w:t>
      </w:r>
      <w:r w:rsidRPr="00225E6A">
        <w:t>nhanced” seat belt warning system</w:t>
      </w:r>
      <w:r>
        <w:t xml:space="preserve"> is a </w:t>
      </w:r>
      <w:r w:rsidRPr="00225E6A">
        <w:t>seat belt warning system with warning signals that exceed the maximum durational requirements of FMVSS No. 208 S7.3 (e.g., audible warnings lasting longer than 8 seconds)</w:t>
      </w:r>
      <w:r w:rsidR="001F2F92">
        <w:t xml:space="preserve">. </w:t>
      </w:r>
      <w:r>
        <w:t>All enhanced warning systems have a warning for the driver’s seat belt; many, but not all, also have a warning specifically for the front outboard passenger seat belt</w:t>
      </w:r>
      <w:r w:rsidR="001F2F92">
        <w:t xml:space="preserve">. </w:t>
      </w:r>
      <w:r>
        <w:t>However, even warning systems without a passenger seat belt warning, can prompt the passenger to fasten the belt due to “spillover” effects.</w:t>
      </w:r>
    </w:p>
  </w:footnote>
  <w:footnote w:id="16">
    <w:p w14:paraId="06F7FE55" w14:textId="77777777" w:rsidR="00632E89" w:rsidRDefault="000F5B51" w:rsidP="00632E89">
      <w:pPr>
        <w:pStyle w:val="FootnoteText"/>
      </w:pPr>
      <w:r>
        <w:rPr>
          <w:rStyle w:val="FootnoteReference"/>
        </w:rPr>
        <w:footnoteRef/>
      </w:r>
      <w:r>
        <w:t xml:space="preserve"> </w:t>
      </w:r>
      <w:r w:rsidRPr="00A25FBB">
        <w:t xml:space="preserve">Freedman, M.; Levi, S.; Zador, P.; Lopdell, J.; and Bergeron, E. 2007. The effectiveness of enhanced seat belt </w:t>
      </w:r>
      <w:r>
        <w:t>warning</w:t>
      </w:r>
      <w:r w:rsidRPr="00A25FBB">
        <w:t xml:space="preserve"> systems: observational field data collection methodology and findings. Report no. DOT HS-810-844. Washington, DC: National Highwa</w:t>
      </w:r>
      <w:r>
        <w:t>y Traffic Safety Administration.</w:t>
      </w:r>
    </w:p>
  </w:footnote>
  <w:footnote w:id="17">
    <w:p w14:paraId="72E4B228" w14:textId="70333586" w:rsidR="00632E89" w:rsidRDefault="000F5B51" w:rsidP="00632E89">
      <w:pPr>
        <w:pStyle w:val="FootnoteText"/>
      </w:pPr>
      <w:r>
        <w:rPr>
          <w:rStyle w:val="FootnoteReference"/>
        </w:rPr>
        <w:footnoteRef/>
      </w:r>
      <w:r>
        <w:t xml:space="preserve"> Lerner, N., Singer, J., Huey, R., and Jenness, J., “</w:t>
      </w:r>
      <w:r w:rsidRPr="00AB7AC0">
        <w:rPr>
          <w:u w:val="single"/>
        </w:rPr>
        <w:t xml:space="preserve">Acceptability and Potential Effectiveness of Enhanced Seat Belt </w:t>
      </w:r>
      <w:r>
        <w:rPr>
          <w:u w:val="single"/>
        </w:rPr>
        <w:t>Warning</w:t>
      </w:r>
      <w:r w:rsidRPr="00AB7AC0">
        <w:rPr>
          <w:u w:val="single"/>
        </w:rPr>
        <w:t xml:space="preserve"> System Features</w:t>
      </w:r>
      <w:r>
        <w:t>,” Report #:  DOT HS 810 848, December 2007.</w:t>
      </w:r>
    </w:p>
  </w:footnote>
  <w:footnote w:id="18">
    <w:p w14:paraId="4A9399F9" w14:textId="77777777" w:rsidR="00632E89" w:rsidRPr="00BA0F90" w:rsidRDefault="000F5B51" w:rsidP="00632E89">
      <w:pPr>
        <w:pStyle w:val="FootnoteText"/>
      </w:pPr>
      <w:r>
        <w:rPr>
          <w:rStyle w:val="FootnoteReference"/>
        </w:rPr>
        <w:footnoteRef/>
      </w:r>
      <w:r>
        <w:t xml:space="preserve"> </w:t>
      </w:r>
      <w:r w:rsidRPr="00494B3C">
        <w:t>Fr</w:t>
      </w:r>
      <w:r w:rsidRPr="00BA0F90">
        <w:t xml:space="preserve">eedman, M., Lerner, N., Zador, P., Singer, J., and Levi, S. </w:t>
      </w:r>
      <w:r w:rsidRPr="00E52ABA">
        <w:t>Effectiveness and Acceptance of Enhanced Seat Belt Warning Systems:  Characteristics of Optimal Warning Systems</w:t>
      </w:r>
      <w:r w:rsidR="001F2F92">
        <w:t xml:space="preserve">. </w:t>
      </w:r>
      <w:r w:rsidRPr="00494B3C">
        <w:t>Report #:  DOT HS 811 097, February 2009.</w:t>
      </w:r>
    </w:p>
  </w:footnote>
  <w:footnote w:id="19">
    <w:p w14:paraId="1B86BF99" w14:textId="77777777" w:rsidR="00632E89" w:rsidRPr="00BA0F90" w:rsidRDefault="000F5B51" w:rsidP="00632E89">
      <w:pPr>
        <w:pStyle w:val="FootnoteText"/>
      </w:pPr>
      <w:r w:rsidRPr="00494B3C">
        <w:rPr>
          <w:rStyle w:val="FootnoteReference"/>
        </w:rPr>
        <w:footnoteRef/>
      </w:r>
      <w:r w:rsidRPr="00494B3C">
        <w:t xml:space="preserve"> Participants were mainly part-time seat belt users</w:t>
      </w:r>
      <w:r w:rsidR="001F2F92">
        <w:t xml:space="preserve">. </w:t>
      </w:r>
      <w:r w:rsidRPr="00494B3C">
        <w:t>Non-users of seat belts may be more opposed to enhanced SBRSs.</w:t>
      </w:r>
    </w:p>
  </w:footnote>
  <w:footnote w:id="20">
    <w:p w14:paraId="1B7117C4" w14:textId="77777777" w:rsidR="00632E89" w:rsidRPr="00BA0F90" w:rsidRDefault="000F5B51" w:rsidP="00632E89">
      <w:pPr>
        <w:pStyle w:val="FootnoteText"/>
      </w:pPr>
      <w:r w:rsidRPr="00494B3C">
        <w:rPr>
          <w:rStyle w:val="FootnoteReference"/>
        </w:rPr>
        <w:footnoteRef/>
      </w:r>
      <w:r w:rsidRPr="00494B3C">
        <w:t xml:space="preserve"> </w:t>
      </w:r>
      <w:r w:rsidRPr="00BA0F90">
        <w:t xml:space="preserve">Lerner, N., Singer, J., Robinson, E., Huey, R., Walrath, J., and Freedman, M. </w:t>
      </w:r>
      <w:r w:rsidRPr="00E52ABA">
        <w:t>Acceptability and Potential Effectiveness of Enhanced Seat Belt Warning System Features for Teenage Drivers and Passengers</w:t>
      </w:r>
      <w:r w:rsidR="001F2F92">
        <w:t xml:space="preserve">. </w:t>
      </w:r>
      <w:r w:rsidRPr="00BA0F90">
        <w:t>June 2009.</w:t>
      </w:r>
    </w:p>
  </w:footnote>
  <w:footnote w:id="21">
    <w:p w14:paraId="5CA9831B" w14:textId="77777777" w:rsidR="00D11DD8" w:rsidRDefault="000F5B51" w:rsidP="00D11DD8">
      <w:pPr>
        <w:pStyle w:val="FootnoteText"/>
      </w:pPr>
      <w:r>
        <w:rPr>
          <w:rStyle w:val="FootnoteReference"/>
        </w:rPr>
        <w:footnoteRef/>
      </w:r>
      <w:r>
        <w:t xml:space="preserve"> The previously active data systems of CDS and the General Estimates System(GES) have been retired</w:t>
      </w:r>
      <w:r w:rsidR="001F2F92">
        <w:t xml:space="preserve">. </w:t>
      </w:r>
      <w:r>
        <w:t>Data for these systems is still available and searchable, but future years are only available in other database structures</w:t>
      </w:r>
      <w:r w:rsidR="001F2F92">
        <w:t xml:space="preserve">. </w:t>
      </w:r>
      <w:r>
        <w:t xml:space="preserve">For further information about NHTSA’s evolving data systems, </w:t>
      </w:r>
      <w:r w:rsidRPr="00F94C5C">
        <w:t xml:space="preserve">NHTSA’s crash data collection program </w:t>
      </w:r>
      <w:r>
        <w:t xml:space="preserve">now </w:t>
      </w:r>
      <w:r w:rsidRPr="00F94C5C">
        <w:t xml:space="preserve">consists of </w:t>
      </w:r>
      <w:r>
        <w:t>the Crash Report Sampling System (</w:t>
      </w:r>
      <w:r w:rsidRPr="00F94C5C">
        <w:t>CRSS</w:t>
      </w:r>
      <w:r>
        <w:t>)</w:t>
      </w:r>
      <w:r w:rsidRPr="00F94C5C">
        <w:t>, the Fatality Analysis Reporting System (FARS), the Crash Investigation Sampling System (CISS), Special Crash Investigations (SCI), Non-Traffic Surveillance (NTS), the Crash Injury Research &amp; Engineering Network (CIREN), and special studies conducted to address various safety topics.</w:t>
      </w:r>
    </w:p>
  </w:footnote>
  <w:footnote w:id="22">
    <w:p w14:paraId="6E1798E5" w14:textId="77777777" w:rsidR="00C41808" w:rsidRDefault="000F5B51" w:rsidP="00C41808">
      <w:pPr>
        <w:pStyle w:val="FootnoteText"/>
      </w:pPr>
      <w:r>
        <w:rPr>
          <w:rStyle w:val="FootnoteReference"/>
        </w:rPr>
        <w:footnoteRef/>
      </w:r>
      <w:r>
        <w:t xml:space="preserve"> GM, Ford, and Chrysler produce the majority of vehicles sold in the U.S</w:t>
      </w:r>
      <w:r w:rsidR="001F2F92">
        <w:t xml:space="preserve">. </w:t>
      </w:r>
      <w:r>
        <w:t>GM and Ford were the first vehicle manufacturers to equip their vehicles with an enhanced seat belt warning system in the U.S</w:t>
      </w:r>
      <w:r w:rsidR="001F2F92">
        <w:t xml:space="preserve">. </w:t>
      </w:r>
      <w:r>
        <w:t xml:space="preserve">  </w:t>
      </w:r>
    </w:p>
  </w:footnote>
  <w:footnote w:id="23">
    <w:p w14:paraId="1A516D39" w14:textId="77777777" w:rsidR="00632E89" w:rsidRDefault="000F5B51" w:rsidP="00632E89">
      <w:pPr>
        <w:pStyle w:val="FootnoteText"/>
      </w:pPr>
      <w:r>
        <w:rPr>
          <w:rStyle w:val="FootnoteReference"/>
        </w:rPr>
        <w:footnoteRef/>
      </w:r>
      <w:r>
        <w:t xml:space="preserve"> </w:t>
      </w:r>
      <w:r w:rsidRPr="001231B5">
        <w:t xml:space="preserve">Robertson LS. </w:t>
      </w:r>
      <w:r w:rsidRPr="008F2AFF">
        <w:t>Safety belt use in automobiles with starter-interlock and buzzer-light warning systems. Am J Public Health. 1975 Dec; 65:1319–1325.</w:t>
      </w:r>
    </w:p>
  </w:footnote>
  <w:footnote w:id="24">
    <w:p w14:paraId="40D7EA11" w14:textId="77777777" w:rsidR="00632E89" w:rsidRDefault="000F5B51" w:rsidP="00632E89">
      <w:pPr>
        <w:pStyle w:val="FootnoteText"/>
      </w:pPr>
      <w:r>
        <w:rPr>
          <w:rStyle w:val="FootnoteReference"/>
        </w:rPr>
        <w:footnoteRef/>
      </w:r>
      <w:r>
        <w:t xml:space="preserve"> </w:t>
      </w:r>
      <w:r w:rsidRPr="007347DF">
        <w:t xml:space="preserve">A year earlier IIHS conducted a similar observational study on the required SBRS for the front outboard seats and its effect on the driver’s belt usage and did not find a statistically significant difference in the driver’s belt usage for vehicles with and without </w:t>
      </w:r>
      <w:r w:rsidRPr="00EE20BD">
        <w:t>the system</w:t>
      </w:r>
      <w:r>
        <w:t xml:space="preserve">. </w:t>
      </w:r>
      <w:r w:rsidRPr="001231B5">
        <w:t xml:space="preserve">Robertson, </w:t>
      </w:r>
      <w:r w:rsidRPr="00B04779">
        <w:t>L. S., and Haddon, W., Jr. The Buzzer-light</w:t>
      </w:r>
      <w:r w:rsidRPr="001231B5">
        <w:t xml:space="preserve"> Warning</w:t>
      </w:r>
      <w:r w:rsidRPr="00B04779">
        <w:t xml:space="preserve"> </w:t>
      </w:r>
      <w:r>
        <w:t>System and Safety Belt Use. Am. J. Public Health 64:814-815, 1974</w:t>
      </w:r>
      <w:r w:rsidR="001F2F92">
        <w:t xml:space="preserve">. </w:t>
      </w:r>
      <w:r>
        <w:t>As noted above, earlier seat belt usage studies do not reflect current occupant behavior.</w:t>
      </w:r>
    </w:p>
  </w:footnote>
  <w:footnote w:id="25">
    <w:p w14:paraId="363B5728" w14:textId="77777777" w:rsidR="00632E89" w:rsidRDefault="000F5B51" w:rsidP="00632E89">
      <w:pPr>
        <w:pStyle w:val="FootnoteText"/>
      </w:pPr>
      <w:r>
        <w:rPr>
          <w:rStyle w:val="FootnoteReference"/>
        </w:rPr>
        <w:footnoteRef/>
      </w:r>
      <w:r>
        <w:t xml:space="preserve"> </w:t>
      </w:r>
      <w:r w:rsidRPr="002676F4">
        <w:t xml:space="preserve">Kidd, D.G. and McCartt, A.T. 2013. Drivers' attitudes toward front or rear child passenger belt use and seat belt </w:t>
      </w:r>
      <w:r>
        <w:t>warning</w:t>
      </w:r>
      <w:r w:rsidRPr="002676F4">
        <w:t>s at these seating positions. Insurance Institute for Highway Safety</w:t>
      </w:r>
      <w:r>
        <w:t>, January 2013.</w:t>
      </w:r>
    </w:p>
  </w:footnote>
  <w:footnote w:id="26">
    <w:p w14:paraId="1D8B703A" w14:textId="77777777" w:rsidR="00632E89" w:rsidRDefault="000F5B51" w:rsidP="00632E89">
      <w:pPr>
        <w:pStyle w:val="FootnoteText"/>
      </w:pPr>
      <w:r>
        <w:rPr>
          <w:rStyle w:val="FootnoteReference"/>
        </w:rPr>
        <w:footnoteRef/>
      </w:r>
      <w:r>
        <w:t xml:space="preserve"> SAE paper 2012-01-0050 “Assessment Method of Effectiveness of Passenger Seat Belt Warning,” April 2012.</w:t>
      </w:r>
    </w:p>
  </w:footnote>
  <w:footnote w:id="27">
    <w:p w14:paraId="095D1A9E" w14:textId="77777777" w:rsidR="00632E89" w:rsidRDefault="000F5B51" w:rsidP="00632E89">
      <w:pPr>
        <w:pStyle w:val="FootnoteText"/>
      </w:pPr>
      <w:r>
        <w:rPr>
          <w:rStyle w:val="FootnoteReference"/>
        </w:rPr>
        <w:footnoteRef/>
      </w:r>
      <w:r>
        <w:t xml:space="preserve"> The one exception to this group was an audiovisual signal provided to both the driver and passenger that used an audible signal that was a melody.</w:t>
      </w:r>
    </w:p>
  </w:footnote>
  <w:footnote w:id="28">
    <w:p w14:paraId="53D2E60E" w14:textId="77777777" w:rsidR="00632E89" w:rsidRDefault="000F5B51" w:rsidP="00632E89">
      <w:pPr>
        <w:pStyle w:val="FootnoteText"/>
      </w:pPr>
      <w:r>
        <w:rPr>
          <w:rStyle w:val="FootnoteReference"/>
        </w:rPr>
        <w:footnoteRef/>
      </w:r>
      <w:r>
        <w:t xml:space="preserve"> “The effects of persistent audible seat belt reminders and a speed-limiting interlock on the seat belt use of drivers who do not always use a seat belt,” April 2019, David G. Kidd of Insurance Institute for Highway Safety, Jeremiah Singer of Westat, Inc.</w:t>
      </w:r>
    </w:p>
  </w:footnote>
  <w:footnote w:id="29">
    <w:p w14:paraId="5CD08BF0" w14:textId="77777777" w:rsidR="00BA5F68" w:rsidRDefault="000F5B51" w:rsidP="00BA5F68">
      <w:pPr>
        <w:pStyle w:val="FootnoteText"/>
      </w:pPr>
      <w:r>
        <w:rPr>
          <w:rStyle w:val="FootnoteReference"/>
        </w:rPr>
        <w:footnoteRef/>
      </w:r>
      <w:r>
        <w:t xml:space="preserve"> The IIHS study states or implies multiple times that the BMW was equipped with a 90-second audible reminder. However, at one point the study later states that the BMW system provided a warning almost every second for 100 seconds.</w:t>
      </w:r>
    </w:p>
    <w:p w14:paraId="479562C2" w14:textId="77777777" w:rsidR="00B03926" w:rsidRDefault="00B03926">
      <w:pPr>
        <w:pStyle w:val="FootnoteText"/>
      </w:pPr>
    </w:p>
  </w:footnote>
  <w:footnote w:id="30">
    <w:p w14:paraId="48FA8DE2" w14:textId="77777777" w:rsidR="0011234D" w:rsidRDefault="000F5B51" w:rsidP="0011234D">
      <w:pPr>
        <w:pStyle w:val="FootnoteText"/>
      </w:pPr>
      <w:r w:rsidRPr="00907A0E">
        <w:rPr>
          <w:vertAlign w:val="superscript"/>
        </w:rPr>
        <w:footnoteRef/>
      </w:r>
      <w:r w:rsidRPr="00592134">
        <w:t xml:space="preserve"> Note that (1) all the reductions are statistically significant at the 0.05 level, (2) the control group included crash involvements in which a vehicle: (i) was stopped, parked</w:t>
      </w:r>
      <w:r>
        <w:t xml:space="preserve">, backing up, or entering/leaving a parking space prior to the crash (ii) traveled at a speed less than 10 mph, (iii) was struck in the rear by another vehicle, or (iv) was a non-culpable party in a multi-vehicle crash on a dry road. </w:t>
      </w:r>
    </w:p>
  </w:footnote>
  <w:footnote w:id="31">
    <w:p w14:paraId="4F21F609" w14:textId="77777777" w:rsidR="0011234D" w:rsidRDefault="000F5B51" w:rsidP="0011234D">
      <w:pPr>
        <w:pStyle w:val="FootnoteText"/>
      </w:pPr>
      <w:r>
        <w:rPr>
          <w:rStyle w:val="FootnoteReference"/>
        </w:rPr>
        <w:footnoteRef/>
      </w:r>
      <w:r>
        <w:t xml:space="preserve"> A passenger car is any automobile (other than an automobile capable of off-highway operation) manufactured preliminarily for use in the transportation of no more than 10 individuals</w:t>
      </w:r>
      <w:r w:rsidR="001F2F92">
        <w:t xml:space="preserve">. </w:t>
      </w:r>
      <w:r>
        <w:t xml:space="preserve">A light truck is </w:t>
      </w:r>
      <w:r w:rsidRPr="004D0B8B">
        <w:t xml:space="preserve">a </w:t>
      </w:r>
      <w:r>
        <w:t>t</w:t>
      </w:r>
      <w:r w:rsidRPr="004D0B8B">
        <w:t xml:space="preserve">ruck or </w:t>
      </w:r>
      <w:r>
        <w:t xml:space="preserve">a </w:t>
      </w:r>
      <w:r w:rsidRPr="004D0B8B">
        <w:t>truck-based vehicle with a payload capacity of less than 4,000 pounds (1,815 kg)</w:t>
      </w:r>
      <w:r w:rsidR="001F2F92">
        <w:t xml:space="preserve">. </w:t>
      </w:r>
      <w:r>
        <w:t>A van is a fully enclosed vehicle as defined in 49 CFR §523.2.</w:t>
      </w:r>
    </w:p>
  </w:footnote>
  <w:footnote w:id="32">
    <w:p w14:paraId="64E8966D" w14:textId="77777777" w:rsidR="0011234D" w:rsidRDefault="000F5B51" w:rsidP="0011234D">
      <w:pPr>
        <w:pStyle w:val="FootnoteText"/>
      </w:pPr>
      <w:r>
        <w:rPr>
          <w:rStyle w:val="FootnoteReference"/>
        </w:rPr>
        <w:footnoteRef/>
      </w:r>
      <w:r>
        <w:t xml:space="preserve"> </w:t>
      </w:r>
      <w:hyperlink r:id="rId1" w:history="1">
        <w:r w:rsidRPr="002C51AB">
          <w:rPr>
            <w:rStyle w:val="Hyperlink"/>
          </w:rPr>
          <w:t>https://www.nhtsa.gov/sites/nhtsa.dot.gov/files/esc_fr_03_2007.pdf</w:t>
        </w:r>
      </w:hyperlink>
      <w:r>
        <w:t>, page 42 “and reduced fatal single vehicle crashes involving rollover by 69 percent in passenger cars and 88 percent in SUVs.”</w:t>
      </w:r>
    </w:p>
  </w:footnote>
  <w:footnote w:id="33">
    <w:p w14:paraId="49DFC7A9" w14:textId="77777777" w:rsidR="0011234D" w:rsidRPr="00CA1DA4" w:rsidRDefault="000F5B51" w:rsidP="0011234D">
      <w:pPr>
        <w:pStyle w:val="FootnoteText"/>
      </w:pPr>
      <w:r w:rsidRPr="00907A0E">
        <w:rPr>
          <w:vertAlign w:val="superscript"/>
        </w:rPr>
        <w:footnoteRef/>
      </w:r>
      <w:r>
        <w:t xml:space="preserve"> U</w:t>
      </w:r>
      <w:r w:rsidRPr="00CA1DA4">
        <w:t xml:space="preserve">nder the FMVSS No. 126, “Electronic </w:t>
      </w:r>
      <w:r>
        <w:t>s</w:t>
      </w:r>
      <w:r w:rsidRPr="00CA1DA4">
        <w:t xml:space="preserve">tability </w:t>
      </w:r>
      <w:r>
        <w:t>c</w:t>
      </w:r>
      <w:r w:rsidRPr="00CA1DA4">
        <w:t xml:space="preserve">ontrol </w:t>
      </w:r>
      <w:r>
        <w:t>systems,”</w:t>
      </w:r>
      <w:r w:rsidRPr="00CA1DA4">
        <w:t xml:space="preserve"> </w:t>
      </w:r>
      <w:r>
        <w:t xml:space="preserve">almost </w:t>
      </w:r>
      <w:r w:rsidRPr="00CA1DA4">
        <w:t xml:space="preserve">all </w:t>
      </w:r>
      <w:r>
        <w:t>model year (</w:t>
      </w:r>
      <w:r w:rsidRPr="00CA1DA4">
        <w:t>MY</w:t>
      </w:r>
      <w:r>
        <w:t>)</w:t>
      </w:r>
      <w:r w:rsidRPr="00CA1DA4">
        <w:t xml:space="preserve"> 2011 vehicles </w:t>
      </w:r>
      <w:r>
        <w:t xml:space="preserve">are </w:t>
      </w:r>
      <w:r w:rsidRPr="00CA1DA4">
        <w:t xml:space="preserve"> equipped with ESC.</w:t>
      </w:r>
      <w:r>
        <w:t xml:space="preserve"> See the following link for the ESC take rate: </w:t>
      </w:r>
      <w:r w:rsidRPr="00CA1DA4">
        <w:t xml:space="preserve"> </w:t>
      </w:r>
      <w:hyperlink r:id="rId2" w:history="1">
        <w:r w:rsidRPr="007631DB">
          <w:rPr>
            <w:rStyle w:val="Hyperlink"/>
          </w:rPr>
          <w:t>http://www.safercar.gov/Vehicle-Shoppers/Resources/Vehicles-with-ESC</w:t>
        </w:r>
      </w:hyperlink>
      <w:r>
        <w:t xml:space="preserve"> </w:t>
      </w:r>
      <w:r w:rsidRPr="00CA1DA4">
        <w:t xml:space="preserve"> </w:t>
      </w:r>
    </w:p>
  </w:footnote>
  <w:footnote w:id="34">
    <w:p w14:paraId="28FB8619" w14:textId="77777777" w:rsidR="00D11D9E" w:rsidRDefault="000F5B51">
      <w:pPr>
        <w:pStyle w:val="FootnoteText"/>
      </w:pPr>
      <w:r>
        <w:rPr>
          <w:rStyle w:val="FootnoteReference"/>
        </w:rPr>
        <w:footnoteRef/>
      </w:r>
      <w:r>
        <w:t xml:space="preserve"> Ward's Automotive Yearbook. 2003-2013. Detroit: Ward's Reports, Inc.</w:t>
      </w:r>
    </w:p>
  </w:footnote>
  <w:footnote w:id="35">
    <w:p w14:paraId="54542F8B" w14:textId="77777777" w:rsidR="00A540C1" w:rsidRDefault="000F5B51">
      <w:pPr>
        <w:pStyle w:val="FootnoteText"/>
      </w:pPr>
      <w:r>
        <w:rPr>
          <w:rStyle w:val="FootnoteReference"/>
        </w:rPr>
        <w:footnoteRef/>
      </w:r>
      <w:r>
        <w:t xml:space="preserve"> </w:t>
      </w:r>
      <w:hyperlink r:id="rId3" w:history="1">
        <w:r w:rsidR="00286011" w:rsidRPr="00286011">
          <w:rPr>
            <w:rStyle w:val="Hyperlink"/>
          </w:rPr>
          <w:t>https://www.regulations.gov/document/NHTSA-2015-0056-0002</w:t>
        </w:r>
      </w:hyperlink>
    </w:p>
  </w:footnote>
  <w:footnote w:id="36">
    <w:p w14:paraId="3CB0C5C2" w14:textId="77777777" w:rsidR="0062740C" w:rsidRDefault="000F5B51" w:rsidP="0062740C">
      <w:pPr>
        <w:pStyle w:val="FootnoteText"/>
      </w:pPr>
      <w:r>
        <w:rPr>
          <w:rStyle w:val="FootnoteReference"/>
        </w:rPr>
        <w:footnoteRef/>
      </w:r>
      <w:r>
        <w:t xml:space="preserve"> </w:t>
      </w:r>
      <w:r w:rsidRPr="00493540">
        <w:t>By applying the ESC effectiveness to the side impacts whether followed by rollovers or not, we are assuming that preventing the side impact would prevent subsequent rollovers</w:t>
      </w:r>
      <w:r w:rsidR="001F2F92">
        <w:t xml:space="preserve">. </w:t>
      </w:r>
      <w:r w:rsidRPr="00493540">
        <w:t>However, we expect some of the subsequent rollovers could occur even if the side impact is prevented</w:t>
      </w:r>
      <w:r w:rsidR="001F2F92">
        <w:t xml:space="preserve">. </w:t>
      </w:r>
      <w:r w:rsidRPr="00493540">
        <w:t>Therefore, by not including these un-prevented rollovers in the target population, we would slightly underestimate the potential benefits</w:t>
      </w:r>
      <w:r w:rsidR="001F2F92">
        <w:t xml:space="preserve">. </w:t>
      </w:r>
    </w:p>
  </w:footnote>
  <w:footnote w:id="37">
    <w:p w14:paraId="649F6A48" w14:textId="77777777" w:rsidR="00275A18" w:rsidRDefault="000F5B51">
      <w:pPr>
        <w:pStyle w:val="FootnoteText"/>
      </w:pPr>
      <w:r>
        <w:rPr>
          <w:rStyle w:val="FootnoteReference"/>
        </w:rPr>
        <w:footnoteRef/>
      </w:r>
      <w:r>
        <w:t xml:space="preserve"> </w:t>
      </w:r>
      <w:hyperlink r:id="rId4" w:history="1">
        <w:r w:rsidRPr="00275A18">
          <w:rPr>
            <w:rStyle w:val="Hyperlink"/>
          </w:rPr>
          <w:t>https://www.regulations.gov/document/NHTSA-2007-29134-0004</w:t>
        </w:r>
      </w:hyperlink>
    </w:p>
  </w:footnote>
  <w:footnote w:id="38">
    <w:p w14:paraId="52BD3EF2" w14:textId="77777777" w:rsidR="0011234D" w:rsidRDefault="000F5B51" w:rsidP="0011234D">
      <w:pPr>
        <w:pStyle w:val="FootnoteText"/>
      </w:pPr>
      <w:r>
        <w:rPr>
          <w:rStyle w:val="FootnoteReference"/>
        </w:rPr>
        <w:footnoteRef/>
      </w:r>
      <w:r>
        <w:t xml:space="preserve"> For additional discussion, see FRIA FMVSS No. 214, Docket No. </w:t>
      </w:r>
      <w:r w:rsidRPr="00B52D90">
        <w:t>NHTSA-</w:t>
      </w:r>
      <w:r>
        <w:t>2007-29134-0004, Table V-110 and Table V-104.</w:t>
      </w:r>
    </w:p>
  </w:footnote>
  <w:footnote w:id="39">
    <w:p w14:paraId="4124AE3E" w14:textId="77777777" w:rsidR="00F830FE" w:rsidRDefault="000F5B51">
      <w:pPr>
        <w:pStyle w:val="FootnoteText"/>
      </w:pPr>
      <w:r>
        <w:rPr>
          <w:rStyle w:val="FootnoteReference"/>
        </w:rPr>
        <w:footnoteRef/>
      </w:r>
      <w:r>
        <w:t xml:space="preserve"> </w:t>
      </w:r>
      <w:hyperlink r:id="rId5" w:history="1">
        <w:r w:rsidRPr="00F830FE">
          <w:rPr>
            <w:rStyle w:val="Hyperlink"/>
          </w:rPr>
          <w:t>https://www.regulations.gov/document/NHTSA-2011-0004-0003</w:t>
        </w:r>
      </w:hyperlink>
    </w:p>
  </w:footnote>
  <w:footnote w:id="40">
    <w:p w14:paraId="373D62AE" w14:textId="77777777" w:rsidR="00CA3B44" w:rsidRDefault="000F5B51">
      <w:pPr>
        <w:pStyle w:val="FootnoteText"/>
      </w:pPr>
      <w:r>
        <w:rPr>
          <w:rStyle w:val="FootnoteReference"/>
        </w:rPr>
        <w:footnoteRef/>
      </w:r>
      <w:r>
        <w:t xml:space="preserve"> </w:t>
      </w:r>
      <w:hyperlink r:id="rId6" w:history="1">
        <w:r w:rsidRPr="00CA3B44">
          <w:rPr>
            <w:rStyle w:val="Hyperlink"/>
          </w:rPr>
          <w:t>https://www.regulations.gov/document/NHTSA-2009-0093-0004</w:t>
        </w:r>
      </w:hyperlink>
    </w:p>
  </w:footnote>
  <w:footnote w:id="41">
    <w:p w14:paraId="51E83307" w14:textId="7C411C71" w:rsidR="00D64FEC" w:rsidRDefault="00D64FEC" w:rsidP="00435D89">
      <w:pPr>
        <w:pStyle w:val="CommentText"/>
        <w:spacing w:after="0"/>
      </w:pPr>
      <w:r>
        <w:rPr>
          <w:rStyle w:val="FootnoteReference"/>
        </w:rPr>
        <w:footnoteRef/>
      </w:r>
      <w:r>
        <w:t xml:space="preserve"> </w:t>
      </w:r>
      <w:bookmarkStart w:id="93" w:name="_Hlk141708142"/>
      <w:r>
        <w:t>These estimates do not imply that restrained occupants are more likely to incur injur</w:t>
      </w:r>
      <w:r w:rsidR="00CB5D61">
        <w:t>ies or fatalities</w:t>
      </w:r>
      <w:r>
        <w:t xml:space="preserve">. Given that seat belt use rates are generally high, there are more restrained occupants than unrestrained on the road. Therefore, those populations have different exposure and corresponding probabilities of fatalities and non-fatal injuries. Furthermore, there are differences in the make-up, preferences, and risk tolerance for those populations. </w:t>
      </w:r>
      <w:bookmarkEnd w:id="93"/>
    </w:p>
  </w:footnote>
  <w:footnote w:id="42">
    <w:p w14:paraId="768692C8" w14:textId="00BCB093" w:rsidR="00D64FEC" w:rsidRDefault="00D64FEC" w:rsidP="00D64FEC">
      <w:pPr>
        <w:pStyle w:val="CommentText"/>
      </w:pPr>
      <w:r>
        <w:rPr>
          <w:rStyle w:val="FootnoteReference"/>
        </w:rPr>
        <w:footnoteRef/>
      </w:r>
      <w:r>
        <w:t xml:space="preserve"> These estimates do not imply that restrained occupants are more likely to incur injur</w:t>
      </w:r>
      <w:r w:rsidR="00CB5D61">
        <w:t>ies or fatalities</w:t>
      </w:r>
      <w:r>
        <w:t>. Given that seat belt use rates are generally high, there are more restrained occupants than unrestrained on the road. Therefore, those populations have different exposure and corresponding probabilities of fatalities and non-fatal injuries. Furthermore, there are differences in the make-up, preferences, and risk tolerance for those populations.</w:t>
      </w:r>
    </w:p>
  </w:footnote>
  <w:footnote w:id="43">
    <w:p w14:paraId="48FF851A" w14:textId="77777777" w:rsidR="007B0999" w:rsidRDefault="000F5B51" w:rsidP="007B0999">
      <w:pPr>
        <w:pStyle w:val="FootnoteText"/>
      </w:pPr>
      <w:r>
        <w:rPr>
          <w:rStyle w:val="FootnoteReference"/>
        </w:rPr>
        <w:footnoteRef/>
      </w:r>
      <w:r>
        <w:t xml:space="preserve"> No previous rear seat injury belt effectiveness was available</w:t>
      </w:r>
      <w:r w:rsidR="001F2F92">
        <w:t xml:space="preserve">. </w:t>
      </w:r>
      <w:r>
        <w:t>However, front seat belt effectiveness for fatalities and injuries were both available</w:t>
      </w:r>
      <w:r w:rsidR="001F2F92">
        <w:t xml:space="preserve">. </w:t>
      </w:r>
      <w:r>
        <w:t>Thus, Rear Seat Fatality effectiveness was multiplied by the ratio of (Front Seat Injury Belt Effectiveness</w:t>
      </w:r>
      <w:r w:rsidRPr="00EE0018">
        <w:t xml:space="preserve"> </w:t>
      </w:r>
      <w:r>
        <w:t>/ Front Seat Fatality Belt Effectiveness) to create an estimate of Rear Seat Injury Belt Effectiveness</w:t>
      </w:r>
      <w:r w:rsidR="001F2F92">
        <w:t xml:space="preserve">. </w:t>
      </w:r>
      <w:r>
        <w:t>This was done for MAIS 2-5 as a group</w:t>
      </w:r>
      <w:r w:rsidR="001F2F92">
        <w:t xml:space="preserve">. </w:t>
      </w:r>
      <w:r>
        <w:t>We assumed the same value for MAIS 1 belt effectiveness due to limited data</w:t>
      </w:r>
      <w:r w:rsidR="001F2F92">
        <w:t xml:space="preserve">. </w:t>
      </w:r>
    </w:p>
  </w:footnote>
  <w:footnote w:id="44">
    <w:p w14:paraId="0DA212C3" w14:textId="77777777" w:rsidR="00DF2113" w:rsidRDefault="000F5B51" w:rsidP="00DF2113">
      <w:pPr>
        <w:pStyle w:val="FootnoteText"/>
      </w:pPr>
      <w:r>
        <w:rPr>
          <w:rStyle w:val="FootnoteReference"/>
        </w:rPr>
        <w:footnoteRef/>
      </w:r>
      <w:r>
        <w:t xml:space="preserve"> “Lives Saved Calculations for Seat Belts and Frontal Air Bags.” DOT HS 811206, Dec 2009, p 18-19, p. 20</w:t>
      </w:r>
    </w:p>
  </w:footnote>
  <w:footnote w:id="45">
    <w:p w14:paraId="1DB66DED" w14:textId="77777777" w:rsidR="000A2147" w:rsidRDefault="000F5B51" w:rsidP="000A2147">
      <w:pPr>
        <w:pStyle w:val="FootnoteText"/>
      </w:pPr>
      <w:r>
        <w:rPr>
          <w:rStyle w:val="FootnoteReference"/>
        </w:rPr>
        <w:footnoteRef/>
      </w:r>
      <w:r>
        <w:t xml:space="preserve"> As discussed in the Benefits chapter, in the most recent NHTSA report on safety effectiveness report (DOT HS 809 199), the agency did not examine the belt effectiveness against non-fatal injuries</w:t>
      </w:r>
      <w:r w:rsidR="001F2F92">
        <w:t xml:space="preserve">. </w:t>
      </w:r>
      <w:r>
        <w:t xml:space="preserve">For injuries, the effectiveness is based on a report titled “Estimating the Benefits from Increased Safety Belt Use.”  See Appendix </w:t>
      </w:r>
      <w:r w:rsidR="00A70837">
        <w:t>J</w:t>
      </w:r>
      <w:r>
        <w:t xml:space="preserve"> for an expanded explanation of how these belt effectiveness rates were calculated</w:t>
      </w:r>
      <w:r w:rsidR="001F2F92">
        <w:t xml:space="preserve">. </w:t>
      </w:r>
      <w:r>
        <w:t>It shows that age is borderline significant, so it’s reasonable to use one effectiveness estimate for all concerned occupants</w:t>
      </w:r>
      <w:r w:rsidR="001F2F92">
        <w:t xml:space="preserve">. </w:t>
      </w:r>
    </w:p>
  </w:footnote>
  <w:footnote w:id="46">
    <w:p w14:paraId="7AA3E194" w14:textId="77777777" w:rsidR="000A2147" w:rsidRDefault="000F5B51" w:rsidP="000A2147">
      <w:pPr>
        <w:pStyle w:val="FootnoteText"/>
      </w:pPr>
      <w:r>
        <w:rPr>
          <w:rStyle w:val="FootnoteReference"/>
        </w:rPr>
        <w:footnoteRef/>
      </w:r>
      <w:r>
        <w:t xml:space="preserve"> </w:t>
      </w:r>
      <w:r w:rsidRPr="005C5711">
        <w:t>Assuming that children in booster seats are safer than their peers in simple seat belts, we can speculate that all children in either booster seats or seat belts (because both use the same seat belt for restraint) would benefit from SBWS warning systems similarly</w:t>
      </w:r>
      <w:r w:rsidR="001F2F92">
        <w:t xml:space="preserve">. </w:t>
      </w:r>
      <w:r w:rsidRPr="005C5711">
        <w:t xml:space="preserve">Furthermore, we can underestimate the effectiveness of booster seats in this case to keep the overall child </w:t>
      </w:r>
      <w:r>
        <w:t xml:space="preserve">restraint </w:t>
      </w:r>
      <w:r w:rsidRPr="005C5711">
        <w:t>benefits conservative</w:t>
      </w:r>
      <w:r w:rsidR="001F2F92">
        <w:t xml:space="preserve">. </w:t>
      </w:r>
    </w:p>
  </w:footnote>
  <w:footnote w:id="47">
    <w:p w14:paraId="7C11EBB7" w14:textId="77777777" w:rsidR="008063A8" w:rsidRDefault="000F5B51" w:rsidP="008063A8">
      <w:pPr>
        <w:pStyle w:val="FootnoteText"/>
      </w:pPr>
      <w:r>
        <w:rPr>
          <w:rStyle w:val="FootnoteReference"/>
        </w:rPr>
        <w:footnoteRef/>
      </w:r>
      <w:r>
        <w:t xml:space="preserve"> </w:t>
      </w:r>
      <w:r w:rsidRPr="00AE4D76">
        <w:t>The Effectiveness of Enhanced Seat Belt Reminder December 2007</w:t>
      </w:r>
      <w:r>
        <w:t xml:space="preserve"> </w:t>
      </w:r>
      <w:r w:rsidRPr="00AE4D76">
        <w:t>Systems – Observational Field Data Collection Methodology and Findings</w:t>
      </w:r>
      <w:r>
        <w:t xml:space="preserve">, </w:t>
      </w:r>
      <w:r w:rsidRPr="00AE4D76">
        <w:t>DOT HS 810 844</w:t>
      </w:r>
      <w:r>
        <w:t xml:space="preserve">, </w:t>
      </w:r>
      <w:r w:rsidRPr="00AE4D76">
        <w:t>December 2007</w:t>
      </w:r>
      <w:r>
        <w:t>.</w:t>
      </w:r>
    </w:p>
  </w:footnote>
  <w:footnote w:id="48">
    <w:p w14:paraId="568CBC8C" w14:textId="77777777" w:rsidR="001973DF" w:rsidRDefault="000F5B51" w:rsidP="001973DF">
      <w:pPr>
        <w:pStyle w:val="FootnoteText"/>
      </w:pPr>
      <w:r>
        <w:rPr>
          <w:rStyle w:val="FootnoteReference"/>
        </w:rPr>
        <w:footnoteRef/>
      </w:r>
      <w:r>
        <w:t xml:space="preserve"> Note that while this table shows the values 3.4% to 5.1%, due to the close nature of benefits calculations and balance point calculation, the values internally used in calculations are 3.4105% and 5.1157%, but for brevity these are referred to as “3” and “5” percent, respectively</w:t>
      </w:r>
      <w:r w:rsidR="001F2F92">
        <w:t xml:space="preserve">. </w:t>
      </w:r>
    </w:p>
  </w:footnote>
  <w:footnote w:id="49">
    <w:p w14:paraId="702A2471" w14:textId="77777777" w:rsidR="001973DF" w:rsidRDefault="000F5B51" w:rsidP="001973DF">
      <w:pPr>
        <w:pStyle w:val="FootnoteText"/>
      </w:pPr>
      <w:r>
        <w:rPr>
          <w:rStyle w:val="FootnoteReference"/>
        </w:rPr>
        <w:footnoteRef/>
      </w:r>
      <w:r>
        <w:t xml:space="preserve"> Y </w:t>
      </w:r>
      <w:r>
        <w:rPr>
          <w:vertAlign w:val="subscript"/>
        </w:rPr>
        <w:t>Expected future rear seat belt use rate with SBWS</w:t>
      </w:r>
      <w:r>
        <w:t xml:space="preserve"> = -0.2143x(0.75 </w:t>
      </w:r>
      <w:r>
        <w:rPr>
          <w:vertAlign w:val="subscript"/>
        </w:rPr>
        <w:t>rear belt use rate</w:t>
      </w:r>
      <w:r>
        <w:t>) + 0.2143</w:t>
      </w:r>
      <w:r w:rsidR="001F2F92">
        <w:t xml:space="preserve">. </w:t>
      </w:r>
      <w:r>
        <w:t xml:space="preserve">Y = 0.05375 (5.1%) </w:t>
      </w:r>
    </w:p>
  </w:footnote>
  <w:footnote w:id="50">
    <w:p w14:paraId="33A78026" w14:textId="77777777" w:rsidR="00005799" w:rsidRDefault="00005799" w:rsidP="00005799">
      <w:pPr>
        <w:pStyle w:val="FootnoteText"/>
      </w:pPr>
      <w:r>
        <w:rPr>
          <w:rStyle w:val="FootnoteReference"/>
        </w:rPr>
        <w:footnoteRef/>
      </w:r>
      <w:r>
        <w:t xml:space="preserve"> Traffic Safety Facts Research Note, Belt Use Regression Model - 2003 Update</w:t>
      </w:r>
    </w:p>
    <w:p w14:paraId="6E700F3B" w14:textId="3BEC00C8" w:rsidR="00005799" w:rsidRDefault="00005799" w:rsidP="00005799">
      <w:pPr>
        <w:pStyle w:val="FootnoteText"/>
      </w:pPr>
      <w:r>
        <w:t>https://crashstats.nhtsa.dot.gov/Api/Public/ViewPublication/809639</w:t>
      </w:r>
    </w:p>
  </w:footnote>
  <w:footnote w:id="51">
    <w:p w14:paraId="6CFC613B" w14:textId="193C9C94" w:rsidR="004002B6" w:rsidRPr="00E96933" w:rsidRDefault="000F5B51" w:rsidP="004002B6">
      <w:pPr>
        <w:spacing w:after="0" w:line="240" w:lineRule="auto"/>
        <w:contextualSpacing/>
        <w:rPr>
          <w:rFonts w:cs="Times New Roman"/>
          <w:sz w:val="20"/>
          <w:szCs w:val="20"/>
        </w:rPr>
      </w:pPr>
      <w:r>
        <w:rPr>
          <w:rStyle w:val="FootnoteReference"/>
        </w:rPr>
        <w:footnoteRef/>
      </w:r>
      <w:r>
        <w:t xml:space="preserve"> </w:t>
      </w:r>
      <w:r w:rsidRPr="00E96933">
        <w:rPr>
          <w:sz w:val="20"/>
          <w:szCs w:val="18"/>
        </w:rPr>
        <w:t>The calculation of seat belt use rate in</w:t>
      </w:r>
      <w:r w:rsidR="00915504">
        <w:rPr>
          <w:sz w:val="20"/>
          <w:szCs w:val="18"/>
        </w:rPr>
        <w:t xml:space="preserve"> </w:t>
      </w:r>
      <w:r w:rsidR="00915504" w:rsidRPr="00915504">
        <w:rPr>
          <w:sz w:val="20"/>
          <w:szCs w:val="18"/>
        </w:rPr>
        <w:t>potentially</w:t>
      </w:r>
      <w:r w:rsidRPr="00E96933">
        <w:rPr>
          <w:sz w:val="20"/>
          <w:szCs w:val="18"/>
        </w:rPr>
        <w:t xml:space="preserve"> fatal crashes makes use of the following formula: </w:t>
      </w:r>
      <m:oMath>
        <m:r>
          <w:rPr>
            <w:rFonts w:ascii="Cambria Math" w:hAnsi="Cambria Math" w:cs="Times New Roman"/>
            <w:sz w:val="20"/>
            <w:szCs w:val="20"/>
          </w:rPr>
          <m:t>u.=0.43751*</m:t>
        </m:r>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0</m:t>
            </m:r>
          </m:sub>
        </m:sSub>
        <m:r>
          <w:rPr>
            <w:rFonts w:ascii="Cambria Math" w:hAnsi="Cambria Math" w:cs="Times New Roman"/>
            <w:sz w:val="20"/>
            <w:szCs w:val="20"/>
          </w:rPr>
          <m:t>+0.47249*</m:t>
        </m:r>
        <m:sSubSup>
          <m:sSubSupPr>
            <m:ctrlPr>
              <w:rPr>
                <w:rFonts w:ascii="Cambria Math" w:hAnsi="Cambria Math" w:cs="Times New Roman"/>
                <w:i/>
                <w:sz w:val="20"/>
                <w:szCs w:val="20"/>
              </w:rPr>
            </m:ctrlPr>
          </m:sSubSupPr>
          <m:e>
            <m:r>
              <w:rPr>
                <w:rFonts w:ascii="Cambria Math" w:hAnsi="Cambria Math" w:cs="Times New Roman"/>
                <w:sz w:val="20"/>
                <w:szCs w:val="20"/>
              </w:rPr>
              <m:t>u</m:t>
            </m:r>
          </m:e>
          <m:sub>
            <m:r>
              <w:rPr>
                <w:rFonts w:ascii="Cambria Math" w:hAnsi="Cambria Math" w:cs="Times New Roman"/>
                <w:sz w:val="20"/>
                <w:szCs w:val="20"/>
              </w:rPr>
              <m:t>0</m:t>
            </m:r>
          </m:sub>
          <m:sup>
            <m:r>
              <w:rPr>
                <w:rFonts w:ascii="Cambria Math" w:hAnsi="Cambria Math" w:cs="Times New Roman"/>
                <w:sz w:val="20"/>
                <w:szCs w:val="20"/>
              </w:rPr>
              <m:t>2</m:t>
            </m:r>
          </m:sup>
        </m:sSubSup>
      </m:oMath>
    </w:p>
    <w:p w14:paraId="292B1670" w14:textId="77777777" w:rsidR="004002B6" w:rsidRDefault="004002B6" w:rsidP="004002B6">
      <w:pPr>
        <w:pStyle w:val="FootnoteText"/>
        <w:jc w:val="both"/>
      </w:pPr>
    </w:p>
  </w:footnote>
  <w:footnote w:id="52">
    <w:p w14:paraId="13C5D4D5" w14:textId="43EC4E61" w:rsidR="003A6772" w:rsidRDefault="003A6772">
      <w:pPr>
        <w:pStyle w:val="FootnoteText"/>
      </w:pPr>
      <w:r>
        <w:rPr>
          <w:rStyle w:val="FootnoteReference"/>
        </w:rPr>
        <w:footnoteRef/>
      </w:r>
      <w:r>
        <w:t xml:space="preserve"> Greenwell, N. K. (2015, May). Results of the National Child Restraint Use Special Study (NCRUSS) (Report No. DOT HS 812 142). Washington, DC: National Highway Traffic Safety Administration. https://crashstats.nhtsa.dot.gov/ Api/Public/ViewPublication/812142</w:t>
      </w:r>
    </w:p>
  </w:footnote>
  <w:footnote w:id="53">
    <w:p w14:paraId="71F02860" w14:textId="3EDA0642" w:rsidR="00D75BCB" w:rsidRDefault="00D75BCB" w:rsidP="00D75BCB">
      <w:pPr>
        <w:pStyle w:val="FootnoteText"/>
      </w:pPr>
      <w:r>
        <w:rPr>
          <w:rStyle w:val="FootnoteReference"/>
        </w:rPr>
        <w:footnoteRef/>
      </w:r>
      <w:r>
        <w:t xml:space="preserve"> </w:t>
      </w:r>
      <w:r w:rsidR="00F75D33" w:rsidRPr="00F75D33">
        <w:t>NHTSA Traffic Safety Facts, “Belt Use Regression Model” Jing-Shiam Wang and Lawrence Blincoe,  http://www-nrd.nhtsa.dot.gov/Pubs/809639.PDF</w:t>
      </w:r>
      <w:r>
        <w:t>Traffic Safety Facts Research Note, Belt Use Regression Model - 2003 Update</w:t>
      </w:r>
      <w:r w:rsidR="00F75D33">
        <w:t>.</w:t>
      </w:r>
    </w:p>
  </w:footnote>
  <w:footnote w:id="54">
    <w:p w14:paraId="75087FDB" w14:textId="12E30992" w:rsidR="002C5E2E" w:rsidRDefault="000F5B51" w:rsidP="002C5E2E">
      <w:pPr>
        <w:pStyle w:val="FootnoteText"/>
      </w:pPr>
      <w:r>
        <w:rPr>
          <w:rStyle w:val="FootnoteReference"/>
        </w:rPr>
        <w:footnoteRef/>
      </w:r>
      <w:r>
        <w:t xml:space="preserve"> Using </w:t>
      </w:r>
      <w:r>
        <w:rPr>
          <w:szCs w:val="24"/>
        </w:rPr>
        <w:t xml:space="preserve">the equation </w:t>
      </w:r>
      <w:r w:rsidR="00C7676D">
        <w:rPr>
          <w:szCs w:val="24"/>
        </w:rPr>
        <w:t xml:space="preserve">Seat belt use in </w:t>
      </w:r>
      <w:r w:rsidR="00915504" w:rsidRPr="00915504">
        <w:rPr>
          <w:szCs w:val="24"/>
        </w:rPr>
        <w:t xml:space="preserve">potentially </w:t>
      </w:r>
      <w:r w:rsidR="00C7676D">
        <w:rPr>
          <w:szCs w:val="24"/>
        </w:rPr>
        <w:t>fatal crashes</w:t>
      </w:r>
      <w:r w:rsidRPr="00D45A69">
        <w:rPr>
          <w:szCs w:val="24"/>
        </w:rPr>
        <w:t xml:space="preserve"> = 0.43751*(Observed belt use rate) + 0.47249*(Observed belt use rate^2)</w:t>
      </w:r>
    </w:p>
  </w:footnote>
  <w:footnote w:id="55">
    <w:p w14:paraId="621DE519" w14:textId="77777777" w:rsidR="00A2399A" w:rsidRDefault="000F5B51" w:rsidP="00A2399A">
      <w:pPr>
        <w:pStyle w:val="FootnoteText"/>
      </w:pPr>
      <w:r>
        <w:rPr>
          <w:rStyle w:val="FootnoteReference"/>
        </w:rPr>
        <w:footnoteRef/>
      </w:r>
      <w:r>
        <w:t xml:space="preserve"> </w:t>
      </w:r>
      <w:hyperlink r:id="rId7" w:history="1">
        <w:r w:rsidRPr="00427AEF">
          <w:rPr>
            <w:rStyle w:val="Hyperlink"/>
          </w:rPr>
          <w:t>https://meps.ahrq.gov/data_files/publications/st62/stat62.shtml</w:t>
        </w:r>
      </w:hyperlink>
    </w:p>
    <w:p w14:paraId="2FEAE9B1" w14:textId="77777777" w:rsidR="00A2399A" w:rsidRDefault="00A2399A" w:rsidP="00A2399A">
      <w:pPr>
        <w:pStyle w:val="FootnoteText"/>
      </w:pPr>
    </w:p>
  </w:footnote>
  <w:footnote w:id="56">
    <w:p w14:paraId="6213FD92" w14:textId="77777777" w:rsidR="00165061" w:rsidRDefault="000F5B51" w:rsidP="00165061">
      <w:pPr>
        <w:pStyle w:val="FootnoteText"/>
      </w:pPr>
      <w:r>
        <w:rPr>
          <w:rStyle w:val="FootnoteReference"/>
        </w:rPr>
        <w:footnoteRef/>
      </w:r>
      <w:r>
        <w:t xml:space="preserve"> “The effects of persistent audible seat belt reminders and a speed-limiting interlock on the seat belt use of drivers who do not always use a seat belt,” April 2019, David G. Kidd Insurance Institute for Highway Safety, Jeremiah Singer Westat, Inc.</w:t>
      </w:r>
    </w:p>
  </w:footnote>
  <w:footnote w:id="57">
    <w:p w14:paraId="33F3B4D0" w14:textId="77777777" w:rsidR="005562FA" w:rsidRDefault="000F5B51">
      <w:pPr>
        <w:pStyle w:val="FootnoteText"/>
      </w:pPr>
      <w:r>
        <w:rPr>
          <w:rStyle w:val="FootnoteReference"/>
        </w:rPr>
        <w:footnoteRef/>
      </w:r>
      <w:r>
        <w:t xml:space="preserve"> </w:t>
      </w:r>
      <w:r w:rsidR="00905E75">
        <w:t>Since</w:t>
      </w:r>
      <w:r w:rsidR="00D95E0E">
        <w:t xml:space="preserve"> the BMW</w:t>
      </w:r>
      <w:r w:rsidR="00B85297">
        <w:t xml:space="preserve"> </w:t>
      </w:r>
      <w:r w:rsidR="00A909E7">
        <w:t xml:space="preserve">in the Kidd study </w:t>
      </w:r>
      <w:r w:rsidR="00B85297">
        <w:t>was equipped with a</w:t>
      </w:r>
      <w:r w:rsidR="0036194D">
        <w:t xml:space="preserve">n audible </w:t>
      </w:r>
      <w:r w:rsidR="00D53421">
        <w:t>seat belt warning with a duration of 100 seconds,</w:t>
      </w:r>
      <w:r w:rsidR="00905E75">
        <w:t xml:space="preserve"> </w:t>
      </w:r>
      <w:r w:rsidR="00FF201C">
        <w:t>it fall</w:t>
      </w:r>
      <w:r w:rsidR="00AE3169">
        <w:t>s</w:t>
      </w:r>
      <w:r w:rsidR="00FF201C">
        <w:t xml:space="preserve"> in the </w:t>
      </w:r>
      <w:r w:rsidR="00192DDF">
        <w:t xml:space="preserve">“90-second” </w:t>
      </w:r>
      <w:r w:rsidR="00FF201C">
        <w:t xml:space="preserve">group </w:t>
      </w:r>
      <w:r w:rsidR="002B5911">
        <w:t>which represents</w:t>
      </w:r>
      <w:r w:rsidR="00FF201C">
        <w:t xml:space="preserve"> </w:t>
      </w:r>
      <w:r w:rsidR="00121C3D">
        <w:t>audible warning duration of 90 seconds or 90+ seconds but not indefinite as</w:t>
      </w:r>
      <w:r w:rsidR="00FF201C">
        <w:t xml:space="preserve"> </w:t>
      </w:r>
      <w:r w:rsidR="007D36A5">
        <w:t>shown in Table 9</w:t>
      </w:r>
      <w:r w:rsidR="00C21EA6">
        <w:t>.</w:t>
      </w:r>
      <w:r w:rsidR="00F13F25">
        <w:t xml:space="preserve"> </w:t>
      </w:r>
    </w:p>
  </w:footnote>
  <w:footnote w:id="58">
    <w:p w14:paraId="49C4F9A8" w14:textId="01FC3082" w:rsidR="00766110" w:rsidRDefault="00766110">
      <w:pPr>
        <w:pStyle w:val="FootnoteText"/>
      </w:pPr>
      <w:r>
        <w:rPr>
          <w:rStyle w:val="FootnoteReference"/>
        </w:rPr>
        <w:footnoteRef/>
      </w:r>
      <w:r>
        <w:t xml:space="preserve"> </w:t>
      </w:r>
      <w:r w:rsidRPr="00766110">
        <w:t>NHTSA Traffic Safety Facts, “Belt Use Regression Model” Jing-Shiam Wang and Lawrence Blincoe,  http://www-nrd.nhtsa.dot.gov/Pubs/809639.PDF</w:t>
      </w:r>
    </w:p>
  </w:footnote>
  <w:footnote w:id="59">
    <w:p w14:paraId="276C632F" w14:textId="77777777" w:rsidR="00165061" w:rsidRDefault="000F5B51" w:rsidP="00165061">
      <w:pPr>
        <w:pStyle w:val="FootnoteText"/>
      </w:pPr>
      <w:r>
        <w:rPr>
          <w:rStyle w:val="FootnoteReference"/>
        </w:rPr>
        <w:footnoteRef/>
      </w:r>
      <w:r>
        <w:t xml:space="preserve"> Traffic Safety Facts Research Note, Belt Use Regression Model - 2003 Update</w:t>
      </w:r>
    </w:p>
    <w:p w14:paraId="0425D0D4" w14:textId="77777777" w:rsidR="00165061" w:rsidRDefault="001809B4" w:rsidP="00165061">
      <w:pPr>
        <w:pStyle w:val="FootnoteText"/>
      </w:pPr>
      <w:hyperlink r:id="rId8" w:history="1">
        <w:r w:rsidR="000F5B51" w:rsidRPr="00DB0CAD">
          <w:rPr>
            <w:rStyle w:val="Hyperlink"/>
          </w:rPr>
          <w:t>https://crashstats.nhtsa.dot.gov/Api/Public/ViewPublication/809639</w:t>
        </w:r>
      </w:hyperlink>
    </w:p>
  </w:footnote>
  <w:footnote w:id="60">
    <w:p w14:paraId="39C904D2" w14:textId="1106AB04" w:rsidR="006709AC" w:rsidRPr="00E96933" w:rsidRDefault="000F5B51" w:rsidP="006709AC">
      <w:pPr>
        <w:spacing w:after="0" w:line="240" w:lineRule="auto"/>
        <w:contextualSpacing/>
        <w:rPr>
          <w:rFonts w:cs="Times New Roman"/>
          <w:sz w:val="20"/>
          <w:szCs w:val="20"/>
        </w:rPr>
      </w:pPr>
      <w:r>
        <w:rPr>
          <w:rStyle w:val="FootnoteReference"/>
        </w:rPr>
        <w:footnoteRef/>
      </w:r>
      <w:r>
        <w:t xml:space="preserve"> </w:t>
      </w:r>
      <w:r w:rsidRPr="00E96933">
        <w:rPr>
          <w:sz w:val="20"/>
          <w:szCs w:val="18"/>
        </w:rPr>
        <w:t xml:space="preserve">The calculation of seat belt use rate in </w:t>
      </w:r>
      <w:r w:rsidR="00915504" w:rsidRPr="00915504">
        <w:rPr>
          <w:sz w:val="20"/>
          <w:szCs w:val="18"/>
        </w:rPr>
        <w:t xml:space="preserve">potentially </w:t>
      </w:r>
      <w:r w:rsidRPr="00E96933">
        <w:rPr>
          <w:sz w:val="20"/>
          <w:szCs w:val="18"/>
        </w:rPr>
        <w:t xml:space="preserve">fatal crashes makes use of the following formula: </w:t>
      </w:r>
      <m:oMath>
        <m:r>
          <w:rPr>
            <w:rFonts w:ascii="Cambria Math" w:hAnsi="Cambria Math" w:cs="Times New Roman"/>
            <w:sz w:val="20"/>
            <w:szCs w:val="20"/>
          </w:rPr>
          <m:t>u.=0.43751*</m:t>
        </m:r>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0</m:t>
            </m:r>
          </m:sub>
        </m:sSub>
        <m:r>
          <w:rPr>
            <w:rFonts w:ascii="Cambria Math" w:hAnsi="Cambria Math" w:cs="Times New Roman"/>
            <w:sz w:val="20"/>
            <w:szCs w:val="20"/>
          </w:rPr>
          <m:t>+0.47249*</m:t>
        </m:r>
        <m:sSubSup>
          <m:sSubSupPr>
            <m:ctrlPr>
              <w:rPr>
                <w:rFonts w:ascii="Cambria Math" w:hAnsi="Cambria Math" w:cs="Times New Roman"/>
                <w:i/>
                <w:sz w:val="20"/>
                <w:szCs w:val="20"/>
              </w:rPr>
            </m:ctrlPr>
          </m:sSubSupPr>
          <m:e>
            <m:r>
              <w:rPr>
                <w:rFonts w:ascii="Cambria Math" w:hAnsi="Cambria Math" w:cs="Times New Roman"/>
                <w:sz w:val="20"/>
                <w:szCs w:val="20"/>
              </w:rPr>
              <m:t>u</m:t>
            </m:r>
          </m:e>
          <m:sub>
            <m:r>
              <w:rPr>
                <w:rFonts w:ascii="Cambria Math" w:hAnsi="Cambria Math" w:cs="Times New Roman"/>
                <w:sz w:val="20"/>
                <w:szCs w:val="20"/>
              </w:rPr>
              <m:t>0</m:t>
            </m:r>
          </m:sub>
          <m:sup>
            <m:r>
              <w:rPr>
                <w:rFonts w:ascii="Cambria Math" w:hAnsi="Cambria Math" w:cs="Times New Roman"/>
                <w:sz w:val="20"/>
                <w:szCs w:val="20"/>
              </w:rPr>
              <m:t>2</m:t>
            </m:r>
          </m:sup>
        </m:sSubSup>
      </m:oMath>
    </w:p>
    <w:p w14:paraId="6FCAC1C8" w14:textId="77777777" w:rsidR="006709AC" w:rsidRDefault="006709AC" w:rsidP="006709AC">
      <w:pPr>
        <w:pStyle w:val="FootnoteText"/>
        <w:jc w:val="both"/>
      </w:pPr>
    </w:p>
  </w:footnote>
  <w:footnote w:id="61">
    <w:p w14:paraId="5078F929" w14:textId="77777777" w:rsidR="00865A2D" w:rsidRDefault="000F5B51" w:rsidP="00865A2D">
      <w:pPr>
        <w:pStyle w:val="FootnoteText"/>
      </w:pPr>
      <w:r>
        <w:rPr>
          <w:rStyle w:val="FootnoteReference"/>
        </w:rPr>
        <w:footnoteRef/>
      </w:r>
      <w:r>
        <w:t xml:space="preserve"> This analysis will specify these specific system warning durations (seven-second and 90-second) instead of specifying the bins for ease of understanding. </w:t>
      </w:r>
    </w:p>
  </w:footnote>
  <w:footnote w:id="62">
    <w:p w14:paraId="4BFB7C20" w14:textId="77777777" w:rsidR="00865A2D" w:rsidRDefault="000F5B51" w:rsidP="00865A2D">
      <w:pPr>
        <w:pStyle w:val="FootnoteText"/>
      </w:pPr>
      <w:r>
        <w:rPr>
          <w:rStyle w:val="FootnoteReference"/>
        </w:rPr>
        <w:footnoteRef/>
      </w:r>
      <w:r>
        <w:t xml:space="preserve"> The IIHS study concluded that an </w:t>
      </w:r>
      <w:r w:rsidRPr="00311186">
        <w:t>enhanced seat belt reminder with at least 90 seconds of audible tones</w:t>
      </w:r>
      <w:r>
        <w:t>, but not indefinite,</w:t>
      </w:r>
      <w:r w:rsidRPr="00311186">
        <w:t xml:space="preserve"> increased the seat belt use </w:t>
      </w:r>
      <w:r>
        <w:t>by</w:t>
      </w:r>
      <w:r w:rsidRPr="00311186">
        <w:t xml:space="preserve"> 3</w:t>
      </w:r>
      <w:r>
        <w:t>0</w:t>
      </w:r>
      <w:r w:rsidRPr="00311186">
        <w:t xml:space="preserve">% relative to </w:t>
      </w:r>
      <w:r>
        <w:t>the</w:t>
      </w:r>
      <w:r w:rsidRPr="00311186">
        <w:t xml:space="preserve"> 7</w:t>
      </w:r>
      <w:r>
        <w:t>-</w:t>
      </w:r>
      <w:r w:rsidRPr="00311186">
        <w:t>second</w:t>
      </w:r>
      <w:r>
        <w:t xml:space="preserve"> warning</w:t>
      </w:r>
      <w:r w:rsidRPr="00311186">
        <w:t>.</w:t>
      </w:r>
      <w:r>
        <w:t xml:space="preserve">  This conclusion was based on the results for the BMW system that actually provided a 100-second audible warning.  Therefore, in this analysis we reference a 90-second warning since the IIHS report attributed the effectiveness of a 100-second warning to warnings that last at least 90-seconds.     </w:t>
      </w:r>
    </w:p>
  </w:footnote>
  <w:footnote w:id="63">
    <w:p w14:paraId="09D5B67D" w14:textId="77777777" w:rsidR="00AC1B9B" w:rsidRDefault="000F5B51" w:rsidP="00AC1B9B">
      <w:pPr>
        <w:pStyle w:val="FootnoteText"/>
      </w:pPr>
      <w:r>
        <w:rPr>
          <w:rStyle w:val="FootnoteReference"/>
        </w:rPr>
        <w:footnoteRef/>
      </w:r>
      <w:r>
        <w:t xml:space="preserve"> </w:t>
      </w:r>
      <w:r w:rsidRPr="007D6877">
        <w:t xml:space="preserve">Kidd, D.G. and McCartt, A.T. 2013. Drivers' attitudes toward front or rear child passenger belt use and seat belt </w:t>
      </w:r>
      <w:r>
        <w:t>warning</w:t>
      </w:r>
      <w:r w:rsidRPr="007D6877">
        <w:t>s at these seating positions. Arlington, VA: Insurance Institute for Highway Safety.</w:t>
      </w:r>
    </w:p>
  </w:footnote>
  <w:footnote w:id="64">
    <w:p w14:paraId="550ACBF9" w14:textId="77777777" w:rsidR="00992799" w:rsidRDefault="00992799" w:rsidP="00992799">
      <w:pPr>
        <w:pStyle w:val="FootnoteText"/>
      </w:pPr>
      <w:r>
        <w:rPr>
          <w:rStyle w:val="FootnoteReference"/>
        </w:rPr>
        <w:footnoteRef/>
      </w:r>
      <w:r>
        <w:t xml:space="preserve"> S. Peltzman, “The effects of automobile safety regulation,” The Journal</w:t>
      </w:r>
    </w:p>
    <w:p w14:paraId="0EBE2938" w14:textId="5B4D5585" w:rsidR="00992799" w:rsidRDefault="00992799" w:rsidP="00992799">
      <w:pPr>
        <w:pStyle w:val="FootnoteText"/>
      </w:pPr>
      <w:r>
        <w:t>of Political Economy, pp. 677–725, 1975</w:t>
      </w:r>
      <w:r w:rsidR="00DE6F57">
        <w:t>.</w:t>
      </w:r>
    </w:p>
  </w:footnote>
  <w:footnote w:id="65">
    <w:p w14:paraId="66C68B3C" w14:textId="77777777" w:rsidR="006B0051" w:rsidRDefault="000F5B51" w:rsidP="006B0051">
      <w:pPr>
        <w:pStyle w:val="FootnoteText"/>
      </w:pPr>
      <w:r>
        <w:rPr>
          <w:rStyle w:val="FootnoteReference"/>
        </w:rPr>
        <w:footnoteRef/>
      </w:r>
      <w:r>
        <w:t xml:space="preserve"> See the Notice of Proposed Rulemaking (NPRM) for the detailed discussion on the three compliance options. </w:t>
      </w:r>
    </w:p>
  </w:footnote>
  <w:footnote w:id="66">
    <w:p w14:paraId="69D874FB" w14:textId="77777777" w:rsidR="006B0051" w:rsidRDefault="000F5B51" w:rsidP="006B0051">
      <w:pPr>
        <w:pStyle w:val="FootnoteText"/>
      </w:pPr>
      <w:r>
        <w:rPr>
          <w:rStyle w:val="FootnoteReference"/>
        </w:rPr>
        <w:footnoteRef/>
      </w:r>
      <w:r>
        <w:t xml:space="preserve"> Consider a driver placing heavy luggage, or a pet, or groceries on a seat, not buckling the seatbelt, and then being alerted to the belt status throughout the trip</w:t>
      </w:r>
      <w:r w:rsidR="001F2F92">
        <w:t xml:space="preserve">. </w:t>
      </w:r>
      <w:r>
        <w:t>Such an alert (with no correction truly needed) is a false alarm</w:t>
      </w:r>
      <w:r w:rsidR="001F2F92">
        <w:t xml:space="preserve">. </w:t>
      </w:r>
      <w:r>
        <w:t>Similarly, presence of a Child Restraint System (CRS) secured by LATCH would not be buckled by the traditional belt buckle at the same time</w:t>
      </w:r>
      <w:r w:rsidR="001F2F92">
        <w:t xml:space="preserve">. </w:t>
      </w:r>
      <w:r>
        <w:t>Thus, a properly restrained child in a CRS might produce such a false alarm without correction</w:t>
      </w:r>
      <w:r w:rsidR="001F2F92">
        <w:t xml:space="preserve">. </w:t>
      </w:r>
    </w:p>
  </w:footnote>
  <w:footnote w:id="67">
    <w:p w14:paraId="300CA883" w14:textId="77777777" w:rsidR="006B0051" w:rsidRDefault="000F5B51" w:rsidP="006B0051">
      <w:pPr>
        <w:pStyle w:val="FootnoteText"/>
      </w:pPr>
      <w:r>
        <w:rPr>
          <w:rStyle w:val="FootnoteReference"/>
        </w:rPr>
        <w:footnoteRef/>
      </w:r>
      <w:r>
        <w:t xml:space="preserve"> We assumed the cost of additional wiring and visual displays is included in the estimated cost for a seat belt buckle sensor or spool out sensor.</w:t>
      </w:r>
    </w:p>
  </w:footnote>
  <w:footnote w:id="68">
    <w:p w14:paraId="0BE1BB68" w14:textId="3867DCD7" w:rsidR="00400EF9" w:rsidRDefault="00400EF9">
      <w:pPr>
        <w:pStyle w:val="FootnoteText"/>
      </w:pPr>
      <w:r>
        <w:rPr>
          <w:rStyle w:val="FootnoteReference"/>
        </w:rPr>
        <w:footnoteRef/>
      </w:r>
      <w:r>
        <w:t xml:space="preserve"> </w:t>
      </w:r>
      <w:r w:rsidRPr="00400EF9">
        <w:t>Ward's Automotive Yearbook. 2003-2013. Detroit: Ward's Reports, Inc.</w:t>
      </w:r>
    </w:p>
  </w:footnote>
  <w:footnote w:id="69">
    <w:p w14:paraId="62CF12B3" w14:textId="5C010F22" w:rsidR="00EC14AE" w:rsidRDefault="00EC14AE">
      <w:pPr>
        <w:pStyle w:val="FootnoteText"/>
      </w:pPr>
      <w:r>
        <w:rPr>
          <w:rStyle w:val="FootnoteReference"/>
        </w:rPr>
        <w:footnoteRef/>
      </w:r>
      <w:r>
        <w:t xml:space="preserve"> </w:t>
      </w:r>
      <w:r w:rsidR="002561F1" w:rsidRPr="002561F1">
        <w:t>Department of Transportation National Highway Traffic Safety Administration Office of Acquisition Management (NPO-320) West Building 51-117 1200 New Jersey Avenue, SE Washington, DC 20590 Contract Number: DTNH2216D00037/0002 Cost and Weight Analysis of Enhanced Seat Belt Reminder Systems Ricardo Inc. Detroit Technical Center Van Buren Twp., MI 48111 USA March 28, 2018.</w:t>
      </w:r>
    </w:p>
  </w:footnote>
  <w:footnote w:id="70">
    <w:p w14:paraId="584DBBD9" w14:textId="6D9F92E7" w:rsidR="002561F1" w:rsidRDefault="002561F1">
      <w:pPr>
        <w:pStyle w:val="FootnoteText"/>
      </w:pPr>
      <w:r>
        <w:rPr>
          <w:rStyle w:val="FootnoteReference"/>
        </w:rPr>
        <w:footnoteRef/>
      </w:r>
      <w:r>
        <w:t xml:space="preserve"> </w:t>
      </w:r>
      <w:r w:rsidRPr="002561F1">
        <w:t>Department of Transportation National Highway Traffic Safety Administration Office of Acquisition Management (NPO-320) West Building 51-117 1200 New Jersey Avenue, SE Washington, DC 20590 Contract Number: DTNH2216D00037/0002 Cost and Weight Analysis of Enhanced Seat Belt Reminder Systems Ricardo Inc. Detroit Technical Center Van Buren Twp., MI 48111 USA March 28, 2018.</w:t>
      </w:r>
    </w:p>
  </w:footnote>
  <w:footnote w:id="71">
    <w:p w14:paraId="70A96F92" w14:textId="77777777" w:rsidR="00C369A6" w:rsidRDefault="000F5B51" w:rsidP="00C369A6">
      <w:pPr>
        <w:pStyle w:val="FootnoteText"/>
      </w:pPr>
      <w:r>
        <w:rPr>
          <w:rStyle w:val="FootnoteReference"/>
        </w:rPr>
        <w:footnoteRef/>
      </w:r>
      <w:r>
        <w:t xml:space="preserve"> Main page for VSL </w:t>
      </w:r>
      <w:hyperlink r:id="rId9" w:history="1">
        <w:r w:rsidRPr="006175F4">
          <w:rPr>
            <w:rStyle w:val="Hyperlink"/>
          </w:rPr>
          <w:t>https://www.transportation.gov/regulations/economic-values-used-in-analysis</w:t>
        </w:r>
      </w:hyperlink>
    </w:p>
    <w:p w14:paraId="2F2A26E8" w14:textId="77777777" w:rsidR="00C369A6" w:rsidRDefault="001809B4" w:rsidP="00C369A6">
      <w:pPr>
        <w:pStyle w:val="FootnoteText"/>
      </w:pPr>
      <w:hyperlink r:id="rId10" w:history="1">
        <w:r w:rsidR="000F5B51" w:rsidRPr="006175F4">
          <w:rPr>
            <w:rStyle w:val="Hyperlink"/>
          </w:rPr>
          <w:t>https://www.transportation.gov/sites/dot.gov/files/docs/2016%20Revised%20Value%20of%20a%20Statistical%20Life%20Guidance.pdf</w:t>
        </w:r>
      </w:hyperlink>
    </w:p>
    <w:p w14:paraId="7F235749" w14:textId="77777777" w:rsidR="00C369A6" w:rsidRDefault="00C369A6" w:rsidP="00C369A6">
      <w:pPr>
        <w:pStyle w:val="FootnoteText"/>
      </w:pPr>
    </w:p>
  </w:footnote>
  <w:footnote w:id="72">
    <w:p w14:paraId="09D896E4" w14:textId="77777777" w:rsidR="007C33A7" w:rsidRDefault="000F5B51" w:rsidP="007C33A7">
      <w:pPr>
        <w:pStyle w:val="FootnoteText"/>
        <w:rPr>
          <w:rFonts w:asciiTheme="minorHAnsi" w:eastAsiaTheme="minorEastAsia" w:hAnsiTheme="minorHAnsi" w:cstheme="minorBidi"/>
        </w:rPr>
      </w:pPr>
      <w:r>
        <w:rPr>
          <w:rStyle w:val="FootnoteReference"/>
          <w:rFonts w:eastAsiaTheme="majorEastAsia"/>
        </w:rPr>
        <w:footnoteRef/>
      </w:r>
      <w:r>
        <w:t xml:space="preserve"> OMB Circular A-4.</w:t>
      </w:r>
    </w:p>
  </w:footnote>
  <w:footnote w:id="73">
    <w:p w14:paraId="5521569C" w14:textId="77777777" w:rsidR="004B2BB7" w:rsidRDefault="000F5B51" w:rsidP="004B2BB7">
      <w:pPr>
        <w:pStyle w:val="FootnoteText"/>
      </w:pPr>
      <w:r>
        <w:rPr>
          <w:rStyle w:val="FootnoteReference"/>
        </w:rPr>
        <w:footnoteRef/>
      </w:r>
      <w:r>
        <w:t xml:space="preserve"> </w:t>
      </w:r>
      <w:r w:rsidRPr="00040F39">
        <w:t>In the benefit chapter, we estimated</w:t>
      </w:r>
      <w:r>
        <w:t xml:space="preserve"> approximately</w:t>
      </w:r>
      <w:r w:rsidRPr="00040F39">
        <w:t xml:space="preserve"> 86 percent belt use rate for front passengers and </w:t>
      </w:r>
      <w:r>
        <w:t xml:space="preserve">approximately </w:t>
      </w:r>
      <w:r w:rsidRPr="00040F39">
        <w:t>75 percent belt use rate for rear passengers, with a difference of 11 percent</w:t>
      </w:r>
      <w:r w:rsidR="001F2F92">
        <w:t xml:space="preserve">. </w:t>
      </w:r>
    </w:p>
  </w:footnote>
  <w:footnote w:id="74">
    <w:p w14:paraId="7B0477D5" w14:textId="77777777" w:rsidR="004B2BB7" w:rsidRDefault="000F5B51" w:rsidP="004B2BB7">
      <w:pPr>
        <w:pStyle w:val="FootnoteText"/>
      </w:pPr>
      <w:r>
        <w:rPr>
          <w:rStyle w:val="FootnoteReference"/>
        </w:rPr>
        <w:footnoteRef/>
      </w:r>
      <w:r>
        <w:t xml:space="preserve"> The fatalities rate is higher given the curvilinear relationship between “increases in belt use” and the given belt use at the tim</w:t>
      </w:r>
      <w:r w:rsidRPr="001300EB">
        <w:t>e.</w:t>
      </w:r>
    </w:p>
  </w:footnote>
  <w:footnote w:id="75">
    <w:p w14:paraId="75762C6C" w14:textId="77777777" w:rsidR="001D6419" w:rsidRDefault="000F5B51" w:rsidP="001D6419">
      <w:pPr>
        <w:pStyle w:val="FootnoteText"/>
        <w:rPr>
          <w:rFonts w:asciiTheme="minorHAnsi" w:hAnsiTheme="minorHAnsi"/>
        </w:rPr>
      </w:pPr>
      <w:r>
        <w:rPr>
          <w:rStyle w:val="FootnoteReference"/>
          <w:rFonts w:asciiTheme="minorHAnsi" w:eastAsiaTheme="majorEastAsia" w:hAnsiTheme="minorHAnsi"/>
        </w:rPr>
        <w:footnoteRef/>
      </w:r>
      <w:r>
        <w:t xml:space="preserve"> </w:t>
      </w:r>
      <w:r>
        <w:rPr>
          <w:i/>
        </w:rPr>
        <w:t xml:space="preserve">See </w:t>
      </w:r>
      <w:r>
        <w:t xml:space="preserve">Pub. L. No. 112-141. </w:t>
      </w:r>
    </w:p>
  </w:footnote>
  <w:footnote w:id="76">
    <w:p w14:paraId="519329CA" w14:textId="77777777" w:rsidR="001D6419" w:rsidRPr="004409A7" w:rsidRDefault="000F5B51" w:rsidP="001D6419">
      <w:pPr>
        <w:pStyle w:val="FootnoteText"/>
      </w:pPr>
      <w:r w:rsidRPr="004409A7">
        <w:rPr>
          <w:rStyle w:val="FootnoteReference"/>
          <w:rFonts w:eastAsiaTheme="majorEastAsia"/>
        </w:rPr>
        <w:footnoteRef/>
      </w:r>
      <w:r w:rsidRPr="004409A7">
        <w:t xml:space="preserve"> </w:t>
      </w:r>
      <w:r w:rsidRPr="004409A7">
        <w:rPr>
          <w:i/>
        </w:rPr>
        <w:t>See</w:t>
      </w:r>
      <w:r w:rsidRPr="004409A7">
        <w:t xml:space="preserve"> 49 U.S.C. § 30111. </w:t>
      </w:r>
    </w:p>
  </w:footnote>
  <w:footnote w:id="77">
    <w:p w14:paraId="15B6FC48" w14:textId="77777777" w:rsidR="001D6419" w:rsidRDefault="000F5B51" w:rsidP="001D6419">
      <w:pPr>
        <w:pStyle w:val="FootnoteText"/>
      </w:pPr>
      <w:r>
        <w:rPr>
          <w:rStyle w:val="FootnoteReference"/>
        </w:rPr>
        <w:footnoteRef/>
      </w:r>
      <w:r>
        <w:t xml:space="preserve"> </w:t>
      </w:r>
      <w:hyperlink r:id="rId11" w:history="1">
        <w:r w:rsidRPr="001E6045">
          <w:rPr>
            <w:rStyle w:val="Hyperlink"/>
          </w:rPr>
          <w:t>http://compliance-sec.com/secfilings/company/slnn/link_files/2015/07-14-2015/Form10-K/Form10-K.pdf</w:t>
        </w:r>
      </w:hyperlink>
    </w:p>
    <w:p w14:paraId="27F91E17" w14:textId="77777777" w:rsidR="001D6419" w:rsidRDefault="001D6419" w:rsidP="001D6419">
      <w:pPr>
        <w:pStyle w:val="FootnoteText"/>
      </w:pPr>
    </w:p>
  </w:footnote>
  <w:footnote w:id="78">
    <w:p w14:paraId="1B041A38" w14:textId="77777777" w:rsidR="001D6419" w:rsidRDefault="000F5B51" w:rsidP="001D6419">
      <w:pPr>
        <w:pStyle w:val="FootnoteText"/>
      </w:pPr>
      <w:r>
        <w:rPr>
          <w:rStyle w:val="FootnoteReference"/>
        </w:rPr>
        <w:footnoteRef/>
      </w:r>
      <w:r>
        <w:t xml:space="preserve"> For a discussion of NHTSA’s certification regulations for final stage manufacturers, see 71 FR 28168, May 15, 2006, Docket No. NHTSA-2006-24664, Response to petitions for reconsideration of a final rule implementing regulations pertaining to multi-stage vehicles and to altered vehicles</w:t>
      </w:r>
      <w:r w:rsidR="001F2F92">
        <w:t xml:space="preserve">. </w:t>
      </w:r>
      <w:r>
        <w:t>The Background section of that document provides concepts and terminology relating to the certification of multi-stage vehicles</w:t>
      </w:r>
      <w:r w:rsidR="001F2F92">
        <w:t xml:space="preserve">. </w:t>
      </w:r>
    </w:p>
  </w:footnote>
  <w:footnote w:id="79">
    <w:p w14:paraId="076EA339" w14:textId="77777777" w:rsidR="001E65EA" w:rsidRDefault="000F5B51" w:rsidP="001E65EA">
      <w:pPr>
        <w:pStyle w:val="FootnoteText"/>
      </w:pPr>
      <w:r>
        <w:rPr>
          <w:rStyle w:val="FootnoteReference"/>
        </w:rPr>
        <w:footnoteRef/>
      </w:r>
      <w:r>
        <w:t xml:space="preserve"> The raw discount factor for a year is given by the following equation: </w:t>
      </w:r>
    </w:p>
    <w:p w14:paraId="3A78831F" w14:textId="77777777" w:rsidR="001E65EA" w:rsidRDefault="000F5B51" w:rsidP="001E65EA">
      <w:pPr>
        <w:pStyle w:val="FootnoteText"/>
      </w:pPr>
      <w:r>
        <w:t>Raw Discount Factor 3% =1/(1+0.03)^([Year]-0.5)</w:t>
      </w:r>
    </w:p>
    <w:p w14:paraId="3C4B05B1" w14:textId="77777777" w:rsidR="001E65EA" w:rsidRDefault="000F5B51" w:rsidP="001E65EA">
      <w:pPr>
        <w:pStyle w:val="FootnoteText"/>
      </w:pPr>
      <w:r>
        <w:t>Raw Discount Factor 7% =1/(1+0.07)^([Year]-0.5)</w:t>
      </w:r>
    </w:p>
  </w:footnote>
  <w:footnote w:id="80">
    <w:p w14:paraId="25263171" w14:textId="77993F2D" w:rsidR="001D6419" w:rsidRPr="0046415B" w:rsidRDefault="000F5B51" w:rsidP="001D6419">
      <w:pPr>
        <w:pStyle w:val="FootnoteText"/>
      </w:pPr>
      <w:r w:rsidRPr="0046415B">
        <w:rPr>
          <w:rStyle w:val="FootnoteReference"/>
        </w:rPr>
        <w:footnoteRef/>
      </w:r>
      <w:r w:rsidRPr="0046415B">
        <w:t xml:space="preserve">  Blincoe, L., Miller, T., Zalloshnja, E., Lawrence, B., The economic and Societal Impact of Motor Vehicle Crashes, 2010 (Revised), DOT HS 812 013 National Center for Statistics and Analysis, Washington, D.C., May 2015</w:t>
      </w:r>
      <w:r w:rsidR="001F2F92">
        <w:t xml:space="preserve">. </w:t>
      </w:r>
    </w:p>
    <w:p w14:paraId="4543833C" w14:textId="77777777" w:rsidR="001D6419" w:rsidRPr="0046415B" w:rsidRDefault="000F5B51" w:rsidP="001D6419">
      <w:pPr>
        <w:pStyle w:val="FootnoteText"/>
      </w:pPr>
      <w:r w:rsidRPr="0046415B">
        <w:t>These economic and societal impact numbers were further adjusted internally before use in this analysis, to provide the most up-to-date expression on comprehensive cost</w:t>
      </w:r>
      <w:r w:rsidR="001F2F92">
        <w:t xml:space="preserve">. </w:t>
      </w:r>
    </w:p>
  </w:footnote>
  <w:footnote w:id="81">
    <w:p w14:paraId="4A0E5DB4" w14:textId="77777777" w:rsidR="00CE2EC1" w:rsidRDefault="000F5B51" w:rsidP="00CE2EC1">
      <w:pPr>
        <w:pStyle w:val="FootnoteText"/>
      </w:pPr>
      <w:r>
        <w:rPr>
          <w:rStyle w:val="FootnoteReference"/>
        </w:rPr>
        <w:footnoteRef/>
      </w:r>
      <w:r>
        <w:t xml:space="preserve"> In the analysis, we used the ESC market share rates as proxy to estimate how many vehicles with ESC were in crashes</w:t>
      </w:r>
      <w:r w:rsidR="001F2F92">
        <w:t xml:space="preserve">. </w:t>
      </w:r>
      <w:r>
        <w:t>In addition, we assumed the annual sales remain the same.</w:t>
      </w:r>
    </w:p>
  </w:footnote>
  <w:footnote w:id="82">
    <w:p w14:paraId="242D921E" w14:textId="77777777" w:rsidR="008230FF" w:rsidRDefault="000F5B51" w:rsidP="008230FF">
      <w:pPr>
        <w:pStyle w:val="FootnoteText"/>
      </w:pPr>
      <w:r>
        <w:rPr>
          <w:rStyle w:val="FootnoteReference"/>
        </w:rPr>
        <w:footnoteRef/>
      </w:r>
      <w:r>
        <w:t xml:space="preserve"> </w:t>
      </w:r>
      <w:r w:rsidRPr="00BD7524">
        <w:t xml:space="preserve">Robertson LS. Safety belt use in automobiles with starter-interlock and buzzer-light </w:t>
      </w:r>
      <w:r>
        <w:t>warning</w:t>
      </w:r>
      <w:r w:rsidRPr="00BD7524">
        <w:t xml:space="preserve"> systems. Am J Public Health. 1975 Dec;65(12):1319–1325.</w:t>
      </w:r>
    </w:p>
  </w:footnote>
  <w:footnote w:id="83">
    <w:p w14:paraId="034B4692" w14:textId="77777777" w:rsidR="008230FF" w:rsidRDefault="000F5B51" w:rsidP="008230FF">
      <w:pPr>
        <w:pStyle w:val="FootnoteText"/>
      </w:pPr>
      <w:r>
        <w:rPr>
          <w:rStyle w:val="FootnoteReference"/>
        </w:rPr>
        <w:footnoteRef/>
      </w:r>
      <w:r>
        <w:t xml:space="preserve"> </w:t>
      </w:r>
      <w:r w:rsidRPr="0079505C">
        <w:t>Westefeld, A., and B. M. Phillips. Effectiveness of Various Safety Belt Warning Systems</w:t>
      </w:r>
      <w:r>
        <w:t xml:space="preserve">. </w:t>
      </w:r>
      <w:r w:rsidRPr="0079505C">
        <w:t>DOT-HS-801-953. National Highway Traffic Safety Administration, U.S. Department of Transportation, July 1976.</w:t>
      </w:r>
    </w:p>
  </w:footnote>
  <w:footnote w:id="84">
    <w:p w14:paraId="79DEEEF5" w14:textId="77777777" w:rsidR="008230FF" w:rsidRDefault="000F5B51" w:rsidP="008230FF">
      <w:pPr>
        <w:pStyle w:val="FootnoteText"/>
      </w:pPr>
      <w:r>
        <w:rPr>
          <w:rStyle w:val="FootnoteReference"/>
        </w:rPr>
        <w:footnoteRef/>
      </w:r>
      <w:r>
        <w:t xml:space="preserve"> </w:t>
      </w:r>
      <w:r w:rsidRPr="005941B9">
        <w:t xml:space="preserve">Freedman, M.; Levi, S.; Zador, P.; Lopdell, J.; and Bergeron, E. 2007. The effectiveness of enhanced seat belt </w:t>
      </w:r>
      <w:r>
        <w:t>warning</w:t>
      </w:r>
      <w:r w:rsidRPr="005941B9">
        <w:t xml:space="preserve"> systems: observational field data collection methodology and findings. Report </w:t>
      </w:r>
      <w:r>
        <w:t>#</w:t>
      </w:r>
      <w:r w:rsidRPr="005941B9">
        <w:t xml:space="preserve"> DOT HS-810-844. Washington, DC: National Highway Traffic Safety Administration.</w:t>
      </w:r>
    </w:p>
  </w:footnote>
  <w:footnote w:id="85">
    <w:p w14:paraId="78821561" w14:textId="77777777" w:rsidR="008230FF" w:rsidRDefault="000F5B51" w:rsidP="008230FF">
      <w:pPr>
        <w:pStyle w:val="FootnoteText"/>
      </w:pPr>
      <w:r>
        <w:rPr>
          <w:rStyle w:val="FootnoteReference"/>
        </w:rPr>
        <w:footnoteRef/>
      </w:r>
      <w:r>
        <w:t xml:space="preserve"> The difference between “no-SBWS” and “enhanced SBWS” = 6 percentage points, and the difference between “enhanced SBWS” and “basic SBWS” = rages 3 to 4 percentage points. Thus, the difference between “no-SBWS” and “basic SBWS” = 2 to 3 percentage points. </w:t>
      </w:r>
    </w:p>
  </w:footnote>
  <w:footnote w:id="86">
    <w:p w14:paraId="317B1C0E" w14:textId="77777777" w:rsidR="008230FF" w:rsidRPr="00117B89" w:rsidRDefault="000F5B51" w:rsidP="008230FF">
      <w:pPr>
        <w:spacing w:after="0" w:line="240" w:lineRule="auto"/>
        <w:contextualSpacing/>
        <w:rPr>
          <w:rFonts w:eastAsia="Calibri" w:cs="Times New Roman"/>
          <w:sz w:val="20"/>
          <w:szCs w:val="20"/>
        </w:rPr>
      </w:pPr>
      <w:r w:rsidRPr="00117B89">
        <w:rPr>
          <w:rStyle w:val="FootnoteReference"/>
          <w:rFonts w:cs="Times New Roman"/>
          <w:sz w:val="20"/>
          <w:szCs w:val="20"/>
        </w:rPr>
        <w:footnoteRef/>
      </w:r>
      <w:r w:rsidRPr="00117B89">
        <w:rPr>
          <w:rFonts w:cs="Times New Roman"/>
          <w:sz w:val="20"/>
          <w:szCs w:val="20"/>
        </w:rPr>
        <w:t xml:space="preserve"> </w:t>
      </w:r>
      <w:r w:rsidRPr="00117B89">
        <w:rPr>
          <w:rFonts w:eastAsia="Calibri" w:cs="Times New Roman"/>
          <w:sz w:val="20"/>
          <w:szCs w:val="20"/>
        </w:rPr>
        <w:t xml:space="preserve"> </w:t>
      </w:r>
      <w:hyperlink r:id="rId12" w:history="1">
        <w:r w:rsidRPr="00117B89">
          <w:rPr>
            <w:rStyle w:val="Hyperlink"/>
            <w:rFonts w:eastAsia="Calibri" w:cs="Times New Roman"/>
            <w:sz w:val="20"/>
            <w:szCs w:val="20"/>
          </w:rPr>
          <w:t>https://crashstats.nhtsa.dot.gov/Api/Public/ViewPublication/812244</w:t>
        </w:r>
      </w:hyperlink>
      <w:r>
        <w:rPr>
          <w:rFonts w:eastAsia="Calibri" w:cs="Times New Roman"/>
          <w:sz w:val="20"/>
          <w:szCs w:val="20"/>
        </w:rPr>
        <w:t xml:space="preserve">. </w:t>
      </w:r>
    </w:p>
    <w:p w14:paraId="5AF01BA0" w14:textId="77777777" w:rsidR="008230FF" w:rsidRPr="0071545C" w:rsidRDefault="008230FF" w:rsidP="008230FF">
      <w:pPr>
        <w:spacing w:after="0" w:line="240" w:lineRule="auto"/>
        <w:contextualSpacing/>
        <w:rPr>
          <w:rFonts w:ascii="Calibri" w:eastAsia="Calibri" w:hAnsi="Calibri" w:cs="Times New Roman"/>
        </w:rPr>
      </w:pPr>
    </w:p>
  </w:footnote>
  <w:footnote w:id="87">
    <w:p w14:paraId="4860C176" w14:textId="77777777" w:rsidR="008230FF" w:rsidRDefault="000F5B51" w:rsidP="008230FF">
      <w:pPr>
        <w:pStyle w:val="FootnoteText"/>
      </w:pPr>
      <w:r>
        <w:rPr>
          <w:rStyle w:val="FootnoteReference"/>
        </w:rPr>
        <w:footnoteRef/>
      </w:r>
      <w:r>
        <w:t xml:space="preserve"> Traffic Safety Facts Crash Stats “Seat Belt Use in 2017 – Use Rates in the States and Territories” </w:t>
      </w:r>
      <w:hyperlink r:id="rId13" w:history="1">
        <w:r w:rsidRPr="002868E6">
          <w:rPr>
            <w:rStyle w:val="Hyperlink"/>
          </w:rPr>
          <w:t>https://crashstats.nhtsa.dot.gov/Api/Public/ViewPublication/812546</w:t>
        </w:r>
      </w:hyperlink>
    </w:p>
  </w:footnote>
  <w:footnote w:id="88">
    <w:p w14:paraId="42EA9AC4" w14:textId="77777777" w:rsidR="008230FF" w:rsidRDefault="000F5B51" w:rsidP="008230FF">
      <w:pPr>
        <w:pStyle w:val="FootnoteText"/>
      </w:pPr>
      <w:r>
        <w:rPr>
          <w:rStyle w:val="FootnoteReference"/>
        </w:rPr>
        <w:footnoteRef/>
      </w:r>
      <w:r>
        <w:t xml:space="preserve"> 2014 and 2015 data taken from the 2015 NOPUS document which have 3 digit values in Table 1. </w:t>
      </w:r>
    </w:p>
  </w:footnote>
  <w:footnote w:id="89">
    <w:p w14:paraId="3D40354F" w14:textId="77777777" w:rsidR="008230FF" w:rsidRDefault="000F5B51" w:rsidP="008230FF">
      <w:pPr>
        <w:pStyle w:val="FootnoteText"/>
      </w:pPr>
      <w:r>
        <w:rPr>
          <w:rStyle w:val="FootnoteReference"/>
        </w:rPr>
        <w:footnoteRef/>
      </w:r>
      <w:r>
        <w:t xml:space="preserve"> </w:t>
      </w:r>
      <w:r w:rsidRPr="00F83820">
        <w:t xml:space="preserve">In addition, the IIHS study shows </w:t>
      </w:r>
      <w:r>
        <w:t xml:space="preserve">a </w:t>
      </w:r>
      <w:r w:rsidRPr="00F83820">
        <w:t>2% - 5% point increase in belt usage among front outboard passengers</w:t>
      </w:r>
      <w:r>
        <w:t xml:space="preserve">. </w:t>
      </w:r>
      <w:r w:rsidRPr="00F83820">
        <w:t>For rear occupants, the 2012 study by Japanese Automobile Manufacturers Association show</w:t>
      </w:r>
      <w:r>
        <w:t xml:space="preserve">ed a </w:t>
      </w:r>
      <w:r w:rsidRPr="00F83820">
        <w:t xml:space="preserve">4% - 15% point increase in </w:t>
      </w:r>
      <w:r>
        <w:t xml:space="preserve">seat </w:t>
      </w:r>
      <w:r w:rsidRPr="00F83820">
        <w:t>belt usage among rear occupants</w:t>
      </w:r>
      <w:r>
        <w:t xml:space="preserve"> with rear seat belt waring systems</w:t>
      </w:r>
      <w:r w:rsidRPr="00F83820">
        <w:t>.</w:t>
      </w:r>
    </w:p>
  </w:footnote>
  <w:footnote w:id="90">
    <w:p w14:paraId="6349E4F3" w14:textId="77777777" w:rsidR="008230FF" w:rsidRPr="00DB2C0C" w:rsidRDefault="000F5B51" w:rsidP="008230FF">
      <w:pPr>
        <w:pStyle w:val="FootnoteText"/>
      </w:pPr>
      <w:r>
        <w:rPr>
          <w:rStyle w:val="FootnoteReference"/>
        </w:rPr>
        <w:footnoteRef/>
      </w:r>
      <w:r>
        <w:t xml:space="preserve"> </w:t>
      </w:r>
      <w:hyperlink r:id="rId14" w:history="1">
        <w:r w:rsidRPr="00DB2C0C">
          <w:rPr>
            <w:rStyle w:val="Hyperlink"/>
          </w:rPr>
          <w:t>https://meps.ahrq.gov/data_files/publications/st62/stat62.shtml</w:t>
        </w:r>
      </w:hyperlink>
    </w:p>
  </w:footnote>
  <w:footnote w:id="91">
    <w:p w14:paraId="24E12289" w14:textId="77777777" w:rsidR="008230FF" w:rsidRDefault="000F5B51" w:rsidP="008230FF">
      <w:pPr>
        <w:pStyle w:val="FootnoteText"/>
      </w:pPr>
      <w:r w:rsidRPr="00DB2C0C">
        <w:rPr>
          <w:rStyle w:val="FootnoteReference"/>
        </w:rPr>
        <w:footnoteRef/>
      </w:r>
      <w:r w:rsidRPr="00DB2C0C">
        <w:t xml:space="preserve"> </w:t>
      </w:r>
      <w:hyperlink r:id="rId15" w:history="1">
        <w:r w:rsidRPr="00DB2C0C">
          <w:rPr>
            <w:rStyle w:val="Hyperlink"/>
          </w:rPr>
          <w:t>https://crashstats.nhtsa.dot.gov/Api/Public/ViewPublication/809639</w:t>
        </w:r>
      </w:hyperlink>
    </w:p>
  </w:footnote>
  <w:footnote w:id="92">
    <w:p w14:paraId="6BF69697" w14:textId="77777777" w:rsidR="008230FF" w:rsidRDefault="000F5B51" w:rsidP="008230FF">
      <w:pPr>
        <w:pStyle w:val="FootnoteText"/>
      </w:pPr>
      <w:r>
        <w:rPr>
          <w:rStyle w:val="FootnoteReference"/>
        </w:rPr>
        <w:footnoteRef/>
      </w:r>
      <w:r>
        <w:t xml:space="preserve"> “The effects of persistent audible seat belt reminders and a speed-limiting interlock on the seat belt use of drivers who do not always use a seat belt,” April 2019, David G. Kidd Insurance Institute for Highway Safety, Jeremiah Singer Westat, Inc.</w:t>
      </w:r>
    </w:p>
  </w:footnote>
  <w:footnote w:id="93">
    <w:p w14:paraId="6DFC213A" w14:textId="77777777" w:rsidR="008230FF" w:rsidRPr="0070333D" w:rsidRDefault="000F5B51" w:rsidP="008230FF">
      <w:pPr>
        <w:pStyle w:val="FootnoteText"/>
      </w:pPr>
      <w:r>
        <w:rPr>
          <w:rStyle w:val="FootnoteReference"/>
        </w:rPr>
        <w:footnoteRef/>
      </w:r>
      <w:r>
        <w:t xml:space="preserve"> For simplicity, this analysis considered that 34 percent of never users became always users. However, the overall result would be the same if we considered that all never users began using seat belts 34 percent of the time. That is, having 34 percent of never users use seat belts 100 percent of the time has the same impact on the overall seat belt use rate as having 100 percent of never users use seat belts 34 percent of the time.</w:t>
      </w:r>
    </w:p>
  </w:footnote>
  <w:footnote w:id="94">
    <w:p w14:paraId="7C93B05E" w14:textId="77777777" w:rsidR="001D6419" w:rsidRPr="006F735A" w:rsidRDefault="000F5B51" w:rsidP="001D6419">
      <w:pPr>
        <w:pStyle w:val="FootnoteText"/>
      </w:pPr>
      <w:r>
        <w:rPr>
          <w:rStyle w:val="FootnoteReference"/>
        </w:rPr>
        <w:footnoteRef/>
      </w:r>
      <w:r>
        <w:t xml:space="preserve"> </w:t>
      </w:r>
      <w:r w:rsidRPr="00225772">
        <w:t>Kahane, C. J. (201</w:t>
      </w:r>
      <w:r>
        <w:t>7</w:t>
      </w:r>
      <w:r w:rsidRPr="00225772">
        <w:t xml:space="preserve">, </w:t>
      </w:r>
      <w:r>
        <w:t>February</w:t>
      </w:r>
      <w:r w:rsidRPr="00225772">
        <w:t xml:space="preserve">). </w:t>
      </w:r>
      <w:r>
        <w:rPr>
          <w:i/>
        </w:rPr>
        <w:t>F</w:t>
      </w:r>
      <w:r w:rsidRPr="00C01F34">
        <w:rPr>
          <w:i/>
        </w:rPr>
        <w:t>atality reduction by seat belts in the center rear seat and comparison of occupants’ relative fatality risk at various seating positions</w:t>
      </w:r>
      <w:r>
        <w:t xml:space="preserve"> (Report No. DOT HS 812 369). Washington, DC: National Highway Traffic Safety Administration. Available at </w:t>
      </w:r>
      <w:hyperlink r:id="rId16" w:history="1">
        <w:r w:rsidRPr="006F735A">
          <w:rPr>
            <w:rStyle w:val="Hyperlink"/>
          </w:rPr>
          <w:t>crashstats.nhtsa.dot.gov/Api/Public/ViewPublication/812369</w:t>
        </w:r>
      </w:hyperlink>
    </w:p>
  </w:footnote>
  <w:footnote w:id="95">
    <w:p w14:paraId="48E2018E" w14:textId="77777777" w:rsidR="001D6419" w:rsidRDefault="000F5B51" w:rsidP="001D6419">
      <w:pPr>
        <w:pStyle w:val="FootnoteText"/>
      </w:pPr>
      <w:r>
        <w:rPr>
          <w:rStyle w:val="FootnoteReference"/>
        </w:rPr>
        <w:footnoteRef/>
      </w:r>
      <w:r>
        <w:t xml:space="preserve">Chi-square must exceed 3.89 for statistical significance; however, a value between 2.71 and 3.89 may be considered “borderline significant.”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26FA" w14:textId="77777777" w:rsidR="001D6419" w:rsidRDefault="000F5B51">
    <w:pPr>
      <w:pStyle w:val="Header"/>
    </w:pPr>
    <w:r>
      <w:t xml:space="preserve">DRAFT DELIBERATIVE DOCUMENT – DO NOT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79E1"/>
    <w:multiLevelType w:val="hybridMultilevel"/>
    <w:tmpl w:val="0DEEA206"/>
    <w:lvl w:ilvl="0" w:tplc="6C5C97B6">
      <w:start w:val="1"/>
      <w:numFmt w:val="decimal"/>
      <w:lvlText w:val="%1."/>
      <w:lvlJc w:val="left"/>
      <w:pPr>
        <w:ind w:left="720" w:hanging="360"/>
      </w:pPr>
    </w:lvl>
    <w:lvl w:ilvl="1" w:tplc="B2667B02" w:tentative="1">
      <w:start w:val="1"/>
      <w:numFmt w:val="lowerLetter"/>
      <w:lvlText w:val="%2."/>
      <w:lvlJc w:val="left"/>
      <w:pPr>
        <w:ind w:left="1440" w:hanging="360"/>
      </w:pPr>
    </w:lvl>
    <w:lvl w:ilvl="2" w:tplc="5C6CF026" w:tentative="1">
      <w:start w:val="1"/>
      <w:numFmt w:val="lowerRoman"/>
      <w:lvlText w:val="%3."/>
      <w:lvlJc w:val="right"/>
      <w:pPr>
        <w:ind w:left="2160" w:hanging="180"/>
      </w:pPr>
    </w:lvl>
    <w:lvl w:ilvl="3" w:tplc="84B450BE" w:tentative="1">
      <w:start w:val="1"/>
      <w:numFmt w:val="decimal"/>
      <w:lvlText w:val="%4."/>
      <w:lvlJc w:val="left"/>
      <w:pPr>
        <w:ind w:left="2880" w:hanging="360"/>
      </w:pPr>
    </w:lvl>
    <w:lvl w:ilvl="4" w:tplc="F95AB4CE" w:tentative="1">
      <w:start w:val="1"/>
      <w:numFmt w:val="lowerLetter"/>
      <w:lvlText w:val="%5."/>
      <w:lvlJc w:val="left"/>
      <w:pPr>
        <w:ind w:left="3600" w:hanging="360"/>
      </w:pPr>
    </w:lvl>
    <w:lvl w:ilvl="5" w:tplc="B060DF64" w:tentative="1">
      <w:start w:val="1"/>
      <w:numFmt w:val="lowerRoman"/>
      <w:lvlText w:val="%6."/>
      <w:lvlJc w:val="right"/>
      <w:pPr>
        <w:ind w:left="4320" w:hanging="180"/>
      </w:pPr>
    </w:lvl>
    <w:lvl w:ilvl="6" w:tplc="BC246B60" w:tentative="1">
      <w:start w:val="1"/>
      <w:numFmt w:val="decimal"/>
      <w:lvlText w:val="%7."/>
      <w:lvlJc w:val="left"/>
      <w:pPr>
        <w:ind w:left="5040" w:hanging="360"/>
      </w:pPr>
    </w:lvl>
    <w:lvl w:ilvl="7" w:tplc="B580A51A" w:tentative="1">
      <w:start w:val="1"/>
      <w:numFmt w:val="lowerLetter"/>
      <w:lvlText w:val="%8."/>
      <w:lvlJc w:val="left"/>
      <w:pPr>
        <w:ind w:left="5760" w:hanging="360"/>
      </w:pPr>
    </w:lvl>
    <w:lvl w:ilvl="8" w:tplc="65446DFE" w:tentative="1">
      <w:start w:val="1"/>
      <w:numFmt w:val="lowerRoman"/>
      <w:lvlText w:val="%9."/>
      <w:lvlJc w:val="right"/>
      <w:pPr>
        <w:ind w:left="6480" w:hanging="180"/>
      </w:pPr>
    </w:lvl>
  </w:abstractNum>
  <w:abstractNum w:abstractNumId="1" w15:restartNumberingAfterBreak="0">
    <w:nsid w:val="0D9C3C4F"/>
    <w:multiLevelType w:val="hybridMultilevel"/>
    <w:tmpl w:val="85688270"/>
    <w:lvl w:ilvl="0" w:tplc="74FE903E">
      <w:start w:val="3"/>
      <w:numFmt w:val="decimal"/>
      <w:lvlText w:val="%1."/>
      <w:lvlJc w:val="left"/>
      <w:pPr>
        <w:tabs>
          <w:tab w:val="num" w:pos="720"/>
        </w:tabs>
        <w:ind w:left="720" w:hanging="360"/>
      </w:pPr>
      <w:rPr>
        <w:rFonts w:hint="default"/>
      </w:rPr>
    </w:lvl>
    <w:lvl w:ilvl="1" w:tplc="2DF8E846" w:tentative="1">
      <w:start w:val="1"/>
      <w:numFmt w:val="lowerLetter"/>
      <w:lvlText w:val="%2."/>
      <w:lvlJc w:val="left"/>
      <w:pPr>
        <w:tabs>
          <w:tab w:val="num" w:pos="1440"/>
        </w:tabs>
        <w:ind w:left="1440" w:hanging="360"/>
      </w:pPr>
    </w:lvl>
    <w:lvl w:ilvl="2" w:tplc="473AF07A" w:tentative="1">
      <w:start w:val="1"/>
      <w:numFmt w:val="lowerRoman"/>
      <w:lvlText w:val="%3."/>
      <w:lvlJc w:val="right"/>
      <w:pPr>
        <w:tabs>
          <w:tab w:val="num" w:pos="2160"/>
        </w:tabs>
        <w:ind w:left="2160" w:hanging="180"/>
      </w:pPr>
    </w:lvl>
    <w:lvl w:ilvl="3" w:tplc="1B2CDE94" w:tentative="1">
      <w:start w:val="1"/>
      <w:numFmt w:val="decimal"/>
      <w:lvlText w:val="%4."/>
      <w:lvlJc w:val="left"/>
      <w:pPr>
        <w:tabs>
          <w:tab w:val="num" w:pos="2880"/>
        </w:tabs>
        <w:ind w:left="2880" w:hanging="360"/>
      </w:pPr>
    </w:lvl>
    <w:lvl w:ilvl="4" w:tplc="760E8634" w:tentative="1">
      <w:start w:val="1"/>
      <w:numFmt w:val="lowerLetter"/>
      <w:lvlText w:val="%5."/>
      <w:lvlJc w:val="left"/>
      <w:pPr>
        <w:tabs>
          <w:tab w:val="num" w:pos="3600"/>
        </w:tabs>
        <w:ind w:left="3600" w:hanging="360"/>
      </w:pPr>
    </w:lvl>
    <w:lvl w:ilvl="5" w:tplc="E112F204" w:tentative="1">
      <w:start w:val="1"/>
      <w:numFmt w:val="lowerRoman"/>
      <w:lvlText w:val="%6."/>
      <w:lvlJc w:val="right"/>
      <w:pPr>
        <w:tabs>
          <w:tab w:val="num" w:pos="4320"/>
        </w:tabs>
        <w:ind w:left="4320" w:hanging="180"/>
      </w:pPr>
    </w:lvl>
    <w:lvl w:ilvl="6" w:tplc="242AEC66" w:tentative="1">
      <w:start w:val="1"/>
      <w:numFmt w:val="decimal"/>
      <w:lvlText w:val="%7."/>
      <w:lvlJc w:val="left"/>
      <w:pPr>
        <w:tabs>
          <w:tab w:val="num" w:pos="5040"/>
        </w:tabs>
        <w:ind w:left="5040" w:hanging="360"/>
      </w:pPr>
    </w:lvl>
    <w:lvl w:ilvl="7" w:tplc="AC28FDE0" w:tentative="1">
      <w:start w:val="1"/>
      <w:numFmt w:val="lowerLetter"/>
      <w:lvlText w:val="%8."/>
      <w:lvlJc w:val="left"/>
      <w:pPr>
        <w:tabs>
          <w:tab w:val="num" w:pos="5760"/>
        </w:tabs>
        <w:ind w:left="5760" w:hanging="360"/>
      </w:pPr>
    </w:lvl>
    <w:lvl w:ilvl="8" w:tplc="46601FEA" w:tentative="1">
      <w:start w:val="1"/>
      <w:numFmt w:val="lowerRoman"/>
      <w:lvlText w:val="%9."/>
      <w:lvlJc w:val="right"/>
      <w:pPr>
        <w:tabs>
          <w:tab w:val="num" w:pos="6480"/>
        </w:tabs>
        <w:ind w:left="6480" w:hanging="180"/>
      </w:pPr>
    </w:lvl>
  </w:abstractNum>
  <w:abstractNum w:abstractNumId="2" w15:restartNumberingAfterBreak="0">
    <w:nsid w:val="10234535"/>
    <w:multiLevelType w:val="hybridMultilevel"/>
    <w:tmpl w:val="560C948C"/>
    <w:lvl w:ilvl="0" w:tplc="9FFCFC38">
      <w:start w:val="1"/>
      <w:numFmt w:val="upperRoman"/>
      <w:lvlText w:val="%1."/>
      <w:lvlJc w:val="right"/>
      <w:pPr>
        <w:ind w:left="720" w:hanging="360"/>
      </w:pPr>
      <w:rPr>
        <w:rFonts w:hint="default"/>
        <w:b w:val="0"/>
      </w:rPr>
    </w:lvl>
    <w:lvl w:ilvl="1" w:tplc="BB123546">
      <w:start w:val="1"/>
      <w:numFmt w:val="lowerLetter"/>
      <w:lvlText w:val="%2."/>
      <w:lvlJc w:val="left"/>
      <w:pPr>
        <w:ind w:left="1440" w:hanging="360"/>
      </w:pPr>
    </w:lvl>
    <w:lvl w:ilvl="2" w:tplc="2814DC00">
      <w:start w:val="1"/>
      <w:numFmt w:val="lowerRoman"/>
      <w:lvlText w:val="%3."/>
      <w:lvlJc w:val="right"/>
      <w:pPr>
        <w:ind w:left="2160" w:hanging="180"/>
      </w:pPr>
    </w:lvl>
    <w:lvl w:ilvl="3" w:tplc="8FECE7DA">
      <w:start w:val="1"/>
      <w:numFmt w:val="decimal"/>
      <w:lvlText w:val="%4."/>
      <w:lvlJc w:val="left"/>
      <w:pPr>
        <w:ind w:left="2880" w:hanging="360"/>
      </w:pPr>
    </w:lvl>
    <w:lvl w:ilvl="4" w:tplc="3E8AC126" w:tentative="1">
      <w:start w:val="1"/>
      <w:numFmt w:val="lowerLetter"/>
      <w:lvlText w:val="%5."/>
      <w:lvlJc w:val="left"/>
      <w:pPr>
        <w:ind w:left="3600" w:hanging="360"/>
      </w:pPr>
    </w:lvl>
    <w:lvl w:ilvl="5" w:tplc="7C183978" w:tentative="1">
      <w:start w:val="1"/>
      <w:numFmt w:val="lowerRoman"/>
      <w:lvlText w:val="%6."/>
      <w:lvlJc w:val="right"/>
      <w:pPr>
        <w:ind w:left="4320" w:hanging="180"/>
      </w:pPr>
    </w:lvl>
    <w:lvl w:ilvl="6" w:tplc="FF8E89CE" w:tentative="1">
      <w:start w:val="1"/>
      <w:numFmt w:val="decimal"/>
      <w:lvlText w:val="%7."/>
      <w:lvlJc w:val="left"/>
      <w:pPr>
        <w:ind w:left="5040" w:hanging="360"/>
      </w:pPr>
    </w:lvl>
    <w:lvl w:ilvl="7" w:tplc="4D788A5E" w:tentative="1">
      <w:start w:val="1"/>
      <w:numFmt w:val="lowerLetter"/>
      <w:lvlText w:val="%8."/>
      <w:lvlJc w:val="left"/>
      <w:pPr>
        <w:ind w:left="5760" w:hanging="360"/>
      </w:pPr>
    </w:lvl>
    <w:lvl w:ilvl="8" w:tplc="DCDC76EC" w:tentative="1">
      <w:start w:val="1"/>
      <w:numFmt w:val="lowerRoman"/>
      <w:lvlText w:val="%9."/>
      <w:lvlJc w:val="right"/>
      <w:pPr>
        <w:ind w:left="6480" w:hanging="180"/>
      </w:pPr>
    </w:lvl>
  </w:abstractNum>
  <w:abstractNum w:abstractNumId="3" w15:restartNumberingAfterBreak="0">
    <w:nsid w:val="141636D6"/>
    <w:multiLevelType w:val="multilevel"/>
    <w:tmpl w:val="E0580A5E"/>
    <w:lvl w:ilvl="0">
      <w:start w:val="1"/>
      <w:numFmt w:val="bullet"/>
      <w:pStyle w:val="lastbullet"/>
      <w:lvlText w:val=""/>
      <w:lvlJc w:val="left"/>
      <w:pPr>
        <w:tabs>
          <w:tab w:val="num" w:pos="720"/>
        </w:tabs>
        <w:ind w:left="720" w:hanging="360"/>
      </w:pPr>
      <w:rPr>
        <w:rFonts w:ascii="Symbol" w:hAnsi="Symbol"/>
        <w:b/>
        <w:bCs/>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D564A"/>
    <w:multiLevelType w:val="multilevel"/>
    <w:tmpl w:val="EE92FA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616CD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723194"/>
    <w:multiLevelType w:val="hybridMultilevel"/>
    <w:tmpl w:val="8B1C3AD4"/>
    <w:lvl w:ilvl="0" w:tplc="564E7D1C">
      <w:start w:val="1"/>
      <w:numFmt w:val="bullet"/>
      <w:lvlText w:val=""/>
      <w:lvlJc w:val="left"/>
      <w:pPr>
        <w:ind w:left="360" w:hanging="360"/>
      </w:pPr>
      <w:rPr>
        <w:rFonts w:ascii="Symbol" w:hAnsi="Symbol" w:hint="default"/>
      </w:rPr>
    </w:lvl>
    <w:lvl w:ilvl="1" w:tplc="2AC66B32">
      <w:start w:val="1"/>
      <w:numFmt w:val="bullet"/>
      <w:lvlText w:val="o"/>
      <w:lvlJc w:val="left"/>
      <w:pPr>
        <w:ind w:left="1080" w:hanging="360"/>
      </w:pPr>
      <w:rPr>
        <w:rFonts w:ascii="Courier New" w:hAnsi="Courier New" w:cs="Courier New" w:hint="default"/>
      </w:rPr>
    </w:lvl>
    <w:lvl w:ilvl="2" w:tplc="BA5CCC5C">
      <w:start w:val="1"/>
      <w:numFmt w:val="bullet"/>
      <w:lvlText w:val=""/>
      <w:lvlJc w:val="left"/>
      <w:pPr>
        <w:ind w:left="1800" w:hanging="360"/>
      </w:pPr>
      <w:rPr>
        <w:rFonts w:ascii="Wingdings" w:hAnsi="Wingdings" w:hint="default"/>
      </w:rPr>
    </w:lvl>
    <w:lvl w:ilvl="3" w:tplc="9AC4DFE2">
      <w:start w:val="1"/>
      <w:numFmt w:val="bullet"/>
      <w:lvlText w:val=""/>
      <w:lvlJc w:val="left"/>
      <w:pPr>
        <w:ind w:left="2520" w:hanging="360"/>
      </w:pPr>
      <w:rPr>
        <w:rFonts w:ascii="Symbol" w:hAnsi="Symbol" w:hint="default"/>
      </w:rPr>
    </w:lvl>
    <w:lvl w:ilvl="4" w:tplc="7D94FAE2">
      <w:start w:val="1"/>
      <w:numFmt w:val="bullet"/>
      <w:lvlText w:val="o"/>
      <w:lvlJc w:val="left"/>
      <w:pPr>
        <w:ind w:left="3240" w:hanging="360"/>
      </w:pPr>
      <w:rPr>
        <w:rFonts w:ascii="Courier New" w:hAnsi="Courier New" w:cs="Courier New" w:hint="default"/>
      </w:rPr>
    </w:lvl>
    <w:lvl w:ilvl="5" w:tplc="76D64BF4">
      <w:start w:val="1"/>
      <w:numFmt w:val="bullet"/>
      <w:lvlText w:val=""/>
      <w:lvlJc w:val="left"/>
      <w:pPr>
        <w:ind w:left="3960" w:hanging="360"/>
      </w:pPr>
      <w:rPr>
        <w:rFonts w:ascii="Wingdings" w:hAnsi="Wingdings" w:hint="default"/>
      </w:rPr>
    </w:lvl>
    <w:lvl w:ilvl="6" w:tplc="67E07F32">
      <w:start w:val="1"/>
      <w:numFmt w:val="bullet"/>
      <w:lvlText w:val=""/>
      <w:lvlJc w:val="left"/>
      <w:pPr>
        <w:ind w:left="4680" w:hanging="360"/>
      </w:pPr>
      <w:rPr>
        <w:rFonts w:ascii="Symbol" w:hAnsi="Symbol" w:hint="default"/>
      </w:rPr>
    </w:lvl>
    <w:lvl w:ilvl="7" w:tplc="39D4F2FA">
      <w:start w:val="1"/>
      <w:numFmt w:val="bullet"/>
      <w:lvlText w:val="o"/>
      <w:lvlJc w:val="left"/>
      <w:pPr>
        <w:ind w:left="5400" w:hanging="360"/>
      </w:pPr>
      <w:rPr>
        <w:rFonts w:ascii="Courier New" w:hAnsi="Courier New" w:cs="Courier New" w:hint="default"/>
      </w:rPr>
    </w:lvl>
    <w:lvl w:ilvl="8" w:tplc="FCB44226">
      <w:start w:val="1"/>
      <w:numFmt w:val="bullet"/>
      <w:lvlText w:val=""/>
      <w:lvlJc w:val="left"/>
      <w:pPr>
        <w:ind w:left="6120" w:hanging="360"/>
      </w:pPr>
      <w:rPr>
        <w:rFonts w:ascii="Wingdings" w:hAnsi="Wingdings" w:hint="default"/>
      </w:rPr>
    </w:lvl>
  </w:abstractNum>
  <w:abstractNum w:abstractNumId="7" w15:restartNumberingAfterBreak="0">
    <w:nsid w:val="1E89349A"/>
    <w:multiLevelType w:val="hybridMultilevel"/>
    <w:tmpl w:val="7FFEAD16"/>
    <w:lvl w:ilvl="0" w:tplc="C7CA3962">
      <w:start w:val="1"/>
      <w:numFmt w:val="decimal"/>
      <w:lvlText w:val="%1."/>
      <w:lvlJc w:val="left"/>
      <w:pPr>
        <w:ind w:left="720" w:hanging="360"/>
      </w:pPr>
    </w:lvl>
    <w:lvl w:ilvl="1" w:tplc="C6BEE2DA" w:tentative="1">
      <w:start w:val="1"/>
      <w:numFmt w:val="lowerLetter"/>
      <w:lvlText w:val="%2."/>
      <w:lvlJc w:val="left"/>
      <w:pPr>
        <w:ind w:left="1440" w:hanging="360"/>
      </w:pPr>
    </w:lvl>
    <w:lvl w:ilvl="2" w:tplc="804A358A" w:tentative="1">
      <w:start w:val="1"/>
      <w:numFmt w:val="lowerRoman"/>
      <w:lvlText w:val="%3."/>
      <w:lvlJc w:val="right"/>
      <w:pPr>
        <w:ind w:left="2160" w:hanging="180"/>
      </w:pPr>
    </w:lvl>
    <w:lvl w:ilvl="3" w:tplc="4CF000DC" w:tentative="1">
      <w:start w:val="1"/>
      <w:numFmt w:val="decimal"/>
      <w:lvlText w:val="%4."/>
      <w:lvlJc w:val="left"/>
      <w:pPr>
        <w:ind w:left="2880" w:hanging="360"/>
      </w:pPr>
    </w:lvl>
    <w:lvl w:ilvl="4" w:tplc="52D0545E" w:tentative="1">
      <w:start w:val="1"/>
      <w:numFmt w:val="lowerLetter"/>
      <w:lvlText w:val="%5."/>
      <w:lvlJc w:val="left"/>
      <w:pPr>
        <w:ind w:left="3600" w:hanging="360"/>
      </w:pPr>
    </w:lvl>
    <w:lvl w:ilvl="5" w:tplc="EBE2C7A0" w:tentative="1">
      <w:start w:val="1"/>
      <w:numFmt w:val="lowerRoman"/>
      <w:lvlText w:val="%6."/>
      <w:lvlJc w:val="right"/>
      <w:pPr>
        <w:ind w:left="4320" w:hanging="180"/>
      </w:pPr>
    </w:lvl>
    <w:lvl w:ilvl="6" w:tplc="DF64ADA6" w:tentative="1">
      <w:start w:val="1"/>
      <w:numFmt w:val="decimal"/>
      <w:lvlText w:val="%7."/>
      <w:lvlJc w:val="left"/>
      <w:pPr>
        <w:ind w:left="5040" w:hanging="360"/>
      </w:pPr>
    </w:lvl>
    <w:lvl w:ilvl="7" w:tplc="362CBB24" w:tentative="1">
      <w:start w:val="1"/>
      <w:numFmt w:val="lowerLetter"/>
      <w:lvlText w:val="%8."/>
      <w:lvlJc w:val="left"/>
      <w:pPr>
        <w:ind w:left="5760" w:hanging="360"/>
      </w:pPr>
    </w:lvl>
    <w:lvl w:ilvl="8" w:tplc="EB84B93A" w:tentative="1">
      <w:start w:val="1"/>
      <w:numFmt w:val="lowerRoman"/>
      <w:lvlText w:val="%9."/>
      <w:lvlJc w:val="right"/>
      <w:pPr>
        <w:ind w:left="6480" w:hanging="180"/>
      </w:pPr>
    </w:lvl>
  </w:abstractNum>
  <w:abstractNum w:abstractNumId="8" w15:restartNumberingAfterBreak="0">
    <w:nsid w:val="26EB4612"/>
    <w:multiLevelType w:val="multilevel"/>
    <w:tmpl w:val="EE92FA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3E12DB"/>
    <w:multiLevelType w:val="hybridMultilevel"/>
    <w:tmpl w:val="4FCE0D8C"/>
    <w:lvl w:ilvl="0" w:tplc="9DEE6292">
      <w:start w:val="1"/>
      <w:numFmt w:val="bullet"/>
      <w:lvlText w:val="•"/>
      <w:lvlJc w:val="left"/>
      <w:pPr>
        <w:ind w:left="360" w:hanging="360"/>
      </w:pPr>
      <w:rPr>
        <w:rFonts w:ascii="Times New Roman" w:eastAsia="Times New Roman" w:hAnsi="Times New Roman" w:cs="Times New Roman" w:hint="default"/>
      </w:rPr>
    </w:lvl>
    <w:lvl w:ilvl="1" w:tplc="D4A2E0AE" w:tentative="1">
      <w:start w:val="1"/>
      <w:numFmt w:val="bullet"/>
      <w:lvlText w:val="o"/>
      <w:lvlJc w:val="left"/>
      <w:pPr>
        <w:ind w:left="1080" w:hanging="360"/>
      </w:pPr>
      <w:rPr>
        <w:rFonts w:ascii="Courier New" w:hAnsi="Courier New" w:cs="Courier New" w:hint="default"/>
      </w:rPr>
    </w:lvl>
    <w:lvl w:ilvl="2" w:tplc="30885A02" w:tentative="1">
      <w:start w:val="1"/>
      <w:numFmt w:val="bullet"/>
      <w:lvlText w:val=""/>
      <w:lvlJc w:val="left"/>
      <w:pPr>
        <w:ind w:left="1800" w:hanging="360"/>
      </w:pPr>
      <w:rPr>
        <w:rFonts w:ascii="Wingdings" w:hAnsi="Wingdings" w:hint="default"/>
      </w:rPr>
    </w:lvl>
    <w:lvl w:ilvl="3" w:tplc="59ACA018" w:tentative="1">
      <w:start w:val="1"/>
      <w:numFmt w:val="bullet"/>
      <w:lvlText w:val=""/>
      <w:lvlJc w:val="left"/>
      <w:pPr>
        <w:ind w:left="2520" w:hanging="360"/>
      </w:pPr>
      <w:rPr>
        <w:rFonts w:ascii="Symbol" w:hAnsi="Symbol" w:hint="default"/>
      </w:rPr>
    </w:lvl>
    <w:lvl w:ilvl="4" w:tplc="5C5A74DC" w:tentative="1">
      <w:start w:val="1"/>
      <w:numFmt w:val="bullet"/>
      <w:lvlText w:val="o"/>
      <w:lvlJc w:val="left"/>
      <w:pPr>
        <w:ind w:left="3240" w:hanging="360"/>
      </w:pPr>
      <w:rPr>
        <w:rFonts w:ascii="Courier New" w:hAnsi="Courier New" w:cs="Courier New" w:hint="default"/>
      </w:rPr>
    </w:lvl>
    <w:lvl w:ilvl="5" w:tplc="B964B214" w:tentative="1">
      <w:start w:val="1"/>
      <w:numFmt w:val="bullet"/>
      <w:lvlText w:val=""/>
      <w:lvlJc w:val="left"/>
      <w:pPr>
        <w:ind w:left="3960" w:hanging="360"/>
      </w:pPr>
      <w:rPr>
        <w:rFonts w:ascii="Wingdings" w:hAnsi="Wingdings" w:hint="default"/>
      </w:rPr>
    </w:lvl>
    <w:lvl w:ilvl="6" w:tplc="38B4BE90" w:tentative="1">
      <w:start w:val="1"/>
      <w:numFmt w:val="bullet"/>
      <w:lvlText w:val=""/>
      <w:lvlJc w:val="left"/>
      <w:pPr>
        <w:ind w:left="4680" w:hanging="360"/>
      </w:pPr>
      <w:rPr>
        <w:rFonts w:ascii="Symbol" w:hAnsi="Symbol" w:hint="default"/>
      </w:rPr>
    </w:lvl>
    <w:lvl w:ilvl="7" w:tplc="2FBCA960" w:tentative="1">
      <w:start w:val="1"/>
      <w:numFmt w:val="bullet"/>
      <w:lvlText w:val="o"/>
      <w:lvlJc w:val="left"/>
      <w:pPr>
        <w:ind w:left="5400" w:hanging="360"/>
      </w:pPr>
      <w:rPr>
        <w:rFonts w:ascii="Courier New" w:hAnsi="Courier New" w:cs="Courier New" w:hint="default"/>
      </w:rPr>
    </w:lvl>
    <w:lvl w:ilvl="8" w:tplc="46D6D698" w:tentative="1">
      <w:start w:val="1"/>
      <w:numFmt w:val="bullet"/>
      <w:lvlText w:val=""/>
      <w:lvlJc w:val="left"/>
      <w:pPr>
        <w:ind w:left="6120" w:hanging="360"/>
      </w:pPr>
      <w:rPr>
        <w:rFonts w:ascii="Wingdings" w:hAnsi="Wingdings" w:hint="default"/>
      </w:rPr>
    </w:lvl>
  </w:abstractNum>
  <w:abstractNum w:abstractNumId="10" w15:restartNumberingAfterBreak="0">
    <w:nsid w:val="2EE70D16"/>
    <w:multiLevelType w:val="hybridMultilevel"/>
    <w:tmpl w:val="665438EC"/>
    <w:lvl w:ilvl="0" w:tplc="F37ED7D8">
      <w:start w:val="7"/>
      <w:numFmt w:val="bullet"/>
      <w:lvlText w:val="-"/>
      <w:lvlJc w:val="left"/>
      <w:pPr>
        <w:ind w:left="720" w:hanging="360"/>
      </w:pPr>
      <w:rPr>
        <w:rFonts w:ascii="Times New Roman" w:eastAsia="Calibri" w:hAnsi="Times New Roman" w:cs="Times New Roman" w:hint="default"/>
      </w:rPr>
    </w:lvl>
    <w:lvl w:ilvl="1" w:tplc="359047D2" w:tentative="1">
      <w:start w:val="1"/>
      <w:numFmt w:val="bullet"/>
      <w:lvlText w:val="o"/>
      <w:lvlJc w:val="left"/>
      <w:pPr>
        <w:ind w:left="1440" w:hanging="360"/>
      </w:pPr>
      <w:rPr>
        <w:rFonts w:ascii="Courier New" w:hAnsi="Courier New" w:cs="Courier New" w:hint="default"/>
      </w:rPr>
    </w:lvl>
    <w:lvl w:ilvl="2" w:tplc="AFBEB4C2" w:tentative="1">
      <w:start w:val="1"/>
      <w:numFmt w:val="bullet"/>
      <w:lvlText w:val=""/>
      <w:lvlJc w:val="left"/>
      <w:pPr>
        <w:ind w:left="2160" w:hanging="360"/>
      </w:pPr>
      <w:rPr>
        <w:rFonts w:ascii="Wingdings" w:hAnsi="Wingdings" w:hint="default"/>
      </w:rPr>
    </w:lvl>
    <w:lvl w:ilvl="3" w:tplc="18B8C60C" w:tentative="1">
      <w:start w:val="1"/>
      <w:numFmt w:val="bullet"/>
      <w:lvlText w:val=""/>
      <w:lvlJc w:val="left"/>
      <w:pPr>
        <w:ind w:left="2880" w:hanging="360"/>
      </w:pPr>
      <w:rPr>
        <w:rFonts w:ascii="Symbol" w:hAnsi="Symbol" w:hint="default"/>
      </w:rPr>
    </w:lvl>
    <w:lvl w:ilvl="4" w:tplc="73588C30" w:tentative="1">
      <w:start w:val="1"/>
      <w:numFmt w:val="bullet"/>
      <w:lvlText w:val="o"/>
      <w:lvlJc w:val="left"/>
      <w:pPr>
        <w:ind w:left="3600" w:hanging="360"/>
      </w:pPr>
      <w:rPr>
        <w:rFonts w:ascii="Courier New" w:hAnsi="Courier New" w:cs="Courier New" w:hint="default"/>
      </w:rPr>
    </w:lvl>
    <w:lvl w:ilvl="5" w:tplc="B680BEB8" w:tentative="1">
      <w:start w:val="1"/>
      <w:numFmt w:val="bullet"/>
      <w:lvlText w:val=""/>
      <w:lvlJc w:val="left"/>
      <w:pPr>
        <w:ind w:left="4320" w:hanging="360"/>
      </w:pPr>
      <w:rPr>
        <w:rFonts w:ascii="Wingdings" w:hAnsi="Wingdings" w:hint="default"/>
      </w:rPr>
    </w:lvl>
    <w:lvl w:ilvl="6" w:tplc="4ACA9A50" w:tentative="1">
      <w:start w:val="1"/>
      <w:numFmt w:val="bullet"/>
      <w:lvlText w:val=""/>
      <w:lvlJc w:val="left"/>
      <w:pPr>
        <w:ind w:left="5040" w:hanging="360"/>
      </w:pPr>
      <w:rPr>
        <w:rFonts w:ascii="Symbol" w:hAnsi="Symbol" w:hint="default"/>
      </w:rPr>
    </w:lvl>
    <w:lvl w:ilvl="7" w:tplc="699273B6" w:tentative="1">
      <w:start w:val="1"/>
      <w:numFmt w:val="bullet"/>
      <w:lvlText w:val="o"/>
      <w:lvlJc w:val="left"/>
      <w:pPr>
        <w:ind w:left="5760" w:hanging="360"/>
      </w:pPr>
      <w:rPr>
        <w:rFonts w:ascii="Courier New" w:hAnsi="Courier New" w:cs="Courier New" w:hint="default"/>
      </w:rPr>
    </w:lvl>
    <w:lvl w:ilvl="8" w:tplc="B05C47F8" w:tentative="1">
      <w:start w:val="1"/>
      <w:numFmt w:val="bullet"/>
      <w:lvlText w:val=""/>
      <w:lvlJc w:val="left"/>
      <w:pPr>
        <w:ind w:left="6480" w:hanging="360"/>
      </w:pPr>
      <w:rPr>
        <w:rFonts w:ascii="Wingdings" w:hAnsi="Wingdings" w:hint="default"/>
      </w:rPr>
    </w:lvl>
  </w:abstractNum>
  <w:abstractNum w:abstractNumId="11" w15:restartNumberingAfterBreak="0">
    <w:nsid w:val="2FA1762F"/>
    <w:multiLevelType w:val="hybridMultilevel"/>
    <w:tmpl w:val="73949046"/>
    <w:lvl w:ilvl="0" w:tplc="7AE2BEB8">
      <w:start w:val="1"/>
      <w:numFmt w:val="upperLetter"/>
      <w:lvlText w:val="%1."/>
      <w:lvlJc w:val="left"/>
      <w:pPr>
        <w:ind w:left="720" w:hanging="360"/>
      </w:pPr>
    </w:lvl>
    <w:lvl w:ilvl="1" w:tplc="18EECC14" w:tentative="1">
      <w:start w:val="1"/>
      <w:numFmt w:val="lowerLetter"/>
      <w:lvlText w:val="%2."/>
      <w:lvlJc w:val="left"/>
      <w:pPr>
        <w:ind w:left="1440" w:hanging="360"/>
      </w:pPr>
    </w:lvl>
    <w:lvl w:ilvl="2" w:tplc="A9D618FA" w:tentative="1">
      <w:start w:val="1"/>
      <w:numFmt w:val="lowerRoman"/>
      <w:lvlText w:val="%3."/>
      <w:lvlJc w:val="right"/>
      <w:pPr>
        <w:ind w:left="2160" w:hanging="180"/>
      </w:pPr>
    </w:lvl>
    <w:lvl w:ilvl="3" w:tplc="95960C6E" w:tentative="1">
      <w:start w:val="1"/>
      <w:numFmt w:val="decimal"/>
      <w:lvlText w:val="%4."/>
      <w:lvlJc w:val="left"/>
      <w:pPr>
        <w:ind w:left="2880" w:hanging="360"/>
      </w:pPr>
    </w:lvl>
    <w:lvl w:ilvl="4" w:tplc="2FC638D4" w:tentative="1">
      <w:start w:val="1"/>
      <w:numFmt w:val="lowerLetter"/>
      <w:lvlText w:val="%5."/>
      <w:lvlJc w:val="left"/>
      <w:pPr>
        <w:ind w:left="3600" w:hanging="360"/>
      </w:pPr>
    </w:lvl>
    <w:lvl w:ilvl="5" w:tplc="7CC4D9F6" w:tentative="1">
      <w:start w:val="1"/>
      <w:numFmt w:val="lowerRoman"/>
      <w:lvlText w:val="%6."/>
      <w:lvlJc w:val="right"/>
      <w:pPr>
        <w:ind w:left="4320" w:hanging="180"/>
      </w:pPr>
    </w:lvl>
    <w:lvl w:ilvl="6" w:tplc="2FFC5FF6" w:tentative="1">
      <w:start w:val="1"/>
      <w:numFmt w:val="decimal"/>
      <w:lvlText w:val="%7."/>
      <w:lvlJc w:val="left"/>
      <w:pPr>
        <w:ind w:left="5040" w:hanging="360"/>
      </w:pPr>
    </w:lvl>
    <w:lvl w:ilvl="7" w:tplc="C4BCE78E" w:tentative="1">
      <w:start w:val="1"/>
      <w:numFmt w:val="lowerLetter"/>
      <w:lvlText w:val="%8."/>
      <w:lvlJc w:val="left"/>
      <w:pPr>
        <w:ind w:left="5760" w:hanging="360"/>
      </w:pPr>
    </w:lvl>
    <w:lvl w:ilvl="8" w:tplc="E0F6E7E8" w:tentative="1">
      <w:start w:val="1"/>
      <w:numFmt w:val="lowerRoman"/>
      <w:lvlText w:val="%9."/>
      <w:lvlJc w:val="right"/>
      <w:pPr>
        <w:ind w:left="6480" w:hanging="180"/>
      </w:pPr>
    </w:lvl>
  </w:abstractNum>
  <w:abstractNum w:abstractNumId="12" w15:restartNumberingAfterBreak="0">
    <w:nsid w:val="366502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0B664E"/>
    <w:multiLevelType w:val="hybridMultilevel"/>
    <w:tmpl w:val="D5B413FA"/>
    <w:lvl w:ilvl="0" w:tplc="B78C2898">
      <w:start w:val="1"/>
      <w:numFmt w:val="upperLetter"/>
      <w:lvlText w:val="%1."/>
      <w:lvlJc w:val="left"/>
      <w:pPr>
        <w:ind w:left="720" w:hanging="360"/>
      </w:pPr>
    </w:lvl>
    <w:lvl w:ilvl="1" w:tplc="B138600A">
      <w:start w:val="1"/>
      <w:numFmt w:val="lowerLetter"/>
      <w:lvlText w:val="%2."/>
      <w:lvlJc w:val="left"/>
      <w:pPr>
        <w:ind w:left="1440" w:hanging="360"/>
      </w:pPr>
    </w:lvl>
    <w:lvl w:ilvl="2" w:tplc="DB56FB72" w:tentative="1">
      <w:start w:val="1"/>
      <w:numFmt w:val="lowerRoman"/>
      <w:lvlText w:val="%3."/>
      <w:lvlJc w:val="right"/>
      <w:pPr>
        <w:ind w:left="2160" w:hanging="180"/>
      </w:pPr>
    </w:lvl>
    <w:lvl w:ilvl="3" w:tplc="121C421E" w:tentative="1">
      <w:start w:val="1"/>
      <w:numFmt w:val="decimal"/>
      <w:lvlText w:val="%4."/>
      <w:lvlJc w:val="left"/>
      <w:pPr>
        <w:ind w:left="2880" w:hanging="360"/>
      </w:pPr>
    </w:lvl>
    <w:lvl w:ilvl="4" w:tplc="CA247666" w:tentative="1">
      <w:start w:val="1"/>
      <w:numFmt w:val="lowerLetter"/>
      <w:lvlText w:val="%5."/>
      <w:lvlJc w:val="left"/>
      <w:pPr>
        <w:ind w:left="3600" w:hanging="360"/>
      </w:pPr>
    </w:lvl>
    <w:lvl w:ilvl="5" w:tplc="8F44A216" w:tentative="1">
      <w:start w:val="1"/>
      <w:numFmt w:val="lowerRoman"/>
      <w:lvlText w:val="%6."/>
      <w:lvlJc w:val="right"/>
      <w:pPr>
        <w:ind w:left="4320" w:hanging="180"/>
      </w:pPr>
    </w:lvl>
    <w:lvl w:ilvl="6" w:tplc="AEC69254" w:tentative="1">
      <w:start w:val="1"/>
      <w:numFmt w:val="decimal"/>
      <w:lvlText w:val="%7."/>
      <w:lvlJc w:val="left"/>
      <w:pPr>
        <w:ind w:left="5040" w:hanging="360"/>
      </w:pPr>
    </w:lvl>
    <w:lvl w:ilvl="7" w:tplc="25800438" w:tentative="1">
      <w:start w:val="1"/>
      <w:numFmt w:val="lowerLetter"/>
      <w:lvlText w:val="%8."/>
      <w:lvlJc w:val="left"/>
      <w:pPr>
        <w:ind w:left="5760" w:hanging="360"/>
      </w:pPr>
    </w:lvl>
    <w:lvl w:ilvl="8" w:tplc="2692FC9E" w:tentative="1">
      <w:start w:val="1"/>
      <w:numFmt w:val="lowerRoman"/>
      <w:lvlText w:val="%9."/>
      <w:lvlJc w:val="right"/>
      <w:pPr>
        <w:ind w:left="6480" w:hanging="180"/>
      </w:pPr>
    </w:lvl>
  </w:abstractNum>
  <w:abstractNum w:abstractNumId="14" w15:restartNumberingAfterBreak="0">
    <w:nsid w:val="3B8814C2"/>
    <w:multiLevelType w:val="hybridMultilevel"/>
    <w:tmpl w:val="373410D0"/>
    <w:lvl w:ilvl="0" w:tplc="1F3CA5AA">
      <w:start w:val="1"/>
      <w:numFmt w:val="bullet"/>
      <w:lvlText w:val=""/>
      <w:lvlJc w:val="left"/>
      <w:pPr>
        <w:ind w:left="720" w:hanging="360"/>
      </w:pPr>
      <w:rPr>
        <w:rFonts w:ascii="Symbol" w:hAnsi="Symbol" w:hint="default"/>
      </w:rPr>
    </w:lvl>
    <w:lvl w:ilvl="1" w:tplc="0D1EB0B4">
      <w:start w:val="1"/>
      <w:numFmt w:val="bullet"/>
      <w:lvlText w:val="o"/>
      <w:lvlJc w:val="left"/>
      <w:pPr>
        <w:ind w:left="1440" w:hanging="360"/>
      </w:pPr>
      <w:rPr>
        <w:rFonts w:ascii="Courier New" w:hAnsi="Courier New" w:cs="Courier New" w:hint="default"/>
      </w:rPr>
    </w:lvl>
    <w:lvl w:ilvl="2" w:tplc="756C5056" w:tentative="1">
      <w:start w:val="1"/>
      <w:numFmt w:val="bullet"/>
      <w:lvlText w:val=""/>
      <w:lvlJc w:val="left"/>
      <w:pPr>
        <w:ind w:left="2160" w:hanging="360"/>
      </w:pPr>
      <w:rPr>
        <w:rFonts w:ascii="Wingdings" w:hAnsi="Wingdings" w:hint="default"/>
      </w:rPr>
    </w:lvl>
    <w:lvl w:ilvl="3" w:tplc="6CEABF94" w:tentative="1">
      <w:start w:val="1"/>
      <w:numFmt w:val="bullet"/>
      <w:lvlText w:val=""/>
      <w:lvlJc w:val="left"/>
      <w:pPr>
        <w:ind w:left="2880" w:hanging="360"/>
      </w:pPr>
      <w:rPr>
        <w:rFonts w:ascii="Symbol" w:hAnsi="Symbol" w:hint="default"/>
      </w:rPr>
    </w:lvl>
    <w:lvl w:ilvl="4" w:tplc="4CA8574E" w:tentative="1">
      <w:start w:val="1"/>
      <w:numFmt w:val="bullet"/>
      <w:lvlText w:val="o"/>
      <w:lvlJc w:val="left"/>
      <w:pPr>
        <w:ind w:left="3600" w:hanging="360"/>
      </w:pPr>
      <w:rPr>
        <w:rFonts w:ascii="Courier New" w:hAnsi="Courier New" w:cs="Courier New" w:hint="default"/>
      </w:rPr>
    </w:lvl>
    <w:lvl w:ilvl="5" w:tplc="E7D0AAC4" w:tentative="1">
      <w:start w:val="1"/>
      <w:numFmt w:val="bullet"/>
      <w:lvlText w:val=""/>
      <w:lvlJc w:val="left"/>
      <w:pPr>
        <w:ind w:left="4320" w:hanging="360"/>
      </w:pPr>
      <w:rPr>
        <w:rFonts w:ascii="Wingdings" w:hAnsi="Wingdings" w:hint="default"/>
      </w:rPr>
    </w:lvl>
    <w:lvl w:ilvl="6" w:tplc="B1B28D0E" w:tentative="1">
      <w:start w:val="1"/>
      <w:numFmt w:val="bullet"/>
      <w:lvlText w:val=""/>
      <w:lvlJc w:val="left"/>
      <w:pPr>
        <w:ind w:left="5040" w:hanging="360"/>
      </w:pPr>
      <w:rPr>
        <w:rFonts w:ascii="Symbol" w:hAnsi="Symbol" w:hint="default"/>
      </w:rPr>
    </w:lvl>
    <w:lvl w:ilvl="7" w:tplc="FB22E090" w:tentative="1">
      <w:start w:val="1"/>
      <w:numFmt w:val="bullet"/>
      <w:lvlText w:val="o"/>
      <w:lvlJc w:val="left"/>
      <w:pPr>
        <w:ind w:left="5760" w:hanging="360"/>
      </w:pPr>
      <w:rPr>
        <w:rFonts w:ascii="Courier New" w:hAnsi="Courier New" w:cs="Courier New" w:hint="default"/>
      </w:rPr>
    </w:lvl>
    <w:lvl w:ilvl="8" w:tplc="8F3A4CC8" w:tentative="1">
      <w:start w:val="1"/>
      <w:numFmt w:val="bullet"/>
      <w:lvlText w:val=""/>
      <w:lvlJc w:val="left"/>
      <w:pPr>
        <w:ind w:left="6480" w:hanging="360"/>
      </w:pPr>
      <w:rPr>
        <w:rFonts w:ascii="Wingdings" w:hAnsi="Wingdings" w:hint="default"/>
      </w:rPr>
    </w:lvl>
  </w:abstractNum>
  <w:abstractNum w:abstractNumId="15" w15:restartNumberingAfterBreak="0">
    <w:nsid w:val="419363C7"/>
    <w:multiLevelType w:val="hybridMultilevel"/>
    <w:tmpl w:val="0EE6DF7C"/>
    <w:lvl w:ilvl="0" w:tplc="45645C3E">
      <w:start w:val="1"/>
      <w:numFmt w:val="decimal"/>
      <w:lvlText w:val="(%1)"/>
      <w:lvlJc w:val="left"/>
      <w:pPr>
        <w:ind w:left="720" w:hanging="360"/>
      </w:pPr>
      <w:rPr>
        <w:rFonts w:hint="default"/>
      </w:rPr>
    </w:lvl>
    <w:lvl w:ilvl="1" w:tplc="156667D8" w:tentative="1">
      <w:start w:val="1"/>
      <w:numFmt w:val="lowerLetter"/>
      <w:lvlText w:val="%2."/>
      <w:lvlJc w:val="left"/>
      <w:pPr>
        <w:ind w:left="1440" w:hanging="360"/>
      </w:pPr>
    </w:lvl>
    <w:lvl w:ilvl="2" w:tplc="31DE6DFA" w:tentative="1">
      <w:start w:val="1"/>
      <w:numFmt w:val="lowerRoman"/>
      <w:lvlText w:val="%3."/>
      <w:lvlJc w:val="right"/>
      <w:pPr>
        <w:ind w:left="2160" w:hanging="180"/>
      </w:pPr>
    </w:lvl>
    <w:lvl w:ilvl="3" w:tplc="9FAE4994" w:tentative="1">
      <w:start w:val="1"/>
      <w:numFmt w:val="decimal"/>
      <w:lvlText w:val="%4."/>
      <w:lvlJc w:val="left"/>
      <w:pPr>
        <w:ind w:left="2880" w:hanging="360"/>
      </w:pPr>
    </w:lvl>
    <w:lvl w:ilvl="4" w:tplc="078282C6" w:tentative="1">
      <w:start w:val="1"/>
      <w:numFmt w:val="lowerLetter"/>
      <w:lvlText w:val="%5."/>
      <w:lvlJc w:val="left"/>
      <w:pPr>
        <w:ind w:left="3600" w:hanging="360"/>
      </w:pPr>
    </w:lvl>
    <w:lvl w:ilvl="5" w:tplc="4630F184" w:tentative="1">
      <w:start w:val="1"/>
      <w:numFmt w:val="lowerRoman"/>
      <w:lvlText w:val="%6."/>
      <w:lvlJc w:val="right"/>
      <w:pPr>
        <w:ind w:left="4320" w:hanging="180"/>
      </w:pPr>
    </w:lvl>
    <w:lvl w:ilvl="6" w:tplc="E2546226" w:tentative="1">
      <w:start w:val="1"/>
      <w:numFmt w:val="decimal"/>
      <w:lvlText w:val="%7."/>
      <w:lvlJc w:val="left"/>
      <w:pPr>
        <w:ind w:left="5040" w:hanging="360"/>
      </w:pPr>
    </w:lvl>
    <w:lvl w:ilvl="7" w:tplc="D774398C" w:tentative="1">
      <w:start w:val="1"/>
      <w:numFmt w:val="lowerLetter"/>
      <w:lvlText w:val="%8."/>
      <w:lvlJc w:val="left"/>
      <w:pPr>
        <w:ind w:left="5760" w:hanging="360"/>
      </w:pPr>
    </w:lvl>
    <w:lvl w:ilvl="8" w:tplc="2E4A51AE" w:tentative="1">
      <w:start w:val="1"/>
      <w:numFmt w:val="lowerRoman"/>
      <w:lvlText w:val="%9."/>
      <w:lvlJc w:val="right"/>
      <w:pPr>
        <w:ind w:left="6480" w:hanging="180"/>
      </w:pPr>
    </w:lvl>
  </w:abstractNum>
  <w:abstractNum w:abstractNumId="16" w15:restartNumberingAfterBreak="0">
    <w:nsid w:val="46F157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D57F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D555F6"/>
    <w:multiLevelType w:val="hybridMultilevel"/>
    <w:tmpl w:val="C37C0A3A"/>
    <w:lvl w:ilvl="0" w:tplc="E0F0D32E">
      <w:start w:val="1"/>
      <w:numFmt w:val="upperLetter"/>
      <w:lvlText w:val="%1."/>
      <w:lvlJc w:val="left"/>
      <w:pPr>
        <w:ind w:left="360" w:hanging="360"/>
      </w:pPr>
      <w:rPr>
        <w:rFonts w:hint="default"/>
      </w:rPr>
    </w:lvl>
    <w:lvl w:ilvl="1" w:tplc="3702BEE0" w:tentative="1">
      <w:start w:val="1"/>
      <w:numFmt w:val="lowerLetter"/>
      <w:lvlText w:val="%2."/>
      <w:lvlJc w:val="left"/>
      <w:pPr>
        <w:ind w:left="1080" w:hanging="360"/>
      </w:pPr>
    </w:lvl>
    <w:lvl w:ilvl="2" w:tplc="19B8FB88" w:tentative="1">
      <w:start w:val="1"/>
      <w:numFmt w:val="lowerRoman"/>
      <w:lvlText w:val="%3."/>
      <w:lvlJc w:val="right"/>
      <w:pPr>
        <w:ind w:left="1800" w:hanging="180"/>
      </w:pPr>
    </w:lvl>
    <w:lvl w:ilvl="3" w:tplc="2340D574" w:tentative="1">
      <w:start w:val="1"/>
      <w:numFmt w:val="decimal"/>
      <w:lvlText w:val="%4."/>
      <w:lvlJc w:val="left"/>
      <w:pPr>
        <w:ind w:left="2520" w:hanging="360"/>
      </w:pPr>
    </w:lvl>
    <w:lvl w:ilvl="4" w:tplc="6C2EA136" w:tentative="1">
      <w:start w:val="1"/>
      <w:numFmt w:val="lowerLetter"/>
      <w:lvlText w:val="%5."/>
      <w:lvlJc w:val="left"/>
      <w:pPr>
        <w:ind w:left="3240" w:hanging="360"/>
      </w:pPr>
    </w:lvl>
    <w:lvl w:ilvl="5" w:tplc="28640EFC" w:tentative="1">
      <w:start w:val="1"/>
      <w:numFmt w:val="lowerRoman"/>
      <w:lvlText w:val="%6."/>
      <w:lvlJc w:val="right"/>
      <w:pPr>
        <w:ind w:left="3960" w:hanging="180"/>
      </w:pPr>
    </w:lvl>
    <w:lvl w:ilvl="6" w:tplc="54D6FA90" w:tentative="1">
      <w:start w:val="1"/>
      <w:numFmt w:val="decimal"/>
      <w:lvlText w:val="%7."/>
      <w:lvlJc w:val="left"/>
      <w:pPr>
        <w:ind w:left="4680" w:hanging="360"/>
      </w:pPr>
    </w:lvl>
    <w:lvl w:ilvl="7" w:tplc="2460EE5C" w:tentative="1">
      <w:start w:val="1"/>
      <w:numFmt w:val="lowerLetter"/>
      <w:lvlText w:val="%8."/>
      <w:lvlJc w:val="left"/>
      <w:pPr>
        <w:ind w:left="5400" w:hanging="360"/>
      </w:pPr>
    </w:lvl>
    <w:lvl w:ilvl="8" w:tplc="C3CE5EC8" w:tentative="1">
      <w:start w:val="1"/>
      <w:numFmt w:val="lowerRoman"/>
      <w:lvlText w:val="%9."/>
      <w:lvlJc w:val="right"/>
      <w:pPr>
        <w:ind w:left="6120" w:hanging="180"/>
      </w:pPr>
    </w:lvl>
  </w:abstractNum>
  <w:abstractNum w:abstractNumId="19" w15:restartNumberingAfterBreak="0">
    <w:nsid w:val="4B664F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8951EE"/>
    <w:multiLevelType w:val="hybridMultilevel"/>
    <w:tmpl w:val="6D5A9DB8"/>
    <w:lvl w:ilvl="0" w:tplc="1C4C0F78">
      <w:start w:val="1"/>
      <w:numFmt w:val="decimal"/>
      <w:lvlText w:val="%1."/>
      <w:lvlJc w:val="left"/>
      <w:pPr>
        <w:ind w:left="720" w:hanging="360"/>
      </w:pPr>
      <w:rPr>
        <w:rFonts w:hint="default"/>
      </w:rPr>
    </w:lvl>
    <w:lvl w:ilvl="1" w:tplc="EC6ED7B8" w:tentative="1">
      <w:start w:val="1"/>
      <w:numFmt w:val="lowerLetter"/>
      <w:lvlText w:val="%2."/>
      <w:lvlJc w:val="left"/>
      <w:pPr>
        <w:ind w:left="1440" w:hanging="360"/>
      </w:pPr>
    </w:lvl>
    <w:lvl w:ilvl="2" w:tplc="4588C012" w:tentative="1">
      <w:start w:val="1"/>
      <w:numFmt w:val="lowerRoman"/>
      <w:lvlText w:val="%3."/>
      <w:lvlJc w:val="right"/>
      <w:pPr>
        <w:ind w:left="2160" w:hanging="180"/>
      </w:pPr>
    </w:lvl>
    <w:lvl w:ilvl="3" w:tplc="1600718A" w:tentative="1">
      <w:start w:val="1"/>
      <w:numFmt w:val="decimal"/>
      <w:lvlText w:val="%4."/>
      <w:lvlJc w:val="left"/>
      <w:pPr>
        <w:ind w:left="2880" w:hanging="360"/>
      </w:pPr>
    </w:lvl>
    <w:lvl w:ilvl="4" w:tplc="210E63F6" w:tentative="1">
      <w:start w:val="1"/>
      <w:numFmt w:val="lowerLetter"/>
      <w:lvlText w:val="%5."/>
      <w:lvlJc w:val="left"/>
      <w:pPr>
        <w:ind w:left="3600" w:hanging="360"/>
      </w:pPr>
    </w:lvl>
    <w:lvl w:ilvl="5" w:tplc="4E6A9EFC" w:tentative="1">
      <w:start w:val="1"/>
      <w:numFmt w:val="lowerRoman"/>
      <w:lvlText w:val="%6."/>
      <w:lvlJc w:val="right"/>
      <w:pPr>
        <w:ind w:left="4320" w:hanging="180"/>
      </w:pPr>
    </w:lvl>
    <w:lvl w:ilvl="6" w:tplc="A6187632" w:tentative="1">
      <w:start w:val="1"/>
      <w:numFmt w:val="decimal"/>
      <w:lvlText w:val="%7."/>
      <w:lvlJc w:val="left"/>
      <w:pPr>
        <w:ind w:left="5040" w:hanging="360"/>
      </w:pPr>
    </w:lvl>
    <w:lvl w:ilvl="7" w:tplc="FFC6D2BC" w:tentative="1">
      <w:start w:val="1"/>
      <w:numFmt w:val="lowerLetter"/>
      <w:lvlText w:val="%8."/>
      <w:lvlJc w:val="left"/>
      <w:pPr>
        <w:ind w:left="5760" w:hanging="360"/>
      </w:pPr>
    </w:lvl>
    <w:lvl w:ilvl="8" w:tplc="1CAC4284" w:tentative="1">
      <w:start w:val="1"/>
      <w:numFmt w:val="lowerRoman"/>
      <w:lvlText w:val="%9."/>
      <w:lvlJc w:val="right"/>
      <w:pPr>
        <w:ind w:left="6480" w:hanging="180"/>
      </w:pPr>
    </w:lvl>
  </w:abstractNum>
  <w:abstractNum w:abstractNumId="21" w15:restartNumberingAfterBreak="0">
    <w:nsid w:val="4F943209"/>
    <w:multiLevelType w:val="hybridMultilevel"/>
    <w:tmpl w:val="67D028DA"/>
    <w:lvl w:ilvl="0" w:tplc="0526E7B4">
      <w:start w:val="1"/>
      <w:numFmt w:val="bullet"/>
      <w:lvlText w:val=""/>
      <w:lvlJc w:val="left"/>
      <w:pPr>
        <w:ind w:left="720" w:hanging="360"/>
      </w:pPr>
      <w:rPr>
        <w:rFonts w:ascii="Symbol" w:hAnsi="Symbol" w:hint="default"/>
      </w:rPr>
    </w:lvl>
    <w:lvl w:ilvl="1" w:tplc="7AA23786">
      <w:start w:val="1"/>
      <w:numFmt w:val="bullet"/>
      <w:lvlText w:val="o"/>
      <w:lvlJc w:val="left"/>
      <w:pPr>
        <w:ind w:left="1440" w:hanging="360"/>
      </w:pPr>
      <w:rPr>
        <w:rFonts w:ascii="Courier New" w:hAnsi="Courier New" w:cs="Courier New" w:hint="default"/>
      </w:rPr>
    </w:lvl>
    <w:lvl w:ilvl="2" w:tplc="92A441E2">
      <w:start w:val="1"/>
      <w:numFmt w:val="bullet"/>
      <w:lvlText w:val=""/>
      <w:lvlJc w:val="left"/>
      <w:pPr>
        <w:ind w:left="2160" w:hanging="360"/>
      </w:pPr>
      <w:rPr>
        <w:rFonts w:ascii="Wingdings" w:hAnsi="Wingdings" w:hint="default"/>
      </w:rPr>
    </w:lvl>
    <w:lvl w:ilvl="3" w:tplc="D12C419E">
      <w:start w:val="1"/>
      <w:numFmt w:val="bullet"/>
      <w:lvlText w:val=""/>
      <w:lvlJc w:val="left"/>
      <w:pPr>
        <w:ind w:left="2880" w:hanging="360"/>
      </w:pPr>
      <w:rPr>
        <w:rFonts w:ascii="Symbol" w:hAnsi="Symbol" w:hint="default"/>
      </w:rPr>
    </w:lvl>
    <w:lvl w:ilvl="4" w:tplc="DBAE456C">
      <w:start w:val="1"/>
      <w:numFmt w:val="bullet"/>
      <w:lvlText w:val="o"/>
      <w:lvlJc w:val="left"/>
      <w:pPr>
        <w:ind w:left="3600" w:hanging="360"/>
      </w:pPr>
      <w:rPr>
        <w:rFonts w:ascii="Courier New" w:hAnsi="Courier New" w:cs="Courier New" w:hint="default"/>
      </w:rPr>
    </w:lvl>
    <w:lvl w:ilvl="5" w:tplc="D1C6465E">
      <w:start w:val="1"/>
      <w:numFmt w:val="bullet"/>
      <w:lvlText w:val=""/>
      <w:lvlJc w:val="left"/>
      <w:pPr>
        <w:ind w:left="4320" w:hanging="360"/>
      </w:pPr>
      <w:rPr>
        <w:rFonts w:ascii="Wingdings" w:hAnsi="Wingdings" w:hint="default"/>
      </w:rPr>
    </w:lvl>
    <w:lvl w:ilvl="6" w:tplc="EA8218E2">
      <w:start w:val="1"/>
      <w:numFmt w:val="bullet"/>
      <w:lvlText w:val=""/>
      <w:lvlJc w:val="left"/>
      <w:pPr>
        <w:ind w:left="5040" w:hanging="360"/>
      </w:pPr>
      <w:rPr>
        <w:rFonts w:ascii="Symbol" w:hAnsi="Symbol" w:hint="default"/>
      </w:rPr>
    </w:lvl>
    <w:lvl w:ilvl="7" w:tplc="E774C938">
      <w:start w:val="1"/>
      <w:numFmt w:val="bullet"/>
      <w:lvlText w:val="o"/>
      <w:lvlJc w:val="left"/>
      <w:pPr>
        <w:ind w:left="5760" w:hanging="360"/>
      </w:pPr>
      <w:rPr>
        <w:rFonts w:ascii="Courier New" w:hAnsi="Courier New" w:cs="Courier New" w:hint="default"/>
      </w:rPr>
    </w:lvl>
    <w:lvl w:ilvl="8" w:tplc="2700838C">
      <w:start w:val="1"/>
      <w:numFmt w:val="bullet"/>
      <w:lvlText w:val=""/>
      <w:lvlJc w:val="left"/>
      <w:pPr>
        <w:ind w:left="6480" w:hanging="360"/>
      </w:pPr>
      <w:rPr>
        <w:rFonts w:ascii="Wingdings" w:hAnsi="Wingdings" w:hint="default"/>
      </w:rPr>
    </w:lvl>
  </w:abstractNum>
  <w:abstractNum w:abstractNumId="22" w15:restartNumberingAfterBreak="0">
    <w:nsid w:val="50A17EE5"/>
    <w:multiLevelType w:val="hybridMultilevel"/>
    <w:tmpl w:val="174AC634"/>
    <w:lvl w:ilvl="0" w:tplc="DC8C6B78">
      <w:start w:val="1"/>
      <w:numFmt w:val="decimal"/>
      <w:lvlText w:val="%1."/>
      <w:lvlJc w:val="left"/>
      <w:pPr>
        <w:ind w:left="720" w:hanging="360"/>
      </w:pPr>
      <w:rPr>
        <w:rFonts w:hint="default"/>
      </w:rPr>
    </w:lvl>
    <w:lvl w:ilvl="1" w:tplc="43D23076" w:tentative="1">
      <w:start w:val="1"/>
      <w:numFmt w:val="lowerLetter"/>
      <w:lvlText w:val="%2."/>
      <w:lvlJc w:val="left"/>
      <w:pPr>
        <w:ind w:left="1440" w:hanging="360"/>
      </w:pPr>
    </w:lvl>
    <w:lvl w:ilvl="2" w:tplc="66A8B84C" w:tentative="1">
      <w:start w:val="1"/>
      <w:numFmt w:val="lowerRoman"/>
      <w:lvlText w:val="%3."/>
      <w:lvlJc w:val="right"/>
      <w:pPr>
        <w:ind w:left="2160" w:hanging="180"/>
      </w:pPr>
    </w:lvl>
    <w:lvl w:ilvl="3" w:tplc="ED1AB0E0" w:tentative="1">
      <w:start w:val="1"/>
      <w:numFmt w:val="decimal"/>
      <w:lvlText w:val="%4."/>
      <w:lvlJc w:val="left"/>
      <w:pPr>
        <w:ind w:left="2880" w:hanging="360"/>
      </w:pPr>
    </w:lvl>
    <w:lvl w:ilvl="4" w:tplc="2668AD54" w:tentative="1">
      <w:start w:val="1"/>
      <w:numFmt w:val="lowerLetter"/>
      <w:lvlText w:val="%5."/>
      <w:lvlJc w:val="left"/>
      <w:pPr>
        <w:ind w:left="3600" w:hanging="360"/>
      </w:pPr>
    </w:lvl>
    <w:lvl w:ilvl="5" w:tplc="06E26C32" w:tentative="1">
      <w:start w:val="1"/>
      <w:numFmt w:val="lowerRoman"/>
      <w:lvlText w:val="%6."/>
      <w:lvlJc w:val="right"/>
      <w:pPr>
        <w:ind w:left="4320" w:hanging="180"/>
      </w:pPr>
    </w:lvl>
    <w:lvl w:ilvl="6" w:tplc="523082DE" w:tentative="1">
      <w:start w:val="1"/>
      <w:numFmt w:val="decimal"/>
      <w:lvlText w:val="%7."/>
      <w:lvlJc w:val="left"/>
      <w:pPr>
        <w:ind w:left="5040" w:hanging="360"/>
      </w:pPr>
    </w:lvl>
    <w:lvl w:ilvl="7" w:tplc="0D9699C8" w:tentative="1">
      <w:start w:val="1"/>
      <w:numFmt w:val="lowerLetter"/>
      <w:lvlText w:val="%8."/>
      <w:lvlJc w:val="left"/>
      <w:pPr>
        <w:ind w:left="5760" w:hanging="360"/>
      </w:pPr>
    </w:lvl>
    <w:lvl w:ilvl="8" w:tplc="0F685980" w:tentative="1">
      <w:start w:val="1"/>
      <w:numFmt w:val="lowerRoman"/>
      <w:lvlText w:val="%9."/>
      <w:lvlJc w:val="right"/>
      <w:pPr>
        <w:ind w:left="6480" w:hanging="180"/>
      </w:pPr>
    </w:lvl>
  </w:abstractNum>
  <w:abstractNum w:abstractNumId="23" w15:restartNumberingAfterBreak="0">
    <w:nsid w:val="552826B5"/>
    <w:multiLevelType w:val="hybridMultilevel"/>
    <w:tmpl w:val="B51EE308"/>
    <w:lvl w:ilvl="0" w:tplc="6AEEC386">
      <w:start w:val="1"/>
      <w:numFmt w:val="decimal"/>
      <w:lvlText w:val="%1."/>
      <w:lvlJc w:val="left"/>
      <w:pPr>
        <w:tabs>
          <w:tab w:val="num" w:pos="720"/>
        </w:tabs>
        <w:ind w:left="720" w:hanging="360"/>
      </w:pPr>
      <w:rPr>
        <w:rFonts w:hint="default"/>
      </w:rPr>
    </w:lvl>
    <w:lvl w:ilvl="1" w:tplc="5E96F696">
      <w:start w:val="1"/>
      <w:numFmt w:val="decimal"/>
      <w:lvlText w:val="%2)"/>
      <w:lvlJc w:val="left"/>
      <w:pPr>
        <w:tabs>
          <w:tab w:val="num" w:pos="1440"/>
        </w:tabs>
        <w:ind w:left="1440" w:hanging="360"/>
      </w:pPr>
      <w:rPr>
        <w:rFonts w:hint="default"/>
      </w:rPr>
    </w:lvl>
    <w:lvl w:ilvl="2" w:tplc="89120664" w:tentative="1">
      <w:start w:val="1"/>
      <w:numFmt w:val="lowerRoman"/>
      <w:lvlText w:val="%3."/>
      <w:lvlJc w:val="right"/>
      <w:pPr>
        <w:tabs>
          <w:tab w:val="num" w:pos="2160"/>
        </w:tabs>
        <w:ind w:left="2160" w:hanging="180"/>
      </w:pPr>
    </w:lvl>
    <w:lvl w:ilvl="3" w:tplc="653E8D82" w:tentative="1">
      <w:start w:val="1"/>
      <w:numFmt w:val="decimal"/>
      <w:lvlText w:val="%4."/>
      <w:lvlJc w:val="left"/>
      <w:pPr>
        <w:tabs>
          <w:tab w:val="num" w:pos="2880"/>
        </w:tabs>
        <w:ind w:left="2880" w:hanging="360"/>
      </w:pPr>
    </w:lvl>
    <w:lvl w:ilvl="4" w:tplc="33CEB83C" w:tentative="1">
      <w:start w:val="1"/>
      <w:numFmt w:val="lowerLetter"/>
      <w:lvlText w:val="%5."/>
      <w:lvlJc w:val="left"/>
      <w:pPr>
        <w:tabs>
          <w:tab w:val="num" w:pos="3600"/>
        </w:tabs>
        <w:ind w:left="3600" w:hanging="360"/>
      </w:pPr>
    </w:lvl>
    <w:lvl w:ilvl="5" w:tplc="57DE6074" w:tentative="1">
      <w:start w:val="1"/>
      <w:numFmt w:val="lowerRoman"/>
      <w:lvlText w:val="%6."/>
      <w:lvlJc w:val="right"/>
      <w:pPr>
        <w:tabs>
          <w:tab w:val="num" w:pos="4320"/>
        </w:tabs>
        <w:ind w:left="4320" w:hanging="180"/>
      </w:pPr>
    </w:lvl>
    <w:lvl w:ilvl="6" w:tplc="CCEC056E" w:tentative="1">
      <w:start w:val="1"/>
      <w:numFmt w:val="decimal"/>
      <w:lvlText w:val="%7."/>
      <w:lvlJc w:val="left"/>
      <w:pPr>
        <w:tabs>
          <w:tab w:val="num" w:pos="5040"/>
        </w:tabs>
        <w:ind w:left="5040" w:hanging="360"/>
      </w:pPr>
    </w:lvl>
    <w:lvl w:ilvl="7" w:tplc="8C94B466" w:tentative="1">
      <w:start w:val="1"/>
      <w:numFmt w:val="lowerLetter"/>
      <w:lvlText w:val="%8."/>
      <w:lvlJc w:val="left"/>
      <w:pPr>
        <w:tabs>
          <w:tab w:val="num" w:pos="5760"/>
        </w:tabs>
        <w:ind w:left="5760" w:hanging="360"/>
      </w:pPr>
    </w:lvl>
    <w:lvl w:ilvl="8" w:tplc="2E446510" w:tentative="1">
      <w:start w:val="1"/>
      <w:numFmt w:val="lowerRoman"/>
      <w:lvlText w:val="%9."/>
      <w:lvlJc w:val="right"/>
      <w:pPr>
        <w:tabs>
          <w:tab w:val="num" w:pos="6480"/>
        </w:tabs>
        <w:ind w:left="6480" w:hanging="180"/>
      </w:pPr>
    </w:lvl>
  </w:abstractNum>
  <w:abstractNum w:abstractNumId="24" w15:restartNumberingAfterBreak="0">
    <w:nsid w:val="5AB645D1"/>
    <w:multiLevelType w:val="hybridMultilevel"/>
    <w:tmpl w:val="3EA82AE2"/>
    <w:lvl w:ilvl="0" w:tplc="9DDECFB4">
      <w:start w:val="1"/>
      <w:numFmt w:val="decimal"/>
      <w:lvlText w:val="%1."/>
      <w:lvlJc w:val="left"/>
      <w:pPr>
        <w:ind w:left="720" w:hanging="360"/>
      </w:pPr>
    </w:lvl>
    <w:lvl w:ilvl="1" w:tplc="B95A23D2" w:tentative="1">
      <w:start w:val="1"/>
      <w:numFmt w:val="lowerLetter"/>
      <w:lvlText w:val="%2."/>
      <w:lvlJc w:val="left"/>
      <w:pPr>
        <w:ind w:left="1440" w:hanging="360"/>
      </w:pPr>
    </w:lvl>
    <w:lvl w:ilvl="2" w:tplc="8D684934" w:tentative="1">
      <w:start w:val="1"/>
      <w:numFmt w:val="lowerRoman"/>
      <w:lvlText w:val="%3."/>
      <w:lvlJc w:val="right"/>
      <w:pPr>
        <w:ind w:left="2160" w:hanging="180"/>
      </w:pPr>
    </w:lvl>
    <w:lvl w:ilvl="3" w:tplc="DE6ECE88" w:tentative="1">
      <w:start w:val="1"/>
      <w:numFmt w:val="decimal"/>
      <w:lvlText w:val="%4."/>
      <w:lvlJc w:val="left"/>
      <w:pPr>
        <w:ind w:left="2880" w:hanging="360"/>
      </w:pPr>
    </w:lvl>
    <w:lvl w:ilvl="4" w:tplc="BE80CE30" w:tentative="1">
      <w:start w:val="1"/>
      <w:numFmt w:val="lowerLetter"/>
      <w:lvlText w:val="%5."/>
      <w:lvlJc w:val="left"/>
      <w:pPr>
        <w:ind w:left="3600" w:hanging="360"/>
      </w:pPr>
    </w:lvl>
    <w:lvl w:ilvl="5" w:tplc="88A6E10C" w:tentative="1">
      <w:start w:val="1"/>
      <w:numFmt w:val="lowerRoman"/>
      <w:lvlText w:val="%6."/>
      <w:lvlJc w:val="right"/>
      <w:pPr>
        <w:ind w:left="4320" w:hanging="180"/>
      </w:pPr>
    </w:lvl>
    <w:lvl w:ilvl="6" w:tplc="2CC4E69C" w:tentative="1">
      <w:start w:val="1"/>
      <w:numFmt w:val="decimal"/>
      <w:lvlText w:val="%7."/>
      <w:lvlJc w:val="left"/>
      <w:pPr>
        <w:ind w:left="5040" w:hanging="360"/>
      </w:pPr>
    </w:lvl>
    <w:lvl w:ilvl="7" w:tplc="AE5EEBB4" w:tentative="1">
      <w:start w:val="1"/>
      <w:numFmt w:val="lowerLetter"/>
      <w:lvlText w:val="%8."/>
      <w:lvlJc w:val="left"/>
      <w:pPr>
        <w:ind w:left="5760" w:hanging="360"/>
      </w:pPr>
    </w:lvl>
    <w:lvl w:ilvl="8" w:tplc="0C0C9C1C" w:tentative="1">
      <w:start w:val="1"/>
      <w:numFmt w:val="lowerRoman"/>
      <w:lvlText w:val="%9."/>
      <w:lvlJc w:val="right"/>
      <w:pPr>
        <w:ind w:left="6480" w:hanging="180"/>
      </w:pPr>
    </w:lvl>
  </w:abstractNum>
  <w:abstractNum w:abstractNumId="25" w15:restartNumberingAfterBreak="0">
    <w:nsid w:val="64CE75E7"/>
    <w:multiLevelType w:val="hybridMultilevel"/>
    <w:tmpl w:val="BE5EA60E"/>
    <w:lvl w:ilvl="0" w:tplc="94E6B62E">
      <w:start w:val="1"/>
      <w:numFmt w:val="decimal"/>
      <w:lvlText w:val="%1."/>
      <w:lvlJc w:val="left"/>
      <w:pPr>
        <w:ind w:left="720" w:hanging="360"/>
      </w:pPr>
    </w:lvl>
    <w:lvl w:ilvl="1" w:tplc="8ECA828C" w:tentative="1">
      <w:start w:val="1"/>
      <w:numFmt w:val="lowerLetter"/>
      <w:lvlText w:val="%2."/>
      <w:lvlJc w:val="left"/>
      <w:pPr>
        <w:ind w:left="1440" w:hanging="360"/>
      </w:pPr>
    </w:lvl>
    <w:lvl w:ilvl="2" w:tplc="9A369B70" w:tentative="1">
      <w:start w:val="1"/>
      <w:numFmt w:val="lowerRoman"/>
      <w:lvlText w:val="%3."/>
      <w:lvlJc w:val="right"/>
      <w:pPr>
        <w:ind w:left="2160" w:hanging="180"/>
      </w:pPr>
    </w:lvl>
    <w:lvl w:ilvl="3" w:tplc="C8E6D4E0" w:tentative="1">
      <w:start w:val="1"/>
      <w:numFmt w:val="decimal"/>
      <w:lvlText w:val="%4."/>
      <w:lvlJc w:val="left"/>
      <w:pPr>
        <w:ind w:left="2880" w:hanging="360"/>
      </w:pPr>
    </w:lvl>
    <w:lvl w:ilvl="4" w:tplc="2312B578" w:tentative="1">
      <w:start w:val="1"/>
      <w:numFmt w:val="lowerLetter"/>
      <w:lvlText w:val="%5."/>
      <w:lvlJc w:val="left"/>
      <w:pPr>
        <w:ind w:left="3600" w:hanging="360"/>
      </w:pPr>
    </w:lvl>
    <w:lvl w:ilvl="5" w:tplc="704C8B68" w:tentative="1">
      <w:start w:val="1"/>
      <w:numFmt w:val="lowerRoman"/>
      <w:lvlText w:val="%6."/>
      <w:lvlJc w:val="right"/>
      <w:pPr>
        <w:ind w:left="4320" w:hanging="180"/>
      </w:pPr>
    </w:lvl>
    <w:lvl w:ilvl="6" w:tplc="B8D445CC" w:tentative="1">
      <w:start w:val="1"/>
      <w:numFmt w:val="decimal"/>
      <w:lvlText w:val="%7."/>
      <w:lvlJc w:val="left"/>
      <w:pPr>
        <w:ind w:left="5040" w:hanging="360"/>
      </w:pPr>
    </w:lvl>
    <w:lvl w:ilvl="7" w:tplc="24149968" w:tentative="1">
      <w:start w:val="1"/>
      <w:numFmt w:val="lowerLetter"/>
      <w:lvlText w:val="%8."/>
      <w:lvlJc w:val="left"/>
      <w:pPr>
        <w:ind w:left="5760" w:hanging="360"/>
      </w:pPr>
    </w:lvl>
    <w:lvl w:ilvl="8" w:tplc="BECAEF0E" w:tentative="1">
      <w:start w:val="1"/>
      <w:numFmt w:val="lowerRoman"/>
      <w:lvlText w:val="%9."/>
      <w:lvlJc w:val="right"/>
      <w:pPr>
        <w:ind w:left="6480" w:hanging="180"/>
      </w:pPr>
    </w:lvl>
  </w:abstractNum>
  <w:abstractNum w:abstractNumId="26" w15:restartNumberingAfterBreak="0">
    <w:nsid w:val="658A3544"/>
    <w:multiLevelType w:val="hybridMultilevel"/>
    <w:tmpl w:val="23944930"/>
    <w:lvl w:ilvl="0" w:tplc="06B49DB6">
      <w:numFmt w:val="bullet"/>
      <w:lvlText w:val="-"/>
      <w:lvlJc w:val="left"/>
      <w:pPr>
        <w:ind w:left="420" w:hanging="360"/>
      </w:pPr>
      <w:rPr>
        <w:rFonts w:ascii="Times New Roman" w:eastAsiaTheme="minorHAnsi" w:hAnsi="Times New Roman" w:cs="Times New Roman" w:hint="default"/>
      </w:rPr>
    </w:lvl>
    <w:lvl w:ilvl="1" w:tplc="E010798C" w:tentative="1">
      <w:start w:val="1"/>
      <w:numFmt w:val="bullet"/>
      <w:lvlText w:val="o"/>
      <w:lvlJc w:val="left"/>
      <w:pPr>
        <w:ind w:left="1140" w:hanging="360"/>
      </w:pPr>
      <w:rPr>
        <w:rFonts w:ascii="Courier New" w:hAnsi="Courier New" w:cs="Courier New" w:hint="default"/>
      </w:rPr>
    </w:lvl>
    <w:lvl w:ilvl="2" w:tplc="88C6A2FC" w:tentative="1">
      <w:start w:val="1"/>
      <w:numFmt w:val="bullet"/>
      <w:lvlText w:val=""/>
      <w:lvlJc w:val="left"/>
      <w:pPr>
        <w:ind w:left="1860" w:hanging="360"/>
      </w:pPr>
      <w:rPr>
        <w:rFonts w:ascii="Wingdings" w:hAnsi="Wingdings" w:hint="default"/>
      </w:rPr>
    </w:lvl>
    <w:lvl w:ilvl="3" w:tplc="31784728" w:tentative="1">
      <w:start w:val="1"/>
      <w:numFmt w:val="bullet"/>
      <w:lvlText w:val=""/>
      <w:lvlJc w:val="left"/>
      <w:pPr>
        <w:ind w:left="2580" w:hanging="360"/>
      </w:pPr>
      <w:rPr>
        <w:rFonts w:ascii="Symbol" w:hAnsi="Symbol" w:hint="default"/>
      </w:rPr>
    </w:lvl>
    <w:lvl w:ilvl="4" w:tplc="5FE8DAA0" w:tentative="1">
      <w:start w:val="1"/>
      <w:numFmt w:val="bullet"/>
      <w:lvlText w:val="o"/>
      <w:lvlJc w:val="left"/>
      <w:pPr>
        <w:ind w:left="3300" w:hanging="360"/>
      </w:pPr>
      <w:rPr>
        <w:rFonts w:ascii="Courier New" w:hAnsi="Courier New" w:cs="Courier New" w:hint="default"/>
      </w:rPr>
    </w:lvl>
    <w:lvl w:ilvl="5" w:tplc="DB0CF290" w:tentative="1">
      <w:start w:val="1"/>
      <w:numFmt w:val="bullet"/>
      <w:lvlText w:val=""/>
      <w:lvlJc w:val="left"/>
      <w:pPr>
        <w:ind w:left="4020" w:hanging="360"/>
      </w:pPr>
      <w:rPr>
        <w:rFonts w:ascii="Wingdings" w:hAnsi="Wingdings" w:hint="default"/>
      </w:rPr>
    </w:lvl>
    <w:lvl w:ilvl="6" w:tplc="0D7E1ACA" w:tentative="1">
      <w:start w:val="1"/>
      <w:numFmt w:val="bullet"/>
      <w:lvlText w:val=""/>
      <w:lvlJc w:val="left"/>
      <w:pPr>
        <w:ind w:left="4740" w:hanging="360"/>
      </w:pPr>
      <w:rPr>
        <w:rFonts w:ascii="Symbol" w:hAnsi="Symbol" w:hint="default"/>
      </w:rPr>
    </w:lvl>
    <w:lvl w:ilvl="7" w:tplc="0C4E9148" w:tentative="1">
      <w:start w:val="1"/>
      <w:numFmt w:val="bullet"/>
      <w:lvlText w:val="o"/>
      <w:lvlJc w:val="left"/>
      <w:pPr>
        <w:ind w:left="5460" w:hanging="360"/>
      </w:pPr>
      <w:rPr>
        <w:rFonts w:ascii="Courier New" w:hAnsi="Courier New" w:cs="Courier New" w:hint="default"/>
      </w:rPr>
    </w:lvl>
    <w:lvl w:ilvl="8" w:tplc="0674E1FA" w:tentative="1">
      <w:start w:val="1"/>
      <w:numFmt w:val="bullet"/>
      <w:lvlText w:val=""/>
      <w:lvlJc w:val="left"/>
      <w:pPr>
        <w:ind w:left="6180" w:hanging="360"/>
      </w:pPr>
      <w:rPr>
        <w:rFonts w:ascii="Wingdings" w:hAnsi="Wingdings" w:hint="default"/>
      </w:rPr>
    </w:lvl>
  </w:abstractNum>
  <w:abstractNum w:abstractNumId="27" w15:restartNumberingAfterBreak="0">
    <w:nsid w:val="6A837FDC"/>
    <w:multiLevelType w:val="hybridMultilevel"/>
    <w:tmpl w:val="85688270"/>
    <w:lvl w:ilvl="0" w:tplc="79B0C342">
      <w:start w:val="3"/>
      <w:numFmt w:val="decimal"/>
      <w:lvlText w:val="%1."/>
      <w:lvlJc w:val="left"/>
      <w:pPr>
        <w:tabs>
          <w:tab w:val="num" w:pos="720"/>
        </w:tabs>
        <w:ind w:left="720" w:hanging="360"/>
      </w:pPr>
      <w:rPr>
        <w:rFonts w:hint="default"/>
      </w:rPr>
    </w:lvl>
    <w:lvl w:ilvl="1" w:tplc="6CA457D6" w:tentative="1">
      <w:start w:val="1"/>
      <w:numFmt w:val="lowerLetter"/>
      <w:lvlText w:val="%2."/>
      <w:lvlJc w:val="left"/>
      <w:pPr>
        <w:tabs>
          <w:tab w:val="num" w:pos="1440"/>
        </w:tabs>
        <w:ind w:left="1440" w:hanging="360"/>
      </w:pPr>
    </w:lvl>
    <w:lvl w:ilvl="2" w:tplc="0CDEF1A6" w:tentative="1">
      <w:start w:val="1"/>
      <w:numFmt w:val="lowerRoman"/>
      <w:lvlText w:val="%3."/>
      <w:lvlJc w:val="right"/>
      <w:pPr>
        <w:tabs>
          <w:tab w:val="num" w:pos="2160"/>
        </w:tabs>
        <w:ind w:left="2160" w:hanging="180"/>
      </w:pPr>
    </w:lvl>
    <w:lvl w:ilvl="3" w:tplc="29F4F73E" w:tentative="1">
      <w:start w:val="1"/>
      <w:numFmt w:val="decimal"/>
      <w:lvlText w:val="%4."/>
      <w:lvlJc w:val="left"/>
      <w:pPr>
        <w:tabs>
          <w:tab w:val="num" w:pos="2880"/>
        </w:tabs>
        <w:ind w:left="2880" w:hanging="360"/>
      </w:pPr>
    </w:lvl>
    <w:lvl w:ilvl="4" w:tplc="AAC03828" w:tentative="1">
      <w:start w:val="1"/>
      <w:numFmt w:val="lowerLetter"/>
      <w:lvlText w:val="%5."/>
      <w:lvlJc w:val="left"/>
      <w:pPr>
        <w:tabs>
          <w:tab w:val="num" w:pos="3600"/>
        </w:tabs>
        <w:ind w:left="3600" w:hanging="360"/>
      </w:pPr>
    </w:lvl>
    <w:lvl w:ilvl="5" w:tplc="AD9842D8" w:tentative="1">
      <w:start w:val="1"/>
      <w:numFmt w:val="lowerRoman"/>
      <w:lvlText w:val="%6."/>
      <w:lvlJc w:val="right"/>
      <w:pPr>
        <w:tabs>
          <w:tab w:val="num" w:pos="4320"/>
        </w:tabs>
        <w:ind w:left="4320" w:hanging="180"/>
      </w:pPr>
    </w:lvl>
    <w:lvl w:ilvl="6" w:tplc="CDA6E714" w:tentative="1">
      <w:start w:val="1"/>
      <w:numFmt w:val="decimal"/>
      <w:lvlText w:val="%7."/>
      <w:lvlJc w:val="left"/>
      <w:pPr>
        <w:tabs>
          <w:tab w:val="num" w:pos="5040"/>
        </w:tabs>
        <w:ind w:left="5040" w:hanging="360"/>
      </w:pPr>
    </w:lvl>
    <w:lvl w:ilvl="7" w:tplc="865A966E" w:tentative="1">
      <w:start w:val="1"/>
      <w:numFmt w:val="lowerLetter"/>
      <w:lvlText w:val="%8."/>
      <w:lvlJc w:val="left"/>
      <w:pPr>
        <w:tabs>
          <w:tab w:val="num" w:pos="5760"/>
        </w:tabs>
        <w:ind w:left="5760" w:hanging="360"/>
      </w:pPr>
    </w:lvl>
    <w:lvl w:ilvl="8" w:tplc="9A9E3602" w:tentative="1">
      <w:start w:val="1"/>
      <w:numFmt w:val="lowerRoman"/>
      <w:lvlText w:val="%9."/>
      <w:lvlJc w:val="right"/>
      <w:pPr>
        <w:tabs>
          <w:tab w:val="num" w:pos="6480"/>
        </w:tabs>
        <w:ind w:left="6480" w:hanging="180"/>
      </w:pPr>
    </w:lvl>
  </w:abstractNum>
  <w:abstractNum w:abstractNumId="28" w15:restartNumberingAfterBreak="0">
    <w:nsid w:val="732E00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4869B0"/>
    <w:multiLevelType w:val="hybridMultilevel"/>
    <w:tmpl w:val="D77A0A1C"/>
    <w:lvl w:ilvl="0" w:tplc="A6BCFE74">
      <w:start w:val="1"/>
      <w:numFmt w:val="upperRoman"/>
      <w:lvlText w:val="%1."/>
      <w:lvlJc w:val="right"/>
      <w:pPr>
        <w:ind w:left="720" w:hanging="360"/>
      </w:pPr>
      <w:rPr>
        <w:rFonts w:hint="default"/>
        <w:b w:val="0"/>
      </w:rPr>
    </w:lvl>
    <w:lvl w:ilvl="1" w:tplc="5E369F0E">
      <w:start w:val="1"/>
      <w:numFmt w:val="lowerLetter"/>
      <w:lvlText w:val="%2."/>
      <w:lvlJc w:val="left"/>
      <w:pPr>
        <w:ind w:left="1440" w:hanging="360"/>
      </w:pPr>
    </w:lvl>
    <w:lvl w:ilvl="2" w:tplc="48A2BB5A">
      <w:start w:val="1"/>
      <w:numFmt w:val="lowerRoman"/>
      <w:lvlText w:val="%3."/>
      <w:lvlJc w:val="right"/>
      <w:pPr>
        <w:ind w:left="2160" w:hanging="180"/>
      </w:pPr>
    </w:lvl>
    <w:lvl w:ilvl="3" w:tplc="036CB4F4">
      <w:start w:val="1"/>
      <w:numFmt w:val="decimal"/>
      <w:lvlText w:val="%4."/>
      <w:lvlJc w:val="left"/>
      <w:pPr>
        <w:ind w:left="2880" w:hanging="360"/>
      </w:pPr>
    </w:lvl>
    <w:lvl w:ilvl="4" w:tplc="AB5EB2B0" w:tentative="1">
      <w:start w:val="1"/>
      <w:numFmt w:val="lowerLetter"/>
      <w:lvlText w:val="%5."/>
      <w:lvlJc w:val="left"/>
      <w:pPr>
        <w:ind w:left="3600" w:hanging="360"/>
      </w:pPr>
    </w:lvl>
    <w:lvl w:ilvl="5" w:tplc="AE06C64E" w:tentative="1">
      <w:start w:val="1"/>
      <w:numFmt w:val="lowerRoman"/>
      <w:lvlText w:val="%6."/>
      <w:lvlJc w:val="right"/>
      <w:pPr>
        <w:ind w:left="4320" w:hanging="180"/>
      </w:pPr>
    </w:lvl>
    <w:lvl w:ilvl="6" w:tplc="42F659CE" w:tentative="1">
      <w:start w:val="1"/>
      <w:numFmt w:val="decimal"/>
      <w:lvlText w:val="%7."/>
      <w:lvlJc w:val="left"/>
      <w:pPr>
        <w:ind w:left="5040" w:hanging="360"/>
      </w:pPr>
    </w:lvl>
    <w:lvl w:ilvl="7" w:tplc="B5DEB4EA" w:tentative="1">
      <w:start w:val="1"/>
      <w:numFmt w:val="lowerLetter"/>
      <w:lvlText w:val="%8."/>
      <w:lvlJc w:val="left"/>
      <w:pPr>
        <w:ind w:left="5760" w:hanging="360"/>
      </w:pPr>
    </w:lvl>
    <w:lvl w:ilvl="8" w:tplc="197AD04E" w:tentative="1">
      <w:start w:val="1"/>
      <w:numFmt w:val="lowerRoman"/>
      <w:lvlText w:val="%9."/>
      <w:lvlJc w:val="right"/>
      <w:pPr>
        <w:ind w:left="6480" w:hanging="180"/>
      </w:pPr>
    </w:lvl>
  </w:abstractNum>
  <w:abstractNum w:abstractNumId="30" w15:restartNumberingAfterBreak="0">
    <w:nsid w:val="7E184358"/>
    <w:multiLevelType w:val="multilevel"/>
    <w:tmpl w:val="E9AC215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6"/>
  </w:num>
  <w:num w:numId="2">
    <w:abstractNumId w:val="19"/>
  </w:num>
  <w:num w:numId="3">
    <w:abstractNumId w:val="12"/>
  </w:num>
  <w:num w:numId="4">
    <w:abstractNumId w:val="1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28"/>
  </w:num>
  <w:num w:numId="6">
    <w:abstractNumId w:val="30"/>
  </w:num>
  <w:num w:numId="7">
    <w:abstractNumId w:val="14"/>
  </w:num>
  <w:num w:numId="8">
    <w:abstractNumId w:val="1"/>
  </w:num>
  <w:num w:numId="9">
    <w:abstractNumId w:val="23"/>
  </w:num>
  <w:num w:numId="10">
    <w:abstractNumId w:val="26"/>
  </w:num>
  <w:num w:numId="11">
    <w:abstractNumId w:val="10"/>
  </w:num>
  <w:num w:numId="12">
    <w:abstractNumId w:val="29"/>
  </w:num>
  <w:num w:numId="13">
    <w:abstractNumId w:val="2"/>
  </w:num>
  <w:num w:numId="14">
    <w:abstractNumId w:val="22"/>
  </w:num>
  <w:num w:numId="15">
    <w:abstractNumId w:val="15"/>
  </w:num>
  <w:num w:numId="16">
    <w:abstractNumId w:val="18"/>
  </w:num>
  <w:num w:numId="17">
    <w:abstractNumId w:val="5"/>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1"/>
  </w:num>
  <w:num w:numId="28">
    <w:abstractNumId w:val="9"/>
  </w:num>
  <w:num w:numId="29">
    <w:abstractNumId w:val="20"/>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2"/>
    </w:lvlOverride>
    <w:lvlOverride w:ilvl="1">
      <w:startOverride w:val="4"/>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2"/>
    </w:lvlOverride>
    <w:lvlOverride w:ilvl="1">
      <w:startOverride w:val="4"/>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2"/>
    </w:lvlOverride>
    <w:lvlOverride w:ilvl="1">
      <w:startOverride w:val="4"/>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0"/>
  </w:num>
  <w:num w:numId="38">
    <w:abstractNumId w:val="25"/>
  </w:num>
  <w:num w:numId="39">
    <w:abstractNumId w:val="17"/>
  </w:num>
  <w:num w:numId="40">
    <w:abstractNumId w:val="4"/>
  </w:num>
  <w:num w:numId="41">
    <w:abstractNumId w:val="11"/>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24"/>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F4"/>
    <w:rsid w:val="00000130"/>
    <w:rsid w:val="000002F8"/>
    <w:rsid w:val="00000371"/>
    <w:rsid w:val="000008A8"/>
    <w:rsid w:val="0000090B"/>
    <w:rsid w:val="00000D00"/>
    <w:rsid w:val="00000F7D"/>
    <w:rsid w:val="00001518"/>
    <w:rsid w:val="0000183D"/>
    <w:rsid w:val="00001CB9"/>
    <w:rsid w:val="00001CDA"/>
    <w:rsid w:val="00002199"/>
    <w:rsid w:val="000024F4"/>
    <w:rsid w:val="00002579"/>
    <w:rsid w:val="00002852"/>
    <w:rsid w:val="00002E83"/>
    <w:rsid w:val="00002FFC"/>
    <w:rsid w:val="000039F7"/>
    <w:rsid w:val="00003A29"/>
    <w:rsid w:val="00004B1C"/>
    <w:rsid w:val="00004E45"/>
    <w:rsid w:val="0000508B"/>
    <w:rsid w:val="0000527D"/>
    <w:rsid w:val="000056EA"/>
    <w:rsid w:val="00005799"/>
    <w:rsid w:val="000057BA"/>
    <w:rsid w:val="00005989"/>
    <w:rsid w:val="000059A5"/>
    <w:rsid w:val="00005D7D"/>
    <w:rsid w:val="00005DE0"/>
    <w:rsid w:val="000062AB"/>
    <w:rsid w:val="00006556"/>
    <w:rsid w:val="000066F4"/>
    <w:rsid w:val="000068C2"/>
    <w:rsid w:val="00006EEF"/>
    <w:rsid w:val="00006EFE"/>
    <w:rsid w:val="00006F0D"/>
    <w:rsid w:val="00007894"/>
    <w:rsid w:val="000078F0"/>
    <w:rsid w:val="000079C5"/>
    <w:rsid w:val="00007B93"/>
    <w:rsid w:val="00010097"/>
    <w:rsid w:val="00010800"/>
    <w:rsid w:val="00011654"/>
    <w:rsid w:val="000116EC"/>
    <w:rsid w:val="00011806"/>
    <w:rsid w:val="00011883"/>
    <w:rsid w:val="00011E4D"/>
    <w:rsid w:val="00011EA3"/>
    <w:rsid w:val="00012041"/>
    <w:rsid w:val="00012166"/>
    <w:rsid w:val="00012343"/>
    <w:rsid w:val="00012598"/>
    <w:rsid w:val="000125CB"/>
    <w:rsid w:val="00012CD5"/>
    <w:rsid w:val="0001370C"/>
    <w:rsid w:val="0001376C"/>
    <w:rsid w:val="0001383A"/>
    <w:rsid w:val="00013B38"/>
    <w:rsid w:val="0001432D"/>
    <w:rsid w:val="00014B74"/>
    <w:rsid w:val="00014D77"/>
    <w:rsid w:val="00014FE9"/>
    <w:rsid w:val="0001543E"/>
    <w:rsid w:val="00015513"/>
    <w:rsid w:val="00015A10"/>
    <w:rsid w:val="00015F37"/>
    <w:rsid w:val="0001682E"/>
    <w:rsid w:val="00016B47"/>
    <w:rsid w:val="00016B74"/>
    <w:rsid w:val="00016C2E"/>
    <w:rsid w:val="00016FC6"/>
    <w:rsid w:val="000170CD"/>
    <w:rsid w:val="000179A3"/>
    <w:rsid w:val="000202BE"/>
    <w:rsid w:val="000204BF"/>
    <w:rsid w:val="0002064A"/>
    <w:rsid w:val="00020763"/>
    <w:rsid w:val="00020963"/>
    <w:rsid w:val="00020B37"/>
    <w:rsid w:val="00020CF7"/>
    <w:rsid w:val="0002124F"/>
    <w:rsid w:val="00021622"/>
    <w:rsid w:val="00022AA6"/>
    <w:rsid w:val="00022B9E"/>
    <w:rsid w:val="00022DC2"/>
    <w:rsid w:val="0002335C"/>
    <w:rsid w:val="00023C38"/>
    <w:rsid w:val="0002412B"/>
    <w:rsid w:val="000241D4"/>
    <w:rsid w:val="0002421F"/>
    <w:rsid w:val="00024467"/>
    <w:rsid w:val="0002458B"/>
    <w:rsid w:val="00024786"/>
    <w:rsid w:val="0002521A"/>
    <w:rsid w:val="000254B1"/>
    <w:rsid w:val="000260BA"/>
    <w:rsid w:val="0002612D"/>
    <w:rsid w:val="00026539"/>
    <w:rsid w:val="000267B9"/>
    <w:rsid w:val="00026BB4"/>
    <w:rsid w:val="000274F0"/>
    <w:rsid w:val="0003004E"/>
    <w:rsid w:val="000303A7"/>
    <w:rsid w:val="00030400"/>
    <w:rsid w:val="0003080F"/>
    <w:rsid w:val="00030E9D"/>
    <w:rsid w:val="00031432"/>
    <w:rsid w:val="00031B51"/>
    <w:rsid w:val="0003210E"/>
    <w:rsid w:val="0003277E"/>
    <w:rsid w:val="00032E3F"/>
    <w:rsid w:val="00032F02"/>
    <w:rsid w:val="0003308C"/>
    <w:rsid w:val="00033245"/>
    <w:rsid w:val="00033557"/>
    <w:rsid w:val="0003359F"/>
    <w:rsid w:val="000336EE"/>
    <w:rsid w:val="00033777"/>
    <w:rsid w:val="00033836"/>
    <w:rsid w:val="00033D06"/>
    <w:rsid w:val="000344A7"/>
    <w:rsid w:val="0003453C"/>
    <w:rsid w:val="000345E0"/>
    <w:rsid w:val="0003474F"/>
    <w:rsid w:val="00034919"/>
    <w:rsid w:val="00034C62"/>
    <w:rsid w:val="00034D97"/>
    <w:rsid w:val="00035137"/>
    <w:rsid w:val="00035D1C"/>
    <w:rsid w:val="000360F6"/>
    <w:rsid w:val="000362F8"/>
    <w:rsid w:val="000368F8"/>
    <w:rsid w:val="00036A45"/>
    <w:rsid w:val="00036ABD"/>
    <w:rsid w:val="00036C09"/>
    <w:rsid w:val="00036E03"/>
    <w:rsid w:val="000370D0"/>
    <w:rsid w:val="00037313"/>
    <w:rsid w:val="000373C7"/>
    <w:rsid w:val="000375C9"/>
    <w:rsid w:val="00037863"/>
    <w:rsid w:val="000379CD"/>
    <w:rsid w:val="00037AD7"/>
    <w:rsid w:val="00037C15"/>
    <w:rsid w:val="00037EDC"/>
    <w:rsid w:val="0004002B"/>
    <w:rsid w:val="0004003E"/>
    <w:rsid w:val="0004016F"/>
    <w:rsid w:val="00040590"/>
    <w:rsid w:val="000407F6"/>
    <w:rsid w:val="00040A6A"/>
    <w:rsid w:val="00040C04"/>
    <w:rsid w:val="00040E23"/>
    <w:rsid w:val="00040F39"/>
    <w:rsid w:val="000415DA"/>
    <w:rsid w:val="00041888"/>
    <w:rsid w:val="00041991"/>
    <w:rsid w:val="00041A9E"/>
    <w:rsid w:val="00041BF2"/>
    <w:rsid w:val="00041F07"/>
    <w:rsid w:val="00041F1D"/>
    <w:rsid w:val="0004236A"/>
    <w:rsid w:val="0004249C"/>
    <w:rsid w:val="0004271F"/>
    <w:rsid w:val="00042F04"/>
    <w:rsid w:val="0004333F"/>
    <w:rsid w:val="00043447"/>
    <w:rsid w:val="0004379A"/>
    <w:rsid w:val="00043BE4"/>
    <w:rsid w:val="00043C20"/>
    <w:rsid w:val="0004436B"/>
    <w:rsid w:val="000443B6"/>
    <w:rsid w:val="000443D9"/>
    <w:rsid w:val="000445E0"/>
    <w:rsid w:val="0004478E"/>
    <w:rsid w:val="000449E0"/>
    <w:rsid w:val="00044C6F"/>
    <w:rsid w:val="00044F2E"/>
    <w:rsid w:val="000454B8"/>
    <w:rsid w:val="00045AF1"/>
    <w:rsid w:val="00045C56"/>
    <w:rsid w:val="00046563"/>
    <w:rsid w:val="00046674"/>
    <w:rsid w:val="00046725"/>
    <w:rsid w:val="00046882"/>
    <w:rsid w:val="00046C24"/>
    <w:rsid w:val="00046C9A"/>
    <w:rsid w:val="00046D36"/>
    <w:rsid w:val="00046F26"/>
    <w:rsid w:val="00046F49"/>
    <w:rsid w:val="000470F5"/>
    <w:rsid w:val="0004735A"/>
    <w:rsid w:val="00047817"/>
    <w:rsid w:val="0004795B"/>
    <w:rsid w:val="00047DF1"/>
    <w:rsid w:val="00047F62"/>
    <w:rsid w:val="000500E3"/>
    <w:rsid w:val="00050EF0"/>
    <w:rsid w:val="0005107B"/>
    <w:rsid w:val="00051168"/>
    <w:rsid w:val="00051237"/>
    <w:rsid w:val="00051276"/>
    <w:rsid w:val="000518C3"/>
    <w:rsid w:val="000519B4"/>
    <w:rsid w:val="00052379"/>
    <w:rsid w:val="00052424"/>
    <w:rsid w:val="000527B3"/>
    <w:rsid w:val="0005313A"/>
    <w:rsid w:val="00053221"/>
    <w:rsid w:val="000532DE"/>
    <w:rsid w:val="000532ED"/>
    <w:rsid w:val="0005384C"/>
    <w:rsid w:val="00053F96"/>
    <w:rsid w:val="00054054"/>
    <w:rsid w:val="00054129"/>
    <w:rsid w:val="000547C2"/>
    <w:rsid w:val="00054967"/>
    <w:rsid w:val="00054C8B"/>
    <w:rsid w:val="00054E8B"/>
    <w:rsid w:val="00054F8F"/>
    <w:rsid w:val="000552FC"/>
    <w:rsid w:val="00055421"/>
    <w:rsid w:val="00055528"/>
    <w:rsid w:val="00055AB7"/>
    <w:rsid w:val="00055F92"/>
    <w:rsid w:val="000565E5"/>
    <w:rsid w:val="00056EAE"/>
    <w:rsid w:val="00057265"/>
    <w:rsid w:val="000575AD"/>
    <w:rsid w:val="000575BC"/>
    <w:rsid w:val="00057672"/>
    <w:rsid w:val="00057A9C"/>
    <w:rsid w:val="00057C20"/>
    <w:rsid w:val="00057FA1"/>
    <w:rsid w:val="0006023A"/>
    <w:rsid w:val="000603E0"/>
    <w:rsid w:val="00060540"/>
    <w:rsid w:val="00060874"/>
    <w:rsid w:val="00060948"/>
    <w:rsid w:val="00060DA5"/>
    <w:rsid w:val="00060E74"/>
    <w:rsid w:val="00062A15"/>
    <w:rsid w:val="00062AAB"/>
    <w:rsid w:val="00063609"/>
    <w:rsid w:val="00063639"/>
    <w:rsid w:val="00063725"/>
    <w:rsid w:val="00064238"/>
    <w:rsid w:val="00064514"/>
    <w:rsid w:val="0006498B"/>
    <w:rsid w:val="00064D48"/>
    <w:rsid w:val="00064F17"/>
    <w:rsid w:val="00064F4A"/>
    <w:rsid w:val="00065037"/>
    <w:rsid w:val="0006509B"/>
    <w:rsid w:val="00065FBF"/>
    <w:rsid w:val="00066497"/>
    <w:rsid w:val="00066B10"/>
    <w:rsid w:val="00066E2D"/>
    <w:rsid w:val="00066EE5"/>
    <w:rsid w:val="00067010"/>
    <w:rsid w:val="000673C6"/>
    <w:rsid w:val="000675C7"/>
    <w:rsid w:val="0006763C"/>
    <w:rsid w:val="000677C1"/>
    <w:rsid w:val="000678BD"/>
    <w:rsid w:val="00067B18"/>
    <w:rsid w:val="00070476"/>
    <w:rsid w:val="00070564"/>
    <w:rsid w:val="000705B7"/>
    <w:rsid w:val="00070803"/>
    <w:rsid w:val="000710AD"/>
    <w:rsid w:val="00071610"/>
    <w:rsid w:val="000716FC"/>
    <w:rsid w:val="00071D88"/>
    <w:rsid w:val="00071F42"/>
    <w:rsid w:val="00072004"/>
    <w:rsid w:val="00072219"/>
    <w:rsid w:val="00072383"/>
    <w:rsid w:val="00072421"/>
    <w:rsid w:val="000725EA"/>
    <w:rsid w:val="00072F8A"/>
    <w:rsid w:val="00072F9B"/>
    <w:rsid w:val="000730AB"/>
    <w:rsid w:val="00073BE2"/>
    <w:rsid w:val="00074330"/>
    <w:rsid w:val="00074379"/>
    <w:rsid w:val="0007439D"/>
    <w:rsid w:val="00074821"/>
    <w:rsid w:val="00074CDD"/>
    <w:rsid w:val="00075760"/>
    <w:rsid w:val="00075B0F"/>
    <w:rsid w:val="00075EB8"/>
    <w:rsid w:val="00075F5A"/>
    <w:rsid w:val="0007631C"/>
    <w:rsid w:val="00076A36"/>
    <w:rsid w:val="00076C59"/>
    <w:rsid w:val="00076E9C"/>
    <w:rsid w:val="00077320"/>
    <w:rsid w:val="000773B3"/>
    <w:rsid w:val="000774CB"/>
    <w:rsid w:val="00077686"/>
    <w:rsid w:val="000777AE"/>
    <w:rsid w:val="00077A48"/>
    <w:rsid w:val="0008019C"/>
    <w:rsid w:val="000804AE"/>
    <w:rsid w:val="00080558"/>
    <w:rsid w:val="000805E7"/>
    <w:rsid w:val="00080E5C"/>
    <w:rsid w:val="00080F40"/>
    <w:rsid w:val="00080FE7"/>
    <w:rsid w:val="00081269"/>
    <w:rsid w:val="000815CA"/>
    <w:rsid w:val="0008186B"/>
    <w:rsid w:val="00081BC3"/>
    <w:rsid w:val="00081CE1"/>
    <w:rsid w:val="00081CE9"/>
    <w:rsid w:val="000829D5"/>
    <w:rsid w:val="00082C19"/>
    <w:rsid w:val="00082DED"/>
    <w:rsid w:val="0008343C"/>
    <w:rsid w:val="000836FA"/>
    <w:rsid w:val="00083C81"/>
    <w:rsid w:val="00083F06"/>
    <w:rsid w:val="0008401C"/>
    <w:rsid w:val="00084235"/>
    <w:rsid w:val="00084837"/>
    <w:rsid w:val="00084FCF"/>
    <w:rsid w:val="00085101"/>
    <w:rsid w:val="0008535C"/>
    <w:rsid w:val="00085410"/>
    <w:rsid w:val="0008569A"/>
    <w:rsid w:val="00085AC9"/>
    <w:rsid w:val="00085BA4"/>
    <w:rsid w:val="00085E57"/>
    <w:rsid w:val="00085EC0"/>
    <w:rsid w:val="00085F34"/>
    <w:rsid w:val="0008636C"/>
    <w:rsid w:val="000867BC"/>
    <w:rsid w:val="00086AFB"/>
    <w:rsid w:val="0008783D"/>
    <w:rsid w:val="00090004"/>
    <w:rsid w:val="000900E8"/>
    <w:rsid w:val="0009040D"/>
    <w:rsid w:val="00090838"/>
    <w:rsid w:val="00090B63"/>
    <w:rsid w:val="000910D7"/>
    <w:rsid w:val="000911A0"/>
    <w:rsid w:val="000912CD"/>
    <w:rsid w:val="000914D4"/>
    <w:rsid w:val="000918AC"/>
    <w:rsid w:val="00091E64"/>
    <w:rsid w:val="00092496"/>
    <w:rsid w:val="00092E7A"/>
    <w:rsid w:val="000935B9"/>
    <w:rsid w:val="000936FD"/>
    <w:rsid w:val="000939F6"/>
    <w:rsid w:val="00093A53"/>
    <w:rsid w:val="00093E14"/>
    <w:rsid w:val="00093E16"/>
    <w:rsid w:val="00094D67"/>
    <w:rsid w:val="00094E0C"/>
    <w:rsid w:val="0009501A"/>
    <w:rsid w:val="000956B4"/>
    <w:rsid w:val="000956EA"/>
    <w:rsid w:val="0009596D"/>
    <w:rsid w:val="00095B49"/>
    <w:rsid w:val="00095B7C"/>
    <w:rsid w:val="00095EEE"/>
    <w:rsid w:val="00095FDC"/>
    <w:rsid w:val="00096515"/>
    <w:rsid w:val="000965B8"/>
    <w:rsid w:val="000967E3"/>
    <w:rsid w:val="000968B8"/>
    <w:rsid w:val="00096AEC"/>
    <w:rsid w:val="00096D70"/>
    <w:rsid w:val="00096FC4"/>
    <w:rsid w:val="00096FDE"/>
    <w:rsid w:val="00097177"/>
    <w:rsid w:val="00097617"/>
    <w:rsid w:val="000978AF"/>
    <w:rsid w:val="00097A1E"/>
    <w:rsid w:val="00097ABA"/>
    <w:rsid w:val="00097E54"/>
    <w:rsid w:val="000A04DE"/>
    <w:rsid w:val="000A0788"/>
    <w:rsid w:val="000A0FF0"/>
    <w:rsid w:val="000A120B"/>
    <w:rsid w:val="000A12BB"/>
    <w:rsid w:val="000A12F6"/>
    <w:rsid w:val="000A15EE"/>
    <w:rsid w:val="000A1E2D"/>
    <w:rsid w:val="000A1E4E"/>
    <w:rsid w:val="000A2147"/>
    <w:rsid w:val="000A2893"/>
    <w:rsid w:val="000A28AF"/>
    <w:rsid w:val="000A292C"/>
    <w:rsid w:val="000A2AAC"/>
    <w:rsid w:val="000A2F5A"/>
    <w:rsid w:val="000A2F68"/>
    <w:rsid w:val="000A30AE"/>
    <w:rsid w:val="000A33B5"/>
    <w:rsid w:val="000A33BF"/>
    <w:rsid w:val="000A3DD3"/>
    <w:rsid w:val="000A400D"/>
    <w:rsid w:val="000A4C1C"/>
    <w:rsid w:val="000A4CA4"/>
    <w:rsid w:val="000A4CB8"/>
    <w:rsid w:val="000A4ED0"/>
    <w:rsid w:val="000A50E2"/>
    <w:rsid w:val="000A5102"/>
    <w:rsid w:val="000A521D"/>
    <w:rsid w:val="000A5356"/>
    <w:rsid w:val="000A5378"/>
    <w:rsid w:val="000A551C"/>
    <w:rsid w:val="000A5603"/>
    <w:rsid w:val="000A5611"/>
    <w:rsid w:val="000A5929"/>
    <w:rsid w:val="000A61FD"/>
    <w:rsid w:val="000A62B5"/>
    <w:rsid w:val="000A6447"/>
    <w:rsid w:val="000A6B7C"/>
    <w:rsid w:val="000A70AE"/>
    <w:rsid w:val="000A7635"/>
    <w:rsid w:val="000A77C5"/>
    <w:rsid w:val="000A7CEA"/>
    <w:rsid w:val="000B03A1"/>
    <w:rsid w:val="000B0497"/>
    <w:rsid w:val="000B0607"/>
    <w:rsid w:val="000B0BC7"/>
    <w:rsid w:val="000B110A"/>
    <w:rsid w:val="000B114C"/>
    <w:rsid w:val="000B17FE"/>
    <w:rsid w:val="000B1B48"/>
    <w:rsid w:val="000B1BB3"/>
    <w:rsid w:val="000B1CFD"/>
    <w:rsid w:val="000B1FE2"/>
    <w:rsid w:val="000B2484"/>
    <w:rsid w:val="000B24F8"/>
    <w:rsid w:val="000B26E4"/>
    <w:rsid w:val="000B2B25"/>
    <w:rsid w:val="000B2C08"/>
    <w:rsid w:val="000B2E9E"/>
    <w:rsid w:val="000B2EE2"/>
    <w:rsid w:val="000B31CE"/>
    <w:rsid w:val="000B32DD"/>
    <w:rsid w:val="000B3690"/>
    <w:rsid w:val="000B3770"/>
    <w:rsid w:val="000B3A86"/>
    <w:rsid w:val="000B3BDD"/>
    <w:rsid w:val="000B3DBD"/>
    <w:rsid w:val="000B4268"/>
    <w:rsid w:val="000B4277"/>
    <w:rsid w:val="000B4438"/>
    <w:rsid w:val="000B47AC"/>
    <w:rsid w:val="000B4B53"/>
    <w:rsid w:val="000B4C9C"/>
    <w:rsid w:val="000B4CBC"/>
    <w:rsid w:val="000B557D"/>
    <w:rsid w:val="000B56A7"/>
    <w:rsid w:val="000B57A6"/>
    <w:rsid w:val="000B5B4D"/>
    <w:rsid w:val="000B60B0"/>
    <w:rsid w:val="000B647F"/>
    <w:rsid w:val="000B67EB"/>
    <w:rsid w:val="000B7194"/>
    <w:rsid w:val="000B76DE"/>
    <w:rsid w:val="000B78DC"/>
    <w:rsid w:val="000B7D81"/>
    <w:rsid w:val="000B7DDD"/>
    <w:rsid w:val="000B7E37"/>
    <w:rsid w:val="000C065B"/>
    <w:rsid w:val="000C11B7"/>
    <w:rsid w:val="000C1292"/>
    <w:rsid w:val="000C185B"/>
    <w:rsid w:val="000C18B9"/>
    <w:rsid w:val="000C18C1"/>
    <w:rsid w:val="000C24BA"/>
    <w:rsid w:val="000C28F9"/>
    <w:rsid w:val="000C2962"/>
    <w:rsid w:val="000C2B95"/>
    <w:rsid w:val="000C30A2"/>
    <w:rsid w:val="000C3491"/>
    <w:rsid w:val="000C3DF7"/>
    <w:rsid w:val="000C3E75"/>
    <w:rsid w:val="000C3FC1"/>
    <w:rsid w:val="000C43A9"/>
    <w:rsid w:val="000C4A53"/>
    <w:rsid w:val="000C4E31"/>
    <w:rsid w:val="000C5004"/>
    <w:rsid w:val="000C512F"/>
    <w:rsid w:val="000C521C"/>
    <w:rsid w:val="000C5300"/>
    <w:rsid w:val="000C5552"/>
    <w:rsid w:val="000C5771"/>
    <w:rsid w:val="000C5838"/>
    <w:rsid w:val="000C5B1A"/>
    <w:rsid w:val="000C6036"/>
    <w:rsid w:val="000C6968"/>
    <w:rsid w:val="000C6A1B"/>
    <w:rsid w:val="000C7059"/>
    <w:rsid w:val="000C7164"/>
    <w:rsid w:val="000C740A"/>
    <w:rsid w:val="000C7565"/>
    <w:rsid w:val="000C7B4A"/>
    <w:rsid w:val="000D02F0"/>
    <w:rsid w:val="000D071A"/>
    <w:rsid w:val="000D07DC"/>
    <w:rsid w:val="000D0A47"/>
    <w:rsid w:val="000D0AD3"/>
    <w:rsid w:val="000D1071"/>
    <w:rsid w:val="000D16FE"/>
    <w:rsid w:val="000D188E"/>
    <w:rsid w:val="000D1997"/>
    <w:rsid w:val="000D19CE"/>
    <w:rsid w:val="000D1CAA"/>
    <w:rsid w:val="000D1D5F"/>
    <w:rsid w:val="000D1FCE"/>
    <w:rsid w:val="000D2592"/>
    <w:rsid w:val="000D281A"/>
    <w:rsid w:val="000D2845"/>
    <w:rsid w:val="000D2D5F"/>
    <w:rsid w:val="000D3208"/>
    <w:rsid w:val="000D3341"/>
    <w:rsid w:val="000D35DB"/>
    <w:rsid w:val="000D3754"/>
    <w:rsid w:val="000D3B60"/>
    <w:rsid w:val="000D425A"/>
    <w:rsid w:val="000D4298"/>
    <w:rsid w:val="000D4325"/>
    <w:rsid w:val="000D4CD2"/>
    <w:rsid w:val="000D52FC"/>
    <w:rsid w:val="000D53E5"/>
    <w:rsid w:val="000D55CF"/>
    <w:rsid w:val="000D5645"/>
    <w:rsid w:val="000D576D"/>
    <w:rsid w:val="000D6641"/>
    <w:rsid w:val="000D66EE"/>
    <w:rsid w:val="000D752C"/>
    <w:rsid w:val="000E0068"/>
    <w:rsid w:val="000E094D"/>
    <w:rsid w:val="000E13C5"/>
    <w:rsid w:val="000E150A"/>
    <w:rsid w:val="000E162E"/>
    <w:rsid w:val="000E1D4A"/>
    <w:rsid w:val="000E1E6B"/>
    <w:rsid w:val="000E232E"/>
    <w:rsid w:val="000E2416"/>
    <w:rsid w:val="000E244B"/>
    <w:rsid w:val="000E25A2"/>
    <w:rsid w:val="000E26DC"/>
    <w:rsid w:val="000E2CF6"/>
    <w:rsid w:val="000E2FB4"/>
    <w:rsid w:val="000E3490"/>
    <w:rsid w:val="000E3C3D"/>
    <w:rsid w:val="000E4ECE"/>
    <w:rsid w:val="000E5090"/>
    <w:rsid w:val="000E5671"/>
    <w:rsid w:val="000E58D4"/>
    <w:rsid w:val="000E59DC"/>
    <w:rsid w:val="000E5B4B"/>
    <w:rsid w:val="000E5D0D"/>
    <w:rsid w:val="000E5DF2"/>
    <w:rsid w:val="000E62A2"/>
    <w:rsid w:val="000E6562"/>
    <w:rsid w:val="000E65EA"/>
    <w:rsid w:val="000E6B82"/>
    <w:rsid w:val="000E6CCE"/>
    <w:rsid w:val="000E6EED"/>
    <w:rsid w:val="000E700A"/>
    <w:rsid w:val="000E78B3"/>
    <w:rsid w:val="000E7DE7"/>
    <w:rsid w:val="000E7E19"/>
    <w:rsid w:val="000E7E32"/>
    <w:rsid w:val="000F0095"/>
    <w:rsid w:val="000F044E"/>
    <w:rsid w:val="000F0490"/>
    <w:rsid w:val="000F0AC4"/>
    <w:rsid w:val="000F0C11"/>
    <w:rsid w:val="000F0FD5"/>
    <w:rsid w:val="000F109E"/>
    <w:rsid w:val="000F1151"/>
    <w:rsid w:val="000F1174"/>
    <w:rsid w:val="000F11BB"/>
    <w:rsid w:val="000F1336"/>
    <w:rsid w:val="000F1383"/>
    <w:rsid w:val="000F1504"/>
    <w:rsid w:val="000F22D3"/>
    <w:rsid w:val="000F2445"/>
    <w:rsid w:val="000F2571"/>
    <w:rsid w:val="000F2C37"/>
    <w:rsid w:val="000F2F33"/>
    <w:rsid w:val="000F2FD7"/>
    <w:rsid w:val="000F3009"/>
    <w:rsid w:val="000F3BAA"/>
    <w:rsid w:val="000F3C2D"/>
    <w:rsid w:val="000F3C78"/>
    <w:rsid w:val="000F3C79"/>
    <w:rsid w:val="000F3EA4"/>
    <w:rsid w:val="000F4370"/>
    <w:rsid w:val="000F469F"/>
    <w:rsid w:val="000F4867"/>
    <w:rsid w:val="000F4ABE"/>
    <w:rsid w:val="000F4BDA"/>
    <w:rsid w:val="000F4EDB"/>
    <w:rsid w:val="000F525C"/>
    <w:rsid w:val="000F542B"/>
    <w:rsid w:val="000F5B51"/>
    <w:rsid w:val="000F63FE"/>
    <w:rsid w:val="000F6CB6"/>
    <w:rsid w:val="000F7166"/>
    <w:rsid w:val="000F7269"/>
    <w:rsid w:val="000F78E7"/>
    <w:rsid w:val="000F7988"/>
    <w:rsid w:val="000F7A21"/>
    <w:rsid w:val="000F7EB2"/>
    <w:rsid w:val="001001F2"/>
    <w:rsid w:val="001006F4"/>
    <w:rsid w:val="00100AE3"/>
    <w:rsid w:val="00100D09"/>
    <w:rsid w:val="00100DA7"/>
    <w:rsid w:val="00100E42"/>
    <w:rsid w:val="00101148"/>
    <w:rsid w:val="0010119E"/>
    <w:rsid w:val="0010123F"/>
    <w:rsid w:val="00101A6E"/>
    <w:rsid w:val="00101A8A"/>
    <w:rsid w:val="00101A92"/>
    <w:rsid w:val="00101C8A"/>
    <w:rsid w:val="00102586"/>
    <w:rsid w:val="00102ED3"/>
    <w:rsid w:val="0010305B"/>
    <w:rsid w:val="001034A8"/>
    <w:rsid w:val="001038F8"/>
    <w:rsid w:val="00103A62"/>
    <w:rsid w:val="00103AA6"/>
    <w:rsid w:val="00103ABE"/>
    <w:rsid w:val="00103D16"/>
    <w:rsid w:val="00103E51"/>
    <w:rsid w:val="001040C1"/>
    <w:rsid w:val="001043F3"/>
    <w:rsid w:val="0010462E"/>
    <w:rsid w:val="00104978"/>
    <w:rsid w:val="00104BBC"/>
    <w:rsid w:val="00104CC7"/>
    <w:rsid w:val="00104DB0"/>
    <w:rsid w:val="00104DBF"/>
    <w:rsid w:val="00105029"/>
    <w:rsid w:val="00106074"/>
    <w:rsid w:val="0010650C"/>
    <w:rsid w:val="00106640"/>
    <w:rsid w:val="00106D5D"/>
    <w:rsid w:val="00106D5F"/>
    <w:rsid w:val="00107BC2"/>
    <w:rsid w:val="00107D77"/>
    <w:rsid w:val="0011070F"/>
    <w:rsid w:val="00110C6E"/>
    <w:rsid w:val="00110F8D"/>
    <w:rsid w:val="00111046"/>
    <w:rsid w:val="001112E8"/>
    <w:rsid w:val="00111463"/>
    <w:rsid w:val="001114D3"/>
    <w:rsid w:val="00111A6A"/>
    <w:rsid w:val="00111D03"/>
    <w:rsid w:val="00111DEF"/>
    <w:rsid w:val="0011234D"/>
    <w:rsid w:val="001128D3"/>
    <w:rsid w:val="00113469"/>
    <w:rsid w:val="001136DA"/>
    <w:rsid w:val="00113D3F"/>
    <w:rsid w:val="00113E2E"/>
    <w:rsid w:val="00114105"/>
    <w:rsid w:val="00114116"/>
    <w:rsid w:val="001141CB"/>
    <w:rsid w:val="001142FF"/>
    <w:rsid w:val="00114386"/>
    <w:rsid w:val="001144BB"/>
    <w:rsid w:val="0011456D"/>
    <w:rsid w:val="001148B1"/>
    <w:rsid w:val="00114B99"/>
    <w:rsid w:val="00114F90"/>
    <w:rsid w:val="00115062"/>
    <w:rsid w:val="00115BAB"/>
    <w:rsid w:val="00115DD6"/>
    <w:rsid w:val="00116001"/>
    <w:rsid w:val="001172D2"/>
    <w:rsid w:val="0011749A"/>
    <w:rsid w:val="00117B89"/>
    <w:rsid w:val="00120335"/>
    <w:rsid w:val="00120474"/>
    <w:rsid w:val="001207D1"/>
    <w:rsid w:val="00120E08"/>
    <w:rsid w:val="00120ED1"/>
    <w:rsid w:val="00121490"/>
    <w:rsid w:val="001214AD"/>
    <w:rsid w:val="001216B2"/>
    <w:rsid w:val="00121A04"/>
    <w:rsid w:val="00121C3D"/>
    <w:rsid w:val="00121CDE"/>
    <w:rsid w:val="00122044"/>
    <w:rsid w:val="00122227"/>
    <w:rsid w:val="001222CE"/>
    <w:rsid w:val="001224F4"/>
    <w:rsid w:val="00122F4D"/>
    <w:rsid w:val="00122FB3"/>
    <w:rsid w:val="001231B5"/>
    <w:rsid w:val="0012325C"/>
    <w:rsid w:val="001232E0"/>
    <w:rsid w:val="001232FC"/>
    <w:rsid w:val="00123344"/>
    <w:rsid w:val="00123968"/>
    <w:rsid w:val="00123AD4"/>
    <w:rsid w:val="00123BEC"/>
    <w:rsid w:val="00123CF8"/>
    <w:rsid w:val="00123E4B"/>
    <w:rsid w:val="001241A1"/>
    <w:rsid w:val="00124264"/>
    <w:rsid w:val="001243EE"/>
    <w:rsid w:val="00125144"/>
    <w:rsid w:val="00125323"/>
    <w:rsid w:val="00125A08"/>
    <w:rsid w:val="00126212"/>
    <w:rsid w:val="001262D0"/>
    <w:rsid w:val="001266E0"/>
    <w:rsid w:val="001266F8"/>
    <w:rsid w:val="001268A4"/>
    <w:rsid w:val="00126B8D"/>
    <w:rsid w:val="00126CA5"/>
    <w:rsid w:val="001271DA"/>
    <w:rsid w:val="001272AC"/>
    <w:rsid w:val="00127325"/>
    <w:rsid w:val="0012756F"/>
    <w:rsid w:val="00127D84"/>
    <w:rsid w:val="00127DF7"/>
    <w:rsid w:val="00127F7F"/>
    <w:rsid w:val="001300EB"/>
    <w:rsid w:val="001305E6"/>
    <w:rsid w:val="001307E5"/>
    <w:rsid w:val="0013125F"/>
    <w:rsid w:val="0013149B"/>
    <w:rsid w:val="00131615"/>
    <w:rsid w:val="00131E07"/>
    <w:rsid w:val="0013285D"/>
    <w:rsid w:val="00132E57"/>
    <w:rsid w:val="001330D3"/>
    <w:rsid w:val="00133132"/>
    <w:rsid w:val="0013330D"/>
    <w:rsid w:val="001335BE"/>
    <w:rsid w:val="00133611"/>
    <w:rsid w:val="00133847"/>
    <w:rsid w:val="00133C99"/>
    <w:rsid w:val="00133F4D"/>
    <w:rsid w:val="00133F6C"/>
    <w:rsid w:val="00133FD4"/>
    <w:rsid w:val="00134A4B"/>
    <w:rsid w:val="00134AF1"/>
    <w:rsid w:val="00134BA3"/>
    <w:rsid w:val="00134C23"/>
    <w:rsid w:val="00134EFC"/>
    <w:rsid w:val="00135511"/>
    <w:rsid w:val="001356B2"/>
    <w:rsid w:val="00135740"/>
    <w:rsid w:val="00135787"/>
    <w:rsid w:val="001358FE"/>
    <w:rsid w:val="00135905"/>
    <w:rsid w:val="0013617E"/>
    <w:rsid w:val="00136440"/>
    <w:rsid w:val="00136F51"/>
    <w:rsid w:val="00137110"/>
    <w:rsid w:val="001372E6"/>
    <w:rsid w:val="0013756E"/>
    <w:rsid w:val="00137CEA"/>
    <w:rsid w:val="00137D97"/>
    <w:rsid w:val="00137E5D"/>
    <w:rsid w:val="00140B52"/>
    <w:rsid w:val="00140BFB"/>
    <w:rsid w:val="001412A2"/>
    <w:rsid w:val="0014142B"/>
    <w:rsid w:val="00141809"/>
    <w:rsid w:val="00141B72"/>
    <w:rsid w:val="00141F9B"/>
    <w:rsid w:val="00142176"/>
    <w:rsid w:val="00142373"/>
    <w:rsid w:val="001423FC"/>
    <w:rsid w:val="00142FE0"/>
    <w:rsid w:val="00143005"/>
    <w:rsid w:val="001431DA"/>
    <w:rsid w:val="00143374"/>
    <w:rsid w:val="001436FA"/>
    <w:rsid w:val="0014406F"/>
    <w:rsid w:val="00144174"/>
    <w:rsid w:val="001442DF"/>
    <w:rsid w:val="00144431"/>
    <w:rsid w:val="0014495C"/>
    <w:rsid w:val="00144B45"/>
    <w:rsid w:val="00144CB9"/>
    <w:rsid w:val="00144DE2"/>
    <w:rsid w:val="00144F00"/>
    <w:rsid w:val="00145013"/>
    <w:rsid w:val="00145583"/>
    <w:rsid w:val="001455C2"/>
    <w:rsid w:val="00145642"/>
    <w:rsid w:val="001457F4"/>
    <w:rsid w:val="00145B4C"/>
    <w:rsid w:val="001462A5"/>
    <w:rsid w:val="00146C44"/>
    <w:rsid w:val="00146D22"/>
    <w:rsid w:val="00146D8C"/>
    <w:rsid w:val="0014756B"/>
    <w:rsid w:val="00147886"/>
    <w:rsid w:val="00147EFB"/>
    <w:rsid w:val="00150004"/>
    <w:rsid w:val="00150128"/>
    <w:rsid w:val="0015016C"/>
    <w:rsid w:val="001501A0"/>
    <w:rsid w:val="0015057F"/>
    <w:rsid w:val="0015094F"/>
    <w:rsid w:val="0015095F"/>
    <w:rsid w:val="00150B93"/>
    <w:rsid w:val="00150CAC"/>
    <w:rsid w:val="00151991"/>
    <w:rsid w:val="00151A19"/>
    <w:rsid w:val="00151AEC"/>
    <w:rsid w:val="001523D0"/>
    <w:rsid w:val="001527E1"/>
    <w:rsid w:val="00152BCD"/>
    <w:rsid w:val="001531CA"/>
    <w:rsid w:val="00153D86"/>
    <w:rsid w:val="00153FA3"/>
    <w:rsid w:val="0015411B"/>
    <w:rsid w:val="00154575"/>
    <w:rsid w:val="00154598"/>
    <w:rsid w:val="00155872"/>
    <w:rsid w:val="001559C6"/>
    <w:rsid w:val="00155A06"/>
    <w:rsid w:val="0015621E"/>
    <w:rsid w:val="0015649D"/>
    <w:rsid w:val="0015666E"/>
    <w:rsid w:val="00156836"/>
    <w:rsid w:val="00156CB0"/>
    <w:rsid w:val="00157369"/>
    <w:rsid w:val="00157418"/>
    <w:rsid w:val="001575E9"/>
    <w:rsid w:val="0015785C"/>
    <w:rsid w:val="00157A89"/>
    <w:rsid w:val="00157D17"/>
    <w:rsid w:val="00157E09"/>
    <w:rsid w:val="00157EC2"/>
    <w:rsid w:val="00160029"/>
    <w:rsid w:val="00160BB4"/>
    <w:rsid w:val="00160CA7"/>
    <w:rsid w:val="00160FF8"/>
    <w:rsid w:val="001612E4"/>
    <w:rsid w:val="00161366"/>
    <w:rsid w:val="00161848"/>
    <w:rsid w:val="00161FE7"/>
    <w:rsid w:val="0016203A"/>
    <w:rsid w:val="0016235A"/>
    <w:rsid w:val="0016268A"/>
    <w:rsid w:val="00162A31"/>
    <w:rsid w:val="00162BB4"/>
    <w:rsid w:val="00162C6B"/>
    <w:rsid w:val="00162E42"/>
    <w:rsid w:val="0016336D"/>
    <w:rsid w:val="0016352B"/>
    <w:rsid w:val="001638B3"/>
    <w:rsid w:val="001639D0"/>
    <w:rsid w:val="001639FC"/>
    <w:rsid w:val="00163AFF"/>
    <w:rsid w:val="00163C50"/>
    <w:rsid w:val="00163D0C"/>
    <w:rsid w:val="0016470E"/>
    <w:rsid w:val="00164B58"/>
    <w:rsid w:val="00164CBD"/>
    <w:rsid w:val="00164F13"/>
    <w:rsid w:val="00165061"/>
    <w:rsid w:val="001651AA"/>
    <w:rsid w:val="0016546B"/>
    <w:rsid w:val="001655CC"/>
    <w:rsid w:val="0016566E"/>
    <w:rsid w:val="00165B86"/>
    <w:rsid w:val="0016601F"/>
    <w:rsid w:val="001665FA"/>
    <w:rsid w:val="00166AA4"/>
    <w:rsid w:val="00166DC8"/>
    <w:rsid w:val="00166F98"/>
    <w:rsid w:val="0016710F"/>
    <w:rsid w:val="001672B7"/>
    <w:rsid w:val="00167517"/>
    <w:rsid w:val="00167CCE"/>
    <w:rsid w:val="00167FE5"/>
    <w:rsid w:val="00170761"/>
    <w:rsid w:val="0017079B"/>
    <w:rsid w:val="00170A42"/>
    <w:rsid w:val="00170B2E"/>
    <w:rsid w:val="00170F64"/>
    <w:rsid w:val="00171226"/>
    <w:rsid w:val="001713A6"/>
    <w:rsid w:val="0017182A"/>
    <w:rsid w:val="00171C40"/>
    <w:rsid w:val="00171C74"/>
    <w:rsid w:val="00172C08"/>
    <w:rsid w:val="00172F88"/>
    <w:rsid w:val="00173363"/>
    <w:rsid w:val="0017348D"/>
    <w:rsid w:val="00173B0F"/>
    <w:rsid w:val="00173EB9"/>
    <w:rsid w:val="00174384"/>
    <w:rsid w:val="001746F8"/>
    <w:rsid w:val="00174A78"/>
    <w:rsid w:val="00174C80"/>
    <w:rsid w:val="00174E6F"/>
    <w:rsid w:val="00175118"/>
    <w:rsid w:val="0017534D"/>
    <w:rsid w:val="0017561B"/>
    <w:rsid w:val="00175DF2"/>
    <w:rsid w:val="00175E53"/>
    <w:rsid w:val="0017602A"/>
    <w:rsid w:val="001761F7"/>
    <w:rsid w:val="001763E6"/>
    <w:rsid w:val="001765E3"/>
    <w:rsid w:val="0017698B"/>
    <w:rsid w:val="00176CDE"/>
    <w:rsid w:val="00176EA5"/>
    <w:rsid w:val="00177362"/>
    <w:rsid w:val="001773A8"/>
    <w:rsid w:val="00177DDB"/>
    <w:rsid w:val="00177E2A"/>
    <w:rsid w:val="00177E75"/>
    <w:rsid w:val="00180616"/>
    <w:rsid w:val="0018067A"/>
    <w:rsid w:val="0018071B"/>
    <w:rsid w:val="0018074C"/>
    <w:rsid w:val="001807D8"/>
    <w:rsid w:val="00180906"/>
    <w:rsid w:val="0018092D"/>
    <w:rsid w:val="001809B4"/>
    <w:rsid w:val="00180D41"/>
    <w:rsid w:val="0018107E"/>
    <w:rsid w:val="0018109E"/>
    <w:rsid w:val="0018161E"/>
    <w:rsid w:val="00181A90"/>
    <w:rsid w:val="00181C41"/>
    <w:rsid w:val="00181EBE"/>
    <w:rsid w:val="001820E7"/>
    <w:rsid w:val="001821C0"/>
    <w:rsid w:val="00182510"/>
    <w:rsid w:val="001825CD"/>
    <w:rsid w:val="00182770"/>
    <w:rsid w:val="00182A9E"/>
    <w:rsid w:val="00182F54"/>
    <w:rsid w:val="00183101"/>
    <w:rsid w:val="00183231"/>
    <w:rsid w:val="001832B5"/>
    <w:rsid w:val="0018377D"/>
    <w:rsid w:val="001837D7"/>
    <w:rsid w:val="001838A8"/>
    <w:rsid w:val="00184468"/>
    <w:rsid w:val="00184651"/>
    <w:rsid w:val="00184903"/>
    <w:rsid w:val="0018496A"/>
    <w:rsid w:val="00184CDE"/>
    <w:rsid w:val="00184F76"/>
    <w:rsid w:val="00185750"/>
    <w:rsid w:val="00185830"/>
    <w:rsid w:val="00185AA1"/>
    <w:rsid w:val="00185DE8"/>
    <w:rsid w:val="00186067"/>
    <w:rsid w:val="0018650A"/>
    <w:rsid w:val="00186597"/>
    <w:rsid w:val="00186735"/>
    <w:rsid w:val="0018768F"/>
    <w:rsid w:val="00187946"/>
    <w:rsid w:val="0018796B"/>
    <w:rsid w:val="00187A5C"/>
    <w:rsid w:val="00187D58"/>
    <w:rsid w:val="001900FB"/>
    <w:rsid w:val="0019052E"/>
    <w:rsid w:val="00190558"/>
    <w:rsid w:val="001905D2"/>
    <w:rsid w:val="00190DDF"/>
    <w:rsid w:val="001911EA"/>
    <w:rsid w:val="0019161D"/>
    <w:rsid w:val="00191860"/>
    <w:rsid w:val="00191C64"/>
    <w:rsid w:val="00191DD5"/>
    <w:rsid w:val="00191F8C"/>
    <w:rsid w:val="00192B97"/>
    <w:rsid w:val="00192DDF"/>
    <w:rsid w:val="0019320C"/>
    <w:rsid w:val="0019364A"/>
    <w:rsid w:val="00193760"/>
    <w:rsid w:val="00193835"/>
    <w:rsid w:val="0019383A"/>
    <w:rsid w:val="00193871"/>
    <w:rsid w:val="00193C00"/>
    <w:rsid w:val="00193E89"/>
    <w:rsid w:val="00194559"/>
    <w:rsid w:val="001946FB"/>
    <w:rsid w:val="00194C8D"/>
    <w:rsid w:val="00194D4B"/>
    <w:rsid w:val="00194ECC"/>
    <w:rsid w:val="0019502D"/>
    <w:rsid w:val="00195058"/>
    <w:rsid w:val="0019505A"/>
    <w:rsid w:val="001951D9"/>
    <w:rsid w:val="0019529D"/>
    <w:rsid w:val="00195380"/>
    <w:rsid w:val="00195523"/>
    <w:rsid w:val="0019587E"/>
    <w:rsid w:val="00195FD1"/>
    <w:rsid w:val="001960F1"/>
    <w:rsid w:val="0019693B"/>
    <w:rsid w:val="00196D3F"/>
    <w:rsid w:val="00196D47"/>
    <w:rsid w:val="001972F4"/>
    <w:rsid w:val="001973DF"/>
    <w:rsid w:val="00197963"/>
    <w:rsid w:val="0019799A"/>
    <w:rsid w:val="00197A95"/>
    <w:rsid w:val="00197B6A"/>
    <w:rsid w:val="00197CC1"/>
    <w:rsid w:val="001A02E8"/>
    <w:rsid w:val="001A03E0"/>
    <w:rsid w:val="001A0910"/>
    <w:rsid w:val="001A0969"/>
    <w:rsid w:val="001A0B27"/>
    <w:rsid w:val="001A0B78"/>
    <w:rsid w:val="001A0E64"/>
    <w:rsid w:val="001A1092"/>
    <w:rsid w:val="001A120C"/>
    <w:rsid w:val="001A1334"/>
    <w:rsid w:val="001A1550"/>
    <w:rsid w:val="001A17BA"/>
    <w:rsid w:val="001A1B48"/>
    <w:rsid w:val="001A1FDE"/>
    <w:rsid w:val="001A1FF9"/>
    <w:rsid w:val="001A2765"/>
    <w:rsid w:val="001A29CA"/>
    <w:rsid w:val="001A2B33"/>
    <w:rsid w:val="001A2DA3"/>
    <w:rsid w:val="001A30E0"/>
    <w:rsid w:val="001A3341"/>
    <w:rsid w:val="001A33B5"/>
    <w:rsid w:val="001A3961"/>
    <w:rsid w:val="001A3B0E"/>
    <w:rsid w:val="001A3F11"/>
    <w:rsid w:val="001A4080"/>
    <w:rsid w:val="001A4A9E"/>
    <w:rsid w:val="001A4B36"/>
    <w:rsid w:val="001A4C53"/>
    <w:rsid w:val="001A4EB7"/>
    <w:rsid w:val="001A52A7"/>
    <w:rsid w:val="001A5610"/>
    <w:rsid w:val="001A5787"/>
    <w:rsid w:val="001A5B9C"/>
    <w:rsid w:val="001A66CA"/>
    <w:rsid w:val="001A681C"/>
    <w:rsid w:val="001A694C"/>
    <w:rsid w:val="001A69D6"/>
    <w:rsid w:val="001A6E1C"/>
    <w:rsid w:val="001A7111"/>
    <w:rsid w:val="001A7281"/>
    <w:rsid w:val="001A7784"/>
    <w:rsid w:val="001A79D2"/>
    <w:rsid w:val="001A7C32"/>
    <w:rsid w:val="001B0420"/>
    <w:rsid w:val="001B0620"/>
    <w:rsid w:val="001B08E1"/>
    <w:rsid w:val="001B0B7A"/>
    <w:rsid w:val="001B0DCA"/>
    <w:rsid w:val="001B0E27"/>
    <w:rsid w:val="001B1109"/>
    <w:rsid w:val="001B13FB"/>
    <w:rsid w:val="001B1527"/>
    <w:rsid w:val="001B157F"/>
    <w:rsid w:val="001B15B3"/>
    <w:rsid w:val="001B1772"/>
    <w:rsid w:val="001B187F"/>
    <w:rsid w:val="001B1891"/>
    <w:rsid w:val="001B1CA7"/>
    <w:rsid w:val="001B2030"/>
    <w:rsid w:val="001B25B0"/>
    <w:rsid w:val="001B2A14"/>
    <w:rsid w:val="001B2CF0"/>
    <w:rsid w:val="001B2D68"/>
    <w:rsid w:val="001B3550"/>
    <w:rsid w:val="001B373D"/>
    <w:rsid w:val="001B39EF"/>
    <w:rsid w:val="001B3A20"/>
    <w:rsid w:val="001B3B19"/>
    <w:rsid w:val="001B41EB"/>
    <w:rsid w:val="001B45F1"/>
    <w:rsid w:val="001B4AB0"/>
    <w:rsid w:val="001B4D9E"/>
    <w:rsid w:val="001B5776"/>
    <w:rsid w:val="001B5912"/>
    <w:rsid w:val="001B6120"/>
    <w:rsid w:val="001B6292"/>
    <w:rsid w:val="001B6850"/>
    <w:rsid w:val="001B693C"/>
    <w:rsid w:val="001B69DA"/>
    <w:rsid w:val="001B6C0C"/>
    <w:rsid w:val="001B6CD3"/>
    <w:rsid w:val="001B6E1C"/>
    <w:rsid w:val="001B6E55"/>
    <w:rsid w:val="001B72DA"/>
    <w:rsid w:val="001B737A"/>
    <w:rsid w:val="001B7C26"/>
    <w:rsid w:val="001B7D24"/>
    <w:rsid w:val="001B7DB6"/>
    <w:rsid w:val="001C0385"/>
    <w:rsid w:val="001C063A"/>
    <w:rsid w:val="001C0DF8"/>
    <w:rsid w:val="001C0F40"/>
    <w:rsid w:val="001C183F"/>
    <w:rsid w:val="001C19D3"/>
    <w:rsid w:val="001C1B04"/>
    <w:rsid w:val="001C2A64"/>
    <w:rsid w:val="001C2B50"/>
    <w:rsid w:val="001C32F9"/>
    <w:rsid w:val="001C38A1"/>
    <w:rsid w:val="001C3B34"/>
    <w:rsid w:val="001C3ED4"/>
    <w:rsid w:val="001C3F8E"/>
    <w:rsid w:val="001C42E2"/>
    <w:rsid w:val="001C4466"/>
    <w:rsid w:val="001C44D7"/>
    <w:rsid w:val="001C4C8F"/>
    <w:rsid w:val="001C586B"/>
    <w:rsid w:val="001C5B7C"/>
    <w:rsid w:val="001C5BE3"/>
    <w:rsid w:val="001C5F31"/>
    <w:rsid w:val="001C5FA8"/>
    <w:rsid w:val="001C611C"/>
    <w:rsid w:val="001C63C7"/>
    <w:rsid w:val="001C6615"/>
    <w:rsid w:val="001C6A94"/>
    <w:rsid w:val="001C715D"/>
    <w:rsid w:val="001C71C5"/>
    <w:rsid w:val="001C7505"/>
    <w:rsid w:val="001C79DF"/>
    <w:rsid w:val="001C7D4D"/>
    <w:rsid w:val="001D001E"/>
    <w:rsid w:val="001D0435"/>
    <w:rsid w:val="001D047F"/>
    <w:rsid w:val="001D0BC2"/>
    <w:rsid w:val="001D0D1B"/>
    <w:rsid w:val="001D0D55"/>
    <w:rsid w:val="001D15A3"/>
    <w:rsid w:val="001D1BCD"/>
    <w:rsid w:val="001D1BF6"/>
    <w:rsid w:val="001D1C00"/>
    <w:rsid w:val="001D20D7"/>
    <w:rsid w:val="001D26DC"/>
    <w:rsid w:val="001D280C"/>
    <w:rsid w:val="001D2F9C"/>
    <w:rsid w:val="001D2FEB"/>
    <w:rsid w:val="001D2FF1"/>
    <w:rsid w:val="001D310A"/>
    <w:rsid w:val="001D319E"/>
    <w:rsid w:val="001D34F4"/>
    <w:rsid w:val="001D39FC"/>
    <w:rsid w:val="001D44B0"/>
    <w:rsid w:val="001D46C9"/>
    <w:rsid w:val="001D4837"/>
    <w:rsid w:val="001D542B"/>
    <w:rsid w:val="001D571A"/>
    <w:rsid w:val="001D5CD6"/>
    <w:rsid w:val="001D6419"/>
    <w:rsid w:val="001D6E15"/>
    <w:rsid w:val="001D6F91"/>
    <w:rsid w:val="001D6FBF"/>
    <w:rsid w:val="001D7868"/>
    <w:rsid w:val="001D78C3"/>
    <w:rsid w:val="001D7BC8"/>
    <w:rsid w:val="001E01F9"/>
    <w:rsid w:val="001E020B"/>
    <w:rsid w:val="001E031A"/>
    <w:rsid w:val="001E0920"/>
    <w:rsid w:val="001E0A5A"/>
    <w:rsid w:val="001E0ACF"/>
    <w:rsid w:val="001E0D6A"/>
    <w:rsid w:val="001E0F09"/>
    <w:rsid w:val="001E1749"/>
    <w:rsid w:val="001E17B7"/>
    <w:rsid w:val="001E195B"/>
    <w:rsid w:val="001E1A63"/>
    <w:rsid w:val="001E1D8F"/>
    <w:rsid w:val="001E2188"/>
    <w:rsid w:val="001E304B"/>
    <w:rsid w:val="001E315F"/>
    <w:rsid w:val="001E3179"/>
    <w:rsid w:val="001E3A18"/>
    <w:rsid w:val="001E3AC0"/>
    <w:rsid w:val="001E444B"/>
    <w:rsid w:val="001E4679"/>
    <w:rsid w:val="001E473C"/>
    <w:rsid w:val="001E49BD"/>
    <w:rsid w:val="001E4BD0"/>
    <w:rsid w:val="001E50DD"/>
    <w:rsid w:val="001E51AA"/>
    <w:rsid w:val="001E5454"/>
    <w:rsid w:val="001E557B"/>
    <w:rsid w:val="001E57C3"/>
    <w:rsid w:val="001E5889"/>
    <w:rsid w:val="001E5A35"/>
    <w:rsid w:val="001E5BB5"/>
    <w:rsid w:val="001E5D2F"/>
    <w:rsid w:val="001E6045"/>
    <w:rsid w:val="001E6496"/>
    <w:rsid w:val="001E6513"/>
    <w:rsid w:val="001E65EA"/>
    <w:rsid w:val="001E678A"/>
    <w:rsid w:val="001E682D"/>
    <w:rsid w:val="001E6CA5"/>
    <w:rsid w:val="001E6D3B"/>
    <w:rsid w:val="001E6E84"/>
    <w:rsid w:val="001E7189"/>
    <w:rsid w:val="001E7284"/>
    <w:rsid w:val="001E75D4"/>
    <w:rsid w:val="001E7741"/>
    <w:rsid w:val="001E784B"/>
    <w:rsid w:val="001E7C39"/>
    <w:rsid w:val="001E7C43"/>
    <w:rsid w:val="001E7DC7"/>
    <w:rsid w:val="001E7DE2"/>
    <w:rsid w:val="001E7E3A"/>
    <w:rsid w:val="001E7F9C"/>
    <w:rsid w:val="001E7FF4"/>
    <w:rsid w:val="001F019D"/>
    <w:rsid w:val="001F0777"/>
    <w:rsid w:val="001F0A5E"/>
    <w:rsid w:val="001F1095"/>
    <w:rsid w:val="001F10E9"/>
    <w:rsid w:val="001F12D7"/>
    <w:rsid w:val="001F13AA"/>
    <w:rsid w:val="001F1701"/>
    <w:rsid w:val="001F1AA0"/>
    <w:rsid w:val="001F2075"/>
    <w:rsid w:val="001F219E"/>
    <w:rsid w:val="001F26B2"/>
    <w:rsid w:val="001F2802"/>
    <w:rsid w:val="001F2A30"/>
    <w:rsid w:val="001F2C88"/>
    <w:rsid w:val="001F2C8D"/>
    <w:rsid w:val="001F2F92"/>
    <w:rsid w:val="001F3098"/>
    <w:rsid w:val="001F37B4"/>
    <w:rsid w:val="001F3923"/>
    <w:rsid w:val="001F3A74"/>
    <w:rsid w:val="001F3D31"/>
    <w:rsid w:val="001F459F"/>
    <w:rsid w:val="001F47D8"/>
    <w:rsid w:val="001F4A5F"/>
    <w:rsid w:val="001F4C54"/>
    <w:rsid w:val="001F5199"/>
    <w:rsid w:val="001F551D"/>
    <w:rsid w:val="001F59F1"/>
    <w:rsid w:val="001F5B6E"/>
    <w:rsid w:val="001F5BA2"/>
    <w:rsid w:val="001F63B7"/>
    <w:rsid w:val="001F649A"/>
    <w:rsid w:val="001F64B2"/>
    <w:rsid w:val="001F6BAA"/>
    <w:rsid w:val="001F6C5C"/>
    <w:rsid w:val="001F6D11"/>
    <w:rsid w:val="001F6DCC"/>
    <w:rsid w:val="001F6FC3"/>
    <w:rsid w:val="001F704C"/>
    <w:rsid w:val="001F710D"/>
    <w:rsid w:val="001F729D"/>
    <w:rsid w:val="001F73DB"/>
    <w:rsid w:val="001F74A9"/>
    <w:rsid w:val="001F7B71"/>
    <w:rsid w:val="00200279"/>
    <w:rsid w:val="0020039A"/>
    <w:rsid w:val="002004D9"/>
    <w:rsid w:val="0020055E"/>
    <w:rsid w:val="00200740"/>
    <w:rsid w:val="00200C99"/>
    <w:rsid w:val="0020125E"/>
    <w:rsid w:val="0020166B"/>
    <w:rsid w:val="00201936"/>
    <w:rsid w:val="00201D61"/>
    <w:rsid w:val="00201E7C"/>
    <w:rsid w:val="002023CD"/>
    <w:rsid w:val="002026FE"/>
    <w:rsid w:val="00202985"/>
    <w:rsid w:val="00202FB9"/>
    <w:rsid w:val="00203291"/>
    <w:rsid w:val="00203610"/>
    <w:rsid w:val="00203EA3"/>
    <w:rsid w:val="00203F92"/>
    <w:rsid w:val="00203F95"/>
    <w:rsid w:val="0020474E"/>
    <w:rsid w:val="00204B5D"/>
    <w:rsid w:val="00204EF9"/>
    <w:rsid w:val="00205C76"/>
    <w:rsid w:val="00205ECD"/>
    <w:rsid w:val="00206404"/>
    <w:rsid w:val="00206647"/>
    <w:rsid w:val="00206720"/>
    <w:rsid w:val="002068BA"/>
    <w:rsid w:val="00206BCB"/>
    <w:rsid w:val="00206EAF"/>
    <w:rsid w:val="00206F08"/>
    <w:rsid w:val="00207240"/>
    <w:rsid w:val="002074E7"/>
    <w:rsid w:val="0020794E"/>
    <w:rsid w:val="002079C1"/>
    <w:rsid w:val="00207A1A"/>
    <w:rsid w:val="00207B64"/>
    <w:rsid w:val="0021028F"/>
    <w:rsid w:val="00210428"/>
    <w:rsid w:val="002104ED"/>
    <w:rsid w:val="002105A5"/>
    <w:rsid w:val="002106A0"/>
    <w:rsid w:val="002108D0"/>
    <w:rsid w:val="00210CFD"/>
    <w:rsid w:val="002111C2"/>
    <w:rsid w:val="00211779"/>
    <w:rsid w:val="00211926"/>
    <w:rsid w:val="002119E3"/>
    <w:rsid w:val="00211AFB"/>
    <w:rsid w:val="00211B7B"/>
    <w:rsid w:val="00211CF2"/>
    <w:rsid w:val="00212301"/>
    <w:rsid w:val="00212975"/>
    <w:rsid w:val="00212978"/>
    <w:rsid w:val="00212AD3"/>
    <w:rsid w:val="00212B2A"/>
    <w:rsid w:val="00213570"/>
    <w:rsid w:val="00213A73"/>
    <w:rsid w:val="00213C4E"/>
    <w:rsid w:val="00214015"/>
    <w:rsid w:val="00214396"/>
    <w:rsid w:val="0021446F"/>
    <w:rsid w:val="00214E26"/>
    <w:rsid w:val="00215645"/>
    <w:rsid w:val="002158AE"/>
    <w:rsid w:val="002158B8"/>
    <w:rsid w:val="00215BEC"/>
    <w:rsid w:val="00215CA3"/>
    <w:rsid w:val="00215D69"/>
    <w:rsid w:val="00215E9D"/>
    <w:rsid w:val="00216187"/>
    <w:rsid w:val="002167FD"/>
    <w:rsid w:val="0021691D"/>
    <w:rsid w:val="00216981"/>
    <w:rsid w:val="00216999"/>
    <w:rsid w:val="00216C32"/>
    <w:rsid w:val="00217B40"/>
    <w:rsid w:val="00217E21"/>
    <w:rsid w:val="00220024"/>
    <w:rsid w:val="0022004B"/>
    <w:rsid w:val="0022023E"/>
    <w:rsid w:val="002208EC"/>
    <w:rsid w:val="002208F5"/>
    <w:rsid w:val="002211CB"/>
    <w:rsid w:val="0022174A"/>
    <w:rsid w:val="0022184B"/>
    <w:rsid w:val="00221E7F"/>
    <w:rsid w:val="00221F2D"/>
    <w:rsid w:val="0022215A"/>
    <w:rsid w:val="002221E0"/>
    <w:rsid w:val="0022272C"/>
    <w:rsid w:val="002230EA"/>
    <w:rsid w:val="00223239"/>
    <w:rsid w:val="00223338"/>
    <w:rsid w:val="0022337F"/>
    <w:rsid w:val="0022355F"/>
    <w:rsid w:val="00224404"/>
    <w:rsid w:val="0022454F"/>
    <w:rsid w:val="002246CF"/>
    <w:rsid w:val="00224842"/>
    <w:rsid w:val="00225344"/>
    <w:rsid w:val="00225772"/>
    <w:rsid w:val="00225B3E"/>
    <w:rsid w:val="00225B58"/>
    <w:rsid w:val="00225D8B"/>
    <w:rsid w:val="00225E6A"/>
    <w:rsid w:val="002261C5"/>
    <w:rsid w:val="002267FB"/>
    <w:rsid w:val="00226DA5"/>
    <w:rsid w:val="0022708E"/>
    <w:rsid w:val="002272F7"/>
    <w:rsid w:val="002275FE"/>
    <w:rsid w:val="00227B06"/>
    <w:rsid w:val="00227BB6"/>
    <w:rsid w:val="002300B6"/>
    <w:rsid w:val="0023020D"/>
    <w:rsid w:val="002307A1"/>
    <w:rsid w:val="00230A89"/>
    <w:rsid w:val="00230ADD"/>
    <w:rsid w:val="00230B35"/>
    <w:rsid w:val="00230BA1"/>
    <w:rsid w:val="002310B0"/>
    <w:rsid w:val="00231664"/>
    <w:rsid w:val="00231944"/>
    <w:rsid w:val="00231AC5"/>
    <w:rsid w:val="00231B38"/>
    <w:rsid w:val="00231B9C"/>
    <w:rsid w:val="00232075"/>
    <w:rsid w:val="00232609"/>
    <w:rsid w:val="00232B53"/>
    <w:rsid w:val="00232D40"/>
    <w:rsid w:val="002335D8"/>
    <w:rsid w:val="0023383F"/>
    <w:rsid w:val="00233C42"/>
    <w:rsid w:val="00233C73"/>
    <w:rsid w:val="00233EA3"/>
    <w:rsid w:val="002340A1"/>
    <w:rsid w:val="00234264"/>
    <w:rsid w:val="00234846"/>
    <w:rsid w:val="002351A3"/>
    <w:rsid w:val="002352C7"/>
    <w:rsid w:val="002357B0"/>
    <w:rsid w:val="00235FAD"/>
    <w:rsid w:val="00236197"/>
    <w:rsid w:val="0023624F"/>
    <w:rsid w:val="00236571"/>
    <w:rsid w:val="00236654"/>
    <w:rsid w:val="002374E8"/>
    <w:rsid w:val="0023764D"/>
    <w:rsid w:val="002379A0"/>
    <w:rsid w:val="00237B10"/>
    <w:rsid w:val="00237C0B"/>
    <w:rsid w:val="00237CA6"/>
    <w:rsid w:val="00237F90"/>
    <w:rsid w:val="002403BB"/>
    <w:rsid w:val="00240501"/>
    <w:rsid w:val="00240969"/>
    <w:rsid w:val="00240B3B"/>
    <w:rsid w:val="00240EA2"/>
    <w:rsid w:val="00241098"/>
    <w:rsid w:val="002412E5"/>
    <w:rsid w:val="00241339"/>
    <w:rsid w:val="002416BE"/>
    <w:rsid w:val="00241E1F"/>
    <w:rsid w:val="00242A78"/>
    <w:rsid w:val="00242F15"/>
    <w:rsid w:val="00242F30"/>
    <w:rsid w:val="002430C3"/>
    <w:rsid w:val="002433BF"/>
    <w:rsid w:val="00243D2A"/>
    <w:rsid w:val="00244752"/>
    <w:rsid w:val="002448B2"/>
    <w:rsid w:val="00244DFC"/>
    <w:rsid w:val="00244E57"/>
    <w:rsid w:val="002453D1"/>
    <w:rsid w:val="002454BB"/>
    <w:rsid w:val="0024576D"/>
    <w:rsid w:val="00245BA5"/>
    <w:rsid w:val="00245D9A"/>
    <w:rsid w:val="0024614F"/>
    <w:rsid w:val="0024650C"/>
    <w:rsid w:val="002469EC"/>
    <w:rsid w:val="00246B9E"/>
    <w:rsid w:val="00246C9A"/>
    <w:rsid w:val="00246F21"/>
    <w:rsid w:val="002470B3"/>
    <w:rsid w:val="00247847"/>
    <w:rsid w:val="002478A7"/>
    <w:rsid w:val="002478C6"/>
    <w:rsid w:val="002479DE"/>
    <w:rsid w:val="0025036D"/>
    <w:rsid w:val="00250A20"/>
    <w:rsid w:val="00250A3B"/>
    <w:rsid w:val="00250D7A"/>
    <w:rsid w:val="00250F88"/>
    <w:rsid w:val="00251465"/>
    <w:rsid w:val="0025163A"/>
    <w:rsid w:val="002521BF"/>
    <w:rsid w:val="002521E8"/>
    <w:rsid w:val="00252213"/>
    <w:rsid w:val="00252345"/>
    <w:rsid w:val="00252F78"/>
    <w:rsid w:val="0025316E"/>
    <w:rsid w:val="00253230"/>
    <w:rsid w:val="002532EE"/>
    <w:rsid w:val="002536EE"/>
    <w:rsid w:val="00253A85"/>
    <w:rsid w:val="00253F8B"/>
    <w:rsid w:val="0025408E"/>
    <w:rsid w:val="002541EC"/>
    <w:rsid w:val="002544F3"/>
    <w:rsid w:val="002549EA"/>
    <w:rsid w:val="00254DF5"/>
    <w:rsid w:val="00254E21"/>
    <w:rsid w:val="0025544D"/>
    <w:rsid w:val="002558B2"/>
    <w:rsid w:val="00255D61"/>
    <w:rsid w:val="00255F5D"/>
    <w:rsid w:val="002560C5"/>
    <w:rsid w:val="002561F1"/>
    <w:rsid w:val="00256450"/>
    <w:rsid w:val="002564C0"/>
    <w:rsid w:val="0025659F"/>
    <w:rsid w:val="002566B5"/>
    <w:rsid w:val="002572CA"/>
    <w:rsid w:val="002577CF"/>
    <w:rsid w:val="00257B1E"/>
    <w:rsid w:val="00257C08"/>
    <w:rsid w:val="00260173"/>
    <w:rsid w:val="00260A9A"/>
    <w:rsid w:val="002610AB"/>
    <w:rsid w:val="002615BB"/>
    <w:rsid w:val="00261705"/>
    <w:rsid w:val="00261997"/>
    <w:rsid w:val="00261A8B"/>
    <w:rsid w:val="00261AF5"/>
    <w:rsid w:val="00261E6B"/>
    <w:rsid w:val="00262E73"/>
    <w:rsid w:val="0026334C"/>
    <w:rsid w:val="00263704"/>
    <w:rsid w:val="0026394B"/>
    <w:rsid w:val="00263978"/>
    <w:rsid w:val="00263990"/>
    <w:rsid w:val="002639D0"/>
    <w:rsid w:val="00263C3D"/>
    <w:rsid w:val="00264067"/>
    <w:rsid w:val="00264088"/>
    <w:rsid w:val="00264127"/>
    <w:rsid w:val="0026477F"/>
    <w:rsid w:val="00264A3A"/>
    <w:rsid w:val="00264C8E"/>
    <w:rsid w:val="00264DA4"/>
    <w:rsid w:val="0026519C"/>
    <w:rsid w:val="002651ED"/>
    <w:rsid w:val="00265454"/>
    <w:rsid w:val="00265EEB"/>
    <w:rsid w:val="00266027"/>
    <w:rsid w:val="00266121"/>
    <w:rsid w:val="00266421"/>
    <w:rsid w:val="0026655C"/>
    <w:rsid w:val="00266A7F"/>
    <w:rsid w:val="00266ADF"/>
    <w:rsid w:val="00266DD7"/>
    <w:rsid w:val="00266E2F"/>
    <w:rsid w:val="00266F46"/>
    <w:rsid w:val="00267483"/>
    <w:rsid w:val="002676F4"/>
    <w:rsid w:val="0026777E"/>
    <w:rsid w:val="00267805"/>
    <w:rsid w:val="00267CEA"/>
    <w:rsid w:val="00267F5C"/>
    <w:rsid w:val="002703EE"/>
    <w:rsid w:val="002709E8"/>
    <w:rsid w:val="00270DBF"/>
    <w:rsid w:val="00270F38"/>
    <w:rsid w:val="00271128"/>
    <w:rsid w:val="002713B7"/>
    <w:rsid w:val="00271F74"/>
    <w:rsid w:val="002724F0"/>
    <w:rsid w:val="002727D8"/>
    <w:rsid w:val="00272829"/>
    <w:rsid w:val="00272A3F"/>
    <w:rsid w:val="00272AEE"/>
    <w:rsid w:val="00272C78"/>
    <w:rsid w:val="00273706"/>
    <w:rsid w:val="0027378D"/>
    <w:rsid w:val="00274535"/>
    <w:rsid w:val="0027474E"/>
    <w:rsid w:val="00274BA5"/>
    <w:rsid w:val="002750A0"/>
    <w:rsid w:val="002751E1"/>
    <w:rsid w:val="00275861"/>
    <w:rsid w:val="0027589B"/>
    <w:rsid w:val="00275A18"/>
    <w:rsid w:val="00275B57"/>
    <w:rsid w:val="0027601C"/>
    <w:rsid w:val="002761E5"/>
    <w:rsid w:val="002765CF"/>
    <w:rsid w:val="00276870"/>
    <w:rsid w:val="002769CE"/>
    <w:rsid w:val="00277175"/>
    <w:rsid w:val="0027737C"/>
    <w:rsid w:val="00277405"/>
    <w:rsid w:val="00277E07"/>
    <w:rsid w:val="00277E33"/>
    <w:rsid w:val="0028015D"/>
    <w:rsid w:val="00280F21"/>
    <w:rsid w:val="0028115C"/>
    <w:rsid w:val="002812E3"/>
    <w:rsid w:val="0028181A"/>
    <w:rsid w:val="002821AB"/>
    <w:rsid w:val="00282771"/>
    <w:rsid w:val="002827F1"/>
    <w:rsid w:val="00282D42"/>
    <w:rsid w:val="00282E6D"/>
    <w:rsid w:val="00283AC4"/>
    <w:rsid w:val="00284E8D"/>
    <w:rsid w:val="0028568D"/>
    <w:rsid w:val="00285EBC"/>
    <w:rsid w:val="00286011"/>
    <w:rsid w:val="002865BE"/>
    <w:rsid w:val="0028661A"/>
    <w:rsid w:val="00286844"/>
    <w:rsid w:val="002868E6"/>
    <w:rsid w:val="00286AC5"/>
    <w:rsid w:val="00287004"/>
    <w:rsid w:val="002874EB"/>
    <w:rsid w:val="002875D2"/>
    <w:rsid w:val="002875F5"/>
    <w:rsid w:val="002877EE"/>
    <w:rsid w:val="002877F4"/>
    <w:rsid w:val="00287BE6"/>
    <w:rsid w:val="00287C1D"/>
    <w:rsid w:val="002901F5"/>
    <w:rsid w:val="00290324"/>
    <w:rsid w:val="002903EF"/>
    <w:rsid w:val="002910EB"/>
    <w:rsid w:val="002910F9"/>
    <w:rsid w:val="002912AE"/>
    <w:rsid w:val="002912E7"/>
    <w:rsid w:val="0029156A"/>
    <w:rsid w:val="0029162C"/>
    <w:rsid w:val="00291A3F"/>
    <w:rsid w:val="00291FCB"/>
    <w:rsid w:val="00292184"/>
    <w:rsid w:val="00292469"/>
    <w:rsid w:val="002938DD"/>
    <w:rsid w:val="00293FC0"/>
    <w:rsid w:val="002943BC"/>
    <w:rsid w:val="002947AF"/>
    <w:rsid w:val="002947D9"/>
    <w:rsid w:val="00294990"/>
    <w:rsid w:val="00294B90"/>
    <w:rsid w:val="002959BE"/>
    <w:rsid w:val="0029647A"/>
    <w:rsid w:val="00296A4C"/>
    <w:rsid w:val="00296A84"/>
    <w:rsid w:val="00296E5D"/>
    <w:rsid w:val="00297032"/>
    <w:rsid w:val="002978FD"/>
    <w:rsid w:val="002979E0"/>
    <w:rsid w:val="00297BFB"/>
    <w:rsid w:val="00297E90"/>
    <w:rsid w:val="002A0030"/>
    <w:rsid w:val="002A0BB2"/>
    <w:rsid w:val="002A0C3C"/>
    <w:rsid w:val="002A0D76"/>
    <w:rsid w:val="002A1B67"/>
    <w:rsid w:val="002A2174"/>
    <w:rsid w:val="002A252E"/>
    <w:rsid w:val="002A2649"/>
    <w:rsid w:val="002A2CB9"/>
    <w:rsid w:val="002A301D"/>
    <w:rsid w:val="002A3408"/>
    <w:rsid w:val="002A344B"/>
    <w:rsid w:val="002A3B1F"/>
    <w:rsid w:val="002A40D2"/>
    <w:rsid w:val="002A4311"/>
    <w:rsid w:val="002A4409"/>
    <w:rsid w:val="002A44DA"/>
    <w:rsid w:val="002A4506"/>
    <w:rsid w:val="002A474E"/>
    <w:rsid w:val="002A4985"/>
    <w:rsid w:val="002A4DBD"/>
    <w:rsid w:val="002A57BB"/>
    <w:rsid w:val="002A5A4C"/>
    <w:rsid w:val="002A5AED"/>
    <w:rsid w:val="002A5E2E"/>
    <w:rsid w:val="002A608E"/>
    <w:rsid w:val="002A68F8"/>
    <w:rsid w:val="002A6974"/>
    <w:rsid w:val="002A6EDB"/>
    <w:rsid w:val="002A7654"/>
    <w:rsid w:val="002A7AB6"/>
    <w:rsid w:val="002A7E82"/>
    <w:rsid w:val="002B05D8"/>
    <w:rsid w:val="002B09B3"/>
    <w:rsid w:val="002B0D47"/>
    <w:rsid w:val="002B11F5"/>
    <w:rsid w:val="002B14AE"/>
    <w:rsid w:val="002B1597"/>
    <w:rsid w:val="002B16A2"/>
    <w:rsid w:val="002B186A"/>
    <w:rsid w:val="002B1A05"/>
    <w:rsid w:val="002B1B13"/>
    <w:rsid w:val="002B2449"/>
    <w:rsid w:val="002B2A7E"/>
    <w:rsid w:val="002B2DFC"/>
    <w:rsid w:val="002B2F1E"/>
    <w:rsid w:val="002B30C0"/>
    <w:rsid w:val="002B3110"/>
    <w:rsid w:val="002B31FB"/>
    <w:rsid w:val="002B32F9"/>
    <w:rsid w:val="002B3454"/>
    <w:rsid w:val="002B354D"/>
    <w:rsid w:val="002B3802"/>
    <w:rsid w:val="002B3878"/>
    <w:rsid w:val="002B38AB"/>
    <w:rsid w:val="002B39CA"/>
    <w:rsid w:val="002B3CB4"/>
    <w:rsid w:val="002B3D55"/>
    <w:rsid w:val="002B4201"/>
    <w:rsid w:val="002B4227"/>
    <w:rsid w:val="002B4244"/>
    <w:rsid w:val="002B4278"/>
    <w:rsid w:val="002B4460"/>
    <w:rsid w:val="002B4577"/>
    <w:rsid w:val="002B4888"/>
    <w:rsid w:val="002B4CE6"/>
    <w:rsid w:val="002B5152"/>
    <w:rsid w:val="002B53C6"/>
    <w:rsid w:val="002B5464"/>
    <w:rsid w:val="002B54FC"/>
    <w:rsid w:val="002B56E2"/>
    <w:rsid w:val="002B57B3"/>
    <w:rsid w:val="002B57D9"/>
    <w:rsid w:val="002B5911"/>
    <w:rsid w:val="002B5E31"/>
    <w:rsid w:val="002B614D"/>
    <w:rsid w:val="002B6591"/>
    <w:rsid w:val="002B664A"/>
    <w:rsid w:val="002B6694"/>
    <w:rsid w:val="002B6BB0"/>
    <w:rsid w:val="002B719D"/>
    <w:rsid w:val="002B73BE"/>
    <w:rsid w:val="002B7864"/>
    <w:rsid w:val="002B787C"/>
    <w:rsid w:val="002B7B8D"/>
    <w:rsid w:val="002B7EA0"/>
    <w:rsid w:val="002C08FF"/>
    <w:rsid w:val="002C09A6"/>
    <w:rsid w:val="002C0D9F"/>
    <w:rsid w:val="002C0EF2"/>
    <w:rsid w:val="002C0FB2"/>
    <w:rsid w:val="002C102A"/>
    <w:rsid w:val="002C1175"/>
    <w:rsid w:val="002C1494"/>
    <w:rsid w:val="002C15A2"/>
    <w:rsid w:val="002C180B"/>
    <w:rsid w:val="002C1A6F"/>
    <w:rsid w:val="002C1AFE"/>
    <w:rsid w:val="002C1F54"/>
    <w:rsid w:val="002C22CF"/>
    <w:rsid w:val="002C26A6"/>
    <w:rsid w:val="002C276B"/>
    <w:rsid w:val="002C27FC"/>
    <w:rsid w:val="002C2CC3"/>
    <w:rsid w:val="002C327E"/>
    <w:rsid w:val="002C35B4"/>
    <w:rsid w:val="002C3AC4"/>
    <w:rsid w:val="002C3B5C"/>
    <w:rsid w:val="002C474E"/>
    <w:rsid w:val="002C4A15"/>
    <w:rsid w:val="002C4D9D"/>
    <w:rsid w:val="002C4FA9"/>
    <w:rsid w:val="002C4FC6"/>
    <w:rsid w:val="002C5109"/>
    <w:rsid w:val="002C51AB"/>
    <w:rsid w:val="002C5253"/>
    <w:rsid w:val="002C5449"/>
    <w:rsid w:val="002C5A7A"/>
    <w:rsid w:val="002C5B3C"/>
    <w:rsid w:val="002C5E2E"/>
    <w:rsid w:val="002C6380"/>
    <w:rsid w:val="002C66B8"/>
    <w:rsid w:val="002C6E99"/>
    <w:rsid w:val="002C7065"/>
    <w:rsid w:val="002C76E0"/>
    <w:rsid w:val="002C782B"/>
    <w:rsid w:val="002C78AE"/>
    <w:rsid w:val="002C79E4"/>
    <w:rsid w:val="002C7B9A"/>
    <w:rsid w:val="002C7EF9"/>
    <w:rsid w:val="002D02AB"/>
    <w:rsid w:val="002D0F86"/>
    <w:rsid w:val="002D131B"/>
    <w:rsid w:val="002D1648"/>
    <w:rsid w:val="002D17C8"/>
    <w:rsid w:val="002D22A9"/>
    <w:rsid w:val="002D2414"/>
    <w:rsid w:val="002D2524"/>
    <w:rsid w:val="002D25BF"/>
    <w:rsid w:val="002D27D6"/>
    <w:rsid w:val="002D2F6C"/>
    <w:rsid w:val="002D3030"/>
    <w:rsid w:val="002D3322"/>
    <w:rsid w:val="002D36C4"/>
    <w:rsid w:val="002D37A8"/>
    <w:rsid w:val="002D3BA3"/>
    <w:rsid w:val="002D3CF5"/>
    <w:rsid w:val="002D3F48"/>
    <w:rsid w:val="002D4F55"/>
    <w:rsid w:val="002D51B6"/>
    <w:rsid w:val="002D52A7"/>
    <w:rsid w:val="002D5761"/>
    <w:rsid w:val="002D63B2"/>
    <w:rsid w:val="002D63E0"/>
    <w:rsid w:val="002D6410"/>
    <w:rsid w:val="002D69C4"/>
    <w:rsid w:val="002D6E75"/>
    <w:rsid w:val="002D758C"/>
    <w:rsid w:val="002D7635"/>
    <w:rsid w:val="002D78AA"/>
    <w:rsid w:val="002D7DCF"/>
    <w:rsid w:val="002D7E73"/>
    <w:rsid w:val="002E02D7"/>
    <w:rsid w:val="002E045A"/>
    <w:rsid w:val="002E0717"/>
    <w:rsid w:val="002E0806"/>
    <w:rsid w:val="002E0A55"/>
    <w:rsid w:val="002E0C88"/>
    <w:rsid w:val="002E0C8B"/>
    <w:rsid w:val="002E0CB8"/>
    <w:rsid w:val="002E10F0"/>
    <w:rsid w:val="002E1514"/>
    <w:rsid w:val="002E1DEF"/>
    <w:rsid w:val="002E1F3B"/>
    <w:rsid w:val="002E2344"/>
    <w:rsid w:val="002E2459"/>
    <w:rsid w:val="002E2E9C"/>
    <w:rsid w:val="002E32DF"/>
    <w:rsid w:val="002E393B"/>
    <w:rsid w:val="002E3D1A"/>
    <w:rsid w:val="002E43EE"/>
    <w:rsid w:val="002E482D"/>
    <w:rsid w:val="002E4A2D"/>
    <w:rsid w:val="002E4A39"/>
    <w:rsid w:val="002E4FBE"/>
    <w:rsid w:val="002E5619"/>
    <w:rsid w:val="002E5AC2"/>
    <w:rsid w:val="002E5FCC"/>
    <w:rsid w:val="002E6061"/>
    <w:rsid w:val="002E62B1"/>
    <w:rsid w:val="002E62F8"/>
    <w:rsid w:val="002E6C58"/>
    <w:rsid w:val="002E6DC2"/>
    <w:rsid w:val="002E760C"/>
    <w:rsid w:val="002E7660"/>
    <w:rsid w:val="002E7746"/>
    <w:rsid w:val="002E7CB0"/>
    <w:rsid w:val="002E7D4A"/>
    <w:rsid w:val="002F0089"/>
    <w:rsid w:val="002F0DB2"/>
    <w:rsid w:val="002F11DD"/>
    <w:rsid w:val="002F1263"/>
    <w:rsid w:val="002F127F"/>
    <w:rsid w:val="002F15A7"/>
    <w:rsid w:val="002F1603"/>
    <w:rsid w:val="002F1661"/>
    <w:rsid w:val="002F16CC"/>
    <w:rsid w:val="002F17EB"/>
    <w:rsid w:val="002F1A4D"/>
    <w:rsid w:val="002F1E26"/>
    <w:rsid w:val="002F1E98"/>
    <w:rsid w:val="002F20BF"/>
    <w:rsid w:val="002F24A8"/>
    <w:rsid w:val="002F2A2D"/>
    <w:rsid w:val="002F2CA0"/>
    <w:rsid w:val="002F2E1D"/>
    <w:rsid w:val="002F2E42"/>
    <w:rsid w:val="002F2EEE"/>
    <w:rsid w:val="002F2FA2"/>
    <w:rsid w:val="002F3271"/>
    <w:rsid w:val="002F3890"/>
    <w:rsid w:val="002F3C9E"/>
    <w:rsid w:val="002F3F02"/>
    <w:rsid w:val="002F42A9"/>
    <w:rsid w:val="002F4967"/>
    <w:rsid w:val="002F4BAE"/>
    <w:rsid w:val="002F517E"/>
    <w:rsid w:val="002F5915"/>
    <w:rsid w:val="002F5A17"/>
    <w:rsid w:val="002F5E0E"/>
    <w:rsid w:val="002F6025"/>
    <w:rsid w:val="002F6204"/>
    <w:rsid w:val="002F6542"/>
    <w:rsid w:val="002F6635"/>
    <w:rsid w:val="002F71FB"/>
    <w:rsid w:val="002F73E8"/>
    <w:rsid w:val="002F75A6"/>
    <w:rsid w:val="002F75BD"/>
    <w:rsid w:val="002F7707"/>
    <w:rsid w:val="002F7B10"/>
    <w:rsid w:val="002F7BF8"/>
    <w:rsid w:val="002F7E45"/>
    <w:rsid w:val="00300411"/>
    <w:rsid w:val="00300432"/>
    <w:rsid w:val="003007BE"/>
    <w:rsid w:val="003008BF"/>
    <w:rsid w:val="00300B96"/>
    <w:rsid w:val="00300E5D"/>
    <w:rsid w:val="0030145E"/>
    <w:rsid w:val="00301483"/>
    <w:rsid w:val="003014D3"/>
    <w:rsid w:val="0030161F"/>
    <w:rsid w:val="003017D2"/>
    <w:rsid w:val="00301834"/>
    <w:rsid w:val="003019AA"/>
    <w:rsid w:val="00301BDC"/>
    <w:rsid w:val="00301E7A"/>
    <w:rsid w:val="00302222"/>
    <w:rsid w:val="00302FBB"/>
    <w:rsid w:val="00303032"/>
    <w:rsid w:val="003033A2"/>
    <w:rsid w:val="003038E6"/>
    <w:rsid w:val="00303A6B"/>
    <w:rsid w:val="00303F89"/>
    <w:rsid w:val="00304E0C"/>
    <w:rsid w:val="00304F0A"/>
    <w:rsid w:val="003056C3"/>
    <w:rsid w:val="003059E7"/>
    <w:rsid w:val="00305DC7"/>
    <w:rsid w:val="003060C5"/>
    <w:rsid w:val="0030634D"/>
    <w:rsid w:val="00306A03"/>
    <w:rsid w:val="00306A24"/>
    <w:rsid w:val="00306F6F"/>
    <w:rsid w:val="003075F4"/>
    <w:rsid w:val="003078E7"/>
    <w:rsid w:val="00307907"/>
    <w:rsid w:val="0030792D"/>
    <w:rsid w:val="00307A4E"/>
    <w:rsid w:val="00307BBA"/>
    <w:rsid w:val="00307DFE"/>
    <w:rsid w:val="0031026C"/>
    <w:rsid w:val="0031040F"/>
    <w:rsid w:val="00310514"/>
    <w:rsid w:val="0031089D"/>
    <w:rsid w:val="00310C13"/>
    <w:rsid w:val="00310C85"/>
    <w:rsid w:val="003110A5"/>
    <w:rsid w:val="00311186"/>
    <w:rsid w:val="00311524"/>
    <w:rsid w:val="0031154E"/>
    <w:rsid w:val="003115AF"/>
    <w:rsid w:val="003118A3"/>
    <w:rsid w:val="00311D04"/>
    <w:rsid w:val="00311D85"/>
    <w:rsid w:val="00312BB9"/>
    <w:rsid w:val="00312BC6"/>
    <w:rsid w:val="00312C45"/>
    <w:rsid w:val="00313221"/>
    <w:rsid w:val="00313560"/>
    <w:rsid w:val="003137A6"/>
    <w:rsid w:val="003138D6"/>
    <w:rsid w:val="00313C6C"/>
    <w:rsid w:val="003140CB"/>
    <w:rsid w:val="0031422A"/>
    <w:rsid w:val="00314748"/>
    <w:rsid w:val="00314813"/>
    <w:rsid w:val="00314BA1"/>
    <w:rsid w:val="00314D8E"/>
    <w:rsid w:val="003151F1"/>
    <w:rsid w:val="00315532"/>
    <w:rsid w:val="003158B1"/>
    <w:rsid w:val="00315B7A"/>
    <w:rsid w:val="003164F5"/>
    <w:rsid w:val="00316615"/>
    <w:rsid w:val="00316677"/>
    <w:rsid w:val="0031671A"/>
    <w:rsid w:val="00316B18"/>
    <w:rsid w:val="00316BB4"/>
    <w:rsid w:val="00316F35"/>
    <w:rsid w:val="00317152"/>
    <w:rsid w:val="0031718E"/>
    <w:rsid w:val="00317529"/>
    <w:rsid w:val="0031761A"/>
    <w:rsid w:val="003177D3"/>
    <w:rsid w:val="00317CE4"/>
    <w:rsid w:val="00317F0A"/>
    <w:rsid w:val="003208DF"/>
    <w:rsid w:val="00320A36"/>
    <w:rsid w:val="00320AE2"/>
    <w:rsid w:val="00320B0D"/>
    <w:rsid w:val="00320BBB"/>
    <w:rsid w:val="00320BC8"/>
    <w:rsid w:val="00320ED0"/>
    <w:rsid w:val="00321CE4"/>
    <w:rsid w:val="00321D9F"/>
    <w:rsid w:val="0032219D"/>
    <w:rsid w:val="0032229F"/>
    <w:rsid w:val="003226C8"/>
    <w:rsid w:val="00322728"/>
    <w:rsid w:val="00322BD1"/>
    <w:rsid w:val="00322E54"/>
    <w:rsid w:val="00322FCC"/>
    <w:rsid w:val="003230FA"/>
    <w:rsid w:val="003237DB"/>
    <w:rsid w:val="003239B9"/>
    <w:rsid w:val="003239F8"/>
    <w:rsid w:val="003249BC"/>
    <w:rsid w:val="00324D1C"/>
    <w:rsid w:val="0032538F"/>
    <w:rsid w:val="0032547B"/>
    <w:rsid w:val="003259D8"/>
    <w:rsid w:val="00325B5A"/>
    <w:rsid w:val="00325C0F"/>
    <w:rsid w:val="00325C3E"/>
    <w:rsid w:val="00325D08"/>
    <w:rsid w:val="00326384"/>
    <w:rsid w:val="00326397"/>
    <w:rsid w:val="00326AA6"/>
    <w:rsid w:val="00326BCF"/>
    <w:rsid w:val="00326E58"/>
    <w:rsid w:val="00327399"/>
    <w:rsid w:val="003274A4"/>
    <w:rsid w:val="00327750"/>
    <w:rsid w:val="00330078"/>
    <w:rsid w:val="00330668"/>
    <w:rsid w:val="00330AB3"/>
    <w:rsid w:val="00330ED4"/>
    <w:rsid w:val="0033147B"/>
    <w:rsid w:val="003314B5"/>
    <w:rsid w:val="00331AC8"/>
    <w:rsid w:val="00331B5A"/>
    <w:rsid w:val="00331F92"/>
    <w:rsid w:val="00332617"/>
    <w:rsid w:val="00332A2E"/>
    <w:rsid w:val="00332D9B"/>
    <w:rsid w:val="00332E58"/>
    <w:rsid w:val="0033324D"/>
    <w:rsid w:val="0033353D"/>
    <w:rsid w:val="00333635"/>
    <w:rsid w:val="00333727"/>
    <w:rsid w:val="00333B94"/>
    <w:rsid w:val="00333DF2"/>
    <w:rsid w:val="00333E1A"/>
    <w:rsid w:val="0033416E"/>
    <w:rsid w:val="0033494A"/>
    <w:rsid w:val="00334A1E"/>
    <w:rsid w:val="00334A45"/>
    <w:rsid w:val="00334AE5"/>
    <w:rsid w:val="00334EA4"/>
    <w:rsid w:val="00335041"/>
    <w:rsid w:val="0033576B"/>
    <w:rsid w:val="0033592B"/>
    <w:rsid w:val="0033595A"/>
    <w:rsid w:val="00335A49"/>
    <w:rsid w:val="00335B66"/>
    <w:rsid w:val="00335C92"/>
    <w:rsid w:val="00335D14"/>
    <w:rsid w:val="00335DC5"/>
    <w:rsid w:val="00335E96"/>
    <w:rsid w:val="00336264"/>
    <w:rsid w:val="0033634B"/>
    <w:rsid w:val="0033673E"/>
    <w:rsid w:val="00337242"/>
    <w:rsid w:val="003372A9"/>
    <w:rsid w:val="003378CC"/>
    <w:rsid w:val="00337F2D"/>
    <w:rsid w:val="00340311"/>
    <w:rsid w:val="00340B7E"/>
    <w:rsid w:val="0034132E"/>
    <w:rsid w:val="00341483"/>
    <w:rsid w:val="003415B6"/>
    <w:rsid w:val="00341616"/>
    <w:rsid w:val="00341D19"/>
    <w:rsid w:val="0034208D"/>
    <w:rsid w:val="003421E7"/>
    <w:rsid w:val="00342A93"/>
    <w:rsid w:val="00342B79"/>
    <w:rsid w:val="0034347C"/>
    <w:rsid w:val="003434AB"/>
    <w:rsid w:val="00343C04"/>
    <w:rsid w:val="00343F45"/>
    <w:rsid w:val="00344341"/>
    <w:rsid w:val="003451F4"/>
    <w:rsid w:val="00345305"/>
    <w:rsid w:val="00345399"/>
    <w:rsid w:val="003457B5"/>
    <w:rsid w:val="00345855"/>
    <w:rsid w:val="00345863"/>
    <w:rsid w:val="00346559"/>
    <w:rsid w:val="00346694"/>
    <w:rsid w:val="003466A5"/>
    <w:rsid w:val="003468E9"/>
    <w:rsid w:val="00346A9D"/>
    <w:rsid w:val="00346EED"/>
    <w:rsid w:val="00346F7B"/>
    <w:rsid w:val="003470D3"/>
    <w:rsid w:val="0034714A"/>
    <w:rsid w:val="00347381"/>
    <w:rsid w:val="00347829"/>
    <w:rsid w:val="0035038D"/>
    <w:rsid w:val="003503D6"/>
    <w:rsid w:val="0035052B"/>
    <w:rsid w:val="00350D08"/>
    <w:rsid w:val="00350D3B"/>
    <w:rsid w:val="003512A8"/>
    <w:rsid w:val="003526F3"/>
    <w:rsid w:val="00352DF0"/>
    <w:rsid w:val="003531A8"/>
    <w:rsid w:val="0035324C"/>
    <w:rsid w:val="0035353D"/>
    <w:rsid w:val="00353619"/>
    <w:rsid w:val="0035388C"/>
    <w:rsid w:val="00353D5A"/>
    <w:rsid w:val="00353DFF"/>
    <w:rsid w:val="00353E56"/>
    <w:rsid w:val="003540A8"/>
    <w:rsid w:val="0035498D"/>
    <w:rsid w:val="003549D6"/>
    <w:rsid w:val="00354C43"/>
    <w:rsid w:val="00354C7F"/>
    <w:rsid w:val="00354EC2"/>
    <w:rsid w:val="00354EE3"/>
    <w:rsid w:val="00354F4C"/>
    <w:rsid w:val="00355976"/>
    <w:rsid w:val="003559FE"/>
    <w:rsid w:val="00355A90"/>
    <w:rsid w:val="00355F73"/>
    <w:rsid w:val="00355F80"/>
    <w:rsid w:val="00356106"/>
    <w:rsid w:val="0035635A"/>
    <w:rsid w:val="00356840"/>
    <w:rsid w:val="003568F8"/>
    <w:rsid w:val="00356AFB"/>
    <w:rsid w:val="00356EFA"/>
    <w:rsid w:val="003570BD"/>
    <w:rsid w:val="003577C0"/>
    <w:rsid w:val="003601E1"/>
    <w:rsid w:val="00360287"/>
    <w:rsid w:val="0036045C"/>
    <w:rsid w:val="003604E9"/>
    <w:rsid w:val="003608DF"/>
    <w:rsid w:val="00360D91"/>
    <w:rsid w:val="00360E71"/>
    <w:rsid w:val="00360F61"/>
    <w:rsid w:val="003613DC"/>
    <w:rsid w:val="00361552"/>
    <w:rsid w:val="0036194D"/>
    <w:rsid w:val="00361BB4"/>
    <w:rsid w:val="00361BC6"/>
    <w:rsid w:val="00361D1E"/>
    <w:rsid w:val="00361DE5"/>
    <w:rsid w:val="00361E94"/>
    <w:rsid w:val="0036220D"/>
    <w:rsid w:val="0036292F"/>
    <w:rsid w:val="00362F41"/>
    <w:rsid w:val="00363089"/>
    <w:rsid w:val="00363502"/>
    <w:rsid w:val="00363B42"/>
    <w:rsid w:val="00363C25"/>
    <w:rsid w:val="00363E0E"/>
    <w:rsid w:val="0036439E"/>
    <w:rsid w:val="003645DC"/>
    <w:rsid w:val="00364943"/>
    <w:rsid w:val="00364AE8"/>
    <w:rsid w:val="00364DF8"/>
    <w:rsid w:val="00364ED0"/>
    <w:rsid w:val="0036543F"/>
    <w:rsid w:val="003659F9"/>
    <w:rsid w:val="00365C00"/>
    <w:rsid w:val="0036616E"/>
    <w:rsid w:val="00366444"/>
    <w:rsid w:val="003664A1"/>
    <w:rsid w:val="003665EE"/>
    <w:rsid w:val="0036661C"/>
    <w:rsid w:val="00366709"/>
    <w:rsid w:val="00366A5D"/>
    <w:rsid w:val="003676CB"/>
    <w:rsid w:val="003679B8"/>
    <w:rsid w:val="00367B74"/>
    <w:rsid w:val="00367C53"/>
    <w:rsid w:val="00367D01"/>
    <w:rsid w:val="00370699"/>
    <w:rsid w:val="003707F0"/>
    <w:rsid w:val="00370E75"/>
    <w:rsid w:val="003710AF"/>
    <w:rsid w:val="00371127"/>
    <w:rsid w:val="00371170"/>
    <w:rsid w:val="003711EF"/>
    <w:rsid w:val="00371310"/>
    <w:rsid w:val="00371A9D"/>
    <w:rsid w:val="00371D94"/>
    <w:rsid w:val="00371FBF"/>
    <w:rsid w:val="003724C7"/>
    <w:rsid w:val="00372974"/>
    <w:rsid w:val="00372C0A"/>
    <w:rsid w:val="00372C43"/>
    <w:rsid w:val="00372E08"/>
    <w:rsid w:val="003731BC"/>
    <w:rsid w:val="00373227"/>
    <w:rsid w:val="00373378"/>
    <w:rsid w:val="00373501"/>
    <w:rsid w:val="00373C5B"/>
    <w:rsid w:val="00373E54"/>
    <w:rsid w:val="00373E7C"/>
    <w:rsid w:val="00374350"/>
    <w:rsid w:val="0037477A"/>
    <w:rsid w:val="00374CFE"/>
    <w:rsid w:val="00375039"/>
    <w:rsid w:val="00375314"/>
    <w:rsid w:val="0037585F"/>
    <w:rsid w:val="00375A23"/>
    <w:rsid w:val="00376123"/>
    <w:rsid w:val="00376682"/>
    <w:rsid w:val="003767A5"/>
    <w:rsid w:val="00376A79"/>
    <w:rsid w:val="00376A9C"/>
    <w:rsid w:val="00376E53"/>
    <w:rsid w:val="003770F6"/>
    <w:rsid w:val="00377101"/>
    <w:rsid w:val="003773B0"/>
    <w:rsid w:val="00377A5B"/>
    <w:rsid w:val="00377B42"/>
    <w:rsid w:val="00377D93"/>
    <w:rsid w:val="003804EA"/>
    <w:rsid w:val="00380640"/>
    <w:rsid w:val="00380DC7"/>
    <w:rsid w:val="00380E06"/>
    <w:rsid w:val="00380FA0"/>
    <w:rsid w:val="003812E1"/>
    <w:rsid w:val="00381337"/>
    <w:rsid w:val="003814E0"/>
    <w:rsid w:val="00381DCB"/>
    <w:rsid w:val="0038244C"/>
    <w:rsid w:val="003824FB"/>
    <w:rsid w:val="00382846"/>
    <w:rsid w:val="003828C0"/>
    <w:rsid w:val="0038297D"/>
    <w:rsid w:val="00382A58"/>
    <w:rsid w:val="00382B76"/>
    <w:rsid w:val="00383498"/>
    <w:rsid w:val="0038354F"/>
    <w:rsid w:val="00383D53"/>
    <w:rsid w:val="00383E7D"/>
    <w:rsid w:val="00383ED3"/>
    <w:rsid w:val="00383F81"/>
    <w:rsid w:val="00383FB9"/>
    <w:rsid w:val="00384106"/>
    <w:rsid w:val="0038432F"/>
    <w:rsid w:val="00384554"/>
    <w:rsid w:val="0038492F"/>
    <w:rsid w:val="00384F83"/>
    <w:rsid w:val="003855D5"/>
    <w:rsid w:val="00385E8A"/>
    <w:rsid w:val="00386060"/>
    <w:rsid w:val="00386F02"/>
    <w:rsid w:val="00386F79"/>
    <w:rsid w:val="003872B6"/>
    <w:rsid w:val="003872C1"/>
    <w:rsid w:val="00387743"/>
    <w:rsid w:val="00387A23"/>
    <w:rsid w:val="00387A3A"/>
    <w:rsid w:val="00390042"/>
    <w:rsid w:val="00390351"/>
    <w:rsid w:val="0039059F"/>
    <w:rsid w:val="0039081B"/>
    <w:rsid w:val="00390F55"/>
    <w:rsid w:val="00390F88"/>
    <w:rsid w:val="00390FC4"/>
    <w:rsid w:val="0039109A"/>
    <w:rsid w:val="003911BA"/>
    <w:rsid w:val="00391792"/>
    <w:rsid w:val="00391797"/>
    <w:rsid w:val="00391ADF"/>
    <w:rsid w:val="003921FD"/>
    <w:rsid w:val="003929C3"/>
    <w:rsid w:val="00392B91"/>
    <w:rsid w:val="00393155"/>
    <w:rsid w:val="0039357A"/>
    <w:rsid w:val="00393665"/>
    <w:rsid w:val="003939C8"/>
    <w:rsid w:val="00393A53"/>
    <w:rsid w:val="00393D4F"/>
    <w:rsid w:val="00393E62"/>
    <w:rsid w:val="00393F45"/>
    <w:rsid w:val="00394707"/>
    <w:rsid w:val="003948B2"/>
    <w:rsid w:val="00394A26"/>
    <w:rsid w:val="00394EA9"/>
    <w:rsid w:val="00395171"/>
    <w:rsid w:val="003959B1"/>
    <w:rsid w:val="00395A28"/>
    <w:rsid w:val="003961FB"/>
    <w:rsid w:val="0039631B"/>
    <w:rsid w:val="0039660E"/>
    <w:rsid w:val="00396B2A"/>
    <w:rsid w:val="00396B5F"/>
    <w:rsid w:val="00396F64"/>
    <w:rsid w:val="0039752E"/>
    <w:rsid w:val="00397549"/>
    <w:rsid w:val="00397657"/>
    <w:rsid w:val="003A006D"/>
    <w:rsid w:val="003A0434"/>
    <w:rsid w:val="003A0AC3"/>
    <w:rsid w:val="003A0BFE"/>
    <w:rsid w:val="003A1166"/>
    <w:rsid w:val="003A17F6"/>
    <w:rsid w:val="003A1C2D"/>
    <w:rsid w:val="003A2145"/>
    <w:rsid w:val="003A2177"/>
    <w:rsid w:val="003A241C"/>
    <w:rsid w:val="003A270F"/>
    <w:rsid w:val="003A2C76"/>
    <w:rsid w:val="003A2F50"/>
    <w:rsid w:val="003A33FA"/>
    <w:rsid w:val="003A34BF"/>
    <w:rsid w:val="003A3E48"/>
    <w:rsid w:val="003A40F0"/>
    <w:rsid w:val="003A45C1"/>
    <w:rsid w:val="003A4DDE"/>
    <w:rsid w:val="003A4E20"/>
    <w:rsid w:val="003A501C"/>
    <w:rsid w:val="003A536E"/>
    <w:rsid w:val="003A5378"/>
    <w:rsid w:val="003A5521"/>
    <w:rsid w:val="003A55E7"/>
    <w:rsid w:val="003A584D"/>
    <w:rsid w:val="003A5A5E"/>
    <w:rsid w:val="003A5B82"/>
    <w:rsid w:val="003A5ED1"/>
    <w:rsid w:val="003A5FA9"/>
    <w:rsid w:val="003A60F4"/>
    <w:rsid w:val="003A655E"/>
    <w:rsid w:val="003A6772"/>
    <w:rsid w:val="003A6882"/>
    <w:rsid w:val="003A6C32"/>
    <w:rsid w:val="003A6E31"/>
    <w:rsid w:val="003A7098"/>
    <w:rsid w:val="003A7815"/>
    <w:rsid w:val="003B007E"/>
    <w:rsid w:val="003B00A3"/>
    <w:rsid w:val="003B0CFA"/>
    <w:rsid w:val="003B0D02"/>
    <w:rsid w:val="003B0F61"/>
    <w:rsid w:val="003B0F8B"/>
    <w:rsid w:val="003B1079"/>
    <w:rsid w:val="003B112D"/>
    <w:rsid w:val="003B117C"/>
    <w:rsid w:val="003B1274"/>
    <w:rsid w:val="003B16A7"/>
    <w:rsid w:val="003B19C3"/>
    <w:rsid w:val="003B1D6F"/>
    <w:rsid w:val="003B1E50"/>
    <w:rsid w:val="003B1FA7"/>
    <w:rsid w:val="003B2183"/>
    <w:rsid w:val="003B236A"/>
    <w:rsid w:val="003B23B0"/>
    <w:rsid w:val="003B2569"/>
    <w:rsid w:val="003B2875"/>
    <w:rsid w:val="003B317C"/>
    <w:rsid w:val="003B34F2"/>
    <w:rsid w:val="003B3669"/>
    <w:rsid w:val="003B37F3"/>
    <w:rsid w:val="003B387D"/>
    <w:rsid w:val="003B42BC"/>
    <w:rsid w:val="003B4586"/>
    <w:rsid w:val="003B4AED"/>
    <w:rsid w:val="003B540A"/>
    <w:rsid w:val="003B58CF"/>
    <w:rsid w:val="003B5A96"/>
    <w:rsid w:val="003B5B12"/>
    <w:rsid w:val="003B5EB2"/>
    <w:rsid w:val="003B6214"/>
    <w:rsid w:val="003B6977"/>
    <w:rsid w:val="003B6A11"/>
    <w:rsid w:val="003B6C95"/>
    <w:rsid w:val="003B7089"/>
    <w:rsid w:val="003B7146"/>
    <w:rsid w:val="003B7345"/>
    <w:rsid w:val="003B79C5"/>
    <w:rsid w:val="003B7B35"/>
    <w:rsid w:val="003B7F57"/>
    <w:rsid w:val="003C0029"/>
    <w:rsid w:val="003C03A6"/>
    <w:rsid w:val="003C0472"/>
    <w:rsid w:val="003C04C4"/>
    <w:rsid w:val="003C06C6"/>
    <w:rsid w:val="003C0BEF"/>
    <w:rsid w:val="003C0DFD"/>
    <w:rsid w:val="003C0E80"/>
    <w:rsid w:val="003C0FEE"/>
    <w:rsid w:val="003C1124"/>
    <w:rsid w:val="003C11F4"/>
    <w:rsid w:val="003C12AB"/>
    <w:rsid w:val="003C1F0B"/>
    <w:rsid w:val="003C20A2"/>
    <w:rsid w:val="003C241F"/>
    <w:rsid w:val="003C25EE"/>
    <w:rsid w:val="003C26D7"/>
    <w:rsid w:val="003C32B7"/>
    <w:rsid w:val="003C3426"/>
    <w:rsid w:val="003C3567"/>
    <w:rsid w:val="003C364D"/>
    <w:rsid w:val="003C3A9A"/>
    <w:rsid w:val="003C46D3"/>
    <w:rsid w:val="003C4A96"/>
    <w:rsid w:val="003C532B"/>
    <w:rsid w:val="003C5833"/>
    <w:rsid w:val="003C61DE"/>
    <w:rsid w:val="003C6237"/>
    <w:rsid w:val="003C63EE"/>
    <w:rsid w:val="003C6403"/>
    <w:rsid w:val="003C657F"/>
    <w:rsid w:val="003C6662"/>
    <w:rsid w:val="003C688E"/>
    <w:rsid w:val="003C70A5"/>
    <w:rsid w:val="003C72ED"/>
    <w:rsid w:val="003C748A"/>
    <w:rsid w:val="003C7F67"/>
    <w:rsid w:val="003C7F80"/>
    <w:rsid w:val="003C7FB1"/>
    <w:rsid w:val="003D0E0E"/>
    <w:rsid w:val="003D0FCC"/>
    <w:rsid w:val="003D10AB"/>
    <w:rsid w:val="003D1473"/>
    <w:rsid w:val="003D1FE4"/>
    <w:rsid w:val="003D20C9"/>
    <w:rsid w:val="003D2C95"/>
    <w:rsid w:val="003D2E29"/>
    <w:rsid w:val="003D2FED"/>
    <w:rsid w:val="003D320C"/>
    <w:rsid w:val="003D3269"/>
    <w:rsid w:val="003D3799"/>
    <w:rsid w:val="003D37F9"/>
    <w:rsid w:val="003D38F8"/>
    <w:rsid w:val="003D4100"/>
    <w:rsid w:val="003D41D3"/>
    <w:rsid w:val="003D433D"/>
    <w:rsid w:val="003D4682"/>
    <w:rsid w:val="003D4902"/>
    <w:rsid w:val="003D49DA"/>
    <w:rsid w:val="003D4DE9"/>
    <w:rsid w:val="003D585C"/>
    <w:rsid w:val="003D590C"/>
    <w:rsid w:val="003D6732"/>
    <w:rsid w:val="003D6934"/>
    <w:rsid w:val="003D7214"/>
    <w:rsid w:val="003D7712"/>
    <w:rsid w:val="003D77DF"/>
    <w:rsid w:val="003D78D6"/>
    <w:rsid w:val="003D7B11"/>
    <w:rsid w:val="003D7C01"/>
    <w:rsid w:val="003D7F2D"/>
    <w:rsid w:val="003E04F6"/>
    <w:rsid w:val="003E06F0"/>
    <w:rsid w:val="003E0801"/>
    <w:rsid w:val="003E0A9C"/>
    <w:rsid w:val="003E0C4C"/>
    <w:rsid w:val="003E0C4D"/>
    <w:rsid w:val="003E0E1E"/>
    <w:rsid w:val="003E11E3"/>
    <w:rsid w:val="003E13E2"/>
    <w:rsid w:val="003E14E8"/>
    <w:rsid w:val="003E188F"/>
    <w:rsid w:val="003E1B74"/>
    <w:rsid w:val="003E1D1B"/>
    <w:rsid w:val="003E20DA"/>
    <w:rsid w:val="003E21CB"/>
    <w:rsid w:val="003E272C"/>
    <w:rsid w:val="003E2FB8"/>
    <w:rsid w:val="003E317C"/>
    <w:rsid w:val="003E3505"/>
    <w:rsid w:val="003E35B1"/>
    <w:rsid w:val="003E365D"/>
    <w:rsid w:val="003E3A3F"/>
    <w:rsid w:val="003E4025"/>
    <w:rsid w:val="003E424F"/>
    <w:rsid w:val="003E4D83"/>
    <w:rsid w:val="003E4DD4"/>
    <w:rsid w:val="003E5112"/>
    <w:rsid w:val="003E5261"/>
    <w:rsid w:val="003E53FD"/>
    <w:rsid w:val="003E615A"/>
    <w:rsid w:val="003E6893"/>
    <w:rsid w:val="003E6944"/>
    <w:rsid w:val="003E6AA6"/>
    <w:rsid w:val="003E6B02"/>
    <w:rsid w:val="003E6B71"/>
    <w:rsid w:val="003E6EEE"/>
    <w:rsid w:val="003E6F5B"/>
    <w:rsid w:val="003E76A0"/>
    <w:rsid w:val="003E76FE"/>
    <w:rsid w:val="003E7AEF"/>
    <w:rsid w:val="003E7CBB"/>
    <w:rsid w:val="003F00F5"/>
    <w:rsid w:val="003F0321"/>
    <w:rsid w:val="003F043F"/>
    <w:rsid w:val="003F0915"/>
    <w:rsid w:val="003F0CCD"/>
    <w:rsid w:val="003F10AD"/>
    <w:rsid w:val="003F1FCE"/>
    <w:rsid w:val="003F2637"/>
    <w:rsid w:val="003F2897"/>
    <w:rsid w:val="003F28AC"/>
    <w:rsid w:val="003F2987"/>
    <w:rsid w:val="003F2D86"/>
    <w:rsid w:val="003F3393"/>
    <w:rsid w:val="003F39C6"/>
    <w:rsid w:val="003F3B62"/>
    <w:rsid w:val="003F3E1D"/>
    <w:rsid w:val="003F4BB0"/>
    <w:rsid w:val="003F5879"/>
    <w:rsid w:val="003F5B64"/>
    <w:rsid w:val="003F5C00"/>
    <w:rsid w:val="003F5C8B"/>
    <w:rsid w:val="003F619F"/>
    <w:rsid w:val="003F648B"/>
    <w:rsid w:val="003F6621"/>
    <w:rsid w:val="003F6A09"/>
    <w:rsid w:val="003F6B3D"/>
    <w:rsid w:val="003F73E9"/>
    <w:rsid w:val="003F777D"/>
    <w:rsid w:val="003F7912"/>
    <w:rsid w:val="003F7AEE"/>
    <w:rsid w:val="003F7BE7"/>
    <w:rsid w:val="004002B6"/>
    <w:rsid w:val="004008CF"/>
    <w:rsid w:val="00400AFD"/>
    <w:rsid w:val="00400EF9"/>
    <w:rsid w:val="00401049"/>
    <w:rsid w:val="00401403"/>
    <w:rsid w:val="00401799"/>
    <w:rsid w:val="00401BD2"/>
    <w:rsid w:val="00401C26"/>
    <w:rsid w:val="00401D9F"/>
    <w:rsid w:val="00402993"/>
    <w:rsid w:val="00402A76"/>
    <w:rsid w:val="00403398"/>
    <w:rsid w:val="00403414"/>
    <w:rsid w:val="0040372C"/>
    <w:rsid w:val="00403A0C"/>
    <w:rsid w:val="00403DCA"/>
    <w:rsid w:val="00404015"/>
    <w:rsid w:val="00404659"/>
    <w:rsid w:val="00404895"/>
    <w:rsid w:val="00404935"/>
    <w:rsid w:val="00404ACC"/>
    <w:rsid w:val="00404BE2"/>
    <w:rsid w:val="00404C53"/>
    <w:rsid w:val="00404E29"/>
    <w:rsid w:val="0040500F"/>
    <w:rsid w:val="004050E3"/>
    <w:rsid w:val="004050E7"/>
    <w:rsid w:val="004051FA"/>
    <w:rsid w:val="00405302"/>
    <w:rsid w:val="00405455"/>
    <w:rsid w:val="00405807"/>
    <w:rsid w:val="004059E6"/>
    <w:rsid w:val="00405B5D"/>
    <w:rsid w:val="00405FEC"/>
    <w:rsid w:val="004063A3"/>
    <w:rsid w:val="004066C2"/>
    <w:rsid w:val="004067D5"/>
    <w:rsid w:val="0040689A"/>
    <w:rsid w:val="00406CFB"/>
    <w:rsid w:val="00407882"/>
    <w:rsid w:val="0040798D"/>
    <w:rsid w:val="00407A43"/>
    <w:rsid w:val="00407C26"/>
    <w:rsid w:val="00407C5A"/>
    <w:rsid w:val="00407DF5"/>
    <w:rsid w:val="00411304"/>
    <w:rsid w:val="00411E12"/>
    <w:rsid w:val="004129DD"/>
    <w:rsid w:val="00412F25"/>
    <w:rsid w:val="00413A63"/>
    <w:rsid w:val="00413B7C"/>
    <w:rsid w:val="00413DDE"/>
    <w:rsid w:val="00413F7F"/>
    <w:rsid w:val="00414473"/>
    <w:rsid w:val="004145D5"/>
    <w:rsid w:val="00414B6B"/>
    <w:rsid w:val="00414D40"/>
    <w:rsid w:val="00414F19"/>
    <w:rsid w:val="00414FCB"/>
    <w:rsid w:val="0041520C"/>
    <w:rsid w:val="00415A8B"/>
    <w:rsid w:val="004163C0"/>
    <w:rsid w:val="00416886"/>
    <w:rsid w:val="00417392"/>
    <w:rsid w:val="00417BED"/>
    <w:rsid w:val="00417E06"/>
    <w:rsid w:val="00417F54"/>
    <w:rsid w:val="0042041B"/>
    <w:rsid w:val="00420669"/>
    <w:rsid w:val="004206D9"/>
    <w:rsid w:val="00420971"/>
    <w:rsid w:val="00420F1E"/>
    <w:rsid w:val="00421080"/>
    <w:rsid w:val="004215DC"/>
    <w:rsid w:val="004222B2"/>
    <w:rsid w:val="004224E5"/>
    <w:rsid w:val="00422866"/>
    <w:rsid w:val="004228F0"/>
    <w:rsid w:val="00422DCD"/>
    <w:rsid w:val="00422EFF"/>
    <w:rsid w:val="00423086"/>
    <w:rsid w:val="0042356D"/>
    <w:rsid w:val="00423619"/>
    <w:rsid w:val="00423689"/>
    <w:rsid w:val="0042389E"/>
    <w:rsid w:val="00423B03"/>
    <w:rsid w:val="00423E4A"/>
    <w:rsid w:val="00423F23"/>
    <w:rsid w:val="00424297"/>
    <w:rsid w:val="00424416"/>
    <w:rsid w:val="00424968"/>
    <w:rsid w:val="00424A08"/>
    <w:rsid w:val="00424CA4"/>
    <w:rsid w:val="00424F6A"/>
    <w:rsid w:val="00425060"/>
    <w:rsid w:val="0042535A"/>
    <w:rsid w:val="00425A50"/>
    <w:rsid w:val="00425C21"/>
    <w:rsid w:val="00426142"/>
    <w:rsid w:val="0042658C"/>
    <w:rsid w:val="00426BFB"/>
    <w:rsid w:val="00426C3F"/>
    <w:rsid w:val="00426C77"/>
    <w:rsid w:val="00426CBB"/>
    <w:rsid w:val="0042701F"/>
    <w:rsid w:val="00427251"/>
    <w:rsid w:val="004275EB"/>
    <w:rsid w:val="00427766"/>
    <w:rsid w:val="00427823"/>
    <w:rsid w:val="00427AD8"/>
    <w:rsid w:val="00427AEF"/>
    <w:rsid w:val="00427B1A"/>
    <w:rsid w:val="00427E11"/>
    <w:rsid w:val="00427E8C"/>
    <w:rsid w:val="00430058"/>
    <w:rsid w:val="00430208"/>
    <w:rsid w:val="00430216"/>
    <w:rsid w:val="004302CF"/>
    <w:rsid w:val="004308DE"/>
    <w:rsid w:val="00430AF4"/>
    <w:rsid w:val="00430C49"/>
    <w:rsid w:val="004310A8"/>
    <w:rsid w:val="00431239"/>
    <w:rsid w:val="004312CD"/>
    <w:rsid w:val="00431347"/>
    <w:rsid w:val="0043138C"/>
    <w:rsid w:val="004313A8"/>
    <w:rsid w:val="0043156B"/>
    <w:rsid w:val="004315CD"/>
    <w:rsid w:val="00431792"/>
    <w:rsid w:val="00431884"/>
    <w:rsid w:val="004319FD"/>
    <w:rsid w:val="00431B46"/>
    <w:rsid w:val="00431E83"/>
    <w:rsid w:val="00431EA4"/>
    <w:rsid w:val="0043212A"/>
    <w:rsid w:val="00432698"/>
    <w:rsid w:val="004327C2"/>
    <w:rsid w:val="00432BF7"/>
    <w:rsid w:val="004331DA"/>
    <w:rsid w:val="004334BE"/>
    <w:rsid w:val="00433915"/>
    <w:rsid w:val="00433AAE"/>
    <w:rsid w:val="004342FF"/>
    <w:rsid w:val="00434339"/>
    <w:rsid w:val="0043475E"/>
    <w:rsid w:val="00434B42"/>
    <w:rsid w:val="00434BD2"/>
    <w:rsid w:val="00434E54"/>
    <w:rsid w:val="0043504C"/>
    <w:rsid w:val="00435AE2"/>
    <w:rsid w:val="00435D68"/>
    <w:rsid w:val="00435D89"/>
    <w:rsid w:val="00435FBA"/>
    <w:rsid w:val="00436682"/>
    <w:rsid w:val="00436855"/>
    <w:rsid w:val="004369B5"/>
    <w:rsid w:val="00436A22"/>
    <w:rsid w:val="00436C97"/>
    <w:rsid w:val="00436E20"/>
    <w:rsid w:val="00437387"/>
    <w:rsid w:val="00437476"/>
    <w:rsid w:val="00437A72"/>
    <w:rsid w:val="00437B42"/>
    <w:rsid w:val="00437CB6"/>
    <w:rsid w:val="00437E4E"/>
    <w:rsid w:val="00437F04"/>
    <w:rsid w:val="004406B2"/>
    <w:rsid w:val="00440953"/>
    <w:rsid w:val="004409A7"/>
    <w:rsid w:val="00440B83"/>
    <w:rsid w:val="00440B96"/>
    <w:rsid w:val="00440D5F"/>
    <w:rsid w:val="0044138C"/>
    <w:rsid w:val="0044176D"/>
    <w:rsid w:val="00441814"/>
    <w:rsid w:val="00441BF1"/>
    <w:rsid w:val="00441DF1"/>
    <w:rsid w:val="00442382"/>
    <w:rsid w:val="00442865"/>
    <w:rsid w:val="00442B3E"/>
    <w:rsid w:val="00442BC9"/>
    <w:rsid w:val="00442BF5"/>
    <w:rsid w:val="0044304F"/>
    <w:rsid w:val="004430C2"/>
    <w:rsid w:val="004433DF"/>
    <w:rsid w:val="00443A1A"/>
    <w:rsid w:val="00443BB8"/>
    <w:rsid w:val="00443FB0"/>
    <w:rsid w:val="0044404C"/>
    <w:rsid w:val="00444258"/>
    <w:rsid w:val="00444543"/>
    <w:rsid w:val="00444687"/>
    <w:rsid w:val="00444E83"/>
    <w:rsid w:val="00444F41"/>
    <w:rsid w:val="004451D5"/>
    <w:rsid w:val="004452BE"/>
    <w:rsid w:val="00445482"/>
    <w:rsid w:val="00445EFF"/>
    <w:rsid w:val="00445F57"/>
    <w:rsid w:val="004460F7"/>
    <w:rsid w:val="0044645E"/>
    <w:rsid w:val="00446501"/>
    <w:rsid w:val="00446690"/>
    <w:rsid w:val="00446698"/>
    <w:rsid w:val="004469B0"/>
    <w:rsid w:val="00446E2C"/>
    <w:rsid w:val="00446E8C"/>
    <w:rsid w:val="0044711D"/>
    <w:rsid w:val="00447201"/>
    <w:rsid w:val="00447473"/>
    <w:rsid w:val="00447EB8"/>
    <w:rsid w:val="0045026D"/>
    <w:rsid w:val="00450384"/>
    <w:rsid w:val="00450426"/>
    <w:rsid w:val="0045043E"/>
    <w:rsid w:val="0045051C"/>
    <w:rsid w:val="0045100B"/>
    <w:rsid w:val="00451216"/>
    <w:rsid w:val="00451985"/>
    <w:rsid w:val="0045200F"/>
    <w:rsid w:val="00452490"/>
    <w:rsid w:val="00452571"/>
    <w:rsid w:val="0045263B"/>
    <w:rsid w:val="00452BE2"/>
    <w:rsid w:val="00453470"/>
    <w:rsid w:val="00453C39"/>
    <w:rsid w:val="00453C8D"/>
    <w:rsid w:val="00453DD9"/>
    <w:rsid w:val="00453EFE"/>
    <w:rsid w:val="00454003"/>
    <w:rsid w:val="00454231"/>
    <w:rsid w:val="00454625"/>
    <w:rsid w:val="0045489E"/>
    <w:rsid w:val="00454A95"/>
    <w:rsid w:val="00454B5D"/>
    <w:rsid w:val="00454CC3"/>
    <w:rsid w:val="00454D74"/>
    <w:rsid w:val="00454D75"/>
    <w:rsid w:val="00454EB7"/>
    <w:rsid w:val="004553DA"/>
    <w:rsid w:val="00455762"/>
    <w:rsid w:val="004559B2"/>
    <w:rsid w:val="00455BAC"/>
    <w:rsid w:val="00455D4A"/>
    <w:rsid w:val="0045625C"/>
    <w:rsid w:val="0045628D"/>
    <w:rsid w:val="00456291"/>
    <w:rsid w:val="004564D1"/>
    <w:rsid w:val="00456782"/>
    <w:rsid w:val="00456BE9"/>
    <w:rsid w:val="00456FDF"/>
    <w:rsid w:val="00457234"/>
    <w:rsid w:val="0045789A"/>
    <w:rsid w:val="004579B1"/>
    <w:rsid w:val="00457A30"/>
    <w:rsid w:val="00457DCC"/>
    <w:rsid w:val="004601B1"/>
    <w:rsid w:val="004605A8"/>
    <w:rsid w:val="004606E0"/>
    <w:rsid w:val="00460B24"/>
    <w:rsid w:val="00460C7F"/>
    <w:rsid w:val="004611AF"/>
    <w:rsid w:val="004614F3"/>
    <w:rsid w:val="004617BD"/>
    <w:rsid w:val="00461D95"/>
    <w:rsid w:val="004621B2"/>
    <w:rsid w:val="00462833"/>
    <w:rsid w:val="00462904"/>
    <w:rsid w:val="00462C0A"/>
    <w:rsid w:val="0046311B"/>
    <w:rsid w:val="0046353A"/>
    <w:rsid w:val="00463815"/>
    <w:rsid w:val="00463895"/>
    <w:rsid w:val="00463B7F"/>
    <w:rsid w:val="0046415B"/>
    <w:rsid w:val="00464A49"/>
    <w:rsid w:val="00464AF8"/>
    <w:rsid w:val="00464B4E"/>
    <w:rsid w:val="00464F84"/>
    <w:rsid w:val="00464F90"/>
    <w:rsid w:val="00464FA0"/>
    <w:rsid w:val="004651EE"/>
    <w:rsid w:val="00465429"/>
    <w:rsid w:val="00465B63"/>
    <w:rsid w:val="00465D9F"/>
    <w:rsid w:val="004662A2"/>
    <w:rsid w:val="00466665"/>
    <w:rsid w:val="00466A2B"/>
    <w:rsid w:val="00466B57"/>
    <w:rsid w:val="00466BD4"/>
    <w:rsid w:val="004670D6"/>
    <w:rsid w:val="004672EE"/>
    <w:rsid w:val="0046794B"/>
    <w:rsid w:val="00467F99"/>
    <w:rsid w:val="004701DE"/>
    <w:rsid w:val="00470378"/>
    <w:rsid w:val="00470390"/>
    <w:rsid w:val="00470646"/>
    <w:rsid w:val="0047067E"/>
    <w:rsid w:val="004709FA"/>
    <w:rsid w:val="00470A51"/>
    <w:rsid w:val="00470D92"/>
    <w:rsid w:val="00470E57"/>
    <w:rsid w:val="00471139"/>
    <w:rsid w:val="004716E1"/>
    <w:rsid w:val="00471A78"/>
    <w:rsid w:val="00471AE9"/>
    <w:rsid w:val="00471C42"/>
    <w:rsid w:val="004720CE"/>
    <w:rsid w:val="004721C9"/>
    <w:rsid w:val="004724B6"/>
    <w:rsid w:val="00472657"/>
    <w:rsid w:val="0047283A"/>
    <w:rsid w:val="0047288F"/>
    <w:rsid w:val="00472C07"/>
    <w:rsid w:val="00472F76"/>
    <w:rsid w:val="00472FC8"/>
    <w:rsid w:val="00473027"/>
    <w:rsid w:val="00473751"/>
    <w:rsid w:val="00473B76"/>
    <w:rsid w:val="00473D27"/>
    <w:rsid w:val="00473DD6"/>
    <w:rsid w:val="004741D8"/>
    <w:rsid w:val="004745BF"/>
    <w:rsid w:val="0047467C"/>
    <w:rsid w:val="00474C8A"/>
    <w:rsid w:val="0047508D"/>
    <w:rsid w:val="0047525A"/>
    <w:rsid w:val="00475524"/>
    <w:rsid w:val="004756EF"/>
    <w:rsid w:val="00475AFA"/>
    <w:rsid w:val="00475FFA"/>
    <w:rsid w:val="0047618E"/>
    <w:rsid w:val="004764BC"/>
    <w:rsid w:val="004765EA"/>
    <w:rsid w:val="0047672E"/>
    <w:rsid w:val="00476A75"/>
    <w:rsid w:val="00476BA7"/>
    <w:rsid w:val="00476D59"/>
    <w:rsid w:val="00477106"/>
    <w:rsid w:val="0047714F"/>
    <w:rsid w:val="00477335"/>
    <w:rsid w:val="00477657"/>
    <w:rsid w:val="004777B4"/>
    <w:rsid w:val="00477886"/>
    <w:rsid w:val="00477A48"/>
    <w:rsid w:val="004804D5"/>
    <w:rsid w:val="00480A71"/>
    <w:rsid w:val="00480AA7"/>
    <w:rsid w:val="004814E2"/>
    <w:rsid w:val="00481678"/>
    <w:rsid w:val="004821A6"/>
    <w:rsid w:val="00482322"/>
    <w:rsid w:val="00482711"/>
    <w:rsid w:val="00482778"/>
    <w:rsid w:val="00482D64"/>
    <w:rsid w:val="0048360A"/>
    <w:rsid w:val="004836A7"/>
    <w:rsid w:val="00484209"/>
    <w:rsid w:val="00484231"/>
    <w:rsid w:val="004842EA"/>
    <w:rsid w:val="00484389"/>
    <w:rsid w:val="00484405"/>
    <w:rsid w:val="004848A0"/>
    <w:rsid w:val="00484CC3"/>
    <w:rsid w:val="00484F1C"/>
    <w:rsid w:val="004852DD"/>
    <w:rsid w:val="00485619"/>
    <w:rsid w:val="00485A98"/>
    <w:rsid w:val="00485CC4"/>
    <w:rsid w:val="00485D77"/>
    <w:rsid w:val="00485F10"/>
    <w:rsid w:val="00485FA4"/>
    <w:rsid w:val="0048609D"/>
    <w:rsid w:val="00486689"/>
    <w:rsid w:val="00486727"/>
    <w:rsid w:val="0048683A"/>
    <w:rsid w:val="0048683E"/>
    <w:rsid w:val="00486854"/>
    <w:rsid w:val="00486930"/>
    <w:rsid w:val="00486AA6"/>
    <w:rsid w:val="0048713A"/>
    <w:rsid w:val="00487155"/>
    <w:rsid w:val="004871B7"/>
    <w:rsid w:val="004877F2"/>
    <w:rsid w:val="00487A50"/>
    <w:rsid w:val="004900AD"/>
    <w:rsid w:val="004901A8"/>
    <w:rsid w:val="004907BA"/>
    <w:rsid w:val="0049087D"/>
    <w:rsid w:val="00490C0C"/>
    <w:rsid w:val="00490DB6"/>
    <w:rsid w:val="0049136A"/>
    <w:rsid w:val="00491453"/>
    <w:rsid w:val="004915A8"/>
    <w:rsid w:val="0049191C"/>
    <w:rsid w:val="00491D33"/>
    <w:rsid w:val="00491D64"/>
    <w:rsid w:val="004920E9"/>
    <w:rsid w:val="00492A56"/>
    <w:rsid w:val="00492E4C"/>
    <w:rsid w:val="00493347"/>
    <w:rsid w:val="004933FB"/>
    <w:rsid w:val="0049345B"/>
    <w:rsid w:val="00493540"/>
    <w:rsid w:val="00493803"/>
    <w:rsid w:val="00493C80"/>
    <w:rsid w:val="0049452F"/>
    <w:rsid w:val="00494B3C"/>
    <w:rsid w:val="00494C1E"/>
    <w:rsid w:val="0049545F"/>
    <w:rsid w:val="00495552"/>
    <w:rsid w:val="0049562A"/>
    <w:rsid w:val="00495D9D"/>
    <w:rsid w:val="00496220"/>
    <w:rsid w:val="00496381"/>
    <w:rsid w:val="004968DF"/>
    <w:rsid w:val="004974C1"/>
    <w:rsid w:val="00497854"/>
    <w:rsid w:val="00497A23"/>
    <w:rsid w:val="00497A24"/>
    <w:rsid w:val="004A026F"/>
    <w:rsid w:val="004A035F"/>
    <w:rsid w:val="004A0387"/>
    <w:rsid w:val="004A04E0"/>
    <w:rsid w:val="004A063B"/>
    <w:rsid w:val="004A0B6D"/>
    <w:rsid w:val="004A0E46"/>
    <w:rsid w:val="004A0F47"/>
    <w:rsid w:val="004A1236"/>
    <w:rsid w:val="004A1343"/>
    <w:rsid w:val="004A1427"/>
    <w:rsid w:val="004A2073"/>
    <w:rsid w:val="004A2287"/>
    <w:rsid w:val="004A24C6"/>
    <w:rsid w:val="004A27EF"/>
    <w:rsid w:val="004A2AC6"/>
    <w:rsid w:val="004A2AD6"/>
    <w:rsid w:val="004A3352"/>
    <w:rsid w:val="004A416E"/>
    <w:rsid w:val="004A41EB"/>
    <w:rsid w:val="004A4238"/>
    <w:rsid w:val="004A4680"/>
    <w:rsid w:val="004A488F"/>
    <w:rsid w:val="004A48BC"/>
    <w:rsid w:val="004A49AF"/>
    <w:rsid w:val="004A4A70"/>
    <w:rsid w:val="004A55ED"/>
    <w:rsid w:val="004A5A13"/>
    <w:rsid w:val="004A5BDE"/>
    <w:rsid w:val="004A5D7F"/>
    <w:rsid w:val="004A5EB6"/>
    <w:rsid w:val="004A5EDF"/>
    <w:rsid w:val="004A6375"/>
    <w:rsid w:val="004A64D4"/>
    <w:rsid w:val="004A650C"/>
    <w:rsid w:val="004A6565"/>
    <w:rsid w:val="004A6798"/>
    <w:rsid w:val="004A6ABA"/>
    <w:rsid w:val="004A6C4F"/>
    <w:rsid w:val="004A6C8F"/>
    <w:rsid w:val="004A6D51"/>
    <w:rsid w:val="004A76C5"/>
    <w:rsid w:val="004A7BBB"/>
    <w:rsid w:val="004A7CA6"/>
    <w:rsid w:val="004A7E9A"/>
    <w:rsid w:val="004A7FFA"/>
    <w:rsid w:val="004B001A"/>
    <w:rsid w:val="004B00E3"/>
    <w:rsid w:val="004B03CB"/>
    <w:rsid w:val="004B05F6"/>
    <w:rsid w:val="004B092A"/>
    <w:rsid w:val="004B126D"/>
    <w:rsid w:val="004B1614"/>
    <w:rsid w:val="004B1FFD"/>
    <w:rsid w:val="004B2670"/>
    <w:rsid w:val="004B2BB7"/>
    <w:rsid w:val="004B2D5E"/>
    <w:rsid w:val="004B3237"/>
    <w:rsid w:val="004B3295"/>
    <w:rsid w:val="004B357E"/>
    <w:rsid w:val="004B3BB5"/>
    <w:rsid w:val="004B3DAF"/>
    <w:rsid w:val="004B3F79"/>
    <w:rsid w:val="004B417B"/>
    <w:rsid w:val="004B4458"/>
    <w:rsid w:val="004B468C"/>
    <w:rsid w:val="004B4811"/>
    <w:rsid w:val="004B48CD"/>
    <w:rsid w:val="004B4B9B"/>
    <w:rsid w:val="004B505E"/>
    <w:rsid w:val="004B5198"/>
    <w:rsid w:val="004B5470"/>
    <w:rsid w:val="004B550B"/>
    <w:rsid w:val="004B551E"/>
    <w:rsid w:val="004B55EF"/>
    <w:rsid w:val="004B589C"/>
    <w:rsid w:val="004B59AD"/>
    <w:rsid w:val="004B6102"/>
    <w:rsid w:val="004B6335"/>
    <w:rsid w:val="004B698D"/>
    <w:rsid w:val="004B6F60"/>
    <w:rsid w:val="004B7AF7"/>
    <w:rsid w:val="004B7DFC"/>
    <w:rsid w:val="004B7E4C"/>
    <w:rsid w:val="004C0393"/>
    <w:rsid w:val="004C09F6"/>
    <w:rsid w:val="004C0ABF"/>
    <w:rsid w:val="004C0E27"/>
    <w:rsid w:val="004C0FA1"/>
    <w:rsid w:val="004C1185"/>
    <w:rsid w:val="004C1295"/>
    <w:rsid w:val="004C12F0"/>
    <w:rsid w:val="004C159A"/>
    <w:rsid w:val="004C170B"/>
    <w:rsid w:val="004C19A6"/>
    <w:rsid w:val="004C1A47"/>
    <w:rsid w:val="004C1EF3"/>
    <w:rsid w:val="004C2728"/>
    <w:rsid w:val="004C28F5"/>
    <w:rsid w:val="004C29D0"/>
    <w:rsid w:val="004C352A"/>
    <w:rsid w:val="004C3823"/>
    <w:rsid w:val="004C3910"/>
    <w:rsid w:val="004C3B6C"/>
    <w:rsid w:val="004C3D41"/>
    <w:rsid w:val="004C42F6"/>
    <w:rsid w:val="004C43D9"/>
    <w:rsid w:val="004C455B"/>
    <w:rsid w:val="004C465E"/>
    <w:rsid w:val="004C4888"/>
    <w:rsid w:val="004C48FE"/>
    <w:rsid w:val="004C49D6"/>
    <w:rsid w:val="004C4CBF"/>
    <w:rsid w:val="004C5034"/>
    <w:rsid w:val="004C5067"/>
    <w:rsid w:val="004C5319"/>
    <w:rsid w:val="004C55F0"/>
    <w:rsid w:val="004C5B33"/>
    <w:rsid w:val="004C5F2F"/>
    <w:rsid w:val="004C616E"/>
    <w:rsid w:val="004C643B"/>
    <w:rsid w:val="004C6749"/>
    <w:rsid w:val="004C6986"/>
    <w:rsid w:val="004C6B98"/>
    <w:rsid w:val="004C6DB7"/>
    <w:rsid w:val="004C7517"/>
    <w:rsid w:val="004C7A1C"/>
    <w:rsid w:val="004C7BBA"/>
    <w:rsid w:val="004C7D80"/>
    <w:rsid w:val="004D0340"/>
    <w:rsid w:val="004D0571"/>
    <w:rsid w:val="004D0719"/>
    <w:rsid w:val="004D0B1A"/>
    <w:rsid w:val="004D0B8B"/>
    <w:rsid w:val="004D0D7B"/>
    <w:rsid w:val="004D1805"/>
    <w:rsid w:val="004D1948"/>
    <w:rsid w:val="004D1A65"/>
    <w:rsid w:val="004D1A9C"/>
    <w:rsid w:val="004D1D0C"/>
    <w:rsid w:val="004D1D63"/>
    <w:rsid w:val="004D1F04"/>
    <w:rsid w:val="004D2232"/>
    <w:rsid w:val="004D24B1"/>
    <w:rsid w:val="004D2742"/>
    <w:rsid w:val="004D27CB"/>
    <w:rsid w:val="004D2E9D"/>
    <w:rsid w:val="004D31E4"/>
    <w:rsid w:val="004D3D94"/>
    <w:rsid w:val="004D3F94"/>
    <w:rsid w:val="004D411E"/>
    <w:rsid w:val="004D432A"/>
    <w:rsid w:val="004D477D"/>
    <w:rsid w:val="004D4A9F"/>
    <w:rsid w:val="004D4B94"/>
    <w:rsid w:val="004D4E26"/>
    <w:rsid w:val="004D4E95"/>
    <w:rsid w:val="004D52BC"/>
    <w:rsid w:val="004D535A"/>
    <w:rsid w:val="004D5750"/>
    <w:rsid w:val="004D5780"/>
    <w:rsid w:val="004D59E9"/>
    <w:rsid w:val="004D5A0B"/>
    <w:rsid w:val="004D5F75"/>
    <w:rsid w:val="004D61EF"/>
    <w:rsid w:val="004D6378"/>
    <w:rsid w:val="004D66C3"/>
    <w:rsid w:val="004D712F"/>
    <w:rsid w:val="004D72A3"/>
    <w:rsid w:val="004D73DC"/>
    <w:rsid w:val="004D746A"/>
    <w:rsid w:val="004D74BF"/>
    <w:rsid w:val="004D77BE"/>
    <w:rsid w:val="004D7DFD"/>
    <w:rsid w:val="004E00B9"/>
    <w:rsid w:val="004E00F8"/>
    <w:rsid w:val="004E072A"/>
    <w:rsid w:val="004E09FB"/>
    <w:rsid w:val="004E0A15"/>
    <w:rsid w:val="004E0C3B"/>
    <w:rsid w:val="004E0F2F"/>
    <w:rsid w:val="004E106F"/>
    <w:rsid w:val="004E10AB"/>
    <w:rsid w:val="004E1316"/>
    <w:rsid w:val="004E136A"/>
    <w:rsid w:val="004E1609"/>
    <w:rsid w:val="004E19C7"/>
    <w:rsid w:val="004E19D4"/>
    <w:rsid w:val="004E1E66"/>
    <w:rsid w:val="004E1F11"/>
    <w:rsid w:val="004E22C6"/>
    <w:rsid w:val="004E2D24"/>
    <w:rsid w:val="004E44D1"/>
    <w:rsid w:val="004E4D7A"/>
    <w:rsid w:val="004E52C7"/>
    <w:rsid w:val="004E549D"/>
    <w:rsid w:val="004E5BA3"/>
    <w:rsid w:val="004E609E"/>
    <w:rsid w:val="004E6173"/>
    <w:rsid w:val="004E62D8"/>
    <w:rsid w:val="004E63B9"/>
    <w:rsid w:val="004E660C"/>
    <w:rsid w:val="004E6AC3"/>
    <w:rsid w:val="004E6BB5"/>
    <w:rsid w:val="004E6C0E"/>
    <w:rsid w:val="004E6CC7"/>
    <w:rsid w:val="004E7142"/>
    <w:rsid w:val="004E765C"/>
    <w:rsid w:val="004E7AB1"/>
    <w:rsid w:val="004E7BF1"/>
    <w:rsid w:val="004F0500"/>
    <w:rsid w:val="004F13B0"/>
    <w:rsid w:val="004F13B9"/>
    <w:rsid w:val="004F13EF"/>
    <w:rsid w:val="004F1442"/>
    <w:rsid w:val="004F16A2"/>
    <w:rsid w:val="004F1E2A"/>
    <w:rsid w:val="004F1F00"/>
    <w:rsid w:val="004F2858"/>
    <w:rsid w:val="004F2D32"/>
    <w:rsid w:val="004F2F07"/>
    <w:rsid w:val="004F3442"/>
    <w:rsid w:val="004F35AD"/>
    <w:rsid w:val="004F35D8"/>
    <w:rsid w:val="004F364B"/>
    <w:rsid w:val="004F3844"/>
    <w:rsid w:val="004F388A"/>
    <w:rsid w:val="004F3F64"/>
    <w:rsid w:val="004F4424"/>
    <w:rsid w:val="004F4736"/>
    <w:rsid w:val="004F4F15"/>
    <w:rsid w:val="004F4FE4"/>
    <w:rsid w:val="004F50C5"/>
    <w:rsid w:val="004F52EB"/>
    <w:rsid w:val="004F5889"/>
    <w:rsid w:val="004F5BE6"/>
    <w:rsid w:val="004F66BC"/>
    <w:rsid w:val="004F6B69"/>
    <w:rsid w:val="004F6E2B"/>
    <w:rsid w:val="004F6EA2"/>
    <w:rsid w:val="004F6F09"/>
    <w:rsid w:val="004F71EB"/>
    <w:rsid w:val="004F7393"/>
    <w:rsid w:val="004F7670"/>
    <w:rsid w:val="004F7F8F"/>
    <w:rsid w:val="005004CE"/>
    <w:rsid w:val="00500CA6"/>
    <w:rsid w:val="00500E49"/>
    <w:rsid w:val="00500FF0"/>
    <w:rsid w:val="0050128A"/>
    <w:rsid w:val="00501EC4"/>
    <w:rsid w:val="00502989"/>
    <w:rsid w:val="00502B84"/>
    <w:rsid w:val="00502D44"/>
    <w:rsid w:val="00503013"/>
    <w:rsid w:val="0050376D"/>
    <w:rsid w:val="005038EC"/>
    <w:rsid w:val="00503ABE"/>
    <w:rsid w:val="00503E1F"/>
    <w:rsid w:val="00503FE2"/>
    <w:rsid w:val="00504673"/>
    <w:rsid w:val="00504684"/>
    <w:rsid w:val="00504723"/>
    <w:rsid w:val="00504A52"/>
    <w:rsid w:val="00504D67"/>
    <w:rsid w:val="00504DBB"/>
    <w:rsid w:val="005050A0"/>
    <w:rsid w:val="0050517A"/>
    <w:rsid w:val="005051CF"/>
    <w:rsid w:val="00505521"/>
    <w:rsid w:val="00505626"/>
    <w:rsid w:val="005057C1"/>
    <w:rsid w:val="005057C4"/>
    <w:rsid w:val="005058BF"/>
    <w:rsid w:val="005058DC"/>
    <w:rsid w:val="00505B76"/>
    <w:rsid w:val="00505C6C"/>
    <w:rsid w:val="00505D26"/>
    <w:rsid w:val="00505DC7"/>
    <w:rsid w:val="0050601F"/>
    <w:rsid w:val="005062E5"/>
    <w:rsid w:val="0050681D"/>
    <w:rsid w:val="005069C8"/>
    <w:rsid w:val="005071F8"/>
    <w:rsid w:val="005075B0"/>
    <w:rsid w:val="0051025F"/>
    <w:rsid w:val="00510428"/>
    <w:rsid w:val="00510701"/>
    <w:rsid w:val="00510753"/>
    <w:rsid w:val="005108CA"/>
    <w:rsid w:val="00510D28"/>
    <w:rsid w:val="00510E13"/>
    <w:rsid w:val="00511370"/>
    <w:rsid w:val="00511739"/>
    <w:rsid w:val="00511B92"/>
    <w:rsid w:val="00512121"/>
    <w:rsid w:val="00512365"/>
    <w:rsid w:val="00512442"/>
    <w:rsid w:val="00512E3A"/>
    <w:rsid w:val="00513232"/>
    <w:rsid w:val="005132CD"/>
    <w:rsid w:val="00513302"/>
    <w:rsid w:val="00513623"/>
    <w:rsid w:val="005136B8"/>
    <w:rsid w:val="0051384E"/>
    <w:rsid w:val="00513A0A"/>
    <w:rsid w:val="00513C1A"/>
    <w:rsid w:val="00513EF2"/>
    <w:rsid w:val="0051419C"/>
    <w:rsid w:val="00514561"/>
    <w:rsid w:val="005145DE"/>
    <w:rsid w:val="00514614"/>
    <w:rsid w:val="00514764"/>
    <w:rsid w:val="005148ED"/>
    <w:rsid w:val="00514990"/>
    <w:rsid w:val="00514B78"/>
    <w:rsid w:val="00514BB9"/>
    <w:rsid w:val="00514C4B"/>
    <w:rsid w:val="00514D6F"/>
    <w:rsid w:val="00514E5E"/>
    <w:rsid w:val="005150DA"/>
    <w:rsid w:val="005160FD"/>
    <w:rsid w:val="00516244"/>
    <w:rsid w:val="005163F2"/>
    <w:rsid w:val="00516453"/>
    <w:rsid w:val="0051697A"/>
    <w:rsid w:val="00516A30"/>
    <w:rsid w:val="00516F43"/>
    <w:rsid w:val="005172BC"/>
    <w:rsid w:val="00517459"/>
    <w:rsid w:val="0051758B"/>
    <w:rsid w:val="005200C5"/>
    <w:rsid w:val="0052010D"/>
    <w:rsid w:val="00520188"/>
    <w:rsid w:val="005203A7"/>
    <w:rsid w:val="005203C3"/>
    <w:rsid w:val="00520758"/>
    <w:rsid w:val="00520ED4"/>
    <w:rsid w:val="00520FCF"/>
    <w:rsid w:val="00521098"/>
    <w:rsid w:val="005212BE"/>
    <w:rsid w:val="00521308"/>
    <w:rsid w:val="005214DB"/>
    <w:rsid w:val="00521AA5"/>
    <w:rsid w:val="00521D47"/>
    <w:rsid w:val="00522438"/>
    <w:rsid w:val="00522481"/>
    <w:rsid w:val="005225B6"/>
    <w:rsid w:val="00522B3E"/>
    <w:rsid w:val="00522B44"/>
    <w:rsid w:val="00522CE4"/>
    <w:rsid w:val="00522F41"/>
    <w:rsid w:val="00523B99"/>
    <w:rsid w:val="00523C20"/>
    <w:rsid w:val="00524627"/>
    <w:rsid w:val="0052497E"/>
    <w:rsid w:val="00524E3D"/>
    <w:rsid w:val="00525292"/>
    <w:rsid w:val="005252ED"/>
    <w:rsid w:val="005253E5"/>
    <w:rsid w:val="005255B7"/>
    <w:rsid w:val="00525AAB"/>
    <w:rsid w:val="00525D11"/>
    <w:rsid w:val="00526D7F"/>
    <w:rsid w:val="0052711C"/>
    <w:rsid w:val="005277AA"/>
    <w:rsid w:val="00527CEC"/>
    <w:rsid w:val="00527CFD"/>
    <w:rsid w:val="00527D9B"/>
    <w:rsid w:val="00530288"/>
    <w:rsid w:val="005302B6"/>
    <w:rsid w:val="00530726"/>
    <w:rsid w:val="005308EE"/>
    <w:rsid w:val="00530B31"/>
    <w:rsid w:val="005313EF"/>
    <w:rsid w:val="005319E7"/>
    <w:rsid w:val="00531BC8"/>
    <w:rsid w:val="00531C8D"/>
    <w:rsid w:val="00531D3D"/>
    <w:rsid w:val="0053248F"/>
    <w:rsid w:val="00532956"/>
    <w:rsid w:val="005329BD"/>
    <w:rsid w:val="00533035"/>
    <w:rsid w:val="0053307A"/>
    <w:rsid w:val="00533382"/>
    <w:rsid w:val="00533EB1"/>
    <w:rsid w:val="005349B7"/>
    <w:rsid w:val="00535367"/>
    <w:rsid w:val="00535547"/>
    <w:rsid w:val="00535756"/>
    <w:rsid w:val="00535783"/>
    <w:rsid w:val="00535EBC"/>
    <w:rsid w:val="00535F63"/>
    <w:rsid w:val="005363E7"/>
    <w:rsid w:val="0053688A"/>
    <w:rsid w:val="00536D00"/>
    <w:rsid w:val="005370AA"/>
    <w:rsid w:val="005371B5"/>
    <w:rsid w:val="00537969"/>
    <w:rsid w:val="0053797E"/>
    <w:rsid w:val="00537CA8"/>
    <w:rsid w:val="0054012D"/>
    <w:rsid w:val="00540252"/>
    <w:rsid w:val="005407B8"/>
    <w:rsid w:val="00540BD9"/>
    <w:rsid w:val="00540C1B"/>
    <w:rsid w:val="00540E56"/>
    <w:rsid w:val="00540E9F"/>
    <w:rsid w:val="00540F7E"/>
    <w:rsid w:val="005411DB"/>
    <w:rsid w:val="00541398"/>
    <w:rsid w:val="00541AAF"/>
    <w:rsid w:val="00541FA4"/>
    <w:rsid w:val="005423DA"/>
    <w:rsid w:val="00542752"/>
    <w:rsid w:val="00542C13"/>
    <w:rsid w:val="005430CC"/>
    <w:rsid w:val="0054321D"/>
    <w:rsid w:val="00543287"/>
    <w:rsid w:val="00543B5A"/>
    <w:rsid w:val="00543F71"/>
    <w:rsid w:val="0054433A"/>
    <w:rsid w:val="0054450E"/>
    <w:rsid w:val="00544636"/>
    <w:rsid w:val="00544ED4"/>
    <w:rsid w:val="00544F96"/>
    <w:rsid w:val="005452F9"/>
    <w:rsid w:val="00545A39"/>
    <w:rsid w:val="00545A65"/>
    <w:rsid w:val="00545C2A"/>
    <w:rsid w:val="00545F9A"/>
    <w:rsid w:val="00546286"/>
    <w:rsid w:val="005464A6"/>
    <w:rsid w:val="00546691"/>
    <w:rsid w:val="00546ACB"/>
    <w:rsid w:val="0054722E"/>
    <w:rsid w:val="00547CAB"/>
    <w:rsid w:val="00547E9D"/>
    <w:rsid w:val="0055055A"/>
    <w:rsid w:val="00550611"/>
    <w:rsid w:val="0055084E"/>
    <w:rsid w:val="00550850"/>
    <w:rsid w:val="005509AD"/>
    <w:rsid w:val="005510AA"/>
    <w:rsid w:val="0055121E"/>
    <w:rsid w:val="00551E8E"/>
    <w:rsid w:val="00552018"/>
    <w:rsid w:val="00552039"/>
    <w:rsid w:val="00553197"/>
    <w:rsid w:val="0055369C"/>
    <w:rsid w:val="0055470F"/>
    <w:rsid w:val="005549F0"/>
    <w:rsid w:val="00555365"/>
    <w:rsid w:val="005554C9"/>
    <w:rsid w:val="00555757"/>
    <w:rsid w:val="0055589E"/>
    <w:rsid w:val="00555CA8"/>
    <w:rsid w:val="00556059"/>
    <w:rsid w:val="00556147"/>
    <w:rsid w:val="005561D6"/>
    <w:rsid w:val="005562FA"/>
    <w:rsid w:val="00556913"/>
    <w:rsid w:val="00556DD4"/>
    <w:rsid w:val="0055742F"/>
    <w:rsid w:val="005577AF"/>
    <w:rsid w:val="0056012A"/>
    <w:rsid w:val="0056034A"/>
    <w:rsid w:val="005604EF"/>
    <w:rsid w:val="00560C60"/>
    <w:rsid w:val="00560F7C"/>
    <w:rsid w:val="005612A2"/>
    <w:rsid w:val="0056157C"/>
    <w:rsid w:val="0056179B"/>
    <w:rsid w:val="00561A55"/>
    <w:rsid w:val="00561B1C"/>
    <w:rsid w:val="00562163"/>
    <w:rsid w:val="00562B63"/>
    <w:rsid w:val="0056303D"/>
    <w:rsid w:val="0056353F"/>
    <w:rsid w:val="00563FA7"/>
    <w:rsid w:val="00564204"/>
    <w:rsid w:val="0056446B"/>
    <w:rsid w:val="0056449A"/>
    <w:rsid w:val="00564B39"/>
    <w:rsid w:val="00564C67"/>
    <w:rsid w:val="00565388"/>
    <w:rsid w:val="00565582"/>
    <w:rsid w:val="005658C1"/>
    <w:rsid w:val="00565E05"/>
    <w:rsid w:val="005662FF"/>
    <w:rsid w:val="00566793"/>
    <w:rsid w:val="00566C5A"/>
    <w:rsid w:val="00566E0D"/>
    <w:rsid w:val="00566FCD"/>
    <w:rsid w:val="00567662"/>
    <w:rsid w:val="00567891"/>
    <w:rsid w:val="00567BF2"/>
    <w:rsid w:val="00567DCE"/>
    <w:rsid w:val="00567DE7"/>
    <w:rsid w:val="00570021"/>
    <w:rsid w:val="005700A0"/>
    <w:rsid w:val="005702D0"/>
    <w:rsid w:val="005705A5"/>
    <w:rsid w:val="00570763"/>
    <w:rsid w:val="00570FC4"/>
    <w:rsid w:val="00571174"/>
    <w:rsid w:val="005713F1"/>
    <w:rsid w:val="0057186B"/>
    <w:rsid w:val="00572652"/>
    <w:rsid w:val="00572735"/>
    <w:rsid w:val="00572843"/>
    <w:rsid w:val="00572A88"/>
    <w:rsid w:val="00573B56"/>
    <w:rsid w:val="00573FF7"/>
    <w:rsid w:val="0057476E"/>
    <w:rsid w:val="00574C14"/>
    <w:rsid w:val="00574C22"/>
    <w:rsid w:val="005753EF"/>
    <w:rsid w:val="005756C9"/>
    <w:rsid w:val="005759C0"/>
    <w:rsid w:val="005765D7"/>
    <w:rsid w:val="0057676F"/>
    <w:rsid w:val="00576881"/>
    <w:rsid w:val="005769E9"/>
    <w:rsid w:val="00576A73"/>
    <w:rsid w:val="00576FEB"/>
    <w:rsid w:val="00577665"/>
    <w:rsid w:val="00577786"/>
    <w:rsid w:val="00577828"/>
    <w:rsid w:val="005779E8"/>
    <w:rsid w:val="00577A9B"/>
    <w:rsid w:val="00580299"/>
    <w:rsid w:val="00580669"/>
    <w:rsid w:val="005813B0"/>
    <w:rsid w:val="0058150F"/>
    <w:rsid w:val="00581590"/>
    <w:rsid w:val="00581E6F"/>
    <w:rsid w:val="005825CE"/>
    <w:rsid w:val="00582A2C"/>
    <w:rsid w:val="00583249"/>
    <w:rsid w:val="00583A04"/>
    <w:rsid w:val="00583AA4"/>
    <w:rsid w:val="0058450B"/>
    <w:rsid w:val="00584693"/>
    <w:rsid w:val="00584A5A"/>
    <w:rsid w:val="00584BE8"/>
    <w:rsid w:val="00584C63"/>
    <w:rsid w:val="00584FEA"/>
    <w:rsid w:val="0058531B"/>
    <w:rsid w:val="005855AC"/>
    <w:rsid w:val="00585E76"/>
    <w:rsid w:val="00585F79"/>
    <w:rsid w:val="00585F7F"/>
    <w:rsid w:val="005862FE"/>
    <w:rsid w:val="005863D3"/>
    <w:rsid w:val="005867E7"/>
    <w:rsid w:val="005869AE"/>
    <w:rsid w:val="00586BC7"/>
    <w:rsid w:val="0058724E"/>
    <w:rsid w:val="005874F6"/>
    <w:rsid w:val="00587532"/>
    <w:rsid w:val="00587C5C"/>
    <w:rsid w:val="00590340"/>
    <w:rsid w:val="00590407"/>
    <w:rsid w:val="0059058A"/>
    <w:rsid w:val="005908F1"/>
    <w:rsid w:val="005908F7"/>
    <w:rsid w:val="00590A72"/>
    <w:rsid w:val="00590E2B"/>
    <w:rsid w:val="0059146C"/>
    <w:rsid w:val="00591940"/>
    <w:rsid w:val="00591AA8"/>
    <w:rsid w:val="00591BE2"/>
    <w:rsid w:val="0059210F"/>
    <w:rsid w:val="00592120"/>
    <w:rsid w:val="00592134"/>
    <w:rsid w:val="00592736"/>
    <w:rsid w:val="005929E4"/>
    <w:rsid w:val="00592B1A"/>
    <w:rsid w:val="00592C3D"/>
    <w:rsid w:val="00592DB5"/>
    <w:rsid w:val="00592DB9"/>
    <w:rsid w:val="00592DE5"/>
    <w:rsid w:val="00592F21"/>
    <w:rsid w:val="0059352B"/>
    <w:rsid w:val="00593C0C"/>
    <w:rsid w:val="00593E6F"/>
    <w:rsid w:val="00593F02"/>
    <w:rsid w:val="00594042"/>
    <w:rsid w:val="005941B9"/>
    <w:rsid w:val="005941BB"/>
    <w:rsid w:val="00594530"/>
    <w:rsid w:val="0059478C"/>
    <w:rsid w:val="0059489A"/>
    <w:rsid w:val="00595707"/>
    <w:rsid w:val="00595B7E"/>
    <w:rsid w:val="00595CAB"/>
    <w:rsid w:val="00595D3B"/>
    <w:rsid w:val="00595E3B"/>
    <w:rsid w:val="00596961"/>
    <w:rsid w:val="00596C82"/>
    <w:rsid w:val="00596E05"/>
    <w:rsid w:val="005970A0"/>
    <w:rsid w:val="005975BF"/>
    <w:rsid w:val="00597CDE"/>
    <w:rsid w:val="00597E7C"/>
    <w:rsid w:val="00597F64"/>
    <w:rsid w:val="00597F8F"/>
    <w:rsid w:val="005A0161"/>
    <w:rsid w:val="005A01EA"/>
    <w:rsid w:val="005A03DC"/>
    <w:rsid w:val="005A0D86"/>
    <w:rsid w:val="005A12A3"/>
    <w:rsid w:val="005A147C"/>
    <w:rsid w:val="005A1548"/>
    <w:rsid w:val="005A16FC"/>
    <w:rsid w:val="005A177E"/>
    <w:rsid w:val="005A220B"/>
    <w:rsid w:val="005A2274"/>
    <w:rsid w:val="005A235B"/>
    <w:rsid w:val="005A2499"/>
    <w:rsid w:val="005A2967"/>
    <w:rsid w:val="005A2D00"/>
    <w:rsid w:val="005A2FF4"/>
    <w:rsid w:val="005A345E"/>
    <w:rsid w:val="005A3AEE"/>
    <w:rsid w:val="005A401E"/>
    <w:rsid w:val="005A40CF"/>
    <w:rsid w:val="005A40DA"/>
    <w:rsid w:val="005A41E2"/>
    <w:rsid w:val="005A420E"/>
    <w:rsid w:val="005A4391"/>
    <w:rsid w:val="005A4465"/>
    <w:rsid w:val="005A4791"/>
    <w:rsid w:val="005A4E61"/>
    <w:rsid w:val="005A4EAB"/>
    <w:rsid w:val="005A5068"/>
    <w:rsid w:val="005A5392"/>
    <w:rsid w:val="005A58BB"/>
    <w:rsid w:val="005A5980"/>
    <w:rsid w:val="005A5CF5"/>
    <w:rsid w:val="005A6132"/>
    <w:rsid w:val="005A6234"/>
    <w:rsid w:val="005A63A7"/>
    <w:rsid w:val="005A63E5"/>
    <w:rsid w:val="005A6429"/>
    <w:rsid w:val="005A69A9"/>
    <w:rsid w:val="005A69BC"/>
    <w:rsid w:val="005A6E16"/>
    <w:rsid w:val="005A7001"/>
    <w:rsid w:val="005A742B"/>
    <w:rsid w:val="005A7B97"/>
    <w:rsid w:val="005A7E1B"/>
    <w:rsid w:val="005A7F59"/>
    <w:rsid w:val="005A7FAD"/>
    <w:rsid w:val="005B0202"/>
    <w:rsid w:val="005B0355"/>
    <w:rsid w:val="005B043F"/>
    <w:rsid w:val="005B0610"/>
    <w:rsid w:val="005B0843"/>
    <w:rsid w:val="005B0C55"/>
    <w:rsid w:val="005B10D2"/>
    <w:rsid w:val="005B1222"/>
    <w:rsid w:val="005B15EC"/>
    <w:rsid w:val="005B1F0D"/>
    <w:rsid w:val="005B24A6"/>
    <w:rsid w:val="005B277E"/>
    <w:rsid w:val="005B29AD"/>
    <w:rsid w:val="005B2CF9"/>
    <w:rsid w:val="005B2E78"/>
    <w:rsid w:val="005B2F34"/>
    <w:rsid w:val="005B368C"/>
    <w:rsid w:val="005B3946"/>
    <w:rsid w:val="005B3CB7"/>
    <w:rsid w:val="005B408C"/>
    <w:rsid w:val="005B45B2"/>
    <w:rsid w:val="005B4952"/>
    <w:rsid w:val="005B4ABA"/>
    <w:rsid w:val="005B4CA3"/>
    <w:rsid w:val="005B4EB3"/>
    <w:rsid w:val="005B52A2"/>
    <w:rsid w:val="005B5592"/>
    <w:rsid w:val="005B587B"/>
    <w:rsid w:val="005B5B27"/>
    <w:rsid w:val="005B653E"/>
    <w:rsid w:val="005B66D6"/>
    <w:rsid w:val="005B69A3"/>
    <w:rsid w:val="005B6A5C"/>
    <w:rsid w:val="005B6C92"/>
    <w:rsid w:val="005B6DF1"/>
    <w:rsid w:val="005B71E7"/>
    <w:rsid w:val="005B7212"/>
    <w:rsid w:val="005B799B"/>
    <w:rsid w:val="005C0210"/>
    <w:rsid w:val="005C02EF"/>
    <w:rsid w:val="005C0921"/>
    <w:rsid w:val="005C0CEF"/>
    <w:rsid w:val="005C0F45"/>
    <w:rsid w:val="005C184D"/>
    <w:rsid w:val="005C1BDA"/>
    <w:rsid w:val="005C1D15"/>
    <w:rsid w:val="005C1D84"/>
    <w:rsid w:val="005C2393"/>
    <w:rsid w:val="005C2416"/>
    <w:rsid w:val="005C2588"/>
    <w:rsid w:val="005C25FA"/>
    <w:rsid w:val="005C2637"/>
    <w:rsid w:val="005C2B2C"/>
    <w:rsid w:val="005C2B88"/>
    <w:rsid w:val="005C32CA"/>
    <w:rsid w:val="005C3406"/>
    <w:rsid w:val="005C34DD"/>
    <w:rsid w:val="005C36A0"/>
    <w:rsid w:val="005C37D4"/>
    <w:rsid w:val="005C3B4E"/>
    <w:rsid w:val="005C3B9B"/>
    <w:rsid w:val="005C41FD"/>
    <w:rsid w:val="005C44D7"/>
    <w:rsid w:val="005C45CE"/>
    <w:rsid w:val="005C46F4"/>
    <w:rsid w:val="005C4ACC"/>
    <w:rsid w:val="005C5152"/>
    <w:rsid w:val="005C5711"/>
    <w:rsid w:val="005C58C8"/>
    <w:rsid w:val="005C58DC"/>
    <w:rsid w:val="005C5A40"/>
    <w:rsid w:val="005C5BDE"/>
    <w:rsid w:val="005C5E12"/>
    <w:rsid w:val="005C5ED9"/>
    <w:rsid w:val="005C62E8"/>
    <w:rsid w:val="005C641C"/>
    <w:rsid w:val="005C7049"/>
    <w:rsid w:val="005C7051"/>
    <w:rsid w:val="005C71D4"/>
    <w:rsid w:val="005C7B38"/>
    <w:rsid w:val="005C7CAC"/>
    <w:rsid w:val="005C7D84"/>
    <w:rsid w:val="005D0459"/>
    <w:rsid w:val="005D059E"/>
    <w:rsid w:val="005D0847"/>
    <w:rsid w:val="005D107D"/>
    <w:rsid w:val="005D1A76"/>
    <w:rsid w:val="005D1BEF"/>
    <w:rsid w:val="005D1D2C"/>
    <w:rsid w:val="005D2716"/>
    <w:rsid w:val="005D3712"/>
    <w:rsid w:val="005D3A20"/>
    <w:rsid w:val="005D3D4F"/>
    <w:rsid w:val="005D484A"/>
    <w:rsid w:val="005D4A41"/>
    <w:rsid w:val="005D5013"/>
    <w:rsid w:val="005D5164"/>
    <w:rsid w:val="005D5230"/>
    <w:rsid w:val="005D535D"/>
    <w:rsid w:val="005D5762"/>
    <w:rsid w:val="005D57CA"/>
    <w:rsid w:val="005D5A51"/>
    <w:rsid w:val="005D5B16"/>
    <w:rsid w:val="005D5B90"/>
    <w:rsid w:val="005D5F46"/>
    <w:rsid w:val="005D623E"/>
    <w:rsid w:val="005D68F1"/>
    <w:rsid w:val="005D698C"/>
    <w:rsid w:val="005D6DE2"/>
    <w:rsid w:val="005D6FA8"/>
    <w:rsid w:val="005D7090"/>
    <w:rsid w:val="005D7409"/>
    <w:rsid w:val="005D74FB"/>
    <w:rsid w:val="005D75A2"/>
    <w:rsid w:val="005D7880"/>
    <w:rsid w:val="005D7A66"/>
    <w:rsid w:val="005D7E67"/>
    <w:rsid w:val="005D7E98"/>
    <w:rsid w:val="005E01F2"/>
    <w:rsid w:val="005E0258"/>
    <w:rsid w:val="005E05DF"/>
    <w:rsid w:val="005E05F1"/>
    <w:rsid w:val="005E0C68"/>
    <w:rsid w:val="005E0E79"/>
    <w:rsid w:val="005E0F2A"/>
    <w:rsid w:val="005E1058"/>
    <w:rsid w:val="005E1074"/>
    <w:rsid w:val="005E125D"/>
    <w:rsid w:val="005E1788"/>
    <w:rsid w:val="005E1C75"/>
    <w:rsid w:val="005E1DE0"/>
    <w:rsid w:val="005E1DE5"/>
    <w:rsid w:val="005E1E5A"/>
    <w:rsid w:val="005E2412"/>
    <w:rsid w:val="005E27E6"/>
    <w:rsid w:val="005E2AC0"/>
    <w:rsid w:val="005E2B16"/>
    <w:rsid w:val="005E2C57"/>
    <w:rsid w:val="005E2D28"/>
    <w:rsid w:val="005E31F6"/>
    <w:rsid w:val="005E3369"/>
    <w:rsid w:val="005E3666"/>
    <w:rsid w:val="005E36C5"/>
    <w:rsid w:val="005E3D4C"/>
    <w:rsid w:val="005E3EB9"/>
    <w:rsid w:val="005E404F"/>
    <w:rsid w:val="005E4692"/>
    <w:rsid w:val="005E4E5C"/>
    <w:rsid w:val="005E5258"/>
    <w:rsid w:val="005E52C8"/>
    <w:rsid w:val="005E578A"/>
    <w:rsid w:val="005E5F23"/>
    <w:rsid w:val="005E5FE7"/>
    <w:rsid w:val="005E602A"/>
    <w:rsid w:val="005E652E"/>
    <w:rsid w:val="005E7714"/>
    <w:rsid w:val="005E7C0E"/>
    <w:rsid w:val="005F0289"/>
    <w:rsid w:val="005F051F"/>
    <w:rsid w:val="005F08A8"/>
    <w:rsid w:val="005F0BB0"/>
    <w:rsid w:val="005F0E59"/>
    <w:rsid w:val="005F16BE"/>
    <w:rsid w:val="005F1A7B"/>
    <w:rsid w:val="005F1B6D"/>
    <w:rsid w:val="005F1C1D"/>
    <w:rsid w:val="005F1DEF"/>
    <w:rsid w:val="005F1E8D"/>
    <w:rsid w:val="005F20C5"/>
    <w:rsid w:val="005F214F"/>
    <w:rsid w:val="005F258C"/>
    <w:rsid w:val="005F260D"/>
    <w:rsid w:val="005F26B4"/>
    <w:rsid w:val="005F27D8"/>
    <w:rsid w:val="005F2C96"/>
    <w:rsid w:val="005F2F22"/>
    <w:rsid w:val="005F3228"/>
    <w:rsid w:val="005F3302"/>
    <w:rsid w:val="005F378D"/>
    <w:rsid w:val="005F38E4"/>
    <w:rsid w:val="005F39AD"/>
    <w:rsid w:val="005F3C1D"/>
    <w:rsid w:val="005F3D39"/>
    <w:rsid w:val="005F3FA8"/>
    <w:rsid w:val="005F41CD"/>
    <w:rsid w:val="005F42AB"/>
    <w:rsid w:val="005F4305"/>
    <w:rsid w:val="005F440D"/>
    <w:rsid w:val="005F47FE"/>
    <w:rsid w:val="005F4A0F"/>
    <w:rsid w:val="005F4A11"/>
    <w:rsid w:val="005F4BFD"/>
    <w:rsid w:val="005F4C3B"/>
    <w:rsid w:val="005F4C66"/>
    <w:rsid w:val="005F5010"/>
    <w:rsid w:val="005F557E"/>
    <w:rsid w:val="005F5852"/>
    <w:rsid w:val="005F5C71"/>
    <w:rsid w:val="005F5D14"/>
    <w:rsid w:val="005F5EBB"/>
    <w:rsid w:val="005F68FD"/>
    <w:rsid w:val="005F6BEF"/>
    <w:rsid w:val="005F7097"/>
    <w:rsid w:val="005F711A"/>
    <w:rsid w:val="005F7221"/>
    <w:rsid w:val="005F7502"/>
    <w:rsid w:val="005F769C"/>
    <w:rsid w:val="005F782E"/>
    <w:rsid w:val="005F789C"/>
    <w:rsid w:val="0060001A"/>
    <w:rsid w:val="00600084"/>
    <w:rsid w:val="00600226"/>
    <w:rsid w:val="006002F7"/>
    <w:rsid w:val="00600399"/>
    <w:rsid w:val="006005B8"/>
    <w:rsid w:val="00600CBB"/>
    <w:rsid w:val="00600F10"/>
    <w:rsid w:val="0060111D"/>
    <w:rsid w:val="006018B4"/>
    <w:rsid w:val="00601D1F"/>
    <w:rsid w:val="00601E68"/>
    <w:rsid w:val="00601F87"/>
    <w:rsid w:val="006025F9"/>
    <w:rsid w:val="00602AEA"/>
    <w:rsid w:val="006032B0"/>
    <w:rsid w:val="006036BE"/>
    <w:rsid w:val="00603896"/>
    <w:rsid w:val="00603D70"/>
    <w:rsid w:val="00604129"/>
    <w:rsid w:val="00604224"/>
    <w:rsid w:val="00605872"/>
    <w:rsid w:val="00605A06"/>
    <w:rsid w:val="00605C13"/>
    <w:rsid w:val="00606488"/>
    <w:rsid w:val="0060657F"/>
    <w:rsid w:val="00606A8D"/>
    <w:rsid w:val="00606F60"/>
    <w:rsid w:val="00607386"/>
    <w:rsid w:val="006074D1"/>
    <w:rsid w:val="00607D8A"/>
    <w:rsid w:val="00607E26"/>
    <w:rsid w:val="00610123"/>
    <w:rsid w:val="006103D7"/>
    <w:rsid w:val="00610CA2"/>
    <w:rsid w:val="00610E38"/>
    <w:rsid w:val="00611398"/>
    <w:rsid w:val="00611B2F"/>
    <w:rsid w:val="006128DC"/>
    <w:rsid w:val="006128F8"/>
    <w:rsid w:val="006130A0"/>
    <w:rsid w:val="0061335F"/>
    <w:rsid w:val="006133A7"/>
    <w:rsid w:val="006133B2"/>
    <w:rsid w:val="006134A7"/>
    <w:rsid w:val="00613572"/>
    <w:rsid w:val="00614029"/>
    <w:rsid w:val="0061407F"/>
    <w:rsid w:val="00614588"/>
    <w:rsid w:val="00614CB2"/>
    <w:rsid w:val="00615BF7"/>
    <w:rsid w:val="00615CC5"/>
    <w:rsid w:val="00615E3D"/>
    <w:rsid w:val="00615F55"/>
    <w:rsid w:val="006162E1"/>
    <w:rsid w:val="006163DB"/>
    <w:rsid w:val="00616953"/>
    <w:rsid w:val="00616A1B"/>
    <w:rsid w:val="00616F43"/>
    <w:rsid w:val="0061715E"/>
    <w:rsid w:val="00617167"/>
    <w:rsid w:val="00617413"/>
    <w:rsid w:val="0061749B"/>
    <w:rsid w:val="006175F4"/>
    <w:rsid w:val="00617895"/>
    <w:rsid w:val="00617AC3"/>
    <w:rsid w:val="00617C14"/>
    <w:rsid w:val="006205CB"/>
    <w:rsid w:val="00620630"/>
    <w:rsid w:val="0062081E"/>
    <w:rsid w:val="00620827"/>
    <w:rsid w:val="0062145C"/>
    <w:rsid w:val="00621618"/>
    <w:rsid w:val="0062182D"/>
    <w:rsid w:val="00621DAD"/>
    <w:rsid w:val="00621FF0"/>
    <w:rsid w:val="00622350"/>
    <w:rsid w:val="006225EC"/>
    <w:rsid w:val="006229AB"/>
    <w:rsid w:val="00622B96"/>
    <w:rsid w:val="00622CEA"/>
    <w:rsid w:val="00622FA6"/>
    <w:rsid w:val="00623A1D"/>
    <w:rsid w:val="00623E03"/>
    <w:rsid w:val="006244C6"/>
    <w:rsid w:val="006246B3"/>
    <w:rsid w:val="006246F8"/>
    <w:rsid w:val="0062483E"/>
    <w:rsid w:val="00624C84"/>
    <w:rsid w:val="00624E6D"/>
    <w:rsid w:val="0062505D"/>
    <w:rsid w:val="0062508C"/>
    <w:rsid w:val="00625475"/>
    <w:rsid w:val="00625A74"/>
    <w:rsid w:val="00625AC5"/>
    <w:rsid w:val="00625D6E"/>
    <w:rsid w:val="00625EF9"/>
    <w:rsid w:val="00625FBC"/>
    <w:rsid w:val="006262E8"/>
    <w:rsid w:val="00626514"/>
    <w:rsid w:val="00627088"/>
    <w:rsid w:val="00627255"/>
    <w:rsid w:val="006272A6"/>
    <w:rsid w:val="0062740C"/>
    <w:rsid w:val="00627763"/>
    <w:rsid w:val="00627CFC"/>
    <w:rsid w:val="00630061"/>
    <w:rsid w:val="006305C8"/>
    <w:rsid w:val="00630B08"/>
    <w:rsid w:val="006316AD"/>
    <w:rsid w:val="00631CE3"/>
    <w:rsid w:val="00631EDC"/>
    <w:rsid w:val="00631EE7"/>
    <w:rsid w:val="00631F6D"/>
    <w:rsid w:val="006322E8"/>
    <w:rsid w:val="00632805"/>
    <w:rsid w:val="00632BAA"/>
    <w:rsid w:val="00632E89"/>
    <w:rsid w:val="00632E91"/>
    <w:rsid w:val="0063398A"/>
    <w:rsid w:val="00633C0E"/>
    <w:rsid w:val="00633CA5"/>
    <w:rsid w:val="00634480"/>
    <w:rsid w:val="006349D2"/>
    <w:rsid w:val="00634A04"/>
    <w:rsid w:val="00635027"/>
    <w:rsid w:val="0063557F"/>
    <w:rsid w:val="00635C2B"/>
    <w:rsid w:val="00635C8E"/>
    <w:rsid w:val="00636427"/>
    <w:rsid w:val="00636884"/>
    <w:rsid w:val="00636BA9"/>
    <w:rsid w:val="00636C96"/>
    <w:rsid w:val="00636CD9"/>
    <w:rsid w:val="00637343"/>
    <w:rsid w:val="00637365"/>
    <w:rsid w:val="0063760E"/>
    <w:rsid w:val="0063785F"/>
    <w:rsid w:val="00637CD2"/>
    <w:rsid w:val="00637F44"/>
    <w:rsid w:val="006401F8"/>
    <w:rsid w:val="0064052A"/>
    <w:rsid w:val="00640749"/>
    <w:rsid w:val="006408D9"/>
    <w:rsid w:val="00640A4A"/>
    <w:rsid w:val="00640E19"/>
    <w:rsid w:val="006417DB"/>
    <w:rsid w:val="00641849"/>
    <w:rsid w:val="0064280B"/>
    <w:rsid w:val="00642917"/>
    <w:rsid w:val="00642A43"/>
    <w:rsid w:val="00642A4C"/>
    <w:rsid w:val="00642C75"/>
    <w:rsid w:val="006430BF"/>
    <w:rsid w:val="006433EA"/>
    <w:rsid w:val="00643597"/>
    <w:rsid w:val="00643D31"/>
    <w:rsid w:val="006441F6"/>
    <w:rsid w:val="00644389"/>
    <w:rsid w:val="006444F2"/>
    <w:rsid w:val="0064493C"/>
    <w:rsid w:val="0064493F"/>
    <w:rsid w:val="00644EF9"/>
    <w:rsid w:val="0064542A"/>
    <w:rsid w:val="006459B5"/>
    <w:rsid w:val="00645EDD"/>
    <w:rsid w:val="00646072"/>
    <w:rsid w:val="00646471"/>
    <w:rsid w:val="00646832"/>
    <w:rsid w:val="00646A1E"/>
    <w:rsid w:val="00646EE5"/>
    <w:rsid w:val="00646F9B"/>
    <w:rsid w:val="00647081"/>
    <w:rsid w:val="006470FC"/>
    <w:rsid w:val="00647673"/>
    <w:rsid w:val="00647817"/>
    <w:rsid w:val="00647829"/>
    <w:rsid w:val="00647C02"/>
    <w:rsid w:val="006501BE"/>
    <w:rsid w:val="00650230"/>
    <w:rsid w:val="0065045F"/>
    <w:rsid w:val="0065059F"/>
    <w:rsid w:val="00650A09"/>
    <w:rsid w:val="006511D8"/>
    <w:rsid w:val="00651215"/>
    <w:rsid w:val="0065122C"/>
    <w:rsid w:val="00651560"/>
    <w:rsid w:val="00651814"/>
    <w:rsid w:val="006519BD"/>
    <w:rsid w:val="00651AE6"/>
    <w:rsid w:val="00651BC4"/>
    <w:rsid w:val="00652633"/>
    <w:rsid w:val="006526C9"/>
    <w:rsid w:val="00652D9C"/>
    <w:rsid w:val="00653080"/>
    <w:rsid w:val="00653252"/>
    <w:rsid w:val="00653356"/>
    <w:rsid w:val="006533BB"/>
    <w:rsid w:val="006538A6"/>
    <w:rsid w:val="00653C6D"/>
    <w:rsid w:val="00653D61"/>
    <w:rsid w:val="00653F55"/>
    <w:rsid w:val="00654333"/>
    <w:rsid w:val="006543B9"/>
    <w:rsid w:val="00654D43"/>
    <w:rsid w:val="00654DDC"/>
    <w:rsid w:val="0065572C"/>
    <w:rsid w:val="00655929"/>
    <w:rsid w:val="00655D5C"/>
    <w:rsid w:val="00655E0D"/>
    <w:rsid w:val="006560C6"/>
    <w:rsid w:val="00656247"/>
    <w:rsid w:val="006564DF"/>
    <w:rsid w:val="00656523"/>
    <w:rsid w:val="0065659B"/>
    <w:rsid w:val="0065679D"/>
    <w:rsid w:val="00656EA7"/>
    <w:rsid w:val="00657252"/>
    <w:rsid w:val="0065729C"/>
    <w:rsid w:val="006572D2"/>
    <w:rsid w:val="00657461"/>
    <w:rsid w:val="00657527"/>
    <w:rsid w:val="00657694"/>
    <w:rsid w:val="006576FC"/>
    <w:rsid w:val="00657902"/>
    <w:rsid w:val="00657E84"/>
    <w:rsid w:val="006604B6"/>
    <w:rsid w:val="006604FA"/>
    <w:rsid w:val="0066071A"/>
    <w:rsid w:val="00660853"/>
    <w:rsid w:val="00660CC6"/>
    <w:rsid w:val="00661381"/>
    <w:rsid w:val="006615BC"/>
    <w:rsid w:val="00661700"/>
    <w:rsid w:val="00661E8B"/>
    <w:rsid w:val="006620BF"/>
    <w:rsid w:val="006621AF"/>
    <w:rsid w:val="006623C3"/>
    <w:rsid w:val="00662A4D"/>
    <w:rsid w:val="00662CC4"/>
    <w:rsid w:val="00662FE1"/>
    <w:rsid w:val="006630CB"/>
    <w:rsid w:val="0066350E"/>
    <w:rsid w:val="006635AE"/>
    <w:rsid w:val="006639F8"/>
    <w:rsid w:val="00664369"/>
    <w:rsid w:val="00664458"/>
    <w:rsid w:val="006645AF"/>
    <w:rsid w:val="00664BB0"/>
    <w:rsid w:val="00664F73"/>
    <w:rsid w:val="006650A2"/>
    <w:rsid w:val="006652E4"/>
    <w:rsid w:val="00665602"/>
    <w:rsid w:val="00665713"/>
    <w:rsid w:val="00665AE0"/>
    <w:rsid w:val="00666C76"/>
    <w:rsid w:val="00666F0C"/>
    <w:rsid w:val="0066725E"/>
    <w:rsid w:val="00667542"/>
    <w:rsid w:val="0066791D"/>
    <w:rsid w:val="0066798B"/>
    <w:rsid w:val="006700E8"/>
    <w:rsid w:val="00670433"/>
    <w:rsid w:val="006707A6"/>
    <w:rsid w:val="006709AC"/>
    <w:rsid w:val="00670C8A"/>
    <w:rsid w:val="00670D42"/>
    <w:rsid w:val="00671252"/>
    <w:rsid w:val="006719BE"/>
    <w:rsid w:val="00671D08"/>
    <w:rsid w:val="00672368"/>
    <w:rsid w:val="006727CF"/>
    <w:rsid w:val="006729B6"/>
    <w:rsid w:val="00673040"/>
    <w:rsid w:val="006731E7"/>
    <w:rsid w:val="006732AC"/>
    <w:rsid w:val="0067348D"/>
    <w:rsid w:val="0067354F"/>
    <w:rsid w:val="0067363A"/>
    <w:rsid w:val="00673788"/>
    <w:rsid w:val="00673821"/>
    <w:rsid w:val="00673E1C"/>
    <w:rsid w:val="00673F86"/>
    <w:rsid w:val="006743C7"/>
    <w:rsid w:val="0067478A"/>
    <w:rsid w:val="0067482B"/>
    <w:rsid w:val="006748C3"/>
    <w:rsid w:val="0067494B"/>
    <w:rsid w:val="0067505E"/>
    <w:rsid w:val="00675639"/>
    <w:rsid w:val="00675ECB"/>
    <w:rsid w:val="00675F54"/>
    <w:rsid w:val="00675F74"/>
    <w:rsid w:val="006761D5"/>
    <w:rsid w:val="0067676B"/>
    <w:rsid w:val="00676855"/>
    <w:rsid w:val="00676978"/>
    <w:rsid w:val="0067699B"/>
    <w:rsid w:val="00676E54"/>
    <w:rsid w:val="00677182"/>
    <w:rsid w:val="0067792E"/>
    <w:rsid w:val="0068051E"/>
    <w:rsid w:val="0068056D"/>
    <w:rsid w:val="00680AB4"/>
    <w:rsid w:val="00680DFC"/>
    <w:rsid w:val="00681067"/>
    <w:rsid w:val="006817C5"/>
    <w:rsid w:val="00681C84"/>
    <w:rsid w:val="00681E7A"/>
    <w:rsid w:val="00682176"/>
    <w:rsid w:val="0068229A"/>
    <w:rsid w:val="00682377"/>
    <w:rsid w:val="006826C4"/>
    <w:rsid w:val="00682B15"/>
    <w:rsid w:val="00682C88"/>
    <w:rsid w:val="00682FC2"/>
    <w:rsid w:val="0068311D"/>
    <w:rsid w:val="00683278"/>
    <w:rsid w:val="00684289"/>
    <w:rsid w:val="0068450D"/>
    <w:rsid w:val="00685395"/>
    <w:rsid w:val="006854F5"/>
    <w:rsid w:val="006859C8"/>
    <w:rsid w:val="0068600F"/>
    <w:rsid w:val="006860CD"/>
    <w:rsid w:val="00686687"/>
    <w:rsid w:val="006869D5"/>
    <w:rsid w:val="006870B8"/>
    <w:rsid w:val="0068771B"/>
    <w:rsid w:val="00687845"/>
    <w:rsid w:val="006878A6"/>
    <w:rsid w:val="00687A6C"/>
    <w:rsid w:val="00687C6D"/>
    <w:rsid w:val="0069008A"/>
    <w:rsid w:val="0069028B"/>
    <w:rsid w:val="0069047E"/>
    <w:rsid w:val="00690704"/>
    <w:rsid w:val="00690873"/>
    <w:rsid w:val="00690884"/>
    <w:rsid w:val="00690912"/>
    <w:rsid w:val="0069132E"/>
    <w:rsid w:val="006919CB"/>
    <w:rsid w:val="0069202F"/>
    <w:rsid w:val="006926B5"/>
    <w:rsid w:val="00692BE8"/>
    <w:rsid w:val="00692C22"/>
    <w:rsid w:val="006930D1"/>
    <w:rsid w:val="006931B2"/>
    <w:rsid w:val="006933C8"/>
    <w:rsid w:val="00693603"/>
    <w:rsid w:val="00693611"/>
    <w:rsid w:val="006939E4"/>
    <w:rsid w:val="00693A1A"/>
    <w:rsid w:val="00693C14"/>
    <w:rsid w:val="00693C56"/>
    <w:rsid w:val="0069416C"/>
    <w:rsid w:val="00694917"/>
    <w:rsid w:val="006949CB"/>
    <w:rsid w:val="00694A18"/>
    <w:rsid w:val="00694A70"/>
    <w:rsid w:val="00695714"/>
    <w:rsid w:val="0069646D"/>
    <w:rsid w:val="00696946"/>
    <w:rsid w:val="00696D32"/>
    <w:rsid w:val="00697CFB"/>
    <w:rsid w:val="00697FF9"/>
    <w:rsid w:val="006A00B6"/>
    <w:rsid w:val="006A01D0"/>
    <w:rsid w:val="006A0C8D"/>
    <w:rsid w:val="006A1039"/>
    <w:rsid w:val="006A12CA"/>
    <w:rsid w:val="006A18CA"/>
    <w:rsid w:val="006A19D1"/>
    <w:rsid w:val="006A23D3"/>
    <w:rsid w:val="006A27D8"/>
    <w:rsid w:val="006A2BD4"/>
    <w:rsid w:val="006A2D1F"/>
    <w:rsid w:val="006A2E49"/>
    <w:rsid w:val="006A2E5E"/>
    <w:rsid w:val="006A30FF"/>
    <w:rsid w:val="006A3638"/>
    <w:rsid w:val="006A387D"/>
    <w:rsid w:val="006A39A5"/>
    <w:rsid w:val="006A3B85"/>
    <w:rsid w:val="006A43A0"/>
    <w:rsid w:val="006A4752"/>
    <w:rsid w:val="006A4C92"/>
    <w:rsid w:val="006A4CC8"/>
    <w:rsid w:val="006A4D70"/>
    <w:rsid w:val="006A4E13"/>
    <w:rsid w:val="006A522E"/>
    <w:rsid w:val="006A5353"/>
    <w:rsid w:val="006A567F"/>
    <w:rsid w:val="006A58B9"/>
    <w:rsid w:val="006A5A68"/>
    <w:rsid w:val="006A6370"/>
    <w:rsid w:val="006A699F"/>
    <w:rsid w:val="006A6CBE"/>
    <w:rsid w:val="006A6FC2"/>
    <w:rsid w:val="006A75FE"/>
    <w:rsid w:val="006A7B2A"/>
    <w:rsid w:val="006A7B88"/>
    <w:rsid w:val="006A7E75"/>
    <w:rsid w:val="006A7EEE"/>
    <w:rsid w:val="006A7F62"/>
    <w:rsid w:val="006B0051"/>
    <w:rsid w:val="006B0115"/>
    <w:rsid w:val="006B0B6E"/>
    <w:rsid w:val="006B1AFC"/>
    <w:rsid w:val="006B1B6C"/>
    <w:rsid w:val="006B1E0F"/>
    <w:rsid w:val="006B2052"/>
    <w:rsid w:val="006B228F"/>
    <w:rsid w:val="006B276F"/>
    <w:rsid w:val="006B2A92"/>
    <w:rsid w:val="006B3019"/>
    <w:rsid w:val="006B3186"/>
    <w:rsid w:val="006B33B4"/>
    <w:rsid w:val="006B3485"/>
    <w:rsid w:val="006B3F77"/>
    <w:rsid w:val="006B45D4"/>
    <w:rsid w:val="006B4962"/>
    <w:rsid w:val="006B4E51"/>
    <w:rsid w:val="006B4F84"/>
    <w:rsid w:val="006B526B"/>
    <w:rsid w:val="006B57AF"/>
    <w:rsid w:val="006B5A5C"/>
    <w:rsid w:val="006B5DCD"/>
    <w:rsid w:val="006B5FDF"/>
    <w:rsid w:val="006B65EF"/>
    <w:rsid w:val="006B6E23"/>
    <w:rsid w:val="006B7000"/>
    <w:rsid w:val="006B7146"/>
    <w:rsid w:val="006B72CF"/>
    <w:rsid w:val="006B73A3"/>
    <w:rsid w:val="006B73B4"/>
    <w:rsid w:val="006B768A"/>
    <w:rsid w:val="006B79EA"/>
    <w:rsid w:val="006B7B84"/>
    <w:rsid w:val="006B7E27"/>
    <w:rsid w:val="006B7F5F"/>
    <w:rsid w:val="006B7F66"/>
    <w:rsid w:val="006C005C"/>
    <w:rsid w:val="006C00C2"/>
    <w:rsid w:val="006C018B"/>
    <w:rsid w:val="006C0193"/>
    <w:rsid w:val="006C06C6"/>
    <w:rsid w:val="006C0AC3"/>
    <w:rsid w:val="006C1609"/>
    <w:rsid w:val="006C1ADF"/>
    <w:rsid w:val="006C25F0"/>
    <w:rsid w:val="006C3195"/>
    <w:rsid w:val="006C3708"/>
    <w:rsid w:val="006C38C3"/>
    <w:rsid w:val="006C3A1A"/>
    <w:rsid w:val="006C3B71"/>
    <w:rsid w:val="006C41C9"/>
    <w:rsid w:val="006C420A"/>
    <w:rsid w:val="006C4313"/>
    <w:rsid w:val="006C456D"/>
    <w:rsid w:val="006C4628"/>
    <w:rsid w:val="006C4690"/>
    <w:rsid w:val="006C4AD3"/>
    <w:rsid w:val="006C4B0F"/>
    <w:rsid w:val="006C4DBC"/>
    <w:rsid w:val="006C5246"/>
    <w:rsid w:val="006C532A"/>
    <w:rsid w:val="006C53A8"/>
    <w:rsid w:val="006C5599"/>
    <w:rsid w:val="006C5623"/>
    <w:rsid w:val="006C5EAB"/>
    <w:rsid w:val="006C604B"/>
    <w:rsid w:val="006C60A0"/>
    <w:rsid w:val="006C645B"/>
    <w:rsid w:val="006C653F"/>
    <w:rsid w:val="006C6A8E"/>
    <w:rsid w:val="006C6ACB"/>
    <w:rsid w:val="006C6ADD"/>
    <w:rsid w:val="006C6E56"/>
    <w:rsid w:val="006C76CA"/>
    <w:rsid w:val="006C792D"/>
    <w:rsid w:val="006C7A60"/>
    <w:rsid w:val="006C7B1F"/>
    <w:rsid w:val="006C7D8E"/>
    <w:rsid w:val="006D0A0E"/>
    <w:rsid w:val="006D0B90"/>
    <w:rsid w:val="006D0F88"/>
    <w:rsid w:val="006D1094"/>
    <w:rsid w:val="006D1172"/>
    <w:rsid w:val="006D12A7"/>
    <w:rsid w:val="006D12D0"/>
    <w:rsid w:val="006D1394"/>
    <w:rsid w:val="006D1562"/>
    <w:rsid w:val="006D1581"/>
    <w:rsid w:val="006D190C"/>
    <w:rsid w:val="006D2477"/>
    <w:rsid w:val="006D2870"/>
    <w:rsid w:val="006D2E49"/>
    <w:rsid w:val="006D2FE3"/>
    <w:rsid w:val="006D3048"/>
    <w:rsid w:val="006D32C0"/>
    <w:rsid w:val="006D34FE"/>
    <w:rsid w:val="006D35E4"/>
    <w:rsid w:val="006D3703"/>
    <w:rsid w:val="006D3828"/>
    <w:rsid w:val="006D399A"/>
    <w:rsid w:val="006D3BC8"/>
    <w:rsid w:val="006D3E6D"/>
    <w:rsid w:val="006D4089"/>
    <w:rsid w:val="006D447F"/>
    <w:rsid w:val="006D4C8A"/>
    <w:rsid w:val="006D4F86"/>
    <w:rsid w:val="006D5014"/>
    <w:rsid w:val="006D5312"/>
    <w:rsid w:val="006D558A"/>
    <w:rsid w:val="006D566E"/>
    <w:rsid w:val="006D57A3"/>
    <w:rsid w:val="006D5A02"/>
    <w:rsid w:val="006D5A11"/>
    <w:rsid w:val="006D5E1E"/>
    <w:rsid w:val="006D5EB4"/>
    <w:rsid w:val="006D6022"/>
    <w:rsid w:val="006D638F"/>
    <w:rsid w:val="006D64CB"/>
    <w:rsid w:val="006D65E9"/>
    <w:rsid w:val="006D6B69"/>
    <w:rsid w:val="006D6C91"/>
    <w:rsid w:val="006D7480"/>
    <w:rsid w:val="006D75C2"/>
    <w:rsid w:val="006D7613"/>
    <w:rsid w:val="006E027C"/>
    <w:rsid w:val="006E0295"/>
    <w:rsid w:val="006E0394"/>
    <w:rsid w:val="006E0594"/>
    <w:rsid w:val="006E0E12"/>
    <w:rsid w:val="006E0F8A"/>
    <w:rsid w:val="006E0FBC"/>
    <w:rsid w:val="006E1748"/>
    <w:rsid w:val="006E1946"/>
    <w:rsid w:val="006E2410"/>
    <w:rsid w:val="006E2440"/>
    <w:rsid w:val="006E2618"/>
    <w:rsid w:val="006E2692"/>
    <w:rsid w:val="006E273A"/>
    <w:rsid w:val="006E281A"/>
    <w:rsid w:val="006E28DF"/>
    <w:rsid w:val="006E2DB3"/>
    <w:rsid w:val="006E2E1D"/>
    <w:rsid w:val="006E2F2C"/>
    <w:rsid w:val="006E3079"/>
    <w:rsid w:val="006E43F8"/>
    <w:rsid w:val="006E4648"/>
    <w:rsid w:val="006E4CBD"/>
    <w:rsid w:val="006E5147"/>
    <w:rsid w:val="006E570C"/>
    <w:rsid w:val="006E5D3B"/>
    <w:rsid w:val="006E5F1A"/>
    <w:rsid w:val="006E602B"/>
    <w:rsid w:val="006E610C"/>
    <w:rsid w:val="006E6469"/>
    <w:rsid w:val="006E648B"/>
    <w:rsid w:val="006E6509"/>
    <w:rsid w:val="006E66BD"/>
    <w:rsid w:val="006E6804"/>
    <w:rsid w:val="006E691D"/>
    <w:rsid w:val="006E6B7C"/>
    <w:rsid w:val="006E6D0B"/>
    <w:rsid w:val="006E7185"/>
    <w:rsid w:val="006E718B"/>
    <w:rsid w:val="006E72AB"/>
    <w:rsid w:val="006E769C"/>
    <w:rsid w:val="006E7729"/>
    <w:rsid w:val="006E79C5"/>
    <w:rsid w:val="006E7D46"/>
    <w:rsid w:val="006F01F3"/>
    <w:rsid w:val="006F04B0"/>
    <w:rsid w:val="006F0517"/>
    <w:rsid w:val="006F0544"/>
    <w:rsid w:val="006F05B9"/>
    <w:rsid w:val="006F0E2F"/>
    <w:rsid w:val="006F0FF5"/>
    <w:rsid w:val="006F1398"/>
    <w:rsid w:val="006F14EF"/>
    <w:rsid w:val="006F18D0"/>
    <w:rsid w:val="006F21A3"/>
    <w:rsid w:val="006F2410"/>
    <w:rsid w:val="006F259C"/>
    <w:rsid w:val="006F280D"/>
    <w:rsid w:val="006F2831"/>
    <w:rsid w:val="006F2CA0"/>
    <w:rsid w:val="006F2D06"/>
    <w:rsid w:val="006F3022"/>
    <w:rsid w:val="006F31B8"/>
    <w:rsid w:val="006F354D"/>
    <w:rsid w:val="006F3C18"/>
    <w:rsid w:val="006F40D9"/>
    <w:rsid w:val="006F41A4"/>
    <w:rsid w:val="006F449D"/>
    <w:rsid w:val="006F4C31"/>
    <w:rsid w:val="006F4C71"/>
    <w:rsid w:val="006F4D7F"/>
    <w:rsid w:val="006F4DE2"/>
    <w:rsid w:val="006F4E76"/>
    <w:rsid w:val="006F51DE"/>
    <w:rsid w:val="006F5364"/>
    <w:rsid w:val="006F5C1A"/>
    <w:rsid w:val="006F5FC3"/>
    <w:rsid w:val="006F60F4"/>
    <w:rsid w:val="006F6187"/>
    <w:rsid w:val="006F61BE"/>
    <w:rsid w:val="006F6A8F"/>
    <w:rsid w:val="006F6DF4"/>
    <w:rsid w:val="006F703C"/>
    <w:rsid w:val="006F71B1"/>
    <w:rsid w:val="006F71F7"/>
    <w:rsid w:val="006F724D"/>
    <w:rsid w:val="006F72BC"/>
    <w:rsid w:val="006F7320"/>
    <w:rsid w:val="006F735A"/>
    <w:rsid w:val="006F7386"/>
    <w:rsid w:val="006F75D4"/>
    <w:rsid w:val="006F761F"/>
    <w:rsid w:val="006F76CC"/>
    <w:rsid w:val="006F76CE"/>
    <w:rsid w:val="006F787F"/>
    <w:rsid w:val="006F7F51"/>
    <w:rsid w:val="007007FD"/>
    <w:rsid w:val="007008FB"/>
    <w:rsid w:val="00700A3A"/>
    <w:rsid w:val="0070138E"/>
    <w:rsid w:val="007013FC"/>
    <w:rsid w:val="00701403"/>
    <w:rsid w:val="00701E39"/>
    <w:rsid w:val="00702EA2"/>
    <w:rsid w:val="0070333D"/>
    <w:rsid w:val="00703869"/>
    <w:rsid w:val="007039E0"/>
    <w:rsid w:val="00703E1F"/>
    <w:rsid w:val="00703F53"/>
    <w:rsid w:val="0070401B"/>
    <w:rsid w:val="0070420A"/>
    <w:rsid w:val="00704413"/>
    <w:rsid w:val="00704FDB"/>
    <w:rsid w:val="00704FF0"/>
    <w:rsid w:val="0070550D"/>
    <w:rsid w:val="00705ABF"/>
    <w:rsid w:val="00705F40"/>
    <w:rsid w:val="00705FDB"/>
    <w:rsid w:val="00706177"/>
    <w:rsid w:val="007069AA"/>
    <w:rsid w:val="00706A53"/>
    <w:rsid w:val="00706D02"/>
    <w:rsid w:val="007071C5"/>
    <w:rsid w:val="0070774C"/>
    <w:rsid w:val="00707AAB"/>
    <w:rsid w:val="00707AAC"/>
    <w:rsid w:val="00707E7A"/>
    <w:rsid w:val="00710196"/>
    <w:rsid w:val="007103A3"/>
    <w:rsid w:val="00710995"/>
    <w:rsid w:val="00710BCC"/>
    <w:rsid w:val="0071104B"/>
    <w:rsid w:val="00711086"/>
    <w:rsid w:val="0071175F"/>
    <w:rsid w:val="00711F57"/>
    <w:rsid w:val="007122D3"/>
    <w:rsid w:val="00712384"/>
    <w:rsid w:val="007128B0"/>
    <w:rsid w:val="00712C12"/>
    <w:rsid w:val="007133B4"/>
    <w:rsid w:val="007133FA"/>
    <w:rsid w:val="00713578"/>
    <w:rsid w:val="00713721"/>
    <w:rsid w:val="00713790"/>
    <w:rsid w:val="00713846"/>
    <w:rsid w:val="00713A74"/>
    <w:rsid w:val="00713B27"/>
    <w:rsid w:val="00713C92"/>
    <w:rsid w:val="00713D6E"/>
    <w:rsid w:val="00713DA7"/>
    <w:rsid w:val="00713E02"/>
    <w:rsid w:val="007142E5"/>
    <w:rsid w:val="0071479A"/>
    <w:rsid w:val="00714BC8"/>
    <w:rsid w:val="00714FD3"/>
    <w:rsid w:val="007150B7"/>
    <w:rsid w:val="0071526C"/>
    <w:rsid w:val="0071545C"/>
    <w:rsid w:val="00715520"/>
    <w:rsid w:val="0071563E"/>
    <w:rsid w:val="007156D8"/>
    <w:rsid w:val="00715D7B"/>
    <w:rsid w:val="00716123"/>
    <w:rsid w:val="0071662D"/>
    <w:rsid w:val="00716965"/>
    <w:rsid w:val="00716D2E"/>
    <w:rsid w:val="00716EEE"/>
    <w:rsid w:val="00716FE9"/>
    <w:rsid w:val="0071701C"/>
    <w:rsid w:val="00717020"/>
    <w:rsid w:val="007174F7"/>
    <w:rsid w:val="00717973"/>
    <w:rsid w:val="007179A1"/>
    <w:rsid w:val="00717B5E"/>
    <w:rsid w:val="00717BF4"/>
    <w:rsid w:val="00720476"/>
    <w:rsid w:val="007210C1"/>
    <w:rsid w:val="0072131C"/>
    <w:rsid w:val="00721EBE"/>
    <w:rsid w:val="00721F4C"/>
    <w:rsid w:val="00721FBE"/>
    <w:rsid w:val="007222CB"/>
    <w:rsid w:val="0072285E"/>
    <w:rsid w:val="00722A05"/>
    <w:rsid w:val="00722C23"/>
    <w:rsid w:val="00723024"/>
    <w:rsid w:val="00723504"/>
    <w:rsid w:val="007237B8"/>
    <w:rsid w:val="0072391B"/>
    <w:rsid w:val="007239DD"/>
    <w:rsid w:val="00723A18"/>
    <w:rsid w:val="00723CEC"/>
    <w:rsid w:val="00723E03"/>
    <w:rsid w:val="00723EA8"/>
    <w:rsid w:val="00724297"/>
    <w:rsid w:val="007244AA"/>
    <w:rsid w:val="00724F1A"/>
    <w:rsid w:val="007251E5"/>
    <w:rsid w:val="00725465"/>
    <w:rsid w:val="00725980"/>
    <w:rsid w:val="00725A75"/>
    <w:rsid w:val="00725A94"/>
    <w:rsid w:val="00725ADA"/>
    <w:rsid w:val="00725B4F"/>
    <w:rsid w:val="00725F27"/>
    <w:rsid w:val="00726494"/>
    <w:rsid w:val="00726542"/>
    <w:rsid w:val="0072661A"/>
    <w:rsid w:val="007267F3"/>
    <w:rsid w:val="00726A80"/>
    <w:rsid w:val="00726BAF"/>
    <w:rsid w:val="00726FF2"/>
    <w:rsid w:val="007270AC"/>
    <w:rsid w:val="007273ED"/>
    <w:rsid w:val="00727822"/>
    <w:rsid w:val="00727AD6"/>
    <w:rsid w:val="00727BE2"/>
    <w:rsid w:val="00727DB2"/>
    <w:rsid w:val="00727F58"/>
    <w:rsid w:val="007302E6"/>
    <w:rsid w:val="00730568"/>
    <w:rsid w:val="00730CE8"/>
    <w:rsid w:val="00730DFE"/>
    <w:rsid w:val="00730FC4"/>
    <w:rsid w:val="0073118D"/>
    <w:rsid w:val="007312A3"/>
    <w:rsid w:val="0073136F"/>
    <w:rsid w:val="007319EC"/>
    <w:rsid w:val="00731AB6"/>
    <w:rsid w:val="0073248D"/>
    <w:rsid w:val="007324EF"/>
    <w:rsid w:val="0073271A"/>
    <w:rsid w:val="00732877"/>
    <w:rsid w:val="007334B4"/>
    <w:rsid w:val="007335A5"/>
    <w:rsid w:val="00733891"/>
    <w:rsid w:val="00733C93"/>
    <w:rsid w:val="00734047"/>
    <w:rsid w:val="0073416E"/>
    <w:rsid w:val="007341BD"/>
    <w:rsid w:val="007347DF"/>
    <w:rsid w:val="007348B4"/>
    <w:rsid w:val="00734CC0"/>
    <w:rsid w:val="00735344"/>
    <w:rsid w:val="0073544E"/>
    <w:rsid w:val="00735BB6"/>
    <w:rsid w:val="00735C0D"/>
    <w:rsid w:val="00735D40"/>
    <w:rsid w:val="007362F4"/>
    <w:rsid w:val="007365ED"/>
    <w:rsid w:val="00736652"/>
    <w:rsid w:val="007366D9"/>
    <w:rsid w:val="007369D6"/>
    <w:rsid w:val="00736D02"/>
    <w:rsid w:val="007370AA"/>
    <w:rsid w:val="007372A6"/>
    <w:rsid w:val="0073788D"/>
    <w:rsid w:val="007405F0"/>
    <w:rsid w:val="007409B5"/>
    <w:rsid w:val="00740B68"/>
    <w:rsid w:val="00740BB3"/>
    <w:rsid w:val="00740C25"/>
    <w:rsid w:val="0074185E"/>
    <w:rsid w:val="00741AF3"/>
    <w:rsid w:val="00741FBA"/>
    <w:rsid w:val="00742361"/>
    <w:rsid w:val="007425CD"/>
    <w:rsid w:val="00742813"/>
    <w:rsid w:val="007431A9"/>
    <w:rsid w:val="007433AF"/>
    <w:rsid w:val="007433B4"/>
    <w:rsid w:val="007438B5"/>
    <w:rsid w:val="00743CF4"/>
    <w:rsid w:val="00743F33"/>
    <w:rsid w:val="00745403"/>
    <w:rsid w:val="00745E51"/>
    <w:rsid w:val="0074644D"/>
    <w:rsid w:val="00746659"/>
    <w:rsid w:val="007466A4"/>
    <w:rsid w:val="00746C81"/>
    <w:rsid w:val="00746E78"/>
    <w:rsid w:val="00746E83"/>
    <w:rsid w:val="007475A0"/>
    <w:rsid w:val="00747C53"/>
    <w:rsid w:val="007509CE"/>
    <w:rsid w:val="007513B1"/>
    <w:rsid w:val="007513E1"/>
    <w:rsid w:val="007514D2"/>
    <w:rsid w:val="0075156A"/>
    <w:rsid w:val="00751AC4"/>
    <w:rsid w:val="0075203B"/>
    <w:rsid w:val="007522E5"/>
    <w:rsid w:val="007527E7"/>
    <w:rsid w:val="00752913"/>
    <w:rsid w:val="00752A3A"/>
    <w:rsid w:val="00752F4A"/>
    <w:rsid w:val="00753813"/>
    <w:rsid w:val="0075461D"/>
    <w:rsid w:val="0075468A"/>
    <w:rsid w:val="0075487C"/>
    <w:rsid w:val="00754889"/>
    <w:rsid w:val="00754957"/>
    <w:rsid w:val="00754CEC"/>
    <w:rsid w:val="00754E16"/>
    <w:rsid w:val="007550E2"/>
    <w:rsid w:val="007558D3"/>
    <w:rsid w:val="00755E9C"/>
    <w:rsid w:val="00756307"/>
    <w:rsid w:val="00756D9B"/>
    <w:rsid w:val="00757B93"/>
    <w:rsid w:val="00757EC2"/>
    <w:rsid w:val="00757EC4"/>
    <w:rsid w:val="00760070"/>
    <w:rsid w:val="00760192"/>
    <w:rsid w:val="007604FE"/>
    <w:rsid w:val="00760965"/>
    <w:rsid w:val="00760CE0"/>
    <w:rsid w:val="0076143C"/>
    <w:rsid w:val="00761842"/>
    <w:rsid w:val="00761AF8"/>
    <w:rsid w:val="00761AF9"/>
    <w:rsid w:val="0076247F"/>
    <w:rsid w:val="0076282E"/>
    <w:rsid w:val="00762C2D"/>
    <w:rsid w:val="00762D24"/>
    <w:rsid w:val="00762D62"/>
    <w:rsid w:val="00762E47"/>
    <w:rsid w:val="00762F06"/>
    <w:rsid w:val="00762FCD"/>
    <w:rsid w:val="007631DB"/>
    <w:rsid w:val="00763220"/>
    <w:rsid w:val="00763372"/>
    <w:rsid w:val="0076390F"/>
    <w:rsid w:val="00763E8A"/>
    <w:rsid w:val="007643C4"/>
    <w:rsid w:val="007643D7"/>
    <w:rsid w:val="0076450D"/>
    <w:rsid w:val="00764510"/>
    <w:rsid w:val="007649AB"/>
    <w:rsid w:val="00764E9B"/>
    <w:rsid w:val="00764F96"/>
    <w:rsid w:val="0076553C"/>
    <w:rsid w:val="00765936"/>
    <w:rsid w:val="00766110"/>
    <w:rsid w:val="0076628D"/>
    <w:rsid w:val="007663C1"/>
    <w:rsid w:val="00766D9D"/>
    <w:rsid w:val="007675CA"/>
    <w:rsid w:val="00770757"/>
    <w:rsid w:val="00770CD7"/>
    <w:rsid w:val="00770EAD"/>
    <w:rsid w:val="00771D7F"/>
    <w:rsid w:val="007720B9"/>
    <w:rsid w:val="0077256D"/>
    <w:rsid w:val="00772898"/>
    <w:rsid w:val="00772A39"/>
    <w:rsid w:val="00772C5F"/>
    <w:rsid w:val="00772D5D"/>
    <w:rsid w:val="00772DFC"/>
    <w:rsid w:val="007734C3"/>
    <w:rsid w:val="00773792"/>
    <w:rsid w:val="00773987"/>
    <w:rsid w:val="00773A3B"/>
    <w:rsid w:val="00773EF5"/>
    <w:rsid w:val="007740DD"/>
    <w:rsid w:val="00774296"/>
    <w:rsid w:val="00774A63"/>
    <w:rsid w:val="00774EC0"/>
    <w:rsid w:val="00775376"/>
    <w:rsid w:val="00775742"/>
    <w:rsid w:val="00776271"/>
    <w:rsid w:val="007763EC"/>
    <w:rsid w:val="00776854"/>
    <w:rsid w:val="00776DF5"/>
    <w:rsid w:val="00776EE4"/>
    <w:rsid w:val="0077781E"/>
    <w:rsid w:val="00777E59"/>
    <w:rsid w:val="00777EAE"/>
    <w:rsid w:val="0078051E"/>
    <w:rsid w:val="0078069A"/>
    <w:rsid w:val="00780CC6"/>
    <w:rsid w:val="00780ED8"/>
    <w:rsid w:val="00780F16"/>
    <w:rsid w:val="0078115C"/>
    <w:rsid w:val="007811BD"/>
    <w:rsid w:val="00781259"/>
    <w:rsid w:val="007818BF"/>
    <w:rsid w:val="00781C10"/>
    <w:rsid w:val="00782709"/>
    <w:rsid w:val="00782C51"/>
    <w:rsid w:val="00782CAF"/>
    <w:rsid w:val="00782CD5"/>
    <w:rsid w:val="00782E2C"/>
    <w:rsid w:val="00782FD3"/>
    <w:rsid w:val="00783847"/>
    <w:rsid w:val="00783B3E"/>
    <w:rsid w:val="00784405"/>
    <w:rsid w:val="0078467B"/>
    <w:rsid w:val="00784702"/>
    <w:rsid w:val="00784A43"/>
    <w:rsid w:val="00785225"/>
    <w:rsid w:val="00785331"/>
    <w:rsid w:val="00785516"/>
    <w:rsid w:val="00785713"/>
    <w:rsid w:val="00785986"/>
    <w:rsid w:val="00785A57"/>
    <w:rsid w:val="007868A4"/>
    <w:rsid w:val="007869B7"/>
    <w:rsid w:val="00786A3C"/>
    <w:rsid w:val="00786A73"/>
    <w:rsid w:val="00786F94"/>
    <w:rsid w:val="007871F2"/>
    <w:rsid w:val="007873CC"/>
    <w:rsid w:val="00787795"/>
    <w:rsid w:val="0078788C"/>
    <w:rsid w:val="00787D45"/>
    <w:rsid w:val="00787DDB"/>
    <w:rsid w:val="00787F5D"/>
    <w:rsid w:val="007901A4"/>
    <w:rsid w:val="007904BD"/>
    <w:rsid w:val="007907C7"/>
    <w:rsid w:val="007907EE"/>
    <w:rsid w:val="0079082D"/>
    <w:rsid w:val="0079090E"/>
    <w:rsid w:val="00790971"/>
    <w:rsid w:val="00790C19"/>
    <w:rsid w:val="00790D92"/>
    <w:rsid w:val="007913B6"/>
    <w:rsid w:val="00791491"/>
    <w:rsid w:val="007914F7"/>
    <w:rsid w:val="007915A9"/>
    <w:rsid w:val="00791B38"/>
    <w:rsid w:val="00791C5D"/>
    <w:rsid w:val="00791C9E"/>
    <w:rsid w:val="0079265B"/>
    <w:rsid w:val="00792D13"/>
    <w:rsid w:val="00792FC1"/>
    <w:rsid w:val="00793257"/>
    <w:rsid w:val="007936D2"/>
    <w:rsid w:val="007936F3"/>
    <w:rsid w:val="007946E6"/>
    <w:rsid w:val="00794CFC"/>
    <w:rsid w:val="00794EE6"/>
    <w:rsid w:val="0079505C"/>
    <w:rsid w:val="00795292"/>
    <w:rsid w:val="00795418"/>
    <w:rsid w:val="00795B61"/>
    <w:rsid w:val="00795DC3"/>
    <w:rsid w:val="00796552"/>
    <w:rsid w:val="007965F1"/>
    <w:rsid w:val="007967B1"/>
    <w:rsid w:val="007969BD"/>
    <w:rsid w:val="00796A31"/>
    <w:rsid w:val="00796ABD"/>
    <w:rsid w:val="00796C29"/>
    <w:rsid w:val="00796EAB"/>
    <w:rsid w:val="00797664"/>
    <w:rsid w:val="00797949"/>
    <w:rsid w:val="00797A60"/>
    <w:rsid w:val="00797A6F"/>
    <w:rsid w:val="00797B36"/>
    <w:rsid w:val="00797E5A"/>
    <w:rsid w:val="00797EBF"/>
    <w:rsid w:val="007A0120"/>
    <w:rsid w:val="007A0195"/>
    <w:rsid w:val="007A0855"/>
    <w:rsid w:val="007A10E0"/>
    <w:rsid w:val="007A13C9"/>
    <w:rsid w:val="007A1947"/>
    <w:rsid w:val="007A1CB9"/>
    <w:rsid w:val="007A1EF6"/>
    <w:rsid w:val="007A24A5"/>
    <w:rsid w:val="007A26C2"/>
    <w:rsid w:val="007A2A47"/>
    <w:rsid w:val="007A2A7B"/>
    <w:rsid w:val="007A2CFA"/>
    <w:rsid w:val="007A301C"/>
    <w:rsid w:val="007A3053"/>
    <w:rsid w:val="007A31A1"/>
    <w:rsid w:val="007A3387"/>
    <w:rsid w:val="007A34F3"/>
    <w:rsid w:val="007A3852"/>
    <w:rsid w:val="007A3E53"/>
    <w:rsid w:val="007A52A0"/>
    <w:rsid w:val="007A534F"/>
    <w:rsid w:val="007A5AC0"/>
    <w:rsid w:val="007A629D"/>
    <w:rsid w:val="007A65BB"/>
    <w:rsid w:val="007A6E1F"/>
    <w:rsid w:val="007A6FAD"/>
    <w:rsid w:val="007A762D"/>
    <w:rsid w:val="007B00B2"/>
    <w:rsid w:val="007B0999"/>
    <w:rsid w:val="007B0BA5"/>
    <w:rsid w:val="007B13C3"/>
    <w:rsid w:val="007B14AF"/>
    <w:rsid w:val="007B19F3"/>
    <w:rsid w:val="007B1A27"/>
    <w:rsid w:val="007B1FD5"/>
    <w:rsid w:val="007B23D4"/>
    <w:rsid w:val="007B246C"/>
    <w:rsid w:val="007B248C"/>
    <w:rsid w:val="007B267D"/>
    <w:rsid w:val="007B2A44"/>
    <w:rsid w:val="007B2AF3"/>
    <w:rsid w:val="007B2BD4"/>
    <w:rsid w:val="007B2C50"/>
    <w:rsid w:val="007B3200"/>
    <w:rsid w:val="007B335D"/>
    <w:rsid w:val="007B35A9"/>
    <w:rsid w:val="007B37FE"/>
    <w:rsid w:val="007B4011"/>
    <w:rsid w:val="007B40A5"/>
    <w:rsid w:val="007B4253"/>
    <w:rsid w:val="007B458C"/>
    <w:rsid w:val="007B4980"/>
    <w:rsid w:val="007B4A41"/>
    <w:rsid w:val="007B4B05"/>
    <w:rsid w:val="007B4B0C"/>
    <w:rsid w:val="007B4C9A"/>
    <w:rsid w:val="007B4E82"/>
    <w:rsid w:val="007B4F42"/>
    <w:rsid w:val="007B5009"/>
    <w:rsid w:val="007B5178"/>
    <w:rsid w:val="007B5B7D"/>
    <w:rsid w:val="007B5E93"/>
    <w:rsid w:val="007B6020"/>
    <w:rsid w:val="007B604D"/>
    <w:rsid w:val="007B658C"/>
    <w:rsid w:val="007B6A36"/>
    <w:rsid w:val="007B6B15"/>
    <w:rsid w:val="007B7028"/>
    <w:rsid w:val="007B702A"/>
    <w:rsid w:val="007B70FB"/>
    <w:rsid w:val="007B712C"/>
    <w:rsid w:val="007B71D5"/>
    <w:rsid w:val="007B7217"/>
    <w:rsid w:val="007B7749"/>
    <w:rsid w:val="007B7764"/>
    <w:rsid w:val="007B7A80"/>
    <w:rsid w:val="007B7CF6"/>
    <w:rsid w:val="007C0A60"/>
    <w:rsid w:val="007C0AC4"/>
    <w:rsid w:val="007C0BCE"/>
    <w:rsid w:val="007C0E7A"/>
    <w:rsid w:val="007C0FE1"/>
    <w:rsid w:val="007C100A"/>
    <w:rsid w:val="007C109E"/>
    <w:rsid w:val="007C1202"/>
    <w:rsid w:val="007C1356"/>
    <w:rsid w:val="007C1661"/>
    <w:rsid w:val="007C17DD"/>
    <w:rsid w:val="007C21C9"/>
    <w:rsid w:val="007C21F0"/>
    <w:rsid w:val="007C2A91"/>
    <w:rsid w:val="007C2C67"/>
    <w:rsid w:val="007C2C74"/>
    <w:rsid w:val="007C2D00"/>
    <w:rsid w:val="007C31D3"/>
    <w:rsid w:val="007C32E8"/>
    <w:rsid w:val="007C33A7"/>
    <w:rsid w:val="007C3A45"/>
    <w:rsid w:val="007C3DC0"/>
    <w:rsid w:val="007C3F08"/>
    <w:rsid w:val="007C4210"/>
    <w:rsid w:val="007C480D"/>
    <w:rsid w:val="007C48DC"/>
    <w:rsid w:val="007C4BEC"/>
    <w:rsid w:val="007C4F84"/>
    <w:rsid w:val="007C5050"/>
    <w:rsid w:val="007C506D"/>
    <w:rsid w:val="007C50A1"/>
    <w:rsid w:val="007C52CE"/>
    <w:rsid w:val="007C5601"/>
    <w:rsid w:val="007C56C9"/>
    <w:rsid w:val="007C57AC"/>
    <w:rsid w:val="007C5B62"/>
    <w:rsid w:val="007C5E8F"/>
    <w:rsid w:val="007C5E93"/>
    <w:rsid w:val="007C640E"/>
    <w:rsid w:val="007C6BA9"/>
    <w:rsid w:val="007C6BB9"/>
    <w:rsid w:val="007C6DC3"/>
    <w:rsid w:val="007C716A"/>
    <w:rsid w:val="007C726F"/>
    <w:rsid w:val="007C731A"/>
    <w:rsid w:val="007C73CA"/>
    <w:rsid w:val="007C7C78"/>
    <w:rsid w:val="007D0965"/>
    <w:rsid w:val="007D0D50"/>
    <w:rsid w:val="007D0F13"/>
    <w:rsid w:val="007D1467"/>
    <w:rsid w:val="007D1564"/>
    <w:rsid w:val="007D175A"/>
    <w:rsid w:val="007D1849"/>
    <w:rsid w:val="007D18AA"/>
    <w:rsid w:val="007D1934"/>
    <w:rsid w:val="007D1A9F"/>
    <w:rsid w:val="007D1BD7"/>
    <w:rsid w:val="007D1BE1"/>
    <w:rsid w:val="007D1C5A"/>
    <w:rsid w:val="007D1E91"/>
    <w:rsid w:val="007D239B"/>
    <w:rsid w:val="007D2538"/>
    <w:rsid w:val="007D2552"/>
    <w:rsid w:val="007D26C4"/>
    <w:rsid w:val="007D28DA"/>
    <w:rsid w:val="007D2BF7"/>
    <w:rsid w:val="007D323E"/>
    <w:rsid w:val="007D327C"/>
    <w:rsid w:val="007D3507"/>
    <w:rsid w:val="007D369F"/>
    <w:rsid w:val="007D36A5"/>
    <w:rsid w:val="007D383C"/>
    <w:rsid w:val="007D3A1D"/>
    <w:rsid w:val="007D4407"/>
    <w:rsid w:val="007D491A"/>
    <w:rsid w:val="007D4989"/>
    <w:rsid w:val="007D5497"/>
    <w:rsid w:val="007D5796"/>
    <w:rsid w:val="007D63B2"/>
    <w:rsid w:val="007D6877"/>
    <w:rsid w:val="007D6B02"/>
    <w:rsid w:val="007D6E82"/>
    <w:rsid w:val="007D720B"/>
    <w:rsid w:val="007D7456"/>
    <w:rsid w:val="007D7B4E"/>
    <w:rsid w:val="007D7EF8"/>
    <w:rsid w:val="007D7F2A"/>
    <w:rsid w:val="007E0088"/>
    <w:rsid w:val="007E01D6"/>
    <w:rsid w:val="007E01D8"/>
    <w:rsid w:val="007E01DE"/>
    <w:rsid w:val="007E0868"/>
    <w:rsid w:val="007E094A"/>
    <w:rsid w:val="007E0A53"/>
    <w:rsid w:val="007E0FEA"/>
    <w:rsid w:val="007E1017"/>
    <w:rsid w:val="007E1279"/>
    <w:rsid w:val="007E1758"/>
    <w:rsid w:val="007E192F"/>
    <w:rsid w:val="007E1A9E"/>
    <w:rsid w:val="007E1C82"/>
    <w:rsid w:val="007E1DEC"/>
    <w:rsid w:val="007E2147"/>
    <w:rsid w:val="007E28CA"/>
    <w:rsid w:val="007E2E63"/>
    <w:rsid w:val="007E2E91"/>
    <w:rsid w:val="007E2F4D"/>
    <w:rsid w:val="007E374E"/>
    <w:rsid w:val="007E39C4"/>
    <w:rsid w:val="007E3D95"/>
    <w:rsid w:val="007E3F36"/>
    <w:rsid w:val="007E4042"/>
    <w:rsid w:val="007E43D6"/>
    <w:rsid w:val="007E4803"/>
    <w:rsid w:val="007E4894"/>
    <w:rsid w:val="007E492F"/>
    <w:rsid w:val="007E4CAF"/>
    <w:rsid w:val="007E4DD1"/>
    <w:rsid w:val="007E4DE4"/>
    <w:rsid w:val="007E5745"/>
    <w:rsid w:val="007E5791"/>
    <w:rsid w:val="007E5DE8"/>
    <w:rsid w:val="007E5E49"/>
    <w:rsid w:val="007E6A2A"/>
    <w:rsid w:val="007E6F74"/>
    <w:rsid w:val="007E7619"/>
    <w:rsid w:val="007E796A"/>
    <w:rsid w:val="007E7FCA"/>
    <w:rsid w:val="007F00B3"/>
    <w:rsid w:val="007F0366"/>
    <w:rsid w:val="007F0507"/>
    <w:rsid w:val="007F0CDD"/>
    <w:rsid w:val="007F1532"/>
    <w:rsid w:val="007F19E1"/>
    <w:rsid w:val="007F2304"/>
    <w:rsid w:val="007F2405"/>
    <w:rsid w:val="007F27B4"/>
    <w:rsid w:val="007F3011"/>
    <w:rsid w:val="007F3037"/>
    <w:rsid w:val="007F347D"/>
    <w:rsid w:val="007F3837"/>
    <w:rsid w:val="007F3B27"/>
    <w:rsid w:val="007F3B2A"/>
    <w:rsid w:val="007F3E97"/>
    <w:rsid w:val="007F3EF7"/>
    <w:rsid w:val="007F4014"/>
    <w:rsid w:val="007F461D"/>
    <w:rsid w:val="007F4B8B"/>
    <w:rsid w:val="007F53FB"/>
    <w:rsid w:val="007F5D9F"/>
    <w:rsid w:val="007F5DF9"/>
    <w:rsid w:val="007F6800"/>
    <w:rsid w:val="007F6EDF"/>
    <w:rsid w:val="007F6FCD"/>
    <w:rsid w:val="007F703E"/>
    <w:rsid w:val="007F7428"/>
    <w:rsid w:val="007F7A0C"/>
    <w:rsid w:val="007F7DBC"/>
    <w:rsid w:val="007F7E65"/>
    <w:rsid w:val="008000E2"/>
    <w:rsid w:val="00800488"/>
    <w:rsid w:val="00800C73"/>
    <w:rsid w:val="00800FBC"/>
    <w:rsid w:val="008015C4"/>
    <w:rsid w:val="008023AA"/>
    <w:rsid w:val="0080267B"/>
    <w:rsid w:val="0080293C"/>
    <w:rsid w:val="008031CF"/>
    <w:rsid w:val="00803364"/>
    <w:rsid w:val="00803CD8"/>
    <w:rsid w:val="008040C4"/>
    <w:rsid w:val="008045B1"/>
    <w:rsid w:val="0080465A"/>
    <w:rsid w:val="00804876"/>
    <w:rsid w:val="00804D1C"/>
    <w:rsid w:val="00805566"/>
    <w:rsid w:val="00805755"/>
    <w:rsid w:val="00805ABC"/>
    <w:rsid w:val="00805F6E"/>
    <w:rsid w:val="00806057"/>
    <w:rsid w:val="00806381"/>
    <w:rsid w:val="008063A8"/>
    <w:rsid w:val="008065FE"/>
    <w:rsid w:val="0080682E"/>
    <w:rsid w:val="008068B2"/>
    <w:rsid w:val="00806D69"/>
    <w:rsid w:val="00807438"/>
    <w:rsid w:val="0080746E"/>
    <w:rsid w:val="00807AF3"/>
    <w:rsid w:val="00807B04"/>
    <w:rsid w:val="00807EDC"/>
    <w:rsid w:val="008103C5"/>
    <w:rsid w:val="008104D6"/>
    <w:rsid w:val="0081072E"/>
    <w:rsid w:val="00810D50"/>
    <w:rsid w:val="00810EB6"/>
    <w:rsid w:val="00811069"/>
    <w:rsid w:val="008115A3"/>
    <w:rsid w:val="008118C4"/>
    <w:rsid w:val="00811990"/>
    <w:rsid w:val="00811B56"/>
    <w:rsid w:val="00811D12"/>
    <w:rsid w:val="008120C3"/>
    <w:rsid w:val="00812295"/>
    <w:rsid w:val="0081246B"/>
    <w:rsid w:val="00812E36"/>
    <w:rsid w:val="00813510"/>
    <w:rsid w:val="00813632"/>
    <w:rsid w:val="0081375E"/>
    <w:rsid w:val="00813876"/>
    <w:rsid w:val="00814002"/>
    <w:rsid w:val="00814142"/>
    <w:rsid w:val="008143AE"/>
    <w:rsid w:val="00814463"/>
    <w:rsid w:val="008144EE"/>
    <w:rsid w:val="008144F8"/>
    <w:rsid w:val="00814888"/>
    <w:rsid w:val="00814E9B"/>
    <w:rsid w:val="0081550C"/>
    <w:rsid w:val="0081592E"/>
    <w:rsid w:val="0081596C"/>
    <w:rsid w:val="00815A5A"/>
    <w:rsid w:val="00815ECD"/>
    <w:rsid w:val="00816E38"/>
    <w:rsid w:val="008175D4"/>
    <w:rsid w:val="008178F1"/>
    <w:rsid w:val="00817C01"/>
    <w:rsid w:val="008203DE"/>
    <w:rsid w:val="0082054E"/>
    <w:rsid w:val="00820735"/>
    <w:rsid w:val="00820CB1"/>
    <w:rsid w:val="00820CCB"/>
    <w:rsid w:val="00820D0E"/>
    <w:rsid w:val="00820D0F"/>
    <w:rsid w:val="00820D99"/>
    <w:rsid w:val="008215FE"/>
    <w:rsid w:val="0082202D"/>
    <w:rsid w:val="008222BE"/>
    <w:rsid w:val="008224CA"/>
    <w:rsid w:val="00822953"/>
    <w:rsid w:val="00822ABA"/>
    <w:rsid w:val="00822B6C"/>
    <w:rsid w:val="00822BBD"/>
    <w:rsid w:val="00822C9D"/>
    <w:rsid w:val="00822D09"/>
    <w:rsid w:val="00822F96"/>
    <w:rsid w:val="008230FF"/>
    <w:rsid w:val="00823583"/>
    <w:rsid w:val="008239CD"/>
    <w:rsid w:val="00823B01"/>
    <w:rsid w:val="00823DAD"/>
    <w:rsid w:val="00824438"/>
    <w:rsid w:val="0082494F"/>
    <w:rsid w:val="008251BA"/>
    <w:rsid w:val="0082560C"/>
    <w:rsid w:val="00825BFD"/>
    <w:rsid w:val="00825FD9"/>
    <w:rsid w:val="008262FB"/>
    <w:rsid w:val="008264A7"/>
    <w:rsid w:val="008267E6"/>
    <w:rsid w:val="00826D6B"/>
    <w:rsid w:val="00826DF8"/>
    <w:rsid w:val="00827022"/>
    <w:rsid w:val="008277FA"/>
    <w:rsid w:val="00827891"/>
    <w:rsid w:val="00827D1C"/>
    <w:rsid w:val="00827F87"/>
    <w:rsid w:val="00830091"/>
    <w:rsid w:val="00830245"/>
    <w:rsid w:val="0083119B"/>
    <w:rsid w:val="0083133B"/>
    <w:rsid w:val="00831E2E"/>
    <w:rsid w:val="0083208E"/>
    <w:rsid w:val="008321D7"/>
    <w:rsid w:val="0083220B"/>
    <w:rsid w:val="0083240E"/>
    <w:rsid w:val="008325BB"/>
    <w:rsid w:val="00832837"/>
    <w:rsid w:val="00832917"/>
    <w:rsid w:val="00833049"/>
    <w:rsid w:val="00833099"/>
    <w:rsid w:val="008330AD"/>
    <w:rsid w:val="00833470"/>
    <w:rsid w:val="0083399B"/>
    <w:rsid w:val="008342FB"/>
    <w:rsid w:val="008344C0"/>
    <w:rsid w:val="00834578"/>
    <w:rsid w:val="008348A7"/>
    <w:rsid w:val="00834E16"/>
    <w:rsid w:val="0083541A"/>
    <w:rsid w:val="008355DA"/>
    <w:rsid w:val="0083575E"/>
    <w:rsid w:val="008358A9"/>
    <w:rsid w:val="00835A8E"/>
    <w:rsid w:val="00836063"/>
    <w:rsid w:val="00836249"/>
    <w:rsid w:val="00836329"/>
    <w:rsid w:val="0083641E"/>
    <w:rsid w:val="00836B8D"/>
    <w:rsid w:val="00836C2B"/>
    <w:rsid w:val="008371C8"/>
    <w:rsid w:val="0083729D"/>
    <w:rsid w:val="00837612"/>
    <w:rsid w:val="0083766C"/>
    <w:rsid w:val="00837834"/>
    <w:rsid w:val="00837870"/>
    <w:rsid w:val="00837904"/>
    <w:rsid w:val="0083796C"/>
    <w:rsid w:val="008401E0"/>
    <w:rsid w:val="00840B29"/>
    <w:rsid w:val="008415E7"/>
    <w:rsid w:val="00841B98"/>
    <w:rsid w:val="00841DF8"/>
    <w:rsid w:val="00842415"/>
    <w:rsid w:val="00842994"/>
    <w:rsid w:val="00842C05"/>
    <w:rsid w:val="00842D57"/>
    <w:rsid w:val="00842E3E"/>
    <w:rsid w:val="00843B03"/>
    <w:rsid w:val="00843C78"/>
    <w:rsid w:val="00843C91"/>
    <w:rsid w:val="0084410E"/>
    <w:rsid w:val="00844206"/>
    <w:rsid w:val="008444AB"/>
    <w:rsid w:val="0084459B"/>
    <w:rsid w:val="00844669"/>
    <w:rsid w:val="00844735"/>
    <w:rsid w:val="00844C9F"/>
    <w:rsid w:val="0084550B"/>
    <w:rsid w:val="008458D1"/>
    <w:rsid w:val="008458E7"/>
    <w:rsid w:val="008459C0"/>
    <w:rsid w:val="0084629A"/>
    <w:rsid w:val="008468DE"/>
    <w:rsid w:val="00846BEF"/>
    <w:rsid w:val="00846DED"/>
    <w:rsid w:val="008474C8"/>
    <w:rsid w:val="008474CD"/>
    <w:rsid w:val="008478BC"/>
    <w:rsid w:val="00847C00"/>
    <w:rsid w:val="00847E35"/>
    <w:rsid w:val="00850085"/>
    <w:rsid w:val="008500A6"/>
    <w:rsid w:val="008503A8"/>
    <w:rsid w:val="008503FE"/>
    <w:rsid w:val="00850714"/>
    <w:rsid w:val="00850932"/>
    <w:rsid w:val="00850AAC"/>
    <w:rsid w:val="00850EF0"/>
    <w:rsid w:val="008511C0"/>
    <w:rsid w:val="00851230"/>
    <w:rsid w:val="008519BE"/>
    <w:rsid w:val="00851CF4"/>
    <w:rsid w:val="00851E48"/>
    <w:rsid w:val="00852633"/>
    <w:rsid w:val="00852663"/>
    <w:rsid w:val="0085306F"/>
    <w:rsid w:val="008535E3"/>
    <w:rsid w:val="00853668"/>
    <w:rsid w:val="008536FA"/>
    <w:rsid w:val="00853904"/>
    <w:rsid w:val="00853B19"/>
    <w:rsid w:val="00853B71"/>
    <w:rsid w:val="00853B81"/>
    <w:rsid w:val="00854627"/>
    <w:rsid w:val="008547BC"/>
    <w:rsid w:val="008547E7"/>
    <w:rsid w:val="00855638"/>
    <w:rsid w:val="00855F0C"/>
    <w:rsid w:val="00855FF8"/>
    <w:rsid w:val="00856003"/>
    <w:rsid w:val="00856498"/>
    <w:rsid w:val="00856561"/>
    <w:rsid w:val="00856929"/>
    <w:rsid w:val="00856A62"/>
    <w:rsid w:val="00856D37"/>
    <w:rsid w:val="00857A80"/>
    <w:rsid w:val="00857CF8"/>
    <w:rsid w:val="008600FF"/>
    <w:rsid w:val="008601F9"/>
    <w:rsid w:val="00860838"/>
    <w:rsid w:val="0086113C"/>
    <w:rsid w:val="0086134D"/>
    <w:rsid w:val="0086146D"/>
    <w:rsid w:val="00861BBF"/>
    <w:rsid w:val="00861E93"/>
    <w:rsid w:val="00862057"/>
    <w:rsid w:val="008622ED"/>
    <w:rsid w:val="0086252A"/>
    <w:rsid w:val="00862855"/>
    <w:rsid w:val="00862876"/>
    <w:rsid w:val="008629D1"/>
    <w:rsid w:val="00862C28"/>
    <w:rsid w:val="00862D74"/>
    <w:rsid w:val="00862D92"/>
    <w:rsid w:val="00862E90"/>
    <w:rsid w:val="008630FC"/>
    <w:rsid w:val="0086319C"/>
    <w:rsid w:val="00863390"/>
    <w:rsid w:val="00863629"/>
    <w:rsid w:val="00863AFB"/>
    <w:rsid w:val="0086444E"/>
    <w:rsid w:val="00864AE8"/>
    <w:rsid w:val="00864C01"/>
    <w:rsid w:val="00864F6A"/>
    <w:rsid w:val="00865188"/>
    <w:rsid w:val="00865680"/>
    <w:rsid w:val="0086584A"/>
    <w:rsid w:val="00865A2D"/>
    <w:rsid w:val="00865ADB"/>
    <w:rsid w:val="00865C2E"/>
    <w:rsid w:val="00865E0C"/>
    <w:rsid w:val="0086647D"/>
    <w:rsid w:val="008665B7"/>
    <w:rsid w:val="0086693D"/>
    <w:rsid w:val="00866E0A"/>
    <w:rsid w:val="0086726E"/>
    <w:rsid w:val="00867D9F"/>
    <w:rsid w:val="00870167"/>
    <w:rsid w:val="00870217"/>
    <w:rsid w:val="008704C4"/>
    <w:rsid w:val="00870870"/>
    <w:rsid w:val="008708BA"/>
    <w:rsid w:val="008709AC"/>
    <w:rsid w:val="00870B0B"/>
    <w:rsid w:val="00870D5E"/>
    <w:rsid w:val="008715C3"/>
    <w:rsid w:val="00871675"/>
    <w:rsid w:val="00871903"/>
    <w:rsid w:val="008719A2"/>
    <w:rsid w:val="00871B5B"/>
    <w:rsid w:val="0087233F"/>
    <w:rsid w:val="0087258B"/>
    <w:rsid w:val="0087273C"/>
    <w:rsid w:val="008729EA"/>
    <w:rsid w:val="00872AB5"/>
    <w:rsid w:val="008736FE"/>
    <w:rsid w:val="00873720"/>
    <w:rsid w:val="00873776"/>
    <w:rsid w:val="00873CAE"/>
    <w:rsid w:val="00873E4D"/>
    <w:rsid w:val="0087457F"/>
    <w:rsid w:val="008745FC"/>
    <w:rsid w:val="008747F2"/>
    <w:rsid w:val="0087491B"/>
    <w:rsid w:val="00874AD5"/>
    <w:rsid w:val="00874DF7"/>
    <w:rsid w:val="00874DFE"/>
    <w:rsid w:val="008750FC"/>
    <w:rsid w:val="008761E8"/>
    <w:rsid w:val="00876224"/>
    <w:rsid w:val="00876C9D"/>
    <w:rsid w:val="00877229"/>
    <w:rsid w:val="00877265"/>
    <w:rsid w:val="0087731F"/>
    <w:rsid w:val="0087750E"/>
    <w:rsid w:val="00877AA3"/>
    <w:rsid w:val="00877CC8"/>
    <w:rsid w:val="008803C3"/>
    <w:rsid w:val="00880541"/>
    <w:rsid w:val="00880588"/>
    <w:rsid w:val="00880787"/>
    <w:rsid w:val="00880AAE"/>
    <w:rsid w:val="00880CBB"/>
    <w:rsid w:val="00881315"/>
    <w:rsid w:val="00881384"/>
    <w:rsid w:val="00881A86"/>
    <w:rsid w:val="00881CC5"/>
    <w:rsid w:val="00881E8F"/>
    <w:rsid w:val="00882598"/>
    <w:rsid w:val="008828FE"/>
    <w:rsid w:val="0088295C"/>
    <w:rsid w:val="00882D01"/>
    <w:rsid w:val="00882DF7"/>
    <w:rsid w:val="008834D1"/>
    <w:rsid w:val="00883A21"/>
    <w:rsid w:val="00883B4B"/>
    <w:rsid w:val="00883C64"/>
    <w:rsid w:val="00883CB6"/>
    <w:rsid w:val="00883E60"/>
    <w:rsid w:val="00883F3E"/>
    <w:rsid w:val="00884535"/>
    <w:rsid w:val="00884592"/>
    <w:rsid w:val="008845B6"/>
    <w:rsid w:val="00884AF2"/>
    <w:rsid w:val="00884F87"/>
    <w:rsid w:val="008850F6"/>
    <w:rsid w:val="00885954"/>
    <w:rsid w:val="00885CCE"/>
    <w:rsid w:val="00885DCD"/>
    <w:rsid w:val="00885E96"/>
    <w:rsid w:val="00885E98"/>
    <w:rsid w:val="00885EFD"/>
    <w:rsid w:val="0088682B"/>
    <w:rsid w:val="00886B69"/>
    <w:rsid w:val="00886C47"/>
    <w:rsid w:val="008872E0"/>
    <w:rsid w:val="00887529"/>
    <w:rsid w:val="00887859"/>
    <w:rsid w:val="00887D0D"/>
    <w:rsid w:val="00887FC0"/>
    <w:rsid w:val="00890975"/>
    <w:rsid w:val="00890C2D"/>
    <w:rsid w:val="00890EB2"/>
    <w:rsid w:val="008914A2"/>
    <w:rsid w:val="008915A0"/>
    <w:rsid w:val="00891804"/>
    <w:rsid w:val="00891AC7"/>
    <w:rsid w:val="00891C1E"/>
    <w:rsid w:val="008920DB"/>
    <w:rsid w:val="008920EA"/>
    <w:rsid w:val="00892117"/>
    <w:rsid w:val="00892785"/>
    <w:rsid w:val="00892AC6"/>
    <w:rsid w:val="00893036"/>
    <w:rsid w:val="00893372"/>
    <w:rsid w:val="008933FA"/>
    <w:rsid w:val="008946B7"/>
    <w:rsid w:val="00894E02"/>
    <w:rsid w:val="00894F75"/>
    <w:rsid w:val="00895080"/>
    <w:rsid w:val="008950CE"/>
    <w:rsid w:val="0089517D"/>
    <w:rsid w:val="00895BD0"/>
    <w:rsid w:val="00895D33"/>
    <w:rsid w:val="00895DC1"/>
    <w:rsid w:val="00895EC2"/>
    <w:rsid w:val="00895F49"/>
    <w:rsid w:val="0089661D"/>
    <w:rsid w:val="008967A5"/>
    <w:rsid w:val="00896A2B"/>
    <w:rsid w:val="00896D1E"/>
    <w:rsid w:val="00896FBD"/>
    <w:rsid w:val="00897076"/>
    <w:rsid w:val="008979F5"/>
    <w:rsid w:val="00897AED"/>
    <w:rsid w:val="00897E30"/>
    <w:rsid w:val="008A02A6"/>
    <w:rsid w:val="008A032E"/>
    <w:rsid w:val="008A0B25"/>
    <w:rsid w:val="008A1180"/>
    <w:rsid w:val="008A1856"/>
    <w:rsid w:val="008A1B96"/>
    <w:rsid w:val="008A1DBB"/>
    <w:rsid w:val="008A20D3"/>
    <w:rsid w:val="008A23AA"/>
    <w:rsid w:val="008A2928"/>
    <w:rsid w:val="008A2AC4"/>
    <w:rsid w:val="008A2C0B"/>
    <w:rsid w:val="008A2C73"/>
    <w:rsid w:val="008A2CCA"/>
    <w:rsid w:val="008A2E63"/>
    <w:rsid w:val="008A3059"/>
    <w:rsid w:val="008A34A2"/>
    <w:rsid w:val="008A3BB5"/>
    <w:rsid w:val="008A3EFA"/>
    <w:rsid w:val="008A41AE"/>
    <w:rsid w:val="008A4271"/>
    <w:rsid w:val="008A42B7"/>
    <w:rsid w:val="008A4380"/>
    <w:rsid w:val="008A4492"/>
    <w:rsid w:val="008A4524"/>
    <w:rsid w:val="008A49D2"/>
    <w:rsid w:val="008A5087"/>
    <w:rsid w:val="008A5217"/>
    <w:rsid w:val="008A535D"/>
    <w:rsid w:val="008A555B"/>
    <w:rsid w:val="008A5656"/>
    <w:rsid w:val="008A5B9A"/>
    <w:rsid w:val="008A5EF2"/>
    <w:rsid w:val="008A5F43"/>
    <w:rsid w:val="008A61DF"/>
    <w:rsid w:val="008A6248"/>
    <w:rsid w:val="008A66E0"/>
    <w:rsid w:val="008A6B4F"/>
    <w:rsid w:val="008A70BC"/>
    <w:rsid w:val="008A71D0"/>
    <w:rsid w:val="008A72B4"/>
    <w:rsid w:val="008A754D"/>
    <w:rsid w:val="008A7A65"/>
    <w:rsid w:val="008A7ABD"/>
    <w:rsid w:val="008B0230"/>
    <w:rsid w:val="008B0741"/>
    <w:rsid w:val="008B0ADC"/>
    <w:rsid w:val="008B0D10"/>
    <w:rsid w:val="008B0F0C"/>
    <w:rsid w:val="008B11BA"/>
    <w:rsid w:val="008B1442"/>
    <w:rsid w:val="008B1622"/>
    <w:rsid w:val="008B17F7"/>
    <w:rsid w:val="008B1E4D"/>
    <w:rsid w:val="008B1F51"/>
    <w:rsid w:val="008B204F"/>
    <w:rsid w:val="008B2330"/>
    <w:rsid w:val="008B2539"/>
    <w:rsid w:val="008B296F"/>
    <w:rsid w:val="008B33DB"/>
    <w:rsid w:val="008B347E"/>
    <w:rsid w:val="008B3603"/>
    <w:rsid w:val="008B3DED"/>
    <w:rsid w:val="008B4024"/>
    <w:rsid w:val="008B4065"/>
    <w:rsid w:val="008B4154"/>
    <w:rsid w:val="008B4666"/>
    <w:rsid w:val="008B46EA"/>
    <w:rsid w:val="008B4782"/>
    <w:rsid w:val="008B47E9"/>
    <w:rsid w:val="008B4841"/>
    <w:rsid w:val="008B5112"/>
    <w:rsid w:val="008B5121"/>
    <w:rsid w:val="008B5180"/>
    <w:rsid w:val="008B5390"/>
    <w:rsid w:val="008B5501"/>
    <w:rsid w:val="008B5515"/>
    <w:rsid w:val="008B5583"/>
    <w:rsid w:val="008B5BD0"/>
    <w:rsid w:val="008B5E87"/>
    <w:rsid w:val="008B614A"/>
    <w:rsid w:val="008B631C"/>
    <w:rsid w:val="008B640A"/>
    <w:rsid w:val="008B662F"/>
    <w:rsid w:val="008B683A"/>
    <w:rsid w:val="008B6913"/>
    <w:rsid w:val="008B725C"/>
    <w:rsid w:val="008B7658"/>
    <w:rsid w:val="008B78C7"/>
    <w:rsid w:val="008B7F05"/>
    <w:rsid w:val="008C04B1"/>
    <w:rsid w:val="008C04C5"/>
    <w:rsid w:val="008C0552"/>
    <w:rsid w:val="008C05EA"/>
    <w:rsid w:val="008C06A3"/>
    <w:rsid w:val="008C0E50"/>
    <w:rsid w:val="008C0F77"/>
    <w:rsid w:val="008C0FC9"/>
    <w:rsid w:val="008C1552"/>
    <w:rsid w:val="008C1785"/>
    <w:rsid w:val="008C1A7C"/>
    <w:rsid w:val="008C1B51"/>
    <w:rsid w:val="008C21D3"/>
    <w:rsid w:val="008C2826"/>
    <w:rsid w:val="008C2D3D"/>
    <w:rsid w:val="008C2E5E"/>
    <w:rsid w:val="008C326C"/>
    <w:rsid w:val="008C33ED"/>
    <w:rsid w:val="008C348F"/>
    <w:rsid w:val="008C35AA"/>
    <w:rsid w:val="008C3A91"/>
    <w:rsid w:val="008C3AEF"/>
    <w:rsid w:val="008C3B0A"/>
    <w:rsid w:val="008C3E34"/>
    <w:rsid w:val="008C3EDE"/>
    <w:rsid w:val="008C4075"/>
    <w:rsid w:val="008C4082"/>
    <w:rsid w:val="008C4125"/>
    <w:rsid w:val="008C4186"/>
    <w:rsid w:val="008C418E"/>
    <w:rsid w:val="008C42D2"/>
    <w:rsid w:val="008C495A"/>
    <w:rsid w:val="008C4A9C"/>
    <w:rsid w:val="008C4AF4"/>
    <w:rsid w:val="008C4C6A"/>
    <w:rsid w:val="008C5940"/>
    <w:rsid w:val="008C6246"/>
    <w:rsid w:val="008C64CE"/>
    <w:rsid w:val="008C6C8C"/>
    <w:rsid w:val="008C70B0"/>
    <w:rsid w:val="008C73C6"/>
    <w:rsid w:val="008C7653"/>
    <w:rsid w:val="008C78DE"/>
    <w:rsid w:val="008C7A7F"/>
    <w:rsid w:val="008C7A91"/>
    <w:rsid w:val="008C7B76"/>
    <w:rsid w:val="008C7CAF"/>
    <w:rsid w:val="008D03EC"/>
    <w:rsid w:val="008D055C"/>
    <w:rsid w:val="008D0A97"/>
    <w:rsid w:val="008D0AE8"/>
    <w:rsid w:val="008D0CA8"/>
    <w:rsid w:val="008D0DD3"/>
    <w:rsid w:val="008D0FA4"/>
    <w:rsid w:val="008D1397"/>
    <w:rsid w:val="008D15D5"/>
    <w:rsid w:val="008D1A87"/>
    <w:rsid w:val="008D1B9F"/>
    <w:rsid w:val="008D1C2E"/>
    <w:rsid w:val="008D2626"/>
    <w:rsid w:val="008D2716"/>
    <w:rsid w:val="008D30D6"/>
    <w:rsid w:val="008D348D"/>
    <w:rsid w:val="008D38AA"/>
    <w:rsid w:val="008D38D4"/>
    <w:rsid w:val="008D3927"/>
    <w:rsid w:val="008D3F6D"/>
    <w:rsid w:val="008D41B0"/>
    <w:rsid w:val="008D429F"/>
    <w:rsid w:val="008D4A49"/>
    <w:rsid w:val="008D53C1"/>
    <w:rsid w:val="008D5EB9"/>
    <w:rsid w:val="008D62B9"/>
    <w:rsid w:val="008D62D3"/>
    <w:rsid w:val="008D6303"/>
    <w:rsid w:val="008D657C"/>
    <w:rsid w:val="008D6E9C"/>
    <w:rsid w:val="008D73EE"/>
    <w:rsid w:val="008E02E7"/>
    <w:rsid w:val="008E0746"/>
    <w:rsid w:val="008E077E"/>
    <w:rsid w:val="008E0907"/>
    <w:rsid w:val="008E0D76"/>
    <w:rsid w:val="008E1014"/>
    <w:rsid w:val="008E10FD"/>
    <w:rsid w:val="008E1487"/>
    <w:rsid w:val="008E14F6"/>
    <w:rsid w:val="008E14FB"/>
    <w:rsid w:val="008E1620"/>
    <w:rsid w:val="008E1B19"/>
    <w:rsid w:val="008E1BAE"/>
    <w:rsid w:val="008E1FCD"/>
    <w:rsid w:val="008E200D"/>
    <w:rsid w:val="008E28DF"/>
    <w:rsid w:val="008E2C05"/>
    <w:rsid w:val="008E2F14"/>
    <w:rsid w:val="008E2F49"/>
    <w:rsid w:val="008E2FF1"/>
    <w:rsid w:val="008E321A"/>
    <w:rsid w:val="008E333E"/>
    <w:rsid w:val="008E338B"/>
    <w:rsid w:val="008E3C38"/>
    <w:rsid w:val="008E3CA7"/>
    <w:rsid w:val="008E3F9A"/>
    <w:rsid w:val="008E4366"/>
    <w:rsid w:val="008E53A4"/>
    <w:rsid w:val="008E5585"/>
    <w:rsid w:val="008E5751"/>
    <w:rsid w:val="008E583A"/>
    <w:rsid w:val="008E5ABB"/>
    <w:rsid w:val="008E6117"/>
    <w:rsid w:val="008E6493"/>
    <w:rsid w:val="008E64DB"/>
    <w:rsid w:val="008E6574"/>
    <w:rsid w:val="008E7354"/>
    <w:rsid w:val="008E7569"/>
    <w:rsid w:val="008E75D6"/>
    <w:rsid w:val="008E7808"/>
    <w:rsid w:val="008E78E8"/>
    <w:rsid w:val="008E7906"/>
    <w:rsid w:val="008F0885"/>
    <w:rsid w:val="008F1873"/>
    <w:rsid w:val="008F192B"/>
    <w:rsid w:val="008F19CC"/>
    <w:rsid w:val="008F1C76"/>
    <w:rsid w:val="008F1DDD"/>
    <w:rsid w:val="008F1E4F"/>
    <w:rsid w:val="008F205C"/>
    <w:rsid w:val="008F23C5"/>
    <w:rsid w:val="008F26A9"/>
    <w:rsid w:val="008F2AFF"/>
    <w:rsid w:val="008F2C56"/>
    <w:rsid w:val="008F2C8F"/>
    <w:rsid w:val="008F2F24"/>
    <w:rsid w:val="008F3066"/>
    <w:rsid w:val="008F30F2"/>
    <w:rsid w:val="008F3A1E"/>
    <w:rsid w:val="008F3A2D"/>
    <w:rsid w:val="008F3ABB"/>
    <w:rsid w:val="008F3BF8"/>
    <w:rsid w:val="008F3CBA"/>
    <w:rsid w:val="008F3EE6"/>
    <w:rsid w:val="008F4090"/>
    <w:rsid w:val="008F411A"/>
    <w:rsid w:val="008F4384"/>
    <w:rsid w:val="008F4417"/>
    <w:rsid w:val="008F4449"/>
    <w:rsid w:val="008F48E6"/>
    <w:rsid w:val="008F4A6A"/>
    <w:rsid w:val="008F4CF5"/>
    <w:rsid w:val="008F4D66"/>
    <w:rsid w:val="008F50E2"/>
    <w:rsid w:val="008F5598"/>
    <w:rsid w:val="008F57BC"/>
    <w:rsid w:val="008F59D8"/>
    <w:rsid w:val="008F5E11"/>
    <w:rsid w:val="008F5FCB"/>
    <w:rsid w:val="008F6419"/>
    <w:rsid w:val="008F684E"/>
    <w:rsid w:val="008F6855"/>
    <w:rsid w:val="008F708A"/>
    <w:rsid w:val="008F79CB"/>
    <w:rsid w:val="008F7D67"/>
    <w:rsid w:val="00900FB6"/>
    <w:rsid w:val="00900FC4"/>
    <w:rsid w:val="00901065"/>
    <w:rsid w:val="00901198"/>
    <w:rsid w:val="00901DF3"/>
    <w:rsid w:val="00901F04"/>
    <w:rsid w:val="0090219F"/>
    <w:rsid w:val="00902771"/>
    <w:rsid w:val="0090291E"/>
    <w:rsid w:val="00902A46"/>
    <w:rsid w:val="00902C2A"/>
    <w:rsid w:val="0090325B"/>
    <w:rsid w:val="00903352"/>
    <w:rsid w:val="0090351F"/>
    <w:rsid w:val="009035E4"/>
    <w:rsid w:val="0090368F"/>
    <w:rsid w:val="009038F8"/>
    <w:rsid w:val="00903942"/>
    <w:rsid w:val="00903DE1"/>
    <w:rsid w:val="009047AF"/>
    <w:rsid w:val="00904945"/>
    <w:rsid w:val="00904FA2"/>
    <w:rsid w:val="009050B8"/>
    <w:rsid w:val="0090514F"/>
    <w:rsid w:val="00905504"/>
    <w:rsid w:val="00905613"/>
    <w:rsid w:val="00905D24"/>
    <w:rsid w:val="00905E75"/>
    <w:rsid w:val="0090604B"/>
    <w:rsid w:val="009064F3"/>
    <w:rsid w:val="00906D49"/>
    <w:rsid w:val="009071E1"/>
    <w:rsid w:val="009071E2"/>
    <w:rsid w:val="00907AD2"/>
    <w:rsid w:val="00907B00"/>
    <w:rsid w:val="00907E07"/>
    <w:rsid w:val="009109C9"/>
    <w:rsid w:val="00911143"/>
    <w:rsid w:val="009116E1"/>
    <w:rsid w:val="00911847"/>
    <w:rsid w:val="009118A6"/>
    <w:rsid w:val="00911BD4"/>
    <w:rsid w:val="00912662"/>
    <w:rsid w:val="009128D1"/>
    <w:rsid w:val="00912B8E"/>
    <w:rsid w:val="00912D3B"/>
    <w:rsid w:val="0091301C"/>
    <w:rsid w:val="0091305A"/>
    <w:rsid w:val="00913349"/>
    <w:rsid w:val="009133D5"/>
    <w:rsid w:val="00913EBB"/>
    <w:rsid w:val="00913EE7"/>
    <w:rsid w:val="009143BA"/>
    <w:rsid w:val="009145A0"/>
    <w:rsid w:val="00914BBF"/>
    <w:rsid w:val="00914E68"/>
    <w:rsid w:val="009150DD"/>
    <w:rsid w:val="00915504"/>
    <w:rsid w:val="0091556C"/>
    <w:rsid w:val="00915C1A"/>
    <w:rsid w:val="00915D58"/>
    <w:rsid w:val="009162B0"/>
    <w:rsid w:val="00916401"/>
    <w:rsid w:val="00916705"/>
    <w:rsid w:val="009167A6"/>
    <w:rsid w:val="00916EA6"/>
    <w:rsid w:val="00916FEE"/>
    <w:rsid w:val="009170EB"/>
    <w:rsid w:val="0091789D"/>
    <w:rsid w:val="00917B1B"/>
    <w:rsid w:val="009206D5"/>
    <w:rsid w:val="00921572"/>
    <w:rsid w:val="009216A7"/>
    <w:rsid w:val="009219BD"/>
    <w:rsid w:val="00921A71"/>
    <w:rsid w:val="00921AA2"/>
    <w:rsid w:val="009221BB"/>
    <w:rsid w:val="00922236"/>
    <w:rsid w:val="009222EB"/>
    <w:rsid w:val="009228C3"/>
    <w:rsid w:val="009229EF"/>
    <w:rsid w:val="00923198"/>
    <w:rsid w:val="0092333B"/>
    <w:rsid w:val="00923457"/>
    <w:rsid w:val="00923711"/>
    <w:rsid w:val="009237FF"/>
    <w:rsid w:val="00923AC2"/>
    <w:rsid w:val="00923BE1"/>
    <w:rsid w:val="009240D8"/>
    <w:rsid w:val="009241F9"/>
    <w:rsid w:val="00924484"/>
    <w:rsid w:val="00924490"/>
    <w:rsid w:val="00924570"/>
    <w:rsid w:val="00924644"/>
    <w:rsid w:val="00924873"/>
    <w:rsid w:val="009248DA"/>
    <w:rsid w:val="00924F35"/>
    <w:rsid w:val="009251E8"/>
    <w:rsid w:val="00925634"/>
    <w:rsid w:val="00925D03"/>
    <w:rsid w:val="00925DC0"/>
    <w:rsid w:val="0092633D"/>
    <w:rsid w:val="00926946"/>
    <w:rsid w:val="00926A13"/>
    <w:rsid w:val="009270CE"/>
    <w:rsid w:val="00927398"/>
    <w:rsid w:val="0092764C"/>
    <w:rsid w:val="00927768"/>
    <w:rsid w:val="0092798A"/>
    <w:rsid w:val="00927C60"/>
    <w:rsid w:val="00927DEC"/>
    <w:rsid w:val="00930938"/>
    <w:rsid w:val="00930B6F"/>
    <w:rsid w:val="00930C72"/>
    <w:rsid w:val="00930CD2"/>
    <w:rsid w:val="00930EBB"/>
    <w:rsid w:val="00930EF0"/>
    <w:rsid w:val="009311AD"/>
    <w:rsid w:val="0093163A"/>
    <w:rsid w:val="009316A2"/>
    <w:rsid w:val="009317DA"/>
    <w:rsid w:val="0093189C"/>
    <w:rsid w:val="009319F1"/>
    <w:rsid w:val="00931AEA"/>
    <w:rsid w:val="00931AF9"/>
    <w:rsid w:val="00931CF4"/>
    <w:rsid w:val="0093226B"/>
    <w:rsid w:val="0093232D"/>
    <w:rsid w:val="00932661"/>
    <w:rsid w:val="00933530"/>
    <w:rsid w:val="0093376F"/>
    <w:rsid w:val="0093380B"/>
    <w:rsid w:val="00933D80"/>
    <w:rsid w:val="00933E6D"/>
    <w:rsid w:val="00933ED5"/>
    <w:rsid w:val="0093458D"/>
    <w:rsid w:val="00934A65"/>
    <w:rsid w:val="00934B7E"/>
    <w:rsid w:val="00934F2C"/>
    <w:rsid w:val="00935338"/>
    <w:rsid w:val="009354DB"/>
    <w:rsid w:val="00935CF7"/>
    <w:rsid w:val="009360F7"/>
    <w:rsid w:val="00936167"/>
    <w:rsid w:val="009362D4"/>
    <w:rsid w:val="0093640C"/>
    <w:rsid w:val="00936980"/>
    <w:rsid w:val="00936994"/>
    <w:rsid w:val="00936D02"/>
    <w:rsid w:val="00936D4E"/>
    <w:rsid w:val="00937649"/>
    <w:rsid w:val="00940892"/>
    <w:rsid w:val="009408BC"/>
    <w:rsid w:val="00940AC3"/>
    <w:rsid w:val="00940C5B"/>
    <w:rsid w:val="00941D93"/>
    <w:rsid w:val="00941E03"/>
    <w:rsid w:val="00942083"/>
    <w:rsid w:val="0094268C"/>
    <w:rsid w:val="00943549"/>
    <w:rsid w:val="0094356F"/>
    <w:rsid w:val="009435E3"/>
    <w:rsid w:val="00943B1E"/>
    <w:rsid w:val="00943DA0"/>
    <w:rsid w:val="009441A3"/>
    <w:rsid w:val="009448ED"/>
    <w:rsid w:val="009450DE"/>
    <w:rsid w:val="00945165"/>
    <w:rsid w:val="0094525A"/>
    <w:rsid w:val="0094577D"/>
    <w:rsid w:val="00945F3F"/>
    <w:rsid w:val="0094681E"/>
    <w:rsid w:val="00946E02"/>
    <w:rsid w:val="00947195"/>
    <w:rsid w:val="009474E7"/>
    <w:rsid w:val="009476D2"/>
    <w:rsid w:val="0094782B"/>
    <w:rsid w:val="009479FC"/>
    <w:rsid w:val="00950011"/>
    <w:rsid w:val="0095017D"/>
    <w:rsid w:val="009506C4"/>
    <w:rsid w:val="009508FA"/>
    <w:rsid w:val="00950999"/>
    <w:rsid w:val="00950E5E"/>
    <w:rsid w:val="0095121D"/>
    <w:rsid w:val="00951CE1"/>
    <w:rsid w:val="00951E6F"/>
    <w:rsid w:val="009522D3"/>
    <w:rsid w:val="00952712"/>
    <w:rsid w:val="009528FB"/>
    <w:rsid w:val="0095321B"/>
    <w:rsid w:val="00953329"/>
    <w:rsid w:val="0095374D"/>
    <w:rsid w:val="00953A91"/>
    <w:rsid w:val="00953ECE"/>
    <w:rsid w:val="00954301"/>
    <w:rsid w:val="00954400"/>
    <w:rsid w:val="00954461"/>
    <w:rsid w:val="00954B78"/>
    <w:rsid w:val="00955350"/>
    <w:rsid w:val="0095551C"/>
    <w:rsid w:val="00955601"/>
    <w:rsid w:val="00955EB0"/>
    <w:rsid w:val="009562B9"/>
    <w:rsid w:val="009562EB"/>
    <w:rsid w:val="009565E3"/>
    <w:rsid w:val="00956F43"/>
    <w:rsid w:val="00957074"/>
    <w:rsid w:val="00957319"/>
    <w:rsid w:val="009575F7"/>
    <w:rsid w:val="00957CC9"/>
    <w:rsid w:val="00957E1C"/>
    <w:rsid w:val="00960013"/>
    <w:rsid w:val="00960737"/>
    <w:rsid w:val="00960B94"/>
    <w:rsid w:val="00960CCD"/>
    <w:rsid w:val="0096130E"/>
    <w:rsid w:val="0096158C"/>
    <w:rsid w:val="0096159A"/>
    <w:rsid w:val="00961719"/>
    <w:rsid w:val="00961D30"/>
    <w:rsid w:val="00961D97"/>
    <w:rsid w:val="00961E53"/>
    <w:rsid w:val="00962424"/>
    <w:rsid w:val="009626BF"/>
    <w:rsid w:val="00962787"/>
    <w:rsid w:val="00962826"/>
    <w:rsid w:val="009628BC"/>
    <w:rsid w:val="009629BE"/>
    <w:rsid w:val="009631BF"/>
    <w:rsid w:val="009632E6"/>
    <w:rsid w:val="00963793"/>
    <w:rsid w:val="00963984"/>
    <w:rsid w:val="00963BEB"/>
    <w:rsid w:val="00963DBD"/>
    <w:rsid w:val="009641C8"/>
    <w:rsid w:val="00964714"/>
    <w:rsid w:val="009648C6"/>
    <w:rsid w:val="0096498D"/>
    <w:rsid w:val="00964A6C"/>
    <w:rsid w:val="00964AA7"/>
    <w:rsid w:val="00965114"/>
    <w:rsid w:val="0096511C"/>
    <w:rsid w:val="0096520E"/>
    <w:rsid w:val="00965722"/>
    <w:rsid w:val="00965AF2"/>
    <w:rsid w:val="009663E7"/>
    <w:rsid w:val="00966406"/>
    <w:rsid w:val="009667E1"/>
    <w:rsid w:val="00966B0A"/>
    <w:rsid w:val="00967B0D"/>
    <w:rsid w:val="00967DB9"/>
    <w:rsid w:val="00967EB5"/>
    <w:rsid w:val="0097001F"/>
    <w:rsid w:val="00970AE5"/>
    <w:rsid w:val="00970D1A"/>
    <w:rsid w:val="00970D40"/>
    <w:rsid w:val="0097128F"/>
    <w:rsid w:val="00971477"/>
    <w:rsid w:val="0097182D"/>
    <w:rsid w:val="0097187F"/>
    <w:rsid w:val="00971D7B"/>
    <w:rsid w:val="009723B8"/>
    <w:rsid w:val="00972493"/>
    <w:rsid w:val="0097289D"/>
    <w:rsid w:val="00972AB7"/>
    <w:rsid w:val="00972E7E"/>
    <w:rsid w:val="00972EDE"/>
    <w:rsid w:val="00972FD2"/>
    <w:rsid w:val="009730F1"/>
    <w:rsid w:val="00973367"/>
    <w:rsid w:val="009735DA"/>
    <w:rsid w:val="009737E5"/>
    <w:rsid w:val="00974497"/>
    <w:rsid w:val="00974A65"/>
    <w:rsid w:val="00974E92"/>
    <w:rsid w:val="0097512F"/>
    <w:rsid w:val="00975A9D"/>
    <w:rsid w:val="00975E70"/>
    <w:rsid w:val="00975F60"/>
    <w:rsid w:val="00976152"/>
    <w:rsid w:val="00976311"/>
    <w:rsid w:val="00976BBB"/>
    <w:rsid w:val="00976CDD"/>
    <w:rsid w:val="009771E7"/>
    <w:rsid w:val="009771F6"/>
    <w:rsid w:val="0097779D"/>
    <w:rsid w:val="00977ACE"/>
    <w:rsid w:val="0098037F"/>
    <w:rsid w:val="00980A1F"/>
    <w:rsid w:val="00981545"/>
    <w:rsid w:val="00982316"/>
    <w:rsid w:val="00982394"/>
    <w:rsid w:val="0098240D"/>
    <w:rsid w:val="00982FB3"/>
    <w:rsid w:val="00983790"/>
    <w:rsid w:val="00983D06"/>
    <w:rsid w:val="00984238"/>
    <w:rsid w:val="00984287"/>
    <w:rsid w:val="00985012"/>
    <w:rsid w:val="0098505F"/>
    <w:rsid w:val="00985115"/>
    <w:rsid w:val="00985150"/>
    <w:rsid w:val="00985CB0"/>
    <w:rsid w:val="00985D07"/>
    <w:rsid w:val="00985D84"/>
    <w:rsid w:val="00985E40"/>
    <w:rsid w:val="00986008"/>
    <w:rsid w:val="0098627C"/>
    <w:rsid w:val="009862FC"/>
    <w:rsid w:val="00986819"/>
    <w:rsid w:val="0098697F"/>
    <w:rsid w:val="00986A4E"/>
    <w:rsid w:val="00986C87"/>
    <w:rsid w:val="0098712B"/>
    <w:rsid w:val="0098714F"/>
    <w:rsid w:val="00987262"/>
    <w:rsid w:val="009876E5"/>
    <w:rsid w:val="00987A7E"/>
    <w:rsid w:val="00987B4B"/>
    <w:rsid w:val="00987CDB"/>
    <w:rsid w:val="00987D10"/>
    <w:rsid w:val="00990274"/>
    <w:rsid w:val="009905C0"/>
    <w:rsid w:val="00990900"/>
    <w:rsid w:val="009909CD"/>
    <w:rsid w:val="009909DA"/>
    <w:rsid w:val="009916D3"/>
    <w:rsid w:val="00991719"/>
    <w:rsid w:val="0099194A"/>
    <w:rsid w:val="00991962"/>
    <w:rsid w:val="00991E55"/>
    <w:rsid w:val="009922EC"/>
    <w:rsid w:val="00992799"/>
    <w:rsid w:val="00992A3D"/>
    <w:rsid w:val="00992D3B"/>
    <w:rsid w:val="00993115"/>
    <w:rsid w:val="00993238"/>
    <w:rsid w:val="00993575"/>
    <w:rsid w:val="00993884"/>
    <w:rsid w:val="00993A10"/>
    <w:rsid w:val="00993D93"/>
    <w:rsid w:val="00994018"/>
    <w:rsid w:val="0099401C"/>
    <w:rsid w:val="0099465D"/>
    <w:rsid w:val="0099470D"/>
    <w:rsid w:val="00994770"/>
    <w:rsid w:val="00994E55"/>
    <w:rsid w:val="00994FCC"/>
    <w:rsid w:val="00995161"/>
    <w:rsid w:val="0099542F"/>
    <w:rsid w:val="0099544C"/>
    <w:rsid w:val="0099553A"/>
    <w:rsid w:val="0099555A"/>
    <w:rsid w:val="00995C4B"/>
    <w:rsid w:val="00995DB6"/>
    <w:rsid w:val="00996852"/>
    <w:rsid w:val="009968A1"/>
    <w:rsid w:val="00996A0D"/>
    <w:rsid w:val="00996BDA"/>
    <w:rsid w:val="00996C69"/>
    <w:rsid w:val="00996EDE"/>
    <w:rsid w:val="00997167"/>
    <w:rsid w:val="0099725A"/>
    <w:rsid w:val="00997297"/>
    <w:rsid w:val="00997409"/>
    <w:rsid w:val="00997994"/>
    <w:rsid w:val="00997AC7"/>
    <w:rsid w:val="00997AE5"/>
    <w:rsid w:val="00997B04"/>
    <w:rsid w:val="00997C5B"/>
    <w:rsid w:val="009A0584"/>
    <w:rsid w:val="009A0C45"/>
    <w:rsid w:val="009A0CE1"/>
    <w:rsid w:val="009A0E55"/>
    <w:rsid w:val="009A12A8"/>
    <w:rsid w:val="009A139C"/>
    <w:rsid w:val="009A1680"/>
    <w:rsid w:val="009A19BB"/>
    <w:rsid w:val="009A1EE7"/>
    <w:rsid w:val="009A1FF1"/>
    <w:rsid w:val="009A223E"/>
    <w:rsid w:val="009A250B"/>
    <w:rsid w:val="009A2CAE"/>
    <w:rsid w:val="009A2D3C"/>
    <w:rsid w:val="009A2DCC"/>
    <w:rsid w:val="009A2E92"/>
    <w:rsid w:val="009A2F05"/>
    <w:rsid w:val="009A33D5"/>
    <w:rsid w:val="009A3EC7"/>
    <w:rsid w:val="009A3FFF"/>
    <w:rsid w:val="009A431F"/>
    <w:rsid w:val="009A53F4"/>
    <w:rsid w:val="009A55DC"/>
    <w:rsid w:val="009A586E"/>
    <w:rsid w:val="009A614A"/>
    <w:rsid w:val="009A691A"/>
    <w:rsid w:val="009A7186"/>
    <w:rsid w:val="009A7307"/>
    <w:rsid w:val="009A7348"/>
    <w:rsid w:val="009A763D"/>
    <w:rsid w:val="009A7943"/>
    <w:rsid w:val="009B04B3"/>
    <w:rsid w:val="009B0D43"/>
    <w:rsid w:val="009B10A1"/>
    <w:rsid w:val="009B1434"/>
    <w:rsid w:val="009B225C"/>
    <w:rsid w:val="009B2C63"/>
    <w:rsid w:val="009B304D"/>
    <w:rsid w:val="009B35ED"/>
    <w:rsid w:val="009B361B"/>
    <w:rsid w:val="009B3632"/>
    <w:rsid w:val="009B38DD"/>
    <w:rsid w:val="009B3C76"/>
    <w:rsid w:val="009B3E50"/>
    <w:rsid w:val="009B3F37"/>
    <w:rsid w:val="009B403A"/>
    <w:rsid w:val="009B4632"/>
    <w:rsid w:val="009B484C"/>
    <w:rsid w:val="009B4911"/>
    <w:rsid w:val="009B4BA4"/>
    <w:rsid w:val="009B4D48"/>
    <w:rsid w:val="009B4E7E"/>
    <w:rsid w:val="009B5199"/>
    <w:rsid w:val="009B5475"/>
    <w:rsid w:val="009B5647"/>
    <w:rsid w:val="009B5805"/>
    <w:rsid w:val="009B5CB2"/>
    <w:rsid w:val="009B5D86"/>
    <w:rsid w:val="009B5D98"/>
    <w:rsid w:val="009B5DF3"/>
    <w:rsid w:val="009B6C2B"/>
    <w:rsid w:val="009B6DB3"/>
    <w:rsid w:val="009B6EF3"/>
    <w:rsid w:val="009B711A"/>
    <w:rsid w:val="009B7632"/>
    <w:rsid w:val="009B766D"/>
    <w:rsid w:val="009B78DF"/>
    <w:rsid w:val="009B79CB"/>
    <w:rsid w:val="009B7C81"/>
    <w:rsid w:val="009B7E2A"/>
    <w:rsid w:val="009B7E33"/>
    <w:rsid w:val="009C08E2"/>
    <w:rsid w:val="009C1117"/>
    <w:rsid w:val="009C1473"/>
    <w:rsid w:val="009C17F1"/>
    <w:rsid w:val="009C1922"/>
    <w:rsid w:val="009C2096"/>
    <w:rsid w:val="009C217D"/>
    <w:rsid w:val="009C2B2E"/>
    <w:rsid w:val="009C2C3E"/>
    <w:rsid w:val="009C2E2F"/>
    <w:rsid w:val="009C361B"/>
    <w:rsid w:val="009C38F5"/>
    <w:rsid w:val="009C3968"/>
    <w:rsid w:val="009C426F"/>
    <w:rsid w:val="009C4448"/>
    <w:rsid w:val="009C465D"/>
    <w:rsid w:val="009C46A9"/>
    <w:rsid w:val="009C483E"/>
    <w:rsid w:val="009C499C"/>
    <w:rsid w:val="009C4A0E"/>
    <w:rsid w:val="009C52A5"/>
    <w:rsid w:val="009C54A2"/>
    <w:rsid w:val="009C573C"/>
    <w:rsid w:val="009C5C68"/>
    <w:rsid w:val="009C6B20"/>
    <w:rsid w:val="009C6EC5"/>
    <w:rsid w:val="009C6EFA"/>
    <w:rsid w:val="009C7054"/>
    <w:rsid w:val="009C7A87"/>
    <w:rsid w:val="009C7D61"/>
    <w:rsid w:val="009D01B4"/>
    <w:rsid w:val="009D0922"/>
    <w:rsid w:val="009D0966"/>
    <w:rsid w:val="009D103C"/>
    <w:rsid w:val="009D1429"/>
    <w:rsid w:val="009D14B7"/>
    <w:rsid w:val="009D18C3"/>
    <w:rsid w:val="009D1D1B"/>
    <w:rsid w:val="009D2052"/>
    <w:rsid w:val="009D213C"/>
    <w:rsid w:val="009D230C"/>
    <w:rsid w:val="009D244B"/>
    <w:rsid w:val="009D257E"/>
    <w:rsid w:val="009D29E6"/>
    <w:rsid w:val="009D2BB7"/>
    <w:rsid w:val="009D2C93"/>
    <w:rsid w:val="009D2F8D"/>
    <w:rsid w:val="009D3463"/>
    <w:rsid w:val="009D3711"/>
    <w:rsid w:val="009D395D"/>
    <w:rsid w:val="009D3B50"/>
    <w:rsid w:val="009D3C24"/>
    <w:rsid w:val="009D3CD3"/>
    <w:rsid w:val="009D3F43"/>
    <w:rsid w:val="009D4101"/>
    <w:rsid w:val="009D4634"/>
    <w:rsid w:val="009D4A5B"/>
    <w:rsid w:val="009D4A7B"/>
    <w:rsid w:val="009D4B4B"/>
    <w:rsid w:val="009D4B71"/>
    <w:rsid w:val="009D4BC7"/>
    <w:rsid w:val="009D4E28"/>
    <w:rsid w:val="009D4F19"/>
    <w:rsid w:val="009D511C"/>
    <w:rsid w:val="009D5726"/>
    <w:rsid w:val="009D5D5D"/>
    <w:rsid w:val="009D65AF"/>
    <w:rsid w:val="009D65BE"/>
    <w:rsid w:val="009D6D15"/>
    <w:rsid w:val="009D749E"/>
    <w:rsid w:val="009D764D"/>
    <w:rsid w:val="009D78AA"/>
    <w:rsid w:val="009D7C97"/>
    <w:rsid w:val="009D7E66"/>
    <w:rsid w:val="009E047E"/>
    <w:rsid w:val="009E0728"/>
    <w:rsid w:val="009E0974"/>
    <w:rsid w:val="009E0A9B"/>
    <w:rsid w:val="009E140B"/>
    <w:rsid w:val="009E1A08"/>
    <w:rsid w:val="009E29FE"/>
    <w:rsid w:val="009E32AC"/>
    <w:rsid w:val="009E3393"/>
    <w:rsid w:val="009E355B"/>
    <w:rsid w:val="009E3DC0"/>
    <w:rsid w:val="009E4184"/>
    <w:rsid w:val="009E4565"/>
    <w:rsid w:val="009E4616"/>
    <w:rsid w:val="009E4C18"/>
    <w:rsid w:val="009E4D61"/>
    <w:rsid w:val="009E514D"/>
    <w:rsid w:val="009E53EE"/>
    <w:rsid w:val="009E55E0"/>
    <w:rsid w:val="009E55E7"/>
    <w:rsid w:val="009E5977"/>
    <w:rsid w:val="009E5A5D"/>
    <w:rsid w:val="009E5A7A"/>
    <w:rsid w:val="009E5B35"/>
    <w:rsid w:val="009E5BFB"/>
    <w:rsid w:val="009E63C0"/>
    <w:rsid w:val="009E6401"/>
    <w:rsid w:val="009E69EE"/>
    <w:rsid w:val="009E6AC3"/>
    <w:rsid w:val="009E6C20"/>
    <w:rsid w:val="009E7090"/>
    <w:rsid w:val="009E7233"/>
    <w:rsid w:val="009E7268"/>
    <w:rsid w:val="009E752F"/>
    <w:rsid w:val="009E7947"/>
    <w:rsid w:val="009E7AFF"/>
    <w:rsid w:val="009E7B4C"/>
    <w:rsid w:val="009F0036"/>
    <w:rsid w:val="009F0087"/>
    <w:rsid w:val="009F00C9"/>
    <w:rsid w:val="009F036C"/>
    <w:rsid w:val="009F0662"/>
    <w:rsid w:val="009F0B54"/>
    <w:rsid w:val="009F0C97"/>
    <w:rsid w:val="009F0EB2"/>
    <w:rsid w:val="009F0FC7"/>
    <w:rsid w:val="009F14CD"/>
    <w:rsid w:val="009F15B9"/>
    <w:rsid w:val="009F15FF"/>
    <w:rsid w:val="009F1751"/>
    <w:rsid w:val="009F19E5"/>
    <w:rsid w:val="009F2750"/>
    <w:rsid w:val="009F2993"/>
    <w:rsid w:val="009F2A2C"/>
    <w:rsid w:val="009F2CCD"/>
    <w:rsid w:val="009F3337"/>
    <w:rsid w:val="009F34A6"/>
    <w:rsid w:val="009F3BDE"/>
    <w:rsid w:val="009F417F"/>
    <w:rsid w:val="009F4529"/>
    <w:rsid w:val="009F46F9"/>
    <w:rsid w:val="009F5668"/>
    <w:rsid w:val="009F5E6E"/>
    <w:rsid w:val="009F63C4"/>
    <w:rsid w:val="009F6485"/>
    <w:rsid w:val="009F6613"/>
    <w:rsid w:val="009F67D7"/>
    <w:rsid w:val="009F6AEF"/>
    <w:rsid w:val="009F7357"/>
    <w:rsid w:val="009F7781"/>
    <w:rsid w:val="009F7CC9"/>
    <w:rsid w:val="009F7F3D"/>
    <w:rsid w:val="00A00144"/>
    <w:rsid w:val="00A003FF"/>
    <w:rsid w:val="00A005AC"/>
    <w:rsid w:val="00A016BF"/>
    <w:rsid w:val="00A01867"/>
    <w:rsid w:val="00A01895"/>
    <w:rsid w:val="00A018AD"/>
    <w:rsid w:val="00A0197B"/>
    <w:rsid w:val="00A01CA7"/>
    <w:rsid w:val="00A02038"/>
    <w:rsid w:val="00A020A8"/>
    <w:rsid w:val="00A020D0"/>
    <w:rsid w:val="00A025CF"/>
    <w:rsid w:val="00A02B34"/>
    <w:rsid w:val="00A02F18"/>
    <w:rsid w:val="00A030EE"/>
    <w:rsid w:val="00A03167"/>
    <w:rsid w:val="00A037F2"/>
    <w:rsid w:val="00A03933"/>
    <w:rsid w:val="00A0393F"/>
    <w:rsid w:val="00A03DDB"/>
    <w:rsid w:val="00A04760"/>
    <w:rsid w:val="00A049CC"/>
    <w:rsid w:val="00A04CF8"/>
    <w:rsid w:val="00A04DBC"/>
    <w:rsid w:val="00A04DFE"/>
    <w:rsid w:val="00A04E01"/>
    <w:rsid w:val="00A05338"/>
    <w:rsid w:val="00A0577E"/>
    <w:rsid w:val="00A05A5A"/>
    <w:rsid w:val="00A05C0E"/>
    <w:rsid w:val="00A05F27"/>
    <w:rsid w:val="00A05FF5"/>
    <w:rsid w:val="00A062C9"/>
    <w:rsid w:val="00A0649F"/>
    <w:rsid w:val="00A06D7F"/>
    <w:rsid w:val="00A06F2B"/>
    <w:rsid w:val="00A06FFE"/>
    <w:rsid w:val="00A07000"/>
    <w:rsid w:val="00A070FC"/>
    <w:rsid w:val="00A0749F"/>
    <w:rsid w:val="00A07D8B"/>
    <w:rsid w:val="00A07F4A"/>
    <w:rsid w:val="00A107FB"/>
    <w:rsid w:val="00A10958"/>
    <w:rsid w:val="00A10E4D"/>
    <w:rsid w:val="00A11029"/>
    <w:rsid w:val="00A11037"/>
    <w:rsid w:val="00A11087"/>
    <w:rsid w:val="00A1108C"/>
    <w:rsid w:val="00A11827"/>
    <w:rsid w:val="00A11D1A"/>
    <w:rsid w:val="00A11E90"/>
    <w:rsid w:val="00A12A38"/>
    <w:rsid w:val="00A1317B"/>
    <w:rsid w:val="00A13808"/>
    <w:rsid w:val="00A13FD3"/>
    <w:rsid w:val="00A14028"/>
    <w:rsid w:val="00A14857"/>
    <w:rsid w:val="00A14DC0"/>
    <w:rsid w:val="00A1520B"/>
    <w:rsid w:val="00A152BD"/>
    <w:rsid w:val="00A15393"/>
    <w:rsid w:val="00A154A9"/>
    <w:rsid w:val="00A15C2C"/>
    <w:rsid w:val="00A16362"/>
    <w:rsid w:val="00A16607"/>
    <w:rsid w:val="00A16663"/>
    <w:rsid w:val="00A16869"/>
    <w:rsid w:val="00A168A9"/>
    <w:rsid w:val="00A16FAB"/>
    <w:rsid w:val="00A171F2"/>
    <w:rsid w:val="00A17395"/>
    <w:rsid w:val="00A177F7"/>
    <w:rsid w:val="00A1785C"/>
    <w:rsid w:val="00A17D85"/>
    <w:rsid w:val="00A17F10"/>
    <w:rsid w:val="00A17F8E"/>
    <w:rsid w:val="00A20468"/>
    <w:rsid w:val="00A2056F"/>
    <w:rsid w:val="00A20745"/>
    <w:rsid w:val="00A20A42"/>
    <w:rsid w:val="00A20AE7"/>
    <w:rsid w:val="00A20EA8"/>
    <w:rsid w:val="00A210AD"/>
    <w:rsid w:val="00A21468"/>
    <w:rsid w:val="00A21AAC"/>
    <w:rsid w:val="00A222F2"/>
    <w:rsid w:val="00A22651"/>
    <w:rsid w:val="00A2266B"/>
    <w:rsid w:val="00A22790"/>
    <w:rsid w:val="00A227CD"/>
    <w:rsid w:val="00A2296B"/>
    <w:rsid w:val="00A22B23"/>
    <w:rsid w:val="00A22E2F"/>
    <w:rsid w:val="00A22E3F"/>
    <w:rsid w:val="00A2369E"/>
    <w:rsid w:val="00A2399A"/>
    <w:rsid w:val="00A23BBE"/>
    <w:rsid w:val="00A23DBB"/>
    <w:rsid w:val="00A23F7D"/>
    <w:rsid w:val="00A24B39"/>
    <w:rsid w:val="00A25820"/>
    <w:rsid w:val="00A25921"/>
    <w:rsid w:val="00A2598E"/>
    <w:rsid w:val="00A259A0"/>
    <w:rsid w:val="00A25BD5"/>
    <w:rsid w:val="00A25DA8"/>
    <w:rsid w:val="00A25FB4"/>
    <w:rsid w:val="00A25FBB"/>
    <w:rsid w:val="00A260CD"/>
    <w:rsid w:val="00A26379"/>
    <w:rsid w:val="00A264C9"/>
    <w:rsid w:val="00A268A6"/>
    <w:rsid w:val="00A2698B"/>
    <w:rsid w:val="00A26AE8"/>
    <w:rsid w:val="00A26B6B"/>
    <w:rsid w:val="00A26D05"/>
    <w:rsid w:val="00A26F63"/>
    <w:rsid w:val="00A27691"/>
    <w:rsid w:val="00A27839"/>
    <w:rsid w:val="00A278D8"/>
    <w:rsid w:val="00A27B84"/>
    <w:rsid w:val="00A30094"/>
    <w:rsid w:val="00A30268"/>
    <w:rsid w:val="00A30417"/>
    <w:rsid w:val="00A3069A"/>
    <w:rsid w:val="00A306D4"/>
    <w:rsid w:val="00A3086E"/>
    <w:rsid w:val="00A30936"/>
    <w:rsid w:val="00A3097D"/>
    <w:rsid w:val="00A30CF7"/>
    <w:rsid w:val="00A31642"/>
    <w:rsid w:val="00A316EC"/>
    <w:rsid w:val="00A31D3B"/>
    <w:rsid w:val="00A32062"/>
    <w:rsid w:val="00A32157"/>
    <w:rsid w:val="00A321B8"/>
    <w:rsid w:val="00A32203"/>
    <w:rsid w:val="00A32D3E"/>
    <w:rsid w:val="00A32E96"/>
    <w:rsid w:val="00A337A8"/>
    <w:rsid w:val="00A33A0B"/>
    <w:rsid w:val="00A3470B"/>
    <w:rsid w:val="00A34740"/>
    <w:rsid w:val="00A3474A"/>
    <w:rsid w:val="00A34917"/>
    <w:rsid w:val="00A3513A"/>
    <w:rsid w:val="00A3575C"/>
    <w:rsid w:val="00A35991"/>
    <w:rsid w:val="00A35E73"/>
    <w:rsid w:val="00A364E4"/>
    <w:rsid w:val="00A36753"/>
    <w:rsid w:val="00A36836"/>
    <w:rsid w:val="00A36FCE"/>
    <w:rsid w:val="00A37028"/>
    <w:rsid w:val="00A372F6"/>
    <w:rsid w:val="00A37324"/>
    <w:rsid w:val="00A373F0"/>
    <w:rsid w:val="00A373F2"/>
    <w:rsid w:val="00A378D1"/>
    <w:rsid w:val="00A37D21"/>
    <w:rsid w:val="00A37E13"/>
    <w:rsid w:val="00A37FDB"/>
    <w:rsid w:val="00A40072"/>
    <w:rsid w:val="00A403F3"/>
    <w:rsid w:val="00A40423"/>
    <w:rsid w:val="00A404C2"/>
    <w:rsid w:val="00A40679"/>
    <w:rsid w:val="00A409A3"/>
    <w:rsid w:val="00A40B6C"/>
    <w:rsid w:val="00A40D1C"/>
    <w:rsid w:val="00A41895"/>
    <w:rsid w:val="00A41A1A"/>
    <w:rsid w:val="00A41A5C"/>
    <w:rsid w:val="00A41DB9"/>
    <w:rsid w:val="00A41F90"/>
    <w:rsid w:val="00A420B4"/>
    <w:rsid w:val="00A422F6"/>
    <w:rsid w:val="00A42559"/>
    <w:rsid w:val="00A425D2"/>
    <w:rsid w:val="00A4354A"/>
    <w:rsid w:val="00A438B1"/>
    <w:rsid w:val="00A439BD"/>
    <w:rsid w:val="00A443C0"/>
    <w:rsid w:val="00A445B9"/>
    <w:rsid w:val="00A447E0"/>
    <w:rsid w:val="00A44B5B"/>
    <w:rsid w:val="00A450AD"/>
    <w:rsid w:val="00A4537F"/>
    <w:rsid w:val="00A45411"/>
    <w:rsid w:val="00A455E9"/>
    <w:rsid w:val="00A46477"/>
    <w:rsid w:val="00A467D4"/>
    <w:rsid w:val="00A46D6B"/>
    <w:rsid w:val="00A46DBA"/>
    <w:rsid w:val="00A46EF4"/>
    <w:rsid w:val="00A46F57"/>
    <w:rsid w:val="00A47008"/>
    <w:rsid w:val="00A479BC"/>
    <w:rsid w:val="00A47B18"/>
    <w:rsid w:val="00A47D1C"/>
    <w:rsid w:val="00A501B9"/>
    <w:rsid w:val="00A502A4"/>
    <w:rsid w:val="00A5037C"/>
    <w:rsid w:val="00A505D7"/>
    <w:rsid w:val="00A50AE9"/>
    <w:rsid w:val="00A5131E"/>
    <w:rsid w:val="00A5138A"/>
    <w:rsid w:val="00A51799"/>
    <w:rsid w:val="00A51C72"/>
    <w:rsid w:val="00A51F03"/>
    <w:rsid w:val="00A51FAF"/>
    <w:rsid w:val="00A5215E"/>
    <w:rsid w:val="00A524D2"/>
    <w:rsid w:val="00A52577"/>
    <w:rsid w:val="00A5266D"/>
    <w:rsid w:val="00A52D46"/>
    <w:rsid w:val="00A52D6B"/>
    <w:rsid w:val="00A531B3"/>
    <w:rsid w:val="00A53650"/>
    <w:rsid w:val="00A53C62"/>
    <w:rsid w:val="00A53E9B"/>
    <w:rsid w:val="00A53FEB"/>
    <w:rsid w:val="00A540C1"/>
    <w:rsid w:val="00A5417B"/>
    <w:rsid w:val="00A544DD"/>
    <w:rsid w:val="00A54A70"/>
    <w:rsid w:val="00A54B2B"/>
    <w:rsid w:val="00A54C68"/>
    <w:rsid w:val="00A55359"/>
    <w:rsid w:val="00A55402"/>
    <w:rsid w:val="00A55537"/>
    <w:rsid w:val="00A55759"/>
    <w:rsid w:val="00A5581D"/>
    <w:rsid w:val="00A55E44"/>
    <w:rsid w:val="00A56017"/>
    <w:rsid w:val="00A56199"/>
    <w:rsid w:val="00A56C33"/>
    <w:rsid w:val="00A56E7D"/>
    <w:rsid w:val="00A56F38"/>
    <w:rsid w:val="00A57226"/>
    <w:rsid w:val="00A57826"/>
    <w:rsid w:val="00A57BBE"/>
    <w:rsid w:val="00A57E3A"/>
    <w:rsid w:val="00A57E5E"/>
    <w:rsid w:val="00A57F3E"/>
    <w:rsid w:val="00A60050"/>
    <w:rsid w:val="00A602FA"/>
    <w:rsid w:val="00A6033F"/>
    <w:rsid w:val="00A603E5"/>
    <w:rsid w:val="00A60824"/>
    <w:rsid w:val="00A60A4A"/>
    <w:rsid w:val="00A6123D"/>
    <w:rsid w:val="00A617D7"/>
    <w:rsid w:val="00A61D99"/>
    <w:rsid w:val="00A61F43"/>
    <w:rsid w:val="00A6230C"/>
    <w:rsid w:val="00A6256A"/>
    <w:rsid w:val="00A62633"/>
    <w:rsid w:val="00A6264E"/>
    <w:rsid w:val="00A6267C"/>
    <w:rsid w:val="00A62AF1"/>
    <w:rsid w:val="00A62F88"/>
    <w:rsid w:val="00A63030"/>
    <w:rsid w:val="00A63279"/>
    <w:rsid w:val="00A632DE"/>
    <w:rsid w:val="00A63695"/>
    <w:rsid w:val="00A63786"/>
    <w:rsid w:val="00A63B61"/>
    <w:rsid w:val="00A63C66"/>
    <w:rsid w:val="00A63D7C"/>
    <w:rsid w:val="00A63E0A"/>
    <w:rsid w:val="00A63F1A"/>
    <w:rsid w:val="00A64298"/>
    <w:rsid w:val="00A64E96"/>
    <w:rsid w:val="00A65046"/>
    <w:rsid w:val="00A651FD"/>
    <w:rsid w:val="00A65CB3"/>
    <w:rsid w:val="00A65D1A"/>
    <w:rsid w:val="00A66725"/>
    <w:rsid w:val="00A669E2"/>
    <w:rsid w:val="00A66C3B"/>
    <w:rsid w:val="00A67424"/>
    <w:rsid w:val="00A6767F"/>
    <w:rsid w:val="00A6768F"/>
    <w:rsid w:val="00A678C5"/>
    <w:rsid w:val="00A67BC4"/>
    <w:rsid w:val="00A67CD1"/>
    <w:rsid w:val="00A67FC6"/>
    <w:rsid w:val="00A70098"/>
    <w:rsid w:val="00A700D0"/>
    <w:rsid w:val="00A70567"/>
    <w:rsid w:val="00A70837"/>
    <w:rsid w:val="00A70C06"/>
    <w:rsid w:val="00A70EDF"/>
    <w:rsid w:val="00A7143B"/>
    <w:rsid w:val="00A71562"/>
    <w:rsid w:val="00A71B8E"/>
    <w:rsid w:val="00A72548"/>
    <w:rsid w:val="00A72AB9"/>
    <w:rsid w:val="00A72C08"/>
    <w:rsid w:val="00A72FAA"/>
    <w:rsid w:val="00A7303C"/>
    <w:rsid w:val="00A73264"/>
    <w:rsid w:val="00A73362"/>
    <w:rsid w:val="00A73B83"/>
    <w:rsid w:val="00A73D96"/>
    <w:rsid w:val="00A741CE"/>
    <w:rsid w:val="00A74465"/>
    <w:rsid w:val="00A74535"/>
    <w:rsid w:val="00A749E6"/>
    <w:rsid w:val="00A74B79"/>
    <w:rsid w:val="00A7506F"/>
    <w:rsid w:val="00A753B5"/>
    <w:rsid w:val="00A75535"/>
    <w:rsid w:val="00A758B6"/>
    <w:rsid w:val="00A75B4C"/>
    <w:rsid w:val="00A75E50"/>
    <w:rsid w:val="00A76ACA"/>
    <w:rsid w:val="00A770C6"/>
    <w:rsid w:val="00A77255"/>
    <w:rsid w:val="00A772B0"/>
    <w:rsid w:val="00A77451"/>
    <w:rsid w:val="00A7763F"/>
    <w:rsid w:val="00A777E7"/>
    <w:rsid w:val="00A77986"/>
    <w:rsid w:val="00A77B93"/>
    <w:rsid w:val="00A805BE"/>
    <w:rsid w:val="00A807D0"/>
    <w:rsid w:val="00A80BD0"/>
    <w:rsid w:val="00A80D15"/>
    <w:rsid w:val="00A80EEC"/>
    <w:rsid w:val="00A81002"/>
    <w:rsid w:val="00A8120E"/>
    <w:rsid w:val="00A817C9"/>
    <w:rsid w:val="00A819A9"/>
    <w:rsid w:val="00A81BC6"/>
    <w:rsid w:val="00A821AB"/>
    <w:rsid w:val="00A823F6"/>
    <w:rsid w:val="00A8244B"/>
    <w:rsid w:val="00A8282B"/>
    <w:rsid w:val="00A82C8E"/>
    <w:rsid w:val="00A83089"/>
    <w:rsid w:val="00A83273"/>
    <w:rsid w:val="00A83449"/>
    <w:rsid w:val="00A8383E"/>
    <w:rsid w:val="00A83ABD"/>
    <w:rsid w:val="00A83BA9"/>
    <w:rsid w:val="00A84146"/>
    <w:rsid w:val="00A84209"/>
    <w:rsid w:val="00A847A6"/>
    <w:rsid w:val="00A84945"/>
    <w:rsid w:val="00A8573E"/>
    <w:rsid w:val="00A85ACC"/>
    <w:rsid w:val="00A85D08"/>
    <w:rsid w:val="00A86029"/>
    <w:rsid w:val="00A86048"/>
    <w:rsid w:val="00A86172"/>
    <w:rsid w:val="00A86275"/>
    <w:rsid w:val="00A8655E"/>
    <w:rsid w:val="00A866E6"/>
    <w:rsid w:val="00A86868"/>
    <w:rsid w:val="00A86991"/>
    <w:rsid w:val="00A86A24"/>
    <w:rsid w:val="00A86A8F"/>
    <w:rsid w:val="00A86D17"/>
    <w:rsid w:val="00A87002"/>
    <w:rsid w:val="00A87097"/>
    <w:rsid w:val="00A874C6"/>
    <w:rsid w:val="00A87515"/>
    <w:rsid w:val="00A878B6"/>
    <w:rsid w:val="00A87ADA"/>
    <w:rsid w:val="00A87CA7"/>
    <w:rsid w:val="00A87E64"/>
    <w:rsid w:val="00A9034C"/>
    <w:rsid w:val="00A90419"/>
    <w:rsid w:val="00A909E7"/>
    <w:rsid w:val="00A90ABD"/>
    <w:rsid w:val="00A90DDE"/>
    <w:rsid w:val="00A90F37"/>
    <w:rsid w:val="00A91669"/>
    <w:rsid w:val="00A91931"/>
    <w:rsid w:val="00A9209F"/>
    <w:rsid w:val="00A92193"/>
    <w:rsid w:val="00A92C6F"/>
    <w:rsid w:val="00A92D03"/>
    <w:rsid w:val="00A92DCC"/>
    <w:rsid w:val="00A92FFE"/>
    <w:rsid w:val="00A93708"/>
    <w:rsid w:val="00A93B36"/>
    <w:rsid w:val="00A93E8E"/>
    <w:rsid w:val="00A9443C"/>
    <w:rsid w:val="00A945E0"/>
    <w:rsid w:val="00A948D7"/>
    <w:rsid w:val="00A94BC9"/>
    <w:rsid w:val="00A94C54"/>
    <w:rsid w:val="00A94EFF"/>
    <w:rsid w:val="00A9517E"/>
    <w:rsid w:val="00A9539D"/>
    <w:rsid w:val="00A95573"/>
    <w:rsid w:val="00A95807"/>
    <w:rsid w:val="00A95C24"/>
    <w:rsid w:val="00A95D6A"/>
    <w:rsid w:val="00A96214"/>
    <w:rsid w:val="00A962D6"/>
    <w:rsid w:val="00A963A8"/>
    <w:rsid w:val="00A96AFF"/>
    <w:rsid w:val="00A96B06"/>
    <w:rsid w:val="00A96FA6"/>
    <w:rsid w:val="00A970C6"/>
    <w:rsid w:val="00A97406"/>
    <w:rsid w:val="00A978A6"/>
    <w:rsid w:val="00A97B29"/>
    <w:rsid w:val="00A97ED3"/>
    <w:rsid w:val="00AA0592"/>
    <w:rsid w:val="00AA0943"/>
    <w:rsid w:val="00AA0CE3"/>
    <w:rsid w:val="00AA0E36"/>
    <w:rsid w:val="00AA1527"/>
    <w:rsid w:val="00AA1832"/>
    <w:rsid w:val="00AA1A8B"/>
    <w:rsid w:val="00AA1D49"/>
    <w:rsid w:val="00AA1DDD"/>
    <w:rsid w:val="00AA1F0D"/>
    <w:rsid w:val="00AA1F60"/>
    <w:rsid w:val="00AA2516"/>
    <w:rsid w:val="00AA2997"/>
    <w:rsid w:val="00AA2BAC"/>
    <w:rsid w:val="00AA2BC1"/>
    <w:rsid w:val="00AA3858"/>
    <w:rsid w:val="00AA3A97"/>
    <w:rsid w:val="00AA3DA6"/>
    <w:rsid w:val="00AA3E65"/>
    <w:rsid w:val="00AA4737"/>
    <w:rsid w:val="00AA48C8"/>
    <w:rsid w:val="00AA4BDA"/>
    <w:rsid w:val="00AA4DC9"/>
    <w:rsid w:val="00AA4ED3"/>
    <w:rsid w:val="00AA56B8"/>
    <w:rsid w:val="00AA5753"/>
    <w:rsid w:val="00AA583D"/>
    <w:rsid w:val="00AA5BF5"/>
    <w:rsid w:val="00AA5D63"/>
    <w:rsid w:val="00AA5DBF"/>
    <w:rsid w:val="00AA6359"/>
    <w:rsid w:val="00AA678B"/>
    <w:rsid w:val="00AA68F3"/>
    <w:rsid w:val="00AA69DA"/>
    <w:rsid w:val="00AA6A24"/>
    <w:rsid w:val="00AA6E12"/>
    <w:rsid w:val="00AA6E86"/>
    <w:rsid w:val="00AA77F0"/>
    <w:rsid w:val="00AA7950"/>
    <w:rsid w:val="00AA7BC4"/>
    <w:rsid w:val="00AA7D05"/>
    <w:rsid w:val="00AB04E7"/>
    <w:rsid w:val="00AB0531"/>
    <w:rsid w:val="00AB1519"/>
    <w:rsid w:val="00AB17D4"/>
    <w:rsid w:val="00AB1875"/>
    <w:rsid w:val="00AB19D5"/>
    <w:rsid w:val="00AB1C38"/>
    <w:rsid w:val="00AB1CBE"/>
    <w:rsid w:val="00AB2084"/>
    <w:rsid w:val="00AB2706"/>
    <w:rsid w:val="00AB2BB2"/>
    <w:rsid w:val="00AB2C84"/>
    <w:rsid w:val="00AB3241"/>
    <w:rsid w:val="00AB3397"/>
    <w:rsid w:val="00AB358E"/>
    <w:rsid w:val="00AB38F1"/>
    <w:rsid w:val="00AB397C"/>
    <w:rsid w:val="00AB3BCB"/>
    <w:rsid w:val="00AB3BE8"/>
    <w:rsid w:val="00AB3F19"/>
    <w:rsid w:val="00AB3F4E"/>
    <w:rsid w:val="00AB44A9"/>
    <w:rsid w:val="00AB4594"/>
    <w:rsid w:val="00AB478E"/>
    <w:rsid w:val="00AB494C"/>
    <w:rsid w:val="00AB4D3B"/>
    <w:rsid w:val="00AB517A"/>
    <w:rsid w:val="00AB55D0"/>
    <w:rsid w:val="00AB598B"/>
    <w:rsid w:val="00AB5C70"/>
    <w:rsid w:val="00AB5DD7"/>
    <w:rsid w:val="00AB6874"/>
    <w:rsid w:val="00AB6BB3"/>
    <w:rsid w:val="00AB6D3C"/>
    <w:rsid w:val="00AB7AC0"/>
    <w:rsid w:val="00AB7B75"/>
    <w:rsid w:val="00AC0415"/>
    <w:rsid w:val="00AC06B6"/>
    <w:rsid w:val="00AC06FB"/>
    <w:rsid w:val="00AC07DB"/>
    <w:rsid w:val="00AC0CAB"/>
    <w:rsid w:val="00AC0FC0"/>
    <w:rsid w:val="00AC10C4"/>
    <w:rsid w:val="00AC1609"/>
    <w:rsid w:val="00AC19E0"/>
    <w:rsid w:val="00AC1B9B"/>
    <w:rsid w:val="00AC1CA6"/>
    <w:rsid w:val="00AC217E"/>
    <w:rsid w:val="00AC225C"/>
    <w:rsid w:val="00AC278B"/>
    <w:rsid w:val="00AC2F55"/>
    <w:rsid w:val="00AC33F8"/>
    <w:rsid w:val="00AC33FB"/>
    <w:rsid w:val="00AC378E"/>
    <w:rsid w:val="00AC38DE"/>
    <w:rsid w:val="00AC39D1"/>
    <w:rsid w:val="00AC3A0B"/>
    <w:rsid w:val="00AC3BCF"/>
    <w:rsid w:val="00AC3E7E"/>
    <w:rsid w:val="00AC4BDA"/>
    <w:rsid w:val="00AC4C59"/>
    <w:rsid w:val="00AC4E67"/>
    <w:rsid w:val="00AC526D"/>
    <w:rsid w:val="00AC52EC"/>
    <w:rsid w:val="00AC5BFF"/>
    <w:rsid w:val="00AC5E81"/>
    <w:rsid w:val="00AC5E9B"/>
    <w:rsid w:val="00AC6174"/>
    <w:rsid w:val="00AC64A4"/>
    <w:rsid w:val="00AC66F9"/>
    <w:rsid w:val="00AC6780"/>
    <w:rsid w:val="00AC6BEE"/>
    <w:rsid w:val="00AC6F52"/>
    <w:rsid w:val="00AC756D"/>
    <w:rsid w:val="00AC7737"/>
    <w:rsid w:val="00AC7DA4"/>
    <w:rsid w:val="00AD01A2"/>
    <w:rsid w:val="00AD0296"/>
    <w:rsid w:val="00AD02D8"/>
    <w:rsid w:val="00AD0562"/>
    <w:rsid w:val="00AD12CD"/>
    <w:rsid w:val="00AD1479"/>
    <w:rsid w:val="00AD1B0C"/>
    <w:rsid w:val="00AD1BDE"/>
    <w:rsid w:val="00AD1F80"/>
    <w:rsid w:val="00AD1F8C"/>
    <w:rsid w:val="00AD216B"/>
    <w:rsid w:val="00AD22F9"/>
    <w:rsid w:val="00AD239A"/>
    <w:rsid w:val="00AD25F2"/>
    <w:rsid w:val="00AD2859"/>
    <w:rsid w:val="00AD2B47"/>
    <w:rsid w:val="00AD3097"/>
    <w:rsid w:val="00AD328D"/>
    <w:rsid w:val="00AD359D"/>
    <w:rsid w:val="00AD37BF"/>
    <w:rsid w:val="00AD3DF5"/>
    <w:rsid w:val="00AD3FDE"/>
    <w:rsid w:val="00AD4489"/>
    <w:rsid w:val="00AD4594"/>
    <w:rsid w:val="00AD45C5"/>
    <w:rsid w:val="00AD45FE"/>
    <w:rsid w:val="00AD4CD2"/>
    <w:rsid w:val="00AD540C"/>
    <w:rsid w:val="00AD56E0"/>
    <w:rsid w:val="00AD58A6"/>
    <w:rsid w:val="00AD5982"/>
    <w:rsid w:val="00AD5A6F"/>
    <w:rsid w:val="00AD6440"/>
    <w:rsid w:val="00AD6516"/>
    <w:rsid w:val="00AD6798"/>
    <w:rsid w:val="00AD6F98"/>
    <w:rsid w:val="00AD70F5"/>
    <w:rsid w:val="00AD7285"/>
    <w:rsid w:val="00AD7308"/>
    <w:rsid w:val="00AD74E8"/>
    <w:rsid w:val="00AD7534"/>
    <w:rsid w:val="00AD7701"/>
    <w:rsid w:val="00AD7711"/>
    <w:rsid w:val="00AE011C"/>
    <w:rsid w:val="00AE031A"/>
    <w:rsid w:val="00AE0BE2"/>
    <w:rsid w:val="00AE0F9C"/>
    <w:rsid w:val="00AE11E8"/>
    <w:rsid w:val="00AE135E"/>
    <w:rsid w:val="00AE1772"/>
    <w:rsid w:val="00AE18F4"/>
    <w:rsid w:val="00AE1909"/>
    <w:rsid w:val="00AE19D9"/>
    <w:rsid w:val="00AE1BC4"/>
    <w:rsid w:val="00AE1FBE"/>
    <w:rsid w:val="00AE20F5"/>
    <w:rsid w:val="00AE2313"/>
    <w:rsid w:val="00AE2377"/>
    <w:rsid w:val="00AE27EA"/>
    <w:rsid w:val="00AE2BE5"/>
    <w:rsid w:val="00AE2C6D"/>
    <w:rsid w:val="00AE2DC1"/>
    <w:rsid w:val="00AE305C"/>
    <w:rsid w:val="00AE3169"/>
    <w:rsid w:val="00AE3212"/>
    <w:rsid w:val="00AE3333"/>
    <w:rsid w:val="00AE3392"/>
    <w:rsid w:val="00AE3641"/>
    <w:rsid w:val="00AE3D28"/>
    <w:rsid w:val="00AE3DFF"/>
    <w:rsid w:val="00AE4017"/>
    <w:rsid w:val="00AE41D7"/>
    <w:rsid w:val="00AE4321"/>
    <w:rsid w:val="00AE4416"/>
    <w:rsid w:val="00AE496D"/>
    <w:rsid w:val="00AE497B"/>
    <w:rsid w:val="00AE4C64"/>
    <w:rsid w:val="00AE4D38"/>
    <w:rsid w:val="00AE4D76"/>
    <w:rsid w:val="00AE57B4"/>
    <w:rsid w:val="00AE616E"/>
    <w:rsid w:val="00AE61CF"/>
    <w:rsid w:val="00AE6714"/>
    <w:rsid w:val="00AE6787"/>
    <w:rsid w:val="00AE6E3F"/>
    <w:rsid w:val="00AE6E41"/>
    <w:rsid w:val="00AE6E7F"/>
    <w:rsid w:val="00AE6EA4"/>
    <w:rsid w:val="00AE7F1C"/>
    <w:rsid w:val="00AF008A"/>
    <w:rsid w:val="00AF0218"/>
    <w:rsid w:val="00AF04C0"/>
    <w:rsid w:val="00AF0817"/>
    <w:rsid w:val="00AF0963"/>
    <w:rsid w:val="00AF0A85"/>
    <w:rsid w:val="00AF0B5B"/>
    <w:rsid w:val="00AF0BC8"/>
    <w:rsid w:val="00AF0C2B"/>
    <w:rsid w:val="00AF0C31"/>
    <w:rsid w:val="00AF0F07"/>
    <w:rsid w:val="00AF11CE"/>
    <w:rsid w:val="00AF1BCE"/>
    <w:rsid w:val="00AF1CC5"/>
    <w:rsid w:val="00AF1CDC"/>
    <w:rsid w:val="00AF1EB4"/>
    <w:rsid w:val="00AF22AE"/>
    <w:rsid w:val="00AF2479"/>
    <w:rsid w:val="00AF24BA"/>
    <w:rsid w:val="00AF282D"/>
    <w:rsid w:val="00AF2928"/>
    <w:rsid w:val="00AF2C40"/>
    <w:rsid w:val="00AF35A9"/>
    <w:rsid w:val="00AF3755"/>
    <w:rsid w:val="00AF3830"/>
    <w:rsid w:val="00AF3D19"/>
    <w:rsid w:val="00AF402A"/>
    <w:rsid w:val="00AF4080"/>
    <w:rsid w:val="00AF42DA"/>
    <w:rsid w:val="00AF47B0"/>
    <w:rsid w:val="00AF4A3A"/>
    <w:rsid w:val="00AF4AAB"/>
    <w:rsid w:val="00AF4AEE"/>
    <w:rsid w:val="00AF4D2A"/>
    <w:rsid w:val="00AF4F46"/>
    <w:rsid w:val="00AF5A22"/>
    <w:rsid w:val="00AF5CD7"/>
    <w:rsid w:val="00AF604A"/>
    <w:rsid w:val="00AF63CC"/>
    <w:rsid w:val="00AF66C0"/>
    <w:rsid w:val="00AF6926"/>
    <w:rsid w:val="00AF695F"/>
    <w:rsid w:val="00AF6A41"/>
    <w:rsid w:val="00AF6FCF"/>
    <w:rsid w:val="00AF71B0"/>
    <w:rsid w:val="00AF78E1"/>
    <w:rsid w:val="00AF7B3D"/>
    <w:rsid w:val="00AF7D87"/>
    <w:rsid w:val="00AF7F9D"/>
    <w:rsid w:val="00B00621"/>
    <w:rsid w:val="00B00794"/>
    <w:rsid w:val="00B00946"/>
    <w:rsid w:val="00B00B6B"/>
    <w:rsid w:val="00B00DC7"/>
    <w:rsid w:val="00B0128A"/>
    <w:rsid w:val="00B0167A"/>
    <w:rsid w:val="00B019C7"/>
    <w:rsid w:val="00B01C37"/>
    <w:rsid w:val="00B01DA2"/>
    <w:rsid w:val="00B021FC"/>
    <w:rsid w:val="00B026E6"/>
    <w:rsid w:val="00B02BD4"/>
    <w:rsid w:val="00B02D4E"/>
    <w:rsid w:val="00B0360B"/>
    <w:rsid w:val="00B036DE"/>
    <w:rsid w:val="00B0383A"/>
    <w:rsid w:val="00B03926"/>
    <w:rsid w:val="00B039B7"/>
    <w:rsid w:val="00B039D8"/>
    <w:rsid w:val="00B03D16"/>
    <w:rsid w:val="00B0403D"/>
    <w:rsid w:val="00B04302"/>
    <w:rsid w:val="00B04779"/>
    <w:rsid w:val="00B04BDD"/>
    <w:rsid w:val="00B04CAF"/>
    <w:rsid w:val="00B04D91"/>
    <w:rsid w:val="00B04FFC"/>
    <w:rsid w:val="00B05113"/>
    <w:rsid w:val="00B05211"/>
    <w:rsid w:val="00B05410"/>
    <w:rsid w:val="00B054BA"/>
    <w:rsid w:val="00B05859"/>
    <w:rsid w:val="00B05889"/>
    <w:rsid w:val="00B058F1"/>
    <w:rsid w:val="00B059EA"/>
    <w:rsid w:val="00B05DE5"/>
    <w:rsid w:val="00B06C93"/>
    <w:rsid w:val="00B06F20"/>
    <w:rsid w:val="00B0736A"/>
    <w:rsid w:val="00B078BB"/>
    <w:rsid w:val="00B07DD0"/>
    <w:rsid w:val="00B10054"/>
    <w:rsid w:val="00B1023F"/>
    <w:rsid w:val="00B10275"/>
    <w:rsid w:val="00B103B6"/>
    <w:rsid w:val="00B10796"/>
    <w:rsid w:val="00B10A4E"/>
    <w:rsid w:val="00B10CBE"/>
    <w:rsid w:val="00B11032"/>
    <w:rsid w:val="00B11458"/>
    <w:rsid w:val="00B1173B"/>
    <w:rsid w:val="00B11A8B"/>
    <w:rsid w:val="00B11AE9"/>
    <w:rsid w:val="00B11DFC"/>
    <w:rsid w:val="00B11ED5"/>
    <w:rsid w:val="00B123B9"/>
    <w:rsid w:val="00B12EA0"/>
    <w:rsid w:val="00B139FA"/>
    <w:rsid w:val="00B13A1C"/>
    <w:rsid w:val="00B13C39"/>
    <w:rsid w:val="00B13CC4"/>
    <w:rsid w:val="00B13D9F"/>
    <w:rsid w:val="00B13E62"/>
    <w:rsid w:val="00B14186"/>
    <w:rsid w:val="00B1419B"/>
    <w:rsid w:val="00B14274"/>
    <w:rsid w:val="00B144D9"/>
    <w:rsid w:val="00B1453F"/>
    <w:rsid w:val="00B146C3"/>
    <w:rsid w:val="00B1472A"/>
    <w:rsid w:val="00B14B45"/>
    <w:rsid w:val="00B14B86"/>
    <w:rsid w:val="00B14C7A"/>
    <w:rsid w:val="00B14E63"/>
    <w:rsid w:val="00B15651"/>
    <w:rsid w:val="00B15B5E"/>
    <w:rsid w:val="00B15BB5"/>
    <w:rsid w:val="00B15E89"/>
    <w:rsid w:val="00B1633C"/>
    <w:rsid w:val="00B16694"/>
    <w:rsid w:val="00B167D1"/>
    <w:rsid w:val="00B1692F"/>
    <w:rsid w:val="00B16DAA"/>
    <w:rsid w:val="00B1737B"/>
    <w:rsid w:val="00B1745B"/>
    <w:rsid w:val="00B17E85"/>
    <w:rsid w:val="00B20331"/>
    <w:rsid w:val="00B20684"/>
    <w:rsid w:val="00B206FD"/>
    <w:rsid w:val="00B209AA"/>
    <w:rsid w:val="00B211AE"/>
    <w:rsid w:val="00B216B9"/>
    <w:rsid w:val="00B2191B"/>
    <w:rsid w:val="00B21EA9"/>
    <w:rsid w:val="00B220C8"/>
    <w:rsid w:val="00B223EB"/>
    <w:rsid w:val="00B227AB"/>
    <w:rsid w:val="00B22BB1"/>
    <w:rsid w:val="00B22FFE"/>
    <w:rsid w:val="00B233EF"/>
    <w:rsid w:val="00B23957"/>
    <w:rsid w:val="00B23C83"/>
    <w:rsid w:val="00B24312"/>
    <w:rsid w:val="00B24A73"/>
    <w:rsid w:val="00B24D59"/>
    <w:rsid w:val="00B2512B"/>
    <w:rsid w:val="00B252F5"/>
    <w:rsid w:val="00B2552D"/>
    <w:rsid w:val="00B2557F"/>
    <w:rsid w:val="00B25C82"/>
    <w:rsid w:val="00B260DF"/>
    <w:rsid w:val="00B2621F"/>
    <w:rsid w:val="00B2625C"/>
    <w:rsid w:val="00B269A3"/>
    <w:rsid w:val="00B269E0"/>
    <w:rsid w:val="00B26DA0"/>
    <w:rsid w:val="00B26E81"/>
    <w:rsid w:val="00B27092"/>
    <w:rsid w:val="00B270C0"/>
    <w:rsid w:val="00B27811"/>
    <w:rsid w:val="00B27980"/>
    <w:rsid w:val="00B27C8F"/>
    <w:rsid w:val="00B27CB9"/>
    <w:rsid w:val="00B30194"/>
    <w:rsid w:val="00B30372"/>
    <w:rsid w:val="00B306D0"/>
    <w:rsid w:val="00B307B2"/>
    <w:rsid w:val="00B307E2"/>
    <w:rsid w:val="00B32074"/>
    <w:rsid w:val="00B3217B"/>
    <w:rsid w:val="00B3220C"/>
    <w:rsid w:val="00B32723"/>
    <w:rsid w:val="00B3291D"/>
    <w:rsid w:val="00B32D53"/>
    <w:rsid w:val="00B335FA"/>
    <w:rsid w:val="00B33A39"/>
    <w:rsid w:val="00B33DBC"/>
    <w:rsid w:val="00B33F50"/>
    <w:rsid w:val="00B34644"/>
    <w:rsid w:val="00B34A80"/>
    <w:rsid w:val="00B34AF0"/>
    <w:rsid w:val="00B34B3D"/>
    <w:rsid w:val="00B34B4A"/>
    <w:rsid w:val="00B34E7F"/>
    <w:rsid w:val="00B34FA2"/>
    <w:rsid w:val="00B3512A"/>
    <w:rsid w:val="00B351D5"/>
    <w:rsid w:val="00B353C8"/>
    <w:rsid w:val="00B35677"/>
    <w:rsid w:val="00B359BA"/>
    <w:rsid w:val="00B35DEE"/>
    <w:rsid w:val="00B35E86"/>
    <w:rsid w:val="00B3600F"/>
    <w:rsid w:val="00B36047"/>
    <w:rsid w:val="00B3665D"/>
    <w:rsid w:val="00B36CF2"/>
    <w:rsid w:val="00B371BD"/>
    <w:rsid w:val="00B373BC"/>
    <w:rsid w:val="00B37C74"/>
    <w:rsid w:val="00B37EA2"/>
    <w:rsid w:val="00B40B45"/>
    <w:rsid w:val="00B40C23"/>
    <w:rsid w:val="00B40C74"/>
    <w:rsid w:val="00B41212"/>
    <w:rsid w:val="00B41368"/>
    <w:rsid w:val="00B42098"/>
    <w:rsid w:val="00B42126"/>
    <w:rsid w:val="00B4216E"/>
    <w:rsid w:val="00B4222C"/>
    <w:rsid w:val="00B422E9"/>
    <w:rsid w:val="00B42446"/>
    <w:rsid w:val="00B4259D"/>
    <w:rsid w:val="00B4262C"/>
    <w:rsid w:val="00B426F1"/>
    <w:rsid w:val="00B4304B"/>
    <w:rsid w:val="00B4376D"/>
    <w:rsid w:val="00B437A4"/>
    <w:rsid w:val="00B43E52"/>
    <w:rsid w:val="00B43F1E"/>
    <w:rsid w:val="00B44011"/>
    <w:rsid w:val="00B442B6"/>
    <w:rsid w:val="00B448B8"/>
    <w:rsid w:val="00B44CBB"/>
    <w:rsid w:val="00B44F40"/>
    <w:rsid w:val="00B45004"/>
    <w:rsid w:val="00B45346"/>
    <w:rsid w:val="00B4552F"/>
    <w:rsid w:val="00B45916"/>
    <w:rsid w:val="00B465DC"/>
    <w:rsid w:val="00B466AE"/>
    <w:rsid w:val="00B46725"/>
    <w:rsid w:val="00B4699A"/>
    <w:rsid w:val="00B469F5"/>
    <w:rsid w:val="00B46C07"/>
    <w:rsid w:val="00B46C4F"/>
    <w:rsid w:val="00B46D4A"/>
    <w:rsid w:val="00B46EA9"/>
    <w:rsid w:val="00B47201"/>
    <w:rsid w:val="00B47C0F"/>
    <w:rsid w:val="00B47C55"/>
    <w:rsid w:val="00B47F1C"/>
    <w:rsid w:val="00B50089"/>
    <w:rsid w:val="00B500B7"/>
    <w:rsid w:val="00B50226"/>
    <w:rsid w:val="00B503E5"/>
    <w:rsid w:val="00B5066C"/>
    <w:rsid w:val="00B51608"/>
    <w:rsid w:val="00B51C96"/>
    <w:rsid w:val="00B5201C"/>
    <w:rsid w:val="00B52D54"/>
    <w:rsid w:val="00B52D90"/>
    <w:rsid w:val="00B52E84"/>
    <w:rsid w:val="00B52FD7"/>
    <w:rsid w:val="00B5399F"/>
    <w:rsid w:val="00B53A30"/>
    <w:rsid w:val="00B53C33"/>
    <w:rsid w:val="00B53F76"/>
    <w:rsid w:val="00B54B10"/>
    <w:rsid w:val="00B54B89"/>
    <w:rsid w:val="00B54D84"/>
    <w:rsid w:val="00B55058"/>
    <w:rsid w:val="00B55598"/>
    <w:rsid w:val="00B557BD"/>
    <w:rsid w:val="00B55ABE"/>
    <w:rsid w:val="00B55E71"/>
    <w:rsid w:val="00B5657D"/>
    <w:rsid w:val="00B56BA6"/>
    <w:rsid w:val="00B56BDF"/>
    <w:rsid w:val="00B56E71"/>
    <w:rsid w:val="00B56EEE"/>
    <w:rsid w:val="00B57047"/>
    <w:rsid w:val="00B57254"/>
    <w:rsid w:val="00B575E7"/>
    <w:rsid w:val="00B57987"/>
    <w:rsid w:val="00B60788"/>
    <w:rsid w:val="00B608BD"/>
    <w:rsid w:val="00B60B08"/>
    <w:rsid w:val="00B60F2D"/>
    <w:rsid w:val="00B61170"/>
    <w:rsid w:val="00B61376"/>
    <w:rsid w:val="00B61440"/>
    <w:rsid w:val="00B61444"/>
    <w:rsid w:val="00B6148F"/>
    <w:rsid w:val="00B61791"/>
    <w:rsid w:val="00B620D3"/>
    <w:rsid w:val="00B62616"/>
    <w:rsid w:val="00B628E3"/>
    <w:rsid w:val="00B629BB"/>
    <w:rsid w:val="00B629D5"/>
    <w:rsid w:val="00B62BB9"/>
    <w:rsid w:val="00B62C87"/>
    <w:rsid w:val="00B62F68"/>
    <w:rsid w:val="00B63685"/>
    <w:rsid w:val="00B63831"/>
    <w:rsid w:val="00B64271"/>
    <w:rsid w:val="00B64354"/>
    <w:rsid w:val="00B64415"/>
    <w:rsid w:val="00B644E2"/>
    <w:rsid w:val="00B64C1A"/>
    <w:rsid w:val="00B64E78"/>
    <w:rsid w:val="00B6503D"/>
    <w:rsid w:val="00B65080"/>
    <w:rsid w:val="00B658DB"/>
    <w:rsid w:val="00B65A34"/>
    <w:rsid w:val="00B65E31"/>
    <w:rsid w:val="00B6688C"/>
    <w:rsid w:val="00B66A3A"/>
    <w:rsid w:val="00B6701A"/>
    <w:rsid w:val="00B675A0"/>
    <w:rsid w:val="00B67C09"/>
    <w:rsid w:val="00B67DD4"/>
    <w:rsid w:val="00B67E8B"/>
    <w:rsid w:val="00B70067"/>
    <w:rsid w:val="00B70293"/>
    <w:rsid w:val="00B704A6"/>
    <w:rsid w:val="00B70576"/>
    <w:rsid w:val="00B70E93"/>
    <w:rsid w:val="00B71201"/>
    <w:rsid w:val="00B71813"/>
    <w:rsid w:val="00B71A18"/>
    <w:rsid w:val="00B72177"/>
    <w:rsid w:val="00B72B39"/>
    <w:rsid w:val="00B7360C"/>
    <w:rsid w:val="00B7371A"/>
    <w:rsid w:val="00B73924"/>
    <w:rsid w:val="00B73CE0"/>
    <w:rsid w:val="00B744AF"/>
    <w:rsid w:val="00B748CA"/>
    <w:rsid w:val="00B749F0"/>
    <w:rsid w:val="00B74AF7"/>
    <w:rsid w:val="00B7535E"/>
    <w:rsid w:val="00B754BB"/>
    <w:rsid w:val="00B75ED4"/>
    <w:rsid w:val="00B75F84"/>
    <w:rsid w:val="00B76267"/>
    <w:rsid w:val="00B7646F"/>
    <w:rsid w:val="00B76500"/>
    <w:rsid w:val="00B76D03"/>
    <w:rsid w:val="00B76E2E"/>
    <w:rsid w:val="00B76EF3"/>
    <w:rsid w:val="00B76F12"/>
    <w:rsid w:val="00B7715E"/>
    <w:rsid w:val="00B77C2D"/>
    <w:rsid w:val="00B800F5"/>
    <w:rsid w:val="00B807FD"/>
    <w:rsid w:val="00B81088"/>
    <w:rsid w:val="00B8116B"/>
    <w:rsid w:val="00B81214"/>
    <w:rsid w:val="00B8171F"/>
    <w:rsid w:val="00B81812"/>
    <w:rsid w:val="00B818FE"/>
    <w:rsid w:val="00B8196E"/>
    <w:rsid w:val="00B81C43"/>
    <w:rsid w:val="00B8219E"/>
    <w:rsid w:val="00B821A6"/>
    <w:rsid w:val="00B82312"/>
    <w:rsid w:val="00B82881"/>
    <w:rsid w:val="00B82BC7"/>
    <w:rsid w:val="00B82C94"/>
    <w:rsid w:val="00B83035"/>
    <w:rsid w:val="00B83128"/>
    <w:rsid w:val="00B831EF"/>
    <w:rsid w:val="00B83374"/>
    <w:rsid w:val="00B83887"/>
    <w:rsid w:val="00B83E88"/>
    <w:rsid w:val="00B841E8"/>
    <w:rsid w:val="00B8427D"/>
    <w:rsid w:val="00B843EC"/>
    <w:rsid w:val="00B84441"/>
    <w:rsid w:val="00B8487F"/>
    <w:rsid w:val="00B84943"/>
    <w:rsid w:val="00B84DC9"/>
    <w:rsid w:val="00B850FD"/>
    <w:rsid w:val="00B85297"/>
    <w:rsid w:val="00B855DD"/>
    <w:rsid w:val="00B8572C"/>
    <w:rsid w:val="00B858A4"/>
    <w:rsid w:val="00B858A9"/>
    <w:rsid w:val="00B8590B"/>
    <w:rsid w:val="00B85DFD"/>
    <w:rsid w:val="00B85FB8"/>
    <w:rsid w:val="00B8632F"/>
    <w:rsid w:val="00B866CE"/>
    <w:rsid w:val="00B86747"/>
    <w:rsid w:val="00B86AC4"/>
    <w:rsid w:val="00B86BDD"/>
    <w:rsid w:val="00B86BFD"/>
    <w:rsid w:val="00B86C5E"/>
    <w:rsid w:val="00B86E63"/>
    <w:rsid w:val="00B87A76"/>
    <w:rsid w:val="00B87AA5"/>
    <w:rsid w:val="00B87B60"/>
    <w:rsid w:val="00B905A9"/>
    <w:rsid w:val="00B90641"/>
    <w:rsid w:val="00B912A5"/>
    <w:rsid w:val="00B91504"/>
    <w:rsid w:val="00B91734"/>
    <w:rsid w:val="00B91B73"/>
    <w:rsid w:val="00B91D8F"/>
    <w:rsid w:val="00B9227D"/>
    <w:rsid w:val="00B9273A"/>
    <w:rsid w:val="00B9298E"/>
    <w:rsid w:val="00B92EEF"/>
    <w:rsid w:val="00B9335A"/>
    <w:rsid w:val="00B93613"/>
    <w:rsid w:val="00B93814"/>
    <w:rsid w:val="00B93843"/>
    <w:rsid w:val="00B93C8C"/>
    <w:rsid w:val="00B9424B"/>
    <w:rsid w:val="00B94345"/>
    <w:rsid w:val="00B9456A"/>
    <w:rsid w:val="00B945DC"/>
    <w:rsid w:val="00B94904"/>
    <w:rsid w:val="00B94951"/>
    <w:rsid w:val="00B94A5A"/>
    <w:rsid w:val="00B94C16"/>
    <w:rsid w:val="00B94C2E"/>
    <w:rsid w:val="00B957FD"/>
    <w:rsid w:val="00B9597A"/>
    <w:rsid w:val="00B95E9E"/>
    <w:rsid w:val="00B961AE"/>
    <w:rsid w:val="00B96437"/>
    <w:rsid w:val="00B96921"/>
    <w:rsid w:val="00B96CB4"/>
    <w:rsid w:val="00B9735F"/>
    <w:rsid w:val="00B9794E"/>
    <w:rsid w:val="00B97C20"/>
    <w:rsid w:val="00BA0132"/>
    <w:rsid w:val="00BA0A57"/>
    <w:rsid w:val="00BA0F90"/>
    <w:rsid w:val="00BA102E"/>
    <w:rsid w:val="00BA1204"/>
    <w:rsid w:val="00BA12FE"/>
    <w:rsid w:val="00BA13D0"/>
    <w:rsid w:val="00BA15E4"/>
    <w:rsid w:val="00BA166F"/>
    <w:rsid w:val="00BA1716"/>
    <w:rsid w:val="00BA1782"/>
    <w:rsid w:val="00BA1AF5"/>
    <w:rsid w:val="00BA1C51"/>
    <w:rsid w:val="00BA2911"/>
    <w:rsid w:val="00BA329F"/>
    <w:rsid w:val="00BA3306"/>
    <w:rsid w:val="00BA36FB"/>
    <w:rsid w:val="00BA4755"/>
    <w:rsid w:val="00BA48A3"/>
    <w:rsid w:val="00BA4B1C"/>
    <w:rsid w:val="00BA5BD3"/>
    <w:rsid w:val="00BA5F68"/>
    <w:rsid w:val="00BA5FF5"/>
    <w:rsid w:val="00BA602A"/>
    <w:rsid w:val="00BA6218"/>
    <w:rsid w:val="00BA6CC8"/>
    <w:rsid w:val="00BA6DC6"/>
    <w:rsid w:val="00BA6F9C"/>
    <w:rsid w:val="00BA70EB"/>
    <w:rsid w:val="00BA73A6"/>
    <w:rsid w:val="00BA73D9"/>
    <w:rsid w:val="00BA77E0"/>
    <w:rsid w:val="00BA7E8E"/>
    <w:rsid w:val="00BA7FD1"/>
    <w:rsid w:val="00BB045E"/>
    <w:rsid w:val="00BB050E"/>
    <w:rsid w:val="00BB055A"/>
    <w:rsid w:val="00BB0ABA"/>
    <w:rsid w:val="00BB0E55"/>
    <w:rsid w:val="00BB10D7"/>
    <w:rsid w:val="00BB1198"/>
    <w:rsid w:val="00BB1323"/>
    <w:rsid w:val="00BB1506"/>
    <w:rsid w:val="00BB1634"/>
    <w:rsid w:val="00BB1B26"/>
    <w:rsid w:val="00BB1DB6"/>
    <w:rsid w:val="00BB1E7C"/>
    <w:rsid w:val="00BB2B20"/>
    <w:rsid w:val="00BB322D"/>
    <w:rsid w:val="00BB340F"/>
    <w:rsid w:val="00BB35BF"/>
    <w:rsid w:val="00BB37EB"/>
    <w:rsid w:val="00BB3893"/>
    <w:rsid w:val="00BB38B6"/>
    <w:rsid w:val="00BB3C61"/>
    <w:rsid w:val="00BB3CEC"/>
    <w:rsid w:val="00BB3ED7"/>
    <w:rsid w:val="00BB4609"/>
    <w:rsid w:val="00BB46DB"/>
    <w:rsid w:val="00BB4933"/>
    <w:rsid w:val="00BB51AF"/>
    <w:rsid w:val="00BB587E"/>
    <w:rsid w:val="00BB691F"/>
    <w:rsid w:val="00BB6960"/>
    <w:rsid w:val="00BB72E7"/>
    <w:rsid w:val="00BB7335"/>
    <w:rsid w:val="00BB7345"/>
    <w:rsid w:val="00BB73F2"/>
    <w:rsid w:val="00BB7BD0"/>
    <w:rsid w:val="00BC07C3"/>
    <w:rsid w:val="00BC0FD2"/>
    <w:rsid w:val="00BC101E"/>
    <w:rsid w:val="00BC17D1"/>
    <w:rsid w:val="00BC1B22"/>
    <w:rsid w:val="00BC1B2C"/>
    <w:rsid w:val="00BC1BA2"/>
    <w:rsid w:val="00BC2649"/>
    <w:rsid w:val="00BC2776"/>
    <w:rsid w:val="00BC2CF4"/>
    <w:rsid w:val="00BC2F86"/>
    <w:rsid w:val="00BC30FA"/>
    <w:rsid w:val="00BC33AF"/>
    <w:rsid w:val="00BC33E9"/>
    <w:rsid w:val="00BC348F"/>
    <w:rsid w:val="00BC3613"/>
    <w:rsid w:val="00BC3654"/>
    <w:rsid w:val="00BC377B"/>
    <w:rsid w:val="00BC3C71"/>
    <w:rsid w:val="00BC3EF8"/>
    <w:rsid w:val="00BC4031"/>
    <w:rsid w:val="00BC41E1"/>
    <w:rsid w:val="00BC4728"/>
    <w:rsid w:val="00BC4A03"/>
    <w:rsid w:val="00BC4AD7"/>
    <w:rsid w:val="00BC4E68"/>
    <w:rsid w:val="00BC4F79"/>
    <w:rsid w:val="00BC539E"/>
    <w:rsid w:val="00BC554A"/>
    <w:rsid w:val="00BC5C95"/>
    <w:rsid w:val="00BC5EE7"/>
    <w:rsid w:val="00BC6246"/>
    <w:rsid w:val="00BC6331"/>
    <w:rsid w:val="00BC65C6"/>
    <w:rsid w:val="00BC6716"/>
    <w:rsid w:val="00BC6AA3"/>
    <w:rsid w:val="00BC6BBD"/>
    <w:rsid w:val="00BC70F3"/>
    <w:rsid w:val="00BC7222"/>
    <w:rsid w:val="00BC757F"/>
    <w:rsid w:val="00BC76C8"/>
    <w:rsid w:val="00BC7B08"/>
    <w:rsid w:val="00BC7CA9"/>
    <w:rsid w:val="00BD02DA"/>
    <w:rsid w:val="00BD088B"/>
    <w:rsid w:val="00BD132E"/>
    <w:rsid w:val="00BD133A"/>
    <w:rsid w:val="00BD1466"/>
    <w:rsid w:val="00BD1894"/>
    <w:rsid w:val="00BD18EA"/>
    <w:rsid w:val="00BD19BF"/>
    <w:rsid w:val="00BD19CF"/>
    <w:rsid w:val="00BD1DFC"/>
    <w:rsid w:val="00BD1F8A"/>
    <w:rsid w:val="00BD2440"/>
    <w:rsid w:val="00BD3806"/>
    <w:rsid w:val="00BD3956"/>
    <w:rsid w:val="00BD3BDE"/>
    <w:rsid w:val="00BD3C89"/>
    <w:rsid w:val="00BD4084"/>
    <w:rsid w:val="00BD43FA"/>
    <w:rsid w:val="00BD468A"/>
    <w:rsid w:val="00BD4EC5"/>
    <w:rsid w:val="00BD5311"/>
    <w:rsid w:val="00BD5375"/>
    <w:rsid w:val="00BD54BF"/>
    <w:rsid w:val="00BD55D6"/>
    <w:rsid w:val="00BD5935"/>
    <w:rsid w:val="00BD59EF"/>
    <w:rsid w:val="00BD5A40"/>
    <w:rsid w:val="00BD5F26"/>
    <w:rsid w:val="00BD6492"/>
    <w:rsid w:val="00BD64A9"/>
    <w:rsid w:val="00BD64F7"/>
    <w:rsid w:val="00BD6542"/>
    <w:rsid w:val="00BD6D65"/>
    <w:rsid w:val="00BD6DE0"/>
    <w:rsid w:val="00BD6E6D"/>
    <w:rsid w:val="00BD7524"/>
    <w:rsid w:val="00BD7877"/>
    <w:rsid w:val="00BD7B21"/>
    <w:rsid w:val="00BE01CB"/>
    <w:rsid w:val="00BE0401"/>
    <w:rsid w:val="00BE0A50"/>
    <w:rsid w:val="00BE0CB6"/>
    <w:rsid w:val="00BE0FCA"/>
    <w:rsid w:val="00BE149D"/>
    <w:rsid w:val="00BE1D4A"/>
    <w:rsid w:val="00BE2737"/>
    <w:rsid w:val="00BE35EF"/>
    <w:rsid w:val="00BE3A67"/>
    <w:rsid w:val="00BE3EC8"/>
    <w:rsid w:val="00BE43CD"/>
    <w:rsid w:val="00BE477E"/>
    <w:rsid w:val="00BE4A2B"/>
    <w:rsid w:val="00BE4FD7"/>
    <w:rsid w:val="00BE5282"/>
    <w:rsid w:val="00BE5A92"/>
    <w:rsid w:val="00BE5AC1"/>
    <w:rsid w:val="00BE60D1"/>
    <w:rsid w:val="00BE6367"/>
    <w:rsid w:val="00BE65A3"/>
    <w:rsid w:val="00BE674B"/>
    <w:rsid w:val="00BE687B"/>
    <w:rsid w:val="00BE68EC"/>
    <w:rsid w:val="00BE6EF9"/>
    <w:rsid w:val="00BE6F43"/>
    <w:rsid w:val="00BE7265"/>
    <w:rsid w:val="00BE742B"/>
    <w:rsid w:val="00BE78BE"/>
    <w:rsid w:val="00BE7A90"/>
    <w:rsid w:val="00BE7ABA"/>
    <w:rsid w:val="00BF06FA"/>
    <w:rsid w:val="00BF08C8"/>
    <w:rsid w:val="00BF090D"/>
    <w:rsid w:val="00BF19FC"/>
    <w:rsid w:val="00BF1DEC"/>
    <w:rsid w:val="00BF1E4F"/>
    <w:rsid w:val="00BF2062"/>
    <w:rsid w:val="00BF2258"/>
    <w:rsid w:val="00BF228C"/>
    <w:rsid w:val="00BF253F"/>
    <w:rsid w:val="00BF28CD"/>
    <w:rsid w:val="00BF2BB7"/>
    <w:rsid w:val="00BF2D73"/>
    <w:rsid w:val="00BF2E59"/>
    <w:rsid w:val="00BF352F"/>
    <w:rsid w:val="00BF36C7"/>
    <w:rsid w:val="00BF372C"/>
    <w:rsid w:val="00BF37F2"/>
    <w:rsid w:val="00BF4DC4"/>
    <w:rsid w:val="00BF4EA6"/>
    <w:rsid w:val="00BF500A"/>
    <w:rsid w:val="00BF51C5"/>
    <w:rsid w:val="00BF5259"/>
    <w:rsid w:val="00BF5453"/>
    <w:rsid w:val="00BF5531"/>
    <w:rsid w:val="00BF57F4"/>
    <w:rsid w:val="00BF5C26"/>
    <w:rsid w:val="00BF670C"/>
    <w:rsid w:val="00BF6983"/>
    <w:rsid w:val="00BF6CBE"/>
    <w:rsid w:val="00BF719A"/>
    <w:rsid w:val="00BF767B"/>
    <w:rsid w:val="00BF76C7"/>
    <w:rsid w:val="00BF7BE5"/>
    <w:rsid w:val="00C000FC"/>
    <w:rsid w:val="00C0014B"/>
    <w:rsid w:val="00C00946"/>
    <w:rsid w:val="00C00EBC"/>
    <w:rsid w:val="00C01108"/>
    <w:rsid w:val="00C01571"/>
    <w:rsid w:val="00C01A42"/>
    <w:rsid w:val="00C01A91"/>
    <w:rsid w:val="00C01F34"/>
    <w:rsid w:val="00C02027"/>
    <w:rsid w:val="00C021D8"/>
    <w:rsid w:val="00C0244D"/>
    <w:rsid w:val="00C0283B"/>
    <w:rsid w:val="00C02869"/>
    <w:rsid w:val="00C0298C"/>
    <w:rsid w:val="00C029F7"/>
    <w:rsid w:val="00C030DB"/>
    <w:rsid w:val="00C035F6"/>
    <w:rsid w:val="00C03755"/>
    <w:rsid w:val="00C03A51"/>
    <w:rsid w:val="00C03DD2"/>
    <w:rsid w:val="00C0409C"/>
    <w:rsid w:val="00C0452B"/>
    <w:rsid w:val="00C04984"/>
    <w:rsid w:val="00C04D48"/>
    <w:rsid w:val="00C05200"/>
    <w:rsid w:val="00C053F8"/>
    <w:rsid w:val="00C05522"/>
    <w:rsid w:val="00C05DED"/>
    <w:rsid w:val="00C05E12"/>
    <w:rsid w:val="00C05F9F"/>
    <w:rsid w:val="00C06143"/>
    <w:rsid w:val="00C0631C"/>
    <w:rsid w:val="00C06384"/>
    <w:rsid w:val="00C0638F"/>
    <w:rsid w:val="00C063DE"/>
    <w:rsid w:val="00C066B3"/>
    <w:rsid w:val="00C06ADD"/>
    <w:rsid w:val="00C0748F"/>
    <w:rsid w:val="00C075A6"/>
    <w:rsid w:val="00C07D44"/>
    <w:rsid w:val="00C10077"/>
    <w:rsid w:val="00C104CC"/>
    <w:rsid w:val="00C10A04"/>
    <w:rsid w:val="00C10A0C"/>
    <w:rsid w:val="00C10B8C"/>
    <w:rsid w:val="00C10E31"/>
    <w:rsid w:val="00C11A3B"/>
    <w:rsid w:val="00C11C1F"/>
    <w:rsid w:val="00C11D2D"/>
    <w:rsid w:val="00C11D71"/>
    <w:rsid w:val="00C11E93"/>
    <w:rsid w:val="00C11F09"/>
    <w:rsid w:val="00C1210C"/>
    <w:rsid w:val="00C12437"/>
    <w:rsid w:val="00C124DD"/>
    <w:rsid w:val="00C124FE"/>
    <w:rsid w:val="00C1259B"/>
    <w:rsid w:val="00C12ACE"/>
    <w:rsid w:val="00C12D1A"/>
    <w:rsid w:val="00C12E0C"/>
    <w:rsid w:val="00C12F27"/>
    <w:rsid w:val="00C135C6"/>
    <w:rsid w:val="00C135D5"/>
    <w:rsid w:val="00C135E7"/>
    <w:rsid w:val="00C1379D"/>
    <w:rsid w:val="00C138F9"/>
    <w:rsid w:val="00C13B73"/>
    <w:rsid w:val="00C13FA6"/>
    <w:rsid w:val="00C14082"/>
    <w:rsid w:val="00C143C3"/>
    <w:rsid w:val="00C14461"/>
    <w:rsid w:val="00C14CD5"/>
    <w:rsid w:val="00C14D11"/>
    <w:rsid w:val="00C14FD3"/>
    <w:rsid w:val="00C150A6"/>
    <w:rsid w:val="00C15401"/>
    <w:rsid w:val="00C1549D"/>
    <w:rsid w:val="00C15BA0"/>
    <w:rsid w:val="00C15BD0"/>
    <w:rsid w:val="00C15C8E"/>
    <w:rsid w:val="00C15D73"/>
    <w:rsid w:val="00C15FCE"/>
    <w:rsid w:val="00C16189"/>
    <w:rsid w:val="00C16528"/>
    <w:rsid w:val="00C1660B"/>
    <w:rsid w:val="00C16EFB"/>
    <w:rsid w:val="00C1706F"/>
    <w:rsid w:val="00C17249"/>
    <w:rsid w:val="00C176CA"/>
    <w:rsid w:val="00C20177"/>
    <w:rsid w:val="00C20181"/>
    <w:rsid w:val="00C201BC"/>
    <w:rsid w:val="00C2021D"/>
    <w:rsid w:val="00C203C9"/>
    <w:rsid w:val="00C20875"/>
    <w:rsid w:val="00C20886"/>
    <w:rsid w:val="00C20BA0"/>
    <w:rsid w:val="00C20D41"/>
    <w:rsid w:val="00C21BB3"/>
    <w:rsid w:val="00C21BE5"/>
    <w:rsid w:val="00C21C4F"/>
    <w:rsid w:val="00C21EA6"/>
    <w:rsid w:val="00C22231"/>
    <w:rsid w:val="00C22587"/>
    <w:rsid w:val="00C227B9"/>
    <w:rsid w:val="00C22BA1"/>
    <w:rsid w:val="00C22E8D"/>
    <w:rsid w:val="00C231F8"/>
    <w:rsid w:val="00C23A86"/>
    <w:rsid w:val="00C23B8F"/>
    <w:rsid w:val="00C23C22"/>
    <w:rsid w:val="00C23E58"/>
    <w:rsid w:val="00C23F6E"/>
    <w:rsid w:val="00C2447D"/>
    <w:rsid w:val="00C2479A"/>
    <w:rsid w:val="00C2499D"/>
    <w:rsid w:val="00C24ECE"/>
    <w:rsid w:val="00C25B19"/>
    <w:rsid w:val="00C25CA2"/>
    <w:rsid w:val="00C26042"/>
    <w:rsid w:val="00C261AB"/>
    <w:rsid w:val="00C26437"/>
    <w:rsid w:val="00C26547"/>
    <w:rsid w:val="00C26BE4"/>
    <w:rsid w:val="00C27242"/>
    <w:rsid w:val="00C272A8"/>
    <w:rsid w:val="00C279BD"/>
    <w:rsid w:val="00C27B43"/>
    <w:rsid w:val="00C300BB"/>
    <w:rsid w:val="00C3042D"/>
    <w:rsid w:val="00C304E4"/>
    <w:rsid w:val="00C30527"/>
    <w:rsid w:val="00C308AE"/>
    <w:rsid w:val="00C311E4"/>
    <w:rsid w:val="00C311EC"/>
    <w:rsid w:val="00C313B6"/>
    <w:rsid w:val="00C3140F"/>
    <w:rsid w:val="00C316D0"/>
    <w:rsid w:val="00C31B41"/>
    <w:rsid w:val="00C31C3A"/>
    <w:rsid w:val="00C31F22"/>
    <w:rsid w:val="00C31F6F"/>
    <w:rsid w:val="00C3218B"/>
    <w:rsid w:val="00C3238D"/>
    <w:rsid w:val="00C32408"/>
    <w:rsid w:val="00C32788"/>
    <w:rsid w:val="00C32949"/>
    <w:rsid w:val="00C32C3D"/>
    <w:rsid w:val="00C32C73"/>
    <w:rsid w:val="00C3337E"/>
    <w:rsid w:val="00C33660"/>
    <w:rsid w:val="00C337FC"/>
    <w:rsid w:val="00C3392E"/>
    <w:rsid w:val="00C33A61"/>
    <w:rsid w:val="00C33BD5"/>
    <w:rsid w:val="00C33D5B"/>
    <w:rsid w:val="00C33EC2"/>
    <w:rsid w:val="00C33FE2"/>
    <w:rsid w:val="00C344F5"/>
    <w:rsid w:val="00C34B28"/>
    <w:rsid w:val="00C34C7F"/>
    <w:rsid w:val="00C34EF4"/>
    <w:rsid w:val="00C34FD8"/>
    <w:rsid w:val="00C3522C"/>
    <w:rsid w:val="00C35666"/>
    <w:rsid w:val="00C356E3"/>
    <w:rsid w:val="00C35BAB"/>
    <w:rsid w:val="00C35CC2"/>
    <w:rsid w:val="00C3616B"/>
    <w:rsid w:val="00C364A0"/>
    <w:rsid w:val="00C3679B"/>
    <w:rsid w:val="00C367BD"/>
    <w:rsid w:val="00C369A6"/>
    <w:rsid w:val="00C376AD"/>
    <w:rsid w:val="00C3794C"/>
    <w:rsid w:val="00C37BFC"/>
    <w:rsid w:val="00C37C4B"/>
    <w:rsid w:val="00C4015C"/>
    <w:rsid w:val="00C401BF"/>
    <w:rsid w:val="00C4048C"/>
    <w:rsid w:val="00C405F8"/>
    <w:rsid w:val="00C40816"/>
    <w:rsid w:val="00C41136"/>
    <w:rsid w:val="00C41321"/>
    <w:rsid w:val="00C4172C"/>
    <w:rsid w:val="00C41808"/>
    <w:rsid w:val="00C419C8"/>
    <w:rsid w:val="00C420B3"/>
    <w:rsid w:val="00C42DD4"/>
    <w:rsid w:val="00C42E3F"/>
    <w:rsid w:val="00C42E47"/>
    <w:rsid w:val="00C4311A"/>
    <w:rsid w:val="00C43447"/>
    <w:rsid w:val="00C43531"/>
    <w:rsid w:val="00C43550"/>
    <w:rsid w:val="00C43563"/>
    <w:rsid w:val="00C43644"/>
    <w:rsid w:val="00C43755"/>
    <w:rsid w:val="00C437DC"/>
    <w:rsid w:val="00C439C2"/>
    <w:rsid w:val="00C43D04"/>
    <w:rsid w:val="00C43FBE"/>
    <w:rsid w:val="00C44244"/>
    <w:rsid w:val="00C442E6"/>
    <w:rsid w:val="00C443B8"/>
    <w:rsid w:val="00C44423"/>
    <w:rsid w:val="00C445F7"/>
    <w:rsid w:val="00C4462A"/>
    <w:rsid w:val="00C447A0"/>
    <w:rsid w:val="00C448B4"/>
    <w:rsid w:val="00C4494D"/>
    <w:rsid w:val="00C44DA5"/>
    <w:rsid w:val="00C44FDA"/>
    <w:rsid w:val="00C45160"/>
    <w:rsid w:val="00C4528F"/>
    <w:rsid w:val="00C457A5"/>
    <w:rsid w:val="00C4596F"/>
    <w:rsid w:val="00C45D7A"/>
    <w:rsid w:val="00C45F81"/>
    <w:rsid w:val="00C465AE"/>
    <w:rsid w:val="00C4679C"/>
    <w:rsid w:val="00C467EF"/>
    <w:rsid w:val="00C468CA"/>
    <w:rsid w:val="00C469A3"/>
    <w:rsid w:val="00C469EA"/>
    <w:rsid w:val="00C46C84"/>
    <w:rsid w:val="00C46EEA"/>
    <w:rsid w:val="00C46EF2"/>
    <w:rsid w:val="00C47195"/>
    <w:rsid w:val="00C4724E"/>
    <w:rsid w:val="00C47532"/>
    <w:rsid w:val="00C475ED"/>
    <w:rsid w:val="00C47777"/>
    <w:rsid w:val="00C47D50"/>
    <w:rsid w:val="00C47F31"/>
    <w:rsid w:val="00C500F5"/>
    <w:rsid w:val="00C50449"/>
    <w:rsid w:val="00C50C23"/>
    <w:rsid w:val="00C50C39"/>
    <w:rsid w:val="00C50C50"/>
    <w:rsid w:val="00C50CBF"/>
    <w:rsid w:val="00C50CCD"/>
    <w:rsid w:val="00C50D46"/>
    <w:rsid w:val="00C50F49"/>
    <w:rsid w:val="00C51206"/>
    <w:rsid w:val="00C5140C"/>
    <w:rsid w:val="00C51CF7"/>
    <w:rsid w:val="00C5218D"/>
    <w:rsid w:val="00C526B6"/>
    <w:rsid w:val="00C526D7"/>
    <w:rsid w:val="00C528A1"/>
    <w:rsid w:val="00C52BF3"/>
    <w:rsid w:val="00C52DDA"/>
    <w:rsid w:val="00C52ED7"/>
    <w:rsid w:val="00C53845"/>
    <w:rsid w:val="00C539AD"/>
    <w:rsid w:val="00C53AEC"/>
    <w:rsid w:val="00C53AEE"/>
    <w:rsid w:val="00C53AF4"/>
    <w:rsid w:val="00C53CFC"/>
    <w:rsid w:val="00C53EE5"/>
    <w:rsid w:val="00C540A7"/>
    <w:rsid w:val="00C54514"/>
    <w:rsid w:val="00C54610"/>
    <w:rsid w:val="00C54F66"/>
    <w:rsid w:val="00C54F84"/>
    <w:rsid w:val="00C5524B"/>
    <w:rsid w:val="00C555B5"/>
    <w:rsid w:val="00C55E91"/>
    <w:rsid w:val="00C565C2"/>
    <w:rsid w:val="00C56B7D"/>
    <w:rsid w:val="00C56F8E"/>
    <w:rsid w:val="00C57197"/>
    <w:rsid w:val="00C57261"/>
    <w:rsid w:val="00C5729E"/>
    <w:rsid w:val="00C572B3"/>
    <w:rsid w:val="00C57556"/>
    <w:rsid w:val="00C575FE"/>
    <w:rsid w:val="00C57AD4"/>
    <w:rsid w:val="00C57C14"/>
    <w:rsid w:val="00C57EA2"/>
    <w:rsid w:val="00C57F6F"/>
    <w:rsid w:val="00C60C8B"/>
    <w:rsid w:val="00C61387"/>
    <w:rsid w:val="00C61815"/>
    <w:rsid w:val="00C61E66"/>
    <w:rsid w:val="00C62201"/>
    <w:rsid w:val="00C62AB3"/>
    <w:rsid w:val="00C62FB6"/>
    <w:rsid w:val="00C637BB"/>
    <w:rsid w:val="00C63BC9"/>
    <w:rsid w:val="00C64289"/>
    <w:rsid w:val="00C642B4"/>
    <w:rsid w:val="00C648F3"/>
    <w:rsid w:val="00C64AB3"/>
    <w:rsid w:val="00C65ADC"/>
    <w:rsid w:val="00C65DE8"/>
    <w:rsid w:val="00C66007"/>
    <w:rsid w:val="00C66043"/>
    <w:rsid w:val="00C6680B"/>
    <w:rsid w:val="00C66929"/>
    <w:rsid w:val="00C66CF0"/>
    <w:rsid w:val="00C67034"/>
    <w:rsid w:val="00C67057"/>
    <w:rsid w:val="00C6706D"/>
    <w:rsid w:val="00C672EE"/>
    <w:rsid w:val="00C67378"/>
    <w:rsid w:val="00C6742E"/>
    <w:rsid w:val="00C67A5A"/>
    <w:rsid w:val="00C67E12"/>
    <w:rsid w:val="00C67F71"/>
    <w:rsid w:val="00C67FB2"/>
    <w:rsid w:val="00C70B9E"/>
    <w:rsid w:val="00C70DD5"/>
    <w:rsid w:val="00C710E0"/>
    <w:rsid w:val="00C716D6"/>
    <w:rsid w:val="00C7217A"/>
    <w:rsid w:val="00C721FD"/>
    <w:rsid w:val="00C724A8"/>
    <w:rsid w:val="00C72B7E"/>
    <w:rsid w:val="00C72E4F"/>
    <w:rsid w:val="00C72F49"/>
    <w:rsid w:val="00C731F9"/>
    <w:rsid w:val="00C73326"/>
    <w:rsid w:val="00C73631"/>
    <w:rsid w:val="00C73829"/>
    <w:rsid w:val="00C73B5C"/>
    <w:rsid w:val="00C73F3E"/>
    <w:rsid w:val="00C74878"/>
    <w:rsid w:val="00C75437"/>
    <w:rsid w:val="00C75904"/>
    <w:rsid w:val="00C75E6E"/>
    <w:rsid w:val="00C7629F"/>
    <w:rsid w:val="00C764B0"/>
    <w:rsid w:val="00C764EB"/>
    <w:rsid w:val="00C7656F"/>
    <w:rsid w:val="00C7676D"/>
    <w:rsid w:val="00C7698C"/>
    <w:rsid w:val="00C76D8D"/>
    <w:rsid w:val="00C77143"/>
    <w:rsid w:val="00C7784D"/>
    <w:rsid w:val="00C77B96"/>
    <w:rsid w:val="00C77C37"/>
    <w:rsid w:val="00C80F02"/>
    <w:rsid w:val="00C81580"/>
    <w:rsid w:val="00C81717"/>
    <w:rsid w:val="00C81B11"/>
    <w:rsid w:val="00C81BE2"/>
    <w:rsid w:val="00C81E6A"/>
    <w:rsid w:val="00C81E8D"/>
    <w:rsid w:val="00C822D8"/>
    <w:rsid w:val="00C826D1"/>
    <w:rsid w:val="00C826ED"/>
    <w:rsid w:val="00C837AB"/>
    <w:rsid w:val="00C8384F"/>
    <w:rsid w:val="00C83861"/>
    <w:rsid w:val="00C83A22"/>
    <w:rsid w:val="00C83AB8"/>
    <w:rsid w:val="00C841C9"/>
    <w:rsid w:val="00C84912"/>
    <w:rsid w:val="00C84A54"/>
    <w:rsid w:val="00C84DA6"/>
    <w:rsid w:val="00C84FB4"/>
    <w:rsid w:val="00C85315"/>
    <w:rsid w:val="00C8557E"/>
    <w:rsid w:val="00C85CEE"/>
    <w:rsid w:val="00C85E9B"/>
    <w:rsid w:val="00C85FDC"/>
    <w:rsid w:val="00C85FE5"/>
    <w:rsid w:val="00C86380"/>
    <w:rsid w:val="00C86653"/>
    <w:rsid w:val="00C866CF"/>
    <w:rsid w:val="00C86BAF"/>
    <w:rsid w:val="00C86C16"/>
    <w:rsid w:val="00C86E4A"/>
    <w:rsid w:val="00C8700E"/>
    <w:rsid w:val="00C871A0"/>
    <w:rsid w:val="00C87261"/>
    <w:rsid w:val="00C874F1"/>
    <w:rsid w:val="00C877EF"/>
    <w:rsid w:val="00C900F5"/>
    <w:rsid w:val="00C902C3"/>
    <w:rsid w:val="00C909B8"/>
    <w:rsid w:val="00C90AA9"/>
    <w:rsid w:val="00C90ABF"/>
    <w:rsid w:val="00C90E6C"/>
    <w:rsid w:val="00C91001"/>
    <w:rsid w:val="00C9167C"/>
    <w:rsid w:val="00C916F2"/>
    <w:rsid w:val="00C91DDD"/>
    <w:rsid w:val="00C92071"/>
    <w:rsid w:val="00C927DB"/>
    <w:rsid w:val="00C9292A"/>
    <w:rsid w:val="00C92DBC"/>
    <w:rsid w:val="00C930C1"/>
    <w:rsid w:val="00C936C4"/>
    <w:rsid w:val="00C9387E"/>
    <w:rsid w:val="00C93883"/>
    <w:rsid w:val="00C938BB"/>
    <w:rsid w:val="00C94408"/>
    <w:rsid w:val="00C944A7"/>
    <w:rsid w:val="00C944A8"/>
    <w:rsid w:val="00C947AA"/>
    <w:rsid w:val="00C947C2"/>
    <w:rsid w:val="00C94DED"/>
    <w:rsid w:val="00C952FA"/>
    <w:rsid w:val="00C9584A"/>
    <w:rsid w:val="00C95859"/>
    <w:rsid w:val="00C9592C"/>
    <w:rsid w:val="00C95F96"/>
    <w:rsid w:val="00C9650F"/>
    <w:rsid w:val="00C96957"/>
    <w:rsid w:val="00C9714F"/>
    <w:rsid w:val="00C97862"/>
    <w:rsid w:val="00C97F8A"/>
    <w:rsid w:val="00CA004F"/>
    <w:rsid w:val="00CA04D0"/>
    <w:rsid w:val="00CA1DA4"/>
    <w:rsid w:val="00CA2074"/>
    <w:rsid w:val="00CA2090"/>
    <w:rsid w:val="00CA3608"/>
    <w:rsid w:val="00CA365C"/>
    <w:rsid w:val="00CA39C9"/>
    <w:rsid w:val="00CA3ABA"/>
    <w:rsid w:val="00CA3B44"/>
    <w:rsid w:val="00CA3E57"/>
    <w:rsid w:val="00CA3EA2"/>
    <w:rsid w:val="00CA420A"/>
    <w:rsid w:val="00CA4403"/>
    <w:rsid w:val="00CA4781"/>
    <w:rsid w:val="00CA4986"/>
    <w:rsid w:val="00CA49E6"/>
    <w:rsid w:val="00CA4F8F"/>
    <w:rsid w:val="00CA50B0"/>
    <w:rsid w:val="00CA5845"/>
    <w:rsid w:val="00CA5881"/>
    <w:rsid w:val="00CA5C2D"/>
    <w:rsid w:val="00CA5D57"/>
    <w:rsid w:val="00CA5E9D"/>
    <w:rsid w:val="00CA600B"/>
    <w:rsid w:val="00CA62BB"/>
    <w:rsid w:val="00CA62EC"/>
    <w:rsid w:val="00CA6390"/>
    <w:rsid w:val="00CA676F"/>
    <w:rsid w:val="00CA6B93"/>
    <w:rsid w:val="00CA6CA7"/>
    <w:rsid w:val="00CA726F"/>
    <w:rsid w:val="00CA7523"/>
    <w:rsid w:val="00CA796F"/>
    <w:rsid w:val="00CA7A05"/>
    <w:rsid w:val="00CA7A72"/>
    <w:rsid w:val="00CA7C15"/>
    <w:rsid w:val="00CA7FAB"/>
    <w:rsid w:val="00CB03C7"/>
    <w:rsid w:val="00CB04AA"/>
    <w:rsid w:val="00CB07AD"/>
    <w:rsid w:val="00CB09CF"/>
    <w:rsid w:val="00CB10F9"/>
    <w:rsid w:val="00CB16B1"/>
    <w:rsid w:val="00CB1818"/>
    <w:rsid w:val="00CB186F"/>
    <w:rsid w:val="00CB19FF"/>
    <w:rsid w:val="00CB1E86"/>
    <w:rsid w:val="00CB21FE"/>
    <w:rsid w:val="00CB26EA"/>
    <w:rsid w:val="00CB29BC"/>
    <w:rsid w:val="00CB2C12"/>
    <w:rsid w:val="00CB3AA8"/>
    <w:rsid w:val="00CB3DA9"/>
    <w:rsid w:val="00CB44A6"/>
    <w:rsid w:val="00CB45B3"/>
    <w:rsid w:val="00CB49C4"/>
    <w:rsid w:val="00CB5259"/>
    <w:rsid w:val="00CB5681"/>
    <w:rsid w:val="00CB5713"/>
    <w:rsid w:val="00CB5D61"/>
    <w:rsid w:val="00CB5DB6"/>
    <w:rsid w:val="00CB602F"/>
    <w:rsid w:val="00CB63E9"/>
    <w:rsid w:val="00CB6577"/>
    <w:rsid w:val="00CB65D6"/>
    <w:rsid w:val="00CB667A"/>
    <w:rsid w:val="00CB673C"/>
    <w:rsid w:val="00CB7C00"/>
    <w:rsid w:val="00CC0006"/>
    <w:rsid w:val="00CC073D"/>
    <w:rsid w:val="00CC0740"/>
    <w:rsid w:val="00CC0AB9"/>
    <w:rsid w:val="00CC0B77"/>
    <w:rsid w:val="00CC0CC5"/>
    <w:rsid w:val="00CC129A"/>
    <w:rsid w:val="00CC19AA"/>
    <w:rsid w:val="00CC19B5"/>
    <w:rsid w:val="00CC1D42"/>
    <w:rsid w:val="00CC1D7C"/>
    <w:rsid w:val="00CC2172"/>
    <w:rsid w:val="00CC235D"/>
    <w:rsid w:val="00CC24DC"/>
    <w:rsid w:val="00CC2634"/>
    <w:rsid w:val="00CC2882"/>
    <w:rsid w:val="00CC2A23"/>
    <w:rsid w:val="00CC2C8B"/>
    <w:rsid w:val="00CC3254"/>
    <w:rsid w:val="00CC3EB7"/>
    <w:rsid w:val="00CC4250"/>
    <w:rsid w:val="00CC44E6"/>
    <w:rsid w:val="00CC4686"/>
    <w:rsid w:val="00CC49DC"/>
    <w:rsid w:val="00CC4C31"/>
    <w:rsid w:val="00CC4FB6"/>
    <w:rsid w:val="00CC50DD"/>
    <w:rsid w:val="00CC51F5"/>
    <w:rsid w:val="00CC5216"/>
    <w:rsid w:val="00CC5ED5"/>
    <w:rsid w:val="00CC60EF"/>
    <w:rsid w:val="00CC65F7"/>
    <w:rsid w:val="00CC6EB0"/>
    <w:rsid w:val="00CC7371"/>
    <w:rsid w:val="00CC73C4"/>
    <w:rsid w:val="00CC7501"/>
    <w:rsid w:val="00CC75E6"/>
    <w:rsid w:val="00CC7986"/>
    <w:rsid w:val="00CC7A1A"/>
    <w:rsid w:val="00CC7A82"/>
    <w:rsid w:val="00CC7AAE"/>
    <w:rsid w:val="00CD033D"/>
    <w:rsid w:val="00CD0455"/>
    <w:rsid w:val="00CD07C0"/>
    <w:rsid w:val="00CD1072"/>
    <w:rsid w:val="00CD10A0"/>
    <w:rsid w:val="00CD11CE"/>
    <w:rsid w:val="00CD12B4"/>
    <w:rsid w:val="00CD1EFF"/>
    <w:rsid w:val="00CD26F3"/>
    <w:rsid w:val="00CD29D3"/>
    <w:rsid w:val="00CD2B02"/>
    <w:rsid w:val="00CD33B7"/>
    <w:rsid w:val="00CD3491"/>
    <w:rsid w:val="00CD373B"/>
    <w:rsid w:val="00CD3B77"/>
    <w:rsid w:val="00CD4225"/>
    <w:rsid w:val="00CD4316"/>
    <w:rsid w:val="00CD4576"/>
    <w:rsid w:val="00CD468B"/>
    <w:rsid w:val="00CD4B1A"/>
    <w:rsid w:val="00CD4BDB"/>
    <w:rsid w:val="00CD519E"/>
    <w:rsid w:val="00CD51A3"/>
    <w:rsid w:val="00CD54C5"/>
    <w:rsid w:val="00CD59F4"/>
    <w:rsid w:val="00CD5DA6"/>
    <w:rsid w:val="00CD64B8"/>
    <w:rsid w:val="00CD65FD"/>
    <w:rsid w:val="00CD6909"/>
    <w:rsid w:val="00CD716A"/>
    <w:rsid w:val="00CD7654"/>
    <w:rsid w:val="00CE0668"/>
    <w:rsid w:val="00CE08B5"/>
    <w:rsid w:val="00CE0905"/>
    <w:rsid w:val="00CE0AED"/>
    <w:rsid w:val="00CE0B4E"/>
    <w:rsid w:val="00CE1162"/>
    <w:rsid w:val="00CE141C"/>
    <w:rsid w:val="00CE2168"/>
    <w:rsid w:val="00CE2248"/>
    <w:rsid w:val="00CE25A9"/>
    <w:rsid w:val="00CE2656"/>
    <w:rsid w:val="00CE2CA7"/>
    <w:rsid w:val="00CE2CF6"/>
    <w:rsid w:val="00CE2EC1"/>
    <w:rsid w:val="00CE3587"/>
    <w:rsid w:val="00CE3666"/>
    <w:rsid w:val="00CE40C0"/>
    <w:rsid w:val="00CE4199"/>
    <w:rsid w:val="00CE443D"/>
    <w:rsid w:val="00CE4B65"/>
    <w:rsid w:val="00CE4E65"/>
    <w:rsid w:val="00CE575D"/>
    <w:rsid w:val="00CE5EFD"/>
    <w:rsid w:val="00CE6353"/>
    <w:rsid w:val="00CE64FD"/>
    <w:rsid w:val="00CE657D"/>
    <w:rsid w:val="00CE6766"/>
    <w:rsid w:val="00CE70A7"/>
    <w:rsid w:val="00CE748E"/>
    <w:rsid w:val="00CE7521"/>
    <w:rsid w:val="00CE761F"/>
    <w:rsid w:val="00CE78F1"/>
    <w:rsid w:val="00CE7B07"/>
    <w:rsid w:val="00CF0099"/>
    <w:rsid w:val="00CF05A3"/>
    <w:rsid w:val="00CF05D8"/>
    <w:rsid w:val="00CF08D6"/>
    <w:rsid w:val="00CF093A"/>
    <w:rsid w:val="00CF0BBE"/>
    <w:rsid w:val="00CF134C"/>
    <w:rsid w:val="00CF1603"/>
    <w:rsid w:val="00CF1DB0"/>
    <w:rsid w:val="00CF2034"/>
    <w:rsid w:val="00CF2392"/>
    <w:rsid w:val="00CF2523"/>
    <w:rsid w:val="00CF27F1"/>
    <w:rsid w:val="00CF28AB"/>
    <w:rsid w:val="00CF28FE"/>
    <w:rsid w:val="00CF2D02"/>
    <w:rsid w:val="00CF2D4D"/>
    <w:rsid w:val="00CF2ED2"/>
    <w:rsid w:val="00CF2F2E"/>
    <w:rsid w:val="00CF3207"/>
    <w:rsid w:val="00CF341E"/>
    <w:rsid w:val="00CF3443"/>
    <w:rsid w:val="00CF3D8A"/>
    <w:rsid w:val="00CF3DC6"/>
    <w:rsid w:val="00CF4182"/>
    <w:rsid w:val="00CF4396"/>
    <w:rsid w:val="00CF46FB"/>
    <w:rsid w:val="00CF4983"/>
    <w:rsid w:val="00CF4B1E"/>
    <w:rsid w:val="00CF4E66"/>
    <w:rsid w:val="00CF4FD6"/>
    <w:rsid w:val="00CF52E7"/>
    <w:rsid w:val="00CF53DE"/>
    <w:rsid w:val="00CF5509"/>
    <w:rsid w:val="00CF58D3"/>
    <w:rsid w:val="00CF5A4F"/>
    <w:rsid w:val="00CF60E0"/>
    <w:rsid w:val="00CF6482"/>
    <w:rsid w:val="00CF673B"/>
    <w:rsid w:val="00CF674D"/>
    <w:rsid w:val="00CF69DF"/>
    <w:rsid w:val="00CF6D0C"/>
    <w:rsid w:val="00CF6E79"/>
    <w:rsid w:val="00CF7005"/>
    <w:rsid w:val="00CF70D6"/>
    <w:rsid w:val="00CF74ED"/>
    <w:rsid w:val="00CF7F98"/>
    <w:rsid w:val="00D0092D"/>
    <w:rsid w:val="00D01142"/>
    <w:rsid w:val="00D024FC"/>
    <w:rsid w:val="00D025D1"/>
    <w:rsid w:val="00D02777"/>
    <w:rsid w:val="00D02DB6"/>
    <w:rsid w:val="00D0357E"/>
    <w:rsid w:val="00D035FF"/>
    <w:rsid w:val="00D036E9"/>
    <w:rsid w:val="00D03781"/>
    <w:rsid w:val="00D03824"/>
    <w:rsid w:val="00D03D3A"/>
    <w:rsid w:val="00D03E00"/>
    <w:rsid w:val="00D03E7C"/>
    <w:rsid w:val="00D03FF4"/>
    <w:rsid w:val="00D04151"/>
    <w:rsid w:val="00D0419B"/>
    <w:rsid w:val="00D04914"/>
    <w:rsid w:val="00D04B45"/>
    <w:rsid w:val="00D04D01"/>
    <w:rsid w:val="00D04DF0"/>
    <w:rsid w:val="00D05361"/>
    <w:rsid w:val="00D0541E"/>
    <w:rsid w:val="00D0562E"/>
    <w:rsid w:val="00D056D0"/>
    <w:rsid w:val="00D057EB"/>
    <w:rsid w:val="00D05D58"/>
    <w:rsid w:val="00D06069"/>
    <w:rsid w:val="00D06366"/>
    <w:rsid w:val="00D06950"/>
    <w:rsid w:val="00D06D55"/>
    <w:rsid w:val="00D070DF"/>
    <w:rsid w:val="00D07272"/>
    <w:rsid w:val="00D07485"/>
    <w:rsid w:val="00D07617"/>
    <w:rsid w:val="00D10439"/>
    <w:rsid w:val="00D10F40"/>
    <w:rsid w:val="00D113C9"/>
    <w:rsid w:val="00D11506"/>
    <w:rsid w:val="00D116C8"/>
    <w:rsid w:val="00D11D9E"/>
    <w:rsid w:val="00D11DD8"/>
    <w:rsid w:val="00D11F04"/>
    <w:rsid w:val="00D1275F"/>
    <w:rsid w:val="00D127BE"/>
    <w:rsid w:val="00D1287D"/>
    <w:rsid w:val="00D13172"/>
    <w:rsid w:val="00D136EE"/>
    <w:rsid w:val="00D13D65"/>
    <w:rsid w:val="00D13E52"/>
    <w:rsid w:val="00D14033"/>
    <w:rsid w:val="00D141EF"/>
    <w:rsid w:val="00D1430F"/>
    <w:rsid w:val="00D1436A"/>
    <w:rsid w:val="00D14466"/>
    <w:rsid w:val="00D14656"/>
    <w:rsid w:val="00D1488A"/>
    <w:rsid w:val="00D14F9F"/>
    <w:rsid w:val="00D14FB4"/>
    <w:rsid w:val="00D1554C"/>
    <w:rsid w:val="00D1556C"/>
    <w:rsid w:val="00D15945"/>
    <w:rsid w:val="00D16504"/>
    <w:rsid w:val="00D16765"/>
    <w:rsid w:val="00D16882"/>
    <w:rsid w:val="00D168B8"/>
    <w:rsid w:val="00D1698A"/>
    <w:rsid w:val="00D16B5D"/>
    <w:rsid w:val="00D16E20"/>
    <w:rsid w:val="00D1776A"/>
    <w:rsid w:val="00D17902"/>
    <w:rsid w:val="00D17944"/>
    <w:rsid w:val="00D179D4"/>
    <w:rsid w:val="00D17B3B"/>
    <w:rsid w:val="00D20012"/>
    <w:rsid w:val="00D2025D"/>
    <w:rsid w:val="00D20590"/>
    <w:rsid w:val="00D2060C"/>
    <w:rsid w:val="00D20651"/>
    <w:rsid w:val="00D20A56"/>
    <w:rsid w:val="00D20C7F"/>
    <w:rsid w:val="00D20DCB"/>
    <w:rsid w:val="00D20F62"/>
    <w:rsid w:val="00D2162C"/>
    <w:rsid w:val="00D21B2F"/>
    <w:rsid w:val="00D21D95"/>
    <w:rsid w:val="00D21F2F"/>
    <w:rsid w:val="00D220FF"/>
    <w:rsid w:val="00D2243A"/>
    <w:rsid w:val="00D2245A"/>
    <w:rsid w:val="00D22821"/>
    <w:rsid w:val="00D228C9"/>
    <w:rsid w:val="00D22901"/>
    <w:rsid w:val="00D22967"/>
    <w:rsid w:val="00D22A07"/>
    <w:rsid w:val="00D22AC1"/>
    <w:rsid w:val="00D22BEC"/>
    <w:rsid w:val="00D237E3"/>
    <w:rsid w:val="00D23989"/>
    <w:rsid w:val="00D23A12"/>
    <w:rsid w:val="00D23C5F"/>
    <w:rsid w:val="00D23EC9"/>
    <w:rsid w:val="00D2484E"/>
    <w:rsid w:val="00D24E44"/>
    <w:rsid w:val="00D25799"/>
    <w:rsid w:val="00D25C61"/>
    <w:rsid w:val="00D25C68"/>
    <w:rsid w:val="00D25EF6"/>
    <w:rsid w:val="00D265FA"/>
    <w:rsid w:val="00D26B15"/>
    <w:rsid w:val="00D26B38"/>
    <w:rsid w:val="00D2705B"/>
    <w:rsid w:val="00D275E5"/>
    <w:rsid w:val="00D27EE2"/>
    <w:rsid w:val="00D27F06"/>
    <w:rsid w:val="00D27F5E"/>
    <w:rsid w:val="00D30197"/>
    <w:rsid w:val="00D30365"/>
    <w:rsid w:val="00D30936"/>
    <w:rsid w:val="00D30C06"/>
    <w:rsid w:val="00D30CAD"/>
    <w:rsid w:val="00D30F3F"/>
    <w:rsid w:val="00D31169"/>
    <w:rsid w:val="00D31AAC"/>
    <w:rsid w:val="00D31FD8"/>
    <w:rsid w:val="00D32176"/>
    <w:rsid w:val="00D324C7"/>
    <w:rsid w:val="00D32795"/>
    <w:rsid w:val="00D32A18"/>
    <w:rsid w:val="00D32F8B"/>
    <w:rsid w:val="00D330A1"/>
    <w:rsid w:val="00D33964"/>
    <w:rsid w:val="00D33D60"/>
    <w:rsid w:val="00D33F48"/>
    <w:rsid w:val="00D34248"/>
    <w:rsid w:val="00D34405"/>
    <w:rsid w:val="00D34502"/>
    <w:rsid w:val="00D34809"/>
    <w:rsid w:val="00D34F60"/>
    <w:rsid w:val="00D35070"/>
    <w:rsid w:val="00D3555B"/>
    <w:rsid w:val="00D35578"/>
    <w:rsid w:val="00D357EA"/>
    <w:rsid w:val="00D36007"/>
    <w:rsid w:val="00D3610D"/>
    <w:rsid w:val="00D362A5"/>
    <w:rsid w:val="00D362F0"/>
    <w:rsid w:val="00D36403"/>
    <w:rsid w:val="00D3647C"/>
    <w:rsid w:val="00D3667A"/>
    <w:rsid w:val="00D37015"/>
    <w:rsid w:val="00D371E2"/>
    <w:rsid w:val="00D371F0"/>
    <w:rsid w:val="00D374E4"/>
    <w:rsid w:val="00D376DB"/>
    <w:rsid w:val="00D379AD"/>
    <w:rsid w:val="00D37BF6"/>
    <w:rsid w:val="00D37E57"/>
    <w:rsid w:val="00D37E82"/>
    <w:rsid w:val="00D401EB"/>
    <w:rsid w:val="00D408DD"/>
    <w:rsid w:val="00D40AB0"/>
    <w:rsid w:val="00D40E44"/>
    <w:rsid w:val="00D41598"/>
    <w:rsid w:val="00D42536"/>
    <w:rsid w:val="00D4269F"/>
    <w:rsid w:val="00D428F2"/>
    <w:rsid w:val="00D42B6C"/>
    <w:rsid w:val="00D42E71"/>
    <w:rsid w:val="00D43148"/>
    <w:rsid w:val="00D433D3"/>
    <w:rsid w:val="00D437AF"/>
    <w:rsid w:val="00D43B5F"/>
    <w:rsid w:val="00D441CF"/>
    <w:rsid w:val="00D4436E"/>
    <w:rsid w:val="00D4450B"/>
    <w:rsid w:val="00D446CD"/>
    <w:rsid w:val="00D44799"/>
    <w:rsid w:val="00D448DE"/>
    <w:rsid w:val="00D44B51"/>
    <w:rsid w:val="00D44E13"/>
    <w:rsid w:val="00D44FAA"/>
    <w:rsid w:val="00D45204"/>
    <w:rsid w:val="00D4592C"/>
    <w:rsid w:val="00D45976"/>
    <w:rsid w:val="00D45A69"/>
    <w:rsid w:val="00D45FC2"/>
    <w:rsid w:val="00D460BD"/>
    <w:rsid w:val="00D4664A"/>
    <w:rsid w:val="00D467C9"/>
    <w:rsid w:val="00D46BED"/>
    <w:rsid w:val="00D46C48"/>
    <w:rsid w:val="00D46CC2"/>
    <w:rsid w:val="00D46D1E"/>
    <w:rsid w:val="00D46D2E"/>
    <w:rsid w:val="00D46F68"/>
    <w:rsid w:val="00D4742B"/>
    <w:rsid w:val="00D47765"/>
    <w:rsid w:val="00D47CC4"/>
    <w:rsid w:val="00D508D0"/>
    <w:rsid w:val="00D5101F"/>
    <w:rsid w:val="00D51153"/>
    <w:rsid w:val="00D5126D"/>
    <w:rsid w:val="00D514E0"/>
    <w:rsid w:val="00D518C7"/>
    <w:rsid w:val="00D52630"/>
    <w:rsid w:val="00D52ABC"/>
    <w:rsid w:val="00D52AE2"/>
    <w:rsid w:val="00D52D71"/>
    <w:rsid w:val="00D52DB0"/>
    <w:rsid w:val="00D53025"/>
    <w:rsid w:val="00D53421"/>
    <w:rsid w:val="00D538D6"/>
    <w:rsid w:val="00D539C5"/>
    <w:rsid w:val="00D53F83"/>
    <w:rsid w:val="00D5460F"/>
    <w:rsid w:val="00D54FB4"/>
    <w:rsid w:val="00D54FF8"/>
    <w:rsid w:val="00D55189"/>
    <w:rsid w:val="00D555AA"/>
    <w:rsid w:val="00D55634"/>
    <w:rsid w:val="00D55ABB"/>
    <w:rsid w:val="00D55B3E"/>
    <w:rsid w:val="00D55B57"/>
    <w:rsid w:val="00D55DA8"/>
    <w:rsid w:val="00D560B3"/>
    <w:rsid w:val="00D56635"/>
    <w:rsid w:val="00D56A9B"/>
    <w:rsid w:val="00D56CA8"/>
    <w:rsid w:val="00D56CE7"/>
    <w:rsid w:val="00D56DDD"/>
    <w:rsid w:val="00D57069"/>
    <w:rsid w:val="00D57241"/>
    <w:rsid w:val="00D57361"/>
    <w:rsid w:val="00D57CC3"/>
    <w:rsid w:val="00D57D45"/>
    <w:rsid w:val="00D60050"/>
    <w:rsid w:val="00D600EE"/>
    <w:rsid w:val="00D6016B"/>
    <w:rsid w:val="00D6066D"/>
    <w:rsid w:val="00D608F9"/>
    <w:rsid w:val="00D60C2F"/>
    <w:rsid w:val="00D611EE"/>
    <w:rsid w:val="00D61F2E"/>
    <w:rsid w:val="00D621D2"/>
    <w:rsid w:val="00D62AF6"/>
    <w:rsid w:val="00D62B1F"/>
    <w:rsid w:val="00D62BAD"/>
    <w:rsid w:val="00D62CDA"/>
    <w:rsid w:val="00D630C2"/>
    <w:rsid w:val="00D632DC"/>
    <w:rsid w:val="00D63AFE"/>
    <w:rsid w:val="00D63C7D"/>
    <w:rsid w:val="00D63FC7"/>
    <w:rsid w:val="00D646B1"/>
    <w:rsid w:val="00D64A89"/>
    <w:rsid w:val="00D64F94"/>
    <w:rsid w:val="00D64FEC"/>
    <w:rsid w:val="00D65411"/>
    <w:rsid w:val="00D65552"/>
    <w:rsid w:val="00D65BAD"/>
    <w:rsid w:val="00D65C7C"/>
    <w:rsid w:val="00D66205"/>
    <w:rsid w:val="00D66EDD"/>
    <w:rsid w:val="00D674E1"/>
    <w:rsid w:val="00D7007C"/>
    <w:rsid w:val="00D70340"/>
    <w:rsid w:val="00D70613"/>
    <w:rsid w:val="00D7063E"/>
    <w:rsid w:val="00D70EFD"/>
    <w:rsid w:val="00D70F1D"/>
    <w:rsid w:val="00D712B4"/>
    <w:rsid w:val="00D7139B"/>
    <w:rsid w:val="00D719A5"/>
    <w:rsid w:val="00D71C05"/>
    <w:rsid w:val="00D71C8C"/>
    <w:rsid w:val="00D71DC0"/>
    <w:rsid w:val="00D7243F"/>
    <w:rsid w:val="00D7292B"/>
    <w:rsid w:val="00D72FB8"/>
    <w:rsid w:val="00D73694"/>
    <w:rsid w:val="00D73A56"/>
    <w:rsid w:val="00D73CC2"/>
    <w:rsid w:val="00D73E00"/>
    <w:rsid w:val="00D73E1F"/>
    <w:rsid w:val="00D73F4B"/>
    <w:rsid w:val="00D742AE"/>
    <w:rsid w:val="00D743B2"/>
    <w:rsid w:val="00D7467D"/>
    <w:rsid w:val="00D74963"/>
    <w:rsid w:val="00D74C46"/>
    <w:rsid w:val="00D75645"/>
    <w:rsid w:val="00D756F6"/>
    <w:rsid w:val="00D758B9"/>
    <w:rsid w:val="00D75BCB"/>
    <w:rsid w:val="00D76287"/>
    <w:rsid w:val="00D7652C"/>
    <w:rsid w:val="00D76638"/>
    <w:rsid w:val="00D768C9"/>
    <w:rsid w:val="00D768CF"/>
    <w:rsid w:val="00D769C6"/>
    <w:rsid w:val="00D76AA6"/>
    <w:rsid w:val="00D77291"/>
    <w:rsid w:val="00D77D3C"/>
    <w:rsid w:val="00D8005C"/>
    <w:rsid w:val="00D800A2"/>
    <w:rsid w:val="00D8112F"/>
    <w:rsid w:val="00D81230"/>
    <w:rsid w:val="00D823DC"/>
    <w:rsid w:val="00D827C3"/>
    <w:rsid w:val="00D829C2"/>
    <w:rsid w:val="00D82CBD"/>
    <w:rsid w:val="00D831E5"/>
    <w:rsid w:val="00D838E5"/>
    <w:rsid w:val="00D8396B"/>
    <w:rsid w:val="00D839C1"/>
    <w:rsid w:val="00D84F01"/>
    <w:rsid w:val="00D85613"/>
    <w:rsid w:val="00D8581C"/>
    <w:rsid w:val="00D8597B"/>
    <w:rsid w:val="00D85AA7"/>
    <w:rsid w:val="00D86266"/>
    <w:rsid w:val="00D862F2"/>
    <w:rsid w:val="00D8664B"/>
    <w:rsid w:val="00D8699B"/>
    <w:rsid w:val="00D86A6F"/>
    <w:rsid w:val="00D86B7D"/>
    <w:rsid w:val="00D87400"/>
    <w:rsid w:val="00D876BE"/>
    <w:rsid w:val="00D876FA"/>
    <w:rsid w:val="00D87A81"/>
    <w:rsid w:val="00D87B00"/>
    <w:rsid w:val="00D87FC9"/>
    <w:rsid w:val="00D901DF"/>
    <w:rsid w:val="00D90482"/>
    <w:rsid w:val="00D9051E"/>
    <w:rsid w:val="00D9091F"/>
    <w:rsid w:val="00D90C0C"/>
    <w:rsid w:val="00D90C1D"/>
    <w:rsid w:val="00D90E08"/>
    <w:rsid w:val="00D90E88"/>
    <w:rsid w:val="00D90FA6"/>
    <w:rsid w:val="00D91475"/>
    <w:rsid w:val="00D91A49"/>
    <w:rsid w:val="00D91A4D"/>
    <w:rsid w:val="00D921F9"/>
    <w:rsid w:val="00D92D00"/>
    <w:rsid w:val="00D92F58"/>
    <w:rsid w:val="00D93496"/>
    <w:rsid w:val="00D93552"/>
    <w:rsid w:val="00D9392A"/>
    <w:rsid w:val="00D93A98"/>
    <w:rsid w:val="00D93AB9"/>
    <w:rsid w:val="00D93B02"/>
    <w:rsid w:val="00D941DA"/>
    <w:rsid w:val="00D944E6"/>
    <w:rsid w:val="00D94979"/>
    <w:rsid w:val="00D94BAE"/>
    <w:rsid w:val="00D94FF8"/>
    <w:rsid w:val="00D9514C"/>
    <w:rsid w:val="00D9528B"/>
    <w:rsid w:val="00D953BB"/>
    <w:rsid w:val="00D95607"/>
    <w:rsid w:val="00D95B7A"/>
    <w:rsid w:val="00D95C6D"/>
    <w:rsid w:val="00D95CE1"/>
    <w:rsid w:val="00D95D65"/>
    <w:rsid w:val="00D95E0E"/>
    <w:rsid w:val="00D961DF"/>
    <w:rsid w:val="00D963CD"/>
    <w:rsid w:val="00D9672D"/>
    <w:rsid w:val="00D967F5"/>
    <w:rsid w:val="00D968F0"/>
    <w:rsid w:val="00D96977"/>
    <w:rsid w:val="00D969B5"/>
    <w:rsid w:val="00D96AC2"/>
    <w:rsid w:val="00D9712F"/>
    <w:rsid w:val="00D97162"/>
    <w:rsid w:val="00D97241"/>
    <w:rsid w:val="00D973B8"/>
    <w:rsid w:val="00D974CE"/>
    <w:rsid w:val="00D97660"/>
    <w:rsid w:val="00D97825"/>
    <w:rsid w:val="00D97B31"/>
    <w:rsid w:val="00D97D8F"/>
    <w:rsid w:val="00DA0182"/>
    <w:rsid w:val="00DA01DB"/>
    <w:rsid w:val="00DA0458"/>
    <w:rsid w:val="00DA052A"/>
    <w:rsid w:val="00DA055C"/>
    <w:rsid w:val="00DA0703"/>
    <w:rsid w:val="00DA0BB3"/>
    <w:rsid w:val="00DA0C97"/>
    <w:rsid w:val="00DA0EBB"/>
    <w:rsid w:val="00DA1097"/>
    <w:rsid w:val="00DA183F"/>
    <w:rsid w:val="00DA187B"/>
    <w:rsid w:val="00DA1F4D"/>
    <w:rsid w:val="00DA2308"/>
    <w:rsid w:val="00DA23A6"/>
    <w:rsid w:val="00DA259E"/>
    <w:rsid w:val="00DA28E4"/>
    <w:rsid w:val="00DA29A3"/>
    <w:rsid w:val="00DA2DAA"/>
    <w:rsid w:val="00DA3051"/>
    <w:rsid w:val="00DA314A"/>
    <w:rsid w:val="00DA355F"/>
    <w:rsid w:val="00DA3B95"/>
    <w:rsid w:val="00DA3C8F"/>
    <w:rsid w:val="00DA4171"/>
    <w:rsid w:val="00DA4612"/>
    <w:rsid w:val="00DA4FE5"/>
    <w:rsid w:val="00DA5010"/>
    <w:rsid w:val="00DA50AE"/>
    <w:rsid w:val="00DA563B"/>
    <w:rsid w:val="00DA593A"/>
    <w:rsid w:val="00DA5ADD"/>
    <w:rsid w:val="00DA5D11"/>
    <w:rsid w:val="00DA62F1"/>
    <w:rsid w:val="00DA68C8"/>
    <w:rsid w:val="00DA6BAD"/>
    <w:rsid w:val="00DA6C7D"/>
    <w:rsid w:val="00DA6D3E"/>
    <w:rsid w:val="00DA6FBC"/>
    <w:rsid w:val="00DA70BE"/>
    <w:rsid w:val="00DA71CF"/>
    <w:rsid w:val="00DA7C9B"/>
    <w:rsid w:val="00DA7E69"/>
    <w:rsid w:val="00DB04B9"/>
    <w:rsid w:val="00DB0CAD"/>
    <w:rsid w:val="00DB0F4B"/>
    <w:rsid w:val="00DB127D"/>
    <w:rsid w:val="00DB18AB"/>
    <w:rsid w:val="00DB1E3B"/>
    <w:rsid w:val="00DB1E6C"/>
    <w:rsid w:val="00DB24D9"/>
    <w:rsid w:val="00DB2A5A"/>
    <w:rsid w:val="00DB2BB3"/>
    <w:rsid w:val="00DB2C0C"/>
    <w:rsid w:val="00DB2F37"/>
    <w:rsid w:val="00DB324D"/>
    <w:rsid w:val="00DB3BE1"/>
    <w:rsid w:val="00DB3DFE"/>
    <w:rsid w:val="00DB3F7C"/>
    <w:rsid w:val="00DB44AF"/>
    <w:rsid w:val="00DB44F7"/>
    <w:rsid w:val="00DB468F"/>
    <w:rsid w:val="00DB47A9"/>
    <w:rsid w:val="00DB4CC1"/>
    <w:rsid w:val="00DB4D81"/>
    <w:rsid w:val="00DB4F51"/>
    <w:rsid w:val="00DB514D"/>
    <w:rsid w:val="00DB5730"/>
    <w:rsid w:val="00DB582A"/>
    <w:rsid w:val="00DB5997"/>
    <w:rsid w:val="00DB5A78"/>
    <w:rsid w:val="00DB604D"/>
    <w:rsid w:val="00DB6128"/>
    <w:rsid w:val="00DB61AC"/>
    <w:rsid w:val="00DB63E8"/>
    <w:rsid w:val="00DB63F4"/>
    <w:rsid w:val="00DB6AFC"/>
    <w:rsid w:val="00DB6BE6"/>
    <w:rsid w:val="00DB6D4D"/>
    <w:rsid w:val="00DB6EC2"/>
    <w:rsid w:val="00DB7402"/>
    <w:rsid w:val="00DB765E"/>
    <w:rsid w:val="00DB7DB9"/>
    <w:rsid w:val="00DC02A8"/>
    <w:rsid w:val="00DC02F9"/>
    <w:rsid w:val="00DC0358"/>
    <w:rsid w:val="00DC08D6"/>
    <w:rsid w:val="00DC09BC"/>
    <w:rsid w:val="00DC10D5"/>
    <w:rsid w:val="00DC115E"/>
    <w:rsid w:val="00DC135C"/>
    <w:rsid w:val="00DC153F"/>
    <w:rsid w:val="00DC1592"/>
    <w:rsid w:val="00DC193C"/>
    <w:rsid w:val="00DC19B6"/>
    <w:rsid w:val="00DC1B4D"/>
    <w:rsid w:val="00DC2182"/>
    <w:rsid w:val="00DC275D"/>
    <w:rsid w:val="00DC2A47"/>
    <w:rsid w:val="00DC2C96"/>
    <w:rsid w:val="00DC2D93"/>
    <w:rsid w:val="00DC2DB1"/>
    <w:rsid w:val="00DC2E10"/>
    <w:rsid w:val="00DC2F85"/>
    <w:rsid w:val="00DC36DA"/>
    <w:rsid w:val="00DC3718"/>
    <w:rsid w:val="00DC389B"/>
    <w:rsid w:val="00DC3B15"/>
    <w:rsid w:val="00DC3BC5"/>
    <w:rsid w:val="00DC3E2A"/>
    <w:rsid w:val="00DC40A9"/>
    <w:rsid w:val="00DC4886"/>
    <w:rsid w:val="00DC4BA9"/>
    <w:rsid w:val="00DC4C4B"/>
    <w:rsid w:val="00DC565E"/>
    <w:rsid w:val="00DC580B"/>
    <w:rsid w:val="00DC5883"/>
    <w:rsid w:val="00DC5A4E"/>
    <w:rsid w:val="00DC5CEC"/>
    <w:rsid w:val="00DC5E03"/>
    <w:rsid w:val="00DC6015"/>
    <w:rsid w:val="00DC643E"/>
    <w:rsid w:val="00DC687A"/>
    <w:rsid w:val="00DC73A8"/>
    <w:rsid w:val="00DC73D3"/>
    <w:rsid w:val="00DC7CE7"/>
    <w:rsid w:val="00DC7D3D"/>
    <w:rsid w:val="00DD069C"/>
    <w:rsid w:val="00DD0831"/>
    <w:rsid w:val="00DD094D"/>
    <w:rsid w:val="00DD10F8"/>
    <w:rsid w:val="00DD127E"/>
    <w:rsid w:val="00DD139D"/>
    <w:rsid w:val="00DD1609"/>
    <w:rsid w:val="00DD1F03"/>
    <w:rsid w:val="00DD2153"/>
    <w:rsid w:val="00DD21E0"/>
    <w:rsid w:val="00DD2ACB"/>
    <w:rsid w:val="00DD3081"/>
    <w:rsid w:val="00DD319D"/>
    <w:rsid w:val="00DD349C"/>
    <w:rsid w:val="00DD37C8"/>
    <w:rsid w:val="00DD3AFF"/>
    <w:rsid w:val="00DD3B8C"/>
    <w:rsid w:val="00DD3C32"/>
    <w:rsid w:val="00DD4662"/>
    <w:rsid w:val="00DD4811"/>
    <w:rsid w:val="00DD4ACB"/>
    <w:rsid w:val="00DD4DF1"/>
    <w:rsid w:val="00DD4ED3"/>
    <w:rsid w:val="00DD552E"/>
    <w:rsid w:val="00DD59A7"/>
    <w:rsid w:val="00DD5C3E"/>
    <w:rsid w:val="00DD5C57"/>
    <w:rsid w:val="00DD5CDD"/>
    <w:rsid w:val="00DD6020"/>
    <w:rsid w:val="00DD666A"/>
    <w:rsid w:val="00DD6799"/>
    <w:rsid w:val="00DD7274"/>
    <w:rsid w:val="00DD7B23"/>
    <w:rsid w:val="00DD7D1D"/>
    <w:rsid w:val="00DD7F14"/>
    <w:rsid w:val="00DE0390"/>
    <w:rsid w:val="00DE06B6"/>
    <w:rsid w:val="00DE073E"/>
    <w:rsid w:val="00DE0933"/>
    <w:rsid w:val="00DE0B8D"/>
    <w:rsid w:val="00DE0BC2"/>
    <w:rsid w:val="00DE1186"/>
    <w:rsid w:val="00DE1197"/>
    <w:rsid w:val="00DE124B"/>
    <w:rsid w:val="00DE12F4"/>
    <w:rsid w:val="00DE1463"/>
    <w:rsid w:val="00DE15F3"/>
    <w:rsid w:val="00DE1A1B"/>
    <w:rsid w:val="00DE2413"/>
    <w:rsid w:val="00DE2E34"/>
    <w:rsid w:val="00DE31B7"/>
    <w:rsid w:val="00DE33D5"/>
    <w:rsid w:val="00DE33FA"/>
    <w:rsid w:val="00DE3628"/>
    <w:rsid w:val="00DE36F7"/>
    <w:rsid w:val="00DE403A"/>
    <w:rsid w:val="00DE4133"/>
    <w:rsid w:val="00DE4249"/>
    <w:rsid w:val="00DE444C"/>
    <w:rsid w:val="00DE446C"/>
    <w:rsid w:val="00DE45A8"/>
    <w:rsid w:val="00DE48AE"/>
    <w:rsid w:val="00DE4DE2"/>
    <w:rsid w:val="00DE580D"/>
    <w:rsid w:val="00DE5A9C"/>
    <w:rsid w:val="00DE60ED"/>
    <w:rsid w:val="00DE65CF"/>
    <w:rsid w:val="00DE66AC"/>
    <w:rsid w:val="00DE6BB8"/>
    <w:rsid w:val="00DE6D33"/>
    <w:rsid w:val="00DE6F57"/>
    <w:rsid w:val="00DE70C9"/>
    <w:rsid w:val="00DE71AF"/>
    <w:rsid w:val="00DE792D"/>
    <w:rsid w:val="00DE7964"/>
    <w:rsid w:val="00DE7978"/>
    <w:rsid w:val="00DF0530"/>
    <w:rsid w:val="00DF0875"/>
    <w:rsid w:val="00DF12E2"/>
    <w:rsid w:val="00DF1FCC"/>
    <w:rsid w:val="00DF2113"/>
    <w:rsid w:val="00DF23AF"/>
    <w:rsid w:val="00DF2B25"/>
    <w:rsid w:val="00DF2F82"/>
    <w:rsid w:val="00DF3291"/>
    <w:rsid w:val="00DF39F9"/>
    <w:rsid w:val="00DF3AFD"/>
    <w:rsid w:val="00DF4082"/>
    <w:rsid w:val="00DF40DD"/>
    <w:rsid w:val="00DF4202"/>
    <w:rsid w:val="00DF423C"/>
    <w:rsid w:val="00DF4B86"/>
    <w:rsid w:val="00DF508E"/>
    <w:rsid w:val="00DF5316"/>
    <w:rsid w:val="00DF5598"/>
    <w:rsid w:val="00DF57FE"/>
    <w:rsid w:val="00DF5D47"/>
    <w:rsid w:val="00DF60E8"/>
    <w:rsid w:val="00DF651A"/>
    <w:rsid w:val="00DF6532"/>
    <w:rsid w:val="00DF6CCE"/>
    <w:rsid w:val="00DF6D16"/>
    <w:rsid w:val="00DF745F"/>
    <w:rsid w:val="00DF765B"/>
    <w:rsid w:val="00DF7799"/>
    <w:rsid w:val="00DF7E82"/>
    <w:rsid w:val="00E00137"/>
    <w:rsid w:val="00E00CC7"/>
    <w:rsid w:val="00E00EE9"/>
    <w:rsid w:val="00E01984"/>
    <w:rsid w:val="00E0198E"/>
    <w:rsid w:val="00E0224D"/>
    <w:rsid w:val="00E027BD"/>
    <w:rsid w:val="00E029DD"/>
    <w:rsid w:val="00E02A77"/>
    <w:rsid w:val="00E02E23"/>
    <w:rsid w:val="00E02ED6"/>
    <w:rsid w:val="00E030C1"/>
    <w:rsid w:val="00E033BA"/>
    <w:rsid w:val="00E0359D"/>
    <w:rsid w:val="00E03676"/>
    <w:rsid w:val="00E0369A"/>
    <w:rsid w:val="00E0373E"/>
    <w:rsid w:val="00E03BF2"/>
    <w:rsid w:val="00E0416A"/>
    <w:rsid w:val="00E041F9"/>
    <w:rsid w:val="00E045C5"/>
    <w:rsid w:val="00E04769"/>
    <w:rsid w:val="00E04891"/>
    <w:rsid w:val="00E0491A"/>
    <w:rsid w:val="00E04E33"/>
    <w:rsid w:val="00E05829"/>
    <w:rsid w:val="00E05A38"/>
    <w:rsid w:val="00E062DB"/>
    <w:rsid w:val="00E06420"/>
    <w:rsid w:val="00E066C9"/>
    <w:rsid w:val="00E0677B"/>
    <w:rsid w:val="00E07069"/>
    <w:rsid w:val="00E07EF4"/>
    <w:rsid w:val="00E10008"/>
    <w:rsid w:val="00E10240"/>
    <w:rsid w:val="00E10278"/>
    <w:rsid w:val="00E1041A"/>
    <w:rsid w:val="00E105E7"/>
    <w:rsid w:val="00E10829"/>
    <w:rsid w:val="00E10B98"/>
    <w:rsid w:val="00E10EED"/>
    <w:rsid w:val="00E1137F"/>
    <w:rsid w:val="00E11456"/>
    <w:rsid w:val="00E1155E"/>
    <w:rsid w:val="00E1167C"/>
    <w:rsid w:val="00E11947"/>
    <w:rsid w:val="00E11B59"/>
    <w:rsid w:val="00E11E4E"/>
    <w:rsid w:val="00E12154"/>
    <w:rsid w:val="00E12155"/>
    <w:rsid w:val="00E12437"/>
    <w:rsid w:val="00E12566"/>
    <w:rsid w:val="00E12A6A"/>
    <w:rsid w:val="00E13428"/>
    <w:rsid w:val="00E134D0"/>
    <w:rsid w:val="00E13B94"/>
    <w:rsid w:val="00E14723"/>
    <w:rsid w:val="00E148EF"/>
    <w:rsid w:val="00E14C67"/>
    <w:rsid w:val="00E156A0"/>
    <w:rsid w:val="00E157CC"/>
    <w:rsid w:val="00E1584C"/>
    <w:rsid w:val="00E15E1E"/>
    <w:rsid w:val="00E16225"/>
    <w:rsid w:val="00E16458"/>
    <w:rsid w:val="00E166DC"/>
    <w:rsid w:val="00E167B4"/>
    <w:rsid w:val="00E16A57"/>
    <w:rsid w:val="00E16B7E"/>
    <w:rsid w:val="00E16D04"/>
    <w:rsid w:val="00E16FA1"/>
    <w:rsid w:val="00E17076"/>
    <w:rsid w:val="00E1774C"/>
    <w:rsid w:val="00E17C1F"/>
    <w:rsid w:val="00E2042A"/>
    <w:rsid w:val="00E20A54"/>
    <w:rsid w:val="00E20E88"/>
    <w:rsid w:val="00E21B0A"/>
    <w:rsid w:val="00E21CFB"/>
    <w:rsid w:val="00E22348"/>
    <w:rsid w:val="00E2244C"/>
    <w:rsid w:val="00E2252C"/>
    <w:rsid w:val="00E2256C"/>
    <w:rsid w:val="00E225C8"/>
    <w:rsid w:val="00E22C8E"/>
    <w:rsid w:val="00E23878"/>
    <w:rsid w:val="00E23C32"/>
    <w:rsid w:val="00E23D02"/>
    <w:rsid w:val="00E23E89"/>
    <w:rsid w:val="00E240C3"/>
    <w:rsid w:val="00E2458F"/>
    <w:rsid w:val="00E24608"/>
    <w:rsid w:val="00E2467E"/>
    <w:rsid w:val="00E248B4"/>
    <w:rsid w:val="00E24A75"/>
    <w:rsid w:val="00E24D22"/>
    <w:rsid w:val="00E24F0E"/>
    <w:rsid w:val="00E2562A"/>
    <w:rsid w:val="00E25744"/>
    <w:rsid w:val="00E258AA"/>
    <w:rsid w:val="00E25A28"/>
    <w:rsid w:val="00E25AA2"/>
    <w:rsid w:val="00E25C00"/>
    <w:rsid w:val="00E25C36"/>
    <w:rsid w:val="00E25E2F"/>
    <w:rsid w:val="00E26073"/>
    <w:rsid w:val="00E26202"/>
    <w:rsid w:val="00E263FD"/>
    <w:rsid w:val="00E266DA"/>
    <w:rsid w:val="00E2780D"/>
    <w:rsid w:val="00E27C84"/>
    <w:rsid w:val="00E27D05"/>
    <w:rsid w:val="00E30043"/>
    <w:rsid w:val="00E3017D"/>
    <w:rsid w:val="00E3028F"/>
    <w:rsid w:val="00E309EF"/>
    <w:rsid w:val="00E3111F"/>
    <w:rsid w:val="00E311D1"/>
    <w:rsid w:val="00E311F0"/>
    <w:rsid w:val="00E3140D"/>
    <w:rsid w:val="00E317A7"/>
    <w:rsid w:val="00E323AE"/>
    <w:rsid w:val="00E325F7"/>
    <w:rsid w:val="00E32A5C"/>
    <w:rsid w:val="00E32A76"/>
    <w:rsid w:val="00E32B97"/>
    <w:rsid w:val="00E337BB"/>
    <w:rsid w:val="00E33963"/>
    <w:rsid w:val="00E33AE0"/>
    <w:rsid w:val="00E34441"/>
    <w:rsid w:val="00E34E2A"/>
    <w:rsid w:val="00E350D5"/>
    <w:rsid w:val="00E35155"/>
    <w:rsid w:val="00E36BEA"/>
    <w:rsid w:val="00E36E8E"/>
    <w:rsid w:val="00E3703A"/>
    <w:rsid w:val="00E372CE"/>
    <w:rsid w:val="00E37879"/>
    <w:rsid w:val="00E3798C"/>
    <w:rsid w:val="00E37A91"/>
    <w:rsid w:val="00E40436"/>
    <w:rsid w:val="00E40555"/>
    <w:rsid w:val="00E40C72"/>
    <w:rsid w:val="00E40F9C"/>
    <w:rsid w:val="00E412AF"/>
    <w:rsid w:val="00E413A0"/>
    <w:rsid w:val="00E4164B"/>
    <w:rsid w:val="00E4183D"/>
    <w:rsid w:val="00E41B81"/>
    <w:rsid w:val="00E41CC3"/>
    <w:rsid w:val="00E41F6C"/>
    <w:rsid w:val="00E42049"/>
    <w:rsid w:val="00E42375"/>
    <w:rsid w:val="00E42391"/>
    <w:rsid w:val="00E42B7D"/>
    <w:rsid w:val="00E42BB8"/>
    <w:rsid w:val="00E43342"/>
    <w:rsid w:val="00E436A3"/>
    <w:rsid w:val="00E4399B"/>
    <w:rsid w:val="00E44227"/>
    <w:rsid w:val="00E44BE4"/>
    <w:rsid w:val="00E44F8E"/>
    <w:rsid w:val="00E44FC0"/>
    <w:rsid w:val="00E44FDB"/>
    <w:rsid w:val="00E458B8"/>
    <w:rsid w:val="00E458E8"/>
    <w:rsid w:val="00E45BAD"/>
    <w:rsid w:val="00E45CA5"/>
    <w:rsid w:val="00E45CE7"/>
    <w:rsid w:val="00E45D5F"/>
    <w:rsid w:val="00E45FFF"/>
    <w:rsid w:val="00E46660"/>
    <w:rsid w:val="00E4674A"/>
    <w:rsid w:val="00E46BC1"/>
    <w:rsid w:val="00E46E21"/>
    <w:rsid w:val="00E46E76"/>
    <w:rsid w:val="00E47665"/>
    <w:rsid w:val="00E4767D"/>
    <w:rsid w:val="00E47DE2"/>
    <w:rsid w:val="00E501E1"/>
    <w:rsid w:val="00E50246"/>
    <w:rsid w:val="00E503DC"/>
    <w:rsid w:val="00E50758"/>
    <w:rsid w:val="00E5087C"/>
    <w:rsid w:val="00E50F39"/>
    <w:rsid w:val="00E50F94"/>
    <w:rsid w:val="00E51745"/>
    <w:rsid w:val="00E517E0"/>
    <w:rsid w:val="00E518DF"/>
    <w:rsid w:val="00E51937"/>
    <w:rsid w:val="00E51C0D"/>
    <w:rsid w:val="00E52861"/>
    <w:rsid w:val="00E52A14"/>
    <w:rsid w:val="00E52A5A"/>
    <w:rsid w:val="00E52ABA"/>
    <w:rsid w:val="00E52F96"/>
    <w:rsid w:val="00E52FDD"/>
    <w:rsid w:val="00E53BAE"/>
    <w:rsid w:val="00E53C5E"/>
    <w:rsid w:val="00E540C7"/>
    <w:rsid w:val="00E54139"/>
    <w:rsid w:val="00E55216"/>
    <w:rsid w:val="00E55292"/>
    <w:rsid w:val="00E5532C"/>
    <w:rsid w:val="00E5553C"/>
    <w:rsid w:val="00E55920"/>
    <w:rsid w:val="00E562E0"/>
    <w:rsid w:val="00E56D5F"/>
    <w:rsid w:val="00E5735E"/>
    <w:rsid w:val="00E57985"/>
    <w:rsid w:val="00E57C98"/>
    <w:rsid w:val="00E60158"/>
    <w:rsid w:val="00E601BA"/>
    <w:rsid w:val="00E604E4"/>
    <w:rsid w:val="00E60B4F"/>
    <w:rsid w:val="00E60BCE"/>
    <w:rsid w:val="00E60FF2"/>
    <w:rsid w:val="00E61021"/>
    <w:rsid w:val="00E611A2"/>
    <w:rsid w:val="00E6150E"/>
    <w:rsid w:val="00E6158B"/>
    <w:rsid w:val="00E6166B"/>
    <w:rsid w:val="00E61795"/>
    <w:rsid w:val="00E61D98"/>
    <w:rsid w:val="00E61FA5"/>
    <w:rsid w:val="00E6223D"/>
    <w:rsid w:val="00E62399"/>
    <w:rsid w:val="00E62BD1"/>
    <w:rsid w:val="00E63530"/>
    <w:rsid w:val="00E6364B"/>
    <w:rsid w:val="00E63683"/>
    <w:rsid w:val="00E636C2"/>
    <w:rsid w:val="00E6372A"/>
    <w:rsid w:val="00E6382C"/>
    <w:rsid w:val="00E6387C"/>
    <w:rsid w:val="00E63913"/>
    <w:rsid w:val="00E63DA3"/>
    <w:rsid w:val="00E63E89"/>
    <w:rsid w:val="00E63EA6"/>
    <w:rsid w:val="00E64713"/>
    <w:rsid w:val="00E64F9E"/>
    <w:rsid w:val="00E652EE"/>
    <w:rsid w:val="00E65A9E"/>
    <w:rsid w:val="00E65B0B"/>
    <w:rsid w:val="00E65D0D"/>
    <w:rsid w:val="00E66816"/>
    <w:rsid w:val="00E66A9B"/>
    <w:rsid w:val="00E66BAE"/>
    <w:rsid w:val="00E67096"/>
    <w:rsid w:val="00E678D4"/>
    <w:rsid w:val="00E67A18"/>
    <w:rsid w:val="00E67C98"/>
    <w:rsid w:val="00E67F9D"/>
    <w:rsid w:val="00E70884"/>
    <w:rsid w:val="00E70A1C"/>
    <w:rsid w:val="00E713C6"/>
    <w:rsid w:val="00E713F1"/>
    <w:rsid w:val="00E71732"/>
    <w:rsid w:val="00E7175C"/>
    <w:rsid w:val="00E71A99"/>
    <w:rsid w:val="00E71BA2"/>
    <w:rsid w:val="00E72001"/>
    <w:rsid w:val="00E724E4"/>
    <w:rsid w:val="00E72694"/>
    <w:rsid w:val="00E728BD"/>
    <w:rsid w:val="00E72F15"/>
    <w:rsid w:val="00E72F79"/>
    <w:rsid w:val="00E73023"/>
    <w:rsid w:val="00E733EB"/>
    <w:rsid w:val="00E73408"/>
    <w:rsid w:val="00E73447"/>
    <w:rsid w:val="00E7348E"/>
    <w:rsid w:val="00E741B8"/>
    <w:rsid w:val="00E74AFA"/>
    <w:rsid w:val="00E74BE1"/>
    <w:rsid w:val="00E74D54"/>
    <w:rsid w:val="00E74E40"/>
    <w:rsid w:val="00E74E81"/>
    <w:rsid w:val="00E74F9C"/>
    <w:rsid w:val="00E7505B"/>
    <w:rsid w:val="00E75287"/>
    <w:rsid w:val="00E752A0"/>
    <w:rsid w:val="00E75F54"/>
    <w:rsid w:val="00E7654F"/>
    <w:rsid w:val="00E76B04"/>
    <w:rsid w:val="00E76DB2"/>
    <w:rsid w:val="00E76F20"/>
    <w:rsid w:val="00E775B1"/>
    <w:rsid w:val="00E77889"/>
    <w:rsid w:val="00E7788D"/>
    <w:rsid w:val="00E7793B"/>
    <w:rsid w:val="00E77A9E"/>
    <w:rsid w:val="00E77D16"/>
    <w:rsid w:val="00E77ED8"/>
    <w:rsid w:val="00E800B8"/>
    <w:rsid w:val="00E8028B"/>
    <w:rsid w:val="00E80A55"/>
    <w:rsid w:val="00E80C48"/>
    <w:rsid w:val="00E81100"/>
    <w:rsid w:val="00E817DA"/>
    <w:rsid w:val="00E81ECC"/>
    <w:rsid w:val="00E8261C"/>
    <w:rsid w:val="00E82642"/>
    <w:rsid w:val="00E8269E"/>
    <w:rsid w:val="00E828A1"/>
    <w:rsid w:val="00E82AC5"/>
    <w:rsid w:val="00E82B79"/>
    <w:rsid w:val="00E82D94"/>
    <w:rsid w:val="00E83167"/>
    <w:rsid w:val="00E8340F"/>
    <w:rsid w:val="00E83C77"/>
    <w:rsid w:val="00E842E9"/>
    <w:rsid w:val="00E84363"/>
    <w:rsid w:val="00E844EF"/>
    <w:rsid w:val="00E84739"/>
    <w:rsid w:val="00E84941"/>
    <w:rsid w:val="00E849B4"/>
    <w:rsid w:val="00E84F38"/>
    <w:rsid w:val="00E850A6"/>
    <w:rsid w:val="00E855D7"/>
    <w:rsid w:val="00E8580D"/>
    <w:rsid w:val="00E85877"/>
    <w:rsid w:val="00E85FC4"/>
    <w:rsid w:val="00E860C2"/>
    <w:rsid w:val="00E86502"/>
    <w:rsid w:val="00E86728"/>
    <w:rsid w:val="00E868B3"/>
    <w:rsid w:val="00E8706D"/>
    <w:rsid w:val="00E871A8"/>
    <w:rsid w:val="00E873B6"/>
    <w:rsid w:val="00E87961"/>
    <w:rsid w:val="00E87BB7"/>
    <w:rsid w:val="00E900CF"/>
    <w:rsid w:val="00E900F5"/>
    <w:rsid w:val="00E90210"/>
    <w:rsid w:val="00E90939"/>
    <w:rsid w:val="00E90B8A"/>
    <w:rsid w:val="00E90D53"/>
    <w:rsid w:val="00E90FD9"/>
    <w:rsid w:val="00E91043"/>
    <w:rsid w:val="00E910B6"/>
    <w:rsid w:val="00E91319"/>
    <w:rsid w:val="00E91359"/>
    <w:rsid w:val="00E91846"/>
    <w:rsid w:val="00E9187F"/>
    <w:rsid w:val="00E91A24"/>
    <w:rsid w:val="00E91C7A"/>
    <w:rsid w:val="00E91D17"/>
    <w:rsid w:val="00E921A3"/>
    <w:rsid w:val="00E92316"/>
    <w:rsid w:val="00E92494"/>
    <w:rsid w:val="00E926AA"/>
    <w:rsid w:val="00E9270D"/>
    <w:rsid w:val="00E92A58"/>
    <w:rsid w:val="00E93085"/>
    <w:rsid w:val="00E932E0"/>
    <w:rsid w:val="00E93865"/>
    <w:rsid w:val="00E93A39"/>
    <w:rsid w:val="00E93F5C"/>
    <w:rsid w:val="00E94357"/>
    <w:rsid w:val="00E94D0F"/>
    <w:rsid w:val="00E95066"/>
    <w:rsid w:val="00E95AC1"/>
    <w:rsid w:val="00E95DFE"/>
    <w:rsid w:val="00E961A6"/>
    <w:rsid w:val="00E9632A"/>
    <w:rsid w:val="00E96809"/>
    <w:rsid w:val="00E96933"/>
    <w:rsid w:val="00E96ACC"/>
    <w:rsid w:val="00E9713D"/>
    <w:rsid w:val="00E971ED"/>
    <w:rsid w:val="00E972EC"/>
    <w:rsid w:val="00E97303"/>
    <w:rsid w:val="00E97A25"/>
    <w:rsid w:val="00E97BAB"/>
    <w:rsid w:val="00E97BF8"/>
    <w:rsid w:val="00E97F6F"/>
    <w:rsid w:val="00EA0248"/>
    <w:rsid w:val="00EA03DB"/>
    <w:rsid w:val="00EA0581"/>
    <w:rsid w:val="00EA0856"/>
    <w:rsid w:val="00EA1278"/>
    <w:rsid w:val="00EA1351"/>
    <w:rsid w:val="00EA1406"/>
    <w:rsid w:val="00EA167C"/>
    <w:rsid w:val="00EA1704"/>
    <w:rsid w:val="00EA1AD2"/>
    <w:rsid w:val="00EA1EA4"/>
    <w:rsid w:val="00EA22A0"/>
    <w:rsid w:val="00EA242C"/>
    <w:rsid w:val="00EA2588"/>
    <w:rsid w:val="00EA2594"/>
    <w:rsid w:val="00EA2922"/>
    <w:rsid w:val="00EA2AF7"/>
    <w:rsid w:val="00EA2B17"/>
    <w:rsid w:val="00EA2BC9"/>
    <w:rsid w:val="00EA2E0E"/>
    <w:rsid w:val="00EA3123"/>
    <w:rsid w:val="00EA38F8"/>
    <w:rsid w:val="00EA439D"/>
    <w:rsid w:val="00EA4627"/>
    <w:rsid w:val="00EA464E"/>
    <w:rsid w:val="00EA4FFA"/>
    <w:rsid w:val="00EA522A"/>
    <w:rsid w:val="00EA5675"/>
    <w:rsid w:val="00EA567D"/>
    <w:rsid w:val="00EA5C48"/>
    <w:rsid w:val="00EA6086"/>
    <w:rsid w:val="00EA65DC"/>
    <w:rsid w:val="00EA66B8"/>
    <w:rsid w:val="00EA6D25"/>
    <w:rsid w:val="00EA7026"/>
    <w:rsid w:val="00EA706B"/>
    <w:rsid w:val="00EA71E6"/>
    <w:rsid w:val="00EA735A"/>
    <w:rsid w:val="00EA748F"/>
    <w:rsid w:val="00EA74BF"/>
    <w:rsid w:val="00EB00B9"/>
    <w:rsid w:val="00EB0856"/>
    <w:rsid w:val="00EB0B19"/>
    <w:rsid w:val="00EB0CED"/>
    <w:rsid w:val="00EB192A"/>
    <w:rsid w:val="00EB1CF2"/>
    <w:rsid w:val="00EB1DB8"/>
    <w:rsid w:val="00EB1F50"/>
    <w:rsid w:val="00EB2067"/>
    <w:rsid w:val="00EB21C1"/>
    <w:rsid w:val="00EB24AA"/>
    <w:rsid w:val="00EB24B0"/>
    <w:rsid w:val="00EB285A"/>
    <w:rsid w:val="00EB2F76"/>
    <w:rsid w:val="00EB3152"/>
    <w:rsid w:val="00EB3F6B"/>
    <w:rsid w:val="00EB41A6"/>
    <w:rsid w:val="00EB46C7"/>
    <w:rsid w:val="00EB48EF"/>
    <w:rsid w:val="00EB4ABB"/>
    <w:rsid w:val="00EB4B71"/>
    <w:rsid w:val="00EB4CA2"/>
    <w:rsid w:val="00EB54FA"/>
    <w:rsid w:val="00EB59D7"/>
    <w:rsid w:val="00EB5C10"/>
    <w:rsid w:val="00EB5C7E"/>
    <w:rsid w:val="00EB5D6D"/>
    <w:rsid w:val="00EB5E26"/>
    <w:rsid w:val="00EB601D"/>
    <w:rsid w:val="00EB6130"/>
    <w:rsid w:val="00EB67B0"/>
    <w:rsid w:val="00EB6E40"/>
    <w:rsid w:val="00EB7209"/>
    <w:rsid w:val="00EB7C7E"/>
    <w:rsid w:val="00EB7CAA"/>
    <w:rsid w:val="00EC00ED"/>
    <w:rsid w:val="00EC0A4E"/>
    <w:rsid w:val="00EC0C95"/>
    <w:rsid w:val="00EC1304"/>
    <w:rsid w:val="00EC13FD"/>
    <w:rsid w:val="00EC14AE"/>
    <w:rsid w:val="00EC1D83"/>
    <w:rsid w:val="00EC2DC9"/>
    <w:rsid w:val="00EC2F75"/>
    <w:rsid w:val="00EC3220"/>
    <w:rsid w:val="00EC32BA"/>
    <w:rsid w:val="00EC3C41"/>
    <w:rsid w:val="00EC406C"/>
    <w:rsid w:val="00EC53D6"/>
    <w:rsid w:val="00EC55A7"/>
    <w:rsid w:val="00EC55AF"/>
    <w:rsid w:val="00EC5775"/>
    <w:rsid w:val="00EC59CD"/>
    <w:rsid w:val="00EC5BC0"/>
    <w:rsid w:val="00EC5BCF"/>
    <w:rsid w:val="00EC5E2C"/>
    <w:rsid w:val="00EC5FB5"/>
    <w:rsid w:val="00EC6212"/>
    <w:rsid w:val="00EC6467"/>
    <w:rsid w:val="00EC69AA"/>
    <w:rsid w:val="00EC6ACA"/>
    <w:rsid w:val="00EC6AF0"/>
    <w:rsid w:val="00EC6D43"/>
    <w:rsid w:val="00EC6E03"/>
    <w:rsid w:val="00EC70CD"/>
    <w:rsid w:val="00EC7472"/>
    <w:rsid w:val="00EC74F4"/>
    <w:rsid w:val="00EC7CB5"/>
    <w:rsid w:val="00EC7FDE"/>
    <w:rsid w:val="00ED02D8"/>
    <w:rsid w:val="00ED05A6"/>
    <w:rsid w:val="00ED0736"/>
    <w:rsid w:val="00ED0D81"/>
    <w:rsid w:val="00ED0FB8"/>
    <w:rsid w:val="00ED0FBA"/>
    <w:rsid w:val="00ED14A6"/>
    <w:rsid w:val="00ED14E0"/>
    <w:rsid w:val="00ED17D9"/>
    <w:rsid w:val="00ED1813"/>
    <w:rsid w:val="00ED1A25"/>
    <w:rsid w:val="00ED1DA2"/>
    <w:rsid w:val="00ED1FD5"/>
    <w:rsid w:val="00ED2CEB"/>
    <w:rsid w:val="00ED2F09"/>
    <w:rsid w:val="00ED2FA4"/>
    <w:rsid w:val="00ED342E"/>
    <w:rsid w:val="00ED3712"/>
    <w:rsid w:val="00ED39B3"/>
    <w:rsid w:val="00ED39F1"/>
    <w:rsid w:val="00ED3DD4"/>
    <w:rsid w:val="00ED3FE9"/>
    <w:rsid w:val="00ED44A3"/>
    <w:rsid w:val="00ED46EF"/>
    <w:rsid w:val="00ED492F"/>
    <w:rsid w:val="00ED4B82"/>
    <w:rsid w:val="00ED4DD0"/>
    <w:rsid w:val="00ED4E55"/>
    <w:rsid w:val="00ED52CC"/>
    <w:rsid w:val="00ED5472"/>
    <w:rsid w:val="00ED5540"/>
    <w:rsid w:val="00ED5DF4"/>
    <w:rsid w:val="00ED61BA"/>
    <w:rsid w:val="00ED6238"/>
    <w:rsid w:val="00ED63CB"/>
    <w:rsid w:val="00ED719C"/>
    <w:rsid w:val="00ED770D"/>
    <w:rsid w:val="00ED78C3"/>
    <w:rsid w:val="00ED7BC6"/>
    <w:rsid w:val="00ED7E93"/>
    <w:rsid w:val="00EE0018"/>
    <w:rsid w:val="00EE0094"/>
    <w:rsid w:val="00EE0316"/>
    <w:rsid w:val="00EE136C"/>
    <w:rsid w:val="00EE15AE"/>
    <w:rsid w:val="00EE167B"/>
    <w:rsid w:val="00EE19C2"/>
    <w:rsid w:val="00EE1D12"/>
    <w:rsid w:val="00EE206D"/>
    <w:rsid w:val="00EE20BD"/>
    <w:rsid w:val="00EE2806"/>
    <w:rsid w:val="00EE2F44"/>
    <w:rsid w:val="00EE3C16"/>
    <w:rsid w:val="00EE4371"/>
    <w:rsid w:val="00EE47EF"/>
    <w:rsid w:val="00EE4B13"/>
    <w:rsid w:val="00EE5051"/>
    <w:rsid w:val="00EE5291"/>
    <w:rsid w:val="00EE5343"/>
    <w:rsid w:val="00EE54F6"/>
    <w:rsid w:val="00EE5F02"/>
    <w:rsid w:val="00EE5F1F"/>
    <w:rsid w:val="00EE6358"/>
    <w:rsid w:val="00EE647D"/>
    <w:rsid w:val="00EE683C"/>
    <w:rsid w:val="00EE7246"/>
    <w:rsid w:val="00EE72BF"/>
    <w:rsid w:val="00EE75F4"/>
    <w:rsid w:val="00EE798B"/>
    <w:rsid w:val="00EE7B4B"/>
    <w:rsid w:val="00EE7B4E"/>
    <w:rsid w:val="00EE7CF5"/>
    <w:rsid w:val="00EE7D23"/>
    <w:rsid w:val="00EE7EA3"/>
    <w:rsid w:val="00EF0606"/>
    <w:rsid w:val="00EF06CD"/>
    <w:rsid w:val="00EF095C"/>
    <w:rsid w:val="00EF0A4C"/>
    <w:rsid w:val="00EF1036"/>
    <w:rsid w:val="00EF1548"/>
    <w:rsid w:val="00EF15A0"/>
    <w:rsid w:val="00EF2416"/>
    <w:rsid w:val="00EF26E4"/>
    <w:rsid w:val="00EF27ED"/>
    <w:rsid w:val="00EF296D"/>
    <w:rsid w:val="00EF2BC6"/>
    <w:rsid w:val="00EF2C10"/>
    <w:rsid w:val="00EF31BA"/>
    <w:rsid w:val="00EF32FE"/>
    <w:rsid w:val="00EF4113"/>
    <w:rsid w:val="00EF41F3"/>
    <w:rsid w:val="00EF423B"/>
    <w:rsid w:val="00EF4443"/>
    <w:rsid w:val="00EF4549"/>
    <w:rsid w:val="00EF49DD"/>
    <w:rsid w:val="00EF4DD7"/>
    <w:rsid w:val="00EF5D09"/>
    <w:rsid w:val="00EF5ECE"/>
    <w:rsid w:val="00EF5F4A"/>
    <w:rsid w:val="00EF5FD0"/>
    <w:rsid w:val="00EF6183"/>
    <w:rsid w:val="00EF6714"/>
    <w:rsid w:val="00EF6A3C"/>
    <w:rsid w:val="00EF6D52"/>
    <w:rsid w:val="00EF7495"/>
    <w:rsid w:val="00EF775B"/>
    <w:rsid w:val="00EF7999"/>
    <w:rsid w:val="00F007F7"/>
    <w:rsid w:val="00F00918"/>
    <w:rsid w:val="00F00993"/>
    <w:rsid w:val="00F009A4"/>
    <w:rsid w:val="00F009B6"/>
    <w:rsid w:val="00F014CF"/>
    <w:rsid w:val="00F0154A"/>
    <w:rsid w:val="00F01826"/>
    <w:rsid w:val="00F01E5A"/>
    <w:rsid w:val="00F02061"/>
    <w:rsid w:val="00F0214D"/>
    <w:rsid w:val="00F022AE"/>
    <w:rsid w:val="00F0257C"/>
    <w:rsid w:val="00F02F1D"/>
    <w:rsid w:val="00F030DE"/>
    <w:rsid w:val="00F03932"/>
    <w:rsid w:val="00F04181"/>
    <w:rsid w:val="00F044B3"/>
    <w:rsid w:val="00F04553"/>
    <w:rsid w:val="00F04CCC"/>
    <w:rsid w:val="00F04FCE"/>
    <w:rsid w:val="00F0531E"/>
    <w:rsid w:val="00F05616"/>
    <w:rsid w:val="00F05980"/>
    <w:rsid w:val="00F060B2"/>
    <w:rsid w:val="00F061BE"/>
    <w:rsid w:val="00F061EC"/>
    <w:rsid w:val="00F061FD"/>
    <w:rsid w:val="00F06237"/>
    <w:rsid w:val="00F06316"/>
    <w:rsid w:val="00F06832"/>
    <w:rsid w:val="00F06EC5"/>
    <w:rsid w:val="00F070F2"/>
    <w:rsid w:val="00F076F0"/>
    <w:rsid w:val="00F07B4B"/>
    <w:rsid w:val="00F10538"/>
    <w:rsid w:val="00F10765"/>
    <w:rsid w:val="00F10DD3"/>
    <w:rsid w:val="00F1100A"/>
    <w:rsid w:val="00F110C1"/>
    <w:rsid w:val="00F1128F"/>
    <w:rsid w:val="00F1151E"/>
    <w:rsid w:val="00F11D8A"/>
    <w:rsid w:val="00F11FEC"/>
    <w:rsid w:val="00F12095"/>
    <w:rsid w:val="00F120BF"/>
    <w:rsid w:val="00F120C5"/>
    <w:rsid w:val="00F120CF"/>
    <w:rsid w:val="00F120F4"/>
    <w:rsid w:val="00F12322"/>
    <w:rsid w:val="00F12367"/>
    <w:rsid w:val="00F1240F"/>
    <w:rsid w:val="00F1271C"/>
    <w:rsid w:val="00F12FB2"/>
    <w:rsid w:val="00F130B1"/>
    <w:rsid w:val="00F1314A"/>
    <w:rsid w:val="00F133B0"/>
    <w:rsid w:val="00F13412"/>
    <w:rsid w:val="00F1356F"/>
    <w:rsid w:val="00F13694"/>
    <w:rsid w:val="00F13D87"/>
    <w:rsid w:val="00F13DCB"/>
    <w:rsid w:val="00F13F25"/>
    <w:rsid w:val="00F1443B"/>
    <w:rsid w:val="00F14BD5"/>
    <w:rsid w:val="00F14F6C"/>
    <w:rsid w:val="00F15004"/>
    <w:rsid w:val="00F150CE"/>
    <w:rsid w:val="00F1511B"/>
    <w:rsid w:val="00F152FC"/>
    <w:rsid w:val="00F1579B"/>
    <w:rsid w:val="00F15DAC"/>
    <w:rsid w:val="00F15FCC"/>
    <w:rsid w:val="00F16BAC"/>
    <w:rsid w:val="00F16BE6"/>
    <w:rsid w:val="00F16E79"/>
    <w:rsid w:val="00F176C5"/>
    <w:rsid w:val="00F177CC"/>
    <w:rsid w:val="00F17843"/>
    <w:rsid w:val="00F17D5C"/>
    <w:rsid w:val="00F17D88"/>
    <w:rsid w:val="00F17DDF"/>
    <w:rsid w:val="00F201FE"/>
    <w:rsid w:val="00F2028F"/>
    <w:rsid w:val="00F2041F"/>
    <w:rsid w:val="00F206B2"/>
    <w:rsid w:val="00F20ABB"/>
    <w:rsid w:val="00F212C8"/>
    <w:rsid w:val="00F21367"/>
    <w:rsid w:val="00F213AB"/>
    <w:rsid w:val="00F2140B"/>
    <w:rsid w:val="00F216BC"/>
    <w:rsid w:val="00F218FC"/>
    <w:rsid w:val="00F2284E"/>
    <w:rsid w:val="00F229FE"/>
    <w:rsid w:val="00F22B60"/>
    <w:rsid w:val="00F22C61"/>
    <w:rsid w:val="00F22D32"/>
    <w:rsid w:val="00F23332"/>
    <w:rsid w:val="00F23B7B"/>
    <w:rsid w:val="00F24041"/>
    <w:rsid w:val="00F2433C"/>
    <w:rsid w:val="00F244CB"/>
    <w:rsid w:val="00F24780"/>
    <w:rsid w:val="00F24C75"/>
    <w:rsid w:val="00F24F1C"/>
    <w:rsid w:val="00F2572E"/>
    <w:rsid w:val="00F25AD5"/>
    <w:rsid w:val="00F268AC"/>
    <w:rsid w:val="00F268F9"/>
    <w:rsid w:val="00F26AE4"/>
    <w:rsid w:val="00F26DC7"/>
    <w:rsid w:val="00F271CE"/>
    <w:rsid w:val="00F272A7"/>
    <w:rsid w:val="00F27363"/>
    <w:rsid w:val="00F27D8B"/>
    <w:rsid w:val="00F27F12"/>
    <w:rsid w:val="00F3018F"/>
    <w:rsid w:val="00F30671"/>
    <w:rsid w:val="00F307CD"/>
    <w:rsid w:val="00F3193B"/>
    <w:rsid w:val="00F31B88"/>
    <w:rsid w:val="00F3206C"/>
    <w:rsid w:val="00F32290"/>
    <w:rsid w:val="00F32810"/>
    <w:rsid w:val="00F32B41"/>
    <w:rsid w:val="00F33399"/>
    <w:rsid w:val="00F33C97"/>
    <w:rsid w:val="00F34170"/>
    <w:rsid w:val="00F3453C"/>
    <w:rsid w:val="00F347F8"/>
    <w:rsid w:val="00F349A4"/>
    <w:rsid w:val="00F34A0F"/>
    <w:rsid w:val="00F34AC4"/>
    <w:rsid w:val="00F34BD5"/>
    <w:rsid w:val="00F34C0F"/>
    <w:rsid w:val="00F34CFA"/>
    <w:rsid w:val="00F35138"/>
    <w:rsid w:val="00F3554D"/>
    <w:rsid w:val="00F35CA9"/>
    <w:rsid w:val="00F3664E"/>
    <w:rsid w:val="00F36A11"/>
    <w:rsid w:val="00F36DC2"/>
    <w:rsid w:val="00F36E1B"/>
    <w:rsid w:val="00F37093"/>
    <w:rsid w:val="00F37A32"/>
    <w:rsid w:val="00F37E12"/>
    <w:rsid w:val="00F37F62"/>
    <w:rsid w:val="00F40544"/>
    <w:rsid w:val="00F4140A"/>
    <w:rsid w:val="00F414FB"/>
    <w:rsid w:val="00F41933"/>
    <w:rsid w:val="00F4195D"/>
    <w:rsid w:val="00F41A04"/>
    <w:rsid w:val="00F41C2B"/>
    <w:rsid w:val="00F41E03"/>
    <w:rsid w:val="00F42071"/>
    <w:rsid w:val="00F420D7"/>
    <w:rsid w:val="00F421BB"/>
    <w:rsid w:val="00F429F2"/>
    <w:rsid w:val="00F42AE3"/>
    <w:rsid w:val="00F42EC0"/>
    <w:rsid w:val="00F431B4"/>
    <w:rsid w:val="00F436CD"/>
    <w:rsid w:val="00F4391F"/>
    <w:rsid w:val="00F439DE"/>
    <w:rsid w:val="00F45219"/>
    <w:rsid w:val="00F4527E"/>
    <w:rsid w:val="00F45378"/>
    <w:rsid w:val="00F4547B"/>
    <w:rsid w:val="00F45C83"/>
    <w:rsid w:val="00F45D34"/>
    <w:rsid w:val="00F45EC1"/>
    <w:rsid w:val="00F463C8"/>
    <w:rsid w:val="00F46629"/>
    <w:rsid w:val="00F467CD"/>
    <w:rsid w:val="00F46FCE"/>
    <w:rsid w:val="00F473DC"/>
    <w:rsid w:val="00F476E1"/>
    <w:rsid w:val="00F47E53"/>
    <w:rsid w:val="00F50156"/>
    <w:rsid w:val="00F50250"/>
    <w:rsid w:val="00F506DA"/>
    <w:rsid w:val="00F50F22"/>
    <w:rsid w:val="00F5117B"/>
    <w:rsid w:val="00F517C7"/>
    <w:rsid w:val="00F51804"/>
    <w:rsid w:val="00F51D9B"/>
    <w:rsid w:val="00F51F1E"/>
    <w:rsid w:val="00F51FB5"/>
    <w:rsid w:val="00F52875"/>
    <w:rsid w:val="00F52E68"/>
    <w:rsid w:val="00F53E71"/>
    <w:rsid w:val="00F54052"/>
    <w:rsid w:val="00F547B6"/>
    <w:rsid w:val="00F54CF8"/>
    <w:rsid w:val="00F559C5"/>
    <w:rsid w:val="00F55DDF"/>
    <w:rsid w:val="00F560EF"/>
    <w:rsid w:val="00F561C5"/>
    <w:rsid w:val="00F56206"/>
    <w:rsid w:val="00F56503"/>
    <w:rsid w:val="00F5652D"/>
    <w:rsid w:val="00F5657F"/>
    <w:rsid w:val="00F56707"/>
    <w:rsid w:val="00F56857"/>
    <w:rsid w:val="00F56C3C"/>
    <w:rsid w:val="00F56D6A"/>
    <w:rsid w:val="00F56F49"/>
    <w:rsid w:val="00F56FF3"/>
    <w:rsid w:val="00F57691"/>
    <w:rsid w:val="00F578E3"/>
    <w:rsid w:val="00F57AA4"/>
    <w:rsid w:val="00F604DA"/>
    <w:rsid w:val="00F609AB"/>
    <w:rsid w:val="00F60EA2"/>
    <w:rsid w:val="00F61249"/>
    <w:rsid w:val="00F619C5"/>
    <w:rsid w:val="00F61BE2"/>
    <w:rsid w:val="00F61ECD"/>
    <w:rsid w:val="00F62CB8"/>
    <w:rsid w:val="00F6338B"/>
    <w:rsid w:val="00F635AA"/>
    <w:rsid w:val="00F63D12"/>
    <w:rsid w:val="00F63D7D"/>
    <w:rsid w:val="00F64C6C"/>
    <w:rsid w:val="00F65507"/>
    <w:rsid w:val="00F656C6"/>
    <w:rsid w:val="00F65B22"/>
    <w:rsid w:val="00F65BDE"/>
    <w:rsid w:val="00F663F3"/>
    <w:rsid w:val="00F66522"/>
    <w:rsid w:val="00F66589"/>
    <w:rsid w:val="00F67174"/>
    <w:rsid w:val="00F67A41"/>
    <w:rsid w:val="00F7055D"/>
    <w:rsid w:val="00F70637"/>
    <w:rsid w:val="00F70796"/>
    <w:rsid w:val="00F707E8"/>
    <w:rsid w:val="00F70AEB"/>
    <w:rsid w:val="00F715CB"/>
    <w:rsid w:val="00F717A7"/>
    <w:rsid w:val="00F71912"/>
    <w:rsid w:val="00F71DE0"/>
    <w:rsid w:val="00F721E1"/>
    <w:rsid w:val="00F72ACD"/>
    <w:rsid w:val="00F72E5F"/>
    <w:rsid w:val="00F731E6"/>
    <w:rsid w:val="00F734A9"/>
    <w:rsid w:val="00F7353E"/>
    <w:rsid w:val="00F73DEC"/>
    <w:rsid w:val="00F74387"/>
    <w:rsid w:val="00F74629"/>
    <w:rsid w:val="00F746D8"/>
    <w:rsid w:val="00F75625"/>
    <w:rsid w:val="00F75BC2"/>
    <w:rsid w:val="00F75D33"/>
    <w:rsid w:val="00F75FE6"/>
    <w:rsid w:val="00F76026"/>
    <w:rsid w:val="00F76731"/>
    <w:rsid w:val="00F76972"/>
    <w:rsid w:val="00F769DC"/>
    <w:rsid w:val="00F770D6"/>
    <w:rsid w:val="00F772CC"/>
    <w:rsid w:val="00F775E0"/>
    <w:rsid w:val="00F7775E"/>
    <w:rsid w:val="00F77918"/>
    <w:rsid w:val="00F77E70"/>
    <w:rsid w:val="00F803D1"/>
    <w:rsid w:val="00F80777"/>
    <w:rsid w:val="00F80A98"/>
    <w:rsid w:val="00F80B6B"/>
    <w:rsid w:val="00F80DAB"/>
    <w:rsid w:val="00F81004"/>
    <w:rsid w:val="00F8149F"/>
    <w:rsid w:val="00F8163F"/>
    <w:rsid w:val="00F817D9"/>
    <w:rsid w:val="00F8182C"/>
    <w:rsid w:val="00F81ADA"/>
    <w:rsid w:val="00F81BF3"/>
    <w:rsid w:val="00F81CAB"/>
    <w:rsid w:val="00F82473"/>
    <w:rsid w:val="00F8266C"/>
    <w:rsid w:val="00F82A63"/>
    <w:rsid w:val="00F82C0F"/>
    <w:rsid w:val="00F830FE"/>
    <w:rsid w:val="00F831EE"/>
    <w:rsid w:val="00F83455"/>
    <w:rsid w:val="00F83720"/>
    <w:rsid w:val="00F83820"/>
    <w:rsid w:val="00F83885"/>
    <w:rsid w:val="00F8427B"/>
    <w:rsid w:val="00F84523"/>
    <w:rsid w:val="00F8494A"/>
    <w:rsid w:val="00F849C2"/>
    <w:rsid w:val="00F84B5A"/>
    <w:rsid w:val="00F84BC8"/>
    <w:rsid w:val="00F84E05"/>
    <w:rsid w:val="00F84F9D"/>
    <w:rsid w:val="00F8518B"/>
    <w:rsid w:val="00F8526A"/>
    <w:rsid w:val="00F85A8D"/>
    <w:rsid w:val="00F85E46"/>
    <w:rsid w:val="00F85EF5"/>
    <w:rsid w:val="00F86769"/>
    <w:rsid w:val="00F86927"/>
    <w:rsid w:val="00F86D4B"/>
    <w:rsid w:val="00F86FA7"/>
    <w:rsid w:val="00F876C4"/>
    <w:rsid w:val="00F877CF"/>
    <w:rsid w:val="00F87D52"/>
    <w:rsid w:val="00F87F04"/>
    <w:rsid w:val="00F909FC"/>
    <w:rsid w:val="00F90DBA"/>
    <w:rsid w:val="00F91854"/>
    <w:rsid w:val="00F91ABE"/>
    <w:rsid w:val="00F91E26"/>
    <w:rsid w:val="00F92783"/>
    <w:rsid w:val="00F92A86"/>
    <w:rsid w:val="00F93260"/>
    <w:rsid w:val="00F932AC"/>
    <w:rsid w:val="00F938A2"/>
    <w:rsid w:val="00F93BAD"/>
    <w:rsid w:val="00F93DB2"/>
    <w:rsid w:val="00F9471C"/>
    <w:rsid w:val="00F94856"/>
    <w:rsid w:val="00F94C5C"/>
    <w:rsid w:val="00F950FE"/>
    <w:rsid w:val="00F957DC"/>
    <w:rsid w:val="00F95A58"/>
    <w:rsid w:val="00F95C20"/>
    <w:rsid w:val="00F963C7"/>
    <w:rsid w:val="00F96550"/>
    <w:rsid w:val="00F96819"/>
    <w:rsid w:val="00F970A0"/>
    <w:rsid w:val="00F97418"/>
    <w:rsid w:val="00F97499"/>
    <w:rsid w:val="00F977C8"/>
    <w:rsid w:val="00F97808"/>
    <w:rsid w:val="00F978CD"/>
    <w:rsid w:val="00F97A5C"/>
    <w:rsid w:val="00F97C8D"/>
    <w:rsid w:val="00F97F09"/>
    <w:rsid w:val="00F97F1B"/>
    <w:rsid w:val="00FA03BB"/>
    <w:rsid w:val="00FA059A"/>
    <w:rsid w:val="00FA0911"/>
    <w:rsid w:val="00FA0B80"/>
    <w:rsid w:val="00FA0BC4"/>
    <w:rsid w:val="00FA0C48"/>
    <w:rsid w:val="00FA0D4D"/>
    <w:rsid w:val="00FA120D"/>
    <w:rsid w:val="00FA13E4"/>
    <w:rsid w:val="00FA1618"/>
    <w:rsid w:val="00FA23BB"/>
    <w:rsid w:val="00FA23BE"/>
    <w:rsid w:val="00FA24A9"/>
    <w:rsid w:val="00FA27AE"/>
    <w:rsid w:val="00FA2D4C"/>
    <w:rsid w:val="00FA2D90"/>
    <w:rsid w:val="00FA2E32"/>
    <w:rsid w:val="00FA2FC7"/>
    <w:rsid w:val="00FA31C6"/>
    <w:rsid w:val="00FA341A"/>
    <w:rsid w:val="00FA37F7"/>
    <w:rsid w:val="00FA3BA6"/>
    <w:rsid w:val="00FA4452"/>
    <w:rsid w:val="00FA49CA"/>
    <w:rsid w:val="00FA4B9B"/>
    <w:rsid w:val="00FA4D63"/>
    <w:rsid w:val="00FA4DE7"/>
    <w:rsid w:val="00FA4F43"/>
    <w:rsid w:val="00FA5734"/>
    <w:rsid w:val="00FA5A27"/>
    <w:rsid w:val="00FA5C4F"/>
    <w:rsid w:val="00FA5C9A"/>
    <w:rsid w:val="00FA61FB"/>
    <w:rsid w:val="00FA6350"/>
    <w:rsid w:val="00FA6428"/>
    <w:rsid w:val="00FA6629"/>
    <w:rsid w:val="00FA6DDB"/>
    <w:rsid w:val="00FA7159"/>
    <w:rsid w:val="00FA771A"/>
    <w:rsid w:val="00FA7871"/>
    <w:rsid w:val="00FA7C39"/>
    <w:rsid w:val="00FA7E42"/>
    <w:rsid w:val="00FB0276"/>
    <w:rsid w:val="00FB0447"/>
    <w:rsid w:val="00FB14D6"/>
    <w:rsid w:val="00FB15EE"/>
    <w:rsid w:val="00FB1A99"/>
    <w:rsid w:val="00FB1D06"/>
    <w:rsid w:val="00FB21BF"/>
    <w:rsid w:val="00FB2586"/>
    <w:rsid w:val="00FB26A8"/>
    <w:rsid w:val="00FB26C4"/>
    <w:rsid w:val="00FB31C9"/>
    <w:rsid w:val="00FB3868"/>
    <w:rsid w:val="00FB3FBA"/>
    <w:rsid w:val="00FB4041"/>
    <w:rsid w:val="00FB40B7"/>
    <w:rsid w:val="00FB4445"/>
    <w:rsid w:val="00FB47DB"/>
    <w:rsid w:val="00FB4A6E"/>
    <w:rsid w:val="00FB4C73"/>
    <w:rsid w:val="00FB4D32"/>
    <w:rsid w:val="00FB5338"/>
    <w:rsid w:val="00FB5FBA"/>
    <w:rsid w:val="00FB64D6"/>
    <w:rsid w:val="00FB7B5D"/>
    <w:rsid w:val="00FB7B8E"/>
    <w:rsid w:val="00FC03A3"/>
    <w:rsid w:val="00FC0C07"/>
    <w:rsid w:val="00FC1066"/>
    <w:rsid w:val="00FC1651"/>
    <w:rsid w:val="00FC165C"/>
    <w:rsid w:val="00FC1806"/>
    <w:rsid w:val="00FC1D43"/>
    <w:rsid w:val="00FC1D9C"/>
    <w:rsid w:val="00FC2085"/>
    <w:rsid w:val="00FC21FC"/>
    <w:rsid w:val="00FC273C"/>
    <w:rsid w:val="00FC2B1E"/>
    <w:rsid w:val="00FC3470"/>
    <w:rsid w:val="00FC3ACD"/>
    <w:rsid w:val="00FC3D28"/>
    <w:rsid w:val="00FC4518"/>
    <w:rsid w:val="00FC4611"/>
    <w:rsid w:val="00FC46E2"/>
    <w:rsid w:val="00FC49D8"/>
    <w:rsid w:val="00FC49F7"/>
    <w:rsid w:val="00FC4C31"/>
    <w:rsid w:val="00FC4F11"/>
    <w:rsid w:val="00FC54FA"/>
    <w:rsid w:val="00FC554F"/>
    <w:rsid w:val="00FC591D"/>
    <w:rsid w:val="00FC6893"/>
    <w:rsid w:val="00FC6DF3"/>
    <w:rsid w:val="00FC7514"/>
    <w:rsid w:val="00FC79AD"/>
    <w:rsid w:val="00FC7A38"/>
    <w:rsid w:val="00FC7C01"/>
    <w:rsid w:val="00FC7C61"/>
    <w:rsid w:val="00FC7E52"/>
    <w:rsid w:val="00FC7F4A"/>
    <w:rsid w:val="00FC7F84"/>
    <w:rsid w:val="00FD0074"/>
    <w:rsid w:val="00FD0107"/>
    <w:rsid w:val="00FD0454"/>
    <w:rsid w:val="00FD0822"/>
    <w:rsid w:val="00FD0914"/>
    <w:rsid w:val="00FD1309"/>
    <w:rsid w:val="00FD189C"/>
    <w:rsid w:val="00FD1F70"/>
    <w:rsid w:val="00FD20CA"/>
    <w:rsid w:val="00FD219C"/>
    <w:rsid w:val="00FD22BD"/>
    <w:rsid w:val="00FD2350"/>
    <w:rsid w:val="00FD2389"/>
    <w:rsid w:val="00FD2419"/>
    <w:rsid w:val="00FD2B62"/>
    <w:rsid w:val="00FD3188"/>
    <w:rsid w:val="00FD340C"/>
    <w:rsid w:val="00FD3493"/>
    <w:rsid w:val="00FD3A95"/>
    <w:rsid w:val="00FD3C9F"/>
    <w:rsid w:val="00FD3FEB"/>
    <w:rsid w:val="00FD423E"/>
    <w:rsid w:val="00FD4767"/>
    <w:rsid w:val="00FD4781"/>
    <w:rsid w:val="00FD4DDA"/>
    <w:rsid w:val="00FD4F5F"/>
    <w:rsid w:val="00FD50E2"/>
    <w:rsid w:val="00FD52D7"/>
    <w:rsid w:val="00FD52F2"/>
    <w:rsid w:val="00FD5476"/>
    <w:rsid w:val="00FD596E"/>
    <w:rsid w:val="00FD5C59"/>
    <w:rsid w:val="00FD5CE9"/>
    <w:rsid w:val="00FD64D0"/>
    <w:rsid w:val="00FD651D"/>
    <w:rsid w:val="00FD6534"/>
    <w:rsid w:val="00FD6A55"/>
    <w:rsid w:val="00FD6B29"/>
    <w:rsid w:val="00FD6CD6"/>
    <w:rsid w:val="00FD73BB"/>
    <w:rsid w:val="00FD7F71"/>
    <w:rsid w:val="00FE0295"/>
    <w:rsid w:val="00FE0604"/>
    <w:rsid w:val="00FE0612"/>
    <w:rsid w:val="00FE0715"/>
    <w:rsid w:val="00FE0B9D"/>
    <w:rsid w:val="00FE0CBF"/>
    <w:rsid w:val="00FE1A96"/>
    <w:rsid w:val="00FE1B06"/>
    <w:rsid w:val="00FE25C0"/>
    <w:rsid w:val="00FE260A"/>
    <w:rsid w:val="00FE2737"/>
    <w:rsid w:val="00FE2D13"/>
    <w:rsid w:val="00FE2EAB"/>
    <w:rsid w:val="00FE2F11"/>
    <w:rsid w:val="00FE354B"/>
    <w:rsid w:val="00FE35C1"/>
    <w:rsid w:val="00FE391C"/>
    <w:rsid w:val="00FE399E"/>
    <w:rsid w:val="00FE43A0"/>
    <w:rsid w:val="00FE45F3"/>
    <w:rsid w:val="00FE462B"/>
    <w:rsid w:val="00FE466E"/>
    <w:rsid w:val="00FE4C5A"/>
    <w:rsid w:val="00FE573C"/>
    <w:rsid w:val="00FE5B55"/>
    <w:rsid w:val="00FE5D22"/>
    <w:rsid w:val="00FE5E06"/>
    <w:rsid w:val="00FE5F81"/>
    <w:rsid w:val="00FE6045"/>
    <w:rsid w:val="00FE6129"/>
    <w:rsid w:val="00FE6172"/>
    <w:rsid w:val="00FE659C"/>
    <w:rsid w:val="00FE6843"/>
    <w:rsid w:val="00FE6BBF"/>
    <w:rsid w:val="00FE6CA5"/>
    <w:rsid w:val="00FE7085"/>
    <w:rsid w:val="00FE74E2"/>
    <w:rsid w:val="00FE7715"/>
    <w:rsid w:val="00FE7E3D"/>
    <w:rsid w:val="00FF02CF"/>
    <w:rsid w:val="00FF04E1"/>
    <w:rsid w:val="00FF08D3"/>
    <w:rsid w:val="00FF0AEB"/>
    <w:rsid w:val="00FF0B9E"/>
    <w:rsid w:val="00FF0E85"/>
    <w:rsid w:val="00FF10FA"/>
    <w:rsid w:val="00FF154D"/>
    <w:rsid w:val="00FF1E64"/>
    <w:rsid w:val="00FF1F03"/>
    <w:rsid w:val="00FF201C"/>
    <w:rsid w:val="00FF21AD"/>
    <w:rsid w:val="00FF21D4"/>
    <w:rsid w:val="00FF24CA"/>
    <w:rsid w:val="00FF29CF"/>
    <w:rsid w:val="00FF2E04"/>
    <w:rsid w:val="00FF3147"/>
    <w:rsid w:val="00FF338A"/>
    <w:rsid w:val="00FF3646"/>
    <w:rsid w:val="00FF39B2"/>
    <w:rsid w:val="00FF3A68"/>
    <w:rsid w:val="00FF4442"/>
    <w:rsid w:val="00FF45D7"/>
    <w:rsid w:val="00FF4836"/>
    <w:rsid w:val="00FF49D3"/>
    <w:rsid w:val="00FF49DF"/>
    <w:rsid w:val="00FF4F95"/>
    <w:rsid w:val="00FF5296"/>
    <w:rsid w:val="00FF5458"/>
    <w:rsid w:val="00FF5D71"/>
    <w:rsid w:val="00FF5DF3"/>
    <w:rsid w:val="00FF608E"/>
    <w:rsid w:val="00FF662B"/>
    <w:rsid w:val="00FF67F2"/>
    <w:rsid w:val="00FF6C31"/>
    <w:rsid w:val="00FF6F12"/>
    <w:rsid w:val="00FF6F8A"/>
    <w:rsid w:val="00FF6FCB"/>
    <w:rsid w:val="00FF7079"/>
    <w:rsid w:val="00FF745F"/>
    <w:rsid w:val="00FF74C8"/>
    <w:rsid w:val="00FF78C1"/>
    <w:rsid w:val="00FF7977"/>
    <w:rsid w:val="00FF7DD2"/>
    <w:rsid w:val="011F85AD"/>
    <w:rsid w:val="01676911"/>
    <w:rsid w:val="01BA0C33"/>
    <w:rsid w:val="02650F18"/>
    <w:rsid w:val="02AFFE2E"/>
    <w:rsid w:val="02D2BABA"/>
    <w:rsid w:val="033B5E28"/>
    <w:rsid w:val="03D36689"/>
    <w:rsid w:val="04C0AFAA"/>
    <w:rsid w:val="05012484"/>
    <w:rsid w:val="057EA4FE"/>
    <w:rsid w:val="05D339A3"/>
    <w:rsid w:val="06DBF3FE"/>
    <w:rsid w:val="078721F7"/>
    <w:rsid w:val="084DB5E2"/>
    <w:rsid w:val="08C7C146"/>
    <w:rsid w:val="0A2E75D0"/>
    <w:rsid w:val="0A330345"/>
    <w:rsid w:val="0AAF0264"/>
    <w:rsid w:val="0ACE05BF"/>
    <w:rsid w:val="0ADA8EA5"/>
    <w:rsid w:val="0B641B3F"/>
    <w:rsid w:val="0B875472"/>
    <w:rsid w:val="0BCF5E2C"/>
    <w:rsid w:val="0D7398BD"/>
    <w:rsid w:val="0D901BA3"/>
    <w:rsid w:val="0DB84E32"/>
    <w:rsid w:val="0E4A35FE"/>
    <w:rsid w:val="0E8A5AE0"/>
    <w:rsid w:val="0ED51932"/>
    <w:rsid w:val="0EFE6C3A"/>
    <w:rsid w:val="0FCC5BA6"/>
    <w:rsid w:val="101166E5"/>
    <w:rsid w:val="129BD2A0"/>
    <w:rsid w:val="135FF492"/>
    <w:rsid w:val="136709D6"/>
    <w:rsid w:val="13A1BD76"/>
    <w:rsid w:val="147CE7FB"/>
    <w:rsid w:val="14EE5410"/>
    <w:rsid w:val="153068F6"/>
    <w:rsid w:val="16CB2044"/>
    <w:rsid w:val="16D0B8E6"/>
    <w:rsid w:val="17200740"/>
    <w:rsid w:val="17F0F93A"/>
    <w:rsid w:val="18C02F5B"/>
    <w:rsid w:val="191A6169"/>
    <w:rsid w:val="194D516D"/>
    <w:rsid w:val="19C0E889"/>
    <w:rsid w:val="1AAB8F1E"/>
    <w:rsid w:val="1B09D282"/>
    <w:rsid w:val="1B10098A"/>
    <w:rsid w:val="1B211B89"/>
    <w:rsid w:val="1B48E52C"/>
    <w:rsid w:val="1BD1A864"/>
    <w:rsid w:val="1BD93CC7"/>
    <w:rsid w:val="1C177C2B"/>
    <w:rsid w:val="1D4C172A"/>
    <w:rsid w:val="1DD411D0"/>
    <w:rsid w:val="1E41987B"/>
    <w:rsid w:val="1E546DD7"/>
    <w:rsid w:val="1F2CA33E"/>
    <w:rsid w:val="2007CBAA"/>
    <w:rsid w:val="20901C0F"/>
    <w:rsid w:val="20EE42EC"/>
    <w:rsid w:val="21A7FF02"/>
    <w:rsid w:val="21F42368"/>
    <w:rsid w:val="22DE0097"/>
    <w:rsid w:val="22DEB8E4"/>
    <w:rsid w:val="23B659E7"/>
    <w:rsid w:val="242222C4"/>
    <w:rsid w:val="2463E103"/>
    <w:rsid w:val="2479D0F8"/>
    <w:rsid w:val="24A55782"/>
    <w:rsid w:val="24BDF2B8"/>
    <w:rsid w:val="24E2D7EA"/>
    <w:rsid w:val="2562D40B"/>
    <w:rsid w:val="25B3F463"/>
    <w:rsid w:val="26064E76"/>
    <w:rsid w:val="265EAEED"/>
    <w:rsid w:val="26C10F84"/>
    <w:rsid w:val="26D846A4"/>
    <w:rsid w:val="2746C212"/>
    <w:rsid w:val="27B34560"/>
    <w:rsid w:val="27FC3BFB"/>
    <w:rsid w:val="299909F6"/>
    <w:rsid w:val="29B7922D"/>
    <w:rsid w:val="29B984DC"/>
    <w:rsid w:val="29E60CF0"/>
    <w:rsid w:val="29F32166"/>
    <w:rsid w:val="2A2CD209"/>
    <w:rsid w:val="2AF2F840"/>
    <w:rsid w:val="2C15CCED"/>
    <w:rsid w:val="2C87C284"/>
    <w:rsid w:val="2C881A80"/>
    <w:rsid w:val="2CBE73EF"/>
    <w:rsid w:val="2D3CA34F"/>
    <w:rsid w:val="2D8B9B21"/>
    <w:rsid w:val="2DC3C2E2"/>
    <w:rsid w:val="2E40437F"/>
    <w:rsid w:val="2EEAB1EC"/>
    <w:rsid w:val="2FB6BF7C"/>
    <w:rsid w:val="300C90B0"/>
    <w:rsid w:val="303BD2A4"/>
    <w:rsid w:val="30CFA482"/>
    <w:rsid w:val="31285C2A"/>
    <w:rsid w:val="314C3AD1"/>
    <w:rsid w:val="317691C5"/>
    <w:rsid w:val="31C69CE3"/>
    <w:rsid w:val="31F2900D"/>
    <w:rsid w:val="323518EF"/>
    <w:rsid w:val="32563916"/>
    <w:rsid w:val="32AA24FA"/>
    <w:rsid w:val="3307BABB"/>
    <w:rsid w:val="33500611"/>
    <w:rsid w:val="33659E4A"/>
    <w:rsid w:val="33D86524"/>
    <w:rsid w:val="341FC760"/>
    <w:rsid w:val="3473989B"/>
    <w:rsid w:val="3497BA7C"/>
    <w:rsid w:val="34FEBF4E"/>
    <w:rsid w:val="3516BC91"/>
    <w:rsid w:val="3609C076"/>
    <w:rsid w:val="36108408"/>
    <w:rsid w:val="363086A6"/>
    <w:rsid w:val="3653A9D4"/>
    <w:rsid w:val="3676BB99"/>
    <w:rsid w:val="367E7596"/>
    <w:rsid w:val="36A70128"/>
    <w:rsid w:val="36F0D32F"/>
    <w:rsid w:val="37B8E479"/>
    <w:rsid w:val="3808D48B"/>
    <w:rsid w:val="3824AA98"/>
    <w:rsid w:val="3A510498"/>
    <w:rsid w:val="3A7341B9"/>
    <w:rsid w:val="3A78CFC3"/>
    <w:rsid w:val="3B1AA3B0"/>
    <w:rsid w:val="3B4AEBCB"/>
    <w:rsid w:val="3B613BB9"/>
    <w:rsid w:val="3C75E4E7"/>
    <w:rsid w:val="3D417625"/>
    <w:rsid w:val="3D9BDE2E"/>
    <w:rsid w:val="3E43B1FE"/>
    <w:rsid w:val="3E4A0588"/>
    <w:rsid w:val="3EC6548C"/>
    <w:rsid w:val="3F11719E"/>
    <w:rsid w:val="3F1251C6"/>
    <w:rsid w:val="3FCFA996"/>
    <w:rsid w:val="4012D65B"/>
    <w:rsid w:val="409EE698"/>
    <w:rsid w:val="40DF0A44"/>
    <w:rsid w:val="41027111"/>
    <w:rsid w:val="41031CB6"/>
    <w:rsid w:val="41238C8E"/>
    <w:rsid w:val="413BDC55"/>
    <w:rsid w:val="4196D770"/>
    <w:rsid w:val="41ADB7D5"/>
    <w:rsid w:val="41C8F4B5"/>
    <w:rsid w:val="41D03BCB"/>
    <w:rsid w:val="42479055"/>
    <w:rsid w:val="425008AE"/>
    <w:rsid w:val="42B350C1"/>
    <w:rsid w:val="43A05E37"/>
    <w:rsid w:val="4429EE6E"/>
    <w:rsid w:val="4438A1BA"/>
    <w:rsid w:val="44F60B25"/>
    <w:rsid w:val="45035C74"/>
    <w:rsid w:val="455237D6"/>
    <w:rsid w:val="456A9FB5"/>
    <w:rsid w:val="464EBA9E"/>
    <w:rsid w:val="465AE869"/>
    <w:rsid w:val="4674CEF0"/>
    <w:rsid w:val="46FC610D"/>
    <w:rsid w:val="47C84671"/>
    <w:rsid w:val="47EFAF2E"/>
    <w:rsid w:val="487450E5"/>
    <w:rsid w:val="48A93B7A"/>
    <w:rsid w:val="4906E120"/>
    <w:rsid w:val="498D49E7"/>
    <w:rsid w:val="4A2BC144"/>
    <w:rsid w:val="4AFAC7C4"/>
    <w:rsid w:val="4B6AC594"/>
    <w:rsid w:val="4BD97704"/>
    <w:rsid w:val="4BE719FD"/>
    <w:rsid w:val="4C86C73D"/>
    <w:rsid w:val="4C96013E"/>
    <w:rsid w:val="4CA445B8"/>
    <w:rsid w:val="4CA69848"/>
    <w:rsid w:val="4D05EE0B"/>
    <w:rsid w:val="4D69EB24"/>
    <w:rsid w:val="4D6C609F"/>
    <w:rsid w:val="4D87E9CE"/>
    <w:rsid w:val="4D9F1E42"/>
    <w:rsid w:val="4E7A9842"/>
    <w:rsid w:val="4E82AEED"/>
    <w:rsid w:val="4F4CA70F"/>
    <w:rsid w:val="4F734AED"/>
    <w:rsid w:val="4F7545CC"/>
    <w:rsid w:val="5050AEC8"/>
    <w:rsid w:val="506B75ED"/>
    <w:rsid w:val="50D086E9"/>
    <w:rsid w:val="514D52FC"/>
    <w:rsid w:val="5160056F"/>
    <w:rsid w:val="51664954"/>
    <w:rsid w:val="523BB6E7"/>
    <w:rsid w:val="5242F232"/>
    <w:rsid w:val="524FF391"/>
    <w:rsid w:val="5260F66C"/>
    <w:rsid w:val="52B53116"/>
    <w:rsid w:val="5301DD9E"/>
    <w:rsid w:val="533ACC61"/>
    <w:rsid w:val="53913F32"/>
    <w:rsid w:val="53EBB629"/>
    <w:rsid w:val="542FEDB9"/>
    <w:rsid w:val="546A268C"/>
    <w:rsid w:val="54EEDE5F"/>
    <w:rsid w:val="55665CB9"/>
    <w:rsid w:val="55BA1DA1"/>
    <w:rsid w:val="55BE2448"/>
    <w:rsid w:val="55C08513"/>
    <w:rsid w:val="55D4EEC5"/>
    <w:rsid w:val="55F53B2D"/>
    <w:rsid w:val="5666D2DA"/>
    <w:rsid w:val="5668DBB1"/>
    <w:rsid w:val="568FCD7B"/>
    <w:rsid w:val="571C34B8"/>
    <w:rsid w:val="57BBB5F5"/>
    <w:rsid w:val="581C7FBF"/>
    <w:rsid w:val="58374E60"/>
    <w:rsid w:val="58BFAA01"/>
    <w:rsid w:val="58CAD6B1"/>
    <w:rsid w:val="58CBE07D"/>
    <w:rsid w:val="59045245"/>
    <w:rsid w:val="5968CC77"/>
    <w:rsid w:val="597DA7D6"/>
    <w:rsid w:val="598C2D1E"/>
    <w:rsid w:val="59AD6C3A"/>
    <w:rsid w:val="59C5760A"/>
    <w:rsid w:val="59E85E4F"/>
    <w:rsid w:val="5ADA254A"/>
    <w:rsid w:val="5C554ACF"/>
    <w:rsid w:val="5C644254"/>
    <w:rsid w:val="5CCA01F1"/>
    <w:rsid w:val="5D1E058C"/>
    <w:rsid w:val="5E5C8882"/>
    <w:rsid w:val="5E93ED9A"/>
    <w:rsid w:val="5EE84DB1"/>
    <w:rsid w:val="5F102F18"/>
    <w:rsid w:val="5F71C4D0"/>
    <w:rsid w:val="5F80533C"/>
    <w:rsid w:val="60C15FCD"/>
    <w:rsid w:val="60E0570D"/>
    <w:rsid w:val="60EEAB86"/>
    <w:rsid w:val="610D00AE"/>
    <w:rsid w:val="61DC3CC5"/>
    <w:rsid w:val="621ACF04"/>
    <w:rsid w:val="6276937C"/>
    <w:rsid w:val="6285CBC3"/>
    <w:rsid w:val="629096DF"/>
    <w:rsid w:val="62BDB946"/>
    <w:rsid w:val="6329898B"/>
    <w:rsid w:val="63EB71B5"/>
    <w:rsid w:val="650A6706"/>
    <w:rsid w:val="655939F5"/>
    <w:rsid w:val="65907400"/>
    <w:rsid w:val="65926F89"/>
    <w:rsid w:val="65E0CF6B"/>
    <w:rsid w:val="65E352AB"/>
    <w:rsid w:val="662D4039"/>
    <w:rsid w:val="66466896"/>
    <w:rsid w:val="666B917C"/>
    <w:rsid w:val="67C39EAC"/>
    <w:rsid w:val="684AAD60"/>
    <w:rsid w:val="68555607"/>
    <w:rsid w:val="686AA233"/>
    <w:rsid w:val="687105A3"/>
    <w:rsid w:val="68F65E76"/>
    <w:rsid w:val="69A423D7"/>
    <w:rsid w:val="6A361628"/>
    <w:rsid w:val="6A50C861"/>
    <w:rsid w:val="6A85590D"/>
    <w:rsid w:val="6A93DC16"/>
    <w:rsid w:val="6AA3FE0B"/>
    <w:rsid w:val="6B125E6C"/>
    <w:rsid w:val="6BBDBC74"/>
    <w:rsid w:val="6C360D65"/>
    <w:rsid w:val="6C52C6C5"/>
    <w:rsid w:val="6C7DDD06"/>
    <w:rsid w:val="6D722A27"/>
    <w:rsid w:val="6DA2A6EE"/>
    <w:rsid w:val="6EC4F43B"/>
    <w:rsid w:val="6EE6D06F"/>
    <w:rsid w:val="6F72C627"/>
    <w:rsid w:val="70B0A33B"/>
    <w:rsid w:val="70E8BCF1"/>
    <w:rsid w:val="7113766F"/>
    <w:rsid w:val="728A0B27"/>
    <w:rsid w:val="728BDB52"/>
    <w:rsid w:val="72ABBF07"/>
    <w:rsid w:val="73185967"/>
    <w:rsid w:val="734AF31E"/>
    <w:rsid w:val="73CB24D4"/>
    <w:rsid w:val="73DAE03B"/>
    <w:rsid w:val="7406B7F5"/>
    <w:rsid w:val="74145B95"/>
    <w:rsid w:val="747F0E84"/>
    <w:rsid w:val="74B243AF"/>
    <w:rsid w:val="74EB5E87"/>
    <w:rsid w:val="75C19B16"/>
    <w:rsid w:val="75DB4F5C"/>
    <w:rsid w:val="76735C37"/>
    <w:rsid w:val="77201433"/>
    <w:rsid w:val="772A0B92"/>
    <w:rsid w:val="7856BD99"/>
    <w:rsid w:val="7869495B"/>
    <w:rsid w:val="795C946A"/>
    <w:rsid w:val="7962F6BF"/>
    <w:rsid w:val="797901EF"/>
    <w:rsid w:val="7A219C5F"/>
    <w:rsid w:val="7A7B3D32"/>
    <w:rsid w:val="7B087768"/>
    <w:rsid w:val="7BA41827"/>
    <w:rsid w:val="7C028F41"/>
    <w:rsid w:val="7C0F23A6"/>
    <w:rsid w:val="7C3CAB93"/>
    <w:rsid w:val="7CD28700"/>
    <w:rsid w:val="7D51640B"/>
    <w:rsid w:val="7DA6E74C"/>
    <w:rsid w:val="7DBB5D6E"/>
    <w:rsid w:val="7E16A8D4"/>
    <w:rsid w:val="7E4ECF4A"/>
    <w:rsid w:val="7E5CB3CA"/>
    <w:rsid w:val="7E73E3B5"/>
    <w:rsid w:val="7EA310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0845"/>
  <w15:chartTrackingRefBased/>
  <w15:docId w15:val="{38BB2F90-2D95-4873-BD0C-C0C58667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6A2"/>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C34EF4"/>
    <w:pPr>
      <w:keepNext/>
      <w:keepLines/>
      <w:numPr>
        <w:numId w:val="4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4EF4"/>
    <w:pPr>
      <w:keepNext/>
      <w:keepLines/>
      <w:numPr>
        <w:ilvl w:val="1"/>
        <w:numId w:val="4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C34EF4"/>
    <w:pPr>
      <w:keepNext/>
      <w:keepLines/>
      <w:numPr>
        <w:ilvl w:val="2"/>
        <w:numId w:val="42"/>
      </w:numPr>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nhideWhenUsed/>
    <w:qFormat/>
    <w:rsid w:val="00C34EF4"/>
    <w:pPr>
      <w:keepNext/>
      <w:keepLines/>
      <w:numPr>
        <w:ilvl w:val="3"/>
        <w:numId w:val="4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C34EF4"/>
    <w:pPr>
      <w:keepNext/>
      <w:keepLines/>
      <w:numPr>
        <w:ilvl w:val="4"/>
        <w:numId w:val="4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C34EF4"/>
    <w:pPr>
      <w:keepNext/>
      <w:keepLines/>
      <w:numPr>
        <w:ilvl w:val="5"/>
        <w:numId w:val="4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C34EF4"/>
    <w:pPr>
      <w:keepNext/>
      <w:keepLines/>
      <w:numPr>
        <w:ilvl w:val="6"/>
        <w:numId w:val="4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C34EF4"/>
    <w:pPr>
      <w:keepNext/>
      <w:keepLines/>
      <w:numPr>
        <w:ilvl w:val="7"/>
        <w:numId w:val="4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C34EF4"/>
    <w:pPr>
      <w:keepNext/>
      <w:keepLines/>
      <w:numPr>
        <w:ilvl w:val="8"/>
        <w:numId w:val="4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EF4"/>
    <w:pPr>
      <w:ind w:left="720"/>
      <w:contextualSpacing/>
    </w:pPr>
  </w:style>
  <w:style w:type="character" w:customStyle="1" w:styleId="Heading1Char">
    <w:name w:val="Heading 1 Char"/>
    <w:basedOn w:val="DefaultParagraphFont"/>
    <w:link w:val="Heading1"/>
    <w:uiPriority w:val="9"/>
    <w:rsid w:val="00C34E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4E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C34EF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C34EF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rsid w:val="00C34EF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rsid w:val="00C34EF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rsid w:val="00C34EF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rsid w:val="00C34E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C34EF4"/>
    <w:rPr>
      <w:rFonts w:asciiTheme="majorHAnsi" w:eastAsiaTheme="majorEastAsia" w:hAnsiTheme="majorHAnsi" w:cstheme="majorBidi"/>
      <w:i/>
      <w:iCs/>
      <w:color w:val="272727" w:themeColor="text1" w:themeTint="D8"/>
      <w:sz w:val="21"/>
      <w:szCs w:val="21"/>
    </w:rPr>
  </w:style>
  <w:style w:type="paragraph" w:styleId="FootnoteText">
    <w:name w:val="footnote text"/>
    <w:aliases w:val=" Char, Char Char, Char Char Char,Cha,Char,Char Char,Char Char Char,Char1,Char11,Char2,Char21,Char3,Char4,Footnote Text - Preamble,Footnote Text - Preamble1,Footnote Text - Preamble11,Footnote Text - Preamble2,Footnote Text - Preamble3"/>
    <w:basedOn w:val="Normal"/>
    <w:link w:val="FootnoteTextChar"/>
    <w:uiPriority w:val="99"/>
    <w:qFormat/>
    <w:rsid w:val="00C34EF4"/>
    <w:pPr>
      <w:spacing w:after="0" w:line="240" w:lineRule="auto"/>
    </w:pPr>
    <w:rPr>
      <w:rFonts w:eastAsia="Times New Roman" w:cs="Times New Roman"/>
      <w:sz w:val="20"/>
      <w:szCs w:val="20"/>
    </w:rPr>
  </w:style>
  <w:style w:type="character" w:customStyle="1" w:styleId="FootnoteTextChar">
    <w:name w:val="Footnote Text Char"/>
    <w:aliases w:val=" Char Char1, Char Char Char1, Char Char Char Char,Cha Char,Char Char1,Char Char Char1,Char Char Char Char,Char1 Char,Char11 Char,Char2 Char,Char21 Char,Char3 Char,Char4 Char,Footnote Text - Preamble Char,Footnote Text - Preamble1 Char"/>
    <w:basedOn w:val="DefaultParagraphFont"/>
    <w:link w:val="FootnoteText"/>
    <w:uiPriority w:val="99"/>
    <w:qFormat/>
    <w:rsid w:val="00C34EF4"/>
    <w:rPr>
      <w:rFonts w:ascii="Times New Roman" w:eastAsia="Times New Roman" w:hAnsi="Times New Roman" w:cs="Times New Roman"/>
      <w:sz w:val="20"/>
      <w:szCs w:val="20"/>
    </w:rPr>
  </w:style>
  <w:style w:type="character" w:styleId="FootnoteReference">
    <w:name w:val="footnote reference"/>
    <w:aliases w:val="(NECG) Footnote Reference,-E Funotenzeichen,Appel note de bas de p,Appel note de bas de p + 11 pt,FR,Footnote,Footnote Reference/,Footnote Reference1,Italic,Style 12,Style 124,Style 13,Style 17,Style 3,Style 4,Style 6,Style 7,fr,o"/>
    <w:uiPriority w:val="99"/>
    <w:qFormat/>
    <w:rsid w:val="00C34EF4"/>
    <w:rPr>
      <w:vertAlign w:val="superscript"/>
    </w:rPr>
  </w:style>
  <w:style w:type="character" w:styleId="Hyperlink">
    <w:name w:val="Hyperlink"/>
    <w:uiPriority w:val="99"/>
    <w:rsid w:val="00C34EF4"/>
    <w:rPr>
      <w:color w:val="0000FF"/>
      <w:u w:val="single"/>
    </w:rPr>
  </w:style>
  <w:style w:type="character" w:styleId="CommentReference">
    <w:name w:val="annotation reference"/>
    <w:aliases w:val="TSD Comment Reference"/>
    <w:basedOn w:val="DefaultParagraphFont"/>
    <w:uiPriority w:val="99"/>
    <w:semiHidden/>
    <w:unhideWhenUsed/>
    <w:rsid w:val="00C34EF4"/>
    <w:rPr>
      <w:sz w:val="16"/>
      <w:szCs w:val="16"/>
    </w:rPr>
  </w:style>
  <w:style w:type="paragraph" w:styleId="CommentText">
    <w:name w:val="annotation text"/>
    <w:basedOn w:val="Normal"/>
    <w:link w:val="CommentTextChar"/>
    <w:uiPriority w:val="99"/>
    <w:unhideWhenUsed/>
    <w:qFormat/>
    <w:rsid w:val="00C34EF4"/>
    <w:pPr>
      <w:spacing w:after="200" w:line="240" w:lineRule="auto"/>
    </w:pPr>
    <w:rPr>
      <w:sz w:val="20"/>
      <w:szCs w:val="20"/>
    </w:rPr>
  </w:style>
  <w:style w:type="character" w:customStyle="1" w:styleId="CommentTextChar">
    <w:name w:val="Comment Text Char"/>
    <w:basedOn w:val="DefaultParagraphFont"/>
    <w:link w:val="CommentText"/>
    <w:uiPriority w:val="99"/>
    <w:rsid w:val="00C34EF4"/>
    <w:rPr>
      <w:rFonts w:ascii="Times New Roman" w:hAnsi="Times New Roman"/>
      <w:sz w:val="20"/>
      <w:szCs w:val="20"/>
    </w:rPr>
  </w:style>
  <w:style w:type="table" w:styleId="TableGrid">
    <w:name w:val="Table Grid"/>
    <w:basedOn w:val="TableNormal"/>
    <w:uiPriority w:val="39"/>
    <w:rsid w:val="00632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32E89"/>
    <w:pPr>
      <w:spacing w:after="0" w:line="240" w:lineRule="auto"/>
      <w:jc w:val="center"/>
    </w:pPr>
    <w:rPr>
      <w:rFonts w:ascii="Times New Roman" w:hAnsi="Times New Roman"/>
      <w:sz w:val="24"/>
    </w:rPr>
  </w:style>
  <w:style w:type="character" w:customStyle="1" w:styleId="NoSpacingChar">
    <w:name w:val="No Spacing Char"/>
    <w:basedOn w:val="DefaultParagraphFont"/>
    <w:link w:val="NoSpacing"/>
    <w:uiPriority w:val="1"/>
    <w:rsid w:val="00632E89"/>
    <w:rPr>
      <w:rFonts w:ascii="Times New Roman" w:hAnsi="Times New Roman"/>
      <w:sz w:val="24"/>
    </w:rPr>
  </w:style>
  <w:style w:type="paragraph" w:styleId="Caption">
    <w:name w:val="caption"/>
    <w:basedOn w:val="Normal"/>
    <w:next w:val="Normal"/>
    <w:link w:val="CaptionChar"/>
    <w:uiPriority w:val="35"/>
    <w:unhideWhenUsed/>
    <w:qFormat/>
    <w:rsid w:val="00632E89"/>
    <w:pPr>
      <w:spacing w:after="0" w:line="240" w:lineRule="auto"/>
      <w:jc w:val="center"/>
    </w:pPr>
    <w:rPr>
      <w:iCs/>
      <w:szCs w:val="18"/>
    </w:rPr>
  </w:style>
  <w:style w:type="character" w:customStyle="1" w:styleId="CaptionChar">
    <w:name w:val="Caption Char"/>
    <w:basedOn w:val="DefaultParagraphFont"/>
    <w:link w:val="Caption"/>
    <w:uiPriority w:val="35"/>
    <w:locked/>
    <w:rsid w:val="00632E89"/>
    <w:rPr>
      <w:rFonts w:ascii="Times New Roman" w:hAnsi="Times New Roman"/>
      <w:iCs/>
      <w:sz w:val="24"/>
      <w:szCs w:val="18"/>
    </w:rPr>
  </w:style>
  <w:style w:type="paragraph" w:customStyle="1" w:styleId="NoSpaceTimes">
    <w:name w:val="No Space Times"/>
    <w:basedOn w:val="NoSpacing"/>
    <w:link w:val="NoSpaceTimesChar"/>
    <w:qFormat/>
    <w:rsid w:val="00632E89"/>
    <w:rPr>
      <w:rFonts w:cs="Times New Roman"/>
      <w:szCs w:val="24"/>
    </w:rPr>
  </w:style>
  <w:style w:type="character" w:customStyle="1" w:styleId="NoSpaceTimesChar">
    <w:name w:val="No Space Times Char"/>
    <w:basedOn w:val="NoSpacingChar"/>
    <w:link w:val="NoSpaceTimes"/>
    <w:rsid w:val="00632E89"/>
    <w:rPr>
      <w:rFonts w:ascii="Times New Roman" w:hAnsi="Times New Roman" w:cs="Times New Roman"/>
      <w:sz w:val="24"/>
      <w:szCs w:val="24"/>
    </w:rPr>
  </w:style>
  <w:style w:type="paragraph" w:customStyle="1" w:styleId="Default">
    <w:name w:val="Default"/>
    <w:rsid w:val="00632E89"/>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CommentSubject">
    <w:name w:val="annotation subject"/>
    <w:basedOn w:val="CommentText"/>
    <w:next w:val="CommentText"/>
    <w:link w:val="CommentSubjectChar"/>
    <w:uiPriority w:val="99"/>
    <w:semiHidden/>
    <w:unhideWhenUsed/>
    <w:rsid w:val="00632E89"/>
    <w:pPr>
      <w:spacing w:after="160"/>
    </w:pPr>
    <w:rPr>
      <w:b/>
      <w:bCs/>
    </w:rPr>
  </w:style>
  <w:style w:type="character" w:customStyle="1" w:styleId="CommentSubjectChar">
    <w:name w:val="Comment Subject Char"/>
    <w:basedOn w:val="CommentTextChar"/>
    <w:link w:val="CommentSubject"/>
    <w:uiPriority w:val="99"/>
    <w:semiHidden/>
    <w:rsid w:val="00632E89"/>
    <w:rPr>
      <w:rFonts w:ascii="Times New Roman" w:hAnsi="Times New Roman"/>
      <w:b/>
      <w:bCs/>
      <w:sz w:val="20"/>
      <w:szCs w:val="20"/>
    </w:rPr>
  </w:style>
  <w:style w:type="paragraph" w:customStyle="1" w:styleId="Header1">
    <w:name w:val="Header1"/>
    <w:basedOn w:val="Normal"/>
    <w:next w:val="Header"/>
    <w:link w:val="HeaderChar"/>
    <w:uiPriority w:val="99"/>
    <w:unhideWhenUsed/>
    <w:rsid w:val="00E91A24"/>
    <w:pPr>
      <w:tabs>
        <w:tab w:val="center" w:pos="4680"/>
        <w:tab w:val="right" w:pos="9360"/>
      </w:tabs>
      <w:spacing w:after="0" w:line="240" w:lineRule="auto"/>
    </w:pPr>
  </w:style>
  <w:style w:type="character" w:customStyle="1" w:styleId="HeaderChar">
    <w:name w:val="Header Char"/>
    <w:basedOn w:val="DefaultParagraphFont"/>
    <w:link w:val="Header1"/>
    <w:uiPriority w:val="99"/>
    <w:rsid w:val="00E91A24"/>
    <w:rPr>
      <w:rFonts w:ascii="Times New Roman" w:hAnsi="Times New Roman"/>
      <w:sz w:val="24"/>
    </w:rPr>
  </w:style>
  <w:style w:type="paragraph" w:customStyle="1" w:styleId="Footer1">
    <w:name w:val="Footer1"/>
    <w:basedOn w:val="Normal"/>
    <w:next w:val="Footer"/>
    <w:link w:val="FooterChar"/>
    <w:uiPriority w:val="99"/>
    <w:unhideWhenUsed/>
    <w:rsid w:val="00E91A24"/>
    <w:pPr>
      <w:tabs>
        <w:tab w:val="center" w:pos="4680"/>
        <w:tab w:val="right" w:pos="9360"/>
      </w:tabs>
      <w:spacing w:after="0" w:line="240" w:lineRule="auto"/>
    </w:pPr>
  </w:style>
  <w:style w:type="character" w:customStyle="1" w:styleId="FooterChar">
    <w:name w:val="Footer Char"/>
    <w:basedOn w:val="DefaultParagraphFont"/>
    <w:link w:val="Footer1"/>
    <w:uiPriority w:val="99"/>
    <w:rsid w:val="00E91A24"/>
    <w:rPr>
      <w:rFonts w:ascii="Times New Roman" w:hAnsi="Times New Roman"/>
      <w:sz w:val="24"/>
    </w:rPr>
  </w:style>
  <w:style w:type="paragraph" w:styleId="Header">
    <w:name w:val="header"/>
    <w:basedOn w:val="Normal"/>
    <w:link w:val="HeaderChar1"/>
    <w:uiPriority w:val="99"/>
    <w:unhideWhenUsed/>
    <w:rsid w:val="00E91A24"/>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E91A24"/>
    <w:rPr>
      <w:rFonts w:ascii="Times New Roman" w:hAnsi="Times New Roman"/>
      <w:sz w:val="24"/>
    </w:rPr>
  </w:style>
  <w:style w:type="paragraph" w:styleId="Footer">
    <w:name w:val="footer"/>
    <w:basedOn w:val="Normal"/>
    <w:link w:val="FooterChar1"/>
    <w:uiPriority w:val="99"/>
    <w:unhideWhenUsed/>
    <w:rsid w:val="00E91A24"/>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E91A24"/>
    <w:rPr>
      <w:rFonts w:ascii="Times New Roman" w:hAnsi="Times New Roman"/>
      <w:sz w:val="24"/>
    </w:rPr>
  </w:style>
  <w:style w:type="paragraph" w:styleId="BalloonText">
    <w:name w:val="Balloon Text"/>
    <w:basedOn w:val="Normal"/>
    <w:link w:val="BalloonTextChar"/>
    <w:uiPriority w:val="99"/>
    <w:semiHidden/>
    <w:unhideWhenUsed/>
    <w:rsid w:val="00E91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A24"/>
    <w:rPr>
      <w:rFonts w:ascii="Tahoma" w:hAnsi="Tahoma" w:cs="Tahoma"/>
      <w:sz w:val="16"/>
      <w:szCs w:val="16"/>
    </w:rPr>
  </w:style>
  <w:style w:type="table" w:customStyle="1" w:styleId="TableGrid1">
    <w:name w:val="Table Grid1"/>
    <w:basedOn w:val="TableNormal"/>
    <w:next w:val="TableGrid"/>
    <w:uiPriority w:val="59"/>
    <w:rsid w:val="00E91A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1A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91A24"/>
  </w:style>
  <w:style w:type="paragraph" w:styleId="Title">
    <w:name w:val="Title"/>
    <w:basedOn w:val="Normal"/>
    <w:link w:val="TitleChar"/>
    <w:uiPriority w:val="10"/>
    <w:qFormat/>
    <w:rsid w:val="00E91A24"/>
    <w:pPr>
      <w:spacing w:after="0" w:line="240" w:lineRule="auto"/>
      <w:jc w:val="center"/>
    </w:pPr>
    <w:rPr>
      <w:rFonts w:eastAsia="Times New Roman" w:cs="Times New Roman"/>
      <w:b/>
      <w:bCs/>
      <w:sz w:val="32"/>
      <w:szCs w:val="32"/>
    </w:rPr>
  </w:style>
  <w:style w:type="character" w:customStyle="1" w:styleId="TitleChar">
    <w:name w:val="Title Char"/>
    <w:basedOn w:val="DefaultParagraphFont"/>
    <w:link w:val="Title"/>
    <w:uiPriority w:val="10"/>
    <w:rsid w:val="00E91A24"/>
    <w:rPr>
      <w:rFonts w:ascii="Times New Roman" w:eastAsia="Times New Roman" w:hAnsi="Times New Roman" w:cs="Times New Roman"/>
      <w:b/>
      <w:bCs/>
      <w:sz w:val="32"/>
      <w:szCs w:val="32"/>
    </w:rPr>
  </w:style>
  <w:style w:type="character" w:styleId="PageNumber">
    <w:name w:val="page number"/>
    <w:basedOn w:val="DefaultParagraphFont"/>
    <w:rsid w:val="00E91A24"/>
  </w:style>
  <w:style w:type="paragraph" w:customStyle="1" w:styleId="DocInit">
    <w:name w:val="Doc Init"/>
    <w:basedOn w:val="Normal"/>
    <w:rsid w:val="00E91A24"/>
    <w:pPr>
      <w:spacing w:after="0" w:line="240" w:lineRule="auto"/>
    </w:pPr>
    <w:rPr>
      <w:rFonts w:eastAsia="Times New Roman" w:cs="Times New Roman"/>
      <w:szCs w:val="24"/>
    </w:rPr>
  </w:style>
  <w:style w:type="paragraph" w:styleId="BodyTextIndent">
    <w:name w:val="Body Text Indent"/>
    <w:basedOn w:val="Normal"/>
    <w:link w:val="BodyTextIndentChar"/>
    <w:rsid w:val="00E91A24"/>
    <w:pPr>
      <w:spacing w:after="0"/>
      <w:ind w:firstLine="720"/>
    </w:pPr>
    <w:rPr>
      <w:rFonts w:eastAsia="Times New Roman" w:cs="Times New Roman"/>
      <w:szCs w:val="24"/>
    </w:rPr>
  </w:style>
  <w:style w:type="character" w:customStyle="1" w:styleId="BodyTextIndentChar">
    <w:name w:val="Body Text Indent Char"/>
    <w:basedOn w:val="DefaultParagraphFont"/>
    <w:link w:val="BodyTextIndent"/>
    <w:rsid w:val="00E91A24"/>
    <w:rPr>
      <w:rFonts w:ascii="Times New Roman" w:eastAsia="Times New Roman" w:hAnsi="Times New Roman" w:cs="Times New Roman"/>
      <w:sz w:val="24"/>
      <w:szCs w:val="24"/>
    </w:rPr>
  </w:style>
  <w:style w:type="paragraph" w:styleId="BodyTextIndent2">
    <w:name w:val="Body Text Indent 2"/>
    <w:basedOn w:val="Normal"/>
    <w:link w:val="BodyTextIndent2Char"/>
    <w:rsid w:val="00E91A24"/>
    <w:pPr>
      <w:tabs>
        <w:tab w:val="left" w:pos="720"/>
      </w:tabs>
      <w:overflowPunct w:val="0"/>
      <w:autoSpaceDE w:val="0"/>
      <w:autoSpaceDN w:val="0"/>
      <w:adjustRightInd w:val="0"/>
      <w:spacing w:after="0" w:line="240" w:lineRule="auto"/>
      <w:ind w:left="720"/>
      <w:textAlignment w:val="baseline"/>
    </w:pPr>
    <w:rPr>
      <w:rFonts w:eastAsia="Times New Roman" w:cs="Times New Roman"/>
      <w:szCs w:val="20"/>
    </w:rPr>
  </w:style>
  <w:style w:type="character" w:customStyle="1" w:styleId="BodyTextIndent2Char">
    <w:name w:val="Body Text Indent 2 Char"/>
    <w:basedOn w:val="DefaultParagraphFont"/>
    <w:link w:val="BodyTextIndent2"/>
    <w:rsid w:val="00E91A24"/>
    <w:rPr>
      <w:rFonts w:ascii="Times New Roman" w:eastAsia="Times New Roman" w:hAnsi="Times New Roman" w:cs="Times New Roman"/>
      <w:sz w:val="24"/>
      <w:szCs w:val="20"/>
    </w:rPr>
  </w:style>
  <w:style w:type="paragraph" w:styleId="BodyText">
    <w:name w:val="Body Text"/>
    <w:basedOn w:val="Normal"/>
    <w:link w:val="BodyTextChar"/>
    <w:rsid w:val="00E91A24"/>
    <w:pPr>
      <w:spacing w:after="0" w:line="240" w:lineRule="auto"/>
      <w:jc w:val="center"/>
    </w:pPr>
    <w:rPr>
      <w:rFonts w:eastAsia="Times New Roman" w:cs="Times New Roman"/>
      <w:b/>
      <w:bCs/>
      <w:szCs w:val="24"/>
    </w:rPr>
  </w:style>
  <w:style w:type="character" w:customStyle="1" w:styleId="BodyTextChar">
    <w:name w:val="Body Text Char"/>
    <w:basedOn w:val="DefaultParagraphFont"/>
    <w:link w:val="BodyText"/>
    <w:rsid w:val="00E91A24"/>
    <w:rPr>
      <w:rFonts w:ascii="Times New Roman" w:eastAsia="Times New Roman" w:hAnsi="Times New Roman" w:cs="Times New Roman"/>
      <w:b/>
      <w:bCs/>
      <w:sz w:val="24"/>
      <w:szCs w:val="24"/>
    </w:rPr>
  </w:style>
  <w:style w:type="paragraph" w:customStyle="1" w:styleId="xl22">
    <w:name w:val="xl22"/>
    <w:basedOn w:val="Normal"/>
    <w:rsid w:val="00E91A24"/>
    <w:pPr>
      <w:spacing w:before="100" w:beforeAutospacing="1" w:after="100" w:afterAutospacing="1" w:line="240" w:lineRule="auto"/>
    </w:pPr>
    <w:rPr>
      <w:rFonts w:ascii="Arial" w:eastAsia="Arial Unicode MS" w:hAnsi="Arial" w:cs="Arial"/>
      <w:sz w:val="16"/>
      <w:szCs w:val="16"/>
    </w:rPr>
  </w:style>
  <w:style w:type="paragraph" w:customStyle="1" w:styleId="xl24">
    <w:name w:val="xl24"/>
    <w:basedOn w:val="Normal"/>
    <w:rsid w:val="00E91A24"/>
    <w:pPr>
      <w:spacing w:before="100" w:beforeAutospacing="1" w:after="100" w:afterAutospacing="1" w:line="240" w:lineRule="auto"/>
    </w:pPr>
    <w:rPr>
      <w:rFonts w:ascii="Arial" w:eastAsia="Arial Unicode MS" w:hAnsi="Arial" w:cs="Arial"/>
      <w:sz w:val="16"/>
      <w:szCs w:val="16"/>
    </w:rPr>
  </w:style>
  <w:style w:type="paragraph" w:customStyle="1" w:styleId="xl25">
    <w:name w:val="xl25"/>
    <w:basedOn w:val="Normal"/>
    <w:rsid w:val="00E91A24"/>
    <w:pPr>
      <w:spacing w:before="100" w:beforeAutospacing="1" w:after="100" w:afterAutospacing="1" w:line="240" w:lineRule="auto"/>
    </w:pPr>
    <w:rPr>
      <w:rFonts w:ascii="Arial" w:eastAsia="Arial Unicode MS" w:hAnsi="Arial" w:cs="Arial"/>
      <w:sz w:val="16"/>
      <w:szCs w:val="16"/>
    </w:rPr>
  </w:style>
  <w:style w:type="paragraph" w:styleId="PlainText">
    <w:name w:val="Plain Text"/>
    <w:basedOn w:val="Normal"/>
    <w:link w:val="PlainTextChar"/>
    <w:rsid w:val="00E91A2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91A24"/>
    <w:rPr>
      <w:rFonts w:ascii="Courier New" w:eastAsia="Times New Roman" w:hAnsi="Courier New" w:cs="Courier New"/>
      <w:sz w:val="20"/>
      <w:szCs w:val="20"/>
    </w:rPr>
  </w:style>
  <w:style w:type="paragraph" w:styleId="Subtitle">
    <w:name w:val="Subtitle"/>
    <w:basedOn w:val="Normal"/>
    <w:link w:val="SubtitleChar"/>
    <w:qFormat/>
    <w:rsid w:val="00E91A24"/>
    <w:pPr>
      <w:spacing w:after="0" w:line="240" w:lineRule="auto"/>
    </w:pPr>
    <w:rPr>
      <w:rFonts w:eastAsia="Times New Roman" w:cs="Times New Roman"/>
      <w:b/>
      <w:bCs/>
      <w:szCs w:val="24"/>
    </w:rPr>
  </w:style>
  <w:style w:type="character" w:customStyle="1" w:styleId="SubtitleChar">
    <w:name w:val="Subtitle Char"/>
    <w:basedOn w:val="DefaultParagraphFont"/>
    <w:link w:val="Subtitle"/>
    <w:rsid w:val="00E91A24"/>
    <w:rPr>
      <w:rFonts w:ascii="Times New Roman" w:eastAsia="Times New Roman" w:hAnsi="Times New Roman" w:cs="Times New Roman"/>
      <w:b/>
      <w:bCs/>
      <w:sz w:val="24"/>
      <w:szCs w:val="24"/>
    </w:rPr>
  </w:style>
  <w:style w:type="paragraph" w:styleId="BodyText3">
    <w:name w:val="Body Text 3"/>
    <w:basedOn w:val="Normal"/>
    <w:link w:val="BodyText3Char"/>
    <w:rsid w:val="00E91A24"/>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E91A24"/>
    <w:rPr>
      <w:rFonts w:ascii="Times New Roman" w:eastAsia="Times New Roman" w:hAnsi="Times New Roman" w:cs="Times New Roman"/>
      <w:sz w:val="16"/>
      <w:szCs w:val="16"/>
    </w:rPr>
  </w:style>
  <w:style w:type="paragraph" w:styleId="BodyTextIndent3">
    <w:name w:val="Body Text Indent 3"/>
    <w:basedOn w:val="Normal"/>
    <w:link w:val="BodyTextIndent3Char"/>
    <w:rsid w:val="00E91A24"/>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E91A24"/>
    <w:rPr>
      <w:rFonts w:ascii="Times New Roman" w:eastAsia="Times New Roman" w:hAnsi="Times New Roman" w:cs="Times New Roman"/>
      <w:sz w:val="16"/>
      <w:szCs w:val="16"/>
    </w:rPr>
  </w:style>
  <w:style w:type="character" w:customStyle="1" w:styleId="DocumentMapChar">
    <w:name w:val="Document Map Char"/>
    <w:basedOn w:val="DefaultParagraphFont"/>
    <w:link w:val="DocumentMap"/>
    <w:rsid w:val="00E91A24"/>
    <w:rPr>
      <w:rFonts w:ascii="Tahoma" w:eastAsia="Times New Roman" w:hAnsi="Tahoma" w:cs="Tahoma"/>
      <w:sz w:val="20"/>
      <w:szCs w:val="20"/>
      <w:shd w:val="clear" w:color="auto" w:fill="000080"/>
    </w:rPr>
  </w:style>
  <w:style w:type="paragraph" w:styleId="DocumentMap">
    <w:name w:val="Document Map"/>
    <w:basedOn w:val="Normal"/>
    <w:link w:val="DocumentMapChar"/>
    <w:rsid w:val="00E91A24"/>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uiPriority w:val="99"/>
    <w:semiHidden/>
    <w:rsid w:val="00E91A24"/>
    <w:rPr>
      <w:rFonts w:ascii="Segoe UI" w:hAnsi="Segoe UI" w:cs="Segoe UI"/>
      <w:sz w:val="16"/>
      <w:szCs w:val="16"/>
    </w:rPr>
  </w:style>
  <w:style w:type="character" w:styleId="FollowedHyperlink">
    <w:name w:val="FollowedHyperlink"/>
    <w:basedOn w:val="DefaultParagraphFont"/>
    <w:uiPriority w:val="99"/>
    <w:rsid w:val="00E91A24"/>
    <w:rPr>
      <w:color w:val="800080"/>
      <w:u w:val="single"/>
    </w:rPr>
  </w:style>
  <w:style w:type="character" w:customStyle="1" w:styleId="A7">
    <w:name w:val="A7"/>
    <w:uiPriority w:val="99"/>
    <w:rsid w:val="00E91A24"/>
    <w:rPr>
      <w:rFonts w:cs="Helvetica LT Std Cond Blk"/>
      <w:b/>
      <w:bCs/>
      <w:color w:val="000000"/>
      <w:sz w:val="47"/>
      <w:szCs w:val="47"/>
    </w:rPr>
  </w:style>
  <w:style w:type="character" w:customStyle="1" w:styleId="basictext">
    <w:name w:val="basic_text"/>
    <w:basedOn w:val="DefaultParagraphFont"/>
    <w:rsid w:val="00E91A24"/>
  </w:style>
  <w:style w:type="paragraph" w:styleId="HTMLPreformatted">
    <w:name w:val="HTML Preformatted"/>
    <w:basedOn w:val="Normal"/>
    <w:link w:val="HTMLPreformattedChar"/>
    <w:uiPriority w:val="99"/>
    <w:rsid w:val="00E9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sz w:val="20"/>
      <w:szCs w:val="20"/>
    </w:rPr>
  </w:style>
  <w:style w:type="character" w:customStyle="1" w:styleId="HTMLPreformattedChar">
    <w:name w:val="HTML Preformatted Char"/>
    <w:basedOn w:val="DefaultParagraphFont"/>
    <w:link w:val="HTMLPreformatted"/>
    <w:uiPriority w:val="99"/>
    <w:rsid w:val="00E91A24"/>
    <w:rPr>
      <w:rFonts w:ascii="Arial" w:eastAsia="Times New Roman" w:hAnsi="Arial" w:cs="Arial"/>
      <w:sz w:val="20"/>
      <w:szCs w:val="20"/>
    </w:rPr>
  </w:style>
  <w:style w:type="paragraph" w:styleId="NormalWeb">
    <w:name w:val="Normal (Web)"/>
    <w:basedOn w:val="Normal"/>
    <w:uiPriority w:val="99"/>
    <w:unhideWhenUsed/>
    <w:rsid w:val="00E91A24"/>
    <w:pPr>
      <w:spacing w:before="100" w:beforeAutospacing="1" w:after="100" w:afterAutospacing="1" w:line="240" w:lineRule="auto"/>
    </w:pPr>
    <w:rPr>
      <w:rFonts w:ascii="Arial" w:eastAsia="Times New Roman" w:hAnsi="Arial" w:cs="Arial"/>
      <w:color w:val="000000"/>
      <w:sz w:val="20"/>
      <w:szCs w:val="20"/>
    </w:rPr>
  </w:style>
  <w:style w:type="character" w:customStyle="1" w:styleId="itxtrst">
    <w:name w:val="itxtrst"/>
    <w:basedOn w:val="DefaultParagraphFont"/>
    <w:rsid w:val="00E91A24"/>
  </w:style>
  <w:style w:type="character" w:styleId="PlaceholderText">
    <w:name w:val="Placeholder Text"/>
    <w:basedOn w:val="DefaultParagraphFont"/>
    <w:uiPriority w:val="99"/>
    <w:semiHidden/>
    <w:rsid w:val="00E91A24"/>
    <w:rPr>
      <w:color w:val="808080"/>
    </w:rPr>
  </w:style>
  <w:style w:type="paragraph" w:styleId="Revision">
    <w:name w:val="Revision"/>
    <w:hidden/>
    <w:uiPriority w:val="99"/>
    <w:semiHidden/>
    <w:rsid w:val="00E91A24"/>
    <w:pPr>
      <w:spacing w:after="0" w:line="240" w:lineRule="auto"/>
    </w:pPr>
    <w:rPr>
      <w:rFonts w:ascii="Calibri" w:eastAsia="Calibri" w:hAnsi="Calibri" w:cs="Times New Roman"/>
    </w:rPr>
  </w:style>
  <w:style w:type="character" w:customStyle="1" w:styleId="documentbody">
    <w:name w:val="documentbody"/>
    <w:basedOn w:val="DefaultParagraphFont"/>
    <w:rsid w:val="00E91A24"/>
  </w:style>
  <w:style w:type="character" w:customStyle="1" w:styleId="st">
    <w:name w:val="st"/>
    <w:basedOn w:val="DefaultParagraphFont"/>
    <w:rsid w:val="00E91A24"/>
  </w:style>
  <w:style w:type="table" w:customStyle="1" w:styleId="TableGrid3">
    <w:name w:val="Table Grid3"/>
    <w:basedOn w:val="TableNormal"/>
    <w:next w:val="TableGrid"/>
    <w:rsid w:val="00E91A2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next w:val="LightShading-Accent1"/>
    <w:uiPriority w:val="60"/>
    <w:rsid w:val="00E91A24"/>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rsid w:val="00E91A2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4">
    <w:name w:val="Table Grid4"/>
    <w:basedOn w:val="TableNormal"/>
    <w:next w:val="TableGrid"/>
    <w:rsid w:val="00E91A2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91A2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91A24"/>
  </w:style>
  <w:style w:type="paragraph" w:customStyle="1" w:styleId="ReportBody">
    <w:name w:val="Report Body"/>
    <w:basedOn w:val="Normal"/>
    <w:link w:val="ReportBodyChar"/>
    <w:autoRedefine/>
    <w:qFormat/>
    <w:rsid w:val="00E91A24"/>
    <w:pPr>
      <w:widowControl w:val="0"/>
      <w:spacing w:before="120" w:after="240"/>
      <w:jc w:val="center"/>
    </w:pPr>
    <w:rPr>
      <w:rFonts w:eastAsia="MS Mincho" w:cs="Times New Roman"/>
      <w:szCs w:val="28"/>
    </w:rPr>
  </w:style>
  <w:style w:type="character" w:customStyle="1" w:styleId="ReportBodyChar">
    <w:name w:val="Report Body Char"/>
    <w:basedOn w:val="DefaultParagraphFont"/>
    <w:link w:val="ReportBody"/>
    <w:rsid w:val="00E91A24"/>
    <w:rPr>
      <w:rFonts w:ascii="Times New Roman" w:eastAsia="MS Mincho" w:hAnsi="Times New Roman" w:cs="Times New Roman"/>
      <w:sz w:val="24"/>
      <w:szCs w:val="28"/>
    </w:rPr>
  </w:style>
  <w:style w:type="paragraph" w:customStyle="1" w:styleId="Reference">
    <w:name w:val="Reference"/>
    <w:basedOn w:val="Normal"/>
    <w:rsid w:val="00E91A24"/>
    <w:pPr>
      <w:spacing w:after="120" w:line="240" w:lineRule="auto"/>
      <w:ind w:left="288" w:hanging="288"/>
    </w:pPr>
    <w:rPr>
      <w:rFonts w:eastAsia="Times New Roman" w:cs="Times New Roman"/>
      <w:szCs w:val="20"/>
    </w:rPr>
  </w:style>
  <w:style w:type="paragraph" w:customStyle="1" w:styleId="TableText">
    <w:name w:val="Table_Text"/>
    <w:basedOn w:val="Normal"/>
    <w:autoRedefine/>
    <w:uiPriority w:val="99"/>
    <w:rsid w:val="00E91A24"/>
    <w:pPr>
      <w:spacing w:before="60" w:after="60" w:line="240" w:lineRule="auto"/>
    </w:pPr>
    <w:rPr>
      <w:rFonts w:eastAsia="Times New Roman" w:cs="Times New Roman"/>
      <w:sz w:val="20"/>
      <w:szCs w:val="20"/>
    </w:rPr>
  </w:style>
  <w:style w:type="paragraph" w:customStyle="1" w:styleId="TableHeadings">
    <w:name w:val="Table _Headings"/>
    <w:basedOn w:val="Normal"/>
    <w:qFormat/>
    <w:rsid w:val="00E91A24"/>
    <w:pPr>
      <w:spacing w:before="40" w:after="40" w:line="240" w:lineRule="auto"/>
    </w:pPr>
    <w:rPr>
      <w:rFonts w:eastAsia="Times New Roman" w:cs="Times New Roman"/>
      <w:sz w:val="20"/>
      <w:szCs w:val="24"/>
    </w:rPr>
  </w:style>
  <w:style w:type="character" w:customStyle="1" w:styleId="FootnoteCharacters">
    <w:name w:val="Footnote Characters"/>
    <w:basedOn w:val="DefaultParagraphFont"/>
    <w:rsid w:val="00E91A24"/>
    <w:rPr>
      <w:rFonts w:cs="Times New Roman"/>
      <w:vertAlign w:val="superscript"/>
    </w:rPr>
  </w:style>
  <w:style w:type="paragraph" w:customStyle="1" w:styleId="StyleBefore6ptAfter6pt">
    <w:name w:val="Style Before:  6 pt After:  6 pt"/>
    <w:basedOn w:val="Normal"/>
    <w:rsid w:val="00E91A24"/>
    <w:pPr>
      <w:suppressAutoHyphens/>
      <w:spacing w:after="0" w:line="240" w:lineRule="auto"/>
    </w:pPr>
    <w:rPr>
      <w:rFonts w:eastAsia="Times New Roman" w:cs="Times New Roman"/>
      <w:szCs w:val="20"/>
      <w:lang w:eastAsia="ar-SA"/>
    </w:rPr>
  </w:style>
  <w:style w:type="table" w:customStyle="1" w:styleId="TableGrid6">
    <w:name w:val="Table Grid6"/>
    <w:basedOn w:val="TableNormal"/>
    <w:next w:val="TableGrid"/>
    <w:rsid w:val="00E91A2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E91A24"/>
    <w:rPr>
      <w:b/>
      <w:bCs/>
    </w:rPr>
  </w:style>
  <w:style w:type="paragraph" w:customStyle="1" w:styleId="BodyTextNHTSA">
    <w:name w:val="Body Text (NHTSA)"/>
    <w:basedOn w:val="Normal"/>
    <w:rsid w:val="00E91A24"/>
    <w:pPr>
      <w:spacing w:after="240" w:line="240" w:lineRule="auto"/>
    </w:pPr>
    <w:rPr>
      <w:rFonts w:eastAsia="Times New Roman" w:cs="Times New Roman"/>
      <w:szCs w:val="24"/>
    </w:rPr>
  </w:style>
  <w:style w:type="paragraph" w:styleId="TOCHeading">
    <w:name w:val="TOC Heading"/>
    <w:basedOn w:val="Heading1"/>
    <w:next w:val="Normal"/>
    <w:uiPriority w:val="39"/>
    <w:unhideWhenUsed/>
    <w:qFormat/>
    <w:rsid w:val="00E91A24"/>
    <w:pPr>
      <w:keepLines w:val="0"/>
      <w:numPr>
        <w:numId w:val="0"/>
      </w:numPr>
      <w:tabs>
        <w:tab w:val="left" w:pos="540"/>
        <w:tab w:val="num" w:pos="720"/>
      </w:tabs>
      <w:spacing w:after="60" w:line="240" w:lineRule="auto"/>
      <w:outlineLvl w:val="9"/>
    </w:pPr>
    <w:rPr>
      <w:rFonts w:ascii="Arial" w:eastAsia="Times New Roman" w:hAnsi="Arial" w:cs="Arial"/>
      <w:b/>
      <w:bCs/>
      <w:color w:val="auto"/>
      <w:kern w:val="32"/>
    </w:rPr>
  </w:style>
  <w:style w:type="paragraph" w:styleId="TOC1">
    <w:name w:val="toc 1"/>
    <w:basedOn w:val="Normal"/>
    <w:next w:val="Normal"/>
    <w:autoRedefine/>
    <w:uiPriority w:val="39"/>
    <w:unhideWhenUsed/>
    <w:qFormat/>
    <w:rsid w:val="00E91A24"/>
    <w:pPr>
      <w:tabs>
        <w:tab w:val="left" w:pos="450"/>
        <w:tab w:val="right" w:leader="dot" w:pos="9350"/>
      </w:tabs>
      <w:spacing w:after="100" w:line="240" w:lineRule="auto"/>
    </w:pPr>
    <w:rPr>
      <w:rFonts w:eastAsia="Times New Roman" w:cs="Times New Roman"/>
      <w:szCs w:val="24"/>
    </w:rPr>
  </w:style>
  <w:style w:type="paragraph" w:styleId="TOC2">
    <w:name w:val="toc 2"/>
    <w:basedOn w:val="Normal"/>
    <w:next w:val="Normal"/>
    <w:autoRedefine/>
    <w:uiPriority w:val="39"/>
    <w:unhideWhenUsed/>
    <w:qFormat/>
    <w:rsid w:val="00E91A24"/>
    <w:pPr>
      <w:tabs>
        <w:tab w:val="left" w:pos="630"/>
        <w:tab w:val="right" w:leader="dot" w:pos="9350"/>
      </w:tabs>
      <w:spacing w:after="100" w:line="240" w:lineRule="auto"/>
      <w:ind w:left="360"/>
    </w:pPr>
    <w:rPr>
      <w:rFonts w:eastAsia="Times New Roman" w:cs="Times New Roman"/>
      <w:szCs w:val="24"/>
    </w:rPr>
  </w:style>
  <w:style w:type="paragraph" w:styleId="TOC3">
    <w:name w:val="toc 3"/>
    <w:basedOn w:val="Normal"/>
    <w:next w:val="Normal"/>
    <w:autoRedefine/>
    <w:uiPriority w:val="39"/>
    <w:unhideWhenUsed/>
    <w:qFormat/>
    <w:rsid w:val="00E91A24"/>
    <w:pPr>
      <w:tabs>
        <w:tab w:val="left" w:pos="1320"/>
        <w:tab w:val="right" w:leader="dot" w:pos="9350"/>
      </w:tabs>
      <w:spacing w:after="100" w:line="240" w:lineRule="auto"/>
      <w:ind w:left="720"/>
    </w:pPr>
    <w:rPr>
      <w:rFonts w:eastAsia="Times New Roman" w:cs="Times New Roman"/>
      <w:szCs w:val="24"/>
    </w:rPr>
  </w:style>
  <w:style w:type="paragraph" w:customStyle="1" w:styleId="Heading1aExecSummary">
    <w:name w:val="Heading 1a (Exec Summary)"/>
    <w:basedOn w:val="Heading1"/>
    <w:next w:val="Normal"/>
    <w:link w:val="Heading1aExecSummaryChar"/>
    <w:qFormat/>
    <w:rsid w:val="00E91A24"/>
    <w:pPr>
      <w:numPr>
        <w:numId w:val="0"/>
      </w:numPr>
      <w:tabs>
        <w:tab w:val="left" w:pos="540"/>
      </w:tabs>
      <w:spacing w:before="480" w:after="240" w:line="240" w:lineRule="auto"/>
    </w:pPr>
    <w:rPr>
      <w:b/>
      <w:bCs/>
      <w:sz w:val="28"/>
      <w:szCs w:val="28"/>
    </w:rPr>
  </w:style>
  <w:style w:type="character" w:customStyle="1" w:styleId="Heading1aExecSummaryChar">
    <w:name w:val="Heading 1a (Exec Summary) Char"/>
    <w:basedOn w:val="Heading1Char"/>
    <w:link w:val="Heading1aExecSummary"/>
    <w:rsid w:val="00E91A24"/>
    <w:rPr>
      <w:rFonts w:asciiTheme="majorHAnsi" w:eastAsiaTheme="majorEastAsia" w:hAnsiTheme="majorHAnsi" w:cstheme="majorBidi"/>
      <w:b/>
      <w:bCs/>
      <w:color w:val="2F5496" w:themeColor="accent1" w:themeShade="BF"/>
      <w:sz w:val="28"/>
      <w:szCs w:val="28"/>
    </w:rPr>
  </w:style>
  <w:style w:type="paragraph" w:customStyle="1" w:styleId="TechnicalDocText">
    <w:name w:val="Technical Doc Text"/>
    <w:rsid w:val="00E91A24"/>
    <w:pPr>
      <w:tabs>
        <w:tab w:val="left" w:pos="432"/>
        <w:tab w:val="left" w:pos="6768"/>
      </w:tabs>
      <w:spacing w:after="0" w:line="240" w:lineRule="auto"/>
      <w:ind w:left="216"/>
      <w:jc w:val="both"/>
    </w:pPr>
    <w:rPr>
      <w:rFonts w:ascii="Times New Roman" w:eastAsia="Times New Roman" w:hAnsi="Times New Roman" w:cs="Times New Roman"/>
      <w:sz w:val="20"/>
      <w:szCs w:val="20"/>
    </w:rPr>
  </w:style>
  <w:style w:type="table" w:customStyle="1" w:styleId="LightShading-Accent12">
    <w:name w:val="Light Shading - Accent 12"/>
    <w:basedOn w:val="TableNormal"/>
    <w:next w:val="LightShading-Accent1"/>
    <w:uiPriority w:val="60"/>
    <w:rsid w:val="00E91A24"/>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noteTextChar1">
    <w:name w:val="Footnote Text Char1"/>
    <w:basedOn w:val="DefaultParagraphFont"/>
    <w:uiPriority w:val="99"/>
    <w:rsid w:val="00E91A24"/>
  </w:style>
  <w:style w:type="paragraph" w:styleId="z-TopofForm">
    <w:name w:val="HTML Top of Form"/>
    <w:basedOn w:val="Normal"/>
    <w:next w:val="Normal"/>
    <w:link w:val="z-TopofFormChar"/>
    <w:hidden/>
    <w:rsid w:val="00E91A24"/>
    <w:pPr>
      <w:pBdr>
        <w:bottom w:val="single" w:sz="6" w:space="1" w:color="auto"/>
      </w:pBdr>
      <w:spacing w:after="0" w:line="240" w:lineRule="auto"/>
      <w:contextualSpacing/>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E91A24"/>
    <w:rPr>
      <w:rFonts w:ascii="Arial" w:eastAsia="Times New Roman" w:hAnsi="Arial" w:cs="Arial"/>
      <w:vanish/>
      <w:sz w:val="16"/>
      <w:szCs w:val="16"/>
    </w:rPr>
  </w:style>
  <w:style w:type="paragraph" w:styleId="z-BottomofForm">
    <w:name w:val="HTML Bottom of Form"/>
    <w:basedOn w:val="Normal"/>
    <w:next w:val="Normal"/>
    <w:link w:val="z-BottomofFormChar"/>
    <w:hidden/>
    <w:rsid w:val="00E91A24"/>
    <w:pPr>
      <w:pBdr>
        <w:top w:val="single" w:sz="6" w:space="1" w:color="auto"/>
      </w:pBdr>
      <w:spacing w:after="0" w:line="240" w:lineRule="auto"/>
      <w:contextualSpacing/>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E91A24"/>
    <w:rPr>
      <w:rFonts w:ascii="Arial" w:eastAsia="Times New Roman" w:hAnsi="Arial" w:cs="Arial"/>
      <w:vanish/>
      <w:sz w:val="16"/>
      <w:szCs w:val="16"/>
    </w:rPr>
  </w:style>
  <w:style w:type="paragraph" w:styleId="EndnoteText">
    <w:name w:val="endnote text"/>
    <w:basedOn w:val="Normal"/>
    <w:link w:val="EndnoteTextChar"/>
    <w:rsid w:val="00E91A24"/>
    <w:pPr>
      <w:spacing w:after="0" w:line="240" w:lineRule="auto"/>
      <w:contextualSpacing/>
    </w:pPr>
    <w:rPr>
      <w:rFonts w:eastAsia="Times New Roman" w:cs="Times New Roman"/>
      <w:sz w:val="20"/>
      <w:szCs w:val="20"/>
    </w:rPr>
  </w:style>
  <w:style w:type="character" w:customStyle="1" w:styleId="EndnoteTextChar">
    <w:name w:val="Endnote Text Char"/>
    <w:basedOn w:val="DefaultParagraphFont"/>
    <w:link w:val="EndnoteText"/>
    <w:rsid w:val="00E91A24"/>
    <w:rPr>
      <w:rFonts w:ascii="Times New Roman" w:eastAsia="Times New Roman" w:hAnsi="Times New Roman" w:cs="Times New Roman"/>
      <w:sz w:val="20"/>
      <w:szCs w:val="20"/>
    </w:rPr>
  </w:style>
  <w:style w:type="character" w:styleId="EndnoteReference">
    <w:name w:val="endnote reference"/>
    <w:basedOn w:val="DefaultParagraphFont"/>
    <w:rsid w:val="00E91A24"/>
    <w:rPr>
      <w:vertAlign w:val="superscript"/>
    </w:rPr>
  </w:style>
  <w:style w:type="character" w:customStyle="1" w:styleId="updatebodytest">
    <w:name w:val="updatebodytest"/>
    <w:basedOn w:val="DefaultParagraphFont"/>
    <w:rsid w:val="00E91A24"/>
  </w:style>
  <w:style w:type="character" w:customStyle="1" w:styleId="yshortcuts">
    <w:name w:val="yshortcuts"/>
    <w:basedOn w:val="DefaultParagraphFont"/>
    <w:rsid w:val="00E91A24"/>
  </w:style>
  <w:style w:type="paragraph" w:customStyle="1" w:styleId="NMVCCSDataSource">
    <w:name w:val="NMVCCSDataSource"/>
    <w:basedOn w:val="Normal"/>
    <w:autoRedefine/>
    <w:rsid w:val="00E91A24"/>
    <w:pPr>
      <w:tabs>
        <w:tab w:val="left" w:pos="874"/>
        <w:tab w:val="left" w:pos="3276"/>
        <w:tab w:val="left" w:pos="8640"/>
      </w:tabs>
      <w:autoSpaceDE w:val="0"/>
      <w:autoSpaceDN w:val="0"/>
      <w:adjustRightInd w:val="0"/>
      <w:spacing w:beforeLines="15" w:afterLines="15" w:after="0" w:line="240" w:lineRule="auto"/>
      <w:ind w:left="720" w:rightChars="300" w:right="720" w:firstLine="6"/>
      <w:jc w:val="center"/>
    </w:pPr>
    <w:rPr>
      <w:rFonts w:eastAsia="Times New Roman" w:cs="Times New Roman"/>
      <w:sz w:val="20"/>
      <w:szCs w:val="20"/>
    </w:rPr>
  </w:style>
  <w:style w:type="paragraph" w:customStyle="1" w:styleId="NoticeBodyParagrah">
    <w:name w:val="Notice Body Paragrah"/>
    <w:basedOn w:val="Normal"/>
    <w:qFormat/>
    <w:rsid w:val="00E91A24"/>
    <w:pPr>
      <w:spacing w:after="0"/>
      <w:ind w:firstLine="720"/>
    </w:pPr>
    <w:rPr>
      <w:rFonts w:eastAsia="Times New Roman" w:cs="Times New Roman"/>
      <w:bCs/>
      <w:color w:val="000000"/>
      <w:szCs w:val="24"/>
    </w:rPr>
  </w:style>
  <w:style w:type="paragraph" w:customStyle="1" w:styleId="NoticeBodyParagraph">
    <w:name w:val="Notice Body Paragraph"/>
    <w:basedOn w:val="Normal"/>
    <w:qFormat/>
    <w:rsid w:val="00E91A24"/>
    <w:pPr>
      <w:spacing w:after="0"/>
      <w:ind w:firstLine="720"/>
    </w:pPr>
    <w:rPr>
      <w:rFonts w:eastAsia="Times New Roman" w:cs="Times New Roman"/>
      <w:szCs w:val="24"/>
    </w:rPr>
  </w:style>
  <w:style w:type="paragraph" w:customStyle="1" w:styleId="Normaldouble">
    <w:name w:val="Normal double"/>
    <w:basedOn w:val="Normal"/>
    <w:link w:val="NormaldoubleChar"/>
    <w:rsid w:val="00E91A24"/>
    <w:pPr>
      <w:keepNext/>
      <w:keepLines/>
      <w:tabs>
        <w:tab w:val="left" w:pos="720"/>
      </w:tabs>
      <w:spacing w:after="0"/>
    </w:pPr>
    <w:rPr>
      <w:rFonts w:eastAsia="Times New Roman" w:cs="Times New Roman"/>
      <w:b/>
      <w:bCs/>
      <w:szCs w:val="24"/>
    </w:rPr>
  </w:style>
  <w:style w:type="character" w:customStyle="1" w:styleId="NormaldoubleChar">
    <w:name w:val="Normal double Char"/>
    <w:basedOn w:val="DefaultParagraphFont"/>
    <w:link w:val="Normaldouble"/>
    <w:locked/>
    <w:rsid w:val="00E91A24"/>
    <w:rPr>
      <w:rFonts w:ascii="Times New Roman" w:eastAsia="Times New Roman" w:hAnsi="Times New Roman" w:cs="Times New Roman"/>
      <w:b/>
      <w:bCs/>
      <w:sz w:val="24"/>
      <w:szCs w:val="24"/>
    </w:rPr>
  </w:style>
  <w:style w:type="paragraph" w:customStyle="1" w:styleId="StyleBodyTextNHTSAFirstline05">
    <w:name w:val="Style Body Text (NHTSA) + First line:  0.5&quot;"/>
    <w:basedOn w:val="Normal"/>
    <w:autoRedefine/>
    <w:rsid w:val="00E91A24"/>
    <w:pPr>
      <w:spacing w:after="0"/>
      <w:ind w:firstLine="720"/>
    </w:pPr>
    <w:rPr>
      <w:rFonts w:eastAsia="Times New Roman" w:cs="Times New Roman"/>
      <w:szCs w:val="20"/>
    </w:rPr>
  </w:style>
  <w:style w:type="character" w:customStyle="1" w:styleId="breakword">
    <w:name w:val="breakword"/>
    <w:basedOn w:val="DefaultParagraphFont"/>
    <w:rsid w:val="00E91A24"/>
  </w:style>
  <w:style w:type="paragraph" w:customStyle="1" w:styleId="TOC41">
    <w:name w:val="TOC 41"/>
    <w:basedOn w:val="Normal"/>
    <w:next w:val="Normal"/>
    <w:autoRedefine/>
    <w:uiPriority w:val="39"/>
    <w:unhideWhenUsed/>
    <w:rsid w:val="00E91A24"/>
    <w:pPr>
      <w:spacing w:after="100"/>
      <w:ind w:left="660"/>
    </w:pPr>
    <w:rPr>
      <w:rFonts w:eastAsia="MS Mincho"/>
    </w:rPr>
  </w:style>
  <w:style w:type="paragraph" w:customStyle="1" w:styleId="TOC51">
    <w:name w:val="TOC 51"/>
    <w:basedOn w:val="Normal"/>
    <w:next w:val="Normal"/>
    <w:autoRedefine/>
    <w:uiPriority w:val="39"/>
    <w:unhideWhenUsed/>
    <w:rsid w:val="00E91A24"/>
    <w:pPr>
      <w:spacing w:after="100"/>
      <w:ind w:left="880"/>
    </w:pPr>
    <w:rPr>
      <w:rFonts w:eastAsia="MS Mincho"/>
    </w:rPr>
  </w:style>
  <w:style w:type="paragraph" w:customStyle="1" w:styleId="TOC61">
    <w:name w:val="TOC 61"/>
    <w:basedOn w:val="Normal"/>
    <w:next w:val="Normal"/>
    <w:autoRedefine/>
    <w:uiPriority w:val="39"/>
    <w:unhideWhenUsed/>
    <w:rsid w:val="00E91A24"/>
    <w:pPr>
      <w:spacing w:after="100"/>
      <w:ind w:left="1100"/>
    </w:pPr>
    <w:rPr>
      <w:rFonts w:eastAsia="MS Mincho"/>
    </w:rPr>
  </w:style>
  <w:style w:type="paragraph" w:customStyle="1" w:styleId="TOC71">
    <w:name w:val="TOC 71"/>
    <w:basedOn w:val="Normal"/>
    <w:next w:val="Normal"/>
    <w:autoRedefine/>
    <w:uiPriority w:val="39"/>
    <w:unhideWhenUsed/>
    <w:rsid w:val="00E91A24"/>
    <w:pPr>
      <w:spacing w:after="100"/>
      <w:ind w:left="1320"/>
    </w:pPr>
    <w:rPr>
      <w:rFonts w:eastAsia="MS Mincho"/>
    </w:rPr>
  </w:style>
  <w:style w:type="paragraph" w:customStyle="1" w:styleId="TOC81">
    <w:name w:val="TOC 81"/>
    <w:basedOn w:val="Normal"/>
    <w:next w:val="Normal"/>
    <w:autoRedefine/>
    <w:uiPriority w:val="39"/>
    <w:unhideWhenUsed/>
    <w:rsid w:val="00E91A24"/>
    <w:pPr>
      <w:spacing w:after="100"/>
      <w:ind w:left="1540"/>
    </w:pPr>
    <w:rPr>
      <w:rFonts w:eastAsia="MS Mincho"/>
    </w:rPr>
  </w:style>
  <w:style w:type="paragraph" w:customStyle="1" w:styleId="TOC91">
    <w:name w:val="TOC 91"/>
    <w:basedOn w:val="Normal"/>
    <w:next w:val="Normal"/>
    <w:autoRedefine/>
    <w:uiPriority w:val="39"/>
    <w:unhideWhenUsed/>
    <w:rsid w:val="00E91A24"/>
    <w:pPr>
      <w:spacing w:after="100"/>
      <w:ind w:left="1760"/>
    </w:pPr>
    <w:rPr>
      <w:rFonts w:eastAsia="MS Mincho"/>
    </w:rPr>
  </w:style>
  <w:style w:type="character" w:customStyle="1" w:styleId="ptext-10">
    <w:name w:val="ptext-10"/>
    <w:rsid w:val="00E91A24"/>
    <w:rPr>
      <w:rFonts w:cs="Times New Roman"/>
    </w:rPr>
  </w:style>
  <w:style w:type="character" w:styleId="HTMLTypewriter">
    <w:name w:val="HTML Typewriter"/>
    <w:rsid w:val="00E91A24"/>
    <w:rPr>
      <w:rFonts w:ascii="Courier New" w:eastAsia="MS Mincho" w:hAnsi="Courier New" w:cs="Courier New"/>
      <w:sz w:val="20"/>
      <w:szCs w:val="20"/>
    </w:rPr>
  </w:style>
  <w:style w:type="character" w:customStyle="1" w:styleId="FontStyle61">
    <w:name w:val="Font Style61"/>
    <w:rsid w:val="00E91A24"/>
    <w:rPr>
      <w:rFonts w:ascii="Arial" w:hAnsi="Arial" w:cs="Arial"/>
      <w:color w:val="000000"/>
      <w:sz w:val="22"/>
      <w:szCs w:val="22"/>
    </w:rPr>
  </w:style>
  <w:style w:type="paragraph" w:customStyle="1" w:styleId="Style17">
    <w:name w:val="Style17"/>
    <w:basedOn w:val="Normal"/>
    <w:rsid w:val="00E91A24"/>
    <w:pPr>
      <w:widowControl w:val="0"/>
      <w:autoSpaceDE w:val="0"/>
      <w:autoSpaceDN w:val="0"/>
      <w:adjustRightInd w:val="0"/>
      <w:spacing w:after="0" w:line="240" w:lineRule="auto"/>
    </w:pPr>
    <w:rPr>
      <w:rFonts w:ascii="Arial" w:eastAsia="Cambria" w:hAnsi="Arial" w:cs="Times New Roman"/>
      <w:szCs w:val="24"/>
    </w:rPr>
  </w:style>
  <w:style w:type="paragraph" w:customStyle="1" w:styleId="TableHeading">
    <w:name w:val="Table_Heading"/>
    <w:basedOn w:val="Normal"/>
    <w:autoRedefine/>
    <w:rsid w:val="00E91A24"/>
    <w:pPr>
      <w:spacing w:before="120" w:after="120" w:line="240" w:lineRule="auto"/>
    </w:pPr>
    <w:rPr>
      <w:rFonts w:eastAsia="Cambria" w:cs="Arial"/>
      <w:b/>
      <w:bCs/>
      <w:color w:val="000000"/>
      <w:sz w:val="16"/>
      <w:szCs w:val="16"/>
    </w:rPr>
  </w:style>
  <w:style w:type="character" w:customStyle="1" w:styleId="apple-converted-space">
    <w:name w:val="apple-converted-space"/>
    <w:basedOn w:val="DefaultParagraphFont"/>
    <w:rsid w:val="00E91A24"/>
  </w:style>
  <w:style w:type="paragraph" w:styleId="TableofFigures">
    <w:name w:val="table of figures"/>
    <w:basedOn w:val="Normal"/>
    <w:next w:val="Normal"/>
    <w:uiPriority w:val="99"/>
    <w:rsid w:val="00E91A24"/>
    <w:pPr>
      <w:spacing w:after="0" w:line="240" w:lineRule="auto"/>
      <w:contextualSpacing/>
    </w:pPr>
    <w:rPr>
      <w:rFonts w:eastAsia="Times New Roman" w:cs="Times New Roman"/>
      <w:szCs w:val="24"/>
    </w:rPr>
  </w:style>
  <w:style w:type="paragraph" w:customStyle="1" w:styleId="Pa1">
    <w:name w:val="Pa1"/>
    <w:basedOn w:val="Normal"/>
    <w:next w:val="Normal"/>
    <w:uiPriority w:val="99"/>
    <w:rsid w:val="00E91A24"/>
    <w:pPr>
      <w:autoSpaceDE w:val="0"/>
      <w:autoSpaceDN w:val="0"/>
      <w:adjustRightInd w:val="0"/>
      <w:spacing w:after="0" w:line="221" w:lineRule="atLeast"/>
    </w:pPr>
    <w:rPr>
      <w:rFonts w:ascii="Helvetica LT Std Cond" w:eastAsia="Times New Roman" w:hAnsi="Helvetica LT Std Cond" w:cs="Times New Roman"/>
      <w:szCs w:val="24"/>
    </w:rPr>
  </w:style>
  <w:style w:type="character" w:customStyle="1" w:styleId="A5">
    <w:name w:val="A5"/>
    <w:uiPriority w:val="99"/>
    <w:rsid w:val="00E91A24"/>
    <w:rPr>
      <w:rFonts w:ascii="Palatino LT Std" w:hAnsi="Palatino LT Std" w:cs="Palatino LT Std"/>
      <w:color w:val="221E1F"/>
      <w:sz w:val="21"/>
      <w:szCs w:val="21"/>
    </w:rPr>
  </w:style>
  <w:style w:type="table" w:customStyle="1" w:styleId="TableGrid11">
    <w:name w:val="Table Grid11"/>
    <w:basedOn w:val="TableNormal"/>
    <w:next w:val="TableGrid"/>
    <w:uiPriority w:val="59"/>
    <w:rsid w:val="00E91A24"/>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91A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Table1">
    <w:name w:val="QuickTable1"/>
    <w:basedOn w:val="Normal"/>
    <w:link w:val="QuickTable1Char"/>
    <w:qFormat/>
    <w:rsid w:val="00E91A24"/>
    <w:pPr>
      <w:spacing w:after="0" w:line="240" w:lineRule="auto"/>
      <w:jc w:val="right"/>
    </w:pPr>
    <w:rPr>
      <w:rFonts w:eastAsia="Times New Roman" w:cs="Times New Roman"/>
      <w:szCs w:val="24"/>
    </w:rPr>
  </w:style>
  <w:style w:type="character" w:customStyle="1" w:styleId="QuickTable1Char">
    <w:name w:val="QuickTable1 Char"/>
    <w:basedOn w:val="DefaultParagraphFont"/>
    <w:link w:val="QuickTable1"/>
    <w:rsid w:val="00E91A24"/>
    <w:rPr>
      <w:rFonts w:ascii="Times New Roman" w:eastAsia="Times New Roman" w:hAnsi="Times New Roman" w:cs="Times New Roman"/>
      <w:sz w:val="24"/>
      <w:szCs w:val="24"/>
    </w:rPr>
  </w:style>
  <w:style w:type="table" w:styleId="PlainTable3">
    <w:name w:val="Plain Table 3"/>
    <w:basedOn w:val="TableNormal"/>
    <w:uiPriority w:val="43"/>
    <w:rsid w:val="00E91A2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E91A2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E91A24"/>
    <w:rPr>
      <w:color w:val="2B579A"/>
      <w:shd w:val="clear" w:color="auto" w:fill="E6E6E6"/>
    </w:rPr>
  </w:style>
  <w:style w:type="paragraph" w:customStyle="1" w:styleId="Normal2">
    <w:name w:val="Normal2"/>
    <w:basedOn w:val="Normal"/>
    <w:link w:val="Normal2Char"/>
    <w:qFormat/>
    <w:rsid w:val="00E91A24"/>
    <w:pPr>
      <w:spacing w:after="0" w:line="240" w:lineRule="auto"/>
      <w:jc w:val="center"/>
    </w:pPr>
    <w:rPr>
      <w:rFonts w:eastAsia="Times New Roman" w:cs="Times New Roman"/>
      <w:i/>
      <w:iCs/>
    </w:rPr>
  </w:style>
  <w:style w:type="character" w:customStyle="1" w:styleId="Normal2Char">
    <w:name w:val="Normal2 Char"/>
    <w:basedOn w:val="DefaultParagraphFont"/>
    <w:link w:val="Normal2"/>
    <w:rsid w:val="00E91A24"/>
    <w:rPr>
      <w:rFonts w:ascii="Times New Roman" w:eastAsia="Times New Roman" w:hAnsi="Times New Roman" w:cs="Times New Roman"/>
      <w:i/>
      <w:iCs/>
      <w:sz w:val="24"/>
    </w:rPr>
  </w:style>
  <w:style w:type="paragraph" w:styleId="IntenseQuote">
    <w:name w:val="Intense Quote"/>
    <w:basedOn w:val="Normal"/>
    <w:next w:val="Normal"/>
    <w:link w:val="IntenseQuoteChar"/>
    <w:uiPriority w:val="30"/>
    <w:qFormat/>
    <w:rsid w:val="00E91A2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91A24"/>
    <w:rPr>
      <w:rFonts w:ascii="Times New Roman" w:hAnsi="Times New Roman"/>
      <w:i/>
      <w:iCs/>
      <w:color w:val="4472C4" w:themeColor="accent1"/>
      <w:sz w:val="24"/>
    </w:rPr>
  </w:style>
  <w:style w:type="character" w:customStyle="1" w:styleId="Mention2">
    <w:name w:val="Mention2"/>
    <w:basedOn w:val="DefaultParagraphFont"/>
    <w:uiPriority w:val="99"/>
    <w:semiHidden/>
    <w:unhideWhenUsed/>
    <w:rsid w:val="00E91A24"/>
    <w:rPr>
      <w:color w:val="2B579A"/>
      <w:shd w:val="clear" w:color="auto" w:fill="E6E6E6"/>
    </w:rPr>
  </w:style>
  <w:style w:type="character" w:customStyle="1" w:styleId="Mention3">
    <w:name w:val="Mention3"/>
    <w:basedOn w:val="DefaultParagraphFont"/>
    <w:uiPriority w:val="99"/>
    <w:semiHidden/>
    <w:unhideWhenUsed/>
    <w:rsid w:val="00E91A24"/>
    <w:rPr>
      <w:color w:val="2B579A"/>
      <w:shd w:val="clear" w:color="auto" w:fill="E6E6E6"/>
    </w:rPr>
  </w:style>
  <w:style w:type="character" w:customStyle="1" w:styleId="Mention4">
    <w:name w:val="Mention4"/>
    <w:basedOn w:val="DefaultParagraphFont"/>
    <w:uiPriority w:val="99"/>
    <w:semiHidden/>
    <w:unhideWhenUsed/>
    <w:rsid w:val="00E91A24"/>
    <w:rPr>
      <w:color w:val="2B579A"/>
      <w:shd w:val="clear" w:color="auto" w:fill="E6E6E6"/>
    </w:rPr>
  </w:style>
  <w:style w:type="character" w:customStyle="1" w:styleId="Mention5">
    <w:name w:val="Mention5"/>
    <w:basedOn w:val="DefaultParagraphFont"/>
    <w:uiPriority w:val="99"/>
    <w:semiHidden/>
    <w:unhideWhenUsed/>
    <w:rsid w:val="00E91A24"/>
    <w:rPr>
      <w:color w:val="2B579A"/>
      <w:shd w:val="clear" w:color="auto" w:fill="E6E6E6"/>
    </w:rPr>
  </w:style>
  <w:style w:type="character" w:customStyle="1" w:styleId="Mention6">
    <w:name w:val="Mention6"/>
    <w:basedOn w:val="DefaultParagraphFont"/>
    <w:uiPriority w:val="99"/>
    <w:semiHidden/>
    <w:unhideWhenUsed/>
    <w:rsid w:val="00E91A24"/>
    <w:rPr>
      <w:color w:val="2B579A"/>
      <w:shd w:val="clear" w:color="auto" w:fill="E6E6E6"/>
    </w:rPr>
  </w:style>
  <w:style w:type="paragraph" w:customStyle="1" w:styleId="normalpara">
    <w:name w:val="normalpara"/>
    <w:basedOn w:val="Normal"/>
    <w:link w:val="normalparaChar"/>
    <w:rsid w:val="00E91A24"/>
    <w:pPr>
      <w:spacing w:after="240" w:line="240" w:lineRule="auto"/>
    </w:pPr>
    <w:rPr>
      <w:rFonts w:eastAsia="Times New Roman" w:cs="Times New Roman"/>
      <w:szCs w:val="24"/>
    </w:rPr>
  </w:style>
  <w:style w:type="character" w:customStyle="1" w:styleId="normalparaChar">
    <w:name w:val="normalpara Char"/>
    <w:link w:val="normalpara"/>
    <w:rsid w:val="00E91A24"/>
    <w:rPr>
      <w:rFonts w:ascii="Times New Roman" w:eastAsia="Times New Roman" w:hAnsi="Times New Roman" w:cs="Times New Roman"/>
      <w:sz w:val="24"/>
      <w:szCs w:val="24"/>
    </w:rPr>
  </w:style>
  <w:style w:type="paragraph" w:customStyle="1" w:styleId="lastpara">
    <w:name w:val="lastpara"/>
    <w:basedOn w:val="Normal"/>
    <w:link w:val="lastparaChar"/>
    <w:rsid w:val="00E91A24"/>
    <w:pPr>
      <w:spacing w:after="480" w:line="240" w:lineRule="auto"/>
    </w:pPr>
    <w:rPr>
      <w:rFonts w:eastAsia="Times New Roman" w:cs="Times New Roman"/>
      <w:szCs w:val="24"/>
    </w:rPr>
  </w:style>
  <w:style w:type="character" w:customStyle="1" w:styleId="lastparaChar">
    <w:name w:val="lastpara Char"/>
    <w:link w:val="lastpara"/>
    <w:rsid w:val="00E91A24"/>
    <w:rPr>
      <w:rFonts w:ascii="Times New Roman" w:eastAsia="Times New Roman" w:hAnsi="Times New Roman" w:cs="Times New Roman"/>
      <w:sz w:val="24"/>
      <w:szCs w:val="24"/>
    </w:rPr>
  </w:style>
  <w:style w:type="paragraph" w:customStyle="1" w:styleId="lastbullet">
    <w:name w:val="lastbullet"/>
    <w:basedOn w:val="Normal"/>
    <w:rsid w:val="00E91A24"/>
    <w:pPr>
      <w:numPr>
        <w:numId w:val="24"/>
      </w:numPr>
      <w:spacing w:after="240" w:line="240" w:lineRule="auto"/>
    </w:pPr>
    <w:rPr>
      <w:rFonts w:eastAsia="Times New Roman" w:cs="Times New Roman"/>
      <w:szCs w:val="24"/>
    </w:rPr>
  </w:style>
  <w:style w:type="character" w:customStyle="1" w:styleId="Mention7">
    <w:name w:val="Mention7"/>
    <w:basedOn w:val="DefaultParagraphFont"/>
    <w:uiPriority w:val="99"/>
    <w:semiHidden/>
    <w:unhideWhenUsed/>
    <w:rsid w:val="00E91A24"/>
    <w:rPr>
      <w:color w:val="2B579A"/>
      <w:shd w:val="clear" w:color="auto" w:fill="E6E6E6"/>
    </w:rPr>
  </w:style>
  <w:style w:type="character" w:styleId="UnresolvedMention">
    <w:name w:val="Unresolved Mention"/>
    <w:basedOn w:val="DefaultParagraphFont"/>
    <w:uiPriority w:val="99"/>
    <w:unhideWhenUsed/>
    <w:rsid w:val="00E91A24"/>
    <w:rPr>
      <w:color w:val="605E5C"/>
      <w:shd w:val="clear" w:color="auto" w:fill="E1DFDD"/>
    </w:rPr>
  </w:style>
  <w:style w:type="character" w:styleId="Mention">
    <w:name w:val="Mention"/>
    <w:basedOn w:val="DefaultParagraphFont"/>
    <w:uiPriority w:val="99"/>
    <w:unhideWhenUsed/>
    <w:rsid w:val="008E6493"/>
    <w:rPr>
      <w:color w:val="2B579A"/>
      <w:shd w:val="clear" w:color="auto" w:fill="E1DFDD"/>
    </w:rPr>
  </w:style>
  <w:style w:type="character" w:customStyle="1" w:styleId="font71">
    <w:name w:val="font71"/>
    <w:basedOn w:val="DefaultParagraphFont"/>
    <w:rsid w:val="00257B1E"/>
    <w:rPr>
      <w:rFonts w:ascii="Calibri" w:hAnsi="Calibri" w:cs="Calibri" w:hint="default"/>
      <w:b/>
      <w:bCs/>
      <w:i w:val="0"/>
      <w:iCs w:val="0"/>
      <w:strike w:val="0"/>
      <w:dstrike w:val="0"/>
      <w:color w:val="000000"/>
      <w:sz w:val="22"/>
      <w:szCs w:val="22"/>
      <w:u w:val="none"/>
      <w:effect w:val="none"/>
    </w:rPr>
  </w:style>
  <w:style w:type="character" w:customStyle="1" w:styleId="font01">
    <w:name w:val="font01"/>
    <w:basedOn w:val="DefaultParagraphFont"/>
    <w:rsid w:val="00257B1E"/>
    <w:rPr>
      <w:rFonts w:ascii="Calibri" w:hAnsi="Calibri" w:cs="Calibri" w:hint="default"/>
      <w:b w:val="0"/>
      <w:bCs w:val="0"/>
      <w:i w:val="0"/>
      <w:iCs w:val="0"/>
      <w:strike w:val="0"/>
      <w:dstrike w:val="0"/>
      <w:color w:val="000000"/>
      <w:sz w:val="22"/>
      <w:szCs w:val="22"/>
      <w:u w:val="none"/>
      <w:effect w:val="none"/>
    </w:rPr>
  </w:style>
  <w:style w:type="character" w:customStyle="1" w:styleId="normaltextrun">
    <w:name w:val="normaltextrun"/>
    <w:basedOn w:val="DefaultParagraphFont"/>
    <w:rsid w:val="00D7292B"/>
  </w:style>
  <w:style w:type="character" w:customStyle="1" w:styleId="findhit">
    <w:name w:val="findhit"/>
    <w:basedOn w:val="DefaultParagraphFont"/>
    <w:rsid w:val="00D7292B"/>
  </w:style>
  <w:style w:type="character" w:customStyle="1" w:styleId="eop">
    <w:name w:val="eop"/>
    <w:basedOn w:val="DefaultParagraphFont"/>
    <w:rsid w:val="00D72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2085">
      <w:bodyDiv w:val="1"/>
      <w:marLeft w:val="0"/>
      <w:marRight w:val="0"/>
      <w:marTop w:val="0"/>
      <w:marBottom w:val="0"/>
      <w:divBdr>
        <w:top w:val="none" w:sz="0" w:space="0" w:color="auto"/>
        <w:left w:val="none" w:sz="0" w:space="0" w:color="auto"/>
        <w:bottom w:val="none" w:sz="0" w:space="0" w:color="auto"/>
        <w:right w:val="none" w:sz="0" w:space="0" w:color="auto"/>
      </w:divBdr>
    </w:div>
    <w:div w:id="200441376">
      <w:bodyDiv w:val="1"/>
      <w:marLeft w:val="0"/>
      <w:marRight w:val="0"/>
      <w:marTop w:val="0"/>
      <w:marBottom w:val="0"/>
      <w:divBdr>
        <w:top w:val="none" w:sz="0" w:space="0" w:color="auto"/>
        <w:left w:val="none" w:sz="0" w:space="0" w:color="auto"/>
        <w:bottom w:val="none" w:sz="0" w:space="0" w:color="auto"/>
        <w:right w:val="none" w:sz="0" w:space="0" w:color="auto"/>
      </w:divBdr>
    </w:div>
    <w:div w:id="404836789">
      <w:bodyDiv w:val="1"/>
      <w:marLeft w:val="0"/>
      <w:marRight w:val="0"/>
      <w:marTop w:val="0"/>
      <w:marBottom w:val="0"/>
      <w:divBdr>
        <w:top w:val="none" w:sz="0" w:space="0" w:color="auto"/>
        <w:left w:val="none" w:sz="0" w:space="0" w:color="auto"/>
        <w:bottom w:val="none" w:sz="0" w:space="0" w:color="auto"/>
        <w:right w:val="none" w:sz="0" w:space="0" w:color="auto"/>
      </w:divBdr>
    </w:div>
    <w:div w:id="1290546819">
      <w:bodyDiv w:val="1"/>
      <w:marLeft w:val="0"/>
      <w:marRight w:val="0"/>
      <w:marTop w:val="0"/>
      <w:marBottom w:val="0"/>
      <w:divBdr>
        <w:top w:val="none" w:sz="0" w:space="0" w:color="auto"/>
        <w:left w:val="none" w:sz="0" w:space="0" w:color="auto"/>
        <w:bottom w:val="none" w:sz="0" w:space="0" w:color="auto"/>
        <w:right w:val="none" w:sz="0" w:space="0" w:color="auto"/>
      </w:divBdr>
    </w:div>
    <w:div w:id="200901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s://crashstats.nhtsa.dot.gov/Api/Public/ViewPublication/809639" TargetMode="External"/><Relationship Id="rId13" Type="http://schemas.openxmlformats.org/officeDocument/2006/relationships/hyperlink" Target="https://crashstats.nhtsa.dot.gov/Api/Public/ViewPublication/812546" TargetMode="External"/><Relationship Id="rId3" Type="http://schemas.openxmlformats.org/officeDocument/2006/relationships/hyperlink" Target="https://www.regulations.gov/document/NHTSA-2015-0056-0002" TargetMode="External"/><Relationship Id="rId7" Type="http://schemas.openxmlformats.org/officeDocument/2006/relationships/hyperlink" Target="https://meps.ahrq.gov/data_files/publications/st62/stat62.shtml" TargetMode="External"/><Relationship Id="rId12" Type="http://schemas.openxmlformats.org/officeDocument/2006/relationships/hyperlink" Target="https://crashstats.nhtsa.dot.gov/Api/Public/ViewPublication/812244" TargetMode="External"/><Relationship Id="rId2" Type="http://schemas.openxmlformats.org/officeDocument/2006/relationships/hyperlink" Target="http://www.safercar.gov/Vehicle-Shoppers/Resources/Vehicles-with-ESC" TargetMode="External"/><Relationship Id="rId16" Type="http://schemas.openxmlformats.org/officeDocument/2006/relationships/hyperlink" Target="https://crashstats.nhtsa.dot.gov/Api/Public/ViewPublication/812369" TargetMode="External"/><Relationship Id="rId1" Type="http://schemas.openxmlformats.org/officeDocument/2006/relationships/hyperlink" Target="https://www.nhtsa.gov/sites/nhtsa.dot.gov/files/esc_fr_03_2007.pdf" TargetMode="External"/><Relationship Id="rId6" Type="http://schemas.openxmlformats.org/officeDocument/2006/relationships/hyperlink" Target="https://www.regulations.gov/document/NHTSA-2009-0093-0004" TargetMode="External"/><Relationship Id="rId11" Type="http://schemas.openxmlformats.org/officeDocument/2006/relationships/hyperlink" Target="http://compliance-sec.com/secfilings/company/slnn/link_files/2015/07-14-2015/Form10-K/Form10-K.pdf" TargetMode="External"/><Relationship Id="rId5" Type="http://schemas.openxmlformats.org/officeDocument/2006/relationships/hyperlink" Target="https://www.regulations.gov/document/NHTSA-2011-0004-0003" TargetMode="External"/><Relationship Id="rId15" Type="http://schemas.openxmlformats.org/officeDocument/2006/relationships/hyperlink" Target="https://crashstats.nhtsa.dot.gov/Api/Public/ViewPublication/809639" TargetMode="External"/><Relationship Id="rId10" Type="http://schemas.openxmlformats.org/officeDocument/2006/relationships/hyperlink" Target="https://www.transportation.gov/sites/dot.gov/files/docs/2016%20Revised%20Value%20of%20a%20Statistical%20Life%20Guidance.pdf" TargetMode="External"/><Relationship Id="rId4" Type="http://schemas.openxmlformats.org/officeDocument/2006/relationships/hyperlink" Target="https://www.regulations.gov/document/NHTSA-2007-29134-0004" TargetMode="External"/><Relationship Id="rId9" Type="http://schemas.openxmlformats.org/officeDocument/2006/relationships/hyperlink" Target="https://www.transportation.gov/regulations/economic-values-used-in-analysis" TargetMode="External"/><Relationship Id="rId14" Type="http://schemas.openxmlformats.org/officeDocument/2006/relationships/hyperlink" Target="https://meps.ahrq.gov/data_files/publications/st62/stat62.s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our.dot.gov/office/nhtsa.nvs/NVS-100/NVS-110/SBReminderNPRM/Shared%20Documents/ORAE%20SBWS/SBWS%20CBA%20(JRR)%20v3.1%202018-05-25%20Sharepoint%20erro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our.dot.gov/office/nhtsa.nvs/NVS-100/NVS-110/SBReminderNPRM/Shared%20Documents/ORAE%20SBWS/SBWS%20CBA%20(JRR)%20v4.7%202018-12-04%20Correction%20-%20Land%20Rover%20Discovery%20does%20not%20have%20OccDe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'ESC Take Rate (Wards)'!$M$6</c:f>
              <c:strCache>
                <c:ptCount val="1"/>
                <c:pt idx="0">
                  <c:v>PC % ESC</c:v>
                </c:pt>
              </c:strCache>
            </c:strRef>
          </c:tx>
          <c:spPr>
            <a:ln w="22225" cap="rnd">
              <a:solidFill>
                <a:schemeClr val="accent6"/>
              </a:solidFill>
              <a:round/>
            </a:ln>
            <a:effectLst/>
          </c:spPr>
          <c:marker>
            <c:symbol val="diamond"/>
            <c:size val="6"/>
            <c:spPr>
              <a:solidFill>
                <a:schemeClr val="accent6"/>
              </a:solidFill>
              <a:ln w="9525">
                <a:solidFill>
                  <a:schemeClr val="accent6"/>
                </a:solidFill>
                <a:round/>
              </a:ln>
              <a:effectLst/>
            </c:spPr>
          </c:marker>
          <c:cat>
            <c:strRef>
              <c:f>'ESC Take Rate (Wards)'!$A$7:$A$16</c:f>
              <c:strCache>
                <c:ptCount val="10"/>
                <c:pt idx="0">
                  <c:v>MY 2012</c:v>
                </c:pt>
                <c:pt idx="1">
                  <c:v>MY 2011</c:v>
                </c:pt>
                <c:pt idx="2">
                  <c:v>MY 2010</c:v>
                </c:pt>
                <c:pt idx="3">
                  <c:v>MY 2009</c:v>
                </c:pt>
                <c:pt idx="4">
                  <c:v>MY 2008</c:v>
                </c:pt>
                <c:pt idx="5">
                  <c:v>MY 2007</c:v>
                </c:pt>
                <c:pt idx="6">
                  <c:v>MY 2006</c:v>
                </c:pt>
                <c:pt idx="7">
                  <c:v>MY 2005</c:v>
                </c:pt>
                <c:pt idx="8">
                  <c:v>MY 2004</c:v>
                </c:pt>
                <c:pt idx="9">
                  <c:v>MY 2003</c:v>
                </c:pt>
              </c:strCache>
            </c:strRef>
          </c:cat>
          <c:val>
            <c:numRef>
              <c:f>'ESC Take Rate (Wards)'!$M$7:$M$16</c:f>
              <c:numCache>
                <c:formatCode>0%</c:formatCode>
                <c:ptCount val="10"/>
                <c:pt idx="0">
                  <c:v>1</c:v>
                </c:pt>
                <c:pt idx="1">
                  <c:v>0.92263192253342619</c:v>
                </c:pt>
                <c:pt idx="2">
                  <c:v>0.76131961749010113</c:v>
                </c:pt>
                <c:pt idx="3">
                  <c:v>0.47028041031028622</c:v>
                </c:pt>
                <c:pt idx="4">
                  <c:v>0.24889363271232265</c:v>
                </c:pt>
                <c:pt idx="5">
                  <c:v>0.22144160735746432</c:v>
                </c:pt>
                <c:pt idx="6">
                  <c:v>0.2026930877758816</c:v>
                </c:pt>
                <c:pt idx="7">
                  <c:v>0.14309618150158179</c:v>
                </c:pt>
                <c:pt idx="8">
                  <c:v>0.16414141548020772</c:v>
                </c:pt>
                <c:pt idx="9">
                  <c:v>0.11388945986028026</c:v>
                </c:pt>
              </c:numCache>
            </c:numRef>
          </c:val>
          <c:smooth val="0"/>
          <c:extLst>
            <c:ext xmlns:c16="http://schemas.microsoft.com/office/drawing/2014/chart" uri="{C3380CC4-5D6E-409C-BE32-E72D297353CC}">
              <c16:uniqueId val="{00000000-E418-412B-B28F-CE1BFC696FAC}"/>
            </c:ext>
          </c:extLst>
        </c:ser>
        <c:ser>
          <c:idx val="1"/>
          <c:order val="1"/>
          <c:tx>
            <c:strRef>
              <c:f>'ESC Take Rate (Wards)'!$P$6</c:f>
              <c:strCache>
                <c:ptCount val="1"/>
                <c:pt idx="0">
                  <c:v>LTV % ESC</c:v>
                </c:pt>
              </c:strCache>
            </c:strRef>
          </c:tx>
          <c:spPr>
            <a:ln w="22225" cap="rnd">
              <a:solidFill>
                <a:schemeClr val="accent5"/>
              </a:solidFill>
              <a:round/>
            </a:ln>
            <a:effectLst/>
          </c:spPr>
          <c:marker>
            <c:symbol val="square"/>
            <c:size val="6"/>
            <c:spPr>
              <a:solidFill>
                <a:schemeClr val="accent5"/>
              </a:solidFill>
              <a:ln w="9525">
                <a:solidFill>
                  <a:schemeClr val="accent5"/>
                </a:solidFill>
                <a:round/>
              </a:ln>
              <a:effectLst/>
            </c:spPr>
          </c:marker>
          <c:cat>
            <c:strRef>
              <c:f>'ESC Take Rate (Wards)'!$A$7:$A$16</c:f>
              <c:strCache>
                <c:ptCount val="10"/>
                <c:pt idx="0">
                  <c:v>MY 2012</c:v>
                </c:pt>
                <c:pt idx="1">
                  <c:v>MY 2011</c:v>
                </c:pt>
                <c:pt idx="2">
                  <c:v>MY 2010</c:v>
                </c:pt>
                <c:pt idx="3">
                  <c:v>MY 2009</c:v>
                </c:pt>
                <c:pt idx="4">
                  <c:v>MY 2008</c:v>
                </c:pt>
                <c:pt idx="5">
                  <c:v>MY 2007</c:v>
                </c:pt>
                <c:pt idx="6">
                  <c:v>MY 2006</c:v>
                </c:pt>
                <c:pt idx="7">
                  <c:v>MY 2005</c:v>
                </c:pt>
                <c:pt idx="8">
                  <c:v>MY 2004</c:v>
                </c:pt>
                <c:pt idx="9">
                  <c:v>MY 2003</c:v>
                </c:pt>
              </c:strCache>
            </c:strRef>
          </c:cat>
          <c:val>
            <c:numRef>
              <c:f>'ESC Take Rate (Wards)'!$P$7:$P$16</c:f>
              <c:numCache>
                <c:formatCode>0%</c:formatCode>
                <c:ptCount val="10"/>
                <c:pt idx="0">
                  <c:v>1</c:v>
                </c:pt>
                <c:pt idx="1">
                  <c:v>0.93606084680971913</c:v>
                </c:pt>
                <c:pt idx="2">
                  <c:v>0.8734276708897688</c:v>
                </c:pt>
                <c:pt idx="3">
                  <c:v>0.84620304888802778</c:v>
                </c:pt>
                <c:pt idx="4">
                  <c:v>0.69300054425731872</c:v>
                </c:pt>
                <c:pt idx="5">
                  <c:v>0.53480408680546332</c:v>
                </c:pt>
                <c:pt idx="6">
                  <c:v>0.33650804517530675</c:v>
                </c:pt>
                <c:pt idx="7">
                  <c:v>0.21584087195707707</c:v>
                </c:pt>
                <c:pt idx="8">
                  <c:v>0.16845455131500953</c:v>
                </c:pt>
                <c:pt idx="9">
                  <c:v>0.1072577748869292</c:v>
                </c:pt>
              </c:numCache>
            </c:numRef>
          </c:val>
          <c:smooth val="0"/>
          <c:extLst>
            <c:ext xmlns:c16="http://schemas.microsoft.com/office/drawing/2014/chart" uri="{C3380CC4-5D6E-409C-BE32-E72D297353CC}">
              <c16:uniqueId val="{00000002-E418-412B-B28F-CE1BFC696FAC}"/>
            </c:ext>
          </c:extLst>
        </c:ser>
        <c:dLbls>
          <c:showLegendKey val="0"/>
          <c:showVal val="0"/>
          <c:showCatName val="0"/>
          <c:showSerName val="0"/>
          <c:showPercent val="0"/>
          <c:showBubbleSize val="0"/>
        </c:dLbls>
        <c:marker val="1"/>
        <c:smooth val="0"/>
        <c:axId val="988816704"/>
        <c:axId val="988818672"/>
      </c:lineChart>
      <c:catAx>
        <c:axId val="988816704"/>
        <c:scaling>
          <c:orientation val="maxMin"/>
        </c:scaling>
        <c:delete val="0"/>
        <c:axPos val="b"/>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988818672"/>
        <c:crosses val="autoZero"/>
        <c:auto val="1"/>
        <c:lblAlgn val="ctr"/>
        <c:lblOffset val="100"/>
        <c:noMultiLvlLbl val="0"/>
      </c:catAx>
      <c:valAx>
        <c:axId val="988818672"/>
        <c:scaling>
          <c:orientation val="minMax"/>
          <c:max val="1"/>
        </c:scaling>
        <c:delete val="0"/>
        <c:axPos val="r"/>
        <c:numFmt formatCode="0%" sourceLinked="1"/>
        <c:majorTickMark val="none"/>
        <c:minorTickMark val="none"/>
        <c:tickLblPos val="nextTo"/>
        <c:spPr>
          <a:noFill/>
          <a:ln w="9525">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88167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Effectiveness!$AA$9</c:f>
              <c:strCache>
                <c:ptCount val="1"/>
                <c:pt idx="0">
                  <c:v>Lo</c:v>
                </c:pt>
              </c:strCache>
            </c:strRef>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backward val="0.2"/>
            <c:dispRSqr val="0"/>
            <c:dispEq val="1"/>
            <c:trendlineLbl>
              <c:layout>
                <c:manualLayout>
                  <c:x val="-0.40723593289291599"/>
                  <c:y val="-0.14443785927143177"/>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Effectiveness!$Z$10:$Z$12</c:f>
              <c:numCache>
                <c:formatCode>General</c:formatCode>
                <c:ptCount val="3"/>
                <c:pt idx="0" formatCode="0%">
                  <c:v>0.85409721421709972</c:v>
                </c:pt>
                <c:pt idx="1">
                  <c:v>1</c:v>
                </c:pt>
                <c:pt idx="2" formatCode="0%">
                  <c:v>0.75120000000000009</c:v>
                </c:pt>
              </c:numCache>
            </c:numRef>
          </c:xVal>
          <c:yVal>
            <c:numRef>
              <c:f>Effectiveness!$AA$10:$AA$12</c:f>
              <c:numCache>
                <c:formatCode>General</c:formatCode>
                <c:ptCount val="3"/>
                <c:pt idx="0">
                  <c:v>0.02</c:v>
                </c:pt>
                <c:pt idx="1">
                  <c:v>0</c:v>
                </c:pt>
                <c:pt idx="2" formatCode="0.0000%">
                  <c:v>3.4104900556211196E-2</c:v>
                </c:pt>
              </c:numCache>
            </c:numRef>
          </c:yVal>
          <c:smooth val="0"/>
          <c:extLst>
            <c:ext xmlns:c16="http://schemas.microsoft.com/office/drawing/2014/chart" uri="{C3380CC4-5D6E-409C-BE32-E72D297353CC}">
              <c16:uniqueId val="{00000001-AF0C-4B3C-BEC5-7CC5AD56BBDE}"/>
            </c:ext>
          </c:extLst>
        </c:ser>
        <c:ser>
          <c:idx val="1"/>
          <c:order val="1"/>
          <c:tx>
            <c:strRef>
              <c:f>Effectiveness!$AB$9</c:f>
              <c:strCache>
                <c:ptCount val="1"/>
                <c:pt idx="0">
                  <c:v>Hi</c:v>
                </c:pt>
              </c:strCache>
            </c:strRef>
          </c:tx>
          <c:spPr>
            <a:ln w="2540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backward val="0.2"/>
            <c:dispRSqr val="0"/>
            <c:dispEq val="1"/>
            <c:trendlineLbl>
              <c:layout>
                <c:manualLayout>
                  <c:x val="-0.32430084037784074"/>
                  <c:y val="-0.39696213995887258"/>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Effectiveness!$Z$10:$Z$12</c:f>
              <c:numCache>
                <c:formatCode>General</c:formatCode>
                <c:ptCount val="3"/>
                <c:pt idx="0" formatCode="0%">
                  <c:v>0.85409721421709972</c:v>
                </c:pt>
                <c:pt idx="1">
                  <c:v>1</c:v>
                </c:pt>
                <c:pt idx="2" formatCode="0%">
                  <c:v>0.75120000000000009</c:v>
                </c:pt>
              </c:numCache>
            </c:numRef>
          </c:xVal>
          <c:yVal>
            <c:numRef>
              <c:f>Effectiveness!$AB$10:$AB$12</c:f>
              <c:numCache>
                <c:formatCode>General</c:formatCode>
                <c:ptCount val="3"/>
                <c:pt idx="0">
                  <c:v>0.03</c:v>
                </c:pt>
                <c:pt idx="1">
                  <c:v>0</c:v>
                </c:pt>
                <c:pt idx="2" formatCode="0.0000%">
                  <c:v>5.11573508343168E-2</c:v>
                </c:pt>
              </c:numCache>
            </c:numRef>
          </c:yVal>
          <c:smooth val="0"/>
          <c:extLst>
            <c:ext xmlns:c16="http://schemas.microsoft.com/office/drawing/2014/chart" uri="{C3380CC4-5D6E-409C-BE32-E72D297353CC}">
              <c16:uniqueId val="{00000003-AF0C-4B3C-BEC5-7CC5AD56BBDE}"/>
            </c:ext>
          </c:extLst>
        </c:ser>
        <c:dLbls>
          <c:showLegendKey val="0"/>
          <c:showVal val="0"/>
          <c:showCatName val="0"/>
          <c:showSerName val="0"/>
          <c:showPercent val="0"/>
          <c:showBubbleSize val="0"/>
        </c:dLbls>
        <c:axId val="580843352"/>
        <c:axId val="580842368"/>
      </c:scatterChart>
      <c:valAx>
        <c:axId val="580843352"/>
        <c:scaling>
          <c:orientation val="minMax"/>
          <c:min val="0.60000000000000009"/>
        </c:scaling>
        <c:delete val="0"/>
        <c:axPos val="b"/>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0842368"/>
        <c:crosses val="autoZero"/>
        <c:crossBetween val="midCat"/>
      </c:valAx>
      <c:valAx>
        <c:axId val="580842368"/>
        <c:scaling>
          <c:orientation val="minMax"/>
          <c:max val="0.1"/>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084335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spPr>
      <a:ln w="9525">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8E0B04E1D228419056F4B2B7259673" ma:contentTypeVersion="9" ma:contentTypeDescription="Create a new document." ma:contentTypeScope="" ma:versionID="87653c362908b9e660172dd418653ea9">
  <xsd:schema xmlns:xsd="http://www.w3.org/2001/XMLSchema" xmlns:xs="http://www.w3.org/2001/XMLSchema" xmlns:p="http://schemas.microsoft.com/office/2006/metadata/properties" xmlns:ns2="fa11aae3-bea3-45b1-9bc8-cc8850364412" xmlns:ns3="b061ecf3-0187-4704-9122-209b1de9f69e" targetNamespace="http://schemas.microsoft.com/office/2006/metadata/properties" ma:root="true" ma:fieldsID="dfdd4c598974ccac43453a80b136833c" ns2:_="" ns3:_="">
    <xsd:import namespace="fa11aae3-bea3-45b1-9bc8-cc8850364412"/>
    <xsd:import namespace="b061ecf3-0187-4704-9122-209b1de9f6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1aae3-bea3-45b1-9bc8-cc8850364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61ecf3-0187-4704-9122-209b1de9f6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061ecf3-0187-4704-9122-209b1de9f69e">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00BBF-69C0-41EE-8F07-8CF11465535F}">
  <ds:schemaRefs>
    <ds:schemaRef ds:uri="http://schemas.microsoft.com/sharepoint/v3/contenttype/forms"/>
  </ds:schemaRefs>
</ds:datastoreItem>
</file>

<file path=customXml/itemProps2.xml><?xml version="1.0" encoding="utf-8"?>
<ds:datastoreItem xmlns:ds="http://schemas.openxmlformats.org/officeDocument/2006/customXml" ds:itemID="{021D630C-4E8E-4937-B6ED-9535F2280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1aae3-bea3-45b1-9bc8-cc8850364412"/>
    <ds:schemaRef ds:uri="b061ecf3-0187-4704-9122-209b1de9f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B2064A-B98D-4F64-AA95-9F8AC1AF0251}">
  <ds:schemaRefs>
    <ds:schemaRef ds:uri="http://schemas.microsoft.com/office/2006/metadata/properties"/>
    <ds:schemaRef ds:uri="http://schemas.microsoft.com/office/infopath/2007/PartnerControls"/>
    <ds:schemaRef ds:uri="b061ecf3-0187-4704-9122-209b1de9f69e"/>
  </ds:schemaRefs>
</ds:datastoreItem>
</file>

<file path=customXml/itemProps4.xml><?xml version="1.0" encoding="utf-8"?>
<ds:datastoreItem xmlns:ds="http://schemas.openxmlformats.org/officeDocument/2006/customXml" ds:itemID="{B903058F-080C-4609-B2B5-ED32012A7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202</Pages>
  <Words>54461</Words>
  <Characters>277209</Characters>
  <Application>Microsoft Office Word</Application>
  <DocSecurity>0</DocSecurity>
  <Lines>17325</Lines>
  <Paragraphs>15793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315877</CharactersWithSpaces>
  <SharedDoc>false</SharedDoc>
  <HLinks>
    <vt:vector size="486" baseType="variant">
      <vt:variant>
        <vt:i4>1179696</vt:i4>
      </vt:variant>
      <vt:variant>
        <vt:i4>380</vt:i4>
      </vt:variant>
      <vt:variant>
        <vt:i4>0</vt:i4>
      </vt:variant>
      <vt:variant>
        <vt:i4>5</vt:i4>
      </vt:variant>
      <vt:variant>
        <vt:lpwstr/>
      </vt:variant>
      <vt:variant>
        <vt:lpwstr>_Toc130390855</vt:lpwstr>
      </vt:variant>
      <vt:variant>
        <vt:i4>1179696</vt:i4>
      </vt:variant>
      <vt:variant>
        <vt:i4>374</vt:i4>
      </vt:variant>
      <vt:variant>
        <vt:i4>0</vt:i4>
      </vt:variant>
      <vt:variant>
        <vt:i4>5</vt:i4>
      </vt:variant>
      <vt:variant>
        <vt:lpwstr/>
      </vt:variant>
      <vt:variant>
        <vt:lpwstr>_Toc130390854</vt:lpwstr>
      </vt:variant>
      <vt:variant>
        <vt:i4>1179696</vt:i4>
      </vt:variant>
      <vt:variant>
        <vt:i4>368</vt:i4>
      </vt:variant>
      <vt:variant>
        <vt:i4>0</vt:i4>
      </vt:variant>
      <vt:variant>
        <vt:i4>5</vt:i4>
      </vt:variant>
      <vt:variant>
        <vt:lpwstr/>
      </vt:variant>
      <vt:variant>
        <vt:lpwstr>_Toc130390853</vt:lpwstr>
      </vt:variant>
      <vt:variant>
        <vt:i4>1179696</vt:i4>
      </vt:variant>
      <vt:variant>
        <vt:i4>362</vt:i4>
      </vt:variant>
      <vt:variant>
        <vt:i4>0</vt:i4>
      </vt:variant>
      <vt:variant>
        <vt:i4>5</vt:i4>
      </vt:variant>
      <vt:variant>
        <vt:lpwstr/>
      </vt:variant>
      <vt:variant>
        <vt:lpwstr>_Toc130390852</vt:lpwstr>
      </vt:variant>
      <vt:variant>
        <vt:i4>1179696</vt:i4>
      </vt:variant>
      <vt:variant>
        <vt:i4>356</vt:i4>
      </vt:variant>
      <vt:variant>
        <vt:i4>0</vt:i4>
      </vt:variant>
      <vt:variant>
        <vt:i4>5</vt:i4>
      </vt:variant>
      <vt:variant>
        <vt:lpwstr/>
      </vt:variant>
      <vt:variant>
        <vt:lpwstr>_Toc130390851</vt:lpwstr>
      </vt:variant>
      <vt:variant>
        <vt:i4>1179696</vt:i4>
      </vt:variant>
      <vt:variant>
        <vt:i4>350</vt:i4>
      </vt:variant>
      <vt:variant>
        <vt:i4>0</vt:i4>
      </vt:variant>
      <vt:variant>
        <vt:i4>5</vt:i4>
      </vt:variant>
      <vt:variant>
        <vt:lpwstr/>
      </vt:variant>
      <vt:variant>
        <vt:lpwstr>_Toc130390850</vt:lpwstr>
      </vt:variant>
      <vt:variant>
        <vt:i4>1245232</vt:i4>
      </vt:variant>
      <vt:variant>
        <vt:i4>344</vt:i4>
      </vt:variant>
      <vt:variant>
        <vt:i4>0</vt:i4>
      </vt:variant>
      <vt:variant>
        <vt:i4>5</vt:i4>
      </vt:variant>
      <vt:variant>
        <vt:lpwstr/>
      </vt:variant>
      <vt:variant>
        <vt:lpwstr>_Toc130390849</vt:lpwstr>
      </vt:variant>
      <vt:variant>
        <vt:i4>1245232</vt:i4>
      </vt:variant>
      <vt:variant>
        <vt:i4>338</vt:i4>
      </vt:variant>
      <vt:variant>
        <vt:i4>0</vt:i4>
      </vt:variant>
      <vt:variant>
        <vt:i4>5</vt:i4>
      </vt:variant>
      <vt:variant>
        <vt:lpwstr/>
      </vt:variant>
      <vt:variant>
        <vt:lpwstr>_Toc130390848</vt:lpwstr>
      </vt:variant>
      <vt:variant>
        <vt:i4>1245232</vt:i4>
      </vt:variant>
      <vt:variant>
        <vt:i4>332</vt:i4>
      </vt:variant>
      <vt:variant>
        <vt:i4>0</vt:i4>
      </vt:variant>
      <vt:variant>
        <vt:i4>5</vt:i4>
      </vt:variant>
      <vt:variant>
        <vt:lpwstr/>
      </vt:variant>
      <vt:variant>
        <vt:lpwstr>_Toc130390847</vt:lpwstr>
      </vt:variant>
      <vt:variant>
        <vt:i4>1245232</vt:i4>
      </vt:variant>
      <vt:variant>
        <vt:i4>326</vt:i4>
      </vt:variant>
      <vt:variant>
        <vt:i4>0</vt:i4>
      </vt:variant>
      <vt:variant>
        <vt:i4>5</vt:i4>
      </vt:variant>
      <vt:variant>
        <vt:lpwstr/>
      </vt:variant>
      <vt:variant>
        <vt:lpwstr>_Toc130390846</vt:lpwstr>
      </vt:variant>
      <vt:variant>
        <vt:i4>1245232</vt:i4>
      </vt:variant>
      <vt:variant>
        <vt:i4>320</vt:i4>
      </vt:variant>
      <vt:variant>
        <vt:i4>0</vt:i4>
      </vt:variant>
      <vt:variant>
        <vt:i4>5</vt:i4>
      </vt:variant>
      <vt:variant>
        <vt:lpwstr/>
      </vt:variant>
      <vt:variant>
        <vt:lpwstr>_Toc130390845</vt:lpwstr>
      </vt:variant>
      <vt:variant>
        <vt:i4>1245232</vt:i4>
      </vt:variant>
      <vt:variant>
        <vt:i4>314</vt:i4>
      </vt:variant>
      <vt:variant>
        <vt:i4>0</vt:i4>
      </vt:variant>
      <vt:variant>
        <vt:i4>5</vt:i4>
      </vt:variant>
      <vt:variant>
        <vt:lpwstr/>
      </vt:variant>
      <vt:variant>
        <vt:lpwstr>_Toc130390844</vt:lpwstr>
      </vt:variant>
      <vt:variant>
        <vt:i4>1245232</vt:i4>
      </vt:variant>
      <vt:variant>
        <vt:i4>308</vt:i4>
      </vt:variant>
      <vt:variant>
        <vt:i4>0</vt:i4>
      </vt:variant>
      <vt:variant>
        <vt:i4>5</vt:i4>
      </vt:variant>
      <vt:variant>
        <vt:lpwstr/>
      </vt:variant>
      <vt:variant>
        <vt:lpwstr>_Toc130390843</vt:lpwstr>
      </vt:variant>
      <vt:variant>
        <vt:i4>1245232</vt:i4>
      </vt:variant>
      <vt:variant>
        <vt:i4>302</vt:i4>
      </vt:variant>
      <vt:variant>
        <vt:i4>0</vt:i4>
      </vt:variant>
      <vt:variant>
        <vt:i4>5</vt:i4>
      </vt:variant>
      <vt:variant>
        <vt:lpwstr/>
      </vt:variant>
      <vt:variant>
        <vt:lpwstr>_Toc130390842</vt:lpwstr>
      </vt:variant>
      <vt:variant>
        <vt:i4>1245232</vt:i4>
      </vt:variant>
      <vt:variant>
        <vt:i4>296</vt:i4>
      </vt:variant>
      <vt:variant>
        <vt:i4>0</vt:i4>
      </vt:variant>
      <vt:variant>
        <vt:i4>5</vt:i4>
      </vt:variant>
      <vt:variant>
        <vt:lpwstr/>
      </vt:variant>
      <vt:variant>
        <vt:lpwstr>_Toc130390841</vt:lpwstr>
      </vt:variant>
      <vt:variant>
        <vt:i4>1245232</vt:i4>
      </vt:variant>
      <vt:variant>
        <vt:i4>290</vt:i4>
      </vt:variant>
      <vt:variant>
        <vt:i4>0</vt:i4>
      </vt:variant>
      <vt:variant>
        <vt:i4>5</vt:i4>
      </vt:variant>
      <vt:variant>
        <vt:lpwstr/>
      </vt:variant>
      <vt:variant>
        <vt:lpwstr>_Toc130390840</vt:lpwstr>
      </vt:variant>
      <vt:variant>
        <vt:i4>1310768</vt:i4>
      </vt:variant>
      <vt:variant>
        <vt:i4>284</vt:i4>
      </vt:variant>
      <vt:variant>
        <vt:i4>0</vt:i4>
      </vt:variant>
      <vt:variant>
        <vt:i4>5</vt:i4>
      </vt:variant>
      <vt:variant>
        <vt:lpwstr/>
      </vt:variant>
      <vt:variant>
        <vt:lpwstr>_Toc130390839</vt:lpwstr>
      </vt:variant>
      <vt:variant>
        <vt:i4>1310768</vt:i4>
      </vt:variant>
      <vt:variant>
        <vt:i4>278</vt:i4>
      </vt:variant>
      <vt:variant>
        <vt:i4>0</vt:i4>
      </vt:variant>
      <vt:variant>
        <vt:i4>5</vt:i4>
      </vt:variant>
      <vt:variant>
        <vt:lpwstr/>
      </vt:variant>
      <vt:variant>
        <vt:lpwstr>_Toc130390838</vt:lpwstr>
      </vt:variant>
      <vt:variant>
        <vt:i4>1310768</vt:i4>
      </vt:variant>
      <vt:variant>
        <vt:i4>272</vt:i4>
      </vt:variant>
      <vt:variant>
        <vt:i4>0</vt:i4>
      </vt:variant>
      <vt:variant>
        <vt:i4>5</vt:i4>
      </vt:variant>
      <vt:variant>
        <vt:lpwstr/>
      </vt:variant>
      <vt:variant>
        <vt:lpwstr>_Toc130390837</vt:lpwstr>
      </vt:variant>
      <vt:variant>
        <vt:i4>1310768</vt:i4>
      </vt:variant>
      <vt:variant>
        <vt:i4>266</vt:i4>
      </vt:variant>
      <vt:variant>
        <vt:i4>0</vt:i4>
      </vt:variant>
      <vt:variant>
        <vt:i4>5</vt:i4>
      </vt:variant>
      <vt:variant>
        <vt:lpwstr/>
      </vt:variant>
      <vt:variant>
        <vt:lpwstr>_Toc130390836</vt:lpwstr>
      </vt:variant>
      <vt:variant>
        <vt:i4>1310768</vt:i4>
      </vt:variant>
      <vt:variant>
        <vt:i4>260</vt:i4>
      </vt:variant>
      <vt:variant>
        <vt:i4>0</vt:i4>
      </vt:variant>
      <vt:variant>
        <vt:i4>5</vt:i4>
      </vt:variant>
      <vt:variant>
        <vt:lpwstr/>
      </vt:variant>
      <vt:variant>
        <vt:lpwstr>_Toc130390835</vt:lpwstr>
      </vt:variant>
      <vt:variant>
        <vt:i4>1310768</vt:i4>
      </vt:variant>
      <vt:variant>
        <vt:i4>254</vt:i4>
      </vt:variant>
      <vt:variant>
        <vt:i4>0</vt:i4>
      </vt:variant>
      <vt:variant>
        <vt:i4>5</vt:i4>
      </vt:variant>
      <vt:variant>
        <vt:lpwstr/>
      </vt:variant>
      <vt:variant>
        <vt:lpwstr>_Toc130390834</vt:lpwstr>
      </vt:variant>
      <vt:variant>
        <vt:i4>1310768</vt:i4>
      </vt:variant>
      <vt:variant>
        <vt:i4>248</vt:i4>
      </vt:variant>
      <vt:variant>
        <vt:i4>0</vt:i4>
      </vt:variant>
      <vt:variant>
        <vt:i4>5</vt:i4>
      </vt:variant>
      <vt:variant>
        <vt:lpwstr/>
      </vt:variant>
      <vt:variant>
        <vt:lpwstr>_Toc130390833</vt:lpwstr>
      </vt:variant>
      <vt:variant>
        <vt:i4>1310768</vt:i4>
      </vt:variant>
      <vt:variant>
        <vt:i4>242</vt:i4>
      </vt:variant>
      <vt:variant>
        <vt:i4>0</vt:i4>
      </vt:variant>
      <vt:variant>
        <vt:i4>5</vt:i4>
      </vt:variant>
      <vt:variant>
        <vt:lpwstr/>
      </vt:variant>
      <vt:variant>
        <vt:lpwstr>_Toc130390832</vt:lpwstr>
      </vt:variant>
      <vt:variant>
        <vt:i4>1310768</vt:i4>
      </vt:variant>
      <vt:variant>
        <vt:i4>236</vt:i4>
      </vt:variant>
      <vt:variant>
        <vt:i4>0</vt:i4>
      </vt:variant>
      <vt:variant>
        <vt:i4>5</vt:i4>
      </vt:variant>
      <vt:variant>
        <vt:lpwstr/>
      </vt:variant>
      <vt:variant>
        <vt:lpwstr>_Toc130390831</vt:lpwstr>
      </vt:variant>
      <vt:variant>
        <vt:i4>1310768</vt:i4>
      </vt:variant>
      <vt:variant>
        <vt:i4>230</vt:i4>
      </vt:variant>
      <vt:variant>
        <vt:i4>0</vt:i4>
      </vt:variant>
      <vt:variant>
        <vt:i4>5</vt:i4>
      </vt:variant>
      <vt:variant>
        <vt:lpwstr/>
      </vt:variant>
      <vt:variant>
        <vt:lpwstr>_Toc130390830</vt:lpwstr>
      </vt:variant>
      <vt:variant>
        <vt:i4>1376304</vt:i4>
      </vt:variant>
      <vt:variant>
        <vt:i4>224</vt:i4>
      </vt:variant>
      <vt:variant>
        <vt:i4>0</vt:i4>
      </vt:variant>
      <vt:variant>
        <vt:i4>5</vt:i4>
      </vt:variant>
      <vt:variant>
        <vt:lpwstr/>
      </vt:variant>
      <vt:variant>
        <vt:lpwstr>_Toc130390829</vt:lpwstr>
      </vt:variant>
      <vt:variant>
        <vt:i4>1376304</vt:i4>
      </vt:variant>
      <vt:variant>
        <vt:i4>218</vt:i4>
      </vt:variant>
      <vt:variant>
        <vt:i4>0</vt:i4>
      </vt:variant>
      <vt:variant>
        <vt:i4>5</vt:i4>
      </vt:variant>
      <vt:variant>
        <vt:lpwstr/>
      </vt:variant>
      <vt:variant>
        <vt:lpwstr>_Toc130390828</vt:lpwstr>
      </vt:variant>
      <vt:variant>
        <vt:i4>1376304</vt:i4>
      </vt:variant>
      <vt:variant>
        <vt:i4>212</vt:i4>
      </vt:variant>
      <vt:variant>
        <vt:i4>0</vt:i4>
      </vt:variant>
      <vt:variant>
        <vt:i4>5</vt:i4>
      </vt:variant>
      <vt:variant>
        <vt:lpwstr/>
      </vt:variant>
      <vt:variant>
        <vt:lpwstr>_Toc130390827</vt:lpwstr>
      </vt:variant>
      <vt:variant>
        <vt:i4>1376304</vt:i4>
      </vt:variant>
      <vt:variant>
        <vt:i4>206</vt:i4>
      </vt:variant>
      <vt:variant>
        <vt:i4>0</vt:i4>
      </vt:variant>
      <vt:variant>
        <vt:i4>5</vt:i4>
      </vt:variant>
      <vt:variant>
        <vt:lpwstr/>
      </vt:variant>
      <vt:variant>
        <vt:lpwstr>_Toc130390826</vt:lpwstr>
      </vt:variant>
      <vt:variant>
        <vt:i4>1376304</vt:i4>
      </vt:variant>
      <vt:variant>
        <vt:i4>200</vt:i4>
      </vt:variant>
      <vt:variant>
        <vt:i4>0</vt:i4>
      </vt:variant>
      <vt:variant>
        <vt:i4>5</vt:i4>
      </vt:variant>
      <vt:variant>
        <vt:lpwstr/>
      </vt:variant>
      <vt:variant>
        <vt:lpwstr>_Toc130390825</vt:lpwstr>
      </vt:variant>
      <vt:variant>
        <vt:i4>1376304</vt:i4>
      </vt:variant>
      <vt:variant>
        <vt:i4>194</vt:i4>
      </vt:variant>
      <vt:variant>
        <vt:i4>0</vt:i4>
      </vt:variant>
      <vt:variant>
        <vt:i4>5</vt:i4>
      </vt:variant>
      <vt:variant>
        <vt:lpwstr/>
      </vt:variant>
      <vt:variant>
        <vt:lpwstr>_Toc130390824</vt:lpwstr>
      </vt:variant>
      <vt:variant>
        <vt:i4>1376304</vt:i4>
      </vt:variant>
      <vt:variant>
        <vt:i4>188</vt:i4>
      </vt:variant>
      <vt:variant>
        <vt:i4>0</vt:i4>
      </vt:variant>
      <vt:variant>
        <vt:i4>5</vt:i4>
      </vt:variant>
      <vt:variant>
        <vt:lpwstr/>
      </vt:variant>
      <vt:variant>
        <vt:lpwstr>_Toc130390823</vt:lpwstr>
      </vt:variant>
      <vt:variant>
        <vt:i4>1376304</vt:i4>
      </vt:variant>
      <vt:variant>
        <vt:i4>182</vt:i4>
      </vt:variant>
      <vt:variant>
        <vt:i4>0</vt:i4>
      </vt:variant>
      <vt:variant>
        <vt:i4>5</vt:i4>
      </vt:variant>
      <vt:variant>
        <vt:lpwstr/>
      </vt:variant>
      <vt:variant>
        <vt:lpwstr>_Toc130390822</vt:lpwstr>
      </vt:variant>
      <vt:variant>
        <vt:i4>1376304</vt:i4>
      </vt:variant>
      <vt:variant>
        <vt:i4>176</vt:i4>
      </vt:variant>
      <vt:variant>
        <vt:i4>0</vt:i4>
      </vt:variant>
      <vt:variant>
        <vt:i4>5</vt:i4>
      </vt:variant>
      <vt:variant>
        <vt:lpwstr/>
      </vt:variant>
      <vt:variant>
        <vt:lpwstr>_Toc130390821</vt:lpwstr>
      </vt:variant>
      <vt:variant>
        <vt:i4>1376304</vt:i4>
      </vt:variant>
      <vt:variant>
        <vt:i4>170</vt:i4>
      </vt:variant>
      <vt:variant>
        <vt:i4>0</vt:i4>
      </vt:variant>
      <vt:variant>
        <vt:i4>5</vt:i4>
      </vt:variant>
      <vt:variant>
        <vt:lpwstr/>
      </vt:variant>
      <vt:variant>
        <vt:lpwstr>_Toc130390820</vt:lpwstr>
      </vt:variant>
      <vt:variant>
        <vt:i4>1441840</vt:i4>
      </vt:variant>
      <vt:variant>
        <vt:i4>164</vt:i4>
      </vt:variant>
      <vt:variant>
        <vt:i4>0</vt:i4>
      </vt:variant>
      <vt:variant>
        <vt:i4>5</vt:i4>
      </vt:variant>
      <vt:variant>
        <vt:lpwstr/>
      </vt:variant>
      <vt:variant>
        <vt:lpwstr>_Toc130390819</vt:lpwstr>
      </vt:variant>
      <vt:variant>
        <vt:i4>1441840</vt:i4>
      </vt:variant>
      <vt:variant>
        <vt:i4>158</vt:i4>
      </vt:variant>
      <vt:variant>
        <vt:i4>0</vt:i4>
      </vt:variant>
      <vt:variant>
        <vt:i4>5</vt:i4>
      </vt:variant>
      <vt:variant>
        <vt:lpwstr/>
      </vt:variant>
      <vt:variant>
        <vt:lpwstr>_Toc130390818</vt:lpwstr>
      </vt:variant>
      <vt:variant>
        <vt:i4>1441840</vt:i4>
      </vt:variant>
      <vt:variant>
        <vt:i4>152</vt:i4>
      </vt:variant>
      <vt:variant>
        <vt:i4>0</vt:i4>
      </vt:variant>
      <vt:variant>
        <vt:i4>5</vt:i4>
      </vt:variant>
      <vt:variant>
        <vt:lpwstr/>
      </vt:variant>
      <vt:variant>
        <vt:lpwstr>_Toc130390817</vt:lpwstr>
      </vt:variant>
      <vt:variant>
        <vt:i4>1441840</vt:i4>
      </vt:variant>
      <vt:variant>
        <vt:i4>146</vt:i4>
      </vt:variant>
      <vt:variant>
        <vt:i4>0</vt:i4>
      </vt:variant>
      <vt:variant>
        <vt:i4>5</vt:i4>
      </vt:variant>
      <vt:variant>
        <vt:lpwstr/>
      </vt:variant>
      <vt:variant>
        <vt:lpwstr>_Toc130390816</vt:lpwstr>
      </vt:variant>
      <vt:variant>
        <vt:i4>1441840</vt:i4>
      </vt:variant>
      <vt:variant>
        <vt:i4>140</vt:i4>
      </vt:variant>
      <vt:variant>
        <vt:i4>0</vt:i4>
      </vt:variant>
      <vt:variant>
        <vt:i4>5</vt:i4>
      </vt:variant>
      <vt:variant>
        <vt:lpwstr/>
      </vt:variant>
      <vt:variant>
        <vt:lpwstr>_Toc130390815</vt:lpwstr>
      </vt:variant>
      <vt:variant>
        <vt:i4>1441840</vt:i4>
      </vt:variant>
      <vt:variant>
        <vt:i4>134</vt:i4>
      </vt:variant>
      <vt:variant>
        <vt:i4>0</vt:i4>
      </vt:variant>
      <vt:variant>
        <vt:i4>5</vt:i4>
      </vt:variant>
      <vt:variant>
        <vt:lpwstr/>
      </vt:variant>
      <vt:variant>
        <vt:lpwstr>_Toc130390814</vt:lpwstr>
      </vt:variant>
      <vt:variant>
        <vt:i4>1441840</vt:i4>
      </vt:variant>
      <vt:variant>
        <vt:i4>128</vt:i4>
      </vt:variant>
      <vt:variant>
        <vt:i4>0</vt:i4>
      </vt:variant>
      <vt:variant>
        <vt:i4>5</vt:i4>
      </vt:variant>
      <vt:variant>
        <vt:lpwstr/>
      </vt:variant>
      <vt:variant>
        <vt:lpwstr>_Toc130390813</vt:lpwstr>
      </vt:variant>
      <vt:variant>
        <vt:i4>1441840</vt:i4>
      </vt:variant>
      <vt:variant>
        <vt:i4>122</vt:i4>
      </vt:variant>
      <vt:variant>
        <vt:i4>0</vt:i4>
      </vt:variant>
      <vt:variant>
        <vt:i4>5</vt:i4>
      </vt:variant>
      <vt:variant>
        <vt:lpwstr/>
      </vt:variant>
      <vt:variant>
        <vt:lpwstr>_Toc130390812</vt:lpwstr>
      </vt:variant>
      <vt:variant>
        <vt:i4>1441840</vt:i4>
      </vt:variant>
      <vt:variant>
        <vt:i4>116</vt:i4>
      </vt:variant>
      <vt:variant>
        <vt:i4>0</vt:i4>
      </vt:variant>
      <vt:variant>
        <vt:i4>5</vt:i4>
      </vt:variant>
      <vt:variant>
        <vt:lpwstr/>
      </vt:variant>
      <vt:variant>
        <vt:lpwstr>_Toc130390811</vt:lpwstr>
      </vt:variant>
      <vt:variant>
        <vt:i4>1441840</vt:i4>
      </vt:variant>
      <vt:variant>
        <vt:i4>110</vt:i4>
      </vt:variant>
      <vt:variant>
        <vt:i4>0</vt:i4>
      </vt:variant>
      <vt:variant>
        <vt:i4>5</vt:i4>
      </vt:variant>
      <vt:variant>
        <vt:lpwstr/>
      </vt:variant>
      <vt:variant>
        <vt:lpwstr>_Toc130390810</vt:lpwstr>
      </vt:variant>
      <vt:variant>
        <vt:i4>1507376</vt:i4>
      </vt:variant>
      <vt:variant>
        <vt:i4>104</vt:i4>
      </vt:variant>
      <vt:variant>
        <vt:i4>0</vt:i4>
      </vt:variant>
      <vt:variant>
        <vt:i4>5</vt:i4>
      </vt:variant>
      <vt:variant>
        <vt:lpwstr/>
      </vt:variant>
      <vt:variant>
        <vt:lpwstr>_Toc130390809</vt:lpwstr>
      </vt:variant>
      <vt:variant>
        <vt:i4>1507376</vt:i4>
      </vt:variant>
      <vt:variant>
        <vt:i4>98</vt:i4>
      </vt:variant>
      <vt:variant>
        <vt:i4>0</vt:i4>
      </vt:variant>
      <vt:variant>
        <vt:i4>5</vt:i4>
      </vt:variant>
      <vt:variant>
        <vt:lpwstr/>
      </vt:variant>
      <vt:variant>
        <vt:lpwstr>_Toc130390808</vt:lpwstr>
      </vt:variant>
      <vt:variant>
        <vt:i4>1507376</vt:i4>
      </vt:variant>
      <vt:variant>
        <vt:i4>92</vt:i4>
      </vt:variant>
      <vt:variant>
        <vt:i4>0</vt:i4>
      </vt:variant>
      <vt:variant>
        <vt:i4>5</vt:i4>
      </vt:variant>
      <vt:variant>
        <vt:lpwstr/>
      </vt:variant>
      <vt:variant>
        <vt:lpwstr>_Toc130390807</vt:lpwstr>
      </vt:variant>
      <vt:variant>
        <vt:i4>1507376</vt:i4>
      </vt:variant>
      <vt:variant>
        <vt:i4>86</vt:i4>
      </vt:variant>
      <vt:variant>
        <vt:i4>0</vt:i4>
      </vt:variant>
      <vt:variant>
        <vt:i4>5</vt:i4>
      </vt:variant>
      <vt:variant>
        <vt:lpwstr/>
      </vt:variant>
      <vt:variant>
        <vt:lpwstr>_Toc130390806</vt:lpwstr>
      </vt:variant>
      <vt:variant>
        <vt:i4>1507376</vt:i4>
      </vt:variant>
      <vt:variant>
        <vt:i4>80</vt:i4>
      </vt:variant>
      <vt:variant>
        <vt:i4>0</vt:i4>
      </vt:variant>
      <vt:variant>
        <vt:i4>5</vt:i4>
      </vt:variant>
      <vt:variant>
        <vt:lpwstr/>
      </vt:variant>
      <vt:variant>
        <vt:lpwstr>_Toc130390805</vt:lpwstr>
      </vt:variant>
      <vt:variant>
        <vt:i4>1507376</vt:i4>
      </vt:variant>
      <vt:variant>
        <vt:i4>74</vt:i4>
      </vt:variant>
      <vt:variant>
        <vt:i4>0</vt:i4>
      </vt:variant>
      <vt:variant>
        <vt:i4>5</vt:i4>
      </vt:variant>
      <vt:variant>
        <vt:lpwstr/>
      </vt:variant>
      <vt:variant>
        <vt:lpwstr>_Toc130390804</vt:lpwstr>
      </vt:variant>
      <vt:variant>
        <vt:i4>1507376</vt:i4>
      </vt:variant>
      <vt:variant>
        <vt:i4>68</vt:i4>
      </vt:variant>
      <vt:variant>
        <vt:i4>0</vt:i4>
      </vt:variant>
      <vt:variant>
        <vt:i4>5</vt:i4>
      </vt:variant>
      <vt:variant>
        <vt:lpwstr/>
      </vt:variant>
      <vt:variant>
        <vt:lpwstr>_Toc130390803</vt:lpwstr>
      </vt:variant>
      <vt:variant>
        <vt:i4>1507376</vt:i4>
      </vt:variant>
      <vt:variant>
        <vt:i4>62</vt:i4>
      </vt:variant>
      <vt:variant>
        <vt:i4>0</vt:i4>
      </vt:variant>
      <vt:variant>
        <vt:i4>5</vt:i4>
      </vt:variant>
      <vt:variant>
        <vt:lpwstr/>
      </vt:variant>
      <vt:variant>
        <vt:lpwstr>_Toc130390802</vt:lpwstr>
      </vt:variant>
      <vt:variant>
        <vt:i4>1507376</vt:i4>
      </vt:variant>
      <vt:variant>
        <vt:i4>56</vt:i4>
      </vt:variant>
      <vt:variant>
        <vt:i4>0</vt:i4>
      </vt:variant>
      <vt:variant>
        <vt:i4>5</vt:i4>
      </vt:variant>
      <vt:variant>
        <vt:lpwstr/>
      </vt:variant>
      <vt:variant>
        <vt:lpwstr>_Toc130390801</vt:lpwstr>
      </vt:variant>
      <vt:variant>
        <vt:i4>1507376</vt:i4>
      </vt:variant>
      <vt:variant>
        <vt:i4>50</vt:i4>
      </vt:variant>
      <vt:variant>
        <vt:i4>0</vt:i4>
      </vt:variant>
      <vt:variant>
        <vt:i4>5</vt:i4>
      </vt:variant>
      <vt:variant>
        <vt:lpwstr/>
      </vt:variant>
      <vt:variant>
        <vt:lpwstr>_Toc130390800</vt:lpwstr>
      </vt:variant>
      <vt:variant>
        <vt:i4>1966143</vt:i4>
      </vt:variant>
      <vt:variant>
        <vt:i4>44</vt:i4>
      </vt:variant>
      <vt:variant>
        <vt:i4>0</vt:i4>
      </vt:variant>
      <vt:variant>
        <vt:i4>5</vt:i4>
      </vt:variant>
      <vt:variant>
        <vt:lpwstr/>
      </vt:variant>
      <vt:variant>
        <vt:lpwstr>_Toc130390799</vt:lpwstr>
      </vt:variant>
      <vt:variant>
        <vt:i4>1966143</vt:i4>
      </vt:variant>
      <vt:variant>
        <vt:i4>38</vt:i4>
      </vt:variant>
      <vt:variant>
        <vt:i4>0</vt:i4>
      </vt:variant>
      <vt:variant>
        <vt:i4>5</vt:i4>
      </vt:variant>
      <vt:variant>
        <vt:lpwstr/>
      </vt:variant>
      <vt:variant>
        <vt:lpwstr>_Toc130390798</vt:lpwstr>
      </vt:variant>
      <vt:variant>
        <vt:i4>1966143</vt:i4>
      </vt:variant>
      <vt:variant>
        <vt:i4>32</vt:i4>
      </vt:variant>
      <vt:variant>
        <vt:i4>0</vt:i4>
      </vt:variant>
      <vt:variant>
        <vt:i4>5</vt:i4>
      </vt:variant>
      <vt:variant>
        <vt:lpwstr/>
      </vt:variant>
      <vt:variant>
        <vt:lpwstr>_Toc130390797</vt:lpwstr>
      </vt:variant>
      <vt:variant>
        <vt:i4>1966143</vt:i4>
      </vt:variant>
      <vt:variant>
        <vt:i4>26</vt:i4>
      </vt:variant>
      <vt:variant>
        <vt:i4>0</vt:i4>
      </vt:variant>
      <vt:variant>
        <vt:i4>5</vt:i4>
      </vt:variant>
      <vt:variant>
        <vt:lpwstr/>
      </vt:variant>
      <vt:variant>
        <vt:lpwstr>_Toc130390796</vt:lpwstr>
      </vt:variant>
      <vt:variant>
        <vt:i4>1966143</vt:i4>
      </vt:variant>
      <vt:variant>
        <vt:i4>20</vt:i4>
      </vt:variant>
      <vt:variant>
        <vt:i4>0</vt:i4>
      </vt:variant>
      <vt:variant>
        <vt:i4>5</vt:i4>
      </vt:variant>
      <vt:variant>
        <vt:lpwstr/>
      </vt:variant>
      <vt:variant>
        <vt:lpwstr>_Toc130390795</vt:lpwstr>
      </vt:variant>
      <vt:variant>
        <vt:i4>1966143</vt:i4>
      </vt:variant>
      <vt:variant>
        <vt:i4>14</vt:i4>
      </vt:variant>
      <vt:variant>
        <vt:i4>0</vt:i4>
      </vt:variant>
      <vt:variant>
        <vt:i4>5</vt:i4>
      </vt:variant>
      <vt:variant>
        <vt:lpwstr/>
      </vt:variant>
      <vt:variant>
        <vt:lpwstr>_Toc130390794</vt:lpwstr>
      </vt:variant>
      <vt:variant>
        <vt:i4>1966143</vt:i4>
      </vt:variant>
      <vt:variant>
        <vt:i4>8</vt:i4>
      </vt:variant>
      <vt:variant>
        <vt:i4>0</vt:i4>
      </vt:variant>
      <vt:variant>
        <vt:i4>5</vt:i4>
      </vt:variant>
      <vt:variant>
        <vt:lpwstr/>
      </vt:variant>
      <vt:variant>
        <vt:lpwstr>_Toc130390793</vt:lpwstr>
      </vt:variant>
      <vt:variant>
        <vt:i4>1966143</vt:i4>
      </vt:variant>
      <vt:variant>
        <vt:i4>2</vt:i4>
      </vt:variant>
      <vt:variant>
        <vt:i4>0</vt:i4>
      </vt:variant>
      <vt:variant>
        <vt:i4>5</vt:i4>
      </vt:variant>
      <vt:variant>
        <vt:lpwstr/>
      </vt:variant>
      <vt:variant>
        <vt:lpwstr>_Toc130390792</vt:lpwstr>
      </vt:variant>
      <vt:variant>
        <vt:i4>3932199</vt:i4>
      </vt:variant>
      <vt:variant>
        <vt:i4>51</vt:i4>
      </vt:variant>
      <vt:variant>
        <vt:i4>0</vt:i4>
      </vt:variant>
      <vt:variant>
        <vt:i4>5</vt:i4>
      </vt:variant>
      <vt:variant>
        <vt:lpwstr>https://crashstats.nhtsa.dot.gov/Api/Public/ViewPublication/812369</vt:lpwstr>
      </vt:variant>
      <vt:variant>
        <vt:lpwstr/>
      </vt:variant>
      <vt:variant>
        <vt:i4>3670057</vt:i4>
      </vt:variant>
      <vt:variant>
        <vt:i4>48</vt:i4>
      </vt:variant>
      <vt:variant>
        <vt:i4>0</vt:i4>
      </vt:variant>
      <vt:variant>
        <vt:i4>5</vt:i4>
      </vt:variant>
      <vt:variant>
        <vt:lpwstr>https://crashstats.nhtsa.dot.gov/Api/Public/ViewPublication/809639</vt:lpwstr>
      </vt:variant>
      <vt:variant>
        <vt:lpwstr/>
      </vt:variant>
      <vt:variant>
        <vt:i4>7864410</vt:i4>
      </vt:variant>
      <vt:variant>
        <vt:i4>45</vt:i4>
      </vt:variant>
      <vt:variant>
        <vt:i4>0</vt:i4>
      </vt:variant>
      <vt:variant>
        <vt:i4>5</vt:i4>
      </vt:variant>
      <vt:variant>
        <vt:lpwstr>https://meps.ahrq.gov/data_files/publications/st62/stat62.shtml</vt:lpwstr>
      </vt:variant>
      <vt:variant>
        <vt:lpwstr/>
      </vt:variant>
      <vt:variant>
        <vt:i4>3473445</vt:i4>
      </vt:variant>
      <vt:variant>
        <vt:i4>42</vt:i4>
      </vt:variant>
      <vt:variant>
        <vt:i4>0</vt:i4>
      </vt:variant>
      <vt:variant>
        <vt:i4>5</vt:i4>
      </vt:variant>
      <vt:variant>
        <vt:lpwstr>https://crashstats.nhtsa.dot.gov/Api/Public/ViewPublication/812546</vt:lpwstr>
      </vt:variant>
      <vt:variant>
        <vt:lpwstr/>
      </vt:variant>
      <vt:variant>
        <vt:i4>3145765</vt:i4>
      </vt:variant>
      <vt:variant>
        <vt:i4>39</vt:i4>
      </vt:variant>
      <vt:variant>
        <vt:i4>0</vt:i4>
      </vt:variant>
      <vt:variant>
        <vt:i4>5</vt:i4>
      </vt:variant>
      <vt:variant>
        <vt:lpwstr>https://crashstats.nhtsa.dot.gov/Api/Public/ViewPublication/812244</vt:lpwstr>
      </vt:variant>
      <vt:variant>
        <vt:lpwstr/>
      </vt:variant>
      <vt:variant>
        <vt:i4>2752523</vt:i4>
      </vt:variant>
      <vt:variant>
        <vt:i4>36</vt:i4>
      </vt:variant>
      <vt:variant>
        <vt:i4>0</vt:i4>
      </vt:variant>
      <vt:variant>
        <vt:i4>5</vt:i4>
      </vt:variant>
      <vt:variant>
        <vt:lpwstr>http://compliance-sec.com/secfilings/company/slnn/link_files/2015/07-14-2015/Form10-K/Form10-K.pdf</vt:lpwstr>
      </vt:variant>
      <vt:variant>
        <vt:lpwstr/>
      </vt:variant>
      <vt:variant>
        <vt:i4>1114188</vt:i4>
      </vt:variant>
      <vt:variant>
        <vt:i4>33</vt:i4>
      </vt:variant>
      <vt:variant>
        <vt:i4>0</vt:i4>
      </vt:variant>
      <vt:variant>
        <vt:i4>5</vt:i4>
      </vt:variant>
      <vt:variant>
        <vt:lpwstr>https://www.transportation.gov/sites/dot.gov/files/docs/2016 Revised Value of a Statistical Life Guidance.pdf</vt:lpwstr>
      </vt:variant>
      <vt:variant>
        <vt:lpwstr/>
      </vt:variant>
      <vt:variant>
        <vt:i4>3473506</vt:i4>
      </vt:variant>
      <vt:variant>
        <vt:i4>30</vt:i4>
      </vt:variant>
      <vt:variant>
        <vt:i4>0</vt:i4>
      </vt:variant>
      <vt:variant>
        <vt:i4>5</vt:i4>
      </vt:variant>
      <vt:variant>
        <vt:lpwstr>https://www.transportation.gov/regulations/economic-values-used-in-analysis</vt:lpwstr>
      </vt:variant>
      <vt:variant>
        <vt:lpwstr/>
      </vt:variant>
      <vt:variant>
        <vt:i4>3670057</vt:i4>
      </vt:variant>
      <vt:variant>
        <vt:i4>27</vt:i4>
      </vt:variant>
      <vt:variant>
        <vt:i4>0</vt:i4>
      </vt:variant>
      <vt:variant>
        <vt:i4>5</vt:i4>
      </vt:variant>
      <vt:variant>
        <vt:lpwstr>https://crashstats.nhtsa.dot.gov/Api/Public/ViewPublication/809639</vt:lpwstr>
      </vt:variant>
      <vt:variant>
        <vt:lpwstr/>
      </vt:variant>
      <vt:variant>
        <vt:i4>7864410</vt:i4>
      </vt:variant>
      <vt:variant>
        <vt:i4>24</vt:i4>
      </vt:variant>
      <vt:variant>
        <vt:i4>0</vt:i4>
      </vt:variant>
      <vt:variant>
        <vt:i4>5</vt:i4>
      </vt:variant>
      <vt:variant>
        <vt:lpwstr>https://meps.ahrq.gov/data_files/publications/st62/stat62.shtml</vt:lpwstr>
      </vt:variant>
      <vt:variant>
        <vt:lpwstr/>
      </vt:variant>
      <vt:variant>
        <vt:i4>786496</vt:i4>
      </vt:variant>
      <vt:variant>
        <vt:i4>18</vt:i4>
      </vt:variant>
      <vt:variant>
        <vt:i4>0</vt:i4>
      </vt:variant>
      <vt:variant>
        <vt:i4>5</vt:i4>
      </vt:variant>
      <vt:variant>
        <vt:lpwstr>https://www.regulations.gov/document/NHTSA-2009-0093-0004</vt:lpwstr>
      </vt:variant>
      <vt:variant>
        <vt:lpwstr/>
      </vt:variant>
      <vt:variant>
        <vt:i4>655425</vt:i4>
      </vt:variant>
      <vt:variant>
        <vt:i4>15</vt:i4>
      </vt:variant>
      <vt:variant>
        <vt:i4>0</vt:i4>
      </vt:variant>
      <vt:variant>
        <vt:i4>5</vt:i4>
      </vt:variant>
      <vt:variant>
        <vt:lpwstr>https://www.regulations.gov/document/NHTSA-2011-0004-0003</vt:lpwstr>
      </vt:variant>
      <vt:variant>
        <vt:lpwstr/>
      </vt:variant>
      <vt:variant>
        <vt:i4>2883693</vt:i4>
      </vt:variant>
      <vt:variant>
        <vt:i4>12</vt:i4>
      </vt:variant>
      <vt:variant>
        <vt:i4>0</vt:i4>
      </vt:variant>
      <vt:variant>
        <vt:i4>5</vt:i4>
      </vt:variant>
      <vt:variant>
        <vt:lpwstr>https://www.regulations.gov/document/NHTSA-2007-29134-0004</vt:lpwstr>
      </vt:variant>
      <vt:variant>
        <vt:lpwstr/>
      </vt:variant>
      <vt:variant>
        <vt:i4>524352</vt:i4>
      </vt:variant>
      <vt:variant>
        <vt:i4>9</vt:i4>
      </vt:variant>
      <vt:variant>
        <vt:i4>0</vt:i4>
      </vt:variant>
      <vt:variant>
        <vt:i4>5</vt:i4>
      </vt:variant>
      <vt:variant>
        <vt:lpwstr>https://www.regulations.gov/document/NHTSA-2015-0056-0002</vt:lpwstr>
      </vt:variant>
      <vt:variant>
        <vt:lpwstr/>
      </vt:variant>
      <vt:variant>
        <vt:i4>5636097</vt:i4>
      </vt:variant>
      <vt:variant>
        <vt:i4>6</vt:i4>
      </vt:variant>
      <vt:variant>
        <vt:i4>0</vt:i4>
      </vt:variant>
      <vt:variant>
        <vt:i4>5</vt:i4>
      </vt:variant>
      <vt:variant>
        <vt:lpwstr>http://www.safercar.gov/Vehicle-Shoppers/Resources/Vehicles-with-ESC</vt:lpwstr>
      </vt:variant>
      <vt:variant>
        <vt:lpwstr/>
      </vt:variant>
      <vt:variant>
        <vt:i4>2687001</vt:i4>
      </vt:variant>
      <vt:variant>
        <vt:i4>3</vt:i4>
      </vt:variant>
      <vt:variant>
        <vt:i4>0</vt:i4>
      </vt:variant>
      <vt:variant>
        <vt:i4>5</vt:i4>
      </vt:variant>
      <vt:variant>
        <vt:lpwstr>https://www.nhtsa.gov/sites/nhtsa.dot.gov/files/esc_fr_03_2007.pdf</vt:lpwstr>
      </vt:variant>
      <vt:variant>
        <vt:lpwstr/>
      </vt:variant>
      <vt:variant>
        <vt:i4>5177413</vt:i4>
      </vt:variant>
      <vt:variant>
        <vt:i4>0</vt:i4>
      </vt:variant>
      <vt:variant>
        <vt:i4>0</vt:i4>
      </vt:variant>
      <vt:variant>
        <vt:i4>5</vt:i4>
      </vt:variant>
      <vt:variant>
        <vt:lpwstr>http://www-nrd.nhtsa.dot.gov/Pubs/809639.PDF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Leszczyszyn, Natalia (NHTSA)</dc:creator>
  <cp:keywords/>
  <cp:lastModifiedBy>Leszczyszyn, Natalia (NHTSA)</cp:lastModifiedBy>
  <cp:revision>7</cp:revision>
  <cp:lastPrinted>2023-08-18T18:02:00Z</cp:lastPrinted>
  <dcterms:created xsi:type="dcterms:W3CDTF">2023-08-18T16:36:00Z</dcterms:created>
  <dcterms:modified xsi:type="dcterms:W3CDTF">2023-08-18T18:32:00Z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0x010100278E0B04E1D228419056F4B2B7259673</vt:lpwstr>
  </property>
  <property fmtid="{D5CDD505-2E9C-101B-9397-08002B2CF9AE}" pid="3" name="MediaServiceImageTags">
    <vt:lpwstr/>
  </property>
</Properties>
</file>